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axonasp-documentation"/>
    <w:p>
      <w:pPr>
        <w:pStyle w:val="Heading1"/>
      </w:pPr>
      <w:r>
        <w:t xml:space="preserve">AxonASP Documentation</w:t>
      </w:r>
    </w:p>
    <w:bookmarkEnd w:id="9"/>
    <w:bookmarkStart w:id="10" w:name="axonasp"/>
    <w:p>
      <w:pPr>
        <w:pStyle w:val="Heading1"/>
      </w:pPr>
      <w:r>
        <w:t xml:space="preserve">AxonASP</w:t>
      </w:r>
    </w:p>
    <w:bookmarkEnd w:id="10"/>
    <w:bookmarkStart w:id="31" w:name="X0c132ef4f70a2a33388948485da7c4a1b7adaa9"/>
    <w:p>
      <w:pPr>
        <w:pStyle w:val="Heading1"/>
      </w:pPr>
      <w:r>
        <w:t xml:space="preserve">❖ AxonASP 2.3: The Ultimate Classic ASP Engine for the Modern Web with VBScript and JavaScript support</w:t>
      </w:r>
    </w:p>
    <w:p>
      <w:pPr>
        <w:pStyle w:val="FirstParagraph"/>
      </w:pPr>
      <w:r>
        <w:t xml:space="preserve">Supercharge your legacy code. Build blazing-fast modern APIs. Experience Classic ASP like never before.</w:t>
      </w:r>
    </w:p>
    <w:p>
      <w:pPr>
        <w:pStyle w:val="BodyText"/>
      </w:pPr>
      <w:r>
        <w:t xml:space="preserve">Welcome to</w:t>
      </w:r>
      <w:r>
        <w:t xml:space="preserve"> </w:t>
      </w:r>
      <w:r>
        <w:rPr>
          <w:b/>
          <w:bCs/>
        </w:rPr>
        <w:t xml:space="preserve">AxonASP 2.3</w:t>
      </w:r>
      <w:r>
        <w:t xml:space="preserve">, the definitive, high-performance runtime for executing Classic ASP with VBScript and JavaScript (JScript) support in pure Go. This is the engine your applications deserve—a complete reinvention of what Classic ASP can be in the modern era.</w:t>
      </w:r>
    </w:p>
    <w:p>
      <w:r>
        <w:pict>
          <v:rect style="width:0;height:1.5pt" o:hralign="center" o:hrstd="t" o:hr="t"/>
        </w:pict>
      </w:r>
    </w:p>
    <w:bookmarkStart w:id="11" w:name="what-is-axonasp"/>
    <w:p>
      <w:pPr>
        <w:pStyle w:val="Heading2"/>
      </w:pPr>
      <w:r>
        <w:t xml:space="preserve">What Is AxonASP?</w:t>
      </w:r>
    </w:p>
    <w:p>
      <w:pPr>
        <w:pStyle w:val="FirstParagraph"/>
      </w:pPr>
      <w:r>
        <w:t xml:space="preserve">AxonASP is a high-performance execution engine that processes Classic ASP pages, compiles VBScript into optimized bytecode, and executes code through an advanced stack-based virtual machine. The engine also supports JScript execution for ASP pages using the JScript language directive. The runtime provides compatibility with classic ASP behavior while introducing powerful modern innovations that make ASP development faster, safer, and more scalable than ever before.</w:t>
      </w:r>
    </w:p>
    <w:p>
      <w:pPr>
        <w:pStyle w:val="BodyText"/>
      </w:pPr>
      <w:r>
        <w:t xml:space="preserve">Unlike traditional ASP interpreters, AxonASP runs on</w:t>
      </w:r>
      <w:r>
        <w:t xml:space="preserve"> </w:t>
      </w:r>
      <w:r>
        <w:rPr>
          <w:b/>
          <w:bCs/>
        </w:rPr>
        <w:t xml:space="preserve">any operating system</w:t>
      </w:r>
      <w:r>
        <w:t xml:space="preserve">—Windows, Linux, macOS, and beyond—using the same codebase. Deploy anywhere Go is supported. No more constraint to Windows and IIS.</w:t>
      </w:r>
    </w:p>
    <w:p>
      <w:r>
        <w:pict>
          <v:rect style="width:0;height:1.5pt" o:hralign="center" o:hrstd="t" o:hr="t"/>
        </w:pict>
      </w:r>
    </w:p>
    <w:bookmarkEnd w:id="11"/>
    <w:bookmarkStart w:id="17" w:name="X2548154ea0a69e0dbb0a430c17a84c92fa03e1a"/>
    <w:p>
      <w:pPr>
        <w:pStyle w:val="Heading2"/>
      </w:pPr>
      <w:r>
        <w:t xml:space="preserve">Why Choose AxonASP? The Performance Revolution</w:t>
      </w:r>
    </w:p>
    <w:p>
      <w:pPr>
        <w:pStyle w:val="FirstParagraph"/>
      </w:pPr>
      <w:r>
        <w:t xml:space="preserve">We didn’t just update Classic ASP. We completely reimagined it for the modern web:</w:t>
      </w:r>
    </w:p>
    <w:bookmarkStart w:id="12" w:name="lightning-fast-compilation-and-execution"/>
    <w:p>
      <w:pPr>
        <w:pStyle w:val="Heading3"/>
      </w:pPr>
      <w:r>
        <w:t xml:space="preserve">Lightning-Fast Compilation and Execution</w:t>
      </w:r>
    </w:p>
    <w:p>
      <w:pPr>
        <w:pStyle w:val="Compact"/>
        <w:numPr>
          <w:ilvl w:val="0"/>
          <w:numId w:val="1001"/>
        </w:numPr>
      </w:pPr>
      <w:r>
        <w:rPr>
          <w:b/>
          <w:bCs/>
        </w:rPr>
        <w:t xml:space="preserve">Zero AST, Pure Bytecode:</w:t>
      </w:r>
      <w:r>
        <w:t xml:space="preserve"> </w:t>
      </w:r>
      <w:r>
        <w:t xml:space="preserve">Single-pass compilation emits bytecode directly to a highly optimized stack-based Virtual Machine. By eliminating the Abstract Syntax Tree (AST), AxonASP executes scripts with virtually zero-allocation overhead. It’s insanely fast and memory efficient.</w:t>
      </w:r>
    </w:p>
    <w:p>
      <w:pPr>
        <w:pStyle w:val="Compact"/>
        <w:numPr>
          <w:ilvl w:val="0"/>
          <w:numId w:val="1001"/>
        </w:numPr>
      </w:pPr>
      <w:r>
        <w:rPr>
          <w:b/>
          <w:bCs/>
        </w:rPr>
        <w:t xml:space="preserve">Advanced Caching Architecture:</w:t>
      </w:r>
      <w:r>
        <w:t xml:space="preserve"> </w:t>
      </w:r>
      <w:r>
        <w:t xml:space="preserve">IIS-style VM pooling combined with aggressive script caching and dynamic execution caching. Your compiled code is cached at every level—script files, Eval expressions, Execute statements, and beyond.</w:t>
      </w:r>
    </w:p>
    <w:p>
      <w:pPr>
        <w:pStyle w:val="Compact"/>
        <w:numPr>
          <w:ilvl w:val="0"/>
          <w:numId w:val="1001"/>
        </w:numPr>
      </w:pPr>
      <w:r>
        <w:rPr>
          <w:b/>
          <w:bCs/>
        </w:rPr>
        <w:t xml:space="preserve">Minimal Memory Footprint:</w:t>
      </w:r>
      <w:r>
        <w:t xml:space="preserve"> </w:t>
      </w:r>
      <w:r>
        <w:t xml:space="preserve">Code is engineered to minimize garbage collection triggers. Scripts complete faster and consume less memory than traditional interpreters.</w:t>
      </w:r>
    </w:p>
    <w:bookmarkEnd w:id="12"/>
    <w:bookmarkStart w:id="13" w:name="total-compatibility-meets-innovation"/>
    <w:p>
      <w:pPr>
        <w:pStyle w:val="Heading3"/>
      </w:pPr>
      <w:r>
        <w:t xml:space="preserve">Total Compatibility Meets Innovation</w:t>
      </w:r>
    </w:p>
    <w:p>
      <w:pPr>
        <w:pStyle w:val="Compact"/>
        <w:numPr>
          <w:ilvl w:val="0"/>
          <w:numId w:val="1002"/>
        </w:numPr>
      </w:pPr>
      <w:r>
        <w:rPr>
          <w:b/>
          <w:bCs/>
        </w:rPr>
        <w:t xml:space="preserve">Classic ASP Standards Compliance:</w:t>
      </w:r>
      <w:r>
        <w:t xml:space="preserve"> </w:t>
      </w:r>
      <w:r>
        <w:t xml:space="preserve">Your legacy code drops right in. Full support for VBScript semantics, ADOB, MSXML, FileSystemObject, Dictionary, WScript.Shell, and all intrinsic ASP objects.</w:t>
      </w:r>
    </w:p>
    <w:p>
      <w:pPr>
        <w:pStyle w:val="Compact"/>
        <w:numPr>
          <w:ilvl w:val="0"/>
          <w:numId w:val="1002"/>
        </w:numPr>
      </w:pPr>
      <w:r>
        <w:rPr>
          <w:b/>
          <w:bCs/>
        </w:rPr>
        <w:t xml:space="preserve">60+ Custom Axon Functions:</w:t>
      </w:r>
      <w:r>
        <w:t xml:space="preserve"> </w:t>
      </w:r>
      <w:r>
        <w:t xml:space="preserve">High-performance native functions for arrays, strings, system operations, and advanced utilities—written in Go, executing at near-native speed.</w:t>
      </w:r>
    </w:p>
    <w:p>
      <w:pPr>
        <w:pStyle w:val="Compact"/>
        <w:numPr>
          <w:ilvl w:val="0"/>
          <w:numId w:val="1002"/>
        </w:numPr>
      </w:pPr>
      <w:r>
        <w:rPr>
          <w:b/>
          <w:bCs/>
        </w:rPr>
        <w:t xml:space="preserve">Enterprise Native Libraries:</w:t>
      </w:r>
      <w:r>
        <w:t xml:space="preserve"> </w:t>
      </w:r>
      <w:r>
        <w:t xml:space="preserve">G3JSON, G3DB, G3HTTP, G3Mail, G3Image, G3Crypto, G3ZIP, G3TAR, G3ZSTD, G3PDF, G3Template, and many more—zero overhead, maximum power.</w:t>
      </w:r>
    </w:p>
    <w:bookmarkEnd w:id="13"/>
    <w:bookmarkStart w:id="14" w:name="multiple-execution-modes"/>
    <w:p>
      <w:pPr>
        <w:pStyle w:val="Heading3"/>
      </w:pPr>
      <w:r>
        <w:t xml:space="preserve">Multiple Execution Modes</w:t>
      </w:r>
    </w:p>
    <w:p>
      <w:pPr>
        <w:pStyle w:val="Compact"/>
        <w:numPr>
          <w:ilvl w:val="0"/>
          <w:numId w:val="1003"/>
        </w:numPr>
      </w:pPr>
      <w:r>
        <w:rPr>
          <w:b/>
          <w:bCs/>
        </w:rPr>
        <w:t xml:space="preserve">Web Server Mode:</w:t>
      </w:r>
      <w:r>
        <w:t xml:space="preserve"> </w:t>
      </w:r>
      <w:r>
        <w:t xml:space="preserve">Run the built-in HTTP server (</w:t>
      </w:r>
      <w:r>
        <w:rPr>
          <w:rStyle w:val="VerbatimChar"/>
        </w:rPr>
        <w:t xml:space="preserve">axonasp-http</w:t>
      </w:r>
      <w:r>
        <w:t xml:space="preserve">) for development and production.</w:t>
      </w:r>
    </w:p>
    <w:p>
      <w:pPr>
        <w:pStyle w:val="Compact"/>
        <w:numPr>
          <w:ilvl w:val="0"/>
          <w:numId w:val="1003"/>
        </w:numPr>
      </w:pPr>
      <w:r>
        <w:rPr>
          <w:b/>
          <w:bCs/>
        </w:rPr>
        <w:t xml:space="preserve">FastCGI Mode:</w:t>
      </w:r>
      <w:r>
        <w:t xml:space="preserve"> </w:t>
      </w:r>
      <w:r>
        <w:t xml:space="preserve">Integrate with Nginx, Apache, or any FastCGI-compatible web server.</w:t>
      </w:r>
    </w:p>
    <w:p>
      <w:pPr>
        <w:pStyle w:val="Compact"/>
        <w:numPr>
          <w:ilvl w:val="0"/>
          <w:numId w:val="1003"/>
        </w:numPr>
      </w:pPr>
      <w:r>
        <w:rPr>
          <w:b/>
          <w:bCs/>
        </w:rPr>
        <w:t xml:space="preserve">Command-Line Mode:</w:t>
      </w:r>
      <w:r>
        <w:t xml:space="preserve"> </w:t>
      </w:r>
      <w:r>
        <w:t xml:space="preserve">Execute ASP scripts directly from your terminal (</w:t>
      </w:r>
      <w:r>
        <w:rPr>
          <w:rStyle w:val="VerbatimChar"/>
        </w:rPr>
        <w:t xml:space="preserve">axonasp-cli</w:t>
      </w:r>
      <w:r>
        <w:t xml:space="preserve">). Schedule tasks, automation, system administration—all in ASP.</w:t>
      </w:r>
    </w:p>
    <w:p>
      <w:pPr>
        <w:pStyle w:val="Compact"/>
        <w:numPr>
          <w:ilvl w:val="0"/>
          <w:numId w:val="1003"/>
        </w:numPr>
      </w:pPr>
      <w:r>
        <w:rPr>
          <w:b/>
          <w:bCs/>
        </w:rPr>
        <w:t xml:space="preserve">Interactive CLI with TUI:</w:t>
      </w:r>
      <w:r>
        <w:t xml:space="preserve"> </w:t>
      </w:r>
      <w:r>
        <w:t xml:space="preserve">Explore and test code in real-time with a text-based user interface.</w:t>
      </w:r>
    </w:p>
    <w:bookmarkEnd w:id="14"/>
    <w:bookmarkStart w:id="15" w:name="ai-ready-architecture"/>
    <w:p>
      <w:pPr>
        <w:pStyle w:val="Heading3"/>
      </w:pPr>
      <w:r>
        <w:t xml:space="preserve">AI-Ready Architecture</w:t>
      </w:r>
    </w:p>
    <w:p>
      <w:pPr>
        <w:pStyle w:val="Compact"/>
        <w:numPr>
          <w:ilvl w:val="0"/>
          <w:numId w:val="1004"/>
        </w:numPr>
      </w:pPr>
      <w:r>
        <w:rPr>
          <w:b/>
          <w:bCs/>
        </w:rPr>
        <w:t xml:space="preserve">Built-in MCP Server:</w:t>
      </w:r>
      <w:r>
        <w:t xml:space="preserve"> </w:t>
      </w:r>
      <w:r>
        <w:t xml:space="preserve">AxonASP includes a Model Context Protocol (MCP) server. AI agents can connect directly, understand your environment, and autonomously author complete ASP pages using all available native functions.</w:t>
      </w:r>
    </w:p>
    <w:bookmarkEnd w:id="15"/>
    <w:bookmarkStart w:id="16" w:name="testing-and-quality-assurance"/>
    <w:p>
      <w:pPr>
        <w:pStyle w:val="Heading3"/>
      </w:pPr>
      <w:r>
        <w:t xml:space="preserve">Testing and Quality Assurance</w:t>
      </w:r>
    </w:p>
    <w:p>
      <w:pPr>
        <w:pStyle w:val="Compact"/>
        <w:numPr>
          <w:ilvl w:val="0"/>
          <w:numId w:val="1005"/>
        </w:numPr>
      </w:pPr>
      <w:r>
        <w:rPr>
          <w:b/>
          <w:bCs/>
        </w:rPr>
        <w:t xml:space="preserve">Automated Test Suite:</w:t>
      </w:r>
      <w:r>
        <w:t xml:space="preserve"> </w:t>
      </w:r>
      <w:r>
        <w:t xml:space="preserve">The</w:t>
      </w:r>
      <w:r>
        <w:t xml:space="preserve"> </w:t>
      </w:r>
      <w:r>
        <w:rPr>
          <w:rStyle w:val="VerbatimChar"/>
        </w:rPr>
        <w:t xml:space="preserve">axonasp-testsuite</w:t>
      </w:r>
      <w:r>
        <w:t xml:space="preserve"> </w:t>
      </w:r>
      <w:r>
        <w:t xml:space="preserve">executable enables test-driven development natively in ASP. Write assertions, run test discovery automatically, and report CI-friendly results.</w:t>
      </w:r>
    </w:p>
    <w:p>
      <w:pPr>
        <w:pStyle w:val="Compact"/>
        <w:numPr>
          <w:ilvl w:val="0"/>
          <w:numId w:val="1005"/>
        </w:numPr>
      </w:pPr>
      <w:r>
        <w:rPr>
          <w:b/>
          <w:bCs/>
        </w:rPr>
        <w:t xml:space="preserve">No More Regex Hacks:</w:t>
      </w:r>
      <w:r>
        <w:t xml:space="preserve"> </w:t>
      </w:r>
      <w:r>
        <w:t xml:space="preserve">Integrated testing framework—no more manual test pages and prayer-based debugging.</w:t>
      </w:r>
    </w:p>
    <w:p>
      <w:r>
        <w:pict>
          <v:rect style="width:0;height:1.5pt" o:hralign="center" o:hrstd="t" o:hr="t"/>
        </w:pict>
      </w:r>
    </w:p>
    <w:bookmarkEnd w:id="16"/>
    <w:bookmarkEnd w:id="17"/>
    <w:bookmarkStart w:id="18" w:name="whats-new-in-version-2.x"/>
    <w:p>
      <w:pPr>
        <w:pStyle w:val="Heading2"/>
      </w:pPr>
      <w:r>
        <w:t xml:space="preserve">What’s New in Version 2.x?</w:t>
      </w:r>
    </w:p>
    <w:p>
      <w:pPr>
        <w:pStyle w:val="Compact"/>
        <w:numPr>
          <w:ilvl w:val="0"/>
          <w:numId w:val="1006"/>
        </w:numPr>
      </w:pPr>
      <w:r>
        <w:rPr>
          <w:b/>
          <w:bCs/>
        </w:rPr>
        <w:t xml:space="preserve">Unified Configuration:</w:t>
      </w:r>
      <w:r>
        <w:t xml:space="preserve"> </w:t>
      </w:r>
      <w:r>
        <w:t xml:space="preserve">Centralized</w:t>
      </w:r>
      <w:r>
        <w:t xml:space="preserve"> </w:t>
      </w:r>
      <w:r>
        <w:rPr>
          <w:rStyle w:val="VerbatimChar"/>
        </w:rPr>
        <w:t xml:space="preserve">axonasp.toml</w:t>
      </w:r>
      <w:r>
        <w:t xml:space="preserve"> </w:t>
      </w:r>
      <w:r>
        <w:t xml:space="preserve">configuration with</w:t>
      </w:r>
      <w:r>
        <w:t xml:space="preserve"> </w:t>
      </w:r>
      <w:r>
        <w:rPr>
          <w:rStyle w:val="VerbatimChar"/>
        </w:rPr>
        <w:t xml:space="preserve">.env</w:t>
      </w:r>
      <w:r>
        <w:t xml:space="preserve"> </w:t>
      </w:r>
      <w:r>
        <w:t xml:space="preserve">support via Viper. Single source of truth for all settings.</w:t>
      </w:r>
    </w:p>
    <w:p>
      <w:pPr>
        <w:pStyle w:val="Compact"/>
        <w:numPr>
          <w:ilvl w:val="0"/>
          <w:numId w:val="1006"/>
        </w:numPr>
      </w:pPr>
      <w:r>
        <w:rPr>
          <w:b/>
          <w:bCs/>
        </w:rPr>
        <w:t xml:space="preserve">FastCGI FPM:</w:t>
      </w:r>
      <w:r>
        <w:t xml:space="preserve"> </w:t>
      </w:r>
      <w:r>
        <w:t xml:space="preserve">AxonASP now supports FastCGI Process Manager (FPM) for better process management, load balancing, and performance tuning in high-traffic environments.</w:t>
      </w:r>
    </w:p>
    <w:p>
      <w:pPr>
        <w:pStyle w:val="Compact"/>
        <w:numPr>
          <w:ilvl w:val="0"/>
          <w:numId w:val="1006"/>
        </w:numPr>
      </w:pPr>
      <w:r>
        <w:rPr>
          <w:b/>
          <w:bCs/>
        </w:rPr>
        <w:t xml:space="preserve">AxonASP Configuration Manager (axonadmin):</w:t>
      </w:r>
      <w:r>
        <w:t xml:space="preserve"> </w:t>
      </w:r>
      <w:r>
        <w:t xml:space="preserve">A new command-line/Web-UI tool for managing</w:t>
      </w:r>
      <w:r>
        <w:t xml:space="preserve"> </w:t>
      </w:r>
      <w:r>
        <w:rPr>
          <w:rStyle w:val="VerbatimChar"/>
        </w:rPr>
        <w:t xml:space="preserve">axonasp.toml</w:t>
      </w:r>
      <w:r>
        <w:t xml:space="preserve"> </w:t>
      </w:r>
      <w:r>
        <w:t xml:space="preserve">and FPM pool configurations. It provides a user-friendly interface for editing, creating, and backing up configuration files, as well as starting the AxonASP server in headless or UI mode.</w:t>
      </w:r>
    </w:p>
    <w:p>
      <w:pPr>
        <w:pStyle w:val="Compact"/>
        <w:numPr>
          <w:ilvl w:val="0"/>
          <w:numId w:val="1006"/>
        </w:numPr>
      </w:pPr>
      <w:r>
        <w:rPr>
          <w:b/>
          <w:bCs/>
        </w:rPr>
        <w:t xml:space="preserve">Modern Architecture Examples:</w:t>
      </w:r>
      <w:r>
        <w:t xml:space="preserve"> </w:t>
      </w:r>
      <w:r>
        <w:t xml:space="preserve">Complete, production-ready examples for REST, RESTful, MVC, and MVVM—all written in pure ASP.</w:t>
      </w:r>
    </w:p>
    <w:p>
      <w:pPr>
        <w:pStyle w:val="Compact"/>
        <w:numPr>
          <w:ilvl w:val="0"/>
          <w:numId w:val="1006"/>
        </w:numPr>
      </w:pPr>
      <w:r>
        <w:rPr>
          <w:b/>
          <w:bCs/>
        </w:rPr>
        <w:t xml:space="preserve">Comprehensive Local Documentation:</w:t>
      </w:r>
      <w:r>
        <w:t xml:space="preserve"> </w:t>
      </w:r>
      <w:r>
        <w:t xml:space="preserve">The complete manual is built right into the repository. No need to hunt through old forums or outdated blogs. Everything you need is in</w:t>
      </w:r>
      <w:r>
        <w:t xml:space="preserve"> </w:t>
      </w:r>
      <w:r>
        <w:rPr>
          <w:rStyle w:val="VerbatimChar"/>
        </w:rPr>
        <w:t xml:space="preserve">./www/manual/md/</w:t>
      </w:r>
      <w:r>
        <w:t xml:space="preserve">.</w:t>
      </w:r>
    </w:p>
    <w:p>
      <w:pPr>
        <w:pStyle w:val="Compact"/>
        <w:numPr>
          <w:ilvl w:val="0"/>
          <w:numId w:val="1006"/>
        </w:numPr>
      </w:pPr>
      <w:r>
        <w:rPr>
          <w:b/>
          <w:bCs/>
        </w:rPr>
        <w:t xml:space="preserve">Intelligent Port Defaults:</w:t>
      </w:r>
      <w:r>
        <w:t xml:space="preserve"> </w:t>
      </w:r>
      <w:r>
        <w:t xml:space="preserve">Updated default proxy port (8801) to avoid firewall conflicts and system port contention out of the box.</w:t>
      </w:r>
    </w:p>
    <w:p>
      <w:pPr>
        <w:pStyle w:val="Compact"/>
        <w:numPr>
          <w:ilvl w:val="0"/>
          <w:numId w:val="1006"/>
        </w:numPr>
      </w:pPr>
      <w:r>
        <w:rPr>
          <w:b/>
          <w:bCs/>
        </w:rPr>
        <w:t xml:space="preserve">Native Docker Support:</w:t>
      </w:r>
      <w:r>
        <w:t xml:space="preserve"> </w:t>
      </w:r>
      <w:r>
        <w:t xml:space="preserve">Containerization with included</w:t>
      </w:r>
      <w:r>
        <w:t xml:space="preserve"> </w:t>
      </w:r>
      <w:r>
        <w:rPr>
          <w:rStyle w:val="VerbatimChar"/>
        </w:rPr>
        <w:t xml:space="preserve">Dockerfile</w:t>
      </w:r>
      <w:r>
        <w:t xml:space="preserve"> </w:t>
      </w:r>
      <w:r>
        <w:t xml:space="preserve">and</w:t>
      </w:r>
      <w:r>
        <w:t xml:space="preserve"> </w:t>
      </w:r>
      <w:r>
        <w:rPr>
          <w:rStyle w:val="VerbatimChar"/>
        </w:rPr>
        <w:t xml:space="preserve">docker-compose.yml</w:t>
      </w:r>
      <w:r>
        <w:t xml:space="preserve">. Deploy in seconds.</w:t>
      </w:r>
    </w:p>
    <w:p>
      <w:pPr>
        <w:pStyle w:val="Compact"/>
        <w:numPr>
          <w:ilvl w:val="0"/>
          <w:numId w:val="1006"/>
        </w:numPr>
      </w:pPr>
      <w:r>
        <w:rPr>
          <w:b/>
          <w:bCs/>
        </w:rPr>
        <w:t xml:space="preserve">Database Migration Tool:</w:t>
      </w:r>
      <w:r>
        <w:t xml:space="preserve"> </w:t>
      </w:r>
      <w:r>
        <w:t xml:space="preserve">Built-in converter to migrate legacy Access databases to modern formats (SQLite, MySQL, PostgreSQL, MSSQL).</w:t>
      </w:r>
    </w:p>
    <w:p>
      <w:pPr>
        <w:pStyle w:val="Compact"/>
        <w:numPr>
          <w:ilvl w:val="0"/>
          <w:numId w:val="1006"/>
        </w:numPr>
      </w:pPr>
      <w:r>
        <w:rPr>
          <w:b/>
          <w:bCs/>
        </w:rPr>
        <w:t xml:space="preserve">Enhanced Logging and Diagnostics:</w:t>
      </w:r>
      <w:r>
        <w:t xml:space="preserve"> </w:t>
      </w:r>
      <w:r>
        <w:t xml:space="preserve">Structured logging with log levels, request tracing, and performance metrics for easier debugging and monitoring in production.</w:t>
      </w:r>
    </w:p>
    <w:p>
      <w:pPr>
        <w:pStyle w:val="Compact"/>
        <w:numPr>
          <w:ilvl w:val="0"/>
          <w:numId w:val="1006"/>
        </w:numPr>
      </w:pPr>
      <w:r>
        <w:rPr>
          <w:b/>
          <w:bCs/>
        </w:rPr>
        <w:t xml:space="preserve">JavaScript (JScript) Support:</w:t>
      </w:r>
      <w:r>
        <w:t xml:space="preserve"> </w:t>
      </w:r>
      <w:r>
        <w:t xml:space="preserve">Execute ASP pages using JScript with the</w:t>
      </w:r>
      <w:r>
        <w:t xml:space="preserve"> </w:t>
      </w:r>
      <w:r>
        <w:rPr>
          <w:rStyle w:val="VerbatimChar"/>
        </w:rPr>
        <w:t xml:space="preserve">&lt;%@ Language=JScript %&gt;</w:t>
      </w:r>
      <w:r>
        <w:t xml:space="preserve"> </w:t>
      </w:r>
      <w:r>
        <w:t xml:space="preserve">directive. Full compatibility with JScript syntax and semantics.</w:t>
      </w:r>
    </w:p>
    <w:p>
      <w:r>
        <w:pict>
          <v:rect style="width:0;height:1.5pt" o:hralign="center" o:hrstd="t" o:hr="t"/>
        </w:pict>
      </w:r>
    </w:p>
    <w:bookmarkEnd w:id="18"/>
    <w:bookmarkStart w:id="26" w:name="understanding-this-manual"/>
    <w:p>
      <w:pPr>
        <w:pStyle w:val="Heading2"/>
      </w:pPr>
      <w:r>
        <w:t xml:space="preserve">Understanding This Manual</w:t>
      </w:r>
    </w:p>
    <w:p>
      <w:pPr>
        <w:pStyle w:val="FirstParagraph"/>
      </w:pPr>
      <w:r>
        <w:t xml:space="preserve">This manual is organized to help you understand AxonASP from the ground up:</w:t>
      </w:r>
    </w:p>
    <w:bookmarkStart w:id="19" w:name="section-runtime"/>
    <w:p>
      <w:pPr>
        <w:pStyle w:val="Heading3"/>
      </w:pPr>
      <w:r>
        <w:t xml:space="preserve">Section: Runtime</w:t>
      </w:r>
    </w:p>
    <w:p>
      <w:pPr>
        <w:pStyle w:val="FirstParagraph"/>
      </w:pPr>
      <w:r>
        <w:t xml:space="preserve">Covers deployment modes, internal architecture, script caching, locale support, global.asa lifecycle, web.config directives, FastCGI setup, reverse proxy configuration, running as a Linux service, installing from pre-built Linux packages (DEB, RPM, APK), the service wrapper, system and error pages, and MCP Server integration with VS Code.</w:t>
      </w:r>
    </w:p>
    <w:bookmarkEnd w:id="19"/>
    <w:bookmarkStart w:id="20" w:name="section-configuration"/>
    <w:p>
      <w:pPr>
        <w:pStyle w:val="Heading3"/>
      </w:pPr>
      <w:r>
        <w:t xml:space="preserve">Section: Configuration</w:t>
      </w:r>
    </w:p>
    <w:p>
      <w:pPr>
        <w:pStyle w:val="FirstParagraph"/>
      </w:pPr>
      <w:r>
        <w:t xml:space="preserve">Documents the</w:t>
      </w:r>
      <w:r>
        <w:t xml:space="preserve"> </w:t>
      </w:r>
      <w:r>
        <w:rPr>
          <w:rStyle w:val="VerbatimChar"/>
        </w:rPr>
        <w:t xml:space="preserve">axonasp.toml</w:t>
      </w:r>
      <w:r>
        <w:t xml:space="preserve"> </w:t>
      </w:r>
      <w:r>
        <w:t xml:space="preserve">configuration file: all available keys, default values, and explanations for each setting that controls the engine, server, sessions, caching, and logging.</w:t>
      </w:r>
    </w:p>
    <w:bookmarkEnd w:id="20"/>
    <w:bookmarkStart w:id="21" w:name="section-asp-foundations"/>
    <w:p>
      <w:pPr>
        <w:pStyle w:val="Heading3"/>
      </w:pPr>
      <w:r>
        <w:t xml:space="preserve">Section: ASP Foundations</w:t>
      </w:r>
    </w:p>
    <w:p>
      <w:pPr>
        <w:pStyle w:val="FirstParagraph"/>
      </w:pPr>
      <w:r>
        <w:t xml:space="preserve">A complete reference for Classic ASP fundamentals with VBScript and JScript guidance: the</w:t>
      </w:r>
      <w:r>
        <w:t xml:space="preserve"> </w:t>
      </w:r>
      <w:r>
        <w:rPr>
          <w:rStyle w:val="VerbatimChar"/>
        </w:rPr>
        <w:t xml:space="preserve">#include</w:t>
      </w:r>
      <w:r>
        <w:t xml:space="preserve"> </w:t>
      </w:r>
      <w:r>
        <w:t xml:space="preserve">directive, variables, procedures, conditionals, looping, syntax overview, quick reference, forms, cookies, intrinsic ASP objects (Request, Response, Server, Session, Application), ASPError, Scripting.Dictionary, JScript page directives, and global</w:t>
      </w:r>
      <w:r>
        <w:t xml:space="preserve"> </w:t>
      </w:r>
      <w:r>
        <w:rPr>
          <w:rStyle w:val="VerbatimChar"/>
        </w:rPr>
        <w:t xml:space="preserve">console</w:t>
      </w:r>
      <w:r>
        <w:t xml:space="preserve"> </w:t>
      </w:r>
      <w:r>
        <w:t xml:space="preserve">diagnostics.</w:t>
      </w:r>
    </w:p>
    <w:bookmarkEnd w:id="21"/>
    <w:bookmarkStart w:id="22" w:name="section-libraries"/>
    <w:p>
      <w:pPr>
        <w:pStyle w:val="Heading3"/>
      </w:pPr>
      <w:r>
        <w:t xml:space="preserve">Section: Libraries</w:t>
      </w:r>
    </w:p>
    <w:p>
      <w:pPr>
        <w:pStyle w:val="FirstParagraph"/>
      </w:pPr>
      <w:r>
        <w:t xml:space="preserve">Full API reference for every built-in native library and compatibility object:</w:t>
      </w:r>
    </w:p>
    <w:p>
      <w:pPr>
        <w:pStyle w:val="BodyText"/>
      </w:pPr>
      <w:r>
        <w:rPr>
          <w:b/>
          <w:bCs/>
        </w:rPr>
        <w:t xml:space="preserve">Native AxonASP Libraries</w:t>
      </w:r>
      <w:r>
        <w:t xml:space="preserve"> </w:t>
      </w:r>
      <w:r>
        <w:t xml:space="preserve">G3AXON Functions, G3CRYPTO, G3JSON, G3DB, G3HTTP, G3MAIL, G3IMAGE, G3FILES, G3TESTSUITE, G3TEMPLATE, G3ZIP, G3ZLIB, G3TAR, G3ZSTD, G3FC, G3MD, G3PDF, G3FILEUPLOADER.</w:t>
      </w:r>
    </w:p>
    <w:p>
      <w:pPr>
        <w:pStyle w:val="BodyText"/>
      </w:pPr>
      <w:r>
        <w:rPr>
          <w:b/>
          <w:bCs/>
        </w:rPr>
        <w:t xml:space="preserve">Compatibility Objects</w:t>
      </w:r>
      <w:r>
        <w:t xml:space="preserve"> </w:t>
      </w:r>
      <w:r>
        <w:t xml:space="preserve">WScript.Shell, ADOX.Catalog, MSWC Components (AdRotator, NextLink, ContentRotator, Counters, Tools, PageCounter, BrowserType, PermissionChecker, MyInfo), ADODB Family (Connection, Recordset, Command, Fields, Parameters, Errors), ADODB.Stream, Scripting.Dictionary, Scripting.FileSystemObject, VBScript.RegExp, MSXML2 Family (ServerXMLHTTP, DOMDocument, XMLNodeList, XMLElement).</w:t>
      </w:r>
    </w:p>
    <w:bookmarkEnd w:id="22"/>
    <w:bookmarkStart w:id="23" w:name="section-examples"/>
    <w:p>
      <w:pPr>
        <w:pStyle w:val="Heading3"/>
      </w:pPr>
      <w:r>
        <w:t xml:space="preserve">Section: Examples</w:t>
      </w:r>
    </w:p>
    <w:p>
      <w:pPr>
        <w:pStyle w:val="FirstParagraph"/>
      </w:pPr>
      <w:r>
        <w:t xml:space="preserve">Working code demonstrating architectural patterns, library usage, and best practices for Classic ASP applications built on AxonASP.</w:t>
      </w:r>
    </w:p>
    <w:bookmarkEnd w:id="23"/>
    <w:bookmarkStart w:id="24" w:name="section-tools"/>
    <w:p>
      <w:pPr>
        <w:pStyle w:val="Heading3"/>
      </w:pPr>
      <w:r>
        <w:t xml:space="preserve">Section: Tools</w:t>
      </w:r>
    </w:p>
    <w:p>
      <w:pPr>
        <w:pStyle w:val="FirstParagraph"/>
      </w:pPr>
      <w:r>
        <w:t xml:space="preserve">Documentation for the built-in database migration tool, which converts legacy Access databases to modern formats including SQLite, MySQL, PostgreSQL, and MSSQL.</w:t>
      </w:r>
    </w:p>
    <w:bookmarkEnd w:id="24"/>
    <w:bookmarkStart w:id="25" w:name="section-authoring"/>
    <w:p>
      <w:pPr>
        <w:pStyle w:val="Heading3"/>
      </w:pPr>
      <w:r>
        <w:t xml:space="preserve">Section: Authoring</w:t>
      </w:r>
    </w:p>
    <w:p>
      <w:pPr>
        <w:pStyle w:val="FirstParagraph"/>
      </w:pPr>
      <w:r>
        <w:t xml:space="preserve">Guidelines for writing manual pages and for programming Classic ASP with LLMs. Read these before contributing documentation.</w:t>
      </w:r>
    </w:p>
    <w:p>
      <w:r>
        <w:pict>
          <v:rect style="width:0;height:1.5pt" o:hralign="center" o:hrstd="t" o:hr="t"/>
        </w:pict>
      </w:r>
    </w:p>
    <w:bookmarkEnd w:id="25"/>
    <w:bookmarkEnd w:id="26"/>
    <w:bookmarkStart w:id="27" w:name="key-capabilities-at-a-glance"/>
    <w:p>
      <w:pPr>
        <w:pStyle w:val="Heading2"/>
      </w:pPr>
      <w:r>
        <w:t xml:space="preserve">Key Capabilities at a Glance</w:t>
      </w:r>
    </w:p>
    <w:p>
      <w:pPr>
        <w:pStyle w:val="FirstParagraph"/>
      </w:pPr>
      <w:r>
        <w:rPr>
          <w:b/>
          <w:bCs/>
        </w:rPr>
        <w:t xml:space="preserve">Server-Side Power:</w:t>
      </w:r>
      <w:r>
        <w:t xml:space="preserve"> </w:t>
      </w:r>
      <w:r>
        <w:t xml:space="preserve">- Classic ASP page execution with high compatibility for legacy behavior</w:t>
      </w:r>
      <w:r>
        <w:t xml:space="preserve"> </w:t>
      </w:r>
      <w:r>
        <w:t xml:space="preserve">- VBScript with standard functions and operators</w:t>
      </w:r>
      <w:r>
        <w:t xml:space="preserve"> </w:t>
      </w:r>
      <w:r>
        <w:t xml:space="preserve">- JavaScript/JScript support for ASP pages using</w:t>
      </w:r>
      <w:r>
        <w:t xml:space="preserve"> </w:t>
      </w:r>
      <w:r>
        <w:rPr>
          <w:rStyle w:val="VerbatimChar"/>
        </w:rPr>
        <w:t xml:space="preserve">&lt;%@Language=JScript%&gt;</w:t>
      </w:r>
      <w:r>
        <w:t xml:space="preserve"> </w:t>
      </w:r>
      <w:r>
        <w:t xml:space="preserve">or</w:t>
      </w:r>
      <w:r>
        <w:t xml:space="preserve"> </w:t>
      </w:r>
      <w:r>
        <w:rPr>
          <w:rStyle w:val="VerbatimChar"/>
        </w:rPr>
        <w:t xml:space="preserve">&lt;%@Language=JavaScript%&gt;</w:t>
      </w:r>
      <w:r>
        <w:t xml:space="preserve"> </w:t>
      </w:r>
      <w:r>
        <w:t xml:space="preserve">directives</w:t>
      </w:r>
      <w:r>
        <w:t xml:space="preserve"> </w:t>
      </w:r>
      <w:r>
        <w:t xml:space="preserve">- Full intrinsic object support (Request, Response, Server, Session, Application)</w:t>
      </w:r>
      <w:r>
        <w:t xml:space="preserve"> </w:t>
      </w:r>
      <w:r>
        <w:t xml:space="preserve">- Advanced error handling with line-level debugging</w:t>
      </w:r>
    </w:p>
    <w:p>
      <w:pPr>
        <w:pStyle w:val="BodyText"/>
      </w:pPr>
      <w:r>
        <w:rPr>
          <w:b/>
          <w:bCs/>
        </w:rPr>
        <w:t xml:space="preserve">Native Libraries (Zero-Overhead):</w:t>
      </w:r>
      <w:r>
        <w:t xml:space="preserve"> </w:t>
      </w:r>
      <w:r>
        <w:t xml:space="preserve">G3JSON, G3DB, G3HTTP, G3Mail, G3Image, G3Crypto, G3Zip, G3TAR, G3ZSTD, G3ZLIB, G3Template, G3PDF, G3MD, G3FC, G3FileUploader, and G3TestSuite.</w:t>
      </w:r>
    </w:p>
    <w:p>
      <w:pPr>
        <w:pStyle w:val="BodyText"/>
      </w:pPr>
      <w:r>
        <w:rPr>
          <w:b/>
          <w:bCs/>
        </w:rPr>
        <w:t xml:space="preserve">Compatibility Objects:</w:t>
      </w:r>
      <w:r>
        <w:t xml:space="preserve"> </w:t>
      </w:r>
      <w:r>
        <w:t xml:space="preserve">ADODB (with real database backends), MSXML, Scripting.FileSystemObject, Scripting.Dictionary, WScript.Shell, VBScript.RegExp, and MSWC components.</w:t>
      </w:r>
    </w:p>
    <w:p>
      <w:pPr>
        <w:pStyle w:val="BodyText"/>
      </w:pPr>
      <w:r>
        <w:rPr>
          <w:b/>
          <w:bCs/>
        </w:rPr>
        <w:t xml:space="preserve">Production Ready:</w:t>
      </w:r>
      <w:r>
        <w:t xml:space="preserve"> </w:t>
      </w:r>
      <w:r>
        <w:t xml:space="preserve">Reverse proxy mode, FastCGI integration, command-line execution, automated testing, MCP for AI agents, comprehensive logging, and performance monitoring.</w:t>
      </w:r>
    </w:p>
    <w:p>
      <w:r>
        <w:pict>
          <v:rect style="width:0;height:1.5pt" o:hralign="center" o:hrstd="t" o:hr="t"/>
        </w:pict>
      </w:r>
    </w:p>
    <w:bookmarkEnd w:id="27"/>
    <w:bookmarkStart w:id="28" w:name="getting-started"/>
    <w:p>
      <w:pPr>
        <w:pStyle w:val="Heading2"/>
      </w:pPr>
      <w:r>
        <w:t xml:space="preserve">Getting Started</w:t>
      </w:r>
    </w:p>
    <w:p>
      <w:pPr>
        <w:pStyle w:val="FirstParagraph"/>
      </w:pPr>
      <w:r>
        <w:t xml:space="preserve">To begin working with AxonASP, start by reading about the runtime architecture and deployment options. Then select the deployment model that fits your infrastructure, configure your environment, and deploy your applications with confidence.</w:t>
      </w:r>
    </w:p>
    <w:p>
      <w:pPr>
        <w:pStyle w:val="BodyText"/>
      </w:pPr>
      <w:r>
        <w:t xml:space="preserve">For detailed API reference on any library or object, consult the menu on the left or use</w:t>
      </w:r>
      <w:r>
        <w:t xml:space="preserve"> </w:t>
      </w:r>
      <w:r>
        <w:rPr>
          <w:rStyle w:val="VerbatimChar"/>
        </w:rPr>
        <w:t xml:space="preserve">./www/manual/menu.md</w:t>
      </w:r>
      <w:r>
        <w:t xml:space="preserve"> </w:t>
      </w:r>
      <w:r>
        <w:t xml:space="preserve">for a complete navigational structure.</w:t>
      </w:r>
    </w:p>
    <w:p>
      <w:r>
        <w:pict>
          <v:rect style="width:0;height:1.5pt" o:hralign="center" o:hrstd="t" o:hr="t"/>
        </w:pict>
      </w:r>
    </w:p>
    <w:bookmarkEnd w:id="28"/>
    <w:bookmarkStart w:id="29" w:name="a-word-about-version-1.0"/>
    <w:p>
      <w:pPr>
        <w:pStyle w:val="Heading2"/>
      </w:pPr>
      <w:r>
        <w:t xml:space="preserve">A Word About Version 1.0</w:t>
      </w:r>
    </w:p>
    <w:p>
      <w:pPr>
        <w:pStyle w:val="FirstParagraph"/>
      </w:pPr>
      <w:r>
        <w:t xml:space="preserve">Version 1.0 of AxonASP is completely deprecated and incompatible with Version &gt;2.0. We made deliberate architectural decisions to deliver superior performance, maintainability, and feature parity with modern requirements. The investment in rewriting the engine from the ground up pays dividends in speed, reliability, and joy of development.</w:t>
      </w:r>
    </w:p>
    <w:p>
      <w:pPr>
        <w:pStyle w:val="BodyText"/>
      </w:pPr>
      <w:r>
        <w:t xml:space="preserve">If you’re upgrading from Version 1.0, your AxonASP code and configuration</w:t>
      </w:r>
      <w:r>
        <w:t xml:space="preserve"> </w:t>
      </w:r>
      <w:r>
        <w:rPr>
          <w:i/>
          <w:iCs/>
        </w:rPr>
        <w:t xml:space="preserve">will require migration</w:t>
      </w:r>
      <w:r>
        <w:t xml:space="preserve">. It’s worth the effort—the improvements are transformational.</w:t>
      </w:r>
    </w:p>
    <w:p>
      <w:r>
        <w:pict>
          <v:rect style="width:0;height:1.5pt" o:hralign="center" o:hrstd="t" o:hr="t"/>
        </w:pict>
      </w:r>
    </w:p>
    <w:bookmarkEnd w:id="29"/>
    <w:bookmarkStart w:id="30" w:name="questions-ready-to-deploy"/>
    <w:p>
      <w:pPr>
        <w:pStyle w:val="Heading2"/>
      </w:pPr>
      <w:r>
        <w:t xml:space="preserve">Questions? Ready to Deploy?</w:t>
      </w:r>
    </w:p>
    <w:p>
      <w:pPr>
        <w:pStyle w:val="FirstParagraph"/>
      </w:pPr>
      <w:r>
        <w:t xml:space="preserve">This manual contains everything you need to understand, configure, and deploy AxonASP. Each section builds on prior knowledge, so start at the beginning if you’re new, or jump directly to specific topics you need to solve.</w:t>
      </w:r>
    </w:p>
    <w:p>
      <w:pPr>
        <w:pStyle w:val="BodyText"/>
      </w:pPr>
      <w:r>
        <w:t xml:space="preserve">Your Classic ASP applications—and your team—are about to experience what the platform can truly do.</w:t>
      </w:r>
    </w:p>
    <w:bookmarkEnd w:id="30"/>
    <w:bookmarkEnd w:id="31"/>
    <w:bookmarkStart w:id="32" w:name="runtime"/>
    <w:p>
      <w:pPr>
        <w:pStyle w:val="Heading1"/>
      </w:pPr>
      <w:r>
        <w:t xml:space="preserve">Runtime</w:t>
      </w:r>
    </w:p>
    <w:bookmarkEnd w:id="32"/>
    <w:bookmarkStart w:id="46" w:name="Xfa00242e1f7bc5c7449808daa519ecd243ac4ce"/>
    <w:p>
      <w:pPr>
        <w:pStyle w:val="Heading1"/>
      </w:pPr>
      <w:r>
        <w:t xml:space="preserve">Migrating from IIS &amp; Classic ASP to AxonASP: A Deep Architectural Guide</w:t>
      </w:r>
    </w:p>
    <w:bookmarkStart w:id="33" w:name="overview"/>
    <w:p>
      <w:pPr>
        <w:pStyle w:val="Heading2"/>
      </w:pPr>
      <w:r>
        <w:t xml:space="preserve">Overview</w:t>
      </w:r>
    </w:p>
    <w:p>
      <w:pPr>
        <w:pStyle w:val="FirstParagraph"/>
      </w:pPr>
      <w:r>
        <w:t xml:space="preserve">Migrating from a legacy Windows Server / IIS environment to AxonASP represents a fundamental paradigm shift in how your Classic ASP applications are hosted, executed, and scaled.</w:t>
      </w:r>
    </w:p>
    <w:p>
      <w:pPr>
        <w:pStyle w:val="BodyText"/>
      </w:pPr>
      <w:r>
        <w:t xml:space="preserve">Historically, Classic ASP was deeply coupled with the Windows OS. It ran as an ISAPI extension (</w:t>
      </w:r>
      <w:r>
        <w:rPr>
          <w:rStyle w:val="VerbatimChar"/>
        </w:rPr>
        <w:t xml:space="preserve">asp.dll</w:t>
      </w:r>
      <w:r>
        <w:t xml:space="preserve">) loaded directly into the IIS worker process (</w:t>
      </w:r>
      <w:r>
        <w:rPr>
          <w:rStyle w:val="VerbatimChar"/>
        </w:rPr>
        <w:t xml:space="preserve">w3wp.exe</w:t>
      </w:r>
      <w:r>
        <w:t xml:space="preserve">). AxonASP completely severs this dependency. It operates on a modern, application-centric architecture—structurally identical to how modern</w:t>
      </w:r>
      <w:r>
        <w:t xml:space="preserve"> </w:t>
      </w:r>
      <w:r>
        <w:rPr>
          <w:b/>
          <w:bCs/>
        </w:rPr>
        <w:t xml:space="preserve">.NET Core</w:t>
      </w:r>
      <w:r>
        <w:t xml:space="preserve">,</w:t>
      </w:r>
      <w:r>
        <w:t xml:space="preserve"> </w:t>
      </w:r>
      <w:r>
        <w:rPr>
          <w:b/>
          <w:bCs/>
        </w:rPr>
        <w:t xml:space="preserve">Node.js</w:t>
      </w:r>
      <w:r>
        <w:t xml:space="preserve">, or</w:t>
      </w:r>
      <w:r>
        <w:t xml:space="preserve"> </w:t>
      </w:r>
      <w:r>
        <w:rPr>
          <w:b/>
          <w:bCs/>
        </w:rPr>
        <w:t xml:space="preserve">Docker</w:t>
      </w:r>
      <w:r>
        <w:t xml:space="preserve"> </w:t>
      </w:r>
      <w:r>
        <w:t xml:space="preserve">applications are deployed.</w:t>
      </w:r>
    </w:p>
    <w:p>
      <w:pPr>
        <w:pStyle w:val="BodyText"/>
      </w:pPr>
      <w:r>
        <w:t xml:space="preserve">This guide provides a deep technical breakdown of the AxonASP architecture, specifically addressing concerns regarding multi-site hosting, port management, Application Pool isolation, SSL/TLS handling, and the shift away from legacy Windows COM objects.</w:t>
      </w:r>
    </w:p>
    <w:p>
      <w:r>
        <w:pict>
          <v:rect style="width:0;height:1.5pt" o:hralign="center" o:hrstd="t" o:hr="t"/>
        </w:pict>
      </w:r>
    </w:p>
    <w:bookmarkEnd w:id="33"/>
    <w:bookmarkStart w:id="35" w:name="the-app-centric-execution-model"/>
    <w:p>
      <w:pPr>
        <w:pStyle w:val="Heading2"/>
      </w:pPr>
      <w:r>
        <w:t xml:space="preserve">The App-Centric Execution Model</w:t>
      </w:r>
    </w:p>
    <w:p>
      <w:pPr>
        <w:pStyle w:val="FirstParagraph"/>
      </w:pPr>
      <w:r>
        <w:t xml:space="preserve">Because AxonASP is a cross-platform, standalone executable written in Go, it cannot be loaded as a legacy DLL. Furthermore, the native IIS implementation of FastCGI relies on Windows named pipes, which are incompatible with standard FastCGI TCP protocols. Therefore, AxonASP scripts</w:t>
      </w:r>
      <w:r>
        <w:t xml:space="preserve"> </w:t>
      </w:r>
      <w:r>
        <w:rPr>
          <w:b/>
          <w:bCs/>
        </w:rPr>
        <w:t xml:space="preserve">do not run as an integrated module within IIS</w:t>
      </w:r>
      <w:r>
        <w:t xml:space="preserve">.</w:t>
      </w:r>
    </w:p>
    <w:p>
      <w:pPr>
        <w:pStyle w:val="BodyText"/>
      </w:pPr>
      <w:r>
        <w:t xml:space="preserve">Instead, you must provision an isolated, local server instance of AxonASP for each individual application.</w:t>
      </w:r>
    </w:p>
    <w:bookmarkStart w:id="34" w:name="the-golden-rule-of-deployment"/>
    <w:p>
      <w:pPr>
        <w:pStyle w:val="Heading3"/>
      </w:pPr>
      <w:r>
        <w:t xml:space="preserve">The Golden Rule of Deployment</w:t>
      </w:r>
    </w:p>
    <w:p>
      <w:pPr>
        <w:pStyle w:val="FirstParagraph"/>
      </w:pPr>
      <w:r>
        <w:rPr>
          <w:b/>
          <w:bCs/>
        </w:rPr>
        <w:t xml:space="preserve">AxonASP must never be exposed directly to the public web.</w:t>
      </w:r>
      <w:r>
        <w:t xml:space="preserve"> </w:t>
      </w:r>
      <w:r>
        <w:t xml:space="preserve">It is a pure ASP execution engine. It intentionally lacks TLS/SSL termination, deep packet inspection, and DDoS mitigation.</w:t>
      </w:r>
    </w:p>
    <w:p>
      <w:pPr>
        <w:pStyle w:val="BodyText"/>
      </w:pPr>
      <w:r>
        <w:t xml:space="preserve">Your front-end web server (IIS, Nginx, or Caddy) must remain the public-facing gateway. Its job is to manage the public network layers and securely reverse-proxy dynamic ASP requests to the local AxonASP instances running safely behind the firewall.</w:t>
      </w:r>
    </w:p>
    <w:p>
      <w:r>
        <w:pict>
          <v:rect style="width:0;height:1.5pt" o:hralign="center" o:hrstd="t" o:hr="t"/>
        </w:pict>
      </w:r>
    </w:p>
    <w:bookmarkEnd w:id="34"/>
    <w:bookmarkEnd w:id="35"/>
    <w:bookmarkStart w:id="38" w:name="X184e25f146edf5029091bd4931f6c2adc17c9aa"/>
    <w:p>
      <w:pPr>
        <w:pStyle w:val="Heading2"/>
      </w:pPr>
      <w:r>
        <w:t xml:space="preserve">Architectural Deep Dive: Hosting Dozens of Sites on One Server</w:t>
      </w:r>
    </w:p>
    <w:p>
      <w:pPr>
        <w:pStyle w:val="FirstParagraph"/>
      </w:pPr>
      <w:r>
        <w:t xml:space="preserve">For server administrators accustomed to IIS managing everything seamlessly, a common point of confusion is how to host 50 different websites on standard web ports (80 and 443) and manage FTP access (port 21) if AxonASP requires its own standalone server process.</w:t>
      </w:r>
    </w:p>
    <w:bookmarkStart w:id="36" w:name="port-routing-and-the-reverse-proxy"/>
    <w:p>
      <w:pPr>
        <w:pStyle w:val="Heading3"/>
      </w:pPr>
      <w:r>
        <w:t xml:space="preserve">1. Port Routing and the Reverse Proxy</w:t>
      </w:r>
    </w:p>
    <w:p>
      <w:pPr>
        <w:pStyle w:val="FirstParagraph"/>
      </w:pPr>
      <w:r>
        <w:t xml:space="preserve">In a multi-site AxonASP architecture, IIS continues to bind exclusively to your public IP addresses on ports 80 and 443. AxonASP</w:t>
      </w:r>
      <w:r>
        <w:t xml:space="preserve"> </w:t>
      </w:r>
      <w:r>
        <w:rPr>
          <w:b/>
          <w:bCs/>
        </w:rPr>
        <w:t xml:space="preserve">never</w:t>
      </w:r>
      <w:r>
        <w:t xml:space="preserve"> </w:t>
      </w:r>
      <w:r>
        <w:t xml:space="preserve">touches these ports.</w:t>
      </w:r>
    </w:p>
    <w:p>
      <w:pPr>
        <w:pStyle w:val="BodyText"/>
      </w:pPr>
      <w:r>
        <w:t xml:space="preserve">Instead, each website is assigned its own private internal port (e.g.,</w:t>
      </w:r>
      <w:r>
        <w:t xml:space="preserve"> </w:t>
      </w:r>
      <w:r>
        <w:rPr>
          <w:rStyle w:val="VerbatimChar"/>
        </w:rPr>
        <w:t xml:space="preserve">8801</w:t>
      </w:r>
      <w:r>
        <w:t xml:space="preserve">,</w:t>
      </w:r>
      <w:r>
        <w:t xml:space="preserve"> </w:t>
      </w:r>
      <w:r>
        <w:rPr>
          <w:rStyle w:val="VerbatimChar"/>
        </w:rPr>
        <w:t xml:space="preserve">8802</w:t>
      </w:r>
      <w:r>
        <w:t xml:space="preserve">,</w:t>
      </w:r>
      <w:r>
        <w:t xml:space="preserve"> </w:t>
      </w:r>
      <w:r>
        <w:rPr>
          <w:rStyle w:val="VerbatimChar"/>
        </w:rPr>
        <w:t xml:space="preserve">8803</w:t>
      </w:r>
      <w:r>
        <w:t xml:space="preserve">) bound exclusively to the</w:t>
      </w:r>
      <w:r>
        <w:t xml:space="preserve"> </w:t>
      </w:r>
      <w:r>
        <w:rPr>
          <w:rStyle w:val="VerbatimChar"/>
        </w:rPr>
        <w:t xml:space="preserve">localhost</w:t>
      </w:r>
      <w:r>
        <w:t xml:space="preserve"> </w:t>
      </w:r>
      <w:r>
        <w:t xml:space="preserve">loopback interface.</w:t>
      </w:r>
    </w:p>
    <w:p>
      <w:pPr>
        <w:pStyle w:val="BodyText"/>
      </w:pPr>
      <w:r>
        <w:t xml:space="preserve">When a request arrives at</w:t>
      </w:r>
      <w:r>
        <w:t xml:space="preserve"> </w:t>
      </w:r>
      <w:r>
        <w:rPr>
          <w:rStyle w:val="VerbatimChar"/>
        </w:rPr>
        <w:t xml:space="preserve">[https://www.client-site.com/index.asp](https://www.client-site.com/index.asp)</w:t>
      </w:r>
      <w:r>
        <w:t xml:space="preserve">:</w:t>
      </w:r>
    </w:p>
    <w:p>
      <w:pPr>
        <w:pStyle w:val="Compact"/>
        <w:numPr>
          <w:ilvl w:val="0"/>
          <w:numId w:val="1007"/>
        </w:numPr>
      </w:pPr>
      <w:r>
        <w:t xml:space="preserve">IIS receives the request on port 443.</w:t>
      </w:r>
    </w:p>
    <w:p>
      <w:pPr>
        <w:pStyle w:val="Compact"/>
        <w:numPr>
          <w:ilvl w:val="0"/>
          <w:numId w:val="1007"/>
        </w:numPr>
      </w:pPr>
      <w:r>
        <w:t xml:space="preserve">IIS matches the host header (</w:t>
      </w:r>
      <w:r>
        <w:rPr>
          <w:rStyle w:val="VerbatimChar"/>
        </w:rPr>
        <w:t xml:space="preserve">[www.client-site.com](https://www.client-site.com)</w:t>
      </w:r>
      <w:r>
        <w:t xml:space="preserve">).</w:t>
      </w:r>
    </w:p>
    <w:p>
      <w:pPr>
        <w:pStyle w:val="Compact"/>
        <w:numPr>
          <w:ilvl w:val="0"/>
          <w:numId w:val="1007"/>
        </w:numPr>
      </w:pPr>
      <w:r>
        <w:t xml:space="preserve">Using the</w:t>
      </w:r>
      <w:r>
        <w:t xml:space="preserve"> </w:t>
      </w:r>
      <w:r>
        <w:rPr>
          <w:b/>
          <w:bCs/>
        </w:rPr>
        <w:t xml:space="preserve">HttpPlatformHandler</w:t>
      </w:r>
      <w:r>
        <w:t xml:space="preserve">, IIS acts as a reverse proxy, forwarding the raw HTTP request internally to</w:t>
      </w:r>
      <w:r>
        <w:t xml:space="preserve"> </w:t>
      </w:r>
      <w:r>
        <w:rPr>
          <w:rStyle w:val="VerbatimChar"/>
        </w:rPr>
        <w:t xml:space="preserve">http://localhost:8801</w:t>
      </w:r>
      <w:r>
        <w:t xml:space="preserve"> </w:t>
      </w:r>
      <w:r>
        <w:t xml:space="preserve">(the AxonASP process dedicated to that specific site).</w:t>
      </w:r>
    </w:p>
    <w:p>
      <w:pPr>
        <w:pStyle w:val="Compact"/>
        <w:numPr>
          <w:ilvl w:val="0"/>
          <w:numId w:val="1007"/>
        </w:numPr>
      </w:pPr>
      <w:r>
        <w:t xml:space="preserve">AxonASP compiles and executes the VBScript/JScript, generates the HTML, and hands the response back to IIS.</w:t>
      </w:r>
    </w:p>
    <w:p>
      <w:pPr>
        <w:pStyle w:val="Compact"/>
        <w:numPr>
          <w:ilvl w:val="0"/>
          <w:numId w:val="1007"/>
        </w:numPr>
      </w:pPr>
      <w:r>
        <w:t xml:space="preserve">IIS returns the payload to the user over the encrypted TLS connection.</w:t>
      </w:r>
    </w:p>
    <w:bookmarkEnd w:id="36"/>
    <w:bookmarkStart w:id="37" w:name="static-assets-ftp-and-ssl-certificates"/>
    <w:p>
      <w:pPr>
        <w:pStyle w:val="Heading3"/>
      </w:pPr>
      <w:r>
        <w:t xml:space="preserve">2. Static Assets, FTP, and SSL Certificates</w:t>
      </w:r>
    </w:p>
    <w:p>
      <w:pPr>
        <w:pStyle w:val="FirstParagraph"/>
      </w:pPr>
      <w:r>
        <w:t xml:space="preserve">Because IIS acts as the master gateway, your surrounding infrastructure remains largely unchanged:</w:t>
      </w:r>
    </w:p>
    <w:p>
      <w:pPr>
        <w:pStyle w:val="Compact"/>
        <w:numPr>
          <w:ilvl w:val="0"/>
          <w:numId w:val="1008"/>
        </w:numPr>
      </w:pPr>
      <w:r>
        <w:rPr>
          <w:b/>
          <w:bCs/>
        </w:rPr>
        <w:t xml:space="preserve">FTP Access (Port 21):</w:t>
      </w:r>
      <w:r>
        <w:t xml:space="preserve"> </w:t>
      </w:r>
      <w:r>
        <w:t xml:space="preserve">FTP remains entirely governed by IIS or your dedicated FTP server. AxonASP is completely unaware of FTP. Users continue to authenticate and upload files to their designated physical paths (e.g.,</w:t>
      </w:r>
      <w:r>
        <w:t xml:space="preserve"> </w:t>
      </w:r>
      <w:r>
        <w:rPr>
          <w:rStyle w:val="VerbatimChar"/>
        </w:rPr>
        <w:t xml:space="preserve">C:\inetpub\wwwroot\client-site\</w:t>
      </w:r>
      <w:r>
        <w:t xml:space="preserve">).</w:t>
      </w:r>
    </w:p>
    <w:p>
      <w:pPr>
        <w:pStyle w:val="Compact"/>
        <w:numPr>
          <w:ilvl w:val="0"/>
          <w:numId w:val="1008"/>
        </w:numPr>
      </w:pPr>
      <w:r>
        <w:rPr>
          <w:b/>
          <w:bCs/>
        </w:rPr>
        <w:t xml:space="preserve">TLS/SSL Certificates:</w:t>
      </w:r>
      <w:r>
        <w:t xml:space="preserve"> </w:t>
      </w:r>
      <w:r>
        <w:t xml:space="preserve">You do not install certificates into AxonASP. Certificate binding, renewal (e.g., Let’s Encrypt / Win-ACME), and TLS handshake negotiation are handled exclusively by IIS.</w:t>
      </w:r>
    </w:p>
    <w:p>
      <w:pPr>
        <w:pStyle w:val="Compact"/>
        <w:numPr>
          <w:ilvl w:val="0"/>
          <w:numId w:val="1008"/>
        </w:numPr>
      </w:pPr>
      <w:r>
        <w:rPr>
          <w:b/>
          <w:bCs/>
        </w:rPr>
        <w:t xml:space="preserve">Static File Delivery:</w:t>
      </w:r>
      <w:r>
        <w:t xml:space="preserve"> </w:t>
      </w:r>
      <w:r>
        <w:t xml:space="preserve">While AxonASP can serve static files, it is architecturally inefficient to do so. Configure IIS to immediately serve</w:t>
      </w:r>
      <w:r>
        <w:t xml:space="preserve"> </w:t>
      </w:r>
      <w:r>
        <w:rPr>
          <w:rStyle w:val="VerbatimChar"/>
        </w:rPr>
        <w:t xml:space="preserve">.jpg</w:t>
      </w:r>
      <w:r>
        <w:t xml:space="preserve">,</w:t>
      </w:r>
      <w:r>
        <w:t xml:space="preserve"> </w:t>
      </w:r>
      <w:r>
        <w:rPr>
          <w:rStyle w:val="VerbatimChar"/>
        </w:rPr>
        <w:t xml:space="preserve">.css</w:t>
      </w:r>
      <w:r>
        <w:t xml:space="preserve">,</w:t>
      </w:r>
      <w:r>
        <w:t xml:space="preserve"> </w:t>
      </w:r>
      <w:r>
        <w:rPr>
          <w:rStyle w:val="VerbatimChar"/>
        </w:rPr>
        <w:t xml:space="preserve">.js</w:t>
      </w:r>
      <w:r>
        <w:t xml:space="preserve">, and</w:t>
      </w:r>
      <w:r>
        <w:t xml:space="preserve"> </w:t>
      </w:r>
      <w:r>
        <w:rPr>
          <w:rStyle w:val="VerbatimChar"/>
        </w:rPr>
        <w:t xml:space="preserve">.html</w:t>
      </w:r>
      <w:r>
        <w:t xml:space="preserve"> </w:t>
      </w:r>
      <w:r>
        <w:t xml:space="preserve">files directly from the disk. Only requests ending in</w:t>
      </w:r>
      <w:r>
        <w:t xml:space="preserve"> </w:t>
      </w:r>
      <w:r>
        <w:rPr>
          <w:rStyle w:val="VerbatimChar"/>
        </w:rPr>
        <w:t xml:space="preserve">.asp</w:t>
      </w:r>
      <w:r>
        <w:t xml:space="preserve"> </w:t>
      </w:r>
      <w:r>
        <w:t xml:space="preserve">(or extensionless routes) should be proxied to AxonASP.</w:t>
      </w:r>
    </w:p>
    <w:p>
      <w:r>
        <w:pict>
          <v:rect style="width:0;height:1.5pt" o:hralign="center" o:hrstd="t" o:hr="t"/>
        </w:pict>
      </w:r>
    </w:p>
    <w:bookmarkEnd w:id="37"/>
    <w:bookmarkEnd w:id="38"/>
    <w:bookmarkStart w:id="39" w:name="Xb2f8ca212c6b8404f7a6c89ac4b1cdd3b0e887e"/>
    <w:p>
      <w:pPr>
        <w:pStyle w:val="Heading2"/>
      </w:pPr>
      <w:r>
        <w:t xml:space="preserve">Process Isolation vs. IIS Application Pools</w:t>
      </w:r>
    </w:p>
    <w:p>
      <w:pPr>
        <w:pStyle w:val="FirstParagraph"/>
      </w:pPr>
      <w:r>
        <w:t xml:space="preserve">In traditional IIS environments, site isolation is managed via Application Pools. These pools use Windows User Accounts (e.g.,</w:t>
      </w:r>
      <w:r>
        <w:t xml:space="preserve"> </w:t>
      </w:r>
      <w:r>
        <w:rPr>
          <w:rStyle w:val="VerbatimChar"/>
        </w:rPr>
        <w:t xml:space="preserve">IIS_IUSRS</w:t>
      </w:r>
      <w:r>
        <w:t xml:space="preserve"> </w:t>
      </w:r>
      <w:r>
        <w:t xml:space="preserve">or</w:t>
      </w:r>
      <w:r>
        <w:t xml:space="preserve"> </w:t>
      </w:r>
      <w:r>
        <w:rPr>
          <w:rStyle w:val="VerbatimChar"/>
        </w:rPr>
        <w:t xml:space="preserve">ApplicationPoolIdentity</w:t>
      </w:r>
      <w:r>
        <w:t xml:space="preserve">) to restrict folder access and isolate worker processes (</w:t>
      </w:r>
      <w:r>
        <w:rPr>
          <w:rStyle w:val="VerbatimChar"/>
        </w:rPr>
        <w:t xml:space="preserve">w3wp.exe</w:t>
      </w:r>
      <w:r>
        <w:t xml:space="preserve">).</w:t>
      </w:r>
    </w:p>
    <w:p>
      <w:pPr>
        <w:pStyle w:val="BodyText"/>
      </w:pPr>
      <w:r>
        <w:t xml:space="preserve">AxonASP achieves isolation through</w:t>
      </w:r>
      <w:r>
        <w:t xml:space="preserve"> </w:t>
      </w:r>
      <w:r>
        <w:rPr>
          <w:b/>
          <w:bCs/>
        </w:rPr>
        <w:t xml:space="preserve">strict process-level boundaries</w:t>
      </w:r>
      <w:r>
        <w:t xml:space="preserve">.</w:t>
      </w:r>
    </w:p>
    <w:p>
      <w:pPr>
        <w:pStyle w:val="Compact"/>
        <w:numPr>
          <w:ilvl w:val="0"/>
          <w:numId w:val="1009"/>
        </w:numPr>
      </w:pPr>
      <w:r>
        <w:rPr>
          <w:b/>
          <w:bCs/>
        </w:rPr>
        <w:t xml:space="preserve">Shared-Nothing Architecture:</w:t>
      </w:r>
      <w:r>
        <w:t xml:space="preserve"> </w:t>
      </w:r>
      <w:r>
        <w:t xml:space="preserve">Every application runs its own distinct instance of</w:t>
      </w:r>
      <w:r>
        <w:t xml:space="preserve"> </w:t>
      </w:r>
      <w:r>
        <w:rPr>
          <w:rStyle w:val="VerbatimChar"/>
        </w:rPr>
        <w:t xml:space="preserve">axonasp-http.exe</w:t>
      </w:r>
      <w:r>
        <w:t xml:space="preserve">. If Site A writes infinite loops and exhausts its memory, the process may crash, but Site B, running in a completely separate OS process, remains 100% unaffected.</w:t>
      </w:r>
    </w:p>
    <w:p>
      <w:pPr>
        <w:pStyle w:val="Compact"/>
        <w:numPr>
          <w:ilvl w:val="0"/>
          <w:numId w:val="1009"/>
        </w:numPr>
      </w:pPr>
      <w:r>
        <w:rPr>
          <w:b/>
          <w:bCs/>
        </w:rPr>
        <w:t xml:space="preserve">State Management:</w:t>
      </w:r>
      <w:r>
        <w:t xml:space="preserve"> </w:t>
      </w:r>
      <w:r>
        <w:t xml:space="preserve">Classic ASP</w:t>
      </w:r>
      <w:r>
        <w:t xml:space="preserve"> </w:t>
      </w:r>
      <w:r>
        <w:rPr>
          <w:rStyle w:val="VerbatimChar"/>
        </w:rPr>
        <w:t xml:space="preserve">Application</w:t>
      </w:r>
      <w:r>
        <w:t xml:space="preserve"> </w:t>
      </w:r>
      <w:r>
        <w:t xml:space="preserve">variables and the</w:t>
      </w:r>
      <w:r>
        <w:t xml:space="preserve"> </w:t>
      </w:r>
      <w:r>
        <w:rPr>
          <w:rStyle w:val="VerbatimChar"/>
        </w:rPr>
        <w:t xml:space="preserve">global.asa</w:t>
      </w:r>
      <w:r>
        <w:t xml:space="preserve"> </w:t>
      </w:r>
      <w:r>
        <w:t xml:space="preserve">lifecycle exist purely within the RAM of a single process.</w:t>
      </w:r>
    </w:p>
    <w:p>
      <w:pPr>
        <w:pStyle w:val="Compact"/>
        <w:numPr>
          <w:ilvl w:val="0"/>
          <w:numId w:val="1009"/>
        </w:numPr>
      </w:pPr>
      <w:r>
        <w:rPr>
          <w:b/>
          <w:bCs/>
        </w:rPr>
        <w:t xml:space="preserve">The</w:t>
      </w:r>
      <w:r>
        <w:rPr>
          <w:b/>
          <w:bCs/>
        </w:rPr>
        <w:t xml:space="preserve"> </w:t>
      </w:r>
      <w:r>
        <w:rPr>
          <w:rStyle w:val="VerbatimChar"/>
          <w:b/>
          <w:bCs/>
        </w:rPr>
        <w:t xml:space="preserve">processesPerApplication</w:t>
      </w:r>
      <w:r>
        <w:rPr>
          <w:b/>
          <w:bCs/>
        </w:rPr>
        <w:t xml:space="preserve"> </w:t>
      </w:r>
      <w:r>
        <w:rPr>
          <w:b/>
          <w:bCs/>
        </w:rPr>
        <w:t xml:space="preserve">Rule:</w:t>
      </w:r>
      <w:r>
        <w:t xml:space="preserve"> </w:t>
      </w:r>
      <w:r>
        <w:t xml:space="preserve">Because of this in-memory state,</w:t>
      </w:r>
      <w:r>
        <w:t xml:space="preserve"> </w:t>
      </w:r>
      <w:r>
        <w:rPr>
          <w:b/>
          <w:bCs/>
        </w:rPr>
        <w:t xml:space="preserve">you must configure IIS to spawn exactly 1 process per application</w:t>
      </w:r>
      <w:r>
        <w:t xml:space="preserve">. If IIS spawns multiple AxonASP processes for a single site, user sessions will fracture, and</w:t>
      </w:r>
      <w:r>
        <w:t xml:space="preserve"> </w:t>
      </w:r>
      <w:r>
        <w:rPr>
          <w:rStyle w:val="VerbatimChar"/>
        </w:rPr>
        <w:t xml:space="preserve">Application</w:t>
      </w:r>
      <w:r>
        <w:t xml:space="preserve"> </w:t>
      </w:r>
      <w:r>
        <w:t xml:space="preserve">state will become desynchronized, leading to unpredictable application behavior.</w:t>
      </w:r>
    </w:p>
    <w:p>
      <w:pPr>
        <w:pStyle w:val="Compact"/>
        <w:numPr>
          <w:ilvl w:val="0"/>
          <w:numId w:val="1009"/>
        </w:numPr>
      </w:pPr>
      <w:r>
        <w:rPr>
          <w:b/>
          <w:bCs/>
        </w:rPr>
        <w:t xml:space="preserve">Security Boundaries:</w:t>
      </w:r>
      <w:r>
        <w:t xml:space="preserve"> </w:t>
      </w:r>
      <w:r>
        <w:t xml:space="preserve">You can still utilize Windows ACLs. Simply configure the IIS HttpPlatformHandler to launch the</w:t>
      </w:r>
      <w:r>
        <w:t xml:space="preserve"> </w:t>
      </w:r>
      <w:r>
        <w:rPr>
          <w:rStyle w:val="VerbatimChar"/>
        </w:rPr>
        <w:t xml:space="preserve">axonasp-http.exe</w:t>
      </w:r>
      <w:r>
        <w:t xml:space="preserve"> </w:t>
      </w:r>
      <w:r>
        <w:t xml:space="preserve">process under a restricted Windows user account, ensuring the process cannot read the physical directory of a neighboring website.</w:t>
      </w:r>
    </w:p>
    <w:p>
      <w:r>
        <w:pict>
          <v:rect style="width:0;height:1.5pt" o:hralign="center" o:hrstd="t" o:hr="t"/>
        </w:pict>
      </w:r>
    </w:p>
    <w:bookmarkEnd w:id="39"/>
    <w:bookmarkStart w:id="40" w:name="reconfiguration-url-rewriting"/>
    <w:p>
      <w:pPr>
        <w:pStyle w:val="Heading2"/>
      </w:pPr>
      <w:r>
        <w:t xml:space="preserve">Reconfiguration: URL Rewriting</w:t>
      </w:r>
    </w:p>
    <w:p>
      <w:pPr>
        <w:pStyle w:val="FirstParagraph"/>
      </w:pPr>
      <w:r>
        <w:t xml:space="preserve">Administrators heavily rely on URL rewriting for SEO-friendly URLs. In the AxonASP architecture, this responsibility can be split depending on your needs:</w:t>
      </w:r>
    </w:p>
    <w:p>
      <w:pPr>
        <w:pStyle w:val="Compact"/>
        <w:numPr>
          <w:ilvl w:val="0"/>
          <w:numId w:val="1010"/>
        </w:numPr>
      </w:pPr>
      <w:r>
        <w:rPr>
          <w:b/>
          <w:bCs/>
        </w:rPr>
        <w:t xml:space="preserve">Global/Infrastructure Rewriting (IIS side):</w:t>
      </w:r>
      <w:r>
        <w:t xml:space="preserve"> </w:t>
      </w:r>
      <w:r>
        <w:t xml:space="preserve">Heavy lifting, such as forcing</w:t>
      </w:r>
      <w:r>
        <w:t xml:space="preserve"> </w:t>
      </w:r>
      <w:r>
        <w:rPr>
          <w:rStyle w:val="VerbatimChar"/>
        </w:rPr>
        <w:t xml:space="preserve">HTTP -&gt; HTTPS</w:t>
      </w:r>
      <w:r>
        <w:t xml:space="preserve"> </w:t>
      </w:r>
      <w:r>
        <w:t xml:space="preserve">redirects, appending</w:t>
      </w:r>
      <w:r>
        <w:t xml:space="preserve"> </w:t>
      </w:r>
      <w:r>
        <w:rPr>
          <w:rStyle w:val="VerbatimChar"/>
        </w:rPr>
        <w:t xml:space="preserve">www.</w:t>
      </w:r>
      <w:r>
        <w:t xml:space="preserve">, or blocking malicious IP ranges, should remain in the IIS URL Rewrite module. This stops bad traffic before it ever reaches the AxonASP engine.</w:t>
      </w:r>
    </w:p>
    <w:p>
      <w:pPr>
        <w:pStyle w:val="Compact"/>
        <w:numPr>
          <w:ilvl w:val="0"/>
          <w:numId w:val="1010"/>
        </w:numPr>
      </w:pPr>
      <w:r>
        <w:rPr>
          <w:b/>
          <w:bCs/>
        </w:rPr>
        <w:t xml:space="preserve">Application Routing (AxonASP side):</w:t>
      </w:r>
      <w:r>
        <w:t xml:space="preserve"> </w:t>
      </w:r>
      <w:r>
        <w:t xml:space="preserve">AxonASP includes its own native parser for a simplified</w:t>
      </w:r>
      <w:r>
        <w:t xml:space="preserve"> </w:t>
      </w:r>
      <w:r>
        <w:rPr>
          <w:rStyle w:val="VerbatimChar"/>
        </w:rPr>
        <w:t xml:space="preserve">web.config</w:t>
      </w:r>
      <w:r>
        <w:t xml:space="preserve"> </w:t>
      </w:r>
      <w:r>
        <w:t xml:space="preserve">file. If you use a</w:t>
      </w:r>
      <w:r>
        <w:t xml:space="preserve"> </w:t>
      </w:r>
      <w:r>
        <w:t xml:space="preserve">“Front Controller”</w:t>
      </w:r>
      <w:r>
        <w:t xml:space="preserve"> </w:t>
      </w:r>
      <w:r>
        <w:t xml:space="preserve">pattern (routing all traffic to</w:t>
      </w:r>
      <w:r>
        <w:t xml:space="preserve"> </w:t>
      </w:r>
      <w:r>
        <w:rPr>
          <w:rStyle w:val="VerbatimChar"/>
        </w:rPr>
        <w:t xml:space="preserve">index.asp?route=...</w:t>
      </w:r>
      <w:r>
        <w:t xml:space="preserve">), you should use the AxonASP</w:t>
      </w:r>
      <w:r>
        <w:t xml:space="preserve"> </w:t>
      </w:r>
      <w:r>
        <w:rPr>
          <w:rStyle w:val="VerbatimChar"/>
        </w:rPr>
        <w:t xml:space="preserve">web.config</w:t>
      </w:r>
      <w:r>
        <w:t xml:space="preserve">. This ensures that your application logic remains entirely portable. If you ever migrate from Windows/IIS to Linux/Docker, your routing rules move with your application automatically.</w:t>
      </w:r>
    </w:p>
    <w:p>
      <w:r>
        <w:pict>
          <v:rect style="width:0;height:1.5pt" o:hralign="center" o:hrstd="t" o:hr="t"/>
        </w:pict>
      </w:r>
    </w:p>
    <w:bookmarkEnd w:id="40"/>
    <w:bookmarkStart w:id="43" w:name="extending-the-engine-the-post-com-era"/>
    <w:p>
      <w:pPr>
        <w:pStyle w:val="Heading2"/>
      </w:pPr>
      <w:r>
        <w:t xml:space="preserve">Extending the Engine: The Post-COM Era</w:t>
      </w:r>
    </w:p>
    <w:p>
      <w:pPr>
        <w:pStyle w:val="FirstParagraph"/>
      </w:pPr>
      <w:r>
        <w:t xml:space="preserve">A significant hurdle when migrating from Classic ASP is the reliance on legacy Windows COM objects (e.g., ADODB, CDO, MSXML2) registered via</w:t>
      </w:r>
      <w:r>
        <w:t xml:space="preserve"> </w:t>
      </w:r>
      <w:r>
        <w:rPr>
          <w:rStyle w:val="VerbatimChar"/>
        </w:rPr>
        <w:t xml:space="preserve">regsvr32</w:t>
      </w:r>
      <w:r>
        <w:t xml:space="preserve">.</w:t>
      </w:r>
    </w:p>
    <w:p>
      <w:pPr>
        <w:pStyle w:val="BodyText"/>
      </w:pPr>
      <w:r>
        <w:t xml:space="preserve">Because AxonASP is written in Go and designed for cross-platform execution,</w:t>
      </w:r>
      <w:r>
        <w:t xml:space="preserve"> </w:t>
      </w:r>
      <w:r>
        <w:rPr>
          <w:b/>
          <w:bCs/>
        </w:rPr>
        <w:t xml:space="preserve">it actively bypasses the Windows OS Registry and legacy COM integration.</w:t>
      </w:r>
    </w:p>
    <w:bookmarkStart w:id="41" w:name="the-challenge-with-goole"/>
    <w:p>
      <w:pPr>
        <w:pStyle w:val="Heading3"/>
      </w:pPr>
      <w:r>
        <w:t xml:space="preserve">The Challenge with GoOLE</w:t>
      </w:r>
    </w:p>
    <w:p>
      <w:pPr>
        <w:pStyle w:val="FirstParagraph"/>
      </w:pPr>
      <w:r>
        <w:t xml:space="preserve">We recognize that for developers unfamiliar with Go, utilizing packages like</w:t>
      </w:r>
      <w:r>
        <w:t xml:space="preserve"> </w:t>
      </w:r>
      <w:r>
        <w:rPr>
          <w:rStyle w:val="VerbatimChar"/>
        </w:rPr>
        <w:t xml:space="preserve">GoOLE</w:t>
      </w:r>
      <w:r>
        <w:t xml:space="preserve"> </w:t>
      </w:r>
      <w:r>
        <w:t xml:space="preserve">to wrap and execute legacy Windows COM components is highly complex and time-consuming. Re-implementing thousands of lines of COM bridges defeats the purpose of modernization.</w:t>
      </w:r>
    </w:p>
    <w:bookmarkEnd w:id="41"/>
    <w:bookmarkStart w:id="42" w:name="the-axonasp-native-routing-solution"/>
    <w:p>
      <w:pPr>
        <w:pStyle w:val="Heading3"/>
      </w:pPr>
      <w:r>
        <w:t xml:space="preserve">The AxonASP Native Routing Solution</w:t>
      </w:r>
    </w:p>
    <w:p>
      <w:pPr>
        <w:pStyle w:val="FirstParagraph"/>
      </w:pPr>
      <w:r>
        <w:t xml:space="preserve">Instead of relying on OS-level COM objects, AxonASP intercepts the</w:t>
      </w:r>
      <w:r>
        <w:t xml:space="preserve"> </w:t>
      </w:r>
      <w:r>
        <w:rPr>
          <w:rStyle w:val="VerbatimChar"/>
        </w:rPr>
        <w:t xml:space="preserve">Server.CreateObject("ProgID")</w:t>
      </w:r>
      <w:r>
        <w:t xml:space="preserve"> </w:t>
      </w:r>
      <w:r>
        <w:t xml:space="preserve">call natively.</w:t>
      </w:r>
      <w:r>
        <w:t xml:space="preserve"> </w:t>
      </w:r>
      <w:r>
        <w:t xml:space="preserve">When your legacy code requests an object, the AxonASP Virtual Machine instantly maps that ProgID to an ultra-fast, pre-compiled Go struct running directly inside the VM.</w:t>
      </w:r>
    </w:p>
    <w:p>
      <w:pPr>
        <w:pStyle w:val="Compact"/>
        <w:numPr>
          <w:ilvl w:val="0"/>
          <w:numId w:val="1011"/>
        </w:numPr>
      </w:pPr>
      <w:r>
        <w:rPr>
          <w:b/>
          <w:bCs/>
        </w:rPr>
        <w:t xml:space="preserve">For Legacy Compatibility:</w:t>
      </w:r>
      <w:r>
        <w:t xml:space="preserve"> </w:t>
      </w:r>
      <w:r>
        <w:t xml:space="preserve">AxonASP ships with native emulations of critical objects like</w:t>
      </w:r>
      <w:r>
        <w:t xml:space="preserve"> </w:t>
      </w:r>
      <w:r>
        <w:rPr>
          <w:rStyle w:val="VerbatimChar"/>
        </w:rPr>
        <w:t xml:space="preserve">Scripting.FileSystemObject</w:t>
      </w:r>
      <w:r>
        <w:t xml:space="preserve">,</w:t>
      </w:r>
      <w:r>
        <w:t xml:space="preserve"> </w:t>
      </w:r>
      <w:r>
        <w:rPr>
          <w:rStyle w:val="VerbatimChar"/>
        </w:rPr>
        <w:t xml:space="preserve">Scripting.Dictionary</w:t>
      </w:r>
      <w:r>
        <w:t xml:space="preserve">, and</w:t>
      </w:r>
      <w:r>
        <w:t xml:space="preserve"> </w:t>
      </w:r>
      <w:r>
        <w:rPr>
          <w:rStyle w:val="VerbatimChar"/>
        </w:rPr>
        <w:t xml:space="preserve">ADODB</w:t>
      </w:r>
      <w:r>
        <w:t xml:space="preserve"> </w:t>
      </w:r>
      <w:r>
        <w:t xml:space="preserve">(which connects to real modern databases like PostgreSQL or MSSQL).</w:t>
      </w:r>
    </w:p>
    <w:p>
      <w:pPr>
        <w:pStyle w:val="Compact"/>
        <w:numPr>
          <w:ilvl w:val="0"/>
          <w:numId w:val="1011"/>
        </w:numPr>
      </w:pPr>
      <w:r>
        <w:rPr>
          <w:b/>
          <w:bCs/>
        </w:rPr>
        <w:t xml:space="preserve">For Modern Capabilities:</w:t>
      </w:r>
      <w:r>
        <w:t xml:space="preserve"> </w:t>
      </w:r>
      <w:r>
        <w:t xml:space="preserve">You should transition away from legacy COM objects and utilize the built-in Axon Enterprise Libraries (</w:t>
      </w:r>
      <w:r>
        <w:rPr>
          <w:rStyle w:val="VerbatimChar"/>
        </w:rPr>
        <w:t xml:space="preserve">G3JSON</w:t>
      </w:r>
      <w:r>
        <w:t xml:space="preserve">,</w:t>
      </w:r>
      <w:r>
        <w:t xml:space="preserve"> </w:t>
      </w:r>
      <w:r>
        <w:rPr>
          <w:rStyle w:val="VerbatimChar"/>
        </w:rPr>
        <w:t xml:space="preserve">G3HTTP</w:t>
      </w:r>
      <w:r>
        <w:t xml:space="preserve">,</w:t>
      </w:r>
      <w:r>
        <w:t xml:space="preserve"> </w:t>
      </w:r>
      <w:r>
        <w:rPr>
          <w:rStyle w:val="VerbatimChar"/>
        </w:rPr>
        <w:t xml:space="preserve">G3DB</w:t>
      </w:r>
      <w:r>
        <w:t xml:space="preserve">,</w:t>
      </w:r>
      <w:r>
        <w:t xml:space="preserve"> </w:t>
      </w:r>
      <w:r>
        <w:rPr>
          <w:rStyle w:val="VerbatimChar"/>
        </w:rPr>
        <w:t xml:space="preserve">G3Crypto</w:t>
      </w:r>
      <w:r>
        <w:t xml:space="preserve">, etc.). These execute with zero-allocation overhead and require no OS registration.</w:t>
      </w:r>
    </w:p>
    <w:p>
      <w:pPr>
        <w:pStyle w:val="Compact"/>
        <w:numPr>
          <w:ilvl w:val="0"/>
          <w:numId w:val="1011"/>
        </w:numPr>
      </w:pPr>
      <w:r>
        <w:rPr>
          <w:b/>
          <w:bCs/>
        </w:rPr>
        <w:t xml:space="preserve">Future Extensibility:</w:t>
      </w:r>
      <w:r>
        <w:t xml:space="preserve"> </w:t>
      </w:r>
      <w:r>
        <w:t xml:space="preserve">We understand the community needs a simpler path to custom extensions. In a future update, we will provide a streamlined, heavily documented boilerplate example demonstrating exactly how to create a custom Go library, attach it to a ProgID, and compile it into AxonASP without needing deep GoLang expertise.</w:t>
      </w:r>
    </w:p>
    <w:p>
      <w:r>
        <w:pict>
          <v:rect style="width:0;height:1.5pt" o:hralign="center" o:hrstd="t" o:hr="t"/>
        </w:pict>
      </w:r>
    </w:p>
    <w:bookmarkEnd w:id="42"/>
    <w:bookmarkEnd w:id="43"/>
    <w:bookmarkStart w:id="44" w:name="Xc7e048123652dce2cb489159e42c4a1ce4a18a6"/>
    <w:p>
      <w:pPr>
        <w:pStyle w:val="Heading2"/>
      </w:pPr>
      <w:r>
        <w:t xml:space="preserve">Implementation Example: Running via HttpPlatformHandler</w:t>
      </w:r>
    </w:p>
    <w:p>
      <w:pPr>
        <w:pStyle w:val="FirstParagraph"/>
      </w:pPr>
      <w:r>
        <w:t xml:space="preserve">To properly orchestrate AxonASP within IIS, you must use the</w:t>
      </w:r>
      <w:r>
        <w:t xml:space="preserve"> </w:t>
      </w:r>
      <w:r>
        <w:rPr>
          <w:b/>
          <w:bCs/>
        </w:rPr>
        <w:t xml:space="preserve">HttpPlatformHandler v1.2+</w:t>
      </w:r>
      <w:r>
        <w:t xml:space="preserve"> </w:t>
      </w:r>
      <w:r>
        <w:t xml:space="preserve">module. This module instructs IIS to act as a process manager. It will automatically launch</w:t>
      </w:r>
      <w:r>
        <w:t xml:space="preserve"> </w:t>
      </w:r>
      <w:r>
        <w:rPr>
          <w:rStyle w:val="VerbatimChar"/>
        </w:rPr>
        <w:t xml:space="preserve">axonasp-http.exe</w:t>
      </w:r>
      <w:r>
        <w:t xml:space="preserve">, monitor its health, and dynamically assign a port for internal reverse proxying.</w:t>
      </w:r>
    </w:p>
    <w:p>
      <w:pPr>
        <w:pStyle w:val="Compact"/>
        <w:numPr>
          <w:ilvl w:val="0"/>
          <w:numId w:val="1012"/>
        </w:numPr>
      </w:pPr>
      <w:r>
        <w:t xml:space="preserve">Isolate your application in a specific directory (e.g.,</w:t>
      </w:r>
      <w:r>
        <w:t xml:space="preserve"> </w:t>
      </w:r>
      <w:r>
        <w:rPr>
          <w:rStyle w:val="VerbatimChar"/>
        </w:rPr>
        <w:t xml:space="preserve">C:\Sites\App1\</w:t>
      </w:r>
      <w:r>
        <w:t xml:space="preserve">).</w:t>
      </w:r>
    </w:p>
    <w:p>
      <w:pPr>
        <w:pStyle w:val="Compact"/>
        <w:numPr>
          <w:ilvl w:val="0"/>
          <w:numId w:val="1012"/>
        </w:numPr>
      </w:pPr>
      <w:r>
        <w:t xml:space="preserve">Ensure</w:t>
      </w:r>
      <w:r>
        <w:t xml:space="preserve"> </w:t>
      </w:r>
      <w:r>
        <w:rPr>
          <w:rStyle w:val="VerbatimChar"/>
        </w:rPr>
        <w:t xml:space="preserve">axonasp-http.exe</w:t>
      </w:r>
      <w:r>
        <w:t xml:space="preserve">, the</w:t>
      </w:r>
      <w:r>
        <w:t xml:space="preserve"> </w:t>
      </w:r>
      <w:r>
        <w:rPr>
          <w:rStyle w:val="VerbatimChar"/>
        </w:rPr>
        <w:t xml:space="preserve">axonasp.toml</w:t>
      </w:r>
      <w:r>
        <w:t xml:space="preserve"> </w:t>
      </w:r>
      <w:r>
        <w:t xml:space="preserve">config file, the</w:t>
      </w:r>
      <w:r>
        <w:t xml:space="preserve"> </w:t>
      </w:r>
      <w:r>
        <w:rPr>
          <w:rStyle w:val="VerbatimChar"/>
        </w:rPr>
        <w:t xml:space="preserve">iis-http.cmd</w:t>
      </w:r>
      <w:r>
        <w:t xml:space="preserve"> </w:t>
      </w:r>
      <w:r>
        <w:t xml:space="preserve">wrapper, and your</w:t>
      </w:r>
      <w:r>
        <w:t xml:space="preserve"> </w:t>
      </w:r>
      <w:r>
        <w:rPr>
          <w:rStyle w:val="VerbatimChar"/>
        </w:rPr>
        <w:t xml:space="preserve">www</w:t>
      </w:r>
      <w:r>
        <w:t xml:space="preserve"> </w:t>
      </w:r>
      <w:r>
        <w:t xml:space="preserve">folder reside there.</w:t>
      </w:r>
    </w:p>
    <w:p>
      <w:pPr>
        <w:pStyle w:val="Compact"/>
        <w:numPr>
          <w:ilvl w:val="0"/>
          <w:numId w:val="1012"/>
        </w:numPr>
      </w:pPr>
      <w:r>
        <w:t xml:space="preserve">Add the following</w:t>
      </w:r>
      <w:r>
        <w:t xml:space="preserve"> </w:t>
      </w:r>
      <w:r>
        <w:rPr>
          <w:rStyle w:val="VerbatimChar"/>
        </w:rPr>
        <w:t xml:space="preserve">web.config</w:t>
      </w:r>
      <w:r>
        <w:t xml:space="preserve"> </w:t>
      </w:r>
      <w:r>
        <w:t xml:space="preserve">to the root of the IIS site:</w:t>
      </w:r>
    </w:p>
    <w:p>
      <w:pPr>
        <w:pStyle w:val="SourceCode"/>
      </w:pPr>
      <w:r>
        <w:rPr>
          <w:rStyle w:val="FunctionTok"/>
        </w:rPr>
        <w:t xml:space="preserve">&lt;?xml</w:t>
      </w:r>
      <w:r>
        <w:rPr>
          <w:rStyle w:val="NormalTok"/>
        </w:rPr>
        <w:t xml:space="preserve"> </w:t>
      </w:r>
      <w:r>
        <w:rPr>
          <w:rStyle w:val="OtherTok"/>
        </w:rPr>
        <w:t xml:space="preserve">version=</w:t>
      </w:r>
      <w:r>
        <w:rPr>
          <w:rStyle w:val="StringTok"/>
        </w:rPr>
        <w:t xml:space="preserve">"1.0"</w:t>
      </w:r>
      <w:r>
        <w:rPr>
          <w:rStyle w:val="NormalTok"/>
        </w:rPr>
        <w:t xml:space="preserve"> </w:t>
      </w:r>
      <w:r>
        <w:rPr>
          <w:rStyle w:val="OtherTok"/>
        </w:rPr>
        <w:t xml:space="preserve">encoding=</w:t>
      </w:r>
      <w:r>
        <w:rPr>
          <w:rStyle w:val="StringTok"/>
        </w:rPr>
        <w:t xml:space="preserve">"UTF-8"</w:t>
      </w:r>
      <w:r>
        <w:rPr>
          <w:rStyle w:val="FunctionTok"/>
        </w:rPr>
        <w:t xml:space="preserve">?&gt;</w:t>
      </w:r>
      <w:r>
        <w:br/>
      </w:r>
      <w:r>
        <w:rPr>
          <w:rStyle w:val="NormalTok"/>
        </w:rPr>
        <w:t xml:space="preserve">&lt;</w:t>
      </w:r>
      <w:r>
        <w:rPr>
          <w:rStyle w:val="KeywordTok"/>
        </w:rPr>
        <w:t xml:space="preserve">configuration</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        &lt;</w:t>
      </w:r>
      <w:r>
        <w:rPr>
          <w:rStyle w:val="KeywordTok"/>
        </w:rPr>
        <w:t xml:space="preserve">handlers</w:t>
      </w:r>
      <w:r>
        <w:rPr>
          <w:rStyle w:val="NormalTok"/>
        </w:rPr>
        <w:t xml:space="preserve">&gt;</w:t>
      </w:r>
      <w:r>
        <w:br/>
      </w:r>
      <w:r>
        <w:rPr>
          <w:rStyle w:val="NormalTok"/>
        </w:rPr>
        <w:t xml:space="preserve">            &lt;</w:t>
      </w:r>
      <w:r>
        <w:rPr>
          <w:rStyle w:val="KeywordTok"/>
        </w:rPr>
        <w:t xml:space="preserve">add</w:t>
      </w:r>
      <w:r>
        <w:rPr>
          <w:rStyle w:val="NormalTok"/>
        </w:rPr>
        <w:t xml:space="preserve"> </w:t>
      </w:r>
      <w:r>
        <w:rPr>
          <w:rStyle w:val="OtherTok"/>
        </w:rPr>
        <w:t xml:space="preserve">name=</w:t>
      </w:r>
      <w:r>
        <w:rPr>
          <w:rStyle w:val="StringTok"/>
        </w:rPr>
        <w:t xml:space="preserve">"httpPlatformHandler"</w:t>
      </w:r>
      <w:r>
        <w:rPr>
          <w:rStyle w:val="NormalTok"/>
        </w:rPr>
        <w:t xml:space="preserve"> </w:t>
      </w:r>
      <w:r>
        <w:rPr>
          <w:rStyle w:val="OtherTok"/>
        </w:rPr>
        <w:t xml:space="preserve">path=</w:t>
      </w:r>
      <w:r>
        <w:rPr>
          <w:rStyle w:val="StringTok"/>
        </w:rPr>
        <w:t xml:space="preserve">"*"</w:t>
      </w:r>
      <w:r>
        <w:rPr>
          <w:rStyle w:val="NormalTok"/>
        </w:rPr>
        <w:t xml:space="preserve"> </w:t>
      </w:r>
      <w:r>
        <w:rPr>
          <w:rStyle w:val="OtherTok"/>
        </w:rPr>
        <w:t xml:space="preserve">verb=</w:t>
      </w:r>
      <w:r>
        <w:rPr>
          <w:rStyle w:val="StringTok"/>
        </w:rPr>
        <w:t xml:space="preserve">"*"</w:t>
      </w:r>
      <w:r>
        <w:rPr>
          <w:rStyle w:val="NormalTok"/>
        </w:rPr>
        <w:t xml:space="preserve"> </w:t>
      </w:r>
      <w:r>
        <w:rPr>
          <w:rStyle w:val="OtherTok"/>
        </w:rPr>
        <w:t xml:space="preserve">modules=</w:t>
      </w:r>
      <w:r>
        <w:rPr>
          <w:rStyle w:val="StringTok"/>
        </w:rPr>
        <w:t xml:space="preserve">"httpPlatformHandler"</w:t>
      </w:r>
      <w:r>
        <w:rPr>
          <w:rStyle w:val="NormalTok"/>
        </w:rPr>
        <w:t xml:space="preserve"> </w:t>
      </w:r>
      <w:r>
        <w:rPr>
          <w:rStyle w:val="OtherTok"/>
        </w:rPr>
        <w:t xml:space="preserve">resourceType=</w:t>
      </w:r>
      <w:r>
        <w:rPr>
          <w:rStyle w:val="StringTok"/>
        </w:rPr>
        <w:t xml:space="preserve">"Unspecified"</w:t>
      </w:r>
      <w:r>
        <w:rPr>
          <w:rStyle w:val="NormalTok"/>
        </w:rPr>
        <w:t xml:space="preserve"> /&gt;</w:t>
      </w:r>
      <w:r>
        <w:br/>
      </w:r>
      <w:r>
        <w:rPr>
          <w:rStyle w:val="NormalTok"/>
        </w:rPr>
        <w:t xml:space="preserve">        &lt;/</w:t>
      </w:r>
      <w:r>
        <w:rPr>
          <w:rStyle w:val="KeywordTok"/>
        </w:rPr>
        <w:t xml:space="preserve">handlers</w:t>
      </w:r>
      <w:r>
        <w:rPr>
          <w:rStyle w:val="NormalTok"/>
        </w:rPr>
        <w:t xml:space="preserve">&gt;</w:t>
      </w:r>
      <w:r>
        <w:br/>
      </w:r>
      <w:r>
        <w:rPr>
          <w:rStyle w:val="NormalTok"/>
        </w:rPr>
        <w:t xml:space="preserve">        </w:t>
      </w:r>
      <w:r>
        <w:br/>
      </w:r>
      <w:r>
        <w:rPr>
          <w:rStyle w:val="NormalTok"/>
        </w:rPr>
        <w:t xml:space="preserve">        </w:t>
      </w:r>
      <w:r>
        <w:rPr>
          <w:rStyle w:val="CommentTok"/>
        </w:rPr>
        <w:t xml:space="preserve">&lt;!-- </w:t>
      </w:r>
      <w:r>
        <w:br/>
      </w:r>
      <w:r>
        <w:rPr>
          <w:rStyle w:val="CommentTok"/>
        </w:rPr>
        <w:t xml:space="preserve">          IIS acts as the process manager here. </w:t>
      </w:r>
      <w:r>
        <w:br/>
      </w:r>
      <w:r>
        <w:rPr>
          <w:rStyle w:val="CommentTok"/>
        </w:rPr>
        <w:t xml:space="preserve">          %HTTP_PLATFORM_PORT% is a dynamic variable injected by IIS. </w:t>
      </w:r>
      <w:r>
        <w:br/>
      </w:r>
      <w:r>
        <w:rPr>
          <w:rStyle w:val="CommentTok"/>
        </w:rPr>
        <w:t xml:space="preserve">          It ensures this specific AxonASP instance gets a unique, conflict-free internal port.</w:t>
      </w:r>
      <w:r>
        <w:br/>
      </w:r>
      <w:r>
        <w:rPr>
          <w:rStyle w:val="CommentTok"/>
        </w:rPr>
        <w:t xml:space="preserve">        --&gt;</w:t>
      </w:r>
      <w:r>
        <w:br/>
      </w:r>
      <w:r>
        <w:rPr>
          <w:rStyle w:val="NormalTok"/>
        </w:rPr>
        <w:t xml:space="preserve">        &lt;</w:t>
      </w:r>
      <w:r>
        <w:rPr>
          <w:rStyle w:val="KeywordTok"/>
        </w:rPr>
        <w:t xml:space="preserve">httpPlatform</w:t>
      </w:r>
      <w:r>
        <w:rPr>
          <w:rStyle w:val="NormalTok"/>
        </w:rPr>
        <w:t xml:space="preserve"> </w:t>
      </w:r>
      <w:r>
        <w:rPr>
          <w:rStyle w:val="OtherTok"/>
        </w:rPr>
        <w:t xml:space="preserve">processPath=</w:t>
      </w:r>
      <w:r>
        <w:rPr>
          <w:rStyle w:val="StringTok"/>
        </w:rPr>
        <w:t xml:space="preserve">"C:\Sites\App1\iis-http.cmd"</w:t>
      </w:r>
      <w:r>
        <w:br/>
      </w:r>
      <w:r>
        <w:rPr>
          <w:rStyle w:val="NormalTok"/>
        </w:rPr>
        <w:t xml:space="preserve">                      </w:t>
      </w:r>
      <w:r>
        <w:rPr>
          <w:rStyle w:val="OtherTok"/>
        </w:rPr>
        <w:t xml:space="preserve">arguments=</w:t>
      </w:r>
      <w:r>
        <w:rPr>
          <w:rStyle w:val="StringTok"/>
        </w:rPr>
        <w:t xml:space="preserve">"--server.server_port %HTTP_PLATFORM_PORT%"</w:t>
      </w:r>
      <w:r>
        <w:br/>
      </w:r>
      <w:r>
        <w:rPr>
          <w:rStyle w:val="NormalTok"/>
        </w:rPr>
        <w:t xml:space="preserve">                      </w:t>
      </w:r>
      <w:r>
        <w:rPr>
          <w:rStyle w:val="OtherTok"/>
        </w:rPr>
        <w:t xml:space="preserve">stdoutLogEnabled=</w:t>
      </w:r>
      <w:r>
        <w:rPr>
          <w:rStyle w:val="StringTok"/>
        </w:rPr>
        <w:t xml:space="preserve">"true"</w:t>
      </w:r>
      <w:r>
        <w:br/>
      </w:r>
      <w:r>
        <w:rPr>
          <w:rStyle w:val="NormalTok"/>
        </w:rPr>
        <w:t xml:space="preserve">                      </w:t>
      </w:r>
      <w:r>
        <w:rPr>
          <w:rStyle w:val="OtherTok"/>
        </w:rPr>
        <w:t xml:space="preserve">stdoutLogFile=</w:t>
      </w:r>
      <w:r>
        <w:rPr>
          <w:rStyle w:val="StringTok"/>
        </w:rPr>
        <w:t xml:space="preserve">"C:\Sites\App1\temp\axonasp.log"</w:t>
      </w:r>
      <w:r>
        <w:br/>
      </w:r>
      <w:r>
        <w:rPr>
          <w:rStyle w:val="NormalTok"/>
        </w:rPr>
        <w:t xml:space="preserve">                      </w:t>
      </w:r>
      <w:r>
        <w:rPr>
          <w:rStyle w:val="OtherTok"/>
        </w:rPr>
        <w:t xml:space="preserve">startupTimeLimit=</w:t>
      </w:r>
      <w:r>
        <w:rPr>
          <w:rStyle w:val="StringTok"/>
        </w:rPr>
        <w:t xml:space="preserve">"5"</w:t>
      </w:r>
      <w:r>
        <w:br/>
      </w:r>
      <w:r>
        <w:rPr>
          <w:rStyle w:val="NormalTok"/>
        </w:rPr>
        <w:t xml:space="preserve">                      </w:t>
      </w:r>
      <w:r>
        <w:rPr>
          <w:rStyle w:val="OtherTok"/>
        </w:rPr>
        <w:t xml:space="preserve">processesPerApplication=</w:t>
      </w:r>
      <w:r>
        <w:rPr>
          <w:rStyle w:val="StringTok"/>
        </w:rPr>
        <w:t xml:space="preserve">"1"</w:t>
      </w:r>
      <w:r>
        <w:rPr>
          <w:rStyle w:val="NormalTok"/>
        </w:rPr>
        <w:t xml:space="preserve">&gt; </w:t>
      </w:r>
      <w:r>
        <w:rPr>
          <w:rStyle w:val="CommentTok"/>
        </w:rPr>
        <w:t xml:space="preserve">&lt;!-- CRITICAL: Must be 1 to preserve global.asa and session state --&gt;</w:t>
      </w:r>
      <w:r>
        <w:br/>
      </w:r>
      <w:r>
        <w:rPr>
          <w:rStyle w:val="NormalTok"/>
        </w:rPr>
        <w:t xml:space="preserve">            &lt;</w:t>
      </w:r>
      <w:r>
        <w:rPr>
          <w:rStyle w:val="KeywordTok"/>
        </w:rPr>
        <w:t xml:space="preserve">environmentVariables</w:t>
      </w:r>
      <w:r>
        <w:rPr>
          <w:rStyle w:val="NormalTok"/>
        </w:rPr>
        <w:t xml:space="preserve">&gt;</w:t>
      </w:r>
      <w:r>
        <w:br/>
      </w:r>
      <w:r>
        <w:rPr>
          <w:rStyle w:val="NormalTok"/>
        </w:rPr>
        <w:t xml:space="preserve">                &lt;</w:t>
      </w:r>
      <w:r>
        <w:rPr>
          <w:rStyle w:val="KeywordTok"/>
        </w:rPr>
        <w:t xml:space="preserve">environmentVariable</w:t>
      </w:r>
      <w:r>
        <w:rPr>
          <w:rStyle w:val="NormalTok"/>
        </w:rPr>
        <w:t xml:space="preserve"> </w:t>
      </w:r>
      <w:r>
        <w:rPr>
          <w:rStyle w:val="OtherTok"/>
        </w:rPr>
        <w:t xml:space="preserve">name=</w:t>
      </w:r>
      <w:r>
        <w:rPr>
          <w:rStyle w:val="StringTok"/>
        </w:rPr>
        <w:t xml:space="preserve">"SERVER_PORT"</w:t>
      </w:r>
      <w:r>
        <w:rPr>
          <w:rStyle w:val="NormalTok"/>
        </w:rPr>
        <w:t xml:space="preserve"> </w:t>
      </w:r>
      <w:r>
        <w:rPr>
          <w:rStyle w:val="OtherTok"/>
        </w:rPr>
        <w:t xml:space="preserve">value=</w:t>
      </w:r>
      <w:r>
        <w:rPr>
          <w:rStyle w:val="StringTok"/>
        </w:rPr>
        <w:t xml:space="preserve">"%HTTP_PLATFORM_PORT%"</w:t>
      </w:r>
      <w:r>
        <w:rPr>
          <w:rStyle w:val="NormalTok"/>
        </w:rPr>
        <w:t xml:space="preserve"> /&gt;</w:t>
      </w:r>
      <w:r>
        <w:br/>
      </w:r>
      <w:r>
        <w:rPr>
          <w:rStyle w:val="NormalTok"/>
        </w:rPr>
        <w:t xml:space="preserve">            &lt;/</w:t>
      </w:r>
      <w:r>
        <w:rPr>
          <w:rStyle w:val="KeywordTok"/>
        </w:rPr>
        <w:t xml:space="preserve">environmentVariables</w:t>
      </w:r>
      <w:r>
        <w:rPr>
          <w:rStyle w:val="NormalTok"/>
        </w:rPr>
        <w:t xml:space="preserve">&gt;</w:t>
      </w:r>
      <w:r>
        <w:br/>
      </w:r>
      <w:r>
        <w:rPr>
          <w:rStyle w:val="NormalTok"/>
        </w:rPr>
        <w:t xml:space="preserve">        &lt;/</w:t>
      </w:r>
      <w:r>
        <w:rPr>
          <w:rStyle w:val="KeywordTok"/>
        </w:rPr>
        <w:t xml:space="preserve">httpPlatform</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&lt;/</w:t>
      </w:r>
      <w:r>
        <w:rPr>
          <w:rStyle w:val="KeywordTok"/>
        </w:rPr>
        <w:t xml:space="preserve">configuration</w:t>
      </w:r>
      <w:r>
        <w:rPr>
          <w:rStyle w:val="NormalTok"/>
        </w:rPr>
        <w:t xml:space="preserve">&gt;</w:t>
      </w:r>
    </w:p>
    <w:p>
      <w:pPr>
        <w:pStyle w:val="FirstParagraph"/>
      </w:pPr>
      <w:r>
        <w:t xml:space="preserve">By relying on</w:t>
      </w:r>
      <w:r>
        <w:t xml:space="preserve"> </w:t>
      </w:r>
      <w:r>
        <w:rPr>
          <w:rStyle w:val="VerbatimChar"/>
        </w:rPr>
        <w:t xml:space="preserve">%HTTP_PLATFORM_PORT%</w:t>
      </w:r>
      <w:r>
        <w:t xml:space="preserve">, you do not need to manually track whether Site A is on port</w:t>
      </w:r>
      <w:r>
        <w:t xml:space="preserve"> </w:t>
      </w:r>
      <w:r>
        <w:rPr>
          <w:rStyle w:val="VerbatimChar"/>
        </w:rPr>
        <w:t xml:space="preserve">8801</w:t>
      </w:r>
      <w:r>
        <w:t xml:space="preserve"> </w:t>
      </w:r>
      <w:r>
        <w:t xml:space="preserve">and Site B is on</w:t>
      </w:r>
      <w:r>
        <w:t xml:space="preserve"> </w:t>
      </w:r>
      <w:r>
        <w:rPr>
          <w:rStyle w:val="VerbatimChar"/>
        </w:rPr>
        <w:t xml:space="preserve">8802</w:t>
      </w:r>
      <w:r>
        <w:t xml:space="preserve">. IIS assigns an available port dynamically, boots the AxonASP process on that port, and instantly begins proxying the traffic.</w:t>
      </w:r>
    </w:p>
    <w:bookmarkEnd w:id="44"/>
    <w:bookmarkStart w:id="45" w:name="the-containerization-horizon-docker"/>
    <w:p>
      <w:pPr>
        <w:pStyle w:val="Heading2"/>
      </w:pPr>
      <w:r>
        <w:t xml:space="preserve">The Containerization Horizon (Docker)</w:t>
      </w:r>
    </w:p>
    <w:p>
      <w:pPr>
        <w:pStyle w:val="FirstParagraph"/>
      </w:pPr>
      <w:r>
        <w:t xml:space="preserve">Once you understand that AxonASP is simply a self-contained executable processing HTTP requests, the ultimate migration path becomes clear. You are no longer bound to IIS.</w:t>
      </w:r>
    </w:p>
    <w:p>
      <w:pPr>
        <w:pStyle w:val="BodyText"/>
      </w:pPr>
      <w:r>
        <w:t xml:space="preserve">You can package your ASP code, your</w:t>
      </w:r>
      <w:r>
        <w:t xml:space="preserve"> </w:t>
      </w:r>
      <w:r>
        <w:rPr>
          <w:rStyle w:val="VerbatimChar"/>
        </w:rPr>
        <w:t xml:space="preserve">axonasp.toml</w:t>
      </w:r>
      <w:r>
        <w:t xml:space="preserve"> </w:t>
      </w:r>
      <w:r>
        <w:t xml:space="preserve">configuration, and the Linux version of</w:t>
      </w:r>
      <w:r>
        <w:t xml:space="preserve"> </w:t>
      </w:r>
      <w:r>
        <w:rPr>
          <w:rStyle w:val="VerbatimChar"/>
        </w:rPr>
        <w:t xml:space="preserve">axonasp-http</w:t>
      </w:r>
      <w:r>
        <w:t xml:space="preserve"> </w:t>
      </w:r>
      <w:r>
        <w:t xml:space="preserve">into a Docker container. Using an ingress controller (like Nginx or Traefik), you can dynamically route traffic to hundreds of isolated ASP containers across a cluster, achieving enterprise-grade scalability for legacy codebase.</w:t>
      </w:r>
    </w:p>
    <w:bookmarkEnd w:id="45"/>
    <w:bookmarkEnd w:id="46"/>
    <w:bookmarkStart w:id="61" w:name="understand-the-axonasp-project-structure"/>
    <w:p>
      <w:pPr>
        <w:pStyle w:val="Heading1"/>
      </w:pPr>
      <w:r>
        <w:t xml:space="preserve">Understand the AxonASP Project Structure</w:t>
      </w:r>
    </w:p>
    <w:bookmarkStart w:id="47" w:name="overview-1"/>
    <w:p>
      <w:pPr>
        <w:pStyle w:val="Heading2"/>
      </w:pPr>
      <w:r>
        <w:t xml:space="preserve">Overview</w:t>
      </w:r>
    </w:p>
    <w:p>
      <w:pPr>
        <w:pStyle w:val="FirstParagraph"/>
      </w:pPr>
      <w:r>
        <w:t xml:space="preserve">AxonASP is a Go-based Classic ASP and VBScript/Javascript execution runtime that provides multiple deployment modes. The project contains a shared VM/compiler core and multiple executable entry points for different use cases. All executables are built using the</w:t>
      </w:r>
      <w:r>
        <w:t xml:space="preserve"> </w:t>
      </w:r>
      <w:r>
        <w:rPr>
          <w:b/>
          <w:bCs/>
        </w:rPr>
        <w:t xml:space="preserve">build.ps1</w:t>
      </w:r>
      <w:r>
        <w:t xml:space="preserve"> </w:t>
      </w:r>
      <w:r>
        <w:t xml:space="preserve">(Windows) or</w:t>
      </w:r>
      <w:r>
        <w:t xml:space="preserve"> </w:t>
      </w:r>
      <w:r>
        <w:rPr>
          <w:b/>
          <w:bCs/>
        </w:rPr>
        <w:t xml:space="preserve">build.sh</w:t>
      </w:r>
      <w:r>
        <w:t xml:space="preserve"> </w:t>
      </w:r>
      <w:r>
        <w:t xml:space="preserve">(Linux/macOS) script and placed in the project root directory.</w:t>
      </w:r>
    </w:p>
    <w:bookmarkEnd w:id="47"/>
    <w:bookmarkStart w:id="48" w:name="building"/>
    <w:p>
      <w:pPr>
        <w:pStyle w:val="Heading2"/>
      </w:pPr>
      <w:r>
        <w:t xml:space="preserve">Building</w:t>
      </w:r>
    </w:p>
    <w:p>
      <w:pPr>
        <w:pStyle w:val="FirstParagraph"/>
      </w:pPr>
      <w:r>
        <w:rPr>
          <w:b/>
          <w:bCs/>
        </w:rPr>
        <w:t xml:space="preserve">Windows (PowerShell):</w:t>
      </w:r>
    </w:p>
    <w:p>
      <w:pPr>
        <w:pStyle w:val="SourceCode"/>
      </w:pPr>
      <w:r>
        <w:rPr>
          <w:rStyle w:val="OperatorTok"/>
        </w:rPr>
        <w:t xml:space="preserve">.</w:t>
      </w:r>
      <w:r>
        <w:rPr>
          <w:rStyle w:val="NormalTok"/>
        </w:rPr>
        <w:t xml:space="preserve">\build</w:t>
      </w:r>
      <w:r>
        <w:rPr>
          <w:rStyle w:val="OperatorTok"/>
        </w:rPr>
        <w:t xml:space="preserve">.</w:t>
      </w:r>
      <w:r>
        <w:rPr>
          <w:rStyle w:val="FunctionTok"/>
        </w:rPr>
        <w:t xml:space="preserve">ps1</w:t>
      </w:r>
    </w:p>
    <w:p>
      <w:pPr>
        <w:pStyle w:val="FirstParagraph"/>
      </w:pPr>
      <w:r>
        <w:rPr>
          <w:b/>
          <w:bCs/>
        </w:rPr>
        <w:t xml:space="preserve">Linux / macOS (Bash):</w:t>
      </w:r>
    </w:p>
    <w:p>
      <w:pPr>
        <w:pStyle w:val="SourceCode"/>
      </w:pPr>
      <w:r>
        <w:rPr>
          <w:rStyle w:val="ExtensionTok"/>
        </w:rPr>
        <w:t xml:space="preserve">./build.sh</w:t>
      </w:r>
    </w:p>
    <w:p>
      <w:pPr>
        <w:pStyle w:val="FirstParagraph"/>
      </w:pPr>
      <w:r>
        <w:t xml:space="preserve">For Linux cross-compilation to a specific architecture:</w:t>
      </w:r>
    </w:p>
    <w:p>
      <w:pPr>
        <w:pStyle w:val="SourceCode"/>
      </w:pPr>
      <w:r>
        <w:rPr>
          <w:rStyle w:val="ExtensionTok"/>
        </w:rPr>
        <w:t xml:space="preserve">./build.sh</w:t>
      </w:r>
      <w:r>
        <w:rPr>
          <w:rStyle w:val="NormalTok"/>
        </w:rPr>
        <w:t xml:space="preserve"> </w:t>
      </w:r>
      <w:r>
        <w:rPr>
          <w:rStyle w:val="AttributeTok"/>
        </w:rPr>
        <w:t xml:space="preserve">--platform</w:t>
      </w:r>
      <w:r>
        <w:rPr>
          <w:rStyle w:val="NormalTok"/>
        </w:rPr>
        <w:t xml:space="preserve"> linux </w:t>
      </w:r>
      <w:r>
        <w:rPr>
          <w:rStyle w:val="AttributeTok"/>
        </w:rPr>
        <w:t xml:space="preserve">--arch</w:t>
      </w:r>
      <w:r>
        <w:rPr>
          <w:rStyle w:val="NormalTok"/>
        </w:rPr>
        <w:t xml:space="preserve"> amd64</w:t>
      </w:r>
      <w:r>
        <w:br/>
      </w:r>
      <w:r>
        <w:rPr>
          <w:rStyle w:val="ExtensionTok"/>
        </w:rPr>
        <w:t xml:space="preserve">./build.sh</w:t>
      </w:r>
      <w:r>
        <w:rPr>
          <w:rStyle w:val="NormalTok"/>
        </w:rPr>
        <w:t xml:space="preserve"> </w:t>
      </w:r>
      <w:r>
        <w:rPr>
          <w:rStyle w:val="AttributeTok"/>
        </w:rPr>
        <w:t xml:space="preserve">--platform</w:t>
      </w:r>
      <w:r>
        <w:rPr>
          <w:rStyle w:val="NormalTok"/>
        </w:rPr>
        <w:t xml:space="preserve"> linux </w:t>
      </w:r>
      <w:r>
        <w:rPr>
          <w:rStyle w:val="AttributeTok"/>
        </w:rPr>
        <w:t xml:space="preserve">--arch</w:t>
      </w:r>
      <w:r>
        <w:rPr>
          <w:rStyle w:val="NormalTok"/>
        </w:rPr>
        <w:t xml:space="preserve"> arm64</w:t>
      </w:r>
    </w:p>
    <w:p>
      <w:pPr>
        <w:pStyle w:val="FirstParagraph"/>
      </w:pPr>
      <w:r>
        <w:t xml:space="preserve">Both scripts build the following executables:</w:t>
      </w:r>
    </w:p>
    <w:tbl>
      <w:tblPr>
        <w:tblStyle w:val="Table"/>
        <w:tblW w:type="pct" w:w="5000"/>
        <w:tblLayout w:type="fixed"/>
        <w:tblLook w:firstRow="1" w:lastRow="0" w:firstColumn="0" w:lastColumn="0" w:noHBand="0" w:noVBand="0" w:val="0020"/>
      </w:tblPr>
      <w:tblGrid>
        <w:gridCol w:w="3630"/>
        <w:gridCol w:w="4290"/>
      </w:tblGrid>
      <w:tr>
        <w:trPr>
          <w:tblHeader w:val="on"/>
        </w:trPr>
        <w:tc>
          <w:tcPr/>
          <w:p>
            <w:pPr>
              <w:pStyle w:val="Compact"/>
            </w:pPr>
            <w:r>
              <w:t xml:space="preserve">Executable</w:t>
            </w:r>
          </w:p>
        </w:tc>
        <w:tc>
          <w:tcPr/>
          <w:p>
            <w:pPr>
              <w:pStyle w:val="Compact"/>
            </w:pPr>
            <w:r>
              <w:t xml:space="preserve">Description</w:t>
            </w:r>
          </w:p>
        </w:tc>
      </w:tr>
      <w:tr>
        <w:tc>
          <w:tcPr/>
          <w:p>
            <w:pPr>
              <w:pStyle w:val="Compact"/>
            </w:pPr>
            <w:r>
              <w:rPr>
                <w:rStyle w:val="VerbatimChar"/>
              </w:rPr>
              <w:t xml:space="preserve">axonasp-http</w:t>
            </w:r>
            <w:r>
              <w:t xml:space="preserve"> </w:t>
            </w:r>
            <w:r>
              <w:t xml:space="preserve">/</w:t>
            </w:r>
            <w:r>
              <w:t xml:space="preserve"> </w:t>
            </w:r>
            <w:r>
              <w:rPr>
                <w:rStyle w:val="VerbatimChar"/>
              </w:rPr>
              <w:t xml:space="preserve">axonasp-http.exe</w:t>
            </w:r>
          </w:p>
        </w:tc>
        <w:tc>
          <w:tcPr/>
          <w:p>
            <w:pPr>
              <w:pStyle w:val="Compact"/>
            </w:pPr>
            <w:r>
              <w:t xml:space="preserve">HTTP/HTTPS web server (port 8801)</w:t>
            </w:r>
          </w:p>
        </w:tc>
      </w:tr>
      <w:tr>
        <w:tc>
          <w:tcPr/>
          <w:p>
            <w:pPr>
              <w:pStyle w:val="Compact"/>
            </w:pPr>
            <w:r>
              <w:rPr>
                <w:rStyle w:val="VerbatimChar"/>
              </w:rPr>
              <w:t xml:space="preserve">axonasp-fastcgi</w:t>
            </w:r>
            <w:r>
              <w:t xml:space="preserve"> </w:t>
            </w:r>
            <w:r>
              <w:t xml:space="preserve">/</w:t>
            </w:r>
            <w:r>
              <w:t xml:space="preserve"> </w:t>
            </w:r>
            <w:r>
              <w:rPr>
                <w:rStyle w:val="VerbatimChar"/>
              </w:rPr>
              <w:t xml:space="preserve">axonasp-fastcgi.exe</w:t>
            </w:r>
          </w:p>
        </w:tc>
        <w:tc>
          <w:tcPr/>
          <w:p>
            <w:pPr>
              <w:pStyle w:val="Compact"/>
            </w:pPr>
            <w:r>
              <w:t xml:space="preserve">FastCGI application server (port 9000)</w:t>
            </w:r>
          </w:p>
        </w:tc>
      </w:tr>
      <w:tr>
        <w:tc>
          <w:tcPr/>
          <w:p>
            <w:pPr>
              <w:pStyle w:val="Compact"/>
            </w:pPr>
            <w:r>
              <w:rPr>
                <w:rStyle w:val="VerbatimChar"/>
              </w:rPr>
              <w:t xml:space="preserve">axonasp-cli</w:t>
            </w:r>
            <w:r>
              <w:t xml:space="preserve"> </w:t>
            </w:r>
            <w:r>
              <w:t xml:space="preserve">/</w:t>
            </w:r>
            <w:r>
              <w:t xml:space="preserve"> </w:t>
            </w:r>
            <w:r>
              <w:rPr>
                <w:rStyle w:val="VerbatimChar"/>
              </w:rPr>
              <w:t xml:space="preserve">axonasp-cli.exe</w:t>
            </w:r>
          </w:p>
        </w:tc>
        <w:tc>
          <w:tcPr/>
          <w:p>
            <w:pPr>
              <w:pStyle w:val="Compact"/>
            </w:pPr>
            <w:r>
              <w:t xml:space="preserve">Command-line interpreter and TUI</w:t>
            </w:r>
          </w:p>
        </w:tc>
      </w:tr>
      <w:tr>
        <w:tc>
          <w:tcPr/>
          <w:p>
            <w:pPr>
              <w:pStyle w:val="Compact"/>
            </w:pPr>
            <w:r>
              <w:rPr>
                <w:rStyle w:val="VerbatimChar"/>
              </w:rPr>
              <w:t xml:space="preserve">axonasp-mcp</w:t>
            </w:r>
            <w:r>
              <w:t xml:space="preserve"> </w:t>
            </w:r>
            <w:r>
              <w:t xml:space="preserve">/</w:t>
            </w:r>
            <w:r>
              <w:t xml:space="preserve"> </w:t>
            </w:r>
            <w:r>
              <w:rPr>
                <w:rStyle w:val="VerbatimChar"/>
              </w:rPr>
              <w:t xml:space="preserve">axonasp-mcp.exe</w:t>
            </w:r>
          </w:p>
        </w:tc>
        <w:tc>
          <w:tcPr/>
          <w:p>
            <w:pPr>
              <w:pStyle w:val="Compact"/>
            </w:pPr>
            <w:r>
              <w:t xml:space="preserve">Model Context Protocol server for AI integration</w:t>
            </w:r>
          </w:p>
        </w:tc>
      </w:tr>
      <w:tr>
        <w:tc>
          <w:tcPr/>
          <w:p>
            <w:pPr>
              <w:pStyle w:val="Compact"/>
            </w:pPr>
            <w:r>
              <w:rPr>
                <w:rStyle w:val="VerbatimChar"/>
              </w:rPr>
              <w:t xml:space="preserve">axonasp-testsuite</w:t>
            </w:r>
            <w:r>
              <w:t xml:space="preserve"> </w:t>
            </w:r>
            <w:r>
              <w:t xml:space="preserve">/</w:t>
            </w:r>
            <w:r>
              <w:t xml:space="preserve"> </w:t>
            </w:r>
            <w:r>
              <w:rPr>
                <w:rStyle w:val="VerbatimChar"/>
              </w:rPr>
              <w:t xml:space="preserve">axonasp-testsuite.exe</w:t>
            </w:r>
          </w:p>
        </w:tc>
        <w:tc>
          <w:tcPr/>
          <w:p>
            <w:pPr>
              <w:pStyle w:val="Compact"/>
            </w:pPr>
            <w:r>
              <w:t xml:space="preserve">Automated ASP test suite runner</w:t>
            </w:r>
          </w:p>
        </w:tc>
      </w:tr>
    </w:tbl>
    <w:bookmarkEnd w:id="48"/>
    <w:bookmarkStart w:id="49" w:name="project-directory-structure"/>
    <w:p>
      <w:pPr>
        <w:pStyle w:val="Heading2"/>
      </w:pPr>
      <w:r>
        <w:t xml:space="preserve">Project Directory Structure</w:t>
      </w:r>
    </w:p>
    <w:p>
      <w:pPr>
        <w:pStyle w:val="SourceCode"/>
      </w:pPr>
      <w:r>
        <w:rPr>
          <w:rStyle w:val="VerbatimChar"/>
        </w:rPr>
        <w:t xml:space="preserve">axonasp2/</w:t>
      </w:r>
      <w:r>
        <w:br/>
      </w:r>
      <w:r>
        <w:rPr>
          <w:rStyle w:val="VerbatimChar"/>
        </w:rPr>
        <w:t xml:space="preserve">├── axonvm/                    # Core VM, compiler, and intrinsic objects</w:t>
      </w:r>
      <w:r>
        <w:br/>
      </w:r>
      <w:r>
        <w:rPr>
          <w:rStyle w:val="VerbatimChar"/>
        </w:rPr>
        <w:t xml:space="preserve">│   ├── asp/                   # ASP intrinsic objects (Request, Response, Session, etc.)</w:t>
      </w:r>
      <w:r>
        <w:br/>
      </w:r>
      <w:r>
        <w:rPr>
          <w:rStyle w:val="VerbatimChar"/>
        </w:rPr>
        <w:t xml:space="preserve">│   ├── lib_*.go               # Native object libraries (ADODB, MSXML, FSO, G3*, etc.)</w:t>
      </w:r>
      <w:r>
        <w:br/>
      </w:r>
      <w:r>
        <w:rPr>
          <w:rStyle w:val="VerbatimChar"/>
        </w:rPr>
        <w:t xml:space="preserve">│   ├── lib_*_disabled.go      # Disabled native object libraries (stubs that return errors)</w:t>
      </w:r>
      <w:r>
        <w:br/>
      </w:r>
      <w:r>
        <w:rPr>
          <w:rStyle w:val="VerbatimChar"/>
        </w:rPr>
        <w:t xml:space="preserve">│   ├── compiler*.go           # Single-pass compiler emitting bytecode</w:t>
      </w:r>
      <w:r>
        <w:br/>
      </w:r>
      <w:r>
        <w:rPr>
          <w:rStyle w:val="VerbatimChar"/>
        </w:rPr>
        <w:t xml:space="preserve">│   ├── vm.go                  # Stack-based virtual machine execution</w:t>
      </w:r>
      <w:r>
        <w:br/>
      </w:r>
      <w:r>
        <w:rPr>
          <w:rStyle w:val="VerbatimChar"/>
        </w:rPr>
        <w:t xml:space="preserve">│   ├── opcode.go              # VM opcodes and bytecode definitions</w:t>
      </w:r>
      <w:r>
        <w:br/>
      </w:r>
      <w:r>
        <w:rPr>
          <w:rStyle w:val="VerbatimChar"/>
        </w:rPr>
        <w:t xml:space="preserve">│   └── value.go               # VM value type system</w:t>
      </w:r>
      <w:r>
        <w:br/>
      </w:r>
      <w:r>
        <w:rPr>
          <w:rStyle w:val="VerbatimChar"/>
        </w:rPr>
        <w:t xml:space="preserve">│</w:t>
      </w:r>
      <w:r>
        <w:br/>
      </w:r>
      <w:r>
        <w:rPr>
          <w:rStyle w:val="VerbatimChar"/>
        </w:rPr>
        <w:t xml:space="preserve">├── vbscript/                  # Lexical analyzer and VBScript parser</w:t>
      </w:r>
      <w:r>
        <w:br/>
      </w:r>
      <w:r>
        <w:rPr>
          <w:rStyle w:val="VerbatimChar"/>
        </w:rPr>
        <w:t xml:space="preserve">│   ├── lexer.go               # Token generation from ASP source</w:t>
      </w:r>
      <w:r>
        <w:br/>
      </w:r>
      <w:r>
        <w:rPr>
          <w:rStyle w:val="VerbatimChar"/>
        </w:rPr>
        <w:t xml:space="preserve">│   ├── parser.go              # ASP parsing and validation</w:t>
      </w:r>
      <w:r>
        <w:br/>
      </w:r>
      <w:r>
        <w:rPr>
          <w:rStyle w:val="VerbatimChar"/>
        </w:rPr>
        <w:t xml:space="preserve">│   ├── token.go               # Token definitions</w:t>
      </w:r>
      <w:r>
        <w:br/>
      </w:r>
      <w:r>
        <w:rPr>
          <w:rStyle w:val="VerbatimChar"/>
        </w:rPr>
        <w:t xml:space="preserve">│   └── vberrorcodes.go        # VBScript error numbers/messages</w:t>
      </w:r>
      <w:r>
        <w:br/>
      </w:r>
      <w:r>
        <w:rPr>
          <w:rStyle w:val="VerbatimChar"/>
        </w:rPr>
        <w:t xml:space="preserve">│</w:t>
      </w:r>
      <w:r>
        <w:br/>
      </w:r>
      <w:r>
        <w:rPr>
          <w:rStyle w:val="VerbatimChar"/>
        </w:rPr>
        <w:t xml:space="preserve">├── jscript/                   # Lexical analyzer and JScript parser</w:t>
      </w:r>
      <w:r>
        <w:br/>
      </w:r>
      <w:r>
        <w:rPr>
          <w:rStyle w:val="VerbatimChar"/>
        </w:rPr>
        <w:t xml:space="preserve">│   ├── ast/ast.go             # Abstract syntax tree definitions</w:t>
      </w:r>
      <w:r>
        <w:br/>
      </w:r>
      <w:r>
        <w:rPr>
          <w:rStyle w:val="VerbatimChar"/>
        </w:rPr>
        <w:t xml:space="preserve">│   ├── parser/parser.go       # ASP parsing and validation</w:t>
      </w:r>
      <w:r>
        <w:br/>
      </w:r>
      <w:r>
        <w:rPr>
          <w:rStyle w:val="VerbatimChar"/>
        </w:rPr>
        <w:t xml:space="preserve">│   ├── token/token.go         # Token definitions</w:t>
      </w:r>
      <w:r>
        <w:br/>
      </w:r>
      <w:r>
        <w:rPr>
          <w:rStyle w:val="VerbatimChar"/>
        </w:rPr>
        <w:t xml:space="preserve">│   └── jserrorcodes.go        # JScript error numbers/messages</w:t>
      </w:r>
      <w:r>
        <w:br/>
      </w:r>
      <w:r>
        <w:rPr>
          <w:rStyle w:val="VerbatimChar"/>
        </w:rPr>
        <w:t xml:space="preserve">│</w:t>
      </w:r>
      <w:r>
        <w:br/>
      </w:r>
      <w:r>
        <w:rPr>
          <w:rStyle w:val="VerbatimChar"/>
        </w:rPr>
        <w:t xml:space="preserve">├── server/                    # HTTP web server runtime</w:t>
      </w:r>
      <w:r>
        <w:br/>
      </w:r>
      <w:r>
        <w:rPr>
          <w:rStyle w:val="VerbatimChar"/>
        </w:rPr>
        <w:t xml:space="preserve">│   ├── main.go                # HTTP listener and request handler</w:t>
      </w:r>
      <w:r>
        <w:br/>
      </w:r>
      <w:r>
        <w:rPr>
          <w:rStyle w:val="VerbatimChar"/>
        </w:rPr>
        <w:t xml:space="preserve">│   ├── web_host.go            # ASP execution and routing</w:t>
      </w:r>
      <w:r>
        <w:br/>
      </w:r>
      <w:r>
        <w:rPr>
          <w:rStyle w:val="VerbatimChar"/>
        </w:rPr>
        <w:t xml:space="preserve">│   ├── webconfig.go           # web.config parsing and rules</w:t>
      </w:r>
      <w:r>
        <w:br/>
      </w:r>
      <w:r>
        <w:rPr>
          <w:rStyle w:val="VerbatimChar"/>
        </w:rPr>
        <w:t xml:space="preserve">│   └── directorylisting.go    # Directory listing UI generation</w:t>
      </w:r>
      <w:r>
        <w:br/>
      </w:r>
      <w:r>
        <w:rPr>
          <w:rStyle w:val="VerbatimChar"/>
        </w:rPr>
        <w:t xml:space="preserve">│</w:t>
      </w:r>
      <w:r>
        <w:br/>
      </w:r>
      <w:r>
        <w:rPr>
          <w:rStyle w:val="VerbatimChar"/>
        </w:rPr>
        <w:t xml:space="preserve">├── fastcgi/                   # FastCGI application server runtime</w:t>
      </w:r>
      <w:r>
        <w:br/>
      </w:r>
      <w:r>
        <w:rPr>
          <w:rStyle w:val="VerbatimChar"/>
        </w:rPr>
        <w:t xml:space="preserve">│   └── main.go                # FastCGI listener and protocol handler</w:t>
      </w:r>
      <w:r>
        <w:br/>
      </w:r>
      <w:r>
        <w:rPr>
          <w:rStyle w:val="VerbatimChar"/>
        </w:rPr>
        <w:t xml:space="preserve">│</w:t>
      </w:r>
      <w:r>
        <w:br/>
      </w:r>
      <w:r>
        <w:rPr>
          <w:rStyle w:val="VerbatimChar"/>
        </w:rPr>
        <w:t xml:space="preserve">├── cli/                       # Command-line interface runtime</w:t>
      </w:r>
      <w:r>
        <w:br/>
      </w:r>
      <w:r>
        <w:rPr>
          <w:rStyle w:val="VerbatimChar"/>
        </w:rPr>
        <w:t xml:space="preserve">│   └── main.go                # TUI and script execution</w:t>
      </w:r>
      <w:r>
        <w:br/>
      </w:r>
      <w:r>
        <w:rPr>
          <w:rStyle w:val="VerbatimChar"/>
        </w:rPr>
        <w:t xml:space="preserve">│</w:t>
      </w:r>
      <w:r>
        <w:br/>
      </w:r>
      <w:r>
        <w:rPr>
          <w:rStyle w:val="VerbatimChar"/>
        </w:rPr>
        <w:t xml:space="preserve">├── mcp/                       # Model Context Protocol server</w:t>
      </w:r>
      <w:r>
        <w:br/>
      </w:r>
      <w:r>
        <w:rPr>
          <w:rStyle w:val="VerbatimChar"/>
        </w:rPr>
        <w:t xml:space="preserve">│   └── main.go                # MCP stdio/SSE server</w:t>
      </w:r>
      <w:r>
        <w:br/>
      </w:r>
      <w:r>
        <w:rPr>
          <w:rStyle w:val="VerbatimChar"/>
        </w:rPr>
        <w:t xml:space="preserve">│</w:t>
      </w:r>
      <w:r>
        <w:br/>
      </w:r>
      <w:r>
        <w:rPr>
          <w:rStyle w:val="VerbatimChar"/>
        </w:rPr>
        <w:t xml:space="preserve">├── testsuite/                 # Automated ASP test suite runner</w:t>
      </w:r>
      <w:r>
        <w:br/>
      </w:r>
      <w:r>
        <w:rPr>
          <w:rStyle w:val="VerbatimChar"/>
        </w:rPr>
        <w:t xml:space="preserve">│   └── main.go                # Test runner entry point</w:t>
      </w:r>
      <w:r>
        <w:br/>
      </w:r>
      <w:r>
        <w:rPr>
          <w:rStyle w:val="VerbatimChar"/>
        </w:rPr>
        <w:t xml:space="preserve">│</w:t>
      </w:r>
      <w:r>
        <w:br/>
      </w:r>
      <w:r>
        <w:rPr>
          <w:rStyle w:val="VerbatimChar"/>
        </w:rPr>
        <w:t xml:space="preserve">├── service/                   # Background service runtime</w:t>
      </w:r>
      <w:r>
        <w:br/>
      </w:r>
      <w:r>
        <w:rPr>
          <w:rStyle w:val="VerbatimChar"/>
        </w:rPr>
        <w:t xml:space="preserve">│   └── main.go                # Service entry point</w:t>
      </w:r>
      <w:r>
        <w:br/>
      </w:r>
      <w:r>
        <w:rPr>
          <w:rStyle w:val="VerbatimChar"/>
        </w:rPr>
        <w:t xml:space="preserve">│</w:t>
      </w:r>
      <w:r>
        <w:br/>
      </w:r>
      <w:r>
        <w:rPr>
          <w:rStyle w:val="VerbatimChar"/>
        </w:rPr>
        <w:t xml:space="preserve">├── config/</w:t>
      </w:r>
      <w:r>
        <w:br/>
      </w:r>
      <w:r>
        <w:rPr>
          <w:rStyle w:val="VerbatimChar"/>
        </w:rPr>
        <w:t xml:space="preserve">│   └── axonasp.toml           # Configuration file (shared by all runtimes)</w:t>
      </w:r>
      <w:r>
        <w:br/>
      </w:r>
      <w:r>
        <w:rPr>
          <w:rStyle w:val="VerbatimChar"/>
        </w:rPr>
        <w:t xml:space="preserve">│</w:t>
      </w:r>
      <w:r>
        <w:br/>
      </w:r>
      <w:r>
        <w:rPr>
          <w:rStyle w:val="VerbatimChar"/>
        </w:rPr>
        <w:t xml:space="preserve">├── axonconfig/</w:t>
      </w:r>
      <w:r>
        <w:br/>
      </w:r>
      <w:r>
        <w:rPr>
          <w:rStyle w:val="VerbatimChar"/>
        </w:rPr>
        <w:t xml:space="preserve">│   └── loader.go              # Configuration loader (shared by all runtimes)</w:t>
      </w:r>
      <w:r>
        <w:br/>
      </w:r>
      <w:r>
        <w:rPr>
          <w:rStyle w:val="VerbatimChar"/>
        </w:rPr>
        <w:t xml:space="preserve">│</w:t>
      </w:r>
      <w:r>
        <w:br/>
      </w:r>
      <w:r>
        <w:rPr>
          <w:rStyle w:val="VerbatimChar"/>
        </w:rPr>
        <w:t xml:space="preserve">├── www/                       # Web root directory</w:t>
      </w:r>
      <w:r>
        <w:br/>
      </w:r>
      <w:r>
        <w:rPr>
          <w:rStyle w:val="VerbatimChar"/>
        </w:rPr>
        <w:t xml:space="preserve">│   ├── manual/                # Built-in documentation</w:t>
      </w:r>
      <w:r>
        <w:br/>
      </w:r>
      <w:r>
        <w:rPr>
          <w:rStyle w:val="VerbatimChar"/>
        </w:rPr>
        <w:t xml:space="preserve">│   ├── tests/                 # ASP test suite pages</w:t>
      </w:r>
      <w:r>
        <w:br/>
      </w:r>
      <w:r>
        <w:rPr>
          <w:rStyle w:val="VerbatimChar"/>
        </w:rPr>
        <w:t xml:space="preserve">│   ├── error-pages/           # Custom HTTP error page templates</w:t>
      </w:r>
      <w:r>
        <w:br/>
      </w:r>
      <w:r>
        <w:rPr>
          <w:rStyle w:val="VerbatimChar"/>
        </w:rPr>
        <w:t xml:space="preserve">│   ├── axonasp-pages/         # System pages, CSS, and assets</w:t>
      </w:r>
      <w:r>
        <w:br/>
      </w:r>
      <w:r>
        <w:rPr>
          <w:rStyle w:val="VerbatimChar"/>
        </w:rPr>
        <w:t xml:space="preserve">│   ├── database-convert/      # Access database conversion tool</w:t>
      </w:r>
      <w:r>
        <w:br/>
      </w:r>
      <w:r>
        <w:rPr>
          <w:rStyle w:val="VerbatimChar"/>
        </w:rPr>
        <w:t xml:space="preserve">│   ├── mvc/                   # MVC example application</w:t>
      </w:r>
      <w:r>
        <w:br/>
      </w:r>
      <w:r>
        <w:rPr>
          <w:rStyle w:val="VerbatimChar"/>
        </w:rPr>
        <w:t xml:space="preserve">│   ├── mvvm/                  # MVVM example application</w:t>
      </w:r>
      <w:r>
        <w:br/>
      </w:r>
      <w:r>
        <w:rPr>
          <w:rStyle w:val="VerbatimChar"/>
        </w:rPr>
        <w:t xml:space="preserve">│   ├── rest/                  # REST example application</w:t>
      </w:r>
      <w:r>
        <w:br/>
      </w:r>
      <w:r>
        <w:rPr>
          <w:rStyle w:val="VerbatimChar"/>
        </w:rPr>
        <w:t xml:space="preserve">│   └── restful/               # RESTful example application</w:t>
      </w:r>
      <w:r>
        <w:br/>
      </w:r>
      <w:r>
        <w:rPr>
          <w:rStyle w:val="VerbatimChar"/>
        </w:rPr>
        <w:t xml:space="preserve">│</w:t>
      </w:r>
      <w:r>
        <w:br/>
      </w:r>
      <w:r>
        <w:rPr>
          <w:rStyle w:val="VerbatimChar"/>
        </w:rPr>
        <w:t xml:space="preserve">├── resources/                 # Static resources and data</w:t>
      </w:r>
      <w:r>
        <w:br/>
      </w:r>
      <w:r>
        <w:rPr>
          <w:rStyle w:val="VerbatimChar"/>
        </w:rPr>
        <w:t xml:space="preserve">├── docker/                    # Docker deployment files</w:t>
      </w:r>
      <w:r>
        <w:br/>
      </w:r>
      <w:r>
        <w:rPr>
          <w:rStyle w:val="VerbatimChar"/>
        </w:rPr>
        <w:t xml:space="preserve">├── temp/                      # Runtime cache and session storage</w:t>
      </w:r>
      <w:r>
        <w:br/>
      </w:r>
      <w:r>
        <w:rPr>
          <w:rStyle w:val="VerbatimChar"/>
        </w:rPr>
        <w:t xml:space="preserve">├── global.asa                 # Application-level event handlers</w:t>
      </w:r>
      <w:r>
        <w:br/>
      </w:r>
      <w:r>
        <w:rPr>
          <w:rStyle w:val="VerbatimChar"/>
        </w:rPr>
        <w:t xml:space="preserve">├── build.ps1                  # PowerShell build script (Windows)</w:t>
      </w:r>
      <w:r>
        <w:br/>
      </w:r>
      <w:r>
        <w:rPr>
          <w:rStyle w:val="VerbatimChar"/>
        </w:rPr>
        <w:t xml:space="preserve">├── build.sh                   # Bash build script (Linux/macOS)</w:t>
      </w:r>
      <w:r>
        <w:br/>
      </w:r>
      <w:r>
        <w:rPr>
          <w:rStyle w:val="VerbatimChar"/>
        </w:rPr>
        <w:t xml:space="preserve">└── go.mod, go.sum             # Go module dependencies</w:t>
      </w:r>
    </w:p>
    <w:bookmarkEnd w:id="49"/>
    <w:bookmarkStart w:id="50" w:name="required-runtime-files"/>
    <w:p>
      <w:pPr>
        <w:pStyle w:val="Heading2"/>
      </w:pPr>
      <w:r>
        <w:t xml:space="preserve">Required Runtime Files</w:t>
      </w:r>
    </w:p>
    <w:p>
      <w:pPr>
        <w:pStyle w:val="FirstParagraph"/>
      </w:pPr>
      <w:r>
        <w:t xml:space="preserve">When deploying AxonASP executables, ensure the following are in the</w:t>
      </w:r>
      <w:r>
        <w:t xml:space="preserve"> </w:t>
      </w:r>
      <w:r>
        <w:rPr>
          <w:b/>
          <w:bCs/>
        </w:rPr>
        <w:t xml:space="preserve">same directory</w:t>
      </w:r>
      <w:r>
        <w:t xml:space="preserve"> </w:t>
      </w:r>
      <w:r>
        <w:t xml:space="preserve">as the executable:</w:t>
      </w:r>
    </w:p>
    <w:p>
      <w:pPr>
        <w:pStyle w:val="Compact"/>
        <w:numPr>
          <w:ilvl w:val="0"/>
          <w:numId w:val="1013"/>
        </w:numPr>
      </w:pPr>
      <w:r>
        <w:rPr>
          <w:b/>
          <w:bCs/>
        </w:rPr>
        <w:t xml:space="preserve">config/axonasp.toml</w:t>
      </w:r>
      <w:r>
        <w:t xml:space="preserve"> </w:t>
      </w:r>
      <w:r>
        <w:t xml:space="preserve">- Configuration file (absolute or relative path, configurable)</w:t>
      </w:r>
    </w:p>
    <w:p>
      <w:pPr>
        <w:pStyle w:val="Compact"/>
        <w:numPr>
          <w:ilvl w:val="0"/>
          <w:numId w:val="1013"/>
        </w:numPr>
      </w:pPr>
      <w:r>
        <w:rPr>
          <w:b/>
          <w:bCs/>
        </w:rPr>
        <w:t xml:space="preserve">www/</w:t>
      </w:r>
      <w:r>
        <w:t xml:space="preserve"> </w:t>
      </w:r>
      <w:r>
        <w:t xml:space="preserve">- Web root directory containing your ASP applications</w:t>
      </w:r>
    </w:p>
    <w:p>
      <w:pPr>
        <w:pStyle w:val="FirstParagraph"/>
      </w:pPr>
      <w:r>
        <w:t xml:space="preserve">Both paths are configured in</w:t>
      </w:r>
      <w:r>
        <w:t xml:space="preserve"> </w:t>
      </w:r>
      <w:r>
        <w:rPr>
          <w:rStyle w:val="VerbatimChar"/>
        </w:rPr>
        <w:t xml:space="preserve">axonasp.toml</w:t>
      </w:r>
      <w:r>
        <w:t xml:space="preserve"> </w:t>
      </w:r>
      <w:r>
        <w:t xml:space="preserve">and can be set via environment variables:</w:t>
      </w:r>
    </w:p>
    <w:p>
      <w:pPr>
        <w:pStyle w:val="SourceCode"/>
      </w:pPr>
      <w:r>
        <w:rPr>
          <w:rStyle w:val="VariableTok"/>
        </w:rPr>
        <w:t xml:space="preserve">$env</w:t>
      </w:r>
      <w:r>
        <w:rPr>
          <w:rStyle w:val="OperatorTok"/>
        </w:rPr>
        <w:t xml:space="preserve">:</w:t>
      </w:r>
      <w:r>
        <w:rPr>
          <w:rStyle w:val="VariableTok"/>
        </w:rPr>
        <w:t xml:space="preserve">WEB_ROOT</w:t>
      </w:r>
      <w:r>
        <w:rPr>
          <w:rStyle w:val="NormalTok"/>
        </w:rPr>
        <w:t xml:space="preserve"> </w:t>
      </w:r>
      <w:r>
        <w:rPr>
          <w:rStyle w:val="OperatorTok"/>
        </w:rPr>
        <w:t xml:space="preserve">=</w:t>
      </w:r>
      <w:r>
        <w:rPr>
          <w:rStyle w:val="NormalTok"/>
        </w:rPr>
        <w:t xml:space="preserve"> </w:t>
      </w:r>
      <w:r>
        <w:rPr>
          <w:rStyle w:val="StringTok"/>
        </w:rPr>
        <w:t xml:space="preserve">"C:\myapp\www"</w:t>
      </w:r>
      <w:r>
        <w:br/>
      </w:r>
      <w:r>
        <w:rPr>
          <w:rStyle w:val="VariableTok"/>
        </w:rPr>
        <w:t xml:space="preserve">$env</w:t>
      </w:r>
      <w:r>
        <w:rPr>
          <w:rStyle w:val="OperatorTok"/>
        </w:rPr>
        <w:t xml:space="preserve">:</w:t>
      </w:r>
      <w:r>
        <w:rPr>
          <w:rStyle w:val="VariableTok"/>
        </w:rPr>
        <w:t xml:space="preserve">CONFIG_PATH</w:t>
      </w:r>
      <w:r>
        <w:rPr>
          <w:rStyle w:val="NormalTok"/>
        </w:rPr>
        <w:t xml:space="preserve"> </w:t>
      </w:r>
      <w:r>
        <w:rPr>
          <w:rStyle w:val="OperatorTok"/>
        </w:rPr>
        <w:t xml:space="preserve">=</w:t>
      </w:r>
      <w:r>
        <w:rPr>
          <w:rStyle w:val="NormalTok"/>
        </w:rPr>
        <w:t xml:space="preserve"> </w:t>
      </w:r>
      <w:r>
        <w:rPr>
          <w:rStyle w:val="StringTok"/>
        </w:rPr>
        <w:t xml:space="preserve">"C:\myapp\config\axonasp.toml"</w:t>
      </w:r>
    </w:p>
    <w:bookmarkEnd w:id="50"/>
    <w:bookmarkStart w:id="51" w:name="environment-variable-override"/>
    <w:p>
      <w:pPr>
        <w:pStyle w:val="Heading2"/>
      </w:pPr>
      <w:r>
        <w:t xml:space="preserve">Environment Variable Override</w:t>
      </w:r>
    </w:p>
    <w:p>
      <w:pPr>
        <w:pStyle w:val="FirstParagraph"/>
      </w:pPr>
      <w:r>
        <w:t xml:space="preserve">All configuration values in</w:t>
      </w:r>
      <w:r>
        <w:t xml:space="preserve"> </w:t>
      </w:r>
      <w:r>
        <w:rPr>
          <w:rStyle w:val="VerbatimChar"/>
        </w:rPr>
        <w:t xml:space="preserve">axonasp.toml</w:t>
      </w:r>
      <w:r>
        <w:t xml:space="preserve"> </w:t>
      </w:r>
      <w:r>
        <w:t xml:space="preserve">can be overridden via</w:t>
      </w:r>
      <w:r>
        <w:t xml:space="preserve"> </w:t>
      </w:r>
      <w:r>
        <w:rPr>
          <w:b/>
          <w:bCs/>
        </w:rPr>
        <w:t xml:space="preserve">environment variables</w:t>
      </w:r>
      <w:r>
        <w:t xml:space="preserve"> </w:t>
      </w:r>
      <w:r>
        <w:t xml:space="preserve">(requires</w:t>
      </w:r>
      <w:r>
        <w:t xml:space="preserve"> </w:t>
      </w:r>
      <w:r>
        <w:rPr>
          <w:rStyle w:val="VerbatimChar"/>
        </w:rPr>
        <w:t xml:space="preserve">viper_automatic_env = true</w:t>
      </w:r>
      <w:r>
        <w:t xml:space="preserve"> </w:t>
      </w:r>
      <w:r>
        <w:t xml:space="preserve">in config):</w:t>
      </w:r>
    </w:p>
    <w:p>
      <w:pPr>
        <w:pStyle w:val="SourceCode"/>
      </w:pPr>
      <w:r>
        <w:rPr>
          <w:rStyle w:val="CommentTok"/>
        </w:rPr>
        <w:t xml:space="preserve"># Format: SECTION_SETTING or SECTION_SUBSETTING (uppercase, underscores replace dots)</w:t>
      </w:r>
      <w:r>
        <w:br/>
      </w:r>
      <w:r>
        <w:rPr>
          <w:rStyle w:val="VariableTok"/>
        </w:rPr>
        <w:t xml:space="preserve">$env</w:t>
      </w:r>
      <w:r>
        <w:rPr>
          <w:rStyle w:val="OperatorTok"/>
        </w:rPr>
        <w:t xml:space="preserve">:</w:t>
      </w:r>
      <w:r>
        <w:rPr>
          <w:rStyle w:val="VariableTok"/>
        </w:rPr>
        <w:t xml:space="preserve">DEFAULT_CHARSET</w:t>
      </w:r>
      <w:r>
        <w:rPr>
          <w:rStyle w:val="NormalTok"/>
        </w:rPr>
        <w:t xml:space="preserve"> </w:t>
      </w:r>
      <w:r>
        <w:rPr>
          <w:rStyle w:val="OperatorTok"/>
        </w:rPr>
        <w:t xml:space="preserve">=</w:t>
      </w:r>
      <w:r>
        <w:rPr>
          <w:rStyle w:val="NormalTok"/>
        </w:rPr>
        <w:t xml:space="preserve"> </w:t>
      </w:r>
      <w:r>
        <w:rPr>
          <w:rStyle w:val="StringTok"/>
        </w:rPr>
        <w:t xml:space="preserve">"UTF-8"</w:t>
      </w:r>
      <w:r>
        <w:br/>
      </w:r>
      <w:r>
        <w:rPr>
          <w:rStyle w:val="VariableTok"/>
        </w:rPr>
        <w:t xml:space="preserve">$env</w:t>
      </w:r>
      <w:r>
        <w:rPr>
          <w:rStyle w:val="OperatorTok"/>
        </w:rPr>
        <w:t xml:space="preserve">:</w:t>
      </w:r>
      <w:r>
        <w:rPr>
          <w:rStyle w:val="VariableTok"/>
        </w:rPr>
        <w:t xml:space="preserve">DEFAULT_SCRIPT_TIMEOUT</w:t>
      </w:r>
      <w:r>
        <w:rPr>
          <w:rStyle w:val="NormalTok"/>
        </w:rPr>
        <w:t xml:space="preserve"> </w:t>
      </w:r>
      <w:r>
        <w:rPr>
          <w:rStyle w:val="OperatorTok"/>
        </w:rPr>
        <w:t xml:space="preserve">=</w:t>
      </w:r>
      <w:r>
        <w:rPr>
          <w:rStyle w:val="NormalTok"/>
        </w:rPr>
        <w:t xml:space="preserve"> </w:t>
      </w:r>
      <w:r>
        <w:rPr>
          <w:rStyle w:val="StringTok"/>
        </w:rPr>
        <w:t xml:space="preserve">"120"</w:t>
      </w:r>
      <w:r>
        <w:br/>
      </w:r>
      <w:r>
        <w:rPr>
          <w:rStyle w:val="VariableTok"/>
        </w:rPr>
        <w:t xml:space="preserve">$env</w:t>
      </w:r>
      <w:r>
        <w:rPr>
          <w:rStyle w:val="OperatorTok"/>
        </w:rPr>
        <w:t xml:space="preserve">:</w:t>
      </w:r>
      <w:r>
        <w:rPr>
          <w:rStyle w:val="VariableTok"/>
        </w:rPr>
        <w:t xml:space="preserve">SERVER_PORT</w:t>
      </w:r>
      <w:r>
        <w:rPr>
          <w:rStyle w:val="NormalTok"/>
        </w:rPr>
        <w:t xml:space="preserve"> </w:t>
      </w:r>
      <w:r>
        <w:rPr>
          <w:rStyle w:val="OperatorTok"/>
        </w:rPr>
        <w:t xml:space="preserve">=</w:t>
      </w:r>
      <w:r>
        <w:rPr>
          <w:rStyle w:val="NormalTok"/>
        </w:rPr>
        <w:t xml:space="preserve"> </w:t>
      </w:r>
      <w:r>
        <w:rPr>
          <w:rStyle w:val="StringTok"/>
        </w:rPr>
        <w:t xml:space="preserve">"8802"</w:t>
      </w:r>
    </w:p>
    <w:bookmarkEnd w:id="51"/>
    <w:bookmarkStart w:id="52" w:name="service-ports-and-endpoints"/>
    <w:p>
      <w:pPr>
        <w:pStyle w:val="Heading2"/>
      </w:pPr>
      <w:r>
        <w:t xml:space="preserve">Service Ports and Endpoints</w:t>
      </w:r>
    </w:p>
    <w:tbl>
      <w:tblPr>
        <w:tblStyle w:val="Table"/>
        <w:tblW w:type="pct" w:w="5000"/>
        <w:tblLayout w:type="fixed"/>
        <w:tblLook w:firstRow="1" w:lastRow="0" w:firstColumn="0" w:lastColumn="0" w:noHBand="0" w:noVBand="0" w:val="0020"/>
      </w:tblPr>
      <w:tblGrid>
        <w:gridCol w:w="1657"/>
        <w:gridCol w:w="2026"/>
        <w:gridCol w:w="2578"/>
        <w:gridCol w:w="1657"/>
      </w:tblGrid>
      <w:tr>
        <w:trPr>
          <w:tblHeader w:val="on"/>
        </w:trPr>
        <w:tc>
          <w:tcPr/>
          <w:p>
            <w:pPr>
              <w:pStyle w:val="Compact"/>
            </w:pPr>
            <w:r>
              <w:t xml:space="preserve">Service</w:t>
            </w:r>
          </w:p>
        </w:tc>
        <w:tc>
          <w:tcPr/>
          <w:p>
            <w:pPr>
              <w:pStyle w:val="Compact"/>
            </w:pPr>
            <w:r>
              <w:t xml:space="preserve">Executable</w:t>
            </w:r>
          </w:p>
        </w:tc>
        <w:tc>
          <w:tcPr/>
          <w:p>
            <w:pPr>
              <w:pStyle w:val="Compact"/>
            </w:pPr>
            <w:r>
              <w:t xml:space="preserve">Default Port</w:t>
            </w:r>
          </w:p>
        </w:tc>
        <w:tc>
          <w:tcPr/>
          <w:p>
            <w:pPr>
              <w:pStyle w:val="Compact"/>
            </w:pPr>
            <w:r>
              <w:t xml:space="preserve">Purpose</w:t>
            </w:r>
          </w:p>
        </w:tc>
      </w:tr>
      <w:tr>
        <w:tc>
          <w:tcPr/>
          <w:p>
            <w:pPr>
              <w:pStyle w:val="Compact"/>
            </w:pPr>
            <w:r>
              <w:rPr>
                <w:b/>
                <w:bCs/>
              </w:rPr>
              <w:t xml:space="preserve">HTTP</w:t>
            </w:r>
          </w:p>
        </w:tc>
        <w:tc>
          <w:tcPr/>
          <w:p>
            <w:pPr>
              <w:pStyle w:val="Compact"/>
            </w:pPr>
            <w:r>
              <w:t xml:space="preserve">axonasp-http.exe / axonasp-http</w:t>
            </w:r>
          </w:p>
        </w:tc>
        <w:tc>
          <w:tcPr/>
          <w:p>
            <w:pPr>
              <w:pStyle w:val="Compact"/>
            </w:pPr>
            <w:r>
              <w:t xml:space="preserve">8801</w:t>
            </w:r>
          </w:p>
        </w:tc>
        <w:tc>
          <w:tcPr/>
          <w:p>
            <w:pPr>
              <w:pStyle w:val="Compact"/>
            </w:pPr>
            <w:r>
              <w:t xml:space="preserve">Direct web server (development/proxy backend)</w:t>
            </w:r>
          </w:p>
        </w:tc>
      </w:tr>
      <w:tr>
        <w:tc>
          <w:tcPr/>
          <w:p>
            <w:pPr>
              <w:pStyle w:val="Compact"/>
            </w:pPr>
            <w:r>
              <w:rPr>
                <w:b/>
                <w:bCs/>
              </w:rPr>
              <w:t xml:space="preserve">FastCGI</w:t>
            </w:r>
          </w:p>
        </w:tc>
        <w:tc>
          <w:tcPr/>
          <w:p>
            <w:pPr>
              <w:pStyle w:val="Compact"/>
            </w:pPr>
            <w:r>
              <w:t xml:space="preserve">axonasp-fastcgi.exe / axonasp-fastcgi</w:t>
            </w:r>
          </w:p>
        </w:tc>
        <w:tc>
          <w:tcPr/>
          <w:p>
            <w:pPr>
              <w:pStyle w:val="Compact"/>
            </w:pPr>
            <w:r>
              <w:t xml:space="preserve">9000</w:t>
            </w:r>
          </w:p>
        </w:tc>
        <w:tc>
          <w:tcPr/>
          <w:p>
            <w:pPr>
              <w:pStyle w:val="Compact"/>
            </w:pPr>
            <w:r>
              <w:t xml:space="preserve">FastCGI application server</w:t>
            </w:r>
          </w:p>
        </w:tc>
      </w:tr>
      <w:tr>
        <w:tc>
          <w:tcPr/>
          <w:p>
            <w:pPr>
              <w:pStyle w:val="Compact"/>
            </w:pPr>
            <w:r>
              <w:rPr>
                <w:b/>
                <w:bCs/>
              </w:rPr>
              <w:t xml:space="preserve">CLI</w:t>
            </w:r>
          </w:p>
        </w:tc>
        <w:tc>
          <w:tcPr/>
          <w:p>
            <w:pPr>
              <w:pStyle w:val="Compact"/>
            </w:pPr>
            <w:r>
              <w:t xml:space="preserve">axonasp-cli.exe / axonasp-cli</w:t>
            </w:r>
          </w:p>
        </w:tc>
        <w:tc>
          <w:tcPr/>
          <w:p>
            <w:pPr>
              <w:pStyle w:val="Compact"/>
            </w:pPr>
            <w:r>
              <w:t xml:space="preserve">N/A</w:t>
            </w:r>
          </w:p>
        </w:tc>
        <w:tc>
          <w:tcPr/>
          <w:p>
            <w:pPr>
              <w:pStyle w:val="Compact"/>
            </w:pPr>
            <w:r>
              <w:t xml:space="preserve">Command-line script execution</w:t>
            </w:r>
          </w:p>
        </w:tc>
      </w:tr>
      <w:tr>
        <w:tc>
          <w:tcPr/>
          <w:p>
            <w:pPr>
              <w:pStyle w:val="Compact"/>
            </w:pPr>
            <w:r>
              <w:rPr>
                <w:b/>
                <w:bCs/>
              </w:rPr>
              <w:t xml:space="preserve">MCP</w:t>
            </w:r>
          </w:p>
        </w:tc>
        <w:tc>
          <w:tcPr/>
          <w:p>
            <w:pPr>
              <w:pStyle w:val="Compact"/>
            </w:pPr>
            <w:r>
              <w:t xml:space="preserve">axonasp-mcp.exe / axonasp-mcp</w:t>
            </w:r>
          </w:p>
        </w:tc>
        <w:tc>
          <w:tcPr/>
          <w:p>
            <w:pPr>
              <w:pStyle w:val="Compact"/>
            </w:pPr>
            <w:r>
              <w:t xml:space="preserve">stdio / SSE</w:t>
            </w:r>
          </w:p>
        </w:tc>
        <w:tc>
          <w:tcPr/>
          <w:p>
            <w:pPr>
              <w:pStyle w:val="Compact"/>
            </w:pPr>
            <w:r>
              <w:t xml:space="preserve">AI model integration server</w:t>
            </w:r>
          </w:p>
        </w:tc>
      </w:tr>
      <w:tr>
        <w:tc>
          <w:tcPr/>
          <w:p>
            <w:pPr>
              <w:pStyle w:val="Compact"/>
            </w:pPr>
            <w:r>
              <w:rPr>
                <w:b/>
                <w:bCs/>
              </w:rPr>
              <w:t xml:space="preserve">Test Suite</w:t>
            </w:r>
          </w:p>
        </w:tc>
        <w:tc>
          <w:tcPr/>
          <w:p>
            <w:pPr>
              <w:pStyle w:val="Compact"/>
            </w:pPr>
            <w:r>
              <w:t xml:space="preserve">axonasp-testsuite.exe / axonasp-testsuite</w:t>
            </w:r>
          </w:p>
        </w:tc>
        <w:tc>
          <w:tcPr/>
          <w:p>
            <w:pPr>
              <w:pStyle w:val="Compact"/>
            </w:pPr>
            <w:r>
              <w:t xml:space="preserve">N/A</w:t>
            </w:r>
          </w:p>
        </w:tc>
        <w:tc>
          <w:tcPr/>
          <w:p>
            <w:pPr>
              <w:pStyle w:val="Compact"/>
            </w:pPr>
            <w:r>
              <w:t xml:space="preserve">Automated ASP test runner</w:t>
            </w:r>
          </w:p>
        </w:tc>
      </w:tr>
    </w:tbl>
    <w:bookmarkEnd w:id="52"/>
    <w:bookmarkStart w:id="53" w:name="docker-support"/>
    <w:p>
      <w:pPr>
        <w:pStyle w:val="Heading2"/>
      </w:pPr>
      <w:r>
        <w:t xml:space="preserve">Docker Support</w:t>
      </w:r>
    </w:p>
    <w:p>
      <w:pPr>
        <w:pStyle w:val="FirstParagraph"/>
      </w:pPr>
      <w:r>
        <w:t xml:space="preserve">AxonASP includes Docker deployment support via</w:t>
      </w:r>
      <w:r>
        <w:t xml:space="preserve"> </w:t>
      </w:r>
      <w:r>
        <w:rPr>
          <w:b/>
          <w:bCs/>
        </w:rPr>
        <w:t xml:space="preserve">docker-compose.yml</w:t>
      </w:r>
      <w:r>
        <w:t xml:space="preserve"> </w:t>
      </w:r>
      <w:r>
        <w:t xml:space="preserve">and</w:t>
      </w:r>
      <w:r>
        <w:t xml:space="preserve"> </w:t>
      </w:r>
      <w:r>
        <w:rPr>
          <w:b/>
          <w:bCs/>
        </w:rPr>
        <w:t xml:space="preserve">Dockerfile</w:t>
      </w:r>
      <w:r>
        <w:t xml:space="preserve">. Build and run containerized instances:</w:t>
      </w:r>
    </w:p>
    <w:p>
      <w:pPr>
        <w:pStyle w:val="SourceCode"/>
      </w:pPr>
      <w:r>
        <w:rPr>
          <w:rStyle w:val="ExtensionTok"/>
        </w:rPr>
        <w:t xml:space="preserve">docker-compose</w:t>
      </w:r>
      <w:r>
        <w:rPr>
          <w:rStyle w:val="NormalTok"/>
        </w:rPr>
        <w:t xml:space="preserve"> up </w:t>
      </w:r>
      <w:r>
        <w:rPr>
          <w:rStyle w:val="AttributeTok"/>
        </w:rPr>
        <w:t xml:space="preserve">-d</w:t>
      </w:r>
    </w:p>
    <w:p>
      <w:pPr>
        <w:pStyle w:val="FirstParagraph"/>
      </w:pPr>
      <w:r>
        <w:t xml:space="preserve">This creates isolated, easily scalable AxonASP instances suitable for cloud deployment or load-balancing scenarios.</w:t>
      </w:r>
    </w:p>
    <w:bookmarkEnd w:id="53"/>
    <w:bookmarkStart w:id="57" w:name="deployment-architecture"/>
    <w:p>
      <w:pPr>
        <w:pStyle w:val="Heading2"/>
      </w:pPr>
      <w:r>
        <w:t xml:space="preserve">Deployment Architecture</w:t>
      </w:r>
    </w:p>
    <w:bookmarkStart w:id="54" w:name="not-recommended-direct-web-exposure"/>
    <w:p>
      <w:pPr>
        <w:pStyle w:val="Heading3"/>
      </w:pPr>
      <w:r>
        <w:t xml:space="preserve">NOT Recommended: Direct Web Exposure</w:t>
      </w:r>
    </w:p>
    <w:p>
      <w:pPr>
        <w:pStyle w:val="FirstParagraph"/>
      </w:pPr>
      <w:r>
        <w:t xml:space="preserve">❌</w:t>
      </w:r>
      <w:r>
        <w:t xml:space="preserve"> </w:t>
      </w:r>
      <w:r>
        <w:rPr>
          <w:b/>
          <w:bCs/>
        </w:rPr>
        <w:t xml:space="preserve">DO NOT</w:t>
      </w:r>
      <w:r>
        <w:t xml:space="preserve"> </w:t>
      </w:r>
      <w:r>
        <w:t xml:space="preserve">expose axonasp-http.exe directly to public internet traffic</w:t>
      </w:r>
      <w:r>
        <w:t xml:space="preserve"> </w:t>
      </w:r>
      <w:r>
        <w:t xml:space="preserve">- Increases security surface area</w:t>
      </w:r>
      <w:r>
        <w:t xml:space="preserve"> </w:t>
      </w:r>
      <w:r>
        <w:t xml:space="preserve">- No centralized TLS/SSL termination</w:t>
      </w:r>
      <w:r>
        <w:t xml:space="preserve"> </w:t>
      </w:r>
      <w:r>
        <w:t xml:space="preserve">- No rate-limiting or DDoS protection</w:t>
      </w:r>
      <w:r>
        <w:t xml:space="preserve"> </w:t>
      </w:r>
      <w:r>
        <w:t xml:space="preserve">- No request logging/monitoring integration</w:t>
      </w:r>
    </w:p>
    <w:bookmarkEnd w:id="54"/>
    <w:bookmarkStart w:id="55" w:name="X8696c2b18c02e369b3f78ae8dec953496b5eaf2"/>
    <w:p>
      <w:pPr>
        <w:pStyle w:val="Heading3"/>
      </w:pPr>
      <w:r>
        <w:t xml:space="preserve">Recommended: Reverse Proxy Mode (axonasp-http)</w:t>
      </w:r>
    </w:p>
    <w:p>
      <w:pPr>
        <w:pStyle w:val="FirstParagraph"/>
      </w:pPr>
      <w:r>
        <w:t xml:space="preserve">Run AxonASP behind a reverse proxy (Nginx, Apache, IIS, Caddy) for security, TLS offloading, and load-balancing.</w:t>
      </w:r>
    </w:p>
    <w:p>
      <w:pPr>
        <w:pStyle w:val="BodyText"/>
      </w:pPr>
      <w:r>
        <w:rPr>
          <w:b/>
          <w:bCs/>
        </w:rPr>
        <w:t xml:space="preserve">Benefits:</w:t>
      </w:r>
      <w:r>
        <w:t xml:space="preserve"> </w:t>
      </w:r>
      <w:r>
        <w:t xml:space="preserve">- Centralized authentication and authorization</w:t>
      </w:r>
      <w:r>
        <w:t xml:space="preserve"> </w:t>
      </w:r>
      <w:r>
        <w:t xml:space="preserve">- TLS/SSL certificate management</w:t>
      </w:r>
      <w:r>
        <w:t xml:space="preserve"> </w:t>
      </w:r>
      <w:r>
        <w:t xml:space="preserve">- Request rate-limiting and throttling</w:t>
      </w:r>
      <w:r>
        <w:t xml:space="preserve"> </w:t>
      </w:r>
      <w:r>
        <w:t xml:space="preserve">- Web Application Firewall (WAF) integration</w:t>
      </w:r>
      <w:r>
        <w:t xml:space="preserve"> </w:t>
      </w:r>
      <w:r>
        <w:t xml:space="preserve">- Multiple backend instances for redundancy</w:t>
      </w:r>
      <w:r>
        <w:t xml:space="preserve"> </w:t>
      </w:r>
      <w:r>
        <w:t xml:space="preserve">- Static asset caching and compression</w:t>
      </w:r>
    </w:p>
    <w:bookmarkEnd w:id="55"/>
    <w:bookmarkStart w:id="56" w:name="recommended-fastcgi-mode-axonasp-fastcgi"/>
    <w:p>
      <w:pPr>
        <w:pStyle w:val="Heading3"/>
      </w:pPr>
      <w:r>
        <w:t xml:space="preserve">Recommended: FastCGI Mode (axonasp-fastcgi)</w:t>
      </w:r>
    </w:p>
    <w:p>
      <w:pPr>
        <w:pStyle w:val="FirstParagraph"/>
      </w:pPr>
      <w:r>
        <w:t xml:space="preserve">Use FastCGI protocol for direct integration with other web servers without reverse proxy overhead.</w:t>
      </w:r>
    </w:p>
    <w:p>
      <w:pPr>
        <w:pStyle w:val="BodyText"/>
      </w:pPr>
      <w:r>
        <w:rPr>
          <w:b/>
          <w:bCs/>
        </w:rPr>
        <w:t xml:space="preserve">Benefits:</w:t>
      </w:r>
      <w:r>
        <w:t xml:space="preserve"> </w:t>
      </w:r>
      <w:r>
        <w:t xml:space="preserve">- Native protocol support in Nginx, Apache, IIS</w:t>
      </w:r>
      <w:r>
        <w:t xml:space="preserve"> </w:t>
      </w:r>
      <w:r>
        <w:t xml:space="preserve">- Lower latency than proxy forwarding</w:t>
      </w:r>
      <w:r>
        <w:t xml:space="preserve"> </w:t>
      </w:r>
      <w:r>
        <w:t xml:space="preserve">- Direct request handling with minimal translation</w:t>
      </w:r>
      <w:r>
        <w:t xml:space="preserve"> </w:t>
      </w:r>
      <w:r>
        <w:t xml:space="preserve">- Better integration with native web server features</w:t>
      </w:r>
    </w:p>
    <w:p>
      <w:r>
        <w:pict>
          <v:rect style="width:0;height:1.5pt" o:hralign="center" o:hrstd="t" o:hr="t"/>
        </w:pict>
      </w:r>
    </w:p>
    <w:bookmarkEnd w:id="56"/>
    <w:bookmarkEnd w:id="57"/>
    <w:bookmarkStart w:id="58" w:name="deployment-architecture-1"/>
    <w:p>
      <w:pPr>
        <w:pStyle w:val="Heading2"/>
      </w:pPr>
      <w:r>
        <w:t xml:space="preserve">Deployment Architecture</w:t>
      </w:r>
    </w:p>
    <w:p>
      <w:pPr>
        <w:pStyle w:val="FirstParagraph"/>
      </w:pPr>
      <w:r>
        <w:t xml:space="preserve">AxonASP should not be exposed directly to public internet traffic. The recommended deployment patterns are:</w:t>
      </w:r>
    </w:p>
    <w:p>
      <w:pPr>
        <w:pStyle w:val="Compact"/>
        <w:numPr>
          <w:ilvl w:val="0"/>
          <w:numId w:val="1014"/>
        </w:numPr>
      </w:pPr>
      <w:r>
        <w:rPr>
          <w:b/>
          <w:bCs/>
        </w:rPr>
        <w:t xml:space="preserve">Reverse Proxy Mode</w:t>
      </w:r>
      <w:r>
        <w:t xml:space="preserve"> </w:t>
      </w:r>
      <w:r>
        <w:t xml:space="preserve">— Run</w:t>
      </w:r>
      <w:r>
        <w:t xml:space="preserve"> </w:t>
      </w:r>
      <w:r>
        <w:rPr>
          <w:rStyle w:val="VerbatimChar"/>
        </w:rPr>
        <w:t xml:space="preserve">axonasp-http</w:t>
      </w:r>
      <w:r>
        <w:t xml:space="preserve"> </w:t>
      </w:r>
      <w:r>
        <w:t xml:space="preserve">behind Nginx, Apache, or Caddy. The proxy handles TLS, rate-limiting, and static content. AxonASP handles only ASP execution.</w:t>
      </w:r>
    </w:p>
    <w:p>
      <w:pPr>
        <w:pStyle w:val="Compact"/>
        <w:numPr>
          <w:ilvl w:val="0"/>
          <w:numId w:val="1014"/>
        </w:numPr>
      </w:pPr>
      <w:r>
        <w:rPr>
          <w:b/>
          <w:bCs/>
        </w:rPr>
        <w:t xml:space="preserve">FastCGI Mode</w:t>
      </w:r>
      <w:r>
        <w:t xml:space="preserve"> </w:t>
      </w:r>
      <w:r>
        <w:t xml:space="preserve">— Use</w:t>
      </w:r>
      <w:r>
        <w:t xml:space="preserve"> </w:t>
      </w:r>
      <w:r>
        <w:rPr>
          <w:rStyle w:val="VerbatimChar"/>
        </w:rPr>
        <w:t xml:space="preserve">axonasp-fastcgi</w:t>
      </w:r>
      <w:r>
        <w:t xml:space="preserve"> </w:t>
      </w:r>
      <w:r>
        <w:t xml:space="preserve">as a backend process integrated directly with Nginx, Apache, or IIS using the FastCGI protocol.</w:t>
      </w:r>
    </w:p>
    <w:p>
      <w:pPr>
        <w:pStyle w:val="Compact"/>
        <w:numPr>
          <w:ilvl w:val="0"/>
          <w:numId w:val="1014"/>
        </w:numPr>
      </w:pPr>
      <w:r>
        <w:rPr>
          <w:b/>
          <w:bCs/>
        </w:rPr>
        <w:t xml:space="preserve">Linux Service</w:t>
      </w:r>
      <w:r>
        <w:t xml:space="preserve"> </w:t>
      </w:r>
      <w:r>
        <w:t xml:space="preserve">— Run any executable as a persistent</w:t>
      </w:r>
      <w:r>
        <w:t xml:space="preserve"> </w:t>
      </w:r>
      <w:r>
        <w:rPr>
          <w:rStyle w:val="VerbatimChar"/>
        </w:rPr>
        <w:t xml:space="preserve">systemd</w:t>
      </w:r>
      <w:r>
        <w:t xml:space="preserve"> </w:t>
      </w:r>
      <w:r>
        <w:t xml:space="preserve">service for production Linux deployments.</w:t>
      </w:r>
    </w:p>
    <w:p>
      <w:pPr>
        <w:pStyle w:val="FirstParagraph"/>
      </w:pPr>
      <w:r>
        <w:t xml:space="preserve">For detailed configuration examples see:</w:t>
      </w:r>
    </w:p>
    <w:p>
      <w:pPr>
        <w:pStyle w:val="Compact"/>
        <w:numPr>
          <w:ilvl w:val="0"/>
          <w:numId w:val="1015"/>
        </w:numPr>
      </w:pPr>
      <w:r>
        <w:t xml:space="preserve">Reverse Proxy Setup</w:t>
      </w:r>
    </w:p>
    <w:p>
      <w:pPr>
        <w:pStyle w:val="Compact"/>
        <w:numPr>
          <w:ilvl w:val="0"/>
          <w:numId w:val="1015"/>
        </w:numPr>
      </w:pPr>
      <w:r>
        <w:t xml:space="preserve">FastCGI Setup</w:t>
      </w:r>
    </w:p>
    <w:p>
      <w:pPr>
        <w:pStyle w:val="Compact"/>
        <w:numPr>
          <w:ilvl w:val="0"/>
          <w:numId w:val="1015"/>
        </w:numPr>
      </w:pPr>
      <w:r>
        <w:t xml:space="preserve">Running as a Linux Service</w:t>
      </w:r>
    </w:p>
    <w:p>
      <w:pPr>
        <w:pStyle w:val="Compact"/>
        <w:numPr>
          <w:ilvl w:val="0"/>
          <w:numId w:val="1015"/>
        </w:numPr>
      </w:pPr>
      <w:r>
        <w:t xml:space="preserve">MCP Server and VS Code Integration</w:t>
      </w:r>
    </w:p>
    <w:bookmarkEnd w:id="58"/>
    <w:bookmarkStart w:id="59" w:name="configuration-reference"/>
    <w:p>
      <w:pPr>
        <w:pStyle w:val="Heading2"/>
      </w:pPr>
      <w:r>
        <w:t xml:space="preserve">Configuration Reference</w:t>
      </w:r>
    </w:p>
    <w:p>
      <w:pPr>
        <w:pStyle w:val="FirstParagraph"/>
      </w:pPr>
      <w:r>
        <w:t xml:space="preserve">For detailed information about each configuration option, see the axonasp.toml documentation.</w:t>
      </w:r>
    </w:p>
    <w:bookmarkEnd w:id="59"/>
    <w:bookmarkStart w:id="60" w:name="remarks"/>
    <w:p>
      <w:pPr>
        <w:pStyle w:val="Heading2"/>
      </w:pPr>
      <w:r>
        <w:t xml:space="preserve">Remarks</w:t>
      </w:r>
    </w:p>
    <w:p>
      <w:pPr>
        <w:pStyle w:val="Compact"/>
        <w:numPr>
          <w:ilvl w:val="0"/>
          <w:numId w:val="1016"/>
        </w:numPr>
      </w:pPr>
      <w:r>
        <w:rPr>
          <w:b/>
          <w:bCs/>
        </w:rPr>
        <w:t xml:space="preserve">HTTP Server</w:t>
      </w:r>
      <w:r>
        <w:t xml:space="preserve"> </w:t>
      </w:r>
      <w:r>
        <w:t xml:space="preserve">(</w:t>
      </w:r>
      <w:r>
        <w:rPr>
          <w:rStyle w:val="VerbatimChar"/>
        </w:rPr>
        <w:t xml:space="preserve">axonasp-http</w:t>
      </w:r>
      <w:r>
        <w:t xml:space="preserve">): High-performance web server suitable as a proxy backend or development server.</w:t>
      </w:r>
    </w:p>
    <w:p>
      <w:pPr>
        <w:pStyle w:val="Compact"/>
        <w:numPr>
          <w:ilvl w:val="0"/>
          <w:numId w:val="1016"/>
        </w:numPr>
      </w:pPr>
      <w:r>
        <w:rPr>
          <w:b/>
          <w:bCs/>
        </w:rPr>
        <w:t xml:space="preserve">FastCGI Server</w:t>
      </w:r>
      <w:r>
        <w:t xml:space="preserve"> </w:t>
      </w:r>
      <w:r>
        <w:t xml:space="preserve">(</w:t>
      </w:r>
      <w:r>
        <w:rPr>
          <w:rStyle w:val="VerbatimChar"/>
        </w:rPr>
        <w:t xml:space="preserve">axonasp-fastcgi</w:t>
      </w:r>
      <w:r>
        <w:t xml:space="preserve">): Lightweight FastCGI handler for native web server integration.</w:t>
      </w:r>
    </w:p>
    <w:p>
      <w:pPr>
        <w:pStyle w:val="Compact"/>
        <w:numPr>
          <w:ilvl w:val="0"/>
          <w:numId w:val="1016"/>
        </w:numPr>
      </w:pPr>
      <w:r>
        <w:rPr>
          <w:b/>
          <w:bCs/>
        </w:rPr>
        <w:t xml:space="preserve">CLI</w:t>
      </w:r>
      <w:r>
        <w:t xml:space="preserve"> </w:t>
      </w:r>
      <w:r>
        <w:t xml:space="preserve">(</w:t>
      </w:r>
      <w:r>
        <w:rPr>
          <w:rStyle w:val="VerbatimChar"/>
        </w:rPr>
        <w:t xml:space="preserve">axonasp-cli</w:t>
      </w:r>
      <w:r>
        <w:t xml:space="preserve">): Development and maintenance tool with interactive TUI and batch script support.</w:t>
      </w:r>
    </w:p>
    <w:p>
      <w:pPr>
        <w:pStyle w:val="Compact"/>
        <w:numPr>
          <w:ilvl w:val="0"/>
          <w:numId w:val="1016"/>
        </w:numPr>
      </w:pPr>
      <w:r>
        <w:rPr>
          <w:b/>
          <w:bCs/>
        </w:rPr>
        <w:t xml:space="preserve">MCP Server</w:t>
      </w:r>
      <w:r>
        <w:t xml:space="preserve"> </w:t>
      </w:r>
      <w:r>
        <w:t xml:space="preserve">(</w:t>
      </w:r>
      <w:r>
        <w:rPr>
          <w:rStyle w:val="VerbatimChar"/>
        </w:rPr>
        <w:t xml:space="preserve">axonasp-mcp</w:t>
      </w:r>
      <w:r>
        <w:t xml:space="preserve">): AI model integration for code generation, analysis, and documentation.</w:t>
      </w:r>
    </w:p>
    <w:p>
      <w:pPr>
        <w:pStyle w:val="Compact"/>
        <w:numPr>
          <w:ilvl w:val="0"/>
          <w:numId w:val="1016"/>
        </w:numPr>
      </w:pPr>
      <w:r>
        <w:rPr>
          <w:b/>
          <w:bCs/>
        </w:rPr>
        <w:t xml:space="preserve">Test Suite</w:t>
      </w:r>
      <w:r>
        <w:t xml:space="preserve"> </w:t>
      </w:r>
      <w:r>
        <w:t xml:space="preserve">(</w:t>
      </w:r>
      <w:r>
        <w:rPr>
          <w:rStyle w:val="VerbatimChar"/>
        </w:rPr>
        <w:t xml:space="preserve">axonasp-testsuite</w:t>
      </w:r>
      <w:r>
        <w:t xml:space="preserve">): Automated runner that discovers and executes ASP test files using the</w:t>
      </w:r>
      <w:r>
        <w:t xml:space="preserve"> </w:t>
      </w:r>
      <w:r>
        <w:rPr>
          <w:rStyle w:val="VerbatimChar"/>
        </w:rPr>
        <w:t xml:space="preserve">G3TestSuite</w:t>
      </w:r>
      <w:r>
        <w:t xml:space="preserve"> </w:t>
      </w:r>
      <w:r>
        <w:t xml:space="preserve">object.</w:t>
      </w:r>
    </w:p>
    <w:p>
      <w:pPr>
        <w:pStyle w:val="Compact"/>
        <w:numPr>
          <w:ilvl w:val="0"/>
          <w:numId w:val="1016"/>
        </w:numPr>
      </w:pPr>
      <w:r>
        <w:t xml:space="preserve">Runtime feature parity is maintained across all deployment modes.</w:t>
      </w:r>
    </w:p>
    <w:p>
      <w:pPr>
        <w:pStyle w:val="Compact"/>
        <w:numPr>
          <w:ilvl w:val="0"/>
          <w:numId w:val="1016"/>
        </w:numPr>
      </w:pPr>
      <w:r>
        <w:t xml:space="preserve">All runtimes share a single</w:t>
      </w:r>
      <w:r>
        <w:t xml:space="preserve"> </w:t>
      </w:r>
      <w:r>
        <w:rPr>
          <w:rStyle w:val="VerbatimChar"/>
        </w:rPr>
        <w:t xml:space="preserve">config/axonasp.toml</w:t>
      </w:r>
      <w:r>
        <w:t xml:space="preserve"> </w:t>
      </w:r>
      <w:r>
        <w:t xml:space="preserve">configuration file.</w:t>
      </w:r>
    </w:p>
    <w:p>
      <w:pPr>
        <w:pStyle w:val="Compact"/>
        <w:numPr>
          <w:ilvl w:val="0"/>
          <w:numId w:val="1016"/>
        </w:numPr>
      </w:pPr>
      <w:r>
        <w:t xml:space="preserve">On Linux and macOS, executables are named without the</w:t>
      </w:r>
      <w:r>
        <w:t xml:space="preserve"> </w:t>
      </w:r>
      <w:r>
        <w:rPr>
          <w:rStyle w:val="VerbatimChar"/>
        </w:rPr>
        <w:t xml:space="preserve">.exe</w:t>
      </w:r>
      <w:r>
        <w:t xml:space="preserve"> </w:t>
      </w:r>
      <w:r>
        <w:t xml:space="preserve">extension.</w:t>
      </w:r>
    </w:p>
    <w:bookmarkEnd w:id="60"/>
    <w:bookmarkEnd w:id="61"/>
    <w:bookmarkStart w:id="85" w:name="Xf7fe54e8fe2bfd13787e5ded3964066d3eb3724"/>
    <w:p>
      <w:pPr>
        <w:pStyle w:val="Heading1"/>
      </w:pPr>
      <w:r>
        <w:t xml:space="preserve">Understand AxonASP Internal Architecture (VM, Compiler, and JavaScript Engine)</w:t>
      </w:r>
    </w:p>
    <w:bookmarkStart w:id="62" w:name="overview-2"/>
    <w:p>
      <w:pPr>
        <w:pStyle w:val="Heading2"/>
      </w:pPr>
      <w:r>
        <w:t xml:space="preserve">Overview</w:t>
      </w:r>
    </w:p>
    <w:p>
      <w:pPr>
        <w:pStyle w:val="FirstParagraph"/>
      </w:pPr>
      <w:r>
        <w:t xml:space="preserve">AxonASP is a Classic ASP execution platform implemented in Go. It runs VBScript and JavaScript (with JScript compatibility) through one shared virtual machine core.</w:t>
      </w:r>
    </w:p>
    <w:p>
      <w:pPr>
        <w:pStyle w:val="BodyText"/>
      </w:pPr>
      <w:r>
        <w:t xml:space="preserve">This page explains the runtime architecture in practical terms for developers coming from IIS, COM, and ASP object-model workflows, even if they are newer to Go.</w:t>
      </w:r>
    </w:p>
    <w:bookmarkEnd w:id="62"/>
    <w:bookmarkStart w:id="63" w:name="use-this-mental-model-first"/>
    <w:p>
      <w:pPr>
        <w:pStyle w:val="Heading2"/>
      </w:pPr>
      <w:r>
        <w:t xml:space="preserve">Use This Mental Model First</w:t>
      </w:r>
    </w:p>
    <w:p>
      <w:pPr>
        <w:pStyle w:val="FirstParagraph"/>
      </w:pPr>
      <w:r>
        <w:t xml:space="preserve">Treat AxonASP like this:</w:t>
      </w:r>
    </w:p>
    <w:p>
      <w:pPr>
        <w:pStyle w:val="Compact"/>
        <w:numPr>
          <w:ilvl w:val="0"/>
          <w:numId w:val="1017"/>
        </w:numPr>
      </w:pPr>
      <w:r>
        <w:t xml:space="preserve">Lexer and compiler replace the old script host parser layer.</w:t>
      </w:r>
    </w:p>
    <w:p>
      <w:pPr>
        <w:pStyle w:val="Compact"/>
        <w:numPr>
          <w:ilvl w:val="0"/>
          <w:numId w:val="1017"/>
        </w:numPr>
      </w:pPr>
      <w:r>
        <w:t xml:space="preserve">Bytecode VM replaces script host execution internals.</w:t>
      </w:r>
    </w:p>
    <w:p>
      <w:pPr>
        <w:pStyle w:val="Compact"/>
        <w:numPr>
          <w:ilvl w:val="0"/>
          <w:numId w:val="1017"/>
        </w:numPr>
      </w:pPr>
      <w:r>
        <w:rPr>
          <w:rStyle w:val="VerbatimChar"/>
        </w:rPr>
        <w:t xml:space="preserve">Server.CreateObject</w:t>
      </w:r>
      <w:r>
        <w:t xml:space="preserve"> </w:t>
      </w:r>
      <w:r>
        <w:t xml:space="preserve">remains the extension boundary, but native implementations are Go structs instead of COM DLLs.</w:t>
      </w:r>
    </w:p>
    <w:p>
      <w:pPr>
        <w:pStyle w:val="Compact"/>
        <w:numPr>
          <w:ilvl w:val="0"/>
          <w:numId w:val="1017"/>
        </w:numPr>
      </w:pPr>
      <w:r>
        <w:t xml:space="preserve">ASP intrinsic objects (</w:t>
      </w:r>
      <w:r>
        <w:rPr>
          <w:rStyle w:val="VerbatimChar"/>
        </w:rPr>
        <w:t xml:space="preserve">Request</w:t>
      </w:r>
      <w:r>
        <w:t xml:space="preserve">,</w:t>
      </w:r>
      <w:r>
        <w:t xml:space="preserve"> </w:t>
      </w:r>
      <w:r>
        <w:rPr>
          <w:rStyle w:val="VerbatimChar"/>
        </w:rPr>
        <w:t xml:space="preserve">Response</w:t>
      </w:r>
      <w:r>
        <w:t xml:space="preserve">,</w:t>
      </w:r>
      <w:r>
        <w:t xml:space="preserve"> </w:t>
      </w:r>
      <w:r>
        <w:rPr>
          <w:rStyle w:val="VerbatimChar"/>
        </w:rPr>
        <w:t xml:space="preserve">Server</w:t>
      </w:r>
      <w:r>
        <w:t xml:space="preserve">,</w:t>
      </w:r>
      <w:r>
        <w:t xml:space="preserve"> </w:t>
      </w:r>
      <w:r>
        <w:rPr>
          <w:rStyle w:val="VerbatimChar"/>
        </w:rPr>
        <w:t xml:space="preserve">Session</w:t>
      </w:r>
      <w:r>
        <w:t xml:space="preserve">,</w:t>
      </w:r>
      <w:r>
        <w:t xml:space="preserve"> </w:t>
      </w:r>
      <w:r>
        <w:rPr>
          <w:rStyle w:val="VerbatimChar"/>
        </w:rPr>
        <w:t xml:space="preserve">Application</w:t>
      </w:r>
      <w:r>
        <w:t xml:space="preserve">,</w:t>
      </w:r>
      <w:r>
        <w:t xml:space="preserve"> </w:t>
      </w:r>
      <w:r>
        <w:rPr>
          <w:rStyle w:val="VerbatimChar"/>
        </w:rPr>
        <w:t xml:space="preserve">Err</w:t>
      </w:r>
      <w:r>
        <w:t xml:space="preserve">) are pre-registered native VM objects.</w:t>
      </w:r>
    </w:p>
    <w:p>
      <w:pPr>
        <w:pStyle w:val="FirstParagraph"/>
      </w:pPr>
      <w:r>
        <w:t xml:space="preserve">If you already understand Classic ASP request flow, the architecture will feel familiar. The main difference is that object dispatch and language execution are explicit, typed Go code.</w:t>
      </w:r>
    </w:p>
    <w:bookmarkEnd w:id="63"/>
    <w:bookmarkStart w:id="64" w:name="high-level-execution-flow"/>
    <w:p>
      <w:pPr>
        <w:pStyle w:val="Heading2"/>
      </w:pPr>
      <w:r>
        <w:t xml:space="preserve">High-Level Execution Flow</w:t>
      </w:r>
    </w:p>
    <w:p>
      <w:pPr>
        <w:pStyle w:val="FirstParagraph"/>
      </w:pPr>
      <w:r>
        <w:t xml:space="preserve">For each request (or CLI/TUI run), AxonASP executes this pipeline:</w:t>
      </w:r>
    </w:p>
    <w:p>
      <w:pPr>
        <w:pStyle w:val="Compact"/>
        <w:numPr>
          <w:ilvl w:val="0"/>
          <w:numId w:val="1018"/>
        </w:numPr>
      </w:pPr>
      <w:r>
        <w:t xml:space="preserve">Read ASP source and split script/content segments.</w:t>
      </w:r>
    </w:p>
    <w:p>
      <w:pPr>
        <w:pStyle w:val="Compact"/>
        <w:numPr>
          <w:ilvl w:val="0"/>
          <w:numId w:val="1018"/>
        </w:numPr>
      </w:pPr>
      <w:r>
        <w:t xml:space="preserve">Compile script segments to VM bytecode.</w:t>
      </w:r>
    </w:p>
    <w:p>
      <w:pPr>
        <w:pStyle w:val="Compact"/>
        <w:numPr>
          <w:ilvl w:val="0"/>
          <w:numId w:val="1018"/>
        </w:numPr>
      </w:pPr>
      <w:r>
        <w:t xml:space="preserve">Execute bytecode in a stack-based VM.</w:t>
      </w:r>
    </w:p>
    <w:p>
      <w:pPr>
        <w:pStyle w:val="Compact"/>
        <w:numPr>
          <w:ilvl w:val="0"/>
          <w:numId w:val="1018"/>
        </w:numPr>
      </w:pPr>
      <w:r>
        <w:t xml:space="preserve">Route object/property/method access through native dispatch maps.</w:t>
      </w:r>
    </w:p>
    <w:p>
      <w:pPr>
        <w:pStyle w:val="Compact"/>
        <w:numPr>
          <w:ilvl w:val="0"/>
          <w:numId w:val="1018"/>
        </w:numPr>
      </w:pPr>
      <w:r>
        <w:t xml:space="preserve">Write output through</w:t>
      </w:r>
      <w:r>
        <w:t xml:space="preserve"> </w:t>
      </w:r>
      <w:r>
        <w:rPr>
          <w:rStyle w:val="VerbatimChar"/>
        </w:rPr>
        <w:t xml:space="preserve">Response</w:t>
      </w:r>
      <w:r>
        <w:t xml:space="preserve"> </w:t>
      </w:r>
      <w:r>
        <w:t xml:space="preserve">object semantics.</w:t>
      </w:r>
    </w:p>
    <w:p>
      <w:pPr>
        <w:pStyle w:val="FirstParagraph"/>
      </w:pPr>
      <w:r>
        <w:t xml:space="preserve">All runtime modes share the same core in</w:t>
      </w:r>
      <w:r>
        <w:t xml:space="preserve"> </w:t>
      </w:r>
      <w:r>
        <w:rPr>
          <w:rStyle w:val="VerbatimChar"/>
        </w:rPr>
        <w:t xml:space="preserve">axonvm/</w:t>
      </w:r>
      <w:r>
        <w:t xml:space="preserve">:</w:t>
      </w:r>
    </w:p>
    <w:p>
      <w:pPr>
        <w:pStyle w:val="Compact"/>
        <w:numPr>
          <w:ilvl w:val="0"/>
          <w:numId w:val="1019"/>
        </w:numPr>
      </w:pPr>
      <w:r>
        <w:t xml:space="preserve">HTTP server</w:t>
      </w:r>
    </w:p>
    <w:p>
      <w:pPr>
        <w:pStyle w:val="Compact"/>
        <w:numPr>
          <w:ilvl w:val="0"/>
          <w:numId w:val="1019"/>
        </w:numPr>
      </w:pPr>
      <w:r>
        <w:t xml:space="preserve">FastCGI server</w:t>
      </w:r>
    </w:p>
    <w:p>
      <w:pPr>
        <w:pStyle w:val="Compact"/>
        <w:numPr>
          <w:ilvl w:val="0"/>
          <w:numId w:val="1019"/>
        </w:numPr>
      </w:pPr>
      <w:r>
        <w:t xml:space="preserve">CLI</w:t>
      </w:r>
    </w:p>
    <w:p>
      <w:pPr>
        <w:pStyle w:val="Compact"/>
        <w:numPr>
          <w:ilvl w:val="0"/>
          <w:numId w:val="1019"/>
        </w:numPr>
      </w:pPr>
      <w:r>
        <w:t xml:space="preserve">MCP server</w:t>
      </w:r>
    </w:p>
    <w:p>
      <w:pPr>
        <w:pStyle w:val="Compact"/>
        <w:numPr>
          <w:ilvl w:val="0"/>
          <w:numId w:val="1019"/>
        </w:numPr>
      </w:pPr>
      <w:r>
        <w:t xml:space="preserve">Test suite</w:t>
      </w:r>
    </w:p>
    <w:bookmarkEnd w:id="64"/>
    <w:bookmarkStart w:id="65" w:name="language-pipeline-differences"/>
    <w:p>
      <w:pPr>
        <w:pStyle w:val="Heading2"/>
      </w:pPr>
      <w:r>
        <w:t xml:space="preserve">Language Pipeline Differences</w:t>
      </w:r>
    </w:p>
    <w:bookmarkEnd w:id="65"/>
    <w:bookmarkStart w:id="66" w:name="vbscript-path-single-pass-no-ast"/>
    <w:p>
      <w:pPr>
        <w:pStyle w:val="Heading2"/>
      </w:pPr>
      <w:r>
        <w:t xml:space="preserve">VBScript Path (Single-Pass, No AST)</w:t>
      </w:r>
    </w:p>
    <w:p>
      <w:pPr>
        <w:pStyle w:val="FirstParagraph"/>
      </w:pPr>
      <w:r>
        <w:t xml:space="preserve">VBScript compilation is direct token-to-bytecode emission:</w:t>
      </w:r>
    </w:p>
    <w:p>
      <w:pPr>
        <w:pStyle w:val="Compact"/>
        <w:numPr>
          <w:ilvl w:val="0"/>
          <w:numId w:val="1020"/>
        </w:numPr>
      </w:pPr>
      <w:r>
        <w:t xml:space="preserve">Lexer tokenizes script.</w:t>
      </w:r>
    </w:p>
    <w:p>
      <w:pPr>
        <w:pStyle w:val="Compact"/>
        <w:numPr>
          <w:ilvl w:val="0"/>
          <w:numId w:val="1020"/>
        </w:numPr>
      </w:pPr>
      <w:r>
        <w:t xml:space="preserve">Compiler emits opcodes immediately.</w:t>
      </w:r>
    </w:p>
    <w:p>
      <w:pPr>
        <w:pStyle w:val="Compact"/>
        <w:numPr>
          <w:ilvl w:val="0"/>
          <w:numId w:val="1020"/>
        </w:numPr>
      </w:pPr>
      <w:r>
        <w:t xml:space="preserve">VM executes opcodes against</w:t>
      </w:r>
      <w:r>
        <w:t xml:space="preserve"> </w:t>
      </w:r>
      <w:r>
        <w:rPr>
          <w:rStyle w:val="VerbatimChar"/>
        </w:rPr>
        <w:t xml:space="preserve">Value</w:t>
      </w:r>
      <w:r>
        <w:t xml:space="preserve"> </w:t>
      </w:r>
      <w:r>
        <w:t xml:space="preserve">runtime.</w:t>
      </w:r>
    </w:p>
    <w:p>
      <w:pPr>
        <w:pStyle w:val="FirstParagraph"/>
      </w:pPr>
      <w:r>
        <w:t xml:space="preserve">Why this matters:</w:t>
      </w:r>
    </w:p>
    <w:p>
      <w:pPr>
        <w:pStyle w:val="Compact"/>
        <w:numPr>
          <w:ilvl w:val="0"/>
          <w:numId w:val="1021"/>
        </w:numPr>
      </w:pPr>
      <w:r>
        <w:t xml:space="preserve">Lower compile-time memory usage.</w:t>
      </w:r>
    </w:p>
    <w:p>
      <w:pPr>
        <w:pStyle w:val="Compact"/>
        <w:numPr>
          <w:ilvl w:val="0"/>
          <w:numId w:val="1021"/>
        </w:numPr>
      </w:pPr>
      <w:r>
        <w:t xml:space="preserve">Lower latency for dynamic script and</w:t>
      </w:r>
      <w:r>
        <w:t xml:space="preserve"> </w:t>
      </w:r>
      <w:r>
        <w:rPr>
          <w:rStyle w:val="VerbatimChar"/>
        </w:rPr>
        <w:t xml:space="preserve">Eval</w:t>
      </w:r>
      <w:r>
        <w:t xml:space="preserve"> </w:t>
      </w:r>
      <w:r>
        <w:t xml:space="preserve">paths.</w:t>
      </w:r>
    </w:p>
    <w:p>
      <w:pPr>
        <w:pStyle w:val="Compact"/>
        <w:numPr>
          <w:ilvl w:val="0"/>
          <w:numId w:val="1021"/>
        </w:numPr>
      </w:pPr>
      <w:r>
        <w:t xml:space="preserve">Compatibility logic is encoded in emission and runtime coercion rules.</w:t>
      </w:r>
    </w:p>
    <w:bookmarkEnd w:id="66"/>
    <w:bookmarkStart w:id="67" w:name="javascript-path-ast-bytecode"/>
    <w:p>
      <w:pPr>
        <w:pStyle w:val="Heading2"/>
      </w:pPr>
      <w:r>
        <w:t xml:space="preserve">JavaScript Path (AST + Bytecode)</w:t>
      </w:r>
    </w:p>
    <w:p>
      <w:pPr>
        <w:pStyle w:val="FirstParagraph"/>
      </w:pPr>
      <w:r>
        <w:t xml:space="preserve">JavaScript support uses an AST pipeline in</w:t>
      </w:r>
      <w:r>
        <w:t xml:space="preserve"> </w:t>
      </w:r>
      <w:r>
        <w:rPr>
          <w:rStyle w:val="VerbatimChar"/>
        </w:rPr>
        <w:t xml:space="preserve">jscript/</w:t>
      </w:r>
      <w:r>
        <w:t xml:space="preserve">:</w:t>
      </w:r>
    </w:p>
    <w:p>
      <w:pPr>
        <w:pStyle w:val="Compact"/>
        <w:numPr>
          <w:ilvl w:val="0"/>
          <w:numId w:val="1022"/>
        </w:numPr>
      </w:pPr>
      <w:r>
        <w:t xml:space="preserve">JavaScript source is parsed into AST nodes.</w:t>
      </w:r>
    </w:p>
    <w:p>
      <w:pPr>
        <w:pStyle w:val="Compact"/>
        <w:numPr>
          <w:ilvl w:val="0"/>
          <w:numId w:val="1022"/>
        </w:numPr>
      </w:pPr>
      <w:r>
        <w:t xml:space="preserve">Compiler lowers AST to AxonASP VM bytecode.</w:t>
      </w:r>
    </w:p>
    <w:p>
      <w:pPr>
        <w:pStyle w:val="Compact"/>
        <w:numPr>
          <w:ilvl w:val="0"/>
          <w:numId w:val="1022"/>
        </w:numPr>
      </w:pPr>
      <w:r>
        <w:t xml:space="preserve">VM executes JavaScript opcodes using the same VM core and</w:t>
      </w:r>
      <w:r>
        <w:t xml:space="preserve"> </w:t>
      </w:r>
      <w:r>
        <w:rPr>
          <w:rStyle w:val="VerbatimChar"/>
        </w:rPr>
        <w:t xml:space="preserve">Value</w:t>
      </w:r>
      <w:r>
        <w:t xml:space="preserve"> </w:t>
      </w:r>
      <w:r>
        <w:t xml:space="preserve">type system.</w:t>
      </w:r>
    </w:p>
    <w:p>
      <w:pPr>
        <w:pStyle w:val="FirstParagraph"/>
      </w:pPr>
      <w:r>
        <w:t xml:space="preserve">JavaScript runtime state is VM-local and explicit in</w:t>
      </w:r>
      <w:r>
        <w:t xml:space="preserve"> </w:t>
      </w:r>
      <w:r>
        <w:rPr>
          <w:rStyle w:val="VerbatimChar"/>
        </w:rPr>
        <w:t xml:space="preserve">vm.go</w:t>
      </w:r>
      <w:r>
        <w:t xml:space="preserve">, including:</w:t>
      </w:r>
    </w:p>
    <w:p>
      <w:pPr>
        <w:pStyle w:val="Compact"/>
        <w:numPr>
          <w:ilvl w:val="0"/>
          <w:numId w:val="1023"/>
        </w:numPr>
      </w:pPr>
      <w:r>
        <w:t xml:space="preserve">Function objects and lexical environments.</w:t>
      </w:r>
    </w:p>
    <w:p>
      <w:pPr>
        <w:pStyle w:val="Compact"/>
        <w:numPr>
          <w:ilvl w:val="0"/>
          <w:numId w:val="1023"/>
        </w:numPr>
      </w:pPr>
      <w:r>
        <w:t xml:space="preserve">Object property descriptors and shape/slot caches.</w:t>
      </w:r>
    </w:p>
    <w:p>
      <w:pPr>
        <w:pStyle w:val="Compact"/>
        <w:numPr>
          <w:ilvl w:val="0"/>
          <w:numId w:val="1023"/>
        </w:numPr>
      </w:pPr>
      <w:r>
        <w:t xml:space="preserve">RegExp, Promise, Generator, Proxy, Intl, ArrayBuffer, and module state containers.</w:t>
      </w:r>
    </w:p>
    <w:p>
      <w:pPr>
        <w:pStyle w:val="Compact"/>
        <w:numPr>
          <w:ilvl w:val="0"/>
          <w:numId w:val="1023"/>
        </w:numPr>
      </w:pPr>
      <w:r>
        <w:t xml:space="preserve">Async task queues (</w:t>
      </w:r>
      <w:r>
        <w:rPr>
          <w:rStyle w:val="VerbatimChar"/>
        </w:rPr>
        <w:t xml:space="preserve">setTimeout</w:t>
      </w:r>
      <w:r>
        <w:t xml:space="preserve">, microtasks,</w:t>
      </w:r>
      <w:r>
        <w:t xml:space="preserve"> </w:t>
      </w:r>
      <w:r>
        <w:rPr>
          <w:rStyle w:val="VerbatimChar"/>
        </w:rPr>
        <w:t xml:space="preserve">nextTick</w:t>
      </w:r>
      <w:r>
        <w:t xml:space="preserve">, immediate queue).</w:t>
      </w:r>
    </w:p>
    <w:p>
      <w:pPr>
        <w:pStyle w:val="FirstParagraph"/>
      </w:pPr>
      <w:r>
        <w:t xml:space="preserve">Result: VBScript and JavaScript share one execution engine while preserving language-specific semantics.</w:t>
      </w:r>
    </w:p>
    <w:bookmarkEnd w:id="67"/>
    <w:bookmarkStart w:id="68" w:name="vm-runtime-model"/>
    <w:p>
      <w:pPr>
        <w:pStyle w:val="Heading2"/>
      </w:pPr>
      <w:r>
        <w:t xml:space="preserve">VM Runtime Model</w:t>
      </w:r>
    </w:p>
    <w:bookmarkEnd w:id="68"/>
    <w:bookmarkStart w:id="69" w:name="stack-machine-and-typed-values"/>
    <w:p>
      <w:pPr>
        <w:pStyle w:val="Heading2"/>
      </w:pPr>
      <w:r>
        <w:t xml:space="preserve">Stack Machine and Typed Values</w:t>
      </w:r>
    </w:p>
    <w:p>
      <w:pPr>
        <w:pStyle w:val="FirstParagraph"/>
      </w:pPr>
      <w:r>
        <w:t xml:space="preserve">The VM is stack-based (</w:t>
      </w:r>
      <w:r>
        <w:rPr>
          <w:rStyle w:val="VerbatimChar"/>
        </w:rPr>
        <w:t xml:space="preserve">StackSize = 4096</w:t>
      </w:r>
      <w:r>
        <w:t xml:space="preserve">) and bytecode-driven.</w:t>
      </w:r>
    </w:p>
    <w:p>
      <w:pPr>
        <w:pStyle w:val="BodyText"/>
      </w:pPr>
      <w:r>
        <w:t xml:space="preserve">Runtime values are stored in</w:t>
      </w:r>
      <w:r>
        <w:t xml:space="preserve"> </w:t>
      </w:r>
      <w:r>
        <w:rPr>
          <w:rStyle w:val="VerbatimChar"/>
        </w:rPr>
        <w:t xml:space="preserve">Value</w:t>
      </w:r>
      <w:r>
        <w:t xml:space="preserve"> </w:t>
      </w:r>
      <w:r>
        <w:t xml:space="preserve">(tagged union style):</w:t>
      </w:r>
    </w:p>
    <w:p>
      <w:pPr>
        <w:pStyle w:val="Compact"/>
        <w:numPr>
          <w:ilvl w:val="0"/>
          <w:numId w:val="1024"/>
        </w:numPr>
      </w:pPr>
      <w:r>
        <w:rPr>
          <w:rStyle w:val="VerbatimChar"/>
        </w:rPr>
        <w:t xml:space="preserve">Type</w:t>
      </w:r>
      <w:r>
        <w:t xml:space="preserve"> </w:t>
      </w:r>
      <w:r>
        <w:t xml:space="preserve">tag (</w:t>
      </w:r>
      <w:r>
        <w:rPr>
          <w:rStyle w:val="VerbatimChar"/>
        </w:rPr>
        <w:t xml:space="preserve">VTEmpty</w:t>
      </w:r>
      <w:r>
        <w:t xml:space="preserve">,</w:t>
      </w:r>
      <w:r>
        <w:t xml:space="preserve"> </w:t>
      </w:r>
      <w:r>
        <w:rPr>
          <w:rStyle w:val="VerbatimChar"/>
        </w:rPr>
        <w:t xml:space="preserve">VTString</w:t>
      </w:r>
      <w:r>
        <w:t xml:space="preserve">,</w:t>
      </w:r>
      <w:r>
        <w:t xml:space="preserve"> </w:t>
      </w:r>
      <w:r>
        <w:rPr>
          <w:rStyle w:val="VerbatimChar"/>
        </w:rPr>
        <w:t xml:space="preserve">VTInteger</w:t>
      </w:r>
      <w:r>
        <w:t xml:space="preserve">,</w:t>
      </w:r>
      <w:r>
        <w:t xml:space="preserve"> </w:t>
      </w:r>
      <w:r>
        <w:rPr>
          <w:rStyle w:val="VerbatimChar"/>
        </w:rPr>
        <w:t xml:space="preserve">VTDouble</w:t>
      </w:r>
      <w:r>
        <w:t xml:space="preserve">,</w:t>
      </w:r>
      <w:r>
        <w:t xml:space="preserve"> </w:t>
      </w:r>
      <w:r>
        <w:rPr>
          <w:rStyle w:val="VerbatimChar"/>
        </w:rPr>
        <w:t xml:space="preserve">VTNativeObject</w:t>
      </w:r>
      <w:r>
        <w:t xml:space="preserve">, and others).</w:t>
      </w:r>
    </w:p>
    <w:p>
      <w:pPr>
        <w:pStyle w:val="Compact"/>
        <w:numPr>
          <w:ilvl w:val="0"/>
          <w:numId w:val="1024"/>
        </w:numPr>
      </w:pPr>
      <w:r>
        <w:t xml:space="preserve">Primitive payload fields (</w:t>
      </w:r>
      <w:r>
        <w:rPr>
          <w:rStyle w:val="VerbatimChar"/>
        </w:rPr>
        <w:t xml:space="preserve">Num</w:t>
      </w:r>
      <w:r>
        <w:t xml:space="preserve">,</w:t>
      </w:r>
      <w:r>
        <w:t xml:space="preserve"> </w:t>
      </w:r>
      <w:r>
        <w:rPr>
          <w:rStyle w:val="VerbatimChar"/>
        </w:rPr>
        <w:t xml:space="preserve">Flt</w:t>
      </w:r>
      <w:r>
        <w:t xml:space="preserve">,</w:t>
      </w:r>
      <w:r>
        <w:t xml:space="preserve"> </w:t>
      </w:r>
      <w:r>
        <w:rPr>
          <w:rStyle w:val="VerbatimChar"/>
        </w:rPr>
        <w:t xml:space="preserve">Str</w:t>
      </w:r>
      <w:r>
        <w:t xml:space="preserve">).</w:t>
      </w:r>
    </w:p>
    <w:p>
      <w:pPr>
        <w:pStyle w:val="Compact"/>
        <w:numPr>
          <w:ilvl w:val="0"/>
          <w:numId w:val="1024"/>
        </w:numPr>
      </w:pPr>
      <w:r>
        <w:t xml:space="preserve">Optional structured payload (arrays, names, references).</w:t>
      </w:r>
    </w:p>
    <w:p>
      <w:pPr>
        <w:pStyle w:val="FirstParagraph"/>
      </w:pPr>
      <w:r>
        <w:t xml:space="preserve">This avoids reflection-based dispatch and keeps hot paths predictable.</w:t>
      </w:r>
    </w:p>
    <w:bookmarkEnd w:id="69"/>
    <w:bookmarkStart w:id="70" w:name="call-frames-scope-and-error-mode"/>
    <w:p>
      <w:pPr>
        <w:pStyle w:val="Heading2"/>
      </w:pPr>
      <w:r>
        <w:t xml:space="preserve">Call Frames, Scope, and Error Mode</w:t>
      </w:r>
    </w:p>
    <w:p>
      <w:pPr>
        <w:pStyle w:val="FirstParagraph"/>
      </w:pPr>
      <w:r>
        <w:t xml:space="preserve">Each procedure call stores a call frame containing:</w:t>
      </w:r>
    </w:p>
    <w:p>
      <w:pPr>
        <w:pStyle w:val="Compact"/>
        <w:numPr>
          <w:ilvl w:val="0"/>
          <w:numId w:val="1025"/>
        </w:numPr>
      </w:pPr>
      <w:r>
        <w:t xml:space="preserve">Return instruction pointer.</w:t>
      </w:r>
    </w:p>
    <w:p>
      <w:pPr>
        <w:pStyle w:val="Compact"/>
        <w:numPr>
          <w:ilvl w:val="0"/>
          <w:numId w:val="1025"/>
        </w:numPr>
      </w:pPr>
      <w:r>
        <w:t xml:space="preserve">Stack/frame restoration metadata.</w:t>
      </w:r>
    </w:p>
    <w:p>
      <w:pPr>
        <w:pStyle w:val="Compact"/>
        <w:numPr>
          <w:ilvl w:val="0"/>
          <w:numId w:val="1025"/>
        </w:numPr>
      </w:pPr>
      <w:r>
        <w:t xml:space="preserve">Bound object context for class members.</w:t>
      </w:r>
    </w:p>
    <w:p>
      <w:pPr>
        <w:pStyle w:val="Compact"/>
        <w:numPr>
          <w:ilvl w:val="0"/>
          <w:numId w:val="1025"/>
        </w:numPr>
      </w:pPr>
      <w:r>
        <w:t xml:space="preserve">ByRef write-back mapping.</w:t>
      </w:r>
    </w:p>
    <w:p>
      <w:pPr>
        <w:pStyle w:val="Compact"/>
        <w:numPr>
          <w:ilvl w:val="0"/>
          <w:numId w:val="1025"/>
        </w:numPr>
      </w:pPr>
      <w:r>
        <w:rPr>
          <w:rStyle w:val="VerbatimChar"/>
        </w:rPr>
        <w:t xml:space="preserve">On Error Resume Next</w:t>
      </w:r>
      <w:r>
        <w:t xml:space="preserve"> </w:t>
      </w:r>
      <w:r>
        <w:t xml:space="preserve">state restoration.</w:t>
      </w:r>
    </w:p>
    <w:p>
      <w:pPr>
        <w:pStyle w:val="FirstParagraph"/>
      </w:pPr>
      <w:r>
        <w:t xml:space="preserve">This is how AxonASP preserves Classic ASP/VBScript error and ByRef behavior while using a modern VM core.</w:t>
      </w:r>
    </w:p>
    <w:bookmarkEnd w:id="70"/>
    <w:bookmarkStart w:id="71" w:name="intrinsic-object-wiring"/>
    <w:p>
      <w:pPr>
        <w:pStyle w:val="Heading2"/>
      </w:pPr>
      <w:r>
        <w:t xml:space="preserve">Intrinsic Object Wiring</w:t>
      </w:r>
    </w:p>
    <w:p>
      <w:pPr>
        <w:pStyle w:val="FirstParagraph"/>
      </w:pPr>
      <w:r>
        <w:t xml:space="preserve">Intrinsic ASP objects are prebound as native object IDs and loaded into global slots.</w:t>
      </w:r>
    </w:p>
    <w:p>
      <w:pPr>
        <w:pStyle w:val="BodyText"/>
      </w:pPr>
      <w:r>
        <w:t xml:space="preserve">Examples in VM startup include:</w:t>
      </w:r>
    </w:p>
    <w:p>
      <w:pPr>
        <w:pStyle w:val="Compact"/>
        <w:numPr>
          <w:ilvl w:val="0"/>
          <w:numId w:val="1026"/>
        </w:numPr>
      </w:pPr>
      <w:r>
        <w:rPr>
          <w:rStyle w:val="VerbatimChar"/>
        </w:rPr>
        <w:t xml:space="preserve">Response</w:t>
      </w:r>
    </w:p>
    <w:p>
      <w:pPr>
        <w:pStyle w:val="Compact"/>
        <w:numPr>
          <w:ilvl w:val="0"/>
          <w:numId w:val="1026"/>
        </w:numPr>
      </w:pPr>
      <w:r>
        <w:rPr>
          <w:rStyle w:val="VerbatimChar"/>
        </w:rPr>
        <w:t xml:space="preserve">Request</w:t>
      </w:r>
    </w:p>
    <w:p>
      <w:pPr>
        <w:pStyle w:val="Compact"/>
        <w:numPr>
          <w:ilvl w:val="0"/>
          <w:numId w:val="1026"/>
        </w:numPr>
      </w:pPr>
      <w:r>
        <w:rPr>
          <w:rStyle w:val="VerbatimChar"/>
        </w:rPr>
        <w:t xml:space="preserve">Server</w:t>
      </w:r>
    </w:p>
    <w:p>
      <w:pPr>
        <w:pStyle w:val="Compact"/>
        <w:numPr>
          <w:ilvl w:val="0"/>
          <w:numId w:val="1026"/>
        </w:numPr>
      </w:pPr>
      <w:r>
        <w:rPr>
          <w:rStyle w:val="VerbatimChar"/>
        </w:rPr>
        <w:t xml:space="preserve">Session</w:t>
      </w:r>
    </w:p>
    <w:p>
      <w:pPr>
        <w:pStyle w:val="Compact"/>
        <w:numPr>
          <w:ilvl w:val="0"/>
          <w:numId w:val="1026"/>
        </w:numPr>
      </w:pPr>
      <w:r>
        <w:rPr>
          <w:rStyle w:val="VerbatimChar"/>
        </w:rPr>
        <w:t xml:space="preserve">Application</w:t>
      </w:r>
    </w:p>
    <w:p>
      <w:pPr>
        <w:pStyle w:val="Compact"/>
        <w:numPr>
          <w:ilvl w:val="0"/>
          <w:numId w:val="1026"/>
        </w:numPr>
      </w:pPr>
      <w:r>
        <w:rPr>
          <w:rStyle w:val="VerbatimChar"/>
        </w:rPr>
        <w:t xml:space="preserve">ObjectContext</w:t>
      </w:r>
    </w:p>
    <w:p>
      <w:pPr>
        <w:pStyle w:val="Compact"/>
        <w:numPr>
          <w:ilvl w:val="0"/>
          <w:numId w:val="1026"/>
        </w:numPr>
      </w:pPr>
      <w:r>
        <w:rPr>
          <w:rStyle w:val="VerbatimChar"/>
        </w:rPr>
        <w:t xml:space="preserve">Err</w:t>
      </w:r>
    </w:p>
    <w:p>
      <w:pPr>
        <w:pStyle w:val="FirstParagraph"/>
      </w:pPr>
      <w:r>
        <w:t xml:space="preserve">Session state persists under</w:t>
      </w:r>
      <w:r>
        <w:t xml:space="preserve"> </w:t>
      </w:r>
      <w:r>
        <w:rPr>
          <w:rStyle w:val="VerbatimChar"/>
        </w:rPr>
        <w:t xml:space="preserve">temp/session</w:t>
      </w:r>
      <w:r>
        <w:t xml:space="preserve"> </w:t>
      </w:r>
      <w:r>
        <w:t xml:space="preserve">and application state is process-memory-backed.</w:t>
      </w:r>
    </w:p>
    <w:bookmarkEnd w:id="71"/>
    <w:bookmarkStart w:id="72" w:name="Xb2bc0c3dfb8590931ee14e2fba4c7a7c67e3ed7"/>
    <w:p>
      <w:pPr>
        <w:pStyle w:val="Heading2"/>
      </w:pPr>
      <w:r>
        <w:t xml:space="preserve">Native Object Mapping Pattern (Codebase-Accurate)</w:t>
      </w:r>
    </w:p>
    <w:p>
      <w:pPr>
        <w:pStyle w:val="FirstParagraph"/>
      </w:pPr>
      <w:r>
        <w:t xml:space="preserve">This section documents the actual VM wiring pattern used in</w:t>
      </w:r>
      <w:r>
        <w:t xml:space="preserve"> </w:t>
      </w:r>
      <w:r>
        <w:rPr>
          <w:rStyle w:val="VerbatimChar"/>
        </w:rPr>
        <w:t xml:space="preserve">axonvm/vm.go</w:t>
      </w:r>
      <w:r>
        <w:t xml:space="preserve">, so registration steps and snippets match real runtime behavior.</w:t>
      </w:r>
    </w:p>
    <w:bookmarkEnd w:id="72"/>
    <w:bookmarkStart w:id="73" w:name="add-a-typed-map-in-vm-state"/>
    <w:p>
      <w:pPr>
        <w:pStyle w:val="Heading2"/>
      </w:pPr>
      <w:r>
        <w:t xml:space="preserve">1. Add a typed map in VM state</w:t>
      </w:r>
    </w:p>
    <w:p>
      <w:pPr>
        <w:pStyle w:val="FirstParagraph"/>
      </w:pPr>
      <w:r>
        <w:t xml:space="preserve">Each native library has a dedicated map keyed by dynamic ID:</w:t>
      </w:r>
    </w:p>
    <w:p>
      <w:pPr>
        <w:pStyle w:val="SourceCode"/>
      </w:pPr>
      <w:r>
        <w:rPr>
          <w:rStyle w:val="NormalTok"/>
        </w:rPr>
        <w:t xml:space="preserve">g3dbItems          </w:t>
      </w:r>
      <w:r>
        <w:rPr>
          <w:rStyle w:val="KeywordTok"/>
        </w:rPr>
        <w:t xml:space="preserve">map</w:t>
      </w:r>
      <w:r>
        <w:rPr>
          <w:rStyle w:val="OperatorTok"/>
        </w:rPr>
        <w:t xml:space="preserve">[</w:t>
      </w:r>
      <w:r>
        <w:rPr>
          <w:rStyle w:val="DataTypeTok"/>
        </w:rPr>
        <w:t xml:space="preserve">int64</w:t>
      </w:r>
      <w:r>
        <w:rPr>
          <w:rStyle w:val="OperatorTok"/>
        </w:rPr>
        <w:t xml:space="preserve">]*</w:t>
      </w:r>
      <w:r>
        <w:rPr>
          <w:rStyle w:val="NormalTok"/>
        </w:rPr>
        <w:t xml:space="preserve">G3DB</w:t>
      </w:r>
      <w:r>
        <w:br/>
      </w:r>
      <w:r>
        <w:rPr>
          <w:rStyle w:val="NormalTok"/>
        </w:rPr>
        <w:t xml:space="preserve">msxmlServerItems   </w:t>
      </w:r>
      <w:r>
        <w:rPr>
          <w:rStyle w:val="KeywordTok"/>
        </w:rPr>
        <w:t xml:space="preserve">map</w:t>
      </w:r>
      <w:r>
        <w:rPr>
          <w:rStyle w:val="OperatorTok"/>
        </w:rPr>
        <w:t xml:space="preserve">[</w:t>
      </w:r>
      <w:r>
        <w:rPr>
          <w:rStyle w:val="DataTypeTok"/>
        </w:rPr>
        <w:t xml:space="preserve">int64</w:t>
      </w:r>
      <w:r>
        <w:rPr>
          <w:rStyle w:val="OperatorTok"/>
        </w:rPr>
        <w:t xml:space="preserve">]*</w:t>
      </w:r>
      <w:r>
        <w:rPr>
          <w:rStyle w:val="NormalTok"/>
        </w:rPr>
        <w:t xml:space="preserve">MsXML2ServerXMLHTTP</w:t>
      </w:r>
      <w:r>
        <w:br/>
      </w:r>
      <w:r>
        <w:rPr>
          <w:rStyle w:val="NormalTok"/>
        </w:rPr>
        <w:t xml:space="preserve">msxmlDOMItems      </w:t>
      </w:r>
      <w:r>
        <w:rPr>
          <w:rStyle w:val="KeywordTok"/>
        </w:rPr>
        <w:t xml:space="preserve">map</w:t>
      </w:r>
      <w:r>
        <w:rPr>
          <w:rStyle w:val="OperatorTok"/>
        </w:rPr>
        <w:t xml:space="preserve">[</w:t>
      </w:r>
      <w:r>
        <w:rPr>
          <w:rStyle w:val="DataTypeTok"/>
        </w:rPr>
        <w:t xml:space="preserve">int64</w:t>
      </w:r>
      <w:r>
        <w:rPr>
          <w:rStyle w:val="OperatorTok"/>
        </w:rPr>
        <w:t xml:space="preserve">]*</w:t>
      </w:r>
      <w:r>
        <w:rPr>
          <w:rStyle w:val="NormalTok"/>
        </w:rPr>
        <w:t xml:space="preserve">MsXML2DOMDocument</w:t>
      </w:r>
      <w:r>
        <w:br/>
      </w:r>
      <w:r>
        <w:rPr>
          <w:rStyle w:val="NormalTok"/>
        </w:rPr>
        <w:t xml:space="preserve">pdfItems           </w:t>
      </w:r>
      <w:r>
        <w:rPr>
          <w:rStyle w:val="KeywordTok"/>
        </w:rPr>
        <w:t xml:space="preserve">map</w:t>
      </w:r>
      <w:r>
        <w:rPr>
          <w:rStyle w:val="OperatorTok"/>
        </w:rPr>
        <w:t xml:space="preserve">[</w:t>
      </w:r>
      <w:r>
        <w:rPr>
          <w:rStyle w:val="DataTypeTok"/>
        </w:rPr>
        <w:t xml:space="preserve">int64</w:t>
      </w:r>
      <w:r>
        <w:rPr>
          <w:rStyle w:val="OperatorTok"/>
        </w:rPr>
        <w:t xml:space="preserve">]*</w:t>
      </w:r>
      <w:r>
        <w:rPr>
          <w:rStyle w:val="NormalTok"/>
        </w:rPr>
        <w:t xml:space="preserve">G3PDF</w:t>
      </w:r>
    </w:p>
    <w:p>
      <w:pPr>
        <w:pStyle w:val="FirstParagraph"/>
      </w:pPr>
      <w:r>
        <w:t xml:space="preserve">Pattern: one map per concrete object type, no generic reflection registry.</w:t>
      </w:r>
    </w:p>
    <w:bookmarkEnd w:id="73"/>
    <w:bookmarkStart w:id="74" w:name="initialize-map-in-vm-constructor"/>
    <w:p>
      <w:pPr>
        <w:pStyle w:val="Heading2"/>
      </w:pPr>
      <w:r>
        <w:t xml:space="preserve">2. Initialize map in VM constructor</w:t>
      </w:r>
    </w:p>
    <w:p>
      <w:pPr>
        <w:pStyle w:val="FirstParagraph"/>
      </w:pPr>
      <w:r>
        <w:t xml:space="preserve">The map is allocated in</w:t>
      </w:r>
      <w:r>
        <w:t xml:space="preserve"> </w:t>
      </w:r>
      <w:r>
        <w:rPr>
          <w:rStyle w:val="VerbatimChar"/>
        </w:rPr>
        <w:t xml:space="preserve">NewVM</w:t>
      </w:r>
      <w:r>
        <w:t xml:space="preserve"> </w:t>
      </w:r>
      <w:r>
        <w:t xml:space="preserve">with</w:t>
      </w:r>
      <w:r>
        <w:t xml:space="preserve"> </w:t>
      </w:r>
      <w:r>
        <w:rPr>
          <w:rStyle w:val="VerbatimChar"/>
        </w:rPr>
        <w:t xml:space="preserve">make(...)</w:t>
      </w:r>
      <w:r>
        <w:t xml:space="preserve">.</w:t>
      </w:r>
    </w:p>
    <w:p>
      <w:pPr>
        <w:pStyle w:val="SourceCode"/>
      </w:pPr>
      <w:r>
        <w:rPr>
          <w:rStyle w:val="NormalTok"/>
        </w:rPr>
        <w:t xml:space="preserve">g3dbItems</w:t>
      </w:r>
      <w:r>
        <w:rPr>
          <w:rStyle w:val="OperatorTok"/>
        </w:rPr>
        <w:t xml:space="preserve">:</w:t>
      </w:r>
      <w:r>
        <w:rPr>
          <w:rStyle w:val="NormalTok"/>
        </w:rPr>
        <w:t xml:space="preserve">        </w:t>
      </w:r>
      <w:r>
        <w:rPr>
          <w:rStyle w:val="BuiltInTok"/>
        </w:rPr>
        <w:t xml:space="preserve">make</w:t>
      </w:r>
      <w:r>
        <w:rPr>
          <w:rStyle w:val="OperatorTok"/>
        </w:rPr>
        <w:t xml:space="preserve">(</w:t>
      </w:r>
      <w:r>
        <w:rPr>
          <w:rStyle w:val="KeywordTok"/>
        </w:rPr>
        <w:t xml:space="preserve">map</w:t>
      </w:r>
      <w:r>
        <w:rPr>
          <w:rStyle w:val="OperatorTok"/>
        </w:rPr>
        <w:t xml:space="preserve">[</w:t>
      </w:r>
      <w:r>
        <w:rPr>
          <w:rStyle w:val="DataTypeTok"/>
        </w:rPr>
        <w:t xml:space="preserve">int64</w:t>
      </w:r>
      <w:r>
        <w:rPr>
          <w:rStyle w:val="OperatorTok"/>
        </w:rPr>
        <w:t xml:space="preserve">]*</w:t>
      </w:r>
      <w:r>
        <w:rPr>
          <w:rStyle w:val="NormalTok"/>
        </w:rPr>
        <w:t xml:space="preserve">G3DB</w:t>
      </w:r>
      <w:r>
        <w:rPr>
          <w:rStyle w:val="OperatorTok"/>
        </w:rPr>
        <w:t xml:space="preserve">),</w:t>
      </w:r>
      <w:r>
        <w:br/>
      </w:r>
      <w:r>
        <w:rPr>
          <w:rStyle w:val="NormalTok"/>
        </w:rPr>
        <w:t xml:space="preserve">msxmlServerItems</w:t>
      </w:r>
      <w:r>
        <w:rPr>
          <w:rStyle w:val="OperatorTok"/>
        </w:rPr>
        <w:t xml:space="preserve">:</w:t>
      </w:r>
      <w:r>
        <w:rPr>
          <w:rStyle w:val="NormalTok"/>
        </w:rPr>
        <w:t xml:space="preserve"> </w:t>
      </w:r>
      <w:r>
        <w:rPr>
          <w:rStyle w:val="BuiltInTok"/>
        </w:rPr>
        <w:t xml:space="preserve">make</w:t>
      </w:r>
      <w:r>
        <w:rPr>
          <w:rStyle w:val="OperatorTok"/>
        </w:rPr>
        <w:t xml:space="preserve">(</w:t>
      </w:r>
      <w:r>
        <w:rPr>
          <w:rStyle w:val="KeywordTok"/>
        </w:rPr>
        <w:t xml:space="preserve">map</w:t>
      </w:r>
      <w:r>
        <w:rPr>
          <w:rStyle w:val="OperatorTok"/>
        </w:rPr>
        <w:t xml:space="preserve">[</w:t>
      </w:r>
      <w:r>
        <w:rPr>
          <w:rStyle w:val="DataTypeTok"/>
        </w:rPr>
        <w:t xml:space="preserve">int64</w:t>
      </w:r>
      <w:r>
        <w:rPr>
          <w:rStyle w:val="OperatorTok"/>
        </w:rPr>
        <w:t xml:space="preserve">]*</w:t>
      </w:r>
      <w:r>
        <w:rPr>
          <w:rStyle w:val="NormalTok"/>
        </w:rPr>
        <w:t xml:space="preserve">MsXML2ServerXMLHTTP</w:t>
      </w:r>
      <w:r>
        <w:rPr>
          <w:rStyle w:val="OperatorTok"/>
        </w:rPr>
        <w:t xml:space="preserve">),</w:t>
      </w:r>
    </w:p>
    <w:bookmarkEnd w:id="74"/>
    <w:bookmarkStart w:id="75" w:name="register-progid-in-server.createobject"/>
    <w:p>
      <w:pPr>
        <w:pStyle w:val="Heading2"/>
      </w:pPr>
      <w:r>
        <w:t xml:space="preserve">3. Register ProgID in</w:t>
      </w:r>
      <w:r>
        <w:t xml:space="preserve"> </w:t>
      </w:r>
      <w:r>
        <w:rPr>
          <w:rStyle w:val="VerbatimChar"/>
        </w:rPr>
        <w:t xml:space="preserve">Server.CreateObject</w:t>
      </w:r>
    </w:p>
    <w:p>
      <w:pPr>
        <w:pStyle w:val="FirstParagraph"/>
      </w:pPr>
      <w:r>
        <w:t xml:space="preserve">In native</w:t>
      </w:r>
      <w:r>
        <w:t xml:space="preserve"> </w:t>
      </w:r>
      <w:r>
        <w:rPr>
          <w:rStyle w:val="VerbatimChar"/>
        </w:rPr>
        <w:t xml:space="preserve">Server</w:t>
      </w:r>
      <w:r>
        <w:t xml:space="preserve"> </w:t>
      </w:r>
      <w:r>
        <w:t xml:space="preserve">dispatch,</w:t>
      </w:r>
      <w:r>
        <w:t xml:space="preserve"> </w:t>
      </w:r>
      <w:r>
        <w:rPr>
          <w:rStyle w:val="VerbatimChar"/>
        </w:rPr>
        <w:t xml:space="preserve">CreateObject</w:t>
      </w:r>
      <w:r>
        <w:t xml:space="preserve"> </w:t>
      </w:r>
      <w:r>
        <w:t xml:space="preserve">normalizes</w:t>
      </w:r>
      <w:r>
        <w:t xml:space="preserve"> </w:t>
      </w:r>
      <w:r>
        <w:rPr>
          <w:rStyle w:val="VerbatimChar"/>
        </w:rPr>
        <w:t xml:space="preserve">progID</w:t>
      </w:r>
      <w:r>
        <w:t xml:space="preserve"> </w:t>
      </w:r>
      <w:r>
        <w:t xml:space="preserve">and routes by</w:t>
      </w:r>
      <w:r>
        <w:t xml:space="preserve"> </w:t>
      </w:r>
      <w:r>
        <w:rPr>
          <w:rStyle w:val="VerbatimChar"/>
        </w:rPr>
        <w:t xml:space="preserve">progIDKey</w:t>
      </w:r>
      <w:r>
        <w:t xml:space="preserve">.</w:t>
      </w:r>
    </w:p>
    <w:p>
      <w:pPr>
        <w:pStyle w:val="BodyText"/>
      </w:pPr>
      <w:r>
        <w:t xml:space="preserve">Typical forms used today:</w:t>
      </w:r>
    </w:p>
    <w:p>
      <w:pPr>
        <w:pStyle w:val="SourceCode"/>
      </w:pPr>
      <w:r>
        <w:rPr>
          <w:rStyle w:val="ControlFlowTok"/>
        </w:rPr>
        <w:t xml:space="preserve">if</w:t>
      </w:r>
      <w:r>
        <w:rPr>
          <w:rStyle w:val="NormalTok"/>
        </w:rPr>
        <w:t xml:space="preserve"> progIDKey </w:t>
      </w:r>
      <w:r>
        <w:rPr>
          <w:rStyle w:val="OperatorTok"/>
        </w:rPr>
        <w:t xml:space="preserve">==</w:t>
      </w:r>
      <w:r>
        <w:rPr>
          <w:rStyle w:val="NormalTok"/>
        </w:rPr>
        <w:t xml:space="preserve"> </w:t>
      </w:r>
      <w:r>
        <w:rPr>
          <w:rStyle w:val="StringTok"/>
        </w:rPr>
        <w:t xml:space="preserve">"g3db"</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vm</w:t>
      </w:r>
      <w:r>
        <w:rPr>
          <w:rStyle w:val="OperatorTok"/>
        </w:rPr>
        <w:t xml:space="preserve">.</w:t>
      </w:r>
      <w:r>
        <w:rPr>
          <w:rStyle w:val="NormalTok"/>
        </w:rPr>
        <w:t xml:space="preserve">newG3DBObject</w:t>
      </w:r>
      <w:r>
        <w:rPr>
          <w:rStyle w:val="OperatorTok"/>
        </w:rPr>
        <w:t xml:space="preserve">()</w:t>
      </w:r>
      <w:r>
        <w:br/>
      </w:r>
      <w:r>
        <w:rPr>
          <w:rStyle w:val="OperatorTok"/>
        </w:rPr>
        <w:t xml:space="preserve">}</w:t>
      </w:r>
      <w:r>
        <w:br/>
      </w:r>
      <w:r>
        <w:br/>
      </w:r>
      <w:r>
        <w:rPr>
          <w:rStyle w:val="ControlFlowTok"/>
        </w:rPr>
        <w:t xml:space="preserve">if</w:t>
      </w:r>
      <w:r>
        <w:rPr>
          <w:rStyle w:val="NormalTok"/>
        </w:rPr>
        <w:t xml:space="preserve"> progIDKey </w:t>
      </w:r>
      <w:r>
        <w:rPr>
          <w:rStyle w:val="OperatorTok"/>
        </w:rPr>
        <w:t xml:space="preserve">==</w:t>
      </w:r>
      <w:r>
        <w:rPr>
          <w:rStyle w:val="NormalTok"/>
        </w:rPr>
        <w:t xml:space="preserve"> </w:t>
      </w:r>
      <w:r>
        <w:rPr>
          <w:rStyle w:val="StringTok"/>
        </w:rPr>
        <w:t xml:space="preserve">"msxml2.serverxmlhttp"</w:t>
      </w:r>
      <w:r>
        <w:rPr>
          <w:rStyle w:val="NormalTok"/>
        </w:rPr>
        <w:t xml:space="preserve"> </w:t>
      </w:r>
      <w:r>
        <w:rPr>
          <w:rStyle w:val="OperatorTok"/>
        </w:rPr>
        <w:t xml:space="preserve">||</w:t>
      </w:r>
      <w:r>
        <w:rPr>
          <w:rStyle w:val="NormalTok"/>
        </w:rPr>
        <w:t xml:space="preserve"> progIDKey </w:t>
      </w:r>
      <w:r>
        <w:rPr>
          <w:rStyle w:val="OperatorTok"/>
        </w:rPr>
        <w:t xml:space="preserve">==</w:t>
      </w:r>
      <w:r>
        <w:rPr>
          <w:rStyle w:val="NormalTok"/>
        </w:rPr>
        <w:t xml:space="preserve"> </w:t>
      </w:r>
      <w:r>
        <w:rPr>
          <w:rStyle w:val="StringTok"/>
        </w:rPr>
        <w:t xml:space="preserve">"msxml2.xmlhttp"</w:t>
      </w:r>
      <w:r>
        <w:rPr>
          <w:rStyle w:val="NormalTok"/>
        </w:rPr>
        <w:t xml:space="preserve"> </w:t>
      </w:r>
      <w:r>
        <w:rPr>
          <w:rStyle w:val="OperatorTok"/>
        </w:rPr>
        <w:t xml:space="preserve">||</w:t>
      </w:r>
      <w:r>
        <w:rPr>
          <w:rStyle w:val="NormalTok"/>
        </w:rPr>
        <w:t xml:space="preserve"> progIDKey </w:t>
      </w:r>
      <w:r>
        <w:rPr>
          <w:rStyle w:val="OperatorTok"/>
        </w:rPr>
        <w:t xml:space="preserve">==</w:t>
      </w:r>
      <w:r>
        <w:rPr>
          <w:rStyle w:val="NormalTok"/>
        </w:rPr>
        <w:t xml:space="preserve"> </w:t>
      </w:r>
      <w:r>
        <w:rPr>
          <w:rStyle w:val="StringTok"/>
        </w:rPr>
        <w:t xml:space="preserve">"microsoft.xmlhttp"</w:t>
      </w:r>
      <w:r>
        <w:rPr>
          <w:rStyle w:val="NormalTok"/>
        </w:rPr>
        <w:t xml:space="preserve"> </w:t>
      </w:r>
      <w:r>
        <w:rPr>
          <w:rStyle w:val="OperatorTok"/>
        </w:rPr>
        <w:t xml:space="preserve">{</w:t>
      </w:r>
      <w:r>
        <w:br/>
      </w:r>
      <w:r>
        <w:rPr>
          <w:rStyle w:val="NormalTok"/>
        </w:rPr>
        <w:t xml:space="preserve">   obj </w:t>
      </w:r>
      <w:r>
        <w:rPr>
          <w:rStyle w:val="OperatorTok"/>
        </w:rPr>
        <w:t xml:space="preserve">:=</w:t>
      </w:r>
      <w:r>
        <w:rPr>
          <w:rStyle w:val="NormalTok"/>
        </w:rPr>
        <w:t xml:space="preserve"> NewMsXML2ServerXMLHTTP</w:t>
      </w:r>
      <w:r>
        <w:rPr>
          <w:rStyle w:val="OperatorTok"/>
        </w:rPr>
        <w:t xml:space="preserve">(</w:t>
      </w:r>
      <w:r>
        <w:rPr>
          <w:rStyle w:val="NormalTok"/>
        </w:rPr>
        <w:t xml:space="preserve">vm</w:t>
      </w:r>
      <w:r>
        <w:rPr>
          <w:rStyle w:val="OperatorTok"/>
        </w:rPr>
        <w:t xml:space="preserve">)</w:t>
      </w:r>
      <w:r>
        <w:br/>
      </w:r>
      <w:r>
        <w:rPr>
          <w:rStyle w:val="NormalTok"/>
        </w:rPr>
        <w:t xml:space="preserve">   id </w:t>
      </w:r>
      <w:r>
        <w:rPr>
          <w:rStyle w:val="OperatorTok"/>
        </w:rPr>
        <w:t xml:space="preserve">:=</w:t>
      </w:r>
      <w:r>
        <w:rPr>
          <w:rStyle w:val="NormalTok"/>
        </w:rPr>
        <w:t xml:space="preserve"> vm</w:t>
      </w:r>
      <w:r>
        <w:rPr>
          <w:rStyle w:val="OperatorTok"/>
        </w:rPr>
        <w:t xml:space="preserve">.</w:t>
      </w:r>
      <w:r>
        <w:rPr>
          <w:rStyle w:val="NormalTok"/>
        </w:rPr>
        <w:t xml:space="preserve">nextDynamicNativeID</w:t>
      </w:r>
      <w:r>
        <w:br/>
      </w:r>
      <w:r>
        <w:rPr>
          <w:rStyle w:val="NormalTok"/>
        </w:rPr>
        <w:t xml:space="preserve">   vm</w:t>
      </w:r>
      <w:r>
        <w:rPr>
          <w:rStyle w:val="OperatorTok"/>
        </w:rPr>
        <w:t xml:space="preserve">.</w:t>
      </w:r>
      <w:r>
        <w:rPr>
          <w:rStyle w:val="NormalTok"/>
        </w:rPr>
        <w:t xml:space="preserve">nextDynamicNativeID</w:t>
      </w:r>
      <w:r>
        <w:rPr>
          <w:rStyle w:val="OperatorTok"/>
        </w:rPr>
        <w:t xml:space="preserve">++</w:t>
      </w:r>
      <w:r>
        <w:br/>
      </w:r>
      <w:r>
        <w:rPr>
          <w:rStyle w:val="NormalTok"/>
        </w:rPr>
        <w:t xml:space="preserve">   vm</w:t>
      </w:r>
      <w:r>
        <w:rPr>
          <w:rStyle w:val="OperatorTok"/>
        </w:rPr>
        <w:t xml:space="preserve">.</w:t>
      </w:r>
      <w:r>
        <w:rPr>
          <w:rStyle w:val="NormalTok"/>
        </w:rPr>
        <w:t xml:space="preserve">msxmlServerItems</w:t>
      </w:r>
      <w:r>
        <w:rPr>
          <w:rStyle w:val="OperatorTok"/>
        </w:rPr>
        <w:t xml:space="preserve">[</w:t>
      </w:r>
      <w:r>
        <w:rPr>
          <w:rStyle w:val="NormalTok"/>
        </w:rPr>
        <w:t xml:space="preserve">id</w:t>
      </w:r>
      <w:r>
        <w:rPr>
          <w:rStyle w:val="OperatorTok"/>
        </w:rPr>
        <w:t xml:space="preserve">]</w:t>
      </w:r>
      <w:r>
        <w:rPr>
          <w:rStyle w:val="NormalTok"/>
        </w:rPr>
        <w:t xml:space="preserve"> </w:t>
      </w:r>
      <w:r>
        <w:rPr>
          <w:rStyle w:val="OperatorTok"/>
        </w:rPr>
        <w:t xml:space="preserve">=</w:t>
      </w:r>
      <w:r>
        <w:rPr>
          <w:rStyle w:val="NormalTok"/>
        </w:rPr>
        <w:t xml:space="preserve"> obj</w:t>
      </w:r>
      <w:r>
        <w:br/>
      </w:r>
      <w:r>
        <w:rPr>
          <w:rStyle w:val="NormalTok"/>
        </w:rPr>
        <w:t xml:space="preserve">   </w:t>
      </w:r>
      <w:r>
        <w:rPr>
          <w:rStyle w:val="ControlFlowTok"/>
        </w:rPr>
        <w:t xml:space="preserve">return</w:t>
      </w:r>
      <w:r>
        <w:rPr>
          <w:rStyle w:val="NormalTok"/>
        </w:rPr>
        <w:t xml:space="preserve"> Value</w:t>
      </w:r>
      <w:r>
        <w:rPr>
          <w:rStyle w:val="OperatorTok"/>
        </w:rPr>
        <w:t xml:space="preserve">{</w:t>
      </w:r>
      <w:r>
        <w:rPr>
          <w:rStyle w:val="NormalTok"/>
        </w:rPr>
        <w:t xml:space="preserve">Type</w:t>
      </w:r>
      <w:r>
        <w:rPr>
          <w:rStyle w:val="OperatorTok"/>
        </w:rPr>
        <w:t xml:space="preserve">:</w:t>
      </w:r>
      <w:r>
        <w:rPr>
          <w:rStyle w:val="NormalTok"/>
        </w:rPr>
        <w:t xml:space="preserve"> VTNativeObject</w:t>
      </w:r>
      <w:r>
        <w:rPr>
          <w:rStyle w:val="OperatorTok"/>
        </w:rPr>
        <w:t xml:space="preserve">,</w:t>
      </w:r>
      <w:r>
        <w:rPr>
          <w:rStyle w:val="NormalTok"/>
        </w:rPr>
        <w:t xml:space="preserve"> Num</w:t>
      </w:r>
      <w:r>
        <w:rPr>
          <w:rStyle w:val="OperatorTok"/>
        </w:rPr>
        <w:t xml:space="preserve">:</w:t>
      </w:r>
      <w:r>
        <w:rPr>
          <w:rStyle w:val="NormalTok"/>
        </w:rPr>
        <w:t xml:space="preserve"> id</w:t>
      </w:r>
      <w:r>
        <w:rPr>
          <w:rStyle w:val="OperatorTok"/>
        </w:rPr>
        <w:t xml:space="preserve">}</w:t>
      </w:r>
      <w:r>
        <w:br/>
      </w:r>
      <w:r>
        <w:rPr>
          <w:rStyle w:val="OperatorTok"/>
        </w:rPr>
        <w:t xml:space="preserve">}</w:t>
      </w:r>
    </w:p>
    <w:p>
      <w:pPr>
        <w:pStyle w:val="FirstParagraph"/>
      </w:pPr>
      <w:r>
        <w:t xml:space="preserve">Key behavior:</w:t>
      </w:r>
    </w:p>
    <w:p>
      <w:pPr>
        <w:pStyle w:val="Compact"/>
        <w:numPr>
          <w:ilvl w:val="0"/>
          <w:numId w:val="1027"/>
        </w:numPr>
      </w:pPr>
      <w:r>
        <w:t xml:space="preserve">ProgID matching is normalized and case-insensitive by lowercase key.</w:t>
      </w:r>
    </w:p>
    <w:p>
      <w:pPr>
        <w:pStyle w:val="Compact"/>
        <w:numPr>
          <w:ilvl w:val="0"/>
          <w:numId w:val="1027"/>
        </w:numPr>
      </w:pPr>
      <w:r>
        <w:t xml:space="preserve">Object instance is stored in a typed map.</w:t>
      </w:r>
    </w:p>
    <w:p>
      <w:pPr>
        <w:pStyle w:val="Compact"/>
        <w:numPr>
          <w:ilvl w:val="0"/>
          <w:numId w:val="1027"/>
        </w:numPr>
      </w:pPr>
      <w:r>
        <w:t xml:space="preserve">Returned handle is always</w:t>
      </w:r>
      <w:r>
        <w:t xml:space="preserve"> </w:t>
      </w:r>
      <w:r>
        <w:rPr>
          <w:rStyle w:val="VerbatimChar"/>
        </w:rPr>
        <w:t xml:space="preserve">VTNativeObject</w:t>
      </w:r>
      <w:r>
        <w:t xml:space="preserve"> </w:t>
      </w:r>
      <w:r>
        <w:t xml:space="preserve">with dynamic numeric ID.</w:t>
      </w:r>
    </w:p>
    <w:bookmarkEnd w:id="75"/>
    <w:bookmarkStart w:id="76" w:name="route-method-calls-in-dispatchnativecall"/>
    <w:p>
      <w:pPr>
        <w:pStyle w:val="Heading2"/>
      </w:pPr>
      <w:r>
        <w:t xml:space="preserve">4. Route method calls in</w:t>
      </w:r>
      <w:r>
        <w:t xml:space="preserve"> </w:t>
      </w:r>
      <w:r>
        <w:rPr>
          <w:rStyle w:val="VerbatimChar"/>
        </w:rPr>
        <w:t xml:space="preserve">dispatchNativeCall</w:t>
      </w:r>
    </w:p>
    <w:p>
      <w:pPr>
        <w:pStyle w:val="FirstParagraph"/>
      </w:pPr>
      <w:r>
        <w:t xml:space="preserve">Method calls resolve by object ID map membership:</w:t>
      </w:r>
    </w:p>
    <w:p>
      <w:pPr>
        <w:pStyle w:val="SourceCode"/>
      </w:pPr>
      <w:r>
        <w:rPr>
          <w:rStyle w:val="ControlFlowTok"/>
        </w:rPr>
        <w:t xml:space="preserve">if</w:t>
      </w:r>
      <w:r>
        <w:rPr>
          <w:rStyle w:val="NormalTok"/>
        </w:rPr>
        <w:t xml:space="preserve"> g3dbObject</w:t>
      </w:r>
      <w:r>
        <w:rPr>
          <w:rStyle w:val="OperatorTok"/>
        </w:rPr>
        <w:t xml:space="preserve">,</w:t>
      </w:r>
      <w:r>
        <w:rPr>
          <w:rStyle w:val="NormalTok"/>
        </w:rPr>
        <w:t xml:space="preserve"> exists </w:t>
      </w:r>
      <w:r>
        <w:rPr>
          <w:rStyle w:val="OperatorTok"/>
        </w:rPr>
        <w:t xml:space="preserve">:=</w:t>
      </w:r>
      <w:r>
        <w:rPr>
          <w:rStyle w:val="NormalTok"/>
        </w:rPr>
        <w:t xml:space="preserve"> vm</w:t>
      </w:r>
      <w:r>
        <w:rPr>
          <w:rStyle w:val="OperatorTok"/>
        </w:rPr>
        <w:t xml:space="preserve">.</w:t>
      </w:r>
      <w:r>
        <w:rPr>
          <w:rStyle w:val="NormalTok"/>
        </w:rPr>
        <w:t xml:space="preserve">g3dbItems</w:t>
      </w:r>
      <w:r>
        <w:rPr>
          <w:rStyle w:val="OperatorTok"/>
        </w:rPr>
        <w:t xml:space="preserve">[</w:t>
      </w:r>
      <w:r>
        <w:rPr>
          <w:rStyle w:val="NormalTok"/>
        </w:rPr>
        <w:t xml:space="preserve">objID</w:t>
      </w:r>
      <w:r>
        <w:rPr>
          <w:rStyle w:val="OperatorTok"/>
        </w:rPr>
        <w:t xml:space="preserve">];</w:t>
      </w:r>
      <w:r>
        <w:rPr>
          <w:rStyle w:val="NormalTok"/>
        </w:rPr>
        <w:t xml:space="preserve"> exists </w:t>
      </w:r>
      <w:r>
        <w:rPr>
          <w:rStyle w:val="OperatorTok"/>
        </w:rPr>
        <w:t xml:space="preserve">{</w:t>
      </w:r>
      <w:r>
        <w:br/>
      </w:r>
      <w:r>
        <w:rPr>
          <w:rStyle w:val="NormalTok"/>
        </w:rPr>
        <w:t xml:space="preserve">   </w:t>
      </w:r>
      <w:r>
        <w:rPr>
          <w:rStyle w:val="ControlFlowTok"/>
        </w:rPr>
        <w:t xml:space="preserve">return</w:t>
      </w:r>
      <w:r>
        <w:rPr>
          <w:rStyle w:val="NormalTok"/>
        </w:rPr>
        <w:t xml:space="preserve"> g3dbObject</w:t>
      </w:r>
      <w:r>
        <w:rPr>
          <w:rStyle w:val="OperatorTok"/>
        </w:rPr>
        <w:t xml:space="preserve">.</w:t>
      </w:r>
      <w:r>
        <w:rPr>
          <w:rStyle w:val="NormalTok"/>
        </w:rPr>
        <w:t xml:space="preserve">DispatchMethod</w:t>
      </w:r>
      <w:r>
        <w:rPr>
          <w:rStyle w:val="OperatorTok"/>
        </w:rPr>
        <w:t xml:space="preserve">(</w:t>
      </w:r>
      <w:r>
        <w:rPr>
          <w:rStyle w:val="NormalTok"/>
        </w:rPr>
        <w:t xml:space="preserve">member</w:t>
      </w:r>
      <w:r>
        <w:rPr>
          <w:rStyle w:val="OperatorTok"/>
        </w:rPr>
        <w:t xml:space="preserve">,</w:t>
      </w:r>
      <w:r>
        <w:rPr>
          <w:rStyle w:val="NormalTok"/>
        </w:rPr>
        <w:t xml:space="preserve"> args</w:t>
      </w:r>
      <w:r>
        <w:rPr>
          <w:rStyle w:val="OperatorTok"/>
        </w:rPr>
        <w:t xml:space="preserve">)</w:t>
      </w:r>
      <w:r>
        <w:br/>
      </w:r>
      <w:r>
        <w:rPr>
          <w:rStyle w:val="OperatorTok"/>
        </w:rPr>
        <w:t xml:space="preserve">}</w:t>
      </w:r>
      <w:r>
        <w:br/>
      </w:r>
      <w:r>
        <w:rPr>
          <w:rStyle w:val="ControlFlowTok"/>
        </w:rPr>
        <w:t xml:space="preserve">if</w:t>
      </w:r>
      <w:r>
        <w:rPr>
          <w:rStyle w:val="NormalTok"/>
        </w:rPr>
        <w:t xml:space="preserve"> g3dbRS</w:t>
      </w:r>
      <w:r>
        <w:rPr>
          <w:rStyle w:val="OperatorTok"/>
        </w:rPr>
        <w:t xml:space="preserve">,</w:t>
      </w:r>
      <w:r>
        <w:rPr>
          <w:rStyle w:val="NormalTok"/>
        </w:rPr>
        <w:t xml:space="preserve"> exists </w:t>
      </w:r>
      <w:r>
        <w:rPr>
          <w:rStyle w:val="OperatorTok"/>
        </w:rPr>
        <w:t xml:space="preserve">:=</w:t>
      </w:r>
      <w:r>
        <w:rPr>
          <w:rStyle w:val="NormalTok"/>
        </w:rPr>
        <w:t xml:space="preserve"> vm</w:t>
      </w:r>
      <w:r>
        <w:rPr>
          <w:rStyle w:val="OperatorTok"/>
        </w:rPr>
        <w:t xml:space="preserve">.</w:t>
      </w:r>
      <w:r>
        <w:rPr>
          <w:rStyle w:val="NormalTok"/>
        </w:rPr>
        <w:t xml:space="preserve">g3dbResultSetItems</w:t>
      </w:r>
      <w:r>
        <w:rPr>
          <w:rStyle w:val="OperatorTok"/>
        </w:rPr>
        <w:t xml:space="preserve">[</w:t>
      </w:r>
      <w:r>
        <w:rPr>
          <w:rStyle w:val="NormalTok"/>
        </w:rPr>
        <w:t xml:space="preserve">objID</w:t>
      </w:r>
      <w:r>
        <w:rPr>
          <w:rStyle w:val="OperatorTok"/>
        </w:rPr>
        <w:t xml:space="preserve">];</w:t>
      </w:r>
      <w:r>
        <w:rPr>
          <w:rStyle w:val="NormalTok"/>
        </w:rPr>
        <w:t xml:space="preserve"> exists </w:t>
      </w:r>
      <w:r>
        <w:rPr>
          <w:rStyle w:val="OperatorTok"/>
        </w:rPr>
        <w:t xml:space="preserve">{</w:t>
      </w:r>
      <w:r>
        <w:br/>
      </w:r>
      <w:r>
        <w:rPr>
          <w:rStyle w:val="NormalTok"/>
        </w:rPr>
        <w:t xml:space="preserve">   </w:t>
      </w:r>
      <w:r>
        <w:rPr>
          <w:rStyle w:val="ControlFlowTok"/>
        </w:rPr>
        <w:t xml:space="preserve">return</w:t>
      </w:r>
      <w:r>
        <w:rPr>
          <w:rStyle w:val="NormalTok"/>
        </w:rPr>
        <w:t xml:space="preserve"> g3dbRS</w:t>
      </w:r>
      <w:r>
        <w:rPr>
          <w:rStyle w:val="OperatorTok"/>
        </w:rPr>
        <w:t xml:space="preserve">.</w:t>
      </w:r>
      <w:r>
        <w:rPr>
          <w:rStyle w:val="NormalTok"/>
        </w:rPr>
        <w:t xml:space="preserve">DispatchMethod</w:t>
      </w:r>
      <w:r>
        <w:rPr>
          <w:rStyle w:val="OperatorTok"/>
        </w:rPr>
        <w:t xml:space="preserve">(</w:t>
      </w:r>
      <w:r>
        <w:rPr>
          <w:rStyle w:val="NormalTok"/>
        </w:rPr>
        <w:t xml:space="preserve">member</w:t>
      </w:r>
      <w:r>
        <w:rPr>
          <w:rStyle w:val="OperatorTok"/>
        </w:rPr>
        <w:t xml:space="preserve">,</w:t>
      </w:r>
      <w:r>
        <w:rPr>
          <w:rStyle w:val="NormalTok"/>
        </w:rPr>
        <w:t xml:space="preserve"> args</w:t>
      </w:r>
      <w:r>
        <w:rPr>
          <w:rStyle w:val="OperatorTok"/>
        </w:rPr>
        <w:t xml:space="preserve">)</w:t>
      </w:r>
      <w:r>
        <w:br/>
      </w:r>
      <w:r>
        <w:rPr>
          <w:rStyle w:val="OperatorTok"/>
        </w:rPr>
        <w:t xml:space="preserve">}</w:t>
      </w:r>
    </w:p>
    <w:p>
      <w:pPr>
        <w:pStyle w:val="FirstParagraph"/>
      </w:pPr>
      <w:r>
        <w:t xml:space="preserve">The same pattern is repeated for each library/object family.</w:t>
      </w:r>
    </w:p>
    <w:bookmarkEnd w:id="76"/>
    <w:bookmarkStart w:id="77" w:name="X877a24406ee4d68db8520c7494efe482bd3b7c9"/>
    <w:p>
      <w:pPr>
        <w:pStyle w:val="Heading2"/>
      </w:pPr>
      <w:r>
        <w:t xml:space="preserve">5. Route property get in native member resolution</w:t>
      </w:r>
    </w:p>
    <w:p>
      <w:pPr>
        <w:pStyle w:val="FirstParagraph"/>
      </w:pPr>
      <w:r>
        <w:t xml:space="preserve">Property reads use the same typed-map check pattern:</w:t>
      </w:r>
    </w:p>
    <w:p>
      <w:pPr>
        <w:pStyle w:val="SourceCode"/>
      </w:pPr>
      <w:r>
        <w:rPr>
          <w:rStyle w:val="ControlFlowTok"/>
        </w:rPr>
        <w:t xml:space="preserve">if</w:t>
      </w:r>
      <w:r>
        <w:rPr>
          <w:rStyle w:val="NormalTok"/>
        </w:rPr>
        <w:t xml:space="preserve"> g3dbObject</w:t>
      </w:r>
      <w:r>
        <w:rPr>
          <w:rStyle w:val="OperatorTok"/>
        </w:rPr>
        <w:t xml:space="preserve">,</w:t>
      </w:r>
      <w:r>
        <w:rPr>
          <w:rStyle w:val="NormalTok"/>
        </w:rPr>
        <w:t xml:space="preserve"> exists </w:t>
      </w:r>
      <w:r>
        <w:rPr>
          <w:rStyle w:val="OperatorTok"/>
        </w:rPr>
        <w:t xml:space="preserve">:=</w:t>
      </w:r>
      <w:r>
        <w:rPr>
          <w:rStyle w:val="NormalTok"/>
        </w:rPr>
        <w:t xml:space="preserve"> vm</w:t>
      </w:r>
      <w:r>
        <w:rPr>
          <w:rStyle w:val="OperatorTok"/>
        </w:rPr>
        <w:t xml:space="preserve">.</w:t>
      </w:r>
      <w:r>
        <w:rPr>
          <w:rStyle w:val="NormalTok"/>
        </w:rPr>
        <w:t xml:space="preserve">g3dbItems</w:t>
      </w:r>
      <w:r>
        <w:rPr>
          <w:rStyle w:val="OperatorTok"/>
        </w:rPr>
        <w:t xml:space="preserve">[</w:t>
      </w:r>
      <w:r>
        <w:rPr>
          <w:rStyle w:val="NormalTok"/>
        </w:rPr>
        <w:t xml:space="preserve">target</w:t>
      </w:r>
      <w:r>
        <w:rPr>
          <w:rStyle w:val="OperatorTok"/>
        </w:rPr>
        <w:t xml:space="preserve">.</w:t>
      </w:r>
      <w:r>
        <w:rPr>
          <w:rStyle w:val="NormalTok"/>
        </w:rPr>
        <w:t xml:space="preserve">Num</w:t>
      </w:r>
      <w:r>
        <w:rPr>
          <w:rStyle w:val="OperatorTok"/>
        </w:rPr>
        <w:t xml:space="preserve">];</w:t>
      </w:r>
      <w:r>
        <w:rPr>
          <w:rStyle w:val="NormalTok"/>
        </w:rPr>
        <w:t xml:space="preserve"> exists </w:t>
      </w:r>
      <w:r>
        <w:rPr>
          <w:rStyle w:val="OperatorTok"/>
        </w:rPr>
        <w:t xml:space="preserve">{</w:t>
      </w:r>
      <w:r>
        <w:br/>
      </w:r>
      <w:r>
        <w:rPr>
          <w:rStyle w:val="NormalTok"/>
        </w:rPr>
        <w:t xml:space="preserve">   </w:t>
      </w:r>
      <w:r>
        <w:rPr>
          <w:rStyle w:val="ControlFlowTok"/>
        </w:rPr>
        <w:t xml:space="preserve">return</w:t>
      </w:r>
      <w:r>
        <w:rPr>
          <w:rStyle w:val="NormalTok"/>
        </w:rPr>
        <w:t xml:space="preserve"> g3dbObject</w:t>
      </w:r>
      <w:r>
        <w:rPr>
          <w:rStyle w:val="OperatorTok"/>
        </w:rPr>
        <w:t xml:space="preserve">.</w:t>
      </w:r>
      <w:r>
        <w:rPr>
          <w:rStyle w:val="NormalTok"/>
        </w:rPr>
        <w:t xml:space="preserve">DispatchPropertyGet</w:t>
      </w:r>
      <w:r>
        <w:rPr>
          <w:rStyle w:val="OperatorTok"/>
        </w:rPr>
        <w:t xml:space="preserve">(</w:t>
      </w:r>
      <w:r>
        <w:rPr>
          <w:rStyle w:val="NormalTok"/>
        </w:rPr>
        <w:t xml:space="preserve">member</w:t>
      </w:r>
      <w:r>
        <w:rPr>
          <w:rStyle w:val="OperatorTok"/>
        </w:rPr>
        <w:t xml:space="preserve">)</w:t>
      </w:r>
      <w:r>
        <w:br/>
      </w:r>
      <w:r>
        <w:rPr>
          <w:rStyle w:val="OperatorTok"/>
        </w:rPr>
        <w:t xml:space="preserve">}</w:t>
      </w:r>
    </w:p>
    <w:bookmarkEnd w:id="77"/>
    <w:bookmarkStart w:id="78" w:name="route-property-set-in-native-set-handler"/>
    <w:p>
      <w:pPr>
        <w:pStyle w:val="Heading2"/>
      </w:pPr>
      <w:r>
        <w:t xml:space="preserve">6. Route property set in native set handler</w:t>
      </w:r>
    </w:p>
    <w:p>
      <w:pPr>
        <w:pStyle w:val="FirstParagraph"/>
      </w:pPr>
      <w:r>
        <w:t xml:space="preserve">Writable native properties must be routed explicitly to</w:t>
      </w:r>
      <w:r>
        <w:t xml:space="preserve"> </w:t>
      </w:r>
      <w:r>
        <w:rPr>
          <w:rStyle w:val="VerbatimChar"/>
        </w:rPr>
        <w:t xml:space="preserve">DispatchPropertySet</w:t>
      </w:r>
      <w:r>
        <w:t xml:space="preserve"> </w:t>
      </w:r>
      <w:r>
        <w:t xml:space="preserve">in the native member set path.</w:t>
      </w:r>
    </w:p>
    <w:p>
      <w:pPr>
        <w:pStyle w:val="BodyText"/>
      </w:pPr>
      <w:r>
        <w:t xml:space="preserve">Pattern:</w:t>
      </w:r>
    </w:p>
    <w:p>
      <w:pPr>
        <w:pStyle w:val="SourceCode"/>
      </w:pPr>
      <w:r>
        <w:rPr>
          <w:rStyle w:val="ControlFlowTok"/>
        </w:rPr>
        <w:t xml:space="preserve">if</w:t>
      </w:r>
      <w:r>
        <w:rPr>
          <w:rStyle w:val="NormalTok"/>
        </w:rPr>
        <w:t xml:space="preserve"> obj</w:t>
      </w:r>
      <w:r>
        <w:rPr>
          <w:rStyle w:val="OperatorTok"/>
        </w:rPr>
        <w:t xml:space="preserve">,</w:t>
      </w:r>
      <w:r>
        <w:rPr>
          <w:rStyle w:val="NormalTok"/>
        </w:rPr>
        <w:t xml:space="preserve"> exists </w:t>
      </w:r>
      <w:r>
        <w:rPr>
          <w:rStyle w:val="OperatorTok"/>
        </w:rPr>
        <w:t xml:space="preserve">:=</w:t>
      </w:r>
      <w:r>
        <w:rPr>
          <w:rStyle w:val="NormalTok"/>
        </w:rPr>
        <w:t xml:space="preserve"> vm</w:t>
      </w:r>
      <w:r>
        <w:rPr>
          <w:rStyle w:val="OperatorTok"/>
        </w:rPr>
        <w:t xml:space="preserve">.</w:t>
      </w:r>
      <w:r>
        <w:rPr>
          <w:rStyle w:val="NormalTok"/>
        </w:rPr>
        <w:t xml:space="preserve">someLibraryItems</w:t>
      </w:r>
      <w:r>
        <w:rPr>
          <w:rStyle w:val="OperatorTok"/>
        </w:rPr>
        <w:t xml:space="preserve">[</w:t>
      </w:r>
      <w:r>
        <w:rPr>
          <w:rStyle w:val="NormalTok"/>
        </w:rPr>
        <w:t xml:space="preserve">target</w:t>
      </w:r>
      <w:r>
        <w:rPr>
          <w:rStyle w:val="OperatorTok"/>
        </w:rPr>
        <w:t xml:space="preserve">.</w:t>
      </w:r>
      <w:r>
        <w:rPr>
          <w:rStyle w:val="NormalTok"/>
        </w:rPr>
        <w:t xml:space="preserve">Num</w:t>
      </w:r>
      <w:r>
        <w:rPr>
          <w:rStyle w:val="OperatorTok"/>
        </w:rPr>
        <w:t xml:space="preserve">];</w:t>
      </w:r>
      <w:r>
        <w:rPr>
          <w:rStyle w:val="NormalTok"/>
        </w:rPr>
        <w:t xml:space="preserve"> exists </w:t>
      </w:r>
      <w:r>
        <w:rPr>
          <w:rStyle w:val="OperatorTok"/>
        </w:rPr>
        <w:t xml:space="preserve">{</w:t>
      </w:r>
      <w:r>
        <w:br/>
      </w:r>
      <w:r>
        <w:rPr>
          <w:rStyle w:val="NormalTok"/>
        </w:rPr>
        <w:t xml:space="preserve">   </w:t>
      </w:r>
      <w:r>
        <w:rPr>
          <w:rStyle w:val="ControlFlowTok"/>
        </w:rPr>
        <w:t xml:space="preserve">return</w:t>
      </w:r>
      <w:r>
        <w:rPr>
          <w:rStyle w:val="NormalTok"/>
        </w:rPr>
        <w:t xml:space="preserve"> obj</w:t>
      </w:r>
      <w:r>
        <w:rPr>
          <w:rStyle w:val="OperatorTok"/>
        </w:rPr>
        <w:t xml:space="preserve">.</w:t>
      </w:r>
      <w:r>
        <w:rPr>
          <w:rStyle w:val="NormalTok"/>
        </w:rPr>
        <w:t xml:space="preserve">DispatchPropertySet</w:t>
      </w:r>
      <w:r>
        <w:rPr>
          <w:rStyle w:val="OperatorTok"/>
        </w:rPr>
        <w:t xml:space="preserve">(</w:t>
      </w:r>
      <w:r>
        <w:rPr>
          <w:rStyle w:val="NormalTok"/>
        </w:rPr>
        <w:t xml:space="preserve">member</w:t>
      </w:r>
      <w:r>
        <w:rPr>
          <w:rStyle w:val="OperatorTok"/>
        </w:rPr>
        <w:t xml:space="preserve">,</w:t>
      </w:r>
      <w:r>
        <w:rPr>
          <w:rStyle w:val="NormalTok"/>
        </w:rPr>
        <w:t xml:space="preserve"> args</w:t>
      </w:r>
      <w:r>
        <w:rPr>
          <w:rStyle w:val="OperatorTok"/>
        </w:rPr>
        <w:t xml:space="preserve">)</w:t>
      </w:r>
      <w:r>
        <w:br/>
      </w:r>
      <w:r>
        <w:rPr>
          <w:rStyle w:val="OperatorTok"/>
        </w:rPr>
        <w:t xml:space="preserve">}</w:t>
      </w:r>
    </w:p>
    <w:p>
      <w:pPr>
        <w:pStyle w:val="FirstParagraph"/>
      </w:pPr>
      <w:r>
        <w:t xml:space="preserve">No implicit reflection fallback is used for these native maps.</w:t>
      </w:r>
    </w:p>
    <w:bookmarkEnd w:id="78"/>
    <w:bookmarkStart w:id="79" w:name="why-this-pattern-is-used"/>
    <w:p>
      <w:pPr>
        <w:pStyle w:val="Heading2"/>
      </w:pPr>
      <w:r>
        <w:t xml:space="preserve">Why This Pattern Is Used</w:t>
      </w:r>
    </w:p>
    <w:p>
      <w:pPr>
        <w:pStyle w:val="FirstParagraph"/>
      </w:pPr>
      <w:r>
        <w:t xml:space="preserve">This design keeps the runtime deterministic:</w:t>
      </w:r>
    </w:p>
    <w:p>
      <w:pPr>
        <w:pStyle w:val="Compact"/>
        <w:numPr>
          <w:ilvl w:val="0"/>
          <w:numId w:val="1028"/>
        </w:numPr>
      </w:pPr>
      <w:r>
        <w:t xml:space="preserve">O(1) object lookup via map key.</w:t>
      </w:r>
    </w:p>
    <w:p>
      <w:pPr>
        <w:pStyle w:val="Compact"/>
        <w:numPr>
          <w:ilvl w:val="0"/>
          <w:numId w:val="1028"/>
        </w:numPr>
      </w:pPr>
      <w:r>
        <w:t xml:space="preserve">No reflection overhead in hot member-call paths.</w:t>
      </w:r>
    </w:p>
    <w:p>
      <w:pPr>
        <w:pStyle w:val="Compact"/>
        <w:numPr>
          <w:ilvl w:val="0"/>
          <w:numId w:val="1028"/>
        </w:numPr>
      </w:pPr>
      <w:r>
        <w:t xml:space="preserve">Explicit control of method/property behavior.</w:t>
      </w:r>
    </w:p>
    <w:p>
      <w:pPr>
        <w:pStyle w:val="Compact"/>
        <w:numPr>
          <w:ilvl w:val="0"/>
          <w:numId w:val="1028"/>
        </w:numPr>
      </w:pPr>
      <w:r>
        <w:t xml:space="preserve">Easier compatibility auditing for Classic ASP semantics.</w:t>
      </w:r>
    </w:p>
    <w:bookmarkEnd w:id="79"/>
    <w:bookmarkStart w:id="80" w:name="Xa880d29d0b6a615d3ac275e47d4f6df1bbfe74d"/>
    <w:p>
      <w:pPr>
        <w:pStyle w:val="Heading2"/>
      </w:pPr>
      <w:r>
        <w:t xml:space="preserve">JavaScript Support Details That Matter in Practice</w:t>
      </w:r>
    </w:p>
    <w:p>
      <w:pPr>
        <w:pStyle w:val="FirstParagraph"/>
      </w:pPr>
      <w:r>
        <w:t xml:space="preserve">If you are extending JavaScript behavior, these runtime facts are important:</w:t>
      </w:r>
    </w:p>
    <w:p>
      <w:pPr>
        <w:pStyle w:val="Compact"/>
        <w:numPr>
          <w:ilvl w:val="0"/>
          <w:numId w:val="1029"/>
        </w:numPr>
      </w:pPr>
      <w:r>
        <w:t xml:space="preserve">JavaScript execution uses VM-owned registries (</w:t>
      </w:r>
      <w:r>
        <w:rPr>
          <w:rStyle w:val="VerbatimChar"/>
        </w:rPr>
        <w:t xml:space="preserve">jsFunctionItems</w:t>
      </w:r>
      <w:r>
        <w:t xml:space="preserve">,</w:t>
      </w:r>
      <w:r>
        <w:t xml:space="preserve"> </w:t>
      </w:r>
      <w:r>
        <w:rPr>
          <w:rStyle w:val="VerbatimChar"/>
        </w:rPr>
        <w:t xml:space="preserve">jsEnvItems</w:t>
      </w:r>
      <w:r>
        <w:t xml:space="preserve">,</w:t>
      </w:r>
      <w:r>
        <w:t xml:space="preserve"> </w:t>
      </w:r>
      <w:r>
        <w:rPr>
          <w:rStyle w:val="VerbatimChar"/>
        </w:rPr>
        <w:t xml:space="preserve">jsPropertyItems</w:t>
      </w:r>
      <w:r>
        <w:t xml:space="preserve">, and others) instead of generic interface containers.</w:t>
      </w:r>
    </w:p>
    <w:p>
      <w:pPr>
        <w:pStyle w:val="Compact"/>
        <w:numPr>
          <w:ilvl w:val="0"/>
          <w:numId w:val="1029"/>
        </w:numPr>
      </w:pPr>
      <w:r>
        <w:t xml:space="preserve">Module loading state is request-local (</w:t>
      </w:r>
      <w:r>
        <w:rPr>
          <w:rStyle w:val="VerbatimChar"/>
        </w:rPr>
        <w:t xml:space="preserve">jsModuleInstances</w:t>
      </w:r>
      <w:r>
        <w:t xml:space="preserve">,</w:t>
      </w:r>
      <w:r>
        <w:t xml:space="preserve"> </w:t>
      </w:r>
      <w:r>
        <w:rPr>
          <w:rStyle w:val="VerbatimChar"/>
        </w:rPr>
        <w:t xml:space="preserve">jsModuleLoading</w:t>
      </w:r>
      <w:r>
        <w:t xml:space="preserve">) to avoid cross-request leakage.</w:t>
      </w:r>
    </w:p>
    <w:p>
      <w:pPr>
        <w:pStyle w:val="Compact"/>
        <w:numPr>
          <w:ilvl w:val="0"/>
          <w:numId w:val="1029"/>
        </w:numPr>
      </w:pPr>
      <w:r>
        <w:t xml:space="preserve">Promise/microtask execution uses explicit VM queues, not background global schedulers.</w:t>
      </w:r>
    </w:p>
    <w:p>
      <w:pPr>
        <w:pStyle w:val="Compact"/>
        <w:numPr>
          <w:ilvl w:val="0"/>
          <w:numId w:val="1029"/>
        </w:numPr>
      </w:pPr>
      <w:r>
        <w:t xml:space="preserve">Buffer and typed array backing memory is tracked in VM maps (</w:t>
      </w:r>
      <w:r>
        <w:rPr>
          <w:rStyle w:val="VerbatimChar"/>
        </w:rPr>
        <w:t xml:space="preserve">jsArrayBuffers</w:t>
      </w:r>
      <w:r>
        <w:t xml:space="preserve">,</w:t>
      </w:r>
      <w:r>
        <w:t xml:space="preserve"> </w:t>
      </w:r>
      <w:r>
        <w:rPr>
          <w:rStyle w:val="VerbatimChar"/>
        </w:rPr>
        <w:t xml:space="preserve">jsSharedArrayBuffers</w:t>
      </w:r>
      <w:r>
        <w:t xml:space="preserve">) for deterministic ownership.</w:t>
      </w:r>
    </w:p>
    <w:p>
      <w:pPr>
        <w:pStyle w:val="Compact"/>
        <w:numPr>
          <w:ilvl w:val="0"/>
          <w:numId w:val="1029"/>
        </w:numPr>
      </w:pPr>
      <w:r>
        <w:t xml:space="preserve">Intl-related object state is modeled in dedicated maps for each Intl type.</w:t>
      </w:r>
    </w:p>
    <w:p>
      <w:pPr>
        <w:pStyle w:val="FirstParagraph"/>
      </w:pPr>
      <w:r>
        <w:t xml:space="preserve">For Microsoft-ecosystem developers: think of this as replacing hidden script engine internals with explicit, inspectable runtime tables.</w:t>
      </w:r>
    </w:p>
    <w:bookmarkEnd w:id="80"/>
    <w:bookmarkStart w:id="81" w:name="performance-and-memory-behavior"/>
    <w:p>
      <w:pPr>
        <w:pStyle w:val="Heading2"/>
      </w:pPr>
      <w:r>
        <w:t xml:space="preserve">Performance and Memory Behavior</w:t>
      </w:r>
    </w:p>
    <w:p>
      <w:pPr>
        <w:pStyle w:val="FirstParagraph"/>
      </w:pPr>
      <w:r>
        <w:t xml:space="preserve">AxonASP performance strategy:</w:t>
      </w:r>
    </w:p>
    <w:p>
      <w:pPr>
        <w:pStyle w:val="Compact"/>
        <w:numPr>
          <w:ilvl w:val="0"/>
          <w:numId w:val="1030"/>
        </w:numPr>
      </w:pPr>
      <w:r>
        <w:t xml:space="preserve">Avoid reflection-heavy execution paths.</w:t>
      </w:r>
    </w:p>
    <w:p>
      <w:pPr>
        <w:pStyle w:val="Compact"/>
        <w:numPr>
          <w:ilvl w:val="0"/>
          <w:numId w:val="1030"/>
        </w:numPr>
      </w:pPr>
      <w:r>
        <w:t xml:space="preserve">Avoid generic boxed dispatch in VM hot loops.</w:t>
      </w:r>
    </w:p>
    <w:p>
      <w:pPr>
        <w:pStyle w:val="Compact"/>
        <w:numPr>
          <w:ilvl w:val="0"/>
          <w:numId w:val="1030"/>
        </w:numPr>
      </w:pPr>
      <w:r>
        <w:t xml:space="preserve">Reuse stable bytecode where possible.</w:t>
      </w:r>
    </w:p>
    <w:p>
      <w:pPr>
        <w:pStyle w:val="Compact"/>
        <w:numPr>
          <w:ilvl w:val="0"/>
          <w:numId w:val="1030"/>
        </w:numPr>
      </w:pPr>
      <w:r>
        <w:t xml:space="preserve">Keep type coercions explicit and localized.</w:t>
      </w:r>
    </w:p>
    <w:p>
      <w:pPr>
        <w:pStyle w:val="FirstParagraph"/>
      </w:pPr>
      <w:r>
        <w:t xml:space="preserve">Memory safety strategy:</w:t>
      </w:r>
    </w:p>
    <w:p>
      <w:pPr>
        <w:pStyle w:val="Compact"/>
        <w:numPr>
          <w:ilvl w:val="0"/>
          <w:numId w:val="1031"/>
        </w:numPr>
      </w:pPr>
      <w:r>
        <w:t xml:space="preserve">Request-scoped object maps bound to VM instance lifetime.</w:t>
      </w:r>
    </w:p>
    <w:p>
      <w:pPr>
        <w:pStyle w:val="Compact"/>
        <w:numPr>
          <w:ilvl w:val="0"/>
          <w:numId w:val="1031"/>
        </w:numPr>
      </w:pPr>
      <w:r>
        <w:t xml:space="preserve">Explicit cleanup for native objects that hold external resources.</w:t>
      </w:r>
    </w:p>
    <w:p>
      <w:pPr>
        <w:pStyle w:val="Compact"/>
        <w:numPr>
          <w:ilvl w:val="0"/>
          <w:numId w:val="1031"/>
        </w:numPr>
      </w:pPr>
      <w:r>
        <w:t xml:space="preserve">Deterministic release patterns in libraries that wrap OS or external handles.</w:t>
      </w:r>
    </w:p>
    <w:bookmarkEnd w:id="81"/>
    <w:bookmarkStart w:id="82" w:name="extension-checklist-native-library"/>
    <w:p>
      <w:pPr>
        <w:pStyle w:val="Heading2"/>
      </w:pPr>
      <w:r>
        <w:t xml:space="preserve">Extension Checklist (Native Library)</w:t>
      </w:r>
    </w:p>
    <w:p>
      <w:pPr>
        <w:pStyle w:val="FirstParagraph"/>
      </w:pPr>
      <w:r>
        <w:t xml:space="preserve">Use this checklist when adding a new library:</w:t>
      </w:r>
    </w:p>
    <w:p>
      <w:pPr>
        <w:pStyle w:val="Compact"/>
        <w:numPr>
          <w:ilvl w:val="0"/>
          <w:numId w:val="1032"/>
        </w:numPr>
      </w:pPr>
      <w:r>
        <w:t xml:space="preserve">Add</w:t>
      </w:r>
      <w:r>
        <w:t xml:space="preserve"> </w:t>
      </w:r>
      <w:r>
        <w:rPr>
          <w:rStyle w:val="VerbatimChar"/>
        </w:rPr>
        <w:t xml:space="preserve">lib_&lt;name&gt;.go</w:t>
      </w:r>
      <w:r>
        <w:t xml:space="preserve"> </w:t>
      </w:r>
      <w:r>
        <w:t xml:space="preserve">with concrete struct and typed dispatch methods.</w:t>
      </w:r>
    </w:p>
    <w:p>
      <w:pPr>
        <w:pStyle w:val="Compact"/>
        <w:numPr>
          <w:ilvl w:val="0"/>
          <w:numId w:val="1032"/>
        </w:numPr>
      </w:pPr>
      <w:r>
        <w:t xml:space="preserve">Add</w:t>
      </w:r>
      <w:r>
        <w:t xml:space="preserve"> </w:t>
      </w:r>
      <w:r>
        <w:rPr>
          <w:rStyle w:val="VerbatimChar"/>
        </w:rPr>
        <w:t xml:space="preserve">lib_&lt;name&gt;_disabled.go</w:t>
      </w:r>
      <w:r>
        <w:t xml:space="preserve"> </w:t>
      </w:r>
      <w:r>
        <w:t xml:space="preserve">with correct build tags and disabled behavior.</w:t>
      </w:r>
    </w:p>
    <w:p>
      <w:pPr>
        <w:pStyle w:val="Compact"/>
        <w:numPr>
          <w:ilvl w:val="0"/>
          <w:numId w:val="1032"/>
        </w:numPr>
      </w:pPr>
      <w:r>
        <w:t xml:space="preserve">Add map field to VM struct and allocate in constructor.</w:t>
      </w:r>
    </w:p>
    <w:p>
      <w:pPr>
        <w:pStyle w:val="Compact"/>
        <w:numPr>
          <w:ilvl w:val="0"/>
          <w:numId w:val="1032"/>
        </w:numPr>
      </w:pPr>
      <w:r>
        <w:t xml:space="preserve">Add ProgID route in</w:t>
      </w:r>
      <w:r>
        <w:t xml:space="preserve"> </w:t>
      </w:r>
      <w:r>
        <w:rPr>
          <w:rStyle w:val="VerbatimChar"/>
        </w:rPr>
        <w:t xml:space="preserve">Server.CreateObject</w:t>
      </w:r>
      <w:r>
        <w:t xml:space="preserve"> </w:t>
      </w:r>
      <w:r>
        <w:t xml:space="preserve">path.</w:t>
      </w:r>
    </w:p>
    <w:p>
      <w:pPr>
        <w:pStyle w:val="Compact"/>
        <w:numPr>
          <w:ilvl w:val="0"/>
          <w:numId w:val="1032"/>
        </w:numPr>
      </w:pPr>
      <w:r>
        <w:t xml:space="preserve">Add method route in</w:t>
      </w:r>
      <w:r>
        <w:t xml:space="preserve"> </w:t>
      </w:r>
      <w:r>
        <w:rPr>
          <w:rStyle w:val="VerbatimChar"/>
        </w:rPr>
        <w:t xml:space="preserve">dispatchNativeCall</w:t>
      </w:r>
      <w:r>
        <w:t xml:space="preserve">.</w:t>
      </w:r>
    </w:p>
    <w:p>
      <w:pPr>
        <w:pStyle w:val="Compact"/>
        <w:numPr>
          <w:ilvl w:val="0"/>
          <w:numId w:val="1032"/>
        </w:numPr>
      </w:pPr>
      <w:r>
        <w:t xml:space="preserve">Add property-get route in native property resolution path.</w:t>
      </w:r>
    </w:p>
    <w:p>
      <w:pPr>
        <w:pStyle w:val="Compact"/>
        <w:numPr>
          <w:ilvl w:val="0"/>
          <w:numId w:val="1032"/>
        </w:numPr>
      </w:pPr>
      <w:r>
        <w:t xml:space="preserve">Add property-set route when writable members exist.</w:t>
      </w:r>
    </w:p>
    <w:p>
      <w:pPr>
        <w:pStyle w:val="Compact"/>
        <w:numPr>
          <w:ilvl w:val="0"/>
          <w:numId w:val="1032"/>
        </w:numPr>
      </w:pPr>
      <w:r>
        <w:t xml:space="preserve">Return explicit</w:t>
      </w:r>
      <w:r>
        <w:t xml:space="preserve"> </w:t>
      </w:r>
      <w:r>
        <w:rPr>
          <w:rStyle w:val="VerbatimChar"/>
        </w:rPr>
        <w:t xml:space="preserve">Value</w:t>
      </w:r>
      <w:r>
        <w:t xml:space="preserve"> </w:t>
      </w:r>
      <w:r>
        <w:t xml:space="preserve">types and raise explicit errors for operational failures.</w:t>
      </w:r>
    </w:p>
    <w:p>
      <w:pPr>
        <w:pStyle w:val="Compact"/>
        <w:numPr>
          <w:ilvl w:val="0"/>
          <w:numId w:val="1032"/>
        </w:numPr>
      </w:pPr>
      <w:r>
        <w:t xml:space="preserve">Add Go tests for behavior and compatibility edges.</w:t>
      </w:r>
    </w:p>
    <w:bookmarkEnd w:id="82"/>
    <w:bookmarkStart w:id="83" w:name="internal-files-to-start-with"/>
    <w:p>
      <w:pPr>
        <w:pStyle w:val="Heading2"/>
      </w:pPr>
      <w:r>
        <w:t xml:space="preserve">Internal Files to Start With</w:t>
      </w:r>
    </w:p>
    <w:p>
      <w:pPr>
        <w:pStyle w:val="Compact"/>
        <w:numPr>
          <w:ilvl w:val="0"/>
          <w:numId w:val="1033"/>
        </w:numPr>
      </w:pPr>
      <w:r>
        <w:rPr>
          <w:rStyle w:val="VerbatimChar"/>
        </w:rPr>
        <w:t xml:space="preserve">axonvm/vm.go</w:t>
      </w:r>
      <w:r>
        <w:t xml:space="preserve"> </w:t>
      </w:r>
      <w:r>
        <w:t xml:space="preserve">for VM state, intrinsic objects, CreateObject routing, and native dispatch.</w:t>
      </w:r>
    </w:p>
    <w:p>
      <w:pPr>
        <w:pStyle w:val="Compact"/>
        <w:numPr>
          <w:ilvl w:val="0"/>
          <w:numId w:val="1033"/>
        </w:numPr>
      </w:pPr>
      <w:r>
        <w:rPr>
          <w:rStyle w:val="VerbatimChar"/>
        </w:rPr>
        <w:t xml:space="preserve">axonvm/opcode.go</w:t>
      </w:r>
      <w:r>
        <w:t xml:space="preserve"> </w:t>
      </w:r>
      <w:r>
        <w:t xml:space="preserve">for opcode taxonomy.</w:t>
      </w:r>
    </w:p>
    <w:p>
      <w:pPr>
        <w:pStyle w:val="Compact"/>
        <w:numPr>
          <w:ilvl w:val="0"/>
          <w:numId w:val="1033"/>
        </w:numPr>
      </w:pPr>
      <w:r>
        <w:rPr>
          <w:rStyle w:val="VerbatimChar"/>
        </w:rPr>
        <w:t xml:space="preserve">axonvm/value.go</w:t>
      </w:r>
      <w:r>
        <w:t xml:space="preserve"> </w:t>
      </w:r>
      <w:r>
        <w:t xml:space="preserve">for runtime value representation.</w:t>
      </w:r>
    </w:p>
    <w:p>
      <w:pPr>
        <w:pStyle w:val="Compact"/>
        <w:numPr>
          <w:ilvl w:val="0"/>
          <w:numId w:val="1033"/>
        </w:numPr>
      </w:pPr>
      <w:r>
        <w:rPr>
          <w:rStyle w:val="VerbatimChar"/>
        </w:rPr>
        <w:t xml:space="preserve">axonvm/compiler*.go</w:t>
      </w:r>
      <w:r>
        <w:t xml:space="preserve"> </w:t>
      </w:r>
      <w:r>
        <w:t xml:space="preserve">for VBScript token-to-bytecode emission.</w:t>
      </w:r>
    </w:p>
    <w:p>
      <w:pPr>
        <w:pStyle w:val="Compact"/>
        <w:numPr>
          <w:ilvl w:val="0"/>
          <w:numId w:val="1033"/>
        </w:numPr>
      </w:pPr>
      <w:r>
        <w:rPr>
          <w:rStyle w:val="VerbatimChar"/>
        </w:rPr>
        <w:t xml:space="preserve">jscript/</w:t>
      </w:r>
      <w:r>
        <w:t xml:space="preserve"> </w:t>
      </w:r>
      <w:r>
        <w:t xml:space="preserve">for JavaScript parser and AST logic.</w:t>
      </w:r>
    </w:p>
    <w:p>
      <w:pPr>
        <w:pStyle w:val="Compact"/>
        <w:numPr>
          <w:ilvl w:val="0"/>
          <w:numId w:val="1033"/>
        </w:numPr>
      </w:pPr>
      <w:r>
        <w:rPr>
          <w:rStyle w:val="VerbatimChar"/>
        </w:rPr>
        <w:t xml:space="preserve">axonvm/lib_*.go</w:t>
      </w:r>
      <w:r>
        <w:t xml:space="preserve"> </w:t>
      </w:r>
      <w:r>
        <w:t xml:space="preserve">for native library implementation patterns.</w:t>
      </w:r>
    </w:p>
    <w:bookmarkEnd w:id="83"/>
    <w:bookmarkStart w:id="84" w:name="design-principles"/>
    <w:p>
      <w:pPr>
        <w:pStyle w:val="Heading2"/>
      </w:pPr>
      <w:r>
        <w:t xml:space="preserve">Design Principles</w:t>
      </w:r>
    </w:p>
    <w:p>
      <w:pPr>
        <w:pStyle w:val="Compact"/>
        <w:numPr>
          <w:ilvl w:val="0"/>
          <w:numId w:val="1034"/>
        </w:numPr>
      </w:pPr>
      <w:r>
        <w:t xml:space="preserve">Compatibility-first behavior for Classic ASP workloads.</w:t>
      </w:r>
    </w:p>
    <w:p>
      <w:pPr>
        <w:pStyle w:val="Compact"/>
        <w:numPr>
          <w:ilvl w:val="0"/>
          <w:numId w:val="1034"/>
        </w:numPr>
      </w:pPr>
      <w:r>
        <w:t xml:space="preserve">Single-pass direct compilation for VBScript.</w:t>
      </w:r>
    </w:p>
    <w:p>
      <w:pPr>
        <w:pStyle w:val="Compact"/>
        <w:numPr>
          <w:ilvl w:val="0"/>
          <w:numId w:val="1034"/>
        </w:numPr>
      </w:pPr>
      <w:r>
        <w:t xml:space="preserve">AST-driven compilation for JavaScript support.</w:t>
      </w:r>
    </w:p>
    <w:p>
      <w:pPr>
        <w:pStyle w:val="Compact"/>
        <w:numPr>
          <w:ilvl w:val="0"/>
          <w:numId w:val="1034"/>
        </w:numPr>
      </w:pPr>
      <w:r>
        <w:t xml:space="preserve">One shared VM runtime with typed native object dispatch.</w:t>
      </w:r>
    </w:p>
    <w:p>
      <w:pPr>
        <w:pStyle w:val="Compact"/>
        <w:numPr>
          <w:ilvl w:val="0"/>
          <w:numId w:val="1034"/>
        </w:numPr>
      </w:pPr>
      <w:r>
        <w:t xml:space="preserve">Explicit VM wiring over reflection for performance and maintainability.</w:t>
      </w:r>
    </w:p>
    <w:bookmarkEnd w:id="84"/>
    <w:bookmarkEnd w:id="85"/>
    <w:bookmarkStart w:id="92" w:name="install-and-run-axonasp-with-docker"/>
    <w:p>
      <w:pPr>
        <w:pStyle w:val="Heading1"/>
      </w:pPr>
      <w:r>
        <w:t xml:space="preserve">Install and Run AxonASP with Docker</w:t>
      </w:r>
    </w:p>
    <w:bookmarkStart w:id="86" w:name="overview-3"/>
    <w:p>
      <w:pPr>
        <w:pStyle w:val="Heading2"/>
      </w:pPr>
      <w:r>
        <w:t xml:space="preserve">Overview</w:t>
      </w:r>
    </w:p>
    <w:p>
      <w:pPr>
        <w:pStyle w:val="FirstParagraph"/>
      </w:pPr>
      <w:r>
        <w:t xml:space="preserve">This page explains how to install and run the Docker distribution of G3Pix AxonASP.</w:t>
      </w:r>
    </w:p>
    <w:p>
      <w:pPr>
        <w:pStyle w:val="BodyText"/>
      </w:pPr>
      <w:r>
        <w:t xml:space="preserve">Use the official container image:</w:t>
      </w:r>
      <w:r>
        <w:t xml:space="preserve"> </w:t>
      </w:r>
      <w:r>
        <w:t xml:space="preserve">-</w:t>
      </w:r>
      <w:r>
        <w:t xml:space="preserve"> </w:t>
      </w:r>
      <w:r>
        <w:rPr>
          <w:rStyle w:val="VerbatimChar"/>
        </w:rPr>
        <w:t xml:space="preserve">ghcr.io/guimaraeslucas/axonasp</w:t>
      </w:r>
    </w:p>
    <w:bookmarkEnd w:id="86"/>
    <w:bookmarkStart w:id="87" w:name="syntax"/>
    <w:p>
      <w:pPr>
        <w:pStyle w:val="Heading2"/>
      </w:pPr>
      <w:r>
        <w:t xml:space="preserve">Syntax</w:t>
      </w:r>
    </w:p>
    <w:p>
      <w:pPr>
        <w:pStyle w:val="FirstParagraph"/>
      </w:pPr>
      <w:r>
        <w:t xml:space="preserve">Pull image:</w:t>
      </w:r>
    </w:p>
    <w:p>
      <w:pPr>
        <w:pStyle w:val="SourceCode"/>
      </w:pPr>
      <w:r>
        <w:rPr>
          <w:rStyle w:val="ExtensionTok"/>
        </w:rPr>
        <w:t xml:space="preserve">docker</w:t>
      </w:r>
      <w:r>
        <w:rPr>
          <w:rStyle w:val="NormalTok"/>
        </w:rPr>
        <w:t xml:space="preserve"> pull ghcr.io/guimaraeslucas/axonasp</w:t>
      </w:r>
    </w:p>
    <w:p>
      <w:pPr>
        <w:pStyle w:val="FirstParagraph"/>
      </w:pPr>
      <w:r>
        <w:t xml:space="preserve">Run container:</w:t>
      </w:r>
    </w:p>
    <w:p>
      <w:pPr>
        <w:pStyle w:val="SourceCode"/>
      </w:pPr>
      <w:r>
        <w:rPr>
          <w:rStyle w:val="ExtensionTok"/>
        </w:rPr>
        <w:t xml:space="preserve">docker</w:t>
      </w:r>
      <w:r>
        <w:rPr>
          <w:rStyle w:val="NormalTok"/>
        </w:rPr>
        <w:t xml:space="preserve"> run </w:t>
      </w:r>
      <w:r>
        <w:rPr>
          <w:rStyle w:val="AttributeTok"/>
        </w:rPr>
        <w:t xml:space="preserve">--name</w:t>
      </w:r>
      <w:r>
        <w:rPr>
          <w:rStyle w:val="NormalTok"/>
        </w:rPr>
        <w:t xml:space="preserve"> axonasp </w:t>
      </w:r>
      <w:r>
        <w:rPr>
          <w:rStyle w:val="AttributeTok"/>
        </w:rPr>
        <w:t xml:space="preserve">-p</w:t>
      </w:r>
      <w:r>
        <w:rPr>
          <w:rStyle w:val="NormalTok"/>
        </w:rPr>
        <w:t xml:space="preserve"> 8801:8801 ghcr.io/guimaraeslucas/axonasp</w:t>
      </w:r>
    </w:p>
    <w:bookmarkEnd w:id="87"/>
    <w:bookmarkStart w:id="88" w:name="parameters-and-arguments"/>
    <w:p>
      <w:pPr>
        <w:pStyle w:val="Heading2"/>
      </w:pPr>
      <w:r>
        <w:t xml:space="preserve">Parameters and Arguments</w:t>
      </w:r>
    </w:p>
    <w:p>
      <w:pPr>
        <w:pStyle w:val="FirstParagraph"/>
      </w:pPr>
      <w:r>
        <w:t xml:space="preserve">Common Docker command arguments used in AxonASP deployment:</w:t>
      </w:r>
      <w:r>
        <w:t xml:space="preserve"> </w:t>
      </w:r>
      <w:r>
        <w:t xml:space="preserve">-</w:t>
      </w:r>
      <w:r>
        <w:t xml:space="preserve"> </w:t>
      </w:r>
      <w:r>
        <w:rPr>
          <w:rStyle w:val="VerbatimChar"/>
        </w:rPr>
        <w:t xml:space="preserve">--name</w:t>
      </w:r>
      <w:r>
        <w:t xml:space="preserve">:</w:t>
      </w:r>
      <w:r>
        <w:t xml:space="preserve"> </w:t>
      </w:r>
      <w:r>
        <w:t xml:space="preserve">- Type: String</w:t>
      </w:r>
      <w:r>
        <w:t xml:space="preserve"> </w:t>
      </w:r>
      <w:r>
        <w:t xml:space="preserve">- Required: No</w:t>
      </w:r>
      <w:r>
        <w:t xml:space="preserve"> </w:t>
      </w:r>
      <w:r>
        <w:t xml:space="preserve">- Purpose: Assigns a fixed container name.</w:t>
      </w:r>
      <w:r>
        <w:t xml:space="preserve"> </w:t>
      </w:r>
      <w:r>
        <w:t xml:space="preserve">-</w:t>
      </w:r>
      <w:r>
        <w:t xml:space="preserve"> </w:t>
      </w:r>
      <w:r>
        <w:rPr>
          <w:rStyle w:val="VerbatimChar"/>
        </w:rPr>
        <w:t xml:space="preserve">-p host_port:container_port</w:t>
      </w:r>
      <w:r>
        <w:t xml:space="preserve">:</w:t>
      </w:r>
      <w:r>
        <w:t xml:space="preserve"> </w:t>
      </w:r>
      <w:r>
        <w:t xml:space="preserve">- Type: Port mapping</w:t>
      </w:r>
      <w:r>
        <w:t xml:space="preserve"> </w:t>
      </w:r>
      <w:r>
        <w:t xml:space="preserve">- Required: Yes for host access</w:t>
      </w:r>
      <w:r>
        <w:t xml:space="preserve"> </w:t>
      </w:r>
      <w:r>
        <w:t xml:space="preserve">- Purpose: Exposes AxonASP HTTP server port to the host.</w:t>
      </w:r>
      <w:r>
        <w:t xml:space="preserve"> </w:t>
      </w:r>
      <w:r>
        <w:t xml:space="preserve">-</w:t>
      </w:r>
      <w:r>
        <w:t xml:space="preserve"> </w:t>
      </w:r>
      <w:r>
        <w:rPr>
          <w:rStyle w:val="VerbatimChar"/>
        </w:rPr>
        <w:t xml:space="preserve">-d</w:t>
      </w:r>
      <w:r>
        <w:t xml:space="preserve">:</w:t>
      </w:r>
      <w:r>
        <w:t xml:space="preserve"> </w:t>
      </w:r>
      <w:r>
        <w:t xml:space="preserve">- Type: Flag</w:t>
      </w:r>
      <w:r>
        <w:t xml:space="preserve"> </w:t>
      </w:r>
      <w:r>
        <w:t xml:space="preserve">- Required: No</w:t>
      </w:r>
      <w:r>
        <w:t xml:space="preserve"> </w:t>
      </w:r>
      <w:r>
        <w:t xml:space="preserve">- Purpose: Runs container in detached mode.</w:t>
      </w:r>
      <w:r>
        <w:t xml:space="preserve"> </w:t>
      </w:r>
      <w:r>
        <w:t xml:space="preserve">-</w:t>
      </w:r>
      <w:r>
        <w:t xml:space="preserve"> </w:t>
      </w:r>
      <w:r>
        <w:rPr>
          <w:rStyle w:val="VerbatimChar"/>
        </w:rPr>
        <w:t xml:space="preserve">-v host_path:container_path</w:t>
      </w:r>
      <w:r>
        <w:t xml:space="preserve">:</w:t>
      </w:r>
      <w:r>
        <w:t xml:space="preserve"> </w:t>
      </w:r>
      <w:r>
        <w:t xml:space="preserve">- Type: Volume mapping</w:t>
      </w:r>
      <w:r>
        <w:t xml:space="preserve"> </w:t>
      </w:r>
      <w:r>
        <w:t xml:space="preserve">- Required: Recommended</w:t>
      </w:r>
      <w:r>
        <w:t xml:space="preserve"> </w:t>
      </w:r>
      <w:r>
        <w:t xml:space="preserve">- Purpose: Persists and customizes</w:t>
      </w:r>
      <w:r>
        <w:t xml:space="preserve"> </w:t>
      </w:r>
      <w:r>
        <w:rPr>
          <w:rStyle w:val="VerbatimChar"/>
        </w:rPr>
        <w:t xml:space="preserve">www</w:t>
      </w:r>
      <w:r>
        <w:t xml:space="preserve">,</w:t>
      </w:r>
      <w:r>
        <w:t xml:space="preserve"> </w:t>
      </w:r>
      <w:r>
        <w:rPr>
          <w:rStyle w:val="VerbatimChar"/>
        </w:rPr>
        <w:t xml:space="preserve">config</w:t>
      </w:r>
      <w:r>
        <w:t xml:space="preserve">, and other runtime data.</w:t>
      </w:r>
      <w:r>
        <w:t xml:space="preserve"> </w:t>
      </w:r>
      <w:r>
        <w:t xml:space="preserve">-</w:t>
      </w:r>
      <w:r>
        <w:t xml:space="preserve"> </w:t>
      </w:r>
      <w:r>
        <w:rPr>
          <w:rStyle w:val="VerbatimChar"/>
        </w:rPr>
        <w:t xml:space="preserve">--restart unless-stopped</w:t>
      </w:r>
      <w:r>
        <w:t xml:space="preserve">:</w:t>
      </w:r>
      <w:r>
        <w:t xml:space="preserve"> </w:t>
      </w:r>
      <w:r>
        <w:t xml:space="preserve">- Type: Restart policy</w:t>
      </w:r>
      <w:r>
        <w:t xml:space="preserve"> </w:t>
      </w:r>
      <w:r>
        <w:t xml:space="preserve">- Required: No</w:t>
      </w:r>
      <w:r>
        <w:t xml:space="preserve"> </w:t>
      </w:r>
      <w:r>
        <w:t xml:space="preserve">- Purpose: Keeps service available after host reboot.</w:t>
      </w:r>
    </w:p>
    <w:bookmarkEnd w:id="88"/>
    <w:bookmarkStart w:id="89" w:name="return-values"/>
    <w:p>
      <w:pPr>
        <w:pStyle w:val="Heading2"/>
      </w:pPr>
      <w:r>
        <w:t xml:space="preserve">Return Values</w:t>
      </w:r>
    </w:p>
    <w:p>
      <w:pPr>
        <w:pStyle w:val="Compact"/>
        <w:numPr>
          <w:ilvl w:val="0"/>
          <w:numId w:val="1035"/>
        </w:numPr>
      </w:pPr>
      <w:r>
        <w:rPr>
          <w:rStyle w:val="VerbatimChar"/>
        </w:rPr>
        <w:t xml:space="preserve">docker pull</w:t>
      </w:r>
      <w:r>
        <w:t xml:space="preserve"> </w:t>
      </w:r>
      <w:r>
        <w:t xml:space="preserve">returns success when the image is downloaded and available locally.</w:t>
      </w:r>
    </w:p>
    <w:p>
      <w:pPr>
        <w:pStyle w:val="Compact"/>
        <w:numPr>
          <w:ilvl w:val="0"/>
          <w:numId w:val="1035"/>
        </w:numPr>
      </w:pPr>
      <w:r>
        <w:rPr>
          <w:rStyle w:val="VerbatimChar"/>
        </w:rPr>
        <w:t xml:space="preserve">docker run</w:t>
      </w:r>
      <w:r>
        <w:t xml:space="preserve"> </w:t>
      </w:r>
      <w:r>
        <w:t xml:space="preserve">returns a running container ID or an immediate error message if configuration is invalid.</w:t>
      </w:r>
    </w:p>
    <w:p>
      <w:pPr>
        <w:pStyle w:val="Compact"/>
        <w:numPr>
          <w:ilvl w:val="0"/>
          <w:numId w:val="1035"/>
        </w:numPr>
      </w:pPr>
      <w:r>
        <w:t xml:space="preserve">Exit code</w:t>
      </w:r>
      <w:r>
        <w:t xml:space="preserve"> </w:t>
      </w:r>
      <w:r>
        <w:rPr>
          <w:rStyle w:val="VerbatimChar"/>
        </w:rPr>
        <w:t xml:space="preserve">0</w:t>
      </w:r>
      <w:r>
        <w:t xml:space="preserve"> </w:t>
      </w:r>
      <w:r>
        <w:t xml:space="preserve">indicates command success.</w:t>
      </w:r>
    </w:p>
    <w:bookmarkEnd w:id="89"/>
    <w:bookmarkStart w:id="90" w:name="remarks-1"/>
    <w:p>
      <w:pPr>
        <w:pStyle w:val="Heading2"/>
      </w:pPr>
      <w:r>
        <w:t xml:space="preserve">Remarks</w:t>
      </w:r>
    </w:p>
    <w:p>
      <w:pPr>
        <w:pStyle w:val="Compact"/>
        <w:numPr>
          <w:ilvl w:val="0"/>
          <w:numId w:val="1036"/>
        </w:numPr>
      </w:pPr>
      <w:r>
        <w:t xml:space="preserve">Expose port</w:t>
      </w:r>
      <w:r>
        <w:t xml:space="preserve"> </w:t>
      </w:r>
      <w:r>
        <w:rPr>
          <w:rStyle w:val="VerbatimChar"/>
        </w:rPr>
        <w:t xml:space="preserve">8801</w:t>
      </w:r>
      <w:r>
        <w:t xml:space="preserve"> </w:t>
      </w:r>
      <w:r>
        <w:t xml:space="preserve">for HTTP mode unless your configuration changes server port.</w:t>
      </w:r>
    </w:p>
    <w:p>
      <w:pPr>
        <w:pStyle w:val="Compact"/>
        <w:numPr>
          <w:ilvl w:val="0"/>
          <w:numId w:val="1036"/>
        </w:numPr>
      </w:pPr>
      <w:r>
        <w:t xml:space="preserve">Mount your</w:t>
      </w:r>
      <w:r>
        <w:t xml:space="preserve"> </w:t>
      </w:r>
      <w:r>
        <w:rPr>
          <w:rStyle w:val="VerbatimChar"/>
        </w:rPr>
        <w:t xml:space="preserve">www</w:t>
      </w:r>
      <w:r>
        <w:t xml:space="preserve"> </w:t>
      </w:r>
      <w:r>
        <w:t xml:space="preserve">and</w:t>
      </w:r>
      <w:r>
        <w:t xml:space="preserve"> </w:t>
      </w:r>
      <w:r>
        <w:rPr>
          <w:rStyle w:val="VerbatimChar"/>
        </w:rPr>
        <w:t xml:space="preserve">config</w:t>
      </w:r>
      <w:r>
        <w:t xml:space="preserve"> </w:t>
      </w:r>
      <w:r>
        <w:t xml:space="preserve">directories if you need custom applications and configuration.</w:t>
      </w:r>
    </w:p>
    <w:p>
      <w:pPr>
        <w:pStyle w:val="Compact"/>
        <w:numPr>
          <w:ilvl w:val="0"/>
          <w:numId w:val="1036"/>
        </w:numPr>
      </w:pPr>
      <w:r>
        <w:t xml:space="preserve">For production deployment, use a reverse proxy in front of the container.</w:t>
      </w:r>
    </w:p>
    <w:p>
      <w:pPr>
        <w:pStyle w:val="Compact"/>
        <w:numPr>
          <w:ilvl w:val="0"/>
          <w:numId w:val="1036"/>
        </w:numPr>
      </w:pPr>
      <w:r>
        <w:t xml:space="preserve">You can stop and remove the container safely without removing the image.</w:t>
      </w:r>
    </w:p>
    <w:bookmarkEnd w:id="90"/>
    <w:bookmarkStart w:id="91" w:name="code-example"/>
    <w:p>
      <w:pPr>
        <w:pStyle w:val="Heading2"/>
      </w:pPr>
      <w:r>
        <w:t xml:space="preserve">Code Example</w:t>
      </w:r>
    </w:p>
    <w:p>
      <w:pPr>
        <w:pStyle w:val="FirstParagraph"/>
      </w:pPr>
      <w:r>
        <w:t xml:space="preserve">Basic installation and run:</w:t>
      </w:r>
    </w:p>
    <w:p>
      <w:pPr>
        <w:pStyle w:val="SourceCode"/>
      </w:pPr>
      <w:r>
        <w:rPr>
          <w:rStyle w:val="CommentTok"/>
        </w:rPr>
        <w:t xml:space="preserve"># Pull latest image from GHCR</w:t>
      </w:r>
      <w:r>
        <w:br/>
      </w:r>
      <w:r>
        <w:rPr>
          <w:rStyle w:val="ExtensionTok"/>
        </w:rPr>
        <w:t xml:space="preserve">docker</w:t>
      </w:r>
      <w:r>
        <w:rPr>
          <w:rStyle w:val="NormalTok"/>
        </w:rPr>
        <w:t xml:space="preserve"> pull ghcr.io/guimaraeslucas/axonasp</w:t>
      </w:r>
      <w:r>
        <w:br/>
      </w:r>
      <w:r>
        <w:br/>
      </w:r>
      <w:r>
        <w:rPr>
          <w:rStyle w:val="CommentTok"/>
        </w:rPr>
        <w:t xml:space="preserve"># Run AxonASP in detached mode with host port mapping</w:t>
      </w:r>
      <w:r>
        <w:br/>
      </w:r>
      <w:r>
        <w:rPr>
          <w:rStyle w:val="ExtensionTok"/>
        </w:rPr>
        <w:t xml:space="preserve">docker</w:t>
      </w:r>
      <w:r>
        <w:rPr>
          <w:rStyle w:val="NormalTok"/>
        </w:rPr>
        <w:t xml:space="preserve"> run </w:t>
      </w:r>
      <w:r>
        <w:rPr>
          <w:rStyle w:val="AttributeTok"/>
        </w:rPr>
        <w:t xml:space="preserve">-d</w:t>
      </w:r>
      <w:r>
        <w:rPr>
          <w:rStyle w:val="NormalTok"/>
        </w:rPr>
        <w:t xml:space="preserve"> </w:t>
      </w:r>
      <w:r>
        <w:rPr>
          <w:rStyle w:val="AttributeTok"/>
        </w:rPr>
        <w:t xml:space="preserve">--name</w:t>
      </w:r>
      <w:r>
        <w:rPr>
          <w:rStyle w:val="NormalTok"/>
        </w:rPr>
        <w:t xml:space="preserve"> axonasp </w:t>
      </w:r>
      <w:r>
        <w:rPr>
          <w:rStyle w:val="AttributeTok"/>
        </w:rPr>
        <w:t xml:space="preserve">-p</w:t>
      </w:r>
      <w:r>
        <w:rPr>
          <w:rStyle w:val="NormalTok"/>
        </w:rPr>
        <w:t xml:space="preserve"> 8801:8801 </w:t>
      </w:r>
      <w:r>
        <w:rPr>
          <w:rStyle w:val="AttributeTok"/>
        </w:rPr>
        <w:t xml:space="preserve">--restart</w:t>
      </w:r>
      <w:r>
        <w:rPr>
          <w:rStyle w:val="NormalTok"/>
        </w:rPr>
        <w:t xml:space="preserve"> unless-stopped ghcr.io/guimaraeslucas/axonasp</w:t>
      </w:r>
      <w:r>
        <w:br/>
      </w:r>
      <w:r>
        <w:br/>
      </w:r>
      <w:r>
        <w:rPr>
          <w:rStyle w:val="CommentTok"/>
        </w:rPr>
        <w:t xml:space="preserve"># Check container status</w:t>
      </w:r>
      <w:r>
        <w:br/>
      </w:r>
      <w:r>
        <w:rPr>
          <w:rStyle w:val="ExtensionTok"/>
        </w:rPr>
        <w:t xml:space="preserve">docker</w:t>
      </w:r>
      <w:r>
        <w:rPr>
          <w:rStyle w:val="NormalTok"/>
        </w:rPr>
        <w:t xml:space="preserve"> ps</w:t>
      </w:r>
    </w:p>
    <w:p>
      <w:pPr>
        <w:pStyle w:val="FirstParagraph"/>
      </w:pPr>
      <w:r>
        <w:t xml:space="preserve">Run with mounted application and config directories:</w:t>
      </w:r>
    </w:p>
    <w:p>
      <w:pPr>
        <w:pStyle w:val="SourceCode"/>
      </w:pPr>
      <w:r>
        <w:rPr>
          <w:rStyle w:val="ExtensionTok"/>
        </w:rPr>
        <w:t xml:space="preserve">docker</w:t>
      </w:r>
      <w:r>
        <w:rPr>
          <w:rStyle w:val="NormalTok"/>
        </w:rPr>
        <w:t xml:space="preserve"> run </w:t>
      </w:r>
      <w:r>
        <w:rPr>
          <w:rStyle w:val="AttributeTok"/>
        </w:rPr>
        <w:t xml:space="preserve">-d</w:t>
      </w:r>
      <w:r>
        <w:rPr>
          <w:rStyle w:val="NormalTok"/>
        </w:rPr>
        <w:t xml:space="preserve"> </w:t>
      </w:r>
      <w:r>
        <w:rPr>
          <w:rStyle w:val="DataTypeTok"/>
        </w:rPr>
        <w:t xml:space="preserve">\</w:t>
      </w:r>
      <w:r>
        <w:br/>
      </w:r>
      <w:r>
        <w:rPr>
          <w:rStyle w:val="NormalTok"/>
        </w:rPr>
        <w:t xml:space="preserve">  </w:t>
      </w:r>
      <w:r>
        <w:rPr>
          <w:rStyle w:val="AttributeTok"/>
        </w:rPr>
        <w:t xml:space="preserve">--name</w:t>
      </w:r>
      <w:r>
        <w:rPr>
          <w:rStyle w:val="NormalTok"/>
        </w:rPr>
        <w:t xml:space="preserve"> axonasp </w:t>
      </w:r>
      <w:r>
        <w:rPr>
          <w:rStyle w:val="DataTypeTok"/>
        </w:rPr>
        <w:t xml:space="preserve">\</w:t>
      </w:r>
      <w:r>
        <w:br/>
      </w:r>
      <w:r>
        <w:rPr>
          <w:rStyle w:val="NormalTok"/>
        </w:rPr>
        <w:t xml:space="preserve">  </w:t>
      </w:r>
      <w:r>
        <w:rPr>
          <w:rStyle w:val="AttributeTok"/>
        </w:rPr>
        <w:t xml:space="preserve">-p</w:t>
      </w:r>
      <w:r>
        <w:rPr>
          <w:rStyle w:val="NormalTok"/>
        </w:rPr>
        <w:t xml:space="preserve"> 8801:8801 </w:t>
      </w:r>
      <w:r>
        <w:rPr>
          <w:rStyle w:val="DataTypeTok"/>
        </w:rPr>
        <w:t xml:space="preserve">\</w:t>
      </w:r>
      <w:r>
        <w:br/>
      </w:r>
      <w:r>
        <w:rPr>
          <w:rStyle w:val="NormalTok"/>
        </w:rPr>
        <w:t xml:space="preserve">  </w:t>
      </w:r>
      <w:r>
        <w:rPr>
          <w:rStyle w:val="AttributeTok"/>
        </w:rPr>
        <w:t xml:space="preserve">-v</w:t>
      </w:r>
      <w:r>
        <w:rPr>
          <w:rStyle w:val="NormalTok"/>
        </w:rPr>
        <w:t xml:space="preserve"> /opt/axonasp/www:/opt/axonasp/www </w:t>
      </w:r>
      <w:r>
        <w:rPr>
          <w:rStyle w:val="DataTypeTok"/>
        </w:rPr>
        <w:t xml:space="preserve">\</w:t>
      </w:r>
      <w:r>
        <w:br/>
      </w:r>
      <w:r>
        <w:rPr>
          <w:rStyle w:val="NormalTok"/>
        </w:rPr>
        <w:t xml:space="preserve">  </w:t>
      </w:r>
      <w:r>
        <w:rPr>
          <w:rStyle w:val="AttributeTok"/>
        </w:rPr>
        <w:t xml:space="preserve">-v</w:t>
      </w:r>
      <w:r>
        <w:rPr>
          <w:rStyle w:val="NormalTok"/>
        </w:rPr>
        <w:t xml:space="preserve"> /opt/axonasp/config:/opt/axonasp/config </w:t>
      </w:r>
      <w:r>
        <w:rPr>
          <w:rStyle w:val="DataTypeTok"/>
        </w:rPr>
        <w:t xml:space="preserve">\</w:t>
      </w:r>
      <w:r>
        <w:br/>
      </w:r>
      <w:r>
        <w:rPr>
          <w:rStyle w:val="NormalTok"/>
        </w:rPr>
        <w:t xml:space="preserve">  </w:t>
      </w:r>
      <w:r>
        <w:rPr>
          <w:rStyle w:val="AttributeTok"/>
        </w:rPr>
        <w:t xml:space="preserve">--restart</w:t>
      </w:r>
      <w:r>
        <w:rPr>
          <w:rStyle w:val="NormalTok"/>
        </w:rPr>
        <w:t xml:space="preserve"> unless-stopped </w:t>
      </w:r>
      <w:r>
        <w:rPr>
          <w:rStyle w:val="DataTypeTok"/>
        </w:rPr>
        <w:t xml:space="preserve">\</w:t>
      </w:r>
      <w:r>
        <w:br/>
      </w:r>
      <w:r>
        <w:rPr>
          <w:rStyle w:val="NormalTok"/>
        </w:rPr>
        <w:t xml:space="preserve">  ghcr.io/guimaraeslucas/axonasp</w:t>
      </w:r>
    </w:p>
    <w:bookmarkEnd w:id="91"/>
    <w:bookmarkEnd w:id="92"/>
    <w:bookmarkStart w:id="105" w:name="installing-axonasp-from-linux-packages"/>
    <w:p>
      <w:pPr>
        <w:pStyle w:val="Heading1"/>
      </w:pPr>
      <w:r>
        <w:t xml:space="preserve">Installing AxonASP from Linux Packages</w:t>
      </w:r>
    </w:p>
    <w:bookmarkStart w:id="93" w:name="overview-4"/>
    <w:p>
      <w:pPr>
        <w:pStyle w:val="Heading2"/>
      </w:pPr>
      <w:r>
        <w:t xml:space="preserve">Overview</w:t>
      </w:r>
    </w:p>
    <w:p>
      <w:pPr>
        <w:pStyle w:val="FirstParagraph"/>
      </w:pPr>
      <w:r>
        <w:t xml:space="preserve">AxonASP publishes pre-built binary packages for Linux on every tagged release. These packages install all server binaries, the default configuration, the web root, and the required directory structure under</w:t>
      </w:r>
      <w:r>
        <w:t xml:space="preserve"> </w:t>
      </w:r>
      <w:r>
        <w:rPr>
          <w:rStyle w:val="VerbatimChar"/>
        </w:rPr>
        <w:t xml:space="preserve">/opt/axonasp</w:t>
      </w:r>
      <w:r>
        <w:t xml:space="preserve">. Installation is handled by the standard package manager of your distribution.</w:t>
      </w:r>
    </w:p>
    <w:p>
      <w:pPr>
        <w:pStyle w:val="BodyText"/>
      </w:pPr>
      <w:r>
        <w:t xml:space="preserve">Packages are available in three formats:</w:t>
      </w:r>
    </w:p>
    <w:p>
      <w:pPr>
        <w:pStyle w:val="Compact"/>
        <w:numPr>
          <w:ilvl w:val="0"/>
          <w:numId w:val="1037"/>
        </w:numPr>
      </w:pPr>
      <w:r>
        <w:rPr>
          <w:b/>
          <w:bCs/>
        </w:rPr>
        <w:t xml:space="preserve">.deb</w:t>
      </w:r>
      <w:r>
        <w:t xml:space="preserve"> </w:t>
      </w:r>
      <w:r>
        <w:t xml:space="preserve">— Debian, Ubuntu, and derivatives</w:t>
      </w:r>
    </w:p>
    <w:p>
      <w:pPr>
        <w:pStyle w:val="Compact"/>
        <w:numPr>
          <w:ilvl w:val="0"/>
          <w:numId w:val="1037"/>
        </w:numPr>
      </w:pPr>
      <w:r>
        <w:rPr>
          <w:b/>
          <w:bCs/>
        </w:rPr>
        <w:t xml:space="preserve">.rpm</w:t>
      </w:r>
      <w:r>
        <w:t xml:space="preserve"> </w:t>
      </w:r>
      <w:r>
        <w:t xml:space="preserve">— Red Hat, Fedora, CentOS, Rocky Linux, and derivatives</w:t>
      </w:r>
    </w:p>
    <w:p>
      <w:pPr>
        <w:pStyle w:val="Compact"/>
        <w:numPr>
          <w:ilvl w:val="0"/>
          <w:numId w:val="1037"/>
        </w:numPr>
      </w:pPr>
      <w:r>
        <w:rPr>
          <w:b/>
          <w:bCs/>
        </w:rPr>
        <w:t xml:space="preserve">.apk</w:t>
      </w:r>
      <w:r>
        <w:t xml:space="preserve"> </w:t>
      </w:r>
      <w:r>
        <w:t xml:space="preserve">— Alpine Linux</w:t>
      </w:r>
    </w:p>
    <w:p>
      <w:pPr>
        <w:pStyle w:val="Compact"/>
        <w:numPr>
          <w:ilvl w:val="0"/>
          <w:numId w:val="1037"/>
        </w:numPr>
      </w:pPr>
      <w:r>
        <w:rPr>
          <w:b/>
          <w:bCs/>
        </w:rPr>
        <w:t xml:space="preserve">.pkg.tar.zst</w:t>
      </w:r>
      <w:r>
        <w:t xml:space="preserve"> </w:t>
      </w:r>
      <w:r>
        <w:t xml:space="preserve">— Arch Linux</w:t>
      </w:r>
    </w:p>
    <w:p>
      <w:r>
        <w:pict>
          <v:rect style="width:0;height:1.5pt" o:hralign="center" o:hrstd="t" o:hr="t"/>
        </w:pict>
      </w:r>
    </w:p>
    <w:bookmarkEnd w:id="93"/>
    <w:bookmarkStart w:id="94" w:name="prerequisites"/>
    <w:p>
      <w:pPr>
        <w:pStyle w:val="Heading2"/>
      </w:pPr>
      <w:r>
        <w:t xml:space="preserve">Prerequisites</w:t>
      </w:r>
    </w:p>
    <w:p>
      <w:pPr>
        <w:pStyle w:val="Compact"/>
        <w:numPr>
          <w:ilvl w:val="0"/>
          <w:numId w:val="1038"/>
        </w:numPr>
      </w:pPr>
      <w:r>
        <w:t xml:space="preserve">A 64-bit (amd64) Linux system</w:t>
      </w:r>
    </w:p>
    <w:p>
      <w:pPr>
        <w:pStyle w:val="Compact"/>
        <w:numPr>
          <w:ilvl w:val="0"/>
          <w:numId w:val="1038"/>
        </w:numPr>
      </w:pPr>
      <w:r>
        <w:t xml:space="preserve">Root or</w:t>
      </w:r>
      <w:r>
        <w:t xml:space="preserve"> </w:t>
      </w:r>
      <w:r>
        <w:rPr>
          <w:rStyle w:val="VerbatimChar"/>
        </w:rPr>
        <w:t xml:space="preserve">sudo</w:t>
      </w:r>
      <w:r>
        <w:t xml:space="preserve"> </w:t>
      </w:r>
      <w:r>
        <w:t xml:space="preserve">access</w:t>
      </w:r>
    </w:p>
    <w:p>
      <w:pPr>
        <w:pStyle w:val="Compact"/>
        <w:numPr>
          <w:ilvl w:val="0"/>
          <w:numId w:val="1038"/>
        </w:numPr>
      </w:pPr>
      <w:r>
        <w:t xml:space="preserve">Internet access to reach the GitHub Releases page, or a locally downloaded package file</w:t>
      </w:r>
    </w:p>
    <w:p>
      <w:r>
        <w:pict>
          <v:rect style="width:0;height:1.5pt" o:hralign="center" o:hrstd="t" o:hr="t"/>
        </w:pict>
      </w:r>
    </w:p>
    <w:bookmarkEnd w:id="94"/>
    <w:bookmarkStart w:id="95" w:name="downloading-a-package"/>
    <w:p>
      <w:pPr>
        <w:pStyle w:val="Heading2"/>
      </w:pPr>
      <w:r>
        <w:t xml:space="preserve">Downloading a Package</w:t>
      </w:r>
    </w:p>
    <w:p>
      <w:pPr>
        <w:pStyle w:val="FirstParagraph"/>
      </w:pPr>
      <w:r>
        <w:t xml:space="preserve">All packages are published to the GitHub Releases page. The download URL follows this pattern:</w:t>
      </w:r>
    </w:p>
    <w:p>
      <w:pPr>
        <w:pStyle w:val="SourceCode"/>
      </w:pPr>
      <w:r>
        <w:rPr>
          <w:rStyle w:val="VerbatimChar"/>
        </w:rPr>
        <w:t xml:space="preserve">https://github.com/guimaraeslucas/axonasp/releases/download/&lt;version&gt;/&lt;file&gt;.&lt;extension&gt;</w:t>
      </w:r>
    </w:p>
    <w:p>
      <w:pPr>
        <w:pStyle w:val="FirstParagraph"/>
      </w:pPr>
      <w:r>
        <w:t xml:space="preserve">Replace</w:t>
      </w:r>
      <w:r>
        <w:t xml:space="preserve"> </w:t>
      </w:r>
      <w:r>
        <w:rPr>
          <w:rStyle w:val="VerbatimChar"/>
        </w:rPr>
        <w:t xml:space="preserve">&lt;version&gt;</w:t>
      </w:r>
      <w:r>
        <w:t xml:space="preserve"> </w:t>
      </w:r>
      <w:r>
        <w:t xml:space="preserve">with the release tag (for example,</w:t>
      </w:r>
      <w:r>
        <w:t xml:space="preserve"> </w:t>
      </w:r>
      <w:r>
        <w:rPr>
          <w:rStyle w:val="VerbatimChar"/>
        </w:rPr>
        <w:t xml:space="preserve">v3.0.0</w:t>
      </w:r>
      <w:r>
        <w:t xml:space="preserve">),</w:t>
      </w:r>
      <w:r>
        <w:t xml:space="preserve"> </w:t>
      </w:r>
      <w:r>
        <w:rPr>
          <w:rStyle w:val="VerbatimChar"/>
        </w:rPr>
        <w:t xml:space="preserve">&lt;file&gt;</w:t>
      </w:r>
      <w:r>
        <w:t xml:space="preserve"> </w:t>
      </w:r>
      <w:r>
        <w:t xml:space="preserve">with the package filename, and</w:t>
      </w:r>
      <w:r>
        <w:t xml:space="preserve"> </w:t>
      </w:r>
      <w:r>
        <w:rPr>
          <w:rStyle w:val="VerbatimChar"/>
        </w:rPr>
        <w:t xml:space="preserve">&lt;extension&gt;</w:t>
      </w:r>
      <w:r>
        <w:t xml:space="preserve"> </w:t>
      </w:r>
      <w:r>
        <w:t xml:space="preserve">with</w:t>
      </w:r>
      <w:r>
        <w:t xml:space="preserve"> </w:t>
      </w:r>
      <w:r>
        <w:rPr>
          <w:rStyle w:val="VerbatimChar"/>
        </w:rPr>
        <w:t xml:space="preserve">deb</w:t>
      </w:r>
      <w:r>
        <w:t xml:space="preserve">,</w:t>
      </w:r>
      <w:r>
        <w:t xml:space="preserve"> </w:t>
      </w:r>
      <w:r>
        <w:rPr>
          <w:rStyle w:val="VerbatimChar"/>
        </w:rPr>
        <w:t xml:space="preserve">rpm</w:t>
      </w:r>
      <w:r>
        <w:t xml:space="preserve">,</w:t>
      </w:r>
      <w:r>
        <w:t xml:space="preserve"> </w:t>
      </w:r>
      <w:r>
        <w:rPr>
          <w:rStyle w:val="VerbatimChar"/>
        </w:rPr>
        <w:t xml:space="preserve">pkg.tar.zst</w:t>
      </w:r>
      <w:r>
        <w:t xml:space="preserve">, or</w:t>
      </w:r>
      <w:r>
        <w:t xml:space="preserve"> </w:t>
      </w:r>
      <w:r>
        <w:rPr>
          <w:rStyle w:val="VerbatimChar"/>
        </w:rPr>
        <w:t xml:space="preserve">apk</w:t>
      </w:r>
      <w:r>
        <w:t xml:space="preserve">.</w:t>
      </w:r>
    </w:p>
    <w:p>
      <w:pPr>
        <w:pStyle w:val="BodyText"/>
      </w:pPr>
      <w:r>
        <w:rPr>
          <w:b/>
          <w:bCs/>
        </w:rPr>
        <w:t xml:space="preserve">Debian/Ubuntu example:</w:t>
      </w:r>
    </w:p>
    <w:p>
      <w:pPr>
        <w:pStyle w:val="SourceCode"/>
      </w:pPr>
      <w:r>
        <w:rPr>
          <w:rStyle w:val="FunctionTok"/>
        </w:rPr>
        <w:t xml:space="preserve">wget</w:t>
      </w:r>
      <w:r>
        <w:rPr>
          <w:rStyle w:val="NormalTok"/>
        </w:rPr>
        <w:t xml:space="preserve"> https://github.com/guimaraeslucas/axonasp/releases/download/v3.0.0/axonasp_3.0.0_linux_amd64.deb</w:t>
      </w:r>
    </w:p>
    <w:p>
      <w:pPr>
        <w:pStyle w:val="FirstParagraph"/>
      </w:pPr>
      <w:r>
        <w:rPr>
          <w:b/>
          <w:bCs/>
        </w:rPr>
        <w:t xml:space="preserve">Red Hat/Fedora/Rocky example:</w:t>
      </w:r>
    </w:p>
    <w:p>
      <w:pPr>
        <w:pStyle w:val="SourceCode"/>
      </w:pPr>
      <w:r>
        <w:rPr>
          <w:rStyle w:val="FunctionTok"/>
        </w:rPr>
        <w:t xml:space="preserve">wget</w:t>
      </w:r>
      <w:r>
        <w:rPr>
          <w:rStyle w:val="NormalTok"/>
        </w:rPr>
        <w:t xml:space="preserve"> https://github.com/guimaraeslucas/axonasp/releases/download/v3.0.0/axonasp-3.0.0-1.x86_64.rpm</w:t>
      </w:r>
    </w:p>
    <w:p>
      <w:pPr>
        <w:pStyle w:val="FirstParagraph"/>
      </w:pPr>
      <w:r>
        <w:rPr>
          <w:b/>
          <w:bCs/>
        </w:rPr>
        <w:t xml:space="preserve">Alpine example:</w:t>
      </w:r>
    </w:p>
    <w:p>
      <w:pPr>
        <w:pStyle w:val="SourceCode"/>
      </w:pPr>
      <w:r>
        <w:rPr>
          <w:rStyle w:val="FunctionTok"/>
        </w:rPr>
        <w:t xml:space="preserve">wget</w:t>
      </w:r>
      <w:r>
        <w:rPr>
          <w:rStyle w:val="NormalTok"/>
        </w:rPr>
        <w:t xml:space="preserve"> https://github.com/guimaraeslucas/axonasp/releases/download/v3.0.0/axonasp_3.0.0_x86_64.apk</w:t>
      </w:r>
    </w:p>
    <w:p>
      <w:pPr>
        <w:pStyle w:val="FirstParagraph"/>
      </w:pPr>
      <w:r>
        <w:rPr>
          <w:b/>
          <w:bCs/>
        </w:rPr>
        <w:t xml:space="preserve">Archlinux example:</w:t>
      </w:r>
    </w:p>
    <w:p>
      <w:pPr>
        <w:pStyle w:val="SourceCode"/>
      </w:pPr>
      <w:r>
        <w:rPr>
          <w:rStyle w:val="FunctionTok"/>
        </w:rPr>
        <w:t xml:space="preserve">wget</w:t>
      </w:r>
      <w:r>
        <w:rPr>
          <w:rStyle w:val="NormalTok"/>
        </w:rPr>
        <w:t xml:space="preserve"> https://github.com/guimaraeslucas/axonasp/releases/download/v3.0.0/axonasp_3.0.0_x86_64.pkg.tar.zst</w:t>
      </w:r>
    </w:p>
    <w:p>
      <w:pPr>
        <w:pStyle w:val="FirstParagraph"/>
      </w:pPr>
      <w:r>
        <w:t xml:space="preserve">You can check the actual filenames for a given release on the releases page at</w:t>
      </w:r>
      <w:r>
        <w:t xml:space="preserve"> </w:t>
      </w:r>
      <w:r>
        <w:rPr>
          <w:rStyle w:val="VerbatimChar"/>
        </w:rPr>
        <w:t xml:space="preserve">https://github.com/guimaraeslucas/axonasp/releases</w:t>
      </w:r>
      <w:r>
        <w:t xml:space="preserve">.</w:t>
      </w:r>
    </w:p>
    <w:p>
      <w:r>
        <w:pict>
          <v:rect style="width:0;height:1.5pt" o:hralign="center" o:hrstd="t" o:hr="t"/>
        </w:pict>
      </w:r>
    </w:p>
    <w:bookmarkEnd w:id="95"/>
    <w:bookmarkStart w:id="100" w:name="installing-the-package"/>
    <w:p>
      <w:pPr>
        <w:pStyle w:val="Heading2"/>
      </w:pPr>
      <w:r>
        <w:t xml:space="preserve">Installing the Package</w:t>
      </w:r>
    </w:p>
    <w:bookmarkStart w:id="96" w:name="debian-and-ubuntu"/>
    <w:p>
      <w:pPr>
        <w:pStyle w:val="Heading3"/>
      </w:pPr>
      <w:r>
        <w:t xml:space="preserve">Debian and Ubuntu</w:t>
      </w:r>
    </w:p>
    <w:p>
      <w:pPr>
        <w:pStyle w:val="SourceCode"/>
      </w:pPr>
      <w:r>
        <w:rPr>
          <w:rStyle w:val="FunctionTok"/>
        </w:rPr>
        <w:t xml:space="preserve">sudo</w:t>
      </w:r>
      <w:r>
        <w:rPr>
          <w:rStyle w:val="NormalTok"/>
        </w:rPr>
        <w:t xml:space="preserve"> dpkg </w:t>
      </w:r>
      <w:r>
        <w:rPr>
          <w:rStyle w:val="AttributeTok"/>
        </w:rPr>
        <w:t xml:space="preserve">-i</w:t>
      </w:r>
      <w:r>
        <w:rPr>
          <w:rStyle w:val="NormalTok"/>
        </w:rPr>
        <w:t xml:space="preserve"> axonasp_3.0.0_linux_amd64.deb</w:t>
      </w:r>
    </w:p>
    <w:p>
      <w:pPr>
        <w:pStyle w:val="FirstParagraph"/>
      </w:pPr>
      <w:r>
        <w:t xml:space="preserve">Or, to automatically resolve any missing recommendations:</w:t>
      </w:r>
    </w:p>
    <w:p>
      <w:pPr>
        <w:pStyle w:val="SourceCode"/>
      </w:pPr>
      <w:r>
        <w:rPr>
          <w:rStyle w:val="FunctionTok"/>
        </w:rPr>
        <w:t xml:space="preserve">sudo</w:t>
      </w:r>
      <w:r>
        <w:rPr>
          <w:rStyle w:val="NormalTok"/>
        </w:rPr>
        <w:t xml:space="preserve"> apt-get install </w:t>
      </w:r>
      <w:r>
        <w:rPr>
          <w:rStyle w:val="AttributeTok"/>
        </w:rPr>
        <w:t xml:space="preserve">-f</w:t>
      </w:r>
      <w:r>
        <w:rPr>
          <w:rStyle w:val="NormalTok"/>
        </w:rPr>
        <w:t xml:space="preserve"> ./axonasp_3.0.0_linux_amd64.deb</w:t>
      </w:r>
    </w:p>
    <w:bookmarkEnd w:id="96"/>
    <w:bookmarkStart w:id="97" w:name="red-hat-fedora-centos-rocky-linux"/>
    <w:p>
      <w:pPr>
        <w:pStyle w:val="Heading3"/>
      </w:pPr>
      <w:r>
        <w:t xml:space="preserve">Red Hat, Fedora, CentOS, Rocky Linux</w:t>
      </w:r>
    </w:p>
    <w:p>
      <w:pPr>
        <w:pStyle w:val="SourceCode"/>
      </w:pPr>
      <w:r>
        <w:rPr>
          <w:rStyle w:val="FunctionTok"/>
        </w:rPr>
        <w:t xml:space="preserve">sudo</w:t>
      </w:r>
      <w:r>
        <w:rPr>
          <w:rStyle w:val="NormalTok"/>
        </w:rPr>
        <w:t xml:space="preserve"> rpm </w:t>
      </w:r>
      <w:r>
        <w:rPr>
          <w:rStyle w:val="AttributeTok"/>
        </w:rPr>
        <w:t xml:space="preserve">-i</w:t>
      </w:r>
      <w:r>
        <w:rPr>
          <w:rStyle w:val="NormalTok"/>
        </w:rPr>
        <w:t xml:space="preserve"> axonasp-3.0.0-1.x86_64.rpm</w:t>
      </w:r>
    </w:p>
    <w:p>
      <w:pPr>
        <w:pStyle w:val="FirstParagraph"/>
      </w:pPr>
      <w:r>
        <w:t xml:space="preserve">Or using</w:t>
      </w:r>
      <w:r>
        <w:t xml:space="preserve"> </w:t>
      </w:r>
      <w:r>
        <w:rPr>
          <w:rStyle w:val="VerbatimChar"/>
        </w:rPr>
        <w:t xml:space="preserve">dnf</w:t>
      </w:r>
      <w:r>
        <w:t xml:space="preserve">:</w:t>
      </w:r>
    </w:p>
    <w:p>
      <w:pPr>
        <w:pStyle w:val="SourceCode"/>
      </w:pPr>
      <w:r>
        <w:rPr>
          <w:rStyle w:val="FunctionTok"/>
        </w:rPr>
        <w:t xml:space="preserve">sudo</w:t>
      </w:r>
      <w:r>
        <w:rPr>
          <w:rStyle w:val="NormalTok"/>
        </w:rPr>
        <w:t xml:space="preserve"> dnf localinstall axonasp-3.0.0-1.x86_64.rpm</w:t>
      </w:r>
    </w:p>
    <w:bookmarkEnd w:id="97"/>
    <w:bookmarkStart w:id="98" w:name="alpine-linux"/>
    <w:p>
      <w:pPr>
        <w:pStyle w:val="Heading3"/>
      </w:pPr>
      <w:r>
        <w:t xml:space="preserve">Alpine Linux</w:t>
      </w:r>
    </w:p>
    <w:p>
      <w:pPr>
        <w:pStyle w:val="SourceCode"/>
      </w:pPr>
      <w:r>
        <w:rPr>
          <w:rStyle w:val="FunctionTok"/>
        </w:rPr>
        <w:t xml:space="preserve">sudo</w:t>
      </w:r>
      <w:r>
        <w:rPr>
          <w:rStyle w:val="NormalTok"/>
        </w:rPr>
        <w:t xml:space="preserve"> apk add </w:t>
      </w:r>
      <w:r>
        <w:rPr>
          <w:rStyle w:val="AttributeTok"/>
        </w:rPr>
        <w:t xml:space="preserve">--allow-untrusted</w:t>
      </w:r>
      <w:r>
        <w:rPr>
          <w:rStyle w:val="NormalTok"/>
        </w:rPr>
        <w:t xml:space="preserve"> axonasp_3.0.0_x86_64.apk</w:t>
      </w:r>
    </w:p>
    <w:bookmarkEnd w:id="98"/>
    <w:bookmarkStart w:id="99" w:name="arch-linux"/>
    <w:p>
      <w:pPr>
        <w:pStyle w:val="Heading3"/>
      </w:pPr>
      <w:r>
        <w:t xml:space="preserve">Arch Linux</w:t>
      </w:r>
    </w:p>
    <w:p>
      <w:pPr>
        <w:pStyle w:val="SourceCode"/>
      </w:pPr>
      <w:r>
        <w:rPr>
          <w:rStyle w:val="FunctionTok"/>
        </w:rPr>
        <w:t xml:space="preserve">sudo</w:t>
      </w:r>
      <w:r>
        <w:rPr>
          <w:rStyle w:val="NormalTok"/>
        </w:rPr>
        <w:t xml:space="preserve"> pacman </w:t>
      </w:r>
      <w:r>
        <w:rPr>
          <w:rStyle w:val="AttributeTok"/>
        </w:rPr>
        <w:t xml:space="preserve">-U</w:t>
      </w:r>
      <w:r>
        <w:rPr>
          <w:rStyle w:val="NormalTok"/>
        </w:rPr>
        <w:t xml:space="preserve"> axonasp_3.0.0_x86_64.pkg.tar.zst</w:t>
      </w:r>
    </w:p>
    <w:p>
      <w:r>
        <w:pict>
          <v:rect style="width:0;height:1.5pt" o:hralign="center" o:hrstd="t" o:hr="t"/>
        </w:pict>
      </w:r>
    </w:p>
    <w:bookmarkEnd w:id="99"/>
    <w:bookmarkEnd w:id="100"/>
    <w:bookmarkStart w:id="101" w:name="what-gets-installed"/>
    <w:p>
      <w:pPr>
        <w:pStyle w:val="Heading2"/>
      </w:pPr>
      <w:r>
        <w:t xml:space="preserve">What Gets Installed</w:t>
      </w:r>
    </w:p>
    <w:p>
      <w:pPr>
        <w:pStyle w:val="FirstParagraph"/>
      </w:pPr>
      <w:r>
        <w:t xml:space="preserve">After a successful installation, the following layout is created: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Path</w:t>
            </w:r>
          </w:p>
        </w:tc>
        <w:tc>
          <w:tcPr/>
          <w:p>
            <w:pPr>
              <w:pStyle w:val="Compact"/>
            </w:pPr>
            <w:r>
              <w:t xml:space="preserve">Description</w:t>
            </w:r>
          </w:p>
        </w:tc>
      </w:tr>
      <w:tr>
        <w:tc>
          <w:tcPr/>
          <w:p>
            <w:pPr>
              <w:pStyle w:val="Compact"/>
            </w:pPr>
            <w:r>
              <w:rPr>
                <w:rStyle w:val="VerbatimChar"/>
              </w:rPr>
              <w:t xml:space="preserve">/opt/axonasp/</w:t>
            </w:r>
          </w:p>
        </w:tc>
        <w:tc>
          <w:tcPr/>
          <w:p>
            <w:pPr>
              <w:pStyle w:val="Compact"/>
            </w:pPr>
            <w:r>
              <w:t xml:space="preserve">Main installation directory</w:t>
            </w:r>
          </w:p>
        </w:tc>
      </w:tr>
      <w:tr>
        <w:tc>
          <w:tcPr/>
          <w:p>
            <w:pPr>
              <w:pStyle w:val="Compact"/>
            </w:pPr>
            <w:r>
              <w:rPr>
                <w:rStyle w:val="VerbatimChar"/>
              </w:rPr>
              <w:t xml:space="preserve">/opt/axonasp/axonasp-http</w:t>
            </w:r>
          </w:p>
        </w:tc>
        <w:tc>
          <w:tcPr/>
          <w:p>
            <w:pPr>
              <w:pStyle w:val="Compact"/>
            </w:pPr>
            <w:r>
              <w:t xml:space="preserve">HTTP web server binary</w:t>
            </w:r>
          </w:p>
        </w:tc>
      </w:tr>
      <w:tr>
        <w:tc>
          <w:tcPr/>
          <w:p>
            <w:pPr>
              <w:pStyle w:val="Compact"/>
            </w:pPr>
            <w:r>
              <w:rPr>
                <w:rStyle w:val="VerbatimChar"/>
              </w:rPr>
              <w:t xml:space="preserve">/opt/axonasp/axonasp-fastcgi</w:t>
            </w:r>
          </w:p>
        </w:tc>
        <w:tc>
          <w:tcPr/>
          <w:p>
            <w:pPr>
              <w:pStyle w:val="Compact"/>
            </w:pPr>
            <w:r>
              <w:t xml:space="preserve">FastCGI application server binary</w:t>
            </w:r>
          </w:p>
        </w:tc>
      </w:tr>
      <w:tr>
        <w:tc>
          <w:tcPr/>
          <w:p>
            <w:pPr>
              <w:pStyle w:val="Compact"/>
            </w:pPr>
            <w:r>
              <w:rPr>
                <w:rStyle w:val="VerbatimChar"/>
              </w:rPr>
              <w:t xml:space="preserve">/opt/axonasp/axonasp-cli</w:t>
            </w:r>
          </w:p>
        </w:tc>
        <w:tc>
          <w:tcPr/>
          <w:p>
            <w:pPr>
              <w:pStyle w:val="Compact"/>
            </w:pPr>
            <w:r>
              <w:t xml:space="preserve">Command-line interpreter binary</w:t>
            </w:r>
          </w:p>
        </w:tc>
      </w:tr>
      <w:tr>
        <w:tc>
          <w:tcPr/>
          <w:p>
            <w:pPr>
              <w:pStyle w:val="Compact"/>
            </w:pPr>
            <w:r>
              <w:rPr>
                <w:rStyle w:val="VerbatimChar"/>
              </w:rPr>
              <w:t xml:space="preserve">/opt/axonasp/axonasp-mcp</w:t>
            </w:r>
          </w:p>
        </w:tc>
        <w:tc>
          <w:tcPr/>
          <w:p>
            <w:pPr>
              <w:pStyle w:val="Compact"/>
            </w:pPr>
            <w:r>
              <w:t xml:space="preserve">MCP server binary</w:t>
            </w:r>
          </w:p>
        </w:tc>
      </w:tr>
      <w:tr>
        <w:tc>
          <w:tcPr/>
          <w:p>
            <w:pPr>
              <w:pStyle w:val="Compact"/>
            </w:pPr>
            <w:r>
              <w:rPr>
                <w:rStyle w:val="VerbatimChar"/>
              </w:rPr>
              <w:t xml:space="preserve">/opt/axonasp/axonasp-testsuite</w:t>
            </w:r>
          </w:p>
        </w:tc>
        <w:tc>
          <w:tcPr/>
          <w:p>
            <w:pPr>
              <w:pStyle w:val="Compact"/>
            </w:pPr>
            <w:r>
              <w:t xml:space="preserve">Automated test suite runner binary</w:t>
            </w:r>
          </w:p>
        </w:tc>
      </w:tr>
      <w:tr>
        <w:tc>
          <w:tcPr/>
          <w:p>
            <w:pPr>
              <w:pStyle w:val="Compact"/>
            </w:pPr>
            <w:r>
              <w:rPr>
                <w:rStyle w:val="VerbatimChar"/>
              </w:rPr>
              <w:t xml:space="preserve">/opt/axonasp/axonasp-service</w:t>
            </w:r>
          </w:p>
        </w:tc>
        <w:tc>
          <w:tcPr/>
          <w:p>
            <w:pPr>
              <w:pStyle w:val="Compact"/>
            </w:pPr>
            <w:r>
              <w:t xml:space="preserve">Service wrapper helper binary</w:t>
            </w:r>
          </w:p>
        </w:tc>
      </w:tr>
      <w:tr>
        <w:tc>
          <w:tcPr/>
          <w:p>
            <w:pPr>
              <w:pStyle w:val="Compact"/>
            </w:pPr>
            <w:r>
              <w:rPr>
                <w:rStyle w:val="VerbatimChar"/>
              </w:rPr>
              <w:t xml:space="preserve">/opt/axonasp/axonasp-admin</w:t>
            </w:r>
          </w:p>
        </w:tc>
        <w:tc>
          <w:tcPr/>
          <w:p>
            <w:pPr>
              <w:pStyle w:val="Compact"/>
            </w:pPr>
            <w:r>
              <w:t xml:space="preserve">Administration helper binary</w:t>
            </w:r>
          </w:p>
        </w:tc>
      </w:tr>
      <w:tr>
        <w:tc>
          <w:tcPr/>
          <w:p>
            <w:pPr>
              <w:pStyle w:val="Compact"/>
            </w:pPr>
            <w:r>
              <w:rPr>
                <w:rStyle w:val="VerbatimChar"/>
              </w:rPr>
              <w:t xml:space="preserve">/opt/axonasp/axonasp-fpm</w:t>
            </w:r>
          </w:p>
        </w:tc>
        <w:tc>
          <w:tcPr/>
          <w:p>
            <w:pPr>
              <w:pStyle w:val="Compact"/>
            </w:pPr>
            <w:r>
              <w:t xml:space="preserve">FPM binary</w:t>
            </w:r>
          </w:p>
        </w:tc>
      </w:tr>
      <w:tr>
        <w:tc>
          <w:tcPr/>
          <w:p>
            <w:pPr>
              <w:pStyle w:val="Compact"/>
            </w:pPr>
            <w:r>
              <w:rPr>
                <w:rStyle w:val="VerbatimChar"/>
              </w:rPr>
              <w:t xml:space="preserve">/opt/axonasp/config/axonasp.toml</w:t>
            </w:r>
          </w:p>
        </w:tc>
        <w:tc>
          <w:tcPr/>
          <w:p>
            <w:pPr>
              <w:pStyle w:val="Compact"/>
            </w:pPr>
            <w:r>
              <w:t xml:space="preserve">Default configuration file</w:t>
            </w:r>
          </w:p>
        </w:tc>
      </w:tr>
      <w:tr>
        <w:tc>
          <w:tcPr/>
          <w:p>
            <w:pPr>
              <w:pStyle w:val="Compact"/>
            </w:pPr>
            <w:r>
              <w:rPr>
                <w:rStyle w:val="VerbatimChar"/>
              </w:rPr>
              <w:t xml:space="preserve">/opt/axonasp/www/</w:t>
            </w:r>
          </w:p>
        </w:tc>
        <w:tc>
          <w:tcPr/>
          <w:p>
            <w:pPr>
              <w:pStyle w:val="Compact"/>
            </w:pPr>
            <w:r>
              <w:t xml:space="preserve">Default web root and documentation</w:t>
            </w:r>
          </w:p>
        </w:tc>
      </w:tr>
      <w:tr>
        <w:tc>
          <w:tcPr/>
          <w:p>
            <w:pPr>
              <w:pStyle w:val="Compact"/>
            </w:pPr>
            <w:r>
              <w:rPr>
                <w:rStyle w:val="VerbatimChar"/>
              </w:rPr>
              <w:t xml:space="preserve">/opt/axonasp/mcp/</w:t>
            </w:r>
          </w:p>
        </w:tc>
        <w:tc>
          <w:tcPr/>
          <w:p>
            <w:pPr>
              <w:pStyle w:val="Compact"/>
            </w:pPr>
            <w:r>
              <w:t xml:space="preserve">MCP server resource files</w:t>
            </w:r>
          </w:p>
        </w:tc>
      </w:tr>
      <w:tr>
        <w:tc>
          <w:tcPr/>
          <w:p>
            <w:pPr>
              <w:pStyle w:val="Compact"/>
            </w:pPr>
            <w:r>
              <w:rPr>
                <w:rStyle w:val="VerbatimChar"/>
              </w:rPr>
              <w:t xml:space="preserve">/opt/axonasp/global.asa</w:t>
            </w:r>
          </w:p>
        </w:tc>
        <w:tc>
          <w:tcPr/>
          <w:p>
            <w:pPr>
              <w:pStyle w:val="Compact"/>
            </w:pPr>
            <w:r>
              <w:t xml:space="preserve">Default global.asa application lifecycle file</w:t>
            </w:r>
          </w:p>
        </w:tc>
      </w:tr>
      <w:tr>
        <w:tc>
          <w:tcPr/>
          <w:p>
            <w:pPr>
              <w:pStyle w:val="Compact"/>
            </w:pPr>
            <w:r>
              <w:rPr>
                <w:rStyle w:val="VerbatimChar"/>
              </w:rPr>
              <w:t xml:space="preserve">/opt/axonasp/temp/cache/</w:t>
            </w:r>
          </w:p>
        </w:tc>
        <w:tc>
          <w:tcPr/>
          <w:p>
            <w:pPr>
              <w:pStyle w:val="Compact"/>
            </w:pPr>
            <w:r>
              <w:t xml:space="preserve">Bytecode script cache directory</w:t>
            </w:r>
          </w:p>
        </w:tc>
      </w:tr>
      <w:tr>
        <w:tc>
          <w:tcPr/>
          <w:p>
            <w:pPr>
              <w:pStyle w:val="Compact"/>
            </w:pPr>
            <w:r>
              <w:rPr>
                <w:rStyle w:val="VerbatimChar"/>
              </w:rPr>
              <w:t xml:space="preserve">/opt/axonasp/temp/session/</w:t>
            </w:r>
          </w:p>
        </w:tc>
        <w:tc>
          <w:tcPr/>
          <w:p>
            <w:pPr>
              <w:pStyle w:val="Compact"/>
            </w:pPr>
            <w:r>
              <w:t xml:space="preserve">Session storage directory</w:t>
            </w:r>
          </w:p>
        </w:tc>
      </w:tr>
    </w:tbl>
    <w:p>
      <w:r>
        <w:pict>
          <v:rect style="width:0;height:1.5pt" o:hralign="center" o:hrstd="t" o:hr="t"/>
        </w:pict>
      </w:r>
    </w:p>
    <w:bookmarkEnd w:id="101"/>
    <w:bookmarkStart w:id="102" w:name="symbolic-links"/>
    <w:p>
      <w:pPr>
        <w:pStyle w:val="Heading2"/>
      </w:pPr>
      <w:r>
        <w:t xml:space="preserve">Symbolic Links</w:t>
      </w:r>
    </w:p>
    <w:p>
      <w:pPr>
        <w:pStyle w:val="FirstParagraph"/>
      </w:pPr>
      <w:r>
        <w:t xml:space="preserve">The package creates symbolic links so that the server binaries are accessible from any terminal without specifying the full path.</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Symlink</w:t>
            </w:r>
          </w:p>
        </w:tc>
        <w:tc>
          <w:tcPr/>
          <w:p>
            <w:pPr>
              <w:pStyle w:val="Compact"/>
            </w:pPr>
            <w:r>
              <w:t xml:space="preserve">Target</w:t>
            </w:r>
          </w:p>
        </w:tc>
      </w:tr>
      <w:tr>
        <w:tc>
          <w:tcPr/>
          <w:p>
            <w:pPr>
              <w:pStyle w:val="Compact"/>
            </w:pPr>
            <w:r>
              <w:rPr>
                <w:rStyle w:val="VerbatimChar"/>
              </w:rPr>
              <w:t xml:space="preserve">/usr/bin/axonasp-http</w:t>
            </w:r>
          </w:p>
        </w:tc>
        <w:tc>
          <w:tcPr/>
          <w:p>
            <w:pPr>
              <w:pStyle w:val="Compact"/>
            </w:pPr>
            <w:r>
              <w:rPr>
                <w:rStyle w:val="VerbatimChar"/>
              </w:rPr>
              <w:t xml:space="preserve">/opt/axonasp/axonasp-http</w:t>
            </w:r>
          </w:p>
        </w:tc>
      </w:tr>
      <w:tr>
        <w:tc>
          <w:tcPr/>
          <w:p>
            <w:pPr>
              <w:pStyle w:val="Compact"/>
            </w:pPr>
            <w:r>
              <w:rPr>
                <w:rStyle w:val="VerbatimChar"/>
              </w:rPr>
              <w:t xml:space="preserve">/usr/bin/axonasp-cli</w:t>
            </w:r>
          </w:p>
        </w:tc>
        <w:tc>
          <w:tcPr/>
          <w:p>
            <w:pPr>
              <w:pStyle w:val="Compact"/>
            </w:pPr>
            <w:r>
              <w:rPr>
                <w:rStyle w:val="VerbatimChar"/>
              </w:rPr>
              <w:t xml:space="preserve">/opt/axonasp/axonasp-cli</w:t>
            </w:r>
          </w:p>
        </w:tc>
      </w:tr>
      <w:tr>
        <w:tc>
          <w:tcPr/>
          <w:p>
            <w:pPr>
              <w:pStyle w:val="Compact"/>
            </w:pPr>
            <w:r>
              <w:rPr>
                <w:rStyle w:val="VerbatimChar"/>
              </w:rPr>
              <w:t xml:space="preserve">/usr/bin/axonasp-fastcgi</w:t>
            </w:r>
          </w:p>
        </w:tc>
        <w:tc>
          <w:tcPr/>
          <w:p>
            <w:pPr>
              <w:pStyle w:val="Compact"/>
            </w:pPr>
            <w:r>
              <w:rPr>
                <w:rStyle w:val="VerbatimChar"/>
              </w:rPr>
              <w:t xml:space="preserve">/opt/axonasp/axonasp-fastcgi</w:t>
            </w:r>
          </w:p>
        </w:tc>
      </w:tr>
      <w:tr>
        <w:tc>
          <w:tcPr/>
          <w:p>
            <w:pPr>
              <w:pStyle w:val="Compact"/>
            </w:pPr>
            <w:r>
              <w:rPr>
                <w:rStyle w:val="VerbatimChar"/>
              </w:rPr>
              <w:t xml:space="preserve">/usr/bin/axonasp-mcp</w:t>
            </w:r>
          </w:p>
        </w:tc>
        <w:tc>
          <w:tcPr/>
          <w:p>
            <w:pPr>
              <w:pStyle w:val="Compact"/>
            </w:pPr>
            <w:r>
              <w:rPr>
                <w:rStyle w:val="VerbatimChar"/>
              </w:rPr>
              <w:t xml:space="preserve">/opt/axonasp/axonasp-mcp</w:t>
            </w:r>
          </w:p>
        </w:tc>
      </w:tr>
      <w:tr>
        <w:tc>
          <w:tcPr/>
          <w:p>
            <w:pPr>
              <w:pStyle w:val="Compact"/>
            </w:pPr>
            <w:r>
              <w:rPr>
                <w:rStyle w:val="VerbatimChar"/>
              </w:rPr>
              <w:t xml:space="preserve">/usr/bin/axonasp-testsuite</w:t>
            </w:r>
          </w:p>
        </w:tc>
        <w:tc>
          <w:tcPr/>
          <w:p>
            <w:pPr>
              <w:pStyle w:val="Compact"/>
            </w:pPr>
            <w:r>
              <w:rPr>
                <w:rStyle w:val="VerbatimChar"/>
              </w:rPr>
              <w:t xml:space="preserve">/opt/axonasp/axonasp-testsuite</w:t>
            </w:r>
          </w:p>
        </w:tc>
      </w:tr>
      <w:tr>
        <w:tc>
          <w:tcPr/>
          <w:p>
            <w:pPr>
              <w:pStyle w:val="Compact"/>
            </w:pPr>
            <w:r>
              <w:rPr>
                <w:rStyle w:val="VerbatimChar"/>
              </w:rPr>
              <w:t xml:space="preserve">/etc/axonasp/config/axonasp.toml</w:t>
            </w:r>
          </w:p>
        </w:tc>
        <w:tc>
          <w:tcPr/>
          <w:p>
            <w:pPr>
              <w:pStyle w:val="Compact"/>
            </w:pPr>
            <w:r>
              <w:rPr>
                <w:rStyle w:val="VerbatimChar"/>
              </w:rPr>
              <w:t xml:space="preserve">/opt/axonasp/config/axonasp.toml</w:t>
            </w:r>
          </w:p>
        </w:tc>
      </w:tr>
      <w:tr>
        <w:tc>
          <w:tcPr/>
          <w:p>
            <w:pPr>
              <w:pStyle w:val="Compact"/>
            </w:pPr>
            <w:r>
              <w:rPr>
                <w:rStyle w:val="VerbatimChar"/>
              </w:rPr>
              <w:t xml:space="preserve">/var/cache/axonasp/</w:t>
            </w:r>
          </w:p>
        </w:tc>
        <w:tc>
          <w:tcPr/>
          <w:p>
            <w:pPr>
              <w:pStyle w:val="Compact"/>
            </w:pPr>
            <w:r>
              <w:rPr>
                <w:rStyle w:val="VerbatimChar"/>
              </w:rPr>
              <w:t xml:space="preserve">/opt/axonasp/temp/cache/</w:t>
            </w:r>
          </w:p>
        </w:tc>
      </w:tr>
      <w:tr>
        <w:tc>
          <w:tcPr/>
          <w:p>
            <w:pPr>
              <w:pStyle w:val="Compact"/>
            </w:pPr>
            <w:r>
              <w:rPr>
                <w:rStyle w:val="VerbatimChar"/>
              </w:rPr>
              <w:t xml:space="preserve">/var/lib/axonasp/session/</w:t>
            </w:r>
          </w:p>
        </w:tc>
        <w:tc>
          <w:tcPr/>
          <w:p>
            <w:pPr>
              <w:pStyle w:val="Compact"/>
            </w:pPr>
            <w:r>
              <w:rPr>
                <w:rStyle w:val="VerbatimChar"/>
              </w:rPr>
              <w:t xml:space="preserve">/opt/axonasp/temp/session/</w:t>
            </w:r>
          </w:p>
        </w:tc>
      </w:tr>
    </w:tbl>
    <w:p>
      <w:pPr>
        <w:pStyle w:val="BodyText"/>
      </w:pPr>
      <w:r>
        <w:t xml:space="preserve">Because the binaries are linked under</w:t>
      </w:r>
      <w:r>
        <w:t xml:space="preserve"> </w:t>
      </w:r>
      <w:r>
        <w:rPr>
          <w:rStyle w:val="VerbatimChar"/>
        </w:rPr>
        <w:t xml:space="preserve">/usr/bin</w:t>
      </w:r>
      <w:r>
        <w:t xml:space="preserve">, you can start the server from any working directory:</w:t>
      </w:r>
    </w:p>
    <w:p>
      <w:pPr>
        <w:pStyle w:val="SourceCode"/>
      </w:pPr>
      <w:r>
        <w:rPr>
          <w:rStyle w:val="ExtensionTok"/>
        </w:rPr>
        <w:t xml:space="preserve">axonasp-http</w:t>
      </w:r>
    </w:p>
    <w:p>
      <w:pPr>
        <w:pStyle w:val="FirstParagraph"/>
      </w:pPr>
      <w:r>
        <w:t xml:space="preserve">The configuration symlink at</w:t>
      </w:r>
      <w:r>
        <w:t xml:space="preserve"> </w:t>
      </w:r>
      <w:r>
        <w:rPr>
          <w:rStyle w:val="VerbatimChar"/>
        </w:rPr>
        <w:t xml:space="preserve">/etc/axonasp/config/axonasp.toml</w:t>
      </w:r>
      <w:r>
        <w:t xml:space="preserve"> </w:t>
      </w:r>
      <w:r>
        <w:t xml:space="preserve">provides a standard location for system administrators to locate and edit the configuration file without navigating to</w:t>
      </w:r>
      <w:r>
        <w:t xml:space="preserve"> </w:t>
      </w:r>
      <w:r>
        <w:rPr>
          <w:rStyle w:val="VerbatimChar"/>
        </w:rPr>
        <w:t xml:space="preserve">/opt/axonasp</w:t>
      </w:r>
      <w:r>
        <w:t xml:space="preserve">.</w:t>
      </w:r>
    </w:p>
    <w:p>
      <w:r>
        <w:pict>
          <v:rect style="width:0;height:1.5pt" o:hralign="center" o:hrstd="t" o:hr="t"/>
        </w:pict>
      </w:r>
    </w:p>
    <w:bookmarkEnd w:id="102"/>
    <w:bookmarkStart w:id="103" w:name="starting-the-server-after-installation"/>
    <w:p>
      <w:pPr>
        <w:pStyle w:val="Heading2"/>
      </w:pPr>
      <w:r>
        <w:t xml:space="preserve">Starting the Server After Installation</w:t>
      </w:r>
    </w:p>
    <w:p>
      <w:pPr>
        <w:pStyle w:val="FirstParagraph"/>
      </w:pPr>
      <w:r>
        <w:t xml:space="preserve">After the package installs, start the HTTP server directly:</w:t>
      </w:r>
    </w:p>
    <w:p>
      <w:pPr>
        <w:pStyle w:val="SourceCode"/>
      </w:pPr>
      <w:r>
        <w:rPr>
          <w:rStyle w:val="ExtensionTok"/>
        </w:rPr>
        <w:t xml:space="preserve">axonasp-http</w:t>
      </w:r>
    </w:p>
    <w:p>
      <w:pPr>
        <w:pStyle w:val="FirstParagraph"/>
      </w:pPr>
      <w:r>
        <w:t xml:space="preserve">To run it as a persistent background service, follow the instructions in the</w:t>
      </w:r>
      <w:r>
        <w:t xml:space="preserve"> </w:t>
      </w:r>
      <w:r>
        <w:rPr>
          <w:b/>
          <w:bCs/>
        </w:rPr>
        <w:t xml:space="preserve">Running AxonASP as a Linux Service</w:t>
      </w:r>
      <w:r>
        <w:t xml:space="preserve"> </w:t>
      </w:r>
      <w:r>
        <w:t xml:space="preserve">page of this manual. The package includes</w:t>
      </w:r>
      <w:r>
        <w:t xml:space="preserve"> </w:t>
      </w:r>
      <w:r>
        <w:rPr>
          <w:rStyle w:val="VerbatimChar"/>
        </w:rPr>
        <w:t xml:space="preserve">install-service.sh</w:t>
      </w:r>
      <w:r>
        <w:t xml:space="preserve"> </w:t>
      </w:r>
      <w:r>
        <w:t xml:space="preserve">and</w:t>
      </w:r>
      <w:r>
        <w:t xml:space="preserve"> </w:t>
      </w:r>
      <w:r>
        <w:rPr>
          <w:rStyle w:val="VerbatimChar"/>
        </w:rPr>
        <w:t xml:space="preserve">uninstall-service.sh</w:t>
      </w:r>
      <w:r>
        <w:t xml:space="preserve"> </w:t>
      </w:r>
      <w:r>
        <w:t xml:space="preserve">scripts under</w:t>
      </w:r>
      <w:r>
        <w:t xml:space="preserve"> </w:t>
      </w:r>
      <w:r>
        <w:rPr>
          <w:rStyle w:val="VerbatimChar"/>
        </w:rPr>
        <w:t xml:space="preserve">/opt/axonasp/</w:t>
      </w:r>
      <w:r>
        <w:t xml:space="preserve"> </w:t>
      </w:r>
      <w:r>
        <w:t xml:space="preserve">that automate systemd unit file creation.</w:t>
      </w:r>
    </w:p>
    <w:p>
      <w:pPr>
        <w:pStyle w:val="SourceCode"/>
      </w:pPr>
      <w:r>
        <w:rPr>
          <w:rStyle w:val="BuiltInTok"/>
        </w:rPr>
        <w:t xml:space="preserve">cd</w:t>
      </w:r>
      <w:r>
        <w:rPr>
          <w:rStyle w:val="NormalTok"/>
        </w:rPr>
        <w:t xml:space="preserve"> /opt/axonasp</w:t>
      </w:r>
      <w:r>
        <w:br/>
      </w:r>
      <w:r>
        <w:rPr>
          <w:rStyle w:val="FunctionTok"/>
        </w:rPr>
        <w:t xml:space="preserve">sudo</w:t>
      </w:r>
      <w:r>
        <w:rPr>
          <w:rStyle w:val="NormalTok"/>
        </w:rPr>
        <w:t xml:space="preserve"> bash install-service.sh</w:t>
      </w:r>
      <w:r>
        <w:br/>
      </w:r>
      <w:r>
        <w:rPr>
          <w:rStyle w:val="FunctionTok"/>
        </w:rPr>
        <w:t xml:space="preserve">sudo</w:t>
      </w:r>
      <w:r>
        <w:rPr>
          <w:rStyle w:val="NormalTok"/>
        </w:rPr>
        <w:t xml:space="preserve"> systemctl start axonasp</w:t>
      </w:r>
      <w:r>
        <w:br/>
      </w:r>
      <w:r>
        <w:rPr>
          <w:rStyle w:val="FunctionTok"/>
        </w:rPr>
        <w:t xml:space="preserve">sudo</w:t>
      </w:r>
      <w:r>
        <w:rPr>
          <w:rStyle w:val="NormalTok"/>
        </w:rPr>
        <w:t xml:space="preserve"> systemctl enable axonasp</w:t>
      </w:r>
    </w:p>
    <w:p>
      <w:r>
        <w:pict>
          <v:rect style="width:0;height:1.5pt" o:hralign="center" o:hrstd="t" o:hr="t"/>
        </w:pict>
      </w:r>
    </w:p>
    <w:bookmarkEnd w:id="103"/>
    <w:bookmarkStart w:id="104" w:name="remarks-2"/>
    <w:p>
      <w:pPr>
        <w:pStyle w:val="Heading2"/>
      </w:pPr>
      <w:r>
        <w:t xml:space="preserve">Remarks</w:t>
      </w:r>
    </w:p>
    <w:p>
      <w:pPr>
        <w:pStyle w:val="Compact"/>
        <w:numPr>
          <w:ilvl w:val="0"/>
          <w:numId w:val="1039"/>
        </w:numPr>
      </w:pPr>
      <w:r>
        <w:t xml:space="preserve">All packages target the</w:t>
      </w:r>
      <w:r>
        <w:t xml:space="preserve"> </w:t>
      </w:r>
      <w:r>
        <w:rPr>
          <w:b/>
          <w:bCs/>
        </w:rPr>
        <w:t xml:space="preserve">amd64 (x86-64)</w:t>
      </w:r>
      <w:r>
        <w:t xml:space="preserve"> </w:t>
      </w:r>
      <w:r>
        <w:t xml:space="preserve">architecture. ARM builds are not included in the pre-built packages; compile from source using</w:t>
      </w:r>
      <w:r>
        <w:t xml:space="preserve"> </w:t>
      </w:r>
      <w:r>
        <w:rPr>
          <w:rStyle w:val="VerbatimChar"/>
        </w:rPr>
        <w:t xml:space="preserve">build.sh</w:t>
      </w:r>
      <w:r>
        <w:t xml:space="preserve"> </w:t>
      </w:r>
      <w:r>
        <w:t xml:space="preserve">for other architectures.</w:t>
      </w:r>
    </w:p>
    <w:p>
      <w:pPr>
        <w:pStyle w:val="Compact"/>
        <w:numPr>
          <w:ilvl w:val="0"/>
          <w:numId w:val="1039"/>
        </w:numPr>
      </w:pPr>
      <w:r>
        <w:t xml:space="preserve">The</w:t>
      </w:r>
      <w:r>
        <w:t xml:space="preserve"> </w:t>
      </w:r>
      <w:r>
        <w:rPr>
          <w:rStyle w:val="VerbatimChar"/>
        </w:rPr>
        <w:t xml:space="preserve">temp/</w:t>
      </w:r>
      <w:r>
        <w:t xml:space="preserve"> </w:t>
      </w:r>
      <w:r>
        <w:t xml:space="preserve">subdirectories are created as empty directories by the package. The server writes bytecode caches and session data there at runtime.</w:t>
      </w:r>
    </w:p>
    <w:p>
      <w:pPr>
        <w:pStyle w:val="Compact"/>
        <w:numPr>
          <w:ilvl w:val="0"/>
          <w:numId w:val="1039"/>
        </w:numPr>
      </w:pPr>
      <w:r>
        <w:t xml:space="preserve">The configuration file at</w:t>
      </w:r>
      <w:r>
        <w:t xml:space="preserve"> </w:t>
      </w:r>
      <w:r>
        <w:rPr>
          <w:rStyle w:val="VerbatimChar"/>
        </w:rPr>
        <w:t xml:space="preserve">/opt/axonasp/config/axonasp.toml</w:t>
      </w:r>
      <w:r>
        <w:t xml:space="preserve"> </w:t>
      </w:r>
      <w:r>
        <w:t xml:space="preserve">contains default values for all settings. Edit it before starting the server to configure the web root path, port, session behavior, and other options.</w:t>
      </w:r>
    </w:p>
    <w:p>
      <w:pPr>
        <w:pStyle w:val="Compact"/>
        <w:numPr>
          <w:ilvl w:val="0"/>
          <w:numId w:val="1039"/>
        </w:numPr>
      </w:pPr>
      <w:r>
        <w:t xml:space="preserve">The</w:t>
      </w:r>
      <w:r>
        <w:t xml:space="preserve"> </w:t>
      </w:r>
      <w:r>
        <w:rPr>
          <w:rStyle w:val="VerbatimChar"/>
        </w:rPr>
        <w:t xml:space="preserve">www/tests/</w:t>
      </w:r>
      <w:r>
        <w:t xml:space="preserve"> </w:t>
      </w:r>
      <w:r>
        <w:t xml:space="preserve">directory is excluded from the distributed package. It is only present in the source repository.</w:t>
      </w:r>
    </w:p>
    <w:p>
      <w:pPr>
        <w:pStyle w:val="Compact"/>
        <w:numPr>
          <w:ilvl w:val="0"/>
          <w:numId w:val="1039"/>
        </w:numPr>
      </w:pPr>
      <w:r>
        <w:t xml:space="preserve">Package builds are triggered automatically on every push to the</w:t>
      </w:r>
      <w:r>
        <w:t xml:space="preserve"> </w:t>
      </w:r>
      <w:r>
        <w:rPr>
          <w:rStyle w:val="VerbatimChar"/>
        </w:rPr>
        <w:t xml:space="preserve">main</w:t>
      </w:r>
      <w:r>
        <w:t xml:space="preserve"> </w:t>
      </w:r>
      <w:r>
        <w:t xml:space="preserve">branch and on every version tag. Non-tagged builds use a commit-count-based version number (</w:t>
      </w:r>
      <w:r>
        <w:rPr>
          <w:rStyle w:val="VerbatimChar"/>
        </w:rPr>
        <w:t xml:space="preserve">2.3.&lt;commit-count&gt;.&lt;short-hash&gt;</w:t>
      </w:r>
      <w:r>
        <w:t xml:space="preserve">). Tagged releases use the clean tag version (for example,</w:t>
      </w:r>
      <w:r>
        <w:t xml:space="preserve"> </w:t>
      </w:r>
      <w:r>
        <w:rPr>
          <w:rStyle w:val="VerbatimChar"/>
        </w:rPr>
        <w:t xml:space="preserve">2.3.0</w:t>
      </w:r>
      <w:r>
        <w:t xml:space="preserve">).</w:t>
      </w:r>
    </w:p>
    <w:bookmarkEnd w:id="104"/>
    <w:bookmarkEnd w:id="105"/>
    <w:bookmarkStart w:id="117" w:name="running-axonasp-as-a-linux-service"/>
    <w:p>
      <w:pPr>
        <w:pStyle w:val="Heading1"/>
      </w:pPr>
      <w:r>
        <w:t xml:space="preserve">Running AxonASP as a Linux Service</w:t>
      </w:r>
    </w:p>
    <w:bookmarkStart w:id="106" w:name="overview-5"/>
    <w:p>
      <w:pPr>
        <w:pStyle w:val="Heading2"/>
      </w:pPr>
      <w:r>
        <w:t xml:space="preserve">Overview</w:t>
      </w:r>
    </w:p>
    <w:p>
      <w:pPr>
        <w:pStyle w:val="FirstParagraph"/>
      </w:pPr>
      <w:r>
        <w:t xml:space="preserve">This page describes how to deploy the AxonASP HTTP or FastCGI server as a persistent background service on Linux using</w:t>
      </w:r>
      <w:r>
        <w:t xml:space="preserve"> </w:t>
      </w:r>
      <w:r>
        <w:rPr>
          <w:rStyle w:val="VerbatimChar"/>
        </w:rPr>
        <w:t xml:space="preserve">systemd</w:t>
      </w:r>
      <w:r>
        <w:t xml:space="preserve">. Running AxonASP as a systemd service ensures it starts automatically on boot, restarts after crashes, and integrates with standard Linux service management tools.</w:t>
      </w:r>
    </w:p>
    <w:bookmarkEnd w:id="106"/>
    <w:bookmarkStart w:id="107" w:name="prerequisites-1"/>
    <w:p>
      <w:pPr>
        <w:pStyle w:val="Heading2"/>
      </w:pPr>
      <w:r>
        <w:t xml:space="preserve">Prerequisites</w:t>
      </w:r>
    </w:p>
    <w:p>
      <w:pPr>
        <w:pStyle w:val="Compact"/>
        <w:numPr>
          <w:ilvl w:val="0"/>
          <w:numId w:val="1040"/>
        </w:numPr>
      </w:pPr>
      <w:r>
        <w:t xml:space="preserve">Compiled</w:t>
      </w:r>
      <w:r>
        <w:t xml:space="preserve"> </w:t>
      </w:r>
      <w:r>
        <w:rPr>
          <w:rStyle w:val="VerbatimChar"/>
        </w:rPr>
        <w:t xml:space="preserve">axonasp-http</w:t>
      </w:r>
      <w:r>
        <w:t xml:space="preserve"> </w:t>
      </w:r>
      <w:r>
        <w:t xml:space="preserve">or</w:t>
      </w:r>
      <w:r>
        <w:t xml:space="preserve"> </w:t>
      </w:r>
      <w:r>
        <w:rPr>
          <w:rStyle w:val="VerbatimChar"/>
        </w:rPr>
        <w:t xml:space="preserve">axonasp-fastcgi</w:t>
      </w:r>
      <w:r>
        <w:t xml:space="preserve"> </w:t>
      </w:r>
      <w:r>
        <w:t xml:space="preserve">binary (built with</w:t>
      </w:r>
      <w:r>
        <w:t xml:space="preserve"> </w:t>
      </w:r>
      <w:r>
        <w:rPr>
          <w:rStyle w:val="VerbatimChar"/>
        </w:rPr>
        <w:t xml:space="preserve">build.sh</w:t>
      </w:r>
      <w:r>
        <w:t xml:space="preserve">)</w:t>
      </w:r>
    </w:p>
    <w:p>
      <w:pPr>
        <w:pStyle w:val="Compact"/>
        <w:numPr>
          <w:ilvl w:val="0"/>
          <w:numId w:val="1040"/>
        </w:numPr>
      </w:pPr>
      <w:r>
        <w:t xml:space="preserve">A Linux system with</w:t>
      </w:r>
      <w:r>
        <w:t xml:space="preserve"> </w:t>
      </w:r>
      <w:r>
        <w:rPr>
          <w:rStyle w:val="VerbatimChar"/>
        </w:rPr>
        <w:t xml:space="preserve">systemd</w:t>
      </w:r>
      <w:r>
        <w:t xml:space="preserve"> </w:t>
      </w:r>
      <w:r>
        <w:t xml:space="preserve">(Ubuntu 18+, Debian 10+, CentOS 7+, and similar)</w:t>
      </w:r>
    </w:p>
    <w:p>
      <w:pPr>
        <w:pStyle w:val="Compact"/>
        <w:numPr>
          <w:ilvl w:val="0"/>
          <w:numId w:val="1040"/>
        </w:numPr>
      </w:pPr>
      <w:r>
        <w:t xml:space="preserve">A dedicated service account (recommended)</w:t>
      </w:r>
    </w:p>
    <w:bookmarkEnd w:id="107"/>
    <w:bookmarkStart w:id="108" w:name="building-for-linux"/>
    <w:p>
      <w:pPr>
        <w:pStyle w:val="Heading2"/>
      </w:pPr>
      <w:r>
        <w:t xml:space="preserve">Building for Linux</w:t>
      </w:r>
    </w:p>
    <w:p>
      <w:pPr>
        <w:pStyle w:val="FirstParagraph"/>
      </w:pPr>
      <w:r>
        <w:t xml:space="preserve">Use</w:t>
      </w:r>
      <w:r>
        <w:t xml:space="preserve"> </w:t>
      </w:r>
      <w:r>
        <w:rPr>
          <w:rStyle w:val="VerbatimChar"/>
        </w:rPr>
        <w:t xml:space="preserve">build.sh</w:t>
      </w:r>
      <w:r>
        <w:t xml:space="preserve"> </w:t>
      </w:r>
      <w:r>
        <w:t xml:space="preserve">in the project root:</w:t>
      </w:r>
    </w:p>
    <w:p>
      <w:pPr>
        <w:pStyle w:val="SourceCode"/>
      </w:pPr>
      <w:r>
        <w:rPr>
          <w:rStyle w:val="ExtensionTok"/>
        </w:rPr>
        <w:t xml:space="preserve">./build.sh</w:t>
      </w:r>
    </w:p>
    <w:p>
      <w:pPr>
        <w:pStyle w:val="FirstParagraph"/>
      </w:pPr>
      <w:r>
        <w:t xml:space="preserve">The script builds the following binaries for the current platform:</w:t>
      </w:r>
      <w:r>
        <w:t xml:space="preserve"> </w:t>
      </w:r>
      <w:r>
        <w:t xml:space="preserve">-</w:t>
      </w:r>
      <w:r>
        <w:t xml:space="preserve"> </w:t>
      </w:r>
      <w:r>
        <w:rPr>
          <w:rStyle w:val="VerbatimChar"/>
        </w:rPr>
        <w:t xml:space="preserve">axonasp-http</w:t>
      </w:r>
      <w:r>
        <w:t xml:space="preserve"> </w:t>
      </w:r>
      <w:r>
        <w:t xml:space="preserve">— HTTP web server</w:t>
      </w:r>
      <w:r>
        <w:t xml:space="preserve"> </w:t>
      </w:r>
      <w:r>
        <w:t xml:space="preserve">-</w:t>
      </w:r>
      <w:r>
        <w:t xml:space="preserve"> </w:t>
      </w:r>
      <w:r>
        <w:rPr>
          <w:rStyle w:val="VerbatimChar"/>
        </w:rPr>
        <w:t xml:space="preserve">axonasp-fastcgi</w:t>
      </w:r>
      <w:r>
        <w:t xml:space="preserve"> </w:t>
      </w:r>
      <w:r>
        <w:t xml:space="preserve">— FastCGI application server</w:t>
      </w:r>
      <w:r>
        <w:t xml:space="preserve"> </w:t>
      </w:r>
      <w:r>
        <w:t xml:space="preserve">-</w:t>
      </w:r>
      <w:r>
        <w:t xml:space="preserve"> </w:t>
      </w:r>
      <w:r>
        <w:rPr>
          <w:rStyle w:val="VerbatimChar"/>
        </w:rPr>
        <w:t xml:space="preserve">axonasp-cli</w:t>
      </w:r>
      <w:r>
        <w:t xml:space="preserve"> </w:t>
      </w:r>
      <w:r>
        <w:t xml:space="preserve">— Command-line interpreter</w:t>
      </w:r>
      <w:r>
        <w:t xml:space="preserve"> </w:t>
      </w:r>
      <w:r>
        <w:t xml:space="preserve">-</w:t>
      </w:r>
      <w:r>
        <w:t xml:space="preserve"> </w:t>
      </w:r>
      <w:r>
        <w:rPr>
          <w:rStyle w:val="VerbatimChar"/>
        </w:rPr>
        <w:t xml:space="preserve">axonasp-mcp</w:t>
      </w:r>
      <w:r>
        <w:t xml:space="preserve"> </w:t>
      </w:r>
      <w:r>
        <w:t xml:space="preserve">— MCP server</w:t>
      </w:r>
      <w:r>
        <w:t xml:space="preserve"> </w:t>
      </w:r>
      <w:r>
        <w:t xml:space="preserve">-</w:t>
      </w:r>
      <w:r>
        <w:t xml:space="preserve"> </w:t>
      </w:r>
      <w:r>
        <w:rPr>
          <w:rStyle w:val="VerbatimChar"/>
        </w:rPr>
        <w:t xml:space="preserve">axonasp-service</w:t>
      </w:r>
      <w:r>
        <w:t xml:space="preserve"> </w:t>
      </w:r>
      <w:r>
        <w:t xml:space="preserve">— service wrapper helper</w:t>
      </w:r>
      <w:r>
        <w:t xml:space="preserve"> </w:t>
      </w:r>
      <w:r>
        <w:t xml:space="preserve">-</w:t>
      </w:r>
      <w:r>
        <w:t xml:space="preserve"> </w:t>
      </w:r>
      <w:r>
        <w:rPr>
          <w:rStyle w:val="VerbatimChar"/>
        </w:rPr>
        <w:t xml:space="preserve">axonasp-fpm</w:t>
      </w:r>
      <w:r>
        <w:t xml:space="preserve"> </w:t>
      </w:r>
      <w:r>
        <w:t xml:space="preserve">— FastCGI process manager</w:t>
      </w:r>
      <w:r>
        <w:t xml:space="preserve"> </w:t>
      </w:r>
      <w:r>
        <w:t xml:space="preserve">-</w:t>
      </w:r>
      <w:r>
        <w:t xml:space="preserve"> </w:t>
      </w:r>
      <w:r>
        <w:rPr>
          <w:rStyle w:val="VerbatimChar"/>
        </w:rPr>
        <w:t xml:space="preserve">axonasp-admin</w:t>
      </w:r>
      <w:r>
        <w:t xml:space="preserve"> </w:t>
      </w:r>
      <w:r>
        <w:t xml:space="preserve">— administrative interface</w:t>
      </w:r>
    </w:p>
    <w:p>
      <w:pPr>
        <w:pStyle w:val="BodyText"/>
      </w:pPr>
      <w:r>
        <w:t xml:space="preserve">For cross-compilation to a specific platform/architecture:</w:t>
      </w:r>
    </w:p>
    <w:p>
      <w:pPr>
        <w:pStyle w:val="SourceCode"/>
      </w:pPr>
      <w:r>
        <w:rPr>
          <w:rStyle w:val="ExtensionTok"/>
        </w:rPr>
        <w:t xml:space="preserve">./build.sh</w:t>
      </w:r>
      <w:r>
        <w:rPr>
          <w:rStyle w:val="NormalTok"/>
        </w:rPr>
        <w:t xml:space="preserve"> </w:t>
      </w:r>
      <w:r>
        <w:rPr>
          <w:rStyle w:val="AttributeTok"/>
        </w:rPr>
        <w:t xml:space="preserve">--platform</w:t>
      </w:r>
      <w:r>
        <w:rPr>
          <w:rStyle w:val="NormalTok"/>
        </w:rPr>
        <w:t xml:space="preserve"> linux </w:t>
      </w:r>
      <w:r>
        <w:rPr>
          <w:rStyle w:val="AttributeTok"/>
        </w:rPr>
        <w:t xml:space="preserve">--arch</w:t>
      </w:r>
      <w:r>
        <w:rPr>
          <w:rStyle w:val="NormalTok"/>
        </w:rPr>
        <w:t xml:space="preserve"> amd64</w:t>
      </w:r>
      <w:r>
        <w:br/>
      </w:r>
      <w:r>
        <w:rPr>
          <w:rStyle w:val="ExtensionTok"/>
        </w:rPr>
        <w:t xml:space="preserve">./build.sh</w:t>
      </w:r>
      <w:r>
        <w:rPr>
          <w:rStyle w:val="NormalTok"/>
        </w:rPr>
        <w:t xml:space="preserve"> </w:t>
      </w:r>
      <w:r>
        <w:rPr>
          <w:rStyle w:val="AttributeTok"/>
        </w:rPr>
        <w:t xml:space="preserve">--platform</w:t>
      </w:r>
      <w:r>
        <w:rPr>
          <w:rStyle w:val="NormalTok"/>
        </w:rPr>
        <w:t xml:space="preserve"> linux </w:t>
      </w:r>
      <w:r>
        <w:rPr>
          <w:rStyle w:val="AttributeTok"/>
        </w:rPr>
        <w:t xml:space="preserve">--arch</w:t>
      </w:r>
      <w:r>
        <w:rPr>
          <w:rStyle w:val="NormalTok"/>
        </w:rPr>
        <w:t xml:space="preserve"> arm64</w:t>
      </w:r>
    </w:p>
    <w:bookmarkEnd w:id="108"/>
    <w:bookmarkStart w:id="109" w:name="creating-the-service-user"/>
    <w:p>
      <w:pPr>
        <w:pStyle w:val="Heading2"/>
      </w:pPr>
      <w:r>
        <w:t xml:space="preserve">Creating the Service User</w:t>
      </w:r>
    </w:p>
    <w:p>
      <w:pPr>
        <w:pStyle w:val="SourceCode"/>
      </w:pPr>
      <w:r>
        <w:rPr>
          <w:rStyle w:val="FunctionTok"/>
        </w:rPr>
        <w:t xml:space="preserve">sudo</w:t>
      </w:r>
      <w:r>
        <w:rPr>
          <w:rStyle w:val="NormalTok"/>
        </w:rPr>
        <w:t xml:space="preserve"> useradd </w:t>
      </w:r>
      <w:r>
        <w:rPr>
          <w:rStyle w:val="AttributeTok"/>
        </w:rPr>
        <w:t xml:space="preserve">--system</w:t>
      </w:r>
      <w:r>
        <w:rPr>
          <w:rStyle w:val="NormalTok"/>
        </w:rPr>
        <w:t xml:space="preserve"> </w:t>
      </w:r>
      <w:r>
        <w:rPr>
          <w:rStyle w:val="AttributeTok"/>
        </w:rPr>
        <w:t xml:space="preserve">--no-create-home</w:t>
      </w:r>
      <w:r>
        <w:rPr>
          <w:rStyle w:val="NormalTok"/>
        </w:rPr>
        <w:t xml:space="preserve"> </w:t>
      </w:r>
      <w:r>
        <w:rPr>
          <w:rStyle w:val="AttributeTok"/>
        </w:rPr>
        <w:t xml:space="preserve">--shell</w:t>
      </w:r>
      <w:r>
        <w:rPr>
          <w:rStyle w:val="NormalTok"/>
        </w:rPr>
        <w:t xml:space="preserve"> /usr/sbin/nologin axonasp</w:t>
      </w:r>
    </w:p>
    <w:bookmarkEnd w:id="109"/>
    <w:bookmarkStart w:id="110" w:name="deploying-files"/>
    <w:p>
      <w:pPr>
        <w:pStyle w:val="Heading2"/>
      </w:pPr>
      <w:r>
        <w:t xml:space="preserve">Deploying Files</w:t>
      </w:r>
    </w:p>
    <w:p>
      <w:pPr>
        <w:pStyle w:val="FirstParagraph"/>
      </w:pPr>
      <w:r>
        <w:t xml:space="preserve">Copy the binary, configuration, and web root to the target directory:</w:t>
      </w:r>
    </w:p>
    <w:p>
      <w:pPr>
        <w:pStyle w:val="SourceCode"/>
      </w:pPr>
      <w:r>
        <w:rPr>
          <w:rStyle w:val="FunctionTok"/>
        </w:rPr>
        <w:t xml:space="preserve">sudo</w:t>
      </w:r>
      <w:r>
        <w:rPr>
          <w:rStyle w:val="NormalTok"/>
        </w:rPr>
        <w:t xml:space="preserve"> mkdir </w:t>
      </w:r>
      <w:r>
        <w:rPr>
          <w:rStyle w:val="AttributeTok"/>
        </w:rPr>
        <w:t xml:space="preserve">-p</w:t>
      </w:r>
      <w:r>
        <w:rPr>
          <w:rStyle w:val="NormalTok"/>
        </w:rPr>
        <w:t xml:space="preserve"> /opt/axonasp</w:t>
      </w:r>
      <w:r>
        <w:br/>
      </w:r>
      <w:r>
        <w:rPr>
          <w:rStyle w:val="FunctionTok"/>
        </w:rPr>
        <w:t xml:space="preserve">sudo</w:t>
      </w:r>
      <w:r>
        <w:rPr>
          <w:rStyle w:val="NormalTok"/>
        </w:rPr>
        <w:t xml:space="preserve"> cp axonasp-http /opt/axonasp/</w:t>
      </w:r>
      <w:r>
        <w:br/>
      </w:r>
      <w:r>
        <w:rPr>
          <w:rStyle w:val="FunctionTok"/>
        </w:rPr>
        <w:t xml:space="preserve">sudo</w:t>
      </w:r>
      <w:r>
        <w:rPr>
          <w:rStyle w:val="NormalTok"/>
        </w:rPr>
        <w:t xml:space="preserve"> cp </w:t>
      </w:r>
      <w:r>
        <w:rPr>
          <w:rStyle w:val="AttributeTok"/>
        </w:rPr>
        <w:t xml:space="preserve">-r</w:t>
      </w:r>
      <w:r>
        <w:rPr>
          <w:rStyle w:val="NormalTok"/>
        </w:rPr>
        <w:t xml:space="preserve"> config /opt/axonasp/</w:t>
      </w:r>
      <w:r>
        <w:br/>
      </w:r>
      <w:r>
        <w:rPr>
          <w:rStyle w:val="FunctionTok"/>
        </w:rPr>
        <w:t xml:space="preserve">sudo</w:t>
      </w:r>
      <w:r>
        <w:rPr>
          <w:rStyle w:val="NormalTok"/>
        </w:rPr>
        <w:t xml:space="preserve"> cp </w:t>
      </w:r>
      <w:r>
        <w:rPr>
          <w:rStyle w:val="AttributeTok"/>
        </w:rPr>
        <w:t xml:space="preserve">-r</w:t>
      </w:r>
      <w:r>
        <w:rPr>
          <w:rStyle w:val="NormalTok"/>
        </w:rPr>
        <w:t xml:space="preserve"> www /opt/axonasp/</w:t>
      </w:r>
      <w:r>
        <w:br/>
      </w:r>
      <w:r>
        <w:rPr>
          <w:rStyle w:val="FunctionTok"/>
        </w:rPr>
        <w:t xml:space="preserve">sudo</w:t>
      </w:r>
      <w:r>
        <w:rPr>
          <w:rStyle w:val="NormalTok"/>
        </w:rPr>
        <w:t xml:space="preserve"> chown </w:t>
      </w:r>
      <w:r>
        <w:rPr>
          <w:rStyle w:val="AttributeTok"/>
        </w:rPr>
        <w:t xml:space="preserve">-R</w:t>
      </w:r>
      <w:r>
        <w:rPr>
          <w:rStyle w:val="NormalTok"/>
        </w:rPr>
        <w:t xml:space="preserve"> axonasp:axonasp /opt/axonasp</w:t>
      </w:r>
    </w:p>
    <w:bookmarkEnd w:id="110"/>
    <w:bookmarkStart w:id="111" w:name="creating-the-systemd-unit-file"/>
    <w:p>
      <w:pPr>
        <w:pStyle w:val="Heading2"/>
      </w:pPr>
      <w:r>
        <w:t xml:space="preserve">Creating the systemd Unit File</w:t>
      </w:r>
    </w:p>
    <w:p>
      <w:pPr>
        <w:pStyle w:val="FirstParagraph"/>
      </w:pPr>
      <w:r>
        <w:t xml:space="preserve">Create a unit file at</w:t>
      </w:r>
      <w:r>
        <w:t xml:space="preserve"> </w:t>
      </w:r>
      <w:r>
        <w:rPr>
          <w:rStyle w:val="VerbatimChar"/>
        </w:rPr>
        <w:t xml:space="preserve">/etc/systemd/system/axonasp.service</w:t>
      </w:r>
      <w:r>
        <w:t xml:space="preserve">:</w:t>
      </w:r>
    </w:p>
    <w:p>
      <w:pPr>
        <w:pStyle w:val="SourceCode"/>
      </w:pPr>
      <w:r>
        <w:rPr>
          <w:rStyle w:val="KeywordTok"/>
        </w:rPr>
        <w:t xml:space="preserve">[Unit]</w:t>
      </w:r>
      <w:r>
        <w:br/>
      </w:r>
      <w:r>
        <w:rPr>
          <w:rStyle w:val="DataTypeTok"/>
        </w:rPr>
        <w:t xml:space="preserve">Description</w:t>
      </w:r>
      <w:r>
        <w:rPr>
          <w:rStyle w:val="OtherTok"/>
        </w:rPr>
        <w:t xml:space="preserve">=</w:t>
      </w:r>
      <w:r>
        <w:rPr>
          <w:rStyle w:val="StringTok"/>
        </w:rPr>
        <w:t xml:space="preserve">AxonASP HTTP Server</w:t>
      </w:r>
      <w:r>
        <w:br/>
      </w:r>
      <w:r>
        <w:rPr>
          <w:rStyle w:val="DataTypeTok"/>
        </w:rPr>
        <w:t xml:space="preserve">After</w:t>
      </w:r>
      <w:r>
        <w:rPr>
          <w:rStyle w:val="OtherTok"/>
        </w:rPr>
        <w:t xml:space="preserve">=</w:t>
      </w:r>
      <w:r>
        <w:rPr>
          <w:rStyle w:val="StringTok"/>
        </w:rPr>
        <w:t xml:space="preserve">network.target</w:t>
      </w:r>
      <w:r>
        <w:br/>
      </w:r>
      <w:r>
        <w:rPr>
          <w:rStyle w:val="DataTypeTok"/>
        </w:rPr>
        <w:t xml:space="preserve">Wants</w:t>
      </w:r>
      <w:r>
        <w:rPr>
          <w:rStyle w:val="OtherTok"/>
        </w:rPr>
        <w:t xml:space="preserve">=</w:t>
      </w:r>
      <w:r>
        <w:rPr>
          <w:rStyle w:val="StringTok"/>
        </w:rPr>
        <w:t xml:space="preserve">network-online.target</w:t>
      </w:r>
      <w:r>
        <w:br/>
      </w:r>
      <w:r>
        <w:br/>
      </w:r>
      <w:r>
        <w:rPr>
          <w:rStyle w:val="KeywordTok"/>
        </w:rPr>
        <w:t xml:space="preserve">[Service]</w:t>
      </w:r>
      <w:r>
        <w:br/>
      </w:r>
      <w:r>
        <w:rPr>
          <w:rStyle w:val="DataTypeTok"/>
        </w:rPr>
        <w:t xml:space="preserve">Type</w:t>
      </w:r>
      <w:r>
        <w:rPr>
          <w:rStyle w:val="OtherTok"/>
        </w:rPr>
        <w:t xml:space="preserve">=</w:t>
      </w:r>
      <w:r>
        <w:rPr>
          <w:rStyle w:val="StringTok"/>
        </w:rPr>
        <w:t xml:space="preserve">simple</w:t>
      </w:r>
      <w:r>
        <w:br/>
      </w:r>
      <w:r>
        <w:rPr>
          <w:rStyle w:val="DataTypeTok"/>
        </w:rPr>
        <w:t xml:space="preserve">User</w:t>
      </w:r>
      <w:r>
        <w:rPr>
          <w:rStyle w:val="OtherTok"/>
        </w:rPr>
        <w:t xml:space="preserve">=</w:t>
      </w:r>
      <w:r>
        <w:rPr>
          <w:rStyle w:val="StringTok"/>
        </w:rPr>
        <w:t xml:space="preserve">axonasp</w:t>
      </w:r>
      <w:r>
        <w:br/>
      </w:r>
      <w:r>
        <w:rPr>
          <w:rStyle w:val="DataTypeTok"/>
        </w:rPr>
        <w:t xml:space="preserve">Group</w:t>
      </w:r>
      <w:r>
        <w:rPr>
          <w:rStyle w:val="OtherTok"/>
        </w:rPr>
        <w:t xml:space="preserve">=</w:t>
      </w:r>
      <w:r>
        <w:rPr>
          <w:rStyle w:val="StringTok"/>
        </w:rPr>
        <w:t xml:space="preserve">axonasp</w:t>
      </w:r>
      <w:r>
        <w:br/>
      </w:r>
      <w:r>
        <w:rPr>
          <w:rStyle w:val="DataTypeTok"/>
        </w:rPr>
        <w:t xml:space="preserve">WorkingDirectory</w:t>
      </w:r>
      <w:r>
        <w:rPr>
          <w:rStyle w:val="OtherTok"/>
        </w:rPr>
        <w:t xml:space="preserve">=</w:t>
      </w:r>
      <w:r>
        <w:rPr>
          <w:rStyle w:val="StringTok"/>
        </w:rPr>
        <w:t xml:space="preserve">/opt/axonasp</w:t>
      </w:r>
      <w:r>
        <w:br/>
      </w:r>
      <w:r>
        <w:rPr>
          <w:rStyle w:val="DataTypeTok"/>
        </w:rPr>
        <w:t xml:space="preserve">ExecStart</w:t>
      </w:r>
      <w:r>
        <w:rPr>
          <w:rStyle w:val="OtherTok"/>
        </w:rPr>
        <w:t xml:space="preserve">=</w:t>
      </w:r>
      <w:r>
        <w:rPr>
          <w:rStyle w:val="StringTok"/>
        </w:rPr>
        <w:t xml:space="preserve">/opt/axonasp/axonasp-http</w:t>
      </w:r>
      <w:r>
        <w:br/>
      </w:r>
      <w:r>
        <w:rPr>
          <w:rStyle w:val="DataTypeTok"/>
        </w:rPr>
        <w:t xml:space="preserve">Restart</w:t>
      </w:r>
      <w:r>
        <w:rPr>
          <w:rStyle w:val="OtherTok"/>
        </w:rPr>
        <w:t xml:space="preserve">=</w:t>
      </w:r>
      <w:r>
        <w:rPr>
          <w:rStyle w:val="StringTok"/>
        </w:rPr>
        <w:t xml:space="preserve">on-failure</w:t>
      </w:r>
      <w:r>
        <w:br/>
      </w:r>
      <w:r>
        <w:rPr>
          <w:rStyle w:val="DataTypeTok"/>
        </w:rPr>
        <w:t xml:space="preserve">RestartSec</w:t>
      </w:r>
      <w:r>
        <w:rPr>
          <w:rStyle w:val="OtherTok"/>
        </w:rPr>
        <w:t xml:space="preserve">=</w:t>
      </w:r>
      <w:r>
        <w:rPr>
          <w:rStyle w:val="DecValTok"/>
        </w:rPr>
        <w:t xml:space="preserve">5</w:t>
      </w:r>
      <w:r>
        <w:br/>
      </w:r>
      <w:r>
        <w:rPr>
          <w:rStyle w:val="DataTypeTok"/>
        </w:rPr>
        <w:t xml:space="preserve">StandardOutput</w:t>
      </w:r>
      <w:r>
        <w:rPr>
          <w:rStyle w:val="OtherTok"/>
        </w:rPr>
        <w:t xml:space="preserve">=</w:t>
      </w:r>
      <w:r>
        <w:rPr>
          <w:rStyle w:val="StringTok"/>
        </w:rPr>
        <w:t xml:space="preserve">journal</w:t>
      </w:r>
      <w:r>
        <w:br/>
      </w:r>
      <w:r>
        <w:rPr>
          <w:rStyle w:val="DataTypeTok"/>
        </w:rPr>
        <w:t xml:space="preserve">StandardError</w:t>
      </w:r>
      <w:r>
        <w:rPr>
          <w:rStyle w:val="OtherTok"/>
        </w:rPr>
        <w:t xml:space="preserve">=</w:t>
      </w:r>
      <w:r>
        <w:rPr>
          <w:rStyle w:val="StringTok"/>
        </w:rPr>
        <w:t xml:space="preserve">journal</w:t>
      </w:r>
      <w:r>
        <w:br/>
      </w:r>
      <w:r>
        <w:rPr>
          <w:rStyle w:val="DataTypeTok"/>
        </w:rPr>
        <w:t xml:space="preserve">SyslogIdentifier</w:t>
      </w:r>
      <w:r>
        <w:rPr>
          <w:rStyle w:val="OtherTok"/>
        </w:rPr>
        <w:t xml:space="preserve">=</w:t>
      </w:r>
      <w:r>
        <w:rPr>
          <w:rStyle w:val="StringTok"/>
        </w:rPr>
        <w:t xml:space="preserve">axonasp</w:t>
      </w:r>
      <w:r>
        <w:br/>
      </w:r>
      <w:r>
        <w:br/>
      </w:r>
      <w:r>
        <w:rPr>
          <w:rStyle w:val="CommentTok"/>
        </w:rPr>
        <w:t xml:space="preserve"># Resource limits</w:t>
      </w:r>
      <w:r>
        <w:br/>
      </w:r>
      <w:r>
        <w:rPr>
          <w:rStyle w:val="DataTypeTok"/>
        </w:rPr>
        <w:t xml:space="preserve">LimitNOFILE</w:t>
      </w:r>
      <w:r>
        <w:rPr>
          <w:rStyle w:val="OtherTok"/>
        </w:rPr>
        <w:t xml:space="preserve">=</w:t>
      </w:r>
      <w:r>
        <w:rPr>
          <w:rStyle w:val="DecValTok"/>
        </w:rPr>
        <w:t xml:space="preserve">65536</w:t>
      </w:r>
      <w:r>
        <w:br/>
      </w:r>
      <w:r>
        <w:rPr>
          <w:rStyle w:val="DataTypeTok"/>
        </w:rPr>
        <w:t xml:space="preserve">LimitNPROC</w:t>
      </w:r>
      <w:r>
        <w:rPr>
          <w:rStyle w:val="OtherTok"/>
        </w:rPr>
        <w:t xml:space="preserve">=</w:t>
      </w:r>
      <w:r>
        <w:rPr>
          <w:rStyle w:val="DecValTok"/>
        </w:rPr>
        <w:t xml:space="preserve">4096</w:t>
      </w:r>
      <w:r>
        <w:br/>
      </w:r>
      <w:r>
        <w:br/>
      </w:r>
      <w:r>
        <w:rPr>
          <w:rStyle w:val="CommentTok"/>
        </w:rPr>
        <w:t xml:space="preserve"># Security hardening</w:t>
      </w:r>
      <w:r>
        <w:br/>
      </w:r>
      <w:r>
        <w:rPr>
          <w:rStyle w:val="DataTypeTok"/>
        </w:rPr>
        <w:t xml:space="preserve">NoNewPrivileges</w:t>
      </w:r>
      <w:r>
        <w:rPr>
          <w:rStyle w:val="OtherTok"/>
        </w:rPr>
        <w:t xml:space="preserve">=</w:t>
      </w:r>
      <w:r>
        <w:rPr>
          <w:rStyle w:val="KeywordTok"/>
        </w:rPr>
        <w:t xml:space="preserve">true</w:t>
      </w:r>
      <w:r>
        <w:br/>
      </w:r>
      <w:r>
        <w:rPr>
          <w:rStyle w:val="DataTypeTok"/>
        </w:rPr>
        <w:t xml:space="preserve">PrivateTmp</w:t>
      </w:r>
      <w:r>
        <w:rPr>
          <w:rStyle w:val="OtherTok"/>
        </w:rPr>
        <w:t xml:space="preserve">=</w:t>
      </w:r>
      <w:r>
        <w:rPr>
          <w:rStyle w:val="KeywordTok"/>
        </w:rPr>
        <w:t xml:space="preserve">true</w:t>
      </w:r>
      <w:r>
        <w:br/>
      </w:r>
      <w:r>
        <w:br/>
      </w:r>
      <w:r>
        <w:rPr>
          <w:rStyle w:val="KeywordTok"/>
        </w:rPr>
        <w:t xml:space="preserve">[Install]</w:t>
      </w:r>
      <w:r>
        <w:br/>
      </w:r>
      <w:r>
        <w:rPr>
          <w:rStyle w:val="DataTypeTok"/>
        </w:rPr>
        <w:t xml:space="preserve">WantedBy</w:t>
      </w:r>
      <w:r>
        <w:rPr>
          <w:rStyle w:val="OtherTok"/>
        </w:rPr>
        <w:t xml:space="preserve">=</w:t>
      </w:r>
      <w:r>
        <w:rPr>
          <w:rStyle w:val="StringTok"/>
        </w:rPr>
        <w:t xml:space="preserve">multi-user.target</w:t>
      </w:r>
    </w:p>
    <w:p>
      <w:pPr>
        <w:pStyle w:val="FirstParagraph"/>
      </w:pPr>
      <w:r>
        <w:t xml:space="preserve">For the</w:t>
      </w:r>
      <w:r>
        <w:t xml:space="preserve"> </w:t>
      </w:r>
      <w:r>
        <w:rPr>
          <w:b/>
          <w:bCs/>
        </w:rPr>
        <w:t xml:space="preserve">FastCGI server</w:t>
      </w:r>
      <w:r>
        <w:t xml:space="preserve">, replace</w:t>
      </w:r>
      <w:r>
        <w:t xml:space="preserve"> </w:t>
      </w:r>
      <w:r>
        <w:rPr>
          <w:rStyle w:val="VerbatimChar"/>
        </w:rPr>
        <w:t xml:space="preserve">ExecStart</w:t>
      </w:r>
      <w:r>
        <w:t xml:space="preserve"> </w:t>
      </w:r>
      <w:r>
        <w:t xml:space="preserve">with:</w:t>
      </w:r>
    </w:p>
    <w:p>
      <w:pPr>
        <w:pStyle w:val="SourceCode"/>
      </w:pPr>
      <w:r>
        <w:rPr>
          <w:rStyle w:val="DataTypeTok"/>
        </w:rPr>
        <w:t xml:space="preserve">ExecStart</w:t>
      </w:r>
      <w:r>
        <w:rPr>
          <w:rStyle w:val="OtherTok"/>
        </w:rPr>
        <w:t xml:space="preserve">=</w:t>
      </w:r>
      <w:r>
        <w:rPr>
          <w:rStyle w:val="StringTok"/>
        </w:rPr>
        <w:t xml:space="preserve">/opt/axonasp/axonasp-fastcgi</w:t>
      </w:r>
    </w:p>
    <w:p>
      <w:pPr>
        <w:pStyle w:val="FirstParagraph"/>
      </w:pPr>
      <w:r>
        <w:t xml:space="preserve">For the</w:t>
      </w:r>
      <w:r>
        <w:t xml:space="preserve"> </w:t>
      </w:r>
      <w:r>
        <w:rPr>
          <w:b/>
          <w:bCs/>
        </w:rPr>
        <w:t xml:space="preserve">FastCGI FPM</w:t>
      </w:r>
      <w:r>
        <w:t xml:space="preserve">, replace</w:t>
      </w:r>
      <w:r>
        <w:t xml:space="preserve"> </w:t>
      </w:r>
      <w:r>
        <w:rPr>
          <w:rStyle w:val="VerbatimChar"/>
        </w:rPr>
        <w:t xml:space="preserve">ExecStart</w:t>
      </w:r>
      <w:r>
        <w:t xml:space="preserve"> </w:t>
      </w:r>
      <w:r>
        <w:t xml:space="preserve">and User/Group with:</w:t>
      </w:r>
      <w:r>
        <w:t xml:space="preserve"> </w:t>
      </w:r>
      <w:r>
        <w:t xml:space="preserve">It is necessary to run FPM as root to allow it to bind to low-numbered ports and manage child processes. Also you need to disable</w:t>
      </w:r>
      <w:r>
        <w:t xml:space="preserve"> </w:t>
      </w:r>
      <w:r>
        <w:rPr>
          <w:rStyle w:val="VerbatimChar"/>
        </w:rPr>
        <w:t xml:space="preserve">PrivateTmp</w:t>
      </w:r>
      <w:r>
        <w:t xml:space="preserve"> </w:t>
      </w:r>
      <w:r>
        <w:t xml:space="preserve">and</w:t>
      </w:r>
      <w:r>
        <w:t xml:space="preserve"> </w:t>
      </w:r>
      <w:r>
        <w:rPr>
          <w:rStyle w:val="VerbatimChar"/>
        </w:rPr>
        <w:t xml:space="preserve">NoNewPrivileges</w:t>
      </w:r>
      <w:r>
        <w:t xml:space="preserve"> </w:t>
      </w:r>
      <w:r>
        <w:t xml:space="preserve">for FPM to allow it to share the</w:t>
      </w:r>
      <w:r>
        <w:t xml:space="preserve"> </w:t>
      </w:r>
      <w:r>
        <w:rPr>
          <w:rStyle w:val="VerbatimChar"/>
        </w:rPr>
        <w:t xml:space="preserve">/tmp</w:t>
      </w:r>
      <w:r>
        <w:t xml:space="preserve"> </w:t>
      </w:r>
      <w:r>
        <w:t xml:space="preserve">directory with child processes.</w:t>
      </w:r>
    </w:p>
    <w:p>
      <w:pPr>
        <w:pStyle w:val="SourceCode"/>
      </w:pPr>
      <w:r>
        <w:rPr>
          <w:rStyle w:val="DataTypeTok"/>
        </w:rPr>
        <w:t xml:space="preserve">ExecStart</w:t>
      </w:r>
      <w:r>
        <w:rPr>
          <w:rStyle w:val="OtherTok"/>
        </w:rPr>
        <w:t xml:space="preserve">=</w:t>
      </w:r>
      <w:r>
        <w:rPr>
          <w:rStyle w:val="StringTok"/>
        </w:rPr>
        <w:t xml:space="preserve">/opt/axonasp/axonasp-fpm</w:t>
      </w:r>
      <w:r>
        <w:br/>
      </w:r>
      <w:r>
        <w:rPr>
          <w:rStyle w:val="DataTypeTok"/>
        </w:rPr>
        <w:t xml:space="preserve">User</w:t>
      </w:r>
      <w:r>
        <w:rPr>
          <w:rStyle w:val="OtherTok"/>
        </w:rPr>
        <w:t xml:space="preserve">=</w:t>
      </w:r>
      <w:r>
        <w:rPr>
          <w:rStyle w:val="StringTok"/>
        </w:rPr>
        <w:t xml:space="preserve">root</w:t>
      </w:r>
      <w:r>
        <w:br/>
      </w:r>
      <w:r>
        <w:rPr>
          <w:rStyle w:val="DataTypeTok"/>
        </w:rPr>
        <w:t xml:space="preserve">Group</w:t>
      </w:r>
      <w:r>
        <w:rPr>
          <w:rStyle w:val="OtherTok"/>
        </w:rPr>
        <w:t xml:space="preserve">=</w:t>
      </w:r>
      <w:r>
        <w:rPr>
          <w:rStyle w:val="StringTok"/>
        </w:rPr>
        <w:t xml:space="preserve">root</w:t>
      </w:r>
      <w:r>
        <w:br/>
      </w:r>
      <w:r>
        <w:rPr>
          <w:rStyle w:val="DataTypeTok"/>
        </w:rPr>
        <w:t xml:space="preserve">PrivateTmp</w:t>
      </w:r>
      <w:r>
        <w:rPr>
          <w:rStyle w:val="OtherTok"/>
        </w:rPr>
        <w:t xml:space="preserve">=</w:t>
      </w:r>
      <w:r>
        <w:rPr>
          <w:rStyle w:val="KeywordTok"/>
        </w:rPr>
        <w:t xml:space="preserve">false</w:t>
      </w:r>
      <w:r>
        <w:br/>
      </w:r>
      <w:r>
        <w:rPr>
          <w:rStyle w:val="DataTypeTok"/>
        </w:rPr>
        <w:t xml:space="preserve">NoNewPrivileges</w:t>
      </w:r>
      <w:r>
        <w:rPr>
          <w:rStyle w:val="OtherTok"/>
        </w:rPr>
        <w:t xml:space="preserve">=</w:t>
      </w:r>
      <w:r>
        <w:rPr>
          <w:rStyle w:val="KeywordTok"/>
        </w:rPr>
        <w:t xml:space="preserve">false</w:t>
      </w:r>
    </w:p>
    <w:bookmarkEnd w:id="111"/>
    <w:bookmarkStart w:id="112" w:name="enabling-and-starting-the-service"/>
    <w:p>
      <w:pPr>
        <w:pStyle w:val="Heading2"/>
      </w:pPr>
      <w:r>
        <w:t xml:space="preserve">Enabling and Starting the Service</w:t>
      </w:r>
    </w:p>
    <w:p>
      <w:pPr>
        <w:pStyle w:val="SourceCode"/>
      </w:pPr>
      <w:r>
        <w:rPr>
          <w:rStyle w:val="CommentTok"/>
        </w:rPr>
        <w:t xml:space="preserve"># Reload systemd to pick up the new unit file</w:t>
      </w:r>
      <w:r>
        <w:br/>
      </w:r>
      <w:r>
        <w:rPr>
          <w:rStyle w:val="FunctionTok"/>
        </w:rPr>
        <w:t xml:space="preserve">sudo</w:t>
      </w:r>
      <w:r>
        <w:rPr>
          <w:rStyle w:val="NormalTok"/>
        </w:rPr>
        <w:t xml:space="preserve"> systemctl daemon-reload</w:t>
      </w:r>
      <w:r>
        <w:br/>
      </w:r>
      <w:r>
        <w:br/>
      </w:r>
      <w:r>
        <w:rPr>
          <w:rStyle w:val="CommentTok"/>
        </w:rPr>
        <w:t xml:space="preserve"># Enable the service to start on boot</w:t>
      </w:r>
      <w:r>
        <w:br/>
      </w:r>
      <w:r>
        <w:rPr>
          <w:rStyle w:val="FunctionTok"/>
        </w:rPr>
        <w:t xml:space="preserve">sudo</w:t>
      </w:r>
      <w:r>
        <w:rPr>
          <w:rStyle w:val="NormalTok"/>
        </w:rPr>
        <w:t xml:space="preserve"> systemctl enable axonasp</w:t>
      </w:r>
      <w:r>
        <w:br/>
      </w:r>
      <w:r>
        <w:br/>
      </w:r>
      <w:r>
        <w:rPr>
          <w:rStyle w:val="CommentTok"/>
        </w:rPr>
        <w:t xml:space="preserve"># Start the service now</w:t>
      </w:r>
      <w:r>
        <w:br/>
      </w:r>
      <w:r>
        <w:rPr>
          <w:rStyle w:val="FunctionTok"/>
        </w:rPr>
        <w:t xml:space="preserve">sudo</w:t>
      </w:r>
      <w:r>
        <w:rPr>
          <w:rStyle w:val="NormalTok"/>
        </w:rPr>
        <w:t xml:space="preserve"> systemctl start axonasp</w:t>
      </w:r>
    </w:p>
    <w:bookmarkEnd w:id="112"/>
    <w:bookmarkStart w:id="113" w:name="managing-the-service"/>
    <w:p>
      <w:pPr>
        <w:pStyle w:val="Heading2"/>
      </w:pPr>
      <w:r>
        <w:t xml:space="preserve">Managing the Service</w:t>
      </w:r>
    </w:p>
    <w:p>
      <w:pPr>
        <w:pStyle w:val="SourceCode"/>
      </w:pPr>
      <w:r>
        <w:rPr>
          <w:rStyle w:val="CommentTok"/>
        </w:rPr>
        <w:t xml:space="preserve"># Check status</w:t>
      </w:r>
      <w:r>
        <w:br/>
      </w:r>
      <w:r>
        <w:rPr>
          <w:rStyle w:val="FunctionTok"/>
        </w:rPr>
        <w:t xml:space="preserve">sudo</w:t>
      </w:r>
      <w:r>
        <w:rPr>
          <w:rStyle w:val="NormalTok"/>
        </w:rPr>
        <w:t xml:space="preserve"> systemctl status axonasp</w:t>
      </w:r>
      <w:r>
        <w:br/>
      </w:r>
      <w:r>
        <w:br/>
      </w:r>
      <w:r>
        <w:rPr>
          <w:rStyle w:val="CommentTok"/>
        </w:rPr>
        <w:t xml:space="preserve"># Stop the service</w:t>
      </w:r>
      <w:r>
        <w:br/>
      </w:r>
      <w:r>
        <w:rPr>
          <w:rStyle w:val="FunctionTok"/>
        </w:rPr>
        <w:t xml:space="preserve">sudo</w:t>
      </w:r>
      <w:r>
        <w:rPr>
          <w:rStyle w:val="NormalTok"/>
        </w:rPr>
        <w:t xml:space="preserve"> systemctl stop axonasp</w:t>
      </w:r>
      <w:r>
        <w:br/>
      </w:r>
      <w:r>
        <w:br/>
      </w:r>
      <w:r>
        <w:rPr>
          <w:rStyle w:val="CommentTok"/>
        </w:rPr>
        <w:t xml:space="preserve"># Restart the service</w:t>
      </w:r>
      <w:r>
        <w:br/>
      </w:r>
      <w:r>
        <w:rPr>
          <w:rStyle w:val="FunctionTok"/>
        </w:rPr>
        <w:t xml:space="preserve">sudo</w:t>
      </w:r>
      <w:r>
        <w:rPr>
          <w:rStyle w:val="NormalTok"/>
        </w:rPr>
        <w:t xml:space="preserve"> systemctl restart axonasp</w:t>
      </w:r>
      <w:r>
        <w:br/>
      </w:r>
      <w:r>
        <w:br/>
      </w:r>
      <w:r>
        <w:rPr>
          <w:rStyle w:val="CommentTok"/>
        </w:rPr>
        <w:t xml:space="preserve"># View logs</w:t>
      </w:r>
      <w:r>
        <w:br/>
      </w:r>
      <w:r>
        <w:rPr>
          <w:rStyle w:val="FunctionTok"/>
        </w:rPr>
        <w:t xml:space="preserve">sudo</w:t>
      </w:r>
      <w:r>
        <w:rPr>
          <w:rStyle w:val="NormalTok"/>
        </w:rPr>
        <w:t xml:space="preserve"> journalctl </w:t>
      </w:r>
      <w:r>
        <w:rPr>
          <w:rStyle w:val="AttributeTok"/>
        </w:rPr>
        <w:t xml:space="preserve">-u</w:t>
      </w:r>
      <w:r>
        <w:rPr>
          <w:rStyle w:val="NormalTok"/>
        </w:rPr>
        <w:t xml:space="preserve"> axonasp </w:t>
      </w:r>
      <w:r>
        <w:rPr>
          <w:rStyle w:val="AttributeTok"/>
        </w:rPr>
        <w:t xml:space="preserve">-f</w:t>
      </w:r>
      <w:r>
        <w:br/>
      </w:r>
      <w:r>
        <w:br/>
      </w:r>
      <w:r>
        <w:rPr>
          <w:rStyle w:val="CommentTok"/>
        </w:rPr>
        <w:t xml:space="preserve"># View last 100 log lines</w:t>
      </w:r>
      <w:r>
        <w:br/>
      </w:r>
      <w:r>
        <w:rPr>
          <w:rStyle w:val="FunctionTok"/>
        </w:rPr>
        <w:t xml:space="preserve">sudo</w:t>
      </w:r>
      <w:r>
        <w:rPr>
          <w:rStyle w:val="NormalTok"/>
        </w:rPr>
        <w:t xml:space="preserve"> journalctl </w:t>
      </w:r>
      <w:r>
        <w:rPr>
          <w:rStyle w:val="AttributeTok"/>
        </w:rPr>
        <w:t xml:space="preserve">-u</w:t>
      </w:r>
      <w:r>
        <w:rPr>
          <w:rStyle w:val="NormalTok"/>
        </w:rPr>
        <w:t xml:space="preserve"> axonasp </w:t>
      </w:r>
      <w:r>
        <w:rPr>
          <w:rStyle w:val="AttributeTok"/>
        </w:rPr>
        <w:t xml:space="preserve">-n</w:t>
      </w:r>
      <w:r>
        <w:rPr>
          <w:rStyle w:val="NormalTok"/>
        </w:rPr>
        <w:t xml:space="preserve"> 100 </w:t>
      </w:r>
      <w:r>
        <w:rPr>
          <w:rStyle w:val="AttributeTok"/>
        </w:rPr>
        <w:t xml:space="preserve">--no-pager</w:t>
      </w:r>
    </w:p>
    <w:bookmarkEnd w:id="113"/>
    <w:bookmarkStart w:id="114" w:name="configuring-the-web-root-and-port"/>
    <w:p>
      <w:pPr>
        <w:pStyle w:val="Heading2"/>
      </w:pPr>
      <w:r>
        <w:t xml:space="preserve">Configuring the Web Root and Port</w:t>
      </w:r>
    </w:p>
    <w:p>
      <w:pPr>
        <w:pStyle w:val="FirstParagraph"/>
      </w:pPr>
      <w:r>
        <w:t xml:space="preserve">Edit</w:t>
      </w:r>
      <w:r>
        <w:t xml:space="preserve"> </w:t>
      </w:r>
      <w:r>
        <w:rPr>
          <w:rStyle w:val="VerbatimChar"/>
        </w:rPr>
        <w:t xml:space="preserve">/opt/axonasp/config/axonasp.toml</w:t>
      </w:r>
      <w:r>
        <w:t xml:space="preserve"> </w:t>
      </w:r>
      <w:r>
        <w:t xml:space="preserve">to set the web root and port:</w:t>
      </w:r>
    </w:p>
    <w:p>
      <w:pPr>
        <w:pStyle w:val="SourceCode"/>
      </w:pPr>
      <w:r>
        <w:rPr>
          <w:rStyle w:val="KeywordTok"/>
        </w:rPr>
        <w:t xml:space="preserve">[server]</w:t>
      </w:r>
      <w:r>
        <w:br/>
      </w:r>
      <w:r>
        <w:rPr>
          <w:rStyle w:val="DataTypeTok"/>
        </w:rPr>
        <w:t xml:space="preserve">port</w:t>
      </w:r>
      <w:r>
        <w:rPr>
          <w:rStyle w:val="NormalTok"/>
        </w:rPr>
        <w:t xml:space="preserve"> </w:t>
      </w:r>
      <w:r>
        <w:rPr>
          <w:rStyle w:val="OperatorTok"/>
        </w:rPr>
        <w:t xml:space="preserve">=</w:t>
      </w:r>
      <w:r>
        <w:rPr>
          <w:rStyle w:val="NormalTok"/>
        </w:rPr>
        <w:t xml:space="preserve"> </w:t>
      </w:r>
      <w:r>
        <w:rPr>
          <w:rStyle w:val="DecValTok"/>
        </w:rPr>
        <w:t xml:space="preserve">8801</w:t>
      </w:r>
      <w:r>
        <w:br/>
      </w:r>
      <w:r>
        <w:rPr>
          <w:rStyle w:val="DataTypeTok"/>
        </w:rPr>
        <w:t xml:space="preserve">web_root</w:t>
      </w:r>
      <w:r>
        <w:rPr>
          <w:rStyle w:val="NormalTok"/>
        </w:rPr>
        <w:t xml:space="preserve"> </w:t>
      </w:r>
      <w:r>
        <w:rPr>
          <w:rStyle w:val="OperatorTok"/>
        </w:rPr>
        <w:t xml:space="preserve">=</w:t>
      </w:r>
      <w:r>
        <w:rPr>
          <w:rStyle w:val="NormalTok"/>
        </w:rPr>
        <w:t xml:space="preserve"> </w:t>
      </w:r>
      <w:r>
        <w:rPr>
          <w:rStyle w:val="StringTok"/>
        </w:rPr>
        <w:t xml:space="preserve">"/opt/axonasp/www"</w:t>
      </w:r>
    </w:p>
    <w:p>
      <w:pPr>
        <w:pStyle w:val="FirstParagraph"/>
      </w:pPr>
      <w:r>
        <w:t xml:space="preserve">These values can also be passed via environment variables in the unit file:</w:t>
      </w:r>
    </w:p>
    <w:p>
      <w:pPr>
        <w:pStyle w:val="SourceCode"/>
      </w:pPr>
      <w:r>
        <w:rPr>
          <w:rStyle w:val="KeywordTok"/>
        </w:rPr>
        <w:t xml:space="preserve">[Service]</w:t>
      </w:r>
      <w:r>
        <w:br/>
      </w:r>
      <w:r>
        <w:rPr>
          <w:rStyle w:val="DataTypeTok"/>
        </w:rPr>
        <w:t xml:space="preserve">Environment</w:t>
      </w:r>
      <w:r>
        <w:rPr>
          <w:rStyle w:val="OtherTok"/>
        </w:rPr>
        <w:t xml:space="preserve">=</w:t>
      </w:r>
      <w:r>
        <w:rPr>
          <w:rStyle w:val="StringTok"/>
        </w:rPr>
        <w:t xml:space="preserve">"WEB_ROOT=/opt/axonasp/www"</w:t>
      </w:r>
      <w:r>
        <w:br/>
      </w:r>
      <w:r>
        <w:rPr>
          <w:rStyle w:val="DataTypeTok"/>
        </w:rPr>
        <w:t xml:space="preserve">Environment</w:t>
      </w:r>
      <w:r>
        <w:rPr>
          <w:rStyle w:val="OtherTok"/>
        </w:rPr>
        <w:t xml:space="preserve">=</w:t>
      </w:r>
      <w:r>
        <w:rPr>
          <w:rStyle w:val="StringTok"/>
        </w:rPr>
        <w:t xml:space="preserve">"SERVER_PORT=8801"</w:t>
      </w:r>
    </w:p>
    <w:bookmarkEnd w:id="114"/>
    <w:bookmarkStart w:id="115" w:name="nginx-reverse-proxy-integration"/>
    <w:p>
      <w:pPr>
        <w:pStyle w:val="Heading2"/>
      </w:pPr>
      <w:r>
        <w:t xml:space="preserve">Nginx Reverse Proxy Integration</w:t>
      </w:r>
    </w:p>
    <w:p>
      <w:pPr>
        <w:pStyle w:val="FirstParagraph"/>
      </w:pPr>
      <w:r>
        <w:t xml:space="preserve">Run AxonASP behind Nginx for TLS and public-facing traffic:</w:t>
      </w:r>
    </w:p>
    <w:p>
      <w:pPr>
        <w:pStyle w:val="SourceCode"/>
      </w:pPr>
      <w:r>
        <w:rPr>
          <w:rStyle w:val="VerbatimChar"/>
        </w:rPr>
        <w:t xml:space="preserve">server {</w:t>
      </w:r>
      <w:r>
        <w:br/>
      </w:r>
      <w:r>
        <w:rPr>
          <w:rStyle w:val="VerbatimChar"/>
        </w:rPr>
        <w:t xml:space="preserve">    listen 443 ssl http2;</w:t>
      </w:r>
      <w:r>
        <w:br/>
      </w:r>
      <w:r>
        <w:rPr>
          <w:rStyle w:val="VerbatimChar"/>
        </w:rPr>
        <w:t xml:space="preserve">    server_name myapp.example.com;</w:t>
      </w:r>
      <w:r>
        <w:br/>
      </w:r>
      <w:r>
        <w:br/>
      </w:r>
      <w:r>
        <w:rPr>
          <w:rStyle w:val="VerbatimChar"/>
        </w:rPr>
        <w:t xml:space="preserve">    ssl_certificate     /etc/ssl/certs/myapp.crt;</w:t>
      </w:r>
      <w:r>
        <w:br/>
      </w:r>
      <w:r>
        <w:rPr>
          <w:rStyle w:val="VerbatimChar"/>
        </w:rPr>
        <w:t xml:space="preserve">    ssl_certificate_key /etc/ssl/private/myapp.key;</w:t>
      </w:r>
      <w:r>
        <w:br/>
      </w:r>
      <w:r>
        <w:br/>
      </w:r>
      <w:r>
        <w:rPr>
          <w:rStyle w:val="VerbatimChar"/>
        </w:rPr>
        <w:t xml:space="preserve">    location / {</w:t>
      </w:r>
      <w:r>
        <w:br/>
      </w:r>
      <w:r>
        <w:rPr>
          <w:rStyle w:val="VerbatimChar"/>
        </w:rPr>
        <w:t xml:space="preserve">        proxy_pass         http://127.0.0.1:8801;</w:t>
      </w:r>
      <w:r>
        <w:br/>
      </w:r>
      <w:r>
        <w:rPr>
          <w:rStyle w:val="VerbatimChar"/>
        </w:rPr>
        <w:t xml:space="preserve">        proxy_set_header   Host $host;</w:t>
      </w:r>
      <w:r>
        <w:br/>
      </w:r>
      <w:r>
        <w:rPr>
          <w:rStyle w:val="VerbatimChar"/>
        </w:rPr>
        <w:t xml:space="preserve">        proxy_set_header   X-Real-IP $remote_addr;</w:t>
      </w:r>
      <w:r>
        <w:br/>
      </w:r>
      <w:r>
        <w:rPr>
          <w:rStyle w:val="VerbatimChar"/>
        </w:rPr>
        <w:t xml:space="preserve">        proxy_set_header   X-Forwarded-For $proxy_add_x_forwarded_for;</w:t>
      </w:r>
      <w:r>
        <w:br/>
      </w:r>
      <w:r>
        <w:rPr>
          <w:rStyle w:val="VerbatimChar"/>
        </w:rPr>
        <w:t xml:space="preserve">        proxy_set_header   X-Forwarded-Proto $scheme;</w:t>
      </w:r>
      <w:r>
        <w:br/>
      </w:r>
      <w:r>
        <w:rPr>
          <w:rStyle w:val="VerbatimChar"/>
        </w:rPr>
        <w:t xml:space="preserve">    }</w:t>
      </w:r>
      <w:r>
        <w:br/>
      </w:r>
      <w:r>
        <w:rPr>
          <w:rStyle w:val="VerbatimChar"/>
        </w:rPr>
        <w:t xml:space="preserve">}</w:t>
      </w:r>
    </w:p>
    <w:bookmarkEnd w:id="115"/>
    <w:bookmarkStart w:id="116" w:name="remarks-3"/>
    <w:p>
      <w:pPr>
        <w:pStyle w:val="Heading2"/>
      </w:pPr>
      <w:r>
        <w:t xml:space="preserve">Remarks</w:t>
      </w:r>
    </w:p>
    <w:p>
      <w:pPr>
        <w:pStyle w:val="Compact"/>
        <w:numPr>
          <w:ilvl w:val="0"/>
          <w:numId w:val="1041"/>
        </w:numPr>
      </w:pPr>
      <w:r>
        <w:t xml:space="preserve">Use</w:t>
      </w:r>
      <w:r>
        <w:t xml:space="preserve"> </w:t>
      </w:r>
      <w:r>
        <w:rPr>
          <w:rStyle w:val="VerbatimChar"/>
        </w:rPr>
        <w:t xml:space="preserve">sudo journalctl -u axonasp</w:t>
      </w:r>
      <w:r>
        <w:t xml:space="preserve"> </w:t>
      </w:r>
      <w:r>
        <w:t xml:space="preserve">for real-time log monitoring instead of separate log files.</w:t>
      </w:r>
    </w:p>
    <w:p>
      <w:pPr>
        <w:pStyle w:val="Compact"/>
        <w:numPr>
          <w:ilvl w:val="0"/>
          <w:numId w:val="1041"/>
        </w:numPr>
      </w:pPr>
      <w:r>
        <w:t xml:space="preserve">The</w:t>
      </w:r>
      <w:r>
        <w:t xml:space="preserve"> </w:t>
      </w:r>
      <w:r>
        <w:rPr>
          <w:rStyle w:val="VerbatimChar"/>
        </w:rPr>
        <w:t xml:space="preserve">PrivateTmp=true</w:t>
      </w:r>
      <w:r>
        <w:t xml:space="preserve"> </w:t>
      </w:r>
      <w:r>
        <w:t xml:space="preserve">directive gives the service its own isolated</w:t>
      </w:r>
      <w:r>
        <w:t xml:space="preserve"> </w:t>
      </w:r>
      <w:r>
        <w:rPr>
          <w:rStyle w:val="VerbatimChar"/>
        </w:rPr>
        <w:t xml:space="preserve">/tmp</w:t>
      </w:r>
      <w:r>
        <w:t xml:space="preserve"> </w:t>
      </w:r>
      <w:r>
        <w:t xml:space="preserve">directory, preventing conflicts with other processes.</w:t>
      </w:r>
    </w:p>
    <w:p>
      <w:pPr>
        <w:pStyle w:val="Compact"/>
        <w:numPr>
          <w:ilvl w:val="0"/>
          <w:numId w:val="1041"/>
        </w:numPr>
      </w:pPr>
      <w:r>
        <w:t xml:space="preserve">If AxonASP by default writes session files or cache to</w:t>
      </w:r>
      <w:r>
        <w:t xml:space="preserve"> </w:t>
      </w:r>
      <w:r>
        <w:rPr>
          <w:rStyle w:val="VerbatimChar"/>
        </w:rPr>
        <w:t xml:space="preserve">./temp/</w:t>
      </w:r>
      <w:r>
        <w:t xml:space="preserve">, ensure that directory is owned by the</w:t>
      </w:r>
      <w:r>
        <w:t xml:space="preserve"> </w:t>
      </w:r>
      <w:r>
        <w:rPr>
          <w:rStyle w:val="VerbatimChar"/>
        </w:rPr>
        <w:t xml:space="preserve">axonasp</w:t>
      </w:r>
      <w:r>
        <w:t xml:space="preserve"> </w:t>
      </w:r>
      <w:r>
        <w:t xml:space="preserve">user and is writable. You can also configure a different temp directory in</w:t>
      </w:r>
      <w:r>
        <w:t xml:space="preserve"> </w:t>
      </w:r>
      <w:r>
        <w:rPr>
          <w:rStyle w:val="VerbatimChar"/>
        </w:rPr>
        <w:t xml:space="preserve">axonasp.toml</w:t>
      </w:r>
      <w:r>
        <w:t xml:space="preserve"> </w:t>
      </w:r>
      <w:r>
        <w:t xml:space="preserve">or by setting the</w:t>
      </w:r>
      <w:r>
        <w:t xml:space="preserve"> </w:t>
      </w:r>
      <w:r>
        <w:rPr>
          <w:rStyle w:val="VerbatimChar"/>
        </w:rPr>
        <w:t xml:space="preserve">GLOBAL_TEMP_DIR</w:t>
      </w:r>
      <w:r>
        <w:t xml:space="preserve"> </w:t>
      </w:r>
      <w:r>
        <w:t xml:space="preserve">environment variable in the unit file.</w:t>
      </w:r>
    </w:p>
    <w:p>
      <w:pPr>
        <w:pStyle w:val="Compact"/>
        <w:numPr>
          <w:ilvl w:val="0"/>
          <w:numId w:val="1041"/>
        </w:numPr>
      </w:pPr>
      <w:r>
        <w:t xml:space="preserve">To update the binary, stop the service, replace the file, and restart:</w:t>
      </w:r>
      <w:r>
        <w:t xml:space="preserve"> </w:t>
      </w:r>
      <w:r>
        <w:rPr>
          <w:rStyle w:val="VerbatimChar"/>
        </w:rPr>
        <w:t xml:space="preserve">sudo systemctl restart axonasp</w:t>
      </w:r>
      <w:r>
        <w:t xml:space="preserve">.</w:t>
      </w:r>
    </w:p>
    <w:p>
      <w:pPr>
        <w:pStyle w:val="Compact"/>
        <w:numPr>
          <w:ilvl w:val="0"/>
          <w:numId w:val="1041"/>
        </w:numPr>
      </w:pPr>
      <w:r>
        <w:t xml:space="preserve">For high availability, multiple AxonASP instances can be run on different ports and load-balanced by the FastCGI FPM.</w:t>
      </w:r>
    </w:p>
    <w:bookmarkEnd w:id="116"/>
    <w:bookmarkEnd w:id="117"/>
    <w:bookmarkStart w:id="134" w:name="axonasp-service-wrapper"/>
    <w:p>
      <w:pPr>
        <w:pStyle w:val="Heading1"/>
      </w:pPr>
      <w:r>
        <w:t xml:space="preserve">AxonASP Service Wrapper</w:t>
      </w:r>
    </w:p>
    <w:bookmarkStart w:id="118" w:name="overview-6"/>
    <w:p>
      <w:pPr>
        <w:pStyle w:val="Heading2"/>
      </w:pPr>
      <w:r>
        <w:t xml:space="preserve">Overview</w:t>
      </w:r>
    </w:p>
    <w:p>
      <w:pPr>
        <w:pStyle w:val="FirstParagraph"/>
      </w:pPr>
      <w:r>
        <w:t xml:space="preserve">The AxonASP service wrapper starts and supervises either axonasp-http or axonasp-fastcgi as an operating system service.</w:t>
      </w:r>
    </w:p>
    <w:p>
      <w:pPr>
        <w:pStyle w:val="BodyText"/>
      </w:pPr>
      <w:r>
        <w:t xml:space="preserve">This wrapper is intended to simplify service deployment, especially on Windows and small installations.</w:t>
      </w:r>
    </w:p>
    <w:p>
      <w:pPr>
        <w:pStyle w:val="BodyText"/>
      </w:pPr>
      <w:r>
        <w:t xml:space="preserve">For advanced production environments, use the platform-native service strategy documented in the runtime manual pages, especially on Unix systems.</w:t>
      </w:r>
    </w:p>
    <w:bookmarkEnd w:id="118"/>
    <w:bookmarkStart w:id="119" w:name="binary-name"/>
    <w:p>
      <w:pPr>
        <w:pStyle w:val="Heading2"/>
      </w:pPr>
      <w:r>
        <w:t xml:space="preserve">Binary Name</w:t>
      </w:r>
    </w:p>
    <w:p>
      <w:pPr>
        <w:pStyle w:val="FirstParagraph"/>
      </w:pPr>
      <w:r>
        <w:t xml:space="preserve">The build process generates:</w:t>
      </w:r>
    </w:p>
    <w:p>
      <w:pPr>
        <w:pStyle w:val="Compact"/>
        <w:numPr>
          <w:ilvl w:val="0"/>
          <w:numId w:val="1042"/>
        </w:numPr>
      </w:pPr>
      <w:r>
        <w:t xml:space="preserve">Windows: axonasp-service.exe</w:t>
      </w:r>
    </w:p>
    <w:p>
      <w:pPr>
        <w:pStyle w:val="Compact"/>
        <w:numPr>
          <w:ilvl w:val="0"/>
          <w:numId w:val="1042"/>
        </w:numPr>
      </w:pPr>
      <w:r>
        <w:t xml:space="preserve">Linux and macOS: axonasp-service</w:t>
      </w:r>
    </w:p>
    <w:bookmarkEnd w:id="119"/>
    <w:bookmarkStart w:id="120" w:name="how-it-works"/>
    <w:p>
      <w:pPr>
        <w:pStyle w:val="Heading2"/>
      </w:pPr>
      <w:r>
        <w:t xml:space="preserve">How It Works</w:t>
      </w:r>
    </w:p>
    <w:p>
      <w:pPr>
        <w:pStyle w:val="Compact"/>
        <w:numPr>
          <w:ilvl w:val="0"/>
          <w:numId w:val="1043"/>
        </w:numPr>
      </w:pPr>
      <w:r>
        <w:t xml:space="preserve">Reads service settings from the [service] section in config/axonasp.toml using the shared axonconfig loader.</w:t>
      </w:r>
    </w:p>
    <w:p>
      <w:pPr>
        <w:pStyle w:val="Compact"/>
        <w:numPr>
          <w:ilvl w:val="0"/>
          <w:numId w:val="1043"/>
        </w:numPr>
      </w:pPr>
      <w:r>
        <w:t xml:space="preserve">Resolves relative executable paths from the wrapper executable directory, not from the current working directory.</w:t>
      </w:r>
    </w:p>
    <w:p>
      <w:pPr>
        <w:pStyle w:val="Compact"/>
        <w:numPr>
          <w:ilvl w:val="0"/>
          <w:numId w:val="1043"/>
        </w:numPr>
      </w:pPr>
      <w:r>
        <w:t xml:space="preserve">This behavior is important on Windows, where services often start under system directories.</w:t>
      </w:r>
    </w:p>
    <w:p>
      <w:pPr>
        <w:pStyle w:val="Compact"/>
        <w:numPr>
          <w:ilvl w:val="0"/>
          <w:numId w:val="1043"/>
        </w:numPr>
      </w:pPr>
      <w:r>
        <w:t xml:space="preserve">Starts the configured child executable and monitors process lifetime.</w:t>
      </w:r>
    </w:p>
    <w:bookmarkEnd w:id="120"/>
    <w:bookmarkStart w:id="121" w:name="install-and-manage-the-service"/>
    <w:p>
      <w:pPr>
        <w:pStyle w:val="Heading2"/>
      </w:pPr>
      <w:r>
        <w:t xml:space="preserve">Install and Manage the Service</w:t>
      </w:r>
    </w:p>
    <w:bookmarkEnd w:id="121"/>
    <w:bookmarkStart w:id="122" w:name="windows"/>
    <w:p>
      <w:pPr>
        <w:pStyle w:val="Heading2"/>
      </w:pPr>
      <w:r>
        <w:t xml:space="preserve">Windows</w:t>
      </w:r>
    </w:p>
    <w:p>
      <w:pPr>
        <w:pStyle w:val="FirstParagraph"/>
      </w:pPr>
      <w:r>
        <w:t xml:space="preserve">Run commands from the deployment folder where axonasp-service.exe, config, and target binaries exist.</w:t>
      </w:r>
    </w:p>
    <w:p>
      <w:pPr>
        <w:pStyle w:val="SourceCode"/>
      </w:pPr>
      <w:r>
        <w:rPr>
          <w:rStyle w:val="OperatorTok"/>
        </w:rPr>
        <w:t xml:space="preserve">.</w:t>
      </w:r>
      <w:r>
        <w:rPr>
          <w:rStyle w:val="NormalTok"/>
        </w:rPr>
        <w:t xml:space="preserve">\axonasp-service</w:t>
      </w:r>
      <w:r>
        <w:rPr>
          <w:rStyle w:val="OperatorTok"/>
        </w:rPr>
        <w:t xml:space="preserve">.</w:t>
      </w:r>
      <w:r>
        <w:rPr>
          <w:rStyle w:val="FunctionTok"/>
        </w:rPr>
        <w:t xml:space="preserve">exe</w:t>
      </w:r>
      <w:r>
        <w:rPr>
          <w:rStyle w:val="NormalTok"/>
        </w:rPr>
        <w:t xml:space="preserve"> install</w:t>
      </w:r>
      <w:r>
        <w:br/>
      </w:r>
      <w:r>
        <w:rPr>
          <w:rStyle w:val="OperatorTok"/>
        </w:rPr>
        <w:t xml:space="preserve">.</w:t>
      </w:r>
      <w:r>
        <w:rPr>
          <w:rStyle w:val="NormalTok"/>
        </w:rPr>
        <w:t xml:space="preserve">\axonasp-service</w:t>
      </w:r>
      <w:r>
        <w:rPr>
          <w:rStyle w:val="OperatorTok"/>
        </w:rPr>
        <w:t xml:space="preserve">.</w:t>
      </w:r>
      <w:r>
        <w:rPr>
          <w:rStyle w:val="FunctionTok"/>
        </w:rPr>
        <w:t xml:space="preserve">exe</w:t>
      </w:r>
      <w:r>
        <w:rPr>
          <w:rStyle w:val="NormalTok"/>
        </w:rPr>
        <w:t xml:space="preserve"> </w:t>
      </w:r>
      <w:r>
        <w:rPr>
          <w:rStyle w:val="FunctionTok"/>
        </w:rPr>
        <w:t xml:space="preserve">start</w:t>
      </w:r>
      <w:r>
        <w:br/>
      </w:r>
      <w:r>
        <w:rPr>
          <w:rStyle w:val="OperatorTok"/>
        </w:rPr>
        <w:t xml:space="preserve">.</w:t>
      </w:r>
      <w:r>
        <w:rPr>
          <w:rStyle w:val="NormalTok"/>
        </w:rPr>
        <w:t xml:space="preserve">\axonasp-service</w:t>
      </w:r>
      <w:r>
        <w:rPr>
          <w:rStyle w:val="OperatorTok"/>
        </w:rPr>
        <w:t xml:space="preserve">.</w:t>
      </w:r>
      <w:r>
        <w:rPr>
          <w:rStyle w:val="FunctionTok"/>
        </w:rPr>
        <w:t xml:space="preserve">exe</w:t>
      </w:r>
      <w:r>
        <w:rPr>
          <w:rStyle w:val="NormalTok"/>
        </w:rPr>
        <w:t xml:space="preserve"> stop</w:t>
      </w:r>
      <w:r>
        <w:br/>
      </w:r>
      <w:r>
        <w:rPr>
          <w:rStyle w:val="OperatorTok"/>
        </w:rPr>
        <w:t xml:space="preserve">.</w:t>
      </w:r>
      <w:r>
        <w:rPr>
          <w:rStyle w:val="NormalTok"/>
        </w:rPr>
        <w:t xml:space="preserve">\axonasp-service</w:t>
      </w:r>
      <w:r>
        <w:rPr>
          <w:rStyle w:val="OperatorTok"/>
        </w:rPr>
        <w:t xml:space="preserve">.</w:t>
      </w:r>
      <w:r>
        <w:rPr>
          <w:rStyle w:val="FunctionTok"/>
        </w:rPr>
        <w:t xml:space="preserve">exe</w:t>
      </w:r>
      <w:r>
        <w:rPr>
          <w:rStyle w:val="NormalTok"/>
        </w:rPr>
        <w:t xml:space="preserve"> uninstall</w:t>
      </w:r>
    </w:p>
    <w:bookmarkEnd w:id="122"/>
    <w:bookmarkStart w:id="123" w:name="linux-or-macos"/>
    <w:p>
      <w:pPr>
        <w:pStyle w:val="Heading2"/>
      </w:pPr>
      <w:r>
        <w:t xml:space="preserve">Linux or macOS</w:t>
      </w:r>
    </w:p>
    <w:p>
      <w:pPr>
        <w:pStyle w:val="FirstParagraph"/>
      </w:pPr>
      <w:r>
        <w:t xml:space="preserve">Use equivalent commands:</w:t>
      </w:r>
    </w:p>
    <w:p>
      <w:pPr>
        <w:pStyle w:val="SourceCode"/>
      </w:pPr>
      <w:r>
        <w:rPr>
          <w:rStyle w:val="ExtensionTok"/>
        </w:rPr>
        <w:t xml:space="preserve">./axonasp-service</w:t>
      </w:r>
      <w:r>
        <w:rPr>
          <w:rStyle w:val="NormalTok"/>
        </w:rPr>
        <w:t xml:space="preserve"> install</w:t>
      </w:r>
      <w:r>
        <w:br/>
      </w:r>
      <w:r>
        <w:rPr>
          <w:rStyle w:val="ExtensionTok"/>
        </w:rPr>
        <w:t xml:space="preserve">./axonasp-service</w:t>
      </w:r>
      <w:r>
        <w:rPr>
          <w:rStyle w:val="NormalTok"/>
        </w:rPr>
        <w:t xml:space="preserve"> start</w:t>
      </w:r>
      <w:r>
        <w:br/>
      </w:r>
      <w:r>
        <w:rPr>
          <w:rStyle w:val="ExtensionTok"/>
        </w:rPr>
        <w:t xml:space="preserve">./axonasp-service</w:t>
      </w:r>
      <w:r>
        <w:rPr>
          <w:rStyle w:val="NormalTok"/>
        </w:rPr>
        <w:t xml:space="preserve"> stop</w:t>
      </w:r>
      <w:r>
        <w:br/>
      </w:r>
      <w:r>
        <w:rPr>
          <w:rStyle w:val="ExtensionTok"/>
        </w:rPr>
        <w:t xml:space="preserve">./axonasp-service</w:t>
      </w:r>
      <w:r>
        <w:rPr>
          <w:rStyle w:val="NormalTok"/>
        </w:rPr>
        <w:t xml:space="preserve"> uninstall</w:t>
      </w:r>
    </w:p>
    <w:p>
      <w:pPr>
        <w:pStyle w:val="FirstParagraph"/>
      </w:pPr>
      <w:r>
        <w:t xml:space="preserve">Notes:</w:t>
      </w:r>
    </w:p>
    <w:p>
      <w:pPr>
        <w:pStyle w:val="Compact"/>
        <w:numPr>
          <w:ilvl w:val="0"/>
          <w:numId w:val="1044"/>
        </w:numPr>
      </w:pPr>
      <w:r>
        <w:t xml:space="preserve">Service registration behavior depends on the host service manager.</w:t>
      </w:r>
    </w:p>
    <w:p>
      <w:pPr>
        <w:pStyle w:val="Compact"/>
        <w:numPr>
          <w:ilvl w:val="0"/>
          <w:numId w:val="1044"/>
        </w:numPr>
      </w:pPr>
      <w:r>
        <w:t xml:space="preserve">For complex Unix deployments, prefer dedicated systemd or launchd units and reverse-proxy orchestration described in other runtime pages.</w:t>
      </w:r>
    </w:p>
    <w:bookmarkEnd w:id="123"/>
    <w:bookmarkStart w:id="126" w:name="X3015e13eb57f890e1b78004c660607412816e55"/>
    <w:p>
      <w:pPr>
        <w:pStyle w:val="Heading2"/>
      </w:pPr>
      <w:r>
        <w:t xml:space="preserve">Automated Installation and Uninstallation Scripts</w:t>
      </w:r>
    </w:p>
    <w:p>
      <w:pPr>
        <w:pStyle w:val="FirstParagraph"/>
      </w:pPr>
      <w:r>
        <w:t xml:space="preserve">Helper scripts are provided to simplify service installation and uninstallation with automatic status verification:</w:t>
      </w:r>
    </w:p>
    <w:bookmarkStart w:id="124" w:name="windows-1"/>
    <w:p>
      <w:pPr>
        <w:pStyle w:val="Heading3"/>
      </w:pPr>
      <w:r>
        <w:t xml:space="preserve">Windows</w:t>
      </w:r>
    </w:p>
    <w:p>
      <w:pPr>
        <w:pStyle w:val="FirstParagraph"/>
      </w:pPr>
      <w:r>
        <w:t xml:space="preserve">Use the PowerShell scripts from the project root:</w:t>
      </w:r>
    </w:p>
    <w:p>
      <w:pPr>
        <w:pStyle w:val="BodyText"/>
      </w:pPr>
      <w:r>
        <w:rPr>
          <w:b/>
          <w:bCs/>
        </w:rPr>
        <w:t xml:space="preserve">Installation:</w:t>
      </w:r>
    </w:p>
    <w:p>
      <w:pPr>
        <w:pStyle w:val="SourceCode"/>
      </w:pPr>
      <w:r>
        <w:rPr>
          <w:rStyle w:val="OperatorTok"/>
        </w:rPr>
        <w:t xml:space="preserve">.</w:t>
      </w:r>
      <w:r>
        <w:rPr>
          <w:rStyle w:val="NormalTok"/>
        </w:rPr>
        <w:t xml:space="preserve">\install-service</w:t>
      </w:r>
      <w:r>
        <w:rPr>
          <w:rStyle w:val="OperatorTok"/>
        </w:rPr>
        <w:t xml:space="preserve">.</w:t>
      </w:r>
      <w:r>
        <w:rPr>
          <w:rStyle w:val="FunctionTok"/>
        </w:rPr>
        <w:t xml:space="preserve">ps1</w:t>
      </w:r>
    </w:p>
    <w:p>
      <w:pPr>
        <w:pStyle w:val="FirstParagraph"/>
      </w:pPr>
      <w:r>
        <w:t xml:space="preserve">This script:</w:t>
      </w:r>
      <w:r>
        <w:t xml:space="preserve"> </w:t>
      </w:r>
      <w:r>
        <w:t xml:space="preserve">- Checks for Administrator privileges.</w:t>
      </w:r>
      <w:r>
        <w:t xml:space="preserve"> </w:t>
      </w:r>
      <w:r>
        <w:t xml:space="preserve">- Installs the service using axonasp-service.exe.</w:t>
      </w:r>
      <w:r>
        <w:t xml:space="preserve"> </w:t>
      </w:r>
      <w:r>
        <w:t xml:space="preserve">- Starts the service automatically.</w:t>
      </w:r>
      <w:r>
        <w:t xml:space="preserve"> </w:t>
      </w:r>
      <w:r>
        <w:t xml:space="preserve">- Verifies service status and reports success or failure.</w:t>
      </w:r>
    </w:p>
    <w:p>
      <w:pPr>
        <w:pStyle w:val="BodyText"/>
      </w:pPr>
      <w:r>
        <w:rPr>
          <w:b/>
          <w:bCs/>
        </w:rPr>
        <w:t xml:space="preserve">Uninstallation:</w:t>
      </w:r>
    </w:p>
    <w:p>
      <w:pPr>
        <w:pStyle w:val="SourceCode"/>
      </w:pPr>
      <w:r>
        <w:rPr>
          <w:rStyle w:val="OperatorTok"/>
        </w:rPr>
        <w:t xml:space="preserve">.</w:t>
      </w:r>
      <w:r>
        <w:rPr>
          <w:rStyle w:val="NormalTok"/>
        </w:rPr>
        <w:t xml:space="preserve">\uninstall-service</w:t>
      </w:r>
      <w:r>
        <w:rPr>
          <w:rStyle w:val="OperatorTok"/>
        </w:rPr>
        <w:t xml:space="preserve">.</w:t>
      </w:r>
      <w:r>
        <w:rPr>
          <w:rStyle w:val="FunctionTok"/>
        </w:rPr>
        <w:t xml:space="preserve">ps1</w:t>
      </w:r>
    </w:p>
    <w:p>
      <w:pPr>
        <w:pStyle w:val="FirstParagraph"/>
      </w:pPr>
      <w:r>
        <w:t xml:space="preserve">This script:</w:t>
      </w:r>
      <w:r>
        <w:t xml:space="preserve"> </w:t>
      </w:r>
      <w:r>
        <w:t xml:space="preserve">- Checks for Administrator privileges.</w:t>
      </w:r>
      <w:r>
        <w:t xml:space="preserve"> </w:t>
      </w:r>
      <w:r>
        <w:t xml:space="preserve">- Stops the running service (if active).</w:t>
      </w:r>
      <w:r>
        <w:t xml:space="preserve"> </w:t>
      </w:r>
      <w:r>
        <w:t xml:space="preserve">- Uninstalls the service.</w:t>
      </w:r>
      <w:r>
        <w:t xml:space="preserve"> </w:t>
      </w:r>
      <w:r>
        <w:t xml:space="preserve">- Verifies service removal from the system.</w:t>
      </w:r>
    </w:p>
    <w:bookmarkEnd w:id="124"/>
    <w:bookmarkStart w:id="125" w:name="linux-and-unix-systems"/>
    <w:p>
      <w:pPr>
        <w:pStyle w:val="Heading3"/>
      </w:pPr>
      <w:r>
        <w:t xml:space="preserve">Linux and Unix Systems</w:t>
      </w:r>
    </w:p>
    <w:p>
      <w:pPr>
        <w:pStyle w:val="FirstParagraph"/>
      </w:pPr>
      <w:r>
        <w:t xml:space="preserve">Use the Bash scripts from the project root. These scripts require root privileges and assume systemd is available:</w:t>
      </w:r>
    </w:p>
    <w:p>
      <w:pPr>
        <w:pStyle w:val="BodyText"/>
      </w:pPr>
      <w:r>
        <w:rPr>
          <w:b/>
          <w:bCs/>
        </w:rPr>
        <w:t xml:space="preserve">Installation:</w:t>
      </w:r>
    </w:p>
    <w:p>
      <w:pPr>
        <w:pStyle w:val="SourceCode"/>
      </w:pPr>
      <w:r>
        <w:rPr>
          <w:rStyle w:val="FunctionTok"/>
        </w:rPr>
        <w:t xml:space="preserve">sudo</w:t>
      </w:r>
      <w:r>
        <w:rPr>
          <w:rStyle w:val="NormalTok"/>
        </w:rPr>
        <w:t xml:space="preserve"> ./install-service.sh</w:t>
      </w:r>
    </w:p>
    <w:p>
      <w:pPr>
        <w:pStyle w:val="FirstParagraph"/>
      </w:pPr>
      <w:r>
        <w:t xml:space="preserve">This script:</w:t>
      </w:r>
      <w:r>
        <w:t xml:space="preserve"> </w:t>
      </w:r>
      <w:r>
        <w:t xml:space="preserve">- Verifies root privileges.</w:t>
      </w:r>
      <w:r>
        <w:t xml:space="preserve"> </w:t>
      </w:r>
      <w:r>
        <w:t xml:space="preserve">- Confirms systemd availability.</w:t>
      </w:r>
      <w:r>
        <w:t xml:space="preserve"> </w:t>
      </w:r>
      <w:r>
        <w:t xml:space="preserve">- Installs the service using axonasp-service.</w:t>
      </w:r>
      <w:r>
        <w:t xml:space="preserve"> </w:t>
      </w:r>
      <w:r>
        <w:t xml:space="preserve">- Starts the service automatically.</w:t>
      </w:r>
      <w:r>
        <w:t xml:space="preserve"> </w:t>
      </w:r>
      <w:r>
        <w:t xml:space="preserve">- Verifies service status using systemctl.</w:t>
      </w:r>
    </w:p>
    <w:p>
      <w:pPr>
        <w:pStyle w:val="BodyText"/>
      </w:pPr>
      <w:r>
        <w:rPr>
          <w:b/>
          <w:bCs/>
        </w:rPr>
        <w:t xml:space="preserve">Uninstallation:</w:t>
      </w:r>
    </w:p>
    <w:p>
      <w:pPr>
        <w:pStyle w:val="SourceCode"/>
      </w:pPr>
      <w:r>
        <w:rPr>
          <w:rStyle w:val="FunctionTok"/>
        </w:rPr>
        <w:t xml:space="preserve">sudo</w:t>
      </w:r>
      <w:r>
        <w:rPr>
          <w:rStyle w:val="NormalTok"/>
        </w:rPr>
        <w:t xml:space="preserve"> ./uninstall-service.sh</w:t>
      </w:r>
    </w:p>
    <w:p>
      <w:pPr>
        <w:pStyle w:val="FirstParagraph"/>
      </w:pPr>
      <w:r>
        <w:t xml:space="preserve">This script:</w:t>
      </w:r>
      <w:r>
        <w:t xml:space="preserve"> </w:t>
      </w:r>
      <w:r>
        <w:t xml:space="preserve">- Verifies root privileges.</w:t>
      </w:r>
      <w:r>
        <w:t xml:space="preserve"> </w:t>
      </w:r>
      <w:r>
        <w:t xml:space="preserve">- Confirms systemd availability.</w:t>
      </w:r>
      <w:r>
        <w:t xml:space="preserve"> </w:t>
      </w:r>
      <w:r>
        <w:t xml:space="preserve">- Stops the running service (if active).</w:t>
      </w:r>
      <w:r>
        <w:t xml:space="preserve"> </w:t>
      </w:r>
      <w:r>
        <w:t xml:space="preserve">- Uninstalls the service.</w:t>
      </w:r>
      <w:r>
        <w:t xml:space="preserve"> </w:t>
      </w:r>
      <w:r>
        <w:t xml:space="preserve">- Verifies service removal from the system.</w:t>
      </w:r>
    </w:p>
    <w:bookmarkEnd w:id="125"/>
    <w:bookmarkEnd w:id="126"/>
    <w:bookmarkStart w:id="132" w:name="X45a4c9893a982cec18fbd820c85b8fbc8d99842"/>
    <w:p>
      <w:pPr>
        <w:pStyle w:val="Heading2"/>
      </w:pPr>
      <w:r>
        <w:t xml:space="preserve">Service Configuration Flags in axonasp.toml</w:t>
      </w:r>
    </w:p>
    <w:p>
      <w:pPr>
        <w:pStyle w:val="FirstParagraph"/>
      </w:pPr>
      <w:r>
        <w:t xml:space="preserve">Configure the [service] section:</w:t>
      </w:r>
    </w:p>
    <w:p>
      <w:pPr>
        <w:pStyle w:val="SourceCode"/>
      </w:pPr>
      <w:r>
        <w:rPr>
          <w:rStyle w:val="KeywordTok"/>
        </w:rPr>
        <w:t xml:space="preserve">[service]</w:t>
      </w:r>
      <w:r>
        <w:br/>
      </w:r>
      <w:r>
        <w:rPr>
          <w:rStyle w:val="DataTypeTok"/>
        </w:rPr>
        <w:t xml:space="preserve">service_name</w:t>
      </w:r>
      <w:r>
        <w:rPr>
          <w:rStyle w:val="NormalTok"/>
        </w:rPr>
        <w:t xml:space="preserve"> </w:t>
      </w:r>
      <w:r>
        <w:rPr>
          <w:rStyle w:val="OperatorTok"/>
        </w:rPr>
        <w:t xml:space="preserve">=</w:t>
      </w:r>
      <w:r>
        <w:rPr>
          <w:rStyle w:val="NormalTok"/>
        </w:rPr>
        <w:t xml:space="preserve"> </w:t>
      </w:r>
      <w:r>
        <w:rPr>
          <w:rStyle w:val="StringTok"/>
        </w:rPr>
        <w:t xml:space="preserve">"AxonASPServer"</w:t>
      </w:r>
      <w:r>
        <w:br/>
      </w:r>
      <w:r>
        <w:rPr>
          <w:rStyle w:val="DataTypeTok"/>
        </w:rPr>
        <w:t xml:space="preserve">service_display_name</w:t>
      </w:r>
      <w:r>
        <w:rPr>
          <w:rStyle w:val="NormalTok"/>
        </w:rPr>
        <w:t xml:space="preserve"> </w:t>
      </w:r>
      <w:r>
        <w:rPr>
          <w:rStyle w:val="OperatorTok"/>
        </w:rPr>
        <w:t xml:space="preserve">=</w:t>
      </w:r>
      <w:r>
        <w:rPr>
          <w:rStyle w:val="NormalTok"/>
        </w:rPr>
        <w:t xml:space="preserve"> </w:t>
      </w:r>
      <w:r>
        <w:rPr>
          <w:rStyle w:val="StringTok"/>
        </w:rPr>
        <w:t xml:space="preserve">"G3pix AxonASP Server"</w:t>
      </w:r>
      <w:r>
        <w:br/>
      </w:r>
      <w:r>
        <w:rPr>
          <w:rStyle w:val="DataTypeTok"/>
        </w:rPr>
        <w:t xml:space="preserve">service_description</w:t>
      </w:r>
      <w:r>
        <w:rPr>
          <w:rStyle w:val="NormalTok"/>
        </w:rPr>
        <w:t xml:space="preserve"> </w:t>
      </w:r>
      <w:r>
        <w:rPr>
          <w:rStyle w:val="OperatorTok"/>
        </w:rPr>
        <w:t xml:space="preserve">=</w:t>
      </w:r>
      <w:r>
        <w:rPr>
          <w:rStyle w:val="NormalTok"/>
        </w:rPr>
        <w:t xml:space="preserve"> </w:t>
      </w:r>
      <w:r>
        <w:rPr>
          <w:rStyle w:val="StringTok"/>
        </w:rPr>
        <w:t xml:space="preserve">"AxonASP Service running AxonASP Server. This is a wrapper used by axonasp-http or axonasp-fastcgi."</w:t>
      </w:r>
      <w:r>
        <w:br/>
      </w:r>
      <w:r>
        <w:rPr>
          <w:rStyle w:val="DataTypeTok"/>
        </w:rPr>
        <w:t xml:space="preserve">service_executable_path</w:t>
      </w:r>
      <w:r>
        <w:rPr>
          <w:rStyle w:val="NormalTok"/>
        </w:rPr>
        <w:t xml:space="preserve"> </w:t>
      </w:r>
      <w:r>
        <w:rPr>
          <w:rStyle w:val="OperatorTok"/>
        </w:rPr>
        <w:t xml:space="preserve">=</w:t>
      </w:r>
      <w:r>
        <w:rPr>
          <w:rStyle w:val="NormalTok"/>
        </w:rPr>
        <w:t xml:space="preserve"> </w:t>
      </w:r>
      <w:r>
        <w:rPr>
          <w:rStyle w:val="StringTok"/>
        </w:rPr>
        <w:t xml:space="preserve">"./axonasp-http"</w:t>
      </w:r>
      <w:r>
        <w:br/>
      </w:r>
      <w:r>
        <w:rPr>
          <w:rStyle w:val="DataTypeTok"/>
        </w:rPr>
        <w:t xml:space="preserve">service_environment_variables</w:t>
      </w:r>
      <w:r>
        <w:rPr>
          <w:rStyle w:val="NormalTok"/>
        </w:rPr>
        <w:t xml:space="preserve"> </w:t>
      </w:r>
      <w:r>
        <w:rPr>
          <w:rStyle w:val="OperatorTok"/>
        </w:rPr>
        <w:t xml:space="preserve">=</w:t>
      </w:r>
      <w:r>
        <w:rPr>
          <w:rStyle w:val="NormalTok"/>
        </w:rPr>
        <w:t xml:space="preserve"> </w:t>
      </w:r>
      <w:r>
        <w:rPr>
          <w:rStyle w:val="OperatorTok"/>
        </w:rPr>
        <w:t xml:space="preserve">[]</w:t>
      </w:r>
    </w:p>
    <w:bookmarkStart w:id="127" w:name="service_name"/>
    <w:p>
      <w:pPr>
        <w:pStyle w:val="Heading3"/>
      </w:pPr>
      <w:r>
        <w:t xml:space="preserve">service_name</w:t>
      </w:r>
    </w:p>
    <w:p>
      <w:pPr>
        <w:pStyle w:val="FirstParagraph"/>
      </w:pPr>
      <w:r>
        <w:t xml:space="preserve">Internal service identifier used by the operating system service manager.</w:t>
      </w:r>
    </w:p>
    <w:bookmarkEnd w:id="127"/>
    <w:bookmarkStart w:id="128" w:name="service_display_name"/>
    <w:p>
      <w:pPr>
        <w:pStyle w:val="Heading3"/>
      </w:pPr>
      <w:r>
        <w:t xml:space="preserve">service_display_name</w:t>
      </w:r>
    </w:p>
    <w:p>
      <w:pPr>
        <w:pStyle w:val="FirstParagraph"/>
      </w:pPr>
      <w:r>
        <w:t xml:space="preserve">Human-readable name shown in service management tools.</w:t>
      </w:r>
    </w:p>
    <w:bookmarkEnd w:id="128"/>
    <w:bookmarkStart w:id="129" w:name="service_description"/>
    <w:p>
      <w:pPr>
        <w:pStyle w:val="Heading3"/>
      </w:pPr>
      <w:r>
        <w:t xml:space="preserve">service_description</w:t>
      </w:r>
    </w:p>
    <w:p>
      <w:pPr>
        <w:pStyle w:val="FirstParagraph"/>
      </w:pPr>
      <w:r>
        <w:t xml:space="preserve">Service description displayed by the service manager.</w:t>
      </w:r>
    </w:p>
    <w:bookmarkEnd w:id="129"/>
    <w:bookmarkStart w:id="130" w:name="service_executable_path"/>
    <w:p>
      <w:pPr>
        <w:pStyle w:val="Heading3"/>
      </w:pPr>
      <w:r>
        <w:t xml:space="preserve">service_executable_path</w:t>
      </w:r>
    </w:p>
    <w:p>
      <w:pPr>
        <w:pStyle w:val="FirstParagraph"/>
      </w:pPr>
      <w:r>
        <w:t xml:space="preserve">Path to child executable started by the wrapper.</w:t>
      </w:r>
    </w:p>
    <w:p>
      <w:pPr>
        <w:pStyle w:val="Compact"/>
        <w:numPr>
          <w:ilvl w:val="0"/>
          <w:numId w:val="1045"/>
        </w:numPr>
      </w:pPr>
      <w:r>
        <w:t xml:space="preserve">You can point to axonasp-http or axonasp-fastcgi.</w:t>
      </w:r>
    </w:p>
    <w:p>
      <w:pPr>
        <w:pStyle w:val="Compact"/>
        <w:numPr>
          <w:ilvl w:val="0"/>
          <w:numId w:val="1045"/>
        </w:numPr>
      </w:pPr>
      <w:r>
        <w:t xml:space="preserve">Relative paths are resolved from the wrapper executable directory.</w:t>
      </w:r>
    </w:p>
    <w:p>
      <w:pPr>
        <w:pStyle w:val="Compact"/>
        <w:numPr>
          <w:ilvl w:val="0"/>
          <w:numId w:val="1045"/>
        </w:numPr>
      </w:pPr>
      <w:r>
        <w:t xml:space="preserve">On Windows, .exe is automatically appended when no extension is provided.</w:t>
      </w:r>
    </w:p>
    <w:bookmarkEnd w:id="130"/>
    <w:bookmarkStart w:id="131" w:name="service_environment_variables"/>
    <w:p>
      <w:pPr>
        <w:pStyle w:val="Heading3"/>
      </w:pPr>
      <w:r>
        <w:t xml:space="preserve">service_environment_variables</w:t>
      </w:r>
    </w:p>
    <w:p>
      <w:pPr>
        <w:pStyle w:val="FirstParagraph"/>
      </w:pPr>
      <w:r>
        <w:t xml:space="preserve">List of environment variable entries in KEY=VALUE format applied to the child process.</w:t>
      </w:r>
    </w:p>
    <w:p>
      <w:pPr>
        <w:pStyle w:val="BodyText"/>
      </w:pPr>
      <w:r>
        <w:t xml:space="preserve">Example:</w:t>
      </w:r>
    </w:p>
    <w:p>
      <w:pPr>
        <w:pStyle w:val="SourceCode"/>
      </w:pPr>
      <w:r>
        <w:rPr>
          <w:rStyle w:val="DataTypeTok"/>
        </w:rPr>
        <w:t xml:space="preserve">service_environment_variables</w:t>
      </w:r>
      <w:r>
        <w:rPr>
          <w:rStyle w:val="NormalTok"/>
        </w:rPr>
        <w:t xml:space="preserve"> </w:t>
      </w:r>
      <w:r>
        <w:rPr>
          <w:rStyle w:val="OperatorTok"/>
        </w:rPr>
        <w:t xml:space="preserve">=</w:t>
      </w:r>
      <w:r>
        <w:rPr>
          <w:rStyle w:val="NormalTok"/>
        </w:rPr>
        <w:t xml:space="preserve"> </w:t>
      </w:r>
      <w:r>
        <w:rPr>
          <w:rStyle w:val="OperatorTok"/>
        </w:rPr>
        <w:t xml:space="preserve">[</w:t>
      </w:r>
      <w:r>
        <w:rPr>
          <w:rStyle w:val="StringTok"/>
        </w:rPr>
        <w:t xml:space="preserve">"SERVER_SERVER_PORT=9901"</w:t>
      </w:r>
      <w:r>
        <w:rPr>
          <w:rStyle w:val="OperatorTok"/>
        </w:rPr>
        <w:t xml:space="preserve">]</w:t>
      </w:r>
    </w:p>
    <w:bookmarkEnd w:id="131"/>
    <w:bookmarkEnd w:id="132"/>
    <w:bookmarkStart w:id="133" w:name="deployment-recommendations"/>
    <w:p>
      <w:pPr>
        <w:pStyle w:val="Heading2"/>
      </w:pPr>
      <w:r>
        <w:t xml:space="preserve">Deployment Recommendations</w:t>
      </w:r>
    </w:p>
    <w:p>
      <w:pPr>
        <w:pStyle w:val="Compact"/>
        <w:numPr>
          <w:ilvl w:val="0"/>
          <w:numId w:val="1046"/>
        </w:numPr>
      </w:pPr>
      <w:r>
        <w:t xml:space="preserve">Keep axonasp-service binary, config folder, and selected child executable in the same deployment root.</w:t>
      </w:r>
    </w:p>
    <w:p>
      <w:pPr>
        <w:pStyle w:val="Compact"/>
        <w:numPr>
          <w:ilvl w:val="0"/>
          <w:numId w:val="1046"/>
        </w:numPr>
      </w:pPr>
      <w:r>
        <w:t xml:space="preserve">Validate service_executable_path after each deployment.</w:t>
      </w:r>
    </w:p>
    <w:p>
      <w:pPr>
        <w:pStyle w:val="Compact"/>
        <w:numPr>
          <w:ilvl w:val="0"/>
          <w:numId w:val="1046"/>
        </w:numPr>
      </w:pPr>
      <w:r>
        <w:t xml:space="preserve">Keep this wrapper for straightforward local and Windows service setups.</w:t>
      </w:r>
    </w:p>
    <w:p>
      <w:pPr>
        <w:pStyle w:val="Compact"/>
        <w:numPr>
          <w:ilvl w:val="0"/>
          <w:numId w:val="1046"/>
        </w:numPr>
      </w:pPr>
      <w:r>
        <w:t xml:space="preserve">For advanced Unix operations, use native service manager definitions and process policies from the runtime Linux service guidance.</w:t>
      </w:r>
    </w:p>
    <w:bookmarkEnd w:id="133"/>
    <w:bookmarkEnd w:id="134"/>
    <w:bookmarkStart w:id="139" w:name="iis-support"/>
    <w:p>
      <w:pPr>
        <w:pStyle w:val="Heading1"/>
      </w:pPr>
      <w:r>
        <w:t xml:space="preserve">IIS Support</w:t>
      </w:r>
    </w:p>
    <w:bookmarkStart w:id="135" w:name="overview-7"/>
    <w:p>
      <w:pPr>
        <w:pStyle w:val="Heading2"/>
      </w:pPr>
      <w:r>
        <w:t xml:space="preserve">Overview</w:t>
      </w:r>
    </w:p>
    <w:p>
      <w:pPr>
        <w:pStyle w:val="FirstParagraph"/>
      </w:pPr>
      <w:r>
        <w:t xml:space="preserve">Due to how IIS handles FastCGI (named pipes) on Windows, which is incompatible with the GoLang implementation,</w:t>
      </w:r>
      <w:r>
        <w:t xml:space="preserve"> </w:t>
      </w:r>
      <w:r>
        <w:rPr>
          <w:i/>
          <w:iCs/>
        </w:rPr>
        <w:t xml:space="preserve">it is not possible</w:t>
      </w:r>
      <w:r>
        <w:t xml:space="preserve"> </w:t>
      </w:r>
      <w:r>
        <w:t xml:space="preserve">to directly integrate the</w:t>
      </w:r>
      <w:r>
        <w:t xml:space="preserve"> </w:t>
      </w:r>
      <w:r>
        <w:rPr>
          <w:rStyle w:val="VerbatimChar"/>
        </w:rPr>
        <w:t xml:space="preserve">axonasp-fastcgi.exe</w:t>
      </w:r>
      <w:r>
        <w:t xml:space="preserve"> </w:t>
      </w:r>
      <w:r>
        <w:t xml:space="preserve">binary into IIS.</w:t>
      </w:r>
    </w:p>
    <w:p>
      <w:pPr>
        <w:pStyle w:val="BodyText"/>
      </w:pPr>
      <w:r>
        <w:t xml:space="preserve">Therefore, as recommended by Microsoft for running other engines like Python, AxonASP must be integrated via</w:t>
      </w:r>
      <w:r>
        <w:t xml:space="preserve"> </w:t>
      </w:r>
      <w:r>
        <w:rPr>
          <w:rStyle w:val="VerbatimChar"/>
        </w:rPr>
        <w:t xml:space="preserve">httpPlatformHandler</w:t>
      </w:r>
      <w:r>
        <w:t xml:space="preserve">. Another option is using the IIS reverse proxy. In this case, you must start AxonASP separately and ensure continuous execution (you can use a service implementation). The target address must be set to</w:t>
      </w:r>
      <w:r>
        <w:t xml:space="preserve"> </w:t>
      </w:r>
      <w:r>
        <w:rPr>
          <w:rStyle w:val="VerbatimChar"/>
        </w:rPr>
        <w:t xml:space="preserve">http://localhost:8801</w:t>
      </w:r>
      <w:r>
        <w:t xml:space="preserve"> </w:t>
      </w:r>
      <w:r>
        <w:t xml:space="preserve">(modify the port if necessary). The</w:t>
      </w:r>
      <w:r>
        <w:t xml:space="preserve"> </w:t>
      </w:r>
      <w:r>
        <w:rPr>
          <w:rStyle w:val="VerbatimChar"/>
        </w:rPr>
        <w:t xml:space="preserve">httpPlatformHandler</w:t>
      </w:r>
      <w:r>
        <w:t xml:space="preserve"> </w:t>
      </w:r>
      <w:r>
        <w:t xml:space="preserve">implementation is recommended, as it automatically manages the server lifecycle. For further instructions on configuring a reverse proxy, check the documentation for reverse proxy setup or visit https://learn.microsoft.com/en-us/iis/extensions/url-rewrite-module/reverse-proxy-with-url-rewrite-v2-and-application-request-routing.</w:t>
      </w:r>
    </w:p>
    <w:p>
      <w:pPr>
        <w:pStyle w:val="BodyText"/>
      </w:pPr>
      <w:r>
        <w:t xml:space="preserve">We provide the</w:t>
      </w:r>
      <w:r>
        <w:t xml:space="preserve"> </w:t>
      </w:r>
      <w:r>
        <w:rPr>
          <w:rStyle w:val="VerbatimChar"/>
        </w:rPr>
        <w:t xml:space="preserve">iis-http.cmd</w:t>
      </w:r>
      <w:r>
        <w:t xml:space="preserve"> </w:t>
      </w:r>
      <w:r>
        <w:t xml:space="preserve">file in both the Windows installation and the project root directory. You must define it in the</w:t>
      </w:r>
      <w:r>
        <w:t xml:space="preserve"> </w:t>
      </w:r>
      <w:r>
        <w:rPr>
          <w:rStyle w:val="VerbatimChar"/>
        </w:rPr>
        <w:t xml:space="preserve">processPath="C:\axonasp\iis-http.cmd"</w:t>
      </w:r>
      <w:r>
        <w:t xml:space="preserve"> </w:t>
      </w:r>
      <w:r>
        <w:t xml:space="preserve">attribute.</w:t>
      </w:r>
      <w:r>
        <w:t xml:space="preserve"> </w:t>
      </w:r>
      <w:r>
        <w:rPr>
          <w:b/>
          <w:bCs/>
        </w:rPr>
        <w:t xml:space="preserve">Warning:</w:t>
      </w:r>
      <w:r>
        <w:t xml:space="preserve"> </w:t>
      </w:r>
      <w:r>
        <w:t xml:space="preserve">If AxonASP is not installed in the default directory (</w:t>
      </w:r>
      <w:r>
        <w:rPr>
          <w:rStyle w:val="VerbatimChar"/>
        </w:rPr>
        <w:t xml:space="preserve">C:\axonasp\</w:t>
      </w:r>
      <w:r>
        <w:t xml:space="preserve">), you must modify the file to point to the correct directory. Otherwise, the system will fail to locate the configuration file, and script execution will fail silently.</w:t>
      </w:r>
    </w:p>
    <w:p>
      <w:pPr>
        <w:pStyle w:val="BodyText"/>
      </w:pPr>
      <w:r>
        <w:t xml:space="preserve">Because IIS does not allocate a real console during server execution, console messages via</w:t>
      </w:r>
      <w:r>
        <w:t xml:space="preserve"> </w:t>
      </w:r>
      <w:r>
        <w:rPr>
          <w:rStyle w:val="VerbatimChar"/>
        </w:rPr>
        <w:t xml:space="preserve">stdoutLogEnabled="true"</w:t>
      </w:r>
      <w:r>
        <w:t xml:space="preserve"> </w:t>
      </w:r>
      <w:r>
        <w:t xml:space="preserve">will always yield a blank</w:t>
      </w:r>
      <w:r>
        <w:t xml:space="preserve"> </w:t>
      </w:r>
      <w:r>
        <w:rPr>
          <w:rStyle w:val="VerbatimChar"/>
        </w:rPr>
        <w:t xml:space="preserve">stdoutLogFile</w:t>
      </w:r>
      <w:r>
        <w:t xml:space="preserve">. This is a strict limitation caused by the integrated C-supported SQLite library, which crashes the server if started without an attached console. AxonASP error and console messages will continue to be written to the location defined in the</w:t>
      </w:r>
      <w:r>
        <w:t xml:space="preserve"> </w:t>
      </w:r>
      <w:r>
        <w:rPr>
          <w:rStyle w:val="VerbatimChar"/>
        </w:rPr>
        <w:t xml:space="preserve">axonasp.toml</w:t>
      </w:r>
      <w:r>
        <w:t xml:space="preserve"> </w:t>
      </w:r>
      <w:r>
        <w:t xml:space="preserve">configuration file.</w:t>
      </w:r>
    </w:p>
    <w:bookmarkEnd w:id="135"/>
    <w:bookmarkStart w:id="136" w:name="installation"/>
    <w:p>
      <w:pPr>
        <w:pStyle w:val="Heading2"/>
      </w:pPr>
      <w:r>
        <w:t xml:space="preserve">Installation</w:t>
      </w:r>
    </w:p>
    <w:p>
      <w:pPr>
        <w:pStyle w:val="FirstParagraph"/>
      </w:pPr>
      <w:r>
        <w:t xml:space="preserve">Before running AxonASP on IIS, you must install the IIS HttpPlatformHandler v1.2 module or higher, available at: https://www.iis.net/downloads/microsoft/httpplatformhandler</w:t>
      </w:r>
    </w:p>
    <w:bookmarkEnd w:id="136"/>
    <w:bookmarkStart w:id="137" w:name="configuration"/>
    <w:p>
      <w:pPr>
        <w:pStyle w:val="Heading2"/>
      </w:pPr>
      <w:r>
        <w:t xml:space="preserve">Configuration</w:t>
      </w:r>
    </w:p>
    <w:p>
      <w:pPr>
        <w:pStyle w:val="FirstParagraph"/>
      </w:pPr>
      <w:r>
        <w:t xml:space="preserve">Following the installation of the HttpPlatformHandler module, you must configure your IIS</w:t>
      </w:r>
      <w:r>
        <w:t xml:space="preserve"> </w:t>
      </w:r>
      <w:r>
        <w:rPr>
          <w:rStyle w:val="VerbatimChar"/>
        </w:rPr>
        <w:t xml:space="preserve">web.config</w:t>
      </w:r>
      <w:r>
        <w:t xml:space="preserve"> </w:t>
      </w:r>
      <w:r>
        <w:t xml:space="preserve">as follows:</w:t>
      </w:r>
    </w:p>
    <w:p>
      <w:pPr>
        <w:pStyle w:val="SourceCode"/>
      </w:pPr>
      <w:r>
        <w:rPr>
          <w:rStyle w:val="FunctionTok"/>
        </w:rPr>
        <w:t xml:space="preserve">&lt;?xml</w:t>
      </w:r>
      <w:r>
        <w:rPr>
          <w:rStyle w:val="NormalTok"/>
        </w:rPr>
        <w:t xml:space="preserve"> </w:t>
      </w:r>
      <w:r>
        <w:rPr>
          <w:rStyle w:val="OtherTok"/>
        </w:rPr>
        <w:t xml:space="preserve">version=</w:t>
      </w:r>
      <w:r>
        <w:rPr>
          <w:rStyle w:val="StringTok"/>
        </w:rPr>
        <w:t xml:space="preserve">"1.0"</w:t>
      </w:r>
      <w:r>
        <w:rPr>
          <w:rStyle w:val="NormalTok"/>
        </w:rPr>
        <w:t xml:space="preserve"> </w:t>
      </w:r>
      <w:r>
        <w:rPr>
          <w:rStyle w:val="OtherTok"/>
        </w:rPr>
        <w:t xml:space="preserve">encoding=</w:t>
      </w:r>
      <w:r>
        <w:rPr>
          <w:rStyle w:val="StringTok"/>
        </w:rPr>
        <w:t xml:space="preserve">"UTF-8"</w:t>
      </w:r>
      <w:r>
        <w:rPr>
          <w:rStyle w:val="FunctionTok"/>
        </w:rPr>
        <w:t xml:space="preserve">?&gt;</w:t>
      </w:r>
      <w:r>
        <w:br/>
      </w:r>
      <w:r>
        <w:rPr>
          <w:rStyle w:val="NormalTok"/>
        </w:rPr>
        <w:t xml:space="preserve">&lt;</w:t>
      </w:r>
      <w:r>
        <w:rPr>
          <w:rStyle w:val="KeywordTok"/>
        </w:rPr>
        <w:t xml:space="preserve">configuration</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        &lt;</w:t>
      </w:r>
      <w:r>
        <w:rPr>
          <w:rStyle w:val="KeywordTok"/>
        </w:rPr>
        <w:t xml:space="preserve">handlers</w:t>
      </w:r>
      <w:r>
        <w:rPr>
          <w:rStyle w:val="NormalTok"/>
        </w:rPr>
        <w:t xml:space="preserve">&gt;</w:t>
      </w:r>
      <w:r>
        <w:br/>
      </w:r>
      <w:r>
        <w:rPr>
          <w:rStyle w:val="NormalTok"/>
        </w:rPr>
        <w:t xml:space="preserve">            &lt;</w:t>
      </w:r>
      <w:r>
        <w:rPr>
          <w:rStyle w:val="KeywordTok"/>
        </w:rPr>
        <w:t xml:space="preserve">add</w:t>
      </w:r>
      <w:r>
        <w:rPr>
          <w:rStyle w:val="NormalTok"/>
        </w:rPr>
        <w:t xml:space="preserve"> </w:t>
      </w:r>
      <w:r>
        <w:rPr>
          <w:rStyle w:val="OtherTok"/>
        </w:rPr>
        <w:t xml:space="preserve">name=</w:t>
      </w:r>
      <w:r>
        <w:rPr>
          <w:rStyle w:val="StringTok"/>
        </w:rPr>
        <w:t xml:space="preserve">"httpPlatformHandler"</w:t>
      </w:r>
      <w:r>
        <w:rPr>
          <w:rStyle w:val="NormalTok"/>
        </w:rPr>
        <w:t xml:space="preserve"> </w:t>
      </w:r>
      <w:r>
        <w:rPr>
          <w:rStyle w:val="OtherTok"/>
        </w:rPr>
        <w:t xml:space="preserve">path=</w:t>
      </w:r>
      <w:r>
        <w:rPr>
          <w:rStyle w:val="StringTok"/>
        </w:rPr>
        <w:t xml:space="preserve">"*"</w:t>
      </w:r>
      <w:r>
        <w:rPr>
          <w:rStyle w:val="NormalTok"/>
        </w:rPr>
        <w:t xml:space="preserve"> </w:t>
      </w:r>
      <w:r>
        <w:rPr>
          <w:rStyle w:val="OtherTok"/>
        </w:rPr>
        <w:t xml:space="preserve">verb=</w:t>
      </w:r>
      <w:r>
        <w:rPr>
          <w:rStyle w:val="StringTok"/>
        </w:rPr>
        <w:t xml:space="preserve">"*"</w:t>
      </w:r>
      <w:r>
        <w:rPr>
          <w:rStyle w:val="NormalTok"/>
        </w:rPr>
        <w:t xml:space="preserve"> </w:t>
      </w:r>
      <w:r>
        <w:rPr>
          <w:rStyle w:val="OtherTok"/>
        </w:rPr>
        <w:t xml:space="preserve">modules=</w:t>
      </w:r>
      <w:r>
        <w:rPr>
          <w:rStyle w:val="StringTok"/>
        </w:rPr>
        <w:t xml:space="preserve">"httpPlatformHandler"</w:t>
      </w:r>
      <w:r>
        <w:rPr>
          <w:rStyle w:val="NormalTok"/>
        </w:rPr>
        <w:t xml:space="preserve"> </w:t>
      </w:r>
      <w:r>
        <w:rPr>
          <w:rStyle w:val="OtherTok"/>
        </w:rPr>
        <w:t xml:space="preserve">resourceType=</w:t>
      </w:r>
      <w:r>
        <w:rPr>
          <w:rStyle w:val="StringTok"/>
        </w:rPr>
        <w:t xml:space="preserve">"Unspecified"</w:t>
      </w:r>
      <w:r>
        <w:rPr>
          <w:rStyle w:val="NormalTok"/>
        </w:rPr>
        <w:t xml:space="preserve"> /&gt;</w:t>
      </w:r>
      <w:r>
        <w:br/>
      </w:r>
      <w:r>
        <w:rPr>
          <w:rStyle w:val="NormalTok"/>
        </w:rPr>
        <w:t xml:space="preserve">        &lt;/</w:t>
      </w:r>
      <w:r>
        <w:rPr>
          <w:rStyle w:val="KeywordTok"/>
        </w:rPr>
        <w:t xml:space="preserve">handlers</w:t>
      </w:r>
      <w:r>
        <w:rPr>
          <w:rStyle w:val="NormalTok"/>
        </w:rPr>
        <w:t xml:space="preserve">&gt;</w:t>
      </w:r>
      <w:r>
        <w:br/>
      </w:r>
      <w:r>
        <w:rPr>
          <w:rStyle w:val="NormalTok"/>
        </w:rPr>
        <w:t xml:space="preserve">        &lt;</w:t>
      </w:r>
      <w:r>
        <w:rPr>
          <w:rStyle w:val="KeywordTok"/>
        </w:rPr>
        <w:t xml:space="preserve">httpPlatform</w:t>
      </w:r>
      <w:r>
        <w:rPr>
          <w:rStyle w:val="NormalTok"/>
        </w:rPr>
        <w:t xml:space="preserve"> </w:t>
      </w:r>
      <w:r>
        <w:rPr>
          <w:rStyle w:val="OtherTok"/>
        </w:rPr>
        <w:t xml:space="preserve">processPath=</w:t>
      </w:r>
      <w:r>
        <w:rPr>
          <w:rStyle w:val="StringTok"/>
        </w:rPr>
        <w:t xml:space="preserve">"C:\axonasp\iis-http.cmd"</w:t>
      </w:r>
      <w:r>
        <w:br/>
      </w:r>
      <w:r>
        <w:rPr>
          <w:rStyle w:val="NormalTok"/>
        </w:rPr>
        <w:t xml:space="preserve">                      </w:t>
      </w:r>
      <w:r>
        <w:rPr>
          <w:rStyle w:val="OtherTok"/>
        </w:rPr>
        <w:t xml:space="preserve">arguments=</w:t>
      </w:r>
      <w:r>
        <w:rPr>
          <w:rStyle w:val="StringTok"/>
        </w:rPr>
        <w:t xml:space="preserve">"--server.server_port %HTTP_PLATFORM_PORT%"</w:t>
      </w:r>
      <w:r>
        <w:br/>
      </w:r>
      <w:r>
        <w:rPr>
          <w:rStyle w:val="NormalTok"/>
        </w:rPr>
        <w:t xml:space="preserve">                      </w:t>
      </w:r>
      <w:r>
        <w:rPr>
          <w:rStyle w:val="OtherTok"/>
        </w:rPr>
        <w:t xml:space="preserve">stdoutLogEnabled=</w:t>
      </w:r>
      <w:r>
        <w:rPr>
          <w:rStyle w:val="StringTok"/>
        </w:rPr>
        <w:t xml:space="preserve">"true"</w:t>
      </w:r>
      <w:r>
        <w:br/>
      </w:r>
      <w:r>
        <w:rPr>
          <w:rStyle w:val="NormalTok"/>
        </w:rPr>
        <w:t xml:space="preserve">                      </w:t>
      </w:r>
      <w:r>
        <w:rPr>
          <w:rStyle w:val="OtherTok"/>
        </w:rPr>
        <w:t xml:space="preserve">stdoutLogFile=</w:t>
      </w:r>
      <w:r>
        <w:rPr>
          <w:rStyle w:val="StringTok"/>
        </w:rPr>
        <w:t xml:space="preserve">"C:\axonasp\temp\axonasp.log"</w:t>
      </w:r>
      <w:r>
        <w:br/>
      </w:r>
      <w:r>
        <w:rPr>
          <w:rStyle w:val="NormalTok"/>
        </w:rPr>
        <w:t xml:space="preserve">                      </w:t>
      </w:r>
      <w:r>
        <w:rPr>
          <w:rStyle w:val="OtherTok"/>
        </w:rPr>
        <w:t xml:space="preserve">startupTimeLimit=</w:t>
      </w:r>
      <w:r>
        <w:rPr>
          <w:rStyle w:val="StringTok"/>
        </w:rPr>
        <w:t xml:space="preserve">"5"</w:t>
      </w:r>
      <w:r>
        <w:br/>
      </w:r>
      <w:r>
        <w:rPr>
          <w:rStyle w:val="NormalTok"/>
        </w:rPr>
        <w:t xml:space="preserve">                      </w:t>
      </w:r>
      <w:r>
        <w:rPr>
          <w:rStyle w:val="OtherTok"/>
        </w:rPr>
        <w:t xml:space="preserve">processesPerApplication=</w:t>
      </w:r>
      <w:r>
        <w:rPr>
          <w:rStyle w:val="StringTok"/>
        </w:rPr>
        <w:t xml:space="preserve">"1"</w:t>
      </w:r>
      <w:r>
        <w:rPr>
          <w:rStyle w:val="NormalTok"/>
        </w:rPr>
        <w:t xml:space="preserve">&gt;</w:t>
      </w:r>
      <w:r>
        <w:br/>
      </w:r>
      <w:r>
        <w:rPr>
          <w:rStyle w:val="NormalTok"/>
        </w:rPr>
        <w:t xml:space="preserve">            &lt;</w:t>
      </w:r>
      <w:r>
        <w:rPr>
          <w:rStyle w:val="KeywordTok"/>
        </w:rPr>
        <w:t xml:space="preserve">environmentVariables</w:t>
      </w:r>
      <w:r>
        <w:rPr>
          <w:rStyle w:val="NormalTok"/>
        </w:rPr>
        <w:t xml:space="preserve">&gt;</w:t>
      </w:r>
      <w:r>
        <w:br/>
      </w:r>
      <w:r>
        <w:rPr>
          <w:rStyle w:val="NormalTok"/>
        </w:rPr>
        <w:t xml:space="preserve">                &lt;</w:t>
      </w:r>
      <w:r>
        <w:rPr>
          <w:rStyle w:val="KeywordTok"/>
        </w:rPr>
        <w:t xml:space="preserve">environmentVariable</w:t>
      </w:r>
      <w:r>
        <w:rPr>
          <w:rStyle w:val="NormalTok"/>
        </w:rPr>
        <w:t xml:space="preserve"> </w:t>
      </w:r>
      <w:r>
        <w:rPr>
          <w:rStyle w:val="OtherTok"/>
        </w:rPr>
        <w:t xml:space="preserve">name=</w:t>
      </w:r>
      <w:r>
        <w:rPr>
          <w:rStyle w:val="StringTok"/>
        </w:rPr>
        <w:t xml:space="preserve">"SERVER_PORT"</w:t>
      </w:r>
      <w:r>
        <w:rPr>
          <w:rStyle w:val="NormalTok"/>
        </w:rPr>
        <w:t xml:space="preserve"> </w:t>
      </w:r>
      <w:r>
        <w:rPr>
          <w:rStyle w:val="OtherTok"/>
        </w:rPr>
        <w:t xml:space="preserve">value=</w:t>
      </w:r>
      <w:r>
        <w:rPr>
          <w:rStyle w:val="StringTok"/>
        </w:rPr>
        <w:t xml:space="preserve">"%HTTP_PLATFORM_PORT%"</w:t>
      </w:r>
      <w:r>
        <w:rPr>
          <w:rStyle w:val="NormalTok"/>
        </w:rPr>
        <w:t xml:space="preserve"> /&gt;</w:t>
      </w:r>
      <w:r>
        <w:br/>
      </w:r>
      <w:r>
        <w:rPr>
          <w:rStyle w:val="NormalTok"/>
        </w:rPr>
        <w:t xml:space="preserve">            &lt;/</w:t>
      </w:r>
      <w:r>
        <w:rPr>
          <w:rStyle w:val="KeywordTok"/>
        </w:rPr>
        <w:t xml:space="preserve">environmentVariables</w:t>
      </w:r>
      <w:r>
        <w:rPr>
          <w:rStyle w:val="NormalTok"/>
        </w:rPr>
        <w:t xml:space="preserve">&gt;</w:t>
      </w:r>
      <w:r>
        <w:br/>
      </w:r>
      <w:r>
        <w:rPr>
          <w:rStyle w:val="NormalTok"/>
        </w:rPr>
        <w:t xml:space="preserve">        &lt;/</w:t>
      </w:r>
      <w:r>
        <w:rPr>
          <w:rStyle w:val="KeywordTok"/>
        </w:rPr>
        <w:t xml:space="preserve">httpPlatform</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&lt;/</w:t>
      </w:r>
      <w:r>
        <w:rPr>
          <w:rStyle w:val="KeywordTok"/>
        </w:rPr>
        <w:t xml:space="preserve">configuration</w:t>
      </w:r>
      <w:r>
        <w:rPr>
          <w:rStyle w:val="NormalTok"/>
        </w:rPr>
        <w:t xml:space="preserve">&gt;</w:t>
      </w:r>
    </w:p>
    <w:p>
      <w:pPr>
        <w:pStyle w:val="FirstParagraph"/>
      </w:pPr>
      <w:r>
        <w:rPr>
          <w:b/>
          <w:bCs/>
        </w:rPr>
        <w:t xml:space="preserve">Warning:</w:t>
      </w:r>
      <w:r>
        <w:t xml:space="preserve"> </w:t>
      </w:r>
      <w:r>
        <w:t xml:space="preserve">Ensure the IIS user, typically defined as</w:t>
      </w:r>
      <w:r>
        <w:t xml:space="preserve"> </w:t>
      </w:r>
      <w:r>
        <w:rPr>
          <w:rStyle w:val="VerbatimChar"/>
        </w:rPr>
        <w:t xml:space="preserve">IIS_IUSRS</w:t>
      </w:r>
      <w:r>
        <w:t xml:space="preserve">, has read/write permissions to the AxonASP folders and files. This is required for writing to the</w:t>
      </w:r>
      <w:r>
        <w:t xml:space="preserve"> </w:t>
      </w:r>
      <w:r>
        <w:rPr>
          <w:rStyle w:val="VerbatimChar"/>
        </w:rPr>
        <w:t xml:space="preserve">temp</w:t>
      </w:r>
      <w:r>
        <w:t xml:space="preserve"> </w:t>
      </w:r>
      <w:r>
        <w:t xml:space="preserve">directory and for executing both</w:t>
      </w:r>
      <w:r>
        <w:t xml:space="preserve"> </w:t>
      </w:r>
      <w:r>
        <w:rPr>
          <w:rStyle w:val="VerbatimChar"/>
        </w:rPr>
        <w:t xml:space="preserve">iis-http.cmd</w:t>
      </w:r>
      <w:r>
        <w:t xml:space="preserve"> </w:t>
      </w:r>
      <w:r>
        <w:t xml:space="preserve">and</w:t>
      </w:r>
      <w:r>
        <w:t xml:space="preserve"> </w:t>
      </w:r>
      <w:r>
        <w:rPr>
          <w:rStyle w:val="VerbatimChar"/>
        </w:rPr>
        <w:t xml:space="preserve">axonasp-http.exe</w:t>
      </w:r>
      <w:r>
        <w:t xml:space="preserve">. Without proper permissions, the process will fail silently and return a 500 Internal Server Error.</w:t>
      </w:r>
    </w:p>
    <w:p>
      <w:pPr>
        <w:pStyle w:val="BodyText"/>
      </w:pPr>
      <w:r>
        <w:t xml:space="preserve">You can append the</w:t>
      </w:r>
      <w:r>
        <w:t xml:space="preserve"> </w:t>
      </w:r>
      <w:r>
        <w:rPr>
          <w:rStyle w:val="VerbatimChar"/>
        </w:rPr>
        <w:t xml:space="preserve">--config.config_file</w:t>
      </w:r>
      <w:r>
        <w:t xml:space="preserve"> </w:t>
      </w:r>
      <w:r>
        <w:t xml:space="preserve">flag to the</w:t>
      </w:r>
      <w:r>
        <w:t xml:space="preserve"> </w:t>
      </w:r>
      <w:r>
        <w:rPr>
          <w:rStyle w:val="VerbatimChar"/>
        </w:rPr>
        <w:t xml:space="preserve">arguments</w:t>
      </w:r>
      <w:r>
        <w:t xml:space="preserve"> </w:t>
      </w:r>
      <w:r>
        <w:t xml:space="preserve">attribute in the</w:t>
      </w:r>
      <w:r>
        <w:t xml:space="preserve"> </w:t>
      </w:r>
      <w:r>
        <w:rPr>
          <w:rStyle w:val="VerbatimChar"/>
        </w:rPr>
        <w:t xml:space="preserve">web.config</w:t>
      </w:r>
      <w:r>
        <w:t xml:space="preserve"> </w:t>
      </w:r>
      <w:r>
        <w:t xml:space="preserve">to point to a specific, separate configuration file for each IIS site (e.g. </w:t>
      </w:r>
      <w:r>
        <w:rPr>
          <w:rStyle w:val="VerbatimChar"/>
        </w:rPr>
        <w:t xml:space="preserve">arguments="--server.server_port %HTTP_PLATFORM_PORT% --config.config_file C:\websites\site_a\axonasp.toml"</w:t>
      </w:r>
      <w:r>
        <w:t xml:space="preserve">). This enables you to serve multiple distinct websites and applications from the same single, shared AxonASP installation directory, entirely eliminating the need to duplicate and copy-paste the server executables into each website’s physical directory path.</w:t>
      </w:r>
    </w:p>
    <w:p>
      <w:pPr>
        <w:pStyle w:val="BodyText"/>
      </w:pPr>
      <w:r>
        <w:t xml:space="preserve">The executable that IIS will proxy traffic to is</w:t>
      </w:r>
      <w:r>
        <w:t xml:space="preserve"> </w:t>
      </w:r>
      <w:r>
        <w:rPr>
          <w:rStyle w:val="VerbatimChar"/>
        </w:rPr>
        <w:t xml:space="preserve">axonasp-http.exe</w:t>
      </w:r>
      <w:r>
        <w:t xml:space="preserve">. Consequently, your ASP files,</w:t>
      </w:r>
      <w:r>
        <w:t xml:space="preserve"> </w:t>
      </w:r>
      <w:r>
        <w:rPr>
          <w:rStyle w:val="VerbatimChar"/>
        </w:rPr>
        <w:t xml:space="preserve">global.asa</w:t>
      </w:r>
      <w:r>
        <w:t xml:space="preserve">, AxonASP</w:t>
      </w:r>
      <w:r>
        <w:t xml:space="preserve"> </w:t>
      </w:r>
      <w:r>
        <w:rPr>
          <w:rStyle w:val="VerbatimChar"/>
        </w:rPr>
        <w:t xml:space="preserve">web.config</w:t>
      </w:r>
      <w:r>
        <w:t xml:space="preserve">, and overall infrastructure must reside within the directory defined in the configuration file. IIS acts solely as a reverse proxy starting the executable. For proper isolation, we recommend that each AxonASP Application/Site is configured with its own</w:t>
      </w:r>
      <w:r>
        <w:t xml:space="preserve"> </w:t>
      </w:r>
      <w:r>
        <w:rPr>
          <w:rStyle w:val="VerbatimChar"/>
        </w:rPr>
        <w:t xml:space="preserve">.toml</w:t>
      </w:r>
      <w:r>
        <w:t xml:space="preserve"> </w:t>
      </w:r>
      <w:r>
        <w:t xml:space="preserve">configuration file using the custom config path argument. Also, set the</w:t>
      </w:r>
      <w:r>
        <w:t xml:space="preserve"> </w:t>
      </w:r>
      <w:r>
        <w:rPr>
          <w:rStyle w:val="VerbatimChar"/>
        </w:rPr>
        <w:t xml:space="preserve">clean_sessions_on_startup</w:t>
      </w:r>
      <w:r>
        <w:t xml:space="preserve"> </w:t>
      </w:r>
      <w:r>
        <w:t xml:space="preserve">in the configuration file to prevent sessions being lost if IIS terminates the application process, or users may experience unexpected behavior when using features that require persistent sessions. For better performance, you can also set</w:t>
      </w:r>
      <w:r>
        <w:t xml:space="preserve"> </w:t>
      </w:r>
      <w:r>
        <w:rPr>
          <w:rStyle w:val="VerbatimChar"/>
        </w:rPr>
        <w:t xml:space="preserve">clean_cache_on_startup</w:t>
      </w:r>
      <w:r>
        <w:t xml:space="preserve"> </w:t>
      </w:r>
      <w:r>
        <w:t xml:space="preserve">to</w:t>
      </w:r>
      <w:r>
        <w:t xml:space="preserve"> </w:t>
      </w:r>
      <w:r>
        <w:rPr>
          <w:rStyle w:val="VerbatimChar"/>
        </w:rPr>
        <w:t xml:space="preserve">false</w:t>
      </w:r>
      <w:r>
        <w:t xml:space="preserve">.</w:t>
      </w:r>
    </w:p>
    <w:bookmarkEnd w:id="137"/>
    <w:bookmarkStart w:id="138" w:name="limitations"/>
    <w:p>
      <w:pPr>
        <w:pStyle w:val="Heading2"/>
      </w:pPr>
      <w:r>
        <w:t xml:space="preserve">Limitations</w:t>
      </w:r>
    </w:p>
    <w:p>
      <w:pPr>
        <w:pStyle w:val="FirstParagraph"/>
      </w:pPr>
      <w:r>
        <w:t xml:space="preserve">While IIS natively supports Classic ASP, it is highly resource-intensive. If possible, consider migrating to a lighter reverse proxy setup (e.g., Nginx, Caddy).</w:t>
      </w:r>
    </w:p>
    <w:p>
      <w:pPr>
        <w:pStyle w:val="BodyText"/>
      </w:pPr>
      <w:r>
        <w:t xml:space="preserve">The Microsoft IIS implementation spawns a FastCGI process with named pipes for each individual request. This contrasts with Nginx/Apache/Caddy architectures, which start a single persistent process and route requests via TCP. This IIS behavior can cause anomalous execution state, particularly regarding session persistence and Application-level memory data.</w:t>
      </w:r>
    </w:p>
    <w:p>
      <w:pPr>
        <w:pStyle w:val="BodyText"/>
      </w:pPr>
      <w:r>
        <w:t xml:space="preserve">Because we recommend isolating each application in its own server process due to</w:t>
      </w:r>
      <w:r>
        <w:t xml:space="preserve"> </w:t>
      </w:r>
      <w:r>
        <w:rPr>
          <w:rStyle w:val="VerbatimChar"/>
        </w:rPr>
        <w:t xml:space="preserve">global.asa</w:t>
      </w:r>
      <w:r>
        <w:t xml:space="preserve"> </w:t>
      </w:r>
      <w:r>
        <w:t xml:space="preserve">scoping rules, and because supporting IIS FastCGI directly would require a complex architectural rewrite, native IIS FastCGI support will not be implemented at this time. For this same reason, you must</w:t>
      </w:r>
      <w:r>
        <w:t xml:space="preserve"> </w:t>
      </w:r>
      <w:r>
        <w:rPr>
          <w:b/>
          <w:bCs/>
        </w:rPr>
        <w:t xml:space="preserve">not</w:t>
      </w:r>
      <w:r>
        <w:t xml:space="preserve"> </w:t>
      </w:r>
      <w:r>
        <w:t xml:space="preserve">set</w:t>
      </w:r>
      <w:r>
        <w:t xml:space="preserve"> </w:t>
      </w:r>
      <w:r>
        <w:rPr>
          <w:rStyle w:val="VerbatimChar"/>
        </w:rPr>
        <w:t xml:space="preserve">processesPerApplication</w:t>
      </w:r>
      <w:r>
        <w:t xml:space="preserve"> </w:t>
      </w:r>
      <w:r>
        <w:t xml:space="preserve">to a value greater than 1, as it will cause state fragmentation and anomalous behavior.</w:t>
      </w:r>
    </w:p>
    <w:bookmarkEnd w:id="138"/>
    <w:bookmarkEnd w:id="139"/>
    <w:bookmarkStart w:id="154" w:name="deploy-axonasp-with-fastcgi"/>
    <w:p>
      <w:pPr>
        <w:pStyle w:val="Heading1"/>
      </w:pPr>
      <w:r>
        <w:t xml:space="preserve">Deploy AxonASP with FastCGI</w:t>
      </w:r>
    </w:p>
    <w:bookmarkStart w:id="140" w:name="overview-8"/>
    <w:p>
      <w:pPr>
        <w:pStyle w:val="Heading2"/>
      </w:pPr>
      <w:r>
        <w:t xml:space="preserve">Overview</w:t>
      </w:r>
    </w:p>
    <w:p>
      <w:pPr>
        <w:pStyle w:val="FirstParagraph"/>
      </w:pPr>
      <w:r>
        <w:t xml:space="preserve">G3Pix AxonASP supports three FastCGI deployment models.</w:t>
      </w:r>
      <w:r>
        <w:t xml:space="preserve"> </w:t>
      </w:r>
      <w:r>
        <w:t xml:space="preserve">Choose the model based on your isolation, automation, and operational requirements.</w:t>
      </w:r>
    </w:p>
    <w:p>
      <w:pPr>
        <w:pStyle w:val="BodyText"/>
      </w:pPr>
      <w:r>
        <w:t xml:space="preserve">For production environments that host multiple applications,</w:t>
      </w:r>
      <w:r>
        <w:t xml:space="preserve"> </w:t>
      </w:r>
      <w:r>
        <w:rPr>
          <w:b/>
          <w:bCs/>
        </w:rPr>
        <w:t xml:space="preserve">AxonASP-FPM is the default and recommended model</w:t>
      </w:r>
      <w:r>
        <w:t xml:space="preserve">.</w:t>
      </w:r>
    </w:p>
    <w:bookmarkEnd w:id="140"/>
    <w:bookmarkStart w:id="141" w:name="deployment-models"/>
    <w:p>
      <w:pPr>
        <w:pStyle w:val="Heading2"/>
      </w:pPr>
      <w:r>
        <w:t xml:space="preserve">Deployment Models</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Model</w:t>
            </w:r>
          </w:p>
        </w:tc>
        <w:tc>
          <w:tcPr/>
          <w:p>
            <w:pPr>
              <w:pStyle w:val="Compact"/>
            </w:pPr>
            <w:r>
              <w:t xml:space="preserve">Process Ownership</w:t>
            </w:r>
          </w:p>
        </w:tc>
        <w:tc>
          <w:tcPr/>
          <w:p>
            <w:pPr>
              <w:pStyle w:val="Compact"/>
            </w:pPr>
            <w:r>
              <w:t xml:space="preserve">global.asa Scope</w:t>
            </w:r>
          </w:p>
        </w:tc>
        <w:tc>
          <w:tcPr/>
          <w:p>
            <w:pPr>
              <w:pStyle w:val="Compact"/>
            </w:pPr>
            <w:r>
              <w:t xml:space="preserve">Best Use Case</w:t>
            </w:r>
          </w:p>
        </w:tc>
        <w:tc>
          <w:tcPr/>
          <w:p>
            <w:pPr>
              <w:pStyle w:val="Compact"/>
            </w:pPr>
            <w:r>
              <w:t xml:space="preserve">Operational Risk</w:t>
            </w:r>
          </w:p>
        </w:tc>
      </w:tr>
      <w:tr>
        <w:tc>
          <w:tcPr/>
          <w:p>
            <w:pPr>
              <w:pStyle w:val="Compact"/>
            </w:pPr>
            <w:r>
              <w:t xml:space="preserve">Single Application Standalone</w:t>
            </w:r>
          </w:p>
        </w:tc>
        <w:tc>
          <w:tcPr/>
          <w:p>
            <w:pPr>
              <w:pStyle w:val="Compact"/>
            </w:pPr>
            <w:r>
              <w:t xml:space="preserve">One</w:t>
            </w:r>
            <w:r>
              <w:t xml:space="preserve"> </w:t>
            </w:r>
            <w:r>
              <w:rPr>
                <w:rStyle w:val="VerbatimChar"/>
              </w:rPr>
              <w:t xml:space="preserve">axonasp-fastcgi</w:t>
            </w:r>
            <w:r>
              <w:t xml:space="preserve"> </w:t>
            </w:r>
            <w:r>
              <w:t xml:space="preserve">process</w:t>
            </w:r>
          </w:p>
        </w:tc>
        <w:tc>
          <w:tcPr/>
          <w:p>
            <w:pPr>
              <w:pStyle w:val="Compact"/>
            </w:pPr>
            <w:r>
              <w:t xml:space="preserve">One</w:t>
            </w:r>
            <w:r>
              <w:t xml:space="preserve"> </w:t>
            </w:r>
            <w:r>
              <w:rPr>
                <w:rStyle w:val="VerbatimChar"/>
              </w:rPr>
              <w:t xml:space="preserve">global.asa</w:t>
            </w:r>
            <w:r>
              <w:t xml:space="preserve"> </w:t>
            </w:r>
            <w:r>
              <w:t xml:space="preserve">for that process</w:t>
            </w:r>
          </w:p>
        </w:tc>
        <w:tc>
          <w:tcPr/>
          <w:p>
            <w:pPr>
              <w:pStyle w:val="Compact"/>
            </w:pPr>
            <w:r>
              <w:t xml:space="preserve">Small single-site deployments with minimal memory use</w:t>
            </w:r>
          </w:p>
        </w:tc>
        <w:tc>
          <w:tcPr/>
          <w:p>
            <w:pPr>
              <w:pStyle w:val="Compact"/>
            </w:pPr>
            <w:r>
              <w:t xml:space="preserve">Low</w:t>
            </w:r>
          </w:p>
        </w:tc>
      </w:tr>
      <w:tr>
        <w:tc>
          <w:tcPr/>
          <w:p>
            <w:pPr>
              <w:pStyle w:val="Compact"/>
            </w:pPr>
            <w:r>
              <w:t xml:space="preserve">Multiple Manual Standalone</w:t>
            </w:r>
          </w:p>
        </w:tc>
        <w:tc>
          <w:tcPr/>
          <w:p>
            <w:pPr>
              <w:pStyle w:val="Compact"/>
            </w:pPr>
            <w:r>
              <w:t xml:space="preserve">Multiple manually started</w:t>
            </w:r>
            <w:r>
              <w:t xml:space="preserve"> </w:t>
            </w:r>
            <w:r>
              <w:rPr>
                <w:rStyle w:val="VerbatimChar"/>
              </w:rPr>
              <w:t xml:space="preserve">axonasp-fastcgi</w:t>
            </w:r>
            <w:r>
              <w:t xml:space="preserve"> </w:t>
            </w:r>
            <w:r>
              <w:t xml:space="preserve">processes</w:t>
            </w:r>
          </w:p>
        </w:tc>
        <w:tc>
          <w:tcPr/>
          <w:p>
            <w:pPr>
              <w:pStyle w:val="Compact"/>
            </w:pPr>
            <w:r>
              <w:t xml:space="preserve">One</w:t>
            </w:r>
            <w:r>
              <w:t xml:space="preserve"> </w:t>
            </w:r>
            <w:r>
              <w:rPr>
                <w:rStyle w:val="VerbatimChar"/>
              </w:rPr>
              <w:t xml:space="preserve">global.asa</w:t>
            </w:r>
            <w:r>
              <w:t xml:space="preserve"> </w:t>
            </w:r>
            <w:r>
              <w:t xml:space="preserve">per process</w:t>
            </w:r>
          </w:p>
        </w:tc>
        <w:tc>
          <w:tcPr/>
          <w:p>
            <w:pPr>
              <w:pStyle w:val="Compact"/>
            </w:pPr>
            <w:r>
              <w:t xml:space="preserve">Small systems that need custom per-process tuning</w:t>
            </w:r>
          </w:p>
        </w:tc>
        <w:tc>
          <w:tcPr/>
          <w:p>
            <w:pPr>
              <w:pStyle w:val="Compact"/>
            </w:pPr>
            <w:r>
              <w:t xml:space="preserve">Medium to High</w:t>
            </w:r>
          </w:p>
        </w:tc>
      </w:tr>
      <w:tr>
        <w:tc>
          <w:tcPr/>
          <w:p>
            <w:pPr>
              <w:pStyle w:val="Compact"/>
            </w:pPr>
            <w:r>
              <w:t xml:space="preserve">AxonASP-FPM Managed Pools</w:t>
            </w:r>
          </w:p>
        </w:tc>
        <w:tc>
          <w:tcPr/>
          <w:p>
            <w:pPr>
              <w:pStyle w:val="Compact"/>
            </w:pPr>
            <w:r>
              <w:t xml:space="preserve">One</w:t>
            </w:r>
            <w:r>
              <w:t xml:space="preserve"> </w:t>
            </w:r>
            <w:r>
              <w:rPr>
                <w:rStyle w:val="VerbatimChar"/>
              </w:rPr>
              <w:t xml:space="preserve">axonasp-fpm</w:t>
            </w:r>
            <w:r>
              <w:t xml:space="preserve"> </w:t>
            </w:r>
            <w:r>
              <w:t xml:space="preserve">manager supervising multiple workers</w:t>
            </w:r>
          </w:p>
        </w:tc>
        <w:tc>
          <w:tcPr/>
          <w:p>
            <w:pPr>
              <w:pStyle w:val="Compact"/>
            </w:pPr>
            <w:r>
              <w:t xml:space="preserve">One isolated</w:t>
            </w:r>
            <w:r>
              <w:t xml:space="preserve"> </w:t>
            </w:r>
            <w:r>
              <w:rPr>
                <w:rStyle w:val="VerbatimChar"/>
              </w:rPr>
              <w:t xml:space="preserve">global.asa</w:t>
            </w:r>
            <w:r>
              <w:t xml:space="preserve"> </w:t>
            </w:r>
            <w:r>
              <w:t xml:space="preserve">context per pool configuration</w:t>
            </w:r>
          </w:p>
        </w:tc>
        <w:tc>
          <w:tcPr/>
          <w:p>
            <w:pPr>
              <w:pStyle w:val="Compact"/>
            </w:pPr>
            <w:r>
              <w:t xml:space="preserve">Multi-application production and shared hosting</w:t>
            </w:r>
          </w:p>
        </w:tc>
        <w:tc>
          <w:tcPr/>
          <w:p>
            <w:pPr>
              <w:pStyle w:val="Compact"/>
            </w:pPr>
            <w:r>
              <w:t xml:space="preserve">Low</w:t>
            </w:r>
          </w:p>
        </w:tc>
      </w:tr>
    </w:tbl>
    <w:bookmarkEnd w:id="141"/>
    <w:bookmarkStart w:id="143" w:name="model-1-single-application-standalone"/>
    <w:p>
      <w:pPr>
        <w:pStyle w:val="Heading2"/>
      </w:pPr>
      <w:r>
        <w:t xml:space="preserve">Model 1: Single Application Standalone</w:t>
      </w:r>
    </w:p>
    <w:p>
      <w:pPr>
        <w:pStyle w:val="FirstParagraph"/>
      </w:pPr>
      <w:r>
        <w:t xml:space="preserve">Run one FastCGI worker directly.</w:t>
      </w:r>
    </w:p>
    <w:p>
      <w:pPr>
        <w:pStyle w:val="SourceCode"/>
      </w:pPr>
      <w:r>
        <w:rPr>
          <w:rStyle w:val="ExtensionTok"/>
        </w:rPr>
        <w:t xml:space="preserve">./axonasp-fastcgi</w:t>
      </w:r>
    </w:p>
    <w:p>
      <w:pPr>
        <w:pStyle w:val="FirstParagraph"/>
      </w:pPr>
      <w:r>
        <w:t xml:space="preserve">This model has the smallest footprint because only one worker process runs.</w:t>
      </w:r>
      <w:r>
        <w:t xml:space="preserve"> </w:t>
      </w:r>
      <w:r>
        <w:t xml:space="preserve">It is the correct choice when you host one application and do not require pool orchestration.</w:t>
      </w:r>
    </w:p>
    <w:bookmarkStart w:id="142" w:name="global.asa-resolution-in-standalone-mode"/>
    <w:p>
      <w:pPr>
        <w:pStyle w:val="Heading3"/>
      </w:pPr>
      <w:r>
        <w:t xml:space="preserve">global.asa Resolution in Standalone Mode</w:t>
      </w:r>
    </w:p>
    <w:p>
      <w:pPr>
        <w:pStyle w:val="FirstParagraph"/>
      </w:pPr>
      <w:r>
        <w:t xml:space="preserve">At startup, the worker resolves</w:t>
      </w:r>
      <w:r>
        <w:t xml:space="preserve"> </w:t>
      </w:r>
      <w:r>
        <w:rPr>
          <w:rStyle w:val="VerbatimChar"/>
        </w:rPr>
        <w:t xml:space="preserve">global.asa</w:t>
      </w:r>
      <w:r>
        <w:t xml:space="preserve"> </w:t>
      </w:r>
      <w:r>
        <w:t xml:space="preserve">in this order:</w:t>
      </w:r>
    </w:p>
    <w:p>
      <w:pPr>
        <w:pStyle w:val="Compact"/>
        <w:numPr>
          <w:ilvl w:val="0"/>
          <w:numId w:val="1047"/>
        </w:numPr>
      </w:pPr>
      <w:r>
        <w:t xml:space="preserve">Explicit</w:t>
      </w:r>
      <w:r>
        <w:t xml:space="preserve"> </w:t>
      </w:r>
      <w:r>
        <w:rPr>
          <w:rStyle w:val="VerbatimChar"/>
        </w:rPr>
        <w:t xml:space="preserve">--config.global_asa</w:t>
      </w:r>
      <w:r>
        <w:t xml:space="preserve"> </w:t>
      </w:r>
      <w:r>
        <w:t xml:space="preserve">directory.</w:t>
      </w:r>
    </w:p>
    <w:p>
      <w:pPr>
        <w:pStyle w:val="Compact"/>
        <w:numPr>
          <w:ilvl w:val="0"/>
          <w:numId w:val="1047"/>
        </w:numPr>
      </w:pPr>
      <w:r>
        <w:t xml:space="preserve">Current working directory.</w:t>
      </w:r>
    </w:p>
    <w:p>
      <w:pPr>
        <w:pStyle w:val="Compact"/>
        <w:numPr>
          <w:ilvl w:val="0"/>
          <w:numId w:val="1047"/>
        </w:numPr>
      </w:pPr>
      <w:r>
        <w:rPr>
          <w:rStyle w:val="VerbatimChar"/>
        </w:rPr>
        <w:t xml:space="preserve">server.web_root</w:t>
      </w:r>
      <w:r>
        <w:t xml:space="preserve"> </w:t>
      </w:r>
      <w:r>
        <w:t xml:space="preserve">from the active TOML config.</w:t>
      </w:r>
    </w:p>
    <w:p>
      <w:pPr>
        <w:pStyle w:val="FirstParagraph"/>
      </w:pPr>
      <w:r>
        <w:t xml:space="preserve">If</w:t>
      </w:r>
      <w:r>
        <w:t xml:space="preserve"> </w:t>
      </w:r>
      <w:r>
        <w:rPr>
          <w:rStyle w:val="VerbatimChar"/>
        </w:rPr>
        <w:t xml:space="preserve">--config.global_asa</w:t>
      </w:r>
      <w:r>
        <w:t xml:space="preserve"> </w:t>
      </w:r>
      <w:r>
        <w:t xml:space="preserve">is explicitly provided and</w:t>
      </w:r>
      <w:r>
        <w:t xml:space="preserve"> </w:t>
      </w:r>
      <w:r>
        <w:rPr>
          <w:rStyle w:val="VerbatimChar"/>
        </w:rPr>
        <w:t xml:space="preserve">global.asa</w:t>
      </w:r>
      <w:r>
        <w:t xml:space="preserve"> </w:t>
      </w:r>
      <w:r>
        <w:t xml:space="preserve">is missing in that directory, startup fails with an internal 500 state.</w:t>
      </w:r>
    </w:p>
    <w:p>
      <w:pPr>
        <w:pStyle w:val="BodyText"/>
      </w:pPr>
      <w:r>
        <w:t xml:space="preserve">Path enforcement for Step 3:</w:t>
      </w:r>
    </w:p>
    <w:p>
      <w:pPr>
        <w:pStyle w:val="Compact"/>
        <w:numPr>
          <w:ilvl w:val="0"/>
          <w:numId w:val="1048"/>
        </w:numPr>
      </w:pPr>
      <w:r>
        <w:t xml:space="preserve">If</w:t>
      </w:r>
      <w:r>
        <w:t xml:space="preserve"> </w:t>
      </w:r>
      <w:r>
        <w:rPr>
          <w:rStyle w:val="VerbatimChar"/>
        </w:rPr>
        <w:t xml:space="preserve">server.web_root</w:t>
      </w:r>
      <w:r>
        <w:t xml:space="preserve"> </w:t>
      </w:r>
      <w:r>
        <w:t xml:space="preserve">is absolute, FastCGI resolves it strictly as absolute.</w:t>
      </w:r>
    </w:p>
    <w:p>
      <w:pPr>
        <w:pStyle w:val="Compact"/>
        <w:numPr>
          <w:ilvl w:val="0"/>
          <w:numId w:val="1048"/>
        </w:numPr>
      </w:pPr>
      <w:r>
        <w:t xml:space="preserve">If</w:t>
      </w:r>
      <w:r>
        <w:t xml:space="preserve"> </w:t>
      </w:r>
      <w:r>
        <w:rPr>
          <w:rStyle w:val="VerbatimChar"/>
        </w:rPr>
        <w:t xml:space="preserve">server.web_root</w:t>
      </w:r>
      <w:r>
        <w:t xml:space="preserve"> </w:t>
      </w:r>
      <w:r>
        <w:t xml:space="preserve">is relative, FastCGI resolves it relative to the current working directory.</w:t>
      </w:r>
    </w:p>
    <w:p>
      <w:pPr>
        <w:pStyle w:val="Compact"/>
        <w:numPr>
          <w:ilvl w:val="0"/>
          <w:numId w:val="1048"/>
        </w:numPr>
      </w:pPr>
      <w:r>
        <w:t xml:space="preserve">FastCGI does not rewrite absolute</w:t>
      </w:r>
      <w:r>
        <w:t xml:space="preserve"> </w:t>
      </w:r>
      <w:r>
        <w:rPr>
          <w:rStyle w:val="VerbatimChar"/>
        </w:rPr>
        <w:t xml:space="preserve">server.web_root</w:t>
      </w:r>
      <w:r>
        <w:t xml:space="preserve"> </w:t>
      </w:r>
      <w:r>
        <w:t xml:space="preserve">values to</w:t>
      </w:r>
      <w:r>
        <w:t xml:space="preserve"> </w:t>
      </w:r>
      <w:r>
        <w:rPr>
          <w:rStyle w:val="VerbatimChar"/>
        </w:rPr>
        <w:t xml:space="preserve">./www</w:t>
      </w:r>
      <w:r>
        <w:t xml:space="preserve">.</w:t>
      </w:r>
    </w:p>
    <w:bookmarkEnd w:id="142"/>
    <w:bookmarkEnd w:id="143"/>
    <w:bookmarkStart w:id="144" w:name="X53c1391364874303699011d8de2a29ec02be155"/>
    <w:p>
      <w:pPr>
        <w:pStyle w:val="Heading2"/>
      </w:pPr>
      <w:r>
        <w:t xml:space="preserve">Model 2: Multiple Manual Standalone Processes</w:t>
      </w:r>
    </w:p>
    <w:p>
      <w:pPr>
        <w:pStyle w:val="FirstParagraph"/>
      </w:pPr>
      <w:r>
        <w:t xml:space="preserve">Run multiple</w:t>
      </w:r>
      <w:r>
        <w:t xml:space="preserve"> </w:t>
      </w:r>
      <w:r>
        <w:rPr>
          <w:rStyle w:val="VerbatimChar"/>
        </w:rPr>
        <w:t xml:space="preserve">axonasp-fastcgi</w:t>
      </w:r>
      <w:r>
        <w:t xml:space="preserve"> </w:t>
      </w:r>
      <w:r>
        <w:t xml:space="preserve">processes manually, each with explicit arguments.</w:t>
      </w:r>
    </w:p>
    <w:p>
      <w:pPr>
        <w:pStyle w:val="SourceCode"/>
      </w:pPr>
      <w:r>
        <w:rPr>
          <w:rStyle w:val="ExtensionTok"/>
        </w:rPr>
        <w:t xml:space="preserve">./axonasp-fastcgi</w:t>
      </w:r>
      <w:r>
        <w:rPr>
          <w:rStyle w:val="NormalTok"/>
        </w:rPr>
        <w:t xml:space="preserve"> </w:t>
      </w:r>
      <w:r>
        <w:rPr>
          <w:rStyle w:val="AttributeTok"/>
        </w:rPr>
        <w:t xml:space="preserve">--config.config_file</w:t>
      </w:r>
      <w:r>
        <w:rPr>
          <w:rStyle w:val="NormalTok"/>
        </w:rPr>
        <w:t xml:space="preserve"> /opt/axonasp/config/site-a.toml </w:t>
      </w:r>
      <w:r>
        <w:rPr>
          <w:rStyle w:val="AttributeTok"/>
        </w:rPr>
        <w:t xml:space="preserve">--config.global_asa</w:t>
      </w:r>
      <w:r>
        <w:rPr>
          <w:rStyle w:val="NormalTok"/>
        </w:rPr>
        <w:t xml:space="preserve"> /opt/axonasp/sites/site-a</w:t>
      </w:r>
      <w:r>
        <w:br/>
      </w:r>
      <w:r>
        <w:rPr>
          <w:rStyle w:val="ExtensionTok"/>
        </w:rPr>
        <w:t xml:space="preserve">./axonasp-fastcgi</w:t>
      </w:r>
      <w:r>
        <w:rPr>
          <w:rStyle w:val="NormalTok"/>
        </w:rPr>
        <w:t xml:space="preserve"> </w:t>
      </w:r>
      <w:r>
        <w:rPr>
          <w:rStyle w:val="AttributeTok"/>
        </w:rPr>
        <w:t xml:space="preserve">--config.config_file</w:t>
      </w:r>
      <w:r>
        <w:rPr>
          <w:rStyle w:val="NormalTok"/>
        </w:rPr>
        <w:t xml:space="preserve"> /opt/axonasp/config/site-b.toml </w:t>
      </w:r>
      <w:r>
        <w:rPr>
          <w:rStyle w:val="AttributeTok"/>
        </w:rPr>
        <w:t xml:space="preserve">--config.global_asa</w:t>
      </w:r>
      <w:r>
        <w:rPr>
          <w:rStyle w:val="NormalTok"/>
        </w:rPr>
        <w:t xml:space="preserve"> /opt/axonasp/sites/site-b </w:t>
      </w:r>
      <w:r>
        <w:rPr>
          <w:rStyle w:val="AttributeTok"/>
        </w:rPr>
        <w:t xml:space="preserve">--fastcgi.server_port</w:t>
      </w:r>
      <w:r>
        <w:rPr>
          <w:rStyle w:val="NormalTok"/>
        </w:rPr>
        <w:t xml:space="preserve"> unix:/var/run/axonasp/site-b.sock</w:t>
      </w:r>
    </w:p>
    <w:p>
      <w:pPr>
        <w:pStyle w:val="FirstParagraph"/>
      </w:pPr>
      <w:r>
        <w:t xml:space="preserve">Use this model when you need granular process-by-process control and your environment is still small enough for manual operations.</w:t>
      </w:r>
    </w:p>
    <w:p>
      <w:pPr>
        <w:pStyle w:val="BodyText"/>
      </w:pPr>
      <w:r>
        <w:t xml:space="preserve">Administrative responsibility in this model:</w:t>
      </w:r>
    </w:p>
    <w:p>
      <w:pPr>
        <w:pStyle w:val="Compact"/>
        <w:numPr>
          <w:ilvl w:val="0"/>
          <w:numId w:val="1049"/>
        </w:numPr>
      </w:pPr>
      <w:r>
        <w:t xml:space="preserve">You create startup scripts.</w:t>
      </w:r>
    </w:p>
    <w:p>
      <w:pPr>
        <w:pStyle w:val="Compact"/>
        <w:numPr>
          <w:ilvl w:val="0"/>
          <w:numId w:val="1049"/>
        </w:numPr>
      </w:pPr>
      <w:r>
        <w:t xml:space="preserve">You handle daemonization.</w:t>
      </w:r>
    </w:p>
    <w:p>
      <w:pPr>
        <w:pStyle w:val="Compact"/>
        <w:numPr>
          <w:ilvl w:val="0"/>
          <w:numId w:val="1049"/>
        </w:numPr>
      </w:pPr>
      <w:r>
        <w:t xml:space="preserve">You monitor health and restart crashes.</w:t>
      </w:r>
    </w:p>
    <w:p>
      <w:pPr>
        <w:pStyle w:val="Compact"/>
        <w:numPr>
          <w:ilvl w:val="0"/>
          <w:numId w:val="1049"/>
        </w:numPr>
      </w:pPr>
      <w:r>
        <w:t xml:space="preserve">You prevent port and socket conflicts.</w:t>
      </w:r>
    </w:p>
    <w:p>
      <w:pPr>
        <w:pStyle w:val="FirstParagraph"/>
      </w:pPr>
      <w:r>
        <w:t xml:space="preserve">If you do not enforce those controls, orphan workers and configuration drift become likely.</w:t>
      </w:r>
    </w:p>
    <w:bookmarkEnd w:id="144"/>
    <w:bookmarkStart w:id="147" w:name="X3f33e3111660b5f512de517af28c6d51a039492"/>
    <w:p>
      <w:pPr>
        <w:pStyle w:val="Heading2"/>
      </w:pPr>
      <w:r>
        <w:t xml:space="preserve">Model 3: AxonASP-FPM Managed Pools (Recommended)</w:t>
      </w:r>
    </w:p>
    <w:p>
      <w:pPr>
        <w:pStyle w:val="FirstParagraph"/>
      </w:pPr>
      <w:r>
        <w:t xml:space="preserve">Use</w:t>
      </w:r>
      <w:r>
        <w:t xml:space="preserve"> </w:t>
      </w:r>
      <w:r>
        <w:rPr>
          <w:rStyle w:val="VerbatimChar"/>
        </w:rPr>
        <w:t xml:space="preserve">axonasp-fpm</w:t>
      </w:r>
      <w:r>
        <w:t xml:space="preserve"> </w:t>
      </w:r>
      <w:r>
        <w:t xml:space="preserve">to supervise independent FastCGI workers as isolated pools.</w:t>
      </w:r>
    </w:p>
    <w:p>
      <w:pPr>
        <w:pStyle w:val="BodyText"/>
      </w:pPr>
      <w:r>
        <w:t xml:space="preserve">This model is similar to PHP-FPM or application-pool orchestration:</w:t>
      </w:r>
    </w:p>
    <w:p>
      <w:pPr>
        <w:pStyle w:val="Compact"/>
        <w:numPr>
          <w:ilvl w:val="0"/>
          <w:numId w:val="1050"/>
        </w:numPr>
      </w:pPr>
      <w:r>
        <w:t xml:space="preserve">Automatic worker start and restart.</w:t>
      </w:r>
    </w:p>
    <w:p>
      <w:pPr>
        <w:pStyle w:val="Compact"/>
        <w:numPr>
          <w:ilvl w:val="0"/>
          <w:numId w:val="1050"/>
        </w:numPr>
      </w:pPr>
      <w:r>
        <w:t xml:space="preserve">Per-pool UID and GID execution.</w:t>
      </w:r>
    </w:p>
    <w:p>
      <w:pPr>
        <w:pStyle w:val="Compact"/>
        <w:numPr>
          <w:ilvl w:val="0"/>
          <w:numId w:val="1050"/>
        </w:numPr>
      </w:pPr>
      <w:r>
        <w:t xml:space="preserve">Per-pool memory limits and guardrails.</w:t>
      </w:r>
    </w:p>
    <w:p>
      <w:pPr>
        <w:pStyle w:val="Compact"/>
        <w:numPr>
          <w:ilvl w:val="0"/>
          <w:numId w:val="1050"/>
        </w:numPr>
      </w:pPr>
      <w:r>
        <w:t xml:space="preserve">Per-pool socket and path isolation.</w:t>
      </w:r>
    </w:p>
    <w:p>
      <w:pPr>
        <w:pStyle w:val="FirstParagraph"/>
      </w:pPr>
      <w:r>
        <w:rPr>
          <w:b/>
          <w:bCs/>
        </w:rPr>
        <w:t xml:space="preserve">Production recommendation:</w:t>
      </w:r>
      <w:r>
        <w:t xml:space="preserve"> </w:t>
      </w:r>
      <w:r>
        <w:t xml:space="preserve">Use this model for multi-application servers and shared hosting.</w:t>
      </w:r>
    </w:p>
    <w:bookmarkStart w:id="145" w:name="mandatory-administrative-requirement"/>
    <w:p>
      <w:pPr>
        <w:pStyle w:val="Heading3"/>
      </w:pPr>
      <w:r>
        <w:t xml:space="preserve">Mandatory Administrative Requirement</w:t>
      </w:r>
    </w:p>
    <w:p>
      <w:pPr>
        <w:pStyle w:val="FirstParagraph"/>
      </w:pPr>
      <w:r>
        <w:t xml:space="preserve">Start</w:t>
      </w:r>
      <w:r>
        <w:t xml:space="preserve"> </w:t>
      </w:r>
      <w:r>
        <w:rPr>
          <w:rStyle w:val="VerbatimChar"/>
        </w:rPr>
        <w:t xml:space="preserve">axonasp-fpm</w:t>
      </w:r>
      <w:r>
        <w:t xml:space="preserve"> </w:t>
      </w:r>
      <w:r>
        <w:t xml:space="preserve">as</w:t>
      </w:r>
      <w:r>
        <w:t xml:space="preserve"> </w:t>
      </w:r>
      <w:r>
        <w:rPr>
          <w:b/>
          <w:bCs/>
        </w:rPr>
        <w:t xml:space="preserve">root</w:t>
      </w:r>
      <w:r>
        <w:t xml:space="preserve">.</w:t>
      </w:r>
      <w:r>
        <w:t xml:space="preserve"> </w:t>
      </w:r>
      <w:r>
        <w:t xml:space="preserve">The manager needs root initialization to:</w:t>
      </w:r>
    </w:p>
    <w:p>
      <w:pPr>
        <w:pStyle w:val="Compact"/>
        <w:numPr>
          <w:ilvl w:val="0"/>
          <w:numId w:val="1051"/>
        </w:numPr>
      </w:pPr>
      <w:r>
        <w:t xml:space="preserve">Drop worker privileges to the configured pool user and group.</w:t>
      </w:r>
    </w:p>
    <w:p>
      <w:pPr>
        <w:pStyle w:val="Compact"/>
        <w:numPr>
          <w:ilvl w:val="0"/>
          <w:numId w:val="1051"/>
        </w:numPr>
      </w:pPr>
      <w:r>
        <w:t xml:space="preserve">Prepare and own socket and temporary directories.</w:t>
      </w:r>
    </w:p>
    <w:p>
      <w:pPr>
        <w:pStyle w:val="Compact"/>
        <w:numPr>
          <w:ilvl w:val="0"/>
          <w:numId w:val="1051"/>
        </w:numPr>
      </w:pPr>
      <w:r>
        <w:t xml:space="preserve">Apply process and memory controls correctly.</w:t>
      </w:r>
    </w:p>
    <w:p>
      <w:pPr>
        <w:pStyle w:val="Compact"/>
        <w:numPr>
          <w:ilvl w:val="0"/>
          <w:numId w:val="1051"/>
        </w:numPr>
      </w:pPr>
      <w:r>
        <w:t xml:space="preserve">Enforce security boundaries between pools.</w:t>
      </w:r>
    </w:p>
    <w:bookmarkEnd w:id="145"/>
    <w:bookmarkStart w:id="146" w:name="pool-reload-behavior"/>
    <w:p>
      <w:pPr>
        <w:pStyle w:val="Heading3"/>
      </w:pPr>
      <w:r>
        <w:t xml:space="preserve">Pool Reload Behavior</w:t>
      </w:r>
    </w:p>
    <w:p>
      <w:pPr>
        <w:pStyle w:val="FirstParagraph"/>
      </w:pPr>
      <w:r>
        <w:t xml:space="preserve">AxonASP-FPM reloads changed pool files with</w:t>
      </w:r>
      <w:r>
        <w:t xml:space="preserve"> </w:t>
      </w:r>
      <w:r>
        <w:rPr>
          <w:rStyle w:val="VerbatimChar"/>
        </w:rPr>
        <w:t xml:space="preserve">SIGUSR2</w:t>
      </w:r>
      <w:r>
        <w:t xml:space="preserve"> </w:t>
      </w:r>
      <w:r>
        <w:t xml:space="preserve">(or</w:t>
      </w:r>
      <w:r>
        <w:t xml:space="preserve"> </w:t>
      </w:r>
      <w:r>
        <w:rPr>
          <w:rStyle w:val="VerbatimChar"/>
        </w:rPr>
        <w:t xml:space="preserve">SIGHUP</w:t>
      </w:r>
      <w:r>
        <w:t xml:space="preserve">) using selective restart behavior:</w:t>
      </w:r>
    </w:p>
    <w:p>
      <w:pPr>
        <w:pStyle w:val="Compact"/>
        <w:numPr>
          <w:ilvl w:val="0"/>
          <w:numId w:val="1052"/>
        </w:numPr>
      </w:pPr>
      <w:r>
        <w:t xml:space="preserve">New</w:t>
      </w:r>
      <w:r>
        <w:t xml:space="preserve"> </w:t>
      </w:r>
      <w:r>
        <w:rPr>
          <w:rStyle w:val="VerbatimChar"/>
        </w:rPr>
        <w:t xml:space="preserve">.conf</w:t>
      </w:r>
      <w:r>
        <w:t xml:space="preserve"> </w:t>
      </w:r>
      <w:r>
        <w:t xml:space="preserve">files start new pools.</w:t>
      </w:r>
    </w:p>
    <w:p>
      <w:pPr>
        <w:pStyle w:val="Compact"/>
        <w:numPr>
          <w:ilvl w:val="0"/>
          <w:numId w:val="1052"/>
        </w:numPr>
      </w:pPr>
      <w:r>
        <w:t xml:space="preserve">Modified</w:t>
      </w:r>
      <w:r>
        <w:t xml:space="preserve"> </w:t>
      </w:r>
      <w:r>
        <w:rPr>
          <w:rStyle w:val="VerbatimChar"/>
        </w:rPr>
        <w:t xml:space="preserve">.conf</w:t>
      </w:r>
      <w:r>
        <w:t xml:space="preserve"> </w:t>
      </w:r>
      <w:r>
        <w:t xml:space="preserve">files gracefully restart only their own pools.</w:t>
      </w:r>
    </w:p>
    <w:p>
      <w:pPr>
        <w:pStyle w:val="Compact"/>
        <w:numPr>
          <w:ilvl w:val="0"/>
          <w:numId w:val="1052"/>
        </w:numPr>
      </w:pPr>
      <w:r>
        <w:t xml:space="preserve">Unmodified pools continue running without interruption.</w:t>
      </w:r>
    </w:p>
    <w:p>
      <w:pPr>
        <w:pStyle w:val="Compact"/>
        <w:numPr>
          <w:ilvl w:val="0"/>
          <w:numId w:val="1052"/>
        </w:numPr>
      </w:pPr>
      <w:r>
        <w:t xml:space="preserve">Worker shutdown on reload sends</w:t>
      </w:r>
      <w:r>
        <w:t xml:space="preserve"> </w:t>
      </w:r>
      <w:r>
        <w:rPr>
          <w:rStyle w:val="VerbatimChar"/>
        </w:rPr>
        <w:t xml:space="preserve">SIGTERM</w:t>
      </w:r>
      <w:r>
        <w:t xml:space="preserve"> </w:t>
      </w:r>
      <w:r>
        <w:t xml:space="preserve">first, then force-kill only if the worker does not exit during the grace window.</w:t>
      </w:r>
    </w:p>
    <w:p>
      <w:pPr>
        <w:pStyle w:val="FirstParagraph"/>
      </w:pPr>
      <w:r>
        <w:t xml:space="preserve">This keeps active applications stable while allowing targeted configuration rollout.</w:t>
      </w:r>
    </w:p>
    <w:bookmarkEnd w:id="146"/>
    <w:bookmarkEnd w:id="147"/>
    <w:bookmarkStart w:id="148" w:name="fastcgi-worker-endpoint-formats"/>
    <w:p>
      <w:pPr>
        <w:pStyle w:val="Heading2"/>
      </w:pPr>
      <w:r>
        <w:t xml:space="preserve">FastCGI Worker Endpoint Formats</w:t>
      </w:r>
    </w:p>
    <w:p>
      <w:pPr>
        <w:pStyle w:val="FirstParagraph"/>
      </w:pPr>
      <w:r>
        <w:t xml:space="preserve">Standalone workers and FPM-managed workers both accept these listen endpoint styles:</w:t>
      </w:r>
    </w:p>
    <w:p>
      <w:pPr>
        <w:pStyle w:val="Compact"/>
        <w:numPr>
          <w:ilvl w:val="0"/>
          <w:numId w:val="1053"/>
        </w:numPr>
      </w:pPr>
      <w:r>
        <w:rPr>
          <w:rStyle w:val="VerbatimChar"/>
        </w:rPr>
        <w:t xml:space="preserve">9000</w:t>
      </w:r>
    </w:p>
    <w:p>
      <w:pPr>
        <w:pStyle w:val="Compact"/>
        <w:numPr>
          <w:ilvl w:val="0"/>
          <w:numId w:val="1053"/>
        </w:numPr>
      </w:pPr>
      <w:r>
        <w:rPr>
          <w:rStyle w:val="VerbatimChar"/>
        </w:rPr>
        <w:t xml:space="preserve">127.0.0.1:9000</w:t>
      </w:r>
    </w:p>
    <w:p>
      <w:pPr>
        <w:pStyle w:val="Compact"/>
        <w:numPr>
          <w:ilvl w:val="0"/>
          <w:numId w:val="1053"/>
        </w:numPr>
      </w:pPr>
      <w:r>
        <w:rPr>
          <w:rStyle w:val="VerbatimChar"/>
        </w:rPr>
        <w:t xml:space="preserve">:9000</w:t>
      </w:r>
    </w:p>
    <w:p>
      <w:pPr>
        <w:pStyle w:val="Compact"/>
        <w:numPr>
          <w:ilvl w:val="0"/>
          <w:numId w:val="1053"/>
        </w:numPr>
      </w:pPr>
      <w:r>
        <w:rPr>
          <w:rStyle w:val="VerbatimChar"/>
        </w:rPr>
        <w:t xml:space="preserve">unix:/var/run/axonasp/app.sock</w:t>
      </w:r>
    </w:p>
    <w:p>
      <w:pPr>
        <w:pStyle w:val="FirstParagraph"/>
      </w:pPr>
      <w:r>
        <w:t xml:space="preserve">When endpoint configuration is empty, FastCGI falls back to</w:t>
      </w:r>
      <w:r>
        <w:t xml:space="preserve"> </w:t>
      </w:r>
      <w:r>
        <w:rPr>
          <w:rStyle w:val="VerbatimChar"/>
        </w:rPr>
        <w:t xml:space="preserve">9000</w:t>
      </w:r>
      <w:r>
        <w:t xml:space="preserve">.</w:t>
      </w:r>
    </w:p>
    <w:bookmarkEnd w:id="148"/>
    <w:bookmarkStart w:id="149" w:name="reverse-proxy-requirements"/>
    <w:p>
      <w:pPr>
        <w:pStyle w:val="Heading2"/>
      </w:pPr>
      <w:r>
        <w:t xml:space="preserve">Reverse Proxy Requirements</w:t>
      </w:r>
    </w:p>
    <w:p>
      <w:pPr>
        <w:pStyle w:val="FirstParagraph"/>
      </w:pPr>
      <w:r>
        <w:t xml:space="preserve">Always run FastCGI behind a reverse proxy.</w:t>
      </w:r>
      <w:r>
        <w:t xml:space="preserve"> </w:t>
      </w:r>
      <w:r>
        <w:t xml:space="preserve">The proxy must pass CGI variables required for script path resolution, especially in multi-host routing.</w:t>
      </w:r>
    </w:p>
    <w:p>
      <w:pPr>
        <w:pStyle w:val="BodyText"/>
      </w:pPr>
      <w:r>
        <w:t xml:space="preserve">Minimum required parameters for reliable execution:</w:t>
      </w:r>
    </w:p>
    <w:p>
      <w:pPr>
        <w:pStyle w:val="Compact"/>
        <w:numPr>
          <w:ilvl w:val="0"/>
          <w:numId w:val="1054"/>
        </w:numPr>
      </w:pPr>
      <w:r>
        <w:rPr>
          <w:rStyle w:val="VerbatimChar"/>
        </w:rPr>
        <w:t xml:space="preserve">DOCUMENT_ROOT</w:t>
      </w:r>
    </w:p>
    <w:p>
      <w:pPr>
        <w:pStyle w:val="Compact"/>
        <w:numPr>
          <w:ilvl w:val="0"/>
          <w:numId w:val="1054"/>
        </w:numPr>
      </w:pPr>
      <w:r>
        <w:rPr>
          <w:rStyle w:val="VerbatimChar"/>
        </w:rPr>
        <w:t xml:space="preserve">SCRIPT_NAME</w:t>
      </w:r>
    </w:p>
    <w:p>
      <w:pPr>
        <w:pStyle w:val="Compact"/>
        <w:numPr>
          <w:ilvl w:val="0"/>
          <w:numId w:val="1054"/>
        </w:numPr>
      </w:pPr>
      <w:r>
        <w:rPr>
          <w:rStyle w:val="VerbatimChar"/>
        </w:rPr>
        <w:t xml:space="preserve">REQUEST_METHOD</w:t>
      </w:r>
    </w:p>
    <w:p>
      <w:pPr>
        <w:pStyle w:val="Compact"/>
        <w:numPr>
          <w:ilvl w:val="0"/>
          <w:numId w:val="1054"/>
        </w:numPr>
      </w:pPr>
      <w:r>
        <w:rPr>
          <w:rStyle w:val="VerbatimChar"/>
        </w:rPr>
        <w:t xml:space="preserve">QUERY_STRING</w:t>
      </w:r>
    </w:p>
    <w:p>
      <w:pPr>
        <w:pStyle w:val="Compact"/>
        <w:numPr>
          <w:ilvl w:val="0"/>
          <w:numId w:val="1054"/>
        </w:numPr>
      </w:pPr>
      <w:r>
        <w:rPr>
          <w:rStyle w:val="VerbatimChar"/>
        </w:rPr>
        <w:t xml:space="preserve">SERVER_NAME</w:t>
      </w:r>
    </w:p>
    <w:p>
      <w:pPr>
        <w:pStyle w:val="Compact"/>
        <w:numPr>
          <w:ilvl w:val="0"/>
          <w:numId w:val="1054"/>
        </w:numPr>
      </w:pPr>
      <w:r>
        <w:rPr>
          <w:rStyle w:val="VerbatimChar"/>
        </w:rPr>
        <w:t xml:space="preserve">SERVER_PORT</w:t>
      </w:r>
    </w:p>
    <w:bookmarkEnd w:id="149"/>
    <w:bookmarkStart w:id="150" w:name="Xed412a36cd6223e9f86a797d5fe2b3a02431eea"/>
    <w:p>
      <w:pPr>
        <w:pStyle w:val="Heading2"/>
      </w:pPr>
      <w:r>
        <w:t xml:space="preserve">Do Not Mix Standalone and Managed Ownership</w:t>
      </w:r>
    </w:p>
    <w:p>
      <w:pPr>
        <w:pStyle w:val="FirstParagraph"/>
      </w:pPr>
      <w:r>
        <w:t xml:space="preserve">Do not combine manual standalone process scripts and AxonASP-FPM for the same application endpoint.</w:t>
      </w:r>
    </w:p>
    <w:p>
      <w:pPr>
        <w:pStyle w:val="BodyText"/>
      </w:pPr>
      <w:r>
        <w:t xml:space="preserve">Incorrect patterns:</w:t>
      </w:r>
    </w:p>
    <w:p>
      <w:pPr>
        <w:pStyle w:val="Compact"/>
        <w:numPr>
          <w:ilvl w:val="0"/>
          <w:numId w:val="1055"/>
        </w:numPr>
      </w:pPr>
      <w:r>
        <w:t xml:space="preserve">Running</w:t>
      </w:r>
      <w:r>
        <w:t xml:space="preserve"> </w:t>
      </w:r>
      <w:r>
        <w:rPr>
          <w:rStyle w:val="VerbatimChar"/>
        </w:rPr>
        <w:t xml:space="preserve">axonasp-fastcgi</w:t>
      </w:r>
      <w:r>
        <w:t xml:space="preserve"> </w:t>
      </w:r>
      <w:r>
        <w:t xml:space="preserve">manually on a socket already assigned to an FPM pool.</w:t>
      </w:r>
    </w:p>
    <w:p>
      <w:pPr>
        <w:pStyle w:val="Compact"/>
        <w:numPr>
          <w:ilvl w:val="0"/>
          <w:numId w:val="1055"/>
        </w:numPr>
      </w:pPr>
      <w:r>
        <w:t xml:space="preserve">Creating external restart loops for workers already managed by FPM.</w:t>
      </w:r>
    </w:p>
    <w:p>
      <w:pPr>
        <w:pStyle w:val="Compact"/>
        <w:numPr>
          <w:ilvl w:val="0"/>
          <w:numId w:val="1055"/>
        </w:numPr>
      </w:pPr>
      <w:r>
        <w:t xml:space="preserve">Sharing one socket path across unrelated applications.</w:t>
      </w:r>
    </w:p>
    <w:p>
      <w:pPr>
        <w:pStyle w:val="FirstParagraph"/>
      </w:pPr>
      <w:r>
        <w:t xml:space="preserve">Correct pattern:</w:t>
      </w:r>
    </w:p>
    <w:p>
      <w:pPr>
        <w:pStyle w:val="Compact"/>
        <w:numPr>
          <w:ilvl w:val="0"/>
          <w:numId w:val="1056"/>
        </w:numPr>
      </w:pPr>
      <w:r>
        <w:t xml:space="preserve">Use standalone ownership for fully manual deployments.</w:t>
      </w:r>
    </w:p>
    <w:p>
      <w:pPr>
        <w:pStyle w:val="Compact"/>
        <w:numPr>
          <w:ilvl w:val="0"/>
          <w:numId w:val="1056"/>
        </w:numPr>
      </w:pPr>
      <w:r>
        <w:t xml:space="preserve">Use FPM ownership for automated multi-application deployments.</w:t>
      </w:r>
    </w:p>
    <w:p>
      <w:pPr>
        <w:pStyle w:val="Compact"/>
        <w:numPr>
          <w:ilvl w:val="0"/>
          <w:numId w:val="1056"/>
        </w:numPr>
      </w:pPr>
      <w:r>
        <w:t xml:space="preserve">Keep ownership boundaries explicit and non-overlapping.</w:t>
      </w:r>
    </w:p>
    <w:bookmarkEnd w:id="150"/>
    <w:bookmarkStart w:id="151" w:name="standalone-startup-flags"/>
    <w:p>
      <w:pPr>
        <w:pStyle w:val="Heading2"/>
      </w:pPr>
      <w:r>
        <w:t xml:space="preserve">Standalone Startup Flags</w:t>
      </w:r>
    </w:p>
    <w:p>
      <w:pPr>
        <w:pStyle w:val="FirstParagraph"/>
      </w:pPr>
      <w:r>
        <w:rPr>
          <w:rStyle w:val="VerbatimChar"/>
        </w:rPr>
        <w:t xml:space="preserve">axonasp-fastcgi</w:t>
      </w:r>
      <w:r>
        <w:t xml:space="preserve"> </w:t>
      </w:r>
      <w:r>
        <w:t xml:space="preserve">supports these primary startup flags:</w:t>
      </w:r>
    </w:p>
    <w:p>
      <w:pPr>
        <w:pStyle w:val="Compact"/>
        <w:numPr>
          <w:ilvl w:val="0"/>
          <w:numId w:val="1057"/>
        </w:numPr>
      </w:pPr>
      <w:r>
        <w:rPr>
          <w:rStyle w:val="VerbatimChar"/>
        </w:rPr>
        <w:t xml:space="preserve">-c</w:t>
      </w:r>
      <w:r>
        <w:t xml:space="preserve">,</w:t>
      </w:r>
      <w:r>
        <w:t xml:space="preserve"> </w:t>
      </w:r>
      <w:r>
        <w:rPr>
          <w:rStyle w:val="VerbatimChar"/>
        </w:rPr>
        <w:t xml:space="preserve">--config.config_file</w:t>
      </w:r>
      <w:r>
        <w:t xml:space="preserve">: Set the AxonASP TOML file path.</w:t>
      </w:r>
    </w:p>
    <w:p>
      <w:pPr>
        <w:pStyle w:val="Compact"/>
        <w:numPr>
          <w:ilvl w:val="0"/>
          <w:numId w:val="1057"/>
        </w:numPr>
      </w:pPr>
      <w:r>
        <w:rPr>
          <w:rStyle w:val="VerbatimChar"/>
        </w:rPr>
        <w:t xml:space="preserve">--fastcgi.server_port</w:t>
      </w:r>
      <w:r>
        <w:t xml:space="preserve">: Override listen endpoint.</w:t>
      </w:r>
    </w:p>
    <w:p>
      <w:pPr>
        <w:pStyle w:val="Compact"/>
        <w:numPr>
          <w:ilvl w:val="0"/>
          <w:numId w:val="1057"/>
        </w:numPr>
      </w:pPr>
      <w:r>
        <w:rPr>
          <w:rStyle w:val="VerbatimChar"/>
        </w:rPr>
        <w:t xml:space="preserve">--config.global_asa</w:t>
      </w:r>
      <w:r>
        <w:t xml:space="preserve">: Set explicit directory that must contain</w:t>
      </w:r>
      <w:r>
        <w:t xml:space="preserve"> </w:t>
      </w:r>
      <w:r>
        <w:rPr>
          <w:rStyle w:val="VerbatimChar"/>
        </w:rPr>
        <w:t xml:space="preserve">global.asa</w:t>
      </w:r>
      <w:r>
        <w:t xml:space="preserve">.</w:t>
      </w:r>
    </w:p>
    <w:p>
      <w:pPr>
        <w:pStyle w:val="FirstParagraph"/>
      </w:pPr>
      <w:r>
        <w:t xml:space="preserve">Examples:</w:t>
      </w:r>
    </w:p>
    <w:p>
      <w:pPr>
        <w:pStyle w:val="SourceCode"/>
      </w:pPr>
      <w:r>
        <w:rPr>
          <w:rStyle w:val="ExtensionTok"/>
        </w:rPr>
        <w:t xml:space="preserve">./axonasp-fastcgi</w:t>
      </w:r>
      <w:r>
        <w:rPr>
          <w:rStyle w:val="NormalTok"/>
        </w:rPr>
        <w:t xml:space="preserve"> </w:t>
      </w:r>
      <w:r>
        <w:rPr>
          <w:rStyle w:val="AttributeTok"/>
        </w:rPr>
        <w:t xml:space="preserve">--fastcgi.server_port</w:t>
      </w:r>
      <w:r>
        <w:rPr>
          <w:rStyle w:val="NormalTok"/>
        </w:rPr>
        <w:t xml:space="preserve"> 9001</w:t>
      </w:r>
      <w:r>
        <w:br/>
      </w:r>
      <w:r>
        <w:rPr>
          <w:rStyle w:val="ExtensionTok"/>
        </w:rPr>
        <w:t xml:space="preserve">./axonasp-fastcgi</w:t>
      </w:r>
      <w:r>
        <w:rPr>
          <w:rStyle w:val="NormalTok"/>
        </w:rPr>
        <w:t xml:space="preserve"> </w:t>
      </w:r>
      <w:r>
        <w:rPr>
          <w:rStyle w:val="AttributeTok"/>
        </w:rPr>
        <w:t xml:space="preserve">--fastcgi.server_port</w:t>
      </w:r>
      <w:r>
        <w:rPr>
          <w:rStyle w:val="NormalTok"/>
        </w:rPr>
        <w:t xml:space="preserve"> unix:/var/run/axonasp/site-a.sock</w:t>
      </w:r>
      <w:r>
        <w:br/>
      </w:r>
      <w:r>
        <w:rPr>
          <w:rStyle w:val="ExtensionTok"/>
        </w:rPr>
        <w:t xml:space="preserve">./axonasp-fastcgi</w:t>
      </w:r>
      <w:r>
        <w:rPr>
          <w:rStyle w:val="NormalTok"/>
        </w:rPr>
        <w:t xml:space="preserve"> </w:t>
      </w:r>
      <w:r>
        <w:rPr>
          <w:rStyle w:val="AttributeTok"/>
        </w:rPr>
        <w:t xml:space="preserve">--config.config_file</w:t>
      </w:r>
      <w:r>
        <w:rPr>
          <w:rStyle w:val="NormalTok"/>
        </w:rPr>
        <w:t xml:space="preserve"> /opt/axonasp/config/site-a.toml </w:t>
      </w:r>
      <w:r>
        <w:rPr>
          <w:rStyle w:val="AttributeTok"/>
        </w:rPr>
        <w:t xml:space="preserve">--config.global_asa</w:t>
      </w:r>
      <w:r>
        <w:rPr>
          <w:rStyle w:val="NormalTok"/>
        </w:rPr>
        <w:t xml:space="preserve"> /opt/axonasp/sites/site-a</w:t>
      </w:r>
    </w:p>
    <w:bookmarkEnd w:id="151"/>
    <w:bookmarkStart w:id="152" w:name="iis-administrator-translation-guide"/>
    <w:p>
      <w:pPr>
        <w:pStyle w:val="Heading2"/>
      </w:pPr>
      <w:r>
        <w:t xml:space="preserve">IIS Administrator Translation Guide</w:t>
      </w:r>
    </w:p>
    <w:p>
      <w:pPr>
        <w:pStyle w:val="FirstParagraph"/>
      </w:pPr>
      <w:r>
        <w:t xml:space="preserve">Use this mapping if your operational model comes from IIS: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AxonASP Runtime Term</w:t>
            </w:r>
          </w:p>
        </w:tc>
        <w:tc>
          <w:tcPr/>
          <w:p>
            <w:pPr>
              <w:pStyle w:val="Compact"/>
            </w:pPr>
            <w:r>
              <w:t xml:space="preserve">IIS Term</w:t>
            </w:r>
          </w:p>
        </w:tc>
        <w:tc>
          <w:tcPr/>
          <w:p>
            <w:pPr>
              <w:pStyle w:val="Compact"/>
            </w:pPr>
            <w:r>
              <w:t xml:space="preserve">Migration Note</w:t>
            </w:r>
          </w:p>
        </w:tc>
      </w:tr>
      <w:tr>
        <w:tc>
          <w:tcPr/>
          <w:p>
            <w:pPr>
              <w:pStyle w:val="Compact"/>
            </w:pPr>
            <w:r>
              <w:t xml:space="preserve">FPM pool</w:t>
            </w:r>
            <w:r>
              <w:t xml:space="preserve"> </w:t>
            </w:r>
            <w:r>
              <w:rPr>
                <w:rStyle w:val="VerbatimChar"/>
              </w:rPr>
              <w:t xml:space="preserve">.conf</w:t>
            </w:r>
            <w:r>
              <w:t xml:space="preserve"> </w:t>
            </w:r>
            <w:r>
              <w:t xml:space="preserve">file</w:t>
            </w:r>
          </w:p>
        </w:tc>
        <w:tc>
          <w:tcPr/>
          <w:p>
            <w:pPr>
              <w:pStyle w:val="Compact"/>
            </w:pPr>
            <w:r>
              <w:t xml:space="preserve">Application Pool</w:t>
            </w:r>
          </w:p>
        </w:tc>
        <w:tc>
          <w:tcPr/>
          <w:p>
            <w:pPr>
              <w:pStyle w:val="Compact"/>
            </w:pPr>
            <w:r>
              <w:t xml:space="preserve">Isolate each application with a dedicated pool file.</w:t>
            </w:r>
          </w:p>
        </w:tc>
      </w:tr>
      <w:tr>
        <w:tc>
          <w:tcPr/>
          <w:p>
            <w:pPr>
              <w:pStyle w:val="Compact"/>
            </w:pPr>
            <w:r>
              <w:rPr>
                <w:rStyle w:val="VerbatimChar"/>
              </w:rPr>
              <w:t xml:space="preserve">uid</w:t>
            </w:r>
            <w:r>
              <w:t xml:space="preserve"> </w:t>
            </w:r>
            <w:r>
              <w:t xml:space="preserve">and</w:t>
            </w:r>
            <w:r>
              <w:t xml:space="preserve"> </w:t>
            </w:r>
            <w:r>
              <w:rPr>
                <w:rStyle w:val="VerbatimChar"/>
              </w:rPr>
              <w:t xml:space="preserve">gid</w:t>
            </w:r>
            <w:r>
              <w:t xml:space="preserve"> </w:t>
            </w:r>
            <w:r>
              <w:t xml:space="preserve">per pool</w:t>
            </w:r>
          </w:p>
        </w:tc>
        <w:tc>
          <w:tcPr/>
          <w:p>
            <w:pPr>
              <w:pStyle w:val="Compact"/>
            </w:pPr>
            <w:r>
              <w:t xml:space="preserve">AppPool Identity</w:t>
            </w:r>
          </w:p>
        </w:tc>
        <w:tc>
          <w:tcPr/>
          <w:p>
            <w:pPr>
              <w:pStyle w:val="Compact"/>
            </w:pPr>
            <w:r>
              <w:t xml:space="preserve">Use unique Unix identities for boundary isolation.</w:t>
            </w:r>
          </w:p>
        </w:tc>
      </w:tr>
      <w:tr>
        <w:tc>
          <w:tcPr/>
          <w:p>
            <w:pPr>
              <w:pStyle w:val="Compact"/>
            </w:pPr>
            <w:r>
              <w:rPr>
                <w:rStyle w:val="VerbatimChar"/>
              </w:rPr>
              <w:t xml:space="preserve">global_asa</w:t>
            </w:r>
            <w:r>
              <w:t xml:space="preserve"> </w:t>
            </w:r>
            <w:r>
              <w:t xml:space="preserve">per pool</w:t>
            </w:r>
          </w:p>
        </w:tc>
        <w:tc>
          <w:tcPr/>
          <w:p>
            <w:pPr>
              <w:pStyle w:val="Compact"/>
            </w:pPr>
            <w:r>
              <w:t xml:space="preserve">Application boundary in a virtual directory</w:t>
            </w:r>
          </w:p>
        </w:tc>
        <w:tc>
          <w:tcPr/>
          <w:p>
            <w:pPr>
              <w:pStyle w:val="Compact"/>
            </w:pPr>
            <w:r>
              <w:t xml:space="preserve">Explicit</w:t>
            </w:r>
            <w:r>
              <w:t xml:space="preserve"> </w:t>
            </w:r>
            <w:r>
              <w:rPr>
                <w:rStyle w:val="VerbatimChar"/>
              </w:rPr>
              <w:t xml:space="preserve">global_asa</w:t>
            </w:r>
            <w:r>
              <w:t xml:space="preserve"> </w:t>
            </w:r>
            <w:r>
              <w:t xml:space="preserve">makes startup scope deterministic per app context.</w:t>
            </w:r>
          </w:p>
        </w:tc>
      </w:tr>
      <w:tr>
        <w:tc>
          <w:tcPr/>
          <w:p>
            <w:pPr>
              <w:pStyle w:val="Compact"/>
            </w:pPr>
            <w:r>
              <w:t xml:space="preserve">One Unix socket per pool</w:t>
            </w:r>
          </w:p>
        </w:tc>
        <w:tc>
          <w:tcPr/>
          <w:p>
            <w:pPr>
              <w:pStyle w:val="Compact"/>
            </w:pPr>
            <w:r>
              <w:t xml:space="preserve">Dedicated handler endpoint</w:t>
            </w:r>
          </w:p>
        </w:tc>
        <w:tc>
          <w:tcPr/>
          <w:p>
            <w:pPr>
              <w:pStyle w:val="Compact"/>
            </w:pPr>
            <w:r>
              <w:t xml:space="preserve">Do not share sockets between unrelated applications.</w:t>
            </w:r>
          </w:p>
        </w:tc>
      </w:tr>
    </w:tbl>
    <w:p>
      <w:pPr>
        <w:pStyle w:val="BodyText"/>
      </w:pPr>
      <w:r>
        <w:t xml:space="preserve">Production recommendation:</w:t>
      </w:r>
    </w:p>
    <w:p>
      <w:pPr>
        <w:pStyle w:val="Compact"/>
        <w:numPr>
          <w:ilvl w:val="0"/>
          <w:numId w:val="1058"/>
        </w:numPr>
      </w:pPr>
      <w:r>
        <w:t xml:space="preserve">Use absolute paths in pool and runtime settings wherever possible (</w:t>
      </w:r>
      <w:r>
        <w:rPr>
          <w:rStyle w:val="VerbatimChar"/>
        </w:rPr>
        <w:t xml:space="preserve">config_file</w:t>
      </w:r>
      <w:r>
        <w:t xml:space="preserve">,</w:t>
      </w:r>
      <w:r>
        <w:t xml:space="preserve"> </w:t>
      </w:r>
      <w:r>
        <w:rPr>
          <w:rStyle w:val="VerbatimChar"/>
        </w:rPr>
        <w:t xml:space="preserve">global_asa</w:t>
      </w:r>
      <w:r>
        <w:t xml:space="preserve">,</w:t>
      </w:r>
      <w:r>
        <w:t xml:space="preserve"> </w:t>
      </w:r>
      <w:r>
        <w:rPr>
          <w:rStyle w:val="VerbatimChar"/>
        </w:rPr>
        <w:t xml:space="preserve">app_path</w:t>
      </w:r>
      <w:r>
        <w:t xml:space="preserve">,</w:t>
      </w:r>
      <w:r>
        <w:t xml:space="preserve"> </w:t>
      </w:r>
      <w:r>
        <w:rPr>
          <w:rStyle w:val="VerbatimChar"/>
        </w:rPr>
        <w:t xml:space="preserve">tmp_dir</w:t>
      </w:r>
      <w:r>
        <w:t xml:space="preserve">, socket path).</w:t>
      </w:r>
    </w:p>
    <w:p>
      <w:pPr>
        <w:pStyle w:val="Compact"/>
        <w:numPr>
          <w:ilvl w:val="0"/>
          <w:numId w:val="1058"/>
        </w:numPr>
      </w:pPr>
      <w:r>
        <w:t xml:space="preserve">Keep one explicit ownership model per endpoint: standalone or FPM, never both.</w:t>
      </w:r>
    </w:p>
    <w:bookmarkEnd w:id="152"/>
    <w:bookmarkStart w:id="153" w:name="remarks-4"/>
    <w:p>
      <w:pPr>
        <w:pStyle w:val="Heading2"/>
      </w:pPr>
      <w:r>
        <w:t xml:space="preserve">Remarks</w:t>
      </w:r>
    </w:p>
    <w:p>
      <w:pPr>
        <w:pStyle w:val="Compact"/>
        <w:numPr>
          <w:ilvl w:val="0"/>
          <w:numId w:val="1059"/>
        </w:numPr>
      </w:pPr>
      <w:r>
        <w:t xml:space="preserve">FastCGI execution parity is maintained with the AxonASP HTTP runtime for ASP libraries and language features.</w:t>
      </w:r>
    </w:p>
    <w:p>
      <w:pPr>
        <w:pStyle w:val="Compact"/>
        <w:numPr>
          <w:ilvl w:val="0"/>
          <w:numId w:val="1059"/>
        </w:numPr>
      </w:pPr>
      <w:r>
        <w:t xml:space="preserve">FastCGI does not serve static files directly. The reverse proxy serves static content.</w:t>
      </w:r>
    </w:p>
    <w:p>
      <w:pPr>
        <w:pStyle w:val="Compact"/>
        <w:numPr>
          <w:ilvl w:val="0"/>
          <w:numId w:val="1059"/>
        </w:numPr>
      </w:pPr>
      <w:r>
        <w:t xml:space="preserve">IIS native FastCGI is not supported. Use the IIS reverse proxy path described in the IIS runtime documentation.</w:t>
      </w:r>
    </w:p>
    <w:bookmarkEnd w:id="153"/>
    <w:bookmarkEnd w:id="154"/>
    <w:bookmarkStart w:id="167" w:name="X767535a1a0bd0d614a677a65c0fd22f9908fa57"/>
    <w:p>
      <w:pPr>
        <w:pStyle w:val="Heading1"/>
      </w:pPr>
      <w:r>
        <w:t xml:space="preserve">Run AxonASP-FPM for Isolated FastCGI Pools</w:t>
      </w:r>
    </w:p>
    <w:bookmarkStart w:id="155" w:name="overview-9"/>
    <w:p>
      <w:pPr>
        <w:pStyle w:val="Heading2"/>
      </w:pPr>
      <w:r>
        <w:t xml:space="preserve">Overview</w:t>
      </w:r>
    </w:p>
    <w:p>
      <w:pPr>
        <w:pStyle w:val="FirstParagraph"/>
      </w:pPr>
      <w:r>
        <w:rPr>
          <w:b/>
          <w:bCs/>
        </w:rPr>
        <w:t xml:space="preserve">G3Pix AxonASP-FPM</w:t>
      </w:r>
      <w:r>
        <w:t xml:space="preserve"> </w:t>
      </w:r>
      <w:r>
        <w:t xml:space="preserve">is the managed FastCGI process manager for multi-application deployments.</w:t>
      </w:r>
      <w:r>
        <w:t xml:space="preserve"> </w:t>
      </w:r>
      <w:r>
        <w:t xml:space="preserve">It supervises independent</w:t>
      </w:r>
      <w:r>
        <w:t xml:space="preserve"> </w:t>
      </w:r>
      <w:r>
        <w:rPr>
          <w:rStyle w:val="VerbatimChar"/>
        </w:rPr>
        <w:t xml:space="preserve">axonasp-fastcgi</w:t>
      </w:r>
      <w:r>
        <w:t xml:space="preserve"> </w:t>
      </w:r>
      <w:r>
        <w:t xml:space="preserve">worker processes, applies per-pool execution identities, and restarts failed workers automatically.</w:t>
      </w:r>
    </w:p>
    <w:p>
      <w:pPr>
        <w:pStyle w:val="BodyText"/>
      </w:pPr>
      <w:r>
        <w:t xml:space="preserve">Use this mode when you host multiple applications, shared hosting tenants, or any environment where one application must not affect the others.</w:t>
      </w:r>
    </w:p>
    <w:bookmarkEnd w:id="155"/>
    <w:bookmarkStart w:id="156" w:name="requirements"/>
    <w:p>
      <w:pPr>
        <w:pStyle w:val="Heading2"/>
      </w:pPr>
      <w:r>
        <w:t xml:space="preserve">Requirements</w:t>
      </w:r>
    </w:p>
    <w:p>
      <w:pPr>
        <w:pStyle w:val="Compact"/>
        <w:numPr>
          <w:ilvl w:val="0"/>
          <w:numId w:val="1060"/>
        </w:numPr>
      </w:pPr>
      <w:r>
        <w:rPr>
          <w:b/>
          <w:bCs/>
        </w:rPr>
        <w:t xml:space="preserve">Operating system:</w:t>
      </w:r>
      <w:r>
        <w:t xml:space="preserve"> </w:t>
      </w:r>
      <w:r>
        <w:t xml:space="preserve">Linux or macOS.</w:t>
      </w:r>
    </w:p>
    <w:p>
      <w:pPr>
        <w:pStyle w:val="Compact"/>
        <w:numPr>
          <w:ilvl w:val="0"/>
          <w:numId w:val="1060"/>
        </w:numPr>
      </w:pPr>
      <w:r>
        <w:rPr>
          <w:b/>
          <w:bCs/>
        </w:rPr>
        <w:t xml:space="preserve">Privileges:</w:t>
      </w:r>
      <w:r>
        <w:t xml:space="preserve"> </w:t>
      </w:r>
      <w:r>
        <w:t xml:space="preserve">Start</w:t>
      </w:r>
      <w:r>
        <w:t xml:space="preserve"> </w:t>
      </w:r>
      <w:r>
        <w:rPr>
          <w:rStyle w:val="VerbatimChar"/>
        </w:rPr>
        <w:t xml:space="preserve">axonasp-fpm</w:t>
      </w:r>
      <w:r>
        <w:t xml:space="preserve"> </w:t>
      </w:r>
      <w:r>
        <w:t xml:space="preserve">as</w:t>
      </w:r>
      <w:r>
        <w:t xml:space="preserve"> </w:t>
      </w:r>
      <w:r>
        <w:rPr>
          <w:b/>
          <w:bCs/>
        </w:rPr>
        <w:t xml:space="preserve">root</w:t>
      </w:r>
      <w:r>
        <w:t xml:space="preserve">.</w:t>
      </w:r>
    </w:p>
    <w:p>
      <w:pPr>
        <w:pStyle w:val="Compact"/>
        <w:numPr>
          <w:ilvl w:val="0"/>
          <w:numId w:val="1060"/>
        </w:numPr>
      </w:pPr>
      <w:r>
        <w:rPr>
          <w:b/>
          <w:bCs/>
        </w:rPr>
        <w:t xml:space="preserve">Pool files directory:</w:t>
      </w:r>
      <w:r>
        <w:t xml:space="preserve"> </w:t>
      </w:r>
      <w:r>
        <w:rPr>
          <w:rStyle w:val="VerbatimChar"/>
        </w:rPr>
        <w:t xml:space="preserve">/opt/axonasp/fpm/fpm.d/</w:t>
      </w:r>
      <w:r>
        <w:t xml:space="preserve">.</w:t>
      </w:r>
    </w:p>
    <w:p>
      <w:pPr>
        <w:pStyle w:val="Compact"/>
        <w:numPr>
          <w:ilvl w:val="0"/>
          <w:numId w:val="1060"/>
        </w:numPr>
      </w:pPr>
      <w:r>
        <w:rPr>
          <w:b/>
          <w:bCs/>
        </w:rPr>
        <w:t xml:space="preserve">FastCGI worker binary path:</w:t>
      </w:r>
      <w:r>
        <w:t xml:space="preserve"> </w:t>
      </w:r>
      <w:r>
        <w:rPr>
          <w:rStyle w:val="VerbatimChar"/>
        </w:rPr>
        <w:t xml:space="preserve">/opt/axonasp/axonasp-fastcgi</w:t>
      </w:r>
      <w:r>
        <w:t xml:space="preserve">.</w:t>
      </w:r>
    </w:p>
    <w:p>
      <w:pPr>
        <w:pStyle w:val="FirstParagraph"/>
      </w:pPr>
      <w:r>
        <w:rPr>
          <w:rStyle w:val="VerbatimChar"/>
        </w:rPr>
        <w:t xml:space="preserve">axonasp-fpm</w:t>
      </w:r>
      <w:r>
        <w:t xml:space="preserve"> </w:t>
      </w:r>
      <w:r>
        <w:t xml:space="preserve">must start as root so it can:</w:t>
      </w:r>
    </w:p>
    <w:p>
      <w:pPr>
        <w:pStyle w:val="Compact"/>
        <w:numPr>
          <w:ilvl w:val="0"/>
          <w:numId w:val="1061"/>
        </w:numPr>
      </w:pPr>
      <w:r>
        <w:t xml:space="preserve">Spawn workers with per-pool UID and GID.</w:t>
      </w:r>
    </w:p>
    <w:p>
      <w:pPr>
        <w:pStyle w:val="Compact"/>
        <w:numPr>
          <w:ilvl w:val="0"/>
          <w:numId w:val="1061"/>
        </w:numPr>
      </w:pPr>
      <w:r>
        <w:t xml:space="preserve">Create and own socket and temp directories.</w:t>
      </w:r>
    </w:p>
    <w:p>
      <w:pPr>
        <w:pStyle w:val="Compact"/>
        <w:numPr>
          <w:ilvl w:val="0"/>
          <w:numId w:val="1061"/>
        </w:numPr>
      </w:pPr>
      <w:r>
        <w:t xml:space="preserve">Apply process memory controls where the operating system supports them.</w:t>
      </w:r>
    </w:p>
    <w:p>
      <w:pPr>
        <w:pStyle w:val="Compact"/>
        <w:numPr>
          <w:ilvl w:val="0"/>
          <w:numId w:val="1061"/>
        </w:numPr>
      </w:pPr>
      <w:r>
        <w:t xml:space="preserve">Enforce pool isolation boundaries.</w:t>
      </w:r>
    </w:p>
    <w:bookmarkEnd w:id="156"/>
    <w:bookmarkStart w:id="157" w:name="architecture-and-worker-lifecycle"/>
    <w:p>
      <w:pPr>
        <w:pStyle w:val="Heading2"/>
      </w:pPr>
      <w:r>
        <w:t xml:space="preserve">Architecture and Worker Lifecycle</w:t>
      </w:r>
    </w:p>
    <w:p>
      <w:pPr>
        <w:pStyle w:val="FirstParagraph"/>
      </w:pPr>
      <w:r>
        <w:rPr>
          <w:rStyle w:val="VerbatimChar"/>
        </w:rPr>
        <w:t xml:space="preserve">axonasp-fpm</w:t>
      </w:r>
      <w:r>
        <w:t xml:space="preserve"> </w:t>
      </w:r>
      <w:r>
        <w:t xml:space="preserve">uses a manager-plus-workers model:</w:t>
      </w:r>
    </w:p>
    <w:p>
      <w:pPr>
        <w:pStyle w:val="Compact"/>
        <w:numPr>
          <w:ilvl w:val="0"/>
          <w:numId w:val="1062"/>
        </w:numPr>
      </w:pPr>
      <w:r>
        <w:t xml:space="preserve">The manager scans</w:t>
      </w:r>
      <w:r>
        <w:t xml:space="preserve"> </w:t>
      </w:r>
      <w:r>
        <w:rPr>
          <w:rStyle w:val="VerbatimChar"/>
        </w:rPr>
        <w:t xml:space="preserve">/opt/axonasp/fpm/fpm.d/</w:t>
      </w:r>
      <w:r>
        <w:t xml:space="preserve"> </w:t>
      </w:r>
      <w:r>
        <w:t xml:space="preserve">for</w:t>
      </w:r>
      <w:r>
        <w:t xml:space="preserve"> </w:t>
      </w:r>
      <w:r>
        <w:rPr>
          <w:rStyle w:val="VerbatimChar"/>
        </w:rPr>
        <w:t xml:space="preserve">*.conf</w:t>
      </w:r>
      <w:r>
        <w:t xml:space="preserve"> </w:t>
      </w:r>
      <w:r>
        <w:t xml:space="preserve">files.</w:t>
      </w:r>
    </w:p>
    <w:p>
      <w:pPr>
        <w:pStyle w:val="Compact"/>
        <w:numPr>
          <w:ilvl w:val="0"/>
          <w:numId w:val="1062"/>
        </w:numPr>
      </w:pPr>
      <w:r>
        <w:t xml:space="preserve">For each new pool file, it starts one supervisor goroutine.</w:t>
      </w:r>
    </w:p>
    <w:p>
      <w:pPr>
        <w:pStyle w:val="Compact"/>
        <w:numPr>
          <w:ilvl w:val="0"/>
          <w:numId w:val="1062"/>
        </w:numPr>
      </w:pPr>
      <w:r>
        <w:t xml:space="preserve">The supervisor validates the pool, prepares directories, and starts</w:t>
      </w:r>
      <w:r>
        <w:t xml:space="preserve"> </w:t>
      </w:r>
      <w:r>
        <w:rPr>
          <w:rStyle w:val="VerbatimChar"/>
        </w:rPr>
        <w:t xml:space="preserve">axonasp-fastcgi</w:t>
      </w:r>
      <w:r>
        <w:t xml:space="preserve">.</w:t>
      </w:r>
    </w:p>
    <w:p>
      <w:pPr>
        <w:pStyle w:val="Compact"/>
        <w:numPr>
          <w:ilvl w:val="0"/>
          <w:numId w:val="1062"/>
        </w:numPr>
      </w:pPr>
      <w:r>
        <w:t xml:space="preserve">The manager drops worker privileges to the configured</w:t>
      </w:r>
      <w:r>
        <w:t xml:space="preserve"> </w:t>
      </w:r>
      <w:r>
        <w:rPr>
          <w:rStyle w:val="VerbatimChar"/>
        </w:rPr>
        <w:t xml:space="preserve">uid</w:t>
      </w:r>
      <w:r>
        <w:t xml:space="preserve"> </w:t>
      </w:r>
      <w:r>
        <w:t xml:space="preserve">and</w:t>
      </w:r>
      <w:r>
        <w:t xml:space="preserve"> </w:t>
      </w:r>
      <w:r>
        <w:rPr>
          <w:rStyle w:val="VerbatimChar"/>
        </w:rPr>
        <w:t xml:space="preserve">gid</w:t>
      </w:r>
      <w:r>
        <w:t xml:space="preserve">.</w:t>
      </w:r>
    </w:p>
    <w:p>
      <w:pPr>
        <w:pStyle w:val="Compact"/>
        <w:numPr>
          <w:ilvl w:val="0"/>
          <w:numId w:val="1062"/>
        </w:numPr>
      </w:pPr>
      <w:r>
        <w:t xml:space="preserve">If a worker exits unexpectedly, the supervisor restarts it after a 2-second delay.</w:t>
      </w:r>
    </w:p>
    <w:p>
      <w:pPr>
        <w:pStyle w:val="Compact"/>
        <w:numPr>
          <w:ilvl w:val="0"/>
          <w:numId w:val="1062"/>
        </w:numPr>
      </w:pPr>
      <w:r>
        <w:t xml:space="preserve">Restart attempts stop when</w:t>
      </w:r>
      <w:r>
        <w:t xml:space="preserve"> </w:t>
      </w:r>
      <w:r>
        <w:rPr>
          <w:rStyle w:val="VerbatimChar"/>
        </w:rPr>
        <w:t xml:space="preserve">max_restarts</w:t>
      </w:r>
      <w:r>
        <w:t xml:space="preserve"> </w:t>
      </w:r>
      <w:r>
        <w:t xml:space="preserve">is reached (unless the value is</w:t>
      </w:r>
      <w:r>
        <w:t xml:space="preserve"> </w:t>
      </w:r>
      <w:r>
        <w:rPr>
          <w:rStyle w:val="VerbatimChar"/>
        </w:rPr>
        <w:t xml:space="preserve">0</w:t>
      </w:r>
      <w:r>
        <w:t xml:space="preserve">).</w:t>
      </w:r>
    </w:p>
    <w:p>
      <w:pPr>
        <w:pStyle w:val="FirstParagraph"/>
      </w:pPr>
      <w:r>
        <w:t xml:space="preserve">Signal behavior:</w:t>
      </w:r>
    </w:p>
    <w:p>
      <w:pPr>
        <w:pStyle w:val="Compact"/>
        <w:numPr>
          <w:ilvl w:val="0"/>
          <w:numId w:val="1063"/>
        </w:numPr>
      </w:pPr>
      <w:r>
        <w:rPr>
          <w:rStyle w:val="VerbatimChar"/>
        </w:rPr>
        <w:t xml:space="preserve">SIGINT</w:t>
      </w:r>
      <w:r>
        <w:t xml:space="preserve"> </w:t>
      </w:r>
      <w:r>
        <w:t xml:space="preserve">or</w:t>
      </w:r>
      <w:r>
        <w:t xml:space="preserve"> </w:t>
      </w:r>
      <w:r>
        <w:rPr>
          <w:rStyle w:val="VerbatimChar"/>
        </w:rPr>
        <w:t xml:space="preserve">SIGTERM</w:t>
      </w:r>
      <w:r>
        <w:t xml:space="preserve">: Stop all pools and shut down the manager and the fastcgi workers.</w:t>
      </w:r>
    </w:p>
    <w:p>
      <w:pPr>
        <w:pStyle w:val="Compact"/>
        <w:numPr>
          <w:ilvl w:val="0"/>
          <w:numId w:val="1063"/>
        </w:numPr>
      </w:pPr>
      <w:r>
        <w:rPr>
          <w:rStyle w:val="VerbatimChar"/>
        </w:rPr>
        <w:t xml:space="preserve">SIGUSR2</w:t>
      </w:r>
      <w:r>
        <w:t xml:space="preserve"> </w:t>
      </w:r>
      <w:r>
        <w:t xml:space="preserve">(systemd</w:t>
      </w:r>
      <w:r>
        <w:t xml:space="preserve"> </w:t>
      </w:r>
      <w:r>
        <w:rPr>
          <w:rStyle w:val="VerbatimChar"/>
        </w:rPr>
        <w:t xml:space="preserve">reload</w:t>
      </w:r>
      <w:r>
        <w:t xml:space="preserve"> </w:t>
      </w:r>
      <w:r>
        <w:t xml:space="preserve">action): Rescan pool directory, detect changed</w:t>
      </w:r>
      <w:r>
        <w:t xml:space="preserve"> </w:t>
      </w:r>
      <w:r>
        <w:rPr>
          <w:rStyle w:val="VerbatimChar"/>
        </w:rPr>
        <w:t xml:space="preserve">.conf</w:t>
      </w:r>
      <w:r>
        <w:t xml:space="preserve"> </w:t>
      </w:r>
      <w:r>
        <w:t xml:space="preserve">files, gracefully stop only affected pools, and start them again with updated settings.</w:t>
      </w:r>
    </w:p>
    <w:p>
      <w:pPr>
        <w:pStyle w:val="Compact"/>
        <w:numPr>
          <w:ilvl w:val="0"/>
          <w:numId w:val="1063"/>
        </w:numPr>
      </w:pPr>
      <w:r>
        <w:rPr>
          <w:rStyle w:val="VerbatimChar"/>
        </w:rPr>
        <w:t xml:space="preserve">SIGHUP</w:t>
      </w:r>
      <w:r>
        <w:t xml:space="preserve">: Trigger the same rescan and selective pool reload behavior.</w:t>
      </w:r>
    </w:p>
    <w:p>
      <w:pPr>
        <w:pStyle w:val="FirstParagraph"/>
      </w:pPr>
      <w:r>
        <w:t xml:space="preserve">Important operational detail:</w:t>
      </w:r>
    </w:p>
    <w:p>
      <w:pPr>
        <w:pStyle w:val="Compact"/>
        <w:numPr>
          <w:ilvl w:val="0"/>
          <w:numId w:val="1064"/>
        </w:numPr>
      </w:pPr>
      <w:r>
        <w:t xml:space="preserve">During selective reload, unmodified pools remain active and uninterrupted.</w:t>
      </w:r>
    </w:p>
    <w:p>
      <w:pPr>
        <w:pStyle w:val="Compact"/>
        <w:numPr>
          <w:ilvl w:val="0"/>
          <w:numId w:val="1064"/>
        </w:numPr>
      </w:pPr>
      <w:r>
        <w:t xml:space="preserve">Worker shutdown during reload uses graceful</w:t>
      </w:r>
      <w:r>
        <w:t xml:space="preserve"> </w:t>
      </w:r>
      <w:r>
        <w:rPr>
          <w:rStyle w:val="VerbatimChar"/>
        </w:rPr>
        <w:t xml:space="preserve">SIGTERM</w:t>
      </w:r>
      <w:r>
        <w:t xml:space="preserve"> </w:t>
      </w:r>
      <w:r>
        <w:t xml:space="preserve">first and escalates to force kill only if the process does not exit within the grace window.</w:t>
      </w:r>
    </w:p>
    <w:bookmarkEnd w:id="157"/>
    <w:bookmarkStart w:id="158" w:name="pool-configuration-directives"/>
    <w:p>
      <w:pPr>
        <w:pStyle w:val="Heading2"/>
      </w:pPr>
      <w:r>
        <w:t xml:space="preserve">Pool Configuration Directives</w:t>
      </w:r>
    </w:p>
    <w:p>
      <w:pPr>
        <w:pStyle w:val="FirstParagraph"/>
      </w:pPr>
      <w:r>
        <w:t xml:space="preserve">Each pool file in</w:t>
      </w:r>
      <w:r>
        <w:t xml:space="preserve"> </w:t>
      </w:r>
      <w:r>
        <w:rPr>
          <w:rStyle w:val="VerbatimChar"/>
        </w:rPr>
        <w:t xml:space="preserve">/opt/axonasp/fpm/fpm.d/</w:t>
      </w:r>
      <w:r>
        <w:t xml:space="preserve"> </w:t>
      </w:r>
      <w:r>
        <w:t xml:space="preserve">is a TOML document.</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Directive</w:t>
            </w:r>
          </w:p>
        </w:tc>
        <w:tc>
          <w:tcPr/>
          <w:p>
            <w:pPr>
              <w:pStyle w:val="Compact"/>
            </w:pPr>
            <w:r>
              <w:t xml:space="preserve">Required</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site_name</w:t>
            </w:r>
          </w:p>
        </w:tc>
        <w:tc>
          <w:tcPr/>
          <w:p>
            <w:pPr>
              <w:pStyle w:val="Compact"/>
            </w:pPr>
            <w:r>
              <w:t xml:space="preserve">Yes</w:t>
            </w:r>
          </w:p>
        </w:tc>
        <w:tc>
          <w:tcPr/>
          <w:p>
            <w:pPr>
              <w:pStyle w:val="Compact"/>
            </w:pPr>
            <w:r>
              <w:t xml:space="preserve">String</w:t>
            </w:r>
          </w:p>
        </w:tc>
        <w:tc>
          <w:tcPr/>
          <w:p>
            <w:pPr>
              <w:pStyle w:val="Compact"/>
            </w:pPr>
            <w:r>
              <w:t xml:space="preserve">Pool identifier used in manager logs and cgroup naming. Use a unique value per application.</w:t>
            </w:r>
          </w:p>
        </w:tc>
      </w:tr>
      <w:tr>
        <w:tc>
          <w:tcPr/>
          <w:p>
            <w:pPr>
              <w:pStyle w:val="Compact"/>
            </w:pPr>
            <w:r>
              <w:rPr>
                <w:rStyle w:val="VerbatimChar"/>
              </w:rPr>
              <w:t xml:space="preserve">uid</w:t>
            </w:r>
          </w:p>
        </w:tc>
        <w:tc>
          <w:tcPr/>
          <w:p>
            <w:pPr>
              <w:pStyle w:val="Compact"/>
            </w:pPr>
            <w:r>
              <w:t xml:space="preserve">Yes</w:t>
            </w:r>
          </w:p>
        </w:tc>
        <w:tc>
          <w:tcPr/>
          <w:p>
            <w:pPr>
              <w:pStyle w:val="Compact"/>
            </w:pPr>
            <w:r>
              <w:t xml:space="preserve">Integer</w:t>
            </w:r>
          </w:p>
        </w:tc>
        <w:tc>
          <w:tcPr/>
          <w:p>
            <w:pPr>
              <w:pStyle w:val="Compact"/>
            </w:pPr>
            <w:r>
              <w:t xml:space="preserve">Numeric user ID used to run the worker process.</w:t>
            </w:r>
          </w:p>
        </w:tc>
      </w:tr>
      <w:tr>
        <w:tc>
          <w:tcPr/>
          <w:p>
            <w:pPr>
              <w:pStyle w:val="Compact"/>
            </w:pPr>
            <w:r>
              <w:rPr>
                <w:rStyle w:val="VerbatimChar"/>
              </w:rPr>
              <w:t xml:space="preserve">gid</w:t>
            </w:r>
          </w:p>
        </w:tc>
        <w:tc>
          <w:tcPr/>
          <w:p>
            <w:pPr>
              <w:pStyle w:val="Compact"/>
            </w:pPr>
            <w:r>
              <w:t xml:space="preserve">Yes</w:t>
            </w:r>
          </w:p>
        </w:tc>
        <w:tc>
          <w:tcPr/>
          <w:p>
            <w:pPr>
              <w:pStyle w:val="Compact"/>
            </w:pPr>
            <w:r>
              <w:t xml:space="preserve">Integer</w:t>
            </w:r>
          </w:p>
        </w:tc>
        <w:tc>
          <w:tcPr/>
          <w:p>
            <w:pPr>
              <w:pStyle w:val="Compact"/>
            </w:pPr>
            <w:r>
              <w:t xml:space="preserve">Numeric group ID used to run the worker process.</w:t>
            </w:r>
          </w:p>
        </w:tc>
      </w:tr>
      <w:tr>
        <w:tc>
          <w:tcPr/>
          <w:p>
            <w:pPr>
              <w:pStyle w:val="Compact"/>
            </w:pPr>
            <w:r>
              <w:rPr>
                <w:rStyle w:val="VerbatimChar"/>
              </w:rPr>
              <w:t xml:space="preserve">socket</w:t>
            </w:r>
          </w:p>
        </w:tc>
        <w:tc>
          <w:tcPr/>
          <w:p>
            <w:pPr>
              <w:pStyle w:val="Compact"/>
            </w:pPr>
            <w:r>
              <w:t xml:space="preserve">Yes</w:t>
            </w:r>
          </w:p>
        </w:tc>
        <w:tc>
          <w:tcPr/>
          <w:p>
            <w:pPr>
              <w:pStyle w:val="Compact"/>
            </w:pPr>
            <w:r>
              <w:t xml:space="preserve">String</w:t>
            </w:r>
          </w:p>
        </w:tc>
        <w:tc>
          <w:tcPr/>
          <w:p>
            <w:pPr>
              <w:pStyle w:val="Compact"/>
            </w:pPr>
            <w:r>
              <w:t xml:space="preserve">FastCGI endpoint passed to</w:t>
            </w:r>
            <w:r>
              <w:t xml:space="preserve"> </w:t>
            </w:r>
            <w:r>
              <w:rPr>
                <w:rStyle w:val="VerbatimChar"/>
              </w:rPr>
              <w:t xml:space="preserve">--fastcgi.server_port</w:t>
            </w:r>
            <w:r>
              <w:t xml:space="preserve">. Supports Unix socket paths or TCP endpoints.</w:t>
            </w:r>
          </w:p>
        </w:tc>
      </w:tr>
      <w:tr>
        <w:tc>
          <w:tcPr/>
          <w:p>
            <w:pPr>
              <w:pStyle w:val="Compact"/>
            </w:pPr>
            <w:r>
              <w:rPr>
                <w:rStyle w:val="VerbatimChar"/>
              </w:rPr>
              <w:t xml:space="preserve">config_file</w:t>
            </w:r>
          </w:p>
        </w:tc>
        <w:tc>
          <w:tcPr/>
          <w:p>
            <w:pPr>
              <w:pStyle w:val="Compact"/>
            </w:pPr>
            <w:r>
              <w:t xml:space="preserve">Yes</w:t>
            </w:r>
          </w:p>
        </w:tc>
        <w:tc>
          <w:tcPr/>
          <w:p>
            <w:pPr>
              <w:pStyle w:val="Compact"/>
            </w:pPr>
            <w:r>
              <w:t xml:space="preserve">String</w:t>
            </w:r>
          </w:p>
        </w:tc>
        <w:tc>
          <w:tcPr/>
          <w:p>
            <w:pPr>
              <w:pStyle w:val="Compact"/>
            </w:pPr>
            <w:r>
              <w:t xml:space="preserve">Absolute path to the AxonASP TOML config file used by the worker (</w:t>
            </w:r>
            <w:r>
              <w:rPr>
                <w:rStyle w:val="VerbatimChar"/>
              </w:rPr>
              <w:t xml:space="preserve">--config.config_file</w:t>
            </w:r>
            <w:r>
              <w:t xml:space="preserve">).</w:t>
            </w:r>
          </w:p>
        </w:tc>
      </w:tr>
      <w:tr>
        <w:tc>
          <w:tcPr/>
          <w:p>
            <w:pPr>
              <w:pStyle w:val="Compact"/>
            </w:pPr>
            <w:r>
              <w:rPr>
                <w:rStyle w:val="VerbatimChar"/>
              </w:rPr>
              <w:t xml:space="preserve">global_asa</w:t>
            </w:r>
          </w:p>
        </w:tc>
        <w:tc>
          <w:tcPr/>
          <w:p>
            <w:pPr>
              <w:pStyle w:val="Compact"/>
            </w:pPr>
            <w:r>
              <w:t xml:space="preserve">No</w:t>
            </w:r>
          </w:p>
        </w:tc>
        <w:tc>
          <w:tcPr/>
          <w:p>
            <w:pPr>
              <w:pStyle w:val="Compact"/>
            </w:pPr>
            <w:r>
              <w:t xml:space="preserve">String</w:t>
            </w:r>
          </w:p>
        </w:tc>
        <w:tc>
          <w:tcPr/>
          <w:p>
            <w:pPr>
              <w:pStyle w:val="Compact"/>
            </w:pPr>
            <w:r>
              <w:t xml:space="preserve">Optional directory passed to the worker as</w:t>
            </w:r>
            <w:r>
              <w:t xml:space="preserve"> </w:t>
            </w:r>
            <w:r>
              <w:rPr>
                <w:rStyle w:val="VerbatimChar"/>
              </w:rPr>
              <w:t xml:space="preserve">--config.global_asa</w:t>
            </w:r>
            <w:r>
              <w:t xml:space="preserve">. Use this to force one explicit</w:t>
            </w:r>
            <w:r>
              <w:t xml:space="preserve"> </w:t>
            </w:r>
            <w:r>
              <w:rPr>
                <w:rStyle w:val="VerbatimChar"/>
              </w:rPr>
              <w:t xml:space="preserve">global.asa</w:t>
            </w:r>
            <w:r>
              <w:t xml:space="preserve"> </w:t>
            </w:r>
            <w:r>
              <w:t xml:space="preserve">boundary per pool.</w:t>
            </w:r>
          </w:p>
        </w:tc>
      </w:tr>
      <w:tr>
        <w:tc>
          <w:tcPr/>
          <w:p>
            <w:pPr>
              <w:pStyle w:val="Compact"/>
            </w:pPr>
            <w:r>
              <w:rPr>
                <w:rStyle w:val="VerbatimChar"/>
              </w:rPr>
              <w:t xml:space="preserve">app_path</w:t>
            </w:r>
          </w:p>
        </w:tc>
        <w:tc>
          <w:tcPr/>
          <w:p>
            <w:pPr>
              <w:pStyle w:val="Compact"/>
            </w:pPr>
            <w:r>
              <w:t xml:space="preserve">Yes</w:t>
            </w:r>
          </w:p>
        </w:tc>
        <w:tc>
          <w:tcPr/>
          <w:p>
            <w:pPr>
              <w:pStyle w:val="Compact"/>
            </w:pPr>
            <w:r>
              <w:t xml:space="preserve">String</w:t>
            </w:r>
          </w:p>
        </w:tc>
        <w:tc>
          <w:tcPr/>
          <w:p>
            <w:pPr>
              <w:pStyle w:val="Compact"/>
            </w:pPr>
            <w:r>
              <w:t xml:space="preserve">Worker current directory. Must be an existing directory.</w:t>
            </w:r>
          </w:p>
        </w:tc>
      </w:tr>
      <w:tr>
        <w:tc>
          <w:tcPr/>
          <w:p>
            <w:pPr>
              <w:pStyle w:val="Compact"/>
            </w:pPr>
            <w:r>
              <w:rPr>
                <w:rStyle w:val="VerbatimChar"/>
              </w:rPr>
              <w:t xml:space="preserve">memory_limit_mb</w:t>
            </w:r>
          </w:p>
        </w:tc>
        <w:tc>
          <w:tcPr/>
          <w:p>
            <w:pPr>
              <w:pStyle w:val="Compact"/>
            </w:pPr>
            <w:r>
              <w:t xml:space="preserve">Yes</w:t>
            </w:r>
          </w:p>
        </w:tc>
        <w:tc>
          <w:tcPr/>
          <w:p>
            <w:pPr>
              <w:pStyle w:val="Compact"/>
            </w:pPr>
            <w:r>
              <w:t xml:space="preserve">Integer</w:t>
            </w:r>
          </w:p>
        </w:tc>
        <w:tc>
          <w:tcPr/>
          <w:p>
            <w:pPr>
              <w:pStyle w:val="Compact"/>
            </w:pPr>
            <w:r>
              <w:t xml:space="preserve">Memory ceiling in MB. The manager exports memory-related environment variables and attempts cgroup enforcement.</w:t>
            </w:r>
          </w:p>
        </w:tc>
      </w:tr>
      <w:tr>
        <w:tc>
          <w:tcPr/>
          <w:p>
            <w:pPr>
              <w:pStyle w:val="Compact"/>
            </w:pPr>
            <w:r>
              <w:rPr>
                <w:rStyle w:val="VerbatimChar"/>
              </w:rPr>
              <w:t xml:space="preserve">max_restarts</w:t>
            </w:r>
          </w:p>
        </w:tc>
        <w:tc>
          <w:tcPr/>
          <w:p>
            <w:pPr>
              <w:pStyle w:val="Compact"/>
            </w:pPr>
            <w:r>
              <w:t xml:space="preserve">Yes</w:t>
            </w:r>
          </w:p>
        </w:tc>
        <w:tc>
          <w:tcPr/>
          <w:p>
            <w:pPr>
              <w:pStyle w:val="Compact"/>
            </w:pPr>
            <w:r>
              <w:t xml:space="preserve">Integer</w:t>
            </w:r>
          </w:p>
        </w:tc>
        <w:tc>
          <w:tcPr/>
          <w:p>
            <w:pPr>
              <w:pStyle w:val="Compact"/>
            </w:pPr>
            <w:r>
              <w:t xml:space="preserve">Maximum restart attempts after crashes. Use</w:t>
            </w:r>
            <w:r>
              <w:t xml:space="preserve"> </w:t>
            </w:r>
            <w:r>
              <w:rPr>
                <w:rStyle w:val="VerbatimChar"/>
              </w:rPr>
              <w:t xml:space="preserve">0</w:t>
            </w:r>
            <w:r>
              <w:t xml:space="preserve"> </w:t>
            </w:r>
            <w:r>
              <w:t xml:space="preserve">for unlimited restarts.</w:t>
            </w:r>
          </w:p>
        </w:tc>
      </w:tr>
      <w:tr>
        <w:tc>
          <w:tcPr/>
          <w:p>
            <w:pPr>
              <w:pStyle w:val="Compact"/>
            </w:pPr>
            <w:r>
              <w:rPr>
                <w:rStyle w:val="VerbatimChar"/>
              </w:rPr>
              <w:t xml:space="preserve">tmp_dir</w:t>
            </w:r>
          </w:p>
        </w:tc>
        <w:tc>
          <w:tcPr/>
          <w:p>
            <w:pPr>
              <w:pStyle w:val="Compact"/>
            </w:pPr>
            <w:r>
              <w:t xml:space="preserve">No</w:t>
            </w:r>
          </w:p>
        </w:tc>
        <w:tc>
          <w:tcPr/>
          <w:p>
            <w:pPr>
              <w:pStyle w:val="Compact"/>
            </w:pPr>
            <w:r>
              <w:t xml:space="preserve">String</w:t>
            </w:r>
          </w:p>
        </w:tc>
        <w:tc>
          <w:tcPr/>
          <w:p>
            <w:pPr>
              <w:pStyle w:val="Compact"/>
            </w:pPr>
            <w:r>
              <w:t xml:space="preserve">Temporary directory for the pool. Defaults to</w:t>
            </w:r>
            <w:r>
              <w:t xml:space="preserve"> </w:t>
            </w:r>
            <w:r>
              <w:rPr>
                <w:rStyle w:val="VerbatimChar"/>
              </w:rPr>
              <w:t xml:space="preserve">/opt/axonasp/temp/</w:t>
            </w:r>
            <w:r>
              <w:t xml:space="preserve"> </w:t>
            </w:r>
            <w:r>
              <w:t xml:space="preserve">when omitted.</w:t>
            </w:r>
          </w:p>
        </w:tc>
      </w:tr>
    </w:tbl>
    <w:bookmarkEnd w:id="158"/>
    <w:bookmarkStart w:id="159" w:name="supported-socket-values"/>
    <w:p>
      <w:pPr>
        <w:pStyle w:val="Heading2"/>
      </w:pPr>
      <w:r>
        <w:t xml:space="preserve">Supported Socket Values</w:t>
      </w:r>
    </w:p>
    <w:p>
      <w:pPr>
        <w:pStyle w:val="FirstParagraph"/>
      </w:pPr>
      <w:r>
        <w:rPr>
          <w:rStyle w:val="VerbatimChar"/>
        </w:rPr>
        <w:t xml:space="preserve">socket</w:t>
      </w:r>
      <w:r>
        <w:t xml:space="preserve"> </w:t>
      </w:r>
      <w:r>
        <w:t xml:space="preserve">accepts these endpoint styles:</w:t>
      </w:r>
    </w:p>
    <w:p>
      <w:pPr>
        <w:pStyle w:val="Compact"/>
        <w:numPr>
          <w:ilvl w:val="0"/>
          <w:numId w:val="1065"/>
        </w:numPr>
      </w:pPr>
      <w:r>
        <w:t xml:space="preserve">Unix socket with prefix:</w:t>
      </w:r>
      <w:r>
        <w:t xml:space="preserve"> </w:t>
      </w:r>
      <w:r>
        <w:rPr>
          <w:rStyle w:val="VerbatimChar"/>
        </w:rPr>
        <w:t xml:space="preserve">unix:/var/run/axonasp/example.sock</w:t>
      </w:r>
    </w:p>
    <w:p>
      <w:pPr>
        <w:pStyle w:val="Compact"/>
        <w:numPr>
          <w:ilvl w:val="0"/>
          <w:numId w:val="1065"/>
        </w:numPr>
      </w:pPr>
      <w:r>
        <w:t xml:space="preserve">TCP host and port:</w:t>
      </w:r>
      <w:r>
        <w:t xml:space="preserve"> </w:t>
      </w:r>
      <w:r>
        <w:rPr>
          <w:rStyle w:val="VerbatimChar"/>
        </w:rPr>
        <w:t xml:space="preserve">127.0.0.1:9100</w:t>
      </w:r>
    </w:p>
    <w:p>
      <w:pPr>
        <w:pStyle w:val="Compact"/>
        <w:numPr>
          <w:ilvl w:val="0"/>
          <w:numId w:val="1065"/>
        </w:numPr>
      </w:pPr>
      <w:r>
        <w:t xml:space="preserve">TCP port only:</w:t>
      </w:r>
      <w:r>
        <w:t xml:space="preserve"> </w:t>
      </w:r>
      <w:r>
        <w:rPr>
          <w:rStyle w:val="VerbatimChar"/>
        </w:rPr>
        <w:t xml:space="preserve">9000</w:t>
      </w:r>
    </w:p>
    <w:p>
      <w:pPr>
        <w:pStyle w:val="FirstParagraph"/>
      </w:pPr>
      <w:r>
        <w:t xml:space="preserve">If you use a Unix socket, the manager creates the parent directory, changes ownership to the pool UID and GID, and removes stale socket files before worker start.</w:t>
      </w:r>
    </w:p>
    <w:bookmarkEnd w:id="159"/>
    <w:bookmarkStart w:id="160" w:name="complete-pool-example"/>
    <w:p>
      <w:pPr>
        <w:pStyle w:val="Heading2"/>
      </w:pPr>
      <w:r>
        <w:t xml:space="preserve">Complete Pool Example</w:t>
      </w:r>
    </w:p>
    <w:p>
      <w:pPr>
        <w:pStyle w:val="FirstParagraph"/>
      </w:pPr>
      <w:r>
        <w:t xml:space="preserve">You can use this as a production baseline and adjust values for each application or use the example file in</w:t>
      </w:r>
      <w:r>
        <w:t xml:space="preserve"> </w:t>
      </w:r>
      <w:r>
        <w:rPr>
          <w:rStyle w:val="VerbatimChar"/>
        </w:rPr>
        <w:t xml:space="preserve">/opt/axonasp/fpm/fpm.d/example.conf</w:t>
      </w:r>
      <w:r>
        <w:t xml:space="preserve"> </w:t>
      </w:r>
      <w:r>
        <w:t xml:space="preserve">as a template:</w:t>
      </w:r>
    </w:p>
    <w:p>
      <w:pPr>
        <w:pStyle w:val="SourceCode"/>
      </w:pPr>
      <w:r>
        <w:rPr>
          <w:rStyle w:val="DataTypeTok"/>
        </w:rPr>
        <w:t xml:space="preserve">site_name</w:t>
      </w:r>
      <w:r>
        <w:rPr>
          <w:rStyle w:val="NormalTok"/>
        </w:rPr>
        <w:t xml:space="preserve"> </w:t>
      </w:r>
      <w:r>
        <w:rPr>
          <w:rStyle w:val="OperatorTok"/>
        </w:rPr>
        <w:t xml:space="preserve">=</w:t>
      </w:r>
      <w:r>
        <w:rPr>
          <w:rStyle w:val="NormalTok"/>
        </w:rPr>
        <w:t xml:space="preserve"> </w:t>
      </w:r>
      <w:r>
        <w:rPr>
          <w:rStyle w:val="StringTok"/>
        </w:rPr>
        <w:t xml:space="preserve">"example.com"</w:t>
      </w:r>
      <w:r>
        <w:br/>
      </w:r>
      <w:r>
        <w:rPr>
          <w:rStyle w:val="DataTypeTok"/>
        </w:rPr>
        <w:t xml:space="preserve">uid</w:t>
      </w:r>
      <w:r>
        <w:rPr>
          <w:rStyle w:val="NormalTok"/>
        </w:rPr>
        <w:t xml:space="preserve"> </w:t>
      </w:r>
      <w:r>
        <w:rPr>
          <w:rStyle w:val="OperatorTok"/>
        </w:rPr>
        <w:t xml:space="preserve">=</w:t>
      </w:r>
      <w:r>
        <w:rPr>
          <w:rStyle w:val="NormalTok"/>
        </w:rPr>
        <w:t xml:space="preserve"> </w:t>
      </w:r>
      <w:r>
        <w:rPr>
          <w:rStyle w:val="DecValTok"/>
        </w:rPr>
        <w:t xml:space="preserve">1001</w:t>
      </w:r>
      <w:r>
        <w:br/>
      </w:r>
      <w:r>
        <w:rPr>
          <w:rStyle w:val="DataTypeTok"/>
        </w:rPr>
        <w:t xml:space="preserve">gid</w:t>
      </w:r>
      <w:r>
        <w:rPr>
          <w:rStyle w:val="NormalTok"/>
        </w:rPr>
        <w:t xml:space="preserve"> </w:t>
      </w:r>
      <w:r>
        <w:rPr>
          <w:rStyle w:val="OperatorTok"/>
        </w:rPr>
        <w:t xml:space="preserve">=</w:t>
      </w:r>
      <w:r>
        <w:rPr>
          <w:rStyle w:val="NormalTok"/>
        </w:rPr>
        <w:t xml:space="preserve"> </w:t>
      </w:r>
      <w:r>
        <w:rPr>
          <w:rStyle w:val="DecValTok"/>
        </w:rPr>
        <w:t xml:space="preserve">1001</w:t>
      </w:r>
      <w:r>
        <w:br/>
      </w:r>
      <w:r>
        <w:rPr>
          <w:rStyle w:val="DataTypeTok"/>
        </w:rPr>
        <w:t xml:space="preserve">socket</w:t>
      </w:r>
      <w:r>
        <w:rPr>
          <w:rStyle w:val="NormalTok"/>
        </w:rPr>
        <w:t xml:space="preserve"> </w:t>
      </w:r>
      <w:r>
        <w:rPr>
          <w:rStyle w:val="OperatorTok"/>
        </w:rPr>
        <w:t xml:space="preserve">=</w:t>
      </w:r>
      <w:r>
        <w:rPr>
          <w:rStyle w:val="NormalTok"/>
        </w:rPr>
        <w:t xml:space="preserve"> </w:t>
      </w:r>
      <w:r>
        <w:rPr>
          <w:rStyle w:val="StringTok"/>
        </w:rPr>
        <w:t xml:space="preserve">"/var/run/axonasp/example.com.sock"</w:t>
      </w:r>
      <w:r>
        <w:br/>
      </w:r>
      <w:r>
        <w:rPr>
          <w:rStyle w:val="DataTypeTok"/>
        </w:rPr>
        <w:t xml:space="preserve">config_file</w:t>
      </w:r>
      <w:r>
        <w:rPr>
          <w:rStyle w:val="NormalTok"/>
        </w:rPr>
        <w:t xml:space="preserve"> </w:t>
      </w:r>
      <w:r>
        <w:rPr>
          <w:rStyle w:val="OperatorTok"/>
        </w:rPr>
        <w:t xml:space="preserve">=</w:t>
      </w:r>
      <w:r>
        <w:rPr>
          <w:rStyle w:val="NormalTok"/>
        </w:rPr>
        <w:t xml:space="preserve"> </w:t>
      </w:r>
      <w:r>
        <w:rPr>
          <w:rStyle w:val="StringTok"/>
        </w:rPr>
        <w:t xml:space="preserve">"/opt/axonasp/config/axonasp.toml"</w:t>
      </w:r>
      <w:r>
        <w:br/>
      </w:r>
      <w:r>
        <w:rPr>
          <w:rStyle w:val="DataTypeTok"/>
        </w:rPr>
        <w:t xml:space="preserve">global_asa_path</w:t>
      </w:r>
      <w:r>
        <w:rPr>
          <w:rStyle w:val="NormalTok"/>
        </w:rPr>
        <w:t xml:space="preserve"> </w:t>
      </w:r>
      <w:r>
        <w:rPr>
          <w:rStyle w:val="OperatorTok"/>
        </w:rPr>
        <w:t xml:space="preserve">=</w:t>
      </w:r>
      <w:r>
        <w:rPr>
          <w:rStyle w:val="NormalTok"/>
        </w:rPr>
        <w:t xml:space="preserve"> </w:t>
      </w:r>
      <w:r>
        <w:rPr>
          <w:rStyle w:val="StringTok"/>
        </w:rPr>
        <w:t xml:space="preserve">"/opt/axonasp/sites/example.com"</w:t>
      </w:r>
      <w:r>
        <w:br/>
      </w:r>
      <w:r>
        <w:rPr>
          <w:rStyle w:val="DataTypeTok"/>
        </w:rPr>
        <w:t xml:space="preserve">app_path</w:t>
      </w:r>
      <w:r>
        <w:rPr>
          <w:rStyle w:val="NormalTok"/>
        </w:rPr>
        <w:t xml:space="preserve"> </w:t>
      </w:r>
      <w:r>
        <w:rPr>
          <w:rStyle w:val="OperatorTok"/>
        </w:rPr>
        <w:t xml:space="preserve">=</w:t>
      </w:r>
      <w:r>
        <w:rPr>
          <w:rStyle w:val="NormalTok"/>
        </w:rPr>
        <w:t xml:space="preserve"> </w:t>
      </w:r>
      <w:r>
        <w:rPr>
          <w:rStyle w:val="StringTok"/>
        </w:rPr>
        <w:t xml:space="preserve">"/opt/axonasp/"</w:t>
      </w:r>
      <w:r>
        <w:br/>
      </w:r>
      <w:r>
        <w:rPr>
          <w:rStyle w:val="DataTypeTok"/>
        </w:rPr>
        <w:t xml:space="preserve">memory_limit_mb</w:t>
      </w:r>
      <w:r>
        <w:rPr>
          <w:rStyle w:val="NormalTok"/>
        </w:rPr>
        <w:t xml:space="preserve"> </w:t>
      </w:r>
      <w:r>
        <w:rPr>
          <w:rStyle w:val="OperatorTok"/>
        </w:rPr>
        <w:t xml:space="preserve">=</w:t>
      </w:r>
      <w:r>
        <w:rPr>
          <w:rStyle w:val="NormalTok"/>
        </w:rPr>
        <w:t xml:space="preserve"> </w:t>
      </w:r>
      <w:r>
        <w:rPr>
          <w:rStyle w:val="DecValTok"/>
        </w:rPr>
        <w:t xml:space="preserve">256</w:t>
      </w:r>
      <w:r>
        <w:br/>
      </w:r>
      <w:r>
        <w:rPr>
          <w:rStyle w:val="DataTypeTok"/>
        </w:rPr>
        <w:t xml:space="preserve">max_restarts</w:t>
      </w:r>
      <w:r>
        <w:rPr>
          <w:rStyle w:val="NormalTok"/>
        </w:rPr>
        <w:t xml:space="preserve"> </w:t>
      </w:r>
      <w:r>
        <w:rPr>
          <w:rStyle w:val="OperatorTok"/>
        </w:rPr>
        <w:t xml:space="preserve">=</w:t>
      </w:r>
      <w:r>
        <w:rPr>
          <w:rStyle w:val="NormalTok"/>
        </w:rPr>
        <w:t xml:space="preserve"> </w:t>
      </w:r>
      <w:r>
        <w:rPr>
          <w:rStyle w:val="DecValTok"/>
        </w:rPr>
        <w:t xml:space="preserve">5</w:t>
      </w:r>
      <w:r>
        <w:br/>
      </w:r>
      <w:r>
        <w:rPr>
          <w:rStyle w:val="DataTypeTok"/>
        </w:rPr>
        <w:t xml:space="preserve">tmp_dir</w:t>
      </w:r>
      <w:r>
        <w:rPr>
          <w:rStyle w:val="NormalTok"/>
        </w:rPr>
        <w:t xml:space="preserve"> </w:t>
      </w:r>
      <w:r>
        <w:rPr>
          <w:rStyle w:val="OperatorTok"/>
        </w:rPr>
        <w:t xml:space="preserve">=</w:t>
      </w:r>
      <w:r>
        <w:rPr>
          <w:rStyle w:val="NormalTok"/>
        </w:rPr>
        <w:t xml:space="preserve"> </w:t>
      </w:r>
      <w:r>
        <w:rPr>
          <w:rStyle w:val="StringTok"/>
        </w:rPr>
        <w:t xml:space="preserve">"/opt/axonasp/temp/"</w:t>
      </w:r>
    </w:p>
    <w:bookmarkEnd w:id="160"/>
    <w:bookmarkStart w:id="161" w:name="permissions-and-isolation-checklist"/>
    <w:p>
      <w:pPr>
        <w:pStyle w:val="Heading2"/>
      </w:pPr>
      <w:r>
        <w:t xml:space="preserve">Permissions and Isolation Checklist</w:t>
      </w:r>
    </w:p>
    <w:p>
      <w:pPr>
        <w:pStyle w:val="FirstParagraph"/>
      </w:pPr>
      <w:r>
        <w:t xml:space="preserve">Before you start</w:t>
      </w:r>
      <w:r>
        <w:t xml:space="preserve"> </w:t>
      </w:r>
      <w:r>
        <w:rPr>
          <w:rStyle w:val="VerbatimChar"/>
        </w:rPr>
        <w:t xml:space="preserve">axonasp-fpm</w:t>
      </w:r>
      <w:r>
        <w:t xml:space="preserve">, ensure the configured</w:t>
      </w:r>
      <w:r>
        <w:t xml:space="preserve"> </w:t>
      </w:r>
      <w:r>
        <w:rPr>
          <w:rStyle w:val="VerbatimChar"/>
        </w:rPr>
        <w:t xml:space="preserve">uid</w:t>
      </w:r>
      <w:r>
        <w:t xml:space="preserve"> </w:t>
      </w:r>
      <w:r>
        <w:t xml:space="preserve">and</w:t>
      </w:r>
      <w:r>
        <w:t xml:space="preserve"> </w:t>
      </w:r>
      <w:r>
        <w:rPr>
          <w:rStyle w:val="VerbatimChar"/>
        </w:rPr>
        <w:t xml:space="preserve">gid</w:t>
      </w:r>
      <w:r>
        <w:t xml:space="preserve"> </w:t>
      </w:r>
      <w:r>
        <w:t xml:space="preserve">have:</w:t>
      </w:r>
    </w:p>
    <w:p>
      <w:pPr>
        <w:pStyle w:val="Compact"/>
        <w:numPr>
          <w:ilvl w:val="0"/>
          <w:numId w:val="1066"/>
        </w:numPr>
      </w:pPr>
      <w:r>
        <w:rPr>
          <w:b/>
          <w:bCs/>
        </w:rPr>
        <w:t xml:space="preserve">Read access</w:t>
      </w:r>
      <w:r>
        <w:t xml:space="preserve"> </w:t>
      </w:r>
      <w:r>
        <w:t xml:space="preserve">to</w:t>
      </w:r>
      <w:r>
        <w:t xml:space="preserve"> </w:t>
      </w:r>
      <w:r>
        <w:rPr>
          <w:rStyle w:val="VerbatimChar"/>
        </w:rPr>
        <w:t xml:space="preserve">config_file</w:t>
      </w:r>
      <w:r>
        <w:t xml:space="preserve">.</w:t>
      </w:r>
    </w:p>
    <w:p>
      <w:pPr>
        <w:pStyle w:val="Compact"/>
        <w:numPr>
          <w:ilvl w:val="0"/>
          <w:numId w:val="1066"/>
        </w:numPr>
      </w:pPr>
      <w:r>
        <w:rPr>
          <w:b/>
          <w:bCs/>
        </w:rPr>
        <w:t xml:space="preserve">Read and execute access</w:t>
      </w:r>
      <w:r>
        <w:t xml:space="preserve"> </w:t>
      </w:r>
      <w:r>
        <w:t xml:space="preserve">to</w:t>
      </w:r>
      <w:r>
        <w:t xml:space="preserve"> </w:t>
      </w:r>
      <w:r>
        <w:rPr>
          <w:rStyle w:val="VerbatimChar"/>
        </w:rPr>
        <w:t xml:space="preserve">app_path</w:t>
      </w:r>
      <w:r>
        <w:t xml:space="preserve"> </w:t>
      </w:r>
      <w:r>
        <w:t xml:space="preserve">and application files.</w:t>
      </w:r>
    </w:p>
    <w:p>
      <w:pPr>
        <w:pStyle w:val="Compact"/>
        <w:numPr>
          <w:ilvl w:val="0"/>
          <w:numId w:val="1066"/>
        </w:numPr>
      </w:pPr>
      <w:r>
        <w:rPr>
          <w:b/>
          <w:bCs/>
        </w:rPr>
        <w:t xml:space="preserve">Write access</w:t>
      </w:r>
      <w:r>
        <w:t xml:space="preserve"> </w:t>
      </w:r>
      <w:r>
        <w:t xml:space="preserve">to</w:t>
      </w:r>
      <w:r>
        <w:t xml:space="preserve"> </w:t>
      </w:r>
      <w:r>
        <w:rPr>
          <w:rStyle w:val="VerbatimChar"/>
        </w:rPr>
        <w:t xml:space="preserve">tmp_dir</w:t>
      </w:r>
      <w:r>
        <w:t xml:space="preserve">.</w:t>
      </w:r>
    </w:p>
    <w:p>
      <w:pPr>
        <w:pStyle w:val="Compact"/>
        <w:numPr>
          <w:ilvl w:val="0"/>
          <w:numId w:val="1066"/>
        </w:numPr>
      </w:pPr>
      <w:r>
        <w:rPr>
          <w:b/>
          <w:bCs/>
        </w:rPr>
        <w:t xml:space="preserve">Write access</w:t>
      </w:r>
      <w:r>
        <w:t xml:space="preserve"> </w:t>
      </w:r>
      <w:r>
        <w:t xml:space="preserve">to the Unix socket directory when using a Unix socket.</w:t>
      </w:r>
    </w:p>
    <w:p>
      <w:pPr>
        <w:pStyle w:val="FirstParagraph"/>
      </w:pPr>
      <w:r>
        <w:t xml:space="preserve">If permissions are incorrect, the pool fails to start or restarts repeatedly.</w:t>
      </w:r>
    </w:p>
    <w:bookmarkEnd w:id="161"/>
    <w:bookmarkStart w:id="163" w:name="start-and-operate-the-manager"/>
    <w:p>
      <w:pPr>
        <w:pStyle w:val="Heading2"/>
      </w:pPr>
      <w:r>
        <w:t xml:space="preserve">Start and Operate the Manager</w:t>
      </w:r>
    </w:p>
    <w:p>
      <w:pPr>
        <w:pStyle w:val="FirstParagraph"/>
      </w:pPr>
      <w:r>
        <w:t xml:space="preserve">Example startup:</w:t>
      </w:r>
    </w:p>
    <w:p>
      <w:pPr>
        <w:pStyle w:val="SourceCode"/>
      </w:pPr>
      <w:r>
        <w:rPr>
          <w:rStyle w:val="FunctionTok"/>
        </w:rPr>
        <w:t xml:space="preserve">sudo</w:t>
      </w:r>
      <w:r>
        <w:rPr>
          <w:rStyle w:val="NormalTok"/>
        </w:rPr>
        <w:t xml:space="preserve"> /opt/axonasp/axonasp-fpm</w:t>
      </w:r>
    </w:p>
    <w:p>
      <w:pPr>
        <w:pStyle w:val="FirstParagraph"/>
      </w:pPr>
      <w:r>
        <w:t xml:space="preserve">For production, run</w:t>
      </w:r>
      <w:r>
        <w:t xml:space="preserve"> </w:t>
      </w:r>
      <w:r>
        <w:rPr>
          <w:rStyle w:val="VerbatimChar"/>
        </w:rPr>
        <w:t xml:space="preserve">axonasp-fpm</w:t>
      </w:r>
      <w:r>
        <w:t xml:space="preserve"> </w:t>
      </w:r>
      <w:r>
        <w:t xml:space="preserve">as a</w:t>
      </w:r>
      <w:r>
        <w:t xml:space="preserve"> </w:t>
      </w:r>
      <w:r>
        <w:rPr>
          <w:b/>
          <w:bCs/>
        </w:rPr>
        <w:t xml:space="preserve">systemd service</w:t>
      </w:r>
      <w:r>
        <w:t xml:space="preserve"> </w:t>
      </w:r>
      <w:r>
        <w:t xml:space="preserve">instead of a manual shell process.</w:t>
      </w:r>
    </w:p>
    <w:bookmarkStart w:id="162" w:name="create-a-systemd-service-recommended"/>
    <w:p>
      <w:pPr>
        <w:pStyle w:val="Heading3"/>
      </w:pPr>
      <w:r>
        <w:t xml:space="preserve">Create a systemd Service (Recommended)</w:t>
      </w:r>
    </w:p>
    <w:p>
      <w:pPr>
        <w:pStyle w:val="FirstParagraph"/>
      </w:pPr>
      <w:r>
        <w:t xml:space="preserve">Create</w:t>
      </w:r>
      <w:r>
        <w:t xml:space="preserve"> </w:t>
      </w:r>
      <w:r>
        <w:rPr>
          <w:rStyle w:val="VerbatimChar"/>
        </w:rPr>
        <w:t xml:space="preserve">/etc/systemd/system/axonasp-fpm.service</w:t>
      </w:r>
      <w:r>
        <w:t xml:space="preserve">:</w:t>
      </w:r>
    </w:p>
    <w:p>
      <w:pPr>
        <w:pStyle w:val="SourceCode"/>
      </w:pPr>
      <w:r>
        <w:rPr>
          <w:rStyle w:val="KeywordTok"/>
        </w:rPr>
        <w:t xml:space="preserve">[Unit]</w:t>
      </w:r>
      <w:r>
        <w:br/>
      </w:r>
      <w:r>
        <w:rPr>
          <w:rStyle w:val="DataTypeTok"/>
        </w:rPr>
        <w:t xml:space="preserve">Description</w:t>
      </w:r>
      <w:r>
        <w:rPr>
          <w:rStyle w:val="OtherTok"/>
        </w:rPr>
        <w:t xml:space="preserve">=</w:t>
      </w:r>
      <w:r>
        <w:rPr>
          <w:rStyle w:val="StringTok"/>
        </w:rPr>
        <w:t xml:space="preserve">AxonASP-FPM</w:t>
      </w:r>
      <w:r>
        <w:br/>
      </w:r>
      <w:r>
        <w:rPr>
          <w:rStyle w:val="DataTypeTok"/>
        </w:rPr>
        <w:t xml:space="preserve">After</w:t>
      </w:r>
      <w:r>
        <w:rPr>
          <w:rStyle w:val="OtherTok"/>
        </w:rPr>
        <w:t xml:space="preserve">=</w:t>
      </w:r>
      <w:r>
        <w:rPr>
          <w:rStyle w:val="StringTok"/>
        </w:rPr>
        <w:t xml:space="preserve">network.target</w:t>
      </w:r>
      <w:r>
        <w:br/>
      </w:r>
      <w:r>
        <w:rPr>
          <w:rStyle w:val="DataTypeTok"/>
        </w:rPr>
        <w:t xml:space="preserve">Wants</w:t>
      </w:r>
      <w:r>
        <w:rPr>
          <w:rStyle w:val="OtherTok"/>
        </w:rPr>
        <w:t xml:space="preserve">=</w:t>
      </w:r>
      <w:r>
        <w:rPr>
          <w:rStyle w:val="StringTok"/>
        </w:rPr>
        <w:t xml:space="preserve">network-online.target</w:t>
      </w:r>
      <w:r>
        <w:br/>
      </w:r>
      <w:r>
        <w:br/>
      </w:r>
      <w:r>
        <w:rPr>
          <w:rStyle w:val="KeywordTok"/>
        </w:rPr>
        <w:t xml:space="preserve">[Service]</w:t>
      </w:r>
      <w:r>
        <w:br/>
      </w:r>
      <w:r>
        <w:rPr>
          <w:rStyle w:val="DataTypeTok"/>
        </w:rPr>
        <w:t xml:space="preserve">Type</w:t>
      </w:r>
      <w:r>
        <w:rPr>
          <w:rStyle w:val="OtherTok"/>
        </w:rPr>
        <w:t xml:space="preserve">=</w:t>
      </w:r>
      <w:r>
        <w:rPr>
          <w:rStyle w:val="StringTok"/>
        </w:rPr>
        <w:t xml:space="preserve">simple</w:t>
      </w:r>
      <w:r>
        <w:br/>
      </w:r>
      <w:r>
        <w:rPr>
          <w:rStyle w:val="DataTypeTok"/>
        </w:rPr>
        <w:t xml:space="preserve">User</w:t>
      </w:r>
      <w:r>
        <w:rPr>
          <w:rStyle w:val="OtherTok"/>
        </w:rPr>
        <w:t xml:space="preserve">=</w:t>
      </w:r>
      <w:r>
        <w:rPr>
          <w:rStyle w:val="StringTok"/>
        </w:rPr>
        <w:t xml:space="preserve">root</w:t>
      </w:r>
      <w:r>
        <w:br/>
      </w:r>
      <w:r>
        <w:rPr>
          <w:rStyle w:val="DataTypeTok"/>
        </w:rPr>
        <w:t xml:space="preserve">Group</w:t>
      </w:r>
      <w:r>
        <w:rPr>
          <w:rStyle w:val="OtherTok"/>
        </w:rPr>
        <w:t xml:space="preserve">=</w:t>
      </w:r>
      <w:r>
        <w:rPr>
          <w:rStyle w:val="StringTok"/>
        </w:rPr>
        <w:t xml:space="preserve">root</w:t>
      </w:r>
      <w:r>
        <w:br/>
      </w:r>
      <w:r>
        <w:rPr>
          <w:rStyle w:val="DataTypeTok"/>
        </w:rPr>
        <w:t xml:space="preserve">ExecStart</w:t>
      </w:r>
      <w:r>
        <w:rPr>
          <w:rStyle w:val="OtherTok"/>
        </w:rPr>
        <w:t xml:space="preserve">=</w:t>
      </w:r>
      <w:r>
        <w:rPr>
          <w:rStyle w:val="StringTok"/>
        </w:rPr>
        <w:t xml:space="preserve">/opt/axonasp/axonasp-fpm</w:t>
      </w:r>
      <w:r>
        <w:br/>
      </w:r>
      <w:r>
        <w:rPr>
          <w:rStyle w:val="DataTypeTok"/>
        </w:rPr>
        <w:t xml:space="preserve">Restart</w:t>
      </w:r>
      <w:r>
        <w:rPr>
          <w:rStyle w:val="OtherTok"/>
        </w:rPr>
        <w:t xml:space="preserve">=</w:t>
      </w:r>
      <w:r>
        <w:rPr>
          <w:rStyle w:val="StringTok"/>
        </w:rPr>
        <w:t xml:space="preserve">on-failure</w:t>
      </w:r>
      <w:r>
        <w:br/>
      </w:r>
      <w:r>
        <w:rPr>
          <w:rStyle w:val="DataTypeTok"/>
        </w:rPr>
        <w:t xml:space="preserve">RestartSec</w:t>
      </w:r>
      <w:r>
        <w:rPr>
          <w:rStyle w:val="OtherTok"/>
        </w:rPr>
        <w:t xml:space="preserve">=</w:t>
      </w:r>
      <w:r>
        <w:rPr>
          <w:rStyle w:val="DecValTok"/>
        </w:rPr>
        <w:t xml:space="preserve">2</w:t>
      </w:r>
      <w:r>
        <w:br/>
      </w:r>
      <w:r>
        <w:rPr>
          <w:rStyle w:val="DataTypeTok"/>
        </w:rPr>
        <w:t xml:space="preserve">KillSignal</w:t>
      </w:r>
      <w:r>
        <w:rPr>
          <w:rStyle w:val="OtherTok"/>
        </w:rPr>
        <w:t xml:space="preserve">=</w:t>
      </w:r>
      <w:r>
        <w:rPr>
          <w:rStyle w:val="StringTok"/>
        </w:rPr>
        <w:t xml:space="preserve">SIGTERM</w:t>
      </w:r>
      <w:r>
        <w:br/>
      </w:r>
      <w:r>
        <w:rPr>
          <w:rStyle w:val="DataTypeTok"/>
        </w:rPr>
        <w:t xml:space="preserve">TimeoutStopSec</w:t>
      </w:r>
      <w:r>
        <w:rPr>
          <w:rStyle w:val="OtherTok"/>
        </w:rPr>
        <w:t xml:space="preserve">=</w:t>
      </w:r>
      <w:r>
        <w:rPr>
          <w:rStyle w:val="DecValTok"/>
        </w:rPr>
        <w:t xml:space="preserve">30</w:t>
      </w:r>
      <w:r>
        <w:br/>
      </w:r>
      <w:r>
        <w:rPr>
          <w:rStyle w:val="DataTypeTok"/>
        </w:rPr>
        <w:t xml:space="preserve">StandardOutput</w:t>
      </w:r>
      <w:r>
        <w:rPr>
          <w:rStyle w:val="OtherTok"/>
        </w:rPr>
        <w:t xml:space="preserve">=</w:t>
      </w:r>
      <w:r>
        <w:rPr>
          <w:rStyle w:val="StringTok"/>
        </w:rPr>
        <w:t xml:space="preserve">journal</w:t>
      </w:r>
      <w:r>
        <w:br/>
      </w:r>
      <w:r>
        <w:rPr>
          <w:rStyle w:val="DataTypeTok"/>
        </w:rPr>
        <w:t xml:space="preserve">StandardError</w:t>
      </w:r>
      <w:r>
        <w:rPr>
          <w:rStyle w:val="OtherTok"/>
        </w:rPr>
        <w:t xml:space="preserve">=</w:t>
      </w:r>
      <w:r>
        <w:rPr>
          <w:rStyle w:val="StringTok"/>
        </w:rPr>
        <w:t xml:space="preserve">journal</w:t>
      </w:r>
      <w:r>
        <w:br/>
      </w:r>
      <w:r>
        <w:rPr>
          <w:rStyle w:val="DataTypeTok"/>
        </w:rPr>
        <w:t xml:space="preserve">SyslogIdentifier</w:t>
      </w:r>
      <w:r>
        <w:rPr>
          <w:rStyle w:val="OtherTok"/>
        </w:rPr>
        <w:t xml:space="preserve">=</w:t>
      </w:r>
      <w:r>
        <w:rPr>
          <w:rStyle w:val="StringTok"/>
        </w:rPr>
        <w:t xml:space="preserve">axonasp-fpm</w:t>
      </w:r>
      <w:r>
        <w:br/>
      </w:r>
      <w:r>
        <w:br/>
      </w:r>
      <w:r>
        <w:rPr>
          <w:rStyle w:val="KeywordTok"/>
        </w:rPr>
        <w:t xml:space="preserve">[Install]</w:t>
      </w:r>
      <w:r>
        <w:br/>
      </w:r>
      <w:r>
        <w:rPr>
          <w:rStyle w:val="DataTypeTok"/>
        </w:rPr>
        <w:t xml:space="preserve">WantedBy</w:t>
      </w:r>
      <w:r>
        <w:rPr>
          <w:rStyle w:val="OtherTok"/>
        </w:rPr>
        <w:t xml:space="preserve">=</w:t>
      </w:r>
      <w:r>
        <w:rPr>
          <w:rStyle w:val="StringTok"/>
        </w:rPr>
        <w:t xml:space="preserve">multi-user.target</w:t>
      </w:r>
    </w:p>
    <w:p>
      <w:pPr>
        <w:pStyle w:val="FirstParagraph"/>
      </w:pPr>
      <w:r>
        <w:t xml:space="preserve">Enable and start the service:</w:t>
      </w:r>
    </w:p>
    <w:p>
      <w:pPr>
        <w:pStyle w:val="SourceCode"/>
      </w:pPr>
      <w:r>
        <w:rPr>
          <w:rStyle w:val="FunctionTok"/>
        </w:rPr>
        <w:t xml:space="preserve">sudo</w:t>
      </w:r>
      <w:r>
        <w:rPr>
          <w:rStyle w:val="NormalTok"/>
        </w:rPr>
        <w:t xml:space="preserve"> systemctl daemon-reload</w:t>
      </w:r>
      <w:r>
        <w:br/>
      </w:r>
      <w:r>
        <w:rPr>
          <w:rStyle w:val="FunctionTok"/>
        </w:rPr>
        <w:t xml:space="preserve">sudo</w:t>
      </w:r>
      <w:r>
        <w:rPr>
          <w:rStyle w:val="NormalTok"/>
        </w:rPr>
        <w:t xml:space="preserve"> systemctl enable axonasp-fpm</w:t>
      </w:r>
      <w:r>
        <w:br/>
      </w:r>
      <w:r>
        <w:rPr>
          <w:rStyle w:val="FunctionTok"/>
        </w:rPr>
        <w:t xml:space="preserve">sudo</w:t>
      </w:r>
      <w:r>
        <w:rPr>
          <w:rStyle w:val="NormalTok"/>
        </w:rPr>
        <w:t xml:space="preserve"> systemctl start axonasp-fpm</w:t>
      </w:r>
    </w:p>
    <w:p>
      <w:pPr>
        <w:pStyle w:val="FirstParagraph"/>
      </w:pPr>
      <w:r>
        <w:t xml:space="preserve">Check status and logs:</w:t>
      </w:r>
    </w:p>
    <w:p>
      <w:pPr>
        <w:pStyle w:val="SourceCode"/>
      </w:pPr>
      <w:r>
        <w:rPr>
          <w:rStyle w:val="FunctionTok"/>
        </w:rPr>
        <w:t xml:space="preserve">sudo</w:t>
      </w:r>
      <w:r>
        <w:rPr>
          <w:rStyle w:val="NormalTok"/>
        </w:rPr>
        <w:t xml:space="preserve"> systemctl status axonasp-fpm</w:t>
      </w:r>
      <w:r>
        <w:br/>
      </w:r>
      <w:r>
        <w:rPr>
          <w:rStyle w:val="FunctionTok"/>
        </w:rPr>
        <w:t xml:space="preserve">sudo</w:t>
      </w:r>
      <w:r>
        <w:rPr>
          <w:rStyle w:val="NormalTok"/>
        </w:rPr>
        <w:t xml:space="preserve"> journalctl </w:t>
      </w:r>
      <w:r>
        <w:rPr>
          <w:rStyle w:val="AttributeTok"/>
        </w:rPr>
        <w:t xml:space="preserve">-u</w:t>
      </w:r>
      <w:r>
        <w:rPr>
          <w:rStyle w:val="NormalTok"/>
        </w:rPr>
        <w:t xml:space="preserve"> axonasp-fpm </w:t>
      </w:r>
      <w:r>
        <w:rPr>
          <w:rStyle w:val="AttributeTok"/>
        </w:rPr>
        <w:t xml:space="preserve">-f</w:t>
      </w:r>
    </w:p>
    <w:p>
      <w:pPr>
        <w:pStyle w:val="FirstParagraph"/>
      </w:pPr>
      <w:r>
        <w:t xml:space="preserve">Common operations:</w:t>
      </w:r>
    </w:p>
    <w:p>
      <w:pPr>
        <w:pStyle w:val="SourceCode"/>
      </w:pPr>
      <w:r>
        <w:rPr>
          <w:rStyle w:val="CommentTok"/>
        </w:rPr>
        <w:t xml:space="preserve"># Direct process mode: add new pool file, then trigger rescan</w:t>
      </w:r>
      <w:r>
        <w:br/>
      </w:r>
      <w:r>
        <w:rPr>
          <w:rStyle w:val="FunctionTok"/>
        </w:rPr>
        <w:t xml:space="preserve">sudo</w:t>
      </w:r>
      <w:r>
        <w:rPr>
          <w:rStyle w:val="NormalTok"/>
        </w:rPr>
        <w:t xml:space="preserve"> kill </w:t>
      </w:r>
      <w:r>
        <w:rPr>
          <w:rStyle w:val="AttributeTok"/>
        </w:rPr>
        <w:t xml:space="preserve">-HUP</w:t>
      </w:r>
      <w:r>
        <w:rPr>
          <w:rStyle w:val="NormalTok"/>
        </w:rPr>
        <w:t xml:space="preserve"> </w:t>
      </w:r>
      <w:r>
        <w:rPr>
          <w:rStyle w:val="OperatorTok"/>
        </w:rPr>
        <w:t xml:space="preserve">&lt;</w:t>
      </w:r>
      <w:r>
        <w:rPr>
          <w:rStyle w:val="NormalTok"/>
        </w:rPr>
        <w:t xml:space="preserve">fpm_manager_pid</w:t>
      </w:r>
      <w:r>
        <w:rPr>
          <w:rStyle w:val="OperatorTok"/>
        </w:rPr>
        <w:t xml:space="preserve">&gt;</w:t>
      </w:r>
      <w:r>
        <w:br/>
      </w:r>
      <w:r>
        <w:br/>
      </w:r>
      <w:r>
        <w:rPr>
          <w:rStyle w:val="CommentTok"/>
        </w:rPr>
        <w:t xml:space="preserve"># Direct process mode: graceful stop</w:t>
      </w:r>
      <w:r>
        <w:br/>
      </w:r>
      <w:r>
        <w:rPr>
          <w:rStyle w:val="FunctionTok"/>
        </w:rPr>
        <w:t xml:space="preserve">sudo</w:t>
      </w:r>
      <w:r>
        <w:rPr>
          <w:rStyle w:val="NormalTok"/>
        </w:rPr>
        <w:t xml:space="preserve"> kill </w:t>
      </w:r>
      <w:r>
        <w:rPr>
          <w:rStyle w:val="AttributeTok"/>
        </w:rPr>
        <w:t xml:space="preserve">-TERM</w:t>
      </w:r>
      <w:r>
        <w:rPr>
          <w:rStyle w:val="NormalTok"/>
        </w:rPr>
        <w:t xml:space="preserve"> </w:t>
      </w:r>
      <w:r>
        <w:rPr>
          <w:rStyle w:val="OperatorTok"/>
        </w:rPr>
        <w:t xml:space="preserve">&lt;</w:t>
      </w:r>
      <w:r>
        <w:rPr>
          <w:rStyle w:val="NormalTok"/>
        </w:rPr>
        <w:t xml:space="preserve">fpm_manager_pid</w:t>
      </w:r>
      <w:r>
        <w:rPr>
          <w:rStyle w:val="OperatorTok"/>
        </w:rPr>
        <w:t xml:space="preserve">&gt;</w:t>
      </w:r>
      <w:r>
        <w:br/>
      </w:r>
      <w:r>
        <w:br/>
      </w:r>
      <w:r>
        <w:rPr>
          <w:rStyle w:val="CommentTok"/>
        </w:rPr>
        <w:t xml:space="preserve"># systemd mode: graceful stop/start, full restart and reload</w:t>
      </w:r>
      <w:r>
        <w:br/>
      </w:r>
      <w:r>
        <w:rPr>
          <w:rStyle w:val="FunctionTok"/>
        </w:rPr>
        <w:t xml:space="preserve">sudo</w:t>
      </w:r>
      <w:r>
        <w:rPr>
          <w:rStyle w:val="NormalTok"/>
        </w:rPr>
        <w:t xml:space="preserve"> systemctl stop axonasp-fpm</w:t>
      </w:r>
      <w:r>
        <w:br/>
      </w:r>
      <w:r>
        <w:rPr>
          <w:rStyle w:val="FunctionTok"/>
        </w:rPr>
        <w:t xml:space="preserve">sudo</w:t>
      </w:r>
      <w:r>
        <w:rPr>
          <w:rStyle w:val="NormalTok"/>
        </w:rPr>
        <w:t xml:space="preserve"> systemctl start axonasp-fpm</w:t>
      </w:r>
      <w:r>
        <w:br/>
      </w:r>
      <w:r>
        <w:rPr>
          <w:rStyle w:val="FunctionTok"/>
        </w:rPr>
        <w:t xml:space="preserve">sudo</w:t>
      </w:r>
      <w:r>
        <w:rPr>
          <w:rStyle w:val="NormalTok"/>
        </w:rPr>
        <w:t xml:space="preserve"> systemctl restart axonasp-fpm</w:t>
      </w:r>
      <w:r>
        <w:br/>
      </w:r>
      <w:r>
        <w:rPr>
          <w:rStyle w:val="FunctionTok"/>
        </w:rPr>
        <w:t xml:space="preserve">sudo</w:t>
      </w:r>
      <w:r>
        <w:rPr>
          <w:rStyle w:val="NormalTok"/>
        </w:rPr>
        <w:t xml:space="preserve"> systemctl reload axonasp-fpm </w:t>
      </w:r>
      <w:r>
        <w:rPr>
          <w:rStyle w:val="CommentTok"/>
        </w:rPr>
        <w:t xml:space="preserve">#Reloads only modified pools; keeps unmodified pools running.</w:t>
      </w:r>
    </w:p>
    <w:bookmarkEnd w:id="162"/>
    <w:bookmarkEnd w:id="163"/>
    <w:bookmarkStart w:id="164" w:name="iis-administrator-translation-guide-1"/>
    <w:p>
      <w:pPr>
        <w:pStyle w:val="Heading2"/>
      </w:pPr>
      <w:r>
        <w:t xml:space="preserve">IIS Administrator Translation Guide</w:t>
      </w:r>
    </w:p>
    <w:p>
      <w:pPr>
        <w:pStyle w:val="FirstParagraph"/>
      </w:pPr>
      <w:r>
        <w:t xml:space="preserve">If you are migrating from a Windows IIS model, use the mappings below.</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AxonASP Concept</w:t>
            </w:r>
          </w:p>
        </w:tc>
        <w:tc>
          <w:tcPr/>
          <w:p>
            <w:pPr>
              <w:pStyle w:val="Compact"/>
            </w:pPr>
            <w:r>
              <w:t xml:space="preserve">IIS Equivalent</w:t>
            </w:r>
          </w:p>
        </w:tc>
        <w:tc>
          <w:tcPr/>
          <w:p>
            <w:pPr>
              <w:pStyle w:val="Compact"/>
            </w:pPr>
            <w:r>
              <w:t xml:space="preserve">Practical Meaning</w:t>
            </w:r>
          </w:p>
        </w:tc>
      </w:tr>
      <w:tr>
        <w:tc>
          <w:tcPr/>
          <w:p>
            <w:pPr>
              <w:pStyle w:val="Compact"/>
            </w:pPr>
            <w:r>
              <w:t xml:space="preserve">One pool</w:t>
            </w:r>
            <w:r>
              <w:t xml:space="preserve"> </w:t>
            </w:r>
            <w:r>
              <w:rPr>
                <w:rStyle w:val="VerbatimChar"/>
              </w:rPr>
              <w:t xml:space="preserve">.conf</w:t>
            </w:r>
            <w:r>
              <w:t xml:space="preserve"> </w:t>
            </w:r>
            <w:r>
              <w:t xml:space="preserve">file in</w:t>
            </w:r>
            <w:r>
              <w:t xml:space="preserve"> </w:t>
            </w:r>
            <w:r>
              <w:rPr>
                <w:rStyle w:val="VerbatimChar"/>
              </w:rPr>
              <w:t xml:space="preserve">fpm.d</w:t>
            </w:r>
          </w:p>
        </w:tc>
        <w:tc>
          <w:tcPr/>
          <w:p>
            <w:pPr>
              <w:pStyle w:val="Compact"/>
            </w:pPr>
            <w:r>
              <w:t xml:space="preserve">One IIS Application Pool</w:t>
            </w:r>
          </w:p>
        </w:tc>
        <w:tc>
          <w:tcPr/>
          <w:p>
            <w:pPr>
              <w:pStyle w:val="Compact"/>
            </w:pPr>
            <w:r>
              <w:t xml:space="preserve">Each pool is an isolated worker boundary for one application context.</w:t>
            </w:r>
          </w:p>
        </w:tc>
      </w:tr>
      <w:tr>
        <w:tc>
          <w:tcPr/>
          <w:p>
            <w:pPr>
              <w:pStyle w:val="Compact"/>
            </w:pPr>
            <w:r>
              <w:rPr>
                <w:rStyle w:val="VerbatimChar"/>
              </w:rPr>
              <w:t xml:space="preserve">uid</w:t>
            </w:r>
            <w:r>
              <w:t xml:space="preserve"> </w:t>
            </w:r>
            <w:r>
              <w:t xml:space="preserve">and</w:t>
            </w:r>
            <w:r>
              <w:t xml:space="preserve"> </w:t>
            </w:r>
            <w:r>
              <w:rPr>
                <w:rStyle w:val="VerbatimChar"/>
              </w:rPr>
              <w:t xml:space="preserve">gid</w:t>
            </w:r>
            <w:r>
              <w:t xml:space="preserve"> </w:t>
            </w:r>
            <w:r>
              <w:t xml:space="preserve">in pool config</w:t>
            </w:r>
          </w:p>
        </w:tc>
        <w:tc>
          <w:tcPr/>
          <w:p>
            <w:pPr>
              <w:pStyle w:val="Compact"/>
            </w:pPr>
            <w:r>
              <w:t xml:space="preserve">AppPool Identity</w:t>
            </w:r>
          </w:p>
        </w:tc>
        <w:tc>
          <w:tcPr/>
          <w:p>
            <w:pPr>
              <w:pStyle w:val="Compact"/>
            </w:pPr>
            <w:r>
              <w:t xml:space="preserve">Isolation requires separate pool files with distinct Unix users and groups.</w:t>
            </w:r>
          </w:p>
        </w:tc>
      </w:tr>
      <w:tr>
        <w:tc>
          <w:tcPr/>
          <w:p>
            <w:pPr>
              <w:pStyle w:val="Compact"/>
            </w:pPr>
            <w:r>
              <w:rPr>
                <w:rStyle w:val="VerbatimChar"/>
              </w:rPr>
              <w:t xml:space="preserve">global_asa</w:t>
            </w:r>
            <w:r>
              <w:t xml:space="preserve"> </w:t>
            </w:r>
            <w:r>
              <w:t xml:space="preserve">in pool config</w:t>
            </w:r>
          </w:p>
        </w:tc>
        <w:tc>
          <w:tcPr/>
          <w:p>
            <w:pPr>
              <w:pStyle w:val="Compact"/>
            </w:pPr>
            <w:r>
              <w:t xml:space="preserve">Virtual directory application boundary</w:t>
            </w:r>
          </w:p>
        </w:tc>
        <w:tc>
          <w:tcPr/>
          <w:p>
            <w:pPr>
              <w:pStyle w:val="Compact"/>
            </w:pPr>
            <w:r>
              <w:t xml:space="preserve">Defining</w:t>
            </w:r>
            <w:r>
              <w:t xml:space="preserve"> </w:t>
            </w:r>
            <w:r>
              <w:rPr>
                <w:rStyle w:val="VerbatimChar"/>
              </w:rPr>
              <w:t xml:space="preserve">global_asa</w:t>
            </w:r>
            <w:r>
              <w:t xml:space="preserve"> </w:t>
            </w:r>
            <w:r>
              <w:t xml:space="preserve">pins startup events and application scope to one explicit path per pool.</w:t>
            </w:r>
          </w:p>
        </w:tc>
      </w:tr>
      <w:tr>
        <w:tc>
          <w:tcPr/>
          <w:p>
            <w:pPr>
              <w:pStyle w:val="Compact"/>
            </w:pPr>
            <w:r>
              <w:rPr>
                <w:rStyle w:val="VerbatimChar"/>
              </w:rPr>
              <w:t xml:space="preserve">socket</w:t>
            </w:r>
            <w:r>
              <w:t xml:space="preserve"> </w:t>
            </w:r>
            <w:r>
              <w:t xml:space="preserve">endpoint per pool</w:t>
            </w:r>
          </w:p>
        </w:tc>
        <w:tc>
          <w:tcPr/>
          <w:p>
            <w:pPr>
              <w:pStyle w:val="Compact"/>
            </w:pPr>
            <w:r>
              <w:t xml:space="preserve">Handler endpoint per app pool</w:t>
            </w:r>
          </w:p>
        </w:tc>
        <w:tc>
          <w:tcPr/>
          <w:p>
            <w:pPr>
              <w:pStyle w:val="Compact"/>
            </w:pPr>
            <w:r>
              <w:t xml:space="preserve">Never share one socket across isolated applications.</w:t>
            </w:r>
          </w:p>
        </w:tc>
      </w:tr>
    </w:tbl>
    <w:p>
      <w:pPr>
        <w:pStyle w:val="BodyText"/>
      </w:pPr>
      <w:r>
        <w:t xml:space="preserve">Migration guidance:</w:t>
      </w:r>
    </w:p>
    <w:p>
      <w:pPr>
        <w:pStyle w:val="Compact"/>
        <w:numPr>
          <w:ilvl w:val="0"/>
          <w:numId w:val="1067"/>
        </w:numPr>
      </w:pPr>
      <w:r>
        <w:t xml:space="preserve">Use one</w:t>
      </w:r>
      <w:r>
        <w:t xml:space="preserve"> </w:t>
      </w:r>
      <w:r>
        <w:rPr>
          <w:rStyle w:val="VerbatimChar"/>
        </w:rPr>
        <w:t xml:space="preserve">.conf</w:t>
      </w:r>
      <w:r>
        <w:t xml:space="preserve"> </w:t>
      </w:r>
      <w:r>
        <w:t xml:space="preserve">file per isolated application, similar to one dedicated IIS Application Pool per site.</w:t>
      </w:r>
    </w:p>
    <w:p>
      <w:pPr>
        <w:pStyle w:val="Compact"/>
        <w:numPr>
          <w:ilvl w:val="0"/>
          <w:numId w:val="1067"/>
        </w:numPr>
      </w:pPr>
      <w:r>
        <w:t xml:space="preserve">Use different</w:t>
      </w:r>
      <w:r>
        <w:t xml:space="preserve"> </w:t>
      </w:r>
      <w:r>
        <w:rPr>
          <w:rStyle w:val="VerbatimChar"/>
        </w:rPr>
        <w:t xml:space="preserve">uid</w:t>
      </w:r>
      <w:r>
        <w:t xml:space="preserve">/</w:t>
      </w:r>
      <w:r>
        <w:rPr>
          <w:rStyle w:val="VerbatimChar"/>
        </w:rPr>
        <w:t xml:space="preserve">gid</w:t>
      </w:r>
      <w:r>
        <w:t xml:space="preserve"> </w:t>
      </w:r>
      <w:r>
        <w:t xml:space="preserve">values to replicate identity isolation between applications.</w:t>
      </w:r>
    </w:p>
    <w:p>
      <w:pPr>
        <w:pStyle w:val="Compact"/>
        <w:numPr>
          <w:ilvl w:val="0"/>
          <w:numId w:val="1067"/>
        </w:numPr>
      </w:pPr>
      <w:r>
        <w:t xml:space="preserve">Set</w:t>
      </w:r>
      <w:r>
        <w:t xml:space="preserve"> </w:t>
      </w:r>
      <w:r>
        <w:rPr>
          <w:rStyle w:val="VerbatimChar"/>
        </w:rPr>
        <w:t xml:space="preserve">global_asa</w:t>
      </w:r>
      <w:r>
        <w:t xml:space="preserve"> </w:t>
      </w:r>
      <w:r>
        <w:t xml:space="preserve">explicitly for each pool when multiple applications exist under one server tree.</w:t>
      </w:r>
    </w:p>
    <w:p>
      <w:pPr>
        <w:pStyle w:val="Compact"/>
        <w:numPr>
          <w:ilvl w:val="0"/>
          <w:numId w:val="1067"/>
        </w:numPr>
      </w:pPr>
      <w:r>
        <w:t xml:space="preserve">Prefer absolute paths for</w:t>
      </w:r>
      <w:r>
        <w:t xml:space="preserve"> </w:t>
      </w:r>
      <w:r>
        <w:rPr>
          <w:rStyle w:val="VerbatimChar"/>
        </w:rPr>
        <w:t xml:space="preserve">config_file</w:t>
      </w:r>
      <w:r>
        <w:t xml:space="preserve">,</w:t>
      </w:r>
      <w:r>
        <w:t xml:space="preserve"> </w:t>
      </w:r>
      <w:r>
        <w:rPr>
          <w:rStyle w:val="VerbatimChar"/>
        </w:rPr>
        <w:t xml:space="preserve">global_asa</w:t>
      </w:r>
      <w:r>
        <w:t xml:space="preserve">,</w:t>
      </w:r>
      <w:r>
        <w:t xml:space="preserve"> </w:t>
      </w:r>
      <w:r>
        <w:rPr>
          <w:rStyle w:val="VerbatimChar"/>
        </w:rPr>
        <w:t xml:space="preserve">app_path</w:t>
      </w:r>
      <w:r>
        <w:t xml:space="preserve">, and</w:t>
      </w:r>
      <w:r>
        <w:t xml:space="preserve"> </w:t>
      </w:r>
      <w:r>
        <w:rPr>
          <w:rStyle w:val="VerbatimChar"/>
        </w:rPr>
        <w:t xml:space="preserve">tmp_dir</w:t>
      </w:r>
      <w:r>
        <w:t xml:space="preserve"> </w:t>
      </w:r>
      <w:r>
        <w:t xml:space="preserve">in production to avoid path-resolution ambiguity.</w:t>
      </w:r>
    </w:p>
    <w:bookmarkEnd w:id="164"/>
    <w:bookmarkStart w:id="165" w:name="memory-control-notes"/>
    <w:p>
      <w:pPr>
        <w:pStyle w:val="Heading2"/>
      </w:pPr>
      <w:r>
        <w:t xml:space="preserve">Memory Control Notes</w:t>
      </w:r>
    </w:p>
    <w:p>
      <w:pPr>
        <w:pStyle w:val="FirstParagraph"/>
      </w:pPr>
      <w:r>
        <w:t xml:space="preserve">For each worker, the manager exports:</w:t>
      </w:r>
    </w:p>
    <w:p>
      <w:pPr>
        <w:pStyle w:val="Compact"/>
        <w:numPr>
          <w:ilvl w:val="0"/>
          <w:numId w:val="1068"/>
        </w:numPr>
      </w:pPr>
      <w:r>
        <w:rPr>
          <w:rStyle w:val="VerbatimChar"/>
        </w:rPr>
        <w:t xml:space="preserve">GOMEMLIMIT=&lt;memory_limit_mb&gt;MiB</w:t>
      </w:r>
    </w:p>
    <w:p>
      <w:pPr>
        <w:pStyle w:val="Compact"/>
        <w:numPr>
          <w:ilvl w:val="0"/>
          <w:numId w:val="1068"/>
        </w:numPr>
      </w:pPr>
      <w:r>
        <w:rPr>
          <w:rStyle w:val="VerbatimChar"/>
        </w:rPr>
        <w:t xml:space="preserve">GLOBAL_GOLANG_MEMORY_LIMIT_MB=&lt;memory_limit_mb&gt;MiB</w:t>
      </w:r>
    </w:p>
    <w:p>
      <w:pPr>
        <w:pStyle w:val="Compact"/>
        <w:numPr>
          <w:ilvl w:val="0"/>
          <w:numId w:val="1068"/>
        </w:numPr>
      </w:pPr>
      <w:r>
        <w:rPr>
          <w:rStyle w:val="VerbatimChar"/>
        </w:rPr>
        <w:t xml:space="preserve">GLOBAL_TEMP_DIR=&lt;tmp_dir&gt;</w:t>
      </w:r>
    </w:p>
    <w:p>
      <w:pPr>
        <w:pStyle w:val="Compact"/>
        <w:numPr>
          <w:ilvl w:val="0"/>
          <w:numId w:val="1068"/>
        </w:numPr>
      </w:pPr>
      <w:r>
        <w:rPr>
          <w:rStyle w:val="VerbatimChar"/>
        </w:rPr>
        <w:t xml:space="preserve">TMPDIR=&lt;tmp_dir&gt;</w:t>
      </w:r>
    </w:p>
    <w:p>
      <w:pPr>
        <w:pStyle w:val="FirstParagraph"/>
      </w:pPr>
      <w:r>
        <w:t xml:space="preserve">On Linux, the manager also attempts cgroup v2 memory enforcement under:</w:t>
      </w:r>
    </w:p>
    <w:p>
      <w:pPr>
        <w:pStyle w:val="BodyText"/>
      </w:pPr>
      <w:r>
        <w:rPr>
          <w:rStyle w:val="VerbatimChar"/>
        </w:rPr>
        <w:t xml:space="preserve">/sys/fs/cgroup/axonasp/&lt;site_name&gt;</w:t>
      </w:r>
    </w:p>
    <w:p>
      <w:pPr>
        <w:pStyle w:val="BodyText"/>
      </w:pPr>
      <w:r>
        <w:t xml:space="preserve">If cgroup delegation or permissions are missing, the manager logs a warning and continues running the pool.</w:t>
      </w:r>
    </w:p>
    <w:bookmarkEnd w:id="165"/>
    <w:bookmarkStart w:id="166" w:name="standalone-vs-fpm-boundaries"/>
    <w:p>
      <w:pPr>
        <w:pStyle w:val="Heading2"/>
      </w:pPr>
      <w:r>
        <w:t xml:space="preserve">Standalone vs FPM Boundaries</w:t>
      </w:r>
    </w:p>
    <w:p>
      <w:pPr>
        <w:pStyle w:val="FirstParagraph"/>
      </w:pPr>
      <w:r>
        <w:t xml:space="preserve">Do not mix unmanaged standalone workers and managed pools for the same application endpoint.</w:t>
      </w:r>
    </w:p>
    <w:p>
      <w:pPr>
        <w:pStyle w:val="Compact"/>
        <w:numPr>
          <w:ilvl w:val="0"/>
          <w:numId w:val="1069"/>
        </w:numPr>
      </w:pPr>
      <w:r>
        <w:t xml:space="preserve">Do not start</w:t>
      </w:r>
      <w:r>
        <w:t xml:space="preserve"> </w:t>
      </w:r>
      <w:r>
        <w:rPr>
          <w:rStyle w:val="VerbatimChar"/>
        </w:rPr>
        <w:t xml:space="preserve">axonasp-fastcgi</w:t>
      </w:r>
      <w:r>
        <w:t xml:space="preserve"> </w:t>
      </w:r>
      <w:r>
        <w:t xml:space="preserve">manually on a socket or port that an FPM pool already owns.</w:t>
      </w:r>
    </w:p>
    <w:p>
      <w:pPr>
        <w:pStyle w:val="Compact"/>
        <w:numPr>
          <w:ilvl w:val="0"/>
          <w:numId w:val="1069"/>
        </w:numPr>
      </w:pPr>
      <w:r>
        <w:t xml:space="preserve">Do not manage crash recovery scripts for workers already supervised by FPM.</w:t>
      </w:r>
    </w:p>
    <w:p>
      <w:pPr>
        <w:pStyle w:val="Compact"/>
        <w:numPr>
          <w:ilvl w:val="0"/>
          <w:numId w:val="1069"/>
        </w:numPr>
      </w:pPr>
      <w:r>
        <w:t xml:space="preserve">Do not share one Unix socket path across multiple pools.</w:t>
      </w:r>
    </w:p>
    <w:p>
      <w:pPr>
        <w:pStyle w:val="FirstParagraph"/>
      </w:pPr>
      <w:r>
        <w:t xml:space="preserve">Use standalone FastCGI only for single-application or explicitly manual deployments.</w:t>
      </w:r>
      <w:r>
        <w:t xml:space="preserve"> </w:t>
      </w:r>
      <w:r>
        <w:t xml:space="preserve">Use AxonASP-FPM as the default production model for multi-application hosting and when you need to use more than one global.asa context.</w:t>
      </w:r>
    </w:p>
    <w:bookmarkEnd w:id="166"/>
    <w:bookmarkEnd w:id="167"/>
    <w:bookmarkStart w:id="177" w:name="reverse-proxy-configuration"/>
    <w:p>
      <w:pPr>
        <w:pStyle w:val="Heading1"/>
      </w:pPr>
      <w:r>
        <w:t xml:space="preserve">Reverse Proxy Configuration</w:t>
      </w:r>
    </w:p>
    <w:bookmarkStart w:id="168" w:name="overview-10"/>
    <w:p>
      <w:pPr>
        <w:pStyle w:val="Heading2"/>
      </w:pPr>
      <w:r>
        <w:t xml:space="preserve">Overview</w:t>
      </w:r>
    </w:p>
    <w:p>
      <w:pPr>
        <w:pStyle w:val="FirstParagraph"/>
      </w:pPr>
      <w:r>
        <w:t xml:space="preserve">The recommended way to deploy AxonASP in production is behind a reverse proxy. The proxy handles TLS termination, rate limiting, static asset caching, and load balancing, while AxonASP focuses on executing ASP scripts. AxonASP HTTP server listens on port 8801 by default.</w:t>
      </w:r>
    </w:p>
    <w:bookmarkEnd w:id="168"/>
    <w:bookmarkStart w:id="169" w:name="prerequisites-2"/>
    <w:p>
      <w:pPr>
        <w:pStyle w:val="Heading2"/>
      </w:pPr>
      <w:r>
        <w:t xml:space="preserve">Prerequisites</w:t>
      </w:r>
    </w:p>
    <w:p>
      <w:pPr>
        <w:pStyle w:val="Compact"/>
        <w:numPr>
          <w:ilvl w:val="0"/>
          <w:numId w:val="1070"/>
        </w:numPr>
      </w:pPr>
      <w:r>
        <w:t xml:space="preserve">AxonASP HTTP server (</w:t>
      </w:r>
      <w:r>
        <w:rPr>
          <w:rStyle w:val="VerbatimChar"/>
        </w:rPr>
        <w:t xml:space="preserve">axonasp-http.exe</w:t>
      </w:r>
      <w:r>
        <w:t xml:space="preserve">) running and reachable on localhost</w:t>
      </w:r>
    </w:p>
    <w:p>
      <w:pPr>
        <w:pStyle w:val="Compact"/>
        <w:numPr>
          <w:ilvl w:val="0"/>
          <w:numId w:val="1070"/>
        </w:numPr>
      </w:pPr>
      <w:r>
        <w:t xml:space="preserve">A reverse proxy (Nginx, Apache, Caddy, or IIS) installed on the same machine or network</w:t>
      </w:r>
    </w:p>
    <w:p>
      <w:pPr>
        <w:pStyle w:val="FirstParagraph"/>
      </w:pPr>
      <w:r>
        <w:rPr>
          <w:b/>
          <w:bCs/>
        </w:rPr>
        <w:t xml:space="preserve">Start AxonASP:</w:t>
      </w:r>
    </w:p>
    <w:p>
      <w:pPr>
        <w:pStyle w:val="SourceCode"/>
      </w:pPr>
      <w:r>
        <w:rPr>
          <w:rStyle w:val="OperatorTok"/>
        </w:rPr>
        <w:t xml:space="preserve">.</w:t>
      </w:r>
      <w:r>
        <w:rPr>
          <w:rStyle w:val="NormalTok"/>
        </w:rPr>
        <w:t xml:space="preserve">\axonasp-http</w:t>
      </w:r>
      <w:r>
        <w:rPr>
          <w:rStyle w:val="OperatorTok"/>
        </w:rPr>
        <w:t xml:space="preserve">.</w:t>
      </w:r>
      <w:r>
        <w:rPr>
          <w:rStyle w:val="FunctionTok"/>
        </w:rPr>
        <w:t xml:space="preserve">exe</w:t>
      </w:r>
    </w:p>
    <w:p>
      <w:pPr>
        <w:pStyle w:val="FirstParagraph"/>
      </w:pPr>
      <w:r>
        <w:rPr>
          <w:b/>
          <w:bCs/>
        </w:rPr>
        <w:t xml:space="preserve">Start AxonASP with a Custom Configuration File:</w:t>
      </w:r>
    </w:p>
    <w:p>
      <w:pPr>
        <w:pStyle w:val="BodyText"/>
      </w:pPr>
      <w:r>
        <w:t xml:space="preserve">You can start the HTTP server process with a custom configuration using the</w:t>
      </w:r>
      <w:r>
        <w:t xml:space="preserve"> </w:t>
      </w:r>
      <w:r>
        <w:rPr>
          <w:rStyle w:val="VerbatimChar"/>
        </w:rPr>
        <w:t xml:space="preserve">-c</w:t>
      </w:r>
      <w:r>
        <w:t xml:space="preserve"> </w:t>
      </w:r>
      <w:r>
        <w:t xml:space="preserve">or</w:t>
      </w:r>
      <w:r>
        <w:t xml:space="preserve"> </w:t>
      </w:r>
      <w:r>
        <w:rPr>
          <w:rStyle w:val="VerbatimChar"/>
        </w:rPr>
        <w:t xml:space="preserve">--config.config_file</w:t>
      </w:r>
      <w:r>
        <w:t xml:space="preserve"> </w:t>
      </w:r>
      <w:r>
        <w:t xml:space="preserve">flag. This allows you to launch multiple distinct backend HTTP instances on different ports and web roots using separate configuration files:</w:t>
      </w:r>
    </w:p>
    <w:p>
      <w:pPr>
        <w:pStyle w:val="SourceCode"/>
      </w:pPr>
      <w:r>
        <w:rPr>
          <w:rStyle w:val="OperatorTok"/>
        </w:rPr>
        <w:t xml:space="preserve">.</w:t>
      </w:r>
      <w:r>
        <w:rPr>
          <w:rStyle w:val="NormalTok"/>
        </w:rPr>
        <w:t xml:space="preserve">\axonasp-http</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\config\app_a</w:t>
      </w:r>
      <w:r>
        <w:rPr>
          <w:rStyle w:val="OperatorTok"/>
        </w:rPr>
        <w:t xml:space="preserve">.</w:t>
      </w:r>
      <w:r>
        <w:rPr>
          <w:rStyle w:val="FunctionTok"/>
        </w:rPr>
        <w:t xml:space="preserve">toml</w:t>
      </w:r>
    </w:p>
    <w:bookmarkEnd w:id="169"/>
    <w:bookmarkStart w:id="170" w:name="why-not-expose-axonasp-directly"/>
    <w:p>
      <w:pPr>
        <w:pStyle w:val="Heading2"/>
      </w:pPr>
      <w:r>
        <w:t xml:space="preserve">Why Not Expose AxonASP Directly</w:t>
      </w:r>
    </w:p>
    <w:p>
      <w:pPr>
        <w:pStyle w:val="FirstParagraph"/>
      </w:pPr>
      <w:r>
        <w:t xml:space="preserve">Do not expose</w:t>
      </w:r>
      <w:r>
        <w:t xml:space="preserve"> </w:t>
      </w:r>
      <w:r>
        <w:rPr>
          <w:rStyle w:val="VerbatimChar"/>
        </w:rPr>
        <w:t xml:space="preserve">axonasp-http.exe</w:t>
      </w:r>
      <w:r>
        <w:t xml:space="preserve"> </w:t>
      </w:r>
      <w:r>
        <w:t xml:space="preserve">directly to public internet traffic:</w:t>
      </w:r>
    </w:p>
    <w:p>
      <w:pPr>
        <w:pStyle w:val="Compact"/>
        <w:numPr>
          <w:ilvl w:val="0"/>
          <w:numId w:val="1071"/>
        </w:numPr>
      </w:pPr>
      <w:r>
        <w:t xml:space="preserve">No centralized TLS/SSL termination</w:t>
      </w:r>
    </w:p>
    <w:p>
      <w:pPr>
        <w:pStyle w:val="Compact"/>
        <w:numPr>
          <w:ilvl w:val="0"/>
          <w:numId w:val="1071"/>
        </w:numPr>
      </w:pPr>
      <w:r>
        <w:t xml:space="preserve">No rate-limiting or DDoS protection</w:t>
      </w:r>
    </w:p>
    <w:p>
      <w:pPr>
        <w:pStyle w:val="Compact"/>
        <w:numPr>
          <w:ilvl w:val="0"/>
          <w:numId w:val="1071"/>
        </w:numPr>
      </w:pPr>
      <w:r>
        <w:t xml:space="preserve">No centralized request logging</w:t>
      </w:r>
    </w:p>
    <w:p>
      <w:pPr>
        <w:pStyle w:val="Compact"/>
        <w:numPr>
          <w:ilvl w:val="0"/>
          <w:numId w:val="1071"/>
        </w:numPr>
      </w:pPr>
      <w:r>
        <w:t xml:space="preserve">Increased attack surface</w:t>
      </w:r>
    </w:p>
    <w:p>
      <w:pPr>
        <w:pStyle w:val="FirstParagraph"/>
      </w:pPr>
      <w:r>
        <w:t xml:space="preserve">Use a reverse proxy as the public-facing entry point.</w:t>
      </w:r>
    </w:p>
    <w:bookmarkEnd w:id="170"/>
    <w:bookmarkStart w:id="171" w:name="nginx-proxy-mode"/>
    <w:p>
      <w:pPr>
        <w:pStyle w:val="Heading2"/>
      </w:pPr>
      <w:r>
        <w:t xml:space="preserve">Nginx (Proxy Mode)</w:t>
      </w:r>
    </w:p>
    <w:p>
      <w:pPr>
        <w:pStyle w:val="SourceCode"/>
      </w:pPr>
      <w:r>
        <w:rPr>
          <w:rStyle w:val="VerbatimChar"/>
        </w:rPr>
        <w:t xml:space="preserve">upstream axonasp_backend {</w:t>
      </w:r>
      <w:r>
        <w:br/>
      </w:r>
      <w:r>
        <w:rPr>
          <w:rStyle w:val="VerbatimChar"/>
        </w:rPr>
        <w:t xml:space="preserve">    server localhost:8801 max_fails=3 fail_timeout=30s;</w:t>
      </w:r>
      <w:r>
        <w:br/>
      </w:r>
      <w:r>
        <w:rPr>
          <w:rStyle w:val="VerbatimChar"/>
        </w:rPr>
        <w:t xml:space="preserve">}</w:t>
      </w:r>
      <w:r>
        <w:br/>
      </w:r>
      <w:r>
        <w:br/>
      </w:r>
      <w:r>
        <w:rPr>
          <w:rStyle w:val="VerbatimChar"/>
        </w:rPr>
        <w:t xml:space="preserve">server {</w:t>
      </w:r>
      <w:r>
        <w:br/>
      </w:r>
      <w:r>
        <w:rPr>
          <w:rStyle w:val="VerbatimChar"/>
        </w:rPr>
        <w:t xml:space="preserve">    listen 80;</w:t>
      </w:r>
      <w:r>
        <w:br/>
      </w:r>
      <w:r>
        <w:rPr>
          <w:rStyle w:val="VerbatimChar"/>
        </w:rPr>
        <w:t xml:space="preserve">    server_name myapp.example.com;</w:t>
      </w:r>
      <w:r>
        <w:br/>
      </w:r>
      <w:r>
        <w:rPr>
          <w:rStyle w:val="VerbatimChar"/>
        </w:rPr>
        <w:t xml:space="preserve">    return 301 https://$server_name$request_uri;</w:t>
      </w:r>
      <w:r>
        <w:br/>
      </w:r>
      <w:r>
        <w:rPr>
          <w:rStyle w:val="VerbatimChar"/>
        </w:rPr>
        <w:t xml:space="preserve">}</w:t>
      </w:r>
      <w:r>
        <w:br/>
      </w:r>
      <w:r>
        <w:br/>
      </w:r>
      <w:r>
        <w:rPr>
          <w:rStyle w:val="VerbatimChar"/>
        </w:rPr>
        <w:t xml:space="preserve">server {</w:t>
      </w:r>
      <w:r>
        <w:br/>
      </w:r>
      <w:r>
        <w:rPr>
          <w:rStyle w:val="VerbatimChar"/>
        </w:rPr>
        <w:t xml:space="preserve">    listen 443 ssl http2;</w:t>
      </w:r>
      <w:r>
        <w:br/>
      </w:r>
      <w:r>
        <w:rPr>
          <w:rStyle w:val="VerbatimChar"/>
        </w:rPr>
        <w:t xml:space="preserve">    server_name myapp.example.com;</w:t>
      </w:r>
      <w:r>
        <w:br/>
      </w:r>
      <w:r>
        <w:br/>
      </w:r>
      <w:r>
        <w:rPr>
          <w:rStyle w:val="VerbatimChar"/>
        </w:rPr>
        <w:t xml:space="preserve">    ssl_certificate /etc/ssl/certs/myapp.crt;</w:t>
      </w:r>
      <w:r>
        <w:br/>
      </w:r>
      <w:r>
        <w:rPr>
          <w:rStyle w:val="VerbatimChar"/>
        </w:rPr>
        <w:t xml:space="preserve">    ssl_certificate_key /etc/ssl/private/myapp.key;</w:t>
      </w:r>
      <w:r>
        <w:br/>
      </w:r>
      <w:r>
        <w:rPr>
          <w:rStyle w:val="VerbatimChar"/>
        </w:rPr>
        <w:t xml:space="preserve">    ssl_protocols TLSv1.2 TLSv1.3;</w:t>
      </w:r>
      <w:r>
        <w:br/>
      </w:r>
      <w:r>
        <w:rPr>
          <w:rStyle w:val="VerbatimChar"/>
        </w:rPr>
        <w:t xml:space="preserve">    ssl_ciphers HIGH:!aNULL:!MD5;</w:t>
      </w:r>
      <w:r>
        <w:br/>
      </w:r>
      <w:r>
        <w:br/>
      </w:r>
      <w:r>
        <w:rPr>
          <w:rStyle w:val="VerbatimChar"/>
        </w:rPr>
        <w:t xml:space="preserve">    location / {</w:t>
      </w:r>
      <w:r>
        <w:br/>
      </w:r>
      <w:r>
        <w:rPr>
          <w:rStyle w:val="VerbatimChar"/>
        </w:rPr>
        <w:t xml:space="preserve">        proxy_pass http://axonasp_backend;</w:t>
      </w:r>
      <w:r>
        <w:br/>
      </w:r>
      <w:r>
        <w:rPr>
          <w:rStyle w:val="VerbatimChar"/>
        </w:rPr>
        <w:t xml:space="preserve">        proxy_set_header Host $host;</w:t>
      </w:r>
      <w:r>
        <w:br/>
      </w:r>
      <w:r>
        <w:rPr>
          <w:rStyle w:val="VerbatimChar"/>
        </w:rPr>
        <w:t xml:space="preserve">        proxy_set_header X-Real-IP $remote_addr;</w:t>
      </w:r>
      <w:r>
        <w:br/>
      </w:r>
      <w:r>
        <w:rPr>
          <w:rStyle w:val="VerbatimChar"/>
        </w:rPr>
        <w:t xml:space="preserve">        proxy_set_header X-Forwarded-For $proxy_add_x_forwarded_for;</w:t>
      </w:r>
      <w:r>
        <w:br/>
      </w:r>
      <w:r>
        <w:rPr>
          <w:rStyle w:val="VerbatimChar"/>
        </w:rPr>
        <w:t xml:space="preserve">        proxy_set_header X-Forwarded-Proto $scheme;</w:t>
      </w:r>
      <w:r>
        <w:br/>
      </w:r>
      <w:r>
        <w:rPr>
          <w:rStyle w:val="VerbatimChar"/>
        </w:rPr>
        <w:t xml:space="preserve">        proxy_buffering off;</w:t>
      </w:r>
      <w:r>
        <w:br/>
      </w:r>
      <w:r>
        <w:rPr>
          <w:rStyle w:val="VerbatimChar"/>
        </w:rPr>
        <w:t xml:space="preserve">        proxy_request_buffering off;</w:t>
      </w:r>
      <w:r>
        <w:br/>
      </w:r>
      <w:r>
        <w:rPr>
          <w:rStyle w:val="VerbatimChar"/>
        </w:rPr>
        <w:t xml:space="preserve">    }</w:t>
      </w:r>
      <w:r>
        <w:br/>
      </w:r>
      <w:r>
        <w:rPr>
          <w:rStyle w:val="VerbatimChar"/>
        </w:rPr>
        <w:t xml:space="preserve">}</w:t>
      </w:r>
    </w:p>
    <w:bookmarkEnd w:id="171"/>
    <w:bookmarkStart w:id="172" w:name="apache-proxy-mode"/>
    <w:p>
      <w:pPr>
        <w:pStyle w:val="Heading2"/>
      </w:pPr>
      <w:r>
        <w:t xml:space="preserve">Apache (Proxy Mode)</w:t>
      </w:r>
    </w:p>
    <w:p>
      <w:pPr>
        <w:pStyle w:val="SourceCode"/>
      </w:pPr>
      <w:r>
        <w:rPr>
          <w:rStyle w:val="FunctionTok"/>
        </w:rPr>
        <w:t xml:space="preserve">&lt;VirtualHost</w:t>
      </w:r>
      <w:r>
        <w:rPr>
          <w:rStyle w:val="AttributeTok"/>
        </w:rPr>
        <w:t xml:space="preserve"> *:80</w:t>
      </w:r>
      <w:r>
        <w:rPr>
          <w:rStyle w:val="FunctionTok"/>
        </w:rPr>
        <w:t xml:space="preserve">&gt;</w:t>
      </w:r>
      <w:r>
        <w:br/>
      </w:r>
      <w:r>
        <w:rPr>
          <w:rStyle w:val="NormalTok"/>
        </w:rPr>
        <w:t xml:space="preserve">    ServerName</w:t>
      </w:r>
      <w:r>
        <w:rPr>
          <w:rStyle w:val="StringTok"/>
        </w:rPr>
        <w:t xml:space="preserve"> myapp.example.com</w:t>
      </w:r>
      <w:r>
        <w:br/>
      </w:r>
      <w:r>
        <w:rPr>
          <w:rStyle w:val="NormalTok"/>
        </w:rPr>
        <w:t xml:space="preserve">    </w:t>
      </w:r>
      <w:r>
        <w:rPr>
          <w:rStyle w:val="ExtensionTok"/>
        </w:rPr>
        <w:t xml:space="preserve">RewriteEngine</w:t>
      </w:r>
      <w:r>
        <w:rPr>
          <w:rStyle w:val="CharTok"/>
        </w:rPr>
        <w:t xml:space="preserve"> </w:t>
      </w:r>
      <w:r>
        <w:rPr>
          <w:rStyle w:val="KeywordTok"/>
        </w:rPr>
        <w:t xml:space="preserve">On</w:t>
      </w:r>
      <w:r>
        <w:br/>
      </w:r>
      <w:r>
        <w:rPr>
          <w:rStyle w:val="NormalTok"/>
        </w:rPr>
        <w:t xml:space="preserve">    RewriteCond</w:t>
      </w:r>
      <w:r>
        <w:rPr>
          <w:rStyle w:val="StringTok"/>
        </w:rPr>
        <w:t xml:space="preserve"> %{HTTPS} off</w:t>
      </w:r>
      <w:r>
        <w:br/>
      </w:r>
      <w:r>
        <w:rPr>
          <w:rStyle w:val="NormalTok"/>
        </w:rPr>
        <w:t xml:space="preserve">    RewriteRule</w:t>
      </w:r>
      <w:r>
        <w:rPr>
          <w:rStyle w:val="StringTok"/>
        </w:rPr>
        <w:t xml:space="preserve"> ^(.*)$ https://%{HTTP_HOST}%{REQUEST_URI} [L,R=301]</w:t>
      </w:r>
      <w:r>
        <w:br/>
      </w:r>
      <w:r>
        <w:rPr>
          <w:rStyle w:val="FunctionTok"/>
        </w:rPr>
        <w:t xml:space="preserve">&lt;/VirtualHost&gt;</w:t>
      </w:r>
      <w:r>
        <w:br/>
      </w:r>
      <w:r>
        <w:br/>
      </w:r>
      <w:r>
        <w:rPr>
          <w:rStyle w:val="FunctionTok"/>
        </w:rPr>
        <w:t xml:space="preserve">&lt;VirtualHost</w:t>
      </w:r>
      <w:r>
        <w:rPr>
          <w:rStyle w:val="AttributeTok"/>
        </w:rPr>
        <w:t xml:space="preserve"> *:443</w:t>
      </w:r>
      <w:r>
        <w:rPr>
          <w:rStyle w:val="FunctionTok"/>
        </w:rPr>
        <w:t xml:space="preserve">&gt;</w:t>
      </w:r>
      <w:r>
        <w:br/>
      </w:r>
      <w:r>
        <w:rPr>
          <w:rStyle w:val="NormalTok"/>
        </w:rPr>
        <w:t xml:space="preserve">    ServerName</w:t>
      </w:r>
      <w:r>
        <w:rPr>
          <w:rStyle w:val="StringTok"/>
        </w:rPr>
        <w:t xml:space="preserve"> myapp.example.com</w:t>
      </w:r>
      <w:r>
        <w:br/>
      </w:r>
      <w:r>
        <w:br/>
      </w:r>
      <w:r>
        <w:rPr>
          <w:rStyle w:val="NormalTok"/>
        </w:rPr>
        <w:t xml:space="preserve">    </w:t>
      </w:r>
      <w:r>
        <w:rPr>
          <w:rStyle w:val="ExtensionTok"/>
        </w:rPr>
        <w:t xml:space="preserve">SSLEngine</w:t>
      </w:r>
      <w:r>
        <w:rPr>
          <w:rStyle w:val="CharTok"/>
        </w:rPr>
        <w:t xml:space="preserve"> </w:t>
      </w:r>
      <w:r>
        <w:rPr>
          <w:rStyle w:val="KeywordTok"/>
        </w:rPr>
        <w:t xml:space="preserve">on</w:t>
      </w:r>
      <w:r>
        <w:br/>
      </w:r>
      <w:r>
        <w:rPr>
          <w:rStyle w:val="NormalTok"/>
        </w:rPr>
        <w:t xml:space="preserve">    SSLCertificateFile</w:t>
      </w:r>
      <w:r>
        <w:rPr>
          <w:rStyle w:val="StringTok"/>
        </w:rPr>
        <w:t xml:space="preserve"> /etc/ssl/certs/myapp.crt</w:t>
      </w:r>
      <w:r>
        <w:br/>
      </w:r>
      <w:r>
        <w:rPr>
          <w:rStyle w:val="NormalTok"/>
        </w:rPr>
        <w:t xml:space="preserve">    SSLCertificateKeyFile</w:t>
      </w:r>
      <w:r>
        <w:rPr>
          <w:rStyle w:val="StringTok"/>
        </w:rPr>
        <w:t xml:space="preserve"> /etc/ssl/private/myapp.key</w:t>
      </w:r>
      <w:r>
        <w:br/>
      </w:r>
      <w:r>
        <w:rPr>
          <w:rStyle w:val="NormalTok"/>
        </w:rPr>
        <w:t xml:space="preserve">    </w:t>
      </w:r>
      <w:r>
        <w:rPr>
          <w:rStyle w:val="ExtensionTok"/>
        </w:rPr>
        <w:t xml:space="preserve">SSLProtocol</w:t>
      </w:r>
      <w:r>
        <w:rPr>
          <w:rStyle w:val="CharTok"/>
        </w:rPr>
        <w:t xml:space="preserve"> </w:t>
      </w:r>
      <w:r>
        <w:rPr>
          <w:rStyle w:val="KeywordTok"/>
        </w:rPr>
        <w:t xml:space="preserve">TLSv1</w:t>
      </w:r>
      <w:r>
        <w:rPr>
          <w:rStyle w:val="CharTok"/>
        </w:rPr>
        <w:t xml:space="preserve">.2 </w:t>
      </w:r>
      <w:r>
        <w:rPr>
          <w:rStyle w:val="KeywordTok"/>
        </w:rPr>
        <w:t xml:space="preserve">TLSv1</w:t>
      </w:r>
      <w:r>
        <w:rPr>
          <w:rStyle w:val="CharTok"/>
        </w:rPr>
        <w:t xml:space="preserve">.3</w:t>
      </w:r>
      <w:r>
        <w:br/>
      </w:r>
      <w:r>
        <w:br/>
      </w:r>
      <w:r>
        <w:rPr>
          <w:rStyle w:val="NormalTok"/>
        </w:rPr>
        <w:t xml:space="preserve">    </w:t>
      </w:r>
      <w:r>
        <w:rPr>
          <w:rStyle w:val="ExtensionTok"/>
        </w:rPr>
        <w:t xml:space="preserve">ProxyRequests</w:t>
      </w:r>
      <w:r>
        <w:rPr>
          <w:rStyle w:val="CharTok"/>
        </w:rPr>
        <w:t xml:space="preserve"> </w:t>
      </w:r>
      <w:r>
        <w:rPr>
          <w:rStyle w:val="KeywordTok"/>
        </w:rPr>
        <w:t xml:space="preserve">Off</w:t>
      </w:r>
      <w:r>
        <w:br/>
      </w:r>
      <w:r>
        <w:rPr>
          <w:rStyle w:val="NormalTok"/>
        </w:rPr>
        <w:t xml:space="preserve">    </w:t>
      </w:r>
      <w:r>
        <w:rPr>
          <w:rStyle w:val="ExtensionTok"/>
        </w:rPr>
        <w:t xml:space="preserve">ProxyPreserveHost</w:t>
      </w:r>
      <w:r>
        <w:rPr>
          <w:rStyle w:val="CharTok"/>
        </w:rPr>
        <w:t xml:space="preserve"> </w:t>
      </w:r>
      <w:r>
        <w:rPr>
          <w:rStyle w:val="KeywordTok"/>
        </w:rPr>
        <w:t xml:space="preserve">On</w:t>
      </w:r>
      <w:r>
        <w:br/>
      </w:r>
      <w:r>
        <w:br/>
      </w:r>
      <w:r>
        <w:rPr>
          <w:rStyle w:val="NormalTok"/>
        </w:rPr>
        <w:t xml:space="preserve">    </w:t>
      </w:r>
      <w:r>
        <w:rPr>
          <w:rStyle w:val="FunctionTok"/>
        </w:rPr>
        <w:t xml:space="preserve">&lt;Location</w:t>
      </w:r>
      <w:r>
        <w:rPr>
          <w:rStyle w:val="AttributeTok"/>
        </w:rPr>
        <w:t xml:space="preserve"> /</w:t>
      </w:r>
      <w:r>
        <w:rPr>
          <w:rStyle w:val="FunctionTok"/>
        </w:rPr>
        <w:t xml:space="preserve">&gt;</w:t>
      </w:r>
      <w:r>
        <w:br/>
      </w:r>
      <w:r>
        <w:rPr>
          <w:rStyle w:val="NormalTok"/>
        </w:rPr>
        <w:t xml:space="preserve">        ProxyPass</w:t>
      </w:r>
      <w:r>
        <w:rPr>
          <w:rStyle w:val="StringTok"/>
        </w:rPr>
        <w:t xml:space="preserve"> http://localhost:8801/</w:t>
      </w:r>
      <w:r>
        <w:br/>
      </w:r>
      <w:r>
        <w:rPr>
          <w:rStyle w:val="NormalTok"/>
        </w:rPr>
        <w:t xml:space="preserve">        ProxyPassReverse</w:t>
      </w:r>
      <w:r>
        <w:rPr>
          <w:rStyle w:val="StringTok"/>
        </w:rPr>
        <w:t xml:space="preserve"> http://localhost:8801/</w:t>
      </w:r>
      <w:r>
        <w:br/>
      </w:r>
      <w:r>
        <w:rPr>
          <w:rStyle w:val="NormalTok"/>
        </w:rPr>
        <w:t xml:space="preserve">        RequestHeader</w:t>
      </w:r>
      <w:r>
        <w:rPr>
          <w:rStyle w:val="StringTok"/>
        </w:rPr>
        <w:t xml:space="preserve"> set X-Real-IP "%{REMOTE_ADDR}s"</w:t>
      </w:r>
      <w:r>
        <w:br/>
      </w:r>
      <w:r>
        <w:rPr>
          <w:rStyle w:val="NormalTok"/>
        </w:rPr>
        <w:t xml:space="preserve">        RequestHeader</w:t>
      </w:r>
      <w:r>
        <w:rPr>
          <w:rStyle w:val="StringTok"/>
        </w:rPr>
        <w:t xml:space="preserve"> set X-Forwarded-For "%{HTTP:X-Forwarded-For}s, %{REMOTE_ADDR}s"</w:t>
      </w:r>
      <w:r>
        <w:br/>
      </w:r>
      <w:r>
        <w:rPr>
          <w:rStyle w:val="NormalTok"/>
        </w:rPr>
        <w:t xml:space="preserve">        RequestHeader</w:t>
      </w:r>
      <w:r>
        <w:rPr>
          <w:rStyle w:val="StringTok"/>
        </w:rPr>
        <w:t xml:space="preserve"> set X-Forwarded-Proto "%{REQUEST_SCHEME}s"</w:t>
      </w:r>
      <w:r>
        <w:br/>
      </w:r>
      <w:r>
        <w:rPr>
          <w:rStyle w:val="NormalTok"/>
        </w:rPr>
        <w:t xml:space="preserve">    </w:t>
      </w:r>
      <w:r>
        <w:rPr>
          <w:rStyle w:val="FunctionTok"/>
        </w:rPr>
        <w:t xml:space="preserve">&lt;/Location&gt;</w:t>
      </w:r>
      <w:r>
        <w:br/>
      </w:r>
      <w:r>
        <w:rPr>
          <w:rStyle w:val="FunctionTok"/>
        </w:rPr>
        <w:t xml:space="preserve">&lt;/VirtualHost&gt;</w:t>
      </w:r>
    </w:p>
    <w:p>
      <w:pPr>
        <w:pStyle w:val="FirstParagraph"/>
      </w:pPr>
      <w:r>
        <w:t xml:space="preserve">Enable required modules:</w:t>
      </w:r>
    </w:p>
    <w:p>
      <w:pPr>
        <w:pStyle w:val="SourceCode"/>
      </w:pPr>
      <w:r>
        <w:rPr>
          <w:rStyle w:val="ExtensionTok"/>
        </w:rPr>
        <w:t xml:space="preserve">a2enmod</w:t>
      </w:r>
      <w:r>
        <w:rPr>
          <w:rStyle w:val="NormalTok"/>
        </w:rPr>
        <w:t xml:space="preserve"> proxy proxy_http ssl rewrite headers</w:t>
      </w:r>
      <w:r>
        <w:br/>
      </w:r>
      <w:r>
        <w:rPr>
          <w:rStyle w:val="ExtensionTok"/>
        </w:rPr>
        <w:t xml:space="preserve">systemctl</w:t>
      </w:r>
      <w:r>
        <w:rPr>
          <w:rStyle w:val="NormalTok"/>
        </w:rPr>
        <w:t xml:space="preserve"> restart apache2</w:t>
      </w:r>
    </w:p>
    <w:bookmarkEnd w:id="172"/>
    <w:bookmarkStart w:id="173" w:name="caddy-proxy-mode"/>
    <w:p>
      <w:pPr>
        <w:pStyle w:val="Heading2"/>
      </w:pPr>
      <w:r>
        <w:t xml:space="preserve">Caddy (Proxy Mode)</w:t>
      </w:r>
    </w:p>
    <w:p>
      <w:pPr>
        <w:pStyle w:val="FirstParagraph"/>
      </w:pPr>
      <w:r>
        <w:t xml:space="preserve">Caddy handles HTTPS certificates automatically through Let’s Encrypt:</w:t>
      </w:r>
    </w:p>
    <w:p>
      <w:pPr>
        <w:pStyle w:val="SourceCode"/>
      </w:pPr>
      <w:r>
        <w:rPr>
          <w:rStyle w:val="VerbatimChar"/>
        </w:rPr>
        <w:t xml:space="preserve">myapp.example.com {</w:t>
      </w:r>
      <w:r>
        <w:br/>
      </w:r>
      <w:r>
        <w:rPr>
          <w:rStyle w:val="VerbatimChar"/>
        </w:rPr>
        <w:t xml:space="preserve">    reverse_proxy localhost:8801 {</w:t>
      </w:r>
      <w:r>
        <w:br/>
      </w:r>
      <w:r>
        <w:rPr>
          <w:rStyle w:val="VerbatimChar"/>
        </w:rPr>
        <w:t xml:space="preserve">        header_up X-Forwarded-Proto {scheme}</w:t>
      </w:r>
      <w:r>
        <w:br/>
      </w:r>
      <w:r>
        <w:rPr>
          <w:rStyle w:val="VerbatimChar"/>
        </w:rPr>
        <w:t xml:space="preserve">        header_up X-Forwarded-For {remote_host}</w:t>
      </w:r>
      <w:r>
        <w:br/>
      </w:r>
      <w:r>
        <w:rPr>
          <w:rStyle w:val="VerbatimChar"/>
        </w:rPr>
        <w:t xml:space="preserve">        header_up X-Real-IP {remote_host}</w:t>
      </w:r>
      <w:r>
        <w:br/>
      </w:r>
      <w:r>
        <w:rPr>
          <w:rStyle w:val="VerbatimChar"/>
        </w:rPr>
        <w:t xml:space="preserve">    }</w:t>
      </w:r>
      <w:r>
        <w:br/>
      </w:r>
      <w:r>
        <w:rPr>
          <w:rStyle w:val="VerbatimChar"/>
        </w:rPr>
        <w:t xml:space="preserve">}</w:t>
      </w:r>
    </w:p>
    <w:p>
      <w:pPr>
        <w:pStyle w:val="FirstParagraph"/>
      </w:pPr>
      <w:r>
        <w:t xml:space="preserve">Start Caddy:</w:t>
      </w:r>
    </w:p>
    <w:p>
      <w:pPr>
        <w:pStyle w:val="SourceCode"/>
      </w:pPr>
      <w:r>
        <w:rPr>
          <w:rStyle w:val="ExtensionTok"/>
        </w:rPr>
        <w:t xml:space="preserve">caddy</w:t>
      </w:r>
      <w:r>
        <w:rPr>
          <w:rStyle w:val="NormalTok"/>
        </w:rPr>
        <w:t xml:space="preserve"> run</w:t>
      </w:r>
    </w:p>
    <w:bookmarkEnd w:id="173"/>
    <w:bookmarkStart w:id="174" w:name="iis-proxy-mode"/>
    <w:p>
      <w:pPr>
        <w:pStyle w:val="Heading2"/>
      </w:pPr>
      <w:r>
        <w:t xml:space="preserve">IIS (Proxy Mode)</w:t>
      </w:r>
    </w:p>
    <w:p>
      <w:pPr>
        <w:pStyle w:val="FirstParagraph"/>
      </w:pPr>
      <w:r>
        <w:t xml:space="preserve">Configure IIS Application Request Routing to forward requests to AxonASP:</w:t>
      </w:r>
    </w:p>
    <w:p>
      <w:pPr>
        <w:pStyle w:val="SourceCode"/>
      </w:pPr>
      <w:r>
        <w:rPr>
          <w:rStyle w:val="CommentTok"/>
        </w:rPr>
        <w:t xml:space="preserve">&lt;!-- web.config on the IIS site --&gt;</w:t>
      </w:r>
      <w:r>
        <w:br/>
      </w:r>
      <w:r>
        <w:rPr>
          <w:rStyle w:val="NormalTok"/>
        </w:rPr>
        <w:t xml:space="preserve">&lt;</w:t>
      </w:r>
      <w:r>
        <w:rPr>
          <w:rStyle w:val="KeywordTok"/>
        </w:rPr>
        <w:t xml:space="preserve">configuration</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    &lt;</w:t>
      </w:r>
      <w:r>
        <w:rPr>
          <w:rStyle w:val="KeywordTok"/>
        </w:rPr>
        <w:t xml:space="preserve">rewrite</w:t>
      </w:r>
      <w:r>
        <w:rPr>
          <w:rStyle w:val="NormalTok"/>
        </w:rPr>
        <w:t xml:space="preserve">&gt;</w:t>
      </w:r>
      <w:r>
        <w:br/>
      </w:r>
      <w:r>
        <w:rPr>
          <w:rStyle w:val="NormalTok"/>
        </w:rPr>
        <w:t xml:space="preserve">      &lt;</w:t>
      </w:r>
      <w:r>
        <w:rPr>
          <w:rStyle w:val="KeywordTok"/>
        </w:rPr>
        <w:t xml:space="preserve">rules</w:t>
      </w:r>
      <w:r>
        <w:rPr>
          <w:rStyle w:val="NormalTok"/>
        </w:rPr>
        <w:t xml:space="preserve">&gt;</w:t>
      </w:r>
      <w:r>
        <w:br/>
      </w:r>
      <w:r>
        <w:rPr>
          <w:rStyle w:val="NormalTok"/>
        </w:rPr>
        <w:t xml:space="preserve">        &lt;</w:t>
      </w:r>
      <w:r>
        <w:rPr>
          <w:rStyle w:val="KeywordTok"/>
        </w:rPr>
        <w:t xml:space="preserve">rule</w:t>
      </w:r>
      <w:r>
        <w:rPr>
          <w:rStyle w:val="NormalTok"/>
        </w:rPr>
        <w:t xml:space="preserve"> </w:t>
      </w:r>
      <w:r>
        <w:rPr>
          <w:rStyle w:val="OtherTok"/>
        </w:rPr>
        <w:t xml:space="preserve">name=</w:t>
      </w:r>
      <w:r>
        <w:rPr>
          <w:rStyle w:val="StringTok"/>
        </w:rPr>
        <w:t xml:space="preserve">"Proxy to AxonASP"</w:t>
      </w:r>
      <w:r>
        <w:rPr>
          <w:rStyle w:val="NormalTok"/>
        </w:rPr>
        <w:t xml:space="preserve"> </w:t>
      </w:r>
      <w:r>
        <w:rPr>
          <w:rStyle w:val="OtherTok"/>
        </w:rPr>
        <w:t xml:space="preserve">stopProcessing=</w:t>
      </w:r>
      <w:r>
        <w:rPr>
          <w:rStyle w:val="StringTok"/>
        </w:rPr>
        <w:t xml:space="preserve">"true"</w:t>
      </w:r>
      <w:r>
        <w:rPr>
          <w:rStyle w:val="NormalTok"/>
        </w:rPr>
        <w:t xml:space="preserve">&gt;</w:t>
      </w:r>
      <w:r>
        <w:br/>
      </w:r>
      <w:r>
        <w:rPr>
          <w:rStyle w:val="NormalTok"/>
        </w:rPr>
        <w:t xml:space="preserve">          &lt;</w:t>
      </w:r>
      <w:r>
        <w:rPr>
          <w:rStyle w:val="KeywordTok"/>
        </w:rPr>
        <w:t xml:space="preserve">match</w:t>
      </w:r>
      <w:r>
        <w:rPr>
          <w:rStyle w:val="NormalTok"/>
        </w:rPr>
        <w:t xml:space="preserve"> </w:t>
      </w:r>
      <w:r>
        <w:rPr>
          <w:rStyle w:val="OtherTok"/>
        </w:rPr>
        <w:t xml:space="preserve">url=</w:t>
      </w:r>
      <w:r>
        <w:rPr>
          <w:rStyle w:val="StringTok"/>
        </w:rPr>
        <w:t xml:space="preserve">"(.*)"</w:t>
      </w:r>
      <w:r>
        <w:rPr>
          <w:rStyle w:val="NormalTok"/>
        </w:rPr>
        <w:t xml:space="preserve"> /&gt;</w:t>
      </w:r>
      <w:r>
        <w:br/>
      </w:r>
      <w:r>
        <w:rPr>
          <w:rStyle w:val="NormalTok"/>
        </w:rPr>
        <w:t xml:space="preserve">          &lt;</w:t>
      </w:r>
      <w:r>
        <w:rPr>
          <w:rStyle w:val="KeywordTok"/>
        </w:rPr>
        <w:t xml:space="preserve">action</w:t>
      </w:r>
      <w:r>
        <w:rPr>
          <w:rStyle w:val="NormalTok"/>
        </w:rPr>
        <w:t xml:space="preserve"> </w:t>
      </w:r>
      <w:r>
        <w:rPr>
          <w:rStyle w:val="OtherTok"/>
        </w:rPr>
        <w:t xml:space="preserve">type=</w:t>
      </w:r>
      <w:r>
        <w:rPr>
          <w:rStyle w:val="StringTok"/>
        </w:rPr>
        <w:t xml:space="preserve">"Rewrite"</w:t>
      </w:r>
      <w:r>
        <w:rPr>
          <w:rStyle w:val="NormalTok"/>
        </w:rPr>
        <w:t xml:space="preserve"> </w:t>
      </w:r>
      <w:r>
        <w:rPr>
          <w:rStyle w:val="OtherTok"/>
        </w:rPr>
        <w:t xml:space="preserve">url=</w:t>
      </w:r>
      <w:r>
        <w:rPr>
          <w:rStyle w:val="StringTok"/>
        </w:rPr>
        <w:t xml:space="preserve">"http://localhost:8801/{R:1}"</w:t>
      </w:r>
      <w:r>
        <w:rPr>
          <w:rStyle w:val="NormalTok"/>
        </w:rPr>
        <w:t xml:space="preserve"> /&gt;</w:t>
      </w:r>
      <w:r>
        <w:br/>
      </w:r>
      <w:r>
        <w:rPr>
          <w:rStyle w:val="NormalTok"/>
        </w:rPr>
        <w:t xml:space="preserve">        &lt;/</w:t>
      </w:r>
      <w:r>
        <w:rPr>
          <w:rStyle w:val="KeywordTok"/>
        </w:rPr>
        <w:t xml:space="preserve">rule</w:t>
      </w:r>
      <w:r>
        <w:rPr>
          <w:rStyle w:val="NormalTok"/>
        </w:rPr>
        <w:t xml:space="preserve">&gt;</w:t>
      </w:r>
      <w:r>
        <w:br/>
      </w:r>
      <w:r>
        <w:rPr>
          <w:rStyle w:val="NormalTok"/>
        </w:rPr>
        <w:t xml:space="preserve">      &lt;/</w:t>
      </w:r>
      <w:r>
        <w:rPr>
          <w:rStyle w:val="KeywordTok"/>
        </w:rPr>
        <w:t xml:space="preserve">rules</w:t>
      </w:r>
      <w:r>
        <w:rPr>
          <w:rStyle w:val="NormalTok"/>
        </w:rPr>
        <w:t xml:space="preserve">&gt;</w:t>
      </w:r>
      <w:r>
        <w:br/>
      </w:r>
      <w:r>
        <w:rPr>
          <w:rStyle w:val="NormalTok"/>
        </w:rPr>
        <w:t xml:space="preserve">    &lt;/</w:t>
      </w:r>
      <w:r>
        <w:rPr>
          <w:rStyle w:val="KeywordTok"/>
        </w:rPr>
        <w:t xml:space="preserve">rewrite</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&lt;/</w:t>
      </w:r>
      <w:r>
        <w:rPr>
          <w:rStyle w:val="KeywordTok"/>
        </w:rPr>
        <w:t xml:space="preserve">configuration</w:t>
      </w:r>
      <w:r>
        <w:rPr>
          <w:rStyle w:val="NormalTok"/>
        </w:rPr>
        <w:t xml:space="preserve">&gt;</w:t>
      </w:r>
    </w:p>
    <w:p>
      <w:pPr>
        <w:pStyle w:val="FirstParagraph"/>
      </w:pPr>
      <w:r>
        <w:t xml:space="preserve">Requires IIS Application Request Routing (ARR) and URL Rewrite modules.</w:t>
      </w:r>
    </w:p>
    <w:bookmarkEnd w:id="174"/>
    <w:bookmarkStart w:id="175" w:name="load-balancing-multiple-instances"/>
    <w:p>
      <w:pPr>
        <w:pStyle w:val="Heading2"/>
      </w:pPr>
      <w:r>
        <w:t xml:space="preserve">Load Balancing Multiple Instances</w:t>
      </w:r>
    </w:p>
    <w:p>
      <w:pPr>
        <w:pStyle w:val="FirstParagraph"/>
      </w:pPr>
      <w:r>
        <w:t xml:space="preserve">For high-traffic deployments, run multiple AxonASP instances on different ports and balance across them:</w:t>
      </w:r>
    </w:p>
    <w:p>
      <w:pPr>
        <w:pStyle w:val="SourceCode"/>
      </w:pPr>
      <w:r>
        <w:rPr>
          <w:rStyle w:val="VerbatimChar"/>
        </w:rPr>
        <w:t xml:space="preserve">upstream axonasp_cluster {</w:t>
      </w:r>
      <w:r>
        <w:br/>
      </w:r>
      <w:r>
        <w:rPr>
          <w:rStyle w:val="VerbatimChar"/>
        </w:rPr>
        <w:t xml:space="preserve">    server localhost:8801 weight=1;</w:t>
      </w:r>
      <w:r>
        <w:br/>
      </w:r>
      <w:r>
        <w:rPr>
          <w:rStyle w:val="VerbatimChar"/>
        </w:rPr>
        <w:t xml:space="preserve">    server localhost:8802 weight=1;</w:t>
      </w:r>
      <w:r>
        <w:br/>
      </w:r>
      <w:r>
        <w:rPr>
          <w:rStyle w:val="VerbatimChar"/>
        </w:rPr>
        <w:t xml:space="preserve">    server localhost:8803 weight=1;</w:t>
      </w:r>
      <w:r>
        <w:br/>
      </w:r>
      <w:r>
        <w:rPr>
          <w:rStyle w:val="VerbatimChar"/>
        </w:rPr>
        <w:t xml:space="preserve">}</w:t>
      </w:r>
      <w:r>
        <w:br/>
      </w:r>
      <w:r>
        <w:br/>
      </w:r>
      <w:r>
        <w:rPr>
          <w:rStyle w:val="VerbatimChar"/>
        </w:rPr>
        <w:t xml:space="preserve">server {</w:t>
      </w:r>
      <w:r>
        <w:br/>
      </w:r>
      <w:r>
        <w:rPr>
          <w:rStyle w:val="VerbatimChar"/>
        </w:rPr>
        <w:t xml:space="preserve">    listen 443 ssl http2;</w:t>
      </w:r>
      <w:r>
        <w:br/>
      </w:r>
      <w:r>
        <w:rPr>
          <w:rStyle w:val="VerbatimChar"/>
        </w:rPr>
        <w:t xml:space="preserve">    server_name myapp.example.com;</w:t>
      </w:r>
      <w:r>
        <w:br/>
      </w:r>
      <w:r>
        <w:br/>
      </w:r>
      <w:r>
        <w:rPr>
          <w:rStyle w:val="VerbatimChar"/>
        </w:rPr>
        <w:t xml:space="preserve">    location / {</w:t>
      </w:r>
      <w:r>
        <w:br/>
      </w:r>
      <w:r>
        <w:rPr>
          <w:rStyle w:val="VerbatimChar"/>
        </w:rPr>
        <w:t xml:space="preserve">        proxy_pass http://axonasp_cluster;</w:t>
      </w:r>
      <w:r>
        <w:br/>
      </w:r>
      <w:r>
        <w:rPr>
          <w:rStyle w:val="VerbatimChar"/>
        </w:rPr>
        <w:t xml:space="preserve">        proxy_set_header Host $host;</w:t>
      </w:r>
      <w:r>
        <w:br/>
      </w:r>
      <w:r>
        <w:rPr>
          <w:rStyle w:val="VerbatimChar"/>
        </w:rPr>
        <w:t xml:space="preserve">        proxy_set_header X-Real-IP $remote_addr;</w:t>
      </w:r>
      <w:r>
        <w:br/>
      </w:r>
      <w:r>
        <w:rPr>
          <w:rStyle w:val="VerbatimChar"/>
        </w:rPr>
        <w:t xml:space="preserve">        proxy_set_header X-Forwarded-For $proxy_add_x_forwarded_for;</w:t>
      </w:r>
      <w:r>
        <w:br/>
      </w:r>
      <w:r>
        <w:rPr>
          <w:rStyle w:val="VerbatimChar"/>
        </w:rPr>
        <w:t xml:space="preserve">        proxy_set_header X-Forwarded-Proto $scheme;</w:t>
      </w:r>
      <w:r>
        <w:br/>
      </w:r>
      <w:r>
        <w:rPr>
          <w:rStyle w:val="VerbatimChar"/>
        </w:rPr>
        <w:t xml:space="preserve">    }</w:t>
      </w:r>
      <w:r>
        <w:br/>
      </w:r>
      <w:r>
        <w:rPr>
          <w:rStyle w:val="VerbatimChar"/>
        </w:rPr>
        <w:t xml:space="preserve">}</w:t>
      </w:r>
    </w:p>
    <w:p>
      <w:pPr>
        <w:pStyle w:val="FirstParagraph"/>
      </w:pPr>
      <w:r>
        <w:t xml:space="preserve">Start each instance on a different port using environment variables or separate configuration files:</w:t>
      </w:r>
    </w:p>
    <w:p>
      <w:pPr>
        <w:pStyle w:val="BodyText"/>
      </w:pPr>
      <w:r>
        <w:t xml:space="preserve">Using environment variables:</w:t>
      </w:r>
    </w:p>
    <w:p>
      <w:pPr>
        <w:pStyle w:val="SourceCode"/>
      </w:pPr>
      <w:r>
        <w:rPr>
          <w:rStyle w:val="CommentTok"/>
        </w:rPr>
        <w:t xml:space="preserve"># Terminal 1</w:t>
      </w:r>
      <w:r>
        <w:br/>
      </w:r>
      <w:r>
        <w:rPr>
          <w:rStyle w:val="VariableTok"/>
        </w:rPr>
        <w:t xml:space="preserve">$env</w:t>
      </w:r>
      <w:r>
        <w:rPr>
          <w:rStyle w:val="OperatorTok"/>
        </w:rPr>
        <w:t xml:space="preserve">:</w:t>
      </w:r>
      <w:r>
        <w:rPr>
          <w:rStyle w:val="VariableTok"/>
        </w:rPr>
        <w:t xml:space="preserve">SERVER_PORT</w:t>
      </w:r>
      <w:r>
        <w:rPr>
          <w:rStyle w:val="NormalTok"/>
        </w:rPr>
        <w:t xml:space="preserve"> </w:t>
      </w:r>
      <w:r>
        <w:rPr>
          <w:rStyle w:val="OperatorTok"/>
        </w:rPr>
        <w:t xml:space="preserve">=</w:t>
      </w:r>
      <w:r>
        <w:rPr>
          <w:rStyle w:val="NormalTok"/>
        </w:rPr>
        <w:t xml:space="preserve"> </w:t>
      </w:r>
      <w:r>
        <w:rPr>
          <w:rStyle w:val="StringTok"/>
        </w:rPr>
        <w:t xml:space="preserve">"8801"</w:t>
      </w:r>
      <w:r>
        <w:rPr>
          <w:rStyle w:val="OperatorTok"/>
        </w:rPr>
        <w:t xml:space="preserve">;</w:t>
      </w:r>
      <w:r>
        <w:rPr>
          <w:rStyle w:val="NormalTok"/>
        </w:rPr>
        <w:t xml:space="preserve"> </w:t>
      </w:r>
      <w:r>
        <w:rPr>
          <w:rStyle w:val="OperatorTok"/>
        </w:rPr>
        <w:t xml:space="preserve">.</w:t>
      </w:r>
      <w:r>
        <w:rPr>
          <w:rStyle w:val="NormalTok"/>
        </w:rPr>
        <w:t xml:space="preserve">\axonasp-http</w:t>
      </w:r>
      <w:r>
        <w:rPr>
          <w:rStyle w:val="OperatorTok"/>
        </w:rPr>
        <w:t xml:space="preserve">.</w:t>
      </w:r>
      <w:r>
        <w:rPr>
          <w:rStyle w:val="FunctionTok"/>
        </w:rPr>
        <w:t xml:space="preserve">exe</w:t>
      </w:r>
      <w:r>
        <w:br/>
      </w:r>
      <w:r>
        <w:br/>
      </w:r>
      <w:r>
        <w:rPr>
          <w:rStyle w:val="CommentTok"/>
        </w:rPr>
        <w:t xml:space="preserve"># Terminal 2</w:t>
      </w:r>
      <w:r>
        <w:br/>
      </w:r>
      <w:r>
        <w:rPr>
          <w:rStyle w:val="VariableTok"/>
        </w:rPr>
        <w:t xml:space="preserve">$env</w:t>
      </w:r>
      <w:r>
        <w:rPr>
          <w:rStyle w:val="OperatorTok"/>
        </w:rPr>
        <w:t xml:space="preserve">:</w:t>
      </w:r>
      <w:r>
        <w:rPr>
          <w:rStyle w:val="VariableTok"/>
        </w:rPr>
        <w:t xml:space="preserve">SERVER_PORT</w:t>
      </w:r>
      <w:r>
        <w:rPr>
          <w:rStyle w:val="NormalTok"/>
        </w:rPr>
        <w:t xml:space="preserve"> </w:t>
      </w:r>
      <w:r>
        <w:rPr>
          <w:rStyle w:val="OperatorTok"/>
        </w:rPr>
        <w:t xml:space="preserve">=</w:t>
      </w:r>
      <w:r>
        <w:rPr>
          <w:rStyle w:val="NormalTok"/>
        </w:rPr>
        <w:t xml:space="preserve"> </w:t>
      </w:r>
      <w:r>
        <w:rPr>
          <w:rStyle w:val="StringTok"/>
        </w:rPr>
        <w:t xml:space="preserve">"8802"</w:t>
      </w:r>
      <w:r>
        <w:rPr>
          <w:rStyle w:val="OperatorTok"/>
        </w:rPr>
        <w:t xml:space="preserve">;</w:t>
      </w:r>
      <w:r>
        <w:rPr>
          <w:rStyle w:val="NormalTok"/>
        </w:rPr>
        <w:t xml:space="preserve"> </w:t>
      </w:r>
      <w:r>
        <w:rPr>
          <w:rStyle w:val="OperatorTok"/>
        </w:rPr>
        <w:t xml:space="preserve">.</w:t>
      </w:r>
      <w:r>
        <w:rPr>
          <w:rStyle w:val="NormalTok"/>
        </w:rPr>
        <w:t xml:space="preserve">\axonasp-http</w:t>
      </w:r>
      <w:r>
        <w:rPr>
          <w:rStyle w:val="OperatorTok"/>
        </w:rPr>
        <w:t xml:space="preserve">.</w:t>
      </w:r>
      <w:r>
        <w:rPr>
          <w:rStyle w:val="FunctionTok"/>
        </w:rPr>
        <w:t xml:space="preserve">exe</w:t>
      </w:r>
      <w:r>
        <w:br/>
      </w:r>
      <w:r>
        <w:br/>
      </w:r>
      <w:r>
        <w:rPr>
          <w:rStyle w:val="CommentTok"/>
        </w:rPr>
        <w:t xml:space="preserve"># Terminal 3</w:t>
      </w:r>
      <w:r>
        <w:br/>
      </w:r>
      <w:r>
        <w:rPr>
          <w:rStyle w:val="VariableTok"/>
        </w:rPr>
        <w:t xml:space="preserve">$env</w:t>
      </w:r>
      <w:r>
        <w:rPr>
          <w:rStyle w:val="OperatorTok"/>
        </w:rPr>
        <w:t xml:space="preserve">:</w:t>
      </w:r>
      <w:r>
        <w:rPr>
          <w:rStyle w:val="VariableTok"/>
        </w:rPr>
        <w:t xml:space="preserve">SERVER_PORT</w:t>
      </w:r>
      <w:r>
        <w:rPr>
          <w:rStyle w:val="NormalTok"/>
        </w:rPr>
        <w:t xml:space="preserve"> </w:t>
      </w:r>
      <w:r>
        <w:rPr>
          <w:rStyle w:val="OperatorTok"/>
        </w:rPr>
        <w:t xml:space="preserve">=</w:t>
      </w:r>
      <w:r>
        <w:rPr>
          <w:rStyle w:val="NormalTok"/>
        </w:rPr>
        <w:t xml:space="preserve"> </w:t>
      </w:r>
      <w:r>
        <w:rPr>
          <w:rStyle w:val="StringTok"/>
        </w:rPr>
        <w:t xml:space="preserve">"8803"</w:t>
      </w:r>
      <w:r>
        <w:rPr>
          <w:rStyle w:val="OperatorTok"/>
        </w:rPr>
        <w:t xml:space="preserve">;</w:t>
      </w:r>
      <w:r>
        <w:rPr>
          <w:rStyle w:val="NormalTok"/>
        </w:rPr>
        <w:t xml:space="preserve"> </w:t>
      </w:r>
      <w:r>
        <w:rPr>
          <w:rStyle w:val="OperatorTok"/>
        </w:rPr>
        <w:t xml:space="preserve">.</w:t>
      </w:r>
      <w:r>
        <w:rPr>
          <w:rStyle w:val="NormalTok"/>
        </w:rPr>
        <w:t xml:space="preserve">\axonasp-http</w:t>
      </w:r>
      <w:r>
        <w:rPr>
          <w:rStyle w:val="OperatorTok"/>
        </w:rPr>
        <w:t xml:space="preserve">.</w:t>
      </w:r>
      <w:r>
        <w:rPr>
          <w:rStyle w:val="FunctionTok"/>
        </w:rPr>
        <w:t xml:space="preserve">exe</w:t>
      </w:r>
    </w:p>
    <w:p>
      <w:pPr>
        <w:pStyle w:val="FirstParagraph"/>
      </w:pPr>
      <w:r>
        <w:t xml:space="preserve">Using custom configuration files with the</w:t>
      </w:r>
      <w:r>
        <w:t xml:space="preserve"> </w:t>
      </w:r>
      <w:r>
        <w:rPr>
          <w:rStyle w:val="VerbatimChar"/>
        </w:rPr>
        <w:t xml:space="preserve">-c</w:t>
      </w:r>
      <w:r>
        <w:t xml:space="preserve"> </w:t>
      </w:r>
      <w:r>
        <w:t xml:space="preserve">flag (which allows distinct settings per instance):</w:t>
      </w:r>
    </w:p>
    <w:p>
      <w:pPr>
        <w:pStyle w:val="SourceCode"/>
      </w:pPr>
      <w:r>
        <w:rPr>
          <w:rStyle w:val="CommentTok"/>
        </w:rPr>
        <w:t xml:space="preserve"># Terminal 1</w:t>
      </w:r>
      <w:r>
        <w:br/>
      </w:r>
      <w:r>
        <w:rPr>
          <w:rStyle w:val="OperatorTok"/>
        </w:rPr>
        <w:t xml:space="preserve">.</w:t>
      </w:r>
      <w:r>
        <w:rPr>
          <w:rStyle w:val="NormalTok"/>
        </w:rPr>
        <w:t xml:space="preserve">\axonasp-http</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\config\instance_8801</w:t>
      </w:r>
      <w:r>
        <w:rPr>
          <w:rStyle w:val="OperatorTok"/>
        </w:rPr>
        <w:t xml:space="preserve">.</w:t>
      </w:r>
      <w:r>
        <w:rPr>
          <w:rStyle w:val="FunctionTok"/>
        </w:rPr>
        <w:t xml:space="preserve">toml</w:t>
      </w:r>
      <w:r>
        <w:br/>
      </w:r>
      <w:r>
        <w:br/>
      </w:r>
      <w:r>
        <w:rPr>
          <w:rStyle w:val="CommentTok"/>
        </w:rPr>
        <w:t xml:space="preserve"># Terminal 2</w:t>
      </w:r>
      <w:r>
        <w:br/>
      </w:r>
      <w:r>
        <w:rPr>
          <w:rStyle w:val="OperatorTok"/>
        </w:rPr>
        <w:t xml:space="preserve">.</w:t>
      </w:r>
      <w:r>
        <w:rPr>
          <w:rStyle w:val="NormalTok"/>
        </w:rPr>
        <w:t xml:space="preserve">\axonasp-http</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\config\instance_8802</w:t>
      </w:r>
      <w:r>
        <w:rPr>
          <w:rStyle w:val="OperatorTok"/>
        </w:rPr>
        <w:t xml:space="preserve">.</w:t>
      </w:r>
      <w:r>
        <w:rPr>
          <w:rStyle w:val="FunctionTok"/>
        </w:rPr>
        <w:t xml:space="preserve">toml</w:t>
      </w:r>
      <w:r>
        <w:br/>
      </w:r>
      <w:r>
        <w:br/>
      </w:r>
      <w:r>
        <w:rPr>
          <w:rStyle w:val="CommentTok"/>
        </w:rPr>
        <w:t xml:space="preserve"># Terminal 3</w:t>
      </w:r>
      <w:r>
        <w:br/>
      </w:r>
      <w:r>
        <w:rPr>
          <w:rStyle w:val="OperatorTok"/>
        </w:rPr>
        <w:t xml:space="preserve">.</w:t>
      </w:r>
      <w:r>
        <w:rPr>
          <w:rStyle w:val="NormalTok"/>
        </w:rPr>
        <w:t xml:space="preserve">\axonasp-http</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\config\instance_8803</w:t>
      </w:r>
      <w:r>
        <w:rPr>
          <w:rStyle w:val="OperatorTok"/>
        </w:rPr>
        <w:t xml:space="preserve">.</w:t>
      </w:r>
      <w:r>
        <w:rPr>
          <w:rStyle w:val="FunctionTok"/>
        </w:rPr>
        <w:t xml:space="preserve">toml</w:t>
      </w:r>
    </w:p>
    <w:bookmarkEnd w:id="175"/>
    <w:bookmarkStart w:id="176" w:name="remarks-5"/>
    <w:p>
      <w:pPr>
        <w:pStyle w:val="Heading2"/>
      </w:pPr>
      <w:r>
        <w:t xml:space="preserve">Remarks</w:t>
      </w:r>
    </w:p>
    <w:p>
      <w:pPr>
        <w:pStyle w:val="Compact"/>
        <w:numPr>
          <w:ilvl w:val="0"/>
          <w:numId w:val="1072"/>
        </w:numPr>
      </w:pPr>
      <w:r>
        <w:t xml:space="preserve">AxonASP does not handle TLS/SSL natively. Terminate SSL at the reverse proxy and forward plain HTTP to AxonASP.</w:t>
      </w:r>
    </w:p>
    <w:p>
      <w:pPr>
        <w:pStyle w:val="Compact"/>
        <w:numPr>
          <w:ilvl w:val="0"/>
          <w:numId w:val="1072"/>
        </w:numPr>
      </w:pPr>
      <w:r>
        <w:t xml:space="preserve">Set</w:t>
      </w:r>
      <w:r>
        <w:t xml:space="preserve"> </w:t>
      </w:r>
      <w:r>
        <w:rPr>
          <w:rStyle w:val="VerbatimChar"/>
        </w:rPr>
        <w:t xml:space="preserve">proxy_buffering off</w:t>
      </w:r>
      <w:r>
        <w:t xml:space="preserve"> </w:t>
      </w:r>
      <w:r>
        <w:t xml:space="preserve">in Nginx when using</w:t>
      </w:r>
      <w:r>
        <w:t xml:space="preserve"> </w:t>
      </w:r>
      <w:r>
        <w:rPr>
          <w:rStyle w:val="VerbatimChar"/>
        </w:rPr>
        <w:t xml:space="preserve">Response.Flush</w:t>
      </w:r>
      <w:r>
        <w:t xml:space="preserve"> </w:t>
      </w:r>
      <w:r>
        <w:t xml:space="preserve">or streaming responses in ASP scripts.</w:t>
      </w:r>
    </w:p>
    <w:p>
      <w:pPr>
        <w:pStyle w:val="Compact"/>
        <w:numPr>
          <w:ilvl w:val="0"/>
          <w:numId w:val="1072"/>
        </w:numPr>
      </w:pPr>
      <w:r>
        <w:t xml:space="preserve">The port can also be changed in</w:t>
      </w:r>
      <w:r>
        <w:t xml:space="preserve"> </w:t>
      </w:r>
      <w:r>
        <w:rPr>
          <w:rStyle w:val="VerbatimChar"/>
        </w:rPr>
        <w:t xml:space="preserve">config/axonasp.toml</w:t>
      </w:r>
      <w:r>
        <w:t xml:space="preserve"> </w:t>
      </w:r>
      <w:r>
        <w:t xml:space="preserve">under</w:t>
      </w:r>
      <w:r>
        <w:t xml:space="preserve"> </w:t>
      </w:r>
      <w:r>
        <w:rPr>
          <w:rStyle w:val="VerbatimChar"/>
        </w:rPr>
        <w:t xml:space="preserve">[server] server_port</w:t>
      </w:r>
      <w:r>
        <w:t xml:space="preserve">.</w:t>
      </w:r>
    </w:p>
    <w:p>
      <w:pPr>
        <w:pStyle w:val="Compact"/>
        <w:numPr>
          <w:ilvl w:val="0"/>
          <w:numId w:val="1072"/>
        </w:numPr>
      </w:pPr>
      <w:r>
        <w:t xml:space="preserve">All proxy configurations above assume AxonASP runs on the same machine as the proxy on localhost. Adjust the upstream address for remote deployments.</w:t>
      </w:r>
    </w:p>
    <w:bookmarkEnd w:id="176"/>
    <w:bookmarkEnd w:id="177"/>
    <w:bookmarkStart w:id="184" w:name="axonasp-cli-and-tui"/>
    <w:p>
      <w:pPr>
        <w:pStyle w:val="Heading1"/>
      </w:pPr>
      <w:r>
        <w:t xml:space="preserve">AxonASP CLI and TUI</w:t>
      </w:r>
    </w:p>
    <w:bookmarkStart w:id="178" w:name="overview-11"/>
    <w:p>
      <w:pPr>
        <w:pStyle w:val="Heading2"/>
      </w:pPr>
      <w:r>
        <w:t xml:space="preserve">Overview</w:t>
      </w:r>
    </w:p>
    <w:p>
      <w:pPr>
        <w:pStyle w:val="FirstParagraph"/>
      </w:pPr>
      <w:r>
        <w:t xml:space="preserve">The AxonASP CLI (</w:t>
      </w:r>
      <w:r>
        <w:rPr>
          <w:rStyle w:val="VerbatimChar"/>
        </w:rPr>
        <w:t xml:space="preserve">axonasp-cli.exe</w:t>
      </w:r>
      <w:r>
        <w:t xml:space="preserve">) provides a command-line interface for executing ASP, VBScript, and JavaScript code. It features an interactive REPL (Read-Eval-Print Loop) and a direct execution mode.</w:t>
      </w:r>
    </w:p>
    <w:bookmarkEnd w:id="178"/>
    <w:bookmarkStart w:id="181" w:name="command-line-arguments"/>
    <w:p>
      <w:pPr>
        <w:pStyle w:val="Heading2"/>
      </w:pPr>
      <w:r>
        <w:t xml:space="preserve">Command-Line Arguments</w:t>
      </w:r>
    </w:p>
    <w:p>
      <w:pPr>
        <w:pStyle w:val="FirstParagraph"/>
      </w:pPr>
      <w:r>
        <w:t xml:space="preserve">The CLI supports the following flags: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Flag</w:t>
            </w:r>
          </w:p>
        </w:tc>
        <w:tc>
          <w:tcPr/>
          <w:p>
            <w:pPr>
              <w:pStyle w:val="Compact"/>
            </w:pPr>
            <w:r>
              <w:t xml:space="preserve">Long Flag</w:t>
            </w:r>
          </w:p>
        </w:tc>
        <w:tc>
          <w:tcPr/>
          <w:p>
            <w:pPr>
              <w:pStyle w:val="Compact"/>
            </w:pPr>
            <w:r>
              <w:t xml:space="preserve">Description</w:t>
            </w:r>
          </w:p>
        </w:tc>
      </w:tr>
      <w:tr>
        <w:tc>
          <w:tcPr/>
          <w:p>
            <w:pPr>
              <w:pStyle w:val="Compact"/>
            </w:pPr>
            <w:r>
              <w:rPr>
                <w:rStyle w:val="VerbatimChar"/>
              </w:rPr>
              <w:t xml:space="preserve">-r &lt;file&gt;</w:t>
            </w:r>
          </w:p>
        </w:tc>
        <w:tc>
          <w:tcPr/>
          <w:p>
            <w:pPr>
              <w:pStyle w:val="Compact"/>
            </w:pPr>
            <w:r>
              <w:rPr>
                <w:rStyle w:val="VerbatimChar"/>
              </w:rPr>
              <w:t xml:space="preserve">--run &lt;file&gt;</w:t>
            </w:r>
          </w:p>
        </w:tc>
        <w:tc>
          <w:tcPr/>
          <w:p>
            <w:pPr>
              <w:pStyle w:val="Compact"/>
            </w:pPr>
            <w:r>
              <w:t xml:space="preserve">Runs the specified file directly and returns its output.</w:t>
            </w:r>
          </w:p>
        </w:tc>
      </w:tr>
      <w:tr>
        <w:tc>
          <w:tcPr/>
          <w:p>
            <w:pPr>
              <w:pStyle w:val="Compact"/>
            </w:pPr>
            <w:r>
              <w:rPr>
                <w:rStyle w:val="VerbatimChar"/>
              </w:rPr>
              <w:t xml:space="preserve">-m &lt;mode&gt;</w:t>
            </w:r>
          </w:p>
        </w:tc>
        <w:tc>
          <w:tcPr/>
          <w:p>
            <w:pPr>
              <w:pStyle w:val="Compact"/>
            </w:pPr>
            <w:r>
              <w:rPr>
                <w:rStyle w:val="VerbatimChar"/>
              </w:rPr>
              <w:t xml:space="preserve">--mode &lt;mode&gt;</w:t>
            </w:r>
          </w:p>
        </w:tc>
        <w:tc>
          <w:tcPr/>
          <w:p>
            <w:pPr>
              <w:pStyle w:val="Compact"/>
            </w:pPr>
            <w:r>
              <w:t xml:space="preserve">Sets the engine mode (</w:t>
            </w:r>
            <w:r>
              <w:rPr>
                <w:rStyle w:val="VerbatimChar"/>
              </w:rPr>
              <w:t xml:space="preserve">default</w:t>
            </w:r>
            <w:r>
              <w:t xml:space="preserve">,</w:t>
            </w:r>
            <w:r>
              <w:t xml:space="preserve"> </w:t>
            </w:r>
            <w:r>
              <w:rPr>
                <w:rStyle w:val="VerbatimChar"/>
              </w:rPr>
              <w:t xml:space="preserve">vbscript</w:t>
            </w:r>
            <w:r>
              <w:t xml:space="preserve">,</w:t>
            </w:r>
            <w:r>
              <w:t xml:space="preserve"> </w:t>
            </w:r>
            <w:r>
              <w:rPr>
                <w:rStyle w:val="VerbatimChar"/>
              </w:rPr>
              <w:t xml:space="preserve">javascript</w:t>
            </w:r>
            <w:r>
              <w:t xml:space="preserve">).</w:t>
            </w:r>
          </w:p>
        </w:tc>
      </w:tr>
      <w:tr>
        <w:tc>
          <w:tcPr/>
          <w:p>
            <w:pPr>
              <w:pStyle w:val="Compact"/>
            </w:pPr>
            <w:r>
              <w:rPr>
                <w:rStyle w:val="VerbatimChar"/>
              </w:rPr>
              <w:t xml:space="preserve">-h</w:t>
            </w:r>
          </w:p>
        </w:tc>
        <w:tc>
          <w:tcPr/>
          <w:p>
            <w:pPr>
              <w:pStyle w:val="Compact"/>
            </w:pPr>
            <w:r>
              <w:rPr>
                <w:rStyle w:val="VerbatimChar"/>
              </w:rPr>
              <w:t xml:space="preserve">--help</w:t>
            </w:r>
          </w:p>
        </w:tc>
        <w:tc>
          <w:tcPr/>
          <w:p>
            <w:pPr>
              <w:pStyle w:val="Compact"/>
            </w:pPr>
            <w:r>
              <w:t xml:space="preserve">Shows the help message.</w:t>
            </w:r>
          </w:p>
        </w:tc>
      </w:tr>
    </w:tbl>
    <w:bookmarkStart w:id="179" w:name="engine-modes"/>
    <w:p>
      <w:pPr>
        <w:pStyle w:val="Heading3"/>
      </w:pPr>
      <w:r>
        <w:t xml:space="preserve">Engine Modes</w:t>
      </w:r>
    </w:p>
    <w:p>
      <w:pPr>
        <w:pStyle w:val="FirstParagraph"/>
      </w:pPr>
      <w:r>
        <w:t xml:space="preserve">The</w:t>
      </w:r>
      <w:r>
        <w:t xml:space="preserve"> </w:t>
      </w:r>
      <w:r>
        <w:rPr>
          <w:rStyle w:val="VerbatimChar"/>
        </w:rPr>
        <w:t xml:space="preserve">-m</w:t>
      </w:r>
      <w:r>
        <w:t xml:space="preserve"> </w:t>
      </w:r>
      <w:r>
        <w:t xml:space="preserve">or</w:t>
      </w:r>
      <w:r>
        <w:t xml:space="preserve"> </w:t>
      </w:r>
      <w:r>
        <w:rPr>
          <w:rStyle w:val="VerbatimChar"/>
        </w:rPr>
        <w:t xml:space="preserve">--mode</w:t>
      </w:r>
      <w:r>
        <w:t xml:space="preserve"> </w:t>
      </w:r>
      <w:r>
        <w:t xml:space="preserve">flag allows you to specify how the input file should be processed:</w:t>
      </w:r>
    </w:p>
    <w:p>
      <w:pPr>
        <w:pStyle w:val="Compact"/>
        <w:numPr>
          <w:ilvl w:val="0"/>
          <w:numId w:val="1073"/>
        </w:numPr>
      </w:pPr>
      <w:r>
        <w:rPr>
          <w:b/>
          <w:bCs/>
        </w:rPr>
        <w:t xml:space="preserve">default</w:t>
      </w:r>
      <w:r>
        <w:t xml:space="preserve">: Standard ASP mode. Files are treated as HTML with</w:t>
      </w:r>
      <w:r>
        <w:t xml:space="preserve"> </w:t>
      </w:r>
      <w:r>
        <w:rPr>
          <w:rStyle w:val="VerbatimChar"/>
        </w:rPr>
        <w:t xml:space="preserve">&lt;% %&gt;</w:t>
      </w:r>
      <w:r>
        <w:t xml:space="preserve"> </w:t>
      </w:r>
      <w:r>
        <w:t xml:space="preserve">delimiters. This is the default behavior.</w:t>
      </w:r>
    </w:p>
    <w:p>
      <w:pPr>
        <w:pStyle w:val="Compact"/>
        <w:numPr>
          <w:ilvl w:val="0"/>
          <w:numId w:val="1073"/>
        </w:numPr>
      </w:pPr>
      <w:r>
        <w:rPr>
          <w:b/>
          <w:bCs/>
        </w:rPr>
        <w:t xml:space="preserve">vbscript</w:t>
      </w:r>
      <w:r>
        <w:t xml:space="preserve">: Pure VBScript mode. Files (typically</w:t>
      </w:r>
      <w:r>
        <w:t xml:space="preserve"> </w:t>
      </w:r>
      <w:r>
        <w:rPr>
          <w:rStyle w:val="VerbatimChar"/>
        </w:rPr>
        <w:t xml:space="preserve">.vbs</w:t>
      </w:r>
      <w:r>
        <w:t xml:space="preserve">) are treated as source code only, bypassing ASP delimiter parsing.</w:t>
      </w:r>
    </w:p>
    <w:p>
      <w:pPr>
        <w:pStyle w:val="Compact"/>
        <w:numPr>
          <w:ilvl w:val="0"/>
          <w:numId w:val="1073"/>
        </w:numPr>
      </w:pPr>
      <w:r>
        <w:rPr>
          <w:b/>
          <w:bCs/>
        </w:rPr>
        <w:t xml:space="preserve">javascript</w:t>
      </w:r>
      <w:r>
        <w:t xml:space="preserve">: Pure JavaScript mode. Files (typically</w:t>
      </w:r>
      <w:r>
        <w:t xml:space="preserve"> </w:t>
      </w:r>
      <w:r>
        <w:rPr>
          <w:rStyle w:val="VerbatimChar"/>
        </w:rPr>
        <w:t xml:space="preserve">.js</w:t>
      </w:r>
      <w:r>
        <w:t xml:space="preserve">) are treated as source code only, bypassing ASP delimiter parsing.</w:t>
      </w:r>
    </w:p>
    <w:p>
      <w:pPr>
        <w:pStyle w:val="FirstParagraph"/>
      </w:pPr>
      <w:r>
        <w:rPr>
          <w:b/>
          <w:bCs/>
        </w:rPr>
        <w:t xml:space="preserve">Example: Running a pure VBScript file</w:t>
      </w:r>
    </w:p>
    <w:p>
      <w:pPr>
        <w:pStyle w:val="SourceCode"/>
      </w:pPr>
      <w:r>
        <w:rPr>
          <w:rStyle w:val="OperatorTok"/>
        </w:rPr>
        <w:t xml:space="preserve">.</w:t>
      </w:r>
      <w:r>
        <w:rPr>
          <w:rStyle w:val="NormalTok"/>
        </w:rPr>
        <w:t xml:space="preserve">\axonasp-cli</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m vbscript </w:t>
      </w:r>
      <w:r>
        <w:rPr>
          <w:rStyle w:val="OperatorTok"/>
        </w:rPr>
        <w:t xml:space="preserve">-</w:t>
      </w:r>
      <w:r>
        <w:rPr>
          <w:rStyle w:val="NormalTok"/>
        </w:rPr>
        <w:t xml:space="preserve">r tools</w:t>
      </w:r>
      <w:r>
        <w:rPr>
          <w:rStyle w:val="OperatorTok"/>
        </w:rPr>
        <w:t xml:space="preserve">/</w:t>
      </w:r>
      <w:r>
        <w:rPr>
          <w:rStyle w:val="NormalTok"/>
        </w:rPr>
        <w:t xml:space="preserve">maintenance</w:t>
      </w:r>
      <w:r>
        <w:rPr>
          <w:rStyle w:val="OperatorTok"/>
        </w:rPr>
        <w:t xml:space="preserve">.</w:t>
      </w:r>
      <w:r>
        <w:rPr>
          <w:rStyle w:val="FunctionTok"/>
        </w:rPr>
        <w:t xml:space="preserve">vbs</w:t>
      </w:r>
    </w:p>
    <w:p>
      <w:pPr>
        <w:pStyle w:val="FirstParagraph"/>
      </w:pPr>
      <w:r>
        <w:rPr>
          <w:b/>
          <w:bCs/>
        </w:rPr>
        <w:t xml:space="preserve">Example: Running a pure JavaScript file</w:t>
      </w:r>
    </w:p>
    <w:p>
      <w:pPr>
        <w:pStyle w:val="SourceCode"/>
      </w:pPr>
      <w:r>
        <w:rPr>
          <w:rStyle w:val="OperatorTok"/>
        </w:rPr>
        <w:t xml:space="preserve">.</w:t>
      </w:r>
      <w:r>
        <w:rPr>
          <w:rStyle w:val="NormalTok"/>
        </w:rPr>
        <w:t xml:space="preserve">\axonasp-cli</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m javascript </w:t>
      </w:r>
      <w:r>
        <w:rPr>
          <w:rStyle w:val="OperatorTok"/>
        </w:rPr>
        <w:t xml:space="preserve">-</w:t>
      </w:r>
      <w:r>
        <w:rPr>
          <w:rStyle w:val="NormalTok"/>
        </w:rPr>
        <w:t xml:space="preserve">r scripts</w:t>
      </w:r>
      <w:r>
        <w:rPr>
          <w:rStyle w:val="OperatorTok"/>
        </w:rPr>
        <w:t xml:space="preserve">/</w:t>
      </w:r>
      <w:r>
        <w:rPr>
          <w:rStyle w:val="NormalTok"/>
        </w:rPr>
        <w:t xml:space="preserve">utils</w:t>
      </w:r>
      <w:r>
        <w:rPr>
          <w:rStyle w:val="OperatorTok"/>
        </w:rPr>
        <w:t xml:space="preserve">.</w:t>
      </w:r>
      <w:r>
        <w:rPr>
          <w:rStyle w:val="FunctionTok"/>
        </w:rPr>
        <w:t xml:space="preserve">js</w:t>
      </w:r>
    </w:p>
    <w:bookmarkEnd w:id="179"/>
    <w:bookmarkStart w:id="180" w:name="environment-variables"/>
    <w:p>
      <w:pPr>
        <w:pStyle w:val="Heading3"/>
      </w:pPr>
      <w:r>
        <w:t xml:space="preserve">Environment Variables</w:t>
      </w:r>
    </w:p>
    <w:p>
      <w:pPr>
        <w:pStyle w:val="FirstParagraph"/>
      </w:pPr>
      <w:r>
        <w:t xml:space="preserve">The CLI reads environment variables to populate ASP request collections:</w:t>
      </w:r>
    </w:p>
    <w:p>
      <w:pPr>
        <w:pStyle w:val="Compact"/>
        <w:numPr>
          <w:ilvl w:val="0"/>
          <w:numId w:val="1074"/>
        </w:numPr>
      </w:pPr>
      <w:r>
        <w:rPr>
          <w:b/>
          <w:bCs/>
        </w:rPr>
        <w:t xml:space="preserve">QUERY_STRING</w:t>
      </w:r>
      <w:r>
        <w:t xml:space="preserve">: Supply raw query parameters to the executed script (populating the</w:t>
      </w:r>
      <w:r>
        <w:t xml:space="preserve"> </w:t>
      </w:r>
      <w:r>
        <w:rPr>
          <w:rStyle w:val="VerbatimChar"/>
        </w:rPr>
        <w:t xml:space="preserve">Request.QueryString</w:t>
      </w:r>
      <w:r>
        <w:t xml:space="preserve"> </w:t>
      </w:r>
      <w:r>
        <w:t xml:space="preserve">collection).</w:t>
      </w:r>
    </w:p>
    <w:p>
      <w:pPr>
        <w:pStyle w:val="FirstParagraph"/>
      </w:pPr>
      <w:r>
        <w:rPr>
          <w:b/>
          <w:bCs/>
        </w:rPr>
        <w:t xml:space="preserve">Example: Running a script with Query String parameters in PowerShell</w:t>
      </w:r>
    </w:p>
    <w:p>
      <w:pPr>
        <w:pStyle w:val="SourceCode"/>
      </w:pPr>
      <w:r>
        <w:rPr>
          <w:rStyle w:val="VariableTok"/>
        </w:rPr>
        <w:t xml:space="preserve">$env</w:t>
      </w:r>
      <w:r>
        <w:rPr>
          <w:rStyle w:val="OperatorTok"/>
        </w:rPr>
        <w:t xml:space="preserve">:</w:t>
      </w:r>
      <w:r>
        <w:rPr>
          <w:rStyle w:val="VariableTok"/>
        </w:rPr>
        <w:t xml:space="preserve">QUERY_STRING</w:t>
      </w:r>
      <w:r>
        <w:rPr>
          <w:rStyle w:val="OperatorTok"/>
        </w:rPr>
        <w:t xml:space="preserve">=</w:t>
      </w:r>
      <w:r>
        <w:rPr>
          <w:rStyle w:val="StringTok"/>
        </w:rPr>
        <w:t xml:space="preserve">"category=books&amp;tag=scifi&amp;tag=thriller"</w:t>
      </w:r>
      <w:r>
        <w:br/>
      </w:r>
      <w:r>
        <w:rPr>
          <w:rStyle w:val="OperatorTok"/>
        </w:rPr>
        <w:t xml:space="preserve">.</w:t>
      </w:r>
      <w:r>
        <w:rPr>
          <w:rStyle w:val="NormalTok"/>
        </w:rPr>
        <w:t xml:space="preserve">\axonasp-cli</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r tests</w:t>
      </w:r>
      <w:r>
        <w:rPr>
          <w:rStyle w:val="OperatorTok"/>
        </w:rPr>
        <w:t xml:space="preserve">/</w:t>
      </w:r>
      <w:r>
        <w:rPr>
          <w:rStyle w:val="NormalTok"/>
        </w:rPr>
        <w:t xml:space="preserve">test_jscript_collection</w:t>
      </w:r>
      <w:r>
        <w:rPr>
          <w:rStyle w:val="OperatorTok"/>
        </w:rPr>
        <w:t xml:space="preserve">.</w:t>
      </w:r>
      <w:r>
        <w:rPr>
          <w:rStyle w:val="FunctionTok"/>
        </w:rPr>
        <w:t xml:space="preserve">asp</w:t>
      </w:r>
      <w:r>
        <w:br/>
      </w:r>
      <w:r>
        <w:rPr>
          <w:rStyle w:val="FunctionTok"/>
        </w:rPr>
        <w:t xml:space="preserve">Remove-Item</w:t>
      </w:r>
      <w:r>
        <w:rPr>
          <w:rStyle w:val="NormalTok"/>
        </w:rPr>
        <w:t xml:space="preserve"> Env</w:t>
      </w:r>
      <w:r>
        <w:rPr>
          <w:rStyle w:val="OperatorTok"/>
        </w:rPr>
        <w:t xml:space="preserve">:</w:t>
      </w:r>
      <w:r>
        <w:rPr>
          <w:rStyle w:val="NormalTok"/>
        </w:rPr>
        <w:t xml:space="preserve">\QUERY_STRING</w:t>
      </w:r>
    </w:p>
    <w:bookmarkEnd w:id="180"/>
    <w:bookmarkEnd w:id="181"/>
    <w:bookmarkStart w:id="182" w:name="interactive-repl"/>
    <w:p>
      <w:pPr>
        <w:pStyle w:val="Heading2"/>
      </w:pPr>
      <w:r>
        <w:t xml:space="preserve">Interactive REPL</w:t>
      </w:r>
    </w:p>
    <w:p>
      <w:pPr>
        <w:pStyle w:val="FirstParagraph"/>
      </w:pPr>
      <w:r>
        <w:t xml:space="preserve">Starting the CLI without the</w:t>
      </w:r>
      <w:r>
        <w:t xml:space="preserve"> </w:t>
      </w:r>
      <w:r>
        <w:rPr>
          <w:rStyle w:val="VerbatimChar"/>
        </w:rPr>
        <w:t xml:space="preserve">-r</w:t>
      </w:r>
      <w:r>
        <w:t xml:space="preserve"> </w:t>
      </w:r>
      <w:r>
        <w:t xml:space="preserve">flag enters the interactive REPL. You can type ASP code directly and see the results immediately.</w:t>
      </w:r>
    </w:p>
    <w:p>
      <w:pPr>
        <w:pStyle w:val="BodyText"/>
      </w:pPr>
      <w:r>
        <w:t xml:space="preserve">The REPL supports standard ASP intrinsic objects (</w:t>
      </w:r>
      <w:r>
        <w:rPr>
          <w:rStyle w:val="VerbatimChar"/>
        </w:rPr>
        <w:t xml:space="preserve">Response</w:t>
      </w:r>
      <w:r>
        <w:t xml:space="preserve">,</w:t>
      </w:r>
      <w:r>
        <w:t xml:space="preserve"> </w:t>
      </w:r>
      <w:r>
        <w:rPr>
          <w:rStyle w:val="VerbatimChar"/>
        </w:rPr>
        <w:t xml:space="preserve">Request</w:t>
      </w:r>
      <w:r>
        <w:t xml:space="preserve">,</w:t>
      </w:r>
      <w:r>
        <w:t xml:space="preserve"> </w:t>
      </w:r>
      <w:r>
        <w:rPr>
          <w:rStyle w:val="VerbatimChar"/>
        </w:rPr>
        <w:t xml:space="preserve">Server</w:t>
      </w:r>
      <w:r>
        <w:t xml:space="preserve">, etc.) and all built-in AxonASP libraries.</w:t>
      </w:r>
    </w:p>
    <w:bookmarkEnd w:id="182"/>
    <w:bookmarkStart w:id="183" w:name="tui-text-user-interface"/>
    <w:p>
      <w:pPr>
        <w:pStyle w:val="Heading2"/>
      </w:pPr>
      <w:r>
        <w:t xml:space="preserve">TUI (Text User Interface)</w:t>
      </w:r>
    </w:p>
    <w:p>
      <w:pPr>
        <w:pStyle w:val="FirstParagraph"/>
      </w:pPr>
      <w:r>
        <w:t xml:space="preserve">When enabled in configuration (</w:t>
      </w:r>
      <w:r>
        <w:rPr>
          <w:rStyle w:val="VerbatimChar"/>
        </w:rPr>
        <w:t xml:space="preserve">cli.enable_cli = true</w:t>
      </w:r>
      <w:r>
        <w:t xml:space="preserve">), the CLI provides a rich text-based user interface for managing and executing scripts.</w:t>
      </w:r>
    </w:p>
    <w:bookmarkEnd w:id="183"/>
    <w:bookmarkEnd w:id="184"/>
    <w:bookmarkStart w:id="193" w:name="web.config-support"/>
    <w:p>
      <w:pPr>
        <w:pStyle w:val="Heading1"/>
      </w:pPr>
      <w:r>
        <w:t xml:space="preserve">web.config Support</w:t>
      </w:r>
    </w:p>
    <w:bookmarkStart w:id="185" w:name="overview-12"/>
    <w:p>
      <w:pPr>
        <w:pStyle w:val="Heading2"/>
      </w:pPr>
      <w:r>
        <w:t xml:space="preserve">Overview</w:t>
      </w:r>
    </w:p>
    <w:p>
      <w:pPr>
        <w:pStyle w:val="FirstParagraph"/>
      </w:pPr>
      <w:r>
        <w:t xml:space="preserve">AxonASP HTTP server reads a single</w:t>
      </w:r>
      <w:r>
        <w:t xml:space="preserve"> </w:t>
      </w:r>
      <w:r>
        <w:rPr>
          <w:rStyle w:val="VerbatimChar"/>
        </w:rPr>
        <w:t xml:space="preserve">web.config</w:t>
      </w:r>
      <w:r>
        <w:t xml:space="preserve"> </w:t>
      </w:r>
      <w:r>
        <w:t xml:space="preserve">file placed at the</w:t>
      </w:r>
      <w:r>
        <w:t xml:space="preserve"> </w:t>
      </w:r>
      <w:r>
        <w:rPr>
          <w:b/>
          <w:bCs/>
        </w:rPr>
        <w:t xml:space="preserve">root</w:t>
      </w:r>
      <w:r>
        <w:t xml:space="preserve"> </w:t>
      </w:r>
      <w:r>
        <w:t xml:space="preserve">of the configured web application directory and applies URL rewrite rules, HTTP redirects, and custom error page mappings. The file follows a subset of the IIS XML schema under</w:t>
      </w:r>
      <w:r>
        <w:t xml:space="preserve"> </w:t>
      </w:r>
      <w:r>
        <w:rPr>
          <w:rStyle w:val="VerbatimChar"/>
        </w:rPr>
        <w:t xml:space="preserve">&lt;system.webServer&gt;</w:t>
      </w:r>
      <w:r>
        <w:t xml:space="preserve">.</w:t>
      </w:r>
    </w:p>
    <w:p>
      <w:pPr>
        <w:pStyle w:val="BodyText"/>
      </w:pPr>
      <w:r>
        <w:t xml:space="preserve">Only the web root</w:t>
      </w:r>
      <w:r>
        <w:t xml:space="preserve"> </w:t>
      </w:r>
      <w:r>
        <w:rPr>
          <w:rStyle w:val="VerbatimChar"/>
        </w:rPr>
        <w:t xml:space="preserve">web.config</w:t>
      </w:r>
      <w:r>
        <w:t xml:space="preserve"> </w:t>
      </w:r>
      <w:r>
        <w:t xml:space="preserve">is read. Files placed in subdirectories are ignored.</w:t>
      </w:r>
    </w:p>
    <w:bookmarkEnd w:id="185"/>
    <w:bookmarkStart w:id="186" w:name="prerequisites-3"/>
    <w:p>
      <w:pPr>
        <w:pStyle w:val="Heading2"/>
      </w:pPr>
      <w:r>
        <w:t xml:space="preserve">Prerequisites</w:t>
      </w:r>
    </w:p>
    <w:p>
      <w:pPr>
        <w:pStyle w:val="FirstParagraph"/>
      </w:pPr>
      <w:r>
        <w:t xml:space="preserve">Enable web.config processing in</w:t>
      </w:r>
      <w:r>
        <w:t xml:space="preserve"> </w:t>
      </w:r>
      <w:r>
        <w:rPr>
          <w:rStyle w:val="VerbatimChar"/>
        </w:rPr>
        <w:t xml:space="preserve">config/axonasp.toml</w:t>
      </w:r>
      <w:r>
        <w:t xml:space="preserve">:</w:t>
      </w:r>
    </w:p>
    <w:p>
      <w:pPr>
        <w:pStyle w:val="SourceCode"/>
      </w:pPr>
      <w:r>
        <w:rPr>
          <w:rStyle w:val="KeywordTok"/>
        </w:rPr>
        <w:t xml:space="preserve">[server]</w:t>
      </w:r>
      <w:r>
        <w:br/>
      </w:r>
      <w:r>
        <w:rPr>
          <w:rStyle w:val="DataTypeTok"/>
        </w:rPr>
        <w:t xml:space="preserve">enable_webconfig</w:t>
      </w:r>
      <w:r>
        <w:rPr>
          <w:rStyle w:val="NormalTok"/>
        </w:rPr>
        <w:t xml:space="preserve"> </w:t>
      </w:r>
      <w:r>
        <w:rPr>
          <w:rStyle w:val="OperatorTok"/>
        </w:rPr>
        <w:t xml:space="preserve">=</w:t>
      </w:r>
      <w:r>
        <w:rPr>
          <w:rStyle w:val="NormalTok"/>
        </w:rPr>
        <w:t xml:space="preserve"> </w:t>
      </w:r>
      <w:r>
        <w:rPr>
          <w:rStyle w:val="ConstantTok"/>
        </w:rPr>
        <w:t xml:space="preserve">true</w:t>
      </w:r>
    </w:p>
    <w:p>
      <w:pPr>
        <w:pStyle w:val="FirstParagraph"/>
      </w:pPr>
      <w:r>
        <w:t xml:space="preserve">When</w:t>
      </w:r>
      <w:r>
        <w:t xml:space="preserve"> </w:t>
      </w:r>
      <w:r>
        <w:rPr>
          <w:rStyle w:val="VerbatimChar"/>
        </w:rPr>
        <w:t xml:space="preserve">enable_webconfig</w:t>
      </w:r>
      <w:r>
        <w:t xml:space="preserve"> </w:t>
      </w:r>
      <w:r>
        <w:t xml:space="preserve">is</w:t>
      </w:r>
      <w:r>
        <w:t xml:space="preserve"> </w:t>
      </w:r>
      <w:r>
        <w:rPr>
          <w:rStyle w:val="VerbatimChar"/>
        </w:rPr>
        <w:t xml:space="preserve">false</w:t>
      </w:r>
      <w:r>
        <w:t xml:space="preserve">, the server ignores all</w:t>
      </w:r>
      <w:r>
        <w:t xml:space="preserve"> </w:t>
      </w:r>
      <w:r>
        <w:rPr>
          <w:rStyle w:val="VerbatimChar"/>
        </w:rPr>
        <w:t xml:space="preserve">web.config</w:t>
      </w:r>
      <w:r>
        <w:t xml:space="preserve"> </w:t>
      </w:r>
      <w:r>
        <w:t xml:space="preserve">files and uses only the settings from</w:t>
      </w:r>
      <w:r>
        <w:t xml:space="preserve"> </w:t>
      </w:r>
      <w:r>
        <w:rPr>
          <w:rStyle w:val="VerbatimChar"/>
        </w:rPr>
        <w:t xml:space="preserve">axonasp.toml</w:t>
      </w:r>
      <w:r>
        <w:t xml:space="preserve">.</w:t>
      </w:r>
    </w:p>
    <w:bookmarkEnd w:id="186"/>
    <w:bookmarkStart w:id="190" w:name="supported-sections"/>
    <w:p>
      <w:pPr>
        <w:pStyle w:val="Heading2"/>
      </w:pPr>
      <w:r>
        <w:t xml:space="preserve">Supported Sections</w:t>
      </w:r>
    </w:p>
    <w:bookmarkStart w:id="187" w:name="url-rewrite-rules"/>
    <w:p>
      <w:pPr>
        <w:pStyle w:val="Heading3"/>
      </w:pPr>
      <w:r>
        <w:t xml:space="preserve">URL Rewrite Rules</w:t>
      </w:r>
    </w:p>
    <w:p>
      <w:pPr>
        <w:pStyle w:val="FirstParagraph"/>
      </w:pPr>
      <w:r>
        <w:t xml:space="preserve">Declare rules inside</w:t>
      </w:r>
      <w:r>
        <w:t xml:space="preserve"> </w:t>
      </w:r>
      <w:r>
        <w:rPr>
          <w:rStyle w:val="VerbatimChar"/>
        </w:rPr>
        <w:t xml:space="preserve">&lt;system.webServer&gt;&lt;rewrite&gt;&lt;rules&gt;</w:t>
      </w:r>
      <w:r>
        <w:t xml:space="preserve">. Each rule is evaluated in document order against the incoming request path.</w:t>
      </w:r>
    </w:p>
    <w:p>
      <w:pPr>
        <w:pStyle w:val="SourceCode"/>
      </w:pPr>
      <w:r>
        <w:rPr>
          <w:rStyle w:val="NormalTok"/>
        </w:rPr>
        <w:t xml:space="preserve">&lt;</w:t>
      </w:r>
      <w:r>
        <w:rPr>
          <w:rStyle w:val="KeywordTok"/>
        </w:rPr>
        <w:t xml:space="preserve">configuration</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    &lt;</w:t>
      </w:r>
      <w:r>
        <w:rPr>
          <w:rStyle w:val="KeywordTok"/>
        </w:rPr>
        <w:t xml:space="preserve">rewrite</w:t>
      </w:r>
      <w:r>
        <w:rPr>
          <w:rStyle w:val="NormalTok"/>
        </w:rPr>
        <w:t xml:space="preserve">&gt;</w:t>
      </w:r>
      <w:r>
        <w:br/>
      </w:r>
      <w:r>
        <w:rPr>
          <w:rStyle w:val="NormalTok"/>
        </w:rPr>
        <w:t xml:space="preserve">      &lt;</w:t>
      </w:r>
      <w:r>
        <w:rPr>
          <w:rStyle w:val="KeywordTok"/>
        </w:rPr>
        <w:t xml:space="preserve">rules</w:t>
      </w:r>
      <w:r>
        <w:rPr>
          <w:rStyle w:val="NormalTok"/>
        </w:rPr>
        <w:t xml:space="preserve">&gt;</w:t>
      </w:r>
      <w:r>
        <w:br/>
      </w:r>
      <w:r>
        <w:rPr>
          <w:rStyle w:val="NormalTok"/>
        </w:rPr>
        <w:t xml:space="preserve">        &lt;</w:t>
      </w:r>
      <w:r>
        <w:rPr>
          <w:rStyle w:val="KeywordTok"/>
        </w:rPr>
        <w:t xml:space="preserve">rule</w:t>
      </w:r>
      <w:r>
        <w:rPr>
          <w:rStyle w:val="NormalTok"/>
        </w:rPr>
        <w:t xml:space="preserve"> </w:t>
      </w:r>
      <w:r>
        <w:rPr>
          <w:rStyle w:val="OtherTok"/>
        </w:rPr>
        <w:t xml:space="preserve">name=</w:t>
      </w:r>
      <w:r>
        <w:rPr>
          <w:rStyle w:val="StringTok"/>
        </w:rPr>
        <w:t xml:space="preserve">"Front Controller"</w:t>
      </w:r>
      <w:r>
        <w:rPr>
          <w:rStyle w:val="NormalTok"/>
        </w:rPr>
        <w:t xml:space="preserve"> </w:t>
      </w:r>
      <w:r>
        <w:rPr>
          <w:rStyle w:val="OtherTok"/>
        </w:rPr>
        <w:t xml:space="preserve">stopProcessing=</w:t>
      </w:r>
      <w:r>
        <w:rPr>
          <w:rStyle w:val="StringTok"/>
        </w:rPr>
        <w:t xml:space="preserve">"true"</w:t>
      </w:r>
      <w:r>
        <w:rPr>
          <w:rStyle w:val="NormalTok"/>
        </w:rPr>
        <w:t xml:space="preserve">&gt;</w:t>
      </w:r>
      <w:r>
        <w:br/>
      </w:r>
      <w:r>
        <w:rPr>
          <w:rStyle w:val="NormalTok"/>
        </w:rPr>
        <w:t xml:space="preserve">          &lt;</w:t>
      </w:r>
      <w:r>
        <w:rPr>
          <w:rStyle w:val="KeywordTok"/>
        </w:rPr>
        <w:t xml:space="preserve">match</w:t>
      </w:r>
      <w:r>
        <w:rPr>
          <w:rStyle w:val="NormalTok"/>
        </w:rPr>
        <w:t xml:space="preserve"> </w:t>
      </w:r>
      <w:r>
        <w:rPr>
          <w:rStyle w:val="OtherTok"/>
        </w:rPr>
        <w:t xml:space="preserve">url=</w:t>
      </w:r>
      <w:r>
        <w:rPr>
          <w:rStyle w:val="StringTok"/>
        </w:rPr>
        <w:t xml:space="preserve">"^(?!index\.asp$)(.*)"</w:t>
      </w:r>
      <w:r>
        <w:rPr>
          <w:rStyle w:val="NormalTok"/>
        </w:rPr>
        <w:t xml:space="preserve"> </w:t>
      </w:r>
      <w:r>
        <w:rPr>
          <w:rStyle w:val="OtherTok"/>
        </w:rPr>
        <w:t xml:space="preserve">ignoreCase=</w:t>
      </w:r>
      <w:r>
        <w:rPr>
          <w:rStyle w:val="StringTok"/>
        </w:rPr>
        <w:t xml:space="preserve">"true"</w:t>
      </w:r>
      <w:r>
        <w:rPr>
          <w:rStyle w:val="NormalTok"/>
        </w:rPr>
        <w:t xml:space="preserve"> /&gt;</w:t>
      </w:r>
      <w:r>
        <w:br/>
      </w:r>
      <w:r>
        <w:rPr>
          <w:rStyle w:val="NormalTok"/>
        </w:rPr>
        <w:t xml:space="preserve">          &lt;</w:t>
      </w:r>
      <w:r>
        <w:rPr>
          <w:rStyle w:val="KeywordTok"/>
        </w:rPr>
        <w:t xml:space="preserve">conditions</w:t>
      </w:r>
      <w:r>
        <w:rPr>
          <w:rStyle w:val="NormalTok"/>
        </w:rPr>
        <w:t xml:space="preserve"> </w:t>
      </w:r>
      <w:r>
        <w:rPr>
          <w:rStyle w:val="OtherTok"/>
        </w:rPr>
        <w:t xml:space="preserve">logicalGrouping=</w:t>
      </w:r>
      <w:r>
        <w:rPr>
          <w:rStyle w:val="StringTok"/>
        </w:rPr>
        <w:t xml:space="preserve">"MatchAll"</w:t>
      </w:r>
      <w:r>
        <w:rPr>
          <w:rStyle w:val="NormalTok"/>
        </w:rPr>
        <w:t xml:space="preserve">&gt;</w:t>
      </w:r>
      <w:r>
        <w:br/>
      </w:r>
      <w:r>
        <w:rPr>
          <w:rStyle w:val="NormalTok"/>
        </w:rPr>
        <w:t xml:space="preserve">            &lt;</w:t>
      </w:r>
      <w:r>
        <w:rPr>
          <w:rStyle w:val="KeywordTok"/>
        </w:rPr>
        <w:t xml:space="preserve">add</w:t>
      </w:r>
      <w:r>
        <w:rPr>
          <w:rStyle w:val="NormalTok"/>
        </w:rPr>
        <w:t xml:space="preserve"> </w:t>
      </w:r>
      <w:r>
        <w:rPr>
          <w:rStyle w:val="OtherTok"/>
        </w:rPr>
        <w:t xml:space="preserve">input=</w:t>
      </w:r>
      <w:r>
        <w:rPr>
          <w:rStyle w:val="StringTok"/>
        </w:rPr>
        <w:t xml:space="preserve">"{REQUEST_FILENAME}"</w:t>
      </w:r>
      <w:r>
        <w:rPr>
          <w:rStyle w:val="NormalTok"/>
        </w:rPr>
        <w:t xml:space="preserve"> </w:t>
      </w:r>
      <w:r>
        <w:rPr>
          <w:rStyle w:val="OtherTok"/>
        </w:rPr>
        <w:t xml:space="preserve">matchType=</w:t>
      </w:r>
      <w:r>
        <w:rPr>
          <w:rStyle w:val="StringTok"/>
        </w:rPr>
        <w:t xml:space="preserve">"IsFile"</w:t>
      </w:r>
      <w:r>
        <w:rPr>
          <w:rStyle w:val="NormalTok"/>
        </w:rPr>
        <w:t xml:space="preserve"> </w:t>
      </w:r>
      <w:r>
        <w:rPr>
          <w:rStyle w:val="OtherTok"/>
        </w:rPr>
        <w:t xml:space="preserve">negate=</w:t>
      </w:r>
      <w:r>
        <w:rPr>
          <w:rStyle w:val="StringTok"/>
        </w:rPr>
        <w:t xml:space="preserve">"true"</w:t>
      </w:r>
      <w:r>
        <w:rPr>
          <w:rStyle w:val="NormalTok"/>
        </w:rPr>
        <w:t xml:space="preserve"> /&gt;</w:t>
      </w:r>
      <w:r>
        <w:br/>
      </w:r>
      <w:r>
        <w:rPr>
          <w:rStyle w:val="NormalTok"/>
        </w:rPr>
        <w:t xml:space="preserve">            &lt;</w:t>
      </w:r>
      <w:r>
        <w:rPr>
          <w:rStyle w:val="KeywordTok"/>
        </w:rPr>
        <w:t xml:space="preserve">add</w:t>
      </w:r>
      <w:r>
        <w:rPr>
          <w:rStyle w:val="NormalTok"/>
        </w:rPr>
        <w:t xml:space="preserve"> </w:t>
      </w:r>
      <w:r>
        <w:rPr>
          <w:rStyle w:val="OtherTok"/>
        </w:rPr>
        <w:t xml:space="preserve">input=</w:t>
      </w:r>
      <w:r>
        <w:rPr>
          <w:rStyle w:val="StringTok"/>
        </w:rPr>
        <w:t xml:space="preserve">"{REQUEST_FILENAME}"</w:t>
      </w:r>
      <w:r>
        <w:rPr>
          <w:rStyle w:val="NormalTok"/>
        </w:rPr>
        <w:t xml:space="preserve"> </w:t>
      </w:r>
      <w:r>
        <w:rPr>
          <w:rStyle w:val="OtherTok"/>
        </w:rPr>
        <w:t xml:space="preserve">matchType=</w:t>
      </w:r>
      <w:r>
        <w:rPr>
          <w:rStyle w:val="StringTok"/>
        </w:rPr>
        <w:t xml:space="preserve">"IsDirectory"</w:t>
      </w:r>
      <w:r>
        <w:rPr>
          <w:rStyle w:val="NormalTok"/>
        </w:rPr>
        <w:t xml:space="preserve"> </w:t>
      </w:r>
      <w:r>
        <w:rPr>
          <w:rStyle w:val="OtherTok"/>
        </w:rPr>
        <w:t xml:space="preserve">negate=</w:t>
      </w:r>
      <w:r>
        <w:rPr>
          <w:rStyle w:val="StringTok"/>
        </w:rPr>
        <w:t xml:space="preserve">"true"</w:t>
      </w:r>
      <w:r>
        <w:rPr>
          <w:rStyle w:val="NormalTok"/>
        </w:rPr>
        <w:t xml:space="preserve"> /&gt;</w:t>
      </w:r>
      <w:r>
        <w:br/>
      </w:r>
      <w:r>
        <w:rPr>
          <w:rStyle w:val="NormalTok"/>
        </w:rPr>
        <w:t xml:space="preserve">          &lt;/</w:t>
      </w:r>
      <w:r>
        <w:rPr>
          <w:rStyle w:val="KeywordTok"/>
        </w:rPr>
        <w:t xml:space="preserve">conditions</w:t>
      </w:r>
      <w:r>
        <w:rPr>
          <w:rStyle w:val="NormalTok"/>
        </w:rPr>
        <w:t xml:space="preserve">&gt;</w:t>
      </w:r>
      <w:r>
        <w:br/>
      </w:r>
      <w:r>
        <w:rPr>
          <w:rStyle w:val="NormalTok"/>
        </w:rPr>
        <w:t xml:space="preserve">          &lt;</w:t>
      </w:r>
      <w:r>
        <w:rPr>
          <w:rStyle w:val="KeywordTok"/>
        </w:rPr>
        <w:t xml:space="preserve">action</w:t>
      </w:r>
      <w:r>
        <w:rPr>
          <w:rStyle w:val="NormalTok"/>
        </w:rPr>
        <w:t xml:space="preserve"> </w:t>
      </w:r>
      <w:r>
        <w:rPr>
          <w:rStyle w:val="OtherTok"/>
        </w:rPr>
        <w:t xml:space="preserve">type=</w:t>
      </w:r>
      <w:r>
        <w:rPr>
          <w:rStyle w:val="StringTok"/>
        </w:rPr>
        <w:t xml:space="preserve">"Rewrite"</w:t>
      </w:r>
      <w:r>
        <w:rPr>
          <w:rStyle w:val="NormalTok"/>
        </w:rPr>
        <w:t xml:space="preserve"> </w:t>
      </w:r>
      <w:r>
        <w:rPr>
          <w:rStyle w:val="OtherTok"/>
        </w:rPr>
        <w:t xml:space="preserve">url=</w:t>
      </w:r>
      <w:r>
        <w:rPr>
          <w:rStyle w:val="StringTok"/>
        </w:rPr>
        <w:t xml:space="preserve">"/index.asp?route={R:1}"</w:t>
      </w:r>
      <w:r>
        <w:rPr>
          <w:rStyle w:val="NormalTok"/>
        </w:rPr>
        <w:t xml:space="preserve"> </w:t>
      </w:r>
      <w:r>
        <w:rPr>
          <w:rStyle w:val="OtherTok"/>
        </w:rPr>
        <w:t xml:space="preserve">appendQueryString=</w:t>
      </w:r>
      <w:r>
        <w:rPr>
          <w:rStyle w:val="StringTok"/>
        </w:rPr>
        <w:t xml:space="preserve">"true"</w:t>
      </w:r>
      <w:r>
        <w:rPr>
          <w:rStyle w:val="NormalTok"/>
        </w:rPr>
        <w:t xml:space="preserve"> /&gt;</w:t>
      </w:r>
      <w:r>
        <w:br/>
      </w:r>
      <w:r>
        <w:rPr>
          <w:rStyle w:val="NormalTok"/>
        </w:rPr>
        <w:t xml:space="preserve">        &lt;/</w:t>
      </w:r>
      <w:r>
        <w:rPr>
          <w:rStyle w:val="KeywordTok"/>
        </w:rPr>
        <w:t xml:space="preserve">rule</w:t>
      </w:r>
      <w:r>
        <w:rPr>
          <w:rStyle w:val="NormalTok"/>
        </w:rPr>
        <w:t xml:space="preserve">&gt;</w:t>
      </w:r>
      <w:r>
        <w:br/>
      </w:r>
      <w:r>
        <w:rPr>
          <w:rStyle w:val="NormalTok"/>
        </w:rPr>
        <w:t xml:space="preserve">      &lt;/</w:t>
      </w:r>
      <w:r>
        <w:rPr>
          <w:rStyle w:val="KeywordTok"/>
        </w:rPr>
        <w:t xml:space="preserve">rules</w:t>
      </w:r>
      <w:r>
        <w:rPr>
          <w:rStyle w:val="NormalTok"/>
        </w:rPr>
        <w:t xml:space="preserve">&gt;</w:t>
      </w:r>
      <w:r>
        <w:br/>
      </w:r>
      <w:r>
        <w:rPr>
          <w:rStyle w:val="NormalTok"/>
        </w:rPr>
        <w:t xml:space="preserve">    &lt;/</w:t>
      </w:r>
      <w:r>
        <w:rPr>
          <w:rStyle w:val="KeywordTok"/>
        </w:rPr>
        <w:t xml:space="preserve">rewrite</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&lt;/</w:t>
      </w:r>
      <w:r>
        <w:rPr>
          <w:rStyle w:val="KeywordTok"/>
        </w:rPr>
        <w:t xml:space="preserve">configuration</w:t>
      </w:r>
      <w:r>
        <w:rPr>
          <w:rStyle w:val="NormalTok"/>
        </w:rPr>
        <w:t xml:space="preserve">&gt;</w:t>
      </w:r>
    </w:p>
    <w:p>
      <w:pPr>
        <w:pStyle w:val="FirstParagraph"/>
      </w:pPr>
      <w:r>
        <w:rPr>
          <w:b/>
          <w:bCs/>
        </w:rPr>
        <w:t xml:space="preserve">Rule element attributes:</w:t>
      </w:r>
    </w:p>
    <w:tbl>
      <w:tblPr>
        <w:tblStyle w:val="Table"/>
        <w:tblW w:type="pct" w:w="5000"/>
        <w:tblLayout w:type="fixed"/>
        <w:tblLook w:firstRow="1" w:lastRow="0" w:firstColumn="0" w:lastColumn="0" w:noHBand="0" w:noVBand="0" w:val="0020"/>
      </w:tblPr>
      <w:tblGrid>
        <w:gridCol w:w="2124"/>
        <w:gridCol w:w="1545"/>
        <w:gridCol w:w="1738"/>
        <w:gridCol w:w="2511"/>
      </w:tblGrid>
      <w:tr>
        <w:trPr>
          <w:tblHeader w:val="on"/>
        </w:trPr>
        <w:tc>
          <w:tcPr/>
          <w:p>
            <w:pPr>
              <w:pStyle w:val="Compact"/>
            </w:pPr>
            <w:r>
              <w:t xml:space="preserve">Attribute</w:t>
            </w:r>
          </w:p>
        </w:tc>
        <w:tc>
          <w:tcPr/>
          <w:p>
            <w:pPr>
              <w:pStyle w:val="Compact"/>
            </w:pPr>
            <w:r>
              <w:t xml:space="preserve">Values</w:t>
            </w:r>
          </w:p>
        </w:tc>
        <w:tc>
          <w:tcPr/>
          <w:p>
            <w:pPr>
              <w:pStyle w:val="Compact"/>
            </w:pPr>
            <w:r>
              <w:t xml:space="preserve">Default</w:t>
            </w:r>
          </w:p>
        </w:tc>
        <w:tc>
          <w:tcPr/>
          <w:p>
            <w:pPr>
              <w:pStyle w:val="Compact"/>
            </w:pPr>
            <w:r>
              <w:t xml:space="preserve">Description</w:t>
            </w:r>
          </w:p>
        </w:tc>
      </w:tr>
      <w:tr>
        <w:tc>
          <w:tcPr/>
          <w:p>
            <w:pPr>
              <w:pStyle w:val="Compact"/>
            </w:pPr>
            <w:r>
              <w:t xml:space="preserve">name</w:t>
            </w:r>
          </w:p>
        </w:tc>
        <w:tc>
          <w:tcPr/>
          <w:p>
            <w:pPr>
              <w:pStyle w:val="Compact"/>
            </w:pPr>
            <w:r>
              <w:t xml:space="preserve">string</w:t>
            </w:r>
          </w:p>
        </w:tc>
        <w:tc>
          <w:tcPr/>
          <w:p>
            <w:pPr>
              <w:pStyle w:val="Compact"/>
            </w:pPr>
            <w:r>
              <w:t xml:space="preserve">—</w:t>
            </w:r>
          </w:p>
        </w:tc>
        <w:tc>
          <w:tcPr/>
          <w:p>
            <w:pPr>
              <w:pStyle w:val="Compact"/>
            </w:pPr>
            <w:r>
              <w:t xml:space="preserve">Display name for the rule</w:t>
            </w:r>
          </w:p>
        </w:tc>
      </w:tr>
      <w:tr>
        <w:tc>
          <w:tcPr/>
          <w:p>
            <w:pPr>
              <w:pStyle w:val="Compact"/>
            </w:pPr>
            <w:r>
              <w:t xml:space="preserve">stopProcessing</w:t>
            </w:r>
          </w:p>
        </w:tc>
        <w:tc>
          <w:tcPr/>
          <w:p>
            <w:pPr>
              <w:pStyle w:val="Compact"/>
            </w:pPr>
            <w:r>
              <w:t xml:space="preserve">true / false</w:t>
            </w:r>
          </w:p>
        </w:tc>
        <w:tc>
          <w:tcPr/>
          <w:p>
            <w:pPr>
              <w:pStyle w:val="Compact"/>
            </w:pPr>
            <w:r>
              <w:t xml:space="preserve">false</w:t>
            </w:r>
          </w:p>
        </w:tc>
        <w:tc>
          <w:tcPr/>
          <w:p>
            <w:pPr>
              <w:pStyle w:val="Compact"/>
            </w:pPr>
            <w:r>
              <w:t xml:space="preserve">Stop evaluating further rules when this rule matches</w:t>
            </w:r>
          </w:p>
        </w:tc>
      </w:tr>
    </w:tbl>
    <w:p>
      <w:pPr>
        <w:pStyle w:val="BodyText"/>
      </w:pPr>
      <w:r>
        <w:rPr>
          <w:b/>
          <w:bCs/>
        </w:rPr>
        <w:t xml:space="preserve">Match element attributes:</w:t>
      </w:r>
    </w:p>
    <w:tbl>
      <w:tblPr>
        <w:tblStyle w:val="Table"/>
        <w:tblW w:type="pct" w:w="5000"/>
        <w:tblLayout w:type="fixed"/>
        <w:tblLook w:firstRow="1" w:lastRow="0" w:firstColumn="0" w:lastColumn="0" w:noHBand="0" w:noVBand="0" w:val="0020"/>
      </w:tblPr>
      <w:tblGrid>
        <w:gridCol w:w="2124"/>
        <w:gridCol w:w="1545"/>
        <w:gridCol w:w="1738"/>
        <w:gridCol w:w="2511"/>
      </w:tblGrid>
      <w:tr>
        <w:trPr>
          <w:tblHeader w:val="on"/>
        </w:trPr>
        <w:tc>
          <w:tcPr/>
          <w:p>
            <w:pPr>
              <w:pStyle w:val="Compact"/>
            </w:pPr>
            <w:r>
              <w:t xml:space="preserve">Attribute</w:t>
            </w:r>
          </w:p>
        </w:tc>
        <w:tc>
          <w:tcPr/>
          <w:p>
            <w:pPr>
              <w:pStyle w:val="Compact"/>
            </w:pPr>
            <w:r>
              <w:t xml:space="preserve">Values</w:t>
            </w:r>
          </w:p>
        </w:tc>
        <w:tc>
          <w:tcPr/>
          <w:p>
            <w:pPr>
              <w:pStyle w:val="Compact"/>
            </w:pPr>
            <w:r>
              <w:t xml:space="preserve">Default</w:t>
            </w:r>
          </w:p>
        </w:tc>
        <w:tc>
          <w:tcPr/>
          <w:p>
            <w:pPr>
              <w:pStyle w:val="Compact"/>
            </w:pPr>
            <w:r>
              <w:t xml:space="preserve">Description</w:t>
            </w:r>
          </w:p>
        </w:tc>
      </w:tr>
      <w:tr>
        <w:tc>
          <w:tcPr/>
          <w:p>
            <w:pPr>
              <w:pStyle w:val="Compact"/>
            </w:pPr>
            <w:r>
              <w:t xml:space="preserve">url</w:t>
            </w:r>
          </w:p>
        </w:tc>
        <w:tc>
          <w:tcPr/>
          <w:p>
            <w:pPr>
              <w:pStyle w:val="Compact"/>
            </w:pPr>
            <w:r>
              <w:t xml:space="preserve">regex</w:t>
            </w:r>
          </w:p>
        </w:tc>
        <w:tc>
          <w:tcPr/>
          <w:p>
            <w:pPr>
              <w:pStyle w:val="Compact"/>
            </w:pPr>
            <w:r>
              <w:t xml:space="preserve">—</w:t>
            </w:r>
          </w:p>
        </w:tc>
        <w:tc>
          <w:tcPr/>
          <w:p>
            <w:pPr>
              <w:pStyle w:val="Compact"/>
            </w:pPr>
            <w:r>
              <w:t xml:space="preserve">URL pattern matched against the request path without the leading slash</w:t>
            </w:r>
          </w:p>
        </w:tc>
      </w:tr>
      <w:tr>
        <w:tc>
          <w:tcPr/>
          <w:p>
            <w:pPr>
              <w:pStyle w:val="Compact"/>
            </w:pPr>
            <w:r>
              <w:t xml:space="preserve">ignoreCase</w:t>
            </w:r>
          </w:p>
        </w:tc>
        <w:tc>
          <w:tcPr/>
          <w:p>
            <w:pPr>
              <w:pStyle w:val="Compact"/>
            </w:pPr>
            <w:r>
              <w:t xml:space="preserve">true / false</w:t>
            </w:r>
          </w:p>
        </w:tc>
        <w:tc>
          <w:tcPr/>
          <w:p>
            <w:pPr>
              <w:pStyle w:val="Compact"/>
            </w:pPr>
            <w:r>
              <w:t xml:space="preserve">true</w:t>
            </w:r>
          </w:p>
        </w:tc>
        <w:tc>
          <w:tcPr/>
          <w:p>
            <w:pPr>
              <w:pStyle w:val="Compact"/>
            </w:pPr>
            <w:r>
              <w:t xml:space="preserve">Perform case-insensitive matching</w:t>
            </w:r>
          </w:p>
        </w:tc>
      </w:tr>
      <w:tr>
        <w:tc>
          <w:tcPr/>
          <w:p>
            <w:pPr>
              <w:pStyle w:val="Compact"/>
            </w:pPr>
            <w:r>
              <w:t xml:space="preserve">negate</w:t>
            </w:r>
          </w:p>
        </w:tc>
        <w:tc>
          <w:tcPr/>
          <w:p>
            <w:pPr>
              <w:pStyle w:val="Compact"/>
            </w:pPr>
            <w:r>
              <w:t xml:space="preserve">true / false</w:t>
            </w:r>
          </w:p>
        </w:tc>
        <w:tc>
          <w:tcPr/>
          <w:p>
            <w:pPr>
              <w:pStyle w:val="Compact"/>
            </w:pPr>
            <w:r>
              <w:t xml:space="preserve">false</w:t>
            </w:r>
          </w:p>
        </w:tc>
        <w:tc>
          <w:tcPr/>
          <w:p>
            <w:pPr>
              <w:pStyle w:val="Compact"/>
            </w:pPr>
            <w:r>
              <w:t xml:space="preserve">Invert the match result</w:t>
            </w:r>
          </w:p>
        </w:tc>
      </w:tr>
    </w:tbl>
    <w:p>
      <w:pPr>
        <w:pStyle w:val="BodyText"/>
      </w:pPr>
      <w:r>
        <w:rPr>
          <w:b/>
          <w:bCs/>
        </w:rPr>
        <w:t xml:space="preserve">Conditions element attributes:</w:t>
      </w:r>
    </w:p>
    <w:tbl>
      <w:tblPr>
        <w:tblStyle w:val="Table"/>
        <w:tblW w:type="pct" w:w="5000"/>
        <w:tblLayout w:type="fixed"/>
        <w:tblLook w:firstRow="1" w:lastRow="0" w:firstColumn="0" w:lastColumn="0" w:noHBand="0" w:noVBand="0" w:val="0020"/>
      </w:tblPr>
      <w:tblGrid>
        <w:gridCol w:w="2124"/>
        <w:gridCol w:w="1545"/>
        <w:gridCol w:w="1738"/>
        <w:gridCol w:w="2511"/>
      </w:tblGrid>
      <w:tr>
        <w:trPr>
          <w:tblHeader w:val="on"/>
        </w:trPr>
        <w:tc>
          <w:tcPr/>
          <w:p>
            <w:pPr>
              <w:pStyle w:val="Compact"/>
            </w:pPr>
            <w:r>
              <w:t xml:space="preserve">Attribute</w:t>
            </w:r>
          </w:p>
        </w:tc>
        <w:tc>
          <w:tcPr/>
          <w:p>
            <w:pPr>
              <w:pStyle w:val="Compact"/>
            </w:pPr>
            <w:r>
              <w:t xml:space="preserve">Values</w:t>
            </w:r>
          </w:p>
        </w:tc>
        <w:tc>
          <w:tcPr/>
          <w:p>
            <w:pPr>
              <w:pStyle w:val="Compact"/>
            </w:pPr>
            <w:r>
              <w:t xml:space="preserve">Default</w:t>
            </w:r>
          </w:p>
        </w:tc>
        <w:tc>
          <w:tcPr/>
          <w:p>
            <w:pPr>
              <w:pStyle w:val="Compact"/>
            </w:pPr>
            <w:r>
              <w:t xml:space="preserve">Description</w:t>
            </w:r>
          </w:p>
        </w:tc>
      </w:tr>
      <w:tr>
        <w:tc>
          <w:tcPr/>
          <w:p>
            <w:pPr>
              <w:pStyle w:val="Compact"/>
            </w:pPr>
            <w:r>
              <w:t xml:space="preserve">logicalGrouping</w:t>
            </w:r>
          </w:p>
        </w:tc>
        <w:tc>
          <w:tcPr/>
          <w:p>
            <w:pPr>
              <w:pStyle w:val="Compact"/>
            </w:pPr>
            <w:r>
              <w:t xml:space="preserve">MatchAll / MatchAny</w:t>
            </w:r>
          </w:p>
        </w:tc>
        <w:tc>
          <w:tcPr/>
          <w:p>
            <w:pPr>
              <w:pStyle w:val="Compact"/>
            </w:pPr>
            <w:r>
              <w:t xml:space="preserve">MatchAll</w:t>
            </w:r>
          </w:p>
        </w:tc>
        <w:tc>
          <w:tcPr/>
          <w:p>
            <w:pPr>
              <w:pStyle w:val="Compact"/>
            </w:pPr>
            <w:r>
              <w:t xml:space="preserve">Apply AND or OR logic to all conditions in the block</w:t>
            </w:r>
          </w:p>
        </w:tc>
      </w:tr>
    </w:tbl>
    <w:p>
      <w:pPr>
        <w:pStyle w:val="BodyText"/>
      </w:pPr>
      <w:r>
        <w:rPr>
          <w:b/>
          <w:bCs/>
        </w:rPr>
        <w:t xml:space="preserve">Condition add element attributes:</w:t>
      </w:r>
    </w:p>
    <w:tbl>
      <w:tblPr>
        <w:tblStyle w:val="Table"/>
        <w:tblW w:type="pct" w:w="5000"/>
        <w:tblLayout w:type="fixed"/>
        <w:tblLook w:firstRow="1" w:lastRow="0" w:firstColumn="0" w:lastColumn="0" w:noHBand="0" w:noVBand="0" w:val="0020"/>
      </w:tblPr>
      <w:tblGrid>
        <w:gridCol w:w="2124"/>
        <w:gridCol w:w="1545"/>
        <w:gridCol w:w="1738"/>
        <w:gridCol w:w="2511"/>
      </w:tblGrid>
      <w:tr>
        <w:trPr>
          <w:tblHeader w:val="on"/>
        </w:trPr>
        <w:tc>
          <w:tcPr/>
          <w:p>
            <w:pPr>
              <w:pStyle w:val="Compact"/>
            </w:pPr>
            <w:r>
              <w:t xml:space="preserve">Attribute</w:t>
            </w:r>
          </w:p>
        </w:tc>
        <w:tc>
          <w:tcPr/>
          <w:p>
            <w:pPr>
              <w:pStyle w:val="Compact"/>
            </w:pPr>
            <w:r>
              <w:t xml:space="preserve">Values</w:t>
            </w:r>
          </w:p>
        </w:tc>
        <w:tc>
          <w:tcPr/>
          <w:p>
            <w:pPr>
              <w:pStyle w:val="Compact"/>
            </w:pPr>
            <w:r>
              <w:t xml:space="preserve">Default</w:t>
            </w:r>
          </w:p>
        </w:tc>
        <w:tc>
          <w:tcPr/>
          <w:p>
            <w:pPr>
              <w:pStyle w:val="Compact"/>
            </w:pPr>
            <w:r>
              <w:t xml:space="preserve">Description</w:t>
            </w:r>
          </w:p>
        </w:tc>
      </w:tr>
      <w:tr>
        <w:tc>
          <w:tcPr/>
          <w:p>
            <w:pPr>
              <w:pStyle w:val="Compact"/>
            </w:pPr>
            <w:r>
              <w:t xml:space="preserve">input</w:t>
            </w:r>
          </w:p>
        </w:tc>
        <w:tc>
          <w:tcPr/>
          <w:p>
            <w:pPr>
              <w:pStyle w:val="Compact"/>
            </w:pPr>
            <w:r>
              <w:t xml:space="preserve">see below</w:t>
            </w:r>
          </w:p>
        </w:tc>
        <w:tc>
          <w:tcPr/>
          <w:p>
            <w:pPr>
              <w:pStyle w:val="Compact"/>
            </w:pPr>
            <w:r>
              <w:t xml:space="preserve">—</w:t>
            </w:r>
          </w:p>
        </w:tc>
        <w:tc>
          <w:tcPr/>
          <w:p>
            <w:pPr>
              <w:pStyle w:val="Compact"/>
            </w:pPr>
            <w:r>
              <w:t xml:space="preserve">Server variable or expression to evaluate</w:t>
            </w:r>
          </w:p>
        </w:tc>
      </w:tr>
      <w:tr>
        <w:tc>
          <w:tcPr/>
          <w:p>
            <w:pPr>
              <w:pStyle w:val="Compact"/>
            </w:pPr>
            <w:r>
              <w:t xml:space="preserve">matchType</w:t>
            </w:r>
          </w:p>
        </w:tc>
        <w:tc>
          <w:tcPr/>
          <w:p>
            <w:pPr>
              <w:pStyle w:val="Compact"/>
            </w:pPr>
            <w:r>
              <w:t xml:space="preserve">IsFile / IsDirectory / Pattern</w:t>
            </w:r>
          </w:p>
        </w:tc>
        <w:tc>
          <w:tcPr/>
          <w:p>
            <w:pPr>
              <w:pStyle w:val="Compact"/>
            </w:pPr>
            <w:r>
              <w:t xml:space="preserve">Pattern</w:t>
            </w:r>
          </w:p>
        </w:tc>
        <w:tc>
          <w:tcPr/>
          <w:p>
            <w:pPr>
              <w:pStyle w:val="Compact"/>
            </w:pPr>
            <w:r>
              <w:t xml:space="preserve">How the input is evaluated</w:t>
            </w:r>
          </w:p>
        </w:tc>
      </w:tr>
      <w:tr>
        <w:tc>
          <w:tcPr/>
          <w:p>
            <w:pPr>
              <w:pStyle w:val="Compact"/>
            </w:pPr>
            <w:r>
              <w:t xml:space="preserve">pattern</w:t>
            </w:r>
          </w:p>
        </w:tc>
        <w:tc>
          <w:tcPr/>
          <w:p>
            <w:pPr>
              <w:pStyle w:val="Compact"/>
            </w:pPr>
            <w:r>
              <w:t xml:space="preserve">regex</w:t>
            </w:r>
          </w:p>
        </w:tc>
        <w:tc>
          <w:tcPr/>
          <w:p>
            <w:pPr>
              <w:pStyle w:val="Compact"/>
            </w:pPr>
            <w:r>
              <w:t xml:space="preserve">—</w:t>
            </w:r>
          </w:p>
        </w:tc>
        <w:tc>
          <w:tcPr/>
          <w:p>
            <w:pPr>
              <w:pStyle w:val="Compact"/>
            </w:pPr>
            <w:r>
              <w:t xml:space="preserve">Regular expression pattern when matchType is Pattern</w:t>
            </w:r>
          </w:p>
        </w:tc>
      </w:tr>
      <w:tr>
        <w:tc>
          <w:tcPr/>
          <w:p>
            <w:pPr>
              <w:pStyle w:val="Compact"/>
            </w:pPr>
            <w:r>
              <w:t xml:space="preserve">ignoreCase</w:t>
            </w:r>
          </w:p>
        </w:tc>
        <w:tc>
          <w:tcPr/>
          <w:p>
            <w:pPr>
              <w:pStyle w:val="Compact"/>
            </w:pPr>
            <w:r>
              <w:t xml:space="preserve">true / false</w:t>
            </w:r>
          </w:p>
        </w:tc>
        <w:tc>
          <w:tcPr/>
          <w:p>
            <w:pPr>
              <w:pStyle w:val="Compact"/>
            </w:pPr>
            <w:r>
              <w:t xml:space="preserve">true</w:t>
            </w:r>
          </w:p>
        </w:tc>
        <w:tc>
          <w:tcPr/>
          <w:p>
            <w:pPr>
              <w:pStyle w:val="Compact"/>
            </w:pPr>
            <w:r>
              <w:t xml:space="preserve">Case-insensitive regex matching</w:t>
            </w:r>
          </w:p>
        </w:tc>
      </w:tr>
      <w:tr>
        <w:tc>
          <w:tcPr/>
          <w:p>
            <w:pPr>
              <w:pStyle w:val="Compact"/>
            </w:pPr>
            <w:r>
              <w:t xml:space="preserve">negate</w:t>
            </w:r>
          </w:p>
        </w:tc>
        <w:tc>
          <w:tcPr/>
          <w:p>
            <w:pPr>
              <w:pStyle w:val="Compact"/>
            </w:pPr>
            <w:r>
              <w:t xml:space="preserve">true / false</w:t>
            </w:r>
          </w:p>
        </w:tc>
        <w:tc>
          <w:tcPr/>
          <w:p>
            <w:pPr>
              <w:pStyle w:val="Compact"/>
            </w:pPr>
            <w:r>
              <w:t xml:space="preserve">false</w:t>
            </w:r>
          </w:p>
        </w:tc>
        <w:tc>
          <w:tcPr/>
          <w:p>
            <w:pPr>
              <w:pStyle w:val="Compact"/>
            </w:pPr>
            <w:r>
              <w:t xml:space="preserve">Invert the condition result</w:t>
            </w:r>
          </w:p>
        </w:tc>
      </w:tr>
    </w:tbl>
    <w:p>
      <w:pPr>
        <w:pStyle w:val="BodyText"/>
      </w:pPr>
      <w:r>
        <w:rPr>
          <w:b/>
          <w:bCs/>
        </w:rPr>
        <w:t xml:space="preserve">Supported condition input variables:</w:t>
      </w:r>
    </w:p>
    <w:tbl>
      <w:tblPr>
        <w:tblStyle w:val="Table"/>
        <w:tblW w:type="pct" w:w="5000"/>
        <w:tblLayout w:type="fixed"/>
        <w:tblLook w:firstRow="1" w:lastRow="0" w:firstColumn="0" w:lastColumn="0" w:noHBand="0" w:noVBand="0" w:val="0020"/>
      </w:tblPr>
      <w:tblGrid>
        <w:gridCol w:w="3443"/>
        <w:gridCol w:w="4476"/>
      </w:tblGrid>
      <w:tr>
        <w:trPr>
          <w:tblHeader w:val="on"/>
        </w:trPr>
        <w:tc>
          <w:tcPr/>
          <w:p>
            <w:pPr>
              <w:pStyle w:val="Compact"/>
            </w:pPr>
            <w:r>
              <w:t xml:space="preserve">Variable</w:t>
            </w:r>
          </w:p>
        </w:tc>
        <w:tc>
          <w:tcPr/>
          <w:p>
            <w:pPr>
              <w:pStyle w:val="Compact"/>
            </w:pPr>
            <w:r>
              <w:t xml:space="preserve">Description</w:t>
            </w:r>
          </w:p>
        </w:tc>
      </w:tr>
      <w:tr>
        <w:tc>
          <w:tcPr/>
          <w:p>
            <w:pPr>
              <w:pStyle w:val="Compact"/>
            </w:pPr>
            <w:r>
              <w:t xml:space="preserve">{REQUEST_FILENAME}</w:t>
            </w:r>
          </w:p>
        </w:tc>
        <w:tc>
          <w:tcPr/>
          <w:p>
            <w:pPr>
              <w:pStyle w:val="Compact"/>
            </w:pPr>
            <w:r>
              <w:t xml:space="preserve">Absolute filesystem path resolved from the web root for the requested URL</w:t>
            </w:r>
          </w:p>
        </w:tc>
      </w:tr>
      <w:tr>
        <w:tc>
          <w:tcPr/>
          <w:p>
            <w:pPr>
              <w:pStyle w:val="Compact"/>
            </w:pPr>
            <w:r>
              <w:t xml:space="preserve">{URL}</w:t>
            </w:r>
          </w:p>
        </w:tc>
        <w:tc>
          <w:tcPr/>
          <w:p>
            <w:pPr>
              <w:pStyle w:val="Compact"/>
            </w:pPr>
            <w:r>
              <w:t xml:space="preserve">URL path of the current request</w:t>
            </w:r>
          </w:p>
        </w:tc>
      </w:tr>
      <w:tr>
        <w:tc>
          <w:tcPr/>
          <w:p>
            <w:pPr>
              <w:pStyle w:val="Compact"/>
            </w:pPr>
            <w:r>
              <w:t xml:space="preserve">{REQUEST_URI}</w:t>
            </w:r>
          </w:p>
        </w:tc>
        <w:tc>
          <w:tcPr/>
          <w:p>
            <w:pPr>
              <w:pStyle w:val="Compact"/>
            </w:pPr>
            <w:r>
              <w:t xml:space="preserve">Same as {URL}</w:t>
            </w:r>
          </w:p>
        </w:tc>
      </w:tr>
    </w:tbl>
    <w:p>
      <w:pPr>
        <w:pStyle w:val="BodyText"/>
      </w:pPr>
      <w:r>
        <w:rPr>
          <w:b/>
          <w:bCs/>
        </w:rPr>
        <w:t xml:space="preserve">Action element attributes:</w:t>
      </w:r>
    </w:p>
    <w:tbl>
      <w:tblPr>
        <w:tblStyle w:val="Table"/>
        <w:tblW w:type="pct" w:w="5000"/>
        <w:tblLayout w:type="fixed"/>
        <w:tblLook w:firstRow="1" w:lastRow="0" w:firstColumn="0" w:lastColumn="0" w:noHBand="0" w:noVBand="0" w:val="0020"/>
      </w:tblPr>
      <w:tblGrid>
        <w:gridCol w:w="2124"/>
        <w:gridCol w:w="1545"/>
        <w:gridCol w:w="1738"/>
        <w:gridCol w:w="2511"/>
      </w:tblGrid>
      <w:tr>
        <w:trPr>
          <w:tblHeader w:val="on"/>
        </w:trPr>
        <w:tc>
          <w:tcPr/>
          <w:p>
            <w:pPr>
              <w:pStyle w:val="Compact"/>
            </w:pPr>
            <w:r>
              <w:t xml:space="preserve">Attribute</w:t>
            </w:r>
          </w:p>
        </w:tc>
        <w:tc>
          <w:tcPr/>
          <w:p>
            <w:pPr>
              <w:pStyle w:val="Compact"/>
            </w:pPr>
            <w:r>
              <w:t xml:space="preserve">Values</w:t>
            </w:r>
          </w:p>
        </w:tc>
        <w:tc>
          <w:tcPr/>
          <w:p>
            <w:pPr>
              <w:pStyle w:val="Compact"/>
            </w:pPr>
            <w:r>
              <w:t xml:space="preserve">Default</w:t>
            </w:r>
          </w:p>
        </w:tc>
        <w:tc>
          <w:tcPr/>
          <w:p>
            <w:pPr>
              <w:pStyle w:val="Compact"/>
            </w:pPr>
            <w:r>
              <w:t xml:space="preserve">Description</w:t>
            </w:r>
          </w:p>
        </w:tc>
      </w:tr>
      <w:tr>
        <w:tc>
          <w:tcPr/>
          <w:p>
            <w:pPr>
              <w:pStyle w:val="Compact"/>
            </w:pPr>
            <w:r>
              <w:t xml:space="preserve">type</w:t>
            </w:r>
          </w:p>
        </w:tc>
        <w:tc>
          <w:tcPr/>
          <w:p>
            <w:pPr>
              <w:pStyle w:val="Compact"/>
            </w:pPr>
            <w:r>
              <w:t xml:space="preserve">Rewrite / Redirect</w:t>
            </w:r>
          </w:p>
        </w:tc>
        <w:tc>
          <w:tcPr/>
          <w:p>
            <w:pPr>
              <w:pStyle w:val="Compact"/>
            </w:pPr>
            <w:r>
              <w:t xml:space="preserve">—</w:t>
            </w:r>
          </w:p>
        </w:tc>
        <w:tc>
          <w:tcPr/>
          <w:p>
            <w:pPr>
              <w:pStyle w:val="Compact"/>
            </w:pPr>
            <w:r>
              <w:t xml:space="preserve">Action to take when the rule matches</w:t>
            </w:r>
          </w:p>
        </w:tc>
      </w:tr>
      <w:tr>
        <w:tc>
          <w:tcPr/>
          <w:p>
            <w:pPr>
              <w:pStyle w:val="Compact"/>
            </w:pPr>
            <w:r>
              <w:t xml:space="preserve">url</w:t>
            </w:r>
          </w:p>
        </w:tc>
        <w:tc>
          <w:tcPr/>
          <w:p>
            <w:pPr>
              <w:pStyle w:val="Compact"/>
            </w:pPr>
            <w:r>
              <w:t xml:space="preserve">string</w:t>
            </w:r>
          </w:p>
        </w:tc>
        <w:tc>
          <w:tcPr/>
          <w:p>
            <w:pPr>
              <w:pStyle w:val="Compact"/>
            </w:pPr>
            <w:r>
              <w:t xml:space="preserve">—</w:t>
            </w:r>
          </w:p>
        </w:tc>
        <w:tc>
          <w:tcPr/>
          <w:p>
            <w:pPr>
              <w:pStyle w:val="Compact"/>
            </w:pPr>
            <w:r>
              <w:t xml:space="preserve">Target path or URL. Supports back-references {R:0}, {R:1}, and so on</w:t>
            </w:r>
          </w:p>
        </w:tc>
      </w:tr>
      <w:tr>
        <w:tc>
          <w:tcPr/>
          <w:p>
            <w:pPr>
              <w:pStyle w:val="Compact"/>
            </w:pPr>
            <w:r>
              <w:t xml:space="preserve">appendQueryString</w:t>
            </w:r>
          </w:p>
        </w:tc>
        <w:tc>
          <w:tcPr/>
          <w:p>
            <w:pPr>
              <w:pStyle w:val="Compact"/>
            </w:pPr>
            <w:r>
              <w:t xml:space="preserve">true / false</w:t>
            </w:r>
          </w:p>
        </w:tc>
        <w:tc>
          <w:tcPr/>
          <w:p>
            <w:pPr>
              <w:pStyle w:val="Compact"/>
            </w:pPr>
            <w:r>
              <w:t xml:space="preserve">true</w:t>
            </w:r>
          </w:p>
        </w:tc>
        <w:tc>
          <w:tcPr/>
          <w:p>
            <w:pPr>
              <w:pStyle w:val="Compact"/>
            </w:pPr>
            <w:r>
              <w:t xml:space="preserve">Append the original query string to the rewritten or redirected URL</w:t>
            </w:r>
          </w:p>
        </w:tc>
      </w:tr>
      <w:tr>
        <w:tc>
          <w:tcPr/>
          <w:p>
            <w:pPr>
              <w:pStyle w:val="Compact"/>
            </w:pPr>
            <w:r>
              <w:t xml:space="preserve">redirectType</w:t>
            </w:r>
          </w:p>
        </w:tc>
        <w:tc>
          <w:tcPr/>
          <w:p>
            <w:pPr>
              <w:pStyle w:val="Compact"/>
            </w:pPr>
            <w:r>
              <w:t xml:space="preserve">Permanent / Found / Temporary</w:t>
            </w:r>
          </w:p>
        </w:tc>
        <w:tc>
          <w:tcPr/>
          <w:p>
            <w:pPr>
              <w:pStyle w:val="Compact"/>
            </w:pPr>
            <w:r>
              <w:t xml:space="preserve">Found</w:t>
            </w:r>
          </w:p>
        </w:tc>
        <w:tc>
          <w:tcPr/>
          <w:p>
            <w:pPr>
              <w:pStyle w:val="Compact"/>
            </w:pPr>
            <w:r>
              <w:t xml:space="preserve">HTTP status code for Redirect actions (Permanent = 301, Found = 302, Temporary = 302)</w:t>
            </w:r>
          </w:p>
        </w:tc>
      </w:tr>
    </w:tbl>
    <w:p>
      <w:pPr>
        <w:pStyle w:val="BodyText"/>
      </w:pPr>
      <w:r>
        <w:t xml:space="preserve">Back-references from the match pattern are available in the action URL as</w:t>
      </w:r>
      <w:r>
        <w:t xml:space="preserve"> </w:t>
      </w:r>
      <w:r>
        <w:rPr>
          <w:rStyle w:val="VerbatimChar"/>
        </w:rPr>
        <w:t xml:space="preserve">{R:0}</w:t>
      </w:r>
      <w:r>
        <w:t xml:space="preserve"> </w:t>
      </w:r>
      <w:r>
        <w:t xml:space="preserve">(full match) and</w:t>
      </w:r>
      <w:r>
        <w:t xml:space="preserve"> </w:t>
      </w:r>
      <w:r>
        <w:rPr>
          <w:rStyle w:val="VerbatimChar"/>
        </w:rPr>
        <w:t xml:space="preserve">{R:1}</w:t>
      </w:r>
      <w:r>
        <w:t xml:space="preserve">,</w:t>
      </w:r>
      <w:r>
        <w:t xml:space="preserve"> </w:t>
      </w:r>
      <w:r>
        <w:rPr>
          <w:rStyle w:val="VerbatimChar"/>
        </w:rPr>
        <w:t xml:space="preserve">{R:2}</w:t>
      </w:r>
      <w:r>
        <w:t xml:space="preserve">, … (capture groups).</w:t>
      </w:r>
    </w:p>
    <w:p>
      <w:r>
        <w:pict>
          <v:rect style="width:0;height:1.5pt" o:hralign="center" o:hrstd="t" o:hr="t"/>
        </w:pict>
      </w:r>
    </w:p>
    <w:bookmarkEnd w:id="187"/>
    <w:bookmarkStart w:id="188" w:name="http-redirect"/>
    <w:p>
      <w:pPr>
        <w:pStyle w:val="Heading3"/>
      </w:pPr>
      <w:r>
        <w:t xml:space="preserve">HTTP Redirect</w:t>
      </w:r>
    </w:p>
    <w:p>
      <w:pPr>
        <w:pStyle w:val="FirstParagraph"/>
      </w:pPr>
      <w:r>
        <w:t xml:space="preserve">Redirect all requests from the site to a fixed destination URL:</w:t>
      </w:r>
    </w:p>
    <w:p>
      <w:pPr>
        <w:pStyle w:val="SourceCode"/>
      </w:pPr>
      <w:r>
        <w:rPr>
          <w:rStyle w:val="NormalTok"/>
        </w:rPr>
        <w:t xml:space="preserve">&lt;</w:t>
      </w:r>
      <w:r>
        <w:rPr>
          <w:rStyle w:val="KeywordTok"/>
        </w:rPr>
        <w:t xml:space="preserve">configuration</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    &lt;</w:t>
      </w:r>
      <w:r>
        <w:rPr>
          <w:rStyle w:val="KeywordTok"/>
        </w:rPr>
        <w:t xml:space="preserve">httpRedirect</w:t>
      </w:r>
      <w:r>
        <w:rPr>
          <w:rStyle w:val="NormalTok"/>
        </w:rPr>
        <w:t xml:space="preserve"> </w:t>
      </w:r>
      <w:r>
        <w:rPr>
          <w:rStyle w:val="OtherTok"/>
        </w:rPr>
        <w:t xml:space="preserve">enabled=</w:t>
      </w:r>
      <w:r>
        <w:rPr>
          <w:rStyle w:val="StringTok"/>
        </w:rPr>
        <w:t xml:space="preserve">"true"</w:t>
      </w:r>
      <w:r>
        <w:br/>
      </w:r>
      <w:r>
        <w:rPr>
          <w:rStyle w:val="NormalTok"/>
        </w:rPr>
        <w:t xml:space="preserve">                  </w:t>
      </w:r>
      <w:r>
        <w:rPr>
          <w:rStyle w:val="OtherTok"/>
        </w:rPr>
        <w:t xml:space="preserve">destination=</w:t>
      </w:r>
      <w:r>
        <w:rPr>
          <w:rStyle w:val="StringTok"/>
        </w:rPr>
        <w:t xml:space="preserve">"https://www.newsite.com"</w:t>
      </w:r>
      <w:r>
        <w:br/>
      </w:r>
      <w:r>
        <w:rPr>
          <w:rStyle w:val="NormalTok"/>
        </w:rPr>
        <w:t xml:space="preserve">                  </w:t>
      </w:r>
      <w:r>
        <w:rPr>
          <w:rStyle w:val="OtherTok"/>
        </w:rPr>
        <w:t xml:space="preserve">exactDestination=</w:t>
      </w:r>
      <w:r>
        <w:rPr>
          <w:rStyle w:val="StringTok"/>
        </w:rPr>
        <w:t xml:space="preserve">"false"</w:t>
      </w:r>
      <w:r>
        <w:br/>
      </w:r>
      <w:r>
        <w:rPr>
          <w:rStyle w:val="NormalTok"/>
        </w:rPr>
        <w:t xml:space="preserve">                  </w:t>
      </w:r>
      <w:r>
        <w:rPr>
          <w:rStyle w:val="OtherTok"/>
        </w:rPr>
        <w:t xml:space="preserve">childOnly=</w:t>
      </w:r>
      <w:r>
        <w:rPr>
          <w:rStyle w:val="StringTok"/>
        </w:rPr>
        <w:t xml:space="preserve">"false"</w:t>
      </w:r>
      <w:r>
        <w:br/>
      </w:r>
      <w:r>
        <w:rPr>
          <w:rStyle w:val="NormalTok"/>
        </w:rPr>
        <w:t xml:space="preserve">                  </w:t>
      </w:r>
      <w:r>
        <w:rPr>
          <w:rStyle w:val="OtherTok"/>
        </w:rPr>
        <w:t xml:space="preserve">httpResponseStatus=</w:t>
      </w:r>
      <w:r>
        <w:rPr>
          <w:rStyle w:val="StringTok"/>
        </w:rPr>
        <w:t xml:space="preserve">"Permanent"</w:t>
      </w:r>
      <w:r>
        <w:rPr>
          <w:rStyle w:val="NormalTok"/>
        </w:rPr>
        <w:t xml:space="preserve"> /&gt;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&lt;/</w:t>
      </w:r>
      <w:r>
        <w:rPr>
          <w:rStyle w:val="KeywordTok"/>
        </w:rPr>
        <w:t xml:space="preserve">configuration</w:t>
      </w:r>
      <w:r>
        <w:rPr>
          <w:rStyle w:val="NormalTok"/>
        </w:rPr>
        <w:t xml:space="preserve">&gt;</w:t>
      </w:r>
    </w:p>
    <w:p>
      <w:pPr>
        <w:pStyle w:val="FirstParagraph"/>
      </w:pPr>
      <w:r>
        <w:rPr>
          <w:b/>
          <w:bCs/>
        </w:rPr>
        <w:t xml:space="preserve">httpRedirect attributes:</w:t>
      </w:r>
    </w:p>
    <w:tbl>
      <w:tblPr>
        <w:tblStyle w:val="Table"/>
        <w:tblW w:type="pct" w:w="5000"/>
        <w:tblLayout w:type="fixed"/>
        <w:tblLook w:firstRow="1" w:lastRow="0" w:firstColumn="0" w:lastColumn="0" w:noHBand="0" w:noVBand="0" w:val="0020"/>
      </w:tblPr>
      <w:tblGrid>
        <w:gridCol w:w="2124"/>
        <w:gridCol w:w="1545"/>
        <w:gridCol w:w="1738"/>
        <w:gridCol w:w="2511"/>
      </w:tblGrid>
      <w:tr>
        <w:trPr>
          <w:tblHeader w:val="on"/>
        </w:trPr>
        <w:tc>
          <w:tcPr/>
          <w:p>
            <w:pPr>
              <w:pStyle w:val="Compact"/>
            </w:pPr>
            <w:r>
              <w:t xml:space="preserve">Attribute</w:t>
            </w:r>
          </w:p>
        </w:tc>
        <w:tc>
          <w:tcPr/>
          <w:p>
            <w:pPr>
              <w:pStyle w:val="Compact"/>
            </w:pPr>
            <w:r>
              <w:t xml:space="preserve">Values</w:t>
            </w:r>
          </w:p>
        </w:tc>
        <w:tc>
          <w:tcPr/>
          <w:p>
            <w:pPr>
              <w:pStyle w:val="Compact"/>
            </w:pPr>
            <w:r>
              <w:t xml:space="preserve">Default</w:t>
            </w:r>
          </w:p>
        </w:tc>
        <w:tc>
          <w:tcPr/>
          <w:p>
            <w:pPr>
              <w:pStyle w:val="Compact"/>
            </w:pPr>
            <w:r>
              <w:t xml:space="preserve">Description</w:t>
            </w:r>
          </w:p>
        </w:tc>
      </w:tr>
      <w:tr>
        <w:tc>
          <w:tcPr/>
          <w:p>
            <w:pPr>
              <w:pStyle w:val="Compact"/>
            </w:pPr>
            <w:r>
              <w:t xml:space="preserve">enabled</w:t>
            </w:r>
          </w:p>
        </w:tc>
        <w:tc>
          <w:tcPr/>
          <w:p>
            <w:pPr>
              <w:pStyle w:val="Compact"/>
            </w:pPr>
            <w:r>
              <w:t xml:space="preserve">true / false</w:t>
            </w:r>
          </w:p>
        </w:tc>
        <w:tc>
          <w:tcPr/>
          <w:p>
            <w:pPr>
              <w:pStyle w:val="Compact"/>
            </w:pPr>
            <w:r>
              <w:t xml:space="preserve">false</w:t>
            </w:r>
          </w:p>
        </w:tc>
        <w:tc>
          <w:tcPr/>
          <w:p>
            <w:pPr>
              <w:pStyle w:val="Compact"/>
            </w:pPr>
            <w:r>
              <w:t xml:space="preserve">Activate the redirect</w:t>
            </w:r>
          </w:p>
        </w:tc>
      </w:tr>
      <w:tr>
        <w:tc>
          <w:tcPr/>
          <w:p>
            <w:pPr>
              <w:pStyle w:val="Compact"/>
            </w:pPr>
            <w:r>
              <w:t xml:space="preserve">destination</w:t>
            </w:r>
          </w:p>
        </w:tc>
        <w:tc>
          <w:tcPr/>
          <w:p>
            <w:pPr>
              <w:pStyle w:val="Compact"/>
            </w:pPr>
            <w:r>
              <w:t xml:space="preserve">URL string</w:t>
            </w:r>
          </w:p>
        </w:tc>
        <w:tc>
          <w:tcPr/>
          <w:p>
            <w:pPr>
              <w:pStyle w:val="Compact"/>
            </w:pPr>
            <w:r>
              <w:t xml:space="preserve">—</w:t>
            </w:r>
          </w:p>
        </w:tc>
        <w:tc>
          <w:tcPr/>
          <w:p>
            <w:pPr>
              <w:pStyle w:val="Compact"/>
            </w:pPr>
            <w:r>
              <w:t xml:space="preserve">Target redirection URL</w:t>
            </w:r>
          </w:p>
        </w:tc>
      </w:tr>
      <w:tr>
        <w:tc>
          <w:tcPr/>
          <w:p>
            <w:pPr>
              <w:pStyle w:val="Compact"/>
            </w:pPr>
            <w:r>
              <w:t xml:space="preserve">exactDestination</w:t>
            </w:r>
          </w:p>
        </w:tc>
        <w:tc>
          <w:tcPr/>
          <w:p>
            <w:pPr>
              <w:pStyle w:val="Compact"/>
            </w:pPr>
            <w:r>
              <w:t xml:space="preserve">true / false</w:t>
            </w:r>
          </w:p>
        </w:tc>
        <w:tc>
          <w:tcPr/>
          <w:p>
            <w:pPr>
              <w:pStyle w:val="Compact"/>
            </w:pPr>
            <w:r>
              <w:t xml:space="preserve">false</w:t>
            </w:r>
          </w:p>
        </w:tc>
        <w:tc>
          <w:tcPr/>
          <w:p>
            <w:pPr>
              <w:pStyle w:val="Compact"/>
            </w:pPr>
            <w:r>
              <w:t xml:space="preserve">Redirect every request to the exact destination URL without appending the original path</w:t>
            </w:r>
          </w:p>
        </w:tc>
      </w:tr>
      <w:tr>
        <w:tc>
          <w:tcPr/>
          <w:p>
            <w:pPr>
              <w:pStyle w:val="Compact"/>
            </w:pPr>
            <w:r>
              <w:t xml:space="preserve">childOnly</w:t>
            </w:r>
          </w:p>
        </w:tc>
        <w:tc>
          <w:tcPr/>
          <w:p>
            <w:pPr>
              <w:pStyle w:val="Compact"/>
            </w:pPr>
            <w:r>
              <w:t xml:space="preserve">true / false</w:t>
            </w:r>
          </w:p>
        </w:tc>
        <w:tc>
          <w:tcPr/>
          <w:p>
            <w:pPr>
              <w:pStyle w:val="Compact"/>
            </w:pPr>
            <w:r>
              <w:t xml:space="preserve">false</w:t>
            </w:r>
          </w:p>
        </w:tc>
        <w:tc>
          <w:tcPr/>
          <w:p>
            <w:pPr>
              <w:pStyle w:val="Compact"/>
            </w:pPr>
            <w:r>
              <w:t xml:space="preserve">Only redirect child paths, not the root itself</w:t>
            </w:r>
          </w:p>
        </w:tc>
      </w:tr>
      <w:tr>
        <w:tc>
          <w:tcPr/>
          <w:p>
            <w:pPr>
              <w:pStyle w:val="Compact"/>
            </w:pPr>
            <w:r>
              <w:t xml:space="preserve">httpResponseStatus</w:t>
            </w:r>
          </w:p>
        </w:tc>
        <w:tc>
          <w:tcPr/>
          <w:p>
            <w:pPr>
              <w:pStyle w:val="Compact"/>
            </w:pPr>
            <w:r>
              <w:t xml:space="preserve">Permanent / Found / Temporary</w:t>
            </w:r>
          </w:p>
        </w:tc>
        <w:tc>
          <w:tcPr/>
          <w:p>
            <w:pPr>
              <w:pStyle w:val="Compact"/>
            </w:pPr>
            <w:r>
              <w:t xml:space="preserve">Permanent</w:t>
            </w:r>
          </w:p>
        </w:tc>
        <w:tc>
          <w:tcPr/>
          <w:p>
            <w:pPr>
              <w:pStyle w:val="Compact"/>
            </w:pPr>
            <w:r>
              <w:t xml:space="preserve">Permanent = 301, Found = 302, Temporary = 302</w:t>
            </w:r>
          </w:p>
        </w:tc>
      </w:tr>
    </w:tbl>
    <w:p>
      <w:r>
        <w:pict>
          <v:rect style="width:0;height:1.5pt" o:hralign="center" o:hrstd="t" o:hr="t"/>
        </w:pict>
      </w:r>
    </w:p>
    <w:bookmarkEnd w:id="188"/>
    <w:bookmarkStart w:id="189" w:name="custom-error-pages"/>
    <w:p>
      <w:pPr>
        <w:pStyle w:val="Heading3"/>
      </w:pPr>
      <w:r>
        <w:t xml:space="preserve">Custom Error Pages</w:t>
      </w:r>
    </w:p>
    <w:p>
      <w:pPr>
        <w:pStyle w:val="FirstParagraph"/>
      </w:pPr>
      <w:r>
        <w:t xml:space="preserve">Map HTTP status codes to custom error files:</w:t>
      </w:r>
    </w:p>
    <w:p>
      <w:pPr>
        <w:pStyle w:val="SourceCode"/>
      </w:pPr>
      <w:r>
        <w:rPr>
          <w:rStyle w:val="NormalTok"/>
        </w:rPr>
        <w:t xml:space="preserve">&lt;</w:t>
      </w:r>
      <w:r>
        <w:rPr>
          <w:rStyle w:val="KeywordTok"/>
        </w:rPr>
        <w:t xml:space="preserve">configuration</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    &lt;</w:t>
      </w:r>
      <w:r>
        <w:rPr>
          <w:rStyle w:val="KeywordTok"/>
        </w:rPr>
        <w:t xml:space="preserve">httpErrors</w:t>
      </w:r>
      <w:r>
        <w:rPr>
          <w:rStyle w:val="NormalTok"/>
        </w:rPr>
        <w:t xml:space="preserve">&gt;</w:t>
      </w:r>
      <w:r>
        <w:br/>
      </w:r>
      <w:r>
        <w:rPr>
          <w:rStyle w:val="NormalTok"/>
        </w:rPr>
        <w:t xml:space="preserve">      &lt;</w:t>
      </w:r>
      <w:r>
        <w:rPr>
          <w:rStyle w:val="KeywordTok"/>
        </w:rPr>
        <w:t xml:space="preserve">error</w:t>
      </w:r>
      <w:r>
        <w:rPr>
          <w:rStyle w:val="NormalTok"/>
        </w:rPr>
        <w:t xml:space="preserve"> </w:t>
      </w:r>
      <w:r>
        <w:rPr>
          <w:rStyle w:val="OtherTok"/>
        </w:rPr>
        <w:t xml:space="preserve">statusCode=</w:t>
      </w:r>
      <w:r>
        <w:rPr>
          <w:rStyle w:val="StringTok"/>
        </w:rPr>
        <w:t xml:space="preserve">"404"</w:t>
      </w:r>
      <w:r>
        <w:rPr>
          <w:rStyle w:val="NormalTok"/>
        </w:rPr>
        <w:t xml:space="preserve"> </w:t>
      </w:r>
      <w:r>
        <w:rPr>
          <w:rStyle w:val="OtherTok"/>
        </w:rPr>
        <w:t xml:space="preserve">path=</w:t>
      </w:r>
      <w:r>
        <w:rPr>
          <w:rStyle w:val="StringTok"/>
        </w:rPr>
        <w:t xml:space="preserve">"/error-pages/404.asp"</w:t>
      </w:r>
      <w:r>
        <w:rPr>
          <w:rStyle w:val="NormalTok"/>
        </w:rPr>
        <w:t xml:space="preserve"> </w:t>
      </w:r>
      <w:r>
        <w:rPr>
          <w:rStyle w:val="OtherTok"/>
        </w:rPr>
        <w:t xml:space="preserve">responseMode=</w:t>
      </w:r>
      <w:r>
        <w:rPr>
          <w:rStyle w:val="StringTok"/>
        </w:rPr>
        <w:t xml:space="preserve">"ExecuteURL"</w:t>
      </w:r>
      <w:r>
        <w:rPr>
          <w:rStyle w:val="NormalTok"/>
        </w:rPr>
        <w:t xml:space="preserve"> /&gt;</w:t>
      </w:r>
      <w:r>
        <w:br/>
      </w:r>
      <w:r>
        <w:rPr>
          <w:rStyle w:val="NormalTok"/>
        </w:rPr>
        <w:t xml:space="preserve">      &lt;</w:t>
      </w:r>
      <w:r>
        <w:rPr>
          <w:rStyle w:val="KeywordTok"/>
        </w:rPr>
        <w:t xml:space="preserve">error</w:t>
      </w:r>
      <w:r>
        <w:rPr>
          <w:rStyle w:val="NormalTok"/>
        </w:rPr>
        <w:t xml:space="preserve"> </w:t>
      </w:r>
      <w:r>
        <w:rPr>
          <w:rStyle w:val="OtherTok"/>
        </w:rPr>
        <w:t xml:space="preserve">statusCode=</w:t>
      </w:r>
      <w:r>
        <w:rPr>
          <w:rStyle w:val="StringTok"/>
        </w:rPr>
        <w:t xml:space="preserve">"500"</w:t>
      </w:r>
      <w:r>
        <w:rPr>
          <w:rStyle w:val="NormalTok"/>
        </w:rPr>
        <w:t xml:space="preserve"> </w:t>
      </w:r>
      <w:r>
        <w:rPr>
          <w:rStyle w:val="OtherTok"/>
        </w:rPr>
        <w:t xml:space="preserve">path=</w:t>
      </w:r>
      <w:r>
        <w:rPr>
          <w:rStyle w:val="StringTok"/>
        </w:rPr>
        <w:t xml:space="preserve">"/error-pages/500.html"</w:t>
      </w:r>
      <w:r>
        <w:rPr>
          <w:rStyle w:val="NormalTok"/>
        </w:rPr>
        <w:t xml:space="preserve"> </w:t>
      </w:r>
      <w:r>
        <w:rPr>
          <w:rStyle w:val="OtherTok"/>
        </w:rPr>
        <w:t xml:space="preserve">responseMode=</w:t>
      </w:r>
      <w:r>
        <w:rPr>
          <w:rStyle w:val="StringTok"/>
        </w:rPr>
        <w:t xml:space="preserve">"File"</w:t>
      </w:r>
      <w:r>
        <w:rPr>
          <w:rStyle w:val="NormalTok"/>
        </w:rPr>
        <w:t xml:space="preserve"> /&gt;</w:t>
      </w:r>
      <w:r>
        <w:br/>
      </w:r>
      <w:r>
        <w:rPr>
          <w:rStyle w:val="NormalTok"/>
        </w:rPr>
        <w:t xml:space="preserve">    &lt;/</w:t>
      </w:r>
      <w:r>
        <w:rPr>
          <w:rStyle w:val="KeywordTok"/>
        </w:rPr>
        <w:t xml:space="preserve">httpErrors</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&lt;/</w:t>
      </w:r>
      <w:r>
        <w:rPr>
          <w:rStyle w:val="KeywordTok"/>
        </w:rPr>
        <w:t xml:space="preserve">configuration</w:t>
      </w:r>
      <w:r>
        <w:rPr>
          <w:rStyle w:val="NormalTok"/>
        </w:rPr>
        <w:t xml:space="preserve">&gt;</w:t>
      </w:r>
    </w:p>
    <w:p>
      <w:pPr>
        <w:pStyle w:val="FirstParagraph"/>
      </w:pPr>
      <w:r>
        <w:rPr>
          <w:b/>
          <w:bCs/>
        </w:rPr>
        <w:t xml:space="preserve">error element attributes:</w:t>
      </w:r>
    </w:p>
    <w:tbl>
      <w:tblPr>
        <w:tblStyle w:val="Table"/>
        <w:tblW w:type="pct" w:w="5000"/>
        <w:tblLayout w:type="fixed"/>
        <w:tblLook w:firstRow="1" w:lastRow="0" w:firstColumn="0" w:lastColumn="0" w:noHBand="0" w:noVBand="0" w:val="0020"/>
      </w:tblPr>
      <w:tblGrid>
        <w:gridCol w:w="2722"/>
        <w:gridCol w:w="1980"/>
        <w:gridCol w:w="3217"/>
      </w:tblGrid>
      <w:tr>
        <w:trPr>
          <w:tblHeader w:val="on"/>
        </w:trPr>
        <w:tc>
          <w:tcPr/>
          <w:p>
            <w:pPr>
              <w:pStyle w:val="Compact"/>
            </w:pPr>
            <w:r>
              <w:t xml:space="preserve">Attribute</w:t>
            </w:r>
          </w:p>
        </w:tc>
        <w:tc>
          <w:tcPr/>
          <w:p>
            <w:pPr>
              <w:pStyle w:val="Compact"/>
            </w:pPr>
            <w:r>
              <w:t xml:space="preserve">Values</w:t>
            </w:r>
          </w:p>
        </w:tc>
        <w:tc>
          <w:tcPr/>
          <w:p>
            <w:pPr>
              <w:pStyle w:val="Compact"/>
            </w:pPr>
            <w:r>
              <w:t xml:space="preserve">Description</w:t>
            </w:r>
          </w:p>
        </w:tc>
      </w:tr>
      <w:tr>
        <w:tc>
          <w:tcPr/>
          <w:p>
            <w:pPr>
              <w:pStyle w:val="Compact"/>
            </w:pPr>
            <w:r>
              <w:t xml:space="preserve">statusCode</w:t>
            </w:r>
          </w:p>
        </w:tc>
        <w:tc>
          <w:tcPr/>
          <w:p>
            <w:pPr>
              <w:pStyle w:val="Compact"/>
            </w:pPr>
            <w:r>
              <w:t xml:space="preserve">integer</w:t>
            </w:r>
          </w:p>
        </w:tc>
        <w:tc>
          <w:tcPr/>
          <w:p>
            <w:pPr>
              <w:pStyle w:val="Compact"/>
            </w:pPr>
            <w:r>
              <w:t xml:space="preserve">HTTP status code to intercept</w:t>
            </w:r>
          </w:p>
        </w:tc>
      </w:tr>
      <w:tr>
        <w:tc>
          <w:tcPr/>
          <w:p>
            <w:pPr>
              <w:pStyle w:val="Compact"/>
            </w:pPr>
            <w:r>
              <w:t xml:space="preserve">path</w:t>
            </w:r>
          </w:p>
        </w:tc>
        <w:tc>
          <w:tcPr/>
          <w:p>
            <w:pPr>
              <w:pStyle w:val="Compact"/>
            </w:pPr>
            <w:r>
              <w:t xml:space="preserve">string</w:t>
            </w:r>
          </w:p>
        </w:tc>
        <w:tc>
          <w:tcPr/>
          <w:p>
            <w:pPr>
              <w:pStyle w:val="Compact"/>
            </w:pPr>
            <w:r>
              <w:t xml:space="preserve">Relative URL or file path for the custom error page</w:t>
            </w:r>
          </w:p>
        </w:tc>
      </w:tr>
      <w:tr>
        <w:tc>
          <w:tcPr/>
          <w:p>
            <w:pPr>
              <w:pStyle w:val="Compact"/>
            </w:pPr>
            <w:r>
              <w:t xml:space="preserve">responseMode</w:t>
            </w:r>
          </w:p>
        </w:tc>
        <w:tc>
          <w:tcPr/>
          <w:p>
            <w:pPr>
              <w:pStyle w:val="Compact"/>
            </w:pPr>
            <w:r>
              <w:t xml:space="preserve">File / ExecuteURL</w:t>
            </w:r>
          </w:p>
        </w:tc>
        <w:tc>
          <w:tcPr/>
          <w:p>
            <w:pPr>
              <w:pStyle w:val="Compact"/>
            </w:pPr>
            <w:r>
              <w:t xml:space="preserve">File serves a static file; ExecuteURL executes the path as an ASP page</w:t>
            </w:r>
          </w:p>
        </w:tc>
      </w:tr>
    </w:tbl>
    <w:p>
      <w:pPr>
        <w:pStyle w:val="BodyText"/>
      </w:pPr>
      <w:r>
        <w:t xml:space="preserve">Custom error mappings defined in</w:t>
      </w:r>
      <w:r>
        <w:t xml:space="preserve"> </w:t>
      </w:r>
      <w:r>
        <w:rPr>
          <w:rStyle w:val="VerbatimChar"/>
        </w:rPr>
        <w:t xml:space="preserve">web.config</w:t>
      </w:r>
      <w:r>
        <w:t xml:space="preserve"> </w:t>
      </w:r>
      <w:r>
        <w:t xml:space="preserve">override the default error pages directory set via</w:t>
      </w:r>
      <w:r>
        <w:t xml:space="preserve"> </w:t>
      </w:r>
      <w:r>
        <w:rPr>
          <w:rStyle w:val="VerbatimChar"/>
        </w:rPr>
        <w:t xml:space="preserve">default_error_pages_directory</w:t>
      </w:r>
      <w:r>
        <w:t xml:space="preserve"> </w:t>
      </w:r>
      <w:r>
        <w:t xml:space="preserve">in</w:t>
      </w:r>
      <w:r>
        <w:t xml:space="preserve"> </w:t>
      </w:r>
      <w:r>
        <w:rPr>
          <w:rStyle w:val="VerbatimChar"/>
        </w:rPr>
        <w:t xml:space="preserve">axonasp.toml</w:t>
      </w:r>
      <w:r>
        <w:t xml:space="preserve">.</w:t>
      </w:r>
    </w:p>
    <w:bookmarkEnd w:id="189"/>
    <w:bookmarkEnd w:id="190"/>
    <w:bookmarkStart w:id="191" w:name="remarks-6"/>
    <w:p>
      <w:pPr>
        <w:pStyle w:val="Heading2"/>
      </w:pPr>
      <w:r>
        <w:t xml:space="preserve">Remarks</w:t>
      </w:r>
    </w:p>
    <w:p>
      <w:pPr>
        <w:pStyle w:val="Compact"/>
        <w:numPr>
          <w:ilvl w:val="0"/>
          <w:numId w:val="1075"/>
        </w:numPr>
      </w:pPr>
      <w:r>
        <w:t xml:space="preserve">web.config is read only from the web root directory. Files in subdirectories are not processed.</w:t>
      </w:r>
    </w:p>
    <w:p>
      <w:pPr>
        <w:pStyle w:val="Compact"/>
        <w:numPr>
          <w:ilvl w:val="0"/>
          <w:numId w:val="1075"/>
        </w:numPr>
      </w:pPr>
      <w:r>
        <w:t xml:space="preserve">The</w:t>
      </w:r>
      <w:r>
        <w:t xml:space="preserve"> </w:t>
      </w:r>
      <w:r>
        <w:rPr>
          <w:rStyle w:val="VerbatimChar"/>
        </w:rPr>
        <w:t xml:space="preserve">httpRedirect</w:t>
      </w:r>
      <w:r>
        <w:t xml:space="preserve"> </w:t>
      </w:r>
      <w:r>
        <w:t xml:space="preserve">directive is evaluated before rewrite rules.</w:t>
      </w:r>
    </w:p>
    <w:p>
      <w:pPr>
        <w:pStyle w:val="Compact"/>
        <w:numPr>
          <w:ilvl w:val="0"/>
          <w:numId w:val="1075"/>
        </w:numPr>
      </w:pPr>
      <w:r>
        <w:t xml:space="preserve">URL rewrite rules are applied before ASP script execution and before default page resolution.</w:t>
      </w:r>
    </w:p>
    <w:p>
      <w:pPr>
        <w:pStyle w:val="Compact"/>
        <w:numPr>
          <w:ilvl w:val="0"/>
          <w:numId w:val="1075"/>
        </w:numPr>
      </w:pPr>
      <w:r>
        <w:t xml:space="preserve">Rules are evaluated in document order.</w:t>
      </w:r>
      <w:r>
        <w:t xml:space="preserve"> </w:t>
      </w:r>
      <w:r>
        <w:rPr>
          <w:rStyle w:val="VerbatimChar"/>
        </w:rPr>
        <w:t xml:space="preserve">stopProcessing="true"</w:t>
      </w:r>
      <w:r>
        <w:t xml:space="preserve"> </w:t>
      </w:r>
      <w:r>
        <w:t xml:space="preserve">prevents further rule evaluation once a rule matches.</w:t>
      </w:r>
    </w:p>
    <w:p>
      <w:pPr>
        <w:pStyle w:val="Compact"/>
        <w:numPr>
          <w:ilvl w:val="0"/>
          <w:numId w:val="1075"/>
        </w:numPr>
      </w:pPr>
      <w:r>
        <w:t xml:space="preserve">The</w:t>
      </w:r>
      <w:r>
        <w:t xml:space="preserve"> </w:t>
      </w:r>
      <w:r>
        <w:rPr>
          <w:rStyle w:val="VerbatimChar"/>
        </w:rPr>
        <w:t xml:space="preserve">{REQUEST_FILENAME}</w:t>
      </w:r>
      <w:r>
        <w:t xml:space="preserve"> </w:t>
      </w:r>
      <w:r>
        <w:t xml:space="preserve">input resolves to an absolute filesystem path rooted at the configured web root.</w:t>
      </w:r>
    </w:p>
    <w:p>
      <w:pPr>
        <w:pStyle w:val="Compact"/>
        <w:numPr>
          <w:ilvl w:val="0"/>
          <w:numId w:val="1075"/>
        </w:numPr>
      </w:pPr>
      <w:r>
        <w:t xml:space="preserve">Regex patterns use Go RE2 syntax, which does not support lookahead or backreferences.</w:t>
      </w:r>
    </w:p>
    <w:p>
      <w:pPr>
        <w:pStyle w:val="Compact"/>
        <w:numPr>
          <w:ilvl w:val="0"/>
          <w:numId w:val="1075"/>
        </w:numPr>
      </w:pPr>
      <w:r>
        <w:t xml:space="preserve">Paths in</w:t>
      </w:r>
      <w:r>
        <w:t xml:space="preserve"> </w:t>
      </w:r>
      <w:r>
        <w:rPr>
          <w:rStyle w:val="VerbatimChar"/>
        </w:rPr>
        <w:t xml:space="preserve">httpErrors</w:t>
      </w:r>
      <w:r>
        <w:t xml:space="preserve"> </w:t>
      </w:r>
      <w:r>
        <w:t xml:space="preserve">are resolved relative to the web root.</w:t>
      </w:r>
    </w:p>
    <w:bookmarkEnd w:id="191"/>
    <w:bookmarkStart w:id="192" w:name="code-example-1"/>
    <w:p>
      <w:pPr>
        <w:pStyle w:val="Heading2"/>
      </w:pPr>
      <w:r>
        <w:t xml:space="preserve">Code Example</w:t>
      </w:r>
    </w:p>
    <w:p>
      <w:pPr>
        <w:pStyle w:val="FirstParagraph"/>
      </w:pPr>
      <w:r>
        <w:t xml:space="preserve">Route all non-file, non-directory requests through a single ASP front controller:</w:t>
      </w:r>
    </w:p>
    <w:p>
      <w:pPr>
        <w:pStyle w:val="SourceCode"/>
      </w:pPr>
      <w:r>
        <w:rPr>
          <w:rStyle w:val="NormalTok"/>
        </w:rPr>
        <w:t xml:space="preserve">&lt;</w:t>
      </w:r>
      <w:r>
        <w:rPr>
          <w:rStyle w:val="KeywordTok"/>
        </w:rPr>
        <w:t xml:space="preserve">configuration</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    &lt;</w:t>
      </w:r>
      <w:r>
        <w:rPr>
          <w:rStyle w:val="KeywordTok"/>
        </w:rPr>
        <w:t xml:space="preserve">rewrite</w:t>
      </w:r>
      <w:r>
        <w:rPr>
          <w:rStyle w:val="NormalTok"/>
        </w:rPr>
        <w:t xml:space="preserve">&gt;</w:t>
      </w:r>
      <w:r>
        <w:br/>
      </w:r>
      <w:r>
        <w:rPr>
          <w:rStyle w:val="NormalTok"/>
        </w:rPr>
        <w:t xml:space="preserve">      &lt;</w:t>
      </w:r>
      <w:r>
        <w:rPr>
          <w:rStyle w:val="KeywordTok"/>
        </w:rPr>
        <w:t xml:space="preserve">rules</w:t>
      </w:r>
      <w:r>
        <w:rPr>
          <w:rStyle w:val="NormalTok"/>
        </w:rPr>
        <w:t xml:space="preserve">&gt;</w:t>
      </w:r>
      <w:r>
        <w:br/>
      </w:r>
      <w:r>
        <w:rPr>
          <w:rStyle w:val="NormalTok"/>
        </w:rPr>
        <w:t xml:space="preserve">        &lt;</w:t>
      </w:r>
      <w:r>
        <w:rPr>
          <w:rStyle w:val="KeywordTok"/>
        </w:rPr>
        <w:t xml:space="preserve">rule</w:t>
      </w:r>
      <w:r>
        <w:rPr>
          <w:rStyle w:val="NormalTok"/>
        </w:rPr>
        <w:t xml:space="preserve"> </w:t>
      </w:r>
      <w:r>
        <w:rPr>
          <w:rStyle w:val="OtherTok"/>
        </w:rPr>
        <w:t xml:space="preserve">name=</w:t>
      </w:r>
      <w:r>
        <w:rPr>
          <w:rStyle w:val="StringTok"/>
        </w:rPr>
        <w:t xml:space="preserve">"Single Entry Point"</w:t>
      </w:r>
      <w:r>
        <w:rPr>
          <w:rStyle w:val="NormalTok"/>
        </w:rPr>
        <w:t xml:space="preserve"> </w:t>
      </w:r>
      <w:r>
        <w:rPr>
          <w:rStyle w:val="OtherTok"/>
        </w:rPr>
        <w:t xml:space="preserve">stopProcessing=</w:t>
      </w:r>
      <w:r>
        <w:rPr>
          <w:rStyle w:val="StringTok"/>
        </w:rPr>
        <w:t xml:space="preserve">"true"</w:t>
      </w:r>
      <w:r>
        <w:rPr>
          <w:rStyle w:val="NormalTok"/>
        </w:rPr>
        <w:t xml:space="preserve">&gt;</w:t>
      </w:r>
      <w:r>
        <w:br/>
      </w:r>
      <w:r>
        <w:rPr>
          <w:rStyle w:val="NormalTok"/>
        </w:rPr>
        <w:t xml:space="preserve">          &lt;</w:t>
      </w:r>
      <w:r>
        <w:rPr>
          <w:rStyle w:val="KeywordTok"/>
        </w:rPr>
        <w:t xml:space="preserve">match</w:t>
      </w:r>
      <w:r>
        <w:rPr>
          <w:rStyle w:val="NormalTok"/>
        </w:rPr>
        <w:t xml:space="preserve"> </w:t>
      </w:r>
      <w:r>
        <w:rPr>
          <w:rStyle w:val="OtherTok"/>
        </w:rPr>
        <w:t xml:space="preserve">url=</w:t>
      </w:r>
      <w:r>
        <w:rPr>
          <w:rStyle w:val="StringTok"/>
        </w:rPr>
        <w:t xml:space="preserve">"^(.+)$"</w:t>
      </w:r>
      <w:r>
        <w:rPr>
          <w:rStyle w:val="NormalTok"/>
        </w:rPr>
        <w:t xml:space="preserve"> </w:t>
      </w:r>
      <w:r>
        <w:rPr>
          <w:rStyle w:val="OtherTok"/>
        </w:rPr>
        <w:t xml:space="preserve">ignoreCase=</w:t>
      </w:r>
      <w:r>
        <w:rPr>
          <w:rStyle w:val="StringTok"/>
        </w:rPr>
        <w:t xml:space="preserve">"true"</w:t>
      </w:r>
      <w:r>
        <w:rPr>
          <w:rStyle w:val="NormalTok"/>
        </w:rPr>
        <w:t xml:space="preserve"> /&gt;</w:t>
      </w:r>
      <w:r>
        <w:br/>
      </w:r>
      <w:r>
        <w:rPr>
          <w:rStyle w:val="NormalTok"/>
        </w:rPr>
        <w:t xml:space="preserve">          &lt;</w:t>
      </w:r>
      <w:r>
        <w:rPr>
          <w:rStyle w:val="KeywordTok"/>
        </w:rPr>
        <w:t xml:space="preserve">conditions</w:t>
      </w:r>
      <w:r>
        <w:rPr>
          <w:rStyle w:val="NormalTok"/>
        </w:rPr>
        <w:t xml:space="preserve"> </w:t>
      </w:r>
      <w:r>
        <w:rPr>
          <w:rStyle w:val="OtherTok"/>
        </w:rPr>
        <w:t xml:space="preserve">logicalGrouping=</w:t>
      </w:r>
      <w:r>
        <w:rPr>
          <w:rStyle w:val="StringTok"/>
        </w:rPr>
        <w:t xml:space="preserve">"MatchAll"</w:t>
      </w:r>
      <w:r>
        <w:rPr>
          <w:rStyle w:val="NormalTok"/>
        </w:rPr>
        <w:t xml:space="preserve">&gt;</w:t>
      </w:r>
      <w:r>
        <w:br/>
      </w:r>
      <w:r>
        <w:rPr>
          <w:rStyle w:val="NormalTok"/>
        </w:rPr>
        <w:t xml:space="preserve">            &lt;</w:t>
      </w:r>
      <w:r>
        <w:rPr>
          <w:rStyle w:val="KeywordTok"/>
        </w:rPr>
        <w:t xml:space="preserve">add</w:t>
      </w:r>
      <w:r>
        <w:rPr>
          <w:rStyle w:val="NormalTok"/>
        </w:rPr>
        <w:t xml:space="preserve"> </w:t>
      </w:r>
      <w:r>
        <w:rPr>
          <w:rStyle w:val="OtherTok"/>
        </w:rPr>
        <w:t xml:space="preserve">input=</w:t>
      </w:r>
      <w:r>
        <w:rPr>
          <w:rStyle w:val="StringTok"/>
        </w:rPr>
        <w:t xml:space="preserve">"{REQUEST_FILENAME}"</w:t>
      </w:r>
      <w:r>
        <w:rPr>
          <w:rStyle w:val="NormalTok"/>
        </w:rPr>
        <w:t xml:space="preserve"> </w:t>
      </w:r>
      <w:r>
        <w:rPr>
          <w:rStyle w:val="OtherTok"/>
        </w:rPr>
        <w:t xml:space="preserve">matchType=</w:t>
      </w:r>
      <w:r>
        <w:rPr>
          <w:rStyle w:val="StringTok"/>
        </w:rPr>
        <w:t xml:space="preserve">"IsFile"</w:t>
      </w:r>
      <w:r>
        <w:rPr>
          <w:rStyle w:val="NormalTok"/>
        </w:rPr>
        <w:t xml:space="preserve"> </w:t>
      </w:r>
      <w:r>
        <w:rPr>
          <w:rStyle w:val="OtherTok"/>
        </w:rPr>
        <w:t xml:space="preserve">negate=</w:t>
      </w:r>
      <w:r>
        <w:rPr>
          <w:rStyle w:val="StringTok"/>
        </w:rPr>
        <w:t xml:space="preserve">"true"</w:t>
      </w:r>
      <w:r>
        <w:rPr>
          <w:rStyle w:val="NormalTok"/>
        </w:rPr>
        <w:t xml:space="preserve"> /&gt;</w:t>
      </w:r>
      <w:r>
        <w:br/>
      </w:r>
      <w:r>
        <w:rPr>
          <w:rStyle w:val="NormalTok"/>
        </w:rPr>
        <w:t xml:space="preserve">            &lt;</w:t>
      </w:r>
      <w:r>
        <w:rPr>
          <w:rStyle w:val="KeywordTok"/>
        </w:rPr>
        <w:t xml:space="preserve">add</w:t>
      </w:r>
      <w:r>
        <w:rPr>
          <w:rStyle w:val="NormalTok"/>
        </w:rPr>
        <w:t xml:space="preserve"> </w:t>
      </w:r>
      <w:r>
        <w:rPr>
          <w:rStyle w:val="OtherTok"/>
        </w:rPr>
        <w:t xml:space="preserve">input=</w:t>
      </w:r>
      <w:r>
        <w:rPr>
          <w:rStyle w:val="StringTok"/>
        </w:rPr>
        <w:t xml:space="preserve">"{REQUEST_FILENAME}"</w:t>
      </w:r>
      <w:r>
        <w:rPr>
          <w:rStyle w:val="NormalTok"/>
        </w:rPr>
        <w:t xml:space="preserve"> </w:t>
      </w:r>
      <w:r>
        <w:rPr>
          <w:rStyle w:val="OtherTok"/>
        </w:rPr>
        <w:t xml:space="preserve">matchType=</w:t>
      </w:r>
      <w:r>
        <w:rPr>
          <w:rStyle w:val="StringTok"/>
        </w:rPr>
        <w:t xml:space="preserve">"IsDirectory"</w:t>
      </w:r>
      <w:r>
        <w:rPr>
          <w:rStyle w:val="NormalTok"/>
        </w:rPr>
        <w:t xml:space="preserve"> </w:t>
      </w:r>
      <w:r>
        <w:rPr>
          <w:rStyle w:val="OtherTok"/>
        </w:rPr>
        <w:t xml:space="preserve">negate=</w:t>
      </w:r>
      <w:r>
        <w:rPr>
          <w:rStyle w:val="StringTok"/>
        </w:rPr>
        <w:t xml:space="preserve">"true"</w:t>
      </w:r>
      <w:r>
        <w:rPr>
          <w:rStyle w:val="NormalTok"/>
        </w:rPr>
        <w:t xml:space="preserve"> /&gt;</w:t>
      </w:r>
      <w:r>
        <w:br/>
      </w:r>
      <w:r>
        <w:rPr>
          <w:rStyle w:val="NormalTok"/>
        </w:rPr>
        <w:t xml:space="preserve">          &lt;/</w:t>
      </w:r>
      <w:r>
        <w:rPr>
          <w:rStyle w:val="KeywordTok"/>
        </w:rPr>
        <w:t xml:space="preserve">conditions</w:t>
      </w:r>
      <w:r>
        <w:rPr>
          <w:rStyle w:val="NormalTok"/>
        </w:rPr>
        <w:t xml:space="preserve">&gt;</w:t>
      </w:r>
      <w:r>
        <w:br/>
      </w:r>
      <w:r>
        <w:rPr>
          <w:rStyle w:val="NormalTok"/>
        </w:rPr>
        <w:t xml:space="preserve">          &lt;</w:t>
      </w:r>
      <w:r>
        <w:rPr>
          <w:rStyle w:val="KeywordTok"/>
        </w:rPr>
        <w:t xml:space="preserve">action</w:t>
      </w:r>
      <w:r>
        <w:rPr>
          <w:rStyle w:val="NormalTok"/>
        </w:rPr>
        <w:t xml:space="preserve"> </w:t>
      </w:r>
      <w:r>
        <w:rPr>
          <w:rStyle w:val="OtherTok"/>
        </w:rPr>
        <w:t xml:space="preserve">type=</w:t>
      </w:r>
      <w:r>
        <w:rPr>
          <w:rStyle w:val="StringTok"/>
        </w:rPr>
        <w:t xml:space="preserve">"Rewrite"</w:t>
      </w:r>
      <w:r>
        <w:rPr>
          <w:rStyle w:val="NormalTok"/>
        </w:rPr>
        <w:t xml:space="preserve"> </w:t>
      </w:r>
      <w:r>
        <w:rPr>
          <w:rStyle w:val="OtherTok"/>
        </w:rPr>
        <w:t xml:space="preserve">url=</w:t>
      </w:r>
      <w:r>
        <w:rPr>
          <w:rStyle w:val="StringTok"/>
        </w:rPr>
        <w:t xml:space="preserve">"/index.asp"</w:t>
      </w:r>
      <w:r>
        <w:rPr>
          <w:rStyle w:val="NormalTok"/>
        </w:rPr>
        <w:t xml:space="preserve"> </w:t>
      </w:r>
      <w:r>
        <w:rPr>
          <w:rStyle w:val="OtherTok"/>
        </w:rPr>
        <w:t xml:space="preserve">appendQueryString=</w:t>
      </w:r>
      <w:r>
        <w:rPr>
          <w:rStyle w:val="StringTok"/>
        </w:rPr>
        <w:t xml:space="preserve">"true"</w:t>
      </w:r>
      <w:r>
        <w:rPr>
          <w:rStyle w:val="NormalTok"/>
        </w:rPr>
        <w:t xml:space="preserve"> /&gt;</w:t>
      </w:r>
      <w:r>
        <w:br/>
      </w:r>
      <w:r>
        <w:rPr>
          <w:rStyle w:val="NormalTok"/>
        </w:rPr>
        <w:t xml:space="preserve">        &lt;/</w:t>
      </w:r>
      <w:r>
        <w:rPr>
          <w:rStyle w:val="KeywordTok"/>
        </w:rPr>
        <w:t xml:space="preserve">rule</w:t>
      </w:r>
      <w:r>
        <w:rPr>
          <w:rStyle w:val="NormalTok"/>
        </w:rPr>
        <w:t xml:space="preserve">&gt;</w:t>
      </w:r>
      <w:r>
        <w:br/>
      </w:r>
      <w:r>
        <w:rPr>
          <w:rStyle w:val="NormalTok"/>
        </w:rPr>
        <w:t xml:space="preserve">      &lt;/</w:t>
      </w:r>
      <w:r>
        <w:rPr>
          <w:rStyle w:val="KeywordTok"/>
        </w:rPr>
        <w:t xml:space="preserve">rules</w:t>
      </w:r>
      <w:r>
        <w:rPr>
          <w:rStyle w:val="NormalTok"/>
        </w:rPr>
        <w:t xml:space="preserve">&gt;</w:t>
      </w:r>
      <w:r>
        <w:br/>
      </w:r>
      <w:r>
        <w:rPr>
          <w:rStyle w:val="NormalTok"/>
        </w:rPr>
        <w:t xml:space="preserve">    &lt;/</w:t>
      </w:r>
      <w:r>
        <w:rPr>
          <w:rStyle w:val="KeywordTok"/>
        </w:rPr>
        <w:t xml:space="preserve">rewrite</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&lt;/</w:t>
      </w:r>
      <w:r>
        <w:rPr>
          <w:rStyle w:val="KeywordTok"/>
        </w:rPr>
        <w:t xml:space="preserve">configuration</w:t>
      </w:r>
      <w:r>
        <w:rPr>
          <w:rStyle w:val="NormalTok"/>
        </w:rPr>
        <w:t xml:space="preserve">&gt;</w:t>
      </w:r>
    </w:p>
    <w:bookmarkEnd w:id="192"/>
    <w:bookmarkEnd w:id="193"/>
    <w:bookmarkStart w:id="201" w:name="myinfo.xml"/>
    <w:p>
      <w:pPr>
        <w:pStyle w:val="Heading1"/>
      </w:pPr>
      <w:r>
        <w:t xml:space="preserve">MyInfo.xml</w:t>
      </w:r>
    </w:p>
    <w:bookmarkStart w:id="194" w:name="overview-13"/>
    <w:p>
      <w:pPr>
        <w:pStyle w:val="Heading2"/>
      </w:pPr>
      <w:r>
        <w:t xml:space="preserve">Overview</w:t>
      </w:r>
    </w:p>
    <w:p>
      <w:pPr>
        <w:pStyle w:val="FirstParagraph"/>
      </w:pPr>
      <w:r>
        <w:rPr>
          <w:rStyle w:val="VerbatimChar"/>
        </w:rPr>
        <w:t xml:space="preserve">MyInfo.xml</w:t>
      </w:r>
      <w:r>
        <w:t xml:space="preserve"> </w:t>
      </w:r>
      <w:r>
        <w:t xml:space="preserve">is a legacy XML configuration file originally introduced by Microsoft Personal Web Server (PWS). AxonASP provides compatibility support for this file through the</w:t>
      </w:r>
      <w:r>
        <w:t xml:space="preserve"> </w:t>
      </w:r>
      <w:r>
        <w:rPr>
          <w:rStyle w:val="VerbatimChar"/>
        </w:rPr>
        <w:t xml:space="preserve">MSWC.MyInfo</w:t>
      </w:r>
      <w:r>
        <w:t xml:space="preserve"> </w:t>
      </w:r>
      <w:r>
        <w:t xml:space="preserve">object. When an ASP page creates an instance of</w:t>
      </w:r>
      <w:r>
        <w:t xml:space="preserve"> </w:t>
      </w:r>
      <w:r>
        <w:rPr>
          <w:rStyle w:val="VerbatimChar"/>
        </w:rPr>
        <w:t xml:space="preserve">MSWC.MyInfo</w:t>
      </w:r>
      <w:r>
        <w:t xml:space="preserve">, the server reads</w:t>
      </w:r>
      <w:r>
        <w:t xml:space="preserve"> </w:t>
      </w:r>
      <w:r>
        <w:rPr>
          <w:rStyle w:val="VerbatimChar"/>
        </w:rPr>
        <w:t xml:space="preserve">MyInfo.xml</w:t>
      </w:r>
      <w:r>
        <w:t xml:space="preserve"> </w:t>
      </w:r>
      <w:r>
        <w:t xml:space="preserve">from the web root and exposes its XML element values as readable object properties.</w:t>
      </w:r>
    </w:p>
    <w:bookmarkEnd w:id="194"/>
    <w:bookmarkStart w:id="195" w:name="file-location"/>
    <w:p>
      <w:pPr>
        <w:pStyle w:val="Heading2"/>
      </w:pPr>
      <w:r>
        <w:t xml:space="preserve">File Location</w:t>
      </w:r>
    </w:p>
    <w:p>
      <w:pPr>
        <w:pStyle w:val="FirstParagraph"/>
      </w:pPr>
      <w:r>
        <w:t xml:space="preserve">Place</w:t>
      </w:r>
      <w:r>
        <w:t xml:space="preserve"> </w:t>
      </w:r>
      <w:r>
        <w:rPr>
          <w:rStyle w:val="VerbatimChar"/>
        </w:rPr>
        <w:t xml:space="preserve">MyInfo.xml</w:t>
      </w:r>
      <w:r>
        <w:t xml:space="preserve"> </w:t>
      </w:r>
      <w:r>
        <w:t xml:space="preserve">at the root of the configured web root directory. The file is automatically blocked from direct HTTP access by the</w:t>
      </w:r>
      <w:r>
        <w:t xml:space="preserve"> </w:t>
      </w:r>
      <w:r>
        <w:rPr>
          <w:rStyle w:val="VerbatimChar"/>
        </w:rPr>
        <w:t xml:space="preserve">blocked_files</w:t>
      </w:r>
      <w:r>
        <w:t xml:space="preserve"> </w:t>
      </w:r>
      <w:r>
        <w:t xml:space="preserve">setting in</w:t>
      </w:r>
      <w:r>
        <w:t xml:space="preserve"> </w:t>
      </w:r>
      <w:r>
        <w:rPr>
          <w:rStyle w:val="VerbatimChar"/>
        </w:rPr>
        <w:t xml:space="preserve">axonasp.toml</w:t>
      </w:r>
      <w:r>
        <w:t xml:space="preserve"> </w:t>
      </w:r>
      <w:r>
        <w:t xml:space="preserve">— clients cannot download or view the file through the browser.</w:t>
      </w:r>
    </w:p>
    <w:bookmarkEnd w:id="195"/>
    <w:bookmarkStart w:id="196" w:name="file-format"/>
    <w:p>
      <w:pPr>
        <w:pStyle w:val="Heading2"/>
      </w:pPr>
      <w:r>
        <w:t xml:space="preserve">File Format</w:t>
      </w:r>
    </w:p>
    <w:p>
      <w:pPr>
        <w:pStyle w:val="FirstParagraph"/>
      </w:pPr>
      <w:r>
        <w:t xml:space="preserve">The file uses a flat XML structure with a</w:t>
      </w:r>
      <w:r>
        <w:t xml:space="preserve"> </w:t>
      </w:r>
      <w:r>
        <w:rPr>
          <w:rStyle w:val="VerbatimChar"/>
        </w:rPr>
        <w:t xml:space="preserve">&lt;MyInfo&gt;</w:t>
      </w:r>
      <w:r>
        <w:t xml:space="preserve"> </w:t>
      </w:r>
      <w:r>
        <w:t xml:space="preserve">root element. Each child element name becomes an accessible property on the object:</w:t>
      </w:r>
    </w:p>
    <w:p>
      <w:pPr>
        <w:pStyle w:val="SourceCode"/>
      </w:pPr>
      <w:r>
        <w:rPr>
          <w:rStyle w:val="NormalTok"/>
        </w:rPr>
        <w:t xml:space="preserve">&lt;</w:t>
      </w:r>
      <w:r>
        <w:rPr>
          <w:rStyle w:val="KeywordTok"/>
        </w:rPr>
        <w:t xml:space="preserve">MyInfo</w:t>
      </w:r>
      <w:r>
        <w:rPr>
          <w:rStyle w:val="NormalTok"/>
        </w:rPr>
        <w:t xml:space="preserve">&gt;</w:t>
      </w:r>
      <w:r>
        <w:br/>
      </w:r>
      <w:r>
        <w:rPr>
          <w:rStyle w:val="NormalTok"/>
        </w:rPr>
        <w:t xml:space="preserve">  &lt;</w:t>
      </w:r>
      <w:r>
        <w:rPr>
          <w:rStyle w:val="KeywordTok"/>
        </w:rPr>
        <w:t xml:space="preserve">PersonalName</w:t>
      </w:r>
      <w:r>
        <w:rPr>
          <w:rStyle w:val="NormalTok"/>
        </w:rPr>
        <w:t xml:space="preserve">&gt;Site Administrator&lt;/</w:t>
      </w:r>
      <w:r>
        <w:rPr>
          <w:rStyle w:val="KeywordTok"/>
        </w:rPr>
        <w:t xml:space="preserve">PersonalName</w:t>
      </w:r>
      <w:r>
        <w:rPr>
          <w:rStyle w:val="NormalTok"/>
        </w:rPr>
        <w:t xml:space="preserve">&gt;</w:t>
      </w:r>
      <w:r>
        <w:br/>
      </w:r>
      <w:r>
        <w:rPr>
          <w:rStyle w:val="NormalTok"/>
        </w:rPr>
        <w:t xml:space="preserve">  &lt;</w:t>
      </w:r>
      <w:r>
        <w:rPr>
          <w:rStyle w:val="KeywordTok"/>
        </w:rPr>
        <w:t xml:space="preserve">PersonalAddress</w:t>
      </w:r>
      <w:r>
        <w:rPr>
          <w:rStyle w:val="NormalTok"/>
        </w:rPr>
        <w:t xml:space="preserve">&gt;123 Server Lane, Datacenter City&lt;/</w:t>
      </w:r>
      <w:r>
        <w:rPr>
          <w:rStyle w:val="KeywordTok"/>
        </w:rPr>
        <w:t xml:space="preserve">PersonalAddress</w:t>
      </w:r>
      <w:r>
        <w:rPr>
          <w:rStyle w:val="NormalTok"/>
        </w:rPr>
        <w:t xml:space="preserve">&gt;</w:t>
      </w:r>
      <w:r>
        <w:br/>
      </w:r>
      <w:r>
        <w:rPr>
          <w:rStyle w:val="NormalTok"/>
        </w:rPr>
        <w:t xml:space="preserve">  &lt;</w:t>
      </w:r>
      <w:r>
        <w:rPr>
          <w:rStyle w:val="KeywordTok"/>
        </w:rPr>
        <w:t xml:space="preserve">PersonalPhone</w:t>
      </w:r>
      <w:r>
        <w:rPr>
          <w:rStyle w:val="NormalTok"/>
        </w:rPr>
        <w:t xml:space="preserve">&gt;+1 555-0100&lt;/</w:t>
      </w:r>
      <w:r>
        <w:rPr>
          <w:rStyle w:val="KeywordTok"/>
        </w:rPr>
        <w:t xml:space="preserve">PersonalPhone</w:t>
      </w:r>
      <w:r>
        <w:rPr>
          <w:rStyle w:val="NormalTok"/>
        </w:rPr>
        <w:t xml:space="preserve">&gt;</w:t>
      </w:r>
      <w:r>
        <w:br/>
      </w:r>
      <w:r>
        <w:rPr>
          <w:rStyle w:val="NormalTok"/>
        </w:rPr>
        <w:t xml:space="preserve">  &lt;</w:t>
      </w:r>
      <w:r>
        <w:rPr>
          <w:rStyle w:val="KeywordTok"/>
        </w:rPr>
        <w:t xml:space="preserve">PersonalMail</w:t>
      </w:r>
      <w:r>
        <w:rPr>
          <w:rStyle w:val="NormalTok"/>
        </w:rPr>
        <w:t xml:space="preserve">&gt;admin@example.com&lt;/</w:t>
      </w:r>
      <w:r>
        <w:rPr>
          <w:rStyle w:val="KeywordTok"/>
        </w:rPr>
        <w:t xml:space="preserve">PersonalMail</w:t>
      </w:r>
      <w:r>
        <w:rPr>
          <w:rStyle w:val="NormalTok"/>
        </w:rPr>
        <w:t xml:space="preserve">&gt;</w:t>
      </w:r>
      <w:r>
        <w:br/>
      </w:r>
      <w:r>
        <w:rPr>
          <w:rStyle w:val="NormalTok"/>
        </w:rPr>
        <w:t xml:space="preserve">  &lt;</w:t>
      </w:r>
      <w:r>
        <w:rPr>
          <w:rStyle w:val="KeywordTok"/>
        </w:rPr>
        <w:t xml:space="preserve">PersonalWords</w:t>
      </w:r>
      <w:r>
        <w:rPr>
          <w:rStyle w:val="NormalTok"/>
        </w:rPr>
        <w:t xml:space="preserve">&gt;Welcome to our site!&lt;/</w:t>
      </w:r>
      <w:r>
        <w:rPr>
          <w:rStyle w:val="KeywordTok"/>
        </w:rPr>
        <w:t xml:space="preserve">PersonalWords</w:t>
      </w:r>
      <w:r>
        <w:rPr>
          <w:rStyle w:val="NormalTok"/>
        </w:rPr>
        <w:t xml:space="preserve">&gt;</w:t>
      </w:r>
      <w:r>
        <w:br/>
      </w:r>
      <w:r>
        <w:rPr>
          <w:rStyle w:val="NormalTok"/>
        </w:rPr>
        <w:t xml:space="preserve">  &lt;</w:t>
      </w:r>
      <w:r>
        <w:rPr>
          <w:rStyle w:val="KeywordTok"/>
        </w:rPr>
        <w:t xml:space="preserve">CompanyName</w:t>
      </w:r>
      <w:r>
        <w:rPr>
          <w:rStyle w:val="NormalTok"/>
        </w:rPr>
        <w:t xml:space="preserve">&gt;My Company&lt;/</w:t>
      </w:r>
      <w:r>
        <w:rPr>
          <w:rStyle w:val="KeywordTok"/>
        </w:rPr>
        <w:t xml:space="preserve">CompanyName</w:t>
      </w:r>
      <w:r>
        <w:rPr>
          <w:rStyle w:val="NormalTok"/>
        </w:rPr>
        <w:t xml:space="preserve">&gt;</w:t>
      </w:r>
      <w:r>
        <w:br/>
      </w:r>
      <w:r>
        <w:rPr>
          <w:rStyle w:val="NormalTok"/>
        </w:rPr>
        <w:t xml:space="preserve">  &lt;</w:t>
      </w:r>
      <w:r>
        <w:rPr>
          <w:rStyle w:val="KeywordTok"/>
        </w:rPr>
        <w:t xml:space="preserve">URL1</w:t>
      </w:r>
      <w:r>
        <w:rPr>
          <w:rStyle w:val="NormalTok"/>
        </w:rPr>
        <w:t xml:space="preserve">&gt;http://www.example.com&lt;/</w:t>
      </w:r>
      <w:r>
        <w:rPr>
          <w:rStyle w:val="KeywordTok"/>
        </w:rPr>
        <w:t xml:space="preserve">URL1</w:t>
      </w:r>
      <w:r>
        <w:rPr>
          <w:rStyle w:val="NormalTok"/>
        </w:rPr>
        <w:t xml:space="preserve">&gt;</w:t>
      </w:r>
      <w:r>
        <w:br/>
      </w:r>
      <w:r>
        <w:rPr>
          <w:rStyle w:val="NormalTok"/>
        </w:rPr>
        <w:t xml:space="preserve">  &lt;</w:t>
      </w:r>
      <w:r>
        <w:rPr>
          <w:rStyle w:val="KeywordTok"/>
        </w:rPr>
        <w:t xml:space="preserve">URLWords1</w:t>
      </w:r>
      <w:r>
        <w:rPr>
          <w:rStyle w:val="NormalTok"/>
        </w:rPr>
        <w:t xml:space="preserve">&gt;Company Website&lt;/</w:t>
      </w:r>
      <w:r>
        <w:rPr>
          <w:rStyle w:val="KeywordTok"/>
        </w:rPr>
        <w:t xml:space="preserve">URLWords1</w:t>
      </w:r>
      <w:r>
        <w:rPr>
          <w:rStyle w:val="NormalTok"/>
        </w:rPr>
        <w:t xml:space="preserve">&gt;</w:t>
      </w:r>
      <w:r>
        <w:br/>
      </w:r>
      <w:r>
        <w:rPr>
          <w:rStyle w:val="NormalTok"/>
        </w:rPr>
        <w:t xml:space="preserve">  &lt;</w:t>
      </w:r>
      <w:r>
        <w:rPr>
          <w:rStyle w:val="KeywordTok"/>
        </w:rPr>
        <w:t xml:space="preserve">URL2</w:t>
      </w:r>
      <w:r>
        <w:rPr>
          <w:rStyle w:val="NormalTok"/>
        </w:rPr>
        <w:t xml:space="preserve">&gt;http://blog.example.com&lt;/</w:t>
      </w:r>
      <w:r>
        <w:rPr>
          <w:rStyle w:val="KeywordTok"/>
        </w:rPr>
        <w:t xml:space="preserve">URL2</w:t>
      </w:r>
      <w:r>
        <w:rPr>
          <w:rStyle w:val="NormalTok"/>
        </w:rPr>
        <w:t xml:space="preserve">&gt;</w:t>
      </w:r>
      <w:r>
        <w:br/>
      </w:r>
      <w:r>
        <w:rPr>
          <w:rStyle w:val="NormalTok"/>
        </w:rPr>
        <w:t xml:space="preserve">  &lt;</w:t>
      </w:r>
      <w:r>
        <w:rPr>
          <w:rStyle w:val="KeywordTok"/>
        </w:rPr>
        <w:t xml:space="preserve">URLWords2</w:t>
      </w:r>
      <w:r>
        <w:rPr>
          <w:rStyle w:val="NormalTok"/>
        </w:rPr>
        <w:t xml:space="preserve">&gt;Company Blog&lt;/</w:t>
      </w:r>
      <w:r>
        <w:rPr>
          <w:rStyle w:val="KeywordTok"/>
        </w:rPr>
        <w:t xml:space="preserve">URLWords2</w:t>
      </w:r>
      <w:r>
        <w:rPr>
          <w:rStyle w:val="NormalTok"/>
        </w:rPr>
        <w:t xml:space="preserve">&gt;</w:t>
      </w:r>
      <w:r>
        <w:br/>
      </w:r>
      <w:r>
        <w:rPr>
          <w:rStyle w:val="NormalTok"/>
        </w:rPr>
        <w:t xml:space="preserve">&lt;/</w:t>
      </w:r>
      <w:r>
        <w:rPr>
          <w:rStyle w:val="KeywordTok"/>
        </w:rPr>
        <w:t xml:space="preserve">MyInfo</w:t>
      </w:r>
      <w:r>
        <w:rPr>
          <w:rStyle w:val="NormalTok"/>
        </w:rPr>
        <w:t xml:space="preserve">&gt;</w:t>
      </w:r>
    </w:p>
    <w:bookmarkEnd w:id="196"/>
    <w:bookmarkStart w:id="197" w:name="usage"/>
    <w:p>
      <w:pPr>
        <w:pStyle w:val="Heading2"/>
      </w:pPr>
      <w:r>
        <w:t xml:space="preserve">Usage</w:t>
      </w:r>
    </w:p>
    <w:p>
      <w:pPr>
        <w:pStyle w:val="FirstParagraph"/>
      </w:pPr>
      <w:r>
        <w:t xml:space="preserve">Instantiate the object with</w:t>
      </w:r>
      <w:r>
        <w:t xml:space="preserve"> </w:t>
      </w:r>
      <w:r>
        <w:rPr>
          <w:rStyle w:val="VerbatimChar"/>
        </w:rPr>
        <w:t xml:space="preserve">Server.CreateObject</w:t>
      </w:r>
      <w:r>
        <w:t xml:space="preserve"> </w:t>
      </w:r>
      <w:r>
        <w:t xml:space="preserve">using PROGID</w:t>
      </w:r>
      <w:r>
        <w:t xml:space="preserve"> </w:t>
      </w:r>
      <w:r>
        <w:rPr>
          <w:rStyle w:val="VerbatimChar"/>
        </w:rPr>
        <w:t xml:space="preserve">MSWC.MyInfo</w:t>
      </w:r>
      <w:r>
        <w:t xml:space="preserve">:</w:t>
      </w:r>
    </w:p>
    <w:p>
      <w:pPr>
        <w:pStyle w:val="SourceCode"/>
      </w:pPr>
      <w:r>
        <w:rPr>
          <w:rStyle w:val="DataTypeTok"/>
        </w:rPr>
        <w:t xml:space="preserve">&lt;%</w:t>
      </w:r>
      <w:r>
        <w:br/>
      </w:r>
      <w:r>
        <w:rPr>
          <w:rStyle w:val="KeywordTok"/>
        </w:rPr>
        <w:t xml:space="preserve">Dim</w:t>
      </w:r>
      <w:r>
        <w:rPr>
          <w:rStyle w:val="NormalTok"/>
        </w:rPr>
        <w:t xml:space="preserve"> mi</w:t>
      </w:r>
      <w:r>
        <w:br/>
      </w:r>
      <w:r>
        <w:rPr>
          <w:rStyle w:val="KeywordTok"/>
        </w:rPr>
        <w:t xml:space="preserve">Set</w:t>
      </w:r>
      <w:r>
        <w:rPr>
          <w:rStyle w:val="NormalTok"/>
        </w:rPr>
        <w:t xml:space="preserve"> mi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"MSWC.MyInfo"</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mi.PersonalName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mi.CompanyName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mi.URL</w:t>
      </w:r>
      <w:r>
        <w:rPr>
          <w:rStyle w:val="OtherTok"/>
        </w:rPr>
        <w:t xml:space="preserve">(</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mi.URLWords</w:t>
      </w:r>
      <w:r>
        <w:rPr>
          <w:rStyle w:val="OtherTok"/>
        </w:rPr>
        <w:t xml:space="preserve">(</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DataTypeTok"/>
        </w:rPr>
        <w:t xml:space="preserve">%&gt;</w:t>
      </w:r>
    </w:p>
    <w:bookmarkEnd w:id="197"/>
    <w:bookmarkStart w:id="198" w:name="properties"/>
    <w:p>
      <w:pPr>
        <w:pStyle w:val="Heading2"/>
      </w:pPr>
      <w:r>
        <w:t xml:space="preserve">Properties</w:t>
      </w:r>
    </w:p>
    <w:p>
      <w:pPr>
        <w:pStyle w:val="FirstParagraph"/>
      </w:pPr>
      <w:r>
        <w:t xml:space="preserve">All XML element names in</w:t>
      </w:r>
      <w:r>
        <w:t xml:space="preserve"> </w:t>
      </w:r>
      <w:r>
        <w:rPr>
          <w:rStyle w:val="VerbatimChar"/>
        </w:rPr>
        <w:t xml:space="preserve">MyInfo.xml</w:t>
      </w:r>
      <w:r>
        <w:t xml:space="preserve"> </w:t>
      </w:r>
      <w:r>
        <w:t xml:space="preserve">are exposed as properties on the object. Property names are case-insensitive.</w:t>
      </w:r>
    </w:p>
    <w:tbl>
      <w:tblPr>
        <w:tblStyle w:val="Table"/>
        <w:tblW w:type="pct" w:w="5000"/>
        <w:tblLayout w:type="fixed"/>
        <w:tblLook w:firstRow="1" w:lastRow="0" w:firstColumn="0" w:lastColumn="0" w:noHBand="0" w:noVBand="0" w:val="0020"/>
      </w:tblPr>
      <w:tblGrid>
        <w:gridCol w:w="2731"/>
        <w:gridCol w:w="1638"/>
        <w:gridCol w:w="3550"/>
      </w:tblGrid>
      <w:tr>
        <w:trPr>
          <w:tblHeader w:val="on"/>
        </w:trPr>
        <w:tc>
          <w:tcPr/>
          <w:p>
            <w:pPr>
              <w:pStyle w:val="Compact"/>
            </w:pPr>
            <w:r>
              <w:t xml:space="preserve">Property</w:t>
            </w:r>
          </w:p>
        </w:tc>
        <w:tc>
          <w:tcPr/>
          <w:p>
            <w:pPr>
              <w:pStyle w:val="Compact"/>
            </w:pPr>
            <w:r>
              <w:t xml:space="preserve">Type</w:t>
            </w:r>
          </w:p>
        </w:tc>
        <w:tc>
          <w:tcPr/>
          <w:p>
            <w:pPr>
              <w:pStyle w:val="Compact"/>
            </w:pPr>
            <w:r>
              <w:t xml:space="preserve">Description</w:t>
            </w:r>
          </w:p>
        </w:tc>
      </w:tr>
      <w:tr>
        <w:tc>
          <w:tcPr/>
          <w:p>
            <w:pPr>
              <w:pStyle w:val="Compact"/>
            </w:pPr>
            <w:r>
              <w:t xml:space="preserve">PersonalName</w:t>
            </w:r>
          </w:p>
        </w:tc>
        <w:tc>
          <w:tcPr/>
          <w:p>
            <w:pPr>
              <w:pStyle w:val="Compact"/>
            </w:pPr>
            <w:r>
              <w:t xml:space="preserve">String</w:t>
            </w:r>
          </w:p>
        </w:tc>
        <w:tc>
          <w:tcPr/>
          <w:p>
            <w:pPr>
              <w:pStyle w:val="Compact"/>
            </w:pPr>
            <w:r>
              <w:t xml:space="preserve">Administrator or site owner name</w:t>
            </w:r>
          </w:p>
        </w:tc>
      </w:tr>
      <w:tr>
        <w:tc>
          <w:tcPr/>
          <w:p>
            <w:pPr>
              <w:pStyle w:val="Compact"/>
            </w:pPr>
            <w:r>
              <w:t xml:space="preserve">PersonalAddress</w:t>
            </w:r>
          </w:p>
        </w:tc>
        <w:tc>
          <w:tcPr/>
          <w:p>
            <w:pPr>
              <w:pStyle w:val="Compact"/>
            </w:pPr>
            <w:r>
              <w:t xml:space="preserve">String</w:t>
            </w:r>
          </w:p>
        </w:tc>
        <w:tc>
          <w:tcPr/>
          <w:p>
            <w:pPr>
              <w:pStyle w:val="Compact"/>
            </w:pPr>
            <w:r>
              <w:t xml:space="preserve">Physical or mailing address</w:t>
            </w:r>
          </w:p>
        </w:tc>
      </w:tr>
      <w:tr>
        <w:tc>
          <w:tcPr/>
          <w:p>
            <w:pPr>
              <w:pStyle w:val="Compact"/>
            </w:pPr>
            <w:r>
              <w:t xml:space="preserve">PersonalPhone</w:t>
            </w:r>
          </w:p>
        </w:tc>
        <w:tc>
          <w:tcPr/>
          <w:p>
            <w:pPr>
              <w:pStyle w:val="Compact"/>
            </w:pPr>
            <w:r>
              <w:t xml:space="preserve">String</w:t>
            </w:r>
          </w:p>
        </w:tc>
        <w:tc>
          <w:tcPr/>
          <w:p>
            <w:pPr>
              <w:pStyle w:val="Compact"/>
            </w:pPr>
            <w:r>
              <w:t xml:space="preserve">Contact phone number</w:t>
            </w:r>
          </w:p>
        </w:tc>
      </w:tr>
      <w:tr>
        <w:tc>
          <w:tcPr/>
          <w:p>
            <w:pPr>
              <w:pStyle w:val="Compact"/>
            </w:pPr>
            <w:r>
              <w:t xml:space="preserve">PersonalMail</w:t>
            </w:r>
          </w:p>
        </w:tc>
        <w:tc>
          <w:tcPr/>
          <w:p>
            <w:pPr>
              <w:pStyle w:val="Compact"/>
            </w:pPr>
            <w:r>
              <w:t xml:space="preserve">String</w:t>
            </w:r>
          </w:p>
        </w:tc>
        <w:tc>
          <w:tcPr/>
          <w:p>
            <w:pPr>
              <w:pStyle w:val="Compact"/>
            </w:pPr>
            <w:r>
              <w:t xml:space="preserve">Contact email address</w:t>
            </w:r>
          </w:p>
        </w:tc>
      </w:tr>
      <w:tr>
        <w:tc>
          <w:tcPr/>
          <w:p>
            <w:pPr>
              <w:pStyle w:val="Compact"/>
            </w:pPr>
            <w:r>
              <w:t xml:space="preserve">PersonalWords</w:t>
            </w:r>
          </w:p>
        </w:tc>
        <w:tc>
          <w:tcPr/>
          <w:p>
            <w:pPr>
              <w:pStyle w:val="Compact"/>
            </w:pPr>
            <w:r>
              <w:t xml:space="preserve">String</w:t>
            </w:r>
          </w:p>
        </w:tc>
        <w:tc>
          <w:tcPr/>
          <w:p>
            <w:pPr>
              <w:pStyle w:val="Compact"/>
            </w:pPr>
            <w:r>
              <w:t xml:space="preserve">Welcome message or site tagline</w:t>
            </w:r>
          </w:p>
        </w:tc>
      </w:tr>
      <w:tr>
        <w:tc>
          <w:tcPr/>
          <w:p>
            <w:pPr>
              <w:pStyle w:val="Compact"/>
            </w:pPr>
            <w:r>
              <w:t xml:space="preserve">CompanyName</w:t>
            </w:r>
          </w:p>
        </w:tc>
        <w:tc>
          <w:tcPr/>
          <w:p>
            <w:pPr>
              <w:pStyle w:val="Compact"/>
            </w:pPr>
            <w:r>
              <w:t xml:space="preserve">String</w:t>
            </w:r>
          </w:p>
        </w:tc>
        <w:tc>
          <w:tcPr/>
          <w:p>
            <w:pPr>
              <w:pStyle w:val="Compact"/>
            </w:pPr>
            <w:r>
              <w:t xml:space="preserve">Organization name</w:t>
            </w:r>
          </w:p>
        </w:tc>
      </w:tr>
      <w:tr>
        <w:tc>
          <w:tcPr/>
          <w:p>
            <w:pPr>
              <w:pStyle w:val="Compact"/>
            </w:pPr>
            <w:r>
              <w:t xml:space="preserve">URL(n)</w:t>
            </w:r>
          </w:p>
        </w:tc>
        <w:tc>
          <w:tcPr/>
          <w:p>
            <w:pPr>
              <w:pStyle w:val="Compact"/>
            </w:pPr>
            <w:r>
              <w:t xml:space="preserve">String</w:t>
            </w:r>
          </w:p>
        </w:tc>
        <w:tc>
          <w:tcPr/>
          <w:p>
            <w:pPr>
              <w:pStyle w:val="Compact"/>
            </w:pPr>
            <w:r>
              <w:t xml:space="preserve">Indexed URL entry. Access as a method call with the numeric index:</w:t>
            </w:r>
            <w:r>
              <w:t xml:space="preserve"> </w:t>
            </w:r>
            <w:r>
              <w:rPr>
                <w:rStyle w:val="VerbatimChar"/>
              </w:rPr>
              <w:t xml:space="preserve">mi.URL(1)</w:t>
            </w:r>
          </w:p>
        </w:tc>
      </w:tr>
      <w:tr>
        <w:tc>
          <w:tcPr/>
          <w:p>
            <w:pPr>
              <w:pStyle w:val="Compact"/>
            </w:pPr>
            <w:r>
              <w:t xml:space="preserve">URLWords(n)</w:t>
            </w:r>
          </w:p>
        </w:tc>
        <w:tc>
          <w:tcPr/>
          <w:p>
            <w:pPr>
              <w:pStyle w:val="Compact"/>
            </w:pPr>
            <w:r>
              <w:t xml:space="preserve">String</w:t>
            </w:r>
          </w:p>
        </w:tc>
        <w:tc>
          <w:tcPr/>
          <w:p>
            <w:pPr>
              <w:pStyle w:val="Compact"/>
            </w:pPr>
            <w:r>
              <w:t xml:space="preserve">Indexed URL label. Access as a method call with the numeric index:</w:t>
            </w:r>
            <w:r>
              <w:t xml:space="preserve"> </w:t>
            </w:r>
            <w:r>
              <w:rPr>
                <w:rStyle w:val="VerbatimChar"/>
              </w:rPr>
              <w:t xml:space="preserve">mi.URLWords(1)</w:t>
            </w:r>
          </w:p>
        </w:tc>
      </w:tr>
      <w:tr>
        <w:tc>
          <w:tcPr/>
          <w:p>
            <w:pPr>
              <w:pStyle w:val="Compact"/>
            </w:pPr>
            <w:r>
              <w:rPr>
                <w:i/>
                <w:iCs/>
              </w:rPr>
              <w:t xml:space="preserve">(any element)</w:t>
            </w:r>
          </w:p>
        </w:tc>
        <w:tc>
          <w:tcPr/>
          <w:p>
            <w:pPr>
              <w:pStyle w:val="Compact"/>
            </w:pPr>
            <w:r>
              <w:t xml:space="preserve">String</w:t>
            </w:r>
          </w:p>
        </w:tc>
        <w:tc>
          <w:tcPr/>
          <w:p>
            <w:pPr>
              <w:pStyle w:val="Compact"/>
            </w:pPr>
            <w:r>
              <w:t xml:space="preserve">Any custom element added to</w:t>
            </w:r>
            <w:r>
              <w:t xml:space="preserve"> </w:t>
            </w:r>
            <w:r>
              <w:rPr>
                <w:rStyle w:val="VerbatimChar"/>
              </w:rPr>
              <w:t xml:space="preserve">MyInfo.xml</w:t>
            </w:r>
            <w:r>
              <w:t xml:space="preserve"> </w:t>
            </w:r>
            <w:r>
              <w:t xml:space="preserve">is accessible as a property with the same name</w:t>
            </w:r>
          </w:p>
        </w:tc>
      </w:tr>
    </w:tbl>
    <w:bookmarkEnd w:id="198"/>
    <w:bookmarkStart w:id="199" w:name="remarks-7"/>
    <w:p>
      <w:pPr>
        <w:pStyle w:val="Heading2"/>
      </w:pPr>
      <w:r>
        <w:t xml:space="preserve">Remarks</w:t>
      </w:r>
    </w:p>
    <w:p>
      <w:pPr>
        <w:pStyle w:val="Compact"/>
        <w:numPr>
          <w:ilvl w:val="0"/>
          <w:numId w:val="1076"/>
        </w:numPr>
      </w:pPr>
      <w:r>
        <w:t xml:space="preserve">Properties are read-only. Assigning a value to a property has no effect and does not modify the XML file.</w:t>
      </w:r>
    </w:p>
    <w:p>
      <w:pPr>
        <w:pStyle w:val="Compact"/>
        <w:numPr>
          <w:ilvl w:val="0"/>
          <w:numId w:val="1076"/>
        </w:numPr>
      </w:pPr>
      <w:r>
        <w:t xml:space="preserve">The object reads</w:t>
      </w:r>
      <w:r>
        <w:t xml:space="preserve"> </w:t>
      </w:r>
      <w:r>
        <w:rPr>
          <w:rStyle w:val="VerbatimChar"/>
        </w:rPr>
        <w:t xml:space="preserve">MyInfo.xml</w:t>
      </w:r>
      <w:r>
        <w:t xml:space="preserve"> </w:t>
      </w:r>
      <w:r>
        <w:t xml:space="preserve">once at construction time. Changes to the file are reflected on the next</w:t>
      </w:r>
      <w:r>
        <w:t xml:space="preserve"> </w:t>
      </w:r>
      <w:r>
        <w:rPr>
          <w:rStyle w:val="VerbatimChar"/>
        </w:rPr>
        <w:t xml:space="preserve">Server.CreateObject("MSWC.MyInfo")</w:t>
      </w:r>
      <w:r>
        <w:t xml:space="preserve"> </w:t>
      </w:r>
      <w:r>
        <w:t xml:space="preserve">call (or next page request).</w:t>
      </w:r>
    </w:p>
    <w:p>
      <w:pPr>
        <w:pStyle w:val="Compact"/>
        <w:numPr>
          <w:ilvl w:val="0"/>
          <w:numId w:val="1076"/>
        </w:numPr>
      </w:pPr>
      <w:r>
        <w:rPr>
          <w:rStyle w:val="VerbatimChar"/>
        </w:rPr>
        <w:t xml:space="preserve">URL</w:t>
      </w:r>
      <w:r>
        <w:t xml:space="preserve"> </w:t>
      </w:r>
      <w:r>
        <w:t xml:space="preserve">and</w:t>
      </w:r>
      <w:r>
        <w:t xml:space="preserve"> </w:t>
      </w:r>
      <w:r>
        <w:rPr>
          <w:rStyle w:val="VerbatimChar"/>
        </w:rPr>
        <w:t xml:space="preserve">URLWords</w:t>
      </w:r>
      <w:r>
        <w:t xml:space="preserve"> </w:t>
      </w:r>
      <w:r>
        <w:t xml:space="preserve">entries use a numeric suffix in the XML (</w:t>
      </w:r>
      <w:r>
        <w:rPr>
          <w:rStyle w:val="VerbatimChar"/>
        </w:rPr>
        <w:t xml:space="preserve">URL1</w:t>
      </w:r>
      <w:r>
        <w:t xml:space="preserve">,</w:t>
      </w:r>
      <w:r>
        <w:t xml:space="preserve"> </w:t>
      </w:r>
      <w:r>
        <w:rPr>
          <w:rStyle w:val="VerbatimChar"/>
        </w:rPr>
        <w:t xml:space="preserve">URLWords1</w:t>
      </w:r>
      <w:r>
        <w:t xml:space="preserve">,</w:t>
      </w:r>
      <w:r>
        <w:t xml:space="preserve"> </w:t>
      </w:r>
      <w:r>
        <w:rPr>
          <w:rStyle w:val="VerbatimChar"/>
        </w:rPr>
        <w:t xml:space="preserve">URL2</w:t>
      </w:r>
      <w:r>
        <w:t xml:space="preserve">,</w:t>
      </w:r>
      <w:r>
        <w:t xml:space="preserve"> </w:t>
      </w:r>
      <w:r>
        <w:rPr>
          <w:rStyle w:val="VerbatimChar"/>
        </w:rPr>
        <w:t xml:space="preserve">URLWords2</w:t>
      </w:r>
      <w:r>
        <w:t xml:space="preserve">). They are accessed in ASP code as method calls with a numeric argument:</w:t>
      </w:r>
      <w:r>
        <w:t xml:space="preserve"> </w:t>
      </w:r>
      <w:r>
        <w:rPr>
          <w:rStyle w:val="VerbatimChar"/>
        </w:rPr>
        <w:t xml:space="preserve">mi.URL(1)</w:t>
      </w:r>
      <w:r>
        <w:t xml:space="preserve">,</w:t>
      </w:r>
      <w:r>
        <w:t xml:space="preserve"> </w:t>
      </w:r>
      <w:r>
        <w:rPr>
          <w:rStyle w:val="VerbatimChar"/>
        </w:rPr>
        <w:t xml:space="preserve">mi.URLWords(2)</w:t>
      </w:r>
      <w:r>
        <w:t xml:space="preserve">.</w:t>
      </w:r>
    </w:p>
    <w:p>
      <w:pPr>
        <w:pStyle w:val="Compact"/>
        <w:numPr>
          <w:ilvl w:val="0"/>
          <w:numId w:val="1076"/>
        </w:numPr>
      </w:pPr>
      <w:r>
        <w:t xml:space="preserve">All other custom properties defined as XML child elements can be read directly as named properties.</w:t>
      </w:r>
    </w:p>
    <w:p>
      <w:pPr>
        <w:pStyle w:val="Compact"/>
        <w:numPr>
          <w:ilvl w:val="0"/>
          <w:numId w:val="1076"/>
        </w:numPr>
      </w:pPr>
      <w:r>
        <w:t xml:space="preserve">The file is resolved using</w:t>
      </w:r>
      <w:r>
        <w:t xml:space="preserve"> </w:t>
      </w:r>
      <w:r>
        <w:rPr>
          <w:rStyle w:val="VerbatimChar"/>
        </w:rPr>
        <w:t xml:space="preserve">Server.MapPath("MyInfo.xml")</w:t>
      </w:r>
      <w:r>
        <w:t xml:space="preserve">, which places it relative to the current web root.</w:t>
      </w:r>
    </w:p>
    <w:p>
      <w:pPr>
        <w:pStyle w:val="Compact"/>
        <w:numPr>
          <w:ilvl w:val="0"/>
          <w:numId w:val="1076"/>
        </w:numPr>
      </w:pPr>
      <w:r>
        <w:t xml:space="preserve">If the XML contains duplicate element names, only the last occurrence is returned.</w:t>
      </w:r>
    </w:p>
    <w:bookmarkEnd w:id="199"/>
    <w:bookmarkStart w:id="200" w:name="code-example-2"/>
    <w:p>
      <w:pPr>
        <w:pStyle w:val="Heading2"/>
      </w:pPr>
      <w:r>
        <w:t xml:space="preserve">Code Example</w:t>
      </w:r>
    </w:p>
    <w:p>
      <w:pPr>
        <w:pStyle w:val="FirstParagraph"/>
      </w:pPr>
      <w:r>
        <w:t xml:space="preserve">Display site information from</w:t>
      </w:r>
      <w:r>
        <w:t xml:space="preserve"> </w:t>
      </w:r>
      <w:r>
        <w:rPr>
          <w:rStyle w:val="VerbatimChar"/>
        </w:rPr>
        <w:t xml:space="preserve">MyInfo.xml</w:t>
      </w:r>
      <w:r>
        <w:t xml:space="preserve"> </w:t>
      </w:r>
      <w:r>
        <w:t xml:space="preserve">on a contact page:</w:t>
      </w:r>
    </w:p>
    <w:p>
      <w:pPr>
        <w:pStyle w:val="SourceCode"/>
      </w:pPr>
      <w:r>
        <w:rPr>
          <w:rStyle w:val="DataTypeTok"/>
        </w:rPr>
        <w:t xml:space="preserve">&lt;%</w:t>
      </w:r>
      <w:r>
        <w:br/>
      </w:r>
      <w:r>
        <w:rPr>
          <w:rStyle w:val="KeywordTok"/>
        </w:rPr>
        <w:t xml:space="preserve">Dim</w:t>
      </w:r>
      <w:r>
        <w:rPr>
          <w:rStyle w:val="NormalTok"/>
        </w:rPr>
        <w:t xml:space="preserve"> mi</w:t>
      </w:r>
      <w:r>
        <w:br/>
      </w:r>
      <w:r>
        <w:rPr>
          <w:rStyle w:val="KeywordTok"/>
        </w:rPr>
        <w:t xml:space="preserve">Set</w:t>
      </w:r>
      <w:r>
        <w:rPr>
          <w:rStyle w:val="NormalTok"/>
        </w:rPr>
        <w:t xml:space="preserve"> mi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"MSWC.MyInfo"</w:t>
      </w:r>
      <w:r>
        <w:rPr>
          <w:rStyle w:val="OtherTok"/>
        </w:rPr>
        <w:t xml:space="preserve">)</w:t>
      </w:r>
      <w:r>
        <w:br/>
      </w:r>
      <w:r>
        <w:rPr>
          <w:rStyle w:val="DataTypeTok"/>
        </w:rPr>
        <w:t xml:space="preserve">%&gt;</w:t>
      </w:r>
      <w:r>
        <w:br/>
      </w:r>
      <w:r>
        <w:rPr>
          <w:rStyle w:val="KeywordTok"/>
        </w:rPr>
        <w:t xml:space="preserve">&lt;p&gt;&lt;strong&gt;</w:t>
      </w:r>
      <w:r>
        <w:rPr>
          <w:rStyle w:val="NormalTok"/>
        </w:rPr>
        <w:t xml:space="preserve">Site Administrator:</w:t>
      </w:r>
      <w:r>
        <w:rPr>
          <w:rStyle w:val="KeywordTok"/>
        </w:rPr>
        <w:t xml:space="preserve">&lt;/strong&gt;</w:t>
      </w:r>
      <w:r>
        <w:rPr>
          <w:rStyle w:val="NormalTok"/>
        </w:rPr>
        <w:t xml:space="preserve"> </w:t>
      </w:r>
      <w:r>
        <w:rPr>
          <w:rStyle w:val="DataTypeTok"/>
        </w:rPr>
        <w:t xml:space="preserve">&lt;%</w:t>
      </w:r>
      <w:r>
        <w:rPr>
          <w:rStyle w:val="NormalTok"/>
        </w:rPr>
        <w:t xml:space="preserve">= mi.PersonalName </w:t>
      </w:r>
      <w:r>
        <w:rPr>
          <w:rStyle w:val="DataTypeTok"/>
        </w:rPr>
        <w:t xml:space="preserve">%&gt;</w:t>
      </w:r>
      <w:r>
        <w:rPr>
          <w:rStyle w:val="KeywordTok"/>
        </w:rPr>
        <w:t xml:space="preserve">&lt;/p&gt;</w:t>
      </w:r>
      <w:r>
        <w:br/>
      </w:r>
      <w:r>
        <w:rPr>
          <w:rStyle w:val="KeywordTok"/>
        </w:rPr>
        <w:t xml:space="preserve">&lt;p&gt;&lt;strong&gt;</w:t>
      </w:r>
      <w:r>
        <w:rPr>
          <w:rStyle w:val="NormalTok"/>
        </w:rPr>
        <w:t xml:space="preserve">Company:</w:t>
      </w:r>
      <w:r>
        <w:rPr>
          <w:rStyle w:val="KeywordTok"/>
        </w:rPr>
        <w:t xml:space="preserve">&lt;/strong&gt;</w:t>
      </w:r>
      <w:r>
        <w:rPr>
          <w:rStyle w:val="NormalTok"/>
        </w:rPr>
        <w:t xml:space="preserve"> </w:t>
      </w:r>
      <w:r>
        <w:rPr>
          <w:rStyle w:val="DataTypeTok"/>
        </w:rPr>
        <w:t xml:space="preserve">&lt;%</w:t>
      </w:r>
      <w:r>
        <w:rPr>
          <w:rStyle w:val="NormalTok"/>
        </w:rPr>
        <w:t xml:space="preserve">= mi.CompanyName </w:t>
      </w:r>
      <w:r>
        <w:rPr>
          <w:rStyle w:val="DataTypeTok"/>
        </w:rPr>
        <w:t xml:space="preserve">%&gt;</w:t>
      </w:r>
      <w:r>
        <w:rPr>
          <w:rStyle w:val="KeywordTok"/>
        </w:rPr>
        <w:t xml:space="preserve">&lt;/p&gt;</w:t>
      </w:r>
      <w:r>
        <w:br/>
      </w:r>
      <w:r>
        <w:rPr>
          <w:rStyle w:val="KeywordTok"/>
        </w:rPr>
        <w:t xml:space="preserve">&lt;p&gt;&lt;strong&gt;</w:t>
      </w:r>
      <w:r>
        <w:rPr>
          <w:rStyle w:val="NormalTok"/>
        </w:rPr>
        <w:t xml:space="preserve">Contact:</w:t>
      </w:r>
      <w:r>
        <w:rPr>
          <w:rStyle w:val="KeywordTok"/>
        </w:rPr>
        <w:t xml:space="preserve">&lt;/strong&gt;</w:t>
      </w:r>
      <w:r>
        <w:rPr>
          <w:rStyle w:val="NormalTok"/>
        </w:rPr>
        <w:t xml:space="preserve"> </w:t>
      </w:r>
      <w:r>
        <w:rPr>
          <w:rStyle w:val="KeywordTok"/>
        </w:rPr>
        <w:t xml:space="preserve">&lt;a</w:t>
      </w:r>
      <w:r>
        <w:rPr>
          <w:rStyle w:val="OtherTok"/>
        </w:rPr>
        <w:t xml:space="preserve"> href=</w:t>
      </w:r>
      <w:r>
        <w:rPr>
          <w:rStyle w:val="StringTok"/>
        </w:rPr>
        <w:t xml:space="preserve">"mailto:</w:t>
      </w:r>
      <w:r>
        <w:rPr>
          <w:rStyle w:val="DataTypeTok"/>
        </w:rPr>
        <w:t xml:space="preserve">&lt;%</w:t>
      </w:r>
      <w:r>
        <w:rPr>
          <w:rStyle w:val="NormalTok"/>
        </w:rPr>
        <w:t xml:space="preserve">= mi.PersonalMail </w:t>
      </w:r>
      <w:r>
        <w:rPr>
          <w:rStyle w:val="DataTypeTok"/>
        </w:rPr>
        <w:t xml:space="preserve">%&gt;</w:t>
      </w:r>
      <w:r>
        <w:rPr>
          <w:rStyle w:val="StringTok"/>
        </w:rPr>
        <w:t xml:space="preserve">"</w:t>
      </w:r>
      <w:r>
        <w:rPr>
          <w:rStyle w:val="KeywordTok"/>
        </w:rPr>
        <w:t xml:space="preserve">&gt;</w:t>
      </w:r>
      <w:r>
        <w:rPr>
          <w:rStyle w:val="DataTypeTok"/>
        </w:rPr>
        <w:t xml:space="preserve">&lt;%</w:t>
      </w:r>
      <w:r>
        <w:rPr>
          <w:rStyle w:val="NormalTok"/>
        </w:rPr>
        <w:t xml:space="preserve">= mi.PersonalMail </w:t>
      </w:r>
      <w:r>
        <w:rPr>
          <w:rStyle w:val="DataTypeTok"/>
        </w:rPr>
        <w:t xml:space="preserve">%&gt;</w:t>
      </w:r>
      <w:r>
        <w:rPr>
          <w:rStyle w:val="KeywordTok"/>
        </w:rPr>
        <w:t xml:space="preserve">&lt;/a&gt;&lt;/p&gt;</w:t>
      </w:r>
      <w:r>
        <w:br/>
      </w:r>
      <w:r>
        <w:rPr>
          <w:rStyle w:val="KeywordTok"/>
        </w:rPr>
        <w:t xml:space="preserve">&lt;p&gt;&lt;strong&gt;</w:t>
      </w:r>
      <w:r>
        <w:rPr>
          <w:rStyle w:val="NormalTok"/>
        </w:rPr>
        <w:t xml:space="preserve">Phone:</w:t>
      </w:r>
      <w:r>
        <w:rPr>
          <w:rStyle w:val="KeywordTok"/>
        </w:rPr>
        <w:t xml:space="preserve">&lt;/strong&gt;</w:t>
      </w:r>
      <w:r>
        <w:rPr>
          <w:rStyle w:val="NormalTok"/>
        </w:rPr>
        <w:t xml:space="preserve"> </w:t>
      </w:r>
      <w:r>
        <w:rPr>
          <w:rStyle w:val="DataTypeTok"/>
        </w:rPr>
        <w:t xml:space="preserve">&lt;%</w:t>
      </w:r>
      <w:r>
        <w:rPr>
          <w:rStyle w:val="NormalTok"/>
        </w:rPr>
        <w:t xml:space="preserve">= mi.PersonalPhone </w:t>
      </w:r>
      <w:r>
        <w:rPr>
          <w:rStyle w:val="DataTypeTok"/>
        </w:rPr>
        <w:t xml:space="preserve">%&gt;</w:t>
      </w:r>
      <w:r>
        <w:rPr>
          <w:rStyle w:val="KeywordTok"/>
        </w:rPr>
        <w:t xml:space="preserve">&lt;/p&gt;</w:t>
      </w:r>
      <w:r>
        <w:br/>
      </w:r>
      <w:r>
        <w:rPr>
          <w:rStyle w:val="KeywordTok"/>
        </w:rPr>
        <w:t xml:space="preserve">&lt;p&gt;&lt;strong&gt;</w:t>
      </w:r>
      <w:r>
        <w:rPr>
          <w:rStyle w:val="NormalTok"/>
        </w:rPr>
        <w:t xml:space="preserve">Message:</w:t>
      </w:r>
      <w:r>
        <w:rPr>
          <w:rStyle w:val="KeywordTok"/>
        </w:rPr>
        <w:t xml:space="preserve">&lt;/strong&gt;</w:t>
      </w:r>
      <w:r>
        <w:rPr>
          <w:rStyle w:val="NormalTok"/>
        </w:rPr>
        <w:t xml:space="preserve"> </w:t>
      </w:r>
      <w:r>
        <w:rPr>
          <w:rStyle w:val="DataTypeTok"/>
        </w:rPr>
        <w:t xml:space="preserve">&lt;%</w:t>
      </w:r>
      <w:r>
        <w:rPr>
          <w:rStyle w:val="NormalTok"/>
        </w:rPr>
        <w:t xml:space="preserve">= mi.PersonalWords </w:t>
      </w:r>
      <w:r>
        <w:rPr>
          <w:rStyle w:val="DataTypeTok"/>
        </w:rPr>
        <w:t xml:space="preserve">%&gt;</w:t>
      </w:r>
      <w:r>
        <w:rPr>
          <w:rStyle w:val="KeywordTok"/>
        </w:rPr>
        <w:t xml:space="preserve">&lt;/p&gt;</w:t>
      </w:r>
      <w:r>
        <w:br/>
      </w:r>
      <w:r>
        <w:rPr>
          <w:rStyle w:val="KeywordTok"/>
        </w:rPr>
        <w:t xml:space="preserve">&lt;ul&gt;</w:t>
      </w:r>
      <w:r>
        <w:br/>
      </w:r>
      <w:r>
        <w:rPr>
          <w:rStyle w:val="DataTypeTok"/>
        </w:rPr>
        <w:t xml:space="preserve">&lt;%</w:t>
      </w:r>
      <w:r>
        <w:br/>
      </w:r>
      <w:r>
        <w:rPr>
          <w:rStyle w:val="KeywordTok"/>
        </w:rPr>
        <w:t xml:space="preserve">Dim</w:t>
      </w:r>
      <w:r>
        <w:rPr>
          <w:rStyle w:val="NormalTok"/>
        </w:rPr>
        <w:t xml:space="preserve"> i</w:t>
      </w:r>
      <w:r>
        <w:br/>
      </w:r>
      <w:r>
        <w:rPr>
          <w:rStyle w:val="ControlFlowTok"/>
        </w:rPr>
        <w:t xml:space="preserve">For</w:t>
      </w:r>
      <w:r>
        <w:rPr>
          <w:rStyle w:val="NormalTok"/>
        </w:rPr>
        <w:t xml:space="preserve"> i = </w:t>
      </w:r>
      <w:r>
        <w:rPr>
          <w:rStyle w:val="DecValTok"/>
        </w:rPr>
        <w:t xml:space="preserve">1</w:t>
      </w:r>
      <w:r>
        <w:rPr>
          <w:rStyle w:val="NormalTok"/>
        </w:rPr>
        <w:t xml:space="preserve"> </w:t>
      </w:r>
      <w:r>
        <w:rPr>
          <w:rStyle w:val="ControlFlowTok"/>
        </w:rPr>
        <w:t xml:space="preserve">To</w:t>
      </w:r>
      <w:r>
        <w:rPr>
          <w:rStyle w:val="NormalTok"/>
        </w:rPr>
        <w:t xml:space="preserve"> </w:t>
      </w:r>
      <w:r>
        <w:rPr>
          <w:rStyle w:val="DecValTok"/>
        </w:rPr>
        <w:t xml:space="preserve">5</w:t>
      </w:r>
      <w:r>
        <w:br/>
      </w:r>
      <w:r>
        <w:rPr>
          <w:rStyle w:val="NormalTok"/>
        </w:rPr>
        <w:t xml:space="preserve">    </w:t>
      </w:r>
      <w:r>
        <w:rPr>
          <w:rStyle w:val="KeywordTok"/>
        </w:rPr>
        <w:t xml:space="preserve">Dim</w:t>
      </w:r>
      <w:r>
        <w:rPr>
          <w:rStyle w:val="NormalTok"/>
        </w:rPr>
        <w:t xml:space="preserve"> url</w:t>
      </w:r>
      <w:r>
        <w:rPr>
          <w:rStyle w:val="OtherTok"/>
        </w:rPr>
        <w:t xml:space="preserve">,</w:t>
      </w:r>
      <w:r>
        <w:rPr>
          <w:rStyle w:val="NormalTok"/>
        </w:rPr>
        <w:t xml:space="preserve"> label</w:t>
      </w:r>
      <w:r>
        <w:br/>
      </w:r>
      <w:r>
        <w:rPr>
          <w:rStyle w:val="NormalTok"/>
        </w:rPr>
        <w:t xml:space="preserve">    url = mi.URL</w:t>
      </w:r>
      <w:r>
        <w:rPr>
          <w:rStyle w:val="OtherTok"/>
        </w:rPr>
        <w:t xml:space="preserve">(</w:t>
      </w:r>
      <w:r>
        <w:rPr>
          <w:rStyle w:val="NormalTok"/>
        </w:rPr>
        <w:t xml:space="preserve">i</w:t>
      </w:r>
      <w:r>
        <w:rPr>
          <w:rStyle w:val="OtherTok"/>
        </w:rPr>
        <w:t xml:space="preserve">)</w:t>
      </w:r>
      <w:r>
        <w:br/>
      </w:r>
      <w:r>
        <w:rPr>
          <w:rStyle w:val="NormalTok"/>
        </w:rPr>
        <w:t xml:space="preserve">    label = mi.URLWords</w:t>
      </w:r>
      <w:r>
        <w:rPr>
          <w:rStyle w:val="OtherTok"/>
        </w:rPr>
        <w:t xml:space="preserve">(</w:t>
      </w:r>
      <w:r>
        <w:rPr>
          <w:rStyle w:val="NormalTok"/>
        </w:rPr>
        <w:t xml:space="preserve">i</w:t>
      </w:r>
      <w:r>
        <w:rPr>
          <w:rStyle w:val="OtherTok"/>
        </w:rPr>
        <w:t xml:space="preserve">)</w:t>
      </w:r>
      <w:r>
        <w:br/>
      </w:r>
      <w:r>
        <w:rPr>
          <w:rStyle w:val="NormalTok"/>
        </w:rPr>
        <w:t xml:space="preserve">    </w:t>
      </w:r>
      <w:r>
        <w:rPr>
          <w:rStyle w:val="ControlFlowTok"/>
        </w:rPr>
        <w:t xml:space="preserve">If</w:t>
      </w:r>
      <w:r>
        <w:rPr>
          <w:rStyle w:val="NormalTok"/>
        </w:rPr>
        <w:t xml:space="preserve"> url &lt;&gt; </w:t>
      </w:r>
      <w:r>
        <w:rPr>
          <w:rStyle w:val="StringTok"/>
        </w:rPr>
        <w:t xml:space="preserve">""</w:t>
      </w:r>
      <w:r>
        <w:rPr>
          <w:rStyle w:val="NormalTok"/>
        </w:rPr>
        <w:t xml:space="preserve"> </w:t>
      </w:r>
      <w:r>
        <w:rPr>
          <w:rStyle w:val="ControlFlowTok"/>
        </w:rPr>
        <w:t xml:space="preserve">Then</w:t>
      </w:r>
      <w:r>
        <w:br/>
      </w:r>
      <w:r>
        <w:rPr>
          <w:rStyle w:val="DataTypeTok"/>
        </w:rPr>
        <w:t xml:space="preserve">%&gt;</w:t>
      </w:r>
      <w:r>
        <w:br/>
      </w:r>
      <w:r>
        <w:rPr>
          <w:rStyle w:val="NormalTok"/>
        </w:rPr>
        <w:t xml:space="preserve">    </w:t>
      </w:r>
      <w:r>
        <w:rPr>
          <w:rStyle w:val="KeywordTok"/>
        </w:rPr>
        <w:t xml:space="preserve">&lt;li&gt;&lt;a</w:t>
      </w:r>
      <w:r>
        <w:rPr>
          <w:rStyle w:val="OtherTok"/>
        </w:rPr>
        <w:t xml:space="preserve"> href=</w:t>
      </w:r>
      <w:r>
        <w:rPr>
          <w:rStyle w:val="StringTok"/>
        </w:rPr>
        <w:t xml:space="preserve">"</w:t>
      </w:r>
      <w:r>
        <w:rPr>
          <w:rStyle w:val="DataTypeTok"/>
        </w:rPr>
        <w:t xml:space="preserve">&lt;%</w:t>
      </w:r>
      <w:r>
        <w:rPr>
          <w:rStyle w:val="NormalTok"/>
        </w:rPr>
        <w:t xml:space="preserve">= url </w:t>
      </w:r>
      <w:r>
        <w:rPr>
          <w:rStyle w:val="DataTypeTok"/>
        </w:rPr>
        <w:t xml:space="preserve">%&gt;</w:t>
      </w:r>
      <w:r>
        <w:rPr>
          <w:rStyle w:val="StringTok"/>
        </w:rPr>
        <w:t xml:space="preserve">"</w:t>
      </w:r>
      <w:r>
        <w:rPr>
          <w:rStyle w:val="KeywordTok"/>
        </w:rPr>
        <w:t xml:space="preserve">&gt;</w:t>
      </w:r>
      <w:r>
        <w:rPr>
          <w:rStyle w:val="DataTypeTok"/>
        </w:rPr>
        <w:t xml:space="preserve">&lt;%</w:t>
      </w:r>
      <w:r>
        <w:rPr>
          <w:rStyle w:val="NormalTok"/>
        </w:rPr>
        <w:t xml:space="preserve">= label </w:t>
      </w:r>
      <w:r>
        <w:rPr>
          <w:rStyle w:val="DataTypeTok"/>
        </w:rPr>
        <w:t xml:space="preserve">%&gt;</w:t>
      </w:r>
      <w:r>
        <w:rPr>
          <w:rStyle w:val="KeywordTok"/>
        </w:rPr>
        <w:t xml:space="preserve">&lt;/a&gt;&lt;/li&gt;</w:t>
      </w:r>
      <w:r>
        <w:br/>
      </w:r>
      <w:r>
        <w:rPr>
          <w:rStyle w:val="DataTypeTok"/>
        </w:rPr>
        <w:t xml:space="preserve">&lt;%</w:t>
      </w:r>
      <w:r>
        <w:br/>
      </w:r>
      <w:r>
        <w:rPr>
          <w:rStyle w:val="NormalTok"/>
        </w:rPr>
        <w:t xml:space="preserve">    </w:t>
      </w:r>
      <w:r>
        <w:rPr>
          <w:rStyle w:val="ControlFlowTok"/>
        </w:rPr>
        <w:t xml:space="preserve">End If</w:t>
      </w:r>
      <w:r>
        <w:br/>
      </w:r>
      <w:r>
        <w:rPr>
          <w:rStyle w:val="ControlFlowTok"/>
        </w:rPr>
        <w:t xml:space="preserve">Next</w:t>
      </w:r>
      <w:r>
        <w:br/>
      </w:r>
      <w:r>
        <w:rPr>
          <w:rStyle w:val="DataTypeTok"/>
        </w:rPr>
        <w:t xml:space="preserve">%&gt;</w:t>
      </w:r>
      <w:r>
        <w:br/>
      </w:r>
      <w:r>
        <w:rPr>
          <w:rStyle w:val="KeywordTok"/>
        </w:rPr>
        <w:t xml:space="preserve">&lt;/ul&gt;</w:t>
      </w:r>
    </w:p>
    <w:bookmarkEnd w:id="200"/>
    <w:bookmarkEnd w:id="201"/>
    <w:bookmarkStart w:id="234" w:name="locale-support-and-language-formatting"/>
    <w:p>
      <w:pPr>
        <w:pStyle w:val="Heading1"/>
      </w:pPr>
      <w:r>
        <w:t xml:space="preserve">Locale Support and Language Formatting</w:t>
      </w:r>
    </w:p>
    <w:bookmarkStart w:id="202" w:name="overview-14"/>
    <w:p>
      <w:pPr>
        <w:pStyle w:val="Heading2"/>
      </w:pPr>
      <w:r>
        <w:t xml:space="preserve">Overview</w:t>
      </w:r>
    </w:p>
    <w:p>
      <w:pPr>
        <w:pStyle w:val="FirstParagraph"/>
      </w:pPr>
      <w:r>
        <w:t xml:space="preserve">AxonASP provides comprehensive locale support for date, time, number, and currency formatting. The server supports 43 language and region variants, enabling global ASP applications to render content in multiple languages and formats without manual conversion.</w:t>
      </w:r>
    </w:p>
    <w:p>
      <w:pPr>
        <w:pStyle w:val="BodyText"/>
      </w:pPr>
      <w:r>
        <w:t xml:space="preserve">Locale settings control how the following functions format and parse data:</w:t>
      </w:r>
    </w:p>
    <w:p>
      <w:pPr>
        <w:pStyle w:val="Compact"/>
        <w:numPr>
          <w:ilvl w:val="0"/>
          <w:numId w:val="1077"/>
        </w:numPr>
      </w:pPr>
      <w:r>
        <w:rPr>
          <w:b/>
          <w:bCs/>
        </w:rPr>
        <w:t xml:space="preserve">Date/Time Functions:</w:t>
      </w:r>
      <w:r>
        <w:t xml:space="preserve"> </w:t>
      </w:r>
      <w:r>
        <w:rPr>
          <w:rStyle w:val="VerbatimChar"/>
        </w:rPr>
        <w:t xml:space="preserve">FormatDateTime</w:t>
      </w:r>
      <w:r>
        <w:t xml:space="preserve">,</w:t>
      </w:r>
      <w:r>
        <w:t xml:space="preserve"> </w:t>
      </w:r>
      <w:r>
        <w:rPr>
          <w:rStyle w:val="VerbatimChar"/>
        </w:rPr>
        <w:t xml:space="preserve">DateValue</w:t>
      </w:r>
      <w:r>
        <w:t xml:space="preserve">,</w:t>
      </w:r>
      <w:r>
        <w:t xml:space="preserve"> </w:t>
      </w:r>
      <w:r>
        <w:rPr>
          <w:rStyle w:val="VerbatimChar"/>
        </w:rPr>
        <w:t xml:space="preserve">TimeValue</w:t>
      </w:r>
      <w:r>
        <w:t xml:space="preserve">,</w:t>
      </w:r>
      <w:r>
        <w:t xml:space="preserve"> </w:t>
      </w:r>
      <w:r>
        <w:rPr>
          <w:rStyle w:val="VerbatimChar"/>
        </w:rPr>
        <w:t xml:space="preserve">CDate</w:t>
      </w:r>
      <w:r>
        <w:t xml:space="preserve">,</w:t>
      </w:r>
      <w:r>
        <w:t xml:space="preserve"> </w:t>
      </w:r>
      <w:r>
        <w:rPr>
          <w:rStyle w:val="VerbatimChar"/>
        </w:rPr>
        <w:t xml:space="preserve">DateAdd</w:t>
      </w:r>
      <w:r>
        <w:t xml:space="preserve">,</w:t>
      </w:r>
      <w:r>
        <w:t xml:space="preserve"> </w:t>
      </w:r>
      <w:r>
        <w:rPr>
          <w:rStyle w:val="VerbatimChar"/>
        </w:rPr>
        <w:t xml:space="preserve">DateDiff</w:t>
      </w:r>
      <w:r>
        <w:t xml:space="preserve">,</w:t>
      </w:r>
      <w:r>
        <w:t xml:space="preserve"> </w:t>
      </w:r>
      <w:r>
        <w:rPr>
          <w:rStyle w:val="VerbatimChar"/>
        </w:rPr>
        <w:t xml:space="preserve">DatePart</w:t>
      </w:r>
      <w:r>
        <w:t xml:space="preserve">,</w:t>
      </w:r>
      <w:r>
        <w:t xml:space="preserve"> </w:t>
      </w:r>
      <w:r>
        <w:rPr>
          <w:rStyle w:val="VerbatimChar"/>
        </w:rPr>
        <w:t xml:space="preserve">Weekday</w:t>
      </w:r>
    </w:p>
    <w:p>
      <w:pPr>
        <w:pStyle w:val="Compact"/>
        <w:numPr>
          <w:ilvl w:val="0"/>
          <w:numId w:val="1077"/>
        </w:numPr>
      </w:pPr>
      <w:r>
        <w:rPr>
          <w:b/>
          <w:bCs/>
        </w:rPr>
        <w:t xml:space="preserve">Number Functions:</w:t>
      </w:r>
      <w:r>
        <w:t xml:space="preserve"> </w:t>
      </w:r>
      <w:r>
        <w:rPr>
          <w:rStyle w:val="VerbatimChar"/>
        </w:rPr>
        <w:t xml:space="preserve">FormatNumber</w:t>
      </w:r>
      <w:r>
        <w:t xml:space="preserve">,</w:t>
      </w:r>
      <w:r>
        <w:t xml:space="preserve"> </w:t>
      </w:r>
      <w:r>
        <w:rPr>
          <w:rStyle w:val="VerbatimChar"/>
        </w:rPr>
        <w:t xml:space="preserve">FormatPercent</w:t>
      </w:r>
      <w:r>
        <w:t xml:space="preserve">,</w:t>
      </w:r>
      <w:r>
        <w:t xml:space="preserve"> </w:t>
      </w:r>
      <w:r>
        <w:rPr>
          <w:rStyle w:val="VerbatimChar"/>
        </w:rPr>
        <w:t xml:space="preserve">FormatCurrency</w:t>
      </w:r>
    </w:p>
    <w:p>
      <w:pPr>
        <w:pStyle w:val="Compact"/>
        <w:numPr>
          <w:ilvl w:val="0"/>
          <w:numId w:val="1077"/>
        </w:numPr>
      </w:pPr>
      <w:r>
        <w:rPr>
          <w:b/>
          <w:bCs/>
        </w:rPr>
        <w:t xml:space="preserve">Day/Month Names:</w:t>
      </w:r>
      <w:r>
        <w:t xml:space="preserve"> </w:t>
      </w:r>
      <w:r>
        <w:rPr>
          <w:rStyle w:val="VerbatimChar"/>
        </w:rPr>
        <w:t xml:space="preserve">MonthName</w:t>
      </w:r>
      <w:r>
        <w:t xml:space="preserve">,</w:t>
      </w:r>
      <w:r>
        <w:t xml:space="preserve"> </w:t>
      </w:r>
      <w:r>
        <w:rPr>
          <w:rStyle w:val="VerbatimChar"/>
        </w:rPr>
        <w:t xml:space="preserve">WeekdayName</w:t>
      </w:r>
    </w:p>
    <w:p>
      <w:pPr>
        <w:pStyle w:val="Compact"/>
        <w:numPr>
          <w:ilvl w:val="0"/>
          <w:numId w:val="1077"/>
        </w:numPr>
      </w:pPr>
      <w:r>
        <w:rPr>
          <w:b/>
          <w:bCs/>
        </w:rPr>
        <w:t xml:space="preserve">Implicit Conversions:</w:t>
      </w:r>
      <w:r>
        <w:t xml:space="preserve"> </w:t>
      </w:r>
      <w:r>
        <w:t xml:space="preserve">Date and number values converted to strings</w:t>
      </w:r>
    </w:p>
    <w:bookmarkEnd w:id="202"/>
    <w:bookmarkStart w:id="205" w:name="working-with-locales"/>
    <w:p>
      <w:pPr>
        <w:pStyle w:val="Heading2"/>
      </w:pPr>
      <w:r>
        <w:t xml:space="preserve">Working with Locales</w:t>
      </w:r>
    </w:p>
    <w:bookmarkStart w:id="203" w:name="setting-the-locale"/>
    <w:p>
      <w:pPr>
        <w:pStyle w:val="Heading3"/>
      </w:pPr>
      <w:r>
        <w:t xml:space="preserve">Setting the Locale</w:t>
      </w:r>
    </w:p>
    <w:p>
      <w:pPr>
        <w:pStyle w:val="FirstParagraph"/>
      </w:pPr>
      <w:r>
        <w:t xml:space="preserve">The locale is controlled by the</w:t>
      </w:r>
      <w:r>
        <w:t xml:space="preserve"> </w:t>
      </w:r>
      <w:r>
        <w:rPr>
          <w:b/>
          <w:bCs/>
        </w:rPr>
        <w:t xml:space="preserve">Session.LCID</w:t>
      </w:r>
      <w:r>
        <w:t xml:space="preserve"> </w:t>
      </w:r>
      <w:r>
        <w:t xml:space="preserve">property. By default, it inherits from the server’s configured default locale (</w:t>
      </w:r>
      <w:r>
        <w:rPr>
          <w:rStyle w:val="VerbatimChar"/>
        </w:rPr>
        <w:t xml:space="preserve">global.default_mslcid</w:t>
      </w:r>
      <w:r>
        <w:t xml:space="preserve"> </w:t>
      </w:r>
      <w:r>
        <w:t xml:space="preserve">in</w:t>
      </w:r>
      <w:r>
        <w:t xml:space="preserve"> </w:t>
      </w:r>
      <w:r>
        <w:rPr>
          <w:rStyle w:val="VerbatimChar"/>
        </w:rPr>
        <w:t xml:space="preserve">axonasp.toml</w:t>
      </w:r>
      <w:r>
        <w:t xml:space="preserve">).</w:t>
      </w:r>
    </w:p>
    <w:p>
      <w:pPr>
        <w:pStyle w:val="BodyText"/>
      </w:pPr>
      <w:r>
        <w:rPr>
          <w:b/>
          <w:bCs/>
        </w:rPr>
        <w:t xml:space="preserve">In ASP Code:</w:t>
      </w:r>
    </w:p>
    <w:p>
      <w:pPr>
        <w:pStyle w:val="SourceCode"/>
      </w:pPr>
      <w:r>
        <w:rPr>
          <w:rStyle w:val="NormalTok"/>
        </w:rPr>
        <w:t xml:space="preserve">' Set locale for Portuguese Brazil</w:t>
      </w:r>
      <w:r>
        <w:br/>
      </w:r>
      <w:r>
        <w:rPr>
          <w:rStyle w:val="NormalTok"/>
        </w:rPr>
        <w:t xml:space="preserve">Session.LCID = 1046</w:t>
      </w:r>
      <w:r>
        <w:br/>
      </w:r>
      <w:r>
        <w:br/>
      </w:r>
      <w:r>
        <w:rPr>
          <w:rStyle w:val="NormalTok"/>
        </w:rPr>
        <w:t xml:space="preserve">' Format a number using Portuguese locale</w:t>
      </w:r>
      <w:r>
        <w:br/>
      </w:r>
      <w:r>
        <w:rPr>
          <w:rStyle w:val="NormalTok"/>
        </w:rPr>
        <w:t xml:space="preserve">amount = 1234.56</w:t>
      </w:r>
      <w:r>
        <w:br/>
      </w:r>
      <w:r>
        <w:rPr>
          <w:rStyle w:val="NormalTok"/>
        </w:rPr>
        <w:t xml:space="preserve">formatted = FormatNumber(amount, 2)  ' Outputs: 1.234,56</w:t>
      </w:r>
      <w:r>
        <w:br/>
      </w:r>
      <w:r>
        <w:br/>
      </w:r>
      <w:r>
        <w:rPr>
          <w:rStyle w:val="NormalTok"/>
        </w:rPr>
        <w:t xml:space="preserve">' Format currency</w:t>
      </w:r>
      <w:r>
        <w:br/>
      </w:r>
      <w:r>
        <w:rPr>
          <w:rStyle w:val="NormalTok"/>
        </w:rPr>
        <w:t xml:space="preserve">currency = FormatCurrency(amount)    ' Outputs: R$ 1.234,56</w:t>
      </w:r>
    </w:p>
    <w:p>
      <w:pPr>
        <w:pStyle w:val="FirstParagraph"/>
      </w:pPr>
      <w:r>
        <w:rPr>
          <w:b/>
          <w:bCs/>
        </w:rPr>
        <w:t xml:space="preserve">Checking Current Locale:</w:t>
      </w:r>
    </w:p>
    <w:p>
      <w:pPr>
        <w:pStyle w:val="SourceCode"/>
      </w:pPr>
      <w:r>
        <w:rPr>
          <w:rStyle w:val="NormalTok"/>
        </w:rPr>
        <w:t xml:space="preserve">currentLocale = Session.LCID</w:t>
      </w:r>
      <w:r>
        <w:br/>
      </w:r>
      <w:r>
        <w:rPr>
          <w:rStyle w:val="NormalTok"/>
        </w:rPr>
        <w:t xml:space="preserve">Response.Write "Current locale: " &amp; currentLocale</w:t>
      </w:r>
    </w:p>
    <w:bookmarkEnd w:id="203"/>
    <w:bookmarkStart w:id="204" w:name="server-default-locale"/>
    <w:p>
      <w:pPr>
        <w:pStyle w:val="Heading3"/>
      </w:pPr>
      <w:r>
        <w:t xml:space="preserve">Server Default Locale</w:t>
      </w:r>
    </w:p>
    <w:p>
      <w:pPr>
        <w:pStyle w:val="FirstParagraph"/>
      </w:pPr>
      <w:r>
        <w:t xml:space="preserve">The server default is configured in</w:t>
      </w:r>
      <w:r>
        <w:t xml:space="preserve"> </w:t>
      </w:r>
      <w:r>
        <w:rPr>
          <w:rStyle w:val="VerbatimChar"/>
        </w:rPr>
        <w:t xml:space="preserve">axonasp.toml</w:t>
      </w:r>
      <w:r>
        <w:t xml:space="preserve">:</w:t>
      </w:r>
    </w:p>
    <w:p>
      <w:pPr>
        <w:pStyle w:val="SourceCode"/>
      </w:pPr>
      <w:r>
        <w:rPr>
          <w:rStyle w:val="KeywordTok"/>
        </w:rPr>
        <w:t xml:space="preserve">[global]</w:t>
      </w:r>
      <w:r>
        <w:br/>
      </w:r>
      <w:r>
        <w:rPr>
          <w:rStyle w:val="DataTypeTok"/>
        </w:rPr>
        <w:t xml:space="preserve">default_mslcid</w:t>
      </w:r>
      <w:r>
        <w:rPr>
          <w:rStyle w:val="NormalTok"/>
        </w:rPr>
        <w:t xml:space="preserve"> </w:t>
      </w:r>
      <w:r>
        <w:rPr>
          <w:rStyle w:val="OperatorTok"/>
        </w:rPr>
        <w:t xml:space="preserve">=</w:t>
      </w:r>
      <w:r>
        <w:rPr>
          <w:rStyle w:val="NormalTok"/>
        </w:rPr>
        <w:t xml:space="preserve"> </w:t>
      </w:r>
      <w:r>
        <w:rPr>
          <w:rStyle w:val="DecValTok"/>
        </w:rPr>
        <w:t xml:space="preserve">1046</w:t>
      </w:r>
      <w:r>
        <w:rPr>
          <w:rStyle w:val="NormalTok"/>
        </w:rPr>
        <w:t xml:space="preserve">  </w:t>
      </w:r>
      <w:r>
        <w:rPr>
          <w:rStyle w:val="CommentTok"/>
        </w:rPr>
        <w:t xml:space="preserve"># Portuguese (Brazil)</w:t>
      </w:r>
    </w:p>
    <w:p>
      <w:pPr>
        <w:pStyle w:val="FirstParagraph"/>
      </w:pPr>
      <w:r>
        <w:t xml:space="preserve">This default applies to all new sessions. Individual requests can override it using</w:t>
      </w:r>
      <w:r>
        <w:t xml:space="preserve"> </w:t>
      </w:r>
      <w:r>
        <w:rPr>
          <w:rStyle w:val="VerbatimChar"/>
        </w:rPr>
        <w:t xml:space="preserve">Session.LCID</w:t>
      </w:r>
      <w:r>
        <w:t xml:space="preserve">.</w:t>
      </w:r>
    </w:p>
    <w:bookmarkEnd w:id="204"/>
    <w:bookmarkEnd w:id="205"/>
    <w:bookmarkStart w:id="217" w:name="supported-locales-and-variants"/>
    <w:p>
      <w:pPr>
        <w:pStyle w:val="Heading2"/>
      </w:pPr>
      <w:r>
        <w:t xml:space="preserve">Supported Locales and Variants</w:t>
      </w:r>
    </w:p>
    <w:p>
      <w:pPr>
        <w:pStyle w:val="FirstParagraph"/>
      </w:pPr>
      <w:r>
        <w:t xml:space="preserve">AxonASP supports the following 43 language and region locales:</w:t>
      </w:r>
    </w:p>
    <w:bookmarkStart w:id="206" w:name="english-variants"/>
    <w:p>
      <w:pPr>
        <w:pStyle w:val="Heading3"/>
      </w:pPr>
      <w:r>
        <w:t xml:space="preserve">English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en-US</w:t>
            </w:r>
          </w:p>
        </w:tc>
        <w:tc>
          <w:tcPr/>
          <w:p>
            <w:pPr>
              <w:pStyle w:val="Compact"/>
            </w:pPr>
            <w:r>
              <w:t xml:space="preserve">1033</w:t>
            </w:r>
          </w:p>
        </w:tc>
        <w:tc>
          <w:tcPr/>
          <w:p>
            <w:pPr>
              <w:pStyle w:val="Compact"/>
            </w:pPr>
            <w:r>
              <w:t xml:space="preserve">United States</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en-GB</w:t>
            </w:r>
          </w:p>
        </w:tc>
        <w:tc>
          <w:tcPr/>
          <w:p>
            <w:pPr>
              <w:pStyle w:val="Compact"/>
            </w:pPr>
            <w:r>
              <w:t xml:space="preserve">2057</w:t>
            </w:r>
          </w:p>
        </w:tc>
        <w:tc>
          <w:tcPr/>
          <w:p>
            <w:pPr>
              <w:pStyle w:val="Compact"/>
            </w:pPr>
            <w:r>
              <w:t xml:space="preserve">United Kingdom</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en-AU</w:t>
            </w:r>
          </w:p>
        </w:tc>
        <w:tc>
          <w:tcPr/>
          <w:p>
            <w:pPr>
              <w:pStyle w:val="Compact"/>
            </w:pPr>
            <w:r>
              <w:t xml:space="preserve">3081</w:t>
            </w:r>
          </w:p>
        </w:tc>
        <w:tc>
          <w:tcPr/>
          <w:p>
            <w:pPr>
              <w:pStyle w:val="Compact"/>
            </w:pPr>
            <w:r>
              <w:t xml:space="preserve">Australia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en-CA</w:t>
            </w:r>
          </w:p>
        </w:tc>
        <w:tc>
          <w:tcPr/>
          <w:p>
            <w:pPr>
              <w:pStyle w:val="Compact"/>
            </w:pPr>
            <w:r>
              <w:t xml:space="preserve">4105</w:t>
            </w:r>
          </w:p>
        </w:tc>
        <w:tc>
          <w:tcPr/>
          <w:p>
            <w:pPr>
              <w:pStyle w:val="Compact"/>
            </w:pPr>
            <w:r>
              <w:t xml:space="preserve">Canada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en-IN</w:t>
            </w:r>
          </w:p>
        </w:tc>
        <w:tc>
          <w:tcPr/>
          <w:p>
            <w:pPr>
              <w:pStyle w:val="Compact"/>
            </w:pPr>
            <w:r>
              <w:t xml:space="preserve">16393</w:t>
            </w:r>
          </w:p>
        </w:tc>
        <w:tc>
          <w:tcPr/>
          <w:p>
            <w:pPr>
              <w:pStyle w:val="Compact"/>
            </w:pPr>
            <w:r>
              <w:t xml:space="preserve">India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en-IE</w:t>
            </w:r>
          </w:p>
        </w:tc>
        <w:tc>
          <w:tcPr/>
          <w:p>
            <w:pPr>
              <w:pStyle w:val="Compact"/>
            </w:pPr>
            <w:r>
              <w:t xml:space="preserve">6153</w:t>
            </w:r>
          </w:p>
        </w:tc>
        <w:tc>
          <w:tcPr/>
          <w:p>
            <w:pPr>
              <w:pStyle w:val="Compact"/>
            </w:pPr>
            <w:r>
              <w:t xml:space="preserve">Ireland</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en-NZ</w:t>
            </w:r>
          </w:p>
        </w:tc>
        <w:tc>
          <w:tcPr/>
          <w:p>
            <w:pPr>
              <w:pStyle w:val="Compact"/>
            </w:pPr>
            <w:r>
              <w:t xml:space="preserve">5129</w:t>
            </w:r>
          </w:p>
        </w:tc>
        <w:tc>
          <w:tcPr/>
          <w:p>
            <w:pPr>
              <w:pStyle w:val="Compact"/>
            </w:pPr>
            <w:r>
              <w:t xml:space="preserve">New Zealand</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en-ZA</w:t>
            </w:r>
          </w:p>
        </w:tc>
        <w:tc>
          <w:tcPr/>
          <w:p>
            <w:pPr>
              <w:pStyle w:val="Compact"/>
            </w:pPr>
            <w:r>
              <w:t xml:space="preserve">7177</w:t>
            </w:r>
          </w:p>
        </w:tc>
        <w:tc>
          <w:tcPr/>
          <w:p>
            <w:pPr>
              <w:pStyle w:val="Compact"/>
            </w:pPr>
            <w:r>
              <w:t xml:space="preserve">South Africa</w:t>
            </w:r>
          </w:p>
        </w:tc>
        <w:tc>
          <w:tcPr/>
          <w:p>
            <w:pPr>
              <w:pStyle w:val="Compact"/>
            </w:pPr>
            <w:r>
              <w:t xml:space="preserve">.</w:t>
            </w:r>
          </w:p>
        </w:tc>
        <w:tc>
          <w:tcPr/>
          <w:p>
            <w:pPr>
              <w:pStyle w:val="Compact"/>
            </w:pPr>
            <w:r>
              <w:t xml:space="preserve">,</w:t>
            </w:r>
          </w:p>
        </w:tc>
        <w:tc>
          <w:tcPr/>
          <w:p>
            <w:pPr>
              <w:pStyle w:val="Compact"/>
            </w:pPr>
            <w:r>
              <w:t xml:space="preserve">R</w:t>
            </w:r>
          </w:p>
        </w:tc>
      </w:tr>
    </w:tbl>
    <w:bookmarkEnd w:id="206"/>
    <w:bookmarkStart w:id="207" w:name="portuguese-variants"/>
    <w:p>
      <w:pPr>
        <w:pStyle w:val="Heading3"/>
      </w:pPr>
      <w:r>
        <w:t xml:space="preserve">Portuguese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pt-BR</w:t>
            </w:r>
          </w:p>
        </w:tc>
        <w:tc>
          <w:tcPr/>
          <w:p>
            <w:pPr>
              <w:pStyle w:val="Compact"/>
            </w:pPr>
            <w:r>
              <w:t xml:space="preserve">1046</w:t>
            </w:r>
          </w:p>
        </w:tc>
        <w:tc>
          <w:tcPr/>
          <w:p>
            <w:pPr>
              <w:pStyle w:val="Compact"/>
            </w:pPr>
            <w:r>
              <w:t xml:space="preserve">Brazil</w:t>
            </w:r>
          </w:p>
        </w:tc>
        <w:tc>
          <w:tcPr/>
          <w:p>
            <w:pPr>
              <w:pStyle w:val="Compact"/>
            </w:pPr>
            <w:r>
              <w:t xml:space="preserve">,</w:t>
            </w:r>
          </w:p>
        </w:tc>
        <w:tc>
          <w:tcPr/>
          <w:p>
            <w:pPr>
              <w:pStyle w:val="Compact"/>
            </w:pPr>
            <w:r>
              <w:t xml:space="preserve">.</w:t>
            </w:r>
          </w:p>
        </w:tc>
        <w:tc>
          <w:tcPr/>
          <w:p>
            <w:pPr>
              <w:pStyle w:val="Compact"/>
            </w:pPr>
            <w:r>
              <w:t xml:space="preserve">R$</w:t>
            </w:r>
          </w:p>
        </w:tc>
      </w:tr>
      <w:tr>
        <w:tc>
          <w:tcPr/>
          <w:p>
            <w:pPr>
              <w:pStyle w:val="Compact"/>
            </w:pPr>
            <w:r>
              <w:t xml:space="preserve">pt-PT</w:t>
            </w:r>
          </w:p>
        </w:tc>
        <w:tc>
          <w:tcPr/>
          <w:p>
            <w:pPr>
              <w:pStyle w:val="Compact"/>
            </w:pPr>
            <w:r>
              <w:t xml:space="preserve">2070</w:t>
            </w:r>
          </w:p>
        </w:tc>
        <w:tc>
          <w:tcPr/>
          <w:p>
            <w:pPr>
              <w:pStyle w:val="Compact"/>
            </w:pPr>
            <w:r>
              <w:t xml:space="preserve">Portugal</w:t>
            </w:r>
          </w:p>
        </w:tc>
        <w:tc>
          <w:tcPr/>
          <w:p>
            <w:pPr>
              <w:pStyle w:val="Compact"/>
            </w:pPr>
            <w:r>
              <w:t xml:space="preserve">,</w:t>
            </w:r>
          </w:p>
        </w:tc>
        <w:tc>
          <w:tcPr/>
          <w:p>
            <w:pPr>
              <w:pStyle w:val="Compact"/>
            </w:pPr>
            <w:r>
              <w:t xml:space="preserve">.</w:t>
            </w:r>
          </w:p>
        </w:tc>
        <w:tc>
          <w:tcPr/>
          <w:p>
            <w:pPr>
              <w:pStyle w:val="Compact"/>
            </w:pPr>
            <w:r>
              <w:t xml:space="preserve">€</w:t>
            </w:r>
          </w:p>
        </w:tc>
      </w:tr>
    </w:tbl>
    <w:bookmarkEnd w:id="207"/>
    <w:bookmarkStart w:id="208" w:name="spanish-variants"/>
    <w:p>
      <w:pPr>
        <w:pStyle w:val="Heading3"/>
      </w:pPr>
      <w:r>
        <w:t xml:space="preserve">Spanish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es-ES</w:t>
            </w:r>
          </w:p>
        </w:tc>
        <w:tc>
          <w:tcPr/>
          <w:p>
            <w:pPr>
              <w:pStyle w:val="Compact"/>
            </w:pPr>
            <w:r>
              <w:t xml:space="preserve">1034</w:t>
            </w:r>
          </w:p>
        </w:tc>
        <w:tc>
          <w:tcPr/>
          <w:p>
            <w:pPr>
              <w:pStyle w:val="Compact"/>
            </w:pPr>
            <w:r>
              <w:t xml:space="preserve">Spain</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es-MX</w:t>
            </w:r>
          </w:p>
        </w:tc>
        <w:tc>
          <w:tcPr/>
          <w:p>
            <w:pPr>
              <w:pStyle w:val="Compact"/>
            </w:pPr>
            <w:r>
              <w:t xml:space="preserve">2058</w:t>
            </w:r>
          </w:p>
        </w:tc>
        <w:tc>
          <w:tcPr/>
          <w:p>
            <w:pPr>
              <w:pStyle w:val="Compact"/>
            </w:pPr>
            <w:r>
              <w:t xml:space="preserve">Mexico</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es-AR</w:t>
            </w:r>
          </w:p>
        </w:tc>
        <w:tc>
          <w:tcPr/>
          <w:p>
            <w:pPr>
              <w:pStyle w:val="Compact"/>
            </w:pPr>
            <w:r>
              <w:t xml:space="preserve">11274</w:t>
            </w:r>
          </w:p>
        </w:tc>
        <w:tc>
          <w:tcPr/>
          <w:p>
            <w:pPr>
              <w:pStyle w:val="Compact"/>
            </w:pPr>
            <w:r>
              <w:t xml:space="preserve">Argentina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es-CO</w:t>
            </w:r>
          </w:p>
        </w:tc>
        <w:tc>
          <w:tcPr/>
          <w:p>
            <w:pPr>
              <w:pStyle w:val="Compact"/>
            </w:pPr>
            <w:r>
              <w:t xml:space="preserve">9226</w:t>
            </w:r>
          </w:p>
        </w:tc>
        <w:tc>
          <w:tcPr/>
          <w:p>
            <w:pPr>
              <w:pStyle w:val="Compact"/>
            </w:pPr>
            <w:r>
              <w:t xml:space="preserve">Colombia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es-CL</w:t>
            </w:r>
          </w:p>
        </w:tc>
        <w:tc>
          <w:tcPr/>
          <w:p>
            <w:pPr>
              <w:pStyle w:val="Compact"/>
            </w:pPr>
            <w:r>
              <w:t xml:space="preserve">13322</w:t>
            </w:r>
          </w:p>
        </w:tc>
        <w:tc>
          <w:tcPr/>
          <w:p>
            <w:pPr>
              <w:pStyle w:val="Compact"/>
            </w:pPr>
            <w:r>
              <w:t xml:space="preserve">Chile</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es-PE</w:t>
            </w:r>
          </w:p>
        </w:tc>
        <w:tc>
          <w:tcPr/>
          <w:p>
            <w:pPr>
              <w:pStyle w:val="Compact"/>
            </w:pPr>
            <w:r>
              <w:t xml:space="preserve">10250</w:t>
            </w:r>
          </w:p>
        </w:tc>
        <w:tc>
          <w:tcPr/>
          <w:p>
            <w:pPr>
              <w:pStyle w:val="Compact"/>
            </w:pPr>
            <w:r>
              <w:t xml:space="preserve">Peru</w:t>
            </w:r>
          </w:p>
        </w:tc>
        <w:tc>
          <w:tcPr/>
          <w:p>
            <w:pPr>
              <w:pStyle w:val="Compact"/>
            </w:pPr>
            <w:r>
              <w:t xml:space="preserve">.</w:t>
            </w:r>
          </w:p>
        </w:tc>
        <w:tc>
          <w:tcPr/>
          <w:p>
            <w:pPr>
              <w:pStyle w:val="Compact"/>
            </w:pPr>
            <w:r>
              <w:t xml:space="preserve">,</w:t>
            </w:r>
          </w:p>
        </w:tc>
        <w:tc>
          <w:tcPr/>
          <w:p>
            <w:pPr>
              <w:pStyle w:val="Compact"/>
            </w:pPr>
            <w:r>
              <w:t xml:space="preserve">S/</w:t>
            </w:r>
          </w:p>
        </w:tc>
      </w:tr>
    </w:tbl>
    <w:bookmarkEnd w:id="208"/>
    <w:bookmarkStart w:id="209" w:name="french-variants"/>
    <w:p>
      <w:pPr>
        <w:pStyle w:val="Heading3"/>
      </w:pPr>
      <w:r>
        <w:t xml:space="preserve">French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fr-FR</w:t>
            </w:r>
          </w:p>
        </w:tc>
        <w:tc>
          <w:tcPr/>
          <w:p>
            <w:pPr>
              <w:pStyle w:val="Compact"/>
            </w:pPr>
            <w:r>
              <w:t xml:space="preserve">1036</w:t>
            </w:r>
          </w:p>
        </w:tc>
        <w:tc>
          <w:tcPr/>
          <w:p>
            <w:pPr>
              <w:pStyle w:val="Compact"/>
            </w:pPr>
            <w:r>
              <w:t xml:space="preserve">France</w:t>
            </w:r>
          </w:p>
        </w:tc>
        <w:tc>
          <w:tcPr/>
          <w:p>
            <w:pPr>
              <w:pStyle w:val="Compact"/>
            </w:pPr>
            <w:r>
              <w:t xml:space="preserve">,</w:t>
            </w:r>
          </w:p>
        </w:tc>
        <w:tc>
          <w:tcPr/>
          <w:p>
            <w:pPr>
              <w:pStyle w:val="Compact"/>
            </w:pPr>
            <w:r>
              <w:t xml:space="preserve">(space)</w:t>
            </w:r>
          </w:p>
        </w:tc>
        <w:tc>
          <w:tcPr/>
          <w:p>
            <w:pPr>
              <w:pStyle w:val="Compact"/>
            </w:pPr>
            <w:r>
              <w:t xml:space="preserve">€</w:t>
            </w:r>
          </w:p>
        </w:tc>
      </w:tr>
      <w:tr>
        <w:tc>
          <w:tcPr/>
          <w:p>
            <w:pPr>
              <w:pStyle w:val="Compact"/>
            </w:pPr>
            <w:r>
              <w:t xml:space="preserve">fr-CA</w:t>
            </w:r>
          </w:p>
        </w:tc>
        <w:tc>
          <w:tcPr/>
          <w:p>
            <w:pPr>
              <w:pStyle w:val="Compact"/>
            </w:pPr>
            <w:r>
              <w:t xml:space="preserve">3084</w:t>
            </w:r>
          </w:p>
        </w:tc>
        <w:tc>
          <w:tcPr/>
          <w:p>
            <w:pPr>
              <w:pStyle w:val="Compact"/>
            </w:pPr>
            <w:r>
              <w:t xml:space="preserve">Canada</w:t>
            </w:r>
          </w:p>
        </w:tc>
        <w:tc>
          <w:tcPr/>
          <w:p>
            <w:pPr>
              <w:pStyle w:val="Compact"/>
            </w:pPr>
            <w:r>
              <w:t xml:space="preserve">,</w:t>
            </w:r>
          </w:p>
        </w:tc>
        <w:tc>
          <w:tcPr/>
          <w:p>
            <w:pPr>
              <w:pStyle w:val="Compact"/>
            </w:pPr>
            <w:r>
              <w:t xml:space="preserve">(space)</w:t>
            </w:r>
          </w:p>
        </w:tc>
        <w:tc>
          <w:tcPr/>
          <w:p>
            <w:pPr>
              <w:pStyle w:val="Compact"/>
            </w:pPr>
            <w:r>
              <w:t xml:space="preserve">$</w:t>
            </w:r>
          </w:p>
        </w:tc>
      </w:tr>
      <w:tr>
        <w:tc>
          <w:tcPr/>
          <w:p>
            <w:pPr>
              <w:pStyle w:val="Compact"/>
            </w:pPr>
            <w:r>
              <w:t xml:space="preserve">fr-BE</w:t>
            </w:r>
          </w:p>
        </w:tc>
        <w:tc>
          <w:tcPr/>
          <w:p>
            <w:pPr>
              <w:pStyle w:val="Compact"/>
            </w:pPr>
            <w:r>
              <w:t xml:space="preserve">2060</w:t>
            </w:r>
          </w:p>
        </w:tc>
        <w:tc>
          <w:tcPr/>
          <w:p>
            <w:pPr>
              <w:pStyle w:val="Compact"/>
            </w:pPr>
            <w:r>
              <w:t xml:space="preserve">Belgium</w:t>
            </w:r>
          </w:p>
        </w:tc>
        <w:tc>
          <w:tcPr/>
          <w:p>
            <w:pPr>
              <w:pStyle w:val="Compact"/>
            </w:pPr>
            <w:r>
              <w:t xml:space="preserve">,</w:t>
            </w:r>
          </w:p>
        </w:tc>
        <w:tc>
          <w:tcPr/>
          <w:p>
            <w:pPr>
              <w:pStyle w:val="Compact"/>
            </w:pPr>
            <w:r>
              <w:t xml:space="preserve">(space)</w:t>
            </w:r>
          </w:p>
        </w:tc>
        <w:tc>
          <w:tcPr/>
          <w:p>
            <w:pPr>
              <w:pStyle w:val="Compact"/>
            </w:pPr>
            <w:r>
              <w:t xml:space="preserve">€</w:t>
            </w:r>
          </w:p>
        </w:tc>
      </w:tr>
      <w:tr>
        <w:tc>
          <w:tcPr/>
          <w:p>
            <w:pPr>
              <w:pStyle w:val="Compact"/>
            </w:pPr>
            <w:r>
              <w:t xml:space="preserve">fr-CH</w:t>
            </w:r>
          </w:p>
        </w:tc>
        <w:tc>
          <w:tcPr/>
          <w:p>
            <w:pPr>
              <w:pStyle w:val="Compact"/>
            </w:pPr>
            <w:r>
              <w:t xml:space="preserve">4108</w:t>
            </w:r>
          </w:p>
        </w:tc>
        <w:tc>
          <w:tcPr/>
          <w:p>
            <w:pPr>
              <w:pStyle w:val="Compact"/>
            </w:pPr>
            <w:r>
              <w:t xml:space="preserve">Switzerland</w:t>
            </w:r>
          </w:p>
        </w:tc>
        <w:tc>
          <w:tcPr/>
          <w:p>
            <w:pPr>
              <w:pStyle w:val="Compact"/>
            </w:pPr>
            <w:r>
              <w:t xml:space="preserve">.</w:t>
            </w:r>
          </w:p>
        </w:tc>
        <w:tc>
          <w:tcPr/>
          <w:p>
            <w:pPr>
              <w:pStyle w:val="Compact"/>
            </w:pPr>
            <w:r>
              <w:t xml:space="preserve">’</w:t>
            </w:r>
          </w:p>
        </w:tc>
        <w:tc>
          <w:tcPr/>
          <w:p>
            <w:pPr>
              <w:pStyle w:val="Compact"/>
            </w:pPr>
            <w:r>
              <w:t xml:space="preserve">CHF</w:t>
            </w:r>
          </w:p>
        </w:tc>
      </w:tr>
    </w:tbl>
    <w:bookmarkEnd w:id="209"/>
    <w:bookmarkStart w:id="210" w:name="german-variants"/>
    <w:p>
      <w:pPr>
        <w:pStyle w:val="Heading3"/>
      </w:pPr>
      <w:r>
        <w:t xml:space="preserve">German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de-DE</w:t>
            </w:r>
          </w:p>
        </w:tc>
        <w:tc>
          <w:tcPr/>
          <w:p>
            <w:pPr>
              <w:pStyle w:val="Compact"/>
            </w:pPr>
            <w:r>
              <w:t xml:space="preserve">1031</w:t>
            </w:r>
          </w:p>
        </w:tc>
        <w:tc>
          <w:tcPr/>
          <w:p>
            <w:pPr>
              <w:pStyle w:val="Compact"/>
            </w:pPr>
            <w:r>
              <w:t xml:space="preserve">Germany</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de-AT</w:t>
            </w:r>
          </w:p>
        </w:tc>
        <w:tc>
          <w:tcPr/>
          <w:p>
            <w:pPr>
              <w:pStyle w:val="Compact"/>
            </w:pPr>
            <w:r>
              <w:t xml:space="preserve">3079</w:t>
            </w:r>
          </w:p>
        </w:tc>
        <w:tc>
          <w:tcPr/>
          <w:p>
            <w:pPr>
              <w:pStyle w:val="Compact"/>
            </w:pPr>
            <w:r>
              <w:t xml:space="preserve">Austria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de-CH</w:t>
            </w:r>
          </w:p>
        </w:tc>
        <w:tc>
          <w:tcPr/>
          <w:p>
            <w:pPr>
              <w:pStyle w:val="Compact"/>
            </w:pPr>
            <w:r>
              <w:t xml:space="preserve">2055</w:t>
            </w:r>
          </w:p>
        </w:tc>
        <w:tc>
          <w:tcPr/>
          <w:p>
            <w:pPr>
              <w:pStyle w:val="Compact"/>
            </w:pPr>
            <w:r>
              <w:t xml:space="preserve">Switzerland</w:t>
            </w:r>
          </w:p>
        </w:tc>
        <w:tc>
          <w:tcPr/>
          <w:p>
            <w:pPr>
              <w:pStyle w:val="Compact"/>
            </w:pPr>
            <w:r>
              <w:t xml:space="preserve">.</w:t>
            </w:r>
          </w:p>
        </w:tc>
        <w:tc>
          <w:tcPr/>
          <w:p>
            <w:pPr>
              <w:pStyle w:val="Compact"/>
            </w:pPr>
            <w:r>
              <w:t xml:space="preserve">’</w:t>
            </w:r>
          </w:p>
        </w:tc>
        <w:tc>
          <w:tcPr/>
          <w:p>
            <w:pPr>
              <w:pStyle w:val="Compact"/>
            </w:pPr>
            <w:r>
              <w:t xml:space="preserve">CHF</w:t>
            </w:r>
          </w:p>
        </w:tc>
      </w:tr>
    </w:tbl>
    <w:bookmarkEnd w:id="210"/>
    <w:bookmarkStart w:id="211" w:name="italian-variants"/>
    <w:p>
      <w:pPr>
        <w:pStyle w:val="Heading3"/>
      </w:pPr>
      <w:r>
        <w:t xml:space="preserve">Italian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it-IT</w:t>
            </w:r>
          </w:p>
        </w:tc>
        <w:tc>
          <w:tcPr/>
          <w:p>
            <w:pPr>
              <w:pStyle w:val="Compact"/>
            </w:pPr>
            <w:r>
              <w:t xml:space="preserve">1040</w:t>
            </w:r>
          </w:p>
        </w:tc>
        <w:tc>
          <w:tcPr/>
          <w:p>
            <w:pPr>
              <w:pStyle w:val="Compact"/>
            </w:pPr>
            <w:r>
              <w:t xml:space="preserve">Italy</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it-CH</w:t>
            </w:r>
          </w:p>
        </w:tc>
        <w:tc>
          <w:tcPr/>
          <w:p>
            <w:pPr>
              <w:pStyle w:val="Compact"/>
            </w:pPr>
            <w:r>
              <w:t xml:space="preserve">4108</w:t>
            </w:r>
          </w:p>
        </w:tc>
        <w:tc>
          <w:tcPr/>
          <w:p>
            <w:pPr>
              <w:pStyle w:val="Compact"/>
            </w:pPr>
            <w:r>
              <w:t xml:space="preserve">Switzerland</w:t>
            </w:r>
          </w:p>
        </w:tc>
        <w:tc>
          <w:tcPr/>
          <w:p>
            <w:pPr>
              <w:pStyle w:val="Compact"/>
            </w:pPr>
            <w:r>
              <w:t xml:space="preserve">.</w:t>
            </w:r>
          </w:p>
        </w:tc>
        <w:tc>
          <w:tcPr/>
          <w:p>
            <w:pPr>
              <w:pStyle w:val="Compact"/>
            </w:pPr>
            <w:r>
              <w:t xml:space="preserve">’</w:t>
            </w:r>
          </w:p>
        </w:tc>
        <w:tc>
          <w:tcPr/>
          <w:p>
            <w:pPr>
              <w:pStyle w:val="Compact"/>
            </w:pPr>
            <w:r>
              <w:t xml:space="preserve">CHF</w:t>
            </w:r>
          </w:p>
        </w:tc>
      </w:tr>
    </w:tbl>
    <w:bookmarkEnd w:id="211"/>
    <w:bookmarkStart w:id="212" w:name="dutch-variants"/>
    <w:p>
      <w:pPr>
        <w:pStyle w:val="Heading3"/>
      </w:pPr>
      <w:r>
        <w:t xml:space="preserve">Dutch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nl-NL</w:t>
            </w:r>
          </w:p>
        </w:tc>
        <w:tc>
          <w:tcPr/>
          <w:p>
            <w:pPr>
              <w:pStyle w:val="Compact"/>
            </w:pPr>
            <w:r>
              <w:t xml:space="preserve">1043</w:t>
            </w:r>
          </w:p>
        </w:tc>
        <w:tc>
          <w:tcPr/>
          <w:p>
            <w:pPr>
              <w:pStyle w:val="Compact"/>
            </w:pPr>
            <w:r>
              <w:t xml:space="preserve">Netherlands</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nl-BE</w:t>
            </w:r>
          </w:p>
        </w:tc>
        <w:tc>
          <w:tcPr/>
          <w:p>
            <w:pPr>
              <w:pStyle w:val="Compact"/>
            </w:pPr>
            <w:r>
              <w:t xml:space="preserve">2060</w:t>
            </w:r>
          </w:p>
        </w:tc>
        <w:tc>
          <w:tcPr/>
          <w:p>
            <w:pPr>
              <w:pStyle w:val="Compact"/>
            </w:pPr>
            <w:r>
              <w:t xml:space="preserve">Belgium</w:t>
            </w:r>
          </w:p>
        </w:tc>
        <w:tc>
          <w:tcPr/>
          <w:p>
            <w:pPr>
              <w:pStyle w:val="Compact"/>
            </w:pPr>
            <w:r>
              <w:t xml:space="preserve">,</w:t>
            </w:r>
          </w:p>
        </w:tc>
        <w:tc>
          <w:tcPr/>
          <w:p>
            <w:pPr>
              <w:pStyle w:val="Compact"/>
            </w:pPr>
            <w:r>
              <w:t xml:space="preserve">.</w:t>
            </w:r>
          </w:p>
        </w:tc>
        <w:tc>
          <w:tcPr/>
          <w:p>
            <w:pPr>
              <w:pStyle w:val="Compact"/>
            </w:pPr>
            <w:r>
              <w:t xml:space="preserve">€</w:t>
            </w:r>
          </w:p>
        </w:tc>
      </w:tr>
    </w:tbl>
    <w:bookmarkEnd w:id="212"/>
    <w:bookmarkStart w:id="213" w:name="scandinavian-variants"/>
    <w:p>
      <w:pPr>
        <w:pStyle w:val="Heading3"/>
      </w:pPr>
      <w:r>
        <w:t xml:space="preserve">Scandinavian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da-DK</w:t>
            </w:r>
          </w:p>
        </w:tc>
        <w:tc>
          <w:tcPr/>
          <w:p>
            <w:pPr>
              <w:pStyle w:val="Compact"/>
            </w:pPr>
            <w:r>
              <w:t xml:space="preserve">1030</w:t>
            </w:r>
          </w:p>
        </w:tc>
        <w:tc>
          <w:tcPr/>
          <w:p>
            <w:pPr>
              <w:pStyle w:val="Compact"/>
            </w:pPr>
            <w:r>
              <w:t xml:space="preserve">Denmark</w:t>
            </w:r>
          </w:p>
        </w:tc>
        <w:tc>
          <w:tcPr/>
          <w:p>
            <w:pPr>
              <w:pStyle w:val="Compact"/>
            </w:pPr>
            <w:r>
              <w:t xml:space="preserve">,</w:t>
            </w:r>
          </w:p>
        </w:tc>
        <w:tc>
          <w:tcPr/>
          <w:p>
            <w:pPr>
              <w:pStyle w:val="Compact"/>
            </w:pPr>
            <w:r>
              <w:t xml:space="preserve">.</w:t>
            </w:r>
          </w:p>
        </w:tc>
        <w:tc>
          <w:tcPr/>
          <w:p>
            <w:pPr>
              <w:pStyle w:val="Compact"/>
            </w:pPr>
            <w:r>
              <w:t xml:space="preserve">kr</w:t>
            </w:r>
          </w:p>
        </w:tc>
      </w:tr>
      <w:tr>
        <w:tc>
          <w:tcPr/>
          <w:p>
            <w:pPr>
              <w:pStyle w:val="Compact"/>
            </w:pPr>
            <w:r>
              <w:t xml:space="preserve">fi-FI</w:t>
            </w:r>
          </w:p>
        </w:tc>
        <w:tc>
          <w:tcPr/>
          <w:p>
            <w:pPr>
              <w:pStyle w:val="Compact"/>
            </w:pPr>
            <w:r>
              <w:t xml:space="preserve">1035</w:t>
            </w:r>
          </w:p>
        </w:tc>
        <w:tc>
          <w:tcPr/>
          <w:p>
            <w:pPr>
              <w:pStyle w:val="Compact"/>
            </w:pPr>
            <w:r>
              <w:t xml:space="preserve">Finland</w:t>
            </w:r>
          </w:p>
        </w:tc>
        <w:tc>
          <w:tcPr/>
          <w:p>
            <w:pPr>
              <w:pStyle w:val="Compact"/>
            </w:pPr>
            <w:r>
              <w:t xml:space="preserve">,</w:t>
            </w:r>
          </w:p>
        </w:tc>
        <w:tc>
          <w:tcPr/>
          <w:p>
            <w:pPr>
              <w:pStyle w:val="Compact"/>
            </w:pPr>
            <w:r>
              <w:t xml:space="preserve">(space)</w:t>
            </w:r>
          </w:p>
        </w:tc>
        <w:tc>
          <w:tcPr/>
          <w:p>
            <w:pPr>
              <w:pStyle w:val="Compact"/>
            </w:pPr>
            <w:r>
              <w:t xml:space="preserve">€</w:t>
            </w:r>
          </w:p>
        </w:tc>
      </w:tr>
      <w:tr>
        <w:tc>
          <w:tcPr/>
          <w:p>
            <w:pPr>
              <w:pStyle w:val="Compact"/>
            </w:pPr>
            <w:r>
              <w:t xml:space="preserve">nb-NO</w:t>
            </w:r>
          </w:p>
        </w:tc>
        <w:tc>
          <w:tcPr/>
          <w:p>
            <w:pPr>
              <w:pStyle w:val="Compact"/>
            </w:pPr>
            <w:r>
              <w:t xml:space="preserve">1044</w:t>
            </w:r>
          </w:p>
        </w:tc>
        <w:tc>
          <w:tcPr/>
          <w:p>
            <w:pPr>
              <w:pStyle w:val="Compact"/>
            </w:pPr>
            <w:r>
              <w:t xml:space="preserve">Norway</w:t>
            </w:r>
          </w:p>
        </w:tc>
        <w:tc>
          <w:tcPr/>
          <w:p>
            <w:pPr>
              <w:pStyle w:val="Compact"/>
            </w:pPr>
            <w:r>
              <w:t xml:space="preserve">,</w:t>
            </w:r>
          </w:p>
        </w:tc>
        <w:tc>
          <w:tcPr/>
          <w:p>
            <w:pPr>
              <w:pStyle w:val="Compact"/>
            </w:pPr>
            <w:r>
              <w:t xml:space="preserve">(space)</w:t>
            </w:r>
          </w:p>
        </w:tc>
        <w:tc>
          <w:tcPr/>
          <w:p>
            <w:pPr>
              <w:pStyle w:val="Compact"/>
            </w:pPr>
            <w:r>
              <w:t xml:space="preserve">kr</w:t>
            </w:r>
          </w:p>
        </w:tc>
      </w:tr>
    </w:tbl>
    <w:bookmarkEnd w:id="213"/>
    <w:bookmarkStart w:id="214" w:name="slavic-variants"/>
    <w:p>
      <w:pPr>
        <w:pStyle w:val="Heading3"/>
      </w:pPr>
      <w:r>
        <w:t xml:space="preserve">Slavic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pl-PL</w:t>
            </w:r>
          </w:p>
        </w:tc>
        <w:tc>
          <w:tcPr/>
          <w:p>
            <w:pPr>
              <w:pStyle w:val="Compact"/>
            </w:pPr>
            <w:r>
              <w:t xml:space="preserve">1045</w:t>
            </w:r>
          </w:p>
        </w:tc>
        <w:tc>
          <w:tcPr/>
          <w:p>
            <w:pPr>
              <w:pStyle w:val="Compact"/>
            </w:pPr>
            <w:r>
              <w:t xml:space="preserve">Poland</w:t>
            </w:r>
          </w:p>
        </w:tc>
        <w:tc>
          <w:tcPr/>
          <w:p>
            <w:pPr>
              <w:pStyle w:val="Compact"/>
            </w:pPr>
            <w:r>
              <w:t xml:space="preserve">,</w:t>
            </w:r>
          </w:p>
        </w:tc>
        <w:tc>
          <w:tcPr/>
          <w:p>
            <w:pPr>
              <w:pStyle w:val="Compact"/>
            </w:pPr>
            <w:r>
              <w:t xml:space="preserve">(space)</w:t>
            </w:r>
          </w:p>
        </w:tc>
        <w:tc>
          <w:tcPr/>
          <w:p>
            <w:pPr>
              <w:pStyle w:val="Compact"/>
            </w:pPr>
            <w:r>
              <w:t xml:space="preserve">zł</w:t>
            </w:r>
          </w:p>
        </w:tc>
      </w:tr>
      <w:tr>
        <w:tc>
          <w:tcPr/>
          <w:p>
            <w:pPr>
              <w:pStyle w:val="Compact"/>
            </w:pPr>
            <w:r>
              <w:t xml:space="preserve">cs-CZ</w:t>
            </w:r>
          </w:p>
        </w:tc>
        <w:tc>
          <w:tcPr/>
          <w:p>
            <w:pPr>
              <w:pStyle w:val="Compact"/>
            </w:pPr>
            <w:r>
              <w:t xml:space="preserve">1029</w:t>
            </w:r>
          </w:p>
        </w:tc>
        <w:tc>
          <w:tcPr/>
          <w:p>
            <w:pPr>
              <w:pStyle w:val="Compact"/>
            </w:pPr>
            <w:r>
              <w:t xml:space="preserve">Czech Republic</w:t>
            </w:r>
          </w:p>
        </w:tc>
        <w:tc>
          <w:tcPr/>
          <w:p>
            <w:pPr>
              <w:pStyle w:val="Compact"/>
            </w:pPr>
            <w:r>
              <w:t xml:space="preserve">,</w:t>
            </w:r>
          </w:p>
        </w:tc>
        <w:tc>
          <w:tcPr/>
          <w:p>
            <w:pPr>
              <w:pStyle w:val="Compact"/>
            </w:pPr>
            <w:r>
              <w:t xml:space="preserve">(space)</w:t>
            </w:r>
          </w:p>
        </w:tc>
        <w:tc>
          <w:tcPr/>
          <w:p>
            <w:pPr>
              <w:pStyle w:val="Compact"/>
            </w:pPr>
            <w:r>
              <w:t xml:space="preserve">Kč</w:t>
            </w:r>
          </w:p>
        </w:tc>
      </w:tr>
      <w:tr>
        <w:tc>
          <w:tcPr/>
          <w:p>
            <w:pPr>
              <w:pStyle w:val="Compact"/>
            </w:pPr>
            <w:r>
              <w:t xml:space="preserve">bg-BG</w:t>
            </w:r>
          </w:p>
        </w:tc>
        <w:tc>
          <w:tcPr/>
          <w:p>
            <w:pPr>
              <w:pStyle w:val="Compact"/>
            </w:pPr>
            <w:r>
              <w:t xml:space="preserve">1026</w:t>
            </w:r>
          </w:p>
        </w:tc>
        <w:tc>
          <w:tcPr/>
          <w:p>
            <w:pPr>
              <w:pStyle w:val="Compact"/>
            </w:pPr>
            <w:r>
              <w:t xml:space="preserve">Bulgaria</w:t>
            </w:r>
          </w:p>
        </w:tc>
        <w:tc>
          <w:tcPr/>
          <w:p>
            <w:pPr>
              <w:pStyle w:val="Compact"/>
            </w:pPr>
            <w:r>
              <w:t xml:space="preserve">,</w:t>
            </w:r>
          </w:p>
        </w:tc>
        <w:tc>
          <w:tcPr/>
          <w:p>
            <w:pPr>
              <w:pStyle w:val="Compact"/>
            </w:pPr>
            <w:r>
              <w:t xml:space="preserve">(space)</w:t>
            </w:r>
          </w:p>
        </w:tc>
        <w:tc>
          <w:tcPr/>
          <w:p>
            <w:pPr>
              <w:pStyle w:val="Compact"/>
            </w:pPr>
            <w:r>
              <w:t xml:space="preserve">лв</w:t>
            </w:r>
          </w:p>
        </w:tc>
      </w:tr>
      <w:tr>
        <w:tc>
          <w:tcPr/>
          <w:p>
            <w:pPr>
              <w:pStyle w:val="Compact"/>
            </w:pPr>
            <w:r>
              <w:t xml:space="preserve">ru-RU</w:t>
            </w:r>
          </w:p>
        </w:tc>
        <w:tc>
          <w:tcPr/>
          <w:p>
            <w:pPr>
              <w:pStyle w:val="Compact"/>
            </w:pPr>
            <w:r>
              <w:t xml:space="preserve">1049</w:t>
            </w:r>
          </w:p>
        </w:tc>
        <w:tc>
          <w:tcPr/>
          <w:p>
            <w:pPr>
              <w:pStyle w:val="Compact"/>
            </w:pPr>
            <w:r>
              <w:t xml:space="preserve">Russia</w:t>
            </w:r>
          </w:p>
        </w:tc>
        <w:tc>
          <w:tcPr/>
          <w:p>
            <w:pPr>
              <w:pStyle w:val="Compact"/>
            </w:pPr>
            <w:r>
              <w:t xml:space="preserve">,</w:t>
            </w:r>
          </w:p>
        </w:tc>
        <w:tc>
          <w:tcPr/>
          <w:p>
            <w:pPr>
              <w:pStyle w:val="Compact"/>
            </w:pPr>
            <w:r>
              <w:t xml:space="preserve">(space)</w:t>
            </w:r>
          </w:p>
        </w:tc>
        <w:tc>
          <w:tcPr/>
          <w:p>
            <w:pPr>
              <w:pStyle w:val="Compact"/>
            </w:pPr>
            <w:r>
              <w:t xml:space="preserve">₽</w:t>
            </w:r>
          </w:p>
        </w:tc>
      </w:tr>
      <w:tr>
        <w:tc>
          <w:tcPr/>
          <w:p>
            <w:pPr>
              <w:pStyle w:val="Compact"/>
            </w:pPr>
            <w:r>
              <w:t xml:space="preserve">uk-UA</w:t>
            </w:r>
          </w:p>
        </w:tc>
        <w:tc>
          <w:tcPr/>
          <w:p>
            <w:pPr>
              <w:pStyle w:val="Compact"/>
            </w:pPr>
            <w:r>
              <w:t xml:space="preserve">1058</w:t>
            </w:r>
          </w:p>
        </w:tc>
        <w:tc>
          <w:tcPr/>
          <w:p>
            <w:pPr>
              <w:pStyle w:val="Compact"/>
            </w:pPr>
            <w:r>
              <w:t xml:space="preserve">Ukraine</w:t>
            </w:r>
          </w:p>
        </w:tc>
        <w:tc>
          <w:tcPr/>
          <w:p>
            <w:pPr>
              <w:pStyle w:val="Compact"/>
            </w:pPr>
            <w:r>
              <w:t xml:space="preserve">,</w:t>
            </w:r>
          </w:p>
        </w:tc>
        <w:tc>
          <w:tcPr/>
          <w:p>
            <w:pPr>
              <w:pStyle w:val="Compact"/>
            </w:pPr>
            <w:r>
              <w:t xml:space="preserve">(space)</w:t>
            </w:r>
          </w:p>
        </w:tc>
        <w:tc>
          <w:tcPr/>
          <w:p>
            <w:pPr>
              <w:pStyle w:val="Compact"/>
            </w:pPr>
            <w:r>
              <w:t xml:space="preserve">₴</w:t>
            </w:r>
          </w:p>
        </w:tc>
      </w:tr>
      <w:tr>
        <w:tc>
          <w:tcPr/>
          <w:p>
            <w:pPr>
              <w:pStyle w:val="Compact"/>
            </w:pPr>
            <w:r>
              <w:t xml:space="preserve">sk-SK</w:t>
            </w:r>
          </w:p>
        </w:tc>
        <w:tc>
          <w:tcPr/>
          <w:p>
            <w:pPr>
              <w:pStyle w:val="Compact"/>
            </w:pPr>
            <w:r>
              <w:t xml:space="preserve">1051</w:t>
            </w:r>
          </w:p>
        </w:tc>
        <w:tc>
          <w:tcPr/>
          <w:p>
            <w:pPr>
              <w:pStyle w:val="Compact"/>
            </w:pPr>
            <w:r>
              <w:t xml:space="preserve">Slovakia</w:t>
            </w:r>
          </w:p>
        </w:tc>
        <w:tc>
          <w:tcPr/>
          <w:p>
            <w:pPr>
              <w:pStyle w:val="Compact"/>
            </w:pPr>
            <w:r>
              <w:t xml:space="preserve">,</w:t>
            </w:r>
          </w:p>
        </w:tc>
        <w:tc>
          <w:tcPr/>
          <w:p>
            <w:pPr>
              <w:pStyle w:val="Compact"/>
            </w:pPr>
            <w:r>
              <w:t xml:space="preserve">(space)</w:t>
            </w:r>
          </w:p>
        </w:tc>
        <w:tc>
          <w:tcPr/>
          <w:p>
            <w:pPr>
              <w:pStyle w:val="Compact"/>
            </w:pPr>
            <w:r>
              <w:t xml:space="preserve">€</w:t>
            </w:r>
          </w:p>
        </w:tc>
      </w:tr>
      <w:tr>
        <w:tc>
          <w:tcPr/>
          <w:p>
            <w:pPr>
              <w:pStyle w:val="Compact"/>
            </w:pPr>
            <w:r>
              <w:t xml:space="preserve">hr-HR</w:t>
            </w:r>
          </w:p>
        </w:tc>
        <w:tc>
          <w:tcPr/>
          <w:p>
            <w:pPr>
              <w:pStyle w:val="Compact"/>
            </w:pPr>
            <w:r>
              <w:t xml:space="preserve">1050</w:t>
            </w:r>
          </w:p>
        </w:tc>
        <w:tc>
          <w:tcPr/>
          <w:p>
            <w:pPr>
              <w:pStyle w:val="Compact"/>
            </w:pPr>
            <w:r>
              <w:t xml:space="preserve">Croatia</w:t>
            </w:r>
          </w:p>
        </w:tc>
        <w:tc>
          <w:tcPr/>
          <w:p>
            <w:pPr>
              <w:pStyle w:val="Compact"/>
            </w:pPr>
            <w:r>
              <w:t xml:space="preserve">,</w:t>
            </w:r>
          </w:p>
        </w:tc>
        <w:tc>
          <w:tcPr/>
          <w:p>
            <w:pPr>
              <w:pStyle w:val="Compact"/>
            </w:pPr>
            <w:r>
              <w:t xml:space="preserve">.</w:t>
            </w:r>
          </w:p>
        </w:tc>
        <w:tc>
          <w:tcPr/>
          <w:p>
            <w:pPr>
              <w:pStyle w:val="Compact"/>
            </w:pPr>
            <w:r>
              <w:t xml:space="preserve">€</w:t>
            </w:r>
          </w:p>
        </w:tc>
      </w:tr>
    </w:tbl>
    <w:bookmarkEnd w:id="214"/>
    <w:bookmarkStart w:id="215" w:name="asian-variants"/>
    <w:p>
      <w:pPr>
        <w:pStyle w:val="Heading3"/>
      </w:pPr>
      <w:r>
        <w:t xml:space="preserve">Asian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zh-CN</w:t>
            </w:r>
          </w:p>
        </w:tc>
        <w:tc>
          <w:tcPr/>
          <w:p>
            <w:pPr>
              <w:pStyle w:val="Compact"/>
            </w:pPr>
            <w:r>
              <w:t xml:space="preserve">2052</w:t>
            </w:r>
          </w:p>
        </w:tc>
        <w:tc>
          <w:tcPr/>
          <w:p>
            <w:pPr>
              <w:pStyle w:val="Compact"/>
            </w:pPr>
            <w:r>
              <w:t xml:space="preserve">China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zh-TW</w:t>
            </w:r>
          </w:p>
        </w:tc>
        <w:tc>
          <w:tcPr/>
          <w:p>
            <w:pPr>
              <w:pStyle w:val="Compact"/>
            </w:pPr>
            <w:r>
              <w:t xml:space="preserve">1028</w:t>
            </w:r>
          </w:p>
        </w:tc>
        <w:tc>
          <w:tcPr/>
          <w:p>
            <w:pPr>
              <w:pStyle w:val="Compact"/>
            </w:pPr>
            <w:r>
              <w:t xml:space="preserve">Taiwan</w:t>
            </w:r>
          </w:p>
        </w:tc>
        <w:tc>
          <w:tcPr/>
          <w:p>
            <w:pPr>
              <w:pStyle w:val="Compact"/>
            </w:pPr>
            <w:r>
              <w:t xml:space="preserve">.</w:t>
            </w:r>
          </w:p>
        </w:tc>
        <w:tc>
          <w:tcPr/>
          <w:p>
            <w:pPr>
              <w:pStyle w:val="Compact"/>
            </w:pPr>
            <w:r>
              <w:t xml:space="preserve">,</w:t>
            </w:r>
          </w:p>
        </w:tc>
        <w:tc>
          <w:tcPr/>
          <w:p>
            <w:pPr>
              <w:pStyle w:val="Compact"/>
            </w:pPr>
            <w:r>
              <w:t xml:space="preserve">NT$</w:t>
            </w:r>
          </w:p>
        </w:tc>
      </w:tr>
      <w:tr>
        <w:tc>
          <w:tcPr/>
          <w:p>
            <w:pPr>
              <w:pStyle w:val="Compact"/>
            </w:pPr>
            <w:r>
              <w:t xml:space="preserve">zh-HK</w:t>
            </w:r>
          </w:p>
        </w:tc>
        <w:tc>
          <w:tcPr/>
          <w:p>
            <w:pPr>
              <w:pStyle w:val="Compact"/>
            </w:pPr>
            <w:r>
              <w:t xml:space="preserve">3076</w:t>
            </w:r>
          </w:p>
        </w:tc>
        <w:tc>
          <w:tcPr/>
          <w:p>
            <w:pPr>
              <w:pStyle w:val="Compact"/>
            </w:pPr>
            <w:r>
              <w:t xml:space="preserve">Hong Kong</w:t>
            </w:r>
          </w:p>
        </w:tc>
        <w:tc>
          <w:tcPr/>
          <w:p>
            <w:pPr>
              <w:pStyle w:val="Compact"/>
            </w:pPr>
            <w:r>
              <w:t xml:space="preserve">.</w:t>
            </w:r>
          </w:p>
        </w:tc>
        <w:tc>
          <w:tcPr/>
          <w:p>
            <w:pPr>
              <w:pStyle w:val="Compact"/>
            </w:pPr>
            <w:r>
              <w:t xml:space="preserve">,</w:t>
            </w:r>
          </w:p>
        </w:tc>
        <w:tc>
          <w:tcPr/>
          <w:p>
            <w:pPr>
              <w:pStyle w:val="Compact"/>
            </w:pPr>
            <w:r>
              <w:t xml:space="preserve">HK$</w:t>
            </w:r>
          </w:p>
        </w:tc>
      </w:tr>
      <w:tr>
        <w:tc>
          <w:tcPr/>
          <w:p>
            <w:pPr>
              <w:pStyle w:val="Compact"/>
            </w:pPr>
            <w:r>
              <w:t xml:space="preserve">ja-JP</w:t>
            </w:r>
          </w:p>
        </w:tc>
        <w:tc>
          <w:tcPr/>
          <w:p>
            <w:pPr>
              <w:pStyle w:val="Compact"/>
            </w:pPr>
            <w:r>
              <w:t xml:space="preserve">1041</w:t>
            </w:r>
          </w:p>
        </w:tc>
        <w:tc>
          <w:tcPr/>
          <w:p>
            <w:pPr>
              <w:pStyle w:val="Compact"/>
            </w:pPr>
            <w:r>
              <w:t xml:space="preserve">Japan</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ko-KR</w:t>
            </w:r>
          </w:p>
        </w:tc>
        <w:tc>
          <w:tcPr/>
          <w:p>
            <w:pPr>
              <w:pStyle w:val="Compact"/>
            </w:pPr>
            <w:r>
              <w:t xml:space="preserve">1042</w:t>
            </w:r>
          </w:p>
        </w:tc>
        <w:tc>
          <w:tcPr/>
          <w:p>
            <w:pPr>
              <w:pStyle w:val="Compact"/>
            </w:pPr>
            <w:r>
              <w:t xml:space="preserve">Korea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th-TH</w:t>
            </w:r>
          </w:p>
        </w:tc>
        <w:tc>
          <w:tcPr/>
          <w:p>
            <w:pPr>
              <w:pStyle w:val="Compact"/>
            </w:pPr>
            <w:r>
              <w:t xml:space="preserve">1054</w:t>
            </w:r>
          </w:p>
        </w:tc>
        <w:tc>
          <w:tcPr/>
          <w:p>
            <w:pPr>
              <w:pStyle w:val="Compact"/>
            </w:pPr>
            <w:r>
              <w:t xml:space="preserve">Thailand</w:t>
            </w:r>
          </w:p>
        </w:tc>
        <w:tc>
          <w:tcPr/>
          <w:p>
            <w:pPr>
              <w:pStyle w:val="Compact"/>
            </w:pPr>
            <w:r>
              <w:t xml:space="preserve">.</w:t>
            </w:r>
          </w:p>
        </w:tc>
        <w:tc>
          <w:tcPr/>
          <w:p>
            <w:pPr>
              <w:pStyle w:val="Compact"/>
            </w:pPr>
            <w:r>
              <w:t xml:space="preserve">,</w:t>
            </w:r>
          </w:p>
        </w:tc>
        <w:tc>
          <w:tcPr/>
          <w:p>
            <w:pPr>
              <w:pStyle w:val="Compact"/>
            </w:pPr>
            <w:r>
              <w:t xml:space="preserve">฿</w:t>
            </w:r>
          </w:p>
        </w:tc>
      </w:tr>
    </w:tbl>
    <w:bookmarkEnd w:id="215"/>
    <w:bookmarkStart w:id="216" w:name="other-variants"/>
    <w:p>
      <w:pPr>
        <w:pStyle w:val="Heading3"/>
      </w:pPr>
      <w:r>
        <w:t xml:space="preserve">Other Variants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Locale</w:t>
            </w:r>
          </w:p>
        </w:tc>
        <w:tc>
          <w:tcPr/>
          <w:p>
            <w:pPr>
              <w:pStyle w:val="Compact"/>
            </w:pPr>
            <w:r>
              <w:t xml:space="preserve">LCID</w:t>
            </w:r>
          </w:p>
        </w:tc>
        <w:tc>
          <w:tcPr/>
          <w:p>
            <w:pPr>
              <w:pStyle w:val="Compact"/>
            </w:pPr>
            <w:r>
              <w:t xml:space="preserve">Region</w:t>
            </w:r>
          </w:p>
        </w:tc>
        <w:tc>
          <w:tcPr/>
          <w:p>
            <w:pPr>
              <w:pStyle w:val="Compact"/>
            </w:pPr>
            <w:r>
              <w:t xml:space="preserve">Decimal</w:t>
            </w:r>
          </w:p>
        </w:tc>
        <w:tc>
          <w:tcPr/>
          <w:p>
            <w:pPr>
              <w:pStyle w:val="Compact"/>
            </w:pPr>
            <w:r>
              <w:t xml:space="preserve">Thousands</w:t>
            </w:r>
          </w:p>
        </w:tc>
        <w:tc>
          <w:tcPr/>
          <w:p>
            <w:pPr>
              <w:pStyle w:val="Compact"/>
            </w:pPr>
            <w:r>
              <w:t xml:space="preserve">Currency</w:t>
            </w:r>
          </w:p>
        </w:tc>
      </w:tr>
      <w:tr>
        <w:tc>
          <w:tcPr/>
          <w:p>
            <w:pPr>
              <w:pStyle w:val="Compact"/>
            </w:pPr>
            <w:r>
              <w:t xml:space="preserve">el-GR</w:t>
            </w:r>
          </w:p>
        </w:tc>
        <w:tc>
          <w:tcPr/>
          <w:p>
            <w:pPr>
              <w:pStyle w:val="Compact"/>
            </w:pPr>
            <w:r>
              <w:t xml:space="preserve">1032</w:t>
            </w:r>
          </w:p>
        </w:tc>
        <w:tc>
          <w:tcPr/>
          <w:p>
            <w:pPr>
              <w:pStyle w:val="Compact"/>
            </w:pPr>
            <w:r>
              <w:t xml:space="preserve">Greece</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id-ID</w:t>
            </w:r>
          </w:p>
        </w:tc>
        <w:tc>
          <w:tcPr/>
          <w:p>
            <w:pPr>
              <w:pStyle w:val="Compact"/>
            </w:pPr>
            <w:r>
              <w:t xml:space="preserve">1057</w:t>
            </w:r>
          </w:p>
        </w:tc>
        <w:tc>
          <w:tcPr/>
          <w:p>
            <w:pPr>
              <w:pStyle w:val="Compact"/>
            </w:pPr>
            <w:r>
              <w:t xml:space="preserve">Indonesia</w:t>
            </w:r>
          </w:p>
        </w:tc>
        <w:tc>
          <w:tcPr/>
          <w:p>
            <w:pPr>
              <w:pStyle w:val="Compact"/>
            </w:pPr>
            <w:r>
              <w:t xml:space="preserve">,</w:t>
            </w:r>
          </w:p>
        </w:tc>
        <w:tc>
          <w:tcPr/>
          <w:p>
            <w:pPr>
              <w:pStyle w:val="Compact"/>
            </w:pPr>
            <w:r>
              <w:t xml:space="preserve">.</w:t>
            </w:r>
          </w:p>
        </w:tc>
        <w:tc>
          <w:tcPr/>
          <w:p>
            <w:pPr>
              <w:pStyle w:val="Compact"/>
            </w:pPr>
            <w:r>
              <w:t xml:space="preserve">Rp</w:t>
            </w:r>
          </w:p>
        </w:tc>
      </w:tr>
      <w:tr>
        <w:tc>
          <w:tcPr/>
          <w:p>
            <w:pPr>
              <w:pStyle w:val="Compact"/>
            </w:pPr>
            <w:r>
              <w:t xml:space="preserve">tr-TR</w:t>
            </w:r>
          </w:p>
        </w:tc>
        <w:tc>
          <w:tcPr/>
          <w:p>
            <w:pPr>
              <w:pStyle w:val="Compact"/>
            </w:pPr>
            <w:r>
              <w:t xml:space="preserve">1055</w:t>
            </w:r>
          </w:p>
        </w:tc>
        <w:tc>
          <w:tcPr/>
          <w:p>
            <w:pPr>
              <w:pStyle w:val="Compact"/>
            </w:pPr>
            <w:r>
              <w:t xml:space="preserve">Turkey</w:t>
            </w:r>
          </w:p>
        </w:tc>
        <w:tc>
          <w:tcPr/>
          <w:p>
            <w:pPr>
              <w:pStyle w:val="Compact"/>
            </w:pPr>
            <w:r>
              <w:t xml:space="preserve">,</w:t>
            </w:r>
          </w:p>
        </w:tc>
        <w:tc>
          <w:tcPr/>
          <w:p>
            <w:pPr>
              <w:pStyle w:val="Compact"/>
            </w:pPr>
            <w:r>
              <w:t xml:space="preserve">.</w:t>
            </w:r>
          </w:p>
        </w:tc>
        <w:tc>
          <w:tcPr/>
          <w:p>
            <w:pPr>
              <w:pStyle w:val="Compact"/>
            </w:pPr>
            <w:r>
              <w:t xml:space="preserve">₺</w:t>
            </w:r>
          </w:p>
        </w:tc>
      </w:tr>
    </w:tbl>
    <w:bookmarkEnd w:id="216"/>
    <w:bookmarkEnd w:id="217"/>
    <w:bookmarkStart w:id="223" w:name="formatting-examples"/>
    <w:p>
      <w:pPr>
        <w:pStyle w:val="Heading2"/>
      </w:pPr>
      <w:r>
        <w:t xml:space="preserve">Formatting Examples</w:t>
      </w:r>
    </w:p>
    <w:bookmarkStart w:id="218" w:name="number-formatting"/>
    <w:p>
      <w:pPr>
        <w:pStyle w:val="Heading3"/>
      </w:pPr>
      <w:r>
        <w:t xml:space="preserve">Number Formatting</w:t>
      </w:r>
    </w:p>
    <w:p>
      <w:pPr>
        <w:pStyle w:val="FirstParagraph"/>
      </w:pPr>
      <w:r>
        <w:t xml:space="preserve">Numbers are formatted with locale-specific decimal and thousands separators:</w:t>
      </w:r>
    </w:p>
    <w:p>
      <w:pPr>
        <w:pStyle w:val="BodyText"/>
      </w:pPr>
      <w:r>
        <w:rPr>
          <w:b/>
          <w:bCs/>
        </w:rPr>
        <w:t xml:space="preserve">ASP Code:</w:t>
      </w:r>
    </w:p>
    <w:p>
      <w:pPr>
        <w:pStyle w:val="SourceCode"/>
      </w:pPr>
      <w:r>
        <w:rPr>
          <w:rStyle w:val="NormalTok"/>
        </w:rPr>
        <w:t xml:space="preserve">Dim amount, formatted</w:t>
      </w:r>
      <w:r>
        <w:br/>
      </w:r>
      <w:r>
        <w:br/>
      </w:r>
      <w:r>
        <w:rPr>
          <w:rStyle w:val="NormalTok"/>
        </w:rPr>
        <w:t xml:space="preserve">amount = 1234.567</w:t>
      </w:r>
      <w:r>
        <w:br/>
      </w:r>
      <w:r>
        <w:rPr>
          <w:rStyle w:val="NormalTok"/>
        </w:rPr>
        <w:t xml:space="preserve">Session.LCID = 1033  ' English US</w:t>
      </w:r>
      <w:r>
        <w:br/>
      </w:r>
      <w:r>
        <w:br/>
      </w:r>
      <w:r>
        <w:rPr>
          <w:rStyle w:val="NormalTok"/>
        </w:rPr>
        <w:t xml:space="preserve">formatted = FormatNumber(amount, 2)     ' Output: 1,234.57</w:t>
      </w:r>
      <w:r>
        <w:br/>
      </w:r>
      <w:r>
        <w:rPr>
          <w:rStyle w:val="NormalTok"/>
        </w:rPr>
        <w:t xml:space="preserve">formatted = FormatPercent(0.125, 1)     ' Output: 12.5%</w:t>
      </w:r>
      <w:r>
        <w:br/>
      </w:r>
      <w:r>
        <w:br/>
      </w:r>
      <w:r>
        <w:rPr>
          <w:rStyle w:val="NormalTok"/>
        </w:rPr>
        <w:t xml:space="preserve">' Switch to German</w:t>
      </w:r>
      <w:r>
        <w:br/>
      </w:r>
      <w:r>
        <w:rPr>
          <w:rStyle w:val="NormalTok"/>
        </w:rPr>
        <w:t xml:space="preserve">Session.LCID = 1031</w:t>
      </w:r>
      <w:r>
        <w:br/>
      </w:r>
      <w:r>
        <w:rPr>
          <w:rStyle w:val="NormalTok"/>
        </w:rPr>
        <w:t xml:space="preserve">formatted = FormatNumber(amount, 2)     ' Output: 1.234,57</w:t>
      </w:r>
      <w:r>
        <w:br/>
      </w:r>
      <w:r>
        <w:rPr>
          <w:rStyle w:val="NormalTok"/>
        </w:rPr>
        <w:t xml:space="preserve">formatted = FormatPercent(0.125, 1)     ' Output: 12,5%</w:t>
      </w:r>
      <w:r>
        <w:br/>
      </w:r>
      <w:r>
        <w:br/>
      </w:r>
      <w:r>
        <w:rPr>
          <w:rStyle w:val="NormalTok"/>
        </w:rPr>
        <w:t xml:space="preserve">' Switch to French</w:t>
      </w:r>
      <w:r>
        <w:br/>
      </w:r>
      <w:r>
        <w:rPr>
          <w:rStyle w:val="NormalTok"/>
        </w:rPr>
        <w:t xml:space="preserve">Session.LCID = 1036</w:t>
      </w:r>
      <w:r>
        <w:br/>
      </w:r>
      <w:r>
        <w:rPr>
          <w:rStyle w:val="NormalTok"/>
        </w:rPr>
        <w:t xml:space="preserve">formatted = FormatNumber(amount, 2)     ' Output: 1 234,57</w:t>
      </w:r>
      <w:r>
        <w:br/>
      </w:r>
      <w:r>
        <w:rPr>
          <w:rStyle w:val="NormalTok"/>
        </w:rPr>
        <w:t xml:space="preserve">formatted = FormatPercent(0.125, 1)     ' Output: 12,5%</w:t>
      </w:r>
    </w:p>
    <w:bookmarkEnd w:id="218"/>
    <w:bookmarkStart w:id="219" w:name="currency-formatting"/>
    <w:p>
      <w:pPr>
        <w:pStyle w:val="Heading3"/>
      </w:pPr>
      <w:r>
        <w:t xml:space="preserve">Currency Formatting</w:t>
      </w:r>
    </w:p>
    <w:p>
      <w:pPr>
        <w:pStyle w:val="FirstParagraph"/>
      </w:pPr>
      <w:r>
        <w:t xml:space="preserve">Currency symbols and separators are locale-aware:</w:t>
      </w:r>
    </w:p>
    <w:p>
      <w:pPr>
        <w:pStyle w:val="SourceCode"/>
      </w:pPr>
      <w:r>
        <w:rPr>
          <w:rStyle w:val="NormalTok"/>
        </w:rPr>
        <w:t xml:space="preserve">Dim price</w:t>
      </w:r>
      <w:r>
        <w:br/>
      </w:r>
      <w:r>
        <w:br/>
      </w:r>
      <w:r>
        <w:rPr>
          <w:rStyle w:val="NormalTok"/>
        </w:rPr>
        <w:t xml:space="preserve">price = 1234.50</w:t>
      </w:r>
      <w:r>
        <w:br/>
      </w:r>
      <w:r>
        <w:rPr>
          <w:rStyle w:val="NormalTok"/>
        </w:rPr>
        <w:t xml:space="preserve">Session.LCID = 1033  ' English US</w:t>
      </w:r>
      <w:r>
        <w:br/>
      </w:r>
      <w:r>
        <w:rPr>
          <w:rStyle w:val="NormalTok"/>
        </w:rPr>
        <w:t xml:space="preserve">Response.Write FormatCurrency(price)    ' Output: $1,234.50</w:t>
      </w:r>
      <w:r>
        <w:br/>
      </w:r>
      <w:r>
        <w:br/>
      </w:r>
      <w:r>
        <w:rPr>
          <w:rStyle w:val="NormalTok"/>
        </w:rPr>
        <w:t xml:space="preserve">Session.LCID = 1046  ' Portuguese Brazil</w:t>
      </w:r>
      <w:r>
        <w:br/>
      </w:r>
      <w:r>
        <w:rPr>
          <w:rStyle w:val="NormalTok"/>
        </w:rPr>
        <w:t xml:space="preserve">Response.Write FormatCurrency(price)    ' Output: R$ 1.234,50</w:t>
      </w:r>
      <w:r>
        <w:br/>
      </w:r>
      <w:r>
        <w:br/>
      </w:r>
      <w:r>
        <w:rPr>
          <w:rStyle w:val="NormalTok"/>
        </w:rPr>
        <w:t xml:space="preserve">Session.LCID = 1036  ' French France</w:t>
      </w:r>
      <w:r>
        <w:br/>
      </w:r>
      <w:r>
        <w:rPr>
          <w:rStyle w:val="NormalTok"/>
        </w:rPr>
        <w:t xml:space="preserve">Response.Write FormatCurrency(price)    ' Output: € 1 234,50</w:t>
      </w:r>
    </w:p>
    <w:bookmarkEnd w:id="219"/>
    <w:bookmarkStart w:id="220" w:name="date-formatting"/>
    <w:p>
      <w:pPr>
        <w:pStyle w:val="Heading3"/>
      </w:pPr>
      <w:r>
        <w:t xml:space="preserve">Date Formatting</w:t>
      </w:r>
    </w:p>
    <w:p>
      <w:pPr>
        <w:pStyle w:val="FirstParagraph"/>
      </w:pPr>
      <w:r>
        <w:t xml:space="preserve">Dates are formatted according to locale conventions:</w:t>
      </w:r>
    </w:p>
    <w:p>
      <w:pPr>
        <w:pStyle w:val="SourceCode"/>
      </w:pPr>
      <w:r>
        <w:rPr>
          <w:rStyle w:val="NormalTok"/>
        </w:rPr>
        <w:t xml:space="preserve">Dim eventDate</w:t>
      </w:r>
      <w:r>
        <w:br/>
      </w:r>
      <w:r>
        <w:br/>
      </w:r>
      <w:r>
        <w:rPr>
          <w:rStyle w:val="NormalTok"/>
        </w:rPr>
        <w:t xml:space="preserve">eventDate = CDate("2026-04-09")</w:t>
      </w:r>
      <w:r>
        <w:br/>
      </w:r>
      <w:r>
        <w:rPr>
          <w:rStyle w:val="NormalTok"/>
        </w:rPr>
        <w:t xml:space="preserve">Session.LCID = 1033  ' English US</w:t>
      </w:r>
      <w:r>
        <w:br/>
      </w:r>
      <w:r>
        <w:rPr>
          <w:rStyle w:val="NormalTok"/>
        </w:rPr>
        <w:t xml:space="preserve">Response.Write FormatDateTime(eventDate, 1)  ' Output: Thursday, April 9, 2026</w:t>
      </w:r>
      <w:r>
        <w:br/>
      </w:r>
      <w:r>
        <w:br/>
      </w:r>
      <w:r>
        <w:rPr>
          <w:rStyle w:val="NormalTok"/>
        </w:rPr>
        <w:t xml:space="preserve">Session.LCID = 1046  ' Portuguese Brazil</w:t>
      </w:r>
      <w:r>
        <w:br/>
      </w:r>
      <w:r>
        <w:rPr>
          <w:rStyle w:val="NormalTok"/>
        </w:rPr>
        <w:t xml:space="preserve">Response.Write FormatDateTime(eventDate, 1)  ' Output: quinta-feira, 9 de abril de 2026</w:t>
      </w:r>
      <w:r>
        <w:br/>
      </w:r>
      <w:r>
        <w:br/>
      </w:r>
      <w:r>
        <w:rPr>
          <w:rStyle w:val="NormalTok"/>
        </w:rPr>
        <w:t xml:space="preserve">Session.LCID = 1036  ' French France</w:t>
      </w:r>
      <w:r>
        <w:br/>
      </w:r>
      <w:r>
        <w:rPr>
          <w:rStyle w:val="NormalTok"/>
        </w:rPr>
        <w:t xml:space="preserve">Response.Write FormatDateTime(eventDate, 1)  ' Output: jeudi 9 avril 2026</w:t>
      </w:r>
    </w:p>
    <w:bookmarkEnd w:id="220"/>
    <w:bookmarkStart w:id="221" w:name="month-and-day-names"/>
    <w:p>
      <w:pPr>
        <w:pStyle w:val="Heading3"/>
      </w:pPr>
      <w:r>
        <w:t xml:space="preserve">Month and Day Names</w:t>
      </w:r>
    </w:p>
    <w:p>
      <w:pPr>
        <w:pStyle w:val="FirstParagraph"/>
      </w:pPr>
      <w:r>
        <w:t xml:space="preserve">Month and weekday names adapt to the session locale:</w:t>
      </w:r>
    </w:p>
    <w:p>
      <w:pPr>
        <w:pStyle w:val="SourceCode"/>
      </w:pPr>
      <w:r>
        <w:rPr>
          <w:rStyle w:val="NormalTok"/>
        </w:rPr>
        <w:t xml:space="preserve">Session.LCID = 1046  ' Portuguese Brazil</w:t>
      </w:r>
      <w:r>
        <w:br/>
      </w:r>
      <w:r>
        <w:br/>
      </w:r>
      <w:r>
        <w:rPr>
          <w:rStyle w:val="NormalTok"/>
        </w:rPr>
        <w:t xml:space="preserve">Response.Write MonthName(4)         ' Output: abril</w:t>
      </w:r>
      <w:r>
        <w:br/>
      </w:r>
      <w:r>
        <w:rPr>
          <w:rStyle w:val="NormalTok"/>
        </w:rPr>
        <w:t xml:space="preserve">Response.Write MonthName(4, True)   ' Output: abr</w:t>
      </w:r>
      <w:r>
        <w:br/>
      </w:r>
      <w:r>
        <w:rPr>
          <w:rStyle w:val="NormalTok"/>
        </w:rPr>
        <w:t xml:space="preserve">Response.Write WeekdayName(1)       ' Output: domingo</w:t>
      </w:r>
      <w:r>
        <w:br/>
      </w:r>
      <w:r>
        <w:rPr>
          <w:rStyle w:val="NormalTok"/>
        </w:rPr>
        <w:t xml:space="preserve">Response.Write WeekdayName(1, True) ' Output: dom</w:t>
      </w:r>
    </w:p>
    <w:bookmarkEnd w:id="221"/>
    <w:bookmarkStart w:id="222" w:name="date-parsing"/>
    <w:p>
      <w:pPr>
        <w:pStyle w:val="Heading3"/>
      </w:pPr>
      <w:r>
        <w:t xml:space="preserve">Date Parsing</w:t>
      </w:r>
    </w:p>
    <w:p>
      <w:pPr>
        <w:pStyle w:val="FirstParagraph"/>
      </w:pPr>
      <w:r>
        <w:t xml:space="preserve">Date parsing respects locale conventions when parsing string dates:</w:t>
      </w:r>
    </w:p>
    <w:p>
      <w:pPr>
        <w:pStyle w:val="SourceCode"/>
      </w:pPr>
      <w:r>
        <w:rPr>
          <w:rStyle w:val="NormalTok"/>
        </w:rPr>
        <w:t xml:space="preserve">Dim dateStr</w:t>
      </w:r>
      <w:r>
        <w:br/>
      </w:r>
      <w:r>
        <w:br/>
      </w:r>
      <w:r>
        <w:rPr>
          <w:rStyle w:val="NormalTok"/>
        </w:rPr>
        <w:t xml:space="preserve">Session.LCID = 1046  ' Portuguese Brazil</w:t>
      </w:r>
      <w:r>
        <w:br/>
      </w:r>
      <w:r>
        <w:rPr>
          <w:rStyle w:val="NormalTok"/>
        </w:rPr>
        <w:t xml:space="preserve">dateStr = "09/04/2026"  ' Day/Month/Year format</w:t>
      </w:r>
      <w:r>
        <w:br/>
      </w:r>
      <w:r>
        <w:rPr>
          <w:rStyle w:val="NormalTok"/>
        </w:rPr>
        <w:t xml:space="preserve">Response.Write CDate(dateStr)  ' Parses as: April 9, 2026</w:t>
      </w:r>
      <w:r>
        <w:br/>
      </w:r>
      <w:r>
        <w:br/>
      </w:r>
      <w:r>
        <w:rPr>
          <w:rStyle w:val="NormalTok"/>
        </w:rPr>
        <w:t xml:space="preserve">Session.LCID = 1033  ' English US</w:t>
      </w:r>
      <w:r>
        <w:br/>
      </w:r>
      <w:r>
        <w:rPr>
          <w:rStyle w:val="NormalTok"/>
        </w:rPr>
        <w:t xml:space="preserve">dateStr = "04/09/2026"  ' Month/Day/Year format</w:t>
      </w:r>
      <w:r>
        <w:br/>
      </w:r>
      <w:r>
        <w:rPr>
          <w:rStyle w:val="NormalTok"/>
        </w:rPr>
        <w:t xml:space="preserve">Response.Write CDate(dateStr)  ' Parses as: April 9, 2026</w:t>
      </w:r>
    </w:p>
    <w:bookmarkEnd w:id="222"/>
    <w:bookmarkEnd w:id="223"/>
    <w:bookmarkStart w:id="227" w:name="affected-functions"/>
    <w:p>
      <w:pPr>
        <w:pStyle w:val="Heading2"/>
      </w:pPr>
      <w:r>
        <w:t xml:space="preserve">Affected Functions</w:t>
      </w:r>
    </w:p>
    <w:p>
      <w:pPr>
        <w:pStyle w:val="FirstParagraph"/>
      </w:pPr>
      <w:r>
        <w:t xml:space="preserve">The following VBScript functions respect the current</w:t>
      </w:r>
      <w:r>
        <w:t xml:space="preserve"> </w:t>
      </w:r>
      <w:r>
        <w:rPr>
          <w:rStyle w:val="VerbatimChar"/>
        </w:rPr>
        <w:t xml:space="preserve">Session.LCID</w:t>
      </w:r>
      <w:r>
        <w:t xml:space="preserve">:</w:t>
      </w:r>
    </w:p>
    <w:bookmarkStart w:id="224" w:name="datetime-functions"/>
    <w:p>
      <w:pPr>
        <w:pStyle w:val="Heading3"/>
      </w:pPr>
      <w:r>
        <w:t xml:space="preserve">Date/Time Functions</w:t>
      </w:r>
    </w:p>
    <w:p>
      <w:pPr>
        <w:pStyle w:val="Compact"/>
        <w:numPr>
          <w:ilvl w:val="0"/>
          <w:numId w:val="1078"/>
        </w:numPr>
      </w:pPr>
      <w:r>
        <w:rPr>
          <w:rStyle w:val="VerbatimChar"/>
        </w:rPr>
        <w:t xml:space="preserve">FormatDateTime(expression, format)</w:t>
      </w:r>
      <w:r>
        <w:t xml:space="preserve"> </w:t>
      </w:r>
      <w:r>
        <w:t xml:space="preserve">- All format types (1-4)</w:t>
      </w:r>
    </w:p>
    <w:p>
      <w:pPr>
        <w:pStyle w:val="Compact"/>
        <w:numPr>
          <w:ilvl w:val="0"/>
          <w:numId w:val="1078"/>
        </w:numPr>
      </w:pPr>
      <w:r>
        <w:rPr>
          <w:rStyle w:val="VerbatimChar"/>
        </w:rPr>
        <w:t xml:space="preserve">DateValue(expression)</w:t>
      </w:r>
      <w:r>
        <w:t xml:space="preserve"> </w:t>
      </w:r>
      <w:r>
        <w:t xml:space="preserve">- Parses dates in locale format</w:t>
      </w:r>
    </w:p>
    <w:p>
      <w:pPr>
        <w:pStyle w:val="Compact"/>
        <w:numPr>
          <w:ilvl w:val="0"/>
          <w:numId w:val="1078"/>
        </w:numPr>
      </w:pPr>
      <w:r>
        <w:rPr>
          <w:rStyle w:val="VerbatimChar"/>
        </w:rPr>
        <w:t xml:space="preserve">TimeValue(expression)</w:t>
      </w:r>
      <w:r>
        <w:t xml:space="preserve"> </w:t>
      </w:r>
      <w:r>
        <w:t xml:space="preserve">- Parses times</w:t>
      </w:r>
    </w:p>
    <w:p>
      <w:pPr>
        <w:pStyle w:val="Compact"/>
        <w:numPr>
          <w:ilvl w:val="0"/>
          <w:numId w:val="1078"/>
        </w:numPr>
      </w:pPr>
      <w:r>
        <w:rPr>
          <w:rStyle w:val="VerbatimChar"/>
        </w:rPr>
        <w:t xml:space="preserve">CDate(expression)</w:t>
      </w:r>
      <w:r>
        <w:t xml:space="preserve"> </w:t>
      </w:r>
      <w:r>
        <w:t xml:space="preserve">- Parses dates and times</w:t>
      </w:r>
    </w:p>
    <w:p>
      <w:pPr>
        <w:pStyle w:val="Compact"/>
        <w:numPr>
          <w:ilvl w:val="0"/>
          <w:numId w:val="1078"/>
        </w:numPr>
      </w:pPr>
      <w:r>
        <w:rPr>
          <w:rStyle w:val="VerbatimChar"/>
        </w:rPr>
        <w:t xml:space="preserve">DateAdd(interval, number, date)</w:t>
      </w:r>
      <w:r>
        <w:t xml:space="preserve"> </w:t>
      </w:r>
      <w:r>
        <w:t xml:space="preserve">- Returns date/time values</w:t>
      </w:r>
    </w:p>
    <w:p>
      <w:pPr>
        <w:pStyle w:val="Compact"/>
        <w:numPr>
          <w:ilvl w:val="0"/>
          <w:numId w:val="1078"/>
        </w:numPr>
      </w:pPr>
      <w:r>
        <w:rPr>
          <w:rStyle w:val="VerbatimChar"/>
        </w:rPr>
        <w:t xml:space="preserve">DateDiff(interval, date1, date2)</w:t>
      </w:r>
      <w:r>
        <w:t xml:space="preserve"> </w:t>
      </w:r>
      <w:r>
        <w:t xml:space="preserve">- Returns intervals</w:t>
      </w:r>
    </w:p>
    <w:p>
      <w:pPr>
        <w:pStyle w:val="Compact"/>
        <w:numPr>
          <w:ilvl w:val="0"/>
          <w:numId w:val="1078"/>
        </w:numPr>
      </w:pPr>
      <w:r>
        <w:rPr>
          <w:rStyle w:val="VerbatimChar"/>
        </w:rPr>
        <w:t xml:space="preserve">DatePart(interval, date)</w:t>
      </w:r>
      <w:r>
        <w:t xml:space="preserve"> </w:t>
      </w:r>
      <w:r>
        <w:t xml:space="preserve">- Extracts date parts</w:t>
      </w:r>
    </w:p>
    <w:p>
      <w:pPr>
        <w:pStyle w:val="Compact"/>
        <w:numPr>
          <w:ilvl w:val="0"/>
          <w:numId w:val="1078"/>
        </w:numPr>
      </w:pPr>
      <w:r>
        <w:rPr>
          <w:rStyle w:val="VerbatimChar"/>
        </w:rPr>
        <w:t xml:space="preserve">Day(date)</w:t>
      </w:r>
      <w:r>
        <w:t xml:space="preserve">,</w:t>
      </w:r>
      <w:r>
        <w:t xml:space="preserve"> </w:t>
      </w:r>
      <w:r>
        <w:rPr>
          <w:rStyle w:val="VerbatimChar"/>
        </w:rPr>
        <w:t xml:space="preserve">Month(date)</w:t>
      </w:r>
      <w:r>
        <w:t xml:space="preserve">,</w:t>
      </w:r>
      <w:r>
        <w:t xml:space="preserve"> </w:t>
      </w:r>
      <w:r>
        <w:rPr>
          <w:rStyle w:val="VerbatimChar"/>
        </w:rPr>
        <w:t xml:space="preserve">Year(date)</w:t>
      </w:r>
      <w:r>
        <w:t xml:space="preserve"> </w:t>
      </w:r>
      <w:r>
        <w:t xml:space="preserve">- Date component extraction</w:t>
      </w:r>
    </w:p>
    <w:p>
      <w:pPr>
        <w:pStyle w:val="Compact"/>
        <w:numPr>
          <w:ilvl w:val="0"/>
          <w:numId w:val="1078"/>
        </w:numPr>
      </w:pPr>
      <w:r>
        <w:rPr>
          <w:rStyle w:val="VerbatimChar"/>
        </w:rPr>
        <w:t xml:space="preserve">Weekday(date)</w:t>
      </w:r>
      <w:r>
        <w:t xml:space="preserve"> </w:t>
      </w:r>
      <w:r>
        <w:t xml:space="preserve">- Returns day of week (1 = Sunday, 7 = Saturday)</w:t>
      </w:r>
    </w:p>
    <w:p>
      <w:pPr>
        <w:pStyle w:val="Compact"/>
        <w:numPr>
          <w:ilvl w:val="0"/>
          <w:numId w:val="1078"/>
        </w:numPr>
      </w:pPr>
      <w:r>
        <w:rPr>
          <w:rStyle w:val="VerbatimChar"/>
        </w:rPr>
        <w:t xml:space="preserve">MonthName(number, abbrev)</w:t>
      </w:r>
      <w:r>
        <w:t xml:space="preserve"> </w:t>
      </w:r>
      <w:r>
        <w:t xml:space="preserve">- Locale-aware month names</w:t>
      </w:r>
    </w:p>
    <w:p>
      <w:pPr>
        <w:pStyle w:val="Compact"/>
        <w:numPr>
          <w:ilvl w:val="0"/>
          <w:numId w:val="1078"/>
        </w:numPr>
      </w:pPr>
      <w:r>
        <w:rPr>
          <w:rStyle w:val="VerbatimChar"/>
        </w:rPr>
        <w:t xml:space="preserve">WeekdayName(index, abbrev)</w:t>
      </w:r>
      <w:r>
        <w:t xml:space="preserve"> </w:t>
      </w:r>
      <w:r>
        <w:t xml:space="preserve">- Locale-aware weekday names</w:t>
      </w:r>
    </w:p>
    <w:bookmarkEnd w:id="224"/>
    <w:bookmarkStart w:id="225" w:name="number-functions"/>
    <w:p>
      <w:pPr>
        <w:pStyle w:val="Heading3"/>
      </w:pPr>
      <w:r>
        <w:t xml:space="preserve">Number Functions</w:t>
      </w:r>
    </w:p>
    <w:p>
      <w:pPr>
        <w:pStyle w:val="Compact"/>
        <w:numPr>
          <w:ilvl w:val="0"/>
          <w:numId w:val="1079"/>
        </w:numPr>
      </w:pPr>
      <w:r>
        <w:rPr>
          <w:rStyle w:val="VerbatimChar"/>
        </w:rPr>
        <w:t xml:space="preserve">FormatNumber(expression, numDigits, useGrouping)</w:t>
      </w:r>
      <w:r>
        <w:t xml:space="preserve"> </w:t>
      </w:r>
      <w:r>
        <w:t xml:space="preserve">- Uses locale separators</w:t>
      </w:r>
    </w:p>
    <w:p>
      <w:pPr>
        <w:pStyle w:val="Compact"/>
        <w:numPr>
          <w:ilvl w:val="0"/>
          <w:numId w:val="1079"/>
        </w:numPr>
      </w:pPr>
      <w:r>
        <w:rPr>
          <w:rStyle w:val="VerbatimChar"/>
        </w:rPr>
        <w:t xml:space="preserve">FormatPercent(expression, numDigits, useGrouping)</w:t>
      </w:r>
      <w:r>
        <w:t xml:space="preserve"> </w:t>
      </w:r>
      <w:r>
        <w:t xml:space="preserve">- Uses locale separators</w:t>
      </w:r>
    </w:p>
    <w:p>
      <w:pPr>
        <w:pStyle w:val="Compact"/>
        <w:numPr>
          <w:ilvl w:val="0"/>
          <w:numId w:val="1079"/>
        </w:numPr>
      </w:pPr>
      <w:r>
        <w:rPr>
          <w:rStyle w:val="VerbatimChar"/>
        </w:rPr>
        <w:t xml:space="preserve">FormatCurrency(expression, numDigits, useGrouping)</w:t>
      </w:r>
      <w:r>
        <w:t xml:space="preserve"> </w:t>
      </w:r>
      <w:r>
        <w:t xml:space="preserve">- Uses locale symbol and separators</w:t>
      </w:r>
    </w:p>
    <w:bookmarkEnd w:id="225"/>
    <w:bookmarkStart w:id="226" w:name="string-conversion"/>
    <w:p>
      <w:pPr>
        <w:pStyle w:val="Heading3"/>
      </w:pPr>
      <w:r>
        <w:t xml:space="preserve">String Conversion</w:t>
      </w:r>
    </w:p>
    <w:p>
      <w:pPr>
        <w:pStyle w:val="Compact"/>
        <w:numPr>
          <w:ilvl w:val="0"/>
          <w:numId w:val="1080"/>
        </w:numPr>
      </w:pPr>
      <w:r>
        <w:t xml:space="preserve">Implicit VTDate to string conversion respects locale date/time format</w:t>
      </w:r>
    </w:p>
    <w:p>
      <w:pPr>
        <w:pStyle w:val="Compact"/>
        <w:numPr>
          <w:ilvl w:val="0"/>
          <w:numId w:val="1080"/>
        </w:numPr>
      </w:pPr>
      <w:r>
        <w:t xml:space="preserve">Implicit numeric to string conversion uses locale separators</w:t>
      </w:r>
    </w:p>
    <w:bookmarkEnd w:id="226"/>
    <w:bookmarkEnd w:id="227"/>
    <w:bookmarkStart w:id="228" w:name="performance-notes"/>
    <w:p>
      <w:pPr>
        <w:pStyle w:val="Heading2"/>
      </w:pPr>
      <w:r>
        <w:t xml:space="preserve">Performance Notes</w:t>
      </w:r>
    </w:p>
    <w:p>
      <w:pPr>
        <w:pStyle w:val="FirstParagraph"/>
      </w:pPr>
      <w:r>
        <w:t xml:space="preserve">Locale resolution is optimized for performance:</w:t>
      </w:r>
    </w:p>
    <w:p>
      <w:pPr>
        <w:pStyle w:val="Compact"/>
        <w:numPr>
          <w:ilvl w:val="0"/>
          <w:numId w:val="1081"/>
        </w:numPr>
      </w:pPr>
      <w:r>
        <w:t xml:space="preserve">Locale profiles are precomputed at server startup</w:t>
      </w:r>
    </w:p>
    <w:p>
      <w:pPr>
        <w:pStyle w:val="Compact"/>
        <w:numPr>
          <w:ilvl w:val="0"/>
          <w:numId w:val="1081"/>
        </w:numPr>
      </w:pPr>
      <w:r>
        <w:t xml:space="preserve">Language matching uses efficient BCP 47 tag matching</w:t>
      </w:r>
    </w:p>
    <w:p>
      <w:pPr>
        <w:pStyle w:val="Compact"/>
        <w:numPr>
          <w:ilvl w:val="0"/>
          <w:numId w:val="1081"/>
        </w:numPr>
      </w:pPr>
      <w:r>
        <w:t xml:space="preserve">Formatting functions cache locale profiles in the VM context</w:t>
      </w:r>
    </w:p>
    <w:p>
      <w:pPr>
        <w:pStyle w:val="Compact"/>
        <w:numPr>
          <w:ilvl w:val="0"/>
          <w:numId w:val="1081"/>
        </w:numPr>
      </w:pPr>
      <w:r>
        <w:t xml:space="preserve">No reflection or dynamic dispatch is used in formatting paths</w:t>
      </w:r>
    </w:p>
    <w:bookmarkEnd w:id="228"/>
    <w:bookmarkStart w:id="229" w:name="configuration-1"/>
    <w:p>
      <w:pPr>
        <w:pStyle w:val="Heading2"/>
      </w:pPr>
      <w:r>
        <w:t xml:space="preserve">Configuration</w:t>
      </w:r>
    </w:p>
    <w:p>
      <w:pPr>
        <w:pStyle w:val="FirstParagraph"/>
      </w:pPr>
      <w:r>
        <w:t xml:space="preserve">The server default locale is configured in</w:t>
      </w:r>
      <w:r>
        <w:t xml:space="preserve"> </w:t>
      </w:r>
      <w:r>
        <w:rPr>
          <w:rStyle w:val="VerbatimChar"/>
        </w:rPr>
        <w:t xml:space="preserve">axonasp.toml</w:t>
      </w:r>
      <w:r>
        <w:t xml:space="preserve">:</w:t>
      </w:r>
    </w:p>
    <w:p>
      <w:pPr>
        <w:pStyle w:val="SourceCode"/>
      </w:pPr>
      <w:r>
        <w:rPr>
          <w:rStyle w:val="KeywordTok"/>
        </w:rPr>
        <w:t xml:space="preserve">[global]</w:t>
      </w:r>
      <w:r>
        <w:br/>
      </w:r>
      <w:r>
        <w:rPr>
          <w:rStyle w:val="DataTypeTok"/>
        </w:rPr>
        <w:t xml:space="preserve">default_mslcid</w:t>
      </w:r>
      <w:r>
        <w:rPr>
          <w:rStyle w:val="NormalTok"/>
        </w:rPr>
        <w:t xml:space="preserve"> </w:t>
      </w:r>
      <w:r>
        <w:rPr>
          <w:rStyle w:val="OperatorTok"/>
        </w:rPr>
        <w:t xml:space="preserve">=</w:t>
      </w:r>
      <w:r>
        <w:rPr>
          <w:rStyle w:val="NormalTok"/>
        </w:rPr>
        <w:t xml:space="preserve"> </w:t>
      </w:r>
      <w:r>
        <w:rPr>
          <w:rStyle w:val="DecValTok"/>
        </w:rPr>
        <w:t xml:space="preserve">1046</w:t>
      </w:r>
      <w:r>
        <w:rPr>
          <w:rStyle w:val="NormalTok"/>
        </w:rPr>
        <w:t xml:space="preserve">        </w:t>
      </w:r>
      <w:r>
        <w:rPr>
          <w:rStyle w:val="CommentTok"/>
        </w:rPr>
        <w:t xml:space="preserve"># Portuguese (Brazil)</w:t>
      </w:r>
      <w:r>
        <w:br/>
      </w:r>
      <w:r>
        <w:rPr>
          <w:rStyle w:val="DataTypeTok"/>
        </w:rPr>
        <w:t xml:space="preserve">default_timezone</w:t>
      </w:r>
      <w:r>
        <w:rPr>
          <w:rStyle w:val="NormalTok"/>
        </w:rPr>
        <w:t xml:space="preserve"> </w:t>
      </w:r>
      <w:r>
        <w:rPr>
          <w:rStyle w:val="OperatorTok"/>
        </w:rPr>
        <w:t xml:space="preserve">=</w:t>
      </w:r>
      <w:r>
        <w:rPr>
          <w:rStyle w:val="NormalTok"/>
        </w:rPr>
        <w:t xml:space="preserve"> </w:t>
      </w:r>
      <w:r>
        <w:rPr>
          <w:rStyle w:val="StringTok"/>
        </w:rPr>
        <w:t xml:space="preserve">"America/Sao_Paulo"</w:t>
      </w:r>
    </w:p>
    <w:p>
      <w:pPr>
        <w:pStyle w:val="FirstParagraph"/>
      </w:pPr>
      <w:r>
        <w:t xml:space="preserve">The</w:t>
      </w:r>
      <w:r>
        <w:t xml:space="preserve"> </w:t>
      </w:r>
      <w:r>
        <w:rPr>
          <w:rStyle w:val="VerbatimChar"/>
        </w:rPr>
        <w:t xml:space="preserve">default_timezone</w:t>
      </w:r>
      <w:r>
        <w:t xml:space="preserve"> </w:t>
      </w:r>
      <w:r>
        <w:t xml:space="preserve">setting affects date/time implicit conversions and parsing. Both UTC and named timezones (IANA timezone database) are supported.</w:t>
      </w:r>
    </w:p>
    <w:bookmarkEnd w:id="229"/>
    <w:bookmarkStart w:id="233" w:name="troubleshooting"/>
    <w:p>
      <w:pPr>
        <w:pStyle w:val="Heading2"/>
      </w:pPr>
      <w:r>
        <w:t xml:space="preserve">Troubleshooting</w:t>
      </w:r>
    </w:p>
    <w:bookmarkStart w:id="230" w:name="incorrect-date-parsing"/>
    <w:p>
      <w:pPr>
        <w:pStyle w:val="Heading3"/>
      </w:pPr>
      <w:r>
        <w:t xml:space="preserve">Incorrect Date Parsing</w:t>
      </w:r>
    </w:p>
    <w:p>
      <w:pPr>
        <w:pStyle w:val="FirstParagraph"/>
      </w:pPr>
      <w:r>
        <w:t xml:space="preserve">If dates parse incorrectly, verify the session locale matches the date format:</w:t>
      </w:r>
    </w:p>
    <w:p>
      <w:pPr>
        <w:pStyle w:val="SourceCode"/>
      </w:pPr>
      <w:r>
        <w:rPr>
          <w:rStyle w:val="NormalTok"/>
        </w:rPr>
        <w:t xml:space="preserve">' Bad: locale mismatch</w:t>
      </w:r>
      <w:r>
        <w:br/>
      </w:r>
      <w:r>
        <w:rPr>
          <w:rStyle w:val="NormalTok"/>
        </w:rPr>
        <w:t xml:space="preserve">Session.LCID = 1033  ' US (MM/DD/YYYY)</w:t>
      </w:r>
      <w:r>
        <w:br/>
      </w:r>
      <w:r>
        <w:rPr>
          <w:rStyle w:val="NormalTok"/>
        </w:rPr>
        <w:t xml:space="preserve">Response.Write CDate("25/12/2026")  ' Fails - US format expects MM/DD</w:t>
      </w:r>
      <w:r>
        <w:br/>
      </w:r>
      <w:r>
        <w:br/>
      </w:r>
      <w:r>
        <w:rPr>
          <w:rStyle w:val="NormalTok"/>
        </w:rPr>
        <w:t xml:space="preserve">' Good: locale matches format</w:t>
      </w:r>
      <w:r>
        <w:br/>
      </w:r>
      <w:r>
        <w:rPr>
          <w:rStyle w:val="NormalTok"/>
        </w:rPr>
        <w:t xml:space="preserve">Session.LCID = 1046  ' Brazil (DD/MM/YYYY)</w:t>
      </w:r>
      <w:r>
        <w:br/>
      </w:r>
      <w:r>
        <w:rPr>
          <w:rStyle w:val="NormalTok"/>
        </w:rPr>
        <w:t xml:space="preserve">Response.Write CDate("25/12/2026")  ' Works correctly</w:t>
      </w:r>
    </w:p>
    <w:bookmarkEnd w:id="230"/>
    <w:bookmarkStart w:id="231" w:name="missing-locale"/>
    <w:p>
      <w:pPr>
        <w:pStyle w:val="Heading3"/>
      </w:pPr>
      <w:r>
        <w:t xml:space="preserve">Missing Locale</w:t>
      </w:r>
    </w:p>
    <w:p>
      <w:pPr>
        <w:pStyle w:val="FirstParagraph"/>
      </w:pPr>
      <w:r>
        <w:t xml:space="preserve">If a specific locale code is not in the supported list, the system falls back to the closest matching locale (e.g., an unmapped Spanish variant falls back to es-ES).</w:t>
      </w:r>
    </w:p>
    <w:bookmarkEnd w:id="231"/>
    <w:bookmarkStart w:id="232" w:name="currency-symbol-not-appearing"/>
    <w:p>
      <w:pPr>
        <w:pStyle w:val="Heading3"/>
      </w:pPr>
      <w:r>
        <w:t xml:space="preserve">Currency Symbol Not Appearing</w:t>
      </w:r>
    </w:p>
    <w:p>
      <w:pPr>
        <w:pStyle w:val="FirstParagraph"/>
      </w:pPr>
      <w:r>
        <w:t xml:space="preserve">Ensure the locale is set before calling</w:t>
      </w:r>
      <w:r>
        <w:t xml:space="preserve"> </w:t>
      </w:r>
      <w:r>
        <w:rPr>
          <w:rStyle w:val="VerbatimChar"/>
        </w:rPr>
        <w:t xml:space="preserve">FormatCurrency</w:t>
      </w:r>
      <w:r>
        <w:t xml:space="preserve">:</w:t>
      </w:r>
    </w:p>
    <w:p>
      <w:pPr>
        <w:pStyle w:val="SourceCode"/>
      </w:pPr>
      <w:r>
        <w:rPr>
          <w:rStyle w:val="NormalTok"/>
        </w:rPr>
        <w:t xml:space="preserve">Session.LCID = 1046  ' Must be set before formatting</w:t>
      </w:r>
      <w:r>
        <w:br/>
      </w:r>
      <w:r>
        <w:rPr>
          <w:rStyle w:val="NormalTok"/>
        </w:rPr>
        <w:t xml:space="preserve">Response.Write FormatCurrency(100)</w:t>
      </w:r>
    </w:p>
    <w:bookmarkEnd w:id="232"/>
    <w:bookmarkEnd w:id="233"/>
    <w:bookmarkEnd w:id="234"/>
    <w:bookmarkStart w:id="243" w:name="script-caching"/>
    <w:p>
      <w:pPr>
        <w:pStyle w:val="Heading1"/>
      </w:pPr>
      <w:r>
        <w:t xml:space="preserve">Script Caching</w:t>
      </w:r>
    </w:p>
    <w:bookmarkStart w:id="235" w:name="overview-15"/>
    <w:p>
      <w:pPr>
        <w:pStyle w:val="Heading2"/>
      </w:pPr>
      <w:r>
        <w:t xml:space="preserve">Overview</w:t>
      </w:r>
    </w:p>
    <w:p>
      <w:pPr>
        <w:pStyle w:val="FirstParagraph"/>
      </w:pPr>
      <w:r>
        <w:t xml:space="preserve">AxonASP uses a multi-tier bytecode caching system to eliminate redundant compilation of ASP scripts and dynamic code expressions. Once a script is compiled the first time, subsequent requests reuse the cached bytecode directly, bypassing the lexer and compiler entirely. Caching operates across four independent subsystems depending on the source of the compiled code.</w:t>
      </w:r>
    </w:p>
    <w:bookmarkEnd w:id="235"/>
    <w:bookmarkStart w:id="240" w:name="cache-tiers"/>
    <w:p>
      <w:pPr>
        <w:pStyle w:val="Heading2"/>
      </w:pPr>
      <w:r>
        <w:t xml:space="preserve">Cache Tiers</w:t>
      </w:r>
    </w:p>
    <w:bookmarkStart w:id="236" w:name="script-cache-axonvmscript_cache.go"/>
    <w:p>
      <w:pPr>
        <w:pStyle w:val="Heading3"/>
      </w:pPr>
      <w:r>
        <w:t xml:space="preserve">1. Script Cache (axonvm/script_cache.go)</w:t>
      </w:r>
    </w:p>
    <w:p>
      <w:pPr>
        <w:pStyle w:val="FirstParagraph"/>
      </w:pPr>
      <w:r>
        <w:t xml:space="preserve">The primary cache stores compiled bytecode for ASP page files on disk. The file cache operates in two tiers:</w:t>
      </w:r>
    </w:p>
    <w:p>
      <w:pPr>
        <w:pStyle w:val="Compact"/>
        <w:numPr>
          <w:ilvl w:val="0"/>
          <w:numId w:val="1082"/>
        </w:numPr>
      </w:pPr>
      <w:r>
        <w:rPr>
          <w:b/>
          <w:bCs/>
        </w:rPr>
        <w:t xml:space="preserve">Memory tier (Tier 1):</w:t>
      </w:r>
      <w:r>
        <w:t xml:space="preserve"> </w:t>
      </w:r>
      <w:r>
        <w:t xml:space="preserve">An LRU in-memory cache keyed by the source file path. Fastest lookup; no disk I/O.</w:t>
      </w:r>
    </w:p>
    <w:p>
      <w:pPr>
        <w:pStyle w:val="Compact"/>
        <w:numPr>
          <w:ilvl w:val="0"/>
          <w:numId w:val="1082"/>
        </w:numPr>
      </w:pPr>
      <w:r>
        <w:rPr>
          <w:b/>
          <w:bCs/>
        </w:rPr>
        <w:t xml:space="preserve">Disk tier (Tier 2):</w:t>
      </w:r>
      <w:r>
        <w:t xml:space="preserve"> </w:t>
      </w:r>
      <w:r>
        <w:t xml:space="preserve">A binary cache file stored under</w:t>
      </w:r>
      <w:r>
        <w:t xml:space="preserve"> </w:t>
      </w:r>
      <w:r>
        <w:rPr>
          <w:rStyle w:val="VerbatimChar"/>
        </w:rPr>
        <w:t xml:space="preserve">temp/cache</w:t>
      </w:r>
      <w:r>
        <w:t xml:space="preserve">. File content is hashed with xxhash (64-bit). On cache miss the server compiles the script and saves the compiled payload to disk.</w:t>
      </w:r>
    </w:p>
    <w:p>
      <w:pPr>
        <w:pStyle w:val="FirstParagraph"/>
      </w:pPr>
      <w:r>
        <w:t xml:space="preserve">The disk format includes a</w:t>
      </w:r>
      <w:r>
        <w:t xml:space="preserve"> </w:t>
      </w:r>
      <w:r>
        <w:rPr>
          <w:rStyle w:val="VerbatimChar"/>
        </w:rPr>
        <w:t xml:space="preserve">G3AXON</w:t>
      </w:r>
      <w:r>
        <w:t xml:space="preserve"> </w:t>
      </w:r>
      <w:r>
        <w:t xml:space="preserve">magic header, a binary version number, the source file modification timestamp, and the full compiled program payload. On load, the cached entry’s modification time is verified against the source file. Stale entries are rejected and the script is recompiled.</w:t>
      </w:r>
    </w:p>
    <w:p>
      <w:pPr>
        <w:pStyle w:val="BodyText"/>
      </w:pPr>
      <w:r>
        <w:t xml:space="preserve">A file watcher (</w:t>
      </w:r>
      <w:r>
        <w:rPr>
          <w:rStyle w:val="VerbatimChar"/>
        </w:rPr>
        <w:t xml:space="preserve">fsnotify</w:t>
      </w:r>
      <w:r>
        <w:t xml:space="preserve">) monitors the web root for changes and automatically invalidates in-memory cache entries when a source file is modified. This means page edits are picked up immediately without restarting the server.</w:t>
      </w:r>
    </w:p>
    <w:p>
      <w:pPr>
        <w:pStyle w:val="BlockText"/>
      </w:pPr>
      <w:r>
        <w:rPr>
          <w:b/>
          <w:bCs/>
        </w:rPr>
        <w:t xml:space="preserve">Note</w:t>
      </w:r>
      <w:r>
        <w:t xml:space="preserve">: AxonASP’s caching mechanism uses a file watcher to detect file modifications. This can occasionally result in a stale cache or slow updates, causing issues in development environments. To prevent this, you might want to disable the cache during ASP development by setting bytecode_caching_enabled=disabled.</w:t>
      </w:r>
    </w:p>
    <w:p>
      <w:pPr>
        <w:pStyle w:val="FirstParagraph"/>
      </w:pPr>
      <w:r>
        <w:rPr>
          <w:b/>
          <w:bCs/>
        </w:rPr>
        <w:t xml:space="preserve">Cache modes: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Mode</w:t>
            </w:r>
          </w:p>
        </w:tc>
        <w:tc>
          <w:tcPr/>
          <w:p>
            <w:pPr>
              <w:pStyle w:val="Compact"/>
              <w:jc w:val="center"/>
            </w:pPr>
            <w:r>
              <w:t xml:space="preserve">Memory tier</w:t>
            </w:r>
          </w:p>
        </w:tc>
        <w:tc>
          <w:tcPr/>
          <w:p>
            <w:pPr>
              <w:pStyle w:val="Compact"/>
              <w:jc w:val="center"/>
            </w:pPr>
            <w:r>
              <w:t xml:space="preserve">Disk tier</w:t>
            </w:r>
          </w:p>
        </w:tc>
      </w:tr>
      <w:tr>
        <w:tc>
          <w:tcPr/>
          <w:p>
            <w:pPr>
              <w:pStyle w:val="Compact"/>
            </w:pPr>
            <w:r>
              <w:t xml:space="preserve">enabled</w:t>
            </w:r>
          </w:p>
        </w:tc>
        <w:tc>
          <w:tcPr/>
          <w:p>
            <w:pPr>
              <w:pStyle w:val="Compact"/>
              <w:jc w:val="center"/>
            </w:pPr>
            <w:r>
              <w:t xml:space="preserve">Yes</w:t>
            </w:r>
          </w:p>
        </w:tc>
        <w:tc>
          <w:tcPr/>
          <w:p>
            <w:pPr>
              <w:pStyle w:val="Compact"/>
              <w:jc w:val="center"/>
            </w:pPr>
            <w:r>
              <w:t xml:space="preserve">Yes</w:t>
            </w:r>
          </w:p>
        </w:tc>
      </w:tr>
      <w:tr>
        <w:tc>
          <w:tcPr/>
          <w:p>
            <w:pPr>
              <w:pStyle w:val="Compact"/>
            </w:pPr>
            <w:r>
              <w:t xml:space="preserve">memory-only</w:t>
            </w:r>
          </w:p>
        </w:tc>
        <w:tc>
          <w:tcPr/>
          <w:p>
            <w:pPr>
              <w:pStyle w:val="Compact"/>
              <w:jc w:val="center"/>
            </w:pPr>
            <w:r>
              <w:t xml:space="preserve">Yes</w:t>
            </w:r>
          </w:p>
        </w:tc>
        <w:tc>
          <w:tcPr/>
          <w:p>
            <w:pPr>
              <w:pStyle w:val="Compact"/>
              <w:jc w:val="center"/>
            </w:pPr>
            <w:r>
              <w:t xml:space="preserve">No</w:t>
            </w:r>
          </w:p>
        </w:tc>
      </w:tr>
      <w:tr>
        <w:tc>
          <w:tcPr/>
          <w:p>
            <w:pPr>
              <w:pStyle w:val="Compact"/>
            </w:pPr>
            <w:r>
              <w:t xml:space="preserve">disk-only</w:t>
            </w:r>
          </w:p>
        </w:tc>
        <w:tc>
          <w:tcPr/>
          <w:p>
            <w:pPr>
              <w:pStyle w:val="Compact"/>
              <w:jc w:val="center"/>
            </w:pPr>
            <w:r>
              <w:t xml:space="preserve">No</w:t>
            </w:r>
          </w:p>
        </w:tc>
        <w:tc>
          <w:tcPr/>
          <w:p>
            <w:pPr>
              <w:pStyle w:val="Compact"/>
              <w:jc w:val="center"/>
            </w:pPr>
            <w:r>
              <w:t xml:space="preserve">Yes</w:t>
            </w:r>
          </w:p>
        </w:tc>
      </w:tr>
      <w:tr>
        <w:tc>
          <w:tcPr/>
          <w:p>
            <w:pPr>
              <w:pStyle w:val="Compact"/>
            </w:pPr>
            <w:r>
              <w:t xml:space="preserve">disabled</w:t>
            </w:r>
          </w:p>
        </w:tc>
        <w:tc>
          <w:tcPr/>
          <w:p>
            <w:pPr>
              <w:pStyle w:val="Compact"/>
              <w:jc w:val="center"/>
            </w:pPr>
            <w:r>
              <w:t xml:space="preserve">No</w:t>
            </w:r>
          </w:p>
        </w:tc>
        <w:tc>
          <w:tcPr/>
          <w:p>
            <w:pPr>
              <w:pStyle w:val="Compact"/>
              <w:jc w:val="center"/>
            </w:pPr>
            <w:r>
              <w:t xml:space="preserve">No</w:t>
            </w:r>
          </w:p>
        </w:tc>
      </w:tr>
    </w:tbl>
    <w:p>
      <w:pPr>
        <w:pStyle w:val="BodyText"/>
      </w:pPr>
      <w:r>
        <w:t xml:space="preserve">Configure the mode in</w:t>
      </w:r>
      <w:r>
        <w:t xml:space="preserve"> </w:t>
      </w:r>
      <w:r>
        <w:rPr>
          <w:rStyle w:val="VerbatimChar"/>
        </w:rPr>
        <w:t xml:space="preserve">config/axonasp.toml</w:t>
      </w:r>
      <w:r>
        <w:t xml:space="preserve">:</w:t>
      </w:r>
    </w:p>
    <w:p>
      <w:pPr>
        <w:pStyle w:val="SourceCode"/>
      </w:pPr>
      <w:r>
        <w:rPr>
          <w:rStyle w:val="KeywordTok"/>
        </w:rPr>
        <w:t xml:space="preserve">[global]</w:t>
      </w:r>
      <w:r>
        <w:br/>
      </w:r>
      <w:r>
        <w:rPr>
          <w:rStyle w:val="DataTypeTok"/>
        </w:rPr>
        <w:t xml:space="preserve">bytecode_caching_enabled</w:t>
      </w:r>
      <w:r>
        <w:rPr>
          <w:rStyle w:val="NormalTok"/>
        </w:rPr>
        <w:t xml:space="preserve"> </w:t>
      </w:r>
      <w:r>
        <w:rPr>
          <w:rStyle w:val="OperatorTok"/>
        </w:rPr>
        <w:t xml:space="preserve">=</w:t>
      </w:r>
      <w:r>
        <w:rPr>
          <w:rStyle w:val="NormalTok"/>
        </w:rPr>
        <w:t xml:space="preserve"> </w:t>
      </w:r>
      <w:r>
        <w:rPr>
          <w:rStyle w:val="StringTok"/>
        </w:rPr>
        <w:t xml:space="preserve">"enabled"</w:t>
      </w:r>
      <w:r>
        <w:br/>
      </w:r>
      <w:r>
        <w:rPr>
          <w:rStyle w:val="DataTypeTok"/>
        </w:rPr>
        <w:t xml:space="preserve">cache_max_size_mb</w:t>
      </w:r>
      <w:r>
        <w:rPr>
          <w:rStyle w:val="NormalTok"/>
        </w:rPr>
        <w:t xml:space="preserve"> </w:t>
      </w:r>
      <w:r>
        <w:rPr>
          <w:rStyle w:val="OperatorTok"/>
        </w:rPr>
        <w:t xml:space="preserve">=</w:t>
      </w:r>
      <w:r>
        <w:rPr>
          <w:rStyle w:val="NormalTok"/>
        </w:rPr>
        <w:t xml:space="preserve"> </w:t>
      </w:r>
      <w:r>
        <w:rPr>
          <w:rStyle w:val="DecValTok"/>
        </w:rPr>
        <w:t xml:space="preserve">128</w:t>
      </w:r>
    </w:p>
    <w:bookmarkEnd w:id="236"/>
    <w:bookmarkStart w:id="237" w:name="eval-cache-axonvmeval_cache.go"/>
    <w:p>
      <w:pPr>
        <w:pStyle w:val="Heading3"/>
      </w:pPr>
      <w:r>
        <w:t xml:space="preserve">2. Eval Cache (axonvm/eval_cache.go)</w:t>
      </w:r>
    </w:p>
    <w:p>
      <w:pPr>
        <w:pStyle w:val="FirstParagraph"/>
      </w:pPr>
      <w:r>
        <w:t xml:space="preserve">The Eval cache stores compiled bytecode for expressions passed to the VBScript</w:t>
      </w:r>
      <w:r>
        <w:t xml:space="preserve"> </w:t>
      </w:r>
      <w:r>
        <w:rPr>
          <w:rStyle w:val="VerbatimChar"/>
        </w:rPr>
        <w:t xml:space="preserve">Eval()</w:t>
      </w:r>
      <w:r>
        <w:t xml:space="preserve"> </w:t>
      </w:r>
      <w:r>
        <w:t xml:space="preserve">built-in function. Expressions are keyed by a 64-bit FNV-1a hash derived from:</w:t>
      </w:r>
    </w:p>
    <w:p>
      <w:pPr>
        <w:pStyle w:val="Compact"/>
        <w:numPr>
          <w:ilvl w:val="0"/>
          <w:numId w:val="1083"/>
        </w:numPr>
      </w:pPr>
      <w:r>
        <w:t xml:space="preserve">The expression text</w:t>
      </w:r>
    </w:p>
    <w:p>
      <w:pPr>
        <w:pStyle w:val="Compact"/>
        <w:numPr>
          <w:ilvl w:val="0"/>
          <w:numId w:val="1083"/>
        </w:numPr>
      </w:pPr>
      <w:r>
        <w:t xml:space="preserve">The current</w:t>
      </w:r>
      <w:r>
        <w:t xml:space="preserve"> </w:t>
      </w:r>
      <w:r>
        <w:rPr>
          <w:rStyle w:val="VerbatimChar"/>
        </w:rPr>
        <w:t xml:space="preserve">Option Compare</w:t>
      </w:r>
      <w:r>
        <w:t xml:space="preserve"> </w:t>
      </w:r>
      <w:r>
        <w:t xml:space="preserve">mode</w:t>
      </w:r>
    </w:p>
    <w:p>
      <w:pPr>
        <w:pStyle w:val="Compact"/>
        <w:numPr>
          <w:ilvl w:val="0"/>
          <w:numId w:val="1083"/>
        </w:numPr>
      </w:pPr>
      <w:r>
        <w:t xml:space="preserve">A hash of the active global symbol names</w:t>
      </w:r>
    </w:p>
    <w:p>
      <w:pPr>
        <w:pStyle w:val="Compact"/>
        <w:numPr>
          <w:ilvl w:val="0"/>
          <w:numId w:val="1083"/>
        </w:numPr>
      </w:pPr>
      <w:r>
        <w:t xml:space="preserve">A hash of the local procedure scope symbol names</w:t>
      </w:r>
    </w:p>
    <w:p>
      <w:pPr>
        <w:pStyle w:val="FirstParagraph"/>
      </w:pPr>
      <w:r>
        <w:t xml:space="preserve">Cache capacity is fixed at 512 entries (LRU eviction). An expression that produces the same hash as a cached entry is reused directly without recompilation. The cache is process-wide and shared across all concurrent requests.</w:t>
      </w:r>
    </w:p>
    <w:bookmarkEnd w:id="237"/>
    <w:bookmarkStart w:id="238" w:name="X8aa1ba7c4d0570d77c904731395d7d2838fbbf9"/>
    <w:p>
      <w:pPr>
        <w:pStyle w:val="Heading3"/>
      </w:pPr>
      <w:r>
        <w:t xml:space="preserve">3. Dynamic Execute Cache (axonvm/dynamic_exec_cache.go)</w:t>
      </w:r>
    </w:p>
    <w:p>
      <w:pPr>
        <w:pStyle w:val="FirstParagraph"/>
      </w:pPr>
      <w:r>
        <w:t xml:space="preserve">The dynamic execute cache stores compiled bytecode for code fragments passed to the VBScript</w:t>
      </w:r>
      <w:r>
        <w:t xml:space="preserve"> </w:t>
      </w:r>
      <w:r>
        <w:rPr>
          <w:rStyle w:val="VerbatimChar"/>
        </w:rPr>
        <w:t xml:space="preserve">Execute()</w:t>
      </w:r>
      <w:r>
        <w:t xml:space="preserve"> </w:t>
      </w:r>
      <w:r>
        <w:t xml:space="preserve">and</w:t>
      </w:r>
      <w:r>
        <w:t xml:space="preserve"> </w:t>
      </w:r>
      <w:r>
        <w:rPr>
          <w:rStyle w:val="VerbatimChar"/>
        </w:rPr>
        <w:t xml:space="preserve">ExecuteGlobal()</w:t>
      </w:r>
      <w:r>
        <w:t xml:space="preserve"> </w:t>
      </w:r>
      <w:r>
        <w:t xml:space="preserve">built-in functions. The cache key is a 64-bit FNV-1a hash derived from:</w:t>
      </w:r>
    </w:p>
    <w:p>
      <w:pPr>
        <w:pStyle w:val="Compact"/>
        <w:numPr>
          <w:ilvl w:val="0"/>
          <w:numId w:val="1084"/>
        </w:numPr>
      </w:pPr>
      <w:r>
        <w:t xml:space="preserve">The code fragment text</w:t>
      </w:r>
    </w:p>
    <w:p>
      <w:pPr>
        <w:pStyle w:val="Compact"/>
        <w:numPr>
          <w:ilvl w:val="0"/>
          <w:numId w:val="1084"/>
        </w:numPr>
      </w:pPr>
      <w:r>
        <w:t xml:space="preserve">The execution kind (Execute vs ExecuteGlobal)</w:t>
      </w:r>
    </w:p>
    <w:p>
      <w:pPr>
        <w:pStyle w:val="Compact"/>
        <w:numPr>
          <w:ilvl w:val="0"/>
          <w:numId w:val="1084"/>
        </w:numPr>
      </w:pPr>
      <w:r>
        <w:t xml:space="preserve">The current</w:t>
      </w:r>
      <w:r>
        <w:t xml:space="preserve"> </w:t>
      </w:r>
      <w:r>
        <w:rPr>
          <w:rStyle w:val="VerbatimChar"/>
        </w:rPr>
        <w:t xml:space="preserve">Option Compare</w:t>
      </w:r>
      <w:r>
        <w:t xml:space="preserve"> </w:t>
      </w:r>
      <w:r>
        <w:t xml:space="preserve">and</w:t>
      </w:r>
      <w:r>
        <w:t xml:space="preserve"> </w:t>
      </w:r>
      <w:r>
        <w:rPr>
          <w:rStyle w:val="VerbatimChar"/>
        </w:rPr>
        <w:t xml:space="preserve">Option Explicit</w:t>
      </w:r>
      <w:r>
        <w:t xml:space="preserve"> </w:t>
      </w:r>
      <w:r>
        <w:t xml:space="preserve">modes</w:t>
      </w:r>
    </w:p>
    <w:p>
      <w:pPr>
        <w:pStyle w:val="Compact"/>
        <w:numPr>
          <w:ilvl w:val="0"/>
          <w:numId w:val="1084"/>
        </w:numPr>
      </w:pPr>
      <w:r>
        <w:t xml:space="preserve">A hash of the active global symbol names and local scope (for Execute)</w:t>
      </w:r>
    </w:p>
    <w:p>
      <w:pPr>
        <w:pStyle w:val="Compact"/>
        <w:numPr>
          <w:ilvl w:val="0"/>
          <w:numId w:val="1084"/>
        </w:numPr>
      </w:pPr>
      <w:r>
        <w:t xml:space="preserve">A snapshot of active class version and class name (for Execute)</w:t>
      </w:r>
    </w:p>
    <w:p>
      <w:pPr>
        <w:pStyle w:val="FirstParagraph"/>
      </w:pPr>
      <w:r>
        <w:t xml:space="preserve">Cache capacity is fixed at 512 entries (LRU eviction). On a cache hit, the compiler symbol snapshot is also restored to keep class and global state consistent.</w:t>
      </w:r>
    </w:p>
    <w:bookmarkEnd w:id="238"/>
    <w:bookmarkStart w:id="239" w:name="X7aeb766e3d4b89607362113f614faf7513cd060"/>
    <w:p>
      <w:pPr>
        <w:pStyle w:val="Heading3"/>
      </w:pPr>
      <w:r>
        <w:t xml:space="preserve">4. Execute File Cache (axonvm/execute_file_cache.go)</w:t>
      </w:r>
    </w:p>
    <w:p>
      <w:pPr>
        <w:pStyle w:val="FirstParagraph"/>
      </w:pPr>
      <w:r>
        <w:t xml:space="preserve">A dedicated in-memory-only cache with a capacity of 64 entries handles child pages invoked via</w:t>
      </w:r>
      <w:r>
        <w:t xml:space="preserve"> </w:t>
      </w:r>
      <w:r>
        <w:rPr>
          <w:rStyle w:val="VerbatimChar"/>
        </w:rPr>
        <w:t xml:space="preserve">Server.Execute</w:t>
      </w:r>
      <w:r>
        <w:t xml:space="preserve">. This cache uses the same</w:t>
      </w:r>
      <w:r>
        <w:t xml:space="preserve"> </w:t>
      </w:r>
      <w:r>
        <w:rPr>
          <w:rStyle w:val="VerbatimChar"/>
        </w:rPr>
        <w:t xml:space="preserve">ScriptCache</w:t>
      </w:r>
      <w:r>
        <w:t xml:space="preserve"> </w:t>
      </w:r>
      <w:r>
        <w:t xml:space="preserve">subsystem as the primary script cache but operates in</w:t>
      </w:r>
      <w:r>
        <w:t xml:space="preserve"> </w:t>
      </w:r>
      <w:r>
        <w:rPr>
          <w:rStyle w:val="VerbatimChar"/>
        </w:rPr>
        <w:t xml:space="preserve">memory-only</w:t>
      </w:r>
      <w:r>
        <w:t xml:space="preserve"> </w:t>
      </w:r>
      <w:r>
        <w:t xml:space="preserve">mode without disk persistence.</w:t>
      </w:r>
    </w:p>
    <w:bookmarkEnd w:id="239"/>
    <w:bookmarkEnd w:id="240"/>
    <w:bookmarkStart w:id="241" w:name="configuration-reference-1"/>
    <w:p>
      <w:pPr>
        <w:pStyle w:val="Heading2"/>
      </w:pPr>
      <w:r>
        <w:t xml:space="preserve">Configuration Reference</w:t>
      </w:r>
    </w:p>
    <w:tbl>
      <w:tblPr>
        <w:tblStyle w:val="Table"/>
        <w:tblW w:type="pct" w:w="5000"/>
        <w:tblLayout w:type="fixed"/>
        <w:tblLook w:firstRow="1" w:lastRow="0" w:firstColumn="0" w:lastColumn="0" w:noHBand="0" w:noVBand="0" w:val="0020"/>
      </w:tblPr>
      <w:tblGrid>
        <w:gridCol w:w="1549"/>
        <w:gridCol w:w="1549"/>
        <w:gridCol w:w="1033"/>
        <w:gridCol w:w="1549"/>
        <w:gridCol w:w="2238"/>
      </w:tblGrid>
      <w:tr>
        <w:trPr>
          <w:tblHeader w:val="on"/>
        </w:trPr>
        <w:tc>
          <w:tcPr/>
          <w:p>
            <w:pPr>
              <w:pStyle w:val="Compact"/>
            </w:pPr>
            <w:r>
              <w:t xml:space="preserve">Setting</w:t>
            </w:r>
          </w:p>
        </w:tc>
        <w:tc>
          <w:tcPr/>
          <w:p>
            <w:pPr>
              <w:pStyle w:val="Compact"/>
            </w:pPr>
            <w:r>
              <w:t xml:space="preserve">Section</w:t>
            </w:r>
          </w:p>
        </w:tc>
        <w:tc>
          <w:tcPr/>
          <w:p>
            <w:pPr>
              <w:pStyle w:val="Compact"/>
            </w:pPr>
            <w:r>
              <w:t xml:space="preserve">Type</w:t>
            </w:r>
          </w:p>
        </w:tc>
        <w:tc>
          <w:tcPr/>
          <w:p>
            <w:pPr>
              <w:pStyle w:val="Compact"/>
            </w:pPr>
            <w:r>
              <w:t xml:space="preserve">Default</w:t>
            </w:r>
          </w:p>
        </w:tc>
        <w:tc>
          <w:tcPr/>
          <w:p>
            <w:pPr>
              <w:pStyle w:val="Compact"/>
            </w:pPr>
            <w:r>
              <w:t xml:space="preserve">Description</w:t>
            </w:r>
          </w:p>
        </w:tc>
      </w:tr>
      <w:tr>
        <w:tc>
          <w:tcPr/>
          <w:p>
            <w:pPr>
              <w:pStyle w:val="Compact"/>
            </w:pPr>
            <w:r>
              <w:t xml:space="preserve">bytecode_caching_enabled</w:t>
            </w:r>
          </w:p>
        </w:tc>
        <w:tc>
          <w:tcPr/>
          <w:p>
            <w:pPr>
              <w:pStyle w:val="Compact"/>
            </w:pPr>
            <w:r>
              <w:t xml:space="preserve">[global]</w:t>
            </w:r>
          </w:p>
        </w:tc>
        <w:tc>
          <w:tcPr/>
          <w:p>
            <w:pPr>
              <w:pStyle w:val="Compact"/>
            </w:pPr>
            <w:r>
              <w:t xml:space="preserve">string</w:t>
            </w:r>
          </w:p>
        </w:tc>
        <w:tc>
          <w:tcPr/>
          <w:p>
            <w:pPr>
              <w:pStyle w:val="Compact"/>
            </w:pPr>
            <w:r>
              <w:t xml:space="preserve">“enabled”</w:t>
            </w:r>
          </w:p>
        </w:tc>
        <w:tc>
          <w:tcPr/>
          <w:p>
            <w:pPr>
              <w:pStyle w:val="Compact"/>
            </w:pPr>
            <w:r>
              <w:t xml:space="preserve">Cache mode: enabled / memory-only / disk-only / disabled</w:t>
            </w:r>
          </w:p>
        </w:tc>
      </w:tr>
      <w:tr>
        <w:tc>
          <w:tcPr/>
          <w:p>
            <w:pPr>
              <w:pStyle w:val="Compact"/>
            </w:pPr>
            <w:r>
              <w:t xml:space="preserve">cache_max_size_mb</w:t>
            </w:r>
          </w:p>
        </w:tc>
        <w:tc>
          <w:tcPr/>
          <w:p>
            <w:pPr>
              <w:pStyle w:val="Compact"/>
            </w:pPr>
            <w:r>
              <w:t xml:space="preserve">[global]</w:t>
            </w:r>
          </w:p>
        </w:tc>
        <w:tc>
          <w:tcPr/>
          <w:p>
            <w:pPr>
              <w:pStyle w:val="Compact"/>
            </w:pPr>
            <w:r>
              <w:t xml:space="preserve">integer</w:t>
            </w:r>
          </w:p>
        </w:tc>
        <w:tc>
          <w:tcPr/>
          <w:p>
            <w:pPr>
              <w:pStyle w:val="Compact"/>
            </w:pPr>
            <w:r>
              <w:t xml:space="preserve">128</w:t>
            </w:r>
          </w:p>
        </w:tc>
        <w:tc>
          <w:tcPr/>
          <w:p>
            <w:pPr>
              <w:pStyle w:val="Compact"/>
            </w:pPr>
            <w:r>
              <w:t xml:space="preserve">Maximum size of the in-memory script cache in megabytes</w:t>
            </w:r>
          </w:p>
        </w:tc>
      </w:tr>
      <w:tr>
        <w:tc>
          <w:tcPr/>
          <w:p>
            <w:pPr>
              <w:pStyle w:val="Compact"/>
            </w:pPr>
            <w:r>
              <w:t xml:space="preserve">clean_cache_on_startup</w:t>
            </w:r>
          </w:p>
        </w:tc>
        <w:tc>
          <w:tcPr/>
          <w:p>
            <w:pPr>
              <w:pStyle w:val="Compact"/>
            </w:pPr>
            <w:r>
              <w:t xml:space="preserve">[global]</w:t>
            </w:r>
          </w:p>
        </w:tc>
        <w:tc>
          <w:tcPr/>
          <w:p>
            <w:pPr>
              <w:pStyle w:val="Compact"/>
            </w:pPr>
            <w:r>
              <w:t xml:space="preserve">boolean</w:t>
            </w:r>
          </w:p>
        </w:tc>
        <w:tc>
          <w:tcPr/>
          <w:p>
            <w:pPr>
              <w:pStyle w:val="Compact"/>
            </w:pPr>
            <w:r>
              <w:t xml:space="preserve">true</w:t>
            </w:r>
          </w:p>
        </w:tc>
        <w:tc>
          <w:tcPr/>
          <w:p>
            <w:pPr>
              <w:pStyle w:val="Compact"/>
            </w:pPr>
            <w:r>
              <w:t xml:space="preserve">Clear compiled bytecode cache files at server startup</w:t>
            </w:r>
          </w:p>
        </w:tc>
      </w:tr>
    </w:tbl>
    <w:bookmarkEnd w:id="241"/>
    <w:bookmarkStart w:id="242" w:name="remarks-8"/>
    <w:p>
      <w:pPr>
        <w:pStyle w:val="Heading2"/>
      </w:pPr>
      <w:r>
        <w:t xml:space="preserve">Remarks</w:t>
      </w:r>
    </w:p>
    <w:p>
      <w:pPr>
        <w:pStyle w:val="Compact"/>
        <w:numPr>
          <w:ilvl w:val="0"/>
          <w:numId w:val="1085"/>
        </w:numPr>
      </w:pPr>
      <w:r>
        <w:t xml:space="preserve">Caching is fully transparent. No code changes are needed in ASP scripts to benefit from it.</w:t>
      </w:r>
    </w:p>
    <w:p>
      <w:pPr>
        <w:pStyle w:val="Compact"/>
        <w:numPr>
          <w:ilvl w:val="0"/>
          <w:numId w:val="1085"/>
        </w:numPr>
      </w:pPr>
      <w:r>
        <w:t xml:space="preserve">The disk cache is stored in</w:t>
      </w:r>
      <w:r>
        <w:t xml:space="preserve"> </w:t>
      </w:r>
      <w:r>
        <w:rPr>
          <w:rStyle w:val="VerbatimChar"/>
        </w:rPr>
        <w:t xml:space="preserve">temp/cache</w:t>
      </w:r>
      <w:r>
        <w:t xml:space="preserve">. This directory is created automatically if it does not exist.</w:t>
      </w:r>
    </w:p>
    <w:p>
      <w:pPr>
        <w:pStyle w:val="Compact"/>
        <w:numPr>
          <w:ilvl w:val="0"/>
          <w:numId w:val="1085"/>
        </w:numPr>
      </w:pPr>
      <w:r>
        <w:t xml:space="preserve">On clean server startup with</w:t>
      </w:r>
      <w:r>
        <w:t xml:space="preserve"> </w:t>
      </w:r>
      <w:r>
        <w:rPr>
          <w:rStyle w:val="VerbatimChar"/>
        </w:rPr>
        <w:t xml:space="preserve">clean_cache_on_startup = true</w:t>
      </w:r>
      <w:r>
        <w:t xml:space="preserve">, all existing disk cache files are deleted and a fresh compilation pass occurs on the first request to each script.</w:t>
      </w:r>
    </w:p>
    <w:p>
      <w:pPr>
        <w:pStyle w:val="Compact"/>
        <w:numPr>
          <w:ilvl w:val="0"/>
          <w:numId w:val="1085"/>
        </w:numPr>
      </w:pPr>
      <w:r>
        <w:t xml:space="preserve">The Eval and dynamic execute caches are always active when the VM is running, regardless of the</w:t>
      </w:r>
      <w:r>
        <w:t xml:space="preserve"> </w:t>
      </w:r>
      <w:r>
        <w:rPr>
          <w:rStyle w:val="VerbatimChar"/>
        </w:rPr>
        <w:t xml:space="preserve">bytecode_caching_enabled</w:t>
      </w:r>
      <w:r>
        <w:t xml:space="preserve"> </w:t>
      </w:r>
      <w:r>
        <w:t xml:space="preserve">setting. Their size is fixed in code and is not controlled by</w:t>
      </w:r>
      <w:r>
        <w:t xml:space="preserve"> </w:t>
      </w:r>
      <w:r>
        <w:rPr>
          <w:rStyle w:val="VerbatimChar"/>
        </w:rPr>
        <w:t xml:space="preserve">cache_max_size_mb</w:t>
      </w:r>
      <w:r>
        <w:t xml:space="preserve">.</w:t>
      </w:r>
    </w:p>
    <w:p>
      <w:pPr>
        <w:pStyle w:val="Compact"/>
        <w:numPr>
          <w:ilvl w:val="0"/>
          <w:numId w:val="1085"/>
        </w:numPr>
      </w:pPr>
      <w:r>
        <w:t xml:space="preserve">The file watcher invalidates only memory-tier entries. Disk cache files are invalidated by the modification time check on load.</w:t>
      </w:r>
    </w:p>
    <w:p>
      <w:pPr>
        <w:pStyle w:val="Compact"/>
        <w:numPr>
          <w:ilvl w:val="0"/>
          <w:numId w:val="1085"/>
        </w:numPr>
      </w:pPr>
      <w:r>
        <w:t xml:space="preserve">Include file dependencies are tracked in the disk cache. If an included</w:t>
      </w:r>
      <w:r>
        <w:t xml:space="preserve"> </w:t>
      </w:r>
      <w:r>
        <w:rPr>
          <w:rStyle w:val="VerbatimChar"/>
        </w:rPr>
        <w:t xml:space="preserve">.asp</w:t>
      </w:r>
      <w:r>
        <w:t xml:space="preserve"> </w:t>
      </w:r>
      <w:r>
        <w:t xml:space="preserve">or</w:t>
      </w:r>
      <w:r>
        <w:t xml:space="preserve"> </w:t>
      </w:r>
      <w:r>
        <w:rPr>
          <w:rStyle w:val="VerbatimChar"/>
        </w:rPr>
        <w:t xml:space="preserve">.inc</w:t>
      </w:r>
      <w:r>
        <w:t xml:space="preserve"> </w:t>
      </w:r>
      <w:r>
        <w:t xml:space="preserve">file changes, the cache entry for the parent page is also invalidated.</w:t>
      </w:r>
    </w:p>
    <w:p>
      <w:pPr>
        <w:pStyle w:val="Compact"/>
        <w:numPr>
          <w:ilvl w:val="0"/>
          <w:numId w:val="1085"/>
        </w:numPr>
      </w:pPr>
      <w:r>
        <w:t xml:space="preserve">The binary cache format includes a version number. When the engine is upgraded and the binary version changes, all existing disk cache files are automatically rejected and recompiled.</w:t>
      </w:r>
    </w:p>
    <w:bookmarkEnd w:id="242"/>
    <w:bookmarkEnd w:id="243"/>
    <w:bookmarkStart w:id="252" w:name="Xebae80b654ec1bb85050809adb6afa5c9e9c3b2"/>
    <w:p>
      <w:pPr>
        <w:pStyle w:val="Heading1"/>
      </w:pPr>
      <w:r>
        <w:t xml:space="preserve">Use AxonASP Build Scripts with Supported Options</w:t>
      </w:r>
    </w:p>
    <w:bookmarkStart w:id="244" w:name="overview-16"/>
    <w:p>
      <w:pPr>
        <w:pStyle w:val="Heading2"/>
      </w:pPr>
      <w:r>
        <w:t xml:space="preserve">Overview</w:t>
      </w:r>
    </w:p>
    <w:p>
      <w:pPr>
        <w:pStyle w:val="FirstParagraph"/>
      </w:pPr>
      <w:r>
        <w:t xml:space="preserve">This page explains how to use the AxonASP build scripts and all supported options in each script.</w:t>
      </w:r>
    </w:p>
    <w:p>
      <w:pPr>
        <w:pStyle w:val="BodyText"/>
      </w:pPr>
      <w:r>
        <w:t xml:space="preserve">The build scripts compile all AxonASP executables from one command:</w:t>
      </w:r>
      <w:r>
        <w:t xml:space="preserve"> </w:t>
      </w:r>
      <w:r>
        <w:t xml:space="preserve">- axonasp-http</w:t>
      </w:r>
      <w:r>
        <w:t xml:space="preserve"> </w:t>
      </w:r>
      <w:r>
        <w:t xml:space="preserve">- axonasp-fastcgi</w:t>
      </w:r>
      <w:r>
        <w:t xml:space="preserve"> </w:t>
      </w:r>
      <w:r>
        <w:t xml:space="preserve">- axonasp-cli</w:t>
      </w:r>
      <w:r>
        <w:t xml:space="preserve"> </w:t>
      </w:r>
      <w:r>
        <w:t xml:space="preserve">- axonasp-testsuite</w:t>
      </w:r>
      <w:r>
        <w:t xml:space="preserve"> </w:t>
      </w:r>
      <w:r>
        <w:t xml:space="preserve">- axonasp-mcp</w:t>
      </w:r>
      <w:r>
        <w:t xml:space="preserve"> </w:t>
      </w:r>
      <w:r>
        <w:t xml:space="preserve">- axonasp-service</w:t>
      </w:r>
    </w:p>
    <w:p>
      <w:pPr>
        <w:pStyle w:val="BodyText"/>
      </w:pPr>
      <w:r>
        <w:t xml:space="preserve">Use:</w:t>
      </w:r>
      <w:r>
        <w:t xml:space="preserve"> </w:t>
      </w:r>
      <w:r>
        <w:t xml:space="preserve">- build.ps1 on Windows PowerShell</w:t>
      </w:r>
      <w:r>
        <w:t xml:space="preserve"> </w:t>
      </w:r>
      <w:r>
        <w:t xml:space="preserve">- build.sh on Linux and macOS Bash</w:t>
      </w:r>
    </w:p>
    <w:bookmarkEnd w:id="244"/>
    <w:bookmarkStart w:id="245" w:name="syntax-1"/>
    <w:p>
      <w:pPr>
        <w:pStyle w:val="Heading2"/>
      </w:pPr>
      <w:r>
        <w:t xml:space="preserve">Syntax</w:t>
      </w:r>
    </w:p>
    <w:p>
      <w:pPr>
        <w:pStyle w:val="FirstParagraph"/>
      </w:pPr>
      <w:r>
        <w:t xml:space="preserve">Windows PowerShell:</w:t>
      </w:r>
    </w:p>
    <w:p>
      <w:pPr>
        <w:pStyle w:val="SourceCode"/>
      </w:pPr>
      <w:r>
        <w:rPr>
          <w:rStyle w:val="OperatorTok"/>
        </w:rPr>
        <w:t xml:space="preserve">./</w:t>
      </w:r>
      <w:r>
        <w:rPr>
          <w:rStyle w:val="NormalTok"/>
        </w:rPr>
        <w:t xml:space="preserve">build</w:t>
      </w:r>
      <w:r>
        <w:rPr>
          <w:rStyle w:val="OperatorTok"/>
        </w:rPr>
        <w:t xml:space="preserve">.</w:t>
      </w:r>
      <w:r>
        <w:rPr>
          <w:rStyle w:val="FunctionTok"/>
        </w:rPr>
        <w:t xml:space="preserve">ps1</w:t>
      </w:r>
      <w:r>
        <w:rPr>
          <w:rStyle w:val="NormalTok"/>
        </w:rPr>
        <w:t xml:space="preserve"> </w:t>
      </w:r>
      <w:r>
        <w:rPr>
          <w:rStyle w:val="OperatorTok"/>
        </w:rPr>
        <w:t xml:space="preserve">[</w:t>
      </w:r>
      <w:r>
        <w:rPr>
          <w:rStyle w:val="NormalTok"/>
        </w:rPr>
        <w:t xml:space="preserve">-Platform windows</w:t>
      </w:r>
      <w:r>
        <w:rPr>
          <w:rStyle w:val="OperatorTok"/>
        </w:rPr>
        <w:t xml:space="preserve">|</w:t>
      </w:r>
      <w:r>
        <w:rPr>
          <w:rStyle w:val="NormalTok"/>
        </w:rPr>
        <w:t xml:space="preserve">linux</w:t>
      </w:r>
      <w:r>
        <w:rPr>
          <w:rStyle w:val="OperatorTok"/>
        </w:rPr>
        <w:t xml:space="preserve">|</w:t>
      </w:r>
      <w:r>
        <w:rPr>
          <w:rStyle w:val="NormalTok"/>
        </w:rPr>
        <w:t xml:space="preserve">darwin</w:t>
      </w:r>
      <w:r>
        <w:rPr>
          <w:rStyle w:val="OperatorTok"/>
        </w:rPr>
        <w:t xml:space="preserve">|</w:t>
      </w:r>
      <w:r>
        <w:rPr>
          <w:rStyle w:val="NormalTok"/>
        </w:rPr>
        <w:t xml:space="preserve">wasm</w:t>
      </w:r>
      <w:r>
        <w:rPr>
          <w:rStyle w:val="OperatorTok"/>
        </w:rPr>
        <w:t xml:space="preserve">|</w:t>
      </w:r>
      <w:r>
        <w:rPr>
          <w:rStyle w:val="NormalTok"/>
        </w:rPr>
        <w:t xml:space="preserve">all</w:t>
      </w:r>
      <w:r>
        <w:rPr>
          <w:rStyle w:val="OperatorTok"/>
        </w:rPr>
        <w:t xml:space="preserve">]</w:t>
      </w:r>
      <w:r>
        <w:rPr>
          <w:rStyle w:val="NormalTok"/>
        </w:rPr>
        <w:t xml:space="preserve"> </w:t>
      </w:r>
      <w:r>
        <w:rPr>
          <w:rStyle w:val="OperatorTok"/>
        </w:rPr>
        <w:t xml:space="preserve">[</w:t>
      </w:r>
      <w:r>
        <w:rPr>
          <w:rStyle w:val="NormalTok"/>
        </w:rPr>
        <w:t xml:space="preserve">-Architecture amd64</w:t>
      </w:r>
      <w:r>
        <w:rPr>
          <w:rStyle w:val="OperatorTok"/>
        </w:rPr>
        <w:t xml:space="preserve">|</w:t>
      </w:r>
      <w:r>
        <w:rPr>
          <w:rStyle w:val="NormalTok"/>
        </w:rPr>
        <w:t xml:space="preserve">arm64</w:t>
      </w:r>
      <w:r>
        <w:rPr>
          <w:rStyle w:val="OperatorTok"/>
        </w:rPr>
        <w:t xml:space="preserve">|</w:t>
      </w:r>
      <w:r>
        <w:rPr>
          <w:rStyle w:val="DecValTok"/>
        </w:rPr>
        <w:t xml:space="preserve">386</w:t>
      </w:r>
      <w:r>
        <w:rPr>
          <w:rStyle w:val="OperatorTok"/>
        </w:rPr>
        <w:t xml:space="preserve">]</w:t>
      </w:r>
      <w:r>
        <w:rPr>
          <w:rStyle w:val="NormalTok"/>
        </w:rPr>
        <w:t xml:space="preserve"> </w:t>
      </w:r>
      <w:r>
        <w:rPr>
          <w:rStyle w:val="OperatorTok"/>
        </w:rPr>
        <w:t xml:space="preserve">[</w:t>
      </w:r>
      <w:r>
        <w:rPr>
          <w:rStyle w:val="NormalTok"/>
        </w:rPr>
        <w:t xml:space="preserve">-Clean</w:t>
      </w:r>
      <w:r>
        <w:rPr>
          <w:rStyle w:val="OperatorTok"/>
        </w:rPr>
        <w:t xml:space="preserve">]</w:t>
      </w:r>
      <w:r>
        <w:rPr>
          <w:rStyle w:val="NormalTok"/>
        </w:rPr>
        <w:t xml:space="preserve"> </w:t>
      </w:r>
      <w:r>
        <w:rPr>
          <w:rStyle w:val="OperatorTok"/>
        </w:rPr>
        <w:t xml:space="preserve">[</w:t>
      </w:r>
      <w:r>
        <w:rPr>
          <w:rStyle w:val="NormalTok"/>
        </w:rPr>
        <w:t xml:space="preserve">-Test</w:t>
      </w:r>
      <w:r>
        <w:rPr>
          <w:rStyle w:val="OperatorTok"/>
        </w:rPr>
        <w:t xml:space="preserve">]</w:t>
      </w:r>
      <w:r>
        <w:rPr>
          <w:rStyle w:val="NormalTok"/>
        </w:rPr>
        <w:t xml:space="preserve"> </w:t>
      </w:r>
      <w:r>
        <w:rPr>
          <w:rStyle w:val="OperatorTok"/>
        </w:rPr>
        <w:t xml:space="preserve">[</w:t>
      </w:r>
      <w:r>
        <w:rPr>
          <w:rStyle w:val="NormalTok"/>
        </w:rPr>
        <w:t xml:space="preserve">-Tags </w:t>
      </w:r>
      <w:r>
        <w:rPr>
          <w:rStyle w:val="StringTok"/>
        </w:rPr>
        <w:t xml:space="preserve">"tag1 tag2"</w:t>
      </w:r>
      <w:r>
        <w:rPr>
          <w:rStyle w:val="OperatorTok"/>
        </w:rPr>
        <w:t xml:space="preserve">]</w:t>
      </w:r>
    </w:p>
    <w:p>
      <w:pPr>
        <w:pStyle w:val="FirstParagraph"/>
      </w:pPr>
      <w:r>
        <w:t xml:space="preserve">Linux and macOS Bash:</w:t>
      </w:r>
    </w:p>
    <w:p>
      <w:pPr>
        <w:pStyle w:val="SourceCode"/>
      </w:pPr>
      <w:r>
        <w:rPr>
          <w:rStyle w:val="ExtensionTok"/>
        </w:rPr>
        <w:t xml:space="preserve">./build.sh</w:t>
      </w:r>
      <w:r>
        <w:rPr>
          <w:rStyle w:val="NormalTok"/>
        </w:rPr>
        <w:t xml:space="preserve"> [--platform</w:t>
      </w:r>
      <w:r>
        <w:rPr>
          <w:rStyle w:val="KeywordTok"/>
        </w:rPr>
        <w:t xml:space="preserve">|</w:t>
      </w:r>
      <w:r>
        <w:rPr>
          <w:rStyle w:val="ExtensionTok"/>
        </w:rPr>
        <w:t xml:space="preserve">-p</w:t>
      </w:r>
      <w:r>
        <w:rPr>
          <w:rStyle w:val="NormalTok"/>
        </w:rPr>
        <w:t xml:space="preserve"> windows</w:t>
      </w:r>
      <w:r>
        <w:rPr>
          <w:rStyle w:val="KeywordTok"/>
        </w:rPr>
        <w:t xml:space="preserve">|</w:t>
      </w:r>
      <w:r>
        <w:rPr>
          <w:rStyle w:val="ExtensionTok"/>
        </w:rPr>
        <w:t xml:space="preserve">linux</w:t>
      </w:r>
      <w:r>
        <w:rPr>
          <w:rStyle w:val="KeywordTok"/>
        </w:rPr>
        <w:t xml:space="preserve">|</w:t>
      </w:r>
      <w:r>
        <w:rPr>
          <w:rStyle w:val="ExtensionTok"/>
        </w:rPr>
        <w:t xml:space="preserve">darwin</w:t>
      </w:r>
      <w:r>
        <w:rPr>
          <w:rStyle w:val="KeywordTok"/>
        </w:rPr>
        <w:t xml:space="preserve">|</w:t>
      </w:r>
      <w:r>
        <w:rPr>
          <w:rStyle w:val="ExtensionTok"/>
        </w:rPr>
        <w:t xml:space="preserve">wasm</w:t>
      </w:r>
      <w:r>
        <w:rPr>
          <w:rStyle w:val="KeywordTok"/>
        </w:rPr>
        <w:t xml:space="preserve">|</w:t>
      </w:r>
      <w:r>
        <w:rPr>
          <w:rStyle w:val="ExtensionTok"/>
        </w:rPr>
        <w:t xml:space="preserve">all]</w:t>
      </w:r>
      <w:r>
        <w:rPr>
          <w:rStyle w:val="NormalTok"/>
        </w:rPr>
        <w:t xml:space="preserve"> [--arch</w:t>
      </w:r>
      <w:r>
        <w:rPr>
          <w:rStyle w:val="KeywordTok"/>
        </w:rPr>
        <w:t xml:space="preserve">|</w:t>
      </w:r>
      <w:r>
        <w:rPr>
          <w:rStyle w:val="ExtensionTok"/>
        </w:rPr>
        <w:t xml:space="preserve">-a</w:t>
      </w:r>
      <w:r>
        <w:rPr>
          <w:rStyle w:val="NormalTok"/>
        </w:rPr>
        <w:t xml:space="preserve"> amd64</w:t>
      </w:r>
      <w:r>
        <w:rPr>
          <w:rStyle w:val="KeywordTok"/>
        </w:rPr>
        <w:t xml:space="preserve">|</w:t>
      </w:r>
      <w:r>
        <w:rPr>
          <w:rStyle w:val="ExtensionTok"/>
        </w:rPr>
        <w:t xml:space="preserve">arm64</w:t>
      </w:r>
      <w:r>
        <w:rPr>
          <w:rStyle w:val="KeywordTok"/>
        </w:rPr>
        <w:t xml:space="preserve">|</w:t>
      </w:r>
      <w:r>
        <w:rPr>
          <w:rStyle w:val="ExtensionTok"/>
        </w:rPr>
        <w:t xml:space="preserve">386]</w:t>
      </w:r>
      <w:r>
        <w:rPr>
          <w:rStyle w:val="NormalTok"/>
        </w:rPr>
        <w:t xml:space="preserve"> [--clean</w:t>
      </w:r>
      <w:r>
        <w:rPr>
          <w:rStyle w:val="KeywordTok"/>
        </w:rPr>
        <w:t xml:space="preserve">|</w:t>
      </w:r>
      <w:r>
        <w:rPr>
          <w:rStyle w:val="ExtensionTok"/>
        </w:rPr>
        <w:t xml:space="preserve">-c]</w:t>
      </w:r>
      <w:r>
        <w:rPr>
          <w:rStyle w:val="NormalTok"/>
        </w:rPr>
        <w:t xml:space="preserve"> [--test</w:t>
      </w:r>
      <w:r>
        <w:rPr>
          <w:rStyle w:val="KeywordTok"/>
        </w:rPr>
        <w:t xml:space="preserve">|</w:t>
      </w:r>
      <w:r>
        <w:rPr>
          <w:rStyle w:val="ExtensionTok"/>
        </w:rPr>
        <w:t xml:space="preserve">-t]</w:t>
      </w:r>
      <w:r>
        <w:rPr>
          <w:rStyle w:val="NormalTok"/>
        </w:rPr>
        <w:t xml:space="preserve"> [--tags</w:t>
      </w:r>
      <w:r>
        <w:rPr>
          <w:rStyle w:val="KeywordTok"/>
        </w:rPr>
        <w:t xml:space="preserve">|</w:t>
      </w:r>
      <w:r>
        <w:rPr>
          <w:rStyle w:val="ExtensionTok"/>
        </w:rPr>
        <w:t xml:space="preserve">-g</w:t>
      </w:r>
      <w:r>
        <w:rPr>
          <w:rStyle w:val="NormalTok"/>
        </w:rPr>
        <w:t xml:space="preserve"> </w:t>
      </w:r>
      <w:r>
        <w:rPr>
          <w:rStyle w:val="StringTok"/>
        </w:rPr>
        <w:t xml:space="preserve">"tag1 tag2"</w:t>
      </w:r>
      <w:r>
        <w:rPr>
          <w:rStyle w:val="NormalTok"/>
        </w:rPr>
        <w:t xml:space="preserve">]</w:t>
      </w:r>
    </w:p>
    <w:bookmarkEnd w:id="245"/>
    <w:bookmarkStart w:id="248" w:name="parameters-and-arguments-1"/>
    <w:p>
      <w:pPr>
        <w:pStyle w:val="Heading2"/>
      </w:pPr>
      <w:r>
        <w:t xml:space="preserve">Parameters and Arguments</w:t>
      </w:r>
    </w:p>
    <w:bookmarkStart w:id="246" w:name="windows-powershell-build.ps1"/>
    <w:p>
      <w:pPr>
        <w:pStyle w:val="Heading3"/>
      </w:pPr>
      <w:r>
        <w:t xml:space="preserve">Windows PowerShell (build.ps1)</w:t>
      </w:r>
    </w:p>
    <w:p>
      <w:pPr>
        <w:pStyle w:val="Compact"/>
        <w:numPr>
          <w:ilvl w:val="0"/>
          <w:numId w:val="1086"/>
        </w:numPr>
      </w:pPr>
      <w:r>
        <w:rPr>
          <w:rStyle w:val="VerbatimChar"/>
        </w:rPr>
        <w:t xml:space="preserve">-Platform</w:t>
      </w:r>
      <w:r>
        <w:t xml:space="preserve">:</w:t>
      </w:r>
    </w:p>
    <w:p>
      <w:pPr>
        <w:pStyle w:val="Compact"/>
        <w:numPr>
          <w:ilvl w:val="1"/>
          <w:numId w:val="1087"/>
        </w:numPr>
      </w:pPr>
      <w:r>
        <w:t xml:space="preserve">Type: String</w:t>
      </w:r>
    </w:p>
    <w:p>
      <w:pPr>
        <w:pStyle w:val="Compact"/>
        <w:numPr>
          <w:ilvl w:val="1"/>
          <w:numId w:val="1087"/>
        </w:numPr>
      </w:pPr>
      <w:r>
        <w:t xml:space="preserve">Required: No</w:t>
      </w:r>
    </w:p>
    <w:p>
      <w:pPr>
        <w:pStyle w:val="Compact"/>
        <w:numPr>
          <w:ilvl w:val="1"/>
          <w:numId w:val="1087"/>
        </w:numPr>
      </w:pPr>
      <w:r>
        <w:t xml:space="preserve">Default:</w:t>
      </w:r>
      <w:r>
        <w:t xml:space="preserve"> </w:t>
      </w:r>
      <w:r>
        <w:rPr>
          <w:rStyle w:val="VerbatimChar"/>
        </w:rPr>
        <w:t xml:space="preserve">windows</w:t>
      </w:r>
    </w:p>
    <w:p>
      <w:pPr>
        <w:pStyle w:val="Compact"/>
        <w:numPr>
          <w:ilvl w:val="1"/>
          <w:numId w:val="1087"/>
        </w:numPr>
      </w:pPr>
      <w:r>
        <w:t xml:space="preserve">Allowed values:</w:t>
      </w:r>
      <w:r>
        <w:t xml:space="preserve"> </w:t>
      </w:r>
      <w:r>
        <w:rPr>
          <w:rStyle w:val="VerbatimChar"/>
        </w:rPr>
        <w:t xml:space="preserve">windows</w:t>
      </w:r>
      <w:r>
        <w:t xml:space="preserve">,</w:t>
      </w:r>
      <w:r>
        <w:t xml:space="preserve"> </w:t>
      </w:r>
      <w:r>
        <w:rPr>
          <w:rStyle w:val="VerbatimChar"/>
        </w:rPr>
        <w:t xml:space="preserve">linux</w:t>
      </w:r>
      <w:r>
        <w:t xml:space="preserve">,</w:t>
      </w:r>
      <w:r>
        <w:t xml:space="preserve"> </w:t>
      </w:r>
      <w:r>
        <w:rPr>
          <w:rStyle w:val="VerbatimChar"/>
        </w:rPr>
        <w:t xml:space="preserve">darwin</w:t>
      </w:r>
      <w:r>
        <w:t xml:space="preserve">,</w:t>
      </w:r>
      <w:r>
        <w:t xml:space="preserve"> </w:t>
      </w:r>
      <w:r>
        <w:rPr>
          <w:rStyle w:val="VerbatimChar"/>
        </w:rPr>
        <w:t xml:space="preserve">wasm</w:t>
      </w:r>
      <w:r>
        <w:t xml:space="preserve">,</w:t>
      </w:r>
      <w:r>
        <w:t xml:space="preserve"> </w:t>
      </w:r>
      <w:r>
        <w:rPr>
          <w:rStyle w:val="VerbatimChar"/>
        </w:rPr>
        <w:t xml:space="preserve">all</w:t>
      </w:r>
    </w:p>
    <w:p>
      <w:pPr>
        <w:pStyle w:val="Compact"/>
        <w:numPr>
          <w:ilvl w:val="0"/>
          <w:numId w:val="1086"/>
        </w:numPr>
      </w:pPr>
      <w:r>
        <w:rPr>
          <w:rStyle w:val="VerbatimChar"/>
        </w:rPr>
        <w:t xml:space="preserve">-Architecture</w:t>
      </w:r>
      <w:r>
        <w:t xml:space="preserve">:</w:t>
      </w:r>
    </w:p>
    <w:p>
      <w:pPr>
        <w:pStyle w:val="Compact"/>
        <w:numPr>
          <w:ilvl w:val="1"/>
          <w:numId w:val="1088"/>
        </w:numPr>
      </w:pPr>
      <w:r>
        <w:t xml:space="preserve">Type: String</w:t>
      </w:r>
    </w:p>
    <w:p>
      <w:pPr>
        <w:pStyle w:val="Compact"/>
        <w:numPr>
          <w:ilvl w:val="1"/>
          <w:numId w:val="1088"/>
        </w:numPr>
      </w:pPr>
      <w:r>
        <w:t xml:space="preserve">Required: No</w:t>
      </w:r>
    </w:p>
    <w:p>
      <w:pPr>
        <w:pStyle w:val="Compact"/>
        <w:numPr>
          <w:ilvl w:val="1"/>
          <w:numId w:val="1088"/>
        </w:numPr>
      </w:pPr>
      <w:r>
        <w:t xml:space="preserve">Default:</w:t>
      </w:r>
      <w:r>
        <w:t xml:space="preserve"> </w:t>
      </w:r>
      <w:r>
        <w:rPr>
          <w:rStyle w:val="VerbatimChar"/>
        </w:rPr>
        <w:t xml:space="preserve">amd64</w:t>
      </w:r>
    </w:p>
    <w:p>
      <w:pPr>
        <w:pStyle w:val="Compact"/>
        <w:numPr>
          <w:ilvl w:val="1"/>
          <w:numId w:val="1088"/>
        </w:numPr>
      </w:pPr>
      <w:r>
        <w:t xml:space="preserve">Allowed values:</w:t>
      </w:r>
      <w:r>
        <w:t xml:space="preserve"> </w:t>
      </w:r>
      <w:r>
        <w:rPr>
          <w:rStyle w:val="VerbatimChar"/>
        </w:rPr>
        <w:t xml:space="preserve">amd64</w:t>
      </w:r>
      <w:r>
        <w:t xml:space="preserve">,</w:t>
      </w:r>
      <w:r>
        <w:t xml:space="preserve"> </w:t>
      </w:r>
      <w:r>
        <w:rPr>
          <w:rStyle w:val="VerbatimChar"/>
        </w:rPr>
        <w:t xml:space="preserve">arm64</w:t>
      </w:r>
      <w:r>
        <w:t xml:space="preserve">,</w:t>
      </w:r>
      <w:r>
        <w:t xml:space="preserve"> </w:t>
      </w:r>
      <w:r>
        <w:rPr>
          <w:rStyle w:val="VerbatimChar"/>
        </w:rPr>
        <w:t xml:space="preserve">386</w:t>
      </w:r>
    </w:p>
    <w:p>
      <w:pPr>
        <w:pStyle w:val="Compact"/>
        <w:numPr>
          <w:ilvl w:val="0"/>
          <w:numId w:val="1086"/>
        </w:numPr>
      </w:pPr>
      <w:r>
        <w:rPr>
          <w:rStyle w:val="VerbatimChar"/>
        </w:rPr>
        <w:t xml:space="preserve">-Clean</w:t>
      </w:r>
      <w:r>
        <w:t xml:space="preserve">:</w:t>
      </w:r>
    </w:p>
    <w:p>
      <w:pPr>
        <w:pStyle w:val="Compact"/>
        <w:numPr>
          <w:ilvl w:val="1"/>
          <w:numId w:val="1089"/>
        </w:numPr>
      </w:pPr>
      <w:r>
        <w:t xml:space="preserve">Type: Switch</w:t>
      </w:r>
    </w:p>
    <w:p>
      <w:pPr>
        <w:pStyle w:val="Compact"/>
        <w:numPr>
          <w:ilvl w:val="1"/>
          <w:numId w:val="1089"/>
        </w:numPr>
      </w:pPr>
      <w:r>
        <w:t xml:space="preserve">Required: No</w:t>
      </w:r>
    </w:p>
    <w:p>
      <w:pPr>
        <w:pStyle w:val="Compact"/>
        <w:numPr>
          <w:ilvl w:val="1"/>
          <w:numId w:val="1089"/>
        </w:numPr>
      </w:pPr>
      <w:r>
        <w:t xml:space="preserve">Purpose: Removes previous binaries and build directory before compiling.</w:t>
      </w:r>
    </w:p>
    <w:p>
      <w:pPr>
        <w:pStyle w:val="Compact"/>
        <w:numPr>
          <w:ilvl w:val="0"/>
          <w:numId w:val="1086"/>
        </w:numPr>
      </w:pPr>
      <w:r>
        <w:rPr>
          <w:rStyle w:val="VerbatimChar"/>
        </w:rPr>
        <w:t xml:space="preserve">-Test</w:t>
      </w:r>
      <w:r>
        <w:t xml:space="preserve">:</w:t>
      </w:r>
    </w:p>
    <w:p>
      <w:pPr>
        <w:pStyle w:val="Compact"/>
        <w:numPr>
          <w:ilvl w:val="1"/>
          <w:numId w:val="1090"/>
        </w:numPr>
      </w:pPr>
      <w:r>
        <w:t xml:space="preserve">Type: Switch</w:t>
      </w:r>
    </w:p>
    <w:p>
      <w:pPr>
        <w:pStyle w:val="Compact"/>
        <w:numPr>
          <w:ilvl w:val="1"/>
          <w:numId w:val="1090"/>
        </w:numPr>
      </w:pPr>
      <w:r>
        <w:t xml:space="preserve">Required: No</w:t>
      </w:r>
    </w:p>
    <w:p>
      <w:pPr>
        <w:pStyle w:val="Compact"/>
        <w:numPr>
          <w:ilvl w:val="1"/>
          <w:numId w:val="1090"/>
        </w:numPr>
      </w:pPr>
      <w:r>
        <w:t xml:space="preserve">Purpose: Runs</w:t>
      </w:r>
      <w:r>
        <w:t xml:space="preserve"> </w:t>
      </w:r>
      <w:r>
        <w:rPr>
          <w:rStyle w:val="VerbatimChar"/>
        </w:rPr>
        <w:t xml:space="preserve">go test ./...</w:t>
      </w:r>
      <w:r>
        <w:t xml:space="preserve"> </w:t>
      </w:r>
      <w:r>
        <w:t xml:space="preserve">after build steps.</w:t>
      </w:r>
    </w:p>
    <w:p>
      <w:pPr>
        <w:pStyle w:val="Compact"/>
        <w:numPr>
          <w:ilvl w:val="0"/>
          <w:numId w:val="1086"/>
        </w:numPr>
      </w:pPr>
      <w:r>
        <w:rPr>
          <w:rStyle w:val="VerbatimChar"/>
        </w:rPr>
        <w:t xml:space="preserve">-Tags</w:t>
      </w:r>
      <w:r>
        <w:t xml:space="preserve">:</w:t>
      </w:r>
    </w:p>
    <w:p>
      <w:pPr>
        <w:pStyle w:val="Compact"/>
        <w:numPr>
          <w:ilvl w:val="1"/>
          <w:numId w:val="1091"/>
        </w:numPr>
      </w:pPr>
      <w:r>
        <w:t xml:space="preserve">Type: String</w:t>
      </w:r>
    </w:p>
    <w:p>
      <w:pPr>
        <w:pStyle w:val="Compact"/>
        <w:numPr>
          <w:ilvl w:val="1"/>
          <w:numId w:val="1091"/>
        </w:numPr>
      </w:pPr>
      <w:r>
        <w:t xml:space="preserve">Required: No</w:t>
      </w:r>
    </w:p>
    <w:p>
      <w:pPr>
        <w:pStyle w:val="Compact"/>
        <w:numPr>
          <w:ilvl w:val="1"/>
          <w:numId w:val="1091"/>
        </w:numPr>
      </w:pPr>
      <w:r>
        <w:t xml:space="preserve">Purpose: Passes Go build tags to all compilation targets.</w:t>
      </w:r>
    </w:p>
    <w:p>
      <w:pPr>
        <w:pStyle w:val="Compact"/>
        <w:numPr>
          <w:ilvl w:val="1"/>
          <w:numId w:val="1091"/>
        </w:numPr>
      </w:pPr>
      <w:r>
        <w:t xml:space="preserve">Tag separators accepted: spaces, commas, semicolons.</w:t>
      </w:r>
    </w:p>
    <w:bookmarkEnd w:id="246"/>
    <w:bookmarkStart w:id="247" w:name="linux-and-macos-bash-build.sh"/>
    <w:p>
      <w:pPr>
        <w:pStyle w:val="Heading3"/>
      </w:pPr>
      <w:r>
        <w:t xml:space="preserve">Linux and macOS Bash (build.sh)</w:t>
      </w:r>
    </w:p>
    <w:p>
      <w:pPr>
        <w:pStyle w:val="Compact"/>
        <w:numPr>
          <w:ilvl w:val="0"/>
          <w:numId w:val="1092"/>
        </w:numPr>
      </w:pPr>
      <w:r>
        <w:rPr>
          <w:rStyle w:val="VerbatimChar"/>
        </w:rPr>
        <w:t xml:space="preserve">--platform</w:t>
      </w:r>
      <w:r>
        <w:t xml:space="preserve"> </w:t>
      </w:r>
      <w:r>
        <w:t xml:space="preserve">or</w:t>
      </w:r>
      <w:r>
        <w:t xml:space="preserve"> </w:t>
      </w:r>
      <w:r>
        <w:rPr>
          <w:rStyle w:val="VerbatimChar"/>
        </w:rPr>
        <w:t xml:space="preserve">-p</w:t>
      </w:r>
      <w:r>
        <w:t xml:space="preserve">:</w:t>
      </w:r>
    </w:p>
    <w:p>
      <w:pPr>
        <w:pStyle w:val="Compact"/>
        <w:numPr>
          <w:ilvl w:val="1"/>
          <w:numId w:val="1093"/>
        </w:numPr>
      </w:pPr>
      <w:r>
        <w:t xml:space="preserve">Type: String</w:t>
      </w:r>
    </w:p>
    <w:p>
      <w:pPr>
        <w:pStyle w:val="Compact"/>
        <w:numPr>
          <w:ilvl w:val="1"/>
          <w:numId w:val="1093"/>
        </w:numPr>
      </w:pPr>
      <w:r>
        <w:t xml:space="preserve">Required: No</w:t>
      </w:r>
    </w:p>
    <w:p>
      <w:pPr>
        <w:pStyle w:val="Compact"/>
        <w:numPr>
          <w:ilvl w:val="1"/>
          <w:numId w:val="1093"/>
        </w:numPr>
      </w:pPr>
      <w:r>
        <w:t xml:space="preserve">Default:</w:t>
      </w:r>
      <w:r>
        <w:t xml:space="preserve"> </w:t>
      </w:r>
      <w:r>
        <w:rPr>
          <w:rStyle w:val="VerbatimChar"/>
        </w:rPr>
        <w:t xml:space="preserve">linux</w:t>
      </w:r>
    </w:p>
    <w:p>
      <w:pPr>
        <w:pStyle w:val="Compact"/>
        <w:numPr>
          <w:ilvl w:val="1"/>
          <w:numId w:val="1093"/>
        </w:numPr>
      </w:pPr>
      <w:r>
        <w:t xml:space="preserve">Allowed values:</w:t>
      </w:r>
      <w:r>
        <w:t xml:space="preserve"> </w:t>
      </w:r>
      <w:r>
        <w:rPr>
          <w:rStyle w:val="VerbatimChar"/>
        </w:rPr>
        <w:t xml:space="preserve">windows</w:t>
      </w:r>
      <w:r>
        <w:t xml:space="preserve">,</w:t>
      </w:r>
      <w:r>
        <w:t xml:space="preserve"> </w:t>
      </w:r>
      <w:r>
        <w:rPr>
          <w:rStyle w:val="VerbatimChar"/>
        </w:rPr>
        <w:t xml:space="preserve">linux</w:t>
      </w:r>
      <w:r>
        <w:t xml:space="preserve">,</w:t>
      </w:r>
      <w:r>
        <w:t xml:space="preserve"> </w:t>
      </w:r>
      <w:r>
        <w:rPr>
          <w:rStyle w:val="VerbatimChar"/>
        </w:rPr>
        <w:t xml:space="preserve">darwin</w:t>
      </w:r>
      <w:r>
        <w:t xml:space="preserve">,</w:t>
      </w:r>
      <w:r>
        <w:t xml:space="preserve"> </w:t>
      </w:r>
      <w:r>
        <w:rPr>
          <w:rStyle w:val="VerbatimChar"/>
        </w:rPr>
        <w:t xml:space="preserve">wasm</w:t>
      </w:r>
      <w:r>
        <w:t xml:space="preserve">,</w:t>
      </w:r>
      <w:r>
        <w:t xml:space="preserve"> </w:t>
      </w:r>
      <w:r>
        <w:rPr>
          <w:rStyle w:val="VerbatimChar"/>
        </w:rPr>
        <w:t xml:space="preserve">all</w:t>
      </w:r>
    </w:p>
    <w:p>
      <w:pPr>
        <w:pStyle w:val="Compact"/>
        <w:numPr>
          <w:ilvl w:val="0"/>
          <w:numId w:val="1092"/>
        </w:numPr>
      </w:pPr>
      <w:r>
        <w:rPr>
          <w:rStyle w:val="VerbatimChar"/>
        </w:rPr>
        <w:t xml:space="preserve">--arch</w:t>
      </w:r>
      <w:r>
        <w:t xml:space="preserve"> </w:t>
      </w:r>
      <w:r>
        <w:t xml:space="preserve">or</w:t>
      </w:r>
      <w:r>
        <w:t xml:space="preserve"> </w:t>
      </w:r>
      <w:r>
        <w:rPr>
          <w:rStyle w:val="VerbatimChar"/>
        </w:rPr>
        <w:t xml:space="preserve">-a</w:t>
      </w:r>
      <w:r>
        <w:t xml:space="preserve">:</w:t>
      </w:r>
    </w:p>
    <w:p>
      <w:pPr>
        <w:pStyle w:val="Compact"/>
        <w:numPr>
          <w:ilvl w:val="1"/>
          <w:numId w:val="1094"/>
        </w:numPr>
      </w:pPr>
      <w:r>
        <w:t xml:space="preserve">Type: String</w:t>
      </w:r>
    </w:p>
    <w:p>
      <w:pPr>
        <w:pStyle w:val="Compact"/>
        <w:numPr>
          <w:ilvl w:val="1"/>
          <w:numId w:val="1094"/>
        </w:numPr>
      </w:pPr>
      <w:r>
        <w:t xml:space="preserve">Required: No</w:t>
      </w:r>
    </w:p>
    <w:p>
      <w:pPr>
        <w:pStyle w:val="Compact"/>
        <w:numPr>
          <w:ilvl w:val="1"/>
          <w:numId w:val="1094"/>
        </w:numPr>
      </w:pPr>
      <w:r>
        <w:t xml:space="preserve">Default:</w:t>
      </w:r>
      <w:r>
        <w:t xml:space="preserve"> </w:t>
      </w:r>
      <w:r>
        <w:rPr>
          <w:rStyle w:val="VerbatimChar"/>
        </w:rPr>
        <w:t xml:space="preserve">amd64</w:t>
      </w:r>
    </w:p>
    <w:p>
      <w:pPr>
        <w:pStyle w:val="Compact"/>
        <w:numPr>
          <w:ilvl w:val="1"/>
          <w:numId w:val="1094"/>
        </w:numPr>
      </w:pPr>
      <w:r>
        <w:t xml:space="preserve">Allowed values:</w:t>
      </w:r>
      <w:r>
        <w:t xml:space="preserve"> </w:t>
      </w:r>
      <w:r>
        <w:rPr>
          <w:rStyle w:val="VerbatimChar"/>
        </w:rPr>
        <w:t xml:space="preserve">amd64</w:t>
      </w:r>
      <w:r>
        <w:t xml:space="preserve">,</w:t>
      </w:r>
      <w:r>
        <w:t xml:space="preserve"> </w:t>
      </w:r>
      <w:r>
        <w:rPr>
          <w:rStyle w:val="VerbatimChar"/>
        </w:rPr>
        <w:t xml:space="preserve">arm64</w:t>
      </w:r>
      <w:r>
        <w:t xml:space="preserve">,</w:t>
      </w:r>
      <w:r>
        <w:t xml:space="preserve"> </w:t>
      </w:r>
      <w:r>
        <w:rPr>
          <w:rStyle w:val="VerbatimChar"/>
        </w:rPr>
        <w:t xml:space="preserve">386</w:t>
      </w:r>
    </w:p>
    <w:p>
      <w:pPr>
        <w:pStyle w:val="Compact"/>
        <w:numPr>
          <w:ilvl w:val="0"/>
          <w:numId w:val="1092"/>
        </w:numPr>
      </w:pPr>
      <w:r>
        <w:rPr>
          <w:rStyle w:val="VerbatimChar"/>
        </w:rPr>
        <w:t xml:space="preserve">--clean</w:t>
      </w:r>
      <w:r>
        <w:t xml:space="preserve"> </w:t>
      </w:r>
      <w:r>
        <w:t xml:space="preserve">or</w:t>
      </w:r>
      <w:r>
        <w:t xml:space="preserve"> </w:t>
      </w:r>
      <w:r>
        <w:rPr>
          <w:rStyle w:val="VerbatimChar"/>
        </w:rPr>
        <w:t xml:space="preserve">-c</w:t>
      </w:r>
      <w:r>
        <w:t xml:space="preserve">:</w:t>
      </w:r>
    </w:p>
    <w:p>
      <w:pPr>
        <w:pStyle w:val="Compact"/>
        <w:numPr>
          <w:ilvl w:val="1"/>
          <w:numId w:val="1095"/>
        </w:numPr>
      </w:pPr>
      <w:r>
        <w:t xml:space="preserve">Type: Flag</w:t>
      </w:r>
    </w:p>
    <w:p>
      <w:pPr>
        <w:pStyle w:val="Compact"/>
        <w:numPr>
          <w:ilvl w:val="1"/>
          <w:numId w:val="1095"/>
        </w:numPr>
      </w:pPr>
      <w:r>
        <w:t xml:space="preserve">Required: No</w:t>
      </w:r>
    </w:p>
    <w:p>
      <w:pPr>
        <w:pStyle w:val="Compact"/>
        <w:numPr>
          <w:ilvl w:val="1"/>
          <w:numId w:val="1095"/>
        </w:numPr>
      </w:pPr>
      <w:r>
        <w:t xml:space="preserve">Purpose: Removes previous binaries and build directory before compiling.</w:t>
      </w:r>
    </w:p>
    <w:p>
      <w:pPr>
        <w:pStyle w:val="Compact"/>
        <w:numPr>
          <w:ilvl w:val="0"/>
          <w:numId w:val="1092"/>
        </w:numPr>
      </w:pPr>
      <w:r>
        <w:rPr>
          <w:rStyle w:val="VerbatimChar"/>
        </w:rPr>
        <w:t xml:space="preserve">--test</w:t>
      </w:r>
      <w:r>
        <w:t xml:space="preserve"> </w:t>
      </w:r>
      <w:r>
        <w:t xml:space="preserve">or</w:t>
      </w:r>
      <w:r>
        <w:t xml:space="preserve"> </w:t>
      </w:r>
      <w:r>
        <w:rPr>
          <w:rStyle w:val="VerbatimChar"/>
        </w:rPr>
        <w:t xml:space="preserve">-t</w:t>
      </w:r>
      <w:r>
        <w:t xml:space="preserve">:</w:t>
      </w:r>
    </w:p>
    <w:p>
      <w:pPr>
        <w:pStyle w:val="Compact"/>
        <w:numPr>
          <w:ilvl w:val="1"/>
          <w:numId w:val="1096"/>
        </w:numPr>
      </w:pPr>
      <w:r>
        <w:t xml:space="preserve">Type: Flag</w:t>
      </w:r>
    </w:p>
    <w:p>
      <w:pPr>
        <w:pStyle w:val="Compact"/>
        <w:numPr>
          <w:ilvl w:val="1"/>
          <w:numId w:val="1096"/>
        </w:numPr>
      </w:pPr>
      <w:r>
        <w:t xml:space="preserve">Required: No</w:t>
      </w:r>
    </w:p>
    <w:p>
      <w:pPr>
        <w:pStyle w:val="Compact"/>
        <w:numPr>
          <w:ilvl w:val="1"/>
          <w:numId w:val="1096"/>
        </w:numPr>
      </w:pPr>
      <w:r>
        <w:t xml:space="preserve">Purpose: Runs</w:t>
      </w:r>
      <w:r>
        <w:t xml:space="preserve"> </w:t>
      </w:r>
      <w:r>
        <w:rPr>
          <w:rStyle w:val="VerbatimChar"/>
        </w:rPr>
        <w:t xml:space="preserve">go test ./...</w:t>
      </w:r>
      <w:r>
        <w:t xml:space="preserve"> </w:t>
      </w:r>
      <w:r>
        <w:t xml:space="preserve">after build steps.</w:t>
      </w:r>
    </w:p>
    <w:p>
      <w:pPr>
        <w:pStyle w:val="Compact"/>
        <w:numPr>
          <w:ilvl w:val="0"/>
          <w:numId w:val="1092"/>
        </w:numPr>
      </w:pPr>
      <w:r>
        <w:rPr>
          <w:rStyle w:val="VerbatimChar"/>
        </w:rPr>
        <w:t xml:space="preserve">--tags</w:t>
      </w:r>
      <w:r>
        <w:t xml:space="preserve"> </w:t>
      </w:r>
      <w:r>
        <w:t xml:space="preserve">or</w:t>
      </w:r>
      <w:r>
        <w:t xml:space="preserve"> </w:t>
      </w:r>
      <w:r>
        <w:rPr>
          <w:rStyle w:val="VerbatimChar"/>
        </w:rPr>
        <w:t xml:space="preserve">-g</w:t>
      </w:r>
      <w:r>
        <w:t xml:space="preserve">:</w:t>
      </w:r>
    </w:p>
    <w:p>
      <w:pPr>
        <w:pStyle w:val="Compact"/>
        <w:numPr>
          <w:ilvl w:val="1"/>
          <w:numId w:val="1097"/>
        </w:numPr>
      </w:pPr>
      <w:r>
        <w:t xml:space="preserve">Type: String</w:t>
      </w:r>
    </w:p>
    <w:p>
      <w:pPr>
        <w:pStyle w:val="Compact"/>
        <w:numPr>
          <w:ilvl w:val="1"/>
          <w:numId w:val="1097"/>
        </w:numPr>
      </w:pPr>
      <w:r>
        <w:t xml:space="preserve">Required: No</w:t>
      </w:r>
    </w:p>
    <w:p>
      <w:pPr>
        <w:pStyle w:val="Compact"/>
        <w:numPr>
          <w:ilvl w:val="1"/>
          <w:numId w:val="1097"/>
        </w:numPr>
      </w:pPr>
      <w:r>
        <w:t xml:space="preserve">Purpose: Passes Go build tags to all compilation targets.</w:t>
      </w:r>
    </w:p>
    <w:p>
      <w:pPr>
        <w:pStyle w:val="Compact"/>
        <w:numPr>
          <w:ilvl w:val="1"/>
          <w:numId w:val="1097"/>
        </w:numPr>
      </w:pPr>
      <w:r>
        <w:t xml:space="preserve">Tag separators accepted: spaces, commas, semicolons.</w:t>
      </w:r>
    </w:p>
    <w:bookmarkEnd w:id="247"/>
    <w:bookmarkEnd w:id="248"/>
    <w:bookmarkStart w:id="249" w:name="return-values-1"/>
    <w:p>
      <w:pPr>
        <w:pStyle w:val="Heading2"/>
      </w:pPr>
      <w:r>
        <w:t xml:space="preserve">Return Values</w:t>
      </w:r>
    </w:p>
    <w:p>
      <w:pPr>
        <w:pStyle w:val="Compact"/>
        <w:numPr>
          <w:ilvl w:val="0"/>
          <w:numId w:val="1098"/>
        </w:numPr>
      </w:pPr>
      <w:r>
        <w:t xml:space="preserve">Exit code</w:t>
      </w:r>
      <w:r>
        <w:t xml:space="preserve"> </w:t>
      </w:r>
      <w:r>
        <w:rPr>
          <w:rStyle w:val="VerbatimChar"/>
        </w:rPr>
        <w:t xml:space="preserve">0</w:t>
      </w:r>
      <w:r>
        <w:t xml:space="preserve">: All targets completed successfully.</w:t>
      </w:r>
    </w:p>
    <w:p>
      <w:pPr>
        <w:pStyle w:val="Compact"/>
        <w:numPr>
          <w:ilvl w:val="0"/>
          <w:numId w:val="1098"/>
        </w:numPr>
      </w:pPr>
      <w:r>
        <w:t xml:space="preserve">Exit code</w:t>
      </w:r>
      <w:r>
        <w:t xml:space="preserve"> </w:t>
      </w:r>
      <w:r>
        <w:rPr>
          <w:rStyle w:val="VerbatimChar"/>
        </w:rPr>
        <w:t xml:space="preserve">1</w:t>
      </w:r>
      <w:r>
        <w:t xml:space="preserve">: At least one build or test step failed.</w:t>
      </w:r>
    </w:p>
    <w:bookmarkEnd w:id="249"/>
    <w:bookmarkStart w:id="250" w:name="remarks-9"/>
    <w:p>
      <w:pPr>
        <w:pStyle w:val="Heading2"/>
      </w:pPr>
      <w:r>
        <w:t xml:space="preserve">Remarks</w:t>
      </w:r>
    </w:p>
    <w:p>
      <w:pPr>
        <w:pStyle w:val="Compact"/>
        <w:numPr>
          <w:ilvl w:val="0"/>
          <w:numId w:val="1099"/>
        </w:numPr>
      </w:pPr>
      <w:r>
        <w:t xml:space="preserve">Both scripts format source files and run</w:t>
      </w:r>
      <w:r>
        <w:t xml:space="preserve"> </w:t>
      </w:r>
      <w:r>
        <w:rPr>
          <w:rStyle w:val="VerbatimChar"/>
        </w:rPr>
        <w:t xml:space="preserve">go generate ./...</w:t>
      </w:r>
      <w:r>
        <w:t xml:space="preserve"> </w:t>
      </w:r>
      <w:r>
        <w:t xml:space="preserve">before building.</w:t>
      </w:r>
    </w:p>
    <w:p>
      <w:pPr>
        <w:pStyle w:val="Compact"/>
        <w:numPr>
          <w:ilvl w:val="0"/>
          <w:numId w:val="1099"/>
        </w:numPr>
      </w:pPr>
      <w:r>
        <w:t xml:space="preserve">For cross-platform output, use</w:t>
      </w:r>
      <w:r>
        <w:t xml:space="preserve"> </w:t>
      </w:r>
      <w:r>
        <w:rPr>
          <w:rStyle w:val="VerbatimChar"/>
        </w:rPr>
        <w:t xml:space="preserve">all</w:t>
      </w:r>
      <w:r>
        <w:t xml:space="preserve"> </w:t>
      </w:r>
      <w:r>
        <w:t xml:space="preserve">in platform selection.</w:t>
      </w:r>
    </w:p>
    <w:p>
      <w:pPr>
        <w:pStyle w:val="Compact"/>
        <w:numPr>
          <w:ilvl w:val="0"/>
          <w:numId w:val="1099"/>
        </w:numPr>
      </w:pPr>
      <w:r>
        <w:t xml:space="preserve">On Windows target builds, binaries use</w:t>
      </w:r>
      <w:r>
        <w:t xml:space="preserve"> </w:t>
      </w:r>
      <w:r>
        <w:rPr>
          <w:rStyle w:val="VerbatimChar"/>
        </w:rPr>
        <w:t xml:space="preserve">.exe</w:t>
      </w:r>
      <w:r>
        <w:t xml:space="preserve">. On Linux and macOS, binaries are created without extension.</w:t>
      </w:r>
    </w:p>
    <w:p>
      <w:pPr>
        <w:pStyle w:val="Compact"/>
        <w:numPr>
          <w:ilvl w:val="0"/>
          <w:numId w:val="1099"/>
        </w:numPr>
      </w:pPr>
      <w:r>
        <w:t xml:space="preserve">Tag-based library disabling should be handled through the tags option in each script.</w:t>
      </w:r>
    </w:p>
    <w:bookmarkEnd w:id="250"/>
    <w:bookmarkStart w:id="251" w:name="code-example-3"/>
    <w:p>
      <w:pPr>
        <w:pStyle w:val="Heading2"/>
      </w:pPr>
      <w:r>
        <w:t xml:space="preserve">Code Example</w:t>
      </w:r>
    </w:p>
    <w:p>
      <w:pPr>
        <w:pStyle w:val="FirstParagraph"/>
      </w:pPr>
      <w:r>
        <w:t xml:space="preserve">Windows examples:</w:t>
      </w:r>
    </w:p>
    <w:p>
      <w:pPr>
        <w:pStyle w:val="SourceCode"/>
      </w:pPr>
      <w:r>
        <w:rPr>
          <w:rStyle w:val="CommentTok"/>
        </w:rPr>
        <w:t xml:space="preserve"># Default Windows build</w:t>
      </w:r>
      <w:r>
        <w:br/>
      </w:r>
      <w:r>
        <w:rPr>
          <w:rStyle w:val="OperatorTok"/>
        </w:rPr>
        <w:t xml:space="preserve">./</w:t>
      </w:r>
      <w:r>
        <w:rPr>
          <w:rStyle w:val="NormalTok"/>
        </w:rPr>
        <w:t xml:space="preserve">build</w:t>
      </w:r>
      <w:r>
        <w:rPr>
          <w:rStyle w:val="OperatorTok"/>
        </w:rPr>
        <w:t xml:space="preserve">.</w:t>
      </w:r>
      <w:r>
        <w:rPr>
          <w:rStyle w:val="FunctionTok"/>
        </w:rPr>
        <w:t xml:space="preserve">ps1</w:t>
      </w:r>
      <w:r>
        <w:br/>
      </w:r>
      <w:r>
        <w:br/>
      </w:r>
      <w:r>
        <w:rPr>
          <w:rStyle w:val="CommentTok"/>
        </w:rPr>
        <w:t xml:space="preserve"># Build all platforms for amd64 and run tests</w:t>
      </w:r>
      <w:r>
        <w:br/>
      </w:r>
      <w:r>
        <w:rPr>
          <w:rStyle w:val="OperatorTok"/>
        </w:rPr>
        <w:t xml:space="preserve">./</w:t>
      </w:r>
      <w:r>
        <w:rPr>
          <w:rStyle w:val="NormalTok"/>
        </w:rPr>
        <w:t xml:space="preserve">build</w:t>
      </w:r>
      <w:r>
        <w:rPr>
          <w:rStyle w:val="OperatorTok"/>
        </w:rPr>
        <w:t xml:space="preserve">.</w:t>
      </w:r>
      <w:r>
        <w:rPr>
          <w:rStyle w:val="FunctionTok"/>
        </w:rPr>
        <w:t xml:space="preserve">ps1</w:t>
      </w:r>
      <w:r>
        <w:rPr>
          <w:rStyle w:val="NormalTok"/>
        </w:rPr>
        <w:t xml:space="preserve"> </w:t>
      </w:r>
      <w:r>
        <w:rPr>
          <w:rStyle w:val="OperatorTok"/>
        </w:rPr>
        <w:t xml:space="preserve">-</w:t>
      </w:r>
      <w:r>
        <w:rPr>
          <w:rStyle w:val="NormalTok"/>
        </w:rPr>
        <w:t xml:space="preserve">Platform all </w:t>
      </w:r>
      <w:r>
        <w:rPr>
          <w:rStyle w:val="OperatorTok"/>
        </w:rPr>
        <w:t xml:space="preserve">-</w:t>
      </w:r>
      <w:r>
        <w:rPr>
          <w:rStyle w:val="NormalTok"/>
        </w:rPr>
        <w:t xml:space="preserve">Architecture amd64 </w:t>
      </w:r>
      <w:r>
        <w:rPr>
          <w:rStyle w:val="OperatorTok"/>
        </w:rPr>
        <w:t xml:space="preserve">-</w:t>
      </w:r>
      <w:r>
        <w:rPr>
          <w:rStyle w:val="NormalTok"/>
        </w:rPr>
        <w:t xml:space="preserve">Test</w:t>
      </w:r>
      <w:r>
        <w:br/>
      </w:r>
      <w:r>
        <w:br/>
      </w:r>
      <w:r>
        <w:rPr>
          <w:rStyle w:val="CommentTok"/>
        </w:rPr>
        <w:t xml:space="preserve"># Clean and compile with disable tags</w:t>
      </w:r>
      <w:r>
        <w:br/>
      </w:r>
      <w:r>
        <w:rPr>
          <w:rStyle w:val="OperatorTok"/>
        </w:rPr>
        <w:t xml:space="preserve">./</w:t>
      </w:r>
      <w:r>
        <w:rPr>
          <w:rStyle w:val="NormalTok"/>
        </w:rPr>
        <w:t xml:space="preserve">build</w:t>
      </w:r>
      <w:r>
        <w:rPr>
          <w:rStyle w:val="OperatorTok"/>
        </w:rPr>
        <w:t xml:space="preserve">.</w:t>
      </w:r>
      <w:r>
        <w:rPr>
          <w:rStyle w:val="FunctionTok"/>
        </w:rPr>
        <w:t xml:space="preserve">ps1</w:t>
      </w:r>
      <w:r>
        <w:rPr>
          <w:rStyle w:val="NormalTok"/>
        </w:rPr>
        <w:t xml:space="preserve"> </w:t>
      </w:r>
      <w:r>
        <w:rPr>
          <w:rStyle w:val="OperatorTok"/>
        </w:rPr>
        <w:t xml:space="preserve">-</w:t>
      </w:r>
      <w:r>
        <w:rPr>
          <w:rStyle w:val="NormalTok"/>
        </w:rPr>
        <w:t xml:space="preserve">Clean </w:t>
      </w:r>
      <w:r>
        <w:rPr>
          <w:rStyle w:val="OperatorTok"/>
        </w:rPr>
        <w:t xml:space="preserve">-</w:t>
      </w:r>
      <w:r>
        <w:rPr>
          <w:rStyle w:val="NormalTok"/>
        </w:rPr>
        <w:t xml:space="preserve">Tags </w:t>
      </w:r>
      <w:r>
        <w:rPr>
          <w:rStyle w:val="StringTok"/>
        </w:rPr>
        <w:t xml:space="preserve">"lib_adodb_disabled lib_msxml_disabled"</w:t>
      </w:r>
    </w:p>
    <w:p>
      <w:pPr>
        <w:pStyle w:val="FirstParagraph"/>
      </w:pPr>
      <w:r>
        <w:t xml:space="preserve">Linux and macOS examples:</w:t>
      </w:r>
    </w:p>
    <w:p>
      <w:pPr>
        <w:pStyle w:val="SourceCode"/>
      </w:pPr>
      <w:r>
        <w:rPr>
          <w:rStyle w:val="CommentTok"/>
        </w:rPr>
        <w:t xml:space="preserve"># Default Linux build</w:t>
      </w:r>
      <w:r>
        <w:br/>
      </w:r>
      <w:r>
        <w:rPr>
          <w:rStyle w:val="ExtensionTok"/>
        </w:rPr>
        <w:t xml:space="preserve">./build.sh</w:t>
      </w:r>
      <w:r>
        <w:br/>
      </w:r>
      <w:r>
        <w:br/>
      </w:r>
      <w:r>
        <w:rPr>
          <w:rStyle w:val="CommentTok"/>
        </w:rPr>
        <w:t xml:space="preserve"># Build all platforms with tests</w:t>
      </w:r>
      <w:r>
        <w:br/>
      </w:r>
      <w:r>
        <w:rPr>
          <w:rStyle w:val="ExtensionTok"/>
        </w:rPr>
        <w:t xml:space="preserve">./build.sh</w:t>
      </w:r>
      <w:r>
        <w:rPr>
          <w:rStyle w:val="NormalTok"/>
        </w:rPr>
        <w:t xml:space="preserve"> </w:t>
      </w:r>
      <w:r>
        <w:rPr>
          <w:rStyle w:val="AttributeTok"/>
        </w:rPr>
        <w:t xml:space="preserve">--platform</w:t>
      </w:r>
      <w:r>
        <w:rPr>
          <w:rStyle w:val="NormalTok"/>
        </w:rPr>
        <w:t xml:space="preserve"> all </w:t>
      </w:r>
      <w:r>
        <w:rPr>
          <w:rStyle w:val="AttributeTok"/>
        </w:rPr>
        <w:t xml:space="preserve">--arch</w:t>
      </w:r>
      <w:r>
        <w:rPr>
          <w:rStyle w:val="NormalTok"/>
        </w:rPr>
        <w:t xml:space="preserve"> amd64 </w:t>
      </w:r>
      <w:r>
        <w:rPr>
          <w:rStyle w:val="AttributeTok"/>
        </w:rPr>
        <w:t xml:space="preserve">--test</w:t>
      </w:r>
      <w:r>
        <w:br/>
      </w:r>
      <w:r>
        <w:br/>
      </w:r>
      <w:r>
        <w:rPr>
          <w:rStyle w:val="CommentTok"/>
        </w:rPr>
        <w:t xml:space="preserve"># Clean and compile with disable tags</w:t>
      </w:r>
      <w:r>
        <w:br/>
      </w:r>
      <w:r>
        <w:rPr>
          <w:rStyle w:val="ExtensionTok"/>
        </w:rPr>
        <w:t xml:space="preserve">./build.sh</w:t>
      </w:r>
      <w:r>
        <w:rPr>
          <w:rStyle w:val="NormalTok"/>
        </w:rPr>
        <w:t xml:space="preserve"> </w:t>
      </w:r>
      <w:r>
        <w:rPr>
          <w:rStyle w:val="AttributeTok"/>
        </w:rPr>
        <w:t xml:space="preserve">--clean</w:t>
      </w:r>
      <w:r>
        <w:rPr>
          <w:rStyle w:val="NormalTok"/>
        </w:rPr>
        <w:t xml:space="preserve"> </w:t>
      </w:r>
      <w:r>
        <w:rPr>
          <w:rStyle w:val="AttributeTok"/>
        </w:rPr>
        <w:t xml:space="preserve">--tags</w:t>
      </w:r>
      <w:r>
        <w:rPr>
          <w:rStyle w:val="NormalTok"/>
        </w:rPr>
        <w:t xml:space="preserve"> </w:t>
      </w:r>
      <w:r>
        <w:rPr>
          <w:rStyle w:val="StringTok"/>
        </w:rPr>
        <w:t xml:space="preserve">"lib_adodb_disabled,lib_msxml_disabled"</w:t>
      </w:r>
    </w:p>
    <w:bookmarkEnd w:id="251"/>
    <w:bookmarkEnd w:id="252"/>
    <w:bookmarkStart w:id="259" w:name="X1e7847188a1b976429b12a87b80930de4e840a3"/>
    <w:p>
      <w:pPr>
        <w:pStyle w:val="Heading1"/>
      </w:pPr>
      <w:r>
        <w:t xml:space="preserve">Compile AxonASP with Library Disable Tags</w:t>
      </w:r>
    </w:p>
    <w:bookmarkStart w:id="253" w:name="overview-17"/>
    <w:p>
      <w:pPr>
        <w:pStyle w:val="Heading2"/>
      </w:pPr>
      <w:r>
        <w:t xml:space="preserve">Overview</w:t>
      </w:r>
    </w:p>
    <w:p>
      <w:pPr>
        <w:pStyle w:val="FirstParagraph"/>
      </w:pPr>
      <w:r>
        <w:t xml:space="preserve">This page explains how to compile G3Pix AxonASP with Go build tags that disable optional libraries. Use this when you want a smaller feature surface, fewer dependencies, or stricter runtime exposure.</w:t>
      </w:r>
    </w:p>
    <w:p>
      <w:pPr>
        <w:pStyle w:val="BodyText"/>
      </w:pPr>
      <w:r>
        <w:t xml:space="preserve">Use only the build scripts in the project root for this workflow:</w:t>
      </w:r>
      <w:r>
        <w:t xml:space="preserve"> </w:t>
      </w:r>
      <w:r>
        <w:t xml:space="preserve">- build.ps1 (Windows)</w:t>
      </w:r>
      <w:r>
        <w:t xml:space="preserve"> </w:t>
      </w:r>
      <w:r>
        <w:t xml:space="preserve">- build.sh (Linux and macOS)</w:t>
      </w:r>
    </w:p>
    <w:bookmarkEnd w:id="253"/>
    <w:bookmarkStart w:id="254" w:name="syntax-2"/>
    <w:p>
      <w:pPr>
        <w:pStyle w:val="Heading2"/>
      </w:pPr>
      <w:r>
        <w:t xml:space="preserve">Syntax</w:t>
      </w:r>
    </w:p>
    <w:p>
      <w:pPr>
        <w:pStyle w:val="FirstParagraph"/>
      </w:pPr>
      <w:r>
        <w:t xml:space="preserve">Windows PowerShell syntax:</w:t>
      </w:r>
    </w:p>
    <w:p>
      <w:pPr>
        <w:pStyle w:val="SourceCode"/>
      </w:pPr>
      <w:r>
        <w:rPr>
          <w:rStyle w:val="OperatorTok"/>
        </w:rPr>
        <w:t xml:space="preserve">./</w:t>
      </w:r>
      <w:r>
        <w:rPr>
          <w:rStyle w:val="NormalTok"/>
        </w:rPr>
        <w:t xml:space="preserve">build</w:t>
      </w:r>
      <w:r>
        <w:rPr>
          <w:rStyle w:val="OperatorTok"/>
        </w:rPr>
        <w:t xml:space="preserve">.</w:t>
      </w:r>
      <w:r>
        <w:rPr>
          <w:rStyle w:val="FunctionTok"/>
        </w:rPr>
        <w:t xml:space="preserve">ps1</w:t>
      </w:r>
      <w:r>
        <w:rPr>
          <w:rStyle w:val="NormalTok"/>
        </w:rPr>
        <w:t xml:space="preserve"> </w:t>
      </w:r>
      <w:r>
        <w:rPr>
          <w:rStyle w:val="OperatorTok"/>
        </w:rPr>
        <w:t xml:space="preserve">-</w:t>
      </w:r>
      <w:r>
        <w:rPr>
          <w:rStyle w:val="NormalTok"/>
        </w:rPr>
        <w:t xml:space="preserve">Tags </w:t>
      </w:r>
      <w:r>
        <w:rPr>
          <w:rStyle w:val="StringTok"/>
        </w:rPr>
        <w:t xml:space="preserve">"tag_one tag_two"</w:t>
      </w:r>
    </w:p>
    <w:p>
      <w:pPr>
        <w:pStyle w:val="FirstParagraph"/>
      </w:pPr>
      <w:r>
        <w:t xml:space="preserve">Linux and macOS Bash syntax:</w:t>
      </w:r>
    </w:p>
    <w:p>
      <w:pPr>
        <w:pStyle w:val="SourceCode"/>
      </w:pPr>
      <w:r>
        <w:rPr>
          <w:rStyle w:val="ExtensionTok"/>
        </w:rPr>
        <w:t xml:space="preserve">./build.sh</w:t>
      </w:r>
      <w:r>
        <w:rPr>
          <w:rStyle w:val="NormalTok"/>
        </w:rPr>
        <w:t xml:space="preserve"> </w:t>
      </w:r>
      <w:r>
        <w:rPr>
          <w:rStyle w:val="AttributeTok"/>
        </w:rPr>
        <w:t xml:space="preserve">--tags</w:t>
      </w:r>
      <w:r>
        <w:rPr>
          <w:rStyle w:val="NormalTok"/>
        </w:rPr>
        <w:t xml:space="preserve"> </w:t>
      </w:r>
      <w:r>
        <w:rPr>
          <w:rStyle w:val="StringTok"/>
        </w:rPr>
        <w:t xml:space="preserve">"tag_one tag_two"</w:t>
      </w:r>
    </w:p>
    <w:p>
      <w:pPr>
        <w:pStyle w:val="FirstParagraph"/>
      </w:pPr>
      <w:r>
        <w:t xml:space="preserve">Both scripts accept tags separated by spaces, commas, or semicolons.</w:t>
      </w:r>
    </w:p>
    <w:bookmarkEnd w:id="254"/>
    <w:bookmarkStart w:id="255" w:name="parameters-and-arguments-2"/>
    <w:p>
      <w:pPr>
        <w:pStyle w:val="Heading2"/>
      </w:pPr>
      <w:r>
        <w:t xml:space="preserve">Parameters and Arguments</w:t>
      </w:r>
    </w:p>
    <w:p>
      <w:pPr>
        <w:pStyle w:val="FirstParagraph"/>
      </w:pPr>
      <w:r>
        <w:rPr>
          <w:rStyle w:val="VerbatimChar"/>
        </w:rPr>
        <w:t xml:space="preserve">-Tags</w:t>
      </w:r>
      <w:r>
        <w:t xml:space="preserve"> </w:t>
      </w:r>
      <w:r>
        <w:t xml:space="preserve">(PowerShell) /</w:t>
      </w:r>
      <w:r>
        <w:t xml:space="preserve"> </w:t>
      </w:r>
      <w:r>
        <w:rPr>
          <w:rStyle w:val="VerbatimChar"/>
        </w:rPr>
        <w:t xml:space="preserve">--tags</w:t>
      </w:r>
      <w:r>
        <w:t xml:space="preserve"> </w:t>
      </w:r>
      <w:r>
        <w:t xml:space="preserve">(Bash):</w:t>
      </w:r>
      <w:r>
        <w:t xml:space="preserve"> </w:t>
      </w:r>
      <w:r>
        <w:t xml:space="preserve">- Type: String</w:t>
      </w:r>
      <w:r>
        <w:t xml:space="preserve"> </w:t>
      </w:r>
      <w:r>
        <w:t xml:space="preserve">- Required: No</w:t>
      </w:r>
      <w:r>
        <w:t xml:space="preserve"> </w:t>
      </w:r>
      <w:r>
        <w:t xml:space="preserve">- Purpose: Passes Go compilation tags to all AxonASP binaries produced by the script.</w:t>
      </w:r>
      <w:r>
        <w:t xml:space="preserve"> </w:t>
      </w:r>
      <w:r>
        <w:t xml:space="preserve">- Value format: One or more disable tags in a single string.</w:t>
      </w:r>
    </w:p>
    <w:p>
      <w:pPr>
        <w:pStyle w:val="BodyText"/>
      </w:pPr>
      <w:r>
        <w:t xml:space="preserve">Supported disable tags:</w:t>
      </w:r>
      <w:r>
        <w:t xml:space="preserve"> </w:t>
      </w:r>
      <w:r>
        <w:t xml:space="preserve">- lib_adodb_disabled</w:t>
      </w:r>
      <w:r>
        <w:t xml:space="preserve"> </w:t>
      </w:r>
      <w:r>
        <w:t xml:space="preserve">- lib_adodb_stream_disabled</w:t>
      </w:r>
      <w:r>
        <w:t xml:space="preserve"> </w:t>
      </w:r>
      <w:r>
        <w:t xml:space="preserve">- lib_g3axonfunctions_disabled</w:t>
      </w:r>
      <w:r>
        <w:t xml:space="preserve"> </w:t>
      </w:r>
      <w:r>
        <w:t xml:space="preserve">- lib_g3crypto_disabled</w:t>
      </w:r>
      <w:r>
        <w:t xml:space="preserve"> </w:t>
      </w:r>
      <w:r>
        <w:t xml:space="preserve">- lib_g3db_disabled</w:t>
      </w:r>
      <w:r>
        <w:t xml:space="preserve"> </w:t>
      </w:r>
      <w:r>
        <w:t xml:space="preserve">- lib_g3fc_disabled</w:t>
      </w:r>
      <w:r>
        <w:t xml:space="preserve"> </w:t>
      </w:r>
      <w:r>
        <w:t xml:space="preserve">- lib_g3files_disabled</w:t>
      </w:r>
      <w:r>
        <w:t xml:space="preserve"> </w:t>
      </w:r>
      <w:r>
        <w:t xml:space="preserve">- lib_g3fileuploader_disabled</w:t>
      </w:r>
      <w:r>
        <w:t xml:space="preserve"> </w:t>
      </w:r>
      <w:r>
        <w:t xml:space="preserve">- lib_g3http_disabled</w:t>
      </w:r>
      <w:r>
        <w:t xml:space="preserve"> </w:t>
      </w:r>
      <w:r>
        <w:t xml:space="preserve">- lib_g3image_disabled</w:t>
      </w:r>
      <w:r>
        <w:t xml:space="preserve"> </w:t>
      </w:r>
      <w:r>
        <w:t xml:space="preserve">- lib_g3json_disabled</w:t>
      </w:r>
      <w:r>
        <w:t xml:space="preserve"> </w:t>
      </w:r>
      <w:r>
        <w:t xml:space="preserve">- lib_g3mail_disabled</w:t>
      </w:r>
      <w:r>
        <w:t xml:space="preserve"> </w:t>
      </w:r>
      <w:r>
        <w:t xml:space="preserve">- lib_g3md_disabled</w:t>
      </w:r>
      <w:r>
        <w:t xml:space="preserve"> </w:t>
      </w:r>
      <w:r>
        <w:t xml:space="preserve">- lib_g3pdf_disabled</w:t>
      </w:r>
      <w:r>
        <w:t xml:space="preserve"> </w:t>
      </w:r>
      <w:r>
        <w:t xml:space="preserve">- lib_g3search_disabled</w:t>
      </w:r>
      <w:r>
        <w:t xml:space="preserve"> </w:t>
      </w:r>
      <w:r>
        <w:t xml:space="preserve">- lib_g3stringbuilder_disabled</w:t>
      </w:r>
      <w:r>
        <w:t xml:space="preserve"> </w:t>
      </w:r>
      <w:r>
        <w:t xml:space="preserve">- lib_g3tar_disabled</w:t>
      </w:r>
      <w:r>
        <w:t xml:space="preserve"> </w:t>
      </w:r>
      <w:r>
        <w:t xml:space="preserve">- lib_g3template_disabled</w:t>
      </w:r>
      <w:r>
        <w:t xml:space="preserve"> </w:t>
      </w:r>
      <w:r>
        <w:t xml:space="preserve">- lib_g3test_disabled</w:t>
      </w:r>
      <w:r>
        <w:t xml:space="preserve"> </w:t>
      </w:r>
      <w:r>
        <w:t xml:space="preserve">- lib_g3zip_disabled</w:t>
      </w:r>
      <w:r>
        <w:t xml:space="preserve"> </w:t>
      </w:r>
      <w:r>
        <w:t xml:space="preserve">- lib_g3zlib_disabled</w:t>
      </w:r>
      <w:r>
        <w:t xml:space="preserve"> </w:t>
      </w:r>
      <w:r>
        <w:t xml:space="preserve">- lib_g3zstd_disabled</w:t>
      </w:r>
      <w:r>
        <w:t xml:space="preserve"> </w:t>
      </w:r>
      <w:r>
        <w:t xml:space="preserve">- lib_mswc_disabled</w:t>
      </w:r>
      <w:r>
        <w:t xml:space="preserve"> </w:t>
      </w:r>
      <w:r>
        <w:t xml:space="preserve">- lib_msxml_disabled</w:t>
      </w:r>
      <w:r>
        <w:t xml:space="preserve"> </w:t>
      </w:r>
      <w:r>
        <w:t xml:space="preserve">- lib_scripting_dictionary_disabled</w:t>
      </w:r>
      <w:r>
        <w:t xml:space="preserve"> </w:t>
      </w:r>
      <w:r>
        <w:t xml:space="preserve">- lib_scripting_filesystemobject_disabled</w:t>
      </w:r>
      <w:r>
        <w:t xml:space="preserve"> </w:t>
      </w:r>
      <w:r>
        <w:t xml:space="preserve">- lib_wscript_shell_disabled</w:t>
      </w:r>
    </w:p>
    <w:p>
      <w:pPr>
        <w:pStyle w:val="BodyText"/>
      </w:pPr>
      <w:r>
        <w:t xml:space="preserve">Note about ADOX:</w:t>
      </w:r>
      <w:r>
        <w:t xml:space="preserve"> </w:t>
      </w:r>
      <w:r>
        <w:t xml:space="preserve">- ADOX is disabled by</w:t>
      </w:r>
      <w:r>
        <w:t xml:space="preserve"> </w:t>
      </w:r>
      <w:r>
        <w:rPr>
          <w:rStyle w:val="VerbatimChar"/>
        </w:rPr>
        <w:t xml:space="preserve">lib_adodb_disabled</w:t>
      </w:r>
      <w:r>
        <w:t xml:space="preserve">. This is because ADOX is a sub-library of ADODB and cannot be used if ADODB is disabled. There is no separate</w:t>
      </w:r>
      <w:r>
        <w:t xml:space="preserve"> </w:t>
      </w:r>
      <w:r>
        <w:rPr>
          <w:rStyle w:val="VerbatimChar"/>
        </w:rPr>
        <w:t xml:space="preserve">lib_adox_disabled</w:t>
      </w:r>
      <w:r>
        <w:t xml:space="preserve"> </w:t>
      </w:r>
      <w:r>
        <w:t xml:space="preserve">tag.</w:t>
      </w:r>
    </w:p>
    <w:bookmarkEnd w:id="255"/>
    <w:bookmarkStart w:id="256" w:name="return-values-2"/>
    <w:p>
      <w:pPr>
        <w:pStyle w:val="Heading2"/>
      </w:pPr>
      <w:r>
        <w:t xml:space="preserve">Return Values</w:t>
      </w:r>
    </w:p>
    <w:p>
      <w:pPr>
        <w:pStyle w:val="FirstParagraph"/>
      </w:pPr>
      <w:r>
        <w:t xml:space="preserve">The build scripts return:</w:t>
      </w:r>
      <w:r>
        <w:t xml:space="preserve"> </w:t>
      </w:r>
      <w:r>
        <w:t xml:space="preserve">- Exit code 0 when all selected binaries compile successfully.</w:t>
      </w:r>
      <w:r>
        <w:t xml:space="preserve"> </w:t>
      </w:r>
      <w:r>
        <w:t xml:space="preserve">- Exit code 1 when at least one target fails to compile.</w:t>
      </w:r>
    </w:p>
    <w:p>
      <w:pPr>
        <w:pStyle w:val="BodyText"/>
      </w:pPr>
      <w:r>
        <w:t xml:space="preserve">The script output also shows the active tag string when tags are provided.</w:t>
      </w:r>
    </w:p>
    <w:bookmarkEnd w:id="256"/>
    <w:bookmarkStart w:id="257" w:name="remarks-10"/>
    <w:p>
      <w:pPr>
        <w:pStyle w:val="Heading2"/>
      </w:pPr>
      <w:r>
        <w:t xml:space="preserve">Remarks</w:t>
      </w:r>
    </w:p>
    <w:p>
      <w:pPr>
        <w:pStyle w:val="Compact"/>
        <w:numPr>
          <w:ilvl w:val="0"/>
          <w:numId w:val="1100"/>
        </w:numPr>
      </w:pPr>
      <w:r>
        <w:t xml:space="preserve">Disable tags are compile-time switches. They do not toggle behavior at runtime.</w:t>
      </w:r>
    </w:p>
    <w:p>
      <w:pPr>
        <w:pStyle w:val="Compact"/>
        <w:numPr>
          <w:ilvl w:val="0"/>
          <w:numId w:val="1100"/>
        </w:numPr>
      </w:pPr>
      <w:r>
        <w:t xml:space="preserve">If ASP code calls</w:t>
      </w:r>
      <w:r>
        <w:t xml:space="preserve"> </w:t>
      </w:r>
      <w:r>
        <w:rPr>
          <w:rStyle w:val="VerbatimChar"/>
        </w:rPr>
        <w:t xml:space="preserve">Server.CreateObject</w:t>
      </w:r>
      <w:r>
        <w:t xml:space="preserve"> </w:t>
      </w:r>
      <w:r>
        <w:t xml:space="preserve">for a disabled library, object creation will fail with a runtime error.</w:t>
      </w:r>
    </w:p>
    <w:p>
      <w:pPr>
        <w:pStyle w:val="Compact"/>
        <w:numPr>
          <w:ilvl w:val="0"/>
          <w:numId w:val="1100"/>
        </w:numPr>
      </w:pPr>
      <w:r>
        <w:t xml:space="preserve">Some tags disable foundational COM-compatible objects. Use them only when your application does not depend on those objects.</w:t>
      </w:r>
    </w:p>
    <w:p>
      <w:pPr>
        <w:pStyle w:val="Compact"/>
        <w:numPr>
          <w:ilvl w:val="0"/>
          <w:numId w:val="1100"/>
        </w:numPr>
      </w:pPr>
      <w:r>
        <w:t xml:space="preserve">For consistent results across all binaries, always build with the same tag set.</w:t>
      </w:r>
    </w:p>
    <w:bookmarkEnd w:id="257"/>
    <w:bookmarkStart w:id="258" w:name="code-example-4"/>
    <w:p>
      <w:pPr>
        <w:pStyle w:val="Heading2"/>
      </w:pPr>
      <w:r>
        <w:t xml:space="preserve">Code Example</w:t>
      </w:r>
    </w:p>
    <w:p>
      <w:pPr>
        <w:pStyle w:val="FirstParagraph"/>
      </w:pPr>
      <w:r>
        <w:t xml:space="preserve">Windows examples:</w:t>
      </w:r>
    </w:p>
    <w:p>
      <w:pPr>
        <w:pStyle w:val="SourceCode"/>
      </w:pPr>
      <w:r>
        <w:rPr>
          <w:rStyle w:val="CommentTok"/>
        </w:rPr>
        <w:t xml:space="preserve"># Disable ADODB and MSXML surfaces during compilation</w:t>
      </w:r>
      <w:r>
        <w:br/>
      </w:r>
      <w:r>
        <w:rPr>
          <w:rStyle w:val="OperatorTok"/>
        </w:rPr>
        <w:t xml:space="preserve">./</w:t>
      </w:r>
      <w:r>
        <w:rPr>
          <w:rStyle w:val="NormalTok"/>
        </w:rPr>
        <w:t xml:space="preserve">build</w:t>
      </w:r>
      <w:r>
        <w:rPr>
          <w:rStyle w:val="OperatorTok"/>
        </w:rPr>
        <w:t xml:space="preserve">.</w:t>
      </w:r>
      <w:r>
        <w:rPr>
          <w:rStyle w:val="FunctionTok"/>
        </w:rPr>
        <w:t xml:space="preserve">ps1</w:t>
      </w:r>
      <w:r>
        <w:rPr>
          <w:rStyle w:val="NormalTok"/>
        </w:rPr>
        <w:t xml:space="preserve"> </w:t>
      </w:r>
      <w:r>
        <w:rPr>
          <w:rStyle w:val="OperatorTok"/>
        </w:rPr>
        <w:t xml:space="preserve">-</w:t>
      </w:r>
      <w:r>
        <w:rPr>
          <w:rStyle w:val="NormalTok"/>
        </w:rPr>
        <w:t xml:space="preserve">Platform windows </w:t>
      </w:r>
      <w:r>
        <w:rPr>
          <w:rStyle w:val="OperatorTok"/>
        </w:rPr>
        <w:t xml:space="preserve">-</w:t>
      </w:r>
      <w:r>
        <w:rPr>
          <w:rStyle w:val="NormalTok"/>
        </w:rPr>
        <w:t xml:space="preserve">Architecture amd64 </w:t>
      </w:r>
      <w:r>
        <w:rPr>
          <w:rStyle w:val="OperatorTok"/>
        </w:rPr>
        <w:t xml:space="preserve">-</w:t>
      </w:r>
      <w:r>
        <w:rPr>
          <w:rStyle w:val="NormalTok"/>
        </w:rPr>
        <w:t xml:space="preserve">Tags </w:t>
      </w:r>
      <w:r>
        <w:rPr>
          <w:rStyle w:val="StringTok"/>
        </w:rPr>
        <w:t xml:space="preserve">"lib_adodb_disabled lib_msxml_disabled"</w:t>
      </w:r>
      <w:r>
        <w:br/>
      </w:r>
      <w:r>
        <w:br/>
      </w:r>
      <w:r>
        <w:rPr>
          <w:rStyle w:val="CommentTok"/>
        </w:rPr>
        <w:t xml:space="preserve"># Disable image and PDF libraries</w:t>
      </w:r>
      <w:r>
        <w:br/>
      </w:r>
      <w:r>
        <w:rPr>
          <w:rStyle w:val="OperatorTok"/>
        </w:rPr>
        <w:t xml:space="preserve">./</w:t>
      </w:r>
      <w:r>
        <w:rPr>
          <w:rStyle w:val="NormalTok"/>
        </w:rPr>
        <w:t xml:space="preserve">build</w:t>
      </w:r>
      <w:r>
        <w:rPr>
          <w:rStyle w:val="OperatorTok"/>
        </w:rPr>
        <w:t xml:space="preserve">.</w:t>
      </w:r>
      <w:r>
        <w:rPr>
          <w:rStyle w:val="FunctionTok"/>
        </w:rPr>
        <w:t xml:space="preserve">ps1</w:t>
      </w:r>
      <w:r>
        <w:rPr>
          <w:rStyle w:val="NormalTok"/>
        </w:rPr>
        <w:t xml:space="preserve"> </w:t>
      </w:r>
      <w:r>
        <w:rPr>
          <w:rStyle w:val="OperatorTok"/>
        </w:rPr>
        <w:t xml:space="preserve">-</w:t>
      </w:r>
      <w:r>
        <w:rPr>
          <w:rStyle w:val="NormalTok"/>
        </w:rPr>
        <w:t xml:space="preserve">Tags </w:t>
      </w:r>
      <w:r>
        <w:rPr>
          <w:rStyle w:val="StringTok"/>
        </w:rPr>
        <w:t xml:space="preserve">"lib_g3image_disabled,lib_g3pdf_disabled"</w:t>
      </w:r>
    </w:p>
    <w:p>
      <w:pPr>
        <w:pStyle w:val="FirstParagraph"/>
      </w:pPr>
      <w:r>
        <w:t xml:space="preserve">Linux and macOS examples:</w:t>
      </w:r>
    </w:p>
    <w:p>
      <w:pPr>
        <w:pStyle w:val="SourceCode"/>
      </w:pPr>
      <w:r>
        <w:rPr>
          <w:rStyle w:val="CommentTok"/>
        </w:rPr>
        <w:t xml:space="preserve"># Disable ADODB and MSXML surfaces during compilation</w:t>
      </w:r>
      <w:r>
        <w:br/>
      </w:r>
      <w:r>
        <w:rPr>
          <w:rStyle w:val="ExtensionTok"/>
        </w:rPr>
        <w:t xml:space="preserve">./build.sh</w:t>
      </w:r>
      <w:r>
        <w:rPr>
          <w:rStyle w:val="NormalTok"/>
        </w:rPr>
        <w:t xml:space="preserve"> </w:t>
      </w:r>
      <w:r>
        <w:rPr>
          <w:rStyle w:val="AttributeTok"/>
        </w:rPr>
        <w:t xml:space="preserve">--platform</w:t>
      </w:r>
      <w:r>
        <w:rPr>
          <w:rStyle w:val="NormalTok"/>
        </w:rPr>
        <w:t xml:space="preserve"> linux </w:t>
      </w:r>
      <w:r>
        <w:rPr>
          <w:rStyle w:val="AttributeTok"/>
        </w:rPr>
        <w:t xml:space="preserve">--arch</w:t>
      </w:r>
      <w:r>
        <w:rPr>
          <w:rStyle w:val="NormalTok"/>
        </w:rPr>
        <w:t xml:space="preserve"> amd64 </w:t>
      </w:r>
      <w:r>
        <w:rPr>
          <w:rStyle w:val="AttributeTok"/>
        </w:rPr>
        <w:t xml:space="preserve">--tags</w:t>
      </w:r>
      <w:r>
        <w:rPr>
          <w:rStyle w:val="NormalTok"/>
        </w:rPr>
        <w:t xml:space="preserve"> </w:t>
      </w:r>
      <w:r>
        <w:rPr>
          <w:rStyle w:val="StringTok"/>
        </w:rPr>
        <w:t xml:space="preserve">"lib_adodb_disabled lib_msxml_disabled"</w:t>
      </w:r>
      <w:r>
        <w:br/>
      </w:r>
      <w:r>
        <w:br/>
      </w:r>
      <w:r>
        <w:rPr>
          <w:rStyle w:val="CommentTok"/>
        </w:rPr>
        <w:t xml:space="preserve"># Disable image and PDF libraries</w:t>
      </w:r>
      <w:r>
        <w:br/>
      </w:r>
      <w:r>
        <w:rPr>
          <w:rStyle w:val="ExtensionTok"/>
        </w:rPr>
        <w:t xml:space="preserve">./build.sh</w:t>
      </w:r>
      <w:r>
        <w:rPr>
          <w:rStyle w:val="NormalTok"/>
        </w:rPr>
        <w:t xml:space="preserve"> </w:t>
      </w:r>
      <w:r>
        <w:rPr>
          <w:rStyle w:val="AttributeTok"/>
        </w:rPr>
        <w:t xml:space="preserve">--tags</w:t>
      </w:r>
      <w:r>
        <w:rPr>
          <w:rStyle w:val="NormalTok"/>
        </w:rPr>
        <w:t xml:space="preserve"> </w:t>
      </w:r>
      <w:r>
        <w:rPr>
          <w:rStyle w:val="StringTok"/>
        </w:rPr>
        <w:t xml:space="preserve">"lib_g3image_disabled;lib_g3pdf_disabled"</w:t>
      </w:r>
    </w:p>
    <w:bookmarkEnd w:id="258"/>
    <w:bookmarkEnd w:id="259"/>
    <w:bookmarkStart w:id="265" w:name="webassembly-wasm-support"/>
    <w:p>
      <w:pPr>
        <w:pStyle w:val="Heading1"/>
      </w:pPr>
      <w:r>
        <w:t xml:space="preserve">WebAssembly (WASM) Support</w:t>
      </w:r>
    </w:p>
    <w:bookmarkStart w:id="260" w:name="overview-18"/>
    <w:p>
      <w:pPr>
        <w:pStyle w:val="Heading2"/>
      </w:pPr>
      <w:r>
        <w:t xml:space="preserve">Overview</w:t>
      </w:r>
    </w:p>
    <w:p>
      <w:pPr>
        <w:pStyle w:val="FirstParagraph"/>
      </w:pPr>
      <w:r>
        <w:t xml:space="preserve">AxonASP provides experimental support for compilation to WebAssembly (WASM). This allows the entire ASP Virtual Machine and compiler to run directly inside a modern web browser, enabling serverless execution of Classic ASP scripts on the client side, using VBScript and JavaScript for logic.</w:t>
      </w:r>
    </w:p>
    <w:p>
      <w:pPr>
        <w:pStyle w:val="BodyText"/>
      </w:pPr>
      <w:r>
        <w:t xml:space="preserve">You can use this to create client-side applications using VBScript/ASP as the scripting language. The WASM playground is available in the</w:t>
      </w:r>
      <w:r>
        <w:t xml:space="preserve"> </w:t>
      </w:r>
      <w:r>
        <w:rPr>
          <w:rStyle w:val="VerbatimChar"/>
        </w:rPr>
        <w:t xml:space="preserve">wasm/</w:t>
      </w:r>
      <w:r>
        <w:t xml:space="preserve"> </w:t>
      </w:r>
      <w:r>
        <w:t xml:space="preserve">directory of the project, demonstrating how to load and run ASP code natively in the browser.</w:t>
      </w:r>
    </w:p>
    <w:p>
      <w:pPr>
        <w:pStyle w:val="BodyText"/>
      </w:pPr>
      <w:r>
        <w:t xml:space="preserve">The WASM module encapsulates the single-pass compiler and the stack-based VM, exposing a simple JavaScript API to compile and run ASP code asynchronously.</w:t>
      </w:r>
    </w:p>
    <w:bookmarkEnd w:id="260"/>
    <w:bookmarkStart w:id="261" w:name="X986d26fa1300dd6ecdca0f90cec5a841bba5e7b"/>
    <w:p>
      <w:pPr>
        <w:pStyle w:val="Heading2"/>
      </w:pPr>
      <w:r>
        <w:t xml:space="preserve">AxonLive in WASM (Blazor-like Architecture)</w:t>
      </w:r>
    </w:p>
    <w:p>
      <w:pPr>
        <w:pStyle w:val="FirstParagraph"/>
      </w:pPr>
      <w:r>
        <w:t xml:space="preserve">AxonASP WASM supports</w:t>
      </w:r>
      <w:r>
        <w:t xml:space="preserve"> </w:t>
      </w:r>
      <w:r>
        <w:rPr>
          <w:b/>
          <w:bCs/>
        </w:rPr>
        <w:t xml:space="preserve">AxonLive</w:t>
      </w:r>
      <w:r>
        <w:t xml:space="preserve">, the native reactive component framework. This allows you to build Single-Page Applications (SPAs) where Classic ASP logic directly manipulates the browser’s Document Object Model (DOM) without network latency.</w:t>
      </w:r>
    </w:p>
    <w:p>
      <w:pPr>
        <w:pStyle w:val="BodyText"/>
      </w:pPr>
      <w:r>
        <w:t xml:space="preserve">When</w:t>
      </w:r>
      <w:r>
        <w:t xml:space="preserve"> </w:t>
      </w:r>
      <w:r>
        <w:rPr>
          <w:rStyle w:val="VerbatimChar"/>
        </w:rPr>
        <w:t xml:space="preserve">G3AXONLIVE</w:t>
      </w:r>
      <w:r>
        <w:t xml:space="preserve"> </w:t>
      </w:r>
      <w:r>
        <w:t xml:space="preserve">is instantiated in the WASM environment, methods like</w:t>
      </w:r>
      <w:r>
        <w:t xml:space="preserve"> </w:t>
      </w:r>
      <w:r>
        <w:rPr>
          <w:rStyle w:val="VerbatimChar"/>
        </w:rPr>
        <w:t xml:space="preserve">SetStyle</w:t>
      </w:r>
      <w:r>
        <w:t xml:space="preserve">,</w:t>
      </w:r>
      <w:r>
        <w:t xml:space="preserve"> </w:t>
      </w:r>
      <w:r>
        <w:rPr>
          <w:rStyle w:val="VerbatimChar"/>
        </w:rPr>
        <w:t xml:space="preserve">AddClass</w:t>
      </w:r>
      <w:r>
        <w:t xml:space="preserve">, and</w:t>
      </w:r>
      <w:r>
        <w:t xml:space="preserve"> </w:t>
      </w:r>
      <w:r>
        <w:rPr>
          <w:rStyle w:val="VerbatimChar"/>
        </w:rPr>
        <w:t xml:space="preserve">SetAttribute</w:t>
      </w:r>
      <w:r>
        <w:t xml:space="preserve"> </w:t>
      </w:r>
      <w:r>
        <w:t xml:space="preserve">bypass JSON payloads and use</w:t>
      </w:r>
      <w:r>
        <w:t xml:space="preserve"> </w:t>
      </w:r>
      <w:r>
        <w:rPr>
          <w:rStyle w:val="VerbatimChar"/>
        </w:rPr>
        <w:t xml:space="preserve">syscall/js</w:t>
      </w:r>
      <w:r>
        <w:t xml:space="preserve"> </w:t>
      </w:r>
      <w:r>
        <w:t xml:space="preserve">to mutate HTML elements instantaneously.</w:t>
      </w:r>
    </w:p>
    <w:bookmarkEnd w:id="261"/>
    <w:bookmarkStart w:id="262" w:name="building-for-wasm"/>
    <w:p>
      <w:pPr>
        <w:pStyle w:val="Heading2"/>
      </w:pPr>
      <w:r>
        <w:t xml:space="preserve">Building for WASM</w:t>
      </w:r>
    </w:p>
    <w:p>
      <w:pPr>
        <w:pStyle w:val="FirstParagraph"/>
      </w:pPr>
      <w:r>
        <w:t xml:space="preserve">To compile AxonASP for WebAssembly, use the provided build scripts with the</w:t>
      </w:r>
      <w:r>
        <w:t xml:space="preserve"> </w:t>
      </w:r>
      <w:r>
        <w:rPr>
          <w:rStyle w:val="VerbatimChar"/>
        </w:rPr>
        <w:t xml:space="preserve">wasm</w:t>
      </w:r>
      <w:r>
        <w:t xml:space="preserve"> </w:t>
      </w:r>
      <w:r>
        <w:t xml:space="preserve">platform target:</w:t>
      </w:r>
    </w:p>
    <w:p>
      <w:pPr>
        <w:pStyle w:val="BodyText"/>
      </w:pPr>
      <w:r>
        <w:t xml:space="preserve">Windows PowerShell:</w:t>
      </w:r>
    </w:p>
    <w:p>
      <w:pPr>
        <w:pStyle w:val="SourceCode"/>
      </w:pPr>
      <w:r>
        <w:rPr>
          <w:rStyle w:val="OperatorTok"/>
        </w:rPr>
        <w:t xml:space="preserve">./</w:t>
      </w:r>
      <w:r>
        <w:rPr>
          <w:rStyle w:val="NormalTok"/>
        </w:rPr>
        <w:t xml:space="preserve">build</w:t>
      </w:r>
      <w:r>
        <w:rPr>
          <w:rStyle w:val="OperatorTok"/>
        </w:rPr>
        <w:t xml:space="preserve">.</w:t>
      </w:r>
      <w:r>
        <w:rPr>
          <w:rStyle w:val="FunctionTok"/>
        </w:rPr>
        <w:t xml:space="preserve">ps1</w:t>
      </w:r>
      <w:r>
        <w:rPr>
          <w:rStyle w:val="NormalTok"/>
        </w:rPr>
        <w:t xml:space="preserve"> </w:t>
      </w:r>
      <w:r>
        <w:rPr>
          <w:rStyle w:val="OperatorTok"/>
        </w:rPr>
        <w:t xml:space="preserve">-</w:t>
      </w:r>
      <w:r>
        <w:rPr>
          <w:rStyle w:val="NormalTok"/>
        </w:rPr>
        <w:t xml:space="preserve">Platform wasm</w:t>
      </w:r>
    </w:p>
    <w:p>
      <w:pPr>
        <w:pStyle w:val="FirstParagraph"/>
      </w:pPr>
      <w:r>
        <w:t xml:space="preserve">Linux and macOS Bash:</w:t>
      </w:r>
    </w:p>
    <w:p>
      <w:pPr>
        <w:pStyle w:val="SourceCode"/>
      </w:pPr>
      <w:r>
        <w:rPr>
          <w:rStyle w:val="ExtensionTok"/>
        </w:rPr>
        <w:t xml:space="preserve">./build.sh</w:t>
      </w:r>
      <w:r>
        <w:rPr>
          <w:rStyle w:val="NormalTok"/>
        </w:rPr>
        <w:t xml:space="preserve"> </w:t>
      </w:r>
      <w:r>
        <w:rPr>
          <w:rStyle w:val="AttributeTok"/>
        </w:rPr>
        <w:t xml:space="preserve">--platform</w:t>
      </w:r>
      <w:r>
        <w:rPr>
          <w:rStyle w:val="NormalTok"/>
        </w:rPr>
        <w:t xml:space="preserve"> wasm</w:t>
      </w:r>
    </w:p>
    <w:p>
      <w:pPr>
        <w:pStyle w:val="FirstParagraph"/>
      </w:pPr>
      <w:r>
        <w:t xml:space="preserve">This process generates two files in the</w:t>
      </w:r>
      <w:r>
        <w:t xml:space="preserve"> </w:t>
      </w:r>
      <w:r>
        <w:rPr>
          <w:rStyle w:val="VerbatimChar"/>
        </w:rPr>
        <w:t xml:space="preserve">wasm/</w:t>
      </w:r>
      <w:r>
        <w:t xml:space="preserve"> </w:t>
      </w:r>
      <w:r>
        <w:t xml:space="preserve">directory:</w:t>
      </w:r>
      <w:r>
        <w:t xml:space="preserve"> </w:t>
      </w:r>
      <w:r>
        <w:t xml:space="preserve">-</w:t>
      </w:r>
      <w:r>
        <w:t xml:space="preserve"> </w:t>
      </w:r>
      <w:r>
        <w:rPr>
          <w:rStyle w:val="VerbatimChar"/>
        </w:rPr>
        <w:t xml:space="preserve">axonasp.wasm</w:t>
      </w:r>
      <w:r>
        <w:t xml:space="preserve">: The compiled WebAssembly binary.</w:t>
      </w:r>
      <w:r>
        <w:t xml:space="preserve"> </w:t>
      </w:r>
      <w:r>
        <w:t xml:space="preserve">-</w:t>
      </w:r>
      <w:r>
        <w:t xml:space="preserve"> </w:t>
      </w:r>
      <w:r>
        <w:rPr>
          <w:rStyle w:val="VerbatimChar"/>
        </w:rPr>
        <w:t xml:space="preserve">wasm_exec.js</w:t>
      </w:r>
      <w:r>
        <w:t xml:space="preserve">: The required Go WebAssembly runtime environment script.</w:t>
      </w:r>
    </w:p>
    <w:bookmarkEnd w:id="262"/>
    <w:bookmarkStart w:id="263" w:name="disabled-libraries"/>
    <w:p>
      <w:pPr>
        <w:pStyle w:val="Heading2"/>
      </w:pPr>
      <w:r>
        <w:t xml:space="preserve">Disabled Libraries</w:t>
      </w:r>
    </w:p>
    <w:p>
      <w:pPr>
        <w:pStyle w:val="FirstParagraph"/>
      </w:pPr>
      <w:r>
        <w:t xml:space="preserve">Due to the constraints of the browser’s sandbox environment (such as lack of direct file system access, network socket restrictions, and unsupported CGO bindings), several native libraries are strictly disabled in the WASM build.</w:t>
      </w:r>
    </w:p>
    <w:p>
      <w:pPr>
        <w:pStyle w:val="BodyText"/>
      </w:pPr>
      <w:r>
        <w:t xml:space="preserve">The following objects cannot be instantiated (</w:t>
      </w:r>
      <w:r>
        <w:rPr>
          <w:rStyle w:val="VerbatimChar"/>
        </w:rPr>
        <w:t xml:space="preserve">Server.CreateObject</w:t>
      </w:r>
      <w:r>
        <w:t xml:space="preserve">) in the WASM runtime:</w:t>
      </w:r>
      <w:r>
        <w:t xml:space="preserve"> </w:t>
      </w:r>
      <w:r>
        <w:t xml:space="preserve">-</w:t>
      </w:r>
      <w:r>
        <w:t xml:space="preserve"> </w:t>
      </w:r>
      <w:r>
        <w:rPr>
          <w:rStyle w:val="VerbatimChar"/>
        </w:rPr>
        <w:t xml:space="preserve">ADODB.Connection</w:t>
      </w:r>
      <w:r>
        <w:t xml:space="preserve"> </w:t>
      </w:r>
      <w:r>
        <w:t xml:space="preserve">-</w:t>
      </w:r>
      <w:r>
        <w:t xml:space="preserve"> </w:t>
      </w:r>
      <w:r>
        <w:rPr>
          <w:rStyle w:val="VerbatimChar"/>
        </w:rPr>
        <w:t xml:space="preserve">ADODB.Recordset</w:t>
      </w:r>
      <w:r>
        <w:t xml:space="preserve"> </w:t>
      </w:r>
      <w:r>
        <w:t xml:space="preserve">-</w:t>
      </w:r>
      <w:r>
        <w:t xml:space="preserve"> </w:t>
      </w:r>
      <w:r>
        <w:rPr>
          <w:rStyle w:val="VerbatimChar"/>
        </w:rPr>
        <w:t xml:space="preserve">ADODB.Command</w:t>
      </w:r>
      <w:r>
        <w:t xml:space="preserve"> </w:t>
      </w:r>
      <w:r>
        <w:t xml:space="preserve">-</w:t>
      </w:r>
      <w:r>
        <w:t xml:space="preserve"> </w:t>
      </w:r>
      <w:r>
        <w:rPr>
          <w:rStyle w:val="VerbatimChar"/>
        </w:rPr>
        <w:t xml:space="preserve">ADODB.Stream</w:t>
      </w:r>
      <w:r>
        <w:t xml:space="preserve"> </w:t>
      </w:r>
      <w:r>
        <w:t xml:space="preserve">-</w:t>
      </w:r>
      <w:r>
        <w:t xml:space="preserve"> </w:t>
      </w:r>
      <w:r>
        <w:rPr>
          <w:rStyle w:val="VerbatimChar"/>
        </w:rPr>
        <w:t xml:space="preserve">ADOX.Catalog</w:t>
      </w:r>
      <w:r>
        <w:t xml:space="preserve"> </w:t>
      </w:r>
      <w:r>
        <w:t xml:space="preserve">-</w:t>
      </w:r>
      <w:r>
        <w:t xml:space="preserve"> </w:t>
      </w:r>
      <w:r>
        <w:rPr>
          <w:rStyle w:val="VerbatimChar"/>
        </w:rPr>
        <w:t xml:space="preserve">G3DB</w:t>
      </w:r>
      <w:r>
        <w:t xml:space="preserve"> </w:t>
      </w:r>
      <w:r>
        <w:t xml:space="preserve">-</w:t>
      </w:r>
      <w:r>
        <w:t xml:space="preserve"> </w:t>
      </w:r>
      <w:r>
        <w:rPr>
          <w:rStyle w:val="VerbatimChar"/>
        </w:rPr>
        <w:t xml:space="preserve">G3FC</w:t>
      </w:r>
      <w:r>
        <w:t xml:space="preserve"> </w:t>
      </w:r>
      <w:r>
        <w:t xml:space="preserve">-</w:t>
      </w:r>
      <w:r>
        <w:t xml:space="preserve"> </w:t>
      </w:r>
      <w:r>
        <w:rPr>
          <w:rStyle w:val="VerbatimChar"/>
        </w:rPr>
        <w:t xml:space="preserve">G3FILES</w:t>
      </w:r>
      <w:r>
        <w:t xml:space="preserve"> </w:t>
      </w:r>
      <w:r>
        <w:t xml:space="preserve">-</w:t>
      </w:r>
      <w:r>
        <w:t xml:space="preserve"> </w:t>
      </w:r>
      <w:r>
        <w:rPr>
          <w:rStyle w:val="VerbatimChar"/>
        </w:rPr>
        <w:t xml:space="preserve">G3FILEUPLOADER</w:t>
      </w:r>
      <w:r>
        <w:t xml:space="preserve"> </w:t>
      </w:r>
      <w:r>
        <w:t xml:space="preserve">-</w:t>
      </w:r>
      <w:r>
        <w:t xml:space="preserve"> </w:t>
      </w:r>
      <w:r>
        <w:rPr>
          <w:rStyle w:val="VerbatimChar"/>
        </w:rPr>
        <w:t xml:space="preserve">G3IMAGE</w:t>
      </w:r>
      <w:r>
        <w:t xml:space="preserve"> </w:t>
      </w:r>
      <w:r>
        <w:t xml:space="preserve">-</w:t>
      </w:r>
      <w:r>
        <w:t xml:space="preserve"> </w:t>
      </w:r>
      <w:r>
        <w:rPr>
          <w:rStyle w:val="VerbatimChar"/>
        </w:rPr>
        <w:t xml:space="preserve">G3MAIL</w:t>
      </w:r>
      <w:r>
        <w:t xml:space="preserve"> </w:t>
      </w:r>
      <w:r>
        <w:t xml:space="preserve">-</w:t>
      </w:r>
      <w:r>
        <w:t xml:space="preserve"> </w:t>
      </w:r>
      <w:r>
        <w:rPr>
          <w:rStyle w:val="VerbatimChar"/>
        </w:rPr>
        <w:t xml:space="preserve">G3PDF</w:t>
      </w:r>
      <w:r>
        <w:t xml:space="preserve"> </w:t>
      </w:r>
      <w:r>
        <w:t xml:space="preserve">-</w:t>
      </w:r>
      <w:r>
        <w:t xml:space="preserve"> </w:t>
      </w:r>
      <w:r>
        <w:rPr>
          <w:rStyle w:val="VerbatimChar"/>
        </w:rPr>
        <w:t xml:space="preserve">G3SEARCH</w:t>
      </w:r>
      <w:r>
        <w:t xml:space="preserve"> </w:t>
      </w:r>
      <w:r>
        <w:t xml:space="preserve">-</w:t>
      </w:r>
      <w:r>
        <w:t xml:space="preserve"> </w:t>
      </w:r>
      <w:r>
        <w:rPr>
          <w:rStyle w:val="VerbatimChar"/>
        </w:rPr>
        <w:t xml:space="preserve">G3TAR</w:t>
      </w:r>
      <w:r>
        <w:t xml:space="preserve"> </w:t>
      </w:r>
      <w:r>
        <w:t xml:space="preserve">-</w:t>
      </w:r>
      <w:r>
        <w:t xml:space="preserve"> </w:t>
      </w:r>
      <w:r>
        <w:rPr>
          <w:rStyle w:val="VerbatimChar"/>
        </w:rPr>
        <w:t xml:space="preserve">G3ZIP</w:t>
      </w:r>
      <w:r>
        <w:t xml:space="preserve"> </w:t>
      </w:r>
      <w:r>
        <w:t xml:space="preserve">-</w:t>
      </w:r>
      <w:r>
        <w:t xml:space="preserve"> </w:t>
      </w:r>
      <w:r>
        <w:rPr>
          <w:rStyle w:val="VerbatimChar"/>
        </w:rPr>
        <w:t xml:space="preserve">G3ZLIB</w:t>
      </w:r>
      <w:r>
        <w:t xml:space="preserve"> </w:t>
      </w:r>
      <w:r>
        <w:t xml:space="preserve">-</w:t>
      </w:r>
      <w:r>
        <w:t xml:space="preserve"> </w:t>
      </w:r>
      <w:r>
        <w:rPr>
          <w:rStyle w:val="VerbatimChar"/>
        </w:rPr>
        <w:t xml:space="preserve">G3ZSTD</w:t>
      </w:r>
      <w:r>
        <w:t xml:space="preserve"> </w:t>
      </w:r>
      <w:r>
        <w:t xml:space="preserve">-</w:t>
      </w:r>
      <w:r>
        <w:t xml:space="preserve"> </w:t>
      </w:r>
      <w:r>
        <w:rPr>
          <w:rStyle w:val="VerbatimChar"/>
        </w:rPr>
        <w:t xml:space="preserve">Scripting.FileSystemObject</w:t>
      </w:r>
      <w:r>
        <w:t xml:space="preserve"> </w:t>
      </w:r>
      <w:r>
        <w:t xml:space="preserve">-</w:t>
      </w:r>
      <w:r>
        <w:t xml:space="preserve"> </w:t>
      </w:r>
      <w:r>
        <w:rPr>
          <w:rStyle w:val="VerbatimChar"/>
        </w:rPr>
        <w:t xml:space="preserve">WScript.Shell</w:t>
      </w:r>
    </w:p>
    <w:p>
      <w:pPr>
        <w:pStyle w:val="BodyText"/>
      </w:pPr>
      <w:r>
        <w:rPr>
          <w:i/>
          <w:iCs/>
        </w:rPr>
        <w:t xml:space="preserve">Note: Most of the core language features, most of basic intrinsics (Application, Session), and safe data structure objects (e.g., Scripting.Dictionary) remain fully functional. Response, Request, Server will be limited in functionality. The</w:t>
      </w:r>
      <w:r>
        <w:rPr>
          <w:i/>
          <w:iCs/>
        </w:rPr>
        <w:t xml:space="preserve"> </w:t>
      </w:r>
      <w:r>
        <w:rPr>
          <w:rStyle w:val="VerbatimChar"/>
          <w:i/>
          <w:iCs/>
        </w:rPr>
        <w:t xml:space="preserve">G3AXONLIVE</w:t>
      </w:r>
      <w:r>
        <w:rPr>
          <w:i/>
          <w:iCs/>
        </w:rPr>
        <w:t xml:space="preserve"> </w:t>
      </w:r>
      <w:r>
        <w:rPr>
          <w:i/>
          <w:iCs/>
        </w:rPr>
        <w:t xml:space="preserve">object is fully supported and optimized for the DOM.</w:t>
      </w:r>
    </w:p>
    <w:bookmarkEnd w:id="263"/>
    <w:bookmarkStart w:id="264" w:name="wasm-specific-built-ins"/>
    <w:p>
      <w:pPr>
        <w:pStyle w:val="Heading2"/>
      </w:pPr>
      <w:r>
        <w:t xml:space="preserve">WASM-Specific Built-ins</w:t>
      </w:r>
    </w:p>
    <w:p>
      <w:pPr>
        <w:pStyle w:val="FirstParagraph"/>
      </w:pPr>
      <w:r>
        <w:t xml:space="preserve">AxonASP WASM re-introduces standard VBScript interactive UI functions that are typically disabled in server-side ASP:</w:t>
      </w:r>
    </w:p>
    <w:p>
      <w:pPr>
        <w:pStyle w:val="Compact"/>
        <w:numPr>
          <w:ilvl w:val="0"/>
          <w:numId w:val="1101"/>
        </w:numPr>
      </w:pPr>
      <w:r>
        <w:rPr>
          <w:b/>
          <w:bCs/>
        </w:rPr>
        <w:t xml:space="preserve">MsgBox(prompt, [buttons])</w:t>
      </w:r>
      <w:r>
        <w:t xml:space="preserve">:</w:t>
      </w:r>
    </w:p>
    <w:p>
      <w:pPr>
        <w:pStyle w:val="Compact"/>
        <w:numPr>
          <w:ilvl w:val="1"/>
          <w:numId w:val="1102"/>
        </w:numPr>
      </w:pPr>
      <w:r>
        <w:t xml:space="preserve">If</w:t>
      </w:r>
      <w:r>
        <w:t xml:space="preserve"> </w:t>
      </w:r>
      <w:r>
        <w:rPr>
          <w:rStyle w:val="VerbatimChar"/>
        </w:rPr>
        <w:t xml:space="preserve">vbOKCancel</w:t>
      </w:r>
      <w:r>
        <w:t xml:space="preserve"> </w:t>
      </w:r>
      <w:r>
        <w:t xml:space="preserve">(1) or</w:t>
      </w:r>
      <w:r>
        <w:t xml:space="preserve"> </w:t>
      </w:r>
      <w:r>
        <w:rPr>
          <w:rStyle w:val="VerbatimChar"/>
        </w:rPr>
        <w:t xml:space="preserve">vbYesNo</w:t>
      </w:r>
      <w:r>
        <w:t xml:space="preserve"> </w:t>
      </w:r>
      <w:r>
        <w:t xml:space="preserve">(4) flags are set in the</w:t>
      </w:r>
      <w:r>
        <w:t xml:space="preserve"> </w:t>
      </w:r>
      <w:r>
        <w:rPr>
          <w:rStyle w:val="VerbatimChar"/>
        </w:rPr>
        <w:t xml:space="preserve">buttons</w:t>
      </w:r>
      <w:r>
        <w:t xml:space="preserve"> </w:t>
      </w:r>
      <w:r>
        <w:t xml:space="preserve">argument, it triggers a browser</w:t>
      </w:r>
      <w:r>
        <w:t xml:space="preserve"> </w:t>
      </w:r>
      <w:r>
        <w:rPr>
          <w:rStyle w:val="VerbatimChar"/>
        </w:rPr>
        <w:t xml:space="preserve">confirm()</w:t>
      </w:r>
      <w:r>
        <w:t xml:space="preserve"> </w:t>
      </w:r>
      <w:r>
        <w:t xml:space="preserve">dialog and returns the corresponding VBScript constant (</w:t>
      </w:r>
      <w:r>
        <w:rPr>
          <w:rStyle w:val="VerbatimChar"/>
        </w:rPr>
        <w:t xml:space="preserve">vbOK</w:t>
      </w:r>
      <w:r>
        <w:t xml:space="preserve">,</w:t>
      </w:r>
      <w:r>
        <w:t xml:space="preserve"> </w:t>
      </w:r>
      <w:r>
        <w:rPr>
          <w:rStyle w:val="VerbatimChar"/>
        </w:rPr>
        <w:t xml:space="preserve">vbCancel</w:t>
      </w:r>
      <w:r>
        <w:t xml:space="preserve">,</w:t>
      </w:r>
      <w:r>
        <w:t xml:space="preserve"> </w:t>
      </w:r>
      <w:r>
        <w:rPr>
          <w:rStyle w:val="VerbatimChar"/>
        </w:rPr>
        <w:t xml:space="preserve">vbYes</w:t>
      </w:r>
      <w:r>
        <w:t xml:space="preserve">,</w:t>
      </w:r>
      <w:r>
        <w:t xml:space="preserve"> </w:t>
      </w:r>
      <w:r>
        <w:rPr>
          <w:rStyle w:val="VerbatimChar"/>
        </w:rPr>
        <w:t xml:space="preserve">vbNo</w:t>
      </w:r>
      <w:r>
        <w:t xml:space="preserve">).</w:t>
      </w:r>
    </w:p>
    <w:p>
      <w:pPr>
        <w:pStyle w:val="Compact"/>
        <w:numPr>
          <w:ilvl w:val="1"/>
          <w:numId w:val="1102"/>
        </w:numPr>
      </w:pPr>
      <w:r>
        <w:t xml:space="preserve">Otherwise, it triggers a standard browser</w:t>
      </w:r>
      <w:r>
        <w:t xml:space="preserve"> </w:t>
      </w:r>
      <w:r>
        <w:rPr>
          <w:rStyle w:val="VerbatimChar"/>
        </w:rPr>
        <w:t xml:space="preserve">alert()</w:t>
      </w:r>
      <w:r>
        <w:t xml:space="preserve">.</w:t>
      </w:r>
    </w:p>
    <w:p>
      <w:pPr>
        <w:pStyle w:val="Compact"/>
        <w:numPr>
          <w:ilvl w:val="0"/>
          <w:numId w:val="1101"/>
        </w:numPr>
      </w:pPr>
      <w:r>
        <w:rPr>
          <w:b/>
          <w:bCs/>
        </w:rPr>
        <w:t xml:space="preserve">InputBox(prompt, [title],</w:t>
      </w:r>
      <w:r>
        <w:rPr>
          <w:b/>
          <w:bCs/>
        </w:rPr>
        <w:t xml:space="preserve"> </w:t>
      </w:r>
      <w:hyperlink w:anchor="default">
        <w:r>
          <w:rPr>
            <w:rStyle w:val="Hyperlink"/>
            <w:b/>
            <w:bCs/>
          </w:rPr>
          <w:t xml:space="preserve">default</w:t>
        </w:r>
      </w:hyperlink>
      <w:r>
        <w:rPr>
          <w:b/>
          <w:bCs/>
        </w:rPr>
        <w:t xml:space="preserve">)</w:t>
      </w:r>
      <w:r>
        <w:t xml:space="preserve">:</w:t>
      </w:r>
    </w:p>
    <w:p>
      <w:pPr>
        <w:pStyle w:val="Compact"/>
        <w:numPr>
          <w:ilvl w:val="1"/>
          <w:numId w:val="1103"/>
        </w:numPr>
      </w:pPr>
      <w:r>
        <w:t xml:space="preserve">Triggers a browser</w:t>
      </w:r>
      <w:r>
        <w:t xml:space="preserve"> </w:t>
      </w:r>
      <w:r>
        <w:rPr>
          <w:rStyle w:val="VerbatimChar"/>
        </w:rPr>
        <w:t xml:space="preserve">prompt()</w:t>
      </w:r>
      <w:r>
        <w:t xml:space="preserve"> </w:t>
      </w:r>
      <w:r>
        <w:t xml:space="preserve">dialog. Returns the user’s input string, or an empty string if cancelled.</w:t>
      </w:r>
    </w:p>
    <w:p>
      <w:pPr>
        <w:pStyle w:val="FirstParagraph"/>
      </w:pPr>
      <w:r>
        <w:t xml:space="preserve">These functions allow your Classic ASP logic to interact directly with the user while running natively in the browser.</w:t>
      </w:r>
    </w:p>
    <w:p>
      <w:pPr>
        <w:pStyle w:val="BodyText"/>
      </w:pPr>
      <w:r>
        <w:t xml:space="preserve">Once compiled, navigate to the</w:t>
      </w:r>
      <w:r>
        <w:t xml:space="preserve"> </w:t>
      </w:r>
      <w:r>
        <w:rPr>
          <w:rStyle w:val="VerbatimChar"/>
        </w:rPr>
        <w:t xml:space="preserve">wasm/</w:t>
      </w:r>
      <w:r>
        <w:t xml:space="preserve"> </w:t>
      </w:r>
      <w:r>
        <w:t xml:space="preserve">directory and host it using a local web server (e.g., using</w:t>
      </w:r>
      <w:r>
        <w:t xml:space="preserve"> </w:t>
      </w:r>
      <w:r>
        <w:rPr>
          <w:rStyle w:val="VerbatimChar"/>
        </w:rPr>
        <w:t xml:space="preserve">python -m http.server 8080</w:t>
      </w:r>
      <w:r>
        <w:t xml:space="preserve">). Open</w:t>
      </w:r>
      <w:r>
        <w:t xml:space="preserve"> </w:t>
      </w:r>
      <w:r>
        <w:rPr>
          <w:rStyle w:val="VerbatimChar"/>
        </w:rPr>
        <w:t xml:space="preserve">index.htm</w:t>
      </w:r>
      <w:r>
        <w:t xml:space="preserve"> </w:t>
      </w:r>
      <w:r>
        <w:t xml:space="preserve">in your browser.</w:t>
      </w:r>
    </w:p>
    <w:p>
      <w:pPr>
        <w:pStyle w:val="BodyText"/>
      </w:pPr>
      <w:r>
        <w:t xml:space="preserve">The playground demonstrates how to load the module using</w:t>
      </w:r>
      <w:r>
        <w:t xml:space="preserve"> </w:t>
      </w:r>
      <w:r>
        <w:rPr>
          <w:rStyle w:val="VerbatimChar"/>
        </w:rPr>
        <w:t xml:space="preserve">wasm_exec.js</w:t>
      </w:r>
      <w:r>
        <w:t xml:space="preserve"> </w:t>
      </w:r>
      <w:r>
        <w:t xml:space="preserve">and interact with the engine using JavaScript Promises:</w:t>
      </w:r>
    </w:p>
    <w:p>
      <w:pPr>
        <w:pStyle w:val="SourceCode"/>
      </w:pPr>
      <w:r>
        <w:rPr>
          <w:rStyle w:val="KeywordTok"/>
        </w:rPr>
        <w:t xml:space="preserve">const</w:t>
      </w:r>
      <w:r>
        <w:rPr>
          <w:rStyle w:val="NormalTok"/>
        </w:rPr>
        <w:t xml:space="preserve"> go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Go</w:t>
      </w:r>
      <w:r>
        <w:rPr>
          <w:rStyle w:val="NormalTok"/>
        </w:rPr>
        <w:t xml:space="preserve">()</w:t>
      </w:r>
      <w:r>
        <w:rPr>
          <w:rStyle w:val="OperatorTok"/>
        </w:rPr>
        <w:t xml:space="preserve">;</w:t>
      </w:r>
      <w:r>
        <w:br/>
      </w:r>
      <w:r>
        <w:rPr>
          <w:rStyle w:val="NormalTok"/>
        </w:rPr>
        <w:t xml:space="preserve">WebAssembly</w:t>
      </w:r>
      <w:r>
        <w:rPr>
          <w:rStyle w:val="OperatorTok"/>
        </w:rPr>
        <w:t xml:space="preserve">.</w:t>
      </w:r>
      <w:r>
        <w:rPr>
          <w:rStyle w:val="FunctionTok"/>
        </w:rPr>
        <w:t xml:space="preserve">instantiateStreaming</w:t>
      </w:r>
      <w:r>
        <w:rPr>
          <w:rStyle w:val="NormalTok"/>
        </w:rPr>
        <w:t xml:space="preserve">(</w:t>
      </w:r>
      <w:r>
        <w:rPr>
          <w:rStyle w:val="FunctionTok"/>
        </w:rPr>
        <w:t xml:space="preserve">fetch</w:t>
      </w:r>
      <w:r>
        <w:rPr>
          <w:rStyle w:val="NormalTok"/>
        </w:rPr>
        <w:t xml:space="preserve">(</w:t>
      </w:r>
      <w:r>
        <w:rPr>
          <w:rStyle w:val="StringTok"/>
        </w:rPr>
        <w:t xml:space="preserve">"axonasp.wasm"</w:t>
      </w:r>
      <w:r>
        <w:rPr>
          <w:rStyle w:val="NormalTok"/>
        </w:rPr>
        <w:t xml:space="preserve">)</w:t>
      </w:r>
      <w:r>
        <w:rPr>
          <w:rStyle w:val="OperatorTok"/>
        </w:rPr>
        <w:t xml:space="preserve">,</w:t>
      </w:r>
      <w:r>
        <w:rPr>
          <w:rStyle w:val="NormalTok"/>
        </w:rPr>
        <w:t xml:space="preserve"> go</w:t>
      </w:r>
      <w:r>
        <w:rPr>
          <w:rStyle w:val="OperatorTok"/>
        </w:rPr>
        <w:t xml:space="preserve">.</w:t>
      </w:r>
      <w:r>
        <w:rPr>
          <w:rStyle w:val="AttributeTok"/>
        </w:rPr>
        <w:t xml:space="preserve">importObject</w:t>
      </w:r>
      <w:r>
        <w:rPr>
          <w:rStyle w:val="NormalTok"/>
        </w:rPr>
        <w:t xml:space="preserve">)</w:t>
      </w:r>
      <w:r>
        <w:rPr>
          <w:rStyle w:val="OperatorTok"/>
        </w:rPr>
        <w:t xml:space="preserve">.</w:t>
      </w:r>
      <w:r>
        <w:rPr>
          <w:rStyle w:val="FunctionTok"/>
        </w:rPr>
        <w:t xml:space="preserve">then</w:t>
      </w:r>
      <w:r>
        <w:rPr>
          <w:rStyle w:val="NormalTok"/>
        </w:rPr>
        <w:t xml:space="preserve">((result) </w:t>
      </w:r>
      <w:r>
        <w:rPr>
          <w:rStyle w:val="KeywordTok"/>
        </w:rPr>
        <w:t xml:space="preserve">=&gt;</w:t>
      </w:r>
      <w:r>
        <w:rPr>
          <w:rStyle w:val="NormalTok"/>
        </w:rPr>
        <w:t xml:space="preserve"> {</w:t>
      </w:r>
      <w:r>
        <w:br/>
      </w:r>
      <w:r>
        <w:rPr>
          <w:rStyle w:val="NormalTok"/>
        </w:rPr>
        <w:t xml:space="preserve">    go</w:t>
      </w:r>
      <w:r>
        <w:rPr>
          <w:rStyle w:val="OperatorTok"/>
        </w:rPr>
        <w:t xml:space="preserve">.</w:t>
      </w:r>
      <w:r>
        <w:rPr>
          <w:rStyle w:val="FunctionTok"/>
        </w:rPr>
        <w:t xml:space="preserve">run</w:t>
      </w:r>
      <w:r>
        <w:rPr>
          <w:rStyle w:val="NormalTok"/>
        </w:rPr>
        <w:t xml:space="preserve">(result</w:t>
      </w:r>
      <w:r>
        <w:rPr>
          <w:rStyle w:val="OperatorTok"/>
        </w:rPr>
        <w:t xml:space="preserve">.</w:t>
      </w:r>
      <w:r>
        <w:rPr>
          <w:rStyle w:val="AttributeTok"/>
        </w:rPr>
        <w:t xml:space="preserve">instance</w:t>
      </w:r>
      <w:r>
        <w:rPr>
          <w:rStyle w:val="NormalTok"/>
        </w:rPr>
        <w:t xml:space="preserve">)</w:t>
      </w:r>
      <w:r>
        <w:rPr>
          <w:rStyle w:val="OperatorTok"/>
        </w:rPr>
        <w:t xml:space="preserve">;</w:t>
      </w:r>
      <w:r>
        <w:br/>
      </w:r>
      <w:r>
        <w:rPr>
          <w:rStyle w:val="NormalTok"/>
        </w:rPr>
        <w:t xml:space="preserve">    </w:t>
      </w:r>
      <w:r>
        <w:rPr>
          <w:rStyle w:val="BuiltInTok"/>
        </w:rPr>
        <w:t xml:space="preserve">console</w:t>
      </w:r>
      <w:r>
        <w:rPr>
          <w:rStyle w:val="OperatorTok"/>
        </w:rPr>
        <w:t xml:space="preserve">.</w:t>
      </w:r>
      <w:r>
        <w:rPr>
          <w:rStyle w:val="FunctionTok"/>
        </w:rPr>
        <w:t xml:space="preserve">log</w:t>
      </w:r>
      <w:r>
        <w:rPr>
          <w:rStyle w:val="NormalTok"/>
        </w:rPr>
        <w:t xml:space="preserve">(</w:t>
      </w:r>
      <w:r>
        <w:rPr>
          <w:rStyle w:val="StringTok"/>
        </w:rPr>
        <w:t xml:space="preserve">"AxonASP module ready."</w:t>
      </w:r>
      <w:r>
        <w:rPr>
          <w:rStyle w:val="NormalTok"/>
        </w:rPr>
        <w:t xml:space="preserve">)</w:t>
      </w:r>
      <w:r>
        <w:rPr>
          <w:rStyle w:val="OperatorTok"/>
        </w:rPr>
        <w:t xml:space="preserve">;</w:t>
      </w:r>
      <w:r>
        <w:br/>
      </w:r>
      <w:r>
        <w:rPr>
          <w:rStyle w:val="NormalTok"/>
        </w:rPr>
        <w:t xml:space="preserve">})</w:t>
      </w:r>
      <w:r>
        <w:rPr>
          <w:rStyle w:val="OperatorTok"/>
        </w:rPr>
        <w:t xml:space="preserve">;</w:t>
      </w:r>
      <w:r>
        <w:br/>
      </w:r>
      <w:r>
        <w:br/>
      </w:r>
      <w:r>
        <w:rPr>
          <w:rStyle w:val="KeywordTok"/>
        </w:rPr>
        <w:t xml:space="preserve">async</w:t>
      </w:r>
      <w:r>
        <w:rPr>
          <w:rStyle w:val="NormalTok"/>
        </w:rPr>
        <w:t xml:space="preserve"> </w:t>
      </w:r>
      <w:r>
        <w:rPr>
          <w:rStyle w:val="KeywordTok"/>
        </w:rPr>
        <w:t xml:space="preserve">function</w:t>
      </w:r>
      <w:r>
        <w:rPr>
          <w:rStyle w:val="NormalTok"/>
        </w:rPr>
        <w:t xml:space="preserve"> </w:t>
      </w:r>
      <w:r>
        <w:rPr>
          <w:rStyle w:val="FunctionTok"/>
        </w:rPr>
        <w:t xml:space="preserve">runCode</w:t>
      </w:r>
      <w:r>
        <w:rPr>
          <w:rStyle w:val="NormalTok"/>
        </w:rPr>
        <w:t xml:space="preserve">() {</w:t>
      </w:r>
      <w:r>
        <w:br/>
      </w:r>
      <w:r>
        <w:rPr>
          <w:rStyle w:val="NormalTok"/>
        </w:rPr>
        <w:t xml:space="preserve">    </w:t>
      </w:r>
      <w:r>
        <w:rPr>
          <w:rStyle w:val="KeywordTok"/>
        </w:rPr>
        <w:t xml:space="preserve">const</w:t>
      </w:r>
      <w:r>
        <w:rPr>
          <w:rStyle w:val="NormalTok"/>
        </w:rPr>
        <w:t xml:space="preserve"> code </w:t>
      </w:r>
      <w:r>
        <w:rPr>
          <w:rStyle w:val="OperatorTok"/>
        </w:rPr>
        <w:t xml:space="preserve">=</w:t>
      </w:r>
      <w:r>
        <w:rPr>
          <w:rStyle w:val="NormalTok"/>
        </w:rPr>
        <w:t xml:space="preserve"> </w:t>
      </w:r>
      <w:r>
        <w:rPr>
          <w:rStyle w:val="StringTok"/>
        </w:rPr>
        <w:t xml:space="preserve">"&lt;% Response.Write </w:t>
      </w:r>
      <w:r>
        <w:rPr>
          <w:rStyle w:val="SpecialCharTok"/>
        </w:rPr>
        <w:t xml:space="preserve">\"</w:t>
      </w:r>
      <w:r>
        <w:rPr>
          <w:rStyle w:val="StringTok"/>
        </w:rPr>
        <w:t xml:space="preserve">Hello from WASM!</w:t>
      </w:r>
      <w:r>
        <w:rPr>
          <w:rStyle w:val="SpecialCharTok"/>
        </w:rPr>
        <w:t xml:space="preserve">\"</w:t>
      </w:r>
      <w:r>
        <w:rPr>
          <w:rStyle w:val="StringTok"/>
        </w:rPr>
        <w:t xml:space="preserve"> %&gt;"</w:t>
      </w:r>
      <w:r>
        <w:rPr>
          <w:rStyle w:val="OperatorTok"/>
        </w:rPr>
        <w:t xml:space="preserve">;</w:t>
      </w:r>
      <w:r>
        <w:br/>
      </w:r>
      <w:r>
        <w:rPr>
          <w:rStyle w:val="NormalTok"/>
        </w:rPr>
        <w:t xml:space="preserve">    </w:t>
      </w:r>
      <w:r>
        <w:rPr>
          <w:rStyle w:val="ControlFlowTok"/>
        </w:rPr>
        <w:t xml:space="preserve">try</w:t>
      </w:r>
      <w:r>
        <w:rPr>
          <w:rStyle w:val="NormalTok"/>
        </w:rPr>
        <w:t xml:space="preserve"> {</w:t>
      </w:r>
      <w:r>
        <w:br/>
      </w:r>
      <w:r>
        <w:rPr>
          <w:rStyle w:val="NormalTok"/>
        </w:rPr>
        <w:t xml:space="preserve">        </w:t>
      </w:r>
      <w:r>
        <w:rPr>
          <w:rStyle w:val="KeywordTok"/>
        </w:rPr>
        <w:t xml:space="preserve">const</w:t>
      </w:r>
      <w:r>
        <w:rPr>
          <w:rStyle w:val="NormalTok"/>
        </w:rPr>
        <w:t xml:space="preserve"> result </w:t>
      </w:r>
      <w:r>
        <w:rPr>
          <w:rStyle w:val="OperatorTok"/>
        </w:rPr>
        <w:t xml:space="preserve">=</w:t>
      </w:r>
      <w:r>
        <w:rPr>
          <w:rStyle w:val="NormalTok"/>
        </w:rPr>
        <w:t xml:space="preserve"> </w:t>
      </w:r>
      <w:r>
        <w:rPr>
          <w:rStyle w:val="ControlFlowTok"/>
        </w:rPr>
        <w:t xml:space="preserve">await</w:t>
      </w:r>
      <w:r>
        <w:rPr>
          <w:rStyle w:val="NormalTok"/>
        </w:rPr>
        <w:t xml:space="preserve"> AxonASP</w:t>
      </w:r>
      <w:r>
        <w:rPr>
          <w:rStyle w:val="OperatorTok"/>
        </w:rPr>
        <w:t xml:space="preserve">.</w:t>
      </w:r>
      <w:r>
        <w:rPr>
          <w:rStyle w:val="FunctionTok"/>
        </w:rPr>
        <w:t xml:space="preserve">execute</w:t>
      </w:r>
      <w:r>
        <w:rPr>
          <w:rStyle w:val="NormalTok"/>
        </w:rPr>
        <w:t xml:space="preserve">(code)</w:t>
      </w:r>
      <w:r>
        <w:rPr>
          <w:rStyle w:val="OperatorTok"/>
        </w:rPr>
        <w:t xml:space="preserve">;</w:t>
      </w:r>
      <w:r>
        <w:br/>
      </w:r>
      <w:r>
        <w:rPr>
          <w:rStyle w:val="NormalTok"/>
        </w:rPr>
        <w:t xml:space="preserve">        </w:t>
      </w:r>
      <w:r>
        <w:rPr>
          <w:rStyle w:val="BuiltInTok"/>
        </w:rPr>
        <w:t xml:space="preserve">console</w:t>
      </w:r>
      <w:r>
        <w:rPr>
          <w:rStyle w:val="OperatorTok"/>
        </w:rPr>
        <w:t xml:space="preserve">.</w:t>
      </w:r>
      <w:r>
        <w:rPr>
          <w:rStyle w:val="FunctionTok"/>
        </w:rPr>
        <w:t xml:space="preserve">log</w:t>
      </w:r>
      <w:r>
        <w:rPr>
          <w:rStyle w:val="NormalTok"/>
        </w:rPr>
        <w:t xml:space="preserve">(result)</w:t>
      </w:r>
      <w:r>
        <w:rPr>
          <w:rStyle w:val="OperatorTok"/>
        </w:rPr>
        <w:t xml:space="preserve">;</w:t>
      </w:r>
      <w:r>
        <w:br/>
      </w:r>
      <w:r>
        <w:rPr>
          <w:rStyle w:val="NormalTok"/>
        </w:rPr>
        <w:t xml:space="preserve">    } </w:t>
      </w:r>
      <w:r>
        <w:rPr>
          <w:rStyle w:val="ControlFlowTok"/>
        </w:rPr>
        <w:t xml:space="preserve">catch</w:t>
      </w:r>
      <w:r>
        <w:rPr>
          <w:rStyle w:val="NormalTok"/>
        </w:rPr>
        <w:t xml:space="preserve"> (err) {</w:t>
      </w:r>
      <w:r>
        <w:br/>
      </w:r>
      <w:r>
        <w:rPr>
          <w:rStyle w:val="NormalTok"/>
        </w:rPr>
        <w:t xml:space="preserve">        </w:t>
      </w:r>
      <w:r>
        <w:rPr>
          <w:rStyle w:val="BuiltInTok"/>
        </w:rPr>
        <w:t xml:space="preserve">console</w:t>
      </w:r>
      <w:r>
        <w:rPr>
          <w:rStyle w:val="OperatorTok"/>
        </w:rPr>
        <w:t xml:space="preserve">.</w:t>
      </w:r>
      <w:r>
        <w:rPr>
          <w:rStyle w:val="FunctionTok"/>
        </w:rPr>
        <w:t xml:space="preserve">error</w:t>
      </w:r>
      <w:r>
        <w:rPr>
          <w:rStyle w:val="NormalTok"/>
        </w:rPr>
        <w:t xml:space="preserve">(</w:t>
      </w:r>
      <w:r>
        <w:rPr>
          <w:rStyle w:val="StringTok"/>
        </w:rPr>
        <w:t xml:space="preserve">"Execution failed:"</w:t>
      </w:r>
      <w:r>
        <w:rPr>
          <w:rStyle w:val="OperatorTok"/>
        </w:rPr>
        <w:t xml:space="preserve">,</w:t>
      </w:r>
      <w:r>
        <w:rPr>
          <w:rStyle w:val="NormalTok"/>
        </w:rPr>
        <w:t xml:space="preserve"> err)</w:t>
      </w:r>
      <w:r>
        <w:rPr>
          <w:rStyle w:val="OperatorTok"/>
        </w:rPr>
        <w:t xml:space="preserve">;</w:t>
      </w:r>
      <w:r>
        <w:br/>
      </w:r>
      <w:r>
        <w:rPr>
          <w:rStyle w:val="NormalTok"/>
        </w:rPr>
        <w:t xml:space="preserve">    }</w:t>
      </w:r>
      <w:r>
        <w:br/>
      </w:r>
      <w:r>
        <w:rPr>
          <w:rStyle w:val="NormalTok"/>
        </w:rPr>
        <w:t xml:space="preserve">}</w:t>
      </w:r>
    </w:p>
    <w:bookmarkEnd w:id="264"/>
    <w:bookmarkEnd w:id="265"/>
    <w:bookmarkStart w:id="282" w:name="create-a-windows-com-library-for-axonasp"/>
    <w:p>
      <w:pPr>
        <w:pStyle w:val="Heading1"/>
      </w:pPr>
      <w:r>
        <w:t xml:space="preserve">Create a Windows COM Library for AxonASP</w:t>
      </w:r>
    </w:p>
    <w:bookmarkStart w:id="266" w:name="overview-19"/>
    <w:p>
      <w:pPr>
        <w:pStyle w:val="Heading2"/>
      </w:pPr>
      <w:r>
        <w:t xml:space="preserve">Overview</w:t>
      </w:r>
    </w:p>
    <w:p>
      <w:pPr>
        <w:pStyle w:val="FirstParagraph"/>
      </w:pPr>
      <w:r>
        <w:t xml:space="preserve">Build a custom AxonASP library that wraps Windows COM objects through go-ole and exposes a clean Classic ASP interface through</w:t>
      </w:r>
      <w:r>
        <w:t xml:space="preserve"> </w:t>
      </w:r>
      <w:r>
        <w:rPr>
          <w:rStyle w:val="VerbatimChar"/>
        </w:rPr>
        <w:t xml:space="preserve">Server.CreateObject("&lt;LibraryName&gt;")</w:t>
      </w:r>
      <w:r>
        <w:t xml:space="preserve">.</w:t>
      </w:r>
    </w:p>
    <w:p>
      <w:pPr>
        <w:pStyle w:val="BodyText"/>
      </w:pPr>
      <w:r>
        <w:t xml:space="preserve">This guide shows:</w:t>
      </w:r>
    </w:p>
    <w:p>
      <w:pPr>
        <w:pStyle w:val="Compact"/>
        <w:numPr>
          <w:ilvl w:val="0"/>
          <w:numId w:val="1104"/>
        </w:numPr>
      </w:pPr>
      <w:r>
        <w:t xml:space="preserve">How to split implementation by platform using build tags.</w:t>
      </w:r>
    </w:p>
    <w:p>
      <w:pPr>
        <w:pStyle w:val="Compact"/>
        <w:numPr>
          <w:ilvl w:val="0"/>
          <w:numId w:val="1104"/>
        </w:numPr>
      </w:pPr>
      <w:r>
        <w:t xml:space="preserve">How to register the object in the VM without reflection.</w:t>
      </w:r>
    </w:p>
    <w:p>
      <w:pPr>
        <w:pStyle w:val="Compact"/>
        <w:numPr>
          <w:ilvl w:val="0"/>
          <w:numId w:val="1104"/>
        </w:numPr>
      </w:pPr>
      <w:r>
        <w:t xml:space="preserve">How to manage COM memory safely to avoid leaks.</w:t>
      </w:r>
    </w:p>
    <w:p>
      <w:pPr>
        <w:pStyle w:val="Compact"/>
        <w:numPr>
          <w:ilvl w:val="0"/>
          <w:numId w:val="1104"/>
        </w:numPr>
      </w:pPr>
      <w:r>
        <w:t xml:space="preserve">How to expose</w:t>
      </w:r>
      <w:r>
        <w:t xml:space="preserve"> </w:t>
      </w:r>
      <w:r>
        <w:rPr>
          <w:rStyle w:val="VerbatimChar"/>
        </w:rPr>
        <w:t xml:space="preserve">open</w:t>
      </w:r>
      <w:r>
        <w:t xml:space="preserve">,</w:t>
      </w:r>
      <w:r>
        <w:t xml:space="preserve"> </w:t>
      </w:r>
      <w:r>
        <w:rPr>
          <w:rStyle w:val="VerbatimChar"/>
        </w:rPr>
        <w:t xml:space="preserve">send</w:t>
      </w:r>
      <w:r>
        <w:t xml:space="preserve">, and</w:t>
      </w:r>
      <w:r>
        <w:t xml:space="preserve"> </w:t>
      </w:r>
      <w:r>
        <w:rPr>
          <w:rStyle w:val="VerbatimChar"/>
        </w:rPr>
        <w:t xml:space="preserve">selectNodes</w:t>
      </w:r>
      <w:r>
        <w:t xml:space="preserve"> </w:t>
      </w:r>
      <w:r>
        <w:t xml:space="preserve">as AxonASP native methods that return</w:t>
      </w:r>
      <w:r>
        <w:t xml:space="preserve"> </w:t>
      </w:r>
      <w:r>
        <w:rPr>
          <w:rStyle w:val="VerbatimChar"/>
        </w:rPr>
        <w:t xml:space="preserve">axonvm.Value</w:t>
      </w:r>
      <w:r>
        <w:t xml:space="preserve">.</w:t>
      </w:r>
    </w:p>
    <w:bookmarkEnd w:id="266"/>
    <w:bookmarkStart w:id="267" w:name="prerequisites-4"/>
    <w:p>
      <w:pPr>
        <w:pStyle w:val="Heading2"/>
      </w:pPr>
      <w:r>
        <w:t xml:space="preserve">Prerequisites</w:t>
      </w:r>
    </w:p>
    <w:p>
      <w:pPr>
        <w:pStyle w:val="Compact"/>
        <w:numPr>
          <w:ilvl w:val="0"/>
          <w:numId w:val="1105"/>
        </w:numPr>
      </w:pPr>
      <w:r>
        <w:t xml:space="preserve">AxonASP source tree and build environment.</w:t>
      </w:r>
    </w:p>
    <w:p>
      <w:pPr>
        <w:pStyle w:val="Compact"/>
        <w:numPr>
          <w:ilvl w:val="0"/>
          <w:numId w:val="1105"/>
        </w:numPr>
      </w:pPr>
      <w:r>
        <w:t xml:space="preserve">Go toolchain available on your machine.</w:t>
      </w:r>
    </w:p>
    <w:p>
      <w:pPr>
        <w:pStyle w:val="Compact"/>
        <w:numPr>
          <w:ilvl w:val="0"/>
          <w:numId w:val="1105"/>
        </w:numPr>
      </w:pPr>
      <w:r>
        <w:t xml:space="preserve">Windows host for COM execution.</w:t>
      </w:r>
    </w:p>
    <w:p>
      <w:pPr>
        <w:pStyle w:val="Compact"/>
        <w:numPr>
          <w:ilvl w:val="0"/>
          <w:numId w:val="1105"/>
        </w:numPr>
      </w:pPr>
      <w:r>
        <w:rPr>
          <w:rStyle w:val="VerbatimChar"/>
        </w:rPr>
        <w:t xml:space="preserve">github.com/go-ole/go-ole</w:t>
      </w:r>
      <w:r>
        <w:t xml:space="preserve"> </w:t>
      </w:r>
      <w:r>
        <w:t xml:space="preserve">and</w:t>
      </w:r>
      <w:r>
        <w:t xml:space="preserve"> </w:t>
      </w:r>
      <w:r>
        <w:rPr>
          <w:rStyle w:val="VerbatimChar"/>
        </w:rPr>
        <w:t xml:space="preserve">github.com/go-ole/go-ole/oleutil</w:t>
      </w:r>
      <w:r>
        <w:t xml:space="preserve"> </w:t>
      </w:r>
      <w:r>
        <w:t xml:space="preserve">available in the module.</w:t>
      </w:r>
    </w:p>
    <w:p>
      <w:pPr>
        <w:pStyle w:val="Compact"/>
        <w:numPr>
          <w:ilvl w:val="0"/>
          <w:numId w:val="1105"/>
        </w:numPr>
      </w:pPr>
      <w:r>
        <w:t xml:space="preserve">Basic familiarity with Classic ASP and COM ProgID usage.</w:t>
      </w:r>
    </w:p>
    <w:bookmarkEnd w:id="267"/>
    <w:bookmarkStart w:id="268" w:name="remarks-11"/>
    <w:p>
      <w:pPr>
        <w:pStyle w:val="Heading2"/>
      </w:pPr>
      <w:r>
        <w:t xml:space="preserve">Remarks</w:t>
      </w:r>
    </w:p>
    <w:p>
      <w:pPr>
        <w:pStyle w:val="FirstParagraph"/>
      </w:pPr>
      <w:r>
        <w:t xml:space="preserve">Memory and resource safety is mandatory.</w:t>
      </w:r>
      <w:r>
        <w:t xml:space="preserve"> </w:t>
      </w:r>
      <w:r>
        <w:t xml:space="preserve">COM wrappers leak quickly when release paths are incomplete. Every object, variant, and COM apartment must be released deterministically. Always use</w:t>
      </w:r>
      <w:r>
        <w:t xml:space="preserve"> </w:t>
      </w:r>
      <w:r>
        <w:rPr>
          <w:rStyle w:val="VerbatimChar"/>
        </w:rPr>
        <w:t xml:space="preserve">defer obj.Release()</w:t>
      </w:r>
      <w:r>
        <w:t xml:space="preserve">,</w:t>
      </w:r>
      <w:r>
        <w:t xml:space="preserve"> </w:t>
      </w:r>
      <w:r>
        <w:rPr>
          <w:rStyle w:val="VerbatimChar"/>
        </w:rPr>
        <w:t xml:space="preserve">ole.VariantClear(&amp;v)</w:t>
      </w:r>
      <w:r>
        <w:t xml:space="preserve">, and</w:t>
      </w:r>
      <w:r>
        <w:t xml:space="preserve"> </w:t>
      </w:r>
      <w:r>
        <w:rPr>
          <w:rStyle w:val="VerbatimChar"/>
        </w:rPr>
        <w:t xml:space="preserve">defer ole.CoUninitialize()</w:t>
      </w:r>
      <w:r>
        <w:t xml:space="preserve"> </w:t>
      </w:r>
      <w:r>
        <w:t xml:space="preserve">after successful</w:t>
      </w:r>
      <w:r>
        <w:t xml:space="preserve"> </w:t>
      </w:r>
      <w:r>
        <w:rPr>
          <w:rStyle w:val="VerbatimChar"/>
        </w:rPr>
        <w:t xml:space="preserve">ole.CoInitialize(0)</w:t>
      </w:r>
      <w:r>
        <w:t xml:space="preserve">.</w:t>
      </w:r>
    </w:p>
    <w:p>
      <w:pPr>
        <w:pStyle w:val="Compact"/>
        <w:numPr>
          <w:ilvl w:val="0"/>
          <w:numId w:val="1106"/>
        </w:numPr>
      </w:pPr>
      <w:r>
        <w:t xml:space="preserve">COM support is</w:t>
      </w:r>
      <w:r>
        <w:t xml:space="preserve"> </w:t>
      </w:r>
      <w:r>
        <w:rPr>
          <w:b/>
          <w:bCs/>
        </w:rPr>
        <w:t xml:space="preserve">Windows-only</w:t>
      </w:r>
      <w:r>
        <w:t xml:space="preserve"> </w:t>
      </w:r>
      <w:r>
        <w:t xml:space="preserve">and must be guarded with build tags.</w:t>
      </w:r>
    </w:p>
    <w:p>
      <w:pPr>
        <w:pStyle w:val="Compact"/>
        <w:numPr>
          <w:ilvl w:val="0"/>
          <w:numId w:val="1106"/>
        </w:numPr>
      </w:pPr>
      <w:r>
        <w:t xml:space="preserve">Keep dispatch logic switch-based and strongly typed. Do not use reflection.</w:t>
      </w:r>
    </w:p>
    <w:p>
      <w:pPr>
        <w:pStyle w:val="Compact"/>
        <w:numPr>
          <w:ilvl w:val="0"/>
          <w:numId w:val="1106"/>
        </w:numPr>
      </w:pPr>
      <w:r>
        <w:t xml:space="preserve">Keep dynamic native object routing O(1) by using VM maps keyed by</w:t>
      </w:r>
      <w:r>
        <w:t xml:space="preserve"> </w:t>
      </w:r>
      <w:r>
        <w:rPr>
          <w:rStyle w:val="VerbatimChar"/>
        </w:rPr>
        <w:t xml:space="preserve">int64</w:t>
      </w:r>
      <w:r>
        <w:t xml:space="preserve"> </w:t>
      </w:r>
      <w:r>
        <w:t xml:space="preserve">IDs.</w:t>
      </w:r>
    </w:p>
    <w:p>
      <w:pPr>
        <w:pStyle w:val="Compact"/>
        <w:numPr>
          <w:ilvl w:val="0"/>
          <w:numId w:val="1106"/>
        </w:numPr>
      </w:pPr>
      <w:r>
        <w:t xml:space="preserve">Return explicit AxonASP values (</w:t>
      </w:r>
      <w:r>
        <w:rPr>
          <w:rStyle w:val="VerbatimChar"/>
        </w:rPr>
        <w:t xml:space="preserve">NewString</w:t>
      </w:r>
      <w:r>
        <w:t xml:space="preserve">,</w:t>
      </w:r>
      <w:r>
        <w:t xml:space="preserve"> </w:t>
      </w:r>
      <w:r>
        <w:rPr>
          <w:rStyle w:val="VerbatimChar"/>
        </w:rPr>
        <w:t xml:space="preserve">NewBool</w:t>
      </w:r>
      <w:r>
        <w:t xml:space="preserve">,</w:t>
      </w:r>
      <w:r>
        <w:t xml:space="preserve"> </w:t>
      </w:r>
      <w:r>
        <w:rPr>
          <w:rStyle w:val="VerbatimChar"/>
        </w:rPr>
        <w:t xml:space="preserve">NewInteger</w:t>
      </w:r>
      <w:r>
        <w:t xml:space="preserve">,</w:t>
      </w:r>
      <w:r>
        <w:t xml:space="preserve"> </w:t>
      </w:r>
      <w:r>
        <w:rPr>
          <w:rStyle w:val="VerbatimChar"/>
        </w:rPr>
        <w:t xml:space="preserve">Value{Type: VTEmpty}</w:t>
      </w:r>
      <w:r>
        <w:t xml:space="preserve">) and raise AxonASP errors for operational failures.</w:t>
      </w:r>
    </w:p>
    <w:p>
      <w:pPr>
        <w:pStyle w:val="FirstParagraph"/>
      </w:pPr>
      <w:r>
        <w:t xml:space="preserve">Although it is tempting to simply use Windows COM objects in AxonASP, understand that memory exhaustion can easily occur. COM objects are legacy technology that Microsoft could deprecate at any moment and will not support forever. Furthermore, using COM objects prevents deployment across other platforms such as Linux, macOS, BSD, and Containers;</w:t>
      </w:r>
      <w:r>
        <w:t xml:space="preserve"> </w:t>
      </w:r>
      <w:r>
        <w:rPr>
          <w:b/>
          <w:bCs/>
        </w:rPr>
        <w:t xml:space="preserve">this is not the optimal way</w:t>
      </w:r>
      <w:r>
        <w:t xml:space="preserve"> </w:t>
      </w:r>
      <w:r>
        <w:t xml:space="preserve">to interact with these elements.</w:t>
      </w:r>
    </w:p>
    <w:p>
      <w:pPr>
        <w:pStyle w:val="BodyText"/>
      </w:pPr>
      <w:r>
        <w:rPr>
          <w:b/>
          <w:bCs/>
        </w:rPr>
        <w:t xml:space="preserve">Ideally, you should implement the object as a native GoLang library</w:t>
      </w:r>
      <w:r>
        <w:t xml:space="preserve">. By utilizing AI, converting legacy COM code into high-performance, cross-platform GoLang code is fast and straightforward. Additionally, this allows you to contribute to the AxonASP repository, expanding the server’s overall capabilities.</w:t>
      </w:r>
    </w:p>
    <w:p>
      <w:pPr>
        <w:pStyle w:val="BodyText"/>
      </w:pPr>
      <w:r>
        <w:t xml:space="preserve">You must perform extensive memory and COM object usage testing before deploying to a production environment. COM implementation poses considerable security risks if implemented incorrectly, as well as the potential to generate denial-of-service errors by overloading the server and causing the application to crash.</w:t>
      </w:r>
    </w:p>
    <w:p>
      <w:pPr>
        <w:pStyle w:val="BodyText"/>
      </w:pPr>
      <w:r>
        <w:t xml:space="preserve">Unfortunately, there is no simpler way to implement direct interaction with OLE objects that does not involve creating a native library.</w:t>
      </w:r>
    </w:p>
    <w:p>
      <w:pPr>
        <w:pStyle w:val="BodyText"/>
      </w:pPr>
      <w:r>
        <w:t xml:space="preserve">However, since we support</w:t>
      </w:r>
      <w:r>
        <w:t xml:space="preserve"> </w:t>
      </w:r>
      <w:r>
        <w:rPr>
          <w:rStyle w:val="VerbatimChar"/>
        </w:rPr>
        <w:t xml:space="preserve">WScript.Shell</w:t>
      </w:r>
      <w:r>
        <w:t xml:space="preserve"> </w:t>
      </w:r>
      <w:r>
        <w:t xml:space="preserve">and</w:t>
      </w:r>
      <w:r>
        <w:t xml:space="preserve"> </w:t>
      </w:r>
      <w:r>
        <w:rPr>
          <w:rStyle w:val="VerbatimChar"/>
        </w:rPr>
        <w:t xml:space="preserve">AxExecute(command)</w:t>
      </w:r>
      <w:r>
        <w:t xml:space="preserve">, nothing prevents you from compiling an external program or running a script in another language and capturing the raw output back into your ASP code. This allows, for example, a program written in any other language to emit content to AxonASP, which can then be read and utilized by the ASP script.</w:t>
      </w:r>
    </w:p>
    <w:p>
      <w:pPr>
        <w:pStyle w:val="SourceCode"/>
      </w:pPr>
      <w:r>
        <w:rPr>
          <w:rStyle w:val="VerbatimChar"/>
        </w:rPr>
        <w:t xml:space="preserve">Dim ax, returned</w:t>
      </w:r>
      <w:r>
        <w:br/>
      </w:r>
      <w:r>
        <w:rPr>
          <w:rStyle w:val="VerbatimChar"/>
        </w:rPr>
        <w:t xml:space="preserve">Set ax = Server.CreateObject("G3AXON.FUNCTIONS")</w:t>
      </w:r>
      <w:r>
        <w:br/>
      </w:r>
      <w:r>
        <w:rPr>
          <w:rStyle w:val="VerbatimChar"/>
        </w:rPr>
        <w:t xml:space="preserve">returned = ax.AxExecute(command)</w:t>
      </w:r>
      <w:r>
        <w:br/>
      </w:r>
      <w:r>
        <w:rPr>
          <w:rStyle w:val="VerbatimChar"/>
        </w:rPr>
        <w:t xml:space="preserve">Response.Write "Run returned: " &amp; returned</w:t>
      </w:r>
      <w:r>
        <w:br/>
      </w:r>
      <w:r>
        <w:br/>
      </w:r>
      <w:r>
        <w:rPr>
          <w:rStyle w:val="VerbatimChar"/>
        </w:rPr>
        <w:t xml:space="preserve">Dim shell, code</w:t>
      </w:r>
      <w:r>
        <w:br/>
      </w:r>
      <w:r>
        <w:rPr>
          <w:rStyle w:val="VerbatimChar"/>
        </w:rPr>
        <w:t xml:space="preserve">Set shell = Server.CreateObject("WScript.Shell")</w:t>
      </w:r>
      <w:r>
        <w:br/>
      </w:r>
      <w:r>
        <w:br/>
      </w:r>
      <w:r>
        <w:rPr>
          <w:rStyle w:val="VerbatimChar"/>
        </w:rPr>
        <w:t xml:space="preserve">code = shell.Run("cmd /c echo G3Pix AxonASP", 0, True)</w:t>
      </w:r>
      <w:r>
        <w:br/>
      </w:r>
      <w:r>
        <w:rPr>
          <w:rStyle w:val="VerbatimChar"/>
        </w:rPr>
        <w:t xml:space="preserve">Response.Write "Run returned: " &amp; code</w:t>
      </w:r>
    </w:p>
    <w:bookmarkEnd w:id="268"/>
    <w:bookmarkStart w:id="276" w:name="golang-implementation-steps"/>
    <w:p>
      <w:pPr>
        <w:pStyle w:val="Heading2"/>
      </w:pPr>
      <w:r>
        <w:t xml:space="preserve">GoLang Implementation Steps</w:t>
      </w:r>
    </w:p>
    <w:bookmarkStart w:id="269" w:name="syntax-3"/>
    <w:p>
      <w:pPr>
        <w:pStyle w:val="Heading3"/>
      </w:pPr>
      <w:r>
        <w:t xml:space="preserve">Syntax</w:t>
      </w:r>
    </w:p>
    <w:p>
      <w:pPr>
        <w:pStyle w:val="SourceCode"/>
      </w:pPr>
      <w:r>
        <w:rPr>
          <w:rStyle w:val="NormalTok"/>
        </w:rPr>
        <w:t xml:space="preserve">Set rss = Server.CreateObject("MSXML.COM")</w:t>
      </w:r>
      <w:r>
        <w:br/>
      </w:r>
      <w:r>
        <w:rPr>
          <w:rStyle w:val="NormalTok"/>
        </w:rPr>
        <w:t xml:space="preserve">Call rss.open("GET", "http://rss.slashdot.org/Slashdot/slashdot", False)</w:t>
      </w:r>
      <w:r>
        <w:br/>
      </w:r>
      <w:r>
        <w:rPr>
          <w:rStyle w:val="NormalTok"/>
        </w:rPr>
        <w:t xml:space="preserve">Call rss.send()</w:t>
      </w:r>
      <w:r>
        <w:br/>
      </w:r>
      <w:r>
        <w:rPr>
          <w:rStyle w:val="NormalTok"/>
        </w:rPr>
        <w:t xml:space="preserve">result = rss.selectNodes("/rdf:RDF/item")</w:t>
      </w:r>
    </w:p>
    <w:bookmarkEnd w:id="269"/>
    <w:bookmarkStart w:id="270" w:name="parameters-and-arguments-3"/>
    <w:p>
      <w:pPr>
        <w:pStyle w:val="Heading3"/>
      </w:pPr>
      <w:r>
        <w:t xml:space="preserve">Parameters and Arguments</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Method</w:t>
            </w:r>
          </w:p>
        </w:tc>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open</w:t>
            </w:r>
          </w:p>
        </w:tc>
        <w:tc>
          <w:tcPr/>
          <w:p>
            <w:pPr>
              <w:pStyle w:val="Compact"/>
            </w:pPr>
            <w:r>
              <w:rPr>
                <w:rStyle w:val="VerbatimChar"/>
              </w:rPr>
              <w:t xml:space="preserve">method</w:t>
            </w:r>
          </w:p>
        </w:tc>
        <w:tc>
          <w:tcPr/>
          <w:p>
            <w:pPr>
              <w:pStyle w:val="Compact"/>
            </w:pPr>
            <w:r>
              <w:t xml:space="preserve">String</w:t>
            </w:r>
          </w:p>
        </w:tc>
        <w:tc>
          <w:tcPr/>
          <w:p>
            <w:pPr>
              <w:pStyle w:val="Compact"/>
            </w:pPr>
            <w:r>
              <w:t xml:space="preserve">Yes</w:t>
            </w:r>
          </w:p>
        </w:tc>
        <w:tc>
          <w:tcPr/>
          <w:p>
            <w:pPr>
              <w:pStyle w:val="Compact"/>
            </w:pPr>
            <w:r>
              <w:t xml:space="preserve">HTTP verb. Use</w:t>
            </w:r>
            <w:r>
              <w:t xml:space="preserve"> </w:t>
            </w:r>
            <w:r>
              <w:rPr>
                <w:rStyle w:val="VerbatimChar"/>
              </w:rPr>
              <w:t xml:space="preserve">GET</w:t>
            </w:r>
            <w:r>
              <w:t xml:space="preserve"> </w:t>
            </w:r>
            <w:r>
              <w:t xml:space="preserve">for RSS fetch scenarios.</w:t>
            </w:r>
          </w:p>
        </w:tc>
      </w:tr>
      <w:tr>
        <w:tc>
          <w:tcPr/>
          <w:p>
            <w:pPr>
              <w:pStyle w:val="Compact"/>
            </w:pPr>
            <w:r>
              <w:rPr>
                <w:rStyle w:val="VerbatimChar"/>
              </w:rPr>
              <w:t xml:space="preserve">open</w:t>
            </w:r>
          </w:p>
        </w:tc>
        <w:tc>
          <w:tcPr/>
          <w:p>
            <w:pPr>
              <w:pStyle w:val="Compact"/>
            </w:pPr>
            <w:r>
              <w:rPr>
                <w:rStyle w:val="VerbatimChar"/>
              </w:rPr>
              <w:t xml:space="preserve">url</w:t>
            </w:r>
          </w:p>
        </w:tc>
        <w:tc>
          <w:tcPr/>
          <w:p>
            <w:pPr>
              <w:pStyle w:val="Compact"/>
            </w:pPr>
            <w:r>
              <w:t xml:space="preserve">String</w:t>
            </w:r>
          </w:p>
        </w:tc>
        <w:tc>
          <w:tcPr/>
          <w:p>
            <w:pPr>
              <w:pStyle w:val="Compact"/>
            </w:pPr>
            <w:r>
              <w:t xml:space="preserve">Yes</w:t>
            </w:r>
          </w:p>
        </w:tc>
        <w:tc>
          <w:tcPr/>
          <w:p>
            <w:pPr>
              <w:pStyle w:val="Compact"/>
            </w:pPr>
            <w:r>
              <w:t xml:space="preserve">Absolute URL requested through</w:t>
            </w:r>
            <w:r>
              <w:t xml:space="preserve"> </w:t>
            </w:r>
            <w:r>
              <w:rPr>
                <w:rStyle w:val="VerbatimChar"/>
              </w:rPr>
              <w:t xml:space="preserve">Microsoft.XMLHTTP</w:t>
            </w:r>
            <w:r>
              <w:t xml:space="preserve">.</w:t>
            </w:r>
          </w:p>
        </w:tc>
      </w:tr>
      <w:tr>
        <w:tc>
          <w:tcPr/>
          <w:p>
            <w:pPr>
              <w:pStyle w:val="Compact"/>
            </w:pPr>
            <w:r>
              <w:rPr>
                <w:rStyle w:val="VerbatimChar"/>
              </w:rPr>
              <w:t xml:space="preserve">open</w:t>
            </w:r>
          </w:p>
        </w:tc>
        <w:tc>
          <w:tcPr/>
          <w:p>
            <w:pPr>
              <w:pStyle w:val="Compact"/>
            </w:pPr>
            <w:r>
              <w:rPr>
                <w:rStyle w:val="VerbatimChar"/>
              </w:rPr>
              <w:t xml:space="preserve">async</w:t>
            </w:r>
          </w:p>
        </w:tc>
        <w:tc>
          <w:tcPr/>
          <w:p>
            <w:pPr>
              <w:pStyle w:val="Compact"/>
            </w:pPr>
            <w:r>
              <w:t xml:space="preserve">Boolean</w:t>
            </w:r>
          </w:p>
        </w:tc>
        <w:tc>
          <w:tcPr/>
          <w:p>
            <w:pPr>
              <w:pStyle w:val="Compact"/>
            </w:pPr>
            <w:r>
              <w:t xml:space="preserve">No</w:t>
            </w:r>
          </w:p>
        </w:tc>
        <w:tc>
          <w:tcPr/>
          <w:p>
            <w:pPr>
              <w:pStyle w:val="Compact"/>
            </w:pPr>
            <w:r>
              <w:t xml:space="preserve">Async mode. Use</w:t>
            </w:r>
            <w:r>
              <w:t xml:space="preserve"> </w:t>
            </w:r>
            <w:r>
              <w:rPr>
                <w:rStyle w:val="VerbatimChar"/>
              </w:rPr>
              <w:t xml:space="preserve">False</w:t>
            </w:r>
            <w:r>
              <w:t xml:space="preserve"> </w:t>
            </w:r>
            <w:r>
              <w:t xml:space="preserve">for deterministic Classic ASP flow.</w:t>
            </w:r>
          </w:p>
        </w:tc>
      </w:tr>
      <w:tr>
        <w:tc>
          <w:tcPr/>
          <w:p>
            <w:pPr>
              <w:pStyle w:val="Compact"/>
            </w:pPr>
            <w:r>
              <w:rPr>
                <w:rStyle w:val="VerbatimChar"/>
              </w:rPr>
              <w:t xml:space="preserve">send</w:t>
            </w:r>
          </w:p>
        </w:tc>
        <w:tc>
          <w:tcPr/>
          <w:p>
            <w:pPr>
              <w:pStyle w:val="Compact"/>
            </w:pPr>
            <w:r>
              <w:rPr>
                <w:rStyle w:val="VerbatimChar"/>
              </w:rPr>
              <w:t xml:space="preserve">body</w:t>
            </w:r>
          </w:p>
        </w:tc>
        <w:tc>
          <w:tcPr/>
          <w:p>
            <w:pPr>
              <w:pStyle w:val="Compact"/>
            </w:pPr>
            <w:r>
              <w:t xml:space="preserve">String/Empty</w:t>
            </w:r>
          </w:p>
        </w:tc>
        <w:tc>
          <w:tcPr/>
          <w:p>
            <w:pPr>
              <w:pStyle w:val="Compact"/>
            </w:pPr>
            <w:r>
              <w:t xml:space="preserve">No</w:t>
            </w:r>
          </w:p>
        </w:tc>
        <w:tc>
          <w:tcPr/>
          <w:p>
            <w:pPr>
              <w:pStyle w:val="Compact"/>
            </w:pPr>
            <w:r>
              <w:t xml:space="preserve">Optional request body. Use</w:t>
            </w:r>
            <w:r>
              <w:t xml:space="preserve"> </w:t>
            </w:r>
            <w:r>
              <w:rPr>
                <w:rStyle w:val="VerbatimChar"/>
              </w:rPr>
              <w:t xml:space="preserve">Empty</w:t>
            </w:r>
            <w:r>
              <w:t xml:space="preserve"> </w:t>
            </w:r>
            <w:r>
              <w:t xml:space="preserve">for GET requests.</w:t>
            </w:r>
          </w:p>
        </w:tc>
      </w:tr>
      <w:tr>
        <w:tc>
          <w:tcPr/>
          <w:p>
            <w:pPr>
              <w:pStyle w:val="Compact"/>
            </w:pPr>
            <w:r>
              <w:rPr>
                <w:rStyle w:val="VerbatimChar"/>
              </w:rPr>
              <w:t xml:space="preserve">selectNodes</w:t>
            </w:r>
          </w:p>
        </w:tc>
        <w:tc>
          <w:tcPr/>
          <w:p>
            <w:pPr>
              <w:pStyle w:val="Compact"/>
            </w:pPr>
            <w:r>
              <w:rPr>
                <w:rStyle w:val="VerbatimChar"/>
              </w:rPr>
              <w:t xml:space="preserve">xpath</w:t>
            </w:r>
          </w:p>
        </w:tc>
        <w:tc>
          <w:tcPr/>
          <w:p>
            <w:pPr>
              <w:pStyle w:val="Compact"/>
            </w:pPr>
            <w:r>
              <w:t xml:space="preserve">String</w:t>
            </w:r>
          </w:p>
        </w:tc>
        <w:tc>
          <w:tcPr/>
          <w:p>
            <w:pPr>
              <w:pStyle w:val="Compact"/>
            </w:pPr>
            <w:r>
              <w:t xml:space="preserve">Yes</w:t>
            </w:r>
          </w:p>
        </w:tc>
        <w:tc>
          <w:tcPr/>
          <w:p>
            <w:pPr>
              <w:pStyle w:val="Compact"/>
            </w:pPr>
            <w:r>
              <w:t xml:space="preserve">XPath expression evaluated against</w:t>
            </w:r>
            <w:r>
              <w:t xml:space="preserve"> </w:t>
            </w:r>
            <w:r>
              <w:rPr>
                <w:rStyle w:val="VerbatimChar"/>
              </w:rPr>
              <w:t xml:space="preserve">responseXml</w:t>
            </w:r>
            <w:r>
              <w:t xml:space="preserve">.</w:t>
            </w:r>
          </w:p>
        </w:tc>
      </w:tr>
    </w:tbl>
    <w:bookmarkEnd w:id="270"/>
    <w:bookmarkStart w:id="271" w:name="return-values-3"/>
    <w:p>
      <w:pPr>
        <w:pStyle w:val="Heading3"/>
      </w:pPr>
      <w:r>
        <w:t xml:space="preserve">Return Values</w:t>
      </w:r>
    </w:p>
    <w:p>
      <w:pPr>
        <w:pStyle w:val="Compact"/>
        <w:numPr>
          <w:ilvl w:val="0"/>
          <w:numId w:val="1107"/>
        </w:numPr>
      </w:pPr>
      <w:r>
        <w:rPr>
          <w:rStyle w:val="VerbatimChar"/>
        </w:rPr>
        <w:t xml:space="preserve">open</w:t>
      </w:r>
      <w:r>
        <w:t xml:space="preserve">: Returns</w:t>
      </w:r>
      <w:r>
        <w:t xml:space="preserve"> </w:t>
      </w:r>
      <w:r>
        <w:rPr>
          <w:rStyle w:val="VerbatimChar"/>
        </w:rPr>
        <w:t xml:space="preserve">Boolean</w:t>
      </w:r>
      <w:r>
        <w:t xml:space="preserve">.</w:t>
      </w:r>
      <w:r>
        <w:t xml:space="preserve"> </w:t>
      </w:r>
      <w:r>
        <w:rPr>
          <w:rStyle w:val="VerbatimChar"/>
        </w:rPr>
        <w:t xml:space="preserve">True</w:t>
      </w:r>
      <w:r>
        <w:t xml:space="preserve"> </w:t>
      </w:r>
      <w:r>
        <w:t xml:space="preserve">when COM call succeeds and request metadata is configured;</w:t>
      </w:r>
      <w:r>
        <w:t xml:space="preserve"> </w:t>
      </w:r>
      <w:r>
        <w:rPr>
          <w:rStyle w:val="VerbatimChar"/>
        </w:rPr>
        <w:t xml:space="preserve">False</w:t>
      </w:r>
      <w:r>
        <w:t xml:space="preserve"> </w:t>
      </w:r>
      <w:r>
        <w:t xml:space="preserve">when validation or COM call fails.</w:t>
      </w:r>
    </w:p>
    <w:p>
      <w:pPr>
        <w:pStyle w:val="Compact"/>
        <w:numPr>
          <w:ilvl w:val="0"/>
          <w:numId w:val="1107"/>
        </w:numPr>
      </w:pPr>
      <w:r>
        <w:rPr>
          <w:rStyle w:val="VerbatimChar"/>
        </w:rPr>
        <w:t xml:space="preserve">send</w:t>
      </w:r>
      <w:r>
        <w:t xml:space="preserve">: Returns</w:t>
      </w:r>
      <w:r>
        <w:t xml:space="preserve"> </w:t>
      </w:r>
      <w:r>
        <w:rPr>
          <w:rStyle w:val="VerbatimChar"/>
        </w:rPr>
        <w:t xml:space="preserve">Boolean</w:t>
      </w:r>
      <w:r>
        <w:t xml:space="preserve">.</w:t>
      </w:r>
      <w:r>
        <w:t xml:space="preserve"> </w:t>
      </w:r>
      <w:r>
        <w:rPr>
          <w:rStyle w:val="VerbatimChar"/>
        </w:rPr>
        <w:t xml:space="preserve">True</w:t>
      </w:r>
      <w:r>
        <w:t xml:space="preserve"> </w:t>
      </w:r>
      <w:r>
        <w:t xml:space="preserve">when the request reaches</w:t>
      </w:r>
      <w:r>
        <w:t xml:space="preserve"> </w:t>
      </w:r>
      <w:r>
        <w:rPr>
          <w:rStyle w:val="VerbatimChar"/>
        </w:rPr>
        <w:t xml:space="preserve">readyState = 4</w:t>
      </w:r>
      <w:r>
        <w:t xml:space="preserve">;</w:t>
      </w:r>
      <w:r>
        <w:t xml:space="preserve"> </w:t>
      </w:r>
      <w:r>
        <w:rPr>
          <w:rStyle w:val="VerbatimChar"/>
        </w:rPr>
        <w:t xml:space="preserve">False</w:t>
      </w:r>
      <w:r>
        <w:t xml:space="preserve"> </w:t>
      </w:r>
      <w:r>
        <w:t xml:space="preserve">on timeout or COM failure.</w:t>
      </w:r>
    </w:p>
    <w:p>
      <w:pPr>
        <w:pStyle w:val="Compact"/>
        <w:numPr>
          <w:ilvl w:val="0"/>
          <w:numId w:val="1107"/>
        </w:numPr>
      </w:pPr>
      <w:r>
        <w:rPr>
          <w:rStyle w:val="VerbatimChar"/>
        </w:rPr>
        <w:t xml:space="preserve">selectNodes</w:t>
      </w:r>
      <w:r>
        <w:t xml:space="preserve">: Returns</w:t>
      </w:r>
      <w:r>
        <w:t xml:space="preserve"> </w:t>
      </w:r>
      <w:r>
        <w:rPr>
          <w:rStyle w:val="VerbatimChar"/>
        </w:rPr>
        <w:t xml:space="preserve">String</w:t>
      </w:r>
      <w:r>
        <w:t xml:space="preserve">.</w:t>
      </w:r>
      <w:r>
        <w:t xml:space="preserve"> </w:t>
      </w:r>
      <w:r>
        <w:t xml:space="preserve">CRLF-delimited payload where each line is</w:t>
      </w:r>
      <w:r>
        <w:t xml:space="preserve"> </w:t>
      </w:r>
      <w:r>
        <w:rPr>
          <w:rStyle w:val="VerbatimChar"/>
        </w:rPr>
        <w:t xml:space="preserve">title|link</w:t>
      </w:r>
      <w:r>
        <w:t xml:space="preserve"> </w:t>
      </w:r>
      <w:r>
        <w:t xml:space="preserve">for one matched node.</w:t>
      </w:r>
    </w:p>
    <w:p>
      <w:pPr>
        <w:pStyle w:val="Compact"/>
        <w:numPr>
          <w:ilvl w:val="0"/>
          <w:numId w:val="1107"/>
        </w:numPr>
      </w:pPr>
      <w:r>
        <w:rPr>
          <w:rStyle w:val="VerbatimChar"/>
        </w:rPr>
        <w:t xml:space="preserve">LastError</w:t>
      </w:r>
      <w:r>
        <w:t xml:space="preserve"> </w:t>
      </w:r>
      <w:r>
        <w:t xml:space="preserve">(property get): Returns</w:t>
      </w:r>
      <w:r>
        <w:t xml:space="preserve"> </w:t>
      </w:r>
      <w:r>
        <w:rPr>
          <w:rStyle w:val="VerbatimChar"/>
        </w:rPr>
        <w:t xml:space="preserve">String</w:t>
      </w:r>
      <w:r>
        <w:t xml:space="preserve"> </w:t>
      </w:r>
      <w:r>
        <w:t xml:space="preserve">with the latest failure message, or an empty string when no error exists.</w:t>
      </w:r>
    </w:p>
    <w:bookmarkEnd w:id="271"/>
    <w:bookmarkStart w:id="272" w:name="add-the-windows-implementation-file"/>
    <w:p>
      <w:pPr>
        <w:pStyle w:val="Heading3"/>
      </w:pPr>
      <w:r>
        <w:t xml:space="preserve">1. Add the Windows implementation file</w:t>
      </w:r>
    </w:p>
    <w:p>
      <w:pPr>
        <w:pStyle w:val="FirstParagraph"/>
      </w:pPr>
      <w:r>
        <w:t xml:space="preserve">Create</w:t>
      </w:r>
      <w:r>
        <w:t xml:space="preserve"> </w:t>
      </w:r>
      <w:r>
        <w:rPr>
          <w:rStyle w:val="VerbatimChar"/>
        </w:rPr>
        <w:t xml:space="preserve">axonvm/lib_msxmlcom_windows.go</w:t>
      </w:r>
      <w:r>
        <w:t xml:space="preserve"> </w:t>
      </w:r>
      <w:r>
        <w:t xml:space="preserve">with this build tag:</w:t>
      </w:r>
    </w:p>
    <w:p>
      <w:pPr>
        <w:pStyle w:val="SourceCode"/>
      </w:pPr>
      <w:r>
        <w:rPr>
          <w:rStyle w:val="CommentTok"/>
        </w:rPr>
        <w:t xml:space="preserve">//go:build windows &amp;&amp; !lib_msxmlcom_disabled</w:t>
      </w:r>
    </w:p>
    <w:p>
      <w:pPr>
        <w:pStyle w:val="FirstParagraph"/>
      </w:pPr>
      <w:r>
        <w:t xml:space="preserve">Example implementation skeleton:</w:t>
      </w:r>
    </w:p>
    <w:p>
      <w:pPr>
        <w:pStyle w:val="SourceCode"/>
      </w:pPr>
      <w:r>
        <w:rPr>
          <w:rStyle w:val="CommentTok"/>
        </w:rPr>
        <w:t xml:space="preserve">//go:build windows &amp;&amp; !lib_msxmlcom_disabled</w:t>
      </w:r>
      <w:r>
        <w:br/>
      </w:r>
      <w:r>
        <w:br/>
      </w:r>
      <w:r>
        <w:rPr>
          <w:rStyle w:val="KeywordTok"/>
        </w:rPr>
        <w:t xml:space="preserve">package</w:t>
      </w:r>
      <w:r>
        <w:rPr>
          <w:rStyle w:val="NormalTok"/>
        </w:rPr>
        <w:t xml:space="preserve"> axonvm</w:t>
      </w:r>
      <w:r>
        <w:br/>
      </w:r>
      <w:r>
        <w:br/>
      </w:r>
      <w:r>
        <w:rPr>
          <w:rStyle w:val="KeywordTok"/>
        </w:rPr>
        <w:t xml:space="preserve">import</w:t>
      </w:r>
      <w:r>
        <w:rPr>
          <w:rStyle w:val="NormalTok"/>
        </w:rPr>
        <w:t xml:space="preserve"> </w:t>
      </w:r>
      <w:r>
        <w:rPr>
          <w:rStyle w:val="OperatorTok"/>
        </w:rPr>
        <w:t xml:space="preserve">(</w:t>
      </w:r>
      <w:r>
        <w:br/>
      </w:r>
      <w:r>
        <w:rPr>
          <w:rStyle w:val="NormalTok"/>
        </w:rPr>
        <w:t xml:space="preserve">    </w:t>
      </w:r>
      <w:r>
        <w:rPr>
          <w:rStyle w:val="StringTok"/>
        </w:rPr>
        <w:t xml:space="preserve">"fmt"</w:t>
      </w:r>
      <w:r>
        <w:br/>
      </w:r>
      <w:r>
        <w:rPr>
          <w:rStyle w:val="NormalTok"/>
        </w:rPr>
        <w:t xml:space="preserve">    </w:t>
      </w:r>
      <w:r>
        <w:rPr>
          <w:rStyle w:val="StringTok"/>
        </w:rPr>
        <w:t xml:space="preserve">"runtime"</w:t>
      </w:r>
      <w:r>
        <w:br/>
      </w:r>
      <w:r>
        <w:rPr>
          <w:rStyle w:val="NormalTok"/>
        </w:rPr>
        <w:t xml:space="preserve">    </w:t>
      </w:r>
      <w:r>
        <w:rPr>
          <w:rStyle w:val="StringTok"/>
        </w:rPr>
        <w:t xml:space="preserve">"strings"</w:t>
      </w:r>
      <w:r>
        <w:br/>
      </w:r>
      <w:r>
        <w:rPr>
          <w:rStyle w:val="NormalTok"/>
        </w:rPr>
        <w:t xml:space="preserve">    </w:t>
      </w:r>
      <w:r>
        <w:rPr>
          <w:rStyle w:val="StringTok"/>
        </w:rPr>
        <w:t xml:space="preserve">"time"</w:t>
      </w:r>
      <w:r>
        <w:br/>
      </w:r>
      <w:r>
        <w:br/>
      </w:r>
      <w:r>
        <w:rPr>
          <w:rStyle w:val="NormalTok"/>
        </w:rPr>
        <w:t xml:space="preserve">    </w:t>
      </w:r>
      <w:r>
        <w:rPr>
          <w:rStyle w:val="StringTok"/>
        </w:rPr>
        <w:t xml:space="preserve">"github.com/go-ole/go-ole"</w:t>
      </w:r>
      <w:r>
        <w:br/>
      </w:r>
      <w:r>
        <w:rPr>
          <w:rStyle w:val="NormalTok"/>
        </w:rPr>
        <w:t xml:space="preserve">    </w:t>
      </w:r>
      <w:r>
        <w:rPr>
          <w:rStyle w:val="StringTok"/>
        </w:rPr>
        <w:t xml:space="preserve">"github.com/go-ole/go-ole/oleutil"</w:t>
      </w:r>
      <w:r>
        <w:br/>
      </w:r>
      <w:r>
        <w:rPr>
          <w:rStyle w:val="OperatorTok"/>
        </w:rPr>
        <w:t xml:space="preserve">)</w:t>
      </w:r>
      <w:r>
        <w:br/>
      </w:r>
      <w:r>
        <w:br/>
      </w:r>
      <w:r>
        <w:rPr>
          <w:rStyle w:val="CommentTok"/>
        </w:rPr>
        <w:t xml:space="preserve">// MSXMLCOM exposes Microsoft.XMLHTTP + responseXml.selectNodes through AxonASP.</w:t>
      </w:r>
      <w:r>
        <w:br/>
      </w:r>
      <w:r>
        <w:rPr>
          <w:rStyle w:val="KeywordTok"/>
        </w:rPr>
        <w:t xml:space="preserve">type</w:t>
      </w:r>
      <w:r>
        <w:rPr>
          <w:rStyle w:val="NormalTok"/>
        </w:rPr>
        <w:t xml:space="preserve"> MSXMLCOM </w:t>
      </w:r>
      <w:r>
        <w:rPr>
          <w:rStyle w:val="KeywordTok"/>
        </w:rPr>
        <w:t xml:space="preserve">struct</w:t>
      </w:r>
      <w:r>
        <w:rPr>
          <w:rStyle w:val="NormalTok"/>
        </w:rPr>
        <w:t xml:space="preserve"> </w:t>
      </w:r>
      <w:r>
        <w:rPr>
          <w:rStyle w:val="OperatorTok"/>
        </w:rPr>
        <w:t xml:space="preserve">{</w:t>
      </w:r>
      <w:r>
        <w:br/>
      </w:r>
      <w:r>
        <w:rPr>
          <w:rStyle w:val="NormalTok"/>
        </w:rPr>
        <w:t xml:space="preserve">    vm         </w:t>
      </w:r>
      <w:r>
        <w:rPr>
          <w:rStyle w:val="OperatorTok"/>
        </w:rPr>
        <w:t xml:space="preserve">*</w:t>
      </w:r>
      <w:r>
        <w:rPr>
          <w:rStyle w:val="NormalTok"/>
        </w:rPr>
        <w:t xml:space="preserve">VM</w:t>
      </w:r>
      <w:r>
        <w:br/>
      </w:r>
      <w:r>
        <w:rPr>
          <w:rStyle w:val="NormalTok"/>
        </w:rPr>
        <w:t xml:space="preserve">    xhr        </w:t>
      </w:r>
      <w:r>
        <w:rPr>
          <w:rStyle w:val="OperatorTok"/>
        </w:rPr>
        <w:t xml:space="preserve">*</w:t>
      </w:r>
      <w:r>
        <w:rPr>
          <w:rStyle w:val="NormalTok"/>
        </w:rPr>
        <w:t xml:space="preserve">ole</w:t>
      </w:r>
      <w:r>
        <w:rPr>
          <w:rStyle w:val="OperatorTok"/>
        </w:rPr>
        <w:t xml:space="preserve">.</w:t>
      </w:r>
      <w:r>
        <w:rPr>
          <w:rStyle w:val="NormalTok"/>
        </w:rPr>
        <w:t xml:space="preserve">IDispatch</w:t>
      </w:r>
      <w:r>
        <w:br/>
      </w:r>
      <w:r>
        <w:rPr>
          <w:rStyle w:val="NormalTok"/>
        </w:rPr>
        <w:t xml:space="preserve">    responseXM </w:t>
      </w:r>
      <w:r>
        <w:rPr>
          <w:rStyle w:val="OperatorTok"/>
        </w:rPr>
        <w:t xml:space="preserve">*</w:t>
      </w:r>
      <w:r>
        <w:rPr>
          <w:rStyle w:val="NormalTok"/>
        </w:rPr>
        <w:t xml:space="preserve">ole</w:t>
      </w:r>
      <w:r>
        <w:rPr>
          <w:rStyle w:val="OperatorTok"/>
        </w:rPr>
        <w:t xml:space="preserve">.</w:t>
      </w:r>
      <w:r>
        <w:rPr>
          <w:rStyle w:val="NormalTok"/>
        </w:rPr>
        <w:t xml:space="preserve">IDispatch</w:t>
      </w:r>
      <w:r>
        <w:br/>
      </w:r>
      <w:r>
        <w:rPr>
          <w:rStyle w:val="NormalTok"/>
        </w:rPr>
        <w:t xml:space="preserve">    lastError  </w:t>
      </w:r>
      <w:r>
        <w:rPr>
          <w:rStyle w:val="DataTypeTok"/>
        </w:rPr>
        <w:t xml:space="preserve">string</w:t>
      </w:r>
      <w:r>
        <w:br/>
      </w:r>
      <w:r>
        <w:rPr>
          <w:rStyle w:val="OperatorTok"/>
        </w:rPr>
        <w:t xml:space="preserve">}</w:t>
      </w:r>
      <w:r>
        <w:br/>
      </w:r>
      <w:r>
        <w:br/>
      </w:r>
      <w:r>
        <w:rPr>
          <w:rStyle w:val="CommentTok"/>
        </w:rPr>
        <w:t xml:space="preserve">// newMSXMLCOMObject allocates and registers one native object ID.</w:t>
      </w:r>
      <w:r>
        <w:br/>
      </w:r>
      <w:r>
        <w:rPr>
          <w:rStyle w:val="KeywordTok"/>
        </w:rPr>
        <w:t xml:space="preserve">func</w:t>
      </w:r>
      <w:r>
        <w:rPr>
          <w:rStyle w:val="NormalTok"/>
        </w:rPr>
        <w:t xml:space="preserve"> </w:t>
      </w:r>
      <w:r>
        <w:rPr>
          <w:rStyle w:val="OperatorTok"/>
        </w:rPr>
        <w:t xml:space="preserve">(</w:t>
      </w:r>
      <w:r>
        <w:rPr>
          <w:rStyle w:val="NormalTok"/>
        </w:rPr>
        <w:t xml:space="preserve">vm </w:t>
      </w:r>
      <w:r>
        <w:rPr>
          <w:rStyle w:val="OperatorTok"/>
        </w:rPr>
        <w:t xml:space="preserve">*</w:t>
      </w:r>
      <w:r>
        <w:rPr>
          <w:rStyle w:val="NormalTok"/>
        </w:rPr>
        <w:t xml:space="preserve">VM</w:t>
      </w:r>
      <w:r>
        <w:rPr>
          <w:rStyle w:val="OperatorTok"/>
        </w:rPr>
        <w:t xml:space="preserve">)</w:t>
      </w:r>
      <w:r>
        <w:rPr>
          <w:rStyle w:val="NormalTok"/>
        </w:rPr>
        <w:t xml:space="preserve"> newMSXMLCOMObject</w:t>
      </w:r>
      <w:r>
        <w:rPr>
          <w:rStyle w:val="OperatorTok"/>
        </w:rPr>
        <w:t xml:space="preserve">()</w:t>
      </w:r>
      <w:r>
        <w:rPr>
          <w:rStyle w:val="NormalTok"/>
        </w:rPr>
        <w:t xml:space="preserve"> Value </w:t>
      </w:r>
      <w:r>
        <w:rPr>
          <w:rStyle w:val="OperatorTok"/>
        </w:rPr>
        <w:t xml:space="preserve">{</w:t>
      </w:r>
      <w:r>
        <w:br/>
      </w:r>
      <w:r>
        <w:rPr>
          <w:rStyle w:val="NormalTok"/>
        </w:rPr>
        <w:t xml:space="preserve">    obj </w:t>
      </w:r>
      <w:r>
        <w:rPr>
          <w:rStyle w:val="OperatorTok"/>
        </w:rPr>
        <w:t xml:space="preserve">:=</w:t>
      </w:r>
      <w:r>
        <w:rPr>
          <w:rStyle w:val="NormalTok"/>
        </w:rPr>
        <w:t xml:space="preserve"> </w:t>
      </w:r>
      <w:r>
        <w:rPr>
          <w:rStyle w:val="OperatorTok"/>
        </w:rPr>
        <w:t xml:space="preserve">&amp;</w:t>
      </w:r>
      <w:r>
        <w:rPr>
          <w:rStyle w:val="NormalTok"/>
        </w:rPr>
        <w:t xml:space="preserve">MSXMLCOM</w:t>
      </w:r>
      <w:r>
        <w:rPr>
          <w:rStyle w:val="OperatorTok"/>
        </w:rPr>
        <w:t xml:space="preserve">{</w:t>
      </w:r>
      <w:r>
        <w:rPr>
          <w:rStyle w:val="NormalTok"/>
        </w:rPr>
        <w:t xml:space="preserve">vm</w:t>
      </w:r>
      <w:r>
        <w:rPr>
          <w:rStyle w:val="OperatorTok"/>
        </w:rPr>
        <w:t xml:space="preserve">:</w:t>
      </w:r>
      <w:r>
        <w:rPr>
          <w:rStyle w:val="NormalTok"/>
        </w:rPr>
        <w:t xml:space="preserve"> vm</w:t>
      </w:r>
      <w:r>
        <w:rPr>
          <w:rStyle w:val="OperatorTok"/>
        </w:rPr>
        <w:t xml:space="preserve">}</w:t>
      </w:r>
      <w:r>
        <w:br/>
      </w:r>
      <w:r>
        <w:rPr>
          <w:rStyle w:val="NormalTok"/>
        </w:rPr>
        <w:t xml:space="preserve">    id </w:t>
      </w:r>
      <w:r>
        <w:rPr>
          <w:rStyle w:val="OperatorTok"/>
        </w:rPr>
        <w:t xml:space="preserve">:=</w:t>
      </w:r>
      <w:r>
        <w:rPr>
          <w:rStyle w:val="NormalTok"/>
        </w:rPr>
        <w:t xml:space="preserve"> vm</w:t>
      </w:r>
      <w:r>
        <w:rPr>
          <w:rStyle w:val="OperatorTok"/>
        </w:rPr>
        <w:t xml:space="preserve">.</w:t>
      </w:r>
      <w:r>
        <w:rPr>
          <w:rStyle w:val="NormalTok"/>
        </w:rPr>
        <w:t xml:space="preserve">nextDynamicNativeID</w:t>
      </w:r>
      <w:r>
        <w:br/>
      </w:r>
      <w:r>
        <w:rPr>
          <w:rStyle w:val="NormalTok"/>
        </w:rPr>
        <w:t xml:space="preserve">    vm</w:t>
      </w:r>
      <w:r>
        <w:rPr>
          <w:rStyle w:val="OperatorTok"/>
        </w:rPr>
        <w:t xml:space="preserve">.</w:t>
      </w:r>
      <w:r>
        <w:rPr>
          <w:rStyle w:val="NormalTok"/>
        </w:rPr>
        <w:t xml:space="preserve">nextDynamicNativeID</w:t>
      </w:r>
      <w:r>
        <w:rPr>
          <w:rStyle w:val="OperatorTok"/>
        </w:rPr>
        <w:t xml:space="preserve">++</w:t>
      </w:r>
      <w:r>
        <w:br/>
      </w:r>
      <w:r>
        <w:rPr>
          <w:rStyle w:val="NormalTok"/>
        </w:rPr>
        <w:t xml:space="preserve">    vm</w:t>
      </w:r>
      <w:r>
        <w:rPr>
          <w:rStyle w:val="OperatorTok"/>
        </w:rPr>
        <w:t xml:space="preserve">.</w:t>
      </w:r>
      <w:r>
        <w:rPr>
          <w:rStyle w:val="NormalTok"/>
        </w:rPr>
        <w:t xml:space="preserve">msxmlCOMItems</w:t>
      </w:r>
      <w:r>
        <w:rPr>
          <w:rStyle w:val="OperatorTok"/>
        </w:rPr>
        <w:t xml:space="preserve">[</w:t>
      </w:r>
      <w:r>
        <w:rPr>
          <w:rStyle w:val="NormalTok"/>
        </w:rPr>
        <w:t xml:space="preserve">id</w:t>
      </w:r>
      <w:r>
        <w:rPr>
          <w:rStyle w:val="OperatorTok"/>
        </w:rPr>
        <w:t xml:space="preserve">]</w:t>
      </w:r>
      <w:r>
        <w:rPr>
          <w:rStyle w:val="NormalTok"/>
        </w:rPr>
        <w:t xml:space="preserve"> </w:t>
      </w:r>
      <w:r>
        <w:rPr>
          <w:rStyle w:val="OperatorTok"/>
        </w:rPr>
        <w:t xml:space="preserve">=</w:t>
      </w:r>
      <w:r>
        <w:rPr>
          <w:rStyle w:val="NormalTok"/>
        </w:rPr>
        <w:t xml:space="preserve"> obj</w:t>
      </w:r>
      <w:r>
        <w:br/>
      </w:r>
      <w:r>
        <w:rPr>
          <w:rStyle w:val="NormalTok"/>
        </w:rPr>
        <w:t xml:space="preserve">    </w:t>
      </w:r>
      <w:r>
        <w:rPr>
          <w:rStyle w:val="ControlFlowTok"/>
        </w:rPr>
        <w:t xml:space="preserve">return</w:t>
      </w:r>
      <w:r>
        <w:rPr>
          <w:rStyle w:val="NormalTok"/>
        </w:rPr>
        <w:t xml:space="preserve"> Value</w:t>
      </w:r>
      <w:r>
        <w:rPr>
          <w:rStyle w:val="OperatorTok"/>
        </w:rPr>
        <w:t xml:space="preserve">{</w:t>
      </w:r>
      <w:r>
        <w:rPr>
          <w:rStyle w:val="NormalTok"/>
        </w:rPr>
        <w:t xml:space="preserve">Type</w:t>
      </w:r>
      <w:r>
        <w:rPr>
          <w:rStyle w:val="OperatorTok"/>
        </w:rPr>
        <w:t xml:space="preserve">:</w:t>
      </w:r>
      <w:r>
        <w:rPr>
          <w:rStyle w:val="NormalTok"/>
        </w:rPr>
        <w:t xml:space="preserve"> VTNativeObject</w:t>
      </w:r>
      <w:r>
        <w:rPr>
          <w:rStyle w:val="OperatorTok"/>
        </w:rPr>
        <w:t xml:space="preserve">,</w:t>
      </w:r>
      <w:r>
        <w:rPr>
          <w:rStyle w:val="NormalTok"/>
        </w:rPr>
        <w:t xml:space="preserve"> Num</w:t>
      </w:r>
      <w:r>
        <w:rPr>
          <w:rStyle w:val="OperatorTok"/>
        </w:rPr>
        <w:t xml:space="preserve">:</w:t>
      </w:r>
      <w:r>
        <w:rPr>
          <w:rStyle w:val="NormalTok"/>
        </w:rPr>
        <w:t xml:space="preserve"> id</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MSXMLCOM</w:t>
      </w:r>
      <w:r>
        <w:rPr>
          <w:rStyle w:val="OperatorTok"/>
        </w:rPr>
        <w:t xml:space="preserve">)</w:t>
      </w:r>
      <w:r>
        <w:rPr>
          <w:rStyle w:val="NormalTok"/>
        </w:rPr>
        <w:t xml:space="preserve"> setError</w:t>
      </w:r>
      <w:r>
        <w:rPr>
          <w:rStyle w:val="OperatorTok"/>
        </w:rPr>
        <w:t xml:space="preserve">(</w:t>
      </w:r>
      <w:r>
        <w:rPr>
          <w:rStyle w:val="NormalTok"/>
        </w:rPr>
        <w:t xml:space="preserve">prefix </w:t>
      </w:r>
      <w:r>
        <w:rPr>
          <w:rStyle w:val="DataTypeTok"/>
        </w:rPr>
        <w:t xml:space="preserve">string</w:t>
      </w:r>
      <w:r>
        <w:rPr>
          <w:rStyle w:val="OperatorTok"/>
        </w:rPr>
        <w:t xml:space="preserve">,</w:t>
      </w:r>
      <w:r>
        <w:rPr>
          <w:rStyle w:val="NormalTok"/>
        </w:rPr>
        <w:t xml:space="preserve"> err </w:t>
      </w:r>
      <w:r>
        <w:rPr>
          <w:rStyle w:val="DataTypeTok"/>
        </w:rPr>
        <w:t xml:space="preserve">error</w:t>
      </w:r>
      <w:r>
        <w:rPr>
          <w:rStyle w:val="OperatorTok"/>
        </w:rPr>
        <w:t xml:space="preserve">)</w:t>
      </w:r>
      <w:r>
        <w:rPr>
          <w:rStyle w:val="NormalTok"/>
        </w:rPr>
        <w:t xml:space="preserve"> Value </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m</w:t>
      </w:r>
      <w:r>
        <w:rPr>
          <w:rStyle w:val="OperatorTok"/>
        </w:rPr>
        <w:t xml:space="preserve">.</w:t>
      </w:r>
      <w:r>
        <w:rPr>
          <w:rStyle w:val="NormalTok"/>
        </w:rPr>
        <w:t xml:space="preserve">lastError </w:t>
      </w:r>
      <w:r>
        <w:rPr>
          <w:rStyle w:val="OperatorTok"/>
        </w:rPr>
        <w:t xml:space="preserve">=</w:t>
      </w:r>
      <w:r>
        <w:rPr>
          <w:rStyle w:val="NormalTok"/>
        </w:rPr>
        <w:t xml:space="preserve"> fmt</w:t>
      </w:r>
      <w:r>
        <w:rPr>
          <w:rStyle w:val="OperatorTok"/>
        </w:rPr>
        <w:t xml:space="preserve">.</w:t>
      </w:r>
      <w:r>
        <w:rPr>
          <w:rStyle w:val="NormalTok"/>
        </w:rPr>
        <w:t xml:space="preserve">Sprintf</w:t>
      </w:r>
      <w:r>
        <w:rPr>
          <w:rStyle w:val="OperatorTok"/>
        </w:rPr>
        <w:t xml:space="preserve">(</w:t>
      </w:r>
      <w:r>
        <w:rPr>
          <w:rStyle w:val="StringTok"/>
        </w:rPr>
        <w:t xml:space="preserve">"%s: %v"</w:t>
      </w:r>
      <w:r>
        <w:rPr>
          <w:rStyle w:val="OperatorTok"/>
        </w:rPr>
        <w:t xml:space="preserve">,</w:t>
      </w:r>
      <w:r>
        <w:rPr>
          <w:rStyle w:val="NormalTok"/>
        </w:rPr>
        <w:t xml:space="preserve"> prefix</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m</w:t>
      </w:r>
      <w:r>
        <w:rPr>
          <w:rStyle w:val="OperatorTok"/>
        </w:rPr>
        <w:t xml:space="preserve">.</w:t>
      </w:r>
      <w:r>
        <w:rPr>
          <w:rStyle w:val="NormalTok"/>
        </w:rPr>
        <w:t xml:space="preserve">lastError </w:t>
      </w:r>
      <w:r>
        <w:rPr>
          <w:rStyle w:val="OperatorTok"/>
        </w:rPr>
        <w:t xml:space="preserve">=</w:t>
      </w:r>
      <w:r>
        <w:rPr>
          <w:rStyle w:val="NormalTok"/>
        </w:rPr>
        <w:t xml:space="preserve"> prefix</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NewBool</w:t>
      </w:r>
      <w:r>
        <w:rPr>
          <w:rStyle w:val="OperatorTok"/>
        </w:rPr>
        <w:t xml:space="preserve">(</w:t>
      </w:r>
      <w:r>
        <w:rPr>
          <w:rStyle w:val="OtherTok"/>
        </w:rPr>
        <w:t xml:space="preserve">false</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MSXMLCOM</w:t>
      </w:r>
      <w:r>
        <w:rPr>
          <w:rStyle w:val="OperatorTok"/>
        </w:rPr>
        <w:t xml:space="preserve">)</w:t>
      </w:r>
      <w:r>
        <w:rPr>
          <w:rStyle w:val="NormalTok"/>
        </w:rPr>
        <w:t xml:space="preserve"> DispatchPropertyGet</w:t>
      </w:r>
      <w:r>
        <w:rPr>
          <w:rStyle w:val="OperatorTok"/>
        </w:rPr>
        <w:t xml:space="preserve">(</w:t>
      </w:r>
      <w:r>
        <w:rPr>
          <w:rStyle w:val="NormalTok"/>
        </w:rPr>
        <w:t xml:space="preserve">propertyName </w:t>
      </w:r>
      <w:r>
        <w:rPr>
          <w:rStyle w:val="DataTypeTok"/>
        </w:rPr>
        <w:t xml:space="preserve">string</w:t>
      </w:r>
      <w:r>
        <w:rPr>
          <w:rStyle w:val="OperatorTok"/>
        </w:rPr>
        <w:t xml:space="preserve">)</w:t>
      </w:r>
      <w:r>
        <w:rPr>
          <w:rStyle w:val="NormalTok"/>
        </w:rPr>
        <w:t xml:space="preserve"> Value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strings</w:t>
      </w:r>
      <w:r>
        <w:rPr>
          <w:rStyle w:val="OperatorTok"/>
        </w:rPr>
        <w:t xml:space="preserve">.</w:t>
      </w:r>
      <w:r>
        <w:rPr>
          <w:rStyle w:val="NormalTok"/>
        </w:rPr>
        <w:t xml:space="preserve">EqualFold</w:t>
      </w:r>
      <w:r>
        <w:rPr>
          <w:rStyle w:val="OperatorTok"/>
        </w:rPr>
        <w:t xml:space="preserve">(</w:t>
      </w:r>
      <w:r>
        <w:rPr>
          <w:rStyle w:val="NormalTok"/>
        </w:rPr>
        <w:t xml:space="preserve">propertyName</w:t>
      </w:r>
      <w:r>
        <w:rPr>
          <w:rStyle w:val="OperatorTok"/>
        </w:rPr>
        <w:t xml:space="preserve">,</w:t>
      </w:r>
      <w:r>
        <w:rPr>
          <w:rStyle w:val="NormalTok"/>
        </w:rPr>
        <w:t xml:space="preserve"> </w:t>
      </w:r>
      <w:r>
        <w:rPr>
          <w:rStyle w:val="StringTok"/>
        </w:rPr>
        <w:t xml:space="preserve">"LastError"</w:t>
      </w:r>
      <w:r>
        <w:rPr>
          <w:rStyle w:val="OperatorTok"/>
        </w:rPr>
        <w:t xml:space="preserve">):</w:t>
      </w:r>
      <w:r>
        <w:br/>
      </w:r>
      <w:r>
        <w:rPr>
          <w:rStyle w:val="NormalTok"/>
        </w:rPr>
        <w:t xml:space="preserve">        </w:t>
      </w:r>
      <w:r>
        <w:rPr>
          <w:rStyle w:val="ControlFlowTok"/>
        </w:rPr>
        <w:t xml:space="preserve">return</w:t>
      </w:r>
      <w:r>
        <w:rPr>
          <w:rStyle w:val="NormalTok"/>
        </w:rPr>
        <w:t xml:space="preserve"> NewString</w:t>
      </w:r>
      <w:r>
        <w:rPr>
          <w:rStyle w:val="OperatorTok"/>
        </w:rPr>
        <w:t xml:space="preserve">(</w:t>
      </w:r>
      <w:r>
        <w:rPr>
          <w:rStyle w:val="NormalTok"/>
        </w:rPr>
        <w:t xml:space="preserve">m</w:t>
      </w:r>
      <w:r>
        <w:rPr>
          <w:rStyle w:val="OperatorTok"/>
        </w:rPr>
        <w:t xml:space="preserve">.</w:t>
      </w:r>
      <w:r>
        <w:rPr>
          <w:rStyle w:val="NormalTok"/>
        </w:rPr>
        <w:t xml:space="preserve">lastError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Value</w:t>
      </w:r>
      <w:r>
        <w:rPr>
          <w:rStyle w:val="OperatorTok"/>
        </w:rPr>
        <w:t xml:space="preserve">{</w:t>
      </w:r>
      <w:r>
        <w:rPr>
          <w:rStyle w:val="NormalTok"/>
        </w:rPr>
        <w:t xml:space="preserve">Type</w:t>
      </w:r>
      <w:r>
        <w:rPr>
          <w:rStyle w:val="OperatorTok"/>
        </w:rPr>
        <w:t xml:space="preserve">:</w:t>
      </w:r>
      <w:r>
        <w:rPr>
          <w:rStyle w:val="NormalTok"/>
        </w:rPr>
        <w:t xml:space="preserve"> VTEmpty</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MSXMLCOM</w:t>
      </w:r>
      <w:r>
        <w:rPr>
          <w:rStyle w:val="OperatorTok"/>
        </w:rPr>
        <w:t xml:space="preserve">)</w:t>
      </w:r>
      <w:r>
        <w:rPr>
          <w:rStyle w:val="NormalTok"/>
        </w:rPr>
        <w:t xml:space="preserve"> DispatchPropertySet</w:t>
      </w:r>
      <w:r>
        <w:rPr>
          <w:rStyle w:val="OperatorTok"/>
        </w:rPr>
        <w:t xml:space="preserve">(</w:t>
      </w:r>
      <w:r>
        <w:rPr>
          <w:rStyle w:val="NormalTok"/>
        </w:rPr>
        <w:t xml:space="preserve">propertyName </w:t>
      </w:r>
      <w:r>
        <w:rPr>
          <w:rStyle w:val="DataTypeTok"/>
        </w:rPr>
        <w:t xml:space="preserve">string</w:t>
      </w:r>
      <w:r>
        <w:rPr>
          <w:rStyle w:val="OperatorTok"/>
        </w:rPr>
        <w:t xml:space="preserve">,</w:t>
      </w:r>
      <w:r>
        <w:rPr>
          <w:rStyle w:val="NormalTok"/>
        </w:rPr>
        <w:t xml:space="preserve"> args </w:t>
      </w:r>
      <w:r>
        <w:rPr>
          <w:rStyle w:val="OperatorTok"/>
        </w:rPr>
        <w:t xml:space="preserve">[]</w:t>
      </w:r>
      <w:r>
        <w:rPr>
          <w:rStyle w:val="NormalTok"/>
        </w:rPr>
        <w:t xml:space="preserve">Value</w:t>
      </w:r>
      <w:r>
        <w:rPr>
          <w:rStyle w:val="OperatorTok"/>
        </w:rPr>
        <w:t xml:space="preserve">)</w:t>
      </w:r>
      <w:r>
        <w:rPr>
          <w:rStyle w:val="NormalTok"/>
        </w:rPr>
        <w:t xml:space="preserve"> </w:t>
      </w:r>
      <w:r>
        <w:rPr>
          <w:rStyle w:val="DataTypeTok"/>
        </w:rPr>
        <w:t xml:space="preserve">bool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false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MSXMLCOM</w:t>
      </w:r>
      <w:r>
        <w:rPr>
          <w:rStyle w:val="OperatorTok"/>
        </w:rPr>
        <w:t xml:space="preserve">)</w:t>
      </w:r>
      <w:r>
        <w:rPr>
          <w:rStyle w:val="NormalTok"/>
        </w:rPr>
        <w:t xml:space="preserve"> DispatchMethod</w:t>
      </w:r>
      <w:r>
        <w:rPr>
          <w:rStyle w:val="OperatorTok"/>
        </w:rPr>
        <w:t xml:space="preserve">(</w:t>
      </w:r>
      <w:r>
        <w:rPr>
          <w:rStyle w:val="NormalTok"/>
        </w:rPr>
        <w:t xml:space="preserve">methodName </w:t>
      </w:r>
      <w:r>
        <w:rPr>
          <w:rStyle w:val="DataTypeTok"/>
        </w:rPr>
        <w:t xml:space="preserve">string</w:t>
      </w:r>
      <w:r>
        <w:rPr>
          <w:rStyle w:val="OperatorTok"/>
        </w:rPr>
        <w:t xml:space="preserve">,</w:t>
      </w:r>
      <w:r>
        <w:rPr>
          <w:rStyle w:val="NormalTok"/>
        </w:rPr>
        <w:t xml:space="preserve"> args </w:t>
      </w:r>
      <w:r>
        <w:rPr>
          <w:rStyle w:val="OperatorTok"/>
        </w:rPr>
        <w:t xml:space="preserve">[]</w:t>
      </w:r>
      <w:r>
        <w:rPr>
          <w:rStyle w:val="NormalTok"/>
        </w:rPr>
        <w:t xml:space="preserve">Value</w:t>
      </w:r>
      <w:r>
        <w:rPr>
          <w:rStyle w:val="OperatorTok"/>
        </w:rPr>
        <w:t xml:space="preserve">)</w:t>
      </w:r>
      <w:r>
        <w:rPr>
          <w:rStyle w:val="NormalTok"/>
        </w:rPr>
        <w:t xml:space="preserve"> Value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strings</w:t>
      </w:r>
      <w:r>
        <w:rPr>
          <w:rStyle w:val="OperatorTok"/>
        </w:rPr>
        <w:t xml:space="preserve">.</w:t>
      </w:r>
      <w:r>
        <w:rPr>
          <w:rStyle w:val="NormalTok"/>
        </w:rPr>
        <w:t xml:space="preserve">EqualFold</w:t>
      </w:r>
      <w:r>
        <w:rPr>
          <w:rStyle w:val="OperatorTok"/>
        </w:rPr>
        <w:t xml:space="preserve">(</w:t>
      </w:r>
      <w:r>
        <w:rPr>
          <w:rStyle w:val="NormalTok"/>
        </w:rPr>
        <w:t xml:space="preserve">methodName</w:t>
      </w:r>
      <w:r>
        <w:rPr>
          <w:rStyle w:val="OperatorTok"/>
        </w:rPr>
        <w:t xml:space="preserve">,</w:t>
      </w:r>
      <w:r>
        <w:rPr>
          <w:rStyle w:val="NormalTok"/>
        </w:rPr>
        <w:t xml:space="preserve"> </w:t>
      </w:r>
      <w:r>
        <w:rPr>
          <w:rStyle w:val="StringTok"/>
        </w:rPr>
        <w:t xml:space="preserve">"open"</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BuiltInTok"/>
        </w:rPr>
        <w:t xml:space="preserve">len</w:t>
      </w:r>
      <w:r>
        <w:rPr>
          <w:rStyle w:val="OperatorTok"/>
        </w:rPr>
        <w:t xml:space="preserve">(</w:t>
      </w:r>
      <w:r>
        <w:rPr>
          <w:rStyle w:val="NormalTok"/>
        </w:rPr>
        <w:t xml:space="preserve">args</w:t>
      </w:r>
      <w:r>
        <w:rPr>
          <w:rStyle w:val="OperatorTok"/>
        </w:rPr>
        <w:t xml:space="preserve">)</w:t>
      </w:r>
      <w:r>
        <w:rPr>
          <w:rStyle w:val="NormalTok"/>
        </w:rPr>
        <w:t xml:space="preserve"> </w:t>
      </w:r>
      <w:r>
        <w:rPr>
          <w:rStyle w:val="OperatorTok"/>
        </w:rPr>
        <w:t xml:space="preserve">&lt;</w:t>
      </w:r>
      <w:r>
        <w:rPr>
          <w:rStyle w:val="NormalTok"/>
        </w:rPr>
        <w:t xml:space="preserve"> </w:t>
      </w:r>
      <w:r>
        <w:rPr>
          <w:rStyle w:val="DecValTok"/>
        </w:rPr>
        <w:t xml:space="preserve">2</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"MSXML.COM.open requires method and url"</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OperatorTok"/>
        </w:rPr>
        <w:t xml:space="preserve">}</w:t>
      </w:r>
      <w:r>
        <w:br/>
      </w:r>
      <w:r>
        <w:rPr>
          <w:rStyle w:val="NormalTok"/>
        </w:rPr>
        <w:t xml:space="preserve">        method </w:t>
      </w:r>
      <w:r>
        <w:rPr>
          <w:rStyle w:val="OperatorTok"/>
        </w:rPr>
        <w:t xml:space="preserve">:=</w:t>
      </w:r>
      <w:r>
        <w:rPr>
          <w:rStyle w:val="NormalTok"/>
        </w:rPr>
        <w:t xml:space="preserve"> args</w:t>
      </w:r>
      <w:r>
        <w:rPr>
          <w:rStyle w:val="OperatorTok"/>
        </w:rPr>
        <w:t xml:space="preserve">[</w:t>
      </w:r>
      <w:r>
        <w:rPr>
          <w:rStyle w:val="DecValTok"/>
        </w:rPr>
        <w:t xml:space="preserve">0</w:t>
      </w:r>
      <w:r>
        <w:rPr>
          <w:rStyle w:val="OperatorTok"/>
        </w:rPr>
        <w:t xml:space="preserve">].</w:t>
      </w:r>
      <w:r>
        <w:rPr>
          <w:rStyle w:val="NormalTok"/>
        </w:rPr>
        <w:t xml:space="preserve">String</w:t>
      </w:r>
      <w:r>
        <w:rPr>
          <w:rStyle w:val="OperatorTok"/>
        </w:rPr>
        <w:t xml:space="preserve">()</w:t>
      </w:r>
      <w:r>
        <w:br/>
      </w:r>
      <w:r>
        <w:rPr>
          <w:rStyle w:val="NormalTok"/>
        </w:rPr>
        <w:t xml:space="preserve">        url </w:t>
      </w:r>
      <w:r>
        <w:rPr>
          <w:rStyle w:val="OperatorTok"/>
        </w:rPr>
        <w:t xml:space="preserve">:=</w:t>
      </w:r>
      <w:r>
        <w:rPr>
          <w:rStyle w:val="NormalTok"/>
        </w:rPr>
        <w:t xml:space="preserve"> args</w:t>
      </w:r>
      <w:r>
        <w:rPr>
          <w:rStyle w:val="OperatorTok"/>
        </w:rPr>
        <w:t xml:space="preserve">[</w:t>
      </w:r>
      <w:r>
        <w:rPr>
          <w:rStyle w:val="DecValTok"/>
        </w:rPr>
        <w:t xml:space="preserve">1</w:t>
      </w:r>
      <w:r>
        <w:rPr>
          <w:rStyle w:val="OperatorTok"/>
        </w:rPr>
        <w:t xml:space="preserve">].</w:t>
      </w:r>
      <w:r>
        <w:rPr>
          <w:rStyle w:val="NormalTok"/>
        </w:rPr>
        <w:t xml:space="preserve">String</w:t>
      </w:r>
      <w:r>
        <w:rPr>
          <w:rStyle w:val="OperatorTok"/>
        </w:rPr>
        <w:t xml:space="preserve">()</w:t>
      </w:r>
      <w:r>
        <w:br/>
      </w:r>
      <w:r>
        <w:rPr>
          <w:rStyle w:val="NormalTok"/>
        </w:rPr>
        <w:t xml:space="preserve">        async </w:t>
      </w:r>
      <w:r>
        <w:rPr>
          <w:rStyle w:val="OperatorTok"/>
        </w:rPr>
        <w:t xml:space="preserve">:=</w:t>
      </w:r>
      <w:r>
        <w:rPr>
          <w:rStyle w:val="NormalTok"/>
        </w:rPr>
        <w:t xml:space="preserve"> </w:t>
      </w:r>
      <w:r>
        <w:rPr>
          <w:rStyle w:val="OtherTok"/>
        </w:rPr>
        <w:t xml:space="preserve">false</w:t>
      </w:r>
      <w:r>
        <w:br/>
      </w:r>
      <w:r>
        <w:rPr>
          <w:rStyle w:val="NormalTok"/>
        </w:rPr>
        <w:t xml:space="preserve">        </w:t>
      </w:r>
      <w:r>
        <w:rPr>
          <w:rStyle w:val="ControlFlowTok"/>
        </w:rPr>
        <w:t xml:space="preserve">if</w:t>
      </w:r>
      <w:r>
        <w:rPr>
          <w:rStyle w:val="NormalTok"/>
        </w:rPr>
        <w:t xml:space="preserve"> </w:t>
      </w:r>
      <w:r>
        <w:rPr>
          <w:rStyle w:val="BuiltInTok"/>
        </w:rPr>
        <w:t xml:space="preserve">len</w:t>
      </w:r>
      <w:r>
        <w:rPr>
          <w:rStyle w:val="OperatorTok"/>
        </w:rPr>
        <w:t xml:space="preserve">(</w:t>
      </w:r>
      <w:r>
        <w:rPr>
          <w:rStyle w:val="NormalTok"/>
        </w:rPr>
        <w:t xml:space="preserve">args</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3</w:t>
      </w:r>
      <w:r>
        <w:rPr>
          <w:rStyle w:val="NormalTok"/>
        </w:rPr>
        <w:t xml:space="preserve"> </w:t>
      </w:r>
      <w:r>
        <w:rPr>
          <w:rStyle w:val="OperatorTok"/>
        </w:rPr>
        <w:t xml:space="preserve">{</w:t>
      </w:r>
      <w:r>
        <w:br/>
      </w:r>
      <w:r>
        <w:rPr>
          <w:rStyle w:val="NormalTok"/>
        </w:rPr>
        <w:t xml:space="preserve">            async </w:t>
      </w:r>
      <w:r>
        <w:rPr>
          <w:rStyle w:val="OperatorTok"/>
        </w:rPr>
        <w:t xml:space="preserve">=</w:t>
      </w:r>
      <w:r>
        <w:rPr>
          <w:rStyle w:val="NormalTok"/>
        </w:rPr>
        <w:t xml:space="preserve"> m</w:t>
      </w:r>
      <w:r>
        <w:rPr>
          <w:rStyle w:val="OperatorTok"/>
        </w:rPr>
        <w:t xml:space="preserve">.</w:t>
      </w:r>
      <w:r>
        <w:rPr>
          <w:rStyle w:val="NormalTok"/>
        </w:rPr>
        <w:t xml:space="preserve">vm</w:t>
      </w:r>
      <w:r>
        <w:rPr>
          <w:rStyle w:val="OperatorTok"/>
        </w:rPr>
        <w:t xml:space="preserve">.</w:t>
      </w:r>
      <w:r>
        <w:rPr>
          <w:rStyle w:val="NormalTok"/>
        </w:rPr>
        <w:t xml:space="preserve">asBool</w:t>
      </w:r>
      <w:r>
        <w:rPr>
          <w:rStyle w:val="OperatorTok"/>
        </w:rPr>
        <w:t xml:space="preserve">(</w:t>
      </w:r>
      <w:r>
        <w:rPr>
          <w:rStyle w:val="NormalTok"/>
        </w:rPr>
        <w:t xml:space="preserve">args</w:t>
      </w:r>
      <w:r>
        <w:rPr>
          <w:rStyle w:val="OperatorTok"/>
        </w:rPr>
        <w:t xml:space="preserve">[</w:t>
      </w:r>
      <w:r>
        <w:rPr>
          <w:rStyle w:val="DecValTok"/>
        </w:rPr>
        <w:t xml:space="preserve">2</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if</w:t>
      </w:r>
      <w:r>
        <w:rPr>
          <w:rStyle w:val="NormalTok"/>
        </w:rPr>
        <w:t xml:space="preserve"> m</w:t>
      </w:r>
      <w:r>
        <w:rPr>
          <w:rStyle w:val="OperatorTok"/>
        </w:rPr>
        <w:t xml:space="preserve">.</w:t>
      </w:r>
      <w:r>
        <w:rPr>
          <w:rStyle w:val="NormalTok"/>
        </w:rPr>
        <w:t xml:space="preserve">xhr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runtime</w:t>
      </w:r>
      <w:r>
        <w:rPr>
          <w:rStyle w:val="OperatorTok"/>
        </w:rPr>
        <w:t xml:space="preserve">.</w:t>
      </w:r>
      <w:r>
        <w:rPr>
          <w:rStyle w:val="NormalTok"/>
        </w:rPr>
        <w:t xml:space="preserve">LockOSThread</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ole</w:t>
      </w:r>
      <w:r>
        <w:rPr>
          <w:rStyle w:val="OperatorTok"/>
        </w:rPr>
        <w:t xml:space="preserve">.</w:t>
      </w:r>
      <w:r>
        <w:rPr>
          <w:rStyle w:val="NormalTok"/>
        </w:rPr>
        <w:t xml:space="preserve">CoInitialize</w:t>
      </w:r>
      <w:r>
        <w:rPr>
          <w:rStyle w:val="OperatorTok"/>
        </w:rPr>
        <w:t xml:space="preserve">(</w:t>
      </w:r>
      <w:r>
        <w:rPr>
          <w:rStyle w:val="DecValTok"/>
        </w:rPr>
        <w:t xml:space="preserve">0</w:t>
      </w:r>
      <w:r>
        <w:rPr>
          <w:rStyle w:val="OperatorTok"/>
        </w:rPr>
        <w:t xml:space="preserve">);</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runtime</w:t>
      </w:r>
      <w:r>
        <w:rPr>
          <w:rStyle w:val="OperatorTok"/>
        </w:rPr>
        <w:t xml:space="preserve">.</w:t>
      </w:r>
      <w:r>
        <w:rPr>
          <w:rStyle w:val="NormalTok"/>
        </w:rPr>
        <w:t xml:space="preserve">UnlockOSThread</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"CoInitialize failed"</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unknown</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CreateObject</w:t>
      </w:r>
      <w:r>
        <w:rPr>
          <w:rStyle w:val="OperatorTok"/>
        </w:rPr>
        <w:t xml:space="preserve">(</w:t>
      </w:r>
      <w:r>
        <w:rPr>
          <w:rStyle w:val="StringTok"/>
        </w:rPr>
        <w:t xml:space="preserve">"Microsoft.XMLHTTP"</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ole</w:t>
      </w:r>
      <w:r>
        <w:rPr>
          <w:rStyle w:val="OperatorTok"/>
        </w:rPr>
        <w:t xml:space="preserve">.</w:t>
      </w:r>
      <w:r>
        <w:rPr>
          <w:rStyle w:val="NormalTok"/>
        </w:rPr>
        <w:t xml:space="preserve">CoUninitialize</w:t>
      </w:r>
      <w:r>
        <w:rPr>
          <w:rStyle w:val="OperatorTok"/>
        </w:rPr>
        <w:t xml:space="preserve">()</w:t>
      </w:r>
      <w:r>
        <w:br/>
      </w:r>
      <w:r>
        <w:rPr>
          <w:rStyle w:val="NormalTok"/>
        </w:rPr>
        <w:t xml:space="preserve">                runtime</w:t>
      </w:r>
      <w:r>
        <w:rPr>
          <w:rStyle w:val="OperatorTok"/>
        </w:rPr>
        <w:t xml:space="preserve">.</w:t>
      </w:r>
      <w:r>
        <w:rPr>
          <w:rStyle w:val="NormalTok"/>
        </w:rPr>
        <w:t xml:space="preserve">UnlockOSThread</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"CreateObject(Microsoft.XMLHTTP) failed"</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unknown</w:t>
      </w:r>
      <w:r>
        <w:rPr>
          <w:rStyle w:val="OperatorTok"/>
        </w:rPr>
        <w:t xml:space="preserve">.</w:t>
      </w:r>
      <w:r>
        <w:rPr>
          <w:rStyle w:val="NormalTok"/>
        </w:rPr>
        <w:t xml:space="preserve">Release</w:t>
      </w:r>
      <w:r>
        <w:rPr>
          <w:rStyle w:val="OperatorTok"/>
        </w:rPr>
        <w:t xml:space="preserve">()</w:t>
      </w:r>
      <w:r>
        <w:br/>
      </w:r>
      <w:r>
        <w:br/>
      </w:r>
      <w:r>
        <w:rPr>
          <w:rStyle w:val="NormalTok"/>
        </w:rPr>
        <w:t xml:space="preserve">            xhr</w:t>
      </w:r>
      <w:r>
        <w:rPr>
          <w:rStyle w:val="OperatorTok"/>
        </w:rPr>
        <w:t xml:space="preserve">,</w:t>
      </w:r>
      <w:r>
        <w:rPr>
          <w:rStyle w:val="NormalTok"/>
        </w:rPr>
        <w:t xml:space="preserve"> err </w:t>
      </w:r>
      <w:r>
        <w:rPr>
          <w:rStyle w:val="OperatorTok"/>
        </w:rPr>
        <w:t xml:space="preserve">:=</w:t>
      </w:r>
      <w:r>
        <w:rPr>
          <w:rStyle w:val="NormalTok"/>
        </w:rPr>
        <w:t xml:space="preserve"> unknown</w:t>
      </w:r>
      <w:r>
        <w:rPr>
          <w:rStyle w:val="OperatorTok"/>
        </w:rPr>
        <w:t xml:space="preserve">.</w:t>
      </w:r>
      <w:r>
        <w:rPr>
          <w:rStyle w:val="NormalTok"/>
        </w:rPr>
        <w:t xml:space="preserve">QueryInterface</w:t>
      </w:r>
      <w:r>
        <w:rPr>
          <w:rStyle w:val="OperatorTok"/>
        </w:rPr>
        <w:t xml:space="preserve">(</w:t>
      </w:r>
      <w:r>
        <w:rPr>
          <w:rStyle w:val="NormalTok"/>
        </w:rPr>
        <w:t xml:space="preserve">ole</w:t>
      </w:r>
      <w:r>
        <w:rPr>
          <w:rStyle w:val="OperatorTok"/>
        </w:rPr>
        <w:t xml:space="preserve">.</w:t>
      </w:r>
      <w:r>
        <w:rPr>
          <w:rStyle w:val="NormalTok"/>
        </w:rPr>
        <w:t xml:space="preserve">IID_IDispatch</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ole</w:t>
      </w:r>
      <w:r>
        <w:rPr>
          <w:rStyle w:val="OperatorTok"/>
        </w:rPr>
        <w:t xml:space="preserve">.</w:t>
      </w:r>
      <w:r>
        <w:rPr>
          <w:rStyle w:val="NormalTok"/>
        </w:rPr>
        <w:t xml:space="preserve">CoUninitialize</w:t>
      </w:r>
      <w:r>
        <w:rPr>
          <w:rStyle w:val="OperatorTok"/>
        </w:rPr>
        <w:t xml:space="preserve">()</w:t>
      </w:r>
      <w:r>
        <w:br/>
      </w:r>
      <w:r>
        <w:rPr>
          <w:rStyle w:val="NormalTok"/>
        </w:rPr>
        <w:t xml:space="preserve">                runtime</w:t>
      </w:r>
      <w:r>
        <w:rPr>
          <w:rStyle w:val="OperatorTok"/>
        </w:rPr>
        <w:t xml:space="preserve">.</w:t>
      </w:r>
      <w:r>
        <w:rPr>
          <w:rStyle w:val="NormalTok"/>
        </w:rPr>
        <w:t xml:space="preserve">UnlockOSThread</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"QueryInterface(IDispatch) failed"</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rPr>
          <w:rStyle w:val="NormalTok"/>
        </w:rPr>
        <w:t xml:space="preserve">            m</w:t>
      </w:r>
      <w:r>
        <w:rPr>
          <w:rStyle w:val="OperatorTok"/>
        </w:rPr>
        <w:t xml:space="preserve">.</w:t>
      </w:r>
      <w:r>
        <w:rPr>
          <w:rStyle w:val="NormalTok"/>
        </w:rPr>
        <w:t xml:space="preserve">xhr </w:t>
      </w:r>
      <w:r>
        <w:rPr>
          <w:rStyle w:val="OperatorTok"/>
        </w:rPr>
        <w:t xml:space="preserve">=</w:t>
      </w:r>
      <w:r>
        <w:rPr>
          <w:rStyle w:val="NormalTok"/>
        </w:rPr>
        <w:t xml:space="preserve"> xhr</w:t>
      </w:r>
      <w:r>
        <w:br/>
      </w:r>
      <w:r>
        <w:rPr>
          <w:rStyle w:val="NormalTok"/>
        </w:rPr>
        <w:t xml:space="preserve">        </w:t>
      </w:r>
      <w:r>
        <w:rPr>
          <w:rStyle w:val="OperatorTok"/>
        </w:rPr>
        <w:t xml:space="preserve">}</w:t>
      </w:r>
      <w:r>
        <w:br/>
      </w:r>
      <w:r>
        <w:br/>
      </w:r>
      <w:r>
        <w:rPr>
          <w:rStyle w:val="NormalTok"/>
        </w:rPr>
        <w:t xml:space="preserve">        v</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m</w:t>
      </w:r>
      <w:r>
        <w:rPr>
          <w:rStyle w:val="OperatorTok"/>
        </w:rPr>
        <w:t xml:space="preserve">.</w:t>
      </w:r>
      <w:r>
        <w:rPr>
          <w:rStyle w:val="NormalTok"/>
        </w:rPr>
        <w:t xml:space="preserve">xhr</w:t>
      </w:r>
      <w:r>
        <w:rPr>
          <w:rStyle w:val="OperatorTok"/>
        </w:rPr>
        <w:t xml:space="preserve">,</w:t>
      </w:r>
      <w:r>
        <w:rPr>
          <w:rStyle w:val="NormalTok"/>
        </w:rPr>
        <w:t xml:space="preserve"> </w:t>
      </w:r>
      <w:r>
        <w:rPr>
          <w:rStyle w:val="StringTok"/>
        </w:rPr>
        <w:t xml:space="preserve">"open"</w:t>
      </w:r>
      <w:r>
        <w:rPr>
          <w:rStyle w:val="OperatorTok"/>
        </w:rPr>
        <w:t xml:space="preserve">,</w:t>
      </w:r>
      <w:r>
        <w:rPr>
          <w:rStyle w:val="NormalTok"/>
        </w:rPr>
        <w:t xml:space="preserve"> method</w:t>
      </w:r>
      <w:r>
        <w:rPr>
          <w:rStyle w:val="OperatorTok"/>
        </w:rPr>
        <w:t xml:space="preserve">,</w:t>
      </w:r>
      <w:r>
        <w:rPr>
          <w:rStyle w:val="NormalTok"/>
        </w:rPr>
        <w:t xml:space="preserve"> url</w:t>
      </w:r>
      <w:r>
        <w:rPr>
          <w:rStyle w:val="OperatorTok"/>
        </w:rPr>
        <w:t xml:space="preserve">,</w:t>
      </w:r>
      <w:r>
        <w:rPr>
          <w:rStyle w:val="NormalTok"/>
        </w:rPr>
        <w:t xml:space="preserve"> async</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"XMLHTTP.open failed"</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v</w:t>
      </w:r>
      <w:r>
        <w:rPr>
          <w:rStyle w:val="OperatorTok"/>
        </w:rPr>
        <w:t xml:space="preserve">)</w:t>
      </w:r>
      <w:r>
        <w:br/>
      </w:r>
      <w:r>
        <w:rPr>
          <w:rStyle w:val="NormalTok"/>
        </w:rPr>
        <w:t xml:space="preserve">        m</w:t>
      </w:r>
      <w:r>
        <w:rPr>
          <w:rStyle w:val="OperatorTok"/>
        </w:rPr>
        <w:t xml:space="preserve">.</w:t>
      </w:r>
      <w:r>
        <w:rPr>
          <w:rStyle w:val="NormalTok"/>
        </w:rPr>
        <w:t xml:space="preserve">lastError </w:t>
      </w:r>
      <w:r>
        <w:rPr>
          <w:rStyle w:val="OperatorTok"/>
        </w:rPr>
        <w:t xml:space="preserve">=</w:t>
      </w:r>
      <w:r>
        <w:rPr>
          <w:rStyle w:val="NormalTok"/>
        </w:rPr>
        <w:t xml:space="preserve"> </w:t>
      </w:r>
      <w:r>
        <w:rPr>
          <w:rStyle w:val="StringTok"/>
        </w:rPr>
        <w:t xml:space="preserve">""</w:t>
      </w:r>
      <w:r>
        <w:br/>
      </w:r>
      <w:r>
        <w:rPr>
          <w:rStyle w:val="NormalTok"/>
        </w:rPr>
        <w:t xml:space="preserve">        </w:t>
      </w:r>
      <w:r>
        <w:rPr>
          <w:rStyle w:val="ControlFlowTok"/>
        </w:rPr>
        <w:t xml:space="preserve">return</w:t>
      </w:r>
      <w:r>
        <w:rPr>
          <w:rStyle w:val="NormalTok"/>
        </w:rPr>
        <w:t xml:space="preserve"> NewBool</w:t>
      </w:r>
      <w:r>
        <w:rPr>
          <w:rStyle w:val="OperatorTok"/>
        </w:rPr>
        <w:t xml:space="preserve">(</w:t>
      </w:r>
      <w:r>
        <w:rPr>
          <w:rStyle w:val="OtherTok"/>
        </w:rPr>
        <w:t xml:space="preserve">true</w:t>
      </w:r>
      <w:r>
        <w:rPr>
          <w:rStyle w:val="OperatorTok"/>
        </w:rPr>
        <w:t xml:space="preserve">)</w:t>
      </w:r>
      <w:r>
        <w:br/>
      </w:r>
      <w:r>
        <w:br/>
      </w:r>
      <w:r>
        <w:rPr>
          <w:rStyle w:val="NormalTok"/>
        </w:rPr>
        <w:t xml:space="preserve">    </w:t>
      </w:r>
      <w:r>
        <w:rPr>
          <w:rStyle w:val="ControlFlowTok"/>
        </w:rPr>
        <w:t xml:space="preserve">case</w:t>
      </w:r>
      <w:r>
        <w:rPr>
          <w:rStyle w:val="NormalTok"/>
        </w:rPr>
        <w:t xml:space="preserve"> strings</w:t>
      </w:r>
      <w:r>
        <w:rPr>
          <w:rStyle w:val="OperatorTok"/>
        </w:rPr>
        <w:t xml:space="preserve">.</w:t>
      </w:r>
      <w:r>
        <w:rPr>
          <w:rStyle w:val="NormalTok"/>
        </w:rPr>
        <w:t xml:space="preserve">EqualFold</w:t>
      </w:r>
      <w:r>
        <w:rPr>
          <w:rStyle w:val="OperatorTok"/>
        </w:rPr>
        <w:t xml:space="preserve">(</w:t>
      </w:r>
      <w:r>
        <w:rPr>
          <w:rStyle w:val="NormalTok"/>
        </w:rPr>
        <w:t xml:space="preserve">methodName</w:t>
      </w:r>
      <w:r>
        <w:rPr>
          <w:rStyle w:val="OperatorTok"/>
        </w:rPr>
        <w:t xml:space="preserve">,</w:t>
      </w:r>
      <w:r>
        <w:rPr>
          <w:rStyle w:val="NormalTok"/>
        </w:rPr>
        <w:t xml:space="preserve"> </w:t>
      </w:r>
      <w:r>
        <w:rPr>
          <w:rStyle w:val="StringTok"/>
        </w:rPr>
        <w:t xml:space="preserve">"send"</w:t>
      </w:r>
      <w:r>
        <w:rPr>
          <w:rStyle w:val="OperatorTok"/>
        </w:rPr>
        <w:t xml:space="preserve">):</w:t>
      </w:r>
      <w:r>
        <w:br/>
      </w:r>
      <w:r>
        <w:rPr>
          <w:rStyle w:val="NormalTok"/>
        </w:rPr>
        <w:t xml:space="preserve">        </w:t>
      </w:r>
      <w:r>
        <w:rPr>
          <w:rStyle w:val="ControlFlowTok"/>
        </w:rPr>
        <w:t xml:space="preserve">if</w:t>
      </w:r>
      <w:r>
        <w:rPr>
          <w:rStyle w:val="NormalTok"/>
        </w:rPr>
        <w:t xml:space="preserve"> m</w:t>
      </w:r>
      <w:r>
        <w:rPr>
          <w:rStyle w:val="OperatorTok"/>
        </w:rPr>
        <w:t xml:space="preserve">.</w:t>
      </w:r>
      <w:r>
        <w:rPr>
          <w:rStyle w:val="NormalTok"/>
        </w:rPr>
        <w:t xml:space="preserve">xhr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"XMLHTTP is not initialized. Call open first"</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var</w:t>
      </w:r>
      <w:r>
        <w:rPr>
          <w:rStyle w:val="NormalTok"/>
        </w:rPr>
        <w:t xml:space="preserve"> v ole</w:t>
      </w:r>
      <w:r>
        <w:rPr>
          <w:rStyle w:val="OperatorTok"/>
        </w:rPr>
        <w:t xml:space="preserve">.</w:t>
      </w:r>
      <w:r>
        <w:rPr>
          <w:rStyle w:val="NormalTok"/>
        </w:rPr>
        <w:t xml:space="preserve">VARIANT</w:t>
      </w:r>
      <w:r>
        <w:br/>
      </w:r>
      <w:r>
        <w:rPr>
          <w:rStyle w:val="NormalTok"/>
        </w:rPr>
        <w:t xml:space="preserve">        </w:t>
      </w:r>
      <w:r>
        <w:rPr>
          <w:rStyle w:val="KeywordTok"/>
        </w:rPr>
        <w:t xml:space="preserve">var</w:t>
      </w:r>
      <w:r>
        <w:rPr>
          <w:rStyle w:val="NormalTok"/>
        </w:rPr>
        <w:t xml:space="preserve"> err </w:t>
      </w:r>
      <w:r>
        <w:rPr>
          <w:rStyle w:val="DataTypeTok"/>
        </w:rPr>
        <w:t xml:space="preserve">error</w:t>
      </w:r>
      <w:r>
        <w:br/>
      </w:r>
      <w:r>
        <w:rPr>
          <w:rStyle w:val="NormalTok"/>
        </w:rPr>
        <w:t xml:space="preserve">        </w:t>
      </w:r>
      <w:r>
        <w:rPr>
          <w:rStyle w:val="ControlFlowTok"/>
        </w:rPr>
        <w:t xml:space="preserve">if</w:t>
      </w:r>
      <w:r>
        <w:rPr>
          <w:rStyle w:val="NormalTok"/>
        </w:rPr>
        <w:t xml:space="preserve"> </w:t>
      </w:r>
      <w:r>
        <w:rPr>
          <w:rStyle w:val="BuiltInTok"/>
        </w:rPr>
        <w:t xml:space="preserve">len</w:t>
      </w:r>
      <w:r>
        <w:rPr>
          <w:rStyle w:val="OperatorTok"/>
        </w:rPr>
        <w:t xml:space="preserve">(</w:t>
      </w:r>
      <w:r>
        <w:rPr>
          <w:rStyle w:val="NormalTok"/>
        </w:rPr>
        <w:t xml:space="preserve">args</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w:t>
      </w:r>
      <w:r>
        <w:rPr>
          <w:rStyle w:val="NormalTok"/>
        </w:rPr>
        <w:t xml:space="preserve"> </w:t>
      </w:r>
      <w:r>
        <w:rPr>
          <w:rStyle w:val="OperatorTok"/>
        </w:rPr>
        <w:t xml:space="preserve">&amp;&amp;</w:t>
      </w:r>
      <w:r>
        <w:rPr>
          <w:rStyle w:val="NormalTok"/>
        </w:rPr>
        <w:t xml:space="preserve"> args</w:t>
      </w:r>
      <w:r>
        <w:rPr>
          <w:rStyle w:val="OperatorTok"/>
        </w:rPr>
        <w:t xml:space="preserve">[</w:t>
      </w:r>
      <w:r>
        <w:rPr>
          <w:rStyle w:val="DecValTok"/>
        </w:rPr>
        <w:t xml:space="preserve">0</w:t>
      </w:r>
      <w:r>
        <w:rPr>
          <w:rStyle w:val="OperatorTok"/>
        </w:rPr>
        <w:t xml:space="preserve">].</w:t>
      </w:r>
      <w:r>
        <w:rPr>
          <w:rStyle w:val="NormalTok"/>
        </w:rPr>
        <w:t xml:space="preserve">Type </w:t>
      </w:r>
      <w:r>
        <w:rPr>
          <w:rStyle w:val="OperatorTok"/>
        </w:rPr>
        <w:t xml:space="preserve">!=</w:t>
      </w:r>
      <w:r>
        <w:rPr>
          <w:rStyle w:val="NormalTok"/>
        </w:rPr>
        <w:t xml:space="preserve"> VTEmpty </w:t>
      </w:r>
      <w:r>
        <w:rPr>
          <w:rStyle w:val="OperatorTok"/>
        </w:rPr>
        <w:t xml:space="preserve">{</w:t>
      </w:r>
      <w:r>
        <w:br/>
      </w:r>
      <w:r>
        <w:rPr>
          <w:rStyle w:val="NormalTok"/>
        </w:rPr>
        <w:t xml:space="preserve">            v</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m</w:t>
      </w:r>
      <w:r>
        <w:rPr>
          <w:rStyle w:val="OperatorTok"/>
        </w:rPr>
        <w:t xml:space="preserve">.</w:t>
      </w:r>
      <w:r>
        <w:rPr>
          <w:rStyle w:val="NormalTok"/>
        </w:rPr>
        <w:t xml:space="preserve">xhr</w:t>
      </w:r>
      <w:r>
        <w:rPr>
          <w:rStyle w:val="OperatorTok"/>
        </w:rPr>
        <w:t xml:space="preserve">,</w:t>
      </w:r>
      <w:r>
        <w:rPr>
          <w:rStyle w:val="NormalTok"/>
        </w:rPr>
        <w:t xml:space="preserve"> </w:t>
      </w:r>
      <w:r>
        <w:rPr>
          <w:rStyle w:val="StringTok"/>
        </w:rPr>
        <w:t xml:space="preserve">"send"</w:t>
      </w:r>
      <w:r>
        <w:rPr>
          <w:rStyle w:val="OperatorTok"/>
        </w:rPr>
        <w:t xml:space="preserve">,</w:t>
      </w:r>
      <w:r>
        <w:rPr>
          <w:rStyle w:val="NormalTok"/>
        </w:rPr>
        <w:t xml:space="preserve"> args</w:t>
      </w:r>
      <w:r>
        <w:rPr>
          <w:rStyle w:val="OperatorTok"/>
        </w:rPr>
        <w:t xml:space="preserve">[</w:t>
      </w:r>
      <w:r>
        <w:rPr>
          <w:rStyle w:val="DecValTok"/>
        </w:rPr>
        <w:t xml:space="preserve">0</w:t>
      </w:r>
      <w:r>
        <w:rPr>
          <w:rStyle w:val="OperatorTok"/>
        </w:rPr>
        <w:t xml:space="preserve">].</w:t>
      </w:r>
      <w:r>
        <w:rPr>
          <w:rStyle w:val="NormalTok"/>
        </w:rPr>
        <w:t xml:space="preserve">String</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v</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m</w:t>
      </w:r>
      <w:r>
        <w:rPr>
          <w:rStyle w:val="OperatorTok"/>
        </w:rPr>
        <w:t xml:space="preserve">.</w:t>
      </w:r>
      <w:r>
        <w:rPr>
          <w:rStyle w:val="NormalTok"/>
        </w:rPr>
        <w:t xml:space="preserve">xhr</w:t>
      </w:r>
      <w:r>
        <w:rPr>
          <w:rStyle w:val="OperatorTok"/>
        </w:rPr>
        <w:t xml:space="preserve">,</w:t>
      </w:r>
      <w:r>
        <w:rPr>
          <w:rStyle w:val="NormalTok"/>
        </w:rPr>
        <w:t xml:space="preserve"> </w:t>
      </w:r>
      <w:r>
        <w:rPr>
          <w:rStyle w:val="StringTok"/>
        </w:rPr>
        <w:t xml:space="preserve">"send"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"XMLHTTP.send failed"</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v</w:t>
      </w:r>
      <w:r>
        <w:rPr>
          <w:rStyle w:val="OperatorTok"/>
        </w:rPr>
        <w:t xml:space="preserve">)</w:t>
      </w:r>
      <w:r>
        <w:br/>
      </w:r>
      <w:r>
        <w:br/>
      </w:r>
      <w:r>
        <w:rPr>
          <w:rStyle w:val="NormalTok"/>
        </w:rPr>
        <w:t xml:space="preserve">        deadline </w:t>
      </w:r>
      <w:r>
        <w:rPr>
          <w:rStyle w:val="OperatorTok"/>
        </w:rPr>
        <w:t xml:space="preserve">:=</w:t>
      </w:r>
      <w:r>
        <w:rPr>
          <w:rStyle w:val="NormalTok"/>
        </w:rPr>
        <w:t xml:space="preserve"> time</w:t>
      </w:r>
      <w:r>
        <w:rPr>
          <w:rStyle w:val="OperatorTok"/>
        </w:rPr>
        <w:t xml:space="preserve">.</w:t>
      </w:r>
      <w:r>
        <w:rPr>
          <w:rStyle w:val="NormalTok"/>
        </w:rPr>
        <w:t xml:space="preserve">Now</w:t>
      </w:r>
      <w:r>
        <w:rPr>
          <w:rStyle w:val="OperatorTok"/>
        </w:rPr>
        <w:t xml:space="preserve">().</w:t>
      </w:r>
      <w:r>
        <w:rPr>
          <w:rStyle w:val="NormalTok"/>
        </w:rPr>
        <w:t xml:space="preserve">Add</w:t>
      </w:r>
      <w:r>
        <w:rPr>
          <w:rStyle w:val="OperatorTok"/>
        </w:rPr>
        <w:t xml:space="preserve">(</w:t>
      </w:r>
      <w:r>
        <w:rPr>
          <w:rStyle w:val="DecValTok"/>
        </w:rPr>
        <w:t xml:space="preserve">30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Second</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br/>
      </w:r>
      <w:r>
        <w:rPr>
          <w:rStyle w:val="NormalTok"/>
        </w:rPr>
        <w:t xml:space="preserve">            stateVar</w:t>
      </w:r>
      <w:r>
        <w:rPr>
          <w:rStyle w:val="OperatorTok"/>
        </w:rPr>
        <w:t xml:space="preserve">,</w:t>
      </w:r>
      <w:r>
        <w:rPr>
          <w:rStyle w:val="NormalTok"/>
        </w:rPr>
        <w:t xml:space="preserve"> stateErr </w:t>
      </w:r>
      <w:r>
        <w:rPr>
          <w:rStyle w:val="OperatorTok"/>
        </w:rPr>
        <w:t xml:space="preserve">:=</w:t>
      </w:r>
      <w:r>
        <w:rPr>
          <w:rStyle w:val="NormalTok"/>
        </w:rPr>
        <w:t xml:space="preserve"> oleutil</w:t>
      </w:r>
      <w:r>
        <w:rPr>
          <w:rStyle w:val="OperatorTok"/>
        </w:rPr>
        <w:t xml:space="preserve">.</w:t>
      </w:r>
      <w:r>
        <w:rPr>
          <w:rStyle w:val="NormalTok"/>
        </w:rPr>
        <w:t xml:space="preserve">GetProperty</w:t>
      </w:r>
      <w:r>
        <w:rPr>
          <w:rStyle w:val="OperatorTok"/>
        </w:rPr>
        <w:t xml:space="preserve">(</w:t>
      </w:r>
      <w:r>
        <w:rPr>
          <w:rStyle w:val="NormalTok"/>
        </w:rPr>
        <w:t xml:space="preserve">m</w:t>
      </w:r>
      <w:r>
        <w:rPr>
          <w:rStyle w:val="OperatorTok"/>
        </w:rPr>
        <w:t xml:space="preserve">.</w:t>
      </w:r>
      <w:r>
        <w:rPr>
          <w:rStyle w:val="NormalTok"/>
        </w:rPr>
        <w:t xml:space="preserve">xhr</w:t>
      </w:r>
      <w:r>
        <w:rPr>
          <w:rStyle w:val="OperatorTok"/>
        </w:rPr>
        <w:t xml:space="preserve">,</w:t>
      </w:r>
      <w:r>
        <w:rPr>
          <w:rStyle w:val="NormalTok"/>
        </w:rPr>
        <w:t xml:space="preserve"> </w:t>
      </w:r>
      <w:r>
        <w:rPr>
          <w:rStyle w:val="StringTok"/>
        </w:rPr>
        <w:t xml:space="preserve">"readyState"</w:t>
      </w:r>
      <w:r>
        <w:rPr>
          <w:rStyle w:val="OperatorTok"/>
        </w:rPr>
        <w:t xml:space="preserve">)</w:t>
      </w:r>
      <w:r>
        <w:br/>
      </w:r>
      <w:r>
        <w:rPr>
          <w:rStyle w:val="NormalTok"/>
        </w:rPr>
        <w:t xml:space="preserve">            </w:t>
      </w:r>
      <w:r>
        <w:rPr>
          <w:rStyle w:val="ControlFlowTok"/>
        </w:rPr>
        <w:t xml:space="preserve">if</w:t>
      </w:r>
      <w:r>
        <w:rPr>
          <w:rStyle w:val="NormalTok"/>
        </w:rPr>
        <w:t xml:space="preserve"> stateErr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"XMLHTTP.readyState failed"</w:t>
      </w:r>
      <w:r>
        <w:rPr>
          <w:rStyle w:val="OperatorTok"/>
        </w:rPr>
        <w:t xml:space="preserve">,</w:t>
      </w:r>
      <w:r>
        <w:rPr>
          <w:rStyle w:val="NormalTok"/>
        </w:rPr>
        <w:t xml:space="preserve"> stateErr</w:t>
      </w:r>
      <w:r>
        <w:rPr>
          <w:rStyle w:val="OperatorTok"/>
        </w:rPr>
        <w:t xml:space="preserve">)</w:t>
      </w:r>
      <w:r>
        <w:br/>
      </w:r>
      <w:r>
        <w:rPr>
          <w:rStyle w:val="NormalTok"/>
        </w:rPr>
        <w:t xml:space="preserve">            </w:t>
      </w:r>
      <w:r>
        <w:rPr>
          <w:rStyle w:val="OperatorTok"/>
        </w:rPr>
        <w:t xml:space="preserve">}</w:t>
      </w:r>
      <w:r>
        <w:br/>
      </w:r>
      <w:r>
        <w:rPr>
          <w:rStyle w:val="NormalTok"/>
        </w:rPr>
        <w:t xml:space="preserve">            state </w:t>
      </w:r>
      <w:r>
        <w:rPr>
          <w:rStyle w:val="OperatorTok"/>
        </w:rPr>
        <w:t xml:space="preserve">:=</w:t>
      </w:r>
      <w:r>
        <w:rPr>
          <w:rStyle w:val="NormalTok"/>
        </w:rPr>
        <w:t xml:space="preserve"> </w:t>
      </w:r>
      <w:r>
        <w:rPr>
          <w:rStyle w:val="DataTypeTok"/>
        </w:rPr>
        <w:t xml:space="preserve">int32</w:t>
      </w:r>
      <w:r>
        <w:rPr>
          <w:rStyle w:val="OperatorTok"/>
        </w:rPr>
        <w:t xml:space="preserve">(</w:t>
      </w:r>
      <w:r>
        <w:rPr>
          <w:rStyle w:val="NormalTok"/>
        </w:rPr>
        <w:t xml:space="preserve">stateVar</w:t>
      </w:r>
      <w:r>
        <w:rPr>
          <w:rStyle w:val="OperatorTok"/>
        </w:rPr>
        <w:t xml:space="preserve">.</w:t>
      </w:r>
      <w:r>
        <w:rPr>
          <w:rStyle w:val="NormalTok"/>
        </w:rPr>
        <w:t xml:space="preserve">Val</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stateVar</w:t>
      </w:r>
      <w:r>
        <w:rPr>
          <w:rStyle w:val="OperatorTok"/>
        </w:rPr>
        <w:t xml:space="preserve">)</w:t>
      </w:r>
      <w:r>
        <w:br/>
      </w:r>
      <w:r>
        <w:rPr>
          <w:rStyle w:val="NormalTok"/>
        </w:rPr>
        <w:t xml:space="preserve">            </w:t>
      </w:r>
      <w:r>
        <w:rPr>
          <w:rStyle w:val="ControlFlowTok"/>
        </w:rPr>
        <w:t xml:space="preserve">if</w:t>
      </w:r>
      <w:r>
        <w:rPr>
          <w:rStyle w:val="NormalTok"/>
        </w:rPr>
        <w:t xml:space="preserve"> state </w:t>
      </w:r>
      <w:r>
        <w:rPr>
          <w:rStyle w:val="OperatorTok"/>
        </w:rPr>
        <w:t xml:space="preserve">==</w:t>
      </w:r>
      <w:r>
        <w:rPr>
          <w:rStyle w:val="NormalTok"/>
        </w:rPr>
        <w:t xml:space="preserve"> </w:t>
      </w:r>
      <w:r>
        <w:rPr>
          <w:rStyle w:val="DecValTok"/>
        </w:rPr>
        <w:t xml:space="preserve">4</w:t>
      </w:r>
      <w:r>
        <w:rPr>
          <w:rStyle w:val="NormalTok"/>
        </w:rPr>
        <w:t xml:space="preserve"> </w:t>
      </w:r>
      <w:r>
        <w:rPr>
          <w:rStyle w:val="OperatorTok"/>
        </w:rPr>
        <w:t xml:space="preserve">{</w:t>
      </w:r>
      <w:r>
        <w:br/>
      </w:r>
      <w:r>
        <w:rPr>
          <w:rStyle w:val="NormalTok"/>
        </w:rPr>
        <w:t xml:space="preserve">                </w:t>
      </w:r>
      <w:r>
        <w:rPr>
          <w:rStyle w:val="ControlFlowTok"/>
        </w:rPr>
        <w:t xml:space="preserve">break</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time</w:t>
      </w:r>
      <w:r>
        <w:rPr>
          <w:rStyle w:val="OperatorTok"/>
        </w:rPr>
        <w:t xml:space="preserve">.</w:t>
      </w:r>
      <w:r>
        <w:rPr>
          <w:rStyle w:val="NormalTok"/>
        </w:rPr>
        <w:t xml:space="preserve">Now</w:t>
      </w:r>
      <w:r>
        <w:rPr>
          <w:rStyle w:val="OperatorTok"/>
        </w:rPr>
        <w:t xml:space="preserve">().</w:t>
      </w:r>
      <w:r>
        <w:rPr>
          <w:rStyle w:val="NormalTok"/>
        </w:rPr>
        <w:t xml:space="preserve">After</w:t>
      </w:r>
      <w:r>
        <w:rPr>
          <w:rStyle w:val="OperatorTok"/>
        </w:rPr>
        <w:t xml:space="preserve">(</w:t>
      </w:r>
      <w:r>
        <w:rPr>
          <w:rStyle w:val="NormalTok"/>
        </w:rPr>
        <w:t xml:space="preserve">deadline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"XMLHTTP.send timed out waiting for readyState=4"</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OperatorTok"/>
        </w:rPr>
        <w:t xml:space="preserve">}</w:t>
      </w:r>
      <w:r>
        <w:br/>
      </w:r>
      <w:r>
        <w:rPr>
          <w:rStyle w:val="NormalTok"/>
        </w:rPr>
        <w:t xml:space="preserve">            time</w:t>
      </w:r>
      <w:r>
        <w:rPr>
          <w:rStyle w:val="OperatorTok"/>
        </w:rPr>
        <w:t xml:space="preserve">.</w:t>
      </w:r>
      <w:r>
        <w:rPr>
          <w:rStyle w:val="NormalTok"/>
        </w:rPr>
        <w:t xml:space="preserve">Sleep</w:t>
      </w:r>
      <w:r>
        <w:rPr>
          <w:rStyle w:val="OperatorTok"/>
        </w:rPr>
        <w:t xml:space="preserve">(</w:t>
      </w:r>
      <w:r>
        <w:rPr>
          <w:rStyle w:val="DecValTok"/>
        </w:rPr>
        <w:t xml:space="preserve">5</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Millisecond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if</w:t>
      </w:r>
      <w:r>
        <w:rPr>
          <w:rStyle w:val="NormalTok"/>
        </w:rPr>
        <w:t xml:space="preserve"> m</w:t>
      </w:r>
      <w:r>
        <w:rPr>
          <w:rStyle w:val="OperatorTok"/>
        </w:rPr>
        <w:t xml:space="preserve">.</w:t>
      </w:r>
      <w:r>
        <w:rPr>
          <w:rStyle w:val="NormalTok"/>
        </w:rPr>
        <w:t xml:space="preserve">responseXM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m</w:t>
      </w:r>
      <w:r>
        <w:rPr>
          <w:rStyle w:val="OperatorTok"/>
        </w:rPr>
        <w:t xml:space="preserve">.</w:t>
      </w:r>
      <w:r>
        <w:rPr>
          <w:rStyle w:val="NormalTok"/>
        </w:rPr>
        <w:t xml:space="preserve">responseXM</w:t>
      </w:r>
      <w:r>
        <w:rPr>
          <w:rStyle w:val="OperatorTok"/>
        </w:rPr>
        <w:t xml:space="preserve">.</w:t>
      </w:r>
      <w:r>
        <w:rPr>
          <w:rStyle w:val="NormalTok"/>
        </w:rPr>
        <w:t xml:space="preserve">Release</w:t>
      </w:r>
      <w:r>
        <w:rPr>
          <w:rStyle w:val="OperatorTok"/>
        </w:rPr>
        <w:t xml:space="preserve">()</w:t>
      </w:r>
      <w:r>
        <w:br/>
      </w:r>
      <w:r>
        <w:rPr>
          <w:rStyle w:val="NormalTok"/>
        </w:rPr>
        <w:t xml:space="preserve">            m</w:t>
      </w:r>
      <w:r>
        <w:rPr>
          <w:rStyle w:val="OperatorTok"/>
        </w:rPr>
        <w:t xml:space="preserve">.</w:t>
      </w:r>
      <w:r>
        <w:rPr>
          <w:rStyle w:val="NormalTok"/>
        </w:rPr>
        <w:t xml:space="preserve">responseXM </w:t>
      </w:r>
      <w:r>
        <w:rPr>
          <w:rStyle w:val="OperatorTok"/>
        </w:rPr>
        <w:t xml:space="preserve">=</w:t>
      </w:r>
      <w:r>
        <w:rPr>
          <w:rStyle w:val="NormalTok"/>
        </w:rPr>
        <w:t xml:space="preserve"> </w:t>
      </w:r>
      <w:r>
        <w:rPr>
          <w:rStyle w:val="OtherTok"/>
        </w:rPr>
        <w:t xml:space="preserve">nil</w:t>
      </w:r>
      <w:r>
        <w:br/>
      </w:r>
      <w:r>
        <w:rPr>
          <w:rStyle w:val="NormalTok"/>
        </w:rPr>
        <w:t xml:space="preserve">        </w:t>
      </w:r>
      <w:r>
        <w:rPr>
          <w:rStyle w:val="OperatorTok"/>
        </w:rPr>
        <w:t xml:space="preserve">}</w:t>
      </w:r>
      <w:r>
        <w:br/>
      </w:r>
      <w:r>
        <w:br/>
      </w:r>
      <w:r>
        <w:rPr>
          <w:rStyle w:val="NormalTok"/>
        </w:rPr>
        <w:t xml:space="preserve">        xmlVar</w:t>
      </w:r>
      <w:r>
        <w:rPr>
          <w:rStyle w:val="OperatorTok"/>
        </w:rPr>
        <w:t xml:space="preserve">,</w:t>
      </w:r>
      <w:r>
        <w:rPr>
          <w:rStyle w:val="NormalTok"/>
        </w:rPr>
        <w:t xml:space="preserve"> xmlErr </w:t>
      </w:r>
      <w:r>
        <w:rPr>
          <w:rStyle w:val="OperatorTok"/>
        </w:rPr>
        <w:t xml:space="preserve">:=</w:t>
      </w:r>
      <w:r>
        <w:rPr>
          <w:rStyle w:val="NormalTok"/>
        </w:rPr>
        <w:t xml:space="preserve"> oleutil</w:t>
      </w:r>
      <w:r>
        <w:rPr>
          <w:rStyle w:val="OperatorTok"/>
        </w:rPr>
        <w:t xml:space="preserve">.</w:t>
      </w:r>
      <w:r>
        <w:rPr>
          <w:rStyle w:val="NormalTok"/>
        </w:rPr>
        <w:t xml:space="preserve">GetProperty</w:t>
      </w:r>
      <w:r>
        <w:rPr>
          <w:rStyle w:val="OperatorTok"/>
        </w:rPr>
        <w:t xml:space="preserve">(</w:t>
      </w:r>
      <w:r>
        <w:rPr>
          <w:rStyle w:val="NormalTok"/>
        </w:rPr>
        <w:t xml:space="preserve">m</w:t>
      </w:r>
      <w:r>
        <w:rPr>
          <w:rStyle w:val="OperatorTok"/>
        </w:rPr>
        <w:t xml:space="preserve">.</w:t>
      </w:r>
      <w:r>
        <w:rPr>
          <w:rStyle w:val="NormalTok"/>
        </w:rPr>
        <w:t xml:space="preserve">xhr</w:t>
      </w:r>
      <w:r>
        <w:rPr>
          <w:rStyle w:val="OperatorTok"/>
        </w:rPr>
        <w:t xml:space="preserve">,</w:t>
      </w:r>
      <w:r>
        <w:rPr>
          <w:rStyle w:val="NormalTok"/>
        </w:rPr>
        <w:t xml:space="preserve"> </w:t>
      </w:r>
      <w:r>
        <w:rPr>
          <w:rStyle w:val="StringTok"/>
        </w:rPr>
        <w:t xml:space="preserve">"responseXml"</w:t>
      </w:r>
      <w:r>
        <w:rPr>
          <w:rStyle w:val="OperatorTok"/>
        </w:rPr>
        <w:t xml:space="preserve">)</w:t>
      </w:r>
      <w:r>
        <w:br/>
      </w:r>
      <w:r>
        <w:rPr>
          <w:rStyle w:val="NormalTok"/>
        </w:rPr>
        <w:t xml:space="preserve">        </w:t>
      </w:r>
      <w:r>
        <w:rPr>
          <w:rStyle w:val="ControlFlowTok"/>
        </w:rPr>
        <w:t xml:space="preserve">if</w:t>
      </w:r>
      <w:r>
        <w:rPr>
          <w:rStyle w:val="NormalTok"/>
        </w:rPr>
        <w:t xml:space="preserve"> xmlErr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"XMLHTTP.responseXml failed"</w:t>
      </w:r>
      <w:r>
        <w:rPr>
          <w:rStyle w:val="OperatorTok"/>
        </w:rPr>
        <w:t xml:space="preserve">,</w:t>
      </w:r>
      <w:r>
        <w:rPr>
          <w:rStyle w:val="NormalTok"/>
        </w:rPr>
        <w:t xml:space="preserve"> xmlErr</w:t>
      </w:r>
      <w:r>
        <w:rPr>
          <w:rStyle w:val="OperatorTok"/>
        </w:rPr>
        <w:t xml:space="preserve">)</w:t>
      </w:r>
      <w:r>
        <w:br/>
      </w:r>
      <w:r>
        <w:rPr>
          <w:rStyle w:val="NormalTok"/>
        </w:rPr>
        <w:t xml:space="preserve">        </w:t>
      </w:r>
      <w:r>
        <w:rPr>
          <w:rStyle w:val="OperatorTok"/>
        </w:rPr>
        <w:t xml:space="preserve">}</w:t>
      </w:r>
      <w:r>
        <w:br/>
      </w:r>
      <w:r>
        <w:br/>
      </w:r>
      <w:r>
        <w:rPr>
          <w:rStyle w:val="NormalTok"/>
        </w:rPr>
        <w:t xml:space="preserve">        respDisp </w:t>
      </w:r>
      <w:r>
        <w:rPr>
          <w:rStyle w:val="OperatorTok"/>
        </w:rPr>
        <w:t xml:space="preserve">:=</w:t>
      </w:r>
      <w:r>
        <w:rPr>
          <w:rStyle w:val="NormalTok"/>
        </w:rPr>
        <w:t xml:space="preserve"> xmlVar</w:t>
      </w:r>
      <w:r>
        <w:rPr>
          <w:rStyle w:val="OperatorTok"/>
        </w:rPr>
        <w:t xml:space="preserve">.</w:t>
      </w:r>
      <w:r>
        <w:rPr>
          <w:rStyle w:val="NormalTok"/>
        </w:rPr>
        <w:t xml:space="preserve">ToIDispatch</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xmlVar</w:t>
      </w:r>
      <w:r>
        <w:rPr>
          <w:rStyle w:val="OperatorTok"/>
        </w:rPr>
        <w:t xml:space="preserve">)</w:t>
      </w:r>
      <w:r>
        <w:br/>
      </w:r>
      <w:r>
        <w:rPr>
          <w:rStyle w:val="NormalTok"/>
        </w:rPr>
        <w:t xml:space="preserve">        </w:t>
      </w:r>
      <w:r>
        <w:rPr>
          <w:rStyle w:val="ControlFlowTok"/>
        </w:rPr>
        <w:t xml:space="preserve">if</w:t>
      </w:r>
      <w:r>
        <w:rPr>
          <w:rStyle w:val="NormalTok"/>
        </w:rPr>
        <w:t xml:space="preserve"> respDisp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"responseXml returned nil"</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OperatorTok"/>
        </w:rPr>
        <w:t xml:space="preserve">}</w:t>
      </w:r>
      <w:r>
        <w:br/>
      </w:r>
      <w:r>
        <w:rPr>
          <w:rStyle w:val="NormalTok"/>
        </w:rPr>
        <w:t xml:space="preserve">        m</w:t>
      </w:r>
      <w:r>
        <w:rPr>
          <w:rStyle w:val="OperatorTok"/>
        </w:rPr>
        <w:t xml:space="preserve">.</w:t>
      </w:r>
      <w:r>
        <w:rPr>
          <w:rStyle w:val="NormalTok"/>
        </w:rPr>
        <w:t xml:space="preserve">responseXM </w:t>
      </w:r>
      <w:r>
        <w:rPr>
          <w:rStyle w:val="OperatorTok"/>
        </w:rPr>
        <w:t xml:space="preserve">=</w:t>
      </w:r>
      <w:r>
        <w:rPr>
          <w:rStyle w:val="NormalTok"/>
        </w:rPr>
        <w:t xml:space="preserve"> respDisp</w:t>
      </w:r>
      <w:r>
        <w:br/>
      </w:r>
      <w:r>
        <w:rPr>
          <w:rStyle w:val="NormalTok"/>
        </w:rPr>
        <w:t xml:space="preserve">        m</w:t>
      </w:r>
      <w:r>
        <w:rPr>
          <w:rStyle w:val="OperatorTok"/>
        </w:rPr>
        <w:t xml:space="preserve">.</w:t>
      </w:r>
      <w:r>
        <w:rPr>
          <w:rStyle w:val="NormalTok"/>
        </w:rPr>
        <w:t xml:space="preserve">lastError </w:t>
      </w:r>
      <w:r>
        <w:rPr>
          <w:rStyle w:val="OperatorTok"/>
        </w:rPr>
        <w:t xml:space="preserve">=</w:t>
      </w:r>
      <w:r>
        <w:rPr>
          <w:rStyle w:val="NormalTok"/>
        </w:rPr>
        <w:t xml:space="preserve"> </w:t>
      </w:r>
      <w:r>
        <w:rPr>
          <w:rStyle w:val="StringTok"/>
        </w:rPr>
        <w:t xml:space="preserve">""</w:t>
      </w:r>
      <w:r>
        <w:br/>
      </w:r>
      <w:r>
        <w:rPr>
          <w:rStyle w:val="NormalTok"/>
        </w:rPr>
        <w:t xml:space="preserve">        </w:t>
      </w:r>
      <w:r>
        <w:rPr>
          <w:rStyle w:val="ControlFlowTok"/>
        </w:rPr>
        <w:t xml:space="preserve">return</w:t>
      </w:r>
      <w:r>
        <w:rPr>
          <w:rStyle w:val="NormalTok"/>
        </w:rPr>
        <w:t xml:space="preserve"> NewBool</w:t>
      </w:r>
      <w:r>
        <w:rPr>
          <w:rStyle w:val="OperatorTok"/>
        </w:rPr>
        <w:t xml:space="preserve">(</w:t>
      </w:r>
      <w:r>
        <w:rPr>
          <w:rStyle w:val="OtherTok"/>
        </w:rPr>
        <w:t xml:space="preserve">true</w:t>
      </w:r>
      <w:r>
        <w:rPr>
          <w:rStyle w:val="OperatorTok"/>
        </w:rPr>
        <w:t xml:space="preserve">)</w:t>
      </w:r>
      <w:r>
        <w:br/>
      </w:r>
      <w:r>
        <w:br/>
      </w:r>
      <w:r>
        <w:rPr>
          <w:rStyle w:val="NormalTok"/>
        </w:rPr>
        <w:t xml:space="preserve">    </w:t>
      </w:r>
      <w:r>
        <w:rPr>
          <w:rStyle w:val="ControlFlowTok"/>
        </w:rPr>
        <w:t xml:space="preserve">case</w:t>
      </w:r>
      <w:r>
        <w:rPr>
          <w:rStyle w:val="NormalTok"/>
        </w:rPr>
        <w:t xml:space="preserve"> strings</w:t>
      </w:r>
      <w:r>
        <w:rPr>
          <w:rStyle w:val="OperatorTok"/>
        </w:rPr>
        <w:t xml:space="preserve">.</w:t>
      </w:r>
      <w:r>
        <w:rPr>
          <w:rStyle w:val="NormalTok"/>
        </w:rPr>
        <w:t xml:space="preserve">EqualFold</w:t>
      </w:r>
      <w:r>
        <w:rPr>
          <w:rStyle w:val="OperatorTok"/>
        </w:rPr>
        <w:t xml:space="preserve">(</w:t>
      </w:r>
      <w:r>
        <w:rPr>
          <w:rStyle w:val="NormalTok"/>
        </w:rPr>
        <w:t xml:space="preserve">methodName</w:t>
      </w:r>
      <w:r>
        <w:rPr>
          <w:rStyle w:val="OperatorTok"/>
        </w:rPr>
        <w:t xml:space="preserve">,</w:t>
      </w:r>
      <w:r>
        <w:rPr>
          <w:rStyle w:val="NormalTok"/>
        </w:rPr>
        <w:t xml:space="preserve"> </w:t>
      </w:r>
      <w:r>
        <w:rPr>
          <w:rStyle w:val="StringTok"/>
        </w:rPr>
        <w:t xml:space="preserve">"selectNodes"</w:t>
      </w:r>
      <w:r>
        <w:rPr>
          <w:rStyle w:val="OperatorTok"/>
        </w:rPr>
        <w:t xml:space="preserve">):</w:t>
      </w:r>
      <w:r>
        <w:br/>
      </w:r>
      <w:r>
        <w:rPr>
          <w:rStyle w:val="NormalTok"/>
        </w:rPr>
        <w:t xml:space="preserve">        </w:t>
      </w:r>
      <w:r>
        <w:rPr>
          <w:rStyle w:val="ControlFlowTok"/>
        </w:rPr>
        <w:t xml:space="preserve">if</w:t>
      </w:r>
      <w:r>
        <w:rPr>
          <w:rStyle w:val="NormalTok"/>
        </w:rPr>
        <w:t xml:space="preserve"> m</w:t>
      </w:r>
      <w:r>
        <w:rPr>
          <w:rStyle w:val="OperatorTok"/>
        </w:rPr>
        <w:t xml:space="preserve">.</w:t>
      </w:r>
      <w:r>
        <w:rPr>
          <w:rStyle w:val="NormalTok"/>
        </w:rPr>
        <w:t xml:space="preserve">responseXM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"responseXml is not available. Call send first"</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BuiltInTok"/>
        </w:rPr>
        <w:t xml:space="preserve">len</w:t>
      </w:r>
      <w:r>
        <w:rPr>
          <w:rStyle w:val="OperatorTok"/>
        </w:rPr>
        <w:t xml:space="preserve">(</w:t>
      </w:r>
      <w:r>
        <w:rPr>
          <w:rStyle w:val="NormalTok"/>
        </w:rPr>
        <w:t xml:space="preserve">args</w:t>
      </w:r>
      <w:r>
        <w:rPr>
          <w:rStyle w:val="OperatorTok"/>
        </w:rPr>
        <w:t xml:space="preserve">)</w:t>
      </w:r>
      <w:r>
        <w:rPr>
          <w:rStyle w:val="NormalTok"/>
        </w:rPr>
        <w:t xml:space="preserve"> </w:t>
      </w:r>
      <w:r>
        <w:rPr>
          <w:rStyle w:val="OperatorTok"/>
        </w:rPr>
        <w:t xml:space="preserve">&lt;</w:t>
      </w:r>
      <w:r>
        <w:rPr>
          <w:rStyle w:val="NormalTok"/>
        </w:rPr>
        <w:t xml:space="preserve"> </w:t>
      </w:r>
      <w:r>
        <w:rPr>
          <w:rStyle w:val="DecValTok"/>
        </w:rPr>
        <w:t xml:space="preserve">1</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"selectNodes requires xpath"</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OperatorTok"/>
        </w:rPr>
        <w:t xml:space="preserve">}</w:t>
      </w:r>
      <w:r>
        <w:br/>
      </w:r>
      <w:r>
        <w:br/>
      </w:r>
      <w:r>
        <w:rPr>
          <w:rStyle w:val="NormalTok"/>
        </w:rPr>
        <w:t xml:space="preserve">        nodeVar</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m</w:t>
      </w:r>
      <w:r>
        <w:rPr>
          <w:rStyle w:val="OperatorTok"/>
        </w:rPr>
        <w:t xml:space="preserve">.</w:t>
      </w:r>
      <w:r>
        <w:rPr>
          <w:rStyle w:val="NormalTok"/>
        </w:rPr>
        <w:t xml:space="preserve">responseXM</w:t>
      </w:r>
      <w:r>
        <w:rPr>
          <w:rStyle w:val="OperatorTok"/>
        </w:rPr>
        <w:t xml:space="preserve">,</w:t>
      </w:r>
      <w:r>
        <w:rPr>
          <w:rStyle w:val="NormalTok"/>
        </w:rPr>
        <w:t xml:space="preserve"> </w:t>
      </w:r>
      <w:r>
        <w:rPr>
          <w:rStyle w:val="StringTok"/>
        </w:rPr>
        <w:t xml:space="preserve">"selectNodes"</w:t>
      </w:r>
      <w:r>
        <w:rPr>
          <w:rStyle w:val="OperatorTok"/>
        </w:rPr>
        <w:t xml:space="preserve">,</w:t>
      </w:r>
      <w:r>
        <w:rPr>
          <w:rStyle w:val="NormalTok"/>
        </w:rPr>
        <w:t xml:space="preserve"> args</w:t>
      </w:r>
      <w:r>
        <w:rPr>
          <w:rStyle w:val="OperatorTok"/>
        </w:rPr>
        <w:t xml:space="preserve">[</w:t>
      </w:r>
      <w:r>
        <w:rPr>
          <w:rStyle w:val="DecValTok"/>
        </w:rPr>
        <w:t xml:space="preserve">0</w:t>
      </w:r>
      <w:r>
        <w:rPr>
          <w:rStyle w:val="OperatorTok"/>
        </w:rPr>
        <w:t xml:space="preserve">].</w:t>
      </w:r>
      <w:r>
        <w:rPr>
          <w:rStyle w:val="NormalTok"/>
        </w:rPr>
        <w:t xml:space="preserve">String</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"responseXml.selectNodes failed"</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rPr>
          <w:rStyle w:val="NormalTok"/>
        </w:rPr>
        <w:t xml:space="preserve">        nodes </w:t>
      </w:r>
      <w:r>
        <w:rPr>
          <w:rStyle w:val="OperatorTok"/>
        </w:rPr>
        <w:t xml:space="preserve">:=</w:t>
      </w:r>
      <w:r>
        <w:rPr>
          <w:rStyle w:val="NormalTok"/>
        </w:rPr>
        <w:t xml:space="preserve"> nodeVar</w:t>
      </w:r>
      <w:r>
        <w:rPr>
          <w:rStyle w:val="OperatorTok"/>
        </w:rPr>
        <w:t xml:space="preserve">.</w:t>
      </w:r>
      <w:r>
        <w:rPr>
          <w:rStyle w:val="NormalTok"/>
        </w:rPr>
        <w:t xml:space="preserve">ToIDispatch</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nodeVar</w:t>
      </w:r>
      <w:r>
        <w:rPr>
          <w:rStyle w:val="OperatorTok"/>
        </w:rPr>
        <w:t xml:space="preserve">)</w:t>
      </w:r>
      <w:r>
        <w:br/>
      </w:r>
      <w:r>
        <w:rPr>
          <w:rStyle w:val="NormalTok"/>
        </w:rPr>
        <w:t xml:space="preserve">        </w:t>
      </w:r>
      <w:r>
        <w:rPr>
          <w:rStyle w:val="ControlFlowTok"/>
        </w:rPr>
        <w:t xml:space="preserve">if</w:t>
      </w:r>
      <w:r>
        <w:rPr>
          <w:rStyle w:val="NormalTok"/>
        </w:rPr>
        <w:t xml:space="preserve"> nodes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NewString</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nodes</w:t>
      </w:r>
      <w:r>
        <w:rPr>
          <w:rStyle w:val="OperatorTok"/>
        </w:rPr>
        <w:t xml:space="preserve">.</w:t>
      </w:r>
      <w:r>
        <w:rPr>
          <w:rStyle w:val="NormalTok"/>
        </w:rPr>
        <w:t xml:space="preserve">Release</w:t>
      </w:r>
      <w:r>
        <w:rPr>
          <w:rStyle w:val="OperatorTok"/>
        </w:rPr>
        <w:t xml:space="preserve">()</w:t>
      </w:r>
      <w:r>
        <w:br/>
      </w:r>
      <w:r>
        <w:br/>
      </w:r>
      <w:r>
        <w:rPr>
          <w:rStyle w:val="NormalTok"/>
        </w:rPr>
        <w:t xml:space="preserve">        countVar</w:t>
      </w:r>
      <w:r>
        <w:rPr>
          <w:rStyle w:val="OperatorTok"/>
        </w:rPr>
        <w:t xml:space="preserve">,</w:t>
      </w:r>
      <w:r>
        <w:rPr>
          <w:rStyle w:val="NormalTok"/>
        </w:rPr>
        <w:t xml:space="preserve"> countErr </w:t>
      </w:r>
      <w:r>
        <w:rPr>
          <w:rStyle w:val="OperatorTok"/>
        </w:rPr>
        <w:t xml:space="preserve">:=</w:t>
      </w:r>
      <w:r>
        <w:rPr>
          <w:rStyle w:val="NormalTok"/>
        </w:rPr>
        <w:t xml:space="preserve"> oleutil</w:t>
      </w:r>
      <w:r>
        <w:rPr>
          <w:rStyle w:val="OperatorTok"/>
        </w:rPr>
        <w:t xml:space="preserve">.</w:t>
      </w:r>
      <w:r>
        <w:rPr>
          <w:rStyle w:val="NormalTok"/>
        </w:rPr>
        <w:t xml:space="preserve">GetProperty</w:t>
      </w:r>
      <w:r>
        <w:rPr>
          <w:rStyle w:val="OperatorTok"/>
        </w:rPr>
        <w:t xml:space="preserve">(</w:t>
      </w:r>
      <w:r>
        <w:rPr>
          <w:rStyle w:val="NormalTok"/>
        </w:rPr>
        <w:t xml:space="preserve">nodes</w:t>
      </w:r>
      <w:r>
        <w:rPr>
          <w:rStyle w:val="OperatorTok"/>
        </w:rPr>
        <w:t xml:space="preserve">,</w:t>
      </w:r>
      <w:r>
        <w:rPr>
          <w:rStyle w:val="NormalTok"/>
        </w:rPr>
        <w:t xml:space="preserve"> </w:t>
      </w:r>
      <w:r>
        <w:rPr>
          <w:rStyle w:val="StringTok"/>
        </w:rPr>
        <w:t xml:space="preserve">"length"</w:t>
      </w:r>
      <w:r>
        <w:rPr>
          <w:rStyle w:val="OperatorTok"/>
        </w:rPr>
        <w:t xml:space="preserve">)</w:t>
      </w:r>
      <w:r>
        <w:br/>
      </w:r>
      <w:r>
        <w:rPr>
          <w:rStyle w:val="NormalTok"/>
        </w:rPr>
        <w:t xml:space="preserve">        </w:t>
      </w:r>
      <w:r>
        <w:rPr>
          <w:rStyle w:val="ControlFlowTok"/>
        </w:rPr>
        <w:t xml:space="preserve">if</w:t>
      </w:r>
      <w:r>
        <w:rPr>
          <w:rStyle w:val="NormalTok"/>
        </w:rPr>
        <w:t xml:space="preserve"> countErr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"NodeList.length failed"</w:t>
      </w:r>
      <w:r>
        <w:rPr>
          <w:rStyle w:val="OperatorTok"/>
        </w:rPr>
        <w:t xml:space="preserve">,</w:t>
      </w:r>
      <w:r>
        <w:rPr>
          <w:rStyle w:val="NormalTok"/>
        </w:rPr>
        <w:t xml:space="preserve"> countErr</w:t>
      </w:r>
      <w:r>
        <w:rPr>
          <w:rStyle w:val="OperatorTok"/>
        </w:rPr>
        <w:t xml:space="preserve">)</w:t>
      </w:r>
      <w:r>
        <w:br/>
      </w:r>
      <w:r>
        <w:rPr>
          <w:rStyle w:val="NormalTok"/>
        </w:rPr>
        <w:t xml:space="preserve">        </w:t>
      </w:r>
      <w:r>
        <w:rPr>
          <w:rStyle w:val="OperatorTok"/>
        </w:rPr>
        <w:t xml:space="preserve">}</w:t>
      </w:r>
      <w:r>
        <w:br/>
      </w:r>
      <w:r>
        <w:rPr>
          <w:rStyle w:val="NormalTok"/>
        </w:rPr>
        <w:t xml:space="preserve">        count </w:t>
      </w:r>
      <w:r>
        <w:rPr>
          <w:rStyle w:val="OperatorTok"/>
        </w:rPr>
        <w:t xml:space="preserve">:=</w:t>
      </w:r>
      <w:r>
        <w:rPr>
          <w:rStyle w:val="NormalTok"/>
        </w:rPr>
        <w:t xml:space="preserve"> </w:t>
      </w:r>
      <w:r>
        <w:rPr>
          <w:rStyle w:val="DataTypeTok"/>
        </w:rPr>
        <w:t xml:space="preserve">int</w:t>
      </w:r>
      <w:r>
        <w:rPr>
          <w:rStyle w:val="OperatorTok"/>
        </w:rPr>
        <w:t xml:space="preserve">(</w:t>
      </w:r>
      <w:r>
        <w:rPr>
          <w:rStyle w:val="NormalTok"/>
        </w:rPr>
        <w:t xml:space="preserve">countVar</w:t>
      </w:r>
      <w:r>
        <w:rPr>
          <w:rStyle w:val="OperatorTok"/>
        </w:rPr>
        <w:t xml:space="preserve">.</w:t>
      </w:r>
      <w:r>
        <w:rPr>
          <w:rStyle w:val="NormalTok"/>
        </w:rPr>
        <w:t xml:space="preserve">Val</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countVar</w:t>
      </w:r>
      <w:r>
        <w:rPr>
          <w:rStyle w:val="OperatorTok"/>
        </w:rPr>
        <w:t xml:space="preserve">)</w:t>
      </w:r>
      <w:r>
        <w:br/>
      </w:r>
      <w:r>
        <w:br/>
      </w:r>
      <w:r>
        <w:rPr>
          <w:rStyle w:val="NormalTok"/>
        </w:rPr>
        <w:t xml:space="preserve">        </w:t>
      </w:r>
      <w:r>
        <w:rPr>
          <w:rStyle w:val="KeywordTok"/>
        </w:rPr>
        <w:t xml:space="preserve">var</w:t>
      </w:r>
      <w:r>
        <w:rPr>
          <w:rStyle w:val="NormalTok"/>
        </w:rPr>
        <w:t xml:space="preserve"> sb strings</w:t>
      </w:r>
      <w:r>
        <w:rPr>
          <w:rStyle w:val="OperatorTok"/>
        </w:rPr>
        <w:t xml:space="preserve">.</w:t>
      </w:r>
      <w:r>
        <w:rPr>
          <w:rStyle w:val="NormalTok"/>
        </w:rPr>
        <w:t xml:space="preserve">Builder</w:t>
      </w:r>
      <w:r>
        <w:br/>
      </w:r>
      <w:r>
        <w:rPr>
          <w:rStyle w:val="NormalTok"/>
        </w:rPr>
        <w:t xml:space="preserve">        </w:t>
      </w:r>
      <w:r>
        <w:rPr>
          <w:rStyle w:val="ControlFlowTok"/>
        </w:rPr>
        <w:t xml:space="preserve">for</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count</w:t>
      </w:r>
      <w:r>
        <w:rPr>
          <w:rStyle w:val="OperatorTok"/>
        </w:rPr>
        <w:t xml:space="preserve">;</w:t>
      </w:r>
      <w:r>
        <w:rPr>
          <w:rStyle w:val="NormalTok"/>
        </w:rPr>
        <w:t xml:space="preserve"> i</w:t>
      </w:r>
      <w:r>
        <w:rPr>
          <w:rStyle w:val="OperatorTok"/>
        </w:rPr>
        <w:t xml:space="preserve">++</w:t>
      </w:r>
      <w:r>
        <w:rPr>
          <w:rStyle w:val="NormalTok"/>
        </w:rPr>
        <w:t xml:space="preserve"> </w:t>
      </w:r>
      <w:r>
        <w:rPr>
          <w:rStyle w:val="OperatorTok"/>
        </w:rPr>
        <w:t xml:space="preserve">{</w:t>
      </w:r>
      <w:r>
        <w:br/>
      </w:r>
      <w:r>
        <w:rPr>
          <w:rStyle w:val="NormalTok"/>
        </w:rPr>
        <w:t xml:space="preserve">            itemVar</w:t>
      </w:r>
      <w:r>
        <w:rPr>
          <w:rStyle w:val="OperatorTok"/>
        </w:rPr>
        <w:t xml:space="preserve">,</w:t>
      </w:r>
      <w:r>
        <w:rPr>
          <w:rStyle w:val="NormalTok"/>
        </w:rPr>
        <w:t xml:space="preserve"> itemErr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nodes</w:t>
      </w:r>
      <w:r>
        <w:rPr>
          <w:rStyle w:val="OperatorTok"/>
        </w:rPr>
        <w:t xml:space="preserve">,</w:t>
      </w:r>
      <w:r>
        <w:rPr>
          <w:rStyle w:val="NormalTok"/>
        </w:rPr>
        <w:t xml:space="preserve"> </w:t>
      </w:r>
      <w:r>
        <w:rPr>
          <w:rStyle w:val="StringTok"/>
        </w:rPr>
        <w:t xml:space="preserve">"item"</w:t>
      </w:r>
      <w:r>
        <w:rPr>
          <w:rStyle w:val="OperatorTok"/>
        </w:rPr>
        <w:t xml:space="preserve">,</w:t>
      </w:r>
      <w:r>
        <w:rPr>
          <w:rStyle w:val="NormalTok"/>
        </w:rPr>
        <w:t xml:space="preserve"> i</w:t>
      </w:r>
      <w:r>
        <w:rPr>
          <w:rStyle w:val="OperatorTok"/>
        </w:rPr>
        <w:t xml:space="preserve">)</w:t>
      </w:r>
      <w:r>
        <w:br/>
      </w:r>
      <w:r>
        <w:rPr>
          <w:rStyle w:val="NormalTok"/>
        </w:rPr>
        <w:t xml:space="preserve">            </w:t>
      </w:r>
      <w:r>
        <w:rPr>
          <w:rStyle w:val="ControlFlowTok"/>
        </w:rPr>
        <w:t xml:space="preserve">if</w:t>
      </w:r>
      <w:r>
        <w:rPr>
          <w:rStyle w:val="NormalTok"/>
        </w:rPr>
        <w:t xml:space="preserve"> itemErr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setError</w:t>
      </w:r>
      <w:r>
        <w:rPr>
          <w:rStyle w:val="OperatorTok"/>
        </w:rPr>
        <w:t xml:space="preserve">(</w:t>
      </w:r>
      <w:r>
        <w:rPr>
          <w:rStyle w:val="StringTok"/>
        </w:rPr>
        <w:t xml:space="preserve">"NodeList.item failed"</w:t>
      </w:r>
      <w:r>
        <w:rPr>
          <w:rStyle w:val="OperatorTok"/>
        </w:rPr>
        <w:t xml:space="preserve">,</w:t>
      </w:r>
      <w:r>
        <w:rPr>
          <w:rStyle w:val="NormalTok"/>
        </w:rPr>
        <w:t xml:space="preserve"> itemErr</w:t>
      </w:r>
      <w:r>
        <w:rPr>
          <w:rStyle w:val="OperatorTok"/>
        </w:rPr>
        <w:t xml:space="preserve">)</w:t>
      </w:r>
      <w:r>
        <w:br/>
      </w:r>
      <w:r>
        <w:rPr>
          <w:rStyle w:val="NormalTok"/>
        </w:rPr>
        <w:t xml:space="preserve">            </w:t>
      </w:r>
      <w:r>
        <w:rPr>
          <w:rStyle w:val="OperatorTok"/>
        </w:rPr>
        <w:t xml:space="preserve">}</w:t>
      </w:r>
      <w:r>
        <w:br/>
      </w:r>
      <w:r>
        <w:rPr>
          <w:rStyle w:val="NormalTok"/>
        </w:rPr>
        <w:t xml:space="preserve">            item </w:t>
      </w:r>
      <w:r>
        <w:rPr>
          <w:rStyle w:val="OperatorTok"/>
        </w:rPr>
        <w:t xml:space="preserve">:=</w:t>
      </w:r>
      <w:r>
        <w:rPr>
          <w:rStyle w:val="NormalTok"/>
        </w:rPr>
        <w:t xml:space="preserve"> itemVar</w:t>
      </w:r>
      <w:r>
        <w:rPr>
          <w:rStyle w:val="OperatorTok"/>
        </w:rPr>
        <w:t xml:space="preserve">.</w:t>
      </w:r>
      <w:r>
        <w:rPr>
          <w:rStyle w:val="NormalTok"/>
        </w:rPr>
        <w:t xml:space="preserve">ToIDispatch</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itemVar</w:t>
      </w:r>
      <w:r>
        <w:rPr>
          <w:rStyle w:val="OperatorTok"/>
        </w:rPr>
        <w:t xml:space="preserve">)</w:t>
      </w:r>
      <w:r>
        <w:br/>
      </w:r>
      <w:r>
        <w:rPr>
          <w:rStyle w:val="NormalTok"/>
        </w:rPr>
        <w:t xml:space="preserve">            </w:t>
      </w:r>
      <w:r>
        <w:rPr>
          <w:rStyle w:val="ControlFlowTok"/>
        </w:rPr>
        <w:t xml:space="preserve">if</w:t>
      </w:r>
      <w:r>
        <w:rPr>
          <w:rStyle w:val="NormalTok"/>
        </w:rPr>
        <w:t xml:space="preserve"> item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continue</w:t>
      </w:r>
      <w:r>
        <w:br/>
      </w:r>
      <w:r>
        <w:rPr>
          <w:rStyle w:val="NormalTok"/>
        </w:rPr>
        <w:t xml:space="preserve">            </w:t>
      </w:r>
      <w:r>
        <w:rPr>
          <w:rStyle w:val="OperatorTok"/>
        </w:rPr>
        <w:t xml:space="preserve">}</w:t>
      </w:r>
      <w:r>
        <w:br/>
      </w:r>
      <w:r>
        <w:br/>
      </w:r>
      <w:r>
        <w:rPr>
          <w:rStyle w:val="NormalTok"/>
        </w:rPr>
        <w:t xml:space="preserve">            titleVar</w:t>
      </w:r>
      <w:r>
        <w:rPr>
          <w:rStyle w:val="OperatorTok"/>
        </w:rPr>
        <w:t xml:space="preserve">,</w:t>
      </w:r>
      <w:r>
        <w:rPr>
          <w:rStyle w:val="NormalTok"/>
        </w:rPr>
        <w:t xml:space="preserve"> _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item</w:t>
      </w:r>
      <w:r>
        <w:rPr>
          <w:rStyle w:val="OperatorTok"/>
        </w:rPr>
        <w:t xml:space="preserve">,</w:t>
      </w:r>
      <w:r>
        <w:rPr>
          <w:rStyle w:val="NormalTok"/>
        </w:rPr>
        <w:t xml:space="preserve"> </w:t>
      </w:r>
      <w:r>
        <w:rPr>
          <w:rStyle w:val="StringTok"/>
        </w:rPr>
        <w:t xml:space="preserve">"selectSingleNode"</w:t>
      </w:r>
      <w:r>
        <w:rPr>
          <w:rStyle w:val="OperatorTok"/>
        </w:rPr>
        <w:t xml:space="preserve">,</w:t>
      </w:r>
      <w:r>
        <w:rPr>
          <w:rStyle w:val="NormalTok"/>
        </w:rPr>
        <w:t xml:space="preserve"> </w:t>
      </w:r>
      <w:r>
        <w:rPr>
          <w:rStyle w:val="StringTok"/>
        </w:rPr>
        <w:t xml:space="preserve">"title"</w:t>
      </w:r>
      <w:r>
        <w:rPr>
          <w:rStyle w:val="OperatorTok"/>
        </w:rPr>
        <w:t xml:space="preserve">)</w:t>
      </w:r>
      <w:r>
        <w:br/>
      </w:r>
      <w:r>
        <w:rPr>
          <w:rStyle w:val="NormalTok"/>
        </w:rPr>
        <w:t xml:space="preserve">            titleNode </w:t>
      </w:r>
      <w:r>
        <w:rPr>
          <w:rStyle w:val="OperatorTok"/>
        </w:rPr>
        <w:t xml:space="preserve">:=</w:t>
      </w:r>
      <w:r>
        <w:rPr>
          <w:rStyle w:val="NormalTok"/>
        </w:rPr>
        <w:t xml:space="preserve"> titleVar</w:t>
      </w:r>
      <w:r>
        <w:rPr>
          <w:rStyle w:val="OperatorTok"/>
        </w:rPr>
        <w:t xml:space="preserve">.</w:t>
      </w:r>
      <w:r>
        <w:rPr>
          <w:rStyle w:val="NormalTok"/>
        </w:rPr>
        <w:t xml:space="preserve">ToIDispatch</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titleVar</w:t>
      </w:r>
      <w:r>
        <w:rPr>
          <w:rStyle w:val="OperatorTok"/>
        </w:rPr>
        <w:t xml:space="preserve">)</w:t>
      </w:r>
      <w:r>
        <w:br/>
      </w:r>
      <w:r>
        <w:br/>
      </w:r>
      <w:r>
        <w:rPr>
          <w:rStyle w:val="NormalTok"/>
        </w:rPr>
        <w:t xml:space="preserve">            linkVar</w:t>
      </w:r>
      <w:r>
        <w:rPr>
          <w:rStyle w:val="OperatorTok"/>
        </w:rPr>
        <w:t xml:space="preserve">,</w:t>
      </w:r>
      <w:r>
        <w:rPr>
          <w:rStyle w:val="NormalTok"/>
        </w:rPr>
        <w:t xml:space="preserve"> _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item</w:t>
      </w:r>
      <w:r>
        <w:rPr>
          <w:rStyle w:val="OperatorTok"/>
        </w:rPr>
        <w:t xml:space="preserve">,</w:t>
      </w:r>
      <w:r>
        <w:rPr>
          <w:rStyle w:val="NormalTok"/>
        </w:rPr>
        <w:t xml:space="preserve"> </w:t>
      </w:r>
      <w:r>
        <w:rPr>
          <w:rStyle w:val="StringTok"/>
        </w:rPr>
        <w:t xml:space="preserve">"selectSingleNode"</w:t>
      </w:r>
      <w:r>
        <w:rPr>
          <w:rStyle w:val="OperatorTok"/>
        </w:rPr>
        <w:t xml:space="preserve">,</w:t>
      </w:r>
      <w:r>
        <w:rPr>
          <w:rStyle w:val="NormalTok"/>
        </w:rPr>
        <w:t xml:space="preserve"> </w:t>
      </w:r>
      <w:r>
        <w:rPr>
          <w:rStyle w:val="StringTok"/>
        </w:rPr>
        <w:t xml:space="preserve">"link"</w:t>
      </w:r>
      <w:r>
        <w:rPr>
          <w:rStyle w:val="OperatorTok"/>
        </w:rPr>
        <w:t xml:space="preserve">)</w:t>
      </w:r>
      <w:r>
        <w:br/>
      </w:r>
      <w:r>
        <w:rPr>
          <w:rStyle w:val="NormalTok"/>
        </w:rPr>
        <w:t xml:space="preserve">            linkNode </w:t>
      </w:r>
      <w:r>
        <w:rPr>
          <w:rStyle w:val="OperatorTok"/>
        </w:rPr>
        <w:t xml:space="preserve">:=</w:t>
      </w:r>
      <w:r>
        <w:rPr>
          <w:rStyle w:val="NormalTok"/>
        </w:rPr>
        <w:t xml:space="preserve"> linkVar</w:t>
      </w:r>
      <w:r>
        <w:rPr>
          <w:rStyle w:val="OperatorTok"/>
        </w:rPr>
        <w:t xml:space="preserve">.</w:t>
      </w:r>
      <w:r>
        <w:rPr>
          <w:rStyle w:val="NormalTok"/>
        </w:rPr>
        <w:t xml:space="preserve">ToIDispatch</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linkVar</w:t>
      </w:r>
      <w:r>
        <w:rPr>
          <w:rStyle w:val="OperatorTok"/>
        </w:rPr>
        <w:t xml:space="preserve">)</w:t>
      </w:r>
      <w:r>
        <w:br/>
      </w:r>
      <w:r>
        <w:br/>
      </w:r>
      <w:r>
        <w:rPr>
          <w:rStyle w:val="NormalTok"/>
        </w:rPr>
        <w:t xml:space="preserve">            title </w:t>
      </w:r>
      <w:r>
        <w:rPr>
          <w:rStyle w:val="OperatorTok"/>
        </w:rPr>
        <w:t xml:space="preserve">:=</w:t>
      </w:r>
      <w:r>
        <w:rPr>
          <w:rStyle w:val="NormalTok"/>
        </w:rPr>
        <w:t xml:space="preserve"> </w:t>
      </w:r>
      <w:r>
        <w:rPr>
          <w:rStyle w:val="StringTok"/>
        </w:rPr>
        <w:t xml:space="preserve">""</w:t>
      </w:r>
      <w:r>
        <w:br/>
      </w:r>
      <w:r>
        <w:rPr>
          <w:rStyle w:val="NormalTok"/>
        </w:rPr>
        <w:t xml:space="preserve">            </w:t>
      </w:r>
      <w:r>
        <w:rPr>
          <w:rStyle w:val="ControlFlowTok"/>
        </w:rPr>
        <w:t xml:space="preserve">if</w:t>
      </w:r>
      <w:r>
        <w:rPr>
          <w:rStyle w:val="NormalTok"/>
        </w:rPr>
        <w:t xml:space="preserve"> titleNode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txtVar</w:t>
      </w:r>
      <w:r>
        <w:rPr>
          <w:rStyle w:val="OperatorTok"/>
        </w:rPr>
        <w:t xml:space="preserve">,</w:t>
      </w:r>
      <w:r>
        <w:rPr>
          <w:rStyle w:val="NormalTok"/>
        </w:rPr>
        <w:t xml:space="preserve"> _ </w:t>
      </w:r>
      <w:r>
        <w:rPr>
          <w:rStyle w:val="OperatorTok"/>
        </w:rPr>
        <w:t xml:space="preserve">:=</w:t>
      </w:r>
      <w:r>
        <w:rPr>
          <w:rStyle w:val="NormalTok"/>
        </w:rPr>
        <w:t xml:space="preserve"> oleutil</w:t>
      </w:r>
      <w:r>
        <w:rPr>
          <w:rStyle w:val="OperatorTok"/>
        </w:rPr>
        <w:t xml:space="preserve">.</w:t>
      </w:r>
      <w:r>
        <w:rPr>
          <w:rStyle w:val="NormalTok"/>
        </w:rPr>
        <w:t xml:space="preserve">GetProperty</w:t>
      </w:r>
      <w:r>
        <w:rPr>
          <w:rStyle w:val="OperatorTok"/>
        </w:rPr>
        <w:t xml:space="preserve">(</w:t>
      </w:r>
      <w:r>
        <w:rPr>
          <w:rStyle w:val="NormalTok"/>
        </w:rPr>
        <w:t xml:space="preserve">titleNode</w:t>
      </w:r>
      <w:r>
        <w:rPr>
          <w:rStyle w:val="OperatorTok"/>
        </w:rPr>
        <w:t xml:space="preserve">,</w:t>
      </w:r>
      <w:r>
        <w:rPr>
          <w:rStyle w:val="NormalTok"/>
        </w:rPr>
        <w:t xml:space="preserve"> </w:t>
      </w:r>
      <w:r>
        <w:rPr>
          <w:rStyle w:val="StringTok"/>
        </w:rPr>
        <w:t xml:space="preserve">"text"</w:t>
      </w:r>
      <w:r>
        <w:rPr>
          <w:rStyle w:val="OperatorTok"/>
        </w:rPr>
        <w:t xml:space="preserve">)</w:t>
      </w:r>
      <w:r>
        <w:br/>
      </w:r>
      <w:r>
        <w:rPr>
          <w:rStyle w:val="NormalTok"/>
        </w:rPr>
        <w:t xml:space="preserve">                title </w:t>
      </w:r>
      <w:r>
        <w:rPr>
          <w:rStyle w:val="OperatorTok"/>
        </w:rPr>
        <w:t xml:space="preserve">=</w:t>
      </w:r>
      <w:r>
        <w:rPr>
          <w:rStyle w:val="NormalTok"/>
        </w:rPr>
        <w:t xml:space="preserve"> txtVar</w:t>
      </w:r>
      <w:r>
        <w:rPr>
          <w:rStyle w:val="OperatorTok"/>
        </w:rPr>
        <w:t xml:space="preserve">.</w:t>
      </w:r>
      <w:r>
        <w:rPr>
          <w:rStyle w:val="NormalTok"/>
        </w:rPr>
        <w:t xml:space="preserve">ToString</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txtVar</w:t>
      </w:r>
      <w:r>
        <w:rPr>
          <w:rStyle w:val="OperatorTok"/>
        </w:rPr>
        <w:t xml:space="preserve">)</w:t>
      </w:r>
      <w:r>
        <w:br/>
      </w:r>
      <w:r>
        <w:rPr>
          <w:rStyle w:val="NormalTok"/>
        </w:rPr>
        <w:t xml:space="preserve">                titleNode</w:t>
      </w:r>
      <w:r>
        <w:rPr>
          <w:rStyle w:val="OperatorTok"/>
        </w:rPr>
        <w:t xml:space="preserve">.</w:t>
      </w:r>
      <w:r>
        <w:rPr>
          <w:rStyle w:val="NormalTok"/>
        </w:rPr>
        <w:t xml:space="preserve">Release</w:t>
      </w:r>
      <w:r>
        <w:rPr>
          <w:rStyle w:val="OperatorTok"/>
        </w:rPr>
        <w:t xml:space="preserve">()</w:t>
      </w:r>
      <w:r>
        <w:br/>
      </w:r>
      <w:r>
        <w:rPr>
          <w:rStyle w:val="NormalTok"/>
        </w:rPr>
        <w:t xml:space="preserve">            </w:t>
      </w:r>
      <w:r>
        <w:rPr>
          <w:rStyle w:val="OperatorTok"/>
        </w:rPr>
        <w:t xml:space="preserve">}</w:t>
      </w:r>
      <w:r>
        <w:br/>
      </w:r>
      <w:r>
        <w:br/>
      </w:r>
      <w:r>
        <w:rPr>
          <w:rStyle w:val="NormalTok"/>
        </w:rPr>
        <w:t xml:space="preserve">            link </w:t>
      </w:r>
      <w:r>
        <w:rPr>
          <w:rStyle w:val="OperatorTok"/>
        </w:rPr>
        <w:t xml:space="preserve">:=</w:t>
      </w:r>
      <w:r>
        <w:rPr>
          <w:rStyle w:val="NormalTok"/>
        </w:rPr>
        <w:t xml:space="preserve"> </w:t>
      </w:r>
      <w:r>
        <w:rPr>
          <w:rStyle w:val="StringTok"/>
        </w:rPr>
        <w:t xml:space="preserve">""</w:t>
      </w:r>
      <w:r>
        <w:br/>
      </w:r>
      <w:r>
        <w:rPr>
          <w:rStyle w:val="NormalTok"/>
        </w:rPr>
        <w:t xml:space="preserve">            </w:t>
      </w:r>
      <w:r>
        <w:rPr>
          <w:rStyle w:val="ControlFlowTok"/>
        </w:rPr>
        <w:t xml:space="preserve">if</w:t>
      </w:r>
      <w:r>
        <w:rPr>
          <w:rStyle w:val="NormalTok"/>
        </w:rPr>
        <w:t xml:space="preserve"> linkNode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txtVar</w:t>
      </w:r>
      <w:r>
        <w:rPr>
          <w:rStyle w:val="OperatorTok"/>
        </w:rPr>
        <w:t xml:space="preserve">,</w:t>
      </w:r>
      <w:r>
        <w:rPr>
          <w:rStyle w:val="NormalTok"/>
        </w:rPr>
        <w:t xml:space="preserve"> _ </w:t>
      </w:r>
      <w:r>
        <w:rPr>
          <w:rStyle w:val="OperatorTok"/>
        </w:rPr>
        <w:t xml:space="preserve">:=</w:t>
      </w:r>
      <w:r>
        <w:rPr>
          <w:rStyle w:val="NormalTok"/>
        </w:rPr>
        <w:t xml:space="preserve"> oleutil</w:t>
      </w:r>
      <w:r>
        <w:rPr>
          <w:rStyle w:val="OperatorTok"/>
        </w:rPr>
        <w:t xml:space="preserve">.</w:t>
      </w:r>
      <w:r>
        <w:rPr>
          <w:rStyle w:val="NormalTok"/>
        </w:rPr>
        <w:t xml:space="preserve">GetProperty</w:t>
      </w:r>
      <w:r>
        <w:rPr>
          <w:rStyle w:val="OperatorTok"/>
        </w:rPr>
        <w:t xml:space="preserve">(</w:t>
      </w:r>
      <w:r>
        <w:rPr>
          <w:rStyle w:val="NormalTok"/>
        </w:rPr>
        <w:t xml:space="preserve">linkNode</w:t>
      </w:r>
      <w:r>
        <w:rPr>
          <w:rStyle w:val="OperatorTok"/>
        </w:rPr>
        <w:t xml:space="preserve">,</w:t>
      </w:r>
      <w:r>
        <w:rPr>
          <w:rStyle w:val="NormalTok"/>
        </w:rPr>
        <w:t xml:space="preserve"> </w:t>
      </w:r>
      <w:r>
        <w:rPr>
          <w:rStyle w:val="StringTok"/>
        </w:rPr>
        <w:t xml:space="preserve">"text"</w:t>
      </w:r>
      <w:r>
        <w:rPr>
          <w:rStyle w:val="OperatorTok"/>
        </w:rPr>
        <w:t xml:space="preserve">)</w:t>
      </w:r>
      <w:r>
        <w:br/>
      </w:r>
      <w:r>
        <w:rPr>
          <w:rStyle w:val="NormalTok"/>
        </w:rPr>
        <w:t xml:space="preserve">                link </w:t>
      </w:r>
      <w:r>
        <w:rPr>
          <w:rStyle w:val="OperatorTok"/>
        </w:rPr>
        <w:t xml:space="preserve">=</w:t>
      </w:r>
      <w:r>
        <w:rPr>
          <w:rStyle w:val="NormalTok"/>
        </w:rPr>
        <w:t xml:space="preserve"> txtVar</w:t>
      </w:r>
      <w:r>
        <w:rPr>
          <w:rStyle w:val="OperatorTok"/>
        </w:rPr>
        <w:t xml:space="preserve">.</w:t>
      </w:r>
      <w:r>
        <w:rPr>
          <w:rStyle w:val="NormalTok"/>
        </w:rPr>
        <w:t xml:space="preserve">ToString</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txtVar</w:t>
      </w:r>
      <w:r>
        <w:rPr>
          <w:rStyle w:val="OperatorTok"/>
        </w:rPr>
        <w:t xml:space="preserve">)</w:t>
      </w:r>
      <w:r>
        <w:br/>
      </w:r>
      <w:r>
        <w:rPr>
          <w:rStyle w:val="NormalTok"/>
        </w:rPr>
        <w:t xml:space="preserve">                linkNode</w:t>
      </w:r>
      <w:r>
        <w:rPr>
          <w:rStyle w:val="OperatorTok"/>
        </w:rPr>
        <w:t xml:space="preserve">.</w:t>
      </w:r>
      <w:r>
        <w:rPr>
          <w:rStyle w:val="NormalTok"/>
        </w:rPr>
        <w:t xml:space="preserve">Release</w:t>
      </w:r>
      <w:r>
        <w:rPr>
          <w:rStyle w:val="OperatorTok"/>
        </w:rPr>
        <w:t xml:space="preserve">()</w:t>
      </w:r>
      <w:r>
        <w:br/>
      </w:r>
      <w:r>
        <w:rPr>
          <w:rStyle w:val="NormalTok"/>
        </w:rPr>
        <w:t xml:space="preserve">            </w:t>
      </w:r>
      <w:r>
        <w:rPr>
          <w:rStyle w:val="OperatorTok"/>
        </w:rPr>
        <w:t xml:space="preserve">}</w:t>
      </w:r>
      <w:r>
        <w:br/>
      </w:r>
      <w:r>
        <w:br/>
      </w:r>
      <w:r>
        <w:rPr>
          <w:rStyle w:val="NormalTok"/>
        </w:rPr>
        <w:t xml:space="preserve">            item</w:t>
      </w:r>
      <w:r>
        <w:rPr>
          <w:rStyle w:val="OperatorTok"/>
        </w:rPr>
        <w:t xml:space="preserve">.</w:t>
      </w:r>
      <w:r>
        <w:rPr>
          <w:rStyle w:val="NormalTok"/>
        </w:rPr>
        <w:t xml:space="preserve">Release</w:t>
      </w:r>
      <w:r>
        <w:rPr>
          <w:rStyle w:val="OperatorTok"/>
        </w:rPr>
        <w:t xml:space="preserve">()</w:t>
      </w:r>
      <w:r>
        <w:br/>
      </w:r>
      <w:r>
        <w:br/>
      </w:r>
      <w:r>
        <w:rPr>
          <w:rStyle w:val="NormalTok"/>
        </w:rPr>
        <w:t xml:space="preserve">            </w:t>
      </w:r>
      <w:r>
        <w:rPr>
          <w:rStyle w:val="ControlFlowTok"/>
        </w:rPr>
        <w:t xml:space="preserve">if</w:t>
      </w:r>
      <w:r>
        <w:rPr>
          <w:rStyle w:val="NormalTok"/>
        </w:rPr>
        <w:t xml:space="preserve"> i </w:t>
      </w:r>
      <w:r>
        <w:rPr>
          <w:rStyle w:val="OperatorTok"/>
        </w:rPr>
        <w:t xml:space="preserve">&gt;</w:t>
      </w:r>
      <w:r>
        <w:rPr>
          <w:rStyle w:val="NormalTok"/>
        </w:rPr>
        <w:t xml:space="preserve"> </w:t>
      </w:r>
      <w:r>
        <w:rPr>
          <w:rStyle w:val="DecValTok"/>
        </w:rPr>
        <w:t xml:space="preserve">0</w:t>
      </w:r>
      <w:r>
        <w:rPr>
          <w:rStyle w:val="NormalTok"/>
        </w:rPr>
        <w:t xml:space="preserve"> </w:t>
      </w:r>
      <w:r>
        <w:rPr>
          <w:rStyle w:val="OperatorTok"/>
        </w:rPr>
        <w:t xml:space="preserve">{</w:t>
      </w:r>
      <w:r>
        <w:br/>
      </w:r>
      <w:r>
        <w:rPr>
          <w:rStyle w:val="NormalTok"/>
        </w:rPr>
        <w:t xml:space="preserve">                sb</w:t>
      </w:r>
      <w:r>
        <w:rPr>
          <w:rStyle w:val="OperatorTok"/>
        </w:rPr>
        <w:t xml:space="preserve">.</w:t>
      </w:r>
      <w:r>
        <w:rPr>
          <w:rStyle w:val="NormalTok"/>
        </w:rPr>
        <w:t xml:space="preserve">WriteString</w:t>
      </w:r>
      <w:r>
        <w:rPr>
          <w:rStyle w:val="OperatorTok"/>
        </w:rPr>
        <w:t xml:space="preserve">(</w:t>
      </w:r>
      <w:r>
        <w:rPr>
          <w:rStyle w:val="StringTok"/>
        </w:rPr>
        <w:t xml:space="preserve">"</w:t>
      </w:r>
      <w:r>
        <w:rPr>
          <w:rStyle w:val="CharTok"/>
        </w:rPr>
        <w:t xml:space="preserve">\r\n</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            sb</w:t>
      </w:r>
      <w:r>
        <w:rPr>
          <w:rStyle w:val="OperatorTok"/>
        </w:rPr>
        <w:t xml:space="preserve">.</w:t>
      </w:r>
      <w:r>
        <w:rPr>
          <w:rStyle w:val="NormalTok"/>
        </w:rPr>
        <w:t xml:space="preserve">WriteString</w:t>
      </w:r>
      <w:r>
        <w:rPr>
          <w:rStyle w:val="OperatorTok"/>
        </w:rPr>
        <w:t xml:space="preserve">(</w:t>
      </w:r>
      <w:r>
        <w:rPr>
          <w:rStyle w:val="NormalTok"/>
        </w:rPr>
        <w:t xml:space="preserve">title</w:t>
      </w:r>
      <w:r>
        <w:rPr>
          <w:rStyle w:val="OperatorTok"/>
        </w:rPr>
        <w:t xml:space="preserve">)</w:t>
      </w:r>
      <w:r>
        <w:br/>
      </w:r>
      <w:r>
        <w:rPr>
          <w:rStyle w:val="NormalTok"/>
        </w:rPr>
        <w:t xml:space="preserve">            sb</w:t>
      </w:r>
      <w:r>
        <w:rPr>
          <w:rStyle w:val="OperatorTok"/>
        </w:rPr>
        <w:t xml:space="preserve">.</w:t>
      </w:r>
      <w:r>
        <w:rPr>
          <w:rStyle w:val="NormalTok"/>
        </w:rPr>
        <w:t xml:space="preserve">WriteString</w:t>
      </w:r>
      <w:r>
        <w:rPr>
          <w:rStyle w:val="OperatorTok"/>
        </w:rPr>
        <w:t xml:space="preserve">(</w:t>
      </w:r>
      <w:r>
        <w:rPr>
          <w:rStyle w:val="StringTok"/>
        </w:rPr>
        <w:t xml:space="preserve">"|"</w:t>
      </w:r>
      <w:r>
        <w:rPr>
          <w:rStyle w:val="OperatorTok"/>
        </w:rPr>
        <w:t xml:space="preserve">)</w:t>
      </w:r>
      <w:r>
        <w:br/>
      </w:r>
      <w:r>
        <w:rPr>
          <w:rStyle w:val="NormalTok"/>
        </w:rPr>
        <w:t xml:space="preserve">            sb</w:t>
      </w:r>
      <w:r>
        <w:rPr>
          <w:rStyle w:val="OperatorTok"/>
        </w:rPr>
        <w:t xml:space="preserve">.</w:t>
      </w:r>
      <w:r>
        <w:rPr>
          <w:rStyle w:val="NormalTok"/>
        </w:rPr>
        <w:t xml:space="preserve">WriteString</w:t>
      </w:r>
      <w:r>
        <w:rPr>
          <w:rStyle w:val="OperatorTok"/>
        </w:rPr>
        <w:t xml:space="preserve">(</w:t>
      </w:r>
      <w:r>
        <w:rPr>
          <w:rStyle w:val="NormalTok"/>
        </w:rPr>
        <w:t xml:space="preserve">link</w:t>
      </w:r>
      <w:r>
        <w:rPr>
          <w:rStyle w:val="OperatorTok"/>
        </w:rPr>
        <w:t xml:space="preserve">)</w:t>
      </w:r>
      <w:r>
        <w:br/>
      </w:r>
      <w:r>
        <w:rPr>
          <w:rStyle w:val="NormalTok"/>
        </w:rPr>
        <w:t xml:space="preserve">        </w:t>
      </w:r>
      <w:r>
        <w:rPr>
          <w:rStyle w:val="OperatorTok"/>
        </w:rPr>
        <w:t xml:space="preserve">}</w:t>
      </w:r>
      <w:r>
        <w:br/>
      </w:r>
      <w:r>
        <w:br/>
      </w:r>
      <w:r>
        <w:rPr>
          <w:rStyle w:val="NormalTok"/>
        </w:rPr>
        <w:t xml:space="preserve">        m</w:t>
      </w:r>
      <w:r>
        <w:rPr>
          <w:rStyle w:val="OperatorTok"/>
        </w:rPr>
        <w:t xml:space="preserve">.</w:t>
      </w:r>
      <w:r>
        <w:rPr>
          <w:rStyle w:val="NormalTok"/>
        </w:rPr>
        <w:t xml:space="preserve">lastError </w:t>
      </w:r>
      <w:r>
        <w:rPr>
          <w:rStyle w:val="OperatorTok"/>
        </w:rPr>
        <w:t xml:space="preserve">=</w:t>
      </w:r>
      <w:r>
        <w:rPr>
          <w:rStyle w:val="NormalTok"/>
        </w:rPr>
        <w:t xml:space="preserve"> </w:t>
      </w:r>
      <w:r>
        <w:rPr>
          <w:rStyle w:val="StringTok"/>
        </w:rPr>
        <w:t xml:space="preserve">""</w:t>
      </w:r>
      <w:r>
        <w:br/>
      </w:r>
      <w:r>
        <w:rPr>
          <w:rStyle w:val="NormalTok"/>
        </w:rPr>
        <w:t xml:space="preserve">        </w:t>
      </w:r>
      <w:r>
        <w:rPr>
          <w:rStyle w:val="ControlFlowTok"/>
        </w:rPr>
        <w:t xml:space="preserve">return</w:t>
      </w:r>
      <w:r>
        <w:rPr>
          <w:rStyle w:val="NormalTok"/>
        </w:rPr>
        <w:t xml:space="preserve"> NewString</w:t>
      </w:r>
      <w:r>
        <w:rPr>
          <w:rStyle w:val="OperatorTok"/>
        </w:rPr>
        <w:t xml:space="preserve">(</w:t>
      </w:r>
      <w:r>
        <w:rPr>
          <w:rStyle w:val="NormalTok"/>
        </w:rPr>
        <w:t xml:space="preserve">sb</w:t>
      </w:r>
      <w:r>
        <w:rPr>
          <w:rStyle w:val="OperatorTok"/>
        </w:rPr>
        <w:t xml:space="preserve">.</w:t>
      </w:r>
      <w:r>
        <w:rPr>
          <w:rStyle w:val="NormalTok"/>
        </w:rPr>
        <w:t xml:space="preserve">String</w:t>
      </w:r>
      <w:r>
        <w:rPr>
          <w:rStyle w:val="OperatorTok"/>
        </w:rPr>
        <w:t xml:space="preserve">())</w:t>
      </w:r>
      <w:r>
        <w:br/>
      </w:r>
      <w:r>
        <w:br/>
      </w:r>
      <w:r>
        <w:rPr>
          <w:rStyle w:val="NormalTok"/>
        </w:rPr>
        <w:t xml:space="preserve">    </w:t>
      </w:r>
      <w:r>
        <w:rPr>
          <w:rStyle w:val="ControlFlowTok"/>
        </w:rPr>
        <w:t xml:space="preserve">case</w:t>
      </w:r>
      <w:r>
        <w:rPr>
          <w:rStyle w:val="NormalTok"/>
        </w:rPr>
        <w:t xml:space="preserve"> strings</w:t>
      </w:r>
      <w:r>
        <w:rPr>
          <w:rStyle w:val="OperatorTok"/>
        </w:rPr>
        <w:t xml:space="preserve">.</w:t>
      </w:r>
      <w:r>
        <w:rPr>
          <w:rStyle w:val="NormalTok"/>
        </w:rPr>
        <w:t xml:space="preserve">EqualFold</w:t>
      </w:r>
      <w:r>
        <w:rPr>
          <w:rStyle w:val="OperatorTok"/>
        </w:rPr>
        <w:t xml:space="preserve">(</w:t>
      </w:r>
      <w:r>
        <w:rPr>
          <w:rStyle w:val="NormalTok"/>
        </w:rPr>
        <w:t xml:space="preserve">methodName</w:t>
      </w:r>
      <w:r>
        <w:rPr>
          <w:rStyle w:val="OperatorTok"/>
        </w:rPr>
        <w:t xml:space="preserve">,</w:t>
      </w:r>
      <w:r>
        <w:rPr>
          <w:rStyle w:val="NormalTok"/>
        </w:rPr>
        <w:t xml:space="preserve"> </w:t>
      </w:r>
      <w:r>
        <w:rPr>
          <w:rStyle w:val="StringTok"/>
        </w:rPr>
        <w:t xml:space="preserve">"close"</w:t>
      </w:r>
      <w:r>
        <w:rPr>
          <w:rStyle w:val="OperatorTok"/>
        </w:rPr>
        <w:t xml:space="preserve">):</w:t>
      </w:r>
      <w:r>
        <w:br/>
      </w:r>
      <w:r>
        <w:rPr>
          <w:rStyle w:val="NormalTok"/>
        </w:rPr>
        <w:t xml:space="preserve">        </w:t>
      </w:r>
      <w:r>
        <w:rPr>
          <w:rStyle w:val="ControlFlowTok"/>
        </w:rPr>
        <w:t xml:space="preserve">if</w:t>
      </w:r>
      <w:r>
        <w:rPr>
          <w:rStyle w:val="NormalTok"/>
        </w:rPr>
        <w:t xml:space="preserve"> m</w:t>
      </w:r>
      <w:r>
        <w:rPr>
          <w:rStyle w:val="OperatorTok"/>
        </w:rPr>
        <w:t xml:space="preserve">.</w:t>
      </w:r>
      <w:r>
        <w:rPr>
          <w:rStyle w:val="NormalTok"/>
        </w:rPr>
        <w:t xml:space="preserve">responseXM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m</w:t>
      </w:r>
      <w:r>
        <w:rPr>
          <w:rStyle w:val="OperatorTok"/>
        </w:rPr>
        <w:t xml:space="preserve">.</w:t>
      </w:r>
      <w:r>
        <w:rPr>
          <w:rStyle w:val="NormalTok"/>
        </w:rPr>
        <w:t xml:space="preserve">responseXM</w:t>
      </w:r>
      <w:r>
        <w:rPr>
          <w:rStyle w:val="OperatorTok"/>
        </w:rPr>
        <w:t xml:space="preserve">.</w:t>
      </w:r>
      <w:r>
        <w:rPr>
          <w:rStyle w:val="NormalTok"/>
        </w:rPr>
        <w:t xml:space="preserve">Release</w:t>
      </w:r>
      <w:r>
        <w:rPr>
          <w:rStyle w:val="OperatorTok"/>
        </w:rPr>
        <w:t xml:space="preserve">()</w:t>
      </w:r>
      <w:r>
        <w:br/>
      </w:r>
      <w:r>
        <w:rPr>
          <w:rStyle w:val="NormalTok"/>
        </w:rPr>
        <w:t xml:space="preserve">            m</w:t>
      </w:r>
      <w:r>
        <w:rPr>
          <w:rStyle w:val="OperatorTok"/>
        </w:rPr>
        <w:t xml:space="preserve">.</w:t>
      </w:r>
      <w:r>
        <w:rPr>
          <w:rStyle w:val="NormalTok"/>
        </w:rPr>
        <w:t xml:space="preserve">responseXM </w:t>
      </w:r>
      <w:r>
        <w:rPr>
          <w:rStyle w:val="OperatorTok"/>
        </w:rPr>
        <w:t xml:space="preserve">=</w:t>
      </w:r>
      <w:r>
        <w:rPr>
          <w:rStyle w:val="NormalTok"/>
        </w:rPr>
        <w:t xml:space="preserve"> </w:t>
      </w:r>
      <w:r>
        <w:rPr>
          <w:rStyle w:val="OtherTok"/>
        </w:rPr>
        <w:t xml:space="preserve">nil</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m</w:t>
      </w:r>
      <w:r>
        <w:rPr>
          <w:rStyle w:val="OperatorTok"/>
        </w:rPr>
        <w:t xml:space="preserve">.</w:t>
      </w:r>
      <w:r>
        <w:rPr>
          <w:rStyle w:val="NormalTok"/>
        </w:rPr>
        <w:t xml:space="preserve">xhr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m</w:t>
      </w:r>
      <w:r>
        <w:rPr>
          <w:rStyle w:val="OperatorTok"/>
        </w:rPr>
        <w:t xml:space="preserve">.</w:t>
      </w:r>
      <w:r>
        <w:rPr>
          <w:rStyle w:val="NormalTok"/>
        </w:rPr>
        <w:t xml:space="preserve">xhr</w:t>
      </w:r>
      <w:r>
        <w:rPr>
          <w:rStyle w:val="OperatorTok"/>
        </w:rPr>
        <w:t xml:space="preserve">.</w:t>
      </w:r>
      <w:r>
        <w:rPr>
          <w:rStyle w:val="NormalTok"/>
        </w:rPr>
        <w:t xml:space="preserve">Release</w:t>
      </w:r>
      <w:r>
        <w:rPr>
          <w:rStyle w:val="OperatorTok"/>
        </w:rPr>
        <w:t xml:space="preserve">()</w:t>
      </w:r>
      <w:r>
        <w:br/>
      </w:r>
      <w:r>
        <w:rPr>
          <w:rStyle w:val="NormalTok"/>
        </w:rPr>
        <w:t xml:space="preserve">            m</w:t>
      </w:r>
      <w:r>
        <w:rPr>
          <w:rStyle w:val="OperatorTok"/>
        </w:rPr>
        <w:t xml:space="preserve">.</w:t>
      </w:r>
      <w:r>
        <w:rPr>
          <w:rStyle w:val="NormalTok"/>
        </w:rPr>
        <w:t xml:space="preserve">xhr </w:t>
      </w:r>
      <w:r>
        <w:rPr>
          <w:rStyle w:val="OperatorTok"/>
        </w:rPr>
        <w:t xml:space="preserve">=</w:t>
      </w:r>
      <w:r>
        <w:rPr>
          <w:rStyle w:val="NormalTok"/>
        </w:rPr>
        <w:t xml:space="preserve"> </w:t>
      </w:r>
      <w:r>
        <w:rPr>
          <w:rStyle w:val="OtherTok"/>
        </w:rPr>
        <w:t xml:space="preserve">nil</w:t>
      </w:r>
      <w:r>
        <w:br/>
      </w:r>
      <w:r>
        <w:rPr>
          <w:rStyle w:val="NormalTok"/>
        </w:rPr>
        <w:t xml:space="preserve">            ole</w:t>
      </w:r>
      <w:r>
        <w:rPr>
          <w:rStyle w:val="OperatorTok"/>
        </w:rPr>
        <w:t xml:space="preserve">.</w:t>
      </w:r>
      <w:r>
        <w:rPr>
          <w:rStyle w:val="NormalTok"/>
        </w:rPr>
        <w:t xml:space="preserve">CoUninitialize</w:t>
      </w:r>
      <w:r>
        <w:rPr>
          <w:rStyle w:val="OperatorTok"/>
        </w:rPr>
        <w:t xml:space="preserve">()</w:t>
      </w:r>
      <w:r>
        <w:br/>
      </w:r>
      <w:r>
        <w:rPr>
          <w:rStyle w:val="NormalTok"/>
        </w:rPr>
        <w:t xml:space="preserve">            runtime</w:t>
      </w:r>
      <w:r>
        <w:rPr>
          <w:rStyle w:val="OperatorTok"/>
        </w:rPr>
        <w:t xml:space="preserve">.</w:t>
      </w:r>
      <w:r>
        <w:rPr>
          <w:rStyle w:val="NormalTok"/>
        </w:rPr>
        <w:t xml:space="preserve">UnlockOSThread</w:t>
      </w:r>
      <w:r>
        <w:rPr>
          <w:rStyle w:val="OperatorTok"/>
        </w:rPr>
        <w:t xml:space="preserve">()</w:t>
      </w:r>
      <w:r>
        <w:br/>
      </w:r>
      <w:r>
        <w:rPr>
          <w:rStyle w:val="NormalTok"/>
        </w:rPr>
        <w:t xml:space="preserve">        </w:t>
      </w:r>
      <w:r>
        <w:rPr>
          <w:rStyle w:val="OperatorTok"/>
        </w:rPr>
        <w:t xml:space="preserve">}</w:t>
      </w:r>
      <w:r>
        <w:br/>
      </w:r>
      <w:r>
        <w:rPr>
          <w:rStyle w:val="NormalTok"/>
        </w:rPr>
        <w:t xml:space="preserve">        m</w:t>
      </w:r>
      <w:r>
        <w:rPr>
          <w:rStyle w:val="OperatorTok"/>
        </w:rPr>
        <w:t xml:space="preserve">.</w:t>
      </w:r>
      <w:r>
        <w:rPr>
          <w:rStyle w:val="NormalTok"/>
        </w:rPr>
        <w:t xml:space="preserve">lastError </w:t>
      </w:r>
      <w:r>
        <w:rPr>
          <w:rStyle w:val="OperatorTok"/>
        </w:rPr>
        <w:t xml:space="preserve">=</w:t>
      </w:r>
      <w:r>
        <w:rPr>
          <w:rStyle w:val="NormalTok"/>
        </w:rPr>
        <w:t xml:space="preserve"> </w:t>
      </w:r>
      <w:r>
        <w:rPr>
          <w:rStyle w:val="StringTok"/>
        </w:rPr>
        <w:t xml:space="preserve">""</w:t>
      </w:r>
      <w:r>
        <w:br/>
      </w:r>
      <w:r>
        <w:rPr>
          <w:rStyle w:val="NormalTok"/>
        </w:rPr>
        <w:t xml:space="preserve">        </w:t>
      </w:r>
      <w:r>
        <w:rPr>
          <w:rStyle w:val="ControlFlowTok"/>
        </w:rPr>
        <w:t xml:space="preserve">return</w:t>
      </w:r>
      <w:r>
        <w:rPr>
          <w:rStyle w:val="NormalTok"/>
        </w:rPr>
        <w:t xml:space="preserve"> Value</w:t>
      </w:r>
      <w:r>
        <w:rPr>
          <w:rStyle w:val="OperatorTok"/>
        </w:rPr>
        <w:t xml:space="preserve">{</w:t>
      </w:r>
      <w:r>
        <w:rPr>
          <w:rStyle w:val="NormalTok"/>
        </w:rPr>
        <w:t xml:space="preserve">Type</w:t>
      </w:r>
      <w:r>
        <w:rPr>
          <w:rStyle w:val="OperatorTok"/>
        </w:rPr>
        <w:t xml:space="preserve">:</w:t>
      </w:r>
      <w:r>
        <w:rPr>
          <w:rStyle w:val="NormalTok"/>
        </w:rPr>
        <w:t xml:space="preserve"> VTEmpty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return</w:t>
      </w:r>
      <w:r>
        <w:rPr>
          <w:rStyle w:val="NormalTok"/>
        </w:rPr>
        <w:t xml:space="preserve"> Value</w:t>
      </w:r>
      <w:r>
        <w:rPr>
          <w:rStyle w:val="OperatorTok"/>
        </w:rPr>
        <w:t xml:space="preserve">{</w:t>
      </w:r>
      <w:r>
        <w:rPr>
          <w:rStyle w:val="NormalTok"/>
        </w:rPr>
        <w:t xml:space="preserve">Type</w:t>
      </w:r>
      <w:r>
        <w:rPr>
          <w:rStyle w:val="OperatorTok"/>
        </w:rPr>
        <w:t xml:space="preserve">:</w:t>
      </w:r>
      <w:r>
        <w:rPr>
          <w:rStyle w:val="NormalTok"/>
        </w:rPr>
        <w:t xml:space="preserve"> VTEmpty</w:t>
      </w:r>
      <w:r>
        <w:rPr>
          <w:rStyle w:val="OperatorTok"/>
        </w:rPr>
        <w:t xml:space="preserve">}</w:t>
      </w:r>
      <w:r>
        <w:br/>
      </w:r>
      <w:r>
        <w:rPr>
          <w:rStyle w:val="OperatorTok"/>
        </w:rPr>
        <w:t xml:space="preserve">}</w:t>
      </w:r>
    </w:p>
    <w:p>
      <w:pPr>
        <w:pStyle w:val="FirstParagraph"/>
      </w:pPr>
      <w:r>
        <w:t xml:space="preserve">One-shot COM calls should still use full defer-based teardown:</w:t>
      </w:r>
    </w:p>
    <w:p>
      <w:pPr>
        <w:pStyle w:val="SourceCode"/>
      </w:pPr>
      <w:r>
        <w:rPr>
          <w:rStyle w:val="KeywordTok"/>
        </w:rPr>
        <w:t xml:space="preserve">func</w:t>
      </w:r>
      <w:r>
        <w:rPr>
          <w:rStyle w:val="NormalTok"/>
        </w:rPr>
        <w:t xml:space="preserve"> fetchStatusCodeOnce</w:t>
      </w:r>
      <w:r>
        <w:rPr>
          <w:rStyle w:val="OperatorTok"/>
        </w:rPr>
        <w:t xml:space="preserve">(</w:t>
      </w:r>
      <w:r>
        <w:rPr>
          <w:rStyle w:val="NormalTok"/>
        </w:rPr>
        <w:t xml:space="preserve">url </w:t>
      </w:r>
      <w:r>
        <w:rPr>
          <w:rStyle w:val="DataTypeTok"/>
        </w:rPr>
        <w:t xml:space="preserve">string</w:t>
      </w:r>
      <w:r>
        <w:rPr>
          <w:rStyle w:val="OperatorTok"/>
        </w:rPr>
        <w:t xml:space="preserve">)</w:t>
      </w:r>
      <w:r>
        <w:rPr>
          <w:rStyle w:val="NormalTok"/>
        </w:rPr>
        <w:t xml:space="preserve"> </w:t>
      </w:r>
      <w:r>
        <w:rPr>
          <w:rStyle w:val="OperatorTok"/>
        </w:rPr>
        <w:t xml:space="preserve">(</w:t>
      </w:r>
      <w:r>
        <w:rPr>
          <w:rStyle w:val="DataTypeTok"/>
        </w:rPr>
        <w:t xml:space="preserve">int32</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runtime</w:t>
      </w:r>
      <w:r>
        <w:rPr>
          <w:rStyle w:val="OperatorTok"/>
        </w:rPr>
        <w:t xml:space="preserve">.</w:t>
      </w:r>
      <w:r>
        <w:rPr>
          <w:rStyle w:val="NormalTok"/>
        </w:rPr>
        <w:t xml:space="preserve">LockOSThread</w:t>
      </w:r>
      <w:r>
        <w:rPr>
          <w:rStyle w:val="OperatorTok"/>
        </w:rPr>
        <w:t xml:space="preserve">()</w:t>
      </w:r>
      <w:r>
        <w:br/>
      </w:r>
      <w:r>
        <w:rPr>
          <w:rStyle w:val="NormalTok"/>
        </w:rPr>
        <w:t xml:space="preserve">    </w:t>
      </w:r>
      <w:r>
        <w:rPr>
          <w:rStyle w:val="ControlFlowTok"/>
        </w:rPr>
        <w:t xml:space="preserve">defer</w:t>
      </w:r>
      <w:r>
        <w:rPr>
          <w:rStyle w:val="NormalTok"/>
        </w:rPr>
        <w:t xml:space="preserve"> runtime</w:t>
      </w:r>
      <w:r>
        <w:rPr>
          <w:rStyle w:val="OperatorTok"/>
        </w:rPr>
        <w:t xml:space="preserve">.</w:t>
      </w:r>
      <w:r>
        <w:rPr>
          <w:rStyle w:val="NormalTok"/>
        </w:rPr>
        <w:t xml:space="preserve">UnlockOSThread</w:t>
      </w:r>
      <w:r>
        <w:rPr>
          <w:rStyle w:val="OperatorTok"/>
        </w:rPr>
        <w:t xml:space="preserve">()</w:t>
      </w:r>
      <w:r>
        <w:br/>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ole</w:t>
      </w:r>
      <w:r>
        <w:rPr>
          <w:rStyle w:val="OperatorTok"/>
        </w:rPr>
        <w:t xml:space="preserve">.</w:t>
      </w:r>
      <w:r>
        <w:rPr>
          <w:rStyle w:val="NormalTok"/>
        </w:rPr>
        <w:t xml:space="preserve">CoInitialize</w:t>
      </w:r>
      <w:r>
        <w:rPr>
          <w:rStyle w:val="OperatorTok"/>
        </w:rPr>
        <w:t xml:space="preserve">(</w:t>
      </w:r>
      <w:r>
        <w:rPr>
          <w:rStyle w:val="DecValTok"/>
        </w:rPr>
        <w:t xml:space="preserve">0</w:t>
      </w:r>
      <w:r>
        <w:rPr>
          <w:rStyle w:val="OperatorTok"/>
        </w:rPr>
        <w:t xml:space="preserve">);</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rPr>
          <w:rStyle w:val="NormalTok"/>
        </w:rPr>
        <w:t xml:space="preserve"> err</w:t>
      </w:r>
      <w:r>
        <w:br/>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ole</w:t>
      </w:r>
      <w:r>
        <w:rPr>
          <w:rStyle w:val="OperatorTok"/>
        </w:rPr>
        <w:t xml:space="preserve">.</w:t>
      </w:r>
      <w:r>
        <w:rPr>
          <w:rStyle w:val="NormalTok"/>
        </w:rPr>
        <w:t xml:space="preserve">CoUninitialize</w:t>
      </w:r>
      <w:r>
        <w:rPr>
          <w:rStyle w:val="OperatorTok"/>
        </w:rPr>
        <w:t xml:space="preserve">()</w:t>
      </w:r>
      <w:r>
        <w:br/>
      </w:r>
      <w:r>
        <w:br/>
      </w:r>
      <w:r>
        <w:rPr>
          <w:rStyle w:val="NormalTok"/>
        </w:rPr>
        <w:t xml:space="preserve">    unknown</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CreateObject</w:t>
      </w:r>
      <w:r>
        <w:rPr>
          <w:rStyle w:val="OperatorTok"/>
        </w:rPr>
        <w:t xml:space="preserve">(</w:t>
      </w:r>
      <w:r>
        <w:rPr>
          <w:rStyle w:val="StringTok"/>
        </w:rPr>
        <w:t xml:space="preserve">"Microsoft.XMLHTTP"</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rPr>
          <w:rStyle w:val="NormalTok"/>
        </w:rPr>
        <w:t xml:space="preserve"> err</w:t>
      </w:r>
      <w:r>
        <w:br/>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unknown</w:t>
      </w:r>
      <w:r>
        <w:rPr>
          <w:rStyle w:val="OperatorTok"/>
        </w:rPr>
        <w:t xml:space="preserve">.</w:t>
      </w:r>
      <w:r>
        <w:rPr>
          <w:rStyle w:val="NormalTok"/>
        </w:rPr>
        <w:t xml:space="preserve">Release</w:t>
      </w:r>
      <w:r>
        <w:rPr>
          <w:rStyle w:val="OperatorTok"/>
        </w:rPr>
        <w:t xml:space="preserve">()</w:t>
      </w:r>
      <w:r>
        <w:br/>
      </w:r>
      <w:r>
        <w:br/>
      </w:r>
      <w:r>
        <w:rPr>
          <w:rStyle w:val="NormalTok"/>
        </w:rPr>
        <w:t xml:space="preserve">    xhr</w:t>
      </w:r>
      <w:r>
        <w:rPr>
          <w:rStyle w:val="OperatorTok"/>
        </w:rPr>
        <w:t xml:space="preserve">,</w:t>
      </w:r>
      <w:r>
        <w:rPr>
          <w:rStyle w:val="NormalTok"/>
        </w:rPr>
        <w:t xml:space="preserve"> err </w:t>
      </w:r>
      <w:r>
        <w:rPr>
          <w:rStyle w:val="OperatorTok"/>
        </w:rPr>
        <w:t xml:space="preserve">:=</w:t>
      </w:r>
      <w:r>
        <w:rPr>
          <w:rStyle w:val="NormalTok"/>
        </w:rPr>
        <w:t xml:space="preserve"> unknown</w:t>
      </w:r>
      <w:r>
        <w:rPr>
          <w:rStyle w:val="OperatorTok"/>
        </w:rPr>
        <w:t xml:space="preserve">.</w:t>
      </w:r>
      <w:r>
        <w:rPr>
          <w:rStyle w:val="NormalTok"/>
        </w:rPr>
        <w:t xml:space="preserve">QueryInterface</w:t>
      </w:r>
      <w:r>
        <w:rPr>
          <w:rStyle w:val="OperatorTok"/>
        </w:rPr>
        <w:t xml:space="preserve">(</w:t>
      </w:r>
      <w:r>
        <w:rPr>
          <w:rStyle w:val="NormalTok"/>
        </w:rPr>
        <w:t xml:space="preserve">ole</w:t>
      </w:r>
      <w:r>
        <w:rPr>
          <w:rStyle w:val="OperatorTok"/>
        </w:rPr>
        <w:t xml:space="preserve">.</w:t>
      </w:r>
      <w:r>
        <w:rPr>
          <w:rStyle w:val="NormalTok"/>
        </w:rPr>
        <w:t xml:space="preserve">IID_IDispatch</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rPr>
          <w:rStyle w:val="NormalTok"/>
        </w:rPr>
        <w:t xml:space="preserve"> err</w:t>
      </w:r>
      <w:r>
        <w:br/>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xhr</w:t>
      </w:r>
      <w:r>
        <w:rPr>
          <w:rStyle w:val="OperatorTok"/>
        </w:rPr>
        <w:t xml:space="preserve">.</w:t>
      </w:r>
      <w:r>
        <w:rPr>
          <w:rStyle w:val="NormalTok"/>
        </w:rPr>
        <w:t xml:space="preserve">Release</w:t>
      </w:r>
      <w:r>
        <w:rPr>
          <w:rStyle w:val="OperatorTok"/>
        </w:rPr>
        <w:t xml:space="preserve">()</w:t>
      </w:r>
      <w:r>
        <w:br/>
      </w:r>
      <w:r>
        <w:br/>
      </w:r>
      <w:r>
        <w:rPr>
          <w:rStyle w:val="NormalTok"/>
        </w:rPr>
        <w:t xml:space="preserve">    openVar</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xhr</w:t>
      </w:r>
      <w:r>
        <w:rPr>
          <w:rStyle w:val="OperatorTok"/>
        </w:rPr>
        <w:t xml:space="preserve">,</w:t>
      </w:r>
      <w:r>
        <w:rPr>
          <w:rStyle w:val="NormalTok"/>
        </w:rPr>
        <w:t xml:space="preserve"> </w:t>
      </w:r>
      <w:r>
        <w:rPr>
          <w:rStyle w:val="StringTok"/>
        </w:rPr>
        <w:t xml:space="preserve">"open"</w:t>
      </w:r>
      <w:r>
        <w:rPr>
          <w:rStyle w:val="OperatorTok"/>
        </w:rPr>
        <w:t xml:space="preserve">,</w:t>
      </w:r>
      <w:r>
        <w:rPr>
          <w:rStyle w:val="NormalTok"/>
        </w:rPr>
        <w:t xml:space="preserve"> </w:t>
      </w:r>
      <w:r>
        <w:rPr>
          <w:rStyle w:val="StringTok"/>
        </w:rPr>
        <w:t xml:space="preserve">"GET"</w:t>
      </w:r>
      <w:r>
        <w:rPr>
          <w:rStyle w:val="OperatorTok"/>
        </w:rPr>
        <w:t xml:space="preserve">,</w:t>
      </w:r>
      <w:r>
        <w:rPr>
          <w:rStyle w:val="NormalTok"/>
        </w:rPr>
        <w:t xml:space="preserve"> url</w:t>
      </w:r>
      <w:r>
        <w:rPr>
          <w:rStyle w:val="OperatorTok"/>
        </w:rPr>
        <w:t xml:space="preserve">,</w:t>
      </w:r>
      <w:r>
        <w:rPr>
          <w:rStyle w:val="NormalTok"/>
        </w:rPr>
        <w:t xml:space="preserve"> </w:t>
      </w:r>
      <w:r>
        <w:rPr>
          <w:rStyle w:val="OtherTok"/>
        </w:rPr>
        <w:t xml:space="preserve">false</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rPr>
          <w:rStyle w:val="NormalTok"/>
        </w:rPr>
        <w:t xml:space="preserve"> err</w:t>
      </w:r>
      <w:r>
        <w:br/>
      </w:r>
      <w:r>
        <w:rPr>
          <w:rStyle w:val="NormalTok"/>
        </w:rPr>
        <w:t xml:space="preserve">    </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openVar</w:t>
      </w:r>
      <w:r>
        <w:rPr>
          <w:rStyle w:val="OperatorTok"/>
        </w:rPr>
        <w:t xml:space="preserve">)</w:t>
      </w:r>
      <w:r>
        <w:br/>
      </w:r>
      <w:r>
        <w:br/>
      </w:r>
      <w:r>
        <w:rPr>
          <w:rStyle w:val="NormalTok"/>
        </w:rPr>
        <w:t xml:space="preserve">    sendVar</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CallMethod</w:t>
      </w:r>
      <w:r>
        <w:rPr>
          <w:rStyle w:val="OperatorTok"/>
        </w:rPr>
        <w:t xml:space="preserve">(</w:t>
      </w:r>
      <w:r>
        <w:rPr>
          <w:rStyle w:val="NormalTok"/>
        </w:rPr>
        <w:t xml:space="preserve">xhr</w:t>
      </w:r>
      <w:r>
        <w:rPr>
          <w:rStyle w:val="OperatorTok"/>
        </w:rPr>
        <w:t xml:space="preserve">,</w:t>
      </w:r>
      <w:r>
        <w:rPr>
          <w:rStyle w:val="NormalTok"/>
        </w:rPr>
        <w:t xml:space="preserve"> </w:t>
      </w:r>
      <w:r>
        <w:rPr>
          <w:rStyle w:val="StringTok"/>
        </w:rPr>
        <w:t xml:space="preserve">"send"</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rPr>
          <w:rStyle w:val="NormalTok"/>
        </w:rPr>
        <w:t xml:space="preserve"> err</w:t>
      </w:r>
      <w:r>
        <w:br/>
      </w:r>
      <w:r>
        <w:rPr>
          <w:rStyle w:val="NormalTok"/>
        </w:rPr>
        <w:t xml:space="preserve">    </w:t>
      </w:r>
      <w:r>
        <w:rPr>
          <w:rStyle w:val="OperatorTok"/>
        </w:rPr>
        <w:t xml:space="preserve">}</w:t>
      </w:r>
      <w:r>
        <w:br/>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sendVar</w:t>
      </w:r>
      <w:r>
        <w:rPr>
          <w:rStyle w:val="OperatorTok"/>
        </w:rPr>
        <w:t xml:space="preserve">)</w:t>
      </w:r>
      <w:r>
        <w:br/>
      </w:r>
      <w:r>
        <w:br/>
      </w:r>
      <w:r>
        <w:rPr>
          <w:rStyle w:val="NormalTok"/>
        </w:rPr>
        <w:t xml:space="preserve">    statusVar</w:t>
      </w:r>
      <w:r>
        <w:rPr>
          <w:rStyle w:val="OperatorTok"/>
        </w:rPr>
        <w:t xml:space="preserve">,</w:t>
      </w:r>
      <w:r>
        <w:rPr>
          <w:rStyle w:val="NormalTok"/>
        </w:rPr>
        <w:t xml:space="preserve"> err </w:t>
      </w:r>
      <w:r>
        <w:rPr>
          <w:rStyle w:val="OperatorTok"/>
        </w:rPr>
        <w:t xml:space="preserve">:=</w:t>
      </w:r>
      <w:r>
        <w:rPr>
          <w:rStyle w:val="NormalTok"/>
        </w:rPr>
        <w:t xml:space="preserve"> oleutil</w:t>
      </w:r>
      <w:r>
        <w:rPr>
          <w:rStyle w:val="OperatorTok"/>
        </w:rPr>
        <w:t xml:space="preserve">.</w:t>
      </w:r>
      <w:r>
        <w:rPr>
          <w:rStyle w:val="NormalTok"/>
        </w:rPr>
        <w:t xml:space="preserve">GetProperty</w:t>
      </w:r>
      <w:r>
        <w:rPr>
          <w:rStyle w:val="OperatorTok"/>
        </w:rPr>
        <w:t xml:space="preserve">(</w:t>
      </w:r>
      <w:r>
        <w:rPr>
          <w:rStyle w:val="NormalTok"/>
        </w:rPr>
        <w:t xml:space="preserve">xhr</w:t>
      </w:r>
      <w:r>
        <w:rPr>
          <w:rStyle w:val="OperatorTok"/>
        </w:rPr>
        <w:t xml:space="preserve">,</w:t>
      </w:r>
      <w:r>
        <w:rPr>
          <w:rStyle w:val="NormalTok"/>
        </w:rPr>
        <w:t xml:space="preserve"> </w:t>
      </w:r>
      <w:r>
        <w:rPr>
          <w:rStyle w:val="StringTok"/>
        </w:rPr>
        <w:t xml:space="preserve">"status"</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rPr>
          <w:rStyle w:val="NormalTok"/>
        </w:rPr>
        <w:t xml:space="preserve"> err</w:t>
      </w:r>
      <w:r>
        <w:br/>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ole</w:t>
      </w:r>
      <w:r>
        <w:rPr>
          <w:rStyle w:val="OperatorTok"/>
        </w:rPr>
        <w:t xml:space="preserve">.</w:t>
      </w:r>
      <w:r>
        <w:rPr>
          <w:rStyle w:val="NormalTok"/>
        </w:rPr>
        <w:t xml:space="preserve">VariantClear</w:t>
      </w:r>
      <w:r>
        <w:rPr>
          <w:rStyle w:val="OperatorTok"/>
        </w:rPr>
        <w:t xml:space="preserve">(&amp;</w:t>
      </w:r>
      <w:r>
        <w:rPr>
          <w:rStyle w:val="NormalTok"/>
        </w:rPr>
        <w:t xml:space="preserve">statusVar</w:t>
      </w:r>
      <w:r>
        <w:rPr>
          <w:rStyle w:val="OperatorTok"/>
        </w:rPr>
        <w:t xml:space="preserve">)</w:t>
      </w:r>
      <w:r>
        <w:br/>
      </w:r>
      <w:r>
        <w:br/>
      </w:r>
      <w:r>
        <w:rPr>
          <w:rStyle w:val="NormalTok"/>
        </w:rPr>
        <w:t xml:space="preserve">    </w:t>
      </w:r>
      <w:r>
        <w:rPr>
          <w:rStyle w:val="ControlFlowTok"/>
        </w:rPr>
        <w:t xml:space="preserve">return</w:t>
      </w:r>
      <w:r>
        <w:rPr>
          <w:rStyle w:val="NormalTok"/>
        </w:rPr>
        <w:t xml:space="preserve"> </w:t>
      </w:r>
      <w:r>
        <w:rPr>
          <w:rStyle w:val="DataTypeTok"/>
        </w:rPr>
        <w:t xml:space="preserve">int32</w:t>
      </w:r>
      <w:r>
        <w:rPr>
          <w:rStyle w:val="OperatorTok"/>
        </w:rPr>
        <w:t xml:space="preserve">(</w:t>
      </w:r>
      <w:r>
        <w:rPr>
          <w:rStyle w:val="NormalTok"/>
        </w:rPr>
        <w:t xml:space="preserve">statusVar</w:t>
      </w:r>
      <w:r>
        <w:rPr>
          <w:rStyle w:val="OperatorTok"/>
        </w:rPr>
        <w:t xml:space="preserve">.</w:t>
      </w:r>
      <w:r>
        <w:rPr>
          <w:rStyle w:val="NormalTok"/>
        </w:rPr>
        <w:t xml:space="preserve">Val</w:t>
      </w:r>
      <w:r>
        <w:rPr>
          <w:rStyle w:val="OperatorTok"/>
        </w:rPr>
        <w:t xml:space="preserve">),</w:t>
      </w:r>
      <w:r>
        <w:rPr>
          <w:rStyle w:val="NormalTok"/>
        </w:rPr>
        <w:t xml:space="preserve"> </w:t>
      </w:r>
      <w:r>
        <w:rPr>
          <w:rStyle w:val="OtherTok"/>
        </w:rPr>
        <w:t xml:space="preserve">nil</w:t>
      </w:r>
      <w:r>
        <w:br/>
      </w:r>
      <w:r>
        <w:rPr>
          <w:rStyle w:val="OperatorTok"/>
        </w:rPr>
        <w:t xml:space="preserve">}</w:t>
      </w:r>
    </w:p>
    <w:bookmarkEnd w:id="272"/>
    <w:bookmarkStart w:id="273" w:name="Xf56076c120a09eb2b6bfa4d85fc63a9dd2bc6bd"/>
    <w:p>
      <w:pPr>
        <w:pStyle w:val="Heading3"/>
      </w:pPr>
      <w:r>
        <w:t xml:space="preserve">2. Add the non-Windows or disabled fallback file</w:t>
      </w:r>
    </w:p>
    <w:p>
      <w:pPr>
        <w:pStyle w:val="FirstParagraph"/>
      </w:pPr>
      <w:r>
        <w:t xml:space="preserve">Create</w:t>
      </w:r>
      <w:r>
        <w:t xml:space="preserve"> </w:t>
      </w:r>
      <w:r>
        <w:rPr>
          <w:rStyle w:val="VerbatimChar"/>
        </w:rPr>
        <w:t xml:space="preserve">axonvm/lib_msxmlcom_disabled.go</w:t>
      </w:r>
      <w:r>
        <w:t xml:space="preserve"> </w:t>
      </w:r>
      <w:r>
        <w:t xml:space="preserve">with this build tag:</w:t>
      </w:r>
    </w:p>
    <w:p>
      <w:pPr>
        <w:pStyle w:val="SourceCode"/>
      </w:pPr>
      <w:r>
        <w:rPr>
          <w:rStyle w:val="CommentTok"/>
        </w:rPr>
        <w:t xml:space="preserve">//go:build !windows || lib_msxmlcom_disabled</w:t>
      </w:r>
    </w:p>
    <w:p>
      <w:pPr>
        <w:pStyle w:val="FirstParagraph"/>
      </w:pPr>
      <w:r>
        <w:t xml:space="preserve">Use a disabled stub that fails gracefully:</w:t>
      </w:r>
    </w:p>
    <w:p>
      <w:pPr>
        <w:pStyle w:val="SourceCode"/>
      </w:pPr>
      <w:r>
        <w:rPr>
          <w:rStyle w:val="CommentTok"/>
        </w:rPr>
        <w:t xml:space="preserve">//go:build !windows || lib_msxmlcom_disabled</w:t>
      </w:r>
      <w:r>
        <w:br/>
      </w:r>
      <w:r>
        <w:br/>
      </w:r>
      <w:r>
        <w:rPr>
          <w:rStyle w:val="KeywordTok"/>
        </w:rPr>
        <w:t xml:space="preserve">package</w:t>
      </w:r>
      <w:r>
        <w:rPr>
          <w:rStyle w:val="NormalTok"/>
        </w:rPr>
        <w:t xml:space="preserve"> axonvm</w:t>
      </w:r>
      <w:r>
        <w:br/>
      </w:r>
      <w:r>
        <w:br/>
      </w:r>
      <w:r>
        <w:rPr>
          <w:rStyle w:val="KeywordTok"/>
        </w:rPr>
        <w:t xml:space="preserve">type</w:t>
      </w:r>
      <w:r>
        <w:rPr>
          <w:rStyle w:val="NormalTok"/>
        </w:rPr>
        <w:t xml:space="preserve"> MSXMLCOM </w:t>
      </w:r>
      <w:r>
        <w:rPr>
          <w:rStyle w:val="KeywordTok"/>
        </w:rPr>
        <w:t xml:space="preserve">struct</w:t>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vm </w:t>
      </w:r>
      <w:r>
        <w:rPr>
          <w:rStyle w:val="OperatorTok"/>
        </w:rPr>
        <w:t xml:space="preserve">*</w:t>
      </w:r>
      <w:r>
        <w:rPr>
          <w:rStyle w:val="NormalTok"/>
        </w:rPr>
        <w:t xml:space="preserve">VM</w:t>
      </w:r>
      <w:r>
        <w:rPr>
          <w:rStyle w:val="OperatorTok"/>
        </w:rPr>
        <w:t xml:space="preserve">)</w:t>
      </w:r>
      <w:r>
        <w:rPr>
          <w:rStyle w:val="NormalTok"/>
        </w:rPr>
        <w:t xml:space="preserve"> newMSXMLCOMObject</w:t>
      </w:r>
      <w:r>
        <w:rPr>
          <w:rStyle w:val="OperatorTok"/>
        </w:rPr>
        <w:t xml:space="preserve">()</w:t>
      </w:r>
      <w:r>
        <w:rPr>
          <w:rStyle w:val="NormalTok"/>
        </w:rPr>
        <w:t xml:space="preserve"> Value </w:t>
      </w:r>
      <w:r>
        <w:rPr>
          <w:rStyle w:val="OperatorTok"/>
        </w:rPr>
        <w:t xml:space="preserve">{</w:t>
      </w:r>
      <w:r>
        <w:br/>
      </w:r>
      <w:r>
        <w:rPr>
          <w:rStyle w:val="NormalTok"/>
        </w:rPr>
        <w:t xml:space="preserve">    panicLibraryDisabled</w:t>
      </w:r>
      <w:r>
        <w:rPr>
          <w:rStyle w:val="OperatorTok"/>
        </w:rPr>
        <w:t xml:space="preserve">(</w:t>
      </w:r>
      <w:r>
        <w:rPr>
          <w:rStyle w:val="StringTok"/>
        </w:rPr>
        <w:t xml:space="preserve">"msxmlcom"</w:t>
      </w:r>
      <w:r>
        <w:rPr>
          <w:rStyle w:val="OperatorTok"/>
        </w:rPr>
        <w:t xml:space="preserve">,</w:t>
      </w:r>
      <w:r>
        <w:rPr>
          <w:rStyle w:val="NormalTok"/>
        </w:rPr>
        <w:t xml:space="preserve"> </w:t>
      </w:r>
      <w:r>
        <w:rPr>
          <w:rStyle w:val="StringTok"/>
        </w:rPr>
        <w:t xml:space="preserve">"MSXML.COM library"</w:t>
      </w:r>
      <w:r>
        <w:rPr>
          <w:rStyle w:val="OperatorTok"/>
        </w:rPr>
        <w:t xml:space="preserve">)</w:t>
      </w:r>
      <w:r>
        <w:br/>
      </w:r>
      <w:r>
        <w:rPr>
          <w:rStyle w:val="NormalTok"/>
        </w:rPr>
        <w:t xml:space="preserve">    </w:t>
      </w:r>
      <w:r>
        <w:rPr>
          <w:rStyle w:val="ControlFlowTok"/>
        </w:rPr>
        <w:t xml:space="preserve">return</w:t>
      </w:r>
      <w:r>
        <w:rPr>
          <w:rStyle w:val="NormalTok"/>
        </w:rPr>
        <w:t xml:space="preserve"> Value</w:t>
      </w:r>
      <w:r>
        <w:rPr>
          <w:rStyle w:val="OperatorTok"/>
        </w:rPr>
        <w:t xml:space="preserve">{</w:t>
      </w:r>
      <w:r>
        <w:rPr>
          <w:rStyle w:val="NormalTok"/>
        </w:rPr>
        <w:t xml:space="preserve">Type</w:t>
      </w:r>
      <w:r>
        <w:rPr>
          <w:rStyle w:val="OperatorTok"/>
        </w:rPr>
        <w:t xml:space="preserve">:</w:t>
      </w:r>
      <w:r>
        <w:rPr>
          <w:rStyle w:val="NormalTok"/>
        </w:rPr>
        <w:t xml:space="preserve"> VTEmpty</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MSXMLCOM</w:t>
      </w:r>
      <w:r>
        <w:rPr>
          <w:rStyle w:val="OperatorTok"/>
        </w:rPr>
        <w:t xml:space="preserve">)</w:t>
      </w:r>
      <w:r>
        <w:rPr>
          <w:rStyle w:val="NormalTok"/>
        </w:rPr>
        <w:t xml:space="preserve"> DispatchPropertyGet</w:t>
      </w:r>
      <w:r>
        <w:rPr>
          <w:rStyle w:val="OperatorTok"/>
        </w:rPr>
        <w:t xml:space="preserve">(</w:t>
      </w:r>
      <w:r>
        <w:rPr>
          <w:rStyle w:val="NormalTok"/>
        </w:rPr>
        <w:t xml:space="preserve">propertyName </w:t>
      </w:r>
      <w:r>
        <w:rPr>
          <w:rStyle w:val="DataTypeTok"/>
        </w:rPr>
        <w:t xml:space="preserve">string</w:t>
      </w:r>
      <w:r>
        <w:rPr>
          <w:rStyle w:val="OperatorTok"/>
        </w:rPr>
        <w:t xml:space="preserve">)</w:t>
      </w:r>
      <w:r>
        <w:rPr>
          <w:rStyle w:val="NormalTok"/>
        </w:rPr>
        <w:t xml:space="preserve"> Value              </w:t>
      </w:r>
      <w:r>
        <w:rPr>
          <w:rStyle w:val="OperatorTok"/>
        </w:rPr>
        <w:t xml:space="preserve">{</w:t>
      </w:r>
      <w:r>
        <w:rPr>
          <w:rStyle w:val="NormalTok"/>
        </w:rPr>
        <w:t xml:space="preserve"> </w:t>
      </w:r>
      <w:r>
        <w:rPr>
          <w:rStyle w:val="ControlFlowTok"/>
        </w:rPr>
        <w:t xml:space="preserve">return</w:t>
      </w:r>
      <w:r>
        <w:rPr>
          <w:rStyle w:val="NormalTok"/>
        </w:rPr>
        <w:t xml:space="preserve"> Value</w:t>
      </w:r>
      <w:r>
        <w:rPr>
          <w:rStyle w:val="OperatorTok"/>
        </w:rPr>
        <w:t xml:space="preserve">{</w:t>
      </w:r>
      <w:r>
        <w:rPr>
          <w:rStyle w:val="NormalTok"/>
        </w:rPr>
        <w:t xml:space="preserve">Type</w:t>
      </w:r>
      <w:r>
        <w:rPr>
          <w:rStyle w:val="OperatorTok"/>
        </w:rPr>
        <w:t xml:space="preserve">:</w:t>
      </w:r>
      <w:r>
        <w:rPr>
          <w:rStyle w:val="NormalTok"/>
        </w:rPr>
        <w:t xml:space="preserve"> VTEmpty</w:t>
      </w:r>
      <w:r>
        <w:rPr>
          <w:rStyle w:val="OperatorTok"/>
        </w:rPr>
        <w:t xml:space="preserve">}</w:t>
      </w:r>
      <w:r>
        <w:rPr>
          <w:rStyle w:val="NormalTok"/>
        </w:rPr>
        <w:t xml:space="preserve"> </w:t>
      </w:r>
      <w:r>
        <w:rPr>
          <w:rStyle w:val="OperatorTok"/>
        </w:rPr>
        <w:t xml:space="preserve">}</w:t>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MSXMLCOM</w:t>
      </w:r>
      <w:r>
        <w:rPr>
          <w:rStyle w:val="OperatorTok"/>
        </w:rPr>
        <w:t xml:space="preserve">)</w:t>
      </w:r>
      <w:r>
        <w:rPr>
          <w:rStyle w:val="NormalTok"/>
        </w:rPr>
        <w:t xml:space="preserve"> DispatchPropertySet</w:t>
      </w:r>
      <w:r>
        <w:rPr>
          <w:rStyle w:val="OperatorTok"/>
        </w:rPr>
        <w:t xml:space="preserve">(</w:t>
      </w:r>
      <w:r>
        <w:rPr>
          <w:rStyle w:val="NormalTok"/>
        </w:rPr>
        <w:t xml:space="preserve">propertyName </w:t>
      </w:r>
      <w:r>
        <w:rPr>
          <w:rStyle w:val="DataTypeTok"/>
        </w:rPr>
        <w:t xml:space="preserve">string</w:t>
      </w:r>
      <w:r>
        <w:rPr>
          <w:rStyle w:val="OperatorTok"/>
        </w:rPr>
        <w:t xml:space="preserve">,</w:t>
      </w:r>
      <w:r>
        <w:rPr>
          <w:rStyle w:val="NormalTok"/>
        </w:rPr>
        <w:t xml:space="preserve"> args </w:t>
      </w:r>
      <w:r>
        <w:rPr>
          <w:rStyle w:val="OperatorTok"/>
        </w:rPr>
        <w:t xml:space="preserve">[]</w:t>
      </w:r>
      <w:r>
        <w:rPr>
          <w:rStyle w:val="NormalTok"/>
        </w:rPr>
        <w:t xml:space="preserve">Value</w:t>
      </w:r>
      <w:r>
        <w:rPr>
          <w:rStyle w:val="OperatorTok"/>
        </w:rPr>
        <w:t xml:space="preserve">)</w:t>
      </w:r>
      <w:r>
        <w:rPr>
          <w:rStyle w:val="NormalTok"/>
        </w:rPr>
        <w:t xml:space="preserve"> </w:t>
      </w:r>
      <w:r>
        <w:rPr>
          <w:rStyle w:val="DataTypeTok"/>
        </w:rPr>
        <w:t xml:space="preserve">bool</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OtherTok"/>
        </w:rPr>
        <w:t xml:space="preserve">false</w:t>
      </w:r>
      <w:r>
        <w:rPr>
          <w:rStyle w:val="NormalTok"/>
        </w:rPr>
        <w:t xml:space="preserve"> </w:t>
      </w:r>
      <w:r>
        <w:rPr>
          <w:rStyle w:val="OperatorTok"/>
        </w:rPr>
        <w:t xml:space="preserve">}</w:t>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MSXMLCOM</w:t>
      </w:r>
      <w:r>
        <w:rPr>
          <w:rStyle w:val="OperatorTok"/>
        </w:rPr>
        <w:t xml:space="preserve">)</w:t>
      </w:r>
      <w:r>
        <w:rPr>
          <w:rStyle w:val="NormalTok"/>
        </w:rPr>
        <w:t xml:space="preserve"> DispatchMethod</w:t>
      </w:r>
      <w:r>
        <w:rPr>
          <w:rStyle w:val="OperatorTok"/>
        </w:rPr>
        <w:t xml:space="preserve">(</w:t>
      </w:r>
      <w:r>
        <w:rPr>
          <w:rStyle w:val="NormalTok"/>
        </w:rPr>
        <w:t xml:space="preserve">methodName </w:t>
      </w:r>
      <w:r>
        <w:rPr>
          <w:rStyle w:val="DataTypeTok"/>
        </w:rPr>
        <w:t xml:space="preserve">string</w:t>
      </w:r>
      <w:r>
        <w:rPr>
          <w:rStyle w:val="OperatorTok"/>
        </w:rPr>
        <w:t xml:space="preserve">,</w:t>
      </w:r>
      <w:r>
        <w:rPr>
          <w:rStyle w:val="NormalTok"/>
        </w:rPr>
        <w:t xml:space="preserve"> args </w:t>
      </w:r>
      <w:r>
        <w:rPr>
          <w:rStyle w:val="OperatorTok"/>
        </w:rPr>
        <w:t xml:space="preserve">[]</w:t>
      </w:r>
      <w:r>
        <w:rPr>
          <w:rStyle w:val="NormalTok"/>
        </w:rPr>
        <w:t xml:space="preserve">Value</w:t>
      </w:r>
      <w:r>
        <w:rPr>
          <w:rStyle w:val="OperatorTok"/>
        </w:rPr>
        <w:t xml:space="preserve">)</w:t>
      </w:r>
      <w:r>
        <w:rPr>
          <w:rStyle w:val="NormalTok"/>
        </w:rPr>
        <w:t xml:space="preserve"> Value       </w:t>
      </w:r>
      <w:r>
        <w:rPr>
          <w:rStyle w:val="OperatorTok"/>
        </w:rPr>
        <w:t xml:space="preserve">{</w:t>
      </w:r>
      <w:r>
        <w:rPr>
          <w:rStyle w:val="NormalTok"/>
        </w:rPr>
        <w:t xml:space="preserve"> </w:t>
      </w:r>
      <w:r>
        <w:rPr>
          <w:rStyle w:val="ControlFlowTok"/>
        </w:rPr>
        <w:t xml:space="preserve">return</w:t>
      </w:r>
      <w:r>
        <w:rPr>
          <w:rStyle w:val="NormalTok"/>
        </w:rPr>
        <w:t xml:space="preserve"> Value</w:t>
      </w:r>
      <w:r>
        <w:rPr>
          <w:rStyle w:val="OperatorTok"/>
        </w:rPr>
        <w:t xml:space="preserve">{</w:t>
      </w:r>
      <w:r>
        <w:rPr>
          <w:rStyle w:val="NormalTok"/>
        </w:rPr>
        <w:t xml:space="preserve">Type</w:t>
      </w:r>
      <w:r>
        <w:rPr>
          <w:rStyle w:val="OperatorTok"/>
        </w:rPr>
        <w:t xml:space="preserve">:</w:t>
      </w:r>
      <w:r>
        <w:rPr>
          <w:rStyle w:val="NormalTok"/>
        </w:rPr>
        <w:t xml:space="preserve"> VTEmpty</w:t>
      </w:r>
      <w:r>
        <w:rPr>
          <w:rStyle w:val="OperatorTok"/>
        </w:rPr>
        <w:t xml:space="preserve">}</w:t>
      </w:r>
      <w:r>
        <w:rPr>
          <w:rStyle w:val="NormalTok"/>
        </w:rPr>
        <w:t xml:space="preserve"> </w:t>
      </w:r>
      <w:r>
        <w:rPr>
          <w:rStyle w:val="OperatorTok"/>
        </w:rPr>
        <w:t xml:space="preserve">}</w:t>
      </w:r>
    </w:p>
    <w:p>
      <w:pPr>
        <w:pStyle w:val="FirstParagraph"/>
      </w:pPr>
      <w:r>
        <w:t xml:space="preserve">This pattern avoids compilation/runtime breakage on Linux, macOS, and WASM while returning a standard AxonASP disabled-library error.</w:t>
      </w:r>
    </w:p>
    <w:bookmarkEnd w:id="273"/>
    <w:bookmarkStart w:id="274" w:name="X8dc8934f39dde24cbb6c26b77529b814a3b15b8"/>
    <w:p>
      <w:pPr>
        <w:pStyle w:val="Heading3"/>
      </w:pPr>
      <w:r>
        <w:t xml:space="preserve">3. Register the object in the VM without reflection</w:t>
      </w:r>
    </w:p>
    <w:p>
      <w:pPr>
        <w:pStyle w:val="FirstParagraph"/>
      </w:pPr>
      <w:r>
        <w:t xml:space="preserve">Update</w:t>
      </w:r>
      <w:r>
        <w:t xml:space="preserve"> </w:t>
      </w:r>
      <w:r>
        <w:rPr>
          <w:rStyle w:val="VerbatimChar"/>
        </w:rPr>
        <w:t xml:space="preserve">axonvm/vm.go</w:t>
      </w:r>
      <w:r>
        <w:t xml:space="preserve"> </w:t>
      </w:r>
      <w:r>
        <w:t xml:space="preserve">in the same style used by existing native libraries.</w:t>
      </w:r>
    </w:p>
    <w:p>
      <w:pPr>
        <w:pStyle w:val="Compact"/>
        <w:numPr>
          <w:ilvl w:val="0"/>
          <w:numId w:val="1108"/>
        </w:numPr>
      </w:pPr>
      <w:r>
        <w:t xml:space="preserve">Add one object map to the VM struct:</w:t>
      </w:r>
    </w:p>
    <w:p>
      <w:pPr>
        <w:pStyle w:val="SourceCode"/>
      </w:pPr>
      <w:r>
        <w:rPr>
          <w:rStyle w:val="NormalTok"/>
        </w:rPr>
        <w:t xml:space="preserve">msxmlCOMItems </w:t>
      </w:r>
      <w:r>
        <w:rPr>
          <w:rStyle w:val="KeywordTok"/>
        </w:rPr>
        <w:t xml:space="preserve">map</w:t>
      </w:r>
      <w:r>
        <w:rPr>
          <w:rStyle w:val="OperatorTok"/>
        </w:rPr>
        <w:t xml:space="preserve">[</w:t>
      </w:r>
      <w:r>
        <w:rPr>
          <w:rStyle w:val="DataTypeTok"/>
        </w:rPr>
        <w:t xml:space="preserve">int64</w:t>
      </w:r>
      <w:r>
        <w:rPr>
          <w:rStyle w:val="OperatorTok"/>
        </w:rPr>
        <w:t xml:space="preserve">]*</w:t>
      </w:r>
      <w:r>
        <w:rPr>
          <w:rStyle w:val="NormalTok"/>
        </w:rPr>
        <w:t xml:space="preserve">MSXMLCOM</w:t>
      </w:r>
    </w:p>
    <w:p>
      <w:pPr>
        <w:pStyle w:val="Compact"/>
        <w:numPr>
          <w:ilvl w:val="0"/>
          <w:numId w:val="1109"/>
        </w:numPr>
      </w:pPr>
      <w:r>
        <w:t xml:space="preserve">Initialize the map in</w:t>
      </w:r>
      <w:r>
        <w:t xml:space="preserve"> </w:t>
      </w:r>
      <w:r>
        <w:rPr>
          <w:rStyle w:val="VerbatimChar"/>
        </w:rPr>
        <w:t xml:space="preserve">NewVM</w:t>
      </w:r>
      <w:r>
        <w:t xml:space="preserve">:</w:t>
      </w:r>
    </w:p>
    <w:p>
      <w:pPr>
        <w:pStyle w:val="SourceCode"/>
      </w:pPr>
      <w:r>
        <w:rPr>
          <w:rStyle w:val="NormalTok"/>
        </w:rPr>
        <w:t xml:space="preserve">msxmlCOMItems</w:t>
      </w:r>
      <w:r>
        <w:rPr>
          <w:rStyle w:val="OperatorTok"/>
        </w:rPr>
        <w:t xml:space="preserve">:</w:t>
      </w:r>
      <w:r>
        <w:rPr>
          <w:rStyle w:val="NormalTok"/>
        </w:rPr>
        <w:t xml:space="preserve"> </w:t>
      </w:r>
      <w:r>
        <w:rPr>
          <w:rStyle w:val="BuiltInTok"/>
        </w:rPr>
        <w:t xml:space="preserve">make</w:t>
      </w:r>
      <w:r>
        <w:rPr>
          <w:rStyle w:val="OperatorTok"/>
        </w:rPr>
        <w:t xml:space="preserve">(</w:t>
      </w:r>
      <w:r>
        <w:rPr>
          <w:rStyle w:val="KeywordTok"/>
        </w:rPr>
        <w:t xml:space="preserve">map</w:t>
      </w:r>
      <w:r>
        <w:rPr>
          <w:rStyle w:val="OperatorTok"/>
        </w:rPr>
        <w:t xml:space="preserve">[</w:t>
      </w:r>
      <w:r>
        <w:rPr>
          <w:rStyle w:val="DataTypeTok"/>
        </w:rPr>
        <w:t xml:space="preserve">int64</w:t>
      </w:r>
      <w:r>
        <w:rPr>
          <w:rStyle w:val="OperatorTok"/>
        </w:rPr>
        <w:t xml:space="preserve">]*</w:t>
      </w:r>
      <w:r>
        <w:rPr>
          <w:rStyle w:val="NormalTok"/>
        </w:rPr>
        <w:t xml:space="preserve">MSXMLCOM</w:t>
      </w:r>
      <w:r>
        <w:rPr>
          <w:rStyle w:val="OperatorTok"/>
        </w:rPr>
        <w:t xml:space="preserve">),</w:t>
      </w:r>
    </w:p>
    <w:p>
      <w:pPr>
        <w:pStyle w:val="Compact"/>
        <w:numPr>
          <w:ilvl w:val="0"/>
          <w:numId w:val="1110"/>
        </w:numPr>
      </w:pPr>
      <w:r>
        <w:t xml:space="preserve">Register the ProgID in</w:t>
      </w:r>
      <w:r>
        <w:t xml:space="preserve"> </w:t>
      </w:r>
      <w:r>
        <w:rPr>
          <w:rStyle w:val="VerbatimChar"/>
        </w:rPr>
        <w:t xml:space="preserve">Server.CreateObject</w:t>
      </w:r>
      <w:r>
        <w:t xml:space="preserve"> </w:t>
      </w:r>
      <w:r>
        <w:t xml:space="preserve">dispatch:</w:t>
      </w:r>
    </w:p>
    <w:p>
      <w:pPr>
        <w:pStyle w:val="SourceCode"/>
      </w:pPr>
      <w:r>
        <w:rPr>
          <w:rStyle w:val="ControlFlowTok"/>
        </w:rPr>
        <w:t xml:space="preserve">if</w:t>
      </w:r>
      <w:r>
        <w:rPr>
          <w:rStyle w:val="NormalTok"/>
        </w:rPr>
        <w:t xml:space="preserve"> progIDKey </w:t>
      </w:r>
      <w:r>
        <w:rPr>
          <w:rStyle w:val="OperatorTok"/>
        </w:rPr>
        <w:t xml:space="preserve">==</w:t>
      </w:r>
      <w:r>
        <w:rPr>
          <w:rStyle w:val="NormalTok"/>
        </w:rPr>
        <w:t xml:space="preserve"> </w:t>
      </w:r>
      <w:r>
        <w:rPr>
          <w:rStyle w:val="StringTok"/>
        </w:rPr>
        <w:t xml:space="preserve">"msxml.com"</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vm</w:t>
      </w:r>
      <w:r>
        <w:rPr>
          <w:rStyle w:val="OperatorTok"/>
        </w:rPr>
        <w:t xml:space="preserve">.</w:t>
      </w:r>
      <w:r>
        <w:rPr>
          <w:rStyle w:val="NormalTok"/>
        </w:rPr>
        <w:t xml:space="preserve">newMSXMLCOMObject</w:t>
      </w:r>
      <w:r>
        <w:rPr>
          <w:rStyle w:val="OperatorTok"/>
        </w:rPr>
        <w:t xml:space="preserve">()</w:t>
      </w:r>
      <w:r>
        <w:br/>
      </w:r>
      <w:r>
        <w:rPr>
          <w:rStyle w:val="OperatorTok"/>
        </w:rPr>
        <w:t xml:space="preserve">}</w:t>
      </w:r>
    </w:p>
    <w:p>
      <w:pPr>
        <w:pStyle w:val="Compact"/>
        <w:numPr>
          <w:ilvl w:val="0"/>
          <w:numId w:val="1111"/>
        </w:numPr>
      </w:pPr>
      <w:r>
        <w:t xml:space="preserve">Route method calls in</w:t>
      </w:r>
      <w:r>
        <w:t xml:space="preserve"> </w:t>
      </w:r>
      <w:r>
        <w:rPr>
          <w:rStyle w:val="VerbatimChar"/>
        </w:rPr>
        <w:t xml:space="preserve">dispatchNativeCall</w:t>
      </w:r>
      <w:r>
        <w:t xml:space="preserve">:</w:t>
      </w:r>
    </w:p>
    <w:p>
      <w:pPr>
        <w:pStyle w:val="SourceCode"/>
      </w:pPr>
      <w:r>
        <w:rPr>
          <w:rStyle w:val="ControlFlowTok"/>
        </w:rPr>
        <w:t xml:space="preserve">if</w:t>
      </w:r>
      <w:r>
        <w:rPr>
          <w:rStyle w:val="NormalTok"/>
        </w:rPr>
        <w:t xml:space="preserve"> msxmlCOMObject</w:t>
      </w:r>
      <w:r>
        <w:rPr>
          <w:rStyle w:val="OperatorTok"/>
        </w:rPr>
        <w:t xml:space="preserve">,</w:t>
      </w:r>
      <w:r>
        <w:rPr>
          <w:rStyle w:val="NormalTok"/>
        </w:rPr>
        <w:t xml:space="preserve"> exists </w:t>
      </w:r>
      <w:r>
        <w:rPr>
          <w:rStyle w:val="OperatorTok"/>
        </w:rPr>
        <w:t xml:space="preserve">:=</w:t>
      </w:r>
      <w:r>
        <w:rPr>
          <w:rStyle w:val="NormalTok"/>
        </w:rPr>
        <w:t xml:space="preserve"> vm</w:t>
      </w:r>
      <w:r>
        <w:rPr>
          <w:rStyle w:val="OperatorTok"/>
        </w:rPr>
        <w:t xml:space="preserve">.</w:t>
      </w:r>
      <w:r>
        <w:rPr>
          <w:rStyle w:val="NormalTok"/>
        </w:rPr>
        <w:t xml:space="preserve">msxmlCOMItems</w:t>
      </w:r>
      <w:r>
        <w:rPr>
          <w:rStyle w:val="OperatorTok"/>
        </w:rPr>
        <w:t xml:space="preserve">[</w:t>
      </w:r>
      <w:r>
        <w:rPr>
          <w:rStyle w:val="NormalTok"/>
        </w:rPr>
        <w:t xml:space="preserve">objID</w:t>
      </w:r>
      <w:r>
        <w:rPr>
          <w:rStyle w:val="OperatorTok"/>
        </w:rPr>
        <w:t xml:space="preserve">];</w:t>
      </w:r>
      <w:r>
        <w:rPr>
          <w:rStyle w:val="NormalTok"/>
        </w:rPr>
        <w:t xml:space="preserve"> exists </w:t>
      </w:r>
      <w:r>
        <w:rPr>
          <w:rStyle w:val="OperatorTok"/>
        </w:rPr>
        <w:t xml:space="preserve">{</w:t>
      </w:r>
      <w:r>
        <w:br/>
      </w:r>
      <w:r>
        <w:rPr>
          <w:rStyle w:val="NormalTok"/>
        </w:rPr>
        <w:t xml:space="preserve">    </w:t>
      </w:r>
      <w:r>
        <w:rPr>
          <w:rStyle w:val="ControlFlowTok"/>
        </w:rPr>
        <w:t xml:space="preserve">return</w:t>
      </w:r>
      <w:r>
        <w:rPr>
          <w:rStyle w:val="NormalTok"/>
        </w:rPr>
        <w:t xml:space="preserve"> msxmlCOMObject</w:t>
      </w:r>
      <w:r>
        <w:rPr>
          <w:rStyle w:val="OperatorTok"/>
        </w:rPr>
        <w:t xml:space="preserve">.</w:t>
      </w:r>
      <w:r>
        <w:rPr>
          <w:rStyle w:val="NormalTok"/>
        </w:rPr>
        <w:t xml:space="preserve">DispatchMethod</w:t>
      </w:r>
      <w:r>
        <w:rPr>
          <w:rStyle w:val="OperatorTok"/>
        </w:rPr>
        <w:t xml:space="preserve">(</w:t>
      </w:r>
      <w:r>
        <w:rPr>
          <w:rStyle w:val="NormalTok"/>
        </w:rPr>
        <w:t xml:space="preserve">member</w:t>
      </w:r>
      <w:r>
        <w:rPr>
          <w:rStyle w:val="OperatorTok"/>
        </w:rPr>
        <w:t xml:space="preserve">,</w:t>
      </w:r>
      <w:r>
        <w:rPr>
          <w:rStyle w:val="NormalTok"/>
        </w:rPr>
        <w:t xml:space="preserve"> args</w:t>
      </w:r>
      <w:r>
        <w:rPr>
          <w:rStyle w:val="OperatorTok"/>
        </w:rPr>
        <w:t xml:space="preserve">)</w:t>
      </w:r>
      <w:r>
        <w:br/>
      </w:r>
      <w:r>
        <w:rPr>
          <w:rStyle w:val="OperatorTok"/>
        </w:rPr>
        <w:t xml:space="preserve">}</w:t>
      </w:r>
    </w:p>
    <w:p>
      <w:pPr>
        <w:pStyle w:val="Compact"/>
        <w:numPr>
          <w:ilvl w:val="0"/>
          <w:numId w:val="1112"/>
        </w:numPr>
      </w:pPr>
      <w:r>
        <w:t xml:space="preserve">Route property gets in member dispatch:</w:t>
      </w:r>
    </w:p>
    <w:p>
      <w:pPr>
        <w:pStyle w:val="SourceCode"/>
      </w:pPr>
      <w:r>
        <w:rPr>
          <w:rStyle w:val="ControlFlowTok"/>
        </w:rPr>
        <w:t xml:space="preserve">if</w:t>
      </w:r>
      <w:r>
        <w:rPr>
          <w:rStyle w:val="NormalTok"/>
        </w:rPr>
        <w:t xml:space="preserve"> msxmlCOMObject</w:t>
      </w:r>
      <w:r>
        <w:rPr>
          <w:rStyle w:val="OperatorTok"/>
        </w:rPr>
        <w:t xml:space="preserve">,</w:t>
      </w:r>
      <w:r>
        <w:rPr>
          <w:rStyle w:val="NormalTok"/>
        </w:rPr>
        <w:t xml:space="preserve"> exists </w:t>
      </w:r>
      <w:r>
        <w:rPr>
          <w:rStyle w:val="OperatorTok"/>
        </w:rPr>
        <w:t xml:space="preserve">:=</w:t>
      </w:r>
      <w:r>
        <w:rPr>
          <w:rStyle w:val="NormalTok"/>
        </w:rPr>
        <w:t xml:space="preserve"> vm</w:t>
      </w:r>
      <w:r>
        <w:rPr>
          <w:rStyle w:val="OperatorTok"/>
        </w:rPr>
        <w:t xml:space="preserve">.</w:t>
      </w:r>
      <w:r>
        <w:rPr>
          <w:rStyle w:val="NormalTok"/>
        </w:rPr>
        <w:t xml:space="preserve">msxmlCOMItems</w:t>
      </w:r>
      <w:r>
        <w:rPr>
          <w:rStyle w:val="OperatorTok"/>
        </w:rPr>
        <w:t xml:space="preserve">[</w:t>
      </w:r>
      <w:r>
        <w:rPr>
          <w:rStyle w:val="NormalTok"/>
        </w:rPr>
        <w:t xml:space="preserve">target</w:t>
      </w:r>
      <w:r>
        <w:rPr>
          <w:rStyle w:val="OperatorTok"/>
        </w:rPr>
        <w:t xml:space="preserve">.</w:t>
      </w:r>
      <w:r>
        <w:rPr>
          <w:rStyle w:val="NormalTok"/>
        </w:rPr>
        <w:t xml:space="preserve">Num</w:t>
      </w:r>
      <w:r>
        <w:rPr>
          <w:rStyle w:val="OperatorTok"/>
        </w:rPr>
        <w:t xml:space="preserve">];</w:t>
      </w:r>
      <w:r>
        <w:rPr>
          <w:rStyle w:val="NormalTok"/>
        </w:rPr>
        <w:t xml:space="preserve"> exists </w:t>
      </w:r>
      <w:r>
        <w:rPr>
          <w:rStyle w:val="OperatorTok"/>
        </w:rPr>
        <w:t xml:space="preserve">{</w:t>
      </w:r>
      <w:r>
        <w:br/>
      </w:r>
      <w:r>
        <w:rPr>
          <w:rStyle w:val="NormalTok"/>
        </w:rPr>
        <w:t xml:space="preserve">    </w:t>
      </w:r>
      <w:r>
        <w:rPr>
          <w:rStyle w:val="ControlFlowTok"/>
        </w:rPr>
        <w:t xml:space="preserve">return</w:t>
      </w:r>
      <w:r>
        <w:rPr>
          <w:rStyle w:val="NormalTok"/>
        </w:rPr>
        <w:t xml:space="preserve"> msxmlCOMObject</w:t>
      </w:r>
      <w:r>
        <w:rPr>
          <w:rStyle w:val="OperatorTok"/>
        </w:rPr>
        <w:t xml:space="preserve">.</w:t>
      </w:r>
      <w:r>
        <w:rPr>
          <w:rStyle w:val="NormalTok"/>
        </w:rPr>
        <w:t xml:space="preserve">DispatchPropertyGet</w:t>
      </w:r>
      <w:r>
        <w:rPr>
          <w:rStyle w:val="OperatorTok"/>
        </w:rPr>
        <w:t xml:space="preserve">(</w:t>
      </w:r>
      <w:r>
        <w:rPr>
          <w:rStyle w:val="NormalTok"/>
        </w:rPr>
        <w:t xml:space="preserve">member</w:t>
      </w:r>
      <w:r>
        <w:rPr>
          <w:rStyle w:val="OperatorTok"/>
        </w:rPr>
        <w:t xml:space="preserve">)</w:t>
      </w:r>
      <w:r>
        <w:br/>
      </w:r>
      <w:r>
        <w:rPr>
          <w:rStyle w:val="OperatorTok"/>
        </w:rPr>
        <w:t xml:space="preserve">}</w:t>
      </w:r>
    </w:p>
    <w:p>
      <w:pPr>
        <w:pStyle w:val="Compact"/>
        <w:numPr>
          <w:ilvl w:val="0"/>
          <w:numId w:val="1113"/>
        </w:numPr>
      </w:pPr>
      <w:r>
        <w:t xml:space="preserve">Route property sets where native setters are handled:</w:t>
      </w:r>
    </w:p>
    <w:p>
      <w:pPr>
        <w:pStyle w:val="SourceCode"/>
      </w:pPr>
      <w:r>
        <w:rPr>
          <w:rStyle w:val="ControlFlowTok"/>
        </w:rPr>
        <w:t xml:space="preserve">if</w:t>
      </w:r>
      <w:r>
        <w:rPr>
          <w:rStyle w:val="NormalTok"/>
        </w:rPr>
        <w:t xml:space="preserve"> msxmlCOMObject</w:t>
      </w:r>
      <w:r>
        <w:rPr>
          <w:rStyle w:val="OperatorTok"/>
        </w:rPr>
        <w:t xml:space="preserve">,</w:t>
      </w:r>
      <w:r>
        <w:rPr>
          <w:rStyle w:val="NormalTok"/>
        </w:rPr>
        <w:t xml:space="preserve"> exists </w:t>
      </w:r>
      <w:r>
        <w:rPr>
          <w:rStyle w:val="OperatorTok"/>
        </w:rPr>
        <w:t xml:space="preserve">:=</w:t>
      </w:r>
      <w:r>
        <w:rPr>
          <w:rStyle w:val="NormalTok"/>
        </w:rPr>
        <w:t xml:space="preserve"> vm</w:t>
      </w:r>
      <w:r>
        <w:rPr>
          <w:rStyle w:val="OperatorTok"/>
        </w:rPr>
        <w:t xml:space="preserve">.</w:t>
      </w:r>
      <w:r>
        <w:rPr>
          <w:rStyle w:val="NormalTok"/>
        </w:rPr>
        <w:t xml:space="preserve">msxmlCOMItems</w:t>
      </w:r>
      <w:r>
        <w:rPr>
          <w:rStyle w:val="OperatorTok"/>
        </w:rPr>
        <w:t xml:space="preserve">[</w:t>
      </w:r>
      <w:r>
        <w:rPr>
          <w:rStyle w:val="NormalTok"/>
        </w:rPr>
        <w:t xml:space="preserve">target</w:t>
      </w:r>
      <w:r>
        <w:rPr>
          <w:rStyle w:val="OperatorTok"/>
        </w:rPr>
        <w:t xml:space="preserve">.</w:t>
      </w:r>
      <w:r>
        <w:rPr>
          <w:rStyle w:val="NormalTok"/>
        </w:rPr>
        <w:t xml:space="preserve">Num</w:t>
      </w:r>
      <w:r>
        <w:rPr>
          <w:rStyle w:val="OperatorTok"/>
        </w:rPr>
        <w:t xml:space="preserve">];</w:t>
      </w:r>
      <w:r>
        <w:rPr>
          <w:rStyle w:val="NormalTok"/>
        </w:rPr>
        <w:t xml:space="preserve"> exists </w:t>
      </w:r>
      <w:r>
        <w:rPr>
          <w:rStyle w:val="OperatorTok"/>
        </w:rPr>
        <w:t xml:space="preserve">{</w:t>
      </w:r>
      <w:r>
        <w:br/>
      </w:r>
      <w:r>
        <w:rPr>
          <w:rStyle w:val="NormalTok"/>
        </w:rPr>
        <w:t xml:space="preserve">    </w:t>
      </w:r>
      <w:r>
        <w:rPr>
          <w:rStyle w:val="ControlFlowTok"/>
        </w:rPr>
        <w:t xml:space="preserve">return</w:t>
      </w:r>
      <w:r>
        <w:rPr>
          <w:rStyle w:val="NormalTok"/>
        </w:rPr>
        <w:t xml:space="preserve"> msxmlCOMObject</w:t>
      </w:r>
      <w:r>
        <w:rPr>
          <w:rStyle w:val="OperatorTok"/>
        </w:rPr>
        <w:t xml:space="preserve">.</w:t>
      </w:r>
      <w:r>
        <w:rPr>
          <w:rStyle w:val="NormalTok"/>
        </w:rPr>
        <w:t xml:space="preserve">DispatchPropertySet</w:t>
      </w:r>
      <w:r>
        <w:rPr>
          <w:rStyle w:val="OperatorTok"/>
        </w:rPr>
        <w:t xml:space="preserve">(</w:t>
      </w:r>
      <w:r>
        <w:rPr>
          <w:rStyle w:val="NormalTok"/>
        </w:rPr>
        <w:t xml:space="preserve">member</w:t>
      </w:r>
      <w:r>
        <w:rPr>
          <w:rStyle w:val="OperatorTok"/>
        </w:rPr>
        <w:t xml:space="preserve">,</w:t>
      </w:r>
      <w:r>
        <w:rPr>
          <w:rStyle w:val="NormalTok"/>
        </w:rPr>
        <w:t xml:space="preserve"> args</w:t>
      </w:r>
      <w:r>
        <w:rPr>
          <w:rStyle w:val="OperatorTok"/>
        </w:rPr>
        <w:t xml:space="preserve">)</w:t>
      </w:r>
      <w:r>
        <w:br/>
      </w:r>
      <w:r>
        <w:rPr>
          <w:rStyle w:val="OperatorTok"/>
        </w:rPr>
        <w:t xml:space="preserve">}</w:t>
      </w:r>
    </w:p>
    <w:p>
      <w:pPr>
        <w:pStyle w:val="FirstParagraph"/>
      </w:pPr>
      <w:r>
        <w:t xml:space="preserve">No reflection is required. All routing remains explicit, deterministic, and allocation-aware.</w:t>
      </w:r>
    </w:p>
    <w:bookmarkEnd w:id="274"/>
    <w:bookmarkStart w:id="275" w:name="add-cleanup-hooks-for-request-teardown"/>
    <w:p>
      <w:pPr>
        <w:pStyle w:val="Heading3"/>
      </w:pPr>
      <w:r>
        <w:t xml:space="preserve">4. Add cleanup hooks for request teardown</w:t>
      </w:r>
    </w:p>
    <w:p>
      <w:pPr>
        <w:pStyle w:val="FirstParagraph"/>
      </w:pPr>
      <w:r>
        <w:t xml:space="preserve">If the library instance can outlive one method call, add deterministic cleanup paths where VM native resources are reset.</w:t>
      </w:r>
    </w:p>
    <w:p>
      <w:pPr>
        <w:pStyle w:val="SourceCode"/>
      </w:pPr>
      <w:r>
        <w:rPr>
          <w:rStyle w:val="ControlFlowTok"/>
        </w:rPr>
        <w:t xml:space="preserve">for</w:t>
      </w:r>
      <w:r>
        <w:rPr>
          <w:rStyle w:val="NormalTok"/>
        </w:rPr>
        <w:t xml:space="preserve"> id</w:t>
      </w:r>
      <w:r>
        <w:rPr>
          <w:rStyle w:val="OperatorTok"/>
        </w:rPr>
        <w:t xml:space="preserve">,</w:t>
      </w:r>
      <w:r>
        <w:rPr>
          <w:rStyle w:val="NormalTok"/>
        </w:rPr>
        <w:t xml:space="preserve"> obj </w:t>
      </w:r>
      <w:r>
        <w:rPr>
          <w:rStyle w:val="OperatorTok"/>
        </w:rPr>
        <w:t xml:space="preserve">:=</w:t>
      </w:r>
      <w:r>
        <w:rPr>
          <w:rStyle w:val="NormalTok"/>
        </w:rPr>
        <w:t xml:space="preserve"> </w:t>
      </w:r>
      <w:r>
        <w:rPr>
          <w:rStyle w:val="KeywordTok"/>
        </w:rPr>
        <w:t xml:space="preserve">range</w:t>
      </w:r>
      <w:r>
        <w:rPr>
          <w:rStyle w:val="NormalTok"/>
        </w:rPr>
        <w:t xml:space="preserve"> vm</w:t>
      </w:r>
      <w:r>
        <w:rPr>
          <w:rStyle w:val="OperatorTok"/>
        </w:rPr>
        <w:t xml:space="preserve">.</w:t>
      </w:r>
      <w:r>
        <w:rPr>
          <w:rStyle w:val="NormalTok"/>
        </w:rPr>
        <w:t xml:space="preserve">msxmlCOMItems </w:t>
      </w:r>
      <w:r>
        <w:rPr>
          <w:rStyle w:val="OperatorTok"/>
        </w:rPr>
        <w:t xml:space="preserve">{</w:t>
      </w:r>
      <w:r>
        <w:br/>
      </w:r>
      <w:r>
        <w:rPr>
          <w:rStyle w:val="NormalTok"/>
        </w:rPr>
        <w:t xml:space="preserve">    _ </w:t>
      </w:r>
      <w:r>
        <w:rPr>
          <w:rStyle w:val="OperatorTok"/>
        </w:rPr>
        <w:t xml:space="preserve">=</w:t>
      </w:r>
      <w:r>
        <w:rPr>
          <w:rStyle w:val="NormalTok"/>
        </w:rPr>
        <w:t xml:space="preserve"> obj</w:t>
      </w:r>
      <w:r>
        <w:rPr>
          <w:rStyle w:val="OperatorTok"/>
        </w:rPr>
        <w:t xml:space="preserve">.</w:t>
      </w:r>
      <w:r>
        <w:rPr>
          <w:rStyle w:val="NormalTok"/>
        </w:rPr>
        <w:t xml:space="preserve">DispatchMethod</w:t>
      </w:r>
      <w:r>
        <w:rPr>
          <w:rStyle w:val="OperatorTok"/>
        </w:rPr>
        <w:t xml:space="preserve">(</w:t>
      </w:r>
      <w:r>
        <w:rPr>
          <w:rStyle w:val="StringTok"/>
        </w:rPr>
        <w:t xml:space="preserve">"close"</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BuiltInTok"/>
        </w:rPr>
        <w:t xml:space="preserve">delete</w:t>
      </w:r>
      <w:r>
        <w:rPr>
          <w:rStyle w:val="OperatorTok"/>
        </w:rPr>
        <w:t xml:space="preserve">(</w:t>
      </w:r>
      <w:r>
        <w:rPr>
          <w:rStyle w:val="NormalTok"/>
        </w:rPr>
        <w:t xml:space="preserve">vm</w:t>
      </w:r>
      <w:r>
        <w:rPr>
          <w:rStyle w:val="OperatorTok"/>
        </w:rPr>
        <w:t xml:space="preserve">.</w:t>
      </w:r>
      <w:r>
        <w:rPr>
          <w:rStyle w:val="NormalTok"/>
        </w:rPr>
        <w:t xml:space="preserve">msxmlCOMItems</w:t>
      </w:r>
      <w:r>
        <w:rPr>
          <w:rStyle w:val="OperatorTok"/>
        </w:rPr>
        <w:t xml:space="preserve">,</w:t>
      </w:r>
      <w:r>
        <w:rPr>
          <w:rStyle w:val="NormalTok"/>
        </w:rPr>
        <w:t xml:space="preserve"> id</w:t>
      </w:r>
      <w:r>
        <w:rPr>
          <w:rStyle w:val="OperatorTok"/>
        </w:rPr>
        <w:t xml:space="preserve">)</w:t>
      </w:r>
      <w:r>
        <w:br/>
      </w:r>
      <w:r>
        <w:rPr>
          <w:rStyle w:val="OperatorTok"/>
        </w:rPr>
        <w:t xml:space="preserve">}</w:t>
      </w:r>
    </w:p>
    <w:p>
      <w:pPr>
        <w:pStyle w:val="FirstParagraph"/>
      </w:pPr>
      <w:r>
        <w:t xml:space="preserve">This prevents COM handles from surviving request boundaries.</w:t>
      </w:r>
    </w:p>
    <w:bookmarkEnd w:id="275"/>
    <w:bookmarkEnd w:id="276"/>
    <w:bookmarkStart w:id="277" w:name="code-example-5"/>
    <w:p>
      <w:pPr>
        <w:pStyle w:val="Heading2"/>
      </w:pPr>
      <w:r>
        <w:t xml:space="preserve">Code Example</w:t>
      </w:r>
    </w:p>
    <w:p>
      <w:pPr>
        <w:pStyle w:val="FirstParagraph"/>
      </w:pPr>
      <w:r>
        <w:t xml:space="preserve">Classic ASP usage with</w:t>
      </w:r>
      <w:r>
        <w:t xml:space="preserve"> </w:t>
      </w:r>
      <w:r>
        <w:rPr>
          <w:rStyle w:val="VerbatimChar"/>
        </w:rPr>
        <w:t xml:space="preserve">Server.CreateObject("MSXML.COM")</w:t>
      </w:r>
      <w:r>
        <w:t xml:space="preserv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rss</w:t>
      </w:r>
      <w:r>
        <w:rPr>
          <w:rStyle w:val="OtherTok"/>
        </w:rPr>
        <w:t xml:space="preserve">,</w:t>
      </w:r>
      <w:r>
        <w:rPr>
          <w:rStyle w:val="NormalTok"/>
        </w:rPr>
        <w:t xml:space="preserve"> raw</w:t>
      </w:r>
      <w:r>
        <w:rPr>
          <w:rStyle w:val="OtherTok"/>
        </w:rPr>
        <w:t xml:space="preserve">,</w:t>
      </w:r>
      <w:r>
        <w:rPr>
          <w:rStyle w:val="NormalTok"/>
        </w:rPr>
        <w:t xml:space="preserve"> lines</w:t>
      </w:r>
      <w:r>
        <w:rPr>
          <w:rStyle w:val="OtherTok"/>
        </w:rPr>
        <w:t xml:space="preserve">,</w:t>
      </w:r>
      <w:r>
        <w:rPr>
          <w:rStyle w:val="NormalTok"/>
        </w:rPr>
        <w:t xml:space="preserve"> i</w:t>
      </w:r>
      <w:r>
        <w:rPr>
          <w:rStyle w:val="OtherTok"/>
        </w:rPr>
        <w:t xml:space="preserve">,</w:t>
      </w:r>
      <w:r>
        <w:rPr>
          <w:rStyle w:val="NormalTok"/>
        </w:rPr>
        <w:t xml:space="preserve"> pair</w:t>
      </w:r>
      <w:r>
        <w:rPr>
          <w:rStyle w:val="OtherTok"/>
        </w:rPr>
        <w:t xml:space="preserve">,</w:t>
      </w:r>
      <w:r>
        <w:rPr>
          <w:rStyle w:val="NormalTok"/>
        </w:rPr>
        <w:t xml:space="preserve"> titleText</w:t>
      </w:r>
      <w:r>
        <w:rPr>
          <w:rStyle w:val="OtherTok"/>
        </w:rPr>
        <w:t xml:space="preserve">,</w:t>
      </w:r>
      <w:r>
        <w:rPr>
          <w:rStyle w:val="NormalTok"/>
        </w:rPr>
        <w:t xml:space="preserve"> linkText</w:t>
      </w:r>
      <w:r>
        <w:br/>
      </w:r>
      <w:r>
        <w:br/>
      </w:r>
      <w:r>
        <w:rPr>
          <w:rStyle w:val="KeywordTok"/>
        </w:rPr>
        <w:t xml:space="preserve">Set</w:t>
      </w:r>
      <w:r>
        <w:rPr>
          <w:rStyle w:val="NormalTok"/>
        </w:rPr>
        <w:t xml:space="preserve"> rss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"MSXML.COM"</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rss.</w:t>
      </w:r>
      <w:r>
        <w:rPr>
          <w:rStyle w:val="KeywordTok"/>
        </w:rPr>
        <w:t xml:space="preserve">open</w:t>
      </w:r>
      <w:r>
        <w:rPr>
          <w:rStyle w:val="OtherTok"/>
        </w:rPr>
        <w:t xml:space="preserve">(</w:t>
      </w:r>
      <w:r>
        <w:rPr>
          <w:rStyle w:val="StringTok"/>
        </w:rPr>
        <w:t xml:space="preserve">"GET"</w:t>
      </w:r>
      <w:r>
        <w:rPr>
          <w:rStyle w:val="OtherTok"/>
        </w:rPr>
        <w:t xml:space="preserve">,</w:t>
      </w:r>
      <w:r>
        <w:rPr>
          <w:rStyle w:val="NormalTok"/>
        </w:rPr>
        <w:t xml:space="preserve"> </w:t>
      </w:r>
      <w:r>
        <w:rPr>
          <w:rStyle w:val="StringTok"/>
        </w:rPr>
        <w:t xml:space="preserve">"http://rss.slashdot.org/Slashdot/slashdot"</w:t>
      </w:r>
      <w:r>
        <w:rPr>
          <w:rStyle w:val="OtherTok"/>
        </w:rPr>
        <w:t xml:space="preserve">,</w:t>
      </w:r>
      <w:r>
        <w:rPr>
          <w:rStyle w:val="NormalTok"/>
        </w:rPr>
        <w:t xml:space="preserve"> </w:t>
      </w:r>
      <w:r>
        <w:rPr>
          <w:rStyle w:val="KeywordTok"/>
        </w:rPr>
        <w:t xml:space="preserve">False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"Open failed: "</w:t>
      </w:r>
      <w:r>
        <w:rPr>
          <w:rStyle w:val="NormalTok"/>
        </w:rPr>
        <w:t xml:space="preserve"> </w:t>
      </w:r>
      <w:r>
        <w:rPr>
          <w:rStyle w:val="KeywordTok"/>
        </w:rPr>
        <w:t xml:space="preserve">&amp;</w:t>
      </w:r>
      <w:r>
        <w:rPr>
          <w:rStyle w:val="NormalTok"/>
        </w:rPr>
        <w:t xml:space="preserve"> rss.LastError</w:t>
      </w:r>
      <w:r>
        <w:br/>
      </w:r>
      <w:r>
        <w:rPr>
          <w:rStyle w:val="NormalTok"/>
        </w:rPr>
        <w:t xml:space="preserve">    </w:t>
      </w:r>
      <w:r>
        <w:rPr>
          <w:rStyle w:val="KeywordTok"/>
        </w:rPr>
        <w:t xml:space="preserve">Set</w:t>
      </w:r>
      <w:r>
        <w:rPr>
          <w:rStyle w:val="NormalTok"/>
        </w:rPr>
        <w:t xml:space="preserve"> rss = </w:t>
      </w:r>
      <w:r>
        <w:rPr>
          <w:rStyle w:val="KeywordTok"/>
        </w:rPr>
        <w:t xml:space="preserve">Nothing</w:t>
      </w:r>
      <w:r>
        <w:br/>
      </w:r>
      <w:r>
        <w:rPr>
          <w:rStyle w:val="NormalTok"/>
        </w:rPr>
        <w:t xml:space="preserve">    </w:t>
      </w:r>
      <w:r>
        <w:rPr>
          <w:rStyle w:val="FunctionTok"/>
        </w:rPr>
        <w:t xml:space="preserve">Response</w:t>
      </w:r>
      <w:r>
        <w:rPr>
          <w:rStyle w:val="NormalTok"/>
        </w:rPr>
        <w:t xml:space="preserve">.</w:t>
      </w:r>
      <w:r>
        <w:rPr>
          <w:rStyle w:val="FunctionTok"/>
        </w:rPr>
        <w:t xml:space="preserve">End</w:t>
      </w:r>
      <w:r>
        <w:br/>
      </w:r>
      <w:r>
        <w:rPr>
          <w:rStyle w:val="ControlFlowTok"/>
        </w:rPr>
        <w:t xml:space="preserve">End If</w:t>
      </w:r>
      <w:r>
        <w:br/>
      </w:r>
      <w:r>
        <w:br/>
      </w:r>
      <w:r>
        <w:rPr>
          <w:rStyle w:val="ControlFlowTok"/>
        </w:rPr>
        <w:t xml:space="preserve">If</w:t>
      </w:r>
      <w:r>
        <w:rPr>
          <w:rStyle w:val="NormalTok"/>
        </w:rPr>
        <w:t xml:space="preserve"> </w:t>
      </w:r>
      <w:r>
        <w:rPr>
          <w:rStyle w:val="KeywordTok"/>
        </w:rPr>
        <w:t xml:space="preserve">Not</w:t>
      </w:r>
      <w:r>
        <w:rPr>
          <w:rStyle w:val="NormalTok"/>
        </w:rPr>
        <w:t xml:space="preserve"> rss.send</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"Send failed: "</w:t>
      </w:r>
      <w:r>
        <w:rPr>
          <w:rStyle w:val="NormalTok"/>
        </w:rPr>
        <w:t xml:space="preserve"> </w:t>
      </w:r>
      <w:r>
        <w:rPr>
          <w:rStyle w:val="KeywordTok"/>
        </w:rPr>
        <w:t xml:space="preserve">&amp;</w:t>
      </w:r>
      <w:r>
        <w:rPr>
          <w:rStyle w:val="NormalTok"/>
        </w:rPr>
        <w:t xml:space="preserve"> rss.LastError</w:t>
      </w:r>
      <w:r>
        <w:br/>
      </w:r>
      <w:r>
        <w:rPr>
          <w:rStyle w:val="NormalTok"/>
        </w:rPr>
        <w:t xml:space="preserve">    </w:t>
      </w:r>
      <w:r>
        <w:rPr>
          <w:rStyle w:val="KeywordTok"/>
        </w:rPr>
        <w:t xml:space="preserve">Set</w:t>
      </w:r>
      <w:r>
        <w:rPr>
          <w:rStyle w:val="NormalTok"/>
        </w:rPr>
        <w:t xml:space="preserve"> rss = </w:t>
      </w:r>
      <w:r>
        <w:rPr>
          <w:rStyle w:val="KeywordTok"/>
        </w:rPr>
        <w:t xml:space="preserve">Nothing</w:t>
      </w:r>
      <w:r>
        <w:br/>
      </w:r>
      <w:r>
        <w:rPr>
          <w:rStyle w:val="NormalTok"/>
        </w:rPr>
        <w:t xml:space="preserve">    </w:t>
      </w:r>
      <w:r>
        <w:rPr>
          <w:rStyle w:val="FunctionTok"/>
        </w:rPr>
        <w:t xml:space="preserve">Response</w:t>
      </w:r>
      <w:r>
        <w:rPr>
          <w:rStyle w:val="NormalTok"/>
        </w:rPr>
        <w:t xml:space="preserve">.</w:t>
      </w:r>
      <w:r>
        <w:rPr>
          <w:rStyle w:val="FunctionTok"/>
        </w:rPr>
        <w:t xml:space="preserve">End</w:t>
      </w:r>
      <w:r>
        <w:br/>
      </w:r>
      <w:r>
        <w:rPr>
          <w:rStyle w:val="ControlFlowTok"/>
        </w:rPr>
        <w:t xml:space="preserve">End If</w:t>
      </w:r>
      <w:r>
        <w:br/>
      </w:r>
      <w:r>
        <w:br/>
      </w:r>
      <w:r>
        <w:rPr>
          <w:rStyle w:val="NormalTok"/>
        </w:rPr>
        <w:t xml:space="preserve">raw = rss.selectNodes</w:t>
      </w:r>
      <w:r>
        <w:rPr>
          <w:rStyle w:val="OtherTok"/>
        </w:rPr>
        <w:t xml:space="preserve">(</w:t>
      </w:r>
      <w:r>
        <w:rPr>
          <w:rStyle w:val="StringTok"/>
        </w:rPr>
        <w:t xml:space="preserve">"/rdf:RDF/item"</w:t>
      </w:r>
      <w:r>
        <w:rPr>
          <w:rStyle w:val="OtherTok"/>
        </w:rPr>
        <w:t xml:space="preserve">)</w:t>
      </w:r>
      <w:r>
        <w:br/>
      </w:r>
      <w:r>
        <w:rPr>
          <w:rStyle w:val="NormalTok"/>
        </w:rPr>
        <w:t xml:space="preserve">lines = </w:t>
      </w:r>
      <w:r>
        <w:rPr>
          <w:rStyle w:val="FunctionTok"/>
        </w:rPr>
        <w:t xml:space="preserve">Split</w:t>
      </w:r>
      <w:r>
        <w:rPr>
          <w:rStyle w:val="OtherTok"/>
        </w:rPr>
        <w:t xml:space="preserve">(</w:t>
      </w:r>
      <w:r>
        <w:rPr>
          <w:rStyle w:val="NormalTok"/>
        </w:rPr>
        <w:t xml:space="preserve">raw</w:t>
      </w:r>
      <w:r>
        <w:rPr>
          <w:rStyle w:val="OtherTok"/>
        </w:rPr>
        <w:t xml:space="preserve">,</w:t>
      </w:r>
      <w:r>
        <w:rPr>
          <w:rStyle w:val="NormalTok"/>
        </w:rPr>
        <w:t xml:space="preserve"> vbCrLf</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"&lt;h2&gt;RSS Items&lt;/h2&gt;"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"&lt;ul&gt;"</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lines</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FunctionTok"/>
        </w:rPr>
        <w:t xml:space="preserve">Len</w:t>
      </w:r>
      <w:r>
        <w:rPr>
          <w:rStyle w:val="OtherTok"/>
        </w:rPr>
        <w:t xml:space="preserve">(</w:t>
      </w:r>
      <w:r>
        <w:rPr>
          <w:rStyle w:val="NormalTok"/>
        </w:rPr>
        <w:t xml:space="preserve">lines</w:t>
      </w:r>
      <w:r>
        <w:rPr>
          <w:rStyle w:val="OtherTok"/>
        </w:rPr>
        <w:t xml:space="preserve">(</w:t>
      </w:r>
      <w:r>
        <w:rPr>
          <w:rStyle w:val="NormalTok"/>
        </w:rPr>
        <w:t xml:space="preserve">i</w:t>
      </w:r>
      <w:r>
        <w:rPr>
          <w:rStyle w:val="OtherTok"/>
        </w:rPr>
        <w:t xml:space="preserve">))</w:t>
      </w:r>
      <w:r>
        <w:rPr>
          <w:rStyle w:val="NormalTok"/>
        </w:rPr>
        <w:t xml:space="preserve"> &gt; </w:t>
      </w:r>
      <w:r>
        <w:rPr>
          <w:rStyle w:val="DecValTok"/>
        </w:rPr>
        <w:t xml:space="preserve">0</w:t>
      </w:r>
      <w:r>
        <w:rPr>
          <w:rStyle w:val="NormalTok"/>
        </w:rPr>
        <w:t xml:space="preserve"> </w:t>
      </w:r>
      <w:r>
        <w:rPr>
          <w:rStyle w:val="ControlFlowTok"/>
        </w:rPr>
        <w:t xml:space="preserve">Then</w:t>
      </w:r>
      <w:r>
        <w:br/>
      </w:r>
      <w:r>
        <w:rPr>
          <w:rStyle w:val="NormalTok"/>
        </w:rPr>
        <w:t xml:space="preserve">        pair = </w:t>
      </w:r>
      <w:r>
        <w:rPr>
          <w:rStyle w:val="FunctionTok"/>
        </w:rPr>
        <w:t xml:space="preserve">Split</w:t>
      </w:r>
      <w:r>
        <w:rPr>
          <w:rStyle w:val="OtherTok"/>
        </w:rPr>
        <w:t xml:space="preserve">(</w:t>
      </w:r>
      <w:r>
        <w:rPr>
          <w:rStyle w:val="NormalTok"/>
        </w:rPr>
        <w:t xml:space="preserve">lines</w:t>
      </w:r>
      <w:r>
        <w:rPr>
          <w:rStyle w:val="OtherTok"/>
        </w:rPr>
        <w:t xml:space="preserve">(</w:t>
      </w:r>
      <w:r>
        <w:rPr>
          <w:rStyle w:val="NormalTok"/>
        </w:rPr>
        <w:t xml:space="preserve">i</w:t>
      </w:r>
      <w:r>
        <w:rPr>
          <w:rStyle w:val="OtherTok"/>
        </w:rPr>
        <w:t xml:space="preserve">),</w:t>
      </w:r>
      <w:r>
        <w:rPr>
          <w:rStyle w:val="NormalTok"/>
        </w:rPr>
        <w:t xml:space="preserve"> </w:t>
      </w:r>
      <w:r>
        <w:rPr>
          <w:rStyle w:val="StringTok"/>
        </w:rPr>
        <w:t xml:space="preserve">"|"</w:t>
      </w:r>
      <w:r>
        <w:rPr>
          <w:rStyle w:val="OtherTok"/>
        </w:rPr>
        <w:t xml:space="preserve">)</w:t>
      </w:r>
      <w:r>
        <w:br/>
      </w:r>
      <w:r>
        <w:rPr>
          <w:rStyle w:val="NormalTok"/>
        </w:rPr>
        <w:t xml:space="preserve">        titleText = </w:t>
      </w:r>
      <w:r>
        <w:rPr>
          <w:rStyle w:val="StringTok"/>
        </w:rPr>
        <w:t xml:space="preserve">""</w:t>
      </w:r>
      <w:r>
        <w:br/>
      </w:r>
      <w:r>
        <w:rPr>
          <w:rStyle w:val="NormalTok"/>
        </w:rPr>
        <w:t xml:space="preserve">        linkText = </w:t>
      </w:r>
      <w:r>
        <w:rPr>
          <w:rStyle w:val="StringTok"/>
        </w:rPr>
        <w:t xml:space="preserve">""</w:t>
      </w:r>
      <w:r>
        <w:br/>
      </w:r>
      <w:r>
        <w:br/>
      </w:r>
      <w:r>
        <w:rPr>
          <w:rStyle w:val="NormalTok"/>
        </w:rPr>
        <w:t xml:space="preserve">        </w:t>
      </w:r>
      <w:r>
        <w:rPr>
          <w:rStyle w:val="ControlFlowTok"/>
        </w:rPr>
        <w:t xml:space="preserve">If</w:t>
      </w:r>
      <w:r>
        <w:rPr>
          <w:rStyle w:val="NormalTok"/>
        </w:rPr>
        <w:t xml:space="preserve"> </w:t>
      </w:r>
      <w:r>
        <w:rPr>
          <w:rStyle w:val="FunctionTok"/>
        </w:rPr>
        <w:t xml:space="preserve">UBound</w:t>
      </w:r>
      <w:r>
        <w:rPr>
          <w:rStyle w:val="OtherTok"/>
        </w:rPr>
        <w:t xml:space="preserve">(</w:t>
      </w:r>
      <w:r>
        <w:rPr>
          <w:rStyle w:val="NormalTok"/>
        </w:rPr>
        <w:t xml:space="preserve">pair</w:t>
      </w:r>
      <w:r>
        <w:rPr>
          <w:rStyle w:val="OtherTok"/>
        </w:rPr>
        <w:t xml:space="preserve">)</w:t>
      </w:r>
      <w:r>
        <w:rPr>
          <w:rStyle w:val="NormalTok"/>
        </w:rPr>
        <w:t xml:space="preserve"> &gt;= </w:t>
      </w:r>
      <w:r>
        <w:rPr>
          <w:rStyle w:val="DecValTok"/>
        </w:rPr>
        <w:t xml:space="preserve">0</w:t>
      </w:r>
      <w:r>
        <w:rPr>
          <w:rStyle w:val="NormalTok"/>
        </w:rPr>
        <w:t xml:space="preserve"> </w:t>
      </w:r>
      <w:r>
        <w:rPr>
          <w:rStyle w:val="ControlFlowTok"/>
        </w:rPr>
        <w:t xml:space="preserve">Then</w:t>
      </w:r>
      <w:r>
        <w:rPr>
          <w:rStyle w:val="NormalTok"/>
        </w:rPr>
        <w:t xml:space="preserve"> titleText = pair</w:t>
      </w:r>
      <w:r>
        <w:rPr>
          <w:rStyle w:val="OtherTok"/>
        </w:rPr>
        <w:t xml:space="preserve">(</w:t>
      </w:r>
      <w:r>
        <w:rPr>
          <w:rStyle w:val="DecValTok"/>
        </w:rPr>
        <w:t xml:space="preserve">0</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FunctionTok"/>
        </w:rPr>
        <w:t xml:space="preserve">UBound</w:t>
      </w:r>
      <w:r>
        <w:rPr>
          <w:rStyle w:val="OtherTok"/>
        </w:rPr>
        <w:t xml:space="preserve">(</w:t>
      </w:r>
      <w:r>
        <w:rPr>
          <w:rStyle w:val="NormalTok"/>
        </w:rPr>
        <w:t xml:space="preserve">pair</w:t>
      </w:r>
      <w:r>
        <w:rPr>
          <w:rStyle w:val="OtherTok"/>
        </w:rPr>
        <w:t xml:space="preserve">)</w:t>
      </w:r>
      <w:r>
        <w:rPr>
          <w:rStyle w:val="NormalTok"/>
        </w:rPr>
        <w:t xml:space="preserve"> &gt;= </w:t>
      </w:r>
      <w:r>
        <w:rPr>
          <w:rStyle w:val="DecValTok"/>
        </w:rPr>
        <w:t xml:space="preserve">1</w:t>
      </w:r>
      <w:r>
        <w:rPr>
          <w:rStyle w:val="NormalTok"/>
        </w:rPr>
        <w:t xml:space="preserve"> </w:t>
      </w:r>
      <w:r>
        <w:rPr>
          <w:rStyle w:val="ControlFlowTok"/>
        </w:rPr>
        <w:t xml:space="preserve">Then</w:t>
      </w:r>
      <w:r>
        <w:rPr>
          <w:rStyle w:val="NormalTok"/>
        </w:rPr>
        <w:t xml:space="preserve"> linkText = pair</w:t>
      </w:r>
      <w:r>
        <w:rPr>
          <w:rStyle w:val="OtherTok"/>
        </w:rPr>
        <w:t xml:space="preserve">(</w:t>
      </w:r>
      <w:r>
        <w:rPr>
          <w:rStyle w:val="DecValTok"/>
        </w:rPr>
        <w:t xml:space="preserve">1</w:t>
      </w:r>
      <w:r>
        <w:rPr>
          <w:rStyle w:val="OtherTok"/>
        </w:rPr>
        <w:t xml:space="preserve">)</w:t>
      </w:r>
      <w:r>
        <w:br/>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"&lt;li&gt;&lt;a href=\</w:t>
      </w:r>
      <w:r>
        <w:rPr>
          <w:rStyle w:val="SpecialCharTok"/>
        </w:rPr>
        <w:t xml:space="preserve">""</w:t>
      </w:r>
      <w:r>
        <w:rPr>
          <w:rStyle w:val="StringTok"/>
        </w:rPr>
        <w:t xml:space="preserve"> &amp; Server.HTMLEncode(linkText) &amp; "</w:t>
      </w:r>
      <w:r>
        <w:rPr>
          <w:rStyle w:val="NormalTok"/>
        </w:rPr>
        <w:t xml:space="preserve">\</w:t>
      </w:r>
      <w:r>
        <w:rPr>
          <w:rStyle w:val="StringTok"/>
        </w:rPr>
        <w:t xml:space="preserve">"&gt;"</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titleText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"&lt;/a&gt;&lt;/li&gt;"</w:t>
      </w:r>
      <w:r>
        <w:br/>
      </w:r>
      <w:r>
        <w:rPr>
          <w:rStyle w:val="NormalTok"/>
        </w:rPr>
        <w:t xml:space="preserve">    </w:t>
      </w:r>
      <w:r>
        <w:rPr>
          <w:rStyle w:val="ControlFlowTok"/>
        </w:rPr>
        <w:t xml:space="preserve">End If</w:t>
      </w:r>
      <w:r>
        <w:br/>
      </w:r>
      <w:r>
        <w:rPr>
          <w:rStyle w:val="ControlFlowTok"/>
        </w:rPr>
        <w:t xml:space="preserve">Next</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"&lt;/ul&gt;"</w:t>
      </w:r>
      <w:r>
        <w:br/>
      </w:r>
      <w:r>
        <w:br/>
      </w:r>
      <w:r>
        <w:rPr>
          <w:rStyle w:val="KeywordTok"/>
        </w:rPr>
        <w:t xml:space="preserve">Call</w:t>
      </w:r>
      <w:r>
        <w:rPr>
          <w:rStyle w:val="NormalTok"/>
        </w:rPr>
        <w:t xml:space="preserve"> rss.</w:t>
      </w:r>
      <w:r>
        <w:rPr>
          <w:rStyle w:val="KeywordTok"/>
        </w:rPr>
        <w:t xml:space="preserve">close</w:t>
      </w:r>
      <w:r>
        <w:rPr>
          <w:rStyle w:val="OtherTok"/>
        </w:rPr>
        <w:t xml:space="preserve">()</w:t>
      </w:r>
      <w:r>
        <w:br/>
      </w:r>
      <w:r>
        <w:rPr>
          <w:rStyle w:val="KeywordTok"/>
        </w:rPr>
        <w:t xml:space="preserve">Set</w:t>
      </w:r>
      <w:r>
        <w:rPr>
          <w:rStyle w:val="NormalTok"/>
        </w:rPr>
        <w:t xml:space="preserve"> rss = </w:t>
      </w:r>
      <w:r>
        <w:rPr>
          <w:rStyle w:val="KeywordTok"/>
        </w:rPr>
        <w:t xml:space="preserve">Nothing</w:t>
      </w:r>
      <w:r>
        <w:br/>
      </w:r>
      <w:r>
        <w:rPr>
          <w:rStyle w:val="DataTypeTok"/>
        </w:rPr>
        <w:t xml:space="preserve">%&gt;</w:t>
      </w:r>
    </w:p>
    <w:bookmarkEnd w:id="277"/>
    <w:bookmarkStart w:id="281" w:name="api-reference"/>
    <w:p>
      <w:pPr>
        <w:pStyle w:val="Heading2"/>
      </w:pPr>
      <w:r>
        <w:t xml:space="preserve">API Reference</w:t>
      </w:r>
    </w:p>
    <w:bookmarkStart w:id="278" w:name="native-object-contract"/>
    <w:p>
      <w:pPr>
        <w:pStyle w:val="Heading3"/>
      </w:pPr>
      <w:r>
        <w:t xml:space="preserve">Native object contract</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Member</w:t>
            </w:r>
          </w:p>
        </w:tc>
        <w:tc>
          <w:tcPr/>
          <w:p>
            <w:pPr>
              <w:pStyle w:val="Compact"/>
            </w:pPr>
            <w:r>
              <w:t xml:space="preserve">Access</w:t>
            </w:r>
          </w:p>
        </w:tc>
        <w:tc>
          <w:tcPr/>
          <w:p>
            <w:pPr>
              <w:pStyle w:val="Compact"/>
            </w:pPr>
            <w:r>
              <w:t xml:space="preserve">AxonASP type</w:t>
            </w:r>
          </w:p>
        </w:tc>
        <w:tc>
          <w:tcPr/>
          <w:p>
            <w:pPr>
              <w:pStyle w:val="Compact"/>
            </w:pPr>
            <w:r>
              <w:t xml:space="preserve">Description</w:t>
            </w:r>
          </w:p>
        </w:tc>
      </w:tr>
      <w:tr>
        <w:tc>
          <w:tcPr/>
          <w:p>
            <w:pPr>
              <w:pStyle w:val="Compact"/>
            </w:pPr>
            <w:r>
              <w:rPr>
                <w:rStyle w:val="VerbatimChar"/>
              </w:rPr>
              <w:t xml:space="preserve">open(method, url, async)</w:t>
            </w:r>
          </w:p>
        </w:tc>
        <w:tc>
          <w:tcPr/>
          <w:p>
            <w:pPr>
              <w:pStyle w:val="Compact"/>
            </w:pPr>
            <w:r>
              <w:t xml:space="preserve">Method</w:t>
            </w:r>
          </w:p>
        </w:tc>
        <w:tc>
          <w:tcPr/>
          <w:p>
            <w:pPr>
              <w:pStyle w:val="Compact"/>
            </w:pPr>
            <w:r>
              <w:rPr>
                <w:rStyle w:val="VerbatimChar"/>
              </w:rPr>
              <w:t xml:space="preserve">Boolean</w:t>
            </w:r>
          </w:p>
        </w:tc>
        <w:tc>
          <w:tcPr/>
          <w:p>
            <w:pPr>
              <w:pStyle w:val="Compact"/>
            </w:pPr>
            <w:r>
              <w:t xml:space="preserve">Initializes COM apartment if needed and configures request metadata.</w:t>
            </w:r>
          </w:p>
        </w:tc>
      </w:tr>
      <w:tr>
        <w:tc>
          <w:tcPr/>
          <w:p>
            <w:pPr>
              <w:pStyle w:val="Compact"/>
            </w:pPr>
            <w:r>
              <w:rPr>
                <w:rStyle w:val="VerbatimChar"/>
              </w:rPr>
              <w:t xml:space="preserve">send([body])</w:t>
            </w:r>
          </w:p>
        </w:tc>
        <w:tc>
          <w:tcPr/>
          <w:p>
            <w:pPr>
              <w:pStyle w:val="Compact"/>
            </w:pPr>
            <w:r>
              <w:t xml:space="preserve">Method</w:t>
            </w:r>
          </w:p>
        </w:tc>
        <w:tc>
          <w:tcPr/>
          <w:p>
            <w:pPr>
              <w:pStyle w:val="Compact"/>
            </w:pPr>
            <w:r>
              <w:rPr>
                <w:rStyle w:val="VerbatimChar"/>
              </w:rPr>
              <w:t xml:space="preserve">Boolean</w:t>
            </w:r>
          </w:p>
        </w:tc>
        <w:tc>
          <w:tcPr/>
          <w:p>
            <w:pPr>
              <w:pStyle w:val="Compact"/>
            </w:pPr>
            <w:r>
              <w:t xml:space="preserve">Sends request and waits for</w:t>
            </w:r>
            <w:r>
              <w:t xml:space="preserve"> </w:t>
            </w:r>
            <w:r>
              <w:rPr>
                <w:rStyle w:val="VerbatimChar"/>
              </w:rPr>
              <w:t xml:space="preserve">readyState = 4</w:t>
            </w:r>
            <w:r>
              <w:t xml:space="preserve"> </w:t>
            </w:r>
            <w:r>
              <w:t xml:space="preserve">with timeout guard.</w:t>
            </w:r>
          </w:p>
        </w:tc>
      </w:tr>
      <w:tr>
        <w:tc>
          <w:tcPr/>
          <w:p>
            <w:pPr>
              <w:pStyle w:val="Compact"/>
            </w:pPr>
            <w:r>
              <w:rPr>
                <w:rStyle w:val="VerbatimChar"/>
              </w:rPr>
              <w:t xml:space="preserve">selectNodes(xpath)</w:t>
            </w:r>
          </w:p>
        </w:tc>
        <w:tc>
          <w:tcPr/>
          <w:p>
            <w:pPr>
              <w:pStyle w:val="Compact"/>
            </w:pPr>
            <w:r>
              <w:t xml:space="preserve">Method</w:t>
            </w:r>
          </w:p>
        </w:tc>
        <w:tc>
          <w:tcPr/>
          <w:p>
            <w:pPr>
              <w:pStyle w:val="Compact"/>
            </w:pPr>
            <w:r>
              <w:rPr>
                <w:rStyle w:val="VerbatimChar"/>
              </w:rPr>
              <w:t xml:space="preserve">String</w:t>
            </w:r>
          </w:p>
        </w:tc>
        <w:tc>
          <w:tcPr/>
          <w:p>
            <w:pPr>
              <w:pStyle w:val="Compact"/>
            </w:pPr>
            <w:r>
              <w:t xml:space="preserve">Extracts XML nodes and returns</w:t>
            </w:r>
            <w:r>
              <w:t xml:space="preserve"> </w:t>
            </w:r>
            <w:r>
              <w:rPr>
                <w:rStyle w:val="VerbatimChar"/>
              </w:rPr>
              <w:t xml:space="preserve">title|link</w:t>
            </w:r>
            <w:r>
              <w:t xml:space="preserve"> </w:t>
            </w:r>
            <w:r>
              <w:t xml:space="preserve">entries separated by CRLF.</w:t>
            </w:r>
          </w:p>
        </w:tc>
      </w:tr>
      <w:tr>
        <w:tc>
          <w:tcPr/>
          <w:p>
            <w:pPr>
              <w:pStyle w:val="Compact"/>
            </w:pPr>
            <w:r>
              <w:rPr>
                <w:rStyle w:val="VerbatimChar"/>
              </w:rPr>
              <w:t xml:space="preserve">close()</w:t>
            </w:r>
          </w:p>
        </w:tc>
        <w:tc>
          <w:tcPr/>
          <w:p>
            <w:pPr>
              <w:pStyle w:val="Compact"/>
            </w:pPr>
            <w:r>
              <w:t xml:space="preserve">Method</w:t>
            </w:r>
          </w:p>
        </w:tc>
        <w:tc>
          <w:tcPr/>
          <w:p>
            <w:pPr>
              <w:pStyle w:val="Compact"/>
            </w:pPr>
            <w:r>
              <w:rPr>
                <w:rStyle w:val="VerbatimChar"/>
              </w:rPr>
              <w:t xml:space="preserve">Empty</w:t>
            </w:r>
          </w:p>
        </w:tc>
        <w:tc>
          <w:tcPr/>
          <w:p>
            <w:pPr>
              <w:pStyle w:val="Compact"/>
            </w:pPr>
            <w:r>
              <w:t xml:space="preserve">Releases COM dispatch objects and uninitializes COM apartment.</w:t>
            </w:r>
          </w:p>
        </w:tc>
      </w:tr>
      <w:tr>
        <w:tc>
          <w:tcPr/>
          <w:p>
            <w:pPr>
              <w:pStyle w:val="Compact"/>
            </w:pPr>
            <w:r>
              <w:rPr>
                <w:rStyle w:val="VerbatimChar"/>
              </w:rPr>
              <w:t xml:space="preserve">LastError</w:t>
            </w:r>
          </w:p>
        </w:tc>
        <w:tc>
          <w:tcPr/>
          <w:p>
            <w:pPr>
              <w:pStyle w:val="Compact"/>
            </w:pPr>
            <w:r>
              <w:t xml:space="preserve">Property Get</w:t>
            </w:r>
          </w:p>
        </w:tc>
        <w:tc>
          <w:tcPr/>
          <w:p>
            <w:pPr>
              <w:pStyle w:val="Compact"/>
            </w:pPr>
            <w:r>
              <w:rPr>
                <w:rStyle w:val="VerbatimChar"/>
              </w:rPr>
              <w:t xml:space="preserve">String</w:t>
            </w:r>
          </w:p>
        </w:tc>
        <w:tc>
          <w:tcPr/>
          <w:p>
            <w:pPr>
              <w:pStyle w:val="Compact"/>
            </w:pPr>
            <w:r>
              <w:t xml:space="preserve">Most recent operational error generated by the wrapper.</w:t>
            </w:r>
          </w:p>
        </w:tc>
      </w:tr>
    </w:tbl>
    <w:bookmarkEnd w:id="278"/>
    <w:bookmarkStart w:id="279" w:name="required-release-operations"/>
    <w:p>
      <w:pPr>
        <w:pStyle w:val="Heading3"/>
      </w:pPr>
      <w:r>
        <w:t xml:space="preserve">Required release operations</w:t>
      </w:r>
    </w:p>
    <w:p>
      <w:pPr>
        <w:pStyle w:val="Compact"/>
        <w:numPr>
          <w:ilvl w:val="0"/>
          <w:numId w:val="1114"/>
        </w:numPr>
      </w:pPr>
      <w:r>
        <w:rPr>
          <w:rStyle w:val="VerbatimChar"/>
        </w:rPr>
        <w:t xml:space="preserve">defer obj.Release()</w:t>
      </w:r>
      <w:r>
        <w:t xml:space="preserve"> </w:t>
      </w:r>
      <w:r>
        <w:t xml:space="preserve">for every COM</w:t>
      </w:r>
      <w:r>
        <w:t xml:space="preserve"> </w:t>
      </w:r>
      <w:r>
        <w:rPr>
          <w:rStyle w:val="VerbatimChar"/>
        </w:rPr>
        <w:t xml:space="preserve">IDispatch</w:t>
      </w:r>
      <w:r>
        <w:t xml:space="preserve"> </w:t>
      </w:r>
      <w:r>
        <w:t xml:space="preserve">or</w:t>
      </w:r>
      <w:r>
        <w:t xml:space="preserve"> </w:t>
      </w:r>
      <w:r>
        <w:rPr>
          <w:rStyle w:val="VerbatimChar"/>
        </w:rPr>
        <w:t xml:space="preserve">IUnknown</w:t>
      </w:r>
      <w:r>
        <w:t xml:space="preserve"> </w:t>
      </w:r>
      <w:r>
        <w:t xml:space="preserve">acquisition.</w:t>
      </w:r>
    </w:p>
    <w:p>
      <w:pPr>
        <w:pStyle w:val="Compact"/>
        <w:numPr>
          <w:ilvl w:val="0"/>
          <w:numId w:val="1114"/>
        </w:numPr>
      </w:pPr>
      <w:r>
        <w:rPr>
          <w:rStyle w:val="VerbatimChar"/>
        </w:rPr>
        <w:t xml:space="preserve">ole.VariantClear(&amp;v)</w:t>
      </w:r>
      <w:r>
        <w:t xml:space="preserve"> </w:t>
      </w:r>
      <w:r>
        <w:t xml:space="preserve">for every</w:t>
      </w:r>
      <w:r>
        <w:t xml:space="preserve"> </w:t>
      </w:r>
      <w:r>
        <w:rPr>
          <w:rStyle w:val="VerbatimChar"/>
        </w:rPr>
        <w:t xml:space="preserve">ole.VARIANT</w:t>
      </w:r>
      <w:r>
        <w:t xml:space="preserve"> </w:t>
      </w:r>
      <w:r>
        <w:t xml:space="preserve">returned by</w:t>
      </w:r>
      <w:r>
        <w:t xml:space="preserve"> </w:t>
      </w:r>
      <w:r>
        <w:rPr>
          <w:rStyle w:val="VerbatimChar"/>
        </w:rPr>
        <w:t xml:space="preserve">GetProperty</w:t>
      </w:r>
      <w:r>
        <w:t xml:space="preserve"> </w:t>
      </w:r>
      <w:r>
        <w:t xml:space="preserve">or</w:t>
      </w:r>
      <w:r>
        <w:t xml:space="preserve"> </w:t>
      </w:r>
      <w:r>
        <w:rPr>
          <w:rStyle w:val="VerbatimChar"/>
        </w:rPr>
        <w:t xml:space="preserve">CallMethod</w:t>
      </w:r>
      <w:r>
        <w:t xml:space="preserve">.</w:t>
      </w:r>
    </w:p>
    <w:p>
      <w:pPr>
        <w:pStyle w:val="Compact"/>
        <w:numPr>
          <w:ilvl w:val="0"/>
          <w:numId w:val="1114"/>
        </w:numPr>
      </w:pPr>
      <w:r>
        <w:rPr>
          <w:rStyle w:val="VerbatimChar"/>
        </w:rPr>
        <w:t xml:space="preserve">defer ole.CoUninitialize()</w:t>
      </w:r>
      <w:r>
        <w:t xml:space="preserve"> </w:t>
      </w:r>
      <w:r>
        <w:t xml:space="preserve">or equivalent deterministic close-path uninitialization.</w:t>
      </w:r>
    </w:p>
    <w:p>
      <w:pPr>
        <w:pStyle w:val="Compact"/>
        <w:numPr>
          <w:ilvl w:val="0"/>
          <w:numId w:val="1114"/>
        </w:numPr>
      </w:pPr>
      <w:r>
        <w:rPr>
          <w:rStyle w:val="VerbatimChar"/>
        </w:rPr>
        <w:t xml:space="preserve">runtime.LockOSThread()</w:t>
      </w:r>
      <w:r>
        <w:t xml:space="preserve"> </w:t>
      </w:r>
      <w:r>
        <w:t xml:space="preserve">when COM apartment lifetime must stay on one OS thread.</w:t>
      </w:r>
    </w:p>
    <w:bookmarkEnd w:id="279"/>
    <w:bookmarkStart w:id="280" w:name="build-tags"/>
    <w:p>
      <w:pPr>
        <w:pStyle w:val="Heading3"/>
      </w:pPr>
      <w:r>
        <w:t xml:space="preserve">Build tags</w:t>
      </w:r>
    </w:p>
    <w:p>
      <w:pPr>
        <w:pStyle w:val="Compact"/>
        <w:numPr>
          <w:ilvl w:val="0"/>
          <w:numId w:val="1115"/>
        </w:numPr>
      </w:pPr>
      <w:r>
        <w:t xml:space="preserve">Windows enabled file:</w:t>
      </w:r>
      <w:r>
        <w:t xml:space="preserve"> </w:t>
      </w:r>
      <w:r>
        <w:rPr>
          <w:rStyle w:val="VerbatimChar"/>
        </w:rPr>
        <w:t xml:space="preserve">//go:build windows &amp;&amp; !lib_msxmlcom_disabled</w:t>
      </w:r>
    </w:p>
    <w:p>
      <w:pPr>
        <w:pStyle w:val="Compact"/>
        <w:numPr>
          <w:ilvl w:val="0"/>
          <w:numId w:val="1115"/>
        </w:numPr>
      </w:pPr>
      <w:r>
        <w:t xml:space="preserve">Disabled fallback file:</w:t>
      </w:r>
      <w:r>
        <w:t xml:space="preserve"> </w:t>
      </w:r>
      <w:r>
        <w:rPr>
          <w:rStyle w:val="VerbatimChar"/>
        </w:rPr>
        <w:t xml:space="preserve">//go:build !windows || lib_msxmlcom_disabled</w:t>
      </w:r>
    </w:p>
    <w:bookmarkEnd w:id="280"/>
    <w:bookmarkEnd w:id="281"/>
    <w:bookmarkEnd w:id="282"/>
    <w:bookmarkStart w:id="309" w:name="use-axonasp-testsuite"/>
    <w:p>
      <w:pPr>
        <w:pStyle w:val="Heading1"/>
      </w:pPr>
      <w:r>
        <w:t xml:space="preserve">Use axonasp-testsuite</w:t>
      </w:r>
    </w:p>
    <w:bookmarkStart w:id="283" w:name="overview-20"/>
    <w:p>
      <w:pPr>
        <w:pStyle w:val="Heading2"/>
      </w:pPr>
      <w:r>
        <w:t xml:space="preserve">Overview</w:t>
      </w:r>
    </w:p>
    <w:p>
      <w:pPr>
        <w:pStyle w:val="FirstParagraph"/>
      </w:pPr>
      <w:r>
        <w:rPr>
          <w:rStyle w:val="VerbatimChar"/>
        </w:rPr>
        <w:t xml:space="preserve">axonasp-testsuite</w:t>
      </w:r>
      <w:r>
        <w:t xml:space="preserve"> </w:t>
      </w:r>
      <w:r>
        <w:t xml:space="preserve">is the native Classic ASP test runner for AxonASP. Conceptually, it serves the same role as PHPUnit for PHP projects or</w:t>
      </w:r>
      <w:r>
        <w:t xml:space="preserve"> </w:t>
      </w:r>
      <w:r>
        <w:rPr>
          <w:rStyle w:val="VerbatimChar"/>
        </w:rPr>
        <w:t xml:space="preserve">go test</w:t>
      </w:r>
      <w:r>
        <w:t xml:space="preserve"> </w:t>
      </w:r>
      <w:r>
        <w:t xml:space="preserve">for Go projects: discover tests, execute them, aggregate assertions, print a human-friendly summary, and return a process exit code suitable for CI/CD pipelines.</w:t>
      </w:r>
    </w:p>
    <w:p>
      <w:pPr>
        <w:pStyle w:val="BodyText"/>
      </w:pPr>
      <w:r>
        <w:t xml:space="preserve">The runner executes test pages through the AxonASP VM, collects assertion reports from each</w:t>
      </w:r>
      <w:r>
        <w:t xml:space="preserve"> </w:t>
      </w:r>
      <w:r>
        <w:rPr>
          <w:rStyle w:val="VerbatimChar"/>
        </w:rPr>
        <w:t xml:space="preserve">G3Test</w:t>
      </w:r>
      <w:r>
        <w:t xml:space="preserve"> </w:t>
      </w:r>
      <w:r>
        <w:t xml:space="preserve">or</w:t>
      </w:r>
      <w:r>
        <w:t xml:space="preserve"> </w:t>
      </w:r>
      <w:r>
        <w:rPr>
          <w:rStyle w:val="VerbatimChar"/>
        </w:rPr>
        <w:t xml:space="preserve">G3TestSuite</w:t>
      </w:r>
      <w:r>
        <w:t xml:space="preserve"> </w:t>
      </w:r>
      <w:r>
        <w:t xml:space="preserve">object created in each file, and fails the process when any suite has failed assertions, runtime errors, compile errors, or no assertions.</w:t>
      </w:r>
    </w:p>
    <w:bookmarkEnd w:id="283"/>
    <w:bookmarkStart w:id="284" w:name="discovery-rules"/>
    <w:p>
      <w:pPr>
        <w:pStyle w:val="Heading2"/>
      </w:pPr>
      <w:r>
        <w:t xml:space="preserve">Discovery Rules</w:t>
      </w:r>
    </w:p>
    <w:p>
      <w:pPr>
        <w:pStyle w:val="FirstParagraph"/>
      </w:pPr>
      <w:r>
        <w:t xml:space="preserve">The runner recursively scans a directory and executes files that match:</w:t>
      </w:r>
    </w:p>
    <w:p>
      <w:pPr>
        <w:pStyle w:val="Compact"/>
        <w:numPr>
          <w:ilvl w:val="0"/>
          <w:numId w:val="1116"/>
        </w:numPr>
      </w:pPr>
      <w:r>
        <w:rPr>
          <w:rStyle w:val="VerbatimChar"/>
        </w:rPr>
        <w:t xml:space="preserve">*test.asp</w:t>
      </w:r>
    </w:p>
    <w:p>
      <w:pPr>
        <w:pStyle w:val="Compact"/>
        <w:numPr>
          <w:ilvl w:val="0"/>
          <w:numId w:val="1116"/>
        </w:numPr>
      </w:pPr>
      <w:r>
        <w:rPr>
          <w:rStyle w:val="VerbatimChar"/>
        </w:rPr>
        <w:t xml:space="preserve">test_*.asp</w:t>
      </w:r>
    </w:p>
    <w:p>
      <w:pPr>
        <w:pStyle w:val="FirstParagraph"/>
      </w:pPr>
      <w:r>
        <w:t xml:space="preserve">The default extension list comes from</w:t>
      </w:r>
      <w:r>
        <w:t xml:space="preserve"> </w:t>
      </w:r>
      <w:r>
        <w:rPr>
          <w:rStyle w:val="VerbatimChar"/>
        </w:rPr>
        <w:t xml:space="preserve">global.execute_as_asp</w:t>
      </w:r>
      <w:r>
        <w:t xml:space="preserve"> </w:t>
      </w:r>
      <w:r>
        <w:t xml:space="preserve">in</w:t>
      </w:r>
      <w:r>
        <w:t xml:space="preserve"> </w:t>
      </w:r>
      <w:r>
        <w:rPr>
          <w:rStyle w:val="VerbatimChar"/>
        </w:rPr>
        <w:t xml:space="preserve">config/axonasp.toml</w:t>
      </w:r>
      <w:r>
        <w:t xml:space="preserve">. Files are sorted before execution to provide deterministic run order.</w:t>
      </w:r>
    </w:p>
    <w:bookmarkEnd w:id="284"/>
    <w:bookmarkStart w:id="285" w:name="command-line-usage"/>
    <w:p>
      <w:pPr>
        <w:pStyle w:val="Heading2"/>
      </w:pPr>
      <w:r>
        <w:t xml:space="preserve">Command-Line Usage</w:t>
      </w:r>
    </w:p>
    <w:p>
      <w:pPr>
        <w:pStyle w:val="FirstParagraph"/>
      </w:pPr>
      <w:r>
        <w:t xml:space="preserve">Windows:</w:t>
      </w:r>
    </w:p>
    <w:p>
      <w:pPr>
        <w:pStyle w:val="SourceCode"/>
      </w:pPr>
      <w:r>
        <w:rPr>
          <w:rStyle w:val="OperatorTok"/>
        </w:rPr>
        <w:t xml:space="preserve">.</w:t>
      </w:r>
      <w:r>
        <w:rPr>
          <w:rStyle w:val="NormalTok"/>
        </w:rPr>
        <w:t xml:space="preserve">\axonasp-testsuite</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\www\tests\testsuite</w:t>
      </w:r>
    </w:p>
    <w:p>
      <w:pPr>
        <w:pStyle w:val="FirstParagraph"/>
      </w:pPr>
      <w:r>
        <w:t xml:space="preserve">Linux and macOS:</w:t>
      </w:r>
    </w:p>
    <w:p>
      <w:pPr>
        <w:pStyle w:val="SourceCode"/>
      </w:pPr>
      <w:r>
        <w:rPr>
          <w:rStyle w:val="ExtensionTok"/>
        </w:rPr>
        <w:t xml:space="preserve">./axonasp-testsuite</w:t>
      </w:r>
      <w:r>
        <w:rPr>
          <w:rStyle w:val="NormalTok"/>
        </w:rPr>
        <w:t xml:space="preserve"> ./www/tests/testsuite</w:t>
      </w:r>
    </w:p>
    <w:p>
      <w:pPr>
        <w:pStyle w:val="FirstParagraph"/>
      </w:pPr>
      <w:r>
        <w:t xml:space="preserve">You can run a broader folder:</w:t>
      </w:r>
    </w:p>
    <w:p>
      <w:pPr>
        <w:pStyle w:val="SourceCode"/>
      </w:pPr>
      <w:r>
        <w:rPr>
          <w:rStyle w:val="OperatorTok"/>
        </w:rPr>
        <w:t xml:space="preserve">.</w:t>
      </w:r>
      <w:r>
        <w:rPr>
          <w:rStyle w:val="NormalTok"/>
        </w:rPr>
        <w:t xml:space="preserve">\axonasp-testsuite</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\www\tests</w:t>
      </w:r>
    </w:p>
    <w:bookmarkEnd w:id="285"/>
    <w:bookmarkStart w:id="286" w:name="how-test-files-are-executed"/>
    <w:p>
      <w:pPr>
        <w:pStyle w:val="Heading2"/>
      </w:pPr>
      <w:r>
        <w:t xml:space="preserve">How Test Files Are Executed</w:t>
      </w:r>
    </w:p>
    <w:p>
      <w:pPr>
        <w:pStyle w:val="FirstParagraph"/>
      </w:pPr>
      <w:r>
        <w:t xml:space="preserve">For each discovered file, the runner performs this flow:</w:t>
      </w:r>
    </w:p>
    <w:p>
      <w:pPr>
        <w:pStyle w:val="Compact"/>
        <w:numPr>
          <w:ilvl w:val="0"/>
          <w:numId w:val="1117"/>
        </w:numPr>
      </w:pPr>
      <w:r>
        <w:t xml:space="preserve">Loads or compiles the ASP script through the bytecode cache.</w:t>
      </w:r>
    </w:p>
    <w:p>
      <w:pPr>
        <w:pStyle w:val="Compact"/>
        <w:numPr>
          <w:ilvl w:val="0"/>
          <w:numId w:val="1117"/>
        </w:numPr>
      </w:pPr>
      <w:r>
        <w:t xml:space="preserve">Creates a VM instance from the cached program.</w:t>
      </w:r>
    </w:p>
    <w:p>
      <w:pPr>
        <w:pStyle w:val="Compact"/>
        <w:numPr>
          <w:ilvl w:val="0"/>
          <w:numId w:val="1117"/>
        </w:numPr>
      </w:pPr>
      <w:r>
        <w:t xml:space="preserve">Sets a CLI-style ASP host context (</w:t>
      </w:r>
      <w:r>
        <w:rPr>
          <w:rStyle w:val="VerbatimChar"/>
        </w:rPr>
        <w:t xml:space="preserve">REQUEST_METHOD=CLI</w:t>
      </w:r>
      <w:r>
        <w:t xml:space="preserve">) with server root and request path.</w:t>
      </w:r>
    </w:p>
    <w:p>
      <w:pPr>
        <w:pStyle w:val="Compact"/>
        <w:numPr>
          <w:ilvl w:val="0"/>
          <w:numId w:val="1117"/>
        </w:numPr>
      </w:pPr>
      <w:r>
        <w:t xml:space="preserve">Executes the file and captures output and assertion reports.</w:t>
      </w:r>
    </w:p>
    <w:p>
      <w:pPr>
        <w:pStyle w:val="Compact"/>
        <w:numPr>
          <w:ilvl w:val="0"/>
          <w:numId w:val="1117"/>
        </w:numPr>
      </w:pPr>
      <w:r>
        <w:t xml:space="preserve">Prints per-file status and aggregate summary.</w:t>
      </w:r>
    </w:p>
    <w:p>
      <w:pPr>
        <w:pStyle w:val="FirstParagraph"/>
      </w:pPr>
      <w:r>
        <w:t xml:space="preserve">A file is marked as failed when any of the following happens:</w:t>
      </w:r>
    </w:p>
    <w:p>
      <w:pPr>
        <w:pStyle w:val="Compact"/>
        <w:numPr>
          <w:ilvl w:val="0"/>
          <w:numId w:val="1118"/>
        </w:numPr>
      </w:pPr>
      <w:r>
        <w:t xml:space="preserve">Compile error</w:t>
      </w:r>
    </w:p>
    <w:p>
      <w:pPr>
        <w:pStyle w:val="Compact"/>
        <w:numPr>
          <w:ilvl w:val="0"/>
          <w:numId w:val="1118"/>
        </w:numPr>
      </w:pPr>
      <w:r>
        <w:t xml:space="preserve">Runtime error</w:t>
      </w:r>
    </w:p>
    <w:p>
      <w:pPr>
        <w:pStyle w:val="Compact"/>
        <w:numPr>
          <w:ilvl w:val="0"/>
          <w:numId w:val="1118"/>
        </w:numPr>
      </w:pPr>
      <w:r>
        <w:t xml:space="preserve">One or more failed assertions</w:t>
      </w:r>
    </w:p>
    <w:p>
      <w:pPr>
        <w:pStyle w:val="Compact"/>
        <w:numPr>
          <w:ilvl w:val="0"/>
          <w:numId w:val="1118"/>
        </w:numPr>
      </w:pPr>
      <w:r>
        <w:t xml:space="preserve">No assertions executed (no</w:t>
      </w:r>
      <w:r>
        <w:t xml:space="preserve"> </w:t>
      </w:r>
      <w:r>
        <w:rPr>
          <w:rStyle w:val="VerbatimChar"/>
        </w:rPr>
        <w:t xml:space="preserve">G3Test</w:t>
      </w:r>
      <w:r>
        <w:t xml:space="preserve">/</w:t>
      </w:r>
      <w:r>
        <w:rPr>
          <w:rStyle w:val="VerbatimChar"/>
        </w:rPr>
        <w:t xml:space="preserve">G3TestSuite</w:t>
      </w:r>
      <w:r>
        <w:t xml:space="preserve"> </w:t>
      </w:r>
      <w:r>
        <w:t xml:space="preserve">report generated)</w:t>
      </w:r>
    </w:p>
    <w:bookmarkEnd w:id="286"/>
    <w:bookmarkStart w:id="288" w:name="creating-asp-tests"/>
    <w:p>
      <w:pPr>
        <w:pStyle w:val="Heading2"/>
      </w:pPr>
      <w:r>
        <w:t xml:space="preserve">Creating ASP Tests</w:t>
      </w:r>
    </w:p>
    <w:p>
      <w:pPr>
        <w:pStyle w:val="FirstParagraph"/>
      </w:pPr>
      <w:r>
        <w:t xml:space="preserve">Inside each test file, instantiate the test object with:</w:t>
      </w:r>
    </w:p>
    <w:p>
      <w:pPr>
        <w:pStyle w:val="SourceCode"/>
      </w:pPr>
      <w:r>
        <w:rPr>
          <w:rStyle w:val="NormalTok"/>
        </w:rPr>
        <w:t xml:space="preserve">Set t = Server.CreateObject("G3TestSuite")</w:t>
      </w:r>
    </w:p>
    <w:p>
      <w:pPr>
        <w:pStyle w:val="FirstParagraph"/>
      </w:pPr>
      <w:r>
        <w:rPr>
          <w:rStyle w:val="VerbatimChar"/>
        </w:rPr>
        <w:t xml:space="preserve">"G3Test"</w:t>
      </w:r>
      <w:r>
        <w:t xml:space="preserve"> </w:t>
      </w:r>
      <w:r>
        <w:t xml:space="preserve">is also accepted as an alias:</w:t>
      </w:r>
    </w:p>
    <w:p>
      <w:pPr>
        <w:pStyle w:val="SourceCode"/>
      </w:pPr>
      <w:r>
        <w:rPr>
          <w:rStyle w:val="NormalTok"/>
        </w:rPr>
        <w:t xml:space="preserve">Set t = Server.CreateObject("G3Test")</w:t>
      </w:r>
    </w:p>
    <w:bookmarkStart w:id="287" w:name="minimal-smoke-test"/>
    <w:p>
      <w:pPr>
        <w:pStyle w:val="Heading3"/>
      </w:pPr>
      <w:r>
        <w:t xml:space="preserve">Minimal Smoke Test</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t</w:t>
      </w:r>
      <w:r>
        <w:br/>
      </w:r>
      <w:r>
        <w:rPr>
          <w:rStyle w:val="KeywordTok"/>
        </w:rPr>
        <w:t xml:space="preserve">Set</w:t>
      </w:r>
      <w:r>
        <w:rPr>
          <w:rStyle w:val="NormalTok"/>
        </w:rPr>
        <w:t xml:space="preserve"> 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"G3TestSuite"</w:t>
      </w:r>
      <w:r>
        <w:rPr>
          <w:rStyle w:val="OtherTok"/>
        </w:rPr>
        <w:t xml:space="preserve">)</w:t>
      </w:r>
      <w:r>
        <w:br/>
      </w:r>
      <w:r>
        <w:br/>
      </w:r>
      <w:r>
        <w:rPr>
          <w:rStyle w:val="NormalTok"/>
        </w:rPr>
        <w:t xml:space="preserve">t.Describe </w:t>
      </w:r>
      <w:r>
        <w:rPr>
          <w:rStyle w:val="StringTok"/>
        </w:rPr>
        <w:t xml:space="preserve">"G3TestSuite smoke test"</w:t>
      </w:r>
      <w:r>
        <w:br/>
      </w:r>
      <w:r>
        <w:rPr>
          <w:rStyle w:val="NormalTok"/>
        </w:rPr>
        <w:t xml:space="preserve">t.AssertEqual </w:t>
      </w:r>
      <w:r>
        <w:rPr>
          <w:rStyle w:val="DecValTok"/>
        </w:rPr>
        <w:t xml:space="preserve">4</w:t>
      </w:r>
      <w:r>
        <w:rPr>
          <w:rStyle w:val="OtherTok"/>
        </w:rPr>
        <w:t xml:space="preserve">,</w:t>
      </w:r>
      <w:r>
        <w:rPr>
          <w:rStyle w:val="NormalTok"/>
        </w:rPr>
        <w:t xml:space="preserve"> </w:t>
      </w:r>
      <w:r>
        <w:rPr>
          <w:rStyle w:val="DecValTok"/>
        </w:rPr>
        <w:t xml:space="preserve">2</w:t>
      </w:r>
      <w:r>
        <w:rPr>
          <w:rStyle w:val="NormalTok"/>
        </w:rPr>
        <w:t xml:space="preserve"> + </w:t>
      </w:r>
      <w:r>
        <w:rPr>
          <w:rStyle w:val="DecValTok"/>
        </w:rPr>
        <w:t xml:space="preserve">2</w:t>
      </w:r>
      <w:r>
        <w:rPr>
          <w:rStyle w:val="OtherTok"/>
        </w:rPr>
        <w:t xml:space="preserve">,</w:t>
      </w:r>
      <w:r>
        <w:rPr>
          <w:rStyle w:val="NormalTok"/>
        </w:rPr>
        <w:t xml:space="preserve"> </w:t>
      </w:r>
      <w:r>
        <w:rPr>
          <w:rStyle w:val="StringTok"/>
        </w:rPr>
        <w:t xml:space="preserve">"2 + 2 should equal 4"</w:t>
      </w:r>
      <w:r>
        <w:br/>
      </w:r>
      <w:r>
        <w:rPr>
          <w:rStyle w:val="NormalTok"/>
        </w:rPr>
        <w:t xml:space="preserve">t.AssertTrue </w:t>
      </w:r>
      <w:r>
        <w:rPr>
          <w:rStyle w:val="FunctionTok"/>
        </w:rPr>
        <w:t xml:space="preserve">Len</w:t>
      </w:r>
      <w:r>
        <w:rPr>
          <w:rStyle w:val="OtherTok"/>
        </w:rPr>
        <w:t xml:space="preserve">(</w:t>
      </w:r>
      <w:r>
        <w:rPr>
          <w:rStyle w:val="StringTok"/>
        </w:rPr>
        <w:t xml:space="preserve">"axon"</w:t>
      </w:r>
      <w:r>
        <w:rPr>
          <w:rStyle w:val="OtherTok"/>
        </w:rPr>
        <w:t xml:space="preserve">)</w:t>
      </w:r>
      <w:r>
        <w:rPr>
          <w:rStyle w:val="NormalTok"/>
        </w:rPr>
        <w:t xml:space="preserve"> = </w:t>
      </w:r>
      <w:r>
        <w:rPr>
          <w:rStyle w:val="DecValTok"/>
        </w:rPr>
        <w:t xml:space="preserve">4</w:t>
      </w:r>
      <w:r>
        <w:rPr>
          <w:rStyle w:val="OtherTok"/>
        </w:rPr>
        <w:t xml:space="preserve">,</w:t>
      </w:r>
      <w:r>
        <w:rPr>
          <w:rStyle w:val="NormalTok"/>
        </w:rPr>
        <w:t xml:space="preserve"> </w:t>
      </w:r>
      <w:r>
        <w:rPr>
          <w:rStyle w:val="StringTok"/>
        </w:rPr>
        <w:t xml:space="preserve">"Len should report the expected size"</w:t>
      </w:r>
      <w:r>
        <w:br/>
      </w:r>
      <w:r>
        <w:rPr>
          <w:rStyle w:val="NormalTok"/>
        </w:rPr>
        <w:t xml:space="preserve">t.AssertFalse </w:t>
      </w:r>
      <w:r>
        <w:rPr>
          <w:rStyle w:val="FunctionTok"/>
        </w:rPr>
        <w:t xml:space="preserve">IsEmpty</w:t>
      </w:r>
      <w:r>
        <w:rPr>
          <w:rStyle w:val="OtherTok"/>
        </w:rPr>
        <w:t xml:space="preserve">(</w:t>
      </w:r>
      <w:r>
        <w:rPr>
          <w:rStyle w:val="StringTok"/>
        </w:rPr>
        <w:t xml:space="preserve">"ready"</w:t>
      </w:r>
      <w:r>
        <w:rPr>
          <w:rStyle w:val="OtherTok"/>
        </w:rPr>
        <w:t xml:space="preserve">),</w:t>
      </w:r>
      <w:r>
        <w:rPr>
          <w:rStyle w:val="NormalTok"/>
        </w:rPr>
        <w:t xml:space="preserve"> </w:t>
      </w:r>
      <w:r>
        <w:rPr>
          <w:rStyle w:val="StringTok"/>
        </w:rPr>
        <w:t xml:space="preserve">"Literal text should not be Empty"</w:t>
      </w:r>
      <w:r>
        <w:br/>
      </w:r>
      <w:r>
        <w:rPr>
          <w:rStyle w:val="DataTypeTok"/>
        </w:rPr>
        <w:t xml:space="preserve">%&gt;</w:t>
      </w:r>
    </w:p>
    <w:bookmarkEnd w:id="287"/>
    <w:bookmarkEnd w:id="288"/>
    <w:bookmarkStart w:id="302" w:name="assertion-api"/>
    <w:p>
      <w:pPr>
        <w:pStyle w:val="Heading2"/>
      </w:pPr>
      <w:r>
        <w:t xml:space="preserve">Assertion API</w:t>
      </w:r>
    </w:p>
    <w:p>
      <w:pPr>
        <w:pStyle w:val="FirstParagraph"/>
      </w:pPr>
      <w:r>
        <w:t xml:space="preserve">The following methods are supported by the native</w:t>
      </w:r>
      <w:r>
        <w:t xml:space="preserve"> </w:t>
      </w:r>
      <w:r>
        <w:rPr>
          <w:rStyle w:val="VerbatimChar"/>
        </w:rPr>
        <w:t xml:space="preserve">G3Test</w:t>
      </w:r>
      <w:r>
        <w:t xml:space="preserve"> </w:t>
      </w:r>
      <w:r>
        <w:t xml:space="preserve">object.</w:t>
      </w:r>
    </w:p>
    <w:bookmarkStart w:id="289" w:name="describe"/>
    <w:p>
      <w:pPr>
        <w:pStyle w:val="Heading3"/>
      </w:pPr>
      <w:r>
        <w:t xml:space="preserve">Describe</w:t>
      </w:r>
    </w:p>
    <w:p>
      <w:pPr>
        <w:pStyle w:val="FirstParagraph"/>
      </w:pPr>
      <w:r>
        <w:t xml:space="preserve">Sets the active suite/block label for failure messages.</w:t>
      </w:r>
    </w:p>
    <w:p>
      <w:pPr>
        <w:pStyle w:val="SourceCode"/>
      </w:pPr>
      <w:r>
        <w:rPr>
          <w:rStyle w:val="NormalTok"/>
        </w:rPr>
        <w:t xml:space="preserve">t.Describe "Math operations"</w:t>
      </w:r>
    </w:p>
    <w:bookmarkEnd w:id="289"/>
    <w:bookmarkStart w:id="290" w:name="assertequalexpected-actual-message"/>
    <w:p>
      <w:pPr>
        <w:pStyle w:val="Heading3"/>
      </w:pPr>
      <w:r>
        <w:t xml:space="preserve">AssertEqual(expected, actual, [message])</w:t>
      </w:r>
    </w:p>
    <w:p>
      <w:pPr>
        <w:pStyle w:val="FirstParagraph"/>
      </w:pPr>
      <w:r>
        <w:t xml:space="preserve">Passes when values are equal under VM comparison/coercion semantics.</w:t>
      </w:r>
    </w:p>
    <w:bookmarkEnd w:id="290"/>
    <w:bookmarkStart w:id="291" w:name="assertnotequalexpected-actual-message"/>
    <w:p>
      <w:pPr>
        <w:pStyle w:val="Heading3"/>
      </w:pPr>
      <w:r>
        <w:t xml:space="preserve">AssertNotEqual(expected, actual, [message])</w:t>
      </w:r>
    </w:p>
    <w:p>
      <w:pPr>
        <w:pStyle w:val="FirstParagraph"/>
      </w:pPr>
      <w:r>
        <w:t xml:space="preserve">Passes when values are different.</w:t>
      </w:r>
    </w:p>
    <w:bookmarkEnd w:id="291"/>
    <w:bookmarkStart w:id="292" w:name="asserttruecondition-message"/>
    <w:p>
      <w:pPr>
        <w:pStyle w:val="Heading3"/>
      </w:pPr>
      <w:r>
        <w:t xml:space="preserve">AssertTrue(condition, [message])</w:t>
      </w:r>
    </w:p>
    <w:p>
      <w:pPr>
        <w:pStyle w:val="FirstParagraph"/>
      </w:pPr>
      <w:r>
        <w:t xml:space="preserve">Passes when condition is truthy under VBScript boolean coercion.</w:t>
      </w:r>
    </w:p>
    <w:bookmarkEnd w:id="292"/>
    <w:bookmarkStart w:id="293" w:name="assertfalsecondition-message"/>
    <w:p>
      <w:pPr>
        <w:pStyle w:val="Heading3"/>
      </w:pPr>
      <w:r>
        <w:t xml:space="preserve">AssertFalse(condition, [message])</w:t>
      </w:r>
    </w:p>
    <w:p>
      <w:pPr>
        <w:pStyle w:val="FirstParagraph"/>
      </w:pPr>
      <w:r>
        <w:t xml:space="preserve">Passes when condition is falsy under VBScript boolean coercion.</w:t>
      </w:r>
    </w:p>
    <w:bookmarkEnd w:id="293"/>
    <w:bookmarkStart w:id="294" w:name="assertemptyvalue-message"/>
    <w:p>
      <w:pPr>
        <w:pStyle w:val="Heading3"/>
      </w:pPr>
      <w:r>
        <w:t xml:space="preserve">AssertEmpty(value, [message])</w:t>
      </w:r>
    </w:p>
    <w:p>
      <w:pPr>
        <w:pStyle w:val="FirstParagraph"/>
      </w:pPr>
      <w:r>
        <w:t xml:space="preserve">Passes when value is VBScript</w:t>
      </w:r>
      <w:r>
        <w:t xml:space="preserve"> </w:t>
      </w:r>
      <w:r>
        <w:rPr>
          <w:rStyle w:val="VerbatimChar"/>
        </w:rPr>
        <w:t xml:space="preserve">Empty</w:t>
      </w:r>
      <w:r>
        <w:t xml:space="preserve">.</w:t>
      </w:r>
    </w:p>
    <w:bookmarkEnd w:id="294"/>
    <w:bookmarkStart w:id="295" w:name="assertnullvalue-message"/>
    <w:p>
      <w:pPr>
        <w:pStyle w:val="Heading3"/>
      </w:pPr>
      <w:r>
        <w:t xml:space="preserve">AssertNull(value, [message])</w:t>
      </w:r>
    </w:p>
    <w:p>
      <w:pPr>
        <w:pStyle w:val="FirstParagraph"/>
      </w:pPr>
      <w:r>
        <w:t xml:space="preserve">Passes when value is VBScript</w:t>
      </w:r>
      <w:r>
        <w:t xml:space="preserve"> </w:t>
      </w:r>
      <w:r>
        <w:rPr>
          <w:rStyle w:val="VerbatimChar"/>
        </w:rPr>
        <w:t xml:space="preserve">Null</w:t>
      </w:r>
      <w:r>
        <w:t xml:space="preserve">.</w:t>
      </w:r>
    </w:p>
    <w:bookmarkEnd w:id="295"/>
    <w:bookmarkStart w:id="296" w:name="assertnothingvalue-message"/>
    <w:p>
      <w:pPr>
        <w:pStyle w:val="Heading3"/>
      </w:pPr>
      <w:r>
        <w:t xml:space="preserve">AssertNothing(value, [message])</w:t>
      </w:r>
    </w:p>
    <w:p>
      <w:pPr>
        <w:pStyle w:val="FirstParagraph"/>
      </w:pPr>
      <w:r>
        <w:t xml:space="preserve">Passes when value is</w:t>
      </w:r>
      <w:r>
        <w:t xml:space="preserve"> </w:t>
      </w:r>
      <w:r>
        <w:rPr>
          <w:rStyle w:val="VerbatimChar"/>
        </w:rPr>
        <w:t xml:space="preserve">Nothing</w:t>
      </w:r>
      <w:r>
        <w:t xml:space="preserve">-compatible in AxonASP semantics.</w:t>
      </w:r>
    </w:p>
    <w:bookmarkEnd w:id="296"/>
    <w:bookmarkStart w:id="297" w:name="asserttypenameexpectedtype-value-message"/>
    <w:p>
      <w:pPr>
        <w:pStyle w:val="Heading3"/>
      </w:pPr>
      <w:r>
        <w:t xml:space="preserve">AssertTypeName(expectedType, value, [message])</w:t>
      </w:r>
    </w:p>
    <w:p>
      <w:pPr>
        <w:pStyle w:val="FirstParagraph"/>
      </w:pPr>
      <w:r>
        <w:t xml:space="preserve">Passes when</w:t>
      </w:r>
      <w:r>
        <w:t xml:space="preserve"> </w:t>
      </w:r>
      <w:r>
        <w:rPr>
          <w:rStyle w:val="VerbatimChar"/>
        </w:rPr>
        <w:t xml:space="preserve">TypeName(value)</w:t>
      </w:r>
      <w:r>
        <w:t xml:space="preserve"> </w:t>
      </w:r>
      <w:r>
        <w:t xml:space="preserve">matches</w:t>
      </w:r>
      <w:r>
        <w:t xml:space="preserve"> </w:t>
      </w:r>
      <w:r>
        <w:rPr>
          <w:rStyle w:val="VerbatimChar"/>
        </w:rPr>
        <w:t xml:space="preserve">expectedType</w:t>
      </w:r>
      <w:r>
        <w:t xml:space="preserve"> </w:t>
      </w:r>
      <w:r>
        <w:t xml:space="preserve">(case-insensitive).</w:t>
      </w:r>
    </w:p>
    <w:bookmarkEnd w:id="297"/>
    <w:bookmarkStart w:id="298" w:name="assertlengthexpectedlength-value-message"/>
    <w:p>
      <w:pPr>
        <w:pStyle w:val="Heading3"/>
      </w:pPr>
      <w:r>
        <w:t xml:space="preserve">AssertLength(expectedLength, value, [message])</w:t>
      </w:r>
    </w:p>
    <w:p>
      <w:pPr>
        <w:pStyle w:val="FirstParagraph"/>
      </w:pPr>
      <w:r>
        <w:t xml:space="preserve">Passes when the target value length/count equals expected length.</w:t>
      </w:r>
    </w:p>
    <w:p>
      <w:pPr>
        <w:pStyle w:val="BodyText"/>
      </w:pPr>
      <w:r>
        <w:t xml:space="preserve">Supported targets include:</w:t>
      </w:r>
    </w:p>
    <w:p>
      <w:pPr>
        <w:pStyle w:val="Compact"/>
        <w:numPr>
          <w:ilvl w:val="0"/>
          <w:numId w:val="1119"/>
        </w:numPr>
      </w:pPr>
      <w:r>
        <w:t xml:space="preserve">Strings (character length)</w:t>
      </w:r>
    </w:p>
    <w:p>
      <w:pPr>
        <w:pStyle w:val="Compact"/>
        <w:numPr>
          <w:ilvl w:val="0"/>
          <w:numId w:val="1119"/>
        </w:numPr>
      </w:pPr>
      <w:r>
        <w:t xml:space="preserve">Arrays (element count)</w:t>
      </w:r>
    </w:p>
    <w:p>
      <w:pPr>
        <w:pStyle w:val="Compact"/>
        <w:numPr>
          <w:ilvl w:val="0"/>
          <w:numId w:val="1119"/>
        </w:numPr>
      </w:pPr>
      <w:r>
        <w:rPr>
          <w:rStyle w:val="VerbatimChar"/>
        </w:rPr>
        <w:t xml:space="preserve">Empty</w:t>
      </w:r>
      <w:r>
        <w:t xml:space="preserve"> </w:t>
      </w:r>
      <w:r>
        <w:t xml:space="preserve">(treated as length 0)</w:t>
      </w:r>
    </w:p>
    <w:p>
      <w:pPr>
        <w:pStyle w:val="Compact"/>
        <w:numPr>
          <w:ilvl w:val="0"/>
          <w:numId w:val="1119"/>
        </w:numPr>
      </w:pPr>
      <w:r>
        <w:t xml:space="preserve">Native objects exposing</w:t>
      </w:r>
      <w:r>
        <w:t xml:space="preserve"> </w:t>
      </w:r>
      <w:r>
        <w:rPr>
          <w:rStyle w:val="VerbatimChar"/>
        </w:rPr>
        <w:t xml:space="preserve">Count</w:t>
      </w:r>
    </w:p>
    <w:bookmarkEnd w:id="298"/>
    <w:bookmarkStart w:id="299" w:name="assertcountexpectedcount-value-message"/>
    <w:p>
      <w:pPr>
        <w:pStyle w:val="Heading3"/>
      </w:pPr>
      <w:r>
        <w:t xml:space="preserve">AssertCount(expectedCount, value, [message])</w:t>
      </w:r>
    </w:p>
    <w:p>
      <w:pPr>
        <w:pStyle w:val="FirstParagraph"/>
      </w:pPr>
      <w:r>
        <w:t xml:space="preserve">Alias of</w:t>
      </w:r>
      <w:r>
        <w:t xml:space="preserve"> </w:t>
      </w:r>
      <w:r>
        <w:rPr>
          <w:rStyle w:val="VerbatimChar"/>
        </w:rPr>
        <w:t xml:space="preserve">AssertLength</w:t>
      </w:r>
      <w:r>
        <w:t xml:space="preserve">.</w:t>
      </w:r>
    </w:p>
    <w:bookmarkEnd w:id="299"/>
    <w:bookmarkStart w:id="300" w:name="assertraisescode-expected-message"/>
    <w:p>
      <w:pPr>
        <w:pStyle w:val="Heading3"/>
      </w:pPr>
      <w:r>
        <w:t xml:space="preserve">AssertRaises(code, [expected], [message])</w:t>
      </w:r>
    </w:p>
    <w:p>
      <w:pPr>
        <w:pStyle w:val="FirstParagraph"/>
      </w:pPr>
      <w:r>
        <w:t xml:space="preserve">Executes dynamic VBScript code and verifies an error is raised.</w:t>
      </w:r>
    </w:p>
    <w:p>
      <w:pPr>
        <w:pStyle w:val="BodyText"/>
      </w:pPr>
      <w:r>
        <w:t xml:space="preserve">Supported argument forms:</w:t>
      </w:r>
    </w:p>
    <w:p>
      <w:pPr>
        <w:pStyle w:val="Compact"/>
        <w:numPr>
          <w:ilvl w:val="0"/>
          <w:numId w:val="1120"/>
        </w:numPr>
      </w:pPr>
      <w:r>
        <w:rPr>
          <w:rStyle w:val="VerbatimChar"/>
        </w:rPr>
        <w:t xml:space="preserve">AssertRaises(code, message)</w:t>
      </w:r>
    </w:p>
    <w:p>
      <w:pPr>
        <w:pStyle w:val="Compact"/>
        <w:numPr>
          <w:ilvl w:val="0"/>
          <w:numId w:val="1120"/>
        </w:numPr>
      </w:pPr>
      <w:r>
        <w:rPr>
          <w:rStyle w:val="VerbatimChar"/>
        </w:rPr>
        <w:t xml:space="preserve">AssertRaises(code, expectedNumber, message)</w:t>
      </w:r>
    </w:p>
    <w:p>
      <w:pPr>
        <w:pStyle w:val="Compact"/>
        <w:numPr>
          <w:ilvl w:val="0"/>
          <w:numId w:val="1120"/>
        </w:numPr>
      </w:pPr>
      <w:r>
        <w:rPr>
          <w:rStyle w:val="VerbatimChar"/>
        </w:rPr>
        <w:t xml:space="preserve">AssertRaises(code, expectedText, message)</w:t>
      </w:r>
    </w:p>
    <w:p>
      <w:pPr>
        <w:pStyle w:val="FirstParagraph"/>
      </w:pPr>
      <w:r>
        <w:t xml:space="preserve">Examples:</w:t>
      </w:r>
    </w:p>
    <w:p>
      <w:pPr>
        <w:pStyle w:val="SourceCode"/>
      </w:pPr>
      <w:r>
        <w:rPr>
          <w:rStyle w:val="NormalTok"/>
        </w:rPr>
        <w:t xml:space="preserve">t.AssertRaises "Err.Raise 13, \"suite\", \"type mismatch\"", 13, "Should raise Err.Number 13"</w:t>
      </w:r>
      <w:r>
        <w:br/>
      </w:r>
      <w:r>
        <w:rPr>
          <w:rStyle w:val="NormalTok"/>
        </w:rPr>
        <w:t xml:space="preserve">t.AssertRaises "Err.Raise 13, \"suite\", \"type mismatch\"", "type mismatch", "Should contain error text"</w:t>
      </w:r>
      <w:r>
        <w:br/>
      </w:r>
      <w:r>
        <w:rPr>
          <w:rStyle w:val="NormalTok"/>
        </w:rPr>
        <w:t xml:space="preserve">t.AssertRaises "Function Broken(", "Syntax errors should be trapped"</w:t>
      </w:r>
    </w:p>
    <w:bookmarkEnd w:id="300"/>
    <w:bookmarkStart w:id="301" w:name="failmessage"/>
    <w:p>
      <w:pPr>
        <w:pStyle w:val="Heading3"/>
      </w:pPr>
      <w:r>
        <w:t xml:space="preserve">Fail([message])</w:t>
      </w:r>
    </w:p>
    <w:p>
      <w:pPr>
        <w:pStyle w:val="FirstParagraph"/>
      </w:pPr>
      <w:r>
        <w:t xml:space="preserve">Forces an explicit failure.</w:t>
      </w:r>
    </w:p>
    <w:p>
      <w:pPr>
        <w:pStyle w:val="SourceCode"/>
      </w:pPr>
      <w:r>
        <w:rPr>
          <w:rStyle w:val="NormalTok"/>
        </w:rPr>
        <w:t xml:space="preserve">t.Fail "This branch should be unreachable"</w:t>
      </w:r>
    </w:p>
    <w:bookmarkEnd w:id="301"/>
    <w:bookmarkEnd w:id="302"/>
    <w:bookmarkStart w:id="303" w:name="suite-properties"/>
    <w:p>
      <w:pPr>
        <w:pStyle w:val="Heading2"/>
      </w:pPr>
      <w:r>
        <w:t xml:space="preserve">Suite Properties</w:t>
      </w:r>
    </w:p>
    <w:p>
      <w:pPr>
        <w:pStyle w:val="FirstParagraph"/>
      </w:pPr>
      <w:r>
        <w:t xml:space="preserve">These read properties are available:</w:t>
      </w:r>
    </w:p>
    <w:p>
      <w:pPr>
        <w:pStyle w:val="Compact"/>
        <w:numPr>
          <w:ilvl w:val="0"/>
          <w:numId w:val="1121"/>
        </w:numPr>
      </w:pPr>
      <w:r>
        <w:rPr>
          <w:rStyle w:val="VerbatimChar"/>
        </w:rPr>
        <w:t xml:space="preserve">Suite</w:t>
      </w:r>
      <w:r>
        <w:t xml:space="preserve"> </w:t>
      </w:r>
      <w:r>
        <w:t xml:space="preserve">/</w:t>
      </w:r>
      <w:r>
        <w:t xml:space="preserve"> </w:t>
      </w:r>
      <w:r>
        <w:rPr>
          <w:rStyle w:val="VerbatimChar"/>
        </w:rPr>
        <w:t xml:space="preserve">Description</w:t>
      </w:r>
      <w:r>
        <w:t xml:space="preserve"> </w:t>
      </w:r>
      <w:r>
        <w:t xml:space="preserve">/</w:t>
      </w:r>
      <w:r>
        <w:t xml:space="preserve"> </w:t>
      </w:r>
      <w:r>
        <w:rPr>
          <w:rStyle w:val="VerbatimChar"/>
        </w:rPr>
        <w:t xml:space="preserve">CurrentDescribe</w:t>
      </w:r>
    </w:p>
    <w:p>
      <w:pPr>
        <w:pStyle w:val="Compact"/>
        <w:numPr>
          <w:ilvl w:val="0"/>
          <w:numId w:val="1121"/>
        </w:numPr>
      </w:pPr>
      <w:r>
        <w:rPr>
          <w:rStyle w:val="VerbatimChar"/>
        </w:rPr>
        <w:t xml:space="preserve">Total</w:t>
      </w:r>
      <w:r>
        <w:t xml:space="preserve"> </w:t>
      </w:r>
      <w:r>
        <w:t xml:space="preserve">/</w:t>
      </w:r>
      <w:r>
        <w:t xml:space="preserve"> </w:t>
      </w:r>
      <w:r>
        <w:rPr>
          <w:rStyle w:val="VerbatimChar"/>
        </w:rPr>
        <w:t xml:space="preserve">TotalTests</w:t>
      </w:r>
    </w:p>
    <w:p>
      <w:pPr>
        <w:pStyle w:val="Compact"/>
        <w:numPr>
          <w:ilvl w:val="0"/>
          <w:numId w:val="1121"/>
        </w:numPr>
      </w:pPr>
      <w:r>
        <w:rPr>
          <w:rStyle w:val="VerbatimChar"/>
        </w:rPr>
        <w:t xml:space="preserve">Passed</w:t>
      </w:r>
    </w:p>
    <w:p>
      <w:pPr>
        <w:pStyle w:val="Compact"/>
        <w:numPr>
          <w:ilvl w:val="0"/>
          <w:numId w:val="1121"/>
        </w:numPr>
      </w:pPr>
      <w:r>
        <w:rPr>
          <w:rStyle w:val="VerbatimChar"/>
        </w:rPr>
        <w:t xml:space="preserve">Failed</w:t>
      </w:r>
    </w:p>
    <w:p>
      <w:pPr>
        <w:pStyle w:val="Compact"/>
        <w:numPr>
          <w:ilvl w:val="0"/>
          <w:numId w:val="1121"/>
        </w:numPr>
      </w:pPr>
      <w:r>
        <w:rPr>
          <w:rStyle w:val="VerbatimChar"/>
        </w:rPr>
        <w:t xml:space="preserve">HasFailures</w:t>
      </w:r>
    </w:p>
    <w:p>
      <w:pPr>
        <w:pStyle w:val="FirstParagraph"/>
      </w:pPr>
      <w:r>
        <w:t xml:space="preserve">The suite name can also be set through writable aliases:</w:t>
      </w:r>
    </w:p>
    <w:p>
      <w:pPr>
        <w:pStyle w:val="SourceCode"/>
      </w:pPr>
      <w:r>
        <w:rPr>
          <w:rStyle w:val="NormalTok"/>
        </w:rPr>
        <w:t xml:space="preserve">t.Suite = "Authentication"</w:t>
      </w:r>
    </w:p>
    <w:bookmarkEnd w:id="303"/>
    <w:bookmarkStart w:id="304" w:name="practical-test-organization"/>
    <w:p>
      <w:pPr>
        <w:pStyle w:val="Heading2"/>
      </w:pPr>
      <w:r>
        <w:t xml:space="preserve">Practical Test Organization</w:t>
      </w:r>
    </w:p>
    <w:p>
      <w:pPr>
        <w:pStyle w:val="Compact"/>
        <w:numPr>
          <w:ilvl w:val="0"/>
          <w:numId w:val="1122"/>
        </w:numPr>
      </w:pPr>
      <w:r>
        <w:t xml:space="preserve">Keep one feature area per file (</w:t>
      </w:r>
      <w:r>
        <w:rPr>
          <w:rStyle w:val="VerbatimChar"/>
        </w:rPr>
        <w:t xml:space="preserve">auth_test.asp</w:t>
      </w:r>
      <w:r>
        <w:t xml:space="preserve">,</w:t>
      </w:r>
      <w:r>
        <w:t xml:space="preserve"> </w:t>
      </w:r>
      <w:r>
        <w:rPr>
          <w:rStyle w:val="VerbatimChar"/>
        </w:rPr>
        <w:t xml:space="preserve">json_test.asp</w:t>
      </w:r>
      <w:r>
        <w:t xml:space="preserve">).</w:t>
      </w:r>
    </w:p>
    <w:p>
      <w:pPr>
        <w:pStyle w:val="Compact"/>
        <w:numPr>
          <w:ilvl w:val="0"/>
          <w:numId w:val="1122"/>
        </w:numPr>
      </w:pPr>
      <w:r>
        <w:t xml:space="preserve">Start each block with</w:t>
      </w:r>
      <w:r>
        <w:t xml:space="preserve"> </w:t>
      </w:r>
      <w:r>
        <w:rPr>
          <w:rStyle w:val="VerbatimChar"/>
        </w:rPr>
        <w:t xml:space="preserve">Describe</w:t>
      </w:r>
      <w:r>
        <w:t xml:space="preserve"> </w:t>
      </w:r>
      <w:r>
        <w:t xml:space="preserve">to make failure output easy to scan.</w:t>
      </w:r>
    </w:p>
    <w:p>
      <w:pPr>
        <w:pStyle w:val="Compact"/>
        <w:numPr>
          <w:ilvl w:val="0"/>
          <w:numId w:val="1122"/>
        </w:numPr>
      </w:pPr>
      <w:r>
        <w:t xml:space="preserve">Use explicit assertion messages that describe intent, not implementation.</w:t>
      </w:r>
    </w:p>
    <w:p>
      <w:pPr>
        <w:pStyle w:val="Compact"/>
        <w:numPr>
          <w:ilvl w:val="0"/>
          <w:numId w:val="1122"/>
        </w:numPr>
      </w:pPr>
      <w:r>
        <w:t xml:space="preserve">Prefer deterministic data; avoid dependence on clock/timezone unless explicitly testing those behaviors.</w:t>
      </w:r>
    </w:p>
    <w:p>
      <w:pPr>
        <w:pStyle w:val="Compact"/>
        <w:numPr>
          <w:ilvl w:val="0"/>
          <w:numId w:val="1122"/>
        </w:numPr>
      </w:pPr>
      <w:r>
        <w:t xml:space="preserve">Keep one assertion intent per line so failed output maps directly to a single behavior.</w:t>
      </w:r>
    </w:p>
    <w:bookmarkEnd w:id="304"/>
    <w:bookmarkStart w:id="305" w:name="example-multi-assertion-test-file"/>
    <w:p>
      <w:pPr>
        <w:pStyle w:val="Heading2"/>
      </w:pPr>
      <w:r>
        <w:t xml:space="preserve">Example: Multi-Assertion Test File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t</w:t>
      </w:r>
      <w:r>
        <w:rPr>
          <w:rStyle w:val="OtherTok"/>
        </w:rPr>
        <w:t xml:space="preserve">,</w:t>
      </w:r>
      <w:r>
        <w:rPr>
          <w:rStyle w:val="NormalTok"/>
        </w:rPr>
        <w:t xml:space="preserve"> arr</w:t>
      </w:r>
      <w:r>
        <w:br/>
      </w:r>
      <w:r>
        <w:rPr>
          <w:rStyle w:val="KeywordTok"/>
        </w:rPr>
        <w:t xml:space="preserve">Set</w:t>
      </w:r>
      <w:r>
        <w:rPr>
          <w:rStyle w:val="NormalTok"/>
        </w:rPr>
        <w:t xml:space="preserve"> 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"G3TestSuite"</w:t>
      </w:r>
      <w:r>
        <w:rPr>
          <w:rStyle w:val="OtherTok"/>
        </w:rPr>
        <w:t xml:space="preserve">)</w:t>
      </w:r>
      <w:r>
        <w:br/>
      </w:r>
      <w:r>
        <w:br/>
      </w:r>
      <w:r>
        <w:rPr>
          <w:rStyle w:val="NormalTok"/>
        </w:rPr>
        <w:t xml:space="preserve">t.Describe </w:t>
      </w:r>
      <w:r>
        <w:rPr>
          <w:rStyle w:val="StringTok"/>
        </w:rPr>
        <w:t xml:space="preserve">"Core VBScript compatibility"</w:t>
      </w:r>
      <w:r>
        <w:br/>
      </w:r>
      <w:r>
        <w:rPr>
          <w:rStyle w:val="NormalTok"/>
        </w:rPr>
        <w:t xml:space="preserve">t.AssertEqual </w:t>
      </w:r>
      <w:r>
        <w:rPr>
          <w:rStyle w:val="DecValTok"/>
        </w:rPr>
        <w:t xml:space="preserve">10</w:t>
      </w:r>
      <w:r>
        <w:rPr>
          <w:rStyle w:val="OtherTok"/>
        </w:rPr>
        <w:t xml:space="preserve">,</w:t>
      </w:r>
      <w:r>
        <w:rPr>
          <w:rStyle w:val="NormalTok"/>
        </w:rPr>
        <w:t xml:space="preserve"> </w:t>
      </w:r>
      <w:r>
        <w:rPr>
          <w:rStyle w:val="FunctionTok"/>
        </w:rPr>
        <w:t xml:space="preserve">CLng</w:t>
      </w:r>
      <w:r>
        <w:rPr>
          <w:rStyle w:val="OtherTok"/>
        </w:rPr>
        <w:t xml:space="preserve">(</w:t>
      </w:r>
      <w:r>
        <w:rPr>
          <w:rStyle w:val="FloatTok"/>
        </w:rPr>
        <w:t xml:space="preserve">9.6</w:t>
      </w:r>
      <w:r>
        <w:rPr>
          <w:rStyle w:val="OtherTok"/>
        </w:rPr>
        <w:t xml:space="preserve">),</w:t>
      </w:r>
      <w:r>
        <w:rPr>
          <w:rStyle w:val="NormalTok"/>
        </w:rPr>
        <w:t xml:space="preserve"> </w:t>
      </w:r>
      <w:r>
        <w:rPr>
          <w:rStyle w:val="StringTok"/>
        </w:rPr>
        <w:t xml:space="preserve">"CLng should round using VBScript rules"</w:t>
      </w:r>
      <w:r>
        <w:br/>
      </w:r>
      <w:r>
        <w:rPr>
          <w:rStyle w:val="NormalTok"/>
        </w:rPr>
        <w:t xml:space="preserve">t.AssertTypeName </w:t>
      </w:r>
      <w:r>
        <w:rPr>
          <w:rStyle w:val="StringTok"/>
        </w:rPr>
        <w:t xml:space="preserve">"String"</w:t>
      </w:r>
      <w:r>
        <w:rPr>
          <w:rStyle w:val="OtherTok"/>
        </w:rPr>
        <w:t xml:space="preserve">,</w:t>
      </w:r>
      <w:r>
        <w:rPr>
          <w:rStyle w:val="NormalTok"/>
        </w:rPr>
        <w:t xml:space="preserve"> </w:t>
      </w:r>
      <w:r>
        <w:rPr>
          <w:rStyle w:val="FunctionTok"/>
        </w:rPr>
        <w:t xml:space="preserve">CStr</w:t>
      </w:r>
      <w:r>
        <w:rPr>
          <w:rStyle w:val="OtherTok"/>
        </w:rPr>
        <w:t xml:space="preserve">(</w:t>
      </w:r>
      <w:r>
        <w:rPr>
          <w:rStyle w:val="DecValTok"/>
        </w:rPr>
        <w:t xml:space="preserve">123</w:t>
      </w:r>
      <w:r>
        <w:rPr>
          <w:rStyle w:val="OtherTok"/>
        </w:rPr>
        <w:t xml:space="preserve">),</w:t>
      </w:r>
      <w:r>
        <w:rPr>
          <w:rStyle w:val="NormalTok"/>
        </w:rPr>
        <w:t xml:space="preserve"> </w:t>
      </w:r>
      <w:r>
        <w:rPr>
          <w:rStyle w:val="StringTok"/>
        </w:rPr>
        <w:t xml:space="preserve">"CStr should produce String"</w:t>
      </w:r>
      <w:r>
        <w:br/>
      </w:r>
      <w:r>
        <w:rPr>
          <w:rStyle w:val="NormalTok"/>
        </w:rPr>
        <w:t xml:space="preserve">t.AssertNotEqual </w:t>
      </w:r>
      <w:r>
        <w:rPr>
          <w:rStyle w:val="StringTok"/>
        </w:rPr>
        <w:t xml:space="preserve">"abc"</w:t>
      </w:r>
      <w:r>
        <w:rPr>
          <w:rStyle w:val="OtherTok"/>
        </w:rPr>
        <w:t xml:space="preserve">,</w:t>
      </w:r>
      <w:r>
        <w:rPr>
          <w:rStyle w:val="NormalTok"/>
        </w:rPr>
        <w:t xml:space="preserve"> </w:t>
      </w:r>
      <w:r>
        <w:rPr>
          <w:rStyle w:val="StringTok"/>
        </w:rPr>
        <w:t xml:space="preserve">"xyz"</w:t>
      </w:r>
      <w:r>
        <w:rPr>
          <w:rStyle w:val="OtherTok"/>
        </w:rPr>
        <w:t xml:space="preserve">,</w:t>
      </w:r>
      <w:r>
        <w:rPr>
          <w:rStyle w:val="NormalTok"/>
        </w:rPr>
        <w:t xml:space="preserve"> </w:t>
      </w:r>
      <w:r>
        <w:rPr>
          <w:rStyle w:val="StringTok"/>
        </w:rPr>
        <w:t xml:space="preserve">"Different strings must not be equal"</w:t>
      </w:r>
      <w:r>
        <w:br/>
      </w:r>
      <w:r>
        <w:br/>
      </w:r>
      <w:r>
        <w:rPr>
          <w:rStyle w:val="NormalTok"/>
        </w:rPr>
        <w:t xml:space="preserve">arr = </w:t>
      </w:r>
      <w:r>
        <w:rPr>
          <w:rStyle w:val="FunctionTok"/>
        </w:rPr>
        <w:t xml:space="preserve">Array</w:t>
      </w:r>
      <w:r>
        <w:rPr>
          <w:rStyle w:val="OtherTok"/>
        </w:rPr>
        <w:t xml:space="preserve">(</w:t>
      </w:r>
      <w:r>
        <w:rPr>
          <w:rStyle w:val="StringTok"/>
        </w:rPr>
        <w:t xml:space="preserve">"a"</w:t>
      </w:r>
      <w:r>
        <w:rPr>
          <w:rStyle w:val="OtherTok"/>
        </w:rPr>
        <w:t xml:space="preserve">,</w:t>
      </w:r>
      <w:r>
        <w:rPr>
          <w:rStyle w:val="NormalTok"/>
        </w:rPr>
        <w:t xml:space="preserve"> </w:t>
      </w:r>
      <w:r>
        <w:rPr>
          <w:rStyle w:val="StringTok"/>
        </w:rPr>
        <w:t xml:space="preserve">"b"</w:t>
      </w:r>
      <w:r>
        <w:rPr>
          <w:rStyle w:val="OtherTok"/>
        </w:rPr>
        <w:t xml:space="preserve">,</w:t>
      </w:r>
      <w:r>
        <w:rPr>
          <w:rStyle w:val="NormalTok"/>
        </w:rPr>
        <w:t xml:space="preserve"> </w:t>
      </w:r>
      <w:r>
        <w:rPr>
          <w:rStyle w:val="StringTok"/>
        </w:rPr>
        <w:t xml:space="preserve">"c"</w:t>
      </w:r>
      <w:r>
        <w:rPr>
          <w:rStyle w:val="OtherTok"/>
        </w:rPr>
        <w:t xml:space="preserve">)</w:t>
      </w:r>
      <w:r>
        <w:br/>
      </w:r>
      <w:r>
        <w:rPr>
          <w:rStyle w:val="NormalTok"/>
        </w:rPr>
        <w:t xml:space="preserve">t.AssertCount </w:t>
      </w:r>
      <w:r>
        <w:rPr>
          <w:rStyle w:val="DecValTok"/>
        </w:rPr>
        <w:t xml:space="preserve">3</w:t>
      </w:r>
      <w:r>
        <w:rPr>
          <w:rStyle w:val="OtherTok"/>
        </w:rPr>
        <w:t xml:space="preserve">,</w:t>
      </w:r>
      <w:r>
        <w:rPr>
          <w:rStyle w:val="NormalTok"/>
        </w:rPr>
        <w:t xml:space="preserve"> arr</w:t>
      </w:r>
      <w:r>
        <w:rPr>
          <w:rStyle w:val="OtherTok"/>
        </w:rPr>
        <w:t xml:space="preserve">,</w:t>
      </w:r>
      <w:r>
        <w:rPr>
          <w:rStyle w:val="NormalTok"/>
        </w:rPr>
        <w:t xml:space="preserve"> </w:t>
      </w:r>
      <w:r>
        <w:rPr>
          <w:rStyle w:val="StringTok"/>
        </w:rPr>
        <w:t xml:space="preserve">"Array should expose element count"</w:t>
      </w:r>
      <w:r>
        <w:br/>
      </w:r>
      <w:r>
        <w:br/>
      </w:r>
      <w:r>
        <w:rPr>
          <w:rStyle w:val="NormalTok"/>
        </w:rPr>
        <w:t xml:space="preserve">t.Describe </w:t>
      </w:r>
      <w:r>
        <w:rPr>
          <w:rStyle w:val="StringTok"/>
        </w:rPr>
        <w:t xml:space="preserve">"Error behavior"</w:t>
      </w:r>
      <w:r>
        <w:br/>
      </w:r>
      <w:r>
        <w:rPr>
          <w:rStyle w:val="NormalTok"/>
        </w:rPr>
        <w:t xml:space="preserve">t.AssertRaises </w:t>
      </w:r>
      <w:r>
        <w:rPr>
          <w:rStyle w:val="StringTok"/>
        </w:rPr>
        <w:t xml:space="preserve">"Err.Raise 5, \"</w:t>
      </w:r>
      <w:r>
        <w:rPr>
          <w:rStyle w:val="NormalTok"/>
        </w:rPr>
        <w:t xml:space="preserve">suite\</w:t>
      </w:r>
      <w:r>
        <w:rPr>
          <w:rStyle w:val="StringTok"/>
        </w:rPr>
        <w:t xml:space="preserve">", \"</w:t>
      </w:r>
      <w:r>
        <w:rPr>
          <w:rStyle w:val="NormalTok"/>
        </w:rPr>
        <w:t xml:space="preserve">invalid procedure </w:t>
      </w:r>
      <w:r>
        <w:rPr>
          <w:rStyle w:val="KeywordTok"/>
        </w:rPr>
        <w:t xml:space="preserve">call</w:t>
      </w:r>
      <w:r>
        <w:rPr>
          <w:rStyle w:val="NormalTok"/>
        </w:rPr>
        <w:t xml:space="preserve">\</w:t>
      </w:r>
      <w:r>
        <w:rPr>
          <w:rStyle w:val="StringTok"/>
        </w:rPr>
        <w:t xml:space="preserve">""</w:t>
      </w:r>
      <w:r>
        <w:rPr>
          <w:rStyle w:val="OtherTok"/>
        </w:rPr>
        <w:t xml:space="preserve">,</w:t>
      </w:r>
      <w:r>
        <w:rPr>
          <w:rStyle w:val="NormalTok"/>
        </w:rPr>
        <w:t xml:space="preserve"> </w:t>
      </w:r>
      <w:r>
        <w:rPr>
          <w:rStyle w:val="DecValTok"/>
        </w:rPr>
        <w:t xml:space="preserve">5</w:t>
      </w:r>
      <w:r>
        <w:rPr>
          <w:rStyle w:val="OtherTok"/>
        </w:rPr>
        <w:t xml:space="preserve">,</w:t>
      </w:r>
      <w:r>
        <w:rPr>
          <w:rStyle w:val="NormalTok"/>
        </w:rPr>
        <w:t xml:space="preserve"> </w:t>
      </w:r>
      <w:r>
        <w:rPr>
          <w:rStyle w:val="StringTok"/>
        </w:rPr>
        <w:t xml:space="preserve">"Err.Raise number should match"</w:t>
      </w:r>
      <w:r>
        <w:br/>
      </w:r>
      <w:r>
        <w:rPr>
          <w:rStyle w:val="DataTypeTok"/>
        </w:rPr>
        <w:t xml:space="preserve">%&gt;</w:t>
      </w:r>
    </w:p>
    <w:bookmarkEnd w:id="305"/>
    <w:bookmarkStart w:id="306" w:name="ci-usage"/>
    <w:p>
      <w:pPr>
        <w:pStyle w:val="Heading2"/>
      </w:pPr>
      <w:r>
        <w:t xml:space="preserve">CI Usage</w:t>
      </w:r>
    </w:p>
    <w:p>
      <w:pPr>
        <w:pStyle w:val="FirstParagraph"/>
      </w:pPr>
      <w:r>
        <w:t xml:space="preserve">Example CI step:</w:t>
      </w:r>
    </w:p>
    <w:p>
      <w:pPr>
        <w:pStyle w:val="SourceCode"/>
      </w:pP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Build axonasp-testsuite</w:t>
      </w:r>
      <w:r>
        <w:br/>
      </w:r>
      <w:r>
        <w:rPr>
          <w:rStyle w:val="AttributeTok"/>
        </w:rPr>
        <w:t xml:space="preserve">  </w:t>
      </w:r>
      <w:r>
        <w:rPr>
          <w:rStyle w:val="FunctionTok"/>
        </w:rPr>
        <w:t xml:space="preserve">run</w:t>
      </w:r>
      <w:r>
        <w:rPr>
          <w:rStyle w:val="KeywordTok"/>
        </w:rPr>
        <w:t xml:space="preserve">:</w:t>
      </w:r>
      <w:r>
        <w:rPr>
          <w:rStyle w:val="AttributeTok"/>
        </w:rPr>
        <w:t xml:space="preserve"> go build -o axonasp-testsuite ./testsuite</w:t>
      </w:r>
      <w:r>
        <w:br/>
      </w:r>
      <w:r>
        <w:br/>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Run ASP test suite</w:t>
      </w:r>
      <w:r>
        <w:br/>
      </w:r>
      <w:r>
        <w:rPr>
          <w:rStyle w:val="AttributeTok"/>
        </w:rPr>
        <w:t xml:space="preserve">  </w:t>
      </w:r>
      <w:r>
        <w:rPr>
          <w:rStyle w:val="FunctionTok"/>
        </w:rPr>
        <w:t xml:space="preserve">run</w:t>
      </w:r>
      <w:r>
        <w:rPr>
          <w:rStyle w:val="KeywordTok"/>
        </w:rPr>
        <w:t xml:space="preserve">:</w:t>
      </w:r>
      <w:r>
        <w:rPr>
          <w:rStyle w:val="AttributeTok"/>
        </w:rPr>
        <w:t xml:space="preserve"> ./axonasp-testsuite ./www/tests/testsuite</w:t>
      </w:r>
    </w:p>
    <w:p>
      <w:pPr>
        <w:pStyle w:val="FirstParagraph"/>
      </w:pPr>
      <w:r>
        <w:t xml:space="preserve">Use process exit code:</w:t>
      </w:r>
    </w:p>
    <w:p>
      <w:pPr>
        <w:pStyle w:val="Compact"/>
        <w:numPr>
          <w:ilvl w:val="0"/>
          <w:numId w:val="1123"/>
        </w:numPr>
      </w:pPr>
      <w:r>
        <w:rPr>
          <w:rStyle w:val="VerbatimChar"/>
        </w:rPr>
        <w:t xml:space="preserve">0</w:t>
      </w:r>
      <w:r>
        <w:t xml:space="preserve"> </w:t>
      </w:r>
      <w:r>
        <w:t xml:space="preserve">when all suites pass</w:t>
      </w:r>
    </w:p>
    <w:p>
      <w:pPr>
        <w:pStyle w:val="Compact"/>
        <w:numPr>
          <w:ilvl w:val="0"/>
          <w:numId w:val="1123"/>
        </w:numPr>
      </w:pPr>
      <w:r>
        <w:rPr>
          <w:rStyle w:val="VerbatimChar"/>
        </w:rPr>
        <w:t xml:space="preserve">1</w:t>
      </w:r>
      <w:r>
        <w:t xml:space="preserve"> </w:t>
      </w:r>
      <w:r>
        <w:t xml:space="preserve">when any suite fails or when execution is invalid</w:t>
      </w:r>
    </w:p>
    <w:bookmarkEnd w:id="306"/>
    <w:bookmarkStart w:id="307" w:name="runtime-integration-notes"/>
    <w:p>
      <w:pPr>
        <w:pStyle w:val="Heading2"/>
      </w:pPr>
      <w:r>
        <w:t xml:space="preserve">Runtime Integration Notes</w:t>
      </w:r>
    </w:p>
    <w:p>
      <w:pPr>
        <w:pStyle w:val="Compact"/>
        <w:numPr>
          <w:ilvl w:val="0"/>
          <w:numId w:val="1124"/>
        </w:numPr>
      </w:pPr>
      <w:r>
        <w:rPr>
          <w:rStyle w:val="VerbatimChar"/>
        </w:rPr>
        <w:t xml:space="preserve">global.asa</w:t>
      </w:r>
      <w:r>
        <w:t xml:space="preserve"> </w:t>
      </w:r>
      <w:r>
        <w:t xml:space="preserve">is loaded before suite execution and application/session end hooks are called when the run finishes.</w:t>
      </w:r>
    </w:p>
    <w:p>
      <w:pPr>
        <w:pStyle w:val="Compact"/>
        <w:numPr>
          <w:ilvl w:val="0"/>
          <w:numId w:val="1124"/>
        </w:numPr>
      </w:pPr>
      <w:r>
        <w:t xml:space="preserve">The runner uses the shared VM pool and script cache for fast execution.</w:t>
      </w:r>
    </w:p>
    <w:p>
      <w:pPr>
        <w:pStyle w:val="Compact"/>
        <w:numPr>
          <w:ilvl w:val="0"/>
          <w:numId w:val="1124"/>
        </w:numPr>
      </w:pPr>
      <w:r>
        <w:t xml:space="preserve">Output includes per-file PASS/FAIL status, assertion counters, and detailed failure messages.</w:t>
      </w:r>
    </w:p>
    <w:p>
      <w:pPr>
        <w:pStyle w:val="Compact"/>
        <w:numPr>
          <w:ilvl w:val="0"/>
          <w:numId w:val="1124"/>
        </w:numPr>
      </w:pPr>
      <w:r>
        <w:t xml:space="preserve">If a test file writes to output, that output is displayed under the file report for diagnostics.</w:t>
      </w:r>
    </w:p>
    <w:bookmarkEnd w:id="307"/>
    <w:bookmarkStart w:id="308" w:name="remarks-12"/>
    <w:p>
      <w:pPr>
        <w:pStyle w:val="Heading2"/>
      </w:pPr>
      <w:r>
        <w:t xml:space="preserve">Remarks</w:t>
      </w:r>
    </w:p>
    <w:p>
      <w:pPr>
        <w:pStyle w:val="Compact"/>
        <w:numPr>
          <w:ilvl w:val="0"/>
          <w:numId w:val="1125"/>
        </w:numPr>
      </w:pPr>
      <w:r>
        <w:t xml:space="preserve">Treat</w:t>
      </w:r>
      <w:r>
        <w:t xml:space="preserve"> </w:t>
      </w:r>
      <w:r>
        <w:rPr>
          <w:rStyle w:val="VerbatimChar"/>
        </w:rPr>
        <w:t xml:space="preserve">axonasp-testsuite</w:t>
      </w:r>
      <w:r>
        <w:t xml:space="preserve"> </w:t>
      </w:r>
      <w:r>
        <w:t xml:space="preserve">as your authoritative regression gate for ASP behavior changes.</w:t>
      </w:r>
    </w:p>
    <w:p>
      <w:pPr>
        <w:pStyle w:val="Compact"/>
        <w:numPr>
          <w:ilvl w:val="0"/>
          <w:numId w:val="1125"/>
        </w:numPr>
      </w:pPr>
      <w:r>
        <w:t xml:space="preserve">Prefer</w:t>
      </w:r>
      <w:r>
        <w:t xml:space="preserve"> </w:t>
      </w:r>
      <w:r>
        <w:rPr>
          <w:rStyle w:val="VerbatimChar"/>
        </w:rPr>
        <w:t xml:space="preserve">G3TestSuite</w:t>
      </w:r>
      <w:r>
        <w:t xml:space="preserve"> </w:t>
      </w:r>
      <w:r>
        <w:t xml:space="preserve">in documentation and project examples; use</w:t>
      </w:r>
      <w:r>
        <w:t xml:space="preserve"> </w:t>
      </w:r>
      <w:r>
        <w:rPr>
          <w:rStyle w:val="VerbatimChar"/>
        </w:rPr>
        <w:t xml:space="preserve">G3Test</w:t>
      </w:r>
      <w:r>
        <w:t xml:space="preserve"> </w:t>
      </w:r>
      <w:r>
        <w:t xml:space="preserve">alias only when needed.</w:t>
      </w:r>
    </w:p>
    <w:p>
      <w:pPr>
        <w:pStyle w:val="Compact"/>
        <w:numPr>
          <w:ilvl w:val="0"/>
          <w:numId w:val="1125"/>
        </w:numPr>
      </w:pPr>
      <w:r>
        <w:t xml:space="preserve">Ensure every test file executes at least one assertion; files with no assertions are treated as failure by design.</w:t>
      </w:r>
    </w:p>
    <w:bookmarkEnd w:id="308"/>
    <w:bookmarkEnd w:id="309"/>
    <w:bookmarkStart w:id="319" w:name="system-pages-and-error-pages"/>
    <w:p>
      <w:pPr>
        <w:pStyle w:val="Heading1"/>
      </w:pPr>
      <w:r>
        <w:t xml:space="preserve">System Pages and Error Pages</w:t>
      </w:r>
    </w:p>
    <w:bookmarkStart w:id="310" w:name="overview-21"/>
    <w:p>
      <w:pPr>
        <w:pStyle w:val="Heading2"/>
      </w:pPr>
      <w:r>
        <w:t xml:space="preserve">Overview</w:t>
      </w:r>
    </w:p>
    <w:p>
      <w:pPr>
        <w:pStyle w:val="FirstParagraph"/>
      </w:pPr>
      <w:r>
        <w:t xml:space="preserve">AxonASP reserves two directories for internal server assets:</w:t>
      </w:r>
      <w:r>
        <w:t xml:space="preserve"> </w:t>
      </w:r>
      <w:r>
        <w:rPr>
          <w:rStyle w:val="VerbatimChar"/>
        </w:rPr>
        <w:t xml:space="preserve">www/axonasp-pages/</w:t>
      </w:r>
      <w:r>
        <w:t xml:space="preserve"> </w:t>
      </w:r>
      <w:r>
        <w:t xml:space="preserve">contains styling, images, and the directory-listing template, while</w:t>
      </w:r>
      <w:r>
        <w:t xml:space="preserve"> </w:t>
      </w:r>
      <w:r>
        <w:rPr>
          <w:rStyle w:val="VerbatimChar"/>
        </w:rPr>
        <w:t xml:space="preserve">www/error-pages/</w:t>
      </w:r>
      <w:r>
        <w:t xml:space="preserve"> </w:t>
      </w:r>
      <w:r>
        <w:t xml:space="preserve">contains custom HTTP error pages. Both directories are blocked from direct browser access by default.</w:t>
      </w:r>
    </w:p>
    <w:bookmarkEnd w:id="310"/>
    <w:bookmarkStart w:id="313" w:name="axonasp-pages"/>
    <w:p>
      <w:pPr>
        <w:pStyle w:val="Heading2"/>
      </w:pPr>
      <w:r>
        <w:t xml:space="preserve">axonasp-pages/</w:t>
      </w:r>
    </w:p>
    <w:p>
      <w:pPr>
        <w:pStyle w:val="FirstParagraph"/>
      </w:pPr>
      <w:r>
        <w:rPr>
          <w:b/>
          <w:bCs/>
        </w:rPr>
        <w:t xml:space="preserve">Path:</w:t>
      </w:r>
      <w:r>
        <w:t xml:space="preserve"> </w:t>
      </w:r>
      <w:r>
        <w:rPr>
          <w:rStyle w:val="VerbatimChar"/>
        </w:rPr>
        <w:t xml:space="preserve">www/axonasp-pages/</w:t>
      </w:r>
    </w:p>
    <w:p>
      <w:pPr>
        <w:pStyle w:val="BodyText"/>
      </w:pPr>
      <w:r>
        <w:t xml:space="preserve">This directory holds static assets used internally by AxonASP server features. It is not intended for application code.</w:t>
      </w:r>
    </w:p>
    <w:p>
      <w:pPr>
        <w:pStyle w:val="BodyText"/>
      </w:pPr>
      <w:r>
        <w:rPr>
          <w:b/>
          <w:bCs/>
        </w:rPr>
        <w:t xml:space="preserve">Contents:</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Path</w:t>
            </w:r>
          </w:p>
        </w:tc>
        <w:tc>
          <w:tcPr/>
          <w:p>
            <w:pPr>
              <w:pStyle w:val="Compact"/>
            </w:pPr>
            <w:r>
              <w:t xml:space="preserve">Description</w:t>
            </w:r>
          </w:p>
        </w:tc>
      </w:tr>
      <w:tr>
        <w:tc>
          <w:tcPr/>
          <w:p>
            <w:pPr>
              <w:pStyle w:val="Compact"/>
            </w:pPr>
            <w:r>
              <w:rPr>
                <w:rStyle w:val="VerbatimChar"/>
              </w:rPr>
              <w:t xml:space="preserve">axonasp-pages/css/</w:t>
            </w:r>
          </w:p>
        </w:tc>
        <w:tc>
          <w:tcPr/>
          <w:p>
            <w:pPr>
              <w:pStyle w:val="Compact"/>
            </w:pPr>
            <w:r>
              <w:t xml:space="preserve">AxonASP built-in stylesheet used by the manual and system pages.</w:t>
            </w:r>
          </w:p>
        </w:tc>
      </w:tr>
      <w:tr>
        <w:tc>
          <w:tcPr/>
          <w:p>
            <w:pPr>
              <w:pStyle w:val="Compact"/>
            </w:pPr>
            <w:r>
              <w:rPr>
                <w:rStyle w:val="VerbatimChar"/>
              </w:rPr>
              <w:t xml:space="preserve">axonasp-pages/images/</w:t>
            </w:r>
          </w:p>
        </w:tc>
        <w:tc>
          <w:tcPr/>
          <w:p>
            <w:pPr>
              <w:pStyle w:val="Compact"/>
            </w:pPr>
            <w:r>
              <w:t xml:space="preserve">Logo and icon assets for AxonASP system pages.</w:t>
            </w:r>
          </w:p>
        </w:tc>
      </w:tr>
      <w:tr>
        <w:tc>
          <w:tcPr/>
          <w:p>
            <w:pPr>
              <w:pStyle w:val="Compact"/>
            </w:pPr>
            <w:r>
              <w:rPr>
                <w:rStyle w:val="VerbatimChar"/>
              </w:rPr>
              <w:t xml:space="preserve">axonasp-pages/directory-listing.html</w:t>
            </w:r>
          </w:p>
        </w:tc>
        <w:tc>
          <w:tcPr/>
          <w:p>
            <w:pPr>
              <w:pStyle w:val="Compact"/>
            </w:pPr>
            <w:r>
              <w:t xml:space="preserve">Go template used to render directory listings.</w:t>
            </w:r>
          </w:p>
        </w:tc>
      </w:tr>
    </w:tbl>
    <w:bookmarkStart w:id="311" w:name="directory-listing-template"/>
    <w:p>
      <w:pPr>
        <w:pStyle w:val="Heading3"/>
      </w:pPr>
      <w:r>
        <w:t xml:space="preserve">Directory Listing Template</w:t>
      </w:r>
    </w:p>
    <w:p>
      <w:pPr>
        <w:pStyle w:val="FirstParagraph"/>
      </w:pPr>
      <w:r>
        <w:t xml:space="preserve">When</w:t>
      </w:r>
      <w:r>
        <w:t xml:space="preserve"> </w:t>
      </w:r>
      <w:r>
        <w:rPr>
          <w:rStyle w:val="VerbatimChar"/>
        </w:rPr>
        <w:t xml:space="preserve">enable_directory_listing = true</w:t>
      </w:r>
      <w:r>
        <w:t xml:space="preserve"> </w:t>
      </w:r>
      <w:r>
        <w:t xml:space="preserve">in</w:t>
      </w:r>
      <w:r>
        <w:t xml:space="preserve"> </w:t>
      </w:r>
      <w:r>
        <w:rPr>
          <w:rStyle w:val="VerbatimChar"/>
        </w:rPr>
        <w:t xml:space="preserve">config/axonasp.toml</w:t>
      </w:r>
      <w:r>
        <w:t xml:space="preserve">, the server renders a directory listing using the HTML template at</w:t>
      </w:r>
      <w:r>
        <w:t xml:space="preserve"> </w:t>
      </w:r>
      <w:r>
        <w:rPr>
          <w:rStyle w:val="VerbatimChar"/>
        </w:rPr>
        <w:t xml:space="preserve">directory_listing_template</w:t>
      </w:r>
      <w:r>
        <w:t xml:space="preserve">. The default template references</w:t>
      </w:r>
      <w:r>
        <w:t xml:space="preserve"> </w:t>
      </w:r>
      <w:r>
        <w:rPr>
          <w:rStyle w:val="VerbatimChar"/>
        </w:rPr>
        <w:t xml:space="preserve">www/axonasp-pages/directory-listing.html</w:t>
      </w:r>
      <w:r>
        <w:t xml:space="preserve">.</w:t>
      </w:r>
    </w:p>
    <w:p>
      <w:pPr>
        <w:pStyle w:val="SourceCode"/>
      </w:pPr>
      <w:r>
        <w:rPr>
          <w:rStyle w:val="KeywordTok"/>
        </w:rPr>
        <w:t xml:space="preserve">[server]</w:t>
      </w:r>
      <w:r>
        <w:br/>
      </w:r>
      <w:r>
        <w:rPr>
          <w:rStyle w:val="DataTypeTok"/>
        </w:rPr>
        <w:t xml:space="preserve">enable_directory_listing</w:t>
      </w:r>
      <w:r>
        <w:rPr>
          <w:rStyle w:val="NormalTok"/>
        </w:rPr>
        <w:t xml:space="preserve"> </w:t>
      </w:r>
      <w:r>
        <w:rPr>
          <w:rStyle w:val="OperatorTok"/>
        </w:rPr>
        <w:t xml:space="preserve">=</w:t>
      </w:r>
      <w:r>
        <w:rPr>
          <w:rStyle w:val="NormalTok"/>
        </w:rPr>
        <w:t xml:space="preserve"> </w:t>
      </w:r>
      <w:r>
        <w:rPr>
          <w:rStyle w:val="ConstantTok"/>
        </w:rPr>
        <w:t xml:space="preserve">true</w:t>
      </w:r>
      <w:r>
        <w:br/>
      </w:r>
      <w:r>
        <w:rPr>
          <w:rStyle w:val="DataTypeTok"/>
        </w:rPr>
        <w:t xml:space="preserve">directory_listing_template</w:t>
      </w:r>
      <w:r>
        <w:rPr>
          <w:rStyle w:val="NormalTok"/>
        </w:rPr>
        <w:t xml:space="preserve"> </w:t>
      </w:r>
      <w:r>
        <w:rPr>
          <w:rStyle w:val="OperatorTok"/>
        </w:rPr>
        <w:t xml:space="preserve">=</w:t>
      </w:r>
      <w:r>
        <w:rPr>
          <w:rStyle w:val="NormalTok"/>
        </w:rPr>
        <w:t xml:space="preserve"> </w:t>
      </w:r>
      <w:r>
        <w:rPr>
          <w:rStyle w:val="StringTok"/>
        </w:rPr>
        <w:t xml:space="preserve">"./www/axonasp-pages/directory-listing.html"</w:t>
      </w:r>
    </w:p>
    <w:p>
      <w:pPr>
        <w:pStyle w:val="FirstParagraph"/>
      </w:pPr>
      <w:r>
        <w:t xml:space="preserve">The template is a standard Go</w:t>
      </w:r>
      <w:r>
        <w:t xml:space="preserve"> </w:t>
      </w:r>
      <w:r>
        <w:rPr>
          <w:rStyle w:val="VerbatimChar"/>
        </w:rPr>
        <w:t xml:space="preserve">html/template</w:t>
      </w:r>
      <w:r>
        <w:t xml:space="preserve"> </w:t>
      </w:r>
      <w:r>
        <w:t xml:space="preserve">file. It receives the following data context:</w:t>
      </w:r>
    </w:p>
    <w:tbl>
      <w:tblPr>
        <w:tblStyle w:val="Table"/>
        <w:tblW w:type="pct" w:w="5000"/>
        <w:tblLayout w:type="fixed"/>
        <w:tblLook w:firstRow="1" w:lastRow="0" w:firstColumn="0" w:lastColumn="0" w:noHBand="0" w:noVBand="0" w:val="0020"/>
      </w:tblPr>
      <w:tblGrid>
        <w:gridCol w:w="2731"/>
        <w:gridCol w:w="1638"/>
        <w:gridCol w:w="3550"/>
      </w:tblGrid>
      <w:tr>
        <w:trPr>
          <w:tblHeader w:val="on"/>
        </w:trPr>
        <w:tc>
          <w:tcPr/>
          <w:p>
            <w:pPr>
              <w:pStyle w:val="Compact"/>
            </w:pPr>
            <w:r>
              <w:t xml:space="preserve">Variable</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.Title</w:t>
            </w:r>
          </w:p>
        </w:tc>
        <w:tc>
          <w:tcPr/>
          <w:p>
            <w:pPr>
              <w:pStyle w:val="Compact"/>
            </w:pPr>
            <w:r>
              <w:t xml:space="preserve">string</w:t>
            </w:r>
          </w:p>
        </w:tc>
        <w:tc>
          <w:tcPr/>
          <w:p>
            <w:pPr>
              <w:pStyle w:val="Compact"/>
            </w:pPr>
            <w:r>
              <w:t xml:space="preserve">Page title, typically the directory path.</w:t>
            </w:r>
          </w:p>
        </w:tc>
      </w:tr>
      <w:tr>
        <w:tc>
          <w:tcPr/>
          <w:p>
            <w:pPr>
              <w:pStyle w:val="Compact"/>
            </w:pPr>
            <w:r>
              <w:rPr>
                <w:rStyle w:val="VerbatimChar"/>
              </w:rPr>
              <w:t xml:space="preserve">.RequestPath</w:t>
            </w:r>
          </w:p>
        </w:tc>
        <w:tc>
          <w:tcPr/>
          <w:p>
            <w:pPr>
              <w:pStyle w:val="Compact"/>
            </w:pPr>
            <w:r>
              <w:t xml:space="preserve">string</w:t>
            </w:r>
          </w:p>
        </w:tc>
        <w:tc>
          <w:tcPr/>
          <w:p>
            <w:pPr>
              <w:pStyle w:val="Compact"/>
            </w:pPr>
            <w:r>
              <w:t xml:space="preserve">The URL path of the requested directory.</w:t>
            </w:r>
          </w:p>
        </w:tc>
      </w:tr>
      <w:tr>
        <w:tc>
          <w:tcPr/>
          <w:p>
            <w:pPr>
              <w:pStyle w:val="Compact"/>
            </w:pPr>
            <w:r>
              <w:rPr>
                <w:rStyle w:val="VerbatimChar"/>
              </w:rPr>
              <w:t xml:space="preserve">.ParentPath</w:t>
            </w:r>
          </w:p>
        </w:tc>
        <w:tc>
          <w:tcPr/>
          <w:p>
            <w:pPr>
              <w:pStyle w:val="Compact"/>
            </w:pPr>
            <w:r>
              <w:t xml:space="preserve">string</w:t>
            </w:r>
          </w:p>
        </w:tc>
        <w:tc>
          <w:tcPr/>
          <w:p>
            <w:pPr>
              <w:pStyle w:val="Compact"/>
            </w:pPr>
            <w:r>
              <w:t xml:space="preserve">URL path to the parent directory. Empty for the web root.</w:t>
            </w:r>
          </w:p>
        </w:tc>
      </w:tr>
      <w:tr>
        <w:tc>
          <w:tcPr/>
          <w:p>
            <w:pPr>
              <w:pStyle w:val="Compact"/>
            </w:pPr>
            <w:r>
              <w:rPr>
                <w:rStyle w:val="VerbatimChar"/>
              </w:rPr>
              <w:t xml:space="preserve">.LogoDataURI</w:t>
            </w:r>
          </w:p>
        </w:tc>
        <w:tc>
          <w:tcPr/>
          <w:p>
            <w:pPr>
              <w:pStyle w:val="Compact"/>
            </w:pPr>
            <w:r>
              <w:t xml:space="preserve">string</w:t>
            </w:r>
          </w:p>
        </w:tc>
        <w:tc>
          <w:tcPr/>
          <w:p>
            <w:pPr>
              <w:pStyle w:val="Compact"/>
            </w:pPr>
            <w:r>
              <w:t xml:space="preserve">Base64-encoded data URI for the AxonASP logo image.</w:t>
            </w:r>
          </w:p>
        </w:tc>
      </w:tr>
      <w:tr>
        <w:tc>
          <w:tcPr/>
          <w:p>
            <w:pPr>
              <w:pStyle w:val="Compact"/>
            </w:pPr>
            <w:r>
              <w:rPr>
                <w:rStyle w:val="VerbatimChar"/>
              </w:rPr>
              <w:t xml:space="preserve">.InlineCSS</w:t>
            </w:r>
          </w:p>
        </w:tc>
        <w:tc>
          <w:tcPr/>
          <w:p>
            <w:pPr>
              <w:pStyle w:val="Compact"/>
            </w:pPr>
            <w:r>
              <w:t xml:space="preserve">string</w:t>
            </w:r>
          </w:p>
        </w:tc>
        <w:tc>
          <w:tcPr/>
          <w:p>
            <w:pPr>
              <w:pStyle w:val="Compact"/>
            </w:pPr>
            <w:r>
              <w:t xml:space="preserve">Full CSS content inlined into the</w:t>
            </w:r>
            <w:r>
              <w:t xml:space="preserve"> </w:t>
            </w:r>
            <w:r>
              <w:rPr>
                <w:rStyle w:val="VerbatimChar"/>
              </w:rPr>
              <w:t xml:space="preserve">&lt;style&gt;</w:t>
            </w:r>
            <w:r>
              <w:t xml:space="preserve"> </w:t>
            </w:r>
            <w:r>
              <w:t xml:space="preserve">tag.</w:t>
            </w:r>
          </w:p>
        </w:tc>
      </w:tr>
      <w:tr>
        <w:tc>
          <w:tcPr/>
          <w:p>
            <w:pPr>
              <w:pStyle w:val="Compact"/>
            </w:pPr>
            <w:r>
              <w:rPr>
                <w:rStyle w:val="VerbatimChar"/>
              </w:rPr>
              <w:t xml:space="preserve">.Entries</w:t>
            </w:r>
          </w:p>
        </w:tc>
        <w:tc>
          <w:tcPr/>
          <w:p>
            <w:pPr>
              <w:pStyle w:val="Compact"/>
            </w:pPr>
            <w:r>
              <w:t xml:space="preserve">slice</w:t>
            </w:r>
          </w:p>
        </w:tc>
        <w:tc>
          <w:tcPr/>
          <w:p>
            <w:pPr>
              <w:pStyle w:val="Compact"/>
            </w:pPr>
            <w:r>
              <w:t xml:space="preserve">List of directory entries (files and subdirectories).</w:t>
            </w:r>
          </w:p>
        </w:tc>
      </w:tr>
    </w:tbl>
    <w:p>
      <w:pPr>
        <w:pStyle w:val="BodyText"/>
      </w:pPr>
      <w:r>
        <w:t xml:space="preserve">Each</w:t>
      </w:r>
      <w:r>
        <w:t xml:space="preserve"> </w:t>
      </w:r>
      <w:r>
        <w:rPr>
          <w:rStyle w:val="VerbatimChar"/>
        </w:rPr>
        <w:t xml:space="preserve">.Entries</w:t>
      </w:r>
      <w:r>
        <w:t xml:space="preserve"> </w:t>
      </w:r>
      <w:r>
        <w:t xml:space="preserve">item exposes:</w:t>
      </w:r>
    </w:p>
    <w:tbl>
      <w:tblPr>
        <w:tblStyle w:val="Table"/>
        <w:tblW w:type="pct" w:w="5000"/>
        <w:tblLayout w:type="fixed"/>
        <w:tblLook w:firstRow="1" w:lastRow="0" w:firstColumn="0" w:lastColumn="0" w:noHBand="0" w:noVBand="0" w:val="0020"/>
      </w:tblPr>
      <w:tblGrid>
        <w:gridCol w:w="2132"/>
        <w:gridCol w:w="1827"/>
        <w:gridCol w:w="3960"/>
      </w:tblGrid>
      <w:tr>
        <w:trPr>
          <w:tblHeader w:val="on"/>
        </w:trPr>
        <w:tc>
          <w:tcPr/>
          <w:p>
            <w:pPr>
              <w:pStyle w:val="Compact"/>
            </w:pPr>
            <w:r>
              <w:t xml:space="preserve">Field</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File or directory name.</w:t>
            </w:r>
          </w:p>
        </w:tc>
      </w:tr>
      <w:tr>
        <w:tc>
          <w:tcPr/>
          <w:p>
            <w:pPr>
              <w:pStyle w:val="Compact"/>
            </w:pPr>
            <w:r>
              <w:rPr>
                <w:rStyle w:val="VerbatimChar"/>
              </w:rPr>
              <w:t xml:space="preserve">.Href</w:t>
            </w:r>
          </w:p>
        </w:tc>
        <w:tc>
          <w:tcPr/>
          <w:p>
            <w:pPr>
              <w:pStyle w:val="Compact"/>
            </w:pPr>
            <w:r>
              <w:t xml:space="preserve">string</w:t>
            </w:r>
          </w:p>
        </w:tc>
        <w:tc>
          <w:tcPr/>
          <w:p>
            <w:pPr>
              <w:pStyle w:val="Compact"/>
            </w:pPr>
            <w:r>
              <w:t xml:space="preserve">URL link for the entry.</w:t>
            </w:r>
          </w:p>
        </w:tc>
      </w:tr>
      <w:tr>
        <w:tc>
          <w:tcPr/>
          <w:p>
            <w:pPr>
              <w:pStyle w:val="Compact"/>
            </w:pPr>
            <w:r>
              <w:rPr>
                <w:rStyle w:val="VerbatimChar"/>
              </w:rPr>
              <w:t xml:space="preserve">.TypeLabel</w:t>
            </w:r>
          </w:p>
        </w:tc>
        <w:tc>
          <w:tcPr/>
          <w:p>
            <w:pPr>
              <w:pStyle w:val="Compact"/>
            </w:pPr>
            <w:r>
              <w:t xml:space="preserve">string</w:t>
            </w:r>
          </w:p>
        </w:tc>
        <w:tc>
          <w:tcPr/>
          <w:p>
            <w:pPr>
              <w:pStyle w:val="Compact"/>
            </w:pPr>
            <w:r>
              <w:rPr>
                <w:rStyle w:val="VerbatimChar"/>
              </w:rPr>
              <w:t xml:space="preserve">File</w:t>
            </w:r>
            <w:r>
              <w:t xml:space="preserve"> </w:t>
            </w:r>
            <w:r>
              <w:t xml:space="preserve">or</w:t>
            </w:r>
            <w:r>
              <w:t xml:space="preserve"> </w:t>
            </w:r>
            <w:r>
              <w:rPr>
                <w:rStyle w:val="VerbatimChar"/>
              </w:rPr>
              <w:t xml:space="preserve">Directory</w:t>
            </w:r>
            <w:r>
              <w:t xml:space="preserve">.</w:t>
            </w:r>
          </w:p>
        </w:tc>
      </w:tr>
      <w:tr>
        <w:tc>
          <w:tcPr/>
          <w:p>
            <w:pPr>
              <w:pStyle w:val="Compact"/>
            </w:pPr>
            <w:r>
              <w:rPr>
                <w:rStyle w:val="VerbatimChar"/>
              </w:rPr>
              <w:t xml:space="preserve">.MimeType</w:t>
            </w:r>
          </w:p>
        </w:tc>
        <w:tc>
          <w:tcPr/>
          <w:p>
            <w:pPr>
              <w:pStyle w:val="Compact"/>
            </w:pPr>
            <w:r>
              <w:t xml:space="preserve">string</w:t>
            </w:r>
          </w:p>
        </w:tc>
        <w:tc>
          <w:tcPr/>
          <w:p>
            <w:pPr>
              <w:pStyle w:val="Compact"/>
            </w:pPr>
            <w:r>
              <w:t xml:space="preserve">Detected MIME type for files;</w:t>
            </w:r>
            <w:r>
              <w:t xml:space="preserve"> </w:t>
            </w:r>
            <w:r>
              <w:rPr>
                <w:rStyle w:val="VerbatimChar"/>
              </w:rPr>
              <w:t xml:space="preserve">-</w:t>
            </w:r>
            <w:r>
              <w:t xml:space="preserve"> </w:t>
            </w:r>
            <w:r>
              <w:t xml:space="preserve">for directories.</w:t>
            </w:r>
          </w:p>
        </w:tc>
      </w:tr>
      <w:tr>
        <w:tc>
          <w:tcPr/>
          <w:p>
            <w:pPr>
              <w:pStyle w:val="Compact"/>
            </w:pPr>
            <w:r>
              <w:rPr>
                <w:rStyle w:val="VerbatimChar"/>
              </w:rPr>
              <w:t xml:space="preserve">.SizeDisplay</w:t>
            </w:r>
          </w:p>
        </w:tc>
        <w:tc>
          <w:tcPr/>
          <w:p>
            <w:pPr>
              <w:pStyle w:val="Compact"/>
            </w:pPr>
            <w:r>
              <w:t xml:space="preserve">string</w:t>
            </w:r>
          </w:p>
        </w:tc>
        <w:tc>
          <w:tcPr/>
          <w:p>
            <w:pPr>
              <w:pStyle w:val="Compact"/>
            </w:pPr>
            <w:r>
              <w:t xml:space="preserve">Human-readable file size;</w:t>
            </w:r>
            <w:r>
              <w:t xml:space="preserve"> </w:t>
            </w:r>
            <w:r>
              <w:rPr>
                <w:rStyle w:val="VerbatimChar"/>
              </w:rPr>
              <w:t xml:space="preserve">-</w:t>
            </w:r>
            <w:r>
              <w:t xml:space="preserve"> </w:t>
            </w:r>
            <w:r>
              <w:t xml:space="preserve">for directories.</w:t>
            </w:r>
          </w:p>
        </w:tc>
      </w:tr>
      <w:tr>
        <w:tc>
          <w:tcPr/>
          <w:p>
            <w:pPr>
              <w:pStyle w:val="Compact"/>
            </w:pPr>
            <w:r>
              <w:rPr>
                <w:rStyle w:val="VerbatimChar"/>
              </w:rPr>
              <w:t xml:space="preserve">.Modified</w:t>
            </w:r>
          </w:p>
        </w:tc>
        <w:tc>
          <w:tcPr/>
          <w:p>
            <w:pPr>
              <w:pStyle w:val="Compact"/>
            </w:pPr>
            <w:r>
              <w:t xml:space="preserve">string</w:t>
            </w:r>
          </w:p>
        </w:tc>
        <w:tc>
          <w:tcPr/>
          <w:p>
            <w:pPr>
              <w:pStyle w:val="Compact"/>
            </w:pPr>
            <w:r>
              <w:t xml:space="preserve">Last-modified timestamp as a formatted string.</w:t>
            </w:r>
          </w:p>
        </w:tc>
      </w:tr>
    </w:tbl>
    <w:p>
      <w:pPr>
        <w:pStyle w:val="BodyText"/>
      </w:pPr>
      <w:r>
        <w:rPr>
          <w:b/>
          <w:bCs/>
        </w:rPr>
        <w:t xml:space="preserve">Customization:</w:t>
      </w:r>
      <w:r>
        <w:t xml:space="preserve"> </w:t>
      </w:r>
      <w:r>
        <w:t xml:space="preserve">You can replace the default template with your own by pointing</w:t>
      </w:r>
      <w:r>
        <w:t xml:space="preserve"> </w:t>
      </w:r>
      <w:r>
        <w:rPr>
          <w:rStyle w:val="VerbatimChar"/>
        </w:rPr>
        <w:t xml:space="preserve">directory_listing_template</w:t>
      </w:r>
      <w:r>
        <w:t xml:space="preserve"> </w:t>
      </w:r>
      <w:r>
        <w:t xml:space="preserve">to a different file path. The template must use standard Go</w:t>
      </w:r>
      <w:r>
        <w:t xml:space="preserve"> </w:t>
      </w:r>
      <w:r>
        <w:rPr>
          <w:rStyle w:val="VerbatimChar"/>
        </w:rPr>
        <w:t xml:space="preserve">html/template</w:t>
      </w:r>
      <w:r>
        <w:t xml:space="preserve"> </w:t>
      </w:r>
      <w:r>
        <w:t xml:space="preserve">syntax and the variable names listed above.</w:t>
      </w:r>
    </w:p>
    <w:bookmarkEnd w:id="311"/>
    <w:bookmarkStart w:id="312" w:name="blocking-direct-access"/>
    <w:p>
      <w:pPr>
        <w:pStyle w:val="Heading3"/>
      </w:pPr>
      <w:r>
        <w:t xml:space="preserve">Blocking Direct Access</w:t>
      </w:r>
    </w:p>
    <w:p>
      <w:pPr>
        <w:pStyle w:val="FirstParagraph"/>
      </w:pPr>
      <w:r>
        <w:t xml:space="preserve">Both</w:t>
      </w:r>
      <w:r>
        <w:t xml:space="preserve"> </w:t>
      </w:r>
      <w:r>
        <w:rPr>
          <w:rStyle w:val="VerbatimChar"/>
        </w:rPr>
        <w:t xml:space="preserve">www/axonasp-pages/</w:t>
      </w:r>
      <w:r>
        <w:t xml:space="preserve"> </w:t>
      </w:r>
      <w:r>
        <w:t xml:space="preserve">and</w:t>
      </w:r>
      <w:r>
        <w:t xml:space="preserve"> </w:t>
      </w:r>
      <w:r>
        <w:rPr>
          <w:rStyle w:val="VerbatimChar"/>
        </w:rPr>
        <w:t xml:space="preserve">www/error-pages/</w:t>
      </w:r>
      <w:r>
        <w:t xml:space="preserve"> </w:t>
      </w:r>
      <w:r>
        <w:t xml:space="preserve">are listed in</w:t>
      </w:r>
      <w:r>
        <w:t xml:space="preserve"> </w:t>
      </w:r>
      <w:r>
        <w:rPr>
          <w:rStyle w:val="VerbatimChar"/>
        </w:rPr>
        <w:t xml:space="preserve">blocked_dirs</w:t>
      </w:r>
      <w:r>
        <w:t xml:space="preserve"> </w:t>
      </w:r>
      <w:r>
        <w:t xml:space="preserve">in</w:t>
      </w:r>
      <w:r>
        <w:t xml:space="preserve"> </w:t>
      </w:r>
      <w:r>
        <w:rPr>
          <w:rStyle w:val="VerbatimChar"/>
        </w:rPr>
        <w:t xml:space="preserve">config/axonasp.toml</w:t>
      </w:r>
      <w:r>
        <w:t xml:space="preserve">:</w:t>
      </w:r>
    </w:p>
    <w:p>
      <w:pPr>
        <w:pStyle w:val="SourceCode"/>
      </w:pPr>
      <w:r>
        <w:rPr>
          <w:rStyle w:val="DataTypeTok"/>
        </w:rPr>
        <w:t xml:space="preserve">blocked_dirs</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StringTok"/>
        </w:rPr>
        <w:t xml:space="preserve">"./www/error-pages"</w:t>
      </w:r>
      <w:r>
        <w:rPr>
          <w:rStyle w:val="OperatorTok"/>
        </w:rPr>
        <w:t xml:space="preserve">,</w:t>
      </w:r>
      <w:r>
        <w:br/>
      </w:r>
      <w:r>
        <w:rPr>
          <w:rStyle w:val="NormalTok"/>
        </w:rPr>
        <w:t xml:space="preserve">  </w:t>
      </w:r>
      <w:r>
        <w:rPr>
          <w:rStyle w:val="StringTok"/>
        </w:rPr>
        <w:t xml:space="preserve">"./www/axonasp-pages"</w:t>
      </w:r>
      <w:r>
        <w:rPr>
          <w:rStyle w:val="OperatorTok"/>
        </w:rPr>
        <w:t xml:space="preserve">,</w:t>
      </w:r>
      <w:r>
        <w:br/>
      </w:r>
      <w:r>
        <w:rPr>
          <w:rStyle w:val="OperatorTok"/>
        </w:rPr>
        <w:t xml:space="preserve">]</w:t>
      </w:r>
    </w:p>
    <w:p>
      <w:pPr>
        <w:pStyle w:val="FirstParagraph"/>
      </w:pPr>
      <w:r>
        <w:t xml:space="preserve">This setting prevents clients from accessing these directories directly via HTTP. Requests to paths under these directories return a 404 response.</w:t>
      </w:r>
    </w:p>
    <w:p>
      <w:r>
        <w:pict>
          <v:rect style="width:0;height:1.5pt" o:hralign="center" o:hrstd="t" o:hr="t"/>
        </w:pict>
      </w:r>
    </w:p>
    <w:bookmarkEnd w:id="312"/>
    <w:bookmarkEnd w:id="313"/>
    <w:bookmarkStart w:id="317" w:name="error-pages"/>
    <w:p>
      <w:pPr>
        <w:pStyle w:val="Heading2"/>
      </w:pPr>
      <w:r>
        <w:t xml:space="preserve">error-pages/</w:t>
      </w:r>
    </w:p>
    <w:p>
      <w:pPr>
        <w:pStyle w:val="FirstParagraph"/>
      </w:pPr>
      <w:r>
        <w:rPr>
          <w:b/>
          <w:bCs/>
        </w:rPr>
        <w:t xml:space="preserve">Path:</w:t>
      </w:r>
      <w:r>
        <w:t xml:space="preserve"> </w:t>
      </w:r>
      <w:r>
        <w:rPr>
          <w:rStyle w:val="VerbatimChar"/>
        </w:rPr>
        <w:t xml:space="preserve">www/error-pages/</w:t>
      </w:r>
    </w:p>
    <w:p>
      <w:pPr>
        <w:pStyle w:val="BodyText"/>
      </w:pPr>
      <w:r>
        <w:t xml:space="preserve">This directory stores custom HTTP error pages served by the AxonASP HTTP server. When a request results in an HTTP error code, the server checks this directory for a matching error page before using its built-in error response.</w:t>
      </w:r>
    </w:p>
    <w:bookmarkStart w:id="314" w:name="naming-convention"/>
    <w:p>
      <w:pPr>
        <w:pStyle w:val="Heading3"/>
      </w:pPr>
      <w:r>
        <w:t xml:space="preserve">Naming Convention</w:t>
      </w:r>
    </w:p>
    <w:p>
      <w:pPr>
        <w:pStyle w:val="FirstParagraph"/>
      </w:pPr>
      <w:r>
        <w:t xml:space="preserve">Error pages are matched by filename:</w:t>
      </w:r>
    </w:p>
    <w:tbl>
      <w:tblPr>
        <w:tblStyle w:val="Table"/>
        <w:tblW w:type="pct" w:w="5000"/>
        <w:tblLayout w:type="fixed"/>
        <w:tblLook w:firstRow="1" w:lastRow="0" w:firstColumn="0" w:lastColumn="0" w:noHBand="0" w:noVBand="0" w:val="0020"/>
      </w:tblPr>
      <w:tblGrid>
        <w:gridCol w:w="4488"/>
        <w:gridCol w:w="3432"/>
      </w:tblGrid>
      <w:tr>
        <w:trPr>
          <w:tblHeader w:val="on"/>
        </w:trPr>
        <w:tc>
          <w:tcPr/>
          <w:p>
            <w:pPr>
              <w:pStyle w:val="Compact"/>
            </w:pPr>
            <w:r>
              <w:t xml:space="preserve">Filename pattern</w:t>
            </w:r>
          </w:p>
        </w:tc>
        <w:tc>
          <w:tcPr/>
          <w:p>
            <w:pPr>
              <w:pStyle w:val="Compact"/>
            </w:pPr>
            <w:r>
              <w:t xml:space="preserve">Description</w:t>
            </w:r>
          </w:p>
        </w:tc>
      </w:tr>
      <w:tr>
        <w:tc>
          <w:tcPr/>
          <w:p>
            <w:pPr>
              <w:pStyle w:val="Compact"/>
            </w:pPr>
            <w:r>
              <w:rPr>
                <w:rStyle w:val="VerbatimChar"/>
              </w:rPr>
              <w:t xml:space="preserve">&lt;status_code&gt;.asp</w:t>
            </w:r>
          </w:p>
        </w:tc>
        <w:tc>
          <w:tcPr/>
          <w:p>
            <w:pPr>
              <w:pStyle w:val="Compact"/>
            </w:pPr>
            <w:r>
              <w:t xml:space="preserve">An ASP script executed dynamically for the given status code.</w:t>
            </w:r>
          </w:p>
        </w:tc>
      </w:tr>
      <w:tr>
        <w:tc>
          <w:tcPr/>
          <w:p>
            <w:pPr>
              <w:pStyle w:val="Compact"/>
            </w:pPr>
            <w:r>
              <w:rPr>
                <w:rStyle w:val="VerbatimChar"/>
              </w:rPr>
              <w:t xml:space="preserve">&lt;status_code&gt;.html</w:t>
            </w:r>
          </w:p>
        </w:tc>
        <w:tc>
          <w:tcPr/>
          <w:p>
            <w:pPr>
              <w:pStyle w:val="Compact"/>
            </w:pPr>
            <w:r>
              <w:t xml:space="preserve">A static HTML file served for the given status code.</w:t>
            </w:r>
          </w:p>
        </w:tc>
      </w:tr>
    </w:tbl>
    <w:p>
      <w:pPr>
        <w:pStyle w:val="BodyText"/>
      </w:pPr>
      <w:r>
        <w:rPr>
          <w:b/>
          <w:bCs/>
        </w:rPr>
        <w:t xml:space="preserve">Examples:</w:t>
      </w:r>
      <w:r>
        <w:t xml:space="preserve"> </w:t>
      </w:r>
      <w:r>
        <w:t xml:space="preserve">-</w:t>
      </w:r>
      <w:r>
        <w:t xml:space="preserve"> </w:t>
      </w:r>
      <w:r>
        <w:rPr>
          <w:rStyle w:val="VerbatimChar"/>
        </w:rPr>
        <w:t xml:space="preserve">403.html</w:t>
      </w:r>
      <w:r>
        <w:t xml:space="preserve"> </w:t>
      </w:r>
      <w:r>
        <w:t xml:space="preserve">— Served on HTTP 403 Forbidden responses.</w:t>
      </w:r>
      <w:r>
        <w:t xml:space="preserve"> </w:t>
      </w:r>
      <w:r>
        <w:t xml:space="preserve">-</w:t>
      </w:r>
      <w:r>
        <w:t xml:space="preserve"> </w:t>
      </w:r>
      <w:r>
        <w:rPr>
          <w:rStyle w:val="VerbatimChar"/>
        </w:rPr>
        <w:t xml:space="preserve">404.html</w:t>
      </w:r>
      <w:r>
        <w:t xml:space="preserve"> </w:t>
      </w:r>
      <w:r>
        <w:t xml:space="preserve">— Served on HTTP 404 Not Found responses.</w:t>
      </w:r>
      <w:r>
        <w:t xml:space="preserve"> </w:t>
      </w:r>
      <w:r>
        <w:t xml:space="preserve">-</w:t>
      </w:r>
      <w:r>
        <w:t xml:space="preserve"> </w:t>
      </w:r>
      <w:r>
        <w:rPr>
          <w:rStyle w:val="VerbatimChar"/>
        </w:rPr>
        <w:t xml:space="preserve">500.html</w:t>
      </w:r>
      <w:r>
        <w:t xml:space="preserve"> </w:t>
      </w:r>
      <w:r>
        <w:t xml:space="preserve">— Served on HTTP 500 Internal Server Error responses.</w:t>
      </w:r>
      <w:r>
        <w:t xml:space="preserve"> </w:t>
      </w:r>
      <w:r>
        <w:t xml:space="preserve">-</w:t>
      </w:r>
      <w:r>
        <w:t xml:space="preserve"> </w:t>
      </w:r>
      <w:r>
        <w:rPr>
          <w:rStyle w:val="VerbatimChar"/>
        </w:rPr>
        <w:t xml:space="preserve">500.asp</w:t>
      </w:r>
      <w:r>
        <w:t xml:space="preserve"> </w:t>
      </w:r>
      <w:r>
        <w:t xml:space="preserve">— An ASP page executed and served on HTTP 500 responses.</w:t>
      </w:r>
    </w:p>
    <w:p>
      <w:pPr>
        <w:pStyle w:val="BodyText"/>
      </w:pPr>
      <w:r>
        <w:t xml:space="preserve">When both an</w:t>
      </w:r>
      <w:r>
        <w:t xml:space="preserve"> </w:t>
      </w:r>
      <w:r>
        <w:rPr>
          <w:rStyle w:val="VerbatimChar"/>
        </w:rPr>
        <w:t xml:space="preserve">.asp</w:t>
      </w:r>
      <w:r>
        <w:t xml:space="preserve"> </w:t>
      </w:r>
      <w:r>
        <w:t xml:space="preserve">and an</w:t>
      </w:r>
      <w:r>
        <w:t xml:space="preserve"> </w:t>
      </w:r>
      <w:r>
        <w:rPr>
          <w:rStyle w:val="VerbatimChar"/>
        </w:rPr>
        <w:t xml:space="preserve">.html</w:t>
      </w:r>
      <w:r>
        <w:t xml:space="preserve"> </w:t>
      </w:r>
      <w:r>
        <w:t xml:space="preserve">file exist for the same status code, the</w:t>
      </w:r>
      <w:r>
        <w:t xml:space="preserve"> </w:t>
      </w:r>
      <w:r>
        <w:rPr>
          <w:rStyle w:val="VerbatimChar"/>
        </w:rPr>
        <w:t xml:space="preserve">.asp</w:t>
      </w:r>
      <w:r>
        <w:t xml:space="preserve"> </w:t>
      </w:r>
      <w:r>
        <w:t xml:space="preserve">file takes precedence.</w:t>
      </w:r>
    </w:p>
    <w:bookmarkEnd w:id="314"/>
    <w:bookmarkStart w:id="315" w:name="default-error-pages"/>
    <w:p>
      <w:pPr>
        <w:pStyle w:val="Heading3"/>
      </w:pPr>
      <w:r>
        <w:t xml:space="preserve">Default Error Pages</w:t>
      </w:r>
    </w:p>
    <w:p>
      <w:pPr>
        <w:pStyle w:val="FirstParagraph"/>
      </w:pPr>
      <w:r>
        <w:t xml:space="preserve">AxonASP ships with default static error pages for the most common status codes (403, 404, 500). You can replace these files with your own pages by editing the files in</w:t>
      </w:r>
      <w:r>
        <w:t xml:space="preserve"> </w:t>
      </w:r>
      <w:r>
        <w:rPr>
          <w:rStyle w:val="VerbatimChar"/>
        </w:rPr>
        <w:t xml:space="preserve">www/error-pages/</w:t>
      </w:r>
      <w:r>
        <w:t xml:space="preserve">.</w:t>
      </w:r>
    </w:p>
    <w:bookmarkEnd w:id="315"/>
    <w:bookmarkStart w:id="316" w:name="Xc781b3f55b429e74c2eb89ae7b5c324c1409e13"/>
    <w:p>
      <w:pPr>
        <w:pStyle w:val="Heading3"/>
      </w:pPr>
      <w:r>
        <w:t xml:space="preserve">Using web.config for Custom Error Mapping</w:t>
      </w:r>
    </w:p>
    <w:p>
      <w:pPr>
        <w:pStyle w:val="FirstParagraph"/>
      </w:pPr>
      <w:r>
        <w:t xml:space="preserve">You can also map status codes to custom pages using the</w:t>
      </w:r>
      <w:r>
        <w:t xml:space="preserve"> </w:t>
      </w:r>
      <w:r>
        <w:rPr>
          <w:rStyle w:val="VerbatimChar"/>
        </w:rPr>
        <w:t xml:space="preserve">&lt;httpErrors&gt;</w:t>
      </w:r>
      <w:r>
        <w:t xml:space="preserve"> </w:t>
      </w:r>
      <w:r>
        <w:t xml:space="preserve">section in</w:t>
      </w:r>
      <w:r>
        <w:t xml:space="preserve"> </w:t>
      </w:r>
      <w:r>
        <w:rPr>
          <w:rStyle w:val="VerbatimChar"/>
        </w:rPr>
        <w:t xml:space="preserve">web.config</w:t>
      </w:r>
      <w:r>
        <w:t xml:space="preserve">. This approach allows you to use pages outside the</w:t>
      </w:r>
      <w:r>
        <w:t xml:space="preserve"> </w:t>
      </w:r>
      <w:r>
        <w:rPr>
          <w:rStyle w:val="VerbatimChar"/>
        </w:rPr>
        <w:t xml:space="preserve">error-pages/</w:t>
      </w:r>
      <w:r>
        <w:t xml:space="preserve"> </w:t>
      </w:r>
      <w:r>
        <w:t xml:space="preserve">directory and to specify whether the page is executed dynamically or served as a static file:</w:t>
      </w:r>
    </w:p>
    <w:p>
      <w:pPr>
        <w:pStyle w:val="SourceCode"/>
      </w:pPr>
      <w:r>
        <w:rPr>
          <w:rStyle w:val="NormalTok"/>
        </w:rPr>
        <w:t xml:space="preserve">&lt;</w:t>
      </w:r>
      <w:r>
        <w:rPr>
          <w:rStyle w:val="KeywordTok"/>
        </w:rPr>
        <w:t xml:space="preserve">configuration</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    &lt;</w:t>
      </w:r>
      <w:r>
        <w:rPr>
          <w:rStyle w:val="KeywordTok"/>
        </w:rPr>
        <w:t xml:space="preserve">httpErrors</w:t>
      </w:r>
      <w:r>
        <w:rPr>
          <w:rStyle w:val="NormalTok"/>
        </w:rPr>
        <w:t xml:space="preserve">&gt;</w:t>
      </w:r>
      <w:r>
        <w:br/>
      </w:r>
      <w:r>
        <w:rPr>
          <w:rStyle w:val="NormalTok"/>
        </w:rPr>
        <w:t xml:space="preserve">      &lt;</w:t>
      </w:r>
      <w:r>
        <w:rPr>
          <w:rStyle w:val="KeywordTok"/>
        </w:rPr>
        <w:t xml:space="preserve">error</w:t>
      </w:r>
      <w:r>
        <w:rPr>
          <w:rStyle w:val="NormalTok"/>
        </w:rPr>
        <w:t xml:space="preserve"> </w:t>
      </w:r>
      <w:r>
        <w:rPr>
          <w:rStyle w:val="OtherTok"/>
        </w:rPr>
        <w:t xml:space="preserve">statusCode=</w:t>
      </w:r>
      <w:r>
        <w:rPr>
          <w:rStyle w:val="StringTok"/>
        </w:rPr>
        <w:t xml:space="preserve">"404"</w:t>
      </w:r>
      <w:r>
        <w:rPr>
          <w:rStyle w:val="NormalTok"/>
        </w:rPr>
        <w:t xml:space="preserve"> </w:t>
      </w:r>
      <w:r>
        <w:rPr>
          <w:rStyle w:val="OtherTok"/>
        </w:rPr>
        <w:t xml:space="preserve">path=</w:t>
      </w:r>
      <w:r>
        <w:rPr>
          <w:rStyle w:val="StringTok"/>
        </w:rPr>
        <w:t xml:space="preserve">"/error-pages/404.html"</w:t>
      </w:r>
      <w:r>
        <w:rPr>
          <w:rStyle w:val="NormalTok"/>
        </w:rPr>
        <w:t xml:space="preserve"> </w:t>
      </w:r>
      <w:r>
        <w:rPr>
          <w:rStyle w:val="OtherTok"/>
        </w:rPr>
        <w:t xml:space="preserve">responseMode=</w:t>
      </w:r>
      <w:r>
        <w:rPr>
          <w:rStyle w:val="StringTok"/>
        </w:rPr>
        <w:t xml:space="preserve">"File"</w:t>
      </w:r>
      <w:r>
        <w:rPr>
          <w:rStyle w:val="NormalTok"/>
        </w:rPr>
        <w:t xml:space="preserve"> /&gt;</w:t>
      </w:r>
      <w:r>
        <w:br/>
      </w:r>
      <w:r>
        <w:rPr>
          <w:rStyle w:val="NormalTok"/>
        </w:rPr>
        <w:t xml:space="preserve">      &lt;</w:t>
      </w:r>
      <w:r>
        <w:rPr>
          <w:rStyle w:val="KeywordTok"/>
        </w:rPr>
        <w:t xml:space="preserve">error</w:t>
      </w:r>
      <w:r>
        <w:rPr>
          <w:rStyle w:val="NormalTok"/>
        </w:rPr>
        <w:t xml:space="preserve"> </w:t>
      </w:r>
      <w:r>
        <w:rPr>
          <w:rStyle w:val="OtherTok"/>
        </w:rPr>
        <w:t xml:space="preserve">statusCode=</w:t>
      </w:r>
      <w:r>
        <w:rPr>
          <w:rStyle w:val="StringTok"/>
        </w:rPr>
        <w:t xml:space="preserve">"500"</w:t>
      </w:r>
      <w:r>
        <w:rPr>
          <w:rStyle w:val="NormalTok"/>
        </w:rPr>
        <w:t xml:space="preserve"> </w:t>
      </w:r>
      <w:r>
        <w:rPr>
          <w:rStyle w:val="OtherTok"/>
        </w:rPr>
        <w:t xml:space="preserve">path=</w:t>
      </w:r>
      <w:r>
        <w:rPr>
          <w:rStyle w:val="StringTok"/>
        </w:rPr>
        <w:t xml:space="preserve">"/error-pages/500.asp"</w:t>
      </w:r>
      <w:r>
        <w:rPr>
          <w:rStyle w:val="NormalTok"/>
        </w:rPr>
        <w:t xml:space="preserve"> </w:t>
      </w:r>
      <w:r>
        <w:rPr>
          <w:rStyle w:val="OtherTok"/>
        </w:rPr>
        <w:t xml:space="preserve">responseMode=</w:t>
      </w:r>
      <w:r>
        <w:rPr>
          <w:rStyle w:val="StringTok"/>
        </w:rPr>
        <w:t xml:space="preserve">"ExecuteURL"</w:t>
      </w:r>
      <w:r>
        <w:rPr>
          <w:rStyle w:val="NormalTok"/>
        </w:rPr>
        <w:t xml:space="preserve"> /&gt;</w:t>
      </w:r>
      <w:r>
        <w:br/>
      </w:r>
      <w:r>
        <w:rPr>
          <w:rStyle w:val="NormalTok"/>
        </w:rPr>
        <w:t xml:space="preserve">    &lt;/</w:t>
      </w:r>
      <w:r>
        <w:rPr>
          <w:rStyle w:val="KeywordTok"/>
        </w:rPr>
        <w:t xml:space="preserve">httpErrors</w:t>
      </w:r>
      <w:r>
        <w:rPr>
          <w:rStyle w:val="NormalTok"/>
        </w:rPr>
        <w:t xml:space="preserve">&gt;</w:t>
      </w:r>
      <w:r>
        <w:br/>
      </w:r>
      <w:r>
        <w:rPr>
          <w:rStyle w:val="NormalTok"/>
        </w:rPr>
        <w:t xml:space="preserve">  &lt;/</w:t>
      </w:r>
      <w:r>
        <w:rPr>
          <w:rStyle w:val="KeywordTok"/>
        </w:rPr>
        <w:t xml:space="preserve">system.webServer</w:t>
      </w:r>
      <w:r>
        <w:rPr>
          <w:rStyle w:val="NormalTok"/>
        </w:rPr>
        <w:t xml:space="preserve">&gt;</w:t>
      </w:r>
      <w:r>
        <w:br/>
      </w:r>
      <w:r>
        <w:rPr>
          <w:rStyle w:val="NormalTok"/>
        </w:rPr>
        <w:t xml:space="preserve">&lt;/</w:t>
      </w:r>
      <w:r>
        <w:rPr>
          <w:rStyle w:val="KeywordTok"/>
        </w:rPr>
        <w:t xml:space="preserve">configuration</w:t>
      </w:r>
      <w:r>
        <w:rPr>
          <w:rStyle w:val="NormalTok"/>
        </w:rPr>
        <w:t xml:space="preserve">&gt;</w:t>
      </w:r>
    </w:p>
    <w:bookmarkEnd w:id="316"/>
    <w:bookmarkEnd w:id="317"/>
    <w:bookmarkStart w:id="318" w:name="remarks-13"/>
    <w:p>
      <w:pPr>
        <w:pStyle w:val="Heading2"/>
      </w:pPr>
      <w:r>
        <w:t xml:space="preserve">Remarks</w:t>
      </w:r>
    </w:p>
    <w:p>
      <w:pPr>
        <w:pStyle w:val="Compact"/>
        <w:numPr>
          <w:ilvl w:val="0"/>
          <w:numId w:val="1126"/>
        </w:numPr>
      </w:pPr>
      <w:r>
        <w:t xml:space="preserve">Direct HTTP access to both</w:t>
      </w:r>
      <w:r>
        <w:t xml:space="preserve"> </w:t>
      </w:r>
      <w:r>
        <w:rPr>
          <w:rStyle w:val="VerbatimChar"/>
        </w:rPr>
        <w:t xml:space="preserve">www/axonasp-pages/</w:t>
      </w:r>
      <w:r>
        <w:t xml:space="preserve"> </w:t>
      </w:r>
      <w:r>
        <w:t xml:space="preserve">and</w:t>
      </w:r>
      <w:r>
        <w:t xml:space="preserve"> </w:t>
      </w:r>
      <w:r>
        <w:rPr>
          <w:rStyle w:val="VerbatimChar"/>
        </w:rPr>
        <w:t xml:space="preserve">www/error-pages/</w:t>
      </w:r>
      <w:r>
        <w:t xml:space="preserve"> </w:t>
      </w:r>
      <w:r>
        <w:t xml:space="preserve">is blocked by default. Do not remove these directories from</w:t>
      </w:r>
      <w:r>
        <w:t xml:space="preserve"> </w:t>
      </w:r>
      <w:r>
        <w:rPr>
          <w:rStyle w:val="VerbatimChar"/>
        </w:rPr>
        <w:t xml:space="preserve">blocked_dirs</w:t>
      </w:r>
      <w:r>
        <w:t xml:space="preserve"> </w:t>
      </w:r>
      <w:r>
        <w:t xml:space="preserve">in</w:t>
      </w:r>
      <w:r>
        <w:t xml:space="preserve"> </w:t>
      </w:r>
      <w:r>
        <w:rPr>
          <w:rStyle w:val="VerbatimChar"/>
        </w:rPr>
        <w:t xml:space="preserve">axonasp.toml</w:t>
      </w:r>
      <w:r>
        <w:t xml:space="preserve">.</w:t>
      </w:r>
    </w:p>
    <w:p>
      <w:pPr>
        <w:pStyle w:val="Compact"/>
        <w:numPr>
          <w:ilvl w:val="0"/>
          <w:numId w:val="1126"/>
        </w:numPr>
      </w:pPr>
      <w:r>
        <w:t xml:space="preserve">The directory-listing template is loaded from disk on each request when directory listing is triggered. CSS and logo assets are inlined into the HTTP response; they are not served as separate requests.</w:t>
      </w:r>
    </w:p>
    <w:p>
      <w:pPr>
        <w:pStyle w:val="Compact"/>
        <w:numPr>
          <w:ilvl w:val="0"/>
          <w:numId w:val="1126"/>
        </w:numPr>
      </w:pPr>
      <w:r>
        <w:t xml:space="preserve">Error pages placed in</w:t>
      </w:r>
      <w:r>
        <w:t xml:space="preserve"> </w:t>
      </w:r>
      <w:r>
        <w:rPr>
          <w:rStyle w:val="VerbatimChar"/>
        </w:rPr>
        <w:t xml:space="preserve">www/error-pages/</w:t>
      </w:r>
      <w:r>
        <w:t xml:space="preserve"> </w:t>
      </w:r>
      <w:r>
        <w:t xml:space="preserve">have access to all standard ASP intrinsic objects (</w:t>
      </w:r>
      <w:r>
        <w:rPr>
          <w:rStyle w:val="VerbatimChar"/>
        </w:rPr>
        <w:t xml:space="preserve">Request</w:t>
      </w:r>
      <w:r>
        <w:t xml:space="preserve">,</w:t>
      </w:r>
      <w:r>
        <w:t xml:space="preserve"> </w:t>
      </w:r>
      <w:r>
        <w:rPr>
          <w:rStyle w:val="VerbatimChar"/>
        </w:rPr>
        <w:t xml:space="preserve">Response</w:t>
      </w:r>
      <w:r>
        <w:t xml:space="preserve">,</w:t>
      </w:r>
      <w:r>
        <w:t xml:space="preserve"> </w:t>
      </w:r>
      <w:r>
        <w:rPr>
          <w:rStyle w:val="VerbatimChar"/>
        </w:rPr>
        <w:t xml:space="preserve">Server</w:t>
      </w:r>
      <w:r>
        <w:t xml:space="preserve">,</w:t>
      </w:r>
      <w:r>
        <w:t xml:space="preserve"> </w:t>
      </w:r>
      <w:r>
        <w:rPr>
          <w:rStyle w:val="VerbatimChar"/>
        </w:rPr>
        <w:t xml:space="preserve">Session</w:t>
      </w:r>
      <w:r>
        <w:t xml:space="preserve">,</w:t>
      </w:r>
      <w:r>
        <w:t xml:space="preserve"> </w:t>
      </w:r>
      <w:r>
        <w:rPr>
          <w:rStyle w:val="VerbatimChar"/>
        </w:rPr>
        <w:t xml:space="preserve">Application</w:t>
      </w:r>
      <w:r>
        <w:t xml:space="preserve">) when using</w:t>
      </w:r>
      <w:r>
        <w:t xml:space="preserve"> </w:t>
      </w:r>
      <w:r>
        <w:rPr>
          <w:rStyle w:val="VerbatimChar"/>
        </w:rPr>
        <w:t xml:space="preserve">.asp</w:t>
      </w:r>
      <w:r>
        <w:t xml:space="preserve"> </w:t>
      </w:r>
      <w:r>
        <w:t xml:space="preserve">format.</w:t>
      </w:r>
    </w:p>
    <w:p>
      <w:pPr>
        <w:pStyle w:val="Compact"/>
        <w:numPr>
          <w:ilvl w:val="0"/>
          <w:numId w:val="1126"/>
        </w:numPr>
      </w:pPr>
      <w:r>
        <w:t xml:space="preserve">The</w:t>
      </w:r>
      <w:r>
        <w:t xml:space="preserve"> </w:t>
      </w:r>
      <w:r>
        <w:rPr>
          <w:rStyle w:val="VerbatimChar"/>
        </w:rPr>
        <w:t xml:space="preserve">axonasp-pages/css/</w:t>
      </w:r>
      <w:r>
        <w:t xml:space="preserve"> </w:t>
      </w:r>
      <w:r>
        <w:t xml:space="preserve">stylesheet is also used by the built-in documentation manual. Modifications to the stylesheet affect both the manual appearance and any custom pages that reference it.</w:t>
      </w:r>
    </w:p>
    <w:bookmarkEnd w:id="318"/>
    <w:bookmarkEnd w:id="319"/>
    <w:bookmarkStart w:id="347" w:name="axonasp-error-code-reference"/>
    <w:p>
      <w:pPr>
        <w:pStyle w:val="Heading1"/>
      </w:pPr>
      <w:r>
        <w:t xml:space="preserve">AxonASP Error Code Reference</w:t>
      </w:r>
    </w:p>
    <w:bookmarkStart w:id="320" w:name="overview-22"/>
    <w:p>
      <w:pPr>
        <w:pStyle w:val="Heading2"/>
      </w:pPr>
      <w:r>
        <w:t xml:space="preserve">Overview</w:t>
      </w:r>
    </w:p>
    <w:p>
      <w:pPr>
        <w:pStyle w:val="FirstParagraph"/>
      </w:pPr>
      <w:r>
        <w:t xml:space="preserve">This page lists all error codes recognized by G3Pix AxonASP, divided into two distinct categories:</w:t>
      </w:r>
    </w:p>
    <w:p>
      <w:pPr>
        <w:pStyle w:val="Compact"/>
        <w:numPr>
          <w:ilvl w:val="0"/>
          <w:numId w:val="1127"/>
        </w:numPr>
      </w:pPr>
      <w:r>
        <w:rPr>
          <w:b/>
          <w:bCs/>
        </w:rPr>
        <w:t xml:space="preserve">AxonASP Error Codes</w:t>
      </w:r>
      <w:r>
        <w:t xml:space="preserve"> </w:t>
      </w:r>
      <w:r>
        <w:t xml:space="preserve">— Internal platform errors raised by the GoLang runtime, server, FastCGI process, CLI, service wrapper, caching layer, and built-in libraries. These are defined in</w:t>
      </w:r>
      <w:r>
        <w:t xml:space="preserve"> </w:t>
      </w:r>
      <w:r>
        <w:rPr>
          <w:rStyle w:val="VerbatimChar"/>
        </w:rPr>
        <w:t xml:space="preserve">axonvm/axonvmerrorcodes.go</w:t>
      </w:r>
      <w:r>
        <w:t xml:space="preserve"> </w:t>
      </w:r>
      <w:r>
        <w:t xml:space="preserve">and are exclusive to the AxonASP engine. They are always expressed as plain decimal integers.</w:t>
      </w:r>
    </w:p>
    <w:p>
      <w:pPr>
        <w:pStyle w:val="Compact"/>
        <w:numPr>
          <w:ilvl w:val="0"/>
          <w:numId w:val="1127"/>
        </w:numPr>
      </w:pPr>
      <w:r>
        <w:rPr>
          <w:b/>
          <w:bCs/>
        </w:rPr>
        <w:t xml:space="preserve">VBScript Error Codes</w:t>
      </w:r>
      <w:r>
        <w:t xml:space="preserve"> </w:t>
      </w:r>
      <w:r>
        <w:t xml:space="preserve">— Standard VBScript runtime and syntax errors, compatible with the original Microsoft VBScript specification. These are defined in</w:t>
      </w:r>
      <w:r>
        <w:t xml:space="preserve"> </w:t>
      </w:r>
      <w:r>
        <w:rPr>
          <w:rStyle w:val="VerbatimChar"/>
        </w:rPr>
        <w:t xml:space="preserve">vbscript/vberrorcodes.go</w:t>
      </w:r>
      <w:r>
        <w:t xml:space="preserve">. VBScript errors can be represented in multiple numeric formats depending on the context in which they appear.</w:t>
      </w:r>
    </w:p>
    <w:p>
      <w:pPr>
        <w:pStyle w:val="Compact"/>
        <w:numPr>
          <w:ilvl w:val="0"/>
          <w:numId w:val="1127"/>
        </w:numPr>
      </w:pPr>
      <w:r>
        <w:rPr>
          <w:b/>
          <w:bCs/>
        </w:rPr>
        <w:t xml:space="preserve">JavaScript Error Codes</w:t>
      </w:r>
      <w:r>
        <w:t xml:space="preserve"> </w:t>
      </w:r>
      <w:r>
        <w:t xml:space="preserve">— Standard JScript runtime and syntax errors, compatible with the original Microsoft JScript specification. These are defined in</w:t>
      </w:r>
      <w:r>
        <w:t xml:space="preserve"> </w:t>
      </w:r>
      <w:r>
        <w:rPr>
          <w:rStyle w:val="VerbatimChar"/>
        </w:rPr>
        <w:t xml:space="preserve">jscript/jscripterrorcodes.go</w:t>
      </w:r>
      <w:r>
        <w:t xml:space="preserve">. JavaScript errors can be represented in multiple numeric formats depending on the context in which they appear.</w:t>
      </w:r>
    </w:p>
    <w:bookmarkEnd w:id="320"/>
    <w:bookmarkStart w:id="321" w:name="vbscript-error-number-formats"/>
    <w:p>
      <w:pPr>
        <w:pStyle w:val="Heading2"/>
      </w:pPr>
      <w:r>
        <w:t xml:space="preserve">VBScript Error Number Formats</w:t>
      </w:r>
    </w:p>
    <w:p>
      <w:pPr>
        <w:pStyle w:val="FirstParagraph"/>
      </w:pPr>
      <w:r>
        <w:t xml:space="preserve">VBScript error numbers are exposed in two common formats:</w:t>
      </w:r>
    </w:p>
    <w:p>
      <w:pPr>
        <w:pStyle w:val="Compact"/>
        <w:numPr>
          <w:ilvl w:val="0"/>
          <w:numId w:val="1128"/>
        </w:numPr>
      </w:pPr>
      <w:r>
        <w:rPr>
          <w:b/>
          <w:bCs/>
        </w:rPr>
        <w:t xml:space="preserve">Decimal</w:t>
      </w:r>
      <w:r>
        <w:t xml:space="preserve"> </w:t>
      </w:r>
      <w:r>
        <w:t xml:space="preserve">— The short numeric code used in</w:t>
      </w:r>
      <w:r>
        <w:t xml:space="preserve"> </w:t>
      </w:r>
      <w:r>
        <w:rPr>
          <w:rStyle w:val="VerbatimChar"/>
        </w:rPr>
        <w:t xml:space="preserve">Err.Number</w:t>
      </w:r>
      <w:r>
        <w:t xml:space="preserve"> </w:t>
      </w:r>
      <w:r>
        <w:t xml:space="preserve">at the ASP/VBScript level. For example,</w:t>
      </w:r>
      <w:r>
        <w:t xml:space="preserve"> </w:t>
      </w:r>
      <w:r>
        <w:rPr>
          <w:rStyle w:val="VerbatimChar"/>
        </w:rPr>
        <w:t xml:space="preserve">13</w:t>
      </w:r>
      <w:r>
        <w:t xml:space="preserve"> </w:t>
      </w:r>
      <w:r>
        <w:t xml:space="preserve">for a Type Mismatch.</w:t>
      </w:r>
    </w:p>
    <w:p>
      <w:pPr>
        <w:pStyle w:val="Compact"/>
        <w:numPr>
          <w:ilvl w:val="0"/>
          <w:numId w:val="1128"/>
        </w:numPr>
      </w:pPr>
      <w:r>
        <w:rPr>
          <w:b/>
          <w:bCs/>
        </w:rPr>
        <w:t xml:space="preserve">Hexadecimal (HRESULT)</w:t>
      </w:r>
      <w:r>
        <w:t xml:space="preserve"> </w:t>
      </w:r>
      <w:r>
        <w:t xml:space="preserve">— The long form used by COM automation and reported by some host environments. Calculated as</w:t>
      </w:r>
      <w:r>
        <w:t xml:space="preserve"> </w:t>
      </w:r>
      <w:r>
        <w:rPr>
          <w:rStyle w:val="VerbatimChar"/>
        </w:rPr>
        <w:t xml:space="preserve">0x800A0000 + decimal_code</w:t>
      </w:r>
      <w:r>
        <w:t xml:space="preserve">. For example, error</w:t>
      </w:r>
      <w:r>
        <w:t xml:space="preserve"> </w:t>
      </w:r>
      <w:r>
        <w:rPr>
          <w:rStyle w:val="VerbatimChar"/>
        </w:rPr>
        <w:t xml:space="preserve">13</w:t>
      </w:r>
      <w:r>
        <w:t xml:space="preserve"> </w:t>
      </w:r>
      <w:r>
        <w:t xml:space="preserve">becomes</w:t>
      </w:r>
      <w:r>
        <w:t xml:space="preserve"> </w:t>
      </w:r>
      <w:r>
        <w:rPr>
          <w:rStyle w:val="VerbatimChar"/>
        </w:rPr>
        <w:t xml:space="preserve">0x800A000D</w:t>
      </w:r>
      <w:r>
        <w:t xml:space="preserve">. This is the format most commonly seen in browser-side JavaScript</w:t>
      </w:r>
      <w:r>
        <w:t xml:space="preserve"> </w:t>
      </w:r>
      <w:r>
        <w:rPr>
          <w:rStyle w:val="VerbatimChar"/>
        </w:rPr>
        <w:t xml:space="preserve">Error.description</w:t>
      </w:r>
      <w:r>
        <w:t xml:space="preserve"> </w:t>
      </w:r>
      <w:r>
        <w:t xml:space="preserve">properties and in COM-aware debugging tools.</w:t>
      </w:r>
    </w:p>
    <w:p>
      <w:pPr>
        <w:pStyle w:val="FirstParagraph"/>
      </w:pPr>
      <w:r>
        <w:t xml:space="preserve">When</w:t>
      </w:r>
      <w:r>
        <w:t xml:space="preserve"> </w:t>
      </w:r>
      <w:r>
        <w:rPr>
          <w:rStyle w:val="VerbatimChar"/>
        </w:rPr>
        <w:t xml:space="preserve">Err.Number</w:t>
      </w:r>
      <w:r>
        <w:t xml:space="preserve"> </w:t>
      </w:r>
      <w:r>
        <w:t xml:space="preserve">is read in an ASP script, it always returns the short decimal value. The hexadecimal HRESULT form is informational and used for cross-platform or COM interoperability references.</w:t>
      </w:r>
    </w:p>
    <w:p>
      <w:r>
        <w:pict>
          <v:rect style="width:0;height:1.5pt" o:hralign="center" o:hrstd="t" o:hr="t"/>
        </w:pict>
      </w:r>
    </w:p>
    <w:bookmarkEnd w:id="321"/>
    <w:bookmarkStart w:id="335" w:name="axonasp-error-codes"/>
    <w:p>
      <w:pPr>
        <w:pStyle w:val="Heading2"/>
      </w:pPr>
      <w:r>
        <w:t xml:space="preserve">AxonASP Error Codes</w:t>
      </w:r>
    </w:p>
    <w:p>
      <w:pPr>
        <w:pStyle w:val="FirstParagraph"/>
      </w:pPr>
      <w:r>
        <w:t xml:space="preserve">AxonASP error codes are internal to the G3Pix AxonASP platform. They are never raised as VBScript</w:t>
      </w:r>
      <w:r>
        <w:t xml:space="preserve"> </w:t>
      </w:r>
      <w:r>
        <w:rPr>
          <w:rStyle w:val="VerbatimChar"/>
        </w:rPr>
        <w:t xml:space="preserve">Err.Number</w:t>
      </w:r>
      <w:r>
        <w:t xml:space="preserve"> </w:t>
      </w:r>
      <w:r>
        <w:t xml:space="preserve">values. They appear in server logs, CLI output, HTTP error responses, and the</w:t>
      </w:r>
      <w:r>
        <w:t xml:space="preserve"> </w:t>
      </w:r>
      <w:r>
        <w:rPr>
          <w:rStyle w:val="VerbatimChar"/>
        </w:rPr>
        <w:t xml:space="preserve">ASPError</w:t>
      </w:r>
      <w:r>
        <w:t xml:space="preserve"> </w:t>
      </w:r>
      <w:r>
        <w:t xml:space="preserve">intrinsic object when an AxonASP-level failure prevents normal script execution.</w:t>
      </w:r>
    </w:p>
    <w:bookmarkStart w:id="322" w:name="http-standard-400504"/>
    <w:p>
      <w:pPr>
        <w:pStyle w:val="Heading3"/>
      </w:pPr>
      <w:r>
        <w:t xml:space="preserve">HTTP Standard (400–504)</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400</w:t>
            </w:r>
          </w:p>
        </w:tc>
        <w:tc>
          <w:tcPr/>
          <w:p>
            <w:pPr>
              <w:pStyle w:val="Compact"/>
            </w:pPr>
            <w:r>
              <w:t xml:space="preserve">Bad Request</w:t>
            </w:r>
          </w:p>
        </w:tc>
      </w:tr>
      <w:tr>
        <w:tc>
          <w:tcPr/>
          <w:p>
            <w:pPr>
              <w:pStyle w:val="Compact"/>
            </w:pPr>
            <w:r>
              <w:t xml:space="preserve">401</w:t>
            </w:r>
          </w:p>
        </w:tc>
        <w:tc>
          <w:tcPr/>
          <w:p>
            <w:pPr>
              <w:pStyle w:val="Compact"/>
            </w:pPr>
            <w:r>
              <w:t xml:space="preserve">Unauthorized</w:t>
            </w:r>
          </w:p>
        </w:tc>
      </w:tr>
      <w:tr>
        <w:tc>
          <w:tcPr/>
          <w:p>
            <w:pPr>
              <w:pStyle w:val="Compact"/>
            </w:pPr>
            <w:r>
              <w:t xml:space="preserve">403</w:t>
            </w:r>
          </w:p>
        </w:tc>
        <w:tc>
          <w:tcPr/>
          <w:p>
            <w:pPr>
              <w:pStyle w:val="Compact"/>
            </w:pPr>
            <w:r>
              <w:t xml:space="preserve">Forbidden</w:t>
            </w:r>
          </w:p>
        </w:tc>
      </w:tr>
      <w:tr>
        <w:tc>
          <w:tcPr/>
          <w:p>
            <w:pPr>
              <w:pStyle w:val="Compact"/>
            </w:pPr>
            <w:r>
              <w:t xml:space="preserve">404</w:t>
            </w:r>
          </w:p>
        </w:tc>
        <w:tc>
          <w:tcPr/>
          <w:p>
            <w:pPr>
              <w:pStyle w:val="Compact"/>
            </w:pPr>
            <w:r>
              <w:t xml:space="preserve">Not Found</w:t>
            </w:r>
          </w:p>
        </w:tc>
      </w:tr>
      <w:tr>
        <w:tc>
          <w:tcPr/>
          <w:p>
            <w:pPr>
              <w:pStyle w:val="Compact"/>
            </w:pPr>
            <w:r>
              <w:t xml:space="preserve">405</w:t>
            </w:r>
          </w:p>
        </w:tc>
        <w:tc>
          <w:tcPr/>
          <w:p>
            <w:pPr>
              <w:pStyle w:val="Compact"/>
            </w:pPr>
            <w:r>
              <w:t xml:space="preserve">Method Not Allowed</w:t>
            </w:r>
          </w:p>
        </w:tc>
      </w:tr>
      <w:tr>
        <w:tc>
          <w:tcPr/>
          <w:p>
            <w:pPr>
              <w:pStyle w:val="Compact"/>
            </w:pPr>
            <w:r>
              <w:t xml:space="preserve">413</w:t>
            </w:r>
          </w:p>
        </w:tc>
        <w:tc>
          <w:tcPr/>
          <w:p>
            <w:pPr>
              <w:pStyle w:val="Compact"/>
            </w:pPr>
            <w:r>
              <w:t xml:space="preserve">Payload Too Large</w:t>
            </w:r>
          </w:p>
        </w:tc>
      </w:tr>
      <w:tr>
        <w:tc>
          <w:tcPr/>
          <w:p>
            <w:pPr>
              <w:pStyle w:val="Compact"/>
            </w:pPr>
            <w:r>
              <w:t xml:space="preserve">414</w:t>
            </w:r>
          </w:p>
        </w:tc>
        <w:tc>
          <w:tcPr/>
          <w:p>
            <w:pPr>
              <w:pStyle w:val="Compact"/>
            </w:pPr>
            <w:r>
              <w:t xml:space="preserve">URI Too Long</w:t>
            </w:r>
          </w:p>
        </w:tc>
      </w:tr>
      <w:tr>
        <w:tc>
          <w:tcPr/>
          <w:p>
            <w:pPr>
              <w:pStyle w:val="Compact"/>
            </w:pPr>
            <w:r>
              <w:t xml:space="preserve">500</w:t>
            </w:r>
          </w:p>
        </w:tc>
        <w:tc>
          <w:tcPr/>
          <w:p>
            <w:pPr>
              <w:pStyle w:val="Compact"/>
            </w:pPr>
            <w:r>
              <w:t xml:space="preserve">Internal Server Error</w:t>
            </w:r>
          </w:p>
        </w:tc>
      </w:tr>
      <w:tr>
        <w:tc>
          <w:tcPr/>
          <w:p>
            <w:pPr>
              <w:pStyle w:val="Compact"/>
            </w:pPr>
            <w:r>
              <w:t xml:space="preserve">501</w:t>
            </w:r>
          </w:p>
        </w:tc>
        <w:tc>
          <w:tcPr/>
          <w:p>
            <w:pPr>
              <w:pStyle w:val="Compact"/>
            </w:pPr>
            <w:r>
              <w:t xml:space="preserve">Not Implemented</w:t>
            </w:r>
          </w:p>
        </w:tc>
      </w:tr>
      <w:tr>
        <w:tc>
          <w:tcPr/>
          <w:p>
            <w:pPr>
              <w:pStyle w:val="Compact"/>
            </w:pPr>
            <w:r>
              <w:t xml:space="preserve">502</w:t>
            </w:r>
          </w:p>
        </w:tc>
        <w:tc>
          <w:tcPr/>
          <w:p>
            <w:pPr>
              <w:pStyle w:val="Compact"/>
            </w:pPr>
            <w:r>
              <w:t xml:space="preserve">Bad Gateway</w:t>
            </w:r>
          </w:p>
        </w:tc>
      </w:tr>
      <w:tr>
        <w:tc>
          <w:tcPr/>
          <w:p>
            <w:pPr>
              <w:pStyle w:val="Compact"/>
            </w:pPr>
            <w:r>
              <w:t xml:space="preserve">503</w:t>
            </w:r>
          </w:p>
        </w:tc>
        <w:tc>
          <w:tcPr/>
          <w:p>
            <w:pPr>
              <w:pStyle w:val="Compact"/>
            </w:pPr>
            <w:r>
              <w:t xml:space="preserve">Service Unavailable</w:t>
            </w:r>
          </w:p>
        </w:tc>
      </w:tr>
      <w:tr>
        <w:tc>
          <w:tcPr/>
          <w:p>
            <w:pPr>
              <w:pStyle w:val="Compact"/>
            </w:pPr>
            <w:r>
              <w:t xml:space="preserve">504</w:t>
            </w:r>
          </w:p>
        </w:tc>
        <w:tc>
          <w:tcPr/>
          <w:p>
            <w:pPr>
              <w:pStyle w:val="Compact"/>
            </w:pPr>
            <w:r>
              <w:t xml:space="preserve">Gateway Timeout</w:t>
            </w:r>
          </w:p>
        </w:tc>
      </w:tr>
    </w:tbl>
    <w:bookmarkEnd w:id="322"/>
    <w:bookmarkStart w:id="323" w:name="configuration-and-setup-10001013"/>
    <w:p>
      <w:pPr>
        <w:pStyle w:val="Heading3"/>
      </w:pPr>
      <w:r>
        <w:t xml:space="preserve">Configuration and Setup (1000–1013)</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1000</w:t>
            </w:r>
          </w:p>
        </w:tc>
        <w:tc>
          <w:tcPr/>
          <w:p>
            <w:pPr>
              <w:pStyle w:val="Compact"/>
            </w:pPr>
            <w:r>
              <w:t xml:space="preserve">Invalid configuration</w:t>
            </w:r>
          </w:p>
        </w:tc>
      </w:tr>
      <w:tr>
        <w:tc>
          <w:tcPr/>
          <w:p>
            <w:pPr>
              <w:pStyle w:val="Compact"/>
            </w:pPr>
            <w:r>
              <w:t xml:space="preserve">1001</w:t>
            </w:r>
          </w:p>
        </w:tc>
        <w:tc>
          <w:tcPr/>
          <w:p>
            <w:pPr>
              <w:pStyle w:val="Compact"/>
            </w:pPr>
            <w:r>
              <w:t xml:space="preserve">Invalid .env file or configuration</w:t>
            </w:r>
          </w:p>
        </w:tc>
      </w:tr>
      <w:tr>
        <w:tc>
          <w:tcPr/>
          <w:p>
            <w:pPr>
              <w:pStyle w:val="Compact"/>
            </w:pPr>
            <w:r>
              <w:t xml:space="preserve">1002</w:t>
            </w:r>
          </w:p>
        </w:tc>
        <w:tc>
          <w:tcPr/>
          <w:p>
            <w:pPr>
              <w:pStyle w:val="Compact"/>
            </w:pPr>
            <w:r>
              <w:t xml:space="preserve">Root directory not set</w:t>
            </w:r>
          </w:p>
        </w:tc>
      </w:tr>
      <w:tr>
        <w:tc>
          <w:tcPr/>
          <w:p>
            <w:pPr>
              <w:pStyle w:val="Compact"/>
            </w:pPr>
            <w:r>
              <w:t xml:space="preserve">1003</w:t>
            </w:r>
          </w:p>
        </w:tc>
        <w:tc>
          <w:tcPr/>
          <w:p>
            <w:pPr>
              <w:pStyle w:val="Compact"/>
            </w:pPr>
            <w:r>
              <w:t xml:space="preserve">Root directory invalid</w:t>
            </w:r>
          </w:p>
        </w:tc>
      </w:tr>
      <w:tr>
        <w:tc>
          <w:tcPr/>
          <w:p>
            <w:pPr>
              <w:pStyle w:val="Compact"/>
            </w:pPr>
            <w:r>
              <w:t xml:space="preserve">1004</w:t>
            </w:r>
          </w:p>
        </w:tc>
        <w:tc>
          <w:tcPr/>
          <w:p>
            <w:pPr>
              <w:pStyle w:val="Compact"/>
            </w:pPr>
            <w:r>
              <w:t xml:space="preserve">Warning: Root directory does not exist</w:t>
            </w:r>
          </w:p>
        </w:tc>
      </w:tr>
      <w:tr>
        <w:tc>
          <w:tcPr/>
          <w:p>
            <w:pPr>
              <w:pStyle w:val="Compact"/>
            </w:pPr>
            <w:r>
              <w:t xml:space="preserve">1005</w:t>
            </w:r>
          </w:p>
        </w:tc>
        <w:tc>
          <w:tcPr/>
          <w:p>
            <w:pPr>
              <w:pStyle w:val="Compact"/>
            </w:pPr>
            <w:r>
              <w:t xml:space="preserve">Port invalid</w:t>
            </w:r>
          </w:p>
        </w:tc>
      </w:tr>
      <w:tr>
        <w:tc>
          <w:tcPr/>
          <w:p>
            <w:pPr>
              <w:pStyle w:val="Compact"/>
            </w:pPr>
            <w:r>
              <w:t xml:space="preserve">1006</w:t>
            </w:r>
          </w:p>
        </w:tc>
        <w:tc>
          <w:tcPr/>
          <w:p>
            <w:pPr>
              <w:pStyle w:val="Compact"/>
            </w:pPr>
            <w:r>
              <w:t xml:space="preserve">Server location invalid</w:t>
            </w:r>
          </w:p>
        </w:tc>
      </w:tr>
      <w:tr>
        <w:tc>
          <w:tcPr/>
          <w:p>
            <w:pPr>
              <w:pStyle w:val="Compact"/>
            </w:pPr>
            <w:r>
              <w:t xml:space="preserve">1007</w:t>
            </w:r>
          </w:p>
        </w:tc>
        <w:tc>
          <w:tcPr/>
          <w:p>
            <w:pPr>
              <w:pStyle w:val="Compact"/>
            </w:pPr>
            <w:r>
              <w:t xml:space="preserve">Could not listen on specified port/address</w:t>
            </w:r>
          </w:p>
        </w:tc>
      </w:tr>
      <w:tr>
        <w:tc>
          <w:tcPr/>
          <w:p>
            <w:pPr>
              <w:pStyle w:val="Compact"/>
            </w:pPr>
            <w:r>
              <w:t xml:space="preserve">1008</w:t>
            </w:r>
          </w:p>
        </w:tc>
        <w:tc>
          <w:tcPr/>
          <w:p>
            <w:pPr>
              <w:pStyle w:val="Compact"/>
            </w:pPr>
            <w:r>
              <w:t xml:space="preserve">COM provider mode invalid</w:t>
            </w:r>
          </w:p>
        </w:tc>
      </w:tr>
      <w:tr>
        <w:tc>
          <w:tcPr/>
          <w:p>
            <w:pPr>
              <w:pStyle w:val="Compact"/>
            </w:pPr>
            <w:r>
              <w:t xml:space="preserve">1009</w:t>
            </w:r>
          </w:p>
        </w:tc>
        <w:tc>
          <w:tcPr/>
          <w:p>
            <w:pPr>
              <w:pStyle w:val="Compact"/>
            </w:pPr>
            <w:r>
              <w:t xml:space="preserve">Default pages invalid</w:t>
            </w:r>
          </w:p>
        </w:tc>
      </w:tr>
      <w:tr>
        <w:tc>
          <w:tcPr/>
          <w:p>
            <w:pPr>
              <w:pStyle w:val="Compact"/>
            </w:pPr>
            <w:r>
              <w:t xml:space="preserve">1010</w:t>
            </w:r>
          </w:p>
        </w:tc>
        <w:tc>
          <w:tcPr/>
          <w:p>
            <w:pPr>
              <w:pStyle w:val="Compact"/>
            </w:pPr>
            <w:r>
              <w:t xml:space="preserve">Debug invalid</w:t>
            </w:r>
          </w:p>
        </w:tc>
      </w:tr>
      <w:tr>
        <w:tc>
          <w:tcPr/>
          <w:p>
            <w:pPr>
              <w:pStyle w:val="Compact"/>
            </w:pPr>
            <w:r>
              <w:t xml:space="preserve">1011</w:t>
            </w:r>
          </w:p>
        </w:tc>
        <w:tc>
          <w:tcPr/>
          <w:p>
            <w:pPr>
              <w:pStyle w:val="Compact"/>
            </w:pPr>
            <w:r>
              <w:t xml:space="preserve">Invalid locale</w:t>
            </w:r>
          </w:p>
        </w:tc>
      </w:tr>
      <w:tr>
        <w:tc>
          <w:tcPr/>
          <w:p>
            <w:pPr>
              <w:pStyle w:val="Compact"/>
            </w:pPr>
            <w:r>
              <w:t xml:space="preserve">1012</w:t>
            </w:r>
          </w:p>
        </w:tc>
        <w:tc>
          <w:tcPr/>
          <w:p>
            <w:pPr>
              <w:pStyle w:val="Compact"/>
            </w:pPr>
            <w:r>
              <w:t xml:space="preserve">Invalid timezone</w:t>
            </w:r>
          </w:p>
        </w:tc>
      </w:tr>
      <w:tr>
        <w:tc>
          <w:tcPr/>
          <w:p>
            <w:pPr>
              <w:pStyle w:val="Compact"/>
            </w:pPr>
            <w:r>
              <w:t xml:space="preserve">1013</w:t>
            </w:r>
          </w:p>
        </w:tc>
        <w:tc>
          <w:tcPr/>
          <w:p>
            <w:pPr>
              <w:pStyle w:val="Compact"/>
            </w:pPr>
            <w:r>
              <w:t xml:space="preserve">Viper: Failed to read configuration file, using defaults</w:t>
            </w:r>
          </w:p>
        </w:tc>
      </w:tr>
    </w:tbl>
    <w:bookmarkEnd w:id="323"/>
    <w:bookmarkStart w:id="324" w:name="file-system-20002011"/>
    <w:p>
      <w:pPr>
        <w:pStyle w:val="Heading3"/>
      </w:pPr>
      <w:r>
        <w:t xml:space="preserve">File System (2000–2011)</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2000</w:t>
            </w:r>
          </w:p>
        </w:tc>
        <w:tc>
          <w:tcPr/>
          <w:p>
            <w:pPr>
              <w:pStyle w:val="Compact"/>
            </w:pPr>
            <w:r>
              <w:t xml:space="preserve">Missing file path</w:t>
            </w:r>
          </w:p>
        </w:tc>
      </w:tr>
      <w:tr>
        <w:tc>
          <w:tcPr/>
          <w:p>
            <w:pPr>
              <w:pStyle w:val="Compact"/>
            </w:pPr>
            <w:r>
              <w:t xml:space="preserve">2001</w:t>
            </w:r>
          </w:p>
        </w:tc>
        <w:tc>
          <w:tcPr/>
          <w:p>
            <w:pPr>
              <w:pStyle w:val="Compact"/>
            </w:pPr>
            <w:r>
              <w:t xml:space="preserve">File not found</w:t>
            </w:r>
          </w:p>
        </w:tc>
      </w:tr>
      <w:tr>
        <w:tc>
          <w:tcPr/>
          <w:p>
            <w:pPr>
              <w:pStyle w:val="Compact"/>
            </w:pPr>
            <w:r>
              <w:t xml:space="preserve">2002</w:t>
            </w:r>
          </w:p>
        </w:tc>
        <w:tc>
          <w:tcPr/>
          <w:p>
            <w:pPr>
              <w:pStyle w:val="Compact"/>
            </w:pPr>
            <w:r>
              <w:t xml:space="preserve">Could not read file</w:t>
            </w:r>
          </w:p>
        </w:tc>
      </w:tr>
      <w:tr>
        <w:tc>
          <w:tcPr/>
          <w:p>
            <w:pPr>
              <w:pStyle w:val="Compact"/>
            </w:pPr>
            <w:r>
              <w:t xml:space="preserve">2003</w:t>
            </w:r>
          </w:p>
        </w:tc>
        <w:tc>
          <w:tcPr/>
          <w:p>
            <w:pPr>
              <w:pStyle w:val="Compact"/>
            </w:pPr>
            <w:r>
              <w:t xml:space="preserve">Could not resolve current directory</w:t>
            </w:r>
          </w:p>
        </w:tc>
      </w:tr>
      <w:tr>
        <w:tc>
          <w:tcPr/>
          <w:p>
            <w:pPr>
              <w:pStyle w:val="Compact"/>
            </w:pPr>
            <w:r>
              <w:t xml:space="preserve">2004</w:t>
            </w:r>
          </w:p>
        </w:tc>
        <w:tc>
          <w:tcPr/>
          <w:p>
            <w:pPr>
              <w:pStyle w:val="Compact"/>
            </w:pPr>
            <w:r>
              <w:t xml:space="preserve">Path is a directory</w:t>
            </w:r>
          </w:p>
        </w:tc>
      </w:tr>
      <w:tr>
        <w:tc>
          <w:tcPr/>
          <w:p>
            <w:pPr>
              <w:pStyle w:val="Compact"/>
            </w:pPr>
            <w:r>
              <w:t xml:space="preserve">2005</w:t>
            </w:r>
          </w:p>
        </w:tc>
        <w:tc>
          <w:tcPr/>
          <w:p>
            <w:pPr>
              <w:pStyle w:val="Compact"/>
            </w:pPr>
            <w:r>
              <w:t xml:space="preserve">Bad file name</w:t>
            </w:r>
          </w:p>
        </w:tc>
      </w:tr>
      <w:tr>
        <w:tc>
          <w:tcPr/>
          <w:p>
            <w:pPr>
              <w:pStyle w:val="Compact"/>
            </w:pPr>
            <w:r>
              <w:t xml:space="preserve">2006</w:t>
            </w:r>
          </w:p>
        </w:tc>
        <w:tc>
          <w:tcPr/>
          <w:p>
            <w:pPr>
              <w:pStyle w:val="Compact"/>
            </w:pPr>
            <w:r>
              <w:t xml:space="preserve">Wrong file size</w:t>
            </w:r>
          </w:p>
        </w:tc>
      </w:tr>
      <w:tr>
        <w:tc>
          <w:tcPr/>
          <w:p>
            <w:pPr>
              <w:pStyle w:val="Compact"/>
            </w:pPr>
            <w:r>
              <w:t xml:space="preserve">2007</w:t>
            </w:r>
          </w:p>
        </w:tc>
        <w:tc>
          <w:tcPr/>
          <w:p>
            <w:pPr>
              <w:pStyle w:val="Compact"/>
            </w:pPr>
            <w:r>
              <w:t xml:space="preserve">Wrong file type</w:t>
            </w:r>
          </w:p>
        </w:tc>
      </w:tr>
      <w:tr>
        <w:tc>
          <w:tcPr/>
          <w:p>
            <w:pPr>
              <w:pStyle w:val="Compact"/>
            </w:pPr>
            <w:r>
              <w:t xml:space="preserve">2008</w:t>
            </w:r>
          </w:p>
        </w:tc>
        <w:tc>
          <w:tcPr/>
          <w:p>
            <w:pPr>
              <w:pStyle w:val="Compact"/>
            </w:pPr>
            <w:r>
              <w:t xml:space="preserve">File type not allowed</w:t>
            </w:r>
          </w:p>
        </w:tc>
      </w:tr>
      <w:tr>
        <w:tc>
          <w:tcPr/>
          <w:p>
            <w:pPr>
              <w:pStyle w:val="Compact"/>
            </w:pPr>
            <w:r>
              <w:t xml:space="preserve">2009</w:t>
            </w:r>
          </w:p>
        </w:tc>
        <w:tc>
          <w:tcPr/>
          <w:p>
            <w:pPr>
              <w:pStyle w:val="Compact"/>
            </w:pPr>
            <w:r>
              <w:t xml:space="preserve">Extension not allowed</w:t>
            </w:r>
          </w:p>
        </w:tc>
      </w:tr>
      <w:tr>
        <w:tc>
          <w:tcPr/>
          <w:p>
            <w:pPr>
              <w:pStyle w:val="Compact"/>
            </w:pPr>
            <w:r>
              <w:t xml:space="preserve">2010</w:t>
            </w:r>
          </w:p>
        </w:tc>
        <w:tc>
          <w:tcPr/>
          <w:p>
            <w:pPr>
              <w:pStyle w:val="Compact"/>
            </w:pPr>
            <w:r>
              <w:t xml:space="preserve">The selected file extension is not enabled in global.execute_as_asp</w:t>
            </w:r>
          </w:p>
        </w:tc>
      </w:tr>
      <w:tr>
        <w:tc>
          <w:tcPr/>
          <w:p>
            <w:pPr>
              <w:pStyle w:val="Compact"/>
            </w:pPr>
            <w:r>
              <w:t xml:space="preserve">2011</w:t>
            </w:r>
          </w:p>
        </w:tc>
        <w:tc>
          <w:tcPr/>
          <w:p>
            <w:pPr>
              <w:pStyle w:val="Compact"/>
            </w:pPr>
            <w:r>
              <w:t xml:space="preserve">Failed to read the requested ASP file</w:t>
            </w:r>
          </w:p>
        </w:tc>
      </w:tr>
    </w:tbl>
    <w:bookmarkEnd w:id="324"/>
    <w:bookmarkStart w:id="325" w:name="runtime-and-execution-30003011"/>
    <w:p>
      <w:pPr>
        <w:pStyle w:val="Heading3"/>
      </w:pPr>
      <w:r>
        <w:t xml:space="preserve">Runtime and Execution (3000–3011)</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3000</w:t>
            </w:r>
          </w:p>
        </w:tc>
        <w:tc>
          <w:tcPr/>
          <w:p>
            <w:pPr>
              <w:pStyle w:val="Compact"/>
            </w:pPr>
            <w:r>
              <w:t xml:space="preserve">Runtime error</w:t>
            </w:r>
          </w:p>
        </w:tc>
      </w:tr>
      <w:tr>
        <w:tc>
          <w:tcPr/>
          <w:p>
            <w:pPr>
              <w:pStyle w:val="Compact"/>
            </w:pPr>
            <w:r>
              <w:t xml:space="preserve">3001</w:t>
            </w:r>
          </w:p>
        </w:tc>
        <w:tc>
          <w:tcPr/>
          <w:p>
            <w:pPr>
              <w:pStyle w:val="Compact"/>
            </w:pPr>
            <w:r>
              <w:t xml:space="preserve">Panic</w:t>
            </w:r>
          </w:p>
        </w:tc>
      </w:tr>
      <w:tr>
        <w:tc>
          <w:tcPr/>
          <w:p>
            <w:pPr>
              <w:pStyle w:val="Compact"/>
            </w:pPr>
            <w:r>
              <w:t xml:space="preserve">3002</w:t>
            </w:r>
          </w:p>
        </w:tc>
        <w:tc>
          <w:tcPr/>
          <w:p>
            <w:pPr>
              <w:pStyle w:val="Compact"/>
            </w:pPr>
            <w:r>
              <w:t xml:space="preserve">Internal GoLang panic</w:t>
            </w:r>
          </w:p>
        </w:tc>
      </w:tr>
      <w:tr>
        <w:tc>
          <w:tcPr/>
          <w:p>
            <w:pPr>
              <w:pStyle w:val="Compact"/>
            </w:pPr>
            <w:r>
              <w:t xml:space="preserve">3003</w:t>
            </w:r>
          </w:p>
        </w:tc>
        <w:tc>
          <w:tcPr/>
          <w:p>
            <w:pPr>
              <w:pStyle w:val="Compact"/>
            </w:pPr>
            <w:r>
              <w:t xml:space="preserve">Internal error</w:t>
            </w:r>
          </w:p>
        </w:tc>
      </w:tr>
      <w:tr>
        <w:tc>
          <w:tcPr/>
          <w:p>
            <w:pPr>
              <w:pStyle w:val="Compact"/>
            </w:pPr>
            <w:r>
              <w:t xml:space="preserve">3004</w:t>
            </w:r>
          </w:p>
        </w:tc>
        <w:tc>
          <w:tcPr/>
          <w:p>
            <w:pPr>
              <w:pStyle w:val="Compact"/>
            </w:pPr>
            <w:r>
              <w:t xml:space="preserve">Out of memory</w:t>
            </w:r>
          </w:p>
        </w:tc>
      </w:tr>
      <w:tr>
        <w:tc>
          <w:tcPr/>
          <w:p>
            <w:pPr>
              <w:pStyle w:val="Compact"/>
            </w:pPr>
            <w:r>
              <w:t xml:space="preserve">3005</w:t>
            </w:r>
          </w:p>
        </w:tc>
        <w:tc>
          <w:tcPr/>
          <w:p>
            <w:pPr>
              <w:pStyle w:val="Compact"/>
            </w:pPr>
            <w:r>
              <w:t xml:space="preserve">Memory limit exceeded</w:t>
            </w:r>
          </w:p>
        </w:tc>
      </w:tr>
      <w:tr>
        <w:tc>
          <w:tcPr/>
          <w:p>
            <w:pPr>
              <w:pStyle w:val="Compact"/>
            </w:pPr>
            <w:r>
              <w:t xml:space="preserve">3006</w:t>
            </w:r>
          </w:p>
        </w:tc>
        <w:tc>
          <w:tcPr/>
          <w:p>
            <w:pPr>
              <w:pStyle w:val="Compact"/>
            </w:pPr>
            <w:r>
              <w:t xml:space="preserve">Overflow</w:t>
            </w:r>
          </w:p>
        </w:tc>
      </w:tr>
      <w:tr>
        <w:tc>
          <w:tcPr/>
          <w:p>
            <w:pPr>
              <w:pStyle w:val="Compact"/>
            </w:pPr>
            <w:r>
              <w:t xml:space="preserve">3007</w:t>
            </w:r>
          </w:p>
        </w:tc>
        <w:tc>
          <w:tcPr/>
          <w:p>
            <w:pPr>
              <w:pStyle w:val="Compact"/>
            </w:pPr>
            <w:r>
              <w:t xml:space="preserve">Underflow</w:t>
            </w:r>
          </w:p>
        </w:tc>
      </w:tr>
      <w:tr>
        <w:tc>
          <w:tcPr/>
          <w:p>
            <w:pPr>
              <w:pStyle w:val="Compact"/>
            </w:pPr>
            <w:r>
              <w:t xml:space="preserve">3008</w:t>
            </w:r>
          </w:p>
        </w:tc>
        <w:tc>
          <w:tcPr/>
          <w:p>
            <w:pPr>
              <w:pStyle w:val="Compact"/>
            </w:pPr>
            <w:r>
              <w:t xml:space="preserve">Time expired</w:t>
            </w:r>
          </w:p>
        </w:tc>
      </w:tr>
      <w:tr>
        <w:tc>
          <w:tcPr/>
          <w:p>
            <w:pPr>
              <w:pStyle w:val="Compact"/>
            </w:pPr>
            <w:r>
              <w:t xml:space="preserve">3009</w:t>
            </w:r>
          </w:p>
        </w:tc>
        <w:tc>
          <w:tcPr/>
          <w:p>
            <w:pPr>
              <w:pStyle w:val="Compact"/>
            </w:pPr>
            <w:r>
              <w:t xml:space="preserve">Time execution error</w:t>
            </w:r>
          </w:p>
        </w:tc>
      </w:tr>
      <w:tr>
        <w:tc>
          <w:tcPr/>
          <w:p>
            <w:pPr>
              <w:pStyle w:val="Compact"/>
            </w:pPr>
            <w:r>
              <w:t xml:space="preserve">3010</w:t>
            </w:r>
          </w:p>
        </w:tc>
        <w:tc>
          <w:tcPr/>
          <w:p>
            <w:pPr>
              <w:pStyle w:val="Compact"/>
            </w:pPr>
            <w:r>
              <w:t xml:space="preserve">Expired</w:t>
            </w:r>
          </w:p>
        </w:tc>
      </w:tr>
      <w:tr>
        <w:tc>
          <w:tcPr/>
          <w:p>
            <w:pPr>
              <w:pStyle w:val="Compact"/>
            </w:pPr>
            <w:r>
              <w:t xml:space="preserve">3011</w:t>
            </w:r>
          </w:p>
        </w:tc>
        <w:tc>
          <w:tcPr/>
          <w:p>
            <w:pPr>
              <w:pStyle w:val="Compact"/>
            </w:pPr>
            <w:r>
              <w:t xml:space="preserve">Server forced to shutdown</w:t>
            </w:r>
          </w:p>
        </w:tc>
      </w:tr>
    </w:tbl>
    <w:bookmarkEnd w:id="325"/>
    <w:bookmarkStart w:id="326" w:name="script-and-axonvm-40004011"/>
    <w:p>
      <w:pPr>
        <w:pStyle w:val="Heading3"/>
      </w:pPr>
      <w:r>
        <w:t xml:space="preserve">Script and AxonVM (4000–4011)</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4000</w:t>
            </w:r>
          </w:p>
        </w:tc>
        <w:tc>
          <w:tcPr/>
          <w:p>
            <w:pPr>
              <w:pStyle w:val="Compact"/>
            </w:pPr>
            <w:r>
              <w:t xml:space="preserve">Compile error</w:t>
            </w:r>
          </w:p>
        </w:tc>
      </w:tr>
      <w:tr>
        <w:tc>
          <w:tcPr/>
          <w:p>
            <w:pPr>
              <w:pStyle w:val="Compact"/>
            </w:pPr>
            <w:r>
              <w:t xml:space="preserve">4001</w:t>
            </w:r>
          </w:p>
        </w:tc>
        <w:tc>
          <w:tcPr/>
          <w:p>
            <w:pPr>
              <w:pStyle w:val="Compact"/>
            </w:pPr>
            <w:r>
              <w:t xml:space="preserve">Script timeout</w:t>
            </w:r>
          </w:p>
        </w:tc>
      </w:tr>
      <w:tr>
        <w:tc>
          <w:tcPr/>
          <w:p>
            <w:pPr>
              <w:pStyle w:val="Compact"/>
            </w:pPr>
            <w:r>
              <w:t xml:space="preserve">4002</w:t>
            </w:r>
          </w:p>
        </w:tc>
        <w:tc>
          <w:tcPr/>
          <w:p>
            <w:pPr>
              <w:pStyle w:val="Compact"/>
            </w:pPr>
            <w:r>
              <w:t xml:space="preserve">Function not implemented</w:t>
            </w:r>
          </w:p>
        </w:tc>
      </w:tr>
      <w:tr>
        <w:tc>
          <w:tcPr/>
          <w:p>
            <w:pPr>
              <w:pStyle w:val="Compact"/>
            </w:pPr>
            <w:r>
              <w:t xml:space="preserve">4003</w:t>
            </w:r>
          </w:p>
        </w:tc>
        <w:tc>
          <w:tcPr/>
          <w:p>
            <w:pPr>
              <w:pStyle w:val="Compact"/>
            </w:pPr>
            <w:r>
              <w:t xml:space="preserve">Not implemented</w:t>
            </w:r>
          </w:p>
        </w:tc>
      </w:tr>
      <w:tr>
        <w:tc>
          <w:tcPr/>
          <w:p>
            <w:pPr>
              <w:pStyle w:val="Compact"/>
            </w:pPr>
            <w:r>
              <w:t xml:space="preserve">4004</w:t>
            </w:r>
          </w:p>
        </w:tc>
        <w:tc>
          <w:tcPr/>
          <w:p>
            <w:pPr>
              <w:pStyle w:val="Compact"/>
            </w:pPr>
            <w:r>
              <w:t xml:space="preserve">Error on library</w:t>
            </w:r>
          </w:p>
        </w:tc>
      </w:tr>
      <w:tr>
        <w:tc>
          <w:tcPr/>
          <w:p>
            <w:pPr>
              <w:pStyle w:val="Compact"/>
            </w:pPr>
            <w:r>
              <w:t xml:space="preserve">4005</w:t>
            </w:r>
          </w:p>
        </w:tc>
        <w:tc>
          <w:tcPr/>
          <w:p>
            <w:pPr>
              <w:pStyle w:val="Compact"/>
            </w:pPr>
            <w:r>
              <w:t xml:space="preserve">Error on custom function</w:t>
            </w:r>
          </w:p>
        </w:tc>
      </w:tr>
      <w:tr>
        <w:tc>
          <w:tcPr/>
          <w:p>
            <w:pPr>
              <w:pStyle w:val="Compact"/>
            </w:pPr>
            <w:r>
              <w:t xml:space="preserve">4006</w:t>
            </w:r>
          </w:p>
        </w:tc>
        <w:tc>
          <w:tcPr/>
          <w:p>
            <w:pPr>
              <w:pStyle w:val="Compact"/>
            </w:pPr>
            <w:r>
              <w:t xml:space="preserve">AxonVM error</w:t>
            </w:r>
          </w:p>
        </w:tc>
      </w:tr>
      <w:tr>
        <w:tc>
          <w:tcPr/>
          <w:p>
            <w:pPr>
              <w:pStyle w:val="Compact"/>
            </w:pPr>
            <w:r>
              <w:t xml:space="preserve">4007</w:t>
            </w:r>
          </w:p>
        </w:tc>
        <w:tc>
          <w:tcPr/>
          <w:p>
            <w:pPr>
              <w:pStyle w:val="Compact"/>
            </w:pPr>
            <w:r>
              <w:t xml:space="preserve">Invalid procedure call or argument</w:t>
            </w:r>
          </w:p>
        </w:tc>
      </w:tr>
      <w:tr>
        <w:tc>
          <w:tcPr/>
          <w:p>
            <w:pPr>
              <w:pStyle w:val="Compact"/>
            </w:pPr>
            <w:r>
              <w:t xml:space="preserve">4008</w:t>
            </w:r>
          </w:p>
        </w:tc>
        <w:tc>
          <w:tcPr/>
          <w:p>
            <w:pPr>
              <w:pStyle w:val="Compact"/>
            </w:pPr>
            <w:r>
              <w:t xml:space="preserve">Invalid array bond/type</w:t>
            </w:r>
          </w:p>
        </w:tc>
      </w:tr>
      <w:tr>
        <w:tc>
          <w:tcPr/>
          <w:p>
            <w:pPr>
              <w:pStyle w:val="Compact"/>
            </w:pPr>
            <w:r>
              <w:t xml:space="preserve">4009</w:t>
            </w:r>
          </w:p>
        </w:tc>
        <w:tc>
          <w:tcPr/>
          <w:p>
            <w:pPr>
              <w:pStyle w:val="Compact"/>
            </w:pPr>
            <w:r>
              <w:t xml:space="preserve">Interactive desktop functions are not supported in ASP server-side execution</w:t>
            </w:r>
          </w:p>
        </w:tc>
      </w:tr>
      <w:tr>
        <w:tc>
          <w:tcPr/>
          <w:p>
            <w:pPr>
              <w:pStyle w:val="Compact"/>
            </w:pPr>
            <w:r>
              <w:t xml:space="preserve">4010</w:t>
            </w:r>
          </w:p>
        </w:tc>
        <w:tc>
          <w:tcPr/>
          <w:p>
            <w:pPr>
              <w:pStyle w:val="Compact"/>
            </w:pPr>
            <w:r>
              <w:t xml:space="preserve">Response buffer limit exceeded</w:t>
            </w:r>
          </w:p>
        </w:tc>
      </w:tr>
      <w:tr>
        <w:tc>
          <w:tcPr/>
          <w:p>
            <w:pPr>
              <w:pStyle w:val="Compact"/>
            </w:pPr>
            <w:r>
              <w:t xml:space="preserve">4011</w:t>
            </w:r>
          </w:p>
        </w:tc>
        <w:tc>
          <w:tcPr/>
          <w:p>
            <w:pPr>
              <w:pStyle w:val="Compact"/>
            </w:pPr>
            <w:r>
              <w:t xml:space="preserve">Script timeout reached and execution goroutine was detached</w:t>
            </w:r>
          </w:p>
        </w:tc>
      </w:tr>
      <w:tr>
        <w:tc>
          <w:tcPr/>
          <w:p>
            <w:pPr>
              <w:pStyle w:val="Compact"/>
            </w:pPr>
            <w:r>
              <w:t xml:space="preserve">4012</w:t>
            </w:r>
          </w:p>
        </w:tc>
        <w:tc>
          <w:tcPr/>
          <w:p>
            <w:pPr>
              <w:pStyle w:val="Compact"/>
            </w:pPr>
            <w:r>
              <w:t xml:space="preserve">The requested library is disabled and was not compiled into this AxonASP executable.</w:t>
            </w:r>
          </w:p>
        </w:tc>
      </w:tr>
    </w:tbl>
    <w:bookmarkEnd w:id="326"/>
    <w:bookmarkStart w:id="327" w:name="caching-50005003"/>
    <w:p>
      <w:pPr>
        <w:pStyle w:val="Heading3"/>
      </w:pPr>
      <w:r>
        <w:t xml:space="preserve">Caching (5000–5003)</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5000</w:t>
            </w:r>
          </w:p>
        </w:tc>
        <w:tc>
          <w:tcPr/>
          <w:p>
            <w:pPr>
              <w:pStyle w:val="Compact"/>
            </w:pPr>
            <w:r>
              <w:t xml:space="preserve">Invalid cache version</w:t>
            </w:r>
          </w:p>
        </w:tc>
      </w:tr>
      <w:tr>
        <w:tc>
          <w:tcPr/>
          <w:p>
            <w:pPr>
              <w:pStyle w:val="Compact"/>
            </w:pPr>
            <w:r>
              <w:t xml:space="preserve">5001</w:t>
            </w:r>
          </w:p>
        </w:tc>
        <w:tc>
          <w:tcPr/>
          <w:p>
            <w:pPr>
              <w:pStyle w:val="Compact"/>
            </w:pPr>
            <w:r>
              <w:t xml:space="preserve">Invalid cache file</w:t>
            </w:r>
          </w:p>
        </w:tc>
      </w:tr>
      <w:tr>
        <w:tc>
          <w:tcPr/>
          <w:p>
            <w:pPr>
              <w:pStyle w:val="Compact"/>
            </w:pPr>
            <w:r>
              <w:t xml:space="preserve">5002</w:t>
            </w:r>
          </w:p>
        </w:tc>
        <w:tc>
          <w:tcPr/>
          <w:p>
            <w:pPr>
              <w:pStyle w:val="Compact"/>
            </w:pPr>
            <w:r>
              <w:t xml:space="preserve">Cache cleanup invalid</w:t>
            </w:r>
          </w:p>
        </w:tc>
      </w:tr>
      <w:tr>
        <w:tc>
          <w:tcPr/>
          <w:p>
            <w:pPr>
              <w:pStyle w:val="Compact"/>
            </w:pPr>
            <w:r>
              <w:t xml:space="preserve">5003</w:t>
            </w:r>
          </w:p>
        </w:tc>
        <w:tc>
          <w:tcPr/>
          <w:p>
            <w:pPr>
              <w:pStyle w:val="Compact"/>
            </w:pPr>
            <w:r>
              <w:t xml:space="preserve">Include cache max memory invalid</w:t>
            </w:r>
          </w:p>
        </w:tc>
      </w:tr>
    </w:tbl>
    <w:bookmarkEnd w:id="327"/>
    <w:bookmarkStart w:id="328" w:name="fastcgi-cli-and-miscellaneous-60006008"/>
    <w:p>
      <w:pPr>
        <w:pStyle w:val="Heading3"/>
      </w:pPr>
      <w:r>
        <w:t xml:space="preserve">FastCGI, CLI, and Miscellaneous (6000–6008)</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6000</w:t>
            </w:r>
          </w:p>
        </w:tc>
        <w:tc>
          <w:tcPr/>
          <w:p>
            <w:pPr>
              <w:pStyle w:val="Compact"/>
            </w:pPr>
            <w:r>
              <w:t xml:space="preserve">FastCGI pipe closed unexpectedly</w:t>
            </w:r>
          </w:p>
        </w:tc>
      </w:tr>
      <w:tr>
        <w:tc>
          <w:tcPr/>
          <w:p>
            <w:pPr>
              <w:pStyle w:val="Compact"/>
            </w:pPr>
            <w:r>
              <w:t xml:space="preserve">6001</w:t>
            </w:r>
          </w:p>
        </w:tc>
        <w:tc>
          <w:tcPr/>
          <w:p>
            <w:pPr>
              <w:pStyle w:val="Compact"/>
            </w:pPr>
            <w:r>
              <w:t xml:space="preserve">FastCGI protocol error</w:t>
            </w:r>
          </w:p>
        </w:tc>
      </w:tr>
      <w:tr>
        <w:tc>
          <w:tcPr/>
          <w:p>
            <w:pPr>
              <w:pStyle w:val="Compact"/>
            </w:pPr>
            <w:r>
              <w:t xml:space="preserve">6002</w:t>
            </w:r>
          </w:p>
        </w:tc>
        <w:tc>
          <w:tcPr/>
          <w:p>
            <w:pPr>
              <w:pStyle w:val="Compact"/>
            </w:pPr>
            <w:r>
              <w:t xml:space="preserve">Required CLI argument missing</w:t>
            </w:r>
          </w:p>
        </w:tc>
      </w:tr>
      <w:tr>
        <w:tc>
          <w:tcPr/>
          <w:p>
            <w:pPr>
              <w:pStyle w:val="Compact"/>
            </w:pPr>
            <w:r>
              <w:t xml:space="preserve">6003</w:t>
            </w:r>
          </w:p>
        </w:tc>
        <w:tc>
          <w:tcPr/>
          <w:p>
            <w:pPr>
              <w:pStyle w:val="Compact"/>
            </w:pPr>
            <w:r>
              <w:t xml:space="preserve">Invalid name</w:t>
            </w:r>
          </w:p>
        </w:tc>
      </w:tr>
      <w:tr>
        <w:tc>
          <w:tcPr/>
          <w:p>
            <w:pPr>
              <w:pStyle w:val="Compact"/>
            </w:pPr>
            <w:r>
              <w:t xml:space="preserve">6004</w:t>
            </w:r>
          </w:p>
        </w:tc>
        <w:tc>
          <w:tcPr/>
          <w:p>
            <w:pPr>
              <w:pStyle w:val="Compact"/>
            </w:pPr>
            <w:r>
              <w:t xml:space="preserve">This is a test</w:t>
            </w:r>
          </w:p>
        </w:tc>
      </w:tr>
      <w:tr>
        <w:tc>
          <w:tcPr/>
          <w:p>
            <w:pPr>
              <w:pStyle w:val="Compact"/>
            </w:pPr>
            <w:r>
              <w:t xml:space="preserve">6005</w:t>
            </w:r>
          </w:p>
        </w:tc>
        <w:tc>
          <w:tcPr/>
          <w:p>
            <w:pPr>
              <w:pStyle w:val="Compact"/>
            </w:pPr>
            <w:r>
              <w:t xml:space="preserve">CLI run command not enabled in configuration</w:t>
            </w:r>
          </w:p>
        </w:tc>
      </w:tr>
      <w:tr>
        <w:tc>
          <w:tcPr/>
          <w:p>
            <w:pPr>
              <w:pStyle w:val="Compact"/>
            </w:pPr>
            <w:r>
              <w:t xml:space="preserve">6006</w:t>
            </w:r>
          </w:p>
        </w:tc>
        <w:tc>
          <w:tcPr/>
          <w:p>
            <w:pPr>
              <w:pStyle w:val="Compact"/>
            </w:pPr>
            <w:r>
              <w:t xml:space="preserve">CLI not enabled in configuration</w:t>
            </w:r>
          </w:p>
        </w:tc>
      </w:tr>
      <w:tr>
        <w:tc>
          <w:tcPr/>
          <w:p>
            <w:pPr>
              <w:pStyle w:val="Compact"/>
            </w:pPr>
            <w:r>
              <w:t xml:space="preserve">6007</w:t>
            </w:r>
          </w:p>
        </w:tc>
        <w:tc>
          <w:tcPr/>
          <w:p>
            <w:pPr>
              <w:pStyle w:val="Compact"/>
            </w:pPr>
            <w:r>
              <w:t xml:space="preserve">CLI: Missing file path for -r option</w:t>
            </w:r>
          </w:p>
        </w:tc>
      </w:tr>
      <w:tr>
        <w:tc>
          <w:tcPr/>
          <w:p>
            <w:pPr>
              <w:pStyle w:val="Compact"/>
            </w:pPr>
            <w:r>
              <w:t xml:space="preserve">6008</w:t>
            </w:r>
          </w:p>
        </w:tc>
        <w:tc>
          <w:tcPr/>
          <w:p>
            <w:pPr>
              <w:pStyle w:val="Compact"/>
            </w:pPr>
            <w:r>
              <w:t xml:space="preserve">MSWC.PageCounter is disabled. Enable it in config/axonasp.toml</w:t>
            </w:r>
          </w:p>
        </w:tc>
      </w:tr>
    </w:tbl>
    <w:bookmarkEnd w:id="328"/>
    <w:bookmarkStart w:id="329" w:name="service-wrapper-61006109"/>
    <w:p>
      <w:pPr>
        <w:pStyle w:val="Heading3"/>
      </w:pPr>
      <w:r>
        <w:t xml:space="preserve">Service Wrapper (6100–6109)</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6100</w:t>
            </w:r>
          </w:p>
        </w:tc>
        <w:tc>
          <w:tcPr/>
          <w:p>
            <w:pPr>
              <w:pStyle w:val="Compact"/>
            </w:pPr>
            <w:r>
              <w:t xml:space="preserve">Service wrapper failed to create service instance</w:t>
            </w:r>
          </w:p>
        </w:tc>
      </w:tr>
      <w:tr>
        <w:tc>
          <w:tcPr/>
          <w:p>
            <w:pPr>
              <w:pStyle w:val="Compact"/>
            </w:pPr>
            <w:r>
              <w:t xml:space="preserve">6101</w:t>
            </w:r>
          </w:p>
        </w:tc>
        <w:tc>
          <w:tcPr/>
          <w:p>
            <w:pPr>
              <w:pStyle w:val="Compact"/>
            </w:pPr>
            <w:r>
              <w:t xml:space="preserve">Service wrapper failed to create service logger</w:t>
            </w:r>
          </w:p>
        </w:tc>
      </w:tr>
      <w:tr>
        <w:tc>
          <w:tcPr/>
          <w:p>
            <w:pPr>
              <w:pStyle w:val="Compact"/>
            </w:pPr>
            <w:r>
              <w:t xml:space="preserve">6102</w:t>
            </w:r>
          </w:p>
        </w:tc>
        <w:tc>
          <w:tcPr/>
          <w:p>
            <w:pPr>
              <w:pStyle w:val="Compact"/>
            </w:pPr>
            <w:r>
              <w:t xml:space="preserve">Service wrapper failed while running service loop</w:t>
            </w:r>
          </w:p>
        </w:tc>
      </w:tr>
      <w:tr>
        <w:tc>
          <w:tcPr/>
          <w:p>
            <w:pPr>
              <w:pStyle w:val="Compact"/>
            </w:pPr>
            <w:r>
              <w:t xml:space="preserve">6103</w:t>
            </w:r>
          </w:p>
        </w:tc>
        <w:tc>
          <w:tcPr/>
          <w:p>
            <w:pPr>
              <w:pStyle w:val="Compact"/>
            </w:pPr>
            <w:r>
              <w:t xml:space="preserve">Service wrapper failed to execute control command</w:t>
            </w:r>
          </w:p>
        </w:tc>
      </w:tr>
      <w:tr>
        <w:tc>
          <w:tcPr/>
          <w:p>
            <w:pPr>
              <w:pStyle w:val="Compact"/>
            </w:pPr>
            <w:r>
              <w:t xml:space="preserve">6104</w:t>
            </w:r>
          </w:p>
        </w:tc>
        <w:tc>
          <w:tcPr/>
          <w:p>
            <w:pPr>
              <w:pStyle w:val="Compact"/>
            </w:pPr>
            <w:r>
              <w:t xml:space="preserve">Service wrapper failed to resolve configured executable path</w:t>
            </w:r>
          </w:p>
        </w:tc>
      </w:tr>
      <w:tr>
        <w:tc>
          <w:tcPr/>
          <w:p>
            <w:pPr>
              <w:pStyle w:val="Compact"/>
            </w:pPr>
            <w:r>
              <w:t xml:space="preserve">6105</w:t>
            </w:r>
          </w:p>
        </w:tc>
        <w:tc>
          <w:tcPr/>
          <w:p>
            <w:pPr>
              <w:pStyle w:val="Compact"/>
            </w:pPr>
            <w:r>
              <w:t xml:space="preserve">Service wrapper executable target was not found</w:t>
            </w:r>
          </w:p>
        </w:tc>
      </w:tr>
      <w:tr>
        <w:tc>
          <w:tcPr/>
          <w:p>
            <w:pPr>
              <w:pStyle w:val="Compact"/>
            </w:pPr>
            <w:r>
              <w:t xml:space="preserve">6106</w:t>
            </w:r>
          </w:p>
        </w:tc>
        <w:tc>
          <w:tcPr/>
          <w:p>
            <w:pPr>
              <w:pStyle w:val="Compact"/>
            </w:pPr>
            <w:r>
              <w:t xml:space="preserve">Service wrapper failed to start configured executable</w:t>
            </w:r>
          </w:p>
        </w:tc>
      </w:tr>
      <w:tr>
        <w:tc>
          <w:tcPr/>
          <w:p>
            <w:pPr>
              <w:pStyle w:val="Compact"/>
            </w:pPr>
            <w:r>
              <w:t xml:space="preserve">6107</w:t>
            </w:r>
          </w:p>
        </w:tc>
        <w:tc>
          <w:tcPr/>
          <w:p>
            <w:pPr>
              <w:pStyle w:val="Compact"/>
            </w:pPr>
            <w:r>
              <w:t xml:space="preserve">Service wrapper failed to stop child process</w:t>
            </w:r>
          </w:p>
        </w:tc>
      </w:tr>
      <w:tr>
        <w:tc>
          <w:tcPr/>
          <w:p>
            <w:pPr>
              <w:pStyle w:val="Compact"/>
            </w:pPr>
            <w:r>
              <w:t xml:space="preserve">6108</w:t>
            </w:r>
          </w:p>
        </w:tc>
        <w:tc>
          <w:tcPr/>
          <w:p>
            <w:pPr>
              <w:pStyle w:val="Compact"/>
            </w:pPr>
            <w:r>
              <w:t xml:space="preserve">Service wrapper detected unexpected child process termination</w:t>
            </w:r>
          </w:p>
        </w:tc>
      </w:tr>
      <w:tr>
        <w:tc>
          <w:tcPr/>
          <w:p>
            <w:pPr>
              <w:pStyle w:val="Compact"/>
            </w:pPr>
            <w:r>
              <w:t xml:space="preserve">6109</w:t>
            </w:r>
          </w:p>
        </w:tc>
        <w:tc>
          <w:tcPr/>
          <w:p>
            <w:pPr>
              <w:pStyle w:val="Compact"/>
            </w:pPr>
            <w:r>
              <w:t xml:space="preserve">Service wrapper found an invalid environment variable entry</w:t>
            </w:r>
          </w:p>
        </w:tc>
      </w:tr>
    </w:tbl>
    <w:bookmarkEnd w:id="329"/>
    <w:bookmarkStart w:id="330" w:name="g3fc-archive-70007006"/>
    <w:p>
      <w:pPr>
        <w:pStyle w:val="Heading3"/>
      </w:pPr>
      <w:r>
        <w:t xml:space="preserve">G3FC Archive (7000–7006)</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7000</w:t>
            </w:r>
          </w:p>
        </w:tc>
        <w:tc>
          <w:tcPr/>
          <w:p>
            <w:pPr>
              <w:pStyle w:val="Compact"/>
            </w:pPr>
            <w:r>
              <w:t xml:space="preserve">Invalid G3FC archive header or magic number</w:t>
            </w:r>
          </w:p>
        </w:tc>
      </w:tr>
      <w:tr>
        <w:tc>
          <w:tcPr/>
          <w:p>
            <w:pPr>
              <w:pStyle w:val="Compact"/>
            </w:pPr>
            <w:r>
              <w:t xml:space="preserve">7001</w:t>
            </w:r>
          </w:p>
        </w:tc>
        <w:tc>
          <w:tcPr/>
          <w:p>
            <w:pPr>
              <w:pStyle w:val="Compact"/>
            </w:pPr>
            <w:r>
              <w:t xml:space="preserve">G3FC decryption failed: incorrect password or corrupted data</w:t>
            </w:r>
          </w:p>
        </w:tc>
      </w:tr>
      <w:tr>
        <w:tc>
          <w:tcPr/>
          <w:p>
            <w:pPr>
              <w:pStyle w:val="Compact"/>
            </w:pPr>
            <w:r>
              <w:t xml:space="preserve">7002</w:t>
            </w:r>
          </w:p>
        </w:tc>
        <w:tc>
          <w:tcPr/>
          <w:p>
            <w:pPr>
              <w:pStyle w:val="Compact"/>
            </w:pPr>
            <w:r>
              <w:t xml:space="preserve">G3FC decompression failed</w:t>
            </w:r>
          </w:p>
        </w:tc>
      </w:tr>
      <w:tr>
        <w:tc>
          <w:tcPr/>
          <w:p>
            <w:pPr>
              <w:pStyle w:val="Compact"/>
            </w:pPr>
            <w:r>
              <w:t xml:space="preserve">7003</w:t>
            </w:r>
          </w:p>
        </w:tc>
        <w:tc>
          <w:tcPr/>
          <w:p>
            <w:pPr>
              <w:pStyle w:val="Compact"/>
            </w:pPr>
            <w:r>
              <w:t xml:space="preserve">G3FC checksum mismatch: file may be corrupted</w:t>
            </w:r>
          </w:p>
        </w:tc>
      </w:tr>
      <w:tr>
        <w:tc>
          <w:tcPr/>
          <w:p>
            <w:pPr>
              <w:pStyle w:val="Compact"/>
            </w:pPr>
            <w:r>
              <w:t xml:space="preserve">7004</w:t>
            </w:r>
          </w:p>
        </w:tc>
        <w:tc>
          <w:tcPr/>
          <w:p>
            <w:pPr>
              <w:pStyle w:val="Compact"/>
            </w:pPr>
            <w:r>
              <w:t xml:space="preserve">G3FC password required for this encrypted archive</w:t>
            </w:r>
          </w:p>
        </w:tc>
      </w:tr>
      <w:tr>
        <w:tc>
          <w:tcPr/>
          <w:p>
            <w:pPr>
              <w:pStyle w:val="Compact"/>
            </w:pPr>
            <w:r>
              <w:t xml:space="preserve">7005</w:t>
            </w:r>
          </w:p>
        </w:tc>
        <w:tc>
          <w:tcPr/>
          <w:p>
            <w:pPr>
              <w:pStyle w:val="Compact"/>
            </w:pPr>
            <w:r>
              <w:t xml:space="preserve">Requested file not found in G3FC archive</w:t>
            </w:r>
          </w:p>
        </w:tc>
      </w:tr>
      <w:tr>
        <w:tc>
          <w:tcPr/>
          <w:p>
            <w:pPr>
              <w:pStyle w:val="Compact"/>
            </w:pPr>
            <w:r>
              <w:t xml:space="preserve">7006</w:t>
            </w:r>
          </w:p>
        </w:tc>
        <w:tc>
          <w:tcPr/>
          <w:p>
            <w:pPr>
              <w:pStyle w:val="Compact"/>
            </w:pPr>
            <w:r>
              <w:t xml:space="preserve">Shutdown function called from ASP script</w:t>
            </w:r>
          </w:p>
        </w:tc>
      </w:tr>
    </w:tbl>
    <w:bookmarkEnd w:id="330"/>
    <w:bookmarkStart w:id="331" w:name="X7251d24079cd5ac45fe9abd501f1ddffa338954"/>
    <w:p>
      <w:pPr>
        <w:pStyle w:val="Heading3"/>
      </w:pPr>
      <w:r>
        <w:t xml:space="preserve">Request and ADODB.Stream Constraints (8000–8014)</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8000</w:t>
            </w:r>
          </w:p>
        </w:tc>
        <w:tc>
          <w:tcPr/>
          <w:p>
            <w:pPr>
              <w:pStyle w:val="Compact"/>
            </w:pPr>
            <w:r>
              <w:t xml:space="preserve">Cannot use Request.Form after calling Request.BinaryRead</w:t>
            </w:r>
          </w:p>
        </w:tc>
      </w:tr>
      <w:tr>
        <w:tc>
          <w:tcPr/>
          <w:p>
            <w:pPr>
              <w:pStyle w:val="Compact"/>
            </w:pPr>
            <w:r>
              <w:t xml:space="preserve">8001</w:t>
            </w:r>
          </w:p>
        </w:tc>
        <w:tc>
          <w:tcPr/>
          <w:p>
            <w:pPr>
              <w:pStyle w:val="Compact"/>
            </w:pPr>
            <w:r>
              <w:t xml:space="preserve">Cannot call Request.BinaryRead after using Request.Form</w:t>
            </w:r>
          </w:p>
        </w:tc>
      </w:tr>
      <w:tr>
        <w:tc>
          <w:tcPr/>
          <w:p>
            <w:pPr>
              <w:pStyle w:val="Compact"/>
            </w:pPr>
            <w:r>
              <w:t xml:space="preserve">8010</w:t>
            </w:r>
          </w:p>
        </w:tc>
        <w:tc>
          <w:tcPr/>
          <w:p>
            <w:pPr>
              <w:pStyle w:val="Compact"/>
            </w:pPr>
            <w:r>
              <w:t xml:space="preserve">Operation is not allowed when the object is closed</w:t>
            </w:r>
          </w:p>
        </w:tc>
      </w:tr>
      <w:tr>
        <w:tc>
          <w:tcPr/>
          <w:p>
            <w:pPr>
              <w:pStyle w:val="Compact"/>
            </w:pPr>
            <w:r>
              <w:t xml:space="preserve">8011</w:t>
            </w:r>
          </w:p>
        </w:tc>
        <w:tc>
          <w:tcPr/>
          <w:p>
            <w:pPr>
              <w:pStyle w:val="Compact"/>
            </w:pPr>
            <w:r>
              <w:t xml:space="preserve">The stream Type property cannot be changed when Position is not zero</w:t>
            </w:r>
          </w:p>
        </w:tc>
      </w:tr>
      <w:tr>
        <w:tc>
          <w:tcPr/>
          <w:p>
            <w:pPr>
              <w:pStyle w:val="Compact"/>
            </w:pPr>
            <w:r>
              <w:t xml:space="preserve">8012</w:t>
            </w:r>
          </w:p>
        </w:tc>
        <w:tc>
          <w:tcPr/>
          <w:p>
            <w:pPr>
              <w:pStyle w:val="Compact"/>
            </w:pPr>
            <w:r>
              <w:t xml:space="preserve">The stream Charset property cannot be set when Position is not zero</w:t>
            </w:r>
          </w:p>
        </w:tc>
      </w:tr>
      <w:tr>
        <w:tc>
          <w:tcPr/>
          <w:p>
            <w:pPr>
              <w:pStyle w:val="Compact"/>
            </w:pPr>
            <w:r>
              <w:t xml:space="preserve">8013</w:t>
            </w:r>
          </w:p>
        </w:tc>
        <w:tc>
          <w:tcPr/>
          <w:p>
            <w:pPr>
              <w:pStyle w:val="Compact"/>
            </w:pPr>
            <w:r>
              <w:t xml:space="preserve">Arguments are of the wrong type, are out of range, or are in conflict with one another</w:t>
            </w:r>
          </w:p>
        </w:tc>
      </w:tr>
      <w:tr>
        <w:tc>
          <w:tcPr/>
          <w:p>
            <w:pPr>
              <w:pStyle w:val="Compact"/>
            </w:pPr>
            <w:r>
              <w:t xml:space="preserve">8014</w:t>
            </w:r>
          </w:p>
        </w:tc>
        <w:tc>
          <w:tcPr/>
          <w:p>
            <w:pPr>
              <w:pStyle w:val="Compact"/>
            </w:pPr>
            <w:r>
              <w:t xml:space="preserve">ADODB.Stream I/O error: file operation failed</w:t>
            </w:r>
          </w:p>
        </w:tc>
      </w:tr>
    </w:tbl>
    <w:bookmarkEnd w:id="331"/>
    <w:bookmarkStart w:id="332" w:name="g3db-native-database-library-90009016"/>
    <w:p>
      <w:pPr>
        <w:pStyle w:val="Heading3"/>
      </w:pPr>
      <w:r>
        <w:t xml:space="preserve">G3DB Native Database Library (9000–9016)</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9000</w:t>
            </w:r>
          </w:p>
        </w:tc>
        <w:tc>
          <w:tcPr/>
          <w:p>
            <w:pPr>
              <w:pStyle w:val="Compact"/>
            </w:pPr>
            <w:r>
              <w:t xml:space="preserve">G3DB: connection is already open; call Close first</w:t>
            </w:r>
          </w:p>
        </w:tc>
      </w:tr>
      <w:tr>
        <w:tc>
          <w:tcPr/>
          <w:p>
            <w:pPr>
              <w:pStyle w:val="Compact"/>
            </w:pPr>
            <w:r>
              <w:t xml:space="preserve">9001</w:t>
            </w:r>
          </w:p>
        </w:tc>
        <w:tc>
          <w:tcPr/>
          <w:p>
            <w:pPr>
              <w:pStyle w:val="Compact"/>
            </w:pPr>
            <w:r>
              <w:t xml:space="preserve">G3DB: connection is not open; call Open or OpenFromEnv first</w:t>
            </w:r>
          </w:p>
        </w:tc>
      </w:tr>
      <w:tr>
        <w:tc>
          <w:tcPr/>
          <w:p>
            <w:pPr>
              <w:pStyle w:val="Compact"/>
            </w:pPr>
            <w:r>
              <w:t xml:space="preserve">9002</w:t>
            </w:r>
          </w:p>
        </w:tc>
        <w:tc>
          <w:tcPr/>
          <w:p>
            <w:pPr>
              <w:pStyle w:val="Compact"/>
            </w:pPr>
            <w:r>
              <w:t xml:space="preserve">G3DB.Open: requires two arguments: driver and DSN</w:t>
            </w:r>
          </w:p>
        </w:tc>
      </w:tr>
      <w:tr>
        <w:tc>
          <w:tcPr/>
          <w:p>
            <w:pPr>
              <w:pStyle w:val="Compact"/>
            </w:pPr>
            <w:r>
              <w:t xml:space="preserve">9003</w:t>
            </w:r>
          </w:p>
        </w:tc>
        <w:tc>
          <w:tcPr/>
          <w:p>
            <w:pPr>
              <w:pStyle w:val="Compact"/>
            </w:pPr>
            <w:r>
              <w:t xml:space="preserve">G3DB.Query: requires an SQL string argument</w:t>
            </w:r>
          </w:p>
        </w:tc>
      </w:tr>
      <w:tr>
        <w:tc>
          <w:tcPr/>
          <w:p>
            <w:pPr>
              <w:pStyle w:val="Compact"/>
            </w:pPr>
            <w:r>
              <w:t xml:space="preserve">9004</w:t>
            </w:r>
          </w:p>
        </w:tc>
        <w:tc>
          <w:tcPr/>
          <w:p>
            <w:pPr>
              <w:pStyle w:val="Compact"/>
            </w:pPr>
            <w:r>
              <w:t xml:space="preserve">G3DB.Exec: requires an SQL string argument</w:t>
            </w:r>
          </w:p>
        </w:tc>
      </w:tr>
      <w:tr>
        <w:tc>
          <w:tcPr/>
          <w:p>
            <w:pPr>
              <w:pStyle w:val="Compact"/>
            </w:pPr>
            <w:r>
              <w:t xml:space="preserve">9005</w:t>
            </w:r>
          </w:p>
        </w:tc>
        <w:tc>
          <w:tcPr/>
          <w:p>
            <w:pPr>
              <w:pStyle w:val="Compact"/>
            </w:pPr>
            <w:r>
              <w:t xml:space="preserve">G3DB.Prepare: requires an SQL string argument</w:t>
            </w:r>
          </w:p>
        </w:tc>
      </w:tr>
      <w:tr>
        <w:tc>
          <w:tcPr/>
          <w:p>
            <w:pPr>
              <w:pStyle w:val="Compact"/>
            </w:pPr>
            <w:r>
              <w:t xml:space="preserve">9006</w:t>
            </w:r>
          </w:p>
        </w:tc>
        <w:tc>
          <w:tcPr/>
          <w:p>
            <w:pPr>
              <w:pStyle w:val="Compact"/>
            </w:pPr>
            <w:r>
              <w:t xml:space="preserve">G3DB: unsupported database driver</w:t>
            </w:r>
          </w:p>
        </w:tc>
      </w:tr>
      <w:tr>
        <w:tc>
          <w:tcPr/>
          <w:p>
            <w:pPr>
              <w:pStyle w:val="Compact"/>
            </w:pPr>
            <w:r>
              <w:t xml:space="preserve">9007</w:t>
            </w:r>
          </w:p>
        </w:tc>
        <w:tc>
          <w:tcPr/>
          <w:p>
            <w:pPr>
              <w:pStyle w:val="Compact"/>
            </w:pPr>
            <w:r>
              <w:t xml:space="preserve">G3DB: connection test (Ping) failed</w:t>
            </w:r>
          </w:p>
        </w:tc>
      </w:tr>
      <w:tr>
        <w:tc>
          <w:tcPr/>
          <w:p>
            <w:pPr>
              <w:pStyle w:val="Compact"/>
            </w:pPr>
            <w:r>
              <w:t xml:space="preserve">9008</w:t>
            </w:r>
          </w:p>
        </w:tc>
        <w:tc>
          <w:tcPr/>
          <w:p>
            <w:pPr>
              <w:pStyle w:val="Compact"/>
            </w:pPr>
            <w:r>
              <w:t xml:space="preserve">G3DB: query execution failed</w:t>
            </w:r>
          </w:p>
        </w:tc>
      </w:tr>
      <w:tr>
        <w:tc>
          <w:tcPr/>
          <w:p>
            <w:pPr>
              <w:pStyle w:val="Compact"/>
            </w:pPr>
            <w:r>
              <w:t xml:space="preserve">9009</w:t>
            </w:r>
          </w:p>
        </w:tc>
        <w:tc>
          <w:tcPr/>
          <w:p>
            <w:pPr>
              <w:pStyle w:val="Compact"/>
            </w:pPr>
            <w:r>
              <w:t xml:space="preserve">G3DB: exec statement failed</w:t>
            </w:r>
          </w:p>
        </w:tc>
      </w:tr>
      <w:tr>
        <w:tc>
          <w:tcPr/>
          <w:p>
            <w:pPr>
              <w:pStyle w:val="Compact"/>
            </w:pPr>
            <w:r>
              <w:t xml:space="preserve">9010</w:t>
            </w:r>
          </w:p>
        </w:tc>
        <w:tc>
          <w:tcPr/>
          <w:p>
            <w:pPr>
              <w:pStyle w:val="Compact"/>
            </w:pPr>
            <w:r>
              <w:t xml:space="preserve">G3DB: statement preparation failed</w:t>
            </w:r>
          </w:p>
        </w:tc>
      </w:tr>
      <w:tr>
        <w:tc>
          <w:tcPr/>
          <w:p>
            <w:pPr>
              <w:pStyle w:val="Compact"/>
            </w:pPr>
            <w:r>
              <w:t xml:space="preserve">9011</w:t>
            </w:r>
          </w:p>
        </w:tc>
        <w:tc>
          <w:tcPr/>
          <w:p>
            <w:pPr>
              <w:pStyle w:val="Compact"/>
            </w:pPr>
            <w:r>
              <w:t xml:space="preserve">G3DB: transaction operation failed</w:t>
            </w:r>
          </w:p>
        </w:tc>
      </w:tr>
      <w:tr>
        <w:tc>
          <w:tcPr/>
          <w:p>
            <w:pPr>
              <w:pStyle w:val="Compact"/>
            </w:pPr>
            <w:r>
              <w:t xml:space="preserve">9012</w:t>
            </w:r>
          </w:p>
        </w:tc>
        <w:tc>
          <w:tcPr/>
          <w:p>
            <w:pPr>
              <w:pStyle w:val="Compact"/>
            </w:pPr>
            <w:r>
              <w:t xml:space="preserve">G3DB: row scan failed</w:t>
            </w:r>
          </w:p>
        </w:tc>
      </w:tr>
      <w:tr>
        <w:tc>
          <w:tcPr/>
          <w:p>
            <w:pPr>
              <w:pStyle w:val="Compact"/>
            </w:pPr>
            <w:r>
              <w:t xml:space="preserve">9013</w:t>
            </w:r>
          </w:p>
        </w:tc>
        <w:tc>
          <w:tcPr/>
          <w:p>
            <w:pPr>
              <w:pStyle w:val="Compact"/>
            </w:pPr>
            <w:r>
              <w:t xml:space="preserve">G3DB: result set is already closed</w:t>
            </w:r>
          </w:p>
        </w:tc>
      </w:tr>
      <w:tr>
        <w:tc>
          <w:tcPr/>
          <w:p>
            <w:pPr>
              <w:pStyle w:val="Compact"/>
            </w:pPr>
            <w:r>
              <w:t xml:space="preserve">9014</w:t>
            </w:r>
          </w:p>
        </w:tc>
        <w:tc>
          <w:tcPr/>
          <w:p>
            <w:pPr>
              <w:pStyle w:val="Compact"/>
            </w:pPr>
            <w:r>
              <w:t xml:space="preserve">G3DB: prepared statement is already closed</w:t>
            </w:r>
          </w:p>
        </w:tc>
      </w:tr>
      <w:tr>
        <w:tc>
          <w:tcPr/>
          <w:p>
            <w:pPr>
              <w:pStyle w:val="Compact"/>
            </w:pPr>
            <w:r>
              <w:t xml:space="preserve">9015</w:t>
            </w:r>
          </w:p>
        </w:tc>
        <w:tc>
          <w:tcPr/>
          <w:p>
            <w:pPr>
              <w:pStyle w:val="Compact"/>
            </w:pPr>
            <w:r>
              <w:t xml:space="preserve">G3DB: transaction is already closed</w:t>
            </w:r>
          </w:p>
        </w:tc>
      </w:tr>
      <w:tr>
        <w:tc>
          <w:tcPr/>
          <w:p>
            <w:pPr>
              <w:pStyle w:val="Compact"/>
            </w:pPr>
            <w:r>
              <w:t xml:space="preserve">9016</w:t>
            </w:r>
          </w:p>
        </w:tc>
        <w:tc>
          <w:tcPr/>
          <w:p>
            <w:pPr>
              <w:pStyle w:val="Compact"/>
            </w:pPr>
            <w:r>
              <w:t xml:space="preserve">G3DB.OpenFromEnv: missing or incomplete configuration keys in axonasp.toml</w:t>
            </w:r>
          </w:p>
        </w:tc>
      </w:tr>
    </w:tbl>
    <w:bookmarkEnd w:id="332"/>
    <w:bookmarkStart w:id="333" w:name="g3search-native-search-library-90209024"/>
    <w:p>
      <w:pPr>
        <w:pStyle w:val="Heading3"/>
      </w:pPr>
      <w:r>
        <w:t xml:space="preserve">G3SEARCH Native Search Library (9020–9024)</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9020</w:t>
            </w:r>
          </w:p>
        </w:tc>
        <w:tc>
          <w:tcPr/>
          <w:p>
            <w:pPr>
              <w:pStyle w:val="Compact"/>
            </w:pPr>
            <w:r>
              <w:t xml:space="preserve">G3SEARCH.BuildIndex: DocsPath is required</w:t>
            </w:r>
          </w:p>
        </w:tc>
      </w:tr>
      <w:tr>
        <w:tc>
          <w:tcPr/>
          <w:p>
            <w:pPr>
              <w:pStyle w:val="Compact"/>
            </w:pPr>
            <w:r>
              <w:t xml:space="preserve">9021</w:t>
            </w:r>
          </w:p>
        </w:tc>
        <w:tc>
          <w:tcPr/>
          <w:p>
            <w:pPr>
              <w:pStyle w:val="Compact"/>
            </w:pPr>
            <w:r>
              <w:t xml:space="preserve">G3SEARCH: IndexPath is required</w:t>
            </w:r>
          </w:p>
        </w:tc>
      </w:tr>
      <w:tr>
        <w:tc>
          <w:tcPr/>
          <w:p>
            <w:pPr>
              <w:pStyle w:val="Compact"/>
            </w:pPr>
            <w:r>
              <w:t xml:space="preserve">9022</w:t>
            </w:r>
          </w:p>
        </w:tc>
        <w:tc>
          <w:tcPr/>
          <w:p>
            <w:pPr>
              <w:pStyle w:val="Compact"/>
            </w:pPr>
            <w:r>
              <w:t xml:space="preserve">G3SEARCH: failed to open index</w:t>
            </w:r>
          </w:p>
        </w:tc>
      </w:tr>
      <w:tr>
        <w:tc>
          <w:tcPr/>
          <w:p>
            <w:pPr>
              <w:pStyle w:val="Compact"/>
            </w:pPr>
            <w:r>
              <w:t xml:space="preserve">9023</w:t>
            </w:r>
          </w:p>
        </w:tc>
        <w:tc>
          <w:tcPr/>
          <w:p>
            <w:pPr>
              <w:pStyle w:val="Compact"/>
            </w:pPr>
            <w:r>
              <w:t xml:space="preserve">G3SEARCH: failed to write index</w:t>
            </w:r>
          </w:p>
        </w:tc>
      </w:tr>
      <w:tr>
        <w:tc>
          <w:tcPr/>
          <w:p>
            <w:pPr>
              <w:pStyle w:val="Compact"/>
            </w:pPr>
            <w:r>
              <w:t xml:space="preserve">9024</w:t>
            </w:r>
          </w:p>
        </w:tc>
        <w:tc>
          <w:tcPr/>
          <w:p>
            <w:pPr>
              <w:pStyle w:val="Compact"/>
            </w:pPr>
            <w:r>
              <w:t xml:space="preserve">G3SEARCH: search execution failed</w:t>
            </w:r>
          </w:p>
        </w:tc>
      </w:tr>
    </w:tbl>
    <w:bookmarkEnd w:id="333"/>
    <w:bookmarkStart w:id="334" w:name="g3date-datetime-library-92009204"/>
    <w:p>
      <w:pPr>
        <w:pStyle w:val="Heading3"/>
      </w:pPr>
      <w:r>
        <w:t xml:space="preserve">G3DATE Date/Time Library (9200–9204)</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Code</w:t>
            </w:r>
          </w:p>
        </w:tc>
        <w:tc>
          <w:tcPr/>
          <w:p>
            <w:pPr>
              <w:pStyle w:val="Compact"/>
            </w:pPr>
            <w:r>
              <w:t xml:space="preserve">Description</w:t>
            </w:r>
          </w:p>
        </w:tc>
      </w:tr>
      <w:tr>
        <w:tc>
          <w:tcPr/>
          <w:p>
            <w:pPr>
              <w:pStyle w:val="Compact"/>
            </w:pPr>
            <w:r>
              <w:t xml:space="preserve">9200</w:t>
            </w:r>
          </w:p>
        </w:tc>
        <w:tc>
          <w:tcPr/>
          <w:p>
            <w:pPr>
              <w:pStyle w:val="Compact"/>
            </w:pPr>
            <w:r>
              <w:t xml:space="preserve">G3DATE: invalid number of arguments</w:t>
            </w:r>
          </w:p>
        </w:tc>
      </w:tr>
      <w:tr>
        <w:tc>
          <w:tcPr/>
          <w:p>
            <w:pPr>
              <w:pStyle w:val="Compact"/>
            </w:pPr>
            <w:r>
              <w:t xml:space="preserve">9201</w:t>
            </w:r>
          </w:p>
        </w:tc>
        <w:tc>
          <w:tcPr/>
          <w:p>
            <w:pPr>
              <w:pStyle w:val="Compact"/>
            </w:pPr>
            <w:r>
              <w:t xml:space="preserve">G3DATE: invalid timezone name</w:t>
            </w:r>
          </w:p>
        </w:tc>
      </w:tr>
      <w:tr>
        <w:tc>
          <w:tcPr/>
          <w:p>
            <w:pPr>
              <w:pStyle w:val="Compact"/>
            </w:pPr>
            <w:r>
              <w:t xml:space="preserve">9202</w:t>
            </w:r>
          </w:p>
        </w:tc>
        <w:tc>
          <w:tcPr/>
          <w:p>
            <w:pPr>
              <w:pStyle w:val="Compact"/>
            </w:pPr>
            <w:r>
              <w:t xml:space="preserve">G3DATE: invalid date value</w:t>
            </w:r>
          </w:p>
        </w:tc>
      </w:tr>
      <w:tr>
        <w:tc>
          <w:tcPr/>
          <w:p>
            <w:pPr>
              <w:pStyle w:val="Compact"/>
            </w:pPr>
            <w:r>
              <w:t xml:space="preserve">9203</w:t>
            </w:r>
          </w:p>
        </w:tc>
        <w:tc>
          <w:tcPr/>
          <w:p>
            <w:pPr>
              <w:pStyle w:val="Compact"/>
            </w:pPr>
            <w:r>
              <w:t xml:space="preserve">G3DATE: failed to parse date string</w:t>
            </w:r>
          </w:p>
        </w:tc>
      </w:tr>
      <w:tr>
        <w:tc>
          <w:tcPr/>
          <w:p>
            <w:pPr>
              <w:pStyle w:val="Compact"/>
            </w:pPr>
            <w:r>
              <w:t xml:space="preserve">9204</w:t>
            </w:r>
          </w:p>
        </w:tc>
        <w:tc>
          <w:tcPr/>
          <w:p>
            <w:pPr>
              <w:pStyle w:val="Compact"/>
            </w:pPr>
            <w:r>
              <w:t xml:space="preserve">G3DATE: invalid duration string</w:t>
            </w:r>
          </w:p>
        </w:tc>
      </w:tr>
    </w:tbl>
    <w:p>
      <w:r>
        <w:pict>
          <v:rect style="width:0;height:1.5pt" o:hralign="center" o:hrstd="t" o:hr="t"/>
        </w:pict>
      </w:r>
    </w:p>
    <w:bookmarkEnd w:id="334"/>
    <w:bookmarkEnd w:id="335"/>
    <w:bookmarkStart w:id="340" w:name="vbscript-error-codes"/>
    <w:p>
      <w:pPr>
        <w:pStyle w:val="Heading2"/>
      </w:pPr>
      <w:r>
        <w:t xml:space="preserve">VBScript Error Codes</w:t>
      </w:r>
    </w:p>
    <w:p>
      <w:pPr>
        <w:pStyle w:val="FirstParagraph"/>
      </w:pPr>
      <w:r>
        <w:t xml:space="preserve">The following error codes follow the standard VBScript specification. They are surfaced through the</w:t>
      </w:r>
      <w:r>
        <w:t xml:space="preserve"> </w:t>
      </w:r>
      <w:r>
        <w:rPr>
          <w:rStyle w:val="VerbatimChar"/>
        </w:rPr>
        <w:t xml:space="preserve">Err</w:t>
      </w:r>
      <w:r>
        <w:t xml:space="preserve"> </w:t>
      </w:r>
      <w:r>
        <w:t xml:space="preserve">object at the ASP/VBScript level (</w:t>
      </w:r>
      <w:r>
        <w:rPr>
          <w:rStyle w:val="VerbatimChar"/>
        </w:rPr>
        <w:t xml:space="preserve">Err.Number</w:t>
      </w:r>
      <w:r>
        <w:t xml:space="preserve">,</w:t>
      </w:r>
      <w:r>
        <w:t xml:space="preserve"> </w:t>
      </w:r>
      <w:r>
        <w:rPr>
          <w:rStyle w:val="VerbatimChar"/>
        </w:rPr>
        <w:t xml:space="preserve">Err.Description</w:t>
      </w:r>
      <w:r>
        <w:t xml:space="preserve">). The</w:t>
      </w:r>
      <w:r>
        <w:t xml:space="preserve"> </w:t>
      </w:r>
      <w:r>
        <w:rPr>
          <w:b/>
          <w:bCs/>
        </w:rPr>
        <w:t xml:space="preserve">Hex (HRESULT)</w:t>
      </w:r>
      <w:r>
        <w:t xml:space="preserve"> </w:t>
      </w:r>
      <w:r>
        <w:t xml:space="preserve">column shows the long-form COM error code, computed as</w:t>
      </w:r>
      <w:r>
        <w:t xml:space="preserve"> </w:t>
      </w:r>
      <w:r>
        <w:rPr>
          <w:rStyle w:val="VerbatimChar"/>
        </w:rPr>
        <w:t xml:space="preserve">0x800A0000 + decimal</w:t>
      </w:r>
      <w:r>
        <w:t xml:space="preserve">, which is the format used by some COM-aware tools and host environments.</w:t>
      </w:r>
    </w:p>
    <w:bookmarkStart w:id="336" w:name="runtime-errors"/>
    <w:p>
      <w:pPr>
        <w:pStyle w:val="Heading3"/>
      </w:pPr>
      <w:r>
        <w:t xml:space="preserve">Runtime Errors</w:t>
      </w:r>
    </w:p>
    <w:tbl>
      <w:tblPr>
        <w:tblStyle w:val="Table"/>
        <w:tblW w:type="pct" w:w="5000"/>
        <w:tblLayout w:type="fixed"/>
        <w:tblLook w:firstRow="1" w:lastRow="0" w:firstColumn="0" w:lastColumn="0" w:noHBand="0" w:noVBand="0" w:val="0020"/>
      </w:tblPr>
      <w:tblGrid>
        <w:gridCol w:w="1926"/>
        <w:gridCol w:w="3210"/>
        <w:gridCol w:w="2782"/>
      </w:tblGrid>
      <w:tr>
        <w:trPr>
          <w:tblHeader w:val="on"/>
        </w:trPr>
        <w:tc>
          <w:tcPr/>
          <w:p>
            <w:pPr>
              <w:pStyle w:val="Compact"/>
            </w:pPr>
            <w:r>
              <w:t xml:space="preserve">Decimal</w:t>
            </w:r>
          </w:p>
        </w:tc>
        <w:tc>
          <w:tcPr/>
          <w:p>
            <w:pPr>
              <w:pStyle w:val="Compact"/>
            </w:pPr>
            <w:r>
              <w:t xml:space="preserve">Hex (HRESULT)</w:t>
            </w:r>
          </w:p>
        </w:tc>
        <w:tc>
          <w:tcPr/>
          <w:p>
            <w:pPr>
              <w:pStyle w:val="Compact"/>
            </w:pPr>
            <w:r>
              <w:t xml:space="preserve">Description</w:t>
            </w:r>
          </w:p>
        </w:tc>
      </w:tr>
      <w:tr>
        <w:tc>
          <w:tcPr/>
          <w:p>
            <w:pPr>
              <w:pStyle w:val="Compact"/>
            </w:pPr>
            <w:r>
              <w:t xml:space="preserve">5</w:t>
            </w:r>
          </w:p>
        </w:tc>
        <w:tc>
          <w:tcPr/>
          <w:p>
            <w:pPr>
              <w:pStyle w:val="Compact"/>
            </w:pPr>
            <w:r>
              <w:t xml:space="preserve">0x800A0005</w:t>
            </w:r>
          </w:p>
        </w:tc>
        <w:tc>
          <w:tcPr/>
          <w:p>
            <w:pPr>
              <w:pStyle w:val="Compact"/>
            </w:pPr>
            <w:r>
              <w:t xml:space="preserve">Invalid procedure call or argument</w:t>
            </w:r>
          </w:p>
        </w:tc>
      </w:tr>
      <w:tr>
        <w:tc>
          <w:tcPr/>
          <w:p>
            <w:pPr>
              <w:pStyle w:val="Compact"/>
            </w:pPr>
            <w:r>
              <w:t xml:space="preserve">6</w:t>
            </w:r>
          </w:p>
        </w:tc>
        <w:tc>
          <w:tcPr/>
          <w:p>
            <w:pPr>
              <w:pStyle w:val="Compact"/>
            </w:pPr>
            <w:r>
              <w:t xml:space="preserve">0x800A0006</w:t>
            </w:r>
          </w:p>
        </w:tc>
        <w:tc>
          <w:tcPr/>
          <w:p>
            <w:pPr>
              <w:pStyle w:val="Compact"/>
            </w:pPr>
            <w:r>
              <w:t xml:space="preserve">Overflow</w:t>
            </w:r>
          </w:p>
        </w:tc>
      </w:tr>
      <w:tr>
        <w:tc>
          <w:tcPr/>
          <w:p>
            <w:pPr>
              <w:pStyle w:val="Compact"/>
            </w:pPr>
            <w:r>
              <w:t xml:space="preserve">7</w:t>
            </w:r>
          </w:p>
        </w:tc>
        <w:tc>
          <w:tcPr/>
          <w:p>
            <w:pPr>
              <w:pStyle w:val="Compact"/>
            </w:pPr>
            <w:r>
              <w:t xml:space="preserve">0x800A0007</w:t>
            </w:r>
          </w:p>
        </w:tc>
        <w:tc>
          <w:tcPr/>
          <w:p>
            <w:pPr>
              <w:pStyle w:val="Compact"/>
            </w:pPr>
            <w:r>
              <w:t xml:space="preserve">Out of memory</w:t>
            </w:r>
          </w:p>
        </w:tc>
      </w:tr>
      <w:tr>
        <w:tc>
          <w:tcPr/>
          <w:p>
            <w:pPr>
              <w:pStyle w:val="Compact"/>
            </w:pPr>
            <w:r>
              <w:t xml:space="preserve">9</w:t>
            </w:r>
          </w:p>
        </w:tc>
        <w:tc>
          <w:tcPr/>
          <w:p>
            <w:pPr>
              <w:pStyle w:val="Compact"/>
            </w:pPr>
            <w:r>
              <w:t xml:space="preserve">0x800A0009</w:t>
            </w:r>
          </w:p>
        </w:tc>
        <w:tc>
          <w:tcPr/>
          <w:p>
            <w:pPr>
              <w:pStyle w:val="Compact"/>
            </w:pPr>
            <w:r>
              <w:t xml:space="preserve">Subscript out of range</w:t>
            </w:r>
          </w:p>
        </w:tc>
      </w:tr>
      <w:tr>
        <w:tc>
          <w:tcPr/>
          <w:p>
            <w:pPr>
              <w:pStyle w:val="Compact"/>
            </w:pPr>
            <w:r>
              <w:t xml:space="preserve">10</w:t>
            </w:r>
          </w:p>
        </w:tc>
        <w:tc>
          <w:tcPr/>
          <w:p>
            <w:pPr>
              <w:pStyle w:val="Compact"/>
            </w:pPr>
            <w:r>
              <w:t xml:space="preserve">0x800A000A</w:t>
            </w:r>
          </w:p>
        </w:tc>
        <w:tc>
          <w:tcPr/>
          <w:p>
            <w:pPr>
              <w:pStyle w:val="Compact"/>
            </w:pPr>
            <w:r>
              <w:t xml:space="preserve">The array is of fixed length or temporarily locked</w:t>
            </w:r>
          </w:p>
        </w:tc>
      </w:tr>
      <w:tr>
        <w:tc>
          <w:tcPr/>
          <w:p>
            <w:pPr>
              <w:pStyle w:val="Compact"/>
            </w:pPr>
            <w:r>
              <w:t xml:space="preserve">11</w:t>
            </w:r>
          </w:p>
        </w:tc>
        <w:tc>
          <w:tcPr/>
          <w:p>
            <w:pPr>
              <w:pStyle w:val="Compact"/>
            </w:pPr>
            <w:r>
              <w:t xml:space="preserve">0x800A000B</w:t>
            </w:r>
          </w:p>
        </w:tc>
        <w:tc>
          <w:tcPr/>
          <w:p>
            <w:pPr>
              <w:pStyle w:val="Compact"/>
            </w:pPr>
            <w:r>
              <w:t xml:space="preserve">Division by zero</w:t>
            </w:r>
          </w:p>
        </w:tc>
      </w:tr>
      <w:tr>
        <w:tc>
          <w:tcPr/>
          <w:p>
            <w:pPr>
              <w:pStyle w:val="Compact"/>
            </w:pPr>
            <w:r>
              <w:t xml:space="preserve">13</w:t>
            </w:r>
          </w:p>
        </w:tc>
        <w:tc>
          <w:tcPr/>
          <w:p>
            <w:pPr>
              <w:pStyle w:val="Compact"/>
            </w:pPr>
            <w:r>
              <w:t xml:space="preserve">0x800A000D</w:t>
            </w:r>
          </w:p>
        </w:tc>
        <w:tc>
          <w:tcPr/>
          <w:p>
            <w:pPr>
              <w:pStyle w:val="Compact"/>
            </w:pPr>
            <w:r>
              <w:t xml:space="preserve">Type mismatch</w:t>
            </w:r>
          </w:p>
        </w:tc>
      </w:tr>
      <w:tr>
        <w:tc>
          <w:tcPr/>
          <w:p>
            <w:pPr>
              <w:pStyle w:val="Compact"/>
            </w:pPr>
            <w:r>
              <w:t xml:space="preserve">14</w:t>
            </w:r>
          </w:p>
        </w:tc>
        <w:tc>
          <w:tcPr/>
          <w:p>
            <w:pPr>
              <w:pStyle w:val="Compact"/>
            </w:pPr>
            <w:r>
              <w:t xml:space="preserve">0x800A000E</w:t>
            </w:r>
          </w:p>
        </w:tc>
        <w:tc>
          <w:tcPr/>
          <w:p>
            <w:pPr>
              <w:pStyle w:val="Compact"/>
            </w:pPr>
            <w:r>
              <w:t xml:space="preserve">Out of string space (overflow)</w:t>
            </w:r>
          </w:p>
        </w:tc>
      </w:tr>
      <w:tr>
        <w:tc>
          <w:tcPr/>
          <w:p>
            <w:pPr>
              <w:pStyle w:val="Compact"/>
            </w:pPr>
            <w:r>
              <w:t xml:space="preserve">17</w:t>
            </w:r>
          </w:p>
        </w:tc>
        <w:tc>
          <w:tcPr/>
          <w:p>
            <w:pPr>
              <w:pStyle w:val="Compact"/>
            </w:pPr>
            <w:r>
              <w:t xml:space="preserve">0x800A0011</w:t>
            </w:r>
          </w:p>
        </w:tc>
        <w:tc>
          <w:tcPr/>
          <w:p>
            <w:pPr>
              <w:pStyle w:val="Compact"/>
            </w:pPr>
            <w:r>
              <w:t xml:space="preserve">Cannot perform the requested operation</w:t>
            </w:r>
          </w:p>
        </w:tc>
      </w:tr>
      <w:tr>
        <w:tc>
          <w:tcPr/>
          <w:p>
            <w:pPr>
              <w:pStyle w:val="Compact"/>
            </w:pPr>
            <w:r>
              <w:t xml:space="preserve">28</w:t>
            </w:r>
          </w:p>
        </w:tc>
        <w:tc>
          <w:tcPr/>
          <w:p>
            <w:pPr>
              <w:pStyle w:val="Compact"/>
            </w:pPr>
            <w:r>
              <w:t xml:space="preserve">0x800A001C</w:t>
            </w:r>
          </w:p>
        </w:tc>
        <w:tc>
          <w:tcPr/>
          <w:p>
            <w:pPr>
              <w:pStyle w:val="Compact"/>
            </w:pPr>
            <w:r>
              <w:t xml:space="preserve">Stack overflow</w:t>
            </w:r>
          </w:p>
        </w:tc>
      </w:tr>
      <w:tr>
        <w:tc>
          <w:tcPr/>
          <w:p>
            <w:pPr>
              <w:pStyle w:val="Compact"/>
            </w:pPr>
            <w:r>
              <w:t xml:space="preserve">35</w:t>
            </w:r>
          </w:p>
        </w:tc>
        <w:tc>
          <w:tcPr/>
          <w:p>
            <w:pPr>
              <w:pStyle w:val="Compact"/>
            </w:pPr>
            <w:r>
              <w:t xml:space="preserve">0x800A0023</w:t>
            </w:r>
          </w:p>
        </w:tc>
        <w:tc>
          <w:tcPr/>
          <w:p>
            <w:pPr>
              <w:pStyle w:val="Compact"/>
            </w:pPr>
            <w:r>
              <w:t xml:space="preserve">Undefined SUB procedure or Function</w:t>
            </w:r>
          </w:p>
        </w:tc>
      </w:tr>
      <w:tr>
        <w:tc>
          <w:tcPr/>
          <w:p>
            <w:pPr>
              <w:pStyle w:val="Compact"/>
            </w:pPr>
            <w:r>
              <w:t xml:space="preserve">48</w:t>
            </w:r>
          </w:p>
        </w:tc>
        <w:tc>
          <w:tcPr/>
          <w:p>
            <w:pPr>
              <w:pStyle w:val="Compact"/>
            </w:pPr>
            <w:r>
              <w:t xml:space="preserve">0x800A0030</w:t>
            </w:r>
          </w:p>
        </w:tc>
        <w:tc>
          <w:tcPr/>
          <w:p>
            <w:pPr>
              <w:pStyle w:val="Compact"/>
            </w:pPr>
            <w:r>
              <w:t xml:space="preserve">Error loading DLL</w:t>
            </w:r>
          </w:p>
        </w:tc>
      </w:tr>
      <w:tr>
        <w:tc>
          <w:tcPr/>
          <w:p>
            <w:pPr>
              <w:pStyle w:val="Compact"/>
            </w:pPr>
            <w:r>
              <w:t xml:space="preserve">51</w:t>
            </w:r>
          </w:p>
        </w:tc>
        <w:tc>
          <w:tcPr/>
          <w:p>
            <w:pPr>
              <w:pStyle w:val="Compact"/>
            </w:pPr>
            <w:r>
              <w:t xml:space="preserve">0x800A0033</w:t>
            </w:r>
          </w:p>
        </w:tc>
        <w:tc>
          <w:tcPr/>
          <w:p>
            <w:pPr>
              <w:pStyle w:val="Compact"/>
            </w:pPr>
            <w:r>
              <w:t xml:space="preserve">Internal error</w:t>
            </w:r>
          </w:p>
        </w:tc>
      </w:tr>
      <w:tr>
        <w:tc>
          <w:tcPr/>
          <w:p>
            <w:pPr>
              <w:pStyle w:val="Compact"/>
            </w:pPr>
            <w:r>
              <w:t xml:space="preserve">52</w:t>
            </w:r>
          </w:p>
        </w:tc>
        <w:tc>
          <w:tcPr/>
          <w:p>
            <w:pPr>
              <w:pStyle w:val="Compact"/>
            </w:pPr>
            <w:r>
              <w:t xml:space="preserve">0x800A0034</w:t>
            </w:r>
          </w:p>
        </w:tc>
        <w:tc>
          <w:tcPr/>
          <w:p>
            <w:pPr>
              <w:pStyle w:val="Compact"/>
            </w:pPr>
            <w:r>
              <w:t xml:space="preserve">Bad file name or number</w:t>
            </w:r>
          </w:p>
        </w:tc>
      </w:tr>
      <w:tr>
        <w:tc>
          <w:tcPr/>
          <w:p>
            <w:pPr>
              <w:pStyle w:val="Compact"/>
            </w:pPr>
            <w:r>
              <w:t xml:space="preserve">53</w:t>
            </w:r>
          </w:p>
        </w:tc>
        <w:tc>
          <w:tcPr/>
          <w:p>
            <w:pPr>
              <w:pStyle w:val="Compact"/>
            </w:pPr>
            <w:r>
              <w:t xml:space="preserve">0x800A0035</w:t>
            </w:r>
          </w:p>
        </w:tc>
        <w:tc>
          <w:tcPr/>
          <w:p>
            <w:pPr>
              <w:pStyle w:val="Compact"/>
            </w:pPr>
            <w:r>
              <w:t xml:space="preserve">File not found</w:t>
            </w:r>
          </w:p>
        </w:tc>
      </w:tr>
      <w:tr>
        <w:tc>
          <w:tcPr/>
          <w:p>
            <w:pPr>
              <w:pStyle w:val="Compact"/>
            </w:pPr>
            <w:r>
              <w:t xml:space="preserve">54</w:t>
            </w:r>
          </w:p>
        </w:tc>
        <w:tc>
          <w:tcPr/>
          <w:p>
            <w:pPr>
              <w:pStyle w:val="Compact"/>
            </w:pPr>
            <w:r>
              <w:t xml:space="preserve">0x800A0036</w:t>
            </w:r>
          </w:p>
        </w:tc>
        <w:tc>
          <w:tcPr/>
          <w:p>
            <w:pPr>
              <w:pStyle w:val="Compact"/>
            </w:pPr>
            <w:r>
              <w:t xml:space="preserve">Bad file mode</w:t>
            </w:r>
          </w:p>
        </w:tc>
      </w:tr>
      <w:tr>
        <w:tc>
          <w:tcPr/>
          <w:p>
            <w:pPr>
              <w:pStyle w:val="Compact"/>
            </w:pPr>
            <w:r>
              <w:t xml:space="preserve">55</w:t>
            </w:r>
          </w:p>
        </w:tc>
        <w:tc>
          <w:tcPr/>
          <w:p>
            <w:pPr>
              <w:pStyle w:val="Compact"/>
            </w:pPr>
            <w:r>
              <w:t xml:space="preserve">0x800A0037</w:t>
            </w:r>
          </w:p>
        </w:tc>
        <w:tc>
          <w:tcPr/>
          <w:p>
            <w:pPr>
              <w:pStyle w:val="Compact"/>
            </w:pPr>
            <w:r>
              <w:t xml:space="preserve">File is already open</w:t>
            </w:r>
          </w:p>
        </w:tc>
      </w:tr>
      <w:tr>
        <w:tc>
          <w:tcPr/>
          <w:p>
            <w:pPr>
              <w:pStyle w:val="Compact"/>
            </w:pPr>
            <w:r>
              <w:t xml:space="preserve">57</w:t>
            </w:r>
          </w:p>
        </w:tc>
        <w:tc>
          <w:tcPr/>
          <w:p>
            <w:pPr>
              <w:pStyle w:val="Compact"/>
            </w:pPr>
            <w:r>
              <w:t xml:space="preserve">0x800A0039</w:t>
            </w:r>
          </w:p>
        </w:tc>
        <w:tc>
          <w:tcPr/>
          <w:p>
            <w:pPr>
              <w:pStyle w:val="Compact"/>
            </w:pPr>
            <w:r>
              <w:t xml:space="preserve">Device I/O error</w:t>
            </w:r>
          </w:p>
        </w:tc>
      </w:tr>
      <w:tr>
        <w:tc>
          <w:tcPr/>
          <w:p>
            <w:pPr>
              <w:pStyle w:val="Compact"/>
            </w:pPr>
            <w:r>
              <w:t xml:space="preserve">58</w:t>
            </w:r>
          </w:p>
        </w:tc>
        <w:tc>
          <w:tcPr/>
          <w:p>
            <w:pPr>
              <w:pStyle w:val="Compact"/>
            </w:pPr>
            <w:r>
              <w:t xml:space="preserve">0x800A003A</w:t>
            </w:r>
          </w:p>
        </w:tc>
        <w:tc>
          <w:tcPr/>
          <w:p>
            <w:pPr>
              <w:pStyle w:val="Compact"/>
            </w:pPr>
            <w:r>
              <w:t xml:space="preserve">File already exists</w:t>
            </w:r>
          </w:p>
        </w:tc>
      </w:tr>
      <w:tr>
        <w:tc>
          <w:tcPr/>
          <w:p>
            <w:pPr>
              <w:pStyle w:val="Compact"/>
            </w:pPr>
            <w:r>
              <w:t xml:space="preserve">61</w:t>
            </w:r>
          </w:p>
        </w:tc>
        <w:tc>
          <w:tcPr/>
          <w:p>
            <w:pPr>
              <w:pStyle w:val="Compact"/>
            </w:pPr>
            <w:r>
              <w:t xml:space="preserve">0x800A003D</w:t>
            </w:r>
          </w:p>
        </w:tc>
        <w:tc>
          <w:tcPr/>
          <w:p>
            <w:pPr>
              <w:pStyle w:val="Compact"/>
            </w:pPr>
            <w:r>
              <w:t xml:space="preserve">Disk space is full</w:t>
            </w:r>
          </w:p>
        </w:tc>
      </w:tr>
      <w:tr>
        <w:tc>
          <w:tcPr/>
          <w:p>
            <w:pPr>
              <w:pStyle w:val="Compact"/>
            </w:pPr>
            <w:r>
              <w:t xml:space="preserve">62</w:t>
            </w:r>
          </w:p>
        </w:tc>
        <w:tc>
          <w:tcPr/>
          <w:p>
            <w:pPr>
              <w:pStyle w:val="Compact"/>
            </w:pPr>
            <w:r>
              <w:t xml:space="preserve">0x800A003E</w:t>
            </w:r>
          </w:p>
        </w:tc>
        <w:tc>
          <w:tcPr/>
          <w:p>
            <w:pPr>
              <w:pStyle w:val="Compact"/>
            </w:pPr>
            <w:r>
              <w:t xml:space="preserve">Input beyond the end of the file</w:t>
            </w:r>
          </w:p>
        </w:tc>
      </w:tr>
      <w:tr>
        <w:tc>
          <w:tcPr/>
          <w:p>
            <w:pPr>
              <w:pStyle w:val="Compact"/>
            </w:pPr>
            <w:r>
              <w:t xml:space="preserve">67</w:t>
            </w:r>
          </w:p>
        </w:tc>
        <w:tc>
          <w:tcPr/>
          <w:p>
            <w:pPr>
              <w:pStyle w:val="Compact"/>
            </w:pPr>
            <w:r>
              <w:t xml:space="preserve">0x800A0043</w:t>
            </w:r>
          </w:p>
        </w:tc>
        <w:tc>
          <w:tcPr/>
          <w:p>
            <w:pPr>
              <w:pStyle w:val="Compact"/>
            </w:pPr>
            <w:r>
              <w:t xml:space="preserve">Too many files</w:t>
            </w:r>
          </w:p>
        </w:tc>
      </w:tr>
      <w:tr>
        <w:tc>
          <w:tcPr/>
          <w:p>
            <w:pPr>
              <w:pStyle w:val="Compact"/>
            </w:pPr>
            <w:r>
              <w:t xml:space="preserve">68</w:t>
            </w:r>
          </w:p>
        </w:tc>
        <w:tc>
          <w:tcPr/>
          <w:p>
            <w:pPr>
              <w:pStyle w:val="Compact"/>
            </w:pPr>
            <w:r>
              <w:t xml:space="preserve">0x800A0044</w:t>
            </w:r>
          </w:p>
        </w:tc>
        <w:tc>
          <w:tcPr/>
          <w:p>
            <w:pPr>
              <w:pStyle w:val="Compact"/>
            </w:pPr>
            <w:r>
              <w:t xml:space="preserve">Device not available</w:t>
            </w:r>
          </w:p>
        </w:tc>
      </w:tr>
      <w:tr>
        <w:tc>
          <w:tcPr/>
          <w:p>
            <w:pPr>
              <w:pStyle w:val="Compact"/>
            </w:pPr>
            <w:r>
              <w:t xml:space="preserve">70</w:t>
            </w:r>
          </w:p>
        </w:tc>
        <w:tc>
          <w:tcPr/>
          <w:p>
            <w:pPr>
              <w:pStyle w:val="Compact"/>
            </w:pPr>
            <w:r>
              <w:t xml:space="preserve">0x800A0046</w:t>
            </w:r>
          </w:p>
        </w:tc>
        <w:tc>
          <w:tcPr/>
          <w:p>
            <w:pPr>
              <w:pStyle w:val="Compact"/>
            </w:pPr>
            <w:r>
              <w:t xml:space="preserve">Permission denied</w:t>
            </w:r>
          </w:p>
        </w:tc>
      </w:tr>
      <w:tr>
        <w:tc>
          <w:tcPr/>
          <w:p>
            <w:pPr>
              <w:pStyle w:val="Compact"/>
            </w:pPr>
            <w:r>
              <w:t xml:space="preserve">71</w:t>
            </w:r>
          </w:p>
        </w:tc>
        <w:tc>
          <w:tcPr/>
          <w:p>
            <w:pPr>
              <w:pStyle w:val="Compact"/>
            </w:pPr>
            <w:r>
              <w:t xml:space="preserve">0x800A0047</w:t>
            </w:r>
          </w:p>
        </w:tc>
        <w:tc>
          <w:tcPr/>
          <w:p>
            <w:pPr>
              <w:pStyle w:val="Compact"/>
            </w:pPr>
            <w:r>
              <w:t xml:space="preserve">Disk not ready</w:t>
            </w:r>
          </w:p>
        </w:tc>
      </w:tr>
      <w:tr>
        <w:tc>
          <w:tcPr/>
          <w:p>
            <w:pPr>
              <w:pStyle w:val="Compact"/>
            </w:pPr>
            <w:r>
              <w:t xml:space="preserve">74</w:t>
            </w:r>
          </w:p>
        </w:tc>
        <w:tc>
          <w:tcPr/>
          <w:p>
            <w:pPr>
              <w:pStyle w:val="Compact"/>
            </w:pPr>
            <w:r>
              <w:t xml:space="preserve">0x800A004A</w:t>
            </w:r>
          </w:p>
        </w:tc>
        <w:tc>
          <w:tcPr/>
          <w:p>
            <w:pPr>
              <w:pStyle w:val="Compact"/>
            </w:pPr>
            <w:r>
              <w:t xml:space="preserve">Cannot rename with different drive</w:t>
            </w:r>
          </w:p>
        </w:tc>
      </w:tr>
      <w:tr>
        <w:tc>
          <w:tcPr/>
          <w:p>
            <w:pPr>
              <w:pStyle w:val="Compact"/>
            </w:pPr>
            <w:r>
              <w:t xml:space="preserve">75</w:t>
            </w:r>
          </w:p>
        </w:tc>
        <w:tc>
          <w:tcPr/>
          <w:p>
            <w:pPr>
              <w:pStyle w:val="Compact"/>
            </w:pPr>
            <w:r>
              <w:t xml:space="preserve">0x800A004B</w:t>
            </w:r>
          </w:p>
        </w:tc>
        <w:tc>
          <w:tcPr/>
          <w:p>
            <w:pPr>
              <w:pStyle w:val="Compact"/>
            </w:pPr>
            <w:r>
              <w:t xml:space="preserve">Path/file access error</w:t>
            </w:r>
          </w:p>
        </w:tc>
      </w:tr>
      <w:tr>
        <w:tc>
          <w:tcPr/>
          <w:p>
            <w:pPr>
              <w:pStyle w:val="Compact"/>
            </w:pPr>
            <w:r>
              <w:t xml:space="preserve">76</w:t>
            </w:r>
          </w:p>
        </w:tc>
        <w:tc>
          <w:tcPr/>
          <w:p>
            <w:pPr>
              <w:pStyle w:val="Compact"/>
            </w:pPr>
            <w:r>
              <w:t xml:space="preserve">0x800A004C</w:t>
            </w:r>
          </w:p>
        </w:tc>
        <w:tc>
          <w:tcPr/>
          <w:p>
            <w:pPr>
              <w:pStyle w:val="Compact"/>
            </w:pPr>
            <w:r>
              <w:t xml:space="preserve">Path not found</w:t>
            </w:r>
          </w:p>
        </w:tc>
      </w:tr>
      <w:tr>
        <w:tc>
          <w:tcPr/>
          <w:p>
            <w:pPr>
              <w:pStyle w:val="Compact"/>
            </w:pPr>
            <w:r>
              <w:t xml:space="preserve">91</w:t>
            </w:r>
          </w:p>
        </w:tc>
        <w:tc>
          <w:tcPr/>
          <w:p>
            <w:pPr>
              <w:pStyle w:val="Compact"/>
            </w:pPr>
            <w:r>
              <w:t xml:space="preserve">0x800A005B</w:t>
            </w:r>
          </w:p>
        </w:tc>
        <w:tc>
          <w:tcPr/>
          <w:p>
            <w:pPr>
              <w:pStyle w:val="Compact"/>
            </w:pPr>
            <w:r>
              <w:t xml:space="preserve">Object variable not set</w:t>
            </w:r>
          </w:p>
        </w:tc>
      </w:tr>
      <w:tr>
        <w:tc>
          <w:tcPr/>
          <w:p>
            <w:pPr>
              <w:pStyle w:val="Compact"/>
            </w:pPr>
            <w:r>
              <w:t xml:space="preserve">92</w:t>
            </w:r>
          </w:p>
        </w:tc>
        <w:tc>
          <w:tcPr/>
          <w:p>
            <w:pPr>
              <w:pStyle w:val="Compact"/>
            </w:pPr>
            <w:r>
              <w:t xml:space="preserve">0x800A005C</w:t>
            </w:r>
          </w:p>
        </w:tc>
        <w:tc>
          <w:tcPr/>
          <w:p>
            <w:pPr>
              <w:pStyle w:val="Compact"/>
            </w:pPr>
            <w:r>
              <w:t xml:space="preserve">For loop is not initialized</w:t>
            </w:r>
          </w:p>
        </w:tc>
      </w:tr>
      <w:tr>
        <w:tc>
          <w:tcPr/>
          <w:p>
            <w:pPr>
              <w:pStyle w:val="Compact"/>
            </w:pPr>
            <w:r>
              <w:t xml:space="preserve">94</w:t>
            </w:r>
          </w:p>
        </w:tc>
        <w:tc>
          <w:tcPr/>
          <w:p>
            <w:pPr>
              <w:pStyle w:val="Compact"/>
            </w:pPr>
            <w:r>
              <w:t xml:space="preserve">0x800A005E</w:t>
            </w:r>
          </w:p>
        </w:tc>
        <w:tc>
          <w:tcPr/>
          <w:p>
            <w:pPr>
              <w:pStyle w:val="Compact"/>
            </w:pPr>
            <w:r>
              <w:t xml:space="preserve">Invalid use of Null</w:t>
            </w:r>
          </w:p>
        </w:tc>
      </w:tr>
      <w:tr>
        <w:tc>
          <w:tcPr/>
          <w:p>
            <w:pPr>
              <w:pStyle w:val="Compact"/>
            </w:pPr>
            <w:r>
              <w:t xml:space="preserve">322</w:t>
            </w:r>
          </w:p>
        </w:tc>
        <w:tc>
          <w:tcPr/>
          <w:p>
            <w:pPr>
              <w:pStyle w:val="Compact"/>
            </w:pPr>
            <w:r>
              <w:t xml:space="preserve">0x800A0142</w:t>
            </w:r>
          </w:p>
        </w:tc>
        <w:tc>
          <w:tcPr/>
          <w:p>
            <w:pPr>
              <w:pStyle w:val="Compact"/>
            </w:pPr>
            <w:r>
              <w:t xml:space="preserve">Could not create the required temporary file</w:t>
            </w:r>
          </w:p>
        </w:tc>
      </w:tr>
      <w:tr>
        <w:tc>
          <w:tcPr/>
          <w:p>
            <w:pPr>
              <w:pStyle w:val="Compact"/>
            </w:pPr>
            <w:r>
              <w:t xml:space="preserve">424</w:t>
            </w:r>
          </w:p>
        </w:tc>
        <w:tc>
          <w:tcPr/>
          <w:p>
            <w:pPr>
              <w:pStyle w:val="Compact"/>
            </w:pPr>
            <w:r>
              <w:t xml:space="preserve">0x800A01A8</w:t>
            </w:r>
          </w:p>
        </w:tc>
        <w:tc>
          <w:tcPr/>
          <w:p>
            <w:pPr>
              <w:pStyle w:val="Compact"/>
            </w:pPr>
            <w:r>
              <w:t xml:space="preserve">Could not find target object</w:t>
            </w:r>
          </w:p>
        </w:tc>
      </w:tr>
      <w:tr>
        <w:tc>
          <w:tcPr/>
          <w:p>
            <w:pPr>
              <w:pStyle w:val="Compact"/>
            </w:pPr>
            <w:r>
              <w:t xml:space="preserve">429</w:t>
            </w:r>
          </w:p>
        </w:tc>
        <w:tc>
          <w:tcPr/>
          <w:p>
            <w:pPr>
              <w:pStyle w:val="Compact"/>
            </w:pPr>
            <w:r>
              <w:t xml:space="preserve">0x800A01AD</w:t>
            </w:r>
          </w:p>
        </w:tc>
        <w:tc>
          <w:tcPr/>
          <w:p>
            <w:pPr>
              <w:pStyle w:val="Compact"/>
            </w:pPr>
            <w:r>
              <w:t xml:space="preserve">AxonASP cannot create object</w:t>
            </w:r>
          </w:p>
        </w:tc>
      </w:tr>
      <w:tr>
        <w:tc>
          <w:tcPr/>
          <w:p>
            <w:pPr>
              <w:pStyle w:val="Compact"/>
            </w:pPr>
            <w:r>
              <w:t xml:space="preserve">430</w:t>
            </w:r>
          </w:p>
        </w:tc>
        <w:tc>
          <w:tcPr/>
          <w:p>
            <w:pPr>
              <w:pStyle w:val="Compact"/>
            </w:pPr>
            <w:r>
              <w:t xml:space="preserve">0x800A01AE</w:t>
            </w:r>
          </w:p>
        </w:tc>
        <w:tc>
          <w:tcPr/>
          <w:p>
            <w:pPr>
              <w:pStyle w:val="Compact"/>
            </w:pPr>
            <w:r>
              <w:t xml:space="preserve">Class does not support Automation</w:t>
            </w:r>
          </w:p>
        </w:tc>
      </w:tr>
      <w:tr>
        <w:tc>
          <w:tcPr/>
          <w:p>
            <w:pPr>
              <w:pStyle w:val="Compact"/>
            </w:pPr>
            <w:r>
              <w:t xml:space="preserve">432</w:t>
            </w:r>
          </w:p>
        </w:tc>
        <w:tc>
          <w:tcPr/>
          <w:p>
            <w:pPr>
              <w:pStyle w:val="Compact"/>
            </w:pPr>
            <w:r>
              <w:t xml:space="preserve">0x800A01B0</w:t>
            </w:r>
          </w:p>
        </w:tc>
        <w:tc>
          <w:tcPr/>
          <w:p>
            <w:pPr>
              <w:pStyle w:val="Compact"/>
            </w:pPr>
            <w:r>
              <w:t xml:space="preserve">File name or class name not found during Automation operation</w:t>
            </w:r>
          </w:p>
        </w:tc>
      </w:tr>
      <w:tr>
        <w:tc>
          <w:tcPr/>
          <w:p>
            <w:pPr>
              <w:pStyle w:val="Compact"/>
            </w:pPr>
            <w:r>
              <w:t xml:space="preserve">438</w:t>
            </w:r>
          </w:p>
        </w:tc>
        <w:tc>
          <w:tcPr/>
          <w:p>
            <w:pPr>
              <w:pStyle w:val="Compact"/>
            </w:pPr>
            <w:r>
              <w:t xml:space="preserve">0x800A01B6</w:t>
            </w:r>
          </w:p>
        </w:tc>
        <w:tc>
          <w:tcPr/>
          <w:p>
            <w:pPr>
              <w:pStyle w:val="Compact"/>
            </w:pPr>
            <w:r>
              <w:t xml:space="preserve">Object doesn’t support this property or method</w:t>
            </w:r>
          </w:p>
        </w:tc>
      </w:tr>
      <w:tr>
        <w:tc>
          <w:tcPr/>
          <w:p>
            <w:pPr>
              <w:pStyle w:val="Compact"/>
            </w:pPr>
            <w:r>
              <w:t xml:space="preserve">440</w:t>
            </w:r>
          </w:p>
        </w:tc>
        <w:tc>
          <w:tcPr/>
          <w:p>
            <w:pPr>
              <w:pStyle w:val="Compact"/>
            </w:pPr>
            <w:r>
              <w:t xml:space="preserve">0x800A01B8</w:t>
            </w:r>
          </w:p>
        </w:tc>
        <w:tc>
          <w:tcPr/>
          <w:p>
            <w:pPr>
              <w:pStyle w:val="Compact"/>
            </w:pPr>
            <w:r>
              <w:t xml:space="preserve">Automation error</w:t>
            </w:r>
          </w:p>
        </w:tc>
      </w:tr>
      <w:tr>
        <w:tc>
          <w:tcPr/>
          <w:p>
            <w:pPr>
              <w:pStyle w:val="Compact"/>
            </w:pPr>
            <w:r>
              <w:t xml:space="preserve">445</w:t>
            </w:r>
          </w:p>
        </w:tc>
        <w:tc>
          <w:tcPr/>
          <w:p>
            <w:pPr>
              <w:pStyle w:val="Compact"/>
            </w:pPr>
            <w:r>
              <w:t xml:space="preserve">0x800A01BD</w:t>
            </w:r>
          </w:p>
        </w:tc>
        <w:tc>
          <w:tcPr/>
          <w:p>
            <w:pPr>
              <w:pStyle w:val="Compact"/>
            </w:pPr>
            <w:r>
              <w:t xml:space="preserve">Object does not support this action</w:t>
            </w:r>
          </w:p>
        </w:tc>
      </w:tr>
      <w:tr>
        <w:tc>
          <w:tcPr/>
          <w:p>
            <w:pPr>
              <w:pStyle w:val="Compact"/>
            </w:pPr>
            <w:r>
              <w:t xml:space="preserve">446</w:t>
            </w:r>
          </w:p>
        </w:tc>
        <w:tc>
          <w:tcPr/>
          <w:p>
            <w:pPr>
              <w:pStyle w:val="Compact"/>
            </w:pPr>
            <w:r>
              <w:t xml:space="preserve">0x800A01BE</w:t>
            </w:r>
          </w:p>
        </w:tc>
        <w:tc>
          <w:tcPr/>
          <w:p>
            <w:pPr>
              <w:pStyle w:val="Compact"/>
            </w:pPr>
            <w:r>
              <w:t xml:space="preserve">Object does not support the named arguments</w:t>
            </w:r>
          </w:p>
        </w:tc>
      </w:tr>
      <w:tr>
        <w:tc>
          <w:tcPr/>
          <w:p>
            <w:pPr>
              <w:pStyle w:val="Compact"/>
            </w:pPr>
            <w:r>
              <w:t xml:space="preserve">447</w:t>
            </w:r>
          </w:p>
        </w:tc>
        <w:tc>
          <w:tcPr/>
          <w:p>
            <w:pPr>
              <w:pStyle w:val="Compact"/>
            </w:pPr>
            <w:r>
              <w:t xml:space="preserve">0x800A01BF</w:t>
            </w:r>
          </w:p>
        </w:tc>
        <w:tc>
          <w:tcPr/>
          <w:p>
            <w:pPr>
              <w:pStyle w:val="Compact"/>
            </w:pPr>
            <w:r>
              <w:t xml:space="preserve">Object does not support the current locale</w:t>
            </w:r>
          </w:p>
        </w:tc>
      </w:tr>
      <w:tr>
        <w:tc>
          <w:tcPr/>
          <w:p>
            <w:pPr>
              <w:pStyle w:val="Compact"/>
            </w:pPr>
            <w:r>
              <w:t xml:space="preserve">448</w:t>
            </w:r>
          </w:p>
        </w:tc>
        <w:tc>
          <w:tcPr/>
          <w:p>
            <w:pPr>
              <w:pStyle w:val="Compact"/>
            </w:pPr>
            <w:r>
              <w:t xml:space="preserve">0x800A01C0</w:t>
            </w:r>
          </w:p>
        </w:tc>
        <w:tc>
          <w:tcPr/>
          <w:p>
            <w:pPr>
              <w:pStyle w:val="Compact"/>
            </w:pPr>
            <w:r>
              <w:t xml:space="preserve">Named argument not found</w:t>
            </w:r>
          </w:p>
        </w:tc>
      </w:tr>
      <w:tr>
        <w:tc>
          <w:tcPr/>
          <w:p>
            <w:pPr>
              <w:pStyle w:val="Compact"/>
            </w:pPr>
            <w:r>
              <w:t xml:space="preserve">449</w:t>
            </w:r>
          </w:p>
        </w:tc>
        <w:tc>
          <w:tcPr/>
          <w:p>
            <w:pPr>
              <w:pStyle w:val="Compact"/>
            </w:pPr>
            <w:r>
              <w:t xml:space="preserve">0x800A01C1</w:t>
            </w:r>
          </w:p>
        </w:tc>
        <w:tc>
          <w:tcPr/>
          <w:p>
            <w:pPr>
              <w:pStyle w:val="Compact"/>
            </w:pPr>
            <w:r>
              <w:t xml:space="preserve">Parameters are not optional</w:t>
            </w:r>
          </w:p>
        </w:tc>
      </w:tr>
      <w:tr>
        <w:tc>
          <w:tcPr/>
          <w:p>
            <w:pPr>
              <w:pStyle w:val="Compact"/>
            </w:pPr>
            <w:r>
              <w:t xml:space="preserve">450</w:t>
            </w:r>
          </w:p>
        </w:tc>
        <w:tc>
          <w:tcPr/>
          <w:p>
            <w:pPr>
              <w:pStyle w:val="Compact"/>
            </w:pPr>
            <w:r>
              <w:t xml:space="preserve">0x800A01C2</w:t>
            </w:r>
          </w:p>
        </w:tc>
        <w:tc>
          <w:tcPr/>
          <w:p>
            <w:pPr>
              <w:pStyle w:val="Compact"/>
            </w:pPr>
            <w:r>
              <w:t xml:space="preserve">Wrong number of parameters or invalid property assignment</w:t>
            </w:r>
          </w:p>
        </w:tc>
      </w:tr>
      <w:tr>
        <w:tc>
          <w:tcPr/>
          <w:p>
            <w:pPr>
              <w:pStyle w:val="Compact"/>
            </w:pPr>
            <w:r>
              <w:t xml:space="preserve">451</w:t>
            </w:r>
          </w:p>
        </w:tc>
        <w:tc>
          <w:tcPr/>
          <w:p>
            <w:pPr>
              <w:pStyle w:val="Compact"/>
            </w:pPr>
            <w:r>
              <w:t xml:space="preserve">0x800A01C3</w:t>
            </w:r>
          </w:p>
        </w:tc>
        <w:tc>
          <w:tcPr/>
          <w:p>
            <w:pPr>
              <w:pStyle w:val="Compact"/>
            </w:pPr>
            <w:r>
              <w:t xml:space="preserve">Is not a collection of objects</w:t>
            </w:r>
          </w:p>
        </w:tc>
      </w:tr>
      <w:tr>
        <w:tc>
          <w:tcPr/>
          <w:p>
            <w:pPr>
              <w:pStyle w:val="Compact"/>
            </w:pPr>
            <w:r>
              <w:t xml:space="preserve">453</w:t>
            </w:r>
          </w:p>
        </w:tc>
        <w:tc>
          <w:tcPr/>
          <w:p>
            <w:pPr>
              <w:pStyle w:val="Compact"/>
            </w:pPr>
            <w:r>
              <w:t xml:space="preserve">0x800A01C5</w:t>
            </w:r>
          </w:p>
        </w:tc>
        <w:tc>
          <w:tcPr/>
          <w:p>
            <w:pPr>
              <w:pStyle w:val="Compact"/>
            </w:pPr>
            <w:r>
              <w:t xml:space="preserve">The specified DLL function was not found</w:t>
            </w:r>
          </w:p>
        </w:tc>
      </w:tr>
      <w:tr>
        <w:tc>
          <w:tcPr/>
          <w:p>
            <w:pPr>
              <w:pStyle w:val="Compact"/>
            </w:pPr>
            <w:r>
              <w:t xml:space="preserve">455</w:t>
            </w:r>
          </w:p>
        </w:tc>
        <w:tc>
          <w:tcPr/>
          <w:p>
            <w:pPr>
              <w:pStyle w:val="Compact"/>
            </w:pPr>
            <w:r>
              <w:t xml:space="preserve">0x800A01C7</w:t>
            </w:r>
          </w:p>
        </w:tc>
        <w:tc>
          <w:tcPr/>
          <w:p>
            <w:pPr>
              <w:pStyle w:val="Compact"/>
            </w:pPr>
            <w:r>
              <w:t xml:space="preserve">Code resource lock error</w:t>
            </w:r>
          </w:p>
        </w:tc>
      </w:tr>
      <w:tr>
        <w:tc>
          <w:tcPr/>
          <w:p>
            <w:pPr>
              <w:pStyle w:val="Compact"/>
            </w:pPr>
            <w:r>
              <w:t xml:space="preserve">457</w:t>
            </w:r>
          </w:p>
        </w:tc>
        <w:tc>
          <w:tcPr/>
          <w:p>
            <w:pPr>
              <w:pStyle w:val="Compact"/>
            </w:pPr>
            <w:r>
              <w:t xml:space="preserve">0x800A01C9</w:t>
            </w:r>
          </w:p>
        </w:tc>
        <w:tc>
          <w:tcPr/>
          <w:p>
            <w:pPr>
              <w:pStyle w:val="Compact"/>
            </w:pPr>
            <w:r>
              <w:t xml:space="preserve">This key already associated with an element of this collection</w:t>
            </w:r>
          </w:p>
        </w:tc>
      </w:tr>
      <w:tr>
        <w:tc>
          <w:tcPr/>
          <w:p>
            <w:pPr>
              <w:pStyle w:val="Compact"/>
            </w:pPr>
            <w:r>
              <w:t xml:space="preserve">458</w:t>
            </w:r>
          </w:p>
        </w:tc>
        <w:tc>
          <w:tcPr/>
          <w:p>
            <w:pPr>
              <w:pStyle w:val="Compact"/>
            </w:pPr>
            <w:r>
              <w:t xml:space="preserve">0x800A01CA</w:t>
            </w:r>
          </w:p>
        </w:tc>
        <w:tc>
          <w:tcPr/>
          <w:p>
            <w:pPr>
              <w:pStyle w:val="Compact"/>
            </w:pPr>
            <w:r>
              <w:t xml:space="preserve">Variable uses an Automation type not supported in VBScript</w:t>
            </w:r>
          </w:p>
        </w:tc>
      </w:tr>
      <w:tr>
        <w:tc>
          <w:tcPr/>
          <w:p>
            <w:pPr>
              <w:pStyle w:val="Compact"/>
            </w:pPr>
            <w:r>
              <w:t xml:space="preserve">462</w:t>
            </w:r>
          </w:p>
        </w:tc>
        <w:tc>
          <w:tcPr/>
          <w:p>
            <w:pPr>
              <w:pStyle w:val="Compact"/>
            </w:pPr>
            <w:r>
              <w:t xml:space="preserve">0x800A01CE</w:t>
            </w:r>
          </w:p>
        </w:tc>
        <w:tc>
          <w:tcPr/>
          <w:p>
            <w:pPr>
              <w:pStyle w:val="Compact"/>
            </w:pPr>
            <w:r>
              <w:t xml:space="preserve">The remote server does not exist or is not available</w:t>
            </w:r>
          </w:p>
        </w:tc>
      </w:tr>
      <w:tr>
        <w:tc>
          <w:tcPr/>
          <w:p>
            <w:pPr>
              <w:pStyle w:val="Compact"/>
            </w:pPr>
            <w:r>
              <w:t xml:space="preserve">481</w:t>
            </w:r>
          </w:p>
        </w:tc>
        <w:tc>
          <w:tcPr/>
          <w:p>
            <w:pPr>
              <w:pStyle w:val="Compact"/>
            </w:pPr>
            <w:r>
              <w:t xml:space="preserve">0x800A01E1</w:t>
            </w:r>
          </w:p>
        </w:tc>
        <w:tc>
          <w:tcPr/>
          <w:p>
            <w:pPr>
              <w:pStyle w:val="Compact"/>
            </w:pPr>
            <w:r>
              <w:t xml:space="preserve">Image is invalid</w:t>
            </w:r>
          </w:p>
        </w:tc>
      </w:tr>
      <w:tr>
        <w:tc>
          <w:tcPr/>
          <w:p>
            <w:pPr>
              <w:pStyle w:val="Compact"/>
            </w:pPr>
            <w:r>
              <w:t xml:space="preserve">500</w:t>
            </w:r>
          </w:p>
        </w:tc>
        <w:tc>
          <w:tcPr/>
          <w:p>
            <w:pPr>
              <w:pStyle w:val="Compact"/>
            </w:pPr>
            <w:r>
              <w:t xml:space="preserve">0x800A01F4</w:t>
            </w:r>
          </w:p>
        </w:tc>
        <w:tc>
          <w:tcPr/>
          <w:p>
            <w:pPr>
              <w:pStyle w:val="Compact"/>
            </w:pPr>
            <w:r>
              <w:t xml:space="preserve">Variable not defined</w:t>
            </w:r>
          </w:p>
        </w:tc>
      </w:tr>
      <w:tr>
        <w:tc>
          <w:tcPr/>
          <w:p>
            <w:pPr>
              <w:pStyle w:val="Compact"/>
            </w:pPr>
            <w:r>
              <w:t xml:space="preserve">501</w:t>
            </w:r>
          </w:p>
        </w:tc>
        <w:tc>
          <w:tcPr/>
          <w:p>
            <w:pPr>
              <w:pStyle w:val="Compact"/>
            </w:pPr>
            <w:r>
              <w:t xml:space="preserve">0x800A01F5</w:t>
            </w:r>
          </w:p>
        </w:tc>
        <w:tc>
          <w:tcPr/>
          <w:p>
            <w:pPr>
              <w:pStyle w:val="Compact"/>
            </w:pPr>
            <w:r>
              <w:t xml:space="preserve">Illegal assignment</w:t>
            </w:r>
          </w:p>
        </w:tc>
      </w:tr>
      <w:tr>
        <w:tc>
          <w:tcPr/>
          <w:p>
            <w:pPr>
              <w:pStyle w:val="Compact"/>
            </w:pPr>
            <w:r>
              <w:t xml:space="preserve">502</w:t>
            </w:r>
          </w:p>
        </w:tc>
        <w:tc>
          <w:tcPr/>
          <w:p>
            <w:pPr>
              <w:pStyle w:val="Compact"/>
            </w:pPr>
            <w:r>
              <w:t xml:space="preserve">0x800A01F6</w:t>
            </w:r>
          </w:p>
        </w:tc>
        <w:tc>
          <w:tcPr/>
          <w:p>
            <w:pPr>
              <w:pStyle w:val="Compact"/>
            </w:pPr>
            <w:r>
              <w:t xml:space="preserve">The object is not safe for scripting</w:t>
            </w:r>
          </w:p>
        </w:tc>
      </w:tr>
      <w:tr>
        <w:tc>
          <w:tcPr/>
          <w:p>
            <w:pPr>
              <w:pStyle w:val="Compact"/>
            </w:pPr>
            <w:r>
              <w:t xml:space="preserve">503</w:t>
            </w:r>
          </w:p>
        </w:tc>
        <w:tc>
          <w:tcPr/>
          <w:p>
            <w:pPr>
              <w:pStyle w:val="Compact"/>
            </w:pPr>
            <w:r>
              <w:t xml:space="preserve">0x800A01F7</w:t>
            </w:r>
          </w:p>
        </w:tc>
        <w:tc>
          <w:tcPr/>
          <w:p>
            <w:pPr>
              <w:pStyle w:val="Compact"/>
            </w:pPr>
            <w:r>
              <w:t xml:space="preserve">Object not safe for initializing</w:t>
            </w:r>
          </w:p>
        </w:tc>
      </w:tr>
      <w:tr>
        <w:tc>
          <w:tcPr/>
          <w:p>
            <w:pPr>
              <w:pStyle w:val="Compact"/>
            </w:pPr>
            <w:r>
              <w:t xml:space="preserve">504</w:t>
            </w:r>
          </w:p>
        </w:tc>
        <w:tc>
          <w:tcPr/>
          <w:p>
            <w:pPr>
              <w:pStyle w:val="Compact"/>
            </w:pPr>
            <w:r>
              <w:t xml:space="preserve">0x800A01F8</w:t>
            </w:r>
          </w:p>
        </w:tc>
        <w:tc>
          <w:tcPr/>
          <w:p>
            <w:pPr>
              <w:pStyle w:val="Compact"/>
            </w:pPr>
            <w:r>
              <w:t xml:space="preserve">Object cannot create a secure environment</w:t>
            </w:r>
          </w:p>
        </w:tc>
      </w:tr>
      <w:tr>
        <w:tc>
          <w:tcPr/>
          <w:p>
            <w:pPr>
              <w:pStyle w:val="Compact"/>
            </w:pPr>
            <w:r>
              <w:t xml:space="preserve">505</w:t>
            </w:r>
          </w:p>
        </w:tc>
        <w:tc>
          <w:tcPr/>
          <w:p>
            <w:pPr>
              <w:pStyle w:val="Compact"/>
            </w:pPr>
            <w:r>
              <w:t xml:space="preserve">0x800A01F9</w:t>
            </w:r>
          </w:p>
        </w:tc>
        <w:tc>
          <w:tcPr/>
          <w:p>
            <w:pPr>
              <w:pStyle w:val="Compact"/>
            </w:pPr>
            <w:r>
              <w:t xml:space="preserve">Invalid or unqualified reference</w:t>
            </w:r>
          </w:p>
        </w:tc>
      </w:tr>
      <w:tr>
        <w:tc>
          <w:tcPr/>
          <w:p>
            <w:pPr>
              <w:pStyle w:val="Compact"/>
            </w:pPr>
            <w:r>
              <w:t xml:space="preserve">506</w:t>
            </w:r>
          </w:p>
        </w:tc>
        <w:tc>
          <w:tcPr/>
          <w:p>
            <w:pPr>
              <w:pStyle w:val="Compact"/>
            </w:pPr>
            <w:r>
              <w:t xml:space="preserve">0x800A01FA</w:t>
            </w:r>
          </w:p>
        </w:tc>
        <w:tc>
          <w:tcPr/>
          <w:p>
            <w:pPr>
              <w:pStyle w:val="Compact"/>
            </w:pPr>
            <w:r>
              <w:t xml:space="preserve">Class/Type is not defined</w:t>
            </w:r>
          </w:p>
        </w:tc>
      </w:tr>
      <w:tr>
        <w:tc>
          <w:tcPr/>
          <w:p>
            <w:pPr>
              <w:pStyle w:val="Compact"/>
            </w:pPr>
            <w:r>
              <w:t xml:space="preserve">507</w:t>
            </w:r>
          </w:p>
        </w:tc>
        <w:tc>
          <w:tcPr/>
          <w:p>
            <w:pPr>
              <w:pStyle w:val="Compact"/>
            </w:pPr>
            <w:r>
              <w:t xml:space="preserve">0x800A01FB</w:t>
            </w:r>
          </w:p>
        </w:tc>
        <w:tc>
          <w:tcPr/>
          <w:p>
            <w:pPr>
              <w:pStyle w:val="Compact"/>
            </w:pPr>
            <w:r>
              <w:t xml:space="preserve">Unexpected error</w:t>
            </w:r>
          </w:p>
        </w:tc>
      </w:tr>
    </w:tbl>
    <w:bookmarkEnd w:id="336"/>
    <w:bookmarkStart w:id="337" w:name="syntax-and-compiler-errors"/>
    <w:p>
      <w:pPr>
        <w:pStyle w:val="Heading3"/>
      </w:pPr>
      <w:r>
        <w:t xml:space="preserve">Syntax and Compiler Errors</w:t>
      </w:r>
    </w:p>
    <w:tbl>
      <w:tblPr>
        <w:tblStyle w:val="Table"/>
        <w:tblW w:type="pct" w:w="5000"/>
        <w:tblLayout w:type="fixed"/>
        <w:tblLook w:firstRow="1" w:lastRow="0" w:firstColumn="0" w:lastColumn="0" w:noHBand="0" w:noVBand="0" w:val="0020"/>
      </w:tblPr>
      <w:tblGrid>
        <w:gridCol w:w="1926"/>
        <w:gridCol w:w="3210"/>
        <w:gridCol w:w="2782"/>
      </w:tblGrid>
      <w:tr>
        <w:trPr>
          <w:tblHeader w:val="on"/>
        </w:trPr>
        <w:tc>
          <w:tcPr/>
          <w:p>
            <w:pPr>
              <w:pStyle w:val="Compact"/>
            </w:pPr>
            <w:r>
              <w:t xml:space="preserve">Decimal</w:t>
            </w:r>
          </w:p>
        </w:tc>
        <w:tc>
          <w:tcPr/>
          <w:p>
            <w:pPr>
              <w:pStyle w:val="Compact"/>
            </w:pPr>
            <w:r>
              <w:t xml:space="preserve">Hex (HRESULT)</w:t>
            </w:r>
          </w:p>
        </w:tc>
        <w:tc>
          <w:tcPr/>
          <w:p>
            <w:pPr>
              <w:pStyle w:val="Compact"/>
            </w:pPr>
            <w:r>
              <w:t xml:space="preserve">Description</w:t>
            </w:r>
          </w:p>
        </w:tc>
      </w:tr>
      <w:tr>
        <w:tc>
          <w:tcPr/>
          <w:p>
            <w:pPr>
              <w:pStyle w:val="Compact"/>
            </w:pPr>
            <w:r>
              <w:t xml:space="preserve">1001</w:t>
            </w:r>
          </w:p>
        </w:tc>
        <w:tc>
          <w:tcPr/>
          <w:p>
            <w:pPr>
              <w:pStyle w:val="Compact"/>
            </w:pPr>
            <w:r>
              <w:t xml:space="preserve">0x800A03E9</w:t>
            </w:r>
          </w:p>
        </w:tc>
        <w:tc>
          <w:tcPr/>
          <w:p>
            <w:pPr>
              <w:pStyle w:val="Compact"/>
            </w:pPr>
            <w:r>
              <w:t xml:space="preserve">Insufficient memory</w:t>
            </w:r>
          </w:p>
        </w:tc>
      </w:tr>
      <w:tr>
        <w:tc>
          <w:tcPr/>
          <w:p>
            <w:pPr>
              <w:pStyle w:val="Compact"/>
            </w:pPr>
            <w:r>
              <w:t xml:space="preserve">1002</w:t>
            </w:r>
          </w:p>
        </w:tc>
        <w:tc>
          <w:tcPr/>
          <w:p>
            <w:pPr>
              <w:pStyle w:val="Compact"/>
            </w:pPr>
            <w:r>
              <w:t xml:space="preserve">0x800A03EA</w:t>
            </w:r>
          </w:p>
        </w:tc>
        <w:tc>
          <w:tcPr/>
          <w:p>
            <w:pPr>
              <w:pStyle w:val="Compact"/>
            </w:pPr>
            <w:r>
              <w:t xml:space="preserve">Syntax error</w:t>
            </w:r>
          </w:p>
        </w:tc>
      </w:tr>
      <w:tr>
        <w:tc>
          <w:tcPr/>
          <w:p>
            <w:pPr>
              <w:pStyle w:val="Compact"/>
            </w:pPr>
            <w:r>
              <w:t xml:space="preserve">1003</w:t>
            </w:r>
          </w:p>
        </w:tc>
        <w:tc>
          <w:tcPr/>
          <w:p>
            <w:pPr>
              <w:pStyle w:val="Compact"/>
            </w:pPr>
            <w:r>
              <w:t xml:space="preserve">0x800A03EB</w:t>
            </w:r>
          </w:p>
        </w:tc>
        <w:tc>
          <w:tcPr/>
          <w:p>
            <w:pPr>
              <w:pStyle w:val="Compact"/>
            </w:pPr>
            <w:r>
              <w:t xml:space="preserve">Missing</w:t>
            </w:r>
            <w:r>
              <w:t xml:space="preserve"> </w:t>
            </w:r>
            <w:r>
              <w:t xml:space="preserve">‘:’</w:t>
            </w:r>
          </w:p>
        </w:tc>
      </w:tr>
      <w:tr>
        <w:tc>
          <w:tcPr/>
          <w:p>
            <w:pPr>
              <w:pStyle w:val="Compact"/>
            </w:pPr>
            <w:r>
              <w:t xml:space="preserve">1005</w:t>
            </w:r>
          </w:p>
        </w:tc>
        <w:tc>
          <w:tcPr/>
          <w:p>
            <w:pPr>
              <w:pStyle w:val="Compact"/>
            </w:pPr>
            <w:r>
              <w:t xml:space="preserve">0x800A03ED</w:t>
            </w:r>
          </w:p>
        </w:tc>
        <w:tc>
          <w:tcPr/>
          <w:p>
            <w:pPr>
              <w:pStyle w:val="Compact"/>
            </w:pPr>
            <w:r>
              <w:t xml:space="preserve">Missing</w:t>
            </w:r>
            <w:r>
              <w:t xml:space="preserve"> </w:t>
            </w:r>
            <w:r>
              <w:t xml:space="preserve">‘(’</w:t>
            </w:r>
          </w:p>
        </w:tc>
      </w:tr>
      <w:tr>
        <w:tc>
          <w:tcPr/>
          <w:p>
            <w:pPr>
              <w:pStyle w:val="Compact"/>
            </w:pPr>
            <w:r>
              <w:t xml:space="preserve">1006</w:t>
            </w:r>
          </w:p>
        </w:tc>
        <w:tc>
          <w:tcPr/>
          <w:p>
            <w:pPr>
              <w:pStyle w:val="Compact"/>
            </w:pPr>
            <w:r>
              <w:t xml:space="preserve">0x800A03EE</w:t>
            </w:r>
          </w:p>
        </w:tc>
        <w:tc>
          <w:tcPr/>
          <w:p>
            <w:pPr>
              <w:pStyle w:val="Compact"/>
            </w:pPr>
            <w:r>
              <w:t xml:space="preserve">Missing</w:t>
            </w:r>
            <w:r>
              <w:t xml:space="preserve"> </w:t>
            </w:r>
            <w:r>
              <w:t xml:space="preserve">‘)’</w:t>
            </w:r>
          </w:p>
        </w:tc>
      </w:tr>
      <w:tr>
        <w:tc>
          <w:tcPr/>
          <w:p>
            <w:pPr>
              <w:pStyle w:val="Compact"/>
            </w:pPr>
            <w:r>
              <w:t xml:space="preserve">1007</w:t>
            </w:r>
          </w:p>
        </w:tc>
        <w:tc>
          <w:tcPr/>
          <w:p>
            <w:pPr>
              <w:pStyle w:val="Compact"/>
            </w:pPr>
            <w:r>
              <w:t xml:space="preserve">0x800A03EF</w:t>
            </w:r>
          </w:p>
        </w:tc>
        <w:tc>
          <w:tcPr/>
          <w:p>
            <w:pPr>
              <w:pStyle w:val="Compact"/>
            </w:pPr>
            <w:r>
              <w:t xml:space="preserve">Missing</w:t>
            </w:r>
            <w:r>
              <w:t xml:space="preserve"> </w:t>
            </w:r>
            <w:r>
              <w:t xml:space="preserve">‘]’</w:t>
            </w:r>
          </w:p>
        </w:tc>
      </w:tr>
      <w:tr>
        <w:tc>
          <w:tcPr/>
          <w:p>
            <w:pPr>
              <w:pStyle w:val="Compact"/>
            </w:pPr>
            <w:r>
              <w:t xml:space="preserve">1010</w:t>
            </w:r>
          </w:p>
        </w:tc>
        <w:tc>
          <w:tcPr/>
          <w:p>
            <w:pPr>
              <w:pStyle w:val="Compact"/>
            </w:pPr>
            <w:r>
              <w:t xml:space="preserve">0x800A03F2</w:t>
            </w:r>
          </w:p>
        </w:tc>
        <w:tc>
          <w:tcPr/>
          <w:p>
            <w:pPr>
              <w:pStyle w:val="Compact"/>
            </w:pPr>
            <w:r>
              <w:t xml:space="preserve">Missing identifier</w:t>
            </w:r>
          </w:p>
        </w:tc>
      </w:tr>
      <w:tr>
        <w:tc>
          <w:tcPr/>
          <w:p>
            <w:pPr>
              <w:pStyle w:val="Compact"/>
            </w:pPr>
            <w:r>
              <w:t xml:space="preserve">1011</w:t>
            </w:r>
          </w:p>
        </w:tc>
        <w:tc>
          <w:tcPr/>
          <w:p>
            <w:pPr>
              <w:pStyle w:val="Compact"/>
            </w:pPr>
            <w:r>
              <w:t xml:space="preserve">0x800A03F3</w:t>
            </w:r>
          </w:p>
        </w:tc>
        <w:tc>
          <w:tcPr/>
          <w:p>
            <w:pPr>
              <w:pStyle w:val="Compact"/>
            </w:pPr>
            <w:r>
              <w:t xml:space="preserve">Missing</w:t>
            </w:r>
            <w:r>
              <w:t xml:space="preserve"> </w:t>
            </w:r>
            <w:r>
              <w:t xml:space="preserve">‘=’</w:t>
            </w:r>
          </w:p>
        </w:tc>
      </w:tr>
      <w:tr>
        <w:tc>
          <w:tcPr/>
          <w:p>
            <w:pPr>
              <w:pStyle w:val="Compact"/>
            </w:pPr>
            <w:r>
              <w:t xml:space="preserve">1012</w:t>
            </w:r>
          </w:p>
        </w:tc>
        <w:tc>
          <w:tcPr/>
          <w:p>
            <w:pPr>
              <w:pStyle w:val="Compact"/>
            </w:pPr>
            <w:r>
              <w:t xml:space="preserve">0x800A03F4</w:t>
            </w:r>
          </w:p>
        </w:tc>
        <w:tc>
          <w:tcPr/>
          <w:p>
            <w:pPr>
              <w:pStyle w:val="Compact"/>
            </w:pPr>
            <w:r>
              <w:t xml:space="preserve">Missing</w:t>
            </w:r>
            <w:r>
              <w:t xml:space="preserve"> </w:t>
            </w:r>
            <w:r>
              <w:t xml:space="preserve">‘If’</w:t>
            </w:r>
          </w:p>
        </w:tc>
      </w:tr>
      <w:tr>
        <w:tc>
          <w:tcPr/>
          <w:p>
            <w:pPr>
              <w:pStyle w:val="Compact"/>
            </w:pPr>
            <w:r>
              <w:t xml:space="preserve">1013</w:t>
            </w:r>
          </w:p>
        </w:tc>
        <w:tc>
          <w:tcPr/>
          <w:p>
            <w:pPr>
              <w:pStyle w:val="Compact"/>
            </w:pPr>
            <w:r>
              <w:t xml:space="preserve">0x800A03F5</w:t>
            </w:r>
          </w:p>
        </w:tc>
        <w:tc>
          <w:tcPr/>
          <w:p>
            <w:pPr>
              <w:pStyle w:val="Compact"/>
            </w:pPr>
            <w:r>
              <w:t xml:space="preserve">Missing</w:t>
            </w:r>
            <w:r>
              <w:t xml:space="preserve"> </w:t>
            </w:r>
            <w:r>
              <w:t xml:space="preserve">‘To’</w:t>
            </w:r>
          </w:p>
        </w:tc>
      </w:tr>
      <w:tr>
        <w:tc>
          <w:tcPr/>
          <w:p>
            <w:pPr>
              <w:pStyle w:val="Compact"/>
            </w:pPr>
            <w:r>
              <w:t xml:space="preserve">1014</w:t>
            </w:r>
          </w:p>
        </w:tc>
        <w:tc>
          <w:tcPr/>
          <w:p>
            <w:pPr>
              <w:pStyle w:val="Compact"/>
            </w:pPr>
            <w:r>
              <w:t xml:space="preserve">0x800A03F6</w:t>
            </w:r>
          </w:p>
        </w:tc>
        <w:tc>
          <w:tcPr/>
          <w:p>
            <w:pPr>
              <w:pStyle w:val="Compact"/>
            </w:pPr>
            <w:r>
              <w:t xml:space="preserve">Missing</w:t>
            </w:r>
            <w:r>
              <w:t xml:space="preserve"> </w:t>
            </w:r>
            <w:r>
              <w:t xml:space="preserve">‘End’</w:t>
            </w:r>
          </w:p>
        </w:tc>
      </w:tr>
      <w:tr>
        <w:tc>
          <w:tcPr/>
          <w:p>
            <w:pPr>
              <w:pStyle w:val="Compact"/>
            </w:pPr>
            <w:r>
              <w:t xml:space="preserve">1015</w:t>
            </w:r>
          </w:p>
        </w:tc>
        <w:tc>
          <w:tcPr/>
          <w:p>
            <w:pPr>
              <w:pStyle w:val="Compact"/>
            </w:pPr>
            <w:r>
              <w:t xml:space="preserve">0x800A03F7</w:t>
            </w:r>
          </w:p>
        </w:tc>
        <w:tc>
          <w:tcPr/>
          <w:p>
            <w:pPr>
              <w:pStyle w:val="Compact"/>
            </w:pPr>
            <w:r>
              <w:t xml:space="preserve">Missing</w:t>
            </w:r>
            <w:r>
              <w:t xml:space="preserve"> </w:t>
            </w:r>
            <w:r>
              <w:t xml:space="preserve">‘Function’</w:t>
            </w:r>
          </w:p>
        </w:tc>
      </w:tr>
      <w:tr>
        <w:tc>
          <w:tcPr/>
          <w:p>
            <w:pPr>
              <w:pStyle w:val="Compact"/>
            </w:pPr>
            <w:r>
              <w:t xml:space="preserve">1016</w:t>
            </w:r>
          </w:p>
        </w:tc>
        <w:tc>
          <w:tcPr/>
          <w:p>
            <w:pPr>
              <w:pStyle w:val="Compact"/>
            </w:pPr>
            <w:r>
              <w:t xml:space="preserve">0x800A03F8</w:t>
            </w:r>
          </w:p>
        </w:tc>
        <w:tc>
          <w:tcPr/>
          <w:p>
            <w:pPr>
              <w:pStyle w:val="Compact"/>
            </w:pPr>
            <w:r>
              <w:t xml:space="preserve">Missing</w:t>
            </w:r>
            <w:r>
              <w:t xml:space="preserve"> </w:t>
            </w:r>
            <w:r>
              <w:t xml:space="preserve">‘Sub’</w:t>
            </w:r>
          </w:p>
        </w:tc>
      </w:tr>
      <w:tr>
        <w:tc>
          <w:tcPr/>
          <w:p>
            <w:pPr>
              <w:pStyle w:val="Compact"/>
            </w:pPr>
            <w:r>
              <w:t xml:space="preserve">1017</w:t>
            </w:r>
          </w:p>
        </w:tc>
        <w:tc>
          <w:tcPr/>
          <w:p>
            <w:pPr>
              <w:pStyle w:val="Compact"/>
            </w:pPr>
            <w:r>
              <w:t xml:space="preserve">0x800A03F9</w:t>
            </w:r>
          </w:p>
        </w:tc>
        <w:tc>
          <w:tcPr/>
          <w:p>
            <w:pPr>
              <w:pStyle w:val="Compact"/>
            </w:pPr>
            <w:r>
              <w:t xml:space="preserve">Missing</w:t>
            </w:r>
            <w:r>
              <w:t xml:space="preserve"> </w:t>
            </w:r>
            <w:r>
              <w:t xml:space="preserve">‘Then’</w:t>
            </w:r>
          </w:p>
        </w:tc>
      </w:tr>
      <w:tr>
        <w:tc>
          <w:tcPr/>
          <w:p>
            <w:pPr>
              <w:pStyle w:val="Compact"/>
            </w:pPr>
            <w:r>
              <w:t xml:space="preserve">1018</w:t>
            </w:r>
          </w:p>
        </w:tc>
        <w:tc>
          <w:tcPr/>
          <w:p>
            <w:pPr>
              <w:pStyle w:val="Compact"/>
            </w:pPr>
            <w:r>
              <w:t xml:space="preserve">0x800A03FA</w:t>
            </w:r>
          </w:p>
        </w:tc>
        <w:tc>
          <w:tcPr/>
          <w:p>
            <w:pPr>
              <w:pStyle w:val="Compact"/>
            </w:pPr>
            <w:r>
              <w:t xml:space="preserve">Missing</w:t>
            </w:r>
            <w:r>
              <w:t xml:space="preserve"> </w:t>
            </w:r>
            <w:r>
              <w:t xml:space="preserve">‘Wend’</w:t>
            </w:r>
          </w:p>
        </w:tc>
      </w:tr>
      <w:tr>
        <w:tc>
          <w:tcPr/>
          <w:p>
            <w:pPr>
              <w:pStyle w:val="Compact"/>
            </w:pPr>
            <w:r>
              <w:t xml:space="preserve">1019</w:t>
            </w:r>
          </w:p>
        </w:tc>
        <w:tc>
          <w:tcPr/>
          <w:p>
            <w:pPr>
              <w:pStyle w:val="Compact"/>
            </w:pPr>
            <w:r>
              <w:t xml:space="preserve">0x800A03FB</w:t>
            </w:r>
          </w:p>
        </w:tc>
        <w:tc>
          <w:tcPr/>
          <w:p>
            <w:pPr>
              <w:pStyle w:val="Compact"/>
            </w:pPr>
            <w:r>
              <w:t xml:space="preserve">Missing</w:t>
            </w:r>
            <w:r>
              <w:t xml:space="preserve"> </w:t>
            </w:r>
            <w:r>
              <w:t xml:space="preserve">‘Loop’</w:t>
            </w:r>
          </w:p>
        </w:tc>
      </w:tr>
      <w:tr>
        <w:tc>
          <w:tcPr/>
          <w:p>
            <w:pPr>
              <w:pStyle w:val="Compact"/>
            </w:pPr>
            <w:r>
              <w:t xml:space="preserve">1020</w:t>
            </w:r>
          </w:p>
        </w:tc>
        <w:tc>
          <w:tcPr/>
          <w:p>
            <w:pPr>
              <w:pStyle w:val="Compact"/>
            </w:pPr>
            <w:r>
              <w:t xml:space="preserve">0x800A03FC</w:t>
            </w:r>
          </w:p>
        </w:tc>
        <w:tc>
          <w:tcPr/>
          <w:p>
            <w:pPr>
              <w:pStyle w:val="Compact"/>
            </w:pPr>
            <w:r>
              <w:t xml:space="preserve">Missing</w:t>
            </w:r>
            <w:r>
              <w:t xml:space="preserve"> </w:t>
            </w:r>
            <w:r>
              <w:t xml:space="preserve">‘Next’</w:t>
            </w:r>
          </w:p>
        </w:tc>
      </w:tr>
      <w:tr>
        <w:tc>
          <w:tcPr/>
          <w:p>
            <w:pPr>
              <w:pStyle w:val="Compact"/>
            </w:pPr>
            <w:r>
              <w:t xml:space="preserve">1021</w:t>
            </w:r>
          </w:p>
        </w:tc>
        <w:tc>
          <w:tcPr/>
          <w:p>
            <w:pPr>
              <w:pStyle w:val="Compact"/>
            </w:pPr>
            <w:r>
              <w:t xml:space="preserve">0x800A03FD</w:t>
            </w:r>
          </w:p>
        </w:tc>
        <w:tc>
          <w:tcPr/>
          <w:p>
            <w:pPr>
              <w:pStyle w:val="Compact"/>
            </w:pPr>
            <w:r>
              <w:t xml:space="preserve">Missing</w:t>
            </w:r>
            <w:r>
              <w:t xml:space="preserve"> </w:t>
            </w:r>
            <w:r>
              <w:t xml:space="preserve">‘Case’</w:t>
            </w:r>
          </w:p>
        </w:tc>
      </w:tr>
      <w:tr>
        <w:tc>
          <w:tcPr/>
          <w:p>
            <w:pPr>
              <w:pStyle w:val="Compact"/>
            </w:pPr>
            <w:r>
              <w:t xml:space="preserve">1022</w:t>
            </w:r>
          </w:p>
        </w:tc>
        <w:tc>
          <w:tcPr/>
          <w:p>
            <w:pPr>
              <w:pStyle w:val="Compact"/>
            </w:pPr>
            <w:r>
              <w:t xml:space="preserve">0x800A03FE</w:t>
            </w:r>
          </w:p>
        </w:tc>
        <w:tc>
          <w:tcPr/>
          <w:p>
            <w:pPr>
              <w:pStyle w:val="Compact"/>
            </w:pPr>
            <w:r>
              <w:t xml:space="preserve">Missing</w:t>
            </w:r>
            <w:r>
              <w:t xml:space="preserve"> </w:t>
            </w:r>
            <w:r>
              <w:t xml:space="preserve">‘Select’</w:t>
            </w:r>
          </w:p>
        </w:tc>
      </w:tr>
      <w:tr>
        <w:tc>
          <w:tcPr/>
          <w:p>
            <w:pPr>
              <w:pStyle w:val="Compact"/>
            </w:pPr>
            <w:r>
              <w:t xml:space="preserve">1023</w:t>
            </w:r>
          </w:p>
        </w:tc>
        <w:tc>
          <w:tcPr/>
          <w:p>
            <w:pPr>
              <w:pStyle w:val="Compact"/>
            </w:pPr>
            <w:r>
              <w:t xml:space="preserve">0x800A03FF</w:t>
            </w:r>
          </w:p>
        </w:tc>
        <w:tc>
          <w:tcPr/>
          <w:p>
            <w:pPr>
              <w:pStyle w:val="Compact"/>
            </w:pPr>
            <w:r>
              <w:t xml:space="preserve">Missing expression</w:t>
            </w:r>
          </w:p>
        </w:tc>
      </w:tr>
      <w:tr>
        <w:tc>
          <w:tcPr/>
          <w:p>
            <w:pPr>
              <w:pStyle w:val="Compact"/>
            </w:pPr>
            <w:r>
              <w:t xml:space="preserve">1024</w:t>
            </w:r>
          </w:p>
        </w:tc>
        <w:tc>
          <w:tcPr/>
          <w:p>
            <w:pPr>
              <w:pStyle w:val="Compact"/>
            </w:pPr>
            <w:r>
              <w:t xml:space="preserve">0x800A0400</w:t>
            </w:r>
          </w:p>
        </w:tc>
        <w:tc>
          <w:tcPr/>
          <w:p>
            <w:pPr>
              <w:pStyle w:val="Compact"/>
            </w:pPr>
            <w:r>
              <w:t xml:space="preserve">Missing statement</w:t>
            </w:r>
          </w:p>
        </w:tc>
      </w:tr>
      <w:tr>
        <w:tc>
          <w:tcPr/>
          <w:p>
            <w:pPr>
              <w:pStyle w:val="Compact"/>
            </w:pPr>
            <w:r>
              <w:t xml:space="preserve">1025</w:t>
            </w:r>
          </w:p>
        </w:tc>
        <w:tc>
          <w:tcPr/>
          <w:p>
            <w:pPr>
              <w:pStyle w:val="Compact"/>
            </w:pPr>
            <w:r>
              <w:t xml:space="preserve">0x800A0401</w:t>
            </w:r>
          </w:p>
        </w:tc>
        <w:tc>
          <w:tcPr/>
          <w:p>
            <w:pPr>
              <w:pStyle w:val="Compact"/>
            </w:pPr>
            <w:r>
              <w:t xml:space="preserve">Missing end of statement</w:t>
            </w:r>
          </w:p>
        </w:tc>
      </w:tr>
      <w:tr>
        <w:tc>
          <w:tcPr/>
          <w:p>
            <w:pPr>
              <w:pStyle w:val="Compact"/>
            </w:pPr>
            <w:r>
              <w:t xml:space="preserve">1026</w:t>
            </w:r>
          </w:p>
        </w:tc>
        <w:tc>
          <w:tcPr/>
          <w:p>
            <w:pPr>
              <w:pStyle w:val="Compact"/>
            </w:pPr>
            <w:r>
              <w:t xml:space="preserve">0x800A0402</w:t>
            </w:r>
          </w:p>
        </w:tc>
        <w:tc>
          <w:tcPr/>
          <w:p>
            <w:pPr>
              <w:pStyle w:val="Compact"/>
            </w:pPr>
            <w:r>
              <w:t xml:space="preserve">Requires an integer constant</w:t>
            </w:r>
          </w:p>
        </w:tc>
      </w:tr>
      <w:tr>
        <w:tc>
          <w:tcPr/>
          <w:p>
            <w:pPr>
              <w:pStyle w:val="Compact"/>
            </w:pPr>
            <w:r>
              <w:t xml:space="preserve">1027</w:t>
            </w:r>
          </w:p>
        </w:tc>
        <w:tc>
          <w:tcPr/>
          <w:p>
            <w:pPr>
              <w:pStyle w:val="Compact"/>
            </w:pPr>
            <w:r>
              <w:t xml:space="preserve">0x800A0403</w:t>
            </w:r>
          </w:p>
        </w:tc>
        <w:tc>
          <w:tcPr/>
          <w:p>
            <w:pPr>
              <w:pStyle w:val="Compact"/>
            </w:pPr>
            <w:r>
              <w:t xml:space="preserve">Missing</w:t>
            </w:r>
            <w:r>
              <w:t xml:space="preserve"> </w:t>
            </w:r>
            <w:r>
              <w:t xml:space="preserve">‘While’</w:t>
            </w:r>
            <w:r>
              <w:t xml:space="preserve"> </w:t>
            </w:r>
            <w:r>
              <w:t xml:space="preserve">or</w:t>
            </w:r>
            <w:r>
              <w:t xml:space="preserve"> </w:t>
            </w:r>
            <w:r>
              <w:t xml:space="preserve">‘Until’</w:t>
            </w:r>
          </w:p>
        </w:tc>
      </w:tr>
      <w:tr>
        <w:tc>
          <w:tcPr/>
          <w:p>
            <w:pPr>
              <w:pStyle w:val="Compact"/>
            </w:pPr>
            <w:r>
              <w:t xml:space="preserve">1028</w:t>
            </w:r>
          </w:p>
        </w:tc>
        <w:tc>
          <w:tcPr/>
          <w:p>
            <w:pPr>
              <w:pStyle w:val="Compact"/>
            </w:pPr>
            <w:r>
              <w:t xml:space="preserve">0x800A0404</w:t>
            </w:r>
          </w:p>
        </w:tc>
        <w:tc>
          <w:tcPr/>
          <w:p>
            <w:pPr>
              <w:pStyle w:val="Compact"/>
            </w:pPr>
            <w:r>
              <w:t xml:space="preserve">Missing</w:t>
            </w:r>
            <w:r>
              <w:t xml:space="preserve"> </w:t>
            </w:r>
            <w:r>
              <w:t xml:space="preserve">‘While’</w:t>
            </w:r>
            <w:r>
              <w:t xml:space="preserve">,</w:t>
            </w:r>
            <w:r>
              <w:t xml:space="preserve"> </w:t>
            </w:r>
            <w:r>
              <w:t xml:space="preserve">‘Until’</w:t>
            </w:r>
            <w:r>
              <w:t xml:space="preserve">, or end of statement</w:t>
            </w:r>
          </w:p>
        </w:tc>
      </w:tr>
      <w:tr>
        <w:tc>
          <w:tcPr/>
          <w:p>
            <w:pPr>
              <w:pStyle w:val="Compact"/>
            </w:pPr>
            <w:r>
              <w:t xml:space="preserve">1029</w:t>
            </w:r>
          </w:p>
        </w:tc>
        <w:tc>
          <w:tcPr/>
          <w:p>
            <w:pPr>
              <w:pStyle w:val="Compact"/>
            </w:pPr>
            <w:r>
              <w:t xml:space="preserve">0x800A0405</w:t>
            </w:r>
          </w:p>
        </w:tc>
        <w:tc>
          <w:tcPr/>
          <w:p>
            <w:pPr>
              <w:pStyle w:val="Compact"/>
            </w:pPr>
            <w:r>
              <w:t xml:space="preserve">Too many locals or arguments</w:t>
            </w:r>
          </w:p>
        </w:tc>
      </w:tr>
      <w:tr>
        <w:tc>
          <w:tcPr/>
          <w:p>
            <w:pPr>
              <w:pStyle w:val="Compact"/>
            </w:pPr>
            <w:r>
              <w:t xml:space="preserve">1030</w:t>
            </w:r>
          </w:p>
        </w:tc>
        <w:tc>
          <w:tcPr/>
          <w:p>
            <w:pPr>
              <w:pStyle w:val="Compact"/>
            </w:pPr>
            <w:r>
              <w:t xml:space="preserve">0x800A0406</w:t>
            </w:r>
          </w:p>
        </w:tc>
        <w:tc>
          <w:tcPr/>
          <w:p>
            <w:pPr>
              <w:pStyle w:val="Compact"/>
            </w:pPr>
            <w:r>
              <w:t xml:space="preserve">Identifier too long</w:t>
            </w:r>
          </w:p>
        </w:tc>
      </w:tr>
      <w:tr>
        <w:tc>
          <w:tcPr/>
          <w:p>
            <w:pPr>
              <w:pStyle w:val="Compact"/>
            </w:pPr>
            <w:r>
              <w:t xml:space="preserve">1031</w:t>
            </w:r>
          </w:p>
        </w:tc>
        <w:tc>
          <w:tcPr/>
          <w:p>
            <w:pPr>
              <w:pStyle w:val="Compact"/>
            </w:pPr>
            <w:r>
              <w:t xml:space="preserve">0x800A0407</w:t>
            </w:r>
          </w:p>
        </w:tc>
        <w:tc>
          <w:tcPr/>
          <w:p>
            <w:pPr>
              <w:pStyle w:val="Compact"/>
            </w:pPr>
            <w:r>
              <w:t xml:space="preserve">Invalid number</w:t>
            </w:r>
          </w:p>
        </w:tc>
      </w:tr>
      <w:tr>
        <w:tc>
          <w:tcPr/>
          <w:p>
            <w:pPr>
              <w:pStyle w:val="Compact"/>
            </w:pPr>
            <w:r>
              <w:t xml:space="preserve">1032</w:t>
            </w:r>
          </w:p>
        </w:tc>
        <w:tc>
          <w:tcPr/>
          <w:p>
            <w:pPr>
              <w:pStyle w:val="Compact"/>
            </w:pPr>
            <w:r>
              <w:t xml:space="preserve">0x800A0408</w:t>
            </w:r>
          </w:p>
        </w:tc>
        <w:tc>
          <w:tcPr/>
          <w:p>
            <w:pPr>
              <w:pStyle w:val="Compact"/>
            </w:pPr>
            <w:r>
              <w:t xml:space="preserve">Invalid character</w:t>
            </w:r>
          </w:p>
        </w:tc>
      </w:tr>
      <w:tr>
        <w:tc>
          <w:tcPr/>
          <w:p>
            <w:pPr>
              <w:pStyle w:val="Compact"/>
            </w:pPr>
            <w:r>
              <w:t xml:space="preserve">1033</w:t>
            </w:r>
          </w:p>
        </w:tc>
        <w:tc>
          <w:tcPr/>
          <w:p>
            <w:pPr>
              <w:pStyle w:val="Compact"/>
            </w:pPr>
            <w:r>
              <w:t xml:space="preserve">0x800A0409</w:t>
            </w:r>
          </w:p>
        </w:tc>
        <w:tc>
          <w:tcPr/>
          <w:p>
            <w:pPr>
              <w:pStyle w:val="Compact"/>
            </w:pPr>
            <w:r>
              <w:t xml:space="preserve">Unterminated string constant</w:t>
            </w:r>
          </w:p>
        </w:tc>
      </w:tr>
      <w:tr>
        <w:tc>
          <w:tcPr/>
          <w:p>
            <w:pPr>
              <w:pStyle w:val="Compact"/>
            </w:pPr>
            <w:r>
              <w:t xml:space="preserve">1034</w:t>
            </w:r>
          </w:p>
        </w:tc>
        <w:tc>
          <w:tcPr/>
          <w:p>
            <w:pPr>
              <w:pStyle w:val="Compact"/>
            </w:pPr>
            <w:r>
              <w:t xml:space="preserve">0x800A040A</w:t>
            </w:r>
          </w:p>
        </w:tc>
        <w:tc>
          <w:tcPr/>
          <w:p>
            <w:pPr>
              <w:pStyle w:val="Compact"/>
            </w:pPr>
            <w:r>
              <w:t xml:space="preserve">Unterminated comment</w:t>
            </w:r>
          </w:p>
        </w:tc>
      </w:tr>
      <w:tr>
        <w:tc>
          <w:tcPr/>
          <w:p>
            <w:pPr>
              <w:pStyle w:val="Compact"/>
            </w:pPr>
            <w:r>
              <w:t xml:space="preserve">1037</w:t>
            </w:r>
          </w:p>
        </w:tc>
        <w:tc>
          <w:tcPr/>
          <w:p>
            <w:pPr>
              <w:pStyle w:val="Compact"/>
            </w:pPr>
            <w:r>
              <w:t xml:space="preserve">0x800A040D</w:t>
            </w:r>
          </w:p>
        </w:tc>
        <w:tc>
          <w:tcPr/>
          <w:p>
            <w:pPr>
              <w:pStyle w:val="Compact"/>
            </w:pPr>
            <w:r>
              <w:t xml:space="preserve">Invalid use of</w:t>
            </w:r>
            <w:r>
              <w:t xml:space="preserve"> </w:t>
            </w:r>
            <w:r>
              <w:t xml:space="preserve">‘Me’</w:t>
            </w:r>
            <w:r>
              <w:t xml:space="preserve"> </w:t>
            </w:r>
            <w:r>
              <w:t xml:space="preserve">keyword</w:t>
            </w:r>
          </w:p>
        </w:tc>
      </w:tr>
      <w:tr>
        <w:tc>
          <w:tcPr/>
          <w:p>
            <w:pPr>
              <w:pStyle w:val="Compact"/>
            </w:pPr>
            <w:r>
              <w:t xml:space="preserve">1038</w:t>
            </w:r>
          </w:p>
        </w:tc>
        <w:tc>
          <w:tcPr/>
          <w:p>
            <w:pPr>
              <w:pStyle w:val="Compact"/>
            </w:pPr>
            <w:r>
              <w:t xml:space="preserve">0x800A040E</w:t>
            </w:r>
          </w:p>
        </w:tc>
        <w:tc>
          <w:tcPr/>
          <w:p>
            <w:pPr>
              <w:pStyle w:val="Compact"/>
            </w:pPr>
            <w:r>
              <w:t xml:space="preserve">‘Loop’</w:t>
            </w:r>
            <w:r>
              <w:t xml:space="preserve"> </w:t>
            </w:r>
            <w:r>
              <w:t xml:space="preserve">statement is missing</w:t>
            </w:r>
            <w:r>
              <w:t xml:space="preserve"> </w:t>
            </w:r>
            <w:r>
              <w:t xml:space="preserve">‘Do’</w:t>
            </w:r>
          </w:p>
        </w:tc>
      </w:tr>
      <w:tr>
        <w:tc>
          <w:tcPr/>
          <w:p>
            <w:pPr>
              <w:pStyle w:val="Compact"/>
            </w:pPr>
            <w:r>
              <w:t xml:space="preserve">1039</w:t>
            </w:r>
          </w:p>
        </w:tc>
        <w:tc>
          <w:tcPr/>
          <w:p>
            <w:pPr>
              <w:pStyle w:val="Compact"/>
            </w:pPr>
            <w:r>
              <w:t xml:space="preserve">0x800A040F</w:t>
            </w:r>
          </w:p>
        </w:tc>
        <w:tc>
          <w:tcPr/>
          <w:p>
            <w:pPr>
              <w:pStyle w:val="Compact"/>
            </w:pPr>
            <w:r>
              <w:t xml:space="preserve">Invalid</w:t>
            </w:r>
            <w:r>
              <w:t xml:space="preserve"> </w:t>
            </w:r>
            <w:r>
              <w:t xml:space="preserve">‘Exit’</w:t>
            </w:r>
            <w:r>
              <w:t xml:space="preserve"> </w:t>
            </w:r>
            <w:r>
              <w:t xml:space="preserve">statement</w:t>
            </w:r>
          </w:p>
        </w:tc>
      </w:tr>
      <w:tr>
        <w:tc>
          <w:tcPr/>
          <w:p>
            <w:pPr>
              <w:pStyle w:val="Compact"/>
            </w:pPr>
            <w:r>
              <w:t xml:space="preserve">1040</w:t>
            </w:r>
          </w:p>
        </w:tc>
        <w:tc>
          <w:tcPr/>
          <w:p>
            <w:pPr>
              <w:pStyle w:val="Compact"/>
            </w:pPr>
            <w:r>
              <w:t xml:space="preserve">0x800A0410</w:t>
            </w:r>
          </w:p>
        </w:tc>
        <w:tc>
          <w:tcPr/>
          <w:p>
            <w:pPr>
              <w:pStyle w:val="Compact"/>
            </w:pPr>
            <w:r>
              <w:t xml:space="preserve">Invalid</w:t>
            </w:r>
            <w:r>
              <w:t xml:space="preserve"> </w:t>
            </w:r>
            <w:r>
              <w:t xml:space="preserve">‘For’</w:t>
            </w:r>
            <w:r>
              <w:t xml:space="preserve"> </w:t>
            </w:r>
            <w:r>
              <w:t xml:space="preserve">loop control variable</w:t>
            </w:r>
          </w:p>
        </w:tc>
      </w:tr>
      <w:tr>
        <w:tc>
          <w:tcPr/>
          <w:p>
            <w:pPr>
              <w:pStyle w:val="Compact"/>
            </w:pPr>
            <w:r>
              <w:t xml:space="preserve">1041</w:t>
            </w:r>
          </w:p>
        </w:tc>
        <w:tc>
          <w:tcPr/>
          <w:p>
            <w:pPr>
              <w:pStyle w:val="Compact"/>
            </w:pPr>
            <w:r>
              <w:t xml:space="preserve">0x800A0411</w:t>
            </w:r>
          </w:p>
        </w:tc>
        <w:tc>
          <w:tcPr/>
          <w:p>
            <w:pPr>
              <w:pStyle w:val="Compact"/>
            </w:pPr>
            <w:r>
              <w:t xml:space="preserve">Name redefined</w:t>
            </w:r>
          </w:p>
        </w:tc>
      </w:tr>
      <w:tr>
        <w:tc>
          <w:tcPr/>
          <w:p>
            <w:pPr>
              <w:pStyle w:val="Compact"/>
            </w:pPr>
            <w:r>
              <w:t xml:space="preserve">1042</w:t>
            </w:r>
          </w:p>
        </w:tc>
        <w:tc>
          <w:tcPr/>
          <w:p>
            <w:pPr>
              <w:pStyle w:val="Compact"/>
            </w:pPr>
            <w:r>
              <w:t xml:space="preserve">0x800A0412</w:t>
            </w:r>
          </w:p>
        </w:tc>
        <w:tc>
          <w:tcPr/>
          <w:p>
            <w:pPr>
              <w:pStyle w:val="Compact"/>
            </w:pPr>
            <w:r>
              <w:t xml:space="preserve">Must be the first statement on the line</w:t>
            </w:r>
          </w:p>
        </w:tc>
      </w:tr>
      <w:tr>
        <w:tc>
          <w:tcPr/>
          <w:p>
            <w:pPr>
              <w:pStyle w:val="Compact"/>
            </w:pPr>
            <w:r>
              <w:t xml:space="preserve">1043</w:t>
            </w:r>
          </w:p>
        </w:tc>
        <w:tc>
          <w:tcPr/>
          <w:p>
            <w:pPr>
              <w:pStyle w:val="Compact"/>
            </w:pPr>
            <w:r>
              <w:t xml:space="preserve">0x800A0413</w:t>
            </w:r>
          </w:p>
        </w:tc>
        <w:tc>
          <w:tcPr/>
          <w:p>
            <w:pPr>
              <w:pStyle w:val="Compact"/>
            </w:pPr>
            <w:r>
              <w:t xml:space="preserve">Cannot be assigned to non-ByVal argument</w:t>
            </w:r>
          </w:p>
        </w:tc>
      </w:tr>
      <w:tr>
        <w:tc>
          <w:tcPr/>
          <w:p>
            <w:pPr>
              <w:pStyle w:val="Compact"/>
            </w:pPr>
            <w:r>
              <w:t xml:space="preserve">1044</w:t>
            </w:r>
          </w:p>
        </w:tc>
        <w:tc>
          <w:tcPr/>
          <w:p>
            <w:pPr>
              <w:pStyle w:val="Compact"/>
            </w:pPr>
            <w:r>
              <w:t xml:space="preserve">0x800A0414</w:t>
            </w:r>
          </w:p>
        </w:tc>
        <w:tc>
          <w:tcPr/>
          <w:p>
            <w:pPr>
              <w:pStyle w:val="Compact"/>
            </w:pPr>
            <w:r>
              <w:t xml:space="preserve">Cannot use parentheses when calling Sub</w:t>
            </w:r>
          </w:p>
        </w:tc>
      </w:tr>
      <w:tr>
        <w:tc>
          <w:tcPr/>
          <w:p>
            <w:pPr>
              <w:pStyle w:val="Compact"/>
            </w:pPr>
            <w:r>
              <w:t xml:space="preserve">1045</w:t>
            </w:r>
          </w:p>
        </w:tc>
        <w:tc>
          <w:tcPr/>
          <w:p>
            <w:pPr>
              <w:pStyle w:val="Compact"/>
            </w:pPr>
            <w:r>
              <w:t xml:space="preserve">0x800A0415</w:t>
            </w:r>
          </w:p>
        </w:tc>
        <w:tc>
          <w:tcPr/>
          <w:p>
            <w:pPr>
              <w:pStyle w:val="Compact"/>
            </w:pPr>
            <w:r>
              <w:t xml:space="preserve">Requires a literal constant</w:t>
            </w:r>
          </w:p>
        </w:tc>
      </w:tr>
      <w:tr>
        <w:tc>
          <w:tcPr/>
          <w:p>
            <w:pPr>
              <w:pStyle w:val="Compact"/>
            </w:pPr>
            <w:r>
              <w:t xml:space="preserve">1046</w:t>
            </w:r>
          </w:p>
        </w:tc>
        <w:tc>
          <w:tcPr/>
          <w:p>
            <w:pPr>
              <w:pStyle w:val="Compact"/>
            </w:pPr>
            <w:r>
              <w:t xml:space="preserve">0x800A0416</w:t>
            </w:r>
          </w:p>
        </w:tc>
        <w:tc>
          <w:tcPr/>
          <w:p>
            <w:pPr>
              <w:pStyle w:val="Compact"/>
            </w:pPr>
            <w:r>
              <w:t xml:space="preserve">Missing</w:t>
            </w:r>
            <w:r>
              <w:t xml:space="preserve"> </w:t>
            </w:r>
            <w:r>
              <w:t xml:space="preserve">‘In’</w:t>
            </w:r>
          </w:p>
        </w:tc>
      </w:tr>
      <w:tr>
        <w:tc>
          <w:tcPr/>
          <w:p>
            <w:pPr>
              <w:pStyle w:val="Compact"/>
            </w:pPr>
            <w:r>
              <w:t xml:space="preserve">1047</w:t>
            </w:r>
          </w:p>
        </w:tc>
        <w:tc>
          <w:tcPr/>
          <w:p>
            <w:pPr>
              <w:pStyle w:val="Compact"/>
            </w:pPr>
            <w:r>
              <w:t xml:space="preserve">0x800A0417</w:t>
            </w:r>
          </w:p>
        </w:tc>
        <w:tc>
          <w:tcPr/>
          <w:p>
            <w:pPr>
              <w:pStyle w:val="Compact"/>
            </w:pPr>
            <w:r>
              <w:t xml:space="preserve">Missing</w:t>
            </w:r>
            <w:r>
              <w:t xml:space="preserve"> </w:t>
            </w:r>
            <w:r>
              <w:t xml:space="preserve">‘Class’</w:t>
            </w:r>
          </w:p>
        </w:tc>
      </w:tr>
      <w:tr>
        <w:tc>
          <w:tcPr/>
          <w:p>
            <w:pPr>
              <w:pStyle w:val="Compact"/>
            </w:pPr>
            <w:r>
              <w:t xml:space="preserve">1048</w:t>
            </w:r>
          </w:p>
        </w:tc>
        <w:tc>
          <w:tcPr/>
          <w:p>
            <w:pPr>
              <w:pStyle w:val="Compact"/>
            </w:pPr>
            <w:r>
              <w:t xml:space="preserve">0x800A0418</w:t>
            </w:r>
          </w:p>
        </w:tc>
        <w:tc>
          <w:tcPr/>
          <w:p>
            <w:pPr>
              <w:pStyle w:val="Compact"/>
            </w:pPr>
            <w:r>
              <w:t xml:space="preserve">Must be inside a class definition</w:t>
            </w:r>
          </w:p>
        </w:tc>
      </w:tr>
      <w:tr>
        <w:tc>
          <w:tcPr/>
          <w:p>
            <w:pPr>
              <w:pStyle w:val="Compact"/>
            </w:pPr>
            <w:r>
              <w:t xml:space="preserve">1049</w:t>
            </w:r>
          </w:p>
        </w:tc>
        <w:tc>
          <w:tcPr/>
          <w:p>
            <w:pPr>
              <w:pStyle w:val="Compact"/>
            </w:pPr>
            <w:r>
              <w:t xml:space="preserve">0x800A0419</w:t>
            </w:r>
          </w:p>
        </w:tc>
        <w:tc>
          <w:tcPr/>
          <w:p>
            <w:pPr>
              <w:pStyle w:val="Compact"/>
            </w:pPr>
            <w:r>
              <w:t xml:space="preserve">Missing Let, Set, or Get in property declaration</w:t>
            </w:r>
          </w:p>
        </w:tc>
      </w:tr>
      <w:tr>
        <w:tc>
          <w:tcPr/>
          <w:p>
            <w:pPr>
              <w:pStyle w:val="Compact"/>
            </w:pPr>
            <w:r>
              <w:t xml:space="preserve">1050</w:t>
            </w:r>
          </w:p>
        </w:tc>
        <w:tc>
          <w:tcPr/>
          <w:p>
            <w:pPr>
              <w:pStyle w:val="Compact"/>
            </w:pPr>
            <w:r>
              <w:t xml:space="preserve">0x800A041A</w:t>
            </w:r>
          </w:p>
        </w:tc>
        <w:tc>
          <w:tcPr/>
          <w:p>
            <w:pPr>
              <w:pStyle w:val="Compact"/>
            </w:pPr>
            <w:r>
              <w:t xml:space="preserve">Missing</w:t>
            </w:r>
            <w:r>
              <w:t xml:space="preserve"> </w:t>
            </w:r>
            <w:r>
              <w:t xml:space="preserve">‘Property’</w:t>
            </w:r>
          </w:p>
        </w:tc>
      </w:tr>
      <w:tr>
        <w:tc>
          <w:tcPr/>
          <w:p>
            <w:pPr>
              <w:pStyle w:val="Compact"/>
            </w:pPr>
            <w:r>
              <w:t xml:space="preserve">1051</w:t>
            </w:r>
          </w:p>
        </w:tc>
        <w:tc>
          <w:tcPr/>
          <w:p>
            <w:pPr>
              <w:pStyle w:val="Compact"/>
            </w:pPr>
            <w:r>
              <w:t xml:space="preserve">0x800A041B</w:t>
            </w:r>
          </w:p>
        </w:tc>
        <w:tc>
          <w:tcPr/>
          <w:p>
            <w:pPr>
              <w:pStyle w:val="Compact"/>
            </w:pPr>
            <w:r>
              <w:t xml:space="preserve">The number of parameters must be consistent with the attribute description</w:t>
            </w:r>
          </w:p>
        </w:tc>
      </w:tr>
      <w:tr>
        <w:tc>
          <w:tcPr/>
          <w:p>
            <w:pPr>
              <w:pStyle w:val="Compact"/>
            </w:pPr>
            <w:r>
              <w:t xml:space="preserve">1052</w:t>
            </w:r>
          </w:p>
        </w:tc>
        <w:tc>
          <w:tcPr/>
          <w:p>
            <w:pPr>
              <w:pStyle w:val="Compact"/>
            </w:pPr>
            <w:r>
              <w:t xml:space="preserve">0x800A041C</w:t>
            </w:r>
          </w:p>
        </w:tc>
        <w:tc>
          <w:tcPr/>
          <w:p>
            <w:pPr>
              <w:pStyle w:val="Compact"/>
            </w:pPr>
            <w:r>
              <w:t xml:space="preserve">Cannot have more than one default attribute/method in a class</w:t>
            </w:r>
          </w:p>
        </w:tc>
      </w:tr>
      <w:tr>
        <w:tc>
          <w:tcPr/>
          <w:p>
            <w:pPr>
              <w:pStyle w:val="Compact"/>
            </w:pPr>
            <w:r>
              <w:t xml:space="preserve">1053</w:t>
            </w:r>
          </w:p>
        </w:tc>
        <w:tc>
          <w:tcPr/>
          <w:p>
            <w:pPr>
              <w:pStyle w:val="Compact"/>
            </w:pPr>
            <w:r>
              <w:t xml:space="preserve">0x800A041D</w:t>
            </w:r>
          </w:p>
        </w:tc>
        <w:tc>
          <w:tcPr/>
          <w:p>
            <w:pPr>
              <w:pStyle w:val="Compact"/>
            </w:pPr>
            <w:r>
              <w:t xml:space="preserve">Class Initialize or Terminate does not have arguments</w:t>
            </w:r>
          </w:p>
        </w:tc>
      </w:tr>
      <w:tr>
        <w:tc>
          <w:tcPr/>
          <w:p>
            <w:pPr>
              <w:pStyle w:val="Compact"/>
            </w:pPr>
            <w:r>
              <w:t xml:space="preserve">1054</w:t>
            </w:r>
          </w:p>
        </w:tc>
        <w:tc>
          <w:tcPr/>
          <w:p>
            <w:pPr>
              <w:pStyle w:val="Compact"/>
            </w:pPr>
            <w:r>
              <w:t xml:space="preserve">0x800A041E</w:t>
            </w:r>
          </w:p>
        </w:tc>
        <w:tc>
          <w:tcPr/>
          <w:p>
            <w:pPr>
              <w:pStyle w:val="Compact"/>
            </w:pPr>
            <w:r>
              <w:t xml:space="preserve">Property Set or Let must have at least one parameter</w:t>
            </w:r>
          </w:p>
        </w:tc>
      </w:tr>
      <w:tr>
        <w:tc>
          <w:tcPr/>
          <w:p>
            <w:pPr>
              <w:pStyle w:val="Compact"/>
            </w:pPr>
            <w:r>
              <w:t xml:space="preserve">1055</w:t>
            </w:r>
          </w:p>
        </w:tc>
        <w:tc>
          <w:tcPr/>
          <w:p>
            <w:pPr>
              <w:pStyle w:val="Compact"/>
            </w:pPr>
            <w:r>
              <w:t xml:space="preserve">0x800A041F</w:t>
            </w:r>
          </w:p>
        </w:tc>
        <w:tc>
          <w:tcPr/>
          <w:p>
            <w:pPr>
              <w:pStyle w:val="Compact"/>
            </w:pPr>
            <w:r>
              <w:t xml:space="preserve">Error at</w:t>
            </w:r>
            <w:r>
              <w:t xml:space="preserve"> </w:t>
            </w:r>
            <w:r>
              <w:t xml:space="preserve">‘Next’</w:t>
            </w:r>
          </w:p>
        </w:tc>
      </w:tr>
      <w:tr>
        <w:tc>
          <w:tcPr/>
          <w:p>
            <w:pPr>
              <w:pStyle w:val="Compact"/>
            </w:pPr>
            <w:r>
              <w:t xml:space="preserve">1056</w:t>
            </w:r>
          </w:p>
        </w:tc>
        <w:tc>
          <w:tcPr/>
          <w:p>
            <w:pPr>
              <w:pStyle w:val="Compact"/>
            </w:pPr>
            <w:r>
              <w:t xml:space="preserve">0x800A0420</w:t>
            </w:r>
          </w:p>
        </w:tc>
        <w:tc>
          <w:tcPr/>
          <w:p>
            <w:pPr>
              <w:pStyle w:val="Compact"/>
            </w:pPr>
            <w:r>
              <w:t xml:space="preserve">‘Default’</w:t>
            </w:r>
            <w:r>
              <w:t xml:space="preserve"> </w:t>
            </w:r>
            <w:r>
              <w:t xml:space="preserve">can only be on</w:t>
            </w:r>
            <w:r>
              <w:t xml:space="preserve"> </w:t>
            </w:r>
            <w:r>
              <w:t xml:space="preserve">‘Property’</w:t>
            </w:r>
            <w:r>
              <w:t xml:space="preserve">,</w:t>
            </w:r>
            <w:r>
              <w:t xml:space="preserve"> </w:t>
            </w:r>
            <w:r>
              <w:t xml:space="preserve">‘Function’</w:t>
            </w:r>
            <w:r>
              <w:t xml:space="preserve">, or</w:t>
            </w:r>
            <w:r>
              <w:t xml:space="preserve"> </w:t>
            </w:r>
            <w:r>
              <w:t xml:space="preserve">‘Sub’</w:t>
            </w:r>
          </w:p>
        </w:tc>
      </w:tr>
      <w:tr>
        <w:tc>
          <w:tcPr/>
          <w:p>
            <w:pPr>
              <w:pStyle w:val="Compact"/>
            </w:pPr>
            <w:r>
              <w:t xml:space="preserve">1057</w:t>
            </w:r>
          </w:p>
        </w:tc>
        <w:tc>
          <w:tcPr/>
          <w:p>
            <w:pPr>
              <w:pStyle w:val="Compact"/>
            </w:pPr>
            <w:r>
              <w:t xml:space="preserve">0x800A0421</w:t>
            </w:r>
          </w:p>
        </w:tc>
        <w:tc>
          <w:tcPr/>
          <w:p>
            <w:pPr>
              <w:pStyle w:val="Compact"/>
            </w:pPr>
            <w:r>
              <w:t xml:space="preserve">‘Default’</w:t>
            </w:r>
            <w:r>
              <w:t xml:space="preserve"> </w:t>
            </w:r>
            <w:r>
              <w:t xml:space="preserve">must also specify</w:t>
            </w:r>
            <w:r>
              <w:t xml:space="preserve"> </w:t>
            </w:r>
            <w:r>
              <w:t xml:space="preserve">‘Public’</w:t>
            </w:r>
          </w:p>
        </w:tc>
      </w:tr>
      <w:tr>
        <w:tc>
          <w:tcPr/>
          <w:p>
            <w:pPr>
              <w:pStyle w:val="Compact"/>
            </w:pPr>
            <w:r>
              <w:t xml:space="preserve">1058</w:t>
            </w:r>
          </w:p>
        </w:tc>
        <w:tc>
          <w:tcPr/>
          <w:p>
            <w:pPr>
              <w:pStyle w:val="Compact"/>
            </w:pPr>
            <w:r>
              <w:t xml:space="preserve">0x800A0422</w:t>
            </w:r>
          </w:p>
        </w:tc>
        <w:tc>
          <w:tcPr/>
          <w:p>
            <w:pPr>
              <w:pStyle w:val="Compact"/>
            </w:pPr>
            <w:r>
              <w:t xml:space="preserve">Can only specify</w:t>
            </w:r>
            <w:r>
              <w:t xml:space="preserve"> </w:t>
            </w:r>
            <w:r>
              <w:t xml:space="preserve">‘Default’</w:t>
            </w:r>
            <w:r>
              <w:t xml:space="preserve"> </w:t>
            </w:r>
            <w:r>
              <w:t xml:space="preserve">on Property Get</w:t>
            </w:r>
          </w:p>
        </w:tc>
      </w:tr>
    </w:tbl>
    <w:bookmarkEnd w:id="337"/>
    <w:bookmarkStart w:id="338" w:name="regular-expression-errors"/>
    <w:p>
      <w:pPr>
        <w:pStyle w:val="Heading3"/>
      </w:pPr>
      <w:r>
        <w:t xml:space="preserve">Regular Expression Errors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Decimal</w:t>
            </w:r>
          </w:p>
        </w:tc>
        <w:tc>
          <w:tcPr/>
          <w:p>
            <w:pPr>
              <w:pStyle w:val="Compact"/>
            </w:pPr>
            <w:r>
              <w:t xml:space="preserve">Hex (HRESULT)</w:t>
            </w:r>
          </w:p>
        </w:tc>
        <w:tc>
          <w:tcPr/>
          <w:p>
            <w:pPr>
              <w:pStyle w:val="Compact"/>
            </w:pPr>
            <w:r>
              <w:t xml:space="preserve">Description</w:t>
            </w:r>
          </w:p>
        </w:tc>
      </w:tr>
      <w:tr>
        <w:tc>
          <w:tcPr/>
          <w:p>
            <w:pPr>
              <w:pStyle w:val="Compact"/>
            </w:pPr>
            <w:r>
              <w:t xml:space="preserve">5016</w:t>
            </w:r>
          </w:p>
        </w:tc>
        <w:tc>
          <w:tcPr/>
          <w:p>
            <w:pPr>
              <w:pStyle w:val="Compact"/>
            </w:pPr>
            <w:r>
              <w:t xml:space="preserve">0x800A1398</w:t>
            </w:r>
          </w:p>
        </w:tc>
        <w:tc>
          <w:tcPr/>
          <w:p>
            <w:pPr>
              <w:pStyle w:val="Compact"/>
            </w:pPr>
            <w:r>
              <w:t xml:space="preserve">Requires a regular expression object</w:t>
            </w:r>
          </w:p>
        </w:tc>
      </w:tr>
      <w:tr>
        <w:tc>
          <w:tcPr/>
          <w:p>
            <w:pPr>
              <w:pStyle w:val="Compact"/>
            </w:pPr>
            <w:r>
              <w:t xml:space="preserve">5017</w:t>
            </w:r>
          </w:p>
        </w:tc>
        <w:tc>
          <w:tcPr/>
          <w:p>
            <w:pPr>
              <w:pStyle w:val="Compact"/>
            </w:pPr>
            <w:r>
              <w:t xml:space="preserve">0x800A1399</w:t>
            </w:r>
          </w:p>
        </w:tc>
        <w:tc>
          <w:tcPr/>
          <w:p>
            <w:pPr>
              <w:pStyle w:val="Compact"/>
            </w:pPr>
            <w:r>
              <w:t xml:space="preserve">Regular expression syntax error</w:t>
            </w:r>
          </w:p>
        </w:tc>
      </w:tr>
      <w:tr>
        <w:tc>
          <w:tcPr/>
          <w:p>
            <w:pPr>
              <w:pStyle w:val="Compact"/>
            </w:pPr>
            <w:r>
              <w:t xml:space="preserve">5018</w:t>
            </w:r>
          </w:p>
        </w:tc>
        <w:tc>
          <w:tcPr/>
          <w:p>
            <w:pPr>
              <w:pStyle w:val="Compact"/>
            </w:pPr>
            <w:r>
              <w:t xml:space="preserve">0x800A139A</w:t>
            </w:r>
          </w:p>
        </w:tc>
        <w:tc>
          <w:tcPr/>
          <w:p>
            <w:pPr>
              <w:pStyle w:val="Compact"/>
            </w:pPr>
            <w:r>
              <w:t xml:space="preserve">The number of words error</w:t>
            </w:r>
          </w:p>
        </w:tc>
      </w:tr>
      <w:tr>
        <w:tc>
          <w:tcPr/>
          <w:p>
            <w:pPr>
              <w:pStyle w:val="Compact"/>
            </w:pPr>
            <w:r>
              <w:t xml:space="preserve">5019</w:t>
            </w:r>
          </w:p>
        </w:tc>
        <w:tc>
          <w:tcPr/>
          <w:p>
            <w:pPr>
              <w:pStyle w:val="Compact"/>
            </w:pPr>
            <w:r>
              <w:t xml:space="preserve">0x800A139B</w:t>
            </w:r>
          </w:p>
        </w:tc>
        <w:tc>
          <w:tcPr/>
          <w:p>
            <w:pPr>
              <w:pStyle w:val="Compact"/>
            </w:pPr>
            <w:r>
              <w:t xml:space="preserve">Regular expression is missing</w:t>
            </w:r>
            <w:r>
              <w:t xml:space="preserve"> </w:t>
            </w:r>
            <w:r>
              <w:t xml:space="preserve">‘]’</w:t>
            </w:r>
          </w:p>
        </w:tc>
      </w:tr>
      <w:tr>
        <w:tc>
          <w:tcPr/>
          <w:p>
            <w:pPr>
              <w:pStyle w:val="Compact"/>
            </w:pPr>
            <w:r>
              <w:t xml:space="preserve">5020</w:t>
            </w:r>
          </w:p>
        </w:tc>
        <w:tc>
          <w:tcPr/>
          <w:p>
            <w:pPr>
              <w:pStyle w:val="Compact"/>
            </w:pPr>
            <w:r>
              <w:t xml:space="preserve">0x800A139C</w:t>
            </w:r>
          </w:p>
        </w:tc>
        <w:tc>
          <w:tcPr/>
          <w:p>
            <w:pPr>
              <w:pStyle w:val="Compact"/>
            </w:pPr>
            <w:r>
              <w:t xml:space="preserve">Regular expression is missing</w:t>
            </w:r>
            <w:r>
              <w:t xml:space="preserve"> </w:t>
            </w:r>
            <w:r>
              <w:t xml:space="preserve">‘)’</w:t>
            </w:r>
          </w:p>
        </w:tc>
      </w:tr>
      <w:tr>
        <w:tc>
          <w:tcPr/>
          <w:p>
            <w:pPr>
              <w:pStyle w:val="Compact"/>
            </w:pPr>
            <w:r>
              <w:t xml:space="preserve">5021</w:t>
            </w:r>
          </w:p>
        </w:tc>
        <w:tc>
          <w:tcPr/>
          <w:p>
            <w:pPr>
              <w:pStyle w:val="Compact"/>
            </w:pPr>
            <w:r>
              <w:t xml:space="preserve">0x800A139D</w:t>
            </w:r>
          </w:p>
        </w:tc>
        <w:tc>
          <w:tcPr/>
          <w:p>
            <w:pPr>
              <w:pStyle w:val="Compact"/>
            </w:pPr>
            <w:r>
              <w:t xml:space="preserve">Character set cross-border</w:t>
            </w:r>
          </w:p>
        </w:tc>
      </w:tr>
    </w:tbl>
    <w:bookmarkEnd w:id="338"/>
    <w:bookmarkStart w:id="339" w:name="special-and-locale-errors"/>
    <w:p>
      <w:pPr>
        <w:pStyle w:val="Heading3"/>
      </w:pPr>
      <w:r>
        <w:t xml:space="preserve">Special and Locale Errors</w:t>
      </w:r>
    </w:p>
    <w:tbl>
      <w:tblPr>
        <w:tblStyle w:val="Table"/>
        <w:tblW w:type="pct" w:w="5000"/>
        <w:tblLayout w:type="fixed"/>
        <w:tblLook w:firstRow="1" w:lastRow="0" w:firstColumn="0" w:lastColumn="0" w:noHBand="0" w:noVBand="0" w:val="0020"/>
      </w:tblPr>
      <w:tblGrid>
        <w:gridCol w:w="1926"/>
        <w:gridCol w:w="3210"/>
        <w:gridCol w:w="2782"/>
      </w:tblGrid>
      <w:tr>
        <w:trPr>
          <w:tblHeader w:val="on"/>
        </w:trPr>
        <w:tc>
          <w:tcPr/>
          <w:p>
            <w:pPr>
              <w:pStyle w:val="Compact"/>
            </w:pPr>
            <w:r>
              <w:t xml:space="preserve">Decimal</w:t>
            </w:r>
          </w:p>
        </w:tc>
        <w:tc>
          <w:tcPr/>
          <w:p>
            <w:pPr>
              <w:pStyle w:val="Compact"/>
            </w:pPr>
            <w:r>
              <w:t xml:space="preserve">Hex (HRESULT)</w:t>
            </w:r>
          </w:p>
        </w:tc>
        <w:tc>
          <w:tcPr/>
          <w:p>
            <w:pPr>
              <w:pStyle w:val="Compact"/>
            </w:pPr>
            <w:r>
              <w:t xml:space="preserve">Description</w:t>
            </w:r>
          </w:p>
        </w:tc>
      </w:tr>
      <w:tr>
        <w:tc>
          <w:tcPr/>
          <w:p>
            <w:pPr>
              <w:pStyle w:val="Compact"/>
            </w:pPr>
            <w:r>
              <w:t xml:space="preserve">32766</w:t>
            </w:r>
          </w:p>
        </w:tc>
        <w:tc>
          <w:tcPr/>
          <w:p>
            <w:pPr>
              <w:pStyle w:val="Compact"/>
            </w:pPr>
            <w:r>
              <w:t xml:space="preserve">0x800A7FFE</w:t>
            </w:r>
          </w:p>
        </w:tc>
        <w:tc>
          <w:tcPr/>
          <w:p>
            <w:pPr>
              <w:pStyle w:val="Compact"/>
            </w:pPr>
            <w:r>
              <w:t xml:space="preserve">True</w:t>
            </w:r>
          </w:p>
        </w:tc>
      </w:tr>
      <w:tr>
        <w:tc>
          <w:tcPr/>
          <w:p>
            <w:pPr>
              <w:pStyle w:val="Compact"/>
            </w:pPr>
            <w:r>
              <w:t xml:space="preserve">32767</w:t>
            </w:r>
          </w:p>
        </w:tc>
        <w:tc>
          <w:tcPr/>
          <w:p>
            <w:pPr>
              <w:pStyle w:val="Compact"/>
            </w:pPr>
            <w:r>
              <w:t xml:space="preserve">0x800A7FFF</w:t>
            </w:r>
          </w:p>
        </w:tc>
        <w:tc>
          <w:tcPr/>
          <w:p>
            <w:pPr>
              <w:pStyle w:val="Compact"/>
            </w:pPr>
            <w:r>
              <w:t xml:space="preserve">False</w:t>
            </w:r>
          </w:p>
        </w:tc>
      </w:tr>
      <w:tr>
        <w:tc>
          <w:tcPr/>
          <w:p>
            <w:pPr>
              <w:pStyle w:val="Compact"/>
            </w:pPr>
            <w:r>
              <w:t xml:space="preserve">32811</w:t>
            </w:r>
          </w:p>
        </w:tc>
        <w:tc>
          <w:tcPr/>
          <w:p>
            <w:pPr>
              <w:pStyle w:val="Compact"/>
            </w:pPr>
            <w:r>
              <w:t xml:space="preserve">0x800A802B</w:t>
            </w:r>
          </w:p>
        </w:tc>
        <w:tc>
          <w:tcPr/>
          <w:p>
            <w:pPr>
              <w:pStyle w:val="Compact"/>
            </w:pPr>
            <w:r>
              <w:t xml:space="preserve">Element was not found</w:t>
            </w:r>
          </w:p>
        </w:tc>
      </w:tr>
      <w:tr>
        <w:tc>
          <w:tcPr/>
          <w:p>
            <w:pPr>
              <w:pStyle w:val="Compact"/>
            </w:pPr>
            <w:r>
              <w:t xml:space="preserve">32812</w:t>
            </w:r>
          </w:p>
        </w:tc>
        <w:tc>
          <w:tcPr/>
          <w:p>
            <w:pPr>
              <w:pStyle w:val="Compact"/>
            </w:pPr>
            <w:r>
              <w:t xml:space="preserve">0x800A802C</w:t>
            </w:r>
          </w:p>
        </w:tc>
        <w:tc>
          <w:tcPr/>
          <w:p>
            <w:pPr>
              <w:pStyle w:val="Compact"/>
            </w:pPr>
            <w:r>
              <w:t xml:space="preserve">The specified date is not available in the current locale’s calendar</w:t>
            </w:r>
          </w:p>
        </w:tc>
      </w:tr>
    </w:tbl>
    <w:bookmarkEnd w:id="339"/>
    <w:bookmarkEnd w:id="340"/>
    <w:bookmarkStart w:id="341" w:name="remarks-14"/>
    <w:p>
      <w:pPr>
        <w:pStyle w:val="Heading2"/>
      </w:pPr>
      <w:r>
        <w:t xml:space="preserve">Remarks</w:t>
      </w:r>
    </w:p>
    <w:p>
      <w:pPr>
        <w:pStyle w:val="Compact"/>
        <w:numPr>
          <w:ilvl w:val="0"/>
          <w:numId w:val="1129"/>
        </w:numPr>
      </w:pPr>
      <w:r>
        <w:rPr>
          <w:b/>
          <w:bCs/>
        </w:rPr>
        <w:t xml:space="preserve">AxonASP error codes</w:t>
      </w:r>
      <w:r>
        <w:t xml:space="preserve"> </w:t>
      </w:r>
      <w:r>
        <w:t xml:space="preserve">are defined in</w:t>
      </w:r>
      <w:r>
        <w:t xml:space="preserve"> </w:t>
      </w:r>
      <w:r>
        <w:rPr>
          <w:rStyle w:val="VerbatimChar"/>
        </w:rPr>
        <w:t xml:space="preserve">axonvm/axonvmerrorcodes.go</w:t>
      </w:r>
      <w:r>
        <w:t xml:space="preserve">. They are not accessible via</w:t>
      </w:r>
      <w:r>
        <w:t xml:space="preserve"> </w:t>
      </w:r>
      <w:r>
        <w:rPr>
          <w:rStyle w:val="VerbatimChar"/>
        </w:rPr>
        <w:t xml:space="preserve">Err.Number</w:t>
      </w:r>
      <w:r>
        <w:t xml:space="preserve"> </w:t>
      </w:r>
      <w:r>
        <w:t xml:space="preserve">inside an ASP script. They surface in server log output, error page responses, and the</w:t>
      </w:r>
      <w:r>
        <w:t xml:space="preserve"> </w:t>
      </w:r>
      <w:r>
        <w:rPr>
          <w:rStyle w:val="VerbatimChar"/>
        </w:rPr>
        <w:t xml:space="preserve">ASPError</w:t>
      </w:r>
      <w:r>
        <w:t xml:space="preserve"> </w:t>
      </w:r>
      <w:r>
        <w:t xml:space="preserve">object when the engine itself encounters a platform-level failure before or after script execution.</w:t>
      </w:r>
    </w:p>
    <w:p>
      <w:pPr>
        <w:pStyle w:val="Compact"/>
        <w:numPr>
          <w:ilvl w:val="0"/>
          <w:numId w:val="1129"/>
        </w:numPr>
      </w:pPr>
      <w:r>
        <w:rPr>
          <w:b/>
          <w:bCs/>
        </w:rPr>
        <w:t xml:space="preserve">VBScript error codes</w:t>
      </w:r>
      <w:r>
        <w:t xml:space="preserve"> </w:t>
      </w:r>
      <w:r>
        <w:t xml:space="preserve">are defined in</w:t>
      </w:r>
      <w:r>
        <w:t xml:space="preserve"> </w:t>
      </w:r>
      <w:r>
        <w:rPr>
          <w:rStyle w:val="VerbatimChar"/>
        </w:rPr>
        <w:t xml:space="preserve">vbscript/vberrorcodes.go</w:t>
      </w:r>
      <w:r>
        <w:t xml:space="preserve">. They are raised during script execution and are directly accessible via</w:t>
      </w:r>
      <w:r>
        <w:t xml:space="preserve"> </w:t>
      </w:r>
      <w:r>
        <w:rPr>
          <w:rStyle w:val="VerbatimChar"/>
        </w:rPr>
        <w:t xml:space="preserve">Err.Number</w:t>
      </w:r>
      <w:r>
        <w:t xml:space="preserve"> </w:t>
      </w:r>
      <w:r>
        <w:t xml:space="preserve">and</w:t>
      </w:r>
      <w:r>
        <w:t xml:space="preserve"> </w:t>
      </w:r>
      <w:r>
        <w:rPr>
          <w:rStyle w:val="VerbatimChar"/>
        </w:rPr>
        <w:t xml:space="preserve">Err.Description</w:t>
      </w:r>
      <w:r>
        <w:t xml:space="preserve"> </w:t>
      </w:r>
      <w:r>
        <w:t xml:space="preserve">inside an</w:t>
      </w:r>
      <w:r>
        <w:t xml:space="preserve"> </w:t>
      </w:r>
      <w:r>
        <w:rPr>
          <w:rStyle w:val="VerbatimChar"/>
        </w:rPr>
        <w:t xml:space="preserve">On Error Resume Next</w:t>
      </w:r>
      <w:r>
        <w:t xml:space="preserve"> </w:t>
      </w:r>
      <w:r>
        <w:t xml:space="preserve">block.</w:t>
      </w:r>
    </w:p>
    <w:p>
      <w:pPr>
        <w:pStyle w:val="Compact"/>
        <w:numPr>
          <w:ilvl w:val="0"/>
          <w:numId w:val="1129"/>
        </w:numPr>
      </w:pPr>
      <w:r>
        <w:t xml:space="preserve">The HRESULT hexadecimal form of VBScript errors follows the standard COM convention:</w:t>
      </w:r>
      <w:r>
        <w:t xml:space="preserve"> </w:t>
      </w:r>
      <w:r>
        <w:rPr>
          <w:rStyle w:val="VerbatimChar"/>
        </w:rPr>
        <w:t xml:space="preserve">HRESULT = 0x800A0000 + decimal_code</w:t>
      </w:r>
      <w:r>
        <w:t xml:space="preserve">. This value is what COM-aware environments and some external debugging tools report. AxonASP itself always exposes the short decimal form through</w:t>
      </w:r>
      <w:r>
        <w:t xml:space="preserve"> </w:t>
      </w:r>
      <w:r>
        <w:rPr>
          <w:rStyle w:val="VerbatimChar"/>
        </w:rPr>
        <w:t xml:space="preserve">Err.Number</w:t>
      </w:r>
      <w:r>
        <w:t xml:space="preserve">.</w:t>
      </w:r>
    </w:p>
    <w:p>
      <w:pPr>
        <w:pStyle w:val="Compact"/>
        <w:numPr>
          <w:ilvl w:val="0"/>
          <w:numId w:val="1129"/>
        </w:numPr>
      </w:pPr>
      <w:r>
        <w:t xml:space="preserve">The error codes</w:t>
      </w:r>
      <w:r>
        <w:t xml:space="preserve"> </w:t>
      </w:r>
      <w:r>
        <w:rPr>
          <w:rStyle w:val="VerbatimChar"/>
        </w:rPr>
        <w:t xml:space="preserve">32766</w:t>
      </w:r>
      <w:r>
        <w:t xml:space="preserve"> </w:t>
      </w:r>
      <w:r>
        <w:t xml:space="preserve">(True) and</w:t>
      </w:r>
      <w:r>
        <w:t xml:space="preserve"> </w:t>
      </w:r>
      <w:r>
        <w:rPr>
          <w:rStyle w:val="VerbatimChar"/>
        </w:rPr>
        <w:t xml:space="preserve">32767</w:t>
      </w:r>
      <w:r>
        <w:t xml:space="preserve"> </w:t>
      </w:r>
      <w:r>
        <w:t xml:space="preserve">(False) are compatibility constants and are not raised as operational errors.</w:t>
      </w:r>
    </w:p>
    <w:p>
      <w:r>
        <w:pict>
          <v:rect style="width:0;height:1.5pt" o:hralign="center" o:hrstd="t" o:hr="t"/>
        </w:pict>
      </w:r>
    </w:p>
    <w:bookmarkEnd w:id="341"/>
    <w:bookmarkStart w:id="346" w:name="jscript-error-codes"/>
    <w:p>
      <w:pPr>
        <w:pStyle w:val="Heading2"/>
      </w:pPr>
      <w:r>
        <w:t xml:space="preserve">JScript Error Codes</w:t>
      </w:r>
    </w:p>
    <w:p>
      <w:pPr>
        <w:pStyle w:val="FirstParagraph"/>
      </w:pPr>
      <w:r>
        <w:t xml:space="preserve">The following codes are defined by the AxonASP JScript engine in</w:t>
      </w:r>
      <w:r>
        <w:t xml:space="preserve"> </w:t>
      </w:r>
      <w:r>
        <w:rPr>
          <w:rStyle w:val="VerbatimChar"/>
        </w:rPr>
        <w:t xml:space="preserve">jscript/jscripterrorcodes.go</w:t>
      </w:r>
      <w:r>
        <w:t xml:space="preserve">.</w:t>
      </w:r>
    </w:p>
    <w:bookmarkStart w:id="342" w:name="X9e88f15a4b12084748c7e22bae43027b5ad558e"/>
    <w:p>
      <w:pPr>
        <w:pStyle w:val="Heading3"/>
      </w:pPr>
      <w:r>
        <w:t xml:space="preserve">JScript Standard Runtime and Syntax Errors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Decimal</w:t>
            </w:r>
          </w:p>
        </w:tc>
        <w:tc>
          <w:tcPr/>
          <w:p>
            <w:pPr>
              <w:pStyle w:val="Compact"/>
            </w:pPr>
            <w:r>
              <w:t xml:space="preserve">Description</w:t>
            </w:r>
          </w:p>
        </w:tc>
      </w:tr>
      <w:tr>
        <w:tc>
          <w:tcPr/>
          <w:p>
            <w:pPr>
              <w:pStyle w:val="Compact"/>
            </w:pPr>
            <w:r>
              <w:t xml:space="preserve">5</w:t>
            </w:r>
          </w:p>
        </w:tc>
        <w:tc>
          <w:tcPr/>
          <w:p>
            <w:pPr>
              <w:pStyle w:val="Compact"/>
            </w:pPr>
            <w:r>
              <w:t xml:space="preserve">Invalid procedure call or argument</w:t>
            </w:r>
          </w:p>
        </w:tc>
      </w:tr>
      <w:tr>
        <w:tc>
          <w:tcPr/>
          <w:p>
            <w:pPr>
              <w:pStyle w:val="Compact"/>
            </w:pPr>
            <w:r>
              <w:t xml:space="preserve">6</w:t>
            </w:r>
          </w:p>
        </w:tc>
        <w:tc>
          <w:tcPr/>
          <w:p>
            <w:pPr>
              <w:pStyle w:val="Compact"/>
            </w:pPr>
            <w:r>
              <w:t xml:space="preserve">Overflow</w:t>
            </w:r>
          </w:p>
        </w:tc>
      </w:tr>
      <w:tr>
        <w:tc>
          <w:tcPr/>
          <w:p>
            <w:pPr>
              <w:pStyle w:val="Compact"/>
            </w:pPr>
            <w:r>
              <w:t xml:space="preserve">7</w:t>
            </w:r>
          </w:p>
        </w:tc>
        <w:tc>
          <w:tcPr/>
          <w:p>
            <w:pPr>
              <w:pStyle w:val="Compact"/>
            </w:pPr>
            <w:r>
              <w:t xml:space="preserve">Out of memory</w:t>
            </w:r>
          </w:p>
        </w:tc>
      </w:tr>
      <w:tr>
        <w:tc>
          <w:tcPr/>
          <w:p>
            <w:pPr>
              <w:pStyle w:val="Compact"/>
            </w:pPr>
            <w:r>
              <w:t xml:space="preserve">9</w:t>
            </w:r>
          </w:p>
        </w:tc>
        <w:tc>
          <w:tcPr/>
          <w:p>
            <w:pPr>
              <w:pStyle w:val="Compact"/>
            </w:pPr>
            <w:r>
              <w:t xml:space="preserve">Subscript out of range</w:t>
            </w:r>
          </w:p>
        </w:tc>
      </w:tr>
      <w:tr>
        <w:tc>
          <w:tcPr/>
          <w:p>
            <w:pPr>
              <w:pStyle w:val="Compact"/>
            </w:pPr>
            <w:r>
              <w:t xml:space="preserve">10</w:t>
            </w:r>
          </w:p>
        </w:tc>
        <w:tc>
          <w:tcPr/>
          <w:p>
            <w:pPr>
              <w:pStyle w:val="Compact"/>
            </w:pPr>
            <w:r>
              <w:t xml:space="preserve">This array is fixed or temporarily locked</w:t>
            </w:r>
          </w:p>
        </w:tc>
      </w:tr>
      <w:tr>
        <w:tc>
          <w:tcPr/>
          <w:p>
            <w:pPr>
              <w:pStyle w:val="Compact"/>
            </w:pPr>
            <w:r>
              <w:t xml:space="preserve">11</w:t>
            </w:r>
          </w:p>
        </w:tc>
        <w:tc>
          <w:tcPr/>
          <w:p>
            <w:pPr>
              <w:pStyle w:val="Compact"/>
            </w:pPr>
            <w:r>
              <w:t xml:space="preserve">Division by zero</w:t>
            </w:r>
          </w:p>
        </w:tc>
      </w:tr>
      <w:tr>
        <w:tc>
          <w:tcPr/>
          <w:p>
            <w:pPr>
              <w:pStyle w:val="Compact"/>
            </w:pPr>
            <w:r>
              <w:t xml:space="preserve">13</w:t>
            </w:r>
          </w:p>
        </w:tc>
        <w:tc>
          <w:tcPr/>
          <w:p>
            <w:pPr>
              <w:pStyle w:val="Compact"/>
            </w:pPr>
            <w:r>
              <w:t xml:space="preserve">Type mismatch</w:t>
            </w:r>
          </w:p>
        </w:tc>
      </w:tr>
      <w:tr>
        <w:tc>
          <w:tcPr/>
          <w:p>
            <w:pPr>
              <w:pStyle w:val="Compact"/>
            </w:pPr>
            <w:r>
              <w:t xml:space="preserve">14</w:t>
            </w:r>
          </w:p>
        </w:tc>
        <w:tc>
          <w:tcPr/>
          <w:p>
            <w:pPr>
              <w:pStyle w:val="Compact"/>
            </w:pPr>
            <w:r>
              <w:t xml:space="preserve">Out of string space</w:t>
            </w:r>
          </w:p>
        </w:tc>
      </w:tr>
      <w:tr>
        <w:tc>
          <w:tcPr/>
          <w:p>
            <w:pPr>
              <w:pStyle w:val="Compact"/>
            </w:pPr>
            <w:r>
              <w:t xml:space="preserve">17</w:t>
            </w:r>
          </w:p>
        </w:tc>
        <w:tc>
          <w:tcPr/>
          <w:p>
            <w:pPr>
              <w:pStyle w:val="Compact"/>
            </w:pPr>
            <w:r>
              <w:t xml:space="preserve">Can’t perform requested operation</w:t>
            </w:r>
          </w:p>
        </w:tc>
      </w:tr>
      <w:tr>
        <w:tc>
          <w:tcPr/>
          <w:p>
            <w:pPr>
              <w:pStyle w:val="Compact"/>
            </w:pPr>
            <w:r>
              <w:t xml:space="preserve">28</w:t>
            </w:r>
          </w:p>
        </w:tc>
        <w:tc>
          <w:tcPr/>
          <w:p>
            <w:pPr>
              <w:pStyle w:val="Compact"/>
            </w:pPr>
            <w:r>
              <w:t xml:space="preserve">Out of stack space</w:t>
            </w:r>
          </w:p>
        </w:tc>
      </w:tr>
      <w:tr>
        <w:tc>
          <w:tcPr/>
          <w:p>
            <w:pPr>
              <w:pStyle w:val="Compact"/>
            </w:pPr>
            <w:r>
              <w:t xml:space="preserve">35</w:t>
            </w:r>
          </w:p>
        </w:tc>
        <w:tc>
          <w:tcPr/>
          <w:p>
            <w:pPr>
              <w:pStyle w:val="Compact"/>
            </w:pPr>
            <w:r>
              <w:t xml:space="preserve">Sub or Function not defined</w:t>
            </w:r>
          </w:p>
        </w:tc>
      </w:tr>
      <w:tr>
        <w:tc>
          <w:tcPr/>
          <w:p>
            <w:pPr>
              <w:pStyle w:val="Compact"/>
            </w:pPr>
            <w:r>
              <w:t xml:space="preserve">48</w:t>
            </w:r>
          </w:p>
        </w:tc>
        <w:tc>
          <w:tcPr/>
          <w:p>
            <w:pPr>
              <w:pStyle w:val="Compact"/>
            </w:pPr>
            <w:r>
              <w:t xml:space="preserve">Error in loading DLL</w:t>
            </w:r>
          </w:p>
        </w:tc>
      </w:tr>
      <w:tr>
        <w:tc>
          <w:tcPr/>
          <w:p>
            <w:pPr>
              <w:pStyle w:val="Compact"/>
            </w:pPr>
            <w:r>
              <w:t xml:space="preserve">51</w:t>
            </w:r>
          </w:p>
        </w:tc>
        <w:tc>
          <w:tcPr/>
          <w:p>
            <w:pPr>
              <w:pStyle w:val="Compact"/>
            </w:pPr>
            <w:r>
              <w:t xml:space="preserve">Internal error</w:t>
            </w:r>
          </w:p>
        </w:tc>
      </w:tr>
      <w:tr>
        <w:tc>
          <w:tcPr/>
          <w:p>
            <w:pPr>
              <w:pStyle w:val="Compact"/>
            </w:pPr>
            <w:r>
              <w:t xml:space="preserve">52</w:t>
            </w:r>
          </w:p>
        </w:tc>
        <w:tc>
          <w:tcPr/>
          <w:p>
            <w:pPr>
              <w:pStyle w:val="Compact"/>
            </w:pPr>
            <w:r>
              <w:t xml:space="preserve">Bad file name or number</w:t>
            </w:r>
          </w:p>
        </w:tc>
      </w:tr>
      <w:tr>
        <w:tc>
          <w:tcPr/>
          <w:p>
            <w:pPr>
              <w:pStyle w:val="Compact"/>
            </w:pPr>
            <w:r>
              <w:t xml:space="preserve">53</w:t>
            </w:r>
          </w:p>
        </w:tc>
        <w:tc>
          <w:tcPr/>
          <w:p>
            <w:pPr>
              <w:pStyle w:val="Compact"/>
            </w:pPr>
            <w:r>
              <w:t xml:space="preserve">File not found</w:t>
            </w:r>
          </w:p>
        </w:tc>
      </w:tr>
      <w:tr>
        <w:tc>
          <w:tcPr/>
          <w:p>
            <w:pPr>
              <w:pStyle w:val="Compact"/>
            </w:pPr>
            <w:r>
              <w:t xml:space="preserve">54</w:t>
            </w:r>
          </w:p>
        </w:tc>
        <w:tc>
          <w:tcPr/>
          <w:p>
            <w:pPr>
              <w:pStyle w:val="Compact"/>
            </w:pPr>
            <w:r>
              <w:t xml:space="preserve">Bad file mode</w:t>
            </w:r>
          </w:p>
        </w:tc>
      </w:tr>
      <w:tr>
        <w:tc>
          <w:tcPr/>
          <w:p>
            <w:pPr>
              <w:pStyle w:val="Compact"/>
            </w:pPr>
            <w:r>
              <w:t xml:space="preserve">55</w:t>
            </w:r>
          </w:p>
        </w:tc>
        <w:tc>
          <w:tcPr/>
          <w:p>
            <w:pPr>
              <w:pStyle w:val="Compact"/>
            </w:pPr>
            <w:r>
              <w:t xml:space="preserve">File already open</w:t>
            </w:r>
          </w:p>
        </w:tc>
      </w:tr>
      <w:tr>
        <w:tc>
          <w:tcPr/>
          <w:p>
            <w:pPr>
              <w:pStyle w:val="Compact"/>
            </w:pPr>
            <w:r>
              <w:t xml:space="preserve">57</w:t>
            </w:r>
          </w:p>
        </w:tc>
        <w:tc>
          <w:tcPr/>
          <w:p>
            <w:pPr>
              <w:pStyle w:val="Compact"/>
            </w:pPr>
            <w:r>
              <w:t xml:space="preserve">Device I/O error</w:t>
            </w:r>
          </w:p>
        </w:tc>
      </w:tr>
      <w:tr>
        <w:tc>
          <w:tcPr/>
          <w:p>
            <w:pPr>
              <w:pStyle w:val="Compact"/>
            </w:pPr>
            <w:r>
              <w:t xml:space="preserve">58</w:t>
            </w:r>
          </w:p>
        </w:tc>
        <w:tc>
          <w:tcPr/>
          <w:p>
            <w:pPr>
              <w:pStyle w:val="Compact"/>
            </w:pPr>
            <w:r>
              <w:t xml:space="preserve">File already exists</w:t>
            </w:r>
          </w:p>
        </w:tc>
      </w:tr>
      <w:tr>
        <w:tc>
          <w:tcPr/>
          <w:p>
            <w:pPr>
              <w:pStyle w:val="Compact"/>
            </w:pPr>
            <w:r>
              <w:t xml:space="preserve">61</w:t>
            </w:r>
          </w:p>
        </w:tc>
        <w:tc>
          <w:tcPr/>
          <w:p>
            <w:pPr>
              <w:pStyle w:val="Compact"/>
            </w:pPr>
            <w:r>
              <w:t xml:space="preserve">Disk full</w:t>
            </w:r>
          </w:p>
        </w:tc>
      </w:tr>
      <w:tr>
        <w:tc>
          <w:tcPr/>
          <w:p>
            <w:pPr>
              <w:pStyle w:val="Compact"/>
            </w:pPr>
            <w:r>
              <w:t xml:space="preserve">62</w:t>
            </w:r>
          </w:p>
        </w:tc>
        <w:tc>
          <w:tcPr/>
          <w:p>
            <w:pPr>
              <w:pStyle w:val="Compact"/>
            </w:pPr>
            <w:r>
              <w:t xml:space="preserve">Input past end of file</w:t>
            </w:r>
          </w:p>
        </w:tc>
      </w:tr>
      <w:tr>
        <w:tc>
          <w:tcPr/>
          <w:p>
            <w:pPr>
              <w:pStyle w:val="Compact"/>
            </w:pPr>
            <w:r>
              <w:t xml:space="preserve">67</w:t>
            </w:r>
          </w:p>
        </w:tc>
        <w:tc>
          <w:tcPr/>
          <w:p>
            <w:pPr>
              <w:pStyle w:val="Compact"/>
            </w:pPr>
            <w:r>
              <w:t xml:space="preserve">Too many files</w:t>
            </w:r>
          </w:p>
        </w:tc>
      </w:tr>
      <w:tr>
        <w:tc>
          <w:tcPr/>
          <w:p>
            <w:pPr>
              <w:pStyle w:val="Compact"/>
            </w:pPr>
            <w:r>
              <w:t xml:space="preserve">68</w:t>
            </w:r>
          </w:p>
        </w:tc>
        <w:tc>
          <w:tcPr/>
          <w:p>
            <w:pPr>
              <w:pStyle w:val="Compact"/>
            </w:pPr>
            <w:r>
              <w:t xml:space="preserve">Device unavailable</w:t>
            </w:r>
          </w:p>
        </w:tc>
      </w:tr>
      <w:tr>
        <w:tc>
          <w:tcPr/>
          <w:p>
            <w:pPr>
              <w:pStyle w:val="Compact"/>
            </w:pPr>
            <w:r>
              <w:t xml:space="preserve">70</w:t>
            </w:r>
          </w:p>
        </w:tc>
        <w:tc>
          <w:tcPr/>
          <w:p>
            <w:pPr>
              <w:pStyle w:val="Compact"/>
            </w:pPr>
            <w:r>
              <w:t xml:space="preserve">Permission denied</w:t>
            </w:r>
          </w:p>
        </w:tc>
      </w:tr>
      <w:tr>
        <w:tc>
          <w:tcPr/>
          <w:p>
            <w:pPr>
              <w:pStyle w:val="Compact"/>
            </w:pPr>
            <w:r>
              <w:t xml:space="preserve">71</w:t>
            </w:r>
          </w:p>
        </w:tc>
        <w:tc>
          <w:tcPr/>
          <w:p>
            <w:pPr>
              <w:pStyle w:val="Compact"/>
            </w:pPr>
            <w:r>
              <w:t xml:space="preserve">Disk not ready</w:t>
            </w:r>
          </w:p>
        </w:tc>
      </w:tr>
      <w:tr>
        <w:tc>
          <w:tcPr/>
          <w:p>
            <w:pPr>
              <w:pStyle w:val="Compact"/>
            </w:pPr>
            <w:r>
              <w:t xml:space="preserve">74</w:t>
            </w:r>
          </w:p>
        </w:tc>
        <w:tc>
          <w:tcPr/>
          <w:p>
            <w:pPr>
              <w:pStyle w:val="Compact"/>
            </w:pPr>
            <w:r>
              <w:t xml:space="preserve">Can’t rename with different drive</w:t>
            </w:r>
          </w:p>
        </w:tc>
      </w:tr>
      <w:tr>
        <w:tc>
          <w:tcPr/>
          <w:p>
            <w:pPr>
              <w:pStyle w:val="Compact"/>
            </w:pPr>
            <w:r>
              <w:t xml:space="preserve">75</w:t>
            </w:r>
          </w:p>
        </w:tc>
        <w:tc>
          <w:tcPr/>
          <w:p>
            <w:pPr>
              <w:pStyle w:val="Compact"/>
            </w:pPr>
            <w:r>
              <w:t xml:space="preserve">Path/File access error</w:t>
            </w:r>
          </w:p>
        </w:tc>
      </w:tr>
      <w:tr>
        <w:tc>
          <w:tcPr/>
          <w:p>
            <w:pPr>
              <w:pStyle w:val="Compact"/>
            </w:pPr>
            <w:r>
              <w:t xml:space="preserve">76</w:t>
            </w:r>
          </w:p>
        </w:tc>
        <w:tc>
          <w:tcPr/>
          <w:p>
            <w:pPr>
              <w:pStyle w:val="Compact"/>
            </w:pPr>
            <w:r>
              <w:t xml:space="preserve">Path not found</w:t>
            </w:r>
          </w:p>
        </w:tc>
      </w:tr>
      <w:tr>
        <w:tc>
          <w:tcPr/>
          <w:p>
            <w:pPr>
              <w:pStyle w:val="Compact"/>
            </w:pPr>
            <w:r>
              <w:t xml:space="preserve">91</w:t>
            </w:r>
          </w:p>
        </w:tc>
        <w:tc>
          <w:tcPr/>
          <w:p>
            <w:pPr>
              <w:pStyle w:val="Compact"/>
            </w:pPr>
            <w:r>
              <w:t xml:space="preserve">Object variable or With block variable not set</w:t>
            </w:r>
          </w:p>
        </w:tc>
      </w:tr>
      <w:tr>
        <w:tc>
          <w:tcPr/>
          <w:p>
            <w:pPr>
              <w:pStyle w:val="Compact"/>
            </w:pPr>
            <w:r>
              <w:t xml:space="preserve">92</w:t>
            </w:r>
          </w:p>
        </w:tc>
        <w:tc>
          <w:tcPr/>
          <w:p>
            <w:pPr>
              <w:pStyle w:val="Compact"/>
            </w:pPr>
            <w:r>
              <w:t xml:space="preserve">For loop not initialized</w:t>
            </w:r>
          </w:p>
        </w:tc>
      </w:tr>
      <w:tr>
        <w:tc>
          <w:tcPr/>
          <w:p>
            <w:pPr>
              <w:pStyle w:val="Compact"/>
            </w:pPr>
            <w:r>
              <w:t xml:space="preserve">94</w:t>
            </w:r>
          </w:p>
        </w:tc>
        <w:tc>
          <w:tcPr/>
          <w:p>
            <w:pPr>
              <w:pStyle w:val="Compact"/>
            </w:pPr>
            <w:r>
              <w:t xml:space="preserve">Invalid use of Null</w:t>
            </w:r>
          </w:p>
        </w:tc>
      </w:tr>
      <w:tr>
        <w:tc>
          <w:tcPr/>
          <w:p>
            <w:pPr>
              <w:pStyle w:val="Compact"/>
            </w:pPr>
            <w:r>
              <w:t xml:space="preserve">322</w:t>
            </w:r>
          </w:p>
        </w:tc>
        <w:tc>
          <w:tcPr/>
          <w:p>
            <w:pPr>
              <w:pStyle w:val="Compact"/>
            </w:pPr>
            <w:r>
              <w:t xml:space="preserve">Can’t create necessary temporary file</w:t>
            </w:r>
          </w:p>
        </w:tc>
      </w:tr>
      <w:tr>
        <w:tc>
          <w:tcPr/>
          <w:p>
            <w:pPr>
              <w:pStyle w:val="Compact"/>
            </w:pPr>
            <w:r>
              <w:t xml:space="preserve">424</w:t>
            </w:r>
          </w:p>
        </w:tc>
        <w:tc>
          <w:tcPr/>
          <w:p>
            <w:pPr>
              <w:pStyle w:val="Compact"/>
            </w:pPr>
            <w:r>
              <w:t xml:space="preserve">Object required</w:t>
            </w:r>
          </w:p>
        </w:tc>
      </w:tr>
      <w:tr>
        <w:tc>
          <w:tcPr/>
          <w:p>
            <w:pPr>
              <w:pStyle w:val="Compact"/>
            </w:pPr>
            <w:r>
              <w:t xml:space="preserve">429</w:t>
            </w:r>
          </w:p>
        </w:tc>
        <w:tc>
          <w:tcPr/>
          <w:p>
            <w:pPr>
              <w:pStyle w:val="Compact"/>
            </w:pPr>
            <w:r>
              <w:t xml:space="preserve">Automation server can’t create object</w:t>
            </w:r>
          </w:p>
        </w:tc>
      </w:tr>
      <w:tr>
        <w:tc>
          <w:tcPr/>
          <w:p>
            <w:pPr>
              <w:pStyle w:val="Compact"/>
            </w:pPr>
            <w:r>
              <w:t xml:space="preserve">430</w:t>
            </w:r>
          </w:p>
        </w:tc>
        <w:tc>
          <w:tcPr/>
          <w:p>
            <w:pPr>
              <w:pStyle w:val="Compact"/>
            </w:pPr>
            <w:r>
              <w:t xml:space="preserve">Class doesn’t support Automation</w:t>
            </w:r>
          </w:p>
        </w:tc>
      </w:tr>
      <w:tr>
        <w:tc>
          <w:tcPr/>
          <w:p>
            <w:pPr>
              <w:pStyle w:val="Compact"/>
            </w:pPr>
            <w:r>
              <w:t xml:space="preserve">432</w:t>
            </w:r>
          </w:p>
        </w:tc>
        <w:tc>
          <w:tcPr/>
          <w:p>
            <w:pPr>
              <w:pStyle w:val="Compact"/>
            </w:pPr>
            <w:r>
              <w:t xml:space="preserve">File name or class name not found during Automation operation</w:t>
            </w:r>
          </w:p>
        </w:tc>
      </w:tr>
      <w:tr>
        <w:tc>
          <w:tcPr/>
          <w:p>
            <w:pPr>
              <w:pStyle w:val="Compact"/>
            </w:pPr>
            <w:r>
              <w:t xml:space="preserve">438</w:t>
            </w:r>
          </w:p>
        </w:tc>
        <w:tc>
          <w:tcPr/>
          <w:p>
            <w:pPr>
              <w:pStyle w:val="Compact"/>
            </w:pPr>
            <w:r>
              <w:t xml:space="preserve">Object doesn’t support this property or method</w:t>
            </w:r>
          </w:p>
        </w:tc>
      </w:tr>
      <w:tr>
        <w:tc>
          <w:tcPr/>
          <w:p>
            <w:pPr>
              <w:pStyle w:val="Compact"/>
            </w:pPr>
            <w:r>
              <w:t xml:space="preserve">440</w:t>
            </w:r>
          </w:p>
        </w:tc>
        <w:tc>
          <w:tcPr/>
          <w:p>
            <w:pPr>
              <w:pStyle w:val="Compact"/>
            </w:pPr>
            <w:r>
              <w:t xml:space="preserve">Automation error</w:t>
            </w:r>
          </w:p>
        </w:tc>
      </w:tr>
      <w:tr>
        <w:tc>
          <w:tcPr/>
          <w:p>
            <w:pPr>
              <w:pStyle w:val="Compact"/>
            </w:pPr>
            <w:r>
              <w:t xml:space="preserve">445</w:t>
            </w:r>
          </w:p>
        </w:tc>
        <w:tc>
          <w:tcPr/>
          <w:p>
            <w:pPr>
              <w:pStyle w:val="Compact"/>
            </w:pPr>
            <w:r>
              <w:t xml:space="preserve">Object doesn’t support this action</w:t>
            </w:r>
          </w:p>
        </w:tc>
      </w:tr>
      <w:tr>
        <w:tc>
          <w:tcPr/>
          <w:p>
            <w:pPr>
              <w:pStyle w:val="Compact"/>
            </w:pPr>
            <w:r>
              <w:t xml:space="preserve">446</w:t>
            </w:r>
          </w:p>
        </w:tc>
        <w:tc>
          <w:tcPr/>
          <w:p>
            <w:pPr>
              <w:pStyle w:val="Compact"/>
            </w:pPr>
            <w:r>
              <w:t xml:space="preserve">Object doesn’t support named arguments</w:t>
            </w:r>
          </w:p>
        </w:tc>
      </w:tr>
      <w:tr>
        <w:tc>
          <w:tcPr/>
          <w:p>
            <w:pPr>
              <w:pStyle w:val="Compact"/>
            </w:pPr>
            <w:r>
              <w:t xml:space="preserve">447</w:t>
            </w:r>
          </w:p>
        </w:tc>
        <w:tc>
          <w:tcPr/>
          <w:p>
            <w:pPr>
              <w:pStyle w:val="Compact"/>
            </w:pPr>
            <w:r>
              <w:t xml:space="preserve">Object doesn’t support current locale setting</w:t>
            </w:r>
          </w:p>
        </w:tc>
      </w:tr>
      <w:tr>
        <w:tc>
          <w:tcPr/>
          <w:p>
            <w:pPr>
              <w:pStyle w:val="Compact"/>
            </w:pPr>
            <w:r>
              <w:t xml:space="preserve">448</w:t>
            </w:r>
          </w:p>
        </w:tc>
        <w:tc>
          <w:tcPr/>
          <w:p>
            <w:pPr>
              <w:pStyle w:val="Compact"/>
            </w:pPr>
            <w:r>
              <w:t xml:space="preserve">Named argument not found</w:t>
            </w:r>
          </w:p>
        </w:tc>
      </w:tr>
      <w:tr>
        <w:tc>
          <w:tcPr/>
          <w:p>
            <w:pPr>
              <w:pStyle w:val="Compact"/>
            </w:pPr>
            <w:r>
              <w:t xml:space="preserve">449</w:t>
            </w:r>
          </w:p>
        </w:tc>
        <w:tc>
          <w:tcPr/>
          <w:p>
            <w:pPr>
              <w:pStyle w:val="Compact"/>
            </w:pPr>
            <w:r>
              <w:t xml:space="preserve">Argument not optional</w:t>
            </w:r>
          </w:p>
        </w:tc>
      </w:tr>
      <w:tr>
        <w:tc>
          <w:tcPr/>
          <w:p>
            <w:pPr>
              <w:pStyle w:val="Compact"/>
            </w:pPr>
            <w:r>
              <w:t xml:space="preserve">450</w:t>
            </w:r>
          </w:p>
        </w:tc>
        <w:tc>
          <w:tcPr/>
          <w:p>
            <w:pPr>
              <w:pStyle w:val="Compact"/>
            </w:pPr>
            <w:r>
              <w:t xml:space="preserve">Wrong number of arguments or invalid property assignment</w:t>
            </w:r>
          </w:p>
        </w:tc>
      </w:tr>
      <w:tr>
        <w:tc>
          <w:tcPr/>
          <w:p>
            <w:pPr>
              <w:pStyle w:val="Compact"/>
            </w:pPr>
            <w:r>
              <w:t xml:space="preserve">451</w:t>
            </w:r>
          </w:p>
        </w:tc>
        <w:tc>
          <w:tcPr/>
          <w:p>
            <w:pPr>
              <w:pStyle w:val="Compact"/>
            </w:pPr>
            <w:r>
              <w:t xml:space="preserve">Object not a collection</w:t>
            </w:r>
          </w:p>
        </w:tc>
      </w:tr>
      <w:tr>
        <w:tc>
          <w:tcPr/>
          <w:p>
            <w:pPr>
              <w:pStyle w:val="Compact"/>
            </w:pPr>
            <w:r>
              <w:t xml:space="preserve">453</w:t>
            </w:r>
          </w:p>
        </w:tc>
        <w:tc>
          <w:tcPr/>
          <w:p>
            <w:pPr>
              <w:pStyle w:val="Compact"/>
            </w:pPr>
            <w:r>
              <w:t xml:space="preserve">Specified DLL function not found</w:t>
            </w:r>
          </w:p>
        </w:tc>
      </w:tr>
      <w:tr>
        <w:tc>
          <w:tcPr/>
          <w:p>
            <w:pPr>
              <w:pStyle w:val="Compact"/>
            </w:pPr>
            <w:r>
              <w:t xml:space="preserve">458</w:t>
            </w:r>
          </w:p>
        </w:tc>
        <w:tc>
          <w:tcPr/>
          <w:p>
            <w:pPr>
              <w:pStyle w:val="Compact"/>
            </w:pPr>
            <w:r>
              <w:t xml:space="preserve">Variable uses an Automation type not supported in JScript</w:t>
            </w:r>
          </w:p>
        </w:tc>
      </w:tr>
      <w:tr>
        <w:tc>
          <w:tcPr/>
          <w:p>
            <w:pPr>
              <w:pStyle w:val="Compact"/>
            </w:pPr>
            <w:r>
              <w:t xml:space="preserve">462</w:t>
            </w:r>
          </w:p>
        </w:tc>
        <w:tc>
          <w:tcPr/>
          <w:p>
            <w:pPr>
              <w:pStyle w:val="Compact"/>
            </w:pPr>
            <w:r>
              <w:t xml:space="preserve">The remote server machine does not exist or is unavailable</w:t>
            </w:r>
          </w:p>
        </w:tc>
      </w:tr>
      <w:tr>
        <w:tc>
          <w:tcPr/>
          <w:p>
            <w:pPr>
              <w:pStyle w:val="Compact"/>
            </w:pPr>
            <w:r>
              <w:t xml:space="preserve">501</w:t>
            </w:r>
          </w:p>
        </w:tc>
        <w:tc>
          <w:tcPr/>
          <w:p>
            <w:pPr>
              <w:pStyle w:val="Compact"/>
            </w:pPr>
            <w:r>
              <w:t xml:space="preserve">Cannot assign to variable</w:t>
            </w:r>
          </w:p>
        </w:tc>
      </w:tr>
      <w:tr>
        <w:tc>
          <w:tcPr/>
          <w:p>
            <w:pPr>
              <w:pStyle w:val="Compact"/>
            </w:pPr>
            <w:r>
              <w:t xml:space="preserve">502</w:t>
            </w:r>
          </w:p>
        </w:tc>
        <w:tc>
          <w:tcPr/>
          <w:p>
            <w:pPr>
              <w:pStyle w:val="Compact"/>
            </w:pPr>
            <w:r>
              <w:t xml:space="preserve">Object not safe for scripting</w:t>
            </w:r>
          </w:p>
        </w:tc>
      </w:tr>
      <w:tr>
        <w:tc>
          <w:tcPr/>
          <w:p>
            <w:pPr>
              <w:pStyle w:val="Compact"/>
            </w:pPr>
            <w:r>
              <w:t xml:space="preserve">503</w:t>
            </w:r>
          </w:p>
        </w:tc>
        <w:tc>
          <w:tcPr/>
          <w:p>
            <w:pPr>
              <w:pStyle w:val="Compact"/>
            </w:pPr>
            <w:r>
              <w:t xml:space="preserve">Object not safe for initializing</w:t>
            </w:r>
          </w:p>
        </w:tc>
      </w:tr>
      <w:tr>
        <w:tc>
          <w:tcPr/>
          <w:p>
            <w:pPr>
              <w:pStyle w:val="Compact"/>
            </w:pPr>
            <w:r>
              <w:t xml:space="preserve">504</w:t>
            </w:r>
          </w:p>
        </w:tc>
        <w:tc>
          <w:tcPr/>
          <w:p>
            <w:pPr>
              <w:pStyle w:val="Compact"/>
            </w:pPr>
            <w:r>
              <w:t xml:space="preserve">Object not safe for creating</w:t>
            </w:r>
          </w:p>
        </w:tc>
      </w:tr>
      <w:tr>
        <w:tc>
          <w:tcPr/>
          <w:p>
            <w:pPr>
              <w:pStyle w:val="Compact"/>
            </w:pPr>
            <w:r>
              <w:t xml:space="preserve">507</w:t>
            </w:r>
          </w:p>
        </w:tc>
        <w:tc>
          <w:tcPr/>
          <w:p>
            <w:pPr>
              <w:pStyle w:val="Compact"/>
            </w:pPr>
            <w:r>
              <w:t xml:space="preserve">An exception occurred</w:t>
            </w:r>
          </w:p>
        </w:tc>
      </w:tr>
      <w:tr>
        <w:tc>
          <w:tcPr/>
          <w:p>
            <w:pPr>
              <w:pStyle w:val="Compact"/>
            </w:pPr>
            <w:r>
              <w:t xml:space="preserve">1002</w:t>
            </w:r>
          </w:p>
        </w:tc>
        <w:tc>
          <w:tcPr/>
          <w:p>
            <w:pPr>
              <w:pStyle w:val="Compact"/>
            </w:pPr>
            <w:r>
              <w:t xml:space="preserve">Syntax error</w:t>
            </w:r>
          </w:p>
        </w:tc>
      </w:tr>
    </w:tbl>
    <w:bookmarkEnd w:id="342"/>
    <w:bookmarkStart w:id="343" w:name="jscript-5000-specific-errors"/>
    <w:p>
      <w:pPr>
        <w:pStyle w:val="Heading3"/>
      </w:pPr>
      <w:r>
        <w:t xml:space="preserve">JScript 5000+ Specific Errors</w:t>
      </w:r>
    </w:p>
    <w:tbl>
      <w:tblPr>
        <w:tblStyle w:val="Table"/>
        <w:tblW w:type="pct" w:w="5000"/>
        <w:tblLayout w:type="fixed"/>
        <w:tblLook w:firstRow="1" w:lastRow="0" w:firstColumn="0" w:lastColumn="0" w:noHBand="0" w:noVBand="0" w:val="0020"/>
      </w:tblPr>
      <w:tblGrid>
        <w:gridCol w:w="3240"/>
        <w:gridCol w:w="4680"/>
      </w:tblGrid>
      <w:tr>
        <w:trPr>
          <w:tblHeader w:val="on"/>
        </w:trPr>
        <w:tc>
          <w:tcPr/>
          <w:p>
            <w:pPr>
              <w:pStyle w:val="Compact"/>
            </w:pPr>
            <w:r>
              <w:t xml:space="preserve">Decimal</w:t>
            </w:r>
          </w:p>
        </w:tc>
        <w:tc>
          <w:tcPr/>
          <w:p>
            <w:pPr>
              <w:pStyle w:val="Compact"/>
            </w:pPr>
            <w:r>
              <w:t xml:space="preserve">Description</w:t>
            </w:r>
          </w:p>
        </w:tc>
      </w:tr>
      <w:tr>
        <w:tc>
          <w:tcPr/>
          <w:p>
            <w:pPr>
              <w:pStyle w:val="Compact"/>
            </w:pPr>
            <w:r>
              <w:t xml:space="preserve">5000</w:t>
            </w:r>
          </w:p>
        </w:tc>
        <w:tc>
          <w:tcPr/>
          <w:p>
            <w:pPr>
              <w:pStyle w:val="Compact"/>
            </w:pPr>
            <w:r>
              <w:t xml:space="preserve">Cannot assign to</w:t>
            </w:r>
            <w:r>
              <w:t xml:space="preserve"> </w:t>
            </w:r>
            <w:r>
              <w:t xml:space="preserve">‘this’</w:t>
            </w:r>
          </w:p>
        </w:tc>
      </w:tr>
      <w:tr>
        <w:tc>
          <w:tcPr/>
          <w:p>
            <w:pPr>
              <w:pStyle w:val="Compact"/>
            </w:pPr>
            <w:r>
              <w:t xml:space="preserve">5001</w:t>
            </w:r>
          </w:p>
        </w:tc>
        <w:tc>
          <w:tcPr/>
          <w:p>
            <w:pPr>
              <w:pStyle w:val="Compact"/>
            </w:pPr>
            <w:r>
              <w:t xml:space="preserve">Number expected</w:t>
            </w:r>
          </w:p>
        </w:tc>
      </w:tr>
      <w:tr>
        <w:tc>
          <w:tcPr/>
          <w:p>
            <w:pPr>
              <w:pStyle w:val="Compact"/>
            </w:pPr>
            <w:r>
              <w:t xml:space="preserve">5002</w:t>
            </w:r>
          </w:p>
        </w:tc>
        <w:tc>
          <w:tcPr/>
          <w:p>
            <w:pPr>
              <w:pStyle w:val="Compact"/>
            </w:pPr>
            <w:r>
              <w:t xml:space="preserve">Function expected</w:t>
            </w:r>
          </w:p>
        </w:tc>
      </w:tr>
      <w:tr>
        <w:tc>
          <w:tcPr/>
          <w:p>
            <w:pPr>
              <w:pStyle w:val="Compact"/>
            </w:pPr>
            <w:r>
              <w:t xml:space="preserve">5003</w:t>
            </w:r>
          </w:p>
        </w:tc>
        <w:tc>
          <w:tcPr/>
          <w:p>
            <w:pPr>
              <w:pStyle w:val="Compact"/>
            </w:pPr>
            <w:r>
              <w:t xml:space="preserve">Cannot assign to a function result</w:t>
            </w:r>
          </w:p>
        </w:tc>
      </w:tr>
      <w:tr>
        <w:tc>
          <w:tcPr/>
          <w:p>
            <w:pPr>
              <w:pStyle w:val="Compact"/>
            </w:pPr>
            <w:r>
              <w:t xml:space="preserve">5004</w:t>
            </w:r>
          </w:p>
        </w:tc>
        <w:tc>
          <w:tcPr/>
          <w:p>
            <w:pPr>
              <w:pStyle w:val="Compact"/>
            </w:pPr>
            <w:r>
              <w:t xml:space="preserve">Cannot index object</w:t>
            </w:r>
          </w:p>
        </w:tc>
      </w:tr>
      <w:tr>
        <w:tc>
          <w:tcPr/>
          <w:p>
            <w:pPr>
              <w:pStyle w:val="Compact"/>
            </w:pPr>
            <w:r>
              <w:t xml:space="preserve">5005</w:t>
            </w:r>
          </w:p>
        </w:tc>
        <w:tc>
          <w:tcPr/>
          <w:p>
            <w:pPr>
              <w:pStyle w:val="Compact"/>
            </w:pPr>
            <w:r>
              <w:t xml:space="preserve">String expected</w:t>
            </w:r>
          </w:p>
        </w:tc>
      </w:tr>
      <w:tr>
        <w:tc>
          <w:tcPr/>
          <w:p>
            <w:pPr>
              <w:pStyle w:val="Compact"/>
            </w:pPr>
            <w:r>
              <w:t xml:space="preserve">5006</w:t>
            </w:r>
          </w:p>
        </w:tc>
        <w:tc>
          <w:tcPr/>
          <w:p>
            <w:pPr>
              <w:pStyle w:val="Compact"/>
            </w:pPr>
            <w:r>
              <w:t xml:space="preserve">Date object expected</w:t>
            </w:r>
          </w:p>
        </w:tc>
      </w:tr>
      <w:tr>
        <w:tc>
          <w:tcPr/>
          <w:p>
            <w:pPr>
              <w:pStyle w:val="Compact"/>
            </w:pPr>
            <w:r>
              <w:t xml:space="preserve">5007</w:t>
            </w:r>
          </w:p>
        </w:tc>
        <w:tc>
          <w:tcPr/>
          <w:p>
            <w:pPr>
              <w:pStyle w:val="Compact"/>
            </w:pPr>
            <w:r>
              <w:t xml:space="preserve">Object expected</w:t>
            </w:r>
          </w:p>
        </w:tc>
      </w:tr>
      <w:tr>
        <w:tc>
          <w:tcPr/>
          <w:p>
            <w:pPr>
              <w:pStyle w:val="Compact"/>
            </w:pPr>
            <w:r>
              <w:t xml:space="preserve">5008</w:t>
            </w:r>
          </w:p>
        </w:tc>
        <w:tc>
          <w:tcPr/>
          <w:p>
            <w:pPr>
              <w:pStyle w:val="Compact"/>
            </w:pPr>
            <w:r>
              <w:t xml:space="preserve">Illegal assignment</w:t>
            </w:r>
          </w:p>
        </w:tc>
      </w:tr>
      <w:tr>
        <w:tc>
          <w:tcPr/>
          <w:p>
            <w:pPr>
              <w:pStyle w:val="Compact"/>
            </w:pPr>
            <w:r>
              <w:t xml:space="preserve">5009</w:t>
            </w:r>
          </w:p>
        </w:tc>
        <w:tc>
          <w:tcPr/>
          <w:p>
            <w:pPr>
              <w:pStyle w:val="Compact"/>
            </w:pPr>
            <w:r>
              <w:t xml:space="preserve">Undefined identifier</w:t>
            </w:r>
          </w:p>
        </w:tc>
      </w:tr>
      <w:tr>
        <w:tc>
          <w:tcPr/>
          <w:p>
            <w:pPr>
              <w:pStyle w:val="Compact"/>
            </w:pPr>
            <w:r>
              <w:t xml:space="preserve">5010</w:t>
            </w:r>
          </w:p>
        </w:tc>
        <w:tc>
          <w:tcPr/>
          <w:p>
            <w:pPr>
              <w:pStyle w:val="Compact"/>
            </w:pPr>
            <w:r>
              <w:t xml:space="preserve">Boolean expected</w:t>
            </w:r>
          </w:p>
        </w:tc>
      </w:tr>
      <w:tr>
        <w:tc>
          <w:tcPr/>
          <w:p>
            <w:pPr>
              <w:pStyle w:val="Compact"/>
            </w:pPr>
            <w:r>
              <w:t xml:space="preserve">5011</w:t>
            </w:r>
          </w:p>
        </w:tc>
        <w:tc>
          <w:tcPr/>
          <w:p>
            <w:pPr>
              <w:pStyle w:val="Compact"/>
            </w:pPr>
            <w:r>
              <w:t xml:space="preserve">Can’t execute code from a freed script</w:t>
            </w:r>
          </w:p>
        </w:tc>
      </w:tr>
      <w:tr>
        <w:tc>
          <w:tcPr/>
          <w:p>
            <w:pPr>
              <w:pStyle w:val="Compact"/>
            </w:pPr>
            <w:r>
              <w:t xml:space="preserve">5012</w:t>
            </w:r>
          </w:p>
        </w:tc>
        <w:tc>
          <w:tcPr/>
          <w:p>
            <w:pPr>
              <w:pStyle w:val="Compact"/>
            </w:pPr>
            <w:r>
              <w:t xml:space="preserve">Object member expected</w:t>
            </w:r>
          </w:p>
        </w:tc>
      </w:tr>
      <w:tr>
        <w:tc>
          <w:tcPr/>
          <w:p>
            <w:pPr>
              <w:pStyle w:val="Compact"/>
            </w:pPr>
            <w:r>
              <w:t xml:space="preserve">5013</w:t>
            </w:r>
          </w:p>
        </w:tc>
        <w:tc>
          <w:tcPr/>
          <w:p>
            <w:pPr>
              <w:pStyle w:val="Compact"/>
            </w:pPr>
            <w:r>
              <w:t xml:space="preserve">VBArray expected</w:t>
            </w:r>
          </w:p>
        </w:tc>
      </w:tr>
      <w:tr>
        <w:tc>
          <w:tcPr/>
          <w:p>
            <w:pPr>
              <w:pStyle w:val="Compact"/>
            </w:pPr>
            <w:r>
              <w:t xml:space="preserve">5014</w:t>
            </w:r>
          </w:p>
        </w:tc>
        <w:tc>
          <w:tcPr/>
          <w:p>
            <w:pPr>
              <w:pStyle w:val="Compact"/>
            </w:pPr>
            <w:r>
              <w:t xml:space="preserve">JScript object expected</w:t>
            </w:r>
          </w:p>
        </w:tc>
      </w:tr>
      <w:tr>
        <w:tc>
          <w:tcPr/>
          <w:p>
            <w:pPr>
              <w:pStyle w:val="Compact"/>
            </w:pPr>
            <w:r>
              <w:t xml:space="preserve">5015</w:t>
            </w:r>
          </w:p>
        </w:tc>
        <w:tc>
          <w:tcPr/>
          <w:p>
            <w:pPr>
              <w:pStyle w:val="Compact"/>
            </w:pPr>
            <w:r>
              <w:t xml:space="preserve">Enumerator object expected</w:t>
            </w:r>
          </w:p>
        </w:tc>
      </w:tr>
      <w:tr>
        <w:tc>
          <w:tcPr/>
          <w:p>
            <w:pPr>
              <w:pStyle w:val="Compact"/>
            </w:pPr>
            <w:r>
              <w:t xml:space="preserve">5016</w:t>
            </w:r>
          </w:p>
        </w:tc>
        <w:tc>
          <w:tcPr/>
          <w:p>
            <w:pPr>
              <w:pStyle w:val="Compact"/>
            </w:pPr>
            <w:r>
              <w:t xml:space="preserve">Regular Expression object expected</w:t>
            </w:r>
          </w:p>
        </w:tc>
      </w:tr>
      <w:tr>
        <w:tc>
          <w:tcPr/>
          <w:p>
            <w:pPr>
              <w:pStyle w:val="Compact"/>
            </w:pPr>
            <w:r>
              <w:t xml:space="preserve">5017</w:t>
            </w:r>
          </w:p>
        </w:tc>
        <w:tc>
          <w:tcPr/>
          <w:p>
            <w:pPr>
              <w:pStyle w:val="Compact"/>
            </w:pPr>
            <w:r>
              <w:t xml:space="preserve">Syntax error in regular expression</w:t>
            </w:r>
          </w:p>
        </w:tc>
      </w:tr>
      <w:tr>
        <w:tc>
          <w:tcPr/>
          <w:p>
            <w:pPr>
              <w:pStyle w:val="Compact"/>
            </w:pPr>
            <w:r>
              <w:t xml:space="preserve">5018</w:t>
            </w:r>
          </w:p>
        </w:tc>
        <w:tc>
          <w:tcPr/>
          <w:p>
            <w:pPr>
              <w:pStyle w:val="Compact"/>
            </w:pPr>
            <w:r>
              <w:t xml:space="preserve">Unexpected quantifier</w:t>
            </w:r>
          </w:p>
        </w:tc>
      </w:tr>
      <w:tr>
        <w:tc>
          <w:tcPr/>
          <w:p>
            <w:pPr>
              <w:pStyle w:val="Compact"/>
            </w:pPr>
            <w:r>
              <w:t xml:space="preserve">5019</w:t>
            </w:r>
          </w:p>
        </w:tc>
        <w:tc>
          <w:tcPr/>
          <w:p>
            <w:pPr>
              <w:pStyle w:val="Compact"/>
            </w:pPr>
            <w:r>
              <w:t xml:space="preserve">Expected</w:t>
            </w:r>
            <w:r>
              <w:t xml:space="preserve"> </w:t>
            </w:r>
            <w:r>
              <w:t xml:space="preserve">‘]’</w:t>
            </w:r>
            <w:r>
              <w:t xml:space="preserve"> </w:t>
            </w:r>
            <w:r>
              <w:t xml:space="preserve">in regular expression</w:t>
            </w:r>
          </w:p>
        </w:tc>
      </w:tr>
      <w:tr>
        <w:tc>
          <w:tcPr/>
          <w:p>
            <w:pPr>
              <w:pStyle w:val="Compact"/>
            </w:pPr>
            <w:r>
              <w:t xml:space="preserve">5020</w:t>
            </w:r>
          </w:p>
        </w:tc>
        <w:tc>
          <w:tcPr/>
          <w:p>
            <w:pPr>
              <w:pStyle w:val="Compact"/>
            </w:pPr>
            <w:r>
              <w:t xml:space="preserve">Expected</w:t>
            </w:r>
            <w:r>
              <w:t xml:space="preserve"> </w:t>
            </w:r>
            <w:r>
              <w:t xml:space="preserve">‘)’</w:t>
            </w:r>
            <w:r>
              <w:t xml:space="preserve"> </w:t>
            </w:r>
            <w:r>
              <w:t xml:space="preserve">in regular expression</w:t>
            </w:r>
          </w:p>
        </w:tc>
      </w:tr>
      <w:tr>
        <w:tc>
          <w:tcPr/>
          <w:p>
            <w:pPr>
              <w:pStyle w:val="Compact"/>
            </w:pPr>
            <w:r>
              <w:t xml:space="preserve">5021</w:t>
            </w:r>
          </w:p>
        </w:tc>
        <w:tc>
          <w:tcPr/>
          <w:p>
            <w:pPr>
              <w:pStyle w:val="Compact"/>
            </w:pPr>
            <w:r>
              <w:t xml:space="preserve">Invalid range in character set</w:t>
            </w:r>
          </w:p>
        </w:tc>
      </w:tr>
      <w:tr>
        <w:tc>
          <w:tcPr/>
          <w:p>
            <w:pPr>
              <w:pStyle w:val="Compact"/>
            </w:pPr>
            <w:r>
              <w:t xml:space="preserve">5022</w:t>
            </w:r>
          </w:p>
        </w:tc>
        <w:tc>
          <w:tcPr/>
          <w:p>
            <w:pPr>
              <w:pStyle w:val="Compact"/>
            </w:pPr>
            <w:r>
              <w:t xml:space="preserve">Exception thrown and not caught</w:t>
            </w:r>
          </w:p>
        </w:tc>
      </w:tr>
      <w:tr>
        <w:tc>
          <w:tcPr/>
          <w:p>
            <w:pPr>
              <w:pStyle w:val="Compact"/>
            </w:pPr>
            <w:r>
              <w:t xml:space="preserve">5023</w:t>
            </w:r>
          </w:p>
        </w:tc>
        <w:tc>
          <w:tcPr/>
          <w:p>
            <w:pPr>
              <w:pStyle w:val="Compact"/>
            </w:pPr>
            <w:r>
              <w:t xml:space="preserve">Function does not have a valid prototype object</w:t>
            </w:r>
          </w:p>
        </w:tc>
      </w:tr>
      <w:tr>
        <w:tc>
          <w:tcPr/>
          <w:p>
            <w:pPr>
              <w:pStyle w:val="Compact"/>
            </w:pPr>
            <w:r>
              <w:t xml:space="preserve">5024</w:t>
            </w:r>
          </w:p>
        </w:tc>
        <w:tc>
          <w:tcPr/>
          <w:p>
            <w:pPr>
              <w:pStyle w:val="Compact"/>
            </w:pPr>
            <w:r>
              <w:t xml:space="preserve">Proxy target or handler must be an object</w:t>
            </w:r>
          </w:p>
        </w:tc>
      </w:tr>
      <w:tr>
        <w:tc>
          <w:tcPr/>
          <w:p>
            <w:pPr>
              <w:pStyle w:val="Compact"/>
            </w:pPr>
            <w:r>
              <w:t xml:space="preserve">5025</w:t>
            </w:r>
          </w:p>
        </w:tc>
        <w:tc>
          <w:tcPr/>
          <w:p>
            <w:pPr>
              <w:pStyle w:val="Compact"/>
            </w:pPr>
            <w:r>
              <w:t xml:space="preserve">Reflect argument must be an object</w:t>
            </w:r>
          </w:p>
        </w:tc>
      </w:tr>
      <w:tr>
        <w:tc>
          <w:tcPr/>
          <w:p>
            <w:pPr>
              <w:pStyle w:val="Compact"/>
            </w:pPr>
            <w:r>
              <w:t xml:space="preserve">5026</w:t>
            </w:r>
          </w:p>
        </w:tc>
        <w:tc>
          <w:tcPr/>
          <w:p>
            <w:pPr>
              <w:pStyle w:val="Compact"/>
            </w:pPr>
            <w:r>
              <w:t xml:space="preserve">Proxy trap returned an invalid value</w:t>
            </w:r>
          </w:p>
        </w:tc>
      </w:tr>
      <w:tr>
        <w:tc>
          <w:tcPr/>
          <w:p>
            <w:pPr>
              <w:pStyle w:val="Compact"/>
            </w:pPr>
            <w:r>
              <w:t xml:space="preserve">5027</w:t>
            </w:r>
          </w:p>
        </w:tc>
        <w:tc>
          <w:tcPr/>
          <w:p>
            <w:pPr>
              <w:pStyle w:val="Compact"/>
            </w:pPr>
            <w:r>
              <w:t xml:space="preserve">Cannot perform operation on a revoked proxy</w:t>
            </w:r>
          </w:p>
        </w:tc>
      </w:tr>
      <w:tr>
        <w:tc>
          <w:tcPr/>
          <w:p>
            <w:pPr>
              <w:pStyle w:val="Compact"/>
            </w:pPr>
            <w:r>
              <w:t xml:space="preserve">5028</w:t>
            </w:r>
          </w:p>
        </w:tc>
        <w:tc>
          <w:tcPr/>
          <w:p>
            <w:pPr>
              <w:pStyle w:val="Compact"/>
            </w:pPr>
            <w:r>
              <w:t xml:space="preserve">Proxy trap invariant violation: non-configurable property mismatch</w:t>
            </w:r>
          </w:p>
        </w:tc>
      </w:tr>
      <w:tr>
        <w:tc>
          <w:tcPr/>
          <w:p>
            <w:pPr>
              <w:pStyle w:val="Compact"/>
            </w:pPr>
            <w:r>
              <w:t xml:space="preserve">5029</w:t>
            </w:r>
          </w:p>
        </w:tc>
        <w:tc>
          <w:tcPr/>
          <w:p>
            <w:pPr>
              <w:pStyle w:val="Compact"/>
            </w:pPr>
            <w:r>
              <w:t xml:space="preserve">Proxy</w:t>
            </w:r>
            <w:r>
              <w:t xml:space="preserve"> </w:t>
            </w:r>
            <w:r>
              <w:t xml:space="preserve">‘get’</w:t>
            </w:r>
            <w:r>
              <w:t xml:space="preserve"> </w:t>
            </w:r>
            <w:r>
              <w:t xml:space="preserve">trap invariant violation: different value for non-configurable non-writable property</w:t>
            </w:r>
          </w:p>
        </w:tc>
      </w:tr>
      <w:tr>
        <w:tc>
          <w:tcPr/>
          <w:p>
            <w:pPr>
              <w:pStyle w:val="Compact"/>
            </w:pPr>
            <w:r>
              <w:t xml:space="preserve">5030</w:t>
            </w:r>
          </w:p>
        </w:tc>
        <w:tc>
          <w:tcPr/>
          <w:p>
            <w:pPr>
              <w:pStyle w:val="Compact"/>
            </w:pPr>
            <w:r>
              <w:t xml:space="preserve">Proxy</w:t>
            </w:r>
            <w:r>
              <w:t xml:space="preserve"> </w:t>
            </w:r>
            <w:r>
              <w:t xml:space="preserve">‘has’</w:t>
            </w:r>
            <w:r>
              <w:t xml:space="preserve"> </w:t>
            </w:r>
            <w:r>
              <w:t xml:space="preserve">trap invariant violation: cannot report non-configurable or non-extensible property as absent</w:t>
            </w:r>
          </w:p>
        </w:tc>
      </w:tr>
      <w:tr>
        <w:tc>
          <w:tcPr/>
          <w:p>
            <w:pPr>
              <w:pStyle w:val="Compact"/>
            </w:pPr>
            <w:r>
              <w:t xml:space="preserve">5031</w:t>
            </w:r>
          </w:p>
        </w:tc>
        <w:tc>
          <w:tcPr/>
          <w:p>
            <w:pPr>
              <w:pStyle w:val="Compact"/>
            </w:pPr>
            <w:r>
              <w:t xml:space="preserve">Proxy</w:t>
            </w:r>
            <w:r>
              <w:t xml:space="preserve"> </w:t>
            </w:r>
            <w:r>
              <w:t xml:space="preserve">‘set’</w:t>
            </w:r>
            <w:r>
              <w:t xml:space="preserve"> </w:t>
            </w:r>
            <w:r>
              <w:t xml:space="preserve">trap invariant violation: cannot set non-configurable non-writable property</w:t>
            </w:r>
          </w:p>
        </w:tc>
      </w:tr>
      <w:tr>
        <w:tc>
          <w:tcPr/>
          <w:p>
            <w:pPr>
              <w:pStyle w:val="Compact"/>
            </w:pPr>
            <w:r>
              <w:t xml:space="preserve">5032</w:t>
            </w:r>
          </w:p>
        </w:tc>
        <w:tc>
          <w:tcPr/>
          <w:p>
            <w:pPr>
              <w:pStyle w:val="Compact"/>
            </w:pPr>
            <w:r>
              <w:t xml:space="preserve">Proxy</w:t>
            </w:r>
            <w:r>
              <w:t xml:space="preserve"> </w:t>
            </w:r>
            <w:r>
              <w:t xml:space="preserve">‘defineProperty’</w:t>
            </w:r>
            <w:r>
              <w:t xml:space="preserve"> </w:t>
            </w:r>
            <w:r>
              <w:t xml:space="preserve">trap invariant violation</w:t>
            </w:r>
          </w:p>
        </w:tc>
      </w:tr>
      <w:tr>
        <w:tc>
          <w:tcPr/>
          <w:p>
            <w:pPr>
              <w:pStyle w:val="Compact"/>
            </w:pPr>
            <w:r>
              <w:t xml:space="preserve">5033</w:t>
            </w:r>
          </w:p>
        </w:tc>
        <w:tc>
          <w:tcPr/>
          <w:p>
            <w:pPr>
              <w:pStyle w:val="Compact"/>
            </w:pPr>
            <w:r>
              <w:t xml:space="preserve">Proxy</w:t>
            </w:r>
            <w:r>
              <w:t xml:space="preserve"> </w:t>
            </w:r>
            <w:r>
              <w:t xml:space="preserve">‘getOwnPropertyDescriptor’</w:t>
            </w:r>
            <w:r>
              <w:t xml:space="preserve"> </w:t>
            </w:r>
            <w:r>
              <w:t xml:space="preserve">trap invariant violation</w:t>
            </w:r>
          </w:p>
        </w:tc>
      </w:tr>
      <w:tr>
        <w:tc>
          <w:tcPr/>
          <w:p>
            <w:pPr>
              <w:pStyle w:val="Compact"/>
            </w:pPr>
            <w:r>
              <w:t xml:space="preserve">5034</w:t>
            </w:r>
          </w:p>
        </w:tc>
        <w:tc>
          <w:tcPr/>
          <w:p>
            <w:pPr>
              <w:pStyle w:val="Compact"/>
            </w:pPr>
            <w:r>
              <w:t xml:space="preserve">Proxy</w:t>
            </w:r>
            <w:r>
              <w:t xml:space="preserve"> </w:t>
            </w:r>
            <w:r>
              <w:t xml:space="preserve">‘deleteProperty’</w:t>
            </w:r>
            <w:r>
              <w:t xml:space="preserve"> </w:t>
            </w:r>
            <w:r>
              <w:t xml:space="preserve">trap invariant violation: cannot delete non-configurable property</w:t>
            </w:r>
          </w:p>
        </w:tc>
      </w:tr>
      <w:tr>
        <w:tc>
          <w:tcPr/>
          <w:p>
            <w:pPr>
              <w:pStyle w:val="Compact"/>
            </w:pPr>
            <w:r>
              <w:t xml:space="preserve">5035</w:t>
            </w:r>
          </w:p>
        </w:tc>
        <w:tc>
          <w:tcPr/>
          <w:p>
            <w:pPr>
              <w:pStyle w:val="Compact"/>
            </w:pPr>
            <w:r>
              <w:t xml:space="preserve">Proxy</w:t>
            </w:r>
            <w:r>
              <w:t xml:space="preserve"> </w:t>
            </w:r>
            <w:r>
              <w:t xml:space="preserve">‘ownKeys’</w:t>
            </w:r>
            <w:r>
              <w:t xml:space="preserve"> </w:t>
            </w:r>
            <w:r>
              <w:t xml:space="preserve">trap invariant violation</w:t>
            </w:r>
          </w:p>
        </w:tc>
      </w:tr>
      <w:tr>
        <w:tc>
          <w:tcPr/>
          <w:p>
            <w:pPr>
              <w:pStyle w:val="Compact"/>
            </w:pPr>
            <w:r>
              <w:t xml:space="preserve">5036</w:t>
            </w:r>
          </w:p>
        </w:tc>
        <w:tc>
          <w:tcPr/>
          <w:p>
            <w:pPr>
              <w:pStyle w:val="Compact"/>
            </w:pPr>
            <w:r>
              <w:t xml:space="preserve">Proxy</w:t>
            </w:r>
            <w:r>
              <w:t xml:space="preserve"> </w:t>
            </w:r>
            <w:r>
              <w:t xml:space="preserve">‘getPrototypeOf’</w:t>
            </w:r>
            <w:r>
              <w:t xml:space="preserve"> </w:t>
            </w:r>
            <w:r>
              <w:t xml:space="preserve">trap invariant violation: different prototype for non-extensible target</w:t>
            </w:r>
          </w:p>
        </w:tc>
      </w:tr>
      <w:tr>
        <w:tc>
          <w:tcPr/>
          <w:p>
            <w:pPr>
              <w:pStyle w:val="Compact"/>
            </w:pPr>
            <w:r>
              <w:t xml:space="preserve">5037</w:t>
            </w:r>
          </w:p>
        </w:tc>
        <w:tc>
          <w:tcPr/>
          <w:p>
            <w:pPr>
              <w:pStyle w:val="Compact"/>
            </w:pPr>
            <w:r>
              <w:t xml:space="preserve">Proxy</w:t>
            </w:r>
            <w:r>
              <w:t xml:space="preserve"> </w:t>
            </w:r>
            <w:r>
              <w:t xml:space="preserve">‘setPrototypeOf’</w:t>
            </w:r>
            <w:r>
              <w:t xml:space="preserve"> </w:t>
            </w:r>
            <w:r>
              <w:t xml:space="preserve">trap invariant violation: cannot change prototype of non-extensible target</w:t>
            </w:r>
          </w:p>
        </w:tc>
      </w:tr>
      <w:tr>
        <w:tc>
          <w:tcPr/>
          <w:p>
            <w:pPr>
              <w:pStyle w:val="Compact"/>
            </w:pPr>
            <w:r>
              <w:t xml:space="preserve">5038</w:t>
            </w:r>
          </w:p>
        </w:tc>
        <w:tc>
          <w:tcPr/>
          <w:p>
            <w:pPr>
              <w:pStyle w:val="Compact"/>
            </w:pPr>
            <w:r>
              <w:t xml:space="preserve">Proxy</w:t>
            </w:r>
            <w:r>
              <w:t xml:space="preserve"> </w:t>
            </w:r>
            <w:r>
              <w:t xml:space="preserve">‘preventExtensions’</w:t>
            </w:r>
            <w:r>
              <w:t xml:space="preserve"> </w:t>
            </w:r>
            <w:r>
              <w:t xml:space="preserve">trap invariant violation: trap returned true but target is still extensible</w:t>
            </w:r>
          </w:p>
        </w:tc>
      </w:tr>
    </w:tbl>
    <w:bookmarkEnd w:id="343"/>
    <w:bookmarkStart w:id="344" w:name="asp-intrinsic"/>
    <w:p>
      <w:pPr>
        <w:pStyle w:val="Heading3"/>
      </w:pPr>
      <w:r>
        <w:t xml:space="preserve">ASP Intrinsic</w:t>
      </w:r>
    </w:p>
    <w:p>
      <w:pPr>
        <w:pStyle w:val="FirstParagraph"/>
      </w:pPr>
      <w:r>
        <w:t xml:space="preserve">The following standard ASP execution errors can be raised by ASP intrinsic objects and collections:</w:t>
      </w:r>
    </w:p>
    <w:tbl>
      <w:tblPr>
        <w:tblStyle w:val="Table"/>
        <w:tblW w:type="pct" w:w="5000"/>
        <w:tblLayout w:type="fixed"/>
        <w:tblLook w:firstRow="1" w:lastRow="0" w:firstColumn="0" w:lastColumn="0" w:noHBand="0" w:noVBand="0" w:val="0020"/>
      </w:tblPr>
      <w:tblGrid>
        <w:gridCol w:w="1232"/>
        <w:gridCol w:w="1584"/>
        <w:gridCol w:w="2288"/>
        <w:gridCol w:w="2816"/>
      </w:tblGrid>
      <w:tr>
        <w:trPr>
          <w:tblHeader w:val="on"/>
        </w:trPr>
        <w:tc>
          <w:tcPr/>
          <w:p>
            <w:pPr>
              <w:pStyle w:val="Compact"/>
            </w:pPr>
            <w:r>
              <w:t xml:space="preserve">Error</w:t>
            </w:r>
          </w:p>
        </w:tc>
        <w:tc>
          <w:tcPr/>
          <w:p>
            <w:pPr>
              <w:pStyle w:val="Compact"/>
            </w:pPr>
            <w:r>
              <w:t xml:space="preserve">HRESULT</w:t>
            </w:r>
          </w:p>
        </w:tc>
        <w:tc>
          <w:tcPr/>
          <w:p>
            <w:pPr>
              <w:pStyle w:val="Compact"/>
            </w:pPr>
            <w:r>
              <w:t xml:space="preserve">Description</w:t>
            </w:r>
          </w:p>
        </w:tc>
        <w:tc>
          <w:tcPr/>
          <w:p>
            <w:pPr>
              <w:pStyle w:val="Compact"/>
            </w:pPr>
            <w:r>
              <w:t xml:space="preserve">Possible Cause</w:t>
            </w:r>
          </w:p>
        </w:tc>
      </w:tr>
      <w:tr>
        <w:tc>
          <w:tcPr/>
          <w:p>
            <w:pPr>
              <w:pStyle w:val="Compact"/>
            </w:pPr>
            <w:r>
              <w:t xml:space="preserve">ASP 0105</w:t>
            </w:r>
          </w:p>
        </w:tc>
        <w:tc>
          <w:tcPr/>
          <w:p>
            <w:pPr>
              <w:pStyle w:val="Compact"/>
            </w:pPr>
            <w:r>
              <w:t xml:space="preserve">0x80004005 (-2147467259)</w:t>
            </w:r>
          </w:p>
        </w:tc>
        <w:tc>
          <w:tcPr/>
          <w:p>
            <w:pPr>
              <w:pStyle w:val="Compact"/>
            </w:pPr>
            <w:r>
              <w:t xml:space="preserve">Index out of range</w:t>
            </w:r>
          </w:p>
        </w:tc>
        <w:tc>
          <w:tcPr/>
          <w:p>
            <w:pPr>
              <w:pStyle w:val="Compact"/>
            </w:pPr>
            <w:r>
              <w:t xml:space="preserve">An array or collection index lookup (e.g., on</w:t>
            </w:r>
            <w:r>
              <w:t xml:space="preserve"> </w:t>
            </w:r>
            <w:r>
              <w:rPr>
                <w:rStyle w:val="VerbatimChar"/>
              </w:rPr>
              <w:t xml:space="preserve">Request.QueryString</w:t>
            </w:r>
            <w:r>
              <w:t xml:space="preserve"> </w:t>
            </w:r>
            <w:r>
              <w:t xml:space="preserve">or</w:t>
            </w:r>
            <w:r>
              <w:t xml:space="preserve"> </w:t>
            </w:r>
            <w:r>
              <w:rPr>
                <w:rStyle w:val="VerbatimChar"/>
              </w:rPr>
              <w:t xml:space="preserve">Request.Form</w:t>
            </w:r>
            <w:r>
              <w:t xml:space="preserve"> </w:t>
            </w:r>
            <w:r>
              <w:t xml:space="preserve">collections) is out of bounds.</w:t>
            </w:r>
          </w:p>
        </w:tc>
      </w:tr>
    </w:tbl>
    <w:bookmarkEnd w:id="344"/>
    <w:bookmarkStart w:id="345" w:name="jscript-remarks"/>
    <w:p>
      <w:pPr>
        <w:pStyle w:val="Heading3"/>
      </w:pPr>
      <w:r>
        <w:t xml:space="preserve">JScript Remarks</w:t>
      </w:r>
    </w:p>
    <w:p>
      <w:pPr>
        <w:pStyle w:val="Compact"/>
        <w:numPr>
          <w:ilvl w:val="0"/>
          <w:numId w:val="1130"/>
        </w:numPr>
      </w:pPr>
      <w:r>
        <w:t xml:space="preserve">JScript errors are distinct from VBScript errors even when some decimal values overlap.</w:t>
      </w:r>
    </w:p>
    <w:p>
      <w:pPr>
        <w:pStyle w:val="Compact"/>
        <w:numPr>
          <w:ilvl w:val="0"/>
          <w:numId w:val="1130"/>
        </w:numPr>
      </w:pPr>
      <w:r>
        <w:t xml:space="preserve">JScript code paths should resolve descriptions from</w:t>
      </w:r>
      <w:r>
        <w:t xml:space="preserve"> </w:t>
      </w:r>
      <w:r>
        <w:rPr>
          <w:rStyle w:val="VerbatimChar"/>
        </w:rPr>
        <w:t xml:space="preserve">jscript/jscripterrorcodes.go</w:t>
      </w:r>
      <w:r>
        <w:t xml:space="preserve">.</w:t>
      </w:r>
    </w:p>
    <w:p>
      <w:pPr>
        <w:pStyle w:val="Compact"/>
        <w:numPr>
          <w:ilvl w:val="0"/>
          <w:numId w:val="1130"/>
        </w:numPr>
      </w:pPr>
      <w:r>
        <w:t xml:space="preserve">JScript runtime and parser failures can be surfaced through runtime error reporting in ASP hosts, CLI, FastCGI, and HTTP server modes.</w:t>
      </w:r>
    </w:p>
    <w:bookmarkEnd w:id="345"/>
    <w:bookmarkEnd w:id="346"/>
    <w:bookmarkEnd w:id="347"/>
    <w:bookmarkStart w:id="348" w:name="configuration-2"/>
    <w:p>
      <w:pPr>
        <w:pStyle w:val="Heading1"/>
      </w:pPr>
      <w:r>
        <w:t xml:space="preserve">Configuration</w:t>
      </w:r>
    </w:p>
    <w:bookmarkEnd w:id="348"/>
    <w:bookmarkStart w:id="430" w:name="axonasp-configuration-reference"/>
    <w:p>
      <w:pPr>
        <w:pStyle w:val="Heading1"/>
      </w:pPr>
      <w:r>
        <w:t xml:space="preserve">AxonASP Configuration Reference</w:t>
      </w:r>
    </w:p>
    <w:bookmarkStart w:id="349" w:name="overview-23"/>
    <w:p>
      <w:pPr>
        <w:pStyle w:val="Heading2"/>
      </w:pPr>
      <w:r>
        <w:t xml:space="preserve">Overview</w:t>
      </w:r>
    </w:p>
    <w:p>
      <w:pPr>
        <w:pStyle w:val="FirstParagraph"/>
      </w:pPr>
      <w:r>
        <w:t xml:space="preserve">The</w:t>
      </w:r>
      <w:r>
        <w:t xml:space="preserve"> </w:t>
      </w:r>
      <w:r>
        <w:rPr>
          <w:rStyle w:val="VerbatimChar"/>
        </w:rPr>
        <w:t xml:space="preserve">axonasp.toml</w:t>
      </w:r>
      <w:r>
        <w:t xml:space="preserve"> </w:t>
      </w:r>
      <w:r>
        <w:t xml:space="preserve">file contains all configuration settings for the AxonASP server. This file is shared across all runtime modes: HTTP server, FastCGI server, CLI, and MCP server. All settings can be overridden using environment variables, making it easy to manage different configurations for development and production environments.</w:t>
      </w:r>
    </w:p>
    <w:bookmarkEnd w:id="349"/>
    <w:bookmarkStart w:id="350" w:name="configuration-location"/>
    <w:p>
      <w:pPr>
        <w:pStyle w:val="Heading2"/>
      </w:pPr>
      <w:r>
        <w:t xml:space="preserve">Configuration Location</w:t>
      </w:r>
    </w:p>
    <w:p>
      <w:pPr>
        <w:pStyle w:val="FirstParagraph"/>
      </w:pPr>
      <w:r>
        <w:t xml:space="preserve">The configuration file should be located at:</w:t>
      </w:r>
    </w:p>
    <w:p>
      <w:pPr>
        <w:pStyle w:val="SourceCode"/>
      </w:pPr>
      <w:r>
        <w:rPr>
          <w:rStyle w:val="VerbatimChar"/>
        </w:rPr>
        <w:t xml:space="preserve">./config/axonasp.toml</w:t>
      </w:r>
    </w:p>
    <w:p>
      <w:pPr>
        <w:pStyle w:val="FirstParagraph"/>
      </w:pPr>
      <w:r>
        <w:t xml:space="preserve">Both the configuration folder and web root (</w:t>
      </w:r>
      <w:r>
        <w:rPr>
          <w:rStyle w:val="VerbatimChar"/>
        </w:rPr>
        <w:t xml:space="preserve">./www/</w:t>
      </w:r>
      <w:r>
        <w:t xml:space="preserve">) must be in the same directory as the executable (or use absolute paths).</w:t>
      </w:r>
    </w:p>
    <w:bookmarkEnd w:id="350"/>
    <w:bookmarkStart w:id="351" w:name="environment-variable-override-1"/>
    <w:p>
      <w:pPr>
        <w:pStyle w:val="Heading2"/>
      </w:pPr>
      <w:r>
        <w:t xml:space="preserve">Environment Variable Override</w:t>
      </w:r>
    </w:p>
    <w:p>
      <w:pPr>
        <w:pStyle w:val="FirstParagraph"/>
      </w:pPr>
      <w:r>
        <w:t xml:space="preserve">All configuration values can be overridden via environment variables when</w:t>
      </w:r>
      <w:r>
        <w:t xml:space="preserve"> </w:t>
      </w:r>
      <w:r>
        <w:rPr>
          <w:rStyle w:val="VerbatimChar"/>
        </w:rPr>
        <w:t xml:space="preserve">viper_automatic_env = true</w:t>
      </w:r>
      <w:r>
        <w:t xml:space="preserve"> </w:t>
      </w:r>
      <w:r>
        <w:t xml:space="preserve">in the configuration:</w:t>
      </w:r>
    </w:p>
    <w:p>
      <w:pPr>
        <w:pStyle w:val="BodyText"/>
      </w:pPr>
      <w:r>
        <w:rPr>
          <w:b/>
          <w:bCs/>
        </w:rPr>
        <w:t xml:space="preserve">Format:</w:t>
      </w:r>
      <w:r>
        <w:t xml:space="preserve"> </w:t>
      </w:r>
      <w:r>
        <w:rPr>
          <w:rStyle w:val="VerbatimChar"/>
        </w:rPr>
        <w:t xml:space="preserve">SECTION_SETTING</w:t>
      </w:r>
      <w:r>
        <w:t xml:space="preserve"> </w:t>
      </w:r>
      <w:r>
        <w:t xml:space="preserve">or</w:t>
      </w:r>
      <w:r>
        <w:t xml:space="preserve"> </w:t>
      </w:r>
      <w:r>
        <w:rPr>
          <w:rStyle w:val="VerbatimChar"/>
        </w:rPr>
        <w:t xml:space="preserve">SECTION_SUBSETTING</w:t>
      </w:r>
      <w:r>
        <w:t xml:space="preserve"> </w:t>
      </w:r>
      <w:r>
        <w:t xml:space="preserve">(uppercase with underscores replacing dots)</w:t>
      </w:r>
    </w:p>
    <w:p>
      <w:pPr>
        <w:pStyle w:val="BodyText"/>
      </w:pPr>
      <w:r>
        <w:rPr>
          <w:b/>
          <w:bCs/>
        </w:rPr>
        <w:t xml:space="preserve">Examples:</w:t>
      </w:r>
    </w:p>
    <w:p>
      <w:pPr>
        <w:pStyle w:val="SourceCode"/>
      </w:pPr>
      <w:r>
        <w:rPr>
          <w:rStyle w:val="CommentTok"/>
        </w:rPr>
        <w:t xml:space="preserve"># Override global settings</w:t>
      </w:r>
      <w:r>
        <w:br/>
      </w:r>
      <w:r>
        <w:rPr>
          <w:rStyle w:val="VariableTok"/>
        </w:rPr>
        <w:t xml:space="preserve">$env</w:t>
      </w:r>
      <w:r>
        <w:rPr>
          <w:rStyle w:val="OperatorTok"/>
        </w:rPr>
        <w:t xml:space="preserve">:</w:t>
      </w:r>
      <w:r>
        <w:rPr>
          <w:rStyle w:val="VariableTok"/>
        </w:rPr>
        <w:t xml:space="preserve">DEFAULT_CHARSET</w:t>
      </w:r>
      <w:r>
        <w:rPr>
          <w:rStyle w:val="NormalTok"/>
        </w:rPr>
        <w:t xml:space="preserve"> </w:t>
      </w:r>
      <w:r>
        <w:rPr>
          <w:rStyle w:val="OperatorTok"/>
        </w:rPr>
        <w:t xml:space="preserve">=</w:t>
      </w:r>
      <w:r>
        <w:rPr>
          <w:rStyle w:val="NormalTok"/>
        </w:rPr>
        <w:t xml:space="preserve"> </w:t>
      </w:r>
      <w:r>
        <w:rPr>
          <w:rStyle w:val="StringTok"/>
        </w:rPr>
        <w:t xml:space="preserve">"UTF-8"</w:t>
      </w:r>
      <w:r>
        <w:br/>
      </w:r>
      <w:r>
        <w:rPr>
          <w:rStyle w:val="VariableTok"/>
        </w:rPr>
        <w:t xml:space="preserve">$env</w:t>
      </w:r>
      <w:r>
        <w:rPr>
          <w:rStyle w:val="OperatorTok"/>
        </w:rPr>
        <w:t xml:space="preserve">:</w:t>
      </w:r>
      <w:r>
        <w:rPr>
          <w:rStyle w:val="VariableTok"/>
        </w:rPr>
        <w:t xml:space="preserve">DEFAULT_SCRIPT_TIMEOUT</w:t>
      </w:r>
      <w:r>
        <w:rPr>
          <w:rStyle w:val="NormalTok"/>
        </w:rPr>
        <w:t xml:space="preserve"> </w:t>
      </w:r>
      <w:r>
        <w:rPr>
          <w:rStyle w:val="OperatorTok"/>
        </w:rPr>
        <w:t xml:space="preserve">=</w:t>
      </w:r>
      <w:r>
        <w:rPr>
          <w:rStyle w:val="NormalTok"/>
        </w:rPr>
        <w:t xml:space="preserve"> </w:t>
      </w:r>
      <w:r>
        <w:rPr>
          <w:rStyle w:val="StringTok"/>
        </w:rPr>
        <w:t xml:space="preserve">"120"</w:t>
      </w:r>
      <w:r>
        <w:br/>
      </w:r>
      <w:r>
        <w:br/>
      </w:r>
      <w:r>
        <w:rPr>
          <w:rStyle w:val="CommentTok"/>
        </w:rPr>
        <w:t xml:space="preserve"># Override server settings</w:t>
      </w:r>
      <w:r>
        <w:br/>
      </w:r>
      <w:r>
        <w:rPr>
          <w:rStyle w:val="VariableTok"/>
        </w:rPr>
        <w:t xml:space="preserve">$env</w:t>
      </w:r>
      <w:r>
        <w:rPr>
          <w:rStyle w:val="OperatorTok"/>
        </w:rPr>
        <w:t xml:space="preserve">:</w:t>
      </w:r>
      <w:r>
        <w:rPr>
          <w:rStyle w:val="VariableTok"/>
        </w:rPr>
        <w:t xml:space="preserve">SERVER_PORT</w:t>
      </w:r>
      <w:r>
        <w:rPr>
          <w:rStyle w:val="NormalTok"/>
        </w:rPr>
        <w:t xml:space="preserve"> </w:t>
      </w:r>
      <w:r>
        <w:rPr>
          <w:rStyle w:val="OperatorTok"/>
        </w:rPr>
        <w:t xml:space="preserve">=</w:t>
      </w:r>
      <w:r>
        <w:rPr>
          <w:rStyle w:val="NormalTok"/>
        </w:rPr>
        <w:t xml:space="preserve"> </w:t>
      </w:r>
      <w:r>
        <w:rPr>
          <w:rStyle w:val="StringTok"/>
        </w:rPr>
        <w:t xml:space="preserve">"8802"</w:t>
      </w:r>
      <w:r>
        <w:br/>
      </w:r>
      <w:r>
        <w:rPr>
          <w:rStyle w:val="VariableTok"/>
        </w:rPr>
        <w:t xml:space="preserve">$env</w:t>
      </w:r>
      <w:r>
        <w:rPr>
          <w:rStyle w:val="OperatorTok"/>
        </w:rPr>
        <w:t xml:space="preserve">:</w:t>
      </w:r>
      <w:r>
        <w:rPr>
          <w:rStyle w:val="VariableTok"/>
        </w:rPr>
        <w:t xml:space="preserve">WEB_ROOT</w:t>
      </w:r>
      <w:r>
        <w:rPr>
          <w:rStyle w:val="NormalTok"/>
        </w:rPr>
        <w:t xml:space="preserve"> </w:t>
      </w:r>
      <w:r>
        <w:rPr>
          <w:rStyle w:val="OperatorTok"/>
        </w:rPr>
        <w:t xml:space="preserve">=</w:t>
      </w:r>
      <w:r>
        <w:rPr>
          <w:rStyle w:val="NormalTok"/>
        </w:rPr>
        <w:t xml:space="preserve"> </w:t>
      </w:r>
      <w:r>
        <w:rPr>
          <w:rStyle w:val="StringTok"/>
        </w:rPr>
        <w:t xml:space="preserve">"C:\myapp\www"</w:t>
      </w:r>
      <w:r>
        <w:br/>
      </w:r>
      <w:r>
        <w:br/>
      </w:r>
      <w:r>
        <w:rPr>
          <w:rStyle w:val="CommentTok"/>
        </w:rPr>
        <w:t xml:space="preserve"># Override FastCGI settings</w:t>
      </w:r>
      <w:r>
        <w:br/>
      </w:r>
      <w:r>
        <w:rPr>
          <w:rStyle w:val="VariableTok"/>
        </w:rPr>
        <w:t xml:space="preserve">$env</w:t>
      </w:r>
      <w:r>
        <w:rPr>
          <w:rStyle w:val="OperatorTok"/>
        </w:rPr>
        <w:t xml:space="preserve">:</w:t>
      </w:r>
      <w:r>
        <w:rPr>
          <w:rStyle w:val="VariableTok"/>
        </w:rPr>
        <w:t xml:space="preserve">FASTCGI_SERVER_PORT</w:t>
      </w:r>
      <w:r>
        <w:rPr>
          <w:rStyle w:val="NormalTok"/>
        </w:rPr>
        <w:t xml:space="preserve"> </w:t>
      </w:r>
      <w:r>
        <w:rPr>
          <w:rStyle w:val="OperatorTok"/>
        </w:rPr>
        <w:t xml:space="preserve">=</w:t>
      </w:r>
      <w:r>
        <w:rPr>
          <w:rStyle w:val="NormalTok"/>
        </w:rPr>
        <w:t xml:space="preserve"> </w:t>
      </w:r>
      <w:r>
        <w:rPr>
          <w:rStyle w:val="StringTok"/>
        </w:rPr>
        <w:t xml:space="preserve">"9001"</w:t>
      </w:r>
      <w:r>
        <w:br/>
      </w:r>
      <w:r>
        <w:br/>
      </w:r>
      <w:r>
        <w:rPr>
          <w:rStyle w:val="CommentTok"/>
        </w:rPr>
        <w:t xml:space="preserve"># Override database settings (G3DB)</w:t>
      </w:r>
      <w:r>
        <w:br/>
      </w:r>
      <w:r>
        <w:rPr>
          <w:rStyle w:val="VariableTok"/>
        </w:rPr>
        <w:t xml:space="preserve">$env</w:t>
      </w:r>
      <w:r>
        <w:rPr>
          <w:rStyle w:val="OperatorTok"/>
        </w:rPr>
        <w:t xml:space="preserve">:</w:t>
      </w:r>
      <w:r>
        <w:rPr>
          <w:rStyle w:val="VariableTok"/>
        </w:rPr>
        <w:t xml:space="preserve">MYSQL_HOST</w:t>
      </w:r>
      <w:r>
        <w:rPr>
          <w:rStyle w:val="NormalTok"/>
        </w:rPr>
        <w:t xml:space="preserve"> </w:t>
      </w:r>
      <w:r>
        <w:rPr>
          <w:rStyle w:val="OperatorTok"/>
        </w:rPr>
        <w:t xml:space="preserve">=</w:t>
      </w:r>
      <w:r>
        <w:rPr>
          <w:rStyle w:val="NormalTok"/>
        </w:rPr>
        <w:t xml:space="preserve"> </w:t>
      </w:r>
      <w:r>
        <w:rPr>
          <w:rStyle w:val="StringTok"/>
        </w:rPr>
        <w:t xml:space="preserve">"db.example.com"</w:t>
      </w:r>
      <w:r>
        <w:br/>
      </w:r>
      <w:r>
        <w:rPr>
          <w:rStyle w:val="VariableTok"/>
        </w:rPr>
        <w:t xml:space="preserve">$env</w:t>
      </w:r>
      <w:r>
        <w:rPr>
          <w:rStyle w:val="OperatorTok"/>
        </w:rPr>
        <w:t xml:space="preserve">:</w:t>
      </w:r>
      <w:r>
        <w:rPr>
          <w:rStyle w:val="VariableTok"/>
        </w:rPr>
        <w:t xml:space="preserve">MYSQL_USER</w:t>
      </w:r>
      <w:r>
        <w:rPr>
          <w:rStyle w:val="NormalTok"/>
        </w:rPr>
        <w:t xml:space="preserve"> </w:t>
      </w:r>
      <w:r>
        <w:rPr>
          <w:rStyle w:val="OperatorTok"/>
        </w:rPr>
        <w:t xml:space="preserve">=</w:t>
      </w:r>
      <w:r>
        <w:rPr>
          <w:rStyle w:val="NormalTok"/>
        </w:rPr>
        <w:t xml:space="preserve"> </w:t>
      </w:r>
      <w:r>
        <w:rPr>
          <w:rStyle w:val="StringTok"/>
        </w:rPr>
        <w:t xml:space="preserve">"appuser"</w:t>
      </w:r>
      <w:r>
        <w:br/>
      </w:r>
      <w:r>
        <w:rPr>
          <w:rStyle w:val="VariableTok"/>
        </w:rPr>
        <w:t xml:space="preserve">$env</w:t>
      </w:r>
      <w:r>
        <w:rPr>
          <w:rStyle w:val="OperatorTok"/>
        </w:rPr>
        <w:t xml:space="preserve">:</w:t>
      </w:r>
      <w:r>
        <w:rPr>
          <w:rStyle w:val="VariableTok"/>
        </w:rPr>
        <w:t xml:space="preserve">MYSQL_PASS</w:t>
      </w:r>
      <w:r>
        <w:rPr>
          <w:rStyle w:val="NormalTok"/>
        </w:rPr>
        <w:t xml:space="preserve"> </w:t>
      </w:r>
      <w:r>
        <w:rPr>
          <w:rStyle w:val="OperatorTok"/>
        </w:rPr>
        <w:t xml:space="preserve">=</w:t>
      </w:r>
      <w:r>
        <w:rPr>
          <w:rStyle w:val="NormalTok"/>
        </w:rPr>
        <w:t xml:space="preserve"> </w:t>
      </w:r>
      <w:r>
        <w:rPr>
          <w:rStyle w:val="StringTok"/>
        </w:rPr>
        <w:t xml:space="preserve">"securepassword"</w:t>
      </w:r>
    </w:p>
    <w:p>
      <w:pPr>
        <w:pStyle w:val="FirstParagraph"/>
      </w:pPr>
      <w:r>
        <w:rPr>
          <w:b/>
          <w:bCs/>
        </w:rPr>
        <w:t xml:space="preserve">Using .env File:</w:t>
      </w:r>
    </w:p>
    <w:p>
      <w:pPr>
        <w:pStyle w:val="BodyText"/>
      </w:pPr>
      <w:r>
        <w:t xml:space="preserve">Create a</w:t>
      </w:r>
      <w:r>
        <w:t xml:space="preserve"> </w:t>
      </w:r>
      <w:r>
        <w:rPr>
          <w:rStyle w:val="VerbatimChar"/>
        </w:rPr>
        <w:t xml:space="preserve">.env</w:t>
      </w:r>
      <w:r>
        <w:t xml:space="preserve"> </w:t>
      </w:r>
      <w:r>
        <w:t xml:space="preserve">file in the same directory as the executable:</w:t>
      </w:r>
    </w:p>
    <w:p>
      <w:pPr>
        <w:pStyle w:val="SourceCode"/>
      </w:pPr>
      <w:r>
        <w:rPr>
          <w:rStyle w:val="VerbatimChar"/>
        </w:rPr>
        <w:t xml:space="preserve">DEFAULT_CHARSET=UTF-8</w:t>
      </w:r>
      <w:r>
        <w:br/>
      </w:r>
      <w:r>
        <w:rPr>
          <w:rStyle w:val="VerbatimChar"/>
        </w:rPr>
        <w:t xml:space="preserve">SERVER_PORT=8802</w:t>
      </w:r>
      <w:r>
        <w:br/>
      </w:r>
      <w:r>
        <w:rPr>
          <w:rStyle w:val="VerbatimChar"/>
        </w:rPr>
        <w:t xml:space="preserve">MYSQL_HOST=db.example.com</w:t>
      </w:r>
      <w:r>
        <w:br/>
      </w:r>
      <w:r>
        <w:rPr>
          <w:rStyle w:val="VerbatimChar"/>
        </w:rPr>
        <w:t xml:space="preserve">MYSQL_USER=appuser</w:t>
      </w:r>
      <w:r>
        <w:br/>
      </w:r>
      <w:r>
        <w:rPr>
          <w:rStyle w:val="VerbatimChar"/>
        </w:rPr>
        <w:t xml:space="preserve">MYSQL_PASS=securepassword</w:t>
      </w:r>
    </w:p>
    <w:p>
      <w:r>
        <w:pict>
          <v:rect style="width:0;height:1.5pt" o:hralign="center" o:hrstd="t" o:hr="t"/>
        </w:pict>
      </w:r>
    </w:p>
    <w:bookmarkEnd w:id="351"/>
    <w:bookmarkStart w:id="375" w:name="global-settings-global"/>
    <w:p>
      <w:pPr>
        <w:pStyle w:val="Heading2"/>
      </w:pPr>
      <w:r>
        <w:t xml:space="preserve">Global Settings</w:t>
      </w:r>
      <w:r>
        <w:t xml:space="preserve"> </w:t>
      </w:r>
      <w:r>
        <w:rPr>
          <w:rStyle w:val="VerbatimChar"/>
        </w:rPr>
        <w:t xml:space="preserve">[global]</w:t>
      </w:r>
    </w:p>
    <w:p>
      <w:pPr>
        <w:pStyle w:val="FirstParagraph"/>
      </w:pPr>
      <w:r>
        <w:t xml:space="preserve">Global settings apply to all AxonASP runtime modes.</w:t>
      </w:r>
    </w:p>
    <w:bookmarkStart w:id="352" w:name="default_charset"/>
    <w:p>
      <w:pPr>
        <w:pStyle w:val="Heading3"/>
      </w:pPr>
      <w:r>
        <w:t xml:space="preserve">default_charset</w:t>
      </w:r>
    </w:p>
    <w:p>
      <w:pPr>
        <w:pStyle w:val="FirstParagraph"/>
      </w:pPr>
      <w:r>
        <w:rPr>
          <w:b/>
          <w:bCs/>
        </w:rPr>
        <w:t xml:space="preserve">Type:</w:t>
      </w:r>
      <w:r>
        <w:t xml:space="preserve"> </w:t>
      </w:r>
      <w:r>
        <w:t xml:space="preserve">String</w:t>
      </w:r>
      <w:r>
        <w:br/>
      </w:r>
      <w:r>
        <w:rPr>
          <w:b/>
          <w:bCs/>
        </w:rPr>
        <w:t xml:space="preserve">Default:</w:t>
      </w:r>
      <w:r>
        <w:t xml:space="preserve"> </w:t>
      </w:r>
      <w:r>
        <w:rPr>
          <w:rStyle w:val="VerbatimChar"/>
        </w:rPr>
        <w:t xml:space="preserve">"UTF-8"</w:t>
      </w:r>
      <w:r>
        <w:br/>
      </w:r>
      <w:r>
        <w:rPr>
          <w:b/>
          <w:bCs/>
        </w:rPr>
        <w:t xml:space="preserve">Environment Variable:</w:t>
      </w:r>
      <w:r>
        <w:t xml:space="preserve"> </w:t>
      </w:r>
      <w:r>
        <w:rPr>
          <w:rStyle w:val="VerbatimChar"/>
        </w:rPr>
        <w:t xml:space="preserve">DEFAULT_CHARSET</w:t>
      </w:r>
    </w:p>
    <w:p>
      <w:pPr>
        <w:pStyle w:val="BodyText"/>
      </w:pPr>
      <w:r>
        <w:t xml:space="preserve">Sets the character encoding used when serving content. Controls the</w:t>
      </w:r>
      <w:r>
        <w:t xml:space="preserve"> </w:t>
      </w:r>
      <w:r>
        <w:rPr>
          <w:rStyle w:val="VerbatimChar"/>
        </w:rPr>
        <w:t xml:space="preserve">Content-Type: text/html; charset=</w:t>
      </w:r>
      <w:r>
        <w:t xml:space="preserve"> </w:t>
      </w:r>
      <w:r>
        <w:t xml:space="preserve">HTTP header.</w:t>
      </w:r>
    </w:p>
    <w:p>
      <w:pPr>
        <w:pStyle w:val="BodyText"/>
      </w:pPr>
      <w:r>
        <w:rPr>
          <w:b/>
          <w:bCs/>
        </w:rPr>
        <w:t xml:space="preserve">Notes:</w:t>
      </w:r>
      <w:r>
        <w:t xml:space="preserve"> </w:t>
      </w:r>
      <w:r>
        <w:t xml:space="preserve">- Only UTF-8 is supported internally; this setting is for compatibility with legacy ASP applications</w:t>
      </w:r>
      <w:r>
        <w:t xml:space="preserve"> </w:t>
      </w:r>
      <w:r>
        <w:t xml:space="preserve">- HTTP server and FastCGI server include this charset in response headers</w:t>
      </w:r>
      <w:r>
        <w:t xml:space="preserve"> </w:t>
      </w:r>
      <w:r>
        <w:t xml:space="preserve">- CLI always uses UTF-8 regardless of this setting</w:t>
      </w:r>
    </w:p>
    <w:p>
      <w:pPr>
        <w:pStyle w:val="BodyText"/>
      </w:pPr>
      <w:r>
        <w:rPr>
          <w:b/>
          <w:bCs/>
        </w:rPr>
        <w:t xml:space="preserve">Example:</w:t>
      </w:r>
    </w:p>
    <w:p>
      <w:pPr>
        <w:pStyle w:val="SourceCode"/>
      </w:pPr>
      <w:r>
        <w:rPr>
          <w:rStyle w:val="DataTypeTok"/>
        </w:rPr>
        <w:t xml:space="preserve">default_charset</w:t>
      </w:r>
      <w:r>
        <w:rPr>
          <w:rStyle w:val="NormalTok"/>
        </w:rPr>
        <w:t xml:space="preserve"> </w:t>
      </w:r>
      <w:r>
        <w:rPr>
          <w:rStyle w:val="OperatorTok"/>
        </w:rPr>
        <w:t xml:space="preserve">=</w:t>
      </w:r>
      <w:r>
        <w:rPr>
          <w:rStyle w:val="NormalTok"/>
        </w:rPr>
        <w:t xml:space="preserve"> </w:t>
      </w:r>
      <w:r>
        <w:rPr>
          <w:rStyle w:val="StringTok"/>
        </w:rPr>
        <w:t xml:space="preserve">"UTF-8"</w:t>
      </w:r>
    </w:p>
    <w:bookmarkEnd w:id="352"/>
    <w:bookmarkStart w:id="353" w:name="default_mslcid"/>
    <w:p>
      <w:pPr>
        <w:pStyle w:val="Heading3"/>
      </w:pPr>
      <w:r>
        <w:t xml:space="preserve">default_mslcid</w:t>
      </w:r>
    </w:p>
    <w:p>
      <w:pPr>
        <w:pStyle w:val="FirstParagraph"/>
      </w:pPr>
      <w:r>
        <w:rPr>
          <w:b/>
          <w:bCs/>
        </w:rPr>
        <w:t xml:space="preserve">Type:</w:t>
      </w:r>
      <w:r>
        <w:t xml:space="preserve"> </w:t>
      </w:r>
      <w:r>
        <w:t xml:space="preserve">Integer (LCID - Locale ID)</w:t>
      </w:r>
      <w:r>
        <w:br/>
      </w:r>
      <w:r>
        <w:rPr>
          <w:b/>
          <w:bCs/>
        </w:rPr>
        <w:t xml:space="preserve">Default:</w:t>
      </w:r>
      <w:r>
        <w:t xml:space="preserve"> </w:t>
      </w:r>
      <w:r>
        <w:rPr>
          <w:rStyle w:val="VerbatimChar"/>
        </w:rPr>
        <w:t xml:space="preserve">1033</w:t>
      </w:r>
      <w:r>
        <w:t xml:space="preserve"> </w:t>
      </w:r>
      <w:r>
        <w:t xml:space="preserve">(English - United States)</w:t>
      </w:r>
      <w:r>
        <w:br/>
      </w:r>
      <w:r>
        <w:rPr>
          <w:b/>
          <w:bCs/>
        </w:rPr>
        <w:t xml:space="preserve">Environment Variable:</w:t>
      </w:r>
      <w:r>
        <w:t xml:space="preserve"> </w:t>
      </w:r>
      <w:r>
        <w:rPr>
          <w:rStyle w:val="VerbatimChar"/>
        </w:rPr>
        <w:t xml:space="preserve">DEFAULT_MSLCID</w:t>
      </w:r>
    </w:p>
    <w:p>
      <w:pPr>
        <w:pStyle w:val="BodyText"/>
      </w:pPr>
      <w:r>
        <w:t xml:space="preserve">Sets the default locale for ASP applications. Affects date/time formatting, number formatting, and language-specific functions.</w:t>
      </w:r>
    </w:p>
    <w:p>
      <w:pPr>
        <w:pStyle w:val="BodyText"/>
      </w:pPr>
      <w:r>
        <w:rPr>
          <w:b/>
          <w:bCs/>
        </w:rPr>
        <w:t xml:space="preserve">Common LCIDs:</w:t>
      </w:r>
      <w:r>
        <w:t xml:space="preserve"> </w:t>
      </w:r>
      <w:r>
        <w:t xml:space="preserve">-</w:t>
      </w:r>
      <w:r>
        <w:t xml:space="preserve"> </w:t>
      </w:r>
      <w:r>
        <w:rPr>
          <w:rStyle w:val="VerbatimChar"/>
        </w:rPr>
        <w:t xml:space="preserve">1033</w:t>
      </w:r>
      <w:r>
        <w:t xml:space="preserve"> </w:t>
      </w:r>
      <w:r>
        <w:t xml:space="preserve">- English (United States)</w:t>
      </w:r>
      <w:r>
        <w:t xml:space="preserve"> </w:t>
      </w:r>
      <w:r>
        <w:t xml:space="preserve">-</w:t>
      </w:r>
      <w:r>
        <w:t xml:space="preserve"> </w:t>
      </w:r>
      <w:r>
        <w:rPr>
          <w:rStyle w:val="VerbatimChar"/>
        </w:rPr>
        <w:t xml:space="preserve">2057</w:t>
      </w:r>
      <w:r>
        <w:t xml:space="preserve"> </w:t>
      </w:r>
      <w:r>
        <w:t xml:space="preserve">- English (United Kingdom)</w:t>
      </w:r>
      <w:r>
        <w:t xml:space="preserve"> </w:t>
      </w:r>
      <w:r>
        <w:t xml:space="preserve">-</w:t>
      </w:r>
      <w:r>
        <w:t xml:space="preserve"> </w:t>
      </w:r>
      <w:r>
        <w:rPr>
          <w:rStyle w:val="VerbatimChar"/>
        </w:rPr>
        <w:t xml:space="preserve">1046</w:t>
      </w:r>
      <w:r>
        <w:t xml:space="preserve"> </w:t>
      </w:r>
      <w:r>
        <w:t xml:space="preserve">- Portuguese (Brazil)</w:t>
      </w:r>
      <w:r>
        <w:t xml:space="preserve"> </w:t>
      </w:r>
      <w:r>
        <w:t xml:space="preserve">-</w:t>
      </w:r>
      <w:r>
        <w:t xml:space="preserve"> </w:t>
      </w:r>
      <w:r>
        <w:rPr>
          <w:rStyle w:val="VerbatimChar"/>
        </w:rPr>
        <w:t xml:space="preserve">1051</w:t>
      </w:r>
      <w:r>
        <w:t xml:space="preserve"> </w:t>
      </w:r>
      <w:r>
        <w:t xml:space="preserve">- German (Germany)</w:t>
      </w:r>
      <w:r>
        <w:t xml:space="preserve"> </w:t>
      </w:r>
      <w:r>
        <w:t xml:space="preserve">-</w:t>
      </w:r>
      <w:r>
        <w:t xml:space="preserve"> </w:t>
      </w:r>
      <w:r>
        <w:rPr>
          <w:rStyle w:val="VerbatimChar"/>
        </w:rPr>
        <w:t xml:space="preserve">1035</w:t>
      </w:r>
      <w:r>
        <w:t xml:space="preserve"> </w:t>
      </w:r>
      <w:r>
        <w:t xml:space="preserve">- Finnish</w:t>
      </w:r>
      <w:r>
        <w:t xml:space="preserve"> </w:t>
      </w:r>
      <w:r>
        <w:t xml:space="preserve">-</w:t>
      </w:r>
      <w:r>
        <w:t xml:space="preserve"> </w:t>
      </w:r>
      <w:r>
        <w:rPr>
          <w:rStyle w:val="VerbatimChar"/>
        </w:rPr>
        <w:t xml:space="preserve">1040</w:t>
      </w:r>
      <w:r>
        <w:t xml:space="preserve"> </w:t>
      </w:r>
      <w:r>
        <w:t xml:space="preserve">- Italian</w:t>
      </w:r>
      <w:r>
        <w:t xml:space="preserve"> </w:t>
      </w:r>
      <w:r>
        <w:t xml:space="preserve">-</w:t>
      </w:r>
      <w:r>
        <w:t xml:space="preserve"> </w:t>
      </w:r>
      <w:r>
        <w:rPr>
          <w:rStyle w:val="VerbatimChar"/>
        </w:rPr>
        <w:t xml:space="preserve">3082</w:t>
      </w:r>
      <w:r>
        <w:t xml:space="preserve"> </w:t>
      </w:r>
      <w:r>
        <w:t xml:space="preserve">- Spanish (Spain)</w:t>
      </w:r>
      <w:r>
        <w:t xml:space="preserve"> </w:t>
      </w:r>
      <w:r>
        <w:t xml:space="preserve">-</w:t>
      </w:r>
      <w:r>
        <w:t xml:space="preserve"> </w:t>
      </w:r>
      <w:r>
        <w:rPr>
          <w:rStyle w:val="VerbatimChar"/>
        </w:rPr>
        <w:t xml:space="preserve">1036</w:t>
      </w:r>
      <w:r>
        <w:t xml:space="preserve"> </w:t>
      </w:r>
      <w:r>
        <w:t xml:space="preserve">- French (France)</w:t>
      </w:r>
    </w:p>
    <w:p>
      <w:pPr>
        <w:pStyle w:val="BodyText"/>
      </w:pPr>
      <w:r>
        <w:rPr>
          <w:b/>
          <w:bCs/>
        </w:rPr>
        <w:t xml:space="preserve">Example:</w:t>
      </w:r>
    </w:p>
    <w:p>
      <w:pPr>
        <w:pStyle w:val="SourceCode"/>
      </w:pPr>
      <w:r>
        <w:rPr>
          <w:rStyle w:val="DataTypeTok"/>
        </w:rPr>
        <w:t xml:space="preserve">default_mslcid</w:t>
      </w:r>
      <w:r>
        <w:rPr>
          <w:rStyle w:val="NormalTok"/>
        </w:rPr>
        <w:t xml:space="preserve"> </w:t>
      </w:r>
      <w:r>
        <w:rPr>
          <w:rStyle w:val="OperatorTok"/>
        </w:rPr>
        <w:t xml:space="preserve">=</w:t>
      </w:r>
      <w:r>
        <w:rPr>
          <w:rStyle w:val="NormalTok"/>
        </w:rPr>
        <w:t xml:space="preserve"> </w:t>
      </w:r>
      <w:r>
        <w:rPr>
          <w:rStyle w:val="DecValTok"/>
        </w:rPr>
        <w:t xml:space="preserve">1046</w:t>
      </w:r>
      <w:r>
        <w:rPr>
          <w:rStyle w:val="NormalTok"/>
        </w:rPr>
        <w:t xml:space="preserve">  </w:t>
      </w:r>
      <w:r>
        <w:rPr>
          <w:rStyle w:val="CommentTok"/>
        </w:rPr>
        <w:t xml:space="preserve"># Portuguese (Brazil)</w:t>
      </w:r>
    </w:p>
    <w:bookmarkEnd w:id="353"/>
    <w:bookmarkStart w:id="354" w:name="default_script_timeout"/>
    <w:p>
      <w:pPr>
        <w:pStyle w:val="Heading3"/>
      </w:pPr>
      <w:r>
        <w:t xml:space="preserve">default_script_timeout</w:t>
      </w:r>
    </w:p>
    <w:p>
      <w:pPr>
        <w:pStyle w:val="FirstParagraph"/>
      </w:pPr>
      <w:r>
        <w:rPr>
          <w:b/>
          <w:bCs/>
        </w:rPr>
        <w:t xml:space="preserve">Type:</w:t>
      </w:r>
      <w:r>
        <w:t xml:space="preserve"> </w:t>
      </w:r>
      <w:r>
        <w:t xml:space="preserve">Integer (seconds)</w:t>
      </w:r>
      <w:r>
        <w:br/>
      </w:r>
      <w:r>
        <w:rPr>
          <w:b/>
          <w:bCs/>
        </w:rPr>
        <w:t xml:space="preserve">Default:</w:t>
      </w:r>
      <w:r>
        <w:t xml:space="preserve"> </w:t>
      </w:r>
      <w:r>
        <w:rPr>
          <w:rStyle w:val="VerbatimChar"/>
        </w:rPr>
        <w:t xml:space="preserve">60</w:t>
      </w:r>
      <w:r>
        <w:br/>
      </w:r>
      <w:r>
        <w:rPr>
          <w:b/>
          <w:bCs/>
        </w:rPr>
        <w:t xml:space="preserve">Environment Variable:</w:t>
      </w:r>
      <w:r>
        <w:t xml:space="preserve"> </w:t>
      </w:r>
      <w:r>
        <w:rPr>
          <w:rStyle w:val="VerbatimChar"/>
        </w:rPr>
        <w:t xml:space="preserve">DEFAULT_SCRIPT_TIMEOUT</w:t>
      </w:r>
    </w:p>
    <w:p>
      <w:pPr>
        <w:pStyle w:val="BodyText"/>
      </w:pPr>
      <w:r>
        <w:t xml:space="preserve">Maximum execution time before the server terminates an ASP script. Prevents runaway scripts from consuming resources indefinitely.</w:t>
      </w:r>
    </w:p>
    <w:p>
      <w:pPr>
        <w:pStyle w:val="BodyText"/>
      </w:pPr>
      <w:r>
        <w:rPr>
          <w:b/>
          <w:bCs/>
        </w:rPr>
        <w:t xml:space="preserve">Guidelines:</w:t>
      </w:r>
      <w:r>
        <w:t xml:space="preserve"> </w:t>
      </w:r>
      <w:r>
        <w:t xml:space="preserve">-</w:t>
      </w:r>
      <w:r>
        <w:t xml:space="preserve"> </w:t>
      </w:r>
      <w:r>
        <w:rPr>
          <w:b/>
          <w:bCs/>
        </w:rPr>
        <w:t xml:space="preserve">Development:</w:t>
      </w:r>
      <w:r>
        <w:t xml:space="preserve"> </w:t>
      </w:r>
      <w:r>
        <w:t xml:space="preserve">120-300 seconds (allow for interactive debugging)</w:t>
      </w:r>
      <w:r>
        <w:t xml:space="preserve"> </w:t>
      </w:r>
      <w:r>
        <w:t xml:space="preserve">-</w:t>
      </w:r>
      <w:r>
        <w:t xml:space="preserve"> </w:t>
      </w:r>
      <w:r>
        <w:rPr>
          <w:b/>
          <w:bCs/>
        </w:rPr>
        <w:t xml:space="preserve">Production:</w:t>
      </w:r>
      <w:r>
        <w:t xml:space="preserve"> </w:t>
      </w:r>
      <w:r>
        <w:t xml:space="preserve">30-60 seconds (strict resource control)</w:t>
      </w:r>
      <w:r>
        <w:t xml:space="preserve"> </w:t>
      </w:r>
      <w:r>
        <w:t xml:space="preserve">-</w:t>
      </w:r>
      <w:r>
        <w:t xml:space="preserve"> </w:t>
      </w:r>
      <w:r>
        <w:rPr>
          <w:b/>
          <w:bCs/>
        </w:rPr>
        <w:t xml:space="preserve">Long-Running Tasks:</w:t>
      </w:r>
      <w:r>
        <w:t xml:space="preserve"> </w:t>
      </w:r>
      <w:r>
        <w:t xml:space="preserve">300+ seconds (but consider background jobs instead)</w:t>
      </w:r>
    </w:p>
    <w:p>
      <w:pPr>
        <w:pStyle w:val="BodyText"/>
      </w:pPr>
      <w:r>
        <w:rPr>
          <w:b/>
          <w:bCs/>
        </w:rPr>
        <w:t xml:space="preserve">Example:</w:t>
      </w:r>
    </w:p>
    <w:p>
      <w:pPr>
        <w:pStyle w:val="SourceCode"/>
      </w:pPr>
      <w:r>
        <w:rPr>
          <w:rStyle w:val="DataTypeTok"/>
        </w:rPr>
        <w:t xml:space="preserve">default_script_timeout</w:t>
      </w:r>
      <w:r>
        <w:rPr>
          <w:rStyle w:val="NormalTok"/>
        </w:rPr>
        <w:t xml:space="preserve"> </w:t>
      </w:r>
      <w:r>
        <w:rPr>
          <w:rStyle w:val="OperatorTok"/>
        </w:rPr>
        <w:t xml:space="preserve">=</w:t>
      </w:r>
      <w:r>
        <w:rPr>
          <w:rStyle w:val="NormalTok"/>
        </w:rPr>
        <w:t xml:space="preserve"> </w:t>
      </w:r>
      <w:r>
        <w:rPr>
          <w:rStyle w:val="DecValTok"/>
        </w:rPr>
        <w:t xml:space="preserve">60</w:t>
      </w:r>
    </w:p>
    <w:bookmarkEnd w:id="354"/>
    <w:bookmarkStart w:id="355" w:name="response_buffer_limit_mb"/>
    <w:p>
      <w:pPr>
        <w:pStyle w:val="Heading3"/>
      </w:pPr>
      <w:r>
        <w:t xml:space="preserve">response_buffer_limit_mb</w:t>
      </w:r>
    </w:p>
    <w:p>
      <w:pPr>
        <w:pStyle w:val="FirstParagraph"/>
      </w:pPr>
      <w:r>
        <w:rPr>
          <w:b/>
          <w:bCs/>
        </w:rPr>
        <w:t xml:space="preserve">Type:</w:t>
      </w:r>
      <w:r>
        <w:t xml:space="preserve"> </w:t>
      </w:r>
      <w:r>
        <w:t xml:space="preserve">Integer (megabytes)</w:t>
      </w:r>
      <w:r>
        <w:br/>
      </w:r>
      <w:r>
        <w:rPr>
          <w:b/>
          <w:bCs/>
        </w:rPr>
        <w:t xml:space="preserve">Default:</w:t>
      </w:r>
      <w:r>
        <w:t xml:space="preserve"> </w:t>
      </w:r>
      <w:r>
        <w:rPr>
          <w:rStyle w:val="VerbatimChar"/>
        </w:rPr>
        <w:t xml:space="preserve">4</w:t>
      </w:r>
      <w:r>
        <w:br/>
      </w:r>
      <w:r>
        <w:rPr>
          <w:b/>
          <w:bCs/>
        </w:rPr>
        <w:t xml:space="preserve">Environment Variable:</w:t>
      </w:r>
      <w:r>
        <w:t xml:space="preserve"> </w:t>
      </w:r>
      <w:r>
        <w:rPr>
          <w:rStyle w:val="VerbatimChar"/>
        </w:rPr>
        <w:t xml:space="preserve">RESPONSE_BUFFER_LIMIT_MB</w:t>
      </w:r>
    </w:p>
    <w:p>
      <w:pPr>
        <w:pStyle w:val="BodyText"/>
      </w:pPr>
      <w:r>
        <w:t xml:space="preserve">Maximum size of buffered output when</w:t>
      </w:r>
      <w:r>
        <w:t xml:space="preserve"> </w:t>
      </w:r>
      <w:r>
        <w:rPr>
          <w:rStyle w:val="VerbatimChar"/>
        </w:rPr>
        <w:t xml:space="preserve">Response.Buffer</w:t>
      </w:r>
      <w:r>
        <w:t xml:space="preserve"> </w:t>
      </w:r>
      <w:r>
        <w:t xml:space="preserve">is enabled before aborting with a runtime error. Protects against unbounded memory consumption.</w:t>
      </w:r>
    </w:p>
    <w:p>
      <w:pPr>
        <w:pStyle w:val="BodyText"/>
      </w:pPr>
      <w:r>
        <w:rPr>
          <w:b/>
          <w:bCs/>
        </w:rPr>
        <w:t xml:space="preserve">Guidelines:</w:t>
      </w:r>
      <w:r>
        <w:t xml:space="preserve"> </w:t>
      </w:r>
      <w:r>
        <w:t xml:space="preserve">-</w:t>
      </w:r>
      <w:r>
        <w:t xml:space="preserve"> </w:t>
      </w:r>
      <w:r>
        <w:rPr>
          <w:b/>
          <w:bCs/>
        </w:rPr>
        <w:t xml:space="preserve">Small Sites:</w:t>
      </w:r>
      <w:r>
        <w:t xml:space="preserve"> </w:t>
      </w:r>
      <w:r>
        <w:t xml:space="preserve">2-4 MB (default)</w:t>
      </w:r>
      <w:r>
        <w:t xml:space="preserve"> </w:t>
      </w:r>
      <w:r>
        <w:t xml:space="preserve">-</w:t>
      </w:r>
      <w:r>
        <w:t xml:space="preserve"> </w:t>
      </w:r>
      <w:r>
        <w:rPr>
          <w:b/>
          <w:bCs/>
        </w:rPr>
        <w:t xml:space="preserve">Medium Sites:</w:t>
      </w:r>
      <w:r>
        <w:t xml:space="preserve"> </w:t>
      </w:r>
      <w:r>
        <w:t xml:space="preserve">8-16 MB</w:t>
      </w:r>
      <w:r>
        <w:t xml:space="preserve"> </w:t>
      </w:r>
      <w:r>
        <w:t xml:space="preserve">-</w:t>
      </w:r>
      <w:r>
        <w:t xml:space="preserve"> </w:t>
      </w:r>
      <w:r>
        <w:rPr>
          <w:b/>
          <w:bCs/>
        </w:rPr>
        <w:t xml:space="preserve">Large Sites:</w:t>
      </w:r>
      <w:r>
        <w:t xml:space="preserve"> </w:t>
      </w:r>
      <w:r>
        <w:t xml:space="preserve">32-64 MB (requires proportional memory allocation)</w:t>
      </w:r>
    </w:p>
    <w:p>
      <w:pPr>
        <w:pStyle w:val="BodyText"/>
      </w:pPr>
      <w:r>
        <w:rPr>
          <w:b/>
          <w:bCs/>
        </w:rPr>
        <w:t xml:space="preserve">Example:</w:t>
      </w:r>
    </w:p>
    <w:p>
      <w:pPr>
        <w:pStyle w:val="SourceCode"/>
      </w:pPr>
      <w:r>
        <w:rPr>
          <w:rStyle w:val="DataTypeTok"/>
        </w:rPr>
        <w:t xml:space="preserve">response_buffer_limit_mb</w:t>
      </w:r>
      <w:r>
        <w:rPr>
          <w:rStyle w:val="NormalTok"/>
        </w:rPr>
        <w:t xml:space="preserve"> </w:t>
      </w:r>
      <w:r>
        <w:rPr>
          <w:rStyle w:val="OperatorTok"/>
        </w:rPr>
        <w:t xml:space="preserve">=</w:t>
      </w:r>
      <w:r>
        <w:rPr>
          <w:rStyle w:val="NormalTok"/>
        </w:rPr>
        <w:t xml:space="preserve"> </w:t>
      </w:r>
      <w:r>
        <w:rPr>
          <w:rStyle w:val="DecValTok"/>
        </w:rPr>
        <w:t xml:space="preserve">4</w:t>
      </w:r>
    </w:p>
    <w:bookmarkEnd w:id="355"/>
    <w:bookmarkStart w:id="356" w:name="default_timezone"/>
    <w:p>
      <w:pPr>
        <w:pStyle w:val="Heading3"/>
      </w:pPr>
      <w:r>
        <w:t xml:space="preserve">default_timezone</w:t>
      </w:r>
    </w:p>
    <w:p>
      <w:pPr>
        <w:pStyle w:val="FirstParagraph"/>
      </w:pPr>
      <w:r>
        <w:rPr>
          <w:b/>
          <w:bCs/>
        </w:rPr>
        <w:t xml:space="preserve">Type:</w:t>
      </w:r>
      <w:r>
        <w:t xml:space="preserve"> </w:t>
      </w:r>
      <w:r>
        <w:t xml:space="preserve">String (IANA timezone)</w:t>
      </w:r>
      <w:r>
        <w:br/>
      </w:r>
      <w:r>
        <w:rPr>
          <w:b/>
          <w:bCs/>
        </w:rPr>
        <w:t xml:space="preserve">Default:</w:t>
      </w:r>
      <w:r>
        <w:t xml:space="preserve"> </w:t>
      </w:r>
      <w:r>
        <w:rPr>
          <w:rStyle w:val="VerbatimChar"/>
        </w:rPr>
        <w:t xml:space="preserve">"UTC"</w:t>
      </w:r>
      <w:r>
        <w:br/>
      </w:r>
      <w:r>
        <w:rPr>
          <w:b/>
          <w:bCs/>
        </w:rPr>
        <w:t xml:space="preserve">Environment Variable:</w:t>
      </w:r>
      <w:r>
        <w:t xml:space="preserve"> </w:t>
      </w:r>
      <w:r>
        <w:rPr>
          <w:rStyle w:val="VerbatimChar"/>
        </w:rPr>
        <w:t xml:space="preserve">DEFAULT_TIMEZONE</w:t>
      </w:r>
    </w:p>
    <w:p>
      <w:pPr>
        <w:pStyle w:val="BodyText"/>
      </w:pPr>
      <w:r>
        <w:t xml:space="preserve">Set the default timezone for the server. Make sure to use a valid timezone identifier from the IANA Time Zone Database. You can also use UTC+offsets like</w:t>
      </w:r>
      <w:r>
        <w:t xml:space="preserve"> </w:t>
      </w:r>
      <w:r>
        <w:t xml:space="preserve">“UTC+2”</w:t>
      </w:r>
      <w:r>
        <w:t xml:space="preserve"> </w:t>
      </w:r>
      <w:r>
        <w:t xml:space="preserve">or</w:t>
      </w:r>
      <w:r>
        <w:t xml:space="preserve"> </w:t>
      </w:r>
      <w:r>
        <w:t xml:space="preserve">“UTC-5”</w:t>
      </w:r>
      <w:r>
        <w:t xml:space="preserve"> </w:t>
      </w:r>
      <w:r>
        <w:t xml:space="preserve">to specify a timezone relative to UTC, but it’s generally recommended to use named timezones for better clarity and to account for daylight saving time changes. The server will use this timezone setting for date and time functions in your ASP scripts, as well as for logging and other time-related operations. Note that this setting does not affect the system timezone of the server itself, which may be different from the timezone used by the AxonASP server.</w:t>
      </w:r>
    </w:p>
    <w:p>
      <w:pPr>
        <w:pStyle w:val="BodyText"/>
      </w:pPr>
      <w:r>
        <w:rPr>
          <w:b/>
          <w:bCs/>
        </w:rPr>
        <w:t xml:space="preserve">Common Timezones:</w:t>
      </w:r>
      <w:r>
        <w:t xml:space="preserve"> </w:t>
      </w:r>
      <w:r>
        <w:t xml:space="preserve">-</w:t>
      </w:r>
      <w:r>
        <w:t xml:space="preserve"> </w:t>
      </w:r>
      <w:r>
        <w:rPr>
          <w:rStyle w:val="VerbatimChar"/>
        </w:rPr>
        <w:t xml:space="preserve">"UTC"</w:t>
      </w:r>
      <w:r>
        <w:t xml:space="preserve"> </w:t>
      </w:r>
      <w:r>
        <w:t xml:space="preserve">-</w:t>
      </w:r>
      <w:r>
        <w:t xml:space="preserve"> </w:t>
      </w:r>
      <w:r>
        <w:rPr>
          <w:rStyle w:val="VerbatimChar"/>
        </w:rPr>
        <w:t xml:space="preserve">"America/New_York"</w:t>
      </w:r>
      <w:r>
        <w:t xml:space="preserve"> </w:t>
      </w:r>
      <w:r>
        <w:t xml:space="preserve">-</w:t>
      </w:r>
      <w:r>
        <w:t xml:space="preserve"> </w:t>
      </w:r>
      <w:r>
        <w:rPr>
          <w:rStyle w:val="VerbatimChar"/>
        </w:rPr>
        <w:t xml:space="preserve">"America/Chicago"</w:t>
      </w:r>
      <w:r>
        <w:t xml:space="preserve"> </w:t>
      </w:r>
      <w:r>
        <w:t xml:space="preserve">-</w:t>
      </w:r>
      <w:r>
        <w:t xml:space="preserve"> </w:t>
      </w:r>
      <w:r>
        <w:rPr>
          <w:rStyle w:val="VerbatimChar"/>
        </w:rPr>
        <w:t xml:space="preserve">"America/Los_Angeles"</w:t>
      </w:r>
      <w:r>
        <w:t xml:space="preserve"> </w:t>
      </w:r>
      <w:r>
        <w:t xml:space="preserve">-</w:t>
      </w:r>
      <w:r>
        <w:t xml:space="preserve"> </w:t>
      </w:r>
      <w:r>
        <w:rPr>
          <w:rStyle w:val="VerbatimChar"/>
        </w:rPr>
        <w:t xml:space="preserve">"Europe/London"</w:t>
      </w:r>
      <w:r>
        <w:t xml:space="preserve"> </w:t>
      </w:r>
      <w:r>
        <w:t xml:space="preserve">-</w:t>
      </w:r>
      <w:r>
        <w:t xml:space="preserve"> </w:t>
      </w:r>
      <w:r>
        <w:rPr>
          <w:rStyle w:val="VerbatimChar"/>
        </w:rPr>
        <w:t xml:space="preserve">"Europe/Paris"</w:t>
      </w:r>
      <w:r>
        <w:t xml:space="preserve"> </w:t>
      </w:r>
      <w:r>
        <w:t xml:space="preserve">-</w:t>
      </w:r>
      <w:r>
        <w:t xml:space="preserve"> </w:t>
      </w:r>
      <w:r>
        <w:rPr>
          <w:rStyle w:val="VerbatimChar"/>
        </w:rPr>
        <w:t xml:space="preserve">"Asia/Tokyo"</w:t>
      </w:r>
      <w:r>
        <w:t xml:space="preserve"> </w:t>
      </w:r>
      <w:r>
        <w:t xml:space="preserve">-</w:t>
      </w:r>
      <w:r>
        <w:t xml:space="preserve"> </w:t>
      </w:r>
      <w:r>
        <w:rPr>
          <w:rStyle w:val="VerbatimChar"/>
        </w:rPr>
        <w:t xml:space="preserve">"Asia/Shanghai"</w:t>
      </w:r>
      <w:r>
        <w:t xml:space="preserve"> </w:t>
      </w:r>
      <w:r>
        <w:t xml:space="preserve">-</w:t>
      </w:r>
      <w:r>
        <w:t xml:space="preserve"> </w:t>
      </w:r>
      <w:r>
        <w:rPr>
          <w:rStyle w:val="VerbatimChar"/>
        </w:rPr>
        <w:t xml:space="preserve">"Australia/Sydney"</w:t>
      </w:r>
      <w:r>
        <w:t xml:space="preserve"> </w:t>
      </w:r>
      <w:r>
        <w:t xml:space="preserve">-</w:t>
      </w:r>
      <w:r>
        <w:t xml:space="preserve"> </w:t>
      </w:r>
      <w:r>
        <w:rPr>
          <w:rStyle w:val="VerbatimChar"/>
        </w:rPr>
        <w:t xml:space="preserve">"America/Sao_Paulo"</w:t>
      </w:r>
    </w:p>
    <w:p>
      <w:pPr>
        <w:pStyle w:val="BodyText"/>
      </w:pPr>
      <w:r>
        <w:rPr>
          <w:b/>
          <w:bCs/>
        </w:rPr>
        <w:t xml:space="preserve">Example:</w:t>
      </w:r>
    </w:p>
    <w:p>
      <w:pPr>
        <w:pStyle w:val="SourceCode"/>
      </w:pPr>
      <w:r>
        <w:rPr>
          <w:rStyle w:val="DataTypeTok"/>
        </w:rPr>
        <w:t xml:space="preserve">default_timezone</w:t>
      </w:r>
      <w:r>
        <w:rPr>
          <w:rStyle w:val="NormalTok"/>
        </w:rPr>
        <w:t xml:space="preserve"> </w:t>
      </w:r>
      <w:r>
        <w:rPr>
          <w:rStyle w:val="OperatorTok"/>
        </w:rPr>
        <w:t xml:space="preserve">=</w:t>
      </w:r>
      <w:r>
        <w:rPr>
          <w:rStyle w:val="NormalTok"/>
        </w:rPr>
        <w:t xml:space="preserve"> </w:t>
      </w:r>
      <w:r>
        <w:rPr>
          <w:rStyle w:val="StringTok"/>
        </w:rPr>
        <w:t xml:space="preserve">"America/New_York"</w:t>
      </w:r>
    </w:p>
    <w:bookmarkEnd w:id="356"/>
    <w:bookmarkStart w:id="357" w:name="enable_asp_debugging"/>
    <w:p>
      <w:pPr>
        <w:pStyle w:val="Heading3"/>
      </w:pPr>
      <w:r>
        <w:t xml:space="preserve">enable_asp_debugging</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ENABLE_ASP_DEBUGGING</w:t>
      </w:r>
    </w:p>
    <w:p>
      <w:pPr>
        <w:pStyle w:val="BodyText"/>
      </w:pPr>
      <w:r>
        <w:t xml:space="preserve">When enabled, the HTTP/FastCGI server provides detailed error messages, stack traces, and debugging information. Helpful during development but exposes sensitive information.</w:t>
      </w:r>
    </w:p>
    <w:p>
      <w:pPr>
        <w:pStyle w:val="BodyText"/>
      </w:pPr>
      <w:r>
        <w:rPr>
          <w:b/>
          <w:bCs/>
        </w:rPr>
        <w:t xml:space="preserve">⚠️ Security Warning:</w:t>
      </w:r>
      <w:r>
        <w:t xml:space="preserve"> </w:t>
      </w:r>
      <w:r>
        <w:rPr>
          <w:i/>
          <w:iCs/>
        </w:rPr>
        <w:t xml:space="preserve">ALWAYS</w:t>
      </w:r>
      <w:r>
        <w:t xml:space="preserve"> </w:t>
      </w:r>
      <w:r>
        <w:t xml:space="preserve">disable in production environments! This will also enable go pprof endpoints on the proxy server version, which can be accessed at /debug/pprof and can provide detailed information about the server’s performance and resource usage, but it can also pose a security risk if exposed to unauthorized users. If for any reason you need to enable ASP debugging in production, make sure to secure the pprof endpoints properly.</w:t>
      </w:r>
    </w:p>
    <w:p>
      <w:pPr>
        <w:pStyle w:val="BodyText"/>
      </w:pPr>
      <w:r>
        <w:rPr>
          <w:b/>
          <w:bCs/>
        </w:rPr>
        <w:t xml:space="preserve">Example:</w:t>
      </w:r>
    </w:p>
    <w:p>
      <w:pPr>
        <w:pStyle w:val="SourceCode"/>
      </w:pPr>
      <w:r>
        <w:rPr>
          <w:rStyle w:val="DataTypeTok"/>
        </w:rPr>
        <w:t xml:space="preserve">enable_asp_debugging</w:t>
      </w:r>
      <w:r>
        <w:rPr>
          <w:rStyle w:val="NormalTok"/>
        </w:rPr>
        <w:t xml:space="preserve"> </w:t>
      </w:r>
      <w:r>
        <w:rPr>
          <w:rStyle w:val="OperatorTok"/>
        </w:rPr>
        <w:t xml:space="preserve">=</w:t>
      </w:r>
      <w:r>
        <w:rPr>
          <w:rStyle w:val="NormalTok"/>
        </w:rPr>
        <w:t xml:space="preserve"> </w:t>
      </w:r>
      <w:r>
        <w:rPr>
          <w:rStyle w:val="ConstantTok"/>
        </w:rPr>
        <w:t xml:space="preserve">true</w:t>
      </w:r>
      <w:r>
        <w:rPr>
          <w:rStyle w:val="NormalTok"/>
        </w:rPr>
        <w:t xml:space="preserve">  </w:t>
      </w:r>
      <w:r>
        <w:rPr>
          <w:rStyle w:val="CommentTok"/>
        </w:rPr>
        <w:t xml:space="preserve"># Development only!</w:t>
      </w:r>
    </w:p>
    <w:bookmarkEnd w:id="357"/>
    <w:bookmarkStart w:id="358" w:name="enable_log_files"/>
    <w:p>
      <w:pPr>
        <w:pStyle w:val="Heading3"/>
      </w:pPr>
      <w:r>
        <w:t xml:space="preserve">enable_log_files</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ENABLE_LOG_FILES</w:t>
      </w:r>
    </w:p>
    <w:p>
      <w:pPr>
        <w:pStyle w:val="BodyText"/>
      </w:pPr>
      <w:r>
        <w:t xml:space="preserve">When enabled, AxonASP writes runtime diagnostic files in</w:t>
      </w:r>
      <w:r>
        <w:t xml:space="preserve"> </w:t>
      </w:r>
      <w:r>
        <w:rPr>
          <w:rStyle w:val="VerbatimChar"/>
        </w:rPr>
        <w:t xml:space="preserve">./temp/</w:t>
      </w:r>
      <w:r>
        <w:t xml:space="preserve"> </w:t>
      </w:r>
      <w:r>
        <w:t xml:space="preserve">or the directory specified by</w:t>
      </w:r>
      <w:r>
        <w:t xml:space="preserve"> </w:t>
      </w:r>
      <w:r>
        <w:rPr>
          <w:rStyle w:val="VerbatimChar"/>
        </w:rPr>
        <w:t xml:space="preserve">GLOBAL_TEMP_DIR</w:t>
      </w:r>
      <w:r>
        <w:t xml:space="preserve">. These files include:</w:t>
      </w:r>
      <w:r>
        <w:t xml:space="preserve"> </w:t>
      </w:r>
      <w:r>
        <w:t xml:space="preserve">-</w:t>
      </w:r>
      <w:r>
        <w:t xml:space="preserve"> </w:t>
      </w:r>
      <w:r>
        <w:rPr>
          <w:rStyle w:val="VerbatimChar"/>
        </w:rPr>
        <w:t xml:space="preserve">error.log</w:t>
      </w:r>
      <w:r>
        <w:t xml:space="preserve"> </w:t>
      </w:r>
      <w:r>
        <w:t xml:space="preserve">for processed ASP/VBScript/runtime errors, plus</w:t>
      </w:r>
      <w:r>
        <w:t xml:space="preserve"> </w:t>
      </w:r>
      <w:r>
        <w:rPr>
          <w:rStyle w:val="VerbatimChar"/>
        </w:rPr>
        <w:t xml:space="preserve">console.error</w:t>
      </w:r>
      <w:r>
        <w:t xml:space="preserve"> </w:t>
      </w:r>
      <w:r>
        <w:t xml:space="preserve">and</w:t>
      </w:r>
      <w:r>
        <w:t xml:space="preserve"> </w:t>
      </w:r>
      <w:r>
        <w:rPr>
          <w:rStyle w:val="VerbatimChar"/>
        </w:rPr>
        <w:t xml:space="preserve">console.warn</w:t>
      </w:r>
      <w:r>
        <w:t xml:space="preserve"> </w:t>
      </w:r>
      <w:r>
        <w:t xml:space="preserve">output</w:t>
      </w:r>
      <w:r>
        <w:t xml:space="preserve"> </w:t>
      </w:r>
      <w:r>
        <w:t xml:space="preserve">-</w:t>
      </w:r>
      <w:r>
        <w:t xml:space="preserve"> </w:t>
      </w:r>
      <w:r>
        <w:rPr>
          <w:rStyle w:val="VerbatimChar"/>
        </w:rPr>
        <w:t xml:space="preserve">console.log</w:t>
      </w:r>
      <w:r>
        <w:t xml:space="preserve"> </w:t>
      </w:r>
      <w:r>
        <w:t xml:space="preserve">for</w:t>
      </w:r>
      <w:r>
        <w:t xml:space="preserve"> </w:t>
      </w:r>
      <w:r>
        <w:rPr>
          <w:rStyle w:val="VerbatimChar"/>
        </w:rPr>
        <w:t xml:space="preserve">console.log</w:t>
      </w:r>
      <w:r>
        <w:t xml:space="preserve"> </w:t>
      </w:r>
      <w:r>
        <w:t xml:space="preserve">and</w:t>
      </w:r>
      <w:r>
        <w:t xml:space="preserve"> </w:t>
      </w:r>
      <w:r>
        <w:rPr>
          <w:rStyle w:val="VerbatimChar"/>
        </w:rPr>
        <w:t xml:space="preserve">console.info</w:t>
      </w:r>
      <w:r>
        <w:t xml:space="preserve"> </w:t>
      </w:r>
      <w:r>
        <w:t xml:space="preserve">output</w:t>
      </w:r>
    </w:p>
    <w:p>
      <w:pPr>
        <w:pStyle w:val="BodyText"/>
      </w:pPr>
      <w:r>
        <w:t xml:space="preserve">Use this setting during development and incident diagnostics. In production, monitor file size and use rotation policies to prevent unbounded disk growth.</w:t>
      </w:r>
    </w:p>
    <w:p>
      <w:pPr>
        <w:pStyle w:val="BodyText"/>
      </w:pPr>
      <w:r>
        <w:rPr>
          <w:b/>
          <w:bCs/>
        </w:rPr>
        <w:t xml:space="preserve">Example:</w:t>
      </w:r>
    </w:p>
    <w:p>
      <w:pPr>
        <w:pStyle w:val="SourceCode"/>
      </w:pPr>
      <w:r>
        <w:rPr>
          <w:rStyle w:val="DataTypeTok"/>
        </w:rPr>
        <w:t xml:space="preserve">enable_log_files</w:t>
      </w:r>
      <w:r>
        <w:rPr>
          <w:rStyle w:val="NormalTok"/>
        </w:rPr>
        <w:t xml:space="preserve"> </w:t>
      </w:r>
      <w:r>
        <w:rPr>
          <w:rStyle w:val="OperatorTok"/>
        </w:rPr>
        <w:t xml:space="preserve">=</w:t>
      </w:r>
      <w:r>
        <w:rPr>
          <w:rStyle w:val="NormalTok"/>
        </w:rPr>
        <w:t xml:space="preserve"> </w:t>
      </w:r>
      <w:r>
        <w:rPr>
          <w:rStyle w:val="ConstantTok"/>
        </w:rPr>
        <w:t xml:space="preserve">true</w:t>
      </w:r>
    </w:p>
    <w:bookmarkEnd w:id="358"/>
    <w:bookmarkStart w:id="359" w:name="enable_error_log_file-deprecated"/>
    <w:p>
      <w:pPr>
        <w:pStyle w:val="Heading3"/>
      </w:pPr>
      <w:r>
        <w:t xml:space="preserve">enable_error_log_file</w:t>
      </w:r>
      <w:r>
        <w:t xml:space="preserve"> </w:t>
      </w:r>
      <w:r>
        <w:rPr>
          <w:i/>
          <w:iCs/>
        </w:rPr>
        <w:t xml:space="preserve">(Deprecated)</w:t>
      </w:r>
    </w:p>
    <w:p>
      <w:pPr>
        <w:pStyle w:val="FirstParagraph"/>
      </w:pPr>
      <w:r>
        <w:rPr>
          <w:b/>
          <w:bCs/>
        </w:rPr>
        <w:t xml:space="preserve">Type:</w:t>
      </w:r>
      <w:r>
        <w:t xml:space="preserve"> </w:t>
      </w:r>
      <w:r>
        <w:t xml:space="preserve">Boolean</w:t>
      </w:r>
      <w:r>
        <w:br/>
      </w:r>
      <w:r>
        <w:rPr>
          <w:b/>
          <w:bCs/>
        </w:rPr>
        <w:t xml:space="preserve">Environment Variable:</w:t>
      </w:r>
      <w:r>
        <w:t xml:space="preserve"> </w:t>
      </w:r>
      <w:r>
        <w:rPr>
          <w:rStyle w:val="VerbatimChar"/>
        </w:rPr>
        <w:t xml:space="preserve">ENABLE_ERROR_LOG_FILE</w:t>
      </w:r>
      <w:r>
        <w:br/>
      </w:r>
      <w:r>
        <w:rPr>
          <w:b/>
          <w:bCs/>
        </w:rPr>
        <w:t xml:space="preserve">Status:</w:t>
      </w:r>
      <w:r>
        <w:t xml:space="preserve"> </w:t>
      </w:r>
      <w:r>
        <w:rPr>
          <w:b/>
          <w:bCs/>
        </w:rPr>
        <w:t xml:space="preserve">Deprecated since version 2.1</w:t>
      </w:r>
      <w:r>
        <w:t xml:space="preserve"> </w:t>
      </w:r>
      <w:r>
        <w:t xml:space="preserve">— replaced by</w:t>
      </w:r>
      <w:r>
        <w:t xml:space="preserve"> </w:t>
      </w:r>
      <w:r>
        <w:rPr>
          <w:rStyle w:val="VerbatimChar"/>
        </w:rPr>
        <w:t xml:space="preserve">enable_log_files</w:t>
      </w:r>
    </w:p>
    <w:p>
      <w:pPr>
        <w:pStyle w:val="BodyText"/>
      </w:pPr>
      <w:r>
        <w:t xml:space="preserve">This setting is retained for backward compatibility only. If</w:t>
      </w:r>
      <w:r>
        <w:t xml:space="preserve"> </w:t>
      </w:r>
      <w:r>
        <w:rPr>
          <w:rStyle w:val="VerbatimChar"/>
        </w:rPr>
        <w:t xml:space="preserve">enable_log_files</w:t>
      </w:r>
      <w:r>
        <w:t xml:space="preserve"> </w:t>
      </w:r>
      <w:r>
        <w:t xml:space="preserve">is present in the configuration, this setting is ignored. If</w:t>
      </w:r>
      <w:r>
        <w:t xml:space="preserve"> </w:t>
      </w:r>
      <w:r>
        <w:rPr>
          <w:rStyle w:val="VerbatimChar"/>
        </w:rPr>
        <w:t xml:space="preserve">enable_log_files</w:t>
      </w:r>
      <w:r>
        <w:t xml:space="preserve"> </w:t>
      </w:r>
      <w:r>
        <w:t xml:space="preserve">is absent, the server falls back to this key.</w:t>
      </w:r>
    </w:p>
    <w:p>
      <w:pPr>
        <w:pStyle w:val="BodyText"/>
      </w:pPr>
      <w:r>
        <w:rPr>
          <w:b/>
          <w:bCs/>
        </w:rPr>
        <w:t xml:space="preserve">Action required:</w:t>
      </w:r>
      <w:r>
        <w:t xml:space="preserve"> </w:t>
      </w:r>
      <w:r>
        <w:t xml:space="preserve">Replace</w:t>
      </w:r>
      <w:r>
        <w:t xml:space="preserve"> </w:t>
      </w:r>
      <w:r>
        <w:rPr>
          <w:rStyle w:val="VerbatimChar"/>
        </w:rPr>
        <w:t xml:space="preserve">enable_error_log_file</w:t>
      </w:r>
      <w:r>
        <w:t xml:space="preserve"> </w:t>
      </w:r>
      <w:r>
        <w:t xml:space="preserve">with</w:t>
      </w:r>
      <w:r>
        <w:t xml:space="preserve"> </w:t>
      </w:r>
      <w:r>
        <w:rPr>
          <w:rStyle w:val="VerbatimChar"/>
        </w:rPr>
        <w:t xml:space="preserve">enable_log_files</w:t>
      </w:r>
      <w:r>
        <w:t xml:space="preserve"> </w:t>
      </w:r>
      <w:r>
        <w:t xml:space="preserve">in your configuration file.</w:t>
      </w:r>
    </w:p>
    <w:p>
      <w:pPr>
        <w:pStyle w:val="SourceCode"/>
      </w:pPr>
      <w:r>
        <w:rPr>
          <w:rStyle w:val="CommentTok"/>
        </w:rPr>
        <w:t xml:space="preserve"># Old (deprecated)</w:t>
      </w:r>
      <w:r>
        <w:br/>
      </w:r>
      <w:r>
        <w:rPr>
          <w:rStyle w:val="DataTypeTok"/>
        </w:rPr>
        <w:t xml:space="preserve">enable_error_log_file</w:t>
      </w:r>
      <w:r>
        <w:rPr>
          <w:rStyle w:val="NormalTok"/>
        </w:rPr>
        <w:t xml:space="preserve"> </w:t>
      </w:r>
      <w:r>
        <w:rPr>
          <w:rStyle w:val="OperatorTok"/>
        </w:rPr>
        <w:t xml:space="preserve">=</w:t>
      </w:r>
      <w:r>
        <w:rPr>
          <w:rStyle w:val="NormalTok"/>
        </w:rPr>
        <w:t xml:space="preserve"> </w:t>
      </w:r>
      <w:r>
        <w:rPr>
          <w:rStyle w:val="ConstantTok"/>
        </w:rPr>
        <w:t xml:space="preserve">true</w:t>
      </w:r>
      <w:r>
        <w:br/>
      </w:r>
      <w:r>
        <w:br/>
      </w:r>
      <w:r>
        <w:rPr>
          <w:rStyle w:val="CommentTok"/>
        </w:rPr>
        <w:t xml:space="preserve"># New (use this instead)</w:t>
      </w:r>
      <w:r>
        <w:br/>
      </w:r>
      <w:r>
        <w:rPr>
          <w:rStyle w:val="DataTypeTok"/>
        </w:rPr>
        <w:t xml:space="preserve">enable_log_files</w:t>
      </w:r>
      <w:r>
        <w:rPr>
          <w:rStyle w:val="NormalTok"/>
        </w:rPr>
        <w:t xml:space="preserve"> </w:t>
      </w:r>
      <w:r>
        <w:rPr>
          <w:rStyle w:val="OperatorTok"/>
        </w:rPr>
        <w:t xml:space="preserve">=</w:t>
      </w:r>
      <w:r>
        <w:rPr>
          <w:rStyle w:val="NormalTok"/>
        </w:rPr>
        <w:t xml:space="preserve"> </w:t>
      </w:r>
      <w:r>
        <w:rPr>
          <w:rStyle w:val="ConstantTok"/>
        </w:rPr>
        <w:t xml:space="preserve">true</w:t>
      </w:r>
    </w:p>
    <w:p>
      <w:r>
        <w:pict>
          <v:rect style="width:0;height:1.5pt" o:hralign="center" o:hrstd="t" o:hr="t"/>
        </w:pict>
      </w:r>
    </w:p>
    <w:bookmarkEnd w:id="359"/>
    <w:bookmarkStart w:id="360" w:name="dump_preprocessed_source"/>
    <w:p>
      <w:pPr>
        <w:pStyle w:val="Heading3"/>
      </w:pPr>
      <w:r>
        <w:t xml:space="preserve">dump_preprocessed_source</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false</w:t>
      </w:r>
      <w:r>
        <w:br/>
      </w:r>
      <w:r>
        <w:rPr>
          <w:b/>
          <w:bCs/>
        </w:rPr>
        <w:t xml:space="preserve">Environment Variable:</w:t>
      </w:r>
      <w:r>
        <w:t xml:space="preserve"> </w:t>
      </w:r>
      <w:r>
        <w:rPr>
          <w:rStyle w:val="VerbatimChar"/>
        </w:rPr>
        <w:t xml:space="preserve">DUMP_PREPROCESSED_SOURCE</w:t>
      </w:r>
    </w:p>
    <w:p>
      <w:pPr>
        <w:pStyle w:val="BodyText"/>
      </w:pPr>
      <w:r>
        <w:t xml:space="preserve">When enabled, saves the preprocessed ASP source code to</w:t>
      </w:r>
      <w:r>
        <w:t xml:space="preserve"> </w:t>
      </w:r>
      <w:r>
        <w:rPr>
          <w:rStyle w:val="VerbatimChar"/>
        </w:rPr>
        <w:t xml:space="preserve">./temp/</w:t>
      </w:r>
      <w:r>
        <w:t xml:space="preserve"> </w:t>
      </w:r>
      <w:r>
        <w:t xml:space="preserve">before compilation. Useful for debugging parser issues but consumes disk space on high-traffic sites.</w:t>
      </w:r>
    </w:p>
    <w:p>
      <w:pPr>
        <w:pStyle w:val="BodyText"/>
      </w:pPr>
      <w:r>
        <w:rPr>
          <w:b/>
          <w:bCs/>
        </w:rPr>
        <w:t xml:space="preserve">⚠️ Performance Warning:</w:t>
      </w:r>
      <w:r>
        <w:t xml:space="preserve"> </w:t>
      </w:r>
      <w:r>
        <w:t xml:space="preserve">Disable in production! Can create thousands of temporary files.</w:t>
      </w:r>
    </w:p>
    <w:p>
      <w:pPr>
        <w:pStyle w:val="BodyText"/>
      </w:pPr>
      <w:r>
        <w:rPr>
          <w:b/>
          <w:bCs/>
        </w:rPr>
        <w:t xml:space="preserve">Example:</w:t>
      </w:r>
    </w:p>
    <w:p>
      <w:pPr>
        <w:pStyle w:val="SourceCode"/>
      </w:pPr>
      <w:r>
        <w:rPr>
          <w:rStyle w:val="DataTypeTok"/>
        </w:rPr>
        <w:t xml:space="preserve">dump_preprocessed_source</w:t>
      </w:r>
      <w:r>
        <w:rPr>
          <w:rStyle w:val="NormalTok"/>
        </w:rPr>
        <w:t xml:space="preserve"> </w:t>
      </w:r>
      <w:r>
        <w:rPr>
          <w:rStyle w:val="OperatorTok"/>
        </w:rPr>
        <w:t xml:space="preserve">=</w:t>
      </w:r>
      <w:r>
        <w:rPr>
          <w:rStyle w:val="NormalTok"/>
        </w:rPr>
        <w:t xml:space="preserve"> </w:t>
      </w:r>
      <w:r>
        <w:rPr>
          <w:rStyle w:val="ConstantTok"/>
        </w:rPr>
        <w:t xml:space="preserve">false</w:t>
      </w:r>
    </w:p>
    <w:bookmarkEnd w:id="360"/>
    <w:bookmarkStart w:id="361" w:name="clean_sessions_on_startup"/>
    <w:p>
      <w:pPr>
        <w:pStyle w:val="Heading3"/>
      </w:pPr>
      <w:r>
        <w:t xml:space="preserve">clean_sessions_on_startup</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CLEAN_SESSIONS_ON_STARTUP</w:t>
      </w:r>
    </w:p>
    <w:p>
      <w:pPr>
        <w:pStyle w:val="BodyText"/>
      </w:pPr>
      <w:r>
        <w:t xml:space="preserve">When enabled, clears all existing sessions when the server starts. Prevents stale session data but logs out active users.</w:t>
      </w:r>
    </w:p>
    <w:p>
      <w:pPr>
        <w:pStyle w:val="BodyText"/>
      </w:pPr>
      <w:r>
        <w:rPr>
          <w:b/>
          <w:bCs/>
        </w:rPr>
        <w:t xml:space="preserve">Use Cases:</w:t>
      </w:r>
      <w:r>
        <w:t xml:space="preserve"> </w:t>
      </w:r>
      <w:r>
        <w:t xml:space="preserve">-</w:t>
      </w:r>
      <w:r>
        <w:t xml:space="preserve"> </w:t>
      </w:r>
      <w:r>
        <w:rPr>
          <w:rStyle w:val="VerbatimChar"/>
        </w:rPr>
        <w:t xml:space="preserve">true</w:t>
      </w:r>
      <w:r>
        <w:t xml:space="preserve"> </w:t>
      </w:r>
      <w:r>
        <w:t xml:space="preserve">- Development, testing, or security-critical restarts</w:t>
      </w:r>
      <w:r>
        <w:t xml:space="preserve"> </w:t>
      </w:r>
      <w:r>
        <w:t xml:space="preserve">-</w:t>
      </w:r>
      <w:r>
        <w:t xml:space="preserve"> </w:t>
      </w:r>
      <w:r>
        <w:rPr>
          <w:rStyle w:val="VerbatimChar"/>
        </w:rPr>
        <w:t xml:space="preserve">false</w:t>
      </w:r>
      <w:r>
        <w:t xml:space="preserve"> </w:t>
      </w:r>
      <w:r>
        <w:t xml:space="preserve">- Production with persistent user sessions</w:t>
      </w:r>
    </w:p>
    <w:p>
      <w:pPr>
        <w:pStyle w:val="BodyText"/>
      </w:pPr>
      <w:r>
        <w:rPr>
          <w:b/>
          <w:bCs/>
        </w:rPr>
        <w:t xml:space="preserve">Example:</w:t>
      </w:r>
    </w:p>
    <w:p>
      <w:pPr>
        <w:pStyle w:val="SourceCode"/>
      </w:pPr>
      <w:r>
        <w:rPr>
          <w:rStyle w:val="DataTypeTok"/>
        </w:rPr>
        <w:t xml:space="preserve">clean_sessions_on_startup</w:t>
      </w:r>
      <w:r>
        <w:rPr>
          <w:rStyle w:val="NormalTok"/>
        </w:rPr>
        <w:t xml:space="preserve"> </w:t>
      </w:r>
      <w:r>
        <w:rPr>
          <w:rStyle w:val="OperatorTok"/>
        </w:rPr>
        <w:t xml:space="preserve">=</w:t>
      </w:r>
      <w:r>
        <w:rPr>
          <w:rStyle w:val="NormalTok"/>
        </w:rPr>
        <w:t xml:space="preserve"> </w:t>
      </w:r>
      <w:r>
        <w:rPr>
          <w:rStyle w:val="ConstantTok"/>
        </w:rPr>
        <w:t xml:space="preserve">false</w:t>
      </w:r>
      <w:r>
        <w:rPr>
          <w:rStyle w:val="NormalTok"/>
        </w:rPr>
        <w:t xml:space="preserve">  </w:t>
      </w:r>
      <w:r>
        <w:rPr>
          <w:rStyle w:val="CommentTok"/>
        </w:rPr>
        <w:t xml:space="preserve"># Preserve sessions across restarts</w:t>
      </w:r>
    </w:p>
    <w:bookmarkEnd w:id="361"/>
    <w:bookmarkStart w:id="362" w:name="bytecode_caching_enabled"/>
    <w:p>
      <w:pPr>
        <w:pStyle w:val="Heading3"/>
      </w:pPr>
      <w:r>
        <w:t xml:space="preserve">bytecode_caching_enabled</w:t>
      </w:r>
    </w:p>
    <w:p>
      <w:pPr>
        <w:pStyle w:val="FirstParagraph"/>
      </w:pPr>
      <w:r>
        <w:rPr>
          <w:b/>
          <w:bCs/>
        </w:rPr>
        <w:t xml:space="preserve">Type:</w:t>
      </w:r>
      <w:r>
        <w:t xml:space="preserve"> </w:t>
      </w:r>
      <w:r>
        <w:t xml:space="preserve">String (Enum)</w:t>
      </w:r>
      <w:r>
        <w:br/>
      </w:r>
      <w:r>
        <w:rPr>
          <w:b/>
          <w:bCs/>
        </w:rPr>
        <w:t xml:space="preserve">Default:</w:t>
      </w:r>
      <w:r>
        <w:t xml:space="preserve"> </w:t>
      </w:r>
      <w:r>
        <w:rPr>
          <w:rStyle w:val="VerbatimChar"/>
        </w:rPr>
        <w:t xml:space="preserve">"enabled"</w:t>
      </w:r>
      <w:r>
        <w:br/>
      </w:r>
      <w:r>
        <w:rPr>
          <w:b/>
          <w:bCs/>
        </w:rPr>
        <w:t xml:space="preserve">Environment Variable:</w:t>
      </w:r>
      <w:r>
        <w:t xml:space="preserve"> </w:t>
      </w:r>
      <w:r>
        <w:rPr>
          <w:rStyle w:val="VerbatimChar"/>
        </w:rPr>
        <w:t xml:space="preserve">BYTECODE_CACHING_ENABLED</w:t>
      </w:r>
      <w:r>
        <w:br/>
      </w:r>
      <w:r>
        <w:rPr>
          <w:b/>
          <w:bCs/>
        </w:rPr>
        <w:t xml:space="preserve">Valid Values:</w:t>
      </w:r>
      <w:r>
        <w:t xml:space="preserve"> </w:t>
      </w:r>
      <w:r>
        <w:rPr>
          <w:rStyle w:val="VerbatimChar"/>
        </w:rPr>
        <w:t xml:space="preserve">"enabled"</w:t>
      </w:r>
      <w:r>
        <w:t xml:space="preserve">,</w:t>
      </w:r>
      <w:r>
        <w:t xml:space="preserve"> </w:t>
      </w:r>
      <w:r>
        <w:rPr>
          <w:rStyle w:val="VerbatimChar"/>
        </w:rPr>
        <w:t xml:space="preserve">"memory-only"</w:t>
      </w:r>
      <w:r>
        <w:t xml:space="preserve">,</w:t>
      </w:r>
      <w:r>
        <w:t xml:space="preserve"> </w:t>
      </w:r>
      <w:r>
        <w:rPr>
          <w:rStyle w:val="VerbatimChar"/>
        </w:rPr>
        <w:t xml:space="preserve">"disk-only"</w:t>
      </w:r>
      <w:r>
        <w:t xml:space="preserve">,</w:t>
      </w:r>
      <w:r>
        <w:t xml:space="preserve"> </w:t>
      </w:r>
      <w:r>
        <w:rPr>
          <w:rStyle w:val="VerbatimChar"/>
        </w:rPr>
        <w:t xml:space="preserve">"disabled"</w:t>
      </w:r>
    </w:p>
    <w:p>
      <w:pPr>
        <w:pStyle w:val="BodyText"/>
      </w:pPr>
      <w:r>
        <w:t xml:space="preserve">Controls compiled bytecode caching strategy for ASP scripts:</w:t>
      </w:r>
      <w:r>
        <w:t xml:space="preserve"> </w:t>
      </w:r>
      <w:r>
        <w:t xml:space="preserve">-</w:t>
      </w:r>
      <w:r>
        <w:t xml:space="preserve"> </w:t>
      </w:r>
      <w:r>
        <w:rPr>
          <w:rStyle w:val="VerbatimChar"/>
        </w:rPr>
        <w:t xml:space="preserve">"enabled"</w:t>
      </w:r>
      <w:r>
        <w:t xml:space="preserve"> </w:t>
      </w:r>
      <w:r>
        <w:t xml:space="preserve">- Cache in both memory (tier 1) and disk (tier 2) for maximum performance</w:t>
      </w:r>
      <w:r>
        <w:t xml:space="preserve"> </w:t>
      </w:r>
      <w:r>
        <w:t xml:space="preserve">-</w:t>
      </w:r>
      <w:r>
        <w:t xml:space="preserve"> </w:t>
      </w:r>
      <w:r>
        <w:rPr>
          <w:rStyle w:val="VerbatimChar"/>
        </w:rPr>
        <w:t xml:space="preserve">"memory-only"</w:t>
      </w:r>
      <w:r>
        <w:t xml:space="preserve"> </w:t>
      </w:r>
      <w:r>
        <w:t xml:space="preserve">- Cache only in RAM (tier 1); faster with higher memory usage</w:t>
      </w:r>
      <w:r>
        <w:t xml:space="preserve"> </w:t>
      </w:r>
      <w:r>
        <w:t xml:space="preserve">-</w:t>
      </w:r>
      <w:r>
        <w:t xml:space="preserve"> </w:t>
      </w:r>
      <w:r>
        <w:rPr>
          <w:rStyle w:val="VerbatimChar"/>
        </w:rPr>
        <w:t xml:space="preserve">"disk-only"</w:t>
      </w:r>
      <w:r>
        <w:t xml:space="preserve"> </w:t>
      </w:r>
      <w:r>
        <w:t xml:space="preserve">- Cache only on disk (tier 2); slower but lower memory footprint</w:t>
      </w:r>
      <w:r>
        <w:t xml:space="preserve"> </w:t>
      </w:r>
      <w:r>
        <w:t xml:space="preserve">-</w:t>
      </w:r>
      <w:r>
        <w:t xml:space="preserve"> </w:t>
      </w:r>
      <w:r>
        <w:rPr>
          <w:rStyle w:val="VerbatimChar"/>
        </w:rPr>
        <w:t xml:space="preserve">"disabled"</w:t>
      </w:r>
      <w:r>
        <w:t xml:space="preserve"> </w:t>
      </w:r>
      <w:r>
        <w:t xml:space="preserve">- No caching; recompile every request (development/debugging only)</w:t>
      </w:r>
    </w:p>
    <w:p>
      <w:pPr>
        <w:pStyle w:val="BodyText"/>
      </w:pPr>
      <w:r>
        <w:rPr>
          <w:b/>
          <w:bCs/>
        </w:rPr>
        <w:t xml:space="preserve">Performance Impact:</w:t>
      </w:r>
    </w:p>
    <w:p>
      <w:pPr>
        <w:pStyle w:val="SourceCode"/>
      </w:pPr>
      <w:r>
        <w:rPr>
          <w:rStyle w:val="VerbatimChar"/>
        </w:rPr>
        <w:t xml:space="preserve">enabled &gt; memory-only &gt; disk-only &gt; disabled</w:t>
      </w:r>
    </w:p>
    <w:p>
      <w:pPr>
        <w:pStyle w:val="FirstParagraph"/>
      </w:pPr>
      <w:r>
        <w:rPr>
          <w:b/>
          <w:bCs/>
        </w:rPr>
        <w:t xml:space="preserve">Example:</w:t>
      </w:r>
    </w:p>
    <w:p>
      <w:pPr>
        <w:pStyle w:val="SourceCode"/>
      </w:pPr>
      <w:r>
        <w:rPr>
          <w:rStyle w:val="DataTypeTok"/>
        </w:rPr>
        <w:t xml:space="preserve">bytecode_caching_enabled</w:t>
      </w:r>
      <w:r>
        <w:rPr>
          <w:rStyle w:val="NormalTok"/>
        </w:rPr>
        <w:t xml:space="preserve"> </w:t>
      </w:r>
      <w:r>
        <w:rPr>
          <w:rStyle w:val="OperatorTok"/>
        </w:rPr>
        <w:t xml:space="preserve">=</w:t>
      </w:r>
      <w:r>
        <w:rPr>
          <w:rStyle w:val="NormalTok"/>
        </w:rPr>
        <w:t xml:space="preserve"> </w:t>
      </w:r>
      <w:r>
        <w:rPr>
          <w:rStyle w:val="StringTok"/>
        </w:rPr>
        <w:t xml:space="preserve">"enabled"</w:t>
      </w:r>
    </w:p>
    <w:bookmarkEnd w:id="362"/>
    <w:bookmarkStart w:id="363" w:name="cache_max_size_mb"/>
    <w:p>
      <w:pPr>
        <w:pStyle w:val="Heading3"/>
      </w:pPr>
      <w:r>
        <w:t xml:space="preserve">cache_max_size_mb</w:t>
      </w:r>
    </w:p>
    <w:p>
      <w:pPr>
        <w:pStyle w:val="FirstParagraph"/>
      </w:pPr>
      <w:r>
        <w:rPr>
          <w:b/>
          <w:bCs/>
        </w:rPr>
        <w:t xml:space="preserve">Type:</w:t>
      </w:r>
      <w:r>
        <w:t xml:space="preserve"> </w:t>
      </w:r>
      <w:r>
        <w:t xml:space="preserve">Integer (megabytes)</w:t>
      </w:r>
      <w:r>
        <w:br/>
      </w:r>
      <w:r>
        <w:rPr>
          <w:b/>
          <w:bCs/>
        </w:rPr>
        <w:t xml:space="preserve">Default:</w:t>
      </w:r>
      <w:r>
        <w:t xml:space="preserve"> </w:t>
      </w:r>
      <w:r>
        <w:rPr>
          <w:rStyle w:val="VerbatimChar"/>
        </w:rPr>
        <w:t xml:space="preserve">128</w:t>
      </w:r>
      <w:r>
        <w:br/>
      </w:r>
      <w:r>
        <w:rPr>
          <w:b/>
          <w:bCs/>
        </w:rPr>
        <w:t xml:space="preserve">Environment Variable:</w:t>
      </w:r>
      <w:r>
        <w:t xml:space="preserve"> </w:t>
      </w:r>
      <w:r>
        <w:rPr>
          <w:rStyle w:val="VerbatimChar"/>
        </w:rPr>
        <w:t xml:space="preserve">CACHE_MAX_SIZE_MB</w:t>
      </w:r>
    </w:p>
    <w:p>
      <w:pPr>
        <w:pStyle w:val="BodyText"/>
      </w:pPr>
      <w:r>
        <w:t xml:space="preserve">Maximum size of the compiled bytecode cache in memory. When exceeded, least-recently-used scripts are evicted.</w:t>
      </w:r>
    </w:p>
    <w:p>
      <w:pPr>
        <w:pStyle w:val="BodyText"/>
      </w:pPr>
      <w:r>
        <w:rPr>
          <w:b/>
          <w:bCs/>
        </w:rPr>
        <w:t xml:space="preserve">Guidelines:</w:t>
      </w:r>
      <w:r>
        <w:t xml:space="preserve"> </w:t>
      </w:r>
      <w:r>
        <w:t xml:space="preserve">-</w:t>
      </w:r>
      <w:r>
        <w:t xml:space="preserve"> </w:t>
      </w:r>
      <w:r>
        <w:rPr>
          <w:b/>
          <w:bCs/>
        </w:rPr>
        <w:t xml:space="preserve">Small Sites:</w:t>
      </w:r>
      <w:r>
        <w:t xml:space="preserve"> </w:t>
      </w:r>
      <w:r>
        <w:t xml:space="preserve">64-128 MB</w:t>
      </w:r>
      <w:r>
        <w:t xml:space="preserve"> </w:t>
      </w:r>
      <w:r>
        <w:t xml:space="preserve">-</w:t>
      </w:r>
      <w:r>
        <w:t xml:space="preserve"> </w:t>
      </w:r>
      <w:r>
        <w:rPr>
          <w:b/>
          <w:bCs/>
        </w:rPr>
        <w:t xml:space="preserve">Medium Sites:</w:t>
      </w:r>
      <w:r>
        <w:t xml:space="preserve"> </w:t>
      </w:r>
      <w:r>
        <w:t xml:space="preserve">128-256 MB</w:t>
      </w:r>
      <w:r>
        <w:t xml:space="preserve"> </w:t>
      </w:r>
      <w:r>
        <w:t xml:space="preserve">-</w:t>
      </w:r>
      <w:r>
        <w:t xml:space="preserve"> </w:t>
      </w:r>
      <w:r>
        <w:rPr>
          <w:b/>
          <w:bCs/>
        </w:rPr>
        <w:t xml:space="preserve">Large Sites:</w:t>
      </w:r>
      <w:r>
        <w:t xml:space="preserve"> </w:t>
      </w:r>
      <w:r>
        <w:t xml:space="preserve">256-512 MB (requires proportional system RAM)</w:t>
      </w:r>
    </w:p>
    <w:p>
      <w:pPr>
        <w:pStyle w:val="BodyText"/>
      </w:pPr>
      <w:r>
        <w:rPr>
          <w:b/>
          <w:bCs/>
        </w:rPr>
        <w:t xml:space="preserve">Example:</w:t>
      </w:r>
    </w:p>
    <w:p>
      <w:pPr>
        <w:pStyle w:val="SourceCode"/>
      </w:pPr>
      <w:r>
        <w:rPr>
          <w:rStyle w:val="DataTypeTok"/>
        </w:rPr>
        <w:t xml:space="preserve">cache_max_size_mb</w:t>
      </w:r>
      <w:r>
        <w:rPr>
          <w:rStyle w:val="NormalTok"/>
        </w:rPr>
        <w:t xml:space="preserve"> </w:t>
      </w:r>
      <w:r>
        <w:rPr>
          <w:rStyle w:val="OperatorTok"/>
        </w:rPr>
        <w:t xml:space="preserve">=</w:t>
      </w:r>
      <w:r>
        <w:rPr>
          <w:rStyle w:val="NormalTok"/>
        </w:rPr>
        <w:t xml:space="preserve"> </w:t>
      </w:r>
      <w:r>
        <w:rPr>
          <w:rStyle w:val="DecValTok"/>
        </w:rPr>
        <w:t xml:space="preserve">128</w:t>
      </w:r>
    </w:p>
    <w:bookmarkEnd w:id="363"/>
    <w:bookmarkStart w:id="364" w:name="clean_cache_on_startup"/>
    <w:p>
      <w:pPr>
        <w:pStyle w:val="Heading3"/>
      </w:pPr>
      <w:r>
        <w:t xml:space="preserve">clean_cache_on_startup</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CLEAN_CACHE_ON_STARTUP</w:t>
      </w:r>
    </w:p>
    <w:p>
      <w:pPr>
        <w:pStyle w:val="BodyText"/>
      </w:pPr>
      <w:r>
        <w:t xml:space="preserve">When enabled, clears the compiled script cache on server startup. Ensures new builds are executed but increases startup time.</w:t>
      </w:r>
    </w:p>
    <w:p>
      <w:pPr>
        <w:pStyle w:val="BodyText"/>
      </w:pPr>
      <w:r>
        <w:rPr>
          <w:b/>
          <w:bCs/>
        </w:rPr>
        <w:t xml:space="preserve">Guidelines:</w:t>
      </w:r>
      <w:r>
        <w:t xml:space="preserve"> </w:t>
      </w:r>
      <w:r>
        <w:t xml:space="preserve">-</w:t>
      </w:r>
      <w:r>
        <w:t xml:space="preserve"> </w:t>
      </w:r>
      <w:r>
        <w:rPr>
          <w:rStyle w:val="VerbatimChar"/>
        </w:rPr>
        <w:t xml:space="preserve">true</w:t>
      </w:r>
      <w:r>
        <w:t xml:space="preserve"> </w:t>
      </w:r>
      <w:r>
        <w:t xml:space="preserve">- Development (pick up recent changes)</w:t>
      </w:r>
      <w:r>
        <w:t xml:space="preserve"> </w:t>
      </w:r>
      <w:r>
        <w:t xml:space="preserve">-</w:t>
      </w:r>
      <w:r>
        <w:t xml:space="preserve"> </w:t>
      </w:r>
      <w:r>
        <w:rPr>
          <w:rStyle w:val="VerbatimChar"/>
        </w:rPr>
        <w:t xml:space="preserve">false</w:t>
      </w:r>
      <w:r>
        <w:t xml:space="preserve"> </w:t>
      </w:r>
      <w:r>
        <w:t xml:space="preserve">- Production (faster startup)</w:t>
      </w:r>
    </w:p>
    <w:p>
      <w:pPr>
        <w:pStyle w:val="BodyText"/>
      </w:pPr>
      <w:r>
        <w:rPr>
          <w:b/>
          <w:bCs/>
        </w:rPr>
        <w:t xml:space="preserve">Example:</w:t>
      </w:r>
    </w:p>
    <w:p>
      <w:pPr>
        <w:pStyle w:val="SourceCode"/>
      </w:pPr>
      <w:r>
        <w:rPr>
          <w:rStyle w:val="DataTypeTok"/>
        </w:rPr>
        <w:t xml:space="preserve">clean_cache_on_startup</w:t>
      </w:r>
      <w:r>
        <w:rPr>
          <w:rStyle w:val="NormalTok"/>
        </w:rPr>
        <w:t xml:space="preserve"> </w:t>
      </w:r>
      <w:r>
        <w:rPr>
          <w:rStyle w:val="OperatorTok"/>
        </w:rPr>
        <w:t xml:space="preserve">=</w:t>
      </w:r>
      <w:r>
        <w:rPr>
          <w:rStyle w:val="NormalTok"/>
        </w:rPr>
        <w:t xml:space="preserve"> </w:t>
      </w:r>
      <w:r>
        <w:rPr>
          <w:rStyle w:val="ConstantTok"/>
        </w:rPr>
        <w:t xml:space="preserve">true</w:t>
      </w:r>
    </w:p>
    <w:bookmarkEnd w:id="364"/>
    <w:bookmarkStart w:id="365" w:name="vm_pool_size"/>
    <w:p>
      <w:pPr>
        <w:pStyle w:val="Heading3"/>
      </w:pPr>
      <w:r>
        <w:t xml:space="preserve">vm_pool_size</w:t>
      </w:r>
    </w:p>
    <w:p>
      <w:pPr>
        <w:pStyle w:val="FirstParagraph"/>
      </w:pPr>
      <w:r>
        <w:rPr>
          <w:b/>
          <w:bCs/>
        </w:rPr>
        <w:t xml:space="preserve">Type:</w:t>
      </w:r>
      <w:r>
        <w:t xml:space="preserve"> </w:t>
      </w:r>
      <w:r>
        <w:t xml:space="preserve">Integer</w:t>
      </w:r>
      <w:r>
        <w:br/>
      </w:r>
      <w:r>
        <w:rPr>
          <w:b/>
          <w:bCs/>
        </w:rPr>
        <w:t xml:space="preserve">Default:</w:t>
      </w:r>
      <w:r>
        <w:t xml:space="preserve"> </w:t>
      </w:r>
      <w:r>
        <w:rPr>
          <w:rStyle w:val="VerbatimChar"/>
        </w:rPr>
        <w:t xml:space="preserve">10</w:t>
      </w:r>
      <w:r>
        <w:br/>
      </w:r>
      <w:r>
        <w:rPr>
          <w:b/>
          <w:bCs/>
        </w:rPr>
        <w:t xml:space="preserve">Environment Variable:</w:t>
      </w:r>
      <w:r>
        <w:t xml:space="preserve"> </w:t>
      </w:r>
      <w:r>
        <w:rPr>
          <w:rStyle w:val="VerbatimChar"/>
        </w:rPr>
        <w:t xml:space="preserve">VM_POOL_SIZE</w:t>
      </w:r>
    </w:p>
    <w:p>
      <w:pPr>
        <w:pStyle w:val="BodyText"/>
      </w:pPr>
      <w:r>
        <w:t xml:space="preserve">Number of virtual machine instances in the execution pool. Each VM can execute one script simultaneously, so pool size determines concurrent execution capacity. A pool size of 10 VMs on a server with 512 MB of memory can handle approximately 2000 simultaneous requests for simple pages.</w:t>
      </w:r>
    </w:p>
    <w:p>
      <w:pPr>
        <w:pStyle w:val="BodyText"/>
      </w:pPr>
      <w:r>
        <w:rPr>
          <w:b/>
          <w:bCs/>
        </w:rPr>
        <w:t xml:space="preserve">Guidelines:</w:t>
      </w:r>
      <w:r>
        <w:t xml:space="preserve"> </w:t>
      </w:r>
      <w:r>
        <w:t xml:space="preserve">-</w:t>
      </w:r>
      <w:r>
        <w:t xml:space="preserve"> </w:t>
      </w:r>
      <w:r>
        <w:rPr>
          <w:b/>
          <w:bCs/>
        </w:rPr>
        <w:t xml:space="preserve">Small Sites:</w:t>
      </w:r>
      <w:r>
        <w:t xml:space="preserve"> </w:t>
      </w:r>
      <w:r>
        <w:t xml:space="preserve">5-10 VMs</w:t>
      </w:r>
      <w:r>
        <w:t xml:space="preserve"> </w:t>
      </w:r>
      <w:r>
        <w:t xml:space="preserve">-</w:t>
      </w:r>
      <w:r>
        <w:t xml:space="preserve"> </w:t>
      </w:r>
      <w:r>
        <w:rPr>
          <w:b/>
          <w:bCs/>
        </w:rPr>
        <w:t xml:space="preserve">Medium Sites:</w:t>
      </w:r>
      <w:r>
        <w:t xml:space="preserve"> </w:t>
      </w:r>
      <w:r>
        <w:t xml:space="preserve">10-25 VMs</w:t>
      </w:r>
      <w:r>
        <w:t xml:space="preserve"> </w:t>
      </w:r>
      <w:r>
        <w:t xml:space="preserve">-</w:t>
      </w:r>
      <w:r>
        <w:t xml:space="preserve"> </w:t>
      </w:r>
      <w:r>
        <w:rPr>
          <w:b/>
          <w:bCs/>
        </w:rPr>
        <w:t xml:space="preserve">High-Traffic Sites:</w:t>
      </w:r>
      <w:r>
        <w:t xml:space="preserve"> </w:t>
      </w:r>
      <w:r>
        <w:t xml:space="preserve">50-100+ VMs</w:t>
      </w:r>
    </w:p>
    <w:p>
      <w:pPr>
        <w:pStyle w:val="BodyText"/>
      </w:pPr>
      <w:r>
        <w:rPr>
          <w:b/>
          <w:bCs/>
        </w:rPr>
        <w:t xml:space="preserve">Tuning tip:</w:t>
      </w:r>
      <w:r>
        <w:t xml:space="preserve"> </w:t>
      </w:r>
      <w:r>
        <w:t xml:space="preserve">If the server is dropping or queuing requests, lower</w:t>
      </w:r>
      <w:r>
        <w:t xml:space="preserve"> </w:t>
      </w:r>
      <w:r>
        <w:rPr>
          <w:rStyle w:val="VerbatimChar"/>
        </w:rPr>
        <w:t xml:space="preserve">vm_pool_size</w:t>
      </w:r>
      <w:r>
        <w:t xml:space="preserve"> </w:t>
      </w:r>
      <w:r>
        <w:t xml:space="preserve">and raise</w:t>
      </w:r>
      <w:r>
        <w:t xml:space="preserve"> </w:t>
      </w:r>
      <w:r>
        <w:rPr>
          <w:rStyle w:val="VerbatimChar"/>
        </w:rPr>
        <w:t xml:space="preserve">golang_memory_limit_mb</w:t>
      </w:r>
      <w:r>
        <w:t xml:space="preserve">. Request blocking is usually caused by Garbage Collector pressure rather than insufficient VM count.</w:t>
      </w:r>
      <w:r>
        <w:t xml:space="preserve"> </w:t>
      </w:r>
      <w:r>
        <w:rPr>
          <w:rStyle w:val="VerbatimChar"/>
        </w:rPr>
        <w:t xml:space="preserve">golang_memory_limit_mb</w:t>
      </w:r>
      <w:r>
        <w:t xml:space="preserve"> </w:t>
      </w:r>
      <w:r>
        <w:t xml:space="preserve">has a stronger influence on throughput than</w:t>
      </w:r>
      <w:r>
        <w:t xml:space="preserve"> </w:t>
      </w:r>
      <w:r>
        <w:rPr>
          <w:rStyle w:val="VerbatimChar"/>
        </w:rPr>
        <w:t xml:space="preserve">vm_pool_size</w:t>
      </w:r>
      <w:r>
        <w:t xml:space="preserve">.</w:t>
      </w:r>
    </w:p>
    <w:p>
      <w:pPr>
        <w:pStyle w:val="BodyText"/>
      </w:pPr>
      <w:r>
        <w:t xml:space="preserve">⚠️ Setting too high causes memory exhaustion; too low causes request queueing. You must use a value greater than 1.</w:t>
      </w:r>
    </w:p>
    <w:p>
      <w:pPr>
        <w:pStyle w:val="BodyText"/>
      </w:pPr>
      <w:r>
        <w:rPr>
          <w:b/>
          <w:bCs/>
        </w:rPr>
        <w:t xml:space="preserve">Example:</w:t>
      </w:r>
    </w:p>
    <w:p>
      <w:pPr>
        <w:pStyle w:val="SourceCode"/>
      </w:pPr>
      <w:r>
        <w:rPr>
          <w:rStyle w:val="DataTypeTok"/>
        </w:rPr>
        <w:t xml:space="preserve">vm_pool_size</w:t>
      </w:r>
      <w:r>
        <w:rPr>
          <w:rStyle w:val="NormalTok"/>
        </w:rPr>
        <w:t xml:space="preserve"> </w:t>
      </w:r>
      <w:r>
        <w:rPr>
          <w:rStyle w:val="OperatorTok"/>
        </w:rPr>
        <w:t xml:space="preserve">=</w:t>
      </w:r>
      <w:r>
        <w:rPr>
          <w:rStyle w:val="NormalTok"/>
        </w:rPr>
        <w:t xml:space="preserve"> </w:t>
      </w:r>
      <w:r>
        <w:rPr>
          <w:rStyle w:val="DecValTok"/>
        </w:rPr>
        <w:t xml:space="preserve">10</w:t>
      </w:r>
    </w:p>
    <w:bookmarkEnd w:id="365"/>
    <w:bookmarkStart w:id="366" w:name="golang_memory_limit_mb"/>
    <w:p>
      <w:pPr>
        <w:pStyle w:val="Heading3"/>
      </w:pPr>
      <w:r>
        <w:t xml:space="preserve">golang_memory_limit_mb</w:t>
      </w:r>
    </w:p>
    <w:p>
      <w:pPr>
        <w:pStyle w:val="FirstParagraph"/>
      </w:pPr>
      <w:r>
        <w:rPr>
          <w:b/>
          <w:bCs/>
        </w:rPr>
        <w:t xml:space="preserve">Type:</w:t>
      </w:r>
      <w:r>
        <w:t xml:space="preserve"> </w:t>
      </w:r>
      <w:r>
        <w:t xml:space="preserve">Integer (0 = unlimited)</w:t>
      </w:r>
      <w:r>
        <w:br/>
      </w:r>
      <w:r>
        <w:rPr>
          <w:b/>
          <w:bCs/>
        </w:rPr>
        <w:t xml:space="preserve">Default:</w:t>
      </w:r>
      <w:r>
        <w:t xml:space="preserve"> </w:t>
      </w:r>
      <w:r>
        <w:rPr>
          <w:rStyle w:val="VerbatimChar"/>
        </w:rPr>
        <w:t xml:space="preserve">512</w:t>
      </w:r>
      <w:r>
        <w:br/>
      </w:r>
      <w:r>
        <w:rPr>
          <w:b/>
          <w:bCs/>
        </w:rPr>
        <w:t xml:space="preserve">Environment Variable:</w:t>
      </w:r>
      <w:r>
        <w:t xml:space="preserve"> </w:t>
      </w:r>
      <w:r>
        <w:rPr>
          <w:rStyle w:val="VerbatimChar"/>
        </w:rPr>
        <w:t xml:space="preserve">GOLANG_MEMORY_LIMIT_MB</w:t>
      </w:r>
    </w:p>
    <w:p>
      <w:pPr>
        <w:pStyle w:val="BodyText"/>
      </w:pPr>
      <w:r>
        <w:t xml:space="preserve">Maximum memory the Go runtime is allowed to use (in megabytes).</w:t>
      </w:r>
      <w:r>
        <w:t xml:space="preserve"> </w:t>
      </w:r>
      <w:r>
        <w:rPr>
          <w:rStyle w:val="VerbatimChar"/>
        </w:rPr>
        <w:t xml:space="preserve">0</w:t>
      </w:r>
      <w:r>
        <w:t xml:space="preserve"> </w:t>
      </w:r>
      <w:r>
        <w:t xml:space="preserve">means unlimited. This directive has a stronger influence on server throughput than</w:t>
      </w:r>
      <w:r>
        <w:t xml:space="preserve"> </w:t>
      </w:r>
      <w:r>
        <w:rPr>
          <w:rStyle w:val="VerbatimChar"/>
        </w:rPr>
        <w:t xml:space="preserve">vm_pool_size</w:t>
      </w:r>
      <w:r>
        <w:t xml:space="preserve"> </w:t>
      </w:r>
      <w:r>
        <w:t xml:space="preserve">and directly affects how memory-intensive libraries such as G3ZSTD work.</w:t>
      </w:r>
    </w:p>
    <w:p>
      <w:pPr>
        <w:pStyle w:val="BodyText"/>
      </w:pPr>
      <w:r>
        <w:rPr>
          <w:b/>
          <w:bCs/>
        </w:rPr>
        <w:t xml:space="preserve">Guidelines:</w:t>
      </w:r>
      <w:r>
        <w:t xml:space="preserve"> </w:t>
      </w:r>
      <w:r>
        <w:t xml:space="preserve">-</w:t>
      </w:r>
      <w:r>
        <w:t xml:space="preserve"> </w:t>
      </w:r>
      <w:r>
        <w:rPr>
          <w:b/>
          <w:bCs/>
        </w:rPr>
        <w:t xml:space="preserve">Development:</w:t>
      </w:r>
      <w:r>
        <w:t xml:space="preserve"> </w:t>
      </w:r>
      <w:r>
        <w:t xml:space="preserve">256-512 MB</w:t>
      </w:r>
      <w:r>
        <w:t xml:space="preserve"> </w:t>
      </w:r>
      <w:r>
        <w:t xml:space="preserve">-</w:t>
      </w:r>
      <w:r>
        <w:t xml:space="preserve"> </w:t>
      </w:r>
      <w:r>
        <w:rPr>
          <w:b/>
          <w:bCs/>
        </w:rPr>
        <w:t xml:space="preserve">Production:</w:t>
      </w:r>
      <w:r>
        <w:t xml:space="preserve"> </w:t>
      </w:r>
      <w:r>
        <w:t xml:space="preserve">512 MB or higher based on workload and number of concurrent VMs</w:t>
      </w:r>
      <w:r>
        <w:t xml:space="preserve"> </w:t>
      </w:r>
      <w:r>
        <w:t xml:space="preserve">-</w:t>
      </w:r>
      <w:r>
        <w:t xml:space="preserve"> </w:t>
      </w:r>
      <w:r>
        <w:rPr>
          <w:b/>
          <w:bCs/>
        </w:rPr>
        <w:t xml:space="preserve">Containerized:</w:t>
      </w:r>
      <w:r>
        <w:t xml:space="preserve"> </w:t>
      </w:r>
      <w:r>
        <w:t xml:space="preserve">Set to a value below the container memory limit</w:t>
      </w:r>
    </w:p>
    <w:p>
      <w:pPr>
        <w:pStyle w:val="BodyText"/>
      </w:pPr>
      <w:r>
        <w:rPr>
          <w:b/>
          <w:bCs/>
        </w:rPr>
        <w:t xml:space="preserve">Tuning tip:</w:t>
      </w:r>
      <w:r>
        <w:t xml:space="preserve"> </w:t>
      </w:r>
      <w:r>
        <w:t xml:space="preserve">If the server is missing or delaying requests, increase this value before raising</w:t>
      </w:r>
      <w:r>
        <w:t xml:space="preserve"> </w:t>
      </w:r>
      <w:r>
        <w:rPr>
          <w:rStyle w:val="VerbatimChar"/>
        </w:rPr>
        <w:t xml:space="preserve">vm_pool_size</w:t>
      </w:r>
      <w:r>
        <w:t xml:space="preserve">. Requests stalling are usually caused by Garbage Collector pressure triggered by a low memory ceiling rather than an insufficient VM pool.</w:t>
      </w:r>
    </w:p>
    <w:p>
      <w:pPr>
        <w:pStyle w:val="BodyText"/>
      </w:pPr>
      <w:r>
        <w:t xml:space="preserve">⚠️ Note: The Go runtime may not strictly enforce this limit; actual memory usage can vary based on workload and GC behavior. Setting this too low may lead to performance degradation or out-of-memory errors.</w:t>
      </w:r>
    </w:p>
    <w:p>
      <w:pPr>
        <w:pStyle w:val="BodyText"/>
      </w:pPr>
      <w:r>
        <w:rPr>
          <w:b/>
          <w:bCs/>
        </w:rPr>
        <w:t xml:space="preserve">Example:</w:t>
      </w:r>
    </w:p>
    <w:p>
      <w:pPr>
        <w:pStyle w:val="SourceCode"/>
      </w:pPr>
      <w:r>
        <w:rPr>
          <w:rStyle w:val="DataTypeTok"/>
        </w:rPr>
        <w:t xml:space="preserve">golang_memory_limit_mb</w:t>
      </w:r>
      <w:r>
        <w:rPr>
          <w:rStyle w:val="NormalTok"/>
        </w:rPr>
        <w:t xml:space="preserve"> </w:t>
      </w:r>
      <w:r>
        <w:rPr>
          <w:rStyle w:val="OperatorTok"/>
        </w:rPr>
        <w:t xml:space="preserve">=</w:t>
      </w:r>
      <w:r>
        <w:rPr>
          <w:rStyle w:val="NormalTok"/>
        </w:rPr>
        <w:t xml:space="preserve"> </w:t>
      </w:r>
      <w:r>
        <w:rPr>
          <w:rStyle w:val="DecValTok"/>
        </w:rPr>
        <w:t xml:space="preserve">512</w:t>
      </w:r>
    </w:p>
    <w:bookmarkEnd w:id="366"/>
    <w:bookmarkStart w:id="367" w:name="session_flush_interval_seconds"/>
    <w:p>
      <w:pPr>
        <w:pStyle w:val="Heading3"/>
      </w:pPr>
      <w:r>
        <w:t xml:space="preserve">session_flush_interval_seconds</w:t>
      </w:r>
    </w:p>
    <w:p>
      <w:pPr>
        <w:pStyle w:val="FirstParagraph"/>
      </w:pPr>
      <w:r>
        <w:rPr>
          <w:b/>
          <w:bCs/>
        </w:rPr>
        <w:t xml:space="preserve">Type:</w:t>
      </w:r>
      <w:r>
        <w:t xml:space="preserve"> </w:t>
      </w:r>
      <w:r>
        <w:t xml:space="preserve">Integer (seconds)</w:t>
      </w:r>
      <w:r>
        <w:br/>
      </w:r>
      <w:r>
        <w:rPr>
          <w:b/>
          <w:bCs/>
        </w:rPr>
        <w:t xml:space="preserve">Default:</w:t>
      </w:r>
      <w:r>
        <w:t xml:space="preserve"> </w:t>
      </w:r>
      <w:r>
        <w:rPr>
          <w:rStyle w:val="VerbatimChar"/>
        </w:rPr>
        <w:t xml:space="preserve">120</w:t>
      </w:r>
      <w:r>
        <w:br/>
      </w:r>
      <w:r>
        <w:rPr>
          <w:b/>
          <w:bCs/>
        </w:rPr>
        <w:t xml:space="preserve">Environment Variable:</w:t>
      </w:r>
      <w:r>
        <w:t xml:space="preserve"> </w:t>
      </w:r>
      <w:r>
        <w:rPr>
          <w:rStyle w:val="VerbatimChar"/>
        </w:rPr>
        <w:t xml:space="preserve">SESSION_FLUSH_INTERVAL_SECONDS</w:t>
      </w:r>
    </w:p>
    <w:p>
      <w:pPr>
        <w:pStyle w:val="BodyText"/>
      </w:pPr>
      <w:r>
        <w:t xml:space="preserve">Interval for asynchronously flushing dirty in-memory sessions to disk. A value greater than</w:t>
      </w:r>
      <w:r>
        <w:t xml:space="preserve"> </w:t>
      </w:r>
      <w:r>
        <w:rPr>
          <w:rStyle w:val="VerbatimChar"/>
        </w:rPr>
        <w:t xml:space="preserve">0</w:t>
      </w:r>
      <w:r>
        <w:t xml:space="preserve"> </w:t>
      </w:r>
      <w:r>
        <w:t xml:space="preserve">keeps session writes off the request hot path while still guaranteeing a safe flush on process shutdown. Higher values reduce disk I/O; lower values provide fresher data.</w:t>
      </w:r>
    </w:p>
    <w:p>
      <w:pPr>
        <w:pStyle w:val="BodyText"/>
      </w:pPr>
      <w:r>
        <w:rPr>
          <w:b/>
          <w:bCs/>
        </w:rPr>
        <w:t xml:space="preserve">Guidelines:</w:t>
      </w:r>
      <w:r>
        <w:t xml:space="preserve"> </w:t>
      </w:r>
      <w:r>
        <w:t xml:space="preserve">-</w:t>
      </w:r>
      <w:r>
        <w:t xml:space="preserve"> </w:t>
      </w:r>
      <w:r>
        <w:rPr>
          <w:rStyle w:val="VerbatimChar"/>
        </w:rPr>
        <w:t xml:space="preserve">0</w:t>
      </w:r>
      <w:r>
        <w:t xml:space="preserve"> </w:t>
      </w:r>
      <w:r>
        <w:t xml:space="preserve">- Synchronous writes on every change (safe but slower)</w:t>
      </w:r>
      <w:r>
        <w:t xml:space="preserve"> </w:t>
      </w:r>
      <w:r>
        <w:t xml:space="preserve">-</w:t>
      </w:r>
      <w:r>
        <w:t xml:space="preserve"> </w:t>
      </w:r>
      <w:r>
        <w:rPr>
          <w:rStyle w:val="VerbatimChar"/>
        </w:rPr>
        <w:t xml:space="preserve">30-60</w:t>
      </w:r>
      <w:r>
        <w:t xml:space="preserve"> </w:t>
      </w:r>
      <w:r>
        <w:t xml:space="preserve">- Frequent writes (good for critical session data)</w:t>
      </w:r>
      <w:r>
        <w:t xml:space="preserve"> </w:t>
      </w:r>
      <w:r>
        <w:t xml:space="preserve">-</w:t>
      </w:r>
      <w:r>
        <w:t xml:space="preserve"> </w:t>
      </w:r>
      <w:r>
        <w:rPr>
          <w:rStyle w:val="VerbatimChar"/>
        </w:rPr>
        <w:t xml:space="preserve">120</w:t>
      </w:r>
      <w:r>
        <w:t xml:space="preserve"> </w:t>
      </w:r>
      <w:r>
        <w:t xml:space="preserve">- Balanced default</w:t>
      </w:r>
      <w:r>
        <w:t xml:space="preserve"> </w:t>
      </w:r>
      <w:r>
        <w:t xml:space="preserve">-</w:t>
      </w:r>
      <w:r>
        <w:t xml:space="preserve"> </w:t>
      </w:r>
      <w:r>
        <w:rPr>
          <w:rStyle w:val="VerbatimChar"/>
        </w:rPr>
        <w:t xml:space="preserve">300+</w:t>
      </w:r>
      <w:r>
        <w:t xml:space="preserve"> </w:t>
      </w:r>
      <w:r>
        <w:t xml:space="preserve">- Reduced I/O (suitable for read-heavy applications)</w:t>
      </w:r>
    </w:p>
    <w:p>
      <w:pPr>
        <w:pStyle w:val="BodyText"/>
      </w:pPr>
      <w:r>
        <w:rPr>
          <w:b/>
          <w:bCs/>
        </w:rPr>
        <w:t xml:space="preserve">Example:</w:t>
      </w:r>
    </w:p>
    <w:p>
      <w:pPr>
        <w:pStyle w:val="SourceCode"/>
      </w:pPr>
      <w:r>
        <w:rPr>
          <w:rStyle w:val="DataTypeTok"/>
        </w:rPr>
        <w:t xml:space="preserve">session_flush_interval_seconds</w:t>
      </w:r>
      <w:r>
        <w:rPr>
          <w:rStyle w:val="NormalTok"/>
        </w:rPr>
        <w:t xml:space="preserve"> </w:t>
      </w:r>
      <w:r>
        <w:rPr>
          <w:rStyle w:val="OperatorTok"/>
        </w:rPr>
        <w:t xml:space="preserve">=</w:t>
      </w:r>
      <w:r>
        <w:rPr>
          <w:rStyle w:val="NormalTok"/>
        </w:rPr>
        <w:t xml:space="preserve"> </w:t>
      </w:r>
      <w:r>
        <w:rPr>
          <w:rStyle w:val="DecValTok"/>
        </w:rPr>
        <w:t xml:space="preserve">120</w:t>
      </w:r>
    </w:p>
    <w:bookmarkEnd w:id="367"/>
    <w:bookmarkStart w:id="368" w:name="adodb_platform_architecture"/>
    <w:p>
      <w:pPr>
        <w:pStyle w:val="Heading3"/>
      </w:pPr>
      <w:r>
        <w:t xml:space="preserve">adodb_platform_architecture</w:t>
      </w:r>
    </w:p>
    <w:p>
      <w:pPr>
        <w:pStyle w:val="FirstParagraph"/>
      </w:pPr>
      <w:r>
        <w:rPr>
          <w:b/>
          <w:bCs/>
        </w:rPr>
        <w:t xml:space="preserve">Type:</w:t>
      </w:r>
      <w:r>
        <w:t xml:space="preserve"> </w:t>
      </w:r>
      <w:r>
        <w:t xml:space="preserve">String (Enum)</w:t>
      </w:r>
      <w:r>
        <w:br/>
      </w:r>
      <w:r>
        <w:rPr>
          <w:b/>
          <w:bCs/>
        </w:rPr>
        <w:t xml:space="preserve">Default:</w:t>
      </w:r>
      <w:r>
        <w:t xml:space="preserve"> </w:t>
      </w:r>
      <w:r>
        <w:rPr>
          <w:rStyle w:val="VerbatimChar"/>
        </w:rPr>
        <w:t xml:space="preserve">"auto"</w:t>
      </w:r>
      <w:r>
        <w:br/>
      </w:r>
      <w:r>
        <w:rPr>
          <w:b/>
          <w:bCs/>
        </w:rPr>
        <w:t xml:space="preserve">Environment Variable:</w:t>
      </w:r>
      <w:r>
        <w:t xml:space="preserve"> </w:t>
      </w:r>
      <w:r>
        <w:rPr>
          <w:rStyle w:val="VerbatimChar"/>
        </w:rPr>
        <w:t xml:space="preserve">ADODB_PLATFORM_ARCHITECTURE</w:t>
      </w:r>
      <w:r>
        <w:br/>
      </w:r>
      <w:r>
        <w:rPr>
          <w:b/>
          <w:bCs/>
        </w:rPr>
        <w:t xml:space="preserve">Valid Values:</w:t>
      </w:r>
      <w:r>
        <w:t xml:space="preserve"> </w:t>
      </w:r>
      <w:r>
        <w:rPr>
          <w:rStyle w:val="VerbatimChar"/>
        </w:rPr>
        <w:t xml:space="preserve">"auto"</w:t>
      </w:r>
      <w:r>
        <w:t xml:space="preserve">,</w:t>
      </w:r>
      <w:r>
        <w:t xml:space="preserve"> </w:t>
      </w:r>
      <w:r>
        <w:rPr>
          <w:rStyle w:val="VerbatimChar"/>
        </w:rPr>
        <w:t xml:space="preserve">"amd64"</w:t>
      </w:r>
      <w:r>
        <w:t xml:space="preserve">,</w:t>
      </w:r>
      <w:r>
        <w:t xml:space="preserve"> </w:t>
      </w:r>
      <w:r>
        <w:rPr>
          <w:rStyle w:val="VerbatimChar"/>
        </w:rPr>
        <w:t xml:space="preserve">"386"</w:t>
      </w:r>
    </w:p>
    <w:p>
      <w:pPr>
        <w:pStyle w:val="BodyText"/>
      </w:pPr>
      <w:r>
        <w:t xml:space="preserve">Specifies platform architecture for ADODB Access database driver (Windows only).</w:t>
      </w:r>
    </w:p>
    <w:p>
      <w:pPr>
        <w:pStyle w:val="Compact"/>
        <w:numPr>
          <w:ilvl w:val="0"/>
          <w:numId w:val="1131"/>
        </w:numPr>
      </w:pPr>
      <w:r>
        <w:rPr>
          <w:rStyle w:val="VerbatimChar"/>
        </w:rPr>
        <w:t xml:space="preserve">"auto"</w:t>
      </w:r>
      <w:r>
        <w:t xml:space="preserve"> </w:t>
      </w:r>
      <w:r>
        <w:t xml:space="preserve">- Automatically detect platform architecture</w:t>
      </w:r>
    </w:p>
    <w:p>
      <w:pPr>
        <w:pStyle w:val="Compact"/>
        <w:numPr>
          <w:ilvl w:val="0"/>
          <w:numId w:val="1131"/>
        </w:numPr>
      </w:pPr>
      <w:r>
        <w:rPr>
          <w:rStyle w:val="VerbatimChar"/>
        </w:rPr>
        <w:t xml:space="preserve">"amd64"</w:t>
      </w:r>
      <w:r>
        <w:t xml:space="preserve"> </w:t>
      </w:r>
      <w:r>
        <w:t xml:space="preserve">- 64-bit (modern systems)</w:t>
      </w:r>
    </w:p>
    <w:p>
      <w:pPr>
        <w:pStyle w:val="Compact"/>
        <w:numPr>
          <w:ilvl w:val="0"/>
          <w:numId w:val="1131"/>
        </w:numPr>
      </w:pPr>
      <w:r>
        <w:rPr>
          <w:rStyle w:val="VerbatimChar"/>
        </w:rPr>
        <w:t xml:space="preserve">"386"</w:t>
      </w:r>
      <w:r>
        <w:t xml:space="preserve"> </w:t>
      </w:r>
      <w:r>
        <w:t xml:space="preserve">- 32-bit (legacy systems)</w:t>
      </w:r>
    </w:p>
    <w:p>
      <w:pPr>
        <w:pStyle w:val="FirstParagraph"/>
      </w:pPr>
      <w:r>
        <w:rPr>
          <w:b/>
          <w:bCs/>
        </w:rPr>
        <w:t xml:space="preserve">Example:</w:t>
      </w:r>
    </w:p>
    <w:p>
      <w:pPr>
        <w:pStyle w:val="SourceCode"/>
      </w:pPr>
      <w:r>
        <w:rPr>
          <w:rStyle w:val="DataTypeTok"/>
        </w:rPr>
        <w:t xml:space="preserve">adodb_platform_architecture</w:t>
      </w:r>
      <w:r>
        <w:rPr>
          <w:rStyle w:val="NormalTok"/>
        </w:rPr>
        <w:t xml:space="preserve"> </w:t>
      </w:r>
      <w:r>
        <w:rPr>
          <w:rStyle w:val="OperatorTok"/>
        </w:rPr>
        <w:t xml:space="preserve">=</w:t>
      </w:r>
      <w:r>
        <w:rPr>
          <w:rStyle w:val="NormalTok"/>
        </w:rPr>
        <w:t xml:space="preserve"> </w:t>
      </w:r>
      <w:r>
        <w:rPr>
          <w:rStyle w:val="StringTok"/>
        </w:rPr>
        <w:t xml:space="preserve">"auto"</w:t>
      </w:r>
    </w:p>
    <w:bookmarkEnd w:id="368"/>
    <w:bookmarkStart w:id="369" w:name="execute_as_asp"/>
    <w:p>
      <w:pPr>
        <w:pStyle w:val="Heading3"/>
      </w:pPr>
      <w:r>
        <w:t xml:space="preserve">execute_as_asp</w:t>
      </w:r>
    </w:p>
    <w:p>
      <w:pPr>
        <w:pStyle w:val="FirstParagraph"/>
      </w:pPr>
      <w:r>
        <w:rPr>
          <w:b/>
          <w:bCs/>
        </w:rPr>
        <w:t xml:space="preserve">Type:</w:t>
      </w:r>
      <w:r>
        <w:t xml:space="preserve"> </w:t>
      </w:r>
      <w:r>
        <w:t xml:space="preserve">Array of Strings</w:t>
      </w:r>
      <w:r>
        <w:br/>
      </w:r>
      <w:r>
        <w:rPr>
          <w:b/>
          <w:bCs/>
        </w:rPr>
        <w:t xml:space="preserve">Default:</w:t>
      </w:r>
      <w:r>
        <w:t xml:space="preserve"> </w:t>
      </w:r>
      <w:r>
        <w:rPr>
          <w:rStyle w:val="VerbatimChar"/>
        </w:rPr>
        <w:t xml:space="preserve">[".asp"]</w:t>
      </w:r>
      <w:r>
        <w:br/>
      </w:r>
      <w:r>
        <w:rPr>
          <w:b/>
          <w:bCs/>
        </w:rPr>
        <w:t xml:space="preserve">Environment Variable:</w:t>
      </w:r>
      <w:r>
        <w:t xml:space="preserve"> </w:t>
      </w:r>
      <w:r>
        <w:rPr>
          <w:rStyle w:val="VerbatimChar"/>
        </w:rPr>
        <w:t xml:space="preserve">EXECUTE_AS_ASP</w:t>
      </w:r>
      <w:r>
        <w:t xml:space="preserve"> </w:t>
      </w:r>
      <w:r>
        <w:t xml:space="preserve">(comma-separated list)</w:t>
      </w:r>
    </w:p>
    <w:p>
      <w:pPr>
        <w:pStyle w:val="BodyText"/>
      </w:pPr>
      <w:r>
        <w:t xml:space="preserve">File extensions to execute as ASP scripts. Other extensions are served as static files.</w:t>
      </w:r>
    </w:p>
    <w:p>
      <w:pPr>
        <w:pStyle w:val="BodyText"/>
      </w:pPr>
      <w:r>
        <w:rPr>
          <w:b/>
          <w:bCs/>
        </w:rPr>
        <w:t xml:space="preserve">Examples:</w:t>
      </w:r>
    </w:p>
    <w:p>
      <w:pPr>
        <w:pStyle w:val="SourceCode"/>
      </w:pPr>
      <w:r>
        <w:rPr>
          <w:rStyle w:val="CommentTok"/>
        </w:rPr>
        <w:t xml:space="preserve"># Default: only .asp files</w:t>
      </w:r>
      <w:r>
        <w:br/>
      </w:r>
      <w:r>
        <w:rPr>
          <w:rStyle w:val="DataTypeTok"/>
        </w:rPr>
        <w:t xml:space="preserve">execute_as_asp</w:t>
      </w:r>
      <w:r>
        <w:rPr>
          <w:rStyle w:val="NormalTok"/>
        </w:rPr>
        <w:t xml:space="preserve"> </w:t>
      </w:r>
      <w:r>
        <w:rPr>
          <w:rStyle w:val="OperatorTok"/>
        </w:rPr>
        <w:t xml:space="preserve">=</w:t>
      </w:r>
      <w:r>
        <w:rPr>
          <w:rStyle w:val="NormalTok"/>
        </w:rPr>
        <w:t xml:space="preserve"> </w:t>
      </w:r>
      <w:r>
        <w:rPr>
          <w:rStyle w:val="OperatorTok"/>
        </w:rPr>
        <w:t xml:space="preserve">[</w:t>
      </w:r>
      <w:r>
        <w:rPr>
          <w:rStyle w:val="StringTok"/>
        </w:rPr>
        <w:t xml:space="preserve">".asp"</w:t>
      </w:r>
      <w:r>
        <w:rPr>
          <w:rStyle w:val="OperatorTok"/>
        </w:rPr>
        <w:t xml:space="preserve">]</w:t>
      </w:r>
      <w:r>
        <w:br/>
      </w:r>
      <w:r>
        <w:br/>
      </w:r>
      <w:r>
        <w:rPr>
          <w:rStyle w:val="CommentTok"/>
        </w:rPr>
        <w:t xml:space="preserve"># Multiple formats</w:t>
      </w:r>
      <w:r>
        <w:br/>
      </w:r>
      <w:r>
        <w:rPr>
          <w:rStyle w:val="DataTypeTok"/>
        </w:rPr>
        <w:t xml:space="preserve">execute_as_asp</w:t>
      </w:r>
      <w:r>
        <w:rPr>
          <w:rStyle w:val="NormalTok"/>
        </w:rPr>
        <w:t xml:space="preserve"> </w:t>
      </w:r>
      <w:r>
        <w:rPr>
          <w:rStyle w:val="OperatorTok"/>
        </w:rPr>
        <w:t xml:space="preserve">=</w:t>
      </w:r>
      <w:r>
        <w:rPr>
          <w:rStyle w:val="NormalTok"/>
        </w:rPr>
        <w:t xml:space="preserve"> </w:t>
      </w:r>
      <w:r>
        <w:rPr>
          <w:rStyle w:val="OperatorTok"/>
        </w:rPr>
        <w:t xml:space="preserve">[</w:t>
      </w:r>
      <w:r>
        <w:rPr>
          <w:rStyle w:val="StringTok"/>
        </w:rPr>
        <w:t xml:space="preserve">".asp"</w:t>
      </w:r>
      <w:r>
        <w:rPr>
          <w:rStyle w:val="OperatorTok"/>
        </w:rPr>
        <w:t xml:space="preserve">,</w:t>
      </w:r>
      <w:r>
        <w:rPr>
          <w:rStyle w:val="NormalTok"/>
        </w:rPr>
        <w:t xml:space="preserve"> </w:t>
      </w:r>
      <w:r>
        <w:rPr>
          <w:rStyle w:val="StringTok"/>
        </w:rPr>
        <w:t xml:space="preserve">".aspx"</w:t>
      </w:r>
      <w:r>
        <w:rPr>
          <w:rStyle w:val="OperatorTok"/>
        </w:rPr>
        <w:t xml:space="preserve">,</w:t>
      </w:r>
      <w:r>
        <w:rPr>
          <w:rStyle w:val="NormalTok"/>
        </w:rPr>
        <w:t xml:space="preserve"> </w:t>
      </w:r>
      <w:r>
        <w:rPr>
          <w:rStyle w:val="StringTok"/>
        </w:rPr>
        <w:t xml:space="preserve">".cer"</w:t>
      </w:r>
      <w:r>
        <w:rPr>
          <w:rStyle w:val="OperatorTok"/>
        </w:rPr>
        <w:t xml:space="preserve">,</w:t>
      </w:r>
      <w:r>
        <w:rPr>
          <w:rStyle w:val="NormalTok"/>
        </w:rPr>
        <w:t xml:space="preserve"> </w:t>
      </w:r>
      <w:r>
        <w:rPr>
          <w:rStyle w:val="StringTok"/>
        </w:rPr>
        <w:t xml:space="preserve">".asa"</w:t>
      </w:r>
      <w:r>
        <w:rPr>
          <w:rStyle w:val="OperatorTok"/>
        </w:rPr>
        <w:t xml:space="preserve">]</w:t>
      </w:r>
    </w:p>
    <w:bookmarkEnd w:id="369"/>
    <w:bookmarkStart w:id="370" w:name="execute_as_vbscript"/>
    <w:p>
      <w:pPr>
        <w:pStyle w:val="Heading3"/>
      </w:pPr>
      <w:r>
        <w:t xml:space="preserve">execute_as_vbscript</w:t>
      </w:r>
    </w:p>
    <w:p>
      <w:pPr>
        <w:pStyle w:val="FirstParagraph"/>
      </w:pPr>
      <w:r>
        <w:rPr>
          <w:b/>
          <w:bCs/>
        </w:rPr>
        <w:t xml:space="preserve">Type:</w:t>
      </w:r>
      <w:r>
        <w:t xml:space="preserve"> </w:t>
      </w:r>
      <w:r>
        <w:t xml:space="preserve">Array of Strings</w:t>
      </w:r>
      <w:r>
        <w:br/>
      </w:r>
      <w:r>
        <w:rPr>
          <w:b/>
          <w:bCs/>
        </w:rPr>
        <w:t xml:space="preserve">Default:</w:t>
      </w:r>
      <w:r>
        <w:t xml:space="preserve"> </w:t>
      </w:r>
      <w:r>
        <w:rPr>
          <w:rStyle w:val="VerbatimChar"/>
        </w:rPr>
        <w:t xml:space="preserve">[".vbs"]</w:t>
      </w:r>
      <w:r>
        <w:br/>
      </w:r>
      <w:r>
        <w:rPr>
          <w:b/>
          <w:bCs/>
        </w:rPr>
        <w:t xml:space="preserve">Environment Variable:</w:t>
      </w:r>
      <w:r>
        <w:t xml:space="preserve"> </w:t>
      </w:r>
      <w:r>
        <w:rPr>
          <w:rStyle w:val="VerbatimChar"/>
        </w:rPr>
        <w:t xml:space="preserve">EXECUTE_AS_VBSCRIPT</w:t>
      </w:r>
    </w:p>
    <w:p>
      <w:pPr>
        <w:pStyle w:val="BodyText"/>
      </w:pPr>
      <w:r>
        <w:t xml:space="preserve">File extensions treated as pure VBScript code when</w:t>
      </w:r>
      <w:r>
        <w:t xml:space="preserve"> </w:t>
      </w:r>
      <w:r>
        <w:rPr>
          <w:rStyle w:val="VerbatimChar"/>
        </w:rPr>
        <w:t xml:space="preserve">engine_mode</w:t>
      </w:r>
      <w:r>
        <w:t xml:space="preserve"> </w:t>
      </w:r>
      <w:r>
        <w:t xml:space="preserve">is set to</w:t>
      </w:r>
      <w:r>
        <w:t xml:space="preserve"> </w:t>
      </w:r>
      <w:r>
        <w:rPr>
          <w:rStyle w:val="VerbatimChar"/>
        </w:rPr>
        <w:t xml:space="preserve">vbscript</w:t>
      </w:r>
      <w:r>
        <w:t xml:space="preserve">. In this mode, ASP delimiters (</w:t>
      </w:r>
      <w:r>
        <w:rPr>
          <w:rStyle w:val="VerbatimChar"/>
        </w:rPr>
        <w:t xml:space="preserve">&lt;% %&gt;</w:t>
      </w:r>
      <w:r>
        <w:t xml:space="preserve">) are not parsed, and the entire file is treated as source code.</w:t>
      </w:r>
    </w:p>
    <w:bookmarkEnd w:id="370"/>
    <w:bookmarkStart w:id="371" w:name="execute_as_javascript"/>
    <w:p>
      <w:pPr>
        <w:pStyle w:val="Heading3"/>
      </w:pPr>
      <w:r>
        <w:t xml:space="preserve">execute_as_javascript</w:t>
      </w:r>
    </w:p>
    <w:p>
      <w:pPr>
        <w:pStyle w:val="FirstParagraph"/>
      </w:pPr>
      <w:r>
        <w:rPr>
          <w:b/>
          <w:bCs/>
        </w:rPr>
        <w:t xml:space="preserve">Type:</w:t>
      </w:r>
      <w:r>
        <w:t xml:space="preserve"> </w:t>
      </w:r>
      <w:r>
        <w:t xml:space="preserve">Array of Strings</w:t>
      </w:r>
      <w:r>
        <w:br/>
      </w:r>
      <w:r>
        <w:rPr>
          <w:b/>
          <w:bCs/>
        </w:rPr>
        <w:t xml:space="preserve">Default:</w:t>
      </w:r>
      <w:r>
        <w:t xml:space="preserve"> </w:t>
      </w:r>
      <w:r>
        <w:rPr>
          <w:rStyle w:val="VerbatimChar"/>
        </w:rPr>
        <w:t xml:space="preserve">[".js"]</w:t>
      </w:r>
      <w:r>
        <w:br/>
      </w:r>
      <w:r>
        <w:rPr>
          <w:b/>
          <w:bCs/>
        </w:rPr>
        <w:t xml:space="preserve">Environment Variable:</w:t>
      </w:r>
      <w:r>
        <w:t xml:space="preserve"> </w:t>
      </w:r>
      <w:r>
        <w:rPr>
          <w:rStyle w:val="VerbatimChar"/>
        </w:rPr>
        <w:t xml:space="preserve">EXECUTE_AS_JAVASCRIPT</w:t>
      </w:r>
    </w:p>
    <w:p>
      <w:pPr>
        <w:pStyle w:val="BodyText"/>
      </w:pPr>
      <w:r>
        <w:t xml:space="preserve">File extensions treated as pure JavaScript code when</w:t>
      </w:r>
      <w:r>
        <w:t xml:space="preserve"> </w:t>
      </w:r>
      <w:r>
        <w:rPr>
          <w:rStyle w:val="VerbatimChar"/>
        </w:rPr>
        <w:t xml:space="preserve">engine_mode</w:t>
      </w:r>
      <w:r>
        <w:t xml:space="preserve"> </w:t>
      </w:r>
      <w:r>
        <w:t xml:space="preserve">is set to</w:t>
      </w:r>
      <w:r>
        <w:t xml:space="preserve"> </w:t>
      </w:r>
      <w:r>
        <w:rPr>
          <w:rStyle w:val="VerbatimChar"/>
        </w:rPr>
        <w:t xml:space="preserve">javascript</w:t>
      </w:r>
      <w:r>
        <w:t xml:space="preserve">. In this mode, ASP delimiters (</w:t>
      </w:r>
      <w:r>
        <w:rPr>
          <w:rStyle w:val="VerbatimChar"/>
        </w:rPr>
        <w:t xml:space="preserve">&lt;% %&gt;</w:t>
      </w:r>
      <w:r>
        <w:t xml:space="preserve">) are not parsed, and the entire file is treated as source code.</w:t>
      </w:r>
    </w:p>
    <w:bookmarkEnd w:id="371"/>
    <w:bookmarkStart w:id="372" w:name="viper_watch_config"/>
    <w:p>
      <w:pPr>
        <w:pStyle w:val="Heading3"/>
      </w:pPr>
      <w:r>
        <w:t xml:space="preserve">viper_watch_config</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false</w:t>
      </w:r>
      <w:r>
        <w:br/>
      </w:r>
      <w:r>
        <w:rPr>
          <w:b/>
          <w:bCs/>
        </w:rPr>
        <w:t xml:space="preserve">Environment Variable:</w:t>
      </w:r>
      <w:r>
        <w:t xml:space="preserve"> </w:t>
      </w:r>
      <w:r>
        <w:rPr>
          <w:rStyle w:val="VerbatimChar"/>
        </w:rPr>
        <w:t xml:space="preserve">VIPER_WATCH_CONFIG</w:t>
      </w:r>
    </w:p>
    <w:p>
      <w:pPr>
        <w:pStyle w:val="BodyText"/>
      </w:pPr>
      <w:r>
        <w:t xml:space="preserve">When enabled, automatically reloads configuration file on changes without restarting the server.</w:t>
      </w:r>
    </w:p>
    <w:p>
      <w:pPr>
        <w:pStyle w:val="BodyText"/>
      </w:pPr>
      <w:r>
        <w:t xml:space="preserve">⚠️ Note: Not fully implemented; manual restart currently required for most changes.</w:t>
      </w:r>
    </w:p>
    <w:p>
      <w:pPr>
        <w:pStyle w:val="BodyText"/>
      </w:pPr>
      <w:r>
        <w:rPr>
          <w:b/>
          <w:bCs/>
        </w:rPr>
        <w:t xml:space="preserve">Example:</w:t>
      </w:r>
    </w:p>
    <w:p>
      <w:pPr>
        <w:pStyle w:val="SourceCode"/>
      </w:pPr>
      <w:r>
        <w:rPr>
          <w:rStyle w:val="DataTypeTok"/>
        </w:rPr>
        <w:t xml:space="preserve">viper_watch_config</w:t>
      </w:r>
      <w:r>
        <w:rPr>
          <w:rStyle w:val="NormalTok"/>
        </w:rPr>
        <w:t xml:space="preserve"> </w:t>
      </w:r>
      <w:r>
        <w:rPr>
          <w:rStyle w:val="OperatorTok"/>
        </w:rPr>
        <w:t xml:space="preserve">=</w:t>
      </w:r>
      <w:r>
        <w:rPr>
          <w:rStyle w:val="NormalTok"/>
        </w:rPr>
        <w:t xml:space="preserve"> </w:t>
      </w:r>
      <w:r>
        <w:rPr>
          <w:rStyle w:val="ConstantTok"/>
        </w:rPr>
        <w:t xml:space="preserve">false</w:t>
      </w:r>
    </w:p>
    <w:bookmarkEnd w:id="372"/>
    <w:bookmarkStart w:id="373" w:name="viper_automatic_env"/>
    <w:p>
      <w:pPr>
        <w:pStyle w:val="Heading3"/>
      </w:pPr>
      <w:r>
        <w:t xml:space="preserve">viper_automatic_env</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VIPER_AUTOMATIC_ENV</w:t>
      </w:r>
    </w:p>
    <w:p>
      <w:pPr>
        <w:pStyle w:val="BodyText"/>
      </w:pPr>
      <w:r>
        <w:t xml:space="preserve">When enabled, automatically reads configuration values from environment variables. Allows environment variables to override</w:t>
      </w:r>
      <w:r>
        <w:t xml:space="preserve"> </w:t>
      </w:r>
      <w:r>
        <w:rPr>
          <w:rStyle w:val="VerbatimChar"/>
        </w:rPr>
        <w:t xml:space="preserve">axonasp.toml</w:t>
      </w:r>
      <w:r>
        <w:t xml:space="preserve"> </w:t>
      </w:r>
      <w:r>
        <w:t xml:space="preserve">settings.</w:t>
      </w:r>
    </w:p>
    <w:p>
      <w:pPr>
        <w:pStyle w:val="BodyText"/>
      </w:pPr>
      <w:r>
        <w:rPr>
          <w:b/>
          <w:bCs/>
        </w:rPr>
        <w:t xml:space="preserve">Example:</w:t>
      </w:r>
    </w:p>
    <w:p>
      <w:pPr>
        <w:pStyle w:val="SourceCode"/>
      </w:pPr>
      <w:r>
        <w:rPr>
          <w:rStyle w:val="DataTypeTok"/>
        </w:rPr>
        <w:t xml:space="preserve">viper_automatic_env</w:t>
      </w:r>
      <w:r>
        <w:rPr>
          <w:rStyle w:val="NormalTok"/>
        </w:rPr>
        <w:t xml:space="preserve"> </w:t>
      </w:r>
      <w:r>
        <w:rPr>
          <w:rStyle w:val="OperatorTok"/>
        </w:rPr>
        <w:t xml:space="preserve">=</w:t>
      </w:r>
      <w:r>
        <w:rPr>
          <w:rStyle w:val="NormalTok"/>
        </w:rPr>
        <w:t xml:space="preserve"> </w:t>
      </w:r>
      <w:r>
        <w:rPr>
          <w:rStyle w:val="ConstantTok"/>
        </w:rPr>
        <w:t xml:space="preserve">true</w:t>
      </w:r>
    </w:p>
    <w:bookmarkEnd w:id="373"/>
    <w:bookmarkStart w:id="374" w:name="temp_dir"/>
    <w:p>
      <w:pPr>
        <w:pStyle w:val="Heading3"/>
      </w:pPr>
      <w:r>
        <w:t xml:space="preserve">temp_dir</w:t>
      </w:r>
    </w:p>
    <w:p>
      <w:pPr>
        <w:pStyle w:val="FirstParagraph"/>
      </w:pPr>
      <w:r>
        <w:rPr>
          <w:b/>
          <w:bCs/>
        </w:rPr>
        <w:t xml:space="preserve">Type:</w:t>
      </w:r>
      <w:r>
        <w:t xml:space="preserve"> </w:t>
      </w:r>
      <w:r>
        <w:t xml:space="preserve">String (path)</w:t>
      </w:r>
      <w:r>
        <w:br/>
      </w:r>
      <w:r>
        <w:rPr>
          <w:b/>
          <w:bCs/>
        </w:rPr>
        <w:t xml:space="preserve">Default:</w:t>
      </w:r>
      <w:r>
        <w:t xml:space="preserve"> </w:t>
      </w:r>
      <w:r>
        <w:rPr>
          <w:rStyle w:val="VerbatimChar"/>
        </w:rPr>
        <w:t xml:space="preserve">"./temp"</w:t>
      </w:r>
      <w:r>
        <w:br/>
      </w:r>
      <w:r>
        <w:rPr>
          <w:b/>
          <w:bCs/>
        </w:rPr>
        <w:t xml:space="preserve">Environment Variable:</w:t>
      </w:r>
      <w:r>
        <w:t xml:space="preserve"> </w:t>
      </w:r>
      <w:r>
        <w:rPr>
          <w:rStyle w:val="VerbatimChar"/>
        </w:rPr>
        <w:t xml:space="preserve">GLOBAL_TEMP_DIR</w:t>
      </w:r>
    </w:p>
    <w:p>
      <w:pPr>
        <w:pStyle w:val="BodyText"/>
      </w:pPr>
      <w:r>
        <w:t xml:space="preserve">This directory is used for storing temporary files created during the execution of ASP scripts, such as session data, cached compiled scripts, and other temporary resources. Make sure this directory is writable by the server process and has sufficient space to accommodate the temporary files generated by your applications.</w:t>
      </w:r>
    </w:p>
    <w:p>
      <w:pPr>
        <w:pStyle w:val="BodyText"/>
      </w:pPr>
      <w:r>
        <w:rPr>
          <w:b/>
          <w:bCs/>
        </w:rPr>
        <w:t xml:space="preserve">Example:</w:t>
      </w:r>
    </w:p>
    <w:p>
      <w:pPr>
        <w:pStyle w:val="SourceCode"/>
      </w:pPr>
      <w:r>
        <w:rPr>
          <w:rStyle w:val="DataTypeTok"/>
        </w:rPr>
        <w:t xml:space="preserve">temp_dir</w:t>
      </w:r>
      <w:r>
        <w:rPr>
          <w:rStyle w:val="NormalTok"/>
        </w:rPr>
        <w:t xml:space="preserve"> </w:t>
      </w:r>
      <w:r>
        <w:rPr>
          <w:rStyle w:val="OperatorTok"/>
        </w:rPr>
        <w:t xml:space="preserve">=</w:t>
      </w:r>
      <w:r>
        <w:rPr>
          <w:rStyle w:val="NormalTok"/>
        </w:rPr>
        <w:t xml:space="preserve"> </w:t>
      </w:r>
      <w:r>
        <w:rPr>
          <w:rStyle w:val="StringTok"/>
        </w:rPr>
        <w:t xml:space="preserve">"./temp"</w:t>
      </w:r>
    </w:p>
    <w:p>
      <w:r>
        <w:pict>
          <v:rect style="width:0;height:1.5pt" o:hralign="center" o:hrstd="t" o:hr="t"/>
        </w:pict>
      </w:r>
    </w:p>
    <w:bookmarkEnd w:id="374"/>
    <w:bookmarkEnd w:id="375"/>
    <w:bookmarkStart w:id="380" w:name="cli-settings-cli"/>
    <w:p>
      <w:pPr>
        <w:pStyle w:val="Heading2"/>
      </w:pPr>
      <w:r>
        <w:t xml:space="preserve">CLI Settings</w:t>
      </w:r>
      <w:r>
        <w:t xml:space="preserve"> </w:t>
      </w:r>
      <w:r>
        <w:rPr>
          <w:rStyle w:val="VerbatimChar"/>
        </w:rPr>
        <w:t xml:space="preserve">[cli]</w:t>
      </w:r>
    </w:p>
    <w:p>
      <w:pPr>
        <w:pStyle w:val="FirstParagraph"/>
      </w:pPr>
      <w:r>
        <w:t xml:space="preserve">Configuration for command-line interface (</w:t>
      </w:r>
      <w:r>
        <w:rPr>
          <w:rStyle w:val="VerbatimChar"/>
        </w:rPr>
        <w:t xml:space="preserve">axonasp-cli.exe</w:t>
      </w:r>
      <w:r>
        <w:t xml:space="preserve">).</w:t>
      </w:r>
    </w:p>
    <w:bookmarkStart w:id="376" w:name="enable_cli"/>
    <w:p>
      <w:pPr>
        <w:pStyle w:val="Heading3"/>
      </w:pPr>
      <w:r>
        <w:t xml:space="preserve">enable_cli</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ENABLE_CLI</w:t>
      </w:r>
    </w:p>
    <w:p>
      <w:pPr>
        <w:pStyle w:val="BodyText"/>
      </w:pPr>
      <w:r>
        <w:t xml:space="preserve">When enabled, allows the TUI (Text User Interface) for interactive ASP script testing and execution. Required for CLI to function.</w:t>
      </w:r>
    </w:p>
    <w:p>
      <w:pPr>
        <w:pStyle w:val="BodyText"/>
      </w:pPr>
      <w:r>
        <w:rPr>
          <w:b/>
          <w:bCs/>
        </w:rPr>
        <w:t xml:space="preserve">Example:</w:t>
      </w:r>
    </w:p>
    <w:p>
      <w:pPr>
        <w:pStyle w:val="SourceCode"/>
      </w:pPr>
      <w:r>
        <w:rPr>
          <w:rStyle w:val="DataTypeTok"/>
        </w:rPr>
        <w:t xml:space="preserve">enable_cli</w:t>
      </w:r>
      <w:r>
        <w:rPr>
          <w:rStyle w:val="NormalTok"/>
        </w:rPr>
        <w:t xml:space="preserve"> </w:t>
      </w:r>
      <w:r>
        <w:rPr>
          <w:rStyle w:val="OperatorTok"/>
        </w:rPr>
        <w:t xml:space="preserve">=</w:t>
      </w:r>
      <w:r>
        <w:rPr>
          <w:rStyle w:val="NormalTok"/>
        </w:rPr>
        <w:t xml:space="preserve"> </w:t>
      </w:r>
      <w:r>
        <w:rPr>
          <w:rStyle w:val="ConstantTok"/>
        </w:rPr>
        <w:t xml:space="preserve">true</w:t>
      </w:r>
    </w:p>
    <w:bookmarkEnd w:id="376"/>
    <w:bookmarkStart w:id="377" w:name="enable_cli_run_from_command_line"/>
    <w:p>
      <w:pPr>
        <w:pStyle w:val="Heading3"/>
      </w:pPr>
      <w:r>
        <w:t xml:space="preserve">enable_cli_run_from_command_line</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ENABLE_CLI_RUN_FROM_COMMAND_LINE</w:t>
      </w:r>
    </w:p>
    <w:p>
      <w:pPr>
        <w:pStyle w:val="BodyText"/>
      </w:pPr>
      <w:r>
        <w:t xml:space="preserve">When enabled, allows running ASP scripts directly from command line:</w:t>
      </w:r>
    </w:p>
    <w:p>
      <w:pPr>
        <w:pStyle w:val="SourceCode"/>
      </w:pPr>
      <w:r>
        <w:rPr>
          <w:rStyle w:val="OperatorTok"/>
        </w:rPr>
        <w:t xml:space="preserve">.</w:t>
      </w:r>
      <w:r>
        <w:rPr>
          <w:rStyle w:val="NormalTok"/>
        </w:rPr>
        <w:t xml:space="preserve">\axonasp-cli</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r script</w:t>
      </w:r>
      <w:r>
        <w:rPr>
          <w:rStyle w:val="OperatorTok"/>
        </w:rPr>
        <w:t xml:space="preserve">.</w:t>
      </w:r>
      <w:r>
        <w:rPr>
          <w:rStyle w:val="FunctionTok"/>
        </w:rPr>
        <w:t xml:space="preserve">asp</w:t>
      </w:r>
    </w:p>
    <w:p>
      <w:pPr>
        <w:pStyle w:val="FirstParagraph"/>
      </w:pPr>
      <w:r>
        <w:t xml:space="preserve">⚠️ Security: Only enable if you trust the scripts being executed.</w:t>
      </w:r>
    </w:p>
    <w:p>
      <w:pPr>
        <w:pStyle w:val="BodyText"/>
      </w:pPr>
      <w:r>
        <w:rPr>
          <w:b/>
          <w:bCs/>
        </w:rPr>
        <w:t xml:space="preserve">Example:</w:t>
      </w:r>
    </w:p>
    <w:p>
      <w:pPr>
        <w:pStyle w:val="SourceCode"/>
      </w:pPr>
      <w:r>
        <w:rPr>
          <w:rStyle w:val="DataTypeTok"/>
        </w:rPr>
        <w:t xml:space="preserve">enable_cli_run_from_command_line</w:t>
      </w:r>
      <w:r>
        <w:rPr>
          <w:rStyle w:val="NormalTok"/>
        </w:rPr>
        <w:t xml:space="preserve"> </w:t>
      </w:r>
      <w:r>
        <w:rPr>
          <w:rStyle w:val="OperatorTok"/>
        </w:rPr>
        <w:t xml:space="preserve">=</w:t>
      </w:r>
      <w:r>
        <w:rPr>
          <w:rStyle w:val="NormalTok"/>
        </w:rPr>
        <w:t xml:space="preserve"> </w:t>
      </w:r>
      <w:r>
        <w:rPr>
          <w:rStyle w:val="ConstantTok"/>
        </w:rPr>
        <w:t xml:space="preserve">true</w:t>
      </w:r>
    </w:p>
    <w:bookmarkEnd w:id="377"/>
    <w:bookmarkStart w:id="378" w:name="force_fresh_compile"/>
    <w:p>
      <w:pPr>
        <w:pStyle w:val="Heading3"/>
      </w:pPr>
      <w:r>
        <w:t xml:space="preserve">force_fresh_compile</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FORCE_FRESH_COMPILE</w:t>
      </w:r>
    </w:p>
    <w:p>
      <w:pPr>
        <w:pStyle w:val="BodyText"/>
      </w:pPr>
      <w:r>
        <w:t xml:space="preserve">When</w:t>
      </w:r>
      <w:r>
        <w:t xml:space="preserve"> </w:t>
      </w:r>
      <w:r>
        <w:rPr>
          <w:rStyle w:val="VerbatimChar"/>
        </w:rPr>
        <w:t xml:space="preserve">true</w:t>
      </w:r>
      <w:r>
        <w:t xml:space="preserve">, CLI execution always recompiles scripts and bypasses the bytecode cache entirely. When</w:t>
      </w:r>
      <w:r>
        <w:t xml:space="preserve"> </w:t>
      </w:r>
      <w:r>
        <w:rPr>
          <w:rStyle w:val="VerbatimChar"/>
        </w:rPr>
        <w:t xml:space="preserve">false</w:t>
      </w:r>
      <w:r>
        <w:t xml:space="preserve">, the CLI follows the global</w:t>
      </w:r>
      <w:r>
        <w:t xml:space="preserve"> </w:t>
      </w:r>
      <w:r>
        <w:rPr>
          <w:rStyle w:val="VerbatimChar"/>
        </w:rPr>
        <w:t xml:space="preserve">bytecode_caching_enabled</w:t>
      </w:r>
      <w:r>
        <w:t xml:space="preserve"> </w:t>
      </w:r>
      <w:r>
        <w:t xml:space="preserve">setting.</w:t>
      </w:r>
    </w:p>
    <w:p>
      <w:pPr>
        <w:pStyle w:val="BodyText"/>
      </w:pPr>
      <w:r>
        <w:rPr>
          <w:b/>
          <w:bCs/>
        </w:rPr>
        <w:t xml:space="preserve">Guidelines:</w:t>
      </w:r>
      <w:r>
        <w:t xml:space="preserve"> </w:t>
      </w:r>
      <w:r>
        <w:t xml:space="preserve">-</w:t>
      </w:r>
      <w:r>
        <w:t xml:space="preserve"> </w:t>
      </w:r>
      <w:r>
        <w:rPr>
          <w:rStyle w:val="VerbatimChar"/>
        </w:rPr>
        <w:t xml:space="preserve">true</w:t>
      </w:r>
      <w:r>
        <w:t xml:space="preserve"> </w:t>
      </w:r>
      <w:r>
        <w:t xml:space="preserve">- Recommended for TUI and development workflows to ensure the latest script version is always executed</w:t>
      </w:r>
      <w:r>
        <w:t xml:space="preserve"> </w:t>
      </w:r>
      <w:r>
        <w:t xml:space="preserve">-</w:t>
      </w:r>
      <w:r>
        <w:t xml:space="preserve"> </w:t>
      </w:r>
      <w:r>
        <w:rPr>
          <w:rStyle w:val="VerbatimChar"/>
        </w:rPr>
        <w:t xml:space="preserve">false</w:t>
      </w:r>
      <w:r>
        <w:t xml:space="preserve"> </w:t>
      </w:r>
      <w:r>
        <w:t xml:space="preserve">- Suitable for scheduled or automated</w:t>
      </w:r>
      <w:r>
        <w:t xml:space="preserve"> </w:t>
      </w:r>
      <w:r>
        <w:rPr>
          <w:rStyle w:val="VerbatimChar"/>
        </w:rPr>
        <w:t xml:space="preserve">-r</w:t>
      </w:r>
      <w:r>
        <w:t xml:space="preserve"> </w:t>
      </w:r>
      <w:r>
        <w:t xml:space="preserve">runs where caching improves performance and scripts do not change frequently</w:t>
      </w:r>
    </w:p>
    <w:bookmarkEnd w:id="378"/>
    <w:bookmarkStart w:id="379" w:name="engine_mode"/>
    <w:p>
      <w:pPr>
        <w:pStyle w:val="Heading3"/>
      </w:pPr>
      <w:r>
        <w:t xml:space="preserve">engine_mode</w:t>
      </w:r>
    </w:p>
    <w:p>
      <w:pPr>
        <w:pStyle w:val="FirstParagraph"/>
      </w:pPr>
      <w:r>
        <w:rPr>
          <w:b/>
          <w:bCs/>
        </w:rPr>
        <w:t xml:space="preserve">Type:</w:t>
      </w:r>
      <w:r>
        <w:t xml:space="preserve"> </w:t>
      </w:r>
      <w:r>
        <w:t xml:space="preserve">String (Enum)</w:t>
      </w:r>
      <w:r>
        <w:br/>
      </w:r>
      <w:r>
        <w:rPr>
          <w:b/>
          <w:bCs/>
        </w:rPr>
        <w:t xml:space="preserve">Default:</w:t>
      </w:r>
      <w:r>
        <w:t xml:space="preserve"> </w:t>
      </w:r>
      <w:r>
        <w:rPr>
          <w:rStyle w:val="VerbatimChar"/>
        </w:rPr>
        <w:t xml:space="preserve">"default"</w:t>
      </w:r>
      <w:r>
        <w:br/>
      </w:r>
      <w:r>
        <w:rPr>
          <w:b/>
          <w:bCs/>
        </w:rPr>
        <w:t xml:space="preserve">Environment Variable:</w:t>
      </w:r>
      <w:r>
        <w:t xml:space="preserve"> </w:t>
      </w:r>
      <w:r>
        <w:rPr>
          <w:rStyle w:val="VerbatimChar"/>
        </w:rPr>
        <w:t xml:space="preserve">CLI_ENGINE_MODE</w:t>
      </w:r>
      <w:r>
        <w:br/>
      </w:r>
      <w:r>
        <w:rPr>
          <w:b/>
          <w:bCs/>
        </w:rPr>
        <w:t xml:space="preserve">Valid Values:</w:t>
      </w:r>
      <w:r>
        <w:t xml:space="preserve"> </w:t>
      </w:r>
      <w:r>
        <w:rPr>
          <w:rStyle w:val="VerbatimChar"/>
        </w:rPr>
        <w:t xml:space="preserve">"default"</w:t>
      </w:r>
      <w:r>
        <w:t xml:space="preserve">,</w:t>
      </w:r>
      <w:r>
        <w:t xml:space="preserve"> </w:t>
      </w:r>
      <w:r>
        <w:rPr>
          <w:rStyle w:val="VerbatimChar"/>
        </w:rPr>
        <w:t xml:space="preserve">"vbscript"</w:t>
      </w:r>
      <w:r>
        <w:t xml:space="preserve">,</w:t>
      </w:r>
      <w:r>
        <w:t xml:space="preserve"> </w:t>
      </w:r>
      <w:r>
        <w:rPr>
          <w:rStyle w:val="VerbatimChar"/>
        </w:rPr>
        <w:t xml:space="preserve">"javascript"</w:t>
      </w:r>
    </w:p>
    <w:p>
      <w:pPr>
        <w:pStyle w:val="BodyText"/>
      </w:pPr>
      <w:r>
        <w:t xml:space="preserve">Sets the language mode for the CLI:</w:t>
      </w:r>
      <w:r>
        <w:t xml:space="preserve"> </w:t>
      </w:r>
      <w:r>
        <w:t xml:space="preserve">-</w:t>
      </w:r>
      <w:r>
        <w:t xml:space="preserve"> </w:t>
      </w:r>
      <w:r>
        <w:rPr>
          <w:rStyle w:val="VerbatimChar"/>
        </w:rPr>
        <w:t xml:space="preserve">"default"</w:t>
      </w:r>
      <w:r>
        <w:t xml:space="preserve"> </w:t>
      </w:r>
      <w:r>
        <w:t xml:space="preserve">- Execute standard ASP (HTML +</w:t>
      </w:r>
      <w:r>
        <w:t xml:space="preserve"> </w:t>
      </w:r>
      <w:r>
        <w:rPr>
          <w:rStyle w:val="VerbatimChar"/>
        </w:rPr>
        <w:t xml:space="preserve">&lt;% %&gt;</w:t>
      </w:r>
      <w:r>
        <w:t xml:space="preserve"> </w:t>
      </w:r>
      <w:r>
        <w:t xml:space="preserve">delimiters)</w:t>
      </w:r>
      <w:r>
        <w:t xml:space="preserve"> </w:t>
      </w:r>
      <w:r>
        <w:t xml:space="preserve">-</w:t>
      </w:r>
      <w:r>
        <w:t xml:space="preserve"> </w:t>
      </w:r>
      <w:r>
        <w:rPr>
          <w:rStyle w:val="VerbatimChar"/>
        </w:rPr>
        <w:t xml:space="preserve">"vbscript"</w:t>
      </w:r>
      <w:r>
        <w:t xml:space="preserve"> </w:t>
      </w:r>
      <w:r>
        <w:t xml:space="preserve">- Execute pure VBScript (bypassing ASP delimiters for</w:t>
      </w:r>
      <w:r>
        <w:t xml:space="preserve"> </w:t>
      </w:r>
      <w:r>
        <w:rPr>
          <w:rStyle w:val="VerbatimChar"/>
        </w:rPr>
        <w:t xml:space="preserve">.vbs</w:t>
      </w:r>
      <w:r>
        <w:t xml:space="preserve"> </w:t>
      </w:r>
      <w:r>
        <w:t xml:space="preserve">extensions)</w:t>
      </w:r>
      <w:r>
        <w:t xml:space="preserve"> </w:t>
      </w:r>
      <w:r>
        <w:t xml:space="preserve">-</w:t>
      </w:r>
      <w:r>
        <w:t xml:space="preserve"> </w:t>
      </w:r>
      <w:r>
        <w:rPr>
          <w:rStyle w:val="VerbatimChar"/>
        </w:rPr>
        <w:t xml:space="preserve">"javascript"</w:t>
      </w:r>
      <w:r>
        <w:t xml:space="preserve"> </w:t>
      </w:r>
      <w:r>
        <w:t xml:space="preserve">- Execute pure JavaScript (bypassing ASP delimiters for</w:t>
      </w:r>
      <w:r>
        <w:t xml:space="preserve"> </w:t>
      </w:r>
      <w:r>
        <w:rPr>
          <w:rStyle w:val="VerbatimChar"/>
        </w:rPr>
        <w:t xml:space="preserve">.js</w:t>
      </w:r>
      <w:r>
        <w:t xml:space="preserve"> </w:t>
      </w:r>
      <w:r>
        <w:t xml:space="preserve">extensions)</w:t>
      </w:r>
    </w:p>
    <w:p>
      <w:pPr>
        <w:pStyle w:val="BodyText"/>
      </w:pPr>
      <w:r>
        <w:rPr>
          <w:b/>
          <w:bCs/>
        </w:rPr>
        <w:t xml:space="preserve">Example:</w:t>
      </w:r>
    </w:p>
    <w:p>
      <w:pPr>
        <w:pStyle w:val="SourceCode"/>
      </w:pPr>
      <w:r>
        <w:rPr>
          <w:rStyle w:val="DataTypeTok"/>
        </w:rPr>
        <w:t xml:space="preserve">force_fresh_compile</w:t>
      </w:r>
      <w:r>
        <w:rPr>
          <w:rStyle w:val="NormalTok"/>
        </w:rPr>
        <w:t xml:space="preserve"> </w:t>
      </w:r>
      <w:r>
        <w:rPr>
          <w:rStyle w:val="OperatorTok"/>
        </w:rPr>
        <w:t xml:space="preserve">=</w:t>
      </w:r>
      <w:r>
        <w:rPr>
          <w:rStyle w:val="NormalTok"/>
        </w:rPr>
        <w:t xml:space="preserve"> </w:t>
      </w:r>
      <w:r>
        <w:rPr>
          <w:rStyle w:val="ConstantTok"/>
        </w:rPr>
        <w:t xml:space="preserve">true</w:t>
      </w:r>
    </w:p>
    <w:p>
      <w:r>
        <w:pict>
          <v:rect style="width:0;height:1.5pt" o:hralign="center" o:hrstd="t" o:hr="t"/>
        </w:pict>
      </w:r>
    </w:p>
    <w:bookmarkEnd w:id="379"/>
    <w:bookmarkEnd w:id="380"/>
    <w:bookmarkStart w:id="392" w:name="web-server-settings-server"/>
    <w:p>
      <w:pPr>
        <w:pStyle w:val="Heading2"/>
      </w:pPr>
      <w:r>
        <w:t xml:space="preserve">Web Server Settings</w:t>
      </w:r>
      <w:r>
        <w:t xml:space="preserve"> </w:t>
      </w:r>
      <w:r>
        <w:rPr>
          <w:rStyle w:val="VerbatimChar"/>
        </w:rPr>
        <w:t xml:space="preserve">[server]</w:t>
      </w:r>
    </w:p>
    <w:p>
      <w:pPr>
        <w:pStyle w:val="FirstParagraph"/>
      </w:pPr>
      <w:r>
        <w:t xml:space="preserve">Configuration for HTTP web server (</w:t>
      </w:r>
      <w:r>
        <w:rPr>
          <w:rStyle w:val="VerbatimChar"/>
        </w:rPr>
        <w:t xml:space="preserve">axonasp-http.exe</w:t>
      </w:r>
      <w:r>
        <w:t xml:space="preserve">).</w:t>
      </w:r>
    </w:p>
    <w:bookmarkStart w:id="381" w:name="default_error_pages_directory"/>
    <w:p>
      <w:pPr>
        <w:pStyle w:val="Heading3"/>
      </w:pPr>
      <w:r>
        <w:t xml:space="preserve">default_error_pages_directory</w:t>
      </w:r>
    </w:p>
    <w:p>
      <w:pPr>
        <w:pStyle w:val="FirstParagraph"/>
      </w:pPr>
      <w:r>
        <w:rPr>
          <w:b/>
          <w:bCs/>
        </w:rPr>
        <w:t xml:space="preserve">Type:</w:t>
      </w:r>
      <w:r>
        <w:t xml:space="preserve"> </w:t>
      </w:r>
      <w:r>
        <w:t xml:space="preserve">String (path)</w:t>
      </w:r>
      <w:r>
        <w:br/>
      </w:r>
      <w:r>
        <w:rPr>
          <w:b/>
          <w:bCs/>
        </w:rPr>
        <w:t xml:space="preserve">Default:</w:t>
      </w:r>
      <w:r>
        <w:t xml:space="preserve"> </w:t>
      </w:r>
      <w:r>
        <w:rPr>
          <w:rStyle w:val="VerbatimChar"/>
        </w:rPr>
        <w:t xml:space="preserve">"./www/error-pages"</w:t>
      </w:r>
      <w:r>
        <w:br/>
      </w:r>
      <w:r>
        <w:rPr>
          <w:b/>
          <w:bCs/>
        </w:rPr>
        <w:t xml:space="preserve">Environment Variable:</w:t>
      </w:r>
      <w:r>
        <w:t xml:space="preserve"> </w:t>
      </w:r>
      <w:r>
        <w:rPr>
          <w:rStyle w:val="VerbatimChar"/>
        </w:rPr>
        <w:t xml:space="preserve">DEFAULT_ERROR_PAGES_DIRECTORY</w:t>
      </w:r>
    </w:p>
    <w:p>
      <w:pPr>
        <w:pStyle w:val="BodyText"/>
      </w:pPr>
      <w:r>
        <w:t xml:space="preserve">Directory containing custom error page templates (e.g.,</w:t>
      </w:r>
      <w:r>
        <w:t xml:space="preserve"> </w:t>
      </w:r>
      <w:r>
        <w:rPr>
          <w:rStyle w:val="VerbatimChar"/>
        </w:rPr>
        <w:t xml:space="preserve">404.asp</w:t>
      </w:r>
      <w:r>
        <w:t xml:space="preserve">,</w:t>
      </w:r>
      <w:r>
        <w:t xml:space="preserve"> </w:t>
      </w:r>
      <w:r>
        <w:rPr>
          <w:rStyle w:val="VerbatimChar"/>
        </w:rPr>
        <w:t xml:space="preserve">500.asp</w:t>
      </w:r>
      <w:r>
        <w:t xml:space="preserve">).</w:t>
      </w:r>
    </w:p>
    <w:p>
      <w:pPr>
        <w:pStyle w:val="BodyText"/>
      </w:pPr>
      <w:r>
        <w:rPr>
          <w:b/>
          <w:bCs/>
        </w:rPr>
        <w:t xml:space="preserve">Files Searched:</w:t>
      </w:r>
      <w:r>
        <w:t xml:space="preserve"> </w:t>
      </w:r>
      <w:r>
        <w:t xml:space="preserve">-</w:t>
      </w:r>
      <w:r>
        <w:t xml:space="preserve"> </w:t>
      </w:r>
      <w:r>
        <w:rPr>
          <w:rStyle w:val="VerbatimChar"/>
        </w:rPr>
        <w:t xml:space="preserve">404.asp</w:t>
      </w:r>
      <w:r>
        <w:t xml:space="preserve"> </w:t>
      </w:r>
      <w:r>
        <w:t xml:space="preserve">/</w:t>
      </w:r>
      <w:r>
        <w:t xml:space="preserve"> </w:t>
      </w:r>
      <w:r>
        <w:rPr>
          <w:rStyle w:val="VerbatimChar"/>
        </w:rPr>
        <w:t xml:space="preserve">404.html</w:t>
      </w:r>
      <w:r>
        <w:t xml:space="preserve"> </w:t>
      </w:r>
      <w:r>
        <w:t xml:space="preserve">- Not Found</w:t>
      </w:r>
      <w:r>
        <w:t xml:space="preserve"> </w:t>
      </w:r>
      <w:r>
        <w:t xml:space="preserve">-</w:t>
      </w:r>
      <w:r>
        <w:t xml:space="preserve"> </w:t>
      </w:r>
      <w:r>
        <w:rPr>
          <w:rStyle w:val="VerbatimChar"/>
        </w:rPr>
        <w:t xml:space="preserve">500.asp</w:t>
      </w:r>
      <w:r>
        <w:t xml:space="preserve"> </w:t>
      </w:r>
      <w:r>
        <w:t xml:space="preserve">/</w:t>
      </w:r>
      <w:r>
        <w:t xml:space="preserve"> </w:t>
      </w:r>
      <w:r>
        <w:rPr>
          <w:rStyle w:val="VerbatimChar"/>
        </w:rPr>
        <w:t xml:space="preserve">500.html</w:t>
      </w:r>
      <w:r>
        <w:t xml:space="preserve"> </w:t>
      </w:r>
      <w:r>
        <w:t xml:space="preserve">- Internal Server Error</w:t>
      </w:r>
      <w:r>
        <w:t xml:space="preserve"> </w:t>
      </w:r>
      <w:r>
        <w:t xml:space="preserve">-</w:t>
      </w:r>
      <w:r>
        <w:t xml:space="preserve"> </w:t>
      </w:r>
      <w:r>
        <w:rPr>
          <w:rStyle w:val="VerbatimChar"/>
        </w:rPr>
        <w:t xml:space="preserve">403.asp</w:t>
      </w:r>
      <w:r>
        <w:t xml:space="preserve"> </w:t>
      </w:r>
      <w:r>
        <w:t xml:space="preserve">/</w:t>
      </w:r>
      <w:r>
        <w:t xml:space="preserve"> </w:t>
      </w:r>
      <w:r>
        <w:rPr>
          <w:rStyle w:val="VerbatimChar"/>
        </w:rPr>
        <w:t xml:space="preserve">403.html</w:t>
      </w:r>
      <w:r>
        <w:t xml:space="preserve"> </w:t>
      </w:r>
      <w:r>
        <w:t xml:space="preserve">- Forbidden</w:t>
      </w:r>
      <w:r>
        <w:t xml:space="preserve"> </w:t>
      </w:r>
      <w:r>
        <w:t xml:space="preserve">-</w:t>
      </w:r>
      <w:r>
        <w:t xml:space="preserve"> </w:t>
      </w:r>
      <w:r>
        <w:rPr>
          <w:rStyle w:val="VerbatimChar"/>
        </w:rPr>
        <w:t xml:space="preserve">400.asp</w:t>
      </w:r>
      <w:r>
        <w:t xml:space="preserve"> </w:t>
      </w:r>
      <w:r>
        <w:t xml:space="preserve">/</w:t>
      </w:r>
      <w:r>
        <w:t xml:space="preserve"> </w:t>
      </w:r>
      <w:r>
        <w:rPr>
          <w:rStyle w:val="VerbatimChar"/>
        </w:rPr>
        <w:t xml:space="preserve">400.html</w:t>
      </w:r>
      <w:r>
        <w:t xml:space="preserve"> </w:t>
      </w:r>
      <w:r>
        <w:t xml:space="preserve">- Bad Request</w:t>
      </w:r>
    </w:p>
    <w:p>
      <w:pPr>
        <w:pStyle w:val="BodyText"/>
      </w:pPr>
      <w:r>
        <w:rPr>
          <w:b/>
          <w:bCs/>
        </w:rPr>
        <w:t xml:space="preserve">Example:</w:t>
      </w:r>
    </w:p>
    <w:p>
      <w:pPr>
        <w:pStyle w:val="SourceCode"/>
      </w:pPr>
      <w:r>
        <w:rPr>
          <w:rStyle w:val="DataTypeTok"/>
        </w:rPr>
        <w:t xml:space="preserve">default_error_pages_directory</w:t>
      </w:r>
      <w:r>
        <w:rPr>
          <w:rStyle w:val="NormalTok"/>
        </w:rPr>
        <w:t xml:space="preserve"> </w:t>
      </w:r>
      <w:r>
        <w:rPr>
          <w:rStyle w:val="OperatorTok"/>
        </w:rPr>
        <w:t xml:space="preserve">=</w:t>
      </w:r>
      <w:r>
        <w:rPr>
          <w:rStyle w:val="NormalTok"/>
        </w:rPr>
        <w:t xml:space="preserve"> </w:t>
      </w:r>
      <w:r>
        <w:rPr>
          <w:rStyle w:val="StringTok"/>
        </w:rPr>
        <w:t xml:space="preserve">"./www/error-pages"</w:t>
      </w:r>
    </w:p>
    <w:bookmarkEnd w:id="381"/>
    <w:bookmarkStart w:id="382" w:name="web_root"/>
    <w:p>
      <w:pPr>
        <w:pStyle w:val="Heading3"/>
      </w:pPr>
      <w:r>
        <w:t xml:space="preserve">web_root</w:t>
      </w:r>
    </w:p>
    <w:p>
      <w:pPr>
        <w:pStyle w:val="FirstParagraph"/>
      </w:pPr>
      <w:r>
        <w:rPr>
          <w:b/>
          <w:bCs/>
        </w:rPr>
        <w:t xml:space="preserve">Type:</w:t>
      </w:r>
      <w:r>
        <w:t xml:space="preserve"> </w:t>
      </w:r>
      <w:r>
        <w:t xml:space="preserve">String (path)</w:t>
      </w:r>
      <w:r>
        <w:br/>
      </w:r>
      <w:r>
        <w:rPr>
          <w:b/>
          <w:bCs/>
        </w:rPr>
        <w:t xml:space="preserve">Default:</w:t>
      </w:r>
      <w:r>
        <w:t xml:space="preserve"> </w:t>
      </w:r>
      <w:r>
        <w:rPr>
          <w:rStyle w:val="VerbatimChar"/>
        </w:rPr>
        <w:t xml:space="preserve">"./www/"</w:t>
      </w:r>
      <w:r>
        <w:br/>
      </w:r>
      <w:r>
        <w:rPr>
          <w:b/>
          <w:bCs/>
        </w:rPr>
        <w:t xml:space="preserve">Environment Variable:</w:t>
      </w:r>
      <w:r>
        <w:t xml:space="preserve"> </w:t>
      </w:r>
      <w:r>
        <w:rPr>
          <w:rStyle w:val="VerbatimChar"/>
        </w:rPr>
        <w:t xml:space="preserve">WEB_ROOT</w:t>
      </w:r>
    </w:p>
    <w:p>
      <w:pPr>
        <w:pStyle w:val="BodyText"/>
      </w:pPr>
      <w:r>
        <w:t xml:space="preserve">Root directory for serving files. All requests are resolved relative to this path.</w:t>
      </w:r>
    </w:p>
    <w:p>
      <w:pPr>
        <w:pStyle w:val="BodyText"/>
      </w:pPr>
      <w:r>
        <w:rPr>
          <w:b/>
          <w:bCs/>
        </w:rPr>
        <w:t xml:space="preserve">Security:</w:t>
      </w:r>
      <w:r>
        <w:t xml:space="preserve"> </w:t>
      </w:r>
      <w:r>
        <w:t xml:space="preserve">This setting cannot be overridden by</w:t>
      </w:r>
      <w:r>
        <w:t xml:space="preserve"> </w:t>
      </w:r>
      <w:r>
        <w:rPr>
          <w:rStyle w:val="VerbatimChar"/>
        </w:rPr>
        <w:t xml:space="preserve">web.config</w:t>
      </w:r>
      <w:r>
        <w:t xml:space="preserve"> </w:t>
      </w:r>
      <w:r>
        <w:t xml:space="preserve">files.</w:t>
      </w:r>
    </w:p>
    <w:p>
      <w:pPr>
        <w:pStyle w:val="BodyText"/>
      </w:pPr>
      <w:r>
        <w:rPr>
          <w:b/>
          <w:bCs/>
        </w:rPr>
        <w:t xml:space="preserve">Example:</w:t>
      </w:r>
    </w:p>
    <w:p>
      <w:pPr>
        <w:pStyle w:val="SourceCode"/>
      </w:pPr>
      <w:r>
        <w:rPr>
          <w:rStyle w:val="DataTypeTok"/>
        </w:rPr>
        <w:t xml:space="preserve">web_root</w:t>
      </w:r>
      <w:r>
        <w:rPr>
          <w:rStyle w:val="NormalTok"/>
        </w:rPr>
        <w:t xml:space="preserve"> </w:t>
      </w:r>
      <w:r>
        <w:rPr>
          <w:rStyle w:val="OperatorTok"/>
        </w:rPr>
        <w:t xml:space="preserve">=</w:t>
      </w:r>
      <w:r>
        <w:rPr>
          <w:rStyle w:val="NormalTok"/>
        </w:rPr>
        <w:t xml:space="preserve"> </w:t>
      </w:r>
      <w:r>
        <w:rPr>
          <w:rStyle w:val="StringTok"/>
        </w:rPr>
        <w:t xml:space="preserve">"./www/"</w:t>
      </w:r>
    </w:p>
    <w:bookmarkEnd w:id="382"/>
    <w:bookmarkStart w:id="383" w:name="default_pages"/>
    <w:p>
      <w:pPr>
        <w:pStyle w:val="Heading3"/>
      </w:pPr>
      <w:r>
        <w:t xml:space="preserve">default_pages</w:t>
      </w:r>
    </w:p>
    <w:p>
      <w:pPr>
        <w:pStyle w:val="FirstParagraph"/>
      </w:pPr>
      <w:r>
        <w:rPr>
          <w:b/>
          <w:bCs/>
        </w:rPr>
        <w:t xml:space="preserve">Type:</w:t>
      </w:r>
      <w:r>
        <w:t xml:space="preserve"> </w:t>
      </w:r>
      <w:r>
        <w:t xml:space="preserve">Array of Strings</w:t>
      </w:r>
      <w:r>
        <w:br/>
      </w:r>
      <w:r>
        <w:rPr>
          <w:b/>
          <w:bCs/>
        </w:rPr>
        <w:t xml:space="preserve">Default:</w:t>
      </w:r>
      <w:r>
        <w:t xml:space="preserve"> </w:t>
      </w:r>
      <w:r>
        <w:rPr>
          <w:rStyle w:val="VerbatimChar"/>
        </w:rPr>
        <w:t xml:space="preserve">["index.asp", "default.asp", "index.html", ...]</w:t>
      </w:r>
      <w:r>
        <w:br/>
      </w:r>
      <w:r>
        <w:rPr>
          <w:b/>
          <w:bCs/>
        </w:rPr>
        <w:t xml:space="preserve">Environment Variable:</w:t>
      </w:r>
      <w:r>
        <w:t xml:space="preserve"> </w:t>
      </w:r>
      <w:r>
        <w:rPr>
          <w:rStyle w:val="VerbatimChar"/>
        </w:rPr>
        <w:t xml:space="preserve">DEFAULT_PAGES</w:t>
      </w:r>
      <w:r>
        <w:t xml:space="preserve"> </w:t>
      </w:r>
      <w:r>
        <w:t xml:space="preserve">(comma-separated)</w:t>
      </w:r>
    </w:p>
    <w:p>
      <w:pPr>
        <w:pStyle w:val="BodyText"/>
      </w:pPr>
      <w:r>
        <w:t xml:space="preserve">Default pages to serve when a directory is requested. Server tries each in order; serves the first found.</w:t>
      </w:r>
    </w:p>
    <w:p>
      <w:pPr>
        <w:pStyle w:val="BodyText"/>
      </w:pPr>
      <w:r>
        <w:rPr>
          <w:b/>
          <w:bCs/>
        </w:rPr>
        <w:t xml:space="preserve">Example:</w:t>
      </w:r>
    </w:p>
    <w:p>
      <w:pPr>
        <w:pStyle w:val="SourceCode"/>
      </w:pPr>
      <w:r>
        <w:rPr>
          <w:rStyle w:val="DataTypeTok"/>
        </w:rPr>
        <w:t xml:space="preserve">default_pages</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StringTok"/>
        </w:rPr>
        <w:t xml:space="preserve">"index.asp"</w:t>
      </w:r>
      <w:r>
        <w:rPr>
          <w:rStyle w:val="OperatorTok"/>
        </w:rPr>
        <w:t xml:space="preserve">,</w:t>
      </w:r>
      <w:r>
        <w:br/>
      </w:r>
      <w:r>
        <w:rPr>
          <w:rStyle w:val="NormalTok"/>
        </w:rPr>
        <w:t xml:space="preserve">  </w:t>
      </w:r>
      <w:r>
        <w:rPr>
          <w:rStyle w:val="StringTok"/>
        </w:rPr>
        <w:t xml:space="preserve">"default.asp"</w:t>
      </w:r>
      <w:r>
        <w:rPr>
          <w:rStyle w:val="OperatorTok"/>
        </w:rPr>
        <w:t xml:space="preserve">,</w:t>
      </w:r>
      <w:r>
        <w:br/>
      </w:r>
      <w:r>
        <w:rPr>
          <w:rStyle w:val="NormalTok"/>
        </w:rPr>
        <w:t xml:space="preserve">  </w:t>
      </w:r>
      <w:r>
        <w:rPr>
          <w:rStyle w:val="StringTok"/>
        </w:rPr>
        <w:t xml:space="preserve">"index.html"</w:t>
      </w:r>
      <w:r>
        <w:rPr>
          <w:rStyle w:val="OperatorTok"/>
        </w:rPr>
        <w:t xml:space="preserve">,</w:t>
      </w:r>
      <w:r>
        <w:br/>
      </w:r>
      <w:r>
        <w:rPr>
          <w:rStyle w:val="NormalTok"/>
        </w:rPr>
        <w:t xml:space="preserve">  </w:t>
      </w:r>
      <w:r>
        <w:rPr>
          <w:rStyle w:val="StringTok"/>
        </w:rPr>
        <w:t xml:space="preserve">"default.html"</w:t>
      </w:r>
      <w:r>
        <w:rPr>
          <w:rStyle w:val="OperatorTok"/>
        </w:rPr>
        <w:t xml:space="preserve">,</w:t>
      </w:r>
      <w:r>
        <w:br/>
      </w:r>
      <w:r>
        <w:rPr>
          <w:rStyle w:val="OperatorTok"/>
        </w:rPr>
        <w:t xml:space="preserve">]</w:t>
      </w:r>
    </w:p>
    <w:bookmarkEnd w:id="383"/>
    <w:bookmarkStart w:id="384" w:name="server_port"/>
    <w:p>
      <w:pPr>
        <w:pStyle w:val="Heading3"/>
      </w:pPr>
      <w:r>
        <w:t xml:space="preserve">server_port</w:t>
      </w:r>
    </w:p>
    <w:p>
      <w:pPr>
        <w:pStyle w:val="FirstParagraph"/>
      </w:pPr>
      <w:r>
        <w:rPr>
          <w:b/>
          <w:bCs/>
        </w:rPr>
        <w:t xml:space="preserve">Type:</w:t>
      </w:r>
      <w:r>
        <w:t xml:space="preserve"> </w:t>
      </w:r>
      <w:r>
        <w:t xml:space="preserve">Integer or String</w:t>
      </w:r>
      <w:r>
        <w:br/>
      </w:r>
      <w:r>
        <w:rPr>
          <w:b/>
          <w:bCs/>
        </w:rPr>
        <w:t xml:space="preserve">Default:</w:t>
      </w:r>
      <w:r>
        <w:t xml:space="preserve"> </w:t>
      </w:r>
      <w:r>
        <w:rPr>
          <w:rStyle w:val="VerbatimChar"/>
        </w:rPr>
        <w:t xml:space="preserve">8801</w:t>
      </w:r>
      <w:r>
        <w:br/>
      </w:r>
      <w:r>
        <w:rPr>
          <w:b/>
          <w:bCs/>
        </w:rPr>
        <w:t xml:space="preserve">Environment Variable:</w:t>
      </w:r>
      <w:r>
        <w:t xml:space="preserve"> </w:t>
      </w:r>
      <w:r>
        <w:rPr>
          <w:rStyle w:val="VerbatimChar"/>
        </w:rPr>
        <w:t xml:space="preserve">SERVER_PORT</w:t>
      </w:r>
    </w:p>
    <w:p>
      <w:pPr>
        <w:pStyle w:val="BodyText"/>
      </w:pPr>
      <w:r>
        <w:t xml:space="preserve">Port on which the HTTP server listens. Point your reverse proxy to this port.</w:t>
      </w:r>
    </w:p>
    <w:p>
      <w:pPr>
        <w:pStyle w:val="BodyText"/>
      </w:pPr>
      <w:r>
        <w:t xml:space="preserve">⚠️ Recommended: Expose only through reverse proxy (nginx, Apache, IIS, Caddy)</w:t>
      </w:r>
    </w:p>
    <w:p>
      <w:pPr>
        <w:pStyle w:val="BodyText"/>
      </w:pPr>
      <w:r>
        <w:rPr>
          <w:b/>
          <w:bCs/>
        </w:rPr>
        <w:t xml:space="preserve">Example:</w:t>
      </w:r>
    </w:p>
    <w:p>
      <w:pPr>
        <w:pStyle w:val="SourceCode"/>
      </w:pPr>
      <w:r>
        <w:rPr>
          <w:rStyle w:val="DataTypeTok"/>
        </w:rPr>
        <w:t xml:space="preserve">server_port</w:t>
      </w:r>
      <w:r>
        <w:rPr>
          <w:rStyle w:val="NormalTok"/>
        </w:rPr>
        <w:t xml:space="preserve"> </w:t>
      </w:r>
      <w:r>
        <w:rPr>
          <w:rStyle w:val="OperatorTok"/>
        </w:rPr>
        <w:t xml:space="preserve">=</w:t>
      </w:r>
      <w:r>
        <w:rPr>
          <w:rStyle w:val="NormalTok"/>
        </w:rPr>
        <w:t xml:space="preserve"> </w:t>
      </w:r>
      <w:r>
        <w:rPr>
          <w:rStyle w:val="DecValTok"/>
        </w:rPr>
        <w:t xml:space="preserve">8801</w:t>
      </w:r>
    </w:p>
    <w:bookmarkEnd w:id="384"/>
    <w:bookmarkStart w:id="385" w:name="blocked_extensions"/>
    <w:p>
      <w:pPr>
        <w:pStyle w:val="Heading3"/>
      </w:pPr>
      <w:r>
        <w:t xml:space="preserve">blocked_extensions</w:t>
      </w:r>
    </w:p>
    <w:p>
      <w:pPr>
        <w:pStyle w:val="FirstParagraph"/>
      </w:pPr>
      <w:r>
        <w:rPr>
          <w:b/>
          <w:bCs/>
        </w:rPr>
        <w:t xml:space="preserve">Type:</w:t>
      </w:r>
      <w:r>
        <w:t xml:space="preserve"> </w:t>
      </w:r>
      <w:r>
        <w:t xml:space="preserve">Array of Strings</w:t>
      </w:r>
      <w:r>
        <w:br/>
      </w:r>
      <w:r>
        <w:rPr>
          <w:b/>
          <w:bCs/>
        </w:rPr>
        <w:t xml:space="preserve">Default:</w:t>
      </w:r>
      <w:r>
        <w:t xml:space="preserve"> </w:t>
      </w:r>
      <w:r>
        <w:rPr>
          <w:rStyle w:val="VerbatimChar"/>
        </w:rPr>
        <w:t xml:space="preserve">[".asax", ".ascx", ".config", ".exe", ".dll", ...]</w:t>
      </w:r>
      <w:r>
        <w:br/>
      </w:r>
      <w:r>
        <w:rPr>
          <w:b/>
          <w:bCs/>
        </w:rPr>
        <w:t xml:space="preserve">Environment Variable:</w:t>
      </w:r>
      <w:r>
        <w:t xml:space="preserve"> </w:t>
      </w:r>
      <w:r>
        <w:rPr>
          <w:rStyle w:val="VerbatimChar"/>
        </w:rPr>
        <w:t xml:space="preserve">BLOCKED_EXTENSIONS</w:t>
      </w:r>
      <w:r>
        <w:t xml:space="preserve"> </w:t>
      </w:r>
      <w:r>
        <w:t xml:space="preserve">(comma-separated)</w:t>
      </w:r>
    </w:p>
    <w:p>
      <w:pPr>
        <w:pStyle w:val="BodyText"/>
      </w:pPr>
      <w:r>
        <w:t xml:space="preserve">File extensions that cannot be served by the web server (returns 404).</w:t>
      </w:r>
    </w:p>
    <w:p>
      <w:pPr>
        <w:pStyle w:val="BodyText"/>
      </w:pPr>
      <w:r>
        <w:rPr>
          <w:b/>
          <w:bCs/>
        </w:rPr>
        <w:t xml:space="preserve">Security Best Practices:</w:t>
      </w:r>
      <w:r>
        <w:t xml:space="preserve"> </w:t>
      </w:r>
      <w:r>
        <w:t xml:space="preserve">- Block source code:</w:t>
      </w:r>
      <w:r>
        <w:t xml:space="preserve"> </w:t>
      </w:r>
      <w:r>
        <w:rPr>
          <w:rStyle w:val="VerbatimChar"/>
        </w:rPr>
        <w:t xml:space="preserve">.cs</w:t>
      </w:r>
      <w:r>
        <w:t xml:space="preserve">,</w:t>
      </w:r>
      <w:r>
        <w:t xml:space="preserve"> </w:t>
      </w:r>
      <w:r>
        <w:rPr>
          <w:rStyle w:val="VerbatimChar"/>
        </w:rPr>
        <w:t xml:space="preserve">.vb</w:t>
      </w:r>
      <w:r>
        <w:t xml:space="preserve">,</w:t>
      </w:r>
      <w:r>
        <w:t xml:space="preserve"> </w:t>
      </w:r>
      <w:r>
        <w:rPr>
          <w:rStyle w:val="VerbatimChar"/>
        </w:rPr>
        <w:t xml:space="preserve">.asp</w:t>
      </w:r>
      <w:r>
        <w:t xml:space="preserve">,</w:t>
      </w:r>
      <w:r>
        <w:t xml:space="preserve"> </w:t>
      </w:r>
      <w:r>
        <w:rPr>
          <w:rStyle w:val="VerbatimChar"/>
        </w:rPr>
        <w:t xml:space="preserve">.asa</w:t>
      </w:r>
      <w:r>
        <w:t xml:space="preserve"> </w:t>
      </w:r>
      <w:r>
        <w:t xml:space="preserve">- Block configuration:</w:t>
      </w:r>
      <w:r>
        <w:t xml:space="preserve"> </w:t>
      </w:r>
      <w:r>
        <w:rPr>
          <w:rStyle w:val="VerbatimChar"/>
        </w:rPr>
        <w:t xml:space="preserve">.config</w:t>
      </w:r>
      <w:r>
        <w:t xml:space="preserve">,</w:t>
      </w:r>
      <w:r>
        <w:t xml:space="preserve"> </w:t>
      </w:r>
      <w:r>
        <w:rPr>
          <w:rStyle w:val="VerbatimChar"/>
        </w:rPr>
        <w:t xml:space="preserve">.toml</w:t>
      </w:r>
      <w:r>
        <w:t xml:space="preserve">,</w:t>
      </w:r>
      <w:r>
        <w:t xml:space="preserve"> </w:t>
      </w:r>
      <w:r>
        <w:rPr>
          <w:rStyle w:val="VerbatimChar"/>
        </w:rPr>
        <w:t xml:space="preserve">.env</w:t>
      </w:r>
      <w:r>
        <w:t xml:space="preserve"> </w:t>
      </w:r>
      <w:r>
        <w:t xml:space="preserve">- Block binaries:</w:t>
      </w:r>
      <w:r>
        <w:t xml:space="preserve"> </w:t>
      </w:r>
      <w:r>
        <w:rPr>
          <w:rStyle w:val="VerbatimChar"/>
        </w:rPr>
        <w:t xml:space="preserve">.exe</w:t>
      </w:r>
      <w:r>
        <w:t xml:space="preserve">,</w:t>
      </w:r>
      <w:r>
        <w:t xml:space="preserve"> </w:t>
      </w:r>
      <w:r>
        <w:rPr>
          <w:rStyle w:val="VerbatimChar"/>
        </w:rPr>
        <w:t xml:space="preserve">.dll</w:t>
      </w:r>
      <w:r>
        <w:t xml:space="preserve">,</w:t>
      </w:r>
      <w:r>
        <w:t xml:space="preserve"> </w:t>
      </w:r>
      <w:r>
        <w:rPr>
          <w:rStyle w:val="VerbatimChar"/>
        </w:rPr>
        <w:t xml:space="preserve">.so</w:t>
      </w:r>
      <w:r>
        <w:t xml:space="preserve"> </w:t>
      </w:r>
      <w:r>
        <w:t xml:space="preserve">- Block database:</w:t>
      </w:r>
      <w:r>
        <w:t xml:space="preserve"> </w:t>
      </w:r>
      <w:r>
        <w:rPr>
          <w:rStyle w:val="VerbatimChar"/>
        </w:rPr>
        <w:t xml:space="preserve">.mdb</w:t>
      </w:r>
      <w:r>
        <w:t xml:space="preserve">,</w:t>
      </w:r>
      <w:r>
        <w:t xml:space="preserve"> </w:t>
      </w:r>
      <w:r>
        <w:rPr>
          <w:rStyle w:val="VerbatimChar"/>
        </w:rPr>
        <w:t xml:space="preserve">.db</w:t>
      </w:r>
      <w:r>
        <w:t xml:space="preserve">,</w:t>
      </w:r>
      <w:r>
        <w:t xml:space="preserve"> </w:t>
      </w:r>
      <w:r>
        <w:rPr>
          <w:rStyle w:val="VerbatimChar"/>
        </w:rPr>
        <w:t xml:space="preserve">.sqlite</w:t>
      </w:r>
    </w:p>
    <w:p>
      <w:pPr>
        <w:pStyle w:val="BodyText"/>
      </w:pPr>
      <w:r>
        <w:rPr>
          <w:b/>
          <w:bCs/>
        </w:rPr>
        <w:t xml:space="preserve">Example:</w:t>
      </w:r>
    </w:p>
    <w:p>
      <w:pPr>
        <w:pStyle w:val="SourceCode"/>
      </w:pPr>
      <w:r>
        <w:rPr>
          <w:rStyle w:val="DataTypeTok"/>
        </w:rPr>
        <w:t xml:space="preserve">blocked_extensions</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StringTok"/>
        </w:rPr>
        <w:t xml:space="preserve">".asa"</w:t>
      </w:r>
      <w:r>
        <w:rPr>
          <w:rStyle w:val="OperatorTok"/>
        </w:rPr>
        <w:t xml:space="preserve">,</w:t>
      </w:r>
      <w:r>
        <w:br/>
      </w:r>
      <w:r>
        <w:rPr>
          <w:rStyle w:val="NormalTok"/>
        </w:rPr>
        <w:t xml:space="preserve">  </w:t>
      </w:r>
      <w:r>
        <w:rPr>
          <w:rStyle w:val="StringTok"/>
        </w:rPr>
        <w:t xml:space="preserve">".cer"</w:t>
      </w:r>
      <w:r>
        <w:rPr>
          <w:rStyle w:val="OperatorTok"/>
        </w:rPr>
        <w:t xml:space="preserve">,</w:t>
      </w:r>
      <w:r>
        <w:br/>
      </w:r>
      <w:r>
        <w:rPr>
          <w:rStyle w:val="NormalTok"/>
        </w:rPr>
        <w:t xml:space="preserve">  </w:t>
      </w:r>
      <w:r>
        <w:rPr>
          <w:rStyle w:val="StringTok"/>
        </w:rPr>
        <w:t xml:space="preserve">".config"</w:t>
      </w:r>
      <w:r>
        <w:rPr>
          <w:rStyle w:val="OperatorTok"/>
        </w:rPr>
        <w:t xml:space="preserve">,</w:t>
      </w:r>
      <w:r>
        <w:br/>
      </w:r>
      <w:r>
        <w:rPr>
          <w:rStyle w:val="NormalTok"/>
        </w:rPr>
        <w:t xml:space="preserve">  </w:t>
      </w:r>
      <w:r>
        <w:rPr>
          <w:rStyle w:val="StringTok"/>
        </w:rPr>
        <w:t xml:space="preserve">".cs"</w:t>
      </w:r>
      <w:r>
        <w:rPr>
          <w:rStyle w:val="OperatorTok"/>
        </w:rPr>
        <w:t xml:space="preserve">,</w:t>
      </w:r>
      <w:r>
        <w:br/>
      </w:r>
      <w:r>
        <w:rPr>
          <w:rStyle w:val="NormalTok"/>
        </w:rPr>
        <w:t xml:space="preserve">  </w:t>
      </w:r>
      <w:r>
        <w:rPr>
          <w:rStyle w:val="StringTok"/>
        </w:rPr>
        <w:t xml:space="preserve">".exe"</w:t>
      </w:r>
      <w:r>
        <w:rPr>
          <w:rStyle w:val="OperatorTok"/>
        </w:rPr>
        <w:t xml:space="preserve">,</w:t>
      </w:r>
      <w:r>
        <w:br/>
      </w:r>
      <w:r>
        <w:rPr>
          <w:rStyle w:val="NormalTok"/>
        </w:rPr>
        <w:t xml:space="preserve">  </w:t>
      </w:r>
      <w:r>
        <w:rPr>
          <w:rStyle w:val="StringTok"/>
        </w:rPr>
        <w:t xml:space="preserve">".dll"</w:t>
      </w:r>
      <w:r>
        <w:rPr>
          <w:rStyle w:val="OperatorTok"/>
        </w:rPr>
        <w:t xml:space="preserve">,</w:t>
      </w:r>
      <w:r>
        <w:br/>
      </w:r>
      <w:r>
        <w:rPr>
          <w:rStyle w:val="NormalTok"/>
        </w:rPr>
        <w:t xml:space="preserve">  </w:t>
      </w:r>
      <w:r>
        <w:rPr>
          <w:rStyle w:val="StringTok"/>
        </w:rPr>
        <w:t xml:space="preserve">".env"</w:t>
      </w:r>
      <w:r>
        <w:rPr>
          <w:rStyle w:val="OperatorTok"/>
        </w:rPr>
        <w:t xml:space="preserve">,</w:t>
      </w:r>
      <w:r>
        <w:br/>
      </w:r>
      <w:r>
        <w:rPr>
          <w:rStyle w:val="NormalTok"/>
        </w:rPr>
        <w:t xml:space="preserve">  </w:t>
      </w:r>
      <w:r>
        <w:rPr>
          <w:rStyle w:val="StringTok"/>
        </w:rPr>
        <w:t xml:space="preserve">".mdb"</w:t>
      </w:r>
      <w:r>
        <w:rPr>
          <w:rStyle w:val="OperatorTok"/>
        </w:rPr>
        <w:t xml:space="preserve">,</w:t>
      </w:r>
      <w:r>
        <w:br/>
      </w:r>
      <w:r>
        <w:rPr>
          <w:rStyle w:val="NormalTok"/>
        </w:rPr>
        <w:t xml:space="preserve">  </w:t>
      </w:r>
      <w:r>
        <w:rPr>
          <w:rStyle w:val="StringTok"/>
        </w:rPr>
        <w:t xml:space="preserve">".toml"</w:t>
      </w:r>
      <w:r>
        <w:rPr>
          <w:rStyle w:val="OperatorTok"/>
        </w:rPr>
        <w:t xml:space="preserve">,</w:t>
      </w:r>
      <w:r>
        <w:br/>
      </w:r>
      <w:r>
        <w:rPr>
          <w:rStyle w:val="NormalTok"/>
        </w:rPr>
        <w:t xml:space="preserve">  </w:t>
      </w:r>
      <w:r>
        <w:rPr>
          <w:rStyle w:val="StringTok"/>
        </w:rPr>
        <w:t xml:space="preserve">".vb"</w:t>
      </w:r>
      <w:r>
        <w:rPr>
          <w:rStyle w:val="OperatorTok"/>
        </w:rPr>
        <w:t xml:space="preserve">,</w:t>
      </w:r>
      <w:r>
        <w:br/>
      </w:r>
      <w:r>
        <w:rPr>
          <w:rStyle w:val="OperatorTok"/>
        </w:rPr>
        <w:t xml:space="preserve">]</w:t>
      </w:r>
    </w:p>
    <w:bookmarkEnd w:id="385"/>
    <w:bookmarkStart w:id="386" w:name="blocked_files"/>
    <w:p>
      <w:pPr>
        <w:pStyle w:val="Heading3"/>
      </w:pPr>
      <w:r>
        <w:t xml:space="preserve">blocked_files</w:t>
      </w:r>
    </w:p>
    <w:p>
      <w:pPr>
        <w:pStyle w:val="FirstParagraph"/>
      </w:pPr>
      <w:r>
        <w:rPr>
          <w:b/>
          <w:bCs/>
        </w:rPr>
        <w:t xml:space="preserve">Type:</w:t>
      </w:r>
      <w:r>
        <w:t xml:space="preserve"> </w:t>
      </w:r>
      <w:r>
        <w:t xml:space="preserve">Array of Strings</w:t>
      </w:r>
      <w:r>
        <w:br/>
      </w:r>
      <w:r>
        <w:rPr>
          <w:b/>
          <w:bCs/>
        </w:rPr>
        <w:t xml:space="preserve">Default:</w:t>
      </w:r>
      <w:r>
        <w:t xml:space="preserve"> </w:t>
      </w:r>
      <w:r>
        <w:rPr>
          <w:rStyle w:val="VerbatimChar"/>
        </w:rPr>
        <w:t xml:space="preserve">["MyInfo.xml"]</w:t>
      </w:r>
      <w:r>
        <w:br/>
      </w:r>
      <w:r>
        <w:rPr>
          <w:b/>
          <w:bCs/>
        </w:rPr>
        <w:t xml:space="preserve">Environment Variable:</w:t>
      </w:r>
      <w:r>
        <w:t xml:space="preserve"> </w:t>
      </w:r>
      <w:r>
        <w:rPr>
          <w:rStyle w:val="VerbatimChar"/>
        </w:rPr>
        <w:t xml:space="preserve">BLOCKED_FILES</w:t>
      </w:r>
      <w:r>
        <w:t xml:space="preserve"> </w:t>
      </w:r>
      <w:r>
        <w:t xml:space="preserve">(comma-separated)</w:t>
      </w:r>
    </w:p>
    <w:p>
      <w:pPr>
        <w:pStyle w:val="BodyText"/>
      </w:pPr>
      <w:r>
        <w:t xml:space="preserve">Specific files that cannot be served (returns 404).</w:t>
      </w:r>
    </w:p>
    <w:p>
      <w:pPr>
        <w:pStyle w:val="BodyText"/>
      </w:pPr>
      <w:r>
        <w:rPr>
          <w:b/>
          <w:bCs/>
        </w:rPr>
        <w:t xml:space="preserve">Example:</w:t>
      </w:r>
    </w:p>
    <w:p>
      <w:pPr>
        <w:pStyle w:val="SourceCode"/>
      </w:pPr>
      <w:r>
        <w:rPr>
          <w:rStyle w:val="DataTypeTok"/>
        </w:rPr>
        <w:t xml:space="preserve">blocked_files</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StringTok"/>
        </w:rPr>
        <w:t xml:space="preserve">"MyInfo.xml"</w:t>
      </w:r>
      <w:r>
        <w:rPr>
          <w:rStyle w:val="OperatorTok"/>
        </w:rPr>
        <w:t xml:space="preserve">,</w:t>
      </w:r>
      <w:r>
        <w:br/>
      </w:r>
      <w:r>
        <w:rPr>
          <w:rStyle w:val="NormalTok"/>
        </w:rPr>
        <w:t xml:space="preserve">  </w:t>
      </w:r>
      <w:r>
        <w:rPr>
          <w:rStyle w:val="StringTok"/>
        </w:rPr>
        <w:t xml:space="preserve">"web.config"</w:t>
      </w:r>
      <w:r>
        <w:rPr>
          <w:rStyle w:val="OperatorTok"/>
        </w:rPr>
        <w:t xml:space="preserve">,</w:t>
      </w:r>
      <w:r>
        <w:br/>
      </w:r>
      <w:r>
        <w:rPr>
          <w:rStyle w:val="NormalTok"/>
        </w:rPr>
        <w:t xml:space="preserve">  </w:t>
      </w:r>
      <w:r>
        <w:rPr>
          <w:rStyle w:val="StringTok"/>
        </w:rPr>
        <w:t xml:space="preserve">"global.asa"</w:t>
      </w:r>
      <w:r>
        <w:rPr>
          <w:rStyle w:val="OperatorTok"/>
        </w:rPr>
        <w:t xml:space="preserve">,</w:t>
      </w:r>
      <w:r>
        <w:br/>
      </w:r>
      <w:r>
        <w:rPr>
          <w:rStyle w:val="OperatorTok"/>
        </w:rPr>
        <w:t xml:space="preserve">]</w:t>
      </w:r>
    </w:p>
    <w:bookmarkEnd w:id="386"/>
    <w:bookmarkStart w:id="387" w:name="blocked_dirs"/>
    <w:p>
      <w:pPr>
        <w:pStyle w:val="Heading3"/>
      </w:pPr>
      <w:r>
        <w:t xml:space="preserve">blocked_dirs</w:t>
      </w:r>
    </w:p>
    <w:p>
      <w:pPr>
        <w:pStyle w:val="FirstParagraph"/>
      </w:pPr>
      <w:r>
        <w:rPr>
          <w:b/>
          <w:bCs/>
        </w:rPr>
        <w:t xml:space="preserve">Type:</w:t>
      </w:r>
      <w:r>
        <w:t xml:space="preserve"> </w:t>
      </w:r>
      <w:r>
        <w:t xml:space="preserve">Array of Strings</w:t>
      </w:r>
      <w:r>
        <w:br/>
      </w:r>
      <w:r>
        <w:rPr>
          <w:b/>
          <w:bCs/>
        </w:rPr>
        <w:t xml:space="preserve">Default:</w:t>
      </w:r>
      <w:r>
        <w:t xml:space="preserve"> </w:t>
      </w:r>
      <w:r>
        <w:rPr>
          <w:rStyle w:val="VerbatimChar"/>
        </w:rPr>
        <w:t xml:space="preserve">["./www/error-pages", "./www/axonasp-pages"]</w:t>
      </w:r>
      <w:r>
        <w:br/>
      </w:r>
      <w:r>
        <w:rPr>
          <w:b/>
          <w:bCs/>
        </w:rPr>
        <w:t xml:space="preserve">Environment Variable:</w:t>
      </w:r>
      <w:r>
        <w:t xml:space="preserve"> </w:t>
      </w:r>
      <w:r>
        <w:rPr>
          <w:rStyle w:val="VerbatimChar"/>
        </w:rPr>
        <w:t xml:space="preserve">BLOCKED_DIRS</w:t>
      </w:r>
      <w:r>
        <w:t xml:space="preserve"> </w:t>
      </w:r>
      <w:r>
        <w:t xml:space="preserve">(comma-separated)</w:t>
      </w:r>
    </w:p>
    <w:p>
      <w:pPr>
        <w:pStyle w:val="BodyText"/>
      </w:pPr>
      <w:r>
        <w:t xml:space="preserve">Directories that cannot be accessed directly (returns 404).</w:t>
      </w:r>
    </w:p>
    <w:p>
      <w:pPr>
        <w:pStyle w:val="BodyText"/>
      </w:pPr>
      <w:r>
        <w:rPr>
          <w:b/>
          <w:bCs/>
        </w:rPr>
        <w:t xml:space="preserve">Example:</w:t>
      </w:r>
    </w:p>
    <w:p>
      <w:pPr>
        <w:pStyle w:val="SourceCode"/>
      </w:pPr>
      <w:r>
        <w:rPr>
          <w:rStyle w:val="DataTypeTok"/>
        </w:rPr>
        <w:t xml:space="preserve">blocked_dirs</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StringTok"/>
        </w:rPr>
        <w:t xml:space="preserve">"./www/error-pages"</w:t>
      </w:r>
      <w:r>
        <w:rPr>
          <w:rStyle w:val="OperatorTok"/>
        </w:rPr>
        <w:t xml:space="preserve">,</w:t>
      </w:r>
      <w:r>
        <w:br/>
      </w:r>
      <w:r>
        <w:rPr>
          <w:rStyle w:val="NormalTok"/>
        </w:rPr>
        <w:t xml:space="preserve">  </w:t>
      </w:r>
      <w:r>
        <w:rPr>
          <w:rStyle w:val="StringTok"/>
        </w:rPr>
        <w:t xml:space="preserve">"./www/axonasp-pages"</w:t>
      </w:r>
      <w:r>
        <w:rPr>
          <w:rStyle w:val="OperatorTok"/>
        </w:rPr>
        <w:t xml:space="preserve">,</w:t>
      </w:r>
      <w:r>
        <w:br/>
      </w:r>
      <w:r>
        <w:rPr>
          <w:rStyle w:val="NormalTok"/>
        </w:rPr>
        <w:t xml:space="preserve">  </w:t>
      </w:r>
      <w:r>
        <w:rPr>
          <w:rStyle w:val="StringTok"/>
        </w:rPr>
        <w:t xml:space="preserve">"./www/config"</w:t>
      </w:r>
      <w:r>
        <w:rPr>
          <w:rStyle w:val="OperatorTok"/>
        </w:rPr>
        <w:t xml:space="preserve">,</w:t>
      </w:r>
      <w:r>
        <w:br/>
      </w:r>
      <w:r>
        <w:rPr>
          <w:rStyle w:val="OperatorTok"/>
        </w:rPr>
        <w:t xml:space="preserve">]</w:t>
      </w:r>
    </w:p>
    <w:bookmarkEnd w:id="387"/>
    <w:bookmarkStart w:id="388" w:name="enable_webconfig"/>
    <w:p>
      <w:pPr>
        <w:pStyle w:val="Heading3"/>
      </w:pPr>
      <w:r>
        <w:t xml:space="preserve">enable_webconfig</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ENABLE_WEBCONFIG</w:t>
      </w:r>
    </w:p>
    <w:p>
      <w:pPr>
        <w:pStyle w:val="BodyText"/>
      </w:pPr>
      <w:r>
        <w:t xml:space="preserve">When enabled, reads</w:t>
      </w:r>
      <w:r>
        <w:t xml:space="preserve"> </w:t>
      </w:r>
      <w:r>
        <w:rPr>
          <w:rStyle w:val="VerbatimChar"/>
        </w:rPr>
        <w:t xml:space="preserve">web.config</w:t>
      </w:r>
      <w:r>
        <w:t xml:space="preserve"> </w:t>
      </w:r>
      <w:r>
        <w:t xml:space="preserve">files from directories and applies settings. Allows per-application configuration (custom error pages, redirects, etc.).</w:t>
      </w:r>
    </w:p>
    <w:p>
      <w:pPr>
        <w:pStyle w:val="BodyText"/>
      </w:pPr>
      <w:r>
        <w:rPr>
          <w:b/>
          <w:bCs/>
        </w:rPr>
        <w:t xml:space="preserve">Example:</w:t>
      </w:r>
    </w:p>
    <w:p>
      <w:pPr>
        <w:pStyle w:val="SourceCode"/>
      </w:pPr>
      <w:r>
        <w:rPr>
          <w:rStyle w:val="DataTypeTok"/>
        </w:rPr>
        <w:t xml:space="preserve">enable_webconfig</w:t>
      </w:r>
      <w:r>
        <w:rPr>
          <w:rStyle w:val="NormalTok"/>
        </w:rPr>
        <w:t xml:space="preserve"> </w:t>
      </w:r>
      <w:r>
        <w:rPr>
          <w:rStyle w:val="OperatorTok"/>
        </w:rPr>
        <w:t xml:space="preserve">=</w:t>
      </w:r>
      <w:r>
        <w:rPr>
          <w:rStyle w:val="NormalTok"/>
        </w:rPr>
        <w:t xml:space="preserve"> </w:t>
      </w:r>
      <w:r>
        <w:rPr>
          <w:rStyle w:val="ConstantTok"/>
        </w:rPr>
        <w:t xml:space="preserve">true</w:t>
      </w:r>
    </w:p>
    <w:bookmarkEnd w:id="388"/>
    <w:bookmarkStart w:id="389" w:name="enable_directory_listing"/>
    <w:p>
      <w:pPr>
        <w:pStyle w:val="Heading3"/>
      </w:pPr>
      <w:r>
        <w:t xml:space="preserve">enable_directory_listing</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ENABLE_DIRECTORY_LISTING</w:t>
      </w:r>
    </w:p>
    <w:p>
      <w:pPr>
        <w:pStyle w:val="BodyText"/>
      </w:pPr>
      <w:r>
        <w:t xml:space="preserve">When enabled, displays directory contents if no default page is found (security risk in production).</w:t>
      </w:r>
    </w:p>
    <w:p>
      <w:pPr>
        <w:pStyle w:val="BodyText"/>
      </w:pPr>
      <w:r>
        <w:t xml:space="preserve">⚠️ Disable in production!</w:t>
      </w:r>
    </w:p>
    <w:p>
      <w:pPr>
        <w:pStyle w:val="BodyText"/>
      </w:pPr>
      <w:r>
        <w:rPr>
          <w:b/>
          <w:bCs/>
        </w:rPr>
        <w:t xml:space="preserve">Example:</w:t>
      </w:r>
    </w:p>
    <w:p>
      <w:pPr>
        <w:pStyle w:val="SourceCode"/>
      </w:pPr>
      <w:r>
        <w:rPr>
          <w:rStyle w:val="DataTypeTok"/>
        </w:rPr>
        <w:t xml:space="preserve">enable_directory_listing</w:t>
      </w:r>
      <w:r>
        <w:rPr>
          <w:rStyle w:val="NormalTok"/>
        </w:rPr>
        <w:t xml:space="preserve"> </w:t>
      </w:r>
      <w:r>
        <w:rPr>
          <w:rStyle w:val="OperatorTok"/>
        </w:rPr>
        <w:t xml:space="preserve">=</w:t>
      </w:r>
      <w:r>
        <w:rPr>
          <w:rStyle w:val="NormalTok"/>
        </w:rPr>
        <w:t xml:space="preserve"> </w:t>
      </w:r>
      <w:r>
        <w:rPr>
          <w:rStyle w:val="ConstantTok"/>
        </w:rPr>
        <w:t xml:space="preserve">false</w:t>
      </w:r>
      <w:r>
        <w:rPr>
          <w:rStyle w:val="NormalTok"/>
        </w:rPr>
        <w:t xml:space="preserve">  </w:t>
      </w:r>
      <w:r>
        <w:rPr>
          <w:rStyle w:val="CommentTok"/>
        </w:rPr>
        <w:t xml:space="preserve"># Production setting</w:t>
      </w:r>
    </w:p>
    <w:bookmarkEnd w:id="389"/>
    <w:bookmarkStart w:id="390" w:name="directory_listing_template"/>
    <w:p>
      <w:pPr>
        <w:pStyle w:val="Heading3"/>
      </w:pPr>
      <w:r>
        <w:t xml:space="preserve">directory_listing_template</w:t>
      </w:r>
    </w:p>
    <w:p>
      <w:pPr>
        <w:pStyle w:val="FirstParagraph"/>
      </w:pPr>
      <w:r>
        <w:rPr>
          <w:b/>
          <w:bCs/>
        </w:rPr>
        <w:t xml:space="preserve">Type:</w:t>
      </w:r>
      <w:r>
        <w:t xml:space="preserve"> </w:t>
      </w:r>
      <w:r>
        <w:t xml:space="preserve">String (path)</w:t>
      </w:r>
      <w:r>
        <w:br/>
      </w:r>
      <w:r>
        <w:rPr>
          <w:b/>
          <w:bCs/>
        </w:rPr>
        <w:t xml:space="preserve">Default:</w:t>
      </w:r>
      <w:r>
        <w:t xml:space="preserve"> </w:t>
      </w:r>
      <w:r>
        <w:rPr>
          <w:rStyle w:val="VerbatimChar"/>
        </w:rPr>
        <w:t xml:space="preserve">"./www/axonasp-pages/directory-listing.html"</w:t>
      </w:r>
      <w:r>
        <w:br/>
      </w:r>
      <w:r>
        <w:rPr>
          <w:b/>
          <w:bCs/>
        </w:rPr>
        <w:t xml:space="preserve">Environment Variable:</w:t>
      </w:r>
      <w:r>
        <w:t xml:space="preserve"> </w:t>
      </w:r>
      <w:r>
        <w:rPr>
          <w:rStyle w:val="VerbatimChar"/>
        </w:rPr>
        <w:t xml:space="preserve">DIRECTORY_LISTING_TEMPLATE</w:t>
      </w:r>
    </w:p>
    <w:p>
      <w:pPr>
        <w:pStyle w:val="BodyText"/>
      </w:pPr>
      <w:r>
        <w:t xml:space="preserve">HTML template used for directory listing UI. Can be customized to match site design.</w:t>
      </w:r>
    </w:p>
    <w:p>
      <w:pPr>
        <w:pStyle w:val="BodyText"/>
      </w:pPr>
      <w:r>
        <w:rPr>
          <w:b/>
          <w:bCs/>
        </w:rPr>
        <w:t xml:space="preserve">Example:</w:t>
      </w:r>
    </w:p>
    <w:p>
      <w:pPr>
        <w:pStyle w:val="SourceCode"/>
      </w:pPr>
      <w:r>
        <w:rPr>
          <w:rStyle w:val="DataTypeTok"/>
        </w:rPr>
        <w:t xml:space="preserve">directory_listing_template</w:t>
      </w:r>
      <w:r>
        <w:rPr>
          <w:rStyle w:val="NormalTok"/>
        </w:rPr>
        <w:t xml:space="preserve"> </w:t>
      </w:r>
      <w:r>
        <w:rPr>
          <w:rStyle w:val="OperatorTok"/>
        </w:rPr>
        <w:t xml:space="preserve">=</w:t>
      </w:r>
      <w:r>
        <w:rPr>
          <w:rStyle w:val="NormalTok"/>
        </w:rPr>
        <w:t xml:space="preserve"> </w:t>
      </w:r>
      <w:r>
        <w:rPr>
          <w:rStyle w:val="StringTok"/>
        </w:rPr>
        <w:t xml:space="preserve">"./www/axonasp-pages/directory-listing.html"</w:t>
      </w:r>
    </w:p>
    <w:bookmarkEnd w:id="390"/>
    <w:bookmarkStart w:id="391" w:name="engine_mode-1"/>
    <w:p>
      <w:pPr>
        <w:pStyle w:val="Heading3"/>
      </w:pPr>
      <w:r>
        <w:t xml:space="preserve">engine_mode</w:t>
      </w:r>
    </w:p>
    <w:p>
      <w:pPr>
        <w:pStyle w:val="FirstParagraph"/>
      </w:pPr>
      <w:r>
        <w:rPr>
          <w:b/>
          <w:bCs/>
        </w:rPr>
        <w:t xml:space="preserve">Type:</w:t>
      </w:r>
      <w:r>
        <w:t xml:space="preserve"> </w:t>
      </w:r>
      <w:r>
        <w:t xml:space="preserve">String (Enum)</w:t>
      </w:r>
      <w:r>
        <w:br/>
      </w:r>
      <w:r>
        <w:rPr>
          <w:b/>
          <w:bCs/>
        </w:rPr>
        <w:t xml:space="preserve">Default:</w:t>
      </w:r>
      <w:r>
        <w:t xml:space="preserve"> </w:t>
      </w:r>
      <w:r>
        <w:rPr>
          <w:rStyle w:val="VerbatimChar"/>
        </w:rPr>
        <w:t xml:space="preserve">"default"</w:t>
      </w:r>
      <w:r>
        <w:br/>
      </w:r>
      <w:r>
        <w:rPr>
          <w:b/>
          <w:bCs/>
        </w:rPr>
        <w:t xml:space="preserve">Environment Variable:</w:t>
      </w:r>
      <w:r>
        <w:t xml:space="preserve"> </w:t>
      </w:r>
      <w:r>
        <w:rPr>
          <w:rStyle w:val="VerbatimChar"/>
        </w:rPr>
        <w:t xml:space="preserve">SERVER_ENGINE_MODE</w:t>
      </w:r>
      <w:r>
        <w:br/>
      </w:r>
      <w:r>
        <w:rPr>
          <w:b/>
          <w:bCs/>
        </w:rPr>
        <w:t xml:space="preserve">Valid Values:</w:t>
      </w:r>
      <w:r>
        <w:t xml:space="preserve"> </w:t>
      </w:r>
      <w:r>
        <w:rPr>
          <w:rStyle w:val="VerbatimChar"/>
        </w:rPr>
        <w:t xml:space="preserve">"default"</w:t>
      </w:r>
      <w:r>
        <w:t xml:space="preserve">,</w:t>
      </w:r>
      <w:r>
        <w:t xml:space="preserve"> </w:t>
      </w:r>
      <w:r>
        <w:rPr>
          <w:rStyle w:val="VerbatimChar"/>
        </w:rPr>
        <w:t xml:space="preserve">"vbscript"</w:t>
      </w:r>
      <w:r>
        <w:t xml:space="preserve">,</w:t>
      </w:r>
      <w:r>
        <w:t xml:space="preserve"> </w:t>
      </w:r>
      <w:r>
        <w:rPr>
          <w:rStyle w:val="VerbatimChar"/>
        </w:rPr>
        <w:t xml:space="preserve">"javascript"</w:t>
      </w:r>
    </w:p>
    <w:p>
      <w:pPr>
        <w:pStyle w:val="BodyText"/>
      </w:pPr>
      <w:r>
        <w:t xml:space="preserve">Sets the language mode for the HTTP server:</w:t>
      </w:r>
      <w:r>
        <w:t xml:space="preserve"> </w:t>
      </w:r>
      <w:r>
        <w:t xml:space="preserve">-</w:t>
      </w:r>
      <w:r>
        <w:t xml:space="preserve"> </w:t>
      </w:r>
      <w:r>
        <w:rPr>
          <w:rStyle w:val="VerbatimChar"/>
        </w:rPr>
        <w:t xml:space="preserve">"default"</w:t>
      </w:r>
      <w:r>
        <w:t xml:space="preserve"> </w:t>
      </w:r>
      <w:r>
        <w:t xml:space="preserve">- Execute standard ASP (HTML +</w:t>
      </w:r>
      <w:r>
        <w:t xml:space="preserve"> </w:t>
      </w:r>
      <w:r>
        <w:rPr>
          <w:rStyle w:val="VerbatimChar"/>
        </w:rPr>
        <w:t xml:space="preserve">&lt;% %&gt;</w:t>
      </w:r>
      <w:r>
        <w:t xml:space="preserve"> </w:t>
      </w:r>
      <w:r>
        <w:t xml:space="preserve">delimiters)</w:t>
      </w:r>
      <w:r>
        <w:t xml:space="preserve"> </w:t>
      </w:r>
      <w:r>
        <w:t xml:space="preserve">-</w:t>
      </w:r>
      <w:r>
        <w:t xml:space="preserve"> </w:t>
      </w:r>
      <w:r>
        <w:rPr>
          <w:rStyle w:val="VerbatimChar"/>
        </w:rPr>
        <w:t xml:space="preserve">"vbscript"</w:t>
      </w:r>
      <w:r>
        <w:t xml:space="preserve"> </w:t>
      </w:r>
      <w:r>
        <w:t xml:space="preserve">- Execute pure VBScript (bypassing ASP delimiters for</w:t>
      </w:r>
      <w:r>
        <w:t xml:space="preserve"> </w:t>
      </w:r>
      <w:r>
        <w:rPr>
          <w:rStyle w:val="VerbatimChar"/>
        </w:rPr>
        <w:t xml:space="preserve">.vbs</w:t>
      </w:r>
      <w:r>
        <w:t xml:space="preserve"> </w:t>
      </w:r>
      <w:r>
        <w:t xml:space="preserve">extensions)</w:t>
      </w:r>
      <w:r>
        <w:t xml:space="preserve"> </w:t>
      </w:r>
      <w:r>
        <w:t xml:space="preserve">-</w:t>
      </w:r>
      <w:r>
        <w:t xml:space="preserve"> </w:t>
      </w:r>
      <w:r>
        <w:rPr>
          <w:rStyle w:val="VerbatimChar"/>
        </w:rPr>
        <w:t xml:space="preserve">"javascript"</w:t>
      </w:r>
      <w:r>
        <w:t xml:space="preserve"> </w:t>
      </w:r>
      <w:r>
        <w:t xml:space="preserve">- Execute pure JavaScript (bypassing ASP delimiters for</w:t>
      </w:r>
      <w:r>
        <w:t xml:space="preserve"> </w:t>
      </w:r>
      <w:r>
        <w:rPr>
          <w:rStyle w:val="VerbatimChar"/>
        </w:rPr>
        <w:t xml:space="preserve">.js</w:t>
      </w:r>
      <w:r>
        <w:t xml:space="preserve"> </w:t>
      </w:r>
      <w:r>
        <w:t xml:space="preserve">extensions)</w:t>
      </w:r>
    </w:p>
    <w:p>
      <w:r>
        <w:pict>
          <v:rect style="width:0;height:1.5pt" o:hralign="center" o:hrstd="t" o:hr="t"/>
        </w:pict>
      </w:r>
    </w:p>
    <w:bookmarkEnd w:id="391"/>
    <w:bookmarkEnd w:id="392"/>
    <w:bookmarkStart w:id="396" w:name="fastcgi-server-settings-fastcgi"/>
    <w:p>
      <w:pPr>
        <w:pStyle w:val="Heading2"/>
      </w:pPr>
      <w:r>
        <w:t xml:space="preserve">FastCGI Server Settings</w:t>
      </w:r>
      <w:r>
        <w:t xml:space="preserve"> </w:t>
      </w:r>
      <w:r>
        <w:rPr>
          <w:rStyle w:val="VerbatimChar"/>
        </w:rPr>
        <w:t xml:space="preserve">[fastcgi]</w:t>
      </w:r>
    </w:p>
    <w:p>
      <w:pPr>
        <w:pStyle w:val="FirstParagraph"/>
      </w:pPr>
      <w:r>
        <w:t xml:space="preserve">Configuration for FastCGI application server (</w:t>
      </w:r>
      <w:r>
        <w:rPr>
          <w:rStyle w:val="VerbatimChar"/>
        </w:rPr>
        <w:t xml:space="preserve">axonasp-fastcgi.exe</w:t>
      </w:r>
      <w:r>
        <w:t xml:space="preserve">).</w:t>
      </w:r>
    </w:p>
    <w:bookmarkStart w:id="393" w:name="default_pages-1"/>
    <w:p>
      <w:pPr>
        <w:pStyle w:val="Heading3"/>
      </w:pPr>
      <w:r>
        <w:t xml:space="preserve">default_pages</w:t>
      </w:r>
    </w:p>
    <w:p>
      <w:pPr>
        <w:pStyle w:val="FirstParagraph"/>
      </w:pPr>
      <w:r>
        <w:rPr>
          <w:b/>
          <w:bCs/>
        </w:rPr>
        <w:t xml:space="preserve">Type:</w:t>
      </w:r>
      <w:r>
        <w:t xml:space="preserve"> </w:t>
      </w:r>
      <w:r>
        <w:t xml:space="preserve">Array of Strings</w:t>
      </w:r>
      <w:r>
        <w:br/>
      </w:r>
      <w:r>
        <w:rPr>
          <w:b/>
          <w:bCs/>
        </w:rPr>
        <w:t xml:space="preserve">Environment Variable:</w:t>
      </w:r>
      <w:r>
        <w:t xml:space="preserve"> </w:t>
      </w:r>
      <w:r>
        <w:rPr>
          <w:rStyle w:val="VerbatimChar"/>
        </w:rPr>
        <w:t xml:space="preserve">FASTCGI_DEFAULT_PAGES</w:t>
      </w:r>
      <w:r>
        <w:t xml:space="preserve"> </w:t>
      </w:r>
      <w:r>
        <w:t xml:space="preserve">(comma-separated)</w:t>
      </w:r>
    </w:p>
    <w:p>
      <w:pPr>
        <w:pStyle w:val="BodyText"/>
      </w:pPr>
      <w:r>
        <w:t xml:space="preserve">Default pages for FastCGI mode (same purpose as HTTP server).</w:t>
      </w:r>
    </w:p>
    <w:p>
      <w:pPr>
        <w:pStyle w:val="BodyText"/>
      </w:pPr>
      <w:r>
        <w:rPr>
          <w:b/>
          <w:bCs/>
        </w:rPr>
        <w:t xml:space="preserve">Example:</w:t>
      </w:r>
    </w:p>
    <w:p>
      <w:pPr>
        <w:pStyle w:val="SourceCode"/>
      </w:pPr>
      <w:r>
        <w:rPr>
          <w:rStyle w:val="KeywordTok"/>
        </w:rPr>
        <w:t xml:space="preserve">[fastcgi]</w:t>
      </w:r>
      <w:r>
        <w:br/>
      </w:r>
      <w:r>
        <w:rPr>
          <w:rStyle w:val="DataTypeTok"/>
        </w:rPr>
        <w:t xml:space="preserve">default_pages</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StringTok"/>
        </w:rPr>
        <w:t xml:space="preserve">"index.asp"</w:t>
      </w:r>
      <w:r>
        <w:rPr>
          <w:rStyle w:val="OperatorTok"/>
        </w:rPr>
        <w:t xml:space="preserve">,</w:t>
      </w:r>
      <w:r>
        <w:br/>
      </w:r>
      <w:r>
        <w:rPr>
          <w:rStyle w:val="NormalTok"/>
        </w:rPr>
        <w:t xml:space="preserve">  </w:t>
      </w:r>
      <w:r>
        <w:rPr>
          <w:rStyle w:val="StringTok"/>
        </w:rPr>
        <w:t xml:space="preserve">"default.asp"</w:t>
      </w:r>
      <w:r>
        <w:rPr>
          <w:rStyle w:val="OperatorTok"/>
        </w:rPr>
        <w:t xml:space="preserve">,</w:t>
      </w:r>
      <w:r>
        <w:br/>
      </w:r>
      <w:r>
        <w:rPr>
          <w:rStyle w:val="NormalTok"/>
        </w:rPr>
        <w:t xml:space="preserve">  </w:t>
      </w:r>
      <w:r>
        <w:rPr>
          <w:rStyle w:val="StringTok"/>
        </w:rPr>
        <w:t xml:space="preserve">"index.html"</w:t>
      </w:r>
      <w:r>
        <w:rPr>
          <w:rStyle w:val="OperatorTok"/>
        </w:rPr>
        <w:t xml:space="preserve">,</w:t>
      </w:r>
      <w:r>
        <w:br/>
      </w:r>
      <w:r>
        <w:rPr>
          <w:rStyle w:val="OperatorTok"/>
        </w:rPr>
        <w:t xml:space="preserve">]</w:t>
      </w:r>
    </w:p>
    <w:bookmarkEnd w:id="393"/>
    <w:bookmarkStart w:id="394" w:name="server_port-1"/>
    <w:p>
      <w:pPr>
        <w:pStyle w:val="Heading3"/>
      </w:pPr>
      <w:r>
        <w:t xml:space="preserve">server_port</w:t>
      </w:r>
    </w:p>
    <w:p>
      <w:pPr>
        <w:pStyle w:val="FirstParagraph"/>
      </w:pPr>
      <w:r>
        <w:rPr>
          <w:b/>
          <w:bCs/>
        </w:rPr>
        <w:t xml:space="preserve">Type:</w:t>
      </w:r>
      <w:r>
        <w:t xml:space="preserve"> </w:t>
      </w:r>
      <w:r>
        <w:t xml:space="preserve">Integer or String</w:t>
      </w:r>
      <w:r>
        <w:br/>
      </w:r>
      <w:r>
        <w:rPr>
          <w:b/>
          <w:bCs/>
        </w:rPr>
        <w:t xml:space="preserve">Default:</w:t>
      </w:r>
      <w:r>
        <w:t xml:space="preserve"> </w:t>
      </w:r>
      <w:r>
        <w:rPr>
          <w:rStyle w:val="VerbatimChar"/>
        </w:rPr>
        <w:t xml:space="preserve">9000</w:t>
      </w:r>
      <w:r>
        <w:br/>
      </w:r>
      <w:r>
        <w:rPr>
          <w:b/>
          <w:bCs/>
        </w:rPr>
        <w:t xml:space="preserve">Environment Variable:</w:t>
      </w:r>
      <w:r>
        <w:t xml:space="preserve"> </w:t>
      </w:r>
      <w:r>
        <w:rPr>
          <w:rStyle w:val="VerbatimChar"/>
        </w:rPr>
        <w:t xml:space="preserve">FASTCGI_SERVER_PORT</w:t>
      </w:r>
    </w:p>
    <w:p>
      <w:pPr>
        <w:pStyle w:val="BodyText"/>
      </w:pPr>
      <w:r>
        <w:t xml:space="preserve">Port or socket for FastCGI listener. Can be TCP port or Unix socket path.</w:t>
      </w:r>
    </w:p>
    <w:p>
      <w:pPr>
        <w:pStyle w:val="BodyText"/>
      </w:pPr>
      <w:r>
        <w:rPr>
          <w:b/>
          <w:bCs/>
        </w:rPr>
        <w:t xml:space="preserve">TCP Examples:</w:t>
      </w:r>
    </w:p>
    <w:p>
      <w:pPr>
        <w:pStyle w:val="SourceCode"/>
      </w:pPr>
      <w:r>
        <w:rPr>
          <w:rStyle w:val="DataTypeTok"/>
        </w:rPr>
        <w:t xml:space="preserve">server_port</w:t>
      </w:r>
      <w:r>
        <w:rPr>
          <w:rStyle w:val="NormalTok"/>
        </w:rPr>
        <w:t xml:space="preserve"> </w:t>
      </w:r>
      <w:r>
        <w:rPr>
          <w:rStyle w:val="OperatorTok"/>
        </w:rPr>
        <w:t xml:space="preserve">=</w:t>
      </w:r>
      <w:r>
        <w:rPr>
          <w:rStyle w:val="NormalTok"/>
        </w:rPr>
        <w:t xml:space="preserve"> </w:t>
      </w:r>
      <w:r>
        <w:rPr>
          <w:rStyle w:val="DecValTok"/>
        </w:rPr>
        <w:t xml:space="preserve">9000</w:t>
      </w:r>
    </w:p>
    <w:p>
      <w:pPr>
        <w:pStyle w:val="FirstParagraph"/>
      </w:pPr>
      <w:r>
        <w:rPr>
          <w:b/>
          <w:bCs/>
        </w:rPr>
        <w:t xml:space="preserve">Unix Socket Examples (Linux/macOS):</w:t>
      </w:r>
    </w:p>
    <w:p>
      <w:pPr>
        <w:pStyle w:val="SourceCode"/>
      </w:pPr>
      <w:r>
        <w:rPr>
          <w:rStyle w:val="DataTypeTok"/>
        </w:rPr>
        <w:t xml:space="preserve">server_port</w:t>
      </w:r>
      <w:r>
        <w:rPr>
          <w:rStyle w:val="NormalTok"/>
        </w:rPr>
        <w:t xml:space="preserve"> </w:t>
      </w:r>
      <w:r>
        <w:rPr>
          <w:rStyle w:val="OperatorTok"/>
        </w:rPr>
        <w:t xml:space="preserve">=</w:t>
      </w:r>
      <w:r>
        <w:rPr>
          <w:rStyle w:val="NormalTok"/>
        </w:rPr>
        <w:t xml:space="preserve"> </w:t>
      </w:r>
      <w:r>
        <w:rPr>
          <w:rStyle w:val="StringTok"/>
        </w:rPr>
        <w:t xml:space="preserve">"unix:/tmp/axonasp.sock"</w:t>
      </w:r>
    </w:p>
    <w:bookmarkEnd w:id="394"/>
    <w:bookmarkStart w:id="395" w:name="engine_mode-2"/>
    <w:p>
      <w:pPr>
        <w:pStyle w:val="Heading3"/>
      </w:pPr>
      <w:r>
        <w:t xml:space="preserve">engine_mode</w:t>
      </w:r>
    </w:p>
    <w:p>
      <w:pPr>
        <w:pStyle w:val="FirstParagraph"/>
      </w:pPr>
      <w:r>
        <w:rPr>
          <w:b/>
          <w:bCs/>
        </w:rPr>
        <w:t xml:space="preserve">Type:</w:t>
      </w:r>
      <w:r>
        <w:t xml:space="preserve"> </w:t>
      </w:r>
      <w:r>
        <w:t xml:space="preserve">String (Enum)</w:t>
      </w:r>
      <w:r>
        <w:br/>
      </w:r>
      <w:r>
        <w:rPr>
          <w:b/>
          <w:bCs/>
        </w:rPr>
        <w:t xml:space="preserve">Default:</w:t>
      </w:r>
      <w:r>
        <w:t xml:space="preserve"> </w:t>
      </w:r>
      <w:r>
        <w:rPr>
          <w:rStyle w:val="VerbatimChar"/>
        </w:rPr>
        <w:t xml:space="preserve">"default"</w:t>
      </w:r>
      <w:r>
        <w:br/>
      </w:r>
      <w:r>
        <w:rPr>
          <w:b/>
          <w:bCs/>
        </w:rPr>
        <w:t xml:space="preserve">Environment Variable:</w:t>
      </w:r>
      <w:r>
        <w:t xml:space="preserve"> </w:t>
      </w:r>
      <w:r>
        <w:rPr>
          <w:rStyle w:val="VerbatimChar"/>
        </w:rPr>
        <w:t xml:space="preserve">FASTCGI_ENGINE_MODE</w:t>
      </w:r>
      <w:r>
        <w:br/>
      </w:r>
      <w:r>
        <w:rPr>
          <w:b/>
          <w:bCs/>
        </w:rPr>
        <w:t xml:space="preserve">Valid Values:</w:t>
      </w:r>
      <w:r>
        <w:t xml:space="preserve"> </w:t>
      </w:r>
      <w:r>
        <w:rPr>
          <w:rStyle w:val="VerbatimChar"/>
        </w:rPr>
        <w:t xml:space="preserve">"default"</w:t>
      </w:r>
      <w:r>
        <w:t xml:space="preserve">,</w:t>
      </w:r>
      <w:r>
        <w:t xml:space="preserve"> </w:t>
      </w:r>
      <w:r>
        <w:rPr>
          <w:rStyle w:val="VerbatimChar"/>
        </w:rPr>
        <w:t xml:space="preserve">"vbscript"</w:t>
      </w:r>
      <w:r>
        <w:t xml:space="preserve">,</w:t>
      </w:r>
      <w:r>
        <w:t xml:space="preserve"> </w:t>
      </w:r>
      <w:r>
        <w:rPr>
          <w:rStyle w:val="VerbatimChar"/>
        </w:rPr>
        <w:t xml:space="preserve">"javascript"</w:t>
      </w:r>
    </w:p>
    <w:p>
      <w:pPr>
        <w:pStyle w:val="BodyText"/>
      </w:pPr>
      <w:r>
        <w:t xml:space="preserve">Sets the language mode for the FastCGI server:</w:t>
      </w:r>
      <w:r>
        <w:t xml:space="preserve"> </w:t>
      </w:r>
      <w:r>
        <w:t xml:space="preserve">-</w:t>
      </w:r>
      <w:r>
        <w:t xml:space="preserve"> </w:t>
      </w:r>
      <w:r>
        <w:rPr>
          <w:rStyle w:val="VerbatimChar"/>
        </w:rPr>
        <w:t xml:space="preserve">"default"</w:t>
      </w:r>
      <w:r>
        <w:t xml:space="preserve"> </w:t>
      </w:r>
      <w:r>
        <w:t xml:space="preserve">- Execute standard ASP (HTML +</w:t>
      </w:r>
      <w:r>
        <w:t xml:space="preserve"> </w:t>
      </w:r>
      <w:r>
        <w:rPr>
          <w:rStyle w:val="VerbatimChar"/>
        </w:rPr>
        <w:t xml:space="preserve">&lt;% %&gt;</w:t>
      </w:r>
      <w:r>
        <w:t xml:space="preserve"> </w:t>
      </w:r>
      <w:r>
        <w:t xml:space="preserve">delimiters)</w:t>
      </w:r>
      <w:r>
        <w:t xml:space="preserve"> </w:t>
      </w:r>
      <w:r>
        <w:t xml:space="preserve">-</w:t>
      </w:r>
      <w:r>
        <w:t xml:space="preserve"> </w:t>
      </w:r>
      <w:r>
        <w:rPr>
          <w:rStyle w:val="VerbatimChar"/>
        </w:rPr>
        <w:t xml:space="preserve">"vbscript"</w:t>
      </w:r>
      <w:r>
        <w:t xml:space="preserve"> </w:t>
      </w:r>
      <w:r>
        <w:t xml:space="preserve">- Execute pure VBScript (bypassing ASP delimiters for</w:t>
      </w:r>
      <w:r>
        <w:t xml:space="preserve"> </w:t>
      </w:r>
      <w:r>
        <w:rPr>
          <w:rStyle w:val="VerbatimChar"/>
        </w:rPr>
        <w:t xml:space="preserve">.vbs</w:t>
      </w:r>
      <w:r>
        <w:t xml:space="preserve"> </w:t>
      </w:r>
      <w:r>
        <w:t xml:space="preserve">extensions)</w:t>
      </w:r>
      <w:r>
        <w:t xml:space="preserve"> </w:t>
      </w:r>
      <w:r>
        <w:t xml:space="preserve">-</w:t>
      </w:r>
      <w:r>
        <w:t xml:space="preserve"> </w:t>
      </w:r>
      <w:r>
        <w:rPr>
          <w:rStyle w:val="VerbatimChar"/>
        </w:rPr>
        <w:t xml:space="preserve">"javascript"</w:t>
      </w:r>
      <w:r>
        <w:t xml:space="preserve"> </w:t>
      </w:r>
      <w:r>
        <w:t xml:space="preserve">- Execute pure JavaScript (bypassing ASP delimiters for</w:t>
      </w:r>
      <w:r>
        <w:t xml:space="preserve"> </w:t>
      </w:r>
      <w:r>
        <w:rPr>
          <w:rStyle w:val="VerbatimChar"/>
        </w:rPr>
        <w:t xml:space="preserve">.js</w:t>
      </w:r>
      <w:r>
        <w:t xml:space="preserve"> </w:t>
      </w:r>
      <w:r>
        <w:t xml:space="preserve">extensions)</w:t>
      </w:r>
    </w:p>
    <w:p>
      <w:r>
        <w:pict>
          <v:rect style="width:0;height:1.5pt" o:hralign="center" o:hrstd="t" o:hr="t"/>
        </w:pict>
      </w:r>
    </w:p>
    <w:bookmarkEnd w:id="395"/>
    <w:bookmarkEnd w:id="396"/>
    <w:bookmarkStart w:id="402" w:name="database-configuration-g3db"/>
    <w:p>
      <w:pPr>
        <w:pStyle w:val="Heading2"/>
      </w:pPr>
      <w:r>
        <w:t xml:space="preserve">Database Configuration</w:t>
      </w:r>
      <w:r>
        <w:t xml:space="preserve"> </w:t>
      </w:r>
      <w:r>
        <w:rPr>
          <w:rStyle w:val="VerbatimChar"/>
        </w:rPr>
        <w:t xml:space="preserve">[g3db]</w:t>
      </w:r>
    </w:p>
    <w:p>
      <w:pPr>
        <w:pStyle w:val="FirstParagraph"/>
      </w:pPr>
      <w:r>
        <w:t xml:space="preserve">Configuration for G3DB library (multi-database support).</w:t>
      </w:r>
    </w:p>
    <w:bookmarkStart w:id="397" w:name="mysql-settings"/>
    <w:p>
      <w:pPr>
        <w:pStyle w:val="Heading3"/>
      </w:pPr>
      <w:r>
        <w:t xml:space="preserve">MySQL Settings</w:t>
      </w:r>
    </w:p>
    <w:p>
      <w:pPr>
        <w:pStyle w:val="SourceCode"/>
      </w:pPr>
      <w:r>
        <w:rPr>
          <w:rStyle w:val="KeywordTok"/>
        </w:rPr>
        <w:t xml:space="preserve">[g3db]</w:t>
      </w:r>
      <w:r>
        <w:br/>
      </w:r>
      <w:r>
        <w:rPr>
          <w:rStyle w:val="DataTypeTok"/>
        </w:rPr>
        <w:t xml:space="preserve">mysql_host</w:t>
      </w:r>
      <w:r>
        <w:rPr>
          <w:rStyle w:val="NormalTok"/>
        </w:rPr>
        <w:t xml:space="preserve"> </w:t>
      </w:r>
      <w:r>
        <w:rPr>
          <w:rStyle w:val="OperatorTok"/>
        </w:rPr>
        <w:t xml:space="preserve">=</w:t>
      </w:r>
      <w:r>
        <w:rPr>
          <w:rStyle w:val="NormalTok"/>
        </w:rPr>
        <w:t xml:space="preserve"> </w:t>
      </w:r>
      <w:r>
        <w:rPr>
          <w:rStyle w:val="StringTok"/>
        </w:rPr>
        <w:t xml:space="preserve">"localhost"</w:t>
      </w:r>
      <w:r>
        <w:br/>
      </w:r>
      <w:r>
        <w:rPr>
          <w:rStyle w:val="DataTypeTok"/>
        </w:rPr>
        <w:t xml:space="preserve">mysql_port</w:t>
      </w:r>
      <w:r>
        <w:rPr>
          <w:rStyle w:val="NormalTok"/>
        </w:rPr>
        <w:t xml:space="preserve"> </w:t>
      </w:r>
      <w:r>
        <w:rPr>
          <w:rStyle w:val="OperatorTok"/>
        </w:rPr>
        <w:t xml:space="preserve">=</w:t>
      </w:r>
      <w:r>
        <w:rPr>
          <w:rStyle w:val="NormalTok"/>
        </w:rPr>
        <w:t xml:space="preserve"> </w:t>
      </w:r>
      <w:r>
        <w:rPr>
          <w:rStyle w:val="DecValTok"/>
        </w:rPr>
        <w:t xml:space="preserve">3306</w:t>
      </w:r>
      <w:r>
        <w:br/>
      </w:r>
      <w:r>
        <w:rPr>
          <w:rStyle w:val="DataTypeTok"/>
        </w:rPr>
        <w:t xml:space="preserve">mysql_user</w:t>
      </w:r>
      <w:r>
        <w:rPr>
          <w:rStyle w:val="NormalTok"/>
        </w:rPr>
        <w:t xml:space="preserve"> </w:t>
      </w:r>
      <w:r>
        <w:rPr>
          <w:rStyle w:val="OperatorTok"/>
        </w:rPr>
        <w:t xml:space="preserve">=</w:t>
      </w:r>
      <w:r>
        <w:rPr>
          <w:rStyle w:val="NormalTok"/>
        </w:rPr>
        <w:t xml:space="preserve"> </w:t>
      </w:r>
      <w:r>
        <w:rPr>
          <w:rStyle w:val="StringTok"/>
        </w:rPr>
        <w:t xml:space="preserve">"root"</w:t>
      </w:r>
      <w:r>
        <w:br/>
      </w:r>
      <w:r>
        <w:rPr>
          <w:rStyle w:val="DataTypeTok"/>
        </w:rPr>
        <w:t xml:space="preserve">mysql_pass</w:t>
      </w:r>
      <w:r>
        <w:rPr>
          <w:rStyle w:val="NormalTok"/>
        </w:rPr>
        <w:t xml:space="preserve"> </w:t>
      </w:r>
      <w:r>
        <w:rPr>
          <w:rStyle w:val="OperatorTok"/>
        </w:rPr>
        <w:t xml:space="preserve">=</w:t>
      </w:r>
      <w:r>
        <w:rPr>
          <w:rStyle w:val="NormalTok"/>
        </w:rPr>
        <w:t xml:space="preserve"> </w:t>
      </w:r>
      <w:r>
        <w:rPr>
          <w:rStyle w:val="StringTok"/>
        </w:rPr>
        <w:t xml:space="preserve">"password"</w:t>
      </w:r>
      <w:r>
        <w:br/>
      </w:r>
      <w:r>
        <w:rPr>
          <w:rStyle w:val="DataTypeTok"/>
        </w:rPr>
        <w:t xml:space="preserve">mysql_database</w:t>
      </w:r>
      <w:r>
        <w:rPr>
          <w:rStyle w:val="NormalTok"/>
        </w:rPr>
        <w:t xml:space="preserve"> </w:t>
      </w:r>
      <w:r>
        <w:rPr>
          <w:rStyle w:val="OperatorTok"/>
        </w:rPr>
        <w:t xml:space="preserve">=</w:t>
      </w:r>
      <w:r>
        <w:rPr>
          <w:rStyle w:val="NormalTok"/>
        </w:rPr>
        <w:t xml:space="preserve"> </w:t>
      </w:r>
      <w:r>
        <w:rPr>
          <w:rStyle w:val="StringTok"/>
        </w:rPr>
        <w:t xml:space="preserve">"test"</w:t>
      </w:r>
    </w:p>
    <w:p>
      <w:pPr>
        <w:pStyle w:val="FirstParagraph"/>
      </w:pPr>
      <w:r>
        <w:rPr>
          <w:b/>
          <w:bCs/>
        </w:rPr>
        <w:t xml:space="preserve">Environment Variables:</w:t>
      </w:r>
      <w:r>
        <w:t xml:space="preserve"> </w:t>
      </w:r>
      <w:r>
        <w:t xml:space="preserve">-</w:t>
      </w:r>
      <w:r>
        <w:t xml:space="preserve"> </w:t>
      </w:r>
      <w:r>
        <w:rPr>
          <w:rStyle w:val="VerbatimChar"/>
        </w:rPr>
        <w:t xml:space="preserve">MYSQL_HOST</w:t>
      </w:r>
      <w:r>
        <w:t xml:space="preserve"> </w:t>
      </w:r>
      <w:r>
        <w:t xml:space="preserve">-</w:t>
      </w:r>
      <w:r>
        <w:t xml:space="preserve"> </w:t>
      </w:r>
      <w:r>
        <w:rPr>
          <w:rStyle w:val="VerbatimChar"/>
        </w:rPr>
        <w:t xml:space="preserve">MYSQL_PORT</w:t>
      </w:r>
      <w:r>
        <w:t xml:space="preserve"> </w:t>
      </w:r>
      <w:r>
        <w:t xml:space="preserve">-</w:t>
      </w:r>
      <w:r>
        <w:t xml:space="preserve"> </w:t>
      </w:r>
      <w:r>
        <w:rPr>
          <w:rStyle w:val="VerbatimChar"/>
        </w:rPr>
        <w:t xml:space="preserve">MYSQL_USER</w:t>
      </w:r>
      <w:r>
        <w:t xml:space="preserve"> </w:t>
      </w:r>
      <w:r>
        <w:t xml:space="preserve">-</w:t>
      </w:r>
      <w:r>
        <w:t xml:space="preserve"> </w:t>
      </w:r>
      <w:r>
        <w:rPr>
          <w:rStyle w:val="VerbatimChar"/>
        </w:rPr>
        <w:t xml:space="preserve">MYSQL_PASS</w:t>
      </w:r>
      <w:r>
        <w:t xml:space="preserve"> </w:t>
      </w:r>
      <w:r>
        <w:t xml:space="preserve">-</w:t>
      </w:r>
      <w:r>
        <w:t xml:space="preserve"> </w:t>
      </w:r>
      <w:r>
        <w:rPr>
          <w:rStyle w:val="VerbatimChar"/>
        </w:rPr>
        <w:t xml:space="preserve">MYSQL_DATABASE</w:t>
      </w:r>
    </w:p>
    <w:bookmarkEnd w:id="397"/>
    <w:bookmarkStart w:id="398" w:name="postgresql-settings"/>
    <w:p>
      <w:pPr>
        <w:pStyle w:val="Heading3"/>
      </w:pPr>
      <w:r>
        <w:t xml:space="preserve">PostgreSQL Settings</w:t>
      </w:r>
    </w:p>
    <w:p>
      <w:pPr>
        <w:pStyle w:val="SourceCode"/>
      </w:pPr>
      <w:r>
        <w:rPr>
          <w:rStyle w:val="KeywordTok"/>
        </w:rPr>
        <w:t xml:space="preserve">[g3db]</w:t>
      </w:r>
      <w:r>
        <w:br/>
      </w:r>
      <w:r>
        <w:rPr>
          <w:rStyle w:val="DataTypeTok"/>
        </w:rPr>
        <w:t xml:space="preserve">postgres_host</w:t>
      </w:r>
      <w:r>
        <w:rPr>
          <w:rStyle w:val="NormalTok"/>
        </w:rPr>
        <w:t xml:space="preserve"> </w:t>
      </w:r>
      <w:r>
        <w:rPr>
          <w:rStyle w:val="OperatorTok"/>
        </w:rPr>
        <w:t xml:space="preserve">=</w:t>
      </w:r>
      <w:r>
        <w:rPr>
          <w:rStyle w:val="NormalTok"/>
        </w:rPr>
        <w:t xml:space="preserve"> </w:t>
      </w:r>
      <w:r>
        <w:rPr>
          <w:rStyle w:val="StringTok"/>
        </w:rPr>
        <w:t xml:space="preserve">"localhost"</w:t>
      </w:r>
      <w:r>
        <w:br/>
      </w:r>
      <w:r>
        <w:rPr>
          <w:rStyle w:val="DataTypeTok"/>
        </w:rPr>
        <w:t xml:space="preserve">postgres_port</w:t>
      </w:r>
      <w:r>
        <w:rPr>
          <w:rStyle w:val="NormalTok"/>
        </w:rPr>
        <w:t xml:space="preserve"> </w:t>
      </w:r>
      <w:r>
        <w:rPr>
          <w:rStyle w:val="OperatorTok"/>
        </w:rPr>
        <w:t xml:space="preserve">=</w:t>
      </w:r>
      <w:r>
        <w:rPr>
          <w:rStyle w:val="NormalTok"/>
        </w:rPr>
        <w:t xml:space="preserve"> </w:t>
      </w:r>
      <w:r>
        <w:rPr>
          <w:rStyle w:val="DecValTok"/>
        </w:rPr>
        <w:t xml:space="preserve">5432</w:t>
      </w:r>
      <w:r>
        <w:br/>
      </w:r>
      <w:r>
        <w:rPr>
          <w:rStyle w:val="DataTypeTok"/>
        </w:rPr>
        <w:t xml:space="preserve">postgres_user</w:t>
      </w:r>
      <w:r>
        <w:rPr>
          <w:rStyle w:val="NormalTok"/>
        </w:rPr>
        <w:t xml:space="preserve"> </w:t>
      </w:r>
      <w:r>
        <w:rPr>
          <w:rStyle w:val="OperatorTok"/>
        </w:rPr>
        <w:t xml:space="preserve">=</w:t>
      </w:r>
      <w:r>
        <w:rPr>
          <w:rStyle w:val="NormalTok"/>
        </w:rPr>
        <w:t xml:space="preserve"> </w:t>
      </w:r>
      <w:r>
        <w:rPr>
          <w:rStyle w:val="StringTok"/>
        </w:rPr>
        <w:t xml:space="preserve">"postgres"</w:t>
      </w:r>
      <w:r>
        <w:br/>
      </w:r>
      <w:r>
        <w:rPr>
          <w:rStyle w:val="DataTypeTok"/>
        </w:rPr>
        <w:t xml:space="preserve">postgres_pass</w:t>
      </w:r>
      <w:r>
        <w:rPr>
          <w:rStyle w:val="NormalTok"/>
        </w:rPr>
        <w:t xml:space="preserve"> </w:t>
      </w:r>
      <w:r>
        <w:rPr>
          <w:rStyle w:val="OperatorTok"/>
        </w:rPr>
        <w:t xml:space="preserve">=</w:t>
      </w:r>
      <w:r>
        <w:rPr>
          <w:rStyle w:val="NormalTok"/>
        </w:rPr>
        <w:t xml:space="preserve"> </w:t>
      </w:r>
      <w:r>
        <w:rPr>
          <w:rStyle w:val="StringTok"/>
        </w:rPr>
        <w:t xml:space="preserve">"password"</w:t>
      </w:r>
      <w:r>
        <w:br/>
      </w:r>
      <w:r>
        <w:rPr>
          <w:rStyle w:val="DataTypeTok"/>
        </w:rPr>
        <w:t xml:space="preserve">postgress_database</w:t>
      </w:r>
      <w:r>
        <w:rPr>
          <w:rStyle w:val="NormalTok"/>
        </w:rPr>
        <w:t xml:space="preserve"> </w:t>
      </w:r>
      <w:r>
        <w:rPr>
          <w:rStyle w:val="OperatorTok"/>
        </w:rPr>
        <w:t xml:space="preserve">=</w:t>
      </w:r>
      <w:r>
        <w:rPr>
          <w:rStyle w:val="NormalTok"/>
        </w:rPr>
        <w:t xml:space="preserve"> </w:t>
      </w:r>
      <w:r>
        <w:rPr>
          <w:rStyle w:val="StringTok"/>
        </w:rPr>
        <w:t xml:space="preserve">"test"</w:t>
      </w:r>
      <w:r>
        <w:br/>
      </w:r>
      <w:r>
        <w:rPr>
          <w:rStyle w:val="DataTypeTok"/>
        </w:rPr>
        <w:t xml:space="preserve">postgress_ssl_mode</w:t>
      </w:r>
      <w:r>
        <w:rPr>
          <w:rStyle w:val="NormalTok"/>
        </w:rPr>
        <w:t xml:space="preserve"> </w:t>
      </w:r>
      <w:r>
        <w:rPr>
          <w:rStyle w:val="OperatorTok"/>
        </w:rPr>
        <w:t xml:space="preserve">=</w:t>
      </w:r>
      <w:r>
        <w:rPr>
          <w:rStyle w:val="NormalTok"/>
        </w:rPr>
        <w:t xml:space="preserve"> </w:t>
      </w:r>
      <w:r>
        <w:rPr>
          <w:rStyle w:val="StringTok"/>
        </w:rPr>
        <w:t xml:space="preserve">"disable"</w:t>
      </w:r>
    </w:p>
    <w:p>
      <w:pPr>
        <w:pStyle w:val="FirstParagraph"/>
      </w:pPr>
      <w:r>
        <w:rPr>
          <w:b/>
          <w:bCs/>
        </w:rPr>
        <w:t xml:space="preserve">Environment Variables:</w:t>
      </w:r>
      <w:r>
        <w:t xml:space="preserve"> </w:t>
      </w:r>
      <w:r>
        <w:t xml:space="preserve">-</w:t>
      </w:r>
      <w:r>
        <w:t xml:space="preserve"> </w:t>
      </w:r>
      <w:r>
        <w:rPr>
          <w:rStyle w:val="VerbatimChar"/>
        </w:rPr>
        <w:t xml:space="preserve">POSTGRES_HOST</w:t>
      </w:r>
      <w:r>
        <w:t xml:space="preserve"> </w:t>
      </w:r>
      <w:r>
        <w:t xml:space="preserve">-</w:t>
      </w:r>
      <w:r>
        <w:t xml:space="preserve"> </w:t>
      </w:r>
      <w:r>
        <w:rPr>
          <w:rStyle w:val="VerbatimChar"/>
        </w:rPr>
        <w:t xml:space="preserve">POSTGRES_PORT</w:t>
      </w:r>
      <w:r>
        <w:t xml:space="preserve"> </w:t>
      </w:r>
      <w:r>
        <w:t xml:space="preserve">-</w:t>
      </w:r>
      <w:r>
        <w:t xml:space="preserve"> </w:t>
      </w:r>
      <w:r>
        <w:rPr>
          <w:rStyle w:val="VerbatimChar"/>
        </w:rPr>
        <w:t xml:space="preserve">POSTGRES_USER</w:t>
      </w:r>
      <w:r>
        <w:t xml:space="preserve"> </w:t>
      </w:r>
      <w:r>
        <w:t xml:space="preserve">-</w:t>
      </w:r>
      <w:r>
        <w:t xml:space="preserve"> </w:t>
      </w:r>
      <w:r>
        <w:rPr>
          <w:rStyle w:val="VerbatimChar"/>
        </w:rPr>
        <w:t xml:space="preserve">POSTGRES_PASS</w:t>
      </w:r>
      <w:r>
        <w:t xml:space="preserve"> </w:t>
      </w:r>
      <w:r>
        <w:t xml:space="preserve">-</w:t>
      </w:r>
      <w:r>
        <w:t xml:space="preserve"> </w:t>
      </w:r>
      <w:r>
        <w:rPr>
          <w:rStyle w:val="VerbatimChar"/>
        </w:rPr>
        <w:t xml:space="preserve">POSTGRESS_DATABASE</w:t>
      </w:r>
      <w:r>
        <w:t xml:space="preserve"> </w:t>
      </w:r>
      <w:r>
        <w:t xml:space="preserve">-</w:t>
      </w:r>
      <w:r>
        <w:t xml:space="preserve"> </w:t>
      </w:r>
      <w:r>
        <w:rPr>
          <w:rStyle w:val="VerbatimChar"/>
        </w:rPr>
        <w:t xml:space="preserve">POSTGRESS_SSL_MODE</w:t>
      </w:r>
    </w:p>
    <w:bookmarkEnd w:id="398"/>
    <w:bookmarkStart w:id="399" w:name="ms-sql-server-settings"/>
    <w:p>
      <w:pPr>
        <w:pStyle w:val="Heading3"/>
      </w:pPr>
      <w:r>
        <w:t xml:space="preserve">MS SQL Server Settings</w:t>
      </w:r>
    </w:p>
    <w:p>
      <w:pPr>
        <w:pStyle w:val="SourceCode"/>
      </w:pPr>
      <w:r>
        <w:rPr>
          <w:rStyle w:val="KeywordTok"/>
        </w:rPr>
        <w:t xml:space="preserve">[g3db]</w:t>
      </w:r>
      <w:r>
        <w:br/>
      </w:r>
      <w:r>
        <w:rPr>
          <w:rStyle w:val="DataTypeTok"/>
        </w:rPr>
        <w:t xml:space="preserve">mssql_host</w:t>
      </w:r>
      <w:r>
        <w:rPr>
          <w:rStyle w:val="NormalTok"/>
        </w:rPr>
        <w:t xml:space="preserve"> </w:t>
      </w:r>
      <w:r>
        <w:rPr>
          <w:rStyle w:val="OperatorTok"/>
        </w:rPr>
        <w:t xml:space="preserve">=</w:t>
      </w:r>
      <w:r>
        <w:rPr>
          <w:rStyle w:val="NormalTok"/>
        </w:rPr>
        <w:t xml:space="preserve"> </w:t>
      </w:r>
      <w:r>
        <w:rPr>
          <w:rStyle w:val="StringTok"/>
        </w:rPr>
        <w:t xml:space="preserve">"localhost"</w:t>
      </w:r>
      <w:r>
        <w:br/>
      </w:r>
      <w:r>
        <w:rPr>
          <w:rStyle w:val="DataTypeTok"/>
        </w:rPr>
        <w:t xml:space="preserve">mssql_port</w:t>
      </w:r>
      <w:r>
        <w:rPr>
          <w:rStyle w:val="NormalTok"/>
        </w:rPr>
        <w:t xml:space="preserve"> </w:t>
      </w:r>
      <w:r>
        <w:rPr>
          <w:rStyle w:val="OperatorTok"/>
        </w:rPr>
        <w:t xml:space="preserve">=</w:t>
      </w:r>
      <w:r>
        <w:rPr>
          <w:rStyle w:val="NormalTok"/>
        </w:rPr>
        <w:t xml:space="preserve"> </w:t>
      </w:r>
      <w:r>
        <w:rPr>
          <w:rStyle w:val="DecValTok"/>
        </w:rPr>
        <w:t xml:space="preserve">1433</w:t>
      </w:r>
      <w:r>
        <w:br/>
      </w:r>
      <w:r>
        <w:rPr>
          <w:rStyle w:val="DataTypeTok"/>
        </w:rPr>
        <w:t xml:space="preserve">mssql_user</w:t>
      </w:r>
      <w:r>
        <w:rPr>
          <w:rStyle w:val="NormalTok"/>
        </w:rPr>
        <w:t xml:space="preserve"> </w:t>
      </w:r>
      <w:r>
        <w:rPr>
          <w:rStyle w:val="OperatorTok"/>
        </w:rPr>
        <w:t xml:space="preserve">=</w:t>
      </w:r>
      <w:r>
        <w:rPr>
          <w:rStyle w:val="NormalTok"/>
        </w:rPr>
        <w:t xml:space="preserve"> </w:t>
      </w:r>
      <w:r>
        <w:rPr>
          <w:rStyle w:val="StringTok"/>
        </w:rPr>
        <w:t xml:space="preserve">"sa"</w:t>
      </w:r>
      <w:r>
        <w:br/>
      </w:r>
      <w:r>
        <w:rPr>
          <w:rStyle w:val="DataTypeTok"/>
        </w:rPr>
        <w:t xml:space="preserve">mssql_pass</w:t>
      </w:r>
      <w:r>
        <w:rPr>
          <w:rStyle w:val="NormalTok"/>
        </w:rPr>
        <w:t xml:space="preserve"> </w:t>
      </w:r>
      <w:r>
        <w:rPr>
          <w:rStyle w:val="OperatorTok"/>
        </w:rPr>
        <w:t xml:space="preserve">=</w:t>
      </w:r>
      <w:r>
        <w:rPr>
          <w:rStyle w:val="NormalTok"/>
        </w:rPr>
        <w:t xml:space="preserve"> </w:t>
      </w:r>
      <w:r>
        <w:rPr>
          <w:rStyle w:val="StringTok"/>
        </w:rPr>
        <w:t xml:space="preserve">"password"</w:t>
      </w:r>
      <w:r>
        <w:br/>
      </w:r>
      <w:r>
        <w:rPr>
          <w:rStyle w:val="DataTypeTok"/>
        </w:rPr>
        <w:t xml:space="preserve">mssql_database</w:t>
      </w:r>
      <w:r>
        <w:rPr>
          <w:rStyle w:val="NormalTok"/>
        </w:rPr>
        <w:t xml:space="preserve"> </w:t>
      </w:r>
      <w:r>
        <w:rPr>
          <w:rStyle w:val="OperatorTok"/>
        </w:rPr>
        <w:t xml:space="preserve">=</w:t>
      </w:r>
      <w:r>
        <w:rPr>
          <w:rStyle w:val="NormalTok"/>
        </w:rPr>
        <w:t xml:space="preserve"> </w:t>
      </w:r>
      <w:r>
        <w:rPr>
          <w:rStyle w:val="StringTok"/>
        </w:rPr>
        <w:t xml:space="preserve">"test"</w:t>
      </w:r>
    </w:p>
    <w:p>
      <w:pPr>
        <w:pStyle w:val="FirstParagraph"/>
      </w:pPr>
      <w:r>
        <w:rPr>
          <w:b/>
          <w:bCs/>
        </w:rPr>
        <w:t xml:space="preserve">Environment Variables:</w:t>
      </w:r>
      <w:r>
        <w:t xml:space="preserve"> </w:t>
      </w:r>
      <w:r>
        <w:t xml:space="preserve">-</w:t>
      </w:r>
      <w:r>
        <w:t xml:space="preserve"> </w:t>
      </w:r>
      <w:r>
        <w:rPr>
          <w:rStyle w:val="VerbatimChar"/>
        </w:rPr>
        <w:t xml:space="preserve">MSSQL_HOST</w:t>
      </w:r>
      <w:r>
        <w:t xml:space="preserve"> </w:t>
      </w:r>
      <w:r>
        <w:t xml:space="preserve">-</w:t>
      </w:r>
      <w:r>
        <w:t xml:space="preserve"> </w:t>
      </w:r>
      <w:r>
        <w:rPr>
          <w:rStyle w:val="VerbatimChar"/>
        </w:rPr>
        <w:t xml:space="preserve">MSSQL_PORT</w:t>
      </w:r>
      <w:r>
        <w:t xml:space="preserve"> </w:t>
      </w:r>
      <w:r>
        <w:t xml:space="preserve">-</w:t>
      </w:r>
      <w:r>
        <w:t xml:space="preserve"> </w:t>
      </w:r>
      <w:r>
        <w:rPr>
          <w:rStyle w:val="VerbatimChar"/>
        </w:rPr>
        <w:t xml:space="preserve">MSSQL_USER</w:t>
      </w:r>
      <w:r>
        <w:t xml:space="preserve"> </w:t>
      </w:r>
      <w:r>
        <w:t xml:space="preserve">-</w:t>
      </w:r>
      <w:r>
        <w:t xml:space="preserve"> </w:t>
      </w:r>
      <w:r>
        <w:rPr>
          <w:rStyle w:val="VerbatimChar"/>
        </w:rPr>
        <w:t xml:space="preserve">MSSQL_PASS</w:t>
      </w:r>
      <w:r>
        <w:t xml:space="preserve"> </w:t>
      </w:r>
      <w:r>
        <w:t xml:space="preserve">-</w:t>
      </w:r>
      <w:r>
        <w:t xml:space="preserve"> </w:t>
      </w:r>
      <w:r>
        <w:rPr>
          <w:rStyle w:val="VerbatimChar"/>
        </w:rPr>
        <w:t xml:space="preserve">MSSQL_DATABASE</w:t>
      </w:r>
    </w:p>
    <w:bookmarkEnd w:id="399"/>
    <w:bookmarkStart w:id="400" w:name="sqlite-settings"/>
    <w:p>
      <w:pPr>
        <w:pStyle w:val="Heading3"/>
      </w:pPr>
      <w:r>
        <w:t xml:space="preserve">SQLite Settings</w:t>
      </w:r>
    </w:p>
    <w:p>
      <w:pPr>
        <w:pStyle w:val="SourceCode"/>
      </w:pPr>
      <w:r>
        <w:rPr>
          <w:rStyle w:val="KeywordTok"/>
        </w:rPr>
        <w:t xml:space="preserve">[g3db]</w:t>
      </w:r>
      <w:r>
        <w:br/>
      </w:r>
      <w:r>
        <w:rPr>
          <w:rStyle w:val="DataTypeTok"/>
        </w:rPr>
        <w:t xml:space="preserve">sqlite_path</w:t>
      </w:r>
      <w:r>
        <w:rPr>
          <w:rStyle w:val="NormalTok"/>
        </w:rPr>
        <w:t xml:space="preserve"> </w:t>
      </w:r>
      <w:r>
        <w:rPr>
          <w:rStyle w:val="OperatorTok"/>
        </w:rPr>
        <w:t xml:space="preserve">=</w:t>
      </w:r>
      <w:r>
        <w:rPr>
          <w:rStyle w:val="NormalTok"/>
        </w:rPr>
        <w:t xml:space="preserve"> </w:t>
      </w:r>
      <w:r>
        <w:rPr>
          <w:rStyle w:val="StringTok"/>
        </w:rPr>
        <w:t xml:space="preserve">"./database.db"</w:t>
      </w:r>
      <w:r>
        <w:br/>
      </w:r>
      <w:r>
        <w:rPr>
          <w:rStyle w:val="DataTypeTok"/>
        </w:rPr>
        <w:t xml:space="preserve">sqlite_busy_timeout</w:t>
      </w:r>
      <w:r>
        <w:rPr>
          <w:rStyle w:val="NormalTok"/>
        </w:rPr>
        <w:t xml:space="preserve"> </w:t>
      </w:r>
      <w:r>
        <w:rPr>
          <w:rStyle w:val="OperatorTok"/>
        </w:rPr>
        <w:t xml:space="preserve">=</w:t>
      </w:r>
      <w:r>
        <w:rPr>
          <w:rStyle w:val="NormalTok"/>
        </w:rPr>
        <w:t xml:space="preserve"> </w:t>
      </w:r>
      <w:r>
        <w:rPr>
          <w:rStyle w:val="DecValTok"/>
        </w:rPr>
        <w:t xml:space="preserve">5000</w:t>
      </w:r>
    </w:p>
    <w:p>
      <w:pPr>
        <w:pStyle w:val="FirstParagraph"/>
      </w:pPr>
      <w:r>
        <w:rPr>
          <w:b/>
          <w:bCs/>
        </w:rPr>
        <w:t xml:space="preserve">Environment Variables:</w:t>
      </w:r>
      <w:r>
        <w:t xml:space="preserve"> </w:t>
      </w:r>
      <w:r>
        <w:t xml:space="preserve">-</w:t>
      </w:r>
      <w:r>
        <w:t xml:space="preserve"> </w:t>
      </w:r>
      <w:r>
        <w:rPr>
          <w:rStyle w:val="VerbatimChar"/>
        </w:rPr>
        <w:t xml:space="preserve">SQLITE_PATH</w:t>
      </w:r>
      <w:r>
        <w:t xml:space="preserve"> </w:t>
      </w:r>
      <w:r>
        <w:t xml:space="preserve">-</w:t>
      </w:r>
      <w:r>
        <w:t xml:space="preserve"> </w:t>
      </w:r>
      <w:r>
        <w:rPr>
          <w:rStyle w:val="VerbatimChar"/>
        </w:rPr>
        <w:t xml:space="preserve">SQLITE_BUSY_TIMEOUT</w:t>
      </w:r>
      <w:r>
        <w:t xml:space="preserve"> </w:t>
      </w:r>
      <w:r>
        <w:t xml:space="preserve">(milliseconds)</w:t>
      </w:r>
    </w:p>
    <w:bookmarkEnd w:id="400"/>
    <w:bookmarkStart w:id="401" w:name="oracle-settings"/>
    <w:p>
      <w:pPr>
        <w:pStyle w:val="Heading3"/>
      </w:pPr>
      <w:r>
        <w:t xml:space="preserve">Oracle Settings</w:t>
      </w:r>
    </w:p>
    <w:p>
      <w:pPr>
        <w:pStyle w:val="SourceCode"/>
      </w:pPr>
      <w:r>
        <w:rPr>
          <w:rStyle w:val="KeywordTok"/>
        </w:rPr>
        <w:t xml:space="preserve">[g3db]</w:t>
      </w:r>
      <w:r>
        <w:br/>
      </w:r>
      <w:r>
        <w:rPr>
          <w:rStyle w:val="CommentTok"/>
        </w:rPr>
        <w:t xml:space="preserve"># Option 1: Full DSN (takes precedence)</w:t>
      </w:r>
      <w:r>
        <w:br/>
      </w:r>
      <w:r>
        <w:rPr>
          <w:rStyle w:val="DataTypeTok"/>
        </w:rPr>
        <w:t xml:space="preserve">oracle_dsn</w:t>
      </w:r>
      <w:r>
        <w:rPr>
          <w:rStyle w:val="NormalTok"/>
        </w:rPr>
        <w:t xml:space="preserve"> </w:t>
      </w:r>
      <w:r>
        <w:rPr>
          <w:rStyle w:val="OperatorTok"/>
        </w:rPr>
        <w:t xml:space="preserve">=</w:t>
      </w:r>
      <w:r>
        <w:rPr>
          <w:rStyle w:val="NormalTok"/>
        </w:rPr>
        <w:t xml:space="preserve"> </w:t>
      </w:r>
      <w:r>
        <w:rPr>
          <w:rStyle w:val="StringTok"/>
        </w:rPr>
        <w:t xml:space="preserve">"oracle://user:password@localhost:1521/ORCLCDB"</w:t>
      </w:r>
      <w:r>
        <w:br/>
      </w:r>
      <w:r>
        <w:br/>
      </w:r>
      <w:r>
        <w:rPr>
          <w:rStyle w:val="CommentTok"/>
        </w:rPr>
        <w:t xml:space="preserve"># Option 2: Individual settings</w:t>
      </w:r>
      <w:r>
        <w:br/>
      </w:r>
      <w:r>
        <w:rPr>
          <w:rStyle w:val="DataTypeTok"/>
        </w:rPr>
        <w:t xml:space="preserve">oracle_host</w:t>
      </w:r>
      <w:r>
        <w:rPr>
          <w:rStyle w:val="NormalTok"/>
        </w:rPr>
        <w:t xml:space="preserve"> </w:t>
      </w:r>
      <w:r>
        <w:rPr>
          <w:rStyle w:val="OperatorTok"/>
        </w:rPr>
        <w:t xml:space="preserve">=</w:t>
      </w:r>
      <w:r>
        <w:rPr>
          <w:rStyle w:val="NormalTok"/>
        </w:rPr>
        <w:t xml:space="preserve"> </w:t>
      </w:r>
      <w:r>
        <w:rPr>
          <w:rStyle w:val="StringTok"/>
        </w:rPr>
        <w:t xml:space="preserve">"localhost"</w:t>
      </w:r>
      <w:r>
        <w:br/>
      </w:r>
      <w:r>
        <w:rPr>
          <w:rStyle w:val="DataTypeTok"/>
        </w:rPr>
        <w:t xml:space="preserve">oracle_port</w:t>
      </w:r>
      <w:r>
        <w:rPr>
          <w:rStyle w:val="NormalTok"/>
        </w:rPr>
        <w:t xml:space="preserve"> </w:t>
      </w:r>
      <w:r>
        <w:rPr>
          <w:rStyle w:val="OperatorTok"/>
        </w:rPr>
        <w:t xml:space="preserve">=</w:t>
      </w:r>
      <w:r>
        <w:rPr>
          <w:rStyle w:val="NormalTok"/>
        </w:rPr>
        <w:t xml:space="preserve"> </w:t>
      </w:r>
      <w:r>
        <w:rPr>
          <w:rStyle w:val="DecValTok"/>
        </w:rPr>
        <w:t xml:space="preserve">1521</w:t>
      </w:r>
      <w:r>
        <w:br/>
      </w:r>
      <w:r>
        <w:rPr>
          <w:rStyle w:val="DataTypeTok"/>
        </w:rPr>
        <w:t xml:space="preserve">oracle_user</w:t>
      </w:r>
      <w:r>
        <w:rPr>
          <w:rStyle w:val="NormalTok"/>
        </w:rPr>
        <w:t xml:space="preserve"> </w:t>
      </w:r>
      <w:r>
        <w:rPr>
          <w:rStyle w:val="OperatorTok"/>
        </w:rPr>
        <w:t xml:space="preserve">=</w:t>
      </w:r>
      <w:r>
        <w:rPr>
          <w:rStyle w:val="NormalTok"/>
        </w:rPr>
        <w:t xml:space="preserve"> </w:t>
      </w:r>
      <w:r>
        <w:rPr>
          <w:rStyle w:val="StringTok"/>
        </w:rPr>
        <w:t xml:space="preserve">"system"</w:t>
      </w:r>
      <w:r>
        <w:br/>
      </w:r>
      <w:r>
        <w:rPr>
          <w:rStyle w:val="DataTypeTok"/>
        </w:rPr>
        <w:t xml:space="preserve">oracle_pass</w:t>
      </w:r>
      <w:r>
        <w:rPr>
          <w:rStyle w:val="NormalTok"/>
        </w:rPr>
        <w:t xml:space="preserve"> </w:t>
      </w:r>
      <w:r>
        <w:rPr>
          <w:rStyle w:val="OperatorTok"/>
        </w:rPr>
        <w:t xml:space="preserve">=</w:t>
      </w:r>
      <w:r>
        <w:rPr>
          <w:rStyle w:val="NormalTok"/>
        </w:rPr>
        <w:t xml:space="preserve"> </w:t>
      </w:r>
      <w:r>
        <w:rPr>
          <w:rStyle w:val="StringTok"/>
        </w:rPr>
        <w:t xml:space="preserve">"password"</w:t>
      </w:r>
      <w:r>
        <w:br/>
      </w:r>
      <w:r>
        <w:rPr>
          <w:rStyle w:val="DataTypeTok"/>
        </w:rPr>
        <w:t xml:space="preserve">oracle_service</w:t>
      </w:r>
      <w:r>
        <w:rPr>
          <w:rStyle w:val="NormalTok"/>
        </w:rPr>
        <w:t xml:space="preserve"> </w:t>
      </w:r>
      <w:r>
        <w:rPr>
          <w:rStyle w:val="OperatorTok"/>
        </w:rPr>
        <w:t xml:space="preserve">=</w:t>
      </w:r>
      <w:r>
        <w:rPr>
          <w:rStyle w:val="NormalTok"/>
        </w:rPr>
        <w:t xml:space="preserve"> </w:t>
      </w:r>
      <w:r>
        <w:rPr>
          <w:rStyle w:val="StringTok"/>
        </w:rPr>
        <w:t xml:space="preserve">"ORCLCDB"</w:t>
      </w:r>
    </w:p>
    <w:p>
      <w:pPr>
        <w:pStyle w:val="FirstParagraph"/>
      </w:pPr>
      <w:r>
        <w:rPr>
          <w:b/>
          <w:bCs/>
        </w:rPr>
        <w:t xml:space="preserve">Environment Variables:</w:t>
      </w:r>
      <w:r>
        <w:t xml:space="preserve"> </w:t>
      </w:r>
      <w:r>
        <w:t xml:space="preserve">-</w:t>
      </w:r>
      <w:r>
        <w:t xml:space="preserve"> </w:t>
      </w:r>
      <w:r>
        <w:rPr>
          <w:rStyle w:val="VerbatimChar"/>
        </w:rPr>
        <w:t xml:space="preserve">ORACLE_DSN</w:t>
      </w:r>
      <w:r>
        <w:t xml:space="preserve"> </w:t>
      </w:r>
      <w:r>
        <w:t xml:space="preserve">-</w:t>
      </w:r>
      <w:r>
        <w:t xml:space="preserve"> </w:t>
      </w:r>
      <w:r>
        <w:rPr>
          <w:rStyle w:val="VerbatimChar"/>
        </w:rPr>
        <w:t xml:space="preserve">ORACLE_HOST</w:t>
      </w:r>
      <w:r>
        <w:t xml:space="preserve"> </w:t>
      </w:r>
      <w:r>
        <w:t xml:space="preserve">-</w:t>
      </w:r>
      <w:r>
        <w:t xml:space="preserve"> </w:t>
      </w:r>
      <w:r>
        <w:rPr>
          <w:rStyle w:val="VerbatimChar"/>
        </w:rPr>
        <w:t xml:space="preserve">ORACLE_PORT</w:t>
      </w:r>
      <w:r>
        <w:t xml:space="preserve"> </w:t>
      </w:r>
      <w:r>
        <w:t xml:space="preserve">-</w:t>
      </w:r>
      <w:r>
        <w:t xml:space="preserve"> </w:t>
      </w:r>
      <w:r>
        <w:rPr>
          <w:rStyle w:val="VerbatimChar"/>
        </w:rPr>
        <w:t xml:space="preserve">ORACLE_USER</w:t>
      </w:r>
      <w:r>
        <w:t xml:space="preserve"> </w:t>
      </w:r>
      <w:r>
        <w:t xml:space="preserve">-</w:t>
      </w:r>
      <w:r>
        <w:t xml:space="preserve"> </w:t>
      </w:r>
      <w:r>
        <w:rPr>
          <w:rStyle w:val="VerbatimChar"/>
        </w:rPr>
        <w:t xml:space="preserve">ORACLE_PASS</w:t>
      </w:r>
      <w:r>
        <w:t xml:space="preserve"> </w:t>
      </w:r>
      <w:r>
        <w:t xml:space="preserve">-</w:t>
      </w:r>
      <w:r>
        <w:t xml:space="preserve"> </w:t>
      </w:r>
      <w:r>
        <w:rPr>
          <w:rStyle w:val="VerbatimChar"/>
        </w:rPr>
        <w:t xml:space="preserve">ORACLE_SERVICE</w:t>
      </w:r>
    </w:p>
    <w:p>
      <w:r>
        <w:pict>
          <v:rect style="width:0;height:1.5pt" o:hralign="center" o:hrstd="t" o:hr="t"/>
        </w:pict>
      </w:r>
    </w:p>
    <w:bookmarkEnd w:id="401"/>
    <w:bookmarkEnd w:id="402"/>
    <w:bookmarkStart w:id="404" w:name="mail-configuration-g3mail"/>
    <w:p>
      <w:pPr>
        <w:pStyle w:val="Heading2"/>
      </w:pPr>
      <w:r>
        <w:t xml:space="preserve">Mail Configuration</w:t>
      </w:r>
      <w:r>
        <w:t xml:space="preserve"> </w:t>
      </w:r>
      <w:r>
        <w:rPr>
          <w:rStyle w:val="VerbatimChar"/>
        </w:rPr>
        <w:t xml:space="preserve">[g3mail]</w:t>
      </w:r>
    </w:p>
    <w:p>
      <w:pPr>
        <w:pStyle w:val="FirstParagraph"/>
      </w:pPr>
      <w:r>
        <w:t xml:space="preserve">Configuration for G3Mail library (email sending).</w:t>
      </w:r>
    </w:p>
    <w:bookmarkStart w:id="403" w:name="g3mail-settings"/>
    <w:p>
      <w:pPr>
        <w:pStyle w:val="Heading3"/>
      </w:pPr>
      <w:r>
        <w:t xml:space="preserve">g3mail Settings</w:t>
      </w:r>
    </w:p>
    <w:p>
      <w:pPr>
        <w:pStyle w:val="SourceCode"/>
      </w:pPr>
      <w:r>
        <w:rPr>
          <w:rStyle w:val="KeywordTok"/>
        </w:rPr>
        <w:t xml:space="preserve">[g3mail]</w:t>
      </w:r>
      <w:r>
        <w:br/>
      </w:r>
      <w:r>
        <w:rPr>
          <w:rStyle w:val="DataTypeTok"/>
        </w:rPr>
        <w:t xml:space="preserve">smtp_host</w:t>
      </w:r>
      <w:r>
        <w:rPr>
          <w:rStyle w:val="NormalTok"/>
        </w:rPr>
        <w:t xml:space="preserve"> </w:t>
      </w:r>
      <w:r>
        <w:rPr>
          <w:rStyle w:val="OperatorTok"/>
        </w:rPr>
        <w:t xml:space="preserve">=</w:t>
      </w:r>
      <w:r>
        <w:rPr>
          <w:rStyle w:val="NormalTok"/>
        </w:rPr>
        <w:t xml:space="preserve"> </w:t>
      </w:r>
      <w:r>
        <w:rPr>
          <w:rStyle w:val="StringTok"/>
        </w:rPr>
        <w:t xml:space="preserve">"smtp.gmail.com"</w:t>
      </w:r>
      <w:r>
        <w:br/>
      </w:r>
      <w:r>
        <w:rPr>
          <w:rStyle w:val="DataTypeTok"/>
        </w:rPr>
        <w:t xml:space="preserve">smtp_port</w:t>
      </w:r>
      <w:r>
        <w:rPr>
          <w:rStyle w:val="NormalTok"/>
        </w:rPr>
        <w:t xml:space="preserve"> </w:t>
      </w:r>
      <w:r>
        <w:rPr>
          <w:rStyle w:val="OperatorTok"/>
        </w:rPr>
        <w:t xml:space="preserve">=</w:t>
      </w:r>
      <w:r>
        <w:rPr>
          <w:rStyle w:val="NormalTok"/>
        </w:rPr>
        <w:t xml:space="preserve"> </w:t>
      </w:r>
      <w:r>
        <w:rPr>
          <w:rStyle w:val="DecValTok"/>
        </w:rPr>
        <w:t xml:space="preserve">587</w:t>
      </w:r>
      <w:r>
        <w:br/>
      </w:r>
      <w:r>
        <w:rPr>
          <w:rStyle w:val="DataTypeTok"/>
        </w:rPr>
        <w:t xml:space="preserve">smtp_user</w:t>
      </w:r>
      <w:r>
        <w:rPr>
          <w:rStyle w:val="NormalTok"/>
        </w:rPr>
        <w:t xml:space="preserve"> </w:t>
      </w:r>
      <w:r>
        <w:rPr>
          <w:rStyle w:val="OperatorTok"/>
        </w:rPr>
        <w:t xml:space="preserve">=</w:t>
      </w:r>
      <w:r>
        <w:rPr>
          <w:rStyle w:val="NormalTok"/>
        </w:rPr>
        <w:t xml:space="preserve"> </w:t>
      </w:r>
      <w:r>
        <w:rPr>
          <w:rStyle w:val="StringTok"/>
        </w:rPr>
        <w:t xml:space="preserve">"your_email@gmail.com"</w:t>
      </w:r>
      <w:r>
        <w:br/>
      </w:r>
      <w:r>
        <w:rPr>
          <w:rStyle w:val="DataTypeTok"/>
        </w:rPr>
        <w:t xml:space="preserve">smtp_pass</w:t>
      </w:r>
      <w:r>
        <w:rPr>
          <w:rStyle w:val="NormalTok"/>
        </w:rPr>
        <w:t xml:space="preserve"> </w:t>
      </w:r>
      <w:r>
        <w:rPr>
          <w:rStyle w:val="OperatorTok"/>
        </w:rPr>
        <w:t xml:space="preserve">=</w:t>
      </w:r>
      <w:r>
        <w:rPr>
          <w:rStyle w:val="NormalTok"/>
        </w:rPr>
        <w:t xml:space="preserve"> </w:t>
      </w:r>
      <w:r>
        <w:rPr>
          <w:rStyle w:val="StringTok"/>
        </w:rPr>
        <w:t xml:space="preserve">"your_app_password"</w:t>
      </w:r>
      <w:r>
        <w:br/>
      </w:r>
      <w:r>
        <w:rPr>
          <w:rStyle w:val="DataTypeTok"/>
        </w:rPr>
        <w:t xml:space="preserve">smtp_from</w:t>
      </w:r>
      <w:r>
        <w:rPr>
          <w:rStyle w:val="NormalTok"/>
        </w:rPr>
        <w:t xml:space="preserve"> </w:t>
      </w:r>
      <w:r>
        <w:rPr>
          <w:rStyle w:val="OperatorTok"/>
        </w:rPr>
        <w:t xml:space="preserve">=</w:t>
      </w:r>
      <w:r>
        <w:rPr>
          <w:rStyle w:val="NormalTok"/>
        </w:rPr>
        <w:t xml:space="preserve"> </w:t>
      </w:r>
      <w:r>
        <w:rPr>
          <w:rStyle w:val="StringTok"/>
        </w:rPr>
        <w:t xml:space="preserve">"sender@example.com"</w:t>
      </w:r>
    </w:p>
    <w:p>
      <w:pPr>
        <w:pStyle w:val="FirstParagraph"/>
      </w:pPr>
      <w:r>
        <w:rPr>
          <w:b/>
          <w:bCs/>
        </w:rPr>
        <w:t xml:space="preserve">Environment Variables:</w:t>
      </w:r>
      <w:r>
        <w:t xml:space="preserve"> </w:t>
      </w:r>
      <w:r>
        <w:t xml:space="preserve">-</w:t>
      </w:r>
      <w:r>
        <w:t xml:space="preserve"> </w:t>
      </w:r>
      <w:r>
        <w:rPr>
          <w:rStyle w:val="VerbatimChar"/>
        </w:rPr>
        <w:t xml:space="preserve">SMTP_HOST</w:t>
      </w:r>
      <w:r>
        <w:t xml:space="preserve"> </w:t>
      </w:r>
      <w:r>
        <w:t xml:space="preserve">-</w:t>
      </w:r>
      <w:r>
        <w:t xml:space="preserve"> </w:t>
      </w:r>
      <w:r>
        <w:rPr>
          <w:rStyle w:val="VerbatimChar"/>
        </w:rPr>
        <w:t xml:space="preserve">SMTP_PORT</w:t>
      </w:r>
      <w:r>
        <w:t xml:space="preserve"> </w:t>
      </w:r>
      <w:r>
        <w:t xml:space="preserve">-</w:t>
      </w:r>
      <w:r>
        <w:t xml:space="preserve"> </w:t>
      </w:r>
      <w:r>
        <w:rPr>
          <w:rStyle w:val="VerbatimChar"/>
        </w:rPr>
        <w:t xml:space="preserve">SMTP_USER</w:t>
      </w:r>
      <w:r>
        <w:t xml:space="preserve"> </w:t>
      </w:r>
      <w:r>
        <w:t xml:space="preserve">-</w:t>
      </w:r>
      <w:r>
        <w:t xml:space="preserve"> </w:t>
      </w:r>
      <w:r>
        <w:rPr>
          <w:rStyle w:val="VerbatimChar"/>
        </w:rPr>
        <w:t xml:space="preserve">SMTP_PASS</w:t>
      </w:r>
      <w:r>
        <w:t xml:space="preserve"> </w:t>
      </w:r>
      <w:r>
        <w:t xml:space="preserve">-</w:t>
      </w:r>
      <w:r>
        <w:t xml:space="preserve"> </w:t>
      </w:r>
      <w:r>
        <w:rPr>
          <w:rStyle w:val="VerbatimChar"/>
        </w:rPr>
        <w:t xml:space="preserve">SMTP_FROM</w:t>
      </w:r>
    </w:p>
    <w:p>
      <w:pPr>
        <w:pStyle w:val="BodyText"/>
      </w:pPr>
      <w:r>
        <w:rPr>
          <w:b/>
          <w:bCs/>
        </w:rPr>
        <w:t xml:space="preserve">Gmail Configuration Example:</w:t>
      </w:r>
    </w:p>
    <w:p>
      <w:pPr>
        <w:pStyle w:val="SourceCode"/>
      </w:pPr>
      <w:r>
        <w:rPr>
          <w:rStyle w:val="KeywordTok"/>
        </w:rPr>
        <w:t xml:space="preserve">[g3mail]</w:t>
      </w:r>
      <w:r>
        <w:br/>
      </w:r>
      <w:r>
        <w:rPr>
          <w:rStyle w:val="DataTypeTok"/>
        </w:rPr>
        <w:t xml:space="preserve">smtp_host</w:t>
      </w:r>
      <w:r>
        <w:rPr>
          <w:rStyle w:val="NormalTok"/>
        </w:rPr>
        <w:t xml:space="preserve"> </w:t>
      </w:r>
      <w:r>
        <w:rPr>
          <w:rStyle w:val="OperatorTok"/>
        </w:rPr>
        <w:t xml:space="preserve">=</w:t>
      </w:r>
      <w:r>
        <w:rPr>
          <w:rStyle w:val="NormalTok"/>
        </w:rPr>
        <w:t xml:space="preserve"> </w:t>
      </w:r>
      <w:r>
        <w:rPr>
          <w:rStyle w:val="StringTok"/>
        </w:rPr>
        <w:t xml:space="preserve">"smtp.gmail.com"</w:t>
      </w:r>
      <w:r>
        <w:br/>
      </w:r>
      <w:r>
        <w:rPr>
          <w:rStyle w:val="DataTypeTok"/>
        </w:rPr>
        <w:t xml:space="preserve">smtp_port</w:t>
      </w:r>
      <w:r>
        <w:rPr>
          <w:rStyle w:val="NormalTok"/>
        </w:rPr>
        <w:t xml:space="preserve"> </w:t>
      </w:r>
      <w:r>
        <w:rPr>
          <w:rStyle w:val="OperatorTok"/>
        </w:rPr>
        <w:t xml:space="preserve">=</w:t>
      </w:r>
      <w:r>
        <w:rPr>
          <w:rStyle w:val="NormalTok"/>
        </w:rPr>
        <w:t xml:space="preserve"> </w:t>
      </w:r>
      <w:r>
        <w:rPr>
          <w:rStyle w:val="DecValTok"/>
        </w:rPr>
        <w:t xml:space="preserve">587</w:t>
      </w:r>
      <w:r>
        <w:rPr>
          <w:rStyle w:val="NormalTok"/>
        </w:rPr>
        <w:t xml:space="preserve">  </w:t>
      </w:r>
      <w:r>
        <w:rPr>
          <w:rStyle w:val="CommentTok"/>
        </w:rPr>
        <w:t xml:space="preserve"># Or 465 for TLS</w:t>
      </w:r>
      <w:r>
        <w:br/>
      </w:r>
      <w:r>
        <w:rPr>
          <w:rStyle w:val="DataTypeTok"/>
        </w:rPr>
        <w:t xml:space="preserve">smtp_user</w:t>
      </w:r>
      <w:r>
        <w:rPr>
          <w:rStyle w:val="NormalTok"/>
        </w:rPr>
        <w:t xml:space="preserve"> </w:t>
      </w:r>
      <w:r>
        <w:rPr>
          <w:rStyle w:val="OperatorTok"/>
        </w:rPr>
        <w:t xml:space="preserve">=</w:t>
      </w:r>
      <w:r>
        <w:rPr>
          <w:rStyle w:val="NormalTok"/>
        </w:rPr>
        <w:t xml:space="preserve"> </w:t>
      </w:r>
      <w:r>
        <w:rPr>
          <w:rStyle w:val="StringTok"/>
        </w:rPr>
        <w:t xml:space="preserve">"your-email@gmail.com"</w:t>
      </w:r>
      <w:r>
        <w:br/>
      </w:r>
      <w:r>
        <w:rPr>
          <w:rStyle w:val="DataTypeTok"/>
        </w:rPr>
        <w:t xml:space="preserve">smtp_pass</w:t>
      </w:r>
      <w:r>
        <w:rPr>
          <w:rStyle w:val="NormalTok"/>
        </w:rPr>
        <w:t xml:space="preserve"> </w:t>
      </w:r>
      <w:r>
        <w:rPr>
          <w:rStyle w:val="OperatorTok"/>
        </w:rPr>
        <w:t xml:space="preserve">=</w:t>
      </w:r>
      <w:r>
        <w:rPr>
          <w:rStyle w:val="NormalTok"/>
        </w:rPr>
        <w:t xml:space="preserve"> </w:t>
      </w:r>
      <w:r>
        <w:rPr>
          <w:rStyle w:val="StringTok"/>
        </w:rPr>
        <w:t xml:space="preserve">"your-app-specific-password"</w:t>
      </w:r>
      <w:r>
        <w:rPr>
          <w:rStyle w:val="NormalTok"/>
        </w:rPr>
        <w:t xml:space="preserve">  </w:t>
      </w:r>
      <w:r>
        <w:rPr>
          <w:rStyle w:val="CommentTok"/>
        </w:rPr>
        <w:t xml:space="preserve"># Not your account password!</w:t>
      </w:r>
      <w:r>
        <w:br/>
      </w:r>
      <w:r>
        <w:rPr>
          <w:rStyle w:val="DataTypeTok"/>
        </w:rPr>
        <w:t xml:space="preserve">smtp_from</w:t>
      </w:r>
      <w:r>
        <w:rPr>
          <w:rStyle w:val="NormalTok"/>
        </w:rPr>
        <w:t xml:space="preserve"> </w:t>
      </w:r>
      <w:r>
        <w:rPr>
          <w:rStyle w:val="OperatorTok"/>
        </w:rPr>
        <w:t xml:space="preserve">=</w:t>
      </w:r>
      <w:r>
        <w:rPr>
          <w:rStyle w:val="NormalTok"/>
        </w:rPr>
        <w:t xml:space="preserve"> </w:t>
      </w:r>
      <w:r>
        <w:rPr>
          <w:rStyle w:val="StringTok"/>
        </w:rPr>
        <w:t xml:space="preserve">"noreply@example.com"</w:t>
      </w:r>
    </w:p>
    <w:p>
      <w:pPr>
        <w:pStyle w:val="FirstParagraph"/>
      </w:pPr>
      <w:r>
        <w:t xml:space="preserve">⚠️ Security: Use environment variables or</w:t>
      </w:r>
      <w:r>
        <w:t xml:space="preserve"> </w:t>
      </w:r>
      <w:r>
        <w:rPr>
          <w:rStyle w:val="VerbatimChar"/>
        </w:rPr>
        <w:t xml:space="preserve">.env</w:t>
      </w:r>
      <w:r>
        <w:t xml:space="preserve"> </w:t>
      </w:r>
      <w:r>
        <w:t xml:space="preserve">file for credentials, not hardcoded values.</w:t>
      </w:r>
    </w:p>
    <w:p>
      <w:r>
        <w:pict>
          <v:rect style="width:0;height:1.5pt" o:hralign="center" o:hrstd="t" o:hr="t"/>
        </w:pict>
      </w:r>
    </w:p>
    <w:bookmarkEnd w:id="403"/>
    <w:bookmarkEnd w:id="404"/>
    <w:bookmarkStart w:id="409" w:name="axonasp-functions-settings-axfunctions"/>
    <w:p>
      <w:pPr>
        <w:pStyle w:val="Heading2"/>
      </w:pPr>
      <w:r>
        <w:t xml:space="preserve">AxonASP Functions Settings</w:t>
      </w:r>
      <w:r>
        <w:t xml:space="preserve"> </w:t>
      </w:r>
      <w:r>
        <w:rPr>
          <w:rStyle w:val="VerbatimChar"/>
        </w:rPr>
        <w:t xml:space="preserve">[axfunctions]</w:t>
      </w:r>
    </w:p>
    <w:p>
      <w:pPr>
        <w:pStyle w:val="FirstParagraph"/>
      </w:pPr>
      <w:r>
        <w:t xml:space="preserve">Configuration for built-in Ax functions.</w:t>
      </w:r>
    </w:p>
    <w:bookmarkStart w:id="405" w:name="enable_global_ax"/>
    <w:p>
      <w:pPr>
        <w:pStyle w:val="Heading3"/>
      </w:pPr>
      <w:r>
        <w:t xml:space="preserve">enable_global_ax</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true</w:t>
      </w:r>
      <w:r>
        <w:br/>
      </w:r>
      <w:r>
        <w:rPr>
          <w:b/>
          <w:bCs/>
        </w:rPr>
        <w:t xml:space="preserve">Environment Variable:</w:t>
      </w:r>
      <w:r>
        <w:t xml:space="preserve"> </w:t>
      </w:r>
      <w:r>
        <w:rPr>
          <w:rStyle w:val="VerbatimChar"/>
        </w:rPr>
        <w:t xml:space="preserve">ENABLE_GLOBAL_AX</w:t>
      </w:r>
    </w:p>
    <w:p>
      <w:pPr>
        <w:pStyle w:val="BodyText"/>
      </w:pPr>
      <w:r>
        <w:t xml:space="preserve">Makes Ax functions available globally without</w:t>
      </w:r>
      <w:r>
        <w:t xml:space="preserve"> </w:t>
      </w:r>
      <w:r>
        <w:rPr>
          <w:rStyle w:val="VerbatimChar"/>
        </w:rPr>
        <w:t xml:space="preserve">Server.CreateObject()</w:t>
      </w:r>
      <w:r>
        <w:t xml:space="preserve">.</w:t>
      </w:r>
    </w:p>
    <w:p>
      <w:pPr>
        <w:pStyle w:val="BodyText"/>
      </w:pPr>
      <w:r>
        <w:rPr>
          <w:b/>
          <w:bCs/>
        </w:rPr>
        <w:t xml:space="preserve">Default Method (with setting disabled):</w:t>
      </w:r>
    </w:p>
    <w:p>
      <w:pPr>
        <w:pStyle w:val="SourceCode"/>
      </w:pPr>
      <w:r>
        <w:rPr>
          <w:rStyle w:val="VerbatimChar"/>
        </w:rPr>
        <w:t xml:space="preserve">Set ax = Server.CreateObject("G3AXON.Functions")</w:t>
      </w:r>
      <w:r>
        <w:br/>
      </w:r>
      <w:r>
        <w:rPr>
          <w:rStyle w:val="VerbatimChar"/>
        </w:rPr>
        <w:t xml:space="preserve">result = ax.SomeFuction()</w:t>
      </w:r>
    </w:p>
    <w:p>
      <w:pPr>
        <w:pStyle w:val="FirstParagraph"/>
      </w:pPr>
      <w:r>
        <w:rPr>
          <w:b/>
          <w:bCs/>
        </w:rPr>
        <w:t xml:space="preserve">When enabled:</w:t>
      </w:r>
    </w:p>
    <w:p>
      <w:pPr>
        <w:pStyle w:val="SourceCode"/>
      </w:pPr>
      <w:r>
        <w:rPr>
          <w:rStyle w:val="VerbatimChar"/>
        </w:rPr>
        <w:t xml:space="preserve">result = AxSomeFunction()  ' Direct call</w:t>
      </w:r>
    </w:p>
    <w:p>
      <w:pPr>
        <w:pStyle w:val="FirstParagraph"/>
      </w:pPr>
      <w:r>
        <w:t xml:space="preserve">⚠️ Breaks Classic ASP compatibility; enable only if needed.</w:t>
      </w:r>
    </w:p>
    <w:p>
      <w:pPr>
        <w:pStyle w:val="BodyText"/>
      </w:pPr>
      <w:r>
        <w:rPr>
          <w:b/>
          <w:bCs/>
        </w:rPr>
        <w:t xml:space="preserve">Example:</w:t>
      </w:r>
    </w:p>
    <w:p>
      <w:pPr>
        <w:pStyle w:val="SourceCode"/>
      </w:pPr>
      <w:r>
        <w:rPr>
          <w:rStyle w:val="DataTypeTok"/>
        </w:rPr>
        <w:t xml:space="preserve">enable_global_ax</w:t>
      </w:r>
      <w:r>
        <w:rPr>
          <w:rStyle w:val="NormalTok"/>
        </w:rPr>
        <w:t xml:space="preserve"> </w:t>
      </w:r>
      <w:r>
        <w:rPr>
          <w:rStyle w:val="OperatorTok"/>
        </w:rPr>
        <w:t xml:space="preserve">=</w:t>
      </w:r>
      <w:r>
        <w:rPr>
          <w:rStyle w:val="NormalTok"/>
        </w:rPr>
        <w:t xml:space="preserve"> </w:t>
      </w:r>
      <w:r>
        <w:rPr>
          <w:rStyle w:val="ConstantTok"/>
        </w:rPr>
        <w:t xml:space="preserve">true</w:t>
      </w:r>
    </w:p>
    <w:bookmarkEnd w:id="405"/>
    <w:bookmarkStart w:id="406" w:name="enable_axservershutdown_function"/>
    <w:p>
      <w:pPr>
        <w:pStyle w:val="Heading3"/>
      </w:pPr>
      <w:r>
        <w:t xml:space="preserve">enable_axservershutdown_function</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false</w:t>
      </w:r>
      <w:r>
        <w:br/>
      </w:r>
      <w:r>
        <w:rPr>
          <w:b/>
          <w:bCs/>
        </w:rPr>
        <w:t xml:space="preserve">Environment Variable:</w:t>
      </w:r>
      <w:r>
        <w:t xml:space="preserve"> </w:t>
      </w:r>
      <w:r>
        <w:rPr>
          <w:rStyle w:val="VerbatimChar"/>
        </w:rPr>
        <w:t xml:space="preserve">ENABLE_AXSERVERSHUTDOWN_FUNCTION</w:t>
      </w:r>
    </w:p>
    <w:p>
      <w:pPr>
        <w:pStyle w:val="BodyText"/>
      </w:pPr>
      <w:r>
        <w:t xml:space="preserve">When enabled, allows ASP scripts to call</w:t>
      </w:r>
      <w:r>
        <w:t xml:space="preserve"> </w:t>
      </w:r>
      <w:r>
        <w:rPr>
          <w:rStyle w:val="VerbatimChar"/>
        </w:rPr>
        <w:t xml:space="preserve">AxShutdownAxonASPServer()</w:t>
      </w:r>
      <w:r>
        <w:t xml:space="preserve"> </w:t>
      </w:r>
      <w:r>
        <w:t xml:space="preserve">to shut down the server programmatically.</w:t>
      </w:r>
    </w:p>
    <w:p>
      <w:pPr>
        <w:pStyle w:val="BodyText"/>
      </w:pPr>
      <w:r>
        <w:t xml:space="preserve">⚠️</w:t>
      </w:r>
      <w:r>
        <w:t xml:space="preserve"> </w:t>
      </w:r>
      <w:r>
        <w:rPr>
          <w:b/>
          <w:bCs/>
        </w:rPr>
        <w:t xml:space="preserve">Security Warning:</w:t>
      </w:r>
      <w:r>
        <w:t xml:space="preserve"> </w:t>
      </w:r>
      <w:r>
        <w:t xml:space="preserve">Disable in production! Prevents unauthorized server shutdowns.</w:t>
      </w:r>
    </w:p>
    <w:p>
      <w:pPr>
        <w:pStyle w:val="BodyText"/>
      </w:pPr>
      <w:r>
        <w:rPr>
          <w:b/>
          <w:bCs/>
        </w:rPr>
        <w:t xml:space="preserve">Example:</w:t>
      </w:r>
    </w:p>
    <w:p>
      <w:pPr>
        <w:pStyle w:val="SourceCode"/>
      </w:pPr>
      <w:r>
        <w:rPr>
          <w:rStyle w:val="DataTypeTok"/>
        </w:rPr>
        <w:t xml:space="preserve">enable_axservershutdown_function</w:t>
      </w:r>
      <w:r>
        <w:rPr>
          <w:rStyle w:val="NormalTok"/>
        </w:rPr>
        <w:t xml:space="preserve"> </w:t>
      </w:r>
      <w:r>
        <w:rPr>
          <w:rStyle w:val="OperatorTok"/>
        </w:rPr>
        <w:t xml:space="preserve">=</w:t>
      </w:r>
      <w:r>
        <w:rPr>
          <w:rStyle w:val="NormalTok"/>
        </w:rPr>
        <w:t xml:space="preserve"> </w:t>
      </w:r>
      <w:r>
        <w:rPr>
          <w:rStyle w:val="ConstantTok"/>
        </w:rPr>
        <w:t xml:space="preserve">false</w:t>
      </w:r>
    </w:p>
    <w:bookmarkEnd w:id="406"/>
    <w:bookmarkStart w:id="407" w:name="ax_default_css_path"/>
    <w:p>
      <w:pPr>
        <w:pStyle w:val="Heading3"/>
      </w:pPr>
      <w:r>
        <w:t xml:space="preserve">ax_default_css_path</w:t>
      </w:r>
    </w:p>
    <w:p>
      <w:pPr>
        <w:pStyle w:val="FirstParagraph"/>
      </w:pPr>
      <w:r>
        <w:rPr>
          <w:b/>
          <w:bCs/>
        </w:rPr>
        <w:t xml:space="preserve">Type:</w:t>
      </w:r>
      <w:r>
        <w:t xml:space="preserve"> </w:t>
      </w:r>
      <w:r>
        <w:t xml:space="preserve">String (path)</w:t>
      </w:r>
      <w:r>
        <w:br/>
      </w:r>
      <w:r>
        <w:rPr>
          <w:b/>
          <w:bCs/>
        </w:rPr>
        <w:t xml:space="preserve">Default:</w:t>
      </w:r>
      <w:r>
        <w:t xml:space="preserve"> </w:t>
      </w:r>
      <w:r>
        <w:rPr>
          <w:rStyle w:val="VerbatimChar"/>
        </w:rPr>
        <w:t xml:space="preserve">"./www/axonasp-pages/css/axonasp.css"</w:t>
      </w:r>
      <w:r>
        <w:br/>
      </w:r>
      <w:r>
        <w:rPr>
          <w:b/>
          <w:bCs/>
        </w:rPr>
        <w:t xml:space="preserve">Environment Variable:</w:t>
      </w:r>
      <w:r>
        <w:t xml:space="preserve"> </w:t>
      </w:r>
      <w:r>
        <w:rPr>
          <w:rStyle w:val="VerbatimChar"/>
        </w:rPr>
        <w:t xml:space="preserve">AX_DEFAULT_CSS_PATH</w:t>
      </w:r>
    </w:p>
    <w:p>
      <w:pPr>
        <w:pStyle w:val="BodyText"/>
      </w:pPr>
      <w:r>
        <w:t xml:space="preserve">CSS file used for built-in AxonASP pages (error pages, etc.).</w:t>
      </w:r>
    </w:p>
    <w:p>
      <w:pPr>
        <w:pStyle w:val="BodyText"/>
      </w:pPr>
      <w:r>
        <w:rPr>
          <w:b/>
          <w:bCs/>
        </w:rPr>
        <w:t xml:space="preserve">Example:</w:t>
      </w:r>
    </w:p>
    <w:p>
      <w:pPr>
        <w:pStyle w:val="SourceCode"/>
      </w:pPr>
      <w:r>
        <w:rPr>
          <w:rStyle w:val="DataTypeTok"/>
        </w:rPr>
        <w:t xml:space="preserve">ax_default_css_path</w:t>
      </w:r>
      <w:r>
        <w:rPr>
          <w:rStyle w:val="NormalTok"/>
        </w:rPr>
        <w:t xml:space="preserve"> </w:t>
      </w:r>
      <w:r>
        <w:rPr>
          <w:rStyle w:val="OperatorTok"/>
        </w:rPr>
        <w:t xml:space="preserve">=</w:t>
      </w:r>
      <w:r>
        <w:rPr>
          <w:rStyle w:val="NormalTok"/>
        </w:rPr>
        <w:t xml:space="preserve"> </w:t>
      </w:r>
      <w:r>
        <w:rPr>
          <w:rStyle w:val="StringTok"/>
        </w:rPr>
        <w:t xml:space="preserve">"./www/axonasp-pages/css/axonasp.css"</w:t>
      </w:r>
    </w:p>
    <w:bookmarkEnd w:id="407"/>
    <w:bookmarkStart w:id="408" w:name="ax_default_logo_path"/>
    <w:p>
      <w:pPr>
        <w:pStyle w:val="Heading3"/>
      </w:pPr>
      <w:r>
        <w:t xml:space="preserve">ax_default_logo_path</w:t>
      </w:r>
    </w:p>
    <w:p>
      <w:pPr>
        <w:pStyle w:val="FirstParagraph"/>
      </w:pPr>
      <w:r>
        <w:rPr>
          <w:b/>
          <w:bCs/>
        </w:rPr>
        <w:t xml:space="preserve">Type:</w:t>
      </w:r>
      <w:r>
        <w:t xml:space="preserve"> </w:t>
      </w:r>
      <w:r>
        <w:t xml:space="preserve">String (path)</w:t>
      </w:r>
      <w:r>
        <w:br/>
      </w:r>
      <w:r>
        <w:rPr>
          <w:b/>
          <w:bCs/>
        </w:rPr>
        <w:t xml:space="preserve">Default:</w:t>
      </w:r>
      <w:r>
        <w:t xml:space="preserve"> </w:t>
      </w:r>
      <w:r>
        <w:rPr>
          <w:rStyle w:val="VerbatimChar"/>
        </w:rPr>
        <w:t xml:space="preserve">"./www/axonasp-pages/images/logo.png"</w:t>
      </w:r>
      <w:r>
        <w:br/>
      </w:r>
      <w:r>
        <w:rPr>
          <w:b/>
          <w:bCs/>
        </w:rPr>
        <w:t xml:space="preserve">Environment Variable:</w:t>
      </w:r>
      <w:r>
        <w:t xml:space="preserve"> </w:t>
      </w:r>
      <w:r>
        <w:rPr>
          <w:rStyle w:val="VerbatimChar"/>
        </w:rPr>
        <w:t xml:space="preserve">AX_DEFAULT_LOGO_PATH</w:t>
      </w:r>
    </w:p>
    <w:p>
      <w:pPr>
        <w:pStyle w:val="BodyText"/>
      </w:pPr>
      <w:r>
        <w:t xml:space="preserve">Logo file for built-in AxonASP pages (served as inline base64 image).</w:t>
      </w:r>
    </w:p>
    <w:p>
      <w:pPr>
        <w:pStyle w:val="BodyText"/>
      </w:pPr>
      <w:r>
        <w:rPr>
          <w:b/>
          <w:bCs/>
        </w:rPr>
        <w:t xml:space="preserve">Example:</w:t>
      </w:r>
    </w:p>
    <w:p>
      <w:pPr>
        <w:pStyle w:val="SourceCode"/>
      </w:pPr>
      <w:r>
        <w:rPr>
          <w:rStyle w:val="DataTypeTok"/>
        </w:rPr>
        <w:t xml:space="preserve">ax_default_logo_path</w:t>
      </w:r>
      <w:r>
        <w:rPr>
          <w:rStyle w:val="NormalTok"/>
        </w:rPr>
        <w:t xml:space="preserve"> </w:t>
      </w:r>
      <w:r>
        <w:rPr>
          <w:rStyle w:val="OperatorTok"/>
        </w:rPr>
        <w:t xml:space="preserve">=</w:t>
      </w:r>
      <w:r>
        <w:rPr>
          <w:rStyle w:val="NormalTok"/>
        </w:rPr>
        <w:t xml:space="preserve"> </w:t>
      </w:r>
      <w:r>
        <w:rPr>
          <w:rStyle w:val="StringTok"/>
        </w:rPr>
        <w:t xml:space="preserve">"./www/axonasp-pages/images/logo.png"</w:t>
      </w:r>
    </w:p>
    <w:p>
      <w:r>
        <w:pict>
          <v:rect style="width:0;height:1.5pt" o:hralign="center" o:hrstd="t" o:hr="t"/>
        </w:pict>
      </w:r>
    </w:p>
    <w:bookmarkEnd w:id="408"/>
    <w:bookmarkEnd w:id="409"/>
    <w:bookmarkStart w:id="413" w:name="mcp-server-settings-mcp"/>
    <w:p>
      <w:pPr>
        <w:pStyle w:val="Heading2"/>
      </w:pPr>
      <w:r>
        <w:t xml:space="preserve">MCP Server Settings</w:t>
      </w:r>
      <w:r>
        <w:t xml:space="preserve"> </w:t>
      </w:r>
      <w:r>
        <w:rPr>
          <w:rStyle w:val="VerbatimChar"/>
        </w:rPr>
        <w:t xml:space="preserve">[mcp]</w:t>
      </w:r>
    </w:p>
    <w:p>
      <w:pPr>
        <w:pStyle w:val="FirstParagraph"/>
      </w:pPr>
      <w:r>
        <w:t xml:space="preserve">Configuration for Model Context Protocol server (</w:t>
      </w:r>
      <w:r>
        <w:rPr>
          <w:rStyle w:val="VerbatimChar"/>
        </w:rPr>
        <w:t xml:space="preserve">axonasp-mcp.exe</w:t>
      </w:r>
      <w:r>
        <w:t xml:space="preserve">).</w:t>
      </w:r>
    </w:p>
    <w:bookmarkStart w:id="410" w:name="mcp_mode"/>
    <w:p>
      <w:pPr>
        <w:pStyle w:val="Heading3"/>
      </w:pPr>
      <w:r>
        <w:t xml:space="preserve">mcp_mode</w:t>
      </w:r>
    </w:p>
    <w:p>
      <w:pPr>
        <w:pStyle w:val="FirstParagraph"/>
      </w:pPr>
      <w:r>
        <w:rPr>
          <w:b/>
          <w:bCs/>
        </w:rPr>
        <w:t xml:space="preserve">Type:</w:t>
      </w:r>
      <w:r>
        <w:t xml:space="preserve"> </w:t>
      </w:r>
      <w:r>
        <w:t xml:space="preserve">String (Enum)</w:t>
      </w:r>
      <w:r>
        <w:br/>
      </w:r>
      <w:r>
        <w:rPr>
          <w:b/>
          <w:bCs/>
        </w:rPr>
        <w:t xml:space="preserve">Default:</w:t>
      </w:r>
      <w:r>
        <w:t xml:space="preserve"> </w:t>
      </w:r>
      <w:r>
        <w:rPr>
          <w:rStyle w:val="VerbatimChar"/>
        </w:rPr>
        <w:t xml:space="preserve">"stdio"</w:t>
      </w:r>
      <w:r>
        <w:br/>
      </w:r>
      <w:r>
        <w:rPr>
          <w:b/>
          <w:bCs/>
        </w:rPr>
        <w:t xml:space="preserve">Environment Variable:</w:t>
      </w:r>
      <w:r>
        <w:t xml:space="preserve"> </w:t>
      </w:r>
      <w:r>
        <w:rPr>
          <w:rStyle w:val="VerbatimChar"/>
        </w:rPr>
        <w:t xml:space="preserve">MCP_MODE</w:t>
      </w:r>
      <w:r>
        <w:br/>
      </w:r>
      <w:r>
        <w:rPr>
          <w:b/>
          <w:bCs/>
        </w:rPr>
        <w:t xml:space="preserve">Valid Values:</w:t>
      </w:r>
      <w:r>
        <w:t xml:space="preserve"> </w:t>
      </w:r>
      <w:r>
        <w:rPr>
          <w:rStyle w:val="VerbatimChar"/>
        </w:rPr>
        <w:t xml:space="preserve">"stdio"</w:t>
      </w:r>
      <w:r>
        <w:t xml:space="preserve">,</w:t>
      </w:r>
      <w:r>
        <w:t xml:space="preserve"> </w:t>
      </w:r>
      <w:r>
        <w:rPr>
          <w:rStyle w:val="VerbatimChar"/>
        </w:rPr>
        <w:t xml:space="preserve">"sse"</w:t>
      </w:r>
    </w:p>
    <w:p>
      <w:pPr>
        <w:pStyle w:val="BodyText"/>
      </w:pPr>
      <w:r>
        <w:t xml:space="preserve">Communication mode for MCP:</w:t>
      </w:r>
      <w:r>
        <w:t xml:space="preserve"> </w:t>
      </w:r>
      <w:r>
        <w:t xml:space="preserve">-</w:t>
      </w:r>
      <w:r>
        <w:t xml:space="preserve"> </w:t>
      </w:r>
      <w:r>
        <w:rPr>
          <w:rStyle w:val="VerbatimChar"/>
        </w:rPr>
        <w:t xml:space="preserve">"stdio"</w:t>
      </w:r>
      <w:r>
        <w:t xml:space="preserve"> </w:t>
      </w:r>
      <w:r>
        <w:t xml:space="preserve">- Standard input/output (local/CLI usage)</w:t>
      </w:r>
      <w:r>
        <w:t xml:space="preserve"> </w:t>
      </w:r>
      <w:r>
        <w:t xml:space="preserve">-</w:t>
      </w:r>
      <w:r>
        <w:t xml:space="preserve"> </w:t>
      </w:r>
      <w:r>
        <w:rPr>
          <w:rStyle w:val="VerbatimChar"/>
        </w:rPr>
        <w:t xml:space="preserve">"sse"</w:t>
      </w:r>
      <w:r>
        <w:t xml:space="preserve"> </w:t>
      </w:r>
      <w:r>
        <w:t xml:space="preserve">- Server-Sent Events (remote web access)</w:t>
      </w:r>
    </w:p>
    <w:p>
      <w:pPr>
        <w:pStyle w:val="BodyText"/>
      </w:pPr>
      <w:r>
        <w:rPr>
          <w:b/>
          <w:bCs/>
        </w:rPr>
        <w:t xml:space="preserve">Example:</w:t>
      </w:r>
    </w:p>
    <w:p>
      <w:pPr>
        <w:pStyle w:val="SourceCode"/>
      </w:pPr>
      <w:r>
        <w:rPr>
          <w:rStyle w:val="DataTypeTok"/>
        </w:rPr>
        <w:t xml:space="preserve">mcp_mode</w:t>
      </w:r>
      <w:r>
        <w:rPr>
          <w:rStyle w:val="NormalTok"/>
        </w:rPr>
        <w:t xml:space="preserve"> </w:t>
      </w:r>
      <w:r>
        <w:rPr>
          <w:rStyle w:val="OperatorTok"/>
        </w:rPr>
        <w:t xml:space="preserve">=</w:t>
      </w:r>
      <w:r>
        <w:rPr>
          <w:rStyle w:val="NormalTok"/>
        </w:rPr>
        <w:t xml:space="preserve"> </w:t>
      </w:r>
      <w:r>
        <w:rPr>
          <w:rStyle w:val="StringTok"/>
        </w:rPr>
        <w:t xml:space="preserve">"stdio"</w:t>
      </w:r>
    </w:p>
    <w:bookmarkEnd w:id="410"/>
    <w:bookmarkStart w:id="411" w:name="mcp_sse_port"/>
    <w:p>
      <w:pPr>
        <w:pStyle w:val="Heading3"/>
      </w:pPr>
      <w:r>
        <w:t xml:space="preserve">mcp_sse_port</w:t>
      </w:r>
    </w:p>
    <w:p>
      <w:pPr>
        <w:pStyle w:val="FirstParagraph"/>
      </w:pPr>
      <w:r>
        <w:rPr>
          <w:b/>
          <w:bCs/>
        </w:rPr>
        <w:t xml:space="preserve">Type:</w:t>
      </w:r>
      <w:r>
        <w:t xml:space="preserve"> </w:t>
      </w:r>
      <w:r>
        <w:t xml:space="preserve">Integer</w:t>
      </w:r>
      <w:r>
        <w:br/>
      </w:r>
      <w:r>
        <w:rPr>
          <w:b/>
          <w:bCs/>
        </w:rPr>
        <w:t xml:space="preserve">Default:</w:t>
      </w:r>
      <w:r>
        <w:t xml:space="preserve"> </w:t>
      </w:r>
      <w:r>
        <w:rPr>
          <w:rStyle w:val="VerbatimChar"/>
        </w:rPr>
        <w:t xml:space="preserve">8000</w:t>
      </w:r>
      <w:r>
        <w:br/>
      </w:r>
      <w:r>
        <w:rPr>
          <w:b/>
          <w:bCs/>
        </w:rPr>
        <w:t xml:space="preserve">Environment Variable:</w:t>
      </w:r>
      <w:r>
        <w:t xml:space="preserve"> </w:t>
      </w:r>
      <w:r>
        <w:rPr>
          <w:rStyle w:val="VerbatimChar"/>
        </w:rPr>
        <w:t xml:space="preserve">MCP_SSE_PORT</w:t>
      </w:r>
    </w:p>
    <w:p>
      <w:pPr>
        <w:pStyle w:val="BodyText"/>
      </w:pPr>
      <w:r>
        <w:t xml:space="preserve">Port for SSE server when</w:t>
      </w:r>
      <w:r>
        <w:t xml:space="preserve"> </w:t>
      </w:r>
      <w:r>
        <w:rPr>
          <w:rStyle w:val="VerbatimChar"/>
        </w:rPr>
        <w:t xml:space="preserve">mcp_mode</w:t>
      </w:r>
      <w:r>
        <w:t xml:space="preserve"> </w:t>
      </w:r>
      <w:r>
        <w:t xml:space="preserve">is set to</w:t>
      </w:r>
      <w:r>
        <w:t xml:space="preserve"> </w:t>
      </w:r>
      <w:r>
        <w:rPr>
          <w:rStyle w:val="VerbatimChar"/>
        </w:rPr>
        <w:t xml:space="preserve">"sse"</w:t>
      </w:r>
      <w:r>
        <w:t xml:space="preserve">. Ignored in</w:t>
      </w:r>
      <w:r>
        <w:t xml:space="preserve"> </w:t>
      </w:r>
      <w:r>
        <w:rPr>
          <w:rStyle w:val="VerbatimChar"/>
        </w:rPr>
        <w:t xml:space="preserve">"stdio"</w:t>
      </w:r>
      <w:r>
        <w:t xml:space="preserve"> </w:t>
      </w:r>
      <w:r>
        <w:t xml:space="preserve">mode.</w:t>
      </w:r>
    </w:p>
    <w:p>
      <w:pPr>
        <w:pStyle w:val="BodyText"/>
      </w:pPr>
      <w:r>
        <w:rPr>
          <w:b/>
          <w:bCs/>
        </w:rPr>
        <w:t xml:space="preserve">Access Points:</w:t>
      </w:r>
      <w:r>
        <w:t xml:space="preserve"> </w:t>
      </w:r>
      <w:r>
        <w:t xml:space="preserve">- SSE stream:</w:t>
      </w:r>
      <w:r>
        <w:t xml:space="preserve"> </w:t>
      </w:r>
      <w:r>
        <w:rPr>
          <w:rStyle w:val="VerbatimChar"/>
        </w:rPr>
        <w:t xml:space="preserve">http://localhost:8000/sse</w:t>
      </w:r>
      <w:r>
        <w:t xml:space="preserve"> </w:t>
      </w:r>
      <w:r>
        <w:t xml:space="preserve">- Command API:</w:t>
      </w:r>
      <w:r>
        <w:t xml:space="preserve"> </w:t>
      </w:r>
      <w:r>
        <w:rPr>
          <w:rStyle w:val="VerbatimChar"/>
        </w:rPr>
        <w:t xml:space="preserve">http://localhost:8000/command</w:t>
      </w:r>
    </w:p>
    <w:p>
      <w:pPr>
        <w:pStyle w:val="BodyText"/>
      </w:pPr>
      <w:r>
        <w:rPr>
          <w:b/>
          <w:bCs/>
        </w:rPr>
        <w:t xml:space="preserve">Example:</w:t>
      </w:r>
    </w:p>
    <w:p>
      <w:pPr>
        <w:pStyle w:val="SourceCode"/>
      </w:pPr>
      <w:r>
        <w:rPr>
          <w:rStyle w:val="DataTypeTok"/>
        </w:rPr>
        <w:t xml:space="preserve">mcp_sse_port</w:t>
      </w:r>
      <w:r>
        <w:rPr>
          <w:rStyle w:val="NormalTok"/>
        </w:rPr>
        <w:t xml:space="preserve"> </w:t>
      </w:r>
      <w:r>
        <w:rPr>
          <w:rStyle w:val="OperatorTok"/>
        </w:rPr>
        <w:t xml:space="preserve">=</w:t>
      </w:r>
      <w:r>
        <w:rPr>
          <w:rStyle w:val="NormalTok"/>
        </w:rPr>
        <w:t xml:space="preserve"> </w:t>
      </w:r>
      <w:r>
        <w:rPr>
          <w:rStyle w:val="DecValTok"/>
        </w:rPr>
        <w:t xml:space="preserve">8000</w:t>
      </w:r>
    </w:p>
    <w:bookmarkEnd w:id="411"/>
    <w:bookmarkStart w:id="412" w:name="mcp_docs"/>
    <w:p>
      <w:pPr>
        <w:pStyle w:val="Heading3"/>
      </w:pPr>
      <w:r>
        <w:t xml:space="preserve">mcp_docs</w:t>
      </w:r>
    </w:p>
    <w:p>
      <w:pPr>
        <w:pStyle w:val="FirstParagraph"/>
      </w:pPr>
      <w:r>
        <w:rPr>
          <w:b/>
          <w:bCs/>
        </w:rPr>
        <w:t xml:space="preserve">Type:</w:t>
      </w:r>
      <w:r>
        <w:t xml:space="preserve"> </w:t>
      </w:r>
      <w:r>
        <w:t xml:space="preserve">String (path)</w:t>
      </w:r>
      <w:r>
        <w:br/>
      </w:r>
      <w:r>
        <w:rPr>
          <w:b/>
          <w:bCs/>
        </w:rPr>
        <w:t xml:space="preserve">Default:</w:t>
      </w:r>
      <w:r>
        <w:t xml:space="preserve"> </w:t>
      </w:r>
      <w:r>
        <w:rPr>
          <w:rStyle w:val="VerbatimChar"/>
        </w:rPr>
        <w:t xml:space="preserve">"mcp/docs.md"</w:t>
      </w:r>
      <w:r>
        <w:br/>
      </w:r>
      <w:r>
        <w:rPr>
          <w:b/>
          <w:bCs/>
        </w:rPr>
        <w:t xml:space="preserve">Environment Variable:</w:t>
      </w:r>
      <w:r>
        <w:t xml:space="preserve"> </w:t>
      </w:r>
      <w:r>
        <w:rPr>
          <w:rStyle w:val="VerbatimChar"/>
        </w:rPr>
        <w:t xml:space="preserve">MCP_DOCS</w:t>
      </w:r>
    </w:p>
    <w:p>
      <w:pPr>
        <w:pStyle w:val="BodyText"/>
      </w:pPr>
      <w:r>
        <w:t xml:space="preserve">Path to markdown documentation file used by MCP for query responses and assistance.</w:t>
      </w:r>
    </w:p>
    <w:p>
      <w:pPr>
        <w:pStyle w:val="BodyText"/>
      </w:pPr>
      <w:r>
        <w:rPr>
          <w:b/>
          <w:bCs/>
        </w:rPr>
        <w:t xml:space="preserve">Example:</w:t>
      </w:r>
    </w:p>
    <w:p>
      <w:pPr>
        <w:pStyle w:val="SourceCode"/>
      </w:pPr>
      <w:r>
        <w:rPr>
          <w:rStyle w:val="DataTypeTok"/>
        </w:rPr>
        <w:t xml:space="preserve">mcp_docs</w:t>
      </w:r>
      <w:r>
        <w:rPr>
          <w:rStyle w:val="NormalTok"/>
        </w:rPr>
        <w:t xml:space="preserve"> </w:t>
      </w:r>
      <w:r>
        <w:rPr>
          <w:rStyle w:val="OperatorTok"/>
        </w:rPr>
        <w:t xml:space="preserve">=</w:t>
      </w:r>
      <w:r>
        <w:rPr>
          <w:rStyle w:val="NormalTok"/>
        </w:rPr>
        <w:t xml:space="preserve"> </w:t>
      </w:r>
      <w:r>
        <w:rPr>
          <w:rStyle w:val="StringTok"/>
        </w:rPr>
        <w:t xml:space="preserve">"mcp/docs.md"</w:t>
      </w:r>
    </w:p>
    <w:p>
      <w:r>
        <w:pict>
          <v:rect style="width:0;height:1.5pt" o:hralign="center" o:hrstd="t" o:hr="t"/>
        </w:pict>
      </w:r>
    </w:p>
    <w:bookmarkEnd w:id="412"/>
    <w:bookmarkEnd w:id="413"/>
    <w:bookmarkStart w:id="417" w:name="mswc-component-settings-mswc"/>
    <w:p>
      <w:pPr>
        <w:pStyle w:val="Heading2"/>
      </w:pPr>
      <w:r>
        <w:t xml:space="preserve">MSWC Component Settings</w:t>
      </w:r>
      <w:r>
        <w:t xml:space="preserve"> </w:t>
      </w:r>
      <w:r>
        <w:rPr>
          <w:rStyle w:val="VerbatimChar"/>
        </w:rPr>
        <w:t xml:space="preserve">[mswc]</w:t>
      </w:r>
    </w:p>
    <w:p>
      <w:pPr>
        <w:pStyle w:val="FirstParagraph"/>
      </w:pPr>
      <w:r>
        <w:t xml:space="preserve">Configuration for Microsoft Web Components (MSWC) like PageCounter.</w:t>
      </w:r>
    </w:p>
    <w:bookmarkStart w:id="414" w:name="pagecounter_enabled"/>
    <w:p>
      <w:pPr>
        <w:pStyle w:val="Heading3"/>
      </w:pPr>
      <w:r>
        <w:t xml:space="preserve">pagecounter_enabled</w:t>
      </w:r>
    </w:p>
    <w:p>
      <w:pPr>
        <w:pStyle w:val="FirstParagraph"/>
      </w:pPr>
      <w:r>
        <w:rPr>
          <w:b/>
          <w:bCs/>
        </w:rPr>
        <w:t xml:space="preserve">Type:</w:t>
      </w:r>
      <w:r>
        <w:t xml:space="preserve"> </w:t>
      </w:r>
      <w:r>
        <w:t xml:space="preserve">Boolean</w:t>
      </w:r>
      <w:r>
        <w:br/>
      </w:r>
      <w:r>
        <w:rPr>
          <w:b/>
          <w:bCs/>
        </w:rPr>
        <w:t xml:space="preserve">Default:</w:t>
      </w:r>
      <w:r>
        <w:t xml:space="preserve"> </w:t>
      </w:r>
      <w:r>
        <w:rPr>
          <w:rStyle w:val="VerbatimChar"/>
        </w:rPr>
        <w:t xml:space="preserve">false</w:t>
      </w:r>
      <w:r>
        <w:br/>
      </w:r>
      <w:r>
        <w:rPr>
          <w:b/>
          <w:bCs/>
        </w:rPr>
        <w:t xml:space="preserve">Environment Variable:</w:t>
      </w:r>
      <w:r>
        <w:t xml:space="preserve"> </w:t>
      </w:r>
      <w:r>
        <w:rPr>
          <w:rStyle w:val="VerbatimChar"/>
        </w:rPr>
        <w:t xml:space="preserve">PAGECOUNTER_ENABLED</w:t>
      </w:r>
    </w:p>
    <w:p>
      <w:pPr>
        <w:pStyle w:val="BodyText"/>
      </w:pPr>
      <w:r>
        <w:t xml:space="preserve">When enabled, provides MSWC.PageCounter component for tracking page hit counts.</w:t>
      </w:r>
    </w:p>
    <w:p>
      <w:pPr>
        <w:pStyle w:val="BodyText"/>
      </w:pPr>
      <w:r>
        <w:rPr>
          <w:b/>
          <w:bCs/>
        </w:rPr>
        <w:t xml:space="preserve">Example:</w:t>
      </w:r>
    </w:p>
    <w:p>
      <w:pPr>
        <w:pStyle w:val="SourceCode"/>
      </w:pPr>
      <w:r>
        <w:rPr>
          <w:rStyle w:val="DataTypeTok"/>
        </w:rPr>
        <w:t xml:space="preserve">pagecounter_enabled</w:t>
      </w:r>
      <w:r>
        <w:rPr>
          <w:rStyle w:val="NormalTok"/>
        </w:rPr>
        <w:t xml:space="preserve"> </w:t>
      </w:r>
      <w:r>
        <w:rPr>
          <w:rStyle w:val="OperatorTok"/>
        </w:rPr>
        <w:t xml:space="preserve">=</w:t>
      </w:r>
      <w:r>
        <w:rPr>
          <w:rStyle w:val="NormalTok"/>
        </w:rPr>
        <w:t xml:space="preserve"> </w:t>
      </w:r>
      <w:r>
        <w:rPr>
          <w:rStyle w:val="ConstantTok"/>
        </w:rPr>
        <w:t xml:space="preserve">false</w:t>
      </w:r>
    </w:p>
    <w:bookmarkEnd w:id="414"/>
    <w:bookmarkStart w:id="415" w:name="pagecounter_file"/>
    <w:p>
      <w:pPr>
        <w:pStyle w:val="Heading3"/>
      </w:pPr>
      <w:r>
        <w:t xml:space="preserve">pagecounter_file</w:t>
      </w:r>
    </w:p>
    <w:p>
      <w:pPr>
        <w:pStyle w:val="FirstParagraph"/>
      </w:pPr>
      <w:r>
        <w:rPr>
          <w:b/>
          <w:bCs/>
        </w:rPr>
        <w:t xml:space="preserve">Type:</w:t>
      </w:r>
      <w:r>
        <w:t xml:space="preserve"> </w:t>
      </w:r>
      <w:r>
        <w:t xml:space="preserve">String (path)</w:t>
      </w:r>
      <w:r>
        <w:br/>
      </w:r>
      <w:r>
        <w:rPr>
          <w:b/>
          <w:bCs/>
        </w:rPr>
        <w:t xml:space="preserve">Default:</w:t>
      </w:r>
      <w:r>
        <w:t xml:space="preserve"> </w:t>
      </w:r>
      <w:r>
        <w:rPr>
          <w:rStyle w:val="VerbatimChar"/>
        </w:rPr>
        <w:t xml:space="preserve">"./temp/hitcnt.gob"</w:t>
      </w:r>
      <w:r>
        <w:br/>
      </w:r>
      <w:r>
        <w:rPr>
          <w:b/>
          <w:bCs/>
        </w:rPr>
        <w:t xml:space="preserve">Environment Variable:</w:t>
      </w:r>
      <w:r>
        <w:t xml:space="preserve"> </w:t>
      </w:r>
      <w:r>
        <w:rPr>
          <w:rStyle w:val="VerbatimChar"/>
        </w:rPr>
        <w:t xml:space="preserve">PAGECOUNTER_FILE</w:t>
      </w:r>
    </w:p>
    <w:p>
      <w:pPr>
        <w:pStyle w:val="BodyText"/>
      </w:pPr>
      <w:r>
        <w:t xml:space="preserve">Binary file (Go gob format) storing page hit counts. Created automatically if missing.</w:t>
      </w:r>
    </w:p>
    <w:p>
      <w:pPr>
        <w:pStyle w:val="BodyText"/>
      </w:pPr>
      <w:r>
        <w:rPr>
          <w:b/>
          <w:bCs/>
        </w:rPr>
        <w:t xml:space="preserve">Example:</w:t>
      </w:r>
    </w:p>
    <w:p>
      <w:pPr>
        <w:pStyle w:val="SourceCode"/>
      </w:pPr>
      <w:r>
        <w:rPr>
          <w:rStyle w:val="DataTypeTok"/>
        </w:rPr>
        <w:t xml:space="preserve">pagecounter_file</w:t>
      </w:r>
      <w:r>
        <w:rPr>
          <w:rStyle w:val="NormalTok"/>
        </w:rPr>
        <w:t xml:space="preserve"> </w:t>
      </w:r>
      <w:r>
        <w:rPr>
          <w:rStyle w:val="OperatorTok"/>
        </w:rPr>
        <w:t xml:space="preserve">=</w:t>
      </w:r>
      <w:r>
        <w:rPr>
          <w:rStyle w:val="NormalTok"/>
        </w:rPr>
        <w:t xml:space="preserve"> </w:t>
      </w:r>
      <w:r>
        <w:rPr>
          <w:rStyle w:val="StringTok"/>
        </w:rPr>
        <w:t xml:space="preserve">"./temp/hitcnt.gob"</w:t>
      </w:r>
    </w:p>
    <w:bookmarkEnd w:id="415"/>
    <w:bookmarkStart w:id="416" w:name="pagecounter_save_interval_seconds"/>
    <w:p>
      <w:pPr>
        <w:pStyle w:val="Heading3"/>
      </w:pPr>
      <w:r>
        <w:t xml:space="preserve">pagecounter_save_interval_seconds</w:t>
      </w:r>
    </w:p>
    <w:p>
      <w:pPr>
        <w:pStyle w:val="FirstParagraph"/>
      </w:pPr>
      <w:r>
        <w:rPr>
          <w:b/>
          <w:bCs/>
        </w:rPr>
        <w:t xml:space="preserve">Type:</w:t>
      </w:r>
      <w:r>
        <w:t xml:space="preserve"> </w:t>
      </w:r>
      <w:r>
        <w:t xml:space="preserve">Integer (seconds)</w:t>
      </w:r>
      <w:r>
        <w:br/>
      </w:r>
      <w:r>
        <w:rPr>
          <w:b/>
          <w:bCs/>
        </w:rPr>
        <w:t xml:space="preserve">Default:</w:t>
      </w:r>
      <w:r>
        <w:t xml:space="preserve"> </w:t>
      </w:r>
      <w:r>
        <w:rPr>
          <w:rStyle w:val="VerbatimChar"/>
        </w:rPr>
        <w:t xml:space="preserve">120</w:t>
      </w:r>
      <w:r>
        <w:br/>
      </w:r>
      <w:r>
        <w:rPr>
          <w:b/>
          <w:bCs/>
        </w:rPr>
        <w:t xml:space="preserve">Environment Variable:</w:t>
      </w:r>
      <w:r>
        <w:t xml:space="preserve"> </w:t>
      </w:r>
      <w:r>
        <w:rPr>
          <w:rStyle w:val="VerbatimChar"/>
        </w:rPr>
        <w:t xml:space="preserve">PAGECOUNTER_SAVE_INTERVAL_SECONDS</w:t>
      </w:r>
    </w:p>
    <w:p>
      <w:pPr>
        <w:pStyle w:val="BodyText"/>
      </w:pPr>
      <w:r>
        <w:t xml:space="preserve">Interval for flushing hit counts to disk. Balances performance vs. data freshness.</w:t>
      </w:r>
    </w:p>
    <w:p>
      <w:pPr>
        <w:pStyle w:val="BodyText"/>
      </w:pPr>
      <w:r>
        <w:rPr>
          <w:b/>
          <w:bCs/>
        </w:rPr>
        <w:t xml:space="preserve">Guidelines:</w:t>
      </w:r>
      <w:r>
        <w:t xml:space="preserve"> </w:t>
      </w:r>
      <w:r>
        <w:t xml:space="preserve">- Lower values → More frequent writes → Fresher data but higher I/O</w:t>
      </w:r>
      <w:r>
        <w:t xml:space="preserve"> </w:t>
      </w:r>
      <w:r>
        <w:t xml:space="preserve">- Higher values → Less frequent writes → Better performance but data loss on crash</w:t>
      </w:r>
    </w:p>
    <w:p>
      <w:pPr>
        <w:pStyle w:val="BodyText"/>
      </w:pPr>
      <w:r>
        <w:rPr>
          <w:b/>
          <w:bCs/>
        </w:rPr>
        <w:t xml:space="preserve">Example:</w:t>
      </w:r>
    </w:p>
    <w:p>
      <w:pPr>
        <w:pStyle w:val="SourceCode"/>
      </w:pPr>
      <w:r>
        <w:rPr>
          <w:rStyle w:val="DataTypeTok"/>
        </w:rPr>
        <w:t xml:space="preserve">pagecounter_save_interval_seconds</w:t>
      </w:r>
      <w:r>
        <w:rPr>
          <w:rStyle w:val="NormalTok"/>
        </w:rPr>
        <w:t xml:space="preserve"> </w:t>
      </w:r>
      <w:r>
        <w:rPr>
          <w:rStyle w:val="OperatorTok"/>
        </w:rPr>
        <w:t xml:space="preserve">=</w:t>
      </w:r>
      <w:r>
        <w:rPr>
          <w:rStyle w:val="NormalTok"/>
        </w:rPr>
        <w:t xml:space="preserve"> </w:t>
      </w:r>
      <w:r>
        <w:rPr>
          <w:rStyle w:val="DecValTok"/>
        </w:rPr>
        <w:t xml:space="preserve">120</w:t>
      </w:r>
    </w:p>
    <w:p>
      <w:r>
        <w:pict>
          <v:rect style="width:0;height:1.5pt" o:hralign="center" o:hrstd="t" o:hr="t"/>
        </w:pict>
      </w:r>
    </w:p>
    <w:bookmarkEnd w:id="416"/>
    <w:bookmarkEnd w:id="417"/>
    <w:bookmarkStart w:id="423" w:name="service-wrapper-settings-service"/>
    <w:p>
      <w:pPr>
        <w:pStyle w:val="Heading2"/>
      </w:pPr>
      <w:r>
        <w:t xml:space="preserve">Service Wrapper Settings [service]</w:t>
      </w:r>
    </w:p>
    <w:p>
      <w:pPr>
        <w:pStyle w:val="FirstParagraph"/>
      </w:pPr>
      <w:r>
        <w:t xml:space="preserve">Configuration for the service wrapper binary (axonasp-service on Unix and axonasp-service.exe on Windows).</w:t>
      </w:r>
    </w:p>
    <w:p>
      <w:pPr>
        <w:pStyle w:val="BodyText"/>
      </w:pPr>
      <w:r>
        <w:t xml:space="preserve">This mode is designed for easier setup, mainly on Windows and small installations. For advanced Unix production deployments, prefer native service manager configuration from the runtime service pages.</w:t>
      </w:r>
    </w:p>
    <w:bookmarkStart w:id="418" w:name="service_name-1"/>
    <w:p>
      <w:pPr>
        <w:pStyle w:val="Heading3"/>
      </w:pPr>
      <w:r>
        <w:t xml:space="preserve">service_name</w:t>
      </w:r>
    </w:p>
    <w:p>
      <w:pPr>
        <w:pStyle w:val="FirstParagraph"/>
      </w:pPr>
      <w:r>
        <w:rPr>
          <w:b/>
          <w:bCs/>
        </w:rPr>
        <w:t xml:space="preserve">Type:</w:t>
      </w:r>
      <w:r>
        <w:t xml:space="preserve"> </w:t>
      </w:r>
      <w:r>
        <w:t xml:space="preserve">String</w:t>
      </w:r>
      <w:r>
        <w:br/>
      </w:r>
      <w:r>
        <w:rPr>
          <w:b/>
          <w:bCs/>
        </w:rPr>
        <w:t xml:space="preserve">Default:</w:t>
      </w:r>
      <w:r>
        <w:t xml:space="preserve"> </w:t>
      </w:r>
      <w:r>
        <w:t xml:space="preserve">“AxonASPServer”</w:t>
      </w:r>
      <w:r>
        <w:br/>
      </w:r>
      <w:r>
        <w:rPr>
          <w:b/>
          <w:bCs/>
        </w:rPr>
        <w:t xml:space="preserve">Environment Variable:</w:t>
      </w:r>
      <w:r>
        <w:t xml:space="preserve"> </w:t>
      </w:r>
      <w:r>
        <w:t xml:space="preserve">SERVICE_SERVICE_NAME</w:t>
      </w:r>
    </w:p>
    <w:p>
      <w:pPr>
        <w:pStyle w:val="BodyText"/>
      </w:pPr>
      <w:r>
        <w:t xml:space="preserve">Internal service identifier used by the operating system service manager.</w:t>
      </w:r>
    </w:p>
    <w:p>
      <w:pPr>
        <w:pStyle w:val="BodyText"/>
      </w:pPr>
      <w:r>
        <w:rPr>
          <w:b/>
          <w:bCs/>
        </w:rPr>
        <w:t xml:space="preserve">Example:</w:t>
      </w:r>
    </w:p>
    <w:p>
      <w:pPr>
        <w:pStyle w:val="SourceCode"/>
      </w:pPr>
      <w:r>
        <w:rPr>
          <w:rStyle w:val="KeywordTok"/>
        </w:rPr>
        <w:t xml:space="preserve">[service]</w:t>
      </w:r>
      <w:r>
        <w:br/>
      </w:r>
      <w:r>
        <w:rPr>
          <w:rStyle w:val="DataTypeTok"/>
        </w:rPr>
        <w:t xml:space="preserve">service_name</w:t>
      </w:r>
      <w:r>
        <w:rPr>
          <w:rStyle w:val="NormalTok"/>
        </w:rPr>
        <w:t xml:space="preserve"> </w:t>
      </w:r>
      <w:r>
        <w:rPr>
          <w:rStyle w:val="OperatorTok"/>
        </w:rPr>
        <w:t xml:space="preserve">=</w:t>
      </w:r>
      <w:r>
        <w:rPr>
          <w:rStyle w:val="NormalTok"/>
        </w:rPr>
        <w:t xml:space="preserve"> </w:t>
      </w:r>
      <w:r>
        <w:rPr>
          <w:rStyle w:val="StringTok"/>
        </w:rPr>
        <w:t xml:space="preserve">"AxonASPServer"</w:t>
      </w:r>
    </w:p>
    <w:bookmarkEnd w:id="418"/>
    <w:bookmarkStart w:id="419" w:name="service_display_name-1"/>
    <w:p>
      <w:pPr>
        <w:pStyle w:val="Heading3"/>
      </w:pPr>
      <w:r>
        <w:t xml:space="preserve">service_display_name</w:t>
      </w:r>
    </w:p>
    <w:p>
      <w:pPr>
        <w:pStyle w:val="FirstParagraph"/>
      </w:pPr>
      <w:r>
        <w:rPr>
          <w:b/>
          <w:bCs/>
        </w:rPr>
        <w:t xml:space="preserve">Type:</w:t>
      </w:r>
      <w:r>
        <w:t xml:space="preserve"> </w:t>
      </w:r>
      <w:r>
        <w:t xml:space="preserve">String</w:t>
      </w:r>
      <w:r>
        <w:br/>
      </w:r>
      <w:r>
        <w:rPr>
          <w:b/>
          <w:bCs/>
        </w:rPr>
        <w:t xml:space="preserve">Default:</w:t>
      </w:r>
      <w:r>
        <w:t xml:space="preserve"> </w:t>
      </w:r>
      <w:r>
        <w:t xml:space="preserve">“G3pix AxonASP Server”</w:t>
      </w:r>
      <w:r>
        <w:br/>
      </w:r>
      <w:r>
        <w:rPr>
          <w:b/>
          <w:bCs/>
        </w:rPr>
        <w:t xml:space="preserve">Environment Variable:</w:t>
      </w:r>
      <w:r>
        <w:t xml:space="preserve"> </w:t>
      </w:r>
      <w:r>
        <w:t xml:space="preserve">SERVICE_SERVICE_DISPLAY_NAME</w:t>
      </w:r>
    </w:p>
    <w:p>
      <w:pPr>
        <w:pStyle w:val="BodyText"/>
      </w:pPr>
      <w:r>
        <w:t xml:space="preserve">Human-readable service name shown in service management tools.</w:t>
      </w:r>
    </w:p>
    <w:p>
      <w:pPr>
        <w:pStyle w:val="BodyText"/>
      </w:pPr>
      <w:r>
        <w:rPr>
          <w:b/>
          <w:bCs/>
        </w:rPr>
        <w:t xml:space="preserve">Example:</w:t>
      </w:r>
    </w:p>
    <w:p>
      <w:pPr>
        <w:pStyle w:val="SourceCode"/>
      </w:pPr>
      <w:r>
        <w:rPr>
          <w:rStyle w:val="KeywordTok"/>
        </w:rPr>
        <w:t xml:space="preserve">[service]</w:t>
      </w:r>
      <w:r>
        <w:br/>
      </w:r>
      <w:r>
        <w:rPr>
          <w:rStyle w:val="DataTypeTok"/>
        </w:rPr>
        <w:t xml:space="preserve">service_display_name</w:t>
      </w:r>
      <w:r>
        <w:rPr>
          <w:rStyle w:val="NormalTok"/>
        </w:rPr>
        <w:t xml:space="preserve"> </w:t>
      </w:r>
      <w:r>
        <w:rPr>
          <w:rStyle w:val="OperatorTok"/>
        </w:rPr>
        <w:t xml:space="preserve">=</w:t>
      </w:r>
      <w:r>
        <w:rPr>
          <w:rStyle w:val="NormalTok"/>
        </w:rPr>
        <w:t xml:space="preserve"> </w:t>
      </w:r>
      <w:r>
        <w:rPr>
          <w:rStyle w:val="StringTok"/>
        </w:rPr>
        <w:t xml:space="preserve">"G3pix AxonASP Server"</w:t>
      </w:r>
    </w:p>
    <w:bookmarkEnd w:id="419"/>
    <w:bookmarkStart w:id="420" w:name="service_description-1"/>
    <w:p>
      <w:pPr>
        <w:pStyle w:val="Heading3"/>
      </w:pPr>
      <w:r>
        <w:t xml:space="preserve">service_description</w:t>
      </w:r>
    </w:p>
    <w:p>
      <w:pPr>
        <w:pStyle w:val="FirstParagraph"/>
      </w:pPr>
      <w:r>
        <w:rPr>
          <w:b/>
          <w:bCs/>
        </w:rPr>
        <w:t xml:space="preserve">Type:</w:t>
      </w:r>
      <w:r>
        <w:t xml:space="preserve"> </w:t>
      </w:r>
      <w:r>
        <w:t xml:space="preserve">String</w:t>
      </w:r>
      <w:r>
        <w:br/>
      </w:r>
      <w:r>
        <w:rPr>
          <w:b/>
          <w:bCs/>
        </w:rPr>
        <w:t xml:space="preserve">Default:</w:t>
      </w:r>
      <w:r>
        <w:t xml:space="preserve"> </w:t>
      </w:r>
      <w:r>
        <w:t xml:space="preserve">“AxonASP Service running AxonASP Server. This is a wrapper used by axonasp-http or axonasp-fastcgi.”</w:t>
      </w:r>
      <w:r>
        <w:br/>
      </w:r>
      <w:r>
        <w:rPr>
          <w:b/>
          <w:bCs/>
        </w:rPr>
        <w:t xml:space="preserve">Environment Variable:</w:t>
      </w:r>
      <w:r>
        <w:t xml:space="preserve"> </w:t>
      </w:r>
      <w:r>
        <w:t xml:space="preserve">SERVICE_SERVICE_DESCRIPTION</w:t>
      </w:r>
    </w:p>
    <w:p>
      <w:pPr>
        <w:pStyle w:val="BodyText"/>
      </w:pPr>
      <w:r>
        <w:t xml:space="preserve">Service description shown by the service manager.</w:t>
      </w:r>
    </w:p>
    <w:p>
      <w:pPr>
        <w:pStyle w:val="BodyText"/>
      </w:pPr>
      <w:r>
        <w:rPr>
          <w:b/>
          <w:bCs/>
        </w:rPr>
        <w:t xml:space="preserve">Example:</w:t>
      </w:r>
    </w:p>
    <w:p>
      <w:pPr>
        <w:pStyle w:val="SourceCode"/>
      </w:pPr>
      <w:r>
        <w:rPr>
          <w:rStyle w:val="KeywordTok"/>
        </w:rPr>
        <w:t xml:space="preserve">[service]</w:t>
      </w:r>
      <w:r>
        <w:br/>
      </w:r>
      <w:r>
        <w:rPr>
          <w:rStyle w:val="DataTypeTok"/>
        </w:rPr>
        <w:t xml:space="preserve">service_description</w:t>
      </w:r>
      <w:r>
        <w:rPr>
          <w:rStyle w:val="NormalTok"/>
        </w:rPr>
        <w:t xml:space="preserve"> </w:t>
      </w:r>
      <w:r>
        <w:rPr>
          <w:rStyle w:val="OperatorTok"/>
        </w:rPr>
        <w:t xml:space="preserve">=</w:t>
      </w:r>
      <w:r>
        <w:rPr>
          <w:rStyle w:val="NormalTok"/>
        </w:rPr>
        <w:t xml:space="preserve"> </w:t>
      </w:r>
      <w:r>
        <w:rPr>
          <w:rStyle w:val="StringTok"/>
        </w:rPr>
        <w:t xml:space="preserve">"AxonASP Service running AxonASP Server. This is a wrapper used by axonasp-http or axonasp-fastcgi."</w:t>
      </w:r>
    </w:p>
    <w:bookmarkEnd w:id="420"/>
    <w:bookmarkStart w:id="421" w:name="service_executable_path-1"/>
    <w:p>
      <w:pPr>
        <w:pStyle w:val="Heading3"/>
      </w:pPr>
      <w:r>
        <w:t xml:space="preserve">service_executable_path</w:t>
      </w:r>
    </w:p>
    <w:p>
      <w:pPr>
        <w:pStyle w:val="FirstParagraph"/>
      </w:pPr>
      <w:r>
        <w:rPr>
          <w:b/>
          <w:bCs/>
        </w:rPr>
        <w:t xml:space="preserve">Type:</w:t>
      </w:r>
      <w:r>
        <w:t xml:space="preserve"> </w:t>
      </w:r>
      <w:r>
        <w:t xml:space="preserve">String (path)</w:t>
      </w:r>
      <w:r>
        <w:br/>
      </w:r>
      <w:r>
        <w:rPr>
          <w:b/>
          <w:bCs/>
        </w:rPr>
        <w:t xml:space="preserve">Default:</w:t>
      </w:r>
      <w:r>
        <w:t xml:space="preserve"> </w:t>
      </w:r>
      <w:r>
        <w:t xml:space="preserve">“./axonasp-http”</w:t>
      </w:r>
      <w:r>
        <w:br/>
      </w:r>
      <w:r>
        <w:rPr>
          <w:b/>
          <w:bCs/>
        </w:rPr>
        <w:t xml:space="preserve">Environment Variable:</w:t>
      </w:r>
      <w:r>
        <w:t xml:space="preserve"> </w:t>
      </w:r>
      <w:r>
        <w:t xml:space="preserve">SERVICE_SERVICE_EXECUTABLE_PATH</w:t>
      </w:r>
    </w:p>
    <w:p>
      <w:pPr>
        <w:pStyle w:val="BodyText"/>
      </w:pPr>
      <w:r>
        <w:t xml:space="preserve">Executable path started by the wrapper process.</w:t>
      </w:r>
    </w:p>
    <w:p>
      <w:pPr>
        <w:pStyle w:val="BodyText"/>
      </w:pPr>
      <w:r>
        <w:t xml:space="preserve">Behavior:</w:t>
      </w:r>
    </w:p>
    <w:p>
      <w:pPr>
        <w:pStyle w:val="Compact"/>
        <w:numPr>
          <w:ilvl w:val="0"/>
          <w:numId w:val="1132"/>
        </w:numPr>
      </w:pPr>
      <w:r>
        <w:t xml:space="preserve">Relative paths are resolved from the wrapper executable directory.</w:t>
      </w:r>
    </w:p>
    <w:p>
      <w:pPr>
        <w:pStyle w:val="Compact"/>
        <w:numPr>
          <w:ilvl w:val="0"/>
          <w:numId w:val="1132"/>
        </w:numPr>
      </w:pPr>
      <w:r>
        <w:t xml:space="preserve">Windows automatically appends .exe when no file extension is provided.</w:t>
      </w:r>
    </w:p>
    <w:p>
      <w:pPr>
        <w:pStyle w:val="Compact"/>
        <w:numPr>
          <w:ilvl w:val="0"/>
          <w:numId w:val="1132"/>
        </w:numPr>
      </w:pPr>
      <w:r>
        <w:t xml:space="preserve">Can target axonasp-http or axonasp-fastcgi.</w:t>
      </w:r>
    </w:p>
    <w:p>
      <w:pPr>
        <w:pStyle w:val="FirstParagraph"/>
      </w:pPr>
      <w:r>
        <w:rPr>
          <w:b/>
          <w:bCs/>
        </w:rPr>
        <w:t xml:space="preserve">Example:</w:t>
      </w:r>
    </w:p>
    <w:p>
      <w:pPr>
        <w:pStyle w:val="SourceCode"/>
      </w:pPr>
      <w:r>
        <w:rPr>
          <w:rStyle w:val="KeywordTok"/>
        </w:rPr>
        <w:t xml:space="preserve">[service]</w:t>
      </w:r>
      <w:r>
        <w:br/>
      </w:r>
      <w:r>
        <w:rPr>
          <w:rStyle w:val="DataTypeTok"/>
        </w:rPr>
        <w:t xml:space="preserve">service_executable_path</w:t>
      </w:r>
      <w:r>
        <w:rPr>
          <w:rStyle w:val="NormalTok"/>
        </w:rPr>
        <w:t xml:space="preserve"> </w:t>
      </w:r>
      <w:r>
        <w:rPr>
          <w:rStyle w:val="OperatorTok"/>
        </w:rPr>
        <w:t xml:space="preserve">=</w:t>
      </w:r>
      <w:r>
        <w:rPr>
          <w:rStyle w:val="NormalTok"/>
        </w:rPr>
        <w:t xml:space="preserve"> </w:t>
      </w:r>
      <w:r>
        <w:rPr>
          <w:rStyle w:val="StringTok"/>
        </w:rPr>
        <w:t xml:space="preserve">"./axonasp-fastcgi"</w:t>
      </w:r>
    </w:p>
    <w:bookmarkEnd w:id="421"/>
    <w:bookmarkStart w:id="422" w:name="service_environment_variables-1"/>
    <w:p>
      <w:pPr>
        <w:pStyle w:val="Heading3"/>
      </w:pPr>
      <w:r>
        <w:t xml:space="preserve">service_environment_variables</w:t>
      </w:r>
    </w:p>
    <w:p>
      <w:pPr>
        <w:pStyle w:val="FirstParagraph"/>
      </w:pPr>
      <w:r>
        <w:rPr>
          <w:b/>
          <w:bCs/>
        </w:rPr>
        <w:t xml:space="preserve">Type:</w:t>
      </w:r>
      <w:r>
        <w:t xml:space="preserve"> </w:t>
      </w:r>
      <w:r>
        <w:t xml:space="preserve">Array of Strings (KEY=VALUE format)</w:t>
      </w:r>
      <w:r>
        <w:br/>
      </w:r>
      <w:r>
        <w:rPr>
          <w:b/>
          <w:bCs/>
        </w:rPr>
        <w:t xml:space="preserve">Default:</w:t>
      </w:r>
      <w:r>
        <w:t xml:space="preserve"> </w:t>
      </w:r>
      <w:r>
        <w:t xml:space="preserve">[]</w:t>
      </w:r>
      <w:r>
        <w:br/>
      </w:r>
      <w:r>
        <w:rPr>
          <w:b/>
          <w:bCs/>
        </w:rPr>
        <w:t xml:space="preserve">Environment Variable:</w:t>
      </w:r>
      <w:r>
        <w:t xml:space="preserve"> </w:t>
      </w:r>
      <w:r>
        <w:t xml:space="preserve">SERVICE_SERVICE_ENVIRONMENT_VARIABLES</w:t>
      </w:r>
    </w:p>
    <w:p>
      <w:pPr>
        <w:pStyle w:val="BodyText"/>
      </w:pPr>
      <w:r>
        <w:t xml:space="preserve">Environment variable entries applied to the child runtime process.</w:t>
      </w:r>
    </w:p>
    <w:p>
      <w:pPr>
        <w:pStyle w:val="BodyText"/>
      </w:pPr>
      <w:r>
        <w:rPr>
          <w:b/>
          <w:bCs/>
        </w:rPr>
        <w:t xml:space="preserve">Example:</w:t>
      </w:r>
    </w:p>
    <w:p>
      <w:pPr>
        <w:pStyle w:val="SourceCode"/>
      </w:pPr>
      <w:r>
        <w:rPr>
          <w:rStyle w:val="KeywordTok"/>
        </w:rPr>
        <w:t xml:space="preserve">[service]</w:t>
      </w:r>
      <w:r>
        <w:br/>
      </w:r>
      <w:r>
        <w:rPr>
          <w:rStyle w:val="DataTypeTok"/>
        </w:rPr>
        <w:t xml:space="preserve">service_environment_variables</w:t>
      </w:r>
      <w:r>
        <w:rPr>
          <w:rStyle w:val="NormalTok"/>
        </w:rPr>
        <w:t xml:space="preserve"> </w:t>
      </w:r>
      <w:r>
        <w:rPr>
          <w:rStyle w:val="OperatorTok"/>
        </w:rPr>
        <w:t xml:space="preserve">=</w:t>
      </w:r>
      <w:r>
        <w:rPr>
          <w:rStyle w:val="NormalTok"/>
        </w:rPr>
        <w:t xml:space="preserve"> </w:t>
      </w:r>
      <w:r>
        <w:rPr>
          <w:rStyle w:val="OperatorTok"/>
        </w:rPr>
        <w:t xml:space="preserve">[</w:t>
      </w:r>
      <w:r>
        <w:rPr>
          <w:rStyle w:val="StringTok"/>
        </w:rPr>
        <w:t xml:space="preserve">"SERVER_SERVER_PORT=9901"</w:t>
      </w:r>
      <w:r>
        <w:rPr>
          <w:rStyle w:val="OperatorTok"/>
        </w:rPr>
        <w:t xml:space="preserve">,</w:t>
      </w:r>
      <w:r>
        <w:rPr>
          <w:rStyle w:val="NormalTok"/>
        </w:rPr>
        <w:t xml:space="preserve"> </w:t>
      </w:r>
      <w:r>
        <w:rPr>
          <w:rStyle w:val="StringTok"/>
        </w:rPr>
        <w:t xml:space="preserve">"GLOBAL_DEFAULT_TIMEZONE=UTC"</w:t>
      </w:r>
      <w:r>
        <w:rPr>
          <w:rStyle w:val="OperatorTok"/>
        </w:rPr>
        <w:t xml:space="preserve">]</w:t>
      </w:r>
    </w:p>
    <w:p>
      <w:r>
        <w:pict>
          <v:rect style="width:0;height:1.5pt" o:hralign="center" o:hrstd="t" o:hr="t"/>
        </w:pict>
      </w:r>
    </w:p>
    <w:bookmarkEnd w:id="422"/>
    <w:bookmarkEnd w:id="423"/>
    <w:bookmarkStart w:id="427" w:name="configuration-examples"/>
    <w:p>
      <w:pPr>
        <w:pStyle w:val="Heading2"/>
      </w:pPr>
      <w:r>
        <w:t xml:space="preserve">Configuration Examples</w:t>
      </w:r>
    </w:p>
    <w:bookmarkStart w:id="424" w:name="development-setup"/>
    <w:p>
      <w:pPr>
        <w:pStyle w:val="Heading3"/>
      </w:pPr>
      <w:r>
        <w:t xml:space="preserve">Development Setup</w:t>
      </w:r>
    </w:p>
    <w:p>
      <w:pPr>
        <w:pStyle w:val="SourceCode"/>
      </w:pPr>
      <w:r>
        <w:rPr>
          <w:rStyle w:val="KeywordTok"/>
        </w:rPr>
        <w:t xml:space="preserve">[global]</w:t>
      </w:r>
      <w:r>
        <w:br/>
      </w:r>
      <w:r>
        <w:rPr>
          <w:rStyle w:val="DataTypeTok"/>
        </w:rPr>
        <w:t xml:space="preserve">default_charset</w:t>
      </w:r>
      <w:r>
        <w:rPr>
          <w:rStyle w:val="NormalTok"/>
        </w:rPr>
        <w:t xml:space="preserve"> </w:t>
      </w:r>
      <w:r>
        <w:rPr>
          <w:rStyle w:val="OperatorTok"/>
        </w:rPr>
        <w:t xml:space="preserve">=</w:t>
      </w:r>
      <w:r>
        <w:rPr>
          <w:rStyle w:val="NormalTok"/>
        </w:rPr>
        <w:t xml:space="preserve"> </w:t>
      </w:r>
      <w:r>
        <w:rPr>
          <w:rStyle w:val="StringTok"/>
        </w:rPr>
        <w:t xml:space="preserve">"UTF-8"</w:t>
      </w:r>
      <w:r>
        <w:br/>
      </w:r>
      <w:r>
        <w:rPr>
          <w:rStyle w:val="DataTypeTok"/>
        </w:rPr>
        <w:t xml:space="preserve">default_mslcid</w:t>
      </w:r>
      <w:r>
        <w:rPr>
          <w:rStyle w:val="NormalTok"/>
        </w:rPr>
        <w:t xml:space="preserve"> </w:t>
      </w:r>
      <w:r>
        <w:rPr>
          <w:rStyle w:val="OperatorTok"/>
        </w:rPr>
        <w:t xml:space="preserve">=</w:t>
      </w:r>
      <w:r>
        <w:rPr>
          <w:rStyle w:val="NormalTok"/>
        </w:rPr>
        <w:t xml:space="preserve"> </w:t>
      </w:r>
      <w:r>
        <w:rPr>
          <w:rStyle w:val="DecValTok"/>
        </w:rPr>
        <w:t xml:space="preserve">1033</w:t>
      </w:r>
      <w:r>
        <w:br/>
      </w:r>
      <w:r>
        <w:rPr>
          <w:rStyle w:val="DataTypeTok"/>
        </w:rPr>
        <w:t xml:space="preserve">default_script_timeout</w:t>
      </w:r>
      <w:r>
        <w:rPr>
          <w:rStyle w:val="NormalTok"/>
        </w:rPr>
        <w:t xml:space="preserve"> </w:t>
      </w:r>
      <w:r>
        <w:rPr>
          <w:rStyle w:val="OperatorTok"/>
        </w:rPr>
        <w:t xml:space="preserve">=</w:t>
      </w:r>
      <w:r>
        <w:rPr>
          <w:rStyle w:val="NormalTok"/>
        </w:rPr>
        <w:t xml:space="preserve"> </w:t>
      </w:r>
      <w:r>
        <w:rPr>
          <w:rStyle w:val="DecValTok"/>
        </w:rPr>
        <w:t xml:space="preserve">300</w:t>
      </w:r>
      <w:r>
        <w:br/>
      </w:r>
      <w:r>
        <w:rPr>
          <w:rStyle w:val="DataTypeTok"/>
        </w:rPr>
        <w:t xml:space="preserve">enable_asp_debugging</w:t>
      </w:r>
      <w:r>
        <w:rPr>
          <w:rStyle w:val="NormalTok"/>
        </w:rPr>
        <w:t xml:space="preserve"> </w:t>
      </w:r>
      <w:r>
        <w:rPr>
          <w:rStyle w:val="OperatorTok"/>
        </w:rPr>
        <w:t xml:space="preserve">=</w:t>
      </w:r>
      <w:r>
        <w:rPr>
          <w:rStyle w:val="NormalTok"/>
        </w:rPr>
        <w:t xml:space="preserve"> </w:t>
      </w:r>
      <w:r>
        <w:rPr>
          <w:rStyle w:val="ConstantTok"/>
        </w:rPr>
        <w:t xml:space="preserve">true</w:t>
      </w:r>
      <w:r>
        <w:br/>
      </w:r>
      <w:r>
        <w:rPr>
          <w:rStyle w:val="DataTypeTok"/>
        </w:rPr>
        <w:t xml:space="preserve">enable_log_files</w:t>
      </w:r>
      <w:r>
        <w:rPr>
          <w:rStyle w:val="NormalTok"/>
        </w:rPr>
        <w:t xml:space="preserve"> </w:t>
      </w:r>
      <w:r>
        <w:rPr>
          <w:rStyle w:val="OperatorTok"/>
        </w:rPr>
        <w:t xml:space="preserve">=</w:t>
      </w:r>
      <w:r>
        <w:rPr>
          <w:rStyle w:val="NormalTok"/>
        </w:rPr>
        <w:t xml:space="preserve"> </w:t>
      </w:r>
      <w:r>
        <w:rPr>
          <w:rStyle w:val="ConstantTok"/>
        </w:rPr>
        <w:t xml:space="preserve">true</w:t>
      </w:r>
      <w:r>
        <w:br/>
      </w:r>
      <w:r>
        <w:rPr>
          <w:rStyle w:val="DataTypeTok"/>
        </w:rPr>
        <w:t xml:space="preserve">dump_preprocessed_source</w:t>
      </w:r>
      <w:r>
        <w:rPr>
          <w:rStyle w:val="NormalTok"/>
        </w:rPr>
        <w:t xml:space="preserve"> </w:t>
      </w:r>
      <w:r>
        <w:rPr>
          <w:rStyle w:val="OperatorTok"/>
        </w:rPr>
        <w:t xml:space="preserve">=</w:t>
      </w:r>
      <w:r>
        <w:rPr>
          <w:rStyle w:val="NormalTok"/>
        </w:rPr>
        <w:t xml:space="preserve"> </w:t>
      </w:r>
      <w:r>
        <w:rPr>
          <w:rStyle w:val="ConstantTok"/>
        </w:rPr>
        <w:t xml:space="preserve">false</w:t>
      </w:r>
      <w:r>
        <w:br/>
      </w:r>
      <w:r>
        <w:rPr>
          <w:rStyle w:val="DataTypeTok"/>
        </w:rPr>
        <w:t xml:space="preserve">clean_sessions_on_startup</w:t>
      </w:r>
      <w:r>
        <w:rPr>
          <w:rStyle w:val="NormalTok"/>
        </w:rPr>
        <w:t xml:space="preserve"> </w:t>
      </w:r>
      <w:r>
        <w:rPr>
          <w:rStyle w:val="OperatorTok"/>
        </w:rPr>
        <w:t xml:space="preserve">=</w:t>
      </w:r>
      <w:r>
        <w:rPr>
          <w:rStyle w:val="NormalTok"/>
        </w:rPr>
        <w:t xml:space="preserve"> </w:t>
      </w:r>
      <w:r>
        <w:rPr>
          <w:rStyle w:val="ConstantTok"/>
        </w:rPr>
        <w:t xml:space="preserve">false</w:t>
      </w:r>
      <w:r>
        <w:br/>
      </w:r>
      <w:r>
        <w:rPr>
          <w:rStyle w:val="DataTypeTok"/>
        </w:rPr>
        <w:t xml:space="preserve">bytecode_caching_enabled</w:t>
      </w:r>
      <w:r>
        <w:rPr>
          <w:rStyle w:val="NormalTok"/>
        </w:rPr>
        <w:t xml:space="preserve"> </w:t>
      </w:r>
      <w:r>
        <w:rPr>
          <w:rStyle w:val="OperatorTok"/>
        </w:rPr>
        <w:t xml:space="preserve">=</w:t>
      </w:r>
      <w:r>
        <w:rPr>
          <w:rStyle w:val="NormalTok"/>
        </w:rPr>
        <w:t xml:space="preserve"> </w:t>
      </w:r>
      <w:r>
        <w:rPr>
          <w:rStyle w:val="StringTok"/>
        </w:rPr>
        <w:t xml:space="preserve">"enabled"</w:t>
      </w:r>
      <w:r>
        <w:br/>
      </w:r>
      <w:r>
        <w:rPr>
          <w:rStyle w:val="DataTypeTok"/>
        </w:rPr>
        <w:t xml:space="preserve">cache_max_size_mb</w:t>
      </w:r>
      <w:r>
        <w:rPr>
          <w:rStyle w:val="NormalTok"/>
        </w:rPr>
        <w:t xml:space="preserve"> </w:t>
      </w:r>
      <w:r>
        <w:rPr>
          <w:rStyle w:val="OperatorTok"/>
        </w:rPr>
        <w:t xml:space="preserve">=</w:t>
      </w:r>
      <w:r>
        <w:rPr>
          <w:rStyle w:val="NormalTok"/>
        </w:rPr>
        <w:t xml:space="preserve"> </w:t>
      </w:r>
      <w:r>
        <w:rPr>
          <w:rStyle w:val="DecValTok"/>
        </w:rPr>
        <w:t xml:space="preserve">256</w:t>
      </w:r>
      <w:r>
        <w:br/>
      </w:r>
      <w:r>
        <w:rPr>
          <w:rStyle w:val="DataTypeTok"/>
        </w:rPr>
        <w:t xml:space="preserve">clean_cache_on_startup</w:t>
      </w:r>
      <w:r>
        <w:rPr>
          <w:rStyle w:val="NormalTok"/>
        </w:rPr>
        <w:t xml:space="preserve"> </w:t>
      </w:r>
      <w:r>
        <w:rPr>
          <w:rStyle w:val="OperatorTok"/>
        </w:rPr>
        <w:t xml:space="preserve">=</w:t>
      </w:r>
      <w:r>
        <w:rPr>
          <w:rStyle w:val="NormalTok"/>
        </w:rPr>
        <w:t xml:space="preserve"> </w:t>
      </w:r>
      <w:r>
        <w:rPr>
          <w:rStyle w:val="ConstantTok"/>
        </w:rPr>
        <w:t xml:space="preserve">true</w:t>
      </w:r>
      <w:r>
        <w:br/>
      </w:r>
      <w:r>
        <w:rPr>
          <w:rStyle w:val="DataTypeTok"/>
        </w:rPr>
        <w:t xml:space="preserve">vm_pool_size</w:t>
      </w:r>
      <w:r>
        <w:rPr>
          <w:rStyle w:val="NormalTok"/>
        </w:rPr>
        <w:t xml:space="preserve"> </w:t>
      </w:r>
      <w:r>
        <w:rPr>
          <w:rStyle w:val="OperatorTok"/>
        </w:rPr>
        <w:t xml:space="preserve">=</w:t>
      </w:r>
      <w:r>
        <w:rPr>
          <w:rStyle w:val="NormalTok"/>
        </w:rPr>
        <w:t xml:space="preserve"> </w:t>
      </w:r>
      <w:r>
        <w:rPr>
          <w:rStyle w:val="DecValTok"/>
        </w:rPr>
        <w:t xml:space="preserve">50</w:t>
      </w:r>
      <w:r>
        <w:br/>
      </w:r>
      <w:r>
        <w:rPr>
          <w:rStyle w:val="DataTypeTok"/>
        </w:rPr>
        <w:t xml:space="preserve">golang_memory_limit_mb</w:t>
      </w:r>
      <w:r>
        <w:rPr>
          <w:rStyle w:val="NormalTok"/>
        </w:rPr>
        <w:t xml:space="preserve"> </w:t>
      </w:r>
      <w:r>
        <w:rPr>
          <w:rStyle w:val="OperatorTok"/>
        </w:rPr>
        <w:t xml:space="preserve">=</w:t>
      </w:r>
      <w:r>
        <w:rPr>
          <w:rStyle w:val="NormalTok"/>
        </w:rPr>
        <w:t xml:space="preserve"> </w:t>
      </w:r>
      <w:r>
        <w:rPr>
          <w:rStyle w:val="DecValTok"/>
        </w:rPr>
        <w:t xml:space="preserve">256</w:t>
      </w:r>
      <w:r>
        <w:br/>
      </w:r>
      <w:r>
        <w:br/>
      </w:r>
      <w:r>
        <w:rPr>
          <w:rStyle w:val="KeywordTok"/>
        </w:rPr>
        <w:t xml:space="preserve">[server]</w:t>
      </w:r>
      <w:r>
        <w:br/>
      </w:r>
      <w:r>
        <w:rPr>
          <w:rStyle w:val="DataTypeTok"/>
        </w:rPr>
        <w:t xml:space="preserve">server_port</w:t>
      </w:r>
      <w:r>
        <w:rPr>
          <w:rStyle w:val="NormalTok"/>
        </w:rPr>
        <w:t xml:space="preserve"> </w:t>
      </w:r>
      <w:r>
        <w:rPr>
          <w:rStyle w:val="OperatorTok"/>
        </w:rPr>
        <w:t xml:space="preserve">=</w:t>
      </w:r>
      <w:r>
        <w:rPr>
          <w:rStyle w:val="NormalTok"/>
        </w:rPr>
        <w:t xml:space="preserve"> </w:t>
      </w:r>
      <w:r>
        <w:rPr>
          <w:rStyle w:val="DecValTok"/>
        </w:rPr>
        <w:t xml:space="preserve">8801</w:t>
      </w:r>
      <w:r>
        <w:br/>
      </w:r>
      <w:r>
        <w:rPr>
          <w:rStyle w:val="DataTypeTok"/>
        </w:rPr>
        <w:t xml:space="preserve">enable_directory_listing</w:t>
      </w:r>
      <w:r>
        <w:rPr>
          <w:rStyle w:val="NormalTok"/>
        </w:rPr>
        <w:t xml:space="preserve"> </w:t>
      </w:r>
      <w:r>
        <w:rPr>
          <w:rStyle w:val="OperatorTok"/>
        </w:rPr>
        <w:t xml:space="preserve">=</w:t>
      </w:r>
      <w:r>
        <w:rPr>
          <w:rStyle w:val="NormalTok"/>
        </w:rPr>
        <w:t xml:space="preserve"> </w:t>
      </w:r>
      <w:r>
        <w:rPr>
          <w:rStyle w:val="ConstantTok"/>
        </w:rPr>
        <w:t xml:space="preserve">true</w:t>
      </w:r>
    </w:p>
    <w:bookmarkEnd w:id="424"/>
    <w:bookmarkStart w:id="425" w:name="production-setup"/>
    <w:p>
      <w:pPr>
        <w:pStyle w:val="Heading3"/>
      </w:pPr>
      <w:r>
        <w:t xml:space="preserve">Production Setup</w:t>
      </w:r>
    </w:p>
    <w:p>
      <w:pPr>
        <w:pStyle w:val="SourceCode"/>
      </w:pPr>
      <w:r>
        <w:rPr>
          <w:rStyle w:val="KeywordTok"/>
        </w:rPr>
        <w:t xml:space="preserve">[global]</w:t>
      </w:r>
      <w:r>
        <w:br/>
      </w:r>
      <w:r>
        <w:rPr>
          <w:rStyle w:val="DataTypeTok"/>
        </w:rPr>
        <w:t xml:space="preserve">default_charset</w:t>
      </w:r>
      <w:r>
        <w:rPr>
          <w:rStyle w:val="NormalTok"/>
        </w:rPr>
        <w:t xml:space="preserve"> </w:t>
      </w:r>
      <w:r>
        <w:rPr>
          <w:rStyle w:val="OperatorTok"/>
        </w:rPr>
        <w:t xml:space="preserve">=</w:t>
      </w:r>
      <w:r>
        <w:rPr>
          <w:rStyle w:val="NormalTok"/>
        </w:rPr>
        <w:t xml:space="preserve"> </w:t>
      </w:r>
      <w:r>
        <w:rPr>
          <w:rStyle w:val="StringTok"/>
        </w:rPr>
        <w:t xml:space="preserve">"UTF-8"</w:t>
      </w:r>
      <w:r>
        <w:br/>
      </w:r>
      <w:r>
        <w:rPr>
          <w:rStyle w:val="DataTypeTok"/>
        </w:rPr>
        <w:t xml:space="preserve">default_mslcid</w:t>
      </w:r>
      <w:r>
        <w:rPr>
          <w:rStyle w:val="NormalTok"/>
        </w:rPr>
        <w:t xml:space="preserve"> </w:t>
      </w:r>
      <w:r>
        <w:rPr>
          <w:rStyle w:val="OperatorTok"/>
        </w:rPr>
        <w:t xml:space="preserve">=</w:t>
      </w:r>
      <w:r>
        <w:rPr>
          <w:rStyle w:val="NormalTok"/>
        </w:rPr>
        <w:t xml:space="preserve"> </w:t>
      </w:r>
      <w:r>
        <w:rPr>
          <w:rStyle w:val="DecValTok"/>
        </w:rPr>
        <w:t xml:space="preserve">1033</w:t>
      </w:r>
      <w:r>
        <w:br/>
      </w:r>
      <w:r>
        <w:rPr>
          <w:rStyle w:val="DataTypeTok"/>
        </w:rPr>
        <w:t xml:space="preserve">default_script_timeout</w:t>
      </w:r>
      <w:r>
        <w:rPr>
          <w:rStyle w:val="NormalTok"/>
        </w:rPr>
        <w:t xml:space="preserve"> </w:t>
      </w:r>
      <w:r>
        <w:rPr>
          <w:rStyle w:val="OperatorTok"/>
        </w:rPr>
        <w:t xml:space="preserve">=</w:t>
      </w:r>
      <w:r>
        <w:rPr>
          <w:rStyle w:val="NormalTok"/>
        </w:rPr>
        <w:t xml:space="preserve"> </w:t>
      </w:r>
      <w:r>
        <w:rPr>
          <w:rStyle w:val="DecValTok"/>
        </w:rPr>
        <w:t xml:space="preserve">60</w:t>
      </w:r>
      <w:r>
        <w:br/>
      </w:r>
      <w:r>
        <w:rPr>
          <w:rStyle w:val="DataTypeTok"/>
        </w:rPr>
        <w:t xml:space="preserve">enable_asp_debugging</w:t>
      </w:r>
      <w:r>
        <w:rPr>
          <w:rStyle w:val="NormalTok"/>
        </w:rPr>
        <w:t xml:space="preserve"> </w:t>
      </w:r>
      <w:r>
        <w:rPr>
          <w:rStyle w:val="OperatorTok"/>
        </w:rPr>
        <w:t xml:space="preserve">=</w:t>
      </w:r>
      <w:r>
        <w:rPr>
          <w:rStyle w:val="NormalTok"/>
        </w:rPr>
        <w:t xml:space="preserve"> </w:t>
      </w:r>
      <w:r>
        <w:rPr>
          <w:rStyle w:val="ConstantTok"/>
        </w:rPr>
        <w:t xml:space="preserve">false</w:t>
      </w:r>
      <w:r>
        <w:br/>
      </w:r>
      <w:r>
        <w:rPr>
          <w:rStyle w:val="DataTypeTok"/>
        </w:rPr>
        <w:t xml:space="preserve">enable_log_files</w:t>
      </w:r>
      <w:r>
        <w:rPr>
          <w:rStyle w:val="NormalTok"/>
        </w:rPr>
        <w:t xml:space="preserve"> </w:t>
      </w:r>
      <w:r>
        <w:rPr>
          <w:rStyle w:val="OperatorTok"/>
        </w:rPr>
        <w:t xml:space="preserve">=</w:t>
      </w:r>
      <w:r>
        <w:rPr>
          <w:rStyle w:val="NormalTok"/>
        </w:rPr>
        <w:t xml:space="preserve"> </w:t>
      </w:r>
      <w:r>
        <w:rPr>
          <w:rStyle w:val="ConstantTok"/>
        </w:rPr>
        <w:t xml:space="preserve">true</w:t>
      </w:r>
      <w:r>
        <w:br/>
      </w:r>
      <w:r>
        <w:rPr>
          <w:rStyle w:val="DataTypeTok"/>
        </w:rPr>
        <w:t xml:space="preserve">dump_preprocessed_source</w:t>
      </w:r>
      <w:r>
        <w:rPr>
          <w:rStyle w:val="NormalTok"/>
        </w:rPr>
        <w:t xml:space="preserve"> </w:t>
      </w:r>
      <w:r>
        <w:rPr>
          <w:rStyle w:val="OperatorTok"/>
        </w:rPr>
        <w:t xml:space="preserve">=</w:t>
      </w:r>
      <w:r>
        <w:rPr>
          <w:rStyle w:val="NormalTok"/>
        </w:rPr>
        <w:t xml:space="preserve"> </w:t>
      </w:r>
      <w:r>
        <w:rPr>
          <w:rStyle w:val="ConstantTok"/>
        </w:rPr>
        <w:t xml:space="preserve">false</w:t>
      </w:r>
      <w:r>
        <w:br/>
      </w:r>
      <w:r>
        <w:rPr>
          <w:rStyle w:val="DataTypeTok"/>
        </w:rPr>
        <w:t xml:space="preserve">clean_sessions_on_startup</w:t>
      </w:r>
      <w:r>
        <w:rPr>
          <w:rStyle w:val="NormalTok"/>
        </w:rPr>
        <w:t xml:space="preserve"> </w:t>
      </w:r>
      <w:r>
        <w:rPr>
          <w:rStyle w:val="OperatorTok"/>
        </w:rPr>
        <w:t xml:space="preserve">=</w:t>
      </w:r>
      <w:r>
        <w:rPr>
          <w:rStyle w:val="NormalTok"/>
        </w:rPr>
        <w:t xml:space="preserve"> </w:t>
      </w:r>
      <w:r>
        <w:rPr>
          <w:rStyle w:val="ConstantTok"/>
        </w:rPr>
        <w:t xml:space="preserve">false</w:t>
      </w:r>
      <w:r>
        <w:br/>
      </w:r>
      <w:r>
        <w:rPr>
          <w:rStyle w:val="DataTypeTok"/>
        </w:rPr>
        <w:t xml:space="preserve">bytecode_caching_enabled</w:t>
      </w:r>
      <w:r>
        <w:rPr>
          <w:rStyle w:val="NormalTok"/>
        </w:rPr>
        <w:t xml:space="preserve"> </w:t>
      </w:r>
      <w:r>
        <w:rPr>
          <w:rStyle w:val="OperatorTok"/>
        </w:rPr>
        <w:t xml:space="preserve">=</w:t>
      </w:r>
      <w:r>
        <w:rPr>
          <w:rStyle w:val="NormalTok"/>
        </w:rPr>
        <w:t xml:space="preserve"> </w:t>
      </w:r>
      <w:r>
        <w:rPr>
          <w:rStyle w:val="StringTok"/>
        </w:rPr>
        <w:t xml:space="preserve">"enabled"</w:t>
      </w:r>
      <w:r>
        <w:br/>
      </w:r>
      <w:r>
        <w:rPr>
          <w:rStyle w:val="DataTypeTok"/>
        </w:rPr>
        <w:t xml:space="preserve">cache_max_size_mb</w:t>
      </w:r>
      <w:r>
        <w:rPr>
          <w:rStyle w:val="NormalTok"/>
        </w:rPr>
        <w:t xml:space="preserve"> </w:t>
      </w:r>
      <w:r>
        <w:rPr>
          <w:rStyle w:val="OperatorTok"/>
        </w:rPr>
        <w:t xml:space="preserve">=</w:t>
      </w:r>
      <w:r>
        <w:rPr>
          <w:rStyle w:val="NormalTok"/>
        </w:rPr>
        <w:t xml:space="preserve"> </w:t>
      </w:r>
      <w:r>
        <w:rPr>
          <w:rStyle w:val="DecValTok"/>
        </w:rPr>
        <w:t xml:space="preserve">512</w:t>
      </w:r>
      <w:r>
        <w:br/>
      </w:r>
      <w:r>
        <w:rPr>
          <w:rStyle w:val="DataTypeTok"/>
        </w:rPr>
        <w:t xml:space="preserve">clean_cache_on_startup</w:t>
      </w:r>
      <w:r>
        <w:rPr>
          <w:rStyle w:val="NormalTok"/>
        </w:rPr>
        <w:t xml:space="preserve"> </w:t>
      </w:r>
      <w:r>
        <w:rPr>
          <w:rStyle w:val="OperatorTok"/>
        </w:rPr>
        <w:t xml:space="preserve">=</w:t>
      </w:r>
      <w:r>
        <w:rPr>
          <w:rStyle w:val="NormalTok"/>
        </w:rPr>
        <w:t xml:space="preserve"> </w:t>
      </w:r>
      <w:r>
        <w:rPr>
          <w:rStyle w:val="ConstantTok"/>
        </w:rPr>
        <w:t xml:space="preserve">false</w:t>
      </w:r>
      <w:r>
        <w:br/>
      </w:r>
      <w:r>
        <w:rPr>
          <w:rStyle w:val="DataTypeTok"/>
        </w:rPr>
        <w:t xml:space="preserve">vm_pool_size</w:t>
      </w:r>
      <w:r>
        <w:rPr>
          <w:rStyle w:val="NormalTok"/>
        </w:rPr>
        <w:t xml:space="preserve"> </w:t>
      </w:r>
      <w:r>
        <w:rPr>
          <w:rStyle w:val="OperatorTok"/>
        </w:rPr>
        <w:t xml:space="preserve">=</w:t>
      </w:r>
      <w:r>
        <w:rPr>
          <w:rStyle w:val="NormalTok"/>
        </w:rPr>
        <w:t xml:space="preserve"> </w:t>
      </w:r>
      <w:r>
        <w:rPr>
          <w:rStyle w:val="DecValTok"/>
        </w:rPr>
        <w:t xml:space="preserve">200</w:t>
      </w:r>
      <w:r>
        <w:br/>
      </w:r>
      <w:r>
        <w:rPr>
          <w:rStyle w:val="DataTypeTok"/>
        </w:rPr>
        <w:t xml:space="preserve">golang_memory_limit_mb</w:t>
      </w:r>
      <w:r>
        <w:rPr>
          <w:rStyle w:val="NormalTok"/>
        </w:rPr>
        <w:t xml:space="preserve"> </w:t>
      </w:r>
      <w:r>
        <w:rPr>
          <w:rStyle w:val="OperatorTok"/>
        </w:rPr>
        <w:t xml:space="preserve">=</w:t>
      </w:r>
      <w:r>
        <w:rPr>
          <w:rStyle w:val="NormalTok"/>
        </w:rPr>
        <w:t xml:space="preserve"> </w:t>
      </w:r>
      <w:r>
        <w:rPr>
          <w:rStyle w:val="DecValTok"/>
        </w:rPr>
        <w:t xml:space="preserve">512</w:t>
      </w:r>
      <w:r>
        <w:br/>
      </w:r>
      <w:r>
        <w:br/>
      </w:r>
      <w:r>
        <w:rPr>
          <w:rStyle w:val="KeywordTok"/>
        </w:rPr>
        <w:t xml:space="preserve">[server]</w:t>
      </w:r>
      <w:r>
        <w:br/>
      </w:r>
      <w:r>
        <w:rPr>
          <w:rStyle w:val="DataTypeTok"/>
        </w:rPr>
        <w:t xml:space="preserve">server_port</w:t>
      </w:r>
      <w:r>
        <w:rPr>
          <w:rStyle w:val="NormalTok"/>
        </w:rPr>
        <w:t xml:space="preserve"> </w:t>
      </w:r>
      <w:r>
        <w:rPr>
          <w:rStyle w:val="OperatorTok"/>
        </w:rPr>
        <w:t xml:space="preserve">=</w:t>
      </w:r>
      <w:r>
        <w:rPr>
          <w:rStyle w:val="NormalTok"/>
        </w:rPr>
        <w:t xml:space="preserve"> </w:t>
      </w:r>
      <w:r>
        <w:rPr>
          <w:rStyle w:val="DecValTok"/>
        </w:rPr>
        <w:t xml:space="preserve">8801</w:t>
      </w:r>
      <w:r>
        <w:br/>
      </w:r>
      <w:r>
        <w:rPr>
          <w:rStyle w:val="DataTypeTok"/>
        </w:rPr>
        <w:t xml:space="preserve">enable_directory_listing</w:t>
      </w:r>
      <w:r>
        <w:rPr>
          <w:rStyle w:val="NormalTok"/>
        </w:rPr>
        <w:t xml:space="preserve"> </w:t>
      </w:r>
      <w:r>
        <w:rPr>
          <w:rStyle w:val="OperatorTok"/>
        </w:rPr>
        <w:t xml:space="preserve">=</w:t>
      </w:r>
      <w:r>
        <w:rPr>
          <w:rStyle w:val="NormalTok"/>
        </w:rPr>
        <w:t xml:space="preserve"> </w:t>
      </w:r>
      <w:r>
        <w:rPr>
          <w:rStyle w:val="ConstantTok"/>
        </w:rPr>
        <w:t xml:space="preserve">false</w:t>
      </w:r>
      <w:r>
        <w:br/>
      </w:r>
      <w:r>
        <w:br/>
      </w:r>
      <w:r>
        <w:rPr>
          <w:rStyle w:val="KeywordTok"/>
        </w:rPr>
        <w:t xml:space="preserve">[cli]</w:t>
      </w:r>
      <w:r>
        <w:br/>
      </w:r>
      <w:r>
        <w:rPr>
          <w:rStyle w:val="DataTypeTok"/>
        </w:rPr>
        <w:t xml:space="preserve">enable_cli</w:t>
      </w:r>
      <w:r>
        <w:rPr>
          <w:rStyle w:val="NormalTok"/>
        </w:rPr>
        <w:t xml:space="preserve"> </w:t>
      </w:r>
      <w:r>
        <w:rPr>
          <w:rStyle w:val="OperatorTok"/>
        </w:rPr>
        <w:t xml:space="preserve">=</w:t>
      </w:r>
      <w:r>
        <w:rPr>
          <w:rStyle w:val="NormalTok"/>
        </w:rPr>
        <w:t xml:space="preserve"> </w:t>
      </w:r>
      <w:r>
        <w:rPr>
          <w:rStyle w:val="ConstantTok"/>
        </w:rPr>
        <w:t xml:space="preserve">false</w:t>
      </w:r>
      <w:r>
        <w:br/>
      </w:r>
      <w:r>
        <w:rPr>
          <w:rStyle w:val="DataTypeTok"/>
        </w:rPr>
        <w:t xml:space="preserve">enable_cli_run_from_command_line</w:t>
      </w:r>
      <w:r>
        <w:rPr>
          <w:rStyle w:val="NormalTok"/>
        </w:rPr>
        <w:t xml:space="preserve"> </w:t>
      </w:r>
      <w:r>
        <w:rPr>
          <w:rStyle w:val="OperatorTok"/>
        </w:rPr>
        <w:t xml:space="preserve">=</w:t>
      </w:r>
      <w:r>
        <w:rPr>
          <w:rStyle w:val="NormalTok"/>
        </w:rPr>
        <w:t xml:space="preserve"> </w:t>
      </w:r>
      <w:r>
        <w:rPr>
          <w:rStyle w:val="ConstantTok"/>
        </w:rPr>
        <w:t xml:space="preserve">false</w:t>
      </w:r>
    </w:p>
    <w:bookmarkEnd w:id="425"/>
    <w:bookmarkStart w:id="426" w:name="dockercontainer-setup"/>
    <w:p>
      <w:pPr>
        <w:pStyle w:val="Heading3"/>
      </w:pPr>
      <w:r>
        <w:t xml:space="preserve">Docker/Container Setup</w:t>
      </w:r>
    </w:p>
    <w:p>
      <w:pPr>
        <w:pStyle w:val="FirstParagraph"/>
      </w:pPr>
      <w:r>
        <w:t xml:space="preserve">Use environment variables instead of modifying the configuration file:</w:t>
      </w:r>
    </w:p>
    <w:p>
      <w:pPr>
        <w:pStyle w:val="SourceCode"/>
      </w:pPr>
      <w:r>
        <w:rPr>
          <w:rStyle w:val="CommentTok"/>
        </w:rPr>
        <w:t xml:space="preserve"># docker-compose.yml example</w:t>
      </w:r>
      <w:r>
        <w:br/>
      </w:r>
      <w:r>
        <w:rPr>
          <w:rStyle w:val="FunctionTok"/>
        </w:rPr>
        <w:t xml:space="preserve">services</w:t>
      </w:r>
      <w:r>
        <w:rPr>
          <w:rStyle w:val="KeywordTok"/>
        </w:rPr>
        <w:t xml:space="preserve">:</w:t>
      </w:r>
      <w:r>
        <w:br/>
      </w:r>
      <w:r>
        <w:rPr>
          <w:rStyle w:val="AttributeTok"/>
        </w:rPr>
        <w:t xml:space="preserve">  </w:t>
      </w:r>
      <w:r>
        <w:rPr>
          <w:rStyle w:val="FunctionTok"/>
        </w:rPr>
        <w:t xml:space="preserve">axonasp</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axonasp:latest</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DEFAULT_SCRIPT_TIMEOUT</w:t>
      </w:r>
      <w:r>
        <w:rPr>
          <w:rStyle w:val="KeywordTok"/>
        </w:rPr>
        <w:t xml:space="preserve">:</w:t>
      </w:r>
      <w:r>
        <w:rPr>
          <w:rStyle w:val="AttributeTok"/>
        </w:rPr>
        <w:t xml:space="preserve"> </w:t>
      </w:r>
      <w:r>
        <w:rPr>
          <w:rStyle w:val="StringTok"/>
        </w:rPr>
        <w:t xml:space="preserve">"120"</w:t>
      </w:r>
      <w:r>
        <w:br/>
      </w:r>
      <w:r>
        <w:rPr>
          <w:rStyle w:val="AttributeTok"/>
        </w:rPr>
        <w:t xml:space="preserve">      </w:t>
      </w:r>
      <w:r>
        <w:rPr>
          <w:rStyle w:val="FunctionTok"/>
        </w:rPr>
        <w:t xml:space="preserve">SERVER_PORT</w:t>
      </w:r>
      <w:r>
        <w:rPr>
          <w:rStyle w:val="KeywordTok"/>
        </w:rPr>
        <w:t xml:space="preserve">:</w:t>
      </w:r>
      <w:r>
        <w:rPr>
          <w:rStyle w:val="AttributeTok"/>
        </w:rPr>
        <w:t xml:space="preserve"> </w:t>
      </w:r>
      <w:r>
        <w:rPr>
          <w:rStyle w:val="StringTok"/>
        </w:rPr>
        <w:t xml:space="preserve">"8801"</w:t>
      </w:r>
      <w:r>
        <w:br/>
      </w:r>
      <w:r>
        <w:rPr>
          <w:rStyle w:val="AttributeTok"/>
        </w:rPr>
        <w:t xml:space="preserve">      </w:t>
      </w:r>
      <w:r>
        <w:rPr>
          <w:rStyle w:val="FunctionTok"/>
        </w:rPr>
        <w:t xml:space="preserve">VM_POOL_SIZE</w:t>
      </w:r>
      <w:r>
        <w:rPr>
          <w:rStyle w:val="KeywordTok"/>
        </w:rPr>
        <w:t xml:space="preserve">:</w:t>
      </w:r>
      <w:r>
        <w:rPr>
          <w:rStyle w:val="AttributeTok"/>
        </w:rPr>
        <w:t xml:space="preserve"> </w:t>
      </w:r>
      <w:r>
        <w:rPr>
          <w:rStyle w:val="StringTok"/>
        </w:rPr>
        <w:t xml:space="preserve">"100"</w:t>
      </w:r>
      <w:r>
        <w:br/>
      </w:r>
      <w:r>
        <w:rPr>
          <w:rStyle w:val="AttributeTok"/>
        </w:rPr>
        <w:t xml:space="preserve">      </w:t>
      </w:r>
      <w:r>
        <w:rPr>
          <w:rStyle w:val="FunctionTok"/>
        </w:rPr>
        <w:t xml:space="preserve">GOLANG_MEMORY_LIMIT_MB</w:t>
      </w:r>
      <w:r>
        <w:rPr>
          <w:rStyle w:val="KeywordTok"/>
        </w:rPr>
        <w:t xml:space="preserve">:</w:t>
      </w:r>
      <w:r>
        <w:rPr>
          <w:rStyle w:val="AttributeTok"/>
        </w:rPr>
        <w:t xml:space="preserve"> </w:t>
      </w:r>
      <w:r>
        <w:rPr>
          <w:rStyle w:val="StringTok"/>
        </w:rPr>
        <w:t xml:space="preserve">"256"</w:t>
      </w:r>
      <w:r>
        <w:br/>
      </w:r>
      <w:r>
        <w:rPr>
          <w:rStyle w:val="AttributeTok"/>
        </w:rPr>
        <w:t xml:space="preserve">      </w:t>
      </w:r>
      <w:r>
        <w:rPr>
          <w:rStyle w:val="FunctionTok"/>
        </w:rPr>
        <w:t xml:space="preserve">MYSQL_HOST</w:t>
      </w:r>
      <w:r>
        <w:rPr>
          <w:rStyle w:val="KeywordTok"/>
        </w:rPr>
        <w:t xml:space="preserve">:</w:t>
      </w:r>
      <w:r>
        <w:rPr>
          <w:rStyle w:val="AttributeTok"/>
        </w:rPr>
        <w:t xml:space="preserve"> </w:t>
      </w:r>
      <w:r>
        <w:rPr>
          <w:rStyle w:val="StringTok"/>
        </w:rPr>
        <w:t xml:space="preserve">"mysql"</w:t>
      </w:r>
      <w:r>
        <w:br/>
      </w:r>
      <w:r>
        <w:rPr>
          <w:rStyle w:val="AttributeTok"/>
        </w:rPr>
        <w:t xml:space="preserve">      </w:t>
      </w:r>
      <w:r>
        <w:rPr>
          <w:rStyle w:val="FunctionTok"/>
        </w:rPr>
        <w:t xml:space="preserve">MYSQL_USER</w:t>
      </w:r>
      <w:r>
        <w:rPr>
          <w:rStyle w:val="KeywordTok"/>
        </w:rPr>
        <w:t xml:space="preserve">:</w:t>
      </w:r>
      <w:r>
        <w:rPr>
          <w:rStyle w:val="AttributeTok"/>
        </w:rPr>
        <w:t xml:space="preserve"> </w:t>
      </w:r>
      <w:r>
        <w:rPr>
          <w:rStyle w:val="StringTok"/>
        </w:rPr>
        <w:t xml:space="preserve">"appuser"</w:t>
      </w:r>
      <w:r>
        <w:br/>
      </w:r>
      <w:r>
        <w:rPr>
          <w:rStyle w:val="AttributeTok"/>
        </w:rPr>
        <w:t xml:space="preserve">      </w:t>
      </w:r>
      <w:r>
        <w:rPr>
          <w:rStyle w:val="FunctionTok"/>
        </w:rPr>
        <w:t xml:space="preserve">MYSQL_PASS</w:t>
      </w:r>
      <w:r>
        <w:rPr>
          <w:rStyle w:val="KeywordTok"/>
        </w:rPr>
        <w:t xml:space="preserve">:</w:t>
      </w:r>
      <w:r>
        <w:rPr>
          <w:rStyle w:val="AttributeTok"/>
        </w:rPr>
        <w:t xml:space="preserve"> </w:t>
      </w:r>
      <w:r>
        <w:rPr>
          <w:rStyle w:val="StringTok"/>
        </w:rPr>
        <w:t xml:space="preserve">"securepassword"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"8801:8801"</w:t>
      </w:r>
    </w:p>
    <w:p>
      <w:r>
        <w:pict>
          <v:rect style="width:0;height:1.5pt" o:hralign="center" o:hrstd="t" o:hr="t"/>
        </w:pict>
      </w:r>
    </w:p>
    <w:bookmarkEnd w:id="426"/>
    <w:bookmarkEnd w:id="427"/>
    <w:bookmarkStart w:id="428" w:name="best-practices"/>
    <w:p>
      <w:pPr>
        <w:pStyle w:val="Heading2"/>
      </w:pPr>
      <w:r>
        <w:t xml:space="preserve">Best Practices</w:t>
      </w:r>
    </w:p>
    <w:p>
      <w:pPr>
        <w:pStyle w:val="Compact"/>
        <w:numPr>
          <w:ilvl w:val="0"/>
          <w:numId w:val="1133"/>
        </w:numPr>
      </w:pPr>
      <w:r>
        <w:rPr>
          <w:b/>
          <w:bCs/>
        </w:rPr>
        <w:t xml:space="preserve">Development vs. Production:</w:t>
      </w:r>
      <w:r>
        <w:t xml:space="preserve"> </w:t>
      </w:r>
      <w:r>
        <w:t xml:space="preserve">Use different configurations or environment variables per environment</w:t>
      </w:r>
    </w:p>
    <w:p>
      <w:pPr>
        <w:pStyle w:val="Compact"/>
        <w:numPr>
          <w:ilvl w:val="0"/>
          <w:numId w:val="1133"/>
        </w:numPr>
      </w:pPr>
      <w:r>
        <w:rPr>
          <w:b/>
          <w:bCs/>
        </w:rPr>
        <w:t xml:space="preserve">Security:</w:t>
      </w:r>
      <w:r>
        <w:t xml:space="preserve"> </w:t>
      </w:r>
      <w:r>
        <w:t xml:space="preserve">Never hardcode credentials; use environment variables or</w:t>
      </w:r>
      <w:r>
        <w:t xml:space="preserve"> </w:t>
      </w:r>
      <w:r>
        <w:rPr>
          <w:rStyle w:val="VerbatimChar"/>
        </w:rPr>
        <w:t xml:space="preserve">.env</w:t>
      </w:r>
      <w:r>
        <w:t xml:space="preserve"> </w:t>
      </w:r>
      <w:r>
        <w:t xml:space="preserve">files</w:t>
      </w:r>
    </w:p>
    <w:p>
      <w:pPr>
        <w:pStyle w:val="Compact"/>
        <w:numPr>
          <w:ilvl w:val="0"/>
          <w:numId w:val="1133"/>
        </w:numPr>
      </w:pPr>
      <w:r>
        <w:rPr>
          <w:b/>
          <w:bCs/>
        </w:rPr>
        <w:t xml:space="preserve">Performance:</w:t>
      </w:r>
      <w:r>
        <w:t xml:space="preserve"> </w:t>
      </w:r>
      <w:r>
        <w:t xml:space="preserve">Enable bytecode caching and set appropriate pool sizes</w:t>
      </w:r>
    </w:p>
    <w:p>
      <w:pPr>
        <w:pStyle w:val="Compact"/>
        <w:numPr>
          <w:ilvl w:val="0"/>
          <w:numId w:val="1133"/>
        </w:numPr>
      </w:pPr>
      <w:r>
        <w:rPr>
          <w:b/>
          <w:bCs/>
        </w:rPr>
        <w:t xml:space="preserve">Debugging:</w:t>
      </w:r>
      <w:r>
        <w:t xml:space="preserve"> </w:t>
      </w:r>
      <w:r>
        <w:t xml:space="preserve">Enable debugging/logging only during development</w:t>
      </w:r>
    </w:p>
    <w:p>
      <w:pPr>
        <w:pStyle w:val="Compact"/>
        <w:numPr>
          <w:ilvl w:val="0"/>
          <w:numId w:val="1133"/>
        </w:numPr>
      </w:pPr>
      <w:r>
        <w:rPr>
          <w:b/>
          <w:bCs/>
        </w:rPr>
        <w:t xml:space="preserve">Backups:</w:t>
      </w:r>
      <w:r>
        <w:t xml:space="preserve"> </w:t>
      </w:r>
      <w:r>
        <w:t xml:space="preserve">Keep backups of your configuration file before making changes</w:t>
      </w:r>
    </w:p>
    <w:p>
      <w:pPr>
        <w:pStyle w:val="Compact"/>
        <w:numPr>
          <w:ilvl w:val="0"/>
          <w:numId w:val="1133"/>
        </w:numPr>
      </w:pPr>
      <w:r>
        <w:rPr>
          <w:b/>
          <w:bCs/>
        </w:rPr>
        <w:t xml:space="preserve">Monitoring:</w:t>
      </w:r>
      <w:r>
        <w:t xml:space="preserve"> </w:t>
      </w:r>
      <w:r>
        <w:t xml:space="preserve">Monitor cache hit rates, error logs, and VM pool usage</w:t>
      </w:r>
    </w:p>
    <w:p>
      <w:pPr>
        <w:pStyle w:val="Compact"/>
        <w:numPr>
          <w:ilvl w:val="0"/>
          <w:numId w:val="1133"/>
        </w:numPr>
      </w:pPr>
      <w:r>
        <w:rPr>
          <w:b/>
          <w:bCs/>
        </w:rPr>
        <w:t xml:space="preserve">Scaling:</w:t>
      </w:r>
      <w:r>
        <w:t xml:space="preserve"> </w:t>
      </w:r>
      <w:r>
        <w:t xml:space="preserve">For high traffic, use reverse proxy with multiple AxonASP instances</w:t>
      </w:r>
    </w:p>
    <w:p>
      <w:pPr>
        <w:pStyle w:val="FirstParagraph"/>
      </w:pPr>
      <w:r>
        <w:t xml:space="preserve">For more information, see Project Structure and deployment examples.</w:t>
      </w:r>
    </w:p>
    <w:p>
      <w:pPr>
        <w:pStyle w:val="Compact"/>
        <w:numPr>
          <w:ilvl w:val="0"/>
          <w:numId w:val="1134"/>
        </w:numPr>
      </w:pPr>
      <w:r>
        <w:t xml:space="preserve">viper_watch_config enables live reload hooks in host runtimes that support it.</w:t>
      </w:r>
    </w:p>
    <w:p>
      <w:pPr>
        <w:pStyle w:val="Compact"/>
        <w:numPr>
          <w:ilvl w:val="0"/>
          <w:numId w:val="1134"/>
        </w:numPr>
      </w:pPr>
      <w:r>
        <w:t xml:space="preserve">Keep production values strict for blocking rules, memory limits, and directory listing policy.</w:t>
      </w:r>
    </w:p>
    <w:bookmarkEnd w:id="428"/>
    <w:bookmarkStart w:id="429" w:name="code-example-6"/>
    <w:p>
      <w:pPr>
        <w:pStyle w:val="Heading2"/>
      </w:pPr>
      <w:r>
        <w:t xml:space="preserve">Code Example</w:t>
      </w:r>
    </w:p>
    <w:p>
      <w:pPr>
        <w:pStyle w:val="SourceCode"/>
      </w:pPr>
      <w:r>
        <w:rPr>
          <w:rStyle w:val="KeywordTok"/>
        </w:rPr>
        <w:t xml:space="preserve">[global]</w:t>
      </w:r>
      <w:r>
        <w:br/>
      </w:r>
      <w:r>
        <w:rPr>
          <w:rStyle w:val="DataTypeTok"/>
        </w:rPr>
        <w:t xml:space="preserve">default_script_timeout</w:t>
      </w:r>
      <w:r>
        <w:rPr>
          <w:rStyle w:val="NormalTok"/>
        </w:rPr>
        <w:t xml:space="preserve"> </w:t>
      </w:r>
      <w:r>
        <w:rPr>
          <w:rStyle w:val="OperatorTok"/>
        </w:rPr>
        <w:t xml:space="preserve">=</w:t>
      </w:r>
      <w:r>
        <w:rPr>
          <w:rStyle w:val="NormalTok"/>
        </w:rPr>
        <w:t xml:space="preserve"> </w:t>
      </w:r>
      <w:r>
        <w:rPr>
          <w:rStyle w:val="DecValTok"/>
        </w:rPr>
        <w:t xml:space="preserve">90</w:t>
      </w:r>
      <w:r>
        <w:br/>
      </w:r>
      <w:r>
        <w:rPr>
          <w:rStyle w:val="DataTypeTok"/>
        </w:rPr>
        <w:t xml:space="preserve">response_buffer_limit_mb</w:t>
      </w:r>
      <w:r>
        <w:rPr>
          <w:rStyle w:val="NormalTok"/>
        </w:rPr>
        <w:t xml:space="preserve"> </w:t>
      </w:r>
      <w:r>
        <w:rPr>
          <w:rStyle w:val="OperatorTok"/>
        </w:rPr>
        <w:t xml:space="preserve">=</w:t>
      </w:r>
      <w:r>
        <w:rPr>
          <w:rStyle w:val="NormalTok"/>
        </w:rPr>
        <w:t xml:space="preserve"> </w:t>
      </w:r>
      <w:r>
        <w:rPr>
          <w:rStyle w:val="DecValTok"/>
        </w:rPr>
        <w:t xml:space="preserve">8</w:t>
      </w:r>
      <w:r>
        <w:br/>
      </w:r>
      <w:r>
        <w:rPr>
          <w:rStyle w:val="DataTypeTok"/>
        </w:rPr>
        <w:t xml:space="preserve">bytecode_caching_enabled</w:t>
      </w:r>
      <w:r>
        <w:rPr>
          <w:rStyle w:val="NormalTok"/>
        </w:rPr>
        <w:t xml:space="preserve"> </w:t>
      </w:r>
      <w:r>
        <w:rPr>
          <w:rStyle w:val="OperatorTok"/>
        </w:rPr>
        <w:t xml:space="preserve">=</w:t>
      </w:r>
      <w:r>
        <w:rPr>
          <w:rStyle w:val="NormalTok"/>
        </w:rPr>
        <w:t xml:space="preserve"> </w:t>
      </w:r>
      <w:r>
        <w:rPr>
          <w:rStyle w:val="StringTok"/>
        </w:rPr>
        <w:t xml:space="preserve">"memory-only"</w:t>
      </w:r>
      <w:r>
        <w:br/>
      </w:r>
      <w:r>
        <w:rPr>
          <w:rStyle w:val="DataTypeTok"/>
        </w:rPr>
        <w:t xml:space="preserve">cache_max_size_mb</w:t>
      </w:r>
      <w:r>
        <w:rPr>
          <w:rStyle w:val="NormalTok"/>
        </w:rPr>
        <w:t xml:space="preserve"> </w:t>
      </w:r>
      <w:r>
        <w:rPr>
          <w:rStyle w:val="OperatorTok"/>
        </w:rPr>
        <w:t xml:space="preserve">=</w:t>
      </w:r>
      <w:r>
        <w:rPr>
          <w:rStyle w:val="NormalTok"/>
        </w:rPr>
        <w:t xml:space="preserve"> </w:t>
      </w:r>
      <w:r>
        <w:rPr>
          <w:rStyle w:val="DecValTok"/>
        </w:rPr>
        <w:t xml:space="preserve">256</w:t>
      </w:r>
      <w:r>
        <w:br/>
      </w:r>
      <w:r>
        <w:rPr>
          <w:rStyle w:val="DataTypeTok"/>
        </w:rPr>
        <w:t xml:space="preserve">vm_pool_size</w:t>
      </w:r>
      <w:r>
        <w:rPr>
          <w:rStyle w:val="NormalTok"/>
        </w:rPr>
        <w:t xml:space="preserve"> </w:t>
      </w:r>
      <w:r>
        <w:rPr>
          <w:rStyle w:val="OperatorTok"/>
        </w:rPr>
        <w:t xml:space="preserve">=</w:t>
      </w:r>
      <w:r>
        <w:rPr>
          <w:rStyle w:val="NormalTok"/>
        </w:rPr>
        <w:t xml:space="preserve"> </w:t>
      </w:r>
      <w:r>
        <w:rPr>
          <w:rStyle w:val="DecValTok"/>
        </w:rPr>
        <w:t xml:space="preserve">150</w:t>
      </w:r>
      <w:r>
        <w:br/>
      </w:r>
      <w:r>
        <w:rPr>
          <w:rStyle w:val="DataTypeTok"/>
        </w:rPr>
        <w:t xml:space="preserve">golang_memory_limit_mb</w:t>
      </w:r>
      <w:r>
        <w:rPr>
          <w:rStyle w:val="NormalTok"/>
        </w:rPr>
        <w:t xml:space="preserve"> </w:t>
      </w:r>
      <w:r>
        <w:rPr>
          <w:rStyle w:val="OperatorTok"/>
        </w:rPr>
        <w:t xml:space="preserve">=</w:t>
      </w:r>
      <w:r>
        <w:rPr>
          <w:rStyle w:val="NormalTok"/>
        </w:rPr>
        <w:t xml:space="preserve"> </w:t>
      </w:r>
      <w:r>
        <w:rPr>
          <w:rStyle w:val="DecValTok"/>
        </w:rPr>
        <w:t xml:space="preserve">512</w:t>
      </w:r>
      <w:r>
        <w:br/>
      </w:r>
      <w:r>
        <w:rPr>
          <w:rStyle w:val="DataTypeTok"/>
        </w:rPr>
        <w:t xml:space="preserve">enable_asp_debugging</w:t>
      </w:r>
      <w:r>
        <w:rPr>
          <w:rStyle w:val="NormalTok"/>
        </w:rPr>
        <w:t xml:space="preserve"> </w:t>
      </w:r>
      <w:r>
        <w:rPr>
          <w:rStyle w:val="OperatorTok"/>
        </w:rPr>
        <w:t xml:space="preserve">=</w:t>
      </w:r>
      <w:r>
        <w:rPr>
          <w:rStyle w:val="NormalTok"/>
        </w:rPr>
        <w:t xml:space="preserve"> </w:t>
      </w:r>
      <w:r>
        <w:rPr>
          <w:rStyle w:val="ConstantTok"/>
        </w:rPr>
        <w:t xml:space="preserve">false</w:t>
      </w:r>
      <w:r>
        <w:br/>
      </w:r>
      <w:r>
        <w:rPr>
          <w:rStyle w:val="DataTypeTok"/>
        </w:rPr>
        <w:t xml:space="preserve">enable_log_files</w:t>
      </w:r>
      <w:r>
        <w:rPr>
          <w:rStyle w:val="NormalTok"/>
        </w:rPr>
        <w:t xml:space="preserve"> </w:t>
      </w:r>
      <w:r>
        <w:rPr>
          <w:rStyle w:val="OperatorTok"/>
        </w:rPr>
        <w:t xml:space="preserve">=</w:t>
      </w:r>
      <w:r>
        <w:rPr>
          <w:rStyle w:val="NormalTok"/>
        </w:rPr>
        <w:t xml:space="preserve"> </w:t>
      </w:r>
      <w:r>
        <w:rPr>
          <w:rStyle w:val="ConstantTok"/>
        </w:rPr>
        <w:t xml:space="preserve">true</w:t>
      </w:r>
      <w:r>
        <w:br/>
      </w:r>
      <w:r>
        <w:br/>
      </w:r>
      <w:r>
        <w:rPr>
          <w:rStyle w:val="DataTypeTok"/>
        </w:rPr>
        <w:t xml:space="preserve">enable_webconfig</w:t>
      </w:r>
      <w:r>
        <w:rPr>
          <w:rStyle w:val="NormalTok"/>
        </w:rPr>
        <w:t xml:space="preserve"> </w:t>
      </w:r>
      <w:r>
        <w:rPr>
          <w:rStyle w:val="OperatorTok"/>
        </w:rPr>
        <w:t xml:space="preserve">=</w:t>
      </w:r>
      <w:r>
        <w:rPr>
          <w:rStyle w:val="NormalTok"/>
        </w:rPr>
        <w:t xml:space="preserve"> </w:t>
      </w:r>
      <w:r>
        <w:rPr>
          <w:rStyle w:val="ConstantTok"/>
        </w:rPr>
        <w:t xml:space="preserve">true</w:t>
      </w:r>
    </w:p>
    <w:bookmarkEnd w:id="429"/>
    <w:bookmarkEnd w:id="430"/>
    <w:bookmarkStart w:id="442" w:name="Xd8d7f7f1b4086dde1ea0250a5b28ca484a26486"/>
    <w:p>
      <w:pPr>
        <w:pStyle w:val="Heading1"/>
      </w:pPr>
      <w:r>
        <w:t xml:space="preserve">Manage AxonASP Global and FPM Configuration with AxonAdmin</w:t>
      </w:r>
    </w:p>
    <w:bookmarkStart w:id="431" w:name="overview-24"/>
    <w:p>
      <w:pPr>
        <w:pStyle w:val="Heading2"/>
      </w:pPr>
      <w:r>
        <w:t xml:space="preserve">Overview</w:t>
      </w:r>
    </w:p>
    <w:p>
      <w:pPr>
        <w:pStyle w:val="FirstParagraph"/>
      </w:pPr>
      <w:r>
        <w:t xml:space="preserve">The axonadmin executable is the dedicated configuration manager for G3Pix AxonASP. It supports command-line creation flows and a browser-based dashboard for:</w:t>
      </w:r>
    </w:p>
    <w:p>
      <w:pPr>
        <w:pStyle w:val="Compact"/>
        <w:numPr>
          <w:ilvl w:val="0"/>
          <w:numId w:val="1135"/>
        </w:numPr>
      </w:pPr>
      <w:r>
        <w:t xml:space="preserve">Editing axonasp.toml sections.</w:t>
      </w:r>
    </w:p>
    <w:p>
      <w:pPr>
        <w:pStyle w:val="Compact"/>
        <w:numPr>
          <w:ilvl w:val="0"/>
          <w:numId w:val="1135"/>
        </w:numPr>
      </w:pPr>
      <w:r>
        <w:t xml:space="preserve">Editing AxonASP FPM pool files in the fpm/fpm.d directory.</w:t>
      </w:r>
    </w:p>
    <w:p>
      <w:pPr>
        <w:pStyle w:val="Compact"/>
        <w:numPr>
          <w:ilvl w:val="0"/>
          <w:numId w:val="1135"/>
        </w:numPr>
      </w:pPr>
      <w:r>
        <w:t xml:space="preserve">Creating new global and FPM configuration files from a documented default schema.</w:t>
      </w:r>
    </w:p>
    <w:p>
      <w:pPr>
        <w:pStyle w:val="Compact"/>
        <w:numPr>
          <w:ilvl w:val="0"/>
          <w:numId w:val="1135"/>
        </w:numPr>
      </w:pPr>
      <w:r>
        <w:t xml:space="preserve">Viewing real-time host and AxonASP process telemetry on the Home dashboard.</w:t>
      </w:r>
    </w:p>
    <w:bookmarkEnd w:id="431"/>
    <w:bookmarkStart w:id="432" w:name="syntax-4"/>
    <w:p>
      <w:pPr>
        <w:pStyle w:val="Heading2"/>
      </w:pPr>
      <w:r>
        <w:t xml:space="preserve">Syntax</w:t>
      </w:r>
    </w:p>
    <w:p>
      <w:pPr>
        <w:pStyle w:val="FirstParagraph"/>
      </w:pPr>
      <w:r>
        <w:t xml:space="preserve">Run axonadmin from the command line using the following syntax:</w:t>
      </w:r>
    </w:p>
    <w:p>
      <w:pPr>
        <w:pStyle w:val="SourceCode"/>
      </w:pPr>
      <w:r>
        <w:rPr>
          <w:rStyle w:val="NormalTok"/>
        </w:rPr>
        <w:t xml:space="preserve">axonadmin.exe [flags]</w:t>
      </w:r>
    </w:p>
    <w:bookmarkEnd w:id="432"/>
    <w:bookmarkStart w:id="433" w:name="parameters-and-arguments-4"/>
    <w:p>
      <w:pPr>
        <w:pStyle w:val="Heading2"/>
      </w:pPr>
      <w:r>
        <w:t xml:space="preserve">Parameters and Arguments</w:t>
      </w:r>
    </w:p>
    <w:p>
      <w:pPr>
        <w:pStyle w:val="FirstParagraph"/>
      </w:pPr>
      <w:r>
        <w:t xml:space="preserve">The tool accepts the following command-line flags:</w:t>
      </w:r>
    </w:p>
    <w:p>
      <w:pPr>
        <w:pStyle w:val="Compact"/>
        <w:numPr>
          <w:ilvl w:val="0"/>
          <w:numId w:val="1136"/>
        </w:numPr>
      </w:pPr>
      <w:r>
        <w:rPr>
          <w:b/>
          <w:bCs/>
        </w:rPr>
        <w:t xml:space="preserve">-edit</w:t>
      </w:r>
      <w:r>
        <w:rPr>
          <w:b/>
          <w:bCs/>
        </w:rPr>
        <w:t xml:space="preserve"> </w:t>
      </w:r>
      <w:r>
        <w:t xml:space="preserve"> </w:t>
      </w:r>
      <w:r>
        <w:t xml:space="preserve">Selects the axonasp.toml target file for UI editing mode. If omitted, axonadmin uses the standard path resolution sequence.</w:t>
      </w:r>
    </w:p>
    <w:p>
      <w:pPr>
        <w:pStyle w:val="Compact"/>
        <w:numPr>
          <w:ilvl w:val="0"/>
          <w:numId w:val="1136"/>
        </w:numPr>
      </w:pPr>
      <w:r>
        <w:rPr>
          <w:b/>
          <w:bCs/>
        </w:rPr>
        <w:t xml:space="preserve">-create</w:t>
      </w:r>
      <w:r>
        <w:rPr>
          <w:b/>
          <w:bCs/>
        </w:rPr>
        <w:t xml:space="preserve"> </w:t>
      </w:r>
      <w:r>
        <w:t xml:space="preserve"> </w:t>
      </w:r>
      <w:r>
        <w:t xml:space="preserve">Creates a new default axonasp.toml file with documented fields at the provided path.</w:t>
      </w:r>
    </w:p>
    <w:p>
      <w:pPr>
        <w:pStyle w:val="Compact"/>
        <w:numPr>
          <w:ilvl w:val="0"/>
          <w:numId w:val="1136"/>
        </w:numPr>
      </w:pPr>
      <w:r>
        <w:rPr>
          <w:b/>
          <w:bCs/>
        </w:rPr>
        <w:t xml:space="preserve">-create-fpm</w:t>
      </w:r>
      <w:r>
        <w:rPr>
          <w:b/>
          <w:bCs/>
        </w:rPr>
        <w:t xml:space="preserve"> </w:t>
      </w:r>
      <w:r>
        <w:t xml:space="preserve"> </w:t>
      </w:r>
      <w:r>
        <w:t xml:space="preserve">Creates a new default FPM pool configuration file (.conf) with documented fields at the provided path.</w:t>
      </w:r>
    </w:p>
    <w:p>
      <w:pPr>
        <w:pStyle w:val="Compact"/>
        <w:numPr>
          <w:ilvl w:val="0"/>
          <w:numId w:val="1136"/>
        </w:numPr>
      </w:pPr>
      <w:r>
        <w:rPr>
          <w:b/>
          <w:bCs/>
        </w:rPr>
        <w:t xml:space="preserve">-noui</w:t>
      </w:r>
      <w:r>
        <w:t xml:space="preserve"> </w:t>
      </w:r>
      <w:r>
        <w:t xml:space="preserve">Runs in headless mode. Use it together with -create or -create-fpm.</w:t>
      </w:r>
    </w:p>
    <w:p>
      <w:pPr>
        <w:pStyle w:val="Compact"/>
        <w:numPr>
          <w:ilvl w:val="0"/>
          <w:numId w:val="1136"/>
        </w:numPr>
      </w:pPr>
      <w:r>
        <w:rPr>
          <w:b/>
          <w:bCs/>
        </w:rPr>
        <w:t xml:space="preserve">-h, –help</w:t>
      </w:r>
      <w:r>
        <w:t xml:space="preserve"> </w:t>
      </w:r>
      <w:r>
        <w:t xml:space="preserve">Displays the command help output.</w:t>
      </w:r>
    </w:p>
    <w:bookmarkEnd w:id="433"/>
    <w:bookmarkStart w:id="434" w:name="return-values-4"/>
    <w:p>
      <w:pPr>
        <w:pStyle w:val="Heading2"/>
      </w:pPr>
      <w:r>
        <w:t xml:space="preserve">Return Values</w:t>
      </w:r>
    </w:p>
    <w:p>
      <w:pPr>
        <w:pStyle w:val="FirstParagraph"/>
      </w:pPr>
      <w:r>
        <w:t xml:space="preserve">Axonadmin returns the following command execution behavior:</w:t>
      </w:r>
    </w:p>
    <w:p>
      <w:pPr>
        <w:pStyle w:val="Compact"/>
        <w:numPr>
          <w:ilvl w:val="0"/>
          <w:numId w:val="1137"/>
        </w:numPr>
      </w:pPr>
      <w:r>
        <w:rPr>
          <w:b/>
          <w:bCs/>
        </w:rPr>
        <w:t xml:space="preserve">Exit code 0:</w:t>
      </w:r>
      <w:r>
        <w:t xml:space="preserve"> </w:t>
      </w:r>
      <w:r>
        <w:t xml:space="preserve">Command completed successfully, including file creation and UI startup.</w:t>
      </w:r>
    </w:p>
    <w:p>
      <w:pPr>
        <w:pStyle w:val="Compact"/>
        <w:numPr>
          <w:ilvl w:val="0"/>
          <w:numId w:val="1137"/>
        </w:numPr>
      </w:pPr>
      <w:r>
        <w:rPr>
          <w:b/>
          <w:bCs/>
        </w:rPr>
        <w:t xml:space="preserve">Exit code 1:</w:t>
      </w:r>
      <w:r>
        <w:t xml:space="preserve"> </w:t>
      </w:r>
      <w:r>
        <w:t xml:space="preserve">Command failed due to invalid combinations, file system permission issues, or configuration write errors.</w:t>
      </w:r>
    </w:p>
    <w:p>
      <w:pPr>
        <w:pStyle w:val="Compact"/>
        <w:numPr>
          <w:ilvl w:val="0"/>
          <w:numId w:val="1137"/>
        </w:numPr>
      </w:pPr>
      <w:r>
        <w:rPr>
          <w:b/>
          <w:bCs/>
        </w:rPr>
        <w:t xml:space="preserve">Headless output:</w:t>
      </w:r>
      <w:r>
        <w:t xml:space="preserve"> </w:t>
      </w:r>
      <w:r>
        <w:t xml:space="preserve">Prints the final created path when -create or -create-fpm succeeds.</w:t>
      </w:r>
    </w:p>
    <w:bookmarkEnd w:id="434"/>
    <w:bookmarkStart w:id="440" w:name="remarks-15"/>
    <w:p>
      <w:pPr>
        <w:pStyle w:val="Heading2"/>
      </w:pPr>
      <w:r>
        <w:t xml:space="preserve">Remarks</w:t>
      </w:r>
    </w:p>
    <w:bookmarkStart w:id="435" w:name="ui-workspace-layout"/>
    <w:p>
      <w:pPr>
        <w:pStyle w:val="Heading3"/>
      </w:pPr>
      <w:r>
        <w:t xml:space="preserve">UI Workspace Layout</w:t>
      </w:r>
    </w:p>
    <w:p>
      <w:pPr>
        <w:pStyle w:val="FirstParagraph"/>
      </w:pPr>
      <w:r>
        <w:t xml:space="preserve">When started without headless mode, axonadmin starts on localhost:8088 and opens the default browser. The sidebar is partitioned into three groups:</w:t>
      </w:r>
    </w:p>
    <w:p>
      <w:pPr>
        <w:pStyle w:val="Compact"/>
        <w:numPr>
          <w:ilvl w:val="0"/>
          <w:numId w:val="1138"/>
        </w:numPr>
      </w:pPr>
      <w:r>
        <w:rPr>
          <w:b/>
          <w:bCs/>
        </w:rPr>
        <w:t xml:space="preserve">Home:</w:t>
      </w:r>
      <w:r>
        <w:t xml:space="preserve"> </w:t>
      </w:r>
      <w:r>
        <w:t xml:space="preserve">Main dashboard with host telemetry and monitored process summary.</w:t>
      </w:r>
    </w:p>
    <w:p>
      <w:pPr>
        <w:pStyle w:val="Compact"/>
        <w:numPr>
          <w:ilvl w:val="0"/>
          <w:numId w:val="1138"/>
        </w:numPr>
      </w:pPr>
      <w:r>
        <w:rPr>
          <w:b/>
          <w:bCs/>
        </w:rPr>
        <w:t xml:space="preserve">axonasp.toml:</w:t>
      </w:r>
      <w:r>
        <w:t xml:space="preserve"> </w:t>
      </w:r>
      <w:r>
        <w:t xml:space="preserve">Lists the available axonasp.toml sections and opens the selected section editor.</w:t>
      </w:r>
    </w:p>
    <w:p>
      <w:pPr>
        <w:pStyle w:val="Compact"/>
        <w:numPr>
          <w:ilvl w:val="0"/>
          <w:numId w:val="1138"/>
        </w:numPr>
      </w:pPr>
      <w:r>
        <w:rPr>
          <w:b/>
          <w:bCs/>
        </w:rPr>
        <w:t xml:space="preserve">AxonASP FPM:</w:t>
      </w:r>
      <w:r>
        <w:t xml:space="preserve"> </w:t>
      </w:r>
      <w:r>
        <w:t xml:space="preserve">Lists all pool files from fpm/fpm.d/*.conf and opens the selected pool editor.</w:t>
      </w:r>
    </w:p>
    <w:p>
      <w:pPr>
        <w:pStyle w:val="FirstParagraph"/>
      </w:pPr>
      <w:r>
        <w:t xml:space="preserve">At the bottom of the sidebar, the dashboard provides two creation actions:</w:t>
      </w:r>
    </w:p>
    <w:p>
      <w:pPr>
        <w:pStyle w:val="Compact"/>
        <w:numPr>
          <w:ilvl w:val="0"/>
          <w:numId w:val="1139"/>
        </w:numPr>
      </w:pPr>
      <w:r>
        <w:rPr>
          <w:b/>
          <w:bCs/>
        </w:rPr>
        <w:t xml:space="preserve">+ Global Configuration:</w:t>
      </w:r>
      <w:r>
        <w:t xml:space="preserve"> </w:t>
      </w:r>
      <w:r>
        <w:t xml:space="preserve">Generates a new axonasp.toml file from the default schema.</w:t>
      </w:r>
    </w:p>
    <w:p>
      <w:pPr>
        <w:pStyle w:val="Compact"/>
        <w:numPr>
          <w:ilvl w:val="0"/>
          <w:numId w:val="1139"/>
        </w:numPr>
      </w:pPr>
      <w:r>
        <w:rPr>
          <w:b/>
          <w:bCs/>
        </w:rPr>
        <w:t xml:space="preserve">+ FPM Configuration:</w:t>
      </w:r>
      <w:r>
        <w:t xml:space="preserve"> </w:t>
      </w:r>
      <w:r>
        <w:t xml:space="preserve">Prompts for a pool filename and creates fpm/fpm.d/</w:t>
      </w:r>
      <w:r>
        <w:t xml:space="preserve">.conf from the default schema.</w:t>
      </w:r>
    </w:p>
    <w:bookmarkEnd w:id="435"/>
    <w:bookmarkStart w:id="436" w:name="fpm-pool-editing-and-generation"/>
    <w:p>
      <w:pPr>
        <w:pStyle w:val="Heading3"/>
      </w:pPr>
      <w:r>
        <w:t xml:space="preserve">FPM Pool Editing and Generation</w:t>
      </w:r>
    </w:p>
    <w:p>
      <w:pPr>
        <w:pStyle w:val="FirstParagraph"/>
      </w:pPr>
      <w:r>
        <w:t xml:space="preserve">FPM pool files are handled as TOML documents. Axonadmin loads and saves properties using a documented schema so generated files keep descriptive comments for each setting. Existing pool files can be edited and saved directly from the AxonASP FPM section.</w:t>
      </w:r>
    </w:p>
    <w:p>
      <w:pPr>
        <w:pStyle w:val="BodyText"/>
      </w:pPr>
      <w:r>
        <w:t xml:space="preserve">Before writing updates, axonadmin creates a .bak backup for the target file when the file already exists.</w:t>
      </w:r>
    </w:p>
    <w:bookmarkEnd w:id="436"/>
    <w:bookmarkStart w:id="437" w:name="home-telemetry"/>
    <w:p>
      <w:pPr>
        <w:pStyle w:val="Heading3"/>
      </w:pPr>
      <w:r>
        <w:t xml:space="preserve">Home Telemetry</w:t>
      </w:r>
    </w:p>
    <w:p>
      <w:pPr>
        <w:pStyle w:val="FirstParagraph"/>
      </w:pPr>
      <w:r>
        <w:t xml:space="preserve">The Home dashboard includes machine and runtime telemetry, including:</w:t>
      </w:r>
    </w:p>
    <w:p>
      <w:pPr>
        <w:pStyle w:val="Compact"/>
        <w:numPr>
          <w:ilvl w:val="0"/>
          <w:numId w:val="1140"/>
        </w:numPr>
      </w:pPr>
      <w:r>
        <w:t xml:space="preserve">Machine name.</w:t>
      </w:r>
    </w:p>
    <w:p>
      <w:pPr>
        <w:pStyle w:val="Compact"/>
        <w:numPr>
          <w:ilvl w:val="0"/>
          <w:numId w:val="1140"/>
        </w:numPr>
      </w:pPr>
      <w:r>
        <w:t xml:space="preserve">Operating system information.</w:t>
      </w:r>
    </w:p>
    <w:p>
      <w:pPr>
        <w:pStyle w:val="Compact"/>
        <w:numPr>
          <w:ilvl w:val="0"/>
          <w:numId w:val="1140"/>
        </w:numPr>
      </w:pPr>
      <w:r>
        <w:t xml:space="preserve">Processor model/type.</w:t>
      </w:r>
    </w:p>
    <w:p>
      <w:pPr>
        <w:pStyle w:val="Compact"/>
        <w:numPr>
          <w:ilvl w:val="0"/>
          <w:numId w:val="1140"/>
        </w:numPr>
      </w:pPr>
      <w:r>
        <w:t xml:space="preserve">Total, available, and used memory.</w:t>
      </w:r>
    </w:p>
    <w:p>
      <w:pPr>
        <w:pStyle w:val="Compact"/>
        <w:numPr>
          <w:ilvl w:val="0"/>
          <w:numId w:val="1140"/>
        </w:numPr>
      </w:pPr>
      <w:r>
        <w:t xml:space="preserve">Memory usage percentage.</w:t>
      </w:r>
    </w:p>
    <w:p>
      <w:pPr>
        <w:pStyle w:val="Compact"/>
        <w:numPr>
          <w:ilvl w:val="0"/>
          <w:numId w:val="1140"/>
        </w:numPr>
      </w:pPr>
      <w:r>
        <w:t xml:space="preserve">Active process count and aggregated RSS memory for these executable families:</w:t>
      </w:r>
    </w:p>
    <w:p>
      <w:pPr>
        <w:pStyle w:val="Compact"/>
        <w:numPr>
          <w:ilvl w:val="1"/>
          <w:numId w:val="1141"/>
        </w:numPr>
      </w:pPr>
      <w:r>
        <w:t xml:space="preserve">axonasp-http</w:t>
      </w:r>
    </w:p>
    <w:p>
      <w:pPr>
        <w:pStyle w:val="Compact"/>
        <w:numPr>
          <w:ilvl w:val="1"/>
          <w:numId w:val="1141"/>
        </w:numPr>
      </w:pPr>
      <w:r>
        <w:t xml:space="preserve">axonasp-fastcgi</w:t>
      </w:r>
    </w:p>
    <w:p>
      <w:pPr>
        <w:pStyle w:val="Compact"/>
        <w:numPr>
          <w:ilvl w:val="1"/>
          <w:numId w:val="1141"/>
        </w:numPr>
      </w:pPr>
      <w:r>
        <w:t xml:space="preserve">axonasp-fpm</w:t>
      </w:r>
    </w:p>
    <w:p>
      <w:pPr>
        <w:pStyle w:val="Compact"/>
        <w:numPr>
          <w:ilvl w:val="1"/>
          <w:numId w:val="1141"/>
        </w:numPr>
      </w:pPr>
      <w:r>
        <w:t xml:space="preserve">axonasp-service</w:t>
      </w:r>
    </w:p>
    <w:bookmarkEnd w:id="437"/>
    <w:bookmarkStart w:id="438" w:name="Xf96f6ed745bb3500400fef2723a6405011ba417"/>
    <w:p>
      <w:pPr>
        <w:pStyle w:val="Heading3"/>
      </w:pPr>
      <w:r>
        <w:t xml:space="preserve">Path Resolution Sequence for axonasp.toml</w:t>
      </w:r>
    </w:p>
    <w:p>
      <w:pPr>
        <w:pStyle w:val="FirstParagraph"/>
      </w:pPr>
      <w:r>
        <w:t xml:space="preserve">If -edit is omitted, axonadmin resolves axonasp.toml in this order:</w:t>
      </w:r>
    </w:p>
    <w:p>
      <w:pPr>
        <w:pStyle w:val="Compact"/>
        <w:numPr>
          <w:ilvl w:val="0"/>
          <w:numId w:val="1142"/>
        </w:numPr>
      </w:pPr>
      <w:r>
        <w:t xml:space="preserve">config/axonasp.toml (current working directory)</w:t>
      </w:r>
    </w:p>
    <w:p>
      <w:pPr>
        <w:pStyle w:val="Compact"/>
        <w:numPr>
          <w:ilvl w:val="0"/>
          <w:numId w:val="1142"/>
        </w:numPr>
      </w:pPr>
      <w:r>
        <w:t xml:space="preserve">../config/axonasp.toml</w:t>
      </w:r>
    </w:p>
    <w:p>
      <w:pPr>
        <w:pStyle w:val="Compact"/>
        <w:numPr>
          <w:ilvl w:val="0"/>
          <w:numId w:val="1142"/>
        </w:numPr>
      </w:pPr>
      <w:r>
        <w:t xml:space="preserve">../../config/axonasp.toml</w:t>
      </w:r>
    </w:p>
    <w:p>
      <w:pPr>
        <w:pStyle w:val="Compact"/>
        <w:numPr>
          <w:ilvl w:val="0"/>
          <w:numId w:val="1142"/>
        </w:numPr>
      </w:pPr>
      <w:r>
        <w:t xml:space="preserve">config/axonasp.toml relative to the executable directory</w:t>
      </w:r>
    </w:p>
    <w:bookmarkEnd w:id="438"/>
    <w:bookmarkStart w:id="439" w:name="creation-behavior-notes"/>
    <w:p>
      <w:pPr>
        <w:pStyle w:val="Heading3"/>
      </w:pPr>
      <w:r>
        <w:t xml:space="preserve">Creation Behavior Notes</w:t>
      </w:r>
    </w:p>
    <w:p>
      <w:pPr>
        <w:pStyle w:val="Compact"/>
        <w:numPr>
          <w:ilvl w:val="0"/>
          <w:numId w:val="1143"/>
        </w:numPr>
      </w:pPr>
      <w:r>
        <w:t xml:space="preserve">Do not combine -create and -create-fpm in the same command.</w:t>
      </w:r>
    </w:p>
    <w:p>
      <w:pPr>
        <w:pStyle w:val="Compact"/>
        <w:numPr>
          <w:ilvl w:val="0"/>
          <w:numId w:val="1143"/>
        </w:numPr>
      </w:pPr>
      <w:r>
        <w:t xml:space="preserve">If -noui is used without a creation flag, the command shows help output.</w:t>
      </w:r>
    </w:p>
    <w:bookmarkEnd w:id="439"/>
    <w:bookmarkEnd w:id="440"/>
    <w:bookmarkStart w:id="441" w:name="code-example-7"/>
    <w:p>
      <w:pPr>
        <w:pStyle w:val="Heading2"/>
      </w:pPr>
      <w:r>
        <w:t xml:space="preserve">Code Example</w:t>
      </w:r>
    </w:p>
    <w:p>
      <w:pPr>
        <w:pStyle w:val="SourceCode"/>
      </w:pPr>
      <w:r>
        <w:rPr>
          <w:rStyle w:val="CommentTok"/>
        </w:rPr>
        <w:t xml:space="preserve">:: Create a new default global configuration in headless mode</w:t>
      </w:r>
      <w:r>
        <w:br/>
      </w:r>
      <w:r>
        <w:rPr>
          <w:rStyle w:val="NormalTok"/>
        </w:rPr>
        <w:t xml:space="preserve">axonadmin.exe </w:t>
      </w:r>
      <w:r>
        <w:rPr>
          <w:rStyle w:val="AttributeTok"/>
        </w:rPr>
        <w:t xml:space="preserve">-create</w:t>
      </w:r>
      <w:r>
        <w:rPr>
          <w:rStyle w:val="NormalTok"/>
        </w:rPr>
        <w:t xml:space="preserve"> C:\axonasp\config\axonasp.toml </w:t>
      </w:r>
      <w:r>
        <w:rPr>
          <w:rStyle w:val="AttributeTok"/>
        </w:rPr>
        <w:t xml:space="preserve">-noui</w:t>
      </w:r>
      <w:r>
        <w:br/>
      </w:r>
      <w:r>
        <w:br/>
      </w:r>
      <w:r>
        <w:rPr>
          <w:rStyle w:val="CommentTok"/>
        </w:rPr>
        <w:t xml:space="preserve">:: Create a new default FPM pool configuration in headless mode</w:t>
      </w:r>
      <w:r>
        <w:br/>
      </w:r>
      <w:r>
        <w:rPr>
          <w:rStyle w:val="NormalTok"/>
        </w:rPr>
        <w:t xml:space="preserve">axonadmin.exe </w:t>
      </w:r>
      <w:r>
        <w:rPr>
          <w:rStyle w:val="AttributeTok"/>
        </w:rPr>
        <w:t xml:space="preserve">-create-fpm</w:t>
      </w:r>
      <w:r>
        <w:rPr>
          <w:rStyle w:val="NormalTok"/>
        </w:rPr>
        <w:t xml:space="preserve"> C:\axonasp\fpm\fpm.d\example.conf </w:t>
      </w:r>
      <w:r>
        <w:rPr>
          <w:rStyle w:val="AttributeTok"/>
        </w:rPr>
        <w:t xml:space="preserve">-noui</w:t>
      </w:r>
      <w:r>
        <w:br/>
      </w:r>
      <w:r>
        <w:br/>
      </w:r>
      <w:r>
        <w:rPr>
          <w:rStyle w:val="CommentTok"/>
        </w:rPr>
        <w:t xml:space="preserve">:: Open the visual manager for a specific global configuration file</w:t>
      </w:r>
      <w:r>
        <w:br/>
      </w:r>
      <w:r>
        <w:rPr>
          <w:rStyle w:val="NormalTok"/>
        </w:rPr>
        <w:t xml:space="preserve">axonadmin.exe </w:t>
      </w:r>
      <w:r>
        <w:rPr>
          <w:rStyle w:val="AttributeTok"/>
        </w:rPr>
        <w:t xml:space="preserve">-edit</w:t>
      </w:r>
      <w:r>
        <w:rPr>
          <w:rStyle w:val="NormalTok"/>
        </w:rPr>
        <w:t xml:space="preserve"> C:\axonasp\config\axonasp.toml</w:t>
      </w:r>
    </w:p>
    <w:bookmarkEnd w:id="441"/>
    <w:bookmarkEnd w:id="442"/>
    <w:bookmarkStart w:id="453" w:name="use-custom-configuration-files"/>
    <w:p>
      <w:pPr>
        <w:pStyle w:val="Heading1"/>
      </w:pPr>
      <w:r>
        <w:t xml:space="preserve">Use Custom Configuration Files</w:t>
      </w:r>
    </w:p>
    <w:bookmarkStart w:id="443" w:name="overview-25"/>
    <w:p>
      <w:pPr>
        <w:pStyle w:val="Heading2"/>
      </w:pPr>
      <w:r>
        <w:t xml:space="preserve">Overview</w:t>
      </w:r>
    </w:p>
    <w:p>
      <w:pPr>
        <w:pStyle w:val="FirstParagraph"/>
      </w:pPr>
      <w:r>
        <w:t xml:space="preserve">This document explains how to launch and configure AxonASP executables using a custom configuration file path via the command-line flag. This enables running multiple distinct ASP applications simultaneously on the same machine using a single set of executables.</w:t>
      </w:r>
    </w:p>
    <w:bookmarkEnd w:id="443"/>
    <w:bookmarkStart w:id="444" w:name="syntax-5"/>
    <w:p>
      <w:pPr>
        <w:pStyle w:val="Heading2"/>
      </w:pPr>
      <w:r>
        <w:t xml:space="preserve">Syntax</w:t>
      </w:r>
    </w:p>
    <w:p>
      <w:pPr>
        <w:pStyle w:val="FirstParagraph"/>
      </w:pPr>
      <w:r>
        <w:t xml:space="preserve">To run any of the AxonASP executables with a custom configuration file, use the</w:t>
      </w:r>
      <w:r>
        <w:t xml:space="preserve"> </w:t>
      </w:r>
      <w:r>
        <w:rPr>
          <w:rStyle w:val="VerbatimChar"/>
        </w:rPr>
        <w:t xml:space="preserve">-c</w:t>
      </w:r>
      <w:r>
        <w:t xml:space="preserve"> </w:t>
      </w:r>
      <w:r>
        <w:t xml:space="preserve">or</w:t>
      </w:r>
      <w:r>
        <w:t xml:space="preserve"> </w:t>
      </w:r>
      <w:r>
        <w:rPr>
          <w:rStyle w:val="VerbatimChar"/>
        </w:rPr>
        <w:t xml:space="preserve">--config.config_file</w:t>
      </w:r>
      <w:r>
        <w:t xml:space="preserve"> </w:t>
      </w:r>
      <w:r>
        <w:t xml:space="preserve">flag followed by the path to the target configuration file:</w:t>
      </w:r>
    </w:p>
    <w:p>
      <w:pPr>
        <w:pStyle w:val="SourceCode"/>
      </w:pPr>
      <w:r>
        <w:rPr>
          <w:rStyle w:val="VerbatimChar"/>
        </w:rPr>
        <w:t xml:space="preserve">axonasp-http.exe -c &lt;path_to_config_file&gt;</w:t>
      </w:r>
      <w:r>
        <w:br/>
      </w:r>
      <w:r>
        <w:rPr>
          <w:rStyle w:val="VerbatimChar"/>
        </w:rPr>
        <w:t xml:space="preserve">axonasp-http.exe --config.config_file &lt;path_to_config_file&gt;</w:t>
      </w:r>
    </w:p>
    <w:p>
      <w:pPr>
        <w:pStyle w:val="FirstParagraph"/>
      </w:pPr>
      <w:r>
        <w:t xml:space="preserve">This syntax applies identically to all AxonASP executables:</w:t>
      </w:r>
      <w:r>
        <w:t xml:space="preserve"> </w:t>
      </w:r>
      <w:r>
        <w:t xml:space="preserve">-</w:t>
      </w:r>
      <w:r>
        <w:t xml:space="preserve"> </w:t>
      </w:r>
      <w:r>
        <w:rPr>
          <w:b/>
          <w:bCs/>
        </w:rPr>
        <w:t xml:space="preserve">axonasp-http.exe</w:t>
      </w:r>
      <w:r>
        <w:t xml:space="preserve"> </w:t>
      </w:r>
      <w:r>
        <w:t xml:space="preserve">(HTTP Web Server)</w:t>
      </w:r>
      <w:r>
        <w:t xml:space="preserve"> </w:t>
      </w:r>
      <w:r>
        <w:t xml:space="preserve">-</w:t>
      </w:r>
      <w:r>
        <w:t xml:space="preserve"> </w:t>
      </w:r>
      <w:r>
        <w:rPr>
          <w:b/>
          <w:bCs/>
        </w:rPr>
        <w:t xml:space="preserve">axonasp-fastcgi.exe</w:t>
      </w:r>
      <w:r>
        <w:t xml:space="preserve"> </w:t>
      </w:r>
      <w:r>
        <w:t xml:space="preserve">(FastCGI Server)</w:t>
      </w:r>
      <w:r>
        <w:t xml:space="preserve"> </w:t>
      </w:r>
      <w:r>
        <w:t xml:space="preserve">-</w:t>
      </w:r>
      <w:r>
        <w:t xml:space="preserve"> </w:t>
      </w:r>
      <w:r>
        <w:rPr>
          <w:b/>
          <w:bCs/>
        </w:rPr>
        <w:t xml:space="preserve">axonasp-cli.exe</w:t>
      </w:r>
      <w:r>
        <w:t xml:space="preserve"> </w:t>
      </w:r>
      <w:r>
        <w:t xml:space="preserve">(Interactive Command Line Interface)</w:t>
      </w:r>
      <w:r>
        <w:t xml:space="preserve"> </w:t>
      </w:r>
      <w:r>
        <w:t xml:space="preserve">-</w:t>
      </w:r>
      <w:r>
        <w:t xml:space="preserve"> </w:t>
      </w:r>
      <w:r>
        <w:rPr>
          <w:b/>
          <w:bCs/>
        </w:rPr>
        <w:t xml:space="preserve">axonasp-mcp.exe</w:t>
      </w:r>
      <w:r>
        <w:t xml:space="preserve"> </w:t>
      </w:r>
      <w:r>
        <w:t xml:space="preserve">(Model Context Protocol Server)</w:t>
      </w:r>
      <w:r>
        <w:t xml:space="preserve"> </w:t>
      </w:r>
      <w:r>
        <w:t xml:space="preserve">-</w:t>
      </w:r>
      <w:r>
        <w:t xml:space="preserve"> </w:t>
      </w:r>
      <w:r>
        <w:rPr>
          <w:b/>
          <w:bCs/>
        </w:rPr>
        <w:t xml:space="preserve">axonasp-service.exe</w:t>
      </w:r>
      <w:r>
        <w:t xml:space="preserve"> </w:t>
      </w:r>
      <w:r>
        <w:t xml:space="preserve">(Windows Service wrapper)</w:t>
      </w:r>
      <w:r>
        <w:t xml:space="preserve"> </w:t>
      </w:r>
      <w:r>
        <w:t xml:space="preserve">-</w:t>
      </w:r>
      <w:r>
        <w:t xml:space="preserve"> </w:t>
      </w:r>
      <w:r>
        <w:rPr>
          <w:b/>
          <w:bCs/>
        </w:rPr>
        <w:t xml:space="preserve">axonasp-testsuite.exe</w:t>
      </w:r>
      <w:r>
        <w:t xml:space="preserve"> </w:t>
      </w:r>
      <w:r>
        <w:t xml:space="preserve">(Integration Test Suite runner)</w:t>
      </w:r>
    </w:p>
    <w:bookmarkEnd w:id="444"/>
    <w:bookmarkStart w:id="445" w:name="parameters-and-arguments-5"/>
    <w:p>
      <w:pPr>
        <w:pStyle w:val="Heading2"/>
      </w:pPr>
      <w:r>
        <w:t xml:space="preserve">Parameters and Arguments</w:t>
      </w:r>
    </w:p>
    <w:p>
      <w:pPr>
        <w:pStyle w:val="Compact"/>
        <w:numPr>
          <w:ilvl w:val="0"/>
          <w:numId w:val="1144"/>
        </w:numPr>
      </w:pPr>
      <w:r>
        <w:rPr>
          <w:b/>
          <w:bCs/>
        </w:rPr>
        <w:t xml:space="preserve">-c, –config.config_file</w:t>
      </w:r>
      <w:r>
        <w:t xml:space="preserve"> </w:t>
      </w:r>
      <w:r>
        <w:t xml:space="preserve">(String): Required flag argument. Specifies the absolute or relative path to the custom TOML configuration file (e.g.,</w:t>
      </w:r>
      <w:r>
        <w:t xml:space="preserve"> </w:t>
      </w:r>
      <w:r>
        <w:rPr>
          <w:rStyle w:val="VerbatimChar"/>
        </w:rPr>
        <w:t xml:space="preserve">config/axonasp.toml</w:t>
      </w:r>
      <w:r>
        <w:t xml:space="preserve"> </w:t>
      </w:r>
      <w:r>
        <w:t xml:space="preserve">or</w:t>
      </w:r>
      <w:r>
        <w:t xml:space="preserve"> </w:t>
      </w:r>
      <w:r>
        <w:rPr>
          <w:rStyle w:val="VerbatimChar"/>
        </w:rPr>
        <w:t xml:space="preserve">C:\my_app\custom-config.toml</w:t>
      </w:r>
      <w:r>
        <w:t xml:space="preserve">).</w:t>
      </w:r>
    </w:p>
    <w:bookmarkEnd w:id="445"/>
    <w:bookmarkStart w:id="446" w:name="return-values-5"/>
    <w:p>
      <w:pPr>
        <w:pStyle w:val="Heading2"/>
      </w:pPr>
      <w:r>
        <w:t xml:space="preserve">Return Values</w:t>
      </w:r>
    </w:p>
    <w:p>
      <w:pPr>
        <w:pStyle w:val="FirstParagraph"/>
      </w:pPr>
      <w:r>
        <w:t xml:space="preserve">Not applicable. The command returns standard system shell output or executes the server process in the foreground/background as configured.</w:t>
      </w:r>
    </w:p>
    <w:bookmarkEnd w:id="446"/>
    <w:bookmarkStart w:id="448" w:name="remarks-16"/>
    <w:p>
      <w:pPr>
        <w:pStyle w:val="Heading2"/>
      </w:pPr>
      <w:r>
        <w:t xml:space="preserve">Remarks</w:t>
      </w:r>
    </w:p>
    <w:p>
      <w:pPr>
        <w:pStyle w:val="FirstParagraph"/>
      </w:pPr>
      <w:r>
        <w:t xml:space="preserve">By default, the AxonASP configuration loader searches for the configuration file named</w:t>
      </w:r>
      <w:r>
        <w:t xml:space="preserve"> </w:t>
      </w:r>
      <w:r>
        <w:rPr>
          <w:rStyle w:val="VerbatimChar"/>
        </w:rPr>
        <w:t xml:space="preserve">axonasp.toml</w:t>
      </w:r>
      <w:r>
        <w:t xml:space="preserve"> </w:t>
      </w:r>
      <w:r>
        <w:t xml:space="preserve">in several relative folders (such as the current working directory, parent directories, or the executable directory). Specifying the custom configuration flag overrides this behavior entirely, instructing the shared Viper configuration manager to load the configuration from the designated path.</w:t>
      </w:r>
    </w:p>
    <w:bookmarkStart w:id="447" w:name="multi-application-hosting-strategy"/>
    <w:p>
      <w:pPr>
        <w:pStyle w:val="Heading3"/>
      </w:pPr>
      <w:r>
        <w:t xml:space="preserve">Multi-Application Hosting Strategy</w:t>
      </w:r>
    </w:p>
    <w:p>
      <w:pPr>
        <w:pStyle w:val="FirstParagraph"/>
      </w:pPr>
      <w:r>
        <w:t xml:space="preserve">Because the configuration file controls critical service options—including the web root directory (</w:t>
      </w:r>
      <w:r>
        <w:rPr>
          <w:rStyle w:val="VerbatimChar"/>
        </w:rPr>
        <w:t xml:space="preserve">server.web_root</w:t>
      </w:r>
      <w:r>
        <w:t xml:space="preserve">), the HTTP listener port (</w:t>
      </w:r>
      <w:r>
        <w:rPr>
          <w:rStyle w:val="VerbatimChar"/>
        </w:rPr>
        <w:t xml:space="preserve">server.server_port</w:t>
      </w:r>
      <w:r>
        <w:t xml:space="preserve">), and temporary directory settings—you can host multiple independent ASP applications on the same server simultaneously:</w:t>
      </w:r>
      <w:r>
        <w:t xml:space="preserve"> </w:t>
      </w:r>
      <w:r>
        <w:t xml:space="preserve">1. Create separate TOML configuration files for each application (e.g. </w:t>
      </w:r>
      <w:r>
        <w:rPr>
          <w:rStyle w:val="VerbatimChar"/>
        </w:rPr>
        <w:t xml:space="preserve">app1.toml</w:t>
      </w:r>
      <w:r>
        <w:t xml:space="preserve"> </w:t>
      </w:r>
      <w:r>
        <w:t xml:space="preserve">and</w:t>
      </w:r>
      <w:r>
        <w:t xml:space="preserve"> </w:t>
      </w:r>
      <w:r>
        <w:rPr>
          <w:rStyle w:val="VerbatimChar"/>
        </w:rPr>
        <w:t xml:space="preserve">app2.toml</w:t>
      </w:r>
      <w:r>
        <w:t xml:space="preserve">).</w:t>
      </w:r>
      <w:r>
        <w:t xml:space="preserve"> </w:t>
      </w:r>
      <w:r>
        <w:t xml:space="preserve">2. Set different</w:t>
      </w:r>
      <w:r>
        <w:t xml:space="preserve"> </w:t>
      </w:r>
      <w:r>
        <w:rPr>
          <w:rStyle w:val="VerbatimChar"/>
        </w:rPr>
        <w:t xml:space="preserve">server.web_root</w:t>
      </w:r>
      <w:r>
        <w:t xml:space="preserve"> </w:t>
      </w:r>
      <w:r>
        <w:t xml:space="preserve">and</w:t>
      </w:r>
      <w:r>
        <w:t xml:space="preserve"> </w:t>
      </w:r>
      <w:r>
        <w:rPr>
          <w:rStyle w:val="VerbatimChar"/>
        </w:rPr>
        <w:t xml:space="preserve">server.server_port</w:t>
      </w:r>
      <w:r>
        <w:t xml:space="preserve"> </w:t>
      </w:r>
      <w:r>
        <w:t xml:space="preserve">values in each file (e.g., Port</w:t>
      </w:r>
      <w:r>
        <w:t xml:space="preserve"> </w:t>
      </w:r>
      <w:r>
        <w:rPr>
          <w:rStyle w:val="VerbatimChar"/>
        </w:rPr>
        <w:t xml:space="preserve">8801</w:t>
      </w:r>
      <w:r>
        <w:t xml:space="preserve"> </w:t>
      </w:r>
      <w:r>
        <w:t xml:space="preserve">for App 1 and Port</w:t>
      </w:r>
      <w:r>
        <w:t xml:space="preserve"> </w:t>
      </w:r>
      <w:r>
        <w:rPr>
          <w:rStyle w:val="VerbatimChar"/>
        </w:rPr>
        <w:t xml:space="preserve">8802</w:t>
      </w:r>
      <w:r>
        <w:t xml:space="preserve"> </w:t>
      </w:r>
      <w:r>
        <w:t xml:space="preserve">for App 2).</w:t>
      </w:r>
      <w:r>
        <w:t xml:space="preserve"> </w:t>
      </w:r>
      <w:r>
        <w:t xml:space="preserve">3. Start the executables pointing to their respective configuration files.</w:t>
      </w:r>
    </w:p>
    <w:p>
      <w:pPr>
        <w:pStyle w:val="BodyText"/>
      </w:pPr>
      <w:r>
        <w:t xml:space="preserve">This avoids file conflicts and separates application pools, all while utilizing the same AxonASP binary files.</w:t>
      </w:r>
    </w:p>
    <w:bookmarkEnd w:id="447"/>
    <w:bookmarkEnd w:id="448"/>
    <w:bookmarkStart w:id="452" w:name="code-example-8"/>
    <w:p>
      <w:pPr>
        <w:pStyle w:val="Heading2"/>
      </w:pPr>
      <w:r>
        <w:t xml:space="preserve">Code Example</w:t>
      </w:r>
    </w:p>
    <w:p>
      <w:pPr>
        <w:pStyle w:val="FirstParagraph"/>
      </w:pPr>
      <w:r>
        <w:t xml:space="preserve">The following examples demonstrate how to start two independent AxonASP HTTP instances serving different applications on different ports:</w:t>
      </w:r>
    </w:p>
    <w:bookmarkStart w:id="449" w:name="X24e90e582bb7f2b00b2f482d71008830379e927"/>
    <w:p>
      <w:pPr>
        <w:pStyle w:val="Heading3"/>
      </w:pPr>
      <w:r>
        <w:t xml:space="preserve">Configuration for Application A (app_a.toml)</w:t>
      </w:r>
    </w:p>
    <w:p>
      <w:pPr>
        <w:pStyle w:val="SourceCode"/>
      </w:pPr>
      <w:r>
        <w:rPr>
          <w:rStyle w:val="KeywordTok"/>
        </w:rPr>
        <w:t xml:space="preserve">[server]</w:t>
      </w:r>
      <w:r>
        <w:br/>
      </w:r>
      <w:r>
        <w:rPr>
          <w:rStyle w:val="DataTypeTok"/>
        </w:rPr>
        <w:t xml:space="preserve">server_port</w:t>
      </w:r>
      <w:r>
        <w:rPr>
          <w:rStyle w:val="NormalTok"/>
        </w:rPr>
        <w:t xml:space="preserve"> </w:t>
      </w:r>
      <w:r>
        <w:rPr>
          <w:rStyle w:val="OperatorTok"/>
        </w:rPr>
        <w:t xml:space="preserve">=</w:t>
      </w:r>
      <w:r>
        <w:rPr>
          <w:rStyle w:val="NormalTok"/>
        </w:rPr>
        <w:t xml:space="preserve"> </w:t>
      </w:r>
      <w:r>
        <w:rPr>
          <w:rStyle w:val="DecValTok"/>
        </w:rPr>
        <w:t xml:space="preserve">8801</w:t>
      </w:r>
      <w:r>
        <w:br/>
      </w:r>
      <w:r>
        <w:rPr>
          <w:rStyle w:val="DataTypeTok"/>
        </w:rPr>
        <w:t xml:space="preserve">web_root</w:t>
      </w:r>
      <w:r>
        <w:rPr>
          <w:rStyle w:val="NormalTok"/>
        </w:rPr>
        <w:t xml:space="preserve"> </w:t>
      </w:r>
      <w:r>
        <w:rPr>
          <w:rStyle w:val="OperatorTok"/>
        </w:rPr>
        <w:t xml:space="preserve">=</w:t>
      </w:r>
      <w:r>
        <w:rPr>
          <w:rStyle w:val="NormalTok"/>
        </w:rPr>
        <w:t xml:space="preserve"> </w:t>
      </w:r>
      <w:r>
        <w:rPr>
          <w:rStyle w:val="StringTok"/>
        </w:rPr>
        <w:t xml:space="preserve">"C:</w:t>
      </w:r>
      <w:r>
        <w:rPr>
          <w:rStyle w:val="SpecialCharTok"/>
        </w:rPr>
        <w:t xml:space="preserve">\\</w:t>
      </w:r>
      <w:r>
        <w:rPr>
          <w:rStyle w:val="StringTok"/>
        </w:rPr>
        <w:t xml:space="preserve">inetpub</w:t>
      </w:r>
      <w:r>
        <w:rPr>
          <w:rStyle w:val="SpecialCharTok"/>
        </w:rPr>
        <w:t xml:space="preserve">\\</w:t>
      </w:r>
      <w:r>
        <w:rPr>
          <w:rStyle w:val="StringTok"/>
        </w:rPr>
        <w:t xml:space="preserve">wwwroot</w:t>
      </w:r>
      <w:r>
        <w:rPr>
          <w:rStyle w:val="SpecialCharTok"/>
        </w:rPr>
        <w:t xml:space="preserve">\\</w:t>
      </w:r>
      <w:r>
        <w:rPr>
          <w:rStyle w:val="StringTok"/>
        </w:rPr>
        <w:t xml:space="preserve">app_a"</w:t>
      </w:r>
      <w:r>
        <w:br/>
      </w:r>
      <w:r>
        <w:rPr>
          <w:rStyle w:val="DataTypeTok"/>
        </w:rPr>
        <w:t xml:space="preserve">enable_directory_listing</w:t>
      </w:r>
      <w:r>
        <w:rPr>
          <w:rStyle w:val="NormalTok"/>
        </w:rPr>
        <w:t xml:space="preserve"> </w:t>
      </w:r>
      <w:r>
        <w:rPr>
          <w:rStyle w:val="OperatorTok"/>
        </w:rPr>
        <w:t xml:space="preserve">=</w:t>
      </w:r>
      <w:r>
        <w:rPr>
          <w:rStyle w:val="NormalTok"/>
        </w:rPr>
        <w:t xml:space="preserve"> </w:t>
      </w:r>
      <w:r>
        <w:rPr>
          <w:rStyle w:val="ConstantTok"/>
        </w:rPr>
        <w:t xml:space="preserve">false</w:t>
      </w:r>
    </w:p>
    <w:bookmarkEnd w:id="449"/>
    <w:bookmarkStart w:id="450" w:name="Xc18db945f20151e7b3c610ceb7d8eb44ace6a74"/>
    <w:p>
      <w:pPr>
        <w:pStyle w:val="Heading3"/>
      </w:pPr>
      <w:r>
        <w:t xml:space="preserve">Configuration for Application B (app_b.toml)</w:t>
      </w:r>
    </w:p>
    <w:p>
      <w:pPr>
        <w:pStyle w:val="SourceCode"/>
      </w:pPr>
      <w:r>
        <w:rPr>
          <w:rStyle w:val="KeywordTok"/>
        </w:rPr>
        <w:t xml:space="preserve">[server]</w:t>
      </w:r>
      <w:r>
        <w:br/>
      </w:r>
      <w:r>
        <w:rPr>
          <w:rStyle w:val="DataTypeTok"/>
        </w:rPr>
        <w:t xml:space="preserve">server_port</w:t>
      </w:r>
      <w:r>
        <w:rPr>
          <w:rStyle w:val="NormalTok"/>
        </w:rPr>
        <w:t xml:space="preserve"> </w:t>
      </w:r>
      <w:r>
        <w:rPr>
          <w:rStyle w:val="OperatorTok"/>
        </w:rPr>
        <w:t xml:space="preserve">=</w:t>
      </w:r>
      <w:r>
        <w:rPr>
          <w:rStyle w:val="NormalTok"/>
        </w:rPr>
        <w:t xml:space="preserve"> </w:t>
      </w:r>
      <w:r>
        <w:rPr>
          <w:rStyle w:val="DecValTok"/>
        </w:rPr>
        <w:t xml:space="preserve">8802</w:t>
      </w:r>
      <w:r>
        <w:br/>
      </w:r>
      <w:r>
        <w:rPr>
          <w:rStyle w:val="DataTypeTok"/>
        </w:rPr>
        <w:t xml:space="preserve">web_root</w:t>
      </w:r>
      <w:r>
        <w:rPr>
          <w:rStyle w:val="NormalTok"/>
        </w:rPr>
        <w:t xml:space="preserve"> </w:t>
      </w:r>
      <w:r>
        <w:rPr>
          <w:rStyle w:val="OperatorTok"/>
        </w:rPr>
        <w:t xml:space="preserve">=</w:t>
      </w:r>
      <w:r>
        <w:rPr>
          <w:rStyle w:val="NormalTok"/>
        </w:rPr>
        <w:t xml:space="preserve"> </w:t>
      </w:r>
      <w:r>
        <w:rPr>
          <w:rStyle w:val="StringTok"/>
        </w:rPr>
        <w:t xml:space="preserve">"C:</w:t>
      </w:r>
      <w:r>
        <w:rPr>
          <w:rStyle w:val="SpecialCharTok"/>
        </w:rPr>
        <w:t xml:space="preserve">\\</w:t>
      </w:r>
      <w:r>
        <w:rPr>
          <w:rStyle w:val="StringTok"/>
        </w:rPr>
        <w:t xml:space="preserve">inetpub</w:t>
      </w:r>
      <w:r>
        <w:rPr>
          <w:rStyle w:val="SpecialCharTok"/>
        </w:rPr>
        <w:t xml:space="preserve">\\</w:t>
      </w:r>
      <w:r>
        <w:rPr>
          <w:rStyle w:val="StringTok"/>
        </w:rPr>
        <w:t xml:space="preserve">wwwroot</w:t>
      </w:r>
      <w:r>
        <w:rPr>
          <w:rStyle w:val="SpecialCharTok"/>
        </w:rPr>
        <w:t xml:space="preserve">\\</w:t>
      </w:r>
      <w:r>
        <w:rPr>
          <w:rStyle w:val="StringTok"/>
        </w:rPr>
        <w:t xml:space="preserve">app_b"</w:t>
      </w:r>
      <w:r>
        <w:br/>
      </w:r>
      <w:r>
        <w:rPr>
          <w:rStyle w:val="DataTypeTok"/>
        </w:rPr>
        <w:t xml:space="preserve">enable_directory_listing</w:t>
      </w:r>
      <w:r>
        <w:rPr>
          <w:rStyle w:val="NormalTok"/>
        </w:rPr>
        <w:t xml:space="preserve"> </w:t>
      </w:r>
      <w:r>
        <w:rPr>
          <w:rStyle w:val="OperatorTok"/>
        </w:rPr>
        <w:t xml:space="preserve">=</w:t>
      </w:r>
      <w:r>
        <w:rPr>
          <w:rStyle w:val="NormalTok"/>
        </w:rPr>
        <w:t xml:space="preserve"> </w:t>
      </w:r>
      <w:r>
        <w:rPr>
          <w:rStyle w:val="ConstantTok"/>
        </w:rPr>
        <w:t xml:space="preserve">true</w:t>
      </w:r>
    </w:p>
    <w:bookmarkEnd w:id="450"/>
    <w:bookmarkStart w:id="451" w:name="execution-commands"/>
    <w:p>
      <w:pPr>
        <w:pStyle w:val="Heading3"/>
      </w:pPr>
      <w:r>
        <w:t xml:space="preserve">Execution Commands</w:t>
      </w:r>
    </w:p>
    <w:p>
      <w:pPr>
        <w:pStyle w:val="FirstParagraph"/>
      </w:pPr>
      <w:r>
        <w:t xml:space="preserve">Start both instances from separate shell terminals:</w:t>
      </w:r>
    </w:p>
    <w:p>
      <w:pPr>
        <w:pStyle w:val="SourceCode"/>
      </w:pPr>
      <w:r>
        <w:rPr>
          <w:rStyle w:val="CommentTok"/>
        </w:rPr>
        <w:t xml:space="preserve"># Start Application A</w:t>
      </w:r>
      <w:r>
        <w:br/>
      </w:r>
      <w:r>
        <w:rPr>
          <w:rStyle w:val="OperatorTok"/>
        </w:rPr>
        <w:t xml:space="preserve">.</w:t>
      </w:r>
      <w:r>
        <w:rPr>
          <w:rStyle w:val="NormalTok"/>
        </w:rPr>
        <w:t xml:space="preserve">\axonasp-http</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config</w:t>
      </w:r>
      <w:r>
        <w:rPr>
          <w:rStyle w:val="OperatorTok"/>
        </w:rPr>
        <w:t xml:space="preserve">.</w:t>
      </w:r>
      <w:r>
        <w:rPr>
          <w:rStyle w:val="FunctionTok"/>
        </w:rPr>
        <w:t xml:space="preserve">config_file</w:t>
      </w:r>
      <w:r>
        <w:rPr>
          <w:rStyle w:val="NormalTok"/>
        </w:rPr>
        <w:t xml:space="preserve"> </w:t>
      </w:r>
      <w:r>
        <w:rPr>
          <w:rStyle w:val="OperatorTok"/>
        </w:rPr>
        <w:t xml:space="preserve">.</w:t>
      </w:r>
      <w:r>
        <w:rPr>
          <w:rStyle w:val="NormalTok"/>
        </w:rPr>
        <w:t xml:space="preserve">\config\app_a</w:t>
      </w:r>
      <w:r>
        <w:rPr>
          <w:rStyle w:val="OperatorTok"/>
        </w:rPr>
        <w:t xml:space="preserve">.</w:t>
      </w:r>
      <w:r>
        <w:rPr>
          <w:rStyle w:val="FunctionTok"/>
        </w:rPr>
        <w:t xml:space="preserve">toml</w:t>
      </w:r>
      <w:r>
        <w:br/>
      </w:r>
      <w:r>
        <w:br/>
      </w:r>
      <w:r>
        <w:rPr>
          <w:rStyle w:val="CommentTok"/>
        </w:rPr>
        <w:t xml:space="preserve"># Start Application B</w:t>
      </w:r>
      <w:r>
        <w:br/>
      </w:r>
      <w:r>
        <w:rPr>
          <w:rStyle w:val="OperatorTok"/>
        </w:rPr>
        <w:t xml:space="preserve">.</w:t>
      </w:r>
      <w:r>
        <w:rPr>
          <w:rStyle w:val="NormalTok"/>
        </w:rPr>
        <w:t xml:space="preserve">\axonasp-http</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\config\app_b</w:t>
      </w:r>
      <w:r>
        <w:rPr>
          <w:rStyle w:val="OperatorTok"/>
        </w:rPr>
        <w:t xml:space="preserve">.</w:t>
      </w:r>
      <w:r>
        <w:rPr>
          <w:rStyle w:val="FunctionTok"/>
        </w:rPr>
        <w:t xml:space="preserve">toml</w:t>
      </w:r>
    </w:p>
    <w:bookmarkEnd w:id="451"/>
    <w:bookmarkEnd w:id="452"/>
    <w:bookmarkEnd w:id="453"/>
    <w:bookmarkStart w:id="454" w:name="axonlive"/>
    <w:p>
      <w:pPr>
        <w:pStyle w:val="Heading1"/>
      </w:pPr>
      <w:r>
        <w:t xml:space="preserve">AxonLive</w:t>
      </w:r>
    </w:p>
    <w:bookmarkEnd w:id="454"/>
    <w:bookmarkStart w:id="458" w:name="g3axonlive-ecosystem-overview"/>
    <w:p>
      <w:pPr>
        <w:pStyle w:val="Heading1"/>
      </w:pPr>
      <w:r>
        <w:t xml:space="preserve">G3AxonLive Ecosystem Overview</w:t>
      </w:r>
    </w:p>
    <w:p>
      <w:pPr>
        <w:pStyle w:val="FirstParagraph"/>
      </w:pPr>
      <w:r>
        <w:t xml:space="preserve">The G3AxonLive ecosystem is a high-performance Reactive Component Framework built directly into the AxonASP Virtual Machine. It empowers developers to create dynamic, stateful, and highly responsive web applications using Classic ASP (VBScript or Server-Side JavaScript) without requiring full page reloads.</w:t>
      </w:r>
    </w:p>
    <w:p>
      <w:pPr>
        <w:pStyle w:val="BodyText"/>
      </w:pPr>
      <w:r>
        <w:t xml:space="preserve">By utilizing native Go mechanisms on the backend and modern</w:t>
      </w:r>
      <w:r>
        <w:t xml:space="preserve"> </w:t>
      </w:r>
      <w:r>
        <w:rPr>
          <w:rStyle w:val="VerbatimChar"/>
        </w:rPr>
        <w:t xml:space="preserve">fetch</w:t>
      </w:r>
      <w:r>
        <w:t xml:space="preserve"> </w:t>
      </w:r>
      <w:r>
        <w:t xml:space="preserve">protocols on the frontend, AxonLive bridges the gap between legacy server-side scripting and modern single-page application (SPA) paradigms.</w:t>
      </w:r>
    </w:p>
    <w:bookmarkStart w:id="455" w:name="advantages-of-g3axonlive"/>
    <w:p>
      <w:pPr>
        <w:pStyle w:val="Heading2"/>
      </w:pPr>
      <w:r>
        <w:t xml:space="preserve">Advantages of G3AxonLive</w:t>
      </w:r>
    </w:p>
    <w:p>
      <w:pPr>
        <w:pStyle w:val="Compact"/>
        <w:numPr>
          <w:ilvl w:val="0"/>
          <w:numId w:val="1145"/>
        </w:numPr>
      </w:pPr>
      <w:r>
        <w:rPr>
          <w:b/>
          <w:bCs/>
        </w:rPr>
        <w:t xml:space="preserve">Zero Page Reloads:</w:t>
      </w:r>
      <w:r>
        <w:t xml:space="preserve"> </w:t>
      </w:r>
      <w:r>
        <w:t xml:space="preserve">All UI interactions (button clicks, form submissions, timers) are sent to the server asynchronously. The server responds with targeted JSON patches, swapping only the modified DOM elements.</w:t>
      </w:r>
    </w:p>
    <w:p>
      <w:pPr>
        <w:pStyle w:val="Compact"/>
        <w:numPr>
          <w:ilvl w:val="0"/>
          <w:numId w:val="1145"/>
        </w:numPr>
      </w:pPr>
      <w:r>
        <w:rPr>
          <w:b/>
          <w:bCs/>
        </w:rPr>
        <w:t xml:space="preserve">Strict Backend Control:</w:t>
      </w:r>
      <w:r>
        <w:t xml:space="preserve"> </w:t>
      </w:r>
      <w:r>
        <w:t xml:space="preserve">All business logic, validation, and state mutation happen exclusively on the server. The client browser merely acts as a dumb terminal rendering the HTML patches, significantly reducing the attack surface.</w:t>
      </w:r>
    </w:p>
    <w:p>
      <w:pPr>
        <w:pStyle w:val="Compact"/>
        <w:numPr>
          <w:ilvl w:val="0"/>
          <w:numId w:val="1145"/>
        </w:numPr>
      </w:pPr>
      <w:r>
        <w:rPr>
          <w:b/>
          <w:bCs/>
        </w:rPr>
        <w:t xml:space="preserve">Authenticated Session Binding:</w:t>
      </w:r>
      <w:r>
        <w:t xml:space="preserve"> </w:t>
      </w:r>
      <w:r>
        <w:t xml:space="preserve">The</w:t>
      </w:r>
      <w:r>
        <w:t xml:space="preserve"> </w:t>
      </w:r>
      <w:r>
        <w:rPr>
          <w:rStyle w:val="VerbatimChar"/>
        </w:rPr>
        <w:t xml:space="preserve">/g3al</w:t>
      </w:r>
      <w:r>
        <w:t xml:space="preserve"> </w:t>
      </w:r>
      <w:r>
        <w:t xml:space="preserve">endpoint binds every async event to the authenticated</w:t>
      </w:r>
      <w:r>
        <w:t xml:space="preserve"> </w:t>
      </w:r>
      <w:r>
        <w:rPr>
          <w:rStyle w:val="VerbatimChar"/>
        </w:rPr>
        <w:t xml:space="preserve">ASPSESSIONID</w:t>
      </w:r>
      <w:r>
        <w:t xml:space="preserve"> </w:t>
      </w:r>
      <w:r>
        <w:t xml:space="preserve">cookie. Client-provided session identifiers are not used as an authority for page routing.</w:t>
      </w:r>
    </w:p>
    <w:p>
      <w:pPr>
        <w:pStyle w:val="Compact"/>
        <w:numPr>
          <w:ilvl w:val="0"/>
          <w:numId w:val="1145"/>
        </w:numPr>
      </w:pPr>
      <w:r>
        <w:rPr>
          <w:b/>
          <w:bCs/>
        </w:rPr>
        <w:t xml:space="preserve">Zero Additional Wrappers:</w:t>
      </w:r>
      <w:r>
        <w:t xml:space="preserve"> </w:t>
      </w:r>
      <w:r>
        <w:t xml:space="preserve">AxonLive is implemented directly inside the</w:t>
      </w:r>
      <w:r>
        <w:t xml:space="preserve"> </w:t>
      </w:r>
      <w:r>
        <w:rPr>
          <w:rStyle w:val="VerbatimChar"/>
        </w:rPr>
        <w:t xml:space="preserve">axonvm</w:t>
      </w:r>
      <w:r>
        <w:t xml:space="preserve"> </w:t>
      </w:r>
      <w:r>
        <w:t xml:space="preserve">engine as a native procedural controller (</w:t>
      </w:r>
      <w:r>
        <w:rPr>
          <w:rStyle w:val="VerbatimChar"/>
        </w:rPr>
        <w:t xml:space="preserve">G3AXONLIVE</w:t>
      </w:r>
      <w:r>
        <w:t xml:space="preserve">). This eliminates the need for bulky ASP class wrappers, providing bare-metal performance and zero garbage collection overhead.</w:t>
      </w:r>
    </w:p>
    <w:p>
      <w:pPr>
        <w:pStyle w:val="Compact"/>
        <w:numPr>
          <w:ilvl w:val="0"/>
          <w:numId w:val="1145"/>
        </w:numPr>
      </w:pPr>
      <w:r>
        <w:rPr>
          <w:b/>
          <w:bCs/>
        </w:rPr>
        <w:t xml:space="preserve">Granular DOM Manipulation:</w:t>
      </w:r>
      <w:r>
        <w:t xml:space="preserve"> </w:t>
      </w:r>
      <w:r>
        <w:t xml:space="preserve">Instead of re-rendering entire components, developers can push targeted instructions to modify styles, attributes, classes, or trigger external redirects natively from ASP.</w:t>
      </w:r>
    </w:p>
    <w:bookmarkEnd w:id="455"/>
    <w:bookmarkStart w:id="456" w:name="state-and-persistence"/>
    <w:p>
      <w:pPr>
        <w:pStyle w:val="Heading2"/>
      </w:pPr>
      <w:r>
        <w:t xml:space="preserve">State and Persistence</w:t>
      </w:r>
    </w:p>
    <w:p>
      <w:pPr>
        <w:pStyle w:val="FirstParagraph"/>
      </w:pPr>
      <w:r>
        <w:t xml:space="preserve">One of the most powerful features of G3AxonLive is its transparent</w:t>
      </w:r>
      <w:r>
        <w:t xml:space="preserve"> </w:t>
      </w:r>
      <w:r>
        <w:rPr>
          <w:b/>
          <w:bCs/>
        </w:rPr>
        <w:t xml:space="preserve">State and Persistence</w:t>
      </w:r>
      <w:r>
        <w:t xml:space="preserve"> </w:t>
      </w:r>
      <w:r>
        <w:t xml:space="preserve">model.</w:t>
      </w:r>
    </w:p>
    <w:p>
      <w:pPr>
        <w:pStyle w:val="BodyText"/>
      </w:pPr>
      <w:r>
        <w:t xml:space="preserve">When an AxonLive element or property is manipulated and saved in the session (e.g., using the</w:t>
      </w:r>
      <w:r>
        <w:t xml:space="preserve"> </w:t>
      </w:r>
      <w:r>
        <w:rPr>
          <w:rStyle w:val="VerbatimChar"/>
        </w:rPr>
        <w:t xml:space="preserve">SetComponentProperty</w:t>
      </w:r>
      <w:r>
        <w:t xml:space="preserve"> </w:t>
      </w:r>
      <w:r>
        <w:t xml:space="preserve">method),</w:t>
      </w:r>
      <w:r>
        <w:t xml:space="preserve"> </w:t>
      </w:r>
      <w:r>
        <w:rPr>
          <w:b/>
          <w:bCs/>
        </w:rPr>
        <w:t xml:space="preserve">it persists across all pages for that user’s session.</w:t>
      </w:r>
    </w:p>
    <w:p>
      <w:pPr>
        <w:pStyle w:val="BodyText"/>
      </w:pPr>
      <w:r>
        <w:t xml:space="preserve">If you create an element state named</w:t>
      </w:r>
      <w:r>
        <w:t xml:space="preserve"> </w:t>
      </w:r>
      <w:r>
        <w:rPr>
          <w:rStyle w:val="VerbatimChar"/>
        </w:rPr>
        <w:t xml:space="preserve">"main"</w:t>
      </w:r>
      <w:r>
        <w:t xml:space="preserve"> </w:t>
      </w:r>
      <w:r>
        <w:t xml:space="preserve">in the session, it will render identically and maintain its exact state across the user’s entire session footprint, regardless of which physical</w:t>
      </w:r>
      <w:r>
        <w:t xml:space="preserve"> </w:t>
      </w:r>
      <w:r>
        <w:rPr>
          <w:rStyle w:val="VerbatimChar"/>
        </w:rPr>
        <w:t xml:space="preserve">.asp</w:t>
      </w:r>
      <w:r>
        <w:t xml:space="preserve"> </w:t>
      </w:r>
      <w:r>
        <w:t xml:space="preserve">file they navigate to.</w:t>
      </w:r>
    </w:p>
    <w:p>
      <w:pPr>
        <w:pStyle w:val="BodyText"/>
      </w:pPr>
      <w:r>
        <w:t xml:space="preserve">This state is held in an optimized, thread-safe memory map within the Go server process, bypassing the overhead of standard ASP Session variables. The system includes a background garbage collector that automatically removes orphaned component states when a session times out.</w:t>
      </w:r>
    </w:p>
    <w:bookmarkEnd w:id="456"/>
    <w:bookmarkStart w:id="457" w:name="security-model"/>
    <w:p>
      <w:pPr>
        <w:pStyle w:val="Heading2"/>
      </w:pPr>
      <w:r>
        <w:t xml:space="preserve">Security Model</w:t>
      </w:r>
    </w:p>
    <w:p>
      <w:pPr>
        <w:pStyle w:val="FirstParagraph"/>
      </w:pPr>
      <w:r>
        <w:t xml:space="preserve">G3AxonLive asynchronous events are resolved using the authenticated ASP session cookie (</w:t>
      </w:r>
      <w:r>
        <w:rPr>
          <w:rStyle w:val="VerbatimChar"/>
        </w:rPr>
        <w:t xml:space="preserve">ASPSESSIONID</w:t>
      </w:r>
      <w:r>
        <w:t xml:space="preserve">).</w:t>
      </w:r>
    </w:p>
    <w:p>
      <w:pPr>
        <w:pStyle w:val="Compact"/>
        <w:numPr>
          <w:ilvl w:val="0"/>
          <w:numId w:val="1146"/>
        </w:numPr>
      </w:pPr>
      <w:r>
        <w:t xml:space="preserve">The server validates event ownership against the authenticated cookie session.</w:t>
      </w:r>
    </w:p>
    <w:p>
      <w:pPr>
        <w:pStyle w:val="Compact"/>
        <w:numPr>
          <w:ilvl w:val="0"/>
          <w:numId w:val="1146"/>
        </w:numPr>
      </w:pPr>
      <w:r>
        <w:t xml:space="preserve">A mismatched event</w:t>
      </w:r>
      <w:r>
        <w:t xml:space="preserve"> </w:t>
      </w:r>
      <w:r>
        <w:rPr>
          <w:rStyle w:val="VerbatimChar"/>
        </w:rPr>
        <w:t xml:space="preserve">sessionId</w:t>
      </w:r>
      <w:r>
        <w:t xml:space="preserve"> </w:t>
      </w:r>
      <w:r>
        <w:t xml:space="preserve">in client payload is rejected.</w:t>
      </w:r>
    </w:p>
    <w:p>
      <w:pPr>
        <w:pStyle w:val="Compact"/>
        <w:numPr>
          <w:ilvl w:val="0"/>
          <w:numId w:val="1146"/>
        </w:numPr>
      </w:pPr>
      <w:r>
        <w:t xml:space="preserve">Page re-execution for async events always uses the authenticated session registration.</w:t>
      </w:r>
    </w:p>
    <w:p>
      <w:pPr>
        <w:pStyle w:val="FirstParagraph"/>
      </w:pPr>
      <w:r>
        <w:t xml:space="preserve">This model prevents cross-session routing when a client attempts to submit an event for a different user session.</w:t>
      </w:r>
    </w:p>
    <w:bookmarkEnd w:id="457"/>
    <w:bookmarkEnd w:id="458"/>
    <w:bookmarkStart w:id="464" w:name="basic-page-creation-routing"/>
    <w:p>
      <w:pPr>
        <w:pStyle w:val="Heading1"/>
      </w:pPr>
      <w:r>
        <w:t xml:space="preserve">Basic Page Creation &amp; Routing</w:t>
      </w:r>
    </w:p>
    <w:p>
      <w:pPr>
        <w:pStyle w:val="FirstParagraph"/>
      </w:pPr>
      <w:r>
        <w:t xml:space="preserve">Building a page with G3AxonLive requires wiring a backend server script (VBScript or Server-Side JavaScript) with a frontend HTML layout that includes the</w:t>
      </w:r>
      <w:r>
        <w:t xml:space="preserve"> </w:t>
      </w:r>
      <w:r>
        <w:rPr>
          <w:rStyle w:val="VerbatimChar"/>
        </w:rPr>
        <w:t xml:space="preserve">g3axonlive.js</w:t>
      </w:r>
      <w:r>
        <w:t xml:space="preserve"> </w:t>
      </w:r>
      <w:r>
        <w:t xml:space="preserve">client bridge.</w:t>
      </w:r>
    </w:p>
    <w:p>
      <w:pPr>
        <w:pStyle w:val="BodyText"/>
      </w:pPr>
      <w:r>
        <w:t xml:space="preserve">AxonLive acts as a master controller. Every request starts by calling the</w:t>
      </w:r>
      <w:r>
        <w:t xml:space="preserve"> </w:t>
      </w:r>
      <w:r>
        <w:rPr>
          <w:rStyle w:val="VerbatimChar"/>
        </w:rPr>
        <w:t xml:space="preserve">InitPage</w:t>
      </w:r>
      <w:r>
        <w:t xml:space="preserve"> </w:t>
      </w:r>
      <w:r>
        <w:t xml:space="preserve">method. If the request is a standard page load, the server renders the full HTML. If the request is an asynchronous event triggered by a component, the server processes the event logic, registers HTML patches, and cleanly halts execution via</w:t>
      </w:r>
      <w:r>
        <w:t xml:space="preserve"> </w:t>
      </w:r>
      <w:r>
        <w:rPr>
          <w:rStyle w:val="VerbatimChar"/>
        </w:rPr>
        <w:t xml:space="preserve">EndAsyncResponse</w:t>
      </w:r>
      <w:r>
        <w:t xml:space="preserve">.</w:t>
      </w:r>
    </w:p>
    <w:bookmarkStart w:id="461" w:name="creating-your-first-axonlive-page"/>
    <w:p>
      <w:pPr>
        <w:pStyle w:val="Heading2"/>
      </w:pPr>
      <w:r>
        <w:t xml:space="preserve">Creating Your First AxonLive Page</w:t>
      </w:r>
    </w:p>
    <w:p>
      <w:pPr>
        <w:pStyle w:val="FirstParagraph"/>
      </w:pPr>
      <w:r>
        <w:t xml:space="preserve">Below is a complete, step-by-step example demonstrating how to build a reactive counter. We provide examples in both Server-Side JavaScript (JScript) and VBScript.</w:t>
      </w:r>
    </w:p>
    <w:bookmarkStart w:id="459" w:name="server-side-javascript-example"/>
    <w:p>
      <w:pPr>
        <w:pStyle w:val="Heading3"/>
      </w:pPr>
      <w:r>
        <w:t xml:space="preserve">Server-Side JavaScript Example</w:t>
      </w:r>
    </w:p>
    <w:p>
      <w:pPr>
        <w:pStyle w:val="SourceCode"/>
      </w:pPr>
      <w:r>
        <w:rPr>
          <w:rStyle w:val="OperatorTok"/>
        </w:rPr>
        <w:t xml:space="preserve">&lt;%</w:t>
      </w:r>
      <w:r>
        <w:rPr>
          <w:rStyle w:val="NormalTok"/>
        </w:rPr>
        <w:t xml:space="preserve">@ Language</w:t>
      </w:r>
      <w:r>
        <w:rPr>
          <w:rStyle w:val="OperatorTok"/>
        </w:rPr>
        <w:t xml:space="preserve">=</w:t>
      </w:r>
      <w:r>
        <w:rPr>
          <w:rStyle w:val="StringTok"/>
        </w:rPr>
        <w:t xml:space="preserve">"Javascript"</w:t>
      </w:r>
      <w:r>
        <w:rPr>
          <w:rStyle w:val="NormalTok"/>
        </w:rPr>
        <w:t xml:space="preserve"> </w:t>
      </w:r>
      <w:r>
        <w:rPr>
          <w:rStyle w:val="OperatorTok"/>
        </w:rPr>
        <w:t xml:space="preserve">%&gt;</w:t>
      </w:r>
      <w:r>
        <w:br/>
      </w:r>
      <w:r>
        <w:rPr>
          <w:rStyle w:val="OperatorTok"/>
        </w:rPr>
        <w:t xml:space="preserve">&lt;%</w:t>
      </w:r>
      <w:r>
        <w:br/>
      </w: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KeywordTok"/>
        </w:rPr>
        <w:t xml:space="preserve">var</w:t>
      </w:r>
      <w:r>
        <w:rPr>
          <w:rStyle w:val="NormalTok"/>
        </w:rPr>
        <w:t xml:space="preserve"> sessionID </w:t>
      </w:r>
      <w:r>
        <w:rPr>
          <w:rStyle w:val="OperatorTok"/>
        </w:rPr>
        <w:t xml:space="preserve">=</w:t>
      </w:r>
      <w:r>
        <w:rPr>
          <w:rStyle w:val="NormalTok"/>
        </w:rPr>
        <w:t xml:space="preserve"> Session</w:t>
      </w:r>
      <w:r>
        <w:rPr>
          <w:rStyle w:val="OperatorTok"/>
        </w:rPr>
        <w:t xml:space="preserve">.</w:t>
      </w:r>
      <w:r>
        <w:rPr>
          <w:rStyle w:val="AttributeTok"/>
        </w:rPr>
        <w:t xml:space="preserve">SessionID</w:t>
      </w:r>
      <w:r>
        <w:rPr>
          <w:rStyle w:val="OperatorTok"/>
        </w:rPr>
        <w:t xml:space="preserve">;</w:t>
      </w:r>
      <w:r>
        <w:br/>
      </w:r>
      <w:r>
        <w:br/>
      </w:r>
      <w:r>
        <w:rPr>
          <w:rStyle w:val="CommentTok"/>
        </w:rPr>
        <w:t xml:space="preserve">// Helper to safely read numbers from component state</w:t>
      </w:r>
      <w:r>
        <w:br/>
      </w:r>
      <w:r>
        <w:rPr>
          <w:rStyle w:val="KeywordTok"/>
        </w:rPr>
        <w:t xml:space="preserve">function</w:t>
      </w:r>
      <w:r>
        <w:rPr>
          <w:rStyle w:val="NormalTok"/>
        </w:rPr>
        <w:t xml:space="preserve"> </w:t>
      </w:r>
      <w:r>
        <w:rPr>
          <w:rStyle w:val="FunctionTok"/>
        </w:rPr>
        <w:t xml:space="preserve">getCount</w:t>
      </w:r>
      <w:r>
        <w:rPr>
          <w:rStyle w:val="NormalTok"/>
        </w:rPr>
        <w:t xml:space="preserve">(sid</w:t>
      </w:r>
      <w:r>
        <w:rPr>
          <w:rStyle w:val="OperatorTok"/>
        </w:rPr>
        <w:t xml:space="preserve">,</w:t>
      </w:r>
      <w:r>
        <w:rPr>
          <w:rStyle w:val="NormalTok"/>
        </w:rPr>
        <w:t xml:space="preserve"> cid</w:t>
      </w:r>
      <w:r>
        <w:rPr>
          <w:rStyle w:val="OperatorTok"/>
        </w:rPr>
        <w:t xml:space="preserve">,</w:t>
      </w:r>
      <w:r>
        <w:rPr>
          <w:rStyle w:val="NormalTok"/>
        </w:rPr>
        <w:t xml:space="preserve"> prop) {</w:t>
      </w:r>
      <w:r>
        <w:br/>
      </w:r>
      <w:r>
        <w:rPr>
          <w:rStyle w:val="NormalTok"/>
        </w:rPr>
        <w:t xml:space="preserve">    </w:t>
      </w:r>
      <w:r>
        <w:rPr>
          <w:rStyle w:val="KeywordTok"/>
        </w:rPr>
        <w:t xml:space="preserve">var</w:t>
      </w:r>
      <w:r>
        <w:rPr>
          <w:rStyle w:val="NormalTok"/>
        </w:rPr>
        <w:t xml:space="preserve"> val </w:t>
      </w:r>
      <w:r>
        <w:rPr>
          <w:rStyle w:val="OperatorTok"/>
        </w:rPr>
        <w:t xml:space="preserve">=</w:t>
      </w:r>
      <w:r>
        <w:rPr>
          <w:rStyle w:val="NormalTok"/>
        </w:rPr>
        <w:t xml:space="preserve"> AxonLive</w:t>
      </w:r>
      <w:r>
        <w:rPr>
          <w:rStyle w:val="OperatorTok"/>
        </w:rPr>
        <w:t xml:space="preserve">.</w:t>
      </w:r>
      <w:r>
        <w:rPr>
          <w:rStyle w:val="FunctionTok"/>
        </w:rPr>
        <w:t xml:space="preserve">GetComponentProperty</w:t>
      </w:r>
      <w:r>
        <w:rPr>
          <w:rStyle w:val="NormalTok"/>
        </w:rPr>
        <w:t xml:space="preserve">(sid</w:t>
      </w:r>
      <w:r>
        <w:rPr>
          <w:rStyle w:val="OperatorTok"/>
        </w:rPr>
        <w:t xml:space="preserve">,</w:t>
      </w:r>
      <w:r>
        <w:rPr>
          <w:rStyle w:val="NormalTok"/>
        </w:rPr>
        <w:t xml:space="preserve"> cid</w:t>
      </w:r>
      <w:r>
        <w:rPr>
          <w:rStyle w:val="OperatorTok"/>
        </w:rPr>
        <w:t xml:space="preserve">,</w:t>
      </w:r>
      <w:r>
        <w:rPr>
          <w:rStyle w:val="NormalTok"/>
        </w:rPr>
        <w:t xml:space="preserve"> prop)</w:t>
      </w:r>
      <w:r>
        <w:rPr>
          <w:rStyle w:val="OperatorTok"/>
        </w:rPr>
        <w:t xml:space="preserve">;</w:t>
      </w:r>
      <w:r>
        <w:br/>
      </w:r>
      <w:r>
        <w:rPr>
          <w:rStyle w:val="NormalTok"/>
        </w:rPr>
        <w:t xml:space="preserve">    </w:t>
      </w:r>
      <w:r>
        <w:rPr>
          <w:rStyle w:val="ControlFlowTok"/>
        </w:rPr>
        <w:t xml:space="preserve">return</w:t>
      </w:r>
      <w:r>
        <w:rPr>
          <w:rStyle w:val="NormalTok"/>
        </w:rPr>
        <w:t xml:space="preserve"> (val </w:t>
      </w:r>
      <w:r>
        <w:rPr>
          <w:rStyle w:val="OperatorTok"/>
        </w:rPr>
        <w:t xml:space="preserve">===</w:t>
      </w:r>
      <w:r>
        <w:rPr>
          <w:rStyle w:val="NormalTok"/>
        </w:rPr>
        <w:t xml:space="preserve"> </w:t>
      </w:r>
      <w:r>
        <w:rPr>
          <w:rStyle w:val="KeywordTok"/>
        </w:rPr>
        <w:t xml:space="preserve">undefined</w:t>
      </w:r>
      <w:r>
        <w:rPr>
          <w:rStyle w:val="NormalTok"/>
        </w:rPr>
        <w:t xml:space="preserve"> </w:t>
      </w:r>
      <w:r>
        <w:rPr>
          <w:rStyle w:val="OperatorTok"/>
        </w:rPr>
        <w:t xml:space="preserve">||</w:t>
      </w:r>
      <w:r>
        <w:rPr>
          <w:rStyle w:val="NormalTok"/>
        </w:rPr>
        <w:t xml:space="preserve"> val </w:t>
      </w:r>
      <w:r>
        <w:rPr>
          <w:rStyle w:val="OperatorTok"/>
        </w:rPr>
        <w:t xml:space="preserve">===</w:t>
      </w:r>
      <w:r>
        <w:rPr>
          <w:rStyle w:val="NormalTok"/>
        </w:rPr>
        <w:t xml:space="preserve"> </w:t>
      </w:r>
      <w:r>
        <w:rPr>
          <w:rStyle w:val="KeywordTok"/>
        </w:rPr>
        <w:t xml:space="preserve">null</w:t>
      </w:r>
      <w:r>
        <w:rPr>
          <w:rStyle w:val="NormalTok"/>
        </w:rPr>
        <w:t xml:space="preserve"> </w:t>
      </w:r>
      <w:r>
        <w:rPr>
          <w:rStyle w:val="OperatorTok"/>
        </w:rPr>
        <w:t xml:space="preserve">||</w:t>
      </w:r>
      <w:r>
        <w:rPr>
          <w:rStyle w:val="NormalTok"/>
        </w:rPr>
        <w:t xml:space="preserve"> val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rPr>
          <w:rStyle w:val="NormalTok"/>
        </w:rPr>
        <w:t xml:space="preserve"> </w:t>
      </w:r>
      <w:r>
        <w:rPr>
          <w:rStyle w:val="PreprocessorTok"/>
        </w:rPr>
        <w:t xml:space="preserve">parseInt</w:t>
      </w:r>
      <w:r>
        <w:rPr>
          <w:rStyle w:val="NormalTok"/>
        </w:rPr>
        <w:t xml:space="preserve">(val</w:t>
      </w:r>
      <w:r>
        <w:rPr>
          <w:rStyle w:val="OperatorTok"/>
        </w:rPr>
        <w:t xml:space="preserve">,</w:t>
      </w:r>
      <w:r>
        <w:rPr>
          <w:rStyle w:val="NormalTok"/>
        </w:rPr>
        <w:t xml:space="preserve"> </w:t>
      </w:r>
      <w:r>
        <w:rPr>
          <w:rStyle w:val="DecValTok"/>
        </w:rPr>
        <w:t xml:space="preserve">10</w:t>
      </w:r>
      <w:r>
        <w:rPr>
          <w:rStyle w:val="NormalTok"/>
        </w:rPr>
        <w:t xml:space="preserve">)</w:t>
      </w:r>
      <w:r>
        <w:rPr>
          <w:rStyle w:val="OperatorTok"/>
        </w:rPr>
        <w:t xml:space="preserve">;</w:t>
      </w:r>
      <w:r>
        <w:br/>
      </w:r>
      <w:r>
        <w:rPr>
          <w:rStyle w:val="NormalTok"/>
        </w:rPr>
        <w:t xml:space="preserve">}</w:t>
      </w:r>
      <w:r>
        <w:br/>
      </w:r>
      <w:r>
        <w:br/>
      </w:r>
      <w:r>
        <w:rPr>
          <w:rStyle w:val="KeywordTok"/>
        </w:rPr>
        <w:t xml:space="preserve">var</w:t>
      </w:r>
      <w:r>
        <w:rPr>
          <w:rStyle w:val="NormalTok"/>
        </w:rPr>
        <w:t xml:space="preserve"> currentCount </w:t>
      </w:r>
      <w:r>
        <w:rPr>
          <w:rStyle w:val="OperatorTok"/>
        </w:rPr>
        <w:t xml:space="preserve">=</w:t>
      </w:r>
      <w:r>
        <w:rPr>
          <w:rStyle w:val="NormalTok"/>
        </w:rPr>
        <w:t xml:space="preserve"> </w:t>
      </w:r>
      <w:r>
        <w:rPr>
          <w:rStyle w:val="FunctionTok"/>
        </w:rPr>
        <w:t xml:space="preserve">getCount</w:t>
      </w:r>
      <w:r>
        <w:rPr>
          <w:rStyle w:val="NormalTok"/>
        </w:rPr>
        <w:t xml:space="preserve">(sessionID</w:t>
      </w:r>
      <w:r>
        <w:rPr>
          <w:rStyle w:val="OperatorTok"/>
        </w:rPr>
        <w:t xml:space="preserve">,</w:t>
      </w:r>
      <w:r>
        <w:rPr>
          <w:rStyle w:val="NormalTok"/>
        </w:rPr>
        <w:t xml:space="preserve"> </w:t>
      </w:r>
      <w:r>
        <w:rPr>
          <w:rStyle w:val="StringTok"/>
        </w:rPr>
        <w:t xml:space="preserve">"main"</w:t>
      </w:r>
      <w:r>
        <w:rPr>
          <w:rStyle w:val="OperatorTok"/>
        </w:rPr>
        <w:t xml:space="preserve">,</w:t>
      </w:r>
      <w:r>
        <w:rPr>
          <w:rStyle w:val="NormalTok"/>
        </w:rPr>
        <w:t xml:space="preserve"> </w:t>
      </w:r>
      <w:r>
        <w:rPr>
          <w:rStyle w:val="StringTok"/>
        </w:rPr>
        <w:t xml:space="preserve">"clicks"</w:t>
      </w:r>
      <w:r>
        <w:rPr>
          <w:rStyle w:val="NormalTok"/>
        </w:rPr>
        <w:t xml:space="preserve">)</w:t>
      </w:r>
      <w:r>
        <w:rPr>
          <w:rStyle w:val="OperatorTok"/>
        </w:rPr>
        <w:t xml:space="preserve">;</w:t>
      </w:r>
      <w:r>
        <w:br/>
      </w:r>
      <w:r>
        <w:br/>
      </w:r>
      <w:r>
        <w:rPr>
          <w:rStyle w:val="CommentTok"/>
        </w:rPr>
        <w:t xml:space="preserve">// Handle Asynchronous Requests</w:t>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KeywordTok"/>
        </w:rPr>
        <w:t xml:space="preserve">var</w:t>
      </w:r>
      <w:r>
        <w:rPr>
          <w:rStyle w:val="NormalTok"/>
        </w:rPr>
        <w:t xml:space="preserve"> compID </w:t>
      </w:r>
      <w:r>
        <w:rPr>
          <w:rStyle w:val="OperatorTok"/>
        </w:rPr>
        <w:t xml:space="preserve">=</w:t>
      </w:r>
      <w:r>
        <w:rPr>
          <w:rStyle w:val="NormalTok"/>
        </w:rPr>
        <w:t xml:space="preserve"> AxonLive</w:t>
      </w:r>
      <w:r>
        <w:rPr>
          <w:rStyle w:val="OperatorTok"/>
        </w:rPr>
        <w:t xml:space="preserve">.</w:t>
      </w:r>
      <w:r>
        <w:rPr>
          <w:rStyle w:val="AttributeTok"/>
        </w:rPr>
        <w:t xml:space="preserve">EventComponentID</w:t>
      </w:r>
      <w:r>
        <w:rPr>
          <w:rStyle w:val="OperatorTok"/>
        </w:rPr>
        <w:t xml:space="preserve">;</w:t>
      </w:r>
      <w:r>
        <w:br/>
      </w:r>
      <w:r>
        <w:br/>
      </w:r>
      <w:r>
        <w:rPr>
          <w:rStyle w:val="NormalTok"/>
        </w:rPr>
        <w:t xml:space="preserve">    </w:t>
      </w:r>
      <w:r>
        <w:rPr>
          <w:rStyle w:val="ControlFlowTok"/>
        </w:rPr>
        <w:t xml:space="preserve">switch</w:t>
      </w:r>
      <w:r>
        <w:rPr>
          <w:rStyle w:val="NormalTok"/>
        </w:rPr>
        <w:t xml:space="preserve"> (compID) {</w:t>
      </w:r>
      <w:r>
        <w:br/>
      </w:r>
      <w:r>
        <w:rPr>
          <w:rStyle w:val="NormalTok"/>
        </w:rPr>
        <w:t xml:space="preserve">        </w:t>
      </w:r>
      <w:r>
        <w:rPr>
          <w:rStyle w:val="ControlFlowTok"/>
        </w:rPr>
        <w:t xml:space="preserve">case</w:t>
      </w:r>
      <w:r>
        <w:rPr>
          <w:rStyle w:val="NormalTok"/>
        </w:rPr>
        <w:t xml:space="preserve"> </w:t>
      </w:r>
      <w:r>
        <w:rPr>
          <w:rStyle w:val="StringTok"/>
        </w:rPr>
        <w:t xml:space="preserve">"btnIncrement"</w:t>
      </w:r>
      <w:r>
        <w:rPr>
          <w:rStyle w:val="OperatorTok"/>
        </w:rPr>
        <w:t xml:space="preserve">:</w:t>
      </w:r>
      <w:r>
        <w:br/>
      </w:r>
      <w:r>
        <w:rPr>
          <w:rStyle w:val="NormalTok"/>
        </w:rPr>
        <w:t xml:space="preserve">            currentCount</w:t>
      </w:r>
      <w:r>
        <w:rPr>
          <w:rStyle w:val="OperatorTok"/>
        </w:rPr>
        <w:t xml:space="preserve">++;</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"btnDecrement"</w:t>
      </w:r>
      <w:r>
        <w:rPr>
          <w:rStyle w:val="OperatorTok"/>
        </w:rPr>
        <w:t xml:space="preserve">:</w:t>
      </w:r>
      <w:r>
        <w:br/>
      </w:r>
      <w:r>
        <w:rPr>
          <w:rStyle w:val="NormalTok"/>
        </w:rPr>
        <w:t xml:space="preserve">            currentCount</w:t>
      </w:r>
      <w:r>
        <w:rPr>
          <w:rStyle w:val="OperatorTok"/>
        </w:rPr>
        <w:t xml:space="preserve">--;</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br/>
      </w:r>
      <w:r>
        <w:br/>
      </w:r>
      <w:r>
        <w:rPr>
          <w:rStyle w:val="NormalTok"/>
        </w:rPr>
        <w:t xml:space="preserve">    </w:t>
      </w:r>
      <w:r>
        <w:rPr>
          <w:rStyle w:val="CommentTok"/>
        </w:rPr>
        <w:t xml:space="preserve">// Persist the state</w:t>
      </w:r>
      <w:r>
        <w:br/>
      </w:r>
      <w:r>
        <w:rPr>
          <w:rStyle w:val="NormalTok"/>
        </w:rPr>
        <w:t xml:space="preserve">    AxonLive</w:t>
      </w:r>
      <w:r>
        <w:rPr>
          <w:rStyle w:val="OperatorTok"/>
        </w:rPr>
        <w:t xml:space="preserve">.</w:t>
      </w:r>
      <w:r>
        <w:rPr>
          <w:rStyle w:val="FunctionTok"/>
        </w:rPr>
        <w:t xml:space="preserve">SetComponentProperty</w:t>
      </w:r>
      <w:r>
        <w:rPr>
          <w:rStyle w:val="NormalTok"/>
        </w:rPr>
        <w:t xml:space="preserve">(sessionID</w:t>
      </w:r>
      <w:r>
        <w:rPr>
          <w:rStyle w:val="OperatorTok"/>
        </w:rPr>
        <w:t xml:space="preserve">,</w:t>
      </w:r>
      <w:r>
        <w:rPr>
          <w:rStyle w:val="NormalTok"/>
        </w:rPr>
        <w:t xml:space="preserve"> </w:t>
      </w:r>
      <w:r>
        <w:rPr>
          <w:rStyle w:val="StringTok"/>
        </w:rPr>
        <w:t xml:space="preserve">"main"</w:t>
      </w:r>
      <w:r>
        <w:rPr>
          <w:rStyle w:val="OperatorTok"/>
        </w:rPr>
        <w:t xml:space="preserve">,</w:t>
      </w:r>
      <w:r>
        <w:rPr>
          <w:rStyle w:val="NormalTok"/>
        </w:rPr>
        <w:t xml:space="preserve"> </w:t>
      </w:r>
      <w:r>
        <w:rPr>
          <w:rStyle w:val="StringTok"/>
        </w:rPr>
        <w:t xml:space="preserve">"clicks"</w:t>
      </w:r>
      <w:r>
        <w:rPr>
          <w:rStyle w:val="OperatorTok"/>
        </w:rPr>
        <w:t xml:space="preserve">,</w:t>
      </w:r>
      <w:r>
        <w:rPr>
          <w:rStyle w:val="NormalTok"/>
        </w:rPr>
        <w:t xml:space="preserve"> </w:t>
      </w:r>
      <w:r>
        <w:rPr>
          <w:rStyle w:val="BuiltInTok"/>
        </w:rPr>
        <w:t xml:space="preserve">String</w:t>
      </w:r>
      <w:r>
        <w:rPr>
          <w:rStyle w:val="NormalTok"/>
        </w:rPr>
        <w:t xml:space="preserve">(currentCount))</w:t>
      </w:r>
      <w:r>
        <w:rPr>
          <w:rStyle w:val="OperatorTok"/>
        </w:rPr>
        <w:t xml:space="preserve">;</w:t>
      </w:r>
      <w:r>
        <w:br/>
      </w:r>
      <w:r>
        <w:br/>
      </w:r>
      <w:r>
        <w:rPr>
          <w:rStyle w:val="NormalTok"/>
        </w:rPr>
        <w:t xml:space="preserve">    </w:t>
      </w:r>
      <w:r>
        <w:rPr>
          <w:rStyle w:val="CommentTok"/>
        </w:rPr>
        <w:t xml:space="preserve">// Register the component patch</w:t>
      </w:r>
      <w:r>
        <w:br/>
      </w:r>
      <w:r>
        <w:rPr>
          <w:rStyle w:val="NormalTok"/>
        </w:rPr>
        <w:t xml:space="preserve">    </w:t>
      </w:r>
      <w:r>
        <w:rPr>
          <w:rStyle w:val="KeywordTok"/>
        </w:rPr>
        <w:t xml:space="preserve">var</w:t>
      </w:r>
      <w:r>
        <w:rPr>
          <w:rStyle w:val="NormalTok"/>
        </w:rPr>
        <w:t xml:space="preserve"> newHtml </w:t>
      </w:r>
      <w:r>
        <w:rPr>
          <w:rStyle w:val="OperatorTok"/>
        </w:rPr>
        <w:t xml:space="preserve">=</w:t>
      </w:r>
      <w:r>
        <w:rPr>
          <w:rStyle w:val="NormalTok"/>
        </w:rPr>
        <w:t xml:space="preserve"> </w:t>
      </w:r>
      <w:r>
        <w:rPr>
          <w:rStyle w:val="StringTok"/>
        </w:rPr>
        <w:t xml:space="preserve">"&lt;div id=</w:t>
      </w:r>
      <w:r>
        <w:rPr>
          <w:rStyle w:val="SpecialCharTok"/>
        </w:rPr>
        <w:t xml:space="preserve">\"</w:t>
      </w:r>
      <w:r>
        <w:rPr>
          <w:rStyle w:val="StringTok"/>
        </w:rPr>
        <w:t xml:space="preserve">counterDisplay</w:t>
      </w:r>
      <w:r>
        <w:rPr>
          <w:rStyle w:val="SpecialCharTok"/>
        </w:rPr>
        <w:t xml:space="preserve">\"</w:t>
      </w:r>
      <w:r>
        <w:rPr>
          <w:rStyle w:val="StringTok"/>
        </w:rPr>
        <w:t xml:space="preserve"> class=</w:t>
      </w:r>
      <w:r>
        <w:rPr>
          <w:rStyle w:val="SpecialCharTok"/>
        </w:rPr>
        <w:t xml:space="preserve">\"</w:t>
      </w:r>
      <w:r>
        <w:rPr>
          <w:rStyle w:val="StringTok"/>
        </w:rPr>
        <w:t xml:space="preserve">pill pill-primary</w:t>
      </w:r>
      <w:r>
        <w:rPr>
          <w:rStyle w:val="SpecialCharTok"/>
        </w:rPr>
        <w:t xml:space="preserve">\"</w:t>
      </w:r>
      <w:r>
        <w:rPr>
          <w:rStyle w:val="StringTok"/>
        </w:rPr>
        <w:t xml:space="preserve">&gt;Current Count: "</w:t>
      </w:r>
      <w:r>
        <w:rPr>
          <w:rStyle w:val="NormalTok"/>
        </w:rPr>
        <w:t xml:space="preserve"> </w:t>
      </w:r>
      <w:r>
        <w:rPr>
          <w:rStyle w:val="OperatorTok"/>
        </w:rPr>
        <w:t xml:space="preserve">+</w:t>
      </w:r>
      <w:r>
        <w:rPr>
          <w:rStyle w:val="NormalTok"/>
        </w:rPr>
        <w:t xml:space="preserve"> currentCount </w:t>
      </w:r>
      <w:r>
        <w:rPr>
          <w:rStyle w:val="OperatorTok"/>
        </w:rPr>
        <w:t xml:space="preserve">+</w:t>
      </w:r>
      <w:r>
        <w:rPr>
          <w:rStyle w:val="NormalTok"/>
        </w:rPr>
        <w:t xml:space="preserve"> </w:t>
      </w:r>
      <w:r>
        <w:rPr>
          <w:rStyle w:val="StringTok"/>
        </w:rPr>
        <w:t xml:space="preserve">"&lt;/div&gt;"</w:t>
      </w:r>
      <w:r>
        <w:rPr>
          <w:rStyle w:val="OperatorTok"/>
        </w:rPr>
        <w:t xml:space="preserve">;</w:t>
      </w:r>
      <w:r>
        <w:br/>
      </w:r>
      <w:r>
        <w:rPr>
          <w:rStyle w:val="NormalTok"/>
        </w:rPr>
        <w:t xml:space="preserve">    AxonLive</w:t>
      </w:r>
      <w:r>
        <w:rPr>
          <w:rStyle w:val="OperatorTok"/>
        </w:rPr>
        <w:t xml:space="preserve">.</w:t>
      </w:r>
      <w:r>
        <w:rPr>
          <w:rStyle w:val="FunctionTok"/>
        </w:rPr>
        <w:t xml:space="preserve">RegisterComponent</w:t>
      </w:r>
      <w:r>
        <w:rPr>
          <w:rStyle w:val="NormalTok"/>
        </w:rPr>
        <w:t xml:space="preserve">(</w:t>
      </w:r>
      <w:r>
        <w:rPr>
          <w:rStyle w:val="StringTok"/>
        </w:rPr>
        <w:t xml:space="preserve">"counterDisplay"</w:t>
      </w:r>
      <w:r>
        <w:rPr>
          <w:rStyle w:val="OperatorTok"/>
        </w:rPr>
        <w:t xml:space="preserve">,</w:t>
      </w:r>
      <w:r>
        <w:rPr>
          <w:rStyle w:val="NormalTok"/>
        </w:rPr>
        <w:t xml:space="preserve"> newHtml)</w:t>
      </w:r>
      <w:r>
        <w:rPr>
          <w:rStyle w:val="OperatorTok"/>
        </w:rPr>
        <w:t xml:space="preserve">;</w:t>
      </w:r>
      <w:r>
        <w:br/>
      </w:r>
      <w:r>
        <w:br/>
      </w:r>
      <w:r>
        <w:rPr>
          <w:rStyle w:val="NormalTok"/>
        </w:rPr>
        <w:t xml:space="preserve">    </w:t>
      </w:r>
      <w:r>
        <w:rPr>
          <w:rStyle w:val="CommentTok"/>
        </w:rPr>
        <w:t xml:space="preserve">// End the response (halts further execution)</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r>
        <w:br/>
      </w:r>
      <w:r>
        <w:rPr>
          <w:rStyle w:val="OperatorTok"/>
        </w:rPr>
        <w:t xml:space="preserve">%&gt;</w:t>
      </w:r>
      <w:r>
        <w:br/>
      </w:r>
      <w:r>
        <w:rPr>
          <w:rStyle w:val="OperatorTok"/>
        </w:rPr>
        <w:t xml:space="preserve">&lt;!</w:t>
      </w:r>
      <w:r>
        <w:rPr>
          <w:rStyle w:val="NormalTok"/>
        </w:rPr>
        <w:t xml:space="preserve">DOCTYPE html</w:t>
      </w:r>
      <w:r>
        <w:rPr>
          <w:rStyle w:val="OperatorTok"/>
        </w:rPr>
        <w:t xml:space="preserve">&gt;</w:t>
      </w:r>
      <w:r>
        <w:br/>
      </w:r>
      <w:r>
        <w:rPr>
          <w:rStyle w:val="OperatorTok"/>
        </w:rPr>
        <w:t xml:space="preserve">&lt;</w:t>
      </w:r>
      <w:r>
        <w:rPr>
          <w:rStyle w:val="NormalTok"/>
        </w:rPr>
        <w:t xml:space="preserve">html</w:t>
      </w:r>
      <w:r>
        <w:rPr>
          <w:rStyle w:val="OperatorTok"/>
        </w:rPr>
        <w:t xml:space="preserve">&gt;</w:t>
      </w:r>
      <w:r>
        <w:br/>
      </w:r>
      <w:r>
        <w:rPr>
          <w:rStyle w:val="OperatorTok"/>
        </w:rPr>
        <w:t xml:space="preserve">&lt;</w:t>
      </w:r>
      <w:r>
        <w:rPr>
          <w:rStyle w:val="NormalTok"/>
        </w:rPr>
        <w:t xml:space="preserve">head</w:t>
      </w:r>
      <w:r>
        <w:rPr>
          <w:rStyle w:val="OperatorTok"/>
        </w:rPr>
        <w:t xml:space="preserve">&gt;</w:t>
      </w:r>
      <w:r>
        <w:br/>
      </w:r>
      <w:r>
        <w:rPr>
          <w:rStyle w:val="NormalTok"/>
        </w:rPr>
        <w:t xml:space="preserve">    </w:t>
      </w:r>
      <w:r>
        <w:rPr>
          <w:rStyle w:val="OperatorTok"/>
        </w:rPr>
        <w:t xml:space="preserve">&lt;</w:t>
      </w:r>
      <w:r>
        <w:rPr>
          <w:rStyle w:val="NormalTok"/>
        </w:rPr>
        <w:t xml:space="preserve">title</w:t>
      </w:r>
      <w:r>
        <w:rPr>
          <w:rStyle w:val="OperatorTok"/>
        </w:rPr>
        <w:t xml:space="preserve">&gt;</w:t>
      </w:r>
      <w:r>
        <w:rPr>
          <w:rStyle w:val="NormalTok"/>
        </w:rPr>
        <w:t xml:space="preserve">AxonLive JavaScript Counter</w:t>
      </w:r>
      <w:r>
        <w:rPr>
          <w:rStyle w:val="OperatorTok"/>
        </w:rPr>
        <w:t xml:space="preserve">&lt;/</w:t>
      </w:r>
      <w:r>
        <w:rPr>
          <w:rStyle w:val="NormalTok"/>
        </w:rPr>
        <w:t xml:space="preserve">title</w:t>
      </w:r>
      <w:r>
        <w:rPr>
          <w:rStyle w:val="OperatorTok"/>
        </w:rPr>
        <w:t xml:space="preserve">&gt;</w:t>
      </w:r>
      <w:r>
        <w:br/>
      </w:r>
      <w:r>
        <w:rPr>
          <w:rStyle w:val="NormalTok"/>
        </w:rPr>
        <w:t xml:space="preserve">    </w:t>
      </w:r>
      <w:r>
        <w:rPr>
          <w:rStyle w:val="OperatorTok"/>
        </w:rPr>
        <w:t xml:space="preserve">&lt;</w:t>
      </w:r>
      <w:r>
        <w:rPr>
          <w:rStyle w:val="NormalTok"/>
        </w:rPr>
        <w:t xml:space="preserve">link rel</w:t>
      </w:r>
      <w:r>
        <w:rPr>
          <w:rStyle w:val="OperatorTok"/>
        </w:rPr>
        <w:t xml:space="preserve">=</w:t>
      </w:r>
      <w:r>
        <w:rPr>
          <w:rStyle w:val="StringTok"/>
        </w:rPr>
        <w:t xml:space="preserve">"stylesheet"</w:t>
      </w:r>
      <w:r>
        <w:rPr>
          <w:rStyle w:val="NormalTok"/>
        </w:rPr>
        <w:t xml:space="preserve"> href</w:t>
      </w:r>
      <w:r>
        <w:rPr>
          <w:rStyle w:val="OperatorTok"/>
        </w:rPr>
        <w:t xml:space="preserve">=</w:t>
      </w:r>
      <w:r>
        <w:rPr>
          <w:rStyle w:val="StringTok"/>
        </w:rPr>
        <w:t xml:space="preserve">"/css/axonasp.css"</w:t>
      </w:r>
      <w:r>
        <w:rPr>
          <w:rStyle w:val="OperatorTok"/>
        </w:rPr>
        <w:t xml:space="preserve">&gt;</w:t>
      </w:r>
      <w:r>
        <w:br/>
      </w:r>
      <w:r>
        <w:rPr>
          <w:rStyle w:val="OperatorTok"/>
        </w:rPr>
        <w:t xml:space="preserve">&lt;/</w:t>
      </w:r>
      <w:r>
        <w:rPr>
          <w:rStyle w:val="NormalTok"/>
        </w:rPr>
        <w:t xml:space="preserve">head</w:t>
      </w:r>
      <w:r>
        <w:rPr>
          <w:rStyle w:val="OperatorTok"/>
        </w:rPr>
        <w:t xml:space="preserve">&gt;</w:t>
      </w:r>
      <w:r>
        <w:br/>
      </w:r>
      <w:r>
        <w:rPr>
          <w:rStyle w:val="OperatorTok"/>
        </w:rPr>
        <w:t xml:space="preserve">&lt;</w:t>
      </w:r>
      <w:r>
        <w:rPr>
          <w:rStyle w:val="NormalTok"/>
        </w:rPr>
        <w:t xml:space="preserve">body</w:t>
      </w:r>
      <w:r>
        <w:rPr>
          <w:rStyle w:val="OperatorTok"/>
        </w:rPr>
        <w:t xml:space="preserve">&gt;</w:t>
      </w:r>
      <w:r>
        <w:br/>
      </w:r>
      <w:r>
        <w:rPr>
          <w:rStyle w:val="NormalTok"/>
        </w:rPr>
        <w:t xml:space="preserve">    </w:t>
      </w:r>
      <w:r>
        <w:rPr>
          <w:rStyle w:val="OperatorTok"/>
        </w:rPr>
        <w:t xml:space="preserve">&lt;</w:t>
      </w:r>
      <w:r>
        <w:rPr>
          <w:rStyle w:val="NormalTok"/>
        </w:rPr>
        <w:t xml:space="preserve">div id</w:t>
      </w:r>
      <w:r>
        <w:rPr>
          <w:rStyle w:val="OperatorTok"/>
        </w:rPr>
        <w:t xml:space="preserve">=</w:t>
      </w:r>
      <w:r>
        <w:rPr>
          <w:rStyle w:val="StringTok"/>
        </w:rPr>
        <w:t xml:space="preserve">"content"</w:t>
      </w:r>
      <w:r>
        <w:rPr>
          <w:rStyle w:val="NormalTok"/>
        </w:rPr>
        <w:t xml:space="preserve"> style</w:t>
      </w:r>
      <w:r>
        <w:rPr>
          <w:rStyle w:val="OperatorTok"/>
        </w:rPr>
        <w:t xml:space="preserve">=</w:t>
      </w:r>
      <w:r>
        <w:rPr>
          <w:rStyle w:val="StringTok"/>
        </w:rPr>
        <w:t xml:space="preserve">"padding: 20px;"</w:t>
      </w:r>
      <w:r>
        <w:rPr>
          <w:rStyle w:val="OperatorTok"/>
        </w:rPr>
        <w:t xml:space="preserve">&gt;</w:t>
      </w:r>
      <w:r>
        <w:br/>
      </w:r>
      <w:r>
        <w:rPr>
          <w:rStyle w:val="NormalTok"/>
        </w:rPr>
        <w:t xml:space="preserve">        </w:t>
      </w:r>
      <w:r>
        <w:rPr>
          <w:rStyle w:val="OperatorTok"/>
        </w:rPr>
        <w:t xml:space="preserve">&lt;</w:t>
      </w:r>
      <w:r>
        <w:rPr>
          <w:rStyle w:val="NormalTok"/>
        </w:rPr>
        <w:t xml:space="preserve">h2</w:t>
      </w:r>
      <w:r>
        <w:rPr>
          <w:rStyle w:val="OperatorTok"/>
        </w:rPr>
        <w:t xml:space="preserve">&gt;</w:t>
      </w:r>
      <w:r>
        <w:rPr>
          <w:rStyle w:val="NormalTok"/>
        </w:rPr>
        <w:t xml:space="preserve">AxonLive Counter</w:t>
      </w:r>
      <w:r>
        <w:rPr>
          <w:rStyle w:val="OperatorTok"/>
        </w:rPr>
        <w:t xml:space="preserve">&lt;/</w:t>
      </w:r>
      <w:r>
        <w:rPr>
          <w:rStyle w:val="NormalTok"/>
        </w:rPr>
        <w:t xml:space="preserve">h2</w:t>
      </w:r>
      <w:r>
        <w:rPr>
          <w:rStyle w:val="OperatorTok"/>
        </w:rPr>
        <w:t xml:space="preserve">&gt;</w:t>
      </w:r>
      <w:r>
        <w:br/>
      </w:r>
      <w:r>
        <w:rPr>
          <w:rStyle w:val="NormalTok"/>
        </w:rPr>
        <w:t xml:space="preserve">        </w:t>
      </w:r>
      <w:r>
        <w:br/>
      </w:r>
      <w:r>
        <w:rPr>
          <w:rStyle w:val="NormalTok"/>
        </w:rPr>
        <w:t xml:space="preserve">        </w:t>
      </w:r>
      <w:r>
        <w:rPr>
          <w:rStyle w:val="OperatorTok"/>
        </w:rPr>
        <w:t xml:space="preserve">&lt;!--</w:t>
      </w:r>
      <w:r>
        <w:rPr>
          <w:rStyle w:val="NormalTok"/>
        </w:rPr>
        <w:t xml:space="preserve"> The component that will be dynamically replaced </w:t>
      </w:r>
      <w:r>
        <w:rPr>
          <w:rStyle w:val="OperatorTok"/>
        </w:rPr>
        <w:t xml:space="preserve">--&gt;</w:t>
      </w:r>
      <w:r>
        <w:br/>
      </w:r>
      <w:r>
        <w:rPr>
          <w:rStyle w:val="NormalTok"/>
        </w:rPr>
        <w:t xml:space="preserve">        </w:t>
      </w:r>
      <w:r>
        <w:rPr>
          <w:rStyle w:val="OperatorTok"/>
        </w:rPr>
        <w:t xml:space="preserve">&lt;</w:t>
      </w:r>
      <w:r>
        <w:rPr>
          <w:rStyle w:val="NormalTok"/>
        </w:rPr>
        <w:t xml:space="preserve">div id</w:t>
      </w:r>
      <w:r>
        <w:rPr>
          <w:rStyle w:val="OperatorTok"/>
        </w:rPr>
        <w:t xml:space="preserve">=</w:t>
      </w:r>
      <w:r>
        <w:rPr>
          <w:rStyle w:val="StringTok"/>
        </w:rPr>
        <w:t xml:space="preserve">"counterDisplay"</w:t>
      </w:r>
      <w:r>
        <w:rPr>
          <w:rStyle w:val="NormalTok"/>
        </w:rPr>
        <w:t xml:space="preserve"> </w:t>
      </w:r>
      <w:r>
        <w:rPr>
          <w:rStyle w:val="KeywordTok"/>
        </w:rPr>
        <w:t xml:space="preserve">class</w:t>
      </w:r>
      <w:r>
        <w:rPr>
          <w:rStyle w:val="OperatorTok"/>
        </w:rPr>
        <w:t xml:space="preserve">=</w:t>
      </w:r>
      <w:r>
        <w:rPr>
          <w:rStyle w:val="StringTok"/>
        </w:rPr>
        <w:t xml:space="preserve">"pill pill-primary"</w:t>
      </w:r>
      <w:r>
        <w:rPr>
          <w:rStyle w:val="OperatorTok"/>
        </w:rPr>
        <w:t xml:space="preserve">&gt;</w:t>
      </w:r>
      <w:r>
        <w:rPr>
          <w:rStyle w:val="NormalTok"/>
        </w:rPr>
        <w:t xml:space="preserve">Current Count</w:t>
      </w:r>
      <w:r>
        <w:rPr>
          <w:rStyle w:val="OperatorTok"/>
        </w:rPr>
        <w:t xml:space="preserve">:</w:t>
      </w:r>
      <w:r>
        <w:rPr>
          <w:rStyle w:val="NormalTok"/>
        </w:rPr>
        <w:t xml:space="preserve"> </w:t>
      </w:r>
      <w:r>
        <w:rPr>
          <w:rStyle w:val="OperatorTok"/>
        </w:rPr>
        <w:t xml:space="preserve">&lt;%=</w:t>
      </w:r>
      <w:r>
        <w:rPr>
          <w:rStyle w:val="NormalTok"/>
        </w:rPr>
        <w:t xml:space="preserve"> currentCount </w:t>
      </w:r>
      <w:r>
        <w:rPr>
          <w:rStyle w:val="OperatorTok"/>
        </w:rPr>
        <w:t xml:space="preserve">%&gt;&lt;/</w:t>
      </w:r>
      <w:r>
        <w:rPr>
          <w:rStyle w:val="NormalTok"/>
        </w:rPr>
        <w:t xml:space="preserve">div</w:t>
      </w:r>
      <w:r>
        <w:rPr>
          <w:rStyle w:val="OperatorTok"/>
        </w:rPr>
        <w:t xml:space="preserve">&gt;</w:t>
      </w:r>
      <w:r>
        <w:br/>
      </w:r>
      <w:r>
        <w:rPr>
          <w:rStyle w:val="NormalTok"/>
        </w:rPr>
        <w:t xml:space="preserve">        </w:t>
      </w:r>
      <w:r>
        <w:br/>
      </w:r>
      <w:r>
        <w:rPr>
          <w:rStyle w:val="NormalTok"/>
        </w:rPr>
        <w:t xml:space="preserve">        </w:t>
      </w:r>
      <w:r>
        <w:rPr>
          <w:rStyle w:val="OperatorTok"/>
        </w:rPr>
        <w:t xml:space="preserve">&lt;</w:t>
      </w:r>
      <w:r>
        <w:rPr>
          <w:rStyle w:val="NormalTok"/>
        </w:rPr>
        <w:t xml:space="preserve">div style</w:t>
      </w:r>
      <w:r>
        <w:rPr>
          <w:rStyle w:val="OperatorTok"/>
        </w:rPr>
        <w:t xml:space="preserve">=</w:t>
      </w:r>
      <w:r>
        <w:rPr>
          <w:rStyle w:val="StringTok"/>
        </w:rPr>
        <w:t xml:space="preserve">"margin-top: 15px;"</w:t>
      </w:r>
      <w:r>
        <w:rPr>
          <w:rStyle w:val="OperatorTok"/>
        </w:rPr>
        <w:t xml:space="preserve">&gt;</w:t>
      </w:r>
      <w:r>
        <w:br/>
      </w:r>
      <w:r>
        <w:rPr>
          <w:rStyle w:val="NormalTok"/>
        </w:rPr>
        <w:t xml:space="preserve">            </w:t>
      </w:r>
      <w:r>
        <w:rPr>
          <w:rStyle w:val="OperatorTok"/>
        </w:rPr>
        <w:t xml:space="preserve">&lt;</w:t>
      </w:r>
      <w:r>
        <w:rPr>
          <w:rStyle w:val="NormalTok"/>
        </w:rPr>
        <w:t xml:space="preserve">button id</w:t>
      </w:r>
      <w:r>
        <w:rPr>
          <w:rStyle w:val="OperatorTok"/>
        </w:rPr>
        <w:t xml:space="preserve">=</w:t>
      </w:r>
      <w:r>
        <w:rPr>
          <w:rStyle w:val="StringTok"/>
        </w:rPr>
        <w:t xml:space="preserve">"btnIncrement"</w:t>
      </w:r>
      <w:r>
        <w:rPr>
          <w:rStyle w:val="NormalTok"/>
        </w:rPr>
        <w:t xml:space="preserve"> </w:t>
      </w:r>
      <w:r>
        <w:rPr>
          <w:rStyle w:val="KeywordTok"/>
        </w:rPr>
        <w:t xml:space="preserve">class</w:t>
      </w:r>
      <w:r>
        <w:rPr>
          <w:rStyle w:val="OperatorTok"/>
        </w:rPr>
        <w:t xml:space="preserve">=</w:t>
      </w:r>
      <w:r>
        <w:rPr>
          <w:rStyle w:val="StringTok"/>
        </w:rPr>
        <w:t xml:space="preserve">"btn btn-primary"</w:t>
      </w:r>
      <w:r>
        <w:rPr>
          <w:rStyle w:val="NormalTok"/>
        </w:rPr>
        <w:t xml:space="preserve"> data</w:t>
      </w:r>
      <w:r>
        <w:rPr>
          <w:rStyle w:val="OperatorTok"/>
        </w:rPr>
        <w:t xml:space="preserve">-</w:t>
      </w:r>
      <w:r>
        <w:rPr>
          <w:rStyle w:val="NormalTok"/>
        </w:rPr>
        <w:t xml:space="preserve">g3al</w:t>
      </w:r>
      <w:r>
        <w:rPr>
          <w:rStyle w:val="OperatorTok"/>
        </w:rPr>
        <w:t xml:space="preserve">-</w:t>
      </w:r>
      <w:r>
        <w:rPr>
          <w:rStyle w:val="NormalTok"/>
        </w:rPr>
        <w:t xml:space="preserve">id</w:t>
      </w:r>
      <w:r>
        <w:rPr>
          <w:rStyle w:val="OperatorTok"/>
        </w:rPr>
        <w:t xml:space="preserve">=</w:t>
      </w:r>
      <w:r>
        <w:rPr>
          <w:rStyle w:val="StringTok"/>
        </w:rPr>
        <w:t xml:space="preserve">"btnIncrement"</w:t>
      </w:r>
      <w:r>
        <w:rPr>
          <w:rStyle w:val="NormalTok"/>
        </w:rPr>
        <w:t xml:space="preserve"> data</w:t>
      </w:r>
      <w:r>
        <w:rPr>
          <w:rStyle w:val="OperatorTok"/>
        </w:rPr>
        <w:t xml:space="preserve">-</w:t>
      </w:r>
      <w:r>
        <w:rPr>
          <w:rStyle w:val="NormalTok"/>
        </w:rPr>
        <w:t xml:space="preserve">g3al</w:t>
      </w:r>
      <w:r>
        <w:rPr>
          <w:rStyle w:val="OperatorTok"/>
        </w:rPr>
        <w:t xml:space="preserve">-</w:t>
      </w:r>
      <w:r>
        <w:rPr>
          <w:rStyle w:val="BuiltInTok"/>
        </w:rPr>
        <w:t xml:space="preserve">event</w:t>
      </w:r>
      <w:r>
        <w:rPr>
          <w:rStyle w:val="OperatorTok"/>
        </w:rPr>
        <w:t xml:space="preserve">=</w:t>
      </w:r>
      <w:r>
        <w:rPr>
          <w:rStyle w:val="StringTok"/>
        </w:rPr>
        <w:t xml:space="preserve">"click"</w:t>
      </w:r>
      <w:r>
        <w:rPr>
          <w:rStyle w:val="NormalTok"/>
        </w:rPr>
        <w:t xml:space="preserve"> data</w:t>
      </w:r>
      <w:r>
        <w:rPr>
          <w:rStyle w:val="OperatorTok"/>
        </w:rPr>
        <w:t xml:space="preserve">-</w:t>
      </w:r>
      <w:r>
        <w:rPr>
          <w:rStyle w:val="NormalTok"/>
        </w:rPr>
        <w:t xml:space="preserve">g3al</w:t>
      </w:r>
      <w:r>
        <w:rPr>
          <w:rStyle w:val="OperatorTok"/>
        </w:rPr>
        <w:t xml:space="preserve">-</w:t>
      </w:r>
      <w:r>
        <w:rPr>
          <w:rStyle w:val="BuiltInTok"/>
        </w:rPr>
        <w:t xml:space="preserve">event</w:t>
      </w:r>
      <w:r>
        <w:rPr>
          <w:rStyle w:val="OperatorTok"/>
        </w:rPr>
        <w:t xml:space="preserve">-</w:t>
      </w:r>
      <w:r>
        <w:rPr>
          <w:rStyle w:val="NormalTok"/>
        </w:rPr>
        <w:t xml:space="preserve">name</w:t>
      </w:r>
      <w:r>
        <w:rPr>
          <w:rStyle w:val="OperatorTok"/>
        </w:rPr>
        <w:t xml:space="preserve">=</w:t>
      </w:r>
      <w:r>
        <w:rPr>
          <w:rStyle w:val="StringTok"/>
        </w:rPr>
        <w:t xml:space="preserve">"onclick"</w:t>
      </w:r>
      <w:r>
        <w:rPr>
          <w:rStyle w:val="OperatorTok"/>
        </w:rPr>
        <w:t xml:space="preserve">&gt;</w:t>
      </w:r>
      <w:r>
        <w:br/>
      </w:r>
      <w:r>
        <w:rPr>
          <w:rStyle w:val="NormalTok"/>
        </w:rPr>
        <w:t xml:space="preserve">                Increment</w:t>
      </w:r>
      <w:r>
        <w:br/>
      </w:r>
      <w:r>
        <w:rPr>
          <w:rStyle w:val="NormalTok"/>
        </w:rPr>
        <w:t xml:space="preserve">            </w:t>
      </w:r>
      <w:r>
        <w:rPr>
          <w:rStyle w:val="OperatorTok"/>
        </w:rPr>
        <w:t xml:space="preserve">&lt;/</w:t>
      </w:r>
      <w:r>
        <w:rPr>
          <w:rStyle w:val="NormalTok"/>
        </w:rPr>
        <w:t xml:space="preserve">button</w:t>
      </w:r>
      <w:r>
        <w:rPr>
          <w:rStyle w:val="OperatorTok"/>
        </w:rPr>
        <w:t xml:space="preserve">&gt;</w:t>
      </w:r>
      <w:r>
        <w:br/>
      </w:r>
      <w:r>
        <w:rPr>
          <w:rStyle w:val="NormalTok"/>
        </w:rPr>
        <w:t xml:space="preserve">            </w:t>
      </w:r>
      <w:r>
        <w:rPr>
          <w:rStyle w:val="OperatorTok"/>
        </w:rPr>
        <w:t xml:space="preserve">&lt;</w:t>
      </w:r>
      <w:r>
        <w:rPr>
          <w:rStyle w:val="NormalTok"/>
        </w:rPr>
        <w:t xml:space="preserve">button id</w:t>
      </w:r>
      <w:r>
        <w:rPr>
          <w:rStyle w:val="OperatorTok"/>
        </w:rPr>
        <w:t xml:space="preserve">=</w:t>
      </w:r>
      <w:r>
        <w:rPr>
          <w:rStyle w:val="StringTok"/>
        </w:rPr>
        <w:t xml:space="preserve">"btnDecrement"</w:t>
      </w:r>
      <w:r>
        <w:rPr>
          <w:rStyle w:val="NormalTok"/>
        </w:rPr>
        <w:t xml:space="preserve"> </w:t>
      </w:r>
      <w:r>
        <w:rPr>
          <w:rStyle w:val="KeywordTok"/>
        </w:rPr>
        <w:t xml:space="preserve">class</w:t>
      </w:r>
      <w:r>
        <w:rPr>
          <w:rStyle w:val="OperatorTok"/>
        </w:rPr>
        <w:t xml:space="preserve">=</w:t>
      </w:r>
      <w:r>
        <w:rPr>
          <w:rStyle w:val="StringTok"/>
        </w:rPr>
        <w:t xml:space="preserve">"btn btn-danger"</w:t>
      </w:r>
      <w:r>
        <w:rPr>
          <w:rStyle w:val="NormalTok"/>
        </w:rPr>
        <w:t xml:space="preserve"> data</w:t>
      </w:r>
      <w:r>
        <w:rPr>
          <w:rStyle w:val="OperatorTok"/>
        </w:rPr>
        <w:t xml:space="preserve">-</w:t>
      </w:r>
      <w:r>
        <w:rPr>
          <w:rStyle w:val="NormalTok"/>
        </w:rPr>
        <w:t xml:space="preserve">g3al</w:t>
      </w:r>
      <w:r>
        <w:rPr>
          <w:rStyle w:val="OperatorTok"/>
        </w:rPr>
        <w:t xml:space="preserve">-</w:t>
      </w:r>
      <w:r>
        <w:rPr>
          <w:rStyle w:val="NormalTok"/>
        </w:rPr>
        <w:t xml:space="preserve">id</w:t>
      </w:r>
      <w:r>
        <w:rPr>
          <w:rStyle w:val="OperatorTok"/>
        </w:rPr>
        <w:t xml:space="preserve">=</w:t>
      </w:r>
      <w:r>
        <w:rPr>
          <w:rStyle w:val="StringTok"/>
        </w:rPr>
        <w:t xml:space="preserve">"btnDecrement"</w:t>
      </w:r>
      <w:r>
        <w:rPr>
          <w:rStyle w:val="NormalTok"/>
        </w:rPr>
        <w:t xml:space="preserve"> data</w:t>
      </w:r>
      <w:r>
        <w:rPr>
          <w:rStyle w:val="OperatorTok"/>
        </w:rPr>
        <w:t xml:space="preserve">-</w:t>
      </w:r>
      <w:r>
        <w:rPr>
          <w:rStyle w:val="NormalTok"/>
        </w:rPr>
        <w:t xml:space="preserve">g3al</w:t>
      </w:r>
      <w:r>
        <w:rPr>
          <w:rStyle w:val="OperatorTok"/>
        </w:rPr>
        <w:t xml:space="preserve">-</w:t>
      </w:r>
      <w:r>
        <w:rPr>
          <w:rStyle w:val="BuiltInTok"/>
        </w:rPr>
        <w:t xml:space="preserve">event</w:t>
      </w:r>
      <w:r>
        <w:rPr>
          <w:rStyle w:val="OperatorTok"/>
        </w:rPr>
        <w:t xml:space="preserve">=</w:t>
      </w:r>
      <w:r>
        <w:rPr>
          <w:rStyle w:val="StringTok"/>
        </w:rPr>
        <w:t xml:space="preserve">"click"</w:t>
      </w:r>
      <w:r>
        <w:rPr>
          <w:rStyle w:val="NormalTok"/>
        </w:rPr>
        <w:t xml:space="preserve"> data</w:t>
      </w:r>
      <w:r>
        <w:rPr>
          <w:rStyle w:val="OperatorTok"/>
        </w:rPr>
        <w:t xml:space="preserve">-</w:t>
      </w:r>
      <w:r>
        <w:rPr>
          <w:rStyle w:val="NormalTok"/>
        </w:rPr>
        <w:t xml:space="preserve">g3al</w:t>
      </w:r>
      <w:r>
        <w:rPr>
          <w:rStyle w:val="OperatorTok"/>
        </w:rPr>
        <w:t xml:space="preserve">-</w:t>
      </w:r>
      <w:r>
        <w:rPr>
          <w:rStyle w:val="BuiltInTok"/>
        </w:rPr>
        <w:t xml:space="preserve">event</w:t>
      </w:r>
      <w:r>
        <w:rPr>
          <w:rStyle w:val="OperatorTok"/>
        </w:rPr>
        <w:t xml:space="preserve">-</w:t>
      </w:r>
      <w:r>
        <w:rPr>
          <w:rStyle w:val="NormalTok"/>
        </w:rPr>
        <w:t xml:space="preserve">name</w:t>
      </w:r>
      <w:r>
        <w:rPr>
          <w:rStyle w:val="OperatorTok"/>
        </w:rPr>
        <w:t xml:space="preserve">=</w:t>
      </w:r>
      <w:r>
        <w:rPr>
          <w:rStyle w:val="StringTok"/>
        </w:rPr>
        <w:t xml:space="preserve">"onclick"</w:t>
      </w:r>
      <w:r>
        <w:rPr>
          <w:rStyle w:val="OperatorTok"/>
        </w:rPr>
        <w:t xml:space="preserve">&gt;</w:t>
      </w:r>
      <w:r>
        <w:br/>
      </w:r>
      <w:r>
        <w:rPr>
          <w:rStyle w:val="NormalTok"/>
        </w:rPr>
        <w:t xml:space="preserve">                Decrement</w:t>
      </w:r>
      <w:r>
        <w:br/>
      </w:r>
      <w:r>
        <w:rPr>
          <w:rStyle w:val="NormalTok"/>
        </w:rPr>
        <w:t xml:space="preserve">            </w:t>
      </w:r>
      <w:r>
        <w:rPr>
          <w:rStyle w:val="OperatorTok"/>
        </w:rPr>
        <w:t xml:space="preserve">&lt;/</w:t>
      </w:r>
      <w:r>
        <w:rPr>
          <w:rStyle w:val="NormalTok"/>
        </w:rPr>
        <w:t xml:space="preserve">button</w:t>
      </w:r>
      <w:r>
        <w:rPr>
          <w:rStyle w:val="OperatorTok"/>
        </w:rPr>
        <w:t xml:space="preserve">&gt;</w:t>
      </w:r>
      <w:r>
        <w:br/>
      </w:r>
      <w:r>
        <w:rPr>
          <w:rStyle w:val="NormalTok"/>
        </w:rPr>
        <w:t xml:space="preserve">        </w:t>
      </w:r>
      <w:r>
        <w:rPr>
          <w:rStyle w:val="OperatorTok"/>
        </w:rPr>
        <w:t xml:space="preserve">&lt;/</w:t>
      </w:r>
      <w:r>
        <w:rPr>
          <w:rStyle w:val="NormalTok"/>
        </w:rPr>
        <w:t xml:space="preserve">div</w:t>
      </w:r>
      <w:r>
        <w:rPr>
          <w:rStyle w:val="OperatorTok"/>
        </w:rPr>
        <w:t xml:space="preserve">&gt;</w:t>
      </w:r>
      <w:r>
        <w:br/>
      </w:r>
      <w:r>
        <w:rPr>
          <w:rStyle w:val="NormalTok"/>
        </w:rPr>
        <w:t xml:space="preserve">    </w:t>
      </w:r>
      <w:r>
        <w:rPr>
          <w:rStyle w:val="OperatorTok"/>
        </w:rPr>
        <w:t xml:space="preserve">&lt;/</w:t>
      </w:r>
      <w:r>
        <w:rPr>
          <w:rStyle w:val="NormalTok"/>
        </w:rPr>
        <w:t xml:space="preserve">div</w:t>
      </w:r>
      <w:r>
        <w:rPr>
          <w:rStyle w:val="OperatorTok"/>
        </w:rPr>
        <w:t xml:space="preserve">&gt;</w:t>
      </w:r>
      <w:r>
        <w:br/>
      </w:r>
      <w:r>
        <w:br/>
      </w:r>
      <w:r>
        <w:rPr>
          <w:rStyle w:val="NormalTok"/>
        </w:rPr>
        <w:t xml:space="preserve">    </w:t>
      </w:r>
      <w:r>
        <w:rPr>
          <w:rStyle w:val="OperatorTok"/>
        </w:rPr>
        <w:t xml:space="preserve">&lt;</w:t>
      </w:r>
      <w:r>
        <w:rPr>
          <w:rStyle w:val="NormalTok"/>
        </w:rPr>
        <w:t xml:space="preserve">script src</w:t>
      </w:r>
      <w:r>
        <w:rPr>
          <w:rStyle w:val="OperatorTok"/>
        </w:rPr>
        <w:t xml:space="preserve">=</w:t>
      </w:r>
      <w:r>
        <w:rPr>
          <w:rStyle w:val="StringTok"/>
        </w:rPr>
        <w:t xml:space="preserve">"/axonlive/g3axonlive.js"</w:t>
      </w:r>
      <w:r>
        <w:rPr>
          <w:rStyle w:val="OperatorTok"/>
        </w:rPr>
        <w:t xml:space="preserve">&gt;&lt;/</w:t>
      </w:r>
      <w:r>
        <w:rPr>
          <w:rStyle w:val="NormalTok"/>
        </w:rPr>
        <w:t xml:space="preserve">script</w:t>
      </w:r>
      <w:r>
        <w:rPr>
          <w:rStyle w:val="OperatorTok"/>
        </w:rPr>
        <w:t xml:space="preserve">&gt;</w:t>
      </w:r>
      <w:r>
        <w:br/>
      </w:r>
      <w:r>
        <w:rPr>
          <w:rStyle w:val="NormalTok"/>
        </w:rPr>
        <w:t xml:space="preserve">    </w:t>
      </w:r>
      <w:r>
        <w:rPr>
          <w:rStyle w:val="OperatorTok"/>
        </w:rPr>
        <w:t xml:space="preserve">&lt;</w:t>
      </w:r>
      <w:r>
        <w:rPr>
          <w:rStyle w:val="NormalTok"/>
        </w:rPr>
        <w:t xml:space="preserve">script</w:t>
      </w:r>
      <w:r>
        <w:rPr>
          <w:rStyle w:val="OperatorTok"/>
        </w:rPr>
        <w:t xml:space="preserve">&gt;</w:t>
      </w:r>
      <w:r>
        <w:br/>
      </w:r>
      <w:r>
        <w:rPr>
          <w:rStyle w:val="NormalTok"/>
        </w:rPr>
        <w:t xml:space="preserve">        G3AxonLive</w:t>
      </w:r>
      <w:r>
        <w:rPr>
          <w:rStyle w:val="OperatorTok"/>
        </w:rPr>
        <w:t xml:space="preserve">.</w:t>
      </w:r>
      <w:r>
        <w:rPr>
          <w:rStyle w:val="FunctionTok"/>
        </w:rPr>
        <w:t xml:space="preserve">init</w:t>
      </w:r>
      <w:r>
        <w:rPr>
          <w:rStyle w:val="NormalTok"/>
        </w:rPr>
        <w:t xml:space="preserve">()</w:t>
      </w:r>
      <w:r>
        <w:rPr>
          <w:rStyle w:val="OperatorTok"/>
        </w:rPr>
        <w:t xml:space="preserve">;</w:t>
      </w:r>
      <w:r>
        <w:br/>
      </w:r>
      <w:r>
        <w:rPr>
          <w:rStyle w:val="NormalTok"/>
        </w:rPr>
        <w:t xml:space="preserve">    </w:t>
      </w:r>
      <w:r>
        <w:rPr>
          <w:rStyle w:val="OperatorTok"/>
        </w:rPr>
        <w:t xml:space="preserve">&lt;/</w:t>
      </w:r>
      <w:r>
        <w:rPr>
          <w:rStyle w:val="NormalTok"/>
        </w:rPr>
        <w:t xml:space="preserve">script</w:t>
      </w:r>
      <w:r>
        <w:rPr>
          <w:rStyle w:val="OperatorTok"/>
        </w:rPr>
        <w:t xml:space="preserve">&gt;</w:t>
      </w:r>
      <w:r>
        <w:br/>
      </w:r>
      <w:r>
        <w:rPr>
          <w:rStyle w:val="OperatorTok"/>
        </w:rPr>
        <w:t xml:space="preserve">&lt;/</w:t>
      </w:r>
      <w:r>
        <w:rPr>
          <w:rStyle w:val="NormalTok"/>
        </w:rPr>
        <w:t xml:space="preserve">body</w:t>
      </w:r>
      <w:r>
        <w:rPr>
          <w:rStyle w:val="OperatorTok"/>
        </w:rPr>
        <w:t xml:space="preserve">&gt;</w:t>
      </w:r>
      <w:r>
        <w:br/>
      </w:r>
      <w:r>
        <w:rPr>
          <w:rStyle w:val="OperatorTok"/>
        </w:rPr>
        <w:t xml:space="preserve">&lt;/</w:t>
      </w:r>
      <w:r>
        <w:rPr>
          <w:rStyle w:val="NormalTok"/>
        </w:rPr>
        <w:t xml:space="preserve">html</w:t>
      </w:r>
      <w:r>
        <w:rPr>
          <w:rStyle w:val="OperatorTok"/>
        </w:rPr>
        <w:t xml:space="preserve">&gt;</w:t>
      </w:r>
    </w:p>
    <w:bookmarkEnd w:id="459"/>
    <w:bookmarkStart w:id="460" w:name="vbscript-example"/>
    <w:p>
      <w:pPr>
        <w:pStyle w:val="Heading3"/>
      </w:pPr>
      <w:r>
        <w:t xml:space="preserve">VBScript Example</w:t>
      </w:r>
    </w:p>
    <w:p>
      <w:pPr>
        <w:pStyle w:val="SourceCode"/>
      </w:pPr>
      <w:r>
        <w:rPr>
          <w:rStyle w:val="VerbatimChar"/>
        </w:rPr>
        <w:t xml:space="preserve">&lt;%@ Language="VBScript" %&gt;</w:t>
      </w:r>
      <w:r>
        <w:br/>
      </w:r>
      <w:r>
        <w:rPr>
          <w:rStyle w:val="VerbatimChar"/>
        </w:rPr>
        <w:t xml:space="preserve">&lt;%</w:t>
      </w:r>
      <w:r>
        <w:br/>
      </w:r>
      <w:r>
        <w:rPr>
          <w:rStyle w:val="VerbatimChar"/>
        </w:rPr>
        <w:t xml:space="preserve">Dim AxonLive</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Dim sessionID</w:t>
      </w:r>
      <w:r>
        <w:br/>
      </w:r>
      <w:r>
        <w:rPr>
          <w:rStyle w:val="VerbatimChar"/>
        </w:rPr>
        <w:t xml:space="preserve">sessionID = Session.SessionID</w:t>
      </w:r>
      <w:r>
        <w:br/>
      </w:r>
      <w:r>
        <w:br/>
      </w:r>
      <w:r>
        <w:rPr>
          <w:rStyle w:val="VerbatimChar"/>
        </w:rPr>
        <w:t xml:space="preserve">Dim currentCount</w:t>
      </w:r>
      <w:r>
        <w:br/>
      </w:r>
      <w:r>
        <w:rPr>
          <w:rStyle w:val="VerbatimChar"/>
        </w:rPr>
        <w:t xml:space="preserve">currentCount = AxonLive.GetComponentProperty(sessionID, "main", "clicks")</w:t>
      </w:r>
      <w:r>
        <w:br/>
      </w:r>
      <w:r>
        <w:rPr>
          <w:rStyle w:val="VerbatimChar"/>
        </w:rPr>
        <w:t xml:space="preserve">If IsEmpty(currentCount) Or currentCount = "" Then</w:t>
      </w:r>
      <w:r>
        <w:br/>
      </w:r>
      <w:r>
        <w:rPr>
          <w:rStyle w:val="VerbatimChar"/>
        </w:rPr>
        <w:t xml:space="preserve">    currentCount = 0</w:t>
      </w:r>
      <w:r>
        <w:br/>
      </w:r>
      <w:r>
        <w:rPr>
          <w:rStyle w:val="VerbatimChar"/>
        </w:rPr>
        <w:t xml:space="preserve">Else</w:t>
      </w:r>
      <w:r>
        <w:br/>
      </w:r>
      <w:r>
        <w:rPr>
          <w:rStyle w:val="VerbatimChar"/>
        </w:rPr>
        <w:t xml:space="preserve">    currentCount = CLng(currentCount)</w:t>
      </w:r>
      <w:r>
        <w:br/>
      </w:r>
      <w:r>
        <w:rPr>
          <w:rStyle w:val="VerbatimChar"/>
        </w:rPr>
        <w:t xml:space="preserve">End If</w:t>
      </w:r>
      <w:r>
        <w:br/>
      </w:r>
      <w:r>
        <w:br/>
      </w:r>
      <w:r>
        <w:rPr>
          <w:rStyle w:val="VerbatimChar"/>
        </w:rPr>
        <w:t xml:space="preserve">' Handle Asynchronous Requests</w:t>
      </w:r>
      <w:r>
        <w:br/>
      </w:r>
      <w:r>
        <w:rPr>
          <w:rStyle w:val="VerbatimChar"/>
        </w:rPr>
        <w:t xml:space="preserve">If AxonLive.IsAsyncRequest Then</w:t>
      </w:r>
      <w:r>
        <w:br/>
      </w:r>
      <w:r>
        <w:rPr>
          <w:rStyle w:val="VerbatimChar"/>
        </w:rPr>
        <w:t xml:space="preserve">    Dim compID</w:t>
      </w:r>
      <w:r>
        <w:br/>
      </w:r>
      <w:r>
        <w:rPr>
          <w:rStyle w:val="VerbatimChar"/>
        </w:rPr>
        <w:t xml:space="preserve">    compID = AxonLive.EventComponentID</w:t>
      </w:r>
      <w:r>
        <w:br/>
      </w:r>
      <w:r>
        <w:rPr>
          <w:rStyle w:val="VerbatimChar"/>
        </w:rPr>
        <w:t xml:space="preserve">    </w:t>
      </w:r>
      <w:r>
        <w:br/>
      </w:r>
      <w:r>
        <w:rPr>
          <w:rStyle w:val="VerbatimChar"/>
        </w:rPr>
        <w:t xml:space="preserve">    Select Case compID</w:t>
      </w:r>
      <w:r>
        <w:br/>
      </w:r>
      <w:r>
        <w:rPr>
          <w:rStyle w:val="VerbatimChar"/>
        </w:rPr>
        <w:t xml:space="preserve">        Case "btnIncrement"</w:t>
      </w:r>
      <w:r>
        <w:br/>
      </w:r>
      <w:r>
        <w:rPr>
          <w:rStyle w:val="VerbatimChar"/>
        </w:rPr>
        <w:t xml:space="preserve">            currentCount = currentCount + 1</w:t>
      </w:r>
      <w:r>
        <w:br/>
      </w:r>
      <w:r>
        <w:rPr>
          <w:rStyle w:val="VerbatimChar"/>
        </w:rPr>
        <w:t xml:space="preserve">        Case "btnDecrement"</w:t>
      </w:r>
      <w:r>
        <w:br/>
      </w:r>
      <w:r>
        <w:rPr>
          <w:rStyle w:val="VerbatimChar"/>
        </w:rPr>
        <w:t xml:space="preserve">            currentCount = currentCount - 1</w:t>
      </w:r>
      <w:r>
        <w:br/>
      </w:r>
      <w:r>
        <w:rPr>
          <w:rStyle w:val="VerbatimChar"/>
        </w:rPr>
        <w:t xml:space="preserve">    End Select</w:t>
      </w:r>
      <w:r>
        <w:br/>
      </w:r>
      <w:r>
        <w:rPr>
          <w:rStyle w:val="VerbatimChar"/>
        </w:rPr>
        <w:t xml:space="preserve">    </w:t>
      </w:r>
      <w:r>
        <w:br/>
      </w:r>
      <w:r>
        <w:rPr>
          <w:rStyle w:val="VerbatimChar"/>
        </w:rPr>
        <w:t xml:space="preserve">    ' Persist the state</w:t>
      </w:r>
      <w:r>
        <w:br/>
      </w:r>
      <w:r>
        <w:rPr>
          <w:rStyle w:val="VerbatimChar"/>
        </w:rPr>
        <w:t xml:space="preserve">    AxonLive.SetComponentProperty sessionID, "main", "clicks", CStr(currentCount)</w:t>
      </w:r>
      <w:r>
        <w:br/>
      </w:r>
      <w:r>
        <w:rPr>
          <w:rStyle w:val="VerbatimChar"/>
        </w:rPr>
        <w:t xml:space="preserve">    </w:t>
      </w:r>
      <w:r>
        <w:br/>
      </w:r>
      <w:r>
        <w:rPr>
          <w:rStyle w:val="VerbatimChar"/>
        </w:rPr>
        <w:t xml:space="preserve">    ' Register the component patch</w:t>
      </w:r>
      <w:r>
        <w:br/>
      </w:r>
      <w:r>
        <w:rPr>
          <w:rStyle w:val="VerbatimChar"/>
        </w:rPr>
        <w:t xml:space="preserve">    Dim newHtml</w:t>
      </w:r>
      <w:r>
        <w:br/>
      </w:r>
      <w:r>
        <w:rPr>
          <w:rStyle w:val="VerbatimChar"/>
        </w:rPr>
        <w:t xml:space="preserve">    newHtml = "&lt;div id=""counterDisplay"" class=""pill pill-primary""&gt;Current Count: " &amp; currentCount &amp; "&lt;/div&gt;"</w:t>
      </w:r>
      <w:r>
        <w:br/>
      </w:r>
      <w:r>
        <w:rPr>
          <w:rStyle w:val="VerbatimChar"/>
        </w:rPr>
        <w:t xml:space="preserve">    AxonLive.RegisterComponent "counterDisplay", newHtml</w:t>
      </w:r>
      <w:r>
        <w:br/>
      </w:r>
      <w:r>
        <w:rPr>
          <w:rStyle w:val="VerbatimChar"/>
        </w:rPr>
        <w:t xml:space="preserve">    </w:t>
      </w:r>
      <w:r>
        <w:br/>
      </w:r>
      <w:r>
        <w:rPr>
          <w:rStyle w:val="VerbatimChar"/>
        </w:rPr>
        <w:t xml:space="preserve">    ' End the response (halts further execution)</w:t>
      </w:r>
      <w:r>
        <w:br/>
      </w:r>
      <w:r>
        <w:rPr>
          <w:rStyle w:val="VerbatimChar"/>
        </w:rPr>
        <w:t xml:space="preserve">    AxonLive.EndAsyncResponse()</w:t>
      </w:r>
      <w:r>
        <w:br/>
      </w:r>
      <w:r>
        <w:rPr>
          <w:rStyle w:val="VerbatimChar"/>
        </w:rPr>
        <w:t xml:space="preserve">End If</w:t>
      </w:r>
      <w:r>
        <w:br/>
      </w:r>
      <w:r>
        <w:rPr>
          <w:rStyle w:val="VerbatimChar"/>
        </w:rPr>
        <w:t xml:space="preserve">%&gt;</w:t>
      </w:r>
      <w:r>
        <w:br/>
      </w:r>
      <w:r>
        <w:rPr>
          <w:rStyle w:val="VerbatimChar"/>
        </w:rPr>
        <w:t xml:space="preserve">&lt;!DOCTYPE html&gt;</w:t>
      </w:r>
      <w:r>
        <w:br/>
      </w:r>
      <w:r>
        <w:rPr>
          <w:rStyle w:val="VerbatimChar"/>
        </w:rPr>
        <w:t xml:space="preserve">&lt;html&gt;</w:t>
      </w:r>
      <w:r>
        <w:br/>
      </w:r>
      <w:r>
        <w:rPr>
          <w:rStyle w:val="VerbatimChar"/>
        </w:rPr>
        <w:t xml:space="preserve">&lt;head&gt;</w:t>
      </w:r>
      <w:r>
        <w:br/>
      </w:r>
      <w:r>
        <w:rPr>
          <w:rStyle w:val="VerbatimChar"/>
        </w:rPr>
        <w:t xml:space="preserve">    &lt;title&gt;AxonLive VBScript Counter&lt;/title&gt;</w:t>
      </w:r>
      <w:r>
        <w:br/>
      </w:r>
      <w:r>
        <w:rPr>
          <w:rStyle w:val="VerbatimChar"/>
        </w:rPr>
        <w:t xml:space="preserve">    &lt;link rel="stylesheet" href="/css/axonasp.css"&gt;</w:t>
      </w:r>
      <w:r>
        <w:br/>
      </w:r>
      <w:r>
        <w:rPr>
          <w:rStyle w:val="VerbatimChar"/>
        </w:rPr>
        <w:t xml:space="preserve">&lt;/head&gt;</w:t>
      </w:r>
      <w:r>
        <w:br/>
      </w:r>
      <w:r>
        <w:rPr>
          <w:rStyle w:val="VerbatimChar"/>
        </w:rPr>
        <w:t xml:space="preserve">&lt;body&gt;</w:t>
      </w:r>
      <w:r>
        <w:br/>
      </w:r>
      <w:r>
        <w:rPr>
          <w:rStyle w:val="VerbatimChar"/>
        </w:rPr>
        <w:t xml:space="preserve">    &lt;div id="content" style="padding: 20px;"&gt;</w:t>
      </w:r>
      <w:r>
        <w:br/>
      </w:r>
      <w:r>
        <w:rPr>
          <w:rStyle w:val="VerbatimChar"/>
        </w:rPr>
        <w:t xml:space="preserve">        &lt;h2&gt;AxonLive Counter&lt;/h2&gt;</w:t>
      </w:r>
      <w:r>
        <w:br/>
      </w:r>
      <w:r>
        <w:rPr>
          <w:rStyle w:val="VerbatimChar"/>
        </w:rPr>
        <w:t xml:space="preserve">        </w:t>
      </w:r>
      <w:r>
        <w:br/>
      </w:r>
      <w:r>
        <w:rPr>
          <w:rStyle w:val="VerbatimChar"/>
        </w:rPr>
        <w:t xml:space="preserve">        &lt;!-- The component that will be dynamically replaced --&gt;</w:t>
      </w:r>
      <w:r>
        <w:br/>
      </w:r>
      <w:r>
        <w:rPr>
          <w:rStyle w:val="VerbatimChar"/>
        </w:rPr>
        <w:t xml:space="preserve">        &lt;div id="counterDisplay" class="pill pill-primary"&gt;Current Count: &lt;%= currentCount %&gt;&lt;/div&gt;</w:t>
      </w:r>
      <w:r>
        <w:br/>
      </w:r>
      <w:r>
        <w:rPr>
          <w:rStyle w:val="VerbatimChar"/>
        </w:rPr>
        <w:t xml:space="preserve">        </w:t>
      </w:r>
      <w:r>
        <w:br/>
      </w:r>
      <w:r>
        <w:rPr>
          <w:rStyle w:val="VerbatimChar"/>
        </w:rPr>
        <w:t xml:space="preserve">        &lt;div style="margin-top: 15px;"&gt;</w:t>
      </w:r>
      <w:r>
        <w:br/>
      </w:r>
      <w:r>
        <w:rPr>
          <w:rStyle w:val="VerbatimChar"/>
        </w:rPr>
        <w:t xml:space="preserve">            &lt;button id="btnIncrement" class="btn btn-primary" data-g3al-id="btnIncrement" data-g3al-event="click" data-g3al-event-name="onclick"&gt;</w:t>
      </w:r>
      <w:r>
        <w:br/>
      </w:r>
      <w:r>
        <w:rPr>
          <w:rStyle w:val="VerbatimChar"/>
        </w:rPr>
        <w:t xml:space="preserve">                Increment</w:t>
      </w:r>
      <w:r>
        <w:br/>
      </w:r>
      <w:r>
        <w:rPr>
          <w:rStyle w:val="VerbatimChar"/>
        </w:rPr>
        <w:t xml:space="preserve">            &lt;/button&gt;</w:t>
      </w:r>
      <w:r>
        <w:br/>
      </w:r>
      <w:r>
        <w:rPr>
          <w:rStyle w:val="VerbatimChar"/>
        </w:rPr>
        <w:t xml:space="preserve">            &lt;button id="btnDecrement" class="btn btn-danger" data-g3al-id="btnDecrement" data-g3al-event="click" data-g3al-event-name="onclick"&gt;</w:t>
      </w:r>
      <w:r>
        <w:br/>
      </w:r>
      <w:r>
        <w:rPr>
          <w:rStyle w:val="VerbatimChar"/>
        </w:rPr>
        <w:t xml:space="preserve">                Decrement</w:t>
      </w:r>
      <w:r>
        <w:br/>
      </w:r>
      <w:r>
        <w:rPr>
          <w:rStyle w:val="VerbatimChar"/>
        </w:rPr>
        <w:t xml:space="preserve">            &lt;/button&gt;</w:t>
      </w:r>
      <w:r>
        <w:br/>
      </w:r>
      <w:r>
        <w:rPr>
          <w:rStyle w:val="VerbatimChar"/>
        </w:rPr>
        <w:t xml:space="preserve">        &lt;/div&gt;</w:t>
      </w:r>
      <w:r>
        <w:br/>
      </w:r>
      <w:r>
        <w:rPr>
          <w:rStyle w:val="VerbatimChar"/>
        </w:rPr>
        <w:t xml:space="preserve">    &lt;/div&gt;</w:t>
      </w:r>
      <w:r>
        <w:br/>
      </w:r>
      <w:r>
        <w:br/>
      </w:r>
      <w:r>
        <w:rPr>
          <w:rStyle w:val="VerbatimChar"/>
        </w:rPr>
        <w:t xml:space="preserve">    &lt;script src="/axonlive/g3axonlive.js"&gt;&lt;/script&gt;</w:t>
      </w:r>
      <w:r>
        <w:br/>
      </w:r>
      <w:r>
        <w:rPr>
          <w:rStyle w:val="VerbatimChar"/>
        </w:rPr>
        <w:t xml:space="preserve">    &lt;script&gt;</w:t>
      </w:r>
      <w:r>
        <w:br/>
      </w:r>
      <w:r>
        <w:rPr>
          <w:rStyle w:val="VerbatimChar"/>
        </w:rPr>
        <w:t xml:space="preserve">        G3AxonLive.init();</w:t>
      </w:r>
      <w:r>
        <w:br/>
      </w:r>
      <w:r>
        <w:rPr>
          <w:rStyle w:val="VerbatimChar"/>
        </w:rPr>
        <w:t xml:space="preserve">    &lt;/script&gt;</w:t>
      </w:r>
      <w:r>
        <w:br/>
      </w:r>
      <w:r>
        <w:rPr>
          <w:rStyle w:val="VerbatimChar"/>
        </w:rPr>
        <w:t xml:space="preserve">&lt;/body&gt;</w:t>
      </w:r>
      <w:r>
        <w:br/>
      </w:r>
      <w:r>
        <w:rPr>
          <w:rStyle w:val="VerbatimChar"/>
        </w:rPr>
        <w:t xml:space="preserve">&lt;/html&gt;</w:t>
      </w:r>
    </w:p>
    <w:bookmarkEnd w:id="460"/>
    <w:bookmarkEnd w:id="461"/>
    <w:bookmarkStart w:id="462" w:name="routing-and-mechanics"/>
    <w:p>
      <w:pPr>
        <w:pStyle w:val="Heading2"/>
      </w:pPr>
      <w:r>
        <w:t xml:space="preserve">Routing and Mechanics</w:t>
      </w:r>
    </w:p>
    <w:p>
      <w:pPr>
        <w:pStyle w:val="Compact"/>
        <w:numPr>
          <w:ilvl w:val="0"/>
          <w:numId w:val="1147"/>
        </w:numPr>
      </w:pPr>
      <w:r>
        <w:rPr>
          <w:b/>
          <w:bCs/>
        </w:rPr>
        <w:t xml:space="preserve">Initial Load:</w:t>
      </w:r>
      <w:r>
        <w:t xml:space="preserve"> </w:t>
      </w:r>
      <w:r>
        <w:t xml:space="preserve">When the user navigates to the page,</w:t>
      </w:r>
      <w:r>
        <w:t xml:space="preserve"> </w:t>
      </w:r>
      <w:r>
        <w:rPr>
          <w:rStyle w:val="VerbatimChar"/>
        </w:rPr>
        <w:t xml:space="preserve">AxonLive.IsAsyncRequest</w:t>
      </w:r>
      <w:r>
        <w:t xml:space="preserve"> </w:t>
      </w:r>
      <w:r>
        <w:t xml:space="preserve">evaluates to</w:t>
      </w:r>
      <w:r>
        <w:t xml:space="preserve"> </w:t>
      </w:r>
      <w:r>
        <w:rPr>
          <w:rStyle w:val="VerbatimChar"/>
        </w:rPr>
        <w:t xml:space="preserve">False</w:t>
      </w:r>
      <w:r>
        <w:t xml:space="preserve">. The server renders the full HTML document and sends it to the browser.</w:t>
      </w:r>
    </w:p>
    <w:p>
      <w:pPr>
        <w:pStyle w:val="Compact"/>
        <w:numPr>
          <w:ilvl w:val="0"/>
          <w:numId w:val="1147"/>
        </w:numPr>
      </w:pPr>
      <w:r>
        <w:rPr>
          <w:b/>
          <w:bCs/>
        </w:rPr>
        <w:t xml:space="preserve">Client Interaction:</w:t>
      </w:r>
      <w:r>
        <w:t xml:space="preserve"> </w:t>
      </w:r>
      <w:r>
        <w:t xml:space="preserve">The user clicks a button. The client script (</w:t>
      </w:r>
      <w:r>
        <w:rPr>
          <w:rStyle w:val="VerbatimChar"/>
        </w:rPr>
        <w:t xml:space="preserve">g3axonlive.js</w:t>
      </w:r>
      <w:r>
        <w:t xml:space="preserve">) intercepts the click, packages the event details (Component ID, Event Name, Arguments), and sends a JSON</w:t>
      </w:r>
      <w:r>
        <w:t xml:space="preserve"> </w:t>
      </w:r>
      <w:r>
        <w:rPr>
          <w:rStyle w:val="VerbatimChar"/>
        </w:rPr>
        <w:t xml:space="preserve">POST</w:t>
      </w:r>
      <w:r>
        <w:t xml:space="preserve"> </w:t>
      </w:r>
      <w:r>
        <w:t xml:space="preserve">request back to the server.</w:t>
      </w:r>
    </w:p>
    <w:p>
      <w:pPr>
        <w:pStyle w:val="Compact"/>
        <w:numPr>
          <w:ilvl w:val="0"/>
          <w:numId w:val="1147"/>
        </w:numPr>
      </w:pPr>
      <w:r>
        <w:rPr>
          <w:b/>
          <w:bCs/>
        </w:rPr>
        <w:t xml:space="preserve">Async Execution:</w:t>
      </w:r>
      <w:r>
        <w:t xml:space="preserve"> </w:t>
      </w:r>
      <w:r>
        <w:t xml:space="preserve">The server processes the script from the top down. This time,</w:t>
      </w:r>
      <w:r>
        <w:t xml:space="preserve"> </w:t>
      </w:r>
      <w:r>
        <w:rPr>
          <w:rStyle w:val="VerbatimChar"/>
        </w:rPr>
        <w:t xml:space="preserve">AxonLive.IsAsyncRequest</w:t>
      </w:r>
      <w:r>
        <w:t xml:space="preserve"> </w:t>
      </w:r>
      <w:r>
        <w:t xml:space="preserve">is</w:t>
      </w:r>
      <w:r>
        <w:t xml:space="preserve"> </w:t>
      </w:r>
      <w:r>
        <w:rPr>
          <w:rStyle w:val="VerbatimChar"/>
        </w:rPr>
        <w:t xml:space="preserve">True</w:t>
      </w:r>
      <w:r>
        <w:t xml:space="preserve">. The logic inside the</w:t>
      </w:r>
      <w:r>
        <w:t xml:space="preserve"> </w:t>
      </w:r>
      <w:r>
        <w:rPr>
          <w:rStyle w:val="VerbatimChar"/>
        </w:rPr>
        <w:t xml:space="preserve">If/Then</w:t>
      </w:r>
      <w:r>
        <w:t xml:space="preserve"> </w:t>
      </w:r>
      <w:r>
        <w:t xml:space="preserve">block runs.</w:t>
      </w:r>
    </w:p>
    <w:p>
      <w:pPr>
        <w:pStyle w:val="Compact"/>
        <w:numPr>
          <w:ilvl w:val="0"/>
          <w:numId w:val="1147"/>
        </w:numPr>
      </w:pPr>
      <w:r>
        <w:rPr>
          <w:b/>
          <w:bCs/>
        </w:rPr>
        <w:t xml:space="preserve">Patch Response:</w:t>
      </w:r>
      <w:r>
        <w:t xml:space="preserve"> </w:t>
      </w:r>
      <w:r>
        <w:rPr>
          <w:rStyle w:val="VerbatimChar"/>
        </w:rPr>
        <w:t xml:space="preserve">AxonLive.EndAsyncResponse()</w:t>
      </w:r>
      <w:r>
        <w:t xml:space="preserve"> </w:t>
      </w:r>
      <w:r>
        <w:t xml:space="preserve">collects all registered HTML patches and actions, formats them as JSON, clears the output buffer, and halts the script. The client receives the JSON and dynamically updates the DOM.</w:t>
      </w:r>
    </w:p>
    <w:bookmarkEnd w:id="462"/>
    <w:bookmarkStart w:id="463" w:name="session-security-behavior"/>
    <w:p>
      <w:pPr>
        <w:pStyle w:val="Heading2"/>
      </w:pPr>
      <w:r>
        <w:t xml:space="preserve">Session Security Behavior</w:t>
      </w:r>
    </w:p>
    <w:p>
      <w:pPr>
        <w:pStyle w:val="FirstParagraph"/>
      </w:pPr>
      <w:r>
        <w:t xml:space="preserve">AxonLive async routing is bound to the authenticated</w:t>
      </w:r>
      <w:r>
        <w:t xml:space="preserve"> </w:t>
      </w:r>
      <w:r>
        <w:rPr>
          <w:rStyle w:val="VerbatimChar"/>
        </w:rPr>
        <w:t xml:space="preserve">ASPSESSIONID</w:t>
      </w:r>
      <w:r>
        <w:t xml:space="preserve"> </w:t>
      </w:r>
      <w:r>
        <w:t xml:space="preserve">cookie on the server.</w:t>
      </w:r>
    </w:p>
    <w:p>
      <w:pPr>
        <w:pStyle w:val="Compact"/>
        <w:numPr>
          <w:ilvl w:val="0"/>
          <w:numId w:val="1148"/>
        </w:numPr>
      </w:pPr>
      <w:r>
        <w:t xml:space="preserve">The client bridge can call</w:t>
      </w:r>
      <w:r>
        <w:t xml:space="preserve"> </w:t>
      </w:r>
      <w:r>
        <w:rPr>
          <w:rStyle w:val="VerbatimChar"/>
        </w:rPr>
        <w:t xml:space="preserve">G3AxonLive.init()</w:t>
      </w:r>
      <w:r>
        <w:t xml:space="preserve"> </w:t>
      </w:r>
      <w:r>
        <w:t xml:space="preserve">without passing a session ID.</w:t>
      </w:r>
    </w:p>
    <w:p>
      <w:pPr>
        <w:pStyle w:val="Compact"/>
        <w:numPr>
          <w:ilvl w:val="0"/>
          <w:numId w:val="1148"/>
        </w:numPr>
      </w:pPr>
      <w:r>
        <w:t xml:space="preserve">If a payload includes a</w:t>
      </w:r>
      <w:r>
        <w:t xml:space="preserve"> </w:t>
      </w:r>
      <w:r>
        <w:rPr>
          <w:rStyle w:val="VerbatimChar"/>
        </w:rPr>
        <w:t xml:space="preserve">sessionId</w:t>
      </w:r>
      <w:r>
        <w:t xml:space="preserve">, it must match the authenticated cookie session.</w:t>
      </w:r>
    </w:p>
    <w:p>
      <w:pPr>
        <w:pStyle w:val="Compact"/>
        <w:numPr>
          <w:ilvl w:val="0"/>
          <w:numId w:val="1148"/>
        </w:numPr>
      </w:pPr>
      <w:r>
        <w:t xml:space="preserve">Async page lookup and execution always use the authenticated session registration.</w:t>
      </w:r>
    </w:p>
    <w:bookmarkEnd w:id="463"/>
    <w:bookmarkEnd w:id="464"/>
    <w:bookmarkStart w:id="469" w:name="the-client-side-script"/>
    <w:p>
      <w:pPr>
        <w:pStyle w:val="Heading1"/>
      </w:pPr>
      <w:r>
        <w:t xml:space="preserve">The Client-Side Script</w:t>
      </w:r>
    </w:p>
    <w:p>
      <w:pPr>
        <w:pStyle w:val="FirstParagraph"/>
      </w:pPr>
      <w:r>
        <w:t xml:space="preserve">For the G3AxonLive ecosystem to function, the client-side JavaScript bridge (</w:t>
      </w:r>
      <w:r>
        <w:rPr>
          <w:rStyle w:val="VerbatimChar"/>
        </w:rPr>
        <w:t xml:space="preserve">g3axonlive.js</w:t>
      </w:r>
      <w:r>
        <w:t xml:space="preserve">) must be included and initialized on every single page utilizing AxonLive features.</w:t>
      </w:r>
    </w:p>
    <w:p>
      <w:pPr>
        <w:pStyle w:val="BodyText"/>
      </w:pPr>
      <w:r>
        <w:t xml:space="preserve">The script acts as the neural network of the frontend, binding to DOM elements, intercepting interactions, and communicating securely with the server-side procedural controller.</w:t>
      </w:r>
    </w:p>
    <w:bookmarkStart w:id="465" w:name="including-the-script"/>
    <w:p>
      <w:pPr>
        <w:pStyle w:val="Heading2"/>
      </w:pPr>
      <w:r>
        <w:t xml:space="preserve">Including the Script</w:t>
      </w:r>
    </w:p>
    <w:p>
      <w:pPr>
        <w:pStyle w:val="FirstParagraph"/>
      </w:pPr>
      <w:r>
        <w:t xml:space="preserve">You must include the script at the bottom of your HTML body and immediately call</w:t>
      </w:r>
      <w:r>
        <w:t xml:space="preserve"> </w:t>
      </w:r>
      <w:r>
        <w:rPr>
          <w:rStyle w:val="VerbatimChar"/>
        </w:rPr>
        <w:t xml:space="preserve">G3AxonLive.init()</w:t>
      </w:r>
      <w:r>
        <w:t xml:space="preserve">.</w:t>
      </w:r>
    </w:p>
    <w:p>
      <w:pPr>
        <w:pStyle w:val="SourceCode"/>
      </w:pPr>
      <w:r>
        <w:rPr>
          <w:rStyle w:val="DataTypeTok"/>
        </w:rPr>
        <w:t xml:space="preserve">&lt;</w:t>
      </w:r>
      <w:r>
        <w:rPr>
          <w:rStyle w:val="KeywordTok"/>
        </w:rPr>
        <w:t xml:space="preserve">script</w:t>
      </w:r>
      <w:r>
        <w:rPr>
          <w:rStyle w:val="OtherTok"/>
        </w:rPr>
        <w:t xml:space="preserve"> src</w:t>
      </w:r>
      <w:r>
        <w:rPr>
          <w:rStyle w:val="OperatorTok"/>
        </w:rPr>
        <w:t xml:space="preserve">=</w:t>
      </w:r>
      <w:r>
        <w:rPr>
          <w:rStyle w:val="StringTok"/>
        </w:rPr>
        <w:t xml:space="preserve">"/axonlive/g3axonlive.js"</w:t>
      </w:r>
      <w:r>
        <w:rPr>
          <w:rStyle w:val="DataTypeTok"/>
        </w:rPr>
        <w:t xml:space="preserve">&gt;&lt;/</w:t>
      </w:r>
      <w:r>
        <w:rPr>
          <w:rStyle w:val="KeywordTok"/>
        </w:rPr>
        <w:t xml:space="preserve">script</w:t>
      </w:r>
      <w:r>
        <w:rPr>
          <w:rStyle w:val="DataTypeTok"/>
        </w:rPr>
        <w:t xml:space="preserve">&gt;</w:t>
      </w:r>
      <w:r>
        <w:br/>
      </w:r>
      <w:r>
        <w:rPr>
          <w:rStyle w:val="DataTypeTok"/>
        </w:rPr>
        <w:t xml:space="preserve">&lt;</w:t>
      </w:r>
      <w:r>
        <w:rPr>
          <w:rStyle w:val="KeywordTok"/>
        </w:rPr>
        <w:t xml:space="preserve">script</w:t>
      </w:r>
      <w:r>
        <w:rPr>
          <w:rStyle w:val="DataTypeTok"/>
        </w:rPr>
        <w:t xml:space="preserve">&gt;</w:t>
      </w:r>
      <w:r>
        <w:br/>
      </w:r>
      <w:r>
        <w:rPr>
          <w:rStyle w:val="NormalTok"/>
        </w:rPr>
        <w:t xml:space="preserve">    </w:t>
      </w:r>
      <w:r>
        <w:rPr>
          <w:rStyle w:val="CommentTok"/>
        </w:rPr>
        <w:t xml:space="preserve">// Initialize the engine</w:t>
      </w:r>
      <w:r>
        <w:br/>
      </w:r>
      <w:r>
        <w:rPr>
          <w:rStyle w:val="NormalTok"/>
        </w:rPr>
        <w:t xml:space="preserve">    G3AxonLive</w:t>
      </w:r>
      <w:r>
        <w:rPr>
          <w:rStyle w:val="OperatorTok"/>
        </w:rPr>
        <w:t xml:space="preserve">.</w:t>
      </w:r>
      <w:r>
        <w:rPr>
          <w:rStyle w:val="FunctionTok"/>
        </w:rPr>
        <w:t xml:space="preserve">init</w:t>
      </w:r>
      <w:r>
        <w:rPr>
          <w:rStyle w:val="NormalTok"/>
        </w:rPr>
        <w:t xml:space="preserve">()</w:t>
      </w:r>
      <w:r>
        <w:rPr>
          <w:rStyle w:val="OperatorTok"/>
        </w:rPr>
        <w:t xml:space="preserve">;</w:t>
      </w:r>
      <w:r>
        <w:br/>
      </w:r>
      <w:r>
        <w:rPr>
          <w:rStyle w:val="DataTypeTok"/>
        </w:rPr>
        <w:t xml:space="preserve">&lt;/</w:t>
      </w:r>
      <w:r>
        <w:rPr>
          <w:rStyle w:val="KeywordTok"/>
        </w:rPr>
        <w:t xml:space="preserve">script</w:t>
      </w:r>
      <w:r>
        <w:rPr>
          <w:rStyle w:val="DataTypeTok"/>
        </w:rPr>
        <w:t xml:space="preserve">&gt;</w:t>
      </w:r>
    </w:p>
    <w:p>
      <w:pPr>
        <w:pStyle w:val="FirstParagraph"/>
      </w:pPr>
      <w:r>
        <w:t xml:space="preserve">The optional</w:t>
      </w:r>
      <w:r>
        <w:t xml:space="preserve"> </w:t>
      </w:r>
      <w:r>
        <w:rPr>
          <w:rStyle w:val="VerbatimChar"/>
        </w:rPr>
        <w:t xml:space="preserve">sessionId</w:t>
      </w:r>
      <w:r>
        <w:t xml:space="preserve"> </w:t>
      </w:r>
      <w:r>
        <w:t xml:space="preserve">argument is retained for backward compatibility, but it is no longer required.</w:t>
      </w:r>
    </w:p>
    <w:bookmarkEnd w:id="465"/>
    <w:bookmarkStart w:id="466" w:name="how-it-works-under-the-hood"/>
    <w:p>
      <w:pPr>
        <w:pStyle w:val="Heading2"/>
      </w:pPr>
      <w:r>
        <w:t xml:space="preserve">How It Works Under the Hood</w:t>
      </w:r>
    </w:p>
    <w:p>
      <w:pPr>
        <w:pStyle w:val="FirstParagraph"/>
      </w:pPr>
      <w:r>
        <w:t xml:space="preserve">The client bridge is written in vanilla JavaScript and performs several critical operations:</w:t>
      </w:r>
    </w:p>
    <w:p>
      <w:pPr>
        <w:pStyle w:val="Compact"/>
        <w:numPr>
          <w:ilvl w:val="0"/>
          <w:numId w:val="1149"/>
        </w:numPr>
      </w:pPr>
      <w:r>
        <w:rPr>
          <w:b/>
          <w:bCs/>
        </w:rPr>
        <w:t xml:space="preserve">Event Delegation:</w:t>
      </w:r>
      <w:r>
        <w:t xml:space="preserve"> </w:t>
      </w:r>
      <w:r>
        <w:t xml:space="preserve">It scans the DOM for elements marked with</w:t>
      </w:r>
      <w:r>
        <w:t xml:space="preserve"> </w:t>
      </w:r>
      <w:r>
        <w:rPr>
          <w:rStyle w:val="VerbatimChar"/>
        </w:rPr>
        <w:t xml:space="preserve">data-g3al-*</w:t>
      </w:r>
      <w:r>
        <w:t xml:space="preserve"> </w:t>
      </w:r>
      <w:r>
        <w:t xml:space="preserve">attributes (e.g.,</w:t>
      </w:r>
      <w:r>
        <w:t xml:space="preserve"> </w:t>
      </w:r>
      <w:r>
        <w:rPr>
          <w:rStyle w:val="VerbatimChar"/>
        </w:rPr>
        <w:t xml:space="preserve">data-g3al-id</w:t>
      </w:r>
      <w:r>
        <w:t xml:space="preserve">,</w:t>
      </w:r>
      <w:r>
        <w:t xml:space="preserve"> </w:t>
      </w:r>
      <w:r>
        <w:rPr>
          <w:rStyle w:val="VerbatimChar"/>
        </w:rPr>
        <w:t xml:space="preserve">data-g3al-event</w:t>
      </w:r>
      <w:r>
        <w:t xml:space="preserve">). It automatically attaches event listeners without requiring custom JavaScript for each button or input.</w:t>
      </w:r>
    </w:p>
    <w:p>
      <w:pPr>
        <w:pStyle w:val="Compact"/>
        <w:numPr>
          <w:ilvl w:val="0"/>
          <w:numId w:val="1149"/>
        </w:numPr>
      </w:pPr>
      <w:r>
        <w:rPr>
          <w:b/>
          <w:bCs/>
        </w:rPr>
        <w:t xml:space="preserve">Fetch API:</w:t>
      </w:r>
      <w:r>
        <w:t xml:space="preserve"> </w:t>
      </w:r>
      <w:r>
        <w:t xml:space="preserve">When an event is triggered, the script prevents the default browser action (like a full form submission) and instead utilizes the modern</w:t>
      </w:r>
      <w:r>
        <w:t xml:space="preserve"> </w:t>
      </w:r>
      <w:r>
        <w:rPr>
          <w:rStyle w:val="VerbatimChar"/>
        </w:rPr>
        <w:t xml:space="preserve">fetch</w:t>
      </w:r>
      <w:r>
        <w:t xml:space="preserve"> </w:t>
      </w:r>
      <w:r>
        <w:t xml:space="preserve">API.</w:t>
      </w:r>
    </w:p>
    <w:p>
      <w:pPr>
        <w:pStyle w:val="Compact"/>
        <w:numPr>
          <w:ilvl w:val="0"/>
          <w:numId w:val="1149"/>
        </w:numPr>
      </w:pPr>
      <w:r>
        <w:rPr>
          <w:b/>
          <w:bCs/>
        </w:rPr>
        <w:t xml:space="preserve">Payload Generation:</w:t>
      </w:r>
      <w:r>
        <w:t xml:space="preserve"> </w:t>
      </w:r>
      <w:r>
        <w:t xml:space="preserve">It constructs a JSON payload containing the</w:t>
      </w:r>
      <w:r>
        <w:t xml:space="preserve"> </w:t>
      </w:r>
      <w:r>
        <w:rPr>
          <w:rStyle w:val="VerbatimChar"/>
        </w:rPr>
        <w:t xml:space="preserve">componentId</w:t>
      </w:r>
      <w:r>
        <w:t xml:space="preserve">,</w:t>
      </w:r>
      <w:r>
        <w:t xml:space="preserve"> </w:t>
      </w:r>
      <w:r>
        <w:rPr>
          <w:rStyle w:val="VerbatimChar"/>
        </w:rPr>
        <w:t xml:space="preserve">eventName</w:t>
      </w:r>
      <w:r>
        <w:t xml:space="preserve">, and contextual</w:t>
      </w:r>
      <w:r>
        <w:t xml:space="preserve"> </w:t>
      </w:r>
      <w:r>
        <w:rPr>
          <w:rStyle w:val="VerbatimChar"/>
        </w:rPr>
        <w:t xml:space="preserve">eventArgs</w:t>
      </w:r>
      <w:r>
        <w:t xml:space="preserve"> </w:t>
      </w:r>
      <w:r>
        <w:t xml:space="preserve">(such as values from text inputs or custom data attributes).</w:t>
      </w:r>
    </w:p>
    <w:p>
      <w:pPr>
        <w:pStyle w:val="Compact"/>
        <w:numPr>
          <w:ilvl w:val="0"/>
          <w:numId w:val="1149"/>
        </w:numPr>
      </w:pPr>
      <w:r>
        <w:rPr>
          <w:b/>
          <w:bCs/>
        </w:rPr>
        <w:t xml:space="preserve">Targeted DOM Swapping:</w:t>
      </w:r>
      <w:r>
        <w:t xml:space="preserve"> </w:t>
      </w:r>
      <w:r>
        <w:t xml:space="preserve">The server responds with a JSON array of component patches. The script locates each component by its ID and precisely updates its</w:t>
      </w:r>
      <w:r>
        <w:t xml:space="preserve"> </w:t>
      </w:r>
      <w:r>
        <w:rPr>
          <w:rStyle w:val="VerbatimChar"/>
        </w:rPr>
        <w:t xml:space="preserve">outerHTML</w:t>
      </w:r>
      <w:r>
        <w:t xml:space="preserve">, preserving the rest of the application layout.</w:t>
      </w:r>
    </w:p>
    <w:p>
      <w:pPr>
        <w:pStyle w:val="Compact"/>
        <w:numPr>
          <w:ilvl w:val="0"/>
          <w:numId w:val="1149"/>
        </w:numPr>
      </w:pPr>
      <w:r>
        <w:rPr>
          <w:b/>
          <w:bCs/>
        </w:rPr>
        <w:t xml:space="preserve">Action Execution:</w:t>
      </w:r>
      <w:r>
        <w:t xml:space="preserve"> </w:t>
      </w:r>
      <w:r>
        <w:t xml:space="preserve">Beyond simple HTML swaps, the bridge processes server-instructed actions, such as</w:t>
      </w:r>
      <w:r>
        <w:t xml:space="preserve"> </w:t>
      </w:r>
      <w:r>
        <w:rPr>
          <w:rStyle w:val="VerbatimChar"/>
        </w:rPr>
        <w:t xml:space="preserve">set_timer</w:t>
      </w:r>
      <w:r>
        <w:t xml:space="preserve">,</w:t>
      </w:r>
      <w:r>
        <w:t xml:space="preserve"> </w:t>
      </w:r>
      <w:r>
        <w:rPr>
          <w:rStyle w:val="VerbatimChar"/>
        </w:rPr>
        <w:t xml:space="preserve">redirect</w:t>
      </w:r>
      <w:r>
        <w:t xml:space="preserve">,</w:t>
      </w:r>
      <w:r>
        <w:t xml:space="preserve"> </w:t>
      </w:r>
      <w:r>
        <w:rPr>
          <w:rStyle w:val="VerbatimChar"/>
        </w:rPr>
        <w:t xml:space="preserve">add_class</w:t>
      </w:r>
      <w:r>
        <w:t xml:space="preserve">, or</w:t>
      </w:r>
      <w:r>
        <w:t xml:space="preserve"> </w:t>
      </w:r>
      <w:r>
        <w:rPr>
          <w:rStyle w:val="VerbatimChar"/>
        </w:rPr>
        <w:t xml:space="preserve">set_attribute</w:t>
      </w:r>
      <w:r>
        <w:t xml:space="preserve">. This allows the server to manipulate the client dynamically.</w:t>
      </w:r>
    </w:p>
    <w:bookmarkEnd w:id="466"/>
    <w:bookmarkStart w:id="467" w:name="session-binding-and-security"/>
    <w:p>
      <w:pPr>
        <w:pStyle w:val="Heading2"/>
      </w:pPr>
      <w:r>
        <w:t xml:space="preserve">Session Binding and Security</w:t>
      </w:r>
    </w:p>
    <w:p>
      <w:pPr>
        <w:pStyle w:val="FirstParagraph"/>
      </w:pPr>
      <w:r>
        <w:t xml:space="preserve">The browser bridge does not control session authority.</w:t>
      </w:r>
    </w:p>
    <w:p>
      <w:pPr>
        <w:pStyle w:val="Compact"/>
        <w:numPr>
          <w:ilvl w:val="0"/>
          <w:numId w:val="1150"/>
        </w:numPr>
      </w:pPr>
      <w:r>
        <w:t xml:space="preserve">The server binds every async event to the authenticated</w:t>
      </w:r>
      <w:r>
        <w:t xml:space="preserve"> </w:t>
      </w:r>
      <w:r>
        <w:rPr>
          <w:rStyle w:val="VerbatimChar"/>
        </w:rPr>
        <w:t xml:space="preserve">ASPSESSIONID</w:t>
      </w:r>
      <w:r>
        <w:t xml:space="preserve"> </w:t>
      </w:r>
      <w:r>
        <w:t xml:space="preserve">cookie.</w:t>
      </w:r>
    </w:p>
    <w:p>
      <w:pPr>
        <w:pStyle w:val="Compact"/>
        <w:numPr>
          <w:ilvl w:val="0"/>
          <w:numId w:val="1150"/>
        </w:numPr>
      </w:pPr>
      <w:r>
        <w:t xml:space="preserve">Async page routing and execution use the authenticated session registration.</w:t>
      </w:r>
    </w:p>
    <w:p>
      <w:pPr>
        <w:pStyle w:val="Compact"/>
        <w:numPr>
          <w:ilvl w:val="0"/>
          <w:numId w:val="1150"/>
        </w:numPr>
      </w:pPr>
      <w:r>
        <w:t xml:space="preserve">Any mismatched</w:t>
      </w:r>
      <w:r>
        <w:t xml:space="preserve"> </w:t>
      </w:r>
      <w:r>
        <w:rPr>
          <w:rStyle w:val="VerbatimChar"/>
        </w:rPr>
        <w:t xml:space="preserve">sessionId</w:t>
      </w:r>
      <w:r>
        <w:t xml:space="preserve"> </w:t>
      </w:r>
      <w:r>
        <w:t xml:space="preserve">value in payload is rejected by the server.</w:t>
      </w:r>
    </w:p>
    <w:bookmarkEnd w:id="467"/>
    <w:bookmarkStart w:id="468" w:name="handling-network-errors"/>
    <w:p>
      <w:pPr>
        <w:pStyle w:val="Heading2"/>
      </w:pPr>
      <w:r>
        <w:t xml:space="preserve">Handling Network Errors</w:t>
      </w:r>
    </w:p>
    <w:p>
      <w:pPr>
        <w:pStyle w:val="FirstParagraph"/>
      </w:pPr>
      <w:r>
        <w:t xml:space="preserve">The bridge includes built-in retry mechanisms and exponential backoff for transient network errors. If the backend becomes unreachable, it will gracefully log the failure to the console and attempt to recover without crashing the user interface.</w:t>
      </w:r>
    </w:p>
    <w:bookmarkEnd w:id="468"/>
    <w:bookmarkEnd w:id="469"/>
    <w:bookmarkStart w:id="473" w:name="axonlive-builder"/>
    <w:p>
      <w:pPr>
        <w:pStyle w:val="Heading1"/>
      </w:pPr>
      <w:r>
        <w:t xml:space="preserve">AxonLive Builder</w:t>
      </w:r>
    </w:p>
    <w:p>
      <w:pPr>
        <w:pStyle w:val="FirstParagraph"/>
      </w:pPr>
      <w:r>
        <w:t xml:space="preserve">The</w:t>
      </w:r>
      <w:r>
        <w:t xml:space="preserve"> </w:t>
      </w:r>
      <w:r>
        <w:rPr>
          <w:b/>
          <w:bCs/>
        </w:rPr>
        <w:t xml:space="preserve">AxonLive Builder</w:t>
      </w:r>
      <w:r>
        <w:t xml:space="preserve"> </w:t>
      </w:r>
      <w:r>
        <w:t xml:space="preserve">is an integrated visual IDE provided directly within the AxonASP ecosystem, designed to accelerate the development of reactive pages.</w:t>
      </w:r>
    </w:p>
    <w:p>
      <w:pPr>
        <w:pStyle w:val="BodyText"/>
      </w:pPr>
      <w:r>
        <w:t xml:space="preserve">Located within the</w:t>
      </w:r>
      <w:r>
        <w:t xml:space="preserve"> </w:t>
      </w:r>
      <w:r>
        <w:rPr>
          <w:rStyle w:val="VerbatimChar"/>
        </w:rPr>
        <w:t xml:space="preserve">/www/axonlive/builder/</w:t>
      </w:r>
      <w:r>
        <w:t xml:space="preserve"> </w:t>
      </w:r>
      <w:r>
        <w:t xml:space="preserve">directory, this powerful Single Page Application (SPA) acts as a drag-and-drop interface where developers can visually construct their ASP pages with pre-built AxonLive components.</w:t>
      </w:r>
    </w:p>
    <w:bookmarkStart w:id="470" w:name="features"/>
    <w:p>
      <w:pPr>
        <w:pStyle w:val="Heading2"/>
      </w:pPr>
      <w:r>
        <w:t xml:space="preserve">Features</w:t>
      </w:r>
    </w:p>
    <w:p>
      <w:pPr>
        <w:pStyle w:val="Compact"/>
        <w:numPr>
          <w:ilvl w:val="0"/>
          <w:numId w:val="1151"/>
        </w:numPr>
      </w:pPr>
      <w:r>
        <w:rPr>
          <w:b/>
          <w:bCs/>
        </w:rPr>
        <w:t xml:space="preserve">Visual Construction:</w:t>
      </w:r>
      <w:r>
        <w:t xml:space="preserve"> </w:t>
      </w:r>
      <w:r>
        <w:t xml:space="preserve">Drag and drop elements like buttons, counters, text inputs, grids, and timers onto a live canvas.</w:t>
      </w:r>
    </w:p>
    <w:p>
      <w:pPr>
        <w:pStyle w:val="Compact"/>
        <w:numPr>
          <w:ilvl w:val="0"/>
          <w:numId w:val="1151"/>
        </w:numPr>
      </w:pPr>
      <w:r>
        <w:rPr>
          <w:b/>
          <w:bCs/>
        </w:rPr>
        <w:t xml:space="preserve">Server-Side JavaScript Generation:</w:t>
      </w:r>
      <w:r>
        <w:t xml:space="preserve"> </w:t>
      </w:r>
      <w:r>
        <w:t xml:space="preserve">The builder pivotally generates boilerplate</w:t>
      </w:r>
      <w:r>
        <w:t xml:space="preserve"> </w:t>
      </w:r>
      <w:r>
        <w:rPr>
          <w:b/>
          <w:bCs/>
        </w:rPr>
        <w:t xml:space="preserve">Server-Side JavaScript</w:t>
      </w:r>
      <w:r>
        <w:t xml:space="preserve"> </w:t>
      </w:r>
      <w:r>
        <w:t xml:space="preserve">(JScript) instead of VBScript. Server-side JS handles JSON payloads and mapping structures natively, making it a much cleaner output for event routing.</w:t>
      </w:r>
    </w:p>
    <w:p>
      <w:pPr>
        <w:pStyle w:val="Compact"/>
        <w:numPr>
          <w:ilvl w:val="0"/>
          <w:numId w:val="1151"/>
        </w:numPr>
      </w:pPr>
      <w:r>
        <w:rPr>
          <w:b/>
          <w:bCs/>
        </w:rPr>
        <w:t xml:space="preserve">Automatic Boilerplate:</w:t>
      </w:r>
      <w:r>
        <w:t xml:space="preserve"> </w:t>
      </w:r>
      <w:r>
        <w:t xml:space="preserve">As you assemble your interface, the Builder simultaneously generates the required procedural routing logic,</w:t>
      </w:r>
      <w:r>
        <w:t xml:space="preserve"> </w:t>
      </w:r>
      <w:r>
        <w:rPr>
          <w:rStyle w:val="VerbatimChar"/>
        </w:rPr>
        <w:t xml:space="preserve">InitPage</w:t>
      </w:r>
      <w:r>
        <w:t xml:space="preserve"> </w:t>
      </w:r>
      <w:r>
        <w:t xml:space="preserve">calls, and structural HTML mapping.</w:t>
      </w:r>
    </w:p>
    <w:p>
      <w:pPr>
        <w:pStyle w:val="Compact"/>
        <w:numPr>
          <w:ilvl w:val="0"/>
          <w:numId w:val="1151"/>
        </w:numPr>
      </w:pPr>
      <w:r>
        <w:rPr>
          <w:b/>
          <w:bCs/>
        </w:rPr>
        <w:t xml:space="preserve">Instant Export:</w:t>
      </w:r>
      <w:r>
        <w:t xml:space="preserve"> </w:t>
      </w:r>
      <w:r>
        <w:t xml:space="preserve">You can instantly preview the code, copy it to the clipboard, or download it as a ready-to-run</w:t>
      </w:r>
      <w:r>
        <w:t xml:space="preserve"> </w:t>
      </w:r>
      <w:r>
        <w:rPr>
          <w:rStyle w:val="VerbatimChar"/>
        </w:rPr>
        <w:t xml:space="preserve">.asp</w:t>
      </w:r>
      <w:r>
        <w:t xml:space="preserve"> </w:t>
      </w:r>
      <w:r>
        <w:t xml:space="preserve">file.</w:t>
      </w:r>
    </w:p>
    <w:bookmarkEnd w:id="470"/>
    <w:bookmarkStart w:id="471" w:name="why-server-side-javascript"/>
    <w:p>
      <w:pPr>
        <w:pStyle w:val="Heading2"/>
      </w:pPr>
      <w:r>
        <w:t xml:space="preserve">Why Server-Side JavaScript?</w:t>
      </w:r>
    </w:p>
    <w:p>
      <w:pPr>
        <w:pStyle w:val="FirstParagraph"/>
      </w:pPr>
      <w:r>
        <w:t xml:space="preserve">While G3AxonLive fully supports VBScript, the Builder generates JScript because of its superior ability to handle</w:t>
      </w:r>
      <w:r>
        <w:t xml:space="preserve"> </w:t>
      </w:r>
      <w:r>
        <w:rPr>
          <w:rStyle w:val="VerbatimChar"/>
        </w:rPr>
        <w:t xml:space="preserve">switch/case</w:t>
      </w:r>
      <w:r>
        <w:t xml:space="preserve"> </w:t>
      </w:r>
      <w:r>
        <w:t xml:space="preserve">structures and data dictionaries cleanly. The generated code strictly uses switch maps for event routing to guarantee that only developer-defined functions are triggered by client events, ensuring robust security against injection.</w:t>
      </w:r>
    </w:p>
    <w:p>
      <w:pPr>
        <w:pStyle w:val="BodyText"/>
      </w:pPr>
      <w:r>
        <w:t xml:space="preserve">By utilizing the Builder, you can skip the repetitive tasks of defining</w:t>
      </w:r>
      <w:r>
        <w:t xml:space="preserve"> </w:t>
      </w:r>
      <w:r>
        <w:rPr>
          <w:rStyle w:val="VerbatimChar"/>
        </w:rPr>
        <w:t xml:space="preserve">data-g3al-</w:t>
      </w:r>
      <w:r>
        <w:t xml:space="preserve"> </w:t>
      </w:r>
      <w:r>
        <w:t xml:space="preserve">attributes and writing standard switch statements, allowing you to focus entirely on writing the business logic inside the generated event handlers.</w:t>
      </w:r>
    </w:p>
    <w:bookmarkEnd w:id="471"/>
    <w:bookmarkStart w:id="472" w:name="security-behavior"/>
    <w:p>
      <w:pPr>
        <w:pStyle w:val="Heading2"/>
      </w:pPr>
      <w:r>
        <w:t xml:space="preserve">Security Behavior</w:t>
      </w:r>
    </w:p>
    <w:p>
      <w:pPr>
        <w:pStyle w:val="FirstParagraph"/>
      </w:pPr>
      <w:r>
        <w:t xml:space="preserve">The Builder-generated pages use the same AxonLive security model as manual pages.</w:t>
      </w:r>
    </w:p>
    <w:p>
      <w:pPr>
        <w:pStyle w:val="Compact"/>
        <w:numPr>
          <w:ilvl w:val="0"/>
          <w:numId w:val="1152"/>
        </w:numPr>
      </w:pPr>
      <w:r>
        <w:t xml:space="preserve">Async event routing is bound to the authenticated</w:t>
      </w:r>
      <w:r>
        <w:t xml:space="preserve"> </w:t>
      </w:r>
      <w:r>
        <w:rPr>
          <w:rStyle w:val="VerbatimChar"/>
        </w:rPr>
        <w:t xml:space="preserve">ASPSESSIONID</w:t>
      </w:r>
      <w:r>
        <w:t xml:space="preserve"> </w:t>
      </w:r>
      <w:r>
        <w:t xml:space="preserve">cookie.</w:t>
      </w:r>
    </w:p>
    <w:p>
      <w:pPr>
        <w:pStyle w:val="Compact"/>
        <w:numPr>
          <w:ilvl w:val="0"/>
          <w:numId w:val="1152"/>
        </w:numPr>
      </w:pPr>
      <w:r>
        <w:t xml:space="preserve">Builder-generated client events do not require a session ID payload field.</w:t>
      </w:r>
    </w:p>
    <w:p>
      <w:pPr>
        <w:pStyle w:val="Compact"/>
        <w:numPr>
          <w:ilvl w:val="0"/>
          <w:numId w:val="1152"/>
        </w:numPr>
      </w:pPr>
      <w:r>
        <w:t xml:space="preserve">If a</w:t>
      </w:r>
      <w:r>
        <w:t xml:space="preserve"> </w:t>
      </w:r>
      <w:r>
        <w:rPr>
          <w:rStyle w:val="VerbatimChar"/>
        </w:rPr>
        <w:t xml:space="preserve">sessionId</w:t>
      </w:r>
      <w:r>
        <w:t xml:space="preserve"> </w:t>
      </w:r>
      <w:r>
        <w:t xml:space="preserve">is present in a custom payload, it must match the authenticated cookie session.</w:t>
      </w:r>
    </w:p>
    <w:bookmarkEnd w:id="472"/>
    <w:bookmarkEnd w:id="473"/>
    <w:bookmarkStart w:id="481" w:name="g3axonlive-in-webassembly-wasm"/>
    <w:p>
      <w:pPr>
        <w:pStyle w:val="Heading1"/>
      </w:pPr>
      <w:r>
        <w:t xml:space="preserve">G3AxonLive in WebAssembly (WASM)</w:t>
      </w:r>
    </w:p>
    <w:bookmarkStart w:id="474" w:name="overview-26"/>
    <w:p>
      <w:pPr>
        <w:pStyle w:val="Heading2"/>
      </w:pPr>
      <w:r>
        <w:t xml:space="preserve">Overview</w:t>
      </w:r>
    </w:p>
    <w:p>
      <w:pPr>
        <w:pStyle w:val="FirstParagraph"/>
      </w:pPr>
      <w:r>
        <w:t xml:space="preserve">AxonASP WASM supports</w:t>
      </w:r>
      <w:r>
        <w:t xml:space="preserve"> </w:t>
      </w:r>
      <w:r>
        <w:rPr>
          <w:b/>
          <w:bCs/>
        </w:rPr>
        <w:t xml:space="preserve">AxonLive</w:t>
      </w:r>
      <w:r>
        <w:t xml:space="preserve">, the native reactive component framework. Unlike the server-side implementation which uses HTTP JSON payloads and client-side JavaScript polling to apply patches, the WASM implementation acts much like</w:t>
      </w:r>
      <w:r>
        <w:t xml:space="preserve"> </w:t>
      </w:r>
      <w:r>
        <w:rPr>
          <w:b/>
          <w:bCs/>
        </w:rPr>
        <w:t xml:space="preserve">Microsoft Blazor</w:t>
      </w:r>
      <w:r>
        <w:t xml:space="preserve">.</w:t>
      </w:r>
    </w:p>
    <w:p>
      <w:pPr>
        <w:pStyle w:val="BodyText"/>
      </w:pPr>
      <w:r>
        <w:t xml:space="preserve">When the AxonASP engine runs entirely inside the browser’s WebAssembly sandbox,</w:t>
      </w:r>
      <w:r>
        <w:t xml:space="preserve"> </w:t>
      </w:r>
      <w:r>
        <w:rPr>
          <w:rStyle w:val="VerbatimChar"/>
        </w:rPr>
        <w:t xml:space="preserve">G3AXONLIVE</w:t>
      </w:r>
      <w:r>
        <w:t xml:space="preserve"> </w:t>
      </w:r>
      <w:r>
        <w:t xml:space="preserve">bypasses all network boundaries. Method calls in Classic ASP (like</w:t>
      </w:r>
      <w:r>
        <w:t xml:space="preserve"> </w:t>
      </w:r>
      <w:r>
        <w:rPr>
          <w:rStyle w:val="VerbatimChar"/>
        </w:rPr>
        <w:t xml:space="preserve">SetStyle</w:t>
      </w:r>
      <w:r>
        <w:t xml:space="preserve">,</w:t>
      </w:r>
      <w:r>
        <w:t xml:space="preserve"> </w:t>
      </w:r>
      <w:r>
        <w:rPr>
          <w:rStyle w:val="VerbatimChar"/>
        </w:rPr>
        <w:t xml:space="preserve">AddClass</w:t>
      </w:r>
      <w:r>
        <w:t xml:space="preserve">, or</w:t>
      </w:r>
      <w:r>
        <w:t xml:space="preserve"> </w:t>
      </w:r>
      <w:r>
        <w:rPr>
          <w:rStyle w:val="VerbatimChar"/>
        </w:rPr>
        <w:t xml:space="preserve">SetValue</w:t>
      </w:r>
      <w:r>
        <w:t xml:space="preserve">) are directly translated into real-time DOM manipulations via the</w:t>
      </w:r>
      <w:r>
        <w:t xml:space="preserve"> </w:t>
      </w:r>
      <w:r>
        <w:rPr>
          <w:rStyle w:val="VerbatimChar"/>
        </w:rPr>
        <w:t xml:space="preserve">syscall/js</w:t>
      </w:r>
      <w:r>
        <w:t xml:space="preserve"> </w:t>
      </w:r>
      <w:r>
        <w:t xml:space="preserve">API.</w:t>
      </w:r>
    </w:p>
    <w:p>
      <w:pPr>
        <w:pStyle w:val="BodyText"/>
      </w:pPr>
      <w:r>
        <w:t xml:space="preserve">This enables you to write highly interactive, Single-Page Applications (SPAs) entirely in VBScript or Server-Side JavaScript.</w:t>
      </w:r>
    </w:p>
    <w:bookmarkEnd w:id="474"/>
    <w:bookmarkStart w:id="475" w:name="compatibility"/>
    <w:p>
      <w:pPr>
        <w:pStyle w:val="Heading2"/>
      </w:pPr>
      <w:r>
        <w:t xml:space="preserve">Compatibility</w:t>
      </w:r>
    </w:p>
    <w:p>
      <w:pPr>
        <w:pStyle w:val="FirstParagraph"/>
      </w:pPr>
      <w:r>
        <w:t xml:space="preserve">The API of</w:t>
      </w:r>
      <w:r>
        <w:t xml:space="preserve"> </w:t>
      </w:r>
      <w:r>
        <w:rPr>
          <w:rStyle w:val="VerbatimChar"/>
        </w:rPr>
        <w:t xml:space="preserve">G3AXONLIVE</w:t>
      </w:r>
      <w:r>
        <w:t xml:space="preserve"> </w:t>
      </w:r>
      <w:r>
        <w:t xml:space="preserve">in WASM is</w:t>
      </w:r>
      <w:r>
        <w:t xml:space="preserve"> </w:t>
      </w:r>
      <w:r>
        <w:rPr>
          <w:b/>
          <w:bCs/>
        </w:rPr>
        <w:t xml:space="preserve">100% compatible</w:t>
      </w:r>
      <w:r>
        <w:t xml:space="preserve"> </w:t>
      </w:r>
      <w:r>
        <w:t xml:space="preserve">with the server-side version. Code written for the server will run seamlessly in the browser.</w:t>
      </w:r>
    </w:p>
    <w:p>
      <w:pPr>
        <w:pStyle w:val="BodyText"/>
      </w:pPr>
      <w:r>
        <w:t xml:space="preserve">However, in the WASM environment:</w:t>
      </w:r>
      <w:r>
        <w:t xml:space="preserve"> </w:t>
      </w:r>
      <w:r>
        <w:t xml:space="preserve">1.</w:t>
      </w:r>
      <w:r>
        <w:t xml:space="preserve"> </w:t>
      </w:r>
      <w:r>
        <w:rPr>
          <w:b/>
          <w:bCs/>
        </w:rPr>
        <w:t xml:space="preserve">Zero Network Latency</w:t>
      </w:r>
      <w:r>
        <w:t xml:space="preserve">: UI changes happen instantly in the same browser tick.</w:t>
      </w:r>
      <w:r>
        <w:t xml:space="preserve"> </w:t>
      </w:r>
      <w:r>
        <w:t xml:space="preserve">2.</w:t>
      </w:r>
      <w:r>
        <w:t xml:space="preserve"> </w:t>
      </w:r>
      <w:r>
        <w:rPr>
          <w:b/>
          <w:bCs/>
        </w:rPr>
        <w:t xml:space="preserve">In-Memory State</w:t>
      </w:r>
      <w:r>
        <w:t xml:space="preserve">: Component states and session variables are stored in the browser’s memory, ensuring blazing-fast reads and writes.</w:t>
      </w:r>
      <w:r>
        <w:t xml:space="preserve"> </w:t>
      </w:r>
      <w:r>
        <w:t xml:space="preserve">3.</w:t>
      </w:r>
      <w:r>
        <w:t xml:space="preserve"> </w:t>
      </w:r>
      <w:r>
        <w:rPr>
          <w:b/>
          <w:bCs/>
        </w:rPr>
        <w:t xml:space="preserve">True Event Driven</w:t>
      </w:r>
      <w:r>
        <w:t xml:space="preserve">: Methods like</w:t>
      </w:r>
      <w:r>
        <w:t xml:space="preserve"> </w:t>
      </w:r>
      <w:r>
        <w:rPr>
          <w:rStyle w:val="VerbatimChar"/>
        </w:rPr>
        <w:t xml:space="preserve">SetTimer</w:t>
      </w:r>
      <w:r>
        <w:t xml:space="preserve"> </w:t>
      </w:r>
      <w:r>
        <w:t xml:space="preserve">use native browser</w:t>
      </w:r>
      <w:r>
        <w:t xml:space="preserve"> </w:t>
      </w:r>
      <w:r>
        <w:rPr>
          <w:rStyle w:val="VerbatimChar"/>
        </w:rPr>
        <w:t xml:space="preserve">setTimeout</w:t>
      </w:r>
      <w:r>
        <w:t xml:space="preserve">, making the ASP engine yield to the browser’s event loop asynchronously.</w:t>
      </w:r>
    </w:p>
    <w:bookmarkEnd w:id="475"/>
    <w:bookmarkStart w:id="478" w:name="wasm-integration-architecture"/>
    <w:p>
      <w:pPr>
        <w:pStyle w:val="Heading2"/>
      </w:pPr>
      <w:r>
        <w:t xml:space="preserve">WASM Integration Architecture</w:t>
      </w:r>
    </w:p>
    <w:p>
      <w:pPr>
        <w:pStyle w:val="FirstParagraph"/>
      </w:pPr>
      <w:r>
        <w:t xml:space="preserve">To handle AxonLive events from the browser DOM into the WASM runtime, AxonASP exports the</w:t>
      </w:r>
      <w:r>
        <w:t xml:space="preserve"> </w:t>
      </w:r>
      <w:r>
        <w:rPr>
          <w:rStyle w:val="VerbatimChar"/>
        </w:rPr>
        <w:t xml:space="preserve">AxonASP.dispatchLiveEvent</w:t>
      </w:r>
      <w:r>
        <w:t xml:space="preserve"> </w:t>
      </w:r>
      <w:r>
        <w:t xml:space="preserve">function.</w:t>
      </w:r>
    </w:p>
    <w:bookmarkStart w:id="476" w:name="setting-up-the-js-shim"/>
    <w:p>
      <w:pPr>
        <w:pStyle w:val="Heading3"/>
      </w:pPr>
      <w:r>
        <w:t xml:space="preserve">Setting up the JS Shim</w:t>
      </w:r>
    </w:p>
    <w:p>
      <w:pPr>
        <w:pStyle w:val="FirstParagraph"/>
      </w:pPr>
      <w:r>
        <w:t xml:space="preserve">In your HTML page that hosts the WASM module, you need to map DOM events to the WASM engine.</w:t>
      </w:r>
    </w:p>
    <w:p>
      <w:pPr>
        <w:pStyle w:val="SourceCode"/>
      </w:pPr>
      <w:r>
        <w:rPr>
          <w:rStyle w:val="DataTypeTok"/>
        </w:rPr>
        <w:t xml:space="preserve">&lt;</w:t>
      </w:r>
      <w:r>
        <w:rPr>
          <w:rStyle w:val="KeywordTok"/>
        </w:rPr>
        <w:t xml:space="preserve">script</w:t>
      </w:r>
      <w:r>
        <w:rPr>
          <w:rStyle w:val="DataTypeTok"/>
        </w:rPr>
        <w:t xml:space="preserve">&gt;</w:t>
      </w:r>
      <w:r>
        <w:br/>
      </w:r>
      <w:r>
        <w:rPr>
          <w:rStyle w:val="NormalTok"/>
        </w:rPr>
        <w:t xml:space="preserve">    </w:t>
      </w:r>
      <w:r>
        <w:rPr>
          <w:rStyle w:val="CommentTok"/>
        </w:rPr>
        <w:t xml:space="preserve">// Global shim for AxonLive in WASM</w:t>
      </w:r>
      <w:r>
        <w:br/>
      </w:r>
      <w:r>
        <w:rPr>
          <w:rStyle w:val="NormalTok"/>
        </w:rPr>
        <w:t xml:space="preserve">    </w:t>
      </w:r>
      <w:r>
        <w:rPr>
          <w:rStyle w:val="BuiltInTok"/>
        </w:rPr>
        <w:t xml:space="preserve">window</w:t>
      </w:r>
      <w:r>
        <w:rPr>
          <w:rStyle w:val="OperatorTok"/>
        </w:rPr>
        <w:t xml:space="preserve">.</w:t>
      </w:r>
      <w:r>
        <w:rPr>
          <w:rStyle w:val="AttributeTok"/>
        </w:rPr>
        <w:t xml:space="preserve">G3AxonLive</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DataTypeTok"/>
        </w:rPr>
        <w:t xml:space="preserve">currentCode</w:t>
      </w:r>
      <w:r>
        <w:rPr>
          <w:rStyle w:val="OperatorTok"/>
        </w:rPr>
        <w:t xml:space="preserve">:</w:t>
      </w:r>
      <w:r>
        <w:rPr>
          <w:rStyle w:val="NormalTok"/>
        </w:rPr>
        <w:t xml:space="preserve"> </w:t>
      </w:r>
      <w:r>
        <w:rPr>
          <w:rStyle w:val="StringTok"/>
        </w:rPr>
        <w:t xml:space="preserve">""</w:t>
      </w:r>
      <w:r>
        <w:rPr>
          <w:rStyle w:val="OperatorTok"/>
        </w:rPr>
        <w:t xml:space="preserve">,</w:t>
      </w:r>
      <w:r>
        <w:rPr>
          <w:rStyle w:val="NormalTok"/>
        </w:rPr>
        <w:t xml:space="preserve"> </w:t>
      </w:r>
      <w:r>
        <w:rPr>
          <w:rStyle w:val="CommentTok"/>
        </w:rPr>
        <w:t xml:space="preserve">// The raw ASP code currently executing</w:t>
      </w:r>
      <w:r>
        <w:br/>
      </w:r>
      <w:r>
        <w:rPr>
          <w:rStyle w:val="NormalTok"/>
        </w:rPr>
        <w:t xml:space="preserve">        </w:t>
      </w:r>
      <w:r>
        <w:rPr>
          <w:rStyle w:val="DataTypeTok"/>
        </w:rPr>
        <w:t xml:space="preserve">dispatch</w:t>
      </w:r>
      <w:r>
        <w:rPr>
          <w:rStyle w:val="OperatorTok"/>
        </w:rPr>
        <w:t xml:space="preserve">:</w:t>
      </w:r>
      <w:r>
        <w:rPr>
          <w:rStyle w:val="NormalTok"/>
        </w:rPr>
        <w:t xml:space="preserve"> </w:t>
      </w:r>
      <w:r>
        <w:rPr>
          <w:rStyle w:val="KeywordTok"/>
        </w:rPr>
        <w:t xml:space="preserve">async</w:t>
      </w:r>
      <w:r>
        <w:rPr>
          <w:rStyle w:val="NormalTok"/>
        </w:rPr>
        <w:t xml:space="preserve"> </w:t>
      </w:r>
      <w:r>
        <w:rPr>
          <w:rStyle w:val="KeywordTok"/>
        </w:rPr>
        <w:t xml:space="preserve">function</w:t>
      </w:r>
      <w:r>
        <w:rPr>
          <w:rStyle w:val="NormalTok"/>
        </w:rPr>
        <w:t xml:space="preserve">(componentId</w:t>
      </w:r>
      <w:r>
        <w:rPr>
          <w:rStyle w:val="OperatorTok"/>
        </w:rPr>
        <w:t xml:space="preserve">,</w:t>
      </w:r>
      <w:r>
        <w:rPr>
          <w:rStyle w:val="NormalTok"/>
        </w:rPr>
        <w:t xml:space="preserve"> eventName</w:t>
      </w:r>
      <w:r>
        <w:rPr>
          <w:rStyle w:val="OperatorTok"/>
        </w:rPr>
        <w:t xml:space="preserve">,</w:t>
      </w:r>
      <w:r>
        <w:rPr>
          <w:rStyle w:val="NormalTok"/>
        </w:rPr>
        <w:t xml:space="preserve"> eventArgs </w:t>
      </w:r>
      <w:r>
        <w:rPr>
          <w:rStyle w:val="OperatorTok"/>
        </w:rPr>
        <w:t xml:space="preserve">=</w:t>
      </w:r>
      <w:r>
        <w:rPr>
          <w:rStyle w:val="NormalTok"/>
        </w:rPr>
        <w:t xml:space="preserve"> {}) {</w:t>
      </w:r>
      <w:r>
        <w:br/>
      </w:r>
      <w:r>
        <w:rPr>
          <w:rStyle w:val="NormalTok"/>
        </w:rPr>
        <w:t xml:space="preserve">            </w:t>
      </w:r>
      <w:r>
        <w:rPr>
          <w:rStyle w:val="ControlFlowTok"/>
        </w:rPr>
        <w:t xml:space="preserve">if</w:t>
      </w:r>
      <w:r>
        <w:rPr>
          <w:rStyle w:val="NormalTok"/>
        </w:rPr>
        <w:t xml:space="preserve"> (</w:t>
      </w:r>
      <w:r>
        <w:rPr>
          <w:rStyle w:val="KeywordTok"/>
        </w:rPr>
        <w:t xml:space="preserve">typeof</w:t>
      </w:r>
      <w:r>
        <w:rPr>
          <w:rStyle w:val="NormalTok"/>
        </w:rPr>
        <w:t xml:space="preserve"> AxonASP </w:t>
      </w:r>
      <w:r>
        <w:rPr>
          <w:rStyle w:val="OperatorTok"/>
        </w:rPr>
        <w:t xml:space="preserve">!==</w:t>
      </w:r>
      <w:r>
        <w:rPr>
          <w:rStyle w:val="NormalTok"/>
        </w:rPr>
        <w:t xml:space="preserve"> </w:t>
      </w:r>
      <w:r>
        <w:rPr>
          <w:rStyle w:val="StringTok"/>
        </w:rPr>
        <w:t xml:space="preserve">"undefined"</w:t>
      </w:r>
      <w:r>
        <w:rPr>
          <w:rStyle w:val="NormalTok"/>
        </w:rPr>
        <w:t xml:space="preserve">) {</w:t>
      </w:r>
      <w:r>
        <w:br/>
      </w:r>
      <w:r>
        <w:rPr>
          <w:rStyle w:val="NormalTok"/>
        </w:rPr>
        <w:t xml:space="preserve">                </w:t>
      </w:r>
      <w:r>
        <w:rPr>
          <w:rStyle w:val="ControlFlowTok"/>
        </w:rPr>
        <w:t xml:space="preserve">try</w:t>
      </w:r>
      <w:r>
        <w:rPr>
          <w:rStyle w:val="NormalTok"/>
        </w:rPr>
        <w:t xml:space="preserve"> {</w:t>
      </w:r>
      <w:r>
        <w:br/>
      </w:r>
      <w:r>
        <w:rPr>
          <w:rStyle w:val="NormalTok"/>
        </w:rPr>
        <w:t xml:space="preserve">                    </w:t>
      </w:r>
      <w:r>
        <w:rPr>
          <w:rStyle w:val="CommentTok"/>
        </w:rPr>
        <w:t xml:space="preserve">// Send the event directly to the WASM runtime</w:t>
      </w:r>
      <w:r>
        <w:br/>
      </w:r>
      <w:r>
        <w:rPr>
          <w:rStyle w:val="NormalTok"/>
        </w:rPr>
        <w:t xml:space="preserve">                    </w:t>
      </w:r>
      <w:r>
        <w:rPr>
          <w:rStyle w:val="ControlFlowTok"/>
        </w:rPr>
        <w:t xml:space="preserve">await</w:t>
      </w:r>
      <w:r>
        <w:rPr>
          <w:rStyle w:val="NormalTok"/>
        </w:rPr>
        <w:t xml:space="preserve"> AxonASP</w:t>
      </w:r>
      <w:r>
        <w:rPr>
          <w:rStyle w:val="OperatorTok"/>
        </w:rPr>
        <w:t xml:space="preserve">.</w:t>
      </w:r>
      <w:r>
        <w:rPr>
          <w:rStyle w:val="FunctionTok"/>
        </w:rPr>
        <w:t xml:space="preserve">dispatchLiveEvent</w:t>
      </w:r>
      <w:r>
        <w:rPr>
          <w:rStyle w:val="NormalTok"/>
        </w:rPr>
        <w:t xml:space="preserve">(</w:t>
      </w:r>
      <w:r>
        <w:rPr>
          <w:rStyle w:val="StringTok"/>
        </w:rPr>
        <w:t xml:space="preserve">"wasm-session"</w:t>
      </w:r>
      <w:r>
        <w:rPr>
          <w:rStyle w:val="OperatorTok"/>
        </w:rPr>
        <w:t xml:space="preserve">,</w:t>
      </w:r>
      <w:r>
        <w:rPr>
          <w:rStyle w:val="NormalTok"/>
        </w:rPr>
        <w:t xml:space="preserve"> componentId</w:t>
      </w:r>
      <w:r>
        <w:rPr>
          <w:rStyle w:val="OperatorTok"/>
        </w:rPr>
        <w:t xml:space="preserve">,</w:t>
      </w:r>
      <w:r>
        <w:rPr>
          <w:rStyle w:val="NormalTok"/>
        </w:rPr>
        <w:t xml:space="preserve"> eventName</w:t>
      </w:r>
      <w:r>
        <w:rPr>
          <w:rStyle w:val="OperatorTok"/>
        </w:rPr>
        <w:t xml:space="preserve">,</w:t>
      </w:r>
      <w:r>
        <w:rPr>
          <w:rStyle w:val="NormalTok"/>
        </w:rPr>
        <w:t xml:space="preserve"> </w:t>
      </w:r>
      <w:r>
        <w:rPr>
          <w:rStyle w:val="BuiltInTok"/>
        </w:rPr>
        <w:t xml:space="preserve">JSON</w:t>
      </w:r>
      <w:r>
        <w:rPr>
          <w:rStyle w:val="OperatorTok"/>
        </w:rPr>
        <w:t xml:space="preserve">.</w:t>
      </w:r>
      <w:r>
        <w:rPr>
          <w:rStyle w:val="FunctionTok"/>
        </w:rPr>
        <w:t xml:space="preserve">stringify</w:t>
      </w:r>
      <w:r>
        <w:rPr>
          <w:rStyle w:val="NormalTok"/>
        </w:rPr>
        <w:t xml:space="preserve">(eventArgs)</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currentCode</w:t>
      </w:r>
      <w:r>
        <w:rPr>
          <w:rStyle w:val="NormalTok"/>
        </w:rPr>
        <w:t xml:space="preserve">)</w:t>
      </w:r>
      <w:r>
        <w:rPr>
          <w:rStyle w:val="OperatorTok"/>
        </w:rPr>
        <w:t xml:space="preserve">;</w:t>
      </w:r>
      <w:r>
        <w:br/>
      </w:r>
      <w:r>
        <w:rPr>
          <w:rStyle w:val="NormalTok"/>
        </w:rPr>
        <w:t xml:space="preserve">                } </w:t>
      </w:r>
      <w:r>
        <w:rPr>
          <w:rStyle w:val="ControlFlowTok"/>
        </w:rPr>
        <w:t xml:space="preserve">catch</w:t>
      </w:r>
      <w:r>
        <w:rPr>
          <w:rStyle w:val="NormalTok"/>
        </w:rPr>
        <w:t xml:space="preserve"> (e) {</w:t>
      </w:r>
      <w:r>
        <w:br/>
      </w:r>
      <w:r>
        <w:rPr>
          <w:rStyle w:val="NormalTok"/>
        </w:rPr>
        <w:t xml:space="preserve">                    </w:t>
      </w:r>
      <w:r>
        <w:rPr>
          <w:rStyle w:val="BuiltInTok"/>
        </w:rPr>
        <w:t xml:space="preserve">console</w:t>
      </w:r>
      <w:r>
        <w:rPr>
          <w:rStyle w:val="OperatorTok"/>
        </w:rPr>
        <w:t xml:space="preserve">.</w:t>
      </w:r>
      <w:r>
        <w:rPr>
          <w:rStyle w:val="FunctionTok"/>
        </w:rPr>
        <w:t xml:space="preserve">error</w:t>
      </w:r>
      <w:r>
        <w:rPr>
          <w:rStyle w:val="NormalTok"/>
        </w:rPr>
        <w:t xml:space="preserve">(</w:t>
      </w:r>
      <w:r>
        <w:rPr>
          <w:rStyle w:val="StringTok"/>
        </w:rPr>
        <w:t xml:space="preserve">"AxonLive WASM Error:"</w:t>
      </w:r>
      <w:r>
        <w:rPr>
          <w:rStyle w:val="OperatorTok"/>
        </w:rPr>
        <w:t xml:space="preserve">,</w:t>
      </w:r>
      <w:r>
        <w:rPr>
          <w:rStyle w:val="NormalTok"/>
        </w:rPr>
        <w:t xml:space="preserve"> e)</w:t>
      </w:r>
      <w:r>
        <w:rPr>
          <w:rStyle w:val="OperatorTok"/>
        </w:rPr>
        <w:t xml:space="preserve">;</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rPr>
          <w:rStyle w:val="OperatorTok"/>
        </w:rPr>
        <w:t xml:space="preserve">;</w:t>
      </w:r>
      <w:r>
        <w:br/>
      </w:r>
      <w:r>
        <w:br/>
      </w:r>
      <w:r>
        <w:rPr>
          <w:rStyle w:val="NormalTok"/>
        </w:rPr>
        <w:t xml:space="preserve">    </w:t>
      </w:r>
      <w:r>
        <w:rPr>
          <w:rStyle w:val="CommentTok"/>
        </w:rPr>
        <w:t xml:space="preserve">// Helper to map HTML onclick="" attributes</w:t>
      </w:r>
      <w:r>
        <w:br/>
      </w:r>
      <w:r>
        <w:rPr>
          <w:rStyle w:val="NormalTok"/>
        </w:rPr>
        <w:t xml:space="preserve">    </w:t>
      </w:r>
      <w:r>
        <w:rPr>
          <w:rStyle w:val="BuiltInTok"/>
        </w:rPr>
        <w:t xml:space="preserve">window</w:t>
      </w:r>
      <w:r>
        <w:rPr>
          <w:rStyle w:val="OperatorTok"/>
        </w:rPr>
        <w:t xml:space="preserve">.</w:t>
      </w:r>
      <w:r>
        <w:rPr>
          <w:rStyle w:val="AttributeTok"/>
        </w:rPr>
        <w:t xml:space="preserve">dispatchLiveEvent</w:t>
      </w:r>
      <w:r>
        <w:rPr>
          <w:rStyle w:val="NormalTok"/>
        </w:rPr>
        <w:t xml:space="preserve"> </w:t>
      </w:r>
      <w:r>
        <w:rPr>
          <w:rStyle w:val="OperatorTok"/>
        </w:rPr>
        <w:t xml:space="preserve">=</w:t>
      </w:r>
      <w:r>
        <w:rPr>
          <w:rStyle w:val="NormalTok"/>
        </w:rPr>
        <w:t xml:space="preserve"> </w:t>
      </w:r>
      <w:r>
        <w:rPr>
          <w:rStyle w:val="KeywordTok"/>
        </w:rPr>
        <w:t xml:space="preserve">function</w:t>
      </w:r>
      <w:r>
        <w:rPr>
          <w:rStyle w:val="NormalTok"/>
        </w:rPr>
        <w:t xml:space="preserve">(componentId</w:t>
      </w:r>
      <w:r>
        <w:rPr>
          <w:rStyle w:val="OperatorTok"/>
        </w:rPr>
        <w:t xml:space="preserve">,</w:t>
      </w:r>
      <w:r>
        <w:rPr>
          <w:rStyle w:val="NormalTok"/>
        </w:rPr>
        <w:t xml:space="preserve"> eventName</w:t>
      </w:r>
      <w:r>
        <w:rPr>
          <w:rStyle w:val="OperatorTok"/>
        </w:rPr>
        <w:t xml:space="preserve">,</w:t>
      </w:r>
      <w:r>
        <w:rPr>
          <w:rStyle w:val="NormalTok"/>
        </w:rPr>
        <w:t xml:space="preserve"> eventArgs </w:t>
      </w:r>
      <w:r>
        <w:rPr>
          <w:rStyle w:val="OperatorTok"/>
        </w:rPr>
        <w:t xml:space="preserve">=</w:t>
      </w:r>
      <w:r>
        <w:rPr>
          <w:rStyle w:val="NormalTok"/>
        </w:rPr>
        <w:t xml:space="preserve"> {}) {</w:t>
      </w:r>
      <w:r>
        <w:br/>
      </w:r>
      <w:r>
        <w:rPr>
          <w:rStyle w:val="NormalTok"/>
        </w:rPr>
        <w:t xml:space="preserve">        </w:t>
      </w:r>
      <w:r>
        <w:rPr>
          <w:rStyle w:val="BuiltInTok"/>
        </w:rPr>
        <w:t xml:space="preserve">window</w:t>
      </w:r>
      <w:r>
        <w:rPr>
          <w:rStyle w:val="OperatorTok"/>
        </w:rPr>
        <w:t xml:space="preserve">.</w:t>
      </w:r>
      <w:r>
        <w:rPr>
          <w:rStyle w:val="AttributeTok"/>
        </w:rPr>
        <w:t xml:space="preserve">G3AxonLive</w:t>
      </w:r>
      <w:r>
        <w:rPr>
          <w:rStyle w:val="OperatorTok"/>
        </w:rPr>
        <w:t xml:space="preserve">.</w:t>
      </w:r>
      <w:r>
        <w:rPr>
          <w:rStyle w:val="FunctionTok"/>
        </w:rPr>
        <w:t xml:space="preserve">dispatch</w:t>
      </w:r>
      <w:r>
        <w:rPr>
          <w:rStyle w:val="NormalTok"/>
        </w:rPr>
        <w:t xml:space="preserve">(componentId</w:t>
      </w:r>
      <w:r>
        <w:rPr>
          <w:rStyle w:val="OperatorTok"/>
        </w:rPr>
        <w:t xml:space="preserve">,</w:t>
      </w:r>
      <w:r>
        <w:rPr>
          <w:rStyle w:val="NormalTok"/>
        </w:rPr>
        <w:t xml:space="preserve"> eventName</w:t>
      </w:r>
      <w:r>
        <w:rPr>
          <w:rStyle w:val="OperatorTok"/>
        </w:rPr>
        <w:t xml:space="preserve">,</w:t>
      </w:r>
      <w:r>
        <w:rPr>
          <w:rStyle w:val="NormalTok"/>
        </w:rPr>
        <w:t xml:space="preserve"> eventArgs)</w:t>
      </w:r>
      <w:r>
        <w:rPr>
          <w:rStyle w:val="OperatorTok"/>
        </w:rPr>
        <w:t xml:space="preserve">;</w:t>
      </w:r>
      <w:r>
        <w:br/>
      </w:r>
      <w:r>
        <w:rPr>
          <w:rStyle w:val="NormalTok"/>
        </w:rPr>
        <w:t xml:space="preserve">    }</w:t>
      </w:r>
      <w:r>
        <w:rPr>
          <w:rStyle w:val="OperatorTok"/>
        </w:rPr>
        <w:t xml:space="preserve">;</w:t>
      </w:r>
      <w:r>
        <w:br/>
      </w:r>
      <w:r>
        <w:rPr>
          <w:rStyle w:val="DataTypeTok"/>
        </w:rPr>
        <w:t xml:space="preserve">&lt;/</w:t>
      </w:r>
      <w:r>
        <w:rPr>
          <w:rStyle w:val="KeywordTok"/>
        </w:rPr>
        <w:t xml:space="preserve">script</w:t>
      </w:r>
      <w:r>
        <w:rPr>
          <w:rStyle w:val="DataTypeTok"/>
        </w:rPr>
        <w:t xml:space="preserve">&gt;</w:t>
      </w:r>
    </w:p>
    <w:bookmarkEnd w:id="476"/>
    <w:bookmarkStart w:id="477" w:name="example-a-reactive-counter-in-wasm"/>
    <w:p>
      <w:pPr>
        <w:pStyle w:val="Heading3"/>
      </w:pPr>
      <w:r>
        <w:t xml:space="preserve">Example: A Reactive Counter in WASM</w:t>
      </w:r>
    </w:p>
    <w:p>
      <w:pPr>
        <w:pStyle w:val="FirstParagraph"/>
      </w:pPr>
      <w:r>
        <w:t xml:space="preserve">This is a complete example of a reactive component running entirely in the browser using VBScript and WebAssembly.</w:t>
      </w:r>
    </w:p>
    <w:p>
      <w:pPr>
        <w:pStyle w:val="SourceCode"/>
      </w:pPr>
      <w:r>
        <w:rPr>
          <w:rStyle w:val="VerbatimChar"/>
        </w:rPr>
        <w:t xml:space="preserve">&lt;%</w:t>
      </w:r>
      <w:r>
        <w:br/>
      </w:r>
      <w:r>
        <w:rPr>
          <w:rStyle w:val="VerbatimChar"/>
        </w:rPr>
        <w:t xml:space="preserve">Dim Axon</w:t>
      </w:r>
      <w:r>
        <w:br/>
      </w:r>
      <w:r>
        <w:rPr>
          <w:rStyle w:val="VerbatimChar"/>
        </w:rPr>
        <w:t xml:space="preserve">Set Axon = Server.CreateObject("G3AXONLIVE")</w:t>
      </w:r>
      <w:r>
        <w:br/>
      </w:r>
      <w:r>
        <w:br/>
      </w:r>
      <w:r>
        <w:rPr>
          <w:rStyle w:val="VerbatimChar"/>
        </w:rPr>
        <w:t xml:space="preserve">If Axon.InitPage() Then</w:t>
      </w:r>
      <w:r>
        <w:br/>
      </w:r>
      <w:r>
        <w:rPr>
          <w:rStyle w:val="VerbatimChar"/>
        </w:rPr>
        <w:t xml:space="preserve">    ' We are handling an async WASM event!</w:t>
      </w:r>
      <w:r>
        <w:br/>
      </w:r>
      <w:r>
        <w:rPr>
          <w:rStyle w:val="VerbatimChar"/>
        </w:rPr>
        <w:t xml:space="preserve">    If Axon.EventName = "click" Then</w:t>
      </w:r>
      <w:r>
        <w:br/>
      </w:r>
      <w:r>
        <w:rPr>
          <w:rStyle w:val="VerbatimChar"/>
        </w:rPr>
        <w:t xml:space="preserve">        Dim currentCount</w:t>
      </w:r>
      <w:r>
        <w:br/>
      </w:r>
      <w:r>
        <w:rPr>
          <w:rStyle w:val="VerbatimChar"/>
        </w:rPr>
        <w:t xml:space="preserve">        currentCount = Axon.GetComponentProperty("btnCounter", "data-count")</w:t>
      </w:r>
      <w:r>
        <w:br/>
      </w:r>
      <w:r>
        <w:rPr>
          <w:rStyle w:val="VerbatimChar"/>
        </w:rPr>
        <w:t xml:space="preserve">        </w:t>
      </w:r>
      <w:r>
        <w:br/>
      </w:r>
      <w:r>
        <w:rPr>
          <w:rStyle w:val="VerbatimChar"/>
        </w:rPr>
        <w:t xml:space="preserve">        If IsEmpty(currentCount) Then currentCount = 0</w:t>
      </w:r>
      <w:r>
        <w:br/>
      </w:r>
      <w:r>
        <w:rPr>
          <w:rStyle w:val="VerbatimChar"/>
        </w:rPr>
        <w:t xml:space="preserve">        currentCount = CInt(currentCount) + 1</w:t>
      </w:r>
      <w:r>
        <w:br/>
      </w:r>
      <w:r>
        <w:rPr>
          <w:rStyle w:val="VerbatimChar"/>
        </w:rPr>
        <w:t xml:space="preserve">        </w:t>
      </w:r>
      <w:r>
        <w:br/>
      </w:r>
      <w:r>
        <w:rPr>
          <w:rStyle w:val="VerbatimChar"/>
        </w:rPr>
        <w:t xml:space="preserve">        ' Update internal state</w:t>
      </w:r>
      <w:r>
        <w:br/>
      </w:r>
      <w:r>
        <w:rPr>
          <w:rStyle w:val="VerbatimChar"/>
        </w:rPr>
        <w:t xml:space="preserve">        Axon.SetComponentProperty "btnCounter", "data-count", currentCount</w:t>
      </w:r>
      <w:r>
        <w:br/>
      </w:r>
      <w:r>
        <w:rPr>
          <w:rStyle w:val="VerbatimChar"/>
        </w:rPr>
        <w:t xml:space="preserve">        </w:t>
      </w:r>
      <w:r>
        <w:br/>
      </w:r>
      <w:r>
        <w:rPr>
          <w:rStyle w:val="VerbatimChar"/>
        </w:rPr>
        <w:t xml:space="preserve">        ' Directly manipulate the DOM via WASM syscall/js!</w:t>
      </w:r>
      <w:r>
        <w:br/>
      </w:r>
      <w:r>
        <w:rPr>
          <w:rStyle w:val="VerbatimChar"/>
        </w:rPr>
        <w:t xml:space="preserve">        Axon.GetComponent("btnCounter").SetStyle "background", "#3366cc"</w:t>
      </w:r>
      <w:r>
        <w:br/>
      </w:r>
      <w:r>
        <w:rPr>
          <w:rStyle w:val="VerbatimChar"/>
        </w:rPr>
        <w:t xml:space="preserve">        Axon.GetComponent("btnCounter").SetStyle "color", "white"</w:t>
      </w:r>
      <w:r>
        <w:br/>
      </w:r>
      <w:r>
        <w:rPr>
          <w:rStyle w:val="VerbatimChar"/>
        </w:rPr>
        <w:t xml:space="preserve">        Axon.GetComponent("btnCounter").SetValue "Clicked " &amp; currentCount &amp; " times!"</w:t>
      </w:r>
      <w:r>
        <w:br/>
      </w:r>
      <w:r>
        <w:rPr>
          <w:rStyle w:val="VerbatimChar"/>
        </w:rPr>
        <w:t xml:space="preserve">    End If</w:t>
      </w:r>
      <w:r>
        <w:br/>
      </w:r>
      <w:r>
        <w:rPr>
          <w:rStyle w:val="VerbatimChar"/>
        </w:rPr>
        <w:t xml:space="preserve">    </w:t>
      </w:r>
      <w:r>
        <w:br/>
      </w:r>
      <w:r>
        <w:rPr>
          <w:rStyle w:val="VerbatimChar"/>
        </w:rPr>
        <w:t xml:space="preserve">    Axon.EndAsyncResponse()</w:t>
      </w:r>
      <w:r>
        <w:br/>
      </w:r>
      <w:r>
        <w:rPr>
          <w:rStyle w:val="VerbatimChar"/>
        </w:rPr>
        <w:t xml:space="preserve">End If</w:t>
      </w:r>
      <w:r>
        <w:br/>
      </w:r>
      <w:r>
        <w:br/>
      </w:r>
      <w:r>
        <w:rPr>
          <w:rStyle w:val="VerbatimChar"/>
        </w:rPr>
        <w:t xml:space="preserve">' Initial Page Render</w:t>
      </w:r>
      <w:r>
        <w:br/>
      </w:r>
      <w:r>
        <w:rPr>
          <w:rStyle w:val="VerbatimChar"/>
        </w:rPr>
        <w:t xml:space="preserve">Response.Write "&lt;h1&gt;WASM Reactive Counter&lt;/h1&gt;"</w:t>
      </w:r>
      <w:r>
        <w:br/>
      </w:r>
      <w:r>
        <w:rPr>
          <w:rStyle w:val="VerbatimChar"/>
        </w:rPr>
        <w:t xml:space="preserve">Response.Write "&lt;button id='btnCounter' onclick='dispatchLiveEvent(""btnCounter"", ""click"")'&gt;Click Me&lt;/button&gt;"</w:t>
      </w:r>
      <w:r>
        <w:br/>
      </w:r>
      <w:r>
        <w:rPr>
          <w:rStyle w:val="VerbatimChar"/>
        </w:rPr>
        <w:t xml:space="preserve">%&gt;</w:t>
      </w:r>
    </w:p>
    <w:bookmarkEnd w:id="477"/>
    <w:bookmarkEnd w:id="478"/>
    <w:bookmarkStart w:id="479" w:name="supported-methods"/>
    <w:p>
      <w:pPr>
        <w:pStyle w:val="Heading2"/>
      </w:pPr>
      <w:r>
        <w:t xml:space="preserve">Supported Methods</w:t>
      </w:r>
    </w:p>
    <w:p>
      <w:pPr>
        <w:pStyle w:val="FirstParagraph"/>
      </w:pPr>
      <w:r>
        <w:t xml:space="preserve">All component manipulation methods are fully supported in WASM and immediately applied to the browser’s DOM element matching the</w:t>
      </w:r>
      <w:r>
        <w:t xml:space="preserve"> </w:t>
      </w:r>
      <w:r>
        <w:rPr>
          <w:rStyle w:val="VerbatimChar"/>
        </w:rPr>
        <w:t xml:space="preserve">ComponentID</w:t>
      </w:r>
      <w:r>
        <w:t xml:space="preserve">:</w:t>
      </w:r>
    </w:p>
    <w:p>
      <w:pPr>
        <w:pStyle w:val="Compact"/>
        <w:numPr>
          <w:ilvl w:val="0"/>
          <w:numId w:val="1153"/>
        </w:numPr>
      </w:pPr>
      <w:r>
        <w:rPr>
          <w:rStyle w:val="VerbatimChar"/>
        </w:rPr>
        <w:t xml:space="preserve">SetStyle(property, value)</w:t>
      </w:r>
    </w:p>
    <w:p>
      <w:pPr>
        <w:pStyle w:val="Compact"/>
        <w:numPr>
          <w:ilvl w:val="0"/>
          <w:numId w:val="1153"/>
        </w:numPr>
      </w:pPr>
      <w:r>
        <w:rPr>
          <w:rStyle w:val="VerbatimChar"/>
        </w:rPr>
        <w:t xml:space="preserve">AddClass(className)</w:t>
      </w:r>
    </w:p>
    <w:p>
      <w:pPr>
        <w:pStyle w:val="Compact"/>
        <w:numPr>
          <w:ilvl w:val="0"/>
          <w:numId w:val="1153"/>
        </w:numPr>
      </w:pPr>
      <w:r>
        <w:rPr>
          <w:rStyle w:val="VerbatimChar"/>
        </w:rPr>
        <w:t xml:space="preserve">RemoveClass(className)</w:t>
      </w:r>
    </w:p>
    <w:p>
      <w:pPr>
        <w:pStyle w:val="Compact"/>
        <w:numPr>
          <w:ilvl w:val="0"/>
          <w:numId w:val="1153"/>
        </w:numPr>
      </w:pPr>
      <w:r>
        <w:rPr>
          <w:rStyle w:val="VerbatimChar"/>
        </w:rPr>
        <w:t xml:space="preserve">SetAttribute(attribute, value)</w:t>
      </w:r>
    </w:p>
    <w:p>
      <w:pPr>
        <w:pStyle w:val="Compact"/>
        <w:numPr>
          <w:ilvl w:val="0"/>
          <w:numId w:val="1153"/>
        </w:numPr>
      </w:pPr>
      <w:r>
        <w:rPr>
          <w:rStyle w:val="VerbatimChar"/>
        </w:rPr>
        <w:t xml:space="preserve">RemoveAttribute(attribute)</w:t>
      </w:r>
    </w:p>
    <w:p>
      <w:pPr>
        <w:pStyle w:val="Compact"/>
        <w:numPr>
          <w:ilvl w:val="0"/>
          <w:numId w:val="1153"/>
        </w:numPr>
      </w:pPr>
      <w:r>
        <w:rPr>
          <w:rStyle w:val="VerbatimChar"/>
        </w:rPr>
        <w:t xml:space="preserve">SetValue(value)</w:t>
      </w:r>
      <w:r>
        <w:t xml:space="preserve"> </w:t>
      </w:r>
      <w:r>
        <w:t xml:space="preserve">-&gt; Updates</w:t>
      </w:r>
      <w:r>
        <w:t xml:space="preserve"> </w:t>
      </w:r>
      <w:r>
        <w:rPr>
          <w:rStyle w:val="VerbatimChar"/>
        </w:rPr>
        <w:t xml:space="preserve">innerHTML</w:t>
      </w:r>
      <w:r>
        <w:t xml:space="preserve"> </w:t>
      </w:r>
      <w:r>
        <w:t xml:space="preserve">or input</w:t>
      </w:r>
      <w:r>
        <w:t xml:space="preserve"> </w:t>
      </w:r>
      <w:r>
        <w:rPr>
          <w:rStyle w:val="VerbatimChar"/>
        </w:rPr>
        <w:t xml:space="preserve">value</w:t>
      </w:r>
      <w:r>
        <w:t xml:space="preserve">.</w:t>
      </w:r>
    </w:p>
    <w:p>
      <w:pPr>
        <w:pStyle w:val="Compact"/>
        <w:numPr>
          <w:ilvl w:val="0"/>
          <w:numId w:val="1153"/>
        </w:numPr>
      </w:pPr>
      <w:r>
        <w:rPr>
          <w:rStyle w:val="VerbatimChar"/>
        </w:rPr>
        <w:t xml:space="preserve">AddTitle(title)</w:t>
      </w:r>
    </w:p>
    <w:p>
      <w:pPr>
        <w:pStyle w:val="Compact"/>
        <w:numPr>
          <w:ilvl w:val="0"/>
          <w:numId w:val="1153"/>
        </w:numPr>
      </w:pPr>
      <w:r>
        <w:rPr>
          <w:rStyle w:val="VerbatimChar"/>
        </w:rPr>
        <w:t xml:space="preserve">RemoveTitle()</w:t>
      </w:r>
    </w:p>
    <w:bookmarkEnd w:id="479"/>
    <w:bookmarkStart w:id="480" w:name="considerations"/>
    <w:p>
      <w:pPr>
        <w:pStyle w:val="Heading2"/>
      </w:pPr>
      <w:r>
        <w:t xml:space="preserve">Considerations</w:t>
      </w:r>
    </w:p>
    <w:p>
      <w:pPr>
        <w:pStyle w:val="Compact"/>
        <w:numPr>
          <w:ilvl w:val="0"/>
          <w:numId w:val="1154"/>
        </w:numPr>
      </w:pPr>
      <w:r>
        <w:rPr>
          <w:b/>
          <w:bCs/>
        </w:rPr>
        <w:t xml:space="preserve">Source Code Resolution</w:t>
      </w:r>
      <w:r>
        <w:t xml:space="preserve">: Unlike a server, WASM does not have a physical file system. To re-compile the ASP script upon an event, the JS shim must pass the original ASP source code to</w:t>
      </w:r>
      <w:r>
        <w:t xml:space="preserve"> </w:t>
      </w:r>
      <w:r>
        <w:rPr>
          <w:rStyle w:val="VerbatimChar"/>
        </w:rPr>
        <w:t xml:space="preserve">dispatchLiveEvent</w:t>
      </w:r>
      <w:r>
        <w:t xml:space="preserve">.</w:t>
      </w:r>
    </w:p>
    <w:p>
      <w:pPr>
        <w:pStyle w:val="Compact"/>
        <w:numPr>
          <w:ilvl w:val="0"/>
          <w:numId w:val="1154"/>
        </w:numPr>
      </w:pPr>
      <w:r>
        <w:rPr>
          <w:b/>
          <w:bCs/>
        </w:rPr>
        <w:t xml:space="preserve">Async Execution</w:t>
      </w:r>
      <w:r>
        <w:t xml:space="preserve">: The</w:t>
      </w:r>
      <w:r>
        <w:t xml:space="preserve"> </w:t>
      </w:r>
      <w:r>
        <w:rPr>
          <w:rStyle w:val="VerbatimChar"/>
        </w:rPr>
        <w:t xml:space="preserve">execute</w:t>
      </w:r>
      <w:r>
        <w:t xml:space="preserve"> </w:t>
      </w:r>
      <w:r>
        <w:t xml:space="preserve">and</w:t>
      </w:r>
      <w:r>
        <w:t xml:space="preserve"> </w:t>
      </w:r>
      <w:r>
        <w:rPr>
          <w:rStyle w:val="VerbatimChar"/>
        </w:rPr>
        <w:t xml:space="preserve">dispatchLiveEvent</w:t>
      </w:r>
      <w:r>
        <w:t xml:space="preserve"> </w:t>
      </w:r>
      <w:r>
        <w:t xml:space="preserve">JS exports return</w:t>
      </w:r>
      <w:r>
        <w:t xml:space="preserve"> </w:t>
      </w:r>
      <w:r>
        <w:rPr>
          <w:b/>
          <w:bCs/>
        </w:rPr>
        <w:t xml:space="preserve">Promises</w:t>
      </w:r>
      <w:r>
        <w:t xml:space="preserve">. You must</w:t>
      </w:r>
      <w:r>
        <w:t xml:space="preserve"> </w:t>
      </w:r>
      <w:r>
        <w:rPr>
          <w:rStyle w:val="VerbatimChar"/>
        </w:rPr>
        <w:t xml:space="preserve">await</w:t>
      </w:r>
      <w:r>
        <w:t xml:space="preserve"> </w:t>
      </w:r>
      <w:r>
        <w:t xml:space="preserve">them if you are managing UI loading states.</w:t>
      </w:r>
    </w:p>
    <w:bookmarkEnd w:id="480"/>
    <w:bookmarkEnd w:id="481"/>
    <w:bookmarkStart w:id="482" w:name="asp-foundations"/>
    <w:p>
      <w:pPr>
        <w:pStyle w:val="Heading1"/>
      </w:pPr>
      <w:r>
        <w:t xml:space="preserve">ASP Foundations</w:t>
      </w:r>
    </w:p>
    <w:bookmarkEnd w:id="482"/>
    <w:bookmarkStart w:id="490" w:name="global.asa"/>
    <w:p>
      <w:pPr>
        <w:pStyle w:val="Heading1"/>
      </w:pPr>
      <w:r>
        <w:t xml:space="preserve">global.asa</w:t>
      </w:r>
    </w:p>
    <w:bookmarkStart w:id="483" w:name="overview-27"/>
    <w:p>
      <w:pPr>
        <w:pStyle w:val="Heading2"/>
      </w:pPr>
      <w:r>
        <w:t xml:space="preserve">Overview</w:t>
      </w:r>
    </w:p>
    <w:p>
      <w:pPr>
        <w:pStyle w:val="FirstParagraph"/>
      </w:pPr>
      <w:r>
        <w:rPr>
          <w:rStyle w:val="VerbatimChar"/>
        </w:rPr>
        <w:t xml:space="preserve">global.asa</w:t>
      </w:r>
      <w:r>
        <w:t xml:space="preserve"> </w:t>
      </w:r>
      <w:r>
        <w:t xml:space="preserve">is the application-level script file that defines Application and Session lifecycle event handlers and declares static objects for the</w:t>
      </w:r>
      <w:r>
        <w:t xml:space="preserve"> </w:t>
      </w:r>
      <w:r>
        <w:rPr>
          <w:rStyle w:val="VerbatimChar"/>
        </w:rPr>
        <w:t xml:space="preserve">Application</w:t>
      </w:r>
      <w:r>
        <w:t xml:space="preserve"> </w:t>
      </w:r>
      <w:r>
        <w:t xml:space="preserve">and</w:t>
      </w:r>
      <w:r>
        <w:t xml:space="preserve"> </w:t>
      </w:r>
      <w:r>
        <w:rPr>
          <w:rStyle w:val="VerbatimChar"/>
        </w:rPr>
        <w:t xml:space="preserve">Session</w:t>
      </w:r>
      <w:r>
        <w:t xml:space="preserve"> </w:t>
      </w:r>
      <w:r>
        <w:t xml:space="preserve">scopes. AxonASP compiles</w:t>
      </w:r>
      <w:r>
        <w:t xml:space="preserve"> </w:t>
      </w:r>
      <w:r>
        <w:rPr>
          <w:rStyle w:val="VerbatimChar"/>
        </w:rPr>
        <w:t xml:space="preserve">global.asa</w:t>
      </w:r>
      <w:r>
        <w:t xml:space="preserve"> </w:t>
      </w:r>
      <w:r>
        <w:t xml:space="preserve">once at startup and runs the appropriate handlers when application or session events fire.</w:t>
      </w:r>
    </w:p>
    <w:bookmarkEnd w:id="483"/>
    <w:bookmarkStart w:id="484" w:name="file-location-1"/>
    <w:p>
      <w:pPr>
        <w:pStyle w:val="Heading2"/>
      </w:pPr>
      <w:r>
        <w:t xml:space="preserve">File Location</w:t>
      </w:r>
    </w:p>
    <w:p>
      <w:pPr>
        <w:pStyle w:val="FirstParagraph"/>
      </w:pPr>
      <w:r>
        <w:t xml:space="preserve">Place</w:t>
      </w:r>
      <w:r>
        <w:t xml:space="preserve"> </w:t>
      </w:r>
      <w:r>
        <w:rPr>
          <w:rStyle w:val="VerbatimChar"/>
        </w:rPr>
        <w:t xml:space="preserve">global.asa</w:t>
      </w:r>
      <w:r>
        <w:t xml:space="preserve"> </w:t>
      </w:r>
      <w:r>
        <w:t xml:space="preserve">at the root of the configured web root directory, alongside your default</w:t>
      </w:r>
      <w:r>
        <w:t xml:space="preserve"> </w:t>
      </w:r>
      <w:r>
        <w:rPr>
          <w:rStyle w:val="VerbatimChar"/>
        </w:rPr>
        <w:t xml:space="preserve">default.asp</w:t>
      </w:r>
      <w:r>
        <w:t xml:space="preserve"> </w:t>
      </w:r>
      <w:r>
        <w:t xml:space="preserve">or</w:t>
      </w:r>
      <w:r>
        <w:t xml:space="preserve"> </w:t>
      </w:r>
      <w:r>
        <w:rPr>
          <w:rStyle w:val="VerbatimChar"/>
        </w:rPr>
        <w:t xml:space="preserve">index.asp</w:t>
      </w:r>
      <w:r>
        <w:t xml:space="preserve"> </w:t>
      </w:r>
      <w:r>
        <w:t xml:space="preserve">file. Both the HTTP server and the FastCGI server look for the file in the configured web root.</w:t>
      </w:r>
    </w:p>
    <w:p>
      <w:pPr>
        <w:pStyle w:val="BodyText"/>
      </w:pPr>
      <w:r>
        <w:t xml:space="preserve">When using the CLI (</w:t>
      </w:r>
      <w:r>
        <w:rPr>
          <w:rStyle w:val="VerbatimChar"/>
        </w:rPr>
        <w:t xml:space="preserve">axonasp-cli.exe</w:t>
      </w:r>
      <w:r>
        <w:t xml:space="preserve">),</w:t>
      </w:r>
      <w:r>
        <w:t xml:space="preserve"> </w:t>
      </w:r>
      <w:r>
        <w:rPr>
          <w:rStyle w:val="VerbatimChar"/>
        </w:rPr>
        <w:t xml:space="preserve">global.asa</w:t>
      </w:r>
      <w:r>
        <w:t xml:space="preserve"> </w:t>
      </w:r>
      <w:r>
        <w:t xml:space="preserve">must be placed in the</w:t>
      </w:r>
      <w:r>
        <w:t xml:space="preserve"> </w:t>
      </w:r>
      <w:r>
        <w:rPr>
          <w:b/>
          <w:bCs/>
        </w:rPr>
        <w:t xml:space="preserve">same directory as the CLI executable</w:t>
      </w:r>
      <w:r>
        <w:t xml:space="preserve">. The CLI does not use the web root path for this file.</w:t>
      </w:r>
    </w:p>
    <w:bookmarkEnd w:id="484"/>
    <w:bookmarkStart w:id="485" w:name="supported-event-handlers"/>
    <w:p>
      <w:pPr>
        <w:pStyle w:val="Heading2"/>
      </w:pPr>
      <w:r>
        <w:t xml:space="preserve">Supported Event Handlers</w:t>
      </w:r>
    </w:p>
    <w:p>
      <w:pPr>
        <w:pStyle w:val="FirstParagraph"/>
      </w:pPr>
      <w:r>
        <w:t xml:space="preserve">Declare standard Sub procedures using the following exact names inside a</w:t>
      </w:r>
      <w:r>
        <w:t xml:space="preserve"> </w:t>
      </w:r>
      <w:r>
        <w:rPr>
          <w:rStyle w:val="VerbatimChar"/>
        </w:rPr>
        <w:t xml:space="preserve">&lt;SCRIPT LANGUAGE="VBScript" RUNAT="Server"&gt;</w:t>
      </w:r>
      <w:r>
        <w:t xml:space="preserve"> </w:t>
      </w:r>
      <w:r>
        <w:t xml:space="preserve">block:</w:t>
      </w:r>
    </w:p>
    <w:tbl>
      <w:tblPr>
        <w:tblStyle w:val="Table"/>
        <w:tblW w:type="pct" w:w="5000"/>
        <w:tblLayout w:type="fixed"/>
        <w:tblLook w:firstRow="1" w:lastRow="0" w:firstColumn="0" w:lastColumn="0" w:noHBand="0" w:noVBand="0" w:val="0020"/>
      </w:tblPr>
      <w:tblGrid>
        <w:gridCol w:w="2917"/>
        <w:gridCol w:w="5002"/>
      </w:tblGrid>
      <w:tr>
        <w:trPr>
          <w:tblHeader w:val="on"/>
        </w:trPr>
        <w:tc>
          <w:tcPr/>
          <w:p>
            <w:pPr>
              <w:pStyle w:val="Compact"/>
            </w:pPr>
            <w:r>
              <w:t xml:space="preserve">Event</w:t>
            </w:r>
          </w:p>
        </w:tc>
        <w:tc>
          <w:tcPr/>
          <w:p>
            <w:pPr>
              <w:pStyle w:val="Compact"/>
            </w:pPr>
            <w:r>
              <w:t xml:space="preserve">Fired When</w:t>
            </w:r>
          </w:p>
        </w:tc>
      </w:tr>
      <w:tr>
        <w:tc>
          <w:tcPr/>
          <w:p>
            <w:pPr>
              <w:pStyle w:val="Compact"/>
            </w:pPr>
            <w:r>
              <w:t xml:space="preserve">Application_OnStart</w:t>
            </w:r>
          </w:p>
        </w:tc>
        <w:tc>
          <w:tcPr/>
          <w:p>
            <w:pPr>
              <w:pStyle w:val="Compact"/>
            </w:pPr>
            <w:r>
              <w:t xml:space="preserve">The application starts on the first request after server startup</w:t>
            </w:r>
          </w:p>
        </w:tc>
      </w:tr>
      <w:tr>
        <w:tc>
          <w:tcPr/>
          <w:p>
            <w:pPr>
              <w:pStyle w:val="Compact"/>
            </w:pPr>
            <w:r>
              <w:t xml:space="preserve">Application_OnEnd</w:t>
            </w:r>
          </w:p>
        </w:tc>
        <w:tc>
          <w:tcPr/>
          <w:p>
            <w:pPr>
              <w:pStyle w:val="Compact"/>
            </w:pPr>
            <w:r>
              <w:t xml:space="preserve">The application ends on clean server shutdown</w:t>
            </w:r>
          </w:p>
        </w:tc>
      </w:tr>
      <w:tr>
        <w:tc>
          <w:tcPr/>
          <w:p>
            <w:pPr>
              <w:pStyle w:val="Compact"/>
            </w:pPr>
            <w:r>
              <w:t xml:space="preserve">Session_OnStart</w:t>
            </w:r>
          </w:p>
        </w:tc>
        <w:tc>
          <w:tcPr/>
          <w:p>
            <w:pPr>
              <w:pStyle w:val="Compact"/>
            </w:pPr>
            <w:r>
              <w:t xml:space="preserve">A new session is created for a client</w:t>
            </w:r>
          </w:p>
        </w:tc>
      </w:tr>
      <w:tr>
        <w:tc>
          <w:tcPr/>
          <w:p>
            <w:pPr>
              <w:pStyle w:val="Compact"/>
            </w:pPr>
            <w:r>
              <w:t xml:space="preserve">Session_OnEnd</w:t>
            </w:r>
          </w:p>
        </w:tc>
        <w:tc>
          <w:tcPr/>
          <w:p>
            <w:pPr>
              <w:pStyle w:val="Compact"/>
            </w:pPr>
            <w:r>
              <w:t xml:space="preserve">A session expires or is abandoned</w:t>
            </w:r>
          </w:p>
        </w:tc>
      </w:tr>
    </w:tbl>
    <w:p>
      <w:pPr>
        <w:pStyle w:val="SourceCode"/>
      </w:pPr>
      <w:r>
        <w:rPr>
          <w:rStyle w:val="KeywordTok"/>
        </w:rPr>
        <w:t xml:space="preserve">&lt;SCRIPT LANGUAGE="VBScript" RUNAT="Server"&gt;</w:t>
      </w:r>
      <w:r>
        <w:br/>
      </w:r>
      <w:r>
        <w:br/>
      </w:r>
      <w:r>
        <w:rPr>
          <w:rStyle w:val="KeywordTok"/>
        </w:rPr>
        <w:t xml:space="preserve">Sub</w:t>
      </w:r>
      <w:r>
        <w:rPr>
          <w:rStyle w:val="NormalTok"/>
        </w:rPr>
        <w:t xml:space="preserve"> Application_OnStart</w:t>
      </w:r>
      <w:r>
        <w:rPr>
          <w:rStyle w:val="OtherTok"/>
        </w:rPr>
        <w:t xml:space="preserve">()</w:t>
      </w:r>
      <w:r>
        <w:br/>
      </w:r>
      <w:r>
        <w:rPr>
          <w:rStyle w:val="NormalTok"/>
        </w:rPr>
        <w:t xml:space="preserve">    Application</w:t>
      </w:r>
      <w:r>
        <w:rPr>
          <w:rStyle w:val="OtherTok"/>
        </w:rPr>
        <w:t xml:space="preserve">(</w:t>
      </w:r>
      <w:r>
        <w:rPr>
          <w:rStyle w:val="StringTok"/>
        </w:rPr>
        <w:t xml:space="preserve">"SiteTitle"</w:t>
      </w:r>
      <w:r>
        <w:rPr>
          <w:rStyle w:val="OtherTok"/>
        </w:rPr>
        <w:t xml:space="preserve">)</w:t>
      </w:r>
      <w:r>
        <w:rPr>
          <w:rStyle w:val="NormalTok"/>
        </w:rPr>
        <w:t xml:space="preserve"> = </w:t>
      </w:r>
      <w:r>
        <w:rPr>
          <w:rStyle w:val="StringTok"/>
        </w:rPr>
        <w:t xml:space="preserve">"My AxonASP Site"</w:t>
      </w:r>
      <w:r>
        <w:br/>
      </w:r>
      <w:r>
        <w:rPr>
          <w:rStyle w:val="NormalTok"/>
        </w:rPr>
        <w:t xml:space="preserve">    Application</w:t>
      </w:r>
      <w:r>
        <w:rPr>
          <w:rStyle w:val="OtherTok"/>
        </w:rPr>
        <w:t xml:space="preserve">(</w:t>
      </w:r>
      <w:r>
        <w:rPr>
          <w:rStyle w:val="StringTok"/>
        </w:rPr>
        <w:t xml:space="preserve">"StartTime"</w:t>
      </w:r>
      <w:r>
        <w:rPr>
          <w:rStyle w:val="OtherTok"/>
        </w:rPr>
        <w:t xml:space="preserve">)</w:t>
      </w:r>
      <w:r>
        <w:rPr>
          <w:rStyle w:val="NormalTok"/>
        </w:rPr>
        <w:t xml:space="preserve"> = </w:t>
      </w:r>
      <w:r>
        <w:rPr>
          <w:rStyle w:val="FunctionTok"/>
        </w:rPr>
        <w:t xml:space="preserve">Now</w:t>
      </w:r>
      <w:r>
        <w:rPr>
          <w:rStyle w:val="OtherTok"/>
        </w:rPr>
        <w:t xml:space="preserve">()</w:t>
      </w:r>
      <w:r>
        <w:br/>
      </w:r>
      <w:r>
        <w:rPr>
          <w:rStyle w:val="KeywordTok"/>
        </w:rPr>
        <w:t xml:space="preserve">End Sub</w:t>
      </w:r>
      <w:r>
        <w:br/>
      </w:r>
      <w:r>
        <w:br/>
      </w:r>
      <w:r>
        <w:rPr>
          <w:rStyle w:val="KeywordTok"/>
        </w:rPr>
        <w:t xml:space="preserve">Sub</w:t>
      </w:r>
      <w:r>
        <w:rPr>
          <w:rStyle w:val="NormalTok"/>
        </w:rPr>
        <w:t xml:space="preserve"> Application_OnEnd</w:t>
      </w:r>
      <w:r>
        <w:rPr>
          <w:rStyle w:val="OtherTok"/>
        </w:rPr>
        <w:t xml:space="preserve">()</w:t>
      </w:r>
      <w:r>
        <w:br/>
      </w:r>
      <w:r>
        <w:rPr>
          <w:rStyle w:val="NormalTok"/>
        </w:rPr>
        <w:t xml:space="preserve">    </w:t>
      </w:r>
      <w:r>
        <w:rPr>
          <w:rStyle w:val="CommentTok"/>
        </w:rPr>
        <w:t xml:space="preserve">' Clean up application-level resources</w:t>
      </w:r>
      <w:r>
        <w:br/>
      </w:r>
      <w:r>
        <w:rPr>
          <w:rStyle w:val="KeywordTok"/>
        </w:rPr>
        <w:t xml:space="preserve">End Sub</w:t>
      </w:r>
      <w:r>
        <w:br/>
      </w:r>
      <w:r>
        <w:br/>
      </w:r>
      <w:r>
        <w:rPr>
          <w:rStyle w:val="KeywordTok"/>
        </w:rPr>
        <w:t xml:space="preserve">Sub</w:t>
      </w:r>
      <w:r>
        <w:rPr>
          <w:rStyle w:val="NormalTok"/>
        </w:rPr>
        <w:t xml:space="preserve"> Session_OnStart</w:t>
      </w:r>
      <w:r>
        <w:rPr>
          <w:rStyle w:val="OtherTok"/>
        </w:rPr>
        <w:t xml:space="preserve">()</w:t>
      </w:r>
      <w:r>
        <w:br/>
      </w:r>
      <w:r>
        <w:rPr>
          <w:rStyle w:val="NormalTok"/>
        </w:rPr>
        <w:t xml:space="preserve">    </w:t>
      </w:r>
      <w:r>
        <w:rPr>
          <w:rStyle w:val="FunctionTok"/>
        </w:rPr>
        <w:t xml:space="preserve">Session</w:t>
      </w:r>
      <w:r>
        <w:rPr>
          <w:rStyle w:val="OtherTok"/>
        </w:rPr>
        <w:t xml:space="preserve">(</w:t>
      </w:r>
      <w:r>
        <w:rPr>
          <w:rStyle w:val="StringTok"/>
        </w:rPr>
        <w:t xml:space="preserve">"CreatedAt"</w:t>
      </w:r>
      <w:r>
        <w:rPr>
          <w:rStyle w:val="OtherTok"/>
        </w:rPr>
        <w:t xml:space="preserve">)</w:t>
      </w:r>
      <w:r>
        <w:rPr>
          <w:rStyle w:val="NormalTok"/>
        </w:rPr>
        <w:t xml:space="preserve"> = </w:t>
      </w:r>
      <w:r>
        <w:rPr>
          <w:rStyle w:val="FunctionTok"/>
        </w:rPr>
        <w:t xml:space="preserve">Now</w:t>
      </w:r>
      <w:r>
        <w:rPr>
          <w:rStyle w:val="OtherTok"/>
        </w:rPr>
        <w:t xml:space="preserve">()</w:t>
      </w:r>
      <w:r>
        <w:br/>
      </w:r>
      <w:r>
        <w:rPr>
          <w:rStyle w:val="NormalTok"/>
        </w:rPr>
        <w:t xml:space="preserve">    </w:t>
      </w:r>
      <w:r>
        <w:rPr>
          <w:rStyle w:val="FunctionTok"/>
        </w:rPr>
        <w:t xml:space="preserve">Session</w:t>
      </w:r>
      <w:r>
        <w:rPr>
          <w:rStyle w:val="OtherTok"/>
        </w:rPr>
        <w:t xml:space="preserve">(</w:t>
      </w:r>
      <w:r>
        <w:rPr>
          <w:rStyle w:val="StringTok"/>
        </w:rPr>
        <w:t xml:space="preserve">"RequestCount"</w:t>
      </w:r>
      <w:r>
        <w:rPr>
          <w:rStyle w:val="OtherTok"/>
        </w:rPr>
        <w:t xml:space="preserve">)</w:t>
      </w:r>
      <w:r>
        <w:rPr>
          <w:rStyle w:val="NormalTok"/>
        </w:rPr>
        <w:t xml:space="preserve"> = </w:t>
      </w:r>
      <w:r>
        <w:rPr>
          <w:rStyle w:val="DecValTok"/>
        </w:rPr>
        <w:t xml:space="preserve">0</w:t>
      </w:r>
      <w:r>
        <w:br/>
      </w:r>
      <w:r>
        <w:rPr>
          <w:rStyle w:val="KeywordTok"/>
        </w:rPr>
        <w:t xml:space="preserve">End Sub</w:t>
      </w:r>
      <w:r>
        <w:br/>
      </w:r>
      <w:r>
        <w:br/>
      </w:r>
      <w:r>
        <w:rPr>
          <w:rStyle w:val="KeywordTok"/>
        </w:rPr>
        <w:t xml:space="preserve">Sub</w:t>
      </w:r>
      <w:r>
        <w:rPr>
          <w:rStyle w:val="NormalTok"/>
        </w:rPr>
        <w:t xml:space="preserve"> Session_OnEnd</w:t>
      </w:r>
      <w:r>
        <w:rPr>
          <w:rStyle w:val="OtherTok"/>
        </w:rPr>
        <w:t xml:space="preserve">()</w:t>
      </w:r>
      <w:r>
        <w:br/>
      </w:r>
      <w:r>
        <w:rPr>
          <w:rStyle w:val="NormalTok"/>
        </w:rPr>
        <w:t xml:space="preserve">    </w:t>
      </w:r>
      <w:r>
        <w:rPr>
          <w:rStyle w:val="CommentTok"/>
        </w:rPr>
        <w:t xml:space="preserve">' Clean up session-level resources</w:t>
      </w:r>
      <w:r>
        <w:br/>
      </w:r>
      <w:r>
        <w:rPr>
          <w:rStyle w:val="KeywordTok"/>
        </w:rPr>
        <w:t xml:space="preserve">End Sub</w:t>
      </w:r>
      <w:r>
        <w:br/>
      </w:r>
      <w:r>
        <w:br/>
      </w:r>
      <w:r>
        <w:rPr>
          <w:rStyle w:val="KeywordTok"/>
        </w:rPr>
        <w:t xml:space="preserve">&lt;/SCRIPT&gt;</w:t>
      </w:r>
    </w:p>
    <w:bookmarkEnd w:id="485"/>
    <w:bookmarkStart w:id="486" w:name="static-object-declarations"/>
    <w:p>
      <w:pPr>
        <w:pStyle w:val="Heading2"/>
      </w:pPr>
      <w:r>
        <w:t xml:space="preserve">Static Object Declarations</w:t>
      </w:r>
    </w:p>
    <w:p>
      <w:pPr>
        <w:pStyle w:val="FirstParagraph"/>
      </w:pPr>
      <w:r>
        <w:t xml:space="preserve">Declare objects with Application or Session scope using the</w:t>
      </w:r>
      <w:r>
        <w:t xml:space="preserve"> </w:t>
      </w:r>
      <w:r>
        <w:rPr>
          <w:rStyle w:val="VerbatimChar"/>
        </w:rPr>
        <w:t xml:space="preserve">&lt;OBJECT&gt;</w:t>
      </w:r>
      <w:r>
        <w:t xml:space="preserve"> </w:t>
      </w:r>
      <w:r>
        <w:t xml:space="preserve">tag. Static objects are automatically available throughout the application without calling</w:t>
      </w:r>
      <w:r>
        <w:t xml:space="preserve"> </w:t>
      </w:r>
      <w:r>
        <w:rPr>
          <w:rStyle w:val="VerbatimChar"/>
        </w:rPr>
        <w:t xml:space="preserve">Server.CreateObject</w:t>
      </w:r>
      <w:r>
        <w:t xml:space="preserve"> </w:t>
      </w:r>
      <w:r>
        <w:t xml:space="preserve">on each page.</w:t>
      </w:r>
    </w:p>
    <w:p>
      <w:pPr>
        <w:pStyle w:val="SourceCode"/>
      </w:pPr>
      <w:r>
        <w:rPr>
          <w:rStyle w:val="KeywordTok"/>
        </w:rPr>
        <w:t xml:space="preserve">&lt;OBJECT</w:t>
      </w:r>
      <w:r>
        <w:rPr>
          <w:rStyle w:val="OtherTok"/>
        </w:rPr>
        <w:t xml:space="preserve"> RUNAT=</w:t>
      </w:r>
      <w:r>
        <w:rPr>
          <w:rStyle w:val="StringTok"/>
        </w:rPr>
        <w:t xml:space="preserve">"Server"</w:t>
      </w:r>
      <w:r>
        <w:rPr>
          <w:rStyle w:val="OtherTok"/>
        </w:rPr>
        <w:t xml:space="preserve"> SCOPE=</w:t>
      </w:r>
      <w:r>
        <w:rPr>
          <w:rStyle w:val="StringTok"/>
        </w:rPr>
        <w:t xml:space="preserve">"Application"</w:t>
      </w:r>
      <w:r>
        <w:rPr>
          <w:rStyle w:val="OtherTok"/>
        </w:rPr>
        <w:t xml:space="preserve"> ID=</w:t>
      </w:r>
      <w:r>
        <w:rPr>
          <w:rStyle w:val="StringTok"/>
        </w:rPr>
        <w:t xml:space="preserve">"AppCache"</w:t>
      </w:r>
      <w:r>
        <w:rPr>
          <w:rStyle w:val="OtherTok"/>
        </w:rPr>
        <w:t xml:space="preserve"> PROGID=</w:t>
      </w:r>
      <w:r>
        <w:rPr>
          <w:rStyle w:val="StringTok"/>
        </w:rPr>
        <w:t xml:space="preserve">"G3JSON"</w:t>
      </w:r>
      <w:r>
        <w:rPr>
          <w:rStyle w:val="KeywordTok"/>
        </w:rPr>
        <w:t xml:space="preserve">&gt;</w:t>
      </w:r>
      <w:r>
        <w:br/>
      </w:r>
      <w:r>
        <w:rPr>
          <w:rStyle w:val="KeywordTok"/>
        </w:rPr>
        <w:t xml:space="preserve">&lt;/OBJECT&gt;</w:t>
      </w:r>
      <w:r>
        <w:br/>
      </w:r>
      <w:r>
        <w:br/>
      </w:r>
      <w:r>
        <w:rPr>
          <w:rStyle w:val="KeywordTok"/>
        </w:rPr>
        <w:t xml:space="preserve">&lt;OBJECT</w:t>
      </w:r>
      <w:r>
        <w:rPr>
          <w:rStyle w:val="OtherTok"/>
        </w:rPr>
        <w:t xml:space="preserve"> RUNAT=</w:t>
      </w:r>
      <w:r>
        <w:rPr>
          <w:rStyle w:val="StringTok"/>
        </w:rPr>
        <w:t xml:space="preserve">"Server"</w:t>
      </w:r>
      <w:r>
        <w:rPr>
          <w:rStyle w:val="OtherTok"/>
        </w:rPr>
        <w:t xml:space="preserve"> SCOPE=</w:t>
      </w:r>
      <w:r>
        <w:rPr>
          <w:rStyle w:val="StringTok"/>
        </w:rPr>
        <w:t xml:space="preserve">"Session"</w:t>
      </w:r>
      <w:r>
        <w:rPr>
          <w:rStyle w:val="OtherTok"/>
        </w:rPr>
        <w:t xml:space="preserve"> ID=</w:t>
      </w:r>
      <w:r>
        <w:rPr>
          <w:rStyle w:val="StringTok"/>
        </w:rPr>
        <w:t xml:space="preserve">"UserData"</w:t>
      </w:r>
      <w:r>
        <w:rPr>
          <w:rStyle w:val="OtherTok"/>
        </w:rPr>
        <w:t xml:space="preserve"> PROGID=</w:t>
      </w:r>
      <w:r>
        <w:rPr>
          <w:rStyle w:val="StringTok"/>
        </w:rPr>
        <w:t xml:space="preserve">"G3JSON"</w:t>
      </w:r>
      <w:r>
        <w:rPr>
          <w:rStyle w:val="KeywordTok"/>
        </w:rPr>
        <w:t xml:space="preserve">&gt;</w:t>
      </w:r>
      <w:r>
        <w:br/>
      </w:r>
      <w:r>
        <w:rPr>
          <w:rStyle w:val="KeywordTok"/>
        </w:rPr>
        <w:t xml:space="preserve">&lt;/OBJECT&gt;</w:t>
      </w:r>
    </w:p>
    <w:p>
      <w:pPr>
        <w:pStyle w:val="FirstParagraph"/>
      </w:pPr>
      <w:r>
        <w:rPr>
          <w:b/>
          <w:bCs/>
        </w:rPr>
        <w:t xml:space="preserve">OBJECT tag attributes:</w:t>
      </w:r>
    </w:p>
    <w:tbl>
      <w:tblPr>
        <w:tblStyle w:val="Table"/>
        <w:tblW w:type="pct" w:w="5000"/>
        <w:tblLayout w:type="fixed"/>
        <w:tblLook w:firstRow="1" w:lastRow="0" w:firstColumn="0" w:lastColumn="0" w:noHBand="0" w:noVBand="0" w:val="0020"/>
      </w:tblPr>
      <w:tblGrid>
        <w:gridCol w:w="2722"/>
        <w:gridCol w:w="1980"/>
        <w:gridCol w:w="3217"/>
      </w:tblGrid>
      <w:tr>
        <w:trPr>
          <w:tblHeader w:val="on"/>
        </w:trPr>
        <w:tc>
          <w:tcPr/>
          <w:p>
            <w:pPr>
              <w:pStyle w:val="Compact"/>
            </w:pPr>
            <w:r>
              <w:t xml:space="preserve">Attribute</w:t>
            </w:r>
          </w:p>
        </w:tc>
        <w:tc>
          <w:tcPr/>
          <w:p>
            <w:pPr>
              <w:pStyle w:val="Compact"/>
            </w:pPr>
            <w:r>
              <w:t xml:space="preserve">Values</w:t>
            </w:r>
          </w:p>
        </w:tc>
        <w:tc>
          <w:tcPr/>
          <w:p>
            <w:pPr>
              <w:pStyle w:val="Compact"/>
            </w:pPr>
            <w:r>
              <w:t xml:space="preserve">Description</w:t>
            </w:r>
          </w:p>
        </w:tc>
      </w:tr>
      <w:tr>
        <w:tc>
          <w:tcPr/>
          <w:p>
            <w:pPr>
              <w:pStyle w:val="Compact"/>
            </w:pPr>
            <w:r>
              <w:t xml:space="preserve">RUNAT</w:t>
            </w:r>
          </w:p>
        </w:tc>
        <w:tc>
          <w:tcPr/>
          <w:p>
            <w:pPr>
              <w:pStyle w:val="Compact"/>
            </w:pPr>
            <w:r>
              <w:t xml:space="preserve">Server</w:t>
            </w:r>
          </w:p>
        </w:tc>
        <w:tc>
          <w:tcPr/>
          <w:p>
            <w:pPr>
              <w:pStyle w:val="Compact"/>
            </w:pPr>
            <w:r>
              <w:t xml:space="preserve">Required. Must always be Server</w:t>
            </w:r>
          </w:p>
        </w:tc>
      </w:tr>
      <w:tr>
        <w:tc>
          <w:tcPr/>
          <w:p>
            <w:pPr>
              <w:pStyle w:val="Compact"/>
            </w:pPr>
            <w:r>
              <w:t xml:space="preserve">SCOPE</w:t>
            </w:r>
          </w:p>
        </w:tc>
        <w:tc>
          <w:tcPr/>
          <w:p>
            <w:pPr>
              <w:pStyle w:val="Compact"/>
            </w:pPr>
            <w:r>
              <w:t xml:space="preserve">Application / Session</w:t>
            </w:r>
          </w:p>
        </w:tc>
        <w:tc>
          <w:tcPr/>
          <w:p>
            <w:pPr>
              <w:pStyle w:val="Compact"/>
            </w:pPr>
            <w:r>
              <w:t xml:space="preserve">Lifetime and sharing scope of the object</w:t>
            </w:r>
          </w:p>
        </w:tc>
      </w:tr>
      <w:tr>
        <w:tc>
          <w:tcPr/>
          <w:p>
            <w:pPr>
              <w:pStyle w:val="Compact"/>
            </w:pPr>
            <w:r>
              <w:t xml:space="preserve">ID</w:t>
            </w:r>
          </w:p>
        </w:tc>
        <w:tc>
          <w:tcPr/>
          <w:p>
            <w:pPr>
              <w:pStyle w:val="Compact"/>
            </w:pPr>
            <w:r>
              <w:t xml:space="preserve">identifier</w:t>
            </w:r>
          </w:p>
        </w:tc>
        <w:tc>
          <w:tcPr/>
          <w:p>
            <w:pPr>
              <w:pStyle w:val="Compact"/>
            </w:pPr>
            <w:r>
              <w:t xml:space="preserve">Variable name used to access the object in ASP pages</w:t>
            </w:r>
          </w:p>
        </w:tc>
      </w:tr>
      <w:tr>
        <w:tc>
          <w:tcPr/>
          <w:p>
            <w:pPr>
              <w:pStyle w:val="Compact"/>
            </w:pPr>
            <w:r>
              <w:t xml:space="preserve">PROGID</w:t>
            </w:r>
          </w:p>
        </w:tc>
        <w:tc>
          <w:tcPr/>
          <w:p>
            <w:pPr>
              <w:pStyle w:val="Compact"/>
            </w:pPr>
            <w:r>
              <w:t xml:space="preserve">ProgID string</w:t>
            </w:r>
          </w:p>
        </w:tc>
        <w:tc>
          <w:tcPr/>
          <w:p>
            <w:pPr>
              <w:pStyle w:val="Compact"/>
            </w:pPr>
            <w:r>
              <w:t xml:space="preserve">Object class identifier (same as the string passed to Server.CreateObject)</w:t>
            </w:r>
          </w:p>
        </w:tc>
      </w:tr>
      <w:tr>
        <w:tc>
          <w:tcPr/>
          <w:p>
            <w:pPr>
              <w:pStyle w:val="Compact"/>
            </w:pPr>
            <w:r>
              <w:t xml:space="preserve">CLASSID</w:t>
            </w:r>
          </w:p>
        </w:tc>
        <w:tc>
          <w:tcPr/>
          <w:p>
            <w:pPr>
              <w:pStyle w:val="Compact"/>
            </w:pPr>
            <w:r>
              <w:t xml:space="preserve">CLSID string</w:t>
            </w:r>
          </w:p>
        </w:tc>
        <w:tc>
          <w:tcPr/>
          <w:p>
            <w:pPr>
              <w:pStyle w:val="Compact"/>
            </w:pPr>
            <w:r>
              <w:t xml:space="preserve">Alternative to PROGID for COM class identifiers</w:t>
            </w:r>
          </w:p>
        </w:tc>
      </w:tr>
    </w:tbl>
    <w:bookmarkEnd w:id="486"/>
    <w:bookmarkStart w:id="487" w:name="what-is-not-supported"/>
    <w:p>
      <w:pPr>
        <w:pStyle w:val="Heading2"/>
      </w:pPr>
      <w:r>
        <w:t xml:space="preserve">What Is Not Supported</w:t>
      </w:r>
    </w:p>
    <w:p>
      <w:pPr>
        <w:pStyle w:val="FirstParagraph"/>
      </w:pPr>
      <w:r>
        <w:t xml:space="preserve">The following Classic ASP</w:t>
      </w:r>
      <w:r>
        <w:t xml:space="preserve"> </w:t>
      </w:r>
      <w:r>
        <w:rPr>
          <w:rStyle w:val="VerbatimChar"/>
        </w:rPr>
        <w:t xml:space="preserve">global.asa</w:t>
      </w:r>
      <w:r>
        <w:t xml:space="preserve"> </w:t>
      </w:r>
      <w:r>
        <w:t xml:space="preserve">features are not supported in AxonASP:</w:t>
      </w:r>
    </w:p>
    <w:p>
      <w:pPr>
        <w:pStyle w:val="Compact"/>
        <w:numPr>
          <w:ilvl w:val="0"/>
          <w:numId w:val="1155"/>
        </w:numPr>
      </w:pPr>
      <w:r>
        <w:rPr>
          <w:b/>
          <w:bCs/>
        </w:rPr>
        <w:t xml:space="preserve">TypeLib declarations</w:t>
      </w:r>
      <w:r>
        <w:t xml:space="preserve"> </w:t>
      </w:r>
      <w:r>
        <w:t xml:space="preserve">—</w:t>
      </w:r>
      <w:r>
        <w:t xml:space="preserve"> </w:t>
      </w:r>
      <w:r>
        <w:rPr>
          <w:rStyle w:val="VerbatimChar"/>
        </w:rPr>
        <w:t xml:space="preserve">&lt;METADATA TYPE="TypeLib" ...&gt;</w:t>
      </w:r>
      <w:r>
        <w:t xml:space="preserve"> </w:t>
      </w:r>
      <w:r>
        <w:t xml:space="preserve">directives are ignored.</w:t>
      </w:r>
    </w:p>
    <w:p>
      <w:pPr>
        <w:pStyle w:val="Compact"/>
        <w:numPr>
          <w:ilvl w:val="0"/>
          <w:numId w:val="1155"/>
        </w:numPr>
      </w:pPr>
      <w:r>
        <w:rPr>
          <w:b/>
          <w:bCs/>
        </w:rPr>
        <w:t xml:space="preserve">Request and Response access in Application events</w:t>
      </w:r>
      <w:r>
        <w:t xml:space="preserve"> </w:t>
      </w:r>
      <w:r>
        <w:t xml:space="preserve">—</w:t>
      </w:r>
      <w:r>
        <w:t xml:space="preserve"> </w:t>
      </w:r>
      <w:r>
        <w:rPr>
          <w:rStyle w:val="VerbatimChar"/>
        </w:rPr>
        <w:t xml:space="preserve">Request</w:t>
      </w:r>
      <w:r>
        <w:t xml:space="preserve"> </w:t>
      </w:r>
      <w:r>
        <w:t xml:space="preserve">and</w:t>
      </w:r>
      <w:r>
        <w:t xml:space="preserve"> </w:t>
      </w:r>
      <w:r>
        <w:rPr>
          <w:rStyle w:val="VerbatimChar"/>
        </w:rPr>
        <w:t xml:space="preserve">Response</w:t>
      </w:r>
      <w:r>
        <w:t xml:space="preserve"> </w:t>
      </w:r>
      <w:r>
        <w:t xml:space="preserve">objects are not available inside</w:t>
      </w:r>
      <w:r>
        <w:t xml:space="preserve"> </w:t>
      </w:r>
      <w:r>
        <w:rPr>
          <w:rStyle w:val="VerbatimChar"/>
        </w:rPr>
        <w:t xml:space="preserve">Application_OnStart</w:t>
      </w:r>
      <w:r>
        <w:t xml:space="preserve"> </w:t>
      </w:r>
      <w:r>
        <w:t xml:space="preserve">and</w:t>
      </w:r>
      <w:r>
        <w:t xml:space="preserve"> </w:t>
      </w:r>
      <w:r>
        <w:rPr>
          <w:rStyle w:val="VerbatimChar"/>
        </w:rPr>
        <w:t xml:space="preserve">Application_OnEnd</w:t>
      </w:r>
      <w:r>
        <w:t xml:space="preserve">. The server suppresses all response output from</w:t>
      </w:r>
      <w:r>
        <w:t xml:space="preserve"> </w:t>
      </w:r>
      <w:r>
        <w:rPr>
          <w:rStyle w:val="VerbatimChar"/>
        </w:rPr>
        <w:t xml:space="preserve">global.asa</w:t>
      </w:r>
      <w:r>
        <w:t xml:space="preserve"> </w:t>
      </w:r>
      <w:r>
        <w:t xml:space="preserve">handlers to match IIS behavior.</w:t>
      </w:r>
    </w:p>
    <w:p>
      <w:pPr>
        <w:pStyle w:val="Compact"/>
        <w:numPr>
          <w:ilvl w:val="0"/>
          <w:numId w:val="1155"/>
        </w:numPr>
      </w:pPr>
      <w:r>
        <w:rPr>
          <w:b/>
          <w:bCs/>
        </w:rPr>
        <w:t xml:space="preserve">#include directives</w:t>
      </w:r>
      <w:r>
        <w:t xml:space="preserve"> </w:t>
      </w:r>
      <w:r>
        <w:t xml:space="preserve">— File includes are processed inside</w:t>
      </w:r>
      <w:r>
        <w:t xml:space="preserve"> </w:t>
      </w:r>
      <w:r>
        <w:rPr>
          <w:rStyle w:val="VerbatimChar"/>
        </w:rPr>
        <w:t xml:space="preserve">global.asa</w:t>
      </w:r>
      <w:r>
        <w:t xml:space="preserve"> </w:t>
      </w:r>
      <w:r>
        <w:t xml:space="preserve">using the same SSI include rules as ASP page.</w:t>
      </w:r>
    </w:p>
    <w:p>
      <w:pPr>
        <w:pStyle w:val="Compact"/>
        <w:numPr>
          <w:ilvl w:val="0"/>
          <w:numId w:val="1155"/>
        </w:numPr>
      </w:pPr>
      <w:r>
        <w:rPr>
          <w:b/>
          <w:bCs/>
        </w:rPr>
        <w:t xml:space="preserve">ObjectContext</w:t>
      </w:r>
      <w:r>
        <w:t xml:space="preserve"> </w:t>
      </w:r>
      <w:r>
        <w:t xml:space="preserve">— The</w:t>
      </w:r>
      <w:r>
        <w:t xml:space="preserve"> </w:t>
      </w:r>
      <w:r>
        <w:rPr>
          <w:rStyle w:val="VerbatimChar"/>
        </w:rPr>
        <w:t xml:space="preserve">ObjectContext</w:t>
      </w:r>
      <w:r>
        <w:t xml:space="preserve"> </w:t>
      </w:r>
      <w:r>
        <w:t xml:space="preserve">intrinsic object is not available in event handlers.</w:t>
      </w:r>
    </w:p>
    <w:p>
      <w:pPr>
        <w:pStyle w:val="Compact"/>
        <w:numPr>
          <w:ilvl w:val="0"/>
          <w:numId w:val="1155"/>
        </w:numPr>
      </w:pPr>
      <w:r>
        <w:rPr>
          <w:b/>
          <w:bCs/>
        </w:rPr>
        <w:t xml:space="preserve">On Error Resume Next suppressing compile errors</w:t>
      </w:r>
      <w:r>
        <w:t xml:space="preserve"> </w:t>
      </w:r>
      <w:r>
        <w:t xml:space="preserve">— A compile error in</w:t>
      </w:r>
      <w:r>
        <w:t xml:space="preserve"> </w:t>
      </w:r>
      <w:r>
        <w:rPr>
          <w:rStyle w:val="VerbatimChar"/>
        </w:rPr>
        <w:t xml:space="preserve">global.asa</w:t>
      </w:r>
      <w:r>
        <w:t xml:space="preserve"> </w:t>
      </w:r>
      <w:r>
        <w:t xml:space="preserve">aborts server startup.</w:t>
      </w:r>
    </w:p>
    <w:bookmarkEnd w:id="487"/>
    <w:bookmarkStart w:id="488" w:name="remarks-17"/>
    <w:p>
      <w:pPr>
        <w:pStyle w:val="Heading2"/>
      </w:pPr>
      <w:r>
        <w:t xml:space="preserve">Remarks</w:t>
      </w:r>
    </w:p>
    <w:p>
      <w:pPr>
        <w:pStyle w:val="Compact"/>
        <w:numPr>
          <w:ilvl w:val="0"/>
          <w:numId w:val="1156"/>
        </w:numPr>
      </w:pPr>
      <w:r>
        <w:rPr>
          <w:rStyle w:val="VerbatimChar"/>
        </w:rPr>
        <w:t xml:space="preserve">global.asa</w:t>
      </w:r>
      <w:r>
        <w:t xml:space="preserve"> </w:t>
      </w:r>
      <w:r>
        <w:t xml:space="preserve">is compiled once when the server starts. Restart the server to pick up changes to the file.</w:t>
      </w:r>
    </w:p>
    <w:p>
      <w:pPr>
        <w:pStyle w:val="Compact"/>
        <w:numPr>
          <w:ilvl w:val="0"/>
          <w:numId w:val="1156"/>
        </w:numPr>
      </w:pPr>
      <w:r>
        <w:t xml:space="preserve">UTF-8 BOM is automatically stripped from</w:t>
      </w:r>
      <w:r>
        <w:t xml:space="preserve"> </w:t>
      </w:r>
      <w:r>
        <w:rPr>
          <w:rStyle w:val="VerbatimChar"/>
        </w:rPr>
        <w:t xml:space="preserve">global.asa</w:t>
      </w:r>
      <w:r>
        <w:t xml:space="preserve"> </w:t>
      </w:r>
      <w:r>
        <w:t xml:space="preserve">before compilation.</w:t>
      </w:r>
    </w:p>
    <w:p>
      <w:pPr>
        <w:pStyle w:val="Compact"/>
        <w:numPr>
          <w:ilvl w:val="0"/>
          <w:numId w:val="1156"/>
        </w:numPr>
      </w:pPr>
      <w:r>
        <w:t xml:space="preserve">Application and Session scope static objects declared in</w:t>
      </w:r>
      <w:r>
        <w:t xml:space="preserve"> </w:t>
      </w:r>
      <w:r>
        <w:rPr>
          <w:rStyle w:val="VerbatimChar"/>
        </w:rPr>
        <w:t xml:space="preserve">global.asa</w:t>
      </w:r>
      <w:r>
        <w:t xml:space="preserve"> </w:t>
      </w:r>
      <w:r>
        <w:t xml:space="preserve">are initialized lazily when first accessed by an ASP page.</w:t>
      </w:r>
    </w:p>
    <w:p>
      <w:pPr>
        <w:pStyle w:val="Compact"/>
        <w:numPr>
          <w:ilvl w:val="0"/>
          <w:numId w:val="1156"/>
        </w:numPr>
      </w:pPr>
      <w:r>
        <w:rPr>
          <w:rStyle w:val="VerbatimChar"/>
        </w:rPr>
        <w:t xml:space="preserve">Session_OnEnd</w:t>
      </w:r>
      <w:r>
        <w:t xml:space="preserve"> </w:t>
      </w:r>
      <w:r>
        <w:t xml:space="preserve">fires when a session expires based on the configured timeout, not necessarily when the user closes the browser.</w:t>
      </w:r>
    </w:p>
    <w:p>
      <w:pPr>
        <w:pStyle w:val="Compact"/>
        <w:numPr>
          <w:ilvl w:val="0"/>
          <w:numId w:val="1156"/>
        </w:numPr>
      </w:pPr>
      <w:r>
        <w:rPr>
          <w:rStyle w:val="VerbatimChar"/>
        </w:rPr>
        <w:t xml:space="preserve">Application_OnEnd</w:t>
      </w:r>
      <w:r>
        <w:t xml:space="preserve"> </w:t>
      </w:r>
      <w:r>
        <w:t xml:space="preserve">is only fired during a clean server shutdown. An OS-level process kill will not trigger this event.</w:t>
      </w:r>
    </w:p>
    <w:p>
      <w:pPr>
        <w:pStyle w:val="Compact"/>
        <w:numPr>
          <w:ilvl w:val="0"/>
          <w:numId w:val="1156"/>
        </w:numPr>
      </w:pPr>
      <w:r>
        <w:t xml:space="preserve">The CLI uses the</w:t>
      </w:r>
      <w:r>
        <w:t xml:space="preserve"> </w:t>
      </w:r>
      <w:r>
        <w:rPr>
          <w:rStyle w:val="VerbatimChar"/>
        </w:rPr>
        <w:t xml:space="preserve">global.asa</w:t>
      </w:r>
      <w:r>
        <w:t xml:space="preserve"> </w:t>
      </w:r>
      <w:r>
        <w:t xml:space="preserve">file located in the same directory as</w:t>
      </w:r>
      <w:r>
        <w:t xml:space="preserve"> </w:t>
      </w:r>
      <w:r>
        <w:rPr>
          <w:rStyle w:val="VerbatimChar"/>
        </w:rPr>
        <w:t xml:space="preserve">axonasp-cli.exe</w:t>
      </w:r>
      <w:r>
        <w:t xml:space="preserve">, not from a web root path.</w:t>
      </w:r>
    </w:p>
    <w:p>
      <w:pPr>
        <w:pStyle w:val="Compact"/>
        <w:numPr>
          <w:ilvl w:val="0"/>
          <w:numId w:val="1156"/>
        </w:numPr>
      </w:pPr>
      <w:r>
        <w:t xml:space="preserve">All four event handlers are optional. You can define only the events your application needs.</w:t>
      </w:r>
    </w:p>
    <w:bookmarkEnd w:id="488"/>
    <w:bookmarkStart w:id="489" w:name="code-example-9"/>
    <w:p>
      <w:pPr>
        <w:pStyle w:val="Heading2"/>
      </w:pPr>
      <w:r>
        <w:t xml:space="preserve">Code Example</w:t>
      </w:r>
    </w:p>
    <w:p>
      <w:pPr>
        <w:pStyle w:val="FirstParagraph"/>
      </w:pPr>
      <w:r>
        <w:t xml:space="preserve">A typical</w:t>
      </w:r>
      <w:r>
        <w:t xml:space="preserve"> </w:t>
      </w:r>
      <w:r>
        <w:rPr>
          <w:rStyle w:val="VerbatimChar"/>
        </w:rPr>
        <w:t xml:space="preserve">global.asa</w:t>
      </w:r>
      <w:r>
        <w:t xml:space="preserve"> </w:t>
      </w:r>
      <w:r>
        <w:t xml:space="preserve">that initializes a shared counter and tracks session creation time:</w:t>
      </w:r>
    </w:p>
    <w:p>
      <w:pPr>
        <w:pStyle w:val="SourceCode"/>
      </w:pPr>
      <w:r>
        <w:rPr>
          <w:rStyle w:val="KeywordTok"/>
        </w:rPr>
        <w:t xml:space="preserve">&lt;SCRIPT LANGUAGE="VBScript" RUNAT="Server"&gt;</w:t>
      </w:r>
      <w:r>
        <w:br/>
      </w:r>
      <w:r>
        <w:br/>
      </w:r>
      <w:r>
        <w:rPr>
          <w:rStyle w:val="KeywordTok"/>
        </w:rPr>
        <w:t xml:space="preserve">Sub</w:t>
      </w:r>
      <w:r>
        <w:rPr>
          <w:rStyle w:val="NormalTok"/>
        </w:rPr>
        <w:t xml:space="preserve"> Application_OnStart</w:t>
      </w:r>
      <w:r>
        <w:rPr>
          <w:rStyle w:val="OtherTok"/>
        </w:rPr>
        <w:t xml:space="preserve">()</w:t>
      </w:r>
      <w:r>
        <w:br/>
      </w:r>
      <w:r>
        <w:rPr>
          <w:rStyle w:val="NormalTok"/>
        </w:rPr>
        <w:t xml:space="preserve">    Application</w:t>
      </w:r>
      <w:r>
        <w:rPr>
          <w:rStyle w:val="OtherTok"/>
        </w:rPr>
        <w:t xml:space="preserve">(</w:t>
      </w:r>
      <w:r>
        <w:rPr>
          <w:rStyle w:val="StringTok"/>
        </w:rPr>
        <w:t xml:space="preserve">"TotalVisits"</w:t>
      </w:r>
      <w:r>
        <w:rPr>
          <w:rStyle w:val="OtherTok"/>
        </w:rPr>
        <w:t xml:space="preserve">)</w:t>
      </w:r>
      <w:r>
        <w:rPr>
          <w:rStyle w:val="NormalTok"/>
        </w:rPr>
        <w:t xml:space="preserve"> = </w:t>
      </w:r>
      <w:r>
        <w:rPr>
          <w:rStyle w:val="DecValTok"/>
        </w:rPr>
        <w:t xml:space="preserve">0</w:t>
      </w:r>
      <w:r>
        <w:br/>
      </w:r>
      <w:r>
        <w:rPr>
          <w:rStyle w:val="NormalTok"/>
        </w:rPr>
        <w:t xml:space="preserve">    Application</w:t>
      </w:r>
      <w:r>
        <w:rPr>
          <w:rStyle w:val="OtherTok"/>
        </w:rPr>
        <w:t xml:space="preserve">(</w:t>
      </w:r>
      <w:r>
        <w:rPr>
          <w:rStyle w:val="StringTok"/>
        </w:rPr>
        <w:t xml:space="preserve">"AppStarted"</w:t>
      </w:r>
      <w:r>
        <w:rPr>
          <w:rStyle w:val="OtherTok"/>
        </w:rPr>
        <w:t xml:space="preserve">)</w:t>
      </w:r>
      <w:r>
        <w:rPr>
          <w:rStyle w:val="NormalTok"/>
        </w:rPr>
        <w:t xml:space="preserve"> = </w:t>
      </w:r>
      <w:r>
        <w:rPr>
          <w:rStyle w:val="FunctionTok"/>
        </w:rPr>
        <w:t xml:space="preserve">Now</w:t>
      </w:r>
      <w:r>
        <w:rPr>
          <w:rStyle w:val="OtherTok"/>
        </w:rPr>
        <w:t xml:space="preserve">()</w:t>
      </w:r>
      <w:r>
        <w:br/>
      </w:r>
      <w:r>
        <w:rPr>
          <w:rStyle w:val="KeywordTok"/>
        </w:rPr>
        <w:t xml:space="preserve">End Sub</w:t>
      </w:r>
      <w:r>
        <w:br/>
      </w:r>
      <w:r>
        <w:br/>
      </w:r>
      <w:r>
        <w:rPr>
          <w:rStyle w:val="KeywordTok"/>
        </w:rPr>
        <w:t xml:space="preserve">Sub</w:t>
      </w:r>
      <w:r>
        <w:rPr>
          <w:rStyle w:val="NormalTok"/>
        </w:rPr>
        <w:t xml:space="preserve"> Session_OnStart</w:t>
      </w:r>
      <w:r>
        <w:rPr>
          <w:rStyle w:val="OtherTok"/>
        </w:rPr>
        <w:t xml:space="preserve">()</w:t>
      </w:r>
      <w:r>
        <w:br/>
      </w:r>
      <w:r>
        <w:rPr>
          <w:rStyle w:val="NormalTok"/>
        </w:rPr>
        <w:t xml:space="preserve">    Application.Lock</w:t>
      </w:r>
      <w:r>
        <w:br/>
      </w:r>
      <w:r>
        <w:rPr>
          <w:rStyle w:val="NormalTok"/>
        </w:rPr>
        <w:t xml:space="preserve">    Application</w:t>
      </w:r>
      <w:r>
        <w:rPr>
          <w:rStyle w:val="OtherTok"/>
        </w:rPr>
        <w:t xml:space="preserve">(</w:t>
      </w:r>
      <w:r>
        <w:rPr>
          <w:rStyle w:val="StringTok"/>
        </w:rPr>
        <w:t xml:space="preserve">"TotalVisits"</w:t>
      </w:r>
      <w:r>
        <w:rPr>
          <w:rStyle w:val="OtherTok"/>
        </w:rPr>
        <w:t xml:space="preserve">)</w:t>
      </w:r>
      <w:r>
        <w:rPr>
          <w:rStyle w:val="NormalTok"/>
        </w:rPr>
        <w:t xml:space="preserve"> = Application</w:t>
      </w:r>
      <w:r>
        <w:rPr>
          <w:rStyle w:val="OtherTok"/>
        </w:rPr>
        <w:t xml:space="preserve">(</w:t>
      </w:r>
      <w:r>
        <w:rPr>
          <w:rStyle w:val="StringTok"/>
        </w:rPr>
        <w:t xml:space="preserve">"TotalVisits"</w:t>
      </w:r>
      <w:r>
        <w:rPr>
          <w:rStyle w:val="OtherTok"/>
        </w:rPr>
        <w:t xml:space="preserve">)</w:t>
      </w:r>
      <w:r>
        <w:rPr>
          <w:rStyle w:val="NormalTok"/>
        </w:rPr>
        <w:t xml:space="preserve"> + </w:t>
      </w:r>
      <w:r>
        <w:rPr>
          <w:rStyle w:val="DecValTok"/>
        </w:rPr>
        <w:t xml:space="preserve">1</w:t>
      </w:r>
      <w:r>
        <w:br/>
      </w:r>
      <w:r>
        <w:rPr>
          <w:rStyle w:val="NormalTok"/>
        </w:rPr>
        <w:t xml:space="preserve">    Application.Unlock</w:t>
      </w:r>
      <w:r>
        <w:br/>
      </w:r>
      <w:r>
        <w:rPr>
          <w:rStyle w:val="NormalTok"/>
        </w:rPr>
        <w:t xml:space="preserve">    </w:t>
      </w:r>
      <w:r>
        <w:rPr>
          <w:rStyle w:val="FunctionTok"/>
        </w:rPr>
        <w:t xml:space="preserve">Session</w:t>
      </w:r>
      <w:r>
        <w:rPr>
          <w:rStyle w:val="OtherTok"/>
        </w:rPr>
        <w:t xml:space="preserve">(</w:t>
      </w:r>
      <w:r>
        <w:rPr>
          <w:rStyle w:val="StringTok"/>
        </w:rPr>
        <w:t xml:space="preserve">"SessionStart"</w:t>
      </w:r>
      <w:r>
        <w:rPr>
          <w:rStyle w:val="OtherTok"/>
        </w:rPr>
        <w:t xml:space="preserve">)</w:t>
      </w:r>
      <w:r>
        <w:rPr>
          <w:rStyle w:val="NormalTok"/>
        </w:rPr>
        <w:t xml:space="preserve"> = </w:t>
      </w:r>
      <w:r>
        <w:rPr>
          <w:rStyle w:val="FunctionTok"/>
        </w:rPr>
        <w:t xml:space="preserve">Now</w:t>
      </w:r>
      <w:r>
        <w:rPr>
          <w:rStyle w:val="OtherTok"/>
        </w:rPr>
        <w:t xml:space="preserve">()</w:t>
      </w:r>
      <w:r>
        <w:br/>
      </w:r>
      <w:r>
        <w:rPr>
          <w:rStyle w:val="KeywordTok"/>
        </w:rPr>
        <w:t xml:space="preserve">End Sub</w:t>
      </w:r>
      <w:r>
        <w:br/>
      </w:r>
      <w:r>
        <w:br/>
      </w:r>
      <w:r>
        <w:rPr>
          <w:rStyle w:val="KeywordTok"/>
        </w:rPr>
        <w:t xml:space="preserve">Sub</w:t>
      </w:r>
      <w:r>
        <w:rPr>
          <w:rStyle w:val="NormalTok"/>
        </w:rPr>
        <w:t xml:space="preserve"> Session_OnEnd</w:t>
      </w:r>
      <w:r>
        <w:rPr>
          <w:rStyle w:val="OtherTok"/>
        </w:rPr>
        <w:t xml:space="preserve">()</w:t>
      </w:r>
      <w:r>
        <w:br/>
      </w:r>
      <w:r>
        <w:rPr>
          <w:rStyle w:val="NormalTok"/>
        </w:rPr>
        <w:t xml:space="preserve">    </w:t>
      </w:r>
      <w:r>
        <w:rPr>
          <w:rStyle w:val="CommentTok"/>
        </w:rPr>
        <w:t xml:space="preserve">' Nothing to clean up</w:t>
      </w:r>
      <w:r>
        <w:br/>
      </w:r>
      <w:r>
        <w:rPr>
          <w:rStyle w:val="KeywordTok"/>
        </w:rPr>
        <w:t xml:space="preserve">End Sub</w:t>
      </w:r>
      <w:r>
        <w:br/>
      </w:r>
      <w:r>
        <w:br/>
      </w:r>
      <w:r>
        <w:rPr>
          <w:rStyle w:val="KeywordTok"/>
        </w:rPr>
        <w:t xml:space="preserve">Sub</w:t>
      </w:r>
      <w:r>
        <w:rPr>
          <w:rStyle w:val="NormalTok"/>
        </w:rPr>
        <w:t xml:space="preserve"> Application_OnEnd</w:t>
      </w:r>
      <w:r>
        <w:rPr>
          <w:rStyle w:val="OtherTok"/>
        </w:rPr>
        <w:t xml:space="preserve">()</w:t>
      </w:r>
      <w:r>
        <w:br/>
      </w:r>
      <w:r>
        <w:rPr>
          <w:rStyle w:val="NormalTok"/>
        </w:rPr>
        <w:t xml:space="preserve">    </w:t>
      </w:r>
      <w:r>
        <w:rPr>
          <w:rStyle w:val="CommentTok"/>
        </w:rPr>
        <w:t xml:space="preserve">' Nothing to clean up</w:t>
      </w:r>
      <w:r>
        <w:br/>
      </w:r>
      <w:r>
        <w:rPr>
          <w:rStyle w:val="KeywordTok"/>
        </w:rPr>
        <w:t xml:space="preserve">End Sub</w:t>
      </w:r>
      <w:r>
        <w:br/>
      </w:r>
      <w:r>
        <w:br/>
      </w:r>
      <w:r>
        <w:rPr>
          <w:rStyle w:val="KeywordTok"/>
        </w:rPr>
        <w:t xml:space="preserve">&lt;/SCRIPT&gt;</w:t>
      </w:r>
    </w:p>
    <w:bookmarkEnd w:id="489"/>
    <w:bookmarkEnd w:id="490"/>
    <w:bookmarkStart w:id="497" w:name="the-include-directive"/>
    <w:p>
      <w:pPr>
        <w:pStyle w:val="Heading1"/>
      </w:pPr>
      <w:r>
        <w:t xml:space="preserve">The #include Directive</w:t>
      </w:r>
    </w:p>
    <w:bookmarkStart w:id="491" w:name="overview-28"/>
    <w:p>
      <w:pPr>
        <w:pStyle w:val="Heading2"/>
      </w:pPr>
      <w:r>
        <w:t xml:space="preserve">Overview</w:t>
      </w:r>
    </w:p>
    <w:p>
      <w:pPr>
        <w:pStyle w:val="FirstParagraph"/>
      </w:pPr>
      <w:r>
        <w:t xml:space="preserve">The</w:t>
      </w:r>
      <w:r>
        <w:t xml:space="preserve"> </w:t>
      </w:r>
      <w:r>
        <w:rPr>
          <w:b/>
          <w:bCs/>
        </w:rPr>
        <w:t xml:space="preserve">#include</w:t>
      </w:r>
      <w:r>
        <w:t xml:space="preserve"> </w:t>
      </w:r>
      <w:r>
        <w:t xml:space="preserve">directive is a server-side include (SSI) mechanism used in G3Pix AxonASP to insert the content of one file into another before the script is executed by the Virtual Machine. This directive is essential for code reuse, allowing developers to maintain shared components such as headers, footers, database connection strings, and library functions in a single location.</w:t>
      </w:r>
    </w:p>
    <w:bookmarkEnd w:id="491"/>
    <w:bookmarkStart w:id="492" w:name="syntax-6"/>
    <w:p>
      <w:pPr>
        <w:pStyle w:val="Heading2"/>
      </w:pPr>
      <w:r>
        <w:t xml:space="preserve">Syntax</w:t>
      </w:r>
    </w:p>
    <w:p>
      <w:pPr>
        <w:pStyle w:val="FirstParagraph"/>
      </w:pPr>
      <w:r>
        <w:t xml:space="preserve">The directive must be placed inside HTML comments and uses either the</w:t>
      </w:r>
      <w:r>
        <w:t xml:space="preserve"> </w:t>
      </w:r>
      <w:r>
        <w:rPr>
          <w:b/>
          <w:bCs/>
        </w:rPr>
        <w:t xml:space="preserve">file</w:t>
      </w:r>
      <w:r>
        <w:t xml:space="preserve"> </w:t>
      </w:r>
      <w:r>
        <w:t xml:space="preserve">or</w:t>
      </w:r>
      <w:r>
        <w:t xml:space="preserve"> </w:t>
      </w:r>
      <w:r>
        <w:rPr>
          <w:b/>
          <w:bCs/>
        </w:rPr>
        <w:t xml:space="preserve">virtual</w:t>
      </w:r>
      <w:r>
        <w:t xml:space="preserve"> </w:t>
      </w:r>
      <w:r>
        <w:t xml:space="preserve">attribute:</w:t>
      </w:r>
    </w:p>
    <w:p>
      <w:pPr>
        <w:pStyle w:val="SourceCode"/>
      </w:pPr>
      <w:r>
        <w:rPr>
          <w:rStyle w:val="CommentTok"/>
        </w:rPr>
        <w:t xml:space="preserve">&lt;!--#include file</w:t>
      </w:r>
      <w:r>
        <w:rPr>
          <w:rStyle w:val="NormalTok"/>
        </w:rPr>
        <w:t xml:space="preserve">=</w:t>
      </w:r>
      <w:r>
        <w:rPr>
          <w:rStyle w:val="StringTok"/>
        </w:rPr>
        <w:t xml:space="preserve">"filename"</w:t>
      </w:r>
      <w:r>
        <w:rPr>
          <w:rStyle w:val="CommentTok"/>
        </w:rPr>
        <w:t xml:space="preserve">--&gt;</w:t>
      </w:r>
      <w:r>
        <w:br/>
      </w:r>
      <w:r>
        <w:rPr>
          <w:rStyle w:val="CommentTok"/>
        </w:rPr>
        <w:t xml:space="preserve">&lt;!--#include virtual</w:t>
      </w:r>
      <w:r>
        <w:rPr>
          <w:rStyle w:val="NormalTok"/>
        </w:rPr>
        <w:t xml:space="preserve">=</w:t>
      </w:r>
      <w:r>
        <w:rPr>
          <w:rStyle w:val="StringTok"/>
        </w:rPr>
        <w:t xml:space="preserve">"/path/filename"</w:t>
      </w:r>
      <w:r>
        <w:rPr>
          <w:rStyle w:val="CommentTok"/>
        </w:rPr>
        <w:t xml:space="preserve">--&gt;</w:t>
      </w:r>
    </w:p>
    <w:bookmarkEnd w:id="492"/>
    <w:bookmarkStart w:id="493" w:name="parameters-and-arguments-6"/>
    <w:p>
      <w:pPr>
        <w:pStyle w:val="Heading2"/>
      </w:pPr>
      <w:r>
        <w:t xml:space="preserve">Parameters and Arguments</w:t>
      </w:r>
    </w:p>
    <w:p>
      <w:pPr>
        <w:pStyle w:val="Compact"/>
        <w:numPr>
          <w:ilvl w:val="0"/>
          <w:numId w:val="1157"/>
        </w:numPr>
      </w:pPr>
      <w:r>
        <w:rPr>
          <w:b/>
          <w:bCs/>
        </w:rPr>
        <w:t xml:space="preserve">file</w:t>
      </w:r>
      <w:r>
        <w:t xml:space="preserve"> </w:t>
      </w:r>
      <w:r>
        <w:t xml:space="preserve">(String): Specifies a path relative to the directory of the current file. You cannot use absolute paths or</w:t>
      </w:r>
      <w:r>
        <w:t xml:space="preserve"> </w:t>
      </w:r>
      <w:r>
        <w:t xml:space="preserve">“..”</w:t>
      </w:r>
      <w:r>
        <w:t xml:space="preserve"> </w:t>
      </w:r>
      <w:r>
        <w:t xml:space="preserve">to move up in the directory structure with this attribute.</w:t>
      </w:r>
    </w:p>
    <w:p>
      <w:pPr>
        <w:pStyle w:val="Compact"/>
        <w:numPr>
          <w:ilvl w:val="0"/>
          <w:numId w:val="1157"/>
        </w:numPr>
      </w:pPr>
      <w:r>
        <w:rPr>
          <w:b/>
          <w:bCs/>
        </w:rPr>
        <w:t xml:space="preserve">virtual</w:t>
      </w:r>
      <w:r>
        <w:t xml:space="preserve"> </w:t>
      </w:r>
      <w:r>
        <w:t xml:space="preserve">(String): Specifies a path relative to the web root of the AxonASP application. This is the preferred method for including files located in global or shared directories.</w:t>
      </w:r>
    </w:p>
    <w:bookmarkEnd w:id="493"/>
    <w:bookmarkStart w:id="494" w:name="how-it-works-1"/>
    <w:p>
      <w:pPr>
        <w:pStyle w:val="Heading2"/>
      </w:pPr>
      <w:r>
        <w:t xml:space="preserve">How it Works</w:t>
      </w:r>
    </w:p>
    <w:p>
      <w:pPr>
        <w:pStyle w:val="FirstParagraph"/>
      </w:pPr>
      <w:r>
        <w:t xml:space="preserve">The AxonASP Lexer identifies the</w:t>
      </w:r>
      <w:r>
        <w:t xml:space="preserve"> </w:t>
      </w:r>
      <w:r>
        <w:rPr>
          <w:b/>
          <w:bCs/>
        </w:rPr>
        <w:t xml:space="preserve">#include</w:t>
      </w:r>
      <w:r>
        <w:t xml:space="preserve"> </w:t>
      </w:r>
      <w:r>
        <w:t xml:space="preserve">directive during the initial parsing phase. The engine then retrieves the content of the specified file and physically injects it into the source stream, replacing the directive tag.</w:t>
      </w:r>
    </w:p>
    <w:p>
      <w:pPr>
        <w:pStyle w:val="Compact"/>
        <w:numPr>
          <w:ilvl w:val="0"/>
          <w:numId w:val="1158"/>
        </w:numPr>
      </w:pPr>
      <w:r>
        <w:rPr>
          <w:b/>
          <w:bCs/>
        </w:rPr>
        <w:t xml:space="preserve">Preprocessing</w:t>
      </w:r>
      <w:r>
        <w:t xml:space="preserve">: Includes are processed</w:t>
      </w:r>
      <w:r>
        <w:t xml:space="preserve"> </w:t>
      </w:r>
      <w:r>
        <w:rPr>
          <w:i/>
          <w:iCs/>
        </w:rPr>
        <w:t xml:space="preserve">before</w:t>
      </w:r>
      <w:r>
        <w:t xml:space="preserve"> </w:t>
      </w:r>
      <w:r>
        <w:t xml:space="preserve">any VBScript code is executed. You cannot use VBScript variables to dynamically set the path of an include directive.</w:t>
      </w:r>
    </w:p>
    <w:p>
      <w:pPr>
        <w:pStyle w:val="Compact"/>
        <w:numPr>
          <w:ilvl w:val="0"/>
          <w:numId w:val="1158"/>
        </w:numPr>
      </w:pPr>
      <w:r>
        <w:rPr>
          <w:b/>
          <w:bCs/>
        </w:rPr>
        <w:t xml:space="preserve">Scope</w:t>
      </w:r>
      <w:r>
        <w:t xml:space="preserve">: Variables, procedures, and classes defined in an included file are available to the parent script as if they were written directly within it.</w:t>
      </w:r>
    </w:p>
    <w:p>
      <w:pPr>
        <w:pStyle w:val="Compact"/>
        <w:numPr>
          <w:ilvl w:val="0"/>
          <w:numId w:val="1158"/>
        </w:numPr>
      </w:pPr>
      <w:r>
        <w:rPr>
          <w:b/>
          <w:bCs/>
        </w:rPr>
        <w:t xml:space="preserve">Nesting</w:t>
      </w:r>
      <w:r>
        <w:t xml:space="preserve">: Included files can themselves contain</w:t>
      </w:r>
      <w:r>
        <w:t xml:space="preserve"> </w:t>
      </w:r>
      <w:r>
        <w:rPr>
          <w:b/>
          <w:bCs/>
        </w:rPr>
        <w:t xml:space="preserve">#include</w:t>
      </w:r>
      <w:r>
        <w:t xml:space="preserve"> </w:t>
      </w:r>
      <w:r>
        <w:t xml:space="preserve">directives, allowing for deeply nested component architectures.</w:t>
      </w:r>
    </w:p>
    <w:p>
      <w:pPr>
        <w:pStyle w:val="Compact"/>
        <w:numPr>
          <w:ilvl w:val="0"/>
          <w:numId w:val="1158"/>
        </w:numPr>
      </w:pPr>
      <w:r>
        <w:rPr>
          <w:b/>
          <w:bCs/>
        </w:rPr>
        <w:t xml:space="preserve">Circular References</w:t>
      </w:r>
      <w:r>
        <w:t xml:space="preserve">: AxonASP prevents infinite recursion by limiting include depth and detecting circular references.</w:t>
      </w:r>
    </w:p>
    <w:bookmarkEnd w:id="494"/>
    <w:bookmarkStart w:id="495" w:name="remarks-18"/>
    <w:p>
      <w:pPr>
        <w:pStyle w:val="Heading2"/>
      </w:pPr>
      <w:r>
        <w:t xml:space="preserve">Remarks</w:t>
      </w:r>
    </w:p>
    <w:p>
      <w:pPr>
        <w:pStyle w:val="Compact"/>
        <w:numPr>
          <w:ilvl w:val="0"/>
          <w:numId w:val="1159"/>
        </w:numPr>
      </w:pPr>
      <w:r>
        <w:rPr>
          <w:b/>
          <w:bCs/>
        </w:rPr>
        <w:t xml:space="preserve">File Extensions</w:t>
      </w:r>
      <w:r>
        <w:t xml:space="preserve">: While</w:t>
      </w:r>
      <w:r>
        <w:t xml:space="preserve"> </w:t>
      </w:r>
      <w:r>
        <w:rPr>
          <w:rStyle w:val="VerbatimChar"/>
        </w:rPr>
        <w:t xml:space="preserve">.inc</w:t>
      </w:r>
      <w:r>
        <w:t xml:space="preserve"> </w:t>
      </w:r>
      <w:r>
        <w:t xml:space="preserve">and</w:t>
      </w:r>
      <w:r>
        <w:t xml:space="preserve"> </w:t>
      </w:r>
      <w:r>
        <w:rPr>
          <w:rStyle w:val="VerbatimChar"/>
        </w:rPr>
        <w:t xml:space="preserve">.asp</w:t>
      </w:r>
      <w:r>
        <w:t xml:space="preserve"> </w:t>
      </w:r>
      <w:r>
        <w:t xml:space="preserve">are the most common extensions for included files, AxonASP processes any file type specified in the directive as script content.</w:t>
      </w:r>
    </w:p>
    <w:p>
      <w:pPr>
        <w:pStyle w:val="Compact"/>
        <w:numPr>
          <w:ilvl w:val="0"/>
          <w:numId w:val="1159"/>
        </w:numPr>
      </w:pPr>
      <w:r>
        <w:rPr>
          <w:b/>
          <w:bCs/>
        </w:rPr>
        <w:t xml:space="preserve">Performance</w:t>
      </w:r>
      <w:r>
        <w:t xml:space="preserve">: Excessive use of deeply nested includes can impact initial compilation time, though AxonASP’s high-performance script cache mitigates this for subsequent requests.</w:t>
      </w:r>
    </w:p>
    <w:p>
      <w:pPr>
        <w:pStyle w:val="Compact"/>
        <w:numPr>
          <w:ilvl w:val="0"/>
          <w:numId w:val="1159"/>
        </w:numPr>
      </w:pPr>
      <w:r>
        <w:rPr>
          <w:b/>
          <w:bCs/>
        </w:rPr>
        <w:t xml:space="preserve">Alternative</w:t>
      </w:r>
      <w:r>
        <w:t xml:space="preserve">: For dynamic file inclusion during runtime, use</w:t>
      </w:r>
      <w:r>
        <w:t xml:space="preserve"> </w:t>
      </w:r>
      <w:r>
        <w:rPr>
          <w:rStyle w:val="VerbatimChar"/>
        </w:rPr>
        <w:t xml:space="preserve">Server.Execute</w:t>
      </w:r>
      <w:r>
        <w:t xml:space="preserve"> </w:t>
      </w:r>
      <w:r>
        <w:t xml:space="preserve">or</w:t>
      </w:r>
      <w:r>
        <w:t xml:space="preserve"> </w:t>
      </w:r>
      <w:r>
        <w:rPr>
          <w:rStyle w:val="VerbatimChar"/>
        </w:rPr>
        <w:t xml:space="preserve">Server.Transfer</w:t>
      </w:r>
      <w:r>
        <w:t xml:space="preserve">.</w:t>
      </w:r>
    </w:p>
    <w:bookmarkEnd w:id="495"/>
    <w:bookmarkStart w:id="496" w:name="code-example-10"/>
    <w:p>
      <w:pPr>
        <w:pStyle w:val="Heading2"/>
      </w:pPr>
      <w:r>
        <w:t xml:space="preserve">Code Example</w:t>
      </w:r>
    </w:p>
    <w:p>
      <w:pPr>
        <w:pStyle w:val="FirstParagraph"/>
      </w:pPr>
      <w:r>
        <w:t xml:space="preserve">The following example demonstrates a standard page structure using include directives for a consistent layout.</w:t>
      </w:r>
    </w:p>
    <w:p>
      <w:pPr>
        <w:pStyle w:val="SourceCode"/>
      </w:pPr>
      <w:r>
        <w:rPr>
          <w:rStyle w:val="CommentTok"/>
        </w:rPr>
        <w:t xml:space="preserve">&lt;!--#include virtual</w:t>
      </w:r>
      <w:r>
        <w:rPr>
          <w:rStyle w:val="NormalTok"/>
        </w:rPr>
        <w:t xml:space="preserve">=</w:t>
      </w:r>
      <w:r>
        <w:rPr>
          <w:rStyle w:val="StringTok"/>
        </w:rPr>
        <w:t xml:space="preserve">"/includes/config.inc"</w:t>
      </w:r>
      <w:r>
        <w:rPr>
          <w:rStyle w:val="CommentTok"/>
        </w:rPr>
        <w:t xml:space="preserve">--&gt;</w:t>
      </w:r>
      <w:r>
        <w:br/>
      </w:r>
      <w:r>
        <w:rPr>
          <w:rStyle w:val="CommentTok"/>
        </w:rPr>
        <w:t xml:space="preserve">&lt;!--#include file</w:t>
      </w:r>
      <w:r>
        <w:rPr>
          <w:rStyle w:val="NormalTok"/>
        </w:rPr>
        <w:t xml:space="preserve">=</w:t>
      </w:r>
      <w:r>
        <w:rPr>
          <w:rStyle w:val="StringTok"/>
        </w:rPr>
        <w:t xml:space="preserve">"header.inc"</w:t>
      </w:r>
      <w:r>
        <w:rPr>
          <w:rStyle w:val="CommentTok"/>
        </w:rPr>
        <w:t xml:space="preserve">--&gt;</w:t>
      </w:r>
      <w:r>
        <w:br/>
      </w:r>
      <w:r>
        <w:br/>
      </w:r>
      <w:r>
        <w:rPr>
          <w:rStyle w:val="DataTypeTok"/>
        </w:rPr>
        <w:t xml:space="preserve">&lt;%</w:t>
      </w:r>
      <w:r>
        <w:br/>
      </w:r>
      <w:r>
        <w:rPr>
          <w:rStyle w:val="CommentTok"/>
        </w:rPr>
        <w:t xml:space="preserve">' Main page logic</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"&lt;h1&gt;Welcome to the Dashboard&lt;/h1&gt;"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"&lt;p&gt;Connected to: "</w:t>
      </w:r>
      <w:r>
        <w:rPr>
          <w:rStyle w:val="NormalTok"/>
        </w:rPr>
        <w:t xml:space="preserve"> </w:t>
      </w:r>
      <w:r>
        <w:rPr>
          <w:rStyle w:val="KeywordTok"/>
        </w:rPr>
        <w:t xml:space="preserve">&amp;</w:t>
      </w:r>
      <w:r>
        <w:rPr>
          <w:rStyle w:val="NormalTok"/>
        </w:rPr>
        <w:t xml:space="preserve"> DB_NAME </w:t>
      </w:r>
      <w:r>
        <w:rPr>
          <w:rStyle w:val="KeywordTok"/>
        </w:rPr>
        <w:t xml:space="preserve">&amp;</w:t>
      </w:r>
      <w:r>
        <w:rPr>
          <w:rStyle w:val="NormalTok"/>
        </w:rPr>
        <w:t xml:space="preserve"> </w:t>
      </w:r>
      <w:r>
        <w:rPr>
          <w:rStyle w:val="StringTok"/>
        </w:rPr>
        <w:t xml:space="preserve">"&lt;/p&gt;"</w:t>
      </w:r>
      <w:r>
        <w:br/>
      </w:r>
      <w:r>
        <w:rPr>
          <w:rStyle w:val="DataTypeTok"/>
        </w:rPr>
        <w:t xml:space="preserve">%&gt;</w:t>
      </w:r>
      <w:r>
        <w:br/>
      </w:r>
      <w:r>
        <w:br/>
      </w:r>
      <w:r>
        <w:rPr>
          <w:rStyle w:val="CommentTok"/>
        </w:rPr>
        <w:t xml:space="preserve">&lt;!--#include file</w:t>
      </w:r>
      <w:r>
        <w:rPr>
          <w:rStyle w:val="NormalTok"/>
        </w:rPr>
        <w:t xml:space="preserve">=</w:t>
      </w:r>
      <w:r>
        <w:rPr>
          <w:rStyle w:val="StringTok"/>
        </w:rPr>
        <w:t xml:space="preserve">"footer.inc"</w:t>
      </w:r>
      <w:r>
        <w:rPr>
          <w:rStyle w:val="CommentTok"/>
        </w:rPr>
        <w:t xml:space="preserve">--&gt;</w:t>
      </w:r>
    </w:p>
    <w:bookmarkEnd w:id="496"/>
    <w:bookmarkEnd w:id="497"/>
    <w:bookmarkStart w:id="506" w:name="asp-variables"/>
    <w:p>
      <w:pPr>
        <w:pStyle w:val="Heading1"/>
      </w:pPr>
      <w:r>
        <w:t xml:space="preserve">ASP Variables</w:t>
      </w:r>
    </w:p>
    <w:bookmarkStart w:id="498" w:name="overview-29"/>
    <w:p>
      <w:pPr>
        <w:pStyle w:val="Heading2"/>
      </w:pPr>
      <w:r>
        <w:t xml:space="preserve">Overview</w:t>
      </w:r>
    </w:p>
    <w:p>
      <w:pPr>
        <w:pStyle w:val="FirstParagraph"/>
      </w:pPr>
      <w:r>
        <w:t xml:space="preserve">Variables in G3Pix AxonASP are used to store and manipulate data during script execution. In the AxonASP Virtual Machine, every variable is a</w:t>
      </w:r>
      <w:r>
        <w:t xml:space="preserve"> </w:t>
      </w:r>
      <w:r>
        <w:rPr>
          <w:b/>
          <w:bCs/>
        </w:rPr>
        <w:t xml:space="preserve">Variant</w:t>
      </w:r>
      <w:r>
        <w:t xml:space="preserve">, a special data type that can hold different kinds of information, including strings, integers, floating-point numbers, booleans, dates, and object references.</w:t>
      </w:r>
    </w:p>
    <w:bookmarkEnd w:id="498"/>
    <w:bookmarkStart w:id="499" w:name="syntax-7"/>
    <w:p>
      <w:pPr>
        <w:pStyle w:val="Heading2"/>
      </w:pPr>
      <w:r>
        <w:t xml:space="preserve">Syntax</w:t>
      </w:r>
    </w:p>
    <w:p>
      <w:pPr>
        <w:pStyle w:val="FirstParagraph"/>
      </w:pPr>
      <w:r>
        <w:t xml:space="preserve">Variables are declared using the</w:t>
      </w:r>
      <w:r>
        <w:t xml:space="preserve"> </w:t>
      </w:r>
      <w:r>
        <w:rPr>
          <w:b/>
          <w:bCs/>
        </w:rPr>
        <w:t xml:space="preserve">Dim</w:t>
      </w:r>
      <w:r>
        <w:t xml:space="preserve"> </w:t>
      </w:r>
      <w:r>
        <w:t xml:space="preserve">statement and assigned values using the equals operator (=). Object references require the</w:t>
      </w:r>
      <w:r>
        <w:t xml:space="preserve"> </w:t>
      </w:r>
      <w:r>
        <w:rPr>
          <w:b/>
          <w:bCs/>
        </w:rPr>
        <w:t xml:space="preserve">Set</w:t>
      </w:r>
      <w:r>
        <w:t xml:space="preserve"> </w:t>
      </w:r>
      <w:r>
        <w:t xml:space="preserve">keyword.</w:t>
      </w:r>
    </w:p>
    <w:p>
      <w:pPr>
        <w:pStyle w:val="SourceCode"/>
      </w:pPr>
      <w:r>
        <w:rPr>
          <w:rStyle w:val="NormalTok"/>
        </w:rPr>
        <w:t xml:space="preserve">Dim variableName</w:t>
      </w:r>
      <w:r>
        <w:br/>
      </w:r>
      <w:r>
        <w:rPr>
          <w:rStyle w:val="NormalTok"/>
        </w:rPr>
        <w:t xml:space="preserve">variableName = value</w:t>
      </w:r>
      <w:r>
        <w:br/>
      </w:r>
      <w:r>
        <w:br/>
      </w:r>
      <w:r>
        <w:rPr>
          <w:rStyle w:val="NormalTok"/>
        </w:rPr>
        <w:t xml:space="preserve">Set objectVariable = Server.CreateObject("ProgID")</w:t>
      </w:r>
    </w:p>
    <w:bookmarkEnd w:id="499"/>
    <w:bookmarkStart w:id="500" w:name="how-it-works-2"/>
    <w:p>
      <w:pPr>
        <w:pStyle w:val="Heading2"/>
      </w:pPr>
      <w:r>
        <w:t xml:space="preserve">How it Works</w:t>
      </w:r>
    </w:p>
    <w:p>
      <w:pPr>
        <w:pStyle w:val="FirstParagraph"/>
      </w:pPr>
      <w:r>
        <w:t xml:space="preserve">The AxonASP VM manages variables using an efficient, stack-based architecture.</w:t>
      </w:r>
      <w:r>
        <w:t xml:space="preserve"> </w:t>
      </w:r>
      <w:r>
        <w:t xml:space="preserve">-</w:t>
      </w:r>
      <w:r>
        <w:t xml:space="preserve"> </w:t>
      </w:r>
      <w:r>
        <w:rPr>
          <w:b/>
          <w:bCs/>
        </w:rPr>
        <w:t xml:space="preserve">Variant Type</w:t>
      </w:r>
      <w:r>
        <w:t xml:space="preserve">: The engine automatically handles type conversion (coercion) based on the operation performed. For example, adding a string that looks like a number to an integer will result in a numeric addition.</w:t>
      </w:r>
      <w:r>
        <w:t xml:space="preserve"> </w:t>
      </w:r>
      <w:r>
        <w:t xml:space="preserve">-</w:t>
      </w:r>
      <w:r>
        <w:t xml:space="preserve"> </w:t>
      </w:r>
      <w:r>
        <w:rPr>
          <w:b/>
          <w:bCs/>
        </w:rPr>
        <w:t xml:space="preserve">Option Explicit</w:t>
      </w:r>
      <w:r>
        <w:t xml:space="preserve">: This directive forces the explicit declaration of all variables. Using it is a foundational mandate in AxonASP to prevent bugs caused by mistyped variable names.</w:t>
      </w:r>
      <w:r>
        <w:t xml:space="preserve"> </w:t>
      </w:r>
      <w:r>
        <w:t xml:space="preserve">-</w:t>
      </w:r>
      <w:r>
        <w:t xml:space="preserve"> </w:t>
      </w:r>
      <w:r>
        <w:rPr>
          <w:b/>
          <w:bCs/>
        </w:rPr>
        <w:t xml:space="preserve">Scope</w:t>
      </w:r>
      <w:r>
        <w:t xml:space="preserve">:</w:t>
      </w:r>
      <w:r>
        <w:t xml:space="preserve"> </w:t>
      </w:r>
      <w:r>
        <w:t xml:space="preserve">-</w:t>
      </w:r>
      <w:r>
        <w:t xml:space="preserve"> </w:t>
      </w:r>
      <w:r>
        <w:rPr>
          <w:b/>
          <w:bCs/>
        </w:rPr>
        <w:t xml:space="preserve">Local</w:t>
      </w:r>
      <w:r>
        <w:t xml:space="preserve">: Declared within a procedure (Sub or Function); available only within that procedure.</w:t>
      </w:r>
      <w:r>
        <w:t xml:space="preserve"> </w:t>
      </w:r>
      <w:r>
        <w:t xml:space="preserve">-</w:t>
      </w:r>
      <w:r>
        <w:t xml:space="preserve"> </w:t>
      </w:r>
      <w:r>
        <w:rPr>
          <w:b/>
          <w:bCs/>
        </w:rPr>
        <w:t xml:space="preserve">Global</w:t>
      </w:r>
      <w:r>
        <w:t xml:space="preserve">: Declared outside procedures; available to all scripts in the same page and its includes.</w:t>
      </w:r>
      <w:r>
        <w:t xml:space="preserve"> </w:t>
      </w:r>
      <w:r>
        <w:t xml:space="preserve">-</w:t>
      </w:r>
      <w:r>
        <w:t xml:space="preserve"> </w:t>
      </w:r>
      <w:r>
        <w:rPr>
          <w:b/>
          <w:bCs/>
        </w:rPr>
        <w:t xml:space="preserve">Object Lifecycle</w:t>
      </w:r>
      <w:r>
        <w:t xml:space="preserve">: Variables holding object references must be explicitly cleared by setting them to</w:t>
      </w:r>
      <w:r>
        <w:t xml:space="preserve"> </w:t>
      </w:r>
      <w:r>
        <w:rPr>
          <w:b/>
          <w:bCs/>
        </w:rPr>
        <w:t xml:space="preserve">Nothing</w:t>
      </w:r>
      <w:r>
        <w:t xml:space="preserve"> </w:t>
      </w:r>
      <w:r>
        <w:t xml:space="preserve">to ensure immediate resource cleanup.</w:t>
      </w:r>
    </w:p>
    <w:bookmarkEnd w:id="500"/>
    <w:bookmarkStart w:id="503" w:name="api-reference-1"/>
    <w:p>
      <w:pPr>
        <w:pStyle w:val="Heading2"/>
      </w:pPr>
      <w:r>
        <w:t xml:space="preserve">API Reference</w:t>
      </w:r>
    </w:p>
    <w:bookmarkStart w:id="501" w:name="declarations"/>
    <w:p>
      <w:pPr>
        <w:pStyle w:val="Heading3"/>
      </w:pPr>
      <w:r>
        <w:t xml:space="preserve">Declarations</w:t>
      </w:r>
    </w:p>
    <w:p>
      <w:pPr>
        <w:pStyle w:val="Compact"/>
        <w:numPr>
          <w:ilvl w:val="0"/>
          <w:numId w:val="1160"/>
        </w:numPr>
      </w:pPr>
      <w:r>
        <w:rPr>
          <w:b/>
          <w:bCs/>
        </w:rPr>
        <w:t xml:space="preserve">Dim</w:t>
      </w:r>
      <w:r>
        <w:t xml:space="preserve">: The standard way to declare one or more variables.</w:t>
      </w:r>
    </w:p>
    <w:p>
      <w:pPr>
        <w:pStyle w:val="Compact"/>
        <w:numPr>
          <w:ilvl w:val="0"/>
          <w:numId w:val="1160"/>
        </w:numPr>
      </w:pPr>
      <w:r>
        <w:rPr>
          <w:b/>
          <w:bCs/>
        </w:rPr>
        <w:t xml:space="preserve">Public</w:t>
      </w:r>
      <w:r>
        <w:t xml:space="preserve">: Declares variables with global scope (used in classes or global modules).</w:t>
      </w:r>
    </w:p>
    <w:p>
      <w:pPr>
        <w:pStyle w:val="Compact"/>
        <w:numPr>
          <w:ilvl w:val="0"/>
          <w:numId w:val="1160"/>
        </w:numPr>
      </w:pPr>
      <w:r>
        <w:rPr>
          <w:b/>
          <w:bCs/>
        </w:rPr>
        <w:t xml:space="preserve">Private</w:t>
      </w:r>
      <w:r>
        <w:t xml:space="preserve">: Declares variables accessible only within the script or class where they are defined.</w:t>
      </w:r>
    </w:p>
    <w:p>
      <w:pPr>
        <w:pStyle w:val="Compact"/>
        <w:numPr>
          <w:ilvl w:val="0"/>
          <w:numId w:val="1160"/>
        </w:numPr>
      </w:pPr>
      <w:r>
        <w:rPr>
          <w:b/>
          <w:bCs/>
        </w:rPr>
        <w:t xml:space="preserve">Const</w:t>
      </w:r>
      <w:r>
        <w:t xml:space="preserve">: Declares a constant value that cannot be changed during execution.</w:t>
      </w:r>
    </w:p>
    <w:bookmarkEnd w:id="501"/>
    <w:bookmarkStart w:id="502" w:name="assignment"/>
    <w:p>
      <w:pPr>
        <w:pStyle w:val="Heading3"/>
      </w:pPr>
      <w:r>
        <w:t xml:space="preserve">Assignment</w:t>
      </w:r>
    </w:p>
    <w:p>
      <w:pPr>
        <w:pStyle w:val="Compact"/>
        <w:numPr>
          <w:ilvl w:val="0"/>
          <w:numId w:val="1161"/>
        </w:numPr>
      </w:pPr>
      <w:r>
        <w:rPr>
          <w:b/>
          <w:bCs/>
        </w:rPr>
        <w:t xml:space="preserve">=</w:t>
      </w:r>
      <w:r>
        <w:t xml:space="preserve">: Assigns a scalar value (String, Number, Boolean) to a variable.</w:t>
      </w:r>
    </w:p>
    <w:p>
      <w:pPr>
        <w:pStyle w:val="Compact"/>
        <w:numPr>
          <w:ilvl w:val="0"/>
          <w:numId w:val="1161"/>
        </w:numPr>
      </w:pPr>
      <w:r>
        <w:rPr>
          <w:b/>
          <w:bCs/>
        </w:rPr>
        <w:t xml:space="preserve">Set</w:t>
      </w:r>
      <w:r>
        <w:t xml:space="preserve">: Assigns an object reference to a variable.</w:t>
      </w:r>
    </w:p>
    <w:bookmarkEnd w:id="502"/>
    <w:bookmarkEnd w:id="503"/>
    <w:bookmarkStart w:id="504" w:name="remarks-19"/>
    <w:p>
      <w:pPr>
        <w:pStyle w:val="Heading2"/>
      </w:pPr>
      <w:r>
        <w:t xml:space="preserve">Remarks</w:t>
      </w:r>
    </w:p>
    <w:p>
      <w:pPr>
        <w:pStyle w:val="Compact"/>
        <w:numPr>
          <w:ilvl w:val="0"/>
          <w:numId w:val="1162"/>
        </w:numPr>
      </w:pPr>
      <w:r>
        <w:rPr>
          <w:b/>
          <w:bCs/>
        </w:rPr>
        <w:t xml:space="preserve">Naming Conventions</w:t>
      </w:r>
      <w:r>
        <w:t xml:space="preserve">: Variable names must begin with an alphabetic character and cannot contain periods or spaces.</w:t>
      </w:r>
    </w:p>
    <w:p>
      <w:pPr>
        <w:pStyle w:val="Compact"/>
        <w:numPr>
          <w:ilvl w:val="0"/>
          <w:numId w:val="1162"/>
        </w:numPr>
      </w:pPr>
      <w:r>
        <w:rPr>
          <w:b/>
          <w:bCs/>
        </w:rPr>
        <w:t xml:space="preserve">Initialization</w:t>
      </w:r>
      <w:r>
        <w:t xml:space="preserve">: Variables are initialized to</w:t>
      </w:r>
      <w:r>
        <w:t xml:space="preserve"> </w:t>
      </w:r>
      <w:r>
        <w:rPr>
          <w:b/>
          <w:bCs/>
        </w:rPr>
        <w:t xml:space="preserve">Empty</w:t>
      </w:r>
      <w:r>
        <w:t xml:space="preserve"> </w:t>
      </w:r>
      <w:r>
        <w:t xml:space="preserve">by default. Use</w:t>
      </w:r>
      <w:r>
        <w:t xml:space="preserve"> </w:t>
      </w:r>
      <w:r>
        <w:rPr>
          <w:rStyle w:val="VerbatimChar"/>
        </w:rPr>
        <w:t xml:space="preserve">IsEmpty()</w:t>
      </w:r>
      <w:r>
        <w:t xml:space="preserve"> </w:t>
      </w:r>
      <w:r>
        <w:t xml:space="preserve">to check this state.</w:t>
      </w:r>
    </w:p>
    <w:p>
      <w:pPr>
        <w:pStyle w:val="Compact"/>
        <w:numPr>
          <w:ilvl w:val="0"/>
          <w:numId w:val="1162"/>
        </w:numPr>
      </w:pPr>
      <w:r>
        <w:rPr>
          <w:b/>
          <w:bCs/>
        </w:rPr>
        <w:t xml:space="preserve">Case Insensitivity</w:t>
      </w:r>
      <w:r>
        <w:t xml:space="preserve">: Variable names in AxonASP are case-insensitive (</w:t>
      </w:r>
      <w:r>
        <w:rPr>
          <w:rStyle w:val="VerbatimChar"/>
        </w:rPr>
        <w:t xml:space="preserve">myVar</w:t>
      </w:r>
      <w:r>
        <w:t xml:space="preserve"> </w:t>
      </w:r>
      <w:r>
        <w:t xml:space="preserve">is the same as</w:t>
      </w:r>
      <w:r>
        <w:t xml:space="preserve"> </w:t>
      </w:r>
      <w:r>
        <w:rPr>
          <w:rStyle w:val="VerbatimChar"/>
        </w:rPr>
        <w:t xml:space="preserve">MYVAR</w:t>
      </w:r>
      <w:r>
        <w:t xml:space="preserve">).</w:t>
      </w:r>
    </w:p>
    <w:p>
      <w:pPr>
        <w:pStyle w:val="Compact"/>
        <w:numPr>
          <w:ilvl w:val="0"/>
          <w:numId w:val="1162"/>
        </w:numPr>
      </w:pPr>
      <w:r>
        <w:rPr>
          <w:b/>
          <w:bCs/>
        </w:rPr>
        <w:t xml:space="preserve">No Inline Initialization</w:t>
      </w:r>
      <w:r>
        <w:t xml:space="preserve">: You cannot declare and assign a variable on the same line (e.g.,</w:t>
      </w:r>
      <w:r>
        <w:t xml:space="preserve"> </w:t>
      </w:r>
      <w:r>
        <w:rPr>
          <w:rStyle w:val="VerbatimChar"/>
        </w:rPr>
        <w:t xml:space="preserve">Dim x = 10</w:t>
      </w:r>
      <w:r>
        <w:t xml:space="preserve"> </w:t>
      </w:r>
      <w:r>
        <w:t xml:space="preserve">is invalid).</w:t>
      </w:r>
    </w:p>
    <w:bookmarkEnd w:id="504"/>
    <w:bookmarkStart w:id="505" w:name="code-example-11"/>
    <w:p>
      <w:pPr>
        <w:pStyle w:val="Heading2"/>
      </w:pPr>
      <w:r>
        <w:t xml:space="preserve">Code Example</w:t>
      </w:r>
    </w:p>
    <w:p>
      <w:pPr>
        <w:pStyle w:val="FirstParagraph"/>
      </w:pPr>
      <w:r>
        <w:t xml:space="preserve">The following example demonstrates variable declaration, assignment of different types, and proper object handling.</w:t>
      </w:r>
    </w:p>
    <w:p>
      <w:pPr>
        <w:pStyle w:val="SourceCode"/>
      </w:pPr>
      <w:r>
        <w:rPr>
          <w:rStyle w:val="DataTypeTok"/>
        </w:rPr>
        <w:t xml:space="preserve">&lt;%</w:t>
      </w:r>
      <w:r>
        <w:br/>
      </w:r>
      <w:r>
        <w:rPr>
          <w:rStyle w:val="NormalTok"/>
        </w:rPr>
        <w:t xml:space="preserve">Option Explicit</w:t>
      </w:r>
      <w:r>
        <w:br/>
      </w:r>
      <w:r>
        <w:br/>
      </w:r>
      <w:r>
        <w:rPr>
          <w:rStyle w:val="CommentTok"/>
        </w:rPr>
        <w:t xml:space="preserve">' Scalar variables</w:t>
      </w:r>
      <w:r>
        <w:br/>
      </w:r>
      <w:r>
        <w:rPr>
          <w:rStyle w:val="KeywordTok"/>
        </w:rPr>
        <w:t xml:space="preserve">Dim</w:t>
      </w:r>
      <w:r>
        <w:rPr>
          <w:rStyle w:val="NormalTok"/>
        </w:rPr>
        <w:t xml:space="preserve"> userName</w:t>
      </w:r>
      <w:r>
        <w:rPr>
          <w:rStyle w:val="OtherTok"/>
        </w:rPr>
        <w:t xml:space="preserve">,</w:t>
      </w:r>
      <w:r>
        <w:rPr>
          <w:rStyle w:val="NormalTok"/>
        </w:rPr>
        <w:t xml:space="preserve"> userAge</w:t>
      </w:r>
      <w:r>
        <w:rPr>
          <w:rStyle w:val="OtherTok"/>
        </w:rPr>
        <w:t xml:space="preserve">,</w:t>
      </w:r>
      <w:r>
        <w:rPr>
          <w:rStyle w:val="NormalTok"/>
        </w:rPr>
        <w:t xml:space="preserve"> isActive</w:t>
      </w:r>
      <w:r>
        <w:br/>
      </w:r>
      <w:r>
        <w:rPr>
          <w:rStyle w:val="NormalTok"/>
        </w:rPr>
        <w:t xml:space="preserve">userName = </w:t>
      </w:r>
      <w:r>
        <w:rPr>
          <w:rStyle w:val="StringTok"/>
        </w:rPr>
        <w:t xml:space="preserve">"Lucas"</w:t>
      </w:r>
      <w:r>
        <w:br/>
      </w:r>
      <w:r>
        <w:rPr>
          <w:rStyle w:val="NormalTok"/>
        </w:rPr>
        <w:t xml:space="preserve">userAge = </w:t>
      </w:r>
      <w:r>
        <w:rPr>
          <w:rStyle w:val="DecValTok"/>
        </w:rPr>
        <w:t xml:space="preserve">30</w:t>
      </w:r>
      <w:r>
        <w:br/>
      </w:r>
      <w:r>
        <w:rPr>
          <w:rStyle w:val="NormalTok"/>
        </w:rPr>
        <w:t xml:space="preserve">isActive = </w:t>
      </w:r>
      <w:r>
        <w:rPr>
          <w:rStyle w:val="KeywordTok"/>
        </w:rPr>
        <w:t xml:space="preserve">True</w:t>
      </w:r>
      <w:r>
        <w:br/>
      </w:r>
      <w:r>
        <w:br/>
      </w:r>
      <w:r>
        <w:rPr>
          <w:rStyle w:val="CommentTok"/>
        </w:rPr>
        <w:t xml:space="preserve">' Constant declaration</w:t>
      </w:r>
      <w:r>
        <w:br/>
      </w:r>
      <w:r>
        <w:rPr>
          <w:rStyle w:val="KeywordTok"/>
        </w:rPr>
        <w:t xml:space="preserve">Const</w:t>
      </w:r>
      <w:r>
        <w:rPr>
          <w:rStyle w:val="NormalTok"/>
        </w:rPr>
        <w:t xml:space="preserve"> MAX_ATTEMPTS = </w:t>
      </w:r>
      <w:r>
        <w:rPr>
          <w:rStyle w:val="DecValTok"/>
        </w:rPr>
        <w:t xml:space="preserve">5</w:t>
      </w:r>
      <w:r>
        <w:br/>
      </w:r>
      <w:r>
        <w:br/>
      </w:r>
      <w:r>
        <w:rPr>
          <w:rStyle w:val="CommentTok"/>
        </w:rPr>
        <w:t xml:space="preserve">' Object variable</w:t>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rPr>
          <w:rStyle w:val="NormalTok"/>
        </w:rPr>
        <w:t xml:space="preserve">dict.</w:t>
      </w:r>
      <w:r>
        <w:rPr>
          <w:rStyle w:val="FunctionTok"/>
        </w:rPr>
        <w:t xml:space="preserve">Add</w:t>
      </w:r>
      <w:r>
        <w:rPr>
          <w:rStyle w:val="NormalTok"/>
        </w:rPr>
        <w:t xml:space="preserve"> </w:t>
      </w:r>
      <w:r>
        <w:rPr>
          <w:rStyle w:val="StringTok"/>
        </w:rPr>
        <w:t xml:space="preserve">"ID"</w:t>
      </w:r>
      <w:r>
        <w:rPr>
          <w:rStyle w:val="OtherTok"/>
        </w:rPr>
        <w:t xml:space="preserve">,</w:t>
      </w:r>
      <w:r>
        <w:rPr>
          <w:rStyle w:val="NormalTok"/>
        </w:rPr>
        <w:t xml:space="preserve"> </w:t>
      </w:r>
      <w:r>
        <w:rPr>
          <w:rStyle w:val="DecValTok"/>
        </w:rPr>
        <w:t xml:space="preserve">101</w:t>
      </w:r>
      <w:r>
        <w:br/>
      </w:r>
      <w:r>
        <w:rPr>
          <w:rStyle w:val="NormalTok"/>
        </w:rPr>
        <w:t xml:space="preserve">dict.</w:t>
      </w:r>
      <w:r>
        <w:rPr>
          <w:rStyle w:val="FunctionTok"/>
        </w:rPr>
        <w:t xml:space="preserve">Add</w:t>
      </w:r>
      <w:r>
        <w:rPr>
          <w:rStyle w:val="NormalTok"/>
        </w:rPr>
        <w:t xml:space="preserve"> </w:t>
      </w:r>
      <w:r>
        <w:rPr>
          <w:rStyle w:val="StringTok"/>
        </w:rPr>
        <w:t xml:space="preserve">"Status"</w:t>
      </w:r>
      <w:r>
        <w:rPr>
          <w:rStyle w:val="OtherTok"/>
        </w:rPr>
        <w:t xml:space="preserve">,</w:t>
      </w:r>
      <w:r>
        <w:rPr>
          <w:rStyle w:val="NormalTok"/>
        </w:rPr>
        <w:t xml:space="preserve"> </w:t>
      </w:r>
      <w:r>
        <w:rPr>
          <w:rStyle w:val="StringTok"/>
        </w:rPr>
        <w:t xml:space="preserve">"Active"</w:t>
      </w:r>
      <w:r>
        <w:br/>
      </w:r>
      <w:r>
        <w:br/>
      </w:r>
      <w:r>
        <w:rPr>
          <w:rStyle w:val="CommentTok"/>
        </w:rPr>
        <w:t xml:space="preserve">' Output values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"User: "</w:t>
      </w:r>
      <w:r>
        <w:rPr>
          <w:rStyle w:val="NormalTok"/>
        </w:rPr>
        <w:t xml:space="preserve"> </w:t>
      </w:r>
      <w:r>
        <w:rPr>
          <w:rStyle w:val="KeywordTok"/>
        </w:rPr>
        <w:t xml:space="preserve">&amp;</w:t>
      </w:r>
      <w:r>
        <w:rPr>
          <w:rStyle w:val="NormalTok"/>
        </w:rPr>
        <w:t xml:space="preserve"> userName </w:t>
      </w:r>
      <w:r>
        <w:rPr>
          <w:rStyle w:val="KeywordTok"/>
        </w:rPr>
        <w:t xml:space="preserve">&amp;</w:t>
      </w:r>
      <w:r>
        <w:rPr>
          <w:rStyle w:val="NormalTok"/>
        </w:rPr>
        <w:t xml:space="preserve"> </w:t>
      </w:r>
      <w:r>
        <w:rPr>
          <w:rStyle w:val="StringTok"/>
        </w:rPr>
        <w:t xml:space="preserve">" (Age: "</w:t>
      </w:r>
      <w:r>
        <w:rPr>
          <w:rStyle w:val="NormalTok"/>
        </w:rPr>
        <w:t xml:space="preserve"> </w:t>
      </w:r>
      <w:r>
        <w:rPr>
          <w:rStyle w:val="KeywordTok"/>
        </w:rPr>
        <w:t xml:space="preserve">&amp;</w:t>
      </w:r>
      <w:r>
        <w:rPr>
          <w:rStyle w:val="NormalTok"/>
        </w:rPr>
        <w:t xml:space="preserve"> userAge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"Dictionary Count: "</w:t>
      </w:r>
      <w:r>
        <w:rPr>
          <w:rStyle w:val="NormalTok"/>
        </w:rPr>
        <w:t xml:space="preserve"> </w:t>
      </w:r>
      <w:r>
        <w:rPr>
          <w:rStyle w:val="KeywordTok"/>
        </w:rPr>
        <w:t xml:space="preserve">&amp;</w:t>
      </w:r>
      <w:r>
        <w:rPr>
          <w:rStyle w:val="NormalTok"/>
        </w:rPr>
        <w:t xml:space="preserve"> dict.Count</w:t>
      </w:r>
      <w:r>
        <w:br/>
      </w:r>
      <w:r>
        <w:br/>
      </w:r>
      <w:r>
        <w:rPr>
          <w:rStyle w:val="CommentTok"/>
        </w:rPr>
        <w:t xml:space="preserve">' Cleanup</w:t>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505"/>
    <w:bookmarkEnd w:id="506"/>
    <w:bookmarkStart w:id="517" w:name="asp-procedures"/>
    <w:p>
      <w:pPr>
        <w:pStyle w:val="Heading1"/>
      </w:pPr>
      <w:r>
        <w:t xml:space="preserve">ASP Procedures</w:t>
      </w:r>
    </w:p>
    <w:bookmarkStart w:id="507" w:name="overview-30"/>
    <w:p>
      <w:pPr>
        <w:pStyle w:val="Heading2"/>
      </w:pPr>
      <w:r>
        <w:t xml:space="preserve">Overview</w:t>
      </w:r>
    </w:p>
    <w:p>
      <w:pPr>
        <w:pStyle w:val="FirstParagraph"/>
      </w:pPr>
      <w:r>
        <w:t xml:space="preserve">Procedures in G3Pix AxonASP are discrete blocks of code that perform specific tasks. They allow for code modularity, better organization, and the implementation of reusable logic. AxonASP supports two types of procedures:</w:t>
      </w:r>
      <w:r>
        <w:t xml:space="preserve"> </w:t>
      </w:r>
      <w:r>
        <w:rPr>
          <w:b/>
          <w:bCs/>
        </w:rPr>
        <w:t xml:space="preserve">Sub</w:t>
      </w:r>
      <w:r>
        <w:t xml:space="preserve"> </w:t>
      </w:r>
      <w:r>
        <w:t xml:space="preserve">(Subroutines), which perform actions without returning a value, and</w:t>
      </w:r>
      <w:r>
        <w:t xml:space="preserve"> </w:t>
      </w:r>
      <w:r>
        <w:rPr>
          <w:b/>
          <w:bCs/>
        </w:rPr>
        <w:t xml:space="preserve">Function</w:t>
      </w:r>
      <w:r>
        <w:t xml:space="preserve">, which perform calculations and return a result to the caller.</w:t>
      </w:r>
    </w:p>
    <w:bookmarkEnd w:id="507"/>
    <w:bookmarkStart w:id="510" w:name="syntax-8"/>
    <w:p>
      <w:pPr>
        <w:pStyle w:val="Heading2"/>
      </w:pPr>
      <w:r>
        <w:t xml:space="preserve">Syntax</w:t>
      </w:r>
    </w:p>
    <w:p>
      <w:pPr>
        <w:pStyle w:val="FirstParagraph"/>
      </w:pPr>
      <w:r>
        <w:t xml:space="preserve">Procedures are defined using the</w:t>
      </w:r>
      <w:r>
        <w:t xml:space="preserve"> </w:t>
      </w:r>
      <w:r>
        <w:rPr>
          <w:b/>
          <w:bCs/>
        </w:rPr>
        <w:t xml:space="preserve">Sub</w:t>
      </w:r>
      <w:r>
        <w:t xml:space="preserve"> </w:t>
      </w:r>
      <w:r>
        <w:t xml:space="preserve">or</w:t>
      </w:r>
      <w:r>
        <w:t xml:space="preserve"> </w:t>
      </w:r>
      <w:r>
        <w:rPr>
          <w:b/>
          <w:bCs/>
        </w:rPr>
        <w:t xml:space="preserve">Function</w:t>
      </w:r>
      <w:r>
        <w:t xml:space="preserve"> </w:t>
      </w:r>
      <w:r>
        <w:t xml:space="preserve">keywords and must be explicitly closed with</w:t>
      </w:r>
      <w:r>
        <w:t xml:space="preserve"> </w:t>
      </w:r>
      <w:r>
        <w:rPr>
          <w:b/>
          <w:bCs/>
        </w:rPr>
        <w:t xml:space="preserve">End Sub</w:t>
      </w:r>
      <w:r>
        <w:t xml:space="preserve"> </w:t>
      </w:r>
      <w:r>
        <w:t xml:space="preserve">or</w:t>
      </w:r>
      <w:r>
        <w:t xml:space="preserve"> </w:t>
      </w:r>
      <w:r>
        <w:rPr>
          <w:b/>
          <w:bCs/>
        </w:rPr>
        <w:t xml:space="preserve">End Function</w:t>
      </w:r>
      <w:r>
        <w:t xml:space="preserve">.</w:t>
      </w:r>
    </w:p>
    <w:bookmarkStart w:id="508" w:name="subroutine"/>
    <w:p>
      <w:pPr>
        <w:pStyle w:val="Heading3"/>
      </w:pPr>
      <w:r>
        <w:t xml:space="preserve">Subroutine</w:t>
      </w:r>
    </w:p>
    <w:p>
      <w:pPr>
        <w:pStyle w:val="SourceCode"/>
      </w:pPr>
      <w:r>
        <w:rPr>
          <w:rStyle w:val="NormalTok"/>
        </w:rPr>
        <w:t xml:space="preserve">Sub SubName(arg1, arg2)</w:t>
      </w:r>
      <w:r>
        <w:br/>
      </w:r>
      <w:r>
        <w:rPr>
          <w:rStyle w:val="NormalTok"/>
        </w:rPr>
        <w:t xml:space="preserve">    ' logic here</w:t>
      </w:r>
      <w:r>
        <w:br/>
      </w:r>
      <w:r>
        <w:rPr>
          <w:rStyle w:val="NormalTok"/>
        </w:rPr>
        <w:t xml:space="preserve">End Sub</w:t>
      </w:r>
    </w:p>
    <w:bookmarkEnd w:id="508"/>
    <w:bookmarkStart w:id="509" w:name="function"/>
    <w:p>
      <w:pPr>
        <w:pStyle w:val="Heading3"/>
      </w:pPr>
      <w:r>
        <w:t xml:space="preserve">Function</w:t>
      </w:r>
    </w:p>
    <w:p>
      <w:pPr>
        <w:pStyle w:val="SourceCode"/>
      </w:pPr>
      <w:r>
        <w:rPr>
          <w:rStyle w:val="NormalTok"/>
        </w:rPr>
        <w:t xml:space="preserve">Function FuncName(arg1, arg2)</w:t>
      </w:r>
      <w:r>
        <w:br/>
      </w:r>
      <w:r>
        <w:rPr>
          <w:rStyle w:val="NormalTok"/>
        </w:rPr>
        <w:t xml:space="preserve">    ' logic here</w:t>
      </w:r>
      <w:r>
        <w:br/>
      </w:r>
      <w:r>
        <w:rPr>
          <w:rStyle w:val="NormalTok"/>
        </w:rPr>
        <w:t xml:space="preserve">    FuncName = result ' Set return value</w:t>
      </w:r>
      <w:r>
        <w:br/>
      </w:r>
      <w:r>
        <w:rPr>
          <w:rStyle w:val="NormalTok"/>
        </w:rPr>
        <w:t xml:space="preserve">End Function</w:t>
      </w:r>
    </w:p>
    <w:bookmarkEnd w:id="509"/>
    <w:bookmarkEnd w:id="510"/>
    <w:bookmarkStart w:id="511" w:name="how-it-works-3"/>
    <w:p>
      <w:pPr>
        <w:pStyle w:val="Heading2"/>
      </w:pPr>
      <w:r>
        <w:t xml:space="preserve">How it Works</w:t>
      </w:r>
    </w:p>
    <w:p>
      <w:pPr>
        <w:pStyle w:val="FirstParagraph"/>
      </w:pPr>
      <w:r>
        <w:t xml:space="preserve">The AxonASP Virtual Machine executes procedures using a localized stack frame.</w:t>
      </w:r>
      <w:r>
        <w:t xml:space="preserve"> </w:t>
      </w:r>
      <w:r>
        <w:t xml:space="preserve">-</w:t>
      </w:r>
      <w:r>
        <w:t xml:space="preserve"> </w:t>
      </w:r>
      <w:r>
        <w:rPr>
          <w:b/>
          <w:bCs/>
        </w:rPr>
        <w:t xml:space="preserve">Parameters</w:t>
      </w:r>
      <w:r>
        <w:t xml:space="preserve">: Arguments are passed by reference (</w:t>
      </w:r>
      <w:r>
        <w:rPr>
          <w:b/>
          <w:bCs/>
        </w:rPr>
        <w:t xml:space="preserve">ByRef</w:t>
      </w:r>
      <w:r>
        <w:t xml:space="preserve">) by default, meaning changes to the parameter within the procedure affect the original variable. Use the</w:t>
      </w:r>
      <w:r>
        <w:t xml:space="preserve"> </w:t>
      </w:r>
      <w:r>
        <w:rPr>
          <w:b/>
          <w:bCs/>
        </w:rPr>
        <w:t xml:space="preserve">ByVal</w:t>
      </w:r>
      <w:r>
        <w:t xml:space="preserve"> </w:t>
      </w:r>
      <w:r>
        <w:t xml:space="preserve">keyword to pass a copy of the value instead.</w:t>
      </w:r>
      <w:r>
        <w:t xml:space="preserve"> </w:t>
      </w:r>
      <w:r>
        <w:t xml:space="preserve">-</w:t>
      </w:r>
      <w:r>
        <w:t xml:space="preserve"> </w:t>
      </w:r>
      <w:r>
        <w:rPr>
          <w:b/>
          <w:bCs/>
        </w:rPr>
        <w:t xml:space="preserve">Return Values</w:t>
      </w:r>
      <w:r>
        <w:t xml:space="preserve">: To return a value from a function, assign the result to the function’s name within its body.</w:t>
      </w:r>
      <w:r>
        <w:t xml:space="preserve"> </w:t>
      </w:r>
      <w:r>
        <w:t xml:space="preserve">-</w:t>
      </w:r>
      <w:r>
        <w:t xml:space="preserve"> </w:t>
      </w:r>
      <w:r>
        <w:rPr>
          <w:b/>
          <w:bCs/>
        </w:rPr>
        <w:t xml:space="preserve">Call Syntax</w:t>
      </w:r>
      <w:r>
        <w:t xml:space="preserve">:</w:t>
      </w:r>
      <w:r>
        <w:t xml:space="preserve"> </w:t>
      </w:r>
      <w:r>
        <w:t xml:space="preserve">-</w:t>
      </w:r>
      <w:r>
        <w:t xml:space="preserve"> </w:t>
      </w:r>
      <w:r>
        <w:rPr>
          <w:b/>
          <w:bCs/>
        </w:rPr>
        <w:t xml:space="preserve">Subs</w:t>
      </w:r>
      <w:r>
        <w:t xml:space="preserve">: Called without parentheses, or by using the</w:t>
      </w:r>
      <w:r>
        <w:t xml:space="preserve"> </w:t>
      </w:r>
      <w:r>
        <w:rPr>
          <w:b/>
          <w:bCs/>
        </w:rPr>
        <w:t xml:space="preserve">Call</w:t>
      </w:r>
      <w:r>
        <w:t xml:space="preserve"> </w:t>
      </w:r>
      <w:r>
        <w:t xml:space="preserve">keyword with parentheses.</w:t>
      </w:r>
      <w:r>
        <w:t xml:space="preserve"> </w:t>
      </w:r>
      <w:r>
        <w:t xml:space="preserve">-</w:t>
      </w:r>
      <w:r>
        <w:t xml:space="preserve"> </w:t>
      </w:r>
      <w:r>
        <w:rPr>
          <w:b/>
          <w:bCs/>
        </w:rPr>
        <w:t xml:space="preserve">Functions</w:t>
      </w:r>
      <w:r>
        <w:t xml:space="preserve">: Parentheses are required when the return value is being assigned to a variable.</w:t>
      </w:r>
      <w:r>
        <w:t xml:space="preserve"> </w:t>
      </w:r>
      <w:r>
        <w:t xml:space="preserve">-</w:t>
      </w:r>
      <w:r>
        <w:t xml:space="preserve"> </w:t>
      </w:r>
      <w:r>
        <w:rPr>
          <w:b/>
          <w:bCs/>
        </w:rPr>
        <w:t xml:space="preserve">Recursion</w:t>
      </w:r>
      <w:r>
        <w:t xml:space="preserve">: AxonASP supports recursive procedure calls with a safe stack limit.</w:t>
      </w:r>
    </w:p>
    <w:bookmarkEnd w:id="511"/>
    <w:bookmarkStart w:id="514" w:name="api-reference-2"/>
    <w:p>
      <w:pPr>
        <w:pStyle w:val="Heading2"/>
      </w:pPr>
      <w:r>
        <w:t xml:space="preserve">API Reference</w:t>
      </w:r>
    </w:p>
    <w:bookmarkStart w:id="512" w:name="procedure-types"/>
    <w:p>
      <w:pPr>
        <w:pStyle w:val="Heading3"/>
      </w:pPr>
      <w:r>
        <w:t xml:space="preserve">Procedure Types</w:t>
      </w:r>
    </w:p>
    <w:p>
      <w:pPr>
        <w:pStyle w:val="Compact"/>
        <w:numPr>
          <w:ilvl w:val="0"/>
          <w:numId w:val="1163"/>
        </w:numPr>
      </w:pPr>
      <w:r>
        <w:rPr>
          <w:b/>
          <w:bCs/>
        </w:rPr>
        <w:t xml:space="preserve">Sub</w:t>
      </w:r>
      <w:r>
        <w:t xml:space="preserve">: A block of code that performs an action. It cannot be used in expressions.</w:t>
      </w:r>
    </w:p>
    <w:p>
      <w:pPr>
        <w:pStyle w:val="Compact"/>
        <w:numPr>
          <w:ilvl w:val="0"/>
          <w:numId w:val="1163"/>
        </w:numPr>
      </w:pPr>
      <w:r>
        <w:rPr>
          <w:b/>
          <w:bCs/>
        </w:rPr>
        <w:t xml:space="preserve">Function</w:t>
      </w:r>
      <w:r>
        <w:t xml:space="preserve">: A block of code that returns a value. It can be used in expressions and assignments.</w:t>
      </w:r>
    </w:p>
    <w:bookmarkEnd w:id="512"/>
    <w:bookmarkStart w:id="513" w:name="keywords"/>
    <w:p>
      <w:pPr>
        <w:pStyle w:val="Heading3"/>
      </w:pPr>
      <w:r>
        <w:t xml:space="preserve">Keywords</w:t>
      </w:r>
    </w:p>
    <w:p>
      <w:pPr>
        <w:pStyle w:val="Compact"/>
        <w:numPr>
          <w:ilvl w:val="0"/>
          <w:numId w:val="1164"/>
        </w:numPr>
      </w:pPr>
      <w:r>
        <w:rPr>
          <w:b/>
          <w:bCs/>
        </w:rPr>
        <w:t xml:space="preserve">ByRef</w:t>
      </w:r>
      <w:r>
        <w:t xml:space="preserve">: (Default) Passes the memory address of the argument.</w:t>
      </w:r>
    </w:p>
    <w:p>
      <w:pPr>
        <w:pStyle w:val="Compact"/>
        <w:numPr>
          <w:ilvl w:val="0"/>
          <w:numId w:val="1164"/>
        </w:numPr>
      </w:pPr>
      <w:r>
        <w:rPr>
          <w:b/>
          <w:bCs/>
        </w:rPr>
        <w:t xml:space="preserve">ByVal</w:t>
      </w:r>
      <w:r>
        <w:t xml:space="preserve">: Passes a copy of the argument’s value.</w:t>
      </w:r>
    </w:p>
    <w:p>
      <w:pPr>
        <w:pStyle w:val="Compact"/>
        <w:numPr>
          <w:ilvl w:val="0"/>
          <w:numId w:val="1164"/>
        </w:numPr>
      </w:pPr>
      <w:r>
        <w:rPr>
          <w:b/>
          <w:bCs/>
        </w:rPr>
        <w:t xml:space="preserve">Exit Sub / Exit Function</w:t>
      </w:r>
      <w:r>
        <w:t xml:space="preserve">: Immediately terminates execution of the procedure and returns control to the caller.</w:t>
      </w:r>
    </w:p>
    <w:bookmarkEnd w:id="513"/>
    <w:bookmarkEnd w:id="514"/>
    <w:bookmarkStart w:id="515" w:name="remarks-20"/>
    <w:p>
      <w:pPr>
        <w:pStyle w:val="Heading2"/>
      </w:pPr>
      <w:r>
        <w:t xml:space="preserve">Remarks</w:t>
      </w:r>
    </w:p>
    <w:p>
      <w:pPr>
        <w:pStyle w:val="Compact"/>
        <w:numPr>
          <w:ilvl w:val="0"/>
          <w:numId w:val="1165"/>
        </w:numPr>
      </w:pPr>
      <w:r>
        <w:rPr>
          <w:b/>
          <w:bCs/>
        </w:rPr>
        <w:t xml:space="preserve">Scope</w:t>
      </w:r>
      <w:r>
        <w:t xml:space="preserve">: Procedures defined in the main page or its includes are globally accessible throughout that page’s execution.</w:t>
      </w:r>
    </w:p>
    <w:p>
      <w:pPr>
        <w:pStyle w:val="Compact"/>
        <w:numPr>
          <w:ilvl w:val="0"/>
          <w:numId w:val="1165"/>
        </w:numPr>
      </w:pPr>
      <w:r>
        <w:rPr>
          <w:b/>
          <w:bCs/>
        </w:rPr>
        <w:t xml:space="preserve">Parentheses Trap</w:t>
      </w:r>
      <w:r>
        <w:t xml:space="preserve">: A common error is using parentheses when calling a Sub without the</w:t>
      </w:r>
      <w:r>
        <w:t xml:space="preserve"> </w:t>
      </w:r>
      <w:r>
        <w:rPr>
          <w:rStyle w:val="VerbatimChar"/>
        </w:rPr>
        <w:t xml:space="preserve">Call</w:t>
      </w:r>
      <w:r>
        <w:t xml:space="preserve"> </w:t>
      </w:r>
      <w:r>
        <w:t xml:space="preserve">keyword (e.g.,</w:t>
      </w:r>
      <w:r>
        <w:t xml:space="preserve"> </w:t>
      </w:r>
      <w:r>
        <w:rPr>
          <w:rStyle w:val="VerbatimChar"/>
        </w:rPr>
        <w:t xml:space="preserve">MySub(x, y)</w:t>
      </w:r>
      <w:r>
        <w:t xml:space="preserve">). This can cause VBScript to treat the arguments as an expression, leading to unexpected behavior or syntax errors.</w:t>
      </w:r>
    </w:p>
    <w:p>
      <w:pPr>
        <w:pStyle w:val="Compact"/>
        <w:numPr>
          <w:ilvl w:val="0"/>
          <w:numId w:val="1165"/>
        </w:numPr>
      </w:pPr>
      <w:r>
        <w:rPr>
          <w:b/>
          <w:bCs/>
        </w:rPr>
        <w:t xml:space="preserve">Case Insensitivity</w:t>
      </w:r>
      <w:r>
        <w:t xml:space="preserve">: Procedure names are case-insensitive.</w:t>
      </w:r>
    </w:p>
    <w:bookmarkEnd w:id="515"/>
    <w:bookmarkStart w:id="516" w:name="code-example-12"/>
    <w:p>
      <w:pPr>
        <w:pStyle w:val="Heading2"/>
      </w:pPr>
      <w:r>
        <w:t xml:space="preserve">Code Example</w:t>
      </w:r>
    </w:p>
    <w:p>
      <w:pPr>
        <w:pStyle w:val="FirstParagraph"/>
      </w:pPr>
      <w:r>
        <w:t xml:space="preserve">The following example demonstrates the definition and invocation of both a Sub and a Function.</w:t>
      </w:r>
    </w:p>
    <w:p>
      <w:pPr>
        <w:pStyle w:val="SourceCode"/>
      </w:pPr>
      <w:r>
        <w:rPr>
          <w:rStyle w:val="DataTypeTok"/>
        </w:rPr>
        <w:t xml:space="preserve">&lt;%</w:t>
      </w:r>
      <w:r>
        <w:br/>
      </w:r>
      <w:r>
        <w:rPr>
          <w:rStyle w:val="NormalTok"/>
        </w:rPr>
        <w:t xml:space="preserve">Option Explicit</w:t>
      </w:r>
      <w:r>
        <w:br/>
      </w:r>
      <w:r>
        <w:br/>
      </w:r>
      <w:r>
        <w:rPr>
          <w:rStyle w:val="CommentTok"/>
        </w:rPr>
        <w:t xml:space="preserve">' Define a Function to calculate a total with tax</w:t>
      </w:r>
      <w:r>
        <w:br/>
      </w:r>
      <w:r>
        <w:rPr>
          <w:rStyle w:val="KeywordTok"/>
        </w:rPr>
        <w:t xml:space="preserve">Function</w:t>
      </w:r>
      <w:r>
        <w:rPr>
          <w:rStyle w:val="NormalTok"/>
        </w:rPr>
        <w:t xml:space="preserve"> GetTotal</w:t>
      </w:r>
      <w:r>
        <w:rPr>
          <w:rStyle w:val="OtherTok"/>
        </w:rPr>
        <w:t xml:space="preserve">(</w:t>
      </w:r>
      <w:r>
        <w:rPr>
          <w:rStyle w:val="NormalTok"/>
        </w:rPr>
        <w:t xml:space="preserve">price</w:t>
      </w:r>
      <w:r>
        <w:rPr>
          <w:rStyle w:val="OtherTok"/>
        </w:rPr>
        <w:t xml:space="preserve">,</w:t>
      </w:r>
      <w:r>
        <w:rPr>
          <w:rStyle w:val="NormalTok"/>
        </w:rPr>
        <w:t xml:space="preserve"> taxRate</w:t>
      </w:r>
      <w:r>
        <w:rPr>
          <w:rStyle w:val="OtherTok"/>
        </w:rPr>
        <w:t xml:space="preserve">)</w:t>
      </w:r>
      <w:r>
        <w:br/>
      </w:r>
      <w:r>
        <w:rPr>
          <w:rStyle w:val="NormalTok"/>
        </w:rPr>
        <w:t xml:space="preserve">    GetTotal = price * </w:t>
      </w:r>
      <w:r>
        <w:rPr>
          <w:rStyle w:val="OtherTok"/>
        </w:rPr>
        <w:t xml:space="preserve">(</w:t>
      </w:r>
      <w:r>
        <w:rPr>
          <w:rStyle w:val="DecValTok"/>
        </w:rPr>
        <w:t xml:space="preserve">1</w:t>
      </w:r>
      <w:r>
        <w:rPr>
          <w:rStyle w:val="NormalTok"/>
        </w:rPr>
        <w:t xml:space="preserve"> + taxRate</w:t>
      </w:r>
      <w:r>
        <w:rPr>
          <w:rStyle w:val="OtherTok"/>
        </w:rPr>
        <w:t xml:space="preserve">)</w:t>
      </w:r>
      <w:r>
        <w:br/>
      </w:r>
      <w:r>
        <w:rPr>
          <w:rStyle w:val="KeywordTok"/>
        </w:rPr>
        <w:t xml:space="preserve">End Function</w:t>
      </w:r>
      <w:r>
        <w:br/>
      </w:r>
      <w:r>
        <w:br/>
      </w:r>
      <w:r>
        <w:rPr>
          <w:rStyle w:val="CommentTok"/>
        </w:rPr>
        <w:t xml:space="preserve">' Define a Sub to log an operation</w:t>
      </w:r>
      <w:r>
        <w:br/>
      </w:r>
      <w:r>
        <w:rPr>
          <w:rStyle w:val="KeywordTok"/>
        </w:rPr>
        <w:t xml:space="preserve">Sub</w:t>
      </w:r>
      <w:r>
        <w:rPr>
          <w:rStyle w:val="NormalTok"/>
        </w:rPr>
        <w:t xml:space="preserve"> LogOperation</w:t>
      </w:r>
      <w:r>
        <w:rPr>
          <w:rStyle w:val="OtherTok"/>
        </w:rPr>
        <w:t xml:space="preserve">(</w:t>
      </w:r>
      <w:r>
        <w:rPr>
          <w:rStyle w:val="NormalTok"/>
        </w:rPr>
        <w:t xml:space="preserve">msg</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"[LOG]: "</w:t>
      </w:r>
      <w:r>
        <w:rPr>
          <w:rStyle w:val="NormalTok"/>
        </w:rPr>
        <w:t xml:space="preserve"> </w:t>
      </w:r>
      <w:r>
        <w:rPr>
          <w:rStyle w:val="KeywordTok"/>
        </w:rPr>
        <w:t xml:space="preserve">&amp;</w:t>
      </w:r>
      <w:r>
        <w:rPr>
          <w:rStyle w:val="NormalTok"/>
        </w:rPr>
        <w:t xml:space="preserve"> msg </w:t>
      </w:r>
      <w:r>
        <w:rPr>
          <w:rStyle w:val="KeywordTok"/>
        </w:rPr>
        <w:t xml:space="preserve">&amp;</w:t>
      </w:r>
      <w:r>
        <w:rPr>
          <w:rStyle w:val="NormalTok"/>
        </w:rPr>
        <w:t xml:space="preserve"> </w:t>
      </w:r>
      <w:r>
        <w:rPr>
          <w:rStyle w:val="StringTok"/>
        </w:rPr>
        <w:t xml:space="preserve">"&lt;br&gt;"</w:t>
      </w:r>
      <w:r>
        <w:br/>
      </w:r>
      <w:r>
        <w:rPr>
          <w:rStyle w:val="KeywordTok"/>
        </w:rPr>
        <w:t xml:space="preserve">End Sub</w:t>
      </w:r>
      <w:r>
        <w:br/>
      </w:r>
      <w:r>
        <w:br/>
      </w:r>
      <w:r>
        <w:rPr>
          <w:rStyle w:val="CommentTok"/>
        </w:rPr>
        <w:t xml:space="preserve">' --- Main Execution ---</w:t>
      </w:r>
      <w:r>
        <w:br/>
      </w:r>
      <w:r>
        <w:rPr>
          <w:rStyle w:val="KeywordTok"/>
        </w:rPr>
        <w:t xml:space="preserve">Dim</w:t>
      </w:r>
      <w:r>
        <w:rPr>
          <w:rStyle w:val="NormalTok"/>
        </w:rPr>
        <w:t xml:space="preserve"> netPrice</w:t>
      </w:r>
      <w:r>
        <w:rPr>
          <w:rStyle w:val="OtherTok"/>
        </w:rPr>
        <w:t xml:space="preserve">,</w:t>
      </w:r>
      <w:r>
        <w:rPr>
          <w:rStyle w:val="NormalTok"/>
        </w:rPr>
        <w:t xml:space="preserve"> total</w:t>
      </w:r>
      <w:r>
        <w:br/>
      </w:r>
      <w:r>
        <w:rPr>
          <w:rStyle w:val="NormalTok"/>
        </w:rPr>
        <w:t xml:space="preserve">netPrice = </w:t>
      </w:r>
      <w:r>
        <w:rPr>
          <w:rStyle w:val="FloatTok"/>
        </w:rPr>
        <w:t xml:space="preserve">100.00</w:t>
      </w:r>
      <w:r>
        <w:br/>
      </w:r>
      <w:r>
        <w:br/>
      </w:r>
      <w:r>
        <w:rPr>
          <w:rStyle w:val="CommentTok"/>
        </w:rPr>
        <w:t xml:space="preserve">' Function call (parentheses required for assignment)</w:t>
      </w:r>
      <w:r>
        <w:br/>
      </w:r>
      <w:r>
        <w:rPr>
          <w:rStyle w:val="NormalTok"/>
        </w:rPr>
        <w:t xml:space="preserve">total = GetTotal</w:t>
      </w:r>
      <w:r>
        <w:rPr>
          <w:rStyle w:val="OtherTok"/>
        </w:rPr>
        <w:t xml:space="preserve">(</w:t>
      </w:r>
      <w:r>
        <w:rPr>
          <w:rStyle w:val="NormalTok"/>
        </w:rPr>
        <w:t xml:space="preserve">netPrice</w:t>
      </w:r>
      <w:r>
        <w:rPr>
          <w:rStyle w:val="OtherTok"/>
        </w:rPr>
        <w:t xml:space="preserve">,</w:t>
      </w:r>
      <w:r>
        <w:rPr>
          <w:rStyle w:val="NormalTok"/>
        </w:rPr>
        <w:t xml:space="preserve"> </w:t>
      </w:r>
      <w:r>
        <w:rPr>
          <w:rStyle w:val="FloatTok"/>
        </w:rPr>
        <w:t xml:space="preserve">0.15</w:t>
      </w:r>
      <w:r>
        <w:rPr>
          <w:rStyle w:val="OtherTok"/>
        </w:rPr>
        <w:t xml:space="preserve">)</w:t>
      </w:r>
      <w:r>
        <w:br/>
      </w:r>
      <w:r>
        <w:br/>
      </w:r>
      <w:r>
        <w:rPr>
          <w:rStyle w:val="CommentTok"/>
        </w:rPr>
        <w:t xml:space="preserve">' Sub calls (different valid syntaxes)</w:t>
      </w:r>
      <w:r>
        <w:br/>
      </w:r>
      <w:r>
        <w:rPr>
          <w:rStyle w:val="NormalTok"/>
        </w:rPr>
        <w:t xml:space="preserve">LogOperation </w:t>
      </w:r>
      <w:r>
        <w:rPr>
          <w:rStyle w:val="StringTok"/>
        </w:rPr>
        <w:t xml:space="preserve">"Calculation complete."</w:t>
      </w:r>
      <w:r>
        <w:br/>
      </w:r>
      <w:r>
        <w:rPr>
          <w:rStyle w:val="KeywordTok"/>
        </w:rPr>
        <w:t xml:space="preserve">Call</w:t>
      </w:r>
      <w:r>
        <w:rPr>
          <w:rStyle w:val="NormalTok"/>
        </w:rPr>
        <w:t xml:space="preserve"> LogOperation</w:t>
      </w:r>
      <w:r>
        <w:rPr>
          <w:rStyle w:val="OtherTok"/>
        </w:rPr>
        <w:t xml:space="preserve">(</w:t>
      </w:r>
      <w:r>
        <w:rPr>
          <w:rStyle w:val="StringTok"/>
        </w:rPr>
        <w:t xml:space="preserve">"Final total: "</w:t>
      </w:r>
      <w:r>
        <w:rPr>
          <w:rStyle w:val="NormalTok"/>
        </w:rPr>
        <w:t xml:space="preserve"> </w:t>
      </w:r>
      <w:r>
        <w:rPr>
          <w:rStyle w:val="KeywordTok"/>
        </w:rPr>
        <w:t xml:space="preserve">&amp;</w:t>
      </w:r>
      <w:r>
        <w:rPr>
          <w:rStyle w:val="NormalTok"/>
        </w:rPr>
        <w:t xml:space="preserve"> total</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"Amount Due: "</w:t>
      </w:r>
      <w:r>
        <w:rPr>
          <w:rStyle w:val="NormalTok"/>
        </w:rPr>
        <w:t xml:space="preserve"> </w:t>
      </w:r>
      <w:r>
        <w:rPr>
          <w:rStyle w:val="KeywordTok"/>
        </w:rPr>
        <w:t xml:space="preserve">&amp;</w:t>
      </w:r>
      <w:r>
        <w:rPr>
          <w:rStyle w:val="NormalTok"/>
        </w:rPr>
        <w:t xml:space="preserve"> </w:t>
      </w:r>
      <w:r>
        <w:rPr>
          <w:rStyle w:val="FunctionTok"/>
        </w:rPr>
        <w:t xml:space="preserve">FormatCurrency</w:t>
      </w:r>
      <w:r>
        <w:rPr>
          <w:rStyle w:val="OtherTok"/>
        </w:rPr>
        <w:t xml:space="preserve">(</w:t>
      </w:r>
      <w:r>
        <w:rPr>
          <w:rStyle w:val="NormalTok"/>
        </w:rPr>
        <w:t xml:space="preserve">total</w:t>
      </w:r>
      <w:r>
        <w:rPr>
          <w:rStyle w:val="OtherTok"/>
        </w:rPr>
        <w:t xml:space="preserve">)</w:t>
      </w:r>
      <w:r>
        <w:br/>
      </w:r>
      <w:r>
        <w:rPr>
          <w:rStyle w:val="DataTypeTok"/>
        </w:rPr>
        <w:t xml:space="preserve">%&gt;</w:t>
      </w:r>
    </w:p>
    <w:bookmarkEnd w:id="516"/>
    <w:bookmarkEnd w:id="517"/>
    <w:bookmarkStart w:id="527" w:name="asp-conditionals"/>
    <w:p>
      <w:pPr>
        <w:pStyle w:val="Heading1"/>
      </w:pPr>
      <w:r>
        <w:t xml:space="preserve">ASP Conditionals</w:t>
      </w:r>
    </w:p>
    <w:bookmarkStart w:id="518" w:name="overview-31"/>
    <w:p>
      <w:pPr>
        <w:pStyle w:val="Heading2"/>
      </w:pPr>
      <w:r>
        <w:t xml:space="preserve">Overview</w:t>
      </w:r>
    </w:p>
    <w:p>
      <w:pPr>
        <w:pStyle w:val="FirstParagraph"/>
      </w:pPr>
      <w:r>
        <w:t xml:space="preserve">Conditionals in G3Pix AxonASP allow your script to make decisions and execute different blocks of code based on specific criteria. The AxonASP Virtual Machine supports traditional boolean logic and comparison operations, providing the primary flow control mechanisms for dynamic application logic.</w:t>
      </w:r>
    </w:p>
    <w:bookmarkEnd w:id="518"/>
    <w:bookmarkStart w:id="521" w:name="syntax-9"/>
    <w:p>
      <w:pPr>
        <w:pStyle w:val="Heading2"/>
      </w:pPr>
      <w:r>
        <w:t xml:space="preserve">Syntax</w:t>
      </w:r>
    </w:p>
    <w:p>
      <w:pPr>
        <w:pStyle w:val="FirstParagraph"/>
      </w:pPr>
      <w:r>
        <w:t xml:space="preserve">AxonASP supports two main conditional structures:</w:t>
      </w:r>
      <w:r>
        <w:t xml:space="preserve"> </w:t>
      </w:r>
      <w:r>
        <w:rPr>
          <w:b/>
          <w:bCs/>
        </w:rPr>
        <w:t xml:space="preserve">If…Then…Else</w:t>
      </w:r>
      <w:r>
        <w:t xml:space="preserve"> </w:t>
      </w:r>
      <w:r>
        <w:t xml:space="preserve">and</w:t>
      </w:r>
      <w:r>
        <w:t xml:space="preserve"> </w:t>
      </w:r>
      <w:r>
        <w:rPr>
          <w:b/>
          <w:bCs/>
        </w:rPr>
        <w:t xml:space="preserve">Select Case</w:t>
      </w:r>
      <w:r>
        <w:t xml:space="preserve">.</w:t>
      </w:r>
    </w:p>
    <w:bookmarkStart w:id="519" w:name="if-statement"/>
    <w:p>
      <w:pPr>
        <w:pStyle w:val="Heading3"/>
      </w:pPr>
      <w:r>
        <w:t xml:space="preserve">If Statement</w:t>
      </w:r>
    </w:p>
    <w:p>
      <w:pPr>
        <w:pStyle w:val="SourceCode"/>
      </w:pPr>
      <w:r>
        <w:rPr>
          <w:rStyle w:val="NormalTok"/>
        </w:rPr>
        <w:t xml:space="preserve">If condition Then</w:t>
      </w:r>
      <w:r>
        <w:br/>
      </w:r>
      <w:r>
        <w:rPr>
          <w:rStyle w:val="NormalTok"/>
        </w:rPr>
        <w:t xml:space="preserve">    ' Code for True</w:t>
      </w:r>
      <w:r>
        <w:br/>
      </w:r>
      <w:r>
        <w:rPr>
          <w:rStyle w:val="NormalTok"/>
        </w:rPr>
        <w:t xml:space="preserve">ElseIf otherCondition Then</w:t>
      </w:r>
      <w:r>
        <w:br/>
      </w:r>
      <w:r>
        <w:rPr>
          <w:rStyle w:val="NormalTok"/>
        </w:rPr>
        <w:t xml:space="preserve">    ' Code for other True</w:t>
      </w:r>
      <w:r>
        <w:br/>
      </w:r>
      <w:r>
        <w:rPr>
          <w:rStyle w:val="NormalTok"/>
        </w:rPr>
        <w:t xml:space="preserve">Else</w:t>
      </w:r>
      <w:r>
        <w:br/>
      </w:r>
      <w:r>
        <w:rPr>
          <w:rStyle w:val="NormalTok"/>
        </w:rPr>
        <w:t xml:space="preserve">    ' Default code</w:t>
      </w:r>
      <w:r>
        <w:br/>
      </w:r>
      <w:r>
        <w:rPr>
          <w:rStyle w:val="NormalTok"/>
        </w:rPr>
        <w:t xml:space="preserve">End If</w:t>
      </w:r>
    </w:p>
    <w:bookmarkEnd w:id="519"/>
    <w:bookmarkStart w:id="520" w:name="select-case-statement"/>
    <w:p>
      <w:pPr>
        <w:pStyle w:val="Heading3"/>
      </w:pPr>
      <w:r>
        <w:t xml:space="preserve">Select Case Statement</w:t>
      </w:r>
    </w:p>
    <w:p>
      <w:pPr>
        <w:pStyle w:val="SourceCode"/>
      </w:pPr>
      <w:r>
        <w:rPr>
          <w:rStyle w:val="NormalTok"/>
        </w:rPr>
        <w:t xml:space="preserve">Select Case variable</w:t>
      </w:r>
      <w:r>
        <w:br/>
      </w:r>
      <w:r>
        <w:rPr>
          <w:rStyle w:val="NormalTok"/>
        </w:rPr>
        <w:t xml:space="preserve">    Case value1</w:t>
      </w:r>
      <w:r>
        <w:br/>
      </w:r>
      <w:r>
        <w:rPr>
          <w:rStyle w:val="NormalTok"/>
        </w:rPr>
        <w:t xml:space="preserve">        ' Code for value1</w:t>
      </w:r>
      <w:r>
        <w:br/>
      </w:r>
      <w:r>
        <w:rPr>
          <w:rStyle w:val="NormalTok"/>
        </w:rPr>
        <w:t xml:space="preserve">    Case value2</w:t>
      </w:r>
      <w:r>
        <w:br/>
      </w:r>
      <w:r>
        <w:rPr>
          <w:rStyle w:val="NormalTok"/>
        </w:rPr>
        <w:t xml:space="preserve">        ' Code for value2</w:t>
      </w:r>
      <w:r>
        <w:br/>
      </w:r>
      <w:r>
        <w:rPr>
          <w:rStyle w:val="NormalTok"/>
        </w:rPr>
        <w:t xml:space="preserve">    Case Else</w:t>
      </w:r>
      <w:r>
        <w:br/>
      </w:r>
      <w:r>
        <w:rPr>
          <w:rStyle w:val="NormalTok"/>
        </w:rPr>
        <w:t xml:space="preserve">        ' Default code</w:t>
      </w:r>
      <w:r>
        <w:br/>
      </w:r>
      <w:r>
        <w:rPr>
          <w:rStyle w:val="NormalTok"/>
        </w:rPr>
        <w:t xml:space="preserve">End Select</w:t>
      </w:r>
    </w:p>
    <w:bookmarkEnd w:id="520"/>
    <w:bookmarkEnd w:id="521"/>
    <w:bookmarkStart w:id="522" w:name="how-it-works-4"/>
    <w:p>
      <w:pPr>
        <w:pStyle w:val="Heading2"/>
      </w:pPr>
      <w:r>
        <w:t xml:space="preserve">How it Works</w:t>
      </w:r>
    </w:p>
    <w:p>
      <w:pPr>
        <w:pStyle w:val="FirstParagraph"/>
      </w:pPr>
      <w:r>
        <w:t xml:space="preserve">Conditionals evaluate expressions into boolean values (</w:t>
      </w:r>
      <w:r>
        <w:rPr>
          <w:b/>
          <w:bCs/>
        </w:rPr>
        <w:t xml:space="preserve">True</w:t>
      </w:r>
      <w:r>
        <w:t xml:space="preserve"> </w:t>
      </w:r>
      <w:r>
        <w:t xml:space="preserve">or</w:t>
      </w:r>
      <w:r>
        <w:t xml:space="preserve"> </w:t>
      </w:r>
      <w:r>
        <w:rPr>
          <w:b/>
          <w:bCs/>
        </w:rPr>
        <w:t xml:space="preserve">False</w:t>
      </w:r>
      <w:r>
        <w:t xml:space="preserve">).</w:t>
      </w:r>
      <w:r>
        <w:t xml:space="preserve"> </w:t>
      </w:r>
      <w:r>
        <w:t xml:space="preserve">-</w:t>
      </w:r>
      <w:r>
        <w:t xml:space="preserve"> </w:t>
      </w:r>
      <w:r>
        <w:rPr>
          <w:b/>
          <w:bCs/>
        </w:rPr>
        <w:t xml:space="preserve">Comparison Operators</w:t>
      </w:r>
      <w:r>
        <w:t xml:space="preserve">: Includes</w:t>
      </w:r>
      <w:r>
        <w:t xml:space="preserve"> </w:t>
      </w:r>
      <w:r>
        <w:rPr>
          <w:rStyle w:val="VerbatimChar"/>
        </w:rPr>
        <w:t xml:space="preserve">=</w:t>
      </w:r>
      <w:r>
        <w:t xml:space="preserve">,</w:t>
      </w:r>
      <w:r>
        <w:t xml:space="preserve"> </w:t>
      </w:r>
      <w:r>
        <w:rPr>
          <w:rStyle w:val="VerbatimChar"/>
        </w:rPr>
        <w:t xml:space="preserve">&lt;&gt;</w:t>
      </w:r>
      <w:r>
        <w:t xml:space="preserve">,</w:t>
      </w:r>
      <w:r>
        <w:t xml:space="preserve"> </w:t>
      </w:r>
      <w:r>
        <w:rPr>
          <w:rStyle w:val="VerbatimChar"/>
        </w:rPr>
        <w:t xml:space="preserve">&lt;</w:t>
      </w:r>
      <w:r>
        <w:t xml:space="preserve">,</w:t>
      </w:r>
      <w:r>
        <w:t xml:space="preserve"> </w:t>
      </w:r>
      <w:r>
        <w:rPr>
          <w:rStyle w:val="VerbatimChar"/>
        </w:rPr>
        <w:t xml:space="preserve">&gt;</w:t>
      </w:r>
      <w:r>
        <w:t xml:space="preserve">,</w:t>
      </w:r>
      <w:r>
        <w:t xml:space="preserve"> </w:t>
      </w:r>
      <w:r>
        <w:rPr>
          <w:rStyle w:val="VerbatimChar"/>
        </w:rPr>
        <w:t xml:space="preserve">&lt;=</w:t>
      </w:r>
      <w:r>
        <w:t xml:space="preserve">, and</w:t>
      </w:r>
      <w:r>
        <w:t xml:space="preserve"> </w:t>
      </w:r>
      <w:r>
        <w:rPr>
          <w:rStyle w:val="VerbatimChar"/>
        </w:rPr>
        <w:t xml:space="preserve">&gt;=</w:t>
      </w:r>
      <w:r>
        <w:t xml:space="preserve">.</w:t>
      </w:r>
      <w:r>
        <w:t xml:space="preserve"> </w:t>
      </w:r>
      <w:r>
        <w:t xml:space="preserve">-</w:t>
      </w:r>
      <w:r>
        <w:t xml:space="preserve"> </w:t>
      </w:r>
      <w:r>
        <w:rPr>
          <w:b/>
          <w:bCs/>
        </w:rPr>
        <w:t xml:space="preserve">Logical Operators</w:t>
      </w:r>
      <w:r>
        <w:t xml:space="preserve">: Includes</w:t>
      </w:r>
      <w:r>
        <w:t xml:space="preserve"> </w:t>
      </w:r>
      <w:r>
        <w:rPr>
          <w:rStyle w:val="VerbatimChar"/>
        </w:rPr>
        <w:t xml:space="preserve">And</w:t>
      </w:r>
      <w:r>
        <w:t xml:space="preserve">,</w:t>
      </w:r>
      <w:r>
        <w:t xml:space="preserve"> </w:t>
      </w:r>
      <w:r>
        <w:rPr>
          <w:rStyle w:val="VerbatimChar"/>
        </w:rPr>
        <w:t xml:space="preserve">Or</w:t>
      </w:r>
      <w:r>
        <w:t xml:space="preserve">,</w:t>
      </w:r>
      <w:r>
        <w:t xml:space="preserve"> </w:t>
      </w:r>
      <w:r>
        <w:rPr>
          <w:rStyle w:val="VerbatimChar"/>
        </w:rPr>
        <w:t xml:space="preserve">Not</w:t>
      </w:r>
      <w:r>
        <w:t xml:space="preserve">, and</w:t>
      </w:r>
      <w:r>
        <w:t xml:space="preserve"> </w:t>
      </w:r>
      <w:r>
        <w:rPr>
          <w:rStyle w:val="VerbatimChar"/>
        </w:rPr>
        <w:t xml:space="preserve">Xor</w:t>
      </w:r>
      <w:r>
        <w:t xml:space="preserve">.</w:t>
      </w:r>
      <w:r>
        <w:t xml:space="preserve"> </w:t>
      </w:r>
      <w:r>
        <w:t xml:space="preserve">-</w:t>
      </w:r>
      <w:r>
        <w:t xml:space="preserve"> </w:t>
      </w:r>
      <w:r>
        <w:rPr>
          <w:b/>
          <w:bCs/>
        </w:rPr>
        <w:t xml:space="preserve">Short-Circuit Evaluation</w:t>
      </w:r>
      <w:r>
        <w:t xml:space="preserve">:</w:t>
      </w:r>
      <w:r>
        <w:t xml:space="preserve"> </w:t>
      </w:r>
      <w:r>
        <w:rPr>
          <w:b/>
          <w:bCs/>
        </w:rPr>
        <w:t xml:space="preserve">WARNING</w:t>
      </w:r>
      <w:r>
        <w:t xml:space="preserve">: VBScript does</w:t>
      </w:r>
      <w:r>
        <w:t xml:space="preserve"> </w:t>
      </w:r>
      <w:r>
        <w:rPr>
          <w:i/>
          <w:iCs/>
        </w:rPr>
        <w:t xml:space="preserve">not</w:t>
      </w:r>
      <w:r>
        <w:t xml:space="preserve"> </w:t>
      </w:r>
      <w:r>
        <w:t xml:space="preserve">support short-circuit evaluation. In an expression like</w:t>
      </w:r>
      <w:r>
        <w:t xml:space="preserve"> </w:t>
      </w:r>
      <w:r>
        <w:rPr>
          <w:rStyle w:val="VerbatimChar"/>
        </w:rPr>
        <w:t xml:space="preserve">If A And B Then</w:t>
      </w:r>
      <w:r>
        <w:t xml:space="preserve">, both</w:t>
      </w:r>
      <w:r>
        <w:t xml:space="preserve"> </w:t>
      </w:r>
      <w:r>
        <w:rPr>
          <w:rStyle w:val="VerbatimChar"/>
        </w:rPr>
        <w:t xml:space="preserve">A</w:t>
      </w:r>
      <w:r>
        <w:t xml:space="preserve"> </w:t>
      </w:r>
      <w:r>
        <w:t xml:space="preserve">and</w:t>
      </w:r>
      <w:r>
        <w:t xml:space="preserve"> </w:t>
      </w:r>
      <w:r>
        <w:rPr>
          <w:rStyle w:val="VerbatimChar"/>
        </w:rPr>
        <w:t xml:space="preserve">B</w:t>
      </w:r>
      <w:r>
        <w:t xml:space="preserve"> </w:t>
      </w:r>
      <w:r>
        <w:t xml:space="preserve">are always evaluated. If</w:t>
      </w:r>
      <w:r>
        <w:t xml:space="preserve"> </w:t>
      </w:r>
      <w:r>
        <w:rPr>
          <w:rStyle w:val="VerbatimChar"/>
        </w:rPr>
        <w:t xml:space="preserve">B</w:t>
      </w:r>
      <w:r>
        <w:t xml:space="preserve"> </w:t>
      </w:r>
      <w:r>
        <w:t xml:space="preserve">relies on</w:t>
      </w:r>
      <w:r>
        <w:t xml:space="preserve"> </w:t>
      </w:r>
      <w:r>
        <w:rPr>
          <w:rStyle w:val="VerbatimChar"/>
        </w:rPr>
        <w:t xml:space="preserve">A</w:t>
      </w:r>
      <w:r>
        <w:t xml:space="preserve"> </w:t>
      </w:r>
      <w:r>
        <w:t xml:space="preserve">being true (e.g., checking an object property after checking if it exists), you must use nested</w:t>
      </w:r>
      <w:r>
        <w:t xml:space="preserve"> </w:t>
      </w:r>
      <w:r>
        <w:rPr>
          <w:b/>
          <w:bCs/>
        </w:rPr>
        <w:t xml:space="preserve">If</w:t>
      </w:r>
      <w:r>
        <w:t xml:space="preserve"> </w:t>
      </w:r>
      <w:r>
        <w:t xml:space="preserve">statements to avoid runtime errors.</w:t>
      </w:r>
      <w:r>
        <w:t xml:space="preserve"> </w:t>
      </w:r>
      <w:r>
        <w:t xml:space="preserve">-</w:t>
      </w:r>
      <w:r>
        <w:t xml:space="preserve"> </w:t>
      </w:r>
      <w:r>
        <w:rPr>
          <w:b/>
          <w:bCs/>
        </w:rPr>
        <w:t xml:space="preserve">Select Case Semantics</w:t>
      </w:r>
      <w:r>
        <w:t xml:space="preserve">: The</w:t>
      </w:r>
      <w:r>
        <w:t xml:space="preserve"> </w:t>
      </w:r>
      <w:r>
        <w:rPr>
          <w:rStyle w:val="VerbatimChar"/>
        </w:rPr>
        <w:t xml:space="preserve">Select Case</w:t>
      </w:r>
      <w:r>
        <w:t xml:space="preserve"> </w:t>
      </w:r>
      <w:r>
        <w:t xml:space="preserve">statement performs a series of equality comparisons. Unlike some other languages, once a matching case is executed, the entire block terminates; there is no</w:t>
      </w:r>
      <w:r>
        <w:t xml:space="preserve"> </w:t>
      </w:r>
      <w:r>
        <w:t xml:space="preserve">“fall-through”</w:t>
      </w:r>
      <w:r>
        <w:t xml:space="preserve"> </w:t>
      </w:r>
      <w:r>
        <w:t xml:space="preserve">behavior.</w:t>
      </w:r>
    </w:p>
    <w:bookmarkEnd w:id="522"/>
    <w:bookmarkStart w:id="524" w:name="api-reference-3"/>
    <w:p>
      <w:pPr>
        <w:pStyle w:val="Heading2"/>
      </w:pPr>
      <w:r>
        <w:t xml:space="preserve">API Reference</w:t>
      </w:r>
    </w:p>
    <w:bookmarkStart w:id="523" w:name="keywords-1"/>
    <w:p>
      <w:pPr>
        <w:pStyle w:val="Heading3"/>
      </w:pPr>
      <w:r>
        <w:t xml:space="preserve">Keywords</w:t>
      </w:r>
    </w:p>
    <w:p>
      <w:pPr>
        <w:pStyle w:val="Compact"/>
        <w:numPr>
          <w:ilvl w:val="0"/>
          <w:numId w:val="1166"/>
        </w:numPr>
      </w:pPr>
      <w:r>
        <w:rPr>
          <w:b/>
          <w:bCs/>
        </w:rPr>
        <w:t xml:space="preserve">If…Then</w:t>
      </w:r>
      <w:r>
        <w:t xml:space="preserve">: Starts a conditional block.</w:t>
      </w:r>
    </w:p>
    <w:p>
      <w:pPr>
        <w:pStyle w:val="Compact"/>
        <w:numPr>
          <w:ilvl w:val="0"/>
          <w:numId w:val="1166"/>
        </w:numPr>
      </w:pPr>
      <w:r>
        <w:rPr>
          <w:b/>
          <w:bCs/>
        </w:rPr>
        <w:t xml:space="preserve">ElseIf</w:t>
      </w:r>
      <w:r>
        <w:t xml:space="preserve">: Provides an alternative condition if previous ones are false.</w:t>
      </w:r>
    </w:p>
    <w:p>
      <w:pPr>
        <w:pStyle w:val="Compact"/>
        <w:numPr>
          <w:ilvl w:val="0"/>
          <w:numId w:val="1166"/>
        </w:numPr>
      </w:pPr>
      <w:r>
        <w:rPr>
          <w:b/>
          <w:bCs/>
        </w:rPr>
        <w:t xml:space="preserve">Else</w:t>
      </w:r>
      <w:r>
        <w:t xml:space="preserve">: Provides a catch-all block if no conditions are met.</w:t>
      </w:r>
    </w:p>
    <w:p>
      <w:pPr>
        <w:pStyle w:val="Compact"/>
        <w:numPr>
          <w:ilvl w:val="0"/>
          <w:numId w:val="1166"/>
        </w:numPr>
      </w:pPr>
      <w:r>
        <w:rPr>
          <w:b/>
          <w:bCs/>
        </w:rPr>
        <w:t xml:space="preserve">End If</w:t>
      </w:r>
      <w:r>
        <w:t xml:space="preserve">: Required to close a block</w:t>
      </w:r>
      <w:r>
        <w:t xml:space="preserve"> </w:t>
      </w:r>
      <w:r>
        <w:rPr>
          <w:b/>
          <w:bCs/>
        </w:rPr>
        <w:t xml:space="preserve">If</w:t>
      </w:r>
      <w:r>
        <w:t xml:space="preserve"> </w:t>
      </w:r>
      <w:r>
        <w:t xml:space="preserve">statement.</w:t>
      </w:r>
    </w:p>
    <w:p>
      <w:pPr>
        <w:pStyle w:val="Compact"/>
        <w:numPr>
          <w:ilvl w:val="0"/>
          <w:numId w:val="1166"/>
        </w:numPr>
      </w:pPr>
      <w:r>
        <w:rPr>
          <w:b/>
          <w:bCs/>
        </w:rPr>
        <w:t xml:space="preserve">Select Case</w:t>
      </w:r>
      <w:r>
        <w:t xml:space="preserve">: Starts a multi-way branch block.</w:t>
      </w:r>
    </w:p>
    <w:p>
      <w:pPr>
        <w:pStyle w:val="Compact"/>
        <w:numPr>
          <w:ilvl w:val="0"/>
          <w:numId w:val="1166"/>
        </w:numPr>
      </w:pPr>
      <w:r>
        <w:rPr>
          <w:b/>
          <w:bCs/>
        </w:rPr>
        <w:t xml:space="preserve">Case</w:t>
      </w:r>
      <w:r>
        <w:t xml:space="preserve">: Defines a value to match against the expression.</w:t>
      </w:r>
    </w:p>
    <w:p>
      <w:pPr>
        <w:pStyle w:val="Compact"/>
        <w:numPr>
          <w:ilvl w:val="0"/>
          <w:numId w:val="1166"/>
        </w:numPr>
      </w:pPr>
      <w:r>
        <w:rPr>
          <w:b/>
          <w:bCs/>
        </w:rPr>
        <w:t xml:space="preserve">Case Else</w:t>
      </w:r>
      <w:r>
        <w:t xml:space="preserve">: Optional catch-all for the</w:t>
      </w:r>
      <w:r>
        <w:t xml:space="preserve"> </w:t>
      </w:r>
      <w:r>
        <w:rPr>
          <w:b/>
          <w:bCs/>
        </w:rPr>
        <w:t xml:space="preserve">Select Case</w:t>
      </w:r>
      <w:r>
        <w:t xml:space="preserve"> </w:t>
      </w:r>
      <w:r>
        <w:t xml:space="preserve">block.</w:t>
      </w:r>
    </w:p>
    <w:bookmarkEnd w:id="523"/>
    <w:bookmarkEnd w:id="524"/>
    <w:bookmarkStart w:id="525" w:name="remarks-21"/>
    <w:p>
      <w:pPr>
        <w:pStyle w:val="Heading2"/>
      </w:pPr>
      <w:r>
        <w:t xml:space="preserve">Remarks</w:t>
      </w:r>
    </w:p>
    <w:p>
      <w:pPr>
        <w:pStyle w:val="Compact"/>
        <w:numPr>
          <w:ilvl w:val="0"/>
          <w:numId w:val="1167"/>
        </w:numPr>
      </w:pPr>
      <w:r>
        <w:rPr>
          <w:b/>
          <w:bCs/>
        </w:rPr>
        <w:t xml:space="preserve">Mandatory Block Syntax</w:t>
      </w:r>
      <w:r>
        <w:t xml:space="preserve">: In AxonASP, you should always use the block</w:t>
      </w:r>
      <w:r>
        <w:t xml:space="preserve"> </w:t>
      </w:r>
      <w:r>
        <w:rPr>
          <w:rStyle w:val="VerbatimChar"/>
        </w:rPr>
        <w:t xml:space="preserve">If...Then...End If</w:t>
      </w:r>
      <w:r>
        <w:t xml:space="preserve"> </w:t>
      </w:r>
      <w:r>
        <w:t xml:space="preserve">syntax. Single-line</w:t>
      </w:r>
      <w:r>
        <w:t xml:space="preserve"> </w:t>
      </w:r>
      <w:r>
        <w:rPr>
          <w:rStyle w:val="VerbatimChar"/>
        </w:rPr>
        <w:t xml:space="preserve">If</w:t>
      </w:r>
      <w:r>
        <w:t xml:space="preserve"> </w:t>
      </w:r>
      <w:r>
        <w:t xml:space="preserve">statements are discouraged as they are prone to parsing errors in complex scripts.</w:t>
      </w:r>
    </w:p>
    <w:p>
      <w:pPr>
        <w:pStyle w:val="Compact"/>
        <w:numPr>
          <w:ilvl w:val="0"/>
          <w:numId w:val="1167"/>
        </w:numPr>
      </w:pPr>
      <w:r>
        <w:rPr>
          <w:b/>
          <w:bCs/>
        </w:rPr>
        <w:t xml:space="preserve">Coercion</w:t>
      </w:r>
      <w:r>
        <w:t xml:space="preserve">: Non-boolean values are coerced during evaluation. For example, the integer</w:t>
      </w:r>
      <w:r>
        <w:t xml:space="preserve"> </w:t>
      </w:r>
      <w:r>
        <w:rPr>
          <w:rStyle w:val="VerbatimChar"/>
        </w:rPr>
        <w:t xml:space="preserve">0</w:t>
      </w:r>
      <w:r>
        <w:t xml:space="preserve"> </w:t>
      </w:r>
      <w:r>
        <w:t xml:space="preserve">is treated as</w:t>
      </w:r>
      <w:r>
        <w:t xml:space="preserve"> </w:t>
      </w:r>
      <w:r>
        <w:rPr>
          <w:b/>
          <w:bCs/>
        </w:rPr>
        <w:t xml:space="preserve">False</w:t>
      </w:r>
      <w:r>
        <w:t xml:space="preserve">, and non-zero integers are treated as</w:t>
      </w:r>
      <w:r>
        <w:t xml:space="preserve"> </w:t>
      </w:r>
      <w:r>
        <w:rPr>
          <w:b/>
          <w:bCs/>
        </w:rPr>
        <w:t xml:space="preserve">True</w:t>
      </w:r>
      <w:r>
        <w:t xml:space="preserve">.</w:t>
      </w:r>
    </w:p>
    <w:p>
      <w:pPr>
        <w:pStyle w:val="Compact"/>
        <w:numPr>
          <w:ilvl w:val="0"/>
          <w:numId w:val="1167"/>
        </w:numPr>
      </w:pPr>
      <w:r>
        <w:rPr>
          <w:b/>
          <w:bCs/>
        </w:rPr>
        <w:t xml:space="preserve">Case Insensitivity</w:t>
      </w:r>
      <w:r>
        <w:t xml:space="preserve">: String comparisons using</w:t>
      </w:r>
      <w:r>
        <w:t xml:space="preserve"> </w:t>
      </w:r>
      <w:r>
        <w:rPr>
          <w:rStyle w:val="VerbatimChar"/>
        </w:rPr>
        <w:t xml:space="preserve">=</w:t>
      </w:r>
      <w:r>
        <w:t xml:space="preserve"> </w:t>
      </w:r>
      <w:r>
        <w:t xml:space="preserve">are case-insensitive by default in AxonASP.</w:t>
      </w:r>
    </w:p>
    <w:bookmarkEnd w:id="525"/>
    <w:bookmarkStart w:id="526" w:name="code-example-13"/>
    <w:p>
      <w:pPr>
        <w:pStyle w:val="Heading2"/>
      </w:pPr>
      <w:r>
        <w:t xml:space="preserve">Code Example</w:t>
      </w:r>
    </w:p>
    <w:p>
      <w:pPr>
        <w:pStyle w:val="FirstParagraph"/>
      </w:pPr>
      <w:r>
        <w:t xml:space="preserve">The following example demonstrates defensive nesting to handle the lack of short-circuiting, and a</w:t>
      </w:r>
      <w:r>
        <w:t xml:space="preserve"> </w:t>
      </w:r>
      <w:r>
        <w:rPr>
          <w:rStyle w:val="VerbatimChar"/>
        </w:rPr>
        <w:t xml:space="preserve">Select Case</w:t>
      </w:r>
      <w:r>
        <w:t xml:space="preserve"> </w:t>
      </w:r>
      <w:r>
        <w:t xml:space="preserve">for status handling.</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user</w:t>
      </w:r>
      <w:r>
        <w:rPr>
          <w:rStyle w:val="OtherTok"/>
        </w:rPr>
        <w:t xml:space="preserve">,</w:t>
      </w:r>
      <w:r>
        <w:rPr>
          <w:rStyle w:val="NormalTok"/>
        </w:rPr>
        <w:t xml:space="preserve"> status</w:t>
      </w:r>
      <w:r>
        <w:br/>
      </w:r>
      <w:r>
        <w:rPr>
          <w:rStyle w:val="KeywordTok"/>
        </w:rPr>
        <w:t xml:space="preserve">Set</w:t>
      </w:r>
      <w:r>
        <w:rPr>
          <w:rStyle w:val="NormalTok"/>
        </w:rPr>
        <w:t xml:space="preserve"> user = </w:t>
      </w:r>
      <w:r>
        <w:rPr>
          <w:rStyle w:val="KeywordTok"/>
        </w:rPr>
        <w:t xml:space="preserve">Nothing</w:t>
      </w:r>
      <w:r>
        <w:rPr>
          <w:rStyle w:val="NormalTok"/>
        </w:rPr>
        <w:t xml:space="preserve"> </w:t>
      </w:r>
      <w:r>
        <w:rPr>
          <w:rStyle w:val="CommentTok"/>
        </w:rPr>
        <w:t xml:space="preserve">' Simulate uninitialized object</w:t>
      </w:r>
      <w:r>
        <w:br/>
      </w:r>
      <w:r>
        <w:rPr>
          <w:rStyle w:val="NormalTok"/>
        </w:rPr>
        <w:t xml:space="preserve">status = </w:t>
      </w:r>
      <w:r>
        <w:rPr>
          <w:rStyle w:val="StringTok"/>
        </w:rPr>
        <w:t xml:space="preserve">"PENDING"</w:t>
      </w:r>
      <w:r>
        <w:br/>
      </w:r>
      <w:r>
        <w:br/>
      </w:r>
      <w:r>
        <w:rPr>
          <w:rStyle w:val="CommentTok"/>
        </w:rPr>
        <w:t xml:space="preserve">' Defensive nesting (VBScript evaluates both sides of 'And')</w:t>
      </w:r>
      <w:r>
        <w:br/>
      </w:r>
      <w:r>
        <w:rPr>
          <w:rStyle w:val="ControlFlowTok"/>
        </w:rPr>
        <w:t xml:space="preserve">If</w:t>
      </w:r>
      <w:r>
        <w:rPr>
          <w:rStyle w:val="NormalTok"/>
        </w:rPr>
        <w:t xml:space="preserve"> </w:t>
      </w:r>
      <w:r>
        <w:rPr>
          <w:rStyle w:val="KeywordTok"/>
        </w:rPr>
        <w:t xml:space="preserve">Not</w:t>
      </w:r>
      <w:r>
        <w:rPr>
          <w:rStyle w:val="NormalTok"/>
        </w:rPr>
        <w:t xml:space="preserve"> user Is </w:t>
      </w:r>
      <w:r>
        <w:rPr>
          <w:rStyle w:val="KeywordTok"/>
        </w:rPr>
        <w:t xml:space="preserve">Nothing</w:t>
      </w:r>
      <w:r>
        <w:rPr>
          <w:rStyle w:val="NormalTok"/>
        </w:rPr>
        <w:t xml:space="preserve"> </w:t>
      </w:r>
      <w:r>
        <w:rPr>
          <w:rStyle w:val="ControlFlowTok"/>
        </w:rPr>
        <w:t xml:space="preserve">Then</w:t>
      </w:r>
      <w:r>
        <w:br/>
      </w:r>
      <w:r>
        <w:rPr>
          <w:rStyle w:val="NormalTok"/>
        </w:rPr>
        <w:t xml:space="preserve">    </w:t>
      </w:r>
      <w:r>
        <w:rPr>
          <w:rStyle w:val="ControlFlowTok"/>
        </w:rPr>
        <w:t xml:space="preserve">If</w:t>
      </w:r>
      <w:r>
        <w:rPr>
          <w:rStyle w:val="NormalTok"/>
        </w:rPr>
        <w:t xml:space="preserve"> user.IsActive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"User is active.&lt;br&gt;"</w:t>
      </w:r>
      <w:r>
        <w:br/>
      </w:r>
      <w:r>
        <w:rPr>
          <w:rStyle w:val="NormalTok"/>
        </w:rPr>
        <w:t xml:space="preserve">    </w:t>
      </w:r>
      <w:r>
        <w:rPr>
          <w:rStyle w:val="ControlFlowTok"/>
        </w:rPr>
        <w:t xml:space="preserve">End If</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 user object found.&lt;br&gt;"</w:t>
      </w:r>
      <w:r>
        <w:br/>
      </w:r>
      <w:r>
        <w:rPr>
          <w:rStyle w:val="ControlFlowTok"/>
        </w:rPr>
        <w:t xml:space="preserve">End If</w:t>
      </w:r>
      <w:r>
        <w:br/>
      </w:r>
      <w:r>
        <w:br/>
      </w:r>
      <w:r>
        <w:rPr>
          <w:rStyle w:val="CommentTok"/>
        </w:rPr>
        <w:t xml:space="preserve">' Status handling with Select Case</w:t>
      </w:r>
      <w:r>
        <w:br/>
      </w:r>
      <w:r>
        <w:rPr>
          <w:rStyle w:val="ControlFlowTok"/>
        </w:rPr>
        <w:t xml:space="preserve">Select Case</w:t>
      </w:r>
      <w:r>
        <w:rPr>
          <w:rStyle w:val="NormalTok"/>
        </w:rPr>
        <w:t xml:space="preserve"> status</w:t>
      </w:r>
      <w:r>
        <w:br/>
      </w:r>
      <w:r>
        <w:rPr>
          <w:rStyle w:val="NormalTok"/>
        </w:rPr>
        <w:t xml:space="preserve">    </w:t>
      </w:r>
      <w:r>
        <w:rPr>
          <w:rStyle w:val="ControlFlowTok"/>
        </w:rPr>
        <w:t xml:space="preserve">Case</w:t>
      </w:r>
      <w:r>
        <w:rPr>
          <w:rStyle w:val="NormalTok"/>
        </w:rPr>
        <w:t xml:space="preserve"> </w:t>
      </w:r>
      <w:r>
        <w:rPr>
          <w:rStyle w:val="StringTok"/>
        </w:rPr>
        <w:t xml:space="preserve">"ACTIVE"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"Status: Green"</w:t>
      </w:r>
      <w:r>
        <w:br/>
      </w:r>
      <w:r>
        <w:rPr>
          <w:rStyle w:val="NormalTok"/>
        </w:rPr>
        <w:t xml:space="preserve">    </w:t>
      </w:r>
      <w:r>
        <w:rPr>
          <w:rStyle w:val="ControlFlowTok"/>
        </w:rPr>
        <w:t xml:space="preserve">Case</w:t>
      </w:r>
      <w:r>
        <w:rPr>
          <w:rStyle w:val="NormalTok"/>
        </w:rPr>
        <w:t xml:space="preserve"> </w:t>
      </w:r>
      <w:r>
        <w:rPr>
          <w:rStyle w:val="StringTok"/>
        </w:rPr>
        <w:t xml:space="preserve">"PENDING"</w:t>
      </w:r>
      <w:r>
        <w:rPr>
          <w:rStyle w:val="OtherTok"/>
        </w:rPr>
        <w:t xml:space="preserve">,</w:t>
      </w:r>
      <w:r>
        <w:rPr>
          <w:rStyle w:val="NormalTok"/>
        </w:rPr>
        <w:t xml:space="preserve"> </w:t>
      </w:r>
      <w:r>
        <w:rPr>
          <w:rStyle w:val="StringTok"/>
        </w:rPr>
        <w:t xml:space="preserve">"WAITING"</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"Status: Amber"</w:t>
      </w:r>
      <w:r>
        <w:br/>
      </w:r>
      <w:r>
        <w:rPr>
          <w:rStyle w:val="NormalTok"/>
        </w:rPr>
        <w:t xml:space="preserve">    </w:t>
      </w:r>
      <w:r>
        <w:rPr>
          <w:rStyle w:val="ControlFlowTok"/>
        </w:rPr>
        <w:t xml:space="preserve">Case</w:t>
      </w:r>
      <w:r>
        <w:rPr>
          <w:rStyle w:val="NormalTok"/>
        </w:rPr>
        <w:t xml:space="preserve"> </w:t>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"Status: Red"</w:t>
      </w:r>
      <w:r>
        <w:br/>
      </w:r>
      <w:r>
        <w:rPr>
          <w:rStyle w:val="ControlFlowTok"/>
        </w:rPr>
        <w:t xml:space="preserve">End Select</w:t>
      </w:r>
      <w:r>
        <w:br/>
      </w:r>
      <w:r>
        <w:rPr>
          <w:rStyle w:val="DataTypeTok"/>
        </w:rPr>
        <w:t xml:space="preserve">%&gt;</w:t>
      </w:r>
    </w:p>
    <w:bookmarkEnd w:id="526"/>
    <w:bookmarkEnd w:id="527"/>
    <w:bookmarkStart w:id="538" w:name="asp-looping"/>
    <w:p>
      <w:pPr>
        <w:pStyle w:val="Heading1"/>
      </w:pPr>
      <w:r>
        <w:t xml:space="preserve">ASP Looping</w:t>
      </w:r>
    </w:p>
    <w:bookmarkStart w:id="528" w:name="overview-32"/>
    <w:p>
      <w:pPr>
        <w:pStyle w:val="Heading2"/>
      </w:pPr>
      <w:r>
        <w:t xml:space="preserve">Overview</w:t>
      </w:r>
    </w:p>
    <w:p>
      <w:pPr>
        <w:pStyle w:val="FirstParagraph"/>
      </w:pPr>
      <w:r>
        <w:t xml:space="preserve">Looping structures in G3Pix AxonASP allow you to execute a block of code multiple times. This is essential for iterating over arrays, processing records from a database, or performing repetitive calculations. AxonASP provides several types of loops to handle different scenarios, including fixed-count iterations and conditional repetitions.</w:t>
      </w:r>
    </w:p>
    <w:bookmarkEnd w:id="528"/>
    <w:bookmarkStart w:id="532" w:name="syntax-10"/>
    <w:p>
      <w:pPr>
        <w:pStyle w:val="Heading2"/>
      </w:pPr>
      <w:r>
        <w:t xml:space="preserve">Syntax</w:t>
      </w:r>
    </w:p>
    <w:p>
      <w:pPr>
        <w:pStyle w:val="FirstParagraph"/>
      </w:pPr>
      <w:r>
        <w:t xml:space="preserve">AxonASP supports</w:t>
      </w:r>
      <w:r>
        <w:t xml:space="preserve"> </w:t>
      </w:r>
      <w:r>
        <w:rPr>
          <w:b/>
          <w:bCs/>
        </w:rPr>
        <w:t xml:space="preserve">For…Next</w:t>
      </w:r>
      <w:r>
        <w:t xml:space="preserve">,</w:t>
      </w:r>
      <w:r>
        <w:t xml:space="preserve"> </w:t>
      </w:r>
      <w:r>
        <w:rPr>
          <w:b/>
          <w:bCs/>
        </w:rPr>
        <w:t xml:space="preserve">For Each…Next</w:t>
      </w:r>
      <w:r>
        <w:t xml:space="preserve">,</w:t>
      </w:r>
      <w:r>
        <w:t xml:space="preserve"> </w:t>
      </w:r>
      <w:r>
        <w:rPr>
          <w:b/>
          <w:bCs/>
        </w:rPr>
        <w:t xml:space="preserve">Do…Loop</w:t>
      </w:r>
      <w:r>
        <w:t xml:space="preserve">, and</w:t>
      </w:r>
      <w:r>
        <w:t xml:space="preserve"> </w:t>
      </w:r>
      <w:r>
        <w:rPr>
          <w:b/>
          <w:bCs/>
        </w:rPr>
        <w:t xml:space="preserve">While…Wend</w:t>
      </w:r>
      <w:r>
        <w:t xml:space="preserve"> </w:t>
      </w:r>
      <w:r>
        <w:t xml:space="preserve">structures.</w:t>
      </w:r>
    </w:p>
    <w:bookmarkStart w:id="529" w:name="for-loop"/>
    <w:p>
      <w:pPr>
        <w:pStyle w:val="Heading3"/>
      </w:pPr>
      <w:r>
        <w:t xml:space="preserve">For Loop</w:t>
      </w:r>
    </w:p>
    <w:p>
      <w:pPr>
        <w:pStyle w:val="SourceCode"/>
      </w:pPr>
      <w:r>
        <w:rPr>
          <w:rStyle w:val="NormalTok"/>
        </w:rPr>
        <w:t xml:space="preserve">For i = start To end [Step increment]</w:t>
      </w:r>
      <w:r>
        <w:br/>
      </w:r>
      <w:r>
        <w:rPr>
          <w:rStyle w:val="NormalTok"/>
        </w:rPr>
        <w:t xml:space="preserve">    ' code</w:t>
      </w:r>
      <w:r>
        <w:br/>
      </w:r>
      <w:r>
        <w:rPr>
          <w:rStyle w:val="NormalTok"/>
        </w:rPr>
        <w:t xml:space="preserve">Next</w:t>
      </w:r>
    </w:p>
    <w:bookmarkEnd w:id="529"/>
    <w:bookmarkStart w:id="530" w:name="for-each-loop"/>
    <w:p>
      <w:pPr>
        <w:pStyle w:val="Heading3"/>
      </w:pPr>
      <w:r>
        <w:t xml:space="preserve">For Each Loop</w:t>
      </w:r>
    </w:p>
    <w:p>
      <w:pPr>
        <w:pStyle w:val="SourceCode"/>
      </w:pPr>
      <w:r>
        <w:rPr>
          <w:rStyle w:val="NormalTok"/>
        </w:rPr>
        <w:t xml:space="preserve">For Each item In collection</w:t>
      </w:r>
      <w:r>
        <w:br/>
      </w:r>
      <w:r>
        <w:rPr>
          <w:rStyle w:val="NormalTok"/>
        </w:rPr>
        <w:t xml:space="preserve">    ' code</w:t>
      </w:r>
      <w:r>
        <w:br/>
      </w:r>
      <w:r>
        <w:rPr>
          <w:rStyle w:val="NormalTok"/>
        </w:rPr>
        <w:t xml:space="preserve">Next</w:t>
      </w:r>
    </w:p>
    <w:bookmarkEnd w:id="530"/>
    <w:bookmarkStart w:id="531" w:name="do-loop"/>
    <w:p>
      <w:pPr>
        <w:pStyle w:val="Heading3"/>
      </w:pPr>
      <w:r>
        <w:t xml:space="preserve">Do Loop</w:t>
      </w:r>
    </w:p>
    <w:p>
      <w:pPr>
        <w:pStyle w:val="SourceCode"/>
      </w:pPr>
      <w:r>
        <w:rPr>
          <w:rStyle w:val="NormalTok"/>
        </w:rPr>
        <w:t xml:space="preserve">Do While condition</w:t>
      </w:r>
      <w:r>
        <w:br/>
      </w:r>
      <w:r>
        <w:rPr>
          <w:rStyle w:val="NormalTok"/>
        </w:rPr>
        <w:t xml:space="preserve">    ' code</w:t>
      </w:r>
      <w:r>
        <w:br/>
      </w:r>
      <w:r>
        <w:rPr>
          <w:rStyle w:val="NormalTok"/>
        </w:rPr>
        <w:t xml:space="preserve">Loop</w:t>
      </w:r>
      <w:r>
        <w:br/>
      </w:r>
      <w:r>
        <w:br/>
      </w:r>
      <w:r>
        <w:rPr>
          <w:rStyle w:val="NormalTok"/>
        </w:rPr>
        <w:t xml:space="preserve">Do</w:t>
      </w:r>
      <w:r>
        <w:br/>
      </w:r>
      <w:r>
        <w:rPr>
          <w:rStyle w:val="NormalTok"/>
        </w:rPr>
        <w:t xml:space="preserve">    ' code</w:t>
      </w:r>
      <w:r>
        <w:br/>
      </w:r>
      <w:r>
        <w:rPr>
          <w:rStyle w:val="NormalTok"/>
        </w:rPr>
        <w:t xml:space="preserve">Loop Until condition</w:t>
      </w:r>
    </w:p>
    <w:bookmarkEnd w:id="531"/>
    <w:bookmarkEnd w:id="532"/>
    <w:bookmarkStart w:id="533" w:name="how-it-works-5"/>
    <w:p>
      <w:pPr>
        <w:pStyle w:val="Heading2"/>
      </w:pPr>
      <w:r>
        <w:t xml:space="preserve">How it Works</w:t>
      </w:r>
    </w:p>
    <w:p>
      <w:pPr>
        <w:pStyle w:val="FirstParagraph"/>
      </w:pPr>
      <w:r>
        <w:t xml:space="preserve">The AxonASP Virtual Machine executes loop bodies repeatedly until a termination condition is met.</w:t>
      </w:r>
      <w:r>
        <w:t xml:space="preserve"> </w:t>
      </w:r>
      <w:r>
        <w:t xml:space="preserve">-</w:t>
      </w:r>
      <w:r>
        <w:t xml:space="preserve"> </w:t>
      </w:r>
      <w:r>
        <w:rPr>
          <w:b/>
          <w:bCs/>
        </w:rPr>
        <w:t xml:space="preserve">For…Next</w:t>
      </w:r>
      <w:r>
        <w:t xml:space="preserve">: Best for a known number of iterations. The</w:t>
      </w:r>
      <w:r>
        <w:t xml:space="preserve"> </w:t>
      </w:r>
      <w:r>
        <w:rPr>
          <w:rStyle w:val="VerbatimChar"/>
        </w:rPr>
        <w:t xml:space="preserve">Step</w:t>
      </w:r>
      <w:r>
        <w:t xml:space="preserve"> </w:t>
      </w:r>
      <w:r>
        <w:t xml:space="preserve">keyword allows for increments other than 1.</w:t>
      </w:r>
      <w:r>
        <w:t xml:space="preserve"> </w:t>
      </w:r>
      <w:r>
        <w:t xml:space="preserve">-</w:t>
      </w:r>
      <w:r>
        <w:t xml:space="preserve"> </w:t>
      </w:r>
      <w:r>
        <w:rPr>
          <w:b/>
          <w:bCs/>
        </w:rPr>
        <w:t xml:space="preserve">For Each…Next</w:t>
      </w:r>
      <w:r>
        <w:t xml:space="preserve">: Specifically designed for iterating over collections (like the</w:t>
      </w:r>
      <w:r>
        <w:t xml:space="preserve"> </w:t>
      </w:r>
      <w:r>
        <w:rPr>
          <w:b/>
          <w:bCs/>
        </w:rPr>
        <w:t xml:space="preserve">ASP Dictionary</w:t>
      </w:r>
      <w:r>
        <w:t xml:space="preserve"> </w:t>
      </w:r>
      <w:r>
        <w:t xml:space="preserve">or</w:t>
      </w:r>
      <w:r>
        <w:t xml:space="preserve"> </w:t>
      </w:r>
      <w:r>
        <w:rPr>
          <w:b/>
          <w:bCs/>
        </w:rPr>
        <w:t xml:space="preserve">G3JSON</w:t>
      </w:r>
      <w:r>
        <w:t xml:space="preserve"> </w:t>
      </w:r>
      <w:r>
        <w:t xml:space="preserve">objects) and arrays.</w:t>
      </w:r>
      <w:r>
        <w:t xml:space="preserve"> </w:t>
      </w:r>
      <w:r>
        <w:t xml:space="preserve">-</w:t>
      </w:r>
      <w:r>
        <w:t xml:space="preserve"> </w:t>
      </w:r>
      <w:r>
        <w:rPr>
          <w:b/>
          <w:bCs/>
        </w:rPr>
        <w:t xml:space="preserve">Do…Loop</w:t>
      </w:r>
      <w:r>
        <w:t xml:space="preserve">: Highly flexible. Can check the condition at the beginning (</w:t>
      </w:r>
      <w:r>
        <w:rPr>
          <w:rStyle w:val="VerbatimChar"/>
        </w:rPr>
        <w:t xml:space="preserve">Do While</w:t>
      </w:r>
      <w:r>
        <w:t xml:space="preserve">) or at the end (</w:t>
      </w:r>
      <w:r>
        <w:rPr>
          <w:rStyle w:val="VerbatimChar"/>
        </w:rPr>
        <w:t xml:space="preserve">Loop Until</w:t>
      </w:r>
      <w:r>
        <w:t xml:space="preserve">), ensuring the code runs at least once in the latter case.</w:t>
      </w:r>
      <w:r>
        <w:t xml:space="preserve"> </w:t>
      </w:r>
      <w:r>
        <w:t xml:space="preserve">-</w:t>
      </w:r>
      <w:r>
        <w:t xml:space="preserve"> </w:t>
      </w:r>
      <w:r>
        <w:rPr>
          <w:b/>
          <w:bCs/>
        </w:rPr>
        <w:t xml:space="preserve">Infinite Loops</w:t>
      </w:r>
      <w:r>
        <w:t xml:space="preserve">: AxonASP includes safety mechanisms to terminate scripts that exceed the configured execution timeout, preventing infinite loops from hanging the server.</w:t>
      </w:r>
    </w:p>
    <w:bookmarkEnd w:id="533"/>
    <w:bookmarkStart w:id="535" w:name="api-reference-4"/>
    <w:p>
      <w:pPr>
        <w:pStyle w:val="Heading2"/>
      </w:pPr>
      <w:r>
        <w:t xml:space="preserve">API Reference</w:t>
      </w:r>
    </w:p>
    <w:bookmarkStart w:id="534" w:name="keywords-2"/>
    <w:p>
      <w:pPr>
        <w:pStyle w:val="Heading3"/>
      </w:pPr>
      <w:r>
        <w:t xml:space="preserve">Keywords</w:t>
      </w:r>
    </w:p>
    <w:p>
      <w:pPr>
        <w:pStyle w:val="Compact"/>
        <w:numPr>
          <w:ilvl w:val="0"/>
          <w:numId w:val="1168"/>
        </w:numPr>
      </w:pPr>
      <w:r>
        <w:rPr>
          <w:b/>
          <w:bCs/>
        </w:rPr>
        <w:t xml:space="preserve">For / To / Next</w:t>
      </w:r>
      <w:r>
        <w:t xml:space="preserve">: Defines a counter-based loop.</w:t>
      </w:r>
    </w:p>
    <w:p>
      <w:pPr>
        <w:pStyle w:val="Compact"/>
        <w:numPr>
          <w:ilvl w:val="0"/>
          <w:numId w:val="1168"/>
        </w:numPr>
      </w:pPr>
      <w:r>
        <w:rPr>
          <w:b/>
          <w:bCs/>
        </w:rPr>
        <w:t xml:space="preserve">Each / In</w:t>
      </w:r>
      <w:r>
        <w:t xml:space="preserve">: Defines a collection-based loop.</w:t>
      </w:r>
    </w:p>
    <w:p>
      <w:pPr>
        <w:pStyle w:val="Compact"/>
        <w:numPr>
          <w:ilvl w:val="0"/>
          <w:numId w:val="1168"/>
        </w:numPr>
      </w:pPr>
      <w:r>
        <w:rPr>
          <w:b/>
          <w:bCs/>
        </w:rPr>
        <w:t xml:space="preserve">Do / While / Until / Loop</w:t>
      </w:r>
      <w:r>
        <w:t xml:space="preserve">: Defines a condition-based loop.</w:t>
      </w:r>
    </w:p>
    <w:p>
      <w:pPr>
        <w:pStyle w:val="Compact"/>
        <w:numPr>
          <w:ilvl w:val="0"/>
          <w:numId w:val="1168"/>
        </w:numPr>
      </w:pPr>
      <w:r>
        <w:rPr>
          <w:b/>
          <w:bCs/>
        </w:rPr>
        <w:t xml:space="preserve">While / Wend</w:t>
      </w:r>
      <w:r>
        <w:t xml:space="preserve">: A legacy conditional loop (equivalent to</w:t>
      </w:r>
      <w:r>
        <w:t xml:space="preserve"> </w:t>
      </w:r>
      <w:r>
        <w:rPr>
          <w:rStyle w:val="VerbatimChar"/>
        </w:rPr>
        <w:t xml:space="preserve">Do While...Loop</w:t>
      </w:r>
      <w:r>
        <w:t xml:space="preserve">).</w:t>
      </w:r>
    </w:p>
    <w:p>
      <w:pPr>
        <w:pStyle w:val="Compact"/>
        <w:numPr>
          <w:ilvl w:val="0"/>
          <w:numId w:val="1168"/>
        </w:numPr>
      </w:pPr>
      <w:r>
        <w:rPr>
          <w:b/>
          <w:bCs/>
        </w:rPr>
        <w:t xml:space="preserve">Exit For / Exit Do</w:t>
      </w:r>
      <w:r>
        <w:t xml:space="preserve">: Immediately terminates the loop and moves execution to the statement following the loop closure.</w:t>
      </w:r>
    </w:p>
    <w:bookmarkEnd w:id="534"/>
    <w:bookmarkEnd w:id="535"/>
    <w:bookmarkStart w:id="536" w:name="remarks-22"/>
    <w:p>
      <w:pPr>
        <w:pStyle w:val="Heading2"/>
      </w:pPr>
      <w:r>
        <w:t xml:space="preserve">Remarks</w:t>
      </w:r>
    </w:p>
    <w:p>
      <w:pPr>
        <w:pStyle w:val="Compact"/>
        <w:numPr>
          <w:ilvl w:val="0"/>
          <w:numId w:val="1169"/>
        </w:numPr>
      </w:pPr>
      <w:r>
        <w:rPr>
          <w:b/>
          <w:bCs/>
        </w:rPr>
        <w:t xml:space="preserve">Loop Closures</w:t>
      </w:r>
      <w:r>
        <w:t xml:space="preserve">: In AxonASP,</w:t>
      </w:r>
      <w:r>
        <w:t xml:space="preserve"> </w:t>
      </w:r>
      <w:r>
        <w:rPr>
          <w:rStyle w:val="VerbatimChar"/>
        </w:rPr>
        <w:t xml:space="preserve">For</w:t>
      </w:r>
      <w:r>
        <w:t xml:space="preserve"> </w:t>
      </w:r>
      <w:r>
        <w:t xml:space="preserve">loops must end with</w:t>
      </w:r>
      <w:r>
        <w:t xml:space="preserve"> </w:t>
      </w:r>
      <w:r>
        <w:rPr>
          <w:rStyle w:val="VerbatimChar"/>
        </w:rPr>
        <w:t xml:space="preserve">Next</w:t>
      </w:r>
      <w:r>
        <w:t xml:space="preserve">,</w:t>
      </w:r>
      <w:r>
        <w:t xml:space="preserve"> </w:t>
      </w:r>
      <w:r>
        <w:rPr>
          <w:rStyle w:val="VerbatimChar"/>
        </w:rPr>
        <w:t xml:space="preserve">Do</w:t>
      </w:r>
      <w:r>
        <w:t xml:space="preserve"> </w:t>
      </w:r>
      <w:r>
        <w:t xml:space="preserve">loops must end with</w:t>
      </w:r>
      <w:r>
        <w:t xml:space="preserve"> </w:t>
      </w:r>
      <w:r>
        <w:rPr>
          <w:rStyle w:val="VerbatimChar"/>
        </w:rPr>
        <w:t xml:space="preserve">Loop</w:t>
      </w:r>
      <w:r>
        <w:t xml:space="preserve">, and</w:t>
      </w:r>
      <w:r>
        <w:t xml:space="preserve"> </w:t>
      </w:r>
      <w:r>
        <w:rPr>
          <w:rStyle w:val="VerbatimChar"/>
        </w:rPr>
        <w:t xml:space="preserve">While</w:t>
      </w:r>
      <w:r>
        <w:t xml:space="preserve"> </w:t>
      </w:r>
      <w:r>
        <w:t xml:space="preserve">loops must end with</w:t>
      </w:r>
      <w:r>
        <w:t xml:space="preserve"> </w:t>
      </w:r>
      <w:r>
        <w:rPr>
          <w:rStyle w:val="VerbatimChar"/>
        </w:rPr>
        <w:t xml:space="preserve">Wend</w:t>
      </w:r>
      <w:r>
        <w:t xml:space="preserve">.</w:t>
      </w:r>
    </w:p>
    <w:p>
      <w:pPr>
        <w:pStyle w:val="Compact"/>
        <w:numPr>
          <w:ilvl w:val="0"/>
          <w:numId w:val="1169"/>
        </w:numPr>
      </w:pPr>
      <w:r>
        <w:rPr>
          <w:b/>
          <w:bCs/>
        </w:rPr>
        <w:t xml:space="preserve">Collection Performance</w:t>
      </w:r>
      <w:r>
        <w:t xml:space="preserve">:</w:t>
      </w:r>
      <w:r>
        <w:t xml:space="preserve"> </w:t>
      </w:r>
      <w:r>
        <w:rPr>
          <w:rStyle w:val="VerbatimChar"/>
        </w:rPr>
        <w:t xml:space="preserve">For Each</w:t>
      </w:r>
      <w:r>
        <w:t xml:space="preserve"> </w:t>
      </w:r>
      <w:r>
        <w:t xml:space="preserve">is generally faster and more readable when working with objects like the</w:t>
      </w:r>
      <w:r>
        <w:t xml:space="preserve"> </w:t>
      </w:r>
      <w:r>
        <w:rPr>
          <w:b/>
          <w:bCs/>
        </w:rPr>
        <w:t xml:space="preserve">Scripting.Dictionary</w:t>
      </w:r>
      <w:r>
        <w:t xml:space="preserve">.</w:t>
      </w:r>
    </w:p>
    <w:p>
      <w:pPr>
        <w:pStyle w:val="Compact"/>
        <w:numPr>
          <w:ilvl w:val="0"/>
          <w:numId w:val="1169"/>
        </w:numPr>
      </w:pPr>
      <w:r>
        <w:rPr>
          <w:b/>
          <w:bCs/>
        </w:rPr>
        <w:t xml:space="preserve">Counter Variable</w:t>
      </w:r>
      <w:r>
        <w:t xml:space="preserve">: In</w:t>
      </w:r>
      <w:r>
        <w:t xml:space="preserve"> </w:t>
      </w:r>
      <w:r>
        <w:rPr>
          <w:rStyle w:val="VerbatimChar"/>
        </w:rPr>
        <w:t xml:space="preserve">Next [variable]</w:t>
      </w:r>
      <w:r>
        <w:t xml:space="preserve">, the variable name is optional but can improve readability in nested loops.</w:t>
      </w:r>
    </w:p>
    <w:bookmarkEnd w:id="536"/>
    <w:bookmarkStart w:id="537" w:name="code-example-14"/>
    <w:p>
      <w:pPr>
        <w:pStyle w:val="Heading2"/>
      </w:pPr>
      <w:r>
        <w:t xml:space="preserve">Code Example</w:t>
      </w:r>
    </w:p>
    <w:p>
      <w:pPr>
        <w:pStyle w:val="FirstParagraph"/>
      </w:pPr>
      <w:r>
        <w:t xml:space="preserve">The following example iterates over an array using a</w:t>
      </w:r>
      <w:r>
        <w:t xml:space="preserve"> </w:t>
      </w:r>
      <w:r>
        <w:rPr>
          <w:rStyle w:val="VerbatimChar"/>
        </w:rPr>
        <w:t xml:space="preserve">For</w:t>
      </w:r>
      <w:r>
        <w:t xml:space="preserve"> </w:t>
      </w:r>
      <w:r>
        <w:t xml:space="preserve">loop and a dictionary using a</w:t>
      </w:r>
      <w:r>
        <w:t xml:space="preserve"> </w:t>
      </w:r>
      <w:r>
        <w:rPr>
          <w:rStyle w:val="VerbatimChar"/>
        </w:rPr>
        <w:t xml:space="preserve">For Each</w:t>
      </w:r>
      <w:r>
        <w:t xml:space="preserve"> </w:t>
      </w:r>
      <w:r>
        <w:t xml:space="preserve">loop.</w:t>
      </w:r>
    </w:p>
    <w:p>
      <w:pPr>
        <w:pStyle w:val="SourceCode"/>
      </w:pPr>
      <w:r>
        <w:rPr>
          <w:rStyle w:val="DataTypeTok"/>
        </w:rPr>
        <w:t xml:space="preserve">&lt;%</w:t>
      </w:r>
      <w:r>
        <w:br/>
      </w:r>
      <w:r>
        <w:rPr>
          <w:rStyle w:val="NormalTok"/>
        </w:rPr>
        <w:t xml:space="preserve">Option Explicit</w:t>
      </w:r>
      <w:r>
        <w:br/>
      </w:r>
      <w:r>
        <w:br/>
      </w:r>
      <w:r>
        <w:rPr>
          <w:rStyle w:val="CommentTok"/>
        </w:rPr>
        <w:t xml:space="preserve">' Iterating over an Array</w:t>
      </w:r>
      <w:r>
        <w:br/>
      </w:r>
      <w:r>
        <w:rPr>
          <w:rStyle w:val="KeywordTok"/>
        </w:rPr>
        <w:t xml:space="preserve">Dim</w:t>
      </w:r>
      <w:r>
        <w:rPr>
          <w:rStyle w:val="NormalTok"/>
        </w:rPr>
        <w:t xml:space="preserve"> colors</w:t>
      </w:r>
      <w:r>
        <w:rPr>
          <w:rStyle w:val="OtherTok"/>
        </w:rPr>
        <w:t xml:space="preserve">,</w:t>
      </w:r>
      <w:r>
        <w:rPr>
          <w:rStyle w:val="NormalTok"/>
        </w:rPr>
        <w:t xml:space="preserve"> i</w:t>
      </w:r>
      <w:r>
        <w:br/>
      </w:r>
      <w:r>
        <w:rPr>
          <w:rStyle w:val="NormalTok"/>
        </w:rPr>
        <w:t xml:space="preserve">colors = </w:t>
      </w:r>
      <w:r>
        <w:rPr>
          <w:rStyle w:val="FunctionTok"/>
        </w:rPr>
        <w:t xml:space="preserve">Array</w:t>
      </w:r>
      <w:r>
        <w:rPr>
          <w:rStyle w:val="OtherTok"/>
        </w:rPr>
        <w:t xml:space="preserve">(</w:t>
      </w:r>
      <w:r>
        <w:rPr>
          <w:rStyle w:val="StringTok"/>
        </w:rPr>
        <w:t xml:space="preserve">"Red"</w:t>
      </w:r>
      <w:r>
        <w:rPr>
          <w:rStyle w:val="OtherTok"/>
        </w:rPr>
        <w:t xml:space="preserve">,</w:t>
      </w:r>
      <w:r>
        <w:rPr>
          <w:rStyle w:val="NormalTok"/>
        </w:rPr>
        <w:t xml:space="preserve"> </w:t>
      </w:r>
      <w:r>
        <w:rPr>
          <w:rStyle w:val="StringTok"/>
        </w:rPr>
        <w:t xml:space="preserve">"Green"</w:t>
      </w:r>
      <w:r>
        <w:rPr>
          <w:rStyle w:val="OtherTok"/>
        </w:rPr>
        <w:t xml:space="preserve">,</w:t>
      </w:r>
      <w:r>
        <w:rPr>
          <w:rStyle w:val="NormalTok"/>
        </w:rPr>
        <w:t xml:space="preserve"> </w:t>
      </w:r>
      <w:r>
        <w:rPr>
          <w:rStyle w:val="StringTok"/>
        </w:rPr>
        <w:t xml:space="preserve">"Blue"</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"&lt;b&gt;Colors:&lt;/b&gt;&lt;br&gt;"</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colors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i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colors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CommentTok"/>
        </w:rPr>
        <w:t xml:space="preserve">' Iterating over a Dictionary</w:t>
      </w:r>
      <w:r>
        <w:br/>
      </w:r>
      <w:r>
        <w:rPr>
          <w:rStyle w:val="KeywordTok"/>
        </w:rPr>
        <w:t xml:space="preserve">Dim</w:t>
      </w:r>
      <w:r>
        <w:rPr>
          <w:rStyle w:val="NormalTok"/>
        </w:rPr>
        <w:t xml:space="preserve"> dict</w:t>
      </w:r>
      <w:r>
        <w:rPr>
          <w:rStyle w:val="OtherTok"/>
        </w:rPr>
        <w:t xml:space="preserve">,</w:t>
      </w:r>
      <w:r>
        <w:rPr>
          <w:rStyle w:val="NormalTok"/>
        </w:rPr>
        <w:t xml:space="preserve"> key</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rPr>
          <w:rStyle w:val="NormalTok"/>
        </w:rPr>
        <w:t xml:space="preserve">dict.</w:t>
      </w:r>
      <w:r>
        <w:rPr>
          <w:rStyle w:val="FunctionTok"/>
        </w:rPr>
        <w:t xml:space="preserve">Add</w:t>
      </w:r>
      <w:r>
        <w:rPr>
          <w:rStyle w:val="NormalTok"/>
        </w:rPr>
        <w:t xml:space="preserve"> </w:t>
      </w:r>
      <w:r>
        <w:rPr>
          <w:rStyle w:val="StringTok"/>
        </w:rPr>
        <w:t xml:space="preserve">"App"</w:t>
      </w:r>
      <w:r>
        <w:rPr>
          <w:rStyle w:val="OtherTok"/>
        </w:rPr>
        <w:t xml:space="preserve">,</w:t>
      </w:r>
      <w:r>
        <w:rPr>
          <w:rStyle w:val="NormalTok"/>
        </w:rPr>
        <w:t xml:space="preserve"> </w:t>
      </w:r>
      <w:r>
        <w:rPr>
          <w:rStyle w:val="StringTok"/>
        </w:rPr>
        <w:t xml:space="preserve">"AxonASP"</w:t>
      </w:r>
      <w:r>
        <w:br/>
      </w:r>
      <w:r>
        <w:rPr>
          <w:rStyle w:val="NormalTok"/>
        </w:rPr>
        <w:t xml:space="preserve">dict.</w:t>
      </w:r>
      <w:r>
        <w:rPr>
          <w:rStyle w:val="FunctionTok"/>
        </w:rPr>
        <w:t xml:space="preserve">Add</w:t>
      </w:r>
      <w:r>
        <w:rPr>
          <w:rStyle w:val="NormalTok"/>
        </w:rPr>
        <w:t xml:space="preserve"> </w:t>
      </w:r>
      <w:r>
        <w:rPr>
          <w:rStyle w:val="StringTok"/>
        </w:rPr>
        <w:t xml:space="preserve">"Engine"</w:t>
      </w:r>
      <w:r>
        <w:rPr>
          <w:rStyle w:val="OtherTok"/>
        </w:rPr>
        <w:t xml:space="preserve">,</w:t>
      </w:r>
      <w:r>
        <w:rPr>
          <w:rStyle w:val="NormalTok"/>
        </w:rPr>
        <w:t xml:space="preserve"> </w:t>
      </w:r>
      <w:r>
        <w:rPr>
          <w:rStyle w:val="StringTok"/>
        </w:rPr>
        <w:t xml:space="preserve">"Go"</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"&lt;br&gt;&lt;b&gt;System Info:&lt;/b&gt;&lt;br&gt;"</w:t>
      </w:r>
      <w:r>
        <w:br/>
      </w:r>
      <w:r>
        <w:rPr>
          <w:rStyle w:val="ControlFlowTok"/>
        </w:rPr>
        <w:t xml:space="preserve">For</w:t>
      </w:r>
      <w:r>
        <w:rPr>
          <w:rStyle w:val="NormalTok"/>
        </w:rPr>
        <w:t xml:space="preserve"> </w:t>
      </w:r>
      <w:r>
        <w:rPr>
          <w:rStyle w:val="ControlFlowTok"/>
        </w:rPr>
        <w:t xml:space="preserve">Each</w:t>
      </w:r>
      <w:r>
        <w:rPr>
          <w:rStyle w:val="NormalTok"/>
        </w:rPr>
        <w:t xml:space="preserve"> key </w:t>
      </w:r>
      <w:r>
        <w:rPr>
          <w:rStyle w:val="ControlFlowTok"/>
        </w:rPr>
        <w:t xml:space="preserve">In</w:t>
      </w:r>
      <w:r>
        <w:rPr>
          <w:rStyle w:val="NormalTok"/>
        </w:rPr>
        <w:t xml:space="preserve"> dict.</w:t>
      </w:r>
      <w:r>
        <w:rPr>
          <w:rStyle w:val="FunctionTok"/>
        </w:rPr>
        <w:t xml:space="preserve">Keys</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key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dict</w:t>
      </w:r>
      <w:r>
        <w:rPr>
          <w:rStyle w:val="OtherTok"/>
        </w:rPr>
        <w:t xml:space="preserve">(</w:t>
      </w:r>
      <w:r>
        <w:rPr>
          <w:rStyle w:val="NormalTok"/>
        </w:rPr>
        <w:t xml:space="preserve">key</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CommentTok"/>
        </w:rPr>
        <w:t xml:space="preserve">' Using Do Until</w:t>
      </w:r>
      <w:r>
        <w:br/>
      </w:r>
      <w:r>
        <w:rPr>
          <w:rStyle w:val="KeywordTok"/>
        </w:rPr>
        <w:t xml:space="preserve">Dim</w:t>
      </w:r>
      <w:r>
        <w:rPr>
          <w:rStyle w:val="NormalTok"/>
        </w:rPr>
        <w:t xml:space="preserve"> count</w:t>
      </w:r>
      <w:r>
        <w:br/>
      </w:r>
      <w:r>
        <w:rPr>
          <w:rStyle w:val="NormalTok"/>
        </w:rPr>
        <w:t xml:space="preserve">count = </w:t>
      </w:r>
      <w:r>
        <w:rPr>
          <w:rStyle w:val="DecValTok"/>
        </w:rPr>
        <w:t xml:space="preserve">1</w:t>
      </w:r>
      <w:r>
        <w:br/>
      </w:r>
      <w:r>
        <w:rPr>
          <w:rStyle w:val="ControlFlowTok"/>
        </w:rPr>
        <w:t xml:space="preserve">Do</w:t>
      </w:r>
      <w:r>
        <w:rPr>
          <w:rStyle w:val="NormalTok"/>
        </w:rPr>
        <w:t xml:space="preserve"> </w:t>
      </w:r>
      <w:r>
        <w:rPr>
          <w:rStyle w:val="ControlFlowTok"/>
        </w:rPr>
        <w:t xml:space="preserve">Until</w:t>
      </w:r>
      <w:r>
        <w:rPr>
          <w:rStyle w:val="NormalTok"/>
        </w:rPr>
        <w:t xml:space="preserve"> count &gt; </w:t>
      </w:r>
      <w:r>
        <w:rPr>
          <w:rStyle w:val="DecValTok"/>
        </w:rPr>
        <w:t xml:space="preserve">3</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"Loop count: "</w:t>
      </w:r>
      <w:r>
        <w:rPr>
          <w:rStyle w:val="NormalTok"/>
        </w:rPr>
        <w:t xml:space="preserve"> </w:t>
      </w:r>
      <w:r>
        <w:rPr>
          <w:rStyle w:val="KeywordTok"/>
        </w:rPr>
        <w:t xml:space="preserve">&amp;</w:t>
      </w:r>
      <w:r>
        <w:rPr>
          <w:rStyle w:val="NormalTok"/>
        </w:rPr>
        <w:t xml:space="preserve"> count </w:t>
      </w:r>
      <w:r>
        <w:rPr>
          <w:rStyle w:val="KeywordTok"/>
        </w:rPr>
        <w:t xml:space="preserve">&amp;</w:t>
      </w:r>
      <w:r>
        <w:rPr>
          <w:rStyle w:val="NormalTok"/>
        </w:rPr>
        <w:t xml:space="preserve"> </w:t>
      </w:r>
      <w:r>
        <w:rPr>
          <w:rStyle w:val="StringTok"/>
        </w:rPr>
        <w:t xml:space="preserve">"&lt;br&gt;"</w:t>
      </w:r>
      <w:r>
        <w:br/>
      </w:r>
      <w:r>
        <w:rPr>
          <w:rStyle w:val="NormalTok"/>
        </w:rPr>
        <w:t xml:space="preserve">    count = count + </w:t>
      </w:r>
      <w:r>
        <w:rPr>
          <w:rStyle w:val="DecValTok"/>
        </w:rPr>
        <w:t xml:space="preserve">1</w:t>
      </w:r>
      <w:r>
        <w:br/>
      </w:r>
      <w:r>
        <w:rPr>
          <w:rStyle w:val="ControlFlowTok"/>
        </w:rPr>
        <w:t xml:space="preserve">Loop</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537"/>
    <w:bookmarkEnd w:id="538"/>
    <w:bookmarkStart w:id="548" w:name="asp-intrinsic-objects---quick-reference"/>
    <w:p>
      <w:pPr>
        <w:pStyle w:val="Heading1"/>
      </w:pPr>
      <w:r>
        <w:t xml:space="preserve">ASP Intrinsic Objects - Quick Reference</w:t>
      </w:r>
    </w:p>
    <w:bookmarkStart w:id="539" w:name="overview-33"/>
    <w:p>
      <w:pPr>
        <w:pStyle w:val="Heading2"/>
      </w:pPr>
      <w:r>
        <w:t xml:space="preserve">Overview</w:t>
      </w:r>
    </w:p>
    <w:p>
      <w:pPr>
        <w:pStyle w:val="FirstParagraph"/>
      </w:pPr>
      <w:r>
        <w:t xml:space="preserve">Classic ASP provides six built-in objects that are always available inside any ASP script without any</w:t>
      </w:r>
      <w:r>
        <w:t xml:space="preserve"> </w:t>
      </w:r>
      <w:r>
        <w:rPr>
          <w:rStyle w:val="VerbatimChar"/>
        </w:rPr>
        <w:t xml:space="preserve">Server.CreateObject</w:t>
      </w:r>
      <w:r>
        <w:t xml:space="preserve"> </w:t>
      </w:r>
      <w:r>
        <w:t xml:space="preserve">call. These objects form the foundation of every ASP application â€” they give your scripts access to the incoming HTTP request, the outgoing response, user sessions, application-wide state, server utilities, and error information.</w:t>
      </w:r>
    </w:p>
    <w:p>
      <w:pPr>
        <w:pStyle w:val="BodyText"/>
      </w:pPr>
      <w:r>
        <w:t xml:space="preserve">AxonASP implements all six objects with full compatibility with the original IIS behavior.</w:t>
      </w:r>
    </w:p>
    <w:p>
      <w:r>
        <w:pict>
          <v:rect style="width:0;height:1.5pt" o:hralign="center" o:hrstd="t" o:hr="t"/>
        </w:pict>
      </w:r>
    </w:p>
    <w:bookmarkEnd w:id="539"/>
    <w:bookmarkStart w:id="540" w:name="at-a-glance"/>
    <w:p>
      <w:pPr>
        <w:pStyle w:val="Heading2"/>
      </w:pPr>
      <w:r>
        <w:t xml:space="preserve">At a Glance</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pPr>
            <w:r>
              <w:t xml:space="preserve">Object</w:t>
            </w:r>
          </w:p>
        </w:tc>
        <w:tc>
          <w:tcPr/>
          <w:p>
            <w:pPr>
              <w:pStyle w:val="Compact"/>
            </w:pPr>
            <w:r>
              <w:t xml:space="preserve">Purpose</w:t>
            </w:r>
          </w:p>
        </w:tc>
      </w:tr>
      <w:tr>
        <w:tc>
          <w:tcPr/>
          <w:p>
            <w:pPr>
              <w:pStyle w:val="Compact"/>
            </w:pPr>
            <w:r>
              <w:rPr>
                <w:b/>
                <w:bCs/>
              </w:rPr>
              <w:t xml:space="preserve">Request</w:t>
            </w:r>
          </w:p>
        </w:tc>
        <w:tc>
          <w:tcPr/>
          <w:p>
            <w:pPr>
              <w:pStyle w:val="Compact"/>
            </w:pPr>
            <w:r>
              <w:t xml:space="preserve">Reads data sent by the browser (query string, form fields, cookies, server variables)</w:t>
            </w:r>
          </w:p>
        </w:tc>
      </w:tr>
      <w:tr>
        <w:tc>
          <w:tcPr/>
          <w:p>
            <w:pPr>
              <w:pStyle w:val="Compact"/>
            </w:pPr>
            <w:r>
              <w:rPr>
                <w:b/>
                <w:bCs/>
              </w:rPr>
              <w:t xml:space="preserve">Response</w:t>
            </w:r>
          </w:p>
        </w:tc>
        <w:tc>
          <w:tcPr/>
          <w:p>
            <w:pPr>
              <w:pStyle w:val="Compact"/>
            </w:pPr>
            <w:r>
              <w:t xml:space="preserve">Writes output to the browser and controls the HTTP response (headers, cookies, redirects)</w:t>
            </w:r>
          </w:p>
        </w:tc>
      </w:tr>
      <w:tr>
        <w:tc>
          <w:tcPr/>
          <w:p>
            <w:pPr>
              <w:pStyle w:val="Compact"/>
            </w:pPr>
            <w:r>
              <w:rPr>
                <w:b/>
                <w:bCs/>
              </w:rPr>
              <w:t xml:space="preserve">Session</w:t>
            </w:r>
          </w:p>
        </w:tc>
        <w:tc>
          <w:tcPr/>
          <w:p>
            <w:pPr>
              <w:pStyle w:val="Compact"/>
            </w:pPr>
            <w:r>
              <w:t xml:space="preserve">Stores data for a single user across multiple page requests</w:t>
            </w:r>
          </w:p>
        </w:tc>
      </w:tr>
      <w:tr>
        <w:tc>
          <w:tcPr/>
          <w:p>
            <w:pPr>
              <w:pStyle w:val="Compact"/>
            </w:pPr>
            <w:r>
              <w:rPr>
                <w:b/>
                <w:bCs/>
              </w:rPr>
              <w:t xml:space="preserve">Application</w:t>
            </w:r>
          </w:p>
        </w:tc>
        <w:tc>
          <w:tcPr/>
          <w:p>
            <w:pPr>
              <w:pStyle w:val="Compact"/>
            </w:pPr>
            <w:r>
              <w:t xml:space="preserve">Stores data shared across all users and all requests for the application lifetime</w:t>
            </w:r>
          </w:p>
        </w:tc>
      </w:tr>
      <w:tr>
        <w:tc>
          <w:tcPr/>
          <w:p>
            <w:pPr>
              <w:pStyle w:val="Compact"/>
            </w:pPr>
            <w:r>
              <w:rPr>
                <w:b/>
                <w:bCs/>
              </w:rPr>
              <w:t xml:space="preserve">Server</w:t>
            </w:r>
          </w:p>
        </w:tc>
        <w:tc>
          <w:tcPr/>
          <w:p>
            <w:pPr>
              <w:pStyle w:val="Compact"/>
            </w:pPr>
            <w:r>
              <w:t xml:space="preserve">Utility methods â€” URL/HTML encoding, path translation, object creation, error info</w:t>
            </w:r>
          </w:p>
        </w:tc>
      </w:tr>
      <w:tr>
        <w:tc>
          <w:tcPr/>
          <w:p>
            <w:pPr>
              <w:pStyle w:val="Compact"/>
            </w:pPr>
            <w:r>
              <w:rPr>
                <w:b/>
                <w:bCs/>
              </w:rPr>
              <w:t xml:space="preserve">ASPError</w:t>
            </w:r>
          </w:p>
        </w:tc>
        <w:tc>
          <w:tcPr/>
          <w:p>
            <w:pPr>
              <w:pStyle w:val="Compact"/>
            </w:pPr>
            <w:r>
              <w:t xml:space="preserve">Provides structured error information when a script error occurs</w:t>
            </w:r>
          </w:p>
        </w:tc>
      </w:tr>
    </w:tbl>
    <w:p>
      <w:r>
        <w:pict>
          <v:rect style="width:0;height:1.5pt" o:hralign="center" o:hrstd="t" o:hr="t"/>
        </w:pict>
      </w:r>
    </w:p>
    <w:bookmarkEnd w:id="540"/>
    <w:bookmarkStart w:id="541" w:name="request"/>
    <w:p>
      <w:pPr>
        <w:pStyle w:val="Heading2"/>
      </w:pPr>
      <w:r>
        <w:t xml:space="preserve">Request</w:t>
      </w:r>
    </w:p>
    <w:p>
      <w:pPr>
        <w:pStyle w:val="FirstParagraph"/>
      </w:pPr>
      <w:r>
        <w:t xml:space="preserve">Represents data sent to the server by the client.</w:t>
      </w:r>
    </w:p>
    <w:p>
      <w:pPr>
        <w:pStyle w:val="BodyText"/>
      </w:pPr>
      <w:r>
        <w:rPr>
          <w:b/>
          <w:bCs/>
        </w:rPr>
        <w:t xml:space="preserve">Key collections:</w:t>
      </w:r>
    </w:p>
    <w:tbl>
      <w:tblPr>
        <w:tblStyle w:val="Table"/>
        <w:tblW w:type="pct" w:w="5000"/>
        <w:tblLayout w:type="fixed"/>
        <w:tblLook w:firstRow="1" w:lastRow="0" w:firstColumn="0" w:lastColumn="0" w:noHBand="0" w:noVBand="0" w:val="0020"/>
      </w:tblPr>
      <w:tblGrid>
        <w:gridCol w:w="3226"/>
        <w:gridCol w:w="4693"/>
      </w:tblGrid>
      <w:tr>
        <w:trPr>
          <w:tblHeader w:val="on"/>
        </w:trPr>
        <w:tc>
          <w:tcPr/>
          <w:p>
            <w:pPr>
              <w:pStyle w:val="Compact"/>
            </w:pPr>
            <w:r>
              <w:t xml:space="preserve">Collection</w:t>
            </w:r>
          </w:p>
        </w:tc>
        <w:tc>
          <w:tcPr/>
          <w:p>
            <w:pPr>
              <w:pStyle w:val="Compact"/>
            </w:pPr>
            <w:r>
              <w:t xml:space="preserve">What it Contains</w:t>
            </w:r>
          </w:p>
        </w:tc>
      </w:tr>
      <w:tr>
        <w:tc>
          <w:tcPr/>
          <w:p>
            <w:pPr>
              <w:pStyle w:val="Compact"/>
            </w:pPr>
            <w:r>
              <w:rPr>
                <w:rStyle w:val="VerbatimChar"/>
              </w:rPr>
              <w:t xml:space="preserve">Request.QueryString("key")</w:t>
            </w:r>
          </w:p>
        </w:tc>
        <w:tc>
          <w:tcPr/>
          <w:p>
            <w:pPr>
              <w:pStyle w:val="Compact"/>
            </w:pPr>
            <w:r>
              <w:t xml:space="preserve">URL query string parameters (</w:t>
            </w:r>
            <w:r>
              <w:rPr>
                <w:rStyle w:val="VerbatimChar"/>
              </w:rPr>
              <w:t xml:space="preserve">?name=value</w:t>
            </w:r>
            <w:r>
              <w:t xml:space="preserve">)</w:t>
            </w:r>
          </w:p>
        </w:tc>
      </w:tr>
      <w:tr>
        <w:tc>
          <w:tcPr/>
          <w:p>
            <w:pPr>
              <w:pStyle w:val="Compact"/>
            </w:pPr>
            <w:r>
              <w:rPr>
                <w:rStyle w:val="VerbatimChar"/>
              </w:rPr>
              <w:t xml:space="preserve">Request.Form("key")</w:t>
            </w:r>
          </w:p>
        </w:tc>
        <w:tc>
          <w:tcPr/>
          <w:p>
            <w:pPr>
              <w:pStyle w:val="Compact"/>
            </w:pPr>
            <w:r>
              <w:t xml:space="preserve">HTML form fields submitted via POST</w:t>
            </w:r>
          </w:p>
        </w:tc>
      </w:tr>
      <w:tr>
        <w:tc>
          <w:tcPr/>
          <w:p>
            <w:pPr>
              <w:pStyle w:val="Compact"/>
            </w:pPr>
            <w:r>
              <w:rPr>
                <w:rStyle w:val="VerbatimChar"/>
              </w:rPr>
              <w:t xml:space="preserve">Request.Cookies("name")</w:t>
            </w:r>
          </w:p>
        </w:tc>
        <w:tc>
          <w:tcPr/>
          <w:p>
            <w:pPr>
              <w:pStyle w:val="Compact"/>
            </w:pPr>
            <w:r>
              <w:t xml:space="preserve">Client cookies</w:t>
            </w:r>
          </w:p>
        </w:tc>
      </w:tr>
      <w:tr>
        <w:tc>
          <w:tcPr/>
          <w:p>
            <w:pPr>
              <w:pStyle w:val="Compact"/>
            </w:pPr>
            <w:r>
              <w:rPr>
                <w:rStyle w:val="VerbatimChar"/>
              </w:rPr>
              <w:t xml:space="preserve">Request.ServerVariables("var")</w:t>
            </w:r>
          </w:p>
        </w:tc>
        <w:tc>
          <w:tcPr/>
          <w:p>
            <w:pPr>
              <w:pStyle w:val="Compact"/>
            </w:pPr>
            <w:r>
              <w:t xml:space="preserve">HTTP headers and server environment info</w:t>
            </w:r>
          </w:p>
        </w:tc>
      </w:tr>
      <w:tr>
        <w:tc>
          <w:tcPr/>
          <w:p>
            <w:pPr>
              <w:pStyle w:val="Compact"/>
            </w:pPr>
            <w:r>
              <w:rPr>
                <w:rStyle w:val="VerbatimChar"/>
              </w:rPr>
              <w:t xml:space="preserve">Request.ClientCertificate("key")</w:t>
            </w:r>
          </w:p>
        </w:tc>
        <w:tc>
          <w:tcPr/>
          <w:p>
            <w:pPr>
              <w:pStyle w:val="Compact"/>
            </w:pPr>
            <w:r>
              <w:t xml:space="preserve">Client certificate fields (HTTPS)</w:t>
            </w:r>
          </w:p>
        </w:tc>
      </w:tr>
      <w:tr>
        <w:tc>
          <w:tcPr/>
          <w:p>
            <w:pPr>
              <w:pStyle w:val="Compact"/>
            </w:pPr>
            <w:r>
              <w:rPr>
                <w:rStyle w:val="VerbatimChar"/>
              </w:rPr>
              <w:t xml:space="preserve">Request("key")</w:t>
            </w:r>
          </w:p>
        </w:tc>
        <w:tc>
          <w:tcPr/>
          <w:p>
            <w:pPr>
              <w:pStyle w:val="Compact"/>
            </w:pPr>
            <w:r>
              <w:t xml:space="preserve">Searches all collections in order</w:t>
            </w:r>
          </w:p>
        </w:tc>
      </w:tr>
    </w:tbl>
    <w:p>
      <w:pPr>
        <w:pStyle w:val="BodyText"/>
      </w:pPr>
      <w:r>
        <w:rPr>
          <w:b/>
          <w:bCs/>
        </w:rPr>
        <w:t xml:space="preserve">Key properties:</w:t>
      </w:r>
      <w:r>
        <w:t xml:space="preserve"> </w:t>
      </w:r>
      <w:r>
        <w:rPr>
          <w:rStyle w:val="VerbatimChar"/>
        </w:rPr>
        <w:t xml:space="preserve">Request.TotalBytes</w:t>
      </w:r>
      <w:r>
        <w:br/>
      </w:r>
      <w:r>
        <w:rPr>
          <w:b/>
          <w:bCs/>
        </w:rPr>
        <w:t xml:space="preserve">Key method:</w:t>
      </w:r>
      <w:r>
        <w:t xml:space="preserve"> </w:t>
      </w:r>
      <w:r>
        <w:rPr>
          <w:rStyle w:val="VerbatimChar"/>
        </w:rPr>
        <w:t xml:space="preserve">Request.BinaryRead(n)</w:t>
      </w:r>
    </w:p>
    <w:p>
      <w:r>
        <w:pict>
          <v:rect style="width:0;height:1.5pt" o:hralign="center" o:hrstd="t" o:hr="t"/>
        </w:pict>
      </w:r>
    </w:p>
    <w:bookmarkEnd w:id="541"/>
    <w:bookmarkStart w:id="542" w:name="response"/>
    <w:p>
      <w:pPr>
        <w:pStyle w:val="Heading2"/>
      </w:pPr>
      <w:r>
        <w:t xml:space="preserve">Response</w:t>
      </w:r>
    </w:p>
    <w:p>
      <w:pPr>
        <w:pStyle w:val="FirstParagraph"/>
      </w:pPr>
      <w:r>
        <w:t xml:space="preserve">Controls what is sent back to the browser.</w:t>
      </w:r>
    </w:p>
    <w:p>
      <w:pPr>
        <w:pStyle w:val="BodyText"/>
      </w:pPr>
      <w:r>
        <w:rPr>
          <w:b/>
          <w:bCs/>
        </w:rPr>
        <w:t xml:space="preserve">Key methods: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Purpose</w:t>
            </w:r>
          </w:p>
        </w:tc>
      </w:tr>
      <w:tr>
        <w:tc>
          <w:tcPr/>
          <w:p>
            <w:pPr>
              <w:pStyle w:val="Compact"/>
            </w:pPr>
            <w:r>
              <w:rPr>
                <w:rStyle w:val="VerbatimChar"/>
              </w:rPr>
              <w:t xml:space="preserve">Response.Write(text)</w:t>
            </w:r>
          </w:p>
        </w:tc>
        <w:tc>
          <w:tcPr/>
          <w:p>
            <w:pPr>
              <w:pStyle w:val="Compact"/>
            </w:pPr>
            <w:r>
              <w:t xml:space="preserve">Output text to browser</w:t>
            </w:r>
          </w:p>
        </w:tc>
      </w:tr>
      <w:tr>
        <w:tc>
          <w:tcPr/>
          <w:p>
            <w:pPr>
              <w:pStyle w:val="Compact"/>
            </w:pPr>
            <w:r>
              <w:rPr>
                <w:rStyle w:val="VerbatimChar"/>
              </w:rPr>
              <w:t xml:space="preserve">Response.Redirect(url)</w:t>
            </w:r>
          </w:p>
        </w:tc>
        <w:tc>
          <w:tcPr/>
          <w:p>
            <w:pPr>
              <w:pStyle w:val="Compact"/>
            </w:pPr>
            <w:r>
              <w:t xml:space="preserve">302 redirect and stop</w:t>
            </w:r>
          </w:p>
        </w:tc>
      </w:tr>
      <w:tr>
        <w:tc>
          <w:tcPr/>
          <w:p>
            <w:pPr>
              <w:pStyle w:val="Compact"/>
            </w:pPr>
            <w:r>
              <w:rPr>
                <w:rStyle w:val="VerbatimChar"/>
              </w:rPr>
              <w:t xml:space="preserve">Response.End()</w:t>
            </w:r>
          </w:p>
        </w:tc>
        <w:tc>
          <w:tcPr/>
          <w:p>
            <w:pPr>
              <w:pStyle w:val="Compact"/>
            </w:pPr>
            <w:r>
              <w:t xml:space="preserve">Immediately stop script execution</w:t>
            </w:r>
          </w:p>
        </w:tc>
      </w:tr>
      <w:tr>
        <w:tc>
          <w:tcPr/>
          <w:p>
            <w:pPr>
              <w:pStyle w:val="Compact"/>
            </w:pPr>
            <w:r>
              <w:rPr>
                <w:rStyle w:val="VerbatimChar"/>
              </w:rPr>
              <w:t xml:space="preserve">Response.Flush()</w:t>
            </w:r>
          </w:p>
        </w:tc>
        <w:tc>
          <w:tcPr/>
          <w:p>
            <w:pPr>
              <w:pStyle w:val="Compact"/>
            </w:pPr>
            <w:r>
              <w:t xml:space="preserve">Send buffered content immediately</w:t>
            </w:r>
          </w:p>
        </w:tc>
      </w:tr>
      <w:tr>
        <w:tc>
          <w:tcPr/>
          <w:p>
            <w:pPr>
              <w:pStyle w:val="Compact"/>
            </w:pPr>
            <w:r>
              <w:rPr>
                <w:rStyle w:val="VerbatimChar"/>
              </w:rPr>
              <w:t xml:space="preserve">Response.Clear()</w:t>
            </w:r>
          </w:p>
        </w:tc>
        <w:tc>
          <w:tcPr/>
          <w:p>
            <w:pPr>
              <w:pStyle w:val="Compact"/>
            </w:pPr>
            <w:r>
              <w:t xml:space="preserve">Clear the buffer</w:t>
            </w:r>
          </w:p>
        </w:tc>
      </w:tr>
      <w:tr>
        <w:tc>
          <w:tcPr/>
          <w:p>
            <w:pPr>
              <w:pStyle w:val="Compact"/>
            </w:pPr>
            <w:r>
              <w:rPr>
                <w:rStyle w:val="VerbatimChar"/>
              </w:rPr>
              <w:t xml:space="preserve">Response.AddHeader(name, value)</w:t>
            </w:r>
          </w:p>
        </w:tc>
        <w:tc>
          <w:tcPr/>
          <w:p>
            <w:pPr>
              <w:pStyle w:val="Compact"/>
            </w:pPr>
            <w:r>
              <w:t xml:space="preserve">Add HTTP header</w:t>
            </w:r>
          </w:p>
        </w:tc>
      </w:tr>
      <w:tr>
        <w:tc>
          <w:tcPr/>
          <w:p>
            <w:pPr>
              <w:pStyle w:val="Compact"/>
            </w:pPr>
            <w:r>
              <w:rPr>
                <w:rStyle w:val="VerbatimChar"/>
              </w:rPr>
              <w:t xml:space="preserve">Response.AppendToLog(message)</w:t>
            </w:r>
          </w:p>
        </w:tc>
        <w:tc>
          <w:tcPr/>
          <w:p>
            <w:pPr>
              <w:pStyle w:val="Compact"/>
            </w:pPr>
            <w:r>
              <w:t xml:space="preserve">Write to the server log</w:t>
            </w:r>
          </w:p>
        </w:tc>
      </w:tr>
      <w:tr>
        <w:tc>
          <w:tcPr/>
          <w:p>
            <w:pPr>
              <w:pStyle w:val="Compact"/>
            </w:pPr>
            <w:r>
              <w:rPr>
                <w:rStyle w:val="VerbatimChar"/>
              </w:rPr>
              <w:t xml:space="preserve">Response.BinaryWrite(data)</w:t>
            </w:r>
          </w:p>
        </w:tc>
        <w:tc>
          <w:tcPr/>
          <w:p>
            <w:pPr>
              <w:pStyle w:val="Compact"/>
            </w:pPr>
            <w:r>
              <w:t xml:space="preserve">Send raw byte array</w:t>
            </w:r>
          </w:p>
        </w:tc>
      </w:tr>
    </w:tbl>
    <w:p>
      <w:pPr>
        <w:pStyle w:val="BodyText"/>
      </w:pPr>
      <w:r>
        <w:rPr>
          <w:b/>
          <w:bCs/>
        </w:rPr>
        <w:t xml:space="preserve">Key properties:</w:t>
      </w:r>
      <w:r>
        <w:t xml:space="preserve"> </w:t>
      </w:r>
      <w:r>
        <w:rPr>
          <w:rStyle w:val="VerbatimChar"/>
        </w:rPr>
        <w:t xml:space="preserve">Response.Buffer</w:t>
      </w:r>
      <w:r>
        <w:t xml:space="preserve">,</w:t>
      </w:r>
      <w:r>
        <w:t xml:space="preserve"> </w:t>
      </w:r>
      <w:r>
        <w:rPr>
          <w:rStyle w:val="VerbatimChar"/>
        </w:rPr>
        <w:t xml:space="preserve">Response.ContentType</w:t>
      </w:r>
      <w:r>
        <w:t xml:space="preserve">,</w:t>
      </w:r>
      <w:r>
        <w:t xml:space="preserve"> </w:t>
      </w:r>
      <w:r>
        <w:rPr>
          <w:rStyle w:val="VerbatimChar"/>
        </w:rPr>
        <w:t xml:space="preserve">Response.Status</w:t>
      </w:r>
      <w:r>
        <w:t xml:space="preserve">,</w:t>
      </w:r>
      <w:r>
        <w:t xml:space="preserve"> </w:t>
      </w:r>
      <w:r>
        <w:rPr>
          <w:rStyle w:val="VerbatimChar"/>
        </w:rPr>
        <w:t xml:space="preserve">Response.Charset</w:t>
      </w:r>
      <w:r>
        <w:t xml:space="preserve">,</w:t>
      </w:r>
      <w:r>
        <w:t xml:space="preserve"> </w:t>
      </w:r>
      <w:r>
        <w:rPr>
          <w:rStyle w:val="VerbatimChar"/>
        </w:rPr>
        <w:t xml:space="preserve">Response.CacheControl</w:t>
      </w:r>
      <w:r>
        <w:t xml:space="preserve">,</w:t>
      </w:r>
      <w:r>
        <w:t xml:space="preserve"> </w:t>
      </w:r>
      <w:r>
        <w:rPr>
          <w:rStyle w:val="VerbatimChar"/>
        </w:rPr>
        <w:t xml:space="preserve">Response.Expires</w:t>
      </w:r>
      <w:r>
        <w:t xml:space="preserve">,</w:t>
      </w:r>
      <w:r>
        <w:t xml:space="preserve"> </w:t>
      </w:r>
      <w:r>
        <w:rPr>
          <w:rStyle w:val="VerbatimChar"/>
        </w:rPr>
        <w:t xml:space="preserve">Response.ExpiresAbsolute</w:t>
      </w:r>
      <w:r>
        <w:t xml:space="preserve">,</w:t>
      </w:r>
      <w:r>
        <w:t xml:space="preserve"> </w:t>
      </w:r>
      <w:r>
        <w:rPr>
          <w:rStyle w:val="VerbatimChar"/>
        </w:rPr>
        <w:t xml:space="preserve">Response.Cookies</w:t>
      </w:r>
      <w:r>
        <w:t xml:space="preserve">,</w:t>
      </w:r>
      <w:r>
        <w:t xml:space="preserve"> </w:t>
      </w:r>
      <w:r>
        <w:rPr>
          <w:rStyle w:val="VerbatimChar"/>
        </w:rPr>
        <w:t xml:space="preserve">Response.IsClientConnected</w:t>
      </w:r>
    </w:p>
    <w:p>
      <w:r>
        <w:pict>
          <v:rect style="width:0;height:1.5pt" o:hralign="center" o:hrstd="t" o:hr="t"/>
        </w:pict>
      </w:r>
    </w:p>
    <w:bookmarkEnd w:id="542"/>
    <w:bookmarkStart w:id="543" w:name="session"/>
    <w:p>
      <w:pPr>
        <w:pStyle w:val="Heading2"/>
      </w:pPr>
      <w:r>
        <w:t xml:space="preserve">Session</w:t>
      </w:r>
    </w:p>
    <w:p>
      <w:pPr>
        <w:pStyle w:val="FirstParagraph"/>
      </w:pPr>
      <w:r>
        <w:t xml:space="preserve">Stores user-specific data between requests using a cookie-based session ID.</w:t>
      </w:r>
    </w:p>
    <w:p>
      <w:pPr>
        <w:pStyle w:val="BodyText"/>
      </w:pPr>
      <w:r>
        <w:rPr>
          <w:b/>
          <w:bCs/>
        </w:rPr>
        <w:t xml:space="preserve">Usage:</w:t>
      </w:r>
    </w:p>
    <w:p>
      <w:pPr>
        <w:pStyle w:val="SourceCode"/>
      </w:pPr>
      <w:r>
        <w:rPr>
          <w:rStyle w:val="NormalTok"/>
        </w:rPr>
        <w:t xml:space="preserve">Session("UserName") = "Alice"</w:t>
      </w:r>
      <w:r>
        <w:br/>
      </w:r>
      <w:r>
        <w:rPr>
          <w:rStyle w:val="NormalTok"/>
        </w:rPr>
        <w:t xml:space="preserve">Dim name : name = Session("UserName")</w:t>
      </w:r>
      <w:r>
        <w:br/>
      </w:r>
      <w:r>
        <w:rPr>
          <w:rStyle w:val="NormalTok"/>
        </w:rPr>
        <w:t xml:space="preserve">Session.Abandon</w:t>
      </w:r>
    </w:p>
    <w:p>
      <w:pPr>
        <w:pStyle w:val="FirstParagraph"/>
      </w:pPr>
      <w:r>
        <w:rPr>
          <w:b/>
          <w:bCs/>
        </w:rPr>
        <w:t xml:space="preserve">Key properties:</w:t>
      </w:r>
      <w:r>
        <w:t xml:space="preserve"> </w:t>
      </w:r>
      <w:r>
        <w:rPr>
          <w:rStyle w:val="VerbatimChar"/>
        </w:rPr>
        <w:t xml:space="preserve">Session.SessionID</w:t>
      </w:r>
      <w:r>
        <w:t xml:space="preserve">,</w:t>
      </w:r>
      <w:r>
        <w:t xml:space="preserve"> </w:t>
      </w:r>
      <w:r>
        <w:rPr>
          <w:rStyle w:val="VerbatimChar"/>
        </w:rPr>
        <w:t xml:space="preserve">Session.Timeout</w:t>
      </w:r>
      <w:r>
        <w:t xml:space="preserve">,</w:t>
      </w:r>
      <w:r>
        <w:t xml:space="preserve"> </w:t>
      </w:r>
      <w:r>
        <w:rPr>
          <w:rStyle w:val="VerbatimChar"/>
        </w:rPr>
        <w:t xml:space="preserve">Session.LCID</w:t>
      </w:r>
      <w:r>
        <w:t xml:space="preserve">,</w:t>
      </w:r>
      <w:r>
        <w:t xml:space="preserve"> </w:t>
      </w:r>
      <w:r>
        <w:rPr>
          <w:rStyle w:val="VerbatimChar"/>
        </w:rPr>
        <w:t xml:space="preserve">Session.CodePage</w:t>
      </w:r>
      <w:r>
        <w:br/>
      </w:r>
      <w:r>
        <w:rPr>
          <w:b/>
          <w:bCs/>
        </w:rPr>
        <w:t xml:space="preserve">Key methods:</w:t>
      </w:r>
      <w:r>
        <w:t xml:space="preserve"> </w:t>
      </w:r>
      <w:r>
        <w:rPr>
          <w:rStyle w:val="VerbatimChar"/>
        </w:rPr>
        <w:t xml:space="preserve">Session.Abandon()</w:t>
      </w:r>
      <w:r>
        <w:br/>
      </w:r>
      <w:r>
        <w:rPr>
          <w:b/>
          <w:bCs/>
        </w:rPr>
        <w:t xml:space="preserve">Key collections:</w:t>
      </w:r>
      <w:r>
        <w:t xml:space="preserve"> </w:t>
      </w:r>
      <w:r>
        <w:rPr>
          <w:rStyle w:val="VerbatimChar"/>
        </w:rPr>
        <w:t xml:space="preserve">Session.Contents</w:t>
      </w:r>
      <w:r>
        <w:t xml:space="preserve">,</w:t>
      </w:r>
      <w:r>
        <w:t xml:space="preserve"> </w:t>
      </w:r>
      <w:r>
        <w:rPr>
          <w:rStyle w:val="VerbatimChar"/>
        </w:rPr>
        <w:t xml:space="preserve">Session.StaticObjects</w:t>
      </w:r>
    </w:p>
    <w:p>
      <w:r>
        <w:pict>
          <v:rect style="width:0;height:1.5pt" o:hralign="center" o:hrstd="t" o:hr="t"/>
        </w:pict>
      </w:r>
    </w:p>
    <w:bookmarkEnd w:id="543"/>
    <w:bookmarkStart w:id="544" w:name="application"/>
    <w:p>
      <w:pPr>
        <w:pStyle w:val="Heading2"/>
      </w:pPr>
      <w:r>
        <w:t xml:space="preserve">Application</w:t>
      </w:r>
    </w:p>
    <w:p>
      <w:pPr>
        <w:pStyle w:val="FirstParagraph"/>
      </w:pPr>
      <w:r>
        <w:t xml:space="preserve">Application-level data store shared among all users. Must use</w:t>
      </w:r>
      <w:r>
        <w:t xml:space="preserve"> </w:t>
      </w:r>
      <w:r>
        <w:rPr>
          <w:rStyle w:val="VerbatimChar"/>
        </w:rPr>
        <w:t xml:space="preserve">Lock/Unlock</w:t>
      </w:r>
      <w:r>
        <w:t xml:space="preserve"> </w:t>
      </w:r>
      <w:r>
        <w:t xml:space="preserve">to prevent race conditions.</w:t>
      </w:r>
    </w:p>
    <w:p>
      <w:pPr>
        <w:pStyle w:val="BodyText"/>
      </w:pPr>
      <w:r>
        <w:rPr>
          <w:b/>
          <w:bCs/>
        </w:rPr>
        <w:t xml:space="preserve">Usage:</w:t>
      </w:r>
    </w:p>
    <w:p>
      <w:pPr>
        <w:pStyle w:val="SourceCode"/>
      </w:pPr>
      <w:r>
        <w:rPr>
          <w:rStyle w:val="NormalTok"/>
        </w:rPr>
        <w:t xml:space="preserve">Application.Lock</w:t>
      </w:r>
      <w:r>
        <w:br/>
      </w:r>
      <w:r>
        <w:rPr>
          <w:rStyle w:val="NormalTok"/>
        </w:rPr>
        <w:t xml:space="preserve">Application("HitCount") = Application("HitCount") + 1</w:t>
      </w:r>
      <w:r>
        <w:br/>
      </w:r>
      <w:r>
        <w:rPr>
          <w:rStyle w:val="NormalTok"/>
        </w:rPr>
        <w:t xml:space="preserve">Application.Unlock</w:t>
      </w:r>
    </w:p>
    <w:p>
      <w:pPr>
        <w:pStyle w:val="FirstParagraph"/>
      </w:pPr>
      <w:r>
        <w:rPr>
          <w:b/>
          <w:bCs/>
        </w:rPr>
        <w:t xml:space="preserve">Key methods:</w:t>
      </w:r>
      <w:r>
        <w:t xml:space="preserve"> </w:t>
      </w:r>
      <w:r>
        <w:rPr>
          <w:rStyle w:val="VerbatimChar"/>
        </w:rPr>
        <w:t xml:space="preserve">Application.Lock()</w:t>
      </w:r>
      <w:r>
        <w:t xml:space="preserve">,</w:t>
      </w:r>
      <w:r>
        <w:t xml:space="preserve"> </w:t>
      </w:r>
      <w:r>
        <w:rPr>
          <w:rStyle w:val="VerbatimChar"/>
        </w:rPr>
        <w:t xml:space="preserve">Application.Unlock()</w:t>
      </w:r>
      <w:r>
        <w:br/>
      </w:r>
      <w:r>
        <w:rPr>
          <w:b/>
          <w:bCs/>
        </w:rPr>
        <w:t xml:space="preserve">Key collections:</w:t>
      </w:r>
      <w:r>
        <w:t xml:space="preserve"> </w:t>
      </w:r>
      <w:r>
        <w:rPr>
          <w:rStyle w:val="VerbatimChar"/>
        </w:rPr>
        <w:t xml:space="preserve">Application.Contents</w:t>
      </w:r>
      <w:r>
        <w:t xml:space="preserve">,</w:t>
      </w:r>
      <w:r>
        <w:t xml:space="preserve"> </w:t>
      </w:r>
      <w:r>
        <w:rPr>
          <w:rStyle w:val="VerbatimChar"/>
        </w:rPr>
        <w:t xml:space="preserve">Application.StaticObjects</w:t>
      </w:r>
    </w:p>
    <w:p>
      <w:r>
        <w:pict>
          <v:rect style="width:0;height:1.5pt" o:hralign="center" o:hrstd="t" o:hr="t"/>
        </w:pict>
      </w:r>
    </w:p>
    <w:bookmarkEnd w:id="544"/>
    <w:bookmarkStart w:id="545" w:name="server"/>
    <w:p>
      <w:pPr>
        <w:pStyle w:val="Heading2"/>
      </w:pPr>
      <w:r>
        <w:t xml:space="preserve">Server</w:t>
      </w:r>
    </w:p>
    <w:p>
      <w:pPr>
        <w:pStyle w:val="FirstParagraph"/>
      </w:pPr>
      <w:r>
        <w:t xml:space="preserve">Provides utility methods used throughout scripts.</w:t>
      </w:r>
    </w:p>
    <w:p>
      <w:pPr>
        <w:pStyle w:val="BodyText"/>
      </w:pPr>
      <w:r>
        <w:rPr>
          <w:b/>
          <w:bCs/>
        </w:rPr>
        <w:t xml:space="preserve">Key methods: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Purpose</w:t>
            </w:r>
          </w:p>
        </w:tc>
      </w:tr>
      <w:tr>
        <w:tc>
          <w:tcPr/>
          <w:p>
            <w:pPr>
              <w:pStyle w:val="Compact"/>
            </w:pPr>
            <w:r>
              <w:rPr>
                <w:rStyle w:val="VerbatimChar"/>
              </w:rPr>
              <w:t xml:space="preserve">Server.CreateObject(progID)</w:t>
            </w:r>
          </w:p>
        </w:tc>
        <w:tc>
          <w:tcPr/>
          <w:p>
            <w:pPr>
              <w:pStyle w:val="Compact"/>
            </w:pPr>
            <w:r>
              <w:t xml:space="preserve">Instantiate a COM/native object</w:t>
            </w:r>
          </w:p>
        </w:tc>
      </w:tr>
      <w:tr>
        <w:tc>
          <w:tcPr/>
          <w:p>
            <w:pPr>
              <w:pStyle w:val="Compact"/>
            </w:pPr>
            <w:r>
              <w:rPr>
                <w:rStyle w:val="VerbatimChar"/>
              </w:rPr>
              <w:t xml:space="preserve">Server.MapPath(path)</w:t>
            </w:r>
          </w:p>
        </w:tc>
        <w:tc>
          <w:tcPr/>
          <w:p>
            <w:pPr>
              <w:pStyle w:val="Compact"/>
            </w:pPr>
            <w:r>
              <w:t xml:space="preserve">Translate virtual path to physical path</w:t>
            </w:r>
          </w:p>
        </w:tc>
      </w:tr>
      <w:tr>
        <w:tc>
          <w:tcPr/>
          <w:p>
            <w:pPr>
              <w:pStyle w:val="Compact"/>
            </w:pPr>
            <w:r>
              <w:rPr>
                <w:rStyle w:val="VerbatimChar"/>
              </w:rPr>
              <w:t xml:space="preserve">Server.HTMLEncode(str)</w:t>
            </w:r>
          </w:p>
        </w:tc>
        <w:tc>
          <w:tcPr/>
          <w:p>
            <w:pPr>
              <w:pStyle w:val="Compact"/>
            </w:pPr>
            <w:r>
              <w:t xml:space="preserve">Escape HTML special characters</w:t>
            </w:r>
          </w:p>
        </w:tc>
      </w:tr>
      <w:tr>
        <w:tc>
          <w:tcPr/>
          <w:p>
            <w:pPr>
              <w:pStyle w:val="Compact"/>
            </w:pPr>
            <w:r>
              <w:rPr>
                <w:rStyle w:val="VerbatimChar"/>
              </w:rPr>
              <w:t xml:space="preserve">Server.URLEncode(str)</w:t>
            </w:r>
          </w:p>
        </w:tc>
        <w:tc>
          <w:tcPr/>
          <w:p>
            <w:pPr>
              <w:pStyle w:val="Compact"/>
            </w:pPr>
            <w:r>
              <w:t xml:space="preserve">Encode string for use in a URL query</w:t>
            </w:r>
          </w:p>
        </w:tc>
      </w:tr>
      <w:tr>
        <w:tc>
          <w:tcPr/>
          <w:p>
            <w:pPr>
              <w:pStyle w:val="Compact"/>
            </w:pPr>
            <w:r>
              <w:rPr>
                <w:rStyle w:val="VerbatimChar"/>
              </w:rPr>
              <w:t xml:space="preserve">Server.URLPathEncode(str)</w:t>
            </w:r>
          </w:p>
        </w:tc>
        <w:tc>
          <w:tcPr/>
          <w:p>
            <w:pPr>
              <w:pStyle w:val="Compact"/>
            </w:pPr>
            <w:r>
              <w:t xml:space="preserve">Encode URL path segments</w:t>
            </w:r>
          </w:p>
        </w:tc>
      </w:tr>
      <w:tr>
        <w:tc>
          <w:tcPr/>
          <w:p>
            <w:pPr>
              <w:pStyle w:val="Compact"/>
            </w:pPr>
            <w:r>
              <w:rPr>
                <w:rStyle w:val="VerbatimChar"/>
              </w:rPr>
              <w:t xml:space="preserve">Server.GetLastError()</w:t>
            </w:r>
          </w:p>
        </w:tc>
        <w:tc>
          <w:tcPr/>
          <w:p>
            <w:pPr>
              <w:pStyle w:val="Compact"/>
            </w:pPr>
            <w:r>
              <w:t xml:space="preserve">Return the current ASPError object</w:t>
            </w:r>
          </w:p>
        </w:tc>
      </w:tr>
      <w:tr>
        <w:tc>
          <w:tcPr/>
          <w:p>
            <w:pPr>
              <w:pStyle w:val="Compact"/>
            </w:pPr>
            <w:r>
              <w:rPr>
                <w:rStyle w:val="VerbatimChar"/>
              </w:rPr>
              <w:t xml:space="preserve">Server.Execute(path)</w:t>
            </w:r>
          </w:p>
        </w:tc>
        <w:tc>
          <w:tcPr/>
          <w:p>
            <w:pPr>
              <w:pStyle w:val="Compact"/>
            </w:pPr>
            <w:r>
              <w:t xml:space="preserve">Execute another ASP file inline</w:t>
            </w:r>
          </w:p>
        </w:tc>
      </w:tr>
      <w:tr>
        <w:tc>
          <w:tcPr/>
          <w:p>
            <w:pPr>
              <w:pStyle w:val="Compact"/>
            </w:pPr>
            <w:r>
              <w:rPr>
                <w:rStyle w:val="VerbatimChar"/>
              </w:rPr>
              <w:t xml:space="preserve">Server.Transfer(path)</w:t>
            </w:r>
          </w:p>
        </w:tc>
        <w:tc>
          <w:tcPr/>
          <w:p>
            <w:pPr>
              <w:pStyle w:val="Compact"/>
            </w:pPr>
            <w:r>
              <w:t xml:space="preserve">Transfer execution to another page</w:t>
            </w:r>
          </w:p>
        </w:tc>
      </w:tr>
    </w:tbl>
    <w:p>
      <w:pPr>
        <w:pStyle w:val="BodyText"/>
      </w:pPr>
      <w:r>
        <w:rPr>
          <w:b/>
          <w:bCs/>
        </w:rPr>
        <w:t xml:space="preserve">Key property:</w:t>
      </w:r>
      <w:r>
        <w:t xml:space="preserve"> </w:t>
      </w:r>
      <w:r>
        <w:rPr>
          <w:rStyle w:val="VerbatimChar"/>
        </w:rPr>
        <w:t xml:space="preserve">Server.ScriptTimeout</w:t>
      </w:r>
    </w:p>
    <w:p>
      <w:r>
        <w:pict>
          <v:rect style="width:0;height:1.5pt" o:hralign="center" o:hrstd="t" o:hr="t"/>
        </w:pict>
      </w:r>
    </w:p>
    <w:bookmarkEnd w:id="545"/>
    <w:bookmarkStart w:id="546" w:name="asperror"/>
    <w:p>
      <w:pPr>
        <w:pStyle w:val="Heading2"/>
      </w:pPr>
      <w:r>
        <w:t xml:space="preserve">ASPError</w:t>
      </w:r>
    </w:p>
    <w:p>
      <w:pPr>
        <w:pStyle w:val="FirstParagraph"/>
      </w:pPr>
      <w:r>
        <w:t xml:space="preserve">Returned by</w:t>
      </w:r>
      <w:r>
        <w:t xml:space="preserve"> </w:t>
      </w:r>
      <w:r>
        <w:rPr>
          <w:rStyle w:val="VerbatimChar"/>
        </w:rPr>
        <w:t xml:space="preserve">Server.GetLastError()</w:t>
      </w:r>
      <w:r>
        <w:t xml:space="preserve"> </w:t>
      </w:r>
      <w:r>
        <w:t xml:space="preserve">after an error occurs.</w:t>
      </w:r>
    </w:p>
    <w:p>
      <w:pPr>
        <w:pStyle w:val="BodyText"/>
      </w:pPr>
      <w:r>
        <w:rPr>
          <w:b/>
          <w:bCs/>
        </w:rPr>
        <w:t xml:space="preserve">Key properties:</w:t>
      </w:r>
      <w:r>
        <w:t xml:space="preserve"> </w:t>
      </w:r>
      <w:r>
        <w:rPr>
          <w:rStyle w:val="VerbatimChar"/>
        </w:rPr>
        <w:t xml:space="preserve">ASPCode</w:t>
      </w:r>
      <w:r>
        <w:t xml:space="preserve">,</w:t>
      </w:r>
      <w:r>
        <w:t xml:space="preserve"> </w:t>
      </w:r>
      <w:r>
        <w:rPr>
          <w:rStyle w:val="VerbatimChar"/>
        </w:rPr>
        <w:t xml:space="preserve">Number</w:t>
      </w:r>
      <w:r>
        <w:t xml:space="preserve">,</w:t>
      </w:r>
      <w:r>
        <w:t xml:space="preserve"> </w:t>
      </w:r>
      <w:r>
        <w:rPr>
          <w:rStyle w:val="VerbatimChar"/>
        </w:rPr>
        <w:t xml:space="preserve">Source</w:t>
      </w:r>
      <w:r>
        <w:t xml:space="preserve">,</w:t>
      </w:r>
      <w:r>
        <w:t xml:space="preserve"> </w:t>
      </w:r>
      <w:r>
        <w:rPr>
          <w:rStyle w:val="VerbatimChar"/>
        </w:rPr>
        <w:t xml:space="preserve">Description</w:t>
      </w:r>
      <w:r>
        <w:t xml:space="preserve">,</w:t>
      </w:r>
      <w:r>
        <w:t xml:space="preserve"> </w:t>
      </w:r>
      <w:r>
        <w:rPr>
          <w:rStyle w:val="VerbatimChar"/>
        </w:rPr>
        <w:t xml:space="preserve">File</w:t>
      </w:r>
      <w:r>
        <w:t xml:space="preserve">,</w:t>
      </w:r>
      <w:r>
        <w:t xml:space="preserve"> </w:t>
      </w:r>
      <w:r>
        <w:rPr>
          <w:rStyle w:val="VerbatimChar"/>
        </w:rPr>
        <w:t xml:space="preserve">Line</w:t>
      </w:r>
      <w:r>
        <w:t xml:space="preserve">,</w:t>
      </w:r>
      <w:r>
        <w:t xml:space="preserve"> </w:t>
      </w:r>
      <w:r>
        <w:rPr>
          <w:rStyle w:val="VerbatimChar"/>
        </w:rPr>
        <w:t xml:space="preserve">Column</w:t>
      </w:r>
      <w:r>
        <w:t xml:space="preserve">,</w:t>
      </w:r>
      <w:r>
        <w:t xml:space="preserve"> </w:t>
      </w:r>
      <w:r>
        <w:rPr>
          <w:rStyle w:val="VerbatimChar"/>
        </w:rPr>
        <w:t xml:space="preserve">Category</w:t>
      </w:r>
    </w:p>
    <w:p>
      <w:r>
        <w:pict>
          <v:rect style="width:0;height:1.5pt" o:hralign="center" o:hrstd="t" o:hr="t"/>
        </w:pict>
      </w:r>
    </w:p>
    <w:bookmarkEnd w:id="546"/>
    <w:bookmarkStart w:id="547" w:name="detailed-pages"/>
    <w:p>
      <w:pPr>
        <w:pStyle w:val="Heading2"/>
      </w:pPr>
      <w:r>
        <w:t xml:space="preserve">Detailed Pages</w:t>
      </w:r>
    </w:p>
    <w:p>
      <w:pPr>
        <w:pStyle w:val="Compact"/>
        <w:numPr>
          <w:ilvl w:val="0"/>
          <w:numId w:val="1170"/>
        </w:numPr>
      </w:pPr>
      <w:r>
        <w:t xml:space="preserve">Request Object</w:t>
      </w:r>
    </w:p>
    <w:p>
      <w:pPr>
        <w:pStyle w:val="Compact"/>
        <w:numPr>
          <w:ilvl w:val="0"/>
          <w:numId w:val="1170"/>
        </w:numPr>
      </w:pPr>
      <w:r>
        <w:t xml:space="preserve">Response Object</w:t>
      </w:r>
    </w:p>
    <w:p>
      <w:pPr>
        <w:pStyle w:val="Compact"/>
        <w:numPr>
          <w:ilvl w:val="0"/>
          <w:numId w:val="1170"/>
        </w:numPr>
      </w:pPr>
      <w:r>
        <w:t xml:space="preserve">Session Object</w:t>
      </w:r>
    </w:p>
    <w:p>
      <w:pPr>
        <w:pStyle w:val="Compact"/>
        <w:numPr>
          <w:ilvl w:val="0"/>
          <w:numId w:val="1170"/>
        </w:numPr>
      </w:pPr>
      <w:r>
        <w:t xml:space="preserve">Application Object</w:t>
      </w:r>
    </w:p>
    <w:p>
      <w:pPr>
        <w:pStyle w:val="Compact"/>
        <w:numPr>
          <w:ilvl w:val="0"/>
          <w:numId w:val="1170"/>
        </w:numPr>
      </w:pPr>
      <w:r>
        <w:t xml:space="preserve">Server Object</w:t>
      </w:r>
    </w:p>
    <w:p>
      <w:pPr>
        <w:pStyle w:val="Compact"/>
        <w:numPr>
          <w:ilvl w:val="0"/>
          <w:numId w:val="1170"/>
        </w:numPr>
      </w:pPr>
      <w:r>
        <w:t xml:space="preserve">ASPError Object</w:t>
      </w:r>
    </w:p>
    <w:bookmarkEnd w:id="547"/>
    <w:bookmarkEnd w:id="548"/>
    <w:bookmarkStart w:id="552" w:name="asp-quick-reference"/>
    <w:p>
      <w:pPr>
        <w:pStyle w:val="Heading1"/>
      </w:pPr>
      <w:r>
        <w:t xml:space="preserve">ASP Quick Reference</w:t>
      </w:r>
    </w:p>
    <w:bookmarkStart w:id="549" w:name="intrinsic-objects"/>
    <w:p>
      <w:pPr>
        <w:pStyle w:val="Heading2"/>
      </w:pPr>
      <w:r>
        <w:t xml:space="preserve">Intrinsic Objects</w:t>
      </w:r>
    </w:p>
    <w:p>
      <w:pPr>
        <w:pStyle w:val="Compact"/>
        <w:numPr>
          <w:ilvl w:val="0"/>
          <w:numId w:val="1171"/>
        </w:numPr>
      </w:pPr>
      <w:r>
        <w:t xml:space="preserve">Request: read client input data (query, form, cookies, server variables)</w:t>
      </w:r>
    </w:p>
    <w:p>
      <w:pPr>
        <w:pStyle w:val="Compact"/>
        <w:numPr>
          <w:ilvl w:val="0"/>
          <w:numId w:val="1171"/>
        </w:numPr>
      </w:pPr>
      <w:r>
        <w:t xml:space="preserve">Response: write output, headers, cookies, redirects</w:t>
      </w:r>
    </w:p>
    <w:p>
      <w:pPr>
        <w:pStyle w:val="Compact"/>
        <w:numPr>
          <w:ilvl w:val="0"/>
          <w:numId w:val="1171"/>
        </w:numPr>
      </w:pPr>
      <w:r>
        <w:t xml:space="preserve">Server: utility methods and object creation</w:t>
      </w:r>
    </w:p>
    <w:p>
      <w:pPr>
        <w:pStyle w:val="Compact"/>
        <w:numPr>
          <w:ilvl w:val="0"/>
          <w:numId w:val="1171"/>
        </w:numPr>
      </w:pPr>
      <w:r>
        <w:t xml:space="preserve">Session: per-user state across requests</w:t>
      </w:r>
    </w:p>
    <w:p>
      <w:pPr>
        <w:pStyle w:val="Compact"/>
        <w:numPr>
          <w:ilvl w:val="0"/>
          <w:numId w:val="1171"/>
        </w:numPr>
      </w:pPr>
      <w:r>
        <w:t xml:space="preserve">Application: global state shared by all requests</w:t>
      </w:r>
    </w:p>
    <w:p>
      <w:pPr>
        <w:pStyle w:val="Compact"/>
        <w:numPr>
          <w:ilvl w:val="0"/>
          <w:numId w:val="1171"/>
        </w:numPr>
      </w:pPr>
      <w:r>
        <w:t xml:space="preserve">ASPError: structured error information</w:t>
      </w:r>
    </w:p>
    <w:bookmarkEnd w:id="549"/>
    <w:bookmarkStart w:id="550" w:name="runtime-pattern"/>
    <w:p>
      <w:pPr>
        <w:pStyle w:val="Heading2"/>
      </w:pPr>
      <w:r>
        <w:t xml:space="preserve">Runtime Pattern</w:t>
      </w:r>
    </w:p>
    <w:p>
      <w:pPr>
        <w:pStyle w:val="Compact"/>
        <w:numPr>
          <w:ilvl w:val="0"/>
          <w:numId w:val="1172"/>
        </w:numPr>
      </w:pPr>
      <w:r>
        <w:t xml:space="preserve">Read inputs from Request</w:t>
      </w:r>
    </w:p>
    <w:p>
      <w:pPr>
        <w:pStyle w:val="Compact"/>
        <w:numPr>
          <w:ilvl w:val="0"/>
          <w:numId w:val="1172"/>
        </w:numPr>
      </w:pPr>
      <w:r>
        <w:t xml:space="preserve">Apply validation and business logic</w:t>
      </w:r>
    </w:p>
    <w:p>
      <w:pPr>
        <w:pStyle w:val="Compact"/>
        <w:numPr>
          <w:ilvl w:val="0"/>
          <w:numId w:val="1172"/>
        </w:numPr>
      </w:pPr>
      <w:r>
        <w:t xml:space="preserve">Use libraries through Server.CreateObject</w:t>
      </w:r>
    </w:p>
    <w:p>
      <w:pPr>
        <w:pStyle w:val="Compact"/>
        <w:numPr>
          <w:ilvl w:val="0"/>
          <w:numId w:val="1172"/>
        </w:numPr>
      </w:pPr>
      <w:r>
        <w:t xml:space="preserve">Write output through Response</w:t>
      </w:r>
    </w:p>
    <w:p>
      <w:pPr>
        <w:pStyle w:val="Compact"/>
        <w:numPr>
          <w:ilvl w:val="0"/>
          <w:numId w:val="1172"/>
        </w:numPr>
      </w:pPr>
      <w:r>
        <w:t xml:space="preserve">Persist state only when needed (Session/Application)</w:t>
      </w:r>
    </w:p>
    <w:bookmarkEnd w:id="550"/>
    <w:bookmarkStart w:id="551" w:name="minimal-asp-page"/>
    <w:p>
      <w:pPr>
        <w:pStyle w:val="Heading2"/>
      </w:pPr>
      <w:r>
        <w:t xml:space="preserve">Minimal ASP Page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name</w:t>
      </w:r>
      <w:r>
        <w:br/>
      </w:r>
      <w:r>
        <w:rPr>
          <w:rStyle w:val="NormalTok"/>
        </w:rPr>
        <w:t xml:space="preserve">name = </w:t>
      </w:r>
      <w:r>
        <w:rPr>
          <w:rStyle w:val="FunctionTok"/>
        </w:rPr>
        <w:t xml:space="preserve">Request</w:t>
      </w:r>
      <w:r>
        <w:rPr>
          <w:rStyle w:val="NormalTok"/>
        </w:rPr>
        <w:t xml:space="preserve">.</w:t>
      </w:r>
      <w:r>
        <w:rPr>
          <w:rStyle w:val="FunctionTok"/>
        </w:rPr>
        <w:t xml:space="preserve">QueryString</w:t>
      </w:r>
      <w:r>
        <w:rPr>
          <w:rStyle w:val="OtherTok"/>
        </w:rPr>
        <w:t xml:space="preserve">(</w:t>
      </w:r>
      <w:r>
        <w:rPr>
          <w:rStyle w:val="StringTok"/>
        </w:rPr>
        <w:t xml:space="preserve">"name"</w:t>
      </w:r>
      <w:r>
        <w:rPr>
          <w:rStyle w:val="OtherTok"/>
        </w:rPr>
        <w:t xml:space="preserve">)</w:t>
      </w:r>
      <w:r>
        <w:br/>
      </w:r>
      <w:r>
        <w:rPr>
          <w:rStyle w:val="ControlFlowTok"/>
        </w:rPr>
        <w:t xml:space="preserve">If</w:t>
      </w:r>
      <w:r>
        <w:rPr>
          <w:rStyle w:val="NormalTok"/>
        </w:rPr>
        <w:t xml:space="preserve"> </w:t>
      </w:r>
      <w:r>
        <w:rPr>
          <w:rStyle w:val="FunctionTok"/>
        </w:rPr>
        <w:t xml:space="preserve">Len</w:t>
      </w:r>
      <w:r>
        <w:rPr>
          <w:rStyle w:val="OtherTok"/>
        </w:rPr>
        <w:t xml:space="preserve">(</w:t>
      </w:r>
      <w:r>
        <w:rPr>
          <w:rStyle w:val="FunctionTok"/>
        </w:rPr>
        <w:t xml:space="preserve">Trim</w:t>
      </w:r>
      <w:r>
        <w:rPr>
          <w:rStyle w:val="OtherTok"/>
        </w:rPr>
        <w:t xml:space="preserve">(</w:t>
      </w:r>
      <w:r>
        <w:rPr>
          <w:rStyle w:val="NormalTok"/>
        </w:rPr>
        <w:t xml:space="preserve">name</w:t>
      </w:r>
      <w:r>
        <w:rPr>
          <w:rStyle w:val="OtherTok"/>
        </w:rPr>
        <w:t xml:space="preserve">))</w:t>
      </w:r>
      <w:r>
        <w:rPr>
          <w:rStyle w:val="NormalTok"/>
        </w:rPr>
        <w:t xml:space="preserve"> = </w:t>
      </w:r>
      <w:r>
        <w:rPr>
          <w:rStyle w:val="DecValTok"/>
        </w:rPr>
        <w:t xml:space="preserve">0</w:t>
      </w:r>
      <w:r>
        <w:rPr>
          <w:rStyle w:val="NormalTok"/>
        </w:rPr>
        <w:t xml:space="preserve"> </w:t>
      </w:r>
      <w:r>
        <w:rPr>
          <w:rStyle w:val="ControlFlowTok"/>
        </w:rPr>
        <w:t xml:space="preserve">Then</w:t>
      </w:r>
      <w:r>
        <w:br/>
      </w:r>
      <w:r>
        <w:rPr>
          <w:rStyle w:val="NormalTok"/>
        </w:rPr>
        <w:t xml:space="preserve">    name = </w:t>
      </w:r>
      <w:r>
        <w:rPr>
          <w:rStyle w:val="StringTok"/>
        </w:rPr>
        <w:t xml:space="preserve">"Guest"</w:t>
      </w:r>
      <w:r>
        <w:br/>
      </w:r>
      <w:r>
        <w:rPr>
          <w:rStyle w:val="ControlFlowTok"/>
        </w:rPr>
        <w:t xml:space="preserve">End If</w:t>
      </w:r>
      <w:r>
        <w:br/>
      </w:r>
      <w:r>
        <w:rPr>
          <w:rStyle w:val="FunctionTok"/>
        </w:rPr>
        <w:t xml:space="preserve">Response</w:t>
      </w:r>
      <w:r>
        <w:rPr>
          <w:rStyle w:val="NormalTok"/>
        </w:rPr>
        <w:t xml:space="preserve">.ContentType = </w:t>
      </w:r>
      <w:r>
        <w:rPr>
          <w:rStyle w:val="StringTok"/>
        </w:rPr>
        <w:t xml:space="preserve">"text/html"</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"&lt;h1&gt;Hello, "</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name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"&lt;/h1&gt;"</w:t>
      </w:r>
      <w:r>
        <w:br/>
      </w:r>
      <w:r>
        <w:rPr>
          <w:rStyle w:val="DataTypeTok"/>
        </w:rPr>
        <w:t xml:space="preserve">%&gt;</w:t>
      </w:r>
    </w:p>
    <w:bookmarkEnd w:id="551"/>
    <w:bookmarkEnd w:id="552"/>
    <w:bookmarkStart w:id="573" w:name="write-asp-script-syntax"/>
    <w:p>
      <w:pPr>
        <w:pStyle w:val="Heading1"/>
      </w:pPr>
      <w:r>
        <w:t xml:space="preserve">Write ASP Script Syntax</w:t>
      </w:r>
    </w:p>
    <w:bookmarkStart w:id="553" w:name="overview-34"/>
    <w:p>
      <w:pPr>
        <w:pStyle w:val="Heading2"/>
      </w:pPr>
      <w:r>
        <w:t xml:space="preserve">Overview</w:t>
      </w:r>
    </w:p>
    <w:p>
      <w:pPr>
        <w:pStyle w:val="FirstParagraph"/>
      </w:pPr>
      <w:r>
        <w:t xml:space="preserve">Classic ASP pages in G3Pix AxonASP combine HTML markup with server-side VBScript. Code inside</w:t>
      </w:r>
      <w:r>
        <w:t xml:space="preserve"> </w:t>
      </w:r>
      <w:r>
        <w:rPr>
          <w:rStyle w:val="VerbatimChar"/>
        </w:rPr>
        <w:t xml:space="preserve">&lt;%</w:t>
      </w:r>
      <w:r>
        <w:t xml:space="preserve"> </w:t>
      </w:r>
      <w:r>
        <w:t xml:space="preserve">and</w:t>
      </w:r>
      <w:r>
        <w:t xml:space="preserve"> </w:t>
      </w:r>
      <w:r>
        <w:rPr>
          <w:rStyle w:val="VerbatimChar"/>
        </w:rPr>
        <w:t xml:space="preserve">%&gt;</w:t>
      </w:r>
      <w:r>
        <w:t xml:space="preserve"> </w:t>
      </w:r>
      <w:r>
        <w:t xml:space="preserve">runs on the server before the response is sent to the client.</w:t>
      </w:r>
    </w:p>
    <w:p>
      <w:pPr>
        <w:pStyle w:val="BodyText"/>
      </w:pPr>
      <w:r>
        <w:t xml:space="preserve">Use this page as a baseline syntax reference for script blocks, output, directives, comments, and control flow.</w:t>
      </w:r>
    </w:p>
    <w:bookmarkEnd w:id="553"/>
    <w:bookmarkStart w:id="554" w:name="prerequisites-5"/>
    <w:p>
      <w:pPr>
        <w:pStyle w:val="Heading2"/>
      </w:pPr>
      <w:r>
        <w:t xml:space="preserve">Prerequisites</w:t>
      </w:r>
    </w:p>
    <w:p>
      <w:pPr>
        <w:pStyle w:val="Compact"/>
        <w:numPr>
          <w:ilvl w:val="0"/>
          <w:numId w:val="1173"/>
        </w:numPr>
      </w:pPr>
      <w:r>
        <w:t xml:space="preserve">Save the page with</w:t>
      </w:r>
      <w:r>
        <w:t xml:space="preserve"> </w:t>
      </w:r>
      <w:r>
        <w:rPr>
          <w:rStyle w:val="VerbatimChar"/>
        </w:rPr>
        <w:t xml:space="preserve">.asp</w:t>
      </w:r>
      <w:r>
        <w:t xml:space="preserve"> </w:t>
      </w:r>
      <w:r>
        <w:t xml:space="preserve">extension.</w:t>
      </w:r>
    </w:p>
    <w:p>
      <w:pPr>
        <w:pStyle w:val="Compact"/>
        <w:numPr>
          <w:ilvl w:val="0"/>
          <w:numId w:val="1173"/>
        </w:numPr>
      </w:pPr>
      <w:r>
        <w:t xml:space="preserve">Keep directives at the top of the file.</w:t>
      </w:r>
    </w:p>
    <w:p>
      <w:pPr>
        <w:pStyle w:val="Compact"/>
        <w:numPr>
          <w:ilvl w:val="0"/>
          <w:numId w:val="1173"/>
        </w:numPr>
      </w:pPr>
      <w:r>
        <w:t xml:space="preserve">Use VBScript syntax consistently in server blocks.</w:t>
      </w:r>
    </w:p>
    <w:bookmarkEnd w:id="554"/>
    <w:bookmarkStart w:id="558" w:name="core-delimiters"/>
    <w:p>
      <w:pPr>
        <w:pStyle w:val="Heading2"/>
      </w:pPr>
      <w:r>
        <w:t xml:space="preserve">Core Delimiters</w:t>
      </w:r>
    </w:p>
    <w:bookmarkStart w:id="555" w:name="execute-server-side-code"/>
    <w:p>
      <w:pPr>
        <w:pStyle w:val="Heading3"/>
      </w:pPr>
      <w:r>
        <w:t xml:space="preserve">Execute server-side code</w:t>
      </w:r>
    </w:p>
    <w:p>
      <w:pPr>
        <w:pStyle w:val="SourceCode"/>
      </w:pPr>
      <w:r>
        <w:rPr>
          <w:rStyle w:val="DataTypeTok"/>
        </w:rPr>
        <w:t xml:space="preserve">&lt;%</w:t>
      </w:r>
      <w:r>
        <w:br/>
      </w:r>
      <w:r>
        <w:rPr>
          <w:rStyle w:val="KeywordTok"/>
        </w:rPr>
        <w:t xml:space="preserve">Dim</w:t>
      </w:r>
      <w:r>
        <w:rPr>
          <w:rStyle w:val="NormalTok"/>
        </w:rPr>
        <w:t xml:space="preserve"> message</w:t>
      </w:r>
      <w:r>
        <w:br/>
      </w:r>
      <w:r>
        <w:rPr>
          <w:rStyle w:val="NormalTok"/>
        </w:rPr>
        <w:t xml:space="preserve">message = </w:t>
      </w:r>
      <w:r>
        <w:rPr>
          <w:rStyle w:val="StringTok"/>
        </w:rPr>
        <w:t xml:space="preserve">"Hello from server code"</w:t>
      </w:r>
      <w:r>
        <w:br/>
      </w:r>
      <w:r>
        <w:rPr>
          <w:rStyle w:val="FunctionTok"/>
        </w:rPr>
        <w:t xml:space="preserve">Response</w:t>
      </w:r>
      <w:r>
        <w:rPr>
          <w:rStyle w:val="NormalTok"/>
        </w:rPr>
        <w:t xml:space="preserve">.</w:t>
      </w:r>
      <w:r>
        <w:rPr>
          <w:rStyle w:val="FunctionTok"/>
        </w:rPr>
        <w:t xml:space="preserve">Write</w:t>
      </w:r>
      <w:r>
        <w:rPr>
          <w:rStyle w:val="NormalTok"/>
        </w:rPr>
        <w:t xml:space="preserve"> message</w:t>
      </w:r>
      <w:r>
        <w:br/>
      </w:r>
      <w:r>
        <w:rPr>
          <w:rStyle w:val="DataTypeTok"/>
        </w:rPr>
        <w:t xml:space="preserve">%&gt;</w:t>
      </w:r>
    </w:p>
    <w:bookmarkEnd w:id="555"/>
    <w:bookmarkStart w:id="556" w:name="output-an-expression-directly"/>
    <w:p>
      <w:pPr>
        <w:pStyle w:val="Heading3"/>
      </w:pPr>
      <w:r>
        <w:t xml:space="preserve">Output an expression directly</w:t>
      </w:r>
    </w:p>
    <w:p>
      <w:pPr>
        <w:pStyle w:val="SourceCode"/>
      </w:pPr>
      <w:r>
        <w:rPr>
          <w:rStyle w:val="KeywordTok"/>
        </w:rPr>
        <w:t xml:space="preserve">&lt;p&gt;</w:t>
      </w:r>
      <w:r>
        <w:rPr>
          <w:rStyle w:val="NormalTok"/>
        </w:rPr>
        <w:t xml:space="preserve">Current date: </w:t>
      </w:r>
      <w:r>
        <w:rPr>
          <w:rStyle w:val="DataTypeTok"/>
        </w:rPr>
        <w:t xml:space="preserve">&lt;%</w:t>
      </w:r>
      <w:r>
        <w:rPr>
          <w:rStyle w:val="NormalTok"/>
        </w:rPr>
        <w:t xml:space="preserve">= </w:t>
      </w:r>
      <w:r>
        <w:rPr>
          <w:rStyle w:val="FunctionTok"/>
        </w:rPr>
        <w:t xml:space="preserve">Date</w:t>
      </w:r>
      <w:r>
        <w:rPr>
          <w:rStyle w:val="OtherTok"/>
        </w:rPr>
        <w:t xml:space="preserve">()</w:t>
      </w:r>
      <w:r>
        <w:rPr>
          <w:rStyle w:val="NormalTok"/>
        </w:rPr>
        <w:t xml:space="preserve"> </w:t>
      </w:r>
      <w:r>
        <w:rPr>
          <w:rStyle w:val="DataTypeTok"/>
        </w:rPr>
        <w:t xml:space="preserve">%&gt;</w:t>
      </w:r>
      <w:r>
        <w:rPr>
          <w:rStyle w:val="KeywordTok"/>
        </w:rPr>
        <w:t xml:space="preserve">&lt;/p&gt;</w:t>
      </w:r>
    </w:p>
    <w:bookmarkEnd w:id="556"/>
    <w:bookmarkStart w:id="557" w:name="return-value"/>
    <w:p>
      <w:pPr>
        <w:pStyle w:val="Heading3"/>
      </w:pPr>
      <w:r>
        <w:t xml:space="preserve">Return value</w:t>
      </w:r>
    </w:p>
    <w:p>
      <w:pPr>
        <w:pStyle w:val="Compact"/>
        <w:numPr>
          <w:ilvl w:val="0"/>
          <w:numId w:val="1174"/>
        </w:numPr>
      </w:pPr>
      <w:r>
        <w:rPr>
          <w:rStyle w:val="VerbatimChar"/>
        </w:rPr>
        <w:t xml:space="preserve">&lt;% ... %&gt;</w:t>
      </w:r>
      <w:r>
        <w:t xml:space="preserve"> </w:t>
      </w:r>
      <w:r>
        <w:t xml:space="preserve">executes statements and returns no direct inline value.</w:t>
      </w:r>
    </w:p>
    <w:p>
      <w:pPr>
        <w:pStyle w:val="Compact"/>
        <w:numPr>
          <w:ilvl w:val="0"/>
          <w:numId w:val="1174"/>
        </w:numPr>
      </w:pPr>
      <w:r>
        <w:rPr>
          <w:rStyle w:val="VerbatimChar"/>
        </w:rPr>
        <w:t xml:space="preserve">&lt;%= expression %&gt;</w:t>
      </w:r>
      <w:r>
        <w:t xml:space="preserve"> </w:t>
      </w:r>
      <w:r>
        <w:t xml:space="preserve">evaluates</w:t>
      </w:r>
      <w:r>
        <w:t xml:space="preserve"> </w:t>
      </w:r>
      <w:r>
        <w:rPr>
          <w:rStyle w:val="VerbatimChar"/>
        </w:rPr>
        <w:t xml:space="preserve">expression</w:t>
      </w:r>
      <w:r>
        <w:t xml:space="preserve"> </w:t>
      </w:r>
      <w:r>
        <w:t xml:space="preserve">and writes its String representation to the response output stream.</w:t>
      </w:r>
    </w:p>
    <w:bookmarkEnd w:id="557"/>
    <w:bookmarkEnd w:id="558"/>
    <w:bookmarkStart w:id="562" w:name="write-output-with-response.write"/>
    <w:p>
      <w:pPr>
        <w:pStyle w:val="Heading2"/>
      </w:pPr>
      <w:r>
        <w:t xml:space="preserve">Write Output with Response.Write</w:t>
      </w:r>
    </w:p>
    <w:bookmarkStart w:id="559" w:name="syntax-11"/>
    <w:p>
      <w:pPr>
        <w:pStyle w:val="Heading3"/>
      </w:pPr>
      <w:r>
        <w:t xml:space="preserve">Syntax</w:t>
      </w:r>
    </w:p>
    <w:p>
      <w:pPr>
        <w:pStyle w:val="SourceCode"/>
      </w:pPr>
      <w:r>
        <w:rPr>
          <w:rStyle w:val="NormalTok"/>
        </w:rPr>
        <w:t xml:space="preserve">Response.Write expression</w:t>
      </w:r>
    </w:p>
    <w:bookmarkEnd w:id="559"/>
    <w:bookmarkStart w:id="560" w:name="return-value-1"/>
    <w:p>
      <w:pPr>
        <w:pStyle w:val="Heading3"/>
      </w:pPr>
      <w:r>
        <w:t xml:space="preserve">Return value</w:t>
      </w:r>
    </w:p>
    <w:p>
      <w:pPr>
        <w:pStyle w:val="FirstParagraph"/>
      </w:pPr>
      <w:r>
        <w:t xml:space="preserve">Returns no value. The method appends the evaluated text to the HTTP response body.</w:t>
      </w:r>
    </w:p>
    <w:bookmarkEnd w:id="560"/>
    <w:bookmarkStart w:id="561" w:name="example"/>
    <w:p>
      <w:pPr>
        <w:pStyle w:val="Heading3"/>
      </w:pPr>
      <w:r>
        <w:t xml:space="preserve">Example</w:t>
      </w:r>
    </w:p>
    <w:p>
      <w:pPr>
        <w:pStyle w:val="SourceCode"/>
      </w:pPr>
      <w:r>
        <w:rPr>
          <w:rStyle w:val="DataTypeTok"/>
        </w:rPr>
        <w:t xml:space="preserve">&lt;%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"&lt;h1&gt;Dashboard&lt;/h1&gt;"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"&lt;p&gt;Welcome, "</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StringTok"/>
        </w:rPr>
        <w:t xml:space="preserve">"alice"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"&lt;/p&gt;"</w:t>
      </w:r>
      <w:r>
        <w:br/>
      </w:r>
      <w:r>
        <w:rPr>
          <w:rStyle w:val="DataTypeTok"/>
        </w:rPr>
        <w:t xml:space="preserve">%&gt;</w:t>
      </w:r>
    </w:p>
    <w:bookmarkEnd w:id="561"/>
    <w:bookmarkEnd w:id="562"/>
    <w:bookmarkStart w:id="564" w:name="use-page-directives"/>
    <w:p>
      <w:pPr>
        <w:pStyle w:val="Heading2"/>
      </w:pPr>
      <w:r>
        <w:t xml:space="preserve">Use Page Directives</w:t>
      </w:r>
    </w:p>
    <w:p>
      <w:pPr>
        <w:pStyle w:val="FirstParagraph"/>
      </w:pPr>
      <w:r>
        <w:t xml:space="preserve">Place directives at the top of the file.</w:t>
      </w:r>
    </w:p>
    <w:p>
      <w:pPr>
        <w:pStyle w:val="SourceCode"/>
      </w:pPr>
      <w:r>
        <w:rPr>
          <w:rStyle w:val="DataTypeTok"/>
        </w:rPr>
        <w:t xml:space="preserve">&lt;%</w:t>
      </w:r>
      <w:r>
        <w:rPr>
          <w:rStyle w:val="NormalTok"/>
        </w:rPr>
        <w:t xml:space="preserve">@Language=</w:t>
      </w:r>
      <w:r>
        <w:rPr>
          <w:rStyle w:val="StringTok"/>
        </w:rPr>
        <w:t xml:space="preserve">"VBSCRIPT"</w:t>
      </w:r>
      <w:r>
        <w:rPr>
          <w:rStyle w:val="NormalTok"/>
        </w:rPr>
        <w:t xml:space="preserve"> CodePage=</w:t>
      </w:r>
      <w:r>
        <w:rPr>
          <w:rStyle w:val="StringTok"/>
        </w:rPr>
        <w:t xml:space="preserve">"65001"</w:t>
      </w:r>
      <w:r>
        <w:rPr>
          <w:rStyle w:val="DataTypeTok"/>
        </w:rPr>
        <w:t xml:space="preserve">%&gt;</w:t>
      </w:r>
      <w:r>
        <w:br/>
      </w:r>
      <w:r>
        <w:rPr>
          <w:rStyle w:val="DataTypeTok"/>
        </w:rPr>
        <w:t xml:space="preserve">&lt;%</w:t>
      </w:r>
      <w:r>
        <w:br/>
      </w:r>
      <w:r>
        <w:rPr>
          <w:rStyle w:val="FunctionTok"/>
        </w:rPr>
        <w:t xml:space="preserve">Response</w:t>
      </w:r>
      <w:r>
        <w:rPr>
          <w:rStyle w:val="NormalTok"/>
        </w:rPr>
        <w:t xml:space="preserve">.CodePage = </w:t>
      </w:r>
      <w:r>
        <w:rPr>
          <w:rStyle w:val="DecValTok"/>
        </w:rPr>
        <w:t xml:space="preserve">65001</w:t>
      </w:r>
      <w:r>
        <w:br/>
      </w:r>
      <w:r>
        <w:rPr>
          <w:rStyle w:val="FunctionTok"/>
        </w:rPr>
        <w:t xml:space="preserve">Response</w:t>
      </w:r>
      <w:r>
        <w:rPr>
          <w:rStyle w:val="NormalTok"/>
        </w:rPr>
        <w:t xml:space="preserve">.Charset = </w:t>
      </w:r>
      <w:r>
        <w:rPr>
          <w:rStyle w:val="StringTok"/>
        </w:rPr>
        <w:t xml:space="preserve">"utf-8"</w:t>
      </w:r>
      <w:r>
        <w:br/>
      </w:r>
      <w:r>
        <w:rPr>
          <w:rStyle w:val="DataTypeTok"/>
        </w:rPr>
        <w:t xml:space="preserve">%&gt;</w:t>
      </w:r>
    </w:p>
    <w:bookmarkStart w:id="563" w:name="return-value-2"/>
    <w:p>
      <w:pPr>
        <w:pStyle w:val="Heading3"/>
      </w:pPr>
      <w:r>
        <w:t xml:space="preserve">Return value</w:t>
      </w:r>
    </w:p>
    <w:p>
      <w:pPr>
        <w:pStyle w:val="FirstParagraph"/>
      </w:pPr>
      <w:r>
        <w:t xml:space="preserve">Directives do not return values. They configure how AxonASP parses and executes the page.</w:t>
      </w:r>
    </w:p>
    <w:bookmarkEnd w:id="563"/>
    <w:bookmarkEnd w:id="564"/>
    <w:bookmarkStart w:id="566" w:name="add-comments"/>
    <w:p>
      <w:pPr>
        <w:pStyle w:val="Heading2"/>
      </w:pPr>
      <w:r>
        <w:t xml:space="preserve">Add Comments</w:t>
      </w:r>
    </w:p>
    <w:p>
      <w:pPr>
        <w:pStyle w:val="SourceCode"/>
      </w:pPr>
      <w:r>
        <w:rPr>
          <w:rStyle w:val="DataTypeTok"/>
        </w:rPr>
        <w:t xml:space="preserve">&lt;%</w:t>
      </w:r>
      <w:r>
        <w:br/>
      </w:r>
      <w:r>
        <w:rPr>
          <w:rStyle w:val="CommentTok"/>
        </w:rPr>
        <w:t xml:space="preserve">' Single-line VBScript comment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"Comments are ignored by the runtime"</w:t>
      </w:r>
      <w:r>
        <w:br/>
      </w:r>
      <w:r>
        <w:rPr>
          <w:rStyle w:val="DataTypeTok"/>
        </w:rPr>
        <w:t xml:space="preserve">%&gt;</w:t>
      </w:r>
    </w:p>
    <w:bookmarkStart w:id="565" w:name="return-value-3"/>
    <w:p>
      <w:pPr>
        <w:pStyle w:val="Heading3"/>
      </w:pPr>
      <w:r>
        <w:t xml:space="preserve">Return value</w:t>
      </w:r>
    </w:p>
    <w:p>
      <w:pPr>
        <w:pStyle w:val="FirstParagraph"/>
      </w:pPr>
      <w:r>
        <w:t xml:space="preserve">Comments do not return values and do not produce output.</w:t>
      </w:r>
    </w:p>
    <w:bookmarkEnd w:id="565"/>
    <w:bookmarkEnd w:id="566"/>
    <w:bookmarkStart w:id="570" w:name="basic-control-flow"/>
    <w:p>
      <w:pPr>
        <w:pStyle w:val="Heading2"/>
      </w:pPr>
      <w:r>
        <w:t xml:space="preserve">Basic Control Flow</w:t>
      </w:r>
    </w:p>
    <w:bookmarkStart w:id="567" w:name="ifthenelse"/>
    <w:p>
      <w:pPr>
        <w:pStyle w:val="Heading3"/>
      </w:pPr>
      <w:r>
        <w:t xml:space="preserve">If…Then…Else</w:t>
      </w:r>
    </w:p>
    <w:p>
      <w:pPr>
        <w:pStyle w:val="SourceCode"/>
      </w:pPr>
      <w:r>
        <w:rPr>
          <w:rStyle w:val="DataTypeTok"/>
        </w:rPr>
        <w:t xml:space="preserve">&lt;%</w:t>
      </w:r>
      <w:r>
        <w:br/>
      </w:r>
      <w:r>
        <w:rPr>
          <w:rStyle w:val="KeywordTok"/>
        </w:rPr>
        <w:t xml:space="preserve">Dim</w:t>
      </w:r>
      <w:r>
        <w:rPr>
          <w:rStyle w:val="NormalTok"/>
        </w:rPr>
        <w:t xml:space="preserve"> isAdmin</w:t>
      </w:r>
      <w:r>
        <w:br/>
      </w:r>
      <w:r>
        <w:rPr>
          <w:rStyle w:val="NormalTok"/>
        </w:rPr>
        <w:t xml:space="preserve">isAdmin = </w:t>
      </w:r>
      <w:r>
        <w:rPr>
          <w:rStyle w:val="KeywordTok"/>
        </w:rPr>
        <w:t xml:space="preserve">True</w:t>
      </w:r>
      <w:r>
        <w:br/>
      </w:r>
      <w:r>
        <w:br/>
      </w:r>
      <w:r>
        <w:rPr>
          <w:rStyle w:val="ControlFlowTok"/>
        </w:rPr>
        <w:t xml:space="preserve">If</w:t>
      </w:r>
      <w:r>
        <w:rPr>
          <w:rStyle w:val="NormalTok"/>
        </w:rPr>
        <w:t xml:space="preserve"> isAdmin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"&lt;p&gt;Admin panel enabled.&lt;/p&gt;"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"&lt;p&gt;Standard user mode.&lt;/p&gt;"</w:t>
      </w:r>
      <w:r>
        <w:br/>
      </w:r>
      <w:r>
        <w:rPr>
          <w:rStyle w:val="ControlFlowTok"/>
        </w:rPr>
        <w:t xml:space="preserve">End If</w:t>
      </w:r>
      <w:r>
        <w:br/>
      </w:r>
      <w:r>
        <w:rPr>
          <w:rStyle w:val="DataTypeTok"/>
        </w:rPr>
        <w:t xml:space="preserve">%&gt;</w:t>
      </w:r>
    </w:p>
    <w:bookmarkEnd w:id="567"/>
    <w:bookmarkStart w:id="568" w:name="fornext"/>
    <w:p>
      <w:pPr>
        <w:pStyle w:val="Heading3"/>
      </w:pPr>
      <w:r>
        <w:t xml:space="preserve">For…Next</w:t>
      </w:r>
    </w:p>
    <w:p>
      <w:pPr>
        <w:pStyle w:val="SourceCode"/>
      </w:pPr>
      <w:r>
        <w:rPr>
          <w:rStyle w:val="DataTypeTok"/>
        </w:rPr>
        <w:t xml:space="preserve">&lt;%</w:t>
      </w:r>
      <w:r>
        <w:br/>
      </w:r>
      <w:r>
        <w:rPr>
          <w:rStyle w:val="KeywordTok"/>
        </w:rPr>
        <w:t xml:space="preserve">Dim</w:t>
      </w:r>
      <w:r>
        <w:rPr>
          <w:rStyle w:val="NormalTok"/>
        </w:rPr>
        <w:t xml:space="preserve"> i</w:t>
      </w:r>
      <w:r>
        <w:br/>
      </w:r>
      <w:r>
        <w:rPr>
          <w:rStyle w:val="ControlFlowTok"/>
        </w:rPr>
        <w:t xml:space="preserve">For</w:t>
      </w:r>
      <w:r>
        <w:rPr>
          <w:rStyle w:val="NormalTok"/>
        </w:rPr>
        <w:t xml:space="preserve"> i = </w:t>
      </w:r>
      <w:r>
        <w:rPr>
          <w:rStyle w:val="DecValTok"/>
        </w:rPr>
        <w:t xml:space="preserve">1</w:t>
      </w:r>
      <w:r>
        <w:rPr>
          <w:rStyle w:val="NormalTok"/>
        </w:rPr>
        <w:t xml:space="preserve"> </w:t>
      </w:r>
      <w:r>
        <w:rPr>
          <w:rStyle w:val="ControlFlowTok"/>
        </w:rPr>
        <w:t xml:space="preserve">To</w:t>
      </w:r>
      <w:r>
        <w:rPr>
          <w:rStyle w:val="NormalTok"/>
        </w:rPr>
        <w:t xml:space="preserve"> </w:t>
      </w:r>
      <w:r>
        <w:rPr>
          <w:rStyle w:val="DecValTok"/>
        </w:rPr>
        <w:t xml:space="preserve">3</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"Item "</w:t>
      </w:r>
      <w:r>
        <w:rPr>
          <w:rStyle w:val="NormalTok"/>
        </w:rPr>
        <w:t xml:space="preserve"> </w:t>
      </w:r>
      <w:r>
        <w:rPr>
          <w:rStyle w:val="KeywordTok"/>
        </w:rPr>
        <w:t xml:space="preserve">&amp;</w:t>
      </w:r>
      <w:r>
        <w:rPr>
          <w:rStyle w:val="NormalTok"/>
        </w:rPr>
        <w:t xml:space="preserve"> i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DataTypeTok"/>
        </w:rPr>
        <w:t xml:space="preserve">%&gt;</w:t>
      </w:r>
    </w:p>
    <w:bookmarkEnd w:id="568"/>
    <w:bookmarkStart w:id="569" w:name="return-value-4"/>
    <w:p>
      <w:pPr>
        <w:pStyle w:val="Heading3"/>
      </w:pPr>
      <w:r>
        <w:t xml:space="preserve">Return value</w:t>
      </w:r>
    </w:p>
    <w:p>
      <w:pPr>
        <w:pStyle w:val="FirstParagraph"/>
      </w:pPr>
      <w:r>
        <w:t xml:space="preserve">Control statements do not return values. They only control execution order.</w:t>
      </w:r>
    </w:p>
    <w:bookmarkEnd w:id="569"/>
    <w:bookmarkEnd w:id="570"/>
    <w:bookmarkStart w:id="571" w:name="how-it-works-6"/>
    <w:p>
      <w:pPr>
        <w:pStyle w:val="Heading2"/>
      </w:pPr>
      <w:r>
        <w:t xml:space="preserve">How It Works</w:t>
      </w:r>
    </w:p>
    <w:p>
      <w:pPr>
        <w:pStyle w:val="Compact"/>
        <w:numPr>
          <w:ilvl w:val="0"/>
          <w:numId w:val="1175"/>
        </w:numPr>
      </w:pPr>
      <w:r>
        <w:t xml:space="preserve">AxonASP parses HTML and server blocks in one page request.</w:t>
      </w:r>
    </w:p>
    <w:p>
      <w:pPr>
        <w:pStyle w:val="Compact"/>
        <w:numPr>
          <w:ilvl w:val="0"/>
          <w:numId w:val="1175"/>
        </w:numPr>
      </w:pPr>
      <w:r>
        <w:t xml:space="preserve">Server-side VBScript runs first.</w:t>
      </w:r>
    </w:p>
    <w:p>
      <w:pPr>
        <w:pStyle w:val="Compact"/>
        <w:numPr>
          <w:ilvl w:val="0"/>
          <w:numId w:val="1175"/>
        </w:numPr>
      </w:pPr>
      <w:r>
        <w:t xml:space="preserve">The resulting output is combined with static HTML and sent to the client.</w:t>
      </w:r>
    </w:p>
    <w:bookmarkEnd w:id="571"/>
    <w:bookmarkStart w:id="572" w:name="api-reference-5"/>
    <w:p>
      <w:pPr>
        <w:pStyle w:val="Heading2"/>
      </w:pPr>
      <w:r>
        <w:t xml:space="preserve">API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Syntax element</w:t>
            </w:r>
          </w:p>
        </w:tc>
        <w:tc>
          <w:tcPr/>
          <w:p>
            <w:pPr>
              <w:pStyle w:val="Compact"/>
            </w:pPr>
            <w:r>
              <w:t xml:space="preserve">Form</w:t>
            </w:r>
          </w:p>
        </w:tc>
        <w:tc>
          <w:tcPr/>
          <w:p>
            <w:pPr>
              <w:pStyle w:val="Compact"/>
            </w:pPr>
            <w:r>
              <w:t xml:space="preserve">Returns</w:t>
            </w:r>
          </w:p>
        </w:tc>
      </w:tr>
      <w:tr>
        <w:tc>
          <w:tcPr/>
          <w:p>
            <w:pPr>
              <w:pStyle w:val="Compact"/>
            </w:pPr>
            <w:r>
              <w:t xml:space="preserve">Script block</w:t>
            </w:r>
          </w:p>
        </w:tc>
        <w:tc>
          <w:tcPr/>
          <w:p>
            <w:pPr>
              <w:pStyle w:val="Compact"/>
            </w:pPr>
            <w:r>
              <w:rPr>
                <w:rStyle w:val="VerbatimChar"/>
              </w:rPr>
              <w:t xml:space="preserve">&lt;% statements %&gt;</w:t>
            </w:r>
          </w:p>
        </w:tc>
        <w:tc>
          <w:tcPr/>
          <w:p>
            <w:pPr>
              <w:pStyle w:val="Compact"/>
            </w:pPr>
            <w:r>
              <w:t xml:space="preserve">No direct inline value</w:t>
            </w:r>
          </w:p>
        </w:tc>
      </w:tr>
      <w:tr>
        <w:tc>
          <w:tcPr/>
          <w:p>
            <w:pPr>
              <w:pStyle w:val="Compact"/>
            </w:pPr>
            <w:r>
              <w:t xml:space="preserve">Expression block</w:t>
            </w:r>
          </w:p>
        </w:tc>
        <w:tc>
          <w:tcPr/>
          <w:p>
            <w:pPr>
              <w:pStyle w:val="Compact"/>
            </w:pPr>
            <w:r>
              <w:rPr>
                <w:rStyle w:val="VerbatimChar"/>
              </w:rPr>
              <w:t xml:space="preserve">&lt;%= expression %&gt;</w:t>
            </w:r>
          </w:p>
        </w:tc>
        <w:tc>
          <w:tcPr/>
          <w:p>
            <w:pPr>
              <w:pStyle w:val="Compact"/>
            </w:pPr>
            <w:r>
              <w:t xml:space="preserve">Writes String representation of expression</w:t>
            </w:r>
          </w:p>
        </w:tc>
      </w:tr>
      <w:tr>
        <w:tc>
          <w:tcPr/>
          <w:p>
            <w:pPr>
              <w:pStyle w:val="Compact"/>
            </w:pPr>
            <w:r>
              <w:t xml:space="preserve">Output method</w:t>
            </w:r>
          </w:p>
        </w:tc>
        <w:tc>
          <w:tcPr/>
          <w:p>
            <w:pPr>
              <w:pStyle w:val="Compact"/>
            </w:pPr>
            <w:r>
              <w:rPr>
                <w:rStyle w:val="VerbatimChar"/>
              </w:rPr>
              <w:t xml:space="preserve">Response.Write expression</w:t>
            </w:r>
          </w:p>
        </w:tc>
        <w:tc>
          <w:tcPr/>
          <w:p>
            <w:pPr>
              <w:pStyle w:val="Compact"/>
            </w:pPr>
            <w:r>
              <w:t xml:space="preserve">No return value</w:t>
            </w:r>
          </w:p>
        </w:tc>
      </w:tr>
      <w:tr>
        <w:tc>
          <w:tcPr/>
          <w:p>
            <w:pPr>
              <w:pStyle w:val="Compact"/>
            </w:pPr>
            <w:r>
              <w:t xml:space="preserve">Directive block</w:t>
            </w:r>
          </w:p>
        </w:tc>
        <w:tc>
          <w:tcPr/>
          <w:p>
            <w:pPr>
              <w:pStyle w:val="Compact"/>
            </w:pPr>
            <w:r>
              <w:rPr>
                <w:rStyle w:val="VerbatimChar"/>
              </w:rPr>
              <w:t xml:space="preserve">&lt;%@ ... %&gt;</w:t>
            </w:r>
          </w:p>
        </w:tc>
        <w:tc>
          <w:tcPr/>
          <w:p>
            <w:pPr>
              <w:pStyle w:val="Compact"/>
            </w:pPr>
            <w:r>
              <w:t xml:space="preserve">No return value</w:t>
            </w:r>
          </w:p>
        </w:tc>
      </w:tr>
      <w:tr>
        <w:tc>
          <w:tcPr/>
          <w:p>
            <w:pPr>
              <w:pStyle w:val="Compact"/>
            </w:pPr>
            <w:r>
              <w:t xml:space="preserve">Comment</w:t>
            </w:r>
          </w:p>
        </w:tc>
        <w:tc>
          <w:tcPr/>
          <w:p>
            <w:pPr>
              <w:pStyle w:val="Compact"/>
            </w:pPr>
            <w:r>
              <w:rPr>
                <w:rStyle w:val="VerbatimChar"/>
              </w:rPr>
              <w:t xml:space="preserve">' comment</w:t>
            </w:r>
          </w:p>
        </w:tc>
        <w:tc>
          <w:tcPr/>
          <w:p>
            <w:pPr>
              <w:pStyle w:val="Compact"/>
            </w:pPr>
            <w:r>
              <w:t xml:space="preserve">No return value</w:t>
            </w:r>
          </w:p>
        </w:tc>
      </w:tr>
      <w:tr>
        <w:tc>
          <w:tcPr/>
          <w:p>
            <w:pPr>
              <w:pStyle w:val="Compact"/>
            </w:pPr>
            <w:r>
              <w:t xml:space="preserve">Conditional</w:t>
            </w:r>
          </w:p>
        </w:tc>
        <w:tc>
          <w:tcPr/>
          <w:p>
            <w:pPr>
              <w:pStyle w:val="Compact"/>
            </w:pPr>
            <w:r>
              <w:rPr>
                <w:rStyle w:val="VerbatimChar"/>
              </w:rPr>
              <w:t xml:space="preserve">If ... Then ... End If</w:t>
            </w:r>
          </w:p>
        </w:tc>
        <w:tc>
          <w:tcPr/>
          <w:p>
            <w:pPr>
              <w:pStyle w:val="Compact"/>
            </w:pPr>
            <w:r>
              <w:t xml:space="preserve">No return value</w:t>
            </w:r>
          </w:p>
        </w:tc>
      </w:tr>
      <w:tr>
        <w:tc>
          <w:tcPr/>
          <w:p>
            <w:pPr>
              <w:pStyle w:val="Compact"/>
            </w:pPr>
            <w:r>
              <w:t xml:space="preserve">Loop</w:t>
            </w:r>
          </w:p>
        </w:tc>
        <w:tc>
          <w:tcPr/>
          <w:p>
            <w:pPr>
              <w:pStyle w:val="Compact"/>
            </w:pPr>
            <w:r>
              <w:rPr>
                <w:rStyle w:val="VerbatimChar"/>
              </w:rPr>
              <w:t xml:space="preserve">For ... Next</w:t>
            </w:r>
          </w:p>
        </w:tc>
        <w:tc>
          <w:tcPr/>
          <w:p>
            <w:pPr>
              <w:pStyle w:val="Compact"/>
            </w:pPr>
            <w:r>
              <w:t xml:space="preserve">No return value</w:t>
            </w:r>
          </w:p>
        </w:tc>
      </w:tr>
    </w:tbl>
    <w:bookmarkEnd w:id="572"/>
    <w:bookmarkEnd w:id="573"/>
    <w:bookmarkStart w:id="590" w:name="handle-asp-form-data"/>
    <w:p>
      <w:pPr>
        <w:pStyle w:val="Heading1"/>
      </w:pPr>
      <w:r>
        <w:t xml:space="preserve">Handle ASP Form Data</w:t>
      </w:r>
    </w:p>
    <w:bookmarkStart w:id="574" w:name="overview-35"/>
    <w:p>
      <w:pPr>
        <w:pStyle w:val="Heading2"/>
      </w:pPr>
      <w:r>
        <w:t xml:space="preserve">Overview</w:t>
      </w:r>
    </w:p>
    <w:p>
      <w:pPr>
        <w:pStyle w:val="FirstParagraph"/>
      </w:pPr>
      <w:r>
        <w:t xml:space="preserve">Use</w:t>
      </w:r>
      <w:r>
        <w:t xml:space="preserve"> </w:t>
      </w:r>
      <w:r>
        <w:rPr>
          <w:rStyle w:val="VerbatimChar"/>
        </w:rPr>
        <w:t xml:space="preserve">Request.Form</w:t>
      </w:r>
      <w:r>
        <w:t xml:space="preserve"> </w:t>
      </w:r>
      <w:r>
        <w:t xml:space="preserve">to read fields submitted in an HTTP</w:t>
      </w:r>
      <w:r>
        <w:t xml:space="preserve"> </w:t>
      </w:r>
      <w:r>
        <w:rPr>
          <w:rStyle w:val="VerbatimChar"/>
        </w:rPr>
        <w:t xml:space="preserve">POST</w:t>
      </w:r>
      <w:r>
        <w:t xml:space="preserve"> </w:t>
      </w:r>
      <w:r>
        <w:t xml:space="preserve">request in G3Pix AxonASP. Each key matches an HTML input</w:t>
      </w:r>
      <w:r>
        <w:t xml:space="preserve"> </w:t>
      </w:r>
      <w:r>
        <w:rPr>
          <w:rStyle w:val="VerbatimChar"/>
        </w:rPr>
        <w:t xml:space="preserve">name</w:t>
      </w:r>
      <w:r>
        <w:t xml:space="preserve"> </w:t>
      </w:r>
      <w:r>
        <w:t xml:space="preserve">attribute.</w:t>
      </w:r>
    </w:p>
    <w:p>
      <w:pPr>
        <w:pStyle w:val="BodyText"/>
      </w:pPr>
      <w:r>
        <w:rPr>
          <w:rStyle w:val="VerbatimChar"/>
        </w:rPr>
        <w:t xml:space="preserve">Request.Form</w:t>
      </w:r>
      <w:r>
        <w:t xml:space="preserve"> </w:t>
      </w:r>
      <w:r>
        <w:t xml:space="preserve">is built in. Do not instantiate it with</w:t>
      </w:r>
      <w:r>
        <w:t xml:space="preserve"> </w:t>
      </w:r>
      <w:r>
        <w:rPr>
          <w:rStyle w:val="VerbatimChar"/>
        </w:rPr>
        <w:t xml:space="preserve">Server.CreateObject</w:t>
      </w:r>
      <w:r>
        <w:t xml:space="preserve">.</w:t>
      </w:r>
    </w:p>
    <w:bookmarkEnd w:id="574"/>
    <w:bookmarkStart w:id="575" w:name="prerequisites-6"/>
    <w:p>
      <w:pPr>
        <w:pStyle w:val="Heading2"/>
      </w:pPr>
      <w:r>
        <w:t xml:space="preserve">Prerequisites</w:t>
      </w:r>
    </w:p>
    <w:p>
      <w:pPr>
        <w:pStyle w:val="Compact"/>
        <w:numPr>
          <w:ilvl w:val="0"/>
          <w:numId w:val="1176"/>
        </w:numPr>
      </w:pPr>
      <w:r>
        <w:t xml:space="preserve">The page must receive data using HTTP</w:t>
      </w:r>
      <w:r>
        <w:t xml:space="preserve"> </w:t>
      </w:r>
      <w:r>
        <w:rPr>
          <w:rStyle w:val="VerbatimChar"/>
        </w:rPr>
        <w:t xml:space="preserve">POST</w:t>
      </w:r>
      <w:r>
        <w:t xml:space="preserve">.</w:t>
      </w:r>
    </w:p>
    <w:p>
      <w:pPr>
        <w:pStyle w:val="Compact"/>
        <w:numPr>
          <w:ilvl w:val="0"/>
          <w:numId w:val="1176"/>
        </w:numPr>
      </w:pPr>
      <w:r>
        <w:t xml:space="preserve">The submitted fields must include</w:t>
      </w:r>
      <w:r>
        <w:t xml:space="preserve"> </w:t>
      </w:r>
      <w:r>
        <w:rPr>
          <w:rStyle w:val="VerbatimChar"/>
        </w:rPr>
        <w:t xml:space="preserve">name</w:t>
      </w:r>
      <w:r>
        <w:t xml:space="preserve"> </w:t>
      </w:r>
      <w:r>
        <w:t xml:space="preserve">attributes.</w:t>
      </w:r>
    </w:p>
    <w:p>
      <w:pPr>
        <w:pStyle w:val="Compact"/>
        <w:numPr>
          <w:ilvl w:val="0"/>
          <w:numId w:val="1176"/>
        </w:numPr>
      </w:pPr>
      <w:r>
        <w:t xml:space="preserve">Do not call</w:t>
      </w:r>
      <w:r>
        <w:t xml:space="preserve"> </w:t>
      </w:r>
      <w:r>
        <w:rPr>
          <w:rStyle w:val="VerbatimChar"/>
        </w:rPr>
        <w:t xml:space="preserve">Request.BinaryRead</w:t>
      </w:r>
      <w:r>
        <w:t xml:space="preserve"> </w:t>
      </w:r>
      <w:r>
        <w:t xml:space="preserve">in the same request where you use</w:t>
      </w:r>
      <w:r>
        <w:t xml:space="preserve"> </w:t>
      </w:r>
      <w:r>
        <w:rPr>
          <w:rStyle w:val="VerbatimChar"/>
        </w:rPr>
        <w:t xml:space="preserve">Request.Form</w:t>
      </w:r>
      <w:r>
        <w:t xml:space="preserve">.</w:t>
      </w:r>
    </w:p>
    <w:bookmarkEnd w:id="575"/>
    <w:bookmarkStart w:id="579" w:name="read-a-single-field"/>
    <w:p>
      <w:pPr>
        <w:pStyle w:val="Heading2"/>
      </w:pPr>
      <w:r>
        <w:t xml:space="preserve">Read a Single Field</w:t>
      </w:r>
    </w:p>
    <w:bookmarkStart w:id="576" w:name="syntax-12"/>
    <w:p>
      <w:pPr>
        <w:pStyle w:val="Heading3"/>
      </w:pPr>
      <w:r>
        <w:t xml:space="preserve">Syntax</w:t>
      </w:r>
    </w:p>
    <w:p>
      <w:pPr>
        <w:pStyle w:val="SourceCode"/>
      </w:pPr>
      <w:r>
        <w:rPr>
          <w:rStyle w:val="NormalTok"/>
        </w:rPr>
        <w:t xml:space="preserve">value = Request.Form("fieldName")</w:t>
      </w:r>
    </w:p>
    <w:bookmarkEnd w:id="576"/>
    <w:bookmarkStart w:id="577" w:name="return-value-5"/>
    <w:p>
      <w:pPr>
        <w:pStyle w:val="Heading3"/>
      </w:pPr>
      <w:r>
        <w:t xml:space="preserve">Return value</w:t>
      </w:r>
    </w:p>
    <w:p>
      <w:pPr>
        <w:pStyle w:val="FirstParagraph"/>
      </w:pPr>
      <w:r>
        <w:t xml:space="preserve">Returns a String containing the first submitted value for</w:t>
      </w:r>
      <w:r>
        <w:t xml:space="preserve"> </w:t>
      </w:r>
      <w:r>
        <w:rPr>
          <w:rStyle w:val="VerbatimChar"/>
        </w:rPr>
        <w:t xml:space="preserve">fieldName</w:t>
      </w:r>
      <w:r>
        <w:t xml:space="preserve">. Returns an empty String when</w:t>
      </w:r>
      <w:r>
        <w:t xml:space="preserve"> </w:t>
      </w:r>
      <w:r>
        <w:rPr>
          <w:rStyle w:val="VerbatimChar"/>
        </w:rPr>
        <w:t xml:space="preserve">fieldName</w:t>
      </w:r>
      <w:r>
        <w:t xml:space="preserve"> </w:t>
      </w:r>
      <w:r>
        <w:t xml:space="preserve">is not present.</w:t>
      </w:r>
    </w:p>
    <w:bookmarkEnd w:id="577"/>
    <w:bookmarkStart w:id="578" w:name="example-1"/>
    <w:p>
      <w:pPr>
        <w:pStyle w:val="Heading3"/>
      </w:pPr>
      <w:r>
        <w:t xml:space="preserve">Example</w:t>
      </w:r>
    </w:p>
    <w:p>
      <w:pPr>
        <w:pStyle w:val="SourceCode"/>
      </w:pPr>
      <w:r>
        <w:rPr>
          <w:rStyle w:val="DataTypeTok"/>
        </w:rPr>
        <w:t xml:space="preserve">&lt;%</w:t>
      </w:r>
      <w:r>
        <w:br/>
      </w:r>
      <w:r>
        <w:rPr>
          <w:rStyle w:val="KeywordTok"/>
        </w:rPr>
        <w:t xml:space="preserve">Dim</w:t>
      </w:r>
      <w:r>
        <w:rPr>
          <w:rStyle w:val="NormalTok"/>
        </w:rPr>
        <w:t xml:space="preserve"> userName</w:t>
      </w:r>
      <w:r>
        <w:br/>
      </w:r>
      <w:r>
        <w:rPr>
          <w:rStyle w:val="NormalTok"/>
        </w:rPr>
        <w:t xml:space="preserve">userName = </w:t>
      </w:r>
      <w:r>
        <w:rPr>
          <w:rStyle w:val="FunctionTok"/>
        </w:rPr>
        <w:t xml:space="preserve">Trim</w:t>
      </w:r>
      <w:r>
        <w:rPr>
          <w:rStyle w:val="OtherTok"/>
        </w:rPr>
        <w:t xml:space="preserve">(</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StringTok"/>
        </w:rPr>
        <w:t xml:space="preserve">"username"</w:t>
      </w:r>
      <w:r>
        <w:rPr>
          <w:rStyle w:val="OtherTok"/>
        </w:rPr>
        <w:t xml:space="preserve">))</w:t>
      </w:r>
      <w:r>
        <w:br/>
      </w:r>
      <w:r>
        <w:br/>
      </w:r>
      <w:r>
        <w:rPr>
          <w:rStyle w:val="ControlFlowTok"/>
        </w:rPr>
        <w:t xml:space="preserve">If</w:t>
      </w:r>
      <w:r>
        <w:rPr>
          <w:rStyle w:val="NormalTok"/>
        </w:rPr>
        <w:t xml:space="preserve"> userName =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"Username is required."</w:t>
      </w:r>
      <w:r>
        <w:br/>
      </w:r>
      <w:r>
        <w:rPr>
          <w:rStyle w:val="NormalTok"/>
        </w:rPr>
        <w:t xml:space="preserve">    </w:t>
      </w:r>
      <w:r>
        <w:rPr>
          <w:rStyle w:val="FunctionTok"/>
        </w:rPr>
        <w:t xml:space="preserve">Response</w:t>
      </w:r>
      <w:r>
        <w:rPr>
          <w:rStyle w:val="NormalTok"/>
        </w:rPr>
        <w:t xml:space="preserve">.</w:t>
      </w:r>
      <w:r>
        <w:rPr>
          <w:rStyle w:val="FunctionTok"/>
        </w:rPr>
        <w:t xml:space="preserve">End</w:t>
      </w:r>
      <w:r>
        <w:br/>
      </w:r>
      <w:r>
        <w:rPr>
          <w:rStyle w:val="ControlFlowTok"/>
        </w:rPr>
        <w:t xml:space="preserve">End If</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"Welcome, "</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userName</w:t>
      </w:r>
      <w:r>
        <w:rPr>
          <w:rStyle w:val="OtherTok"/>
        </w:rPr>
        <w:t xml:space="preserve">)</w:t>
      </w:r>
      <w:r>
        <w:br/>
      </w:r>
      <w:r>
        <w:rPr>
          <w:rStyle w:val="DataTypeTok"/>
        </w:rPr>
        <w:t xml:space="preserve">%&gt;</w:t>
      </w:r>
    </w:p>
    <w:bookmarkEnd w:id="578"/>
    <w:bookmarkEnd w:id="579"/>
    <w:bookmarkStart w:id="583" w:name="read-multi-value-fields"/>
    <w:p>
      <w:pPr>
        <w:pStyle w:val="Heading2"/>
      </w:pPr>
      <w:r>
        <w:t xml:space="preserve">Read Multi-Value Fields</w:t>
      </w:r>
    </w:p>
    <w:bookmarkStart w:id="580" w:name="syntax-13"/>
    <w:p>
      <w:pPr>
        <w:pStyle w:val="Heading3"/>
      </w:pPr>
      <w:r>
        <w:t xml:space="preserve">Syntax</w:t>
      </w:r>
    </w:p>
    <w:p>
      <w:pPr>
        <w:pStyle w:val="SourceCode"/>
      </w:pPr>
      <w:r>
        <w:rPr>
          <w:rStyle w:val="NormalTok"/>
        </w:rPr>
        <w:t xml:space="preserve">value = Request.Form("fieldName")(index)</w:t>
      </w:r>
      <w:r>
        <w:br/>
      </w:r>
      <w:r>
        <w:rPr>
          <w:rStyle w:val="NormalTok"/>
        </w:rPr>
        <w:t xml:space="preserve">count = Request.Form("fieldName").Count</w:t>
      </w:r>
    </w:p>
    <w:bookmarkEnd w:id="580"/>
    <w:bookmarkStart w:id="581" w:name="return-value-6"/>
    <w:p>
      <w:pPr>
        <w:pStyle w:val="Heading3"/>
      </w:pPr>
      <w:r>
        <w:t xml:space="preserve">Return value</w:t>
      </w:r>
    </w:p>
    <w:p>
      <w:pPr>
        <w:pStyle w:val="Compact"/>
        <w:numPr>
          <w:ilvl w:val="0"/>
          <w:numId w:val="1177"/>
        </w:numPr>
      </w:pPr>
      <w:r>
        <w:rPr>
          <w:rStyle w:val="VerbatimChar"/>
        </w:rPr>
        <w:t xml:space="preserve">Request.Form("fieldName")(index)</w:t>
      </w:r>
      <w:r>
        <w:t xml:space="preserve"> </w:t>
      </w:r>
      <w:r>
        <w:t xml:space="preserve">returns a String containing the value at the 1-based</w:t>
      </w:r>
      <w:r>
        <w:t xml:space="preserve"> </w:t>
      </w:r>
      <w:r>
        <w:rPr>
          <w:rStyle w:val="VerbatimChar"/>
        </w:rPr>
        <w:t xml:space="preserve">index</w:t>
      </w:r>
      <w:r>
        <w:t xml:space="preserve">.</w:t>
      </w:r>
    </w:p>
    <w:p>
      <w:pPr>
        <w:pStyle w:val="Compact"/>
        <w:numPr>
          <w:ilvl w:val="0"/>
          <w:numId w:val="1177"/>
        </w:numPr>
      </w:pPr>
      <w:r>
        <w:rPr>
          <w:rStyle w:val="VerbatimChar"/>
        </w:rPr>
        <w:t xml:space="preserve">Request.Form("fieldName").Count</w:t>
      </w:r>
      <w:r>
        <w:t xml:space="preserve"> </w:t>
      </w:r>
      <w:r>
        <w:t xml:space="preserve">returns an Integer with the number of values for that field.</w:t>
      </w:r>
    </w:p>
    <w:bookmarkEnd w:id="581"/>
    <w:bookmarkStart w:id="582" w:name="example-2"/>
    <w:p>
      <w:pPr>
        <w:pStyle w:val="Heading3"/>
      </w:pPr>
      <w:r>
        <w:t xml:space="preserve">Example</w:t>
      </w:r>
    </w:p>
    <w:p>
      <w:pPr>
        <w:pStyle w:val="SourceCode"/>
      </w:pPr>
      <w:r>
        <w:rPr>
          <w:rStyle w:val="DataTypeTok"/>
        </w:rPr>
        <w:t xml:space="preserve">&lt;%</w:t>
      </w:r>
      <w:r>
        <w:br/>
      </w:r>
      <w:r>
        <w:rPr>
          <w:rStyle w:val="KeywordTok"/>
        </w:rPr>
        <w:t xml:space="preserve">Dim</w:t>
      </w:r>
      <w:r>
        <w:rPr>
          <w:rStyle w:val="NormalTok"/>
        </w:rPr>
        <w:t xml:space="preserve"> i</w:t>
      </w:r>
      <w:r>
        <w:rPr>
          <w:rStyle w:val="OtherTok"/>
        </w:rPr>
        <w:t xml:space="preserve">,</w:t>
      </w:r>
      <w:r>
        <w:rPr>
          <w:rStyle w:val="NormalTok"/>
        </w:rPr>
        <w:t xml:space="preserve"> selectedTagCount</w:t>
      </w:r>
      <w:r>
        <w:br/>
      </w:r>
      <w:r>
        <w:rPr>
          <w:rStyle w:val="NormalTok"/>
        </w:rPr>
        <w:t xml:space="preserve">selectedTagCount = </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StringTok"/>
        </w:rPr>
        <w:t xml:space="preserve">"tags"</w:t>
      </w:r>
      <w:r>
        <w:rPr>
          <w:rStyle w:val="OtherTok"/>
        </w:rPr>
        <w:t xml:space="preserve">)</w:t>
      </w:r>
      <w:r>
        <w:rPr>
          <w:rStyle w:val="NormalTok"/>
        </w:rPr>
        <w:t xml:space="preserve">.Count</w:t>
      </w:r>
      <w:r>
        <w:br/>
      </w:r>
      <w:r>
        <w:br/>
      </w:r>
      <w:r>
        <w:rPr>
          <w:rStyle w:val="ControlFlowTok"/>
        </w:rPr>
        <w:t xml:space="preserve">For</w:t>
      </w:r>
      <w:r>
        <w:rPr>
          <w:rStyle w:val="NormalTok"/>
        </w:rPr>
        <w:t xml:space="preserve"> i = </w:t>
      </w:r>
      <w:r>
        <w:rPr>
          <w:rStyle w:val="DecValTok"/>
        </w:rPr>
        <w:t xml:space="preserve">1</w:t>
      </w:r>
      <w:r>
        <w:rPr>
          <w:rStyle w:val="NormalTok"/>
        </w:rPr>
        <w:t xml:space="preserve"> </w:t>
      </w:r>
      <w:r>
        <w:rPr>
          <w:rStyle w:val="ControlFlowTok"/>
        </w:rPr>
        <w:t xml:space="preserve">To</w:t>
      </w:r>
      <w:r>
        <w:rPr>
          <w:rStyle w:val="NormalTok"/>
        </w:rPr>
        <w:t xml:space="preserve"> selectedTagCount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"Tag "</w:t>
      </w:r>
      <w:r>
        <w:rPr>
          <w:rStyle w:val="NormalTok"/>
        </w:rPr>
        <w:t xml:space="preserve"> </w:t>
      </w:r>
      <w:r>
        <w:rPr>
          <w:rStyle w:val="KeywordTok"/>
        </w:rPr>
        <w:t xml:space="preserve">&amp;</w:t>
      </w:r>
      <w:r>
        <w:rPr>
          <w:rStyle w:val="NormalTok"/>
        </w:rPr>
        <w:t xml:space="preserve"> i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StringTok"/>
        </w:rPr>
        <w:t xml:space="preserve">"tags"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DataTypeTok"/>
        </w:rPr>
        <w:t xml:space="preserve">%&gt;</w:t>
      </w:r>
    </w:p>
    <w:bookmarkEnd w:id="582"/>
    <w:bookmarkEnd w:id="583"/>
    <w:bookmarkStart w:id="587" w:name="enumerate-posted-keys"/>
    <w:p>
      <w:pPr>
        <w:pStyle w:val="Heading2"/>
      </w:pPr>
      <w:r>
        <w:t xml:space="preserve">Enumerate Posted Keys</w:t>
      </w:r>
    </w:p>
    <w:bookmarkStart w:id="584" w:name="syntax-14"/>
    <w:p>
      <w:pPr>
        <w:pStyle w:val="Heading3"/>
      </w:pPr>
      <w:r>
        <w:t xml:space="preserve">Syntax</w:t>
      </w:r>
    </w:p>
    <w:p>
      <w:pPr>
        <w:pStyle w:val="SourceCode"/>
      </w:pPr>
      <w:r>
        <w:rPr>
          <w:rStyle w:val="NormalTok"/>
        </w:rPr>
        <w:t xml:space="preserve">For Each key In Request.Form</w:t>
      </w:r>
      <w:r>
        <w:br/>
      </w:r>
      <w:r>
        <w:rPr>
          <w:rStyle w:val="NormalTok"/>
        </w:rPr>
        <w:t xml:space="preserve">    ' ...</w:t>
      </w:r>
      <w:r>
        <w:br/>
      </w:r>
      <w:r>
        <w:rPr>
          <w:rStyle w:val="NormalTok"/>
        </w:rPr>
        <w:t xml:space="preserve">Next</w:t>
      </w:r>
    </w:p>
    <w:bookmarkEnd w:id="584"/>
    <w:bookmarkStart w:id="585" w:name="return-value-7"/>
    <w:p>
      <w:pPr>
        <w:pStyle w:val="Heading3"/>
      </w:pPr>
      <w:r>
        <w:t xml:space="preserve">Return value</w:t>
      </w:r>
    </w:p>
    <w:p>
      <w:pPr>
        <w:pStyle w:val="FirstParagraph"/>
      </w:pPr>
      <w:r>
        <w:rPr>
          <w:rStyle w:val="VerbatimChar"/>
        </w:rPr>
        <w:t xml:space="preserve">For Each</w:t>
      </w:r>
      <w:r>
        <w:t xml:space="preserve"> </w:t>
      </w:r>
      <w:r>
        <w:t xml:space="preserve">returns each key name as a String.</w:t>
      </w:r>
    </w:p>
    <w:bookmarkEnd w:id="585"/>
    <w:bookmarkStart w:id="586" w:name="example-3"/>
    <w:p>
      <w:pPr>
        <w:pStyle w:val="Heading3"/>
      </w:pPr>
      <w:r>
        <w:t xml:space="preserve">Example</w:t>
      </w:r>
    </w:p>
    <w:p>
      <w:pPr>
        <w:pStyle w:val="SourceCode"/>
      </w:pPr>
      <w:r>
        <w:rPr>
          <w:rStyle w:val="DataTypeTok"/>
        </w:rPr>
        <w:t xml:space="preserve">&lt;%</w:t>
      </w:r>
      <w:r>
        <w:br/>
      </w:r>
      <w:r>
        <w:rPr>
          <w:rStyle w:val="KeywordTok"/>
        </w:rPr>
        <w:t xml:space="preserve">Dim</w:t>
      </w:r>
      <w:r>
        <w:rPr>
          <w:rStyle w:val="NormalTok"/>
        </w:rPr>
        <w:t xml:space="preserve"> key</w:t>
      </w:r>
      <w:r>
        <w:br/>
      </w:r>
      <w:r>
        <w:rPr>
          <w:rStyle w:val="ControlFlowTok"/>
        </w:rPr>
        <w:t xml:space="preserve">For</w:t>
      </w:r>
      <w:r>
        <w:rPr>
          <w:rStyle w:val="NormalTok"/>
        </w:rPr>
        <w:t xml:space="preserve"> </w:t>
      </w:r>
      <w:r>
        <w:rPr>
          <w:rStyle w:val="ControlFlowTok"/>
        </w:rPr>
        <w:t xml:space="preserve">Each</w:t>
      </w:r>
      <w:r>
        <w:rPr>
          <w:rStyle w:val="NormalTok"/>
        </w:rPr>
        <w:t xml:space="preserve"> key </w:t>
      </w:r>
      <w:r>
        <w:rPr>
          <w:rStyle w:val="ControlFlowTok"/>
        </w:rPr>
        <w:t xml:space="preserve">In</w:t>
      </w:r>
      <w:r>
        <w:rPr>
          <w:rStyle w:val="NormalTok"/>
        </w:rPr>
        <w:t xml:space="preserve"> </w:t>
      </w:r>
      <w:r>
        <w:rPr>
          <w:rStyle w:val="FunctionTok"/>
        </w:rPr>
        <w:t xml:space="preserve">Request</w:t>
      </w:r>
      <w:r>
        <w:rPr>
          <w:rStyle w:val="NormalTok"/>
        </w:rPr>
        <w:t xml:space="preserve">.</w:t>
      </w:r>
      <w:r>
        <w:rPr>
          <w:rStyle w:val="FunctionTok"/>
        </w:rPr>
        <w:t xml:space="preserve">Form</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key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NormalTok"/>
        </w:rPr>
        <w:t xml:space="preserve">key</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DataTypeTok"/>
        </w:rPr>
        <w:t xml:space="preserve">%&gt;</w:t>
      </w:r>
    </w:p>
    <w:bookmarkEnd w:id="586"/>
    <w:bookmarkEnd w:id="587"/>
    <w:bookmarkStart w:id="588" w:name="how-it-works-7"/>
    <w:p>
      <w:pPr>
        <w:pStyle w:val="Heading2"/>
      </w:pPr>
      <w:r>
        <w:t xml:space="preserve">How It Works</w:t>
      </w:r>
    </w:p>
    <w:p>
      <w:pPr>
        <w:pStyle w:val="Compact"/>
        <w:numPr>
          <w:ilvl w:val="0"/>
          <w:numId w:val="1178"/>
        </w:numPr>
      </w:pPr>
      <w:r>
        <w:t xml:space="preserve">The form collection is parsed from the request body when first accessed.</w:t>
      </w:r>
    </w:p>
    <w:p>
      <w:pPr>
        <w:pStyle w:val="Compact"/>
        <w:numPr>
          <w:ilvl w:val="0"/>
          <w:numId w:val="1178"/>
        </w:numPr>
      </w:pPr>
      <w:r>
        <w:t xml:space="preserve">Keys are case-insensitive.</w:t>
      </w:r>
    </w:p>
    <w:p>
      <w:pPr>
        <w:pStyle w:val="Compact"/>
        <w:numPr>
          <w:ilvl w:val="0"/>
          <w:numId w:val="1178"/>
        </w:numPr>
      </w:pPr>
      <w:r>
        <w:t xml:space="preserve">If you call</w:t>
      </w:r>
      <w:r>
        <w:t xml:space="preserve"> </w:t>
      </w:r>
      <w:r>
        <w:rPr>
          <w:rStyle w:val="VerbatimChar"/>
        </w:rPr>
        <w:t xml:space="preserve">Request.BinaryRead</w:t>
      </w:r>
      <w:r>
        <w:t xml:space="preserve">, AxonASP treats the body as raw bytes and does not provide</w:t>
      </w:r>
      <w:r>
        <w:t xml:space="preserve"> </w:t>
      </w:r>
      <w:r>
        <w:rPr>
          <w:rStyle w:val="VerbatimChar"/>
        </w:rPr>
        <w:t xml:space="preserve">Request.Form</w:t>
      </w:r>
      <w:r>
        <w:t xml:space="preserve"> </w:t>
      </w:r>
      <w:r>
        <w:t xml:space="preserve">for that request.</w:t>
      </w:r>
    </w:p>
    <w:bookmarkEnd w:id="588"/>
    <w:bookmarkStart w:id="589" w:name="api-reference-6"/>
    <w:p>
      <w:pPr>
        <w:pStyle w:val="Heading2"/>
      </w:pPr>
      <w:r>
        <w:t xml:space="preserve">API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Member</w:t>
            </w:r>
          </w:p>
        </w:tc>
        <w:tc>
          <w:tcPr/>
          <w:p>
            <w:pPr>
              <w:pStyle w:val="Compact"/>
            </w:pPr>
            <w:r>
              <w:t xml:space="preserve">Syntax</w:t>
            </w:r>
          </w:p>
        </w:tc>
        <w:tc>
          <w:tcPr/>
          <w:p>
            <w:pPr>
              <w:pStyle w:val="Compact"/>
            </w:pPr>
            <w:r>
              <w:t xml:space="preserve">Returns</w:t>
            </w:r>
          </w:p>
        </w:tc>
      </w:tr>
      <w:tr>
        <w:tc>
          <w:tcPr/>
          <w:p>
            <w:pPr>
              <w:pStyle w:val="Compact"/>
            </w:pPr>
            <w:r>
              <w:t xml:space="preserve">Field value</w:t>
            </w:r>
          </w:p>
        </w:tc>
        <w:tc>
          <w:tcPr/>
          <w:p>
            <w:pPr>
              <w:pStyle w:val="Compact"/>
            </w:pPr>
            <w:r>
              <w:rPr>
                <w:rStyle w:val="VerbatimChar"/>
              </w:rPr>
              <w:t xml:space="preserve">Request.Form("fieldName")</w:t>
            </w:r>
          </w:p>
        </w:tc>
        <w:tc>
          <w:tcPr/>
          <w:p>
            <w:pPr>
              <w:pStyle w:val="Compact"/>
            </w:pPr>
            <w:r>
              <w:t xml:space="preserve">String (first value for field, or empty String if missing)</w:t>
            </w:r>
          </w:p>
        </w:tc>
      </w:tr>
      <w:tr>
        <w:tc>
          <w:tcPr/>
          <w:p>
            <w:pPr>
              <w:pStyle w:val="Compact"/>
            </w:pPr>
            <w:r>
              <w:t xml:space="preserve">Indexed value</w:t>
            </w:r>
          </w:p>
        </w:tc>
        <w:tc>
          <w:tcPr/>
          <w:p>
            <w:pPr>
              <w:pStyle w:val="Compact"/>
            </w:pPr>
            <w:r>
              <w:rPr>
                <w:rStyle w:val="VerbatimChar"/>
              </w:rPr>
              <w:t xml:space="preserve">Request.Form("fieldName")(index)</w:t>
            </w:r>
          </w:p>
        </w:tc>
        <w:tc>
          <w:tcPr/>
          <w:p>
            <w:pPr>
              <w:pStyle w:val="Compact"/>
            </w:pPr>
            <w:r>
              <w:t xml:space="preserve">String (value at 1-based index)</w:t>
            </w:r>
          </w:p>
        </w:tc>
      </w:tr>
      <w:tr>
        <w:tc>
          <w:tcPr/>
          <w:p>
            <w:pPr>
              <w:pStyle w:val="Compact"/>
            </w:pPr>
            <w:r>
              <w:t xml:space="preserve">Value count</w:t>
            </w:r>
          </w:p>
        </w:tc>
        <w:tc>
          <w:tcPr/>
          <w:p>
            <w:pPr>
              <w:pStyle w:val="Compact"/>
            </w:pPr>
            <w:r>
              <w:rPr>
                <w:rStyle w:val="VerbatimChar"/>
              </w:rPr>
              <w:t xml:space="preserve">Request.Form("fieldName").Count</w:t>
            </w:r>
          </w:p>
        </w:tc>
        <w:tc>
          <w:tcPr/>
          <w:p>
            <w:pPr>
              <w:pStyle w:val="Compact"/>
            </w:pPr>
            <w:r>
              <w:t xml:space="preserve">Integer (number of values for field)</w:t>
            </w:r>
          </w:p>
        </w:tc>
      </w:tr>
      <w:tr>
        <w:tc>
          <w:tcPr/>
          <w:p>
            <w:pPr>
              <w:pStyle w:val="Compact"/>
            </w:pPr>
            <w:r>
              <w:t xml:space="preserve">Key enumeration</w:t>
            </w:r>
          </w:p>
        </w:tc>
        <w:tc>
          <w:tcPr/>
          <w:p>
            <w:pPr>
              <w:pStyle w:val="Compact"/>
            </w:pPr>
            <w:r>
              <w:rPr>
                <w:rStyle w:val="VerbatimChar"/>
              </w:rPr>
              <w:t xml:space="preserve">For Each key In Request.Form</w:t>
            </w:r>
          </w:p>
        </w:tc>
        <w:tc>
          <w:tcPr/>
          <w:p>
            <w:pPr>
              <w:pStyle w:val="Compact"/>
            </w:pPr>
            <w:r>
              <w:t xml:space="preserve">String key per iteration</w:t>
            </w:r>
          </w:p>
        </w:tc>
      </w:tr>
    </w:tbl>
    <w:bookmarkEnd w:id="589"/>
    <w:bookmarkEnd w:id="590"/>
    <w:bookmarkStart w:id="599" w:name="use-asp-cookies"/>
    <w:p>
      <w:pPr>
        <w:pStyle w:val="Heading1"/>
      </w:pPr>
      <w:r>
        <w:t xml:space="preserve">Use ASP Cookies</w:t>
      </w:r>
    </w:p>
    <w:bookmarkStart w:id="591" w:name="overview-36"/>
    <w:p>
      <w:pPr>
        <w:pStyle w:val="Heading2"/>
      </w:pPr>
      <w:r>
        <w:t xml:space="preserve">Overview</w:t>
      </w:r>
    </w:p>
    <w:p>
      <w:pPr>
        <w:pStyle w:val="FirstParagraph"/>
      </w:pPr>
      <w:r>
        <w:t xml:space="preserve">Cookies in G3Pix AxonASP are used to store small amounts of data on the client’s browser. They are essential for maintaining user state, persisting preferences, and identifying sessions across multiple requests. In AxonASP, cookies are managed through the</w:t>
      </w:r>
      <w:r>
        <w:t xml:space="preserve"> </w:t>
      </w:r>
      <w:r>
        <w:rPr>
          <w:b/>
          <w:bCs/>
        </w:rPr>
        <w:t xml:space="preserve">Request.Cookies</w:t>
      </w:r>
      <w:r>
        <w:t xml:space="preserve"> </w:t>
      </w:r>
      <w:r>
        <w:t xml:space="preserve">collection (for reading) and the</w:t>
      </w:r>
      <w:r>
        <w:t xml:space="preserve"> </w:t>
      </w:r>
      <w:r>
        <w:rPr>
          <w:b/>
          <w:bCs/>
        </w:rPr>
        <w:t xml:space="preserve">Response.Cookies</w:t>
      </w:r>
      <w:r>
        <w:t xml:space="preserve"> </w:t>
      </w:r>
      <w:r>
        <w:t xml:space="preserve">collection (for writing).</w:t>
      </w:r>
    </w:p>
    <w:bookmarkEnd w:id="591"/>
    <w:bookmarkStart w:id="592" w:name="prerequisites-7"/>
    <w:p>
      <w:pPr>
        <w:pStyle w:val="Heading2"/>
      </w:pPr>
      <w:r>
        <w:t xml:space="preserve">Prerequisites</w:t>
      </w:r>
    </w:p>
    <w:p>
      <w:pPr>
        <w:pStyle w:val="Compact"/>
        <w:numPr>
          <w:ilvl w:val="0"/>
          <w:numId w:val="1179"/>
        </w:numPr>
      </w:pPr>
      <w:r>
        <w:rPr>
          <w:b/>
          <w:bCs/>
        </w:rPr>
        <w:t xml:space="preserve">Client Support</w:t>
      </w:r>
      <w:r>
        <w:t xml:space="preserve">: The client browser must be configured to accept cookies.</w:t>
      </w:r>
    </w:p>
    <w:p>
      <w:pPr>
        <w:pStyle w:val="Compact"/>
        <w:numPr>
          <w:ilvl w:val="0"/>
          <w:numId w:val="1179"/>
        </w:numPr>
      </w:pPr>
      <w:r>
        <w:rPr>
          <w:b/>
          <w:bCs/>
        </w:rPr>
        <w:t xml:space="preserve">Header Synchronization</w:t>
      </w:r>
      <w:r>
        <w:t xml:space="preserve">: Cookie modifications via</w:t>
      </w:r>
      <w:r>
        <w:t xml:space="preserve"> </w:t>
      </w:r>
      <w:r>
        <w:rPr>
          <w:rStyle w:val="VerbatimChar"/>
        </w:rPr>
        <w:t xml:space="preserve">Response.Cookies</w:t>
      </w:r>
      <w:r>
        <w:t xml:space="preserve"> </w:t>
      </w:r>
      <w:r>
        <w:t xml:space="preserve">must occur before any HTML or data is flushed to the client, unless buffering is enabled.</w:t>
      </w:r>
    </w:p>
    <w:bookmarkEnd w:id="592"/>
    <w:bookmarkStart w:id="593" w:name="how-it-works-8"/>
    <w:p>
      <w:pPr>
        <w:pStyle w:val="Heading2"/>
      </w:pPr>
      <w:r>
        <w:t xml:space="preserve">How it Works</w:t>
      </w:r>
    </w:p>
    <w:p>
      <w:pPr>
        <w:pStyle w:val="FirstParagraph"/>
      </w:pPr>
      <w:r>
        <w:t xml:space="preserve">Cookies are passed between the server and the client via HTTP headers.</w:t>
      </w:r>
      <w:r>
        <w:t xml:space="preserve"> </w:t>
      </w:r>
      <w:r>
        <w:t xml:space="preserve">-</w:t>
      </w:r>
      <w:r>
        <w:t xml:space="preserve"> </w:t>
      </w:r>
      <w:r>
        <w:rPr>
          <w:b/>
          <w:bCs/>
        </w:rPr>
        <w:t xml:space="preserve">Reading</w:t>
      </w:r>
      <w:r>
        <w:t xml:space="preserve">: When a browser makes a request, it includes all cookies associated with the domain. AxonASP populates the</w:t>
      </w:r>
      <w:r>
        <w:t xml:space="preserve"> </w:t>
      </w:r>
      <w:r>
        <w:rPr>
          <w:b/>
          <w:bCs/>
        </w:rPr>
        <w:t xml:space="preserve">Request.Cookies</w:t>
      </w:r>
      <w:r>
        <w:t xml:space="preserve"> </w:t>
      </w:r>
      <w:r>
        <w:t xml:space="preserve">collection with these values.</w:t>
      </w:r>
      <w:r>
        <w:t xml:space="preserve"> </w:t>
      </w:r>
      <w:r>
        <w:t xml:space="preserve">-</w:t>
      </w:r>
      <w:r>
        <w:t xml:space="preserve"> </w:t>
      </w:r>
      <w:r>
        <w:rPr>
          <w:b/>
          <w:bCs/>
        </w:rPr>
        <w:t xml:space="preserve">Writing</w:t>
      </w:r>
      <w:r>
        <w:t xml:space="preserve">: When you set a value in</w:t>
      </w:r>
      <w:r>
        <w:t xml:space="preserve"> </w:t>
      </w:r>
      <w:r>
        <w:rPr>
          <w:b/>
          <w:bCs/>
        </w:rPr>
        <w:t xml:space="preserve">Response.Cookies</w:t>
      </w:r>
      <w:r>
        <w:t xml:space="preserve">, AxonASP includes a</w:t>
      </w:r>
      <w:r>
        <w:t xml:space="preserve"> </w:t>
      </w:r>
      <w:r>
        <w:rPr>
          <w:rStyle w:val="VerbatimChar"/>
        </w:rPr>
        <w:t xml:space="preserve">Set-Cookie</w:t>
      </w:r>
      <w:r>
        <w:t xml:space="preserve"> </w:t>
      </w:r>
      <w:r>
        <w:t xml:space="preserve">header in the HTTP response.</w:t>
      </w:r>
      <w:r>
        <w:t xml:space="preserve"> </w:t>
      </w:r>
      <w:r>
        <w:t xml:space="preserve">-</w:t>
      </w:r>
      <w:r>
        <w:t xml:space="preserve"> </w:t>
      </w:r>
      <w:r>
        <w:rPr>
          <w:b/>
          <w:bCs/>
        </w:rPr>
        <w:t xml:space="preserve">Subkeys</w:t>
      </w:r>
      <w:r>
        <w:t xml:space="preserve">: A single cookie can store multiple key-value pairs, known as subkeys, which helps organize data without exceeding browser cookie limits.</w:t>
      </w:r>
    </w:p>
    <w:bookmarkEnd w:id="593"/>
    <w:bookmarkStart w:id="596" w:name="api-reference-7"/>
    <w:p>
      <w:pPr>
        <w:pStyle w:val="Heading2"/>
      </w:pPr>
      <w:r>
        <w:t xml:space="preserve">API Reference</w:t>
      </w:r>
    </w:p>
    <w:bookmarkStart w:id="594" w:name="request.cookies"/>
    <w:p>
      <w:pPr>
        <w:pStyle w:val="Heading3"/>
      </w:pPr>
      <w:r>
        <w:t xml:space="preserve">Request.Cookies</w:t>
      </w:r>
    </w:p>
    <w:p>
      <w:pPr>
        <w:pStyle w:val="Compact"/>
        <w:numPr>
          <w:ilvl w:val="0"/>
          <w:numId w:val="1180"/>
        </w:numPr>
      </w:pPr>
      <w:r>
        <w:rPr>
          <w:b/>
          <w:bCs/>
        </w:rPr>
        <w:t xml:space="preserve">Item(name)</w:t>
      </w:r>
      <w:r>
        <w:t xml:space="preserve">: Returns a</w:t>
      </w:r>
      <w:r>
        <w:t xml:space="preserve"> </w:t>
      </w:r>
      <w:r>
        <w:rPr>
          <w:b/>
          <w:bCs/>
        </w:rPr>
        <w:t xml:space="preserve">String</w:t>
      </w:r>
      <w:r>
        <w:t xml:space="preserve"> </w:t>
      </w:r>
      <w:r>
        <w:t xml:space="preserve">containing the cookie value.</w:t>
      </w:r>
    </w:p>
    <w:p>
      <w:pPr>
        <w:pStyle w:val="Compact"/>
        <w:numPr>
          <w:ilvl w:val="0"/>
          <w:numId w:val="1180"/>
        </w:numPr>
      </w:pPr>
      <w:r>
        <w:rPr>
          <w:b/>
          <w:bCs/>
        </w:rPr>
        <w:t xml:space="preserve">HasKeys</w:t>
      </w:r>
      <w:r>
        <w:t xml:space="preserve">: Returns a</w:t>
      </w:r>
      <w:r>
        <w:t xml:space="preserve"> </w:t>
      </w:r>
      <w:r>
        <w:rPr>
          <w:b/>
          <w:bCs/>
        </w:rPr>
        <w:t xml:space="preserve">Boolean</w:t>
      </w:r>
      <w:r>
        <w:t xml:space="preserve"> </w:t>
      </w:r>
      <w:r>
        <w:t xml:space="preserve">indicating if the cookie contains subkeys.</w:t>
      </w:r>
    </w:p>
    <w:bookmarkEnd w:id="594"/>
    <w:bookmarkStart w:id="595" w:name="response.cookies"/>
    <w:p>
      <w:pPr>
        <w:pStyle w:val="Heading3"/>
      </w:pPr>
      <w:r>
        <w:t xml:space="preserve">Response.Cookies</w:t>
      </w:r>
    </w:p>
    <w:p>
      <w:pPr>
        <w:pStyle w:val="Compact"/>
        <w:numPr>
          <w:ilvl w:val="0"/>
          <w:numId w:val="1181"/>
        </w:numPr>
      </w:pPr>
      <w:r>
        <w:rPr>
          <w:b/>
          <w:bCs/>
        </w:rPr>
        <w:t xml:space="preserve">Domain</w:t>
      </w:r>
      <w:r>
        <w:t xml:space="preserve">: Sets a</w:t>
      </w:r>
      <w:r>
        <w:t xml:space="preserve"> </w:t>
      </w:r>
      <w:r>
        <w:rPr>
          <w:b/>
          <w:bCs/>
        </w:rPr>
        <w:t xml:space="preserve">String</w:t>
      </w:r>
      <w:r>
        <w:t xml:space="preserve"> </w:t>
      </w:r>
      <w:r>
        <w:t xml:space="preserve">specifying the domain for which the cookie is valid.</w:t>
      </w:r>
    </w:p>
    <w:p>
      <w:pPr>
        <w:pStyle w:val="Compact"/>
        <w:numPr>
          <w:ilvl w:val="0"/>
          <w:numId w:val="1181"/>
        </w:numPr>
      </w:pPr>
      <w:r>
        <w:rPr>
          <w:b/>
          <w:bCs/>
        </w:rPr>
        <w:t xml:space="preserve">Expires</w:t>
      </w:r>
      <w:r>
        <w:t xml:space="preserve">: Sets a</w:t>
      </w:r>
      <w:r>
        <w:t xml:space="preserve"> </w:t>
      </w:r>
      <w:r>
        <w:rPr>
          <w:b/>
          <w:bCs/>
        </w:rPr>
        <w:t xml:space="preserve">Date</w:t>
      </w:r>
      <w:r>
        <w:t xml:space="preserve"> </w:t>
      </w:r>
      <w:r>
        <w:t xml:space="preserve">specifying the expiration date and time of the cookie.</w:t>
      </w:r>
    </w:p>
    <w:p>
      <w:pPr>
        <w:pStyle w:val="Compact"/>
        <w:numPr>
          <w:ilvl w:val="0"/>
          <w:numId w:val="1181"/>
        </w:numPr>
      </w:pPr>
      <w:r>
        <w:rPr>
          <w:b/>
          <w:bCs/>
        </w:rPr>
        <w:t xml:space="preserve">HttpOnly</w:t>
      </w:r>
      <w:r>
        <w:t xml:space="preserve">: Sets a</w:t>
      </w:r>
      <w:r>
        <w:t xml:space="preserve"> </w:t>
      </w:r>
      <w:r>
        <w:rPr>
          <w:b/>
          <w:bCs/>
        </w:rPr>
        <w:t xml:space="preserve">Boolean</w:t>
      </w:r>
      <w:r>
        <w:t xml:space="preserve"> </w:t>
      </w:r>
      <w:r>
        <w:t xml:space="preserve">to prevent client-side script access to the cookie (Security feature).</w:t>
      </w:r>
    </w:p>
    <w:p>
      <w:pPr>
        <w:pStyle w:val="Compact"/>
        <w:numPr>
          <w:ilvl w:val="0"/>
          <w:numId w:val="1181"/>
        </w:numPr>
      </w:pPr>
      <w:r>
        <w:rPr>
          <w:b/>
          <w:bCs/>
        </w:rPr>
        <w:t xml:space="preserve">Path</w:t>
      </w:r>
      <w:r>
        <w:t xml:space="preserve">: Sets a</w:t>
      </w:r>
      <w:r>
        <w:t xml:space="preserve"> </w:t>
      </w:r>
      <w:r>
        <w:rPr>
          <w:b/>
          <w:bCs/>
        </w:rPr>
        <w:t xml:space="preserve">String</w:t>
      </w:r>
      <w:r>
        <w:t xml:space="preserve"> </w:t>
      </w:r>
      <w:r>
        <w:t xml:space="preserve">specifying the subset of paths on the server for which the cookie is valid.</w:t>
      </w:r>
    </w:p>
    <w:p>
      <w:pPr>
        <w:pStyle w:val="Compact"/>
        <w:numPr>
          <w:ilvl w:val="0"/>
          <w:numId w:val="1181"/>
        </w:numPr>
      </w:pPr>
      <w:r>
        <w:rPr>
          <w:b/>
          <w:bCs/>
        </w:rPr>
        <w:t xml:space="preserve">Secure</w:t>
      </w:r>
      <w:r>
        <w:t xml:space="preserve">: Sets a</w:t>
      </w:r>
      <w:r>
        <w:t xml:space="preserve"> </w:t>
      </w:r>
      <w:r>
        <w:rPr>
          <w:b/>
          <w:bCs/>
        </w:rPr>
        <w:t xml:space="preserve">Boolean</w:t>
      </w:r>
      <w:r>
        <w:t xml:space="preserve"> </w:t>
      </w:r>
      <w:r>
        <w:t xml:space="preserve">indicating if the cookie should only be transmitted over HTTPS.</w:t>
      </w:r>
    </w:p>
    <w:bookmarkEnd w:id="595"/>
    <w:bookmarkEnd w:id="596"/>
    <w:bookmarkStart w:id="597" w:name="code-example-15"/>
    <w:p>
      <w:pPr>
        <w:pStyle w:val="Heading2"/>
      </w:pPr>
      <w:r>
        <w:t xml:space="preserve">Code Example</w:t>
      </w:r>
    </w:p>
    <w:p>
      <w:pPr>
        <w:pStyle w:val="FirstParagraph"/>
      </w:pPr>
      <w:r>
        <w:t xml:space="preserve">The following example demonstrates how to write a persistent cookie with subkeys and then read one of the values back.</w:t>
      </w:r>
    </w:p>
    <w:p>
      <w:pPr>
        <w:pStyle w:val="SourceCode"/>
      </w:pPr>
      <w:r>
        <w:rPr>
          <w:rStyle w:val="DataTypeTok"/>
        </w:rPr>
        <w:t xml:space="preserve">&lt;%</w:t>
      </w:r>
      <w:r>
        <w:br/>
      </w:r>
      <w:r>
        <w:rPr>
          <w:rStyle w:val="CommentTok"/>
        </w:rPr>
        <w:t xml:space="preserve">' Writing a cookie with subkeys and an expiration date</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"UserSettings"</w:t>
      </w:r>
      <w:r>
        <w:rPr>
          <w:rStyle w:val="OtherTok"/>
        </w:rPr>
        <w:t xml:space="preserve">)(</w:t>
      </w:r>
      <w:r>
        <w:rPr>
          <w:rStyle w:val="StringTok"/>
        </w:rPr>
        <w:t xml:space="preserve">"Theme"</w:t>
      </w:r>
      <w:r>
        <w:rPr>
          <w:rStyle w:val="OtherTok"/>
        </w:rPr>
        <w:t xml:space="preserve">)</w:t>
      </w:r>
      <w:r>
        <w:rPr>
          <w:rStyle w:val="NormalTok"/>
        </w:rPr>
        <w:t xml:space="preserve"> = </w:t>
      </w:r>
      <w:r>
        <w:rPr>
          <w:rStyle w:val="StringTok"/>
        </w:rPr>
        <w:t xml:space="preserve">"Dark"</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"UserSettings"</w:t>
      </w:r>
      <w:r>
        <w:rPr>
          <w:rStyle w:val="OtherTok"/>
        </w:rPr>
        <w:t xml:space="preserve">)(</w:t>
      </w:r>
      <w:r>
        <w:rPr>
          <w:rStyle w:val="StringTok"/>
        </w:rPr>
        <w:t xml:space="preserve">"FontSize"</w:t>
      </w:r>
      <w:r>
        <w:rPr>
          <w:rStyle w:val="OtherTok"/>
        </w:rPr>
        <w:t xml:space="preserve">)</w:t>
      </w:r>
      <w:r>
        <w:rPr>
          <w:rStyle w:val="NormalTok"/>
        </w:rPr>
        <w:t xml:space="preserve"> = </w:t>
      </w:r>
      <w:r>
        <w:rPr>
          <w:rStyle w:val="StringTok"/>
        </w:rPr>
        <w:t xml:space="preserve">"14px"</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"UserSettings"</w:t>
      </w:r>
      <w:r>
        <w:rPr>
          <w:rStyle w:val="OtherTok"/>
        </w:rPr>
        <w:t xml:space="preserve">)</w:t>
      </w:r>
      <w:r>
        <w:rPr>
          <w:rStyle w:val="NormalTok"/>
        </w:rPr>
        <w:t xml:space="preserve">.Expires = </w:t>
      </w:r>
      <w:r>
        <w:rPr>
          <w:rStyle w:val="FunctionTok"/>
        </w:rPr>
        <w:t xml:space="preserve">DateAdd</w:t>
      </w:r>
      <w:r>
        <w:rPr>
          <w:rStyle w:val="OtherTok"/>
        </w:rPr>
        <w:t xml:space="preserve">(</w:t>
      </w:r>
      <w:r>
        <w:rPr>
          <w:rStyle w:val="StringTok"/>
        </w:rPr>
        <w:t xml:space="preserve">"m"</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"UserSettings"</w:t>
      </w:r>
      <w:r>
        <w:rPr>
          <w:rStyle w:val="OtherTok"/>
        </w:rPr>
        <w:t xml:space="preserve">)</w:t>
      </w:r>
      <w:r>
        <w:rPr>
          <w:rStyle w:val="NormalTok"/>
        </w:rPr>
        <w:t xml:space="preserve">.HttpOnly = </w:t>
      </w:r>
      <w:r>
        <w:rPr>
          <w:rStyle w:val="KeywordTok"/>
        </w:rPr>
        <w:t xml:space="preserve">True</w:t>
      </w:r>
      <w:r>
        <w:br/>
      </w:r>
      <w:r>
        <w:br/>
      </w:r>
      <w:r>
        <w:rPr>
          <w:rStyle w:val="CommentTok"/>
        </w:rPr>
        <w:t xml:space="preserve">' Reading a cookie value</w:t>
      </w:r>
      <w:r>
        <w:br/>
      </w:r>
      <w:r>
        <w:rPr>
          <w:rStyle w:val="KeywordTok"/>
        </w:rPr>
        <w:t xml:space="preserve">Dim</w:t>
      </w:r>
      <w:r>
        <w:rPr>
          <w:rStyle w:val="NormalTok"/>
        </w:rPr>
        <w:t xml:space="preserve"> currentTheme</w:t>
      </w:r>
      <w:r>
        <w:br/>
      </w:r>
      <w:r>
        <w:rPr>
          <w:rStyle w:val="NormalTok"/>
        </w:rPr>
        <w:t xml:space="preserve">currentTheme = </w:t>
      </w:r>
      <w:r>
        <w:rPr>
          <w:rStyle w:val="FunctionTok"/>
        </w:rPr>
        <w:t xml:space="preserve">Request</w:t>
      </w:r>
      <w:r>
        <w:rPr>
          <w:rStyle w:val="NormalTok"/>
        </w:rPr>
        <w:t xml:space="preserve">.</w:t>
      </w:r>
      <w:r>
        <w:rPr>
          <w:rStyle w:val="FunctionTok"/>
        </w:rPr>
        <w:t xml:space="preserve">Cookies</w:t>
      </w:r>
      <w:r>
        <w:rPr>
          <w:rStyle w:val="OtherTok"/>
        </w:rPr>
        <w:t xml:space="preserve">(</w:t>
      </w:r>
      <w:r>
        <w:rPr>
          <w:rStyle w:val="StringTok"/>
        </w:rPr>
        <w:t xml:space="preserve">"UserSettings"</w:t>
      </w:r>
      <w:r>
        <w:rPr>
          <w:rStyle w:val="OtherTok"/>
        </w:rPr>
        <w:t xml:space="preserve">)(</w:t>
      </w:r>
      <w:r>
        <w:rPr>
          <w:rStyle w:val="StringTok"/>
        </w:rPr>
        <w:t xml:space="preserve">"Theme"</w:t>
      </w:r>
      <w:r>
        <w:rPr>
          <w:rStyle w:val="OtherTok"/>
        </w:rPr>
        <w:t xml:space="preserve">)</w:t>
      </w:r>
      <w:r>
        <w:br/>
      </w:r>
      <w:r>
        <w:br/>
      </w:r>
      <w:r>
        <w:rPr>
          <w:rStyle w:val="ControlFlowTok"/>
        </w:rPr>
        <w:t xml:space="preserve">If</w:t>
      </w:r>
      <w:r>
        <w:rPr>
          <w:rStyle w:val="NormalTok"/>
        </w:rPr>
        <w:t xml:space="preserve"> currentTheme &lt;&gt;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User Theme: "</w:t>
      </w:r>
      <w:r>
        <w:rPr>
          <w:rStyle w:val="NormalTok"/>
        </w:rPr>
        <w:t xml:space="preserve"> </w:t>
      </w:r>
      <w:r>
        <w:rPr>
          <w:rStyle w:val="KeywordTok"/>
        </w:rPr>
        <w:t xml:space="preserve">&amp;</w:t>
      </w:r>
      <w:r>
        <w:rPr>
          <w:rStyle w:val="NormalTok"/>
        </w:rPr>
        <w:t xml:space="preserve"> currentTheme</w:t>
      </w:r>
      <w:r>
        <w:br/>
      </w:r>
      <w:r>
        <w:rPr>
          <w:rStyle w:val="ControlFlowTok"/>
        </w:rPr>
        <w:t xml:space="preserve">End If</w:t>
      </w:r>
      <w:r>
        <w:br/>
      </w:r>
      <w:r>
        <w:rPr>
          <w:rStyle w:val="DataTypeTok"/>
        </w:rPr>
        <w:t xml:space="preserve">%&gt;</w:t>
      </w:r>
    </w:p>
    <w:bookmarkEnd w:id="597"/>
    <w:bookmarkStart w:id="598" w:name="remarks-23"/>
    <w:p>
      <w:pPr>
        <w:pStyle w:val="Heading2"/>
      </w:pPr>
      <w:r>
        <w:t xml:space="preserve">Remarks</w:t>
      </w:r>
    </w:p>
    <w:p>
      <w:pPr>
        <w:pStyle w:val="Compact"/>
        <w:numPr>
          <w:ilvl w:val="0"/>
          <w:numId w:val="1182"/>
        </w:numPr>
      </w:pPr>
      <w:r>
        <w:rPr>
          <w:b/>
          <w:bCs/>
        </w:rPr>
        <w:t xml:space="preserve">Size Limits</w:t>
      </w:r>
      <w:r>
        <w:t xml:space="preserve">: Browsers typically limit cookies to 4KB each. Use them for identifiers or small settings, not large datasets.</w:t>
      </w:r>
    </w:p>
    <w:p>
      <w:pPr>
        <w:pStyle w:val="Compact"/>
        <w:numPr>
          <w:ilvl w:val="0"/>
          <w:numId w:val="1182"/>
        </w:numPr>
      </w:pPr>
      <w:r>
        <w:rPr>
          <w:b/>
          <w:bCs/>
        </w:rPr>
        <w:t xml:space="preserve">Security</w:t>
      </w:r>
      <w:r>
        <w:t xml:space="preserve">: Always set the</w:t>
      </w:r>
      <w:r>
        <w:t xml:space="preserve"> </w:t>
      </w:r>
      <w:r>
        <w:rPr>
          <w:b/>
          <w:bCs/>
        </w:rPr>
        <w:t xml:space="preserve">HttpOnly</w:t>
      </w:r>
      <w:r>
        <w:t xml:space="preserve"> </w:t>
      </w:r>
      <w:r>
        <w:t xml:space="preserve">property to</w:t>
      </w:r>
      <w:r>
        <w:t xml:space="preserve"> </w:t>
      </w:r>
      <w:r>
        <w:rPr>
          <w:b/>
          <w:bCs/>
        </w:rPr>
        <w:t xml:space="preserve">True</w:t>
      </w:r>
      <w:r>
        <w:t xml:space="preserve"> </w:t>
      </w:r>
      <w:r>
        <w:t xml:space="preserve">for sensitive cookies to mitigate cross-site scripting (XSS) risks.</w:t>
      </w:r>
    </w:p>
    <w:p>
      <w:pPr>
        <w:pStyle w:val="Compact"/>
        <w:numPr>
          <w:ilvl w:val="0"/>
          <w:numId w:val="1182"/>
        </w:numPr>
      </w:pPr>
      <w:r>
        <w:rPr>
          <w:b/>
          <w:bCs/>
        </w:rPr>
        <w:t xml:space="preserve">Expiration</w:t>
      </w:r>
      <w:r>
        <w:t xml:space="preserve">: If no expiration date is set, the cookie is treated as a session cookie and will be deleted when the browser is closed.</w:t>
      </w:r>
    </w:p>
    <w:bookmarkEnd w:id="598"/>
    <w:bookmarkEnd w:id="599"/>
    <w:bookmarkStart w:id="613" w:name="request-object"/>
    <w:p>
      <w:pPr>
        <w:pStyle w:val="Heading1"/>
      </w:pPr>
      <w:r>
        <w:t xml:space="preserve">Request Object</w:t>
      </w:r>
    </w:p>
    <w:bookmarkStart w:id="600" w:name="overview-37"/>
    <w:p>
      <w:pPr>
        <w:pStyle w:val="Heading2"/>
      </w:pPr>
      <w:r>
        <w:t xml:space="preserve">Overview</w:t>
      </w:r>
    </w:p>
    <w:p>
      <w:pPr>
        <w:pStyle w:val="FirstParagraph"/>
      </w:pPr>
      <w:r>
        <w:t xml:space="preserve">The</w:t>
      </w:r>
      <w:r>
        <w:t xml:space="preserve"> </w:t>
      </w:r>
      <w:r>
        <w:rPr>
          <w:rStyle w:val="VerbatimChar"/>
        </w:rPr>
        <w:t xml:space="preserve">Request</w:t>
      </w:r>
      <w:r>
        <w:t xml:space="preserve"> </w:t>
      </w:r>
      <w:r>
        <w:t xml:space="preserve">object provides access to all information sent to the server by the current HTTP request. This includes query string parameters, HTML form data, cookies, server environment variables, and client certificate fields. You can read any of these through named collections, and the</w:t>
      </w:r>
      <w:r>
        <w:t xml:space="preserve"> </w:t>
      </w:r>
      <w:r>
        <w:rPr>
          <w:rStyle w:val="VerbatimChar"/>
        </w:rPr>
        <w:t xml:space="preserve">Request</w:t>
      </w:r>
      <w:r>
        <w:t xml:space="preserve"> </w:t>
      </w:r>
      <w:r>
        <w:t xml:space="preserve">object itself supports a default shortcut that searches all collections in sequence.</w:t>
      </w:r>
    </w:p>
    <w:p>
      <w:pPr>
        <w:pStyle w:val="BodyText"/>
      </w:pPr>
      <w:r>
        <w:t xml:space="preserve">The</w:t>
      </w:r>
      <w:r>
        <w:t xml:space="preserve"> </w:t>
      </w:r>
      <w:r>
        <w:rPr>
          <w:rStyle w:val="VerbatimChar"/>
        </w:rPr>
        <w:t xml:space="preserve">Request</w:t>
      </w:r>
      <w:r>
        <w:t xml:space="preserve"> </w:t>
      </w:r>
      <w:r>
        <w:t xml:space="preserve">object is always available in every ASP script â€” no</w:t>
      </w:r>
      <w:r>
        <w:t xml:space="preserve"> </w:t>
      </w:r>
      <w:r>
        <w:rPr>
          <w:rStyle w:val="VerbatimChar"/>
        </w:rPr>
        <w:t xml:space="preserve">Server.CreateObject</w:t>
      </w:r>
      <w:r>
        <w:t xml:space="preserve"> </w:t>
      </w:r>
      <w:r>
        <w:t xml:space="preserve">is needed.</w:t>
      </w:r>
    </w:p>
    <w:p>
      <w:r>
        <w:pict>
          <v:rect style="width:0;height:1.5pt" o:hralign="center" o:hrstd="t" o:hr="t"/>
        </w:pict>
      </w:r>
    </w:p>
    <w:bookmarkEnd w:id="600"/>
    <w:bookmarkStart w:id="607" w:name="collections"/>
    <w:p>
      <w:pPr>
        <w:pStyle w:val="Heading2"/>
      </w:pPr>
      <w:r>
        <w:t xml:space="preserve">Collections</w:t>
      </w:r>
    </w:p>
    <w:bookmarkStart w:id="601" w:name="request.querystring"/>
    <w:p>
      <w:pPr>
        <w:pStyle w:val="Heading3"/>
      </w:pPr>
      <w:r>
        <w:t xml:space="preserve">Request.QueryString</w:t>
      </w:r>
    </w:p>
    <w:p>
      <w:pPr>
        <w:pStyle w:val="FirstParagraph"/>
      </w:pPr>
      <w:r>
        <w:t xml:space="preserve">Returns values from the URL query string. For example, the URL</w:t>
      </w:r>
      <w:r>
        <w:t xml:space="preserve"> </w:t>
      </w:r>
      <w:r>
        <w:rPr>
          <w:rStyle w:val="VerbatimChar"/>
        </w:rPr>
        <w:t xml:space="preserve">/page.asp?color=blue&amp;size=10</w:t>
      </w:r>
      <w:r>
        <w:t xml:space="preserve"> </w:t>
      </w:r>
      <w:r>
        <w:t xml:space="preserve">populates</w:t>
      </w:r>
      <w:r>
        <w:t xml:space="preserve"> </w:t>
      </w:r>
      <w:r>
        <w:rPr>
          <w:rStyle w:val="VerbatimChar"/>
        </w:rPr>
        <w:t xml:space="preserve">QueryString</w:t>
      </w:r>
      <w:r>
        <w:t xml:space="preserve"> </w:t>
      </w:r>
      <w:r>
        <w:t xml:space="preserve">with</w:t>
      </w:r>
      <w:r>
        <w:t xml:space="preserve"> </w:t>
      </w:r>
      <w:r>
        <w:rPr>
          <w:rStyle w:val="VerbatimChar"/>
        </w:rPr>
        <w:t xml:space="preserve">color</w:t>
      </w:r>
      <w:r>
        <w:t xml:space="preserve"> </w:t>
      </w:r>
      <w:r>
        <w:t xml:space="preserve">and</w:t>
      </w:r>
      <w:r>
        <w:t xml:space="preserve"> </w:t>
      </w:r>
      <w:r>
        <w:rPr>
          <w:rStyle w:val="VerbatimChar"/>
        </w:rPr>
        <w:t xml:space="preserve">size</w:t>
      </w:r>
      <w:r>
        <w:t xml:space="preserve">.</w:t>
      </w:r>
    </w:p>
    <w:p>
      <w:pPr>
        <w:pStyle w:val="BodyText"/>
      </w:pPr>
      <w:r>
        <w:rPr>
          <w:b/>
          <w:bCs/>
        </w:rPr>
        <w:t xml:space="preserve">Syntax:</w:t>
      </w:r>
    </w:p>
    <w:p>
      <w:pPr>
        <w:pStyle w:val="SourceCode"/>
      </w:pPr>
      <w:r>
        <w:rPr>
          <w:rStyle w:val="NormalTok"/>
        </w:rPr>
        <w:t xml:space="preserve">Request.QueryString("key")</w:t>
      </w:r>
      <w:r>
        <w:br/>
      </w:r>
      <w:r>
        <w:rPr>
          <w:rStyle w:val="NormalTok"/>
        </w:rPr>
        <w:t xml:space="preserve">Request.QueryString("key")(index)   ' 1-based index for multi-value keys</w:t>
      </w:r>
      <w:r>
        <w:br/>
      </w:r>
      <w:r>
        <w:rPr>
          <w:rStyle w:val="NormalTok"/>
        </w:rPr>
        <w:t xml:space="preserve">Request.QueryString("key").Count</w:t>
      </w:r>
    </w:p>
    <w:p>
      <w:pPr>
        <w:pStyle w:val="FirstParagraph"/>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color</w:t>
      </w:r>
      <w:r>
        <w:br/>
      </w:r>
      <w:r>
        <w:rPr>
          <w:rStyle w:val="NormalTok"/>
        </w:rPr>
        <w:t xml:space="preserve">color = </w:t>
      </w:r>
      <w:r>
        <w:rPr>
          <w:rStyle w:val="FunctionTok"/>
        </w:rPr>
        <w:t xml:space="preserve">Request</w:t>
      </w:r>
      <w:r>
        <w:rPr>
          <w:rStyle w:val="NormalTok"/>
        </w:rPr>
        <w:t xml:space="preserve">.</w:t>
      </w:r>
      <w:r>
        <w:rPr>
          <w:rStyle w:val="FunctionTok"/>
        </w:rPr>
        <w:t xml:space="preserve">QueryString</w:t>
      </w:r>
      <w:r>
        <w:rPr>
          <w:rStyle w:val="OtherTok"/>
        </w:rPr>
        <w:t xml:space="preserve">(</w:t>
      </w:r>
      <w:r>
        <w:rPr>
          <w:rStyle w:val="StringTok"/>
        </w:rPr>
        <w:t xml:space="preserve">"color"</w:t>
      </w:r>
      <w:r>
        <w:rPr>
          <w:rStyle w:val="OtherTok"/>
        </w:rPr>
        <w:t xml:space="preserve">)</w:t>
      </w:r>
      <w:r>
        <w:br/>
      </w:r>
      <w:r>
        <w:rPr>
          <w:rStyle w:val="ControlFlowTok"/>
        </w:rPr>
        <w:t xml:space="preserve">If</w:t>
      </w:r>
      <w:r>
        <w:rPr>
          <w:rStyle w:val="NormalTok"/>
        </w:rPr>
        <w:t xml:space="preserve"> color = </w:t>
      </w:r>
      <w:r>
        <w:rPr>
          <w:rStyle w:val="StringTok"/>
        </w:rPr>
        <w:t xml:space="preserve">""</w:t>
      </w:r>
      <w:r>
        <w:rPr>
          <w:rStyle w:val="NormalTok"/>
        </w:rPr>
        <w:t xml:space="preserve"> </w:t>
      </w:r>
      <w:r>
        <w:rPr>
          <w:rStyle w:val="ControlFlowTok"/>
        </w:rPr>
        <w:t xml:space="preserve">Then</w:t>
      </w:r>
      <w:r>
        <w:br/>
      </w:r>
      <w:r>
        <w:rPr>
          <w:rStyle w:val="NormalTok"/>
        </w:rPr>
        <w:t xml:space="preserve">    color = </w:t>
      </w:r>
      <w:r>
        <w:rPr>
          <w:rStyle w:val="StringTok"/>
        </w:rPr>
        <w:t xml:space="preserve">"red"</w:t>
      </w:r>
      <w:r>
        <w:br/>
      </w:r>
      <w:r>
        <w:rPr>
          <w:rStyle w:val="ControlFlowTok"/>
        </w:rPr>
        <w:t xml:space="preserve">End If</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"Selected color: "</w:t>
      </w:r>
      <w:r>
        <w:rPr>
          <w:rStyle w:val="NormalTok"/>
        </w:rPr>
        <w:t xml:space="preserve"> </w:t>
      </w:r>
      <w:r>
        <w:rPr>
          <w:rStyle w:val="KeywordTok"/>
        </w:rPr>
        <w:t xml:space="preserve">&amp;</w:t>
      </w:r>
      <w:r>
        <w:rPr>
          <w:rStyle w:val="NormalTok"/>
        </w:rPr>
        <w:t xml:space="preserve"> color</w:t>
      </w:r>
      <w:r>
        <w:br/>
      </w:r>
      <w:r>
        <w:rPr>
          <w:rStyle w:val="DataTypeTok"/>
        </w:rPr>
        <w:t xml:space="preserve">%&gt;</w:t>
      </w:r>
    </w:p>
    <w:p>
      <w:pPr>
        <w:pStyle w:val="SourceCode"/>
      </w:pPr>
      <w:r>
        <w:rPr>
          <w:rStyle w:val="DataTypeTok"/>
        </w:rPr>
        <w:t xml:space="preserve">&lt;%</w:t>
      </w:r>
      <w:r>
        <w:br/>
      </w:r>
      <w:r>
        <w:rPr>
          <w:rStyle w:val="CommentTok"/>
        </w:rPr>
        <w:t xml:space="preserve">' Enumerate all query string parameters</w:t>
      </w:r>
      <w:r>
        <w:br/>
      </w:r>
      <w:r>
        <w:rPr>
          <w:rStyle w:val="KeywordTok"/>
        </w:rPr>
        <w:t xml:space="preserve">Dim</w:t>
      </w:r>
      <w:r>
        <w:rPr>
          <w:rStyle w:val="NormalTok"/>
        </w:rPr>
        <w:t xml:space="preserve"> k</w:t>
      </w:r>
      <w:r>
        <w:br/>
      </w:r>
      <w:r>
        <w:rPr>
          <w:rStyle w:val="ControlFlowTok"/>
        </w:rPr>
        <w:t xml:space="preserve">For</w:t>
      </w:r>
      <w:r>
        <w:rPr>
          <w:rStyle w:val="NormalTok"/>
        </w:rPr>
        <w:t xml:space="preserve"> </w:t>
      </w:r>
      <w:r>
        <w:rPr>
          <w:rStyle w:val="ControlFlowTok"/>
        </w:rPr>
        <w:t xml:space="preserve">Each</w:t>
      </w:r>
      <w:r>
        <w:rPr>
          <w:rStyle w:val="NormalTok"/>
        </w:rPr>
        <w:t xml:space="preserve"> k </w:t>
      </w:r>
      <w:r>
        <w:rPr>
          <w:rStyle w:val="ControlFlowTok"/>
        </w:rPr>
        <w:t xml:space="preserve">In</w:t>
      </w:r>
      <w:r>
        <w:rPr>
          <w:rStyle w:val="NormalTok"/>
        </w:rPr>
        <w:t xml:space="preserve"> </w:t>
      </w:r>
      <w:r>
        <w:rPr>
          <w:rStyle w:val="FunctionTok"/>
        </w:rPr>
        <w:t xml:space="preserve">Request</w:t>
      </w:r>
      <w:r>
        <w:rPr>
          <w:rStyle w:val="NormalTok"/>
        </w:rPr>
        <w:t xml:space="preserve">.</w:t>
      </w:r>
      <w:r>
        <w:rPr>
          <w:rStyle w:val="FunctionTok"/>
        </w:rPr>
        <w:t xml:space="preserve">QueryString</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k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w:t>
      </w:r>
      <w:r>
        <w:rPr>
          <w:rStyle w:val="FunctionTok"/>
        </w:rPr>
        <w:t xml:space="preserve">Request</w:t>
      </w:r>
      <w:r>
        <w:rPr>
          <w:rStyle w:val="NormalTok"/>
        </w:rPr>
        <w:t xml:space="preserve">.</w:t>
      </w:r>
      <w:r>
        <w:rPr>
          <w:rStyle w:val="FunctionTok"/>
        </w:rPr>
        <w:t xml:space="preserve">QueryString</w:t>
      </w:r>
      <w:r>
        <w:rPr>
          <w:rStyle w:val="OtherTok"/>
        </w:rPr>
        <w:t xml:space="preserve">(</w:t>
      </w:r>
      <w:r>
        <w:rPr>
          <w:rStyle w:val="NormalTok"/>
        </w:rPr>
        <w:t xml:space="preserve">k</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DataTypeTok"/>
        </w:rPr>
        <w:t xml:space="preserve">%&gt;</w:t>
      </w:r>
    </w:p>
    <w:p>
      <w:r>
        <w:pict>
          <v:rect style="width:0;height:1.5pt" o:hralign="center" o:hrstd="t" o:hr="t"/>
        </w:pict>
      </w:r>
    </w:p>
    <w:bookmarkEnd w:id="601"/>
    <w:bookmarkStart w:id="602" w:name="request.form"/>
    <w:p>
      <w:pPr>
        <w:pStyle w:val="Heading3"/>
      </w:pPr>
      <w:r>
        <w:t xml:space="preserve">Request.Form</w:t>
      </w:r>
    </w:p>
    <w:p>
      <w:pPr>
        <w:pStyle w:val="FirstParagraph"/>
      </w:pPr>
      <w:r>
        <w:t xml:space="preserve">Returns values submitted via an HTML form using the</w:t>
      </w:r>
      <w:r>
        <w:t xml:space="preserve"> </w:t>
      </w:r>
      <w:r>
        <w:rPr>
          <w:rStyle w:val="VerbatimChar"/>
        </w:rPr>
        <w:t xml:space="preserve">POST</w:t>
      </w:r>
      <w:r>
        <w:t xml:space="preserve"> </w:t>
      </w:r>
      <w:r>
        <w:t xml:space="preserve">method. The keys correspond to the</w:t>
      </w:r>
      <w:r>
        <w:t xml:space="preserve"> </w:t>
      </w:r>
      <w:r>
        <w:rPr>
          <w:rStyle w:val="VerbatimChar"/>
        </w:rPr>
        <w:t xml:space="preserve">name</w:t>
      </w:r>
      <w:r>
        <w:t xml:space="preserve"> </w:t>
      </w:r>
      <w:r>
        <w:t xml:space="preserve">attributes of the form elements.</w:t>
      </w:r>
    </w:p>
    <w:p>
      <w:pPr>
        <w:pStyle w:val="BodyText"/>
      </w:pPr>
      <w:r>
        <w:rPr>
          <w:b/>
          <w:bCs/>
        </w:rPr>
        <w:t xml:space="preserve">Syntax:</w:t>
      </w:r>
    </w:p>
    <w:p>
      <w:pPr>
        <w:pStyle w:val="SourceCode"/>
      </w:pPr>
      <w:r>
        <w:rPr>
          <w:rStyle w:val="NormalTok"/>
        </w:rPr>
        <w:t xml:space="preserve">Request.Form("fieldname")</w:t>
      </w:r>
      <w:r>
        <w:br/>
      </w:r>
      <w:r>
        <w:rPr>
          <w:rStyle w:val="NormalTok"/>
        </w:rPr>
        <w:t xml:space="preserve">Request.Form("fieldname")(index)   ' 1-based, for multi-select</w:t>
      </w:r>
      <w:r>
        <w:br/>
      </w:r>
      <w:r>
        <w:rPr>
          <w:rStyle w:val="NormalTok"/>
        </w:rPr>
        <w:t xml:space="preserve">Request.Form("fieldname").Count</w:t>
      </w:r>
    </w:p>
    <w:p>
      <w:pPr>
        <w:pStyle w:val="FirstParagraph"/>
      </w:pPr>
      <w:r>
        <w:rPr>
          <w:b/>
          <w:bCs/>
        </w:rPr>
        <w:t xml:space="preserve">Note:</w:t>
      </w:r>
      <w:r>
        <w:t xml:space="preserve"> </w:t>
      </w:r>
      <w:r>
        <w:t xml:space="preserve">Accessing</w:t>
      </w:r>
      <w:r>
        <w:t xml:space="preserve"> </w:t>
      </w:r>
      <w:r>
        <w:rPr>
          <w:rStyle w:val="VerbatimChar"/>
        </w:rPr>
        <w:t xml:space="preserve">Request.Form</w:t>
      </w:r>
      <w:r>
        <w:t xml:space="preserve"> </w:t>
      </w:r>
      <w:r>
        <w:t xml:space="preserve">and calling</w:t>
      </w:r>
      <w:r>
        <w:t xml:space="preserve"> </w:t>
      </w:r>
      <w:r>
        <w:rPr>
          <w:rStyle w:val="VerbatimChar"/>
        </w:rPr>
        <w:t xml:space="preserve">Request.BinaryRead</w:t>
      </w:r>
      <w:r>
        <w:t xml:space="preserve"> </w:t>
      </w:r>
      <w:r>
        <w:t xml:space="preserve">in the same script is not allowed. Use one or the other.</w:t>
      </w:r>
    </w:p>
    <w:p>
      <w:pPr>
        <w:pStyle w:val="BodyText"/>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username</w:t>
      </w:r>
      <w:r>
        <w:rPr>
          <w:rStyle w:val="OtherTok"/>
        </w:rPr>
        <w:t xml:space="preserve">,</w:t>
      </w:r>
      <w:r>
        <w:rPr>
          <w:rStyle w:val="NormalTok"/>
        </w:rPr>
        <w:t xml:space="preserve"> password</w:t>
      </w:r>
      <w:r>
        <w:br/>
      </w:r>
      <w:r>
        <w:rPr>
          <w:rStyle w:val="NormalTok"/>
        </w:rPr>
        <w:t xml:space="preserve">username = </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StringTok"/>
        </w:rPr>
        <w:t xml:space="preserve">"username"</w:t>
      </w:r>
      <w:r>
        <w:rPr>
          <w:rStyle w:val="OtherTok"/>
        </w:rPr>
        <w:t xml:space="preserve">)</w:t>
      </w:r>
      <w:r>
        <w:br/>
      </w:r>
      <w:r>
        <w:rPr>
          <w:rStyle w:val="NormalTok"/>
        </w:rPr>
        <w:t xml:space="preserve">password = </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StringTok"/>
        </w:rPr>
        <w:t xml:space="preserve">"password"</w:t>
      </w:r>
      <w:r>
        <w:rPr>
          <w:rStyle w:val="OtherTok"/>
        </w:rPr>
        <w:t xml:space="preserve">)</w:t>
      </w:r>
      <w:r>
        <w:br/>
      </w:r>
      <w:r>
        <w:br/>
      </w:r>
      <w:r>
        <w:rPr>
          <w:rStyle w:val="ControlFlowTok"/>
        </w:rPr>
        <w:t xml:space="preserve">If</w:t>
      </w:r>
      <w:r>
        <w:rPr>
          <w:rStyle w:val="NormalTok"/>
        </w:rPr>
        <w:t xml:space="preserve"> </w:t>
      </w:r>
      <w:r>
        <w:rPr>
          <w:rStyle w:val="FunctionTok"/>
        </w:rPr>
        <w:t xml:space="preserve">Len</w:t>
      </w:r>
      <w:r>
        <w:rPr>
          <w:rStyle w:val="OtherTok"/>
        </w:rPr>
        <w:t xml:space="preserve">(</w:t>
      </w:r>
      <w:r>
        <w:rPr>
          <w:rStyle w:val="FunctionTok"/>
        </w:rPr>
        <w:t xml:space="preserve">Trim</w:t>
      </w:r>
      <w:r>
        <w:rPr>
          <w:rStyle w:val="OtherTok"/>
        </w:rPr>
        <w:t xml:space="preserve">(</w:t>
      </w:r>
      <w:r>
        <w:rPr>
          <w:rStyle w:val="NormalTok"/>
        </w:rPr>
        <w:t xml:space="preserve">username</w:t>
      </w:r>
      <w:r>
        <w:rPr>
          <w:rStyle w:val="OtherTok"/>
        </w:rPr>
        <w:t xml:space="preserve">))</w:t>
      </w:r>
      <w:r>
        <w:rPr>
          <w:rStyle w:val="NormalTok"/>
        </w:rPr>
        <w:t xml:space="preserve"> =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"Username is required."</w:t>
      </w:r>
      <w:r>
        <w:br/>
      </w:r>
      <w:r>
        <w:rPr>
          <w:rStyle w:val="NormalTok"/>
        </w:rPr>
        <w:t xml:space="preserve">    </w:t>
      </w:r>
      <w:r>
        <w:rPr>
          <w:rStyle w:val="FunctionTok"/>
        </w:rPr>
        <w:t xml:space="preserve">Response</w:t>
      </w:r>
      <w:r>
        <w:rPr>
          <w:rStyle w:val="NormalTok"/>
        </w:rPr>
        <w:t xml:space="preserve">.</w:t>
      </w:r>
      <w:r>
        <w:rPr>
          <w:rStyle w:val="FunctionTok"/>
        </w:rPr>
        <w:t xml:space="preserve">End</w:t>
      </w:r>
      <w:r>
        <w:br/>
      </w:r>
      <w:r>
        <w:rPr>
          <w:rStyle w:val="ControlFlowTok"/>
        </w:rPr>
        <w:t xml:space="preserve">End If</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"Welcome, "</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username</w:t>
      </w:r>
      <w:r>
        <w:rPr>
          <w:rStyle w:val="OtherTok"/>
        </w:rPr>
        <w:t xml:space="preserve">)</w:t>
      </w:r>
      <w:r>
        <w:br/>
      </w:r>
      <w:r>
        <w:rPr>
          <w:rStyle w:val="DataTypeTok"/>
        </w:rPr>
        <w:t xml:space="preserve">%&gt;</w:t>
      </w:r>
    </w:p>
    <w:p>
      <w:r>
        <w:pict>
          <v:rect style="width:0;height:1.5pt" o:hralign="center" o:hrstd="t" o:hr="t"/>
        </w:pict>
      </w:r>
    </w:p>
    <w:bookmarkEnd w:id="602"/>
    <w:bookmarkStart w:id="603" w:name="request.cookies-1"/>
    <w:p>
      <w:pPr>
        <w:pStyle w:val="Heading3"/>
      </w:pPr>
      <w:r>
        <w:t xml:space="preserve">Request.Cookies</w:t>
      </w:r>
    </w:p>
    <w:p>
      <w:pPr>
        <w:pStyle w:val="FirstParagraph"/>
      </w:pPr>
      <w:r>
        <w:t xml:space="preserve">Returns cookie values sent by the browser. Cookies with sub-keys (created using</w:t>
      </w:r>
      <w:r>
        <w:t xml:space="preserve"> </w:t>
      </w:r>
      <w:r>
        <w:rPr>
          <w:rStyle w:val="VerbatimChar"/>
        </w:rPr>
        <w:t xml:space="preserve">Response.Cookies("name")("subkey")</w:t>
      </w:r>
      <w:r>
        <w:t xml:space="preserve">) can be read with an extra subscript.</w:t>
      </w:r>
    </w:p>
    <w:p>
      <w:pPr>
        <w:pStyle w:val="BodyText"/>
      </w:pPr>
      <w:r>
        <w:rPr>
          <w:b/>
          <w:bCs/>
        </w:rPr>
        <w:t xml:space="preserve">Syntax:</w:t>
      </w:r>
    </w:p>
    <w:p>
      <w:pPr>
        <w:pStyle w:val="SourceCode"/>
      </w:pPr>
      <w:r>
        <w:rPr>
          <w:rStyle w:val="NormalTok"/>
        </w:rPr>
        <w:t xml:space="preserve">Request.Cookies("name")</w:t>
      </w:r>
      <w:r>
        <w:br/>
      </w:r>
      <w:r>
        <w:rPr>
          <w:rStyle w:val="NormalTok"/>
        </w:rPr>
        <w:t xml:space="preserve">Request.Cookies("name")("subkey")</w:t>
      </w:r>
      <w:r>
        <w:br/>
      </w:r>
      <w:r>
        <w:rPr>
          <w:rStyle w:val="NormalTok"/>
        </w:rPr>
        <w:t xml:space="preserve">Request.Cookies("name").HasKeys        ' True if cookie has sub-keys</w:t>
      </w:r>
    </w:p>
    <w:p>
      <w:pPr>
        <w:pStyle w:val="FirstParagraph"/>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sessionToken</w:t>
      </w:r>
      <w:r>
        <w:br/>
      </w:r>
      <w:r>
        <w:rPr>
          <w:rStyle w:val="NormalTok"/>
        </w:rPr>
        <w:t xml:space="preserve">sessionToken = </w:t>
      </w:r>
      <w:r>
        <w:rPr>
          <w:rStyle w:val="FunctionTok"/>
        </w:rPr>
        <w:t xml:space="preserve">Request</w:t>
      </w:r>
      <w:r>
        <w:rPr>
          <w:rStyle w:val="NormalTok"/>
        </w:rPr>
        <w:t xml:space="preserve">.</w:t>
      </w:r>
      <w:r>
        <w:rPr>
          <w:rStyle w:val="FunctionTok"/>
        </w:rPr>
        <w:t xml:space="preserve">Cookies</w:t>
      </w:r>
      <w:r>
        <w:rPr>
          <w:rStyle w:val="OtherTok"/>
        </w:rPr>
        <w:t xml:space="preserve">(</w:t>
      </w:r>
      <w:r>
        <w:rPr>
          <w:rStyle w:val="StringTok"/>
        </w:rPr>
        <w:t xml:space="preserve">"AuthToken"</w:t>
      </w:r>
      <w:r>
        <w:rPr>
          <w:rStyle w:val="OtherTok"/>
        </w:rPr>
        <w:t xml:space="preserve">)</w:t>
      </w:r>
      <w:r>
        <w:br/>
      </w:r>
      <w:r>
        <w:rPr>
          <w:rStyle w:val="ControlFlowTok"/>
        </w:rPr>
        <w:t xml:space="preserve">If</w:t>
      </w:r>
      <w:r>
        <w:rPr>
          <w:rStyle w:val="NormalTok"/>
        </w:rPr>
        <w:t xml:space="preserve"> sessionToken =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Redirect</w:t>
      </w:r>
      <w:r>
        <w:rPr>
          <w:rStyle w:val="NormalTok"/>
        </w:rPr>
        <w:t xml:space="preserve"> </w:t>
      </w:r>
      <w:r>
        <w:rPr>
          <w:rStyle w:val="StringTok"/>
        </w:rPr>
        <w:t xml:space="preserve">"/login.asp"</w:t>
      </w:r>
      <w:r>
        <w:br/>
      </w:r>
      <w:r>
        <w:rPr>
          <w:rStyle w:val="ControlFlowTok"/>
        </w:rPr>
        <w:t xml:space="preserve">End If</w:t>
      </w:r>
      <w:r>
        <w:br/>
      </w:r>
      <w:r>
        <w:rPr>
          <w:rStyle w:val="DataTypeTok"/>
        </w:rPr>
        <w:t xml:space="preserve">%&gt;</w:t>
      </w:r>
    </w:p>
    <w:p>
      <w:r>
        <w:pict>
          <v:rect style="width:0;height:1.5pt" o:hralign="center" o:hrstd="t" o:hr="t"/>
        </w:pict>
      </w:r>
    </w:p>
    <w:bookmarkEnd w:id="603"/>
    <w:bookmarkStart w:id="604" w:name="request.servervariables"/>
    <w:p>
      <w:pPr>
        <w:pStyle w:val="Heading3"/>
      </w:pPr>
      <w:r>
        <w:t xml:space="preserve">Request.ServerVariables</w:t>
      </w:r>
    </w:p>
    <w:p>
      <w:pPr>
        <w:pStyle w:val="FirstParagraph"/>
      </w:pPr>
      <w:r>
        <w:t xml:space="preserve">Returns the value of HTTP headers and server environment variables. The variable names are standardized strings like</w:t>
      </w:r>
      <w:r>
        <w:t xml:space="preserve"> </w:t>
      </w:r>
      <w:r>
        <w:rPr>
          <w:rStyle w:val="VerbatimChar"/>
        </w:rPr>
        <w:t xml:space="preserve">HTTP_HOST</w:t>
      </w:r>
      <w:r>
        <w:t xml:space="preserve">,</w:t>
      </w:r>
      <w:r>
        <w:t xml:space="preserve"> </w:t>
      </w:r>
      <w:r>
        <w:rPr>
          <w:rStyle w:val="VerbatimChar"/>
        </w:rPr>
        <w:t xml:space="preserve">REMOTE_ADDR</w:t>
      </w:r>
      <w:r>
        <w:t xml:space="preserve">,</w:t>
      </w:r>
      <w:r>
        <w:t xml:space="preserve"> </w:t>
      </w:r>
      <w:r>
        <w:rPr>
          <w:rStyle w:val="VerbatimChar"/>
        </w:rPr>
        <w:t xml:space="preserve">REQUEST_METHOD</w:t>
      </w:r>
      <w:r>
        <w:t xml:space="preserve">, and so on.</w:t>
      </w:r>
    </w:p>
    <w:p>
      <w:pPr>
        <w:pStyle w:val="BodyText"/>
      </w:pPr>
      <w:r>
        <w:rPr>
          <w:b/>
          <w:bCs/>
        </w:rPr>
        <w:t xml:space="preserve">Syntax:</w:t>
      </w:r>
    </w:p>
    <w:p>
      <w:pPr>
        <w:pStyle w:val="SourceCode"/>
      </w:pPr>
      <w:r>
        <w:rPr>
          <w:rStyle w:val="NormalTok"/>
        </w:rPr>
        <w:t xml:space="preserve">Request.ServerVariables("variable_name")</w:t>
      </w:r>
    </w:p>
    <w:p>
      <w:pPr>
        <w:pStyle w:val="FirstParagraph"/>
      </w:pPr>
      <w:r>
        <w:rPr>
          <w:b/>
          <w:bCs/>
        </w:rPr>
        <w:t xml:space="preserve">Common Variables: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Variable</w:t>
            </w:r>
          </w:p>
        </w:tc>
        <w:tc>
          <w:tcPr/>
          <w:p>
            <w:pPr>
              <w:pStyle w:val="Compact"/>
            </w:pPr>
            <w:r>
              <w:t xml:space="preserve">Description</w:t>
            </w:r>
          </w:p>
        </w:tc>
      </w:tr>
      <w:tr>
        <w:tc>
          <w:tcPr/>
          <w:p>
            <w:pPr>
              <w:pStyle w:val="Compact"/>
            </w:pPr>
            <w:r>
              <w:rPr>
                <w:rStyle w:val="VerbatimChar"/>
              </w:rPr>
              <w:t xml:space="preserve">HTTP_HOST</w:t>
            </w:r>
          </w:p>
        </w:tc>
        <w:tc>
          <w:tcPr/>
          <w:p>
            <w:pPr>
              <w:pStyle w:val="Compact"/>
            </w:pPr>
            <w:r>
              <w:t xml:space="preserve">The hostname from the request</w:t>
            </w:r>
          </w:p>
        </w:tc>
      </w:tr>
      <w:tr>
        <w:tc>
          <w:tcPr/>
          <w:p>
            <w:pPr>
              <w:pStyle w:val="Compact"/>
            </w:pPr>
            <w:r>
              <w:rPr>
                <w:rStyle w:val="VerbatimChar"/>
              </w:rPr>
              <w:t xml:space="preserve">HTTP_REFERER</w:t>
            </w:r>
          </w:p>
        </w:tc>
        <w:tc>
          <w:tcPr/>
          <w:p>
            <w:pPr>
              <w:pStyle w:val="Compact"/>
            </w:pPr>
            <w:r>
              <w:t xml:space="preserve">The referring page URL</w:t>
            </w:r>
          </w:p>
        </w:tc>
      </w:tr>
      <w:tr>
        <w:tc>
          <w:tcPr/>
          <w:p>
            <w:pPr>
              <w:pStyle w:val="Compact"/>
            </w:pPr>
            <w:r>
              <w:rPr>
                <w:rStyle w:val="VerbatimChar"/>
              </w:rPr>
              <w:t xml:space="preserve">HTTP_USER_AGENT</w:t>
            </w:r>
          </w:p>
        </w:tc>
        <w:tc>
          <w:tcPr/>
          <w:p>
            <w:pPr>
              <w:pStyle w:val="Compact"/>
            </w:pPr>
            <w:r>
              <w:t xml:space="preserve">Browser/client identification string</w:t>
            </w:r>
          </w:p>
        </w:tc>
      </w:tr>
      <w:tr>
        <w:tc>
          <w:tcPr/>
          <w:p>
            <w:pPr>
              <w:pStyle w:val="Compact"/>
            </w:pPr>
            <w:r>
              <w:rPr>
                <w:rStyle w:val="VerbatimChar"/>
              </w:rPr>
              <w:t xml:space="preserve">REMOTE_ADDR</w:t>
            </w:r>
          </w:p>
        </w:tc>
        <w:tc>
          <w:tcPr/>
          <w:p>
            <w:pPr>
              <w:pStyle w:val="Compact"/>
            </w:pPr>
            <w:r>
              <w:t xml:space="preserve">Client IP address</w:t>
            </w:r>
          </w:p>
        </w:tc>
      </w:tr>
      <w:tr>
        <w:tc>
          <w:tcPr/>
          <w:p>
            <w:pPr>
              <w:pStyle w:val="Compact"/>
            </w:pPr>
            <w:r>
              <w:rPr>
                <w:rStyle w:val="VerbatimChar"/>
              </w:rPr>
              <w:t xml:space="preserve">REQUEST_METHOD</w:t>
            </w:r>
          </w:p>
        </w:tc>
        <w:tc>
          <w:tcPr/>
          <w:p>
            <w:pPr>
              <w:pStyle w:val="Compact"/>
            </w:pPr>
            <w:r>
              <w:rPr>
                <w:rStyle w:val="VerbatimChar"/>
              </w:rPr>
              <w:t xml:space="preserve">GET</w:t>
            </w:r>
            <w:r>
              <w:t xml:space="preserve">,</w:t>
            </w:r>
            <w:r>
              <w:t xml:space="preserve"> </w:t>
            </w:r>
            <w:r>
              <w:rPr>
                <w:rStyle w:val="VerbatimChar"/>
              </w:rPr>
              <w:t xml:space="preserve">POST</w:t>
            </w:r>
            <w:r>
              <w:t xml:space="preserve">,</w:t>
            </w:r>
            <w:r>
              <w:t xml:space="preserve"> </w:t>
            </w:r>
            <w:r>
              <w:rPr>
                <w:rStyle w:val="VerbatimChar"/>
              </w:rPr>
              <w:t xml:space="preserve">PUT</w:t>
            </w:r>
            <w:r>
              <w:t xml:space="preserve">, etc.</w:t>
            </w:r>
          </w:p>
        </w:tc>
      </w:tr>
      <w:tr>
        <w:tc>
          <w:tcPr/>
          <w:p>
            <w:pPr>
              <w:pStyle w:val="Compact"/>
            </w:pPr>
            <w:r>
              <w:rPr>
                <w:rStyle w:val="VerbatimChar"/>
              </w:rPr>
              <w:t xml:space="preserve">SCRIPT_NAME</w:t>
            </w:r>
          </w:p>
        </w:tc>
        <w:tc>
          <w:tcPr/>
          <w:p>
            <w:pPr>
              <w:pStyle w:val="Compact"/>
            </w:pPr>
            <w:r>
              <w:t xml:space="preserve">Path of the current script</w:t>
            </w:r>
          </w:p>
        </w:tc>
      </w:tr>
      <w:tr>
        <w:tc>
          <w:tcPr/>
          <w:p>
            <w:pPr>
              <w:pStyle w:val="Compact"/>
            </w:pPr>
            <w:r>
              <w:rPr>
                <w:rStyle w:val="VerbatimChar"/>
              </w:rPr>
              <w:t xml:space="preserve">SERVER_NAME</w:t>
            </w:r>
          </w:p>
        </w:tc>
        <w:tc>
          <w:tcPr/>
          <w:p>
            <w:pPr>
              <w:pStyle w:val="Compact"/>
            </w:pPr>
            <w:r>
              <w:t xml:space="preserve">Server hostname</w:t>
            </w:r>
          </w:p>
        </w:tc>
      </w:tr>
      <w:tr>
        <w:tc>
          <w:tcPr/>
          <w:p>
            <w:pPr>
              <w:pStyle w:val="Compact"/>
            </w:pPr>
            <w:r>
              <w:rPr>
                <w:rStyle w:val="VerbatimChar"/>
              </w:rPr>
              <w:t xml:space="preserve">SERVER_PORT</w:t>
            </w:r>
          </w:p>
        </w:tc>
        <w:tc>
          <w:tcPr/>
          <w:p>
            <w:pPr>
              <w:pStyle w:val="Compact"/>
            </w:pPr>
            <w:r>
              <w:t xml:space="preserve">Port number (e.g.,</w:t>
            </w:r>
            <w:r>
              <w:t xml:space="preserve"> </w:t>
            </w:r>
            <w:r>
              <w:rPr>
                <w:rStyle w:val="VerbatimChar"/>
              </w:rPr>
              <w:t xml:space="preserve">80</w:t>
            </w:r>
            <w:r>
              <w:t xml:space="preserve">)</w:t>
            </w:r>
          </w:p>
        </w:tc>
      </w:tr>
      <w:tr>
        <w:tc>
          <w:tcPr/>
          <w:p>
            <w:pPr>
              <w:pStyle w:val="Compact"/>
            </w:pPr>
            <w:r>
              <w:rPr>
                <w:rStyle w:val="VerbatimChar"/>
              </w:rPr>
              <w:t xml:space="preserve">SERVER_PROTOCOL</w:t>
            </w:r>
          </w:p>
        </w:tc>
        <w:tc>
          <w:tcPr/>
          <w:p>
            <w:pPr>
              <w:pStyle w:val="Compact"/>
            </w:pPr>
            <w:r>
              <w:rPr>
                <w:rStyle w:val="VerbatimChar"/>
              </w:rPr>
              <w:t xml:space="preserve">HTTP/1.1</w:t>
            </w:r>
          </w:p>
        </w:tc>
      </w:tr>
      <w:tr>
        <w:tc>
          <w:tcPr/>
          <w:p>
            <w:pPr>
              <w:pStyle w:val="Compact"/>
            </w:pPr>
            <w:r>
              <w:rPr>
                <w:rStyle w:val="VerbatimChar"/>
              </w:rPr>
              <w:t xml:space="preserve">HTTPS</w:t>
            </w:r>
          </w:p>
        </w:tc>
        <w:tc>
          <w:tcPr/>
          <w:p>
            <w:pPr>
              <w:pStyle w:val="Compact"/>
            </w:pPr>
            <w:r>
              <w:rPr>
                <w:rStyle w:val="VerbatimChar"/>
              </w:rPr>
              <w:t xml:space="preserve">on</w:t>
            </w:r>
            <w:r>
              <w:t xml:space="preserve"> </w:t>
            </w:r>
            <w:r>
              <w:t xml:space="preserve">if HTTPS, otherwise empty</w:t>
            </w:r>
          </w:p>
        </w:tc>
      </w:tr>
      <w:tr>
        <w:tc>
          <w:tcPr/>
          <w:p>
            <w:pPr>
              <w:pStyle w:val="Compact"/>
            </w:pPr>
            <w:r>
              <w:rPr>
                <w:rStyle w:val="VerbatimChar"/>
              </w:rPr>
              <w:t xml:space="preserve">QUERY_STRING</w:t>
            </w:r>
          </w:p>
        </w:tc>
        <w:tc>
          <w:tcPr/>
          <w:p>
            <w:pPr>
              <w:pStyle w:val="Compact"/>
            </w:pPr>
            <w:r>
              <w:t xml:space="preserve">Raw query string</w:t>
            </w:r>
          </w:p>
        </w:tc>
      </w:tr>
      <w:tr>
        <w:tc>
          <w:tcPr/>
          <w:p>
            <w:pPr>
              <w:pStyle w:val="Compact"/>
            </w:pPr>
            <w:r>
              <w:rPr>
                <w:rStyle w:val="VerbatimChar"/>
              </w:rPr>
              <w:t xml:space="preserve">CONTENT_TYPE</w:t>
            </w:r>
          </w:p>
        </w:tc>
        <w:tc>
          <w:tcPr/>
          <w:p>
            <w:pPr>
              <w:pStyle w:val="Compact"/>
            </w:pPr>
            <w:r>
              <w:t xml:space="preserve">Content type of POST body</w:t>
            </w:r>
          </w:p>
        </w:tc>
      </w:tr>
      <w:tr>
        <w:tc>
          <w:tcPr/>
          <w:p>
            <w:pPr>
              <w:pStyle w:val="Compact"/>
            </w:pPr>
            <w:r>
              <w:rPr>
                <w:rStyle w:val="VerbatimChar"/>
              </w:rPr>
              <w:t xml:space="preserve">CONTENT_LENGTH</w:t>
            </w:r>
          </w:p>
        </w:tc>
        <w:tc>
          <w:tcPr/>
          <w:p>
            <w:pPr>
              <w:pStyle w:val="Compact"/>
            </w:pPr>
            <w:r>
              <w:t xml:space="preserve">Byte count of the POST body</w:t>
            </w:r>
          </w:p>
        </w:tc>
      </w:tr>
    </w:tbl>
    <w:p>
      <w:pPr>
        <w:pStyle w:val="BodyText"/>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clientIP</w:t>
      </w:r>
      <w:r>
        <w:rPr>
          <w:rStyle w:val="OtherTok"/>
        </w:rPr>
        <w:t xml:space="preserve">,</w:t>
      </w:r>
      <w:r>
        <w:rPr>
          <w:rStyle w:val="NormalTok"/>
        </w:rPr>
        <w:t xml:space="preserve"> method</w:t>
      </w:r>
      <w:r>
        <w:br/>
      </w:r>
      <w:r>
        <w:rPr>
          <w:rStyle w:val="NormalTok"/>
        </w:rPr>
        <w:t xml:space="preserve">clientIP = </w:t>
      </w:r>
      <w:r>
        <w:rPr>
          <w:rStyle w:val="FunctionTok"/>
        </w:rPr>
        <w:t xml:space="preserve">Request</w:t>
      </w:r>
      <w:r>
        <w:rPr>
          <w:rStyle w:val="NormalTok"/>
        </w:rPr>
        <w:t xml:space="preserve">.</w:t>
      </w:r>
      <w:r>
        <w:rPr>
          <w:rStyle w:val="FunctionTok"/>
        </w:rPr>
        <w:t xml:space="preserve">ServerVariables</w:t>
      </w:r>
      <w:r>
        <w:rPr>
          <w:rStyle w:val="OtherTok"/>
        </w:rPr>
        <w:t xml:space="preserve">(</w:t>
      </w:r>
      <w:r>
        <w:rPr>
          <w:rStyle w:val="StringTok"/>
        </w:rPr>
        <w:t xml:space="preserve">"REMOTE_ADDR"</w:t>
      </w:r>
      <w:r>
        <w:rPr>
          <w:rStyle w:val="OtherTok"/>
        </w:rPr>
        <w:t xml:space="preserve">)</w:t>
      </w:r>
      <w:r>
        <w:br/>
      </w:r>
      <w:r>
        <w:rPr>
          <w:rStyle w:val="NormalTok"/>
        </w:rPr>
        <w:t xml:space="preserve">method   = </w:t>
      </w:r>
      <w:r>
        <w:rPr>
          <w:rStyle w:val="FunctionTok"/>
        </w:rPr>
        <w:t xml:space="preserve">Request</w:t>
      </w:r>
      <w:r>
        <w:rPr>
          <w:rStyle w:val="NormalTok"/>
        </w:rPr>
        <w:t xml:space="preserve">.</w:t>
      </w:r>
      <w:r>
        <w:rPr>
          <w:rStyle w:val="FunctionTok"/>
        </w:rPr>
        <w:t xml:space="preserve">ServerVariables</w:t>
      </w:r>
      <w:r>
        <w:rPr>
          <w:rStyle w:val="OtherTok"/>
        </w:rPr>
        <w:t xml:space="preserve">(</w:t>
      </w:r>
      <w:r>
        <w:rPr>
          <w:rStyle w:val="StringTok"/>
        </w:rPr>
        <w:t xml:space="preserve">"REQUEST_METHOD"</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"Your IP: "</w:t>
      </w:r>
      <w:r>
        <w:rPr>
          <w:rStyle w:val="NormalTok"/>
        </w:rPr>
        <w:t xml:space="preserve"> </w:t>
      </w:r>
      <w:r>
        <w:rPr>
          <w:rStyle w:val="KeywordTok"/>
        </w:rPr>
        <w:t xml:space="preserve">&amp;</w:t>
      </w:r>
      <w:r>
        <w:rPr>
          <w:rStyle w:val="NormalTok"/>
        </w:rPr>
        <w:t xml:space="preserve"> clientIP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"Method:  "</w:t>
      </w:r>
      <w:r>
        <w:rPr>
          <w:rStyle w:val="NormalTok"/>
        </w:rPr>
        <w:t xml:space="preserve"> </w:t>
      </w:r>
      <w:r>
        <w:rPr>
          <w:rStyle w:val="KeywordTok"/>
        </w:rPr>
        <w:t xml:space="preserve">&amp;</w:t>
      </w:r>
      <w:r>
        <w:rPr>
          <w:rStyle w:val="NormalTok"/>
        </w:rPr>
        <w:t xml:space="preserve"> method</w:t>
      </w:r>
      <w:r>
        <w:br/>
      </w:r>
      <w:r>
        <w:rPr>
          <w:rStyle w:val="DataTypeTok"/>
        </w:rPr>
        <w:t xml:space="preserve">%&gt;</w:t>
      </w:r>
    </w:p>
    <w:p>
      <w:r>
        <w:pict>
          <v:rect style="width:0;height:1.5pt" o:hralign="center" o:hrstd="t" o:hr="t"/>
        </w:pict>
      </w:r>
    </w:p>
    <w:bookmarkEnd w:id="604"/>
    <w:bookmarkStart w:id="605" w:name="request.clientcertificate"/>
    <w:p>
      <w:pPr>
        <w:pStyle w:val="Heading3"/>
      </w:pPr>
      <w:r>
        <w:t xml:space="preserve">Request.ClientCertificate</w:t>
      </w:r>
    </w:p>
    <w:p>
      <w:pPr>
        <w:pStyle w:val="FirstParagraph"/>
      </w:pPr>
      <w:r>
        <w:t xml:space="preserve">Returns fields from the client’s SSL certificate when the connection uses certificate-based authentication.</w:t>
      </w:r>
    </w:p>
    <w:p>
      <w:pPr>
        <w:pStyle w:val="BodyText"/>
      </w:pPr>
      <w:r>
        <w:rPr>
          <w:b/>
          <w:bCs/>
        </w:rPr>
        <w:t xml:space="preserve">Syntax:</w:t>
      </w:r>
    </w:p>
    <w:p>
      <w:pPr>
        <w:pStyle w:val="SourceCode"/>
      </w:pPr>
      <w:r>
        <w:rPr>
          <w:rStyle w:val="NormalTok"/>
        </w:rPr>
        <w:t xml:space="preserve">Request.ClientCertificate("key")</w:t>
      </w:r>
    </w:p>
    <w:p>
      <w:pPr>
        <w:pStyle w:val="FirstParagraph"/>
      </w:pPr>
      <w:r>
        <w:rPr>
          <w:b/>
          <w:bCs/>
        </w:rPr>
        <w:t xml:space="preserve">Common Keys:</w:t>
      </w:r>
      <w:r>
        <w:t xml:space="preserve"> </w:t>
      </w:r>
      <w:r>
        <w:rPr>
          <w:rStyle w:val="VerbatimChar"/>
        </w:rPr>
        <w:t xml:space="preserve">Subject</w:t>
      </w:r>
      <w:r>
        <w:t xml:space="preserve">,</w:t>
      </w:r>
      <w:r>
        <w:t xml:space="preserve"> </w:t>
      </w:r>
      <w:r>
        <w:rPr>
          <w:rStyle w:val="VerbatimChar"/>
        </w:rPr>
        <w:t xml:space="preserve">Issuer</w:t>
      </w:r>
      <w:r>
        <w:t xml:space="preserve">,</w:t>
      </w:r>
      <w:r>
        <w:t xml:space="preserve"> </w:t>
      </w:r>
      <w:r>
        <w:rPr>
          <w:rStyle w:val="VerbatimChar"/>
        </w:rPr>
        <w:t xml:space="preserve">ValidFrom</w:t>
      </w:r>
      <w:r>
        <w:t xml:space="preserve">,</w:t>
      </w:r>
      <w:r>
        <w:t xml:space="preserve"> </w:t>
      </w:r>
      <w:r>
        <w:rPr>
          <w:rStyle w:val="VerbatimChar"/>
        </w:rPr>
        <w:t xml:space="preserve">ValidUntil</w:t>
      </w:r>
      <w:r>
        <w:t xml:space="preserve">,</w:t>
      </w:r>
      <w:r>
        <w:t xml:space="preserve"> </w:t>
      </w:r>
      <w:r>
        <w:rPr>
          <w:rStyle w:val="VerbatimChar"/>
        </w:rPr>
        <w:t xml:space="preserve">SerialNumber</w:t>
      </w:r>
      <w:r>
        <w:t xml:space="preserve">,</w:t>
      </w:r>
      <w:r>
        <w:t xml:space="preserve"> </w:t>
      </w:r>
      <w:r>
        <w:rPr>
          <w:rStyle w:val="VerbatimChar"/>
        </w:rPr>
        <w:t xml:space="preserve">Certificate</w:t>
      </w:r>
    </w:p>
    <w:p>
      <w:r>
        <w:pict>
          <v:rect style="width:0;height:1.5pt" o:hralign="center" o:hrstd="t" o:hr="t"/>
        </w:pict>
      </w:r>
    </w:p>
    <w:bookmarkEnd w:id="605"/>
    <w:bookmarkStart w:id="606" w:name="request-default-collection"/>
    <w:p>
      <w:pPr>
        <w:pStyle w:val="Heading3"/>
      </w:pPr>
      <w:r>
        <w:t xml:space="preserve">Request (Default Collection)</w:t>
      </w:r>
    </w:p>
    <w:p>
      <w:pPr>
        <w:pStyle w:val="FirstParagraph"/>
      </w:pPr>
      <w:r>
        <w:t xml:space="preserve">When a key is passed directly to</w:t>
      </w:r>
      <w:r>
        <w:t xml:space="preserve"> </w:t>
      </w:r>
      <w:r>
        <w:rPr>
          <w:rStyle w:val="VerbatimChar"/>
        </w:rPr>
        <w:t xml:space="preserve">Request(key)</w:t>
      </w:r>
      <w:r>
        <w:t xml:space="preserve">, AxonASP searches all collections in this order:</w:t>
      </w:r>
      <w:r>
        <w:t xml:space="preserve"> </w:t>
      </w:r>
      <w:r>
        <w:t xml:space="preserve">1.</w:t>
      </w:r>
      <w:r>
        <w:t xml:space="preserve"> </w:t>
      </w:r>
      <w:r>
        <w:rPr>
          <w:rStyle w:val="VerbatimChar"/>
        </w:rPr>
        <w:t xml:space="preserve">QueryString</w:t>
      </w:r>
      <w:r>
        <w:t xml:space="preserve"> </w:t>
      </w:r>
      <w:r>
        <w:t xml:space="preserve">2.</w:t>
      </w:r>
      <w:r>
        <w:t xml:space="preserve"> </w:t>
      </w:r>
      <w:r>
        <w:rPr>
          <w:rStyle w:val="VerbatimChar"/>
        </w:rPr>
        <w:t xml:space="preserve">Form</w:t>
      </w:r>
      <w:r>
        <w:t xml:space="preserve"> </w:t>
      </w:r>
      <w:r>
        <w:t xml:space="preserve">3.</w:t>
      </w:r>
      <w:r>
        <w:t xml:space="preserve"> </w:t>
      </w:r>
      <w:r>
        <w:rPr>
          <w:rStyle w:val="VerbatimChar"/>
        </w:rPr>
        <w:t xml:space="preserve">Cookies</w:t>
      </w:r>
      <w:r>
        <w:t xml:space="preserve"> </w:t>
      </w:r>
      <w:r>
        <w:t xml:space="preserve">4.</w:t>
      </w:r>
      <w:r>
        <w:t xml:space="preserve"> </w:t>
      </w:r>
      <w:r>
        <w:rPr>
          <w:rStyle w:val="VerbatimChar"/>
        </w:rPr>
        <w:t xml:space="preserve">ClientCertificate</w:t>
      </w:r>
      <w:r>
        <w:t xml:space="preserve"> </w:t>
      </w:r>
      <w:r>
        <w:t xml:space="preserve">5.</w:t>
      </w:r>
      <w:r>
        <w:t xml:space="preserve"> </w:t>
      </w:r>
      <w:r>
        <w:rPr>
          <w:rStyle w:val="VerbatimChar"/>
        </w:rPr>
        <w:t xml:space="preserve">ServerVariables</w:t>
      </w:r>
    </w:p>
    <w:p>
      <w:pPr>
        <w:pStyle w:val="BodyText"/>
      </w:pPr>
      <w:r>
        <w:t xml:space="preserve">This is a convenience shortcut. For clarity and performance, prefer specifying the collection explicitly.</w:t>
      </w:r>
    </w:p>
    <w:p>
      <w:pPr>
        <w:pStyle w:val="BodyText"/>
      </w:pPr>
      <w:r>
        <w:rPr>
          <w:b/>
          <w:bCs/>
        </w:rPr>
        <w:t xml:space="preserve">Example:</w:t>
      </w:r>
    </w:p>
    <w:p>
      <w:pPr>
        <w:pStyle w:val="SourceCode"/>
      </w:pPr>
      <w:r>
        <w:rPr>
          <w:rStyle w:val="DataTypeTok"/>
        </w:rPr>
        <w:t xml:space="preserve">&lt;%</w:t>
      </w:r>
      <w:r>
        <w:br/>
      </w:r>
      <w:r>
        <w:rPr>
          <w:rStyle w:val="CommentTok"/>
        </w:rPr>
        <w:t xml:space="preserve">' Reads from whichever collection contains "id"</w:t>
      </w:r>
      <w:r>
        <w:br/>
      </w:r>
      <w:r>
        <w:rPr>
          <w:rStyle w:val="KeywordTok"/>
        </w:rPr>
        <w:t xml:space="preserve">Dim</w:t>
      </w:r>
      <w:r>
        <w:rPr>
          <w:rStyle w:val="NormalTok"/>
        </w:rPr>
        <w:t xml:space="preserve"> id</w:t>
      </w:r>
      <w:r>
        <w:br/>
      </w:r>
      <w:r>
        <w:rPr>
          <w:rStyle w:val="NormalTok"/>
        </w:rPr>
        <w:t xml:space="preserve">id = </w:t>
      </w:r>
      <w:r>
        <w:rPr>
          <w:rStyle w:val="FunctionTok"/>
        </w:rPr>
        <w:t xml:space="preserve">Request</w:t>
      </w:r>
      <w:r>
        <w:rPr>
          <w:rStyle w:val="OtherTok"/>
        </w:rPr>
        <w:t xml:space="preserve">(</w:t>
      </w:r>
      <w:r>
        <w:rPr>
          <w:rStyle w:val="StringTok"/>
        </w:rPr>
        <w:t xml:space="preserve">"id"</w:t>
      </w:r>
      <w:r>
        <w:rPr>
          <w:rStyle w:val="OtherTok"/>
        </w:rPr>
        <w:t xml:space="preserve">)</w:t>
      </w:r>
      <w:r>
        <w:br/>
      </w:r>
      <w:r>
        <w:rPr>
          <w:rStyle w:val="DataTypeTok"/>
        </w:rPr>
        <w:t xml:space="preserve">%&gt;</w:t>
      </w:r>
    </w:p>
    <w:p>
      <w:r>
        <w:pict>
          <v:rect style="width:0;height:1.5pt" o:hralign="center" o:hrstd="t" o:hr="t"/>
        </w:pict>
      </w:r>
    </w:p>
    <w:bookmarkEnd w:id="606"/>
    <w:bookmarkEnd w:id="607"/>
    <w:bookmarkStart w:id="609" w:name="properties-1"/>
    <w:p>
      <w:pPr>
        <w:pStyle w:val="Heading2"/>
      </w:pPr>
      <w:r>
        <w:t xml:space="preserve">Properties</w:t>
      </w:r>
    </w:p>
    <w:bookmarkStart w:id="608" w:name="totalbytes"/>
    <w:p>
      <w:pPr>
        <w:pStyle w:val="Heading3"/>
      </w:pPr>
      <w:r>
        <w:t xml:space="preserve">TotalBytes</w:t>
      </w:r>
    </w:p>
    <w:p>
      <w:pPr>
        <w:pStyle w:val="FirstParagraph"/>
      </w:pPr>
      <w:r>
        <w:t xml:space="preserve">Returns the total number of bytes in the request body. This is useful before calling</w:t>
      </w:r>
      <w:r>
        <w:t xml:space="preserve"> </w:t>
      </w:r>
      <w:r>
        <w:rPr>
          <w:rStyle w:val="VerbatimChar"/>
        </w:rPr>
        <w:t xml:space="preserve">BinaryRead</w:t>
      </w:r>
      <w:r>
        <w:t xml:space="preserve">.</w:t>
      </w:r>
    </w:p>
    <w:p>
      <w:pPr>
        <w:pStyle w:val="BodyText"/>
      </w:pPr>
      <w:r>
        <w:rPr>
          <w:b/>
          <w:bCs/>
        </w:rPr>
        <w:t xml:space="preserve">Syntax:</w:t>
      </w:r>
    </w:p>
    <w:p>
      <w:pPr>
        <w:pStyle w:val="SourceCode"/>
      </w:pPr>
      <w:r>
        <w:rPr>
          <w:rStyle w:val="NormalTok"/>
        </w:rPr>
        <w:t xml:space="preserve">Request.TotalBytes</w:t>
      </w:r>
    </w:p>
    <w:p>
      <w:pPr>
        <w:pStyle w:val="FirstParagraph"/>
      </w:pPr>
      <w:r>
        <w:rPr>
          <w:b/>
          <w:bCs/>
        </w:rPr>
        <w:t xml:space="preserve">Type:</w:t>
      </w:r>
      <w:r>
        <w:t xml:space="preserve"> </w:t>
      </w:r>
      <w:r>
        <w:t xml:space="preserve">Long (read-only)</w:t>
      </w:r>
    </w:p>
    <w:p>
      <w:pPr>
        <w:pStyle w:val="BodyText"/>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bodySize</w:t>
      </w:r>
      <w:r>
        <w:br/>
      </w:r>
      <w:r>
        <w:rPr>
          <w:rStyle w:val="NormalTok"/>
        </w:rPr>
        <w:t xml:space="preserve">bodySize = </w:t>
      </w:r>
      <w:r>
        <w:rPr>
          <w:rStyle w:val="FunctionTok"/>
        </w:rPr>
        <w:t xml:space="preserve">Request</w:t>
      </w:r>
      <w:r>
        <w:rPr>
          <w:rStyle w:val="NormalTok"/>
        </w:rPr>
        <w:t xml:space="preserve">.TotalBytes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"Body size: "</w:t>
      </w:r>
      <w:r>
        <w:rPr>
          <w:rStyle w:val="NormalTok"/>
        </w:rPr>
        <w:t xml:space="preserve"> </w:t>
      </w:r>
      <w:r>
        <w:rPr>
          <w:rStyle w:val="KeywordTok"/>
        </w:rPr>
        <w:t xml:space="preserve">&amp;</w:t>
      </w:r>
      <w:r>
        <w:rPr>
          <w:rStyle w:val="NormalTok"/>
        </w:rPr>
        <w:t xml:space="preserve"> bodySize </w:t>
      </w:r>
      <w:r>
        <w:rPr>
          <w:rStyle w:val="KeywordTok"/>
        </w:rPr>
        <w:t xml:space="preserve">&amp;</w:t>
      </w:r>
      <w:r>
        <w:rPr>
          <w:rStyle w:val="NormalTok"/>
        </w:rPr>
        <w:t xml:space="preserve"> </w:t>
      </w:r>
      <w:r>
        <w:rPr>
          <w:rStyle w:val="StringTok"/>
        </w:rPr>
        <w:t xml:space="preserve">" bytes"</w:t>
      </w:r>
      <w:r>
        <w:br/>
      </w:r>
      <w:r>
        <w:rPr>
          <w:rStyle w:val="DataTypeTok"/>
        </w:rPr>
        <w:t xml:space="preserve">%&gt;</w:t>
      </w:r>
    </w:p>
    <w:p>
      <w:r>
        <w:pict>
          <v:rect style="width:0;height:1.5pt" o:hralign="center" o:hrstd="t" o:hr="t"/>
        </w:pict>
      </w:r>
    </w:p>
    <w:bookmarkEnd w:id="608"/>
    <w:bookmarkEnd w:id="609"/>
    <w:bookmarkStart w:id="611" w:name="methods"/>
    <w:p>
      <w:pPr>
        <w:pStyle w:val="Heading2"/>
      </w:pPr>
      <w:r>
        <w:t xml:space="preserve">Methods</w:t>
      </w:r>
    </w:p>
    <w:bookmarkStart w:id="610" w:name="binaryread"/>
    <w:p>
      <w:pPr>
        <w:pStyle w:val="Heading3"/>
      </w:pPr>
      <w:r>
        <w:t xml:space="preserve">BinaryRead</w:t>
      </w:r>
    </w:p>
    <w:p>
      <w:pPr>
        <w:pStyle w:val="FirstParagraph"/>
      </w:pPr>
      <w:r>
        <w:t xml:space="preserve">Reads the raw bytes from the POST body. This is used when you need to process binary data â€” for example, a file upload or raw JSON body not processed through</w:t>
      </w:r>
      <w:r>
        <w:t xml:space="preserve"> </w:t>
      </w:r>
      <w:r>
        <w:rPr>
          <w:rStyle w:val="VerbatimChar"/>
        </w:rPr>
        <w:t xml:space="preserve">Request.Form</w:t>
      </w:r>
      <w:r>
        <w:t xml:space="preserve">.</w:t>
      </w:r>
    </w:p>
    <w:p>
      <w:pPr>
        <w:pStyle w:val="BodyText"/>
      </w:pPr>
      <w:r>
        <w:t xml:space="preserve">After calling</w:t>
      </w:r>
      <w:r>
        <w:t xml:space="preserve"> </w:t>
      </w:r>
      <w:r>
        <w:rPr>
          <w:rStyle w:val="VerbatimChar"/>
        </w:rPr>
        <w:t xml:space="preserve">BinaryRead</w:t>
      </w:r>
      <w:r>
        <w:t xml:space="preserve">, accessing</w:t>
      </w:r>
      <w:r>
        <w:t xml:space="preserve"> </w:t>
      </w:r>
      <w:r>
        <w:rPr>
          <w:rStyle w:val="VerbatimChar"/>
        </w:rPr>
        <w:t xml:space="preserve">Request.Form</w:t>
      </w:r>
      <w:r>
        <w:t xml:space="preserve"> </w:t>
      </w:r>
      <w:r>
        <w:t xml:space="preserve">is not permitted in the same request.</w:t>
      </w:r>
    </w:p>
    <w:p>
      <w:pPr>
        <w:pStyle w:val="BodyText"/>
      </w:pPr>
      <w:r>
        <w:rPr>
          <w:b/>
          <w:bCs/>
        </w:rPr>
        <w:t xml:space="preserve">Syntax:</w:t>
      </w:r>
    </w:p>
    <w:p>
      <w:pPr>
        <w:pStyle w:val="SourceCode"/>
      </w:pPr>
      <w:r>
        <w:rPr>
          <w:rStyle w:val="NormalTok"/>
        </w:rPr>
        <w:t xml:space="preserve">Request.BinaryRead(count)</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count</w:t>
            </w:r>
          </w:p>
        </w:tc>
        <w:tc>
          <w:tcPr/>
          <w:p>
            <w:pPr>
              <w:pStyle w:val="Compact"/>
            </w:pPr>
            <w:r>
              <w:t xml:space="preserve">Long</w:t>
            </w:r>
          </w:p>
        </w:tc>
        <w:tc>
          <w:tcPr/>
          <w:p>
            <w:pPr>
              <w:pStyle w:val="Compact"/>
            </w:pPr>
            <w:r>
              <w:t xml:space="preserve">Number of bytes to read</w:t>
            </w:r>
          </w:p>
        </w:tc>
      </w:tr>
    </w:tbl>
    <w:p>
      <w:pPr>
        <w:pStyle w:val="BodyText"/>
      </w:pPr>
      <w:r>
        <w:rPr>
          <w:b/>
          <w:bCs/>
        </w:rPr>
        <w:t xml:space="preserve">Return Value:</w:t>
      </w:r>
      <w:r>
        <w:t xml:space="preserve"> </w:t>
      </w:r>
      <w:r>
        <w:t xml:space="preserve">Variant (Byte Array)</w:t>
      </w:r>
    </w:p>
    <w:p>
      <w:pPr>
        <w:pStyle w:val="BodyText"/>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rawBytes</w:t>
      </w:r>
      <w:r>
        <w:rPr>
          <w:rStyle w:val="OtherTok"/>
        </w:rPr>
        <w:t xml:space="preserve">,</w:t>
      </w:r>
      <w:r>
        <w:rPr>
          <w:rStyle w:val="NormalTok"/>
        </w:rPr>
        <w:t xml:space="preserve"> byteCount</w:t>
      </w:r>
      <w:r>
        <w:br/>
      </w:r>
      <w:r>
        <w:rPr>
          <w:rStyle w:val="NormalTok"/>
        </w:rPr>
        <w:t xml:space="preserve">byteCount = </w:t>
      </w:r>
      <w:r>
        <w:rPr>
          <w:rStyle w:val="FunctionTok"/>
        </w:rPr>
        <w:t xml:space="preserve">Request</w:t>
      </w:r>
      <w:r>
        <w:rPr>
          <w:rStyle w:val="NormalTok"/>
        </w:rPr>
        <w:t xml:space="preserve">.TotalBytes</w:t>
      </w:r>
      <w:r>
        <w:br/>
      </w:r>
      <w:r>
        <w:rPr>
          <w:rStyle w:val="NormalTok"/>
        </w:rPr>
        <w:t xml:space="preserve">rawBytes  = </w:t>
      </w:r>
      <w:r>
        <w:rPr>
          <w:rStyle w:val="FunctionTok"/>
        </w:rPr>
        <w:t xml:space="preserve">Request</w:t>
      </w:r>
      <w:r>
        <w:rPr>
          <w:rStyle w:val="NormalTok"/>
        </w:rPr>
        <w:t xml:space="preserve">.BinaryRead</w:t>
      </w:r>
      <w:r>
        <w:rPr>
          <w:rStyle w:val="OtherTok"/>
        </w:rPr>
        <w:t xml:space="preserve">(</w:t>
      </w:r>
      <w:r>
        <w:rPr>
          <w:rStyle w:val="NormalTok"/>
        </w:rPr>
        <w:t xml:space="preserve">byteCount</w:t>
      </w:r>
      <w:r>
        <w:rPr>
          <w:rStyle w:val="OtherTok"/>
        </w:rPr>
        <w:t xml:space="preserve">)</w:t>
      </w:r>
      <w:r>
        <w:br/>
      </w:r>
      <w:r>
        <w:rPr>
          <w:rStyle w:val="CommentTok"/>
        </w:rPr>
        <w:t xml:space="preserve">' rawBytes is now a byte safearray containing the POST body</w:t>
      </w:r>
      <w:r>
        <w:br/>
      </w:r>
      <w:r>
        <w:rPr>
          <w:rStyle w:val="DataTypeTok"/>
        </w:rPr>
        <w:t xml:space="preserve">%&gt;</w:t>
      </w:r>
    </w:p>
    <w:p>
      <w:r>
        <w:pict>
          <v:rect style="width:0;height:1.5pt" o:hralign="center" o:hrstd="t" o:hr="t"/>
        </w:pict>
      </w:r>
    </w:p>
    <w:bookmarkEnd w:id="610"/>
    <w:bookmarkEnd w:id="611"/>
    <w:bookmarkStart w:id="612" w:name="remarks-24"/>
    <w:p>
      <w:pPr>
        <w:pStyle w:val="Heading2"/>
      </w:pPr>
      <w:r>
        <w:t xml:space="preserve">Remarks</w:t>
      </w:r>
    </w:p>
    <w:p>
      <w:pPr>
        <w:pStyle w:val="Compact"/>
        <w:numPr>
          <w:ilvl w:val="0"/>
          <w:numId w:val="1183"/>
        </w:numPr>
      </w:pPr>
      <w:r>
        <w:t xml:space="preserve">All collection lookups are</w:t>
      </w:r>
      <w:r>
        <w:t xml:space="preserve"> </w:t>
      </w:r>
      <w:r>
        <w:rPr>
          <w:b/>
          <w:bCs/>
        </w:rPr>
        <w:t xml:space="preserve">case-insensitive</w:t>
      </w:r>
      <w:r>
        <w:t xml:space="preserve">.</w:t>
      </w:r>
    </w:p>
    <w:p>
      <w:pPr>
        <w:pStyle w:val="Compact"/>
        <w:numPr>
          <w:ilvl w:val="0"/>
          <w:numId w:val="1183"/>
        </w:numPr>
      </w:pPr>
      <w:r>
        <w:t xml:space="preserve">Multi-value form fields and query string parameters are accessible by 1-based numeric index.</w:t>
      </w:r>
    </w:p>
    <w:p>
      <w:pPr>
        <w:pStyle w:val="Compact"/>
        <w:numPr>
          <w:ilvl w:val="0"/>
          <w:numId w:val="1183"/>
        </w:numPr>
      </w:pPr>
      <w:r>
        <w:t xml:space="preserve">Iterating</w:t>
      </w:r>
      <w:r>
        <w:t xml:space="preserve"> </w:t>
      </w:r>
      <w:r>
        <w:rPr>
          <w:rStyle w:val="VerbatimChar"/>
        </w:rPr>
        <w:t xml:space="preserve">For Each k In Request.QueryString</w:t>
      </w:r>
      <w:r>
        <w:t xml:space="preserve"> </w:t>
      </w:r>
      <w:r>
        <w:t xml:space="preserve">yields collection keys in insertion order.</w:t>
      </w:r>
    </w:p>
    <w:p>
      <w:pPr>
        <w:pStyle w:val="Compact"/>
        <w:numPr>
          <w:ilvl w:val="0"/>
          <w:numId w:val="1183"/>
        </w:numPr>
      </w:pPr>
      <w:r>
        <w:rPr>
          <w:rStyle w:val="VerbatimChar"/>
        </w:rPr>
        <w:t xml:space="preserve">Request.Form</w:t>
      </w:r>
      <w:r>
        <w:t xml:space="preserve"> </w:t>
      </w:r>
      <w:r>
        <w:t xml:space="preserve">is lazily loaded on first access; calling</w:t>
      </w:r>
      <w:r>
        <w:t xml:space="preserve"> </w:t>
      </w:r>
      <w:r>
        <w:rPr>
          <w:rStyle w:val="VerbatimChar"/>
        </w:rPr>
        <w:t xml:space="preserve">BinaryRead</w:t>
      </w:r>
      <w:r>
        <w:t xml:space="preserve"> </w:t>
      </w:r>
      <w:r>
        <w:t xml:space="preserve">before it prevents form parsing.</w:t>
      </w:r>
    </w:p>
    <w:p>
      <w:pPr>
        <w:pStyle w:val="Compact"/>
        <w:numPr>
          <w:ilvl w:val="0"/>
          <w:numId w:val="1183"/>
        </w:numPr>
      </w:pPr>
      <w:r>
        <w:t xml:space="preserve">The default collection lookup order (</w:t>
      </w:r>
      <w:r>
        <w:rPr>
          <w:rStyle w:val="VerbatimChar"/>
        </w:rPr>
        <w:t xml:space="preserve">QueryString â†’ Form â†’ Cookies â†’ ClientCertificate â†’ ServerVariables</w:t>
      </w:r>
      <w:r>
        <w:t xml:space="preserve">) applies only when you omit the collection name.</w:t>
      </w:r>
    </w:p>
    <w:bookmarkEnd w:id="612"/>
    <w:bookmarkEnd w:id="613"/>
    <w:bookmarkStart w:id="637" w:name="response-object"/>
    <w:p>
      <w:pPr>
        <w:pStyle w:val="Heading1"/>
      </w:pPr>
      <w:r>
        <w:t xml:space="preserve">Response Object</w:t>
      </w:r>
    </w:p>
    <w:bookmarkStart w:id="614" w:name="overview-38"/>
    <w:p>
      <w:pPr>
        <w:pStyle w:val="Heading2"/>
      </w:pPr>
      <w:r>
        <w:t xml:space="preserve">Overview</w:t>
      </w:r>
    </w:p>
    <w:p>
      <w:pPr>
        <w:pStyle w:val="FirstParagraph"/>
      </w:pPr>
      <w:r>
        <w:t xml:space="preserve">The</w:t>
      </w:r>
      <w:r>
        <w:t xml:space="preserve"> </w:t>
      </w:r>
      <w:r>
        <w:rPr>
          <w:rStyle w:val="VerbatimChar"/>
        </w:rPr>
        <w:t xml:space="preserve">Response</w:t>
      </w:r>
      <w:r>
        <w:t xml:space="preserve"> </w:t>
      </w:r>
      <w:r>
        <w:t xml:space="preserve">object controls everything that AxonASP sends back to the client browser. Through it, you write HTML output, set HTTP headers and cookies, control caching, issue redirects, and manage response buffering. It is available in every ASP script with no setup required.</w:t>
      </w:r>
    </w:p>
    <w:p>
      <w:r>
        <w:pict>
          <v:rect style="width:0;height:1.5pt" o:hralign="center" o:hrstd="t" o:hr="t"/>
        </w:pict>
      </w:r>
    </w:p>
    <w:bookmarkEnd w:id="614"/>
    <w:bookmarkStart w:id="623" w:name="methods-1"/>
    <w:p>
      <w:pPr>
        <w:pStyle w:val="Heading2"/>
      </w:pPr>
      <w:r>
        <w:t xml:space="preserve">Methods</w:t>
      </w:r>
    </w:p>
    <w:bookmarkStart w:id="615" w:name="response.write"/>
    <w:p>
      <w:pPr>
        <w:pStyle w:val="Heading3"/>
      </w:pPr>
      <w:r>
        <w:t xml:space="preserve">Response.Write</w:t>
      </w:r>
    </w:p>
    <w:p>
      <w:pPr>
        <w:pStyle w:val="FirstParagraph"/>
      </w:pPr>
      <w:r>
        <w:t xml:space="preserve">Writes a string directly to the HTTP response. This is the primary method for generating output in an ASP page. The</w:t>
      </w:r>
      <w:r>
        <w:t xml:space="preserve"> </w:t>
      </w:r>
      <w:r>
        <w:rPr>
          <w:rStyle w:val="VerbatimChar"/>
        </w:rPr>
        <w:t xml:space="preserve">&lt;%= expression %&gt;</w:t>
      </w:r>
      <w:r>
        <w:t xml:space="preserve"> </w:t>
      </w:r>
      <w:r>
        <w:t xml:space="preserve">shortcut is equivalent to</w:t>
      </w:r>
      <w:r>
        <w:t xml:space="preserve"> </w:t>
      </w:r>
      <w:r>
        <w:rPr>
          <w:rStyle w:val="VerbatimChar"/>
        </w:rPr>
        <w:t xml:space="preserve">Response.Write expression</w:t>
      </w:r>
      <w:r>
        <w:t xml:space="preserve">.</w:t>
      </w:r>
    </w:p>
    <w:p>
      <w:pPr>
        <w:pStyle w:val="BodyText"/>
      </w:pPr>
      <w:r>
        <w:rPr>
          <w:b/>
          <w:bCs/>
        </w:rPr>
        <w:t xml:space="preserve">Syntax:</w:t>
      </w:r>
    </w:p>
    <w:p>
      <w:pPr>
        <w:pStyle w:val="SourceCode"/>
      </w:pPr>
      <w:r>
        <w:rPr>
          <w:rStyle w:val="NormalTok"/>
        </w:rPr>
        <w:t xml:space="preserve">Response.Write(string)</w:t>
      </w:r>
      <w:r>
        <w:br/>
      </w:r>
      <w:r>
        <w:rPr>
          <w:rStyle w:val="DataTypeTok"/>
        </w:rPr>
        <w:t xml:space="preserve">&lt;%</w:t>
      </w:r>
      <w:r>
        <w:rPr>
          <w:rStyle w:val="NormalTok"/>
        </w:rPr>
        <w:t xml:space="preserve">= expression </w:t>
      </w:r>
      <w:r>
        <w:rPr>
          <w:rStyle w:val="DataTypeTok"/>
        </w:rPr>
        <w:t xml:space="preserve">%&gt;</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string</w:t>
            </w:r>
          </w:p>
        </w:tc>
        <w:tc>
          <w:tcPr/>
          <w:p>
            <w:pPr>
              <w:pStyle w:val="Compact"/>
            </w:pPr>
            <w:r>
              <w:t xml:space="preserve">String/Variant</w:t>
            </w:r>
          </w:p>
        </w:tc>
        <w:tc>
          <w:tcPr/>
          <w:p>
            <w:pPr>
              <w:pStyle w:val="Compact"/>
            </w:pPr>
            <w:r>
              <w:t xml:space="preserve">The content to output</w:t>
            </w:r>
          </w:p>
        </w:tc>
      </w:tr>
    </w:tbl>
    <w:p>
      <w:pPr>
        <w:pStyle w:val="BodyText"/>
      </w:pPr>
      <w:r>
        <w:rPr>
          <w:b/>
          <w:bCs/>
        </w:rPr>
        <w:t xml:space="preserve">Return Value:</w:t>
      </w:r>
      <w:r>
        <w:t xml:space="preserve"> </w:t>
      </w:r>
      <w:r>
        <w:t xml:space="preserve">None</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"&lt;h1&gt;Hello, World!&lt;/h1&gt;"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"Today is: "</w:t>
      </w:r>
      <w:r>
        <w:rPr>
          <w:rStyle w:val="NormalTok"/>
        </w:rPr>
        <w:t xml:space="preserve"> </w:t>
      </w:r>
      <w:r>
        <w:rPr>
          <w:rStyle w:val="KeywordTok"/>
        </w:rPr>
        <w:t xml:space="preserve">&amp;</w:t>
      </w:r>
      <w:r>
        <w:rPr>
          <w:rStyle w:val="NormalTok"/>
        </w:rPr>
        <w:t xml:space="preserve"> </w:t>
      </w:r>
      <w:r>
        <w:rPr>
          <w:rStyle w:val="FunctionTok"/>
        </w:rPr>
        <w:t xml:space="preserve">Date</w:t>
      </w:r>
      <w:r>
        <w:rPr>
          <w:rStyle w:val="OtherTok"/>
        </w:rPr>
        <w:t xml:space="preserve">()</w:t>
      </w:r>
      <w:r>
        <w:br/>
      </w:r>
      <w:r>
        <w:rPr>
          <w:rStyle w:val="DataTypeTok"/>
        </w:rPr>
        <w:t xml:space="preserve">%&gt;</w:t>
      </w:r>
      <w:r>
        <w:br/>
      </w:r>
      <w:r>
        <w:rPr>
          <w:rStyle w:val="KeywordTok"/>
        </w:rPr>
        <w:t xml:space="preserve">&lt;p&gt;</w:t>
      </w:r>
      <w:r>
        <w:rPr>
          <w:rStyle w:val="NormalTok"/>
        </w:rPr>
        <w:t xml:space="preserve">Current time: </w:t>
      </w:r>
      <w:r>
        <w:rPr>
          <w:rStyle w:val="DataTypeTok"/>
        </w:rPr>
        <w:t xml:space="preserve">&lt;%</w:t>
      </w:r>
      <w:r>
        <w:rPr>
          <w:rStyle w:val="NormalTok"/>
        </w:rPr>
        <w:t xml:space="preserve">= </w:t>
      </w:r>
      <w:r>
        <w:rPr>
          <w:rStyle w:val="FunctionTok"/>
        </w:rPr>
        <w:t xml:space="preserve">Time</w:t>
      </w:r>
      <w:r>
        <w:rPr>
          <w:rStyle w:val="OtherTok"/>
        </w:rPr>
        <w:t xml:space="preserve">()</w:t>
      </w:r>
      <w:r>
        <w:rPr>
          <w:rStyle w:val="NormalTok"/>
        </w:rPr>
        <w:t xml:space="preserve"> </w:t>
      </w:r>
      <w:r>
        <w:rPr>
          <w:rStyle w:val="DataTypeTok"/>
        </w:rPr>
        <w:t xml:space="preserve">%&gt;</w:t>
      </w:r>
      <w:r>
        <w:rPr>
          <w:rStyle w:val="KeywordTok"/>
        </w:rPr>
        <w:t xml:space="preserve">&lt;/p&gt;</w:t>
      </w:r>
    </w:p>
    <w:p>
      <w:r>
        <w:pict>
          <v:rect style="width:0;height:1.5pt" o:hralign="center" o:hrstd="t" o:hr="t"/>
        </w:pict>
      </w:r>
    </w:p>
    <w:bookmarkEnd w:id="615"/>
    <w:bookmarkStart w:id="616" w:name="response.binarywrite"/>
    <w:p>
      <w:pPr>
        <w:pStyle w:val="Heading3"/>
      </w:pPr>
      <w:r>
        <w:t xml:space="preserve">Response.BinaryWrite</w:t>
      </w:r>
    </w:p>
    <w:p>
      <w:pPr>
        <w:pStyle w:val="FirstParagraph"/>
      </w:pPr>
      <w:r>
        <w:t xml:space="preserve">Writes raw binary data to the response. Used when sending file downloads, images, or other non-text content directly from a byte array.</w:t>
      </w:r>
    </w:p>
    <w:p>
      <w:pPr>
        <w:pStyle w:val="BodyText"/>
      </w:pPr>
      <w:r>
        <w:rPr>
          <w:b/>
          <w:bCs/>
        </w:rPr>
        <w:t xml:space="preserve">Syntax:</w:t>
      </w:r>
    </w:p>
    <w:p>
      <w:pPr>
        <w:pStyle w:val="SourceCode"/>
      </w:pPr>
      <w:r>
        <w:rPr>
          <w:rStyle w:val="NormalTok"/>
        </w:rPr>
        <w:t xml:space="preserve">Response.BinaryWrite(data)</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data</w:t>
            </w:r>
          </w:p>
        </w:tc>
        <w:tc>
          <w:tcPr/>
          <w:p>
            <w:pPr>
              <w:pStyle w:val="Compact"/>
            </w:pPr>
            <w:r>
              <w:t xml:space="preserve">Variant (Byte Array)</w:t>
            </w:r>
          </w:p>
        </w:tc>
        <w:tc>
          <w:tcPr/>
          <w:p>
            <w:pPr>
              <w:pStyle w:val="Compact"/>
            </w:pPr>
            <w:r>
              <w:t xml:space="preserve">Binary content to write</w:t>
            </w:r>
          </w:p>
        </w:tc>
      </w:tr>
    </w:tbl>
    <w:p>
      <w:pPr>
        <w:pStyle w:val="BodyText"/>
      </w:pPr>
      <w:r>
        <w:rPr>
          <w:b/>
          <w:bCs/>
        </w:rPr>
        <w:t xml:space="preserve">Return Value:</w:t>
      </w:r>
      <w:r>
        <w:t xml:space="preserve"> </w:t>
      </w:r>
      <w:r>
        <w:t xml:space="preserve">None</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.ContentType = </w:t>
      </w:r>
      <w:r>
        <w:rPr>
          <w:rStyle w:val="StringTok"/>
        </w:rPr>
        <w:t xml:space="preserve">"image/png"</w:t>
      </w:r>
      <w:r>
        <w:br/>
      </w:r>
      <w:r>
        <w:rPr>
          <w:rStyle w:val="FunctionTok"/>
        </w:rPr>
        <w:t xml:space="preserve">Response</w:t>
      </w:r>
      <w:r>
        <w:rPr>
          <w:rStyle w:val="NormalTok"/>
        </w:rPr>
        <w:t xml:space="preserve">.BinaryWrite imageByteArray</w:t>
      </w:r>
      <w:r>
        <w:br/>
      </w:r>
      <w:r>
        <w:rPr>
          <w:rStyle w:val="DataTypeTok"/>
        </w:rPr>
        <w:t xml:space="preserve">%&gt;</w:t>
      </w:r>
    </w:p>
    <w:p>
      <w:r>
        <w:pict>
          <v:rect style="width:0;height:1.5pt" o:hralign="center" o:hrstd="t" o:hr="t"/>
        </w:pict>
      </w:r>
    </w:p>
    <w:bookmarkEnd w:id="616"/>
    <w:bookmarkStart w:id="617" w:name="response.redirect"/>
    <w:p>
      <w:pPr>
        <w:pStyle w:val="Heading3"/>
      </w:pPr>
      <w:r>
        <w:t xml:space="preserve">Response.Redirect</w:t>
      </w:r>
    </w:p>
    <w:p>
      <w:pPr>
        <w:pStyle w:val="FirstParagraph"/>
      </w:pPr>
      <w:r>
        <w:t xml:space="preserve">Issues an HTTP 302 redirect to the specified URL and immediately stops the current script. Any buffered output is discarded.</w:t>
      </w:r>
    </w:p>
    <w:p>
      <w:pPr>
        <w:pStyle w:val="BodyText"/>
      </w:pPr>
      <w:r>
        <w:rPr>
          <w:b/>
          <w:bCs/>
        </w:rPr>
        <w:t xml:space="preserve">Syntax:</w:t>
      </w:r>
    </w:p>
    <w:p>
      <w:pPr>
        <w:pStyle w:val="SourceCode"/>
      </w:pPr>
      <w:r>
        <w:rPr>
          <w:rStyle w:val="NormalTok"/>
        </w:rPr>
        <w:t xml:space="preserve">Response.Redirect(url)</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url</w:t>
            </w:r>
          </w:p>
        </w:tc>
        <w:tc>
          <w:tcPr/>
          <w:p>
            <w:pPr>
              <w:pStyle w:val="Compact"/>
            </w:pPr>
            <w:r>
              <w:t xml:space="preserve">String</w:t>
            </w:r>
          </w:p>
        </w:tc>
        <w:tc>
          <w:tcPr/>
          <w:p>
            <w:pPr>
              <w:pStyle w:val="Compact"/>
            </w:pPr>
            <w:r>
              <w:t xml:space="preserve">Absolute or relative URL to redirect to</w:t>
            </w:r>
          </w:p>
        </w:tc>
      </w:tr>
    </w:tbl>
    <w:p>
      <w:pPr>
        <w:pStyle w:val="BodyText"/>
      </w:pPr>
      <w:r>
        <w:rPr>
          <w:b/>
          <w:bCs/>
        </w:rPr>
        <w:t xml:space="preserve">Return Value:</w:t>
      </w:r>
      <w:r>
        <w:t xml:space="preserve"> </w:t>
      </w:r>
      <w:r>
        <w:t xml:space="preserve">None (does not return â€” execution stops)</w:t>
      </w:r>
    </w:p>
    <w:p>
      <w:pPr>
        <w:pStyle w:val="BodyText"/>
      </w:pPr>
      <w:r>
        <w:rPr>
          <w:b/>
          <w:bCs/>
        </w:rPr>
        <w:t xml:space="preserve">Example:</w:t>
      </w:r>
    </w:p>
    <w:p>
      <w:pPr>
        <w:pStyle w:val="SourceCode"/>
      </w:pPr>
      <w:r>
        <w:rPr>
          <w:rStyle w:val="DataTypeTok"/>
        </w:rPr>
        <w:t xml:space="preserve">&lt;%</w:t>
      </w:r>
      <w:r>
        <w:br/>
      </w:r>
      <w:r>
        <w:rPr>
          <w:rStyle w:val="ControlFlowTok"/>
        </w:rPr>
        <w:t xml:space="preserve">If</w:t>
      </w:r>
      <w:r>
        <w:rPr>
          <w:rStyle w:val="NormalTok"/>
        </w:rPr>
        <w:t xml:space="preserve"> </w:t>
      </w:r>
      <w:r>
        <w:rPr>
          <w:rStyle w:val="FunctionTok"/>
        </w:rPr>
        <w:t xml:space="preserve">Session</w:t>
      </w:r>
      <w:r>
        <w:rPr>
          <w:rStyle w:val="OtherTok"/>
        </w:rPr>
        <w:t xml:space="preserve">(</w:t>
      </w:r>
      <w:r>
        <w:rPr>
          <w:rStyle w:val="StringTok"/>
        </w:rPr>
        <w:t xml:space="preserve">"UserID"</w:t>
      </w:r>
      <w:r>
        <w:rPr>
          <w:rStyle w:val="OtherTok"/>
        </w:rPr>
        <w:t xml:space="preserve">)</w:t>
      </w:r>
      <w:r>
        <w:rPr>
          <w:rStyle w:val="NormalTok"/>
        </w:rPr>
        <w:t xml:space="preserve"> =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Redirect</w:t>
      </w:r>
      <w:r>
        <w:rPr>
          <w:rStyle w:val="NormalTok"/>
        </w:rPr>
        <w:t xml:space="preserve"> </w:t>
      </w:r>
      <w:r>
        <w:rPr>
          <w:rStyle w:val="StringTok"/>
        </w:rPr>
        <w:t xml:space="preserve">"/login.asp?reason=notloggedin"</w:t>
      </w:r>
      <w:r>
        <w:br/>
      </w:r>
      <w:r>
        <w:rPr>
          <w:rStyle w:val="ControlFlowTok"/>
        </w:rPr>
        <w:t xml:space="preserve">End If</w:t>
      </w:r>
      <w:r>
        <w:br/>
      </w:r>
      <w:r>
        <w:rPr>
          <w:rStyle w:val="CommentTok"/>
        </w:rPr>
        <w:t xml:space="preserve">' Execution continues only when user is logged in</w:t>
      </w:r>
      <w:r>
        <w:br/>
      </w:r>
      <w:r>
        <w:rPr>
          <w:rStyle w:val="DataTypeTok"/>
        </w:rPr>
        <w:t xml:space="preserve">%&gt;</w:t>
      </w:r>
    </w:p>
    <w:p>
      <w:r>
        <w:pict>
          <v:rect style="width:0;height:1.5pt" o:hralign="center" o:hrstd="t" o:hr="t"/>
        </w:pict>
      </w:r>
    </w:p>
    <w:bookmarkEnd w:id="617"/>
    <w:bookmarkStart w:id="618" w:name="response.end"/>
    <w:p>
      <w:pPr>
        <w:pStyle w:val="Heading3"/>
      </w:pPr>
      <w:r>
        <w:t xml:space="preserve">Response.End</w:t>
      </w:r>
    </w:p>
    <w:p>
      <w:pPr>
        <w:pStyle w:val="FirstParagraph"/>
      </w:pPr>
      <w:r>
        <w:t xml:space="preserve">Immediately stops script execution and sends the current buffer to the client. Any code after</w:t>
      </w:r>
      <w:r>
        <w:t xml:space="preserve"> </w:t>
      </w:r>
      <w:r>
        <w:rPr>
          <w:rStyle w:val="VerbatimChar"/>
        </w:rPr>
        <w:t xml:space="preserve">Response.End</w:t>
      </w:r>
      <w:r>
        <w:t xml:space="preserve"> </w:t>
      </w:r>
      <w:r>
        <w:t xml:space="preserve">does not run.</w:t>
      </w:r>
    </w:p>
    <w:p>
      <w:pPr>
        <w:pStyle w:val="BodyText"/>
      </w:pPr>
      <w:r>
        <w:rPr>
          <w:b/>
          <w:bCs/>
        </w:rPr>
        <w:t xml:space="preserve">Syntax:</w:t>
      </w:r>
    </w:p>
    <w:p>
      <w:pPr>
        <w:pStyle w:val="SourceCode"/>
      </w:pPr>
      <w:r>
        <w:rPr>
          <w:rStyle w:val="NormalTok"/>
        </w:rPr>
        <w:t xml:space="preserve">Response.End()</w:t>
      </w:r>
    </w:p>
    <w:p>
      <w:pPr>
        <w:pStyle w:val="FirstParagraph"/>
      </w:pPr>
      <w:r>
        <w:rPr>
          <w:b/>
          <w:bCs/>
        </w:rPr>
        <w:t xml:space="preserve">Return Value:</w:t>
      </w:r>
      <w:r>
        <w:t xml:space="preserve"> </w:t>
      </w:r>
      <w:r>
        <w:t xml:space="preserve">None (does not return)</w:t>
      </w:r>
    </w:p>
    <w:p>
      <w:pPr>
        <w:pStyle w:val="BodyText"/>
      </w:pPr>
      <w:r>
        <w:rPr>
          <w:b/>
          <w:bCs/>
        </w:rPr>
        <w:t xml:space="preserve">Example:</w:t>
      </w:r>
    </w:p>
    <w:p>
      <w:pPr>
        <w:pStyle w:val="SourceCode"/>
      </w:pPr>
      <w:r>
        <w:rPr>
          <w:rStyle w:val="DataTypeTok"/>
        </w:rPr>
        <w:t xml:space="preserve">&lt;%</w:t>
      </w:r>
      <w:r>
        <w:br/>
      </w:r>
      <w:r>
        <w:rPr>
          <w:rStyle w:val="ControlFlowTok"/>
        </w:rPr>
        <w:t xml:space="preserve">If</w:t>
      </w:r>
      <w:r>
        <w:rPr>
          <w:rStyle w:val="NormalTok"/>
        </w:rPr>
        <w:t xml:space="preserve"> </w:t>
      </w:r>
      <w:r>
        <w:rPr>
          <w:rStyle w:val="FunctionTok"/>
        </w:rPr>
        <w:t xml:space="preserve">Request</w:t>
      </w:r>
      <w:r>
        <w:rPr>
          <w:rStyle w:val="NormalTok"/>
        </w:rPr>
        <w:t xml:space="preserve">.</w:t>
      </w:r>
      <w:r>
        <w:rPr>
          <w:rStyle w:val="FunctionTok"/>
        </w:rPr>
        <w:t xml:space="preserve">QueryString</w:t>
      </w:r>
      <w:r>
        <w:rPr>
          <w:rStyle w:val="OtherTok"/>
        </w:rPr>
        <w:t xml:space="preserve">(</w:t>
      </w:r>
      <w:r>
        <w:rPr>
          <w:rStyle w:val="StringTok"/>
        </w:rPr>
        <w:t xml:space="preserve">"debug"</w:t>
      </w:r>
      <w:r>
        <w:rPr>
          <w:rStyle w:val="OtherTok"/>
        </w:rPr>
        <w:t xml:space="preserve">)</w:t>
      </w:r>
      <w:r>
        <w:rPr>
          <w:rStyle w:val="NormalTok"/>
        </w:rPr>
        <w:t xml:space="preserve"> = </w:t>
      </w:r>
      <w:r>
        <w:rPr>
          <w:rStyle w:val="StringTok"/>
        </w:rPr>
        <w:t xml:space="preserve">"1"</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"Debug mode active"</w:t>
      </w:r>
      <w:r>
        <w:br/>
      </w:r>
      <w:r>
        <w:rPr>
          <w:rStyle w:val="NormalTok"/>
        </w:rPr>
        <w:t xml:space="preserve">    </w:t>
      </w:r>
      <w:r>
        <w:rPr>
          <w:rStyle w:val="FunctionTok"/>
        </w:rPr>
        <w:t xml:space="preserve">Response</w:t>
      </w:r>
      <w:r>
        <w:rPr>
          <w:rStyle w:val="NormalTok"/>
        </w:rPr>
        <w:t xml:space="preserve">.</w:t>
      </w:r>
      <w:r>
        <w:rPr>
          <w:rStyle w:val="FunctionTok"/>
        </w:rPr>
        <w:t xml:space="preserve">End</w:t>
      </w:r>
      <w:r>
        <w:br/>
      </w:r>
      <w:r>
        <w:rPr>
          <w:rStyle w:val="ControlFlowTok"/>
        </w:rPr>
        <w:t xml:space="preserve">End If</w:t>
      </w:r>
      <w:r>
        <w:br/>
      </w:r>
      <w:r>
        <w:rPr>
          <w:rStyle w:val="CommentTok"/>
        </w:rPr>
        <w:t xml:space="preserve">' Normal page code continues here</w:t>
      </w:r>
      <w:r>
        <w:br/>
      </w:r>
      <w:r>
        <w:rPr>
          <w:rStyle w:val="DataTypeTok"/>
        </w:rPr>
        <w:t xml:space="preserve">%&gt;</w:t>
      </w:r>
    </w:p>
    <w:p>
      <w:r>
        <w:pict>
          <v:rect style="width:0;height:1.5pt" o:hralign="center" o:hrstd="t" o:hr="t"/>
        </w:pict>
      </w:r>
    </w:p>
    <w:bookmarkEnd w:id="618"/>
    <w:bookmarkStart w:id="619" w:name="response.flush"/>
    <w:p>
      <w:pPr>
        <w:pStyle w:val="Heading3"/>
      </w:pPr>
      <w:r>
        <w:t xml:space="preserve">Response.Flush</w:t>
      </w:r>
    </w:p>
    <w:p>
      <w:pPr>
        <w:pStyle w:val="FirstParagraph"/>
      </w:pPr>
      <w:r>
        <w:t xml:space="preserve">Forces any currently buffered output to be sent to the client immediately. Useful for long-running operations where you want to show progress.</w:t>
      </w:r>
    </w:p>
    <w:p>
      <w:pPr>
        <w:pStyle w:val="BodyText"/>
      </w:pPr>
      <w:r>
        <w:rPr>
          <w:b/>
          <w:bCs/>
        </w:rPr>
        <w:t xml:space="preserve">Syntax:</w:t>
      </w:r>
    </w:p>
    <w:p>
      <w:pPr>
        <w:pStyle w:val="SourceCode"/>
      </w:pPr>
      <w:r>
        <w:rPr>
          <w:rStyle w:val="NormalTok"/>
        </w:rPr>
        <w:t xml:space="preserve">Response.Flush()</w:t>
      </w:r>
    </w:p>
    <w:p>
      <w:pPr>
        <w:pStyle w:val="FirstParagraph"/>
      </w:pPr>
      <w:r>
        <w:rPr>
          <w:b/>
          <w:bCs/>
        </w:rPr>
        <w:t xml:space="preserve">Return Value:</w:t>
      </w:r>
      <w:r>
        <w:t xml:space="preserve"> </w:t>
      </w:r>
      <w:r>
        <w:t xml:space="preserve">None</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"Starting process...&lt;br&gt;"</w:t>
      </w:r>
      <w:r>
        <w:br/>
      </w:r>
      <w:r>
        <w:rPr>
          <w:rStyle w:val="FunctionTok"/>
        </w:rPr>
        <w:t xml:space="preserve">Response</w:t>
      </w:r>
      <w:r>
        <w:rPr>
          <w:rStyle w:val="NormalTok"/>
        </w:rPr>
        <w:t xml:space="preserve">.Flush</w:t>
      </w:r>
      <w:r>
        <w:br/>
      </w:r>
      <w:r>
        <w:br/>
      </w:r>
      <w:r>
        <w:rPr>
          <w:rStyle w:val="CommentTok"/>
        </w:rPr>
        <w:t xml:space="preserve">' Simulate work</w:t>
      </w:r>
      <w:r>
        <w:br/>
      </w:r>
      <w:r>
        <w:rPr>
          <w:rStyle w:val="KeywordTok"/>
        </w:rPr>
        <w:t xml:space="preserve">Dim</w:t>
      </w:r>
      <w:r>
        <w:rPr>
          <w:rStyle w:val="NormalTok"/>
        </w:rPr>
        <w:t xml:space="preserve"> i</w:t>
      </w:r>
      <w:r>
        <w:br/>
      </w:r>
      <w:r>
        <w:rPr>
          <w:rStyle w:val="ControlFlowTok"/>
        </w:rPr>
        <w:t xml:space="preserve">For</w:t>
      </w:r>
      <w:r>
        <w:rPr>
          <w:rStyle w:val="NormalTok"/>
        </w:rPr>
        <w:t xml:space="preserve"> i = </w:t>
      </w:r>
      <w:r>
        <w:rPr>
          <w:rStyle w:val="DecValTok"/>
        </w:rPr>
        <w:t xml:space="preserve">1</w:t>
      </w:r>
      <w:r>
        <w:rPr>
          <w:rStyle w:val="NormalTok"/>
        </w:rPr>
        <w:t xml:space="preserve"> </w:t>
      </w:r>
      <w:r>
        <w:rPr>
          <w:rStyle w:val="ControlFlowTok"/>
        </w:rPr>
        <w:t xml:space="preserve">To</w:t>
      </w:r>
      <w:r>
        <w:rPr>
          <w:rStyle w:val="NormalTok"/>
        </w:rPr>
        <w:t xml:space="preserve"> </w:t>
      </w:r>
      <w:r>
        <w:rPr>
          <w:rStyle w:val="DecValTok"/>
        </w:rPr>
        <w:t xml:space="preserve">5</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"Step "</w:t>
      </w:r>
      <w:r>
        <w:rPr>
          <w:rStyle w:val="NormalTok"/>
        </w:rPr>
        <w:t xml:space="preserve"> </w:t>
      </w:r>
      <w:r>
        <w:rPr>
          <w:rStyle w:val="KeywordTok"/>
        </w:rPr>
        <w:t xml:space="preserve">&amp;</w:t>
      </w:r>
      <w:r>
        <w:rPr>
          <w:rStyle w:val="NormalTok"/>
        </w:rPr>
        <w:t xml:space="preserve"> i </w:t>
      </w:r>
      <w:r>
        <w:rPr>
          <w:rStyle w:val="KeywordTok"/>
        </w:rPr>
        <w:t xml:space="preserve">&amp;</w:t>
      </w:r>
      <w:r>
        <w:rPr>
          <w:rStyle w:val="NormalTok"/>
        </w:rPr>
        <w:t xml:space="preserve"> </w:t>
      </w:r>
      <w:r>
        <w:rPr>
          <w:rStyle w:val="StringTok"/>
        </w:rPr>
        <w:t xml:space="preserve">" complete&lt;br&gt;"</w:t>
      </w:r>
      <w:r>
        <w:br/>
      </w:r>
      <w:r>
        <w:rPr>
          <w:rStyle w:val="NormalTok"/>
        </w:rPr>
        <w:t xml:space="preserve">    </w:t>
      </w:r>
      <w:r>
        <w:rPr>
          <w:rStyle w:val="FunctionTok"/>
        </w:rPr>
        <w:t xml:space="preserve">Response</w:t>
      </w:r>
      <w:r>
        <w:rPr>
          <w:rStyle w:val="NormalTok"/>
        </w:rPr>
        <w:t xml:space="preserve">.Flush</w:t>
      </w:r>
      <w:r>
        <w:br/>
      </w:r>
      <w:r>
        <w:rPr>
          <w:rStyle w:val="ControlFlowTok"/>
        </w:rPr>
        <w:t xml:space="preserve">Next</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"Done."</w:t>
      </w:r>
      <w:r>
        <w:br/>
      </w:r>
      <w:r>
        <w:rPr>
          <w:rStyle w:val="DataTypeTok"/>
        </w:rPr>
        <w:t xml:space="preserve">%&gt;</w:t>
      </w:r>
    </w:p>
    <w:p>
      <w:r>
        <w:pict>
          <v:rect style="width:0;height:1.5pt" o:hralign="center" o:hrstd="t" o:hr="t"/>
        </w:pict>
      </w:r>
    </w:p>
    <w:bookmarkEnd w:id="619"/>
    <w:bookmarkStart w:id="620" w:name="response.clear"/>
    <w:p>
      <w:pPr>
        <w:pStyle w:val="Heading3"/>
      </w:pPr>
      <w:r>
        <w:t xml:space="preserve">Response.Clear</w:t>
      </w:r>
    </w:p>
    <w:p>
      <w:pPr>
        <w:pStyle w:val="FirstParagraph"/>
      </w:pPr>
      <w:r>
        <w:t xml:space="preserve">Discards all content currently in the output buffer. Only works when buffering is enabled. Has no effect after</w:t>
      </w:r>
      <w:r>
        <w:t xml:space="preserve"> </w:t>
      </w:r>
      <w:r>
        <w:rPr>
          <w:rStyle w:val="VerbatimChar"/>
        </w:rPr>
        <w:t xml:space="preserve">Response.Flush</w:t>
      </w:r>
      <w:r>
        <w:t xml:space="preserve"> </w:t>
      </w:r>
      <w:r>
        <w:t xml:space="preserve">has been called.</w:t>
      </w:r>
    </w:p>
    <w:p>
      <w:pPr>
        <w:pStyle w:val="BodyText"/>
      </w:pPr>
      <w:r>
        <w:rPr>
          <w:b/>
          <w:bCs/>
        </w:rPr>
        <w:t xml:space="preserve">Syntax:</w:t>
      </w:r>
    </w:p>
    <w:p>
      <w:pPr>
        <w:pStyle w:val="SourceCode"/>
      </w:pPr>
      <w:r>
        <w:rPr>
          <w:rStyle w:val="NormalTok"/>
        </w:rPr>
        <w:t xml:space="preserve">Response.Clear()</w:t>
      </w:r>
    </w:p>
    <w:p>
      <w:pPr>
        <w:pStyle w:val="FirstParagraph"/>
      </w:pPr>
      <w:r>
        <w:rPr>
          <w:b/>
          <w:bCs/>
        </w:rPr>
        <w:t xml:space="preserve">Return Value:</w:t>
      </w:r>
      <w:r>
        <w:t xml:space="preserve"> </w:t>
      </w:r>
      <w:r>
        <w:t xml:space="preserve">None</w:t>
      </w:r>
    </w:p>
    <w:p>
      <w:pPr>
        <w:pStyle w:val="BodyText"/>
      </w:pPr>
      <w:r>
        <w:rPr>
          <w:b/>
          <w:bCs/>
        </w:rPr>
        <w:t xml:space="preserve">Example:</w:t>
      </w:r>
    </w:p>
    <w:p>
      <w:pPr>
        <w:pStyle w:val="SourceCode"/>
      </w:pPr>
      <w:r>
        <w:rPr>
          <w:rStyle w:val="DataTypeTok"/>
        </w:rPr>
        <w:t xml:space="preserve">&lt;%</w:t>
      </w:r>
      <w:r>
        <w:br/>
      </w:r>
      <w:r>
        <w:rPr>
          <w:rStyle w:val="NormalTok"/>
        </w:rPr>
        <w:t xml:space="preserve">On Error Resume </w:t>
      </w:r>
      <w:r>
        <w:rPr>
          <w:rStyle w:val="ControlFlowTok"/>
        </w:rPr>
        <w:t xml:space="preserve">Next</w:t>
      </w:r>
      <w:r>
        <w:br/>
      </w:r>
      <w:r>
        <w:rPr>
          <w:rStyle w:val="CommentTok"/>
        </w:rPr>
        <w:t xml:space="preserve">' Attempt to build output</w:t>
      </w:r>
      <w:r>
        <w:br/>
      </w:r>
      <w:r>
        <w:rPr>
          <w:rStyle w:val="FunctionTok"/>
        </w:rPr>
        <w:t xml:space="preserve">Response</w:t>
      </w:r>
      <w:r>
        <w:rPr>
          <w:rStyle w:val="NormalTok"/>
        </w:rPr>
        <w:t xml:space="preserve">.</w:t>
      </w:r>
      <w:r>
        <w:rPr>
          <w:rStyle w:val="FunctionTok"/>
        </w:rPr>
        <w:t xml:space="preserve">Write</w:t>
      </w:r>
      <w:r>
        <w:rPr>
          <w:rStyle w:val="NormalTok"/>
        </w:rPr>
        <w:t xml:space="preserve"> BuildPage</w:t>
      </w:r>
      <w:r>
        <w:rPr>
          <w:rStyle w:val="OtherTok"/>
        </w:rPr>
        <w:t xml:space="preserve">()</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Clear</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"&lt;p&gt;An error occurred. Please try again.&lt;/p&gt;"</w:t>
      </w:r>
      <w:r>
        <w:br/>
      </w:r>
      <w:r>
        <w:rPr>
          <w:rStyle w:val="ControlFlowTok"/>
        </w:rPr>
        <w:t xml:space="preserve">End If</w:t>
      </w:r>
      <w:r>
        <w:br/>
      </w:r>
      <w:r>
        <w:rPr>
          <w:rStyle w:val="DataTypeTok"/>
        </w:rPr>
        <w:t xml:space="preserve">%&gt;</w:t>
      </w:r>
    </w:p>
    <w:p>
      <w:r>
        <w:pict>
          <v:rect style="width:0;height:1.5pt" o:hralign="center" o:hrstd="t" o:hr="t"/>
        </w:pict>
      </w:r>
    </w:p>
    <w:bookmarkEnd w:id="620"/>
    <w:bookmarkStart w:id="621" w:name="response.addheader"/>
    <w:p>
      <w:pPr>
        <w:pStyle w:val="Heading3"/>
      </w:pPr>
      <w:r>
        <w:t xml:space="preserve">Response.AddHeader</w:t>
      </w:r>
    </w:p>
    <w:p>
      <w:pPr>
        <w:pStyle w:val="FirstParagraph"/>
      </w:pPr>
      <w:r>
        <w:t xml:space="preserve">Adds or replaces an HTTP response header. Headers must be set before any output is flushed to the client.</w:t>
      </w:r>
    </w:p>
    <w:p>
      <w:pPr>
        <w:pStyle w:val="BodyText"/>
      </w:pPr>
      <w:r>
        <w:rPr>
          <w:b/>
          <w:bCs/>
        </w:rPr>
        <w:t xml:space="preserve">Syntax:</w:t>
      </w:r>
    </w:p>
    <w:p>
      <w:pPr>
        <w:pStyle w:val="SourceCode"/>
      </w:pPr>
      <w:r>
        <w:rPr>
          <w:rStyle w:val="NormalTok"/>
        </w:rPr>
        <w:t xml:space="preserve">Response.AddHeader(name, value)</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name</w:t>
            </w:r>
          </w:p>
        </w:tc>
        <w:tc>
          <w:tcPr/>
          <w:p>
            <w:pPr>
              <w:pStyle w:val="Compact"/>
            </w:pPr>
            <w:r>
              <w:t xml:space="preserve">String</w:t>
            </w:r>
          </w:p>
        </w:tc>
        <w:tc>
          <w:tcPr/>
          <w:p>
            <w:pPr>
              <w:pStyle w:val="Compact"/>
            </w:pPr>
            <w:r>
              <w:t xml:space="preserve">HTTP header name</w:t>
            </w:r>
          </w:p>
        </w:tc>
      </w:tr>
      <w:tr>
        <w:tc>
          <w:tcPr/>
          <w:p>
            <w:pPr>
              <w:pStyle w:val="Compact"/>
            </w:pPr>
            <w:r>
              <w:t xml:space="preserve">value</w:t>
            </w:r>
          </w:p>
        </w:tc>
        <w:tc>
          <w:tcPr/>
          <w:p>
            <w:pPr>
              <w:pStyle w:val="Compact"/>
            </w:pPr>
            <w:r>
              <w:t xml:space="preserve">String</w:t>
            </w:r>
          </w:p>
        </w:tc>
        <w:tc>
          <w:tcPr/>
          <w:p>
            <w:pPr>
              <w:pStyle w:val="Compact"/>
            </w:pPr>
            <w:r>
              <w:t xml:space="preserve">Header value</w:t>
            </w:r>
          </w:p>
        </w:tc>
      </w:tr>
    </w:tbl>
    <w:p>
      <w:pPr>
        <w:pStyle w:val="BodyText"/>
      </w:pPr>
      <w:r>
        <w:rPr>
          <w:b/>
          <w:bCs/>
        </w:rPr>
        <w:t xml:space="preserve">Return Value:</w:t>
      </w:r>
      <w:r>
        <w:t xml:space="preserve"> </w:t>
      </w:r>
      <w:r>
        <w:t xml:space="preserve">None</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.AddHeader </w:t>
      </w:r>
      <w:r>
        <w:rPr>
          <w:rStyle w:val="StringTok"/>
        </w:rPr>
        <w:t xml:space="preserve">"X-Content-Type-Options"</w:t>
      </w:r>
      <w:r>
        <w:rPr>
          <w:rStyle w:val="OtherTok"/>
        </w:rPr>
        <w:t xml:space="preserve">,</w:t>
      </w:r>
      <w:r>
        <w:rPr>
          <w:rStyle w:val="NormalTok"/>
        </w:rPr>
        <w:t xml:space="preserve"> </w:t>
      </w:r>
      <w:r>
        <w:rPr>
          <w:rStyle w:val="StringTok"/>
        </w:rPr>
        <w:t xml:space="preserve">"nosniff"</w:t>
      </w:r>
      <w:r>
        <w:br/>
      </w:r>
      <w:r>
        <w:rPr>
          <w:rStyle w:val="FunctionTok"/>
        </w:rPr>
        <w:t xml:space="preserve">Response</w:t>
      </w:r>
      <w:r>
        <w:rPr>
          <w:rStyle w:val="NormalTok"/>
        </w:rPr>
        <w:t xml:space="preserve">.AddHeader </w:t>
      </w:r>
      <w:r>
        <w:rPr>
          <w:rStyle w:val="StringTok"/>
        </w:rPr>
        <w:t xml:space="preserve">"X-Frame-Options"</w:t>
      </w:r>
      <w:r>
        <w:rPr>
          <w:rStyle w:val="OtherTok"/>
        </w:rPr>
        <w:t xml:space="preserve">,</w:t>
      </w:r>
      <w:r>
        <w:rPr>
          <w:rStyle w:val="NormalTok"/>
        </w:rPr>
        <w:t xml:space="preserve"> </w:t>
      </w:r>
      <w:r>
        <w:rPr>
          <w:rStyle w:val="StringTok"/>
        </w:rPr>
        <w:t xml:space="preserve">"DENY"</w:t>
      </w:r>
      <w:r>
        <w:br/>
      </w:r>
      <w:r>
        <w:rPr>
          <w:rStyle w:val="FunctionTok"/>
        </w:rPr>
        <w:t xml:space="preserve">Response</w:t>
      </w:r>
      <w:r>
        <w:rPr>
          <w:rStyle w:val="NormalTok"/>
        </w:rPr>
        <w:t xml:space="preserve">.AddHeader </w:t>
      </w:r>
      <w:r>
        <w:rPr>
          <w:rStyle w:val="StringTok"/>
        </w:rPr>
        <w:t xml:space="preserve">"Content-Disposition"</w:t>
      </w:r>
      <w:r>
        <w:rPr>
          <w:rStyle w:val="OtherTok"/>
        </w:rPr>
        <w:t xml:space="preserve">,</w:t>
      </w:r>
      <w:r>
        <w:rPr>
          <w:rStyle w:val="NormalTok"/>
        </w:rPr>
        <w:t xml:space="preserve"> </w:t>
      </w:r>
      <w:r>
        <w:rPr>
          <w:rStyle w:val="StringTok"/>
        </w:rPr>
        <w:t xml:space="preserve">"attachment; filename=</w:t>
      </w:r>
      <w:r>
        <w:rPr>
          <w:rStyle w:val="SpecialCharTok"/>
        </w:rPr>
        <w:t xml:space="preserve">""</w:t>
      </w:r>
      <w:r>
        <w:rPr>
          <w:rStyle w:val="StringTok"/>
        </w:rPr>
        <w:t xml:space="preserve">report.csv</w:t>
      </w:r>
      <w:r>
        <w:rPr>
          <w:rStyle w:val="SpecialCharTok"/>
        </w:rPr>
        <w:t xml:space="preserve">""</w:t>
      </w:r>
      <w:r>
        <w:rPr>
          <w:rStyle w:val="StringTok"/>
        </w:rPr>
        <w:t xml:space="preserve">"</w:t>
      </w:r>
      <w:r>
        <w:br/>
      </w:r>
      <w:r>
        <w:rPr>
          <w:rStyle w:val="DataTypeTok"/>
        </w:rPr>
        <w:t xml:space="preserve">%&gt;</w:t>
      </w:r>
    </w:p>
    <w:p>
      <w:r>
        <w:pict>
          <v:rect style="width:0;height:1.5pt" o:hralign="center" o:hrstd="t" o:hr="t"/>
        </w:pict>
      </w:r>
    </w:p>
    <w:bookmarkEnd w:id="621"/>
    <w:bookmarkStart w:id="622" w:name="response.appendtolog"/>
    <w:p>
      <w:pPr>
        <w:pStyle w:val="Heading3"/>
      </w:pPr>
      <w:r>
        <w:t xml:space="preserve">Response.AppendToLog</w:t>
      </w:r>
    </w:p>
    <w:p>
      <w:pPr>
        <w:pStyle w:val="FirstParagraph"/>
      </w:pPr>
      <w:r>
        <w:t xml:space="preserve">Appends a custom message to the AxonASP server log file (</w:t>
      </w:r>
      <w:r>
        <w:rPr>
          <w:rStyle w:val="VerbatimChar"/>
        </w:rPr>
        <w:t xml:space="preserve">temp/server.log</w:t>
      </w:r>
      <w:r>
        <w:t xml:space="preserve">). Useful for application-level audit trails without file system access.</w:t>
      </w:r>
    </w:p>
    <w:p>
      <w:pPr>
        <w:pStyle w:val="BodyText"/>
      </w:pPr>
      <w:r>
        <w:rPr>
          <w:b/>
          <w:bCs/>
        </w:rPr>
        <w:t xml:space="preserve">Syntax:</w:t>
      </w:r>
    </w:p>
    <w:p>
      <w:pPr>
        <w:pStyle w:val="SourceCode"/>
      </w:pPr>
      <w:r>
        <w:rPr>
          <w:rStyle w:val="NormalTok"/>
        </w:rPr>
        <w:t xml:space="preserve">Response.AppendToLog(message)</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message</w:t>
            </w:r>
          </w:p>
        </w:tc>
        <w:tc>
          <w:tcPr/>
          <w:p>
            <w:pPr>
              <w:pStyle w:val="Compact"/>
            </w:pPr>
            <w:r>
              <w:t xml:space="preserve">String</w:t>
            </w:r>
          </w:p>
        </w:tc>
        <w:tc>
          <w:tcPr/>
          <w:p>
            <w:pPr>
              <w:pStyle w:val="Compact"/>
            </w:pPr>
            <w:r>
              <w:t xml:space="preserve">Message to write to the log</w:t>
            </w:r>
          </w:p>
        </w:tc>
      </w:tr>
    </w:tbl>
    <w:p>
      <w:pPr>
        <w:pStyle w:val="BodyText"/>
      </w:pPr>
      <w:r>
        <w:rPr>
          <w:b/>
          <w:bCs/>
        </w:rPr>
        <w:t xml:space="preserve">Return Value:</w:t>
      </w:r>
      <w:r>
        <w:t xml:space="preserve"> </w:t>
      </w:r>
      <w:r>
        <w:t xml:space="preserve">None</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.AppendToLog </w:t>
      </w:r>
      <w:r>
        <w:rPr>
          <w:rStyle w:val="StringTok"/>
        </w:rPr>
        <w:t xml:space="preserve">"User "</w:t>
      </w:r>
      <w:r>
        <w:rPr>
          <w:rStyle w:val="NormalTok"/>
        </w:rPr>
        <w:t xml:space="preserve"> </w:t>
      </w:r>
      <w:r>
        <w:rPr>
          <w:rStyle w:val="KeywordTok"/>
        </w:rPr>
        <w:t xml:space="preserve">&amp;</w:t>
      </w:r>
      <w:r>
        <w:rPr>
          <w:rStyle w:val="NormalTok"/>
        </w:rPr>
        <w:t xml:space="preserve"> </w:t>
      </w:r>
      <w:r>
        <w:rPr>
          <w:rStyle w:val="FunctionTok"/>
        </w:rPr>
        <w:t xml:space="preserve">Session</w:t>
      </w:r>
      <w:r>
        <w:rPr>
          <w:rStyle w:val="OtherTok"/>
        </w:rPr>
        <w:t xml:space="preserve">(</w:t>
      </w:r>
      <w:r>
        <w:rPr>
          <w:rStyle w:val="StringTok"/>
        </w:rPr>
        <w:t xml:space="preserve">"UserID"</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accessed report at "</w:t>
      </w:r>
      <w:r>
        <w:rPr>
          <w:rStyle w:val="NormalTok"/>
        </w:rPr>
        <w:t xml:space="preserve"> </w:t>
      </w:r>
      <w:r>
        <w:rPr>
          <w:rStyle w:val="KeywordTok"/>
        </w:rPr>
        <w:t xml:space="preserve">&amp;</w:t>
      </w:r>
      <w:r>
        <w:rPr>
          <w:rStyle w:val="NormalTok"/>
        </w:rPr>
        <w:t xml:space="preserve"> </w:t>
      </w:r>
      <w:r>
        <w:rPr>
          <w:rStyle w:val="FunctionTok"/>
        </w:rPr>
        <w:t xml:space="preserve">Now</w:t>
      </w:r>
      <w:r>
        <w:rPr>
          <w:rStyle w:val="OtherTok"/>
        </w:rPr>
        <w:t xml:space="preserve">()</w:t>
      </w:r>
      <w:r>
        <w:br/>
      </w:r>
      <w:r>
        <w:rPr>
          <w:rStyle w:val="DataTypeTok"/>
        </w:rPr>
        <w:t xml:space="preserve">%&gt;</w:t>
      </w:r>
    </w:p>
    <w:p>
      <w:r>
        <w:pict>
          <v:rect style="width:0;height:1.5pt" o:hralign="center" o:hrstd="t" o:hr="t"/>
        </w:pict>
      </w:r>
    </w:p>
    <w:bookmarkEnd w:id="622"/>
    <w:bookmarkEnd w:id="623"/>
    <w:bookmarkStart w:id="635" w:name="properties-2"/>
    <w:p>
      <w:pPr>
        <w:pStyle w:val="Heading2"/>
      </w:pPr>
      <w:r>
        <w:t xml:space="preserve">Properties</w:t>
      </w:r>
    </w:p>
    <w:bookmarkStart w:id="624" w:name="response.buffer"/>
    <w:p>
      <w:pPr>
        <w:pStyle w:val="Heading3"/>
      </w:pPr>
      <w:r>
        <w:t xml:space="preserve">Response.Buffer</w:t>
      </w:r>
    </w:p>
    <w:p>
      <w:pPr>
        <w:pStyle w:val="FirstParagraph"/>
      </w:pPr>
      <w:r>
        <w:t xml:space="preserve">Controls whether output is buffered before being sent to the client. When</w:t>
      </w:r>
      <w:r>
        <w:t xml:space="preserve"> </w:t>
      </w:r>
      <w:r>
        <w:rPr>
          <w:rStyle w:val="VerbatimChar"/>
        </w:rPr>
        <w:t xml:space="preserve">True</w:t>
      </w:r>
      <w:r>
        <w:t xml:space="preserve"> </w:t>
      </w:r>
      <w:r>
        <w:t xml:space="preserve">(the default), all output is held in memory until the script ends or</w:t>
      </w:r>
      <w:r>
        <w:t xml:space="preserve"> </w:t>
      </w:r>
      <w:r>
        <w:rPr>
          <w:rStyle w:val="VerbatimChar"/>
        </w:rPr>
        <w:t xml:space="preserve">Flush</w:t>
      </w:r>
      <w:r>
        <w:t xml:space="preserve"> </w:t>
      </w:r>
      <w:r>
        <w:t xml:space="preserve">is called. When</w:t>
      </w:r>
      <w:r>
        <w:t xml:space="preserve"> </w:t>
      </w:r>
      <w:r>
        <w:rPr>
          <w:rStyle w:val="VerbatimChar"/>
        </w:rPr>
        <w:t xml:space="preserve">False</w:t>
      </w:r>
      <w:r>
        <w:t xml:space="preserve">, each</w:t>
      </w:r>
      <w:r>
        <w:t xml:space="preserve"> </w:t>
      </w:r>
      <w:r>
        <w:rPr>
          <w:rStyle w:val="VerbatimChar"/>
        </w:rPr>
        <w:t xml:space="preserve">Response.Write</w:t>
      </w:r>
      <w:r>
        <w:t xml:space="preserve"> </w:t>
      </w:r>
      <w:r>
        <w:t xml:space="preserve">is sent immediately.</w:t>
      </w:r>
    </w:p>
    <w:p>
      <w:pPr>
        <w:pStyle w:val="BodyText"/>
      </w:pPr>
      <w:r>
        <w:rPr>
          <w:b/>
          <w:bCs/>
        </w:rPr>
        <w:t xml:space="preserve">Type:</w:t>
      </w:r>
      <w:r>
        <w:t xml:space="preserve"> </w:t>
      </w:r>
      <w:r>
        <w:t xml:space="preserve">Boolean (read/write)</w:t>
      </w:r>
      <w:r>
        <w:br/>
      </w:r>
      <w:r>
        <w:rPr>
          <w:b/>
          <w:bCs/>
        </w:rPr>
        <w:t xml:space="preserve">Default:</w:t>
      </w:r>
      <w:r>
        <w:t xml:space="preserve"> </w:t>
      </w:r>
      <w:r>
        <w:rPr>
          <w:rStyle w:val="VerbatimChar"/>
        </w:rPr>
        <w:t xml:space="preserve">True</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.Buffer = </w:t>
      </w:r>
      <w:r>
        <w:rPr>
          <w:rStyle w:val="KeywordTok"/>
        </w:rPr>
        <w:t xml:space="preserve">False</w:t>
      </w:r>
      <w:r>
        <w:rPr>
          <w:rStyle w:val="NormalTok"/>
        </w:rPr>
        <w:t xml:space="preserve">   </w:t>
      </w:r>
      <w:r>
        <w:rPr>
          <w:rStyle w:val="CommentTok"/>
        </w:rPr>
        <w:t xml:space="preserve">' Disable buffering â€” immediate output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"This line goes to the browser right away."</w:t>
      </w:r>
      <w:r>
        <w:br/>
      </w:r>
      <w:r>
        <w:rPr>
          <w:rStyle w:val="DataTypeTok"/>
        </w:rPr>
        <w:t xml:space="preserve">%&gt;</w:t>
      </w:r>
    </w:p>
    <w:p>
      <w:r>
        <w:pict>
          <v:rect style="width:0;height:1.5pt" o:hralign="center" o:hrstd="t" o:hr="t"/>
        </w:pict>
      </w:r>
    </w:p>
    <w:bookmarkEnd w:id="624"/>
    <w:bookmarkStart w:id="625" w:name="response.contenttype"/>
    <w:p>
      <w:pPr>
        <w:pStyle w:val="Heading3"/>
      </w:pPr>
      <w:r>
        <w:t xml:space="preserve">Response.ContentType</w:t>
      </w:r>
    </w:p>
    <w:p>
      <w:pPr>
        <w:pStyle w:val="FirstParagraph"/>
      </w:pPr>
      <w:r>
        <w:t xml:space="preserve">Sets the MIME type of the response. The default is</w:t>
      </w:r>
      <w:r>
        <w:t xml:space="preserve"> </w:t>
      </w:r>
      <w:r>
        <w:rPr>
          <w:rStyle w:val="VerbatimChar"/>
        </w:rPr>
        <w:t xml:space="preserve">text/html</w:t>
      </w:r>
      <w:r>
        <w:t xml:space="preserve">. Change this when serving JSON, XML, CSV, images, or other content types.</w:t>
      </w:r>
    </w:p>
    <w:p>
      <w:pPr>
        <w:pStyle w:val="BodyText"/>
      </w:pPr>
      <w:r>
        <w:rPr>
          <w:b/>
          <w:bCs/>
        </w:rPr>
        <w:t xml:space="preserve">Type:</w:t>
      </w:r>
      <w:r>
        <w:t xml:space="preserve"> </w:t>
      </w:r>
      <w:r>
        <w:t xml:space="preserve">String (read/write)</w:t>
      </w:r>
      <w:r>
        <w:br/>
      </w:r>
      <w:r>
        <w:rPr>
          <w:b/>
          <w:bCs/>
        </w:rPr>
        <w:t xml:space="preserve">Default:</w:t>
      </w:r>
      <w:r>
        <w:t xml:space="preserve"> </w:t>
      </w:r>
      <w:r>
        <w:rPr>
          <w:rStyle w:val="VerbatimChar"/>
        </w:rPr>
        <w:t xml:space="preserve">"text/html"</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.ContentType = </w:t>
      </w:r>
      <w:r>
        <w:rPr>
          <w:rStyle w:val="StringTok"/>
        </w:rPr>
        <w:t xml:space="preserve">"application/json"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t>
      </w:r>
      <w:r>
        <w:rPr>
          <w:rStyle w:val="SpecialCharTok"/>
        </w:rPr>
        <w:t xml:space="preserve">""</w:t>
      </w:r>
      <w:r>
        <w:rPr>
          <w:rStyle w:val="StringTok"/>
        </w:rPr>
        <w:t xml:space="preserve">status</w:t>
      </w:r>
      <w:r>
        <w:rPr>
          <w:rStyle w:val="SpecialCharTok"/>
        </w:rPr>
        <w:t xml:space="preserve">""</w:t>
      </w:r>
      <w:r>
        <w:rPr>
          <w:rStyle w:val="StringTok"/>
        </w:rPr>
        <w:t xml:space="preserve">: </w:t>
      </w:r>
      <w:r>
        <w:rPr>
          <w:rStyle w:val="SpecialCharTok"/>
        </w:rPr>
        <w:t xml:space="preserve">""</w:t>
      </w:r>
      <w:r>
        <w:rPr>
          <w:rStyle w:val="StringTok"/>
        </w:rPr>
        <w:t xml:space="preserve">ok</w:t>
      </w:r>
      <w:r>
        <w:rPr>
          <w:rStyle w:val="SpecialCharTok"/>
        </w:rPr>
        <w:t xml:space="preserve">""</w:t>
      </w:r>
      <w:r>
        <w:rPr>
          <w:rStyle w:val="StringTok"/>
        </w:rPr>
        <w:t xml:space="preserve">}"</w:t>
      </w:r>
      <w:r>
        <w:br/>
      </w:r>
      <w:r>
        <w:rPr>
          <w:rStyle w:val="DataTypeTok"/>
        </w:rPr>
        <w:t xml:space="preserve">%&gt;</w:t>
      </w:r>
    </w:p>
    <w:p>
      <w:r>
        <w:pict>
          <v:rect style="width:0;height:1.5pt" o:hralign="center" o:hrstd="t" o:hr="t"/>
        </w:pict>
      </w:r>
    </w:p>
    <w:bookmarkEnd w:id="625"/>
    <w:bookmarkStart w:id="626" w:name="response.charset"/>
    <w:p>
      <w:pPr>
        <w:pStyle w:val="Heading3"/>
      </w:pPr>
      <w:r>
        <w:t xml:space="preserve">Response.Charset</w:t>
      </w:r>
    </w:p>
    <w:p>
      <w:pPr>
        <w:pStyle w:val="FirstParagraph"/>
      </w:pPr>
      <w:r>
        <w:t xml:space="preserve">Sets the character encoding appended to the</w:t>
      </w:r>
      <w:r>
        <w:t xml:space="preserve"> </w:t>
      </w:r>
      <w:r>
        <w:rPr>
          <w:rStyle w:val="VerbatimChar"/>
        </w:rPr>
        <w:t xml:space="preserve">Content-Type</w:t>
      </w:r>
      <w:r>
        <w:t xml:space="preserve"> </w:t>
      </w:r>
      <w:r>
        <w:t xml:space="preserve">header. The value must be a valid IANA charset name.</w:t>
      </w:r>
    </w:p>
    <w:p>
      <w:pPr>
        <w:pStyle w:val="BodyText"/>
      </w:pPr>
      <w:r>
        <w:rPr>
          <w:b/>
          <w:bCs/>
        </w:rPr>
        <w:t xml:space="preserve">Type:</w:t>
      </w:r>
      <w:r>
        <w:t xml:space="preserve"> </w:t>
      </w:r>
      <w:r>
        <w:t xml:space="preserve">String (read/write)</w:t>
      </w:r>
      <w:r>
        <w:br/>
      </w:r>
      <w:r>
        <w:rPr>
          <w:b/>
          <w:bCs/>
        </w:rPr>
        <w:t xml:space="preserve">Default:</w:t>
      </w:r>
      <w:r>
        <w:t xml:space="preserve"> </w:t>
      </w:r>
      <w:r>
        <w:rPr>
          <w:rStyle w:val="VerbatimChar"/>
        </w:rPr>
        <w:t xml:space="preserve">"utf-8"</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.Charset = </w:t>
      </w:r>
      <w:r>
        <w:rPr>
          <w:rStyle w:val="StringTok"/>
        </w:rPr>
        <w:t xml:space="preserve">"utf-8"</w:t>
      </w:r>
      <w:r>
        <w:br/>
      </w:r>
      <w:r>
        <w:rPr>
          <w:rStyle w:val="DataTypeTok"/>
        </w:rPr>
        <w:t xml:space="preserve">%&gt;</w:t>
      </w:r>
    </w:p>
    <w:p>
      <w:r>
        <w:pict>
          <v:rect style="width:0;height:1.5pt" o:hralign="center" o:hrstd="t" o:hr="t"/>
        </w:pict>
      </w:r>
    </w:p>
    <w:bookmarkEnd w:id="626"/>
    <w:bookmarkStart w:id="627" w:name="response.status"/>
    <w:p>
      <w:pPr>
        <w:pStyle w:val="Heading3"/>
      </w:pPr>
      <w:r>
        <w:t xml:space="preserve">Response.Status</w:t>
      </w:r>
    </w:p>
    <w:p>
      <w:pPr>
        <w:pStyle w:val="FirstParagraph"/>
      </w:pPr>
      <w:r>
        <w:t xml:space="preserve">Sets the HTTP status line. Changing this before any output is flushed overrides the default</w:t>
      </w:r>
      <w:r>
        <w:t xml:space="preserve"> </w:t>
      </w:r>
      <w:r>
        <w:rPr>
          <w:rStyle w:val="VerbatimChar"/>
        </w:rPr>
        <w:t xml:space="preserve">200 OK</w:t>
      </w:r>
      <w:r>
        <w:t xml:space="preserve">.</w:t>
      </w:r>
    </w:p>
    <w:p>
      <w:pPr>
        <w:pStyle w:val="BodyText"/>
      </w:pPr>
      <w:r>
        <w:rPr>
          <w:b/>
          <w:bCs/>
        </w:rPr>
        <w:t xml:space="preserve">Type:</w:t>
      </w:r>
      <w:r>
        <w:t xml:space="preserve"> </w:t>
      </w:r>
      <w:r>
        <w:t xml:space="preserve">String (read/write)</w:t>
      </w:r>
      <w:r>
        <w:br/>
      </w:r>
      <w:r>
        <w:rPr>
          <w:b/>
          <w:bCs/>
        </w:rPr>
        <w:t xml:space="preserve">Default:</w:t>
      </w:r>
      <w:r>
        <w:t xml:space="preserve"> </w:t>
      </w:r>
      <w:r>
        <w:rPr>
          <w:rStyle w:val="VerbatimChar"/>
        </w:rPr>
        <w:t xml:space="preserve">"200 OK"</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.Status = </w:t>
      </w:r>
      <w:r>
        <w:rPr>
          <w:rStyle w:val="StringTok"/>
        </w:rPr>
        <w:t xml:space="preserve">"404 Not Found"</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"&lt;h1&gt;Page not found&lt;/h1&gt;"</w:t>
      </w:r>
      <w:r>
        <w:br/>
      </w:r>
      <w:r>
        <w:rPr>
          <w:rStyle w:val="DataTypeTok"/>
        </w:rPr>
        <w:t xml:space="preserve">%&gt;</w:t>
      </w:r>
    </w:p>
    <w:p>
      <w:pPr>
        <w:pStyle w:val="SourceCode"/>
      </w:pPr>
      <w:r>
        <w:rPr>
          <w:rStyle w:val="DataTypeTok"/>
        </w:rPr>
        <w:t xml:space="preserve">&lt;%</w:t>
      </w:r>
      <w:r>
        <w:br/>
      </w:r>
      <w:r>
        <w:rPr>
          <w:rStyle w:val="FunctionTok"/>
        </w:rPr>
        <w:t xml:space="preserve">Response</w:t>
      </w:r>
      <w:r>
        <w:rPr>
          <w:rStyle w:val="NormalTok"/>
        </w:rPr>
        <w:t xml:space="preserve">.Status = </w:t>
      </w:r>
      <w:r>
        <w:rPr>
          <w:rStyle w:val="StringTok"/>
        </w:rPr>
        <w:t xml:space="preserve">"403 Forbidden"</w:t>
      </w:r>
      <w:r>
        <w:br/>
      </w:r>
      <w:r>
        <w:rPr>
          <w:rStyle w:val="FunctionTok"/>
        </w:rPr>
        <w:t xml:space="preserve">Response</w:t>
      </w:r>
      <w:r>
        <w:rPr>
          <w:rStyle w:val="NormalTok"/>
        </w:rPr>
        <w:t xml:space="preserve">.</w:t>
      </w:r>
      <w:r>
        <w:rPr>
          <w:rStyle w:val="FunctionTok"/>
        </w:rPr>
        <w:t xml:space="preserve">End</w:t>
      </w:r>
      <w:r>
        <w:br/>
      </w:r>
      <w:r>
        <w:rPr>
          <w:rStyle w:val="DataTypeTok"/>
        </w:rPr>
        <w:t xml:space="preserve">%&gt;</w:t>
      </w:r>
    </w:p>
    <w:p>
      <w:r>
        <w:pict>
          <v:rect style="width:0;height:1.5pt" o:hralign="center" o:hrstd="t" o:hr="t"/>
        </w:pict>
      </w:r>
    </w:p>
    <w:bookmarkEnd w:id="627"/>
    <w:bookmarkStart w:id="628" w:name="response.cachecontrol"/>
    <w:p>
      <w:pPr>
        <w:pStyle w:val="Heading3"/>
      </w:pPr>
      <w:r>
        <w:t xml:space="preserve">Response.CacheControl</w:t>
      </w:r>
    </w:p>
    <w:p>
      <w:pPr>
        <w:pStyle w:val="FirstParagraph"/>
      </w:pPr>
      <w:r>
        <w:t xml:space="preserve">Sets the value of the</w:t>
      </w:r>
      <w:r>
        <w:t xml:space="preserve"> </w:t>
      </w:r>
      <w:r>
        <w:rPr>
          <w:rStyle w:val="VerbatimChar"/>
        </w:rPr>
        <w:t xml:space="preserve">Cache-Control</w:t>
      </w:r>
      <w:r>
        <w:t xml:space="preserve"> </w:t>
      </w:r>
      <w:r>
        <w:t xml:space="preserve">HTTP header. Use</w:t>
      </w:r>
      <w:r>
        <w:t xml:space="preserve"> </w:t>
      </w:r>
      <w:r>
        <w:rPr>
          <w:rStyle w:val="VerbatimChar"/>
        </w:rPr>
        <w:t xml:space="preserve">"Public"</w:t>
      </w:r>
      <w:r>
        <w:t xml:space="preserve"> </w:t>
      </w:r>
      <w:r>
        <w:t xml:space="preserve">to allow proxies to cache the response or</w:t>
      </w:r>
      <w:r>
        <w:t xml:space="preserve"> </w:t>
      </w:r>
      <w:r>
        <w:rPr>
          <w:rStyle w:val="VerbatimChar"/>
        </w:rPr>
        <w:t xml:space="preserve">"Private"</w:t>
      </w:r>
      <w:r>
        <w:t xml:space="preserve"> </w:t>
      </w:r>
      <w:r>
        <w:t xml:space="preserve">(the default) to restrict caching to the client only.</w:t>
      </w:r>
    </w:p>
    <w:p>
      <w:pPr>
        <w:pStyle w:val="BodyText"/>
      </w:pPr>
      <w:r>
        <w:rPr>
          <w:b/>
          <w:bCs/>
        </w:rPr>
        <w:t xml:space="preserve">Type:</w:t>
      </w:r>
      <w:r>
        <w:t xml:space="preserve"> </w:t>
      </w:r>
      <w:r>
        <w:t xml:space="preserve">String (read/write)</w:t>
      </w:r>
      <w:r>
        <w:br/>
      </w:r>
      <w:r>
        <w:rPr>
          <w:b/>
          <w:bCs/>
        </w:rPr>
        <w:t xml:space="preserve">Default:</w:t>
      </w:r>
      <w:r>
        <w:t xml:space="preserve"> </w:t>
      </w:r>
      <w:r>
        <w:rPr>
          <w:rStyle w:val="VerbatimChar"/>
        </w:rPr>
        <w:t xml:space="preserve">"Private"</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.CacheControl = </w:t>
      </w:r>
      <w:r>
        <w:rPr>
          <w:rStyle w:val="StringTok"/>
        </w:rPr>
        <w:t xml:space="preserve">"Public"</w:t>
      </w:r>
      <w:r>
        <w:br/>
      </w:r>
      <w:r>
        <w:rPr>
          <w:rStyle w:val="FunctionTok"/>
        </w:rPr>
        <w:t xml:space="preserve">Response</w:t>
      </w:r>
      <w:r>
        <w:rPr>
          <w:rStyle w:val="NormalTok"/>
        </w:rPr>
        <w:t xml:space="preserve">.Expires = </w:t>
      </w:r>
      <w:r>
        <w:rPr>
          <w:rStyle w:val="DecValTok"/>
        </w:rPr>
        <w:t xml:space="preserve">60</w:t>
      </w:r>
      <w:r>
        <w:rPr>
          <w:rStyle w:val="NormalTok"/>
        </w:rPr>
        <w:t xml:space="preserve">   </w:t>
      </w:r>
      <w:r>
        <w:rPr>
          <w:rStyle w:val="CommentTok"/>
        </w:rPr>
        <w:t xml:space="preserve">' cache for 60 minutes</w:t>
      </w:r>
      <w:r>
        <w:br/>
      </w:r>
      <w:r>
        <w:rPr>
          <w:rStyle w:val="DataTypeTok"/>
        </w:rPr>
        <w:t xml:space="preserve">%&gt;</w:t>
      </w:r>
    </w:p>
    <w:p>
      <w:r>
        <w:pict>
          <v:rect style="width:0;height:1.5pt" o:hralign="center" o:hrstd="t" o:hr="t"/>
        </w:pict>
      </w:r>
    </w:p>
    <w:bookmarkEnd w:id="628"/>
    <w:bookmarkStart w:id="629" w:name="response.expires"/>
    <w:p>
      <w:pPr>
        <w:pStyle w:val="Heading3"/>
      </w:pPr>
      <w:r>
        <w:t xml:space="preserve">Response.Expires</w:t>
      </w:r>
    </w:p>
    <w:p>
      <w:pPr>
        <w:pStyle w:val="FirstParagraph"/>
      </w:pPr>
      <w:r>
        <w:t xml:space="preserve">Sets the number of minutes from the current time before the response expires. A value of</w:t>
      </w:r>
      <w:r>
        <w:t xml:space="preserve"> </w:t>
      </w:r>
      <w:r>
        <w:rPr>
          <w:rStyle w:val="VerbatimChar"/>
        </w:rPr>
        <w:t xml:space="preserve">0</w:t>
      </w:r>
      <w:r>
        <w:t xml:space="preserve"> </w:t>
      </w:r>
      <w:r>
        <w:t xml:space="preserve">or negative means the content is already expired (forces revalidation).</w:t>
      </w:r>
    </w:p>
    <w:p>
      <w:pPr>
        <w:pStyle w:val="BodyText"/>
      </w:pPr>
      <w:r>
        <w:rPr>
          <w:b/>
          <w:bCs/>
        </w:rPr>
        <w:t xml:space="preserve">Type:</w:t>
      </w:r>
      <w:r>
        <w:t xml:space="preserve"> </w:t>
      </w:r>
      <w:r>
        <w:t xml:space="preserve">Integer (read/write, minutes)</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.Expires = </w:t>
      </w:r>
      <w:r>
        <w:rPr>
          <w:rStyle w:val="DecValTok"/>
        </w:rPr>
        <w:t xml:space="preserve">0</w:t>
      </w:r>
      <w:r>
        <w:rPr>
          <w:rStyle w:val="NormalTok"/>
        </w:rPr>
        <w:t xml:space="preserve">     </w:t>
      </w:r>
      <w:r>
        <w:rPr>
          <w:rStyle w:val="CommentTok"/>
        </w:rPr>
        <w:t xml:space="preserve">' Force browsers to revalidate</w:t>
      </w:r>
      <w:r>
        <w:br/>
      </w:r>
      <w:r>
        <w:rPr>
          <w:rStyle w:val="FunctionTok"/>
        </w:rPr>
        <w:t xml:space="preserve">Response</w:t>
      </w:r>
      <w:r>
        <w:rPr>
          <w:rStyle w:val="NormalTok"/>
        </w:rPr>
        <w:t xml:space="preserve">.CacheControl = </w:t>
      </w:r>
      <w:r>
        <w:rPr>
          <w:rStyle w:val="StringTok"/>
        </w:rPr>
        <w:t xml:space="preserve">"no-cache"</w:t>
      </w:r>
      <w:r>
        <w:br/>
      </w:r>
      <w:r>
        <w:rPr>
          <w:rStyle w:val="DataTypeTok"/>
        </w:rPr>
        <w:t xml:space="preserve">%&gt;</w:t>
      </w:r>
    </w:p>
    <w:p>
      <w:r>
        <w:pict>
          <v:rect style="width:0;height:1.5pt" o:hralign="center" o:hrstd="t" o:hr="t"/>
        </w:pict>
      </w:r>
    </w:p>
    <w:bookmarkEnd w:id="629"/>
    <w:bookmarkStart w:id="630" w:name="response.expiresabsolute"/>
    <w:p>
      <w:pPr>
        <w:pStyle w:val="Heading3"/>
      </w:pPr>
      <w:r>
        <w:t xml:space="preserve">Response.ExpiresAbsolute</w:t>
      </w:r>
    </w:p>
    <w:p>
      <w:pPr>
        <w:pStyle w:val="FirstParagraph"/>
      </w:pPr>
      <w:r>
        <w:t xml:space="preserve">Sets an absolute date and time for the response to expire, rather than a relative offset.</w:t>
      </w:r>
    </w:p>
    <w:p>
      <w:pPr>
        <w:pStyle w:val="BodyText"/>
      </w:pPr>
      <w:r>
        <w:rPr>
          <w:b/>
          <w:bCs/>
        </w:rPr>
        <w:t xml:space="preserve">Type:</w:t>
      </w:r>
      <w:r>
        <w:t xml:space="preserve"> </w:t>
      </w:r>
      <w:r>
        <w:t xml:space="preserve">Date/String (read/write)</w:t>
      </w:r>
    </w:p>
    <w:p>
      <w:pPr>
        <w:pStyle w:val="BodyText"/>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.ExpiresAbsolute = </w:t>
      </w:r>
      <w:r>
        <w:rPr>
          <w:rStyle w:val="StringTok"/>
        </w:rPr>
        <w:t xml:space="preserve">"April 30, 2026 00:00:00"</w:t>
      </w:r>
      <w:r>
        <w:br/>
      </w:r>
      <w:r>
        <w:rPr>
          <w:rStyle w:val="DataTypeTok"/>
        </w:rPr>
        <w:t xml:space="preserve">%&gt;</w:t>
      </w:r>
    </w:p>
    <w:p>
      <w:r>
        <w:pict>
          <v:rect style="width:0;height:1.5pt" o:hralign="center" o:hrstd="t" o:hr="t"/>
        </w:pict>
      </w:r>
    </w:p>
    <w:bookmarkEnd w:id="630"/>
    <w:bookmarkStart w:id="631" w:name="response.cookies-1"/>
    <w:p>
      <w:pPr>
        <w:pStyle w:val="Heading3"/>
      </w:pPr>
      <w:r>
        <w:t xml:space="preserve">Response.Cookies</w:t>
      </w:r>
    </w:p>
    <w:p>
      <w:pPr>
        <w:pStyle w:val="FirstParagraph"/>
      </w:pPr>
      <w:r>
        <w:t xml:space="preserve">Provides access to the collection of response cookies. Each entry can be a simple string value or a collection of sub-key/value pairs. Cookie attributes (domain, path, expiration, secure, HttpOnly) are set as properties of each cookie entry.</w:t>
      </w:r>
    </w:p>
    <w:p>
      <w:pPr>
        <w:pStyle w:val="BodyText"/>
      </w:pPr>
      <w:r>
        <w:rPr>
          <w:b/>
          <w:bCs/>
        </w:rPr>
        <w:t xml:space="preserve">Syntax:</w:t>
      </w:r>
    </w:p>
    <w:p>
      <w:pPr>
        <w:pStyle w:val="SourceCode"/>
      </w:pPr>
      <w:r>
        <w:rPr>
          <w:rStyle w:val="NormalTok"/>
        </w:rPr>
        <w:t xml:space="preserve">Response.Cookies("name") = "value"</w:t>
      </w:r>
      <w:r>
        <w:br/>
      </w:r>
      <w:r>
        <w:rPr>
          <w:rStyle w:val="NormalTok"/>
        </w:rPr>
        <w:t xml:space="preserve">Response.Cookies("name").Expires = DateAdd("d", 30, Now())</w:t>
      </w:r>
      <w:r>
        <w:br/>
      </w:r>
      <w:r>
        <w:rPr>
          <w:rStyle w:val="NormalTok"/>
        </w:rPr>
        <w:t xml:space="preserve">Response.Cookies("name").Domain  = "example.com"</w:t>
      </w:r>
      <w:r>
        <w:br/>
      </w:r>
      <w:r>
        <w:rPr>
          <w:rStyle w:val="NormalTok"/>
        </w:rPr>
        <w:t xml:space="preserve">Response.Cookies("name").Path    = "/"</w:t>
      </w:r>
      <w:r>
        <w:br/>
      </w:r>
      <w:r>
        <w:rPr>
          <w:rStyle w:val="NormalTok"/>
        </w:rPr>
        <w:t xml:space="preserve">Response.Cookies("name").Secure  = True</w:t>
      </w:r>
      <w:r>
        <w:br/>
      </w:r>
      <w:r>
        <w:rPr>
          <w:rStyle w:val="NormalTok"/>
        </w:rPr>
        <w:t xml:space="preserve">Response.Cookies("name").HTTPOnly = True</w:t>
      </w:r>
      <w:r>
        <w:br/>
      </w:r>
      <w:r>
        <w:br/>
      </w:r>
      <w:r>
        <w:rPr>
          <w:rStyle w:val="NormalTok"/>
        </w:rPr>
        <w:t xml:space="preserve">' Dictionary-style cookie (sub-keys)</w:t>
      </w:r>
      <w:r>
        <w:br/>
      </w:r>
      <w:r>
        <w:rPr>
          <w:rStyle w:val="NormalTok"/>
        </w:rPr>
        <w:t xml:space="preserve">Response.Cookies("prefs")("theme") = "dark"</w:t>
      </w:r>
      <w:r>
        <w:br/>
      </w:r>
      <w:r>
        <w:rPr>
          <w:rStyle w:val="NormalTok"/>
        </w:rPr>
        <w:t xml:space="preserve">Response.Cookies("prefs")("lang")  = "en"</w:t>
      </w:r>
      <w:r>
        <w:br/>
      </w:r>
      <w:r>
        <w:rPr>
          <w:rStyle w:val="NormalTok"/>
        </w:rPr>
        <w:t xml:space="preserve">Response.Cookies("prefs").Expires  = DateAdd("d", 365, Now())</w:t>
      </w:r>
    </w:p>
    <w:p>
      <w:pPr>
        <w:pStyle w:val="FirstParagraph"/>
      </w:pPr>
      <w:r>
        <w:rPr>
          <w:b/>
          <w:bCs/>
        </w:rPr>
        <w:t xml:space="preserve">Example:</w:t>
      </w:r>
    </w:p>
    <w:p>
      <w:pPr>
        <w:pStyle w:val="SourceCode"/>
      </w:pPr>
      <w:r>
        <w:rPr>
          <w:rStyle w:val="DataTypeTok"/>
        </w:rPr>
        <w:t xml:space="preserve">&lt;%</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"SessionToken"</w:t>
      </w:r>
      <w:r>
        <w:rPr>
          <w:rStyle w:val="OtherTok"/>
        </w:rPr>
        <w:t xml:space="preserve">)</w:t>
      </w:r>
      <w:r>
        <w:rPr>
          <w:rStyle w:val="NormalTok"/>
        </w:rPr>
        <w:t xml:space="preserve"> = </w:t>
      </w:r>
      <w:r>
        <w:rPr>
          <w:rStyle w:val="StringTok"/>
        </w:rPr>
        <w:t xml:space="preserve">"abc123xyz"</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"SessionToken"</w:t>
      </w:r>
      <w:r>
        <w:rPr>
          <w:rStyle w:val="OtherTok"/>
        </w:rPr>
        <w:t xml:space="preserve">)</w:t>
      </w:r>
      <w:r>
        <w:rPr>
          <w:rStyle w:val="NormalTok"/>
        </w:rPr>
        <w:t xml:space="preserve">.Path    = </w:t>
      </w:r>
      <w:r>
        <w:rPr>
          <w:rStyle w:val="StringTok"/>
        </w:rPr>
        <w:t xml:space="preserve">"/"</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"SessionToken"</w:t>
      </w:r>
      <w:r>
        <w:rPr>
          <w:rStyle w:val="OtherTok"/>
        </w:rPr>
        <w:t xml:space="preserve">)</w:t>
      </w:r>
      <w:r>
        <w:rPr>
          <w:rStyle w:val="NormalTok"/>
        </w:rPr>
        <w:t xml:space="preserve">.Secure  = </w:t>
      </w:r>
      <w:r>
        <w:rPr>
          <w:rStyle w:val="KeywordTok"/>
        </w:rPr>
        <w:t xml:space="preserve">True</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"SessionToken"</w:t>
      </w:r>
      <w:r>
        <w:rPr>
          <w:rStyle w:val="OtherTok"/>
        </w:rPr>
        <w:t xml:space="preserve">)</w:t>
      </w:r>
      <w:r>
        <w:rPr>
          <w:rStyle w:val="NormalTok"/>
        </w:rPr>
        <w:t xml:space="preserve">.HTTPOnly = </w:t>
      </w:r>
      <w:r>
        <w:rPr>
          <w:rStyle w:val="KeywordTok"/>
        </w:rPr>
        <w:t xml:space="preserve">True</w:t>
      </w:r>
      <w:r>
        <w:br/>
      </w:r>
      <w:r>
        <w:rPr>
          <w:rStyle w:val="FunctionTok"/>
        </w:rPr>
        <w:t xml:space="preserve">Response</w:t>
      </w:r>
      <w:r>
        <w:rPr>
          <w:rStyle w:val="NormalTok"/>
        </w:rPr>
        <w:t xml:space="preserve">.</w:t>
      </w:r>
      <w:r>
        <w:rPr>
          <w:rStyle w:val="FunctionTok"/>
        </w:rPr>
        <w:t xml:space="preserve">Cookies</w:t>
      </w:r>
      <w:r>
        <w:rPr>
          <w:rStyle w:val="OtherTok"/>
        </w:rPr>
        <w:t xml:space="preserve">(</w:t>
      </w:r>
      <w:r>
        <w:rPr>
          <w:rStyle w:val="StringTok"/>
        </w:rPr>
        <w:t xml:space="preserve">"SessionToken"</w:t>
      </w:r>
      <w:r>
        <w:rPr>
          <w:rStyle w:val="OtherTok"/>
        </w:rPr>
        <w:t xml:space="preserve">)</w:t>
      </w:r>
      <w:r>
        <w:rPr>
          <w:rStyle w:val="NormalTok"/>
        </w:rPr>
        <w:t xml:space="preserve">.Expires = </w:t>
      </w:r>
      <w:r>
        <w:rPr>
          <w:rStyle w:val="FunctionTok"/>
        </w:rPr>
        <w:t xml:space="preserve">DateAdd</w:t>
      </w:r>
      <w:r>
        <w:rPr>
          <w:rStyle w:val="OtherTok"/>
        </w:rPr>
        <w:t xml:space="preserve">(</w:t>
      </w:r>
      <w:r>
        <w:rPr>
          <w:rStyle w:val="StringTok"/>
        </w:rPr>
        <w:t xml:space="preserve">"d"</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FunctionTok"/>
        </w:rPr>
        <w:t xml:space="preserve">Now</w:t>
      </w:r>
      <w:r>
        <w:rPr>
          <w:rStyle w:val="OtherTok"/>
        </w:rPr>
        <w:t xml:space="preserve">())</w:t>
      </w:r>
      <w:r>
        <w:br/>
      </w:r>
      <w:r>
        <w:rPr>
          <w:rStyle w:val="DataTypeTok"/>
        </w:rPr>
        <w:t xml:space="preserve">%&gt;</w:t>
      </w:r>
    </w:p>
    <w:p>
      <w:r>
        <w:pict>
          <v:rect style="width:0;height:1.5pt" o:hralign="center" o:hrstd="t" o:hr="t"/>
        </w:pict>
      </w:r>
    </w:p>
    <w:bookmarkEnd w:id="631"/>
    <w:bookmarkStart w:id="632" w:name="response.isclientconnected"/>
    <w:p>
      <w:pPr>
        <w:pStyle w:val="Heading3"/>
      </w:pPr>
      <w:r>
        <w:t xml:space="preserve">Response.IsClientConnected</w:t>
      </w:r>
    </w:p>
    <w:p>
      <w:pPr>
        <w:pStyle w:val="FirstParagraph"/>
      </w:pPr>
      <w:r>
        <w:t xml:space="preserve">Returns</w:t>
      </w:r>
      <w:r>
        <w:t xml:space="preserve"> </w:t>
      </w:r>
      <w:r>
        <w:rPr>
          <w:rStyle w:val="VerbatimChar"/>
        </w:rPr>
        <w:t xml:space="preserve">True</w:t>
      </w:r>
      <w:r>
        <w:t xml:space="preserve"> </w:t>
      </w:r>
      <w:r>
        <w:t xml:space="preserve">if the client is still connected and receiving the response. Useful to abort long-running scripts when the browser has disconnected.</w:t>
      </w:r>
    </w:p>
    <w:p>
      <w:pPr>
        <w:pStyle w:val="BodyText"/>
      </w:pPr>
      <w:r>
        <w:rPr>
          <w:b/>
          <w:bCs/>
        </w:rPr>
        <w:t xml:space="preserve">Type:</w:t>
      </w:r>
      <w:r>
        <w:t xml:space="preserve"> </w:t>
      </w:r>
      <w:r>
        <w:t xml:space="preserve">Boolean (read-only)</w:t>
      </w:r>
    </w:p>
    <w:p>
      <w:pPr>
        <w:pStyle w:val="BodyText"/>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i</w:t>
      </w:r>
      <w:r>
        <w:br/>
      </w:r>
      <w:r>
        <w:rPr>
          <w:rStyle w:val="ControlFlowTok"/>
        </w:rPr>
        <w:t xml:space="preserve">For</w:t>
      </w:r>
      <w:r>
        <w:rPr>
          <w:rStyle w:val="NormalTok"/>
        </w:rPr>
        <w:t xml:space="preserve"> i = </w:t>
      </w:r>
      <w:r>
        <w:rPr>
          <w:rStyle w:val="DecValTok"/>
        </w:rPr>
        <w:t xml:space="preserve">1</w:t>
      </w:r>
      <w:r>
        <w:rPr>
          <w:rStyle w:val="NormalTok"/>
        </w:rPr>
        <w:t xml:space="preserve"> </w:t>
      </w:r>
      <w:r>
        <w:rPr>
          <w:rStyle w:val="ControlFlowTok"/>
        </w:rPr>
        <w:t xml:space="preserve">To</w:t>
      </w:r>
      <w:r>
        <w:rPr>
          <w:rStyle w:val="NormalTok"/>
        </w:rPr>
        <w:t xml:space="preserve"> </w:t>
      </w:r>
      <w:r>
        <w:rPr>
          <w:rStyle w:val="DecValTok"/>
        </w:rPr>
        <w:t xml:space="preserve">1000000</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Response</w:t>
      </w:r>
      <w:r>
        <w:rPr>
          <w:rStyle w:val="NormalTok"/>
        </w:rPr>
        <w:t xml:space="preserve">.IsClientConnected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End</w:t>
      </w:r>
      <w:r>
        <w:br/>
      </w:r>
      <w:r>
        <w:rPr>
          <w:rStyle w:val="NormalTok"/>
        </w:rPr>
        <w:t xml:space="preserve">    </w:t>
      </w:r>
      <w:r>
        <w:rPr>
          <w:rStyle w:val="ControlFlowTok"/>
        </w:rPr>
        <w:t xml:space="preserve">End If</w:t>
      </w:r>
      <w:r>
        <w:br/>
      </w:r>
      <w:r>
        <w:rPr>
          <w:rStyle w:val="NormalTok"/>
        </w:rPr>
        <w:t xml:space="preserve">    </w:t>
      </w:r>
      <w:r>
        <w:rPr>
          <w:rStyle w:val="CommentTok"/>
        </w:rPr>
        <w:t xml:space="preserve">' ... process record i ...</w:t>
      </w:r>
      <w:r>
        <w:br/>
      </w:r>
      <w:r>
        <w:rPr>
          <w:rStyle w:val="ControlFlowTok"/>
        </w:rPr>
        <w:t xml:space="preserve">Next</w:t>
      </w:r>
      <w:r>
        <w:br/>
      </w:r>
      <w:r>
        <w:rPr>
          <w:rStyle w:val="DataTypeTok"/>
        </w:rPr>
        <w:t xml:space="preserve">%&gt;</w:t>
      </w:r>
    </w:p>
    <w:p>
      <w:r>
        <w:pict>
          <v:rect style="width:0;height:1.5pt" o:hralign="center" o:hrstd="t" o:hr="t"/>
        </w:pict>
      </w:r>
    </w:p>
    <w:bookmarkEnd w:id="632"/>
    <w:bookmarkStart w:id="633" w:name="response.codepage"/>
    <w:p>
      <w:pPr>
        <w:pStyle w:val="Heading3"/>
      </w:pPr>
      <w:r>
        <w:t xml:space="preserve">Response.CodePage</w:t>
      </w:r>
    </w:p>
    <w:p>
      <w:pPr>
        <w:pStyle w:val="FirstParagraph"/>
      </w:pPr>
      <w:r>
        <w:t xml:space="preserve">Sets the code page used to convert Unicode strings to bytes in the response.</w:t>
      </w:r>
      <w:r>
        <w:t xml:space="preserve"> </w:t>
      </w:r>
      <w:r>
        <w:rPr>
          <w:rStyle w:val="VerbatimChar"/>
        </w:rPr>
        <w:t xml:space="preserve">65001</w:t>
      </w:r>
      <w:r>
        <w:t xml:space="preserve"> </w:t>
      </w:r>
      <w:r>
        <w:t xml:space="preserve">is UTF-8.</w:t>
      </w:r>
    </w:p>
    <w:p>
      <w:pPr>
        <w:pStyle w:val="BodyText"/>
      </w:pPr>
      <w:r>
        <w:rPr>
          <w:b/>
          <w:bCs/>
        </w:rPr>
        <w:t xml:space="preserve">Type:</w:t>
      </w:r>
      <w:r>
        <w:t xml:space="preserve"> </w:t>
      </w:r>
      <w:r>
        <w:t xml:space="preserve">Integer (read/write)</w:t>
      </w:r>
      <w:r>
        <w:br/>
      </w:r>
      <w:r>
        <w:rPr>
          <w:b/>
          <w:bCs/>
        </w:rPr>
        <w:t xml:space="preserve">Default:</w:t>
      </w:r>
      <w:r>
        <w:t xml:space="preserve"> </w:t>
      </w:r>
      <w:r>
        <w:rPr>
          <w:rStyle w:val="VerbatimChar"/>
        </w:rPr>
        <w:t xml:space="preserve">65001</w:t>
      </w:r>
      <w:r>
        <w:t xml:space="preserve"> </w:t>
      </w:r>
      <w:r>
        <w:t xml:space="preserve">(UTF-8)</w:t>
      </w:r>
    </w:p>
    <w:p>
      <w:r>
        <w:pict>
          <v:rect style="width:0;height:1.5pt" o:hralign="center" o:hrstd="t" o:hr="t"/>
        </w:pict>
      </w:r>
    </w:p>
    <w:bookmarkEnd w:id="633"/>
    <w:bookmarkStart w:id="634" w:name="response.pics"/>
    <w:p>
      <w:pPr>
        <w:pStyle w:val="Heading3"/>
      </w:pPr>
      <w:r>
        <w:t xml:space="preserve">Response.PICS</w:t>
      </w:r>
    </w:p>
    <w:p>
      <w:pPr>
        <w:pStyle w:val="FirstParagraph"/>
      </w:pPr>
      <w:r>
        <w:t xml:space="preserve">Sets the value of a</w:t>
      </w:r>
      <w:r>
        <w:t xml:space="preserve"> </w:t>
      </w:r>
      <w:r>
        <w:rPr>
          <w:rStyle w:val="VerbatimChar"/>
        </w:rPr>
        <w:t xml:space="preserve">PICS-Label</w:t>
      </w:r>
      <w:r>
        <w:t xml:space="preserve"> </w:t>
      </w:r>
      <w:r>
        <w:t xml:space="preserve">HTTP header for content rating systems.</w:t>
      </w:r>
    </w:p>
    <w:p>
      <w:pPr>
        <w:pStyle w:val="BodyText"/>
      </w:pPr>
      <w:r>
        <w:rPr>
          <w:b/>
          <w:bCs/>
        </w:rPr>
        <w:t xml:space="preserve">Type:</w:t>
      </w:r>
      <w:r>
        <w:t xml:space="preserve"> </w:t>
      </w:r>
      <w:r>
        <w:t xml:space="preserve">String (read/write)</w:t>
      </w:r>
    </w:p>
    <w:p>
      <w:r>
        <w:pict>
          <v:rect style="width:0;height:1.5pt" o:hralign="center" o:hrstd="t" o:hr="t"/>
        </w:pict>
      </w:r>
    </w:p>
    <w:bookmarkEnd w:id="634"/>
    <w:bookmarkEnd w:id="635"/>
    <w:bookmarkStart w:id="636" w:name="remarks-25"/>
    <w:p>
      <w:pPr>
        <w:pStyle w:val="Heading2"/>
      </w:pPr>
      <w:r>
        <w:t xml:space="preserve">Remarks</w:t>
      </w:r>
    </w:p>
    <w:p>
      <w:pPr>
        <w:pStyle w:val="Compact"/>
        <w:numPr>
          <w:ilvl w:val="0"/>
          <w:numId w:val="1184"/>
        </w:numPr>
      </w:pPr>
      <w:r>
        <w:rPr>
          <w:b/>
          <w:bCs/>
        </w:rPr>
        <w:t xml:space="preserve">Buffering</w:t>
      </w:r>
      <w:r>
        <w:t xml:space="preserve"> </w:t>
      </w:r>
      <w:r>
        <w:t xml:space="preserve">is enabled by default. The buffer has a configurable maximum size (</w:t>
      </w:r>
      <w:r>
        <w:rPr>
          <w:rStyle w:val="VerbatimChar"/>
        </w:rPr>
        <w:t xml:space="preserve">response_buffer_limit_mb</w:t>
      </w:r>
      <w:r>
        <w:t xml:space="preserve"> </w:t>
      </w:r>
      <w:r>
        <w:t xml:space="preserve">in</w:t>
      </w:r>
      <w:r>
        <w:t xml:space="preserve"> </w:t>
      </w:r>
      <w:r>
        <w:rPr>
          <w:rStyle w:val="VerbatimChar"/>
        </w:rPr>
        <w:t xml:space="preserve">axonasp.toml</w:t>
      </w:r>
      <w:r>
        <w:t xml:space="preserve">). Exceeding it raises a runtime error.</w:t>
      </w:r>
    </w:p>
    <w:p>
      <w:pPr>
        <w:pStyle w:val="Compact"/>
        <w:numPr>
          <w:ilvl w:val="0"/>
          <w:numId w:val="1184"/>
        </w:numPr>
      </w:pPr>
      <w:r>
        <w:t xml:space="preserve">Calling</w:t>
      </w:r>
      <w:r>
        <w:t xml:space="preserve"> </w:t>
      </w:r>
      <w:r>
        <w:rPr>
          <w:rStyle w:val="VerbatimChar"/>
        </w:rPr>
        <w:t xml:space="preserve">Response.End</w:t>
      </w:r>
      <w:r>
        <w:t xml:space="preserve"> </w:t>
      </w:r>
      <w:r>
        <w:t xml:space="preserve">or</w:t>
      </w:r>
      <w:r>
        <w:t xml:space="preserve"> </w:t>
      </w:r>
      <w:r>
        <w:rPr>
          <w:rStyle w:val="VerbatimChar"/>
        </w:rPr>
        <w:t xml:space="preserve">Response.Redirect</w:t>
      </w:r>
      <w:r>
        <w:t xml:space="preserve"> </w:t>
      </w:r>
      <w:r>
        <w:t xml:space="preserve">causes a non-resumable signal that terminates script execution immediately â€” code after them in the same script does not run.</w:t>
      </w:r>
    </w:p>
    <w:p>
      <w:pPr>
        <w:pStyle w:val="Compact"/>
        <w:numPr>
          <w:ilvl w:val="0"/>
          <w:numId w:val="1184"/>
        </w:numPr>
      </w:pPr>
      <w:r>
        <w:t xml:space="preserve">Setting headers or cookies after</w:t>
      </w:r>
      <w:r>
        <w:t xml:space="preserve"> </w:t>
      </w:r>
      <w:r>
        <w:rPr>
          <w:rStyle w:val="VerbatimChar"/>
        </w:rPr>
        <w:t xml:space="preserve">Response.Flush</w:t>
      </w:r>
      <w:r>
        <w:t xml:space="preserve"> </w:t>
      </w:r>
      <w:r>
        <w:t xml:space="preserve">has been called has no effect; headers must be sent before any body bytes.</w:t>
      </w:r>
    </w:p>
    <w:p>
      <w:pPr>
        <w:pStyle w:val="Compact"/>
        <w:numPr>
          <w:ilvl w:val="0"/>
          <w:numId w:val="1184"/>
        </w:numPr>
      </w:pPr>
      <w:r>
        <w:rPr>
          <w:rStyle w:val="VerbatimChar"/>
        </w:rPr>
        <w:t xml:space="preserve">Response.Write</w:t>
      </w:r>
      <w:r>
        <w:t xml:space="preserve"> </w:t>
      </w:r>
      <w:r>
        <w:t xml:space="preserve">accepts any VBScript Variant; the value is coerced to a string before output.</w:t>
      </w:r>
    </w:p>
    <w:bookmarkEnd w:id="636"/>
    <w:bookmarkEnd w:id="637"/>
    <w:bookmarkStart w:id="651" w:name="server-object"/>
    <w:p>
      <w:pPr>
        <w:pStyle w:val="Heading1"/>
      </w:pPr>
      <w:r>
        <w:t xml:space="preserve">Server Object</w:t>
      </w:r>
    </w:p>
    <w:bookmarkStart w:id="638" w:name="overview-39"/>
    <w:p>
      <w:pPr>
        <w:pStyle w:val="Heading2"/>
      </w:pPr>
      <w:r>
        <w:t xml:space="preserve">Overview</w:t>
      </w:r>
    </w:p>
    <w:p>
      <w:pPr>
        <w:pStyle w:val="FirstParagraph"/>
      </w:pPr>
      <w:r>
        <w:t xml:space="preserve">The</w:t>
      </w:r>
      <w:r>
        <w:t xml:space="preserve"> </w:t>
      </w:r>
      <w:r>
        <w:rPr>
          <w:rStyle w:val="VerbatimChar"/>
        </w:rPr>
        <w:t xml:space="preserve">Server</w:t>
      </w:r>
      <w:r>
        <w:t xml:space="preserve"> </w:t>
      </w:r>
      <w:r>
        <w:t xml:space="preserve">object provides utility methods used throughout ASP scripts. Its most common uses are creating COM/native objects, translating virtual paths to physical file paths, and encoding strings for safe output or URL use. It is available in every ASP script with no setup.</w:t>
      </w:r>
    </w:p>
    <w:p>
      <w:r>
        <w:pict>
          <v:rect style="width:0;height:1.5pt" o:hralign="center" o:hrstd="t" o:hr="t"/>
        </w:pict>
      </w:r>
    </w:p>
    <w:bookmarkEnd w:id="638"/>
    <w:bookmarkStart w:id="647" w:name="methods-2"/>
    <w:p>
      <w:pPr>
        <w:pStyle w:val="Heading2"/>
      </w:pPr>
      <w:r>
        <w:t xml:space="preserve">Methods</w:t>
      </w:r>
    </w:p>
    <w:bookmarkStart w:id="639" w:name="server.createobject"/>
    <w:p>
      <w:pPr>
        <w:pStyle w:val="Heading3"/>
      </w:pPr>
      <w:r>
        <w:t xml:space="preserve">Server.CreateObject</w:t>
      </w:r>
    </w:p>
    <w:p>
      <w:pPr>
        <w:pStyle w:val="FirstParagraph"/>
      </w:pPr>
      <w:r>
        <w:t xml:space="preserve">Instantiates a COM object or one of AxonASP’s native library objects by its ProgID string. This is the main entry point for all built-in libraries such as G3JSON, G3DB, G3Mail, ADODB, Scripting.FileSystemObject, and so on.</w:t>
      </w:r>
    </w:p>
    <w:p>
      <w:pPr>
        <w:pStyle w:val="BodyText"/>
      </w:pPr>
      <w:r>
        <w:rPr>
          <w:b/>
          <w:bCs/>
        </w:rPr>
        <w:t xml:space="preserve">Syntax:</w:t>
      </w:r>
    </w:p>
    <w:p>
      <w:pPr>
        <w:pStyle w:val="SourceCode"/>
      </w:pPr>
      <w:r>
        <w:rPr>
          <w:rStyle w:val="NormalTok"/>
        </w:rPr>
        <w:t xml:space="preserve">Set obj = Server.CreateObject("ProgID")</w:t>
      </w:r>
    </w:p>
    <w:p>
      <w:pPr>
        <w:pStyle w:val="FirstParagraph"/>
      </w:pPr>
      <w:r>
        <w:rPr>
          <w:b/>
          <w:bCs/>
        </w:rPr>
        <w:t xml:space="preserve">Parameters:</w:t>
      </w:r>
    </w:p>
    <w:tbl>
      <w:tblPr>
        <w:tblStyle w:val="Table"/>
        <w:tblW w:type="pct" w:w="5000"/>
        <w:tblLayout w:type="fixed"/>
        <w:tblLook w:firstRow="1" w:lastRow="0" w:firstColumn="0" w:lastColumn="0" w:noHBand="0" w:noVBand="0" w:val="0020"/>
      </w:tblPr>
      <w:tblGrid>
        <w:gridCol w:w="2904"/>
        <w:gridCol w:w="1584"/>
        <w:gridCol w:w="3432"/>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ProgID</w:t>
            </w:r>
          </w:p>
        </w:tc>
        <w:tc>
          <w:tcPr/>
          <w:p>
            <w:pPr>
              <w:pStyle w:val="Compact"/>
            </w:pPr>
            <w:r>
              <w:t xml:space="preserve">String</w:t>
            </w:r>
          </w:p>
        </w:tc>
        <w:tc>
          <w:tcPr/>
          <w:p>
            <w:pPr>
              <w:pStyle w:val="Compact"/>
            </w:pPr>
            <w:r>
              <w:t xml:space="preserve">The programmatic identifier of the object to create</w:t>
            </w:r>
          </w:p>
        </w:tc>
      </w:tr>
    </w:tbl>
    <w:p>
      <w:pPr>
        <w:pStyle w:val="BodyText"/>
      </w:pPr>
      <w:r>
        <w:rPr>
          <w:b/>
          <w:bCs/>
        </w:rPr>
        <w:t xml:space="preserve">Return Value:</w:t>
      </w:r>
      <w:r>
        <w:t xml:space="preserve"> </w:t>
      </w:r>
      <w:r>
        <w:t xml:space="preserve">Object (use</w:t>
      </w:r>
      <w:r>
        <w:t xml:space="preserve"> </w:t>
      </w:r>
      <w:r>
        <w:rPr>
          <w:rStyle w:val="VerbatimChar"/>
        </w:rPr>
        <w:t xml:space="preserve">Set</w:t>
      </w:r>
      <w:r>
        <w:t xml:space="preserve"> </w:t>
      </w:r>
      <w:r>
        <w:t xml:space="preserve">assignment)</w:t>
      </w:r>
    </w:p>
    <w:p>
      <w:pPr>
        <w:pStyle w:val="BodyText"/>
      </w:pPr>
      <w:r>
        <w:rPr>
          <w:b/>
          <w:bCs/>
        </w:rPr>
        <w:t xml:space="preserve">Example:</w:t>
      </w:r>
    </w:p>
    <w:p>
      <w:pPr>
        <w:pStyle w:val="SourceCode"/>
      </w:pPr>
      <w:r>
        <w:rPr>
          <w:rStyle w:val="DataTypeTok"/>
        </w:rPr>
        <w:t xml:space="preserve">&lt;%</w:t>
      </w:r>
      <w:r>
        <w:br/>
      </w:r>
      <w:r>
        <w:rPr>
          <w:rStyle w:val="KeywordTok"/>
        </w:rPr>
        <w:t xml:space="preserve">Set</w:t>
      </w:r>
      <w:r>
        <w:rPr>
          <w:rStyle w:val="NormalTok"/>
        </w:rPr>
        <w:t xml:space="preserve"> json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"G3JSON"</w:t>
      </w:r>
      <w:r>
        <w:rPr>
          <w:rStyle w:val="OtherTok"/>
        </w:rPr>
        <w:t xml:space="preserve">)</w:t>
      </w:r>
      <w:r>
        <w:br/>
      </w:r>
      <w:r>
        <w:rPr>
          <w:rStyle w:val="KeywordTok"/>
        </w:rPr>
        <w:t xml:space="preserve">Dim</w:t>
      </w:r>
      <w:r>
        <w:rPr>
          <w:rStyle w:val="NormalTok"/>
        </w:rPr>
        <w:t xml:space="preserve"> data </w:t>
      </w:r>
      <w:r>
        <w:rPr>
          <w:rStyle w:val="OtherTok"/>
        </w:rPr>
        <w:t xml:space="preserve">:</w:t>
      </w:r>
      <w:r>
        <w:rPr>
          <w:rStyle w:val="NormalTok"/>
        </w:rPr>
        <w:t xml:space="preserve"> data = json.Parse</w:t>
      </w:r>
      <w:r>
        <w:rPr>
          <w:rStyle w:val="OtherTok"/>
        </w:rPr>
        <w:t xml:space="preserve">(</w:t>
      </w:r>
      <w:r>
        <w:rPr>
          <w:rStyle w:val="StringTok"/>
        </w:rPr>
        <w:t xml:space="preserve">"{</w:t>
      </w:r>
      <w:r>
        <w:rPr>
          <w:rStyle w:val="SpecialCharTok"/>
        </w:rPr>
        <w:t xml:space="preserve">""</w:t>
      </w:r>
      <w:r>
        <w:rPr>
          <w:rStyle w:val="StringTok"/>
        </w:rPr>
        <w:t xml:space="preserve">name</w:t>
      </w:r>
      <w:r>
        <w:rPr>
          <w:rStyle w:val="SpecialCharTok"/>
        </w:rPr>
        <w:t xml:space="preserve">""</w:t>
      </w:r>
      <w:r>
        <w:rPr>
          <w:rStyle w:val="StringTok"/>
        </w:rPr>
        <w:t xml:space="preserve">:</w:t>
      </w:r>
      <w:r>
        <w:rPr>
          <w:rStyle w:val="SpecialCharTok"/>
        </w:rPr>
        <w:t xml:space="preserve">""</w:t>
      </w:r>
      <w:r>
        <w:rPr>
          <w:rStyle w:val="StringTok"/>
        </w:rPr>
        <w:t xml:space="preserve">Alice</w:t>
      </w:r>
      <w:r>
        <w:rPr>
          <w:rStyle w:val="SpecialCharTok"/>
        </w:rPr>
        <w:t xml:space="preserve">""</w:t>
      </w:r>
      <w:r>
        <w:rPr>
          <w:rStyle w:val="StringTok"/>
        </w:rPr>
        <w:t xml:space="preserve">,</w:t>
      </w:r>
      <w:r>
        <w:rPr>
          <w:rStyle w:val="SpecialCharTok"/>
        </w:rPr>
        <w:t xml:space="preserve">""</w:t>
      </w:r>
      <w:r>
        <w:rPr>
          <w:rStyle w:val="StringTok"/>
        </w:rPr>
        <w:t xml:space="preserve">age</w:t>
      </w:r>
      <w:r>
        <w:rPr>
          <w:rStyle w:val="SpecialCharTok"/>
        </w:rPr>
        <w:t xml:space="preserve">""</w:t>
      </w:r>
      <w:r>
        <w:rPr>
          <w:rStyle w:val="StringTok"/>
        </w:rPr>
        <w:t xml:space="preserve">:30}"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data</w:t>
      </w:r>
      <w:r>
        <w:rPr>
          <w:rStyle w:val="OtherTok"/>
        </w:rPr>
        <w:t xml:space="preserve">(</w:t>
      </w:r>
      <w:r>
        <w:rPr>
          <w:rStyle w:val="StringTok"/>
        </w:rPr>
        <w:t xml:space="preserve">"name"</w:t>
      </w:r>
      <w:r>
        <w:rPr>
          <w:rStyle w:val="OtherTok"/>
        </w:rPr>
        <w:t xml:space="preserve">)</w:t>
      </w:r>
      <w:r>
        <w:rPr>
          <w:rStyle w:val="NormalTok"/>
        </w:rPr>
        <w:t xml:space="preserve">    </w:t>
      </w:r>
      <w:r>
        <w:rPr>
          <w:rStyle w:val="CommentTok"/>
        </w:rPr>
        <w:t xml:space="preserve">' Alice</w:t>
      </w:r>
      <w:r>
        <w:br/>
      </w:r>
      <w:r>
        <w:rPr>
          <w:rStyle w:val="KeywordTok"/>
        </w:rPr>
        <w:t xml:space="preserve">Set</w:t>
      </w:r>
      <w:r>
        <w:rPr>
          <w:rStyle w:val="NormalTok"/>
        </w:rPr>
        <w:t xml:space="preserve"> json = </w:t>
      </w:r>
      <w:r>
        <w:rPr>
          <w:rStyle w:val="KeywordTok"/>
        </w:rPr>
        <w:t xml:space="preserve">Nothing</w:t>
      </w:r>
      <w:r>
        <w:br/>
      </w:r>
      <w:r>
        <w:rPr>
          <w:rStyle w:val="DataTypeTok"/>
        </w:rPr>
        <w:t xml:space="preserve">%&gt;</w:t>
      </w:r>
    </w:p>
    <w:p>
      <w:pPr>
        <w:pStyle w:val="SourceCode"/>
      </w:pPr>
      <w:r>
        <w:rPr>
          <w:rStyle w:val="DataTypeTok"/>
        </w:rPr>
        <w:t xml:space="preserve">&lt;%</w:t>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w:t>
      </w:r>
      <w:r>
        <w:rPr>
          <w:rStyle w:val="KeywordTok"/>
        </w:rPr>
        <w:t xml:space="preserve">Open</w:t>
      </w:r>
      <w:r>
        <w:rPr>
          <w:rStyle w:val="NormalTok"/>
        </w:rPr>
        <w:t xml:space="preserve"> </w:t>
      </w:r>
      <w:r>
        <w:rPr>
          <w:rStyle w:val="StringTok"/>
        </w:rPr>
        <w:t xml:space="preserve">"Provider=...; Data Source=..."</w:t>
      </w:r>
      <w:r>
        <w:br/>
      </w:r>
      <w:r>
        <w:rPr>
          <w:rStyle w:val="CommentTok"/>
        </w:rPr>
        <w:t xml:space="preserve">' ...</w:t>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p>
      <w:r>
        <w:pict>
          <v:rect style="width:0;height:1.5pt" o:hralign="center" o:hrstd="t" o:hr="t"/>
        </w:pict>
      </w:r>
    </w:p>
    <w:bookmarkEnd w:id="639"/>
    <w:bookmarkStart w:id="640" w:name="server.mappath"/>
    <w:p>
      <w:pPr>
        <w:pStyle w:val="Heading3"/>
      </w:pPr>
      <w:r>
        <w:t xml:space="preserve">Server.MapPath</w:t>
      </w:r>
    </w:p>
    <w:p>
      <w:pPr>
        <w:pStyle w:val="FirstParagraph"/>
      </w:pPr>
      <w:r>
        <w:t xml:space="preserve">Translates a virtual (URL-style) path into an absolute physical file system path on the server. This is needed whenever you must open a file using</w:t>
      </w:r>
      <w:r>
        <w:t xml:space="preserve"> </w:t>
      </w:r>
      <w:r>
        <w:rPr>
          <w:rStyle w:val="VerbatimChar"/>
        </w:rPr>
        <w:t xml:space="preserve">FileSystemObject</w:t>
      </w:r>
      <w:r>
        <w:t xml:space="preserve"> </w:t>
      </w:r>
      <w:r>
        <w:t xml:space="preserve">or another file-access library.</w:t>
      </w:r>
    </w:p>
    <w:p>
      <w:pPr>
        <w:pStyle w:val="BodyText"/>
      </w:pPr>
      <w:r>
        <w:rPr>
          <w:b/>
          <w:bCs/>
        </w:rPr>
        <w:t xml:space="preserve">Syntax:</w:t>
      </w:r>
    </w:p>
    <w:p>
      <w:pPr>
        <w:pStyle w:val="SourceCode"/>
      </w:pPr>
      <w:r>
        <w:rPr>
          <w:rStyle w:val="NormalTok"/>
        </w:rPr>
        <w:t xml:space="preserve">Server.MapPath(path)</w:t>
      </w:r>
    </w:p>
    <w:p>
      <w:pPr>
        <w:pStyle w:val="FirstParagraph"/>
      </w:pPr>
      <w:r>
        <w:rPr>
          <w:b/>
          <w:bCs/>
        </w:rPr>
        <w:t xml:space="preserve">Parameters:</w:t>
      </w:r>
    </w:p>
    <w:tbl>
      <w:tblPr>
        <w:tblStyle w:val="Table"/>
        <w:tblW w:type="pct" w:w="5000"/>
        <w:tblLayout w:type="fixed"/>
        <w:tblLook w:firstRow="1" w:lastRow="0" w:firstColumn="0" w:lastColumn="0" w:noHBand="0" w:noVBand="0" w:val="0020"/>
      </w:tblPr>
      <w:tblGrid>
        <w:gridCol w:w="2904"/>
        <w:gridCol w:w="1584"/>
        <w:gridCol w:w="3432"/>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path</w:t>
            </w:r>
          </w:p>
        </w:tc>
        <w:tc>
          <w:tcPr/>
          <w:p>
            <w:pPr>
              <w:pStyle w:val="Compact"/>
            </w:pPr>
            <w:r>
              <w:t xml:space="preserve">String</w:t>
            </w:r>
          </w:p>
        </w:tc>
        <w:tc>
          <w:tcPr/>
          <w:p>
            <w:pPr>
              <w:pStyle w:val="Compact"/>
            </w:pPr>
            <w:r>
              <w:t xml:space="preserve">Virtual path. A leading</w:t>
            </w:r>
            <w:r>
              <w:t xml:space="preserve"> </w:t>
            </w:r>
            <w:r>
              <w:rPr>
                <w:rStyle w:val="VerbatimChar"/>
              </w:rPr>
              <w:t xml:space="preserve">/</w:t>
            </w:r>
            <w:r>
              <w:t xml:space="preserve"> </w:t>
            </w:r>
            <w:r>
              <w:t xml:space="preserve">means the web root. A relative path is relative to the current script’s directory.</w:t>
            </w:r>
          </w:p>
        </w:tc>
      </w:tr>
    </w:tbl>
    <w:p>
      <w:pPr>
        <w:pStyle w:val="BodyText"/>
      </w:pPr>
      <w:r>
        <w:rPr>
          <w:b/>
          <w:bCs/>
        </w:rPr>
        <w:t xml:space="preserve">Return Value:</w:t>
      </w:r>
      <w:r>
        <w:t xml:space="preserve"> </w:t>
      </w:r>
      <w:r>
        <w:t xml:space="preserve">String (absolute file system path)</w:t>
      </w:r>
    </w:p>
    <w:p>
      <w:pPr>
        <w:pStyle w:val="BodyText"/>
      </w:pPr>
      <w:r>
        <w:rPr>
          <w:b/>
          <w:bCs/>
        </w:rPr>
        <w:t xml:space="preserve">Example:</w:t>
      </w:r>
    </w:p>
    <w:p>
      <w:pPr>
        <w:pStyle w:val="SourceCode"/>
      </w:pPr>
      <w:r>
        <w:rPr>
          <w:rStyle w:val="DataTypeTok"/>
        </w:rPr>
        <w:t xml:space="preserve">&lt;%</w:t>
      </w:r>
      <w:r>
        <w:br/>
      </w:r>
      <w:r>
        <w:rPr>
          <w:rStyle w:val="CommentTok"/>
        </w:rPr>
        <w:t xml:space="preserve">' Absolute virtual path</w:t>
      </w:r>
      <w:r>
        <w:br/>
      </w:r>
      <w:r>
        <w:rPr>
          <w:rStyle w:val="KeywordTok"/>
        </w:rPr>
        <w:t xml:space="preserve">Dim</w:t>
      </w:r>
      <w:r>
        <w:rPr>
          <w:rStyle w:val="NormalTok"/>
        </w:rPr>
        <w:t xml:space="preserve"> fullPath</w:t>
      </w:r>
      <w:r>
        <w:br/>
      </w:r>
      <w:r>
        <w:rPr>
          <w:rStyle w:val="NormalTok"/>
        </w:rPr>
        <w:t xml:space="preserve">fullPath = </w:t>
      </w:r>
      <w:r>
        <w:rPr>
          <w:rStyle w:val="FunctionTok"/>
        </w:rPr>
        <w:t xml:space="preserve">Server</w:t>
      </w:r>
      <w:r>
        <w:rPr>
          <w:rStyle w:val="NormalTok"/>
        </w:rPr>
        <w:t xml:space="preserve">.MapPath</w:t>
      </w:r>
      <w:r>
        <w:rPr>
          <w:rStyle w:val="OtherTok"/>
        </w:rPr>
        <w:t xml:space="preserve">(</w:t>
      </w:r>
      <w:r>
        <w:rPr>
          <w:rStyle w:val="StringTok"/>
        </w:rPr>
        <w:t xml:space="preserve">"/data/config.json"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fullPath   </w:t>
      </w:r>
      <w:r>
        <w:rPr>
          <w:rStyle w:val="CommentTok"/>
        </w:rPr>
        <w:t xml:space="preserve">' e.g., C:\inetpub\wwwroot\data\config.json</w:t>
      </w:r>
      <w:r>
        <w:br/>
      </w:r>
      <w:r>
        <w:br/>
      </w:r>
      <w:r>
        <w:rPr>
          <w:rStyle w:val="CommentTok"/>
        </w:rPr>
        <w:t xml:space="preserve">' Relative path (relative to current script's directory)</w:t>
      </w:r>
      <w:r>
        <w:br/>
      </w:r>
      <w:r>
        <w:rPr>
          <w:rStyle w:val="KeywordTok"/>
        </w:rPr>
        <w:t xml:space="preserve">Dim</w:t>
      </w:r>
      <w:r>
        <w:rPr>
          <w:rStyle w:val="NormalTok"/>
        </w:rPr>
        <w:t xml:space="preserve"> relPath</w:t>
      </w:r>
      <w:r>
        <w:br/>
      </w:r>
      <w:r>
        <w:rPr>
          <w:rStyle w:val="NormalTok"/>
        </w:rPr>
        <w:t xml:space="preserve">relPath = </w:t>
      </w:r>
      <w:r>
        <w:rPr>
          <w:rStyle w:val="FunctionTok"/>
        </w:rPr>
        <w:t xml:space="preserve">Server</w:t>
      </w:r>
      <w:r>
        <w:rPr>
          <w:rStyle w:val="NormalTok"/>
        </w:rPr>
        <w:t xml:space="preserve">.MapPath</w:t>
      </w:r>
      <w:r>
        <w:rPr>
          <w:rStyle w:val="OtherTok"/>
        </w:rPr>
        <w:t xml:space="preserve">(</w:t>
      </w:r>
      <w:r>
        <w:rPr>
          <w:rStyle w:val="StringTok"/>
        </w:rPr>
        <w:t xml:space="preserve">"images/logo.png"</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relPath</w:t>
      </w:r>
      <w:r>
        <w:br/>
      </w:r>
      <w:r>
        <w:rPr>
          <w:rStyle w:val="DataTypeTok"/>
        </w:rPr>
        <w:t xml:space="preserve">%&gt;</w:t>
      </w:r>
    </w:p>
    <w:p>
      <w:r>
        <w:pict>
          <v:rect style="width:0;height:1.5pt" o:hralign="center" o:hrstd="t" o:hr="t"/>
        </w:pict>
      </w:r>
    </w:p>
    <w:bookmarkEnd w:id="640"/>
    <w:bookmarkStart w:id="641" w:name="server.htmlencode"/>
    <w:p>
      <w:pPr>
        <w:pStyle w:val="Heading3"/>
      </w:pPr>
      <w:r>
        <w:t xml:space="preserve">Server.HTMLEncode</w:t>
      </w:r>
    </w:p>
    <w:p>
      <w:pPr>
        <w:pStyle w:val="FirstParagraph"/>
      </w:pPr>
      <w:r>
        <w:t xml:space="preserve">Escapes HTML special characters so that a string is safe to insert into an HTML page. Converts</w:t>
      </w:r>
      <w:r>
        <w:t xml:space="preserve"> </w:t>
      </w:r>
      <w:r>
        <w:rPr>
          <w:rStyle w:val="VerbatimChar"/>
        </w:rPr>
        <w:t xml:space="preserve">&lt;</w:t>
      </w:r>
      <w:r>
        <w:t xml:space="preserve">,</w:t>
      </w:r>
      <w:r>
        <w:t xml:space="preserve"> </w:t>
      </w:r>
      <w:r>
        <w:rPr>
          <w:rStyle w:val="VerbatimChar"/>
        </w:rPr>
        <w:t xml:space="preserve">&gt;</w:t>
      </w:r>
      <w:r>
        <w:t xml:space="preserve">,</w:t>
      </w:r>
      <w:r>
        <w:t xml:space="preserve"> </w:t>
      </w:r>
      <w:r>
        <w:rPr>
          <w:rStyle w:val="VerbatimChar"/>
        </w:rPr>
        <w:t xml:space="preserve">&amp;</w:t>
      </w:r>
      <w:r>
        <w:t xml:space="preserve">,</w:t>
      </w:r>
      <w:r>
        <w:t xml:space="preserve"> </w:t>
      </w:r>
      <w:r>
        <w:rPr>
          <w:rStyle w:val="VerbatimChar"/>
        </w:rPr>
        <w:t xml:space="preserve">"</w:t>
      </w:r>
      <w:r>
        <w:t xml:space="preserve">, and</w:t>
      </w:r>
      <w:r>
        <w:t xml:space="preserve"> </w:t>
      </w:r>
      <w:r>
        <w:rPr>
          <w:rStyle w:val="VerbatimChar"/>
        </w:rPr>
        <w:t xml:space="preserve">'</w:t>
      </w:r>
      <w:r>
        <w:t xml:space="preserve"> </w:t>
      </w:r>
      <w:r>
        <w:t xml:space="preserve">to their HTML entity equivalents.</w:t>
      </w:r>
    </w:p>
    <w:p>
      <w:pPr>
        <w:pStyle w:val="BodyText"/>
      </w:pPr>
      <w:r>
        <w:rPr>
          <w:b/>
          <w:bCs/>
        </w:rPr>
        <w:t xml:space="preserve">Syntax:</w:t>
      </w:r>
    </w:p>
    <w:p>
      <w:pPr>
        <w:pStyle w:val="SourceCode"/>
      </w:pPr>
      <w:r>
        <w:rPr>
          <w:rStyle w:val="NormalTok"/>
        </w:rPr>
        <w:t xml:space="preserve">Server.HTMLEncode(string)</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string</w:t>
            </w:r>
          </w:p>
        </w:tc>
        <w:tc>
          <w:tcPr/>
          <w:p>
            <w:pPr>
              <w:pStyle w:val="Compact"/>
            </w:pPr>
            <w:r>
              <w:t xml:space="preserve">String</w:t>
            </w:r>
          </w:p>
        </w:tc>
        <w:tc>
          <w:tcPr/>
          <w:p>
            <w:pPr>
              <w:pStyle w:val="Compact"/>
            </w:pPr>
            <w:r>
              <w:t xml:space="preserve">The text to escape</w:t>
            </w:r>
          </w:p>
        </w:tc>
      </w:tr>
    </w:tbl>
    <w:p>
      <w:pPr>
        <w:pStyle w:val="BodyText"/>
      </w:pPr>
      <w:r>
        <w:rPr>
          <w:b/>
          <w:bCs/>
        </w:rPr>
        <w:t xml:space="preserve">Return Value:</w:t>
      </w:r>
      <w:r>
        <w:t xml:space="preserve"> </w:t>
      </w:r>
      <w:r>
        <w:t xml:space="preserve">String (HTML-safe text)</w:t>
      </w:r>
    </w:p>
    <w:p>
      <w:pPr>
        <w:pStyle w:val="BodyText"/>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userInput </w:t>
      </w:r>
      <w:r>
        <w:rPr>
          <w:rStyle w:val="OtherTok"/>
        </w:rPr>
        <w:t xml:space="preserve">:</w:t>
      </w:r>
      <w:r>
        <w:rPr>
          <w:rStyle w:val="NormalTok"/>
        </w:rPr>
        <w:t xml:space="preserve"> userInput = </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StringTok"/>
        </w:rPr>
        <w:t xml:space="preserve">"comment"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"&lt;p&gt;"</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userInput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"&lt;/p&gt;"</w:t>
      </w:r>
      <w:r>
        <w:br/>
      </w:r>
      <w:r>
        <w:rPr>
          <w:rStyle w:val="CommentTok"/>
        </w:rPr>
        <w:t xml:space="preserve">' Prevents XSS: &lt;script&gt;alert(1)&lt;/script&gt; becomes</w:t>
      </w:r>
      <w:r>
        <w:br/>
      </w:r>
      <w:r>
        <w:rPr>
          <w:rStyle w:val="CommentTok"/>
        </w:rPr>
        <w:t xml:space="preserve">' &amp;lt;script&amp;gt;alert(1)&amp;lt;/script&amp;gt;</w:t>
      </w:r>
      <w:r>
        <w:br/>
      </w:r>
      <w:r>
        <w:rPr>
          <w:rStyle w:val="DataTypeTok"/>
        </w:rPr>
        <w:t xml:space="preserve">%&gt;</w:t>
      </w:r>
    </w:p>
    <w:p>
      <w:r>
        <w:pict>
          <v:rect style="width:0;height:1.5pt" o:hralign="center" o:hrstd="t" o:hr="t"/>
        </w:pict>
      </w:r>
    </w:p>
    <w:bookmarkEnd w:id="641"/>
    <w:bookmarkStart w:id="642" w:name="server.urlencode"/>
    <w:p>
      <w:pPr>
        <w:pStyle w:val="Heading3"/>
      </w:pPr>
      <w:r>
        <w:t xml:space="preserve">Server.URLEncode</w:t>
      </w:r>
    </w:p>
    <w:p>
      <w:pPr>
        <w:pStyle w:val="FirstParagraph"/>
      </w:pPr>
      <w:r>
        <w:t xml:space="preserve">Encodes a string for safe use in a URL query string. Spaces become</w:t>
      </w:r>
      <w:r>
        <w:t xml:space="preserve"> </w:t>
      </w:r>
      <w:r>
        <w:rPr>
          <w:rStyle w:val="VerbatimChar"/>
        </w:rPr>
        <w:t xml:space="preserve">+</w:t>
      </w:r>
      <w:r>
        <w:t xml:space="preserve">, and special characters are percent-encoded.</w:t>
      </w:r>
    </w:p>
    <w:p>
      <w:pPr>
        <w:pStyle w:val="BodyText"/>
      </w:pPr>
      <w:r>
        <w:rPr>
          <w:b/>
          <w:bCs/>
        </w:rPr>
        <w:t xml:space="preserve">Syntax:</w:t>
      </w:r>
    </w:p>
    <w:p>
      <w:pPr>
        <w:pStyle w:val="SourceCode"/>
      </w:pPr>
      <w:r>
        <w:rPr>
          <w:rStyle w:val="NormalTok"/>
        </w:rPr>
        <w:t xml:space="preserve">Server.URLEncode(string)</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string</w:t>
            </w:r>
          </w:p>
        </w:tc>
        <w:tc>
          <w:tcPr/>
          <w:p>
            <w:pPr>
              <w:pStyle w:val="Compact"/>
            </w:pPr>
            <w:r>
              <w:t xml:space="preserve">String</w:t>
            </w:r>
          </w:p>
        </w:tc>
        <w:tc>
          <w:tcPr/>
          <w:p>
            <w:pPr>
              <w:pStyle w:val="Compact"/>
            </w:pPr>
            <w:r>
              <w:t xml:space="preserve">The value to encode</w:t>
            </w:r>
          </w:p>
        </w:tc>
      </w:tr>
    </w:tbl>
    <w:p>
      <w:pPr>
        <w:pStyle w:val="BodyText"/>
      </w:pPr>
      <w:r>
        <w:rPr>
          <w:b/>
          <w:bCs/>
        </w:rPr>
        <w:t xml:space="preserve">Return Value:</w:t>
      </w:r>
      <w:r>
        <w:t xml:space="preserve"> </w:t>
      </w:r>
      <w:r>
        <w:t xml:space="preserve">String (URL-encoded)</w:t>
      </w:r>
    </w:p>
    <w:p>
      <w:pPr>
        <w:pStyle w:val="BodyText"/>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searchTerm </w:t>
      </w:r>
      <w:r>
        <w:rPr>
          <w:rStyle w:val="OtherTok"/>
        </w:rPr>
        <w:t xml:space="preserve">:</w:t>
      </w:r>
      <w:r>
        <w:rPr>
          <w:rStyle w:val="NormalTok"/>
        </w:rPr>
        <w:t xml:space="preserve"> searchTerm = </w:t>
      </w:r>
      <w:r>
        <w:rPr>
          <w:rStyle w:val="StringTok"/>
        </w:rPr>
        <w:t xml:space="preserve">"hello world &amp; more"</w:t>
      </w:r>
      <w:r>
        <w:br/>
      </w:r>
      <w:r>
        <w:rPr>
          <w:rStyle w:val="FunctionTok"/>
        </w:rPr>
        <w:t xml:space="preserve">Response</w:t>
      </w:r>
      <w:r>
        <w:rPr>
          <w:rStyle w:val="NormalTok"/>
        </w:rPr>
        <w:t xml:space="preserve">.</w:t>
      </w:r>
      <w:r>
        <w:rPr>
          <w:rStyle w:val="FunctionTok"/>
        </w:rPr>
        <w:t xml:space="preserve">Redirect</w:t>
      </w:r>
      <w:r>
        <w:rPr>
          <w:rStyle w:val="NormalTok"/>
        </w:rPr>
        <w:t xml:space="preserve"> </w:t>
      </w:r>
      <w:r>
        <w:rPr>
          <w:rStyle w:val="StringTok"/>
        </w:rPr>
        <w:t xml:space="preserve">"/search.asp?q="</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.URLEncode</w:t>
      </w:r>
      <w:r>
        <w:rPr>
          <w:rStyle w:val="OtherTok"/>
        </w:rPr>
        <w:t xml:space="preserve">(</w:t>
      </w:r>
      <w:r>
        <w:rPr>
          <w:rStyle w:val="NormalTok"/>
        </w:rPr>
        <w:t xml:space="preserve">searchTerm</w:t>
      </w:r>
      <w:r>
        <w:rPr>
          <w:rStyle w:val="OtherTok"/>
        </w:rPr>
        <w:t xml:space="preserve">)</w:t>
      </w:r>
      <w:r>
        <w:br/>
      </w:r>
      <w:r>
        <w:rPr>
          <w:rStyle w:val="CommentTok"/>
        </w:rPr>
        <w:t xml:space="preserve">' Redirects to /search.asp?q=hello+world+%26+more</w:t>
      </w:r>
      <w:r>
        <w:br/>
      </w:r>
      <w:r>
        <w:rPr>
          <w:rStyle w:val="DataTypeTok"/>
        </w:rPr>
        <w:t xml:space="preserve">%&gt;</w:t>
      </w:r>
    </w:p>
    <w:p>
      <w:r>
        <w:pict>
          <v:rect style="width:0;height:1.5pt" o:hralign="center" o:hrstd="t" o:hr="t"/>
        </w:pict>
      </w:r>
    </w:p>
    <w:bookmarkEnd w:id="642"/>
    <w:bookmarkStart w:id="643" w:name="server.urlpathencode"/>
    <w:p>
      <w:pPr>
        <w:pStyle w:val="Heading3"/>
      </w:pPr>
      <w:r>
        <w:t xml:space="preserve">Server.URLPathEncode</w:t>
      </w:r>
    </w:p>
    <w:p>
      <w:pPr>
        <w:pStyle w:val="FirstParagraph"/>
      </w:pPr>
      <w:r>
        <w:t xml:space="preserve">Encodes a string for use in a URL path segment. Slashes (</w:t>
      </w:r>
      <w:r>
        <w:rPr>
          <w:rStyle w:val="VerbatimChar"/>
        </w:rPr>
        <w:t xml:space="preserve">/</w:t>
      </w:r>
      <w:r>
        <w:t xml:space="preserve">) are preserved as-is; only individual path components are encoded.</w:t>
      </w:r>
    </w:p>
    <w:p>
      <w:pPr>
        <w:pStyle w:val="BodyText"/>
      </w:pPr>
      <w:r>
        <w:rPr>
          <w:b/>
          <w:bCs/>
        </w:rPr>
        <w:t xml:space="preserve">Syntax:</w:t>
      </w:r>
    </w:p>
    <w:p>
      <w:pPr>
        <w:pStyle w:val="SourceCode"/>
      </w:pPr>
      <w:r>
        <w:rPr>
          <w:rStyle w:val="NormalTok"/>
        </w:rPr>
        <w:t xml:space="preserve">Server.URLPathEncode(string)</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string</w:t>
            </w:r>
          </w:p>
        </w:tc>
        <w:tc>
          <w:tcPr/>
          <w:p>
            <w:pPr>
              <w:pStyle w:val="Compact"/>
            </w:pPr>
            <w:r>
              <w:t xml:space="preserve">String</w:t>
            </w:r>
          </w:p>
        </w:tc>
        <w:tc>
          <w:tcPr/>
          <w:p>
            <w:pPr>
              <w:pStyle w:val="Compact"/>
            </w:pPr>
            <w:r>
              <w:t xml:space="preserve">The path to encode</w:t>
            </w:r>
          </w:p>
        </w:tc>
      </w:tr>
    </w:tbl>
    <w:p>
      <w:pPr>
        <w:pStyle w:val="BodyText"/>
      </w:pPr>
      <w:r>
        <w:rPr>
          <w:b/>
          <w:bCs/>
        </w:rPr>
        <w:t xml:space="preserve">Return Value:</w:t>
      </w:r>
      <w:r>
        <w:t xml:space="preserve"> </w:t>
      </w:r>
      <w:r>
        <w:t xml:space="preserve">String (path-encoded)</w:t>
      </w:r>
    </w:p>
    <w:p>
      <w:pPr>
        <w:pStyle w:val="BodyText"/>
      </w:pPr>
      <w:r>
        <w:rPr>
          <w:b/>
          <w:bCs/>
        </w:rPr>
        <w:t xml:space="preserve">Example:</w:t>
      </w:r>
    </w:p>
    <w:p>
      <w:pPr>
        <w:pStyle w:val="SourceCode"/>
      </w:pPr>
      <w:r>
        <w:rPr>
          <w:rStyle w:val="DataTypeTok"/>
        </w:rPr>
        <w:t xml:space="preserve">&lt;%</w:t>
      </w:r>
      <w:r>
        <w:br/>
      </w:r>
      <w:r>
        <w:rPr>
          <w:rStyle w:val="KeywordTok"/>
        </w:rPr>
        <w:t xml:space="preserve">Dim</w:t>
      </w:r>
      <w:r>
        <w:rPr>
          <w:rStyle w:val="NormalTok"/>
        </w:rPr>
        <w:t xml:space="preserve"> folder </w:t>
      </w:r>
      <w:r>
        <w:rPr>
          <w:rStyle w:val="OtherTok"/>
        </w:rPr>
        <w:t xml:space="preserve">:</w:t>
      </w:r>
      <w:r>
        <w:rPr>
          <w:rStyle w:val="NormalTok"/>
        </w:rPr>
        <w:t xml:space="preserve"> folder = </w:t>
      </w:r>
      <w:r>
        <w:rPr>
          <w:rStyle w:val="StringTok"/>
        </w:rPr>
        <w:t xml:space="preserve">"my documents/2026"</w:t>
      </w:r>
      <w:r>
        <w:br/>
      </w:r>
      <w:r>
        <w:rPr>
          <w:rStyle w:val="KeywordTok"/>
        </w:rPr>
        <w:t xml:space="preserve">Dim</w:t>
      </w:r>
      <w:r>
        <w:rPr>
          <w:rStyle w:val="NormalTok"/>
        </w:rPr>
        <w:t xml:space="preserve"> encodedPath </w:t>
      </w:r>
      <w:r>
        <w:rPr>
          <w:rStyle w:val="OtherTok"/>
        </w:rPr>
        <w:t xml:space="preserve">:</w:t>
      </w:r>
      <w:r>
        <w:rPr>
          <w:rStyle w:val="NormalTok"/>
        </w:rPr>
        <w:t xml:space="preserve"> encodedPath = </w:t>
      </w:r>
      <w:r>
        <w:rPr>
          <w:rStyle w:val="FunctionTok"/>
        </w:rPr>
        <w:t xml:space="preserve">Server</w:t>
      </w:r>
      <w:r>
        <w:rPr>
          <w:rStyle w:val="NormalTok"/>
        </w:rPr>
        <w:t xml:space="preserve">.URLPathEncode</w:t>
      </w:r>
      <w:r>
        <w:rPr>
          <w:rStyle w:val="OtherTok"/>
        </w:rPr>
        <w:t xml:space="preserve">(</w:t>
      </w:r>
      <w:r>
        <w:rPr>
          <w:rStyle w:val="NormalTok"/>
        </w:rPr>
        <w:t xml:space="preserve">folder</w:t>
      </w:r>
      <w:r>
        <w:rPr>
          <w:rStyle w:val="OtherTok"/>
        </w:rPr>
        <w:t xml:space="preserve">)</w:t>
      </w:r>
      <w:r>
        <w:br/>
      </w:r>
      <w:r>
        <w:rPr>
          <w:rStyle w:val="CommentTok"/>
        </w:rPr>
        <w:t xml:space="preserve">' Result: "my%20documents/2026"  (slash preserved)</w:t>
      </w:r>
      <w:r>
        <w:br/>
      </w:r>
      <w:r>
        <w:rPr>
          <w:rStyle w:val="DataTypeTok"/>
        </w:rPr>
        <w:t xml:space="preserve">%&gt;</w:t>
      </w:r>
    </w:p>
    <w:p>
      <w:r>
        <w:pict>
          <v:rect style="width:0;height:1.5pt" o:hralign="center" o:hrstd="t" o:hr="t"/>
        </w:pict>
      </w:r>
    </w:p>
    <w:bookmarkEnd w:id="643"/>
    <w:bookmarkStart w:id="644" w:name="server.getlasterror"/>
    <w:p>
      <w:pPr>
        <w:pStyle w:val="Heading3"/>
      </w:pPr>
      <w:r>
        <w:t xml:space="preserve">Server.GetLastError</w:t>
      </w:r>
    </w:p>
    <w:p>
      <w:pPr>
        <w:pStyle w:val="FirstParagraph"/>
      </w:pPr>
      <w:r>
        <w:t xml:space="preserve">Returns the</w:t>
      </w:r>
      <w:r>
        <w:t xml:space="preserve"> </w:t>
      </w:r>
      <w:r>
        <w:rPr>
          <w:rStyle w:val="VerbatimChar"/>
        </w:rPr>
        <w:t xml:space="preserve">ASPError</w:t>
      </w:r>
      <w:r>
        <w:t xml:space="preserve"> </w:t>
      </w:r>
      <w:r>
        <w:t xml:space="preserve">object populated with information about the most recent error in the current script. Useful inside custom error handlers.</w:t>
      </w:r>
    </w:p>
    <w:p>
      <w:pPr>
        <w:pStyle w:val="BodyText"/>
      </w:pPr>
      <w:r>
        <w:rPr>
          <w:b/>
          <w:bCs/>
        </w:rPr>
        <w:t xml:space="preserve">Syntax:</w:t>
      </w:r>
    </w:p>
    <w:p>
      <w:pPr>
        <w:pStyle w:val="SourceCode"/>
      </w:pPr>
      <w:r>
        <w:rPr>
          <w:rStyle w:val="NormalTok"/>
        </w:rPr>
        <w:t xml:space="preserve">Set err = Server.GetLastError()</w:t>
      </w:r>
    </w:p>
    <w:p>
      <w:pPr>
        <w:pStyle w:val="FirstParagraph"/>
      </w:pPr>
      <w:r>
        <w:rPr>
          <w:b/>
          <w:bCs/>
        </w:rPr>
        <w:t xml:space="preserve">Return Value:</w:t>
      </w:r>
      <w:r>
        <w:t xml:space="preserve"> </w:t>
      </w:r>
      <w:r>
        <w:t xml:space="preserve">ASPError object</w:t>
      </w:r>
    </w:p>
    <w:p>
      <w:pPr>
        <w:pStyle w:val="BodyText"/>
      </w:pPr>
      <w:r>
        <w:rPr>
          <w:b/>
          <w:bCs/>
        </w:rPr>
        <w:t xml:space="preserve">Example:</w:t>
      </w:r>
    </w:p>
    <w:p>
      <w:pPr>
        <w:pStyle w:val="SourceCode"/>
      </w:pPr>
      <w:r>
        <w:rPr>
          <w:rStyle w:val="DataTypeTok"/>
        </w:rPr>
        <w:t xml:space="preserve">&lt;%</w:t>
      </w:r>
      <w:r>
        <w:br/>
      </w:r>
      <w:r>
        <w:rPr>
          <w:rStyle w:val="NormalTok"/>
        </w:rPr>
        <w:t xml:space="preserve">On Error Resume </w:t>
      </w:r>
      <w:r>
        <w:rPr>
          <w:rStyle w:val="ControlFlowTok"/>
        </w:rPr>
        <w:t xml:space="preserve">Next</w:t>
      </w:r>
      <w:r>
        <w:br/>
      </w:r>
      <w:r>
        <w:rPr>
          <w:rStyle w:val="KeywordTok"/>
        </w:rPr>
        <w:t xml:space="preserve">Dim</w:t>
      </w:r>
      <w:r>
        <w:rPr>
          <w:rStyle w:val="NormalTok"/>
        </w:rPr>
        <w:t xml:space="preserve"> x </w:t>
      </w:r>
      <w:r>
        <w:rPr>
          <w:rStyle w:val="OtherTok"/>
        </w:rPr>
        <w:t xml:space="preserve">:</w:t>
      </w:r>
      <w:r>
        <w:rPr>
          <w:rStyle w:val="NormalTok"/>
        </w:rPr>
        <w:t xml:space="preserve"> x = </w:t>
      </w:r>
      <w:r>
        <w:rPr>
          <w:rStyle w:val="DecValTok"/>
        </w:rPr>
        <w:t xml:space="preserve">1</w:t>
      </w:r>
      <w:r>
        <w:rPr>
          <w:rStyle w:val="NormalTok"/>
        </w:rPr>
        <w:t xml:space="preserve"> / </w:t>
      </w:r>
      <w:r>
        <w:rPr>
          <w:rStyle w:val="DecValTok"/>
        </w:rPr>
        <w:t xml:space="preserve">0</w:t>
      </w:r>
      <w:r>
        <w:rPr>
          <w:rStyle w:val="NormalTok"/>
        </w:rPr>
        <w:t xml:space="preserve">   </w:t>
      </w:r>
      <w:r>
        <w:rPr>
          <w:rStyle w:val="CommentTok"/>
        </w:rPr>
        <w:t xml:space="preserve">' Division by zero</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KeywordTok"/>
        </w:rPr>
        <w:t xml:space="preserve">Dim</w:t>
      </w:r>
      <w:r>
        <w:rPr>
          <w:rStyle w:val="NormalTok"/>
        </w:rPr>
        <w:t xml:space="preserve"> aspErr</w:t>
      </w:r>
      <w:r>
        <w:br/>
      </w:r>
      <w:r>
        <w:rPr>
          <w:rStyle w:val="NormalTok"/>
        </w:rPr>
        <w:t xml:space="preserve">    </w:t>
      </w:r>
      <w:r>
        <w:rPr>
          <w:rStyle w:val="KeywordTok"/>
        </w:rPr>
        <w:t xml:space="preserve">Set</w:t>
      </w:r>
      <w:r>
        <w:rPr>
          <w:rStyle w:val="NormalTok"/>
        </w:rPr>
        <w:t xml:space="preserve"> aspErr = </w:t>
      </w:r>
      <w:r>
        <w:rPr>
          <w:rStyle w:val="FunctionTok"/>
        </w:rPr>
        <w:t xml:space="preserve">Server</w:t>
      </w:r>
      <w:r>
        <w:rPr>
          <w:rStyle w:val="NormalTok"/>
        </w:rPr>
        <w:t xml:space="preserve">.GetLastError</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aspErr.Number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aspErr.Description</w:t>
      </w:r>
      <w:r>
        <w:br/>
      </w:r>
      <w:r>
        <w:rPr>
          <w:rStyle w:val="ControlFlowTok"/>
        </w:rPr>
        <w:t xml:space="preserve">End If</w:t>
      </w:r>
      <w:r>
        <w:br/>
      </w:r>
      <w:r>
        <w:rPr>
          <w:rStyle w:val="DataTypeTok"/>
        </w:rPr>
        <w:t xml:space="preserve">%&gt;</w:t>
      </w:r>
    </w:p>
    <w:p>
      <w:r>
        <w:pict>
          <v:rect style="width:0;height:1.5pt" o:hralign="center" o:hrstd="t" o:hr="t"/>
        </w:pict>
      </w:r>
    </w:p>
    <w:bookmarkEnd w:id="644"/>
    <w:bookmarkStart w:id="645" w:name="server.execute"/>
    <w:p>
      <w:pPr>
        <w:pStyle w:val="Heading3"/>
      </w:pPr>
      <w:r>
        <w:t xml:space="preserve">Server.Execute</w:t>
      </w:r>
    </w:p>
    <w:p>
      <w:pPr>
        <w:pStyle w:val="FirstParagraph"/>
      </w:pPr>
      <w:r>
        <w:t xml:space="preserve">Executes another ASP file as if its content were inline in the current script. The called script shares the same</w:t>
      </w:r>
      <w:r>
        <w:t xml:space="preserve"> </w:t>
      </w:r>
      <w:r>
        <w:rPr>
          <w:rStyle w:val="VerbatimChar"/>
        </w:rPr>
        <w:t xml:space="preserve">Request</w:t>
      </w:r>
      <w:r>
        <w:t xml:space="preserve">,</w:t>
      </w:r>
      <w:r>
        <w:t xml:space="preserve"> </w:t>
      </w:r>
      <w:r>
        <w:rPr>
          <w:rStyle w:val="VerbatimChar"/>
        </w:rPr>
        <w:t xml:space="preserve">Response</w:t>
      </w:r>
      <w:r>
        <w:t xml:space="preserve">,</w:t>
      </w:r>
      <w:r>
        <w:t xml:space="preserve"> </w:t>
      </w:r>
      <w:r>
        <w:rPr>
          <w:rStyle w:val="VerbatimChar"/>
        </w:rPr>
        <w:t xml:space="preserve">Session</w:t>
      </w:r>
      <w:r>
        <w:t xml:space="preserve">, and</w:t>
      </w:r>
      <w:r>
        <w:t xml:space="preserve"> </w:t>
      </w:r>
      <w:r>
        <w:rPr>
          <w:rStyle w:val="VerbatimChar"/>
        </w:rPr>
        <w:t xml:space="preserve">Application</w:t>
      </w:r>
      <w:r>
        <w:t xml:space="preserve"> </w:t>
      </w:r>
      <w:r>
        <w:t xml:space="preserve">objects. Execution returns to the calling page when the included script finishes.</w:t>
      </w:r>
    </w:p>
    <w:p>
      <w:pPr>
        <w:pStyle w:val="BodyText"/>
      </w:pPr>
      <w:r>
        <w:rPr>
          <w:b/>
          <w:bCs/>
        </w:rPr>
        <w:t xml:space="preserve">Syntax:</w:t>
      </w:r>
    </w:p>
    <w:p>
      <w:pPr>
        <w:pStyle w:val="SourceCode"/>
      </w:pPr>
      <w:r>
        <w:rPr>
          <w:rStyle w:val="NormalTok"/>
        </w:rPr>
        <w:t xml:space="preserve">Server.Execute(path)</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path</w:t>
            </w:r>
          </w:p>
        </w:tc>
        <w:tc>
          <w:tcPr/>
          <w:p>
            <w:pPr>
              <w:pStyle w:val="Compact"/>
            </w:pPr>
            <w:r>
              <w:t xml:space="preserve">String</w:t>
            </w:r>
          </w:p>
        </w:tc>
        <w:tc>
          <w:tcPr/>
          <w:p>
            <w:pPr>
              <w:pStyle w:val="Compact"/>
            </w:pPr>
            <w:r>
              <w:t xml:space="preserve">Virtual path to the ASP file to execute</w:t>
            </w:r>
          </w:p>
        </w:tc>
      </w:tr>
    </w:tbl>
    <w:p>
      <w:pPr>
        <w:pStyle w:val="BodyText"/>
      </w:pPr>
      <w:r>
        <w:rPr>
          <w:b/>
          <w:bCs/>
        </w:rPr>
        <w:t xml:space="preserve">Return Value:</w:t>
      </w:r>
      <w:r>
        <w:t xml:space="preserve"> </w:t>
      </w:r>
      <w:r>
        <w:t xml:space="preserve">None</w:t>
      </w:r>
    </w:p>
    <w:p>
      <w:pPr>
        <w:pStyle w:val="BodyText"/>
      </w:pPr>
      <w:r>
        <w:rPr>
          <w:b/>
          <w:bCs/>
        </w:rPr>
        <w:t xml:space="preserve">Example:</w:t>
      </w:r>
    </w:p>
    <w:p>
      <w:pPr>
        <w:pStyle w:val="SourceCode"/>
      </w:pPr>
      <w:r>
        <w:rPr>
          <w:rStyle w:val="DataTypeTok"/>
        </w:rPr>
        <w:t xml:space="preserve">&lt;%</w:t>
      </w:r>
      <w:r>
        <w:br/>
      </w:r>
      <w:r>
        <w:rPr>
          <w:rStyle w:val="CommentTok"/>
        </w:rPr>
        <w:t xml:space="preserve">' include a header component</w:t>
      </w:r>
      <w:r>
        <w:br/>
      </w:r>
      <w:r>
        <w:rPr>
          <w:rStyle w:val="FunctionTok"/>
        </w:rPr>
        <w:t xml:space="preserve">Server</w:t>
      </w:r>
      <w:r>
        <w:rPr>
          <w:rStyle w:val="NormalTok"/>
        </w:rPr>
        <w:t xml:space="preserve">.</w:t>
      </w:r>
      <w:r>
        <w:rPr>
          <w:rStyle w:val="KeywordTok"/>
        </w:rPr>
        <w:t xml:space="preserve">Execute</w:t>
      </w:r>
      <w:r>
        <w:rPr>
          <w:rStyle w:val="NormalTok"/>
        </w:rPr>
        <w:t xml:space="preserve"> </w:t>
      </w:r>
      <w:r>
        <w:rPr>
          <w:rStyle w:val="StringTok"/>
        </w:rPr>
        <w:t xml:space="preserve">"/includes/header.asp"</w:t>
      </w:r>
      <w:r>
        <w:br/>
      </w:r>
      <w:r>
        <w:rPr>
          <w:rStyle w:val="DataTypeTok"/>
        </w:rPr>
        <w:t xml:space="preserve">%&gt;</w:t>
      </w:r>
      <w:r>
        <w:br/>
      </w:r>
      <w:r>
        <w:rPr>
          <w:rStyle w:val="KeywordTok"/>
        </w:rPr>
        <w:t xml:space="preserve">&lt;main&gt;</w:t>
      </w:r>
      <w:r>
        <w:rPr>
          <w:rStyle w:val="NormalTok"/>
        </w:rPr>
        <w:t xml:space="preserve">Page content here</w:t>
      </w:r>
      <w:r>
        <w:rPr>
          <w:rStyle w:val="KeywordTok"/>
        </w:rPr>
        <w:t xml:space="preserve">&lt;/main&gt;</w:t>
      </w:r>
      <w:r>
        <w:br/>
      </w:r>
      <w:r>
        <w:rPr>
          <w:rStyle w:val="DataTypeTok"/>
        </w:rPr>
        <w:t xml:space="preserve">&lt;%</w:t>
      </w:r>
      <w:r>
        <w:br/>
      </w:r>
      <w:r>
        <w:rPr>
          <w:rStyle w:val="FunctionTok"/>
        </w:rPr>
        <w:t xml:space="preserve">Server</w:t>
      </w:r>
      <w:r>
        <w:rPr>
          <w:rStyle w:val="NormalTok"/>
        </w:rPr>
        <w:t xml:space="preserve">.</w:t>
      </w:r>
      <w:r>
        <w:rPr>
          <w:rStyle w:val="KeywordTok"/>
        </w:rPr>
        <w:t xml:space="preserve">Execute</w:t>
      </w:r>
      <w:r>
        <w:rPr>
          <w:rStyle w:val="NormalTok"/>
        </w:rPr>
        <w:t xml:space="preserve"> </w:t>
      </w:r>
      <w:r>
        <w:rPr>
          <w:rStyle w:val="StringTok"/>
        </w:rPr>
        <w:t xml:space="preserve">"/includes/footer.asp"</w:t>
      </w:r>
      <w:r>
        <w:br/>
      </w:r>
      <w:r>
        <w:rPr>
          <w:rStyle w:val="DataTypeTok"/>
        </w:rPr>
        <w:t xml:space="preserve">%&gt;</w:t>
      </w:r>
    </w:p>
    <w:p>
      <w:r>
        <w:pict>
          <v:rect style="width:0;height:1.5pt" o:hralign="center" o:hrstd="t" o:hr="t"/>
        </w:pict>
      </w:r>
    </w:p>
    <w:bookmarkEnd w:id="645"/>
    <w:bookmarkStart w:id="646" w:name="server.transfer"/>
    <w:p>
      <w:pPr>
        <w:pStyle w:val="Heading3"/>
      </w:pPr>
      <w:r>
        <w:t xml:space="preserve">Server.Transfer</w:t>
      </w:r>
    </w:p>
    <w:p>
      <w:pPr>
        <w:pStyle w:val="FirstParagraph"/>
      </w:pPr>
      <w:r>
        <w:t xml:space="preserve">Transfers control to another ASP file without issuing an HTTP redirect. The URL in the browser does not change. Unlike</w:t>
      </w:r>
      <w:r>
        <w:t xml:space="preserve"> </w:t>
      </w:r>
      <w:r>
        <w:rPr>
          <w:rStyle w:val="VerbatimChar"/>
        </w:rPr>
        <w:t xml:space="preserve">Execute</w:t>
      </w:r>
      <w:r>
        <w:t xml:space="preserve">, control does not return to the calling page.</w:t>
      </w:r>
    </w:p>
    <w:p>
      <w:pPr>
        <w:pStyle w:val="BodyText"/>
      </w:pPr>
      <w:r>
        <w:rPr>
          <w:b/>
          <w:bCs/>
        </w:rPr>
        <w:t xml:space="preserve">Syntax:</w:t>
      </w:r>
    </w:p>
    <w:p>
      <w:pPr>
        <w:pStyle w:val="SourceCode"/>
      </w:pPr>
      <w:r>
        <w:rPr>
          <w:rStyle w:val="NormalTok"/>
        </w:rPr>
        <w:t xml:space="preserve">Server.Transfer(path)</w:t>
      </w:r>
    </w:p>
    <w:p>
      <w:pPr>
        <w:pStyle w:val="FirstParagraph"/>
      </w:pPr>
      <w:r>
        <w:rPr>
          <w:b/>
          <w:bCs/>
        </w:rPr>
        <w:t xml:space="preserve">Parameters: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t xml:space="preserve">path</w:t>
            </w:r>
          </w:p>
        </w:tc>
        <w:tc>
          <w:tcPr/>
          <w:p>
            <w:pPr>
              <w:pStyle w:val="Compact"/>
            </w:pPr>
            <w:r>
              <w:t xml:space="preserve">String</w:t>
            </w:r>
          </w:p>
        </w:tc>
        <w:tc>
          <w:tcPr/>
          <w:p>
            <w:pPr>
              <w:pStyle w:val="Compact"/>
            </w:pPr>
            <w:r>
              <w:t xml:space="preserve">Virtual path to the ASP file</w:t>
            </w:r>
          </w:p>
        </w:tc>
      </w:tr>
    </w:tbl>
    <w:p>
      <w:pPr>
        <w:pStyle w:val="BodyText"/>
      </w:pPr>
      <w:r>
        <w:rPr>
          <w:b/>
          <w:bCs/>
        </w:rPr>
        <w:t xml:space="preserve">Return Value:</w:t>
      </w:r>
      <w:r>
        <w:t xml:space="preserve"> </w:t>
      </w:r>
      <w:r>
        <w:t xml:space="preserve">None (execution continues in the target file)</w:t>
      </w:r>
    </w:p>
    <w:p>
      <w:pPr>
        <w:pStyle w:val="BodyText"/>
      </w:pPr>
      <w:r>
        <w:rPr>
          <w:b/>
          <w:bCs/>
        </w:rPr>
        <w:t xml:space="preserve">Example:</w:t>
      </w:r>
    </w:p>
    <w:p>
      <w:pPr>
        <w:pStyle w:val="SourceCode"/>
      </w:pPr>
      <w:r>
        <w:rPr>
          <w:rStyle w:val="DataTypeTok"/>
        </w:rPr>
        <w:t xml:space="preserve">&lt;%</w:t>
      </w:r>
      <w:r>
        <w:br/>
      </w:r>
      <w:r>
        <w:rPr>
          <w:rStyle w:val="ControlFlowTok"/>
        </w:rPr>
        <w:t xml:space="preserve">If</w:t>
      </w:r>
      <w:r>
        <w:rPr>
          <w:rStyle w:val="NormalTok"/>
        </w:rPr>
        <w:t xml:space="preserve"> </w:t>
      </w:r>
      <w:r>
        <w:rPr>
          <w:rStyle w:val="FunctionTok"/>
        </w:rPr>
        <w:t xml:space="preserve">Session</w:t>
      </w:r>
      <w:r>
        <w:rPr>
          <w:rStyle w:val="OtherTok"/>
        </w:rPr>
        <w:t xml:space="preserve">(</w:t>
      </w:r>
      <w:r>
        <w:rPr>
          <w:rStyle w:val="StringTok"/>
        </w:rPr>
        <w:t xml:space="preserve">"UserID"</w:t>
      </w:r>
      <w:r>
        <w:rPr>
          <w:rStyle w:val="OtherTok"/>
        </w:rPr>
        <w:t xml:space="preserve">)</w:t>
      </w:r>
      <w:r>
        <w:rPr>
          <w:rStyle w:val="NormalTok"/>
        </w:rPr>
        <w:t xml:space="preserve"> =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Server</w:t>
      </w:r>
      <w:r>
        <w:rPr>
          <w:rStyle w:val="NormalTok"/>
        </w:rPr>
        <w:t xml:space="preserve">.Transfer </w:t>
      </w:r>
      <w:r>
        <w:rPr>
          <w:rStyle w:val="StringTok"/>
        </w:rPr>
        <w:t xml:space="preserve">"/errors/unauthorized.asp"</w:t>
      </w:r>
      <w:r>
        <w:br/>
      </w:r>
      <w:r>
        <w:rPr>
          <w:rStyle w:val="ControlFlowTok"/>
        </w:rPr>
        <w:t xml:space="preserve">End If</w:t>
      </w:r>
      <w:r>
        <w:br/>
      </w:r>
      <w:r>
        <w:rPr>
          <w:rStyle w:val="DataTypeTok"/>
        </w:rPr>
        <w:t xml:space="preserve">%&gt;</w:t>
      </w:r>
    </w:p>
    <w:p>
      <w:r>
        <w:pict>
          <v:rect style="width:0;height:1.5pt" o:hralign="center" o:hrstd="t" o:hr="t"/>
        </w:pict>
      </w:r>
    </w:p>
    <w:bookmarkEnd w:id="646"/>
    <w:bookmarkEnd w:id="647"/>
    <w:bookmarkStart w:id="649" w:name="properties-3"/>
    <w:p>
      <w:pPr>
        <w:pStyle w:val="Heading2"/>
      </w:pPr>
      <w:r>
        <w:t xml:space="preserve">Properties</w:t>
      </w:r>
    </w:p>
    <w:bookmarkStart w:id="648" w:name="server.scripttimeout"/>
    <w:p>
      <w:pPr>
        <w:pStyle w:val="Heading3"/>
      </w:pPr>
      <w:r>
        <w:t xml:space="preserve">Server.ScriptTimeout</w:t>
      </w:r>
    </w:p>
    <w:p>
      <w:pPr>
        <w:pStyle w:val="FirstParagraph"/>
      </w:pPr>
      <w:r>
        <w:t xml:space="preserve">Gets or sets the maximum number of seconds that a script is allowed to run before the server terminates it with a timeout error. The default is set by</w:t>
      </w:r>
      <w:r>
        <w:t xml:space="preserve"> </w:t>
      </w:r>
      <w:r>
        <w:rPr>
          <w:rStyle w:val="VerbatimChar"/>
        </w:rPr>
        <w:t xml:space="preserve">default_script_timeout</w:t>
      </w:r>
      <w:r>
        <w:t xml:space="preserve"> </w:t>
      </w:r>
      <w:r>
        <w:t xml:space="preserve">in</w:t>
      </w:r>
      <w:r>
        <w:t xml:space="preserve"> </w:t>
      </w:r>
      <w:r>
        <w:rPr>
          <w:rStyle w:val="VerbatimChar"/>
        </w:rPr>
        <w:t xml:space="preserve">axonasp.toml</w:t>
      </w:r>
      <w:r>
        <w:t xml:space="preserve"> </w:t>
      </w:r>
      <w:r>
        <w:t xml:space="preserve">(default 60 seconds).</w:t>
      </w:r>
    </w:p>
    <w:p>
      <w:pPr>
        <w:pStyle w:val="BodyText"/>
      </w:pPr>
      <w:r>
        <w:rPr>
          <w:b/>
          <w:bCs/>
        </w:rPr>
        <w:t xml:space="preserve">Type:</w:t>
      </w:r>
      <w:r>
        <w:t xml:space="preserve"> </w:t>
      </w:r>
      <w:r>
        <w:t xml:space="preserve">Integer (read/write, seconds)</w:t>
      </w:r>
    </w:p>
    <w:p>
      <w:pPr>
        <w:pStyle w:val="BodyText"/>
      </w:pPr>
      <w:r>
        <w:rPr>
          <w:b/>
          <w:bCs/>
        </w:rPr>
        <w:t xml:space="preserve">Example:</w:t>
      </w:r>
    </w:p>
    <w:p>
      <w:pPr>
        <w:pStyle w:val="SourceCode"/>
      </w:pPr>
      <w:r>
        <w:rPr>
          <w:rStyle w:val="DataTypeTok"/>
        </w:rPr>
        <w:t xml:space="preserve">&lt;%</w:t>
      </w:r>
      <w:r>
        <w:br/>
      </w:r>
      <w:r>
        <w:rPr>
          <w:rStyle w:val="CommentTok"/>
        </w:rPr>
        <w:t xml:space="preserve">' Allow a long-running export up to 5 minutes</w:t>
      </w:r>
      <w:r>
        <w:br/>
      </w:r>
      <w:r>
        <w:rPr>
          <w:rStyle w:val="FunctionTok"/>
        </w:rPr>
        <w:t xml:space="preserve">Server</w:t>
      </w:r>
      <w:r>
        <w:rPr>
          <w:rStyle w:val="NormalTok"/>
        </w:rPr>
        <w:t xml:space="preserve">.ScriptTimeout = </w:t>
      </w:r>
      <w:r>
        <w:rPr>
          <w:rStyle w:val="DecValTok"/>
        </w:rPr>
        <w:t xml:space="preserve">300</w:t>
      </w:r>
      <w:r>
        <w:br/>
      </w:r>
      <w:r>
        <w:br/>
      </w:r>
      <w:r>
        <w:rPr>
          <w:rStyle w:val="CommentTok"/>
        </w:rPr>
        <w:t xml:space="preserve">' ... export logic ...</w:t>
      </w:r>
      <w:r>
        <w:br/>
      </w:r>
      <w:r>
        <w:rPr>
          <w:rStyle w:val="DataTypeTok"/>
        </w:rPr>
        <w:t xml:space="preserve">%&gt;</w:t>
      </w:r>
    </w:p>
    <w:p>
      <w:r>
        <w:pict>
          <v:rect style="width:0;height:1.5pt" o:hralign="center" o:hrstd="t" o:hr="t"/>
        </w:pict>
      </w:r>
    </w:p>
    <w:bookmarkEnd w:id="648"/>
    <w:bookmarkEnd w:id="649"/>
    <w:bookmarkStart w:id="650" w:name="remarks-26"/>
    <w:p>
      <w:pPr>
        <w:pStyle w:val="Heading2"/>
      </w:pPr>
      <w:r>
        <w:t xml:space="preserve">Remarks</w:t>
      </w:r>
    </w:p>
    <w:p>
      <w:pPr>
        <w:pStyle w:val="Compact"/>
        <w:numPr>
          <w:ilvl w:val="0"/>
          <w:numId w:val="1185"/>
        </w:numPr>
      </w:pPr>
      <w:r>
        <w:rPr>
          <w:rStyle w:val="VerbatimChar"/>
        </w:rPr>
        <w:t xml:space="preserve">Server.MapPath</w:t>
      </w:r>
      <w:r>
        <w:t xml:space="preserve"> </w:t>
      </w:r>
      <w:r>
        <w:t xml:space="preserve">is sandboxed to the web root configured in</w:t>
      </w:r>
      <w:r>
        <w:t xml:space="preserve"> </w:t>
      </w:r>
      <w:r>
        <w:rPr>
          <w:rStyle w:val="VerbatimChar"/>
        </w:rPr>
        <w:t xml:space="preserve">axonasp.toml</w:t>
      </w:r>
      <w:r>
        <w:t xml:space="preserve">. Paths outside the web root resolve to the web root itself.</w:t>
      </w:r>
    </w:p>
    <w:p>
      <w:pPr>
        <w:pStyle w:val="Compact"/>
        <w:numPr>
          <w:ilvl w:val="0"/>
          <w:numId w:val="1185"/>
        </w:numPr>
      </w:pPr>
      <w:r>
        <w:rPr>
          <w:rStyle w:val="VerbatimChar"/>
        </w:rPr>
        <w:t xml:space="preserve">Server.HTMLEncode</w:t>
      </w:r>
      <w:r>
        <w:t xml:space="preserve"> </w:t>
      </w:r>
      <w:r>
        <w:t xml:space="preserve">should be applied to</w:t>
      </w:r>
      <w:r>
        <w:t xml:space="preserve"> </w:t>
      </w:r>
      <w:r>
        <w:rPr>
          <w:b/>
          <w:bCs/>
        </w:rPr>
        <w:t xml:space="preserve">all user-supplied content</w:t>
      </w:r>
      <w:r>
        <w:t xml:space="preserve"> </w:t>
      </w:r>
      <w:r>
        <w:t xml:space="preserve">before writing it to HTML output to prevent cross-site scripting (XSS).</w:t>
      </w:r>
    </w:p>
    <w:p>
      <w:pPr>
        <w:pStyle w:val="Compact"/>
        <w:numPr>
          <w:ilvl w:val="0"/>
          <w:numId w:val="1185"/>
        </w:numPr>
      </w:pPr>
      <w:r>
        <w:rPr>
          <w:rStyle w:val="VerbatimChar"/>
        </w:rPr>
        <w:t xml:space="preserve">Server.CreateObject</w:t>
      </w:r>
      <w:r>
        <w:t xml:space="preserve"> </w:t>
      </w:r>
      <w:r>
        <w:t xml:space="preserve">accepts the same ProgIDs as classic IIS ASP plus all AxonASP-specific libraries. A full list is in the Libraries section.</w:t>
      </w:r>
    </w:p>
    <w:p>
      <w:pPr>
        <w:pStyle w:val="Compact"/>
        <w:numPr>
          <w:ilvl w:val="0"/>
          <w:numId w:val="1185"/>
        </w:numPr>
      </w:pPr>
      <w:r>
        <w:rPr>
          <w:rStyle w:val="VerbatimChar"/>
        </w:rPr>
        <w:t xml:space="preserve">Server.Execute</w:t>
      </w:r>
      <w:r>
        <w:t xml:space="preserve"> </w:t>
      </w:r>
      <w:r>
        <w:t xml:space="preserve">and</w:t>
      </w:r>
      <w:r>
        <w:t xml:space="preserve"> </w:t>
      </w:r>
      <w:r>
        <w:rPr>
          <w:rStyle w:val="VerbatimChar"/>
        </w:rPr>
        <w:t xml:space="preserve">Server.Transfer</w:t>
      </w:r>
      <w:r>
        <w:t xml:space="preserve"> </w:t>
      </w:r>
      <w:r>
        <w:t xml:space="preserve">can be used as alternatives to</w:t>
      </w:r>
      <w:r>
        <w:t xml:space="preserve"> </w:t>
      </w:r>
      <w:r>
        <w:rPr>
          <w:rStyle w:val="VerbatimChar"/>
        </w:rPr>
        <w:t xml:space="preserve">#include</w:t>
      </w:r>
      <w:r>
        <w:t xml:space="preserve"> </w:t>
      </w:r>
      <w:r>
        <w:t xml:space="preserve">for dynamic component inclusion.</w:t>
      </w:r>
    </w:p>
    <w:bookmarkEnd w:id="650"/>
    <w:bookmarkEnd w:id="651"/>
    <w:bookmarkStart w:id="687" w:name="manage-session-state"/>
    <w:p>
      <w:pPr>
        <w:pStyle w:val="Heading1"/>
      </w:pPr>
      <w:r>
        <w:t xml:space="preserve">Manage Session State</w:t>
      </w:r>
    </w:p>
    <w:bookmarkStart w:id="652" w:name="overview-40"/>
    <w:p>
      <w:pPr>
        <w:pStyle w:val="Heading2"/>
      </w:pPr>
      <w:r>
        <w:t xml:space="preserve">Overview</w:t>
      </w:r>
    </w:p>
    <w:p>
      <w:pPr>
        <w:pStyle w:val="FirstParagraph"/>
      </w:pPr>
      <w:r>
        <w:t xml:space="preserve">Use the</w:t>
      </w:r>
      <w:r>
        <w:t xml:space="preserve"> </w:t>
      </w:r>
      <w:r>
        <w:rPr>
          <w:rStyle w:val="VerbatimChar"/>
        </w:rPr>
        <w:t xml:space="preserve">Session</w:t>
      </w:r>
      <w:r>
        <w:t xml:space="preserve"> </w:t>
      </w:r>
      <w:r>
        <w:t xml:space="preserve">object to persist user-specific values between HTTP requests in G3Pix AxonASP. The runtime identifies each visitor with an</w:t>
      </w:r>
      <w:r>
        <w:t xml:space="preserve"> </w:t>
      </w:r>
      <w:r>
        <w:rPr>
          <w:rStyle w:val="VerbatimChar"/>
        </w:rPr>
        <w:t xml:space="preserve">ASPSESSIONID</w:t>
      </w:r>
      <w:r>
        <w:t xml:space="preserve"> </w:t>
      </w:r>
      <w:r>
        <w:t xml:space="preserve">cookie and maps that cookie to a server-side session store.</w:t>
      </w:r>
    </w:p>
    <w:p>
      <w:pPr>
        <w:pStyle w:val="BodyText"/>
      </w:pPr>
      <w:r>
        <w:rPr>
          <w:rStyle w:val="VerbatimChar"/>
        </w:rPr>
        <w:t xml:space="preserve">Session</w:t>
      </w:r>
      <w:r>
        <w:t xml:space="preserve"> </w:t>
      </w:r>
      <w:r>
        <w:t xml:space="preserve">is built in. Do not instantiate it with</w:t>
      </w:r>
      <w:r>
        <w:t xml:space="preserve"> </w:t>
      </w:r>
      <w:r>
        <w:rPr>
          <w:rStyle w:val="VerbatimChar"/>
        </w:rPr>
        <w:t xml:space="preserve">Server.CreateObject</w:t>
      </w:r>
      <w:r>
        <w:t xml:space="preserve">.</w:t>
      </w:r>
    </w:p>
    <w:bookmarkEnd w:id="652"/>
    <w:bookmarkStart w:id="653" w:name="prerequisites-8"/>
    <w:p>
      <w:pPr>
        <w:pStyle w:val="Heading2"/>
      </w:pPr>
      <w:r>
        <w:t xml:space="preserve">Prerequisites</w:t>
      </w:r>
    </w:p>
    <w:p>
      <w:pPr>
        <w:pStyle w:val="Compact"/>
        <w:numPr>
          <w:ilvl w:val="0"/>
          <w:numId w:val="1186"/>
        </w:numPr>
      </w:pPr>
      <w:r>
        <w:t xml:space="preserve">The client must accept cookies.</w:t>
      </w:r>
    </w:p>
    <w:p>
      <w:pPr>
        <w:pStyle w:val="Compact"/>
        <w:numPr>
          <w:ilvl w:val="0"/>
          <w:numId w:val="1186"/>
        </w:numPr>
      </w:pPr>
      <w:r>
        <w:t xml:space="preserve">Session storage must be enabled in your AxonASP runtime configuration.</w:t>
      </w:r>
    </w:p>
    <w:bookmarkEnd w:id="653"/>
    <w:bookmarkStart w:id="655" w:name="store-and-read-values"/>
    <w:p>
      <w:pPr>
        <w:pStyle w:val="Heading2"/>
      </w:pPr>
      <w:r>
        <w:t xml:space="preserve">Store and Read Values</w:t>
      </w:r>
    </w:p>
    <w:p>
      <w:pPr>
        <w:pStyle w:val="FirstParagraph"/>
      </w:pPr>
      <w:r>
        <w:t xml:space="preserve">Use dictionary-style access to save and read values by key.</w:t>
      </w:r>
    </w:p>
    <w:p>
      <w:pPr>
        <w:pStyle w:val="SourceCode"/>
      </w:pPr>
      <w:r>
        <w:rPr>
          <w:rStyle w:val="NormalTok"/>
        </w:rPr>
        <w:t xml:space="preserve">Session("UserID") = 42</w:t>
      </w:r>
      <w:r>
        <w:br/>
      </w:r>
      <w:r>
        <w:rPr>
          <w:rStyle w:val="NormalTok"/>
        </w:rPr>
        <w:t xml:space="preserve">Session("UserName") = "alice"</w:t>
      </w:r>
      <w:r>
        <w:br/>
      </w:r>
      <w:r>
        <w:br/>
      </w:r>
      <w:r>
        <w:rPr>
          <w:rStyle w:val="NormalTok"/>
        </w:rPr>
        <w:t xml:space="preserve">Dim currentUserName</w:t>
      </w:r>
      <w:r>
        <w:br/>
      </w:r>
      <w:r>
        <w:rPr>
          <w:rStyle w:val="NormalTok"/>
        </w:rPr>
        <w:t xml:space="preserve">currentUserName = Session("UserName")</w:t>
      </w:r>
    </w:p>
    <w:bookmarkStart w:id="654" w:name="return-details-for-sessionkey"/>
    <w:p>
      <w:pPr>
        <w:pStyle w:val="Heading3"/>
      </w:pPr>
      <w:r>
        <w:t xml:space="preserve">Return details for</w:t>
      </w:r>
      <w:r>
        <w:t xml:space="preserve"> </w:t>
      </w:r>
      <w:r>
        <w:rPr>
          <w:rStyle w:val="VerbatimChar"/>
        </w:rPr>
        <w:t xml:space="preserve">Session("key")</w:t>
      </w:r>
    </w:p>
    <w:p>
      <w:pPr>
        <w:pStyle w:val="Compact"/>
        <w:numPr>
          <w:ilvl w:val="0"/>
          <w:numId w:val="1187"/>
        </w:numPr>
      </w:pPr>
      <w:r>
        <w:t xml:space="preserve">Returns</w:t>
      </w:r>
      <w:r>
        <w:t xml:space="preserve"> </w:t>
      </w:r>
      <w:r>
        <w:rPr>
          <w:rStyle w:val="VerbatimChar"/>
        </w:rPr>
        <w:t xml:space="preserve">Empty</w:t>
      </w:r>
      <w:r>
        <w:t xml:space="preserve"> </w:t>
      </w:r>
      <w:r>
        <w:t xml:space="preserve">when the key does not exist.</w:t>
      </w:r>
    </w:p>
    <w:p>
      <w:pPr>
        <w:pStyle w:val="Compact"/>
        <w:numPr>
          <w:ilvl w:val="0"/>
          <w:numId w:val="1187"/>
        </w:numPr>
      </w:pPr>
      <w:r>
        <w:t xml:space="preserve">Returns the exact value previously stored for that key when it exists.</w:t>
      </w:r>
    </w:p>
    <w:bookmarkEnd w:id="654"/>
    <w:bookmarkEnd w:id="655"/>
    <w:bookmarkStart w:id="660" w:name="methods-3"/>
    <w:p>
      <w:pPr>
        <w:pStyle w:val="Heading2"/>
      </w:pPr>
      <w:r>
        <w:t xml:space="preserve">Methods</w:t>
      </w:r>
    </w:p>
    <w:bookmarkStart w:id="659" w:name="session.abandon"/>
    <w:p>
      <w:pPr>
        <w:pStyle w:val="Heading3"/>
      </w:pPr>
      <w:r>
        <w:t xml:space="preserve">Session.Abandon</w:t>
      </w:r>
    </w:p>
    <w:p>
      <w:pPr>
        <w:pStyle w:val="FirstParagraph"/>
      </w:pPr>
      <w:r>
        <w:t xml:space="preserve">Ends the current session and clears all values in that session.</w:t>
      </w:r>
    </w:p>
    <w:bookmarkStart w:id="656" w:name="syntax-15"/>
    <w:p>
      <w:pPr>
        <w:pStyle w:val="Heading4"/>
      </w:pPr>
      <w:r>
        <w:t xml:space="preserve">Syntax</w:t>
      </w:r>
    </w:p>
    <w:p>
      <w:pPr>
        <w:pStyle w:val="SourceCode"/>
      </w:pPr>
      <w:r>
        <w:rPr>
          <w:rStyle w:val="NormalTok"/>
        </w:rPr>
        <w:t xml:space="preserve">Session.Abandon</w:t>
      </w:r>
    </w:p>
    <w:bookmarkEnd w:id="656"/>
    <w:bookmarkStart w:id="657" w:name="return-value-8"/>
    <w:p>
      <w:pPr>
        <w:pStyle w:val="Heading4"/>
      </w:pPr>
      <w:r>
        <w:t xml:space="preserve">Return value</w:t>
      </w:r>
    </w:p>
    <w:p>
      <w:pPr>
        <w:pStyle w:val="FirstParagraph"/>
      </w:pPr>
      <w:r>
        <w:t xml:space="preserve">Returns no value.</w:t>
      </w:r>
    </w:p>
    <w:bookmarkEnd w:id="657"/>
    <w:bookmarkStart w:id="658" w:name="example-4"/>
    <w:p>
      <w:pPr>
        <w:pStyle w:val="Heading4"/>
      </w:pPr>
      <w:r>
        <w:t xml:space="preserve">Example</w:t>
      </w:r>
    </w:p>
    <w:p>
      <w:pPr>
        <w:pStyle w:val="SourceCode"/>
      </w:pPr>
      <w:r>
        <w:rPr>
          <w:rStyle w:val="DataTypeTok"/>
        </w:rPr>
        <w:t xml:space="preserve">&lt;%</w:t>
      </w:r>
      <w:r>
        <w:br/>
      </w:r>
      <w:r>
        <w:rPr>
          <w:rStyle w:val="FunctionTok"/>
        </w:rPr>
        <w:t xml:space="preserve">Session</w:t>
      </w:r>
      <w:r>
        <w:rPr>
          <w:rStyle w:val="NormalTok"/>
        </w:rPr>
        <w:t xml:space="preserve">.Abandon</w:t>
      </w:r>
      <w:r>
        <w:br/>
      </w:r>
      <w:r>
        <w:rPr>
          <w:rStyle w:val="FunctionTok"/>
        </w:rPr>
        <w:t xml:space="preserve">Response</w:t>
      </w:r>
      <w:r>
        <w:rPr>
          <w:rStyle w:val="NormalTok"/>
        </w:rPr>
        <w:t xml:space="preserve">.</w:t>
      </w:r>
      <w:r>
        <w:rPr>
          <w:rStyle w:val="FunctionTok"/>
        </w:rPr>
        <w:t xml:space="preserve">Redirect</w:t>
      </w:r>
      <w:r>
        <w:rPr>
          <w:rStyle w:val="NormalTok"/>
        </w:rPr>
        <w:t xml:space="preserve"> </w:t>
      </w:r>
      <w:r>
        <w:rPr>
          <w:rStyle w:val="StringTok"/>
        </w:rPr>
        <w:t xml:space="preserve">"/login.asp?msg=loggedout"</w:t>
      </w:r>
      <w:r>
        <w:br/>
      </w:r>
      <w:r>
        <w:rPr>
          <w:rStyle w:val="DataTypeTok"/>
        </w:rPr>
        <w:t xml:space="preserve">%&gt;</w:t>
      </w:r>
    </w:p>
    <w:bookmarkEnd w:id="658"/>
    <w:bookmarkEnd w:id="659"/>
    <w:bookmarkEnd w:id="660"/>
    <w:bookmarkStart w:id="684" w:name="properties-4"/>
    <w:p>
      <w:pPr>
        <w:pStyle w:val="Heading2"/>
      </w:pPr>
      <w:r>
        <w:t xml:space="preserve">Properties</w:t>
      </w:r>
    </w:p>
    <w:bookmarkStart w:id="664" w:name="session.sessionid"/>
    <w:p>
      <w:pPr>
        <w:pStyle w:val="Heading3"/>
      </w:pPr>
      <w:r>
        <w:t xml:space="preserve">Session.SessionID</w:t>
      </w:r>
    </w:p>
    <w:p>
      <w:pPr>
        <w:pStyle w:val="FirstParagraph"/>
      </w:pPr>
      <w:r>
        <w:t xml:space="preserve">Gets the current session identifier.</w:t>
      </w:r>
    </w:p>
    <w:bookmarkStart w:id="661" w:name="type"/>
    <w:p>
      <w:pPr>
        <w:pStyle w:val="Heading4"/>
      </w:pPr>
      <w:r>
        <w:t xml:space="preserve">Type</w:t>
      </w:r>
    </w:p>
    <w:p>
      <w:pPr>
        <w:pStyle w:val="FirstParagraph"/>
      </w:pPr>
      <w:r>
        <w:t xml:space="preserve">String (read-only)</w:t>
      </w:r>
    </w:p>
    <w:bookmarkEnd w:id="661"/>
    <w:bookmarkStart w:id="662" w:name="return-value-9"/>
    <w:p>
      <w:pPr>
        <w:pStyle w:val="Heading4"/>
      </w:pPr>
      <w:r>
        <w:t xml:space="preserve">Return value</w:t>
      </w:r>
    </w:p>
    <w:p>
      <w:pPr>
        <w:pStyle w:val="FirstParagraph"/>
      </w:pPr>
      <w:r>
        <w:t xml:space="preserve">Returns a non-empty String that identifies the current session.</w:t>
      </w:r>
    </w:p>
    <w:bookmarkEnd w:id="662"/>
    <w:bookmarkStart w:id="663" w:name="example-5"/>
    <w:p>
      <w:pPr>
        <w:pStyle w:val="Heading4"/>
      </w:pPr>
      <w:r>
        <w:t xml:space="preserve">Example</w:t>
      </w:r>
    </w:p>
    <w:p>
      <w:pPr>
        <w:pStyle w:val="SourceCode"/>
      </w:pPr>
      <w:r>
        <w:rPr>
          <w:rStyle w:val="DataTypeTok"/>
        </w:rPr>
        <w:t xml:space="preserve">&lt;%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"Session ID: "</w:t>
      </w:r>
      <w:r>
        <w:rPr>
          <w:rStyle w:val="NormalTok"/>
        </w:rPr>
        <w:t xml:space="preserve"> </w:t>
      </w:r>
      <w:r>
        <w:rPr>
          <w:rStyle w:val="KeywordTok"/>
        </w:rPr>
        <w:t xml:space="preserve">&amp;</w:t>
      </w:r>
      <w:r>
        <w:rPr>
          <w:rStyle w:val="NormalTok"/>
        </w:rPr>
        <w:t xml:space="preserve"> </w:t>
      </w:r>
      <w:r>
        <w:rPr>
          <w:rStyle w:val="FunctionTok"/>
        </w:rPr>
        <w:t xml:space="preserve">Session</w:t>
      </w:r>
      <w:r>
        <w:rPr>
          <w:rStyle w:val="NormalTok"/>
        </w:rPr>
        <w:t xml:space="preserve">.SessionID</w:t>
      </w:r>
      <w:r>
        <w:br/>
      </w:r>
      <w:r>
        <w:rPr>
          <w:rStyle w:val="DataTypeTok"/>
        </w:rPr>
        <w:t xml:space="preserve">%&gt;</w:t>
      </w:r>
    </w:p>
    <w:bookmarkEnd w:id="663"/>
    <w:bookmarkEnd w:id="664"/>
    <w:bookmarkStart w:id="668" w:name="session.timeout"/>
    <w:p>
      <w:pPr>
        <w:pStyle w:val="Heading3"/>
      </w:pPr>
      <w:r>
        <w:t xml:space="preserve">Session.Timeout</w:t>
      </w:r>
    </w:p>
    <w:p>
      <w:pPr>
        <w:pStyle w:val="FirstParagraph"/>
      </w:pPr>
      <w:r>
        <w:t xml:space="preserve">Gets or sets the inactivity timeout in minutes.</w:t>
      </w:r>
    </w:p>
    <w:bookmarkStart w:id="665" w:name="type-1"/>
    <w:p>
      <w:pPr>
        <w:pStyle w:val="Heading4"/>
      </w:pPr>
      <w:r>
        <w:t xml:space="preserve">Type</w:t>
      </w:r>
    </w:p>
    <w:p>
      <w:pPr>
        <w:pStyle w:val="FirstParagraph"/>
      </w:pPr>
      <w:r>
        <w:t xml:space="preserve">Integer (read/write)</w:t>
      </w:r>
    </w:p>
    <w:bookmarkEnd w:id="665"/>
    <w:bookmarkStart w:id="666" w:name="return-value-10"/>
    <w:p>
      <w:pPr>
        <w:pStyle w:val="Heading4"/>
      </w:pPr>
      <w:r>
        <w:t xml:space="preserve">Return value</w:t>
      </w:r>
    </w:p>
    <w:p>
      <w:pPr>
        <w:pStyle w:val="FirstParagraph"/>
      </w:pPr>
      <w:r>
        <w:t xml:space="preserve">Returns an Integer with the configured inactivity timeout.</w:t>
      </w:r>
    </w:p>
    <w:bookmarkEnd w:id="666"/>
    <w:bookmarkStart w:id="667" w:name="example-6"/>
    <w:p>
      <w:pPr>
        <w:pStyle w:val="Heading4"/>
      </w:pPr>
      <w:r>
        <w:t xml:space="preserve">Example</w:t>
      </w:r>
    </w:p>
    <w:p>
      <w:pPr>
        <w:pStyle w:val="SourceCode"/>
      </w:pPr>
      <w:r>
        <w:rPr>
          <w:rStyle w:val="DataTypeTok"/>
        </w:rPr>
        <w:t xml:space="preserve">&lt;%</w:t>
      </w:r>
      <w:r>
        <w:br/>
      </w:r>
      <w:r>
        <w:rPr>
          <w:rStyle w:val="ControlFlowTok"/>
        </w:rPr>
        <w:t xml:space="preserve">If</w:t>
      </w:r>
      <w:r>
        <w:rPr>
          <w:rStyle w:val="NormalTok"/>
        </w:rPr>
        <w:t xml:space="preserve"> </w:t>
      </w:r>
      <w:r>
        <w:rPr>
          <w:rStyle w:val="FunctionTok"/>
        </w:rPr>
        <w:t xml:space="preserve">Session</w:t>
      </w:r>
      <w:r>
        <w:rPr>
          <w:rStyle w:val="OtherTok"/>
        </w:rPr>
        <w:t xml:space="preserve">(</w:t>
      </w:r>
      <w:r>
        <w:rPr>
          <w:rStyle w:val="StringTok"/>
        </w:rPr>
        <w:t xml:space="preserve">"Role"</w:t>
      </w:r>
      <w:r>
        <w:rPr>
          <w:rStyle w:val="OtherTok"/>
        </w:rPr>
        <w:t xml:space="preserve">)</w:t>
      </w:r>
      <w:r>
        <w:rPr>
          <w:rStyle w:val="NormalTok"/>
        </w:rPr>
        <w:t xml:space="preserve"> = </w:t>
      </w:r>
      <w:r>
        <w:rPr>
          <w:rStyle w:val="StringTok"/>
        </w:rPr>
        <w:t xml:space="preserve">"premium"</w:t>
      </w:r>
      <w:r>
        <w:rPr>
          <w:rStyle w:val="NormalTok"/>
        </w:rPr>
        <w:t xml:space="preserve"> </w:t>
      </w:r>
      <w:r>
        <w:rPr>
          <w:rStyle w:val="ControlFlowTok"/>
        </w:rPr>
        <w:t xml:space="preserve">Then</w:t>
      </w:r>
      <w:r>
        <w:br/>
      </w:r>
      <w:r>
        <w:rPr>
          <w:rStyle w:val="NormalTok"/>
        </w:rPr>
        <w:t xml:space="preserve">    </w:t>
      </w:r>
      <w:r>
        <w:rPr>
          <w:rStyle w:val="FunctionTok"/>
        </w:rPr>
        <w:t xml:space="preserve">Session</w:t>
      </w:r>
      <w:r>
        <w:rPr>
          <w:rStyle w:val="NormalTok"/>
        </w:rPr>
        <w:t xml:space="preserve">.Timeout = </w:t>
      </w:r>
      <w:r>
        <w:rPr>
          <w:rStyle w:val="DecValTok"/>
        </w:rPr>
        <w:t xml:space="preserve">120</w:t>
      </w:r>
      <w:r>
        <w:br/>
      </w:r>
      <w:r>
        <w:rPr>
          <w:rStyle w:val="ControlFlowTok"/>
        </w:rPr>
        <w:t xml:space="preserve">End If</w:t>
      </w:r>
      <w:r>
        <w:br/>
      </w:r>
      <w:r>
        <w:rPr>
          <w:rStyle w:val="DataTypeTok"/>
        </w:rPr>
        <w:t xml:space="preserve">%&gt;</w:t>
      </w:r>
    </w:p>
    <w:bookmarkEnd w:id="667"/>
    <w:bookmarkEnd w:id="668"/>
    <w:bookmarkStart w:id="672" w:name="session.lcid"/>
    <w:p>
      <w:pPr>
        <w:pStyle w:val="Heading3"/>
      </w:pPr>
      <w:r>
        <w:t xml:space="preserve">Session.LCID</w:t>
      </w:r>
    </w:p>
    <w:p>
      <w:pPr>
        <w:pStyle w:val="FirstParagraph"/>
      </w:pPr>
      <w:r>
        <w:t xml:space="preserve">Gets or sets the locale identifier used by VBScript formatting functions in the current session.</w:t>
      </w:r>
    </w:p>
    <w:bookmarkStart w:id="669" w:name="type-2"/>
    <w:p>
      <w:pPr>
        <w:pStyle w:val="Heading4"/>
      </w:pPr>
      <w:r>
        <w:t xml:space="preserve">Type</w:t>
      </w:r>
    </w:p>
    <w:p>
      <w:pPr>
        <w:pStyle w:val="FirstParagraph"/>
      </w:pPr>
      <w:r>
        <w:t xml:space="preserve">Integer (read/write)</w:t>
      </w:r>
    </w:p>
    <w:bookmarkEnd w:id="669"/>
    <w:bookmarkStart w:id="670" w:name="return-value-11"/>
    <w:p>
      <w:pPr>
        <w:pStyle w:val="Heading4"/>
      </w:pPr>
      <w:r>
        <w:t xml:space="preserve">Return value</w:t>
      </w:r>
    </w:p>
    <w:p>
      <w:pPr>
        <w:pStyle w:val="FirstParagraph"/>
      </w:pPr>
      <w:r>
        <w:t xml:space="preserve">Returns an Integer LCID value such as</w:t>
      </w:r>
      <w:r>
        <w:t xml:space="preserve"> </w:t>
      </w:r>
      <w:r>
        <w:rPr>
          <w:rStyle w:val="VerbatimChar"/>
        </w:rPr>
        <w:t xml:space="preserve">1033</w:t>
      </w:r>
      <w:r>
        <w:t xml:space="preserve">.</w:t>
      </w:r>
    </w:p>
    <w:bookmarkEnd w:id="670"/>
    <w:bookmarkStart w:id="671" w:name="example-7"/>
    <w:p>
      <w:pPr>
        <w:pStyle w:val="Heading4"/>
      </w:pPr>
      <w:r>
        <w:t xml:space="preserve">Example</w:t>
      </w:r>
    </w:p>
    <w:p>
      <w:pPr>
        <w:pStyle w:val="SourceCode"/>
      </w:pPr>
      <w:r>
        <w:rPr>
          <w:rStyle w:val="DataTypeTok"/>
        </w:rPr>
        <w:t xml:space="preserve">&lt;%</w:t>
      </w:r>
      <w:r>
        <w:br/>
      </w:r>
      <w:r>
        <w:rPr>
          <w:rStyle w:val="FunctionTok"/>
        </w:rPr>
        <w:t xml:space="preserve">Session</w:t>
      </w:r>
      <w:r>
        <w:rPr>
          <w:rStyle w:val="NormalTok"/>
        </w:rPr>
        <w:t xml:space="preserve">.LCID = </w:t>
      </w:r>
      <w:r>
        <w:rPr>
          <w:rStyle w:val="DecValTok"/>
        </w:rPr>
        <w:t xml:space="preserve">1033</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FormatDateTime</w:t>
      </w:r>
      <w:r>
        <w:rPr>
          <w:rStyle w:val="OtherTok"/>
        </w:rPr>
        <w:t xml:space="preserve">(</w:t>
      </w:r>
      <w:r>
        <w:rPr>
          <w:rStyle w:val="FunctionTok"/>
        </w:rPr>
        <w:t xml:space="preserve">Now</w:t>
      </w:r>
      <w:r>
        <w:rPr>
          <w:rStyle w:val="OtherTok"/>
        </w:rPr>
        <w:t xml:space="preserve">(),</w:t>
      </w:r>
      <w:r>
        <w:rPr>
          <w:rStyle w:val="NormalTok"/>
        </w:rPr>
        <w:t xml:space="preserve"> </w:t>
      </w:r>
      <w:r>
        <w:rPr>
          <w:rStyle w:val="DecValTok"/>
        </w:rPr>
        <w:t xml:space="preserve">1</w:t>
      </w:r>
      <w:r>
        <w:rPr>
          <w:rStyle w:val="OtherTok"/>
        </w:rPr>
        <w:t xml:space="preserve">)</w:t>
      </w:r>
      <w:r>
        <w:br/>
      </w:r>
      <w:r>
        <w:rPr>
          <w:rStyle w:val="DataTypeTok"/>
        </w:rPr>
        <w:t xml:space="preserve">%&gt;</w:t>
      </w:r>
    </w:p>
    <w:bookmarkEnd w:id="671"/>
    <w:bookmarkEnd w:id="672"/>
    <w:bookmarkStart w:id="676" w:name="session.codepage"/>
    <w:p>
      <w:pPr>
        <w:pStyle w:val="Heading3"/>
      </w:pPr>
      <w:r>
        <w:t xml:space="preserve">Session.CodePage</w:t>
      </w:r>
    </w:p>
    <w:p>
      <w:pPr>
        <w:pStyle w:val="FirstParagraph"/>
      </w:pPr>
      <w:r>
        <w:t xml:space="preserve">Gets or sets the session code page.</w:t>
      </w:r>
    </w:p>
    <w:bookmarkStart w:id="673" w:name="type-3"/>
    <w:p>
      <w:pPr>
        <w:pStyle w:val="Heading4"/>
      </w:pPr>
      <w:r>
        <w:t xml:space="preserve">Type</w:t>
      </w:r>
    </w:p>
    <w:p>
      <w:pPr>
        <w:pStyle w:val="FirstParagraph"/>
      </w:pPr>
      <w:r>
        <w:t xml:space="preserve">Integer (read/write)</w:t>
      </w:r>
    </w:p>
    <w:bookmarkEnd w:id="673"/>
    <w:bookmarkStart w:id="674" w:name="return-value-12"/>
    <w:p>
      <w:pPr>
        <w:pStyle w:val="Heading4"/>
      </w:pPr>
      <w:r>
        <w:t xml:space="preserve">Return value</w:t>
      </w:r>
    </w:p>
    <w:p>
      <w:pPr>
        <w:pStyle w:val="FirstParagraph"/>
      </w:pPr>
      <w:r>
        <w:t xml:space="preserve">Returns an Integer code page value such as</w:t>
      </w:r>
      <w:r>
        <w:t xml:space="preserve"> </w:t>
      </w:r>
      <w:r>
        <w:rPr>
          <w:rStyle w:val="VerbatimChar"/>
        </w:rPr>
        <w:t xml:space="preserve">65001</w:t>
      </w:r>
      <w:r>
        <w:t xml:space="preserve">.</w:t>
      </w:r>
    </w:p>
    <w:bookmarkEnd w:id="674"/>
    <w:bookmarkStart w:id="675" w:name="example-8"/>
    <w:p>
      <w:pPr>
        <w:pStyle w:val="Heading4"/>
      </w:pPr>
      <w:r>
        <w:t xml:space="preserve">Example</w:t>
      </w:r>
    </w:p>
    <w:p>
      <w:pPr>
        <w:pStyle w:val="SourceCode"/>
      </w:pPr>
      <w:r>
        <w:rPr>
          <w:rStyle w:val="DataTypeTok"/>
        </w:rPr>
        <w:t xml:space="preserve">&lt;%</w:t>
      </w:r>
      <w:r>
        <w:br/>
      </w:r>
      <w:r>
        <w:rPr>
          <w:rStyle w:val="FunctionTok"/>
        </w:rPr>
        <w:t xml:space="preserve">Session</w:t>
      </w:r>
      <w:r>
        <w:rPr>
          <w:rStyle w:val="NormalTok"/>
        </w:rPr>
        <w:t xml:space="preserve">.CodePage = </w:t>
      </w:r>
      <w:r>
        <w:rPr>
          <w:rStyle w:val="DecValTok"/>
        </w:rPr>
        <w:t xml:space="preserve">65001</w:t>
      </w:r>
      <w:r>
        <w:br/>
      </w:r>
      <w:r>
        <w:rPr>
          <w:rStyle w:val="DataTypeTok"/>
        </w:rPr>
        <w:t xml:space="preserve">%&gt;</w:t>
      </w:r>
    </w:p>
    <w:bookmarkEnd w:id="675"/>
    <w:bookmarkEnd w:id="676"/>
    <w:bookmarkStart w:id="680" w:name="session.contents"/>
    <w:p>
      <w:pPr>
        <w:pStyle w:val="Heading3"/>
      </w:pPr>
      <w:r>
        <w:t xml:space="preserve">Session.Contents</w:t>
      </w:r>
    </w:p>
    <w:p>
      <w:pPr>
        <w:pStyle w:val="FirstParagraph"/>
      </w:pPr>
      <w:r>
        <w:t xml:space="preserve">Accesses all key/value pairs stored in the current session.</w:t>
      </w:r>
    </w:p>
    <w:bookmarkStart w:id="677" w:name="syntax-16"/>
    <w:p>
      <w:pPr>
        <w:pStyle w:val="Heading4"/>
      </w:pPr>
      <w:r>
        <w:t xml:space="preserve">Syntax</w:t>
      </w:r>
    </w:p>
    <w:p>
      <w:pPr>
        <w:pStyle w:val="SourceCode"/>
      </w:pPr>
      <w:r>
        <w:rPr>
          <w:rStyle w:val="NormalTok"/>
        </w:rPr>
        <w:t xml:space="preserve">Session.Contents("key")</w:t>
      </w:r>
      <w:r>
        <w:br/>
      </w:r>
      <w:r>
        <w:rPr>
          <w:rStyle w:val="NormalTok"/>
        </w:rPr>
        <w:t xml:space="preserve">Session.Contents.Remove "key"</w:t>
      </w:r>
      <w:r>
        <w:br/>
      </w:r>
      <w:r>
        <w:rPr>
          <w:rStyle w:val="NormalTok"/>
        </w:rPr>
        <w:t xml:space="preserve">Session.Contents.RemoveAll</w:t>
      </w:r>
    </w:p>
    <w:bookmarkEnd w:id="677"/>
    <w:bookmarkStart w:id="678" w:name="return-value-13"/>
    <w:p>
      <w:pPr>
        <w:pStyle w:val="Heading4"/>
      </w:pPr>
      <w:r>
        <w:t xml:space="preserve">Return value</w:t>
      </w:r>
    </w:p>
    <w:p>
      <w:pPr>
        <w:pStyle w:val="Compact"/>
        <w:numPr>
          <w:ilvl w:val="0"/>
          <w:numId w:val="1188"/>
        </w:numPr>
      </w:pPr>
      <w:r>
        <w:rPr>
          <w:rStyle w:val="VerbatimChar"/>
        </w:rPr>
        <w:t xml:space="preserve">Session.Contents("key")</w:t>
      </w:r>
      <w:r>
        <w:t xml:space="preserve"> </w:t>
      </w:r>
      <w:r>
        <w:t xml:space="preserve">returns</w:t>
      </w:r>
      <w:r>
        <w:t xml:space="preserve"> </w:t>
      </w:r>
      <w:r>
        <w:rPr>
          <w:rStyle w:val="VerbatimChar"/>
        </w:rPr>
        <w:t xml:space="preserve">Empty</w:t>
      </w:r>
      <w:r>
        <w:t xml:space="preserve"> </w:t>
      </w:r>
      <w:r>
        <w:t xml:space="preserve">when the key does not exist.</w:t>
      </w:r>
    </w:p>
    <w:p>
      <w:pPr>
        <w:pStyle w:val="Compact"/>
        <w:numPr>
          <w:ilvl w:val="0"/>
          <w:numId w:val="1188"/>
        </w:numPr>
      </w:pPr>
      <w:r>
        <w:rPr>
          <w:rStyle w:val="VerbatimChar"/>
        </w:rPr>
        <w:t xml:space="preserve">Session.Contents("key")</w:t>
      </w:r>
      <w:r>
        <w:t xml:space="preserve"> </w:t>
      </w:r>
      <w:r>
        <w:t xml:space="preserve">returns the stored value when the key exists.</w:t>
      </w:r>
    </w:p>
    <w:p>
      <w:pPr>
        <w:pStyle w:val="Compact"/>
        <w:numPr>
          <w:ilvl w:val="0"/>
          <w:numId w:val="1188"/>
        </w:numPr>
      </w:pPr>
      <w:r>
        <w:rPr>
          <w:rStyle w:val="VerbatimChar"/>
        </w:rPr>
        <w:t xml:space="preserve">Session.Contents.Remove "key"</w:t>
      </w:r>
      <w:r>
        <w:t xml:space="preserve"> </w:t>
      </w:r>
      <w:r>
        <w:t xml:space="preserve">returns no value.</w:t>
      </w:r>
    </w:p>
    <w:p>
      <w:pPr>
        <w:pStyle w:val="Compact"/>
        <w:numPr>
          <w:ilvl w:val="0"/>
          <w:numId w:val="1188"/>
        </w:numPr>
      </w:pPr>
      <w:r>
        <w:rPr>
          <w:rStyle w:val="VerbatimChar"/>
        </w:rPr>
        <w:t xml:space="preserve">Session.Contents.RemoveAll</w:t>
      </w:r>
      <w:r>
        <w:t xml:space="preserve"> </w:t>
      </w:r>
      <w:r>
        <w:t xml:space="preserve">returns no value.</w:t>
      </w:r>
    </w:p>
    <w:bookmarkEnd w:id="678"/>
    <w:bookmarkStart w:id="679" w:name="example-9"/>
    <w:p>
      <w:pPr>
        <w:pStyle w:val="Heading4"/>
      </w:pPr>
      <w:r>
        <w:t xml:space="preserve">Example</w:t>
      </w:r>
    </w:p>
    <w:p>
      <w:pPr>
        <w:pStyle w:val="SourceCode"/>
      </w:pPr>
      <w:r>
        <w:rPr>
          <w:rStyle w:val="DataTypeTok"/>
        </w:rPr>
        <w:t xml:space="preserve">&lt;%</w:t>
      </w:r>
      <w:r>
        <w:br/>
      </w:r>
      <w:r>
        <w:rPr>
          <w:rStyle w:val="KeywordTok"/>
        </w:rPr>
        <w:t xml:space="preserve">Dim</w:t>
      </w:r>
      <w:r>
        <w:rPr>
          <w:rStyle w:val="NormalTok"/>
        </w:rPr>
        <w:t xml:space="preserve"> k</w:t>
      </w:r>
      <w:r>
        <w:br/>
      </w:r>
      <w:r>
        <w:rPr>
          <w:rStyle w:val="ControlFlowTok"/>
        </w:rPr>
        <w:t xml:space="preserve">For</w:t>
      </w:r>
      <w:r>
        <w:rPr>
          <w:rStyle w:val="NormalTok"/>
        </w:rPr>
        <w:t xml:space="preserve"> </w:t>
      </w:r>
      <w:r>
        <w:rPr>
          <w:rStyle w:val="ControlFlowTok"/>
        </w:rPr>
        <w:t xml:space="preserve">Each</w:t>
      </w:r>
      <w:r>
        <w:rPr>
          <w:rStyle w:val="NormalTok"/>
        </w:rPr>
        <w:t xml:space="preserve"> k </w:t>
      </w:r>
      <w:r>
        <w:rPr>
          <w:rStyle w:val="ControlFlowTok"/>
        </w:rPr>
        <w:t xml:space="preserve">In</w:t>
      </w:r>
      <w:r>
        <w:rPr>
          <w:rStyle w:val="NormalTok"/>
        </w:rPr>
        <w:t xml:space="preserve"> </w:t>
      </w:r>
      <w:r>
        <w:rPr>
          <w:rStyle w:val="FunctionTok"/>
        </w:rPr>
        <w:t xml:space="preserve">Session</w:t>
      </w:r>
      <w:r>
        <w:rPr>
          <w:rStyle w:val="NormalTok"/>
        </w:rPr>
        <w:t xml:space="preserve">.Contents</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k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FunctionTok"/>
        </w:rPr>
        <w:t xml:space="preserve">Session</w:t>
      </w:r>
      <w:r>
        <w:rPr>
          <w:rStyle w:val="NormalTok"/>
        </w:rPr>
        <w:t xml:space="preserve">.Contents</w:t>
      </w:r>
      <w:r>
        <w:rPr>
          <w:rStyle w:val="OtherTok"/>
        </w:rPr>
        <w:t xml:space="preserve">(</w:t>
      </w:r>
      <w:r>
        <w:rPr>
          <w:rStyle w:val="NormalTok"/>
        </w:rPr>
        <w:t xml:space="preserve">k</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FunctionTok"/>
        </w:rPr>
        <w:t xml:space="preserve">Session</w:t>
      </w:r>
      <w:r>
        <w:rPr>
          <w:rStyle w:val="NormalTok"/>
        </w:rPr>
        <w:t xml:space="preserve">.Contents.</w:t>
      </w:r>
      <w:r>
        <w:rPr>
          <w:rStyle w:val="FunctionTok"/>
        </w:rPr>
        <w:t xml:space="preserve">Remove</w:t>
      </w:r>
      <w:r>
        <w:rPr>
          <w:rStyle w:val="NormalTok"/>
        </w:rPr>
        <w:t xml:space="preserve"> </w:t>
      </w:r>
      <w:r>
        <w:rPr>
          <w:rStyle w:val="StringTok"/>
        </w:rPr>
        <w:t xml:space="preserve">"CartItems"</w:t>
      </w:r>
      <w:r>
        <w:br/>
      </w:r>
      <w:r>
        <w:rPr>
          <w:rStyle w:val="DataTypeTok"/>
        </w:rPr>
        <w:t xml:space="preserve">%&gt;</w:t>
      </w:r>
    </w:p>
    <w:bookmarkEnd w:id="679"/>
    <w:bookmarkEnd w:id="680"/>
    <w:bookmarkStart w:id="683" w:name="session.staticobjects"/>
    <w:p>
      <w:pPr>
        <w:pStyle w:val="Heading3"/>
      </w:pPr>
      <w:r>
        <w:t xml:space="preserve">Session.StaticObjects</w:t>
      </w:r>
    </w:p>
    <w:p>
      <w:pPr>
        <w:pStyle w:val="FirstParagraph"/>
      </w:pPr>
      <w:r>
        <w:t xml:space="preserve">Gets the collection of session-scoped objects declared in</w:t>
      </w:r>
      <w:r>
        <w:t xml:space="preserve"> </w:t>
      </w:r>
      <w:r>
        <w:rPr>
          <w:rStyle w:val="VerbatimChar"/>
        </w:rPr>
        <w:t xml:space="preserve">global.asa</w:t>
      </w:r>
      <w:r>
        <w:t xml:space="preserve"> </w:t>
      </w:r>
      <w:r>
        <w:t xml:space="preserve">with</w:t>
      </w:r>
      <w:r>
        <w:t xml:space="preserve"> </w:t>
      </w:r>
      <w:r>
        <w:rPr>
          <w:rStyle w:val="VerbatimChar"/>
        </w:rPr>
        <w:t xml:space="preserve">SCOPE="Session"</w:t>
      </w:r>
      <w:r>
        <w:t xml:space="preserve">.</w:t>
      </w:r>
    </w:p>
    <w:bookmarkStart w:id="681" w:name="type-4"/>
    <w:p>
      <w:pPr>
        <w:pStyle w:val="Heading4"/>
      </w:pPr>
      <w:r>
        <w:t xml:space="preserve">Type</w:t>
      </w:r>
    </w:p>
    <w:p>
      <w:pPr>
        <w:pStyle w:val="FirstParagraph"/>
      </w:pPr>
      <w:r>
        <w:t xml:space="preserve">Collection (read-only)</w:t>
      </w:r>
    </w:p>
    <w:bookmarkEnd w:id="681"/>
    <w:bookmarkStart w:id="682" w:name="return-value-14"/>
    <w:p>
      <w:pPr>
        <w:pStyle w:val="Heading4"/>
      </w:pPr>
      <w:r>
        <w:t xml:space="preserve">Return value</w:t>
      </w:r>
    </w:p>
    <w:p>
      <w:pPr>
        <w:pStyle w:val="FirstParagraph"/>
      </w:pPr>
      <w:r>
        <w:t xml:space="preserve">Returns a collection object. It can be enumerated but not replaced.</w:t>
      </w:r>
    </w:p>
    <w:bookmarkEnd w:id="682"/>
    <w:bookmarkEnd w:id="683"/>
    <w:bookmarkEnd w:id="684"/>
    <w:bookmarkStart w:id="685" w:name="how-it-works-9"/>
    <w:p>
      <w:pPr>
        <w:pStyle w:val="Heading2"/>
      </w:pPr>
      <w:r>
        <w:t xml:space="preserve">How It Works</w:t>
      </w:r>
    </w:p>
    <w:p>
      <w:pPr>
        <w:pStyle w:val="Compact"/>
        <w:numPr>
          <w:ilvl w:val="0"/>
          <w:numId w:val="1189"/>
        </w:numPr>
      </w:pPr>
      <w:r>
        <w:t xml:space="preserve">G3Pix AxonASP associates one</w:t>
      </w:r>
      <w:r>
        <w:t xml:space="preserve"> </w:t>
      </w:r>
      <w:r>
        <w:rPr>
          <w:rStyle w:val="VerbatimChar"/>
        </w:rPr>
        <w:t xml:space="preserve">ASPSESSIONID</w:t>
      </w:r>
      <w:r>
        <w:t xml:space="preserve"> </w:t>
      </w:r>
      <w:r>
        <w:t xml:space="preserve">cookie with one server-side session record.</w:t>
      </w:r>
    </w:p>
    <w:p>
      <w:pPr>
        <w:pStyle w:val="Compact"/>
        <w:numPr>
          <w:ilvl w:val="0"/>
          <w:numId w:val="1189"/>
        </w:numPr>
      </w:pPr>
      <w:r>
        <w:t xml:space="preserve">Session keys are case-insensitive.</w:t>
      </w:r>
    </w:p>
    <w:p>
      <w:pPr>
        <w:pStyle w:val="Compact"/>
        <w:numPr>
          <w:ilvl w:val="0"/>
          <w:numId w:val="1189"/>
        </w:numPr>
      </w:pPr>
      <w:r>
        <w:t xml:space="preserve">When you call</w:t>
      </w:r>
      <w:r>
        <w:t xml:space="preserve"> </w:t>
      </w:r>
      <w:r>
        <w:rPr>
          <w:rStyle w:val="VerbatimChar"/>
        </w:rPr>
        <w:t xml:space="preserve">Session.Abandon</w:t>
      </w:r>
      <w:r>
        <w:t xml:space="preserve">, the current record is discarded. A later request can create a new session with a different ID.</w:t>
      </w:r>
    </w:p>
    <w:bookmarkEnd w:id="685"/>
    <w:bookmarkStart w:id="686" w:name="best-practices-1"/>
    <w:p>
      <w:pPr>
        <w:pStyle w:val="Heading2"/>
      </w:pPr>
      <w:r>
        <w:t xml:space="preserve">Best Practices</w:t>
      </w:r>
    </w:p>
    <w:p>
      <w:pPr>
        <w:pStyle w:val="Compact"/>
        <w:numPr>
          <w:ilvl w:val="0"/>
          <w:numId w:val="1190"/>
        </w:numPr>
      </w:pPr>
      <w:r>
        <w:t xml:space="preserve">Store compact values such as IDs and flags.</w:t>
      </w:r>
    </w:p>
    <w:p>
      <w:pPr>
        <w:pStyle w:val="Compact"/>
        <w:numPr>
          <w:ilvl w:val="0"/>
          <w:numId w:val="1190"/>
        </w:numPr>
      </w:pPr>
      <w:r>
        <w:t xml:space="preserve">Avoid large arrays and large object graphs in session state.</w:t>
      </w:r>
    </w:p>
    <w:p>
      <w:pPr>
        <w:pStyle w:val="Compact"/>
        <w:numPr>
          <w:ilvl w:val="0"/>
          <w:numId w:val="1190"/>
        </w:numPr>
      </w:pPr>
      <w:r>
        <w:t xml:space="preserve">Set</w:t>
      </w:r>
      <w:r>
        <w:t xml:space="preserve"> </w:t>
      </w:r>
      <w:r>
        <w:rPr>
          <w:rStyle w:val="VerbatimChar"/>
        </w:rPr>
        <w:t xml:space="preserve">Session.Timeout</w:t>
      </w:r>
      <w:r>
        <w:t xml:space="preserve"> </w:t>
      </w:r>
      <w:r>
        <w:t xml:space="preserve">explicitly for workflows that require longer inactivity windows.</w:t>
      </w:r>
    </w:p>
    <w:bookmarkEnd w:id="686"/>
    <w:bookmarkEnd w:id="687"/>
    <w:bookmarkStart w:id="696" w:name="use-the-asp-application-object"/>
    <w:p>
      <w:pPr>
        <w:pStyle w:val="Heading1"/>
      </w:pPr>
      <w:r>
        <w:t xml:space="preserve">Use the ASP Application Object</w:t>
      </w:r>
    </w:p>
    <w:bookmarkStart w:id="688" w:name="overview-41"/>
    <w:p>
      <w:pPr>
        <w:pStyle w:val="Heading2"/>
      </w:pPr>
      <w:r>
        <w:t xml:space="preserve">Overview</w:t>
      </w:r>
    </w:p>
    <w:p>
      <w:pPr>
        <w:pStyle w:val="FirstParagraph"/>
      </w:pPr>
      <w:r>
        <w:t xml:space="preserve">The</w:t>
      </w:r>
      <w:r>
        <w:t xml:space="preserve"> </w:t>
      </w:r>
      <w:r>
        <w:rPr>
          <w:b/>
          <w:bCs/>
        </w:rPr>
        <w:t xml:space="preserve">Application</w:t>
      </w:r>
      <w:r>
        <w:t xml:space="preserve"> </w:t>
      </w:r>
      <w:r>
        <w:t xml:space="preserve">object in G3Pix AxonASP stores data that is shared across all users and all requests for the entire lifetime of the web application. Unlike the</w:t>
      </w:r>
      <w:r>
        <w:t xml:space="preserve"> </w:t>
      </w:r>
      <w:r>
        <w:rPr>
          <w:b/>
          <w:bCs/>
        </w:rPr>
        <w:t xml:space="preserve">Session</w:t>
      </w:r>
      <w:r>
        <w:t xml:space="preserve"> </w:t>
      </w:r>
      <w:r>
        <w:t xml:space="preserve">object, which is unique to each visitor,</w:t>
      </w:r>
      <w:r>
        <w:t xml:space="preserve"> </w:t>
      </w:r>
      <w:r>
        <w:rPr>
          <w:b/>
          <w:bCs/>
        </w:rPr>
        <w:t xml:space="preserve">Application</w:t>
      </w:r>
      <w:r>
        <w:t xml:space="preserve"> </w:t>
      </w:r>
      <w:r>
        <w:t xml:space="preserve">values are global. This object is typically used for site-wide settings, application-level counters, or caching shared lookup data.</w:t>
      </w:r>
    </w:p>
    <w:bookmarkEnd w:id="688"/>
    <w:bookmarkStart w:id="689" w:name="prerequisites-9"/>
    <w:p>
      <w:pPr>
        <w:pStyle w:val="Heading2"/>
      </w:pPr>
      <w:r>
        <w:t xml:space="preserve">Prerequisites</w:t>
      </w:r>
    </w:p>
    <w:p>
      <w:pPr>
        <w:pStyle w:val="Compact"/>
        <w:numPr>
          <w:ilvl w:val="0"/>
          <w:numId w:val="1191"/>
        </w:numPr>
      </w:pPr>
      <w:r>
        <w:rPr>
          <w:b/>
          <w:bCs/>
        </w:rPr>
        <w:t xml:space="preserve">Global.asa</w:t>
      </w:r>
      <w:r>
        <w:t xml:space="preserve">: Initial application values are often set in the</w:t>
      </w:r>
      <w:r>
        <w:t xml:space="preserve"> </w:t>
      </w:r>
      <w:r>
        <w:rPr>
          <w:rStyle w:val="VerbatimChar"/>
        </w:rPr>
        <w:t xml:space="preserve">Application_OnStart</w:t>
      </w:r>
      <w:r>
        <w:t xml:space="preserve"> </w:t>
      </w:r>
      <w:r>
        <w:t xml:space="preserve">event.</w:t>
      </w:r>
    </w:p>
    <w:p>
      <w:pPr>
        <w:pStyle w:val="Compact"/>
        <w:numPr>
          <w:ilvl w:val="0"/>
          <w:numId w:val="1191"/>
        </w:numPr>
      </w:pPr>
      <w:r>
        <w:rPr>
          <w:b/>
          <w:bCs/>
        </w:rPr>
        <w:t xml:space="preserve">Concurrency Awareness</w:t>
      </w:r>
      <w:r>
        <w:t xml:space="preserve">: Because multiple requests access this object simultaneously, you must use locking methods to prevent data collisions.</w:t>
      </w:r>
    </w:p>
    <w:bookmarkEnd w:id="689"/>
    <w:bookmarkStart w:id="690" w:name="how-it-works-10"/>
    <w:p>
      <w:pPr>
        <w:pStyle w:val="Heading2"/>
      </w:pPr>
      <w:r>
        <w:t xml:space="preserve">How it Works</w:t>
      </w:r>
    </w:p>
    <w:p>
      <w:pPr>
        <w:pStyle w:val="FirstParagraph"/>
      </w:pPr>
      <w:r>
        <w:t xml:space="preserve">The</w:t>
      </w:r>
      <w:r>
        <w:t xml:space="preserve"> </w:t>
      </w:r>
      <w:r>
        <w:rPr>
          <w:b/>
          <w:bCs/>
        </w:rPr>
        <w:t xml:space="preserve">Application</w:t>
      </w:r>
      <w:r>
        <w:t xml:space="preserve"> </w:t>
      </w:r>
      <w:r>
        <w:t xml:space="preserve">object acts as a global dictionary. When you store a value, it remains in memory until the AxonASP server process is restarted.</w:t>
      </w:r>
      <w:r>
        <w:t xml:space="preserve"> </w:t>
      </w:r>
      <w:r>
        <w:t xml:space="preserve">-</w:t>
      </w:r>
      <w:r>
        <w:t xml:space="preserve"> </w:t>
      </w:r>
      <w:r>
        <w:rPr>
          <w:b/>
          <w:bCs/>
        </w:rPr>
        <w:t xml:space="preserve">Locking</w:t>
      </w:r>
      <w:r>
        <w:t xml:space="preserve">: Use the</w:t>
      </w:r>
      <w:r>
        <w:t xml:space="preserve"> </w:t>
      </w:r>
      <w:r>
        <w:rPr>
          <w:b/>
          <w:bCs/>
        </w:rPr>
        <w:t xml:space="preserve">Lock</w:t>
      </w:r>
      <w:r>
        <w:t xml:space="preserve"> </w:t>
      </w:r>
      <w:r>
        <w:t xml:space="preserve">method before modifying any value to ensure thread safety.</w:t>
      </w:r>
      <w:r>
        <w:t xml:space="preserve"> </w:t>
      </w:r>
      <w:r>
        <w:t xml:space="preserve">-</w:t>
      </w:r>
      <w:r>
        <w:t xml:space="preserve"> </w:t>
      </w:r>
      <w:r>
        <w:rPr>
          <w:b/>
          <w:bCs/>
        </w:rPr>
        <w:t xml:space="preserve">Unlocking</w:t>
      </w:r>
      <w:r>
        <w:t xml:space="preserve">: Always call the</w:t>
      </w:r>
      <w:r>
        <w:t xml:space="preserve"> </w:t>
      </w:r>
      <w:r>
        <w:rPr>
          <w:b/>
          <w:bCs/>
        </w:rPr>
        <w:t xml:space="preserve">Unlock</w:t>
      </w:r>
      <w:r>
        <w:t xml:space="preserve"> </w:t>
      </w:r>
      <w:r>
        <w:t xml:space="preserve">method immediately after your modification is complete.</w:t>
      </w:r>
      <w:r>
        <w:t xml:space="preserve"> </w:t>
      </w:r>
      <w:r>
        <w:t xml:space="preserve">-</w:t>
      </w:r>
      <w:r>
        <w:t xml:space="preserve"> </w:t>
      </w:r>
      <w:r>
        <w:rPr>
          <w:b/>
          <w:bCs/>
        </w:rPr>
        <w:t xml:space="preserve">Persistence</w:t>
      </w:r>
      <w:r>
        <w:t xml:space="preserve">: Data is lost if the server shuts down or the application pool is recycled.</w:t>
      </w:r>
    </w:p>
    <w:bookmarkEnd w:id="690"/>
    <w:bookmarkStart w:id="693" w:name="api-reference-8"/>
    <w:p>
      <w:pPr>
        <w:pStyle w:val="Heading2"/>
      </w:pPr>
      <w:r>
        <w:t xml:space="preserve">API Reference</w:t>
      </w:r>
    </w:p>
    <w:bookmarkStart w:id="691" w:name="methods-4"/>
    <w:p>
      <w:pPr>
        <w:pStyle w:val="Heading3"/>
      </w:pPr>
      <w:r>
        <w:t xml:space="preserve">Methods</w:t>
      </w:r>
    </w:p>
    <w:p>
      <w:pPr>
        <w:pStyle w:val="Compact"/>
        <w:numPr>
          <w:ilvl w:val="0"/>
          <w:numId w:val="1192"/>
        </w:numPr>
      </w:pPr>
      <w:r>
        <w:rPr>
          <w:b/>
          <w:bCs/>
        </w:rPr>
        <w:t xml:space="preserve">Lock</w:t>
      </w:r>
      <w:r>
        <w:t xml:space="preserve">: Prevents other clients from modifying the</w:t>
      </w:r>
      <w:r>
        <w:t xml:space="preserve"> </w:t>
      </w:r>
      <w:r>
        <w:rPr>
          <w:b/>
          <w:bCs/>
        </w:rPr>
        <w:t xml:space="preserve">Application</w:t>
      </w:r>
      <w:r>
        <w:t xml:space="preserve"> </w:t>
      </w:r>
      <w:r>
        <w:t xml:space="preserve">object. Returns</w:t>
      </w:r>
      <w:r>
        <w:t xml:space="preserve"> </w:t>
      </w:r>
      <w:r>
        <w:rPr>
          <w:b/>
          <w:bCs/>
        </w:rPr>
        <w:t xml:space="preserve">Empty</w:t>
      </w:r>
      <w:r>
        <w:t xml:space="preserve">.</w:t>
      </w:r>
    </w:p>
    <w:p>
      <w:pPr>
        <w:pStyle w:val="Compact"/>
        <w:numPr>
          <w:ilvl w:val="0"/>
          <w:numId w:val="1192"/>
        </w:numPr>
      </w:pPr>
      <w:r>
        <w:rPr>
          <w:b/>
          <w:bCs/>
        </w:rPr>
        <w:t xml:space="preserve">Unlock</w:t>
      </w:r>
      <w:r>
        <w:t xml:space="preserve">: Releases the lock on the</w:t>
      </w:r>
      <w:r>
        <w:t xml:space="preserve"> </w:t>
      </w:r>
      <w:r>
        <w:rPr>
          <w:b/>
          <w:bCs/>
        </w:rPr>
        <w:t xml:space="preserve">Application</w:t>
      </w:r>
      <w:r>
        <w:t xml:space="preserve"> </w:t>
      </w:r>
      <w:r>
        <w:t xml:space="preserve">object, allowing other clients to modify it. Returns</w:t>
      </w:r>
      <w:r>
        <w:t xml:space="preserve"> </w:t>
      </w:r>
      <w:r>
        <w:rPr>
          <w:b/>
          <w:bCs/>
        </w:rPr>
        <w:t xml:space="preserve">Empty</w:t>
      </w:r>
      <w:r>
        <w:t xml:space="preserve">.</w:t>
      </w:r>
    </w:p>
    <w:bookmarkEnd w:id="691"/>
    <w:bookmarkStart w:id="692" w:name="collections-1"/>
    <w:p>
      <w:pPr>
        <w:pStyle w:val="Heading3"/>
      </w:pPr>
      <w:r>
        <w:t xml:space="preserve">Collections</w:t>
      </w:r>
    </w:p>
    <w:p>
      <w:pPr>
        <w:pStyle w:val="Compact"/>
        <w:numPr>
          <w:ilvl w:val="0"/>
          <w:numId w:val="1193"/>
        </w:numPr>
      </w:pPr>
      <w:r>
        <w:rPr>
          <w:b/>
          <w:bCs/>
        </w:rPr>
        <w:t xml:space="preserve">Contents</w:t>
      </w:r>
      <w:r>
        <w:t xml:space="preserve">: Returns a collection of all values added to the application through script commands.</w:t>
      </w:r>
    </w:p>
    <w:p>
      <w:pPr>
        <w:pStyle w:val="Compact"/>
        <w:numPr>
          <w:ilvl w:val="0"/>
          <w:numId w:val="1193"/>
        </w:numPr>
      </w:pPr>
      <w:r>
        <w:rPr>
          <w:b/>
          <w:bCs/>
        </w:rPr>
        <w:t xml:space="preserve">StaticObjects</w:t>
      </w:r>
      <w:r>
        <w:t xml:space="preserve">: Returns a collection of all objects added to the application with the</w:t>
      </w:r>
      <w:r>
        <w:t xml:space="preserve"> </w:t>
      </w:r>
      <w:r>
        <w:rPr>
          <w:rStyle w:val="VerbatimChar"/>
        </w:rPr>
        <w:t xml:space="preserve">&lt;OBJECT&gt;</w:t>
      </w:r>
      <w:r>
        <w:t xml:space="preserve"> </w:t>
      </w:r>
      <w:r>
        <w:t xml:space="preserve">tag in</w:t>
      </w:r>
      <w:r>
        <w:t xml:space="preserve"> </w:t>
      </w:r>
      <w:r>
        <w:rPr>
          <w:rStyle w:val="VerbatimChar"/>
        </w:rPr>
        <w:t xml:space="preserve">global.asa</w:t>
      </w:r>
      <w:r>
        <w:t xml:space="preserve">.</w:t>
      </w:r>
    </w:p>
    <w:bookmarkEnd w:id="692"/>
    <w:bookmarkEnd w:id="693"/>
    <w:bookmarkStart w:id="694" w:name="code-example-16"/>
    <w:p>
      <w:pPr>
        <w:pStyle w:val="Heading2"/>
      </w:pPr>
      <w:r>
        <w:t xml:space="preserve">Code Example</w:t>
      </w:r>
    </w:p>
    <w:p>
      <w:pPr>
        <w:pStyle w:val="FirstParagraph"/>
      </w:pPr>
      <w:r>
        <w:t xml:space="preserve">The following example demonstrates how to safely increment a global page hit counter using the</w:t>
      </w:r>
      <w:r>
        <w:t xml:space="preserve"> </w:t>
      </w:r>
      <w:r>
        <w:rPr>
          <w:b/>
          <w:bCs/>
        </w:rPr>
        <w:t xml:space="preserve">Lock</w:t>
      </w:r>
      <w:r>
        <w:t xml:space="preserve"> </w:t>
      </w:r>
      <w:r>
        <w:t xml:space="preserve">and</w:t>
      </w:r>
      <w:r>
        <w:t xml:space="preserve"> </w:t>
      </w:r>
      <w:r>
        <w:rPr>
          <w:b/>
          <w:bCs/>
        </w:rPr>
        <w:t xml:space="preserve">Unlock</w:t>
      </w:r>
      <w:r>
        <w:t xml:space="preserve"> </w:t>
      </w:r>
      <w:r>
        <w:t xml:space="preserve">methods.</w:t>
      </w:r>
    </w:p>
    <w:p>
      <w:pPr>
        <w:pStyle w:val="SourceCode"/>
      </w:pPr>
      <w:r>
        <w:rPr>
          <w:rStyle w:val="DataTypeTok"/>
        </w:rPr>
        <w:t xml:space="preserve">&lt;%</w:t>
      </w:r>
      <w:r>
        <w:br/>
      </w:r>
      <w:r>
        <w:rPr>
          <w:rStyle w:val="CommentTok"/>
        </w:rPr>
        <w:t xml:space="preserve">' Access the Application object</w:t>
      </w:r>
      <w:r>
        <w:br/>
      </w:r>
      <w:r>
        <w:rPr>
          <w:rStyle w:val="NormalTok"/>
        </w:rPr>
        <w:t xml:space="preserve">Application.Lock</w:t>
      </w:r>
      <w:r>
        <w:br/>
      </w:r>
      <w:r>
        <w:rPr>
          <w:rStyle w:val="NormalTok"/>
        </w:rPr>
        <w:t xml:space="preserve">Application</w:t>
      </w:r>
      <w:r>
        <w:rPr>
          <w:rStyle w:val="OtherTok"/>
        </w:rPr>
        <w:t xml:space="preserve">(</w:t>
      </w:r>
      <w:r>
        <w:rPr>
          <w:rStyle w:val="StringTok"/>
        </w:rPr>
        <w:t xml:space="preserve">"TotalHits"</w:t>
      </w:r>
      <w:r>
        <w:rPr>
          <w:rStyle w:val="OtherTok"/>
        </w:rPr>
        <w:t xml:space="preserve">)</w:t>
      </w:r>
      <w:r>
        <w:rPr>
          <w:rStyle w:val="NormalTok"/>
        </w:rPr>
        <w:t xml:space="preserve"> = Application</w:t>
      </w:r>
      <w:r>
        <w:rPr>
          <w:rStyle w:val="OtherTok"/>
        </w:rPr>
        <w:t xml:space="preserve">(</w:t>
      </w:r>
      <w:r>
        <w:rPr>
          <w:rStyle w:val="StringTok"/>
        </w:rPr>
        <w:t xml:space="preserve">"TotalHits"</w:t>
      </w:r>
      <w:r>
        <w:rPr>
          <w:rStyle w:val="OtherTok"/>
        </w:rPr>
        <w:t xml:space="preserve">)</w:t>
      </w:r>
      <w:r>
        <w:rPr>
          <w:rStyle w:val="NormalTok"/>
        </w:rPr>
        <w:t xml:space="preserve"> + </w:t>
      </w:r>
      <w:r>
        <w:rPr>
          <w:rStyle w:val="DecValTok"/>
        </w:rPr>
        <w:t xml:space="preserve">1</w:t>
      </w:r>
      <w:r>
        <w:br/>
      </w:r>
      <w:r>
        <w:rPr>
          <w:rStyle w:val="NormalTok"/>
        </w:rPr>
        <w:t xml:space="preserve">Application.Unlock</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"Total application views: "</w:t>
      </w:r>
      <w:r>
        <w:rPr>
          <w:rStyle w:val="NormalTok"/>
        </w:rPr>
        <w:t xml:space="preserve"> </w:t>
      </w:r>
      <w:r>
        <w:rPr>
          <w:rStyle w:val="KeywordTok"/>
        </w:rPr>
        <w:t xml:space="preserve">&amp;</w:t>
      </w:r>
      <w:r>
        <w:rPr>
          <w:rStyle w:val="NormalTok"/>
        </w:rPr>
        <w:t xml:space="preserve"> Application</w:t>
      </w:r>
      <w:r>
        <w:rPr>
          <w:rStyle w:val="OtherTok"/>
        </w:rPr>
        <w:t xml:space="preserve">(</w:t>
      </w:r>
      <w:r>
        <w:rPr>
          <w:rStyle w:val="StringTok"/>
        </w:rPr>
        <w:t xml:space="preserve">"TotalHits"</w:t>
      </w:r>
      <w:r>
        <w:rPr>
          <w:rStyle w:val="OtherTok"/>
        </w:rPr>
        <w:t xml:space="preserve">)</w:t>
      </w:r>
      <w:r>
        <w:br/>
      </w:r>
      <w:r>
        <w:rPr>
          <w:rStyle w:val="DataTypeTok"/>
        </w:rPr>
        <w:t xml:space="preserve">%&gt;</w:t>
      </w:r>
    </w:p>
    <w:bookmarkEnd w:id="694"/>
    <w:bookmarkStart w:id="695" w:name="remarks-27"/>
    <w:p>
      <w:pPr>
        <w:pStyle w:val="Heading2"/>
      </w:pPr>
      <w:r>
        <w:t xml:space="preserve">Remarks</w:t>
      </w:r>
    </w:p>
    <w:p>
      <w:pPr>
        <w:pStyle w:val="Compact"/>
        <w:numPr>
          <w:ilvl w:val="0"/>
          <w:numId w:val="1194"/>
        </w:numPr>
      </w:pPr>
      <w:r>
        <w:rPr>
          <w:b/>
          <w:bCs/>
        </w:rPr>
        <w:t xml:space="preserve">Thread Safety</w:t>
      </w:r>
      <w:r>
        <w:t xml:space="preserve">: Failing to use</w:t>
      </w:r>
      <w:r>
        <w:t xml:space="preserve"> </w:t>
      </w:r>
      <w:r>
        <w:rPr>
          <w:b/>
          <w:bCs/>
        </w:rPr>
        <w:t xml:space="preserve">Lock</w:t>
      </w:r>
      <w:r>
        <w:t xml:space="preserve"> </w:t>
      </w:r>
      <w:r>
        <w:t xml:space="preserve">and</w:t>
      </w:r>
      <w:r>
        <w:t xml:space="preserve"> </w:t>
      </w:r>
      <w:r>
        <w:rPr>
          <w:b/>
          <w:bCs/>
        </w:rPr>
        <w:t xml:space="preserve">Unlock</w:t>
      </w:r>
      <w:r>
        <w:t xml:space="preserve"> </w:t>
      </w:r>
      <w:r>
        <w:t xml:space="preserve">when writing to the</w:t>
      </w:r>
      <w:r>
        <w:t xml:space="preserve"> </w:t>
      </w:r>
      <w:r>
        <w:rPr>
          <w:b/>
          <w:bCs/>
        </w:rPr>
        <w:t xml:space="preserve">Application</w:t>
      </w:r>
      <w:r>
        <w:t xml:space="preserve"> </w:t>
      </w:r>
      <w:r>
        <w:t xml:space="preserve">object can result in lost updates in high-concurrency environments.</w:t>
      </w:r>
    </w:p>
    <w:p>
      <w:pPr>
        <w:pStyle w:val="Compact"/>
        <w:numPr>
          <w:ilvl w:val="0"/>
          <w:numId w:val="1194"/>
        </w:numPr>
      </w:pPr>
      <w:r>
        <w:rPr>
          <w:b/>
          <w:bCs/>
        </w:rPr>
        <w:t xml:space="preserve">Memory Management</w:t>
      </w:r>
      <w:r>
        <w:t xml:space="preserve">: Avoid storing large objects or frequently changing data in the</w:t>
      </w:r>
      <w:r>
        <w:t xml:space="preserve"> </w:t>
      </w:r>
      <w:r>
        <w:rPr>
          <w:b/>
          <w:bCs/>
        </w:rPr>
        <w:t xml:space="preserve">Application</w:t>
      </w:r>
      <w:r>
        <w:t xml:space="preserve"> </w:t>
      </w:r>
      <w:r>
        <w:t xml:space="preserve">object to prevent memory bloat.</w:t>
      </w:r>
    </w:p>
    <w:p>
      <w:pPr>
        <w:pStyle w:val="Compact"/>
        <w:numPr>
          <w:ilvl w:val="0"/>
          <w:numId w:val="1194"/>
        </w:numPr>
      </w:pPr>
      <w:r>
        <w:rPr>
          <w:b/>
          <w:bCs/>
        </w:rPr>
        <w:t xml:space="preserve">Redirection</w:t>
      </w:r>
      <w:r>
        <w:t xml:space="preserve">: Never call</w:t>
      </w:r>
      <w:r>
        <w:t xml:space="preserve"> </w:t>
      </w:r>
      <w:r>
        <w:rPr>
          <w:rStyle w:val="VerbatimChar"/>
        </w:rPr>
        <w:t xml:space="preserve">Response.Redirect</w:t>
      </w:r>
      <w:r>
        <w:t xml:space="preserve"> </w:t>
      </w:r>
      <w:r>
        <w:t xml:space="preserve">or</w:t>
      </w:r>
      <w:r>
        <w:t xml:space="preserve"> </w:t>
      </w:r>
      <w:r>
        <w:rPr>
          <w:rStyle w:val="VerbatimChar"/>
        </w:rPr>
        <w:t xml:space="preserve">Response.End</w:t>
      </w:r>
      <w:r>
        <w:t xml:space="preserve"> </w:t>
      </w:r>
      <w:r>
        <w:t xml:space="preserve">while an application lock is active, as this may bypass the</w:t>
      </w:r>
      <w:r>
        <w:t xml:space="preserve"> </w:t>
      </w:r>
      <w:r>
        <w:rPr>
          <w:b/>
          <w:bCs/>
        </w:rPr>
        <w:t xml:space="preserve">Unlock</w:t>
      </w:r>
      <w:r>
        <w:t xml:space="preserve"> </w:t>
      </w:r>
      <w:r>
        <w:t xml:space="preserve">call and freeze the object for other threads.</w:t>
      </w:r>
    </w:p>
    <w:bookmarkEnd w:id="695"/>
    <w:bookmarkEnd w:id="696"/>
    <w:bookmarkStart w:id="704" w:name="use-the-asperror-object"/>
    <w:p>
      <w:pPr>
        <w:pStyle w:val="Heading1"/>
      </w:pPr>
      <w:r>
        <w:t xml:space="preserve">Use the ASPError Object</w:t>
      </w:r>
    </w:p>
    <w:bookmarkStart w:id="697" w:name="overview-42"/>
    <w:p>
      <w:pPr>
        <w:pStyle w:val="Heading2"/>
      </w:pPr>
      <w:r>
        <w:t xml:space="preserve">Overview</w:t>
      </w:r>
    </w:p>
    <w:p>
      <w:pPr>
        <w:pStyle w:val="FirstParagraph"/>
      </w:pPr>
      <w:r>
        <w:t xml:space="preserve">The</w:t>
      </w:r>
      <w:r>
        <w:t xml:space="preserve"> </w:t>
      </w:r>
      <w:r>
        <w:rPr>
          <w:b/>
          <w:bCs/>
        </w:rPr>
        <w:t xml:space="preserve">ASPError</w:t>
      </w:r>
      <w:r>
        <w:t xml:space="preserve"> </w:t>
      </w:r>
      <w:r>
        <w:t xml:space="preserve">object in G3Pix AxonASP provides structured, detailed information about the most recent error that occurred during script execution. It is primarily used within custom error-handling pages to display or log technical data such as the error number, source file, and line number where the fault occurred.</w:t>
      </w:r>
    </w:p>
    <w:bookmarkEnd w:id="697"/>
    <w:bookmarkStart w:id="698" w:name="prerequisites-10"/>
    <w:p>
      <w:pPr>
        <w:pStyle w:val="Heading2"/>
      </w:pPr>
      <w:r>
        <w:t xml:space="preserve">Prerequisites</w:t>
      </w:r>
    </w:p>
    <w:p>
      <w:pPr>
        <w:pStyle w:val="Compact"/>
        <w:numPr>
          <w:ilvl w:val="0"/>
          <w:numId w:val="1195"/>
        </w:numPr>
      </w:pPr>
      <w:r>
        <w:rPr>
          <w:b/>
          <w:bCs/>
        </w:rPr>
        <w:t xml:space="preserve">Server.GetLastError</w:t>
      </w:r>
      <w:r>
        <w:t xml:space="preserve">: You must call the</w:t>
      </w:r>
      <w:r>
        <w:t xml:space="preserve"> </w:t>
      </w:r>
      <w:r>
        <w:rPr>
          <w:rStyle w:val="VerbatimChar"/>
        </w:rPr>
        <w:t xml:space="preserve">Server.GetLastError</w:t>
      </w:r>
      <w:r>
        <w:t xml:space="preserve"> </w:t>
      </w:r>
      <w:r>
        <w:t xml:space="preserve">method to retrieve a reference to the</w:t>
      </w:r>
      <w:r>
        <w:t xml:space="preserve"> </w:t>
      </w:r>
      <w:r>
        <w:rPr>
          <w:b/>
          <w:bCs/>
        </w:rPr>
        <w:t xml:space="preserve">ASPError</w:t>
      </w:r>
      <w:r>
        <w:t xml:space="preserve"> </w:t>
      </w:r>
      <w:r>
        <w:t xml:space="preserve">object.</w:t>
      </w:r>
    </w:p>
    <w:p>
      <w:pPr>
        <w:pStyle w:val="Compact"/>
        <w:numPr>
          <w:ilvl w:val="0"/>
          <w:numId w:val="1195"/>
        </w:numPr>
      </w:pPr>
      <w:r>
        <w:rPr>
          <w:b/>
          <w:bCs/>
        </w:rPr>
        <w:t xml:space="preserve">Custom Error Pages</w:t>
      </w:r>
      <w:r>
        <w:t xml:space="preserve">: To use this object effectively, configure your application to redirect to a custom error script (e.g., via</w:t>
      </w:r>
      <w:r>
        <w:t xml:space="preserve"> </w:t>
      </w:r>
      <w:r>
        <w:rPr>
          <w:rStyle w:val="VerbatimChar"/>
        </w:rPr>
        <w:t xml:space="preserve">web.config</w:t>
      </w:r>
      <w:r>
        <w:t xml:space="preserve">).</w:t>
      </w:r>
    </w:p>
    <w:bookmarkEnd w:id="698"/>
    <w:bookmarkStart w:id="699" w:name="how-it-works-11"/>
    <w:p>
      <w:pPr>
        <w:pStyle w:val="Heading2"/>
      </w:pPr>
      <w:r>
        <w:t xml:space="preserve">How it Works</w:t>
      </w:r>
    </w:p>
    <w:p>
      <w:pPr>
        <w:pStyle w:val="FirstParagraph"/>
      </w:pPr>
      <w:r>
        <w:t xml:space="preserve">When a runtime or compilation error occurs in G3Pix AxonASP, the engine captures the state of the error. This information is preserved until it is explicitly retrieved.</w:t>
      </w:r>
      <w:r>
        <w:t xml:space="preserve"> </w:t>
      </w:r>
      <w:r>
        <w:t xml:space="preserve">-</w:t>
      </w:r>
      <w:r>
        <w:t xml:space="preserve"> </w:t>
      </w:r>
      <w:r>
        <w:rPr>
          <w:b/>
          <w:bCs/>
        </w:rPr>
        <w:t xml:space="preserve">Read-Only</w:t>
      </w:r>
      <w:r>
        <w:t xml:space="preserve">: All properties of the</w:t>
      </w:r>
      <w:r>
        <w:t xml:space="preserve"> </w:t>
      </w:r>
      <w:r>
        <w:rPr>
          <w:b/>
          <w:bCs/>
        </w:rPr>
        <w:t xml:space="preserve">ASPError</w:t>
      </w:r>
      <w:r>
        <w:t xml:space="preserve"> </w:t>
      </w:r>
      <w:r>
        <w:t xml:space="preserve">object are read-only.</w:t>
      </w:r>
      <w:r>
        <w:t xml:space="preserve"> </w:t>
      </w:r>
      <w:r>
        <w:t xml:space="preserve">-</w:t>
      </w:r>
      <w:r>
        <w:t xml:space="preserve"> </w:t>
      </w:r>
      <w:r>
        <w:rPr>
          <w:b/>
          <w:bCs/>
        </w:rPr>
        <w:t xml:space="preserve">Scope</w:t>
      </w:r>
      <w:r>
        <w:t xml:space="preserve">: The object only contains information about the</w:t>
      </w:r>
      <w:r>
        <w:t xml:space="preserve"> </w:t>
      </w:r>
      <w:r>
        <w:rPr>
          <w:i/>
          <w:iCs/>
        </w:rPr>
        <w:t xml:space="preserve">last</w:t>
      </w:r>
      <w:r>
        <w:t xml:space="preserve"> </w:t>
      </w:r>
      <w:r>
        <w:t xml:space="preserve">error that occurred in the current request context.</w:t>
      </w:r>
    </w:p>
    <w:bookmarkEnd w:id="699"/>
    <w:bookmarkStart w:id="701" w:name="api-reference-9"/>
    <w:p>
      <w:pPr>
        <w:pStyle w:val="Heading2"/>
      </w:pPr>
      <w:r>
        <w:t xml:space="preserve">API Reference</w:t>
      </w:r>
    </w:p>
    <w:bookmarkStart w:id="700" w:name="properties-5"/>
    <w:p>
      <w:pPr>
        <w:pStyle w:val="Heading3"/>
      </w:pPr>
      <w:r>
        <w:t xml:space="preserve">Properties</w:t>
      </w:r>
    </w:p>
    <w:p>
      <w:pPr>
        <w:pStyle w:val="Compact"/>
        <w:numPr>
          <w:ilvl w:val="0"/>
          <w:numId w:val="1196"/>
        </w:numPr>
      </w:pPr>
      <w:r>
        <w:rPr>
          <w:b/>
          <w:bCs/>
        </w:rPr>
        <w:t xml:space="preserve">ASPCode</w:t>
      </w:r>
      <w:r>
        <w:t xml:space="preserve">: Returns an</w:t>
      </w:r>
      <w:r>
        <w:t xml:space="preserve"> </w:t>
      </w:r>
      <w:r>
        <w:rPr>
          <w:b/>
          <w:bCs/>
        </w:rPr>
        <w:t xml:space="preserve">Integer</w:t>
      </w:r>
      <w:r>
        <w:t xml:space="preserve"> </w:t>
      </w:r>
      <w:r>
        <w:t xml:space="preserve">representing the error code generated by the AxonASP engine.</w:t>
      </w:r>
    </w:p>
    <w:p>
      <w:pPr>
        <w:pStyle w:val="Compact"/>
        <w:numPr>
          <w:ilvl w:val="0"/>
          <w:numId w:val="1196"/>
        </w:numPr>
      </w:pPr>
      <w:r>
        <w:rPr>
          <w:b/>
          <w:bCs/>
        </w:rPr>
        <w:t xml:space="preserve">ASPDescription</w:t>
      </w:r>
      <w:r>
        <w:t xml:space="preserve">: Returns a</w:t>
      </w:r>
      <w:r>
        <w:t xml:space="preserve"> </w:t>
      </w:r>
      <w:r>
        <w:rPr>
          <w:b/>
          <w:bCs/>
        </w:rPr>
        <w:t xml:space="preserve">String</w:t>
      </w:r>
      <w:r>
        <w:t xml:space="preserve"> </w:t>
      </w:r>
      <w:r>
        <w:t xml:space="preserve">containing a detailed description of the error if it is an ASP-specific error.</w:t>
      </w:r>
    </w:p>
    <w:p>
      <w:pPr>
        <w:pStyle w:val="Compact"/>
        <w:numPr>
          <w:ilvl w:val="0"/>
          <w:numId w:val="1196"/>
        </w:numPr>
      </w:pPr>
      <w:r>
        <w:rPr>
          <w:b/>
          <w:bCs/>
        </w:rPr>
        <w:t xml:space="preserve">Category</w:t>
      </w:r>
      <w:r>
        <w:t xml:space="preserve">: Returns a</w:t>
      </w:r>
      <w:r>
        <w:t xml:space="preserve"> </w:t>
      </w:r>
      <w:r>
        <w:rPr>
          <w:b/>
          <w:bCs/>
        </w:rPr>
        <w:t xml:space="preserve">String</w:t>
      </w:r>
      <w:r>
        <w:t xml:space="preserve"> </w:t>
      </w:r>
      <w:r>
        <w:t xml:space="preserve">indicating the source of the error (e.g.,</w:t>
      </w:r>
      <w:r>
        <w:t xml:space="preserve"> </w:t>
      </w:r>
      <w:r>
        <w:t xml:space="preserve">“VBScript runtime”</w:t>
      </w:r>
      <w:r>
        <w:t xml:space="preserve">,</w:t>
      </w:r>
      <w:r>
        <w:t xml:space="preserve"> </w:t>
      </w:r>
      <w:r>
        <w:t xml:space="preserve">“AxonASP”</w:t>
      </w:r>
      <w:r>
        <w:t xml:space="preserve">, or</w:t>
      </w:r>
      <w:r>
        <w:t xml:space="preserve"> </w:t>
      </w:r>
      <w:r>
        <w:t xml:space="preserve">“ASP”</w:t>
      </w:r>
      <w:r>
        <w:t xml:space="preserve">).</w:t>
      </w:r>
    </w:p>
    <w:p>
      <w:pPr>
        <w:pStyle w:val="Compact"/>
        <w:numPr>
          <w:ilvl w:val="0"/>
          <w:numId w:val="1196"/>
        </w:numPr>
      </w:pPr>
      <w:r>
        <w:rPr>
          <w:b/>
          <w:bCs/>
        </w:rPr>
        <w:t xml:space="preserve">Column</w:t>
      </w:r>
      <w:r>
        <w:t xml:space="preserve">: Returns an</w:t>
      </w:r>
      <w:r>
        <w:t xml:space="preserve"> </w:t>
      </w:r>
      <w:r>
        <w:rPr>
          <w:b/>
          <w:bCs/>
        </w:rPr>
        <w:t xml:space="preserve">Integer</w:t>
      </w:r>
      <w:r>
        <w:t xml:space="preserve"> </w:t>
      </w:r>
      <w:r>
        <w:t xml:space="preserve">specifying the character position within the line where the error occurred.</w:t>
      </w:r>
    </w:p>
    <w:p>
      <w:pPr>
        <w:pStyle w:val="Compact"/>
        <w:numPr>
          <w:ilvl w:val="0"/>
          <w:numId w:val="1196"/>
        </w:numPr>
      </w:pPr>
      <w:r>
        <w:rPr>
          <w:b/>
          <w:bCs/>
        </w:rPr>
        <w:t xml:space="preserve">Description</w:t>
      </w:r>
      <w:r>
        <w:t xml:space="preserve">: Returns a</w:t>
      </w:r>
      <w:r>
        <w:t xml:space="preserve"> </w:t>
      </w:r>
      <w:r>
        <w:rPr>
          <w:b/>
          <w:bCs/>
        </w:rPr>
        <w:t xml:space="preserve">String</w:t>
      </w:r>
      <w:r>
        <w:t xml:space="preserve"> </w:t>
      </w:r>
      <w:r>
        <w:t xml:space="preserve">containing a short description of the error.</w:t>
      </w:r>
    </w:p>
    <w:p>
      <w:pPr>
        <w:pStyle w:val="Compact"/>
        <w:numPr>
          <w:ilvl w:val="0"/>
          <w:numId w:val="1196"/>
        </w:numPr>
      </w:pPr>
      <w:r>
        <w:rPr>
          <w:b/>
          <w:bCs/>
        </w:rPr>
        <w:t xml:space="preserve">File</w:t>
      </w:r>
      <w:r>
        <w:t xml:space="preserve">: Returns a</w:t>
      </w:r>
      <w:r>
        <w:t xml:space="preserve"> </w:t>
      </w:r>
      <w:r>
        <w:rPr>
          <w:b/>
          <w:bCs/>
        </w:rPr>
        <w:t xml:space="preserve">String</w:t>
      </w:r>
      <w:r>
        <w:t xml:space="preserve"> </w:t>
      </w:r>
      <w:r>
        <w:t xml:space="preserve">containing the virtual path of the file that generated the error.</w:t>
      </w:r>
    </w:p>
    <w:p>
      <w:pPr>
        <w:pStyle w:val="Compact"/>
        <w:numPr>
          <w:ilvl w:val="0"/>
          <w:numId w:val="1196"/>
        </w:numPr>
      </w:pPr>
      <w:r>
        <w:rPr>
          <w:b/>
          <w:bCs/>
        </w:rPr>
        <w:t xml:space="preserve">HelpContext</w:t>
      </w:r>
      <w:r>
        <w:t xml:space="preserve">: Returns an</w:t>
      </w:r>
      <w:r>
        <w:t xml:space="preserve"> </w:t>
      </w:r>
      <w:r>
        <w:rPr>
          <w:b/>
          <w:bCs/>
        </w:rPr>
        <w:t xml:space="preserve">Integer</w:t>
      </w:r>
      <w:r>
        <w:t xml:space="preserve"> </w:t>
      </w:r>
      <w:r>
        <w:t xml:space="preserve">specifying the help context ID for the error (usually 0).</w:t>
      </w:r>
    </w:p>
    <w:p>
      <w:pPr>
        <w:pStyle w:val="Compact"/>
        <w:numPr>
          <w:ilvl w:val="0"/>
          <w:numId w:val="1196"/>
        </w:numPr>
      </w:pPr>
      <w:r>
        <w:rPr>
          <w:b/>
          <w:bCs/>
        </w:rPr>
        <w:t xml:space="preserve">HelpFile</w:t>
      </w:r>
      <w:r>
        <w:t xml:space="preserve">: Returns a</w:t>
      </w:r>
      <w:r>
        <w:t xml:space="preserve"> </w:t>
      </w:r>
      <w:r>
        <w:rPr>
          <w:b/>
          <w:bCs/>
        </w:rPr>
        <w:t xml:space="preserve">String</w:t>
      </w:r>
      <w:r>
        <w:t xml:space="preserve"> </w:t>
      </w:r>
      <w:r>
        <w:t xml:space="preserve">containing the path to a help file if available.</w:t>
      </w:r>
    </w:p>
    <w:p>
      <w:pPr>
        <w:pStyle w:val="Compact"/>
        <w:numPr>
          <w:ilvl w:val="0"/>
          <w:numId w:val="1196"/>
        </w:numPr>
      </w:pPr>
      <w:r>
        <w:rPr>
          <w:b/>
          <w:bCs/>
        </w:rPr>
        <w:t xml:space="preserve">Line</w:t>
      </w:r>
      <w:r>
        <w:t xml:space="preserve">: Returns an</w:t>
      </w:r>
      <w:r>
        <w:t xml:space="preserve"> </w:t>
      </w:r>
      <w:r>
        <w:rPr>
          <w:b/>
          <w:bCs/>
        </w:rPr>
        <w:t xml:space="preserve">Integer</w:t>
      </w:r>
      <w:r>
        <w:t xml:space="preserve"> </w:t>
      </w:r>
      <w:r>
        <w:t xml:space="preserve">specifying the line number in the source file where the error occurred.</w:t>
      </w:r>
    </w:p>
    <w:p>
      <w:pPr>
        <w:pStyle w:val="Compact"/>
        <w:numPr>
          <w:ilvl w:val="0"/>
          <w:numId w:val="1196"/>
        </w:numPr>
      </w:pPr>
      <w:r>
        <w:rPr>
          <w:b/>
          <w:bCs/>
        </w:rPr>
        <w:t xml:space="preserve">Number</w:t>
      </w:r>
      <w:r>
        <w:t xml:space="preserve">: Returns an</w:t>
      </w:r>
      <w:r>
        <w:t xml:space="preserve"> </w:t>
      </w:r>
      <w:r>
        <w:rPr>
          <w:b/>
          <w:bCs/>
        </w:rPr>
        <w:t xml:space="preserve">Integer</w:t>
      </w:r>
      <w:r>
        <w:t xml:space="preserve"> </w:t>
      </w:r>
      <w:r>
        <w:t xml:space="preserve">representing the standard VBScript error number.</w:t>
      </w:r>
    </w:p>
    <w:p>
      <w:pPr>
        <w:pStyle w:val="Compact"/>
        <w:numPr>
          <w:ilvl w:val="0"/>
          <w:numId w:val="1196"/>
        </w:numPr>
      </w:pPr>
      <w:r>
        <w:rPr>
          <w:b/>
          <w:bCs/>
        </w:rPr>
        <w:t xml:space="preserve">Source</w:t>
      </w:r>
      <w:r>
        <w:t xml:space="preserve">: Returns a</w:t>
      </w:r>
      <w:r>
        <w:t xml:space="preserve"> </w:t>
      </w:r>
      <w:r>
        <w:rPr>
          <w:b/>
          <w:bCs/>
        </w:rPr>
        <w:t xml:space="preserve">String</w:t>
      </w:r>
      <w:r>
        <w:t xml:space="preserve"> </w:t>
      </w:r>
      <w:r>
        <w:t xml:space="preserve">containing the source code of the line that caused the error.</w:t>
      </w:r>
    </w:p>
    <w:bookmarkEnd w:id="700"/>
    <w:bookmarkEnd w:id="701"/>
    <w:bookmarkStart w:id="702" w:name="code-example-17"/>
    <w:p>
      <w:pPr>
        <w:pStyle w:val="Heading2"/>
      </w:pPr>
      <w:r>
        <w:t xml:space="preserve">Code Example</w:t>
      </w:r>
    </w:p>
    <w:p>
      <w:pPr>
        <w:pStyle w:val="FirstParagraph"/>
      </w:pPr>
      <w:r>
        <w:t xml:space="preserve">The following example demonstrates how to extract error details in a custom error handler page.</w:t>
      </w:r>
    </w:p>
    <w:p>
      <w:pPr>
        <w:pStyle w:val="SourceCode"/>
      </w:pPr>
      <w:r>
        <w:rPr>
          <w:rStyle w:val="DataTypeTok"/>
        </w:rPr>
        <w:t xml:space="preserve">&lt;%</w:t>
      </w:r>
      <w:r>
        <w:br/>
      </w:r>
      <w:r>
        <w:rPr>
          <w:rStyle w:val="KeywordTok"/>
        </w:rPr>
        <w:t xml:space="preserve">Dim</w:t>
      </w:r>
      <w:r>
        <w:rPr>
          <w:rStyle w:val="NormalTok"/>
        </w:rPr>
        <w:t xml:space="preserve"> objErr</w:t>
      </w:r>
      <w:r>
        <w:br/>
      </w:r>
      <w:r>
        <w:rPr>
          <w:rStyle w:val="KeywordTok"/>
        </w:rPr>
        <w:t xml:space="preserve">Set</w:t>
      </w:r>
      <w:r>
        <w:rPr>
          <w:rStyle w:val="NormalTok"/>
        </w:rPr>
        <w:t xml:space="preserve"> objErr = </w:t>
      </w:r>
      <w:r>
        <w:rPr>
          <w:rStyle w:val="FunctionTok"/>
        </w:rPr>
        <w:t xml:space="preserve">Server</w:t>
      </w:r>
      <w:r>
        <w:rPr>
          <w:rStyle w:val="NormalTok"/>
        </w:rPr>
        <w:t xml:space="preserve">.GetLastError</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"&lt;h1&gt;An Error Occurred&lt;/h1&gt;"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"&lt;b&gt;Category:&lt;/b&gt; "</w:t>
      </w:r>
      <w:r>
        <w:rPr>
          <w:rStyle w:val="NormalTok"/>
        </w:rPr>
        <w:t xml:space="preserve"> </w:t>
      </w:r>
      <w:r>
        <w:rPr>
          <w:rStyle w:val="KeywordTok"/>
        </w:rPr>
        <w:t xml:space="preserve">&amp;</w:t>
      </w:r>
      <w:r>
        <w:rPr>
          <w:rStyle w:val="NormalTok"/>
        </w:rPr>
        <w:t xml:space="preserve"> objErr.Category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"&lt;b&gt;Number:&lt;/b&gt; "</w:t>
      </w:r>
      <w:r>
        <w:rPr>
          <w:rStyle w:val="NormalTok"/>
        </w:rPr>
        <w:t xml:space="preserve"> </w:t>
      </w:r>
      <w:r>
        <w:rPr>
          <w:rStyle w:val="KeywordTok"/>
        </w:rPr>
        <w:t xml:space="preserve">&amp;</w:t>
      </w:r>
      <w:r>
        <w:rPr>
          <w:rStyle w:val="NormalTok"/>
        </w:rPr>
        <w:t xml:space="preserve"> objErr.Number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"&lt;b&gt;Description:&lt;/b&gt; "</w:t>
      </w:r>
      <w:r>
        <w:rPr>
          <w:rStyle w:val="NormalTok"/>
        </w:rPr>
        <w:t xml:space="preserve"> </w:t>
      </w:r>
      <w:r>
        <w:rPr>
          <w:rStyle w:val="KeywordTok"/>
        </w:rPr>
        <w:t xml:space="preserve">&amp;</w:t>
      </w:r>
      <w:r>
        <w:rPr>
          <w:rStyle w:val="NormalTok"/>
        </w:rPr>
        <w:t xml:space="preserve"> objErr.Description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"&lt;b&gt;File:&lt;/b&gt; "</w:t>
      </w:r>
      <w:r>
        <w:rPr>
          <w:rStyle w:val="NormalTok"/>
        </w:rPr>
        <w:t xml:space="preserve"> </w:t>
      </w:r>
      <w:r>
        <w:rPr>
          <w:rStyle w:val="KeywordTok"/>
        </w:rPr>
        <w:t xml:space="preserve">&amp;</w:t>
      </w:r>
      <w:r>
        <w:rPr>
          <w:rStyle w:val="NormalTok"/>
        </w:rPr>
        <w:t xml:space="preserve"> objErr.File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"&lt;b&gt;Line:&lt;/b&gt; "</w:t>
      </w:r>
      <w:r>
        <w:rPr>
          <w:rStyle w:val="NormalTok"/>
        </w:rPr>
        <w:t xml:space="preserve"> </w:t>
      </w:r>
      <w:r>
        <w:rPr>
          <w:rStyle w:val="KeywordTok"/>
        </w:rPr>
        <w:t xml:space="preserve">&amp;</w:t>
      </w:r>
      <w:r>
        <w:rPr>
          <w:rStyle w:val="NormalTok"/>
        </w:rPr>
        <w:t xml:space="preserve"> objErr.Line </w:t>
      </w:r>
      <w:r>
        <w:rPr>
          <w:rStyle w:val="KeywordTok"/>
        </w:rPr>
        <w:t xml:space="preserve">&amp;</w:t>
      </w:r>
      <w:r>
        <w:rPr>
          <w:rStyle w:val="NormalTok"/>
        </w:rPr>
        <w:t xml:space="preserve"> </w:t>
      </w:r>
      <w:r>
        <w:rPr>
          <w:rStyle w:val="StringTok"/>
        </w:rPr>
        <w:t xml:space="preserve">"&lt;br&gt;"</w:t>
      </w:r>
      <w:r>
        <w:br/>
      </w:r>
      <w:r>
        <w:br/>
      </w:r>
      <w:r>
        <w:rPr>
          <w:rStyle w:val="KeywordTok"/>
        </w:rPr>
        <w:t xml:space="preserve">Set</w:t>
      </w:r>
      <w:r>
        <w:rPr>
          <w:rStyle w:val="NormalTok"/>
        </w:rPr>
        <w:t xml:space="preserve"> objErr = </w:t>
      </w:r>
      <w:r>
        <w:rPr>
          <w:rStyle w:val="KeywordTok"/>
        </w:rPr>
        <w:t xml:space="preserve">Nothing</w:t>
      </w:r>
      <w:r>
        <w:br/>
      </w:r>
      <w:r>
        <w:rPr>
          <w:rStyle w:val="DataTypeTok"/>
        </w:rPr>
        <w:t xml:space="preserve">%&gt;</w:t>
      </w:r>
    </w:p>
    <w:bookmarkEnd w:id="702"/>
    <w:bookmarkStart w:id="703" w:name="remarks-28"/>
    <w:p>
      <w:pPr>
        <w:pStyle w:val="Heading2"/>
      </w:pPr>
      <w:r>
        <w:t xml:space="preserve">Remarks</w:t>
      </w:r>
    </w:p>
    <w:p>
      <w:pPr>
        <w:pStyle w:val="Compact"/>
        <w:numPr>
          <w:ilvl w:val="0"/>
          <w:numId w:val="1197"/>
        </w:numPr>
      </w:pPr>
      <w:r>
        <w:rPr>
          <w:b/>
          <w:bCs/>
        </w:rPr>
        <w:t xml:space="preserve">Security</w:t>
      </w:r>
      <w:r>
        <w:t xml:space="preserve">: In production environments, avoid displaying the full details of the</w:t>
      </w:r>
      <w:r>
        <w:t xml:space="preserve"> </w:t>
      </w:r>
      <w:r>
        <w:rPr>
          <w:b/>
          <w:bCs/>
        </w:rPr>
        <w:t xml:space="preserve">ASPError</w:t>
      </w:r>
      <w:r>
        <w:t xml:space="preserve"> </w:t>
      </w:r>
      <w:r>
        <w:t xml:space="preserve">object to end-users, as it may reveal sensitive system information.</w:t>
      </w:r>
    </w:p>
    <w:p>
      <w:pPr>
        <w:pStyle w:val="Compact"/>
        <w:numPr>
          <w:ilvl w:val="0"/>
          <w:numId w:val="1197"/>
        </w:numPr>
      </w:pPr>
      <w:r>
        <w:rPr>
          <w:b/>
          <w:bCs/>
        </w:rPr>
        <w:t xml:space="preserve">Logging</w:t>
      </w:r>
      <w:r>
        <w:t xml:space="preserve">: Use the properties of this object to populate database logs or system event logs for administrative review.</w:t>
      </w:r>
    </w:p>
    <w:p>
      <w:pPr>
        <w:pStyle w:val="Compact"/>
        <w:numPr>
          <w:ilvl w:val="0"/>
          <w:numId w:val="1197"/>
        </w:numPr>
      </w:pPr>
      <w:r>
        <w:rPr>
          <w:b/>
          <w:bCs/>
        </w:rPr>
        <w:t xml:space="preserve">Persistence</w:t>
      </w:r>
      <w:r>
        <w:t xml:space="preserve">: The error information is only available for the duration of the request that triggered the error or the subsequent error handler.</w:t>
      </w:r>
    </w:p>
    <w:bookmarkEnd w:id="703"/>
    <w:bookmarkEnd w:id="704"/>
    <w:bookmarkStart w:id="713" w:name="use-the-asp-dictionary-object"/>
    <w:p>
      <w:pPr>
        <w:pStyle w:val="Heading1"/>
      </w:pPr>
      <w:r>
        <w:t xml:space="preserve">Use the ASP Dictionary Object</w:t>
      </w:r>
    </w:p>
    <w:bookmarkStart w:id="705" w:name="overview-43"/>
    <w:p>
      <w:pPr>
        <w:pStyle w:val="Heading2"/>
      </w:pPr>
      <w:r>
        <w:t xml:space="preserve">Overview</w:t>
      </w:r>
    </w:p>
    <w:p>
      <w:pPr>
        <w:pStyle w:val="FirstParagraph"/>
      </w:pPr>
      <w:r>
        <w:t xml:space="preserve">The</w:t>
      </w:r>
      <w:r>
        <w:t xml:space="preserve"> </w:t>
      </w:r>
      <w:r>
        <w:rPr>
          <w:b/>
          <w:bCs/>
        </w:rPr>
        <w:t xml:space="preserve">Dictionary</w:t>
      </w:r>
      <w:r>
        <w:t xml:space="preserve"> </w:t>
      </w:r>
      <w:r>
        <w:t xml:space="preserve">object in G3Pix AxonASP is a highly efficient data structure used to store and manage key-value pairs. It functions similarly to an associative array or a hash map, allowing for fast retrieval of data based on unique keys. This object is preferred over standard arrays for tasks involving lookup tables, JSON-like maps, and managing complex configuration data.</w:t>
      </w:r>
    </w:p>
    <w:bookmarkEnd w:id="705"/>
    <w:bookmarkStart w:id="706" w:name="syntax-17"/>
    <w:p>
      <w:pPr>
        <w:pStyle w:val="Heading2"/>
      </w:pPr>
      <w:r>
        <w:t xml:space="preserve">Syntax</w:t>
      </w:r>
    </w:p>
    <w:p>
      <w:pPr>
        <w:pStyle w:val="FirstParagraph"/>
      </w:pPr>
      <w:r>
        <w:t xml:space="preserve">To instantiate the object, use the following syntax:</w:t>
      </w:r>
    </w:p>
    <w:p>
      <w:pPr>
        <w:pStyle w:val="SourceCode"/>
      </w:pPr>
      <w:r>
        <w:rPr>
          <w:rStyle w:val="NormalTok"/>
        </w:rPr>
        <w:t xml:space="preserve">Set dict = Server.CreateObject("Scripting.Dictionary")</w:t>
      </w:r>
    </w:p>
    <w:bookmarkEnd w:id="706"/>
    <w:bookmarkStart w:id="707" w:name="how-it-works-12"/>
    <w:p>
      <w:pPr>
        <w:pStyle w:val="Heading2"/>
      </w:pPr>
      <w:r>
        <w:t xml:space="preserve">How it Works</w:t>
      </w:r>
    </w:p>
    <w:p>
      <w:pPr>
        <w:pStyle w:val="FirstParagraph"/>
      </w:pPr>
      <w:r>
        <w:t xml:space="preserve">The AxonASP Virtual Machine provides a native implementation of the</w:t>
      </w:r>
      <w:r>
        <w:t xml:space="preserve"> </w:t>
      </w:r>
      <w:r>
        <w:rPr>
          <w:b/>
          <w:bCs/>
        </w:rPr>
        <w:t xml:space="preserve">Scripting.Dictionary</w:t>
      </w:r>
      <w:r>
        <w:t xml:space="preserve"> </w:t>
      </w:r>
      <w:r>
        <w:t xml:space="preserve">object.</w:t>
      </w:r>
      <w:r>
        <w:t xml:space="preserve"> </w:t>
      </w:r>
      <w:r>
        <w:t xml:space="preserve">-</w:t>
      </w:r>
      <w:r>
        <w:t xml:space="preserve"> </w:t>
      </w:r>
      <w:r>
        <w:rPr>
          <w:b/>
          <w:bCs/>
        </w:rPr>
        <w:t xml:space="preserve">Keys and Items</w:t>
      </w:r>
      <w:r>
        <w:t xml:space="preserve">: Each entry consists of a unique</w:t>
      </w:r>
      <w:r>
        <w:t xml:space="preserve"> </w:t>
      </w:r>
      <w:r>
        <w:rPr>
          <w:b/>
          <w:bCs/>
        </w:rPr>
        <w:t xml:space="preserve">Key</w:t>
      </w:r>
      <w:r>
        <w:t xml:space="preserve"> </w:t>
      </w:r>
      <w:r>
        <w:t xml:space="preserve">and an associated</w:t>
      </w:r>
      <w:r>
        <w:t xml:space="preserve"> </w:t>
      </w:r>
      <w:r>
        <w:rPr>
          <w:b/>
          <w:bCs/>
        </w:rPr>
        <w:t xml:space="preserve">Item</w:t>
      </w:r>
      <w:r>
        <w:t xml:space="preserve"> </w:t>
      </w:r>
      <w:r>
        <w:t xml:space="preserve">(value).</w:t>
      </w:r>
      <w:r>
        <w:t xml:space="preserve"> </w:t>
      </w:r>
      <w:r>
        <w:t xml:space="preserve">-</w:t>
      </w:r>
      <w:r>
        <w:t xml:space="preserve"> </w:t>
      </w:r>
      <w:r>
        <w:rPr>
          <w:b/>
          <w:bCs/>
        </w:rPr>
        <w:t xml:space="preserve">Type Flexibility</w:t>
      </w:r>
      <w:r>
        <w:t xml:space="preserve">: Keys and items can be any Variant type, including strings, numbers, and other object references.</w:t>
      </w:r>
      <w:r>
        <w:t xml:space="preserve"> </w:t>
      </w:r>
      <w:r>
        <w:t xml:space="preserve">-</w:t>
      </w:r>
      <w:r>
        <w:t xml:space="preserve"> </w:t>
      </w:r>
      <w:r>
        <w:rPr>
          <w:b/>
          <w:bCs/>
        </w:rPr>
        <w:t xml:space="preserve">Comparison Mode</w:t>
      </w:r>
      <w:r>
        <w:t xml:space="preserve">: The object can be configured to perform case-sensitive or case-insensitive key comparisons.</w:t>
      </w:r>
    </w:p>
    <w:bookmarkEnd w:id="707"/>
    <w:bookmarkStart w:id="710" w:name="api-reference-10"/>
    <w:p>
      <w:pPr>
        <w:pStyle w:val="Heading2"/>
      </w:pPr>
      <w:r>
        <w:t xml:space="preserve">API Reference</w:t>
      </w:r>
    </w:p>
    <w:bookmarkStart w:id="708" w:name="methods-5"/>
    <w:p>
      <w:pPr>
        <w:pStyle w:val="Heading3"/>
      </w:pPr>
      <w:r>
        <w:t xml:space="preserve">Methods</w:t>
      </w:r>
    </w:p>
    <w:p>
      <w:pPr>
        <w:pStyle w:val="Compact"/>
        <w:numPr>
          <w:ilvl w:val="0"/>
          <w:numId w:val="1198"/>
        </w:numPr>
      </w:pPr>
      <w:r>
        <w:rPr>
          <w:b/>
          <w:bCs/>
        </w:rPr>
        <w:t xml:space="preserve">Add(key, item)</w:t>
      </w:r>
      <w:r>
        <w:t xml:space="preserve">: Adds a new key-value pair to the dictionary. Returns</w:t>
      </w:r>
      <w:r>
        <w:t xml:space="preserve"> </w:t>
      </w:r>
      <w:r>
        <w:rPr>
          <w:b/>
          <w:bCs/>
        </w:rPr>
        <w:t xml:space="preserve">Empty</w:t>
      </w:r>
      <w:r>
        <w:t xml:space="preserve">.</w:t>
      </w:r>
    </w:p>
    <w:p>
      <w:pPr>
        <w:pStyle w:val="Compact"/>
        <w:numPr>
          <w:ilvl w:val="0"/>
          <w:numId w:val="1198"/>
        </w:numPr>
      </w:pPr>
      <w:r>
        <w:rPr>
          <w:b/>
          <w:bCs/>
        </w:rPr>
        <w:t xml:space="preserve">Exists(key)</w:t>
      </w:r>
      <w:r>
        <w:t xml:space="preserve">: Returns a</w:t>
      </w:r>
      <w:r>
        <w:t xml:space="preserve"> </w:t>
      </w:r>
      <w:r>
        <w:rPr>
          <w:b/>
          <w:bCs/>
        </w:rPr>
        <w:t xml:space="preserve">Boolean</w:t>
      </w:r>
      <w:r>
        <w:t xml:space="preserve"> </w:t>
      </w:r>
      <w:r>
        <w:t xml:space="preserve">indicating whether the specified key exists in the dictionary.</w:t>
      </w:r>
    </w:p>
    <w:p>
      <w:pPr>
        <w:pStyle w:val="Compact"/>
        <w:numPr>
          <w:ilvl w:val="0"/>
          <w:numId w:val="1198"/>
        </w:numPr>
      </w:pPr>
      <w:r>
        <w:rPr>
          <w:b/>
          <w:bCs/>
        </w:rPr>
        <w:t xml:space="preserve">Items()</w:t>
      </w:r>
      <w:r>
        <w:t xml:space="preserve">: Returns a</w:t>
      </w:r>
      <w:r>
        <w:t xml:space="preserve"> </w:t>
      </w:r>
      <w:r>
        <w:rPr>
          <w:b/>
          <w:bCs/>
        </w:rPr>
        <w:t xml:space="preserve">VBArray</w:t>
      </w:r>
      <w:r>
        <w:t xml:space="preserve"> </w:t>
      </w:r>
      <w:r>
        <w:t xml:space="preserve">containing all the items in the dictionary.</w:t>
      </w:r>
    </w:p>
    <w:p>
      <w:pPr>
        <w:pStyle w:val="Compact"/>
        <w:numPr>
          <w:ilvl w:val="0"/>
          <w:numId w:val="1198"/>
        </w:numPr>
      </w:pPr>
      <w:r>
        <w:rPr>
          <w:b/>
          <w:bCs/>
        </w:rPr>
        <w:t xml:space="preserve">Keys()</w:t>
      </w:r>
      <w:r>
        <w:t xml:space="preserve">: Returns a</w:t>
      </w:r>
      <w:r>
        <w:t xml:space="preserve"> </w:t>
      </w:r>
      <w:r>
        <w:rPr>
          <w:b/>
          <w:bCs/>
        </w:rPr>
        <w:t xml:space="preserve">VBArray</w:t>
      </w:r>
      <w:r>
        <w:t xml:space="preserve"> </w:t>
      </w:r>
      <w:r>
        <w:t xml:space="preserve">containing all the keys in the dictionary.</w:t>
      </w:r>
    </w:p>
    <w:p>
      <w:pPr>
        <w:pStyle w:val="Compact"/>
        <w:numPr>
          <w:ilvl w:val="0"/>
          <w:numId w:val="1198"/>
        </w:numPr>
      </w:pPr>
      <w:r>
        <w:rPr>
          <w:b/>
          <w:bCs/>
        </w:rPr>
        <w:t xml:space="preserve">Remove(key)</w:t>
      </w:r>
      <w:r>
        <w:t xml:space="preserve">: Removes a specific key-value pair from the dictionary. Returns</w:t>
      </w:r>
      <w:r>
        <w:t xml:space="preserve"> </w:t>
      </w:r>
      <w:r>
        <w:rPr>
          <w:b/>
          <w:bCs/>
        </w:rPr>
        <w:t xml:space="preserve">Empty</w:t>
      </w:r>
      <w:r>
        <w:t xml:space="preserve">.</w:t>
      </w:r>
    </w:p>
    <w:p>
      <w:pPr>
        <w:pStyle w:val="Compact"/>
        <w:numPr>
          <w:ilvl w:val="0"/>
          <w:numId w:val="1198"/>
        </w:numPr>
      </w:pPr>
      <w:r>
        <w:rPr>
          <w:b/>
          <w:bCs/>
        </w:rPr>
        <w:t xml:space="preserve">RemoveAll()</w:t>
      </w:r>
      <w:r>
        <w:t xml:space="preserve">: Clears all entries from the dictionary. Returns</w:t>
      </w:r>
      <w:r>
        <w:t xml:space="preserve"> </w:t>
      </w:r>
      <w:r>
        <w:rPr>
          <w:b/>
          <w:bCs/>
        </w:rPr>
        <w:t xml:space="preserve">Empty</w:t>
      </w:r>
      <w:r>
        <w:t xml:space="preserve">.</w:t>
      </w:r>
    </w:p>
    <w:bookmarkEnd w:id="708"/>
    <w:bookmarkStart w:id="709" w:name="properties-6"/>
    <w:p>
      <w:pPr>
        <w:pStyle w:val="Heading3"/>
      </w:pPr>
      <w:r>
        <w:t xml:space="preserve">Properties</w:t>
      </w:r>
    </w:p>
    <w:p>
      <w:pPr>
        <w:pStyle w:val="Compact"/>
        <w:numPr>
          <w:ilvl w:val="0"/>
          <w:numId w:val="1199"/>
        </w:numPr>
      </w:pPr>
      <w:r>
        <w:rPr>
          <w:b/>
          <w:bCs/>
        </w:rPr>
        <w:t xml:space="preserve">CompareMode</w:t>
      </w:r>
      <w:r>
        <w:t xml:space="preserve">: Gets or sets an</w:t>
      </w:r>
      <w:r>
        <w:t xml:space="preserve"> </w:t>
      </w:r>
      <w:r>
        <w:rPr>
          <w:b/>
          <w:bCs/>
        </w:rPr>
        <w:t xml:space="preserve">Integer</w:t>
      </w:r>
      <w:r>
        <w:t xml:space="preserve"> </w:t>
      </w:r>
      <w:r>
        <w:t xml:space="preserve">specifying the comparison mode (0 for Binary/Case-Sensitive, 1 for Text/Case-Insensitive).</w:t>
      </w:r>
    </w:p>
    <w:p>
      <w:pPr>
        <w:pStyle w:val="Compact"/>
        <w:numPr>
          <w:ilvl w:val="0"/>
          <w:numId w:val="1199"/>
        </w:numPr>
      </w:pPr>
      <w:r>
        <w:rPr>
          <w:b/>
          <w:bCs/>
        </w:rPr>
        <w:t xml:space="preserve">Count</w:t>
      </w:r>
      <w:r>
        <w:t xml:space="preserve">: Returns an</w:t>
      </w:r>
      <w:r>
        <w:t xml:space="preserve"> </w:t>
      </w:r>
      <w:r>
        <w:rPr>
          <w:b/>
          <w:bCs/>
        </w:rPr>
        <w:t xml:space="preserve">Integer</w:t>
      </w:r>
      <w:r>
        <w:t xml:space="preserve"> </w:t>
      </w:r>
      <w:r>
        <w:t xml:space="preserve">representing the number of entries currently in the dictionary.</w:t>
      </w:r>
    </w:p>
    <w:p>
      <w:pPr>
        <w:pStyle w:val="Compact"/>
        <w:numPr>
          <w:ilvl w:val="0"/>
          <w:numId w:val="1199"/>
        </w:numPr>
      </w:pPr>
      <w:r>
        <w:rPr>
          <w:b/>
          <w:bCs/>
        </w:rPr>
        <w:t xml:space="preserve">Item(key)</w:t>
      </w:r>
      <w:r>
        <w:t xml:space="preserve">: Gets or sets the value for a specified key. This is the default property.</w:t>
      </w:r>
    </w:p>
    <w:p>
      <w:pPr>
        <w:pStyle w:val="Compact"/>
        <w:numPr>
          <w:ilvl w:val="0"/>
          <w:numId w:val="1199"/>
        </w:numPr>
      </w:pPr>
      <w:r>
        <w:rPr>
          <w:b/>
          <w:bCs/>
        </w:rPr>
        <w:t xml:space="preserve">Key(oldKey)</w:t>
      </w:r>
      <w:r>
        <w:t xml:space="preserve">: Sets a new name for an existing key.</w:t>
      </w:r>
    </w:p>
    <w:bookmarkEnd w:id="709"/>
    <w:bookmarkEnd w:id="710"/>
    <w:bookmarkStart w:id="711" w:name="code-example-18"/>
    <w:p>
      <w:pPr>
        <w:pStyle w:val="Heading2"/>
      </w:pPr>
      <w:r>
        <w:t xml:space="preserve">Code Example</w:t>
      </w:r>
    </w:p>
    <w:p>
      <w:pPr>
        <w:pStyle w:val="FirstParagraph"/>
      </w:pPr>
      <w:r>
        <w:t xml:space="preserve">The following example demonstrates how to create a dictionary, add data, and iterate through the keys.</w:t>
      </w:r>
    </w:p>
    <w:p>
      <w:pPr>
        <w:pStyle w:val="SourceCode"/>
      </w:pPr>
      <w:r>
        <w:rPr>
          <w:rStyle w:val="DataTypeTok"/>
        </w:rPr>
        <w:t xml:space="preserve">&lt;%</w:t>
      </w:r>
      <w:r>
        <w:br/>
      </w:r>
      <w:r>
        <w:rPr>
          <w:rStyle w:val="KeywordTok"/>
        </w:rPr>
        <w:t xml:space="preserve">Dim</w:t>
      </w:r>
      <w:r>
        <w:rPr>
          <w:rStyle w:val="NormalTok"/>
        </w:rPr>
        <w:t xml:space="preserve"> dict</w:t>
      </w:r>
      <w:r>
        <w:rPr>
          <w:rStyle w:val="OtherTok"/>
        </w:rPr>
        <w:t xml:space="preserve">,</w:t>
      </w:r>
      <w:r>
        <w:rPr>
          <w:rStyle w:val="NormalTok"/>
        </w:rPr>
        <w:t xml:space="preserve"> k</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CommentTok"/>
        </w:rPr>
        <w:t xml:space="preserve">' Set case-insensitive mode</w:t>
      </w:r>
      <w:r>
        <w:br/>
      </w:r>
      <w:r>
        <w:rPr>
          <w:rStyle w:val="NormalTok"/>
        </w:rPr>
        <w:t xml:space="preserve">dict.CompareMode = </w:t>
      </w:r>
      <w:r>
        <w:rPr>
          <w:rStyle w:val="DecValTok"/>
        </w:rPr>
        <w:t xml:space="preserve">1</w:t>
      </w:r>
      <w:r>
        <w:br/>
      </w:r>
      <w:r>
        <w:br/>
      </w:r>
      <w:r>
        <w:rPr>
          <w:rStyle w:val="CommentTok"/>
        </w:rPr>
        <w:t xml:space="preserve">' Populate data</w:t>
      </w:r>
      <w:r>
        <w:br/>
      </w:r>
      <w:r>
        <w:rPr>
          <w:rStyle w:val="NormalTok"/>
        </w:rPr>
        <w:t xml:space="preserve">dict.</w:t>
      </w:r>
      <w:r>
        <w:rPr>
          <w:rStyle w:val="FunctionTok"/>
        </w:rPr>
        <w:t xml:space="preserve">Add</w:t>
      </w:r>
      <w:r>
        <w:rPr>
          <w:rStyle w:val="NormalTok"/>
        </w:rPr>
        <w:t xml:space="preserve"> </w:t>
      </w:r>
      <w:r>
        <w:rPr>
          <w:rStyle w:val="StringTok"/>
        </w:rPr>
        <w:t xml:space="preserve">"Engine"</w:t>
      </w:r>
      <w:r>
        <w:rPr>
          <w:rStyle w:val="OtherTok"/>
        </w:rPr>
        <w:t xml:space="preserve">,</w:t>
      </w:r>
      <w:r>
        <w:rPr>
          <w:rStyle w:val="NormalTok"/>
        </w:rPr>
        <w:t xml:space="preserve"> </w:t>
      </w:r>
      <w:r>
        <w:rPr>
          <w:rStyle w:val="StringTok"/>
        </w:rPr>
        <w:t xml:space="preserve">"AxonASP"</w:t>
      </w:r>
      <w:r>
        <w:br/>
      </w:r>
      <w:r>
        <w:rPr>
          <w:rStyle w:val="NormalTok"/>
        </w:rPr>
        <w:t xml:space="preserve">dict.</w:t>
      </w:r>
      <w:r>
        <w:rPr>
          <w:rStyle w:val="FunctionTok"/>
        </w:rPr>
        <w:t xml:space="preserve">Add</w:t>
      </w:r>
      <w:r>
        <w:rPr>
          <w:rStyle w:val="NormalTok"/>
        </w:rPr>
        <w:t xml:space="preserve"> </w:t>
      </w:r>
      <w:r>
        <w:rPr>
          <w:rStyle w:val="StringTok"/>
        </w:rPr>
        <w:t xml:space="preserve">"Version"</w:t>
      </w:r>
      <w:r>
        <w:rPr>
          <w:rStyle w:val="OtherTok"/>
        </w:rPr>
        <w:t xml:space="preserve">,</w:t>
      </w:r>
      <w:r>
        <w:rPr>
          <w:rStyle w:val="NormalTok"/>
        </w:rPr>
        <w:t xml:space="preserve"> </w:t>
      </w:r>
      <w:r>
        <w:rPr>
          <w:rStyle w:val="StringTok"/>
        </w:rPr>
        <w:t xml:space="preserve">"2.0"</w:t>
      </w:r>
      <w:r>
        <w:br/>
      </w:r>
      <w:r>
        <w:rPr>
          <w:rStyle w:val="NormalTok"/>
        </w:rPr>
        <w:t xml:space="preserve">dict.</w:t>
      </w:r>
      <w:r>
        <w:rPr>
          <w:rStyle w:val="FunctionTok"/>
        </w:rPr>
        <w:t xml:space="preserve">Add</w:t>
      </w:r>
      <w:r>
        <w:rPr>
          <w:rStyle w:val="NormalTok"/>
        </w:rPr>
        <w:t xml:space="preserve"> </w:t>
      </w:r>
      <w:r>
        <w:rPr>
          <w:rStyle w:val="StringTok"/>
        </w:rPr>
        <w:t xml:space="preserve">"Status"</w:t>
      </w:r>
      <w:r>
        <w:rPr>
          <w:rStyle w:val="OtherTok"/>
        </w:rPr>
        <w:t xml:space="preserve">,</w:t>
      </w:r>
      <w:r>
        <w:rPr>
          <w:rStyle w:val="NormalTok"/>
        </w:rPr>
        <w:t xml:space="preserve"> </w:t>
      </w:r>
      <w:r>
        <w:rPr>
          <w:rStyle w:val="StringTok"/>
        </w:rPr>
        <w:t xml:space="preserve">"Running"</w:t>
      </w:r>
      <w:r>
        <w:br/>
      </w:r>
      <w:r>
        <w:br/>
      </w:r>
      <w:r>
        <w:rPr>
          <w:rStyle w:val="CommentTok"/>
        </w:rPr>
        <w:t xml:space="preserve">' Check for existence and retrieve item</w:t>
      </w:r>
      <w:r>
        <w:br/>
      </w:r>
      <w:r>
        <w:rPr>
          <w:rStyle w:val="ControlFlowTok"/>
        </w:rPr>
        <w:t xml:space="preserve">If</w:t>
      </w:r>
      <w:r>
        <w:rPr>
          <w:rStyle w:val="NormalTok"/>
        </w:rPr>
        <w:t xml:space="preserve"> dict.</w:t>
      </w:r>
      <w:r>
        <w:rPr>
          <w:rStyle w:val="FunctionTok"/>
        </w:rPr>
        <w:t xml:space="preserve">Exists</w:t>
      </w:r>
      <w:r>
        <w:rPr>
          <w:rStyle w:val="OtherTok"/>
        </w:rPr>
        <w:t xml:space="preserve">(</w:t>
      </w:r>
      <w:r>
        <w:rPr>
          <w:rStyle w:val="StringTok"/>
        </w:rPr>
        <w:t xml:space="preserve">"Engine"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"Application Engine: "</w:t>
      </w:r>
      <w:r>
        <w:rPr>
          <w:rStyle w:val="NormalTok"/>
        </w:rPr>
        <w:t xml:space="preserve"> </w:t>
      </w:r>
      <w:r>
        <w:rPr>
          <w:rStyle w:val="KeywordTok"/>
        </w:rPr>
        <w:t xml:space="preserve">&amp;</w:t>
      </w:r>
      <w:r>
        <w:rPr>
          <w:rStyle w:val="NormalTok"/>
        </w:rPr>
        <w:t xml:space="preserve"> dict</w:t>
      </w:r>
      <w:r>
        <w:rPr>
          <w:rStyle w:val="OtherTok"/>
        </w:rPr>
        <w:t xml:space="preserve">(</w:t>
      </w:r>
      <w:r>
        <w:rPr>
          <w:rStyle w:val="StringTok"/>
        </w:rPr>
        <w:t xml:space="preserve">"Engine"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End If</w:t>
      </w:r>
      <w:r>
        <w:br/>
      </w:r>
      <w:r>
        <w:br/>
      </w:r>
      <w:r>
        <w:rPr>
          <w:rStyle w:val="CommentTok"/>
        </w:rPr>
        <w:t xml:space="preserve">' Iterate through all entries</w:t>
      </w:r>
      <w:r>
        <w:br/>
      </w:r>
      <w:r>
        <w:rPr>
          <w:rStyle w:val="ControlFlowTok"/>
        </w:rPr>
        <w:t xml:space="preserve">For</w:t>
      </w:r>
      <w:r>
        <w:rPr>
          <w:rStyle w:val="NormalTok"/>
        </w:rPr>
        <w:t xml:space="preserve"> </w:t>
      </w:r>
      <w:r>
        <w:rPr>
          <w:rStyle w:val="ControlFlowTok"/>
        </w:rPr>
        <w:t xml:space="preserve">Each</w:t>
      </w:r>
      <w:r>
        <w:rPr>
          <w:rStyle w:val="NormalTok"/>
        </w:rPr>
        <w:t xml:space="preserve"> k </w:t>
      </w:r>
      <w:r>
        <w:rPr>
          <w:rStyle w:val="ControlFlowTok"/>
        </w:rPr>
        <w:t xml:space="preserve">In</w:t>
      </w:r>
      <w:r>
        <w:rPr>
          <w:rStyle w:val="NormalTok"/>
        </w:rPr>
        <w:t xml:space="preserve"> dict.</w:t>
      </w:r>
      <w:r>
        <w:rPr>
          <w:rStyle w:val="FunctionTok"/>
        </w:rPr>
        <w:t xml:space="preserve">Keys</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k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dict</w:t>
      </w:r>
      <w:r>
        <w:rPr>
          <w:rStyle w:val="OtherTok"/>
        </w:rPr>
        <w:t xml:space="preserve">(</w:t>
      </w:r>
      <w:r>
        <w:rPr>
          <w:rStyle w:val="NormalTok"/>
        </w:rPr>
        <w:t xml:space="preserve">k</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711"/>
    <w:bookmarkStart w:id="712" w:name="remarks-29"/>
    <w:p>
      <w:pPr>
        <w:pStyle w:val="Heading2"/>
      </w:pPr>
      <w:r>
        <w:t xml:space="preserve">Remarks</w:t>
      </w:r>
    </w:p>
    <w:p>
      <w:pPr>
        <w:pStyle w:val="Compact"/>
        <w:numPr>
          <w:ilvl w:val="0"/>
          <w:numId w:val="1200"/>
        </w:numPr>
      </w:pPr>
      <w:r>
        <w:rPr>
          <w:b/>
          <w:bCs/>
        </w:rPr>
        <w:t xml:space="preserve">Unique Keys</w:t>
      </w:r>
      <w:r>
        <w:t xml:space="preserve">: Attempting to add a key that already exists will trigger a runtime error. Use the</w:t>
      </w:r>
      <w:r>
        <w:t xml:space="preserve"> </w:t>
      </w:r>
      <w:r>
        <w:rPr>
          <w:b/>
          <w:bCs/>
        </w:rPr>
        <w:t xml:space="preserve">Exists</w:t>
      </w:r>
      <w:r>
        <w:t xml:space="preserve"> </w:t>
      </w:r>
      <w:r>
        <w:t xml:space="preserve">method to check before adding.</w:t>
      </w:r>
    </w:p>
    <w:p>
      <w:pPr>
        <w:pStyle w:val="Compact"/>
        <w:numPr>
          <w:ilvl w:val="0"/>
          <w:numId w:val="1200"/>
        </w:numPr>
      </w:pPr>
      <w:r>
        <w:rPr>
          <w:b/>
          <w:bCs/>
        </w:rPr>
        <w:t xml:space="preserve">Resource Management</w:t>
      </w:r>
      <w:r>
        <w:t xml:space="preserve">: Always set the dictionary object to</w:t>
      </w:r>
      <w:r>
        <w:t xml:space="preserve"> </w:t>
      </w:r>
      <w:r>
        <w:rPr>
          <w:b/>
          <w:bCs/>
        </w:rPr>
        <w:t xml:space="preserve">Nothing</w:t>
      </w:r>
      <w:r>
        <w:t xml:space="preserve"> </w:t>
      </w:r>
      <w:r>
        <w:t xml:space="preserve">once it is no longer needed to free system memory.</w:t>
      </w:r>
    </w:p>
    <w:p>
      <w:pPr>
        <w:pStyle w:val="Compact"/>
        <w:numPr>
          <w:ilvl w:val="0"/>
          <w:numId w:val="1200"/>
        </w:numPr>
      </w:pPr>
      <w:r>
        <w:rPr>
          <w:b/>
          <w:bCs/>
        </w:rPr>
        <w:t xml:space="preserve">Performance</w:t>
      </w:r>
      <w:r>
        <w:t xml:space="preserve">: The</w:t>
      </w:r>
      <w:r>
        <w:t xml:space="preserve"> </w:t>
      </w:r>
      <w:r>
        <w:rPr>
          <w:b/>
          <w:bCs/>
        </w:rPr>
        <w:t xml:space="preserve">Dictionary</w:t>
      </w:r>
      <w:r>
        <w:t xml:space="preserve"> </w:t>
      </w:r>
      <w:r>
        <w:t xml:space="preserve">object is optimized for fast lookups even with large datasets.</w:t>
      </w:r>
    </w:p>
    <w:bookmarkEnd w:id="712"/>
    <w:bookmarkEnd w:id="713"/>
    <w:bookmarkStart w:id="714" w:name="asp-modernization"/>
    <w:p>
      <w:pPr>
        <w:pStyle w:val="Heading1"/>
      </w:pPr>
      <w:r>
        <w:t xml:space="preserve">ASP Modernization</w:t>
      </w:r>
    </w:p>
    <w:bookmarkEnd w:id="714"/>
    <w:bookmarkStart w:id="721" w:name="Xb1a852b19d0b96a089d91877b0aa2e84f3fcc11"/>
    <w:p>
      <w:pPr>
        <w:pStyle w:val="Heading1"/>
      </w:pPr>
      <w:r>
        <w:t xml:space="preserve">Declare Variables with Strong Typing (VB6 As Type)</w:t>
      </w:r>
    </w:p>
    <w:bookmarkStart w:id="715" w:name="overview-44"/>
    <w:p>
      <w:pPr>
        <w:pStyle w:val="Heading2"/>
      </w:pPr>
      <w:r>
        <w:t xml:space="preserve">Overview</w:t>
      </w:r>
    </w:p>
    <w:p>
      <w:pPr>
        <w:pStyle w:val="FirstParagraph"/>
      </w:pPr>
      <w:r>
        <w:t xml:space="preserve">AxonASP extends the standard VBScript language with VB6-style strong typing through the</w:t>
      </w:r>
      <w:r>
        <w:t xml:space="preserve"> </w:t>
      </w:r>
      <w:r>
        <w:rPr>
          <w:rStyle w:val="VerbatimChar"/>
        </w:rPr>
        <w:t xml:space="preserve">As Type</w:t>
      </w:r>
      <w:r>
        <w:t xml:space="preserve"> </w:t>
      </w:r>
      <w:r>
        <w:t xml:space="preserve">clause on variable declarations. This feature lets you constrain a variable to a specific data type, enabling earlier error detection and clearer code intent while maintaining full backward compatibility with legacy ASP VBScript code.</w:t>
      </w:r>
    </w:p>
    <w:p>
      <w:pPr>
        <w:pStyle w:val="BodyText"/>
      </w:pPr>
      <w:r>
        <w:t xml:space="preserve">When a variable is declared with</w:t>
      </w:r>
      <w:r>
        <w:t xml:space="preserve"> </w:t>
      </w:r>
      <w:r>
        <w:rPr>
          <w:rStyle w:val="VerbatimChar"/>
        </w:rPr>
        <w:t xml:space="preserve">As Type</w:t>
      </w:r>
      <w:r>
        <w:t xml:space="preserve">, AxonASP enforces the type constraint on every subsequent assignment. If a value cannot be coerced to the declared type, a</w:t>
      </w:r>
      <w:r>
        <w:t xml:space="preserve"> </w:t>
      </w:r>
      <w:r>
        <w:rPr>
          <w:b/>
          <w:bCs/>
        </w:rPr>
        <w:t xml:space="preserve">Type mismatch (error 13)</w:t>
      </w:r>
      <w:r>
        <w:t xml:space="preserve"> </w:t>
      </w:r>
      <w:r>
        <w:t xml:space="preserve">is raised at runtime. Variables declared without</w:t>
      </w:r>
      <w:r>
        <w:t xml:space="preserve"> </w:t>
      </w:r>
      <w:r>
        <w:rPr>
          <w:rStyle w:val="VerbatimChar"/>
        </w:rPr>
        <w:t xml:space="preserve">As Type</w:t>
      </w:r>
      <w:r>
        <w:t xml:space="preserve"> </w:t>
      </w:r>
      <w:r>
        <w:t xml:space="preserve">continue to behave as standard VBScript Variants.</w:t>
      </w:r>
    </w:p>
    <w:bookmarkEnd w:id="715"/>
    <w:bookmarkStart w:id="716" w:name="syntax-18"/>
    <w:p>
      <w:pPr>
        <w:pStyle w:val="Heading2"/>
      </w:pPr>
      <w:r>
        <w:t xml:space="preserve">Syntax</w:t>
      </w:r>
    </w:p>
    <w:p>
      <w:pPr>
        <w:pStyle w:val="SourceCode"/>
      </w:pPr>
      <w:r>
        <w:rPr>
          <w:rStyle w:val="KeywordTok"/>
        </w:rPr>
        <w:t xml:space="preserve">Dim</w:t>
      </w:r>
      <w:r>
        <w:rPr>
          <w:rStyle w:val="NormalTok"/>
        </w:rPr>
        <w:t xml:space="preserve"> variableName </w:t>
      </w:r>
      <w:r>
        <w:rPr>
          <w:rStyle w:val="KeywordTok"/>
        </w:rPr>
        <w:t xml:space="preserve">As</w:t>
      </w:r>
      <w:r>
        <w:rPr>
          <w:rStyle w:val="NormalTok"/>
        </w:rPr>
        <w:t xml:space="preserve"> Type</w:t>
      </w:r>
      <w:r>
        <w:br/>
      </w:r>
      <w:r>
        <w:rPr>
          <w:rStyle w:val="KeywordTok"/>
        </w:rPr>
        <w:t xml:space="preserve">Public</w:t>
      </w:r>
      <w:r>
        <w:rPr>
          <w:rStyle w:val="NormalTok"/>
        </w:rPr>
        <w:t xml:space="preserve"> variableName </w:t>
      </w:r>
      <w:r>
        <w:rPr>
          <w:rStyle w:val="KeywordTok"/>
        </w:rPr>
        <w:t xml:space="preserve">As</w:t>
      </w:r>
      <w:r>
        <w:rPr>
          <w:rStyle w:val="NormalTok"/>
        </w:rPr>
        <w:t xml:space="preserve"> Type</w:t>
      </w:r>
      <w:r>
        <w:br/>
      </w:r>
      <w:r>
        <w:rPr>
          <w:rStyle w:val="KeywordTok"/>
        </w:rPr>
        <w:t xml:space="preserve">Private</w:t>
      </w:r>
      <w:r>
        <w:rPr>
          <w:rStyle w:val="NormalTok"/>
        </w:rPr>
        <w:t xml:space="preserve"> variableName </w:t>
      </w:r>
      <w:r>
        <w:rPr>
          <w:rStyle w:val="KeywordTok"/>
        </w:rPr>
        <w:t xml:space="preserve">As</w:t>
      </w:r>
      <w:r>
        <w:rPr>
          <w:rStyle w:val="NormalTok"/>
        </w:rPr>
        <w:t xml:space="preserve"> Type</w:t>
      </w:r>
      <w:r>
        <w:br/>
      </w:r>
      <w:r>
        <w:br/>
      </w:r>
      <w:r>
        <w:rPr>
          <w:rStyle w:val="CommentTok"/>
        </w:rPr>
        <w:t xml:space="preserve">' Multiple declarations on one line:</w:t>
      </w:r>
      <w:r>
        <w:br/>
      </w:r>
      <w:r>
        <w:rPr>
          <w:rStyle w:val="KeywordTok"/>
        </w:rPr>
        <w:t xml:space="preserve">Dim</w:t>
      </w:r>
      <w:r>
        <w:rPr>
          <w:rStyle w:val="NormalTok"/>
        </w:rPr>
        <w:t xml:space="preserve"> variable1 </w:t>
      </w:r>
      <w:r>
        <w:rPr>
          <w:rStyle w:val="KeywordTok"/>
        </w:rPr>
        <w:t xml:space="preserve">As</w:t>
      </w:r>
      <w:r>
        <w:rPr>
          <w:rStyle w:val="NormalTok"/>
        </w:rPr>
        <w:t xml:space="preserve"> Type1, variable2 </w:t>
      </w:r>
      <w:r>
        <w:rPr>
          <w:rStyle w:val="KeywordTok"/>
        </w:rPr>
        <w:t xml:space="preserve">As</w:t>
      </w:r>
      <w:r>
        <w:rPr>
          <w:rStyle w:val="NormalTok"/>
        </w:rPr>
        <w:t xml:space="preserve"> Type2</w:t>
      </w:r>
    </w:p>
    <w:p>
      <w:pPr>
        <w:pStyle w:val="FirstParagraph"/>
      </w:pPr>
      <w:r>
        <w:t xml:space="preserve">Supported</w:t>
      </w:r>
      <w:r>
        <w:t xml:space="preserve"> </w:t>
      </w:r>
      <w:r>
        <w:rPr>
          <w:rStyle w:val="VerbatimChar"/>
        </w:rPr>
        <w:t xml:space="preserve">Type</w:t>
      </w:r>
      <w:r>
        <w:t xml:space="preserve"> </w:t>
      </w:r>
      <w:r>
        <w:t xml:space="preserve">values:</w:t>
      </w:r>
    </w:p>
    <w:tbl>
      <w:tblPr>
        <w:tblStyle w:val="Table"/>
        <w:tblW w:type="pct" w:w="5000"/>
        <w:tblLayout w:type="fixed"/>
        <w:tblLook w:firstRow="1" w:lastRow="0" w:firstColumn="0" w:lastColumn="0" w:noHBand="0" w:noVBand="0" w:val="0020"/>
      </w:tblPr>
      <w:tblGrid>
        <w:gridCol w:w="990"/>
        <w:gridCol w:w="1350"/>
        <w:gridCol w:w="5580"/>
      </w:tblGrid>
      <w:tr>
        <w:trPr>
          <w:tblHeader w:val="on"/>
        </w:trPr>
        <w:tc>
          <w:tcPr/>
          <w:p>
            <w:pPr>
              <w:pStyle w:val="Compact"/>
            </w:pPr>
            <w:r>
              <w:t xml:space="preserve">Type</w:t>
            </w:r>
          </w:p>
        </w:tc>
        <w:tc>
          <w:tcPr/>
          <w:p>
            <w:pPr>
              <w:pStyle w:val="Compact"/>
            </w:pPr>
            <w:r>
              <w:t xml:space="preserve">Initial Value</w:t>
            </w:r>
          </w:p>
        </w:tc>
        <w:tc>
          <w:tcPr/>
          <w:p>
            <w:pPr>
              <w:pStyle w:val="Compact"/>
            </w:pPr>
            <w:r>
              <w:t xml:space="preserve">Description</w:t>
            </w:r>
          </w:p>
        </w:tc>
      </w:tr>
      <w:tr>
        <w:tc>
          <w:tcPr/>
          <w:p>
            <w:pPr>
              <w:pStyle w:val="Compact"/>
            </w:pPr>
            <w:r>
              <w:t xml:space="preserve">Integer</w:t>
            </w:r>
          </w:p>
        </w:tc>
        <w:tc>
          <w:tcPr/>
          <w:p>
            <w:pPr>
              <w:pStyle w:val="Compact"/>
            </w:pPr>
            <w:r>
              <w:t xml:space="preserve">0</w:t>
            </w:r>
          </w:p>
        </w:tc>
        <w:tc>
          <w:tcPr/>
          <w:p>
            <w:pPr>
              <w:pStyle w:val="Compact"/>
            </w:pPr>
            <w:r>
              <w:t xml:space="preserve">64-bit signed integer (same storage as Long in this engine)</w:t>
            </w:r>
          </w:p>
        </w:tc>
      </w:tr>
      <w:tr>
        <w:tc>
          <w:tcPr/>
          <w:p>
            <w:pPr>
              <w:pStyle w:val="Compact"/>
            </w:pPr>
            <w:r>
              <w:t xml:space="preserve">Long</w:t>
            </w:r>
          </w:p>
        </w:tc>
        <w:tc>
          <w:tcPr/>
          <w:p>
            <w:pPr>
              <w:pStyle w:val="Compact"/>
            </w:pPr>
            <w:r>
              <w:t xml:space="preserve">0</w:t>
            </w:r>
          </w:p>
        </w:tc>
        <w:tc>
          <w:tcPr/>
          <w:p>
            <w:pPr>
              <w:pStyle w:val="Compact"/>
            </w:pPr>
            <w:r>
              <w:t xml:space="preserve">64-bit signed integer (same as Integer in this engine)</w:t>
            </w:r>
          </w:p>
        </w:tc>
      </w:tr>
      <w:tr>
        <w:tc>
          <w:tcPr/>
          <w:p>
            <w:pPr>
              <w:pStyle w:val="Compact"/>
            </w:pPr>
            <w:r>
              <w:t xml:space="preserve">Single</w:t>
            </w:r>
          </w:p>
        </w:tc>
        <w:tc>
          <w:tcPr/>
          <w:p>
            <w:pPr>
              <w:pStyle w:val="Compact"/>
            </w:pPr>
            <w:r>
              <w:t xml:space="preserve">0</w:t>
            </w:r>
          </w:p>
        </w:tc>
        <w:tc>
          <w:tcPr/>
          <w:p>
            <w:pPr>
              <w:pStyle w:val="Compact"/>
            </w:pPr>
            <w:r>
              <w:t xml:space="preserve">Double-precision floating-point (same storage as Double)</w:t>
            </w:r>
          </w:p>
        </w:tc>
      </w:tr>
      <w:tr>
        <w:tc>
          <w:tcPr/>
          <w:p>
            <w:pPr>
              <w:pStyle w:val="Compact"/>
            </w:pPr>
            <w:r>
              <w:t xml:space="preserve">Double</w:t>
            </w:r>
          </w:p>
        </w:tc>
        <w:tc>
          <w:tcPr/>
          <w:p>
            <w:pPr>
              <w:pStyle w:val="Compact"/>
            </w:pPr>
            <w:r>
              <w:t xml:space="preserve">0</w:t>
            </w:r>
          </w:p>
        </w:tc>
        <w:tc>
          <w:tcPr/>
          <w:p>
            <w:pPr>
              <w:pStyle w:val="Compact"/>
            </w:pPr>
            <w:r>
              <w:t xml:space="preserve">Double-precision floating-point</w:t>
            </w:r>
          </w:p>
        </w:tc>
      </w:tr>
      <w:tr>
        <w:tc>
          <w:tcPr/>
          <w:p>
            <w:pPr>
              <w:pStyle w:val="Compact"/>
            </w:pPr>
            <w:r>
              <w:t xml:space="preserve">String</w:t>
            </w:r>
          </w:p>
        </w:tc>
        <w:tc>
          <w:tcPr/>
          <w:p>
            <w:pPr>
              <w:pStyle w:val="Compact"/>
            </w:pPr>
            <w:r>
              <w:t xml:space="preserve">“” (empty)</w:t>
            </w:r>
          </w:p>
        </w:tc>
        <w:tc>
          <w:tcPr/>
          <w:p>
            <w:pPr>
              <w:pStyle w:val="Compact"/>
            </w:pPr>
            <w:r>
              <w:t xml:space="preserve">Variable-length string</w:t>
            </w:r>
          </w:p>
        </w:tc>
      </w:tr>
      <w:tr>
        <w:tc>
          <w:tcPr/>
          <w:p>
            <w:pPr>
              <w:pStyle w:val="Compact"/>
            </w:pPr>
            <w:r>
              <w:t xml:space="preserve">Boolean</w:t>
            </w:r>
          </w:p>
        </w:tc>
        <w:tc>
          <w:tcPr/>
          <w:p>
            <w:pPr>
              <w:pStyle w:val="Compact"/>
            </w:pPr>
            <w:r>
              <w:t xml:space="preserve">False</w:t>
            </w:r>
          </w:p>
        </w:tc>
        <w:tc>
          <w:tcPr/>
          <w:p>
            <w:pPr>
              <w:pStyle w:val="Compact"/>
            </w:pPr>
            <w:r>
              <w:t xml:space="preserve">Boolean (True/False)</w:t>
            </w:r>
          </w:p>
        </w:tc>
      </w:tr>
      <w:tr>
        <w:tc>
          <w:tcPr/>
          <w:p>
            <w:pPr>
              <w:pStyle w:val="Compact"/>
            </w:pPr>
            <w:r>
              <w:t xml:space="preserve">Byte</w:t>
            </w:r>
          </w:p>
        </w:tc>
        <w:tc>
          <w:tcPr/>
          <w:p>
            <w:pPr>
              <w:pStyle w:val="Compact"/>
            </w:pPr>
            <w:r>
              <w:t xml:space="preserve">0</w:t>
            </w:r>
          </w:p>
        </w:tc>
        <w:tc>
          <w:tcPr/>
          <w:p>
            <w:pPr>
              <w:pStyle w:val="Compact"/>
            </w:pPr>
            <w:r>
              <w:t xml:space="preserve">64-bit signed integer (range checking not enforced in Phase 1)</w:t>
            </w:r>
          </w:p>
        </w:tc>
      </w:tr>
      <w:tr>
        <w:tc>
          <w:tcPr/>
          <w:p>
            <w:pPr>
              <w:pStyle w:val="Compact"/>
            </w:pPr>
            <w:r>
              <w:t xml:space="preserve">Object</w:t>
            </w:r>
          </w:p>
        </w:tc>
        <w:tc>
          <w:tcPr/>
          <w:p>
            <w:pPr>
              <w:pStyle w:val="Compact"/>
            </w:pPr>
            <w:r>
              <w:t xml:space="preserve">Nothing</w:t>
            </w:r>
          </w:p>
        </w:tc>
        <w:tc>
          <w:tcPr/>
          <w:p>
            <w:pPr>
              <w:pStyle w:val="Compact"/>
            </w:pPr>
            <w:r>
              <w:t xml:space="preserve">Object reference</w:t>
            </w:r>
          </w:p>
        </w:tc>
      </w:tr>
      <w:tr>
        <w:tc>
          <w:tcPr/>
          <w:p>
            <w:pPr>
              <w:pStyle w:val="Compact"/>
            </w:pPr>
            <w:r>
              <w:t xml:space="preserve">Variant</w:t>
            </w:r>
          </w:p>
        </w:tc>
        <w:tc>
          <w:tcPr/>
          <w:p>
            <w:pPr>
              <w:pStyle w:val="Compact"/>
            </w:pPr>
            <w:r>
              <w:t xml:space="preserve">Empty</w:t>
            </w:r>
          </w:p>
        </w:tc>
        <w:tc>
          <w:tcPr/>
          <w:p>
            <w:pPr>
              <w:pStyle w:val="Compact"/>
            </w:pPr>
            <w:r>
              <w:t xml:space="preserve">No type constraint (standard VBScript behavior)</w:t>
            </w:r>
          </w:p>
        </w:tc>
      </w:tr>
    </w:tbl>
    <w:p>
      <w:pPr>
        <w:pStyle w:val="BodyText"/>
      </w:pPr>
      <w:r>
        <w:rPr>
          <w:b/>
          <w:bCs/>
        </w:rPr>
        <w:t xml:space="preserve">Important:</w:t>
      </w:r>
      <w:r>
        <w:t xml:space="preserve"> </w:t>
      </w:r>
      <w:r>
        <w:rPr>
          <w:rStyle w:val="VerbatimChar"/>
        </w:rPr>
        <w:t xml:space="preserve">Variant</w:t>
      </w:r>
      <w:r>
        <w:t xml:space="preserve"> </w:t>
      </w:r>
      <w:r>
        <w:t xml:space="preserve">is the default when no</w:t>
      </w:r>
      <w:r>
        <w:t xml:space="preserve"> </w:t>
      </w:r>
      <w:r>
        <w:rPr>
          <w:rStyle w:val="VerbatimChar"/>
        </w:rPr>
        <w:t xml:space="preserve">As</w:t>
      </w:r>
      <w:r>
        <w:t xml:space="preserve"> </w:t>
      </w:r>
      <w:r>
        <w:t xml:space="preserve">clause is present. Existing ASP code is unaffected.</w:t>
      </w:r>
    </w:p>
    <w:bookmarkEnd w:id="716"/>
    <w:bookmarkStart w:id="717" w:name="parameters-and-arguments-7"/>
    <w:p>
      <w:pPr>
        <w:pStyle w:val="Heading2"/>
      </w:pPr>
      <w:r>
        <w:t xml:space="preserve">Parameters and Arguments</w:t>
      </w:r>
    </w:p>
    <w:p>
      <w:pPr>
        <w:pStyle w:val="Compact"/>
        <w:numPr>
          <w:ilvl w:val="0"/>
          <w:numId w:val="1201"/>
        </w:numPr>
      </w:pPr>
      <w:r>
        <w:rPr>
          <w:b/>
          <w:bCs/>
        </w:rPr>
        <w:t xml:space="preserve">variableName</w:t>
      </w:r>
      <w:r>
        <w:t xml:space="preserve"> </w:t>
      </w:r>
      <w:r>
        <w:t xml:space="preserve">(Required): The name of the variable to declare.</w:t>
      </w:r>
    </w:p>
    <w:p>
      <w:pPr>
        <w:pStyle w:val="Compact"/>
        <w:numPr>
          <w:ilvl w:val="0"/>
          <w:numId w:val="1201"/>
        </w:numPr>
      </w:pPr>
      <w:r>
        <w:rPr>
          <w:b/>
          <w:bCs/>
        </w:rPr>
        <w:t xml:space="preserve">Type</w:t>
      </w:r>
      <w:r>
        <w:t xml:space="preserve"> </w:t>
      </w:r>
      <w:r>
        <w:t xml:space="preserve">(Optional): One of the supported type names listed above. If omitted, the variable is treated as Variant (standard VBScript behavior).</w:t>
      </w:r>
    </w:p>
    <w:p>
      <w:pPr>
        <w:pStyle w:val="FirstParagraph"/>
      </w:pPr>
      <w:r>
        <w:t xml:space="preserve">The</w:t>
      </w:r>
      <w:r>
        <w:t xml:space="preserve"> </w:t>
      </w:r>
      <w:r>
        <w:rPr>
          <w:rStyle w:val="VerbatimChar"/>
        </w:rPr>
        <w:t xml:space="preserve">As</w:t>
      </w:r>
      <w:r>
        <w:t xml:space="preserve"> </w:t>
      </w:r>
      <w:r>
        <w:t xml:space="preserve">keyword is only recognized in declaration contexts (</w:t>
      </w:r>
      <w:r>
        <w:rPr>
          <w:rStyle w:val="VerbatimChar"/>
        </w:rPr>
        <w:t xml:space="preserve">Dim</w:t>
      </w:r>
      <w:r>
        <w:t xml:space="preserve">,</w:t>
      </w:r>
      <w:r>
        <w:t xml:space="preserve"> </w:t>
      </w:r>
      <w:r>
        <w:rPr>
          <w:rStyle w:val="VerbatimChar"/>
        </w:rPr>
        <w:t xml:space="preserve">Public</w:t>
      </w:r>
      <w:r>
        <w:t xml:space="preserve">,</w:t>
      </w:r>
      <w:r>
        <w:t xml:space="preserve"> </w:t>
      </w:r>
      <w:r>
        <w:rPr>
          <w:rStyle w:val="VerbatimChar"/>
        </w:rPr>
        <w:t xml:space="preserve">Private</w:t>
      </w:r>
      <w:r>
        <w:t xml:space="preserve">). It is not a reserved keyword and can still be used as an identifier in other contexts, preserving backward compatibility.</w:t>
      </w:r>
    </w:p>
    <w:bookmarkEnd w:id="717"/>
    <w:bookmarkStart w:id="718" w:name="return-values-6"/>
    <w:p>
      <w:pPr>
        <w:pStyle w:val="Heading2"/>
      </w:pPr>
      <w:r>
        <w:t xml:space="preserve">Return Values</w:t>
      </w:r>
    </w:p>
    <w:p>
      <w:pPr>
        <w:pStyle w:val="FirstParagraph"/>
      </w:pPr>
      <w:r>
        <w:t xml:space="preserve">When a typed variable is created with</w:t>
      </w:r>
      <w:r>
        <w:t xml:space="preserve"> </w:t>
      </w:r>
      <w:r>
        <w:rPr>
          <w:rStyle w:val="VerbatimChar"/>
        </w:rPr>
        <w:t xml:space="preserve">Dim x As Type</w:t>
      </w:r>
      <w:r>
        <w:t xml:space="preserve">, it is automatically initialized to the default value for that type:</w:t>
      </w:r>
      <w:r>
        <w:t xml:space="preserve"> </w:t>
      </w:r>
      <w:r>
        <w:t xml:space="preserve">- Numeric types: 0</w:t>
      </w:r>
      <w:r>
        <w:t xml:space="preserve"> </w:t>
      </w:r>
      <w:r>
        <w:t xml:space="preserve">- String: empty string “”</w:t>
      </w:r>
      <w:r>
        <w:t xml:space="preserve"> </w:t>
      </w:r>
      <w:r>
        <w:t xml:space="preserve">- Boolean: False</w:t>
      </w:r>
      <w:r>
        <w:t xml:space="preserve"> </w:t>
      </w:r>
      <w:r>
        <w:t xml:space="preserve">- Object: Nothing</w:t>
      </w:r>
      <w:r>
        <w:t xml:space="preserve"> </w:t>
      </w:r>
      <w:r>
        <w:t xml:space="preserve">- Variant / no As clause: Empty</w:t>
      </w:r>
    </w:p>
    <w:p>
      <w:pPr>
        <w:pStyle w:val="BodyText"/>
      </w:pPr>
      <w:r>
        <w:t xml:space="preserve">On assignment, the runtime attempts to coerce the value to the declared type:</w:t>
      </w:r>
      <w:r>
        <w:t xml:space="preserve"> </w:t>
      </w:r>
      <w:r>
        <w:t xml:space="preserve">- String to Integer: parses the string as a number</w:t>
      </w:r>
      <w:r>
        <w:t xml:space="preserve"> </w:t>
      </w:r>
      <w:r>
        <w:t xml:space="preserve">- Integer to String: converts using standard string representation</w:t>
      </w:r>
      <w:r>
        <w:t xml:space="preserve"> </w:t>
      </w:r>
      <w:r>
        <w:t xml:space="preserve">- Numeric to Boolean: 0 becomes False, non-zero becomes True</w:t>
      </w:r>
      <w:r>
        <w:t xml:space="preserve"> </w:t>
      </w:r>
      <w:r>
        <w:t xml:space="preserve">- Boolean to Integer: False is 0, True is 1</w:t>
      </w:r>
      <w:r>
        <w:t xml:space="preserve"> </w:t>
      </w:r>
      <w:r>
        <w:t xml:space="preserve">- Empty/Null: becomes the type’s zero value</w:t>
      </w:r>
    </w:p>
    <w:p>
      <w:pPr>
        <w:pStyle w:val="BodyText"/>
      </w:pPr>
      <w:r>
        <w:t xml:space="preserve">If coercion fails (e.g., assigning</w:t>
      </w:r>
      <w:r>
        <w:t xml:space="preserve"> </w:t>
      </w:r>
      <w:r>
        <w:rPr>
          <w:rStyle w:val="VerbatimChar"/>
        </w:rPr>
        <w:t xml:space="preserve">"hello"</w:t>
      </w:r>
      <w:r>
        <w:t xml:space="preserve"> </w:t>
      </w:r>
      <w:r>
        <w:t xml:space="preserve">to an</w:t>
      </w:r>
      <w:r>
        <w:t xml:space="preserve"> </w:t>
      </w:r>
      <w:r>
        <w:rPr>
          <w:rStyle w:val="VerbatimChar"/>
        </w:rPr>
        <w:t xml:space="preserve">Integer</w:t>
      </w:r>
      <w:r>
        <w:t xml:space="preserve">), a Type mismatch error (13) is raised.</w:t>
      </w:r>
    </w:p>
    <w:bookmarkEnd w:id="718"/>
    <w:bookmarkStart w:id="719" w:name="remarks-30"/>
    <w:p>
      <w:pPr>
        <w:pStyle w:val="Heading2"/>
      </w:pPr>
      <w:r>
        <w:t xml:space="preserve">Remarks</w:t>
      </w:r>
    </w:p>
    <w:p>
      <w:pPr>
        <w:pStyle w:val="Compact"/>
        <w:numPr>
          <w:ilvl w:val="0"/>
          <w:numId w:val="1202"/>
        </w:numPr>
      </w:pPr>
      <w:r>
        <w:rPr>
          <w:b/>
          <w:bCs/>
        </w:rPr>
        <w:t xml:space="preserve">Backward compatibility:</w:t>
      </w:r>
      <w:r>
        <w:t xml:space="preserve"> </w:t>
      </w:r>
      <w:r>
        <w:t xml:space="preserve">This feature is additive. Existing ASP pages that do not use</w:t>
      </w:r>
      <w:r>
        <w:t xml:space="preserve"> </w:t>
      </w:r>
      <w:r>
        <w:rPr>
          <w:rStyle w:val="VerbatimChar"/>
        </w:rPr>
        <w:t xml:space="preserve">As Type</w:t>
      </w:r>
      <w:r>
        <w:t xml:space="preserve"> </w:t>
      </w:r>
      <w:r>
        <w:t xml:space="preserve">are completely unaffected.</w:t>
      </w:r>
    </w:p>
    <w:p>
      <w:pPr>
        <w:pStyle w:val="Compact"/>
        <w:numPr>
          <w:ilvl w:val="0"/>
          <w:numId w:val="1202"/>
        </w:numPr>
      </w:pPr>
      <w:r>
        <w:rPr>
          <w:b/>
          <w:bCs/>
        </w:rPr>
        <w:t xml:space="preserve">The</w:t>
      </w:r>
      <w:r>
        <w:rPr>
          <w:b/>
          <w:bCs/>
        </w:rPr>
        <w:t xml:space="preserve"> </w:t>
      </w:r>
      <w:r>
        <w:rPr>
          <w:rStyle w:val="VerbatimChar"/>
          <w:b/>
          <w:bCs/>
        </w:rPr>
        <w:t xml:space="preserve">As</w:t>
      </w:r>
      <w:r>
        <w:rPr>
          <w:b/>
          <w:bCs/>
        </w:rPr>
        <w:t xml:space="preserve"> </w:t>
      </w:r>
      <w:r>
        <w:rPr>
          <w:b/>
          <w:bCs/>
        </w:rPr>
        <w:t xml:space="preserve">keyword</w:t>
      </w:r>
      <w:r>
        <w:t xml:space="preserve"> </w:t>
      </w:r>
      <w:r>
        <w:t xml:space="preserve">is context-sensitive. It is only parsed as a type clause inside</w:t>
      </w:r>
      <w:r>
        <w:t xml:space="preserve"> </w:t>
      </w:r>
      <w:r>
        <w:rPr>
          <w:rStyle w:val="VerbatimChar"/>
        </w:rPr>
        <w:t xml:space="preserve">Dim</w:t>
      </w:r>
      <w:r>
        <w:t xml:space="preserve">,</w:t>
      </w:r>
      <w:r>
        <w:t xml:space="preserve"> </w:t>
      </w:r>
      <w:r>
        <w:rPr>
          <w:rStyle w:val="VerbatimChar"/>
        </w:rPr>
        <w:t xml:space="preserve">Public</w:t>
      </w:r>
      <w:r>
        <w:t xml:space="preserve">, and</w:t>
      </w:r>
      <w:r>
        <w:t xml:space="preserve"> </w:t>
      </w:r>
      <w:r>
        <w:rPr>
          <w:rStyle w:val="VerbatimChar"/>
        </w:rPr>
        <w:t xml:space="preserve">Private</w:t>
      </w:r>
      <w:r>
        <w:t xml:space="preserve"> </w:t>
      </w:r>
      <w:r>
        <w:t xml:space="preserve">statements. Outside these contexts,</w:t>
      </w:r>
      <w:r>
        <w:t xml:space="preserve"> </w:t>
      </w:r>
      <w:r>
        <w:rPr>
          <w:rStyle w:val="VerbatimChar"/>
        </w:rPr>
        <w:t xml:space="preserve">As</w:t>
      </w:r>
      <w:r>
        <w:t xml:space="preserve"> </w:t>
      </w:r>
      <w:r>
        <w:t xml:space="preserve">is treated as a regular identifier.</w:t>
      </w:r>
    </w:p>
    <w:p>
      <w:pPr>
        <w:pStyle w:val="Compact"/>
        <w:numPr>
          <w:ilvl w:val="0"/>
          <w:numId w:val="1202"/>
        </w:numPr>
      </w:pPr>
      <w:r>
        <w:rPr>
          <w:b/>
          <w:bCs/>
        </w:rPr>
        <w:t xml:space="preserve">Performance:</w:t>
      </w:r>
      <w:r>
        <w:t xml:space="preserve"> </w:t>
      </w:r>
      <w:r>
        <w:t xml:space="preserve">Type enforcement is implemented via direct type tag checks with minimal overhead. No reflection or heap allocation is used.</w:t>
      </w:r>
    </w:p>
    <w:p>
      <w:pPr>
        <w:pStyle w:val="Compact"/>
        <w:numPr>
          <w:ilvl w:val="0"/>
          <w:numId w:val="1202"/>
        </w:numPr>
      </w:pPr>
      <w:r>
        <w:rPr>
          <w:b/>
          <w:bCs/>
        </w:rPr>
        <w:t xml:space="preserve">Coercion rules</w:t>
      </w:r>
      <w:r>
        <w:t xml:space="preserve"> </w:t>
      </w:r>
      <w:r>
        <w:t xml:space="preserve">follow VBScript semantics. Numeric strings are parsed with standard integer/float conversion. Non-numeric strings assigned to numeric types raise Type mismatch.</w:t>
      </w:r>
    </w:p>
    <w:p>
      <w:pPr>
        <w:pStyle w:val="Compact"/>
        <w:numPr>
          <w:ilvl w:val="0"/>
          <w:numId w:val="1202"/>
        </w:numPr>
      </w:pPr>
      <w:r>
        <w:rPr>
          <w:b/>
          <w:bCs/>
        </w:rPr>
        <w:t xml:space="preserve">Object type:</w:t>
      </w:r>
      <w:r>
        <w:t xml:space="preserve"> </w:t>
      </w:r>
      <w:r>
        <w:rPr>
          <w:rStyle w:val="VerbatimChar"/>
        </w:rPr>
        <w:t xml:space="preserve">As Object</w:t>
      </w:r>
      <w:r>
        <w:t xml:space="preserve"> </w:t>
      </w:r>
      <w:r>
        <w:t xml:space="preserve">constrains the variable to hold object references (VTObject, VTNativeObject, or Nothing). Assigning a non-object value raises Type mismatch.</w:t>
      </w:r>
    </w:p>
    <w:p>
      <w:pPr>
        <w:pStyle w:val="Compact"/>
        <w:numPr>
          <w:ilvl w:val="0"/>
          <w:numId w:val="1202"/>
        </w:numPr>
      </w:pPr>
      <w:r>
        <w:rPr>
          <w:b/>
          <w:bCs/>
        </w:rPr>
        <w:t xml:space="preserve">No array support:</w:t>
      </w:r>
      <w:r>
        <w:t xml:space="preserve"> </w:t>
      </w:r>
      <w:r>
        <w:rPr>
          <w:rStyle w:val="VerbatimChar"/>
        </w:rPr>
        <w:t xml:space="preserve">As Type</w:t>
      </w:r>
      <w:r>
        <w:t xml:space="preserve"> </w:t>
      </w:r>
      <w:r>
        <w:t xml:space="preserve">cannot be combined with array dimension parentheses on the same variable declaration.</w:t>
      </w:r>
    </w:p>
    <w:p>
      <w:pPr>
        <w:pStyle w:val="Compact"/>
        <w:numPr>
          <w:ilvl w:val="0"/>
          <w:numId w:val="1202"/>
        </w:numPr>
      </w:pPr>
      <w:r>
        <w:rPr>
          <w:b/>
          <w:bCs/>
        </w:rPr>
        <w:t xml:space="preserve">Scope modifiers:</w:t>
      </w:r>
      <w:r>
        <w:t xml:space="preserve"> </w:t>
      </w:r>
      <w:r>
        <w:rPr>
          <w:rStyle w:val="VerbatimChar"/>
        </w:rPr>
        <w:t xml:space="preserve">Public</w:t>
      </w:r>
      <w:r>
        <w:t xml:space="preserve"> </w:t>
      </w:r>
      <w:r>
        <w:t xml:space="preserve">and</w:t>
      </w:r>
      <w:r>
        <w:t xml:space="preserve"> </w:t>
      </w:r>
      <w:r>
        <w:rPr>
          <w:rStyle w:val="VerbatimChar"/>
        </w:rPr>
        <w:t xml:space="preserve">Private</w:t>
      </w:r>
      <w:r>
        <w:t xml:space="preserve"> </w:t>
      </w:r>
      <w:r>
        <w:t xml:space="preserve">are only valid at page/module level, not inside procedures. Inside procedures, use</w:t>
      </w:r>
      <w:r>
        <w:t xml:space="preserve"> </w:t>
      </w:r>
      <w:r>
        <w:rPr>
          <w:rStyle w:val="VerbatimChar"/>
        </w:rPr>
        <w:t xml:space="preserve">Dim</w:t>
      </w:r>
      <w:r>
        <w:t xml:space="preserve"> </w:t>
      </w:r>
      <w:r>
        <w:t xml:space="preserve">with</w:t>
      </w:r>
      <w:r>
        <w:t xml:space="preserve"> </w:t>
      </w:r>
      <w:r>
        <w:rPr>
          <w:rStyle w:val="VerbatimChar"/>
        </w:rPr>
        <w:t xml:space="preserve">As Type</w:t>
      </w:r>
      <w:r>
        <w:t xml:space="preserve">.</w:t>
      </w:r>
    </w:p>
    <w:bookmarkEnd w:id="719"/>
    <w:bookmarkStart w:id="720" w:name="code-example-19"/>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CommentTok"/>
        </w:rPr>
        <w:t xml:space="preserve">' Strongly typed declarations</w:t>
      </w:r>
      <w:r>
        <w:br/>
      </w:r>
      <w:r>
        <w:rPr>
          <w:rStyle w:val="KeywordTok"/>
        </w:rPr>
        <w:t xml:space="preserve">Dim</w:t>
      </w:r>
      <w:r>
        <w:rPr>
          <w:rStyle w:val="NormalTok"/>
        </w:rPr>
        <w:t xml:space="preserve"> counter As Integer</w:t>
      </w:r>
      <w:r>
        <w:br/>
      </w:r>
      <w:r>
        <w:rPr>
          <w:rStyle w:val="KeywordTok"/>
        </w:rPr>
        <w:t xml:space="preserve">Dim</w:t>
      </w:r>
      <w:r>
        <w:rPr>
          <w:rStyle w:val="NormalTok"/>
        </w:rPr>
        <w:t xml:space="preserve"> name As </w:t>
      </w:r>
      <w:r>
        <w:rPr>
          <w:rStyle w:val="FunctionTok"/>
        </w:rPr>
        <w:t xml:space="preserve">String</w:t>
      </w:r>
      <w:r>
        <w:br/>
      </w:r>
      <w:r>
        <w:rPr>
          <w:rStyle w:val="KeywordTok"/>
        </w:rPr>
        <w:t xml:space="preserve">Dim</w:t>
      </w:r>
      <w:r>
        <w:rPr>
          <w:rStyle w:val="NormalTok"/>
        </w:rPr>
        <w:t xml:space="preserve"> isValid As Boolean</w:t>
      </w:r>
      <w:r>
        <w:br/>
      </w:r>
      <w:r>
        <w:rPr>
          <w:rStyle w:val="KeywordTok"/>
        </w:rPr>
        <w:t xml:space="preserve">Dim</w:t>
      </w:r>
      <w:r>
        <w:rPr>
          <w:rStyle w:val="NormalTok"/>
        </w:rPr>
        <w:t xml:space="preserve"> price As Double</w:t>
      </w:r>
      <w:r>
        <w:br/>
      </w:r>
      <w:r>
        <w:br/>
      </w:r>
      <w:r>
        <w:rPr>
          <w:rStyle w:val="NormalTok"/>
        </w:rPr>
        <w:t xml:space="preserve">counter = </w:t>
      </w:r>
      <w:r>
        <w:rPr>
          <w:rStyle w:val="DecValTok"/>
        </w:rPr>
        <w:t xml:space="preserve">42</w:t>
      </w:r>
      <w:r>
        <w:br/>
      </w:r>
      <w:r>
        <w:rPr>
          <w:rStyle w:val="NormalTok"/>
        </w:rPr>
        <w:t xml:space="preserve">name = </w:t>
      </w:r>
      <w:r>
        <w:rPr>
          <w:rStyle w:val="StringTok"/>
        </w:rPr>
        <w:t xml:space="preserve">"Widget"</w:t>
      </w:r>
      <w:r>
        <w:br/>
      </w:r>
      <w:r>
        <w:rPr>
          <w:rStyle w:val="NormalTok"/>
        </w:rPr>
        <w:t xml:space="preserve">isValid = </w:t>
      </w:r>
      <w:r>
        <w:rPr>
          <w:rStyle w:val="KeywordTok"/>
        </w:rPr>
        <w:t xml:space="preserve">True</w:t>
      </w:r>
      <w:r>
        <w:br/>
      </w:r>
      <w:r>
        <w:rPr>
          <w:rStyle w:val="NormalTok"/>
        </w:rPr>
        <w:t xml:space="preserve">price = </w:t>
      </w:r>
      <w:r>
        <w:rPr>
          <w:rStyle w:val="FloatTok"/>
        </w:rPr>
        <w:t xml:space="preserve">19.99</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"Counter: "</w:t>
      </w:r>
      <w:r>
        <w:rPr>
          <w:rStyle w:val="NormalTok"/>
        </w:rPr>
        <w:t xml:space="preserve"> </w:t>
      </w:r>
      <w:r>
        <w:rPr>
          <w:rStyle w:val="KeywordTok"/>
        </w:rPr>
        <w:t xml:space="preserve">&amp;</w:t>
      </w:r>
      <w:r>
        <w:rPr>
          <w:rStyle w:val="NormalTok"/>
        </w:rPr>
        <w:t xml:space="preserve"> counter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"Name: "</w:t>
      </w:r>
      <w:r>
        <w:rPr>
          <w:rStyle w:val="NormalTok"/>
        </w:rPr>
        <w:t xml:space="preserve"> </w:t>
      </w:r>
      <w:r>
        <w:rPr>
          <w:rStyle w:val="KeywordTok"/>
        </w:rPr>
        <w:t xml:space="preserve">&amp;</w:t>
      </w:r>
      <w:r>
        <w:rPr>
          <w:rStyle w:val="NormalTok"/>
        </w:rPr>
        <w:t xml:space="preserve"> name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"Valid: "</w:t>
      </w:r>
      <w:r>
        <w:rPr>
          <w:rStyle w:val="NormalTok"/>
        </w:rPr>
        <w:t xml:space="preserve"> </w:t>
      </w:r>
      <w:r>
        <w:rPr>
          <w:rStyle w:val="KeywordTok"/>
        </w:rPr>
        <w:t xml:space="preserve">&amp;</w:t>
      </w:r>
      <w:r>
        <w:rPr>
          <w:rStyle w:val="NormalTok"/>
        </w:rPr>
        <w:t xml:space="preserve"> isValid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"Price: "</w:t>
      </w:r>
      <w:r>
        <w:rPr>
          <w:rStyle w:val="NormalTok"/>
        </w:rPr>
        <w:t xml:space="preserve"> </w:t>
      </w:r>
      <w:r>
        <w:rPr>
          <w:rStyle w:val="KeywordTok"/>
        </w:rPr>
        <w:t xml:space="preserve">&amp;</w:t>
      </w:r>
      <w:r>
        <w:rPr>
          <w:rStyle w:val="NormalTok"/>
        </w:rPr>
        <w:t xml:space="preserve"> price </w:t>
      </w:r>
      <w:r>
        <w:rPr>
          <w:rStyle w:val="KeywordTok"/>
        </w:rPr>
        <w:t xml:space="preserve">&amp;</w:t>
      </w:r>
      <w:r>
        <w:rPr>
          <w:rStyle w:val="NormalTok"/>
        </w:rPr>
        <w:t xml:space="preserve"> </w:t>
      </w:r>
      <w:r>
        <w:rPr>
          <w:rStyle w:val="StringTok"/>
        </w:rPr>
        <w:t xml:space="preserve">"&lt;br&gt;"</w:t>
      </w:r>
      <w:r>
        <w:br/>
      </w:r>
      <w:r>
        <w:br/>
      </w:r>
      <w:r>
        <w:rPr>
          <w:rStyle w:val="CommentTok"/>
        </w:rPr>
        <w:t xml:space="preserve">' Type coercion</w:t>
      </w:r>
      <w:r>
        <w:br/>
      </w:r>
      <w:r>
        <w:rPr>
          <w:rStyle w:val="KeywordTok"/>
        </w:rPr>
        <w:t xml:space="preserve">Dim</w:t>
      </w:r>
      <w:r>
        <w:rPr>
          <w:rStyle w:val="NormalTok"/>
        </w:rPr>
        <w:t xml:space="preserve"> qty As Integer</w:t>
      </w:r>
      <w:r>
        <w:br/>
      </w:r>
      <w:r>
        <w:rPr>
          <w:rStyle w:val="NormalTok"/>
        </w:rPr>
        <w:t xml:space="preserve">qty = </w:t>
      </w:r>
      <w:r>
        <w:rPr>
          <w:rStyle w:val="StringTok"/>
        </w:rPr>
        <w:t xml:space="preserve">"10"</w:t>
      </w:r>
      <w:r>
        <w:rPr>
          <w:rStyle w:val="NormalTok"/>
        </w:rPr>
        <w:t xml:space="preserve">           </w:t>
      </w:r>
      <w:r>
        <w:rPr>
          <w:rStyle w:val="CommentTok"/>
        </w:rPr>
        <w:t xml:space="preserve">' String coerces to Integer</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"Qty: "</w:t>
      </w:r>
      <w:r>
        <w:rPr>
          <w:rStyle w:val="NormalTok"/>
        </w:rPr>
        <w:t xml:space="preserve"> </w:t>
      </w:r>
      <w:r>
        <w:rPr>
          <w:rStyle w:val="KeywordTok"/>
        </w:rPr>
        <w:t xml:space="preserve">&amp;</w:t>
      </w:r>
      <w:r>
        <w:rPr>
          <w:rStyle w:val="NormalTok"/>
        </w:rPr>
        <w:t xml:space="preserve"> qty </w:t>
      </w:r>
      <w:r>
        <w:rPr>
          <w:rStyle w:val="KeywordTok"/>
        </w:rPr>
        <w:t xml:space="preserve">&amp;</w:t>
      </w:r>
      <w:r>
        <w:rPr>
          <w:rStyle w:val="NormalTok"/>
        </w:rPr>
        <w:t xml:space="preserve"> </w:t>
      </w:r>
      <w:r>
        <w:rPr>
          <w:rStyle w:val="StringTok"/>
        </w:rPr>
        <w:t xml:space="preserve">"&lt;br&gt;"</w:t>
      </w:r>
      <w:r>
        <w:br/>
      </w:r>
      <w:r>
        <w:br/>
      </w:r>
      <w:r>
        <w:rPr>
          <w:rStyle w:val="KeywordTok"/>
        </w:rPr>
        <w:t xml:space="preserve">Dim</w:t>
      </w:r>
      <w:r>
        <w:rPr>
          <w:rStyle w:val="NormalTok"/>
        </w:rPr>
        <w:t xml:space="preserve"> label As </w:t>
      </w:r>
      <w:r>
        <w:rPr>
          <w:rStyle w:val="FunctionTok"/>
        </w:rPr>
        <w:t xml:space="preserve">String</w:t>
      </w:r>
      <w:r>
        <w:br/>
      </w:r>
      <w:r>
        <w:rPr>
          <w:rStyle w:val="NormalTok"/>
        </w:rPr>
        <w:t xml:space="preserve">label = </w:t>
      </w:r>
      <w:r>
        <w:rPr>
          <w:rStyle w:val="DecValTok"/>
        </w:rPr>
        <w:t xml:space="preserve">200</w:t>
      </w:r>
      <w:r>
        <w:rPr>
          <w:rStyle w:val="NormalTok"/>
        </w:rPr>
        <w:t xml:space="preserve">           </w:t>
      </w:r>
      <w:r>
        <w:rPr>
          <w:rStyle w:val="CommentTok"/>
        </w:rPr>
        <w:t xml:space="preserve">' Integer coerces to String</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"Label: "</w:t>
      </w:r>
      <w:r>
        <w:rPr>
          <w:rStyle w:val="NormalTok"/>
        </w:rPr>
        <w:t xml:space="preserve"> </w:t>
      </w:r>
      <w:r>
        <w:rPr>
          <w:rStyle w:val="KeywordTok"/>
        </w:rPr>
        <w:t xml:space="preserve">&amp;</w:t>
      </w:r>
      <w:r>
        <w:rPr>
          <w:rStyle w:val="NormalTok"/>
        </w:rPr>
        <w:t xml:space="preserve"> label </w:t>
      </w:r>
      <w:r>
        <w:rPr>
          <w:rStyle w:val="KeywordTok"/>
        </w:rPr>
        <w:t xml:space="preserve">&amp;</w:t>
      </w:r>
      <w:r>
        <w:rPr>
          <w:rStyle w:val="NormalTok"/>
        </w:rPr>
        <w:t xml:space="preserve"> </w:t>
      </w:r>
      <w:r>
        <w:rPr>
          <w:rStyle w:val="StringTok"/>
        </w:rPr>
        <w:t xml:space="preserve">"&lt;br&gt;"</w:t>
      </w:r>
      <w:r>
        <w:br/>
      </w:r>
      <w:r>
        <w:br/>
      </w:r>
      <w:r>
        <w:rPr>
          <w:rStyle w:val="CommentTok"/>
        </w:rPr>
        <w:t xml:space="preserve">' Type mismatch handling</w:t>
      </w:r>
      <w:r>
        <w:br/>
      </w:r>
      <w:r>
        <w:rPr>
          <w:rStyle w:val="NormalTok"/>
        </w:rPr>
        <w:t xml:space="preserve">On Error Resume </w:t>
      </w:r>
      <w:r>
        <w:rPr>
          <w:rStyle w:val="ControlFlowTok"/>
        </w:rPr>
        <w:t xml:space="preserve">Next</w:t>
      </w:r>
      <w:r>
        <w:br/>
      </w:r>
      <w:r>
        <w:rPr>
          <w:rStyle w:val="KeywordTok"/>
        </w:rPr>
        <w:t xml:space="preserve">Dim</w:t>
      </w:r>
      <w:r>
        <w:rPr>
          <w:rStyle w:val="NormalTok"/>
        </w:rPr>
        <w:t xml:space="preserve"> value As Integer</w:t>
      </w:r>
      <w:r>
        <w:br/>
      </w:r>
      <w:r>
        <w:rPr>
          <w:rStyle w:val="NormalTok"/>
        </w:rPr>
        <w:t xml:space="preserve">value = </w:t>
      </w:r>
      <w:r>
        <w:rPr>
          <w:rStyle w:val="StringTok"/>
        </w:rPr>
        <w:t xml:space="preserve">"not-a-number"</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"Type mismatch caught: "</w:t>
      </w:r>
      <w:r>
        <w:rPr>
          <w:rStyle w:val="NormalTok"/>
        </w:rPr>
        <w:t xml:space="preserve"> </w:t>
      </w:r>
      <w:r>
        <w:rPr>
          <w:rStyle w:val="KeywordTok"/>
        </w:rPr>
        <w:t xml:space="preserve">&amp;</w:t>
      </w:r>
      <w:r>
        <w:rPr>
          <w:rStyle w:val="NormalTok"/>
        </w:rPr>
        <w:t xml:space="preserve"> Err.Description</w:t>
      </w:r>
      <w:r>
        <w:br/>
      </w:r>
      <w:r>
        <w:rPr>
          <w:rStyle w:val="NormalTok"/>
        </w:rPr>
        <w:t xml:space="preserve">    Err.</w:t>
      </w:r>
      <w:r>
        <w:rPr>
          <w:rStyle w:val="FunctionTok"/>
        </w:rPr>
        <w:t xml:space="preserve">Clear</w:t>
      </w:r>
      <w:r>
        <w:br/>
      </w:r>
      <w:r>
        <w:rPr>
          <w:rStyle w:val="ControlFlowTok"/>
        </w:rPr>
        <w:t xml:space="preserve">End If</w:t>
      </w:r>
      <w:r>
        <w:br/>
      </w:r>
      <w:r>
        <w:rPr>
          <w:rStyle w:val="NormalTok"/>
        </w:rPr>
        <w:t xml:space="preserve">On Error GoTo </w:t>
      </w:r>
      <w:r>
        <w:rPr>
          <w:rStyle w:val="DecValTok"/>
        </w:rPr>
        <w:t xml:space="preserve">0</w:t>
      </w:r>
      <w:r>
        <w:br/>
      </w:r>
      <w:r>
        <w:br/>
      </w:r>
      <w:r>
        <w:rPr>
          <w:rStyle w:val="CommentTok"/>
        </w:rPr>
        <w:t xml:space="preserve">' Standard Variant (backward compatible)</w:t>
      </w:r>
      <w:r>
        <w:br/>
      </w:r>
      <w:r>
        <w:rPr>
          <w:rStyle w:val="KeywordTok"/>
        </w:rPr>
        <w:t xml:space="preserve">Dim</w:t>
      </w:r>
      <w:r>
        <w:rPr>
          <w:rStyle w:val="NormalTok"/>
        </w:rPr>
        <w:t xml:space="preserve"> anything</w:t>
      </w:r>
      <w:r>
        <w:br/>
      </w:r>
      <w:r>
        <w:rPr>
          <w:rStyle w:val="NormalTok"/>
        </w:rPr>
        <w:t xml:space="preserve">anything = </w:t>
      </w:r>
      <w:r>
        <w:rPr>
          <w:rStyle w:val="StringTok"/>
        </w:rPr>
        <w:t xml:space="preserve">"mixed"</w:t>
      </w:r>
      <w:r>
        <w:br/>
      </w:r>
      <w:r>
        <w:rPr>
          <w:rStyle w:val="NormalTok"/>
        </w:rPr>
        <w:t xml:space="preserve">anything = </w:t>
      </w:r>
      <w:r>
        <w:rPr>
          <w:rStyle w:val="DecValTok"/>
        </w:rPr>
        <w:t xml:space="preserve">42</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"&lt;br&gt;Variant works as before: "</w:t>
      </w:r>
      <w:r>
        <w:rPr>
          <w:rStyle w:val="NormalTok"/>
        </w:rPr>
        <w:t xml:space="preserve"> </w:t>
      </w:r>
      <w:r>
        <w:rPr>
          <w:rStyle w:val="KeywordTok"/>
        </w:rPr>
        <w:t xml:space="preserve">&amp;</w:t>
      </w:r>
      <w:r>
        <w:rPr>
          <w:rStyle w:val="NormalTok"/>
        </w:rPr>
        <w:t xml:space="preserve"> anything</w:t>
      </w:r>
      <w:r>
        <w:br/>
      </w:r>
      <w:r>
        <w:rPr>
          <w:rStyle w:val="DataTypeTok"/>
        </w:rPr>
        <w:t xml:space="preserve">%&gt;</w:t>
      </w:r>
    </w:p>
    <w:bookmarkEnd w:id="720"/>
    <w:bookmarkEnd w:id="721"/>
    <w:bookmarkStart w:id="729" w:name="Xeffe9de727e5b6f75e8d02b7926a81cce1691e2"/>
    <w:p>
      <w:pPr>
        <w:pStyle w:val="Heading1"/>
      </w:pPr>
      <w:r>
        <w:t xml:space="preserve">Write Diagnostic Output with the Global Console Object</w:t>
      </w:r>
    </w:p>
    <w:bookmarkStart w:id="722" w:name="overview-45"/>
    <w:p>
      <w:pPr>
        <w:pStyle w:val="Heading2"/>
      </w:pPr>
      <w:r>
        <w:t xml:space="preserve">Overview</w:t>
      </w:r>
    </w:p>
    <w:p>
      <w:pPr>
        <w:pStyle w:val="FirstParagraph"/>
      </w:pPr>
      <w:r>
        <w:t xml:space="preserve">This page documents the global</w:t>
      </w:r>
      <w:r>
        <w:t xml:space="preserve"> </w:t>
      </w:r>
      <w:r>
        <w:rPr>
          <w:rStyle w:val="VerbatimChar"/>
        </w:rPr>
        <w:t xml:space="preserve">console</w:t>
      </w:r>
      <w:r>
        <w:t xml:space="preserve"> </w:t>
      </w:r>
      <w:r>
        <w:t xml:space="preserve">object in G3Pix AxonASP. The object is available in both VBScript and JavaScript pages and provides runtime diagnostic methods.</w:t>
      </w:r>
    </w:p>
    <w:bookmarkEnd w:id="722"/>
    <w:bookmarkStart w:id="723" w:name="syntax-19"/>
    <w:p>
      <w:pPr>
        <w:pStyle w:val="Heading2"/>
      </w:pPr>
      <w:r>
        <w:t xml:space="preserve">Syntax</w:t>
      </w:r>
    </w:p>
    <w:p>
      <w:pPr>
        <w:pStyle w:val="SourceCode"/>
      </w:pPr>
      <w:r>
        <w:rPr>
          <w:rStyle w:val="DataTypeTok"/>
        </w:rPr>
        <w:t xml:space="preserve">&lt;%</w:t>
      </w:r>
      <w:r>
        <w:br/>
      </w:r>
      <w:r>
        <w:rPr>
          <w:rStyle w:val="CommentTok"/>
        </w:rPr>
        <w:t xml:space="preserve">' VBScript</w:t>
      </w:r>
      <w:r>
        <w:br/>
      </w:r>
      <w:r>
        <w:rPr>
          <w:rStyle w:val="NormalTok"/>
        </w:rPr>
        <w:t xml:space="preserve">console.</w:t>
      </w:r>
      <w:r>
        <w:rPr>
          <w:rStyle w:val="FunctionTok"/>
        </w:rPr>
        <w:t xml:space="preserve">log</w:t>
      </w:r>
      <w:r>
        <w:rPr>
          <w:rStyle w:val="NormalTok"/>
        </w:rPr>
        <w:t xml:space="preserve"> </w:t>
      </w:r>
      <w:r>
        <w:rPr>
          <w:rStyle w:val="StringTok"/>
        </w:rPr>
        <w:t xml:space="preserve">"message"</w:t>
      </w:r>
      <w:r>
        <w:br/>
      </w:r>
      <w:r>
        <w:rPr>
          <w:rStyle w:val="NormalTok"/>
        </w:rPr>
        <w:t xml:space="preserve">console.info </w:t>
      </w:r>
      <w:r>
        <w:rPr>
          <w:rStyle w:val="StringTok"/>
        </w:rPr>
        <w:t xml:space="preserve">"message"</w:t>
      </w:r>
      <w:r>
        <w:br/>
      </w:r>
      <w:r>
        <w:rPr>
          <w:rStyle w:val="NormalTok"/>
        </w:rPr>
        <w:t xml:space="preserve">console.warn </w:t>
      </w:r>
      <w:r>
        <w:rPr>
          <w:rStyle w:val="StringTok"/>
        </w:rPr>
        <w:t xml:space="preserve">"message"</w:t>
      </w:r>
      <w:r>
        <w:br/>
      </w:r>
      <w:r>
        <w:rPr>
          <w:rStyle w:val="NormalTok"/>
        </w:rPr>
        <w:t xml:space="preserve">console.err </w:t>
      </w:r>
      <w:r>
        <w:rPr>
          <w:rStyle w:val="StringTok"/>
        </w:rPr>
        <w:t xml:space="preserve">"message"</w:t>
      </w:r>
      <w:r>
        <w:br/>
      </w:r>
      <w:r>
        <w:rPr>
          <w:rStyle w:val="NormalTok"/>
        </w:rPr>
        <w:t xml:space="preserve">console.error </w:t>
      </w:r>
      <w:r>
        <w:rPr>
          <w:rStyle w:val="StringTok"/>
        </w:rPr>
        <w:t xml:space="preserve">"message"</w:t>
      </w:r>
      <w:r>
        <w:br/>
      </w:r>
      <w:r>
        <w:rPr>
          <w:rStyle w:val="NormalTok"/>
        </w:rPr>
        <w:t xml:space="preserve">console.</w:t>
      </w:r>
      <w:r>
        <w:rPr>
          <w:rStyle w:val="FunctionTok"/>
        </w:rPr>
        <w:t xml:space="preserve">time</w:t>
      </w:r>
      <w:r>
        <w:rPr>
          <w:rStyle w:val="NormalTok"/>
        </w:rPr>
        <w:t xml:space="preserve"> </w:t>
      </w:r>
      <w:r>
        <w:rPr>
          <w:rStyle w:val="StringTok"/>
        </w:rPr>
        <w:t xml:space="preserve">"label"</w:t>
      </w:r>
      <w:r>
        <w:br/>
      </w:r>
      <w:r>
        <w:rPr>
          <w:rStyle w:val="NormalTok"/>
        </w:rPr>
        <w:t xml:space="preserve">console.timeEnd </w:t>
      </w:r>
      <w:r>
        <w:rPr>
          <w:rStyle w:val="StringTok"/>
        </w:rPr>
        <w:t xml:space="preserve">"label"</w:t>
      </w:r>
      <w:r>
        <w:br/>
      </w:r>
      <w:r>
        <w:rPr>
          <w:rStyle w:val="NormalTok"/>
        </w:rPr>
        <w:t xml:space="preserve">console.dir value</w:t>
      </w:r>
      <w:r>
        <w:br/>
      </w:r>
      <w:r>
        <w:rPr>
          <w:rStyle w:val="DataTypeTok"/>
        </w:rPr>
        <w:t xml:space="preserve">%&gt;</w:t>
      </w:r>
      <w:r>
        <w:br/>
      </w:r>
      <w:r>
        <w:br/>
      </w:r>
      <w:r>
        <w:rPr>
          <w:rStyle w:val="DataTypeTok"/>
        </w:rPr>
        <w:t xml:space="preserve">&lt;%</w:t>
      </w:r>
      <w:r>
        <w:rPr>
          <w:rStyle w:val="NormalTok"/>
        </w:rPr>
        <w:t xml:space="preserve">@ Language=JScript </w:t>
      </w:r>
      <w:r>
        <w:rPr>
          <w:rStyle w:val="DataTypeTok"/>
        </w:rPr>
        <w:t xml:space="preserve">%&gt;</w:t>
      </w:r>
      <w:r>
        <w:br/>
      </w:r>
      <w:r>
        <w:rPr>
          <w:rStyle w:val="DataTypeTok"/>
        </w:rPr>
        <w:t xml:space="preserve">&lt;%</w:t>
      </w:r>
      <w:r>
        <w:br/>
      </w:r>
      <w:r>
        <w:rPr>
          <w:rStyle w:val="NormalTok"/>
        </w:rPr>
        <w:t xml:space="preserve">// JScript</w:t>
      </w:r>
      <w:r>
        <w:br/>
      </w:r>
      <w:r>
        <w:rPr>
          <w:rStyle w:val="NormalTok"/>
        </w:rPr>
        <w:t xml:space="preserve">console.</w:t>
      </w:r>
      <w:r>
        <w:rPr>
          <w:rStyle w:val="FunctionTok"/>
        </w:rPr>
        <w:t xml:space="preserve">log</w:t>
      </w:r>
      <w:r>
        <w:rPr>
          <w:rStyle w:val="OtherTok"/>
        </w:rPr>
        <w:t xml:space="preserve">(</w:t>
      </w:r>
      <w:r>
        <w:rPr>
          <w:rStyle w:val="StringTok"/>
        </w:rPr>
        <w:t xml:space="preserve">"message"</w:t>
      </w:r>
      <w:r>
        <w:rPr>
          <w:rStyle w:val="OtherTok"/>
        </w:rPr>
        <w:t xml:space="preserve">);</w:t>
      </w:r>
      <w:r>
        <w:br/>
      </w:r>
      <w:r>
        <w:rPr>
          <w:rStyle w:val="NormalTok"/>
        </w:rPr>
        <w:t xml:space="preserve">console.info</w:t>
      </w:r>
      <w:r>
        <w:rPr>
          <w:rStyle w:val="OtherTok"/>
        </w:rPr>
        <w:t xml:space="preserve">(</w:t>
      </w:r>
      <w:r>
        <w:rPr>
          <w:rStyle w:val="StringTok"/>
        </w:rPr>
        <w:t xml:space="preserve">"message"</w:t>
      </w:r>
      <w:r>
        <w:rPr>
          <w:rStyle w:val="OtherTok"/>
        </w:rPr>
        <w:t xml:space="preserve">);</w:t>
      </w:r>
      <w:r>
        <w:br/>
      </w:r>
      <w:r>
        <w:rPr>
          <w:rStyle w:val="NormalTok"/>
        </w:rPr>
        <w:t xml:space="preserve">console.warn</w:t>
      </w:r>
      <w:r>
        <w:rPr>
          <w:rStyle w:val="OtherTok"/>
        </w:rPr>
        <w:t xml:space="preserve">(</w:t>
      </w:r>
      <w:r>
        <w:rPr>
          <w:rStyle w:val="StringTok"/>
        </w:rPr>
        <w:t xml:space="preserve">"message"</w:t>
      </w:r>
      <w:r>
        <w:rPr>
          <w:rStyle w:val="OtherTok"/>
        </w:rPr>
        <w:t xml:space="preserve">);</w:t>
      </w:r>
      <w:r>
        <w:br/>
      </w:r>
      <w:r>
        <w:rPr>
          <w:rStyle w:val="NormalTok"/>
        </w:rPr>
        <w:t xml:space="preserve">console.err</w:t>
      </w:r>
      <w:r>
        <w:rPr>
          <w:rStyle w:val="OtherTok"/>
        </w:rPr>
        <w:t xml:space="preserve">(</w:t>
      </w:r>
      <w:r>
        <w:rPr>
          <w:rStyle w:val="StringTok"/>
        </w:rPr>
        <w:t xml:space="preserve">"message"</w:t>
      </w:r>
      <w:r>
        <w:rPr>
          <w:rStyle w:val="OtherTok"/>
        </w:rPr>
        <w:t xml:space="preserve">);</w:t>
      </w:r>
      <w:r>
        <w:br/>
      </w:r>
      <w:r>
        <w:rPr>
          <w:rStyle w:val="NormalTok"/>
        </w:rPr>
        <w:t xml:space="preserve">console.error</w:t>
      </w:r>
      <w:r>
        <w:rPr>
          <w:rStyle w:val="OtherTok"/>
        </w:rPr>
        <w:t xml:space="preserve">(</w:t>
      </w:r>
      <w:r>
        <w:rPr>
          <w:rStyle w:val="StringTok"/>
        </w:rPr>
        <w:t xml:space="preserve">"message"</w:t>
      </w:r>
      <w:r>
        <w:rPr>
          <w:rStyle w:val="OtherTok"/>
        </w:rPr>
        <w:t xml:space="preserve">);</w:t>
      </w:r>
      <w:r>
        <w:br/>
      </w:r>
      <w:r>
        <w:rPr>
          <w:rStyle w:val="NormalTok"/>
        </w:rPr>
        <w:t xml:space="preserve">console.</w:t>
      </w:r>
      <w:r>
        <w:rPr>
          <w:rStyle w:val="FunctionTok"/>
        </w:rPr>
        <w:t xml:space="preserve">time</w:t>
      </w:r>
      <w:r>
        <w:rPr>
          <w:rStyle w:val="OtherTok"/>
        </w:rPr>
        <w:t xml:space="preserve">(</w:t>
      </w:r>
      <w:r>
        <w:rPr>
          <w:rStyle w:val="StringTok"/>
        </w:rPr>
        <w:t xml:space="preserve">"label"</w:t>
      </w:r>
      <w:r>
        <w:rPr>
          <w:rStyle w:val="OtherTok"/>
        </w:rPr>
        <w:t xml:space="preserve">);</w:t>
      </w:r>
      <w:r>
        <w:br/>
      </w:r>
      <w:r>
        <w:rPr>
          <w:rStyle w:val="NormalTok"/>
        </w:rPr>
        <w:t xml:space="preserve">console.timeEnd</w:t>
      </w:r>
      <w:r>
        <w:rPr>
          <w:rStyle w:val="OtherTok"/>
        </w:rPr>
        <w:t xml:space="preserve">(</w:t>
      </w:r>
      <w:r>
        <w:rPr>
          <w:rStyle w:val="StringTok"/>
        </w:rPr>
        <w:t xml:space="preserve">"label"</w:t>
      </w:r>
      <w:r>
        <w:rPr>
          <w:rStyle w:val="OtherTok"/>
        </w:rPr>
        <w:t xml:space="preserve">);</w:t>
      </w:r>
      <w:r>
        <w:br/>
      </w:r>
      <w:r>
        <w:rPr>
          <w:rStyle w:val="NormalTok"/>
        </w:rPr>
        <w:t xml:space="preserve">console.dir</w:t>
      </w:r>
      <w:r>
        <w:rPr>
          <w:rStyle w:val="OtherTok"/>
        </w:rPr>
        <w:t xml:space="preserve">(</w:t>
      </w:r>
      <w:r>
        <w:rPr>
          <w:rStyle w:val="NormalTok"/>
        </w:rPr>
        <w:t xml:space="preserve">value</w:t>
      </w:r>
      <w:r>
        <w:rPr>
          <w:rStyle w:val="OtherTok"/>
        </w:rPr>
        <w:t xml:space="preserve">);</w:t>
      </w:r>
      <w:r>
        <w:br/>
      </w:r>
      <w:r>
        <w:rPr>
          <w:rStyle w:val="NormalTok"/>
        </w:rPr>
        <w:t xml:space="preserve">console.trace</w:t>
      </w:r>
      <w:r>
        <w:rPr>
          <w:rStyle w:val="OtherTok"/>
        </w:rPr>
        <w:t xml:space="preserve">(</w:t>
      </w:r>
      <w:r>
        <w:rPr>
          <w:rStyle w:val="StringTok"/>
        </w:rPr>
        <w:t xml:space="preserve">"message"</w:t>
      </w:r>
      <w:r>
        <w:rPr>
          <w:rStyle w:val="OtherTok"/>
        </w:rPr>
        <w:t xml:space="preserve">);</w:t>
      </w:r>
      <w:r>
        <w:br/>
      </w:r>
      <w:r>
        <w:rPr>
          <w:rStyle w:val="DataTypeTok"/>
        </w:rPr>
        <w:t xml:space="preserve">%&gt;</w:t>
      </w:r>
    </w:p>
    <w:bookmarkEnd w:id="723"/>
    <w:bookmarkStart w:id="724" w:name="parameters-and-arguments-8"/>
    <w:p>
      <w:pPr>
        <w:pStyle w:val="Heading2"/>
      </w:pPr>
      <w:r>
        <w:t xml:space="preserve">Parameters and Arguments</w:t>
      </w:r>
    </w:p>
    <w:p>
      <w:pPr>
        <w:pStyle w:val="Compact"/>
        <w:numPr>
          <w:ilvl w:val="0"/>
          <w:numId w:val="1203"/>
        </w:numPr>
      </w:pPr>
      <w:r>
        <w:rPr>
          <w:b/>
          <w:bCs/>
        </w:rPr>
        <w:t xml:space="preserve">args</w:t>
      </w:r>
      <w:r>
        <w:t xml:space="preserve"> </w:t>
      </w:r>
      <w:r>
        <w:t xml:space="preserve">(required): one or more arguments for</w:t>
      </w:r>
      <w:r>
        <w:t xml:space="preserve"> </w:t>
      </w:r>
      <w:r>
        <w:rPr>
          <w:rStyle w:val="VerbatimChar"/>
        </w:rPr>
        <w:t xml:space="preserve">console.log</w:t>
      </w:r>
      <w:r>
        <w:t xml:space="preserve">,</w:t>
      </w:r>
      <w:r>
        <w:t xml:space="preserve"> </w:t>
      </w:r>
      <w:r>
        <w:rPr>
          <w:rStyle w:val="VerbatimChar"/>
        </w:rPr>
        <w:t xml:space="preserve">console.info</w:t>
      </w:r>
      <w:r>
        <w:t xml:space="preserve">,</w:t>
      </w:r>
      <w:r>
        <w:t xml:space="preserve"> </w:t>
      </w:r>
      <w:r>
        <w:rPr>
          <w:rStyle w:val="VerbatimChar"/>
        </w:rPr>
        <w:t xml:space="preserve">console.warn</w:t>
      </w:r>
      <w:r>
        <w:t xml:space="preserve">,</w:t>
      </w:r>
      <w:r>
        <w:t xml:space="preserve"> </w:t>
      </w:r>
      <w:r>
        <w:rPr>
          <w:rStyle w:val="VerbatimChar"/>
        </w:rPr>
        <w:t xml:space="preserve">console.err</w:t>
      </w:r>
      <w:r>
        <w:t xml:space="preserve">, and</w:t>
      </w:r>
      <w:r>
        <w:t xml:space="preserve"> </w:t>
      </w:r>
      <w:r>
        <w:rPr>
          <w:rStyle w:val="VerbatimChar"/>
        </w:rPr>
        <w:t xml:space="preserve">console.error</w:t>
      </w:r>
      <w:r>
        <w:t xml:space="preserve">.</w:t>
      </w:r>
    </w:p>
    <w:p>
      <w:pPr>
        <w:pStyle w:val="Compact"/>
        <w:numPr>
          <w:ilvl w:val="0"/>
          <w:numId w:val="1203"/>
        </w:numPr>
      </w:pPr>
      <w:r>
        <w:rPr>
          <w:b/>
          <w:bCs/>
        </w:rPr>
        <w:t xml:space="preserve">Supported input forms:</w:t>
      </w:r>
    </w:p>
    <w:p>
      <w:pPr>
        <w:pStyle w:val="Compact"/>
        <w:numPr>
          <w:ilvl w:val="1"/>
          <w:numId w:val="1204"/>
        </w:numPr>
      </w:pPr>
      <w:r>
        <w:t xml:space="preserve">String: printed directly.</w:t>
      </w:r>
    </w:p>
    <w:p>
      <w:pPr>
        <w:pStyle w:val="Compact"/>
        <w:numPr>
          <w:ilvl w:val="1"/>
          <w:numId w:val="1204"/>
        </w:numPr>
      </w:pPr>
      <w:r>
        <w:t xml:space="preserve">VBScript array: serialized to JSON and printed.</w:t>
      </w:r>
    </w:p>
    <w:p>
      <w:pPr>
        <w:pStyle w:val="Compact"/>
        <w:numPr>
          <w:ilvl w:val="1"/>
          <w:numId w:val="1204"/>
        </w:numPr>
      </w:pPr>
      <w:r>
        <w:t xml:space="preserve">JScript array/object: serialized to JSON and printed.</w:t>
      </w:r>
    </w:p>
    <w:p>
      <w:pPr>
        <w:pStyle w:val="Compact"/>
        <w:numPr>
          <w:ilvl w:val="0"/>
          <w:numId w:val="1203"/>
        </w:numPr>
      </w:pPr>
      <w:r>
        <w:rPr>
          <w:b/>
          <w:bCs/>
        </w:rPr>
        <w:t xml:space="preserve">Multi-argument behavior for log methods:</w:t>
      </w:r>
    </w:p>
    <w:p>
      <w:pPr>
        <w:pStyle w:val="Compact"/>
        <w:numPr>
          <w:ilvl w:val="1"/>
          <w:numId w:val="1205"/>
        </w:numPr>
      </w:pPr>
      <w:r>
        <w:rPr>
          <w:rStyle w:val="VerbatimChar"/>
        </w:rPr>
        <w:t xml:space="preserve">console.log</w:t>
      </w:r>
      <w:r>
        <w:t xml:space="preserve">,</w:t>
      </w:r>
      <w:r>
        <w:t xml:space="preserve"> </w:t>
      </w:r>
      <w:r>
        <w:rPr>
          <w:rStyle w:val="VerbatimChar"/>
        </w:rPr>
        <w:t xml:space="preserve">console.info</w:t>
      </w:r>
      <w:r>
        <w:t xml:space="preserve">,</w:t>
      </w:r>
      <w:r>
        <w:t xml:space="preserve"> </w:t>
      </w:r>
      <w:r>
        <w:rPr>
          <w:rStyle w:val="VerbatimChar"/>
        </w:rPr>
        <w:t xml:space="preserve">console.warn</w:t>
      </w:r>
      <w:r>
        <w:t xml:space="preserve">,</w:t>
      </w:r>
      <w:r>
        <w:t xml:space="preserve"> </w:t>
      </w:r>
      <w:r>
        <w:rPr>
          <w:rStyle w:val="VerbatimChar"/>
        </w:rPr>
        <w:t xml:space="preserve">console.err</w:t>
      </w:r>
      <w:r>
        <w:t xml:space="preserve">, and</w:t>
      </w:r>
      <w:r>
        <w:t xml:space="preserve"> </w:t>
      </w:r>
      <w:r>
        <w:rPr>
          <w:rStyle w:val="VerbatimChar"/>
        </w:rPr>
        <w:t xml:space="preserve">console.error</w:t>
      </w:r>
      <w:r>
        <w:t xml:space="preserve"> </w:t>
      </w:r>
      <w:r>
        <w:t xml:space="preserve">accept multiple arguments.</w:t>
      </w:r>
    </w:p>
    <w:p>
      <w:pPr>
        <w:pStyle w:val="Compact"/>
        <w:numPr>
          <w:ilvl w:val="1"/>
          <w:numId w:val="1205"/>
        </w:numPr>
      </w:pPr>
      <w:r>
        <w:t xml:space="preserve">Each argument is serialized using AxonASP runtime conversion.</w:t>
      </w:r>
    </w:p>
    <w:p>
      <w:pPr>
        <w:pStyle w:val="Compact"/>
        <w:numPr>
          <w:ilvl w:val="1"/>
          <w:numId w:val="1205"/>
        </w:numPr>
      </w:pPr>
      <w:r>
        <w:t xml:space="preserve">Serialized arguments are joined with one space in the output line.</w:t>
      </w:r>
    </w:p>
    <w:p>
      <w:pPr>
        <w:pStyle w:val="Compact"/>
        <w:numPr>
          <w:ilvl w:val="0"/>
          <w:numId w:val="1203"/>
        </w:numPr>
      </w:pPr>
      <w:r>
        <w:rPr>
          <w:b/>
          <w:bCs/>
        </w:rPr>
        <w:t xml:space="preserve">Method names available in both VBScript and JavaScript:</w:t>
      </w:r>
    </w:p>
    <w:p>
      <w:pPr>
        <w:pStyle w:val="Compact"/>
        <w:numPr>
          <w:ilvl w:val="1"/>
          <w:numId w:val="1206"/>
        </w:numPr>
      </w:pPr>
      <w:r>
        <w:rPr>
          <w:rStyle w:val="VerbatimChar"/>
        </w:rPr>
        <w:t xml:space="preserve">console.info(args...)</w:t>
      </w:r>
    </w:p>
    <w:p>
      <w:pPr>
        <w:pStyle w:val="Compact"/>
        <w:numPr>
          <w:ilvl w:val="1"/>
          <w:numId w:val="1206"/>
        </w:numPr>
      </w:pPr>
      <w:r>
        <w:rPr>
          <w:rStyle w:val="VerbatimChar"/>
        </w:rPr>
        <w:t xml:space="preserve">console.log(args...)</w:t>
      </w:r>
    </w:p>
    <w:p>
      <w:pPr>
        <w:pStyle w:val="Compact"/>
        <w:numPr>
          <w:ilvl w:val="1"/>
          <w:numId w:val="1206"/>
        </w:numPr>
      </w:pPr>
      <w:r>
        <w:rPr>
          <w:rStyle w:val="VerbatimChar"/>
        </w:rPr>
        <w:t xml:space="preserve">console.warn(args...)</w:t>
      </w:r>
    </w:p>
    <w:p>
      <w:pPr>
        <w:pStyle w:val="Compact"/>
        <w:numPr>
          <w:ilvl w:val="1"/>
          <w:numId w:val="1206"/>
        </w:numPr>
      </w:pPr>
      <w:r>
        <w:rPr>
          <w:rStyle w:val="VerbatimChar"/>
        </w:rPr>
        <w:t xml:space="preserve">console.err(args...)</w:t>
      </w:r>
    </w:p>
    <w:p>
      <w:pPr>
        <w:pStyle w:val="Compact"/>
        <w:numPr>
          <w:ilvl w:val="1"/>
          <w:numId w:val="1206"/>
        </w:numPr>
      </w:pPr>
      <w:r>
        <w:rPr>
          <w:rStyle w:val="VerbatimChar"/>
        </w:rPr>
        <w:t xml:space="preserve">console.error(args...)</w:t>
      </w:r>
    </w:p>
    <w:p>
      <w:pPr>
        <w:pStyle w:val="Compact"/>
        <w:numPr>
          <w:ilvl w:val="1"/>
          <w:numId w:val="1206"/>
        </w:numPr>
      </w:pPr>
      <w:r>
        <w:rPr>
          <w:rStyle w:val="VerbatimChar"/>
        </w:rPr>
        <w:t xml:space="preserve">console.time(label)</w:t>
      </w:r>
    </w:p>
    <w:p>
      <w:pPr>
        <w:pStyle w:val="Compact"/>
        <w:numPr>
          <w:ilvl w:val="1"/>
          <w:numId w:val="1206"/>
        </w:numPr>
      </w:pPr>
      <w:r>
        <w:rPr>
          <w:rStyle w:val="VerbatimChar"/>
        </w:rPr>
        <w:t xml:space="preserve">console.timeEnd(label)</w:t>
      </w:r>
    </w:p>
    <w:p>
      <w:pPr>
        <w:pStyle w:val="Compact"/>
        <w:numPr>
          <w:ilvl w:val="1"/>
          <w:numId w:val="1206"/>
        </w:numPr>
      </w:pPr>
      <w:r>
        <w:rPr>
          <w:rStyle w:val="VerbatimChar"/>
        </w:rPr>
        <w:t xml:space="preserve">console.dir(value)</w:t>
      </w:r>
    </w:p>
    <w:p>
      <w:pPr>
        <w:pStyle w:val="Compact"/>
        <w:numPr>
          <w:ilvl w:val="0"/>
          <w:numId w:val="1203"/>
        </w:numPr>
      </w:pPr>
      <w:r>
        <w:rPr>
          <w:b/>
          <w:bCs/>
        </w:rPr>
        <w:t xml:space="preserve">JavaScript only:</w:t>
      </w:r>
    </w:p>
    <w:p>
      <w:pPr>
        <w:pStyle w:val="Compact"/>
        <w:numPr>
          <w:ilvl w:val="1"/>
          <w:numId w:val="1207"/>
        </w:numPr>
      </w:pPr>
      <w:r>
        <w:rPr>
          <w:rStyle w:val="VerbatimChar"/>
        </w:rPr>
        <w:t xml:space="preserve">console.trace([value])</w:t>
      </w:r>
    </w:p>
    <w:bookmarkEnd w:id="724"/>
    <w:bookmarkStart w:id="725" w:name="return-values-7"/>
    <w:p>
      <w:pPr>
        <w:pStyle w:val="Heading2"/>
      </w:pPr>
      <w:r>
        <w:t xml:space="preserve">Return Values</w:t>
      </w:r>
    </w:p>
    <w:p>
      <w:pPr>
        <w:pStyle w:val="Compact"/>
        <w:numPr>
          <w:ilvl w:val="0"/>
          <w:numId w:val="1208"/>
        </w:numPr>
      </w:pPr>
      <w:r>
        <w:rPr>
          <w:rStyle w:val="VerbatimChar"/>
        </w:rPr>
        <w:t xml:space="preserve">console.info</w:t>
      </w:r>
      <w:r>
        <w:t xml:space="preserve"> </w:t>
      </w:r>
      <w:r>
        <w:t xml:space="preserve">returns no value to the ASP page output.</w:t>
      </w:r>
    </w:p>
    <w:p>
      <w:pPr>
        <w:pStyle w:val="Compact"/>
        <w:numPr>
          <w:ilvl w:val="0"/>
          <w:numId w:val="1208"/>
        </w:numPr>
      </w:pPr>
      <w:r>
        <w:rPr>
          <w:rStyle w:val="VerbatimChar"/>
        </w:rPr>
        <w:t xml:space="preserve">console.log</w:t>
      </w:r>
      <w:r>
        <w:t xml:space="preserve"> </w:t>
      </w:r>
      <w:r>
        <w:t xml:space="preserve">returns no value to the ASP page output.</w:t>
      </w:r>
    </w:p>
    <w:p>
      <w:pPr>
        <w:pStyle w:val="Compact"/>
        <w:numPr>
          <w:ilvl w:val="0"/>
          <w:numId w:val="1208"/>
        </w:numPr>
      </w:pPr>
      <w:r>
        <w:rPr>
          <w:rStyle w:val="VerbatimChar"/>
        </w:rPr>
        <w:t xml:space="preserve">console.warn</w:t>
      </w:r>
      <w:r>
        <w:t xml:space="preserve"> </w:t>
      </w:r>
      <w:r>
        <w:t xml:space="preserve">returns no value to the ASP page output.</w:t>
      </w:r>
    </w:p>
    <w:p>
      <w:pPr>
        <w:pStyle w:val="Compact"/>
        <w:numPr>
          <w:ilvl w:val="0"/>
          <w:numId w:val="1208"/>
        </w:numPr>
      </w:pPr>
      <w:r>
        <w:rPr>
          <w:rStyle w:val="VerbatimChar"/>
        </w:rPr>
        <w:t xml:space="preserve">console.err</w:t>
      </w:r>
      <w:r>
        <w:t xml:space="preserve"> </w:t>
      </w:r>
      <w:r>
        <w:t xml:space="preserve">returns no value to the ASP page output.</w:t>
      </w:r>
    </w:p>
    <w:p>
      <w:pPr>
        <w:pStyle w:val="Compact"/>
        <w:numPr>
          <w:ilvl w:val="0"/>
          <w:numId w:val="1208"/>
        </w:numPr>
      </w:pPr>
      <w:r>
        <w:rPr>
          <w:rStyle w:val="VerbatimChar"/>
        </w:rPr>
        <w:t xml:space="preserve">console.error</w:t>
      </w:r>
      <w:r>
        <w:t xml:space="preserve"> </w:t>
      </w:r>
      <w:r>
        <w:t xml:space="preserve">returns no value to the ASP page output.</w:t>
      </w:r>
    </w:p>
    <w:p>
      <w:pPr>
        <w:pStyle w:val="Compact"/>
        <w:numPr>
          <w:ilvl w:val="0"/>
          <w:numId w:val="1208"/>
        </w:numPr>
      </w:pPr>
      <w:r>
        <w:rPr>
          <w:rStyle w:val="VerbatimChar"/>
        </w:rPr>
        <w:t xml:space="preserve">console.time</w:t>
      </w:r>
      <w:r>
        <w:t xml:space="preserve"> </w:t>
      </w:r>
      <w:r>
        <w:t xml:space="preserve">returns no value to the ASP page output.</w:t>
      </w:r>
    </w:p>
    <w:p>
      <w:pPr>
        <w:pStyle w:val="Compact"/>
        <w:numPr>
          <w:ilvl w:val="0"/>
          <w:numId w:val="1208"/>
        </w:numPr>
      </w:pPr>
      <w:r>
        <w:rPr>
          <w:rStyle w:val="VerbatimChar"/>
        </w:rPr>
        <w:t xml:space="preserve">console.timeEnd</w:t>
      </w:r>
      <w:r>
        <w:t xml:space="preserve"> </w:t>
      </w:r>
      <w:r>
        <w:t xml:space="preserve">returns no value to the ASP page output.</w:t>
      </w:r>
    </w:p>
    <w:p>
      <w:pPr>
        <w:pStyle w:val="Compact"/>
        <w:numPr>
          <w:ilvl w:val="0"/>
          <w:numId w:val="1208"/>
        </w:numPr>
      </w:pPr>
      <w:r>
        <w:rPr>
          <w:rStyle w:val="VerbatimChar"/>
        </w:rPr>
        <w:t xml:space="preserve">console.dir</w:t>
      </w:r>
      <w:r>
        <w:t xml:space="preserve"> </w:t>
      </w:r>
      <w:r>
        <w:t xml:space="preserve">returns no value to the ASP page output.</w:t>
      </w:r>
    </w:p>
    <w:p>
      <w:pPr>
        <w:pStyle w:val="Compact"/>
        <w:numPr>
          <w:ilvl w:val="0"/>
          <w:numId w:val="1208"/>
        </w:numPr>
      </w:pPr>
      <w:r>
        <w:rPr>
          <w:rStyle w:val="VerbatimChar"/>
        </w:rPr>
        <w:t xml:space="preserve">console.trace</w:t>
      </w:r>
      <w:r>
        <w:t xml:space="preserve"> </w:t>
      </w:r>
      <w:r>
        <w:t xml:space="preserve">returns no value to the ASP page output.</w:t>
      </w:r>
    </w:p>
    <w:bookmarkEnd w:id="725"/>
    <w:bookmarkStart w:id="726" w:name="remarks-31"/>
    <w:p>
      <w:pPr>
        <w:pStyle w:val="Heading2"/>
      </w:pPr>
      <w:r>
        <w:t xml:space="preserve">Remarks</w:t>
      </w:r>
    </w:p>
    <w:p>
      <w:pPr>
        <w:pStyle w:val="Compact"/>
        <w:numPr>
          <w:ilvl w:val="0"/>
          <w:numId w:val="1209"/>
        </w:numPr>
      </w:pPr>
      <w:r>
        <w:t xml:space="preserve">Every console output line includes date and time.</w:t>
      </w:r>
    </w:p>
    <w:p>
      <w:pPr>
        <w:pStyle w:val="Compact"/>
        <w:numPr>
          <w:ilvl w:val="0"/>
          <w:numId w:val="1209"/>
        </w:numPr>
      </w:pPr>
      <w:r>
        <w:t xml:space="preserve">Stream routing:</w:t>
      </w:r>
    </w:p>
    <w:p>
      <w:pPr>
        <w:pStyle w:val="Compact"/>
        <w:numPr>
          <w:ilvl w:val="1"/>
          <w:numId w:val="1210"/>
        </w:numPr>
      </w:pPr>
      <w:r>
        <w:rPr>
          <w:rStyle w:val="VerbatimChar"/>
        </w:rPr>
        <w:t xml:space="preserve">console.info</w:t>
      </w:r>
      <w:r>
        <w:t xml:space="preserve"> </w:t>
      </w:r>
      <w:r>
        <w:t xml:space="preserve">writes to standard output.</w:t>
      </w:r>
    </w:p>
    <w:p>
      <w:pPr>
        <w:pStyle w:val="Compact"/>
        <w:numPr>
          <w:ilvl w:val="1"/>
          <w:numId w:val="1210"/>
        </w:numPr>
      </w:pPr>
      <w:r>
        <w:rPr>
          <w:rStyle w:val="VerbatimChar"/>
        </w:rPr>
        <w:t xml:space="preserve">console.log</w:t>
      </w:r>
      <w:r>
        <w:t xml:space="preserve"> </w:t>
      </w:r>
      <w:r>
        <w:t xml:space="preserve">writes to standard output.</w:t>
      </w:r>
    </w:p>
    <w:p>
      <w:pPr>
        <w:pStyle w:val="Compact"/>
        <w:numPr>
          <w:ilvl w:val="1"/>
          <w:numId w:val="1210"/>
        </w:numPr>
      </w:pPr>
      <w:r>
        <w:rPr>
          <w:rStyle w:val="VerbatimChar"/>
        </w:rPr>
        <w:t xml:space="preserve">console.warn</w:t>
      </w:r>
      <w:r>
        <w:t xml:space="preserve"> </w:t>
      </w:r>
      <w:r>
        <w:t xml:space="preserve">writes to standard error.</w:t>
      </w:r>
    </w:p>
    <w:p>
      <w:pPr>
        <w:pStyle w:val="Compact"/>
        <w:numPr>
          <w:ilvl w:val="1"/>
          <w:numId w:val="1210"/>
        </w:numPr>
      </w:pPr>
      <w:r>
        <w:rPr>
          <w:rStyle w:val="VerbatimChar"/>
        </w:rPr>
        <w:t xml:space="preserve">console.err</w:t>
      </w:r>
      <w:r>
        <w:t xml:space="preserve"> </w:t>
      </w:r>
      <w:r>
        <w:t xml:space="preserve">writes to standard error.</w:t>
      </w:r>
    </w:p>
    <w:p>
      <w:pPr>
        <w:pStyle w:val="Compact"/>
        <w:numPr>
          <w:ilvl w:val="1"/>
          <w:numId w:val="1210"/>
        </w:numPr>
      </w:pPr>
      <w:r>
        <w:rPr>
          <w:rStyle w:val="VerbatimChar"/>
        </w:rPr>
        <w:t xml:space="preserve">console.error</w:t>
      </w:r>
      <w:r>
        <w:t xml:space="preserve"> </w:t>
      </w:r>
      <w:r>
        <w:t xml:space="preserve">writes to standard error.</w:t>
      </w:r>
    </w:p>
    <w:p>
      <w:pPr>
        <w:pStyle w:val="Compact"/>
        <w:numPr>
          <w:ilvl w:val="1"/>
          <w:numId w:val="1210"/>
        </w:numPr>
      </w:pPr>
      <w:r>
        <w:rPr>
          <w:rStyle w:val="VerbatimChar"/>
        </w:rPr>
        <w:t xml:space="preserve">console.timeEnd</w:t>
      </w:r>
      <w:r>
        <w:t xml:space="preserve"> </w:t>
      </w:r>
      <w:r>
        <w:t xml:space="preserve">writes elapsed time output to standard output.</w:t>
      </w:r>
    </w:p>
    <w:p>
      <w:pPr>
        <w:pStyle w:val="Compact"/>
        <w:numPr>
          <w:ilvl w:val="1"/>
          <w:numId w:val="1210"/>
        </w:numPr>
      </w:pPr>
      <w:r>
        <w:rPr>
          <w:rStyle w:val="VerbatimChar"/>
        </w:rPr>
        <w:t xml:space="preserve">console.dir</w:t>
      </w:r>
      <w:r>
        <w:t xml:space="preserve"> </w:t>
      </w:r>
      <w:r>
        <w:t xml:space="preserve">writes inspected values to standard output.</w:t>
      </w:r>
    </w:p>
    <w:p>
      <w:pPr>
        <w:pStyle w:val="Compact"/>
        <w:numPr>
          <w:ilvl w:val="1"/>
          <w:numId w:val="1210"/>
        </w:numPr>
      </w:pPr>
      <w:r>
        <w:rPr>
          <w:rStyle w:val="VerbatimChar"/>
        </w:rPr>
        <w:t xml:space="preserve">console.trace</w:t>
      </w:r>
      <w:r>
        <w:t xml:space="preserve"> </w:t>
      </w:r>
      <w:r>
        <w:t xml:space="preserve">writes stack trace output to standard error.</w:t>
      </w:r>
    </w:p>
    <w:p>
      <w:pPr>
        <w:pStyle w:val="Compact"/>
        <w:numPr>
          <w:ilvl w:val="0"/>
          <w:numId w:val="1209"/>
        </w:numPr>
      </w:pPr>
      <w:r>
        <w:t xml:space="preserve">Console symbols in stream output:</w:t>
      </w:r>
    </w:p>
    <w:p>
      <w:pPr>
        <w:pStyle w:val="Compact"/>
        <w:numPr>
          <w:ilvl w:val="1"/>
          <w:numId w:val="1211"/>
        </w:numPr>
      </w:pPr>
      <w:r>
        <w:rPr>
          <w:rStyle w:val="VerbatimChar"/>
        </w:rPr>
        <w:t xml:space="preserve">console.info</w:t>
      </w:r>
      <w:r>
        <w:t xml:space="preserve">:</w:t>
      </w:r>
      <w:r>
        <w:t xml:space="preserve"> </w:t>
      </w:r>
      <w:r>
        <w:rPr>
          <w:rStyle w:val="VerbatimChar"/>
        </w:rPr>
        <w:t xml:space="preserve">ℹ</w:t>
      </w:r>
    </w:p>
    <w:p>
      <w:pPr>
        <w:pStyle w:val="Compact"/>
        <w:numPr>
          <w:ilvl w:val="1"/>
          <w:numId w:val="1211"/>
        </w:numPr>
      </w:pPr>
      <w:r>
        <w:rPr>
          <w:rStyle w:val="VerbatimChar"/>
        </w:rPr>
        <w:t xml:space="preserve">console.log</w:t>
      </w:r>
      <w:r>
        <w:t xml:space="preserve">:</w:t>
      </w:r>
      <w:r>
        <w:t xml:space="preserve"> </w:t>
      </w:r>
      <w:r>
        <w:rPr>
          <w:rStyle w:val="VerbatimChar"/>
        </w:rPr>
        <w:t xml:space="preserve">⌨</w:t>
      </w:r>
    </w:p>
    <w:p>
      <w:pPr>
        <w:pStyle w:val="Compact"/>
        <w:numPr>
          <w:ilvl w:val="1"/>
          <w:numId w:val="1211"/>
        </w:numPr>
      </w:pPr>
      <w:r>
        <w:rPr>
          <w:rStyle w:val="VerbatimChar"/>
        </w:rPr>
        <w:t xml:space="preserve">console.warn</w:t>
      </w:r>
      <w:r>
        <w:t xml:space="preserve">:</w:t>
      </w:r>
      <w:r>
        <w:t xml:space="preserve"> </w:t>
      </w:r>
      <w:r>
        <w:rPr>
          <w:rStyle w:val="VerbatimChar"/>
        </w:rPr>
        <w:t xml:space="preserve">⚠</w:t>
      </w:r>
    </w:p>
    <w:p>
      <w:pPr>
        <w:pStyle w:val="Compact"/>
        <w:numPr>
          <w:ilvl w:val="1"/>
          <w:numId w:val="1211"/>
        </w:numPr>
      </w:pPr>
      <w:r>
        <w:rPr>
          <w:rStyle w:val="VerbatimChar"/>
        </w:rPr>
        <w:t xml:space="preserve">console.err</w:t>
      </w:r>
      <w:r>
        <w:t xml:space="preserve">:</w:t>
      </w:r>
      <w:r>
        <w:t xml:space="preserve"> </w:t>
      </w:r>
      <w:r>
        <w:rPr>
          <w:rStyle w:val="VerbatimChar"/>
        </w:rPr>
        <w:t xml:space="preserve">✖</w:t>
      </w:r>
    </w:p>
    <w:p>
      <w:pPr>
        <w:pStyle w:val="Compact"/>
        <w:numPr>
          <w:ilvl w:val="1"/>
          <w:numId w:val="1211"/>
        </w:numPr>
      </w:pPr>
      <w:r>
        <w:rPr>
          <w:rStyle w:val="VerbatimChar"/>
        </w:rPr>
        <w:t xml:space="preserve">console.error</w:t>
      </w:r>
      <w:r>
        <w:t xml:space="preserve">:</w:t>
      </w:r>
      <w:r>
        <w:t xml:space="preserve"> </w:t>
      </w:r>
      <w:r>
        <w:rPr>
          <w:rStyle w:val="VerbatimChar"/>
        </w:rPr>
        <w:t xml:space="preserve">✖</w:t>
      </w:r>
    </w:p>
    <w:p>
      <w:pPr>
        <w:pStyle w:val="Compact"/>
        <w:numPr>
          <w:ilvl w:val="1"/>
          <w:numId w:val="1211"/>
        </w:numPr>
      </w:pPr>
      <w:r>
        <w:rPr>
          <w:rStyle w:val="VerbatimChar"/>
        </w:rPr>
        <w:t xml:space="preserve">console.trace</w:t>
      </w:r>
      <w:r>
        <w:t xml:space="preserve">:</w:t>
      </w:r>
      <w:r>
        <w:t xml:space="preserve"> </w:t>
      </w:r>
      <w:r>
        <w:rPr>
          <w:rStyle w:val="VerbatimChar"/>
        </w:rPr>
        <w:t xml:space="preserve">↳</w:t>
      </w:r>
    </w:p>
    <w:p>
      <w:pPr>
        <w:pStyle w:val="Compact"/>
        <w:numPr>
          <w:ilvl w:val="0"/>
          <w:numId w:val="1209"/>
        </w:numPr>
      </w:pPr>
      <w:r>
        <w:rPr>
          <w:rStyle w:val="VerbatimChar"/>
        </w:rPr>
        <w:t xml:space="preserve">console.err</w:t>
      </w:r>
      <w:r>
        <w:t xml:space="preserve"> </w:t>
      </w:r>
      <w:r>
        <w:t xml:space="preserve">is an alias for</w:t>
      </w:r>
      <w:r>
        <w:t xml:space="preserve"> </w:t>
      </w:r>
      <w:r>
        <w:rPr>
          <w:rStyle w:val="VerbatimChar"/>
        </w:rPr>
        <w:t xml:space="preserve">console.error</w:t>
      </w:r>
      <w:r>
        <w:t xml:space="preserve">.</w:t>
      </w:r>
    </w:p>
    <w:p>
      <w:pPr>
        <w:pStyle w:val="Compact"/>
        <w:numPr>
          <w:ilvl w:val="0"/>
          <w:numId w:val="1209"/>
        </w:numPr>
      </w:pPr>
      <w:r>
        <w:rPr>
          <w:rStyle w:val="VerbatimChar"/>
        </w:rPr>
        <w:t xml:space="preserve">console.time(label)</w:t>
      </w:r>
      <w:r>
        <w:t xml:space="preserve"> </w:t>
      </w:r>
      <w:r>
        <w:t xml:space="preserve">stores a high-precision timer for the label.</w:t>
      </w:r>
    </w:p>
    <w:p>
      <w:pPr>
        <w:pStyle w:val="Compact"/>
        <w:numPr>
          <w:ilvl w:val="0"/>
          <w:numId w:val="1209"/>
        </w:numPr>
      </w:pPr>
      <w:r>
        <w:rPr>
          <w:rStyle w:val="VerbatimChar"/>
        </w:rPr>
        <w:t xml:space="preserve">console.timeEnd(label)</w:t>
      </w:r>
      <w:r>
        <w:t xml:space="preserve"> </w:t>
      </w:r>
      <w:r>
        <w:t xml:space="preserve">prints elapsed milliseconds and removes the timer label.</w:t>
      </w:r>
    </w:p>
    <w:p>
      <w:pPr>
        <w:pStyle w:val="Compact"/>
        <w:numPr>
          <w:ilvl w:val="0"/>
          <w:numId w:val="1209"/>
        </w:numPr>
      </w:pPr>
      <w:r>
        <w:rPr>
          <w:rStyle w:val="VerbatimChar"/>
        </w:rPr>
        <w:t xml:space="preserve">console.dir(value)</w:t>
      </w:r>
      <w:r>
        <w:t xml:space="preserve"> </w:t>
      </w:r>
      <w:r>
        <w:t xml:space="preserve">prints a structured inspection view of the value.</w:t>
      </w:r>
    </w:p>
    <w:p>
      <w:pPr>
        <w:pStyle w:val="Compact"/>
        <w:numPr>
          <w:ilvl w:val="0"/>
          <w:numId w:val="1209"/>
        </w:numPr>
      </w:pPr>
      <w:r>
        <w:rPr>
          <w:rStyle w:val="VerbatimChar"/>
        </w:rPr>
        <w:t xml:space="preserve">console.trace</w:t>
      </w:r>
      <w:r>
        <w:t xml:space="preserve"> </w:t>
      </w:r>
      <w:r>
        <w:t xml:space="preserve">prints the JavaScript call stack with file, line, and column.</w:t>
      </w:r>
    </w:p>
    <w:p>
      <w:pPr>
        <w:pStyle w:val="Compact"/>
        <w:numPr>
          <w:ilvl w:val="0"/>
          <w:numId w:val="1209"/>
        </w:numPr>
      </w:pPr>
      <w:r>
        <w:rPr>
          <w:rStyle w:val="VerbatimChar"/>
        </w:rPr>
        <w:t xml:space="preserve">console.trace</w:t>
      </w:r>
      <w:r>
        <w:t xml:space="preserve"> </w:t>
      </w:r>
      <w:r>
        <w:t xml:space="preserve">is not available in VBScript runtime execution.</w:t>
      </w:r>
    </w:p>
    <w:p>
      <w:pPr>
        <w:pStyle w:val="Compact"/>
        <w:numPr>
          <w:ilvl w:val="0"/>
          <w:numId w:val="1209"/>
        </w:numPr>
      </w:pPr>
      <w:r>
        <w:t xml:space="preserve">File logging is controlled by</w:t>
      </w:r>
      <w:r>
        <w:t xml:space="preserve"> </w:t>
      </w:r>
      <w:r>
        <w:rPr>
          <w:rStyle w:val="VerbatimChar"/>
        </w:rPr>
        <w:t xml:space="preserve">global.enable_log_files</w:t>
      </w:r>
      <w:r>
        <w:t xml:space="preserve"> </w:t>
      </w:r>
      <w:r>
        <w:t xml:space="preserve">in</w:t>
      </w:r>
      <w:r>
        <w:t xml:space="preserve"> </w:t>
      </w:r>
      <w:r>
        <w:rPr>
          <w:rStyle w:val="VerbatimChar"/>
        </w:rPr>
        <w:t xml:space="preserve">config/axonasp.toml</w:t>
      </w:r>
      <w:r>
        <w:t xml:space="preserve">.</w:t>
      </w:r>
    </w:p>
    <w:p>
      <w:pPr>
        <w:pStyle w:val="Compact"/>
        <w:numPr>
          <w:ilvl w:val="0"/>
          <w:numId w:val="1209"/>
        </w:numPr>
      </w:pPr>
      <w:r>
        <w:t xml:space="preserve">When enabled:</w:t>
      </w:r>
    </w:p>
    <w:p>
      <w:pPr>
        <w:pStyle w:val="Compact"/>
        <w:numPr>
          <w:ilvl w:val="1"/>
          <w:numId w:val="1212"/>
        </w:numPr>
      </w:pPr>
      <w:r>
        <w:rPr>
          <w:rStyle w:val="VerbatimChar"/>
        </w:rPr>
        <w:t xml:space="preserve">console.log</w:t>
      </w:r>
      <w:r>
        <w:t xml:space="preserve"> </w:t>
      </w:r>
      <w:r>
        <w:t xml:space="preserve">and</w:t>
      </w:r>
      <w:r>
        <w:t xml:space="preserve"> </w:t>
      </w:r>
      <w:r>
        <w:rPr>
          <w:rStyle w:val="VerbatimChar"/>
        </w:rPr>
        <w:t xml:space="preserve">console.info</w:t>
      </w:r>
      <w:r>
        <w:t xml:space="preserve"> </w:t>
      </w:r>
      <w:r>
        <w:t xml:space="preserve">are appended to</w:t>
      </w:r>
      <w:r>
        <w:t xml:space="preserve"> </w:t>
      </w:r>
      <w:r>
        <w:rPr>
          <w:rStyle w:val="VerbatimChar"/>
        </w:rPr>
        <w:t xml:space="preserve">./temp/console.log</w:t>
      </w:r>
      <w:r>
        <w:t xml:space="preserve">.</w:t>
      </w:r>
    </w:p>
    <w:p>
      <w:pPr>
        <w:pStyle w:val="Compact"/>
        <w:numPr>
          <w:ilvl w:val="1"/>
          <w:numId w:val="1212"/>
        </w:numPr>
      </w:pPr>
      <w:r>
        <w:rPr>
          <w:rStyle w:val="VerbatimChar"/>
        </w:rPr>
        <w:t xml:space="preserve">console.warn</w:t>
      </w:r>
      <w:r>
        <w:t xml:space="preserve">,</w:t>
      </w:r>
      <w:r>
        <w:t xml:space="preserve"> </w:t>
      </w:r>
      <w:r>
        <w:rPr>
          <w:rStyle w:val="VerbatimChar"/>
        </w:rPr>
        <w:t xml:space="preserve">console.err</w:t>
      </w:r>
      <w:r>
        <w:t xml:space="preserve">, and</w:t>
      </w:r>
      <w:r>
        <w:t xml:space="preserve"> </w:t>
      </w:r>
      <w:r>
        <w:rPr>
          <w:rStyle w:val="VerbatimChar"/>
        </w:rPr>
        <w:t xml:space="preserve">console.error</w:t>
      </w:r>
      <w:r>
        <w:t xml:space="preserve"> </w:t>
      </w:r>
      <w:r>
        <w:t xml:space="preserve">are appended to</w:t>
      </w:r>
      <w:r>
        <w:t xml:space="preserve"> </w:t>
      </w:r>
      <w:r>
        <w:rPr>
          <w:rStyle w:val="VerbatimChar"/>
        </w:rPr>
        <w:t xml:space="preserve">./temp/error.log</w:t>
      </w:r>
      <w:r>
        <w:t xml:space="preserve">.</w:t>
      </w:r>
    </w:p>
    <w:p>
      <w:pPr>
        <w:pStyle w:val="Compact"/>
        <w:numPr>
          <w:ilvl w:val="0"/>
          <w:numId w:val="1209"/>
        </w:numPr>
      </w:pPr>
      <w:r>
        <w:t xml:space="preserve">File entries do not include decorative symbols. Files store timestamp, level, and message text.</w:t>
      </w:r>
    </w:p>
    <w:bookmarkEnd w:id="726"/>
    <w:bookmarkStart w:id="727" w:name="code-example-2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w:t>
      </w:r>
      <w:r>
        <w:rPr>
          <w:rStyle w:val="FunctionTok"/>
        </w:rPr>
        <w:t xml:space="preserve">items</w:t>
      </w:r>
      <w:r>
        <w:rPr>
          <w:rStyle w:val="OtherTok"/>
        </w:rPr>
        <w:t xml:space="preserve">(</w:t>
      </w:r>
      <w:r>
        <w:rPr>
          <w:rStyle w:val="DecValTok"/>
        </w:rPr>
        <w:t xml:space="preserve">2</w:t>
      </w:r>
      <w:r>
        <w:rPr>
          <w:rStyle w:val="OtherTok"/>
        </w:rPr>
        <w:t xml:space="preserve">)</w:t>
      </w:r>
      <w:r>
        <w:br/>
      </w:r>
      <w:r>
        <w:rPr>
          <w:rStyle w:val="FunctionTok"/>
        </w:rPr>
        <w:t xml:space="preserve">items</w:t>
      </w:r>
      <w:r>
        <w:rPr>
          <w:rStyle w:val="OtherTok"/>
        </w:rPr>
        <w:t xml:space="preserve">(</w:t>
      </w:r>
      <w:r>
        <w:rPr>
          <w:rStyle w:val="DecValTok"/>
        </w:rPr>
        <w:t xml:space="preserve">0</w:t>
      </w:r>
      <w:r>
        <w:rPr>
          <w:rStyle w:val="OtherTok"/>
        </w:rPr>
        <w:t xml:space="preserve">)</w:t>
      </w:r>
      <w:r>
        <w:rPr>
          <w:rStyle w:val="NormalTok"/>
        </w:rPr>
        <w:t xml:space="preserve"> = </w:t>
      </w:r>
      <w:r>
        <w:rPr>
          <w:rStyle w:val="StringTok"/>
        </w:rPr>
        <w:t xml:space="preserve">"alpha"</w:t>
      </w:r>
      <w:r>
        <w:br/>
      </w:r>
      <w:r>
        <w:rPr>
          <w:rStyle w:val="FunctionTok"/>
        </w:rPr>
        <w:t xml:space="preserve">items</w:t>
      </w:r>
      <w:r>
        <w:rPr>
          <w:rStyle w:val="OtherTok"/>
        </w:rPr>
        <w:t xml:space="preserve">(</w:t>
      </w:r>
      <w:r>
        <w:rPr>
          <w:rStyle w:val="DecValTok"/>
        </w:rPr>
        <w:t xml:space="preserve">1</w:t>
      </w:r>
      <w:r>
        <w:rPr>
          <w:rStyle w:val="OtherTok"/>
        </w:rPr>
        <w:t xml:space="preserve">)</w:t>
      </w:r>
      <w:r>
        <w:rPr>
          <w:rStyle w:val="NormalTok"/>
        </w:rPr>
        <w:t xml:space="preserve"> = </w:t>
      </w:r>
      <w:r>
        <w:rPr>
          <w:rStyle w:val="StringTok"/>
        </w:rPr>
        <w:t xml:space="preserve">"beta"</w:t>
      </w:r>
      <w:r>
        <w:br/>
      </w:r>
      <w:r>
        <w:rPr>
          <w:rStyle w:val="FunctionTok"/>
        </w:rPr>
        <w:t xml:space="preserve">items</w:t>
      </w:r>
      <w:r>
        <w:rPr>
          <w:rStyle w:val="OtherTok"/>
        </w:rPr>
        <w:t xml:space="preserve">(</w:t>
      </w:r>
      <w:r>
        <w:rPr>
          <w:rStyle w:val="DecValTok"/>
        </w:rPr>
        <w:t xml:space="preserve">2</w:t>
      </w:r>
      <w:r>
        <w:rPr>
          <w:rStyle w:val="OtherTok"/>
        </w:rPr>
        <w:t xml:space="preserve">)</w:t>
      </w:r>
      <w:r>
        <w:rPr>
          <w:rStyle w:val="NormalTok"/>
        </w:rPr>
        <w:t xml:space="preserve"> = </w:t>
      </w:r>
      <w:r>
        <w:rPr>
          <w:rStyle w:val="DecValTok"/>
        </w:rPr>
        <w:t xml:space="preserve">3</w:t>
      </w:r>
      <w:r>
        <w:br/>
      </w:r>
      <w:r>
        <w:br/>
      </w:r>
      <w:r>
        <w:rPr>
          <w:rStyle w:val="NormalTok"/>
        </w:rPr>
        <w:t xml:space="preserve">console.info </w:t>
      </w:r>
      <w:r>
        <w:rPr>
          <w:rStyle w:val="StringTok"/>
        </w:rPr>
        <w:t xml:space="preserve">"Starting ASP page execution"</w:t>
      </w:r>
      <w:r>
        <w:br/>
      </w:r>
      <w:r>
        <w:rPr>
          <w:rStyle w:val="NormalTok"/>
        </w:rPr>
        <w:t xml:space="preserve">console.</w:t>
      </w:r>
      <w:r>
        <w:rPr>
          <w:rStyle w:val="FunctionTok"/>
        </w:rPr>
        <w:t xml:space="preserve">log</w:t>
      </w:r>
      <w:r>
        <w:rPr>
          <w:rStyle w:val="NormalTok"/>
        </w:rPr>
        <w:t xml:space="preserve"> </w:t>
      </w:r>
      <w:r>
        <w:rPr>
          <w:rStyle w:val="StringTok"/>
        </w:rPr>
        <w:t xml:space="preserve">"Items:"</w:t>
      </w:r>
      <w:r>
        <w:rPr>
          <w:rStyle w:val="OtherTok"/>
        </w:rPr>
        <w:t xml:space="preserve">,</w:t>
      </w:r>
      <w:r>
        <w:rPr>
          <w:rStyle w:val="NormalTok"/>
        </w:rPr>
        <w:t xml:space="preserve"> </w:t>
      </w:r>
      <w:r>
        <w:rPr>
          <w:rStyle w:val="FunctionTok"/>
        </w:rPr>
        <w:t xml:space="preserve">items</w:t>
      </w:r>
      <w:r>
        <w:br/>
      </w:r>
      <w:r>
        <w:rPr>
          <w:rStyle w:val="NormalTok"/>
        </w:rPr>
        <w:t xml:space="preserve">console.</w:t>
      </w:r>
      <w:r>
        <w:rPr>
          <w:rStyle w:val="FunctionTok"/>
        </w:rPr>
        <w:t xml:space="preserve">time</w:t>
      </w:r>
      <w:r>
        <w:rPr>
          <w:rStyle w:val="NormalTok"/>
        </w:rPr>
        <w:t xml:space="preserve"> </w:t>
      </w:r>
      <w:r>
        <w:rPr>
          <w:rStyle w:val="StringTok"/>
        </w:rPr>
        <w:t xml:space="preserve">"vb-load"</w:t>
      </w:r>
      <w:r>
        <w:br/>
      </w:r>
      <w:r>
        <w:rPr>
          <w:rStyle w:val="NormalTok"/>
        </w:rPr>
        <w:t xml:space="preserve">console.timeEnd </w:t>
      </w:r>
      <w:r>
        <w:rPr>
          <w:rStyle w:val="StringTok"/>
        </w:rPr>
        <w:t xml:space="preserve">"vb-load"</w:t>
      </w:r>
      <w:r>
        <w:br/>
      </w:r>
      <w:r>
        <w:rPr>
          <w:rStyle w:val="NormalTok"/>
        </w:rPr>
        <w:t xml:space="preserve">console.dir </w:t>
      </w:r>
      <w:r>
        <w:rPr>
          <w:rStyle w:val="FunctionTok"/>
        </w:rPr>
        <w:t xml:space="preserve">items</w:t>
      </w:r>
      <w:r>
        <w:br/>
      </w:r>
      <w:r>
        <w:rPr>
          <w:rStyle w:val="NormalTok"/>
        </w:rPr>
        <w:t xml:space="preserve">console.warn </w:t>
      </w:r>
      <w:r>
        <w:rPr>
          <w:rStyle w:val="StringTok"/>
        </w:rPr>
        <w:t xml:space="preserve">"Using fallback dataset"</w:t>
      </w:r>
      <w:r>
        <w:rPr>
          <w:rStyle w:val="OtherTok"/>
        </w:rPr>
        <w:t xml:space="preserve">,</w:t>
      </w:r>
      <w:r>
        <w:rPr>
          <w:rStyle w:val="NormalTok"/>
        </w:rPr>
        <w:t xml:space="preserve"> </w:t>
      </w:r>
      <w:r>
        <w:rPr>
          <w:rStyle w:val="StringTok"/>
        </w:rPr>
        <w:t xml:space="preserve">"code"</w:t>
      </w:r>
      <w:r>
        <w:rPr>
          <w:rStyle w:val="OtherTok"/>
        </w:rPr>
        <w:t xml:space="preserve">,</w:t>
      </w:r>
      <w:r>
        <w:rPr>
          <w:rStyle w:val="NormalTok"/>
        </w:rPr>
        <w:t xml:space="preserve"> </w:t>
      </w:r>
      <w:r>
        <w:rPr>
          <w:rStyle w:val="DecValTok"/>
        </w:rPr>
        <w:t xml:space="preserve">1001</w:t>
      </w:r>
      <w:r>
        <w:br/>
      </w:r>
      <w:r>
        <w:rPr>
          <w:rStyle w:val="NormalTok"/>
        </w:rPr>
        <w:t xml:space="preserve">console.err </w:t>
      </w:r>
      <w:r>
        <w:rPr>
          <w:rStyle w:val="StringTok"/>
        </w:rPr>
        <w:t xml:space="preserve">"Sample error line for diagnostics"</w:t>
      </w:r>
      <w:r>
        <w:rPr>
          <w:rStyle w:val="OtherTok"/>
        </w:rPr>
        <w:t xml:space="preserve">,</w:t>
      </w:r>
      <w:r>
        <w:rPr>
          <w:rStyle w:val="NormalTok"/>
        </w:rPr>
        <w:t xml:space="preserve"> </w:t>
      </w:r>
      <w:r>
        <w:rPr>
          <w:rStyle w:val="StringTok"/>
        </w:rPr>
        <w:t xml:space="preserve">"id"</w:t>
      </w:r>
      <w:r>
        <w:rPr>
          <w:rStyle w:val="OtherTok"/>
        </w:rPr>
        <w:t xml:space="preserve">,</w:t>
      </w:r>
      <w:r>
        <w:rPr>
          <w:rStyle w:val="NormalTok"/>
        </w:rPr>
        <w:t xml:space="preserve"> </w:t>
      </w:r>
      <w:r>
        <w:rPr>
          <w:rStyle w:val="DecValTok"/>
        </w:rPr>
        <w:t xml:space="preserve">42</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"Console sample completed."</w:t>
      </w:r>
      <w:r>
        <w:br/>
      </w:r>
      <w:r>
        <w:rPr>
          <w:rStyle w:val="DataTypeTok"/>
        </w:rPr>
        <w:t xml:space="preserve">%&gt;</w:t>
      </w:r>
    </w:p>
    <w:bookmarkEnd w:id="727"/>
    <w:bookmarkStart w:id="728" w:name="javascript-stack-trace-example"/>
    <w:p>
      <w:pPr>
        <w:pStyle w:val="Heading2"/>
      </w:pPr>
      <w:r>
        <w:t xml:space="preserve">JavaScript Stack Trace Example</w:t>
      </w:r>
    </w:p>
    <w:p>
      <w:pPr>
        <w:pStyle w:val="SourceCode"/>
      </w:pPr>
      <w:r>
        <w:rPr>
          <w:rStyle w:val="DataTypeTok"/>
        </w:rPr>
        <w:t xml:space="preserve">&lt;%</w:t>
      </w:r>
      <w:r>
        <w:rPr>
          <w:rStyle w:val="NormalTok"/>
        </w:rPr>
        <w:t xml:space="preserve">@ Language=JScript </w:t>
      </w:r>
      <w:r>
        <w:rPr>
          <w:rStyle w:val="DataTypeTok"/>
        </w:rPr>
        <w:t xml:space="preserve">%&gt;</w:t>
      </w:r>
      <w:r>
        <w:br/>
      </w:r>
      <w:r>
        <w:rPr>
          <w:rStyle w:val="DataTypeTok"/>
        </w:rPr>
        <w:t xml:space="preserve">&lt;%</w:t>
      </w:r>
      <w:r>
        <w:br/>
      </w:r>
      <w:r>
        <w:rPr>
          <w:rStyle w:val="KeywordTok"/>
        </w:rPr>
        <w:t xml:space="preserve">function</w:t>
      </w:r>
      <w:r>
        <w:rPr>
          <w:rStyle w:val="NormalTok"/>
        </w:rPr>
        <w:t xml:space="preserve"> c</w:t>
      </w:r>
      <w:r>
        <w:rPr>
          <w:rStyle w:val="OtherTok"/>
        </w:rPr>
        <w:t xml:space="preserve">()</w:t>
      </w:r>
      <w:r>
        <w:rPr>
          <w:rStyle w:val="NormalTok"/>
        </w:rPr>
        <w:t xml:space="preserve"> </w:t>
      </w:r>
      <w:r>
        <w:rPr>
          <w:rStyle w:val="OtherTok"/>
        </w:rPr>
        <w:t xml:space="preserve">{</w:t>
      </w:r>
      <w:r>
        <w:br/>
      </w:r>
      <w:r>
        <w:rPr>
          <w:rStyle w:val="NormalTok"/>
        </w:rPr>
        <w:t xml:space="preserve">  console.trace</w:t>
      </w:r>
      <w:r>
        <w:rPr>
          <w:rStyle w:val="OtherTok"/>
        </w:rPr>
        <w:t xml:space="preserve">(</w:t>
      </w:r>
      <w:r>
        <w:rPr>
          <w:rStyle w:val="StringTok"/>
        </w:rPr>
        <w:t xml:space="preserve">"trace sample"</w:t>
      </w:r>
      <w:r>
        <w:rPr>
          <w:rStyle w:val="OtherTok"/>
        </w:rPr>
        <w:t xml:space="preserve">);</w:t>
      </w:r>
      <w:r>
        <w:br/>
      </w:r>
      <w:r>
        <w:rPr>
          <w:rStyle w:val="OtherTok"/>
        </w:rPr>
        <w:t xml:space="preserve">}</w:t>
      </w:r>
      <w:r>
        <w:br/>
      </w:r>
      <w:r>
        <w:br/>
      </w:r>
      <w:r>
        <w:rPr>
          <w:rStyle w:val="KeywordTok"/>
        </w:rPr>
        <w:t xml:space="preserve">function</w:t>
      </w:r>
      <w:r>
        <w:rPr>
          <w:rStyle w:val="NormalTok"/>
        </w:rPr>
        <w:t xml:space="preserve"> b</w:t>
      </w:r>
      <w:r>
        <w:rPr>
          <w:rStyle w:val="OtherTok"/>
        </w:rPr>
        <w:t xml:space="preserve">()</w:t>
      </w:r>
      <w:r>
        <w:rPr>
          <w:rStyle w:val="NormalTok"/>
        </w:rPr>
        <w:t xml:space="preserve"> </w:t>
      </w:r>
      <w:r>
        <w:rPr>
          <w:rStyle w:val="OtherTok"/>
        </w:rPr>
        <w:t xml:space="preserve">{</w:t>
      </w:r>
      <w:r>
        <w:br/>
      </w:r>
      <w:r>
        <w:rPr>
          <w:rStyle w:val="NormalTok"/>
        </w:rPr>
        <w:t xml:space="preserve">  c</w:t>
      </w:r>
      <w:r>
        <w:rPr>
          <w:rStyle w:val="OtherTok"/>
        </w:rPr>
        <w:t xml:space="preserve">();</w:t>
      </w:r>
      <w:r>
        <w:br/>
      </w:r>
      <w:r>
        <w:rPr>
          <w:rStyle w:val="OtherTok"/>
        </w:rPr>
        <w:t xml:space="preserve">}</w:t>
      </w:r>
      <w:r>
        <w:br/>
      </w:r>
      <w:r>
        <w:br/>
      </w:r>
      <w:r>
        <w:rPr>
          <w:rStyle w:val="KeywordTok"/>
        </w:rPr>
        <w:t xml:space="preserve">function</w:t>
      </w:r>
      <w:r>
        <w:rPr>
          <w:rStyle w:val="NormalTok"/>
        </w:rPr>
        <w:t xml:space="preserve"> a</w:t>
      </w:r>
      <w:r>
        <w:rPr>
          <w:rStyle w:val="OtherTok"/>
        </w:rPr>
        <w:t xml:space="preserve">()</w:t>
      </w:r>
      <w:r>
        <w:rPr>
          <w:rStyle w:val="NormalTok"/>
        </w:rPr>
        <w:t xml:space="preserve"> </w:t>
      </w:r>
      <w:r>
        <w:rPr>
          <w:rStyle w:val="OtherTok"/>
        </w:rPr>
        <w:t xml:space="preserve">{</w:t>
      </w:r>
      <w:r>
        <w:br/>
      </w:r>
      <w:r>
        <w:rPr>
          <w:rStyle w:val="NormalTok"/>
        </w:rPr>
        <w:t xml:space="preserve">  b</w:t>
      </w:r>
      <w:r>
        <w:rPr>
          <w:rStyle w:val="OtherTok"/>
        </w:rPr>
        <w:t xml:space="preserve">();</w:t>
      </w:r>
      <w:r>
        <w:br/>
      </w:r>
      <w:r>
        <w:rPr>
          <w:rStyle w:val="OtherTok"/>
        </w:rPr>
        <w:t xml:space="preserve">}</w:t>
      </w:r>
      <w:r>
        <w:br/>
      </w:r>
      <w:r>
        <w:br/>
      </w:r>
      <w:r>
        <w:rPr>
          <w:rStyle w:val="NormalTok"/>
        </w:rPr>
        <w:t xml:space="preserve">console.</w:t>
      </w:r>
      <w:r>
        <w:rPr>
          <w:rStyle w:val="FunctionTok"/>
        </w:rPr>
        <w:t xml:space="preserve">time</w:t>
      </w:r>
      <w:r>
        <w:rPr>
          <w:rStyle w:val="OtherTok"/>
        </w:rPr>
        <w:t xml:space="preserve">(</w:t>
      </w:r>
      <w:r>
        <w:rPr>
          <w:rStyle w:val="StringTok"/>
        </w:rPr>
        <w:t xml:space="preserve">"js-load"</w:t>
      </w:r>
      <w:r>
        <w:rPr>
          <w:rStyle w:val="OtherTok"/>
        </w:rPr>
        <w:t xml:space="preserve">);</w:t>
      </w:r>
      <w:r>
        <w:br/>
      </w:r>
      <w:r>
        <w:rPr>
          <w:rStyle w:val="NormalTok"/>
        </w:rPr>
        <w:t xml:space="preserve">a</w:t>
      </w:r>
      <w:r>
        <w:rPr>
          <w:rStyle w:val="OtherTok"/>
        </w:rPr>
        <w:t xml:space="preserve">();</w:t>
      </w:r>
      <w:r>
        <w:br/>
      </w:r>
      <w:r>
        <w:rPr>
          <w:rStyle w:val="NormalTok"/>
        </w:rPr>
        <w:t xml:space="preserve">console.timeEnd</w:t>
      </w:r>
      <w:r>
        <w:rPr>
          <w:rStyle w:val="OtherTok"/>
        </w:rPr>
        <w:t xml:space="preserve">(</w:t>
      </w:r>
      <w:r>
        <w:rPr>
          <w:rStyle w:val="StringTok"/>
        </w:rPr>
        <w:t xml:space="preserve">"js-load"</w:t>
      </w:r>
      <w:r>
        <w:rPr>
          <w:rStyle w:val="OtherTok"/>
        </w:rPr>
        <w:t xml:space="preserve">);</w:t>
      </w:r>
      <w:r>
        <w:br/>
      </w:r>
      <w:r>
        <w:rPr>
          <w:rStyle w:val="DataTypeTok"/>
        </w:rPr>
        <w:t xml:space="preserve">%&gt;</w:t>
      </w:r>
    </w:p>
    <w:bookmarkEnd w:id="728"/>
    <w:bookmarkEnd w:id="729"/>
    <w:bookmarkStart w:id="734" w:name="enumerations-enum"/>
    <w:p>
      <w:pPr>
        <w:pStyle w:val="Heading1"/>
      </w:pPr>
      <w:r>
        <w:t xml:space="preserve">Enumerations (Enum)</w:t>
      </w:r>
    </w:p>
    <w:p>
      <w:pPr>
        <w:pStyle w:val="FirstParagraph"/>
      </w:pPr>
      <w:r>
        <w:t xml:space="preserve">Enumerations provide a way to work with sets of related constants. They improve code readability by replacing</w:t>
      </w:r>
      <w:r>
        <w:t xml:space="preserve"> </w:t>
      </w:r>
      <w:r>
        <w:t xml:space="preserve">“magic numbers”</w:t>
      </w:r>
      <w:r>
        <w:t xml:space="preserve"> </w:t>
      </w:r>
      <w:r>
        <w:t xml:space="preserve">with descriptive names.</w:t>
      </w:r>
    </w:p>
    <w:bookmarkStart w:id="730" w:name="syntax-20"/>
    <w:p>
      <w:pPr>
        <w:pStyle w:val="Heading2"/>
      </w:pPr>
      <w:r>
        <w:t xml:space="preserve">Syntax</w:t>
      </w:r>
    </w:p>
    <w:p>
      <w:pPr>
        <w:pStyle w:val="SourceCode"/>
      </w:pPr>
      <w:r>
        <w:rPr>
          <w:rStyle w:val="VerbatimChar"/>
        </w:rPr>
        <w:t xml:space="preserve">[Public | Private] Enum name</w:t>
      </w:r>
      <w:r>
        <w:br/>
      </w:r>
      <w:r>
        <w:rPr>
          <w:rStyle w:val="VerbatimChar"/>
        </w:rPr>
        <w:t xml:space="preserve">    membername [= constantexpression]</w:t>
      </w:r>
      <w:r>
        <w:br/>
      </w:r>
      <w:r>
        <w:rPr>
          <w:rStyle w:val="VerbatimChar"/>
        </w:rPr>
        <w:t xml:space="preserve">    membername [= constantexpression]</w:t>
      </w:r>
      <w:r>
        <w:br/>
      </w:r>
      <w:r>
        <w:rPr>
          <w:rStyle w:val="VerbatimChar"/>
        </w:rPr>
        <w:t xml:space="preserve">    ...</w:t>
      </w:r>
      <w:r>
        <w:br/>
      </w:r>
      <w:r>
        <w:rPr>
          <w:rStyle w:val="VerbatimChar"/>
        </w:rPr>
        <w:t xml:space="preserve">End Enum</w:t>
      </w:r>
    </w:p>
    <w:p>
      <w:pPr>
        <w:pStyle w:val="Compact"/>
        <w:numPr>
          <w:ilvl w:val="0"/>
          <w:numId w:val="1213"/>
        </w:numPr>
      </w:pPr>
      <w:r>
        <w:rPr>
          <w:b/>
          <w:bCs/>
        </w:rPr>
        <w:t xml:space="preserve">Public</w:t>
      </w:r>
      <w:r>
        <w:t xml:space="preserve">: Optional. Used to declare enumerations that are available to all procedures in all scripts.</w:t>
      </w:r>
    </w:p>
    <w:p>
      <w:pPr>
        <w:pStyle w:val="Compact"/>
        <w:numPr>
          <w:ilvl w:val="0"/>
          <w:numId w:val="1213"/>
        </w:numPr>
      </w:pPr>
      <w:r>
        <w:rPr>
          <w:b/>
          <w:bCs/>
        </w:rPr>
        <w:t xml:space="preserve">Private</w:t>
      </w:r>
      <w:r>
        <w:t xml:space="preserve">: Optional. Used to declare enumerations that are available only within the script where the declaration is made.</w:t>
      </w:r>
    </w:p>
    <w:p>
      <w:pPr>
        <w:pStyle w:val="Compact"/>
        <w:numPr>
          <w:ilvl w:val="0"/>
          <w:numId w:val="1213"/>
        </w:numPr>
      </w:pPr>
      <w:r>
        <w:rPr>
          <w:b/>
          <w:bCs/>
        </w:rPr>
        <w:t xml:space="preserve">name</w:t>
      </w:r>
      <w:r>
        <w:t xml:space="preserve">: Required. Name of the enumeration type.</w:t>
      </w:r>
    </w:p>
    <w:p>
      <w:pPr>
        <w:pStyle w:val="Compact"/>
        <w:numPr>
          <w:ilvl w:val="0"/>
          <w:numId w:val="1213"/>
        </w:numPr>
      </w:pPr>
      <w:r>
        <w:rPr>
          <w:b/>
          <w:bCs/>
        </w:rPr>
        <w:t xml:space="preserve">membername</w:t>
      </w:r>
      <w:r>
        <w:t xml:space="preserve">: Required. Name of the constituent members.</w:t>
      </w:r>
    </w:p>
    <w:p>
      <w:pPr>
        <w:pStyle w:val="Compact"/>
        <w:numPr>
          <w:ilvl w:val="0"/>
          <w:numId w:val="1213"/>
        </w:numPr>
      </w:pPr>
      <w:r>
        <w:rPr>
          <w:b/>
          <w:bCs/>
        </w:rPr>
        <w:t xml:space="preserve">constantexpression</w:t>
      </w:r>
      <w:r>
        <w:t xml:space="preserve">: Optional. The value assigned to the member. If omitted, the first member is 0, and subsequent members are incremented by 1.</w:t>
      </w:r>
    </w:p>
    <w:bookmarkEnd w:id="730"/>
    <w:bookmarkStart w:id="731" w:name="performance"/>
    <w:p>
      <w:pPr>
        <w:pStyle w:val="Heading2"/>
      </w:pPr>
      <w:r>
        <w:t xml:space="preserve">Performance</w:t>
      </w:r>
    </w:p>
    <w:p>
      <w:pPr>
        <w:pStyle w:val="FirstParagraph"/>
      </w:pPr>
      <w:r>
        <w:t xml:space="preserve">AxonASP compiles</w:t>
      </w:r>
      <w:r>
        <w:t xml:space="preserve"> </w:t>
      </w:r>
      <w:r>
        <w:rPr>
          <w:rStyle w:val="VerbatimChar"/>
        </w:rPr>
        <w:t xml:space="preserve">Enum</w:t>
      </w:r>
      <w:r>
        <w:t xml:space="preserve"> </w:t>
      </w:r>
      <w:r>
        <w:t xml:space="preserve">members directly into</w:t>
      </w:r>
      <w:r>
        <w:t xml:space="preserve"> </w:t>
      </w:r>
      <w:r>
        <w:rPr>
          <w:rStyle w:val="VerbatimChar"/>
        </w:rPr>
        <w:t xml:space="preserve">OpConstant</w:t>
      </w:r>
      <w:r>
        <w:t xml:space="preserve"> </w:t>
      </w:r>
      <w:r>
        <w:t xml:space="preserve">opcodes. The</w:t>
      </w:r>
      <w:r>
        <w:t xml:space="preserve"> </w:t>
      </w:r>
      <w:r>
        <w:rPr>
          <w:rStyle w:val="VerbatimChar"/>
        </w:rPr>
        <w:t xml:space="preserve">Enum</w:t>
      </w:r>
      <w:r>
        <w:t xml:space="preserve"> </w:t>
      </w:r>
      <w:r>
        <w:t xml:space="preserve">wrapper itself does not exist at runtime, ensuring zero-overhead for enumeration lookups.</w:t>
      </w:r>
    </w:p>
    <w:bookmarkEnd w:id="731"/>
    <w:bookmarkStart w:id="732" w:name="example-10"/>
    <w:p>
      <w:pPr>
        <w:pStyle w:val="Heading2"/>
      </w:pPr>
      <w:r>
        <w:t xml:space="preserve">Example</w:t>
      </w:r>
    </w:p>
    <w:p>
      <w:pPr>
        <w:pStyle w:val="SourceCode"/>
      </w:pPr>
      <w:r>
        <w:rPr>
          <w:rStyle w:val="VerbatimChar"/>
        </w:rPr>
        <w:t xml:space="preserve">Enum Colors</w:t>
      </w:r>
      <w:r>
        <w:br/>
      </w:r>
      <w:r>
        <w:rPr>
          <w:rStyle w:val="VerbatimChar"/>
        </w:rPr>
        <w:t xml:space="preserve">    Red      ' Value: 0</w:t>
      </w:r>
      <w:r>
        <w:br/>
      </w:r>
      <w:r>
        <w:rPr>
          <w:rStyle w:val="VerbatimChar"/>
        </w:rPr>
        <w:t xml:space="preserve">    Green    ' Value: 1</w:t>
      </w:r>
      <w:r>
        <w:br/>
      </w:r>
      <w:r>
        <w:rPr>
          <w:rStyle w:val="VerbatimChar"/>
        </w:rPr>
        <w:t xml:space="preserve">    Blue = 5 ' Value: 5</w:t>
      </w:r>
      <w:r>
        <w:br/>
      </w:r>
      <w:r>
        <w:rPr>
          <w:rStyle w:val="VerbatimChar"/>
        </w:rPr>
        <w:t xml:space="preserve">    Yellow   ' Value: 6</w:t>
      </w:r>
      <w:r>
        <w:br/>
      </w:r>
      <w:r>
        <w:rPr>
          <w:rStyle w:val="VerbatimChar"/>
        </w:rPr>
        <w:t xml:space="preserve">End Enum</w:t>
      </w:r>
      <w:r>
        <w:br/>
      </w:r>
      <w:r>
        <w:br/>
      </w:r>
      <w:r>
        <w:rPr>
          <w:rStyle w:val="VerbatimChar"/>
        </w:rPr>
        <w:t xml:space="preserve">Response.Write "The value of Green is: " &amp; Green</w:t>
      </w:r>
      <w:r>
        <w:br/>
      </w:r>
      <w:r>
        <w:rPr>
          <w:rStyle w:val="VerbatimChar"/>
        </w:rPr>
        <w:t xml:space="preserve">Response.Write "The value of Yellow is: " &amp; Yellow</w:t>
      </w:r>
    </w:p>
    <w:bookmarkEnd w:id="732"/>
    <w:bookmarkStart w:id="733" w:name="remarks-32"/>
    <w:p>
      <w:pPr>
        <w:pStyle w:val="Heading2"/>
      </w:pPr>
      <w:r>
        <w:t xml:space="preserve">Remarks</w:t>
      </w:r>
    </w:p>
    <w:p>
      <w:pPr>
        <w:pStyle w:val="Compact"/>
        <w:numPr>
          <w:ilvl w:val="0"/>
          <w:numId w:val="1214"/>
        </w:numPr>
      </w:pPr>
      <w:r>
        <w:t xml:space="preserve">Enumerations must be declared at the module level (outside of Sub or Function blocks).</w:t>
      </w:r>
    </w:p>
    <w:p>
      <w:pPr>
        <w:pStyle w:val="Compact"/>
        <w:numPr>
          <w:ilvl w:val="0"/>
          <w:numId w:val="1214"/>
        </w:numPr>
      </w:pPr>
      <w:r>
        <w:t xml:space="preserve">Enumeration members are global in scope within the script or application (if Public).</w:t>
      </w:r>
    </w:p>
    <w:p>
      <w:pPr>
        <w:pStyle w:val="Compact"/>
        <w:numPr>
          <w:ilvl w:val="0"/>
          <w:numId w:val="1214"/>
        </w:numPr>
      </w:pPr>
      <w:r>
        <w:t xml:space="preserve">AxonASP supports using previously declared constants or other enumeration members as</w:t>
      </w:r>
      <w:r>
        <w:t xml:space="preserve"> </w:t>
      </w:r>
      <w:r>
        <w:rPr>
          <w:rStyle w:val="VerbatimChar"/>
        </w:rPr>
        <w:t xml:space="preserve">constantexpression</w:t>
      </w:r>
      <w:r>
        <w:t xml:space="preserve">.</w:t>
      </w:r>
    </w:p>
    <w:bookmarkEnd w:id="733"/>
    <w:bookmarkEnd w:id="734"/>
    <w:bookmarkStart w:id="744" w:name="advanced-arrays-option-base"/>
    <w:p>
      <w:pPr>
        <w:pStyle w:val="Heading1"/>
      </w:pPr>
      <w:r>
        <w:t xml:space="preserve">Advanced Arrays &amp; Option Base</w:t>
      </w:r>
    </w:p>
    <w:p>
      <w:pPr>
        <w:pStyle w:val="FirstParagraph"/>
      </w:pPr>
      <w:r>
        <w:t xml:space="preserve">AxonASP now supports advanced array declarations from VB6, including non-zero lower bounds and the</w:t>
      </w:r>
      <w:r>
        <w:t xml:space="preserve"> </w:t>
      </w:r>
      <w:r>
        <w:rPr>
          <w:rStyle w:val="VerbatimChar"/>
        </w:rPr>
        <w:t xml:space="preserve">Option Base</w:t>
      </w:r>
      <w:r>
        <w:t xml:space="preserve"> </w:t>
      </w:r>
      <w:r>
        <w:t xml:space="preserve">directive.</w:t>
      </w:r>
    </w:p>
    <w:bookmarkStart w:id="737" w:name="non-zero-lower-bounds"/>
    <w:p>
      <w:pPr>
        <w:pStyle w:val="Heading2"/>
      </w:pPr>
      <w:r>
        <w:t xml:space="preserve">Non-Zero Lower Bounds</w:t>
      </w:r>
    </w:p>
    <w:p>
      <w:pPr>
        <w:pStyle w:val="FirstParagraph"/>
      </w:pPr>
      <w:r>
        <w:t xml:space="preserve">In Classic VBScript, arrays always start at index 0. AxonASP now supports the</w:t>
      </w:r>
      <w:r>
        <w:t xml:space="preserve"> </w:t>
      </w:r>
      <w:r>
        <w:rPr>
          <w:rStyle w:val="VerbatimChar"/>
        </w:rPr>
        <w:t xml:space="preserve">A To B</w:t>
      </w:r>
      <w:r>
        <w:t xml:space="preserve"> </w:t>
      </w:r>
      <w:r>
        <w:t xml:space="preserve">syntax to specify both the lower and upper bounds of an array dimension.</w:t>
      </w:r>
    </w:p>
    <w:bookmarkStart w:id="735" w:name="syntax-21"/>
    <w:p>
      <w:pPr>
        <w:pStyle w:val="Heading3"/>
      </w:pPr>
      <w:r>
        <w:t xml:space="preserve">Syntax</w:t>
      </w:r>
    </w:p>
    <w:p>
      <w:pPr>
        <w:pStyle w:val="SourceCode"/>
      </w:pPr>
      <w:r>
        <w:rPr>
          <w:rStyle w:val="VerbatimChar"/>
        </w:rPr>
        <w:t xml:space="preserve">Dim name(lower To upper)</w:t>
      </w:r>
    </w:p>
    <w:p>
      <w:pPr>
        <w:pStyle w:val="Compact"/>
        <w:numPr>
          <w:ilvl w:val="0"/>
          <w:numId w:val="1215"/>
        </w:numPr>
      </w:pPr>
      <w:r>
        <w:rPr>
          <w:b/>
          <w:bCs/>
        </w:rPr>
        <w:t xml:space="preserve">lower</w:t>
      </w:r>
      <w:r>
        <w:t xml:space="preserve">: The smallest index in the dimension.</w:t>
      </w:r>
    </w:p>
    <w:p>
      <w:pPr>
        <w:pStyle w:val="Compact"/>
        <w:numPr>
          <w:ilvl w:val="0"/>
          <w:numId w:val="1215"/>
        </w:numPr>
      </w:pPr>
      <w:r>
        <w:rPr>
          <w:b/>
          <w:bCs/>
        </w:rPr>
        <w:t xml:space="preserve">upper</w:t>
      </w:r>
      <w:r>
        <w:t xml:space="preserve">: The largest index in the dimension.</w:t>
      </w:r>
    </w:p>
    <w:bookmarkEnd w:id="735"/>
    <w:bookmarkStart w:id="736" w:name="example-11"/>
    <w:p>
      <w:pPr>
        <w:pStyle w:val="Heading3"/>
      </w:pPr>
      <w:r>
        <w:t xml:space="preserve">Example</w:t>
      </w:r>
    </w:p>
    <w:p>
      <w:pPr>
        <w:pStyle w:val="SourceCode"/>
      </w:pPr>
      <w:r>
        <w:rPr>
          <w:rStyle w:val="VerbatimChar"/>
        </w:rPr>
        <w:t xml:space="preserve">Dim years(2000 To 2025)</w:t>
      </w:r>
      <w:r>
        <w:br/>
      </w:r>
      <w:r>
        <w:rPr>
          <w:rStyle w:val="VerbatimChar"/>
        </w:rPr>
        <w:t xml:space="preserve">years(2000) = "Millennium"</w:t>
      </w:r>
      <w:r>
        <w:br/>
      </w:r>
      <w:r>
        <w:rPr>
          <w:rStyle w:val="VerbatimChar"/>
        </w:rPr>
        <w:t xml:space="preserve">years(2025) = "Future"</w:t>
      </w:r>
      <w:r>
        <w:br/>
      </w:r>
      <w:r>
        <w:br/>
      </w:r>
      <w:r>
        <w:rPr>
          <w:rStyle w:val="VerbatimChar"/>
        </w:rPr>
        <w:t xml:space="preserve">Response.Write "LBound: " &amp; LBound(years) ' Output: 2000</w:t>
      </w:r>
      <w:r>
        <w:br/>
      </w:r>
      <w:r>
        <w:rPr>
          <w:rStyle w:val="VerbatimChar"/>
        </w:rPr>
        <w:t xml:space="preserve">Response.Write "UBound: " &amp; UBound(years) ' Output: 2025</w:t>
      </w:r>
    </w:p>
    <w:bookmarkEnd w:id="736"/>
    <w:bookmarkEnd w:id="737"/>
    <w:bookmarkStart w:id="740" w:name="option-base"/>
    <w:p>
      <w:pPr>
        <w:pStyle w:val="Heading2"/>
      </w:pPr>
      <w:r>
        <w:t xml:space="preserve">Option Base</w:t>
      </w:r>
    </w:p>
    <w:p>
      <w:pPr>
        <w:pStyle w:val="FirstParagraph"/>
      </w:pPr>
      <w:r>
        <w:t xml:space="preserve">The</w:t>
      </w:r>
      <w:r>
        <w:t xml:space="preserve"> </w:t>
      </w:r>
      <w:r>
        <w:rPr>
          <w:rStyle w:val="VerbatimChar"/>
        </w:rPr>
        <w:t xml:space="preserve">Option Base</w:t>
      </w:r>
      <w:r>
        <w:t xml:space="preserve"> </w:t>
      </w:r>
      <w:r>
        <w:t xml:space="preserve">statement is used at the module level to declare the default lower bound for array subscripts.</w:t>
      </w:r>
    </w:p>
    <w:bookmarkStart w:id="738" w:name="syntax-22"/>
    <w:p>
      <w:pPr>
        <w:pStyle w:val="Heading3"/>
      </w:pPr>
      <w:r>
        <w:t xml:space="preserve">Syntax</w:t>
      </w:r>
    </w:p>
    <w:p>
      <w:pPr>
        <w:pStyle w:val="SourceCode"/>
      </w:pPr>
      <w:r>
        <w:rPr>
          <w:rStyle w:val="VerbatimChar"/>
        </w:rPr>
        <w:t xml:space="preserve">Option Base {0 | 1}</w:t>
      </w:r>
    </w:p>
    <w:p>
      <w:pPr>
        <w:pStyle w:val="Compact"/>
        <w:numPr>
          <w:ilvl w:val="0"/>
          <w:numId w:val="1216"/>
        </w:numPr>
      </w:pPr>
      <w:r>
        <w:rPr>
          <w:b/>
          <w:bCs/>
        </w:rPr>
        <w:t xml:space="preserve">0</w:t>
      </w:r>
      <w:r>
        <w:t xml:space="preserve">: (Default) Arrays start at index 0.</w:t>
      </w:r>
    </w:p>
    <w:p>
      <w:pPr>
        <w:pStyle w:val="Compact"/>
        <w:numPr>
          <w:ilvl w:val="0"/>
          <w:numId w:val="1216"/>
        </w:numPr>
      </w:pPr>
      <w:r>
        <w:rPr>
          <w:b/>
          <w:bCs/>
        </w:rPr>
        <w:t xml:space="preserve">1</w:t>
      </w:r>
      <w:r>
        <w:t xml:space="preserve">: Arrays start at index 1.</w:t>
      </w:r>
    </w:p>
    <w:bookmarkEnd w:id="738"/>
    <w:bookmarkStart w:id="739" w:name="example-12"/>
    <w:p>
      <w:pPr>
        <w:pStyle w:val="Heading3"/>
      </w:pPr>
      <w:r>
        <w:t xml:space="preserve">Example</w:t>
      </w:r>
    </w:p>
    <w:p>
      <w:pPr>
        <w:pStyle w:val="SourceCode"/>
      </w:pPr>
      <w:r>
        <w:rPr>
          <w:rStyle w:val="VerbatimChar"/>
        </w:rPr>
        <w:t xml:space="preserve">Option Base 1</w:t>
      </w:r>
      <w:r>
        <w:br/>
      </w:r>
      <w:r>
        <w:rPr>
          <w:rStyle w:val="VerbatimChar"/>
        </w:rPr>
        <w:t xml:space="preserve">Dim items(10) ' Equivalent to Dim items(1 To 10)</w:t>
      </w:r>
      <w:r>
        <w:br/>
      </w:r>
      <w:r>
        <w:br/>
      </w:r>
      <w:r>
        <w:rPr>
          <w:rStyle w:val="VerbatimChar"/>
        </w:rPr>
        <w:t xml:space="preserve">Response.Write "LBound: " &amp; LBound(items) ' Output: 1</w:t>
      </w:r>
    </w:p>
    <w:bookmarkEnd w:id="739"/>
    <w:bookmarkEnd w:id="740"/>
    <w:bookmarkStart w:id="742" w:name="redim-preserve-support"/>
    <w:p>
      <w:pPr>
        <w:pStyle w:val="Heading2"/>
      </w:pPr>
      <w:r>
        <w:t xml:space="preserve">ReDim Preserve Support</w:t>
      </w:r>
    </w:p>
    <w:p>
      <w:pPr>
        <w:pStyle w:val="FirstParagraph"/>
      </w:pPr>
      <w:r>
        <w:t xml:space="preserve">The</w:t>
      </w:r>
      <w:r>
        <w:t xml:space="preserve"> </w:t>
      </w:r>
      <w:r>
        <w:rPr>
          <w:rStyle w:val="VerbatimChar"/>
        </w:rPr>
        <w:t xml:space="preserve">ReDim Preserve</w:t>
      </w:r>
      <w:r>
        <w:t xml:space="preserve"> </w:t>
      </w:r>
      <w:r>
        <w:t xml:space="preserve">statement now respects lower bounds. However, as per VB6 rules, you can only resize the last dimension, and you cannot change its lower bound.</w:t>
      </w:r>
    </w:p>
    <w:bookmarkStart w:id="741" w:name="example-13"/>
    <w:p>
      <w:pPr>
        <w:pStyle w:val="Heading3"/>
      </w:pPr>
      <w:r>
        <w:t xml:space="preserve">Example</w:t>
      </w:r>
    </w:p>
    <w:p>
      <w:pPr>
        <w:pStyle w:val="SourceCode"/>
      </w:pPr>
      <w:r>
        <w:rPr>
          <w:rStyle w:val="VerbatimChar"/>
        </w:rPr>
        <w:t xml:space="preserve">Dim arr()</w:t>
      </w:r>
      <w:r>
        <w:br/>
      </w:r>
      <w:r>
        <w:rPr>
          <w:rStyle w:val="VerbatimChar"/>
        </w:rPr>
        <w:t xml:space="preserve">ReDim arr(1 To 10)</w:t>
      </w:r>
      <w:r>
        <w:br/>
      </w:r>
      <w:r>
        <w:rPr>
          <w:rStyle w:val="VerbatimChar"/>
        </w:rPr>
        <w:t xml:space="preserve">' ... some code ...</w:t>
      </w:r>
      <w:r>
        <w:br/>
      </w:r>
      <w:r>
        <w:rPr>
          <w:rStyle w:val="VerbatimChar"/>
        </w:rPr>
        <w:t xml:space="preserve">ReDim Preserve arr(1 To 20) ' Valid: resizing last dimension, same lower bound</w:t>
      </w:r>
    </w:p>
    <w:bookmarkEnd w:id="741"/>
    <w:bookmarkEnd w:id="742"/>
    <w:bookmarkStart w:id="743" w:name="performance-1"/>
    <w:p>
      <w:pPr>
        <w:pStyle w:val="Heading2"/>
      </w:pPr>
      <w:r>
        <w:t xml:space="preserve">Performance</w:t>
      </w:r>
    </w:p>
    <w:p>
      <w:pPr>
        <w:pStyle w:val="FirstParagraph"/>
      </w:pPr>
      <w:r>
        <w:t xml:space="preserve">AxonASP implements non-zero lower bounds with O(1) performance using an offset calculation (</w:t>
      </w:r>
      <w:r>
        <w:rPr>
          <w:rStyle w:val="VerbatimChar"/>
        </w:rPr>
        <w:t xml:space="preserve">index - lower</w:t>
      </w:r>
      <w:r>
        <w:t xml:space="preserve">). This mechanism is allocation-free and integrated into the VM’s core array opcodes.</w:t>
      </w:r>
    </w:p>
    <w:bookmarkEnd w:id="743"/>
    <w:bookmarkEnd w:id="744"/>
    <w:bookmarkStart w:id="752" w:name="static-variables-static"/>
    <w:p>
      <w:pPr>
        <w:pStyle w:val="Heading1"/>
      </w:pPr>
      <w:r>
        <w:t xml:space="preserve">Static Variables (Static)</w:t>
      </w:r>
    </w:p>
    <w:p>
      <w:pPr>
        <w:pStyle w:val="FirstParagraph"/>
      </w:pPr>
      <w:r>
        <w:t xml:space="preserve">The</w:t>
      </w:r>
      <w:r>
        <w:t xml:space="preserve"> </w:t>
      </w:r>
      <w:r>
        <w:rPr>
          <w:rStyle w:val="VerbatimChar"/>
        </w:rPr>
        <w:t xml:space="preserve">Static</w:t>
      </w:r>
      <w:r>
        <w:t xml:space="preserve"> </w:t>
      </w:r>
      <w:r>
        <w:t xml:space="preserve">statement is used at the procedure level to declare variables that retain their values between procedure calls.</w:t>
      </w:r>
    </w:p>
    <w:bookmarkStart w:id="745" w:name="syntax-23"/>
    <w:p>
      <w:pPr>
        <w:pStyle w:val="Heading2"/>
      </w:pPr>
      <w:r>
        <w:t xml:space="preserve">Syntax</w:t>
      </w:r>
    </w:p>
    <w:p>
      <w:pPr>
        <w:pStyle w:val="SourceCode"/>
      </w:pPr>
      <w:r>
        <w:rPr>
          <w:rStyle w:val="VerbatimChar"/>
        </w:rPr>
        <w:t xml:space="preserve">Static varname[([subscripts])] [As type][, varname[([subscripts])] [As type]] . . .</w:t>
      </w:r>
    </w:p>
    <w:p>
      <w:pPr>
        <w:pStyle w:val="Compact"/>
        <w:numPr>
          <w:ilvl w:val="0"/>
          <w:numId w:val="1217"/>
        </w:numPr>
      </w:pPr>
      <w:r>
        <w:rPr>
          <w:b/>
          <w:bCs/>
        </w:rPr>
        <w:t xml:space="preserve">varname</w:t>
      </w:r>
      <w:r>
        <w:t xml:space="preserve">: Required. Name of the variable.</w:t>
      </w:r>
    </w:p>
    <w:p>
      <w:pPr>
        <w:pStyle w:val="Compact"/>
        <w:numPr>
          <w:ilvl w:val="0"/>
          <w:numId w:val="1217"/>
        </w:numPr>
      </w:pPr>
      <w:r>
        <w:rPr>
          <w:b/>
          <w:bCs/>
        </w:rPr>
        <w:t xml:space="preserve">subscripts</w:t>
      </w:r>
      <w:r>
        <w:t xml:space="preserve">: Optional. Dimensions of an array variable.</w:t>
      </w:r>
    </w:p>
    <w:p>
      <w:pPr>
        <w:pStyle w:val="Compact"/>
        <w:numPr>
          <w:ilvl w:val="0"/>
          <w:numId w:val="1217"/>
        </w:numPr>
      </w:pPr>
      <w:r>
        <w:rPr>
          <w:b/>
          <w:bCs/>
        </w:rPr>
        <w:t xml:space="preserve">type</w:t>
      </w:r>
      <w:r>
        <w:t xml:space="preserve">: Optional. Data type of the variable (e.g., Integer, String, or a User-Defined Type).</w:t>
      </w:r>
    </w:p>
    <w:bookmarkEnd w:id="745"/>
    <w:bookmarkStart w:id="746" w:name="how-it-works-13"/>
    <w:p>
      <w:pPr>
        <w:pStyle w:val="Heading2"/>
      </w:pPr>
      <w:r>
        <w:t xml:space="preserve">How it Works</w:t>
      </w:r>
    </w:p>
    <w:p>
      <w:pPr>
        <w:pStyle w:val="FirstParagraph"/>
      </w:pPr>
      <w:r>
        <w:t xml:space="preserve">Unlike regular</w:t>
      </w:r>
      <w:r>
        <w:t xml:space="preserve"> </w:t>
      </w:r>
      <w:r>
        <w:rPr>
          <w:rStyle w:val="VerbatimChar"/>
        </w:rPr>
        <w:t xml:space="preserve">Dim</w:t>
      </w:r>
      <w:r>
        <w:t xml:space="preserve"> </w:t>
      </w:r>
      <w:r>
        <w:t xml:space="preserve">variables which are re-initialized every time a procedure is called,</w:t>
      </w:r>
      <w:r>
        <w:t xml:space="preserve"> </w:t>
      </w:r>
      <w:r>
        <w:rPr>
          <w:rStyle w:val="VerbatimChar"/>
        </w:rPr>
        <w:t xml:space="preserve">Static</w:t>
      </w:r>
      <w:r>
        <w:t xml:space="preserve"> </w:t>
      </w:r>
      <w:r>
        <w:t xml:space="preserve">variables are initialized only once (the first time the procedure is executed during a request) and preserve their values until the script finishes execution.</w:t>
      </w:r>
    </w:p>
    <w:p>
      <w:pPr>
        <w:pStyle w:val="BodyText"/>
      </w:pPr>
      <w:r>
        <w:t xml:space="preserve">In AxonASP,</w:t>
      </w:r>
      <w:r>
        <w:t xml:space="preserve"> </w:t>
      </w:r>
      <w:r>
        <w:rPr>
          <w:rStyle w:val="VerbatimChar"/>
        </w:rPr>
        <w:t xml:space="preserve">Static</w:t>
      </w:r>
      <w:r>
        <w:t xml:space="preserve"> </w:t>
      </w:r>
      <w:r>
        <w:t xml:space="preserve">variables are mapped to hidden global slots, ensuring they persist across calls within the same request while maintaining zero-allocation performance.</w:t>
      </w:r>
    </w:p>
    <w:bookmarkEnd w:id="746"/>
    <w:bookmarkStart w:id="747" w:name="performance-2"/>
    <w:p>
      <w:pPr>
        <w:pStyle w:val="Heading2"/>
      </w:pPr>
      <w:r>
        <w:t xml:space="preserve">Performance</w:t>
      </w:r>
    </w:p>
    <w:p>
      <w:pPr>
        <w:pStyle w:val="FirstParagraph"/>
      </w:pPr>
      <w:r>
        <w:t xml:space="preserve">AxonASP compiles</w:t>
      </w:r>
      <w:r>
        <w:t xml:space="preserve"> </w:t>
      </w:r>
      <w:r>
        <w:rPr>
          <w:rStyle w:val="VerbatimChar"/>
        </w:rPr>
        <w:t xml:space="preserve">Static</w:t>
      </w:r>
      <w:r>
        <w:t xml:space="preserve"> </w:t>
      </w:r>
      <w:r>
        <w:t xml:space="preserve">variable access directly to</w:t>
      </w:r>
      <w:r>
        <w:t xml:space="preserve"> </w:t>
      </w:r>
      <w:r>
        <w:rPr>
          <w:rStyle w:val="VerbatimChar"/>
        </w:rPr>
        <w:t xml:space="preserve">OpGetGlobal</w:t>
      </w:r>
      <w:r>
        <w:t xml:space="preserve"> </w:t>
      </w:r>
      <w:r>
        <w:t xml:space="preserve">and</w:t>
      </w:r>
      <w:r>
        <w:t xml:space="preserve"> </w:t>
      </w:r>
      <w:r>
        <w:rPr>
          <w:rStyle w:val="VerbatimChar"/>
        </w:rPr>
        <w:t xml:space="preserve">OpSetGlobal</w:t>
      </w:r>
      <w:r>
        <w:t xml:space="preserve"> </w:t>
      </w:r>
      <w:r>
        <w:t xml:space="preserve">using the mapped hidden slots. Initialization is guarded by a fast</w:t>
      </w:r>
      <w:r>
        <w:t xml:space="preserve"> </w:t>
      </w:r>
      <w:r>
        <w:rPr>
          <w:rStyle w:val="VerbatimChar"/>
        </w:rPr>
        <w:t xml:space="preserve">IsEmpty</w:t>
      </w:r>
      <w:r>
        <w:t xml:space="preserve"> </w:t>
      </w:r>
      <w:r>
        <w:t xml:space="preserve">check, ensuring it only runs once per request.</w:t>
      </w:r>
    </w:p>
    <w:bookmarkEnd w:id="747"/>
    <w:bookmarkStart w:id="750" w:name="example-14"/>
    <w:p>
      <w:pPr>
        <w:pStyle w:val="Heading2"/>
      </w:pPr>
      <w:r>
        <w:t xml:space="preserve">Example</w:t>
      </w:r>
    </w:p>
    <w:p>
      <w:pPr>
        <w:pStyle w:val="SourceCode"/>
      </w:pPr>
      <w:r>
        <w:rPr>
          <w:rStyle w:val="VerbatimChar"/>
        </w:rPr>
        <w:t xml:space="preserve">Function GetNextID()</w:t>
      </w:r>
      <w:r>
        <w:br/>
      </w:r>
      <w:r>
        <w:rPr>
          <w:rStyle w:val="VerbatimChar"/>
        </w:rPr>
        <w:t xml:space="preserve">    ' id will persist its value between calls</w:t>
      </w:r>
      <w:r>
        <w:br/>
      </w:r>
      <w:r>
        <w:rPr>
          <w:rStyle w:val="VerbatimChar"/>
        </w:rPr>
        <w:t xml:space="preserve">    Static id</w:t>
      </w:r>
      <w:r>
        <w:br/>
      </w:r>
      <w:r>
        <w:rPr>
          <w:rStyle w:val="VerbatimChar"/>
        </w:rPr>
        <w:t xml:space="preserve">    id = id + 1</w:t>
      </w:r>
      <w:r>
        <w:br/>
      </w:r>
      <w:r>
        <w:rPr>
          <w:rStyle w:val="VerbatimChar"/>
        </w:rPr>
        <w:t xml:space="preserve">    GetNextID = id</w:t>
      </w:r>
      <w:r>
        <w:br/>
      </w:r>
      <w:r>
        <w:rPr>
          <w:rStyle w:val="VerbatimChar"/>
        </w:rPr>
        <w:t xml:space="preserve">End Function</w:t>
      </w:r>
      <w:r>
        <w:br/>
      </w:r>
      <w:r>
        <w:br/>
      </w:r>
      <w:r>
        <w:rPr>
          <w:rStyle w:val="VerbatimChar"/>
        </w:rPr>
        <w:t xml:space="preserve">Response.Write GetNextID() ' Output: 1</w:t>
      </w:r>
      <w:r>
        <w:br/>
      </w:r>
      <w:r>
        <w:rPr>
          <w:rStyle w:val="VerbatimChar"/>
        </w:rPr>
        <w:t xml:space="preserve">Response.Write GetNextID() ' Output: 2</w:t>
      </w:r>
      <w:r>
        <w:br/>
      </w:r>
      <w:r>
        <w:rPr>
          <w:rStyle w:val="VerbatimChar"/>
        </w:rPr>
        <w:t xml:space="preserve">Response.Write GetNextID() ' Output: 3</w:t>
      </w:r>
    </w:p>
    <w:bookmarkStart w:id="748" w:name="with-static-arrays-and-types"/>
    <w:p>
      <w:pPr>
        <w:pStyle w:val="Heading3"/>
      </w:pPr>
      <w:r>
        <w:t xml:space="preserve">With Static Arrays and Types</w:t>
      </w:r>
    </w:p>
    <w:p>
      <w:pPr>
        <w:pStyle w:val="SourceCode"/>
      </w:pPr>
      <w:r>
        <w:rPr>
          <w:rStyle w:val="VerbatimChar"/>
        </w:rPr>
        <w:t xml:space="preserve">Sub LogMessage(msg)</w:t>
      </w:r>
      <w:r>
        <w:br/>
      </w:r>
      <w:r>
        <w:rPr>
          <w:rStyle w:val="VerbatimChar"/>
        </w:rPr>
        <w:t xml:space="preserve">    Static history(100)</w:t>
      </w:r>
      <w:r>
        <w:br/>
      </w:r>
      <w:r>
        <w:rPr>
          <w:rStyle w:val="VerbatimChar"/>
        </w:rPr>
        <w:t xml:space="preserve">    Static count As Integer</w:t>
      </w:r>
      <w:r>
        <w:br/>
      </w:r>
      <w:r>
        <w:rPr>
          <w:rStyle w:val="VerbatimChar"/>
        </w:rPr>
        <w:t xml:space="preserve">    </w:t>
      </w:r>
      <w:r>
        <w:br/>
      </w:r>
      <w:r>
        <w:rPr>
          <w:rStyle w:val="VerbatimChar"/>
        </w:rPr>
        <w:t xml:space="preserve">    If count &lt;= 100 Then</w:t>
      </w:r>
      <w:r>
        <w:br/>
      </w:r>
      <w:r>
        <w:rPr>
          <w:rStyle w:val="VerbatimChar"/>
        </w:rPr>
        <w:t xml:space="preserve">        history(count) = msg</w:t>
      </w:r>
      <w:r>
        <w:br/>
      </w:r>
      <w:r>
        <w:rPr>
          <w:rStyle w:val="VerbatimChar"/>
        </w:rPr>
        <w:t xml:space="preserve">        count = count + 1</w:t>
      </w:r>
      <w:r>
        <w:br/>
      </w:r>
      <w:r>
        <w:rPr>
          <w:rStyle w:val="VerbatimChar"/>
        </w:rPr>
        <w:t xml:space="preserve">    End If</w:t>
      </w:r>
      <w:r>
        <w:br/>
      </w:r>
      <w:r>
        <w:rPr>
          <w:rStyle w:val="VerbatimChar"/>
        </w:rPr>
        <w:t xml:space="preserve">End Sub</w:t>
      </w:r>
    </w:p>
    <w:bookmarkEnd w:id="748"/>
    <w:bookmarkStart w:id="749" w:name="with-object-references-singleton-pattern"/>
    <w:p>
      <w:pPr>
        <w:pStyle w:val="Heading3"/>
      </w:pPr>
      <w:r>
        <w:t xml:space="preserve">With Object References (Singleton Pattern)</w:t>
      </w:r>
    </w:p>
    <w:p>
      <w:pPr>
        <w:pStyle w:val="FirstParagraph"/>
      </w:pPr>
      <w:r>
        <w:rPr>
          <w:rStyle w:val="VerbatimChar"/>
        </w:rPr>
        <w:t xml:space="preserve">Static</w:t>
      </w:r>
      <w:r>
        <w:t xml:space="preserve"> </w:t>
      </w:r>
      <w:r>
        <w:t xml:space="preserve">variables can also hold object references assigned using the</w:t>
      </w:r>
      <w:r>
        <w:t xml:space="preserve"> </w:t>
      </w:r>
      <w:r>
        <w:rPr>
          <w:rStyle w:val="VerbatimChar"/>
        </w:rPr>
        <w:t xml:space="preserve">Set</w:t>
      </w:r>
      <w:r>
        <w:t xml:space="preserve"> </w:t>
      </w:r>
      <w:r>
        <w:t xml:space="preserve">statement. Upon the first procedure call, the variable starts in an uninitialized state that evaluates as</w:t>
      </w:r>
      <w:r>
        <w:t xml:space="preserve"> </w:t>
      </w:r>
      <w:r>
        <w:rPr>
          <w:rStyle w:val="VerbatimChar"/>
        </w:rPr>
        <w:t xml:space="preserve">True</w:t>
      </w:r>
      <w:r>
        <w:t xml:space="preserve"> </w:t>
      </w:r>
      <w:r>
        <w:t xml:space="preserve">when checked against</w:t>
      </w:r>
      <w:r>
        <w:t xml:space="preserve"> </w:t>
      </w:r>
      <w:r>
        <w:rPr>
          <w:rStyle w:val="VerbatimChar"/>
        </w:rPr>
        <w:t xml:space="preserve">Is Nothing</w:t>
      </w:r>
      <w:r>
        <w:t xml:space="preserve">. This behavior enables localized, lazy-initialized Singleton patterns:</w:t>
      </w:r>
    </w:p>
    <w:p>
      <w:pPr>
        <w:pStyle w:val="SourceCode"/>
      </w:pPr>
      <w:r>
        <w:rPr>
          <w:rStyle w:val="VerbatimChar"/>
        </w:rPr>
        <w:t xml:space="preserve">Class Singleton</w:t>
      </w:r>
      <w:r>
        <w:br/>
      </w:r>
      <w:r>
        <w:rPr>
          <w:rStyle w:val="VerbatimChar"/>
        </w:rPr>
        <w:t xml:space="preserve">    Public Name</w:t>
      </w:r>
      <w:r>
        <w:br/>
      </w:r>
      <w:r>
        <w:rPr>
          <w:rStyle w:val="VerbatimChar"/>
        </w:rPr>
        <w:t xml:space="preserve">    Private Sub Class_Initialize</w:t>
      </w:r>
      <w:r>
        <w:br/>
      </w:r>
      <w:r>
        <w:rPr>
          <w:rStyle w:val="VerbatimChar"/>
        </w:rPr>
        <w:t xml:space="preserve">        Name = "Shared Resource"</w:t>
      </w:r>
      <w:r>
        <w:br/>
      </w:r>
      <w:r>
        <w:rPr>
          <w:rStyle w:val="VerbatimChar"/>
        </w:rPr>
        <w:t xml:space="preserve">    End Sub</w:t>
      </w:r>
      <w:r>
        <w:br/>
      </w:r>
      <w:r>
        <w:rPr>
          <w:rStyle w:val="VerbatimChar"/>
        </w:rPr>
        <w:t xml:space="preserve">End Class</w:t>
      </w:r>
      <w:r>
        <w:br/>
      </w:r>
      <w:r>
        <w:br/>
      </w:r>
      <w:r>
        <w:rPr>
          <w:rStyle w:val="VerbatimChar"/>
        </w:rPr>
        <w:t xml:space="preserve">Function GetInstance()</w:t>
      </w:r>
      <w:r>
        <w:br/>
      </w:r>
      <w:r>
        <w:rPr>
          <w:rStyle w:val="VerbatimChar"/>
        </w:rPr>
        <w:t xml:space="preserve">    Static instance</w:t>
      </w:r>
      <w:r>
        <w:br/>
      </w:r>
      <w:r>
        <w:rPr>
          <w:rStyle w:val="VerbatimChar"/>
        </w:rPr>
        <w:t xml:space="preserve">    If instance Is Nothing Then</w:t>
      </w:r>
      <w:r>
        <w:br/>
      </w:r>
      <w:r>
        <w:rPr>
          <w:rStyle w:val="VerbatimChar"/>
        </w:rPr>
        <w:t xml:space="preserve">        Set instance = New Singleton</w:t>
      </w:r>
      <w:r>
        <w:br/>
      </w:r>
      <w:r>
        <w:rPr>
          <w:rStyle w:val="VerbatimChar"/>
        </w:rPr>
        <w:t xml:space="preserve">    End If</w:t>
      </w:r>
      <w:r>
        <w:br/>
      </w:r>
      <w:r>
        <w:rPr>
          <w:rStyle w:val="VerbatimChar"/>
        </w:rPr>
        <w:t xml:space="preserve">    Set GetInstance = instance</w:t>
      </w:r>
      <w:r>
        <w:br/>
      </w:r>
      <w:r>
        <w:rPr>
          <w:rStyle w:val="VerbatimChar"/>
        </w:rPr>
        <w:t xml:space="preserve">End Function</w:t>
      </w:r>
      <w:r>
        <w:br/>
      </w:r>
      <w:r>
        <w:br/>
      </w:r>
      <w:r>
        <w:rPr>
          <w:rStyle w:val="VerbatimChar"/>
        </w:rPr>
        <w:t xml:space="preserve">Dim s1, s2</w:t>
      </w:r>
      <w:r>
        <w:br/>
      </w:r>
      <w:r>
        <w:rPr>
          <w:rStyle w:val="VerbatimChar"/>
        </w:rPr>
        <w:t xml:space="preserve">Set s1 = GetInstance()</w:t>
      </w:r>
      <w:r>
        <w:br/>
      </w:r>
      <w:r>
        <w:rPr>
          <w:rStyle w:val="VerbatimChar"/>
        </w:rPr>
        <w:t xml:space="preserve">Set s2 = GetInstance()</w:t>
      </w:r>
      <w:r>
        <w:br/>
      </w:r>
      <w:r>
        <w:rPr>
          <w:rStyle w:val="VerbatimChar"/>
        </w:rPr>
        <w:t xml:space="preserve">' Both s1 and s2 point to the same Singleton instance</w:t>
      </w:r>
    </w:p>
    <w:bookmarkEnd w:id="749"/>
    <w:bookmarkEnd w:id="750"/>
    <w:bookmarkStart w:id="751" w:name="remarks-33"/>
    <w:p>
      <w:pPr>
        <w:pStyle w:val="Heading2"/>
      </w:pPr>
      <w:r>
        <w:t xml:space="preserve">Remarks</w:t>
      </w:r>
    </w:p>
    <w:p>
      <w:pPr>
        <w:pStyle w:val="Compact"/>
        <w:numPr>
          <w:ilvl w:val="0"/>
          <w:numId w:val="1218"/>
        </w:numPr>
      </w:pPr>
      <w:r>
        <w:rPr>
          <w:rStyle w:val="VerbatimChar"/>
        </w:rPr>
        <w:t xml:space="preserve">Static</w:t>
      </w:r>
      <w:r>
        <w:t xml:space="preserve"> </w:t>
      </w:r>
      <w:r>
        <w:t xml:space="preserve">variables are only valid within</w:t>
      </w:r>
      <w:r>
        <w:t xml:space="preserve"> </w:t>
      </w:r>
      <w:r>
        <w:rPr>
          <w:rStyle w:val="VerbatimChar"/>
        </w:rPr>
        <w:t xml:space="preserve">Sub</w:t>
      </w:r>
      <w:r>
        <w:t xml:space="preserve">,</w:t>
      </w:r>
      <w:r>
        <w:t xml:space="preserve"> </w:t>
      </w:r>
      <w:r>
        <w:rPr>
          <w:rStyle w:val="VerbatimChar"/>
        </w:rPr>
        <w:t xml:space="preserve">Function</w:t>
      </w:r>
      <w:r>
        <w:t xml:space="preserve">, or</w:t>
      </w:r>
      <w:r>
        <w:t xml:space="preserve"> </w:t>
      </w:r>
      <w:r>
        <w:rPr>
          <w:rStyle w:val="VerbatimChar"/>
        </w:rPr>
        <w:t xml:space="preserve">Property</w:t>
      </w:r>
      <w:r>
        <w:t xml:space="preserve"> </w:t>
      </w:r>
      <w:r>
        <w:t xml:space="preserve">blocks.</w:t>
      </w:r>
    </w:p>
    <w:p>
      <w:pPr>
        <w:pStyle w:val="Compact"/>
        <w:numPr>
          <w:ilvl w:val="0"/>
          <w:numId w:val="1218"/>
        </w:numPr>
      </w:pPr>
      <w:r>
        <w:t xml:space="preserve">In a</w:t>
      </w:r>
      <w:r>
        <w:t xml:space="preserve"> </w:t>
      </w:r>
      <w:r>
        <w:rPr>
          <w:rStyle w:val="VerbatimChar"/>
        </w:rPr>
        <w:t xml:space="preserve">Class</w:t>
      </w:r>
      <w:r>
        <w:t xml:space="preserve"> </w:t>
      </w:r>
      <w:r>
        <w:t xml:space="preserve">method,</w:t>
      </w:r>
      <w:r>
        <w:t xml:space="preserve"> </w:t>
      </w:r>
      <w:r>
        <w:rPr>
          <w:rStyle w:val="VerbatimChar"/>
        </w:rPr>
        <w:t xml:space="preserve">Static</w:t>
      </w:r>
      <w:r>
        <w:t xml:space="preserve"> </w:t>
      </w:r>
      <w:r>
        <w:t xml:space="preserve">variables are shared across all instances of that class within the same request.</w:t>
      </w:r>
    </w:p>
    <w:p>
      <w:pPr>
        <w:pStyle w:val="Compact"/>
        <w:numPr>
          <w:ilvl w:val="0"/>
          <w:numId w:val="1218"/>
        </w:numPr>
      </w:pPr>
      <w:r>
        <w:t xml:space="preserve">All</w:t>
      </w:r>
      <w:r>
        <w:t xml:space="preserve"> </w:t>
      </w:r>
      <w:r>
        <w:rPr>
          <w:rStyle w:val="VerbatimChar"/>
        </w:rPr>
        <w:t xml:space="preserve">Static</w:t>
      </w:r>
      <w:r>
        <w:t xml:space="preserve"> </w:t>
      </w:r>
      <w:r>
        <w:t xml:space="preserve">variables are cleared when the request ends, preventing state bleeding between different users or requests.</w:t>
      </w:r>
    </w:p>
    <w:bookmarkEnd w:id="751"/>
    <w:bookmarkEnd w:id="752"/>
    <w:bookmarkStart w:id="761" w:name="vb6-goto-and-absolute-jumps"/>
    <w:p>
      <w:pPr>
        <w:pStyle w:val="Heading1"/>
      </w:pPr>
      <w:r>
        <w:t xml:space="preserve">VB6 GoTo and Absolute Jumps</w:t>
      </w:r>
    </w:p>
    <w:bookmarkStart w:id="753" w:name="overview-46"/>
    <w:p>
      <w:pPr>
        <w:pStyle w:val="Heading2"/>
      </w:pPr>
      <w:r>
        <w:t xml:space="preserve">Overview</w:t>
      </w:r>
    </w:p>
    <w:p>
      <w:pPr>
        <w:pStyle w:val="FirstParagraph"/>
      </w:pPr>
      <w:r>
        <w:t xml:space="preserve">AxonASP modernizes Classic ASP by introducing support for VB6-style</w:t>
      </w:r>
      <w:r>
        <w:t xml:space="preserve"> </w:t>
      </w:r>
      <w:r>
        <w:rPr>
          <w:rStyle w:val="VerbatimChar"/>
        </w:rPr>
        <w:t xml:space="preserve">GoTo</w:t>
      </w:r>
      <w:r>
        <w:t xml:space="preserve"> </w:t>
      </w:r>
      <w:r>
        <w:t xml:space="preserve">statements and line labels. This allows for absolute execution flow control within procedures, enabling patterns such as structured error handling or legacy code migration from Visual Basic 6.0.</w:t>
      </w:r>
    </w:p>
    <w:bookmarkEnd w:id="753"/>
    <w:bookmarkStart w:id="755" w:name="labels"/>
    <w:p>
      <w:pPr>
        <w:pStyle w:val="Heading2"/>
      </w:pPr>
      <w:r>
        <w:t xml:space="preserve">Labels</w:t>
      </w:r>
    </w:p>
    <w:p>
      <w:pPr>
        <w:pStyle w:val="FirstParagraph"/>
      </w:pPr>
      <w:r>
        <w:t xml:space="preserve">A label identifies a specific location in your code that can be targeted by a</w:t>
      </w:r>
      <w:r>
        <w:t xml:space="preserve"> </w:t>
      </w:r>
      <w:r>
        <w:rPr>
          <w:rStyle w:val="VerbatimChar"/>
        </w:rPr>
        <w:t xml:space="preserve">GoTo</w:t>
      </w:r>
      <w:r>
        <w:t xml:space="preserve"> </w:t>
      </w:r>
      <w:r>
        <w:t xml:space="preserve">statement. Labels can be identifiers followed by a colon or numeric line numbers.</w:t>
      </w:r>
    </w:p>
    <w:bookmarkStart w:id="754" w:name="identifier-labels"/>
    <w:p>
      <w:pPr>
        <w:pStyle w:val="Heading3"/>
      </w:pPr>
      <w:r>
        <w:t xml:space="preserve">Identifier Labels</w:t>
      </w:r>
    </w:p>
    <w:p>
      <w:pPr>
        <w:pStyle w:val="FirstParagraph"/>
      </w:pPr>
      <w:r>
        <w:t xml:space="preserve">An identifier label consists of a name followed immediately by a colon (</w:t>
      </w:r>
      <w:r>
        <w:rPr>
          <w:rStyle w:val="VerbatimChar"/>
        </w:rPr>
        <w:t xml:space="preserve">:</w:t>
      </w:r>
      <w:r>
        <w:t xml:space="preserve">).</w:t>
      </w:r>
    </w:p>
    <w:p>
      <w:pPr>
        <w:pStyle w:val="SourceCode"/>
      </w:pPr>
      <w:r>
        <w:rPr>
          <w:rStyle w:val="VerbatimChar"/>
        </w:rPr>
        <w:t xml:space="preserve">Sub Test()</w:t>
      </w:r>
      <w:r>
        <w:br/>
      </w:r>
      <w:r>
        <w:rPr>
          <w:rStyle w:val="VerbatimChar"/>
        </w:rPr>
        <w:t xml:space="preserve">    Response.Write "Step 1"</w:t>
      </w:r>
      <w:r>
        <w:br/>
      </w:r>
      <w:r>
        <w:rPr>
          <w:rStyle w:val="VerbatimChar"/>
        </w:rPr>
        <w:t xml:space="preserve">    GoTo FinalStep</w:t>
      </w:r>
      <w:r>
        <w:br/>
      </w:r>
      <w:r>
        <w:rPr>
          <w:rStyle w:val="VerbatimChar"/>
        </w:rPr>
        <w:t xml:space="preserve">    </w:t>
      </w:r>
      <w:r>
        <w:br/>
      </w:r>
      <w:r>
        <w:rPr>
          <w:rStyle w:val="VerbatimChar"/>
        </w:rPr>
        <w:t xml:space="preserve">    Response.Write "This will be skipped"</w:t>
      </w:r>
      <w:r>
        <w:br/>
      </w:r>
      <w:r>
        <w:rPr>
          <w:rStyle w:val="VerbatimChar"/>
        </w:rPr>
        <w:t xml:space="preserve">    </w:t>
      </w:r>
      <w:r>
        <w:br/>
      </w:r>
      <w:r>
        <w:rPr>
          <w:rStyle w:val="VerbatimChar"/>
        </w:rPr>
        <w:t xml:space="preserve">FinalStep:</w:t>
      </w:r>
      <w:r>
        <w:br/>
      </w:r>
      <w:r>
        <w:rPr>
          <w:rStyle w:val="VerbatimChar"/>
        </w:rPr>
        <w:t xml:space="preserve">    Response.Write "Step 2"</w:t>
      </w:r>
      <w:r>
        <w:br/>
      </w:r>
      <w:r>
        <w:rPr>
          <w:rStyle w:val="VerbatimChar"/>
        </w:rPr>
        <w:t xml:space="preserve">End Sub</w:t>
      </w:r>
    </w:p>
    <w:bookmarkEnd w:id="754"/>
    <w:bookmarkEnd w:id="755"/>
    <w:bookmarkStart w:id="758" w:name="goto-statement"/>
    <w:p>
      <w:pPr>
        <w:pStyle w:val="Heading2"/>
      </w:pPr>
      <w:r>
        <w:t xml:space="preserve">GoTo Statement</w:t>
      </w:r>
    </w:p>
    <w:p>
      <w:pPr>
        <w:pStyle w:val="FirstParagraph"/>
      </w:pPr>
      <w:r>
        <w:t xml:space="preserve">The</w:t>
      </w:r>
      <w:r>
        <w:t xml:space="preserve"> </w:t>
      </w:r>
      <w:r>
        <w:rPr>
          <w:rStyle w:val="VerbatimChar"/>
        </w:rPr>
        <w:t xml:space="preserve">GoTo</w:t>
      </w:r>
      <w:r>
        <w:t xml:space="preserve"> </w:t>
      </w:r>
      <w:r>
        <w:t xml:space="preserve">statement unconditionally transfers execution to the specified label or line number within the</w:t>
      </w:r>
      <w:r>
        <w:t xml:space="preserve"> </w:t>
      </w:r>
      <w:r>
        <w:rPr>
          <w:b/>
          <w:bCs/>
        </w:rPr>
        <w:t xml:space="preserve">same procedure</w:t>
      </w:r>
      <w:r>
        <w:t xml:space="preserve">.</w:t>
      </w:r>
    </w:p>
    <w:bookmarkStart w:id="756" w:name="syntax-24"/>
    <w:p>
      <w:pPr>
        <w:pStyle w:val="Heading3"/>
      </w:pPr>
      <w:r>
        <w:t xml:space="preserve">Syntax</w:t>
      </w:r>
    </w:p>
    <w:p>
      <w:pPr>
        <w:pStyle w:val="SourceCode"/>
      </w:pPr>
      <w:r>
        <w:rPr>
          <w:rStyle w:val="VerbatimChar"/>
        </w:rPr>
        <w:t xml:space="preserve">GoTo label</w:t>
      </w:r>
    </w:p>
    <w:bookmarkEnd w:id="756"/>
    <w:bookmarkStart w:id="757" w:name="constraints"/>
    <w:p>
      <w:pPr>
        <w:pStyle w:val="Heading3"/>
      </w:pPr>
      <w:r>
        <w:t xml:space="preserve">Constraints</w:t>
      </w:r>
    </w:p>
    <w:p>
      <w:pPr>
        <w:pStyle w:val="Compact"/>
        <w:numPr>
          <w:ilvl w:val="0"/>
          <w:numId w:val="1219"/>
        </w:numPr>
      </w:pPr>
      <w:r>
        <w:rPr>
          <w:b/>
          <w:bCs/>
        </w:rPr>
        <w:t xml:space="preserve">Procedure Scoping</w:t>
      </w:r>
      <w:r>
        <w:t xml:space="preserve">:</w:t>
      </w:r>
      <w:r>
        <w:t xml:space="preserve"> </w:t>
      </w:r>
      <w:r>
        <w:rPr>
          <w:rStyle w:val="VerbatimChar"/>
        </w:rPr>
        <w:t xml:space="preserve">GoTo</w:t>
      </w:r>
      <w:r>
        <w:t xml:space="preserve"> </w:t>
      </w:r>
      <w:r>
        <w:t xml:space="preserve">can only jump to labels defined within the current Sub, Function, or Property. Jumps across procedure boundaries are strictly prohibited and will result in a compile-time error.</w:t>
      </w:r>
    </w:p>
    <w:p>
      <w:pPr>
        <w:pStyle w:val="Compact"/>
        <w:numPr>
          <w:ilvl w:val="0"/>
          <w:numId w:val="1219"/>
        </w:numPr>
      </w:pPr>
      <w:r>
        <w:rPr>
          <w:b/>
          <w:bCs/>
        </w:rPr>
        <w:t xml:space="preserve">Single-Pass Compilation</w:t>
      </w:r>
      <w:r>
        <w:t xml:space="preserve">: AxonASP’s compiler handles forward references automatically. You can jump to a label defined later in the same procedure.</w:t>
      </w:r>
    </w:p>
    <w:bookmarkEnd w:id="757"/>
    <w:bookmarkEnd w:id="758"/>
    <w:bookmarkStart w:id="759" w:name="forward-and-backward-jumps"/>
    <w:p>
      <w:pPr>
        <w:pStyle w:val="Heading2"/>
      </w:pPr>
      <w:r>
        <w:t xml:space="preserve">Forward and Backward Jumps</w:t>
      </w:r>
    </w:p>
    <w:p>
      <w:pPr>
        <w:pStyle w:val="FirstParagraph"/>
      </w:pPr>
      <w:r>
        <w:t xml:space="preserve">AxonASP supports both forward jumps (skipping code) and backward jumps (creating custom loops).</w:t>
      </w:r>
    </w:p>
    <w:p>
      <w:pPr>
        <w:pStyle w:val="SourceCode"/>
      </w:pPr>
      <w:r>
        <w:rPr>
          <w:rStyle w:val="VerbatimChar"/>
        </w:rPr>
        <w:t xml:space="preserve">Dim count</w:t>
      </w:r>
      <w:r>
        <w:br/>
      </w:r>
      <w:r>
        <w:rPr>
          <w:rStyle w:val="VerbatimChar"/>
        </w:rPr>
        <w:t xml:space="preserve">count = 1</w:t>
      </w:r>
      <w:r>
        <w:br/>
      </w:r>
      <w:r>
        <w:br/>
      </w:r>
      <w:r>
        <w:rPr>
          <w:rStyle w:val="VerbatimChar"/>
        </w:rPr>
        <w:t xml:space="preserve">StartLoop:</w:t>
      </w:r>
      <w:r>
        <w:br/>
      </w:r>
      <w:r>
        <w:rPr>
          <w:rStyle w:val="VerbatimChar"/>
        </w:rPr>
        <w:t xml:space="preserve">Response.Write count &amp; " "</w:t>
      </w:r>
      <w:r>
        <w:br/>
      </w:r>
      <w:r>
        <w:rPr>
          <w:rStyle w:val="VerbatimChar"/>
        </w:rPr>
        <w:t xml:space="preserve">count = count + 1</w:t>
      </w:r>
      <w:r>
        <w:br/>
      </w:r>
      <w:r>
        <w:rPr>
          <w:rStyle w:val="VerbatimChar"/>
        </w:rPr>
        <w:t xml:space="preserve">If count &lt;= 5 Then GoTo StartLoop</w:t>
      </w:r>
      <w:r>
        <w:br/>
      </w:r>
      <w:r>
        <w:br/>
      </w:r>
      <w:r>
        <w:rPr>
          <w:rStyle w:val="VerbatimChar"/>
        </w:rPr>
        <w:t xml:space="preserve">' Output: 1 2 3 4 5 </w:t>
      </w:r>
    </w:p>
    <w:bookmarkEnd w:id="759"/>
    <w:bookmarkStart w:id="760" w:name="best-practices-2"/>
    <w:p>
      <w:pPr>
        <w:pStyle w:val="Heading2"/>
      </w:pPr>
      <w:r>
        <w:t xml:space="preserve">Best Practices</w:t>
      </w:r>
    </w:p>
    <w:p>
      <w:pPr>
        <w:pStyle w:val="FirstParagraph"/>
      </w:pPr>
      <w:r>
        <w:t xml:space="preserve">While</w:t>
      </w:r>
      <w:r>
        <w:t xml:space="preserve"> </w:t>
      </w:r>
      <w:r>
        <w:rPr>
          <w:rStyle w:val="VerbatimChar"/>
        </w:rPr>
        <w:t xml:space="preserve">GoTo</w:t>
      </w:r>
      <w:r>
        <w:t xml:space="preserve"> </w:t>
      </w:r>
      <w:r>
        <w:t xml:space="preserve">is a powerful tool for compatibility and specific patterns, modern structured control flow (</w:t>
      </w:r>
      <w:r>
        <w:rPr>
          <w:rStyle w:val="VerbatimChar"/>
        </w:rPr>
        <w:t xml:space="preserve">If...Then...Else</w:t>
      </w:r>
      <w:r>
        <w:t xml:space="preserve">,</w:t>
      </w:r>
      <w:r>
        <w:t xml:space="preserve"> </w:t>
      </w:r>
      <w:r>
        <w:rPr>
          <w:rStyle w:val="VerbatimChar"/>
        </w:rPr>
        <w:t xml:space="preserve">For...Next</w:t>
      </w:r>
      <w:r>
        <w:t xml:space="preserve">,</w:t>
      </w:r>
      <w:r>
        <w:t xml:space="preserve"> </w:t>
      </w:r>
      <w:r>
        <w:rPr>
          <w:rStyle w:val="VerbatimChar"/>
        </w:rPr>
        <w:t xml:space="preserve">Do...Loop</w:t>
      </w:r>
      <w:r>
        <w:t xml:space="preserve">) is generally preferred for readability and maintainability. Use</w:t>
      </w:r>
      <w:r>
        <w:t xml:space="preserve"> </w:t>
      </w:r>
      <w:r>
        <w:rPr>
          <w:rStyle w:val="VerbatimChar"/>
        </w:rPr>
        <w:t xml:space="preserve">GoTo</w:t>
      </w:r>
      <w:r>
        <w:t xml:space="preserve"> </w:t>
      </w:r>
      <w:r>
        <w:t xml:space="preserve">judiciously, primarily for:</w:t>
      </w:r>
      <w:r>
        <w:t xml:space="preserve"> </w:t>
      </w:r>
      <w:r>
        <w:t xml:space="preserve">1. Migrating legacy VB6 codebases.</w:t>
      </w:r>
      <w:r>
        <w:t xml:space="preserve"> </w:t>
      </w:r>
      <w:r>
        <w:t xml:space="preserve">2. Implementing complex error handling logic where</w:t>
      </w:r>
      <w:r>
        <w:t xml:space="preserve"> </w:t>
      </w:r>
      <w:r>
        <w:rPr>
          <w:rStyle w:val="VerbatimChar"/>
        </w:rPr>
        <w:t xml:space="preserve">On Error Resume Next</w:t>
      </w:r>
      <w:r>
        <w:t xml:space="preserve"> </w:t>
      </w:r>
      <w:r>
        <w:t xml:space="preserve">is insufficient.</w:t>
      </w:r>
      <w:r>
        <w:t xml:space="preserve"> </w:t>
      </w:r>
      <w:r>
        <w:t xml:space="preserve">3. Optimizing performance-critical state machines.</w:t>
      </w:r>
    </w:p>
    <w:bookmarkEnd w:id="760"/>
    <w:bookmarkEnd w:id="761"/>
    <w:bookmarkStart w:id="768" w:name="X013e8af437981d0ea944a16e8e7a12cebbac41f"/>
    <w:p>
      <w:pPr>
        <w:pStyle w:val="Heading1"/>
      </w:pPr>
      <w:r>
        <w:t xml:space="preserve">Define and Use VB6 User-Defined Types in ASP</w:t>
      </w:r>
    </w:p>
    <w:bookmarkStart w:id="762" w:name="overview-47"/>
    <w:p>
      <w:pPr>
        <w:pStyle w:val="Heading2"/>
      </w:pPr>
      <w:r>
        <w:t xml:space="preserve">Overview</w:t>
      </w:r>
    </w:p>
    <w:p>
      <w:pPr>
        <w:pStyle w:val="FirstParagraph"/>
      </w:pPr>
      <w:r>
        <w:t xml:space="preserve">This page documents the AxonASP VB6 modernization support for User-Defined Types (UDT) declared with Type…End Type. It explains declaration, typed allocation with Dim … As</w:t>
      </w:r>
      <w:r>
        <w:t xml:space="preserve"> </w:t>
      </w:r>
      <w:r>
        <w:t xml:space="preserve">, field access, and field assignment while preserving legacy ASP VBScript behavior for untyped Variant variables.</w:t>
      </w:r>
    </w:p>
    <w:bookmarkEnd w:id="762"/>
    <w:bookmarkStart w:id="763" w:name="syntax-25"/>
    <w:p>
      <w:pPr>
        <w:pStyle w:val="Heading2"/>
      </w:pPr>
      <w:r>
        <w:t xml:space="preserve">Syntax</w:t>
      </w:r>
    </w:p>
    <w:p>
      <w:pPr>
        <w:pStyle w:val="SourceCode"/>
      </w:pPr>
      <w:r>
        <w:rPr>
          <w:rStyle w:val="VerbatimChar"/>
        </w:rPr>
        <w:t xml:space="preserve">Type TypeName</w:t>
      </w:r>
      <w:r>
        <w:br/>
      </w:r>
      <w:r>
        <w:rPr>
          <w:rStyle w:val="VerbatimChar"/>
        </w:rPr>
        <w:t xml:space="preserve">    MemberName [As MemberType]</w:t>
      </w:r>
      <w:r>
        <w:br/>
      </w:r>
      <w:r>
        <w:rPr>
          <w:rStyle w:val="VerbatimChar"/>
        </w:rPr>
        <w:t xml:space="preserve">    MemberName2 [As MemberType]</w:t>
      </w:r>
      <w:r>
        <w:br/>
      </w:r>
      <w:r>
        <w:rPr>
          <w:rStyle w:val="VerbatimChar"/>
        </w:rPr>
        <w:t xml:space="preserve">End Type</w:t>
      </w:r>
      <w:r>
        <w:br/>
      </w:r>
      <w:r>
        <w:br/>
      </w:r>
      <w:r>
        <w:rPr>
          <w:rStyle w:val="VerbatimChar"/>
        </w:rPr>
        <w:t xml:space="preserve">Dim variableName As TypeName</w:t>
      </w:r>
      <w:r>
        <w:br/>
      </w:r>
      <w:r>
        <w:br/>
      </w:r>
      <w:r>
        <w:rPr>
          <w:rStyle w:val="VerbatimChar"/>
        </w:rPr>
        <w:t xml:space="preserve">variableName.MemberName = expression</w:t>
      </w:r>
      <w:r>
        <w:br/>
      </w:r>
      <w:r>
        <w:rPr>
          <w:rStyle w:val="VerbatimChar"/>
        </w:rPr>
        <w:t xml:space="preserve">result = variableName.MemberName</w:t>
      </w:r>
    </w:p>
    <w:bookmarkEnd w:id="763"/>
    <w:bookmarkStart w:id="764" w:name="parameters-and-arguments-9"/>
    <w:p>
      <w:pPr>
        <w:pStyle w:val="Heading2"/>
      </w:pPr>
      <w:r>
        <w:t xml:space="preserve">Parameters and Arguments</w:t>
      </w:r>
    </w:p>
    <w:p>
      <w:pPr>
        <w:pStyle w:val="Compact"/>
        <w:numPr>
          <w:ilvl w:val="0"/>
          <w:numId w:val="1220"/>
        </w:numPr>
      </w:pPr>
      <w:r>
        <w:t xml:space="preserve">TypeName: Required. Name of the UDT declaration. The name is case-insensitive.</w:t>
      </w:r>
    </w:p>
    <w:p>
      <w:pPr>
        <w:pStyle w:val="Compact"/>
        <w:numPr>
          <w:ilvl w:val="0"/>
          <w:numId w:val="1220"/>
        </w:numPr>
      </w:pPr>
      <w:r>
        <w:t xml:space="preserve">MemberName: Required. Name of one field in the UDT layout. The name is case-insensitive.</w:t>
      </w:r>
    </w:p>
    <w:p>
      <w:pPr>
        <w:pStyle w:val="Compact"/>
        <w:numPr>
          <w:ilvl w:val="0"/>
          <w:numId w:val="1220"/>
        </w:numPr>
      </w:pPr>
      <w:r>
        <w:t xml:space="preserve">MemberType: Optional. Built-in VB6 supported types include Integer, Long, Single, Double, String, Boolean, Byte, Object, Variant, or another declared UDT name.</w:t>
      </w:r>
    </w:p>
    <w:p>
      <w:pPr>
        <w:pStyle w:val="Compact"/>
        <w:numPr>
          <w:ilvl w:val="0"/>
          <w:numId w:val="1220"/>
        </w:numPr>
      </w:pPr>
      <w:r>
        <w:t xml:space="preserve">variableName: Required. Variable declared with Dim … As TypeName to allocate one UDT record instance.</w:t>
      </w:r>
    </w:p>
    <w:p>
      <w:pPr>
        <w:pStyle w:val="Compact"/>
        <w:numPr>
          <w:ilvl w:val="0"/>
          <w:numId w:val="1220"/>
        </w:numPr>
      </w:pPr>
      <w:r>
        <w:t xml:space="preserve">expression: Required for assignment statements. Value assigned to a UDT field.</w:t>
      </w:r>
    </w:p>
    <w:bookmarkEnd w:id="764"/>
    <w:bookmarkStart w:id="765" w:name="return-values-8"/>
    <w:p>
      <w:pPr>
        <w:pStyle w:val="Heading2"/>
      </w:pPr>
      <w:r>
        <w:t xml:space="preserve">Return Values</w:t>
      </w:r>
    </w:p>
    <w:p>
      <w:pPr>
        <w:pStyle w:val="Compact"/>
        <w:numPr>
          <w:ilvl w:val="0"/>
          <w:numId w:val="1221"/>
        </w:numPr>
      </w:pPr>
      <w:r>
        <w:t xml:space="preserve">Type…End Type declaration: Returns no value. It registers one compile-time UDT layout.</w:t>
      </w:r>
    </w:p>
    <w:p>
      <w:pPr>
        <w:pStyle w:val="Compact"/>
        <w:numPr>
          <w:ilvl w:val="0"/>
          <w:numId w:val="1221"/>
        </w:numPr>
      </w:pPr>
      <w:r>
        <w:t xml:space="preserve">Dim variableName As TypeName: Returns no value. It allocates one UDT record in the typed variable slot.</w:t>
      </w:r>
    </w:p>
    <w:p>
      <w:pPr>
        <w:pStyle w:val="Compact"/>
        <w:numPr>
          <w:ilvl w:val="0"/>
          <w:numId w:val="1221"/>
        </w:numPr>
      </w:pPr>
      <w:r>
        <w:t xml:space="preserve">variableName.MemberName read: Returns the current value stored in the field.</w:t>
      </w:r>
    </w:p>
    <w:p>
      <w:pPr>
        <w:pStyle w:val="Compact"/>
        <w:numPr>
          <w:ilvl w:val="0"/>
          <w:numId w:val="1221"/>
        </w:numPr>
      </w:pPr>
      <w:r>
        <w:t xml:space="preserve">variableName.MemberName write: Returns no value. It updates the target field in place.</w:t>
      </w:r>
    </w:p>
    <w:bookmarkEnd w:id="765"/>
    <w:bookmarkStart w:id="766" w:name="remarks-34"/>
    <w:p>
      <w:pPr>
        <w:pStyle w:val="Heading2"/>
      </w:pPr>
      <w:r>
        <w:t xml:space="preserve">Remarks</w:t>
      </w:r>
    </w:p>
    <w:p>
      <w:pPr>
        <w:pStyle w:val="Compact"/>
        <w:numPr>
          <w:ilvl w:val="0"/>
          <w:numId w:val="1222"/>
        </w:numPr>
      </w:pPr>
      <w:r>
        <w:t xml:space="preserve">UDT declarations are global-scope declarations.</w:t>
      </w:r>
    </w:p>
    <w:p>
      <w:pPr>
        <w:pStyle w:val="Compact"/>
        <w:numPr>
          <w:ilvl w:val="0"/>
          <w:numId w:val="1222"/>
        </w:numPr>
      </w:pPr>
      <w:r>
        <w:t xml:space="preserve">AxonASP stores UDTs as VTRecord values and executes member operations with fixed-index opcodes for fast access.</w:t>
      </w:r>
    </w:p>
    <w:p>
      <w:pPr>
        <w:pStyle w:val="Compact"/>
        <w:numPr>
          <w:ilvl w:val="0"/>
          <w:numId w:val="1222"/>
        </w:numPr>
      </w:pPr>
      <w:r>
        <w:t xml:space="preserve">Member reads use OpGetRecordMember and member writes use OpSetRecordMember.</w:t>
      </w:r>
    </w:p>
    <w:p>
      <w:pPr>
        <w:pStyle w:val="Compact"/>
        <w:numPr>
          <w:ilvl w:val="0"/>
          <w:numId w:val="1222"/>
        </w:numPr>
      </w:pPr>
      <w:r>
        <w:t xml:space="preserve">Record allocation uses OpInitRecord when a typed variable is declared as a UDT.</w:t>
      </w:r>
    </w:p>
    <w:p>
      <w:pPr>
        <w:pStyle w:val="Compact"/>
        <w:numPr>
          <w:ilvl w:val="0"/>
          <w:numId w:val="1222"/>
        </w:numPr>
      </w:pPr>
      <w:r>
        <w:t xml:space="preserve">Legacy ASP compatibility is preserved: untyped Dim variable declarations still behave as Variant.</w:t>
      </w:r>
    </w:p>
    <w:p>
      <w:pPr>
        <w:pStyle w:val="Compact"/>
        <w:numPr>
          <w:ilvl w:val="0"/>
          <w:numId w:val="1222"/>
        </w:numPr>
      </w:pPr>
      <w:r>
        <w:t xml:space="preserve">Type names and member names are resolved case-insensitively.</w:t>
      </w:r>
    </w:p>
    <w:p>
      <w:pPr>
        <w:pStyle w:val="Compact"/>
        <w:numPr>
          <w:ilvl w:val="0"/>
          <w:numId w:val="1222"/>
        </w:numPr>
      </w:pPr>
      <w:r>
        <w:t xml:space="preserve">Nested UDT fields are supported when a member is declared as another UDT.</w:t>
      </w:r>
    </w:p>
    <w:bookmarkEnd w:id="766"/>
    <w:bookmarkStart w:id="767" w:name="code-example-21"/>
    <w:p>
      <w:pPr>
        <w:pStyle w:val="Heading2"/>
      </w:pPr>
      <w:r>
        <w:t xml:space="preserve">Code Example</w:t>
      </w:r>
    </w:p>
    <w:p>
      <w:pPr>
        <w:pStyle w:val="SourceCode"/>
      </w:pPr>
      <w:r>
        <w:rPr>
          <w:rStyle w:val="DataTypeTok"/>
        </w:rPr>
        <w:t xml:space="preserve">&lt;%</w:t>
      </w:r>
      <w:r>
        <w:br/>
      </w:r>
      <w:r>
        <w:rPr>
          <w:rStyle w:val="NormalTok"/>
        </w:rPr>
        <w:t xml:space="preserve">Type Address</w:t>
      </w:r>
      <w:r>
        <w:br/>
      </w:r>
      <w:r>
        <w:rPr>
          <w:rStyle w:val="NormalTok"/>
        </w:rPr>
        <w:t xml:space="preserve">    City As </w:t>
      </w:r>
      <w:r>
        <w:rPr>
          <w:rStyle w:val="FunctionTok"/>
        </w:rPr>
        <w:t xml:space="preserve">String</w:t>
      </w:r>
      <w:r>
        <w:br/>
      </w:r>
      <w:r>
        <w:rPr>
          <w:rStyle w:val="FunctionTok"/>
        </w:rPr>
        <w:t xml:space="preserve">End</w:t>
      </w:r>
      <w:r>
        <w:rPr>
          <w:rStyle w:val="NormalTok"/>
        </w:rPr>
        <w:t xml:space="preserve"> Type</w:t>
      </w:r>
      <w:r>
        <w:br/>
      </w:r>
      <w:r>
        <w:br/>
      </w:r>
      <w:r>
        <w:rPr>
          <w:rStyle w:val="NormalTok"/>
        </w:rPr>
        <w:t xml:space="preserve">Type Person</w:t>
      </w:r>
      <w:r>
        <w:br/>
      </w:r>
      <w:r>
        <w:rPr>
          <w:rStyle w:val="NormalTok"/>
        </w:rPr>
        <w:t xml:space="preserve">    Name As </w:t>
      </w:r>
      <w:r>
        <w:rPr>
          <w:rStyle w:val="FunctionTok"/>
        </w:rPr>
        <w:t xml:space="preserve">String</w:t>
      </w:r>
      <w:r>
        <w:br/>
      </w:r>
      <w:r>
        <w:rPr>
          <w:rStyle w:val="NormalTok"/>
        </w:rPr>
        <w:t xml:space="preserve">    Age As Integer</w:t>
      </w:r>
      <w:r>
        <w:br/>
      </w:r>
      <w:r>
        <w:rPr>
          <w:rStyle w:val="NormalTok"/>
        </w:rPr>
        <w:t xml:space="preserve">    Home As Address</w:t>
      </w:r>
      <w:r>
        <w:br/>
      </w:r>
      <w:r>
        <w:rPr>
          <w:rStyle w:val="FunctionTok"/>
        </w:rPr>
        <w:t xml:space="preserve">End</w:t>
      </w:r>
      <w:r>
        <w:rPr>
          <w:rStyle w:val="NormalTok"/>
        </w:rPr>
        <w:t xml:space="preserve"> Type</w:t>
      </w:r>
      <w:r>
        <w:br/>
      </w:r>
      <w:r>
        <w:br/>
      </w:r>
      <w:r>
        <w:rPr>
          <w:rStyle w:val="KeywordTok"/>
        </w:rPr>
        <w:t xml:space="preserve">Dim</w:t>
      </w:r>
      <w:r>
        <w:rPr>
          <w:rStyle w:val="NormalTok"/>
        </w:rPr>
        <w:t xml:space="preserve"> addr As Address</w:t>
      </w:r>
      <w:r>
        <w:br/>
      </w:r>
      <w:r>
        <w:rPr>
          <w:rStyle w:val="KeywordTok"/>
        </w:rPr>
        <w:t xml:space="preserve">Dim</w:t>
      </w:r>
      <w:r>
        <w:rPr>
          <w:rStyle w:val="NormalTok"/>
        </w:rPr>
        <w:t xml:space="preserve"> p As Person</w:t>
      </w:r>
      <w:r>
        <w:br/>
      </w:r>
      <w:r>
        <w:br/>
      </w:r>
      <w:r>
        <w:rPr>
          <w:rStyle w:val="NormalTok"/>
        </w:rPr>
        <w:t xml:space="preserve">addr.City = </w:t>
      </w:r>
      <w:r>
        <w:rPr>
          <w:rStyle w:val="StringTok"/>
        </w:rPr>
        <w:t xml:space="preserve">"Sao Paulo"</w:t>
      </w:r>
      <w:r>
        <w:br/>
      </w:r>
      <w:r>
        <w:rPr>
          <w:rStyle w:val="NormalTok"/>
        </w:rPr>
        <w:t xml:space="preserve">p.Name = </w:t>
      </w:r>
      <w:r>
        <w:rPr>
          <w:rStyle w:val="StringTok"/>
        </w:rPr>
        <w:t xml:space="preserve">"Maya"</w:t>
      </w:r>
      <w:r>
        <w:br/>
      </w:r>
      <w:r>
        <w:rPr>
          <w:rStyle w:val="NormalTok"/>
        </w:rPr>
        <w:t xml:space="preserve">p.Age = </w:t>
      </w:r>
      <w:r>
        <w:rPr>
          <w:rStyle w:val="DecValTok"/>
        </w:rPr>
        <w:t xml:space="preserve">29</w:t>
      </w:r>
      <w:r>
        <w:br/>
      </w:r>
      <w:r>
        <w:rPr>
          <w:rStyle w:val="NormalTok"/>
        </w:rPr>
        <w:t xml:space="preserve">p.Home = addr</w:t>
      </w:r>
      <w:r>
        <w:br/>
      </w:r>
      <w:r>
        <w:br/>
      </w:r>
      <w:r>
        <w:rPr>
          <w:rStyle w:val="FunctionTok"/>
        </w:rPr>
        <w:t xml:space="preserve">Response</w:t>
      </w:r>
      <w:r>
        <w:rPr>
          <w:rStyle w:val="NormalTok"/>
        </w:rPr>
        <w:t xml:space="preserve">.</w:t>
      </w:r>
      <w:r>
        <w:rPr>
          <w:rStyle w:val="FunctionTok"/>
        </w:rPr>
        <w:t xml:space="preserve">Write</w:t>
      </w:r>
      <w:r>
        <w:rPr>
          <w:rStyle w:val="NormalTok"/>
        </w:rPr>
        <w:t xml:space="preserve"> p.Name </w:t>
      </w:r>
      <w:r>
        <w:rPr>
          <w:rStyle w:val="KeywordTok"/>
        </w:rPr>
        <w:t xml:space="preserve">&amp;</w:t>
      </w:r>
      <w:r>
        <w:rPr>
          <w:rStyle w:val="NormalTok"/>
        </w:rPr>
        <w:t xml:space="preserve"> </w:t>
      </w:r>
      <w:r>
        <w:rPr>
          <w:rStyle w:val="StringTok"/>
        </w:rPr>
        <w:t xml:space="preserve">"|"</w:t>
      </w:r>
      <w:r>
        <w:rPr>
          <w:rStyle w:val="NormalTok"/>
        </w:rPr>
        <w:t xml:space="preserve"> </w:t>
      </w:r>
      <w:r>
        <w:rPr>
          <w:rStyle w:val="KeywordTok"/>
        </w:rPr>
        <w:t xml:space="preserve">&amp;</w:t>
      </w:r>
      <w:r>
        <w:rPr>
          <w:rStyle w:val="NormalTok"/>
        </w:rPr>
        <w:t xml:space="preserve"> p.Age </w:t>
      </w:r>
      <w:r>
        <w:rPr>
          <w:rStyle w:val="KeywordTok"/>
        </w:rPr>
        <w:t xml:space="preserve">&amp;</w:t>
      </w:r>
      <w:r>
        <w:rPr>
          <w:rStyle w:val="NormalTok"/>
        </w:rPr>
        <w:t xml:space="preserve"> </w:t>
      </w:r>
      <w:r>
        <w:rPr>
          <w:rStyle w:val="StringTok"/>
        </w:rPr>
        <w:t xml:space="preserve">"|"</w:t>
      </w:r>
      <w:r>
        <w:rPr>
          <w:rStyle w:val="NormalTok"/>
        </w:rPr>
        <w:t xml:space="preserve"> </w:t>
      </w:r>
      <w:r>
        <w:rPr>
          <w:rStyle w:val="KeywordTok"/>
        </w:rPr>
        <w:t xml:space="preserve">&amp;</w:t>
      </w:r>
      <w:r>
        <w:rPr>
          <w:rStyle w:val="NormalTok"/>
        </w:rPr>
        <w:t xml:space="preserve"> p.Home.City</w:t>
      </w:r>
      <w:r>
        <w:br/>
      </w:r>
      <w:r>
        <w:rPr>
          <w:rStyle w:val="DataTypeTok"/>
        </w:rPr>
        <w:t xml:space="preserve">%&gt;</w:t>
      </w:r>
    </w:p>
    <w:bookmarkEnd w:id="767"/>
    <w:bookmarkEnd w:id="768"/>
    <w:bookmarkStart w:id="788" w:name="advanced-procedure-signatures"/>
    <w:p>
      <w:pPr>
        <w:pStyle w:val="Heading1"/>
      </w:pPr>
      <w:r>
        <w:t xml:space="preserve">Advanced Procedure Signatures</w:t>
      </w:r>
    </w:p>
    <w:bookmarkStart w:id="769" w:name="overview-48"/>
    <w:p>
      <w:pPr>
        <w:pStyle w:val="Heading2"/>
      </w:pPr>
      <w:r>
        <w:t xml:space="preserve">Overview</w:t>
      </w:r>
    </w:p>
    <w:p>
      <w:pPr>
        <w:pStyle w:val="FirstParagraph"/>
      </w:pPr>
      <w:r>
        <w:t xml:space="preserve">AxonASP extends the standard VBScript procedure declaration syntax with three Visual Basic 6.0 (VB6) features that provide greater control over parameter passing and function signatures:</w:t>
      </w:r>
      <w:r>
        <w:t xml:space="preserve"> </w:t>
      </w:r>
      <w:r>
        <w:rPr>
          <w:b/>
          <w:bCs/>
        </w:rPr>
        <w:t xml:space="preserve">Optional parameters</w:t>
      </w:r>
      <w:r>
        <w:t xml:space="preserve"> </w:t>
      </w:r>
      <w:r>
        <w:t xml:space="preserve">with default values,</w:t>
      </w:r>
      <w:r>
        <w:t xml:space="preserve"> </w:t>
      </w:r>
      <w:r>
        <w:rPr>
          <w:b/>
          <w:bCs/>
        </w:rPr>
        <w:t xml:space="preserve">ParamArray</w:t>
      </w:r>
      <w:r>
        <w:t xml:space="preserve"> </w:t>
      </w:r>
      <w:r>
        <w:t xml:space="preserve">for variable-length argument lists, and</w:t>
      </w:r>
      <w:r>
        <w:t xml:space="preserve"> </w:t>
      </w:r>
      <w:r>
        <w:rPr>
          <w:b/>
          <w:bCs/>
        </w:rPr>
        <w:t xml:space="preserve">explicit ByVal</w:t>
      </w:r>
      <w:r>
        <w:t xml:space="preserve"> </w:t>
      </w:r>
      <w:r>
        <w:t xml:space="preserve">for pass-by-value semantics. These features are fully backward compatible with existing Classic ASP code.</w:t>
      </w:r>
    </w:p>
    <w:bookmarkEnd w:id="769"/>
    <w:bookmarkStart w:id="774" w:name="optional-parameters"/>
    <w:p>
      <w:pPr>
        <w:pStyle w:val="Heading2"/>
      </w:pPr>
      <w:r>
        <w:t xml:space="preserve">Optional Parameters</w:t>
      </w:r>
    </w:p>
    <w:p>
      <w:pPr>
        <w:pStyle w:val="FirstParagraph"/>
      </w:pPr>
      <w:r>
        <w:t xml:space="preserve">Optional parameters allow callers to omit arguments when invoking a Sub or Function. When an optional parameter is omitted, its declared default value is used. If no default value is specified, the parameter receives the Empty value.</w:t>
      </w:r>
    </w:p>
    <w:bookmarkStart w:id="770" w:name="syntax-26"/>
    <w:p>
      <w:pPr>
        <w:pStyle w:val="Heading3"/>
      </w:pPr>
      <w:r>
        <w:t xml:space="preserve">Syntax</w:t>
      </w:r>
    </w:p>
    <w:p>
      <w:pPr>
        <w:pStyle w:val="SourceCode"/>
      </w:pPr>
      <w:r>
        <w:rPr>
          <w:rStyle w:val="KeywordTok"/>
        </w:rPr>
        <w:t xml:space="preserve">Sub </w:t>
      </w:r>
      <w:r>
        <w:rPr>
          <w:rStyle w:val="NormalTok"/>
        </w:rPr>
        <w:t xml:space="preserve">MySub(</w:t>
      </w:r>
      <w:r>
        <w:rPr>
          <w:rStyle w:val="KeywordTok"/>
        </w:rPr>
        <w:t xml:space="preserve">Optional</w:t>
      </w:r>
      <w:r>
        <w:rPr>
          <w:rStyle w:val="NormalTok"/>
        </w:rPr>
        <w:t xml:space="preserve"> paramName </w:t>
      </w:r>
      <w:r>
        <w:rPr>
          <w:rStyle w:val="KeywordTok"/>
        </w:rPr>
        <w:t xml:space="preserve">As</w:t>
      </w:r>
      <w:r>
        <w:rPr>
          <w:rStyle w:val="NormalTok"/>
        </w:rPr>
        <w:t xml:space="preserve"> Type = defaultValue)</w:t>
      </w:r>
      <w:r>
        <w:br/>
      </w:r>
      <w:r>
        <w:rPr>
          <w:rStyle w:val="KeywordTok"/>
        </w:rPr>
        <w:t xml:space="preserve">Function </w:t>
      </w:r>
      <w:r>
        <w:rPr>
          <w:rStyle w:val="NormalTok"/>
        </w:rPr>
        <w:t xml:space="preserve">MyFunc(</w:t>
      </w:r>
      <w:r>
        <w:rPr>
          <w:rStyle w:val="KeywordTok"/>
        </w:rPr>
        <w:t xml:space="preserve">Optional</w:t>
      </w:r>
      <w:r>
        <w:rPr>
          <w:rStyle w:val="NormalTok"/>
        </w:rPr>
        <w:t xml:space="preserve"> paramName </w:t>
      </w:r>
      <w:r>
        <w:rPr>
          <w:rStyle w:val="KeywordTok"/>
        </w:rPr>
        <w:t xml:space="preserve">As</w:t>
      </w:r>
      <w:r>
        <w:rPr>
          <w:rStyle w:val="NormalTok"/>
        </w:rPr>
        <w:t xml:space="preserve"> Type = defaultValue) </w:t>
      </w:r>
      <w:r>
        <w:rPr>
          <w:rStyle w:val="KeywordTok"/>
        </w:rPr>
        <w:t xml:space="preserve">As</w:t>
      </w:r>
      <w:r>
        <w:rPr>
          <w:rStyle w:val="NormalTok"/>
        </w:rPr>
        <w:t xml:space="preserve"> Type</w:t>
      </w:r>
    </w:p>
    <w:p>
      <w:pPr>
        <w:pStyle w:val="Compact"/>
        <w:numPr>
          <w:ilvl w:val="0"/>
          <w:numId w:val="1223"/>
        </w:numPr>
      </w:pPr>
      <w:r>
        <w:rPr>
          <w:b/>
          <w:bCs/>
        </w:rPr>
        <w:t xml:space="preserve">paramName</w:t>
      </w:r>
      <w:r>
        <w:t xml:space="preserve">: The parameter name.</w:t>
      </w:r>
    </w:p>
    <w:p>
      <w:pPr>
        <w:pStyle w:val="Compact"/>
        <w:numPr>
          <w:ilvl w:val="0"/>
          <w:numId w:val="1223"/>
        </w:numPr>
      </w:pPr>
      <w:r>
        <w:rPr>
          <w:b/>
          <w:bCs/>
        </w:rPr>
        <w:t xml:space="preserve">As Type</w:t>
      </w:r>
      <w:r>
        <w:t xml:space="preserve"> </w:t>
      </w:r>
      <w:r>
        <w:t xml:space="preserve">(optional): Declares the parameter data type (Integer, Long, Single, Double, String, Boolean, Byte, Object, Variant, or a User-Defined Type).</w:t>
      </w:r>
    </w:p>
    <w:p>
      <w:pPr>
        <w:pStyle w:val="Compact"/>
        <w:numPr>
          <w:ilvl w:val="0"/>
          <w:numId w:val="1223"/>
        </w:numPr>
      </w:pPr>
      <w:r>
        <w:rPr>
          <w:b/>
          <w:bCs/>
        </w:rPr>
        <w:t xml:space="preserve">= defaultValue</w:t>
      </w:r>
      <w:r>
        <w:t xml:space="preserve">: A constant expression used when the caller omits the argument. If omitted, the parameter defaults to Empty.</w:t>
      </w:r>
    </w:p>
    <w:bookmarkEnd w:id="770"/>
    <w:bookmarkStart w:id="771" w:name="parameters-and-arguments-10"/>
    <w:p>
      <w:pPr>
        <w:pStyle w:val="Heading3"/>
      </w:pPr>
      <w:r>
        <w:t xml:space="preserve">Parameters and Arguments</w:t>
      </w:r>
    </w:p>
    <w:tbl>
      <w:tblPr>
        <w:tblStyle w:val="Table"/>
        <w:tblW w:type="pct" w:w="5000"/>
        <w:tblLayout w:type="fixed"/>
        <w:tblLook w:firstRow="1" w:lastRow="0" w:firstColumn="0" w:lastColumn="0" w:noHBand="0" w:noVBand="0" w:val="0020"/>
      </w:tblPr>
      <w:tblGrid>
        <w:gridCol w:w="2178"/>
        <w:gridCol w:w="1980"/>
        <w:gridCol w:w="1188"/>
        <w:gridCol w:w="2574"/>
      </w:tblGrid>
      <w:tr>
        <w:trPr>
          <w:tblHeader w:val="on"/>
        </w:trPr>
        <w:tc>
          <w:tcPr/>
          <w:p>
            <w:pPr>
              <w:pStyle w:val="Compact"/>
            </w:pPr>
            <w:r>
              <w:t xml:space="preserve">Parameter</w:t>
            </w:r>
          </w:p>
        </w:tc>
        <w:tc>
          <w:tcPr/>
          <w:p>
            <w:pPr>
              <w:pStyle w:val="Compact"/>
            </w:pPr>
            <w:r>
              <w:t xml:space="preserve">Required</w:t>
            </w:r>
          </w:p>
        </w:tc>
        <w:tc>
          <w:tcPr/>
          <w:p>
            <w:pPr>
              <w:pStyle w:val="Compact"/>
            </w:pPr>
            <w:r>
              <w:t xml:space="preserve">Type</w:t>
            </w:r>
          </w:p>
        </w:tc>
        <w:tc>
          <w:tcPr/>
          <w:p>
            <w:pPr>
              <w:pStyle w:val="Compact"/>
            </w:pPr>
            <w:r>
              <w:t xml:space="preserve">Description</w:t>
            </w:r>
          </w:p>
        </w:tc>
      </w:tr>
      <w:tr>
        <w:tc>
          <w:tcPr/>
          <w:p>
            <w:pPr>
              <w:pStyle w:val="Compact"/>
            </w:pPr>
            <w:r>
              <w:t xml:space="preserve">paramName</w:t>
            </w:r>
          </w:p>
        </w:tc>
        <w:tc>
          <w:tcPr/>
          <w:p>
            <w:pPr>
              <w:pStyle w:val="Compact"/>
            </w:pPr>
            <w:r>
              <w:t xml:space="preserve">Yes</w:t>
            </w:r>
          </w:p>
        </w:tc>
        <w:tc>
          <w:tcPr/>
          <w:p>
            <w:pPr>
              <w:pStyle w:val="Compact"/>
            </w:pPr>
            <w:r>
              <w:t xml:space="preserve">Identifier</w:t>
            </w:r>
          </w:p>
        </w:tc>
        <w:tc>
          <w:tcPr/>
          <w:p>
            <w:pPr>
              <w:pStyle w:val="Compact"/>
            </w:pPr>
            <w:r>
              <w:t xml:space="preserve">The name of the optional parameter</w:t>
            </w:r>
          </w:p>
        </w:tc>
      </w:tr>
      <w:tr>
        <w:tc>
          <w:tcPr/>
          <w:p>
            <w:pPr>
              <w:pStyle w:val="Compact"/>
            </w:pPr>
            <w:r>
              <w:t xml:space="preserve">As Type</w:t>
            </w:r>
          </w:p>
        </w:tc>
        <w:tc>
          <w:tcPr/>
          <w:p>
            <w:pPr>
              <w:pStyle w:val="Compact"/>
            </w:pPr>
            <w:r>
              <w:t xml:space="preserve">No</w:t>
            </w:r>
          </w:p>
        </w:tc>
        <w:tc>
          <w:tcPr/>
          <w:p>
            <w:pPr>
              <w:pStyle w:val="Compact"/>
            </w:pPr>
            <w:r>
              <w:t xml:space="preserve">Type keyword</w:t>
            </w:r>
          </w:p>
        </w:tc>
        <w:tc>
          <w:tcPr/>
          <w:p>
            <w:pPr>
              <w:pStyle w:val="Compact"/>
            </w:pPr>
            <w:r>
              <w:t xml:space="preserve">Declares the parameter data type (Variant if omitted)</w:t>
            </w:r>
          </w:p>
        </w:tc>
      </w:tr>
      <w:tr>
        <w:tc>
          <w:tcPr/>
          <w:p>
            <w:pPr>
              <w:pStyle w:val="Compact"/>
            </w:pPr>
            <w:r>
              <w:t xml:space="preserve">defaultValue</w:t>
            </w:r>
          </w:p>
        </w:tc>
        <w:tc>
          <w:tcPr/>
          <w:p>
            <w:pPr>
              <w:pStyle w:val="Compact"/>
            </w:pPr>
            <w:r>
              <w:t xml:space="preserve">No</w:t>
            </w:r>
          </w:p>
        </w:tc>
        <w:tc>
          <w:tcPr/>
          <w:p>
            <w:pPr>
              <w:pStyle w:val="Compact"/>
            </w:pPr>
            <w:r>
              <w:t xml:space="preserve">Constant expression</w:t>
            </w:r>
          </w:p>
        </w:tc>
        <w:tc>
          <w:tcPr/>
          <w:p>
            <w:pPr>
              <w:pStyle w:val="Compact"/>
            </w:pPr>
            <w:r>
              <w:t xml:space="preserve">Default value used when argument is not supplied</w:t>
            </w:r>
          </w:p>
        </w:tc>
      </w:tr>
    </w:tbl>
    <w:bookmarkEnd w:id="771"/>
    <w:bookmarkStart w:id="772" w:name="remarks-35"/>
    <w:p>
      <w:pPr>
        <w:pStyle w:val="Heading3"/>
      </w:pPr>
      <w:r>
        <w:t xml:space="preserve">Remarks</w:t>
      </w:r>
    </w:p>
    <w:p>
      <w:pPr>
        <w:pStyle w:val="Compact"/>
        <w:numPr>
          <w:ilvl w:val="0"/>
          <w:numId w:val="1224"/>
        </w:numPr>
      </w:pPr>
      <w:r>
        <w:t xml:space="preserve">Optional parameters must appear after all required parameters in the parameter list.</w:t>
      </w:r>
    </w:p>
    <w:p>
      <w:pPr>
        <w:pStyle w:val="Compact"/>
        <w:numPr>
          <w:ilvl w:val="0"/>
          <w:numId w:val="1224"/>
        </w:numPr>
      </w:pPr>
      <w:r>
        <w:t xml:space="preserve">The default value must be a compile-time constant expression (literal, enum constant, or folded expression).</w:t>
      </w:r>
    </w:p>
    <w:p>
      <w:pPr>
        <w:pStyle w:val="Compact"/>
        <w:numPr>
          <w:ilvl w:val="0"/>
          <w:numId w:val="1224"/>
        </w:numPr>
      </w:pPr>
      <w:r>
        <w:t xml:space="preserve">If a caller provides an argument for an optional parameter, the provided value is used instead of the default.</w:t>
      </w:r>
    </w:p>
    <w:p>
      <w:pPr>
        <w:pStyle w:val="Compact"/>
        <w:numPr>
          <w:ilvl w:val="0"/>
          <w:numId w:val="1224"/>
        </w:numPr>
      </w:pPr>
      <w:r>
        <w:t xml:space="preserve">Multiple optional parameters can be declared in the same procedure.</w:t>
      </w:r>
    </w:p>
    <w:p>
      <w:pPr>
        <w:pStyle w:val="Compact"/>
        <w:numPr>
          <w:ilvl w:val="0"/>
          <w:numId w:val="1224"/>
        </w:numPr>
      </w:pPr>
      <w:r>
        <w:t xml:space="preserve">When an optional parameter without an explicit default is omitted, it receives the VBScript Empty value.</w:t>
      </w:r>
    </w:p>
    <w:p>
      <w:pPr>
        <w:pStyle w:val="Compact"/>
        <w:numPr>
          <w:ilvl w:val="0"/>
          <w:numId w:val="1224"/>
        </w:numPr>
      </w:pPr>
      <w:r>
        <w:t xml:space="preserve">Optional parameters can be used together with the</w:t>
      </w:r>
      <w:r>
        <w:t xml:space="preserve"> </w:t>
      </w:r>
      <w:r>
        <w:rPr>
          <w:b/>
          <w:bCs/>
        </w:rPr>
        <w:t xml:space="preserve">As Type</w:t>
      </w:r>
      <w:r>
        <w:t xml:space="preserve"> </w:t>
      </w:r>
      <w:r>
        <w:t xml:space="preserve">clause to enforce type constraints.</w:t>
      </w:r>
    </w:p>
    <w:bookmarkEnd w:id="772"/>
    <w:bookmarkStart w:id="773" w:name="code-example-22"/>
    <w:p>
      <w:pPr>
        <w:pStyle w:val="Heading3"/>
      </w:pPr>
      <w:r>
        <w:t xml:space="preserve">Code Example</w:t>
      </w:r>
    </w:p>
    <w:p>
      <w:pPr>
        <w:pStyle w:val="SourceCode"/>
      </w:pPr>
      <w:r>
        <w:rPr>
          <w:rStyle w:val="NormalTok"/>
        </w:rPr>
        <w:t xml:space="preserve">&lt;%@ Language=</w:t>
      </w:r>
      <w:r>
        <w:rPr>
          <w:rStyle w:val="StringTok"/>
        </w:rPr>
        <w:t xml:space="preserve">"VBScript"</w:t>
      </w:r>
      <w:r>
        <w:rPr>
          <w:rStyle w:val="NormalTok"/>
        </w:rPr>
        <w:t xml:space="preserve"> %&gt;</w:t>
      </w:r>
      <w:r>
        <w:br/>
      </w:r>
      <w:r>
        <w:rPr>
          <w:rStyle w:val="NormalTok"/>
        </w:rPr>
        <w:t xml:space="preserve">&lt;%</w:t>
      </w:r>
      <w:r>
        <w:br/>
      </w:r>
      <w:r>
        <w:rPr>
          <w:rStyle w:val="CommentTok"/>
        </w:rPr>
        <w:t xml:space="preserve">' Function with optional parameters</w:t>
      </w:r>
      <w:r>
        <w:br/>
      </w:r>
      <w:r>
        <w:rPr>
          <w:rStyle w:val="KeywordTok"/>
        </w:rPr>
        <w:t xml:space="preserve">Function </w:t>
      </w:r>
      <w:r>
        <w:rPr>
          <w:rStyle w:val="NormalTok"/>
        </w:rPr>
        <w:t xml:space="preserve">FormatMessage(msg, </w:t>
      </w:r>
      <w:r>
        <w:rPr>
          <w:rStyle w:val="KeywordTok"/>
        </w:rPr>
        <w:t xml:space="preserve">Optional</w:t>
      </w:r>
      <w:r>
        <w:rPr>
          <w:rStyle w:val="NormalTok"/>
        </w:rPr>
        <w:t xml:space="preserve"> prefix </w:t>
      </w:r>
      <w:r>
        <w:rPr>
          <w:rStyle w:val="KeywordTok"/>
        </w:rPr>
        <w:t xml:space="preserve">As</w:t>
      </w:r>
      <w:r>
        <w:rPr>
          <w:rStyle w:val="NormalTok"/>
        </w:rPr>
        <w:t xml:space="preserve"> </w:t>
      </w:r>
      <w:r>
        <w:rPr>
          <w:rStyle w:val="DataTypeTok"/>
        </w:rPr>
        <w:t xml:space="preserve">String</w:t>
      </w:r>
      <w:r>
        <w:rPr>
          <w:rStyle w:val="NormalTok"/>
        </w:rPr>
        <w:t xml:space="preserve"> = </w:t>
      </w:r>
      <w:r>
        <w:rPr>
          <w:rStyle w:val="StringTok"/>
        </w:rPr>
        <w:t xml:space="preserve">"INFO"</w:t>
      </w:r>
      <w:r>
        <w:rPr>
          <w:rStyle w:val="NormalTok"/>
        </w:rPr>
        <w:t xml:space="preserve">, </w:t>
      </w:r>
      <w:r>
        <w:rPr>
          <w:rStyle w:val="KeywordTok"/>
        </w:rPr>
        <w:t xml:space="preserve">Optional</w:t>
      </w:r>
      <w:r>
        <w:rPr>
          <w:rStyle w:val="NormalTok"/>
        </w:rPr>
        <w:t xml:space="preserve"> timestamp </w:t>
      </w:r>
      <w:r>
        <w:rPr>
          <w:rStyle w:val="KeywordTok"/>
        </w:rPr>
        <w:t xml:space="preserve">As</w:t>
      </w:r>
      <w:r>
        <w:rPr>
          <w:rStyle w:val="NormalTok"/>
        </w:rPr>
        <w:t xml:space="preserve"> </w:t>
      </w:r>
      <w:r>
        <w:rPr>
          <w:rStyle w:val="DataTypeTok"/>
        </w:rPr>
        <w:t xml:space="preserve">String</w:t>
      </w:r>
      <w:r>
        <w:rPr>
          <w:rStyle w:val="NormalTok"/>
        </w:rPr>
        <w:t xml:space="preserve"> = </w:t>
      </w:r>
      <w:r>
        <w:rPr>
          <w:rStyle w:val="StringTok"/>
        </w:rPr>
        <w:t xml:space="preserve">"now"</w:t>
      </w:r>
      <w:r>
        <w:rPr>
          <w:rStyle w:val="NormalTok"/>
        </w:rPr>
        <w:t xml:space="preserve">)</w:t>
      </w:r>
      <w:r>
        <w:br/>
      </w:r>
      <w:r>
        <w:rPr>
          <w:rStyle w:val="NormalTok"/>
        </w:rPr>
        <w:t xml:space="preserve">    </w:t>
      </w:r>
      <w:r>
        <w:rPr>
          <w:rStyle w:val="KeywordTok"/>
        </w:rPr>
        <w:t xml:space="preserve">Dim</w:t>
      </w:r>
      <w:r>
        <w:rPr>
          <w:rStyle w:val="NormalTok"/>
        </w:rPr>
        <w:t xml:space="preserve"> result</w:t>
      </w:r>
      <w:r>
        <w:br/>
      </w:r>
      <w:r>
        <w:rPr>
          <w:rStyle w:val="NormalTok"/>
        </w:rPr>
        <w:t xml:space="preserve">    result = prefix &amp; </w:t>
      </w:r>
      <w:r>
        <w:rPr>
          <w:rStyle w:val="StringTok"/>
        </w:rPr>
        <w:t xml:space="preserve">": "</w:t>
      </w:r>
      <w:r>
        <w:rPr>
          <w:rStyle w:val="NormalTok"/>
        </w:rPr>
        <w:t xml:space="preserve"> &amp; msg</w:t>
      </w:r>
      <w:r>
        <w:br/>
      </w:r>
      <w:r>
        <w:rPr>
          <w:rStyle w:val="NormalTok"/>
        </w:rPr>
        <w:t xml:space="preserve">    </w:t>
      </w:r>
      <w:r>
        <w:rPr>
          <w:rStyle w:val="KeywordTok"/>
        </w:rPr>
        <w:t xml:space="preserve">If </w:t>
      </w:r>
      <w:r>
        <w:rPr>
          <w:rStyle w:val="NormalTok"/>
        </w:rPr>
        <w:t xml:space="preserve">timestamp &lt;&gt; </w:t>
      </w:r>
      <w:r>
        <w:rPr>
          <w:rStyle w:val="StringTok"/>
        </w:rPr>
        <w:t xml:space="preserve">"now"</w:t>
      </w:r>
      <w:r>
        <w:rPr>
          <w:rStyle w:val="NormalTok"/>
        </w:rPr>
        <w:t xml:space="preserve"> </w:t>
      </w:r>
      <w:r>
        <w:rPr>
          <w:rStyle w:val="KeywordTok"/>
        </w:rPr>
        <w:t xml:space="preserve">Then</w:t>
      </w:r>
      <w:r>
        <w:br/>
      </w:r>
      <w:r>
        <w:rPr>
          <w:rStyle w:val="NormalTok"/>
        </w:rPr>
        <w:t xml:space="preserve">        result = result &amp; </w:t>
      </w:r>
      <w:r>
        <w:rPr>
          <w:rStyle w:val="StringTok"/>
        </w:rPr>
        <w:t xml:space="preserve">" ["</w:t>
      </w:r>
      <w:r>
        <w:rPr>
          <w:rStyle w:val="NormalTok"/>
        </w:rPr>
        <w:t xml:space="preserve"> &amp; timestamp &amp; </w:t>
      </w:r>
      <w:r>
        <w:rPr>
          <w:rStyle w:val="StringTok"/>
        </w:rPr>
        <w:t xml:space="preserve">"]"</w:t>
      </w:r>
      <w:r>
        <w:br/>
      </w:r>
      <w:r>
        <w:rPr>
          <w:rStyle w:val="NormalTok"/>
        </w:rPr>
        <w:t xml:space="preserve">    </w:t>
      </w:r>
      <w:r>
        <w:rPr>
          <w:rStyle w:val="KeywordTok"/>
        </w:rPr>
        <w:t xml:space="preserve">End If</w:t>
      </w:r>
      <w:r>
        <w:br/>
      </w:r>
      <w:r>
        <w:rPr>
          <w:rStyle w:val="NormalTok"/>
        </w:rPr>
        <w:t xml:space="preserve">    FormatMessage = result</w:t>
      </w:r>
      <w:r>
        <w:br/>
      </w:r>
      <w:r>
        <w:rPr>
          <w:rStyle w:val="KeywordTok"/>
        </w:rPr>
        <w:t xml:space="preserve">End Function</w:t>
      </w:r>
      <w:r>
        <w:br/>
      </w:r>
      <w:r>
        <w:br/>
      </w:r>
      <w:r>
        <w:rPr>
          <w:rStyle w:val="CommentTok"/>
        </w:rPr>
        <w:t xml:space="preserve">' Call with all arguments</w:t>
      </w:r>
      <w:r>
        <w:br/>
      </w:r>
      <w:r>
        <w:rPr>
          <w:rStyle w:val="NormalTok"/>
        </w:rPr>
        <w:t xml:space="preserve">Response.Write FormatMessage(</w:t>
      </w:r>
      <w:r>
        <w:rPr>
          <w:rStyle w:val="StringTok"/>
        </w:rPr>
        <w:t xml:space="preserve">"Server started"</w:t>
      </w:r>
      <w:r>
        <w:rPr>
          <w:rStyle w:val="NormalTok"/>
        </w:rPr>
        <w:t xml:space="preserve">, </w:t>
      </w:r>
      <w:r>
        <w:rPr>
          <w:rStyle w:val="StringTok"/>
        </w:rPr>
        <w:t xml:space="preserve">"DEBUG"</w:t>
      </w:r>
      <w:r>
        <w:rPr>
          <w:rStyle w:val="NormalTok"/>
        </w:rPr>
        <w:t xml:space="preserve">, </w:t>
      </w:r>
      <w:r>
        <w:rPr>
          <w:rStyle w:val="StringTok"/>
        </w:rPr>
        <w:t xml:space="preserve">"12:00"</w:t>
      </w:r>
      <w:r>
        <w:rPr>
          <w:rStyle w:val="NormalTok"/>
        </w:rPr>
        <w:t xml:space="preserve">) &amp; </w:t>
      </w:r>
      <w:r>
        <w:rPr>
          <w:rStyle w:val="StringTok"/>
        </w:rPr>
        <w:t xml:space="preserve">"&lt;br&gt;"</w:t>
      </w:r>
      <w:r>
        <w:br/>
      </w:r>
      <w:r>
        <w:br/>
      </w:r>
      <w:r>
        <w:rPr>
          <w:rStyle w:val="CommentTok"/>
        </w:rPr>
        <w:t xml:space="preserve">' Call with omitted optional arguments (uses defaults)</w:t>
      </w:r>
      <w:r>
        <w:br/>
      </w:r>
      <w:r>
        <w:rPr>
          <w:rStyle w:val="NormalTok"/>
        </w:rPr>
        <w:t xml:space="preserve">Response.Write FormatMessage(</w:t>
      </w:r>
      <w:r>
        <w:rPr>
          <w:rStyle w:val="StringTok"/>
        </w:rPr>
        <w:t xml:space="preserve">"Server started"</w:t>
      </w:r>
      <w:r>
        <w:rPr>
          <w:rStyle w:val="NormalTok"/>
        </w:rPr>
        <w:t xml:space="preserve">) &amp; </w:t>
      </w:r>
      <w:r>
        <w:rPr>
          <w:rStyle w:val="StringTok"/>
        </w:rPr>
        <w:t xml:space="preserve">"&lt;br&gt;"</w:t>
      </w:r>
      <w:r>
        <w:br/>
      </w:r>
      <w:r>
        <w:br/>
      </w:r>
      <w:r>
        <w:rPr>
          <w:rStyle w:val="CommentTok"/>
        </w:rPr>
        <w:t xml:space="preserve">' Call with only the first optional argument</w:t>
      </w:r>
      <w:r>
        <w:br/>
      </w:r>
      <w:r>
        <w:rPr>
          <w:rStyle w:val="NormalTok"/>
        </w:rPr>
        <w:t xml:space="preserve">Response.Write FormatMessage(</w:t>
      </w:r>
      <w:r>
        <w:rPr>
          <w:rStyle w:val="StringTok"/>
        </w:rPr>
        <w:t xml:space="preserve">"High memory"</w:t>
      </w:r>
      <w:r>
        <w:rPr>
          <w:rStyle w:val="NormalTok"/>
        </w:rPr>
        <w:t xml:space="preserve">, </w:t>
      </w:r>
      <w:r>
        <w:rPr>
          <w:rStyle w:val="StringTok"/>
        </w:rPr>
        <w:t xml:space="preserve">"WARN"</w:t>
      </w:r>
      <w:r>
        <w:rPr>
          <w:rStyle w:val="NormalTok"/>
        </w:rPr>
        <w:t xml:space="preserve">)</w:t>
      </w:r>
      <w:r>
        <w:br/>
      </w:r>
      <w:r>
        <w:rPr>
          <w:rStyle w:val="NormalTok"/>
        </w:rPr>
        <w:t xml:space="preserve">%&gt;</w:t>
      </w:r>
    </w:p>
    <w:bookmarkEnd w:id="773"/>
    <w:bookmarkEnd w:id="774"/>
    <w:bookmarkStart w:id="779" w:name="paramarray"/>
    <w:p>
      <w:pPr>
        <w:pStyle w:val="Heading2"/>
      </w:pPr>
      <w:r>
        <w:t xml:space="preserve">ParamArray</w:t>
      </w:r>
    </w:p>
    <w:p>
      <w:pPr>
        <w:pStyle w:val="FirstParagraph"/>
      </w:pPr>
      <w:r>
        <w:t xml:space="preserve">ParamArray allows a procedure to accept a variable number of arguments. All remaining arguments are collected into a zero-based array. ParamArray must be the last parameter in the declaration.</w:t>
      </w:r>
    </w:p>
    <w:bookmarkStart w:id="775" w:name="syntax-27"/>
    <w:p>
      <w:pPr>
        <w:pStyle w:val="Heading3"/>
      </w:pPr>
      <w:r>
        <w:t xml:space="preserve">Syntax</w:t>
      </w:r>
    </w:p>
    <w:p>
      <w:pPr>
        <w:pStyle w:val="SourceCode"/>
      </w:pPr>
      <w:r>
        <w:rPr>
          <w:rStyle w:val="KeywordTok"/>
        </w:rPr>
        <w:t xml:space="preserve">Sub </w:t>
      </w:r>
      <w:r>
        <w:rPr>
          <w:rStyle w:val="NormalTok"/>
        </w:rPr>
        <w:t xml:space="preserve">MySub(</w:t>
      </w:r>
      <w:r>
        <w:rPr>
          <w:rStyle w:val="KeywordTok"/>
        </w:rPr>
        <w:t xml:space="preserve">ParamArray</w:t>
      </w:r>
      <w:r>
        <w:rPr>
          <w:rStyle w:val="NormalTok"/>
        </w:rPr>
        <w:t xml:space="preserve"> paramName())</w:t>
      </w:r>
      <w:r>
        <w:br/>
      </w:r>
      <w:r>
        <w:rPr>
          <w:rStyle w:val="KeywordTok"/>
        </w:rPr>
        <w:t xml:space="preserve">Function </w:t>
      </w:r>
      <w:r>
        <w:rPr>
          <w:rStyle w:val="NormalTok"/>
        </w:rPr>
        <w:t xml:space="preserve">MyFunc(</w:t>
      </w:r>
      <w:r>
        <w:rPr>
          <w:rStyle w:val="KeywordTok"/>
        </w:rPr>
        <w:t xml:space="preserve">ParamArray</w:t>
      </w:r>
      <w:r>
        <w:rPr>
          <w:rStyle w:val="NormalTok"/>
        </w:rPr>
        <w:t xml:space="preserve"> paramName())</w:t>
      </w:r>
    </w:p>
    <w:p>
      <w:pPr>
        <w:pStyle w:val="Compact"/>
        <w:numPr>
          <w:ilvl w:val="0"/>
          <w:numId w:val="1225"/>
        </w:numPr>
      </w:pPr>
      <w:r>
        <w:rPr>
          <w:b/>
          <w:bCs/>
        </w:rPr>
        <w:t xml:space="preserve">paramName</w:t>
      </w:r>
      <w:r>
        <w:t xml:space="preserve">: The name of the array parameter. Must be declared with empty parentheses</w:t>
      </w:r>
      <w:r>
        <w:t xml:space="preserve"> </w:t>
      </w:r>
      <w:r>
        <w:rPr>
          <w:rStyle w:val="VerbatimChar"/>
        </w:rPr>
        <w:t xml:space="preserve">()</w:t>
      </w:r>
      <w:r>
        <w:t xml:space="preserve">.</w:t>
      </w:r>
    </w:p>
    <w:bookmarkEnd w:id="775"/>
    <w:bookmarkStart w:id="776" w:name="parameters-and-arguments-11"/>
    <w:p>
      <w:pPr>
        <w:pStyle w:val="Heading3"/>
      </w:pPr>
      <w:r>
        <w:t xml:space="preserve">Parameters and Arguments</w:t>
      </w:r>
    </w:p>
    <w:tbl>
      <w:tblPr>
        <w:tblStyle w:val="Table"/>
        <w:tblW w:type="pct" w:w="5000"/>
        <w:tblLayout w:type="fixed"/>
        <w:tblLook w:firstRow="1" w:lastRow="0" w:firstColumn="0" w:lastColumn="0" w:noHBand="0" w:noVBand="0" w:val="0020"/>
      </w:tblPr>
      <w:tblGrid>
        <w:gridCol w:w="2178"/>
        <w:gridCol w:w="1980"/>
        <w:gridCol w:w="1188"/>
        <w:gridCol w:w="2574"/>
      </w:tblGrid>
      <w:tr>
        <w:trPr>
          <w:tblHeader w:val="on"/>
        </w:trPr>
        <w:tc>
          <w:tcPr/>
          <w:p>
            <w:pPr>
              <w:pStyle w:val="Compact"/>
            </w:pPr>
            <w:r>
              <w:t xml:space="preserve">Parameter</w:t>
            </w:r>
          </w:p>
        </w:tc>
        <w:tc>
          <w:tcPr/>
          <w:p>
            <w:pPr>
              <w:pStyle w:val="Compact"/>
            </w:pPr>
            <w:r>
              <w:t xml:space="preserve">Required</w:t>
            </w:r>
          </w:p>
        </w:tc>
        <w:tc>
          <w:tcPr/>
          <w:p>
            <w:pPr>
              <w:pStyle w:val="Compact"/>
            </w:pPr>
            <w:r>
              <w:t xml:space="preserve">Type</w:t>
            </w:r>
          </w:p>
        </w:tc>
        <w:tc>
          <w:tcPr/>
          <w:p>
            <w:pPr>
              <w:pStyle w:val="Compact"/>
            </w:pPr>
            <w:r>
              <w:t xml:space="preserve">Description</w:t>
            </w:r>
          </w:p>
        </w:tc>
      </w:tr>
      <w:tr>
        <w:tc>
          <w:tcPr/>
          <w:p>
            <w:pPr>
              <w:pStyle w:val="Compact"/>
            </w:pPr>
            <w:r>
              <w:t xml:space="preserve">paramName</w:t>
            </w:r>
          </w:p>
        </w:tc>
        <w:tc>
          <w:tcPr/>
          <w:p>
            <w:pPr>
              <w:pStyle w:val="Compact"/>
            </w:pPr>
            <w:r>
              <w:t xml:space="preserve">Yes</w:t>
            </w:r>
          </w:p>
        </w:tc>
        <w:tc>
          <w:tcPr/>
          <w:p>
            <w:pPr>
              <w:pStyle w:val="Compact"/>
            </w:pPr>
            <w:r>
              <w:t xml:space="preserve">Array</w:t>
            </w:r>
          </w:p>
        </w:tc>
        <w:tc>
          <w:tcPr/>
          <w:p>
            <w:pPr>
              <w:pStyle w:val="Compact"/>
            </w:pPr>
            <w:r>
              <w:t xml:space="preserve">A zero-based array containing all remaining arguments passed by the caller</w:t>
            </w:r>
          </w:p>
        </w:tc>
      </w:tr>
    </w:tbl>
    <w:bookmarkEnd w:id="776"/>
    <w:bookmarkStart w:id="777" w:name="remarks-36"/>
    <w:p>
      <w:pPr>
        <w:pStyle w:val="Heading3"/>
      </w:pPr>
      <w:r>
        <w:t xml:space="preserve">Remarks</w:t>
      </w:r>
    </w:p>
    <w:p>
      <w:pPr>
        <w:pStyle w:val="Compact"/>
        <w:numPr>
          <w:ilvl w:val="0"/>
          <w:numId w:val="1226"/>
        </w:numPr>
      </w:pPr>
      <w:r>
        <w:t xml:space="preserve">ParamArray must be the last parameter in the procedure declaration.</w:t>
      </w:r>
    </w:p>
    <w:p>
      <w:pPr>
        <w:pStyle w:val="Compact"/>
        <w:numPr>
          <w:ilvl w:val="0"/>
          <w:numId w:val="1226"/>
        </w:numPr>
      </w:pPr>
      <w:r>
        <w:t xml:space="preserve">The parameter is always passed by value (ByVal).</w:t>
      </w:r>
    </w:p>
    <w:p>
      <w:pPr>
        <w:pStyle w:val="Compact"/>
        <w:numPr>
          <w:ilvl w:val="0"/>
          <w:numId w:val="1226"/>
        </w:numPr>
      </w:pPr>
      <w:r>
        <w:t xml:space="preserve">When no arguments are provided for the ParamArray, the parameter receives an empty array (LBound &gt; UBound).</w:t>
      </w:r>
    </w:p>
    <w:p>
      <w:pPr>
        <w:pStyle w:val="Compact"/>
        <w:numPr>
          <w:ilvl w:val="0"/>
          <w:numId w:val="1226"/>
        </w:numPr>
      </w:pPr>
      <w:r>
        <w:t xml:space="preserve">Use LBound and UBound to iterate over the array elements.</w:t>
      </w:r>
    </w:p>
    <w:p>
      <w:pPr>
        <w:pStyle w:val="Compact"/>
        <w:numPr>
          <w:ilvl w:val="0"/>
          <w:numId w:val="1226"/>
        </w:numPr>
      </w:pPr>
      <w:r>
        <w:t xml:space="preserve">ParamArray cannot be used with the Optional keyword or the As Type clause.</w:t>
      </w:r>
    </w:p>
    <w:p>
      <w:pPr>
        <w:pStyle w:val="Compact"/>
        <w:numPr>
          <w:ilvl w:val="0"/>
          <w:numId w:val="1226"/>
        </w:numPr>
      </w:pPr>
      <w:r>
        <w:t xml:space="preserve">ParamArray is ideal for utility functions like logging, formatting, and aggregation.</w:t>
      </w:r>
    </w:p>
    <w:bookmarkEnd w:id="777"/>
    <w:bookmarkStart w:id="778" w:name="code-example-23"/>
    <w:p>
      <w:pPr>
        <w:pStyle w:val="Heading3"/>
      </w:pPr>
      <w:r>
        <w:t xml:space="preserve">Code Example</w:t>
      </w:r>
    </w:p>
    <w:p>
      <w:pPr>
        <w:pStyle w:val="SourceCode"/>
      </w:pPr>
      <w:r>
        <w:rPr>
          <w:rStyle w:val="NormalTok"/>
        </w:rPr>
        <w:t xml:space="preserve">&lt;%@ Language=</w:t>
      </w:r>
      <w:r>
        <w:rPr>
          <w:rStyle w:val="StringTok"/>
        </w:rPr>
        <w:t xml:space="preserve">"VBScript"</w:t>
      </w:r>
      <w:r>
        <w:rPr>
          <w:rStyle w:val="NormalTok"/>
        </w:rPr>
        <w:t xml:space="preserve"> %&gt;</w:t>
      </w:r>
      <w:r>
        <w:br/>
      </w:r>
      <w:r>
        <w:rPr>
          <w:rStyle w:val="NormalTok"/>
        </w:rPr>
        <w:t xml:space="preserve">&lt;%</w:t>
      </w:r>
      <w:r>
        <w:br/>
      </w:r>
      <w:r>
        <w:rPr>
          <w:rStyle w:val="CommentTok"/>
        </w:rPr>
        <w:t xml:space="preserve">' Function that sums all provided numbers</w:t>
      </w:r>
      <w:r>
        <w:br/>
      </w:r>
      <w:r>
        <w:rPr>
          <w:rStyle w:val="KeywordTok"/>
        </w:rPr>
        <w:t xml:space="preserve">Function </w:t>
      </w:r>
      <w:r>
        <w:rPr>
          <w:rStyle w:val="NormalTok"/>
        </w:rPr>
        <w:t xml:space="preserve">Sum(</w:t>
      </w:r>
      <w:r>
        <w:rPr>
          <w:rStyle w:val="KeywordTok"/>
        </w:rPr>
        <w:t xml:space="preserve">ParamArray</w:t>
      </w:r>
      <w:r>
        <w:rPr>
          <w:rStyle w:val="NormalTok"/>
        </w:rPr>
        <w:t xml:space="preserve"> numbers())</w:t>
      </w:r>
      <w:r>
        <w:br/>
      </w:r>
      <w:r>
        <w:rPr>
          <w:rStyle w:val="NormalTok"/>
        </w:rPr>
        <w:t xml:space="preserve">    </w:t>
      </w:r>
      <w:r>
        <w:rPr>
          <w:rStyle w:val="KeywordTok"/>
        </w:rPr>
        <w:t xml:space="preserve">Dim</w:t>
      </w:r>
      <w:r>
        <w:rPr>
          <w:rStyle w:val="NormalTok"/>
        </w:rPr>
        <w:t xml:space="preserve"> total, i</w:t>
      </w:r>
      <w:r>
        <w:br/>
      </w:r>
      <w:r>
        <w:rPr>
          <w:rStyle w:val="NormalTok"/>
        </w:rPr>
        <w:t xml:space="preserve">    total = 0</w:t>
      </w:r>
      <w:r>
        <w:br/>
      </w:r>
      <w:r>
        <w:rPr>
          <w:rStyle w:val="NormalTok"/>
        </w:rPr>
        <w:t xml:space="preserve">    </w:t>
      </w:r>
      <w:r>
        <w:rPr>
          <w:rStyle w:val="KeywordTok"/>
        </w:rPr>
        <w:t xml:space="preserve">For </w:t>
      </w:r>
      <w:r>
        <w:rPr>
          <w:rStyle w:val="NormalTok"/>
        </w:rPr>
        <w:t xml:space="preserve">i = LBound(numbers) </w:t>
      </w:r>
      <w:r>
        <w:rPr>
          <w:rStyle w:val="KeywordTok"/>
        </w:rPr>
        <w:t xml:space="preserve">To</w:t>
      </w:r>
      <w:r>
        <w:rPr>
          <w:rStyle w:val="NormalTok"/>
        </w:rPr>
        <w:t xml:space="preserve"> UBound(numbers)</w:t>
      </w:r>
      <w:r>
        <w:br/>
      </w:r>
      <w:r>
        <w:rPr>
          <w:rStyle w:val="NormalTok"/>
        </w:rPr>
        <w:t xml:space="preserve">        total = total + numbers(i)</w:t>
      </w:r>
      <w:r>
        <w:br/>
      </w:r>
      <w:r>
        <w:rPr>
          <w:rStyle w:val="NormalTok"/>
        </w:rPr>
        <w:t xml:space="preserve">    </w:t>
      </w:r>
      <w:r>
        <w:rPr>
          <w:rStyle w:val="KeywordTok"/>
        </w:rPr>
        <w:t xml:space="preserve">Next</w:t>
      </w:r>
      <w:r>
        <w:br/>
      </w:r>
      <w:r>
        <w:rPr>
          <w:rStyle w:val="NormalTok"/>
        </w:rPr>
        <w:t xml:space="preserve">    Sum = total</w:t>
      </w:r>
      <w:r>
        <w:br/>
      </w:r>
      <w:r>
        <w:rPr>
          <w:rStyle w:val="KeywordTok"/>
        </w:rPr>
        <w:t xml:space="preserve">End Function</w:t>
      </w:r>
      <w:r>
        <w:br/>
      </w:r>
      <w:r>
        <w:br/>
      </w:r>
      <w:r>
        <w:rPr>
          <w:rStyle w:val="CommentTok"/>
        </w:rPr>
        <w:t xml:space="preserve">' Function that joins strings with a separator</w:t>
      </w:r>
      <w:r>
        <w:br/>
      </w:r>
      <w:r>
        <w:rPr>
          <w:rStyle w:val="KeywordTok"/>
        </w:rPr>
        <w:t xml:space="preserve">Function </w:t>
      </w:r>
      <w:r>
        <w:rPr>
          <w:rStyle w:val="NormalTok"/>
        </w:rPr>
        <w:t xml:space="preserve">JoinStrings(sep, </w:t>
      </w:r>
      <w:r>
        <w:rPr>
          <w:rStyle w:val="KeywordTok"/>
        </w:rPr>
        <w:t xml:space="preserve">ParamArray</w:t>
      </w:r>
      <w:r>
        <w:rPr>
          <w:rStyle w:val="NormalTok"/>
        </w:rPr>
        <w:t xml:space="preserve"> items())</w:t>
      </w:r>
      <w:r>
        <w:br/>
      </w:r>
      <w:r>
        <w:rPr>
          <w:rStyle w:val="NormalTok"/>
        </w:rPr>
        <w:t xml:space="preserve">    </w:t>
      </w:r>
      <w:r>
        <w:rPr>
          <w:rStyle w:val="KeywordTok"/>
        </w:rPr>
        <w:t xml:space="preserve">Dim</w:t>
      </w:r>
      <w:r>
        <w:rPr>
          <w:rStyle w:val="NormalTok"/>
        </w:rPr>
        <w:t xml:space="preserve"> result, i</w:t>
      </w:r>
      <w:r>
        <w:br/>
      </w:r>
      <w:r>
        <w:rPr>
          <w:rStyle w:val="NormalTok"/>
        </w:rPr>
        <w:t xml:space="preserve">    result = </w:t>
      </w:r>
      <w:r>
        <w:rPr>
          <w:rStyle w:val="StringTok"/>
        </w:rPr>
        <w:t xml:space="preserve">""</w:t>
      </w:r>
      <w:r>
        <w:br/>
      </w:r>
      <w:r>
        <w:rPr>
          <w:rStyle w:val="NormalTok"/>
        </w:rPr>
        <w:t xml:space="preserve">    </w:t>
      </w:r>
      <w:r>
        <w:rPr>
          <w:rStyle w:val="KeywordTok"/>
        </w:rPr>
        <w:t xml:space="preserve">For </w:t>
      </w:r>
      <w:r>
        <w:rPr>
          <w:rStyle w:val="NormalTok"/>
        </w:rPr>
        <w:t xml:space="preserve">i = LBound(items) </w:t>
      </w:r>
      <w:r>
        <w:rPr>
          <w:rStyle w:val="KeywordTok"/>
        </w:rPr>
        <w:t xml:space="preserve">To</w:t>
      </w:r>
      <w:r>
        <w:rPr>
          <w:rStyle w:val="NormalTok"/>
        </w:rPr>
        <w:t xml:space="preserve"> UBound(items)</w:t>
      </w:r>
      <w:r>
        <w:br/>
      </w:r>
      <w:r>
        <w:rPr>
          <w:rStyle w:val="NormalTok"/>
        </w:rPr>
        <w:t xml:space="preserve">        </w:t>
      </w:r>
      <w:r>
        <w:rPr>
          <w:rStyle w:val="KeywordTok"/>
        </w:rPr>
        <w:t xml:space="preserve">If </w:t>
      </w:r>
      <w:r>
        <w:rPr>
          <w:rStyle w:val="NormalTok"/>
        </w:rPr>
        <w:t xml:space="preserve">result &lt;&gt; </w:t>
      </w:r>
      <w:r>
        <w:rPr>
          <w:rStyle w:val="StringTok"/>
        </w:rPr>
        <w:t xml:space="preserve">""</w:t>
      </w:r>
      <w:r>
        <w:rPr>
          <w:rStyle w:val="NormalTok"/>
        </w:rPr>
        <w:t xml:space="preserve"> </w:t>
      </w:r>
      <w:r>
        <w:rPr>
          <w:rStyle w:val="KeywordTok"/>
        </w:rPr>
        <w:t xml:space="preserve">Then</w:t>
      </w:r>
      <w:r>
        <w:rPr>
          <w:rStyle w:val="NormalTok"/>
        </w:rPr>
        <w:t xml:space="preserve"> result = result &amp; sep</w:t>
      </w:r>
      <w:r>
        <w:br/>
      </w:r>
      <w:r>
        <w:rPr>
          <w:rStyle w:val="NormalTok"/>
        </w:rPr>
        <w:t xml:space="preserve">        result = result &amp; items(i)</w:t>
      </w:r>
      <w:r>
        <w:br/>
      </w:r>
      <w:r>
        <w:rPr>
          <w:rStyle w:val="NormalTok"/>
        </w:rPr>
        <w:t xml:space="preserve">    </w:t>
      </w:r>
      <w:r>
        <w:rPr>
          <w:rStyle w:val="KeywordTok"/>
        </w:rPr>
        <w:t xml:space="preserve">Next</w:t>
      </w:r>
      <w:r>
        <w:br/>
      </w:r>
      <w:r>
        <w:rPr>
          <w:rStyle w:val="NormalTok"/>
        </w:rPr>
        <w:t xml:space="preserve">    JoinStrings = result</w:t>
      </w:r>
      <w:r>
        <w:br/>
      </w:r>
      <w:r>
        <w:rPr>
          <w:rStyle w:val="KeywordTok"/>
        </w:rPr>
        <w:t xml:space="preserve">End Function</w:t>
      </w:r>
      <w:r>
        <w:br/>
      </w:r>
      <w:r>
        <w:br/>
      </w:r>
      <w:r>
        <w:rPr>
          <w:rStyle w:val="CommentTok"/>
        </w:rPr>
        <w:t xml:space="preserve">' Usage</w:t>
      </w:r>
      <w:r>
        <w:br/>
      </w:r>
      <w:r>
        <w:rPr>
          <w:rStyle w:val="NormalTok"/>
        </w:rPr>
        <w:t xml:space="preserve">Response.Write </w:t>
      </w:r>
      <w:r>
        <w:rPr>
          <w:rStyle w:val="StringTok"/>
        </w:rPr>
        <w:t xml:space="preserve">"Sum of 1,2,3,4,5 = "</w:t>
      </w:r>
      <w:r>
        <w:rPr>
          <w:rStyle w:val="NormalTok"/>
        </w:rPr>
        <w:t xml:space="preserve"> &amp; Sum(1, 2, 3, 4, 5) &amp; </w:t>
      </w:r>
      <w:r>
        <w:rPr>
          <w:rStyle w:val="StringTok"/>
        </w:rPr>
        <w:t xml:space="preserve">"&lt;br&gt;"</w:t>
      </w:r>
      <w:r>
        <w:br/>
      </w:r>
      <w:r>
        <w:rPr>
          <w:rStyle w:val="NormalTok"/>
        </w:rPr>
        <w:t xml:space="preserve">Response.Write </w:t>
      </w:r>
      <w:r>
        <w:rPr>
          <w:rStyle w:val="StringTok"/>
        </w:rPr>
        <w:t xml:space="preserve">"Joined: "</w:t>
      </w:r>
      <w:r>
        <w:rPr>
          <w:rStyle w:val="NormalTok"/>
        </w:rPr>
        <w:t xml:space="preserve"> &amp; JoinStrings(</w:t>
      </w:r>
      <w:r>
        <w:rPr>
          <w:rStyle w:val="StringTok"/>
        </w:rPr>
        <w:t xml:space="preserve">", "</w:t>
      </w:r>
      <w:r>
        <w:rPr>
          <w:rStyle w:val="NormalTok"/>
        </w:rPr>
        <w:t xml:space="preserve">, </w:t>
      </w:r>
      <w:r>
        <w:rPr>
          <w:rStyle w:val="StringTok"/>
        </w:rPr>
        <w:t xml:space="preserve">"apple"</w:t>
      </w:r>
      <w:r>
        <w:rPr>
          <w:rStyle w:val="NormalTok"/>
        </w:rPr>
        <w:t xml:space="preserve">, </w:t>
      </w:r>
      <w:r>
        <w:rPr>
          <w:rStyle w:val="StringTok"/>
        </w:rPr>
        <w:t xml:space="preserve">"banana"</w:t>
      </w:r>
      <w:r>
        <w:rPr>
          <w:rStyle w:val="NormalTok"/>
        </w:rPr>
        <w:t xml:space="preserve">, </w:t>
      </w:r>
      <w:r>
        <w:rPr>
          <w:rStyle w:val="StringTok"/>
        </w:rPr>
        <w:t xml:space="preserve">"cherry"</w:t>
      </w:r>
      <w:r>
        <w:rPr>
          <w:rStyle w:val="NormalTok"/>
        </w:rPr>
        <w:t xml:space="preserve">)</w:t>
      </w:r>
      <w:r>
        <w:br/>
      </w:r>
      <w:r>
        <w:rPr>
          <w:rStyle w:val="NormalTok"/>
        </w:rPr>
        <w:t xml:space="preserve">%&gt;</w:t>
      </w:r>
    </w:p>
    <w:bookmarkEnd w:id="778"/>
    <w:bookmarkEnd w:id="779"/>
    <w:bookmarkStart w:id="784" w:name="explicit-byval"/>
    <w:p>
      <w:pPr>
        <w:pStyle w:val="Heading2"/>
      </w:pPr>
      <w:r>
        <w:t xml:space="preserve">Explicit ByVal</w:t>
      </w:r>
    </w:p>
    <w:p>
      <w:pPr>
        <w:pStyle w:val="FirstParagraph"/>
      </w:pPr>
      <w:r>
        <w:t xml:space="preserve">In standard VBScript, procedure parameters default to ByRef (passed by reference), meaning modifications to the parameter inside the procedure affect the caller’s variable. The ByVal keyword changes this behavior: the procedure receives a local copy of the value, and modifications do not affect the caller’s variable.</w:t>
      </w:r>
    </w:p>
    <w:bookmarkStart w:id="780" w:name="syntax-28"/>
    <w:p>
      <w:pPr>
        <w:pStyle w:val="Heading3"/>
      </w:pPr>
      <w:r>
        <w:t xml:space="preserve">Syntax</w:t>
      </w:r>
    </w:p>
    <w:p>
      <w:pPr>
        <w:pStyle w:val="SourceCode"/>
      </w:pPr>
      <w:r>
        <w:rPr>
          <w:rStyle w:val="KeywordTok"/>
        </w:rPr>
        <w:t xml:space="preserve">Sub </w:t>
      </w:r>
      <w:r>
        <w:rPr>
          <w:rStyle w:val="NormalTok"/>
        </w:rPr>
        <w:t xml:space="preserve">MySub(</w:t>
      </w:r>
      <w:r>
        <w:rPr>
          <w:rStyle w:val="KeywordTok"/>
        </w:rPr>
        <w:t xml:space="preserve">ByVal</w:t>
      </w:r>
      <w:r>
        <w:rPr>
          <w:rStyle w:val="NormalTok"/>
        </w:rPr>
        <w:t xml:space="preserve"> paramName </w:t>
      </w:r>
      <w:r>
        <w:rPr>
          <w:rStyle w:val="KeywordTok"/>
        </w:rPr>
        <w:t xml:space="preserve">As</w:t>
      </w:r>
      <w:r>
        <w:rPr>
          <w:rStyle w:val="NormalTok"/>
        </w:rPr>
        <w:t xml:space="preserve"> Type)</w:t>
      </w:r>
      <w:r>
        <w:br/>
      </w:r>
      <w:r>
        <w:rPr>
          <w:rStyle w:val="KeywordTok"/>
        </w:rPr>
        <w:t xml:space="preserve">Function </w:t>
      </w:r>
      <w:r>
        <w:rPr>
          <w:rStyle w:val="NormalTok"/>
        </w:rPr>
        <w:t xml:space="preserve">MyFunc(</w:t>
      </w:r>
      <w:r>
        <w:rPr>
          <w:rStyle w:val="KeywordTok"/>
        </w:rPr>
        <w:t xml:space="preserve">ByVal</w:t>
      </w:r>
      <w:r>
        <w:rPr>
          <w:rStyle w:val="NormalTok"/>
        </w:rPr>
        <w:t xml:space="preserve"> paramName </w:t>
      </w:r>
      <w:r>
        <w:rPr>
          <w:rStyle w:val="KeywordTok"/>
        </w:rPr>
        <w:t xml:space="preserve">As</w:t>
      </w:r>
      <w:r>
        <w:rPr>
          <w:rStyle w:val="NormalTok"/>
        </w:rPr>
        <w:t xml:space="preserve"> Type) </w:t>
      </w:r>
      <w:r>
        <w:rPr>
          <w:rStyle w:val="KeywordTok"/>
        </w:rPr>
        <w:t xml:space="preserve">As</w:t>
      </w:r>
      <w:r>
        <w:rPr>
          <w:rStyle w:val="NormalTok"/>
        </w:rPr>
        <w:t xml:space="preserve"> Type</w:t>
      </w:r>
    </w:p>
    <w:p>
      <w:pPr>
        <w:pStyle w:val="Compact"/>
        <w:numPr>
          <w:ilvl w:val="0"/>
          <w:numId w:val="1227"/>
        </w:numPr>
      </w:pPr>
      <w:r>
        <w:rPr>
          <w:b/>
          <w:bCs/>
        </w:rPr>
        <w:t xml:space="preserve">paramName</w:t>
      </w:r>
      <w:r>
        <w:t xml:space="preserve">: The parameter name.</w:t>
      </w:r>
    </w:p>
    <w:p>
      <w:pPr>
        <w:pStyle w:val="Compact"/>
        <w:numPr>
          <w:ilvl w:val="0"/>
          <w:numId w:val="1227"/>
        </w:numPr>
      </w:pPr>
      <w:r>
        <w:rPr>
          <w:b/>
          <w:bCs/>
        </w:rPr>
        <w:t xml:space="preserve">As Type</w:t>
      </w:r>
      <w:r>
        <w:t xml:space="preserve"> </w:t>
      </w:r>
      <w:r>
        <w:t xml:space="preserve">(optional): Declares the parameter data type.</w:t>
      </w:r>
    </w:p>
    <w:bookmarkEnd w:id="780"/>
    <w:bookmarkStart w:id="781" w:name="parameters-and-arguments-12"/>
    <w:p>
      <w:pPr>
        <w:pStyle w:val="Heading3"/>
      </w:pPr>
      <w:r>
        <w:t xml:space="preserve">Parameters and Arguments</w:t>
      </w:r>
    </w:p>
    <w:tbl>
      <w:tblPr>
        <w:tblStyle w:val="Table"/>
        <w:tblW w:type="pct" w:w="5000"/>
        <w:tblLayout w:type="fixed"/>
        <w:tblLook w:firstRow="1" w:lastRow="0" w:firstColumn="0" w:lastColumn="0" w:noHBand="0" w:noVBand="0" w:val="0020"/>
      </w:tblPr>
      <w:tblGrid>
        <w:gridCol w:w="2178"/>
        <w:gridCol w:w="1980"/>
        <w:gridCol w:w="1188"/>
        <w:gridCol w:w="2574"/>
      </w:tblGrid>
      <w:tr>
        <w:trPr>
          <w:tblHeader w:val="on"/>
        </w:trPr>
        <w:tc>
          <w:tcPr/>
          <w:p>
            <w:pPr>
              <w:pStyle w:val="Compact"/>
            </w:pPr>
            <w:r>
              <w:t xml:space="preserve">Parameter</w:t>
            </w:r>
          </w:p>
        </w:tc>
        <w:tc>
          <w:tcPr/>
          <w:p>
            <w:pPr>
              <w:pStyle w:val="Compact"/>
            </w:pPr>
            <w:r>
              <w:t xml:space="preserve">Required</w:t>
            </w:r>
          </w:p>
        </w:tc>
        <w:tc>
          <w:tcPr/>
          <w:p>
            <w:pPr>
              <w:pStyle w:val="Compact"/>
            </w:pPr>
            <w:r>
              <w:t xml:space="preserve">Type</w:t>
            </w:r>
          </w:p>
        </w:tc>
        <w:tc>
          <w:tcPr/>
          <w:p>
            <w:pPr>
              <w:pStyle w:val="Compact"/>
            </w:pPr>
            <w:r>
              <w:t xml:space="preserve">Description</w:t>
            </w:r>
          </w:p>
        </w:tc>
      </w:tr>
      <w:tr>
        <w:tc>
          <w:tcPr/>
          <w:p>
            <w:pPr>
              <w:pStyle w:val="Compact"/>
            </w:pPr>
            <w:r>
              <w:t xml:space="preserve">paramName</w:t>
            </w:r>
          </w:p>
        </w:tc>
        <w:tc>
          <w:tcPr/>
          <w:p>
            <w:pPr>
              <w:pStyle w:val="Compact"/>
            </w:pPr>
            <w:r>
              <w:t xml:space="preserve">Yes</w:t>
            </w:r>
          </w:p>
        </w:tc>
        <w:tc>
          <w:tcPr/>
          <w:p>
            <w:pPr>
              <w:pStyle w:val="Compact"/>
            </w:pPr>
            <w:r>
              <w:t xml:space="preserve">Identifier</w:t>
            </w:r>
          </w:p>
        </w:tc>
        <w:tc>
          <w:tcPr/>
          <w:p>
            <w:pPr>
              <w:pStyle w:val="Compact"/>
            </w:pPr>
            <w:r>
              <w:t xml:space="preserve">The name of the parameter</w:t>
            </w:r>
          </w:p>
        </w:tc>
      </w:tr>
      <w:tr>
        <w:tc>
          <w:tcPr/>
          <w:p>
            <w:pPr>
              <w:pStyle w:val="Compact"/>
            </w:pPr>
            <w:r>
              <w:t xml:space="preserve">As Type</w:t>
            </w:r>
          </w:p>
        </w:tc>
        <w:tc>
          <w:tcPr/>
          <w:p>
            <w:pPr>
              <w:pStyle w:val="Compact"/>
            </w:pPr>
            <w:r>
              <w:t xml:space="preserve">No</w:t>
            </w:r>
          </w:p>
        </w:tc>
        <w:tc>
          <w:tcPr/>
          <w:p>
            <w:pPr>
              <w:pStyle w:val="Compact"/>
            </w:pPr>
            <w:r>
              <w:t xml:space="preserve">Type keyword</w:t>
            </w:r>
          </w:p>
        </w:tc>
        <w:tc>
          <w:tcPr/>
          <w:p>
            <w:pPr>
              <w:pStyle w:val="Compact"/>
            </w:pPr>
            <w:r>
              <w:t xml:space="preserve">Declares the parameter data type (Variant if omitted)</w:t>
            </w:r>
          </w:p>
        </w:tc>
      </w:tr>
    </w:tbl>
    <w:bookmarkEnd w:id="781"/>
    <w:bookmarkStart w:id="782" w:name="remarks-37"/>
    <w:p>
      <w:pPr>
        <w:pStyle w:val="Heading3"/>
      </w:pPr>
      <w:r>
        <w:t xml:space="preserve">Remarks</w:t>
      </w:r>
    </w:p>
    <w:p>
      <w:pPr>
        <w:pStyle w:val="Compact"/>
        <w:numPr>
          <w:ilvl w:val="0"/>
          <w:numId w:val="1228"/>
        </w:numPr>
      </w:pPr>
      <w:r>
        <w:t xml:space="preserve">ByVal creates a local copy of the argument value at procedure entry. Any modifications to the parameter inside the procedure do not affect the caller’s variable.</w:t>
      </w:r>
    </w:p>
    <w:p>
      <w:pPr>
        <w:pStyle w:val="Compact"/>
        <w:numPr>
          <w:ilvl w:val="0"/>
          <w:numId w:val="1228"/>
        </w:numPr>
      </w:pPr>
      <w:r>
        <w:t xml:space="preserve">ByRef (or the default when no modifier is specified) passes a reference to the caller’s variable. Modifications to the parameter affect the caller’s variable.</w:t>
      </w:r>
    </w:p>
    <w:p>
      <w:pPr>
        <w:pStyle w:val="Compact"/>
        <w:numPr>
          <w:ilvl w:val="0"/>
          <w:numId w:val="1228"/>
        </w:numPr>
      </w:pPr>
      <w:r>
        <w:t xml:space="preserve">Using ByVal is recommended for simple data types (Integer, String, Double) when the procedure does not need to modify the caller’s variable. This prevents unintended side effects.</w:t>
      </w:r>
    </w:p>
    <w:p>
      <w:pPr>
        <w:pStyle w:val="Compact"/>
        <w:numPr>
          <w:ilvl w:val="0"/>
          <w:numId w:val="1228"/>
        </w:numPr>
      </w:pPr>
      <w:r>
        <w:t xml:space="preserve">ByRef is necessary when the procedure must return a value through a parameter.</w:t>
      </w:r>
    </w:p>
    <w:p>
      <w:pPr>
        <w:pStyle w:val="Compact"/>
        <w:numPr>
          <w:ilvl w:val="0"/>
          <w:numId w:val="1228"/>
        </w:numPr>
      </w:pPr>
      <w:r>
        <w:t xml:space="preserve">Use the</w:t>
      </w:r>
      <w:r>
        <w:t xml:space="preserve"> </w:t>
      </w:r>
      <w:r>
        <w:rPr>
          <w:b/>
          <w:bCs/>
        </w:rPr>
        <w:t xml:space="preserve">As Type</w:t>
      </w:r>
      <w:r>
        <w:t xml:space="preserve"> </w:t>
      </w:r>
      <w:r>
        <w:t xml:space="preserve">clause to enforce type safety for ByVal parameters.</w:t>
      </w:r>
    </w:p>
    <w:bookmarkEnd w:id="782"/>
    <w:bookmarkStart w:id="783" w:name="code-example-24"/>
    <w:p>
      <w:pPr>
        <w:pStyle w:val="Heading3"/>
      </w:pPr>
      <w:r>
        <w:t xml:space="preserve">Code Example</w:t>
      </w:r>
    </w:p>
    <w:p>
      <w:pPr>
        <w:pStyle w:val="SourceCode"/>
      </w:pPr>
      <w:r>
        <w:rPr>
          <w:rStyle w:val="NormalTok"/>
        </w:rPr>
        <w:t xml:space="preserve">&lt;%@ Language=</w:t>
      </w:r>
      <w:r>
        <w:rPr>
          <w:rStyle w:val="StringTok"/>
        </w:rPr>
        <w:t xml:space="preserve">"VBScript"</w:t>
      </w:r>
      <w:r>
        <w:rPr>
          <w:rStyle w:val="NormalTok"/>
        </w:rPr>
        <w:t xml:space="preserve"> %&gt;</w:t>
      </w:r>
      <w:r>
        <w:br/>
      </w:r>
      <w:r>
        <w:rPr>
          <w:rStyle w:val="NormalTok"/>
        </w:rPr>
        <w:t xml:space="preserve">&lt;%</w:t>
      </w:r>
      <w:r>
        <w:br/>
      </w:r>
      <w:r>
        <w:rPr>
          <w:rStyle w:val="KeywordTok"/>
        </w:rPr>
        <w:t xml:space="preserve">Dim</w:t>
      </w:r>
      <w:r>
        <w:rPr>
          <w:rStyle w:val="NormalTok"/>
        </w:rPr>
        <w:t xml:space="preserve"> value</w:t>
      </w:r>
      <w:r>
        <w:br/>
      </w:r>
      <w:r>
        <w:br/>
      </w:r>
      <w:r>
        <w:rPr>
          <w:rStyle w:val="CommentTok"/>
        </w:rPr>
        <w:t xml:space="preserve">' Example 1: ByVal protects the caller's variable</w:t>
      </w:r>
      <w:r>
        <w:br/>
      </w:r>
      <w:r>
        <w:rPr>
          <w:rStyle w:val="NormalTok"/>
        </w:rPr>
        <w:t xml:space="preserve">value = 10</w:t>
      </w:r>
      <w:r>
        <w:br/>
      </w:r>
      <w:r>
        <w:rPr>
          <w:rStyle w:val="KeywordTok"/>
        </w:rPr>
        <w:t xml:space="preserve">Sub </w:t>
      </w:r>
      <w:r>
        <w:rPr>
          <w:rStyle w:val="NormalTok"/>
        </w:rPr>
        <w:t xml:space="preserve">IncrementByVal(</w:t>
      </w:r>
      <w:r>
        <w:rPr>
          <w:rStyle w:val="KeywordTok"/>
        </w:rPr>
        <w:t xml:space="preserve">ByVal</w:t>
      </w:r>
      <w:r>
        <w:rPr>
          <w:rStyle w:val="NormalTok"/>
        </w:rPr>
        <w:t xml:space="preserve"> x)</w:t>
      </w:r>
      <w:r>
        <w:br/>
      </w:r>
      <w:r>
        <w:rPr>
          <w:rStyle w:val="NormalTok"/>
        </w:rPr>
        <w:t xml:space="preserve">    x = x + 1</w:t>
      </w:r>
      <w:r>
        <w:br/>
      </w:r>
      <w:r>
        <w:rPr>
          <w:rStyle w:val="KeywordTok"/>
        </w:rPr>
        <w:t xml:space="preserve">End Sub</w:t>
      </w:r>
      <w:r>
        <w:br/>
      </w:r>
      <w:r>
        <w:rPr>
          <w:rStyle w:val="KeywordTok"/>
        </w:rPr>
        <w:t xml:space="preserve">Call</w:t>
      </w:r>
      <w:r>
        <w:rPr>
          <w:rStyle w:val="NormalTok"/>
        </w:rPr>
        <w:t xml:space="preserve"> IncrementByVal(value)</w:t>
      </w:r>
      <w:r>
        <w:br/>
      </w:r>
      <w:r>
        <w:rPr>
          <w:rStyle w:val="NormalTok"/>
        </w:rPr>
        <w:t xml:space="preserve">Response.Write </w:t>
      </w:r>
      <w:r>
        <w:rPr>
          <w:rStyle w:val="StringTok"/>
        </w:rPr>
        <w:t xml:space="preserve">"After ByVal: "</w:t>
      </w:r>
      <w:r>
        <w:rPr>
          <w:rStyle w:val="NormalTok"/>
        </w:rPr>
        <w:t xml:space="preserve"> &amp; value &amp; </w:t>
      </w:r>
      <w:r>
        <w:rPr>
          <w:rStyle w:val="StringTok"/>
        </w:rPr>
        <w:t xml:space="preserve">" (unchanged, still 10)&lt;br&gt;"</w:t>
      </w:r>
      <w:r>
        <w:br/>
      </w:r>
      <w:r>
        <w:br/>
      </w:r>
      <w:r>
        <w:rPr>
          <w:rStyle w:val="CommentTok"/>
        </w:rPr>
        <w:t xml:space="preserve">' Example 2: ByRef allows modification</w:t>
      </w:r>
      <w:r>
        <w:br/>
      </w:r>
      <w:r>
        <w:rPr>
          <w:rStyle w:val="KeywordTok"/>
        </w:rPr>
        <w:t xml:space="preserve">Sub </w:t>
      </w:r>
      <w:r>
        <w:rPr>
          <w:rStyle w:val="NormalTok"/>
        </w:rPr>
        <w:t xml:space="preserve">IncrementByRef(</w:t>
      </w:r>
      <w:r>
        <w:rPr>
          <w:rStyle w:val="KeywordTok"/>
        </w:rPr>
        <w:t xml:space="preserve">ByRef</w:t>
      </w:r>
      <w:r>
        <w:rPr>
          <w:rStyle w:val="NormalTok"/>
        </w:rPr>
        <w:t xml:space="preserve"> x)</w:t>
      </w:r>
      <w:r>
        <w:br/>
      </w:r>
      <w:r>
        <w:rPr>
          <w:rStyle w:val="NormalTok"/>
        </w:rPr>
        <w:t xml:space="preserve">    x = x + 1</w:t>
      </w:r>
      <w:r>
        <w:br/>
      </w:r>
      <w:r>
        <w:rPr>
          <w:rStyle w:val="KeywordTok"/>
        </w:rPr>
        <w:t xml:space="preserve">End Sub</w:t>
      </w:r>
      <w:r>
        <w:br/>
      </w:r>
      <w:r>
        <w:rPr>
          <w:rStyle w:val="KeywordTok"/>
        </w:rPr>
        <w:t xml:space="preserve">Call</w:t>
      </w:r>
      <w:r>
        <w:rPr>
          <w:rStyle w:val="NormalTok"/>
        </w:rPr>
        <w:t xml:space="preserve"> IncrementByRef(value)</w:t>
      </w:r>
      <w:r>
        <w:br/>
      </w:r>
      <w:r>
        <w:rPr>
          <w:rStyle w:val="NormalTok"/>
        </w:rPr>
        <w:t xml:space="preserve">Response.Write </w:t>
      </w:r>
      <w:r>
        <w:rPr>
          <w:rStyle w:val="StringTok"/>
        </w:rPr>
        <w:t xml:space="preserve">"After ByRef: "</w:t>
      </w:r>
      <w:r>
        <w:rPr>
          <w:rStyle w:val="NormalTok"/>
        </w:rPr>
        <w:t xml:space="preserve"> &amp; value &amp; </w:t>
      </w:r>
      <w:r>
        <w:rPr>
          <w:rStyle w:val="StringTok"/>
        </w:rPr>
        <w:t xml:space="preserve">" (changed to 11)&lt;br&gt;"</w:t>
      </w:r>
      <w:r>
        <w:br/>
      </w:r>
      <w:r>
        <w:br/>
      </w:r>
      <w:r>
        <w:rPr>
          <w:rStyle w:val="CommentTok"/>
        </w:rPr>
        <w:t xml:space="preserve">' Example 3: Default (no modifier) is ByRef</w:t>
      </w:r>
      <w:r>
        <w:br/>
      </w:r>
      <w:r>
        <w:rPr>
          <w:rStyle w:val="KeywordTok"/>
        </w:rPr>
        <w:t xml:space="preserve">Sub </w:t>
      </w:r>
      <w:r>
        <w:rPr>
          <w:rStyle w:val="NormalTok"/>
        </w:rPr>
        <w:t xml:space="preserve">IncrementDefault(x)</w:t>
      </w:r>
      <w:r>
        <w:br/>
      </w:r>
      <w:r>
        <w:rPr>
          <w:rStyle w:val="NormalTok"/>
        </w:rPr>
        <w:t xml:space="preserve">    x = x + 1</w:t>
      </w:r>
      <w:r>
        <w:br/>
      </w:r>
      <w:r>
        <w:rPr>
          <w:rStyle w:val="KeywordTok"/>
        </w:rPr>
        <w:t xml:space="preserve">End Sub</w:t>
      </w:r>
      <w:r>
        <w:br/>
      </w:r>
      <w:r>
        <w:rPr>
          <w:rStyle w:val="KeywordTok"/>
        </w:rPr>
        <w:t xml:space="preserve">Call</w:t>
      </w:r>
      <w:r>
        <w:rPr>
          <w:rStyle w:val="NormalTok"/>
        </w:rPr>
        <w:t xml:space="preserve"> IncrementDefault(value)</w:t>
      </w:r>
      <w:r>
        <w:br/>
      </w:r>
      <w:r>
        <w:rPr>
          <w:rStyle w:val="NormalTok"/>
        </w:rPr>
        <w:t xml:space="preserve">Response.Write </w:t>
      </w:r>
      <w:r>
        <w:rPr>
          <w:rStyle w:val="StringTok"/>
        </w:rPr>
        <w:t xml:space="preserve">"After default: "</w:t>
      </w:r>
      <w:r>
        <w:rPr>
          <w:rStyle w:val="NormalTok"/>
        </w:rPr>
        <w:t xml:space="preserve"> &amp; value &amp; </w:t>
      </w:r>
      <w:r>
        <w:rPr>
          <w:rStyle w:val="StringTok"/>
        </w:rPr>
        <w:t xml:space="preserve">" (changed to 12)"</w:t>
      </w:r>
      <w:r>
        <w:br/>
      </w:r>
      <w:r>
        <w:rPr>
          <w:rStyle w:val="NormalTok"/>
        </w:rPr>
        <w:t xml:space="preserve">%&gt;</w:t>
      </w:r>
    </w:p>
    <w:bookmarkEnd w:id="783"/>
    <w:bookmarkEnd w:id="784"/>
    <w:bookmarkStart w:id="786" w:name="combined-usage"/>
    <w:p>
      <w:pPr>
        <w:pStyle w:val="Heading2"/>
      </w:pPr>
      <w:r>
        <w:t xml:space="preserve">Combined Usage</w:t>
      </w:r>
    </w:p>
    <w:p>
      <w:pPr>
        <w:pStyle w:val="FirstParagraph"/>
      </w:pPr>
      <w:r>
        <w:t xml:space="preserve">Optional parameters, ParamArray, and ByVal can be combined in a single procedure declaration, following these ordering rules:</w:t>
      </w:r>
    </w:p>
    <w:p>
      <w:pPr>
        <w:pStyle w:val="Compact"/>
        <w:numPr>
          <w:ilvl w:val="0"/>
          <w:numId w:val="1229"/>
        </w:numPr>
      </w:pPr>
      <w:r>
        <w:t xml:space="preserve">Required parameters (with or without ByRef/ByVal)</w:t>
      </w:r>
    </w:p>
    <w:p>
      <w:pPr>
        <w:pStyle w:val="Compact"/>
        <w:numPr>
          <w:ilvl w:val="0"/>
          <w:numId w:val="1229"/>
        </w:numPr>
      </w:pPr>
      <w:r>
        <w:t xml:space="preserve">Optional parameters (with or without default values)</w:t>
      </w:r>
    </w:p>
    <w:p>
      <w:pPr>
        <w:pStyle w:val="Compact"/>
        <w:numPr>
          <w:ilvl w:val="0"/>
          <w:numId w:val="1229"/>
        </w:numPr>
      </w:pPr>
      <w:r>
        <w:t xml:space="preserve">ParamArray (must be last)</w:t>
      </w:r>
    </w:p>
    <w:bookmarkStart w:id="785" w:name="code-example-25"/>
    <w:p>
      <w:pPr>
        <w:pStyle w:val="Heading3"/>
      </w:pPr>
      <w:r>
        <w:t xml:space="preserve">Code Example</w:t>
      </w:r>
    </w:p>
    <w:p>
      <w:pPr>
        <w:pStyle w:val="SourceCode"/>
      </w:pPr>
      <w:r>
        <w:rPr>
          <w:rStyle w:val="NormalTok"/>
        </w:rPr>
        <w:t xml:space="preserve">&lt;%@ Language=</w:t>
      </w:r>
      <w:r>
        <w:rPr>
          <w:rStyle w:val="StringTok"/>
        </w:rPr>
        <w:t xml:space="preserve">"VBScript"</w:t>
      </w:r>
      <w:r>
        <w:rPr>
          <w:rStyle w:val="NormalTok"/>
        </w:rPr>
        <w:t xml:space="preserve"> %&gt;</w:t>
      </w:r>
      <w:r>
        <w:br/>
      </w:r>
      <w:r>
        <w:rPr>
          <w:rStyle w:val="NormalTok"/>
        </w:rPr>
        <w:t xml:space="preserve">&lt;%</w:t>
      </w:r>
      <w:r>
        <w:br/>
      </w:r>
      <w:r>
        <w:rPr>
          <w:rStyle w:val="CommentTok"/>
        </w:rPr>
        <w:t xml:space="preserve">' Advanced logging function combining all features</w:t>
      </w:r>
      <w:r>
        <w:br/>
      </w:r>
      <w:r>
        <w:rPr>
          <w:rStyle w:val="KeywordTok"/>
        </w:rPr>
        <w:t xml:space="preserve">Function </w:t>
      </w:r>
      <w:r>
        <w:rPr>
          <w:rStyle w:val="NormalTok"/>
        </w:rPr>
        <w:t xml:space="preserve">LogMessage(</w:t>
      </w:r>
      <w:r>
        <w:rPr>
          <w:rStyle w:val="KeywordTok"/>
        </w:rPr>
        <w:t xml:space="preserve">ByVal</w:t>
      </w:r>
      <w:r>
        <w:rPr>
          <w:rStyle w:val="NormalTok"/>
        </w:rPr>
        <w:t xml:space="preserve"> level </w:t>
      </w:r>
      <w:r>
        <w:rPr>
          <w:rStyle w:val="KeywordTok"/>
        </w:rPr>
        <w:t xml:space="preserve">As</w:t>
      </w:r>
      <w:r>
        <w:rPr>
          <w:rStyle w:val="NormalTok"/>
        </w:rPr>
        <w:t xml:space="preserve"> </w:t>
      </w:r>
      <w:r>
        <w:rPr>
          <w:rStyle w:val="DataTypeTok"/>
        </w:rPr>
        <w:t xml:space="preserve">String</w:t>
      </w:r>
      <w:r>
        <w:rPr>
          <w:rStyle w:val="NormalTok"/>
        </w:rPr>
        <w:t xml:space="preserve">, _</w:t>
      </w:r>
      <w:r>
        <w:br/>
      </w:r>
      <w:r>
        <w:rPr>
          <w:rStyle w:val="NormalTok"/>
        </w:rPr>
        <w:t xml:space="preserve">                    </w:t>
      </w:r>
      <w:r>
        <w:rPr>
          <w:rStyle w:val="KeywordTok"/>
        </w:rPr>
        <w:t xml:space="preserve">ByVal</w:t>
      </w:r>
      <w:r>
        <w:rPr>
          <w:rStyle w:val="NormalTok"/>
        </w:rPr>
        <w:t xml:space="preserve"> msg </w:t>
      </w:r>
      <w:r>
        <w:rPr>
          <w:rStyle w:val="KeywordTok"/>
        </w:rPr>
        <w:t xml:space="preserve">As</w:t>
      </w:r>
      <w:r>
        <w:rPr>
          <w:rStyle w:val="NormalTok"/>
        </w:rPr>
        <w:t xml:space="preserve"> </w:t>
      </w:r>
      <w:r>
        <w:rPr>
          <w:rStyle w:val="DataTypeTok"/>
        </w:rPr>
        <w:t xml:space="preserve">String</w:t>
      </w:r>
      <w:r>
        <w:rPr>
          <w:rStyle w:val="NormalTok"/>
        </w:rPr>
        <w:t xml:space="preserve">, _</w:t>
      </w:r>
      <w:r>
        <w:br/>
      </w:r>
      <w:r>
        <w:rPr>
          <w:rStyle w:val="NormalTok"/>
        </w:rPr>
        <w:t xml:space="preserve">                    </w:t>
      </w:r>
      <w:r>
        <w:rPr>
          <w:rStyle w:val="KeywordTok"/>
        </w:rPr>
        <w:t xml:space="preserve">Optional</w:t>
      </w:r>
      <w:r>
        <w:rPr>
          <w:rStyle w:val="NormalTok"/>
        </w:rPr>
        <w:t xml:space="preserve"> timestamp </w:t>
      </w:r>
      <w:r>
        <w:rPr>
          <w:rStyle w:val="KeywordTok"/>
        </w:rPr>
        <w:t xml:space="preserve">As</w:t>
      </w:r>
      <w:r>
        <w:rPr>
          <w:rStyle w:val="NormalTok"/>
        </w:rPr>
        <w:t xml:space="preserve"> </w:t>
      </w:r>
      <w:r>
        <w:rPr>
          <w:rStyle w:val="DataTypeTok"/>
        </w:rPr>
        <w:t xml:space="preserve">String</w:t>
      </w:r>
      <w:r>
        <w:rPr>
          <w:rStyle w:val="NormalTok"/>
        </w:rPr>
        <w:t xml:space="preserve"> = </w:t>
      </w:r>
      <w:r>
        <w:rPr>
          <w:rStyle w:val="StringTok"/>
        </w:rPr>
        <w:t xml:space="preserve">"now"</w:t>
      </w:r>
      <w:r>
        <w:rPr>
          <w:rStyle w:val="NormalTok"/>
        </w:rPr>
        <w:t xml:space="preserve">, _</w:t>
      </w:r>
      <w:r>
        <w:br/>
      </w:r>
      <w:r>
        <w:rPr>
          <w:rStyle w:val="NormalTok"/>
        </w:rPr>
        <w:t xml:space="preserve">                    </w:t>
      </w:r>
      <w:r>
        <w:rPr>
          <w:rStyle w:val="KeywordTok"/>
        </w:rPr>
        <w:t xml:space="preserve">ParamArray</w:t>
      </w:r>
      <w:r>
        <w:rPr>
          <w:rStyle w:val="NormalTok"/>
        </w:rPr>
        <w:t xml:space="preserve"> tags())</w:t>
      </w:r>
      <w:r>
        <w:br/>
      </w:r>
      <w:r>
        <w:rPr>
          <w:rStyle w:val="NormalTok"/>
        </w:rPr>
        <w:t xml:space="preserve">    </w:t>
      </w:r>
      <w:r>
        <w:rPr>
          <w:rStyle w:val="KeywordTok"/>
        </w:rPr>
        <w:t xml:space="preserve">Dim</w:t>
      </w:r>
      <w:r>
        <w:rPr>
          <w:rStyle w:val="NormalTok"/>
        </w:rPr>
        <w:t xml:space="preserve"> result, i</w:t>
      </w:r>
      <w:r>
        <w:br/>
      </w:r>
      <w:r>
        <w:rPr>
          <w:rStyle w:val="NormalTok"/>
        </w:rPr>
        <w:t xml:space="preserve">    result = </w:t>
      </w:r>
      <w:r>
        <w:rPr>
          <w:rStyle w:val="StringTok"/>
        </w:rPr>
        <w:t xml:space="preserve">"["</w:t>
      </w:r>
      <w:r>
        <w:rPr>
          <w:rStyle w:val="NormalTok"/>
        </w:rPr>
        <w:t xml:space="preserve"> &amp; level &amp; </w:t>
      </w:r>
      <w:r>
        <w:rPr>
          <w:rStyle w:val="StringTok"/>
        </w:rPr>
        <w:t xml:space="preserve">"] "</w:t>
      </w:r>
      <w:r>
        <w:rPr>
          <w:rStyle w:val="NormalTok"/>
        </w:rPr>
        <w:t xml:space="preserve"> &amp; msg</w:t>
      </w:r>
      <w:r>
        <w:br/>
      </w:r>
      <w:r>
        <w:rPr>
          <w:rStyle w:val="NormalTok"/>
        </w:rPr>
        <w:t xml:space="preserve">    </w:t>
      </w:r>
      <w:r>
        <w:br/>
      </w:r>
      <w:r>
        <w:rPr>
          <w:rStyle w:val="NormalTok"/>
        </w:rPr>
        <w:t xml:space="preserve">    </w:t>
      </w:r>
      <w:r>
        <w:rPr>
          <w:rStyle w:val="KeywordTok"/>
        </w:rPr>
        <w:t xml:space="preserve">If </w:t>
      </w:r>
      <w:r>
        <w:rPr>
          <w:rStyle w:val="NormalTok"/>
        </w:rPr>
        <w:t xml:space="preserve">timestamp &lt;&gt; </w:t>
      </w:r>
      <w:r>
        <w:rPr>
          <w:rStyle w:val="StringTok"/>
        </w:rPr>
        <w:t xml:space="preserve">"now"</w:t>
      </w:r>
      <w:r>
        <w:rPr>
          <w:rStyle w:val="NormalTok"/>
        </w:rPr>
        <w:t xml:space="preserve"> </w:t>
      </w:r>
      <w:r>
        <w:rPr>
          <w:rStyle w:val="KeywordTok"/>
        </w:rPr>
        <w:t xml:space="preserve">Then</w:t>
      </w:r>
      <w:r>
        <w:br/>
      </w:r>
      <w:r>
        <w:rPr>
          <w:rStyle w:val="NormalTok"/>
        </w:rPr>
        <w:t xml:space="preserve">        result = result &amp; </w:t>
      </w:r>
      <w:r>
        <w:rPr>
          <w:rStyle w:val="StringTok"/>
        </w:rPr>
        <w:t xml:space="preserve">" @"</w:t>
      </w:r>
      <w:r>
        <w:rPr>
          <w:rStyle w:val="NormalTok"/>
        </w:rPr>
        <w:t xml:space="preserve"> &amp; timestamp</w:t>
      </w:r>
      <w:r>
        <w:br/>
      </w:r>
      <w:r>
        <w:rPr>
          <w:rStyle w:val="NormalTok"/>
        </w:rPr>
        <w:t xml:space="preserve">    </w:t>
      </w:r>
      <w:r>
        <w:rPr>
          <w:rStyle w:val="KeywordTok"/>
        </w:rPr>
        <w:t xml:space="preserve">End If</w:t>
      </w:r>
      <w:r>
        <w:br/>
      </w:r>
      <w:r>
        <w:rPr>
          <w:rStyle w:val="NormalTok"/>
        </w:rPr>
        <w:t xml:space="preserve">    </w:t>
      </w:r>
      <w:r>
        <w:br/>
      </w:r>
      <w:r>
        <w:rPr>
          <w:rStyle w:val="NormalTok"/>
        </w:rPr>
        <w:t xml:space="preserve">    </w:t>
      </w:r>
      <w:r>
        <w:rPr>
          <w:rStyle w:val="KeywordTok"/>
        </w:rPr>
        <w:t xml:space="preserve">If </w:t>
      </w:r>
      <w:r>
        <w:rPr>
          <w:rStyle w:val="NormalTok"/>
        </w:rPr>
        <w:t xml:space="preserve">IsArray(tags) </w:t>
      </w:r>
      <w:r>
        <w:rPr>
          <w:rStyle w:val="KeywordTok"/>
        </w:rPr>
        <w:t xml:space="preserve">And</w:t>
      </w:r>
      <w:r>
        <w:rPr>
          <w:rStyle w:val="NormalTok"/>
        </w:rPr>
        <w:t xml:space="preserve"> UBound(tags) &gt;= LBound(tags) </w:t>
      </w:r>
      <w:r>
        <w:rPr>
          <w:rStyle w:val="KeywordTok"/>
        </w:rPr>
        <w:t xml:space="preserve">Then</w:t>
      </w:r>
      <w:r>
        <w:br/>
      </w:r>
      <w:r>
        <w:rPr>
          <w:rStyle w:val="NormalTok"/>
        </w:rPr>
        <w:t xml:space="preserve">        result = result &amp; </w:t>
      </w:r>
      <w:r>
        <w:rPr>
          <w:rStyle w:val="StringTok"/>
        </w:rPr>
        <w:t xml:space="preserve">" {"</w:t>
      </w:r>
      <w:r>
        <w:br/>
      </w:r>
      <w:r>
        <w:rPr>
          <w:rStyle w:val="NormalTok"/>
        </w:rPr>
        <w:t xml:space="preserve">        </w:t>
      </w:r>
      <w:r>
        <w:rPr>
          <w:rStyle w:val="KeywordTok"/>
        </w:rPr>
        <w:t xml:space="preserve">For </w:t>
      </w:r>
      <w:r>
        <w:rPr>
          <w:rStyle w:val="NormalTok"/>
        </w:rPr>
        <w:t xml:space="preserve">i = LBound(tags) </w:t>
      </w:r>
      <w:r>
        <w:rPr>
          <w:rStyle w:val="KeywordTok"/>
        </w:rPr>
        <w:t xml:space="preserve">To</w:t>
      </w:r>
      <w:r>
        <w:rPr>
          <w:rStyle w:val="NormalTok"/>
        </w:rPr>
        <w:t xml:space="preserve"> UBound(tags)</w:t>
      </w:r>
      <w:r>
        <w:br/>
      </w:r>
      <w:r>
        <w:rPr>
          <w:rStyle w:val="NormalTok"/>
        </w:rPr>
        <w:t xml:space="preserve">            </w:t>
      </w:r>
      <w:r>
        <w:rPr>
          <w:rStyle w:val="KeywordTok"/>
        </w:rPr>
        <w:t xml:space="preserve">If </w:t>
      </w:r>
      <w:r>
        <w:rPr>
          <w:rStyle w:val="NormalTok"/>
        </w:rPr>
        <w:t xml:space="preserve">i &gt; LBound(tags) </w:t>
      </w:r>
      <w:r>
        <w:rPr>
          <w:rStyle w:val="KeywordTok"/>
        </w:rPr>
        <w:t xml:space="preserve">Then</w:t>
      </w:r>
      <w:r>
        <w:rPr>
          <w:rStyle w:val="NormalTok"/>
        </w:rPr>
        <w:t xml:space="preserve"> result = result &amp; </w:t>
      </w:r>
      <w:r>
        <w:rPr>
          <w:rStyle w:val="StringTok"/>
        </w:rPr>
        <w:t xml:space="preserve">", "</w:t>
      </w:r>
      <w:r>
        <w:br/>
      </w:r>
      <w:r>
        <w:rPr>
          <w:rStyle w:val="NormalTok"/>
        </w:rPr>
        <w:t xml:space="preserve">            result = result &amp; tags(i)</w:t>
      </w:r>
      <w:r>
        <w:br/>
      </w:r>
      <w:r>
        <w:rPr>
          <w:rStyle w:val="NormalTok"/>
        </w:rPr>
        <w:t xml:space="preserve">        </w:t>
      </w:r>
      <w:r>
        <w:rPr>
          <w:rStyle w:val="KeywordTok"/>
        </w:rPr>
        <w:t xml:space="preserve">Next</w:t>
      </w:r>
      <w:r>
        <w:br/>
      </w:r>
      <w:r>
        <w:rPr>
          <w:rStyle w:val="NormalTok"/>
        </w:rPr>
        <w:t xml:space="preserve">        result = result &amp; </w:t>
      </w:r>
      <w:r>
        <w:rPr>
          <w:rStyle w:val="StringTok"/>
        </w:rPr>
        <w:t xml:space="preserve">"}"</w:t>
      </w:r>
      <w:r>
        <w:br/>
      </w:r>
      <w:r>
        <w:rPr>
          <w:rStyle w:val="NormalTok"/>
        </w:rPr>
        <w:t xml:space="preserve">    </w:t>
      </w:r>
      <w:r>
        <w:rPr>
          <w:rStyle w:val="KeywordTok"/>
        </w:rPr>
        <w:t xml:space="preserve">End If</w:t>
      </w:r>
      <w:r>
        <w:br/>
      </w:r>
      <w:r>
        <w:rPr>
          <w:rStyle w:val="NormalTok"/>
        </w:rPr>
        <w:t xml:space="preserve">    </w:t>
      </w:r>
      <w:r>
        <w:br/>
      </w:r>
      <w:r>
        <w:rPr>
          <w:rStyle w:val="NormalTok"/>
        </w:rPr>
        <w:t xml:space="preserve">    LogMessage = result</w:t>
      </w:r>
      <w:r>
        <w:br/>
      </w:r>
      <w:r>
        <w:rPr>
          <w:rStyle w:val="KeywordTok"/>
        </w:rPr>
        <w:t xml:space="preserve">End Function</w:t>
      </w:r>
      <w:r>
        <w:br/>
      </w:r>
      <w:r>
        <w:br/>
      </w:r>
      <w:r>
        <w:rPr>
          <w:rStyle w:val="CommentTok"/>
        </w:rPr>
        <w:t xml:space="preserve">' Examples</w:t>
      </w:r>
      <w:r>
        <w:br/>
      </w:r>
      <w:r>
        <w:rPr>
          <w:rStyle w:val="NormalTok"/>
        </w:rPr>
        <w:t xml:space="preserve">Response.Write LogMessage(</w:t>
      </w:r>
      <w:r>
        <w:rPr>
          <w:rStyle w:val="StringTok"/>
        </w:rPr>
        <w:t xml:space="preserve">"INFO"</w:t>
      </w:r>
      <w:r>
        <w:rPr>
          <w:rStyle w:val="NormalTok"/>
        </w:rPr>
        <w:t xml:space="preserve">, </w:t>
      </w:r>
      <w:r>
        <w:rPr>
          <w:rStyle w:val="StringTok"/>
        </w:rPr>
        <w:t xml:space="preserve">"Application started"</w:t>
      </w:r>
      <w:r>
        <w:rPr>
          <w:rStyle w:val="NormalTok"/>
        </w:rPr>
        <w:t xml:space="preserve">) &amp; </w:t>
      </w:r>
      <w:r>
        <w:rPr>
          <w:rStyle w:val="StringTok"/>
        </w:rPr>
        <w:t xml:space="preserve">"&lt;br&gt;"</w:t>
      </w:r>
      <w:r>
        <w:br/>
      </w:r>
      <w:r>
        <w:rPr>
          <w:rStyle w:val="NormalTok"/>
        </w:rPr>
        <w:t xml:space="preserve">Response.Write LogMessage(</w:t>
      </w:r>
      <w:r>
        <w:rPr>
          <w:rStyle w:val="StringTok"/>
        </w:rPr>
        <w:t xml:space="preserve">"WARN"</w:t>
      </w:r>
      <w:r>
        <w:rPr>
          <w:rStyle w:val="NormalTok"/>
        </w:rPr>
        <w:t xml:space="preserve">, </w:t>
      </w:r>
      <w:r>
        <w:rPr>
          <w:rStyle w:val="StringTok"/>
        </w:rPr>
        <w:t xml:space="preserve">"High memory usage"</w:t>
      </w:r>
      <w:r>
        <w:rPr>
          <w:rStyle w:val="NormalTok"/>
        </w:rPr>
        <w:t xml:space="preserve">, </w:t>
      </w:r>
      <w:r>
        <w:rPr>
          <w:rStyle w:val="StringTok"/>
        </w:rPr>
        <w:t xml:space="preserve">"now"</w:t>
      </w:r>
      <w:r>
        <w:rPr>
          <w:rStyle w:val="NormalTok"/>
        </w:rPr>
        <w:t xml:space="preserve">, </w:t>
      </w:r>
      <w:r>
        <w:rPr>
          <w:rStyle w:val="StringTok"/>
        </w:rPr>
        <w:t xml:space="preserve">"server1"</w:t>
      </w:r>
      <w:r>
        <w:rPr>
          <w:rStyle w:val="NormalTok"/>
        </w:rPr>
        <w:t xml:space="preserve">, </w:t>
      </w:r>
      <w:r>
        <w:rPr>
          <w:rStyle w:val="StringTok"/>
        </w:rPr>
        <w:t xml:space="preserve">"memory"</w:t>
      </w:r>
      <w:r>
        <w:rPr>
          <w:rStyle w:val="NormalTok"/>
        </w:rPr>
        <w:t xml:space="preserve">) &amp; </w:t>
      </w:r>
      <w:r>
        <w:rPr>
          <w:rStyle w:val="StringTok"/>
        </w:rPr>
        <w:t xml:space="preserve">"&lt;br&gt;"</w:t>
      </w:r>
      <w:r>
        <w:br/>
      </w:r>
      <w:r>
        <w:rPr>
          <w:rStyle w:val="NormalTok"/>
        </w:rPr>
        <w:t xml:space="preserve">Response.Write LogMessage(</w:t>
      </w:r>
      <w:r>
        <w:rPr>
          <w:rStyle w:val="StringTok"/>
        </w:rPr>
        <w:t xml:space="preserve">"ERROR"</w:t>
      </w:r>
      <w:r>
        <w:rPr>
          <w:rStyle w:val="NormalTok"/>
        </w:rPr>
        <w:t xml:space="preserve">, </w:t>
      </w:r>
      <w:r>
        <w:rPr>
          <w:rStyle w:val="StringTok"/>
        </w:rPr>
        <w:t xml:space="preserve">"Connection failed"</w:t>
      </w:r>
      <w:r>
        <w:rPr>
          <w:rStyle w:val="NormalTok"/>
        </w:rPr>
        <w:t xml:space="preserve">, </w:t>
      </w:r>
      <w:r>
        <w:rPr>
          <w:rStyle w:val="StringTok"/>
        </w:rPr>
        <w:t xml:space="preserve">"12:00:00"</w:t>
      </w:r>
      <w:r>
        <w:rPr>
          <w:rStyle w:val="NormalTok"/>
        </w:rPr>
        <w:t xml:space="preserve">, </w:t>
      </w:r>
      <w:r>
        <w:rPr>
          <w:rStyle w:val="StringTok"/>
        </w:rPr>
        <w:t xml:space="preserve">"critical"</w:t>
      </w:r>
      <w:r>
        <w:rPr>
          <w:rStyle w:val="NormalTok"/>
        </w:rPr>
        <w:t xml:space="preserve">, </w:t>
      </w:r>
      <w:r>
        <w:rPr>
          <w:rStyle w:val="StringTok"/>
        </w:rPr>
        <w:t xml:space="preserve">"db"</w:t>
      </w:r>
      <w:r>
        <w:rPr>
          <w:rStyle w:val="NormalTok"/>
        </w:rPr>
        <w:t xml:space="preserve">, </w:t>
      </w:r>
      <w:r>
        <w:rPr>
          <w:rStyle w:val="StringTok"/>
        </w:rPr>
        <w:t xml:space="preserve">"timeout"</w:t>
      </w:r>
      <w:r>
        <w:rPr>
          <w:rStyle w:val="NormalTok"/>
        </w:rPr>
        <w:t xml:space="preserve">)</w:t>
      </w:r>
      <w:r>
        <w:br/>
      </w:r>
      <w:r>
        <w:rPr>
          <w:rStyle w:val="NormalTok"/>
        </w:rPr>
        <w:t xml:space="preserve">%&gt;</w:t>
      </w:r>
    </w:p>
    <w:bookmarkEnd w:id="785"/>
    <w:bookmarkEnd w:id="786"/>
    <w:bookmarkStart w:id="787" w:name="compatibility-notes"/>
    <w:p>
      <w:pPr>
        <w:pStyle w:val="Heading2"/>
      </w:pPr>
      <w:r>
        <w:t xml:space="preserve">Compatibility Notes</w:t>
      </w:r>
    </w:p>
    <w:p>
      <w:pPr>
        <w:pStyle w:val="Compact"/>
        <w:numPr>
          <w:ilvl w:val="0"/>
          <w:numId w:val="1230"/>
        </w:numPr>
      </w:pPr>
      <w:r>
        <w:t xml:space="preserve">These extensions are specific to the G3Pix AxonASP implementation and are designed to match the Visual Basic 6.0 language specification wherever possible.</w:t>
      </w:r>
    </w:p>
    <w:p>
      <w:pPr>
        <w:pStyle w:val="Compact"/>
        <w:numPr>
          <w:ilvl w:val="0"/>
          <w:numId w:val="1230"/>
        </w:numPr>
      </w:pPr>
      <w:r>
        <w:t xml:space="preserve">Classic ASP applications that do not use these features continue to work without modification.</w:t>
      </w:r>
    </w:p>
    <w:p>
      <w:pPr>
        <w:pStyle w:val="Compact"/>
        <w:numPr>
          <w:ilvl w:val="0"/>
          <w:numId w:val="1230"/>
        </w:numPr>
      </w:pPr>
      <w:r>
        <w:t xml:space="preserve">The default parameter passing convention remains ByRef, matching standard VBScript behavior.</w:t>
      </w:r>
    </w:p>
    <w:p>
      <w:pPr>
        <w:pStyle w:val="Compact"/>
        <w:numPr>
          <w:ilvl w:val="0"/>
          <w:numId w:val="1230"/>
        </w:numPr>
      </w:pPr>
      <w:r>
        <w:t xml:space="preserve">ParamArray parameters are always zero-based arrays (LBound returns 0), matching VB6 conventions.</w:t>
      </w:r>
    </w:p>
    <w:p>
      <w:pPr>
        <w:pStyle w:val="Compact"/>
        <w:numPr>
          <w:ilvl w:val="0"/>
          <w:numId w:val="1230"/>
        </w:numPr>
      </w:pPr>
      <w:r>
        <w:t xml:space="preserve">Optional parameter default values support all VBScript literal types: Integer, Long, Double, String, Boolean, and Empty.</w:t>
      </w:r>
    </w:p>
    <w:bookmarkEnd w:id="787"/>
    <w:bookmarkEnd w:id="788"/>
    <w:bookmarkStart w:id="800" w:name="X9d648a2a2c50a86ecc27371cd6a7a86f69acc43"/>
    <w:p>
      <w:pPr>
        <w:pStyle w:val="Heading1"/>
      </w:pPr>
      <w:r>
        <w:t xml:space="preserve">Event Orientation (Event, RaiseEvent, WithEvents)</w:t>
      </w:r>
    </w:p>
    <w:p>
      <w:pPr>
        <w:pStyle w:val="FirstParagraph"/>
      </w:pPr>
      <w:r>
        <w:t xml:space="preserve">AxonASP modernization brings Visual Basic 6 (VB6) event-driven programming patterns to Classic ASP. This allows for cleaner decoupling between components by enabling objects to notify observers when specific actions occur.</w:t>
      </w:r>
    </w:p>
    <w:bookmarkStart w:id="791" w:name="event-statement"/>
    <w:p>
      <w:pPr>
        <w:pStyle w:val="Heading2"/>
      </w:pPr>
      <w:r>
        <w:t xml:space="preserve">Event Statement</w:t>
      </w:r>
    </w:p>
    <w:p>
      <w:pPr>
        <w:pStyle w:val="FirstParagraph"/>
      </w:pPr>
      <w:r>
        <w:t xml:space="preserve">Declares a user-defined event within a Class.</w:t>
      </w:r>
    </w:p>
    <w:bookmarkStart w:id="789" w:name="syntax-29"/>
    <w:p>
      <w:pPr>
        <w:pStyle w:val="Heading3"/>
      </w:pPr>
      <w:r>
        <w:t xml:space="preserve">Syntax</w:t>
      </w:r>
    </w:p>
    <w:p>
      <w:pPr>
        <w:pStyle w:val="SourceCode"/>
      </w:pPr>
      <w:r>
        <w:rPr>
          <w:rStyle w:val="VerbatimChar"/>
        </w:rPr>
        <w:t xml:space="preserve">[Public] Event procedurename [(arglist)]</w:t>
      </w:r>
    </w:p>
    <w:p>
      <w:pPr>
        <w:pStyle w:val="Compact"/>
        <w:numPr>
          <w:ilvl w:val="0"/>
          <w:numId w:val="1231"/>
        </w:numPr>
      </w:pPr>
      <w:r>
        <w:rPr>
          <w:b/>
          <w:bCs/>
        </w:rPr>
        <w:t xml:space="preserve">procedurename</w:t>
      </w:r>
      <w:r>
        <w:t xml:space="preserve">: Required. Name of the event.</w:t>
      </w:r>
    </w:p>
    <w:p>
      <w:pPr>
        <w:pStyle w:val="Compact"/>
        <w:numPr>
          <w:ilvl w:val="0"/>
          <w:numId w:val="1231"/>
        </w:numPr>
      </w:pPr>
      <w:r>
        <w:rPr>
          <w:b/>
          <w:bCs/>
        </w:rPr>
        <w:t xml:space="preserve">arglist</w:t>
      </w:r>
      <w:r>
        <w:t xml:space="preserve">: Optional. List of variables representing arguments passed to the event when it is raised.</w:t>
      </w:r>
    </w:p>
    <w:bookmarkEnd w:id="789"/>
    <w:bookmarkStart w:id="790" w:name="example-15"/>
    <w:p>
      <w:pPr>
        <w:pStyle w:val="Heading3"/>
      </w:pPr>
      <w:r>
        <w:t xml:space="preserve">Example</w:t>
      </w:r>
    </w:p>
    <w:p>
      <w:pPr>
        <w:pStyle w:val="SourceCode"/>
      </w:pPr>
      <w:r>
        <w:rPr>
          <w:rStyle w:val="VerbatimChar"/>
        </w:rPr>
        <w:t xml:space="preserve">Class MyComponent</w:t>
      </w:r>
      <w:r>
        <w:br/>
      </w:r>
      <w:r>
        <w:rPr>
          <w:rStyle w:val="VerbatimChar"/>
        </w:rPr>
        <w:t xml:space="preserve">    Event OnComplete(status)</w:t>
      </w:r>
      <w:r>
        <w:br/>
      </w:r>
      <w:r>
        <w:rPr>
          <w:rStyle w:val="VerbatimChar"/>
        </w:rPr>
        <w:t xml:space="preserve">End Class</w:t>
      </w:r>
    </w:p>
    <w:bookmarkEnd w:id="790"/>
    <w:bookmarkEnd w:id="791"/>
    <w:bookmarkStart w:id="794" w:name="raiseevent-statement"/>
    <w:p>
      <w:pPr>
        <w:pStyle w:val="Heading2"/>
      </w:pPr>
      <w:r>
        <w:t xml:space="preserve">RaiseEvent Statement</w:t>
      </w:r>
    </w:p>
    <w:p>
      <w:pPr>
        <w:pStyle w:val="FirstParagraph"/>
      </w:pPr>
      <w:r>
        <w:t xml:space="preserve">Fires a user-defined event.</w:t>
      </w:r>
    </w:p>
    <w:bookmarkStart w:id="792" w:name="syntax-30"/>
    <w:p>
      <w:pPr>
        <w:pStyle w:val="Heading3"/>
      </w:pPr>
      <w:r>
        <w:t xml:space="preserve">Syntax</w:t>
      </w:r>
    </w:p>
    <w:p>
      <w:pPr>
        <w:pStyle w:val="SourceCode"/>
      </w:pPr>
      <w:r>
        <w:rPr>
          <w:rStyle w:val="VerbatimChar"/>
        </w:rPr>
        <w:t xml:space="preserve">RaiseEvent eventname [(arglist)]</w:t>
      </w:r>
    </w:p>
    <w:p>
      <w:pPr>
        <w:pStyle w:val="Compact"/>
        <w:numPr>
          <w:ilvl w:val="0"/>
          <w:numId w:val="1232"/>
        </w:numPr>
      </w:pPr>
      <w:r>
        <w:rPr>
          <w:b/>
          <w:bCs/>
        </w:rPr>
        <w:t xml:space="preserve">eventname</w:t>
      </w:r>
      <w:r>
        <w:t xml:space="preserve">: Required. Name of the event to raise.</w:t>
      </w:r>
    </w:p>
    <w:p>
      <w:pPr>
        <w:pStyle w:val="Compact"/>
        <w:numPr>
          <w:ilvl w:val="0"/>
          <w:numId w:val="1232"/>
        </w:numPr>
      </w:pPr>
      <w:r>
        <w:rPr>
          <w:b/>
          <w:bCs/>
        </w:rPr>
        <w:t xml:space="preserve">arglist</w:t>
      </w:r>
      <w:r>
        <w:t xml:space="preserve">: Optional. Comma-separated list of variables, expressions, or values to pass to the event handlers.</w:t>
      </w:r>
    </w:p>
    <w:bookmarkEnd w:id="792"/>
    <w:bookmarkStart w:id="793" w:name="example-16"/>
    <w:p>
      <w:pPr>
        <w:pStyle w:val="Heading3"/>
      </w:pPr>
      <w:r>
        <w:t xml:space="preserve">Example</w:t>
      </w:r>
    </w:p>
    <w:p>
      <w:pPr>
        <w:pStyle w:val="SourceCode"/>
      </w:pPr>
      <w:r>
        <w:rPr>
          <w:rStyle w:val="VerbatimChar"/>
        </w:rPr>
        <w:t xml:space="preserve">Class MyComponent</w:t>
      </w:r>
      <w:r>
        <w:br/>
      </w:r>
      <w:r>
        <w:rPr>
          <w:rStyle w:val="VerbatimChar"/>
        </w:rPr>
        <w:t xml:space="preserve">    Event OnComplete(status)</w:t>
      </w:r>
      <w:r>
        <w:br/>
      </w:r>
      <w:r>
        <w:rPr>
          <w:rStyle w:val="VerbatimChar"/>
        </w:rPr>
        <w:t xml:space="preserve">    </w:t>
      </w:r>
      <w:r>
        <w:br/>
      </w:r>
      <w:r>
        <w:rPr>
          <w:rStyle w:val="VerbatimChar"/>
        </w:rPr>
        <w:t xml:space="preserve">    Sub DoWork()</w:t>
      </w:r>
      <w:r>
        <w:br/>
      </w:r>
      <w:r>
        <w:rPr>
          <w:rStyle w:val="VerbatimChar"/>
        </w:rPr>
        <w:t xml:space="preserve">        ' ... processing ...</w:t>
      </w:r>
      <w:r>
        <w:br/>
      </w:r>
      <w:r>
        <w:rPr>
          <w:rStyle w:val="VerbatimChar"/>
        </w:rPr>
        <w:t xml:space="preserve">        RaiseEvent OnComplete("Success")</w:t>
      </w:r>
      <w:r>
        <w:br/>
      </w:r>
      <w:r>
        <w:rPr>
          <w:rStyle w:val="VerbatimChar"/>
        </w:rPr>
        <w:t xml:space="preserve">    End Sub</w:t>
      </w:r>
      <w:r>
        <w:br/>
      </w:r>
      <w:r>
        <w:rPr>
          <w:rStyle w:val="VerbatimChar"/>
        </w:rPr>
        <w:t xml:space="preserve">End Class</w:t>
      </w:r>
    </w:p>
    <w:bookmarkEnd w:id="793"/>
    <w:bookmarkEnd w:id="794"/>
    <w:bookmarkStart w:id="798" w:name="withevents-keyword"/>
    <w:p>
      <w:pPr>
        <w:pStyle w:val="Heading2"/>
      </w:pPr>
      <w:r>
        <w:t xml:space="preserve">WithEvents Keyword</w:t>
      </w:r>
    </w:p>
    <w:p>
      <w:pPr>
        <w:pStyle w:val="FirstParagraph"/>
      </w:pPr>
      <w:r>
        <w:t xml:space="preserve">Specifies that a variable will be used to handle events raised by an object.</w:t>
      </w:r>
    </w:p>
    <w:bookmarkStart w:id="795" w:name="syntax-31"/>
    <w:p>
      <w:pPr>
        <w:pStyle w:val="Heading3"/>
      </w:pPr>
      <w:r>
        <w:t xml:space="preserve">Syntax</w:t>
      </w:r>
    </w:p>
    <w:p>
      <w:pPr>
        <w:pStyle w:val="SourceCode"/>
      </w:pPr>
      <w:r>
        <w:rPr>
          <w:rStyle w:val="VerbatimChar"/>
        </w:rPr>
        <w:t xml:space="preserve">[Public | Private] WithEvents varname [As typename]</w:t>
      </w:r>
    </w:p>
    <w:p>
      <w:pPr>
        <w:pStyle w:val="Compact"/>
        <w:numPr>
          <w:ilvl w:val="0"/>
          <w:numId w:val="1233"/>
        </w:numPr>
      </w:pPr>
      <w:r>
        <w:rPr>
          <w:b/>
          <w:bCs/>
        </w:rPr>
        <w:t xml:space="preserve">varname</w:t>
      </w:r>
      <w:r>
        <w:t xml:space="preserve">: Required. Name of the variable that will hold the object reference.</w:t>
      </w:r>
    </w:p>
    <w:p>
      <w:pPr>
        <w:pStyle w:val="Compact"/>
        <w:numPr>
          <w:ilvl w:val="0"/>
          <w:numId w:val="1233"/>
        </w:numPr>
      </w:pPr>
      <w:r>
        <w:rPr>
          <w:b/>
          <w:bCs/>
        </w:rPr>
        <w:t xml:space="preserve">typename</w:t>
      </w:r>
      <w:r>
        <w:t xml:space="preserve">: Optional. Name of the class that raises the events.</w:t>
      </w:r>
    </w:p>
    <w:bookmarkEnd w:id="795"/>
    <w:bookmarkStart w:id="796" w:name="usage-rules"/>
    <w:p>
      <w:pPr>
        <w:pStyle w:val="Heading3"/>
      </w:pPr>
      <w:r>
        <w:t xml:space="preserve">Usage Rules</w:t>
      </w:r>
    </w:p>
    <w:p>
      <w:pPr>
        <w:pStyle w:val="Compact"/>
        <w:numPr>
          <w:ilvl w:val="0"/>
          <w:numId w:val="1234"/>
        </w:numPr>
      </w:pPr>
      <w:r>
        <w:rPr>
          <w:b/>
          <w:bCs/>
        </w:rPr>
        <w:t xml:space="preserve">Naming Convention</w:t>
      </w:r>
      <w:r>
        <w:t xml:space="preserve">: Event handlers must be named using the pattern</w:t>
      </w:r>
      <w:r>
        <w:t xml:space="preserve"> </w:t>
      </w:r>
      <w:r>
        <w:rPr>
          <w:rStyle w:val="VerbatimChar"/>
        </w:rPr>
        <w:t xml:space="preserve">varname_eventname</w:t>
      </w:r>
      <w:r>
        <w:t xml:space="preserve">.</w:t>
      </w:r>
    </w:p>
    <w:p>
      <w:pPr>
        <w:pStyle w:val="Compact"/>
        <w:numPr>
          <w:ilvl w:val="0"/>
          <w:numId w:val="1234"/>
        </w:numPr>
      </w:pPr>
      <w:r>
        <w:rPr>
          <w:b/>
          <w:bCs/>
        </w:rPr>
        <w:t xml:space="preserve">Scope</w:t>
      </w:r>
      <w:r>
        <w:t xml:space="preserve">:</w:t>
      </w:r>
      <w:r>
        <w:t xml:space="preserve"> </w:t>
      </w:r>
      <w:r>
        <w:rPr>
          <w:rStyle w:val="VerbatimChar"/>
        </w:rPr>
        <w:t xml:space="preserve">WithEvents</w:t>
      </w:r>
      <w:r>
        <w:t xml:space="preserve"> </w:t>
      </w:r>
      <w:r>
        <w:t xml:space="preserve">can be used for class members or global variables. It is not supported for local variables within procedures (matching VB6 behavior).</w:t>
      </w:r>
    </w:p>
    <w:p>
      <w:pPr>
        <w:pStyle w:val="Compact"/>
        <w:numPr>
          <w:ilvl w:val="0"/>
          <w:numId w:val="1234"/>
        </w:numPr>
      </w:pPr>
      <w:r>
        <w:rPr>
          <w:b/>
          <w:bCs/>
        </w:rPr>
        <w:t xml:space="preserve">Assignment</w:t>
      </w:r>
      <w:r>
        <w:t xml:space="preserve">: Binding happens automatically when an object instance is assigned to the</w:t>
      </w:r>
      <w:r>
        <w:t xml:space="preserve"> </w:t>
      </w:r>
      <w:r>
        <w:rPr>
          <w:rStyle w:val="VerbatimChar"/>
        </w:rPr>
        <w:t xml:space="preserve">WithEvents</w:t>
      </w:r>
      <w:r>
        <w:t xml:space="preserve"> </w:t>
      </w:r>
      <w:r>
        <w:t xml:space="preserve">variable using the</w:t>
      </w:r>
      <w:r>
        <w:t xml:space="preserve"> </w:t>
      </w:r>
      <w:r>
        <w:rPr>
          <w:rStyle w:val="VerbatimChar"/>
        </w:rPr>
        <w:t xml:space="preserve">Set</w:t>
      </w:r>
      <w:r>
        <w:t xml:space="preserve"> </w:t>
      </w:r>
      <w:r>
        <w:t xml:space="preserve">statement.</w:t>
      </w:r>
    </w:p>
    <w:bookmarkEnd w:id="796"/>
    <w:bookmarkStart w:id="797" w:name="example-17"/>
    <w:p>
      <w:pPr>
        <w:pStyle w:val="Heading3"/>
      </w:pPr>
      <w:r>
        <w:t xml:space="preserve">Example</w:t>
      </w:r>
    </w:p>
    <w:p>
      <w:pPr>
        <w:pStyle w:val="SourceCode"/>
      </w:pPr>
      <w:r>
        <w:rPr>
          <w:rStyle w:val="VerbatimChar"/>
        </w:rPr>
        <w:t xml:space="preserve">Class EventSource</w:t>
      </w:r>
      <w:r>
        <w:br/>
      </w:r>
      <w:r>
        <w:rPr>
          <w:rStyle w:val="VerbatimChar"/>
        </w:rPr>
        <w:t xml:space="preserve">    Event OnNotify(msg)</w:t>
      </w:r>
      <w:r>
        <w:br/>
      </w:r>
      <w:r>
        <w:rPr>
          <w:rStyle w:val="VerbatimChar"/>
        </w:rPr>
        <w:t xml:space="preserve">    </w:t>
      </w:r>
      <w:r>
        <w:br/>
      </w:r>
      <w:r>
        <w:rPr>
          <w:rStyle w:val="VerbatimChar"/>
        </w:rPr>
        <w:t xml:space="preserve">    Sub Trigger()</w:t>
      </w:r>
      <w:r>
        <w:br/>
      </w:r>
      <w:r>
        <w:rPr>
          <w:rStyle w:val="VerbatimChar"/>
        </w:rPr>
        <w:t xml:space="preserve">        RaiseEvent OnNotify("Hello from Source!")</w:t>
      </w:r>
      <w:r>
        <w:br/>
      </w:r>
      <w:r>
        <w:rPr>
          <w:rStyle w:val="VerbatimChar"/>
        </w:rPr>
        <w:t xml:space="preserve">    End Sub</w:t>
      </w:r>
      <w:r>
        <w:br/>
      </w:r>
      <w:r>
        <w:rPr>
          <w:rStyle w:val="VerbatimChar"/>
        </w:rPr>
        <w:t xml:space="preserve">End Class</w:t>
      </w:r>
      <w:r>
        <w:br/>
      </w:r>
      <w:r>
        <w:br/>
      </w:r>
      <w:r>
        <w:rPr>
          <w:rStyle w:val="VerbatimChar"/>
        </w:rPr>
        <w:t xml:space="preserve">Dim WithEvents objSource</w:t>
      </w:r>
      <w:r>
        <w:br/>
      </w:r>
      <w:r>
        <w:br/>
      </w:r>
      <w:r>
        <w:rPr>
          <w:rStyle w:val="VerbatimChar"/>
        </w:rPr>
        <w:t xml:space="preserve">Sub objSource_OnNotify(msg)</w:t>
      </w:r>
      <w:r>
        <w:br/>
      </w:r>
      <w:r>
        <w:rPr>
          <w:rStyle w:val="VerbatimChar"/>
        </w:rPr>
        <w:t xml:space="preserve">    Response.Write "Received: " &amp; msg</w:t>
      </w:r>
      <w:r>
        <w:br/>
      </w:r>
      <w:r>
        <w:rPr>
          <w:rStyle w:val="VerbatimChar"/>
        </w:rPr>
        <w:t xml:space="preserve">End Sub</w:t>
      </w:r>
      <w:r>
        <w:br/>
      </w:r>
      <w:r>
        <w:br/>
      </w:r>
      <w:r>
        <w:rPr>
          <w:rStyle w:val="VerbatimChar"/>
        </w:rPr>
        <w:t xml:space="preserve">Set objSource = New EventSource</w:t>
      </w:r>
      <w:r>
        <w:br/>
      </w:r>
      <w:r>
        <w:rPr>
          <w:rStyle w:val="VerbatimChar"/>
        </w:rPr>
        <w:t xml:space="preserve">objSource.Trigger()</w:t>
      </w:r>
      <w:r>
        <w:br/>
      </w:r>
      <w:r>
        <w:rPr>
          <w:rStyle w:val="VerbatimChar"/>
        </w:rPr>
        <w:t xml:space="preserve">' Output: Received: Hello from Source!</w:t>
      </w:r>
    </w:p>
    <w:bookmarkEnd w:id="797"/>
    <w:bookmarkEnd w:id="798"/>
    <w:bookmarkStart w:id="799" w:name="performance-and-memory"/>
    <w:p>
      <w:pPr>
        <w:pStyle w:val="Heading2"/>
      </w:pPr>
      <w:r>
        <w:t xml:space="preserve">Performance and Memory</w:t>
      </w:r>
    </w:p>
    <w:p>
      <w:pPr>
        <w:pStyle w:val="FirstParagraph"/>
      </w:pPr>
      <w:r>
        <w:t xml:space="preserve">AxonASP implements events using an efficient internal observer table. Circular references between the event source and the sink are handled carefully to prevent memory leaks during</w:t>
      </w:r>
      <w:r>
        <w:t xml:space="preserve"> </w:t>
      </w:r>
      <w:r>
        <w:rPr>
          <w:rStyle w:val="VerbatimChar"/>
        </w:rPr>
        <w:t xml:space="preserve">Class_Terminate</w:t>
      </w:r>
      <w:r>
        <w:t xml:space="preserve">.</w:t>
      </w:r>
    </w:p>
    <w:p>
      <w:pPr>
        <w:pStyle w:val="Compact"/>
        <w:numPr>
          <w:ilvl w:val="0"/>
          <w:numId w:val="1235"/>
        </w:numPr>
      </w:pPr>
      <w:r>
        <w:rPr>
          <w:b/>
          <w:bCs/>
        </w:rPr>
        <w:t xml:space="preserve">Zero-Allocation Dispatch</w:t>
      </w:r>
      <w:r>
        <w:t xml:space="preserve">: Event raising is optimized to minimize heap allocations.</w:t>
      </w:r>
    </w:p>
    <w:p>
      <w:pPr>
        <w:pStyle w:val="Compact"/>
        <w:numPr>
          <w:ilvl w:val="0"/>
          <w:numId w:val="1235"/>
        </w:numPr>
      </w:pPr>
      <w:r>
        <w:rPr>
          <w:b/>
          <w:bCs/>
        </w:rPr>
        <w:t xml:space="preserve">Deterministic Cleanup</w:t>
      </w:r>
      <w:r>
        <w:t xml:space="preserve">: Observers are automatically unbound when the</w:t>
      </w:r>
      <w:r>
        <w:t xml:space="preserve"> </w:t>
      </w:r>
      <w:r>
        <w:rPr>
          <w:rStyle w:val="VerbatimChar"/>
        </w:rPr>
        <w:t xml:space="preserve">WithEvents</w:t>
      </w:r>
      <w:r>
        <w:t xml:space="preserve"> </w:t>
      </w:r>
      <w:r>
        <w:t xml:space="preserve">variable is reassigned or the containing object is destroyed.</w:t>
      </w:r>
    </w:p>
    <w:bookmarkEnd w:id="799"/>
    <w:bookmarkEnd w:id="800"/>
    <w:bookmarkStart w:id="808" w:name="interface-polymorphism-implements"/>
    <w:p>
      <w:pPr>
        <w:pStyle w:val="Heading1"/>
      </w:pPr>
      <w:r>
        <w:t xml:space="preserve">Interface Polymorphism (</w:t>
      </w:r>
      <w:r>
        <w:rPr>
          <w:rStyle w:val="VerbatimChar"/>
        </w:rPr>
        <w:t xml:space="preserve">Implements</w:t>
      </w:r>
      <w:r>
        <w:t xml:space="preserve">)</w:t>
      </w:r>
    </w:p>
    <w:p>
      <w:pPr>
        <w:pStyle w:val="FirstParagraph"/>
      </w:pPr>
      <w:r>
        <w:t xml:space="preserve">AxonASP v2 supports VB6-style interface polymorphism using the</w:t>
      </w:r>
      <w:r>
        <w:t xml:space="preserve"> </w:t>
      </w:r>
      <w:r>
        <w:rPr>
          <w:rStyle w:val="VerbatimChar"/>
        </w:rPr>
        <w:t xml:space="preserve">Implements</w:t>
      </w:r>
      <w:r>
        <w:t xml:space="preserve"> </w:t>
      </w:r>
      <w:r>
        <w:t xml:space="preserve">keyword. This allows a class to implement multiple interfaces and provide specific logic for each, which is essential for building modular and reusable components in Classic ASP.</w:t>
      </w:r>
    </w:p>
    <w:bookmarkStart w:id="801" w:name="overview-49"/>
    <w:p>
      <w:pPr>
        <w:pStyle w:val="Heading2"/>
      </w:pPr>
      <w:r>
        <w:t xml:space="preserve">Overview</w:t>
      </w:r>
    </w:p>
    <w:p>
      <w:pPr>
        <w:pStyle w:val="FirstParagraph"/>
      </w:pPr>
      <w:r>
        <w:t xml:space="preserve">In VB6 and AxonASP, any class can act as an interface. When a class implements an interface, it must provide implementations for all public methods and properties of that interface using the naming convention</w:t>
      </w:r>
      <w:r>
        <w:t xml:space="preserve"> </w:t>
      </w:r>
      <w:r>
        <w:rPr>
          <w:rStyle w:val="VerbatimChar"/>
        </w:rPr>
        <w:t xml:space="preserve">InterfaceName_MethodName</w:t>
      </w:r>
      <w:r>
        <w:t xml:space="preserve">.</w:t>
      </w:r>
    </w:p>
    <w:p>
      <w:pPr>
        <w:pStyle w:val="BodyText"/>
      </w:pPr>
      <w:r>
        <w:t xml:space="preserve">When an object is assigned to a variable explicitly typed as an interface (using the</w:t>
      </w:r>
      <w:r>
        <w:t xml:space="preserve"> </w:t>
      </w:r>
      <w:r>
        <w:rPr>
          <w:rStyle w:val="VerbatimChar"/>
        </w:rPr>
        <w:t xml:space="preserve">As</w:t>
      </w:r>
      <w:r>
        <w:t xml:space="preserve"> </w:t>
      </w:r>
      <w:r>
        <w:t xml:space="preserve">clause), member calls on that variable are automatically routed to the interface-prefixed implementations.</w:t>
      </w:r>
    </w:p>
    <w:bookmarkEnd w:id="801"/>
    <w:bookmarkStart w:id="805" w:name="usage-1"/>
    <w:p>
      <w:pPr>
        <w:pStyle w:val="Heading2"/>
      </w:pPr>
      <w:r>
        <w:t xml:space="preserve">Usage</w:t>
      </w:r>
    </w:p>
    <w:bookmarkStart w:id="802" w:name="defining-an-interface"/>
    <w:p>
      <w:pPr>
        <w:pStyle w:val="Heading3"/>
      </w:pPr>
      <w:r>
        <w:t xml:space="preserve">Defining an Interface</w:t>
      </w:r>
    </w:p>
    <w:p>
      <w:pPr>
        <w:pStyle w:val="FirstParagraph"/>
      </w:pPr>
      <w:r>
        <w:t xml:space="preserve">An interface is simply a standard VBScript class with public method and property stubs.</w:t>
      </w:r>
    </w:p>
    <w:p>
      <w:pPr>
        <w:pStyle w:val="SourceCode"/>
      </w:pPr>
      <w:r>
        <w:rPr>
          <w:rStyle w:val="VerbatimChar"/>
        </w:rPr>
        <w:t xml:space="preserve">' IAnimal.asp</w:t>
      </w:r>
      <w:r>
        <w:br/>
      </w:r>
      <w:r>
        <w:rPr>
          <w:rStyle w:val="VerbatimChar"/>
        </w:rPr>
        <w:t xml:space="preserve">Class IAnimal</w:t>
      </w:r>
      <w:r>
        <w:br/>
      </w:r>
      <w:r>
        <w:rPr>
          <w:rStyle w:val="VerbatimChar"/>
        </w:rPr>
        <w:t xml:space="preserve">    Function MakeSound()</w:t>
      </w:r>
      <w:r>
        <w:br/>
      </w:r>
      <w:r>
        <w:rPr>
          <w:rStyle w:val="VerbatimChar"/>
        </w:rPr>
        <w:t xml:space="preserve">    End Function</w:t>
      </w:r>
      <w:r>
        <w:br/>
      </w:r>
      <w:r>
        <w:rPr>
          <w:rStyle w:val="VerbatimChar"/>
        </w:rPr>
        <w:t xml:space="preserve">    </w:t>
      </w:r>
      <w:r>
        <w:br/>
      </w:r>
      <w:r>
        <w:rPr>
          <w:rStyle w:val="VerbatimChar"/>
        </w:rPr>
        <w:t xml:space="preserve">    Property Get Species()</w:t>
      </w:r>
      <w:r>
        <w:br/>
      </w:r>
      <w:r>
        <w:rPr>
          <w:rStyle w:val="VerbatimChar"/>
        </w:rPr>
        <w:t xml:space="preserve">    End Property</w:t>
      </w:r>
      <w:r>
        <w:br/>
      </w:r>
      <w:r>
        <w:rPr>
          <w:rStyle w:val="VerbatimChar"/>
        </w:rPr>
        <w:t xml:space="preserve">End Class</w:t>
      </w:r>
    </w:p>
    <w:bookmarkEnd w:id="802"/>
    <w:bookmarkStart w:id="803" w:name="implementing-the-interface"/>
    <w:p>
      <w:pPr>
        <w:pStyle w:val="Heading3"/>
      </w:pPr>
      <w:r>
        <w:t xml:space="preserve">Implementing the Interface</w:t>
      </w:r>
    </w:p>
    <w:p>
      <w:pPr>
        <w:pStyle w:val="FirstParagraph"/>
      </w:pPr>
      <w:r>
        <w:t xml:space="preserve">To implement an interface, use the</w:t>
      </w:r>
      <w:r>
        <w:t xml:space="preserve"> </w:t>
      </w:r>
      <w:r>
        <w:rPr>
          <w:rStyle w:val="VerbatimChar"/>
        </w:rPr>
        <w:t xml:space="preserve">Implements</w:t>
      </w:r>
      <w:r>
        <w:t xml:space="preserve"> </w:t>
      </w:r>
      <w:r>
        <w:t xml:space="preserve">keyword inside the class definition. Implement each member with the</w:t>
      </w:r>
      <w:r>
        <w:t xml:space="preserve"> </w:t>
      </w:r>
      <w:r>
        <w:rPr>
          <w:rStyle w:val="VerbatimChar"/>
        </w:rPr>
        <w:t xml:space="preserve">InterfaceName_</w:t>
      </w:r>
      <w:r>
        <w:t xml:space="preserve"> </w:t>
      </w:r>
      <w:r>
        <w:t xml:space="preserve">prefix.</w:t>
      </w:r>
    </w:p>
    <w:p>
      <w:pPr>
        <w:pStyle w:val="SourceCode"/>
      </w:pPr>
      <w:r>
        <w:rPr>
          <w:rStyle w:val="VerbatimChar"/>
        </w:rPr>
        <w:t xml:space="preserve">Class Dog</w:t>
      </w:r>
      <w:r>
        <w:br/>
      </w:r>
      <w:r>
        <w:rPr>
          <w:rStyle w:val="VerbatimChar"/>
        </w:rPr>
        <w:t xml:space="preserve">    Implements IAnimal</w:t>
      </w:r>
      <w:r>
        <w:br/>
      </w:r>
      <w:r>
        <w:rPr>
          <w:rStyle w:val="VerbatimChar"/>
        </w:rPr>
        <w:t xml:space="preserve">    </w:t>
      </w:r>
      <w:r>
        <w:br/>
      </w:r>
      <w:r>
        <w:rPr>
          <w:rStyle w:val="VerbatimChar"/>
        </w:rPr>
        <w:t xml:space="preserve">    ' Implementation of IAnimal.MakeSound</w:t>
      </w:r>
      <w:r>
        <w:br/>
      </w:r>
      <w:r>
        <w:rPr>
          <w:rStyle w:val="VerbatimChar"/>
        </w:rPr>
        <w:t xml:space="preserve">    Function IAnimal_MakeSound()</w:t>
      </w:r>
      <w:r>
        <w:br/>
      </w:r>
      <w:r>
        <w:rPr>
          <w:rStyle w:val="VerbatimChar"/>
        </w:rPr>
        <w:t xml:space="preserve">        IAnimal_MakeSound = "Woof!"</w:t>
      </w:r>
      <w:r>
        <w:br/>
      </w:r>
      <w:r>
        <w:rPr>
          <w:rStyle w:val="VerbatimChar"/>
        </w:rPr>
        <w:t xml:space="preserve">    End Function</w:t>
      </w:r>
      <w:r>
        <w:br/>
      </w:r>
      <w:r>
        <w:rPr>
          <w:rStyle w:val="VerbatimChar"/>
        </w:rPr>
        <w:t xml:space="preserve">    </w:t>
      </w:r>
      <w:r>
        <w:br/>
      </w:r>
      <w:r>
        <w:rPr>
          <w:rStyle w:val="VerbatimChar"/>
        </w:rPr>
        <w:t xml:space="preserve">    ' Implementation of IAnimal.Species</w:t>
      </w:r>
      <w:r>
        <w:br/>
      </w:r>
      <w:r>
        <w:rPr>
          <w:rStyle w:val="VerbatimChar"/>
        </w:rPr>
        <w:t xml:space="preserve">    Property Get IAnimal_Species()</w:t>
      </w:r>
      <w:r>
        <w:br/>
      </w:r>
      <w:r>
        <w:rPr>
          <w:rStyle w:val="VerbatimChar"/>
        </w:rPr>
        <w:t xml:space="preserve">        IAnimal_Species = "Canine"</w:t>
      </w:r>
      <w:r>
        <w:br/>
      </w:r>
      <w:r>
        <w:rPr>
          <w:rStyle w:val="VerbatimChar"/>
        </w:rPr>
        <w:t xml:space="preserve">    End Property</w:t>
      </w:r>
      <w:r>
        <w:br/>
      </w:r>
      <w:r>
        <w:rPr>
          <w:rStyle w:val="VerbatimChar"/>
        </w:rPr>
        <w:t xml:space="preserve">    </w:t>
      </w:r>
      <w:r>
        <w:br/>
      </w:r>
      <w:r>
        <w:rPr>
          <w:rStyle w:val="VerbatimChar"/>
        </w:rPr>
        <w:t xml:space="preserve">    ' Default implementation (optional)</w:t>
      </w:r>
      <w:r>
        <w:br/>
      </w:r>
      <w:r>
        <w:rPr>
          <w:rStyle w:val="VerbatimChar"/>
        </w:rPr>
        <w:t xml:space="preserve">    Function MakeSound()</w:t>
      </w:r>
      <w:r>
        <w:br/>
      </w:r>
      <w:r>
        <w:rPr>
          <w:rStyle w:val="VerbatimChar"/>
        </w:rPr>
        <w:t xml:space="preserve">        MakeSound = "Generic Dog Sound"</w:t>
      </w:r>
      <w:r>
        <w:br/>
      </w:r>
      <w:r>
        <w:rPr>
          <w:rStyle w:val="VerbatimChar"/>
        </w:rPr>
        <w:t xml:space="preserve">    End Function</w:t>
      </w:r>
      <w:r>
        <w:br/>
      </w:r>
      <w:r>
        <w:rPr>
          <w:rStyle w:val="VerbatimChar"/>
        </w:rPr>
        <w:t xml:space="preserve">End Class</w:t>
      </w:r>
    </w:p>
    <w:bookmarkEnd w:id="803"/>
    <w:bookmarkStart w:id="804" w:name="polymorphic-dispatch"/>
    <w:p>
      <w:pPr>
        <w:pStyle w:val="Heading3"/>
      </w:pPr>
      <w:r>
        <w:t xml:space="preserve">Polymorphic Dispatch</w:t>
      </w:r>
    </w:p>
    <w:p>
      <w:pPr>
        <w:pStyle w:val="FirstParagraph"/>
      </w:pPr>
      <w:r>
        <w:t xml:space="preserve">When you type a variable as the interface, AxonASP routes calls to the interface implementations.</w:t>
      </w:r>
    </w:p>
    <w:p>
      <w:pPr>
        <w:pStyle w:val="SourceCode"/>
      </w:pPr>
      <w:r>
        <w:rPr>
          <w:rStyle w:val="VerbatimChar"/>
        </w:rPr>
        <w:t xml:space="preserve">Dim myPet As IAnimal</w:t>
      </w:r>
      <w:r>
        <w:br/>
      </w:r>
      <w:r>
        <w:rPr>
          <w:rStyle w:val="VerbatimChar"/>
        </w:rPr>
        <w:t xml:space="preserve">Set myPet = New Dog</w:t>
      </w:r>
      <w:r>
        <w:br/>
      </w:r>
      <w:r>
        <w:br/>
      </w:r>
      <w:r>
        <w:rPr>
          <w:rStyle w:val="VerbatimChar"/>
        </w:rPr>
        <w:t xml:space="preserve">' This calls IAnimal_MakeSound on the Dog instance</w:t>
      </w:r>
      <w:r>
        <w:br/>
      </w:r>
      <w:r>
        <w:rPr>
          <w:rStyle w:val="VerbatimChar"/>
        </w:rPr>
        <w:t xml:space="preserve">Response.Write myPet.MakeSound() ' Output: Woof!</w:t>
      </w:r>
      <w:r>
        <w:br/>
      </w:r>
      <w:r>
        <w:br/>
      </w:r>
      <w:r>
        <w:rPr>
          <w:rStyle w:val="VerbatimChar"/>
        </w:rPr>
        <w:t xml:space="preserve">Dim untypedPet</w:t>
      </w:r>
      <w:r>
        <w:br/>
      </w:r>
      <w:r>
        <w:rPr>
          <w:rStyle w:val="VerbatimChar"/>
        </w:rPr>
        <w:t xml:space="preserve">Set untypedPet = New Dog</w:t>
      </w:r>
      <w:r>
        <w:br/>
      </w:r>
      <w:r>
        <w:br/>
      </w:r>
      <w:r>
        <w:rPr>
          <w:rStyle w:val="VerbatimChar"/>
        </w:rPr>
        <w:t xml:space="preserve">' This calls the default MakeSound on the Dog instance</w:t>
      </w:r>
      <w:r>
        <w:br/>
      </w:r>
      <w:r>
        <w:rPr>
          <w:rStyle w:val="VerbatimChar"/>
        </w:rPr>
        <w:t xml:space="preserve">Response.Write untypedPet.MakeSound() ' Output: Generic Dog Sound</w:t>
      </w:r>
    </w:p>
    <w:bookmarkEnd w:id="804"/>
    <w:bookmarkEnd w:id="805"/>
    <w:bookmarkStart w:id="806" w:name="key-features"/>
    <w:p>
      <w:pPr>
        <w:pStyle w:val="Heading2"/>
      </w:pPr>
      <w:r>
        <w:t xml:space="preserve">Key Features</w:t>
      </w:r>
    </w:p>
    <w:p>
      <w:pPr>
        <w:pStyle w:val="Compact"/>
        <w:numPr>
          <w:ilvl w:val="0"/>
          <w:numId w:val="1236"/>
        </w:numPr>
      </w:pPr>
      <w:r>
        <w:rPr>
          <w:b/>
          <w:bCs/>
        </w:rPr>
        <w:t xml:space="preserve">Multiple Interfaces</w:t>
      </w:r>
      <w:r>
        <w:t xml:space="preserve">: A single class can implement multiple interfaces.</w:t>
      </w:r>
    </w:p>
    <w:p>
      <w:pPr>
        <w:pStyle w:val="Compact"/>
        <w:numPr>
          <w:ilvl w:val="0"/>
          <w:numId w:val="1236"/>
        </w:numPr>
      </w:pPr>
      <w:r>
        <w:rPr>
          <w:b/>
          <w:bCs/>
        </w:rPr>
        <w:t xml:space="preserve">Transparent Routing</w:t>
      </w:r>
      <w:r>
        <w:t xml:space="preserve">: The VM handles method routing automatically based on the variable’s declared type.</w:t>
      </w:r>
    </w:p>
    <w:p>
      <w:pPr>
        <w:pStyle w:val="Compact"/>
        <w:numPr>
          <w:ilvl w:val="0"/>
          <w:numId w:val="1236"/>
        </w:numPr>
      </w:pPr>
      <w:r>
        <w:rPr>
          <w:b/>
          <w:bCs/>
        </w:rPr>
        <w:t xml:space="preserve">Encapsulation</w:t>
      </w:r>
      <w:r>
        <w:t xml:space="preserve">: Interface implementations are typically</w:t>
      </w:r>
      <w:r>
        <w:t xml:space="preserve"> </w:t>
      </w:r>
      <w:r>
        <w:rPr>
          <w:rStyle w:val="VerbatimChar"/>
        </w:rPr>
        <w:t xml:space="preserve">Private</w:t>
      </w:r>
      <w:r>
        <w:t xml:space="preserve"> </w:t>
      </w:r>
      <w:r>
        <w:t xml:space="preserve">in standard VBScript but remain accessible when called through the interface reference.</w:t>
      </w:r>
    </w:p>
    <w:p>
      <w:pPr>
        <w:pStyle w:val="Compact"/>
        <w:numPr>
          <w:ilvl w:val="0"/>
          <w:numId w:val="1236"/>
        </w:numPr>
      </w:pPr>
      <w:r>
        <w:rPr>
          <w:b/>
          <w:bCs/>
        </w:rPr>
        <w:t xml:space="preserve">Zero Allocation</w:t>
      </w:r>
      <w:r>
        <w:t xml:space="preserve">: Method resolution uses fast string-matching and cached lookups, maintaining high performance.</w:t>
      </w:r>
    </w:p>
    <w:bookmarkEnd w:id="806"/>
    <w:bookmarkStart w:id="807" w:name="prerequisites-11"/>
    <w:p>
      <w:pPr>
        <w:pStyle w:val="Heading2"/>
      </w:pPr>
      <w:r>
        <w:t xml:space="preserve">Prerequisites</w:t>
      </w:r>
    </w:p>
    <w:p>
      <w:pPr>
        <w:pStyle w:val="Compact"/>
        <w:numPr>
          <w:ilvl w:val="0"/>
          <w:numId w:val="1237"/>
        </w:numPr>
      </w:pPr>
      <w:r>
        <w:t xml:space="preserve">AxonASP v2.0 or higher.</w:t>
      </w:r>
    </w:p>
    <w:p>
      <w:pPr>
        <w:pStyle w:val="Compact"/>
        <w:numPr>
          <w:ilvl w:val="0"/>
          <w:numId w:val="1237"/>
        </w:numPr>
      </w:pPr>
      <w:r>
        <w:rPr>
          <w:rStyle w:val="VerbatimChar"/>
        </w:rPr>
        <w:t xml:space="preserve">Option Explicit</w:t>
      </w:r>
      <w:r>
        <w:t xml:space="preserve"> </w:t>
      </w:r>
      <w:r>
        <w:t xml:space="preserve">is recommended but not required for interface polymorphism.</w:t>
      </w:r>
    </w:p>
    <w:bookmarkEnd w:id="807"/>
    <w:bookmarkEnd w:id="808"/>
    <w:bookmarkStart w:id="821" w:name="native-file-io-vb6-compatibility"/>
    <w:p>
      <w:pPr>
        <w:pStyle w:val="Heading1"/>
      </w:pPr>
      <w:r>
        <w:t xml:space="preserve">Native File I/O (VB6 Compatibility)</w:t>
      </w:r>
    </w:p>
    <w:p>
      <w:pPr>
        <w:pStyle w:val="FirstParagraph"/>
      </w:pPr>
      <w:r>
        <w:t xml:space="preserve">AxonASP now supports native VB6-style file I/O operations in the CLI environment. These operations provide faster and more direct file access compared to the standard</w:t>
      </w:r>
      <w:r>
        <w:t xml:space="preserve"> </w:t>
      </w:r>
      <w:r>
        <w:rPr>
          <w:rStyle w:val="VerbatimChar"/>
        </w:rPr>
        <w:t xml:space="preserve">FileSystemObject</w:t>
      </w:r>
      <w:r>
        <w:t xml:space="preserve"> </w:t>
      </w:r>
      <w:r>
        <w:t xml:space="preserve">(FSO), which remains available for all environments including the HTTP server and FastCGI.</w:t>
      </w:r>
    </w:p>
    <w:p>
      <w:pPr>
        <w:pStyle w:val="BodyText"/>
      </w:pPr>
      <w:r>
        <w:rPr>
          <w:b/>
          <w:bCs/>
        </w:rPr>
        <w:t xml:space="preserve">NOTE:</w:t>
      </w:r>
      <w:r>
        <w:t xml:space="preserve"> </w:t>
      </w:r>
      <w:r>
        <w:t xml:space="preserve">Native File I/O is currently restricted to the</w:t>
      </w:r>
      <w:r>
        <w:t xml:space="preserve"> </w:t>
      </w:r>
      <w:r>
        <w:rPr>
          <w:b/>
          <w:bCs/>
        </w:rPr>
        <w:t xml:space="preserve">CLI</w:t>
      </w:r>
      <w:r>
        <w:t xml:space="preserve"> </w:t>
      </w:r>
      <w:r>
        <w:t xml:space="preserve">environment only. Attempting to use these statements in the HTTP server or FastCGI modules will result in a</w:t>
      </w:r>
      <w:r>
        <w:t xml:space="preserve"> </w:t>
      </w:r>
      <w:r>
        <w:rPr>
          <w:rStyle w:val="VerbatimChar"/>
        </w:rPr>
        <w:t xml:space="preserve">Permission Denied</w:t>
      </w:r>
      <w:r>
        <w:t xml:space="preserve"> </w:t>
      </w:r>
      <w:r>
        <w:t xml:space="preserve">error.</w:t>
      </w:r>
    </w:p>
    <w:bookmarkStart w:id="809" w:name="availability"/>
    <w:p>
      <w:pPr>
        <w:pStyle w:val="Heading2"/>
      </w:pPr>
      <w:r>
        <w:t xml:space="preserve">Availability</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pPr>
            <w:r>
              <w:t xml:space="preserve">Feature</w:t>
            </w:r>
          </w:p>
        </w:tc>
        <w:tc>
          <w:tcPr/>
          <w:p>
            <w:pPr>
              <w:pStyle w:val="Compact"/>
              <w:jc w:val="center"/>
            </w:pPr>
            <w:r>
              <w:t xml:space="preserve">CLI</w:t>
            </w:r>
          </w:p>
        </w:tc>
        <w:tc>
          <w:tcPr/>
          <w:p>
            <w:pPr>
              <w:pStyle w:val="Compact"/>
              <w:jc w:val="center"/>
            </w:pPr>
            <w:r>
              <w:t xml:space="preserve">HTTP Server</w:t>
            </w:r>
          </w:p>
        </w:tc>
        <w:tc>
          <w:tcPr/>
          <w:p>
            <w:pPr>
              <w:pStyle w:val="Compact"/>
              <w:jc w:val="center"/>
            </w:pPr>
            <w:r>
              <w:t xml:space="preserve">FastCGI</w:t>
            </w:r>
          </w:p>
        </w:tc>
        <w:tc>
          <w:tcPr/>
          <w:p>
            <w:pPr>
              <w:pStyle w:val="Compact"/>
              <w:jc w:val="center"/>
            </w:pPr>
            <w:r>
              <w:t xml:space="preserve">WASM</w:t>
            </w:r>
          </w:p>
        </w:tc>
      </w:tr>
      <w:tr>
        <w:tc>
          <w:tcPr/>
          <w:p>
            <w:pPr>
              <w:pStyle w:val="Compact"/>
              <w:jc w:val="left"/>
            </w:pPr>
            <w:r>
              <w:t xml:space="preserve">Native File I/O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r>
    </w:tbl>
    <w:bookmarkEnd w:id="809"/>
    <w:bookmarkStart w:id="816" w:name="statements-and-functions"/>
    <w:p>
      <w:pPr>
        <w:pStyle w:val="Heading2"/>
      </w:pPr>
      <w:r>
        <w:t xml:space="preserve">Statements and Functions</w:t>
      </w:r>
    </w:p>
    <w:bookmarkStart w:id="810" w:name="open-statement"/>
    <w:p>
      <w:pPr>
        <w:pStyle w:val="Heading3"/>
      </w:pPr>
      <w:r>
        <w:t xml:space="preserve">Open Statement</w:t>
      </w:r>
    </w:p>
    <w:p>
      <w:pPr>
        <w:pStyle w:val="FirstParagraph"/>
      </w:pPr>
      <w:r>
        <w:t xml:space="preserve">Enables I/O to a file.</w:t>
      </w:r>
    </w:p>
    <w:p>
      <w:pPr>
        <w:pStyle w:val="BodyText"/>
      </w:pPr>
      <w:r>
        <w:rPr>
          <w:b/>
          <w:bCs/>
        </w:rPr>
        <w:t xml:space="preserve">Syntax:</w:t>
      </w:r>
      <w:r>
        <w:t xml:space="preserve"> </w:t>
      </w:r>
      <w:r>
        <w:rPr>
          <w:rStyle w:val="VerbatimChar"/>
        </w:rPr>
        <w:t xml:space="preserve">Open pathname For mode [Access access] [lock] As [#]filenumber</w:t>
      </w:r>
    </w:p>
    <w:p>
      <w:pPr>
        <w:pStyle w:val="Compact"/>
        <w:numPr>
          <w:ilvl w:val="0"/>
          <w:numId w:val="1238"/>
        </w:numPr>
      </w:pPr>
      <w:r>
        <w:rPr>
          <w:rStyle w:val="VerbatimChar"/>
        </w:rPr>
        <w:t xml:space="preserve">pathname</w:t>
      </w:r>
      <w:r>
        <w:t xml:space="preserve">: String expression specifying the file name. Can include directory and drive.</w:t>
      </w:r>
    </w:p>
    <w:p>
      <w:pPr>
        <w:pStyle w:val="Compact"/>
        <w:numPr>
          <w:ilvl w:val="0"/>
          <w:numId w:val="1238"/>
        </w:numPr>
      </w:pPr>
      <w:r>
        <w:rPr>
          <w:rStyle w:val="VerbatimChar"/>
        </w:rPr>
        <w:t xml:space="preserve">mode</w:t>
      </w:r>
      <w:r>
        <w:t xml:space="preserve">: Keyword specifying the file mode:</w:t>
      </w:r>
      <w:r>
        <w:t xml:space="preserve"> </w:t>
      </w:r>
      <w:r>
        <w:rPr>
          <w:rStyle w:val="VerbatimChar"/>
        </w:rPr>
        <w:t xml:space="preserve">Input</w:t>
      </w:r>
      <w:r>
        <w:t xml:space="preserve">,</w:t>
      </w:r>
      <w:r>
        <w:t xml:space="preserve"> </w:t>
      </w:r>
      <w:r>
        <w:rPr>
          <w:rStyle w:val="VerbatimChar"/>
        </w:rPr>
        <w:t xml:space="preserve">Output</w:t>
      </w:r>
      <w:r>
        <w:t xml:space="preserve">,</w:t>
      </w:r>
      <w:r>
        <w:t xml:space="preserve"> </w:t>
      </w:r>
      <w:r>
        <w:rPr>
          <w:rStyle w:val="VerbatimChar"/>
        </w:rPr>
        <w:t xml:space="preserve">Append</w:t>
      </w:r>
      <w:r>
        <w:t xml:space="preserve">,</w:t>
      </w:r>
      <w:r>
        <w:t xml:space="preserve"> </w:t>
      </w:r>
      <w:r>
        <w:rPr>
          <w:rStyle w:val="VerbatimChar"/>
        </w:rPr>
        <w:t xml:space="preserve">Binary</w:t>
      </w:r>
      <w:r>
        <w:t xml:space="preserve">, or</w:t>
      </w:r>
      <w:r>
        <w:t xml:space="preserve"> </w:t>
      </w:r>
      <w:r>
        <w:rPr>
          <w:rStyle w:val="VerbatimChar"/>
        </w:rPr>
        <w:t xml:space="preserve">Random</w:t>
      </w:r>
      <w:r>
        <w:t xml:space="preserve">.</w:t>
      </w:r>
    </w:p>
    <w:p>
      <w:pPr>
        <w:pStyle w:val="Compact"/>
        <w:numPr>
          <w:ilvl w:val="0"/>
          <w:numId w:val="1238"/>
        </w:numPr>
      </w:pPr>
      <w:r>
        <w:rPr>
          <w:rStyle w:val="VerbatimChar"/>
        </w:rPr>
        <w:t xml:space="preserve">access</w:t>
      </w:r>
      <w:r>
        <w:t xml:space="preserve">: (Optional) Keyword specifying the operations permitted on the open file:</w:t>
      </w:r>
      <w:r>
        <w:t xml:space="preserve"> </w:t>
      </w:r>
      <w:r>
        <w:rPr>
          <w:rStyle w:val="VerbatimChar"/>
        </w:rPr>
        <w:t xml:space="preserve">Read</w:t>
      </w:r>
      <w:r>
        <w:t xml:space="preserve">,</w:t>
      </w:r>
      <w:r>
        <w:t xml:space="preserve"> </w:t>
      </w:r>
      <w:r>
        <w:rPr>
          <w:rStyle w:val="VerbatimChar"/>
        </w:rPr>
        <w:t xml:space="preserve">Write</w:t>
      </w:r>
      <w:r>
        <w:t xml:space="preserve">, or</w:t>
      </w:r>
      <w:r>
        <w:t xml:space="preserve"> </w:t>
      </w:r>
      <w:r>
        <w:rPr>
          <w:rStyle w:val="VerbatimChar"/>
        </w:rPr>
        <w:t xml:space="preserve">Read Write</w:t>
      </w:r>
      <w:r>
        <w:t xml:space="preserve">.</w:t>
      </w:r>
    </w:p>
    <w:p>
      <w:pPr>
        <w:pStyle w:val="Compact"/>
        <w:numPr>
          <w:ilvl w:val="0"/>
          <w:numId w:val="1238"/>
        </w:numPr>
      </w:pPr>
      <w:r>
        <w:rPr>
          <w:rStyle w:val="VerbatimChar"/>
        </w:rPr>
        <w:t xml:space="preserve">lock</w:t>
      </w:r>
      <w:r>
        <w:t xml:space="preserve">: (Optional) Keyword specifying the operations permitted on the open file by other processes:</w:t>
      </w:r>
      <w:r>
        <w:t xml:space="preserve"> </w:t>
      </w:r>
      <w:r>
        <w:rPr>
          <w:rStyle w:val="VerbatimChar"/>
        </w:rPr>
        <w:t xml:space="preserve">Shared</w:t>
      </w:r>
      <w:r>
        <w:t xml:space="preserve">,</w:t>
      </w:r>
      <w:r>
        <w:t xml:space="preserve"> </w:t>
      </w:r>
      <w:r>
        <w:rPr>
          <w:rStyle w:val="VerbatimChar"/>
        </w:rPr>
        <w:t xml:space="preserve">Lock Read</w:t>
      </w:r>
      <w:r>
        <w:t xml:space="preserve">,</w:t>
      </w:r>
      <w:r>
        <w:t xml:space="preserve"> </w:t>
      </w:r>
      <w:r>
        <w:rPr>
          <w:rStyle w:val="VerbatimChar"/>
        </w:rPr>
        <w:t xml:space="preserve">Lock Write</w:t>
      </w:r>
      <w:r>
        <w:t xml:space="preserve">, and</w:t>
      </w:r>
      <w:r>
        <w:t xml:space="preserve"> </w:t>
      </w:r>
      <w:r>
        <w:rPr>
          <w:rStyle w:val="VerbatimChar"/>
        </w:rPr>
        <w:t xml:space="preserve">Lock Read Write</w:t>
      </w:r>
      <w:r>
        <w:t xml:space="preserve">.</w:t>
      </w:r>
    </w:p>
    <w:p>
      <w:pPr>
        <w:pStyle w:val="Compact"/>
        <w:numPr>
          <w:ilvl w:val="0"/>
          <w:numId w:val="1238"/>
        </w:numPr>
      </w:pPr>
      <w:r>
        <w:rPr>
          <w:rStyle w:val="VerbatimChar"/>
        </w:rPr>
        <w:t xml:space="preserve">filenumber</w:t>
      </w:r>
      <w:r>
        <w:t xml:space="preserve">: A valid file number in the range 1 to 511, inclusive. Use the</w:t>
      </w:r>
      <w:r>
        <w:t xml:space="preserve"> </w:t>
      </w:r>
      <w:r>
        <w:rPr>
          <w:rStyle w:val="VerbatimChar"/>
        </w:rPr>
        <w:t xml:space="preserve">FreeFile</w:t>
      </w:r>
      <w:r>
        <w:t xml:space="preserve"> </w:t>
      </w:r>
      <w:r>
        <w:t xml:space="preserve">function to obtain the next available file number.</w:t>
      </w:r>
    </w:p>
    <w:bookmarkEnd w:id="810"/>
    <w:bookmarkStart w:id="811" w:name="print-statement"/>
    <w:p>
      <w:pPr>
        <w:pStyle w:val="Heading3"/>
      </w:pPr>
      <w:r>
        <w:t xml:space="preserve">Print # Statement</w:t>
      </w:r>
    </w:p>
    <w:p>
      <w:pPr>
        <w:pStyle w:val="FirstParagraph"/>
      </w:pPr>
      <w:r>
        <w:t xml:space="preserve">Writes display-formatted data to a sequential file.</w:t>
      </w:r>
    </w:p>
    <w:p>
      <w:pPr>
        <w:pStyle w:val="BodyText"/>
      </w:pPr>
      <w:r>
        <w:rPr>
          <w:b/>
          <w:bCs/>
        </w:rPr>
        <w:t xml:space="preserve">Syntax:</w:t>
      </w:r>
      <w:r>
        <w:t xml:space="preserve"> </w:t>
      </w:r>
      <w:r>
        <w:rPr>
          <w:rStyle w:val="VerbatimChar"/>
        </w:rPr>
        <w:t xml:space="preserve">Print #filenumber, [outputlist]</w:t>
      </w:r>
    </w:p>
    <w:p>
      <w:pPr>
        <w:pStyle w:val="Compact"/>
        <w:numPr>
          <w:ilvl w:val="0"/>
          <w:numId w:val="1239"/>
        </w:numPr>
      </w:pPr>
      <w:r>
        <w:rPr>
          <w:rStyle w:val="VerbatimChar"/>
        </w:rPr>
        <w:t xml:space="preserve">filenumber</w:t>
      </w:r>
      <w:r>
        <w:t xml:space="preserve">: Any valid file number.</w:t>
      </w:r>
    </w:p>
    <w:p>
      <w:pPr>
        <w:pStyle w:val="Compact"/>
        <w:numPr>
          <w:ilvl w:val="0"/>
          <w:numId w:val="1239"/>
        </w:numPr>
      </w:pPr>
      <w:r>
        <w:rPr>
          <w:rStyle w:val="VerbatimChar"/>
        </w:rPr>
        <w:t xml:space="preserve">outputlist</w:t>
      </w:r>
      <w:r>
        <w:t xml:space="preserve">: (Optional) Expression or list of expressions to write to the file.</w:t>
      </w:r>
    </w:p>
    <w:bookmarkEnd w:id="811"/>
    <w:bookmarkStart w:id="812" w:name="write-statement"/>
    <w:p>
      <w:pPr>
        <w:pStyle w:val="Heading3"/>
      </w:pPr>
      <w:r>
        <w:t xml:space="preserve">Write # Statement</w:t>
      </w:r>
    </w:p>
    <w:p>
      <w:pPr>
        <w:pStyle w:val="FirstParagraph"/>
      </w:pPr>
      <w:r>
        <w:t xml:space="preserve">Writes raw data to a sequential file. Similar to</w:t>
      </w:r>
      <w:r>
        <w:t xml:space="preserve"> </w:t>
      </w:r>
      <w:r>
        <w:rPr>
          <w:rStyle w:val="VerbatimChar"/>
        </w:rPr>
        <w:t xml:space="preserve">Print #</w:t>
      </w:r>
      <w:r>
        <w:t xml:space="preserve">, but inserts commas between items and puts quotes around strings.</w:t>
      </w:r>
    </w:p>
    <w:p>
      <w:pPr>
        <w:pStyle w:val="BodyText"/>
      </w:pPr>
      <w:r>
        <w:rPr>
          <w:b/>
          <w:bCs/>
        </w:rPr>
        <w:t xml:space="preserve">Syntax:</w:t>
      </w:r>
      <w:r>
        <w:t xml:space="preserve"> </w:t>
      </w:r>
      <w:r>
        <w:rPr>
          <w:rStyle w:val="VerbatimChar"/>
        </w:rPr>
        <w:t xml:space="preserve">Write #filenumber, [outputlist]</w:t>
      </w:r>
    </w:p>
    <w:bookmarkEnd w:id="812"/>
    <w:bookmarkStart w:id="813" w:name="close-statement"/>
    <w:p>
      <w:pPr>
        <w:pStyle w:val="Heading3"/>
      </w:pPr>
      <w:r>
        <w:t xml:space="preserve">Close Statement</w:t>
      </w:r>
    </w:p>
    <w:p>
      <w:pPr>
        <w:pStyle w:val="FirstParagraph"/>
      </w:pPr>
      <w:r>
        <w:t xml:space="preserve">Ends I/O to a file. Always close your files to prevent data loss and free system resources.</w:t>
      </w:r>
    </w:p>
    <w:p>
      <w:pPr>
        <w:pStyle w:val="BodyText"/>
      </w:pPr>
      <w:r>
        <w:rPr>
          <w:b/>
          <w:bCs/>
        </w:rPr>
        <w:t xml:space="preserve">Syntax:</w:t>
      </w:r>
      <w:r>
        <w:t xml:space="preserve"> </w:t>
      </w:r>
      <w:r>
        <w:rPr>
          <w:rStyle w:val="VerbatimChar"/>
        </w:rPr>
        <w:t xml:space="preserve">Close [#filenumber1, #filenumber2, ...]</w:t>
      </w:r>
    </w:p>
    <w:p>
      <w:pPr>
        <w:pStyle w:val="BodyText"/>
      </w:pPr>
      <w:r>
        <w:t xml:space="preserve">If no file numbers are provided, all open files are closed.</w:t>
      </w:r>
    </w:p>
    <w:bookmarkEnd w:id="813"/>
    <w:bookmarkStart w:id="814" w:name="line-input-statement"/>
    <w:p>
      <w:pPr>
        <w:pStyle w:val="Heading3"/>
      </w:pPr>
      <w:r>
        <w:t xml:space="preserve">Line Input # Statement</w:t>
      </w:r>
    </w:p>
    <w:p>
      <w:pPr>
        <w:pStyle w:val="FirstParagraph"/>
      </w:pPr>
      <w:r>
        <w:t xml:space="preserve">Reads a single line from an open sequential file and assigns it to a String variable.</w:t>
      </w:r>
    </w:p>
    <w:p>
      <w:pPr>
        <w:pStyle w:val="BodyText"/>
      </w:pPr>
      <w:r>
        <w:rPr>
          <w:b/>
          <w:bCs/>
        </w:rPr>
        <w:t xml:space="preserve">Syntax:</w:t>
      </w:r>
      <w:r>
        <w:t xml:space="preserve"> </w:t>
      </w:r>
      <w:r>
        <w:rPr>
          <w:rStyle w:val="VerbatimChar"/>
        </w:rPr>
        <w:t xml:space="preserve">Line Input #filenumber, varname</w:t>
      </w:r>
    </w:p>
    <w:bookmarkEnd w:id="814"/>
    <w:bookmarkStart w:id="815" w:name="freefile-function"/>
    <w:p>
      <w:pPr>
        <w:pStyle w:val="Heading3"/>
      </w:pPr>
      <w:r>
        <w:t xml:space="preserve">FreeFile Function</w:t>
      </w:r>
    </w:p>
    <w:p>
      <w:pPr>
        <w:pStyle w:val="FirstParagraph"/>
      </w:pPr>
      <w:r>
        <w:t xml:space="preserve">Returns an Integer representing the next file number available for use by the</w:t>
      </w:r>
      <w:r>
        <w:t xml:space="preserve"> </w:t>
      </w:r>
      <w:r>
        <w:rPr>
          <w:rStyle w:val="VerbatimChar"/>
        </w:rPr>
        <w:t xml:space="preserve">Open</w:t>
      </w:r>
      <w:r>
        <w:t xml:space="preserve"> </w:t>
      </w:r>
      <w:r>
        <w:t xml:space="preserve">statement.</w:t>
      </w:r>
    </w:p>
    <w:p>
      <w:pPr>
        <w:pStyle w:val="BodyText"/>
      </w:pPr>
      <w:r>
        <w:rPr>
          <w:b/>
          <w:bCs/>
        </w:rPr>
        <w:t xml:space="preserve">Syntax:</w:t>
      </w:r>
      <w:r>
        <w:t xml:space="preserve"> </w:t>
      </w:r>
      <w:r>
        <w:rPr>
          <w:rStyle w:val="VerbatimChar"/>
        </w:rPr>
        <w:t xml:space="preserve">variable = FreeFile()</w:t>
      </w:r>
    </w:p>
    <w:bookmarkEnd w:id="815"/>
    <w:bookmarkEnd w:id="816"/>
    <w:bookmarkStart w:id="819" w:name="examples"/>
    <w:p>
      <w:pPr>
        <w:pStyle w:val="Heading2"/>
      </w:pPr>
      <w:r>
        <w:t xml:space="preserve">Examples</w:t>
      </w:r>
    </w:p>
    <w:bookmarkStart w:id="817" w:name="writing-and-reading-a-text-file"/>
    <w:p>
      <w:pPr>
        <w:pStyle w:val="Heading3"/>
      </w:pPr>
      <w:r>
        <w:t xml:space="preserve">Writing and Reading a Text File</w:t>
      </w:r>
    </w:p>
    <w:p>
      <w:pPr>
        <w:pStyle w:val="SourceCode"/>
      </w:pPr>
      <w:r>
        <w:rPr>
          <w:rStyle w:val="VerbatimChar"/>
        </w:rPr>
        <w:t xml:space="preserve">Dim fNum, path, lineData</w:t>
      </w:r>
      <w:r>
        <w:br/>
      </w:r>
      <w:r>
        <w:rPr>
          <w:rStyle w:val="VerbatimChar"/>
        </w:rPr>
        <w:t xml:space="preserve">fNum = FreeFile</w:t>
      </w:r>
      <w:r>
        <w:br/>
      </w:r>
      <w:r>
        <w:rPr>
          <w:rStyle w:val="VerbatimChar"/>
        </w:rPr>
        <w:t xml:space="preserve">path = "C:\temp\data.txt"</w:t>
      </w:r>
      <w:r>
        <w:br/>
      </w:r>
      <w:r>
        <w:br/>
      </w:r>
      <w:r>
        <w:rPr>
          <w:rStyle w:val="VerbatimChar"/>
        </w:rPr>
        <w:t xml:space="preserve">' Open for Output (creates or overwrites)</w:t>
      </w:r>
      <w:r>
        <w:br/>
      </w:r>
      <w:r>
        <w:rPr>
          <w:rStyle w:val="VerbatimChar"/>
        </w:rPr>
        <w:t xml:space="preserve">Open path For Output As #fNum</w:t>
      </w:r>
      <w:r>
        <w:br/>
      </w:r>
      <w:r>
        <w:rPr>
          <w:rStyle w:val="VerbatimChar"/>
        </w:rPr>
        <w:t xml:space="preserve">Print #fNum, "Hello AxonASP"</w:t>
      </w:r>
      <w:r>
        <w:br/>
      </w:r>
      <w:r>
        <w:rPr>
          <w:rStyle w:val="VerbatimChar"/>
        </w:rPr>
        <w:t xml:space="preserve">Print #1, "Another Line"</w:t>
      </w:r>
      <w:r>
        <w:br/>
      </w:r>
      <w:r>
        <w:rPr>
          <w:rStyle w:val="VerbatimChar"/>
        </w:rPr>
        <w:t xml:space="preserve">Close #fNum</w:t>
      </w:r>
      <w:r>
        <w:br/>
      </w:r>
      <w:r>
        <w:br/>
      </w:r>
      <w:r>
        <w:rPr>
          <w:rStyle w:val="VerbatimChar"/>
        </w:rPr>
        <w:t xml:space="preserve">' Open for Input</w:t>
      </w:r>
      <w:r>
        <w:br/>
      </w:r>
      <w:r>
        <w:rPr>
          <w:rStyle w:val="VerbatimChar"/>
        </w:rPr>
        <w:t xml:space="preserve">Open path For Input As #fNum</w:t>
      </w:r>
      <w:r>
        <w:br/>
      </w:r>
      <w:r>
        <w:rPr>
          <w:rStyle w:val="VerbatimChar"/>
        </w:rPr>
        <w:t xml:space="preserve">Line Input #fNum, lineData</w:t>
      </w:r>
      <w:r>
        <w:br/>
      </w:r>
      <w:r>
        <w:rPr>
          <w:rStyle w:val="VerbatimChar"/>
        </w:rPr>
        <w:t xml:space="preserve">Response.Write "First line: " &amp; lineData</w:t>
      </w:r>
      <w:r>
        <w:br/>
      </w:r>
      <w:r>
        <w:rPr>
          <w:rStyle w:val="VerbatimChar"/>
        </w:rPr>
        <w:t xml:space="preserve">Close #fNum</w:t>
      </w:r>
    </w:p>
    <w:bookmarkEnd w:id="817"/>
    <w:bookmarkStart w:id="818" w:name="appending-to-a-file"/>
    <w:p>
      <w:pPr>
        <w:pStyle w:val="Heading3"/>
      </w:pPr>
      <w:r>
        <w:t xml:space="preserve">Appending to a File</w:t>
      </w:r>
    </w:p>
    <w:p>
      <w:pPr>
        <w:pStyle w:val="SourceCode"/>
      </w:pPr>
      <w:r>
        <w:rPr>
          <w:rStyle w:val="VerbatimChar"/>
        </w:rPr>
        <w:t xml:space="preserve">Open "log.txt" For Append As #1</w:t>
      </w:r>
      <w:r>
        <w:br/>
      </w:r>
      <w:r>
        <w:rPr>
          <w:rStyle w:val="VerbatimChar"/>
        </w:rPr>
        <w:t xml:space="preserve">Print #1, Now &amp; " - Application Started"</w:t>
      </w:r>
      <w:r>
        <w:br/>
      </w:r>
      <w:r>
        <w:rPr>
          <w:rStyle w:val="VerbatimChar"/>
        </w:rPr>
        <w:t xml:space="preserve">Close #1</w:t>
      </w:r>
    </w:p>
    <w:bookmarkEnd w:id="818"/>
    <w:bookmarkEnd w:id="819"/>
    <w:bookmarkStart w:id="820" w:name="error-codes"/>
    <w:p>
      <w:pPr>
        <w:pStyle w:val="Heading2"/>
      </w:pPr>
      <w:r>
        <w:t xml:space="preserve">Error Codes</w:t>
      </w:r>
    </w:p>
    <w:p>
      <w:pPr>
        <w:pStyle w:val="FirstParagraph"/>
      </w:pPr>
      <w:r>
        <w:t xml:space="preserve">The following error codes may be raised during File I/O operations:</w:t>
      </w:r>
    </w:p>
    <w:p>
      <w:pPr>
        <w:pStyle w:val="Compact"/>
        <w:numPr>
          <w:ilvl w:val="0"/>
          <w:numId w:val="1240"/>
        </w:numPr>
      </w:pPr>
      <w:r>
        <w:rPr>
          <w:rStyle w:val="VerbatimChar"/>
        </w:rPr>
        <w:t xml:space="preserve">52</w:t>
      </w:r>
      <w:r>
        <w:t xml:space="preserve">: Bad file name or number.</w:t>
      </w:r>
    </w:p>
    <w:p>
      <w:pPr>
        <w:pStyle w:val="Compact"/>
        <w:numPr>
          <w:ilvl w:val="0"/>
          <w:numId w:val="1240"/>
        </w:numPr>
      </w:pPr>
      <w:r>
        <w:rPr>
          <w:rStyle w:val="VerbatimChar"/>
        </w:rPr>
        <w:t xml:space="preserve">53</w:t>
      </w:r>
      <w:r>
        <w:t xml:space="preserve">: File not found.</w:t>
      </w:r>
    </w:p>
    <w:p>
      <w:pPr>
        <w:pStyle w:val="Compact"/>
        <w:numPr>
          <w:ilvl w:val="0"/>
          <w:numId w:val="1240"/>
        </w:numPr>
      </w:pPr>
      <w:r>
        <w:rPr>
          <w:rStyle w:val="VerbatimChar"/>
        </w:rPr>
        <w:t xml:space="preserve">70</w:t>
      </w:r>
      <w:r>
        <w:t xml:space="preserve">: Permission denied (raised when used outside CLI).</w:t>
      </w:r>
    </w:p>
    <w:p>
      <w:pPr>
        <w:pStyle w:val="Compact"/>
        <w:numPr>
          <w:ilvl w:val="0"/>
          <w:numId w:val="1240"/>
        </w:numPr>
      </w:pPr>
      <w:r>
        <w:rPr>
          <w:rStyle w:val="VerbatimChar"/>
        </w:rPr>
        <w:t xml:space="preserve">76</w:t>
      </w:r>
      <w:r>
        <w:t xml:space="preserve">: Path not found.</w:t>
      </w:r>
    </w:p>
    <w:bookmarkEnd w:id="820"/>
    <w:bookmarkEnd w:id="821"/>
    <w:bookmarkStart w:id="822" w:name="javascript-support-jscript"/>
    <w:p>
      <w:pPr>
        <w:pStyle w:val="Heading1"/>
      </w:pPr>
      <w:r>
        <w:t xml:space="preserve">Javascript support (JScript)</w:t>
      </w:r>
    </w:p>
    <w:bookmarkEnd w:id="822"/>
    <w:bookmarkStart w:id="830" w:name="use-javascript-jscript-in-axonasp-pages"/>
    <w:p>
      <w:pPr>
        <w:pStyle w:val="Heading1"/>
      </w:pPr>
      <w:r>
        <w:t xml:space="preserve">Use JavaScript (JScript) in AxonASP Pages</w:t>
      </w:r>
    </w:p>
    <w:bookmarkStart w:id="824" w:name="overview-50"/>
    <w:p>
      <w:pPr>
        <w:pStyle w:val="Heading2"/>
      </w:pPr>
      <w:r>
        <w:t xml:space="preserve">Overview</w:t>
      </w:r>
    </w:p>
    <w:p>
      <w:pPr>
        <w:pStyle w:val="FirstParagraph"/>
      </w:pPr>
      <w:r>
        <w:t xml:space="preserve">AxonASP provides a high-performance JavaScript (JScript) execution engine that allows you to write server-side logic using full ECMAScript 5 (ES5) standards for JScript compatibility and also ECMAScript 6 (ES6) and onward for new code. This page covers how to use JavaScript (JScript), use ASP intrinsic objects, and leverage modern JavaScript features within your ASP applications.</w:t>
      </w:r>
    </w:p>
    <w:bookmarkStart w:id="823" w:name="why-use-javascript-jscript-in-asp"/>
    <w:p>
      <w:pPr>
        <w:pStyle w:val="Heading3"/>
      </w:pPr>
      <w:r>
        <w:t xml:space="preserve">Why use JavaScript (JScript) in ASP?</w:t>
      </w:r>
    </w:p>
    <w:p>
      <w:pPr>
        <w:pStyle w:val="Compact"/>
        <w:numPr>
          <w:ilvl w:val="0"/>
          <w:numId w:val="1241"/>
        </w:numPr>
      </w:pPr>
      <w:r>
        <w:rPr>
          <w:b/>
          <w:bCs/>
        </w:rPr>
        <w:t xml:space="preserve">Familiar Syntax</w:t>
      </w:r>
      <w:r>
        <w:t xml:space="preserve">: Many developers are more familiar with JavaScript than VBScript, making it easier to write complex logic. This allows the user to write full HTML pages, and services using javascript only, with the full support of the AxonASP framework, and in a way that is easier and more memory efficient than using systems like NodeJS.</w:t>
      </w:r>
    </w:p>
    <w:p>
      <w:pPr>
        <w:pStyle w:val="Compact"/>
        <w:numPr>
          <w:ilvl w:val="0"/>
          <w:numId w:val="1241"/>
        </w:numPr>
      </w:pPr>
      <w:r>
        <w:rPr>
          <w:b/>
          <w:bCs/>
        </w:rPr>
        <w:t xml:space="preserve">Rich Ecosystem</w:t>
      </w:r>
      <w:r>
        <w:t xml:space="preserve">: Access to a wide range of JavaScript libraries and tools.</w:t>
      </w:r>
    </w:p>
    <w:p>
      <w:pPr>
        <w:pStyle w:val="Compact"/>
        <w:numPr>
          <w:ilvl w:val="0"/>
          <w:numId w:val="1241"/>
        </w:numPr>
      </w:pPr>
      <w:r>
        <w:rPr>
          <w:b/>
          <w:bCs/>
        </w:rPr>
        <w:t xml:space="preserve">Performance</w:t>
      </w:r>
      <w:r>
        <w:t xml:space="preserve">: The AxonASP JavaScript engine is optimized for server-side execution, providing better performance for certain workloads.</w:t>
      </w:r>
    </w:p>
    <w:p>
      <w:pPr>
        <w:pStyle w:val="Compact"/>
        <w:numPr>
          <w:ilvl w:val="0"/>
          <w:numId w:val="1241"/>
        </w:numPr>
      </w:pPr>
      <w:r>
        <w:rPr>
          <w:b/>
          <w:bCs/>
        </w:rPr>
        <w:t xml:space="preserve">ASP Intrinsic Objects</w:t>
      </w:r>
      <w:r>
        <w:t xml:space="preserve">: Seamless access to ASP intrinsic objects like</w:t>
      </w:r>
      <w:r>
        <w:t xml:space="preserve"> </w:t>
      </w:r>
      <w:r>
        <w:rPr>
          <w:rStyle w:val="VerbatimChar"/>
        </w:rPr>
        <w:t xml:space="preserve">Request</w:t>
      </w:r>
      <w:r>
        <w:t xml:space="preserve">,</w:t>
      </w:r>
      <w:r>
        <w:t xml:space="preserve"> </w:t>
      </w:r>
      <w:r>
        <w:rPr>
          <w:rStyle w:val="VerbatimChar"/>
        </w:rPr>
        <w:t xml:space="preserve">Response</w:t>
      </w:r>
      <w:r>
        <w:t xml:space="preserve">,</w:t>
      </w:r>
      <w:r>
        <w:t xml:space="preserve"> </w:t>
      </w:r>
      <w:r>
        <w:rPr>
          <w:rStyle w:val="VerbatimChar"/>
        </w:rPr>
        <w:t xml:space="preserve">Session</w:t>
      </w:r>
      <w:r>
        <w:t xml:space="preserve">, and</w:t>
      </w:r>
      <w:r>
        <w:t xml:space="preserve"> </w:t>
      </w:r>
      <w:r>
        <w:rPr>
          <w:rStyle w:val="VerbatimChar"/>
        </w:rPr>
        <w:t xml:space="preserve">Application</w:t>
      </w:r>
      <w:r>
        <w:t xml:space="preserve"> </w:t>
      </w:r>
      <w:r>
        <w:t xml:space="preserve">allows you to build dynamic web applications with ease.</w:t>
      </w:r>
    </w:p>
    <w:p>
      <w:pPr>
        <w:pStyle w:val="Compact"/>
        <w:numPr>
          <w:ilvl w:val="0"/>
          <w:numId w:val="1241"/>
        </w:numPr>
      </w:pPr>
      <w:r>
        <w:rPr>
          <w:b/>
          <w:bCs/>
        </w:rPr>
        <w:t xml:space="preserve">Modern Features</w:t>
      </w:r>
      <w:r>
        <w:t xml:space="preserve">: Support for ES5 and most of ES6 features allows you to write cleaner and more efficient code.</w:t>
      </w:r>
    </w:p>
    <w:bookmarkEnd w:id="823"/>
    <w:bookmarkEnd w:id="824"/>
    <w:bookmarkStart w:id="825" w:name="syntax-32"/>
    <w:p>
      <w:pPr>
        <w:pStyle w:val="Heading2"/>
      </w:pPr>
      <w:r>
        <w:t xml:space="preserve">Syntax</w:t>
      </w:r>
    </w:p>
    <w:p>
      <w:pPr>
        <w:pStyle w:val="FirstParagraph"/>
      </w:pPr>
      <w:r>
        <w:t xml:space="preserve">To set JavaScript (JScript) as the default language for an entire page, use the language directive at the very first line of your file:</w:t>
      </w:r>
    </w:p>
    <w:p>
      <w:pPr>
        <w:pStyle w:val="SourceCode"/>
      </w:pPr>
      <w:r>
        <w:rPr>
          <w:rStyle w:val="DataTypeTok"/>
        </w:rPr>
        <w:t xml:space="preserve">&lt;%</w:t>
      </w:r>
      <w:r>
        <w:rPr>
          <w:rStyle w:val="NormalTok"/>
        </w:rPr>
        <w:t xml:space="preserve">@ Language=</w:t>
      </w:r>
      <w:r>
        <w:rPr>
          <w:rStyle w:val="StringTok"/>
        </w:rPr>
        <w:t xml:space="preserve">"javascript"</w:t>
      </w:r>
      <w:r>
        <w:rPr>
          <w:rStyle w:val="NormalTok"/>
        </w:rPr>
        <w:t xml:space="preserve"> </w:t>
      </w:r>
      <w:r>
        <w:rPr>
          <w:rStyle w:val="DataTypeTok"/>
        </w:rPr>
        <w:t xml:space="preserve">%&gt;</w:t>
      </w:r>
    </w:p>
    <w:p>
      <w:pPr>
        <w:pStyle w:val="FirstParagraph"/>
      </w:pPr>
      <w:r>
        <w:t xml:space="preserve">or</w:t>
      </w:r>
    </w:p>
    <w:p>
      <w:pPr>
        <w:pStyle w:val="SourceCode"/>
      </w:pPr>
      <w:r>
        <w:rPr>
          <w:rStyle w:val="DataTypeTok"/>
        </w:rPr>
        <w:t xml:space="preserve">&lt;%</w:t>
      </w:r>
      <w:r>
        <w:rPr>
          <w:rStyle w:val="NormalTok"/>
        </w:rPr>
        <w:t xml:space="preserve">@ Language=</w:t>
      </w:r>
      <w:r>
        <w:rPr>
          <w:rStyle w:val="StringTok"/>
        </w:rPr>
        <w:t xml:space="preserve">"jscript"</w:t>
      </w:r>
      <w:r>
        <w:rPr>
          <w:rStyle w:val="NormalTok"/>
        </w:rPr>
        <w:t xml:space="preserve"> </w:t>
      </w:r>
      <w:r>
        <w:rPr>
          <w:rStyle w:val="DataTypeTok"/>
        </w:rPr>
        <w:t xml:space="preserve">%&gt;</w:t>
      </w:r>
    </w:p>
    <w:p>
      <w:pPr>
        <w:pStyle w:val="FirstParagraph"/>
      </w:pPr>
      <w:r>
        <w:t xml:space="preserve">Alternatively, you can use JavaScript (JScript) within specific script blocks:</w:t>
      </w:r>
    </w:p>
    <w:p>
      <w:pPr>
        <w:pStyle w:val="SourceCode"/>
      </w:pPr>
      <w:r>
        <w:rPr>
          <w:rStyle w:val="DataTypeTok"/>
        </w:rPr>
        <w:t xml:space="preserve">&lt;</w:t>
      </w:r>
      <w:r>
        <w:rPr>
          <w:rStyle w:val="KeywordTok"/>
        </w:rPr>
        <w:t xml:space="preserve">script</w:t>
      </w:r>
      <w:r>
        <w:rPr>
          <w:rStyle w:val="OtherTok"/>
        </w:rPr>
        <w:t xml:space="preserve"> runat</w:t>
      </w:r>
      <w:r>
        <w:rPr>
          <w:rStyle w:val="OperatorTok"/>
        </w:rPr>
        <w:t xml:space="preserve">=</w:t>
      </w:r>
      <w:r>
        <w:rPr>
          <w:rStyle w:val="StringTok"/>
        </w:rPr>
        <w:t xml:space="preserve">"server"</w:t>
      </w:r>
      <w:r>
        <w:rPr>
          <w:rStyle w:val="OtherTok"/>
        </w:rPr>
        <w:t xml:space="preserve"> language</w:t>
      </w:r>
      <w:r>
        <w:rPr>
          <w:rStyle w:val="OperatorTok"/>
        </w:rPr>
        <w:t xml:space="preserve">=</w:t>
      </w:r>
      <w:r>
        <w:rPr>
          <w:rStyle w:val="StringTok"/>
        </w:rPr>
        <w:t xml:space="preserve">"javascript"</w:t>
      </w:r>
      <w:r>
        <w:rPr>
          <w:rStyle w:val="DataTypeTok"/>
        </w:rPr>
        <w:t xml:space="preserve">&gt;</w:t>
      </w:r>
      <w:r>
        <w:br/>
      </w:r>
      <w:r>
        <w:rPr>
          <w:rStyle w:val="NormalTok"/>
        </w:rPr>
        <w:t xml:space="preserve">    </w:t>
      </w:r>
      <w:r>
        <w:rPr>
          <w:rStyle w:val="CommentTok"/>
        </w:rPr>
        <w:t xml:space="preserve">// JavaScript (JScript) code here</w:t>
      </w:r>
      <w:r>
        <w:br/>
      </w:r>
      <w:r>
        <w:rPr>
          <w:rStyle w:val="DataTypeTok"/>
        </w:rPr>
        <w:t xml:space="preserve">&lt;/</w:t>
      </w:r>
      <w:r>
        <w:rPr>
          <w:rStyle w:val="KeywordTok"/>
        </w:rPr>
        <w:t xml:space="preserve">script</w:t>
      </w:r>
      <w:r>
        <w:rPr>
          <w:rStyle w:val="DataTypeTok"/>
        </w:rPr>
        <w:t xml:space="preserve">&gt;</w:t>
      </w:r>
    </w:p>
    <w:bookmarkEnd w:id="825"/>
    <w:bookmarkStart w:id="826" w:name="parameters-and-arguments-13"/>
    <w:p>
      <w:pPr>
        <w:pStyle w:val="Heading2"/>
      </w:pPr>
      <w:r>
        <w:t xml:space="preserve">Parameters and Arguments</w:t>
      </w:r>
    </w:p>
    <w:p>
      <w:pPr>
        <w:pStyle w:val="Compact"/>
        <w:numPr>
          <w:ilvl w:val="0"/>
          <w:numId w:val="1242"/>
        </w:numPr>
      </w:pPr>
      <w:r>
        <w:rPr>
          <w:b/>
          <w:bCs/>
        </w:rPr>
        <w:t xml:space="preserve">Language Directive</w:t>
      </w:r>
      <w:r>
        <w:t xml:space="preserve"> </w:t>
      </w:r>
      <w:r>
        <w:t xml:space="preserve">(Required for page-level): The value must be</w:t>
      </w:r>
      <w:r>
        <w:t xml:space="preserve"> </w:t>
      </w:r>
      <w:r>
        <w:rPr>
          <w:rStyle w:val="VerbatimChar"/>
        </w:rPr>
        <w:t xml:space="preserve">"JavaScript (JScript)"</w:t>
      </w:r>
      <w:r>
        <w:t xml:space="preserve"> </w:t>
      </w:r>
      <w:r>
        <w:t xml:space="preserve">or</w:t>
      </w:r>
      <w:r>
        <w:t xml:space="preserve"> </w:t>
      </w:r>
      <w:r>
        <w:rPr>
          <w:rStyle w:val="VerbatimChar"/>
        </w:rPr>
        <w:t xml:space="preserve">"Javascript"</w:t>
      </w:r>
      <w:r>
        <w:t xml:space="preserve">.</w:t>
      </w:r>
    </w:p>
    <w:p>
      <w:pPr>
        <w:pStyle w:val="Compact"/>
        <w:numPr>
          <w:ilvl w:val="0"/>
          <w:numId w:val="1242"/>
        </w:numPr>
      </w:pPr>
      <w:r>
        <w:rPr>
          <w:b/>
          <w:bCs/>
        </w:rPr>
        <w:t xml:space="preserve">runat=</w:t>
      </w:r>
      <w:r>
        <w:rPr>
          <w:b/>
          <w:bCs/>
        </w:rPr>
        <w:t xml:space="preserve">“server”</w:t>
      </w:r>
      <w:r>
        <w:t xml:space="preserve"> </w:t>
      </w:r>
      <w:r>
        <w:t xml:space="preserve">(Required for script tags): Ensures the code executes on the server rather than the client browser.</w:t>
      </w:r>
    </w:p>
    <w:p>
      <w:pPr>
        <w:pStyle w:val="Compact"/>
        <w:numPr>
          <w:ilvl w:val="0"/>
          <w:numId w:val="1242"/>
        </w:numPr>
      </w:pPr>
      <w:r>
        <w:rPr>
          <w:b/>
          <w:bCs/>
        </w:rPr>
        <w:t xml:space="preserve">ASP Intrinsic Objects</w:t>
      </w:r>
      <w:r>
        <w:t xml:space="preserve">: Native access to</w:t>
      </w:r>
      <w:r>
        <w:t xml:space="preserve"> </w:t>
      </w:r>
      <w:r>
        <w:rPr>
          <w:b/>
          <w:bCs/>
        </w:rPr>
        <w:t xml:space="preserve">Request</w:t>
      </w:r>
      <w:r>
        <w:t xml:space="preserve">,</w:t>
      </w:r>
      <w:r>
        <w:t xml:space="preserve"> </w:t>
      </w:r>
      <w:r>
        <w:rPr>
          <w:b/>
          <w:bCs/>
        </w:rPr>
        <w:t xml:space="preserve">Response</w:t>
      </w:r>
      <w:r>
        <w:t xml:space="preserve">,</w:t>
      </w:r>
      <w:r>
        <w:t xml:space="preserve"> </w:t>
      </w:r>
      <w:r>
        <w:rPr>
          <w:b/>
          <w:bCs/>
        </w:rPr>
        <w:t xml:space="preserve">Server</w:t>
      </w:r>
      <w:r>
        <w:t xml:space="preserve">,</w:t>
      </w:r>
      <w:r>
        <w:t xml:space="preserve"> </w:t>
      </w:r>
      <w:r>
        <w:rPr>
          <w:b/>
          <w:bCs/>
        </w:rPr>
        <w:t xml:space="preserve">Session</w:t>
      </w:r>
      <w:r>
        <w:t xml:space="preserve">,</w:t>
      </w:r>
      <w:r>
        <w:t xml:space="preserve"> </w:t>
      </w:r>
      <w:r>
        <w:rPr>
          <w:b/>
          <w:bCs/>
        </w:rPr>
        <w:t xml:space="preserve">Application</w:t>
      </w:r>
      <w:r>
        <w:t xml:space="preserve">, and</w:t>
      </w:r>
      <w:r>
        <w:t xml:space="preserve"> </w:t>
      </w:r>
      <w:r>
        <w:rPr>
          <w:b/>
          <w:bCs/>
        </w:rPr>
        <w:t xml:space="preserve">Err</w:t>
      </w:r>
      <w:r>
        <w:t xml:space="preserve">. Note that in JavaScript (JScript), these object names and their members are</w:t>
      </w:r>
      <w:r>
        <w:t xml:space="preserve"> </w:t>
      </w:r>
      <w:r>
        <w:rPr>
          <w:b/>
          <w:bCs/>
        </w:rPr>
        <w:t xml:space="preserve">case-sensitive</w:t>
      </w:r>
      <w:r>
        <w:t xml:space="preserve">.</w:t>
      </w:r>
    </w:p>
    <w:bookmarkEnd w:id="826"/>
    <w:bookmarkStart w:id="827" w:name="return-values-9"/>
    <w:p>
      <w:pPr>
        <w:pStyle w:val="Heading2"/>
      </w:pPr>
      <w:r>
        <w:t xml:space="preserve">Return Values</w:t>
      </w:r>
    </w:p>
    <w:p>
      <w:pPr>
        <w:pStyle w:val="FirstParagraph"/>
      </w:pPr>
      <w:r>
        <w:t xml:space="preserve">The JavaScript (JScript) engine returns standard JavaScript values (String, Number, Boolean, Object, Array, null, undefined). When communicating with the AxonASP VM or VBScript components:</w:t>
      </w:r>
      <w:r>
        <w:t xml:space="preserve"> </w:t>
      </w:r>
      <w:r>
        <w:t xml:space="preserve">- JavaScript objects are automatically converted to their closest AxonASP</w:t>
      </w:r>
      <w:r>
        <w:t xml:space="preserve"> </w:t>
      </w:r>
      <w:r>
        <w:rPr>
          <w:b/>
          <w:bCs/>
        </w:rPr>
        <w:t xml:space="preserve">Value</w:t>
      </w:r>
      <w:r>
        <w:t xml:space="preserve"> </w:t>
      </w:r>
      <w:r>
        <w:t xml:space="preserve">equivalent.</w:t>
      </w:r>
      <w:r>
        <w:t xml:space="preserve"> </w:t>
      </w:r>
      <w:r>
        <w:t xml:space="preserve">-</w:t>
      </w:r>
      <w:r>
        <w:t xml:space="preserve"> </w:t>
      </w:r>
      <w:r>
        <w:rPr>
          <w:b/>
          <w:bCs/>
        </w:rPr>
        <w:t xml:space="preserve">undefined</w:t>
      </w:r>
      <w:r>
        <w:t xml:space="preserve"> </w:t>
      </w:r>
      <w:r>
        <w:t xml:space="preserve">and</w:t>
      </w:r>
      <w:r>
        <w:t xml:space="preserve"> </w:t>
      </w:r>
      <w:r>
        <w:rPr>
          <w:b/>
          <w:bCs/>
        </w:rPr>
        <w:t xml:space="preserve">null</w:t>
      </w:r>
      <w:r>
        <w:t xml:space="preserve"> </w:t>
      </w:r>
      <w:r>
        <w:t xml:space="preserve">map to</w:t>
      </w:r>
      <w:r>
        <w:t xml:space="preserve"> </w:t>
      </w:r>
      <w:r>
        <w:rPr>
          <w:b/>
          <w:bCs/>
        </w:rPr>
        <w:t xml:space="preserve">Empty</w:t>
      </w:r>
      <w:r>
        <w:t xml:space="preserve"> </w:t>
      </w:r>
      <w:r>
        <w:t xml:space="preserve">in the VM context.</w:t>
      </w:r>
    </w:p>
    <w:bookmarkEnd w:id="827"/>
    <w:bookmarkStart w:id="828" w:name="remarks-38"/>
    <w:p>
      <w:pPr>
        <w:pStyle w:val="Heading2"/>
      </w:pPr>
      <w:r>
        <w:t xml:space="preserve">Remarks</w:t>
      </w:r>
    </w:p>
    <w:p>
      <w:pPr>
        <w:pStyle w:val="Compact"/>
        <w:numPr>
          <w:ilvl w:val="0"/>
          <w:numId w:val="1243"/>
        </w:numPr>
      </w:pPr>
      <w:r>
        <w:rPr>
          <w:b/>
          <w:bCs/>
        </w:rPr>
        <w:t xml:space="preserve">ECMAScript 5/6 Support</w:t>
      </w:r>
      <w:r>
        <w:t xml:space="preserve">: AxonASP’s JavaScript (JScript) engine supports all ES5 features and most ES6 features, including JSON support (</w:t>
      </w:r>
      <w:r>
        <w:rPr>
          <w:rStyle w:val="VerbatimChar"/>
        </w:rPr>
        <w:t xml:space="preserve">JSON.parse</w:t>
      </w:r>
      <w:r>
        <w:t xml:space="preserve">,</w:t>
      </w:r>
      <w:r>
        <w:t xml:space="preserve"> </w:t>
      </w:r>
      <w:r>
        <w:rPr>
          <w:rStyle w:val="VerbatimChar"/>
        </w:rPr>
        <w:t xml:space="preserve">JSON.stringify</w:t>
      </w:r>
      <w:r>
        <w:t xml:space="preserve">), and standard Array methods (</w:t>
      </w:r>
      <w:r>
        <w:rPr>
          <w:rStyle w:val="VerbatimChar"/>
        </w:rPr>
        <w:t xml:space="preserve">map</w:t>
      </w:r>
      <w:r>
        <w:t xml:space="preserve">,</w:t>
      </w:r>
      <w:r>
        <w:t xml:space="preserve"> </w:t>
      </w:r>
      <w:r>
        <w:rPr>
          <w:rStyle w:val="VerbatimChar"/>
        </w:rPr>
        <w:t xml:space="preserve">filter</w:t>
      </w:r>
      <w:r>
        <w:t xml:space="preserve">,</w:t>
      </w:r>
      <w:r>
        <w:t xml:space="preserve"> </w:t>
      </w:r>
      <w:r>
        <w:rPr>
          <w:rStyle w:val="VerbatimChar"/>
        </w:rPr>
        <w:t xml:space="preserve">reduce</w:t>
      </w:r>
      <w:r>
        <w:t xml:space="preserve">). Most features from later versions are also supported, refer to the documentation for specific details.</w:t>
      </w:r>
    </w:p>
    <w:p>
      <w:pPr>
        <w:pStyle w:val="Compact"/>
        <w:numPr>
          <w:ilvl w:val="0"/>
          <w:numId w:val="1243"/>
        </w:numPr>
      </w:pPr>
      <w:r>
        <w:rPr>
          <w:b/>
          <w:bCs/>
        </w:rPr>
        <w:t xml:space="preserve">Case Sensitivity</w:t>
      </w:r>
      <w:r>
        <w:t xml:space="preserve">: Unlike VBScript, JavaScript (JScript) is strictly case-sensitive. You must use</w:t>
      </w:r>
      <w:r>
        <w:t xml:space="preserve"> </w:t>
      </w:r>
      <w:r>
        <w:rPr>
          <w:rStyle w:val="VerbatimChar"/>
        </w:rPr>
        <w:t xml:space="preserve">Response.Write</w:t>
      </w:r>
      <w:r>
        <w:t xml:space="preserve">, not</w:t>
      </w:r>
      <w:r>
        <w:t xml:space="preserve"> </w:t>
      </w:r>
      <w:r>
        <w:rPr>
          <w:rStyle w:val="VerbatimChar"/>
        </w:rPr>
        <w:t xml:space="preserve">response.write</w:t>
      </w:r>
      <w:r>
        <w:t xml:space="preserve">.</w:t>
      </w:r>
    </w:p>
    <w:p>
      <w:pPr>
        <w:pStyle w:val="Compact"/>
        <w:numPr>
          <w:ilvl w:val="0"/>
          <w:numId w:val="1243"/>
        </w:numPr>
      </w:pPr>
      <w:r>
        <w:rPr>
          <w:b/>
          <w:bCs/>
        </w:rPr>
        <w:t xml:space="preserve">Engine Architecture</w:t>
      </w:r>
      <w:r>
        <w:t xml:space="preserve">: JavaScript (JScript) execution in AxonASP utilizes a sophisticated Abstract Syntax Tree (AST) parser and interpreter, providing optimized performance for complex logic.</w:t>
      </w:r>
    </w:p>
    <w:p>
      <w:pPr>
        <w:pStyle w:val="Compact"/>
        <w:numPr>
          <w:ilvl w:val="0"/>
          <w:numId w:val="1243"/>
        </w:numPr>
      </w:pPr>
      <w:r>
        <w:rPr>
          <w:b/>
          <w:bCs/>
        </w:rPr>
        <w:t xml:space="preserve">Global Console</w:t>
      </w:r>
      <w:r>
        <w:t xml:space="preserve">: The engine includes a built-in</w:t>
      </w:r>
      <w:r>
        <w:t xml:space="preserve"> </w:t>
      </w:r>
      <w:r>
        <w:rPr>
          <w:b/>
          <w:bCs/>
        </w:rPr>
        <w:t xml:space="preserve">console</w:t>
      </w:r>
      <w:r>
        <w:t xml:space="preserve"> </w:t>
      </w:r>
      <w:r>
        <w:t xml:space="preserve">object (</w:t>
      </w:r>
      <w:r>
        <w:rPr>
          <w:rStyle w:val="VerbatimChar"/>
        </w:rPr>
        <w:t xml:space="preserve">console.log</w:t>
      </w:r>
      <w:r>
        <w:t xml:space="preserve">,</w:t>
      </w:r>
      <w:r>
        <w:t xml:space="preserve"> </w:t>
      </w:r>
      <w:r>
        <w:rPr>
          <w:rStyle w:val="VerbatimChar"/>
        </w:rPr>
        <w:t xml:space="preserve">console.warn</w:t>
      </w:r>
      <w:r>
        <w:t xml:space="preserve">,</w:t>
      </w:r>
      <w:r>
        <w:t xml:space="preserve"> </w:t>
      </w:r>
      <w:r>
        <w:rPr>
          <w:rStyle w:val="VerbatimChar"/>
        </w:rPr>
        <w:t xml:space="preserve">console.error</w:t>
      </w:r>
      <w:r>
        <w:t xml:space="preserve">) for server-side debugging and diagnostics. Output is directed to the system console or log files depending on your</w:t>
      </w:r>
      <w:r>
        <w:t xml:space="preserve"> </w:t>
      </w:r>
      <w:r>
        <w:rPr>
          <w:rStyle w:val="VerbatimChar"/>
        </w:rPr>
        <w:t xml:space="preserve">axonasp.toml</w:t>
      </w:r>
      <w:r>
        <w:t xml:space="preserve"> </w:t>
      </w:r>
      <w:r>
        <w:t xml:space="preserve">configuration.</w:t>
      </w:r>
    </w:p>
    <w:p>
      <w:pPr>
        <w:pStyle w:val="Compact"/>
        <w:numPr>
          <w:ilvl w:val="0"/>
          <w:numId w:val="1243"/>
        </w:numPr>
      </w:pPr>
      <w:r>
        <w:rPr>
          <w:b/>
          <w:bCs/>
        </w:rPr>
        <w:t xml:space="preserve">Interoperability</w:t>
      </w:r>
      <w:r>
        <w:t xml:space="preserve">: You can mix VBScript and JavaScript (JScript) in the same application by using separate</w:t>
      </w:r>
      <w:r>
        <w:t xml:space="preserve"> </w:t>
      </w:r>
      <w:r>
        <w:rPr>
          <w:rStyle w:val="VerbatimChar"/>
        </w:rPr>
        <w:t xml:space="preserve">&lt;script runat="server"&gt;</w:t>
      </w:r>
      <w:r>
        <w:t xml:space="preserve"> </w:t>
      </w:r>
      <w:r>
        <w:t xml:space="preserve">blocks, though global variable sharing follows standard ASP scoping rules.</w:t>
      </w:r>
    </w:p>
    <w:bookmarkEnd w:id="828"/>
    <w:bookmarkStart w:id="829" w:name="code-example-26"/>
    <w:p>
      <w:pPr>
        <w:pStyle w:val="Heading2"/>
      </w:pPr>
      <w:r>
        <w:t xml:space="preserve">Code Example</w:t>
      </w:r>
    </w:p>
    <w:p>
      <w:pPr>
        <w:pStyle w:val="FirstParagraph"/>
      </w:pPr>
      <w:r>
        <w:t xml:space="preserve">The following example demonstrates using ES5 features and ASP objects within a JavaScript (JScript) page:</w:t>
      </w:r>
    </w:p>
    <w:p>
      <w:pPr>
        <w:pStyle w:val="SourceCode"/>
      </w:pPr>
      <w:r>
        <w:rPr>
          <w:rStyle w:val="DataTypeTok"/>
        </w:rPr>
        <w:t xml:space="preserve">&lt;%</w:t>
      </w:r>
      <w:r>
        <w:rPr>
          <w:rStyle w:val="NormalTok"/>
        </w:rPr>
        <w:t xml:space="preserve">@ Language=</w:t>
      </w:r>
      <w:r>
        <w:rPr>
          <w:rStyle w:val="StringTok"/>
        </w:rPr>
        <w:t xml:space="preserve">"javascript"</w:t>
      </w:r>
      <w:r>
        <w:rPr>
          <w:rStyle w:val="NormalTok"/>
        </w:rPr>
        <w:t xml:space="preserve"> </w:t>
      </w:r>
      <w:r>
        <w:rPr>
          <w:rStyle w:val="DataTypeTok"/>
        </w:rPr>
        <w:t xml:space="preserve">%&gt;</w:t>
      </w:r>
      <w:r>
        <w:br/>
      </w:r>
      <w:r>
        <w:rPr>
          <w:rStyle w:val="DataTypeTok"/>
        </w:rPr>
        <w:t xml:space="preserve">&lt;%</w:t>
      </w:r>
      <w:r>
        <w:br/>
      </w:r>
      <w:r>
        <w:br/>
      </w:r>
      <w:r>
        <w:rPr>
          <w:rStyle w:val="NormalTok"/>
        </w:rPr>
        <w:t xml:space="preserve">// Using ES5 </w:t>
      </w:r>
      <w:r>
        <w:rPr>
          <w:rStyle w:val="FunctionTok"/>
        </w:rPr>
        <w:t xml:space="preserve">Array</w:t>
      </w:r>
      <w:r>
        <w:rPr>
          <w:rStyle w:val="NormalTok"/>
        </w:rPr>
        <w:t xml:space="preserve"> methods</w:t>
      </w:r>
      <w:r>
        <w:br/>
      </w:r>
      <w:r>
        <w:rPr>
          <w:rStyle w:val="NormalTok"/>
        </w:rPr>
        <w:t xml:space="preserve">var data = </w:t>
      </w:r>
      <w:r>
        <w:rPr>
          <w:rStyle w:val="OtherTok"/>
        </w:rPr>
        <w:t xml:space="preserve">[</w:t>
      </w:r>
      <w:r>
        <w:rPr>
          <w:rStyle w:val="DecValTok"/>
        </w:rPr>
        <w:t xml:space="preserve">1</w:t>
      </w:r>
      <w:r>
        <w:rPr>
          <w:rStyle w:val="OtherTok"/>
        </w:rPr>
        <w:t xml:space="preserve">,</w:t>
      </w:r>
      <w:r>
        <w:rPr>
          <w:rStyle w:val="NormalTok"/>
        </w:rPr>
        <w:t xml:space="preserve"> </w:t>
      </w:r>
      <w:r>
        <w:rPr>
          <w:rStyle w:val="DecValTok"/>
        </w:rPr>
        <w:t xml:space="preserve">2</w:t>
      </w:r>
      <w:r>
        <w:rPr>
          <w:rStyle w:val="OtherTok"/>
        </w:rPr>
        <w:t xml:space="preserve">,</w:t>
      </w:r>
      <w:r>
        <w:rPr>
          <w:rStyle w:val="NormalTok"/>
        </w:rPr>
        <w:t xml:space="preserve"> </w:t>
      </w:r>
      <w:r>
        <w:rPr>
          <w:rStyle w:val="DecValTok"/>
        </w:rPr>
        <w:t xml:space="preserve">3</w:t>
      </w:r>
      <w:r>
        <w:rPr>
          <w:rStyle w:val="OtherTok"/>
        </w:rPr>
        <w:t xml:space="preserve">,</w:t>
      </w:r>
      <w:r>
        <w:rPr>
          <w:rStyle w:val="NormalTok"/>
        </w:rPr>
        <w:t xml:space="preserve"> </w:t>
      </w:r>
      <w:r>
        <w:rPr>
          <w:rStyle w:val="DecValTok"/>
        </w:rPr>
        <w:t xml:space="preserve">4</w:t>
      </w:r>
      <w:r>
        <w:rPr>
          <w:rStyle w:val="OtherTok"/>
        </w:rPr>
        <w:t xml:space="preserve">,</w:t>
      </w:r>
      <w:r>
        <w:rPr>
          <w:rStyle w:val="NormalTok"/>
        </w:rPr>
        <w:t xml:space="preserve"> </w:t>
      </w:r>
      <w:r>
        <w:rPr>
          <w:rStyle w:val="DecValTok"/>
        </w:rPr>
        <w:t xml:space="preserve">5</w:t>
      </w:r>
      <w:r>
        <w:rPr>
          <w:rStyle w:val="OtherTok"/>
        </w:rPr>
        <w:t xml:space="preserve">];</w:t>
      </w:r>
      <w:r>
        <w:br/>
      </w:r>
      <w:r>
        <w:rPr>
          <w:rStyle w:val="NormalTok"/>
        </w:rPr>
        <w:t xml:space="preserve">var doubled = data.map</w:t>
      </w:r>
      <w:r>
        <w:rPr>
          <w:rStyle w:val="OtherTok"/>
        </w:rPr>
        <w:t xml:space="preserve">(</w:t>
      </w:r>
      <w:r>
        <w:rPr>
          <w:rStyle w:val="KeywordTok"/>
        </w:rPr>
        <w:t xml:space="preserve">function</w:t>
      </w:r>
      <w:r>
        <w:rPr>
          <w:rStyle w:val="OtherTok"/>
        </w:rPr>
        <w:t xml:space="preserve">(</w:t>
      </w:r>
      <w:r>
        <w:rPr>
          <w:rStyle w:val="NormalTok"/>
        </w:rPr>
        <w:t xml:space="preserve">n</w:t>
      </w:r>
      <w:r>
        <w:rPr>
          <w:rStyle w:val="OtherTok"/>
        </w:rPr>
        <w:t xml:space="preserve">)</w:t>
      </w:r>
      <w:r>
        <w:rPr>
          <w:rStyle w:val="NormalTok"/>
        </w:rPr>
        <w:t xml:space="preserve"> </w:t>
      </w:r>
      <w:r>
        <w:rPr>
          <w:rStyle w:val="OtherTok"/>
        </w:rPr>
        <w:t xml:space="preserve">{</w:t>
      </w:r>
      <w:r>
        <w:br/>
      </w:r>
      <w:r>
        <w:rPr>
          <w:rStyle w:val="NormalTok"/>
        </w:rPr>
        <w:t xml:space="preserve">    return n * </w:t>
      </w:r>
      <w:r>
        <w:rPr>
          <w:rStyle w:val="DecValTok"/>
        </w:rPr>
        <w:t xml:space="preserve">2</w:t>
      </w:r>
      <w:r>
        <w:rPr>
          <w:rStyle w:val="OtherTok"/>
        </w:rPr>
        <w:t xml:space="preserve">;</w:t>
      </w:r>
      <w:r>
        <w:br/>
      </w:r>
      <w:r>
        <w:rPr>
          <w:rStyle w:val="OtherTok"/>
        </w:rPr>
        <w:t xml:space="preserve">});</w:t>
      </w:r>
      <w:r>
        <w:br/>
      </w:r>
      <w:r>
        <w:br/>
      </w:r>
      <w:r>
        <w:rPr>
          <w:rStyle w:val="NormalTok"/>
        </w:rPr>
        <w:t xml:space="preserve">// Using the JSON object</w:t>
      </w:r>
      <w:r>
        <w:br/>
      </w:r>
      <w:r>
        <w:rPr>
          <w:rStyle w:val="NormalTok"/>
        </w:rPr>
        <w:t xml:space="preserve">var responseData = </w:t>
      </w:r>
      <w:r>
        <w:rPr>
          <w:rStyle w:val="OtherTok"/>
        </w:rPr>
        <w:t xml:space="preserve">{</w:t>
      </w:r>
      <w:r>
        <w:br/>
      </w:r>
      <w:r>
        <w:rPr>
          <w:rStyle w:val="NormalTok"/>
        </w:rPr>
        <w:t xml:space="preserve">    status</w:t>
      </w:r>
      <w:r>
        <w:rPr>
          <w:rStyle w:val="OtherTok"/>
        </w:rPr>
        <w:t xml:space="preserve">:</w:t>
      </w:r>
      <w:r>
        <w:rPr>
          <w:rStyle w:val="NormalTok"/>
        </w:rPr>
        <w:t xml:space="preserve"> </w:t>
      </w:r>
      <w:r>
        <w:rPr>
          <w:rStyle w:val="StringTok"/>
        </w:rPr>
        <w:t xml:space="preserve">"success"</w:t>
      </w:r>
      <w:r>
        <w:rPr>
          <w:rStyle w:val="OtherTok"/>
        </w:rPr>
        <w:t xml:space="preserve">,</w:t>
      </w:r>
      <w:r>
        <w:br/>
      </w:r>
      <w:r>
        <w:rPr>
          <w:rStyle w:val="NormalTok"/>
        </w:rPr>
        <w:t xml:space="preserve">    processed</w:t>
      </w:r>
      <w:r>
        <w:rPr>
          <w:rStyle w:val="OtherTok"/>
        </w:rPr>
        <w:t xml:space="preserve">:</w:t>
      </w:r>
      <w:r>
        <w:rPr>
          <w:rStyle w:val="NormalTok"/>
        </w:rPr>
        <w:t xml:space="preserve"> doubled</w:t>
      </w:r>
      <w:r>
        <w:rPr>
          <w:rStyle w:val="OtherTok"/>
        </w:rPr>
        <w:t xml:space="preserve">,</w:t>
      </w:r>
      <w:r>
        <w:br/>
      </w:r>
      <w:r>
        <w:rPr>
          <w:rStyle w:val="NormalTok"/>
        </w:rPr>
        <w:t xml:space="preserve">    timestamp</w:t>
      </w:r>
      <w:r>
        <w:rPr>
          <w:rStyle w:val="OtherTok"/>
        </w:rPr>
        <w:t xml:space="preserve">:</w:t>
      </w:r>
      <w:r>
        <w:rPr>
          <w:rStyle w:val="NormalTok"/>
        </w:rPr>
        <w:t xml:space="preserve"> </w:t>
      </w:r>
      <w:r>
        <w:rPr>
          <w:rStyle w:val="KeywordTok"/>
        </w:rPr>
        <w:t xml:space="preserve">new</w:t>
      </w:r>
      <w:r>
        <w:rPr>
          <w:rStyle w:val="NormalTok"/>
        </w:rPr>
        <w:t xml:space="preserve"> </w:t>
      </w:r>
      <w:r>
        <w:rPr>
          <w:rStyle w:val="FunctionTok"/>
        </w:rPr>
        <w:t xml:space="preserve">Date</w:t>
      </w:r>
      <w:r>
        <w:rPr>
          <w:rStyle w:val="OtherTok"/>
        </w:rPr>
        <w:t xml:space="preserve">()</w:t>
      </w:r>
      <w:r>
        <w:rPr>
          <w:rStyle w:val="NormalTok"/>
        </w:rPr>
        <w:t xml:space="preserve">.toISOString</w:t>
      </w:r>
      <w:r>
        <w:rPr>
          <w:rStyle w:val="OtherTok"/>
        </w:rPr>
        <w:t xml:space="preserve">()</w:t>
      </w:r>
      <w:r>
        <w:br/>
      </w:r>
      <w:r>
        <w:rPr>
          <w:rStyle w:val="OtherTok"/>
        </w:rPr>
        <w:t xml:space="preserve">};</w:t>
      </w:r>
      <w:r>
        <w:br/>
      </w:r>
      <w:r>
        <w:br/>
      </w:r>
      <w:r>
        <w:rPr>
          <w:rStyle w:val="FunctionTok"/>
        </w:rPr>
        <w:t xml:space="preserve">Response</w:t>
      </w:r>
      <w:r>
        <w:rPr>
          <w:rStyle w:val="NormalTok"/>
        </w:rPr>
        <w:t xml:space="preserve">.ContentType = </w:t>
      </w:r>
      <w:r>
        <w:rPr>
          <w:rStyle w:val="StringTok"/>
        </w:rPr>
        <w:t xml:space="preserve">"application/json"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OtherTok"/>
        </w:rPr>
        <w:t xml:space="preserve">(</w:t>
      </w:r>
      <w:r>
        <w:rPr>
          <w:rStyle w:val="NormalTok"/>
        </w:rPr>
        <w:t xml:space="preserve">JSON.stringify</w:t>
      </w:r>
      <w:r>
        <w:rPr>
          <w:rStyle w:val="OtherTok"/>
        </w:rPr>
        <w:t xml:space="preserve">(</w:t>
      </w:r>
      <w:r>
        <w:rPr>
          <w:rStyle w:val="NormalTok"/>
        </w:rPr>
        <w:t xml:space="preserve">responseData</w:t>
      </w:r>
      <w:r>
        <w:rPr>
          <w:rStyle w:val="OtherTok"/>
        </w:rPr>
        <w:t xml:space="preserve">));</w:t>
      </w:r>
      <w:r>
        <w:br/>
      </w:r>
      <w:r>
        <w:br/>
      </w:r>
      <w:r>
        <w:rPr>
          <w:rStyle w:val="NormalTok"/>
        </w:rPr>
        <w:t xml:space="preserve">// </w:t>
      </w:r>
      <w:r>
        <w:rPr>
          <w:rStyle w:val="FunctionTok"/>
        </w:rPr>
        <w:t xml:space="preserve">Server</w:t>
      </w:r>
      <w:r>
        <w:rPr>
          <w:rStyle w:val="NormalTok"/>
        </w:rPr>
        <w:t xml:space="preserve">-side logging</w:t>
      </w:r>
      <w:r>
        <w:br/>
      </w:r>
      <w:r>
        <w:rPr>
          <w:rStyle w:val="NormalTok"/>
        </w:rPr>
        <w:t xml:space="preserve">console.</w:t>
      </w:r>
      <w:r>
        <w:rPr>
          <w:rStyle w:val="FunctionTok"/>
        </w:rPr>
        <w:t xml:space="preserve">log</w:t>
      </w:r>
      <w:r>
        <w:rPr>
          <w:rStyle w:val="OtherTok"/>
        </w:rPr>
        <w:t xml:space="preserve">(</w:t>
      </w:r>
      <w:r>
        <w:rPr>
          <w:rStyle w:val="StringTok"/>
        </w:rPr>
        <w:t xml:space="preserve">"JSON response sent for timestamp: "</w:t>
      </w:r>
      <w:r>
        <w:rPr>
          <w:rStyle w:val="NormalTok"/>
        </w:rPr>
        <w:t xml:space="preserve"> + responseData.timestamp</w:t>
      </w:r>
      <w:r>
        <w:rPr>
          <w:rStyle w:val="OtherTok"/>
        </w:rPr>
        <w:t xml:space="preserve">);</w:t>
      </w:r>
      <w:r>
        <w:br/>
      </w:r>
      <w:r>
        <w:rPr>
          <w:rStyle w:val="DataTypeTok"/>
        </w:rPr>
        <w:t xml:space="preserve">%&gt;</w:t>
      </w:r>
    </w:p>
    <w:bookmarkEnd w:id="829"/>
    <w:bookmarkEnd w:id="830"/>
    <w:bookmarkStart w:id="1072" w:name="X2c0ca6c1c2d326f9f59ec275cc682d24ee50797"/>
    <w:p>
      <w:pPr>
        <w:pStyle w:val="Heading1"/>
      </w:pPr>
      <w:r>
        <w:t xml:space="preserve">Use ES6 Features and beyond in Javascript Scripts</w:t>
      </w:r>
    </w:p>
    <w:bookmarkStart w:id="831" w:name="overview-51"/>
    <w:p>
      <w:pPr>
        <w:pStyle w:val="Heading2"/>
      </w:pPr>
      <w:r>
        <w:t xml:space="preserve">Overview</w:t>
      </w:r>
    </w:p>
    <w:p>
      <w:pPr>
        <w:pStyle w:val="FirstParagraph"/>
      </w:pPr>
      <w:r>
        <w:t xml:space="preserve">AxonASP’s Javascript engine supports a wide range of modern ECMAScript features, including ES6 (ES2015) additions and subsequent standards up to ES2024. This page documents all supported modern capabilities: template literals, block-scoped declarations (</w:t>
      </w:r>
      <w:r>
        <w:rPr>
          <w:rStyle w:val="VerbatimChar"/>
        </w:rPr>
        <w:t xml:space="preserve">let</w:t>
      </w:r>
      <w:r>
        <w:t xml:space="preserve"> </w:t>
      </w:r>
      <w:r>
        <w:t xml:space="preserve">and</w:t>
      </w:r>
      <w:r>
        <w:t xml:space="preserve"> </w:t>
      </w:r>
      <w:r>
        <w:rPr>
          <w:rStyle w:val="VerbatimChar"/>
        </w:rPr>
        <w:t xml:space="preserve">const</w:t>
      </w:r>
      <w:r>
        <w:t xml:space="preserve">) with Temporal Dead Zone (TDZ), arrow functions, default parameter values, rest parameters, spread in array literals, object literal shorthand, computed property names,</w:t>
      </w:r>
      <w:r>
        <w:t xml:space="preserve"> </w:t>
      </w:r>
      <w:r>
        <w:rPr>
          <w:rStyle w:val="VerbatimChar"/>
        </w:rPr>
        <w:t xml:space="preserve">for...of</w:t>
      </w:r>
      <w:r>
        <w:t xml:space="preserve"> </w:t>
      </w:r>
      <w:r>
        <w:t xml:space="preserve">loops,</w:t>
      </w:r>
      <w:r>
        <w:t xml:space="preserve"> </w:t>
      </w:r>
      <w:r>
        <w:rPr>
          <w:rStyle w:val="VerbatimChar"/>
        </w:rPr>
        <w:t xml:space="preserve">Object</w:t>
      </w:r>
      <w:r>
        <w:t xml:space="preserve"> </w:t>
      </w:r>
      <w:r>
        <w:t xml:space="preserve">static utilities (including</w:t>
      </w:r>
      <w:r>
        <w:t xml:space="preserve"> </w:t>
      </w:r>
      <w:r>
        <w:rPr>
          <w:rStyle w:val="VerbatimChar"/>
        </w:rPr>
        <w:t xml:space="preserve">values</w:t>
      </w:r>
      <w:r>
        <w:t xml:space="preserve">,</w:t>
      </w:r>
      <w:r>
        <w:t xml:space="preserve"> </w:t>
      </w:r>
      <w:r>
        <w:rPr>
          <w:rStyle w:val="VerbatimChar"/>
        </w:rPr>
        <w:t xml:space="preserve">entries</w:t>
      </w:r>
      <w:r>
        <w:t xml:space="preserve">, and</w:t>
      </w:r>
      <w:r>
        <w:t xml:space="preserve"> </w:t>
      </w:r>
      <w:r>
        <w:rPr>
          <w:rStyle w:val="VerbatimChar"/>
        </w:rPr>
        <w:t xml:space="preserve">fromEntries</w:t>
      </w:r>
      <w:r>
        <w:t xml:space="preserve">), property reflection helpers, modern</w:t>
      </w:r>
      <w:r>
        <w:t xml:space="preserve"> </w:t>
      </w:r>
      <w:r>
        <w:rPr>
          <w:rStyle w:val="VerbatimChar"/>
        </w:rPr>
        <w:t xml:space="preserve">String</w:t>
      </w:r>
      <w:r>
        <w:t xml:space="preserve"> </w:t>
      </w:r>
      <w:r>
        <w:t xml:space="preserve">methods (like</w:t>
      </w:r>
      <w:r>
        <w:t xml:space="preserve"> </w:t>
      </w:r>
      <w:r>
        <w:rPr>
          <w:rStyle w:val="VerbatimChar"/>
        </w:rPr>
        <w:t xml:space="preserve">includes</w:t>
      </w:r>
      <w:r>
        <w:t xml:space="preserve">,</w:t>
      </w:r>
      <w:r>
        <w:t xml:space="preserve"> </w:t>
      </w:r>
      <w:r>
        <w:rPr>
          <w:rStyle w:val="VerbatimChar"/>
        </w:rPr>
        <w:t xml:space="preserve">padStart</w:t>
      </w:r>
      <w:r>
        <w:t xml:space="preserve">, and</w:t>
      </w:r>
      <w:r>
        <w:t xml:space="preserve"> </w:t>
      </w:r>
      <w:r>
        <w:rPr>
          <w:rStyle w:val="VerbatimChar"/>
        </w:rPr>
        <w:t xml:space="preserve">at</w:t>
      </w:r>
      <w:r>
        <w:t xml:space="preserve">), full Unicode support in</w:t>
      </w:r>
      <w:r>
        <w:t xml:space="preserve"> </w:t>
      </w:r>
      <w:r>
        <w:rPr>
          <w:rStyle w:val="VerbatimChar"/>
        </w:rPr>
        <w:t xml:space="preserve">RegExp</w:t>
      </w:r>
      <w:r>
        <w:t xml:space="preserve">,</w:t>
      </w:r>
      <w:r>
        <w:t xml:space="preserve"> </w:t>
      </w:r>
      <w:r>
        <w:rPr>
          <w:rStyle w:val="VerbatimChar"/>
        </w:rPr>
        <w:t xml:space="preserve">Number</w:t>
      </w:r>
      <w:r>
        <w:t xml:space="preserve"> </w:t>
      </w:r>
      <w:r>
        <w:t xml:space="preserve">static methods,</w:t>
      </w:r>
      <w:r>
        <w:t xml:space="preserve"> </w:t>
      </w:r>
      <w:r>
        <w:rPr>
          <w:rStyle w:val="VerbatimChar"/>
        </w:rPr>
        <w:t xml:space="preserve">Math</w:t>
      </w:r>
      <w:r>
        <w:t xml:space="preserve"> </w:t>
      </w:r>
      <w:r>
        <w:t xml:space="preserve">extensions,</w:t>
      </w:r>
      <w:r>
        <w:t xml:space="preserve"> </w:t>
      </w:r>
      <w:r>
        <w:rPr>
          <w:rStyle w:val="VerbatimChar"/>
        </w:rPr>
        <w:t xml:space="preserve">Symbol</w:t>
      </w:r>
      <w:r>
        <w:t xml:space="preserve"> </w:t>
      </w:r>
      <w:r>
        <w:t xml:space="preserve">primitive,</w:t>
      </w:r>
      <w:r>
        <w:t xml:space="preserve"> </w:t>
      </w:r>
      <w:r>
        <w:rPr>
          <w:rStyle w:val="VerbatimChar"/>
        </w:rPr>
        <w:t xml:space="preserve">Set</w:t>
      </w:r>
      <w:r>
        <w:t xml:space="preserve"> </w:t>
      </w:r>
      <w:r>
        <w:t xml:space="preserve">and</w:t>
      </w:r>
      <w:r>
        <w:t xml:space="preserve"> </w:t>
      </w:r>
      <w:r>
        <w:rPr>
          <w:rStyle w:val="VerbatimChar"/>
        </w:rPr>
        <w:t xml:space="preserve">Map</w:t>
      </w:r>
      <w:r>
        <w:t xml:space="preserve"> </w:t>
      </w:r>
      <w:r>
        <w:t xml:space="preserve">collections, and a comprehensive set of</w:t>
      </w:r>
      <w:r>
        <w:t xml:space="preserve"> </w:t>
      </w:r>
      <w:r>
        <w:rPr>
          <w:rStyle w:val="VerbatimChar"/>
        </w:rPr>
        <w:t xml:space="preserve">Array</w:t>
      </w:r>
      <w:r>
        <w:t xml:space="preserve"> </w:t>
      </w:r>
      <w:r>
        <w:t xml:space="preserve">utilities (including</w:t>
      </w:r>
      <w:r>
        <w:t xml:space="preserve"> </w:t>
      </w:r>
      <w:r>
        <w:rPr>
          <w:rStyle w:val="VerbatimChar"/>
        </w:rPr>
        <w:t xml:space="preserve">find</w:t>
      </w:r>
      <w:r>
        <w:t xml:space="preserve">,</w:t>
      </w:r>
      <w:r>
        <w:t xml:space="preserve"> </w:t>
      </w:r>
      <w:r>
        <w:rPr>
          <w:rStyle w:val="VerbatimChar"/>
        </w:rPr>
        <w:t xml:space="preserve">flat</w:t>
      </w:r>
      <w:r>
        <w:t xml:space="preserve">,</w:t>
      </w:r>
      <w:r>
        <w:t xml:space="preserve"> </w:t>
      </w:r>
      <w:r>
        <w:rPr>
          <w:rStyle w:val="VerbatimChar"/>
        </w:rPr>
        <w:t xml:space="preserve">flatMap</w:t>
      </w:r>
      <w:r>
        <w:t xml:space="preserve">, and immutable</w:t>
      </w:r>
      <w:r>
        <w:t xml:space="preserve"> </w:t>
      </w:r>
      <w:r>
        <w:rPr>
          <w:rStyle w:val="VerbatimChar"/>
        </w:rPr>
        <w:t xml:space="preserve">toSorted</w:t>
      </w:r>
      <w:r>
        <w:t xml:space="preserve">/</w:t>
      </w:r>
      <w:r>
        <w:rPr>
          <w:rStyle w:val="VerbatimChar"/>
        </w:rPr>
        <w:t xml:space="preserve">toReversed</w:t>
      </w:r>
      <w:r>
        <w:t xml:space="preserve">/</w:t>
      </w:r>
      <w:r>
        <w:rPr>
          <w:rStyle w:val="VerbatimChar"/>
        </w:rPr>
        <w:t xml:space="preserve">toSpliced</w:t>
      </w:r>
      <w:r>
        <w:t xml:space="preserve"> </w:t>
      </w:r>
      <w:r>
        <w:t xml:space="preserve">methods).</w:t>
      </w:r>
    </w:p>
    <w:p>
      <w:pPr>
        <w:pStyle w:val="BodyText"/>
      </w:pPr>
      <w:r>
        <w:t xml:space="preserve">All ES6 features described here are available in</w:t>
      </w:r>
      <w:r>
        <w:t xml:space="preserve"> </w:t>
      </w:r>
      <w:r>
        <w:rPr>
          <w:rStyle w:val="VerbatimChar"/>
        </w:rPr>
        <w:t xml:space="preserve">&lt;script runat="server" language="Javascript"&gt;</w:t>
      </w:r>
      <w:r>
        <w:t xml:space="preserve"> </w:t>
      </w:r>
      <w:r>
        <w:t xml:space="preserve">blocks or setting the `&lt;%</w:t>
      </w:r>
      <w:r>
        <w:t xml:space="preserve">@Language</w:t>
      </w:r>
      <w:r>
        <w:t xml:space="preserve">=</w:t>
      </w:r>
      <w:r>
        <w:t xml:space="preserve">“JavaScript”</w:t>
      </w:r>
      <w:r>
        <w:t xml:space="preserve">%&gt; header.</w:t>
      </w:r>
    </w:p>
    <w:p>
      <w:r>
        <w:pict>
          <v:rect style="width:0;height:1.5pt" o:hralign="center" o:hrstd="t" o:hr="t"/>
        </w:pict>
      </w:r>
    </w:p>
    <w:bookmarkEnd w:id="831"/>
    <w:bookmarkStart w:id="835" w:name="proxies"/>
    <w:p>
      <w:pPr>
        <w:pStyle w:val="Heading2"/>
      </w:pPr>
      <w:r>
        <w:t xml:space="preserve">Proxies</w:t>
      </w:r>
    </w:p>
    <w:bookmarkStart w:id="832" w:name="syntax-33"/>
    <w:p>
      <w:pPr>
        <w:pStyle w:val="Heading3"/>
      </w:pPr>
      <w:r>
        <w:t xml:space="preserve">Syntax</w:t>
      </w:r>
    </w:p>
    <w:p>
      <w:pPr>
        <w:pStyle w:val="SourceCode"/>
      </w:pPr>
      <w:r>
        <w:rPr>
          <w:rStyle w:val="KeywordTok"/>
        </w:rPr>
        <w:t xml:space="preserve">var</w:t>
      </w:r>
      <w:r>
        <w:rPr>
          <w:rStyle w:val="NormalTok"/>
        </w:rPr>
        <w:t xml:space="preserve"> proxy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Proxy</w:t>
      </w:r>
      <w:r>
        <w:rPr>
          <w:rStyle w:val="NormalTok"/>
        </w:rPr>
        <w:t xml:space="preserve">(target</w:t>
      </w:r>
      <w:r>
        <w:rPr>
          <w:rStyle w:val="OperatorTok"/>
        </w:rPr>
        <w:t xml:space="preserve">,</w:t>
      </w:r>
      <w:r>
        <w:rPr>
          <w:rStyle w:val="NormalTok"/>
        </w:rPr>
        <w:t xml:space="preserve"> handler)</w:t>
      </w:r>
      <w:r>
        <w:rPr>
          <w:rStyle w:val="OperatorTok"/>
        </w:rPr>
        <w:t xml:space="preserve">;</w:t>
      </w:r>
      <w:r>
        <w:br/>
      </w:r>
      <w:r>
        <w:rPr>
          <w:rStyle w:val="KeywordTok"/>
        </w:rPr>
        <w:t xml:space="preserve">var</w:t>
      </w:r>
      <w:r>
        <w:rPr>
          <w:rStyle w:val="NormalTok"/>
        </w:rPr>
        <w:t xml:space="preserve"> { proxy</w:t>
      </w:r>
      <w:r>
        <w:rPr>
          <w:rStyle w:val="OperatorTok"/>
        </w:rPr>
        <w:t xml:space="preserve">,</w:t>
      </w:r>
      <w:r>
        <w:rPr>
          <w:rStyle w:val="NormalTok"/>
        </w:rPr>
        <w:t xml:space="preserve"> revoke } </w:t>
      </w:r>
      <w:r>
        <w:rPr>
          <w:rStyle w:val="OperatorTok"/>
        </w:rPr>
        <w:t xml:space="preserve">=</w:t>
      </w:r>
      <w:r>
        <w:rPr>
          <w:rStyle w:val="NormalTok"/>
        </w:rPr>
        <w:t xml:space="preserve"> </w:t>
      </w:r>
      <w:r>
        <w:rPr>
          <w:rStyle w:val="BuiltInTok"/>
        </w:rPr>
        <w:t xml:space="preserve">Proxy</w:t>
      </w:r>
      <w:r>
        <w:rPr>
          <w:rStyle w:val="OperatorTok"/>
        </w:rPr>
        <w:t xml:space="preserve">.</w:t>
      </w:r>
      <w:r>
        <w:rPr>
          <w:rStyle w:val="FunctionTok"/>
        </w:rPr>
        <w:t xml:space="preserve">revocable</w:t>
      </w:r>
      <w:r>
        <w:rPr>
          <w:rStyle w:val="NormalTok"/>
        </w:rPr>
        <w:t xml:space="preserve">(target</w:t>
      </w:r>
      <w:r>
        <w:rPr>
          <w:rStyle w:val="OperatorTok"/>
        </w:rPr>
        <w:t xml:space="preserve">,</w:t>
      </w:r>
      <w:r>
        <w:rPr>
          <w:rStyle w:val="NormalTok"/>
        </w:rPr>
        <w:t xml:space="preserve"> handler)</w:t>
      </w:r>
      <w:r>
        <w:rPr>
          <w:rStyle w:val="OperatorTok"/>
        </w:rPr>
        <w:t xml:space="preserve">;</w:t>
      </w:r>
    </w:p>
    <w:bookmarkEnd w:id="832"/>
    <w:bookmarkStart w:id="833" w:name="remarks-39"/>
    <w:p>
      <w:pPr>
        <w:pStyle w:val="Heading3"/>
      </w:pPr>
      <w:r>
        <w:t xml:space="preserve">Remarks</w:t>
      </w:r>
    </w:p>
    <w:p>
      <w:pPr>
        <w:pStyle w:val="Compact"/>
        <w:numPr>
          <w:ilvl w:val="0"/>
          <w:numId w:val="1244"/>
        </w:numPr>
      </w:pPr>
      <w:r>
        <w:t xml:space="preserve">The</w:t>
      </w:r>
      <w:r>
        <w:t xml:space="preserve"> </w:t>
      </w:r>
      <w:r>
        <w:rPr>
          <w:rStyle w:val="VerbatimChar"/>
        </w:rPr>
        <w:t xml:space="preserve">Proxy</w:t>
      </w:r>
      <w:r>
        <w:t xml:space="preserve"> </w:t>
      </w:r>
      <w:r>
        <w:t xml:space="preserve">object allows you to create a proxy for another object, which can intercept and redefine fundamental operations for that object.</w:t>
      </w:r>
    </w:p>
    <w:p>
      <w:pPr>
        <w:pStyle w:val="Compact"/>
        <w:numPr>
          <w:ilvl w:val="0"/>
          <w:numId w:val="1244"/>
        </w:numPr>
      </w:pPr>
      <w:r>
        <w:rPr>
          <w:b/>
          <w:bCs/>
        </w:rPr>
        <w:t xml:space="preserve">Supported traps:</w:t>
      </w:r>
      <w:r>
        <w:t xml:space="preserve"> </w:t>
      </w:r>
      <w:r>
        <w:rPr>
          <w:rStyle w:val="VerbatimChar"/>
        </w:rPr>
        <w:t xml:space="preserve">get</w:t>
      </w:r>
      <w:r>
        <w:t xml:space="preserve">,</w:t>
      </w:r>
      <w:r>
        <w:t xml:space="preserve"> </w:t>
      </w:r>
      <w:r>
        <w:rPr>
          <w:rStyle w:val="VerbatimChar"/>
        </w:rPr>
        <w:t xml:space="preserve">set</w:t>
      </w:r>
      <w:r>
        <w:t xml:space="preserve">,</w:t>
      </w:r>
      <w:r>
        <w:t xml:space="preserve"> </w:t>
      </w:r>
      <w:r>
        <w:rPr>
          <w:rStyle w:val="VerbatimChar"/>
        </w:rPr>
        <w:t xml:space="preserve">has</w:t>
      </w:r>
      <w:r>
        <w:t xml:space="preserve">,</w:t>
      </w:r>
      <w:r>
        <w:t xml:space="preserve"> </w:t>
      </w:r>
      <w:r>
        <w:rPr>
          <w:rStyle w:val="VerbatimChar"/>
        </w:rPr>
        <w:t xml:space="preserve">deleteProperty</w:t>
      </w:r>
      <w:r>
        <w:t xml:space="preserve">,</w:t>
      </w:r>
      <w:r>
        <w:t xml:space="preserve"> </w:t>
      </w:r>
      <w:r>
        <w:rPr>
          <w:rStyle w:val="VerbatimChar"/>
        </w:rPr>
        <w:t xml:space="preserve">apply</w:t>
      </w:r>
      <w:r>
        <w:t xml:space="preserve">,</w:t>
      </w:r>
      <w:r>
        <w:t xml:space="preserve"> </w:t>
      </w:r>
      <w:r>
        <w:rPr>
          <w:rStyle w:val="VerbatimChar"/>
        </w:rPr>
        <w:t xml:space="preserve">construct</w:t>
      </w:r>
      <w:r>
        <w:t xml:space="preserve">,</w:t>
      </w:r>
      <w:r>
        <w:t xml:space="preserve"> </w:t>
      </w:r>
      <w:r>
        <w:rPr>
          <w:rStyle w:val="VerbatimChar"/>
        </w:rPr>
        <w:t xml:space="preserve">ownKeys</w:t>
      </w:r>
      <w:r>
        <w:t xml:space="preserve">,</w:t>
      </w:r>
      <w:r>
        <w:t xml:space="preserve"> </w:t>
      </w:r>
      <w:r>
        <w:rPr>
          <w:rStyle w:val="VerbatimChar"/>
        </w:rPr>
        <w:t xml:space="preserve">defineProperty</w:t>
      </w:r>
      <w:r>
        <w:t xml:space="preserve">,</w:t>
      </w:r>
      <w:r>
        <w:t xml:space="preserve"> </w:t>
      </w:r>
      <w:r>
        <w:rPr>
          <w:rStyle w:val="VerbatimChar"/>
        </w:rPr>
        <w:t xml:space="preserve">getOwnPropertyDescriptor</w:t>
      </w:r>
      <w:r>
        <w:t xml:space="preserve">,</w:t>
      </w:r>
      <w:r>
        <w:t xml:space="preserve"> </w:t>
      </w:r>
      <w:r>
        <w:rPr>
          <w:rStyle w:val="VerbatimChar"/>
        </w:rPr>
        <w:t xml:space="preserve">getPrototypeOf</w:t>
      </w:r>
      <w:r>
        <w:t xml:space="preserve">,</w:t>
      </w:r>
      <w:r>
        <w:t xml:space="preserve"> </w:t>
      </w:r>
      <w:r>
        <w:rPr>
          <w:rStyle w:val="VerbatimChar"/>
        </w:rPr>
        <w:t xml:space="preserve">setPrototypeOf</w:t>
      </w:r>
      <w:r>
        <w:t xml:space="preserve">,</w:t>
      </w:r>
      <w:r>
        <w:t xml:space="preserve"> </w:t>
      </w:r>
      <w:r>
        <w:rPr>
          <w:rStyle w:val="VerbatimChar"/>
        </w:rPr>
        <w:t xml:space="preserve">isExtensible</w:t>
      </w:r>
      <w:r>
        <w:t xml:space="preserve">, and</w:t>
      </w:r>
      <w:r>
        <w:t xml:space="preserve"> </w:t>
      </w:r>
      <w:r>
        <w:rPr>
          <w:rStyle w:val="VerbatimChar"/>
        </w:rPr>
        <w:t xml:space="preserve">preventExtensions</w:t>
      </w:r>
      <w:r>
        <w:t xml:space="preserve">.</w:t>
      </w:r>
    </w:p>
    <w:p>
      <w:pPr>
        <w:pStyle w:val="Compact"/>
        <w:numPr>
          <w:ilvl w:val="0"/>
          <w:numId w:val="1244"/>
        </w:numPr>
      </w:pPr>
      <w:r>
        <w:rPr>
          <w:b/>
          <w:bCs/>
        </w:rPr>
        <w:t xml:space="preserve">Revocable Proxies:</w:t>
      </w:r>
      <w:r>
        <w:t xml:space="preserve"> </w:t>
      </w:r>
      <w:r>
        <w:rPr>
          <w:rStyle w:val="VerbatimChar"/>
        </w:rPr>
        <w:t xml:space="preserve">Proxy.revocable</w:t>
      </w:r>
      <w:r>
        <w:t xml:space="preserve"> </w:t>
      </w:r>
      <w:r>
        <w:t xml:space="preserve">returns an object with a</w:t>
      </w:r>
      <w:r>
        <w:t xml:space="preserve"> </w:t>
      </w:r>
      <w:r>
        <w:rPr>
          <w:rStyle w:val="VerbatimChar"/>
        </w:rPr>
        <w:t xml:space="preserve">proxy</w:t>
      </w:r>
      <w:r>
        <w:t xml:space="preserve"> </w:t>
      </w:r>
      <w:r>
        <w:t xml:space="preserve">and a</w:t>
      </w:r>
      <w:r>
        <w:t xml:space="preserve"> </w:t>
      </w:r>
      <w:r>
        <w:rPr>
          <w:rStyle w:val="VerbatimChar"/>
        </w:rPr>
        <w:t xml:space="preserve">revoke</w:t>
      </w:r>
      <w:r>
        <w:t xml:space="preserve"> </w:t>
      </w:r>
      <w:r>
        <w:t xml:space="preserve">function. Once revoked, any operation on the proxy throws a</w:t>
      </w:r>
      <w:r>
        <w:t xml:space="preserve"> </w:t>
      </w:r>
      <w:r>
        <w:rPr>
          <w:rStyle w:val="VerbatimChar"/>
        </w:rPr>
        <w:t xml:space="preserve">TypeError</w:t>
      </w:r>
      <w:r>
        <w:t xml:space="preserve">.</w:t>
      </w:r>
    </w:p>
    <w:p>
      <w:pPr>
        <w:pStyle w:val="Compact"/>
        <w:numPr>
          <w:ilvl w:val="0"/>
          <w:numId w:val="1244"/>
        </w:numPr>
      </w:pPr>
      <w:r>
        <w:rPr>
          <w:b/>
          <w:bCs/>
        </w:rPr>
        <w:t xml:space="preserve">Centralized Trap Validator:</w:t>
      </w:r>
      <w:r>
        <w:t xml:space="preserve"> </w:t>
      </w:r>
      <w:r>
        <w:t xml:space="preserve">trap invariant checks are centralized in the runtime validator module to ensure consistent TypeError behavior across</w:t>
      </w:r>
      <w:r>
        <w:t xml:space="preserve"> </w:t>
      </w:r>
      <w:r>
        <w:rPr>
          <w:rStyle w:val="VerbatimChar"/>
        </w:rPr>
        <w:t xml:space="preserve">Proxy</w:t>
      </w:r>
      <w:r>
        <w:t xml:space="preserve"> </w:t>
      </w:r>
      <w:r>
        <w:t xml:space="preserve">and</w:t>
      </w:r>
      <w:r>
        <w:t xml:space="preserve"> </w:t>
      </w:r>
      <w:r>
        <w:rPr>
          <w:rStyle w:val="VerbatimChar"/>
        </w:rPr>
        <w:t xml:space="preserve">Reflect</w:t>
      </w:r>
      <w:r>
        <w:t xml:space="preserve"> </w:t>
      </w:r>
      <w:r>
        <w:t xml:space="preserve">paths.</w:t>
      </w:r>
    </w:p>
    <w:p>
      <w:pPr>
        <w:pStyle w:val="Compact"/>
        <w:numPr>
          <w:ilvl w:val="0"/>
          <w:numId w:val="1244"/>
        </w:numPr>
      </w:pPr>
      <w:r>
        <w:rPr>
          <w:b/>
          <w:bCs/>
        </w:rPr>
        <w:t xml:space="preserve">Invariant Enforcement:</w:t>
      </w:r>
      <w:r>
        <w:t xml:space="preserve"> </w:t>
      </w:r>
      <w:r>
        <w:t xml:space="preserve">The engine strictly validates every ECMAScript §10.5 trap invariant. A broken trap throws a</w:t>
      </w:r>
      <w:r>
        <w:t xml:space="preserve"> </w:t>
      </w:r>
      <w:r>
        <w:rPr>
          <w:rStyle w:val="VerbatimChar"/>
        </w:rPr>
        <w:t xml:space="preserve">TypeError</w:t>
      </w:r>
      <w:r>
        <w:t xml:space="preserve"> </w:t>
      </w:r>
      <w:r>
        <w:t xml:space="preserve">with an</w:t>
      </w:r>
      <w:r>
        <w:t xml:space="preserve"> </w:t>
      </w:r>
      <w:r>
        <w:rPr>
          <w:rStyle w:val="VerbatimChar"/>
        </w:rPr>
        <w:t xml:space="preserve">"invariant"</w:t>
      </w:r>
      <w:r>
        <w:t xml:space="preserve"> </w:t>
      </w:r>
      <w:r>
        <w:t xml:space="preserve">description. Key rules enforced:</w:t>
      </w:r>
    </w:p>
    <w:p>
      <w:pPr>
        <w:pStyle w:val="Compact"/>
        <w:numPr>
          <w:ilvl w:val="1"/>
          <w:numId w:val="1245"/>
        </w:numPr>
      </w:pPr>
      <w:r>
        <w:rPr>
          <w:b/>
          <w:bCs/>
        </w:rPr>
        <w:t xml:space="preserve">get:</w:t>
      </w:r>
      <w:r>
        <w:t xml:space="preserve"> </w:t>
      </w:r>
      <w:r>
        <w:t xml:space="preserve">A non-configurable, non-writable data property must return the exact stored value. A non-configurable accessor with no getter must return</w:t>
      </w:r>
      <w:r>
        <w:t xml:space="preserve"> </w:t>
      </w:r>
      <w:r>
        <w:rPr>
          <w:rStyle w:val="VerbatimChar"/>
        </w:rPr>
        <w:t xml:space="preserve">undefined</w:t>
      </w:r>
      <w:r>
        <w:t xml:space="preserve">.</w:t>
      </w:r>
    </w:p>
    <w:p>
      <w:pPr>
        <w:pStyle w:val="Compact"/>
        <w:numPr>
          <w:ilvl w:val="1"/>
          <w:numId w:val="1245"/>
        </w:numPr>
      </w:pPr>
      <w:r>
        <w:rPr>
          <w:b/>
          <w:bCs/>
        </w:rPr>
        <w:t xml:space="preserve">has:</w:t>
      </w:r>
      <w:r>
        <w:t xml:space="preserve"> </w:t>
      </w:r>
      <w:r>
        <w:t xml:space="preserve">Cannot return</w:t>
      </w:r>
      <w:r>
        <w:t xml:space="preserve"> </w:t>
      </w:r>
      <w:r>
        <w:rPr>
          <w:rStyle w:val="VerbatimChar"/>
        </w:rPr>
        <w:t xml:space="preserve">false</w:t>
      </w:r>
      <w:r>
        <w:t xml:space="preserve"> </w:t>
      </w:r>
      <w:r>
        <w:t xml:space="preserve">for a non-configurable own property, or for any own property of a non-extensible target.</w:t>
      </w:r>
    </w:p>
    <w:p>
      <w:pPr>
        <w:pStyle w:val="Compact"/>
        <w:numPr>
          <w:ilvl w:val="1"/>
          <w:numId w:val="1245"/>
        </w:numPr>
      </w:pPr>
      <w:r>
        <w:rPr>
          <w:b/>
          <w:bCs/>
        </w:rPr>
        <w:t xml:space="preserve">set:</w:t>
      </w:r>
      <w:r>
        <w:t xml:space="preserve"> </w:t>
      </w:r>
      <w:r>
        <w:t xml:space="preserve">Cannot return</w:t>
      </w:r>
      <w:r>
        <w:t xml:space="preserve"> </w:t>
      </w:r>
      <w:r>
        <w:rPr>
          <w:rStyle w:val="VerbatimChar"/>
        </w:rPr>
        <w:t xml:space="preserve">true</w:t>
      </w:r>
      <w:r>
        <w:t xml:space="preserve"> </w:t>
      </w:r>
      <w:r>
        <w:t xml:space="preserve">when the target has a non-configurable, non-writable data property and the new value differs from the stored one.</w:t>
      </w:r>
    </w:p>
    <w:p>
      <w:pPr>
        <w:pStyle w:val="Compact"/>
        <w:numPr>
          <w:ilvl w:val="1"/>
          <w:numId w:val="1245"/>
        </w:numPr>
      </w:pPr>
      <w:r>
        <w:rPr>
          <w:b/>
          <w:bCs/>
        </w:rPr>
        <w:t xml:space="preserve">deleteProperty:</w:t>
      </w:r>
      <w:r>
        <w:t xml:space="preserve"> </w:t>
      </w:r>
      <w:r>
        <w:t xml:space="preserve">Cannot return</w:t>
      </w:r>
      <w:r>
        <w:t xml:space="preserve"> </w:t>
      </w:r>
      <w:r>
        <w:rPr>
          <w:rStyle w:val="VerbatimChar"/>
        </w:rPr>
        <w:t xml:space="preserve">true</w:t>
      </w:r>
      <w:r>
        <w:t xml:space="preserve"> </w:t>
      </w:r>
      <w:r>
        <w:t xml:space="preserve">for a non-configurable own property.</w:t>
      </w:r>
    </w:p>
    <w:p>
      <w:pPr>
        <w:pStyle w:val="Compact"/>
        <w:numPr>
          <w:ilvl w:val="1"/>
          <w:numId w:val="1245"/>
        </w:numPr>
      </w:pPr>
      <w:r>
        <w:rPr>
          <w:b/>
          <w:bCs/>
        </w:rPr>
        <w:t xml:space="preserve">ownKeys:</w:t>
      </w:r>
      <w:r>
        <w:t xml:space="preserve"> </w:t>
      </w:r>
      <w:r>
        <w:t xml:space="preserve">The result must include every non-configurable own property key. For non-extensible targets the result must exactly match the target’s own key set.</w:t>
      </w:r>
    </w:p>
    <w:p>
      <w:pPr>
        <w:pStyle w:val="Compact"/>
        <w:numPr>
          <w:ilvl w:val="1"/>
          <w:numId w:val="1245"/>
        </w:numPr>
      </w:pPr>
      <w:r>
        <w:rPr>
          <w:b/>
          <w:bCs/>
        </w:rPr>
        <w:t xml:space="preserve">defineProperty:</w:t>
      </w:r>
      <w:r>
        <w:t xml:space="preserve"> </w:t>
      </w:r>
      <w:r>
        <w:t xml:space="preserve">Cannot return</w:t>
      </w:r>
      <w:r>
        <w:t xml:space="preserve"> </w:t>
      </w:r>
      <w:r>
        <w:rPr>
          <w:rStyle w:val="VerbatimChar"/>
        </w:rPr>
        <w:t xml:space="preserve">true</w:t>
      </w:r>
      <w:r>
        <w:t xml:space="preserve"> </w:t>
      </w:r>
      <w:r>
        <w:t xml:space="preserve">when adding a new property to a non-extensible target, or when making a non-configurable property configurable.</w:t>
      </w:r>
    </w:p>
    <w:p>
      <w:pPr>
        <w:pStyle w:val="Compact"/>
        <w:numPr>
          <w:ilvl w:val="1"/>
          <w:numId w:val="1245"/>
        </w:numPr>
      </w:pPr>
      <w:r>
        <w:rPr>
          <w:b/>
          <w:bCs/>
        </w:rPr>
        <w:t xml:space="preserve">getOwnPropertyDescriptor:</w:t>
      </w:r>
      <w:r>
        <w:t xml:space="preserve"> </w:t>
      </w:r>
      <w:r>
        <w:t xml:space="preserve">Cannot return</w:t>
      </w:r>
      <w:r>
        <w:t xml:space="preserve"> </w:t>
      </w:r>
      <w:r>
        <w:rPr>
          <w:rStyle w:val="VerbatimChar"/>
        </w:rPr>
        <w:t xml:space="preserve">undefined</w:t>
      </w:r>
      <w:r>
        <w:t xml:space="preserve"> </w:t>
      </w:r>
      <w:r>
        <w:t xml:space="preserve">for a non-configurable property. Cannot report a descriptor as</w:t>
      </w:r>
      <w:r>
        <w:t xml:space="preserve"> </w:t>
      </w:r>
      <w:r>
        <w:rPr>
          <w:rStyle w:val="VerbatimChar"/>
        </w:rPr>
        <w:t xml:space="preserve">configurable: true</w:t>
      </w:r>
      <w:r>
        <w:t xml:space="preserve"> </w:t>
      </w:r>
      <w:r>
        <w:t xml:space="preserve">when the target property is non-configurable.</w:t>
      </w:r>
    </w:p>
    <w:p>
      <w:pPr>
        <w:pStyle w:val="Compact"/>
        <w:numPr>
          <w:ilvl w:val="1"/>
          <w:numId w:val="1245"/>
        </w:numPr>
      </w:pPr>
      <w:r>
        <w:rPr>
          <w:b/>
          <w:bCs/>
        </w:rPr>
        <w:t xml:space="preserve">getPrototypeOf:</w:t>
      </w:r>
      <w:r>
        <w:t xml:space="preserve"> </w:t>
      </w:r>
      <w:r>
        <w:t xml:space="preserve">For a non-extensible target must return the same object as the target’s actual prototype.</w:t>
      </w:r>
    </w:p>
    <w:p>
      <w:pPr>
        <w:pStyle w:val="Compact"/>
        <w:numPr>
          <w:ilvl w:val="1"/>
          <w:numId w:val="1245"/>
        </w:numPr>
      </w:pPr>
      <w:r>
        <w:rPr>
          <w:b/>
          <w:bCs/>
        </w:rPr>
        <w:t xml:space="preserve">setPrototypeOf:</w:t>
      </w:r>
      <w:r>
        <w:t xml:space="preserve"> </w:t>
      </w:r>
      <w:r>
        <w:t xml:space="preserve">Cannot return</w:t>
      </w:r>
      <w:r>
        <w:t xml:space="preserve"> </w:t>
      </w:r>
      <w:r>
        <w:rPr>
          <w:rStyle w:val="VerbatimChar"/>
        </w:rPr>
        <w:t xml:space="preserve">true</w:t>
      </w:r>
      <w:r>
        <w:t xml:space="preserve"> </w:t>
      </w:r>
      <w:r>
        <w:t xml:space="preserve">when the target is non-extensible and the supplied prototype differs from the target’s current prototype.</w:t>
      </w:r>
    </w:p>
    <w:p>
      <w:pPr>
        <w:pStyle w:val="Compact"/>
        <w:numPr>
          <w:ilvl w:val="1"/>
          <w:numId w:val="1245"/>
        </w:numPr>
      </w:pPr>
      <w:r>
        <w:rPr>
          <w:b/>
          <w:bCs/>
        </w:rPr>
        <w:t xml:space="preserve">preventExtensions:</w:t>
      </w:r>
      <w:r>
        <w:t xml:space="preserve"> </w:t>
      </w:r>
      <w:r>
        <w:t xml:space="preserve">Cannot return</w:t>
      </w:r>
      <w:r>
        <w:t xml:space="preserve"> </w:t>
      </w:r>
      <w:r>
        <w:rPr>
          <w:rStyle w:val="VerbatimChar"/>
        </w:rPr>
        <w:t xml:space="preserve">true</w:t>
      </w:r>
      <w:r>
        <w:t xml:space="preserve"> </w:t>
      </w:r>
      <w:r>
        <w:t xml:space="preserve">unless the target is already non-extensible at the time the trap returns.</w:t>
      </w:r>
    </w:p>
    <w:bookmarkEnd w:id="833"/>
    <w:bookmarkStart w:id="834" w:name="code-example-27"/>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target </w:t>
      </w:r>
      <w:r>
        <w:rPr>
          <w:rStyle w:val="OperatorTok"/>
        </w:rPr>
        <w:t xml:space="preserve">=</w:t>
      </w:r>
      <w:r>
        <w:rPr>
          <w:rStyle w:val="NormalTok"/>
        </w:rPr>
        <w:t xml:space="preserve"> { </w:t>
      </w:r>
      <w:r>
        <w:rPr>
          <w:rStyle w:val="DataTypeTok"/>
        </w:rPr>
        <w:t xml:space="preserve">a</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ataTypeTok"/>
        </w:rPr>
        <w:t xml:space="preserve">b</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br/>
      </w:r>
      <w:r>
        <w:rPr>
          <w:rStyle w:val="KeywordTok"/>
        </w:rPr>
        <w:t xml:space="preserve">var</w:t>
      </w:r>
      <w:r>
        <w:rPr>
          <w:rStyle w:val="NormalTok"/>
        </w:rPr>
        <w:t xml:space="preserve"> handler </w:t>
      </w:r>
      <w:r>
        <w:rPr>
          <w:rStyle w:val="OperatorTok"/>
        </w:rPr>
        <w:t xml:space="preserve">=</w:t>
      </w:r>
      <w:r>
        <w:rPr>
          <w:rStyle w:val="NormalTok"/>
        </w:rPr>
        <w:t xml:space="preserve"> {</w:t>
      </w:r>
      <w:r>
        <w:br/>
      </w:r>
      <w:r>
        <w:rPr>
          <w:rStyle w:val="NormalTok"/>
        </w:rPr>
        <w:t xml:space="preserve">    </w:t>
      </w:r>
      <w:r>
        <w:rPr>
          <w:rStyle w:val="KeywordTok"/>
        </w:rPr>
        <w:t xml:space="preserve">get</w:t>
      </w:r>
      <w:r>
        <w:rPr>
          <w:rStyle w:val="OperatorTok"/>
        </w:rPr>
        <w:t xml:space="preserve">:</w:t>
      </w:r>
      <w:r>
        <w:rPr>
          <w:rStyle w:val="NormalTok"/>
        </w:rPr>
        <w:t xml:space="preserve"> </w:t>
      </w:r>
      <w:r>
        <w:rPr>
          <w:rStyle w:val="KeywordTok"/>
        </w:rPr>
        <w:t xml:space="preserve">function</w:t>
      </w:r>
      <w:r>
        <w:rPr>
          <w:rStyle w:val="NormalTok"/>
        </w:rPr>
        <w:t xml:space="preserve">(target</w:t>
      </w:r>
      <w:r>
        <w:rPr>
          <w:rStyle w:val="OperatorTok"/>
        </w:rPr>
        <w:t xml:space="preserve">,</w:t>
      </w:r>
      <w:r>
        <w:rPr>
          <w:rStyle w:val="NormalTok"/>
        </w:rPr>
        <w:t xml:space="preserve"> prop</w:t>
      </w:r>
      <w:r>
        <w:rPr>
          <w:rStyle w:val="OperatorTok"/>
        </w:rPr>
        <w:t xml:space="preserve">,</w:t>
      </w:r>
      <w:r>
        <w:rPr>
          <w:rStyle w:val="NormalTok"/>
        </w:rPr>
        <w:t xml:space="preserve"> receiver) {</w:t>
      </w:r>
      <w:r>
        <w:br/>
      </w:r>
      <w:r>
        <w:rPr>
          <w:rStyle w:val="NormalTok"/>
        </w:rPr>
        <w:t xml:space="preserve">        </w:t>
      </w:r>
      <w:r>
        <w:rPr>
          <w:rStyle w:val="ControlFlowTok"/>
        </w:rPr>
        <w:t xml:space="preserve">if</w:t>
      </w:r>
      <w:r>
        <w:rPr>
          <w:rStyle w:val="NormalTok"/>
        </w:rPr>
        <w:t xml:space="preserve"> (prop </w:t>
      </w:r>
      <w:r>
        <w:rPr>
          <w:rStyle w:val="OperatorTok"/>
        </w:rPr>
        <w:t xml:space="preserve">===</w:t>
      </w:r>
      <w:r>
        <w:rPr>
          <w:rStyle w:val="NormalTok"/>
        </w:rPr>
        <w:t xml:space="preserve"> </w:t>
      </w:r>
      <w:r>
        <w:rPr>
          <w:rStyle w:val="StringTok"/>
        </w:rPr>
        <w:t xml:space="preserve">'secret'</w:t>
      </w:r>
      <w:r>
        <w:rPr>
          <w:rStyle w:val="NormalTok"/>
        </w:rPr>
        <w:t xml:space="preserve">) </w:t>
      </w:r>
      <w:r>
        <w:rPr>
          <w:rStyle w:val="ControlFlowTok"/>
        </w:rPr>
        <w:t xml:space="preserve">return</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BuiltInTok"/>
        </w:rPr>
        <w:t xml:space="preserve">Reflect</w:t>
      </w:r>
      <w:r>
        <w:rPr>
          <w:rStyle w:val="OperatorTok"/>
        </w:rPr>
        <w:t xml:space="preserve">.</w:t>
      </w:r>
      <w:r>
        <w:rPr>
          <w:rStyle w:val="FunctionTok"/>
        </w:rPr>
        <w:t xml:space="preserve">get</w:t>
      </w:r>
      <w:r>
        <w:rPr>
          <w:rStyle w:val="NormalTok"/>
        </w:rPr>
        <w:t xml:space="preserve">(target</w:t>
      </w:r>
      <w:r>
        <w:rPr>
          <w:rStyle w:val="OperatorTok"/>
        </w:rPr>
        <w:t xml:space="preserve">,</w:t>
      </w:r>
      <w:r>
        <w:rPr>
          <w:rStyle w:val="NormalTok"/>
        </w:rPr>
        <w:t xml:space="preserve"> prop</w:t>
      </w:r>
      <w:r>
        <w:rPr>
          <w:rStyle w:val="OperatorTok"/>
        </w:rPr>
        <w:t xml:space="preserve">,</w:t>
      </w:r>
      <w:r>
        <w:rPr>
          <w:rStyle w:val="NormalTok"/>
        </w:rPr>
        <w:t xml:space="preserve"> receiver)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has</w:t>
      </w:r>
      <w:r>
        <w:rPr>
          <w:rStyle w:val="OperatorTok"/>
        </w:rPr>
        <w:t xml:space="preserve">:</w:t>
      </w:r>
      <w:r>
        <w:rPr>
          <w:rStyle w:val="NormalTok"/>
        </w:rPr>
        <w:t xml:space="preserve"> </w:t>
      </w:r>
      <w:r>
        <w:rPr>
          <w:rStyle w:val="KeywordTok"/>
        </w:rPr>
        <w:t xml:space="preserve">function</w:t>
      </w:r>
      <w:r>
        <w:rPr>
          <w:rStyle w:val="NormalTok"/>
        </w:rPr>
        <w:t xml:space="preserve">(target</w:t>
      </w:r>
      <w:r>
        <w:rPr>
          <w:rStyle w:val="OperatorTok"/>
        </w:rPr>
        <w:t xml:space="preserve">,</w:t>
      </w:r>
      <w:r>
        <w:rPr>
          <w:rStyle w:val="NormalTok"/>
        </w:rPr>
        <w:t xml:space="preserve"> prop) {</w:t>
      </w:r>
      <w:r>
        <w:br/>
      </w:r>
      <w:r>
        <w:rPr>
          <w:rStyle w:val="NormalTok"/>
        </w:rPr>
        <w:t xml:space="preserve">        </w:t>
      </w:r>
      <w:r>
        <w:rPr>
          <w:rStyle w:val="ControlFlowTok"/>
        </w:rPr>
        <w:t xml:space="preserve">if</w:t>
      </w:r>
      <w:r>
        <w:rPr>
          <w:rStyle w:val="NormalTok"/>
        </w:rPr>
        <w:t xml:space="preserve"> (prop </w:t>
      </w:r>
      <w:r>
        <w:rPr>
          <w:rStyle w:val="OperatorTok"/>
        </w:rPr>
        <w:t xml:space="preserve">===</w:t>
      </w:r>
      <w:r>
        <w:rPr>
          <w:rStyle w:val="NormalTok"/>
        </w:rPr>
        <w:t xml:space="preserve"> </w:t>
      </w:r>
      <w:r>
        <w:rPr>
          <w:rStyle w:val="StringTok"/>
        </w:rPr>
        <w:t xml:space="preserve">'hidden'</w:t>
      </w:r>
      <w:r>
        <w:rPr>
          <w:rStyle w:val="NormalTok"/>
        </w:rPr>
        <w:t xml:space="preserve">) </w:t>
      </w:r>
      <w:r>
        <w:rPr>
          <w:rStyle w:val="ControlFlowTok"/>
        </w:rPr>
        <w:t xml:space="preserve">return</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ControlFlowTok"/>
        </w:rPr>
        <w:t xml:space="preserve">return</w:t>
      </w:r>
      <w:r>
        <w:rPr>
          <w:rStyle w:val="NormalTok"/>
        </w:rPr>
        <w:t xml:space="preserve"> prop </w:t>
      </w:r>
      <w:r>
        <w:rPr>
          <w:rStyle w:val="KeywordTok"/>
        </w:rPr>
        <w:t xml:space="preserve">in</w:t>
      </w:r>
      <w:r>
        <w:rPr>
          <w:rStyle w:val="NormalTok"/>
        </w:rPr>
        <w:t xml:space="preserve"> target</w:t>
      </w:r>
      <w:r>
        <w:rPr>
          <w:rStyle w:val="OperatorTok"/>
        </w:rPr>
        <w:t xml:space="preserve">;</w:t>
      </w:r>
      <w:r>
        <w:br/>
      </w:r>
      <w:r>
        <w:rPr>
          <w:rStyle w:val="NormalTok"/>
        </w:rPr>
        <w:t xml:space="preserve">    }</w:t>
      </w:r>
      <w:r>
        <w:br/>
      </w:r>
      <w:r>
        <w:rPr>
          <w:rStyle w:val="NormalTok"/>
        </w:rPr>
        <w:t xml:space="preserve">}</w:t>
      </w:r>
      <w:r>
        <w:rPr>
          <w:rStyle w:val="OperatorTok"/>
        </w:rPr>
        <w:t xml:space="preserve">;</w:t>
      </w:r>
      <w:r>
        <w:br/>
      </w:r>
      <w:r>
        <w:br/>
      </w:r>
      <w:r>
        <w:rPr>
          <w:rStyle w:val="KeywordTok"/>
        </w:rPr>
        <w:t xml:space="preserve">var</w:t>
      </w:r>
      <w:r>
        <w:rPr>
          <w:rStyle w:val="NormalTok"/>
        </w:rPr>
        <w:t xml:space="preserve"> p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Proxy</w:t>
      </w:r>
      <w:r>
        <w:rPr>
          <w:rStyle w:val="NormalTok"/>
        </w:rPr>
        <w:t xml:space="preserve">(target</w:t>
      </w:r>
      <w:r>
        <w:rPr>
          <w:rStyle w:val="OperatorTok"/>
        </w:rPr>
        <w:t xml:space="preserve">,</w:t>
      </w:r>
      <w:r>
        <w:rPr>
          <w:rStyle w:val="NormalTok"/>
        </w:rPr>
        <w:t xml:space="preserve"> handler)</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(p</w:t>
      </w:r>
      <w:r>
        <w:rPr>
          <w:rStyle w:val="OperatorTok"/>
        </w:rPr>
        <w:t xml:space="preserve">.</w:t>
      </w:r>
      <w:r>
        <w:rPr>
          <w:rStyle w:val="AttributeTok"/>
        </w:rPr>
        <w:t xml:space="preserve">a</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p</w:t>
      </w:r>
      <w:r>
        <w:rPr>
          <w:rStyle w:val="OperatorTok"/>
        </w:rPr>
        <w:t xml:space="preserve">.</w:t>
      </w:r>
      <w:r>
        <w:rPr>
          <w:rStyle w:val="AttributeTok"/>
        </w:rPr>
        <w:t xml:space="preserve">secret</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w:t>
      </w:r>
      <w:r>
        <w:rPr>
          <w:rStyle w:val="StringTok"/>
        </w:rPr>
        <w:t xml:space="preserve">'hidden'</w:t>
      </w:r>
      <w:r>
        <w:rPr>
          <w:rStyle w:val="NormalTok"/>
        </w:rPr>
        <w:t xml:space="preserve"> </w:t>
      </w:r>
      <w:r>
        <w:rPr>
          <w:rStyle w:val="KeywordTok"/>
        </w:rPr>
        <w:t xml:space="preserve">in</w:t>
      </w:r>
      <w:r>
        <w:rPr>
          <w:rStyle w:val="NormalTok"/>
        </w:rPr>
        <w:t xml:space="preserve"> p))</w:t>
      </w:r>
      <w:r>
        <w:rPr>
          <w:rStyle w:val="OperatorTok"/>
        </w:rPr>
        <w:t xml:space="preserve">;</w:t>
      </w:r>
      <w:r>
        <w:br/>
      </w:r>
      <w:r>
        <w:rPr>
          <w:rStyle w:val="CommentTok"/>
        </w:rPr>
        <w:t xml:space="preserve">// Output: 1|***|true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34"/>
    <w:bookmarkEnd w:id="835"/>
    <w:bookmarkStart w:id="839" w:name="reflect-api"/>
    <w:p>
      <w:pPr>
        <w:pStyle w:val="Heading2"/>
      </w:pPr>
      <w:r>
        <w:t xml:space="preserve">Reflect API</w:t>
      </w:r>
    </w:p>
    <w:bookmarkStart w:id="836" w:name="syntax-34"/>
    <w:p>
      <w:pPr>
        <w:pStyle w:val="Heading3"/>
      </w:pPr>
      <w:r>
        <w:t xml:space="preserve">Syntax</w:t>
      </w:r>
    </w:p>
    <w:p>
      <w:pPr>
        <w:pStyle w:val="SourceCode"/>
      </w:pPr>
      <w:r>
        <w:rPr>
          <w:rStyle w:val="BuiltInTok"/>
        </w:rPr>
        <w:t xml:space="preserve">Reflect</w:t>
      </w:r>
      <w:r>
        <w:rPr>
          <w:rStyle w:val="OperatorTok"/>
        </w:rPr>
        <w:t xml:space="preserve">.</w:t>
      </w:r>
      <w:r>
        <w:rPr>
          <w:rStyle w:val="FunctionTok"/>
        </w:rPr>
        <w:t xml:space="preserve">get</w:t>
      </w:r>
      <w:r>
        <w:rPr>
          <w:rStyle w:val="NormalTok"/>
        </w:rPr>
        <w:t xml:space="preserve">(target</w:t>
      </w:r>
      <w:r>
        <w:rPr>
          <w:rStyle w:val="OperatorTok"/>
        </w:rPr>
        <w:t xml:space="preserve">,</w:t>
      </w:r>
      <w:r>
        <w:rPr>
          <w:rStyle w:val="NormalTok"/>
        </w:rPr>
        <w:t xml:space="preserve"> propertyKey[</w:t>
      </w:r>
      <w:r>
        <w:rPr>
          <w:rStyle w:val="OperatorTok"/>
        </w:rPr>
        <w:t xml:space="preserve">,</w:t>
      </w:r>
      <w:r>
        <w:rPr>
          <w:rStyle w:val="NormalTok"/>
        </w:rPr>
        <w:t xml:space="preserve"> receiver])</w:t>
      </w:r>
      <w:r>
        <w:br/>
      </w:r>
      <w:r>
        <w:rPr>
          <w:rStyle w:val="BuiltInTok"/>
        </w:rPr>
        <w:t xml:space="preserve">Reflect</w:t>
      </w:r>
      <w:r>
        <w:rPr>
          <w:rStyle w:val="OperatorTok"/>
        </w:rPr>
        <w:t xml:space="preserve">.</w:t>
      </w:r>
      <w:r>
        <w:rPr>
          <w:rStyle w:val="FunctionTok"/>
        </w:rPr>
        <w:t xml:space="preserve">set</w:t>
      </w:r>
      <w:r>
        <w:rPr>
          <w:rStyle w:val="NormalTok"/>
        </w:rPr>
        <w:t xml:space="preserve">(target</w:t>
      </w:r>
      <w:r>
        <w:rPr>
          <w:rStyle w:val="OperatorTok"/>
        </w:rPr>
        <w:t xml:space="preserve">,</w:t>
      </w:r>
      <w:r>
        <w:rPr>
          <w:rStyle w:val="NormalTok"/>
        </w:rPr>
        <w:t xml:space="preserve"> propertyKey</w:t>
      </w:r>
      <w:r>
        <w:rPr>
          <w:rStyle w:val="OperatorTok"/>
        </w:rPr>
        <w:t xml:space="preserve">,</w:t>
      </w:r>
      <w:r>
        <w:rPr>
          <w:rStyle w:val="NormalTok"/>
        </w:rPr>
        <w:t xml:space="preserve"> value[</w:t>
      </w:r>
      <w:r>
        <w:rPr>
          <w:rStyle w:val="OperatorTok"/>
        </w:rPr>
        <w:t xml:space="preserve">,</w:t>
      </w:r>
      <w:r>
        <w:rPr>
          <w:rStyle w:val="NormalTok"/>
        </w:rPr>
        <w:t xml:space="preserve"> receiver])</w:t>
      </w:r>
      <w:r>
        <w:br/>
      </w:r>
      <w:r>
        <w:rPr>
          <w:rStyle w:val="BuiltInTok"/>
        </w:rPr>
        <w:t xml:space="preserve">Reflect</w:t>
      </w:r>
      <w:r>
        <w:rPr>
          <w:rStyle w:val="OperatorTok"/>
        </w:rPr>
        <w:t xml:space="preserve">.</w:t>
      </w:r>
      <w:r>
        <w:rPr>
          <w:rStyle w:val="FunctionTok"/>
        </w:rPr>
        <w:t xml:space="preserve">has</w:t>
      </w:r>
      <w:r>
        <w:rPr>
          <w:rStyle w:val="NormalTok"/>
        </w:rPr>
        <w:t xml:space="preserve">(target</w:t>
      </w:r>
      <w:r>
        <w:rPr>
          <w:rStyle w:val="OperatorTok"/>
        </w:rPr>
        <w:t xml:space="preserve">,</w:t>
      </w:r>
      <w:r>
        <w:rPr>
          <w:rStyle w:val="NormalTok"/>
        </w:rPr>
        <w:t xml:space="preserve"> propertyKey)</w:t>
      </w:r>
      <w:r>
        <w:br/>
      </w:r>
      <w:r>
        <w:rPr>
          <w:rStyle w:val="BuiltInTok"/>
        </w:rPr>
        <w:t xml:space="preserve">Reflect</w:t>
      </w:r>
      <w:r>
        <w:rPr>
          <w:rStyle w:val="OperatorTok"/>
        </w:rPr>
        <w:t xml:space="preserve">.</w:t>
      </w:r>
      <w:r>
        <w:rPr>
          <w:rStyle w:val="FunctionTok"/>
        </w:rPr>
        <w:t xml:space="preserve">deleteProperty</w:t>
      </w:r>
      <w:r>
        <w:rPr>
          <w:rStyle w:val="NormalTok"/>
        </w:rPr>
        <w:t xml:space="preserve">(target</w:t>
      </w:r>
      <w:r>
        <w:rPr>
          <w:rStyle w:val="OperatorTok"/>
        </w:rPr>
        <w:t xml:space="preserve">,</w:t>
      </w:r>
      <w:r>
        <w:rPr>
          <w:rStyle w:val="NormalTok"/>
        </w:rPr>
        <w:t xml:space="preserve"> propertyKey)</w:t>
      </w:r>
      <w:r>
        <w:br/>
      </w:r>
      <w:r>
        <w:rPr>
          <w:rStyle w:val="BuiltInTok"/>
        </w:rPr>
        <w:t xml:space="preserve">Reflect</w:t>
      </w:r>
      <w:r>
        <w:rPr>
          <w:rStyle w:val="OperatorTok"/>
        </w:rPr>
        <w:t xml:space="preserve">.</w:t>
      </w:r>
      <w:r>
        <w:rPr>
          <w:rStyle w:val="FunctionTok"/>
        </w:rPr>
        <w:t xml:space="preserve">ownKeys</w:t>
      </w:r>
      <w:r>
        <w:rPr>
          <w:rStyle w:val="NormalTok"/>
        </w:rPr>
        <w:t xml:space="preserve">(target)</w:t>
      </w:r>
      <w:r>
        <w:br/>
      </w:r>
      <w:r>
        <w:rPr>
          <w:rStyle w:val="BuiltInTok"/>
        </w:rPr>
        <w:t xml:space="preserve">Reflect</w:t>
      </w:r>
      <w:r>
        <w:rPr>
          <w:rStyle w:val="OperatorTok"/>
        </w:rPr>
        <w:t xml:space="preserve">.</w:t>
      </w:r>
      <w:r>
        <w:rPr>
          <w:rStyle w:val="FunctionTok"/>
        </w:rPr>
        <w:t xml:space="preserve">apply</w:t>
      </w:r>
      <w:r>
        <w:rPr>
          <w:rStyle w:val="NormalTok"/>
        </w:rPr>
        <w:t xml:space="preserve">(target</w:t>
      </w:r>
      <w:r>
        <w:rPr>
          <w:rStyle w:val="OperatorTok"/>
        </w:rPr>
        <w:t xml:space="preserve">,</w:t>
      </w:r>
      <w:r>
        <w:rPr>
          <w:rStyle w:val="NormalTok"/>
        </w:rPr>
        <w:t xml:space="preserve"> thisArgument</w:t>
      </w:r>
      <w:r>
        <w:rPr>
          <w:rStyle w:val="OperatorTok"/>
        </w:rPr>
        <w:t xml:space="preserve">,</w:t>
      </w:r>
      <w:r>
        <w:rPr>
          <w:rStyle w:val="NormalTok"/>
        </w:rPr>
        <w:t xml:space="preserve"> argumentsList)</w:t>
      </w:r>
      <w:r>
        <w:br/>
      </w:r>
      <w:r>
        <w:rPr>
          <w:rStyle w:val="BuiltInTok"/>
        </w:rPr>
        <w:t xml:space="preserve">Reflect</w:t>
      </w:r>
      <w:r>
        <w:rPr>
          <w:rStyle w:val="OperatorTok"/>
        </w:rPr>
        <w:t xml:space="preserve">.</w:t>
      </w:r>
      <w:r>
        <w:rPr>
          <w:rStyle w:val="FunctionTok"/>
        </w:rPr>
        <w:t xml:space="preserve">construct</w:t>
      </w:r>
      <w:r>
        <w:rPr>
          <w:rStyle w:val="NormalTok"/>
        </w:rPr>
        <w:t xml:space="preserve">(target</w:t>
      </w:r>
      <w:r>
        <w:rPr>
          <w:rStyle w:val="OperatorTok"/>
        </w:rPr>
        <w:t xml:space="preserve">,</w:t>
      </w:r>
      <w:r>
        <w:rPr>
          <w:rStyle w:val="NormalTok"/>
        </w:rPr>
        <w:t xml:space="preserve"> argumentsList[</w:t>
      </w:r>
      <w:r>
        <w:rPr>
          <w:rStyle w:val="OperatorTok"/>
        </w:rPr>
        <w:t xml:space="preserve">,</w:t>
      </w:r>
      <w:r>
        <w:rPr>
          <w:rStyle w:val="NormalTok"/>
        </w:rPr>
        <w:t xml:space="preserve"> newTarget])</w:t>
      </w:r>
    </w:p>
    <w:bookmarkEnd w:id="836"/>
    <w:bookmarkStart w:id="837" w:name="remarks-40"/>
    <w:p>
      <w:pPr>
        <w:pStyle w:val="Heading3"/>
      </w:pPr>
      <w:r>
        <w:t xml:space="preserve">Remarks</w:t>
      </w:r>
    </w:p>
    <w:p>
      <w:pPr>
        <w:pStyle w:val="Compact"/>
        <w:numPr>
          <w:ilvl w:val="0"/>
          <w:numId w:val="1246"/>
        </w:numPr>
      </w:pPr>
      <w:r>
        <w:rPr>
          <w:rStyle w:val="VerbatimChar"/>
        </w:rPr>
        <w:t xml:space="preserve">Reflect</w:t>
      </w:r>
      <w:r>
        <w:t xml:space="preserve"> </w:t>
      </w:r>
      <w:r>
        <w:t xml:space="preserve">is a built-in object that provides methods for interceptable JScript operations.</w:t>
      </w:r>
    </w:p>
    <w:p>
      <w:pPr>
        <w:pStyle w:val="Compact"/>
        <w:numPr>
          <w:ilvl w:val="0"/>
          <w:numId w:val="1246"/>
        </w:numPr>
      </w:pPr>
      <w:r>
        <w:rPr>
          <w:b/>
          <w:bCs/>
        </w:rPr>
        <w:t xml:space="preserve">Parity with Traps:</w:t>
      </w:r>
      <w:r>
        <w:t xml:space="preserve"> </w:t>
      </w:r>
      <w:r>
        <w:t xml:space="preserve">The methods are the same as those of proxy handlers.</w:t>
      </w:r>
    </w:p>
    <w:p>
      <w:pPr>
        <w:pStyle w:val="Compact"/>
        <w:numPr>
          <w:ilvl w:val="0"/>
          <w:numId w:val="1246"/>
        </w:numPr>
      </w:pPr>
      <w:r>
        <w:rPr>
          <w:b/>
          <w:bCs/>
        </w:rPr>
        <w:t xml:space="preserve">Success Booleans:</w:t>
      </w:r>
      <w:r>
        <w:t xml:space="preserve"> </w:t>
      </w:r>
      <w:r>
        <w:t xml:space="preserve">Unlike standard operators,</w:t>
      </w:r>
      <w:r>
        <w:t xml:space="preserve"> </w:t>
      </w:r>
      <w:r>
        <w:rPr>
          <w:rStyle w:val="VerbatimChar"/>
        </w:rPr>
        <w:t xml:space="preserve">Reflect.set</w:t>
      </w:r>
      <w:r>
        <w:t xml:space="preserve"> </w:t>
      </w:r>
      <w:r>
        <w:t xml:space="preserve">and</w:t>
      </w:r>
      <w:r>
        <w:t xml:space="preserve"> </w:t>
      </w:r>
      <w:r>
        <w:rPr>
          <w:rStyle w:val="VerbatimChar"/>
        </w:rPr>
        <w:t xml:space="preserve">Reflect.deleteProperty</w:t>
      </w:r>
      <w:r>
        <w:t xml:space="preserve"> </w:t>
      </w:r>
      <w:r>
        <w:t xml:space="preserve">return a boolean indicating whether the operation succeeded, rather than throwing in strict mode.</w:t>
      </w:r>
    </w:p>
    <w:bookmarkEnd w:id="837"/>
    <w:bookmarkStart w:id="838" w:name="code-example-28"/>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obj </w:t>
      </w:r>
      <w:r>
        <w:rPr>
          <w:rStyle w:val="OperatorTok"/>
        </w:rPr>
        <w:t xml:space="preserve">=</w:t>
      </w:r>
      <w:r>
        <w:rPr>
          <w:rStyle w:val="NormalTok"/>
        </w:rPr>
        <w:t xml:space="preserve"> { </w:t>
      </w:r>
      <w:r>
        <w:rPr>
          <w:rStyle w:val="DataTypeTok"/>
        </w:rPr>
        <w:t xml:space="preserve">x</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br/>
      </w:r>
      <w:r>
        <w:rPr>
          <w:rStyle w:val="BuiltInTok"/>
        </w:rPr>
        <w:t xml:space="preserve">Reflect</w:t>
      </w:r>
      <w:r>
        <w:rPr>
          <w:rStyle w:val="OperatorTok"/>
        </w:rPr>
        <w:t xml:space="preserve">.</w:t>
      </w:r>
      <w:r>
        <w:rPr>
          <w:rStyle w:val="FunctionTok"/>
        </w:rPr>
        <w:t xml:space="preserve">set</w:t>
      </w:r>
      <w:r>
        <w:rPr>
          <w:rStyle w:val="NormalTok"/>
        </w:rPr>
        <w:t xml:space="preserve">(obj</w:t>
      </w:r>
      <w:r>
        <w:rPr>
          <w:rStyle w:val="OperatorTok"/>
        </w:rPr>
        <w:t xml:space="preserve">,</w:t>
      </w:r>
      <w:r>
        <w:rPr>
          <w:rStyle w:val="NormalTok"/>
        </w:rPr>
        <w:t xml:space="preserve"> </w:t>
      </w:r>
      <w:r>
        <w:rPr>
          <w:rStyle w:val="StringTok"/>
        </w:rPr>
        <w:t xml:space="preserve">'y'</w:t>
      </w:r>
      <w:r>
        <w:rPr>
          <w:rStyle w:val="OperatorTok"/>
        </w:rPr>
        <w:t xml:space="preserve">,</w:t>
      </w:r>
      <w:r>
        <w:rPr>
          <w:rStyle w:val="NormalTok"/>
        </w:rPr>
        <w:t xml:space="preserve"> </w:t>
      </w:r>
      <w:r>
        <w:rPr>
          <w:rStyle w:val="DecValTok"/>
        </w:rPr>
        <w:t xml:space="preserve">20</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(obj</w:t>
      </w:r>
      <w:r>
        <w:rPr>
          <w:rStyle w:val="OperatorTok"/>
        </w:rPr>
        <w:t xml:space="preserve">.</w:t>
      </w:r>
      <w:r>
        <w:rPr>
          <w:rStyle w:val="AttributeTok"/>
        </w:rPr>
        <w:t xml:space="preserve">y</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w:t>
      </w:r>
      <w:r>
        <w:rPr>
          <w:rStyle w:val="BuiltInTok"/>
        </w:rPr>
        <w:t xml:space="preserve">Reflect</w:t>
      </w:r>
      <w:r>
        <w:rPr>
          <w:rStyle w:val="OperatorTok"/>
        </w:rPr>
        <w:t xml:space="preserve">.</w:t>
      </w:r>
      <w:r>
        <w:rPr>
          <w:rStyle w:val="FunctionTok"/>
        </w:rPr>
        <w:t xml:space="preserve">has</w:t>
      </w:r>
      <w:r>
        <w:rPr>
          <w:rStyle w:val="NormalTok"/>
        </w:rPr>
        <w:t xml:space="preserve">(obj</w:t>
      </w:r>
      <w:r>
        <w:rPr>
          <w:rStyle w:val="OperatorTok"/>
        </w:rPr>
        <w:t xml:space="preserve">,</w:t>
      </w:r>
      <w:r>
        <w:rPr>
          <w:rStyle w:val="NormalTok"/>
        </w:rPr>
        <w:t xml:space="preserve"> </w:t>
      </w:r>
      <w:r>
        <w:rPr>
          <w:rStyle w:val="StringTok"/>
        </w:rPr>
        <w:t xml:space="preserve">'x'</w:t>
      </w:r>
      <w:r>
        <w:rPr>
          <w:rStyle w:val="NormalTok"/>
        </w:rPr>
        <w:t xml:space="preserve">))</w:t>
      </w:r>
      <w:r>
        <w:rPr>
          <w:rStyle w:val="OperatorTok"/>
        </w:rPr>
        <w:t xml:space="preserve">;</w:t>
      </w:r>
      <w:r>
        <w:br/>
      </w:r>
      <w:r>
        <w:rPr>
          <w:rStyle w:val="CommentTok"/>
        </w:rPr>
        <w:t xml:space="preserve">// Output: 20|true</w:t>
      </w:r>
      <w:r>
        <w:br/>
      </w:r>
      <w:r>
        <w:br/>
      </w:r>
      <w:r>
        <w:rPr>
          <w:rStyle w:val="KeywordTok"/>
        </w:rPr>
        <w:t xml:space="preserve">function</w:t>
      </w:r>
      <w:r>
        <w:rPr>
          <w:rStyle w:val="NormalTok"/>
        </w:rPr>
        <w:t xml:space="preserve"> </w:t>
      </w:r>
      <w:r>
        <w:rPr>
          <w:rStyle w:val="FunctionTok"/>
        </w:rPr>
        <w:t xml:space="preserve">greet</w:t>
      </w:r>
      <w:r>
        <w:rPr>
          <w:rStyle w:val="NormalTok"/>
        </w:rPr>
        <w:t xml:space="preserve">(name) { </w:t>
      </w:r>
      <w:r>
        <w:rPr>
          <w:rStyle w:val="ControlFlowTok"/>
        </w:rPr>
        <w:t xml:space="preserve">return</w:t>
      </w:r>
      <w:r>
        <w:rPr>
          <w:rStyle w:val="NormalTok"/>
        </w:rPr>
        <w:t xml:space="preserve"> </w:t>
      </w:r>
      <w:r>
        <w:rPr>
          <w:rStyle w:val="StringTok"/>
        </w:rPr>
        <w:t xml:space="preserve">"Hello "</w:t>
      </w:r>
      <w:r>
        <w:rPr>
          <w:rStyle w:val="NormalTok"/>
        </w:rPr>
        <w:t xml:space="preserve"> </w:t>
      </w:r>
      <w:r>
        <w:rPr>
          <w:rStyle w:val="OperatorTok"/>
        </w:rPr>
        <w:t xml:space="preserve">+</w:t>
      </w:r>
      <w:r>
        <w:rPr>
          <w:rStyle w:val="NormalTok"/>
        </w:rPr>
        <w:t xml:space="preserve"> name</w:t>
      </w:r>
      <w:r>
        <w:rPr>
          <w:rStyle w:val="OperatorTok"/>
        </w:rPr>
        <w:t xml:space="preserve">;</w:t>
      </w:r>
      <w:r>
        <w:rPr>
          <w:rStyle w:val="NormalTok"/>
        </w:rPr>
        <w:t xml:space="preserve"> }</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Reflect</w:t>
      </w:r>
      <w:r>
        <w:rPr>
          <w:rStyle w:val="OperatorTok"/>
        </w:rPr>
        <w:t xml:space="preserve">.</w:t>
      </w:r>
      <w:r>
        <w:rPr>
          <w:rStyle w:val="FunctionTok"/>
        </w:rPr>
        <w:t xml:space="preserve">apply</w:t>
      </w:r>
      <w:r>
        <w:rPr>
          <w:rStyle w:val="NormalTok"/>
        </w:rPr>
        <w:t xml:space="preserve">(greet</w:t>
      </w:r>
      <w:r>
        <w:rPr>
          <w:rStyle w:val="OperatorTok"/>
        </w:rPr>
        <w:t xml:space="preserve">,</w:t>
      </w:r>
      <w:r>
        <w:rPr>
          <w:rStyle w:val="NormalTok"/>
        </w:rPr>
        <w:t xml:space="preserve"> </w:t>
      </w:r>
      <w:r>
        <w:rPr>
          <w:rStyle w:val="KeywordTok"/>
        </w:rPr>
        <w:t xml:space="preserve">undefined</w:t>
      </w:r>
      <w:r>
        <w:rPr>
          <w:rStyle w:val="OperatorTok"/>
        </w:rPr>
        <w:t xml:space="preserve">,</w:t>
      </w:r>
      <w:r>
        <w:rPr>
          <w:rStyle w:val="NormalTok"/>
        </w:rPr>
        <w:t xml:space="preserve"> [</w:t>
      </w:r>
      <w:r>
        <w:rPr>
          <w:rStyle w:val="StringTok"/>
        </w:rPr>
        <w:t xml:space="preserve">"World"</w:t>
      </w:r>
      <w:r>
        <w:rPr>
          <w:rStyle w:val="NormalTok"/>
        </w:rPr>
        <w:t xml:space="preserve">]))</w:t>
      </w:r>
      <w:r>
        <w:rPr>
          <w:rStyle w:val="OperatorTok"/>
        </w:rPr>
        <w:t xml:space="preserve">;</w:t>
      </w:r>
      <w:r>
        <w:br/>
      </w:r>
      <w:r>
        <w:rPr>
          <w:rStyle w:val="CommentTok"/>
        </w:rPr>
        <w:t xml:space="preserve">// Output: Hello World</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38"/>
    <w:bookmarkEnd w:id="839"/>
    <w:bookmarkStart w:id="842" w:name="ecmascript-modules-import-and-export"/>
    <w:p>
      <w:pPr>
        <w:pStyle w:val="Heading2"/>
      </w:pPr>
      <w:r>
        <w:t xml:space="preserve">ECMAScript Modules (import and export)</w:t>
      </w:r>
    </w:p>
    <w:bookmarkStart w:id="840" w:name="syntax-35"/>
    <w:p>
      <w:pPr>
        <w:pStyle w:val="Heading3"/>
      </w:pPr>
      <w:r>
        <w:t xml:space="preserve">Syntax</w:t>
      </w:r>
    </w:p>
    <w:p>
      <w:pPr>
        <w:pStyle w:val="SourceCode"/>
      </w:pPr>
      <w:r>
        <w:rPr>
          <w:rStyle w:val="ImportTok"/>
        </w:rPr>
        <w:t xml:space="preserve">import</w:t>
      </w:r>
      <w:r>
        <w:rPr>
          <w:rStyle w:val="NormalTok"/>
        </w:rPr>
        <w:t xml:space="preserve"> </w:t>
      </w:r>
      <w:r>
        <w:rPr>
          <w:rStyle w:val="StringTok"/>
        </w:rPr>
        <w:t xml:space="preserve">"./side-effects.js"</w:t>
      </w:r>
      <w:r>
        <w:rPr>
          <w:rStyle w:val="OperatorTok"/>
        </w:rPr>
        <w:t xml:space="preserve">;</w:t>
      </w:r>
      <w:r>
        <w:br/>
      </w:r>
      <w:r>
        <w:rPr>
          <w:rStyle w:val="ImportTok"/>
        </w:rPr>
        <w:t xml:space="preserve">import</w:t>
      </w:r>
      <w:r>
        <w:rPr>
          <w:rStyle w:val="NormalTok"/>
        </w:rPr>
        <w:t xml:space="preserve"> { add</w:t>
      </w:r>
      <w:r>
        <w:rPr>
          <w:rStyle w:val="OperatorTok"/>
        </w:rPr>
        <w:t xml:space="preserve">,</w:t>
      </w:r>
      <w:r>
        <w:rPr>
          <w:rStyle w:val="NormalTok"/>
        </w:rPr>
        <w:t xml:space="preserve"> mul </w:t>
      </w:r>
      <w:r>
        <w:rPr>
          <w:rStyle w:val="ImportTok"/>
        </w:rPr>
        <w:t xml:space="preserve">as</w:t>
      </w:r>
      <w:r>
        <w:rPr>
          <w:rStyle w:val="NormalTok"/>
        </w:rPr>
        <w:t xml:space="preserve"> multiply } </w:t>
      </w:r>
      <w:r>
        <w:rPr>
          <w:rStyle w:val="ImportTok"/>
        </w:rPr>
        <w:t xml:space="preserve">from</w:t>
      </w:r>
      <w:r>
        <w:rPr>
          <w:rStyle w:val="NormalTok"/>
        </w:rPr>
        <w:t xml:space="preserve"> </w:t>
      </w:r>
      <w:r>
        <w:rPr>
          <w:rStyle w:val="StringTok"/>
        </w:rPr>
        <w:t xml:space="preserve">"./math.js"</w:t>
      </w:r>
      <w:r>
        <w:rPr>
          <w:rStyle w:val="OperatorTok"/>
        </w:rPr>
        <w:t xml:space="preserve">;</w:t>
      </w:r>
      <w:r>
        <w:br/>
      </w:r>
      <w:r>
        <w:rPr>
          <w:rStyle w:val="ImportTok"/>
        </w:rPr>
        <w:t xml:space="preserve">import</w:t>
      </w:r>
      <w:r>
        <w:rPr>
          <w:rStyle w:val="NormalTok"/>
        </w:rPr>
        <w:t xml:space="preserve"> square</w:t>
      </w:r>
      <w:r>
        <w:rPr>
          <w:rStyle w:val="OperatorTok"/>
        </w:rPr>
        <w:t xml:space="preserve">,</w:t>
      </w:r>
      <w:r>
        <w:rPr>
          <w:rStyle w:val="NormalTok"/>
        </w:rPr>
        <w:t xml:space="preserve"> { </w:t>
      </w:r>
      <w:r>
        <w:rPr>
          <w:rStyle w:val="ConstantTok"/>
        </w:rPr>
        <w:t xml:space="preserve">PI</w:t>
      </w:r>
      <w:r>
        <w:rPr>
          <w:rStyle w:val="NormalTok"/>
        </w:rPr>
        <w:t xml:space="preserve"> } </w:t>
      </w:r>
      <w:r>
        <w:rPr>
          <w:rStyle w:val="ImportTok"/>
        </w:rPr>
        <w:t xml:space="preserve">from</w:t>
      </w:r>
      <w:r>
        <w:rPr>
          <w:rStyle w:val="NormalTok"/>
        </w:rPr>
        <w:t xml:space="preserve"> </w:t>
      </w:r>
      <w:r>
        <w:rPr>
          <w:rStyle w:val="StringTok"/>
        </w:rPr>
        <w:t xml:space="preserve">"./math.js"</w:t>
      </w:r>
      <w:r>
        <w:rPr>
          <w:rStyle w:val="OperatorTok"/>
        </w:rPr>
        <w:t xml:space="preserve">;</w:t>
      </w:r>
      <w:r>
        <w:rPr>
          <w:rStyle w:val="NormalTok"/>
        </w:rPr>
        <w:t xml:space="preserve"> </w:t>
      </w:r>
      <w:r>
        <w:rPr>
          <w:rStyle w:val="CommentTok"/>
        </w:rPr>
        <w:t xml:space="preserve">// Default and named</w:t>
      </w:r>
      <w:r>
        <w:br/>
      </w:r>
      <w:r>
        <w:rPr>
          <w:rStyle w:val="ImportTok"/>
        </w:rPr>
        <w:t xml:space="preserve">import</w:t>
      </w:r>
      <w:r>
        <w:rPr>
          <w:rStyle w:val="NormalTok"/>
        </w:rPr>
        <w:t xml:space="preserve"> </w:t>
      </w:r>
      <w:r>
        <w:rPr>
          <w:rStyle w:val="OperatorTok"/>
        </w:rPr>
        <w:t xml:space="preserve">*</w:t>
      </w:r>
      <w:r>
        <w:rPr>
          <w:rStyle w:val="NormalTok"/>
        </w:rPr>
        <w:t xml:space="preserve"> </w:t>
      </w:r>
      <w:r>
        <w:rPr>
          <w:rStyle w:val="ImportTok"/>
        </w:rPr>
        <w:t xml:space="preserve">as</w:t>
      </w:r>
      <w:r>
        <w:rPr>
          <w:rStyle w:val="NormalTok"/>
        </w:rPr>
        <w:t xml:space="preserve"> ns </w:t>
      </w:r>
      <w:r>
        <w:rPr>
          <w:rStyle w:val="ImportTok"/>
        </w:rPr>
        <w:t xml:space="preserve">from</w:t>
      </w:r>
      <w:r>
        <w:rPr>
          <w:rStyle w:val="NormalTok"/>
        </w:rPr>
        <w:t xml:space="preserve"> </w:t>
      </w:r>
      <w:r>
        <w:rPr>
          <w:rStyle w:val="StringTok"/>
        </w:rPr>
        <w:t xml:space="preserve">"./utils.js"</w:t>
      </w:r>
      <w:r>
        <w:rPr>
          <w:rStyle w:val="OperatorTok"/>
        </w:rPr>
        <w:t xml:space="preserve">;</w:t>
      </w:r>
      <w:r>
        <w:rPr>
          <w:rStyle w:val="NormalTok"/>
        </w:rPr>
        <w:t xml:space="preserve"> </w:t>
      </w:r>
      <w:r>
        <w:rPr>
          <w:rStyle w:val="CommentTok"/>
        </w:rPr>
        <w:t xml:space="preserve">// Namespace import</w:t>
      </w:r>
      <w:r>
        <w:br/>
      </w:r>
      <w:r>
        <w:br/>
      </w:r>
      <w:r>
        <w:rPr>
          <w:rStyle w:val="ImportTok"/>
        </w:rPr>
        <w:t xml:space="preserve">export</w:t>
      </w:r>
      <w:r>
        <w:rPr>
          <w:rStyle w:val="NormalTok"/>
        </w:rPr>
        <w:t xml:space="preserve"> </w:t>
      </w:r>
      <w:r>
        <w:rPr>
          <w:rStyle w:val="KeywordTok"/>
        </w:rPr>
        <w:t xml:space="preserve">var</w:t>
      </w:r>
      <w:r>
        <w:rPr>
          <w:rStyle w:val="NormalTok"/>
        </w:rPr>
        <w:t xml:space="preserve"> version </w:t>
      </w:r>
      <w:r>
        <w:rPr>
          <w:rStyle w:val="OperatorTok"/>
        </w:rPr>
        <w:t xml:space="preserve">=</w:t>
      </w:r>
      <w:r>
        <w:rPr>
          <w:rStyle w:val="NormalTok"/>
        </w:rPr>
        <w:t xml:space="preserve"> </w:t>
      </w:r>
      <w:r>
        <w:rPr>
          <w:rStyle w:val="StringTok"/>
        </w:rPr>
        <w:t xml:space="preserve">"1.0"</w:t>
      </w:r>
      <w:r>
        <w:rPr>
          <w:rStyle w:val="OperatorTok"/>
        </w:rPr>
        <w:t xml:space="preserve">;</w:t>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sum</w:t>
      </w:r>
      <w:r>
        <w:rPr>
          <w:rStyle w:val="NormalTok"/>
        </w:rPr>
        <w:t xml:space="preserve">(a</w:t>
      </w:r>
      <w:r>
        <w:rPr>
          <w:rStyle w:val="OperatorTok"/>
        </w:rPr>
        <w:t xml:space="preserve">,</w:t>
      </w:r>
      <w:r>
        <w:rPr>
          <w:rStyle w:val="NormalTok"/>
        </w:rPr>
        <w:t xml:space="preserve"> b) { </w:t>
      </w:r>
      <w:r>
        <w:rPr>
          <w:rStyle w:val="ControlFlowTok"/>
        </w:rPr>
        <w:t xml:space="preserve">return</w:t>
      </w:r>
      <w:r>
        <w:rPr>
          <w:rStyle w:val="NormalTok"/>
        </w:rPr>
        <w:t xml:space="preserve"> a </w:t>
      </w:r>
      <w:r>
        <w:rPr>
          <w:rStyle w:val="OperatorTok"/>
        </w:rPr>
        <w:t xml:space="preserve">+</w:t>
      </w:r>
      <w:r>
        <w:rPr>
          <w:rStyle w:val="NormalTok"/>
        </w:rPr>
        <w:t xml:space="preserve"> b</w:t>
      </w:r>
      <w:r>
        <w:rPr>
          <w:rStyle w:val="OperatorTok"/>
        </w:rPr>
        <w:t xml:space="preserve">;</w:t>
      </w:r>
      <w:r>
        <w:rPr>
          <w:rStyle w:val="NormalTok"/>
        </w:rPr>
        <w:t xml:space="preserve"> }</w:t>
      </w:r>
      <w:r>
        <w:br/>
      </w:r>
      <w:r>
        <w:rPr>
          <w:rStyle w:val="ImportTok"/>
        </w:rPr>
        <w:t xml:space="preserve">export</w:t>
      </w:r>
      <w:r>
        <w:rPr>
          <w:rStyle w:val="NormalTok"/>
        </w:rPr>
        <w:t xml:space="preserve"> </w:t>
      </w:r>
      <w:r>
        <w:rPr>
          <w:rStyle w:val="ImportTok"/>
        </w:rPr>
        <w:t xml:space="preserve">default</w:t>
      </w:r>
      <w:r>
        <w:rPr>
          <w:rStyle w:val="NormalTok"/>
        </w:rPr>
        <w:t xml:space="preserve"> </w:t>
      </w:r>
      <w:r>
        <w:rPr>
          <w:rStyle w:val="KeywordTok"/>
        </w:rPr>
        <w:t xml:space="preserve">function</w:t>
      </w:r>
      <w:r>
        <w:rPr>
          <w:rStyle w:val="NormalTok"/>
        </w:rPr>
        <w:t xml:space="preserve">(x) { </w:t>
      </w:r>
      <w:r>
        <w:rPr>
          <w:rStyle w:val="ControlFlowTok"/>
        </w:rPr>
        <w:t xml:space="preserve">return</w:t>
      </w:r>
      <w:r>
        <w:rPr>
          <w:rStyle w:val="NormalTok"/>
        </w:rPr>
        <w:t xml:space="preserve"> x </w:t>
      </w:r>
      <w:r>
        <w:rPr>
          <w:rStyle w:val="OperatorTok"/>
        </w:rPr>
        <w:t xml:space="preserve">*</w:t>
      </w:r>
      <w:r>
        <w:rPr>
          <w:rStyle w:val="NormalTok"/>
        </w:rPr>
        <w:t xml:space="preserve"> x</w:t>
      </w:r>
      <w:r>
        <w:rPr>
          <w:rStyle w:val="OperatorTok"/>
        </w:rPr>
        <w:t xml:space="preserve">;</w:t>
      </w:r>
      <w:r>
        <w:rPr>
          <w:rStyle w:val="NormalTok"/>
        </w:rPr>
        <w:t xml:space="preserve"> } </w:t>
      </w:r>
      <w:r>
        <w:rPr>
          <w:rStyle w:val="CommentTok"/>
        </w:rPr>
        <w:t xml:space="preserve">// Default export</w:t>
      </w:r>
      <w:r>
        <w:br/>
      </w:r>
      <w:r>
        <w:rPr>
          <w:rStyle w:val="ImportTok"/>
        </w:rPr>
        <w:t xml:space="preserve">export</w:t>
      </w:r>
      <w:r>
        <w:rPr>
          <w:rStyle w:val="NormalTok"/>
        </w:rPr>
        <w:t xml:space="preserve"> { sum </w:t>
      </w:r>
      <w:r>
        <w:rPr>
          <w:rStyle w:val="ImportTok"/>
        </w:rPr>
        <w:t xml:space="preserve">as</w:t>
      </w:r>
      <w:r>
        <w:rPr>
          <w:rStyle w:val="NormalTok"/>
        </w:rPr>
        <w:t xml:space="preserve"> add }</w:t>
      </w:r>
      <w:r>
        <w:rPr>
          <w:rStyle w:val="OperatorTok"/>
        </w:rPr>
        <w:t xml:space="preserve">;</w:t>
      </w:r>
      <w:r>
        <w:br/>
      </w:r>
      <w:r>
        <w:rPr>
          <w:rStyle w:val="ImportTok"/>
        </w:rPr>
        <w:t xml:space="preserve">export</w:t>
      </w:r>
      <w:r>
        <w:rPr>
          <w:rStyle w:val="NormalTok"/>
        </w:rPr>
        <w:t xml:space="preserve"> { sum </w:t>
      </w:r>
      <w:r>
        <w:rPr>
          <w:rStyle w:val="ImportTok"/>
        </w:rPr>
        <w:t xml:space="preserve">as</w:t>
      </w:r>
      <w:r>
        <w:rPr>
          <w:rStyle w:val="NormalTok"/>
        </w:rPr>
        <w:t xml:space="preserve"> addAlias } </w:t>
      </w:r>
      <w:r>
        <w:rPr>
          <w:rStyle w:val="ImportTok"/>
        </w:rPr>
        <w:t xml:space="preserve">from</w:t>
      </w:r>
      <w:r>
        <w:rPr>
          <w:rStyle w:val="NormalTok"/>
        </w:rPr>
        <w:t xml:space="preserve"> </w:t>
      </w:r>
      <w:r>
        <w:rPr>
          <w:rStyle w:val="StringTok"/>
        </w:rPr>
        <w:t xml:space="preserve">"./math.js"</w:t>
      </w:r>
      <w:r>
        <w:rPr>
          <w:rStyle w:val="OperatorTok"/>
        </w:rPr>
        <w:t xml:space="preserve">;</w:t>
      </w:r>
      <w:r>
        <w:br/>
      </w:r>
      <w:r>
        <w:rPr>
          <w:rStyle w:val="ImportTok"/>
        </w:rPr>
        <w:t xml:space="preserve">export</w:t>
      </w:r>
      <w:r>
        <w:rPr>
          <w:rStyle w:val="NormalTok"/>
        </w:rPr>
        <w:t xml:space="preserve"> </w:t>
      </w:r>
      <w:r>
        <w:rPr>
          <w:rStyle w:val="OperatorTok"/>
        </w:rPr>
        <w:t xml:space="preserve">*</w:t>
      </w:r>
      <w:r>
        <w:rPr>
          <w:rStyle w:val="NormalTok"/>
        </w:rPr>
        <w:t xml:space="preserve"> </w:t>
      </w:r>
      <w:r>
        <w:rPr>
          <w:rStyle w:val="ImportTok"/>
        </w:rPr>
        <w:t xml:space="preserve">from</w:t>
      </w:r>
      <w:r>
        <w:rPr>
          <w:rStyle w:val="NormalTok"/>
        </w:rPr>
        <w:t xml:space="preserve"> </w:t>
      </w:r>
      <w:r>
        <w:rPr>
          <w:rStyle w:val="StringTok"/>
        </w:rPr>
        <w:t xml:space="preserve">"./other.js"</w:t>
      </w:r>
      <w:r>
        <w:rPr>
          <w:rStyle w:val="OperatorTok"/>
        </w:rPr>
        <w:t xml:space="preserve">;</w:t>
      </w:r>
      <w:r>
        <w:rPr>
          <w:rStyle w:val="NormalTok"/>
        </w:rPr>
        <w:t xml:space="preserve"> </w:t>
      </w:r>
      <w:r>
        <w:rPr>
          <w:rStyle w:val="CommentTok"/>
        </w:rPr>
        <w:t xml:space="preserve">// Wildcard re-export</w:t>
      </w:r>
      <w:r>
        <w:br/>
      </w:r>
      <w:r>
        <w:rPr>
          <w:rStyle w:val="ImportTok"/>
        </w:rPr>
        <w:t xml:space="preserve">export</w:t>
      </w:r>
      <w:r>
        <w:rPr>
          <w:rStyle w:val="NormalTok"/>
        </w:rPr>
        <w:t xml:space="preserve"> </w:t>
      </w:r>
      <w:r>
        <w:rPr>
          <w:rStyle w:val="OperatorTok"/>
        </w:rPr>
        <w:t xml:space="preserve">*</w:t>
      </w:r>
      <w:r>
        <w:rPr>
          <w:rStyle w:val="NormalTok"/>
        </w:rPr>
        <w:t xml:space="preserve"> </w:t>
      </w:r>
      <w:r>
        <w:rPr>
          <w:rStyle w:val="ImportTok"/>
        </w:rPr>
        <w:t xml:space="preserve">as</w:t>
      </w:r>
      <w:r>
        <w:rPr>
          <w:rStyle w:val="NormalTok"/>
        </w:rPr>
        <w:t xml:space="preserve"> ns </w:t>
      </w:r>
      <w:r>
        <w:rPr>
          <w:rStyle w:val="ImportTok"/>
        </w:rPr>
        <w:t xml:space="preserve">from</w:t>
      </w:r>
      <w:r>
        <w:rPr>
          <w:rStyle w:val="NormalTok"/>
        </w:rPr>
        <w:t xml:space="preserve"> </w:t>
      </w:r>
      <w:r>
        <w:rPr>
          <w:rStyle w:val="StringTok"/>
        </w:rPr>
        <w:t xml:space="preserve">"./other.js"</w:t>
      </w:r>
      <w:r>
        <w:rPr>
          <w:rStyle w:val="OperatorTok"/>
        </w:rPr>
        <w:t xml:space="preserve">;</w:t>
      </w:r>
      <w:r>
        <w:rPr>
          <w:rStyle w:val="NormalTok"/>
        </w:rPr>
        <w:t xml:space="preserve"> </w:t>
      </w:r>
      <w:r>
        <w:rPr>
          <w:rStyle w:val="CommentTok"/>
        </w:rPr>
        <w:t xml:space="preserve">// Namespace re-export</w:t>
      </w:r>
    </w:p>
    <w:bookmarkEnd w:id="840"/>
    <w:bookmarkStart w:id="841" w:name="remarks-41"/>
    <w:p>
      <w:pPr>
        <w:pStyle w:val="Heading3"/>
      </w:pPr>
      <w:r>
        <w:t xml:space="preserve">Remarks</w:t>
      </w:r>
    </w:p>
    <w:p>
      <w:pPr>
        <w:pStyle w:val="Compact"/>
        <w:numPr>
          <w:ilvl w:val="0"/>
          <w:numId w:val="1247"/>
        </w:numPr>
      </w:pPr>
      <w:r>
        <w:rPr>
          <w:rStyle w:val="VerbatimChar"/>
        </w:rPr>
        <w:t xml:space="preserve">import</w:t>
      </w:r>
      <w:r>
        <w:t xml:space="preserve"> </w:t>
      </w:r>
      <w:r>
        <w:t xml:space="preserve">and</w:t>
      </w:r>
      <w:r>
        <w:t xml:space="preserve"> </w:t>
      </w:r>
      <w:r>
        <w:rPr>
          <w:rStyle w:val="VerbatimChar"/>
        </w:rPr>
        <w:t xml:space="preserve">export</w:t>
      </w:r>
      <w:r>
        <w:t xml:space="preserve"> </w:t>
      </w:r>
      <w:r>
        <w:t xml:space="preserve">are supported for server-side JavaScript modules loaded from</w:t>
      </w:r>
      <w:r>
        <w:t xml:space="preserve"> </w:t>
      </w:r>
      <w:r>
        <w:rPr>
          <w:rStyle w:val="VerbatimChar"/>
        </w:rPr>
        <w:t xml:space="preserve">.js</w:t>
      </w:r>
      <w:r>
        <w:t xml:space="preserve"> </w:t>
      </w:r>
      <w:r>
        <w:t xml:space="preserve">files.</w:t>
      </w:r>
    </w:p>
    <w:p>
      <w:pPr>
        <w:pStyle w:val="Compact"/>
        <w:numPr>
          <w:ilvl w:val="0"/>
          <w:numId w:val="1247"/>
        </w:numPr>
      </w:pPr>
      <w:r>
        <w:t xml:space="preserve">Module loading is</w:t>
      </w:r>
      <w:r>
        <w:t xml:space="preserve"> </w:t>
      </w:r>
      <w:r>
        <w:rPr>
          <w:b/>
          <w:bCs/>
        </w:rPr>
        <w:t xml:space="preserve">synchronous</w:t>
      </w:r>
      <w:r>
        <w:t xml:space="preserve">. The VM resolves and executes imported modules in the same request execution flow.</w:t>
      </w:r>
    </w:p>
    <w:p>
      <w:pPr>
        <w:pStyle w:val="Compact"/>
        <w:numPr>
          <w:ilvl w:val="0"/>
          <w:numId w:val="1247"/>
        </w:numPr>
      </w:pPr>
      <w:r>
        <w:t xml:space="preserve">Module instances are stored per request in a request-local module registry. The same module path executes only once per request and subsequent imports reuse the same module environment.</w:t>
      </w:r>
    </w:p>
    <w:p>
      <w:pPr>
        <w:pStyle w:val="Compact"/>
        <w:numPr>
          <w:ilvl w:val="0"/>
          <w:numId w:val="1247"/>
        </w:numPr>
      </w:pPr>
      <w:r>
        <w:t xml:space="preserve">Compiled module bytecode uses the global script cache. This avoids recompilation when the source did not change.</w:t>
      </w:r>
    </w:p>
    <w:p>
      <w:pPr>
        <w:pStyle w:val="Compact"/>
        <w:numPr>
          <w:ilvl w:val="0"/>
          <w:numId w:val="1247"/>
        </w:numPr>
      </w:pPr>
      <w:r>
        <w:t xml:space="preserve">Circular dependencies are supported with partial initialization semantics.</w:t>
      </w:r>
    </w:p>
    <w:p>
      <w:pPr>
        <w:pStyle w:val="Compact"/>
        <w:numPr>
          <w:ilvl w:val="0"/>
          <w:numId w:val="1247"/>
        </w:numPr>
      </w:pPr>
      <w:r>
        <w:t xml:space="preserve">Standard ASP objects (</w:t>
      </w:r>
      <w:r>
        <w:rPr>
          <w:rStyle w:val="VerbatimChar"/>
        </w:rPr>
        <w:t xml:space="preserve">Response</w:t>
      </w:r>
      <w:r>
        <w:t xml:space="preserve">,</w:t>
      </w:r>
      <w:r>
        <w:t xml:space="preserve"> </w:t>
      </w:r>
      <w:r>
        <w:rPr>
          <w:rStyle w:val="VerbatimChar"/>
        </w:rPr>
        <w:t xml:space="preserve">Request</w:t>
      </w:r>
      <w:r>
        <w:t xml:space="preserve">,</w:t>
      </w:r>
      <w:r>
        <w:t xml:space="preserve"> </w:t>
      </w:r>
      <w:r>
        <w:rPr>
          <w:rStyle w:val="VerbatimChar"/>
        </w:rPr>
        <w:t xml:space="preserve">Session</w:t>
      </w:r>
      <w:r>
        <w:t xml:space="preserve">,</w:t>
      </w:r>
      <w:r>
        <w:t xml:space="preserve"> </w:t>
      </w:r>
      <w:r>
        <w:rPr>
          <w:rStyle w:val="VerbatimChar"/>
        </w:rPr>
        <w:t xml:space="preserve">Application</w:t>
      </w:r>
      <w:r>
        <w:t xml:space="preserve">,</w:t>
      </w:r>
      <w:r>
        <w:t xml:space="preserve"> </w:t>
      </w:r>
      <w:r>
        <w:rPr>
          <w:rStyle w:val="VerbatimChar"/>
        </w:rPr>
        <w:t xml:space="preserve">Server</w:t>
      </w:r>
      <w:r>
        <w:t xml:space="preserve">) are automatically available inside modules.</w:t>
      </w:r>
    </w:p>
    <w:p>
      <w:pPr>
        <w:pStyle w:val="Compact"/>
        <w:numPr>
          <w:ilvl w:val="0"/>
          <w:numId w:val="1247"/>
        </w:numPr>
      </w:pPr>
      <w:r>
        <w:rPr>
          <w:b/>
          <w:bCs/>
        </w:rPr>
        <w:t xml:space="preserve">ReferenceError:</w:t>
      </w:r>
      <w:r>
        <w:t xml:space="preserve"> </w:t>
      </w:r>
      <w:r>
        <w:t xml:space="preserve">The VM throws a</w:t>
      </w:r>
      <w:r>
        <w:t xml:space="preserve"> </w:t>
      </w:r>
      <w:r>
        <w:rPr>
          <w:rStyle w:val="VerbatimChar"/>
        </w:rPr>
        <w:t xml:space="preserve">ReferenceError</w:t>
      </w:r>
      <w:r>
        <w:t xml:space="preserve"> </w:t>
      </w:r>
      <w:r>
        <w:t xml:space="preserve">if a requested named export is missing from the source module.</w:t>
      </w:r>
    </w:p>
    <w:p>
      <w:r>
        <w:pict>
          <v:rect style="width:0;height:1.5pt" o:hralign="center" o:hrstd="t" o:hr="t"/>
        </w:pict>
      </w:r>
    </w:p>
    <w:bookmarkEnd w:id="841"/>
    <w:bookmarkEnd w:id="842"/>
    <w:bookmarkStart w:id="845" w:name="weak-collections-weakmap-and-weakset"/>
    <w:p>
      <w:pPr>
        <w:pStyle w:val="Heading2"/>
      </w:pPr>
      <w:r>
        <w:t xml:space="preserve">Weak Collections (WeakMap and WeakSet)</w:t>
      </w:r>
    </w:p>
    <w:bookmarkStart w:id="843" w:name="syntax-36"/>
    <w:p>
      <w:pPr>
        <w:pStyle w:val="Heading3"/>
      </w:pPr>
      <w:r>
        <w:t xml:space="preserve">Syntax</w:t>
      </w:r>
    </w:p>
    <w:p>
      <w:pPr>
        <w:pStyle w:val="SourceCode"/>
      </w:pPr>
      <w:r>
        <w:rPr>
          <w:rStyle w:val="KeywordTok"/>
        </w:rPr>
        <w:t xml:space="preserve">var</w:t>
      </w:r>
      <w:r>
        <w:rPr>
          <w:rStyle w:val="NormalTok"/>
        </w:rPr>
        <w:t xml:space="preserve"> wm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WeakMap</w:t>
      </w:r>
      <w:r>
        <w:rPr>
          <w:rStyle w:val="NormalTok"/>
        </w:rPr>
        <w:t xml:space="preserve">()</w:t>
      </w:r>
      <w:r>
        <w:rPr>
          <w:rStyle w:val="OperatorTok"/>
        </w:rPr>
        <w:t xml:space="preserve">;</w:t>
      </w:r>
      <w:r>
        <w:br/>
      </w:r>
      <w:r>
        <w:rPr>
          <w:rStyle w:val="KeywordTok"/>
        </w:rPr>
        <w:t xml:space="preserve">var</w:t>
      </w:r>
      <w:r>
        <w:rPr>
          <w:rStyle w:val="NormalTok"/>
        </w:rPr>
        <w:t xml:space="preserve"> ws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WeakSet</w:t>
      </w:r>
      <w:r>
        <w:rPr>
          <w:rStyle w:val="NormalTok"/>
        </w:rPr>
        <w:t xml:space="preserve">()</w:t>
      </w:r>
      <w:r>
        <w:rPr>
          <w:rStyle w:val="OperatorTok"/>
        </w:rPr>
        <w:t xml:space="preserve">;</w:t>
      </w:r>
      <w:r>
        <w:br/>
      </w:r>
      <w:r>
        <w:br/>
      </w:r>
      <w:r>
        <w:rPr>
          <w:rStyle w:val="KeywordTok"/>
        </w:rPr>
        <w:t xml:space="preserve">var</w:t>
      </w:r>
      <w:r>
        <w:rPr>
          <w:rStyle w:val="NormalTok"/>
        </w:rPr>
        <w:t xml:space="preserve"> key </w:t>
      </w:r>
      <w:r>
        <w:rPr>
          <w:rStyle w:val="OperatorTok"/>
        </w:rPr>
        <w:t xml:space="preserve">=</w:t>
      </w:r>
      <w:r>
        <w:rPr>
          <w:rStyle w:val="NormalTok"/>
        </w:rPr>
        <w:t xml:space="preserve"> {}</w:t>
      </w:r>
      <w:r>
        <w:rPr>
          <w:rStyle w:val="OperatorTok"/>
        </w:rPr>
        <w:t xml:space="preserve">;</w:t>
      </w:r>
      <w:r>
        <w:br/>
      </w:r>
      <w:r>
        <w:rPr>
          <w:rStyle w:val="NormalTok"/>
        </w:rPr>
        <w:t xml:space="preserve">wm</w:t>
      </w:r>
      <w:r>
        <w:rPr>
          <w:rStyle w:val="OperatorTok"/>
        </w:rPr>
        <w:t xml:space="preserve">.</w:t>
      </w:r>
      <w:r>
        <w:rPr>
          <w:rStyle w:val="FunctionTok"/>
        </w:rPr>
        <w:t xml:space="preserve">set</w:t>
      </w:r>
      <w:r>
        <w:rPr>
          <w:rStyle w:val="NormalTok"/>
        </w:rPr>
        <w:t xml:space="preserve">(key</w:t>
      </w:r>
      <w:r>
        <w:rPr>
          <w:rStyle w:val="OperatorTok"/>
        </w:rPr>
        <w:t xml:space="preserve">,</w:t>
      </w:r>
      <w:r>
        <w:rPr>
          <w:rStyle w:val="NormalTok"/>
        </w:rPr>
        <w:t xml:space="preserve"> </w:t>
      </w:r>
      <w:r>
        <w:rPr>
          <w:rStyle w:val="StringTok"/>
        </w:rPr>
        <w:t xml:space="preserve">"data"</w:t>
      </w:r>
      <w:r>
        <w:rPr>
          <w:rStyle w:val="NormalTok"/>
        </w:rPr>
        <w:t xml:space="preserve">)</w:t>
      </w:r>
      <w:r>
        <w:rPr>
          <w:rStyle w:val="OperatorTok"/>
        </w:rPr>
        <w:t xml:space="preserve">;</w:t>
      </w:r>
      <w:r>
        <w:br/>
      </w:r>
      <w:r>
        <w:rPr>
          <w:rStyle w:val="NormalTok"/>
        </w:rPr>
        <w:t xml:space="preserve">ws</w:t>
      </w:r>
      <w:r>
        <w:rPr>
          <w:rStyle w:val="OperatorTok"/>
        </w:rPr>
        <w:t xml:space="preserve">.</w:t>
      </w:r>
      <w:r>
        <w:rPr>
          <w:rStyle w:val="FunctionTok"/>
        </w:rPr>
        <w:t xml:space="preserve">add</w:t>
      </w:r>
      <w:r>
        <w:rPr>
          <w:rStyle w:val="NormalTok"/>
        </w:rPr>
        <w:t xml:space="preserve">(key)</w:t>
      </w:r>
      <w:r>
        <w:rPr>
          <w:rStyle w:val="OperatorTok"/>
        </w:rPr>
        <w:t xml:space="preserve">;</w:t>
      </w:r>
      <w:r>
        <w:br/>
      </w:r>
      <w:r>
        <w:br/>
      </w:r>
      <w:r>
        <w:rPr>
          <w:rStyle w:val="NormalTok"/>
        </w:rPr>
        <w:t xml:space="preserve">Response</w:t>
      </w:r>
      <w:r>
        <w:rPr>
          <w:rStyle w:val="OperatorTok"/>
        </w:rPr>
        <w:t xml:space="preserve">.</w:t>
      </w:r>
      <w:r>
        <w:rPr>
          <w:rStyle w:val="FunctionTok"/>
        </w:rPr>
        <w:t xml:space="preserve">Write</w:t>
      </w:r>
      <w:r>
        <w:rPr>
          <w:rStyle w:val="NormalTok"/>
        </w:rPr>
        <w:t xml:space="preserve">(wm</w:t>
      </w:r>
      <w:r>
        <w:rPr>
          <w:rStyle w:val="OperatorTok"/>
        </w:rPr>
        <w:t xml:space="preserve">.</w:t>
      </w:r>
      <w:r>
        <w:rPr>
          <w:rStyle w:val="FunctionTok"/>
        </w:rPr>
        <w:t xml:space="preserve">get</w:t>
      </w:r>
      <w:r>
        <w:rPr>
          <w:rStyle w:val="NormalTok"/>
        </w:rPr>
        <w:t xml:space="preserve">(key))</w:t>
      </w:r>
      <w:r>
        <w:rPr>
          <w:rStyle w:val="OperatorTok"/>
        </w:rPr>
        <w:t xml:space="preserve">;</w:t>
      </w:r>
      <w:r>
        <w:rPr>
          <w:rStyle w:val="NormalTok"/>
        </w:rPr>
        <w:t xml:space="preserve"> </w:t>
      </w:r>
      <w:r>
        <w:rPr>
          <w:rStyle w:val="CommentTok"/>
        </w:rPr>
        <w:t xml:space="preserve">// data</w:t>
      </w:r>
      <w:r>
        <w:br/>
      </w:r>
      <w:r>
        <w:rPr>
          <w:rStyle w:val="NormalTok"/>
        </w:rPr>
        <w:t xml:space="preserve">Response</w:t>
      </w:r>
      <w:r>
        <w:rPr>
          <w:rStyle w:val="OperatorTok"/>
        </w:rPr>
        <w:t xml:space="preserve">.</w:t>
      </w:r>
      <w:r>
        <w:rPr>
          <w:rStyle w:val="FunctionTok"/>
        </w:rPr>
        <w:t xml:space="preserve">Write</w:t>
      </w:r>
      <w:r>
        <w:rPr>
          <w:rStyle w:val="NormalTok"/>
        </w:rPr>
        <w:t xml:space="preserve">(ws</w:t>
      </w:r>
      <w:r>
        <w:rPr>
          <w:rStyle w:val="OperatorTok"/>
        </w:rPr>
        <w:t xml:space="preserve">.</w:t>
      </w:r>
      <w:r>
        <w:rPr>
          <w:rStyle w:val="FunctionTok"/>
        </w:rPr>
        <w:t xml:space="preserve">has</w:t>
      </w:r>
      <w:r>
        <w:rPr>
          <w:rStyle w:val="NormalTok"/>
        </w:rPr>
        <w:t xml:space="preserve">(key))</w:t>
      </w:r>
      <w:r>
        <w:rPr>
          <w:rStyle w:val="OperatorTok"/>
        </w:rPr>
        <w:t xml:space="preserve">;</w:t>
      </w:r>
      <w:r>
        <w:rPr>
          <w:rStyle w:val="NormalTok"/>
        </w:rPr>
        <w:t xml:space="preserve"> </w:t>
      </w:r>
      <w:r>
        <w:rPr>
          <w:rStyle w:val="CommentTok"/>
        </w:rPr>
        <w:t xml:space="preserve">// True</w:t>
      </w:r>
    </w:p>
    <w:bookmarkEnd w:id="843"/>
    <w:bookmarkStart w:id="844" w:name="remarks-42"/>
    <w:p>
      <w:pPr>
        <w:pStyle w:val="Heading3"/>
      </w:pPr>
      <w:r>
        <w:t xml:space="preserve">Remarks</w:t>
      </w:r>
    </w:p>
    <w:p>
      <w:pPr>
        <w:pStyle w:val="Compact"/>
        <w:numPr>
          <w:ilvl w:val="0"/>
          <w:numId w:val="1248"/>
        </w:numPr>
      </w:pPr>
      <w:r>
        <w:rPr>
          <w:rStyle w:val="VerbatimChar"/>
        </w:rPr>
        <w:t xml:space="preserve">WeakMap</w:t>
      </w:r>
      <w:r>
        <w:t xml:space="preserve"> </w:t>
      </w:r>
      <w:r>
        <w:t xml:space="preserve">and</w:t>
      </w:r>
      <w:r>
        <w:t xml:space="preserve"> </w:t>
      </w:r>
      <w:r>
        <w:rPr>
          <w:rStyle w:val="VerbatimChar"/>
        </w:rPr>
        <w:t xml:space="preserve">WeakSet</w:t>
      </w:r>
      <w:r>
        <w:t xml:space="preserve"> </w:t>
      </w:r>
      <w:r>
        <w:t xml:space="preserve">provide collections where keys (or values in</w:t>
      </w:r>
      <w:r>
        <w:t xml:space="preserve"> </w:t>
      </w:r>
      <w:r>
        <w:rPr>
          <w:rStyle w:val="VerbatimChar"/>
        </w:rPr>
        <w:t xml:space="preserve">WeakSet</w:t>
      </w:r>
      <w:r>
        <w:t xml:space="preserve">) are held weakly.</w:t>
      </w:r>
    </w:p>
    <w:p>
      <w:pPr>
        <w:pStyle w:val="Compact"/>
        <w:numPr>
          <w:ilvl w:val="0"/>
          <w:numId w:val="1248"/>
        </w:numPr>
      </w:pPr>
      <w:r>
        <w:rPr>
          <w:b/>
          <w:bCs/>
        </w:rPr>
        <w:t xml:space="preserve">Memory Safety:</w:t>
      </w:r>
      <w:r>
        <w:t xml:space="preserve"> </w:t>
      </w:r>
      <w:r>
        <w:t xml:space="preserve">Unlike standard</w:t>
      </w:r>
      <w:r>
        <w:t xml:space="preserve"> </w:t>
      </w:r>
      <w:r>
        <w:rPr>
          <w:rStyle w:val="VerbatimChar"/>
        </w:rPr>
        <w:t xml:space="preserve">Map</w:t>
      </w:r>
      <w:r>
        <w:t xml:space="preserve"> </w:t>
      </w:r>
      <w:r>
        <w:t xml:space="preserve">and</w:t>
      </w:r>
      <w:r>
        <w:t xml:space="preserve"> </w:t>
      </w:r>
      <w:r>
        <w:rPr>
          <w:rStyle w:val="VerbatimChar"/>
        </w:rPr>
        <w:t xml:space="preserve">Set</w:t>
      </w:r>
      <w:r>
        <w:t xml:space="preserve">, weak collections do not prevent their keys from being garbage collected. This is critical for preventing memory leaks in long-running scripts where objects are used as temporary keys.</w:t>
      </w:r>
    </w:p>
    <w:p>
      <w:pPr>
        <w:pStyle w:val="Compact"/>
        <w:numPr>
          <w:ilvl w:val="0"/>
          <w:numId w:val="1248"/>
        </w:numPr>
      </w:pPr>
      <w:r>
        <w:rPr>
          <w:b/>
          <w:bCs/>
        </w:rPr>
        <w:t xml:space="preserve">Inverted Storage:</w:t>
      </w:r>
      <w:r>
        <w:t xml:space="preserve"> </w:t>
      </w:r>
      <w:r>
        <w:t xml:space="preserve">AxonASP uses an efficient</w:t>
      </w:r>
      <w:r>
        <w:t xml:space="preserve"> </w:t>
      </w:r>
      <w:r>
        <w:t xml:space="preserve">“inverted storage”</w:t>
      </w:r>
      <w:r>
        <w:t xml:space="preserve"> </w:t>
      </w:r>
      <w:r>
        <w:t xml:space="preserve">pattern where weak data is stored internally within the key object itself, ensuring that when the key is destroyed, the associated data is automatically reclaimed without GC overhead.</w:t>
      </w:r>
    </w:p>
    <w:p>
      <w:pPr>
        <w:pStyle w:val="Compact"/>
        <w:numPr>
          <w:ilvl w:val="0"/>
          <w:numId w:val="1248"/>
        </w:numPr>
      </w:pPr>
      <w:r>
        <w:rPr>
          <w:b/>
          <w:bCs/>
        </w:rPr>
        <w:t xml:space="preserve">Valid Keys:</w:t>
      </w:r>
      <w:r>
        <w:t xml:space="preserve"> </w:t>
      </w:r>
      <w:r>
        <w:t xml:space="preserve">Objects (</w:t>
      </w:r>
      <w:r>
        <w:rPr>
          <w:rStyle w:val="VerbatimChar"/>
        </w:rPr>
        <w:t xml:space="preserve">{}</w:t>
      </w:r>
      <w:r>
        <w:t xml:space="preserve">), functions (</w:t>
      </w:r>
      <w:r>
        <w:rPr>
          <w:rStyle w:val="VerbatimChar"/>
        </w:rPr>
        <w:t xml:space="preserve">function</w:t>
      </w:r>
      <w:r>
        <w:t xml:space="preserve">), and</w:t>
      </w:r>
      <w:r>
        <w:t xml:space="preserve"> </w:t>
      </w:r>
      <w:r>
        <w:rPr>
          <w:b/>
          <w:bCs/>
        </w:rPr>
        <w:t xml:space="preserve">unique Symbols</w:t>
      </w:r>
      <w:r>
        <w:t xml:space="preserve"> </w:t>
      </w:r>
      <w:r>
        <w:t xml:space="preserve">(those created via</w:t>
      </w:r>
      <w:r>
        <w:t xml:space="preserve"> </w:t>
      </w:r>
      <w:r>
        <w:rPr>
          <w:rStyle w:val="VerbatimChar"/>
        </w:rPr>
        <w:t xml:space="preserve">Symbol()</w:t>
      </w:r>
      <w:r>
        <w:t xml:space="preserve"> </w:t>
      </w:r>
      <w:r>
        <w:t xml:space="preserve">that are not registered in the global registry via</w:t>
      </w:r>
      <w:r>
        <w:t xml:space="preserve"> </w:t>
      </w:r>
      <w:r>
        <w:rPr>
          <w:rStyle w:val="VerbatimChar"/>
        </w:rPr>
        <w:t xml:space="preserve">Symbol.for()</w:t>
      </w:r>
      <w:r>
        <w:t xml:space="preserve"> </w:t>
      </w:r>
      <w:r>
        <w:t xml:space="preserve">and are not well-known symbols like</w:t>
      </w:r>
      <w:r>
        <w:t xml:space="preserve"> </w:t>
      </w:r>
      <w:r>
        <w:rPr>
          <w:rStyle w:val="VerbatimChar"/>
        </w:rPr>
        <w:t xml:space="preserve">Symbol.iterator</w:t>
      </w:r>
      <w:r>
        <w:t xml:space="preserve">) can be used as keys. Attempting to use a primitive (string, number, boolean) or a restricted symbol as a key will throw a</w:t>
      </w:r>
      <w:r>
        <w:t xml:space="preserve"> </w:t>
      </w:r>
      <w:r>
        <w:rPr>
          <w:rStyle w:val="VerbatimChar"/>
        </w:rPr>
        <w:t xml:space="preserve">TypeError</w:t>
      </w:r>
      <w:r>
        <w:t xml:space="preserve">.</w:t>
      </w:r>
    </w:p>
    <w:p>
      <w:pPr>
        <w:pStyle w:val="Compact"/>
        <w:numPr>
          <w:ilvl w:val="0"/>
          <w:numId w:val="1248"/>
        </w:numPr>
      </w:pPr>
      <w:r>
        <w:rPr>
          <w:b/>
          <w:bCs/>
        </w:rPr>
        <w:t xml:space="preserve">Non-Iterable:</w:t>
      </w:r>
      <w:r>
        <w:t xml:space="preserve"> </w:t>
      </w:r>
      <w:r>
        <w:t xml:space="preserve">Weak collections are not iterable. They do not support</w:t>
      </w:r>
      <w:r>
        <w:t xml:space="preserve"> </w:t>
      </w:r>
      <w:r>
        <w:rPr>
          <w:rStyle w:val="VerbatimChar"/>
        </w:rPr>
        <w:t xml:space="preserve">for...of</w:t>
      </w:r>
      <w:r>
        <w:t xml:space="preserve"> </w:t>
      </w:r>
      <w:r>
        <w:t xml:space="preserve">loops, and they do not have</w:t>
      </w:r>
      <w:r>
        <w:t xml:space="preserve"> </w:t>
      </w:r>
      <w:r>
        <w:rPr>
          <w:rStyle w:val="VerbatimChar"/>
        </w:rPr>
        <w:t xml:space="preserve">.size</w:t>
      </w:r>
      <w:r>
        <w:t xml:space="preserve">,</w:t>
      </w:r>
      <w:r>
        <w:t xml:space="preserve"> </w:t>
      </w:r>
      <w:r>
        <w:rPr>
          <w:rStyle w:val="VerbatimChar"/>
        </w:rPr>
        <w:t xml:space="preserve">.keys()</w:t>
      </w:r>
      <w:r>
        <w:t xml:space="preserve">,</w:t>
      </w:r>
      <w:r>
        <w:t xml:space="preserve"> </w:t>
      </w:r>
      <w:r>
        <w:rPr>
          <w:rStyle w:val="VerbatimChar"/>
        </w:rPr>
        <w:t xml:space="preserve">.values()</w:t>
      </w:r>
      <w:r>
        <w:t xml:space="preserve">, or</w:t>
      </w:r>
      <w:r>
        <w:t xml:space="preserve"> </w:t>
      </w:r>
      <w:r>
        <w:rPr>
          <w:rStyle w:val="VerbatimChar"/>
        </w:rPr>
        <w:t xml:space="preserve">.entries()</w:t>
      </w:r>
      <w:r>
        <w:t xml:space="preserve"> </w:t>
      </w:r>
      <w:r>
        <w:t xml:space="preserve">methods.</w:t>
      </w:r>
    </w:p>
    <w:p>
      <w:r>
        <w:pict>
          <v:rect style="width:0;height:1.5pt" o:hralign="center" o:hrstd="t" o:hr="t"/>
        </w:pict>
      </w:r>
    </w:p>
    <w:bookmarkEnd w:id="844"/>
    <w:bookmarkEnd w:id="845"/>
    <w:bookmarkStart w:id="848" w:name="Xc32819e063b12998414068a0cf36edeeb3bd794"/>
    <w:p>
      <w:pPr>
        <w:pStyle w:val="Heading2"/>
      </w:pPr>
      <w:r>
        <w:t xml:space="preserve">Weak References (WeakRef and FinalizationRegistry)</w:t>
      </w:r>
    </w:p>
    <w:bookmarkStart w:id="846" w:name="syntax-37"/>
    <w:p>
      <w:pPr>
        <w:pStyle w:val="Heading3"/>
      </w:pPr>
      <w:r>
        <w:t xml:space="preserve">Syntax</w:t>
      </w:r>
    </w:p>
    <w:p>
      <w:pPr>
        <w:pStyle w:val="SourceCode"/>
      </w:pPr>
      <w:r>
        <w:rPr>
          <w:rStyle w:val="KeywordTok"/>
        </w:rPr>
        <w:t xml:space="preserve">var</w:t>
      </w:r>
      <w:r>
        <w:rPr>
          <w:rStyle w:val="NormalTok"/>
        </w:rPr>
        <w:t xml:space="preserve"> obj </w:t>
      </w:r>
      <w:r>
        <w:rPr>
          <w:rStyle w:val="OperatorTok"/>
        </w:rPr>
        <w:t xml:space="preserve">=</w:t>
      </w:r>
      <w:r>
        <w:rPr>
          <w:rStyle w:val="NormalTok"/>
        </w:rPr>
        <w:t xml:space="preserve"> { </w:t>
      </w:r>
      <w:r>
        <w:rPr>
          <w:rStyle w:val="DataTypeTok"/>
        </w:rPr>
        <w:t xml:space="preserve">data</w:t>
      </w:r>
      <w:r>
        <w:rPr>
          <w:rStyle w:val="OperatorTok"/>
        </w:rPr>
        <w:t xml:space="preserve">:</w:t>
      </w:r>
      <w:r>
        <w:rPr>
          <w:rStyle w:val="NormalTok"/>
        </w:rPr>
        <w:t xml:space="preserve"> </w:t>
      </w:r>
      <w:r>
        <w:rPr>
          <w:rStyle w:val="DecValTok"/>
        </w:rPr>
        <w:t xml:space="preserve">42</w:t>
      </w:r>
      <w:r>
        <w:rPr>
          <w:rStyle w:val="NormalTok"/>
        </w:rPr>
        <w:t xml:space="preserve"> }</w:t>
      </w:r>
      <w:r>
        <w:rPr>
          <w:rStyle w:val="OperatorTok"/>
        </w:rPr>
        <w:t xml:space="preserve">;</w:t>
      </w:r>
      <w:r>
        <w:br/>
      </w:r>
      <w:r>
        <w:br/>
      </w:r>
      <w:r>
        <w:rPr>
          <w:rStyle w:val="CommentTok"/>
        </w:rPr>
        <w:t xml:space="preserve">// 1. WeakRef</w:t>
      </w:r>
      <w:r>
        <w:br/>
      </w:r>
      <w:r>
        <w:rPr>
          <w:rStyle w:val="KeywordTok"/>
        </w:rPr>
        <w:t xml:space="preserve">var</w:t>
      </w:r>
      <w:r>
        <w:rPr>
          <w:rStyle w:val="NormalTok"/>
        </w:rPr>
        <w:t xml:space="preserve"> wr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WeakRef</w:t>
      </w:r>
      <w:r>
        <w:rPr>
          <w:rStyle w:val="NormalTok"/>
        </w:rPr>
        <w:t xml:space="preserve">(obj)</w:t>
      </w:r>
      <w:r>
        <w:rPr>
          <w:rStyle w:val="OperatorTok"/>
        </w:rPr>
        <w:t xml:space="preserve">;</w:t>
      </w:r>
      <w:r>
        <w:br/>
      </w:r>
      <w:r>
        <w:rPr>
          <w:rStyle w:val="KeywordTok"/>
        </w:rPr>
        <w:t xml:space="preserve">var</w:t>
      </w:r>
      <w:r>
        <w:rPr>
          <w:rStyle w:val="NormalTok"/>
        </w:rPr>
        <w:t xml:space="preserve"> target </w:t>
      </w:r>
      <w:r>
        <w:rPr>
          <w:rStyle w:val="OperatorTok"/>
        </w:rPr>
        <w:t xml:space="preserve">=</w:t>
      </w:r>
      <w:r>
        <w:rPr>
          <w:rStyle w:val="NormalTok"/>
        </w:rPr>
        <w:t xml:space="preserve"> wr</w:t>
      </w:r>
      <w:r>
        <w:rPr>
          <w:rStyle w:val="OperatorTok"/>
        </w:rPr>
        <w:t xml:space="preserve">.</w:t>
      </w:r>
      <w:r>
        <w:rPr>
          <w:rStyle w:val="FunctionTok"/>
        </w:rPr>
        <w:t xml:space="preserve">deref</w:t>
      </w:r>
      <w:r>
        <w:rPr>
          <w:rStyle w:val="NormalTok"/>
        </w:rPr>
        <w:t xml:space="preserve">()</w:t>
      </w:r>
      <w:r>
        <w:rPr>
          <w:rStyle w:val="OperatorTok"/>
        </w:rPr>
        <w:t xml:space="preserve">;</w:t>
      </w:r>
      <w:r>
        <w:br/>
      </w:r>
      <w:r>
        <w:rPr>
          <w:rStyle w:val="ControlFlowTok"/>
        </w:rPr>
        <w:t xml:space="preserve">if</w:t>
      </w:r>
      <w:r>
        <w:rPr>
          <w:rStyle w:val="NormalTok"/>
        </w:rPr>
        <w:t xml:space="preserve"> (target </w:t>
      </w:r>
      <w:r>
        <w:rPr>
          <w:rStyle w:val="OperatorTok"/>
        </w:rPr>
        <w:t xml:space="preserve">!==</w:t>
      </w:r>
      <w:r>
        <w:rPr>
          <w:rStyle w:val="NormalTok"/>
        </w:rPr>
        <w:t xml:space="preserve"> </w:t>
      </w:r>
      <w:r>
        <w:rPr>
          <w:rStyle w:val="KeywordTok"/>
        </w:rPr>
        <w:t xml:space="preserve">undefined</w:t>
      </w:r>
      <w:r>
        <w:rPr>
          <w:rStyle w:val="NormalTok"/>
        </w:rPr>
        <w:t xml:space="preserve">) {</w:t>
      </w:r>
      <w:r>
        <w:br/>
      </w:r>
      <w:r>
        <w:rPr>
          <w:rStyle w:val="NormalTok"/>
        </w:rPr>
        <w:t xml:space="preserve">    Response</w:t>
      </w:r>
      <w:r>
        <w:rPr>
          <w:rStyle w:val="OperatorTok"/>
        </w:rPr>
        <w:t xml:space="preserve">.</w:t>
      </w:r>
      <w:r>
        <w:rPr>
          <w:rStyle w:val="FunctionTok"/>
        </w:rPr>
        <w:t xml:space="preserve">Write</w:t>
      </w:r>
      <w:r>
        <w:rPr>
          <w:rStyle w:val="NormalTok"/>
        </w:rPr>
        <w:t xml:space="preserve">(target</w:t>
      </w:r>
      <w:r>
        <w:rPr>
          <w:rStyle w:val="OperatorTok"/>
        </w:rPr>
        <w:t xml:space="preserve">.</w:t>
      </w:r>
      <w:r>
        <w:rPr>
          <w:rStyle w:val="AttributeTok"/>
        </w:rPr>
        <w:t xml:space="preserve">data</w:t>
      </w:r>
      <w:r>
        <w:rPr>
          <w:rStyle w:val="NormalTok"/>
        </w:rPr>
        <w:t xml:space="preserve">)</w:t>
      </w:r>
      <w:r>
        <w:rPr>
          <w:rStyle w:val="OperatorTok"/>
        </w:rPr>
        <w:t xml:space="preserve">;</w:t>
      </w:r>
      <w:r>
        <w:br/>
      </w:r>
      <w:r>
        <w:rPr>
          <w:rStyle w:val="NormalTok"/>
        </w:rPr>
        <w:t xml:space="preserve">}</w:t>
      </w:r>
      <w:r>
        <w:br/>
      </w:r>
      <w:r>
        <w:br/>
      </w:r>
      <w:r>
        <w:rPr>
          <w:rStyle w:val="CommentTok"/>
        </w:rPr>
        <w:t xml:space="preserve">// 2. FinalizationRegistry</w:t>
      </w:r>
      <w:r>
        <w:br/>
      </w:r>
      <w:r>
        <w:rPr>
          <w:rStyle w:val="KeywordTok"/>
        </w:rPr>
        <w:t xml:space="preserve">var</w:t>
      </w:r>
      <w:r>
        <w:rPr>
          <w:rStyle w:val="NormalTok"/>
        </w:rPr>
        <w:t xml:space="preserve"> registry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FinalizationRegistry</w:t>
      </w:r>
      <w:r>
        <w:rPr>
          <w:rStyle w:val="NormalTok"/>
        </w:rPr>
        <w:t xml:space="preserve">(</w:t>
      </w:r>
      <w:r>
        <w:rPr>
          <w:rStyle w:val="KeywordTok"/>
        </w:rPr>
        <w:t xml:space="preserve">function</w:t>
      </w:r>
      <w:r>
        <w:rPr>
          <w:rStyle w:val="NormalTok"/>
        </w:rPr>
        <w:t xml:space="preserve">(heldValue) {</w:t>
      </w:r>
      <w:r>
        <w:br/>
      </w:r>
      <w:r>
        <w:rPr>
          <w:rStyle w:val="NormalTok"/>
        </w:rPr>
        <w:t xml:space="preserve">    </w:t>
      </w:r>
      <w:r>
        <w:rPr>
          <w:rStyle w:val="CommentTok"/>
        </w:rPr>
        <w:t xml:space="preserve">// Callback executed when registered objects are garbage collected</w:t>
      </w:r>
      <w:r>
        <w:br/>
      </w:r>
      <w:r>
        <w:rPr>
          <w:rStyle w:val="NormalTok"/>
        </w:rPr>
        <w:t xml:space="preserve">})</w:t>
      </w:r>
      <w:r>
        <w:rPr>
          <w:rStyle w:val="OperatorTok"/>
        </w:rPr>
        <w:t xml:space="preserve">;</w:t>
      </w:r>
      <w:r>
        <w:br/>
      </w:r>
      <w:r>
        <w:rPr>
          <w:rStyle w:val="NormalTok"/>
        </w:rPr>
        <w:t xml:space="preserve">registry</w:t>
      </w:r>
      <w:r>
        <w:rPr>
          <w:rStyle w:val="OperatorTok"/>
        </w:rPr>
        <w:t xml:space="preserve">.</w:t>
      </w:r>
      <w:r>
        <w:rPr>
          <w:rStyle w:val="FunctionTok"/>
        </w:rPr>
        <w:t xml:space="preserve">register</w:t>
      </w:r>
      <w:r>
        <w:rPr>
          <w:rStyle w:val="NormalTok"/>
        </w:rPr>
        <w:t xml:space="preserve">(obj</w:t>
      </w:r>
      <w:r>
        <w:rPr>
          <w:rStyle w:val="OperatorTok"/>
        </w:rPr>
        <w:t xml:space="preserve">,</w:t>
      </w:r>
      <w:r>
        <w:rPr>
          <w:rStyle w:val="NormalTok"/>
        </w:rPr>
        <w:t xml:space="preserve"> </w:t>
      </w:r>
      <w:r>
        <w:rPr>
          <w:rStyle w:val="StringTok"/>
        </w:rPr>
        <w:t xml:space="preserve">"some context"</w:t>
      </w:r>
      <w:r>
        <w:rPr>
          <w:rStyle w:val="OperatorTok"/>
        </w:rPr>
        <w:t xml:space="preserve">,</w:t>
      </w:r>
      <w:r>
        <w:rPr>
          <w:rStyle w:val="NormalTok"/>
        </w:rPr>
        <w:t xml:space="preserve"> obj)</w:t>
      </w:r>
      <w:r>
        <w:rPr>
          <w:rStyle w:val="OperatorTok"/>
        </w:rPr>
        <w:t xml:space="preserve">;</w:t>
      </w:r>
      <w:r>
        <w:rPr>
          <w:rStyle w:val="NormalTok"/>
        </w:rPr>
        <w:t xml:space="preserve"> </w:t>
      </w:r>
      <w:r>
        <w:rPr>
          <w:rStyle w:val="CommentTok"/>
        </w:rPr>
        <w:t xml:space="preserve">// register object</w:t>
      </w:r>
      <w:r>
        <w:br/>
      </w:r>
      <w:r>
        <w:rPr>
          <w:rStyle w:val="NormalTok"/>
        </w:rPr>
        <w:t xml:space="preserve">registry</w:t>
      </w:r>
      <w:r>
        <w:rPr>
          <w:rStyle w:val="OperatorTok"/>
        </w:rPr>
        <w:t xml:space="preserve">.</w:t>
      </w:r>
      <w:r>
        <w:rPr>
          <w:rStyle w:val="FunctionTok"/>
        </w:rPr>
        <w:t xml:space="preserve">unregister</w:t>
      </w:r>
      <w:r>
        <w:rPr>
          <w:rStyle w:val="NormalTok"/>
        </w:rPr>
        <w:t xml:space="preserve">(obj)</w:t>
      </w:r>
      <w:r>
        <w:rPr>
          <w:rStyle w:val="OperatorTok"/>
        </w:rPr>
        <w:t xml:space="preserve">;</w:t>
      </w:r>
      <w:r>
        <w:rPr>
          <w:rStyle w:val="NormalTok"/>
        </w:rPr>
        <w:t xml:space="preserve"> </w:t>
      </w:r>
      <w:r>
        <w:rPr>
          <w:rStyle w:val="CommentTok"/>
        </w:rPr>
        <w:t xml:space="preserve">// unregister</w:t>
      </w:r>
    </w:p>
    <w:bookmarkEnd w:id="846"/>
    <w:bookmarkStart w:id="847" w:name="remarks-43"/>
    <w:p>
      <w:pPr>
        <w:pStyle w:val="Heading3"/>
      </w:pPr>
      <w:r>
        <w:t xml:space="preserve">Remarks</w:t>
      </w:r>
    </w:p>
    <w:p>
      <w:pPr>
        <w:pStyle w:val="Compact"/>
        <w:numPr>
          <w:ilvl w:val="0"/>
          <w:numId w:val="1249"/>
        </w:numPr>
      </w:pPr>
      <w:r>
        <w:rPr>
          <w:b/>
          <w:bCs/>
        </w:rPr>
        <w:t xml:space="preserve">WeakRef:</w:t>
      </w:r>
      <w:r>
        <w:t xml:space="preserve"> </w:t>
      </w:r>
      <w:r>
        <w:t xml:space="preserve">Provides a way to hold a weak reference to an object, function, or symbol, allowing it to be garbage collected while still attempting to access it if it hasn’t been collected yet via the</w:t>
      </w:r>
      <w:r>
        <w:t xml:space="preserve"> </w:t>
      </w:r>
      <w:r>
        <w:rPr>
          <w:rStyle w:val="VerbatimChar"/>
        </w:rPr>
        <w:t xml:space="preserve">deref()</w:t>
      </w:r>
      <w:r>
        <w:t xml:space="preserve"> </w:t>
      </w:r>
      <w:r>
        <w:t xml:space="preserve">method.</w:t>
      </w:r>
    </w:p>
    <w:p>
      <w:pPr>
        <w:pStyle w:val="Compact"/>
        <w:numPr>
          <w:ilvl w:val="0"/>
          <w:numId w:val="1249"/>
        </w:numPr>
      </w:pPr>
      <w:r>
        <w:rPr>
          <w:b/>
          <w:bCs/>
        </w:rPr>
        <w:t xml:space="preserve">FinalizationRegistry:</w:t>
      </w:r>
      <w:r>
        <w:t xml:space="preserve"> </w:t>
      </w:r>
      <w:r>
        <w:t xml:space="preserve">Allows you to register a callback to be invoked when an object is garbage collected.</w:t>
      </w:r>
    </w:p>
    <w:p>
      <w:pPr>
        <w:pStyle w:val="Compact"/>
        <w:numPr>
          <w:ilvl w:val="0"/>
          <w:numId w:val="1249"/>
        </w:numPr>
      </w:pPr>
      <w:r>
        <w:rPr>
          <w:b/>
          <w:bCs/>
        </w:rPr>
        <w:t xml:space="preserve">VM Implementation Note:</w:t>
      </w:r>
      <w:r>
        <w:t xml:space="preserve"> </w:t>
      </w:r>
      <w:r>
        <w:t xml:space="preserve">AxonASP’s JScript engine focuses on short-lived, high-performance HTTP request processing and does not implement a background garbage collector. Objects typically live until the end of the script execution (or request completion). Therefore,</w:t>
      </w:r>
      <w:r>
        <w:t xml:space="preserve"> </w:t>
      </w:r>
      <w:r>
        <w:rPr>
          <w:rStyle w:val="VerbatimChar"/>
        </w:rPr>
        <w:t xml:space="preserve">FinalizationRegistry</w:t>
      </w:r>
      <w:r>
        <w:t xml:space="preserve"> </w:t>
      </w:r>
      <w:r>
        <w:t xml:space="preserve">callbacks will not be triggered during standard execution, but the API and validation semantics are fully implemented for compatibility with modern JavaScript libraries that expect these features to exist.</w:t>
      </w:r>
    </w:p>
    <w:p>
      <w:pPr>
        <w:pStyle w:val="Compact"/>
        <w:numPr>
          <w:ilvl w:val="0"/>
          <w:numId w:val="1249"/>
        </w:numPr>
      </w:pPr>
      <w:r>
        <w:t xml:space="preserve">Target objects for</w:t>
      </w:r>
      <w:r>
        <w:t xml:space="preserve"> </w:t>
      </w:r>
      <w:r>
        <w:rPr>
          <w:rStyle w:val="VerbatimChar"/>
        </w:rPr>
        <w:t xml:space="preserve">WeakRef</w:t>
      </w:r>
      <w:r>
        <w:t xml:space="preserve"> </w:t>
      </w:r>
      <w:r>
        <w:t xml:space="preserve">and</w:t>
      </w:r>
      <w:r>
        <w:t xml:space="preserve"> </w:t>
      </w:r>
      <w:r>
        <w:rPr>
          <w:rStyle w:val="VerbatimChar"/>
        </w:rPr>
        <w:t xml:space="preserve">FinalizationRegistry.register</w:t>
      </w:r>
      <w:r>
        <w:t xml:space="preserve"> </w:t>
      </w:r>
      <w:r>
        <w:t xml:space="preserve">must be Objects (</w:t>
      </w:r>
      <w:r>
        <w:rPr>
          <w:rStyle w:val="VerbatimChar"/>
        </w:rPr>
        <w:t xml:space="preserve">{}</w:t>
      </w:r>
      <w:r>
        <w:t xml:space="preserve">), Functions, or unique Symbols (not registered via</w:t>
      </w:r>
      <w:r>
        <w:t xml:space="preserve"> </w:t>
      </w:r>
      <w:r>
        <w:rPr>
          <w:rStyle w:val="VerbatimChar"/>
        </w:rPr>
        <w:t xml:space="preserve">Symbol.for()</w:t>
      </w:r>
      <w:r>
        <w:t xml:space="preserve">). Passing primitives will result in a</w:t>
      </w:r>
      <w:r>
        <w:t xml:space="preserve"> </w:t>
      </w:r>
      <w:r>
        <w:rPr>
          <w:rStyle w:val="VerbatimChar"/>
        </w:rPr>
        <w:t xml:space="preserve">TypeError</w:t>
      </w:r>
      <w:r>
        <w:t xml:space="preserve">.</w:t>
      </w:r>
    </w:p>
    <w:p>
      <w:r>
        <w:pict>
          <v:rect style="width:0;height:1.5pt" o:hralign="center" o:hrstd="t" o:hr="t"/>
        </w:pict>
      </w:r>
    </w:p>
    <w:bookmarkEnd w:id="847"/>
    <w:bookmarkEnd w:id="848"/>
    <w:bookmarkStart w:id="852" w:name="block-scoped-declarations-let-and-const"/>
    <w:p>
      <w:pPr>
        <w:pStyle w:val="Heading2"/>
      </w:pPr>
      <w:r>
        <w:t xml:space="preserve">Block-Scoped Declarations (let and const)</w:t>
      </w:r>
    </w:p>
    <w:bookmarkStart w:id="849" w:name="syntax-38"/>
    <w:p>
      <w:pPr>
        <w:pStyle w:val="Heading3"/>
      </w:pPr>
      <w:r>
        <w:t xml:space="preserve">Syntax</w:t>
      </w:r>
    </w:p>
    <w:p>
      <w:pPr>
        <w:pStyle w:val="SourceCode"/>
      </w:pPr>
      <w:r>
        <w:rPr>
          <w:rStyle w:val="KeywordTok"/>
        </w:rPr>
        <w:t xml:space="preserve">let</w:t>
      </w:r>
      <w:r>
        <w:rPr>
          <w:rStyle w:val="NormalTok"/>
        </w:rPr>
        <w:t xml:space="preserve"> x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KeywordTok"/>
        </w:rPr>
        <w:t xml:space="preserve">const</w:t>
      </w:r>
      <w:r>
        <w:rPr>
          <w:rStyle w:val="NormalTok"/>
        </w:rPr>
        <w:t xml:space="preserve"> y </w:t>
      </w:r>
      <w:r>
        <w:rPr>
          <w:rStyle w:val="OperatorTok"/>
        </w:rPr>
        <w:t xml:space="preserve">=</w:t>
      </w:r>
      <w:r>
        <w:rPr>
          <w:rStyle w:val="NormalTok"/>
        </w:rPr>
        <w:t xml:space="preserve"> </w:t>
      </w:r>
      <w:r>
        <w:rPr>
          <w:rStyle w:val="DecValTok"/>
        </w:rPr>
        <w:t xml:space="preserve">20</w:t>
      </w:r>
      <w:r>
        <w:rPr>
          <w:rStyle w:val="OperatorTok"/>
        </w:rPr>
        <w:t xml:space="preserve">;</w:t>
      </w:r>
      <w:r>
        <w:br/>
      </w:r>
      <w:r>
        <w:br/>
      </w:r>
      <w:r>
        <w:rPr>
          <w:rStyle w:val="NormalTok"/>
        </w:rPr>
        <w:t xml:space="preserve">{</w:t>
      </w:r>
      <w:r>
        <w:br/>
      </w:r>
      <w:r>
        <w:rPr>
          <w:rStyle w:val="NormalTok"/>
        </w:rPr>
        <w:t xml:space="preserve">    </w:t>
      </w:r>
      <w:r>
        <w:rPr>
          <w:rStyle w:val="KeywordTok"/>
        </w:rPr>
        <w:t xml:space="preserve">let</w:t>
      </w:r>
      <w:r>
        <w:rPr>
          <w:rStyle w:val="NormalTok"/>
        </w:rPr>
        <w:t xml:space="preserve"> x </w:t>
      </w:r>
      <w:r>
        <w:rPr>
          <w:rStyle w:val="OperatorTok"/>
        </w:rPr>
        <w:t xml:space="preserve">=</w:t>
      </w:r>
      <w:r>
        <w:rPr>
          <w:rStyle w:val="NormalTok"/>
        </w:rPr>
        <w:t xml:space="preserve"> </w:t>
      </w:r>
      <w:r>
        <w:rPr>
          <w:rStyle w:val="DecValTok"/>
        </w:rPr>
        <w:t xml:space="preserve">30</w:t>
      </w:r>
      <w:r>
        <w:rPr>
          <w:rStyle w:val="OperatorTok"/>
        </w:rPr>
        <w:t xml:space="preserve">;</w:t>
      </w:r>
      <w:r>
        <w:rPr>
          <w:rStyle w:val="NormalTok"/>
        </w:rPr>
        <w:t xml:space="preserve"> </w:t>
      </w:r>
      <w:r>
        <w:rPr>
          <w:rStyle w:val="CommentTok"/>
        </w:rPr>
        <w:t xml:space="preserve">// Shadows outer x</w:t>
      </w:r>
      <w:r>
        <w:br/>
      </w:r>
      <w:r>
        <w:rPr>
          <w:rStyle w:val="NormalTok"/>
        </w:rPr>
        <w:t xml:space="preserve">    </w:t>
      </w:r>
      <w:r>
        <w:rPr>
          <w:rStyle w:val="KeywordTok"/>
        </w:rPr>
        <w:t xml:space="preserve">const</w:t>
      </w:r>
      <w:r>
        <w:rPr>
          <w:rStyle w:val="NormalTok"/>
        </w:rPr>
        <w:t xml:space="preserve"> y </w:t>
      </w:r>
      <w:r>
        <w:rPr>
          <w:rStyle w:val="OperatorTok"/>
        </w:rPr>
        <w:t xml:space="preserve">=</w:t>
      </w:r>
      <w:r>
        <w:rPr>
          <w:rStyle w:val="NormalTok"/>
        </w:rPr>
        <w:t xml:space="preserve"> </w:t>
      </w:r>
      <w:r>
        <w:rPr>
          <w:rStyle w:val="DecValTok"/>
        </w:rPr>
        <w:t xml:space="preserve">40</w:t>
      </w:r>
      <w:r>
        <w:rPr>
          <w:rStyle w:val="OperatorTok"/>
        </w:rPr>
        <w:t xml:space="preserve">;</w:t>
      </w:r>
      <w:r>
        <w:rPr>
          <w:rStyle w:val="NormalTok"/>
        </w:rPr>
        <w:t xml:space="preserve"> </w:t>
      </w:r>
      <w:r>
        <w:rPr>
          <w:rStyle w:val="CommentTok"/>
        </w:rPr>
        <w:t xml:space="preserve">// Shadows outer y</w:t>
      </w:r>
      <w:r>
        <w:br/>
      </w:r>
      <w:r>
        <w:rPr>
          <w:rStyle w:val="NormalTok"/>
        </w:rPr>
        <w:t xml:space="preserve">}</w:t>
      </w:r>
    </w:p>
    <w:bookmarkEnd w:id="849"/>
    <w:bookmarkStart w:id="850" w:name="remarks-44"/>
    <w:p>
      <w:pPr>
        <w:pStyle w:val="Heading3"/>
      </w:pPr>
      <w:r>
        <w:t xml:space="preserve">Remarks</w:t>
      </w:r>
    </w:p>
    <w:p>
      <w:pPr>
        <w:pStyle w:val="Compact"/>
        <w:numPr>
          <w:ilvl w:val="0"/>
          <w:numId w:val="1250"/>
        </w:numPr>
      </w:pPr>
      <w:r>
        <w:rPr>
          <w:rStyle w:val="VerbatimChar"/>
        </w:rPr>
        <w:t xml:space="preserve">let</w:t>
      </w:r>
      <w:r>
        <w:t xml:space="preserve"> </w:t>
      </w:r>
      <w:r>
        <w:t xml:space="preserve">and</w:t>
      </w:r>
      <w:r>
        <w:t xml:space="preserve"> </w:t>
      </w:r>
      <w:r>
        <w:rPr>
          <w:rStyle w:val="VerbatimChar"/>
        </w:rPr>
        <w:t xml:space="preserve">const</w:t>
      </w:r>
      <w:r>
        <w:t xml:space="preserve"> </w:t>
      </w:r>
      <w:r>
        <w:t xml:space="preserve">provide block-level scoping. Variables declared inside a</w:t>
      </w:r>
      <w:r>
        <w:t xml:space="preserve"> </w:t>
      </w:r>
      <w:r>
        <w:rPr>
          <w:rStyle w:val="VerbatimChar"/>
        </w:rPr>
        <w:t xml:space="preserve">{}</w:t>
      </w:r>
      <w:r>
        <w:t xml:space="preserve"> </w:t>
      </w:r>
      <w:r>
        <w:t xml:space="preserve">block are only accessible within that block.</w:t>
      </w:r>
    </w:p>
    <w:p>
      <w:pPr>
        <w:pStyle w:val="Compact"/>
        <w:numPr>
          <w:ilvl w:val="0"/>
          <w:numId w:val="1250"/>
        </w:numPr>
      </w:pPr>
      <w:r>
        <w:rPr>
          <w:b/>
          <w:bCs/>
        </w:rPr>
        <w:t xml:space="preserve">Temporal Dead Zone (TDZ):</w:t>
      </w:r>
      <w:r>
        <w:t xml:space="preserve"> </w:t>
      </w:r>
      <w:r>
        <w:t xml:space="preserve">Unlike</w:t>
      </w:r>
      <w:r>
        <w:t xml:space="preserve"> </w:t>
      </w:r>
      <w:r>
        <w:rPr>
          <w:rStyle w:val="VerbatimChar"/>
        </w:rPr>
        <w:t xml:space="preserve">var</w:t>
      </w:r>
      <w:r>
        <w:t xml:space="preserve">, accessing a</w:t>
      </w:r>
      <w:r>
        <w:t xml:space="preserve"> </w:t>
      </w:r>
      <w:r>
        <w:rPr>
          <w:rStyle w:val="VerbatimChar"/>
        </w:rPr>
        <w:t xml:space="preserve">let</w:t>
      </w:r>
      <w:r>
        <w:t xml:space="preserve"> </w:t>
      </w:r>
      <w:r>
        <w:t xml:space="preserve">or</w:t>
      </w:r>
      <w:r>
        <w:t xml:space="preserve"> </w:t>
      </w:r>
      <w:r>
        <w:rPr>
          <w:rStyle w:val="VerbatimChar"/>
        </w:rPr>
        <w:t xml:space="preserve">const</w:t>
      </w:r>
      <w:r>
        <w:t xml:space="preserve"> </w:t>
      </w:r>
      <w:r>
        <w:t xml:space="preserve">variable before its declaration line in the execution flow results in a</w:t>
      </w:r>
      <w:r>
        <w:t xml:space="preserve"> </w:t>
      </w:r>
      <w:r>
        <w:rPr>
          <w:rStyle w:val="VerbatimChar"/>
        </w:rPr>
        <w:t xml:space="preserve">ReferenceError</w:t>
      </w:r>
      <w:r>
        <w:t xml:space="preserve">.</w:t>
      </w:r>
    </w:p>
    <w:p>
      <w:pPr>
        <w:pStyle w:val="Compact"/>
        <w:numPr>
          <w:ilvl w:val="0"/>
          <w:numId w:val="1250"/>
        </w:numPr>
      </w:pPr>
      <w:r>
        <w:rPr>
          <w:rStyle w:val="VerbatimChar"/>
        </w:rPr>
        <w:t xml:space="preserve">const</w:t>
      </w:r>
      <w:r>
        <w:t xml:space="preserve"> </w:t>
      </w:r>
      <w:r>
        <w:t xml:space="preserve">bindings are immutable; attempting to reassign a value to a</w:t>
      </w:r>
      <w:r>
        <w:t xml:space="preserve"> </w:t>
      </w:r>
      <w:r>
        <w:rPr>
          <w:rStyle w:val="VerbatimChar"/>
        </w:rPr>
        <w:t xml:space="preserve">const</w:t>
      </w:r>
      <w:r>
        <w:t xml:space="preserve"> </w:t>
      </w:r>
      <w:r>
        <w:t xml:space="preserve">variable results in a</w:t>
      </w:r>
      <w:r>
        <w:t xml:space="preserve"> </w:t>
      </w:r>
      <w:r>
        <w:rPr>
          <w:rStyle w:val="VerbatimChar"/>
        </w:rPr>
        <w:t xml:space="preserve">TypeError</w:t>
      </w:r>
      <w:r>
        <w:t xml:space="preserve">.</w:t>
      </w:r>
    </w:p>
    <w:bookmarkEnd w:id="850"/>
    <w:bookmarkStart w:id="851" w:name="code-example-29"/>
    <w:p>
      <w:pPr>
        <w:pStyle w:val="Heading3"/>
      </w:pPr>
      <w:r>
        <w:t xml:space="preserve">Code Example</w:t>
      </w:r>
    </w:p>
    <w:p>
      <w:pPr>
        <w:pStyle w:val="SourceCode"/>
      </w:pPr>
      <w:r>
        <w:rPr>
          <w:rStyle w:val="OperatorTok"/>
        </w:rPr>
        <w:t xml:space="preserve">&lt;%</w:t>
      </w:r>
      <w:r>
        <w:br/>
      </w:r>
      <w:r>
        <w:rPr>
          <w:rStyle w:val="KeywordTok"/>
        </w:rPr>
        <w:t xml:space="preserve">let</w:t>
      </w:r>
      <w:r>
        <w:rPr>
          <w:rStyle w:val="NormalTok"/>
        </w:rPr>
        <w:t xml:space="preserve"> a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w:t>
      </w:r>
      <w:r>
        <w:br/>
      </w:r>
      <w:r>
        <w:rPr>
          <w:rStyle w:val="NormalTok"/>
        </w:rPr>
        <w:t xml:space="preserve">    </w:t>
      </w:r>
      <w:r>
        <w:rPr>
          <w:rStyle w:val="CommentTok"/>
        </w:rPr>
        <w:t xml:space="preserve">// Response.Write(a); // This would throw ReferenceError due to TDZ if 'let a' exists below</w:t>
      </w:r>
      <w:r>
        <w:br/>
      </w:r>
      <w:r>
        <w:rPr>
          <w:rStyle w:val="NormalTok"/>
        </w:rPr>
        <w:t xml:space="preserve">    </w:t>
      </w:r>
      <w:r>
        <w:rPr>
          <w:rStyle w:val="KeywordTok"/>
        </w:rPr>
        <w:t xml:space="preserve">let</w:t>
      </w:r>
      <w:r>
        <w:rPr>
          <w:rStyle w:val="NormalTok"/>
        </w:rPr>
        <w:t xml:space="preserve"> a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Response</w:t>
      </w:r>
      <w:r>
        <w:rPr>
          <w:rStyle w:val="OperatorTok"/>
        </w:rPr>
        <w:t xml:space="preserve">.</w:t>
      </w:r>
      <w:r>
        <w:rPr>
          <w:rStyle w:val="FunctionTok"/>
        </w:rPr>
        <w:t xml:space="preserve">Write</w:t>
      </w:r>
      <w:r>
        <w:rPr>
          <w:rStyle w:val="NormalTok"/>
        </w:rPr>
        <w:t xml:space="preserve">(a)</w:t>
      </w:r>
      <w:r>
        <w:rPr>
          <w:rStyle w:val="OperatorTok"/>
        </w:rPr>
        <w:t xml:space="preserve">;</w:t>
      </w:r>
      <w:r>
        <w:rPr>
          <w:rStyle w:val="NormalTok"/>
        </w:rPr>
        <w:t xml:space="preserve"> </w:t>
      </w:r>
      <w:r>
        <w:rPr>
          <w:rStyle w:val="CommentTok"/>
        </w:rPr>
        <w:t xml:space="preserve">// Output: 2</w:t>
      </w:r>
      <w:r>
        <w:br/>
      </w:r>
      <w:r>
        <w:rPr>
          <w:rStyle w:val="Normal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(a)</w:t>
      </w:r>
      <w:r>
        <w:rPr>
          <w:rStyle w:val="OperatorTok"/>
        </w:rPr>
        <w:t xml:space="preserve">;</w:t>
      </w:r>
      <w:r>
        <w:rPr>
          <w:rStyle w:val="NormalTok"/>
        </w:rPr>
        <w:t xml:space="preserve"> </w:t>
      </w:r>
      <w:r>
        <w:rPr>
          <w:rStyle w:val="CommentTok"/>
        </w:rPr>
        <w:t xml:space="preserve">// Output: 1</w:t>
      </w:r>
      <w:r>
        <w:br/>
      </w:r>
      <w:r>
        <w:br/>
      </w:r>
      <w:r>
        <w:rPr>
          <w:rStyle w:val="KeywordTok"/>
        </w:rPr>
        <w:t xml:space="preserve">const</w:t>
      </w:r>
      <w:r>
        <w:rPr>
          <w:rStyle w:val="NormalTok"/>
        </w:rPr>
        <w:t xml:space="preserve"> </w:t>
      </w:r>
      <w:r>
        <w:rPr>
          <w:rStyle w:val="ConstantTok"/>
        </w:rPr>
        <w:t xml:space="preserve">PI</w:t>
      </w:r>
      <w:r>
        <w:rPr>
          <w:rStyle w:val="NormalTok"/>
        </w:rPr>
        <w:t xml:space="preserve"> </w:t>
      </w:r>
      <w:r>
        <w:rPr>
          <w:rStyle w:val="OperatorTok"/>
        </w:rPr>
        <w:t xml:space="preserve">=</w:t>
      </w:r>
      <w:r>
        <w:rPr>
          <w:rStyle w:val="NormalTok"/>
        </w:rPr>
        <w:t xml:space="preserve"> </w:t>
      </w:r>
      <w:r>
        <w:rPr>
          <w:rStyle w:val="FloatTok"/>
        </w:rPr>
        <w:t xml:space="preserve">3.14</w:t>
      </w:r>
      <w:r>
        <w:rPr>
          <w:rStyle w:val="OperatorTok"/>
        </w:rPr>
        <w:t xml:space="preserve">;</w:t>
      </w:r>
      <w:r>
        <w:br/>
      </w:r>
      <w:r>
        <w:rPr>
          <w:rStyle w:val="CommentTok"/>
        </w:rPr>
        <w:t xml:space="preserve">// PI = 3.15; // This would throw TypeError</w:t>
      </w:r>
      <w:r>
        <w:br/>
      </w:r>
      <w:r>
        <w:rPr>
          <w:rStyle w:val="OperatorTok"/>
        </w:rPr>
        <w:t xml:space="preserve">%&gt;</w:t>
      </w:r>
    </w:p>
    <w:p>
      <w:r>
        <w:pict>
          <v:rect style="width:0;height:1.5pt" o:hralign="center" o:hrstd="t" o:hr="t"/>
        </w:pict>
      </w:r>
    </w:p>
    <w:bookmarkEnd w:id="851"/>
    <w:bookmarkEnd w:id="852"/>
    <w:bookmarkStart w:id="856" w:name="explicit-resource-management-using"/>
    <w:p>
      <w:pPr>
        <w:pStyle w:val="Heading2"/>
      </w:pPr>
      <w:r>
        <w:t xml:space="preserve">Explicit Resource Management (using)</w:t>
      </w:r>
    </w:p>
    <w:bookmarkStart w:id="853" w:name="syntax-39"/>
    <w:p>
      <w:pPr>
        <w:pStyle w:val="Heading3"/>
      </w:pPr>
      <w:r>
        <w:t xml:space="preserve">Syntax</w:t>
      </w:r>
    </w:p>
    <w:p>
      <w:pPr>
        <w:pStyle w:val="SourceCode"/>
      </w:pPr>
      <w:r>
        <w:rPr>
          <w:rStyle w:val="NormalTok"/>
        </w:rPr>
        <w:t xml:space="preserve">using resource </w:t>
      </w:r>
      <w:r>
        <w:rPr>
          <w:rStyle w:val="OperatorTok"/>
        </w:rPr>
        <w:t xml:space="preserve">=</w:t>
      </w:r>
      <w:r>
        <w:rPr>
          <w:rStyle w:val="NormalTok"/>
        </w:rPr>
        <w:t xml:space="preserve"> expression</w:t>
      </w:r>
      <w:r>
        <w:rPr>
          <w:rStyle w:val="OperatorTok"/>
        </w:rPr>
        <w:t xml:space="preserve">;</w:t>
      </w:r>
      <w:r>
        <w:br/>
      </w:r>
      <w:r>
        <w:rPr>
          <w:rStyle w:val="KeywordTok"/>
        </w:rPr>
        <w:t xml:space="preserve">async</w:t>
      </w:r>
      <w:r>
        <w:rPr>
          <w:rStyle w:val="NormalTok"/>
        </w:rPr>
        <w:t xml:space="preserve"> using asyncResource </w:t>
      </w:r>
      <w:r>
        <w:rPr>
          <w:rStyle w:val="OperatorTok"/>
        </w:rPr>
        <w:t xml:space="preserve">=</w:t>
      </w:r>
      <w:r>
        <w:rPr>
          <w:rStyle w:val="NormalTok"/>
        </w:rPr>
        <w:t xml:space="preserve"> expression</w:t>
      </w:r>
      <w:r>
        <w:rPr>
          <w:rStyle w:val="OperatorTok"/>
        </w:rPr>
        <w:t xml:space="preserve">;</w:t>
      </w:r>
    </w:p>
    <w:bookmarkEnd w:id="853"/>
    <w:bookmarkStart w:id="854" w:name="remarks-45"/>
    <w:p>
      <w:pPr>
        <w:pStyle w:val="Heading3"/>
      </w:pPr>
      <w:r>
        <w:t xml:space="preserve">Remarks</w:t>
      </w:r>
    </w:p>
    <w:p>
      <w:pPr>
        <w:pStyle w:val="Compact"/>
        <w:numPr>
          <w:ilvl w:val="0"/>
          <w:numId w:val="1251"/>
        </w:numPr>
      </w:pPr>
      <w:r>
        <w:rPr>
          <w:rStyle w:val="VerbatimChar"/>
        </w:rPr>
        <w:t xml:space="preserve">using</w:t>
      </w:r>
      <w:r>
        <w:t xml:space="preserve"> </w:t>
      </w:r>
      <w:r>
        <w:t xml:space="preserve">is supported as a block-scoped declaration and requires an initializer.</w:t>
      </w:r>
    </w:p>
    <w:p>
      <w:pPr>
        <w:pStyle w:val="Compact"/>
        <w:numPr>
          <w:ilvl w:val="0"/>
          <w:numId w:val="1251"/>
        </w:numPr>
      </w:pPr>
      <w:r>
        <w:t xml:space="preserve">Resource cleanup uses symbol-based disposal methods:</w:t>
      </w:r>
    </w:p>
    <w:p>
      <w:pPr>
        <w:pStyle w:val="Compact"/>
        <w:numPr>
          <w:ilvl w:val="1"/>
          <w:numId w:val="1252"/>
        </w:numPr>
      </w:pPr>
      <w:r>
        <w:rPr>
          <w:rStyle w:val="VerbatimChar"/>
        </w:rPr>
        <w:t xml:space="preserve">Symbol.dispose</w:t>
      </w:r>
      <w:r>
        <w:t xml:space="preserve"> </w:t>
      </w:r>
      <w:r>
        <w:t xml:space="preserve">for</w:t>
      </w:r>
      <w:r>
        <w:t xml:space="preserve"> </w:t>
      </w:r>
      <w:r>
        <w:rPr>
          <w:rStyle w:val="VerbatimChar"/>
        </w:rPr>
        <w:t xml:space="preserve">using</w:t>
      </w:r>
    </w:p>
    <w:p>
      <w:pPr>
        <w:pStyle w:val="Compact"/>
        <w:numPr>
          <w:ilvl w:val="1"/>
          <w:numId w:val="1252"/>
        </w:numPr>
      </w:pPr>
      <w:r>
        <w:rPr>
          <w:rStyle w:val="VerbatimChar"/>
        </w:rPr>
        <w:t xml:space="preserve">Symbol.asyncDispose</w:t>
      </w:r>
      <w:r>
        <w:t xml:space="preserve"> </w:t>
      </w:r>
      <w:r>
        <w:t xml:space="preserve">for</w:t>
      </w:r>
      <w:r>
        <w:t xml:space="preserve"> </w:t>
      </w:r>
      <w:r>
        <w:rPr>
          <w:rStyle w:val="VerbatimChar"/>
        </w:rPr>
        <w:t xml:space="preserve">async using</w:t>
      </w:r>
    </w:p>
    <w:p>
      <w:pPr>
        <w:pStyle w:val="Compact"/>
        <w:numPr>
          <w:ilvl w:val="0"/>
          <w:numId w:val="1251"/>
        </w:numPr>
      </w:pPr>
      <w:r>
        <w:t xml:space="preserve">Multiple</w:t>
      </w:r>
      <w:r>
        <w:t xml:space="preserve"> </w:t>
      </w:r>
      <w:r>
        <w:rPr>
          <w:rStyle w:val="VerbatimChar"/>
        </w:rPr>
        <w:t xml:space="preserve">using</w:t>
      </w:r>
      <w:r>
        <w:t xml:space="preserve"> </w:t>
      </w:r>
      <w:r>
        <w:t xml:space="preserve">declarations in the same scope are disposed in reverse declaration order.</w:t>
      </w:r>
    </w:p>
    <w:p>
      <w:pPr>
        <w:pStyle w:val="Compact"/>
        <w:numPr>
          <w:ilvl w:val="0"/>
          <w:numId w:val="1251"/>
        </w:numPr>
      </w:pPr>
      <w:r>
        <w:t xml:space="preserve">Disposal runs at normal scope exit and during exception unwinding (</w:t>
      </w:r>
      <w:r>
        <w:rPr>
          <w:rStyle w:val="VerbatimChar"/>
        </w:rPr>
        <w:t xml:space="preserve">throw</w:t>
      </w:r>
      <w:r>
        <w:t xml:space="preserve">) for the same scope.</w:t>
      </w:r>
    </w:p>
    <w:p>
      <w:pPr>
        <w:pStyle w:val="Compact"/>
        <w:numPr>
          <w:ilvl w:val="0"/>
          <w:numId w:val="1251"/>
        </w:numPr>
      </w:pPr>
      <w:r>
        <w:rPr>
          <w:rStyle w:val="VerbatimChar"/>
        </w:rPr>
        <w:t xml:space="preserve">async using</w:t>
      </w:r>
      <w:r>
        <w:t xml:space="preserve"> </w:t>
      </w:r>
      <w:r>
        <w:t xml:space="preserve">currently invokes</w:t>
      </w:r>
      <w:r>
        <w:t xml:space="preserve"> </w:t>
      </w:r>
      <w:r>
        <w:rPr>
          <w:rStyle w:val="VerbatimChar"/>
        </w:rPr>
        <w:t xml:space="preserve">Symbol.asyncDispose</w:t>
      </w:r>
      <w:r>
        <w:t xml:space="preserve"> </w:t>
      </w:r>
      <w:r>
        <w:t xml:space="preserve">synchronously (without awaiting Promise settlement).</w:t>
      </w:r>
    </w:p>
    <w:bookmarkEnd w:id="854"/>
    <w:bookmarkStart w:id="855" w:name="code-example-30"/>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trace </w:t>
      </w:r>
      <w:r>
        <w:rPr>
          <w:rStyle w:val="OperatorTok"/>
        </w:rPr>
        <w:t xml:space="preserve">=</w:t>
      </w:r>
      <w:r>
        <w:rPr>
          <w:rStyle w:val="NormalTok"/>
        </w:rPr>
        <w:t xml:space="preserve"> []</w:t>
      </w:r>
      <w:r>
        <w:rPr>
          <w:rStyle w:val="OperatorTok"/>
        </w:rPr>
        <w:t xml:space="preserve">;</w:t>
      </w:r>
      <w:r>
        <w:br/>
      </w:r>
      <w:r>
        <w:br/>
      </w:r>
      <w:r>
        <w:rPr>
          <w:rStyle w:val="KeywordTok"/>
        </w:rPr>
        <w:t xml:space="preserve">var</w:t>
      </w:r>
      <w:r>
        <w:rPr>
          <w:rStyle w:val="NormalTok"/>
        </w:rPr>
        <w:t xml:space="preserve"> firstResource </w:t>
      </w:r>
      <w:r>
        <w:rPr>
          <w:rStyle w:val="OperatorTok"/>
        </w:rPr>
        <w:t xml:space="preserve">=</w:t>
      </w:r>
      <w:r>
        <w:rPr>
          <w:rStyle w:val="NormalTok"/>
        </w:rPr>
        <w:t xml:space="preserve"> {</w:t>
      </w:r>
      <w:r>
        <w:br/>
      </w:r>
      <w:r>
        <w:rPr>
          <w:rStyle w:val="NormalTok"/>
        </w:rPr>
        <w:t xml:space="preserve">    [</w:t>
      </w:r>
      <w:r>
        <w:rPr>
          <w:rStyle w:val="BuiltInTok"/>
        </w:rPr>
        <w:t xml:space="preserve">Symbol</w:t>
      </w:r>
      <w:r>
        <w:rPr>
          <w:rStyle w:val="OperatorTok"/>
        </w:rPr>
        <w:t xml:space="preserve">.</w:t>
      </w:r>
      <w:r>
        <w:rPr>
          <w:rStyle w:val="AttributeTok"/>
        </w:rPr>
        <w:t xml:space="preserve">dispose</w:t>
      </w:r>
      <w:r>
        <w:rPr>
          <w:rStyle w:val="NormalTok"/>
        </w:rPr>
        <w:t xml:space="preserve">]</w:t>
      </w:r>
      <w:r>
        <w:rPr>
          <w:rStyle w:val="OperatorTok"/>
        </w:rPr>
        <w:t xml:space="preserve">:</w:t>
      </w:r>
      <w:r>
        <w:rPr>
          <w:rStyle w:val="NormalTok"/>
        </w:rPr>
        <w:t xml:space="preserve"> </w:t>
      </w:r>
      <w:r>
        <w:rPr>
          <w:rStyle w:val="KeywordTok"/>
        </w:rPr>
        <w:t xml:space="preserve">function</w:t>
      </w:r>
      <w:r>
        <w:rPr>
          <w:rStyle w:val="NormalTok"/>
        </w:rPr>
        <w:t xml:space="preserve">() {</w:t>
      </w:r>
      <w:r>
        <w:br/>
      </w:r>
      <w:r>
        <w:rPr>
          <w:rStyle w:val="NormalTok"/>
        </w:rPr>
        <w:t xml:space="preserve">        trace</w:t>
      </w:r>
      <w:r>
        <w:rPr>
          <w:rStyle w:val="OperatorTok"/>
        </w:rPr>
        <w:t xml:space="preserve">.</w:t>
      </w:r>
      <w:r>
        <w:rPr>
          <w:rStyle w:val="FunctionTok"/>
        </w:rPr>
        <w:t xml:space="preserve">push</w:t>
      </w:r>
      <w:r>
        <w:rPr>
          <w:rStyle w:val="NormalTok"/>
        </w:rPr>
        <w:t xml:space="preserve">(</w:t>
      </w:r>
      <w:r>
        <w:rPr>
          <w:rStyle w:val="StringTok"/>
        </w:rPr>
        <w:t xml:space="preserve">"dispose:first"</w:t>
      </w:r>
      <w:r>
        <w:rPr>
          <w:rStyle w:val="NormalTok"/>
        </w:rPr>
        <w:t xml:space="preserve">)</w:t>
      </w:r>
      <w:r>
        <w:rPr>
          <w:rStyle w:val="OperatorTok"/>
        </w:rPr>
        <w:t xml:space="preserve">;</w:t>
      </w:r>
      <w:r>
        <w:br/>
      </w:r>
      <w:r>
        <w:rPr>
          <w:rStyle w:val="NormalTok"/>
        </w:rPr>
        <w:t xml:space="preserve">    }</w:t>
      </w:r>
      <w:r>
        <w:br/>
      </w:r>
      <w:r>
        <w:rPr>
          <w:rStyle w:val="NormalTok"/>
        </w:rPr>
        <w:t xml:space="preserve">}</w:t>
      </w:r>
      <w:r>
        <w:rPr>
          <w:rStyle w:val="OperatorTok"/>
        </w:rPr>
        <w:t xml:space="preserve">;</w:t>
      </w:r>
      <w:r>
        <w:br/>
      </w:r>
      <w:r>
        <w:br/>
      </w:r>
      <w:r>
        <w:rPr>
          <w:rStyle w:val="KeywordTok"/>
        </w:rPr>
        <w:t xml:space="preserve">var</w:t>
      </w:r>
      <w:r>
        <w:rPr>
          <w:rStyle w:val="NormalTok"/>
        </w:rPr>
        <w:t xml:space="preserve"> secondResource </w:t>
      </w:r>
      <w:r>
        <w:rPr>
          <w:rStyle w:val="OperatorTok"/>
        </w:rPr>
        <w:t xml:space="preserve">=</w:t>
      </w:r>
      <w:r>
        <w:rPr>
          <w:rStyle w:val="NormalTok"/>
        </w:rPr>
        <w:t xml:space="preserve"> {</w:t>
      </w:r>
      <w:r>
        <w:br/>
      </w:r>
      <w:r>
        <w:rPr>
          <w:rStyle w:val="NormalTok"/>
        </w:rPr>
        <w:t xml:space="preserve">    [</w:t>
      </w:r>
      <w:r>
        <w:rPr>
          <w:rStyle w:val="BuiltInTok"/>
        </w:rPr>
        <w:t xml:space="preserve">Symbol</w:t>
      </w:r>
      <w:r>
        <w:rPr>
          <w:rStyle w:val="OperatorTok"/>
        </w:rPr>
        <w:t xml:space="preserve">.</w:t>
      </w:r>
      <w:r>
        <w:rPr>
          <w:rStyle w:val="AttributeTok"/>
        </w:rPr>
        <w:t xml:space="preserve">dispose</w:t>
      </w:r>
      <w:r>
        <w:rPr>
          <w:rStyle w:val="NormalTok"/>
        </w:rPr>
        <w:t xml:space="preserve">]</w:t>
      </w:r>
      <w:r>
        <w:rPr>
          <w:rStyle w:val="OperatorTok"/>
        </w:rPr>
        <w:t xml:space="preserve">:</w:t>
      </w:r>
      <w:r>
        <w:rPr>
          <w:rStyle w:val="NormalTok"/>
        </w:rPr>
        <w:t xml:space="preserve"> </w:t>
      </w:r>
      <w:r>
        <w:rPr>
          <w:rStyle w:val="KeywordTok"/>
        </w:rPr>
        <w:t xml:space="preserve">function</w:t>
      </w:r>
      <w:r>
        <w:rPr>
          <w:rStyle w:val="NormalTok"/>
        </w:rPr>
        <w:t xml:space="preserve">() {</w:t>
      </w:r>
      <w:r>
        <w:br/>
      </w:r>
      <w:r>
        <w:rPr>
          <w:rStyle w:val="NormalTok"/>
        </w:rPr>
        <w:t xml:space="preserve">        trace</w:t>
      </w:r>
      <w:r>
        <w:rPr>
          <w:rStyle w:val="OperatorTok"/>
        </w:rPr>
        <w:t xml:space="preserve">.</w:t>
      </w:r>
      <w:r>
        <w:rPr>
          <w:rStyle w:val="FunctionTok"/>
        </w:rPr>
        <w:t xml:space="preserve">push</w:t>
      </w:r>
      <w:r>
        <w:rPr>
          <w:rStyle w:val="NormalTok"/>
        </w:rPr>
        <w:t xml:space="preserve">(</w:t>
      </w:r>
      <w:r>
        <w:rPr>
          <w:rStyle w:val="StringTok"/>
        </w:rPr>
        <w:t xml:space="preserve">"dispose:second"</w:t>
      </w:r>
      <w:r>
        <w:rPr>
          <w:rStyle w:val="NormalTok"/>
        </w:rPr>
        <w:t xml:space="preserve">)</w:t>
      </w:r>
      <w:r>
        <w:rPr>
          <w:rStyle w:val="OperatorTok"/>
        </w:rPr>
        <w:t xml:space="preserve">;</w:t>
      </w:r>
      <w:r>
        <w:br/>
      </w:r>
      <w:r>
        <w:rPr>
          <w:rStyle w:val="NormalTok"/>
        </w:rPr>
        <w:t xml:space="preserve">    }</w:t>
      </w:r>
      <w:r>
        <w:br/>
      </w:r>
      <w:r>
        <w:rPr>
          <w:rStyle w:val="NormalTok"/>
        </w:rPr>
        <w:t xml:space="preserve">}</w:t>
      </w:r>
      <w:r>
        <w:rPr>
          <w:rStyle w:val="OperatorTok"/>
        </w:rPr>
        <w:t xml:space="preserve">;</w:t>
      </w:r>
      <w:r>
        <w:br/>
      </w:r>
      <w:r>
        <w:br/>
      </w:r>
      <w:r>
        <w:rPr>
          <w:rStyle w:val="NormalTok"/>
        </w:rPr>
        <w:t xml:space="preserve">{</w:t>
      </w:r>
      <w:r>
        <w:br/>
      </w:r>
      <w:r>
        <w:rPr>
          <w:rStyle w:val="NormalTok"/>
        </w:rPr>
        <w:t xml:space="preserve">    using first </w:t>
      </w:r>
      <w:r>
        <w:rPr>
          <w:rStyle w:val="OperatorTok"/>
        </w:rPr>
        <w:t xml:space="preserve">=</w:t>
      </w:r>
      <w:r>
        <w:rPr>
          <w:rStyle w:val="NormalTok"/>
        </w:rPr>
        <w:t xml:space="preserve"> firstResource</w:t>
      </w:r>
      <w:r>
        <w:rPr>
          <w:rStyle w:val="OperatorTok"/>
        </w:rPr>
        <w:t xml:space="preserve">;</w:t>
      </w:r>
      <w:r>
        <w:br/>
      </w:r>
      <w:r>
        <w:rPr>
          <w:rStyle w:val="NormalTok"/>
        </w:rPr>
        <w:t xml:space="preserve">    using second </w:t>
      </w:r>
      <w:r>
        <w:rPr>
          <w:rStyle w:val="OperatorTok"/>
        </w:rPr>
        <w:t xml:space="preserve">=</w:t>
      </w:r>
      <w:r>
        <w:rPr>
          <w:rStyle w:val="NormalTok"/>
        </w:rPr>
        <w:t xml:space="preserve"> secondResource</w:t>
      </w:r>
      <w:r>
        <w:rPr>
          <w:rStyle w:val="OperatorTok"/>
        </w:rPr>
        <w:t xml:space="preserve">;</w:t>
      </w:r>
      <w:r>
        <w:br/>
      </w:r>
      <w:r>
        <w:rPr>
          <w:rStyle w:val="NormalTok"/>
        </w:rPr>
        <w:t xml:space="preserve">    trace</w:t>
      </w:r>
      <w:r>
        <w:rPr>
          <w:rStyle w:val="OperatorTok"/>
        </w:rPr>
        <w:t xml:space="preserve">.</w:t>
      </w:r>
      <w:r>
        <w:rPr>
          <w:rStyle w:val="FunctionTok"/>
        </w:rPr>
        <w:t xml:space="preserve">push</w:t>
      </w:r>
      <w:r>
        <w:rPr>
          <w:rStyle w:val="NormalTok"/>
        </w:rPr>
        <w:t xml:space="preserve">(</w:t>
      </w:r>
      <w:r>
        <w:rPr>
          <w:rStyle w:val="StringTok"/>
        </w:rPr>
        <w:t xml:space="preserve">"inside"</w:t>
      </w:r>
      <w:r>
        <w:rPr>
          <w:rStyle w:val="NormalTok"/>
        </w:rPr>
        <w:t xml:space="preserve">)</w:t>
      </w:r>
      <w:r>
        <w:rPr>
          <w:rStyle w:val="OperatorTok"/>
        </w:rPr>
        <w:t xml:space="preserve">;</w:t>
      </w:r>
      <w:r>
        <w:br/>
      </w:r>
      <w:r>
        <w:rPr>
          <w:rStyle w:val="NormalTok"/>
        </w:rPr>
        <w:t xml:space="preserve">}</w:t>
      </w:r>
      <w:r>
        <w:br/>
      </w:r>
      <w:r>
        <w:br/>
      </w:r>
      <w:r>
        <w:rPr>
          <w:rStyle w:val="NormalTok"/>
        </w:rPr>
        <w:t xml:space="preserve">Response</w:t>
      </w:r>
      <w:r>
        <w:rPr>
          <w:rStyle w:val="OperatorTok"/>
        </w:rPr>
        <w:t xml:space="preserve">.</w:t>
      </w:r>
      <w:r>
        <w:rPr>
          <w:rStyle w:val="FunctionTok"/>
        </w:rPr>
        <w:t xml:space="preserve">Write</w:t>
      </w:r>
      <w:r>
        <w:rPr>
          <w:rStyle w:val="NormalTok"/>
        </w:rPr>
        <w:t xml:space="preserve">(trace</w:t>
      </w:r>
      <w:r>
        <w:rPr>
          <w:rStyle w:val="OperatorTok"/>
        </w:rPr>
        <w:t xml:space="preserve">.</w:t>
      </w:r>
      <w:r>
        <w:rPr>
          <w:rStyle w:val="FunctionTok"/>
        </w:rPr>
        <w:t xml:space="preserve">join</w:t>
      </w:r>
      <w:r>
        <w:rPr>
          <w:rStyle w:val="NormalTok"/>
        </w:rPr>
        <w:t xml:space="preserve">(</w:t>
      </w:r>
      <w:r>
        <w:rPr>
          <w:rStyle w:val="StringTok"/>
        </w:rPr>
        <w:t xml:space="preserve">"|"</w:t>
      </w:r>
      <w:r>
        <w:rPr>
          <w:rStyle w:val="NormalTok"/>
        </w:rPr>
        <w:t xml:space="preserve">))</w:t>
      </w:r>
      <w:r>
        <w:rPr>
          <w:rStyle w:val="OperatorTok"/>
        </w:rPr>
        <w:t xml:space="preserve">;</w:t>
      </w:r>
      <w:r>
        <w:br/>
      </w:r>
      <w:r>
        <w:rPr>
          <w:rStyle w:val="CommentTok"/>
        </w:rPr>
        <w:t xml:space="preserve">// Output: inside|dispose:second|dispose:first</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55"/>
    <w:bookmarkEnd w:id="856"/>
    <w:bookmarkStart w:id="864" w:name="full-unicode-support"/>
    <w:p>
      <w:pPr>
        <w:pStyle w:val="Heading2"/>
      </w:pPr>
      <w:r>
        <w:t xml:space="preserve">Full Unicode Support</w:t>
      </w:r>
    </w:p>
    <w:bookmarkStart w:id="859" w:name="string-code-point-escapes"/>
    <w:p>
      <w:pPr>
        <w:pStyle w:val="Heading3"/>
      </w:pPr>
      <w:r>
        <w:t xml:space="preserve">String Code Point Escapes</w:t>
      </w:r>
    </w:p>
    <w:p>
      <w:pPr>
        <w:pStyle w:val="FirstParagraph"/>
      </w:pPr>
      <w:r>
        <w:t xml:space="preserve">ES6 introduces a new escape sequence for Unicode characters that allows representing any character using its code point value in hexadecimal between braces.</w:t>
      </w:r>
    </w:p>
    <w:bookmarkStart w:id="857" w:name="syntax-40"/>
    <w:p>
      <w:pPr>
        <w:pStyle w:val="Heading4"/>
      </w:pPr>
      <w:r>
        <w:t xml:space="preserve">Syntax</w:t>
      </w:r>
    </w:p>
    <w:p>
      <w:pPr>
        <w:pStyle w:val="SourceCode"/>
      </w:pPr>
      <w:r>
        <w:rPr>
          <w:rStyle w:val="KeywordTok"/>
        </w:rPr>
        <w:t xml:space="preserve">var</w:t>
      </w:r>
      <w:r>
        <w:rPr>
          <w:rStyle w:val="NormalTok"/>
        </w:rPr>
        <w:t xml:space="preserve"> s </w:t>
      </w:r>
      <w:r>
        <w:rPr>
          <w:rStyle w:val="OperatorTok"/>
        </w:rPr>
        <w:t xml:space="preserve">=</w:t>
      </w:r>
      <w:r>
        <w:rPr>
          <w:rStyle w:val="NormalTok"/>
        </w:rPr>
        <w:t xml:space="preserve"> </w:t>
      </w:r>
      <w:r>
        <w:rPr>
          <w:rStyle w:val="StringTok"/>
        </w:rPr>
        <w:t xml:space="preserve">"</w:t>
      </w:r>
      <w:r>
        <w:rPr>
          <w:rStyle w:val="SpecialCharTok"/>
        </w:rPr>
        <w:t xml:space="preserve">\u{1D306}</w:t>
      </w:r>
      <w:r>
        <w:rPr>
          <w:rStyle w:val="StringTok"/>
        </w:rPr>
        <w:t xml:space="preserve">"</w:t>
      </w:r>
      <w:r>
        <w:rPr>
          <w:rStyle w:val="OperatorTok"/>
        </w:rPr>
        <w:t xml:space="preserve">;</w:t>
      </w:r>
      <w:r>
        <w:rPr>
          <w:rStyle w:val="NormalTok"/>
        </w:rPr>
        <w:t xml:space="preserve"> </w:t>
      </w:r>
      <w:r>
        <w:rPr>
          <w:rStyle w:val="CommentTok"/>
        </w:rPr>
        <w:t xml:space="preserve">// Tetragram for Centre</w:t>
      </w:r>
    </w:p>
    <w:bookmarkEnd w:id="857"/>
    <w:bookmarkStart w:id="858" w:name="remarks-46"/>
    <w:p>
      <w:pPr>
        <w:pStyle w:val="Heading4"/>
      </w:pPr>
      <w:r>
        <w:t xml:space="preserve">Remarks</w:t>
      </w:r>
    </w:p>
    <w:p>
      <w:pPr>
        <w:pStyle w:val="Compact"/>
        <w:numPr>
          <w:ilvl w:val="0"/>
          <w:numId w:val="1253"/>
        </w:numPr>
      </w:pPr>
      <w:r>
        <w:t xml:space="preserve">Supports values from</w:t>
      </w:r>
      <w:r>
        <w:t xml:space="preserve"> </w:t>
      </w:r>
      <w:r>
        <w:rPr>
          <w:rStyle w:val="VerbatimChar"/>
        </w:rPr>
        <w:t xml:space="preserve">0</w:t>
      </w:r>
      <w:r>
        <w:t xml:space="preserve"> </w:t>
      </w:r>
      <w:r>
        <w:t xml:space="preserve">up to</w:t>
      </w:r>
      <w:r>
        <w:t xml:space="preserve"> </w:t>
      </w:r>
      <w:r>
        <w:rPr>
          <w:rStyle w:val="VerbatimChar"/>
        </w:rPr>
        <w:t xml:space="preserve">0x10FFFF</w:t>
      </w:r>
      <w:r>
        <w:t xml:space="preserve">.</w:t>
      </w:r>
    </w:p>
    <w:p>
      <w:pPr>
        <w:pStyle w:val="Compact"/>
        <w:numPr>
          <w:ilvl w:val="0"/>
          <w:numId w:val="1253"/>
        </w:numPr>
      </w:pPr>
      <w:r>
        <w:t xml:space="preserve">Correctly handles surrogate pairs internally. A character like</w:t>
      </w:r>
      <w:r>
        <w:t xml:space="preserve"> </w:t>
      </w:r>
      <w:r>
        <w:rPr>
          <w:rStyle w:val="VerbatimChar"/>
        </w:rPr>
        <w:t xml:space="preserve">\u{1D306}</w:t>
      </w:r>
      <w:r>
        <w:t xml:space="preserve"> </w:t>
      </w:r>
      <w:r>
        <w:t xml:space="preserve">has a</w:t>
      </w:r>
      <w:r>
        <w:t xml:space="preserve"> </w:t>
      </w:r>
      <w:r>
        <w:rPr>
          <w:rStyle w:val="VerbatimChar"/>
        </w:rPr>
        <w:t xml:space="preserve">.length</w:t>
      </w:r>
      <w:r>
        <w:t xml:space="preserve"> </w:t>
      </w:r>
      <w:r>
        <w:t xml:space="preserve">of 2 in JScript (representing two UTF-16 code units).</w:t>
      </w:r>
    </w:p>
    <w:bookmarkEnd w:id="858"/>
    <w:bookmarkEnd w:id="859"/>
    <w:bookmarkStart w:id="862" w:name="regexp-u-flag"/>
    <w:p>
      <w:pPr>
        <w:pStyle w:val="Heading3"/>
      </w:pPr>
      <w:r>
        <w:t xml:space="preserve">RegExp /u flag</w:t>
      </w:r>
    </w:p>
    <w:p>
      <w:pPr>
        <w:pStyle w:val="FirstParagraph"/>
      </w:pPr>
      <w:r>
        <w:t xml:space="preserve">The</w:t>
      </w:r>
      <w:r>
        <w:t xml:space="preserve"> </w:t>
      </w:r>
      <w:r>
        <w:rPr>
          <w:rStyle w:val="VerbatimChar"/>
        </w:rPr>
        <w:t xml:space="preserve">u</w:t>
      </w:r>
      <w:r>
        <w:t xml:space="preserve"> </w:t>
      </w:r>
      <w:r>
        <w:t xml:space="preserve">flag (Unicode) enables advanced Unicode features in regular expressions.</w:t>
      </w:r>
    </w:p>
    <w:bookmarkStart w:id="860" w:name="syntax-41"/>
    <w:p>
      <w:pPr>
        <w:pStyle w:val="Heading4"/>
      </w:pPr>
      <w:r>
        <w:t xml:space="preserve">Syntax</w:t>
      </w:r>
    </w:p>
    <w:p>
      <w:pPr>
        <w:pStyle w:val="SourceCode"/>
      </w:pPr>
      <w:r>
        <w:rPr>
          <w:rStyle w:val="KeywordTok"/>
        </w:rPr>
        <w:t xml:space="preserve">var</w:t>
      </w:r>
      <w:r>
        <w:rPr>
          <w:rStyle w:val="NormalTok"/>
        </w:rPr>
        <w:t xml:space="preserve"> re </w:t>
      </w:r>
      <w:r>
        <w:rPr>
          <w:rStyle w:val="OperatorTok"/>
        </w:rPr>
        <w:t xml:space="preserve">=</w:t>
      </w:r>
      <w:r>
        <w:rPr>
          <w:rStyle w:val="NormalTok"/>
        </w:rPr>
        <w:t xml:space="preserve"> </w:t>
      </w:r>
      <w:r>
        <w:rPr>
          <w:rStyle w:val="SpecialStringTok"/>
        </w:rPr>
        <w:t xml:space="preserve">/</w:t>
      </w:r>
      <w:r>
        <w:rPr>
          <w:rStyle w:val="SpecialCharTok"/>
        </w:rPr>
        <w:t xml:space="preserve">^\u</w:t>
      </w:r>
      <w:r>
        <w:rPr>
          <w:rStyle w:val="SpecialStringTok"/>
        </w:rPr>
        <w:t xml:space="preserve">{1D306}</w:t>
      </w:r>
      <w:r>
        <w:rPr>
          <w:rStyle w:val="SpecialCharTok"/>
        </w:rPr>
        <w:t xml:space="preserve">$</w:t>
      </w:r>
      <w:r>
        <w:rPr>
          <w:rStyle w:val="SpecialStringTok"/>
        </w:rPr>
        <w:t xml:space="preserve">/u</w:t>
      </w:r>
      <w:r>
        <w:rPr>
          <w:rStyle w:val="OperatorTok"/>
        </w:rPr>
        <w:t xml:space="preserve">;</w:t>
      </w:r>
    </w:p>
    <w:bookmarkEnd w:id="860"/>
    <w:bookmarkStart w:id="861" w:name="remarks-47"/>
    <w:p>
      <w:pPr>
        <w:pStyle w:val="Heading4"/>
      </w:pPr>
      <w:r>
        <w:t xml:space="preserve">Remarks</w:t>
      </w:r>
    </w:p>
    <w:p>
      <w:pPr>
        <w:pStyle w:val="Compact"/>
        <w:numPr>
          <w:ilvl w:val="0"/>
          <w:numId w:val="1254"/>
        </w:numPr>
      </w:pPr>
      <w:r>
        <w:t xml:space="preserve">When the</w:t>
      </w:r>
      <w:r>
        <w:t xml:space="preserve"> </w:t>
      </w:r>
      <w:r>
        <w:rPr>
          <w:rStyle w:val="VerbatimChar"/>
        </w:rPr>
        <w:t xml:space="preserve">u</w:t>
      </w:r>
      <w:r>
        <w:t xml:space="preserve"> </w:t>
      </w:r>
      <w:r>
        <w:t xml:space="preserve">flag is present,</w:t>
      </w:r>
      <w:r>
        <w:t xml:space="preserve"> </w:t>
      </w:r>
      <w:r>
        <w:rPr>
          <w:rStyle w:val="VerbatimChar"/>
        </w:rPr>
        <w:t xml:space="preserve">.</w:t>
      </w:r>
      <w:r>
        <w:t xml:space="preserve"> </w:t>
      </w:r>
      <w:r>
        <w:t xml:space="preserve">matches a full Unicode code point (even if it spans multiple UTF-16 code units).</w:t>
      </w:r>
    </w:p>
    <w:p>
      <w:pPr>
        <w:pStyle w:val="Compact"/>
        <w:numPr>
          <w:ilvl w:val="0"/>
          <w:numId w:val="1254"/>
        </w:numPr>
      </w:pPr>
      <w:r>
        <w:t xml:space="preserve">Enables</w:t>
      </w:r>
      <w:r>
        <w:t xml:space="preserve"> </w:t>
      </w:r>
      <w:r>
        <w:rPr>
          <w:rStyle w:val="VerbatimChar"/>
        </w:rPr>
        <w:t xml:space="preserve">\u{...}</w:t>
      </w:r>
      <w:r>
        <w:t xml:space="preserve"> </w:t>
      </w:r>
      <w:r>
        <w:t xml:space="preserve">escape sequences inside the regular expression pattern.</w:t>
      </w:r>
    </w:p>
    <w:bookmarkEnd w:id="861"/>
    <w:bookmarkEnd w:id="862"/>
    <w:bookmarkStart w:id="863" w:name="code-example-31"/>
    <w:p>
      <w:pPr>
        <w:pStyle w:val="Heading3"/>
      </w:pPr>
      <w:r>
        <w:t xml:space="preserve">Code Example</w:t>
      </w:r>
    </w:p>
    <w:p>
      <w:pPr>
        <w:pStyle w:val="SourceCode"/>
      </w:pPr>
      <w:r>
        <w:rPr>
          <w:rStyle w:val="OperatorTok"/>
        </w:rPr>
        <w:t xml:space="preserve">&lt;%</w:t>
      </w:r>
      <w:r>
        <w:br/>
      </w:r>
      <w:r>
        <w:rPr>
          <w:rStyle w:val="CommentTok"/>
        </w:rPr>
        <w:t xml:space="preserve">// String length with surrogate pairs</w:t>
      </w:r>
      <w:r>
        <w:br/>
      </w:r>
      <w:r>
        <w:rPr>
          <w:rStyle w:val="KeywordTok"/>
        </w:rPr>
        <w:t xml:space="preserve">var</w:t>
      </w:r>
      <w:r>
        <w:rPr>
          <w:rStyle w:val="NormalTok"/>
        </w:rPr>
        <w:t xml:space="preserve"> s </w:t>
      </w:r>
      <w:r>
        <w:rPr>
          <w:rStyle w:val="OperatorTok"/>
        </w:rPr>
        <w:t xml:space="preserve">=</w:t>
      </w:r>
      <w:r>
        <w:rPr>
          <w:rStyle w:val="NormalTok"/>
        </w:rPr>
        <w:t xml:space="preserve"> </w:t>
      </w:r>
      <w:r>
        <w:rPr>
          <w:rStyle w:val="StringTok"/>
        </w:rPr>
        <w:t xml:space="preserve">"</w:t>
      </w:r>
      <w:r>
        <w:rPr>
          <w:rStyle w:val="SpecialCharTok"/>
        </w:rPr>
        <w:t xml:space="preserve">\u{1D306}</w:t>
      </w:r>
      <w:r>
        <w:rPr>
          <w:rStyle w:val="String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(s</w:t>
      </w:r>
      <w:r>
        <w:rPr>
          <w:rStyle w:val="OperatorTok"/>
        </w:rPr>
        <w:t xml:space="preserve">.</w:t>
      </w:r>
      <w:r>
        <w:rPr>
          <w:rStyle w:val="AttributeTok"/>
        </w:rPr>
        <w:t xml:space="preserve">length</w:t>
      </w:r>
      <w:r>
        <w:rPr>
          <w:rStyle w:val="NormalTok"/>
        </w:rPr>
        <w:t xml:space="preserve">)</w:t>
      </w:r>
      <w:r>
        <w:rPr>
          <w:rStyle w:val="OperatorTok"/>
        </w:rPr>
        <w:t xml:space="preserve">;</w:t>
      </w:r>
      <w:r>
        <w:rPr>
          <w:rStyle w:val="NormalTok"/>
        </w:rPr>
        <w:t xml:space="preserve"> </w:t>
      </w:r>
      <w:r>
        <w:rPr>
          <w:rStyle w:val="CommentTok"/>
        </w:rPr>
        <w:t xml:space="preserve">// Output: 2</w:t>
      </w:r>
      <w:r>
        <w:br/>
      </w:r>
      <w:r>
        <w:br/>
      </w:r>
      <w:r>
        <w:rPr>
          <w:rStyle w:val="CommentTok"/>
        </w:rPr>
        <w:t xml:space="preserve">// Unicode RegExp matching</w:t>
      </w:r>
      <w:r>
        <w:br/>
      </w:r>
      <w:r>
        <w:rPr>
          <w:rStyle w:val="KeywordTok"/>
        </w:rPr>
        <w:t xml:space="preserve">var</w:t>
      </w:r>
      <w:r>
        <w:rPr>
          <w:rStyle w:val="NormalTok"/>
        </w:rPr>
        <w:t xml:space="preserve"> re </w:t>
      </w:r>
      <w:r>
        <w:rPr>
          <w:rStyle w:val="OperatorTok"/>
        </w:rPr>
        <w:t xml:space="preserve">=</w:t>
      </w:r>
      <w:r>
        <w:rPr>
          <w:rStyle w:val="NormalTok"/>
        </w:rPr>
        <w:t xml:space="preserve"> </w:t>
      </w:r>
      <w:r>
        <w:rPr>
          <w:rStyle w:val="SpecialStringTok"/>
        </w:rPr>
        <w:t xml:space="preserve">/</w:t>
      </w:r>
      <w:r>
        <w:rPr>
          <w:rStyle w:val="SpecialCharTok"/>
        </w:rPr>
        <w:t xml:space="preserve">^</w:t>
      </w:r>
      <w:r>
        <w:rPr>
          <w:rStyle w:val="SpecialStringTok"/>
        </w:rPr>
        <w:t xml:space="preserve">.</w:t>
      </w:r>
      <w:r>
        <w:rPr>
          <w:rStyle w:val="SpecialCharTok"/>
        </w:rPr>
        <w:t xml:space="preserve">$</w:t>
      </w:r>
      <w:r>
        <w:rPr>
          <w:rStyle w:val="SpecialStringTok"/>
        </w:rPr>
        <w:t xml:space="preserve">/u</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(re</w:t>
      </w:r>
      <w:r>
        <w:rPr>
          <w:rStyle w:val="OperatorTok"/>
        </w:rPr>
        <w:t xml:space="preserve">.</w:t>
      </w:r>
      <w:r>
        <w:rPr>
          <w:rStyle w:val="FunctionTok"/>
        </w:rPr>
        <w:t xml:space="preserve">test</w:t>
      </w:r>
      <w:r>
        <w:rPr>
          <w:rStyle w:val="NormalTok"/>
        </w:rPr>
        <w:t xml:space="preserve">(s))</w:t>
      </w:r>
      <w:r>
        <w:rPr>
          <w:rStyle w:val="OperatorTok"/>
        </w:rPr>
        <w:t xml:space="preserve">;</w:t>
      </w:r>
      <w:r>
        <w:rPr>
          <w:rStyle w:val="NormalTok"/>
        </w:rPr>
        <w:t xml:space="preserve"> </w:t>
      </w:r>
      <w:r>
        <w:rPr>
          <w:rStyle w:val="CommentTok"/>
        </w:rPr>
        <w:t xml:space="preserve">// Output: true (matches the whole surrogate pair)</w:t>
      </w:r>
      <w:r>
        <w:br/>
      </w:r>
      <w:r>
        <w:rPr>
          <w:rStyle w:val="OperatorTok"/>
        </w:rPr>
        <w:t xml:space="preserve">%&gt;</w:t>
      </w:r>
    </w:p>
    <w:p>
      <w:r>
        <w:pict>
          <v:rect style="width:0;height:1.5pt" o:hralign="center" o:hrstd="t" o:hr="t"/>
        </w:pict>
      </w:r>
    </w:p>
    <w:bookmarkEnd w:id="863"/>
    <w:bookmarkEnd w:id="864"/>
    <w:bookmarkStart w:id="872" w:name="modern-regular-expressions-regexp"/>
    <w:p>
      <w:pPr>
        <w:pStyle w:val="Heading2"/>
      </w:pPr>
      <w:r>
        <w:t xml:space="preserve">Modern Regular Expressions (RegExp)</w:t>
      </w:r>
    </w:p>
    <w:p>
      <w:pPr>
        <w:pStyle w:val="FirstParagraph"/>
      </w:pPr>
      <w:r>
        <w:t xml:space="preserve">AxonASP uses a PCRE-compatible engine for JScript Regular Expressions, supporting advanced features introduced in ES6 and subsequent standards (ES2018+).</w:t>
      </w:r>
    </w:p>
    <w:bookmarkStart w:id="866" w:name="named-capture-groups"/>
    <w:p>
      <w:pPr>
        <w:pStyle w:val="Heading3"/>
      </w:pPr>
      <w:r>
        <w:t xml:space="preserve">Named Capture Groups</w:t>
      </w:r>
    </w:p>
    <w:p>
      <w:pPr>
        <w:pStyle w:val="FirstParagraph"/>
      </w:pPr>
      <w:r>
        <w:t xml:space="preserve">Named capture groups allow you to assign names to capturing groups, which can then be accessed via the</w:t>
      </w:r>
      <w:r>
        <w:t xml:space="preserve"> </w:t>
      </w:r>
      <w:r>
        <w:rPr>
          <w:rStyle w:val="VerbatimChar"/>
        </w:rPr>
        <w:t xml:space="preserve">groups</w:t>
      </w:r>
      <w:r>
        <w:t xml:space="preserve"> </w:t>
      </w:r>
      <w:r>
        <w:t xml:space="preserve">property of the match result.</w:t>
      </w:r>
    </w:p>
    <w:bookmarkStart w:id="865" w:name="syntax-42"/>
    <w:p>
      <w:pPr>
        <w:pStyle w:val="Heading4"/>
      </w:pPr>
      <w:r>
        <w:t xml:space="preserve">Syntax</w:t>
      </w:r>
    </w:p>
    <w:p>
      <w:pPr>
        <w:pStyle w:val="SourceCode"/>
      </w:pPr>
      <w:r>
        <w:rPr>
          <w:rStyle w:val="KeywordTok"/>
        </w:rPr>
        <w:t xml:space="preserve">var</w:t>
      </w:r>
      <w:r>
        <w:rPr>
          <w:rStyle w:val="NormalTok"/>
        </w:rPr>
        <w:t xml:space="preserve"> re </w:t>
      </w:r>
      <w:r>
        <w:rPr>
          <w:rStyle w:val="OperatorTok"/>
        </w:rPr>
        <w:t xml:space="preserve">=</w:t>
      </w:r>
      <w:r>
        <w:rPr>
          <w:rStyle w:val="NormalTok"/>
        </w:rPr>
        <w:t xml:space="preserve"> </w:t>
      </w:r>
      <w:r>
        <w:rPr>
          <w:rStyle w:val="SpecialStringTok"/>
        </w:rPr>
        <w:t xml:space="preserve">/</w:t>
      </w:r>
      <w:r>
        <w:rPr>
          <w:rStyle w:val="SpecialCharTok"/>
        </w:rPr>
        <w:t xml:space="preserve">(?</w:t>
      </w:r>
      <w:r>
        <w:rPr>
          <w:rStyle w:val="SpecialStringTok"/>
        </w:rPr>
        <w:t xml:space="preserve">&lt;name&gt;pattern</w:t>
      </w:r>
      <w:r>
        <w:rPr>
          <w:rStyle w:val="SpecialCharTok"/>
        </w:rPr>
        <w:t xml:space="preserve">)</w:t>
      </w:r>
      <w:r>
        <w:rPr>
          <w:rStyle w:val="SpecialStringTok"/>
        </w:rPr>
        <w:t xml:space="preserve">/</w:t>
      </w:r>
      <w:r>
        <w:rPr>
          <w:rStyle w:val="OperatorTok"/>
        </w:rPr>
        <w:t xml:space="preserve">;</w:t>
      </w:r>
    </w:p>
    <w:bookmarkEnd w:id="865"/>
    <w:bookmarkEnd w:id="866"/>
    <w:bookmarkStart w:id="868" w:name="lookaround-assertions"/>
    <w:p>
      <w:pPr>
        <w:pStyle w:val="Heading3"/>
      </w:pPr>
      <w:r>
        <w:t xml:space="preserve">Lookaround Assertions</w:t>
      </w:r>
    </w:p>
    <w:p>
      <w:pPr>
        <w:pStyle w:val="FirstParagraph"/>
      </w:pPr>
      <w:r>
        <w:t xml:space="preserve">Lookaround assertions (lookahead and lookbehind) allow matching a pattern based on what precedes or follows it, without including those characters in the match.</w:t>
      </w:r>
    </w:p>
    <w:bookmarkStart w:id="867" w:name="syntax-43"/>
    <w:p>
      <w:pPr>
        <w:pStyle w:val="Heading4"/>
      </w:pPr>
      <w:r>
        <w:t xml:space="preserve">Syntax</w:t>
      </w:r>
    </w:p>
    <w:p>
      <w:pPr>
        <w:pStyle w:val="Compact"/>
        <w:numPr>
          <w:ilvl w:val="0"/>
          <w:numId w:val="1255"/>
        </w:numPr>
      </w:pPr>
      <w:r>
        <w:rPr>
          <w:b/>
          <w:bCs/>
        </w:rPr>
        <w:t xml:space="preserve">Positive Lookahead:</w:t>
      </w:r>
      <w:r>
        <w:t xml:space="preserve"> </w:t>
      </w:r>
      <w:r>
        <w:rPr>
          <w:rStyle w:val="VerbatimChar"/>
        </w:rPr>
        <w:t xml:space="preserve">(?=...)</w:t>
      </w:r>
    </w:p>
    <w:p>
      <w:pPr>
        <w:pStyle w:val="Compact"/>
        <w:numPr>
          <w:ilvl w:val="0"/>
          <w:numId w:val="1255"/>
        </w:numPr>
      </w:pPr>
      <w:r>
        <w:rPr>
          <w:b/>
          <w:bCs/>
        </w:rPr>
        <w:t xml:space="preserve">Negative Lookahead:</w:t>
      </w:r>
      <w:r>
        <w:t xml:space="preserve"> </w:t>
      </w:r>
      <w:r>
        <w:rPr>
          <w:rStyle w:val="VerbatimChar"/>
        </w:rPr>
        <w:t xml:space="preserve">(?!...)</w:t>
      </w:r>
    </w:p>
    <w:p>
      <w:pPr>
        <w:pStyle w:val="Compact"/>
        <w:numPr>
          <w:ilvl w:val="0"/>
          <w:numId w:val="1255"/>
        </w:numPr>
      </w:pPr>
      <w:r>
        <w:rPr>
          <w:b/>
          <w:bCs/>
        </w:rPr>
        <w:t xml:space="preserve">Positive Lookbehind:</w:t>
      </w:r>
      <w:r>
        <w:t xml:space="preserve"> </w:t>
      </w:r>
      <w:r>
        <w:rPr>
          <w:rStyle w:val="VerbatimChar"/>
        </w:rPr>
        <w:t xml:space="preserve">(?&lt;=...)</w:t>
      </w:r>
    </w:p>
    <w:p>
      <w:pPr>
        <w:pStyle w:val="Compact"/>
        <w:numPr>
          <w:ilvl w:val="0"/>
          <w:numId w:val="1255"/>
        </w:numPr>
      </w:pPr>
      <w:r>
        <w:rPr>
          <w:b/>
          <w:bCs/>
        </w:rPr>
        <w:t xml:space="preserve">Negative Lookbehind:</w:t>
      </w:r>
      <w:r>
        <w:t xml:space="preserve"> </w:t>
      </w:r>
      <w:r>
        <w:rPr>
          <w:rStyle w:val="VerbatimChar"/>
        </w:rPr>
        <w:t xml:space="preserve">(?&lt;!...)</w:t>
      </w:r>
    </w:p>
    <w:bookmarkEnd w:id="867"/>
    <w:bookmarkEnd w:id="868"/>
    <w:bookmarkStart w:id="869" w:name="sticky-flag-y"/>
    <w:p>
      <w:pPr>
        <w:pStyle w:val="Heading3"/>
      </w:pPr>
      <w:r>
        <w:t xml:space="preserve">Sticky Flag (y)</w:t>
      </w:r>
    </w:p>
    <w:p>
      <w:pPr>
        <w:pStyle w:val="FirstParagraph"/>
      </w:pPr>
      <w:r>
        <w:t xml:space="preserve">The</w:t>
      </w:r>
      <w:r>
        <w:t xml:space="preserve"> </w:t>
      </w:r>
      <w:r>
        <w:rPr>
          <w:rStyle w:val="VerbatimChar"/>
        </w:rPr>
        <w:t xml:space="preserve">y</w:t>
      </w:r>
      <w:r>
        <w:t xml:space="preserve"> </w:t>
      </w:r>
      <w:r>
        <w:t xml:space="preserve">flag indicates that the match must start exactly at the</w:t>
      </w:r>
      <w:r>
        <w:t xml:space="preserve"> </w:t>
      </w:r>
      <w:r>
        <w:rPr>
          <w:rStyle w:val="VerbatimChar"/>
        </w:rPr>
        <w:t xml:space="preserve">lastIndex</w:t>
      </w:r>
      <w:r>
        <w:t xml:space="preserve"> </w:t>
      </w:r>
      <w:r>
        <w:t xml:space="preserve">property of the regular expression object. If the match fails,</w:t>
      </w:r>
      <w:r>
        <w:t xml:space="preserve"> </w:t>
      </w:r>
      <w:r>
        <w:rPr>
          <w:rStyle w:val="VerbatimChar"/>
        </w:rPr>
        <w:t xml:space="preserve">lastIndex</w:t>
      </w:r>
      <w:r>
        <w:t xml:space="preserve"> </w:t>
      </w:r>
      <w:r>
        <w:t xml:space="preserve">is reset to</w:t>
      </w:r>
      <w:r>
        <w:t xml:space="preserve"> </w:t>
      </w:r>
      <w:r>
        <w:rPr>
          <w:rStyle w:val="VerbatimChar"/>
        </w:rPr>
        <w:t xml:space="preserve">0</w:t>
      </w:r>
      <w:r>
        <w:t xml:space="preserve">.</w:t>
      </w:r>
    </w:p>
    <w:bookmarkEnd w:id="869"/>
    <w:bookmarkStart w:id="870" w:name="regexp.prototype.flags"/>
    <w:p>
      <w:pPr>
        <w:pStyle w:val="Heading3"/>
      </w:pPr>
      <w:r>
        <w:t xml:space="preserve">RegExp.prototype.flags</w:t>
      </w:r>
    </w:p>
    <w:p>
      <w:pPr>
        <w:pStyle w:val="FirstParagraph"/>
      </w:pPr>
      <w:r>
        <w:t xml:space="preserve">The</w:t>
      </w:r>
      <w:r>
        <w:t xml:space="preserve"> </w:t>
      </w:r>
      <w:r>
        <w:rPr>
          <w:rStyle w:val="VerbatimChar"/>
        </w:rPr>
        <w:t xml:space="preserve">flags</w:t>
      </w:r>
      <w:r>
        <w:t xml:space="preserve"> </w:t>
      </w:r>
      <w:r>
        <w:t xml:space="preserve">property returns a string containing the flags of the regular expression object, sorted alphabetically (</w:t>
      </w:r>
      <w:r>
        <w:rPr>
          <w:rStyle w:val="VerbatimChar"/>
        </w:rPr>
        <w:t xml:space="preserve">g</w:t>
      </w:r>
      <w:r>
        <w:t xml:space="preserve">,</w:t>
      </w:r>
      <w:r>
        <w:t xml:space="preserve"> </w:t>
      </w:r>
      <w:r>
        <w:rPr>
          <w:rStyle w:val="VerbatimChar"/>
        </w:rPr>
        <w:t xml:space="preserve">i</w:t>
      </w:r>
      <w:r>
        <w:t xml:space="preserve">,</w:t>
      </w:r>
      <w:r>
        <w:t xml:space="preserve"> </w:t>
      </w:r>
      <w:r>
        <w:rPr>
          <w:rStyle w:val="VerbatimChar"/>
        </w:rPr>
        <w:t xml:space="preserve">m</w:t>
      </w:r>
      <w:r>
        <w:t xml:space="preserve">,</w:t>
      </w:r>
      <w:r>
        <w:t xml:space="preserve"> </w:t>
      </w:r>
      <w:r>
        <w:rPr>
          <w:rStyle w:val="VerbatimChar"/>
        </w:rPr>
        <w:t xml:space="preserve">s</w:t>
      </w:r>
      <w:r>
        <w:t xml:space="preserve">,</w:t>
      </w:r>
      <w:r>
        <w:t xml:space="preserve"> </w:t>
      </w:r>
      <w:r>
        <w:rPr>
          <w:rStyle w:val="VerbatimChar"/>
        </w:rPr>
        <w:t xml:space="preserve">u</w:t>
      </w:r>
      <w:r>
        <w:t xml:space="preserve">,</w:t>
      </w:r>
      <w:r>
        <w:t xml:space="preserve"> </w:t>
      </w:r>
      <w:r>
        <w:rPr>
          <w:rStyle w:val="VerbatimChar"/>
        </w:rPr>
        <w:t xml:space="preserve">y</w:t>
      </w:r>
      <w:r>
        <w:t xml:space="preserve">).</w:t>
      </w:r>
    </w:p>
    <w:bookmarkEnd w:id="870"/>
    <w:bookmarkStart w:id="871" w:name="code-example-32"/>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CommentTok"/>
        </w:rPr>
        <w:t xml:space="preserve">// 1. Named Capture Groups</w:t>
      </w:r>
      <w:r>
        <w:br/>
      </w:r>
      <w:r>
        <w:rPr>
          <w:rStyle w:val="KeywordTok"/>
        </w:rPr>
        <w:t xml:space="preserve">var</w:t>
      </w:r>
      <w:r>
        <w:rPr>
          <w:rStyle w:val="NormalTok"/>
        </w:rPr>
        <w:t xml:space="preserve"> re </w:t>
      </w:r>
      <w:r>
        <w:rPr>
          <w:rStyle w:val="OperatorTok"/>
        </w:rPr>
        <w:t xml:space="preserve">=</w:t>
      </w:r>
      <w:r>
        <w:rPr>
          <w:rStyle w:val="NormalTok"/>
        </w:rPr>
        <w:t xml:space="preserve"> </w:t>
      </w:r>
      <w:r>
        <w:rPr>
          <w:rStyle w:val="SpecialStringTok"/>
        </w:rPr>
        <w:t xml:space="preserve">/</w:t>
      </w:r>
      <w:r>
        <w:rPr>
          <w:rStyle w:val="SpecialCharTok"/>
        </w:rPr>
        <w:t xml:space="preserve">(?</w:t>
      </w:r>
      <w:r>
        <w:rPr>
          <w:rStyle w:val="SpecialStringTok"/>
        </w:rPr>
        <w:t xml:space="preserve">&lt;year&gt;</w:t>
      </w:r>
      <w:r>
        <w:rPr>
          <w:rStyle w:val="SpecialCharTok"/>
        </w:rPr>
        <w:t xml:space="preserve">\d{4})</w:t>
      </w:r>
      <w:r>
        <w:rPr>
          <w:rStyle w:val="SpecialStringTok"/>
        </w:rPr>
        <w:t xml:space="preserve">-</w:t>
      </w:r>
      <w:r>
        <w:rPr>
          <w:rStyle w:val="SpecialCharTok"/>
        </w:rPr>
        <w:t xml:space="preserve">(?</w:t>
      </w:r>
      <w:r>
        <w:rPr>
          <w:rStyle w:val="SpecialStringTok"/>
        </w:rPr>
        <w:t xml:space="preserve">&lt;month&gt;</w:t>
      </w:r>
      <w:r>
        <w:rPr>
          <w:rStyle w:val="SpecialCharTok"/>
        </w:rPr>
        <w:t xml:space="preserve">\d{2})</w:t>
      </w:r>
      <w:r>
        <w:rPr>
          <w:rStyle w:val="SpecialStringTok"/>
        </w:rPr>
        <w:t xml:space="preserve">-</w:t>
      </w:r>
      <w:r>
        <w:rPr>
          <w:rStyle w:val="SpecialCharTok"/>
        </w:rPr>
        <w:t xml:space="preserve">(?</w:t>
      </w:r>
      <w:r>
        <w:rPr>
          <w:rStyle w:val="SpecialStringTok"/>
        </w:rPr>
        <w:t xml:space="preserve">&lt;day&gt;</w:t>
      </w:r>
      <w:r>
        <w:rPr>
          <w:rStyle w:val="SpecialCharTok"/>
        </w:rPr>
        <w:t xml:space="preserve">\d{2})</w:t>
      </w:r>
      <w:r>
        <w:rPr>
          <w:rStyle w:val="SpecialStringTok"/>
        </w:rPr>
        <w:t xml:space="preserve">/</w:t>
      </w:r>
      <w:r>
        <w:rPr>
          <w:rStyle w:val="OperatorTok"/>
        </w:rPr>
        <w:t xml:space="preserve">;</w:t>
      </w:r>
      <w:r>
        <w:br/>
      </w:r>
      <w:r>
        <w:rPr>
          <w:rStyle w:val="KeywordTok"/>
        </w:rPr>
        <w:t xml:space="preserve">var</w:t>
      </w:r>
      <w:r>
        <w:rPr>
          <w:rStyle w:val="NormalTok"/>
        </w:rPr>
        <w:t xml:space="preserve"> match </w:t>
      </w:r>
      <w:r>
        <w:rPr>
          <w:rStyle w:val="OperatorTok"/>
        </w:rPr>
        <w:t xml:space="preserve">=</w:t>
      </w:r>
      <w:r>
        <w:rPr>
          <w:rStyle w:val="NormalTok"/>
        </w:rPr>
        <w:t xml:space="preserve"> re</w:t>
      </w:r>
      <w:r>
        <w:rPr>
          <w:rStyle w:val="OperatorTok"/>
        </w:rPr>
        <w:t xml:space="preserve">.</w:t>
      </w:r>
      <w:r>
        <w:rPr>
          <w:rStyle w:val="FunctionTok"/>
        </w:rPr>
        <w:t xml:space="preserve">exec</w:t>
      </w:r>
      <w:r>
        <w:rPr>
          <w:rStyle w:val="NormalTok"/>
        </w:rPr>
        <w:t xml:space="preserve">(</w:t>
      </w:r>
      <w:r>
        <w:rPr>
          <w:rStyle w:val="StringTok"/>
        </w:rPr>
        <w:t xml:space="preserve">"2026-05-14"</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(match</w:t>
      </w:r>
      <w:r>
        <w:rPr>
          <w:rStyle w:val="OperatorTok"/>
        </w:rPr>
        <w:t xml:space="preserve">.</w:t>
      </w:r>
      <w:r>
        <w:rPr>
          <w:rStyle w:val="AttributeTok"/>
        </w:rPr>
        <w:t xml:space="preserve">groups</w:t>
      </w:r>
      <w:r>
        <w:rPr>
          <w:rStyle w:val="OperatorTok"/>
        </w:rPr>
        <w:t xml:space="preserve">.</w:t>
      </w:r>
      <w:r>
        <w:rPr>
          <w:rStyle w:val="AttributeTok"/>
        </w:rPr>
        <w:t xml:space="preserve">year</w:t>
      </w:r>
      <w:r>
        <w:rPr>
          <w:rStyle w:val="NormalTok"/>
        </w:rPr>
        <w:t xml:space="preserve">)</w:t>
      </w:r>
      <w:r>
        <w:rPr>
          <w:rStyle w:val="OperatorTok"/>
        </w:rPr>
        <w:t xml:space="preserve">;</w:t>
      </w:r>
      <w:r>
        <w:rPr>
          <w:rStyle w:val="NormalTok"/>
        </w:rPr>
        <w:t xml:space="preserve"> </w:t>
      </w:r>
      <w:r>
        <w:rPr>
          <w:rStyle w:val="CommentTok"/>
        </w:rPr>
        <w:t xml:space="preserve">// Output: 2026</w:t>
      </w:r>
      <w:r>
        <w:br/>
      </w:r>
      <w:r>
        <w:br/>
      </w:r>
      <w:r>
        <w:rPr>
          <w:rStyle w:val="CommentTok"/>
        </w:rPr>
        <w:t xml:space="preserve">// 2. Lookbehind</w:t>
      </w:r>
      <w:r>
        <w:br/>
      </w:r>
      <w:r>
        <w:rPr>
          <w:rStyle w:val="KeywordTok"/>
        </w:rPr>
        <w:t xml:space="preserve">var</w:t>
      </w:r>
      <w:r>
        <w:rPr>
          <w:rStyle w:val="NormalTok"/>
        </w:rPr>
        <w:t xml:space="preserve"> reLookbehind </w:t>
      </w:r>
      <w:r>
        <w:rPr>
          <w:rStyle w:val="OperatorTok"/>
        </w:rPr>
        <w:t xml:space="preserve">=</w:t>
      </w:r>
      <w:r>
        <w:rPr>
          <w:rStyle w:val="NormalTok"/>
        </w:rPr>
        <w:t xml:space="preserve"> </w:t>
      </w:r>
      <w:r>
        <w:rPr>
          <w:rStyle w:val="SpecialStringTok"/>
        </w:rPr>
        <w:t xml:space="preserve">/</w:t>
      </w:r>
      <w:r>
        <w:rPr>
          <w:rStyle w:val="SpecialCharTok"/>
        </w:rPr>
        <w:t xml:space="preserve">(?</w:t>
      </w:r>
      <w:r>
        <w:rPr>
          <w:rStyle w:val="SpecialStringTok"/>
        </w:rPr>
        <w:t xml:space="preserve">&lt;=</w:t>
      </w:r>
      <w:r>
        <w:rPr>
          <w:rStyle w:val="SpecialCharTok"/>
        </w:rPr>
        <w:t xml:space="preserve">\$)\d+</w:t>
      </w:r>
      <w:r>
        <w:rPr>
          <w:rStyle w:val="SpecialString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(reLookbehind</w:t>
      </w:r>
      <w:r>
        <w:rPr>
          <w:rStyle w:val="OperatorTok"/>
        </w:rPr>
        <w:t xml:space="preserve">.</w:t>
      </w:r>
      <w:r>
        <w:rPr>
          <w:rStyle w:val="FunctionTok"/>
        </w:rPr>
        <w:t xml:space="preserve">exec</w:t>
      </w:r>
      <w:r>
        <w:rPr>
          <w:rStyle w:val="NormalTok"/>
        </w:rPr>
        <w:t xml:space="preserve">(</w:t>
      </w:r>
      <w:r>
        <w:rPr>
          <w:rStyle w:val="StringTok"/>
        </w:rPr>
        <w:t xml:space="preserve">"Price: $100"</w:t>
      </w:r>
      <w:r>
        <w:rPr>
          <w:rStyle w:val="NormalTok"/>
        </w:rPr>
        <w:t xml:space="preserve">)[</w:t>
      </w:r>
      <w:r>
        <w:rPr>
          <w:rStyle w:val="DecValTok"/>
        </w:rPr>
        <w:t xml:space="preserve">0</w:t>
      </w:r>
      <w:r>
        <w:rPr>
          <w:rStyle w:val="NormalTok"/>
        </w:rPr>
        <w:t xml:space="preserve">])</w:t>
      </w:r>
      <w:r>
        <w:rPr>
          <w:rStyle w:val="OperatorTok"/>
        </w:rPr>
        <w:t xml:space="preserve">;</w:t>
      </w:r>
      <w:r>
        <w:rPr>
          <w:rStyle w:val="NormalTok"/>
        </w:rPr>
        <w:t xml:space="preserve"> </w:t>
      </w:r>
      <w:r>
        <w:rPr>
          <w:rStyle w:val="CommentTok"/>
        </w:rPr>
        <w:t xml:space="preserve">// Output: 100</w:t>
      </w:r>
      <w:r>
        <w:br/>
      </w:r>
      <w:r>
        <w:br/>
      </w:r>
      <w:r>
        <w:rPr>
          <w:rStyle w:val="CommentTok"/>
        </w:rPr>
        <w:t xml:space="preserve">// 3. Sticky Flag</w:t>
      </w:r>
      <w:r>
        <w:br/>
      </w:r>
      <w:r>
        <w:rPr>
          <w:rStyle w:val="KeywordTok"/>
        </w:rPr>
        <w:t xml:space="preserve">var</w:t>
      </w:r>
      <w:r>
        <w:rPr>
          <w:rStyle w:val="NormalTok"/>
        </w:rPr>
        <w:t xml:space="preserve"> reSticky </w:t>
      </w:r>
      <w:r>
        <w:rPr>
          <w:rStyle w:val="OperatorTok"/>
        </w:rPr>
        <w:t xml:space="preserve">=</w:t>
      </w:r>
      <w:r>
        <w:rPr>
          <w:rStyle w:val="NormalTok"/>
        </w:rPr>
        <w:t xml:space="preserve"> </w:t>
      </w:r>
      <w:r>
        <w:rPr>
          <w:rStyle w:val="SpecialStringTok"/>
        </w:rPr>
        <w:t xml:space="preserve">/a/y</w:t>
      </w:r>
      <w:r>
        <w:rPr>
          <w:rStyle w:val="OperatorTok"/>
        </w:rPr>
        <w:t xml:space="preserve">;</w:t>
      </w:r>
      <w:r>
        <w:br/>
      </w:r>
      <w:r>
        <w:rPr>
          <w:rStyle w:val="NormalTok"/>
        </w:rPr>
        <w:t xml:space="preserve">reSticky</w:t>
      </w:r>
      <w:r>
        <w:rPr>
          <w:rStyle w:val="OperatorTok"/>
        </w:rPr>
        <w:t xml:space="preserve">.</w:t>
      </w:r>
      <w:r>
        <w:rPr>
          <w:rStyle w:val="AttributeTok"/>
        </w:rPr>
        <w:t xml:space="preserve">lastIndex</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(reSticky</w:t>
      </w:r>
      <w:r>
        <w:rPr>
          <w:rStyle w:val="OperatorTok"/>
        </w:rPr>
        <w:t xml:space="preserve">.</w:t>
      </w:r>
      <w:r>
        <w:rPr>
          <w:rStyle w:val="FunctionTok"/>
        </w:rPr>
        <w:t xml:space="preserve">exec</w:t>
      </w:r>
      <w:r>
        <w:rPr>
          <w:rStyle w:val="NormalTok"/>
        </w:rPr>
        <w:t xml:space="preserve">(</w:t>
      </w:r>
      <w:r>
        <w:rPr>
          <w:rStyle w:val="StringTok"/>
        </w:rPr>
        <w:t xml:space="preserve">"ba"</w:t>
      </w:r>
      <w:r>
        <w:rPr>
          <w:rStyle w:val="NormalTok"/>
        </w:rPr>
        <w:t xml:space="preserve">) </w:t>
      </w:r>
      <w:r>
        <w:rPr>
          <w:rStyle w:val="OperatorTok"/>
        </w:rPr>
        <w:t xml:space="preserve">!==</w:t>
      </w:r>
      <w:r>
        <w:rPr>
          <w:rStyle w:val="NormalTok"/>
        </w:rPr>
        <w:t xml:space="preserve"> </w:t>
      </w:r>
      <w:r>
        <w:rPr>
          <w:rStyle w:val="KeywordTok"/>
        </w:rPr>
        <w:t xml:space="preserve">null</w:t>
      </w:r>
      <w:r>
        <w:rPr>
          <w:rStyle w:val="NormalTok"/>
        </w:rPr>
        <w:t xml:space="preserve">)</w:t>
      </w:r>
      <w:r>
        <w:rPr>
          <w:rStyle w:val="OperatorTok"/>
        </w:rPr>
        <w:t xml:space="preserve">;</w:t>
      </w:r>
      <w:r>
        <w:rPr>
          <w:rStyle w:val="NormalTok"/>
        </w:rPr>
        <w:t xml:space="preserve"> </w:t>
      </w:r>
      <w:r>
        <w:rPr>
          <w:rStyle w:val="CommentTok"/>
        </w:rPr>
        <w:t xml:space="preserve">// Output: true</w:t>
      </w:r>
      <w:r>
        <w:br/>
      </w:r>
      <w:r>
        <w:br/>
      </w:r>
      <w:r>
        <w:rPr>
          <w:rStyle w:val="CommentTok"/>
        </w:rPr>
        <w:t xml:space="preserve">// 4. Flags Property</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pecialStringTok"/>
        </w:rPr>
        <w:t xml:space="preserve">/abc/gimuy</w:t>
      </w:r>
      <w:r>
        <w:rPr>
          <w:rStyle w:val="OperatorTok"/>
        </w:rPr>
        <w:t xml:space="preserve">.</w:t>
      </w:r>
      <w:r>
        <w:rPr>
          <w:rStyle w:val="AttributeTok"/>
        </w:rPr>
        <w:t xml:space="preserve">flags</w:t>
      </w:r>
      <w:r>
        <w:rPr>
          <w:rStyle w:val="NormalTok"/>
        </w:rPr>
        <w:t xml:space="preserve">)</w:t>
      </w:r>
      <w:r>
        <w:rPr>
          <w:rStyle w:val="OperatorTok"/>
        </w:rPr>
        <w:t xml:space="preserve">;</w:t>
      </w:r>
      <w:r>
        <w:rPr>
          <w:rStyle w:val="NormalTok"/>
        </w:rPr>
        <w:t xml:space="preserve"> </w:t>
      </w:r>
      <w:r>
        <w:rPr>
          <w:rStyle w:val="CommentTok"/>
        </w:rPr>
        <w:t xml:space="preserve">// Output: gimuy</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71"/>
    <w:bookmarkEnd w:id="872"/>
    <w:bookmarkStart w:id="876" w:name="template-literals"/>
    <w:p>
      <w:pPr>
        <w:pStyle w:val="Heading2"/>
      </w:pPr>
      <w:r>
        <w:t xml:space="preserve">Template Literals</w:t>
      </w:r>
    </w:p>
    <w:bookmarkStart w:id="873" w:name="syntax-44"/>
    <w:p>
      <w:pPr>
        <w:pStyle w:val="Heading3"/>
      </w:pPr>
      <w:r>
        <w:t xml:space="preserve">Syntax</w:t>
      </w:r>
    </w:p>
    <w:p>
      <w:pPr>
        <w:pStyle w:val="SourceCode"/>
      </w:pPr>
      <w:r>
        <w:rPr>
          <w:rStyle w:val="KeywordTok"/>
        </w:rPr>
        <w:t xml:space="preserve">var</w:t>
      </w:r>
      <w:r>
        <w:rPr>
          <w:rStyle w:val="NormalTok"/>
        </w:rPr>
        <w:t xml:space="preserve"> result </w:t>
      </w:r>
      <w:r>
        <w:rPr>
          <w:rStyle w:val="OperatorTok"/>
        </w:rPr>
        <w:t xml:space="preserve">=</w:t>
      </w:r>
      <w:r>
        <w:rPr>
          <w:rStyle w:val="NormalTok"/>
        </w:rPr>
        <w:t xml:space="preserve"> </w:t>
      </w:r>
      <w:r>
        <w:rPr>
          <w:rStyle w:val="VerbatimStringTok"/>
        </w:rPr>
        <w:t xml:space="preserve">`static text </w:t>
      </w:r>
      <w:r>
        <w:rPr>
          <w:rStyle w:val="SpecialCharTok"/>
        </w:rPr>
        <w:t xml:space="preserve">${</w:t>
      </w:r>
      <w:r>
        <w:rPr>
          <w:rStyle w:val="NormalTok"/>
        </w:rPr>
        <w:t xml:space="preserve">expression</w:t>
      </w:r>
      <w:r>
        <w:rPr>
          <w:rStyle w:val="SpecialCharTok"/>
        </w:rPr>
        <w:t xml:space="preserve">}</w:t>
      </w:r>
      <w:r>
        <w:rPr>
          <w:rStyle w:val="VerbatimStringTok"/>
        </w:rPr>
        <w:t xml:space="preserve"> more static text`</w:t>
      </w:r>
      <w:r>
        <w:rPr>
          <w:rStyle w:val="OperatorTok"/>
        </w:rPr>
        <w:t xml:space="preserve">;</w:t>
      </w:r>
    </w:p>
    <w:p>
      <w:pPr>
        <w:pStyle w:val="FirstParagraph"/>
      </w:pPr>
      <w:r>
        <w:t xml:space="preserve">Template literals are enclosed in backticks (</w:t>
      </w:r>
      <w:r>
        <w:rPr>
          <w:rStyle w:val="VerbatimChar"/>
        </w:rPr>
        <w:t xml:space="preserve">`</w:t>
      </w:r>
      <w:r>
        <w:t xml:space="preserve">). They support embedded expressions using</w:t>
      </w:r>
      <w:r>
        <w:t xml:space="preserve"> </w:t>
      </w:r>
      <w:r>
        <w:rPr>
          <w:rStyle w:val="VerbatimChar"/>
        </w:rPr>
        <w:t xml:space="preserve">${expression}</w:t>
      </w:r>
      <w:r>
        <w:t xml:space="preserve"> </w:t>
      </w:r>
      <w:r>
        <w:t xml:space="preserve">placeholders and preserve literal newlines.</w:t>
      </w:r>
    </w:p>
    <w:bookmarkEnd w:id="873"/>
    <w:bookmarkStart w:id="874" w:name="remarks-48"/>
    <w:p>
      <w:pPr>
        <w:pStyle w:val="Heading3"/>
      </w:pPr>
      <w:r>
        <w:t xml:space="preserve">Remarks</w:t>
      </w:r>
    </w:p>
    <w:p>
      <w:pPr>
        <w:pStyle w:val="Compact"/>
        <w:numPr>
          <w:ilvl w:val="0"/>
          <w:numId w:val="1256"/>
        </w:numPr>
      </w:pPr>
      <w:r>
        <w:t xml:space="preserve">All</w:t>
      </w:r>
      <w:r>
        <w:t xml:space="preserve"> </w:t>
      </w:r>
      <w:r>
        <w:rPr>
          <w:rStyle w:val="VerbatimChar"/>
        </w:rPr>
        <w:t xml:space="preserve">${expression}</w:t>
      </w:r>
      <w:r>
        <w:t xml:space="preserve"> </w:t>
      </w:r>
      <w:r>
        <w:t xml:space="preserve">placeholders are evaluated at runtime and coerced to strings using standard JScript string coercion.</w:t>
      </w:r>
    </w:p>
    <w:p>
      <w:pPr>
        <w:pStyle w:val="Compact"/>
        <w:numPr>
          <w:ilvl w:val="0"/>
          <w:numId w:val="1256"/>
        </w:numPr>
      </w:pPr>
      <w:r>
        <w:t xml:space="preserve">Multiple expressions can be embedded in a single template literal.</w:t>
      </w:r>
    </w:p>
    <w:p>
      <w:pPr>
        <w:pStyle w:val="Compact"/>
        <w:numPr>
          <w:ilvl w:val="0"/>
          <w:numId w:val="1256"/>
        </w:numPr>
      </w:pPr>
      <w:r>
        <w:t xml:space="preserve">Multi-line template literals preserve embedded newline characters.</w:t>
      </w:r>
    </w:p>
    <w:p>
      <w:pPr>
        <w:pStyle w:val="Compact"/>
        <w:numPr>
          <w:ilvl w:val="0"/>
          <w:numId w:val="1256"/>
        </w:numPr>
      </w:pPr>
      <w:r>
        <w:t xml:space="preserve">Tagged template literals are not supported. A tagged template (e.g.,</w:t>
      </w:r>
      <w:r>
        <w:t xml:space="preserve"> </w:t>
      </w:r>
      <w:r>
        <w:rPr>
          <w:rStyle w:val="VerbatimChar"/>
        </w:rPr>
        <w:t xml:space="preserve">tag`...`</w:t>
      </w:r>
      <w:r>
        <w:t xml:space="preserve">) resolves to</w:t>
      </w:r>
      <w:r>
        <w:t xml:space="preserve"> </w:t>
      </w:r>
      <w:r>
        <w:rPr>
          <w:rStyle w:val="VerbatimChar"/>
        </w:rPr>
        <w:t xml:space="preserve">undefined</w:t>
      </w:r>
      <w:r>
        <w:t xml:space="preserve">.</w:t>
      </w:r>
    </w:p>
    <w:bookmarkEnd w:id="874"/>
    <w:bookmarkStart w:id="875" w:name="code-example-33"/>
    <w:p>
      <w:pPr>
        <w:pStyle w:val="Heading3"/>
      </w:pPr>
      <w:r>
        <w:t xml:space="preserve">Code Example</w:t>
      </w:r>
    </w:p>
    <w:p>
      <w:pPr>
        <w:pStyle w:val="SourceCode"/>
      </w:pPr>
      <w:r>
        <w:rPr>
          <w:rStyle w:val="OperatorTok"/>
        </w:rPr>
        <w:t xml:space="preserve">&lt;%</w:t>
      </w:r>
      <w:r>
        <w:br/>
      </w:r>
      <w:r>
        <w:rPr>
          <w:rStyle w:val="KeywordTok"/>
        </w:rPr>
        <w:t xml:space="preserve">var</w:t>
      </w:r>
      <w:r>
        <w:rPr>
          <w:rStyle w:val="NormalTok"/>
        </w:rPr>
        <w:t xml:space="preserve"> name </w:t>
      </w:r>
      <w:r>
        <w:rPr>
          <w:rStyle w:val="OperatorTok"/>
        </w:rPr>
        <w:t xml:space="preserve">=</w:t>
      </w:r>
      <w:r>
        <w:rPr>
          <w:rStyle w:val="NormalTok"/>
        </w:rPr>
        <w:t xml:space="preserve"> </w:t>
      </w:r>
      <w:r>
        <w:rPr>
          <w:rStyle w:val="StringTok"/>
        </w:rPr>
        <w:t xml:space="preserve">"World"</w:t>
      </w:r>
      <w:r>
        <w:rPr>
          <w:rStyle w:val="OperatorTok"/>
        </w:rPr>
        <w:t xml:space="preserve">;</w:t>
      </w:r>
      <w:r>
        <w:br/>
      </w:r>
      <w:r>
        <w:rPr>
          <w:rStyle w:val="KeywordTok"/>
        </w:rPr>
        <w:t xml:space="preserve">var</w:t>
      </w:r>
      <w:r>
        <w:rPr>
          <w:rStyle w:val="NormalTok"/>
        </w:rPr>
        <w:t xml:space="preserve"> count </w:t>
      </w:r>
      <w:r>
        <w:rPr>
          <w:rStyle w:val="OperatorTok"/>
        </w:rPr>
        <w:t xml:space="preserve">=</w:t>
      </w:r>
      <w:r>
        <w:rPr>
          <w:rStyle w:val="NormalTok"/>
        </w:rPr>
        <w:t xml:space="preserve"> </w:t>
      </w:r>
      <w:r>
        <w:rPr>
          <w:rStyle w:val="DecValTok"/>
        </w:rPr>
        <w:t xml:space="preserve">42</w:t>
      </w:r>
      <w:r>
        <w:rPr>
          <w:rStyle w:val="OperatorTok"/>
        </w:rPr>
        <w:t xml:space="preserve">;</w:t>
      </w:r>
      <w:r>
        <w:br/>
      </w:r>
      <w:r>
        <w:rPr>
          <w:rStyle w:val="KeywordTok"/>
        </w:rPr>
        <w:t xml:space="preserve">var</w:t>
      </w:r>
      <w:r>
        <w:rPr>
          <w:rStyle w:val="NormalTok"/>
        </w:rPr>
        <w:t xml:space="preserve"> msg </w:t>
      </w:r>
      <w:r>
        <w:rPr>
          <w:rStyle w:val="OperatorTok"/>
        </w:rPr>
        <w:t xml:space="preserve">=</w:t>
      </w:r>
      <w:r>
        <w:rPr>
          <w:rStyle w:val="NormalTok"/>
        </w:rPr>
        <w:t xml:space="preserve"> </w:t>
      </w:r>
      <w:r>
        <w:rPr>
          <w:rStyle w:val="VerbatimStringTok"/>
        </w:rPr>
        <w:t xml:space="preserve">`Hello, </w:t>
      </w:r>
      <w:r>
        <w:rPr>
          <w:rStyle w:val="SpecialCharTok"/>
        </w:rPr>
        <w:t xml:space="preserve">${</w:t>
      </w:r>
      <w:r>
        <w:rPr>
          <w:rStyle w:val="NormalTok"/>
        </w:rPr>
        <w:t xml:space="preserve">name</w:t>
      </w:r>
      <w:r>
        <w:rPr>
          <w:rStyle w:val="SpecialCharTok"/>
        </w:rPr>
        <w:t xml:space="preserve">}</w:t>
      </w:r>
      <w:r>
        <w:rPr>
          <w:rStyle w:val="VerbatimStringTok"/>
        </w:rPr>
        <w:t xml:space="preserve">! You have </w:t>
      </w:r>
      <w:r>
        <w:rPr>
          <w:rStyle w:val="SpecialCharTok"/>
        </w:rPr>
        <w:t xml:space="preserve">${</w:t>
      </w:r>
      <w:r>
        <w:rPr>
          <w:rStyle w:val="NormalTok"/>
        </w:rPr>
        <w:t xml:space="preserve">count</w:t>
      </w:r>
      <w:r>
        <w:rPr>
          <w:rStyle w:val="SpecialCharTok"/>
        </w:rPr>
        <w:t xml:space="preserve">}</w:t>
      </w:r>
      <w:r>
        <w:rPr>
          <w:rStyle w:val="VerbatimStringTok"/>
        </w:rPr>
        <w:t xml:space="preserve"> messages.`</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(msg)</w:t>
      </w:r>
      <w:r>
        <w:rPr>
          <w:rStyle w:val="OperatorTok"/>
        </w:rPr>
        <w:t xml:space="preserve">;</w:t>
      </w:r>
      <w:r>
        <w:br/>
      </w:r>
      <w:r>
        <w:rPr>
          <w:rStyle w:val="CommentTok"/>
        </w:rPr>
        <w:t xml:space="preserve">// Output: Hello, World! You have 42 messages.</w:t>
      </w:r>
      <w:r>
        <w:br/>
      </w:r>
      <w:r>
        <w:br/>
      </w:r>
      <w:r>
        <w:rPr>
          <w:rStyle w:val="KeywordTok"/>
        </w:rPr>
        <w:t xml:space="preserve">var</w:t>
      </w:r>
      <w:r>
        <w:rPr>
          <w:rStyle w:val="NormalTok"/>
        </w:rPr>
        <w:t xml:space="preserve"> a </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b </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VerbatimStringTok"/>
        </w:rPr>
        <w:t xml:space="preserve">`Sum: </w:t>
      </w:r>
      <w:r>
        <w:rPr>
          <w:rStyle w:val="SpecialCharTok"/>
        </w:rPr>
        <w:t xml:space="preserve">${</w:t>
      </w:r>
      <w:r>
        <w:rPr>
          <w:rStyle w:val="NormalTok"/>
        </w:rPr>
        <w:t xml:space="preserve">a </w:t>
      </w:r>
      <w:r>
        <w:rPr>
          <w:rStyle w:val="OperatorTok"/>
        </w:rPr>
        <w:t xml:space="preserve">+</w:t>
      </w:r>
      <w:r>
        <w:rPr>
          <w:rStyle w:val="NormalTok"/>
        </w:rPr>
        <w:t xml:space="preserve"> b</w:t>
      </w:r>
      <w:r>
        <w:rPr>
          <w:rStyle w:val="SpecialCharTok"/>
        </w:rPr>
        <w:t xml:space="preserve">}</w:t>
      </w:r>
      <w:r>
        <w:rPr>
          <w:rStyle w:val="VerbatimStringTok"/>
        </w:rPr>
        <w:t xml:space="preserve">`</w:t>
      </w:r>
      <w:r>
        <w:rPr>
          <w:rStyle w:val="NormalTok"/>
        </w:rPr>
        <w:t xml:space="preserve">)</w:t>
      </w:r>
      <w:r>
        <w:rPr>
          <w:rStyle w:val="OperatorTok"/>
        </w:rPr>
        <w:t xml:space="preserve">;</w:t>
      </w:r>
      <w:r>
        <w:br/>
      </w:r>
      <w:r>
        <w:rPr>
          <w:rStyle w:val="CommentTok"/>
        </w:rPr>
        <w:t xml:space="preserve">// Output: Sum: 7</w:t>
      </w:r>
      <w:r>
        <w:br/>
      </w:r>
      <w:r>
        <w:rPr>
          <w:rStyle w:val="OperatorTok"/>
        </w:rPr>
        <w:t xml:space="preserve">%&gt;</w:t>
      </w:r>
    </w:p>
    <w:p>
      <w:r>
        <w:pict>
          <v:rect style="width:0;height:1.5pt" o:hralign="center" o:hrstd="t" o:hr="t"/>
        </w:pict>
      </w:r>
    </w:p>
    <w:bookmarkEnd w:id="875"/>
    <w:bookmarkEnd w:id="876"/>
    <w:bookmarkStart w:id="880" w:name="arrow-functions"/>
    <w:p>
      <w:pPr>
        <w:pStyle w:val="Heading2"/>
      </w:pPr>
      <w:r>
        <w:t xml:space="preserve">Arrow Functions</w:t>
      </w:r>
    </w:p>
    <w:bookmarkStart w:id="877" w:name="syntax-45"/>
    <w:p>
      <w:pPr>
        <w:pStyle w:val="Heading3"/>
      </w:pPr>
      <w:r>
        <w:t xml:space="preserve">Syntax</w:t>
      </w:r>
    </w:p>
    <w:p>
      <w:pPr>
        <w:pStyle w:val="SourceCode"/>
      </w:pPr>
      <w:r>
        <w:rPr>
          <w:rStyle w:val="CommentTok"/>
        </w:rPr>
        <w:t xml:space="preserve">// Concise body (expression result is implicitly returned)</w:t>
      </w:r>
      <w:r>
        <w:br/>
      </w:r>
      <w:r>
        <w:rPr>
          <w:rStyle w:val="KeywordTok"/>
        </w:rPr>
        <w:t xml:space="preserve">var</w:t>
      </w:r>
      <w:r>
        <w:rPr>
          <w:rStyle w:val="NormalTok"/>
        </w:rPr>
        <w:t xml:space="preserve"> fn </w:t>
      </w:r>
      <w:r>
        <w:rPr>
          <w:rStyle w:val="OperatorTok"/>
        </w:rPr>
        <w:t xml:space="preserve">=</w:t>
      </w:r>
      <w:r>
        <w:rPr>
          <w:rStyle w:val="NormalTok"/>
        </w:rPr>
        <w:t xml:space="preserve"> (param1</w:t>
      </w:r>
      <w:r>
        <w:rPr>
          <w:rStyle w:val="OperatorTok"/>
        </w:rPr>
        <w:t xml:space="preserve">,</w:t>
      </w:r>
      <w:r>
        <w:rPr>
          <w:rStyle w:val="NormalTok"/>
        </w:rPr>
        <w:t xml:space="preserve"> param2) </w:t>
      </w:r>
      <w:r>
        <w:rPr>
          <w:rStyle w:val="KeywordTok"/>
        </w:rPr>
        <w:t xml:space="preserve">=&gt;</w:t>
      </w:r>
      <w:r>
        <w:rPr>
          <w:rStyle w:val="NormalTok"/>
        </w:rPr>
        <w:t xml:space="preserve"> expression</w:t>
      </w:r>
      <w:r>
        <w:rPr>
          <w:rStyle w:val="OperatorTok"/>
        </w:rPr>
        <w:t xml:space="preserve">;</w:t>
      </w:r>
      <w:r>
        <w:br/>
      </w:r>
      <w:r>
        <w:br/>
      </w:r>
      <w:r>
        <w:rPr>
          <w:rStyle w:val="CommentTok"/>
        </w:rPr>
        <w:t xml:space="preserve">// Block body</w:t>
      </w:r>
      <w:r>
        <w:br/>
      </w:r>
      <w:r>
        <w:rPr>
          <w:rStyle w:val="KeywordTok"/>
        </w:rPr>
        <w:t xml:space="preserve">var</w:t>
      </w:r>
      <w:r>
        <w:rPr>
          <w:rStyle w:val="NormalTok"/>
        </w:rPr>
        <w:t xml:space="preserve"> fn </w:t>
      </w:r>
      <w:r>
        <w:rPr>
          <w:rStyle w:val="OperatorTok"/>
        </w:rPr>
        <w:t xml:space="preserve">=</w:t>
      </w:r>
      <w:r>
        <w:rPr>
          <w:rStyle w:val="NormalTok"/>
        </w:rPr>
        <w:t xml:space="preserve"> (param1</w:t>
      </w:r>
      <w:r>
        <w:rPr>
          <w:rStyle w:val="OperatorTok"/>
        </w:rPr>
        <w:t xml:space="preserve">,</w:t>
      </w:r>
      <w:r>
        <w:rPr>
          <w:rStyle w:val="NormalTok"/>
        </w:rPr>
        <w:t xml:space="preserve"> param2) </w:t>
      </w:r>
      <w:r>
        <w:rPr>
          <w:rStyle w:val="KeywordTok"/>
        </w:rPr>
        <w:t xml:space="preserve">=&gt;</w:t>
      </w:r>
      <w:r>
        <w:rPr>
          <w:rStyle w:val="NormalTok"/>
        </w:rPr>
        <w:t xml:space="preserve"> {</w:t>
      </w:r>
      <w:r>
        <w:br/>
      </w:r>
      <w:r>
        <w:rPr>
          <w:rStyle w:val="NormalTok"/>
        </w:rPr>
        <w:t xml:space="preserve">    </w:t>
      </w:r>
      <w:r>
        <w:rPr>
          <w:rStyle w:val="CommentTok"/>
        </w:rPr>
        <w:t xml:space="preserve">// statements</w:t>
      </w:r>
      <w:r>
        <w:br/>
      </w:r>
      <w:r>
        <w:rPr>
          <w:rStyle w:val="NormalTok"/>
        </w:rPr>
        <w:t xml:space="preserve">    </w:t>
      </w:r>
      <w:r>
        <w:rPr>
          <w:rStyle w:val="ControlFlowTok"/>
        </w:rPr>
        <w:t xml:space="preserve">return</w:t>
      </w:r>
      <w:r>
        <w:rPr>
          <w:rStyle w:val="NormalTok"/>
        </w:rPr>
        <w:t xml:space="preserve"> value</w:t>
      </w:r>
      <w:r>
        <w:rPr>
          <w:rStyle w:val="OperatorTok"/>
        </w:rPr>
        <w:t xml:space="preserve">;</w:t>
      </w:r>
      <w:r>
        <w:br/>
      </w:r>
      <w:r>
        <w:rPr>
          <w:rStyle w:val="NormalTok"/>
        </w:rPr>
        <w:t xml:space="preserve">}</w:t>
      </w:r>
      <w:r>
        <w:rPr>
          <w:rStyle w:val="OperatorTok"/>
        </w:rPr>
        <w:t xml:space="preserve">;</w:t>
      </w:r>
    </w:p>
    <w:bookmarkEnd w:id="877"/>
    <w:bookmarkStart w:id="878" w:name="remarks-49"/>
    <w:p>
      <w:pPr>
        <w:pStyle w:val="Heading3"/>
      </w:pPr>
      <w:r>
        <w:t xml:space="preserve">Remarks</w:t>
      </w:r>
    </w:p>
    <w:p>
      <w:pPr>
        <w:pStyle w:val="Compact"/>
        <w:numPr>
          <w:ilvl w:val="0"/>
          <w:numId w:val="1257"/>
        </w:numPr>
      </w:pPr>
      <w:r>
        <w:t xml:space="preserve">Arrow functions do not create their own</w:t>
      </w:r>
      <w:r>
        <w:t xml:space="preserve"> </w:t>
      </w:r>
      <w:r>
        <w:rPr>
          <w:rStyle w:val="VerbatimChar"/>
        </w:rPr>
        <w:t xml:space="preserve">this</w:t>
      </w:r>
      <w:r>
        <w:t xml:space="preserve"> </w:t>
      </w:r>
      <w:r>
        <w:t xml:space="preserve">binding. The value of</w:t>
      </w:r>
      <w:r>
        <w:t xml:space="preserve"> </w:t>
      </w:r>
      <w:r>
        <w:rPr>
          <w:rStyle w:val="VerbatimChar"/>
        </w:rPr>
        <w:t xml:space="preserve">this</w:t>
      </w:r>
      <w:r>
        <w:t xml:space="preserve"> </w:t>
      </w:r>
      <w:r>
        <w:t xml:space="preserve">is captured</w:t>
      </w:r>
      <w:r>
        <w:t xml:space="preserve"> </w:t>
      </w:r>
      <w:r>
        <w:rPr>
          <w:b/>
          <w:bCs/>
        </w:rPr>
        <w:t xml:space="preserve">lexically</w:t>
      </w:r>
      <w:r>
        <w:t xml:space="preserve"> </w:t>
      </w:r>
      <w:r>
        <w:t xml:space="preserve">from the enclosing scope at the time the arrow function is created. This is useful for callbacks inside constructor methods.</w:t>
      </w:r>
    </w:p>
    <w:p>
      <w:pPr>
        <w:pStyle w:val="Compact"/>
        <w:numPr>
          <w:ilvl w:val="0"/>
          <w:numId w:val="1257"/>
        </w:numPr>
      </w:pPr>
      <w:r>
        <w:t xml:space="preserve">Arrow functions cannot be used as constructors. Using</w:t>
      </w:r>
      <w:r>
        <w:t xml:space="preserve"> </w:t>
      </w:r>
      <w:r>
        <w:rPr>
          <w:rStyle w:val="VerbatimChar"/>
        </w:rPr>
        <w:t xml:space="preserve">new</w:t>
      </w:r>
      <w:r>
        <w:t xml:space="preserve"> </w:t>
      </w:r>
      <w:r>
        <w:t xml:space="preserve">with an arrow function is not supported.</w:t>
      </w:r>
    </w:p>
    <w:p>
      <w:pPr>
        <w:pStyle w:val="Compact"/>
        <w:numPr>
          <w:ilvl w:val="0"/>
          <w:numId w:val="1257"/>
        </w:numPr>
      </w:pPr>
      <w:r>
        <w:t xml:space="preserve">Single-parameter arrow functions without parentheses (e.g.,</w:t>
      </w:r>
      <w:r>
        <w:t xml:space="preserve"> </w:t>
      </w:r>
      <w:r>
        <w:rPr>
          <w:rStyle w:val="VerbatimChar"/>
        </w:rPr>
        <w:t xml:space="preserve">x =&gt; x * 2</w:t>
      </w:r>
      <w:r>
        <w:t xml:space="preserve">) are supported.</w:t>
      </w:r>
    </w:p>
    <w:p>
      <w:pPr>
        <w:pStyle w:val="Compact"/>
        <w:numPr>
          <w:ilvl w:val="0"/>
          <w:numId w:val="1257"/>
        </w:numPr>
      </w:pPr>
      <w:r>
        <w:t xml:space="preserve">Arrow functions have an</w:t>
      </w:r>
      <w:r>
        <w:t xml:space="preserve"> </w:t>
      </w:r>
      <w:r>
        <w:rPr>
          <w:rStyle w:val="VerbatimChar"/>
        </w:rPr>
        <w:t xml:space="preserve">arguments</w:t>
      </w:r>
      <w:r>
        <w:t xml:space="preserve"> </w:t>
      </w:r>
      <w:r>
        <w:t xml:space="preserve">object bound to the enclosing function’s</w:t>
      </w:r>
      <w:r>
        <w:t xml:space="preserve"> </w:t>
      </w:r>
      <w:r>
        <w:rPr>
          <w:rStyle w:val="VerbatimChar"/>
        </w:rPr>
        <w:t xml:space="preserve">arguments</w:t>
      </w:r>
      <w:r>
        <w:t xml:space="preserve">, not their own.</w:t>
      </w:r>
    </w:p>
    <w:bookmarkEnd w:id="878"/>
    <w:bookmarkStart w:id="879" w:name="code-example-34"/>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CommentTok"/>
        </w:rPr>
        <w:t xml:space="preserve">// Concise arrow function</w:t>
      </w:r>
      <w:r>
        <w:br/>
      </w:r>
      <w:r>
        <w:rPr>
          <w:rStyle w:val="KeywordTok"/>
        </w:rPr>
        <w:t xml:space="preserve">var</w:t>
      </w:r>
      <w:r>
        <w:rPr>
          <w:rStyle w:val="NormalTok"/>
        </w:rPr>
        <w:t xml:space="preserve"> square </w:t>
      </w:r>
      <w:r>
        <w:rPr>
          <w:rStyle w:val="OperatorTok"/>
        </w:rPr>
        <w:t xml:space="preserve">=</w:t>
      </w:r>
      <w:r>
        <w:rPr>
          <w:rStyle w:val="NormalTok"/>
        </w:rPr>
        <w:t xml:space="preserve"> (x) </w:t>
      </w:r>
      <w:r>
        <w:rPr>
          <w:rStyle w:val="KeywordTok"/>
        </w:rPr>
        <w:t xml:space="preserve">=&gt;</w:t>
      </w:r>
      <w:r>
        <w:rPr>
          <w:rStyle w:val="NormalTok"/>
        </w:rPr>
        <w:t xml:space="preserve"> x </w:t>
      </w:r>
      <w:r>
        <w:rPr>
          <w:rStyle w:val="OperatorTok"/>
        </w:rPr>
        <w:t xml:space="preserve">*</w:t>
      </w:r>
      <w:r>
        <w:rPr>
          <w:rStyle w:val="NormalTok"/>
        </w:rPr>
        <w:t xml:space="preserve"> x</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FunctionTok"/>
        </w:rPr>
        <w:t xml:space="preserve">square</w:t>
      </w:r>
      <w:r>
        <w:rPr>
          <w:rStyle w:val="NormalTok"/>
        </w:rPr>
        <w:t xml:space="preserve">(</w:t>
      </w:r>
      <w:r>
        <w:rPr>
          <w:rStyle w:val="DecValTok"/>
        </w:rPr>
        <w:t xml:space="preserve">5</w:t>
      </w:r>
      <w:r>
        <w:rPr>
          <w:rStyle w:val="NormalTok"/>
        </w:rPr>
        <w:t xml:space="preserve">))</w:t>
      </w:r>
      <w:r>
        <w:rPr>
          <w:rStyle w:val="OperatorTok"/>
        </w:rPr>
        <w:t xml:space="preserve">;</w:t>
      </w:r>
      <w:r>
        <w:br/>
      </w:r>
      <w:r>
        <w:rPr>
          <w:rStyle w:val="CommentTok"/>
        </w:rPr>
        <w:t xml:space="preserve">// Output: 25</w:t>
      </w:r>
      <w:r>
        <w:br/>
      </w:r>
      <w:r>
        <w:br/>
      </w:r>
      <w:r>
        <w:rPr>
          <w:rStyle w:val="CommentTok"/>
        </w:rPr>
        <w:t xml:space="preserve">// Lexical this in a constructor</w:t>
      </w:r>
      <w:r>
        <w:br/>
      </w:r>
      <w:r>
        <w:rPr>
          <w:rStyle w:val="KeywordTok"/>
        </w:rPr>
        <w:t xml:space="preserve">function</w:t>
      </w:r>
      <w:r>
        <w:rPr>
          <w:rStyle w:val="NormalTok"/>
        </w:rPr>
        <w:t xml:space="preserve"> </w:t>
      </w:r>
      <w:r>
        <w:rPr>
          <w:rStyle w:val="FunctionTok"/>
        </w:rPr>
        <w:t xml:space="preserve">Timer</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seconds</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AttributeTok"/>
        </w:rPr>
        <w:t xml:space="preserve">tick</w:t>
      </w:r>
      <w:r>
        <w:rPr>
          <w:rStyle w:val="NormalTok"/>
        </w:rPr>
        <w:t xml:space="preserve"> </w:t>
      </w:r>
      <w:r>
        <w:rPr>
          <w:rStyle w:val="OperatorTok"/>
        </w:rPr>
        <w:t xml:space="preserve">=</w:t>
      </w:r>
      <w:r>
        <w:rPr>
          <w:rStyle w:val="NormalTok"/>
        </w:rPr>
        <w:t xml:space="preserve"> </w:t>
      </w:r>
      <w:r>
        <w:rPr>
          <w:rStyle w:val="KeywordTok"/>
        </w:rPr>
        <w:t xml:space="preserve">function</w:t>
      </w:r>
      <w:r>
        <w:rPr>
          <w:rStyle w:val="NormalTok"/>
        </w:rPr>
        <w:t xml:space="preserve">() {</w:t>
      </w:r>
      <w:r>
        <w:br/>
      </w:r>
      <w:r>
        <w:rPr>
          <w:rStyle w:val="NormalTok"/>
        </w:rPr>
        <w:t xml:space="preserve">        </w:t>
      </w:r>
      <w:r>
        <w:rPr>
          <w:rStyle w:val="KeywordTok"/>
        </w:rPr>
        <w:t xml:space="preserve">var</w:t>
      </w:r>
      <w:r>
        <w:rPr>
          <w:rStyle w:val="NormalTok"/>
        </w:rPr>
        <w:t xml:space="preserve"> increment </w:t>
      </w:r>
      <w:r>
        <w:rPr>
          <w:rStyle w:val="OperatorTok"/>
        </w:rPr>
        <w:t xml:space="preserve">=</w:t>
      </w:r>
      <w:r>
        <w:rPr>
          <w:rStyle w:val="NormalTok"/>
        </w:rPr>
        <w:t xml:space="preserve"> () </w:t>
      </w:r>
      <w:r>
        <w:rPr>
          <w:rStyle w:val="KeywordTok"/>
        </w:rPr>
        <w:t xml:space="preserve">=&gt;</w:t>
      </w:r>
      <w:r>
        <w:rPr>
          <w:rStyle w:val="NormalTok"/>
        </w:rPr>
        <w:t xml:space="preserve"> { </w:t>
      </w:r>
      <w:r>
        <w:rPr>
          <w:rStyle w:val="KeywordTok"/>
        </w:rPr>
        <w:t xml:space="preserve">this</w:t>
      </w:r>
      <w:r>
        <w:rPr>
          <w:rStyle w:val="OperatorTok"/>
        </w:rPr>
        <w:t xml:space="preserve">.</w:t>
      </w:r>
      <w:r>
        <w:rPr>
          <w:rStyle w:val="AttributeTok"/>
        </w:rPr>
        <w:t xml:space="preserve">seconds</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seconds</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increment</w:t>
      </w:r>
      <w:r>
        <w:rPr>
          <w:rStyle w:val="Normal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w:t>
      </w:r>
      <w:r>
        <w:br/>
      </w:r>
      <w:r>
        <w:rPr>
          <w:rStyle w:val="KeywordTok"/>
        </w:rPr>
        <w:t xml:space="preserve">var</w:t>
      </w:r>
      <w:r>
        <w:rPr>
          <w:rStyle w:val="NormalTok"/>
        </w:rPr>
        <w:t xml:space="preserve"> t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Timer</w:t>
      </w:r>
      <w:r>
        <w:rPr>
          <w:rStyle w:val="NormalTok"/>
        </w:rPr>
        <w:t xml:space="preserve">()</w:t>
      </w:r>
      <w:r>
        <w:rPr>
          <w:rStyle w:val="OperatorTok"/>
        </w:rPr>
        <w:t xml:space="preserve">;</w:t>
      </w:r>
      <w:r>
        <w:br/>
      </w:r>
      <w:r>
        <w:rPr>
          <w:rStyle w:val="NormalTok"/>
        </w:rPr>
        <w:t xml:space="preserve">t</w:t>
      </w:r>
      <w:r>
        <w:rPr>
          <w:rStyle w:val="OperatorTok"/>
        </w:rPr>
        <w:t xml:space="preserve">.</w:t>
      </w:r>
      <w:r>
        <w:rPr>
          <w:rStyle w:val="FunctionTok"/>
        </w:rPr>
        <w:t xml:space="preserve">tick</w:t>
      </w:r>
      <w:r>
        <w:rPr>
          <w:rStyle w:val="NormalTok"/>
        </w:rPr>
        <w:t xml:space="preserve">()</w:t>
      </w:r>
      <w:r>
        <w:rPr>
          <w:rStyle w:val="OperatorTok"/>
        </w:rPr>
        <w:t xml:space="preserve">;</w:t>
      </w:r>
      <w:r>
        <w:br/>
      </w:r>
      <w:r>
        <w:rPr>
          <w:rStyle w:val="NormalTok"/>
        </w:rPr>
        <w:t xml:space="preserve">t</w:t>
      </w:r>
      <w:r>
        <w:rPr>
          <w:rStyle w:val="OperatorTok"/>
        </w:rPr>
        <w:t xml:space="preserve">.</w:t>
      </w:r>
      <w:r>
        <w:rPr>
          <w:rStyle w:val="FunctionTok"/>
        </w:rPr>
        <w:t xml:space="preserve">tick</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(t</w:t>
      </w:r>
      <w:r>
        <w:rPr>
          <w:rStyle w:val="OperatorTok"/>
        </w:rPr>
        <w:t xml:space="preserve">.</w:t>
      </w:r>
      <w:r>
        <w:rPr>
          <w:rStyle w:val="AttributeTok"/>
        </w:rPr>
        <w:t xml:space="preserve">seconds</w:t>
      </w:r>
      <w:r>
        <w:rPr>
          <w:rStyle w:val="NormalTok"/>
        </w:rPr>
        <w:t xml:space="preserve">)</w:t>
      </w:r>
      <w:r>
        <w:rPr>
          <w:rStyle w:val="OperatorTok"/>
        </w:rPr>
        <w:t xml:space="preserve">;</w:t>
      </w:r>
      <w:r>
        <w:br/>
      </w:r>
      <w:r>
        <w:rPr>
          <w:rStyle w:val="CommentTok"/>
        </w:rPr>
        <w:t xml:space="preserve">// Output: 2</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79"/>
    <w:bookmarkEnd w:id="880"/>
    <w:bookmarkStart w:id="884" w:name="default-parameter-values"/>
    <w:p>
      <w:pPr>
        <w:pStyle w:val="Heading2"/>
      </w:pPr>
      <w:r>
        <w:t xml:space="preserve">Default Parameter Values</w:t>
      </w:r>
    </w:p>
    <w:bookmarkStart w:id="881" w:name="syntax-46"/>
    <w:p>
      <w:pPr>
        <w:pStyle w:val="Heading3"/>
      </w:pPr>
      <w:r>
        <w:t xml:space="preserve">Syntax</w:t>
      </w:r>
    </w:p>
    <w:p>
      <w:pPr>
        <w:pStyle w:val="SourceCode"/>
      </w:pPr>
      <w:r>
        <w:rPr>
          <w:rStyle w:val="KeywordTok"/>
        </w:rPr>
        <w:t xml:space="preserve">function</w:t>
      </w:r>
      <w:r>
        <w:rPr>
          <w:rStyle w:val="NormalTok"/>
        </w:rPr>
        <w:t xml:space="preserve"> </w:t>
      </w:r>
      <w:r>
        <w:rPr>
          <w:rStyle w:val="FunctionTok"/>
        </w:rPr>
        <w:t xml:space="preserve">greet</w:t>
      </w:r>
      <w:r>
        <w:rPr>
          <w:rStyle w:val="NormalTok"/>
        </w:rPr>
        <w:t xml:space="preserve">(name</w:t>
      </w:r>
      <w:r>
        <w:rPr>
          <w:rStyle w:val="OperatorTok"/>
        </w:rPr>
        <w:t xml:space="preserve">,</w:t>
      </w:r>
      <w:r>
        <w:rPr>
          <w:rStyle w:val="NormalTok"/>
        </w:rPr>
        <w:t xml:space="preserve"> message </w:t>
      </w:r>
      <w:r>
        <w:rPr>
          <w:rStyle w:val="OperatorTok"/>
        </w:rPr>
        <w:t xml:space="preserve">=</w:t>
      </w:r>
      <w:r>
        <w:rPr>
          <w:rStyle w:val="NormalTok"/>
        </w:rPr>
        <w:t xml:space="preserve"> </w:t>
      </w:r>
      <w:r>
        <w:rPr>
          <w:rStyle w:val="StringTok"/>
        </w:rPr>
        <w:t xml:space="preserve">"Hello"</w:t>
      </w:r>
      <w:r>
        <w:rPr>
          <w:rStyle w:val="NormalTok"/>
        </w:rPr>
        <w:t xml:space="preserve">) {</w:t>
      </w:r>
      <w:r>
        <w:br/>
      </w:r>
      <w:r>
        <w:rPr>
          <w:rStyle w:val="NormalTok"/>
        </w:rPr>
        <w:t xml:space="preserve">    </w:t>
      </w:r>
      <w:r>
        <w:rPr>
          <w:rStyle w:val="ControlFlowTok"/>
        </w:rPr>
        <w:t xml:space="preserve">return</w:t>
      </w:r>
      <w:r>
        <w:rPr>
          <w:rStyle w:val="NormalTok"/>
        </w:rPr>
        <w:t xml:space="preserve"> message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name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w:t>
      </w:r>
    </w:p>
    <w:bookmarkEnd w:id="881"/>
    <w:bookmarkStart w:id="882" w:name="remarks-50"/>
    <w:p>
      <w:pPr>
        <w:pStyle w:val="Heading3"/>
      </w:pPr>
      <w:r>
        <w:t xml:space="preserve">Remarks</w:t>
      </w:r>
    </w:p>
    <w:p>
      <w:pPr>
        <w:pStyle w:val="Compact"/>
        <w:numPr>
          <w:ilvl w:val="0"/>
          <w:numId w:val="1258"/>
        </w:numPr>
      </w:pPr>
      <w:r>
        <w:t xml:space="preserve">Native default parameter syntax is supported (for example,</w:t>
      </w:r>
      <w:r>
        <w:t xml:space="preserve"> </w:t>
      </w:r>
      <w:r>
        <w:rPr>
          <w:rStyle w:val="VerbatimChar"/>
        </w:rPr>
        <w:t xml:space="preserve">function f(a = 10)</w:t>
      </w:r>
      <w:r>
        <w:t xml:space="preserve">).</w:t>
      </w:r>
    </w:p>
    <w:p>
      <w:pPr>
        <w:pStyle w:val="Compact"/>
        <w:numPr>
          <w:ilvl w:val="0"/>
          <w:numId w:val="1258"/>
        </w:numPr>
      </w:pPr>
      <w:r>
        <w:t xml:space="preserve">The classic guard pattern</w:t>
      </w:r>
      <w:r>
        <w:t xml:space="preserve"> </w:t>
      </w:r>
      <w:r>
        <w:rPr>
          <w:rStyle w:val="VerbatimChar"/>
        </w:rPr>
        <w:t xml:space="preserve">if (x === undefined) x = ...</w:t>
      </w:r>
      <w:r>
        <w:t xml:space="preserve"> </w:t>
      </w:r>
      <w:r>
        <w:t xml:space="preserve">is still supported and remains useful for compatibility-oriented scripts.</w:t>
      </w:r>
    </w:p>
    <w:bookmarkEnd w:id="882"/>
    <w:bookmarkStart w:id="883" w:name="code-example-35"/>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function</w:t>
      </w:r>
      <w:r>
        <w:rPr>
          <w:rStyle w:val="NormalTok"/>
        </w:rPr>
        <w:t xml:space="preserve"> </w:t>
      </w:r>
      <w:r>
        <w:rPr>
          <w:rStyle w:val="FunctionTok"/>
        </w:rPr>
        <w:t xml:space="preserve">multiply</w:t>
      </w:r>
      <w:r>
        <w:rPr>
          <w:rStyle w:val="NormalTok"/>
        </w:rPr>
        <w:t xml:space="preserve">(a</w:t>
      </w:r>
      <w:r>
        <w:rPr>
          <w:rStyle w:val="OperatorTok"/>
        </w:rPr>
        <w:t xml:space="preserve">,</w:t>
      </w:r>
      <w:r>
        <w:rPr>
          <w:rStyle w:val="NormalTok"/>
        </w:rPr>
        <w:t xml:space="preserve"> b </w:t>
      </w:r>
      <w:r>
        <w:rPr>
          <w:rStyle w:val="OperatorTok"/>
        </w:rPr>
        <w:t xml:space="preserve">=</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b</w:t>
      </w:r>
      <w:r>
        <w:rPr>
          <w:rStyle w:val="OperatorTok"/>
        </w:rPr>
        <w:t xml:space="preserve">;</w:t>
      </w:r>
      <w:r>
        <w:br/>
      </w:r>
      <w:r>
        <w:rPr>
          <w:rStyle w:val="Normal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FunctionTok"/>
        </w:rPr>
        <w:t xml:space="preserve">multiply</w:t>
      </w:r>
      <w:r>
        <w:rPr>
          <w:rStyle w:val="NormalTok"/>
        </w:rPr>
        <w:t xml:space="preserve">(</w:t>
      </w:r>
      <w:r>
        <w:rPr>
          <w:rStyle w:val="DecValTok"/>
        </w:rPr>
        <w:t xml:space="preserve">5</w:t>
      </w:r>
      <w:r>
        <w:rPr>
          <w:rStyle w:val="NormalTok"/>
        </w:rPr>
        <w:t xml:space="preserve">))</w:t>
      </w:r>
      <w:r>
        <w:rPr>
          <w:rStyle w:val="OperatorTok"/>
        </w:rPr>
        <w:t xml:space="preserve">;</w:t>
      </w:r>
      <w:r>
        <w:rPr>
          <w:rStyle w:val="NormalTok"/>
        </w:rPr>
        <w:t xml:space="preserve">      </w:t>
      </w:r>
      <w:r>
        <w:rPr>
          <w:rStyle w:val="CommentTok"/>
        </w:rPr>
        <w:t xml:space="preserve">// Output: 10</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FunctionTok"/>
        </w:rPr>
        <w:t xml:space="preserve">multiply</w:t>
      </w:r>
      <w:r>
        <w:rPr>
          <w:rStyle w:val="NormalTok"/>
        </w:rPr>
        <w:t xml:space="preserve">(</w:t>
      </w:r>
      <w:r>
        <w:rPr>
          <w:rStyle w:val="DecValTok"/>
        </w:rPr>
        <w:t xml:space="preserve">5</w:t>
      </w:r>
      <w:r>
        <w:rPr>
          <w:rStyle w:val="OperatorTok"/>
        </w:rPr>
        <w:t xml:space="preserve">,</w:t>
      </w:r>
      <w:r>
        <w:rPr>
          <w:rStyle w:val="NormalTok"/>
        </w:rPr>
        <w:t xml:space="preserve"> </w:t>
      </w:r>
      <w:r>
        <w:rPr>
          <w:rStyle w:val="DecValTok"/>
        </w:rPr>
        <w:t xml:space="preserve">3</w:t>
      </w:r>
      <w:r>
        <w:rPr>
          <w:rStyle w:val="NormalTok"/>
        </w:rPr>
        <w:t xml:space="preserve">))</w:t>
      </w:r>
      <w:r>
        <w:rPr>
          <w:rStyle w:val="OperatorTok"/>
        </w:rPr>
        <w:t xml:space="preserve">;</w:t>
      </w:r>
      <w:r>
        <w:rPr>
          <w:rStyle w:val="NormalTok"/>
        </w:rPr>
        <w:t xml:space="preserve">   </w:t>
      </w:r>
      <w:r>
        <w:rPr>
          <w:rStyle w:val="CommentTok"/>
        </w:rPr>
        <w:t xml:space="preserve">// Output: 15</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83"/>
    <w:bookmarkEnd w:id="884"/>
    <w:bookmarkStart w:id="888" w:name="tail-call-optimization-tco"/>
    <w:p>
      <w:pPr>
        <w:pStyle w:val="Heading2"/>
      </w:pPr>
      <w:r>
        <w:t xml:space="preserve">Tail Call Optimization (TCO)</w:t>
      </w:r>
    </w:p>
    <w:p>
      <w:pPr>
        <w:pStyle w:val="FirstParagraph"/>
      </w:pPr>
      <w:r>
        <w:t xml:space="preserve">The use of Tail Call Optimization</w:t>
      </w:r>
      <w:r>
        <w:t xml:space="preserve"> </w:t>
      </w:r>
      <w:r>
        <w:rPr>
          <w:b/>
          <w:bCs/>
        </w:rPr>
        <w:t xml:space="preserve">MUST BE AVOIDED</w:t>
      </w:r>
      <w:r>
        <w:t xml:space="preserve"> </w:t>
      </w:r>
      <w:r>
        <w:t xml:space="preserve">whenever possible. Although the AxonASP implementation includes several mechanisms to prevent memory overflow, the risk generally outweighs the minor gains in performance. A script not well formed can easily consume up to 4GB of memory per execution if implemented incorrectly. Tail Call Optimization is an ECMAScript 6 requirement, but even engines like V8 (Chrome) do not implement it due to the problems TCO can cause. If you choose to implement this type of code, test it thoroughly with the server to avoid the risk of exhausting your service/container memory.</w:t>
      </w:r>
    </w:p>
    <w:bookmarkStart w:id="885" w:name="syntax-47"/>
    <w:p>
      <w:pPr>
        <w:pStyle w:val="Heading3"/>
      </w:pPr>
      <w:r>
        <w:t xml:space="preserve">Syntax</w:t>
      </w:r>
    </w:p>
    <w:p>
      <w:pPr>
        <w:pStyle w:val="SourceCode"/>
      </w:pPr>
      <w:r>
        <w:rPr>
          <w:rStyle w:val="KeywordTok"/>
        </w:rPr>
        <w:t xml:space="preserve">function</w:t>
      </w:r>
      <w:r>
        <w:rPr>
          <w:rStyle w:val="NormalTok"/>
        </w:rPr>
        <w:t xml:space="preserve"> </w:t>
      </w:r>
      <w:r>
        <w:rPr>
          <w:rStyle w:val="FunctionTok"/>
        </w:rPr>
        <w:t xml:space="preserve">sum</w:t>
      </w:r>
      <w:r>
        <w:rPr>
          <w:rStyle w:val="NormalTok"/>
        </w:rPr>
        <w:t xml:space="preserve">(n</w:t>
      </w:r>
      <w:r>
        <w:rPr>
          <w:rStyle w:val="OperatorTok"/>
        </w:rPr>
        <w:t xml:space="preserve">,</w:t>
      </w:r>
      <w:r>
        <w:rPr>
          <w:rStyle w:val="NormalTok"/>
        </w:rPr>
        <w:t xml:space="preserve"> acc) {</w:t>
      </w:r>
      <w:r>
        <w:br/>
      </w:r>
      <w:r>
        <w:rPr>
          <w:rStyle w:val="NormalTok"/>
        </w:rPr>
        <w:t xml:space="preserve">    </w:t>
      </w:r>
      <w:r>
        <w:rPr>
          <w:rStyle w:val="ControlFlowTok"/>
        </w:rPr>
        <w:t xml:space="preserve">if</w:t>
      </w:r>
      <w:r>
        <w:rPr>
          <w:rStyle w:val="NormalTok"/>
        </w:rPr>
        <w:t xml:space="preserve"> (n </w:t>
      </w:r>
      <w:r>
        <w:rPr>
          <w:rStyle w:val="OperatorTok"/>
        </w:rPr>
        <w:t xml:space="preserve">===</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ControlFlowTok"/>
        </w:rPr>
        <w:t xml:space="preserve">return</w:t>
      </w:r>
      <w:r>
        <w:rPr>
          <w:rStyle w:val="NormalTok"/>
        </w:rPr>
        <w:t xml:space="preserve"> acc</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FunctionTok"/>
        </w:rPr>
        <w:t xml:space="preserve">sum</w:t>
      </w:r>
      <w:r>
        <w:rPr>
          <w:rStyle w:val="NormalTok"/>
        </w:rPr>
        <w:t xml:space="preserve">(n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acc </w:t>
      </w:r>
      <w:r>
        <w:rPr>
          <w:rStyle w:val="OperatorTok"/>
        </w:rPr>
        <w:t xml:space="preserve">+</w:t>
      </w:r>
      <w:r>
        <w:rPr>
          <w:rStyle w:val="NormalTok"/>
        </w:rPr>
        <w:t xml:space="preserve"> n)</w:t>
      </w:r>
      <w:r>
        <w:rPr>
          <w:rStyle w:val="OperatorTok"/>
        </w:rPr>
        <w:t xml:space="preserve">;</w:t>
      </w:r>
      <w:r>
        <w:br/>
      </w:r>
      <w:r>
        <w:rPr>
          <w:rStyle w:val="NormalTok"/>
        </w:rPr>
        <w:t xml:space="preserve">}</w:t>
      </w:r>
    </w:p>
    <w:bookmarkEnd w:id="885"/>
    <w:bookmarkStart w:id="886" w:name="remarks-51"/>
    <w:p>
      <w:pPr>
        <w:pStyle w:val="Heading3"/>
      </w:pPr>
      <w:r>
        <w:t xml:space="preserve">Remarks</w:t>
      </w:r>
    </w:p>
    <w:p>
      <w:pPr>
        <w:pStyle w:val="Compact"/>
        <w:numPr>
          <w:ilvl w:val="0"/>
          <w:numId w:val="1259"/>
        </w:numPr>
      </w:pPr>
      <w:r>
        <w:t xml:space="preserve">Tail-position calls in</w:t>
      </w:r>
      <w:r>
        <w:t xml:space="preserve"> </w:t>
      </w:r>
      <w:r>
        <w:rPr>
          <w:rStyle w:val="VerbatimChar"/>
        </w:rPr>
        <w:t xml:space="preserve">return</w:t>
      </w:r>
      <w:r>
        <w:t xml:space="preserve"> </w:t>
      </w:r>
      <w:r>
        <w:t xml:space="preserve">statements are optimized by the JScript VM to reuse the active function frame.</w:t>
      </w:r>
    </w:p>
    <w:p>
      <w:pPr>
        <w:pStyle w:val="Compact"/>
        <w:numPr>
          <w:ilvl w:val="0"/>
          <w:numId w:val="1259"/>
        </w:numPr>
      </w:pPr>
      <w:r>
        <w:t xml:space="preserve">The optimization currently applies to direct calls (</w:t>
      </w:r>
      <w:r>
        <w:rPr>
          <w:rStyle w:val="VerbatimChar"/>
        </w:rPr>
        <w:t xml:space="preserve">return fn(...)</w:t>
      </w:r>
      <w:r>
        <w:t xml:space="preserve">) and member calls (</w:t>
      </w:r>
      <w:r>
        <w:rPr>
          <w:rStyle w:val="VerbatimChar"/>
        </w:rPr>
        <w:t xml:space="preserve">return obj.fn(...)</w:t>
      </w:r>
      <w:r>
        <w:t xml:space="preserve">).</w:t>
      </w:r>
    </w:p>
    <w:p>
      <w:pPr>
        <w:pStyle w:val="Compact"/>
        <w:numPr>
          <w:ilvl w:val="0"/>
          <w:numId w:val="1259"/>
        </w:numPr>
      </w:pPr>
      <w:r>
        <w:t xml:space="preserve">Tail-call optimization is intentionally disabled when the</w:t>
      </w:r>
      <w:r>
        <w:t xml:space="preserve"> </w:t>
      </w:r>
      <w:r>
        <w:rPr>
          <w:rStyle w:val="VerbatimChar"/>
        </w:rPr>
        <w:t xml:space="preserve">return</w:t>
      </w:r>
      <w:r>
        <w:t xml:space="preserve"> </w:t>
      </w:r>
      <w:r>
        <w:t xml:space="preserve">statement is inside</w:t>
      </w:r>
      <w:r>
        <w:t xml:space="preserve"> </w:t>
      </w:r>
      <w:r>
        <w:rPr>
          <w:rStyle w:val="VerbatimChar"/>
        </w:rPr>
        <w:t xml:space="preserve">try</w:t>
      </w:r>
      <w:r>
        <w:t xml:space="preserve">,</w:t>
      </w:r>
      <w:r>
        <w:t xml:space="preserve"> </w:t>
      </w:r>
      <w:r>
        <w:rPr>
          <w:rStyle w:val="VerbatimChar"/>
        </w:rPr>
        <w:t xml:space="preserve">catch</w:t>
      </w:r>
      <w:r>
        <w:t xml:space="preserve">, or</w:t>
      </w:r>
      <w:r>
        <w:t xml:space="preserve"> </w:t>
      </w:r>
      <w:r>
        <w:rPr>
          <w:rStyle w:val="VerbatimChar"/>
        </w:rPr>
        <w:t xml:space="preserve">finally</w:t>
      </w:r>
      <w:r>
        <w:t xml:space="preserve"> </w:t>
      </w:r>
      <w:r>
        <w:t xml:space="preserve">blocks to preserve exception-handler semantics.</w:t>
      </w:r>
    </w:p>
    <w:p>
      <w:pPr>
        <w:pStyle w:val="Compact"/>
        <w:numPr>
          <w:ilvl w:val="0"/>
          <w:numId w:val="1259"/>
        </w:numPr>
      </w:pPr>
      <w:r>
        <w:t xml:space="preserve">If the tail-position call target resolves to a native host function, the VM executes it as a normal call and returns the result without frame reuse.</w:t>
      </w:r>
    </w:p>
    <w:p>
      <w:pPr>
        <w:pStyle w:val="Compact"/>
        <w:numPr>
          <w:ilvl w:val="0"/>
          <w:numId w:val="1259"/>
        </w:numPr>
      </w:pPr>
      <w:r>
        <w:t xml:space="preserve">Tail Call Optimization enforces a limit of 10,000 instructions; exceeding this threshold safely and automatically triggers a Stack Overflow error, halting script execution. This mechanism ensures memory stability and prevents malicious scripts from exhausting server memory.</w:t>
      </w:r>
    </w:p>
    <w:bookmarkEnd w:id="886"/>
    <w:bookmarkStart w:id="887" w:name="code-example-36"/>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function</w:t>
      </w:r>
      <w:r>
        <w:rPr>
          <w:rStyle w:val="NormalTok"/>
        </w:rPr>
        <w:t xml:space="preserve"> </w:t>
      </w:r>
      <w:r>
        <w:rPr>
          <w:rStyle w:val="FunctionTok"/>
        </w:rPr>
        <w:t xml:space="preserve">sum</w:t>
      </w:r>
      <w:r>
        <w:rPr>
          <w:rStyle w:val="NormalTok"/>
        </w:rPr>
        <w:t xml:space="preserve">(n</w:t>
      </w:r>
      <w:r>
        <w:rPr>
          <w:rStyle w:val="OperatorTok"/>
        </w:rPr>
        <w:t xml:space="preserve">,</w:t>
      </w:r>
      <w:r>
        <w:rPr>
          <w:rStyle w:val="NormalTok"/>
        </w:rPr>
        <w:t xml:space="preserve"> acc) {</w:t>
      </w:r>
      <w:r>
        <w:br/>
      </w:r>
      <w:r>
        <w:rPr>
          <w:rStyle w:val="NormalTok"/>
        </w:rPr>
        <w:t xml:space="preserve">    </w:t>
      </w:r>
      <w:r>
        <w:rPr>
          <w:rStyle w:val="ControlFlowTok"/>
        </w:rPr>
        <w:t xml:space="preserve">if</w:t>
      </w:r>
      <w:r>
        <w:rPr>
          <w:rStyle w:val="NormalTok"/>
        </w:rPr>
        <w:t xml:space="preserve"> (n </w:t>
      </w:r>
      <w:r>
        <w:rPr>
          <w:rStyle w:val="OperatorTok"/>
        </w:rPr>
        <w:t xml:space="preserve">===</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ControlFlowTok"/>
        </w:rPr>
        <w:t xml:space="preserve">return</w:t>
      </w:r>
      <w:r>
        <w:rPr>
          <w:rStyle w:val="NormalTok"/>
        </w:rPr>
        <w:t xml:space="preserve"> acc</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FunctionTok"/>
        </w:rPr>
        <w:t xml:space="preserve">sum</w:t>
      </w:r>
      <w:r>
        <w:rPr>
          <w:rStyle w:val="NormalTok"/>
        </w:rPr>
        <w:t xml:space="preserve">(n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acc </w:t>
      </w:r>
      <w:r>
        <w:rPr>
          <w:rStyle w:val="OperatorTok"/>
        </w:rPr>
        <w:t xml:space="preserve">+</w:t>
      </w:r>
      <w:r>
        <w:rPr>
          <w:rStyle w:val="NormalTok"/>
        </w:rPr>
        <w:t xml:space="preserve"> </w:t>
      </w:r>
      <w:r>
        <w:rPr>
          <w:rStyle w:val="DecValTok"/>
        </w:rPr>
        <w:t xml:space="preserve">1</w:t>
      </w:r>
      <w:r>
        <w:rPr>
          <w:rStyle w:val="NormalTok"/>
        </w:rPr>
        <w:t xml:space="preserve">)</w:t>
      </w:r>
      <w:r>
        <w:rPr>
          <w:rStyle w:val="OperatorTok"/>
        </w:rPr>
        <w:t xml:space="preserve">;</w:t>
      </w:r>
      <w:r>
        <w:br/>
      </w:r>
      <w:r>
        <w:rPr>
          <w:rStyle w:val="NormalTok"/>
        </w:rPr>
        <w:t xml:space="preserve">}</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FunctionTok"/>
        </w:rPr>
        <w:t xml:space="preserve">sum</w:t>
      </w:r>
      <w:r>
        <w:rPr>
          <w:rStyle w:val="NormalTok"/>
        </w:rPr>
        <w:t xml:space="preserve">(</w:t>
      </w:r>
      <w:r>
        <w:rPr>
          <w:rStyle w:val="DecValTok"/>
        </w:rPr>
        <w:t xml:space="preserve">100000</w:t>
      </w:r>
      <w:r>
        <w:rPr>
          <w:rStyle w:val="OperatorTok"/>
        </w:rPr>
        <w:t xml:space="preserve">,</w:t>
      </w:r>
      <w:r>
        <w:rPr>
          <w:rStyle w:val="NormalTok"/>
        </w:rPr>
        <w:t xml:space="preserve"> </w:t>
      </w:r>
      <w:r>
        <w:rPr>
          <w:rStyle w:val="DecValTok"/>
        </w:rPr>
        <w:t xml:space="preserve">0</w:t>
      </w:r>
      <w:r>
        <w:rPr>
          <w:rStyle w:val="NormalTok"/>
        </w:rPr>
        <w:t xml:space="preserve">))</w:t>
      </w:r>
      <w:r>
        <w:rPr>
          <w:rStyle w:val="OperatorTok"/>
        </w:rPr>
        <w:t xml:space="preserve">;</w:t>
      </w:r>
      <w:r>
        <w:br/>
      </w:r>
      <w:r>
        <w:rPr>
          <w:rStyle w:val="CommentTok"/>
        </w:rPr>
        <w:t xml:space="preserve">// Output: 100000</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87"/>
    <w:bookmarkEnd w:id="888"/>
    <w:bookmarkStart w:id="892" w:name="rest-parameters"/>
    <w:p>
      <w:pPr>
        <w:pStyle w:val="Heading2"/>
      </w:pPr>
      <w:r>
        <w:t xml:space="preserve">Rest Parameters</w:t>
      </w:r>
    </w:p>
    <w:bookmarkStart w:id="889" w:name="syntax-48"/>
    <w:p>
      <w:pPr>
        <w:pStyle w:val="Heading3"/>
      </w:pPr>
      <w:r>
        <w:t xml:space="preserve">Syntax</w:t>
      </w:r>
    </w:p>
    <w:p>
      <w:pPr>
        <w:pStyle w:val="SourceCode"/>
      </w:pPr>
      <w:r>
        <w:rPr>
          <w:rStyle w:val="KeywordTok"/>
        </w:rPr>
        <w:t xml:space="preserve">function</w:t>
      </w:r>
      <w:r>
        <w:rPr>
          <w:rStyle w:val="NormalTok"/>
        </w:rPr>
        <w:t xml:space="preserve"> </w:t>
      </w:r>
      <w:r>
        <w:rPr>
          <w:rStyle w:val="FunctionTok"/>
        </w:rPr>
        <w:t xml:space="preserve">fn</w:t>
      </w:r>
      <w:r>
        <w:rPr>
          <w:rStyle w:val="NormalTok"/>
        </w:rPr>
        <w:t xml:space="preserve">(first</w:t>
      </w:r>
      <w:r>
        <w:rPr>
          <w:rStyle w:val="OperatorTok"/>
        </w:rPr>
        <w:t xml:space="preserve">,</w:t>
      </w:r>
      <w:r>
        <w:rPr>
          <w:rStyle w:val="NormalTok"/>
        </w:rPr>
        <w:t xml:space="preserve"> second</w:t>
      </w:r>
      <w:r>
        <w:rPr>
          <w:rStyle w:val="OperatorTok"/>
        </w:rPr>
        <w:t xml:space="preserve">,</w:t>
      </w:r>
      <w:r>
        <w:rPr>
          <w:rStyle w:val="NormalTok"/>
        </w:rPr>
        <w:t xml:space="preserve"> </w:t>
      </w:r>
      <w:r>
        <w:rPr>
          <w:rStyle w:val="OperatorTok"/>
        </w:rPr>
        <w:t xml:space="preserve">...</w:t>
      </w:r>
      <w:r>
        <w:rPr>
          <w:rStyle w:val="NormalTok"/>
        </w:rPr>
        <w:t xml:space="preserve">rest) {</w:t>
      </w:r>
      <w:r>
        <w:br/>
      </w:r>
      <w:r>
        <w:rPr>
          <w:rStyle w:val="NormalTok"/>
        </w:rPr>
        <w:t xml:space="preserve">    </w:t>
      </w:r>
      <w:r>
        <w:rPr>
          <w:rStyle w:val="CommentTok"/>
        </w:rPr>
        <w:t xml:space="preserve">// rest is a standard array of remaining arguments</w:t>
      </w:r>
      <w:r>
        <w:br/>
      </w:r>
      <w:r>
        <w:rPr>
          <w:rStyle w:val="NormalTok"/>
        </w:rPr>
        <w:t xml:space="preserve">}</w:t>
      </w:r>
    </w:p>
    <w:bookmarkEnd w:id="889"/>
    <w:bookmarkStart w:id="890" w:name="remarks-52"/>
    <w:p>
      <w:pPr>
        <w:pStyle w:val="Heading3"/>
      </w:pPr>
      <w:r>
        <w:t xml:space="preserve">Remarks</w:t>
      </w:r>
    </w:p>
    <w:p>
      <w:pPr>
        <w:pStyle w:val="Compact"/>
        <w:numPr>
          <w:ilvl w:val="0"/>
          <w:numId w:val="1260"/>
        </w:numPr>
      </w:pPr>
      <w:r>
        <w:t xml:space="preserve">The rest parameter must be the last parameter in the function signature.</w:t>
      </w:r>
    </w:p>
    <w:p>
      <w:pPr>
        <w:pStyle w:val="Compact"/>
        <w:numPr>
          <w:ilvl w:val="0"/>
          <w:numId w:val="1260"/>
        </w:numPr>
      </w:pPr>
      <w:r>
        <w:rPr>
          <w:rStyle w:val="VerbatimChar"/>
        </w:rPr>
        <w:t xml:space="preserve">rest</w:t>
      </w:r>
      <w:r>
        <w:t xml:space="preserve"> </w:t>
      </w:r>
      <w:r>
        <w:t xml:space="preserve">is a standard JScript array and supports all array methods.</w:t>
      </w:r>
    </w:p>
    <w:p>
      <w:pPr>
        <w:pStyle w:val="Compact"/>
        <w:numPr>
          <w:ilvl w:val="0"/>
          <w:numId w:val="1260"/>
        </w:numPr>
      </w:pPr>
      <w:r>
        <w:t xml:space="preserve">Only one rest parameter is allowed per function.</w:t>
      </w:r>
    </w:p>
    <w:bookmarkEnd w:id="890"/>
    <w:bookmarkStart w:id="891" w:name="code-example-37"/>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function</w:t>
      </w:r>
      <w:r>
        <w:rPr>
          <w:rStyle w:val="NormalTok"/>
        </w:rPr>
        <w:t xml:space="preserve"> </w:t>
      </w:r>
      <w:r>
        <w:rPr>
          <w:rStyle w:val="FunctionTok"/>
        </w:rPr>
        <w:t xml:space="preserve">pack</w:t>
      </w:r>
      <w:r>
        <w:rPr>
          <w:rStyle w:val="NormalTok"/>
        </w:rPr>
        <w:t xml:space="preserve">(head</w:t>
      </w:r>
      <w:r>
        <w:rPr>
          <w:rStyle w:val="OperatorTok"/>
        </w:rPr>
        <w:t xml:space="preserve">,</w:t>
      </w:r>
      <w:r>
        <w:rPr>
          <w:rStyle w:val="NormalTok"/>
        </w:rPr>
        <w:t xml:space="preserve"> </w:t>
      </w:r>
      <w:r>
        <w:rPr>
          <w:rStyle w:val="OperatorTok"/>
        </w:rPr>
        <w:t xml:space="preserve">...</w:t>
      </w:r>
      <w:r>
        <w:rPr>
          <w:rStyle w:val="NormalTok"/>
        </w:rPr>
        <w:t xml:space="preserve">rest) {</w:t>
      </w:r>
      <w:r>
        <w:br/>
      </w:r>
      <w:r>
        <w:rPr>
          <w:rStyle w:val="NormalTok"/>
        </w:rPr>
        <w:t xml:space="preserve">    </w:t>
      </w:r>
      <w:r>
        <w:rPr>
          <w:rStyle w:val="ControlFlowTok"/>
        </w:rPr>
        <w:t xml:space="preserve">return</w:t>
      </w:r>
      <w:r>
        <w:rPr>
          <w:rStyle w:val="NormalTok"/>
        </w:rPr>
        <w:t xml:space="preserve"> head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rest</w:t>
      </w:r>
      <w:r>
        <w:rPr>
          <w:rStyle w:val="OperatorTok"/>
        </w:rPr>
        <w:t xml:space="preserve">.</w:t>
      </w:r>
      <w:r>
        <w:rPr>
          <w:rStyle w:val="AttributeTok"/>
        </w:rPr>
        <w:t xml:space="preserve">length</w:t>
      </w:r>
      <w:r>
        <w:rPr>
          <w:rStyle w:val="OperatorTok"/>
        </w:rPr>
        <w:t xml:space="preserve">;</w:t>
      </w:r>
      <w:r>
        <w:br/>
      </w:r>
      <w:r>
        <w:rPr>
          <w:rStyle w:val="Normal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FunctionTok"/>
        </w:rPr>
        <w:t xml:space="preserve">pack</w:t>
      </w:r>
      <w:r>
        <w:rPr>
          <w:rStyle w:val="NormalTok"/>
        </w:rPr>
        <w:t xml:space="preserve">(</w:t>
      </w:r>
      <w:r>
        <w:rPr>
          <w:rStyle w:val="StringTok"/>
        </w:rPr>
        <w:t xml:space="preserve">"h"</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DecValTok"/>
        </w:rPr>
        <w:t xml:space="preserve">3</w:t>
      </w:r>
      <w:r>
        <w:rPr>
          <w:rStyle w:val="NormalTok"/>
        </w:rPr>
        <w:t xml:space="preserve">))</w:t>
      </w:r>
      <w:r>
        <w:rPr>
          <w:rStyle w:val="OperatorTok"/>
        </w:rPr>
        <w:t xml:space="preserve">;</w:t>
      </w:r>
      <w:r>
        <w:br/>
      </w:r>
      <w:r>
        <w:rPr>
          <w:rStyle w:val="CommentTok"/>
        </w:rPr>
        <w:t xml:space="preserve">// Output: h:3</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91"/>
    <w:bookmarkEnd w:id="892"/>
    <w:bookmarkStart w:id="896" w:name="object-literal-property-shorthand"/>
    <w:p>
      <w:pPr>
        <w:pStyle w:val="Heading2"/>
      </w:pPr>
      <w:r>
        <w:t xml:space="preserve">Object Literal Property Shorthand</w:t>
      </w:r>
    </w:p>
    <w:bookmarkStart w:id="893" w:name="syntax-49"/>
    <w:p>
      <w:pPr>
        <w:pStyle w:val="Heading3"/>
      </w:pPr>
      <w:r>
        <w:t xml:space="preserve">Syntax</w:t>
      </w:r>
    </w:p>
    <w:p>
      <w:pPr>
        <w:pStyle w:val="SourceCode"/>
      </w:pPr>
      <w:r>
        <w:rPr>
          <w:rStyle w:val="KeywordTok"/>
        </w:rPr>
        <w:t xml:space="preserve">var</w:t>
      </w:r>
      <w:r>
        <w:rPr>
          <w:rStyle w:val="NormalTok"/>
        </w:rPr>
        <w:t xml:space="preserve"> x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KeywordTok"/>
        </w:rPr>
        <w:t xml:space="preserve">var</w:t>
      </w:r>
      <w:r>
        <w:rPr>
          <w:rStyle w:val="NormalTok"/>
        </w:rPr>
        <w:t xml:space="preserve"> y </w:t>
      </w:r>
      <w:r>
        <w:rPr>
          <w:rStyle w:val="OperatorTok"/>
        </w:rPr>
        <w:t xml:space="preserve">=</w:t>
      </w:r>
      <w:r>
        <w:rPr>
          <w:rStyle w:val="NormalTok"/>
        </w:rPr>
        <w:t xml:space="preserve"> </w:t>
      </w:r>
      <w:r>
        <w:rPr>
          <w:rStyle w:val="DecValTok"/>
        </w:rPr>
        <w:t xml:space="preserve">20</w:t>
      </w:r>
      <w:r>
        <w:rPr>
          <w:rStyle w:val="OperatorTok"/>
        </w:rPr>
        <w:t xml:space="preserve">;</w:t>
      </w:r>
      <w:r>
        <w:br/>
      </w:r>
      <w:r>
        <w:rPr>
          <w:rStyle w:val="KeywordTok"/>
        </w:rPr>
        <w:t xml:space="preserve">var</w:t>
      </w:r>
      <w:r>
        <w:rPr>
          <w:rStyle w:val="NormalTok"/>
        </w:rPr>
        <w:t xml:space="preserve"> point </w:t>
      </w:r>
      <w:r>
        <w:rPr>
          <w:rStyle w:val="OperatorTok"/>
        </w:rPr>
        <w:t xml:space="preserve">=</w:t>
      </w:r>
      <w:r>
        <w:rPr>
          <w:rStyle w:val="NormalTok"/>
        </w:rPr>
        <w:t xml:space="preserve"> { x</w:t>
      </w:r>
      <w:r>
        <w:rPr>
          <w:rStyle w:val="OperatorTok"/>
        </w:rPr>
        <w:t xml:space="preserve">,</w:t>
      </w:r>
      <w:r>
        <w:rPr>
          <w:rStyle w:val="NormalTok"/>
        </w:rPr>
        <w:t xml:space="preserve"> y }</w:t>
      </w:r>
      <w:r>
        <w:rPr>
          <w:rStyle w:val="OperatorTok"/>
        </w:rPr>
        <w:t xml:space="preserve">;</w:t>
      </w:r>
      <w:r>
        <w:rPr>
          <w:rStyle w:val="NormalTok"/>
        </w:rPr>
        <w:t xml:space="preserve"> </w:t>
      </w:r>
      <w:r>
        <w:rPr>
          <w:rStyle w:val="CommentTok"/>
        </w:rPr>
        <w:t xml:space="preserve">// equivalent to { x: x, y: y }</w:t>
      </w:r>
    </w:p>
    <w:bookmarkEnd w:id="893"/>
    <w:bookmarkStart w:id="894" w:name="remarks-53"/>
    <w:p>
      <w:pPr>
        <w:pStyle w:val="Heading3"/>
      </w:pPr>
      <w:r>
        <w:t xml:space="preserve">Remarks</w:t>
      </w:r>
    </w:p>
    <w:p>
      <w:pPr>
        <w:pStyle w:val="Compact"/>
        <w:numPr>
          <w:ilvl w:val="0"/>
          <w:numId w:val="1261"/>
        </w:numPr>
      </w:pPr>
      <w:r>
        <w:t xml:space="preserve">Shorthand property syntax is supported when the variable name and the property name are identical.</w:t>
      </w:r>
    </w:p>
    <w:p>
      <w:pPr>
        <w:pStyle w:val="Compact"/>
        <w:numPr>
          <w:ilvl w:val="0"/>
          <w:numId w:val="1261"/>
        </w:numPr>
      </w:pPr>
      <w:r>
        <w:t xml:space="preserve">Method shorthand (e.g.,</w:t>
      </w:r>
      <w:r>
        <w:t xml:space="preserve"> </w:t>
      </w:r>
      <w:r>
        <w:rPr>
          <w:rStyle w:val="VerbatimChar"/>
        </w:rPr>
        <w:t xml:space="preserve">{ greet() {} }</w:t>
      </w:r>
      <w:r>
        <w:t xml:space="preserve">) follows the same rule and is available as well.</w:t>
      </w:r>
    </w:p>
    <w:bookmarkEnd w:id="894"/>
    <w:bookmarkStart w:id="895" w:name="code-example-38"/>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x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KeywordTok"/>
        </w:rPr>
        <w:t xml:space="preserve">var</w:t>
      </w:r>
      <w:r>
        <w:rPr>
          <w:rStyle w:val="NormalTok"/>
        </w:rPr>
        <w:t xml:space="preserve"> y </w:t>
      </w:r>
      <w:r>
        <w:rPr>
          <w:rStyle w:val="OperatorTok"/>
        </w:rPr>
        <w:t xml:space="preserve">=</w:t>
      </w:r>
      <w:r>
        <w:rPr>
          <w:rStyle w:val="NormalTok"/>
        </w:rPr>
        <w:t xml:space="preserve"> </w:t>
      </w:r>
      <w:r>
        <w:rPr>
          <w:rStyle w:val="DecValTok"/>
        </w:rPr>
        <w:t xml:space="preserve">20</w:t>
      </w:r>
      <w:r>
        <w:rPr>
          <w:rStyle w:val="OperatorTok"/>
        </w:rPr>
        <w:t xml:space="preserve">;</w:t>
      </w:r>
      <w:r>
        <w:br/>
      </w:r>
      <w:r>
        <w:rPr>
          <w:rStyle w:val="KeywordTok"/>
        </w:rPr>
        <w:t xml:space="preserve">var</w:t>
      </w:r>
      <w:r>
        <w:rPr>
          <w:rStyle w:val="NormalTok"/>
        </w:rPr>
        <w:t xml:space="preserve"> p </w:t>
      </w:r>
      <w:r>
        <w:rPr>
          <w:rStyle w:val="OperatorTok"/>
        </w:rPr>
        <w:t xml:space="preserve">=</w:t>
      </w:r>
      <w:r>
        <w:rPr>
          <w:rStyle w:val="NormalTok"/>
        </w:rPr>
        <w:t xml:space="preserve"> { x</w:t>
      </w:r>
      <w:r>
        <w:rPr>
          <w:rStyle w:val="OperatorTok"/>
        </w:rPr>
        <w:t xml:space="preserve">,</w:t>
      </w:r>
      <w:r>
        <w:rPr>
          <w:rStyle w:val="NormalTok"/>
        </w:rPr>
        <w:t xml:space="preserve"> y }</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(p</w:t>
      </w:r>
      <w:r>
        <w:rPr>
          <w:rStyle w:val="OperatorTok"/>
        </w:rPr>
        <w:t xml:space="preserve">.</w:t>
      </w:r>
      <w:r>
        <w:rPr>
          <w:rStyle w:val="AttributeTok"/>
        </w:rPr>
        <w:t xml:space="preserve">x</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p</w:t>
      </w:r>
      <w:r>
        <w:rPr>
          <w:rStyle w:val="OperatorTok"/>
        </w:rPr>
        <w:t xml:space="preserve">.</w:t>
      </w:r>
      <w:r>
        <w:rPr>
          <w:rStyle w:val="AttributeTok"/>
        </w:rPr>
        <w:t xml:space="preserve">y</w:t>
      </w:r>
      <w:r>
        <w:rPr>
          <w:rStyle w:val="NormalTok"/>
        </w:rPr>
        <w:t xml:space="preserve">)</w:t>
      </w:r>
      <w:r>
        <w:rPr>
          <w:rStyle w:val="OperatorTok"/>
        </w:rPr>
        <w:t xml:space="preserve">;</w:t>
      </w:r>
      <w:r>
        <w:br/>
      </w:r>
      <w:r>
        <w:rPr>
          <w:rStyle w:val="CommentTok"/>
        </w:rPr>
        <w:t xml:space="preserve">// Output: 10,20</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95"/>
    <w:bookmarkEnd w:id="896"/>
    <w:bookmarkStart w:id="900" w:name="spread-in-array-literals"/>
    <w:p>
      <w:pPr>
        <w:pStyle w:val="Heading2"/>
      </w:pPr>
      <w:r>
        <w:t xml:space="preserve">Spread in Array Literals</w:t>
      </w:r>
    </w:p>
    <w:bookmarkStart w:id="897" w:name="syntax-50"/>
    <w:p>
      <w:pPr>
        <w:pStyle w:val="Heading3"/>
      </w:pPr>
      <w:r>
        <w:t xml:space="preserve">Syntax</w:t>
      </w:r>
    </w:p>
    <w:p>
      <w:pPr>
        <w:pStyle w:val="SourceCode"/>
      </w:pPr>
      <w:r>
        <w:rPr>
          <w:rStyle w:val="KeywordTok"/>
        </w:rPr>
        <w:t xml:space="preserve">var</w:t>
      </w:r>
      <w:r>
        <w:rPr>
          <w:rStyle w:val="NormalTok"/>
        </w:rPr>
        <w:t xml:space="preserve"> out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otherArray</w:t>
      </w:r>
      <w:r>
        <w:rPr>
          <w:rStyle w:val="OperatorTok"/>
        </w:rPr>
        <w:t xml:space="preserve">,</w:t>
      </w:r>
      <w:r>
        <w:rPr>
          <w:rStyle w:val="NormalTok"/>
        </w:rPr>
        <w:t xml:space="preserve"> </w:t>
      </w:r>
      <w:r>
        <w:rPr>
          <w:rStyle w:val="DecValTok"/>
        </w:rPr>
        <w:t xml:space="preserve">5</w:t>
      </w:r>
      <w:r>
        <w:rPr>
          <w:rStyle w:val="NormalTok"/>
        </w:rPr>
        <w:t xml:space="preserve">]</w:t>
      </w:r>
      <w:r>
        <w:rPr>
          <w:rStyle w:val="OperatorTok"/>
        </w:rPr>
        <w:t xml:space="preserve">;</w:t>
      </w:r>
    </w:p>
    <w:bookmarkEnd w:id="897"/>
    <w:bookmarkStart w:id="898" w:name="remarks-54"/>
    <w:p>
      <w:pPr>
        <w:pStyle w:val="Heading3"/>
      </w:pPr>
      <w:r>
        <w:t xml:space="preserve">Remarks</w:t>
      </w:r>
    </w:p>
    <w:p>
      <w:pPr>
        <w:pStyle w:val="Compact"/>
        <w:numPr>
          <w:ilvl w:val="0"/>
          <w:numId w:val="1262"/>
        </w:numPr>
      </w:pPr>
      <w:r>
        <w:t xml:space="preserve">Spread in array literals expands one source array-like value into individual elements.</w:t>
      </w:r>
    </w:p>
    <w:p>
      <w:pPr>
        <w:pStyle w:val="Compact"/>
        <w:numPr>
          <w:ilvl w:val="0"/>
          <w:numId w:val="1262"/>
        </w:numPr>
      </w:pPr>
      <w:r>
        <w:rPr>
          <w:rStyle w:val="VerbatimChar"/>
        </w:rPr>
        <w:t xml:space="preserve">null</w:t>
      </w:r>
      <w:r>
        <w:t xml:space="preserve"> </w:t>
      </w:r>
      <w:r>
        <w:t xml:space="preserve">and</w:t>
      </w:r>
      <w:r>
        <w:t xml:space="preserve"> </w:t>
      </w:r>
      <w:r>
        <w:rPr>
          <w:rStyle w:val="VerbatimChar"/>
        </w:rPr>
        <w:t xml:space="preserve">undefined</w:t>
      </w:r>
      <w:r>
        <w:t xml:space="preserve"> </w:t>
      </w:r>
      <w:r>
        <w:t xml:space="preserve">spread sources raise a JScript</w:t>
      </w:r>
      <w:r>
        <w:t xml:space="preserve"> </w:t>
      </w:r>
      <w:r>
        <w:rPr>
          <w:rStyle w:val="VerbatimChar"/>
        </w:rPr>
        <w:t xml:space="preserve">TypeError</w:t>
      </w:r>
      <w:r>
        <w:t xml:space="preserve">.</w:t>
      </w:r>
    </w:p>
    <w:p>
      <w:pPr>
        <w:pStyle w:val="Compact"/>
        <w:numPr>
          <w:ilvl w:val="0"/>
          <w:numId w:val="1262"/>
        </w:numPr>
      </w:pPr>
      <w:r>
        <w:t xml:space="preserve">Evaluation order is preserved left to right.</w:t>
      </w:r>
    </w:p>
    <w:bookmarkEnd w:id="898"/>
    <w:bookmarkStart w:id="899" w:name="code-example-39"/>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src </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w:t>
      </w:r>
      <w:r>
        <w:rPr>
          <w:rStyle w:val="DecValTok"/>
        </w:rPr>
        <w:t xml:space="preserve">4</w:t>
      </w:r>
      <w:r>
        <w:rPr>
          <w:rStyle w:val="NormalTok"/>
        </w:rPr>
        <w:t xml:space="preserve">]</w:t>
      </w:r>
      <w:r>
        <w:rPr>
          <w:rStyle w:val="OperatorTok"/>
        </w:rPr>
        <w:t xml:space="preserve">;</w:t>
      </w:r>
      <w:r>
        <w:br/>
      </w:r>
      <w:r>
        <w:rPr>
          <w:rStyle w:val="KeywordTok"/>
        </w:rPr>
        <w:t xml:space="preserve">var</w:t>
      </w:r>
      <w:r>
        <w:rPr>
          <w:rStyle w:val="NormalTok"/>
        </w:rPr>
        <w:t xml:space="preserve"> out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src</w:t>
      </w:r>
      <w:r>
        <w:rPr>
          <w:rStyle w:val="OperatorTok"/>
        </w:rPr>
        <w:t xml:space="preserve">,</w:t>
      </w:r>
      <w:r>
        <w:rPr>
          <w:rStyle w:val="NormalTok"/>
        </w:rPr>
        <w:t xml:space="preserve"> </w:t>
      </w:r>
      <w:r>
        <w:rPr>
          <w:rStyle w:val="DecValTok"/>
        </w:rPr>
        <w:t xml:space="preserve">5</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(out</w:t>
      </w:r>
      <w:r>
        <w:rPr>
          <w:rStyle w:val="OperatorTok"/>
        </w:rPr>
        <w:t xml:space="preserve">.</w:t>
      </w:r>
      <w:r>
        <w:rPr>
          <w:rStyle w:val="FunctionTok"/>
        </w:rPr>
        <w:t xml:space="preserve">join</w:t>
      </w:r>
      <w:r>
        <w:rPr>
          <w:rStyle w:val="NormalTok"/>
        </w:rPr>
        <w:t xml:space="preserve">(</w:t>
      </w:r>
      <w:r>
        <w:rPr>
          <w:rStyle w:val="StringTok"/>
        </w:rPr>
        <w:t xml:space="preserve">","</w:t>
      </w:r>
      <w:r>
        <w:rPr>
          <w:rStyle w:val="NormalTok"/>
        </w:rPr>
        <w:t xml:space="preserve">))</w:t>
      </w:r>
      <w:r>
        <w:rPr>
          <w:rStyle w:val="OperatorTok"/>
        </w:rPr>
        <w:t xml:space="preserve">;</w:t>
      </w:r>
      <w:r>
        <w:br/>
      </w:r>
      <w:r>
        <w:rPr>
          <w:rStyle w:val="CommentTok"/>
        </w:rPr>
        <w:t xml:space="preserve">// Output: 1,2,3,4,5</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899"/>
    <w:bookmarkEnd w:id="900"/>
    <w:bookmarkStart w:id="911" w:name="object-static-utilities"/>
    <w:p>
      <w:pPr>
        <w:pStyle w:val="Heading2"/>
      </w:pPr>
      <w:r>
        <w:t xml:space="preserve">Object Static Utilities</w:t>
      </w:r>
    </w:p>
    <w:p>
      <w:pPr>
        <w:pStyle w:val="FirstParagraph"/>
      </w:pPr>
      <w:r>
        <w:t xml:space="preserve">The following</w:t>
      </w:r>
      <w:r>
        <w:t xml:space="preserve"> </w:t>
      </w:r>
      <w:r>
        <w:rPr>
          <w:rStyle w:val="VerbatimChar"/>
        </w:rPr>
        <w:t xml:space="preserve">Object</w:t>
      </w:r>
      <w:r>
        <w:t xml:space="preserve"> </w:t>
      </w:r>
      <w:r>
        <w:t xml:space="preserve">static methods are available.</w:t>
      </w:r>
    </w:p>
    <w:bookmarkStart w:id="901" w:name="object.assigntarget-...sources"/>
    <w:p>
      <w:pPr>
        <w:pStyle w:val="Heading3"/>
      </w:pPr>
      <w:r>
        <w:rPr>
          <w:rStyle w:val="VerbatimChar"/>
        </w:rPr>
        <w:t xml:space="preserve">Object.assign(target, ...sources)</w:t>
      </w:r>
    </w:p>
    <w:p>
      <w:pPr>
        <w:pStyle w:val="FirstParagraph"/>
      </w:pPr>
      <w:r>
        <w:t xml:space="preserve">Copies enumerable own properties from each source object into</w:t>
      </w:r>
      <w:r>
        <w:t xml:space="preserve"> </w:t>
      </w:r>
      <w:r>
        <w:rPr>
          <w:rStyle w:val="VerbatimChar"/>
        </w:rPr>
        <w:t xml:space="preserve">target</w:t>
      </w:r>
      <w:r>
        <w:t xml:space="preserve">, from left to right, and returns</w:t>
      </w:r>
      <w:r>
        <w:t xml:space="preserve"> </w:t>
      </w:r>
      <w:r>
        <w:rPr>
          <w:rStyle w:val="VerbatimChar"/>
        </w:rPr>
        <w:t xml:space="preserve">target</w:t>
      </w:r>
      <w:r>
        <w:t xml:space="preserve">.</w:t>
      </w:r>
    </w:p>
    <w:bookmarkEnd w:id="901"/>
    <w:bookmarkStart w:id="902" w:name="object.keysobject"/>
    <w:p>
      <w:pPr>
        <w:pStyle w:val="Heading3"/>
      </w:pPr>
      <w:r>
        <w:rPr>
          <w:rStyle w:val="VerbatimChar"/>
        </w:rPr>
        <w:t xml:space="preserve">Object.keys(object)</w:t>
      </w:r>
    </w:p>
    <w:p>
      <w:pPr>
        <w:pStyle w:val="FirstParagraph"/>
      </w:pPr>
      <w:r>
        <w:t xml:space="preserve">Returns an array of enumerable own property names.</w:t>
      </w:r>
    </w:p>
    <w:bookmarkEnd w:id="902"/>
    <w:bookmarkStart w:id="903" w:name="object.valuesobject"/>
    <w:p>
      <w:pPr>
        <w:pStyle w:val="Heading3"/>
      </w:pPr>
      <w:r>
        <w:rPr>
          <w:rStyle w:val="VerbatimChar"/>
        </w:rPr>
        <w:t xml:space="preserve">Object.values(object)</w:t>
      </w:r>
    </w:p>
    <w:p>
      <w:pPr>
        <w:pStyle w:val="FirstParagraph"/>
      </w:pPr>
      <w:r>
        <w:t xml:space="preserve">Returns an array of enumerable own property values.</w:t>
      </w:r>
    </w:p>
    <w:bookmarkEnd w:id="903"/>
    <w:bookmarkStart w:id="904" w:name="object.entriesobject"/>
    <w:p>
      <w:pPr>
        <w:pStyle w:val="Heading3"/>
      </w:pPr>
      <w:r>
        <w:rPr>
          <w:rStyle w:val="VerbatimChar"/>
        </w:rPr>
        <w:t xml:space="preserve">Object.entries(object)</w:t>
      </w:r>
    </w:p>
    <w:p>
      <w:pPr>
        <w:pStyle w:val="FirstParagraph"/>
      </w:pPr>
      <w:r>
        <w:t xml:space="preserve">Returns an array where each item is a two-element</w:t>
      </w:r>
      <w:r>
        <w:t xml:space="preserve"> </w:t>
      </w:r>
      <w:r>
        <w:rPr>
          <w:rStyle w:val="VerbatimChar"/>
        </w:rPr>
        <w:t xml:space="preserve">[key, value]</w:t>
      </w:r>
      <w:r>
        <w:t xml:space="preserve"> </w:t>
      </w:r>
      <w:r>
        <w:t xml:space="preserve">pair for each enumerable own property.</w:t>
      </w:r>
    </w:p>
    <w:bookmarkEnd w:id="904"/>
    <w:bookmarkStart w:id="905" w:name="object.fromentriesiterable"/>
    <w:p>
      <w:pPr>
        <w:pStyle w:val="Heading3"/>
      </w:pPr>
      <w:r>
        <w:rPr>
          <w:rStyle w:val="VerbatimChar"/>
        </w:rPr>
        <w:t xml:space="preserve">Object.fromEntries(iterable)</w:t>
      </w:r>
    </w:p>
    <w:p>
      <w:pPr>
        <w:pStyle w:val="FirstParagraph"/>
      </w:pPr>
      <w:r>
        <w:t xml:space="preserve">Converts an iterable of key-value pairs (such as an array of</w:t>
      </w:r>
      <w:r>
        <w:t xml:space="preserve"> </w:t>
      </w:r>
      <w:r>
        <w:rPr>
          <w:rStyle w:val="VerbatimChar"/>
        </w:rPr>
        <w:t xml:space="preserve">[key, value]</w:t>
      </w:r>
      <w:r>
        <w:t xml:space="preserve"> </w:t>
      </w:r>
      <w:r>
        <w:t xml:space="preserve">arrays) into a new object.</w:t>
      </w:r>
    </w:p>
    <w:bookmarkEnd w:id="905"/>
    <w:bookmarkStart w:id="906" w:name="object.isvalue1-value2"/>
    <w:p>
      <w:pPr>
        <w:pStyle w:val="Heading3"/>
      </w:pPr>
      <w:r>
        <w:rPr>
          <w:rStyle w:val="VerbatimChar"/>
        </w:rPr>
        <w:t xml:space="preserve">Object.is(value1, value2)</w:t>
      </w:r>
    </w:p>
    <w:p>
      <w:pPr>
        <w:pStyle w:val="FirstParagraph"/>
      </w:pPr>
      <w:r>
        <w:t xml:space="preserve">Returns</w:t>
      </w:r>
      <w:r>
        <w:t xml:space="preserve"> </w:t>
      </w:r>
      <w:r>
        <w:rPr>
          <w:rStyle w:val="VerbatimChar"/>
        </w:rPr>
        <w:t xml:space="preserve">true</w:t>
      </w:r>
      <w:r>
        <w:t xml:space="preserve"> </w:t>
      </w:r>
      <w:r>
        <w:t xml:space="preserve">when both values are the same according to ECMAScript</w:t>
      </w:r>
      <w:r>
        <w:t xml:space="preserve"> </w:t>
      </w:r>
      <w:r>
        <w:rPr>
          <w:rStyle w:val="VerbatimChar"/>
        </w:rPr>
        <w:t xml:space="preserve">Object.is</w:t>
      </w:r>
      <w:r>
        <w:t xml:space="preserve"> </w:t>
      </w:r>
      <w:r>
        <w:t xml:space="preserve">semantics.</w:t>
      </w:r>
      <w:r>
        <w:t xml:space="preserve"> </w:t>
      </w:r>
      <w:r>
        <w:rPr>
          <w:rStyle w:val="VerbatimChar"/>
        </w:rPr>
        <w:t xml:space="preserve">NaN</w:t>
      </w:r>
      <w:r>
        <w:t xml:space="preserve"> </w:t>
      </w:r>
      <w:r>
        <w:t xml:space="preserve">compares equal to</w:t>
      </w:r>
      <w:r>
        <w:t xml:space="preserve"> </w:t>
      </w:r>
      <w:r>
        <w:rPr>
          <w:rStyle w:val="VerbatimChar"/>
        </w:rPr>
        <w:t xml:space="preserve">NaN</w:t>
      </w:r>
      <w:r>
        <w:t xml:space="preserve">, and</w:t>
      </w:r>
      <w:r>
        <w:t xml:space="preserve"> </w:t>
      </w:r>
      <w:r>
        <w:rPr>
          <w:rStyle w:val="VerbatimChar"/>
        </w:rPr>
        <w:t xml:space="preserve">+0</w:t>
      </w:r>
      <w:r>
        <w:t xml:space="preserve"> </w:t>
      </w:r>
      <w:r>
        <w:t xml:space="preserve">and</w:t>
      </w:r>
      <w:r>
        <w:t xml:space="preserve"> </w:t>
      </w:r>
      <w:r>
        <w:rPr>
          <w:rStyle w:val="VerbatimChar"/>
        </w:rPr>
        <w:t xml:space="preserve">-0</w:t>
      </w:r>
      <w:r>
        <w:t xml:space="preserve"> </w:t>
      </w:r>
      <w:r>
        <w:t xml:space="preserve">compare as different values.</w:t>
      </w:r>
    </w:p>
    <w:bookmarkEnd w:id="906"/>
    <w:bookmarkStart w:id="907" w:name="object.setprototypeofobject-prototype"/>
    <w:p>
      <w:pPr>
        <w:pStyle w:val="Heading3"/>
      </w:pPr>
      <w:r>
        <w:rPr>
          <w:rStyle w:val="VerbatimChar"/>
        </w:rPr>
        <w:t xml:space="preserve">Object.setPrototypeOf(object, prototype)</w:t>
      </w:r>
    </w:p>
    <w:p>
      <w:pPr>
        <w:pStyle w:val="FirstParagraph"/>
      </w:pPr>
      <w:r>
        <w:t xml:space="preserve">Changes the prototype of</w:t>
      </w:r>
      <w:r>
        <w:t xml:space="preserve"> </w:t>
      </w:r>
      <w:r>
        <w:rPr>
          <w:rStyle w:val="VerbatimChar"/>
        </w:rPr>
        <w:t xml:space="preserve">object</w:t>
      </w:r>
      <w:r>
        <w:t xml:space="preserve"> </w:t>
      </w:r>
      <w:r>
        <w:t xml:space="preserve">to</w:t>
      </w:r>
      <w:r>
        <w:t xml:space="preserve"> </w:t>
      </w:r>
      <w:r>
        <w:rPr>
          <w:rStyle w:val="VerbatimChar"/>
        </w:rPr>
        <w:t xml:space="preserve">prototype</w:t>
      </w:r>
      <w:r>
        <w:t xml:space="preserve"> </w:t>
      </w:r>
      <w:r>
        <w:t xml:space="preserve">when the object is extensible. Throws a</w:t>
      </w:r>
      <w:r>
        <w:t xml:space="preserve"> </w:t>
      </w:r>
      <w:r>
        <w:rPr>
          <w:rStyle w:val="VerbatimChar"/>
        </w:rPr>
        <w:t xml:space="preserve">TypeError</w:t>
      </w:r>
      <w:r>
        <w:t xml:space="preserve"> </w:t>
      </w:r>
      <w:r>
        <w:t xml:space="preserve">if the target is not an object or if its prototype cannot be changed.</w:t>
      </w:r>
    </w:p>
    <w:bookmarkEnd w:id="907"/>
    <w:bookmarkStart w:id="908" w:name="remarks-55"/>
    <w:p>
      <w:pPr>
        <w:pStyle w:val="Heading3"/>
      </w:pPr>
      <w:r>
        <w:t xml:space="preserve">Remarks</w:t>
      </w:r>
    </w:p>
    <w:p>
      <w:pPr>
        <w:pStyle w:val="Compact"/>
        <w:numPr>
          <w:ilvl w:val="0"/>
          <w:numId w:val="1263"/>
        </w:numPr>
      </w:pPr>
      <w:r>
        <w:rPr>
          <w:rStyle w:val="VerbatimChar"/>
        </w:rPr>
        <w:t xml:space="preserve">Object.assign</w:t>
      </w:r>
      <w:r>
        <w:t xml:space="preserve"> </w:t>
      </w:r>
      <w:r>
        <w:t xml:space="preserve">skips</w:t>
      </w:r>
      <w:r>
        <w:t xml:space="preserve"> </w:t>
      </w:r>
      <w:r>
        <w:rPr>
          <w:rStyle w:val="VerbatimChar"/>
        </w:rPr>
        <w:t xml:space="preserve">null</w:t>
      </w:r>
      <w:r>
        <w:t xml:space="preserve"> </w:t>
      </w:r>
      <w:r>
        <w:t xml:space="preserve">and</w:t>
      </w:r>
      <w:r>
        <w:t xml:space="preserve"> </w:t>
      </w:r>
      <w:r>
        <w:rPr>
          <w:rStyle w:val="VerbatimChar"/>
        </w:rPr>
        <w:t xml:space="preserve">undefined</w:t>
      </w:r>
      <w:r>
        <w:t xml:space="preserve"> </w:t>
      </w:r>
      <w:r>
        <w:t xml:space="preserve">sources.</w:t>
      </w:r>
    </w:p>
    <w:p>
      <w:pPr>
        <w:pStyle w:val="Compact"/>
        <w:numPr>
          <w:ilvl w:val="0"/>
          <w:numId w:val="1263"/>
        </w:numPr>
      </w:pPr>
      <w:r>
        <w:rPr>
          <w:rStyle w:val="VerbatimChar"/>
        </w:rPr>
        <w:t xml:space="preserve">Object.keys</w:t>
      </w:r>
      <w:r>
        <w:t xml:space="preserve">,</w:t>
      </w:r>
      <w:r>
        <w:t xml:space="preserve"> </w:t>
      </w:r>
      <w:r>
        <w:rPr>
          <w:rStyle w:val="VerbatimChar"/>
        </w:rPr>
        <w:t xml:space="preserve">Object.values</w:t>
      </w:r>
      <w:r>
        <w:t xml:space="preserve">, and</w:t>
      </w:r>
      <w:r>
        <w:t xml:space="preserve"> </w:t>
      </w:r>
      <w:r>
        <w:rPr>
          <w:rStyle w:val="VerbatimChar"/>
        </w:rPr>
        <w:t xml:space="preserve">Object.entries</w:t>
      </w:r>
      <w:r>
        <w:t xml:space="preserve"> </w:t>
      </w:r>
      <w:r>
        <w:t xml:space="preserve">throw a JScript</w:t>
      </w:r>
      <w:r>
        <w:t xml:space="preserve"> </w:t>
      </w:r>
      <w:r>
        <w:rPr>
          <w:rStyle w:val="VerbatimChar"/>
        </w:rPr>
        <w:t xml:space="preserve">TypeError</w:t>
      </w:r>
      <w:r>
        <w:t xml:space="preserve"> </w:t>
      </w:r>
      <w:r>
        <w:t xml:space="preserve">when called with</w:t>
      </w:r>
      <w:r>
        <w:t xml:space="preserve"> </w:t>
      </w:r>
      <w:r>
        <w:rPr>
          <w:rStyle w:val="VerbatimChar"/>
        </w:rPr>
        <w:t xml:space="preserve">null</w:t>
      </w:r>
      <w:r>
        <w:t xml:space="preserve"> </w:t>
      </w:r>
      <w:r>
        <w:t xml:space="preserve">or</w:t>
      </w:r>
      <w:r>
        <w:t xml:space="preserve"> </w:t>
      </w:r>
      <w:r>
        <w:rPr>
          <w:rStyle w:val="VerbatimChar"/>
        </w:rPr>
        <w:t xml:space="preserve">undefined</w:t>
      </w:r>
      <w:r>
        <w:t xml:space="preserve">.</w:t>
      </w:r>
    </w:p>
    <w:p>
      <w:pPr>
        <w:pStyle w:val="Compact"/>
        <w:numPr>
          <w:ilvl w:val="0"/>
          <w:numId w:val="1263"/>
        </w:numPr>
      </w:pPr>
      <w:r>
        <w:t xml:space="preserve">Return values are standard JScript arrays and are compatible with existing array operations.</w:t>
      </w:r>
    </w:p>
    <w:p>
      <w:pPr>
        <w:pStyle w:val="Compact"/>
        <w:numPr>
          <w:ilvl w:val="0"/>
          <w:numId w:val="1263"/>
        </w:numPr>
      </w:pPr>
      <w:r>
        <w:t xml:space="preserve">Symbol-keyed properties are intentionally excluded from</w:t>
      </w:r>
      <w:r>
        <w:t xml:space="preserve"> </w:t>
      </w:r>
      <w:r>
        <w:rPr>
          <w:rStyle w:val="VerbatimChar"/>
        </w:rPr>
        <w:t xml:space="preserve">Object.keys</w:t>
      </w:r>
      <w:r>
        <w:t xml:space="preserve">,</w:t>
      </w:r>
      <w:r>
        <w:t xml:space="preserve"> </w:t>
      </w:r>
      <w:r>
        <w:rPr>
          <w:rStyle w:val="VerbatimChar"/>
        </w:rPr>
        <w:t xml:space="preserve">Object.values</w:t>
      </w:r>
      <w:r>
        <w:t xml:space="preserve">, and</w:t>
      </w:r>
      <w:r>
        <w:t xml:space="preserve"> </w:t>
      </w:r>
      <w:r>
        <w:rPr>
          <w:rStyle w:val="VerbatimChar"/>
        </w:rPr>
        <w:t xml:space="preserve">Object.entries</w:t>
      </w:r>
      <w:r>
        <w:t xml:space="preserve"> </w:t>
      </w:r>
      <w:r>
        <w:t xml:space="preserve">to reduce collision risks in legacy code.</w:t>
      </w:r>
    </w:p>
    <w:bookmarkEnd w:id="908"/>
    <w:bookmarkStart w:id="909" w:name="object.getownpropertysymbolsobject"/>
    <w:p>
      <w:pPr>
        <w:pStyle w:val="Heading3"/>
      </w:pPr>
      <w:r>
        <w:rPr>
          <w:rStyle w:val="VerbatimChar"/>
        </w:rPr>
        <w:t xml:space="preserve">Object.getOwnPropertySymbols(object)</w:t>
      </w:r>
    </w:p>
    <w:p>
      <w:pPr>
        <w:pStyle w:val="FirstParagraph"/>
      </w:pPr>
      <w:r>
        <w:t xml:space="preserve">Returns an array of the object’s own symbol-keyed properties in symbol form.</w:t>
      </w:r>
    </w:p>
    <w:p>
      <w:pPr>
        <w:pStyle w:val="Compact"/>
        <w:numPr>
          <w:ilvl w:val="0"/>
          <w:numId w:val="1264"/>
        </w:numPr>
      </w:pPr>
      <w:r>
        <w:rPr>
          <w:rStyle w:val="VerbatimChar"/>
        </w:rPr>
        <w:t xml:space="preserve">Object.getOwnPropertySymbols</w:t>
      </w:r>
      <w:r>
        <w:t xml:space="preserve"> </w:t>
      </w:r>
      <w:r>
        <w:t xml:space="preserve">ignores string-keyed properties.</w:t>
      </w:r>
    </w:p>
    <w:p>
      <w:pPr>
        <w:pStyle w:val="Compact"/>
        <w:numPr>
          <w:ilvl w:val="0"/>
          <w:numId w:val="1264"/>
        </w:numPr>
      </w:pPr>
      <w:r>
        <w:t xml:space="preserve">Prototype inheritance is not included; only own properties are reported.</w:t>
      </w:r>
    </w:p>
    <w:bookmarkEnd w:id="909"/>
    <w:bookmarkStart w:id="910" w:name="code-example-40"/>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target </w:t>
      </w:r>
      <w:r>
        <w:rPr>
          <w:rStyle w:val="OperatorTok"/>
        </w:rPr>
        <w:t xml:space="preserve">=</w:t>
      </w:r>
      <w:r>
        <w:rPr>
          <w:rStyle w:val="NormalTok"/>
        </w:rPr>
        <w:t xml:space="preserve"> { </w:t>
      </w:r>
      <w:r>
        <w:rPr>
          <w:rStyle w:val="DataTypeTok"/>
        </w:rPr>
        <w:t xml:space="preserve">a</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br/>
      </w:r>
      <w:r>
        <w:rPr>
          <w:rStyle w:val="BuiltInTok"/>
        </w:rPr>
        <w:t xml:space="preserve">Object</w:t>
      </w:r>
      <w:r>
        <w:rPr>
          <w:rStyle w:val="OperatorTok"/>
        </w:rPr>
        <w:t xml:space="preserve">.</w:t>
      </w:r>
      <w:r>
        <w:rPr>
          <w:rStyle w:val="FunctionTok"/>
        </w:rPr>
        <w:t xml:space="preserve">assign</w:t>
      </w:r>
      <w:r>
        <w:rPr>
          <w:rStyle w:val="NormalTok"/>
        </w:rPr>
        <w:t xml:space="preserve">(target</w:t>
      </w:r>
      <w:r>
        <w:rPr>
          <w:rStyle w:val="OperatorTok"/>
        </w:rPr>
        <w:t xml:space="preserve">,</w:t>
      </w:r>
      <w:r>
        <w:rPr>
          <w:rStyle w:val="NormalTok"/>
        </w:rPr>
        <w:t xml:space="preserve"> { </w:t>
      </w:r>
      <w:r>
        <w:rPr>
          <w:rStyle w:val="DataTypeTok"/>
        </w:rPr>
        <w:t xml:space="preserve">b</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 </w:t>
      </w:r>
      <w:r>
        <w:rPr>
          <w:rStyle w:val="DataTypeTok"/>
        </w:rPr>
        <w:t xml:space="preserve">c</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Object</w:t>
      </w:r>
      <w:r>
        <w:rPr>
          <w:rStyle w:val="OperatorTok"/>
        </w:rPr>
        <w:t xml:space="preserve">.</w:t>
      </w:r>
      <w:r>
        <w:rPr>
          <w:rStyle w:val="FunctionTok"/>
        </w:rPr>
        <w:t xml:space="preserve">keys</w:t>
      </w:r>
      <w:r>
        <w:rPr>
          <w:rStyle w:val="NormalTok"/>
        </w:rPr>
        <w:t xml:space="preserve">(target)</w:t>
      </w:r>
      <w:r>
        <w:rPr>
          <w:rStyle w:val="OperatorTok"/>
        </w:rPr>
        <w:t xml:space="preserve">.</w:t>
      </w:r>
      <w:r>
        <w:rPr>
          <w:rStyle w:val="FunctionTok"/>
        </w:rPr>
        <w:t xml:space="preserve">join</w:t>
      </w:r>
      <w:r>
        <w:rPr>
          <w:rStyle w:val="NormalTok"/>
        </w:rPr>
        <w:t xml:space="preserve">(</w:t>
      </w:r>
      <w:r>
        <w:rPr>
          <w:rStyle w:val="StringTok"/>
        </w:rPr>
        <w:t xml:space="preserve">","</w:t>
      </w:r>
      <w:r>
        <w:rPr>
          <w:rStyle w:val="NormalTok"/>
        </w:rPr>
        <w:t xml:space="preserve">))</w:t>
      </w:r>
      <w:r>
        <w:rPr>
          <w:rStyle w:val="OperatorTok"/>
        </w:rPr>
        <w:t xml:space="preserve">;</w:t>
      </w:r>
      <w:r>
        <w:br/>
      </w:r>
      <w:r>
        <w:rPr>
          <w:rStyle w:val="CommentTok"/>
        </w:rPr>
        <w:t xml:space="preserve">// Output: a,b,c</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Object</w:t>
      </w:r>
      <w:r>
        <w:rPr>
          <w:rStyle w:val="OperatorTok"/>
        </w:rPr>
        <w:t xml:space="preserve">.</w:t>
      </w:r>
      <w:r>
        <w:rPr>
          <w:rStyle w:val="FunctionTok"/>
        </w:rPr>
        <w:t xml:space="preserve">values</w:t>
      </w:r>
      <w:r>
        <w:rPr>
          <w:rStyle w:val="NormalTok"/>
        </w:rPr>
        <w:t xml:space="preserve">(target)</w:t>
      </w:r>
      <w:r>
        <w:rPr>
          <w:rStyle w:val="OperatorTok"/>
        </w:rPr>
        <w:t xml:space="preserve">.</w:t>
      </w:r>
      <w:r>
        <w:rPr>
          <w:rStyle w:val="FunctionTok"/>
        </w:rPr>
        <w:t xml:space="preserve">join</w:t>
      </w:r>
      <w:r>
        <w:rPr>
          <w:rStyle w:val="NormalTok"/>
        </w:rPr>
        <w:t xml:space="preserve">(</w:t>
      </w:r>
      <w:r>
        <w:rPr>
          <w:rStyle w:val="StringTok"/>
        </w:rPr>
        <w:t xml:space="preserve">","</w:t>
      </w:r>
      <w:r>
        <w:rPr>
          <w:rStyle w:val="NormalTok"/>
        </w:rPr>
        <w:t xml:space="preserve">))</w:t>
      </w:r>
      <w:r>
        <w:rPr>
          <w:rStyle w:val="OperatorTok"/>
        </w:rPr>
        <w:t xml:space="preserve">;</w:t>
      </w:r>
      <w:r>
        <w:br/>
      </w:r>
      <w:r>
        <w:rPr>
          <w:rStyle w:val="CommentTok"/>
        </w:rPr>
        <w:t xml:space="preserve">// Output: 1,2,3</w:t>
      </w:r>
      <w:r>
        <w:br/>
      </w:r>
      <w:r>
        <w:br/>
      </w:r>
      <w:r>
        <w:rPr>
          <w:rStyle w:val="KeywordTok"/>
        </w:rPr>
        <w:t xml:space="preserve">var</w:t>
      </w:r>
      <w:r>
        <w:rPr>
          <w:rStyle w:val="NormalTok"/>
        </w:rPr>
        <w:t xml:space="preserve"> e </w:t>
      </w:r>
      <w:r>
        <w:rPr>
          <w:rStyle w:val="OperatorTok"/>
        </w:rPr>
        <w:t xml:space="preserve">=</w:t>
      </w:r>
      <w:r>
        <w:rPr>
          <w:rStyle w:val="NormalTok"/>
        </w:rPr>
        <w:t xml:space="preserve"> </w:t>
      </w:r>
      <w:r>
        <w:rPr>
          <w:rStyle w:val="BuiltInTok"/>
        </w:rPr>
        <w:t xml:space="preserve">Object</w:t>
      </w:r>
      <w:r>
        <w:rPr>
          <w:rStyle w:val="OperatorTok"/>
        </w:rPr>
        <w:t xml:space="preserve">.</w:t>
      </w:r>
      <w:r>
        <w:rPr>
          <w:rStyle w:val="FunctionTok"/>
        </w:rPr>
        <w:t xml:space="preserve">entries</w:t>
      </w:r>
      <w:r>
        <w:rPr>
          <w:rStyle w:val="NormalTok"/>
        </w:rPr>
        <w:t xml:space="preserve">(target)</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(e[</w:t>
      </w:r>
      <w:r>
        <w:rPr>
          <w:rStyle w:val="DecValTok"/>
        </w:rPr>
        <w:t xml:space="preserve">0</w:t>
      </w:r>
      <w:r>
        <w:rPr>
          <w:rStyle w:val="NormalTok"/>
        </w:rPr>
        <w:t xml:space="preserve">][</w:t>
      </w:r>
      <w:r>
        <w:rPr>
          <w:rStyle w:val="DecValTok"/>
        </w:rPr>
        <w:t xml:space="preserve">0</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e[</w:t>
      </w:r>
      <w:r>
        <w:rPr>
          <w:rStyle w:val="DecValTok"/>
        </w:rPr>
        <w:t xml:space="preserve">0</w:t>
      </w:r>
      <w:r>
        <w:rPr>
          <w:rStyle w:val="NormalTok"/>
        </w:rPr>
        <w:t xml:space="preserve">][</w:t>
      </w:r>
      <w:r>
        <w:rPr>
          <w:rStyle w:val="DecValTok"/>
        </w:rPr>
        <w:t xml:space="preserve">1</w:t>
      </w:r>
      <w:r>
        <w:rPr>
          <w:rStyle w:val="NormalTok"/>
        </w:rPr>
        <w:t xml:space="preserve">])</w:t>
      </w:r>
      <w:r>
        <w:rPr>
          <w:rStyle w:val="OperatorTok"/>
        </w:rPr>
        <w:t xml:space="preserve">;</w:t>
      </w:r>
      <w:r>
        <w:br/>
      </w:r>
      <w:r>
        <w:rPr>
          <w:rStyle w:val="CommentTok"/>
        </w:rPr>
        <w:t xml:space="preserve">// Output: a:1</w:t>
      </w:r>
      <w:r>
        <w:br/>
      </w:r>
      <w:r>
        <w:br/>
      </w:r>
      <w:r>
        <w:rPr>
          <w:rStyle w:val="KeywordTok"/>
        </w:rPr>
        <w:t xml:space="preserve">var</w:t>
      </w:r>
      <w:r>
        <w:rPr>
          <w:rStyle w:val="NormalTok"/>
        </w:rPr>
        <w:t xml:space="preserve"> entries </w:t>
      </w:r>
      <w:r>
        <w:rPr>
          <w:rStyle w:val="OperatorTok"/>
        </w:rPr>
        <w:t xml:space="preserve">=</w:t>
      </w:r>
      <w:r>
        <w:rPr>
          <w:rStyle w:val="NormalTok"/>
        </w:rPr>
        <w:t xml:space="preserve"> [[</w:t>
      </w:r>
      <w:r>
        <w:rPr>
          <w:rStyle w:val="StringTok"/>
        </w:rPr>
        <w:t xml:space="preserve">"x"</w:t>
      </w:r>
      <w:r>
        <w:rPr>
          <w:rStyle w:val="OperatorTok"/>
        </w:rPr>
        <w:t xml:space="preserve">,</w:t>
      </w:r>
      <w:r>
        <w:rPr>
          <w:rStyle w:val="NormalTok"/>
        </w:rPr>
        <w:t xml:space="preserve"> </w:t>
      </w:r>
      <w:r>
        <w:rPr>
          <w:rStyle w:val="DecValTok"/>
        </w:rPr>
        <w:t xml:space="preserve">10</w:t>
      </w:r>
      <w:r>
        <w:rPr>
          <w:rStyle w:val="NormalTok"/>
        </w:rPr>
        <w:t xml:space="preserve">]</w:t>
      </w:r>
      <w:r>
        <w:rPr>
          <w:rStyle w:val="OperatorTok"/>
        </w:rPr>
        <w:t xml:space="preserve">,</w:t>
      </w:r>
      <w:r>
        <w:rPr>
          <w:rStyle w:val="NormalTok"/>
        </w:rPr>
        <w:t xml:space="preserve"> [</w:t>
      </w:r>
      <w:r>
        <w:rPr>
          <w:rStyle w:val="StringTok"/>
        </w:rPr>
        <w:t xml:space="preserve">"y"</w:t>
      </w:r>
      <w:r>
        <w:rPr>
          <w:rStyle w:val="OperatorTok"/>
        </w:rPr>
        <w:t xml:space="preserve">,</w:t>
      </w:r>
      <w:r>
        <w:rPr>
          <w:rStyle w:val="NormalTok"/>
        </w:rPr>
        <w:t xml:space="preserve"> </w:t>
      </w:r>
      <w:r>
        <w:rPr>
          <w:rStyle w:val="DecValTok"/>
        </w:rPr>
        <w:t xml:space="preserve">20</w:t>
      </w:r>
      <w:r>
        <w:rPr>
          <w:rStyle w:val="NormalTok"/>
        </w:rPr>
        <w:t xml:space="preserve">]]</w:t>
      </w:r>
      <w:r>
        <w:rPr>
          <w:rStyle w:val="OperatorTok"/>
        </w:rPr>
        <w:t xml:space="preserve">;</w:t>
      </w:r>
      <w:r>
        <w:br/>
      </w:r>
      <w:r>
        <w:rPr>
          <w:rStyle w:val="KeywordTok"/>
        </w:rPr>
        <w:t xml:space="preserve">var</w:t>
      </w:r>
      <w:r>
        <w:rPr>
          <w:rStyle w:val="NormalTok"/>
        </w:rPr>
        <w:t xml:space="preserve"> obj </w:t>
      </w:r>
      <w:r>
        <w:rPr>
          <w:rStyle w:val="OperatorTok"/>
        </w:rPr>
        <w:t xml:space="preserve">=</w:t>
      </w:r>
      <w:r>
        <w:rPr>
          <w:rStyle w:val="NormalTok"/>
        </w:rPr>
        <w:t xml:space="preserve"> </w:t>
      </w:r>
      <w:r>
        <w:rPr>
          <w:rStyle w:val="BuiltInTok"/>
        </w:rPr>
        <w:t xml:space="preserve">Object</w:t>
      </w:r>
      <w:r>
        <w:rPr>
          <w:rStyle w:val="OperatorTok"/>
        </w:rPr>
        <w:t xml:space="preserve">.</w:t>
      </w:r>
      <w:r>
        <w:rPr>
          <w:rStyle w:val="FunctionTok"/>
        </w:rPr>
        <w:t xml:space="preserve">fromEntries</w:t>
      </w:r>
      <w:r>
        <w:rPr>
          <w:rStyle w:val="NormalTok"/>
        </w:rPr>
        <w:t xml:space="preserve">(entries)</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(obj</w:t>
      </w:r>
      <w:r>
        <w:rPr>
          <w:rStyle w:val="OperatorTok"/>
        </w:rPr>
        <w:t xml:space="preserve">.</w:t>
      </w:r>
      <w:r>
        <w:rPr>
          <w:rStyle w:val="AttributeTok"/>
        </w:rPr>
        <w:t xml:space="preserve">x</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obj</w:t>
      </w:r>
      <w:r>
        <w:rPr>
          <w:rStyle w:val="OperatorTok"/>
        </w:rPr>
        <w:t xml:space="preserve">.</w:t>
      </w:r>
      <w:r>
        <w:rPr>
          <w:rStyle w:val="AttributeTok"/>
        </w:rPr>
        <w:t xml:space="preserve">y</w:t>
      </w:r>
      <w:r>
        <w:rPr>
          <w:rStyle w:val="NormalTok"/>
        </w:rPr>
        <w:t xml:space="preserve">)</w:t>
      </w:r>
      <w:r>
        <w:rPr>
          <w:rStyle w:val="OperatorTok"/>
        </w:rPr>
        <w:t xml:space="preserve">;</w:t>
      </w:r>
      <w:r>
        <w:br/>
      </w:r>
      <w:r>
        <w:rPr>
          <w:rStyle w:val="CommentTok"/>
        </w:rPr>
        <w:t xml:space="preserve">// Output: 10,20</w:t>
      </w:r>
      <w:r>
        <w:br/>
      </w:r>
      <w:r>
        <w:br/>
      </w:r>
      <w:r>
        <w:rPr>
          <w:rStyle w:val="KeywordTok"/>
        </w:rPr>
        <w:t xml:space="preserve">var</w:t>
      </w:r>
      <w:r>
        <w:rPr>
          <w:rStyle w:val="NormalTok"/>
        </w:rPr>
        <w:t xml:space="preserve"> s </w:t>
      </w:r>
      <w:r>
        <w:rPr>
          <w:rStyle w:val="OperatorTok"/>
        </w:rPr>
        <w:t xml:space="preserve">=</w:t>
      </w:r>
      <w:r>
        <w:rPr>
          <w:rStyle w:val="NormalTok"/>
        </w:rPr>
        <w:t xml:space="preserve"> </w:t>
      </w:r>
      <w:r>
        <w:rPr>
          <w:rStyle w:val="BuiltInTok"/>
        </w:rPr>
        <w:t xml:space="preserve">Symbol</w:t>
      </w:r>
      <w:r>
        <w:rPr>
          <w:rStyle w:val="NormalTok"/>
        </w:rPr>
        <w:t xml:space="preserve">(</w:t>
      </w:r>
      <w:r>
        <w:rPr>
          <w:rStyle w:val="StringTok"/>
        </w:rPr>
        <w:t xml:space="preserve">"id"</w:t>
      </w:r>
      <w:r>
        <w:rPr>
          <w:rStyle w:val="NormalTok"/>
        </w:rPr>
        <w:t xml:space="preserve">)</w:t>
      </w:r>
      <w:r>
        <w:rPr>
          <w:rStyle w:val="OperatorTok"/>
        </w:rPr>
        <w:t xml:space="preserve">;</w:t>
      </w:r>
      <w:r>
        <w:br/>
      </w:r>
      <w:r>
        <w:rPr>
          <w:rStyle w:val="KeywordTok"/>
        </w:rPr>
        <w:t xml:space="preserve">var</w:t>
      </w:r>
      <w:r>
        <w:rPr>
          <w:rStyle w:val="NormalTok"/>
        </w:rPr>
        <w:t xml:space="preserve"> o </w:t>
      </w:r>
      <w:r>
        <w:rPr>
          <w:rStyle w:val="OperatorTok"/>
        </w:rPr>
        <w:t xml:space="preserve">=</w:t>
      </w:r>
      <w:r>
        <w:rPr>
          <w:rStyle w:val="NormalTok"/>
        </w:rPr>
        <w:t xml:space="preserve"> {}</w:t>
      </w:r>
      <w:r>
        <w:rPr>
          <w:rStyle w:val="OperatorTok"/>
        </w:rPr>
        <w:t xml:space="preserve">;</w:t>
      </w:r>
      <w:r>
        <w:br/>
      </w:r>
      <w:r>
        <w:rPr>
          <w:rStyle w:val="BuiltInTok"/>
        </w:rPr>
        <w:t xml:space="preserve">Object</w:t>
      </w:r>
      <w:r>
        <w:rPr>
          <w:rStyle w:val="OperatorTok"/>
        </w:rPr>
        <w:t xml:space="preserve">.</w:t>
      </w:r>
      <w:r>
        <w:rPr>
          <w:rStyle w:val="FunctionTok"/>
        </w:rPr>
        <w:t xml:space="preserve">setPrototypeOf</w:t>
      </w:r>
      <w:r>
        <w:rPr>
          <w:rStyle w:val="NormalTok"/>
        </w:rPr>
        <w:t xml:space="preserve">(o</w:t>
      </w:r>
      <w:r>
        <w:rPr>
          <w:rStyle w:val="OperatorTok"/>
        </w:rPr>
        <w:t xml:space="preserve">,</w:t>
      </w:r>
      <w:r>
        <w:rPr>
          <w:rStyle w:val="NormalTok"/>
        </w:rPr>
        <w:t xml:space="preserve"> { </w:t>
      </w:r>
      <w:r>
        <w:rPr>
          <w:rStyle w:val="DataTypeTok"/>
        </w:rPr>
        <w:t xml:space="preserve">inherited</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br/>
      </w:r>
      <w:r>
        <w:rPr>
          <w:rStyle w:val="NormalTok"/>
        </w:rPr>
        <w:t xml:space="preserve">o[s] </w:t>
      </w:r>
      <w:r>
        <w:rPr>
          <w:rStyle w:val="OperatorTok"/>
        </w:rPr>
        <w:t xml:space="preserve">=</w:t>
      </w:r>
      <w:r>
        <w:rPr>
          <w:rStyle w:val="NormalTok"/>
        </w:rPr>
        <w:t xml:space="preserve"> </w:t>
      </w:r>
      <w:r>
        <w:rPr>
          <w:rStyle w:val="DecValTok"/>
        </w:rPr>
        <w:t xml:space="preserve">99</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Object</w:t>
      </w:r>
      <w:r>
        <w:rPr>
          <w:rStyle w:val="OperatorTok"/>
        </w:rPr>
        <w:t xml:space="preserve">.</w:t>
      </w:r>
      <w:r>
        <w:rPr>
          <w:rStyle w:val="FunctionTok"/>
        </w:rPr>
        <w:t xml:space="preserve">is</w:t>
      </w:r>
      <w:r>
        <w:rPr>
          <w:rStyle w:val="NormalTok"/>
        </w:rPr>
        <w:t xml:space="preserve">(</w:t>
      </w:r>
      <w:r>
        <w:rPr>
          <w:rStyle w:val="KeywordTok"/>
        </w:rPr>
        <w:t xml:space="preserve">NaN</w:t>
      </w:r>
      <w:r>
        <w:rPr>
          <w:rStyle w:val="OperatorTok"/>
        </w:rPr>
        <w:t xml:space="preserve">,</w:t>
      </w:r>
      <w:r>
        <w:rPr>
          <w:rStyle w:val="NormalTok"/>
        </w:rPr>
        <w:t xml:space="preserve"> </w:t>
      </w:r>
      <w:r>
        <w:rPr>
          <w:rStyle w:val="KeywordTok"/>
        </w:rPr>
        <w:t xml:space="preserve">NaN</w:t>
      </w:r>
      <w:r>
        <w:rPr>
          <w:rStyle w:val="NormalTok"/>
        </w:rPr>
        <w:t xml:space="preserve">))</w:t>
      </w:r>
      <w:r>
        <w:rPr>
          <w:rStyle w:val="OperatorTok"/>
        </w:rPr>
        <w:t xml:space="preserve">;</w:t>
      </w:r>
      <w:r>
        <w:br/>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Object</w:t>
      </w:r>
      <w:r>
        <w:rPr>
          <w:rStyle w:val="OperatorTok"/>
        </w:rPr>
        <w:t xml:space="preserve">.</w:t>
      </w:r>
      <w:r>
        <w:rPr>
          <w:rStyle w:val="FunctionTok"/>
        </w:rPr>
        <w:t xml:space="preserve">getOwnPropertySymbols</w:t>
      </w:r>
      <w:r>
        <w:rPr>
          <w:rStyle w:val="NormalTok"/>
        </w:rPr>
        <w:t xml:space="preserve">(o)</w:t>
      </w:r>
      <w:r>
        <w:rPr>
          <w:rStyle w:val="OperatorTok"/>
        </w:rPr>
        <w:t xml:space="preserve">.</w:t>
      </w:r>
      <w:r>
        <w:rPr>
          <w:rStyle w:val="AttributeTok"/>
        </w:rPr>
        <w:t xml:space="preserve">length</w:t>
      </w:r>
      <w:r>
        <w:rPr>
          <w:rStyle w:val="NormalTok"/>
        </w:rPr>
        <w:t xml:space="preserve">)</w:t>
      </w:r>
      <w:r>
        <w:rPr>
          <w:rStyle w:val="OperatorTok"/>
        </w:rPr>
        <w:t xml:space="preserve">;</w:t>
      </w:r>
      <w:r>
        <w:br/>
      </w:r>
      <w:r>
        <w:rPr>
          <w:rStyle w:val="CommentTok"/>
        </w:rPr>
        <w:t xml:space="preserve">// Output: 1</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10"/>
    <w:bookmarkEnd w:id="911"/>
    <w:bookmarkStart w:id="916" w:name="property-reflection-helpers"/>
    <w:p>
      <w:pPr>
        <w:pStyle w:val="Heading2"/>
      </w:pPr>
      <w:r>
        <w:t xml:space="preserve">Property Reflection Helpers</w:t>
      </w:r>
    </w:p>
    <w:bookmarkStart w:id="912" w:name="Xce8408d727a1fd4eb86cce854914a876308aec6"/>
    <w:p>
      <w:pPr>
        <w:pStyle w:val="Heading3"/>
      </w:pPr>
      <w:r>
        <w:rPr>
          <w:rStyle w:val="VerbatimChar"/>
        </w:rPr>
        <w:t xml:space="preserve">Object.getOwnPropertyDescriptor(object, propertyName)</w:t>
      </w:r>
    </w:p>
    <w:p>
      <w:pPr>
        <w:pStyle w:val="FirstParagraph"/>
      </w:pPr>
      <w:r>
        <w:t xml:space="preserve">Returns the property descriptor for an own property of</w:t>
      </w:r>
      <w:r>
        <w:t xml:space="preserve"> </w:t>
      </w:r>
      <w:r>
        <w:rPr>
          <w:rStyle w:val="VerbatimChar"/>
        </w:rPr>
        <w:t xml:space="preserve">object</w:t>
      </w:r>
      <w:r>
        <w:t xml:space="preserve">. The descriptor object contains the following fields:</w:t>
      </w:r>
      <w:r>
        <w:t xml:space="preserve"> </w:t>
      </w:r>
      <w:r>
        <w:rPr>
          <w:rStyle w:val="VerbatimChar"/>
        </w:rPr>
        <w:t xml:space="preserve">value</w:t>
      </w:r>
      <w:r>
        <w:t xml:space="preserve">,</w:t>
      </w:r>
      <w:r>
        <w:t xml:space="preserve"> </w:t>
      </w:r>
      <w:r>
        <w:rPr>
          <w:rStyle w:val="VerbatimChar"/>
        </w:rPr>
        <w:t xml:space="preserve">writable</w:t>
      </w:r>
      <w:r>
        <w:t xml:space="preserve">,</w:t>
      </w:r>
      <w:r>
        <w:t xml:space="preserve"> </w:t>
      </w:r>
      <w:r>
        <w:rPr>
          <w:rStyle w:val="VerbatimChar"/>
        </w:rPr>
        <w:t xml:space="preserve">enumerable</w:t>
      </w:r>
      <w:r>
        <w:t xml:space="preserve">, and</w:t>
      </w:r>
      <w:r>
        <w:t xml:space="preserve"> </w:t>
      </w:r>
      <w:r>
        <w:rPr>
          <w:rStyle w:val="VerbatimChar"/>
        </w:rPr>
        <w:t xml:space="preserve">configurable</w:t>
      </w:r>
      <w:r>
        <w:t xml:space="preserve">.</w:t>
      </w:r>
    </w:p>
    <w:bookmarkEnd w:id="912"/>
    <w:bookmarkStart w:id="913" w:name="object.getownpropertydescriptorsobject"/>
    <w:p>
      <w:pPr>
        <w:pStyle w:val="Heading3"/>
      </w:pPr>
      <w:r>
        <w:rPr>
          <w:rStyle w:val="VerbatimChar"/>
        </w:rPr>
        <w:t xml:space="preserve">Object.getOwnPropertyDescriptors(object)</w:t>
      </w:r>
    </w:p>
    <w:p>
      <w:pPr>
        <w:pStyle w:val="FirstParagraph"/>
      </w:pPr>
      <w:r>
        <w:t xml:space="preserve">Returns an object whose own properties are the property descriptors for all own properties of</w:t>
      </w:r>
      <w:r>
        <w:t xml:space="preserve"> </w:t>
      </w:r>
      <w:r>
        <w:rPr>
          <w:rStyle w:val="VerbatimChar"/>
        </w:rPr>
        <w:t xml:space="preserve">object</w:t>
      </w:r>
      <w:r>
        <w:t xml:space="preserve">. Each key maps to the same descriptor structure returned by</w:t>
      </w:r>
      <w:r>
        <w:t xml:space="preserve"> </w:t>
      </w:r>
      <w:r>
        <w:rPr>
          <w:rStyle w:val="VerbatimChar"/>
        </w:rPr>
        <w:t xml:space="preserve">Object.getOwnPropertyDescriptor</w:t>
      </w:r>
      <w:r>
        <w:t xml:space="preserve">.</w:t>
      </w:r>
    </w:p>
    <w:bookmarkEnd w:id="913"/>
    <w:bookmarkStart w:id="914" w:name="remarks-56"/>
    <w:p>
      <w:pPr>
        <w:pStyle w:val="Heading3"/>
      </w:pPr>
      <w:r>
        <w:t xml:space="preserve">Remarks</w:t>
      </w:r>
    </w:p>
    <w:p>
      <w:pPr>
        <w:pStyle w:val="Compact"/>
        <w:numPr>
          <w:ilvl w:val="0"/>
          <w:numId w:val="1265"/>
        </w:numPr>
      </w:pPr>
      <w:r>
        <w:t xml:space="preserve">Both methods operate only on own properties. Inherited properties are not reported.</w:t>
      </w:r>
    </w:p>
    <w:p>
      <w:pPr>
        <w:pStyle w:val="Compact"/>
        <w:numPr>
          <w:ilvl w:val="0"/>
          <w:numId w:val="1265"/>
        </w:numPr>
      </w:pPr>
      <w:r>
        <w:t xml:space="preserve">Symbol-keyed internals follow the same visibility constraints as</w:t>
      </w:r>
      <w:r>
        <w:t xml:space="preserve"> </w:t>
      </w:r>
      <w:r>
        <w:rPr>
          <w:rStyle w:val="VerbatimChar"/>
        </w:rPr>
        <w:t xml:space="preserve">Object.keys</w:t>
      </w:r>
      <w:r>
        <w:t xml:space="preserve"> </w:t>
      </w:r>
      <w:r>
        <w:t xml:space="preserve">and are not included in the result.</w:t>
      </w:r>
    </w:p>
    <w:p>
      <w:pPr>
        <w:pStyle w:val="Compact"/>
        <w:numPr>
          <w:ilvl w:val="0"/>
          <w:numId w:val="1265"/>
        </w:numPr>
      </w:pPr>
      <w:r>
        <w:rPr>
          <w:rStyle w:val="VerbatimChar"/>
        </w:rPr>
        <w:t xml:space="preserve">Object.defineProperty</w:t>
      </w:r>
      <w:r>
        <w:t xml:space="preserve"> </w:t>
      </w:r>
      <w:r>
        <w:t xml:space="preserve">is available and can be used to define non-enumerable or read-only properties before inspecting them with these helpers.</w:t>
      </w:r>
    </w:p>
    <w:bookmarkEnd w:id="914"/>
    <w:bookmarkStart w:id="915" w:name="code-example-41"/>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o </w:t>
      </w:r>
      <w:r>
        <w:rPr>
          <w:rStyle w:val="OperatorTok"/>
        </w:rPr>
        <w:t xml:space="preserve">=</w:t>
      </w:r>
      <w:r>
        <w:rPr>
          <w:rStyle w:val="NormalTok"/>
        </w:rPr>
        <w:t xml:space="preserve"> {}</w:t>
      </w:r>
      <w:r>
        <w:rPr>
          <w:rStyle w:val="OperatorTok"/>
        </w:rPr>
        <w:t xml:space="preserve">;</w:t>
      </w:r>
      <w:r>
        <w:br/>
      </w:r>
      <w:r>
        <w:rPr>
          <w:rStyle w:val="BuiltInTok"/>
        </w:rPr>
        <w:t xml:space="preserve">Object</w:t>
      </w:r>
      <w:r>
        <w:rPr>
          <w:rStyle w:val="OperatorTok"/>
        </w:rPr>
        <w:t xml:space="preserve">.</w:t>
      </w:r>
      <w:r>
        <w:rPr>
          <w:rStyle w:val="FunctionTok"/>
        </w:rPr>
        <w:t xml:space="preserve">defineProperty</w:t>
      </w:r>
      <w:r>
        <w:rPr>
          <w:rStyle w:val="NormalTok"/>
        </w:rPr>
        <w:t xml:space="preserve">(o</w:t>
      </w:r>
      <w:r>
        <w:rPr>
          <w:rStyle w:val="OperatorTok"/>
        </w:rPr>
        <w:t xml:space="preserve">,</w:t>
      </w:r>
      <w:r>
        <w:rPr>
          <w:rStyle w:val="NormalTok"/>
        </w:rPr>
        <w:t xml:space="preserve"> </w:t>
      </w:r>
      <w:r>
        <w:rPr>
          <w:rStyle w:val="StringTok"/>
        </w:rPr>
        <w:t xml:space="preserve">"hidden"</w:t>
      </w:r>
      <w:r>
        <w:rPr>
          <w:rStyle w:val="OperatorTok"/>
        </w:rPr>
        <w:t xml:space="preserve">,</w:t>
      </w:r>
      <w:r>
        <w:rPr>
          <w:rStyle w:val="NormalTok"/>
        </w:rPr>
        <w:t xml:space="preserve"> {</w:t>
      </w:r>
      <w:r>
        <w:br/>
      </w:r>
      <w:r>
        <w:rPr>
          <w:rStyle w:val="NormalTok"/>
        </w:rPr>
        <w:t xml:space="preserve">    </w:t>
      </w:r>
      <w:r>
        <w:rPr>
          <w:rStyle w:val="DataTypeTok"/>
        </w:rPr>
        <w:t xml:space="preserve">value</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w:t>
      </w:r>
      <w:r>
        <w:rPr>
          <w:rStyle w:val="DataTypeTok"/>
        </w:rPr>
        <w:t xml:space="preserve">writable</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NormalTok"/>
        </w:rPr>
        <w:t xml:space="preserve">    </w:t>
      </w:r>
      <w:r>
        <w:rPr>
          <w:rStyle w:val="DataTypeTok"/>
        </w:rPr>
        <w:t xml:space="preserve">enumerable</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NormalTok"/>
        </w:rPr>
        <w:t xml:space="preserve">    </w:t>
      </w:r>
      <w:r>
        <w:rPr>
          <w:rStyle w:val="DataTypeTok"/>
        </w:rPr>
        <w:t xml:space="preserve">configurable</w:t>
      </w:r>
      <w:r>
        <w:rPr>
          <w:rStyle w:val="OperatorTok"/>
        </w:rPr>
        <w:t xml:space="preserve">:</w:t>
      </w:r>
      <w:r>
        <w:rPr>
          <w:rStyle w:val="NormalTok"/>
        </w:rPr>
        <w:t xml:space="preserve"> </w:t>
      </w:r>
      <w:r>
        <w:rPr>
          <w:rStyle w:val="KeywordTok"/>
        </w:rPr>
        <w:t xml:space="preserve">false</w:t>
      </w:r>
      <w:r>
        <w:br/>
      </w:r>
      <w:r>
        <w:rPr>
          <w:rStyle w:val="NormalTok"/>
        </w:rPr>
        <w:t xml:space="preserve">})</w:t>
      </w:r>
      <w:r>
        <w:rPr>
          <w:rStyle w:val="OperatorTok"/>
        </w:rPr>
        <w:t xml:space="preserve">;</w:t>
      </w:r>
      <w:r>
        <w:br/>
      </w:r>
      <w:r>
        <w:rPr>
          <w:rStyle w:val="KeywordTok"/>
        </w:rPr>
        <w:t xml:space="preserve">var</w:t>
      </w:r>
      <w:r>
        <w:rPr>
          <w:rStyle w:val="NormalTok"/>
        </w:rPr>
        <w:t xml:space="preserve"> d </w:t>
      </w:r>
      <w:r>
        <w:rPr>
          <w:rStyle w:val="OperatorTok"/>
        </w:rPr>
        <w:t xml:space="preserve">=</w:t>
      </w:r>
      <w:r>
        <w:rPr>
          <w:rStyle w:val="NormalTok"/>
        </w:rPr>
        <w:t xml:space="preserve"> </w:t>
      </w:r>
      <w:r>
        <w:rPr>
          <w:rStyle w:val="BuiltInTok"/>
        </w:rPr>
        <w:t xml:space="preserve">Object</w:t>
      </w:r>
      <w:r>
        <w:rPr>
          <w:rStyle w:val="OperatorTok"/>
        </w:rPr>
        <w:t xml:space="preserve">.</w:t>
      </w:r>
      <w:r>
        <w:rPr>
          <w:rStyle w:val="FunctionTok"/>
        </w:rPr>
        <w:t xml:space="preserve">getOwnPropertyDescriptor</w:t>
      </w:r>
      <w:r>
        <w:rPr>
          <w:rStyle w:val="NormalTok"/>
        </w:rPr>
        <w:t xml:space="preserve">(o</w:t>
      </w:r>
      <w:r>
        <w:rPr>
          <w:rStyle w:val="OperatorTok"/>
        </w:rPr>
        <w:t xml:space="preserve">,</w:t>
      </w:r>
      <w:r>
        <w:rPr>
          <w:rStyle w:val="NormalTok"/>
        </w:rPr>
        <w:t xml:space="preserve"> </w:t>
      </w:r>
      <w:r>
        <w:rPr>
          <w:rStyle w:val="StringTok"/>
        </w:rPr>
        <w:t xml:space="preserve">"hidden"</w:t>
      </w:r>
      <w:r>
        <w:rPr>
          <w:rStyle w:val="NormalTok"/>
        </w:rPr>
        <w:t xml:space="preserve">)</w:t>
      </w:r>
      <w:r>
        <w:rPr>
          <w:rStyle w:val="OperatorTok"/>
        </w:rPr>
        <w:t xml:space="preserve">;</w:t>
      </w:r>
      <w:r>
        <w:br/>
      </w:r>
      <w:r>
        <w:rPr>
          <w:rStyle w:val="KeywordTok"/>
        </w:rPr>
        <w:t xml:space="preserve">var</w:t>
      </w:r>
      <w:r>
        <w:rPr>
          <w:rStyle w:val="NormalTok"/>
        </w:rPr>
        <w:t xml:space="preserve"> all </w:t>
      </w:r>
      <w:r>
        <w:rPr>
          <w:rStyle w:val="OperatorTok"/>
        </w:rPr>
        <w:t xml:space="preserve">=</w:t>
      </w:r>
      <w:r>
        <w:rPr>
          <w:rStyle w:val="NormalTok"/>
        </w:rPr>
        <w:t xml:space="preserve"> </w:t>
      </w:r>
      <w:r>
        <w:rPr>
          <w:rStyle w:val="BuiltInTok"/>
        </w:rPr>
        <w:t xml:space="preserve">Object</w:t>
      </w:r>
      <w:r>
        <w:rPr>
          <w:rStyle w:val="OperatorTok"/>
        </w:rPr>
        <w:t xml:space="preserve">.</w:t>
      </w:r>
      <w:r>
        <w:rPr>
          <w:rStyle w:val="FunctionTok"/>
        </w:rPr>
        <w:t xml:space="preserve">getOwnPropertyDescriptors</w:t>
      </w:r>
      <w:r>
        <w:rPr>
          <w:rStyle w:val="NormalTok"/>
        </w:rPr>
        <w:t xml:space="preserve">(o)</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(d</w:t>
      </w:r>
      <w:r>
        <w:rPr>
          <w:rStyle w:val="OperatorTok"/>
        </w:rPr>
        <w:t xml:space="preserve">.</w:t>
      </w:r>
      <w:r>
        <w:rPr>
          <w:rStyle w:val="AttributeTok"/>
        </w:rPr>
        <w:t xml:space="preserve">value</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all</w:t>
      </w:r>
      <w:r>
        <w:rPr>
          <w:rStyle w:val="OperatorTok"/>
        </w:rPr>
        <w:t xml:space="preserve">.</w:t>
      </w:r>
      <w:r>
        <w:rPr>
          <w:rStyle w:val="AttributeTok"/>
        </w:rPr>
        <w:t xml:space="preserve">hidden</w:t>
      </w:r>
      <w:r>
        <w:rPr>
          <w:rStyle w:val="OperatorTok"/>
        </w:rPr>
        <w:t xml:space="preserve">.</w:t>
      </w:r>
      <w:r>
        <w:rPr>
          <w:rStyle w:val="AttributeTok"/>
        </w:rPr>
        <w:t xml:space="preserve">writable</w:t>
      </w:r>
      <w:r>
        <w:rPr>
          <w:rStyle w:val="NormalTok"/>
        </w:rPr>
        <w:t xml:space="preserve">)</w:t>
      </w:r>
      <w:r>
        <w:rPr>
          <w:rStyle w:val="OperatorTok"/>
        </w:rPr>
        <w:t xml:space="preserve">;</w:t>
      </w:r>
      <w:r>
        <w:br/>
      </w:r>
      <w:r>
        <w:rPr>
          <w:rStyle w:val="CommentTok"/>
        </w:rPr>
        <w:t xml:space="preserve">// Output: 10|false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15"/>
    <w:bookmarkEnd w:id="916"/>
    <w:bookmarkStart w:id="920" w:name="array-search-utilities"/>
    <w:p>
      <w:pPr>
        <w:pStyle w:val="Heading2"/>
      </w:pPr>
      <w:r>
        <w:t xml:space="preserve">Array Search Utilities</w:t>
      </w:r>
    </w:p>
    <w:bookmarkStart w:id="917" w:name="array.prototype.findcallback-thisarg"/>
    <w:p>
      <w:pPr>
        <w:pStyle w:val="Heading3"/>
      </w:pPr>
      <w:r>
        <w:rPr>
          <w:rStyle w:val="VerbatimChar"/>
        </w:rPr>
        <w:t xml:space="preserve">Array.prototype.find(callback[, thisArg])</w:t>
      </w:r>
    </w:p>
    <w:p>
      <w:pPr>
        <w:pStyle w:val="FirstParagraph"/>
      </w:pPr>
      <w:r>
        <w:t xml:space="preserve">Returns the first element that satisfies</w:t>
      </w:r>
      <w:r>
        <w:t xml:space="preserve"> </w:t>
      </w:r>
      <w:r>
        <w:rPr>
          <w:rStyle w:val="VerbatimChar"/>
        </w:rPr>
        <w:t xml:space="preserve">callback</w:t>
      </w:r>
      <w:r>
        <w:t xml:space="preserve">. Returns</w:t>
      </w:r>
      <w:r>
        <w:t xml:space="preserve"> </w:t>
      </w:r>
      <w:r>
        <w:rPr>
          <w:rStyle w:val="VerbatimChar"/>
        </w:rPr>
        <w:t xml:space="preserve">undefined</w:t>
      </w:r>
      <w:r>
        <w:t xml:space="preserve"> </w:t>
      </w:r>
      <w:r>
        <w:t xml:space="preserve">when no element matches.</w:t>
      </w:r>
    </w:p>
    <w:bookmarkEnd w:id="917"/>
    <w:bookmarkStart w:id="918" w:name="Xb08ce853b211bfe35c79e4ffcfad84c7f4f3f40"/>
    <w:p>
      <w:pPr>
        <w:pStyle w:val="Heading3"/>
      </w:pPr>
      <w:r>
        <w:rPr>
          <w:rStyle w:val="VerbatimChar"/>
        </w:rPr>
        <w:t xml:space="preserve">Array.prototype.findIndex(callback[, thisArg])</w:t>
      </w:r>
    </w:p>
    <w:p>
      <w:pPr>
        <w:pStyle w:val="FirstParagraph"/>
      </w:pPr>
      <w:r>
        <w:t xml:space="preserve">Returns the index of the first element that satisfies</w:t>
      </w:r>
      <w:r>
        <w:t xml:space="preserve"> </w:t>
      </w:r>
      <w:r>
        <w:rPr>
          <w:rStyle w:val="VerbatimChar"/>
        </w:rPr>
        <w:t xml:space="preserve">callback</w:t>
      </w:r>
      <w:r>
        <w:t xml:space="preserve">. Returns</w:t>
      </w:r>
      <w:r>
        <w:t xml:space="preserve"> </w:t>
      </w:r>
      <w:r>
        <w:rPr>
          <w:rStyle w:val="VerbatimChar"/>
        </w:rPr>
        <w:t xml:space="preserve">-1</w:t>
      </w:r>
      <w:r>
        <w:t xml:space="preserve"> </w:t>
      </w:r>
      <w:r>
        <w:t xml:space="preserve">when no element matches.</w:t>
      </w:r>
    </w:p>
    <w:bookmarkEnd w:id="918"/>
    <w:bookmarkStart w:id="919" w:name="code-example-42"/>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arr </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w:t>
      </w:r>
      <w:r>
        <w:rPr>
          <w:rStyle w:val="DecValTok"/>
        </w:rPr>
        <w:t xml:space="preserve">7</w:t>
      </w:r>
      <w:r>
        <w:rPr>
          <w:rStyle w:val="OperatorTok"/>
        </w:rPr>
        <w:t xml:space="preserve">,</w:t>
      </w:r>
      <w:r>
        <w:rPr>
          <w:rStyle w:val="NormalTok"/>
        </w:rPr>
        <w:t xml:space="preserve"> </w:t>
      </w:r>
      <w:r>
        <w:rPr>
          <w:rStyle w:val="DecValTok"/>
        </w:rPr>
        <w:t xml:space="preserve">11</w:t>
      </w:r>
      <w:r>
        <w:rPr>
          <w:rStyle w:val="OperatorTok"/>
        </w:rPr>
        <w:t xml:space="preserve">,</w:t>
      </w:r>
      <w:r>
        <w:rPr>
          <w:rStyle w:val="NormalTok"/>
        </w:rPr>
        <w:t xml:space="preserve"> </w:t>
      </w:r>
      <w:r>
        <w:rPr>
          <w:rStyle w:val="DecValTok"/>
        </w:rPr>
        <w:t xml:space="preserve">14</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(arr</w:t>
      </w:r>
      <w:r>
        <w:rPr>
          <w:rStyle w:val="OperatorTok"/>
        </w:rPr>
        <w:t xml:space="preserve">.</w:t>
      </w:r>
      <w:r>
        <w:rPr>
          <w:rStyle w:val="FunctionTok"/>
        </w:rPr>
        <w:t xml:space="preserve">find</w:t>
      </w:r>
      <w:r>
        <w:rPr>
          <w:rStyle w:val="NormalTok"/>
        </w:rPr>
        <w:t xml:space="preserve">(</w:t>
      </w:r>
      <w:r>
        <w:rPr>
          <w:rStyle w:val="KeywordTok"/>
        </w:rPr>
        <w:t xml:space="preserve">function</w:t>
      </w:r>
      <w:r>
        <w:rPr>
          <w:rStyle w:val="NormalTok"/>
        </w:rPr>
        <w:t xml:space="preserve"> (x) { </w:t>
      </w:r>
      <w:r>
        <w:rPr>
          <w:rStyle w:val="ControlFlowTok"/>
        </w:rPr>
        <w:t xml:space="preserve">return</w:t>
      </w:r>
      <w:r>
        <w:rPr>
          <w:rStyle w:val="NormalTok"/>
        </w:rPr>
        <w:t xml:space="preserve"> x </w:t>
      </w:r>
      <w:r>
        <w:rPr>
          <w:rStyle w:val="OperatorTok"/>
        </w:rPr>
        <w:t xml:space="preserve">&gt;</w:t>
      </w:r>
      <w:r>
        <w:rPr>
          <w:rStyle w:val="NormalTok"/>
        </w:rPr>
        <w:t xml:space="preserve"> </w:t>
      </w:r>
      <w:r>
        <w:rPr>
          <w:rStyle w:val="DecValTok"/>
        </w:rPr>
        <w:t xml:space="preserve">10</w:t>
      </w:r>
      <w:r>
        <w:rPr>
          <w:rStyle w:val="OperatorTok"/>
        </w:rPr>
        <w:t xml:space="preserve">;</w:t>
      </w:r>
      <w:r>
        <w:rPr>
          <w:rStyle w:val="NormalTok"/>
        </w:rPr>
        <w:t xml:space="preserve"> }))</w:t>
      </w:r>
      <w:r>
        <w:rPr>
          <w:rStyle w:val="OperatorTok"/>
        </w:rPr>
        <w:t xml:space="preserve">;</w:t>
      </w:r>
      <w:r>
        <w:br/>
      </w:r>
      <w:r>
        <w:rPr>
          <w:rStyle w:val="CommentTok"/>
        </w:rPr>
        <w:t xml:space="preserve">// Output: 11</w:t>
      </w:r>
      <w:r>
        <w:br/>
      </w:r>
      <w:r>
        <w:rPr>
          <w:rStyle w:val="NormalTok"/>
        </w:rPr>
        <w:t xml:space="preserve">Response</w:t>
      </w:r>
      <w:r>
        <w:rPr>
          <w:rStyle w:val="OperatorTok"/>
        </w:rPr>
        <w:t xml:space="preserve">.</w:t>
      </w:r>
      <w:r>
        <w:rPr>
          <w:rStyle w:val="FunctionTok"/>
        </w:rPr>
        <w:t xml:space="preserve">Write</w:t>
      </w:r>
      <w:r>
        <w:rPr>
          <w:rStyle w:val="NormalTok"/>
        </w:rPr>
        <w:t xml:space="preserve">(arr</w:t>
      </w:r>
      <w:r>
        <w:rPr>
          <w:rStyle w:val="OperatorTok"/>
        </w:rPr>
        <w:t xml:space="preserve">.</w:t>
      </w:r>
      <w:r>
        <w:rPr>
          <w:rStyle w:val="FunctionTok"/>
        </w:rPr>
        <w:t xml:space="preserve">findIndex</w:t>
      </w:r>
      <w:r>
        <w:rPr>
          <w:rStyle w:val="NormalTok"/>
        </w:rPr>
        <w:t xml:space="preserve">(</w:t>
      </w:r>
      <w:r>
        <w:rPr>
          <w:rStyle w:val="KeywordTok"/>
        </w:rPr>
        <w:t xml:space="preserve">function</w:t>
      </w:r>
      <w:r>
        <w:rPr>
          <w:rStyle w:val="NormalTok"/>
        </w:rPr>
        <w:t xml:space="preserve"> (x) { </w:t>
      </w:r>
      <w:r>
        <w:rPr>
          <w:rStyle w:val="ControlFlowTok"/>
        </w:rPr>
        <w:t xml:space="preserve">return</w:t>
      </w:r>
      <w:r>
        <w:rPr>
          <w:rStyle w:val="NormalTok"/>
        </w:rPr>
        <w:t xml:space="preserve"> x </w:t>
      </w:r>
      <w:r>
        <w:rPr>
          <w:rStyle w:val="OperatorTok"/>
        </w:rPr>
        <w:t xml:space="preserve">&gt;</w:t>
      </w:r>
      <w:r>
        <w:rPr>
          <w:rStyle w:val="NormalTok"/>
        </w:rPr>
        <w:t xml:space="preserve"> </w:t>
      </w:r>
      <w:r>
        <w:rPr>
          <w:rStyle w:val="DecValTok"/>
        </w:rPr>
        <w:t xml:space="preserve">10</w:t>
      </w:r>
      <w:r>
        <w:rPr>
          <w:rStyle w:val="OperatorTok"/>
        </w:rPr>
        <w:t xml:space="preserve">;</w:t>
      </w:r>
      <w:r>
        <w:rPr>
          <w:rStyle w:val="NormalTok"/>
        </w:rPr>
        <w:t xml:space="preserve"> }))</w:t>
      </w:r>
      <w:r>
        <w:rPr>
          <w:rStyle w:val="OperatorTok"/>
        </w:rPr>
        <w:t xml:space="preserve">;</w:t>
      </w:r>
      <w:r>
        <w:br/>
      </w:r>
      <w:r>
        <w:rPr>
          <w:rStyle w:val="CommentTok"/>
        </w:rPr>
        <w:t xml:space="preserve">// Output: 2</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19"/>
    <w:bookmarkEnd w:id="920"/>
    <w:bookmarkStart w:id="924" w:name="array-construction-utilities"/>
    <w:p>
      <w:pPr>
        <w:pStyle w:val="Heading2"/>
      </w:pPr>
      <w:r>
        <w:t xml:space="preserve">Array Construction Utilities</w:t>
      </w:r>
    </w:p>
    <w:bookmarkStart w:id="921" w:name="array.fromarraylike-mapfn"/>
    <w:p>
      <w:pPr>
        <w:pStyle w:val="Heading3"/>
      </w:pPr>
      <w:r>
        <w:rPr>
          <w:rStyle w:val="VerbatimChar"/>
        </w:rPr>
        <w:t xml:space="preserve">Array.from(arrayLike[, mapFn])</w:t>
      </w:r>
    </w:p>
    <w:p>
      <w:pPr>
        <w:pStyle w:val="FirstParagraph"/>
      </w:pPr>
      <w:r>
        <w:t xml:space="preserve">Converts an array-like or iterable object into a standard JScript array. Accepts an optional mapping function that is applied to each element.</w:t>
      </w:r>
    </w:p>
    <w:bookmarkEnd w:id="921"/>
    <w:bookmarkStart w:id="922" w:name="array.of...items"/>
    <w:p>
      <w:pPr>
        <w:pStyle w:val="Heading3"/>
      </w:pPr>
      <w:r>
        <w:rPr>
          <w:rStyle w:val="VerbatimChar"/>
        </w:rPr>
        <w:t xml:space="preserve">Array.of(...items)</w:t>
      </w:r>
    </w:p>
    <w:p>
      <w:pPr>
        <w:pStyle w:val="FirstParagraph"/>
      </w:pPr>
      <w:r>
        <w:t xml:space="preserve">Creates a new array from its arguments. Unlike</w:t>
      </w:r>
      <w:r>
        <w:t xml:space="preserve"> </w:t>
      </w:r>
      <w:r>
        <w:rPr>
          <w:rStyle w:val="VerbatimChar"/>
        </w:rPr>
        <w:t xml:space="preserve">new Array(n)</w:t>
      </w:r>
      <w:r>
        <w:t xml:space="preserve">,</w:t>
      </w:r>
      <w:r>
        <w:t xml:space="preserve"> </w:t>
      </w:r>
      <w:r>
        <w:rPr>
          <w:rStyle w:val="VerbatimChar"/>
        </w:rPr>
        <w:t xml:space="preserve">Array.of(n)</w:t>
      </w:r>
      <w:r>
        <w:t xml:space="preserve"> </w:t>
      </w:r>
      <w:r>
        <w:t xml:space="preserve">always creates a one-element array containing</w:t>
      </w:r>
      <w:r>
        <w:t xml:space="preserve"> </w:t>
      </w:r>
      <w:r>
        <w:rPr>
          <w:rStyle w:val="VerbatimChar"/>
        </w:rPr>
        <w:t xml:space="preserve">n</w:t>
      </w:r>
      <w:r>
        <w:t xml:space="preserve">.</w:t>
      </w:r>
    </w:p>
    <w:bookmarkEnd w:id="922"/>
    <w:bookmarkStart w:id="923" w:name="code-example-43"/>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a </w:t>
      </w:r>
      <w:r>
        <w:rPr>
          <w:rStyle w:val="OperatorTok"/>
        </w:rPr>
        <w:t xml:space="preserve">=</w:t>
      </w:r>
      <w:r>
        <w:rPr>
          <w:rStyle w:val="NormalTok"/>
        </w:rPr>
        <w:t xml:space="preserve"> </w:t>
      </w:r>
      <w:r>
        <w:rPr>
          <w:rStyle w:val="BuiltInTok"/>
        </w:rPr>
        <w:t xml:space="preserve">Array</w:t>
      </w:r>
      <w:r>
        <w:rPr>
          <w:rStyle w:val="OperatorTok"/>
        </w:rPr>
        <w:t xml:space="preserve">.</w:t>
      </w:r>
      <w:r>
        <w:rPr>
          <w:rStyle w:val="FunctionTok"/>
        </w:rPr>
        <w:t xml:space="preserve">from</w:t>
      </w:r>
      <w:r>
        <w:rPr>
          <w:rStyle w:val="NormalTok"/>
        </w:rPr>
        <w:t xml:space="preserve">({ </w:t>
      </w:r>
      <w:r>
        <w:rPr>
          <w:rStyle w:val="DataTypeTok"/>
        </w:rPr>
        <w:t xml:space="preserve">length</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StringTok"/>
        </w:rPr>
        <w:t xml:space="preserve">"x"</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StringTok"/>
        </w:rPr>
        <w:t xml:space="preserve">"y"</w:t>
      </w:r>
      <w:r>
        <w:rPr>
          <w:rStyle w:val="NormalTok"/>
        </w:rPr>
        <w:t xml:space="preserve"> })</w:t>
      </w:r>
      <w:r>
        <w:rPr>
          <w:rStyle w:val="OperatorTok"/>
        </w:rPr>
        <w:t xml:space="preserve">;</w:t>
      </w:r>
      <w:r>
        <w:br/>
      </w:r>
      <w:r>
        <w:rPr>
          <w:rStyle w:val="KeywordTok"/>
        </w:rPr>
        <w:t xml:space="preserve">var</w:t>
      </w:r>
      <w:r>
        <w:rPr>
          <w:rStyle w:val="NormalTok"/>
        </w:rPr>
        <w:t xml:space="preserve"> b </w:t>
      </w:r>
      <w:r>
        <w:rPr>
          <w:rStyle w:val="OperatorTok"/>
        </w:rPr>
        <w:t xml:space="preserve">=</w:t>
      </w:r>
      <w:r>
        <w:rPr>
          <w:rStyle w:val="NormalTok"/>
        </w:rPr>
        <w:t xml:space="preserve"> </w:t>
      </w:r>
      <w:r>
        <w:rPr>
          <w:rStyle w:val="BuiltInTok"/>
        </w:rPr>
        <w:t xml:space="preserve">Array</w:t>
      </w:r>
      <w:r>
        <w:rPr>
          <w:rStyle w:val="OperatorTok"/>
        </w:rPr>
        <w:t xml:space="preserve">.</w:t>
      </w:r>
      <w:r>
        <w:rPr>
          <w:rStyle w:val="FunctionTok"/>
        </w:rPr>
        <w:t xml:space="preserve">of</w:t>
      </w:r>
      <w:r>
        <w:rPr>
          <w:rStyle w:val="NormalTok"/>
        </w:rPr>
        <w:t xml:space="preserve">(</w:t>
      </w:r>
      <w:r>
        <w:rPr>
          <w:rStyle w:val="DecValTok"/>
        </w:rPr>
        <w:t xml:space="preserve">7</w:t>
      </w:r>
      <w:r>
        <w:rPr>
          <w:rStyle w:val="OperatorTok"/>
        </w:rPr>
        <w:t xml:space="preserve">,</w:t>
      </w:r>
      <w:r>
        <w:rPr>
          <w:rStyle w:val="NormalTok"/>
        </w:rPr>
        <w:t xml:space="preserve"> </w:t>
      </w:r>
      <w:r>
        <w:rPr>
          <w:rStyle w:val="DecValTok"/>
        </w:rPr>
        <w:t xml:space="preserve">8</w:t>
      </w:r>
      <w:r>
        <w:rPr>
          <w:rStyle w:val="OperatorTok"/>
        </w:rPr>
        <w:t xml:space="preserve">,</w:t>
      </w:r>
      <w:r>
        <w:rPr>
          <w:rStyle w:val="NormalTok"/>
        </w:rPr>
        <w:t xml:space="preserve"> </w:t>
      </w:r>
      <w:r>
        <w:rPr>
          <w:rStyle w:val="DecValTok"/>
        </w:rPr>
        <w:t xml:space="preserve">9</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(a</w:t>
      </w:r>
      <w:r>
        <w:rPr>
          <w:rStyle w:val="OperatorTok"/>
        </w:rPr>
        <w:t xml:space="preserve">.</w:t>
      </w:r>
      <w:r>
        <w:rPr>
          <w:rStyle w:val="FunctionTok"/>
        </w:rPr>
        <w:t xml:space="preserve">join</w:t>
      </w:r>
      <w:r>
        <w:rPr>
          <w:rStyle w:val="NormalTok"/>
        </w:rPr>
        <w:t xml:space="preserve">(</w:t>
      </w:r>
      <w:r>
        <w:rPr>
          <w:rStyle w:val="String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b</w:t>
      </w:r>
      <w:r>
        <w:rPr>
          <w:rStyle w:val="OperatorTok"/>
        </w:rPr>
        <w:t xml:space="preserve">.</w:t>
      </w:r>
      <w:r>
        <w:rPr>
          <w:rStyle w:val="FunctionTok"/>
        </w:rPr>
        <w:t xml:space="preserve">join</w:t>
      </w:r>
      <w:r>
        <w:rPr>
          <w:rStyle w:val="NormalTok"/>
        </w:rPr>
        <w:t xml:space="preserve">(</w:t>
      </w:r>
      <w:r>
        <w:rPr>
          <w:rStyle w:val="StringTok"/>
        </w:rPr>
        <w:t xml:space="preserve">"-"</w:t>
      </w:r>
      <w:r>
        <w:rPr>
          <w:rStyle w:val="NormalTok"/>
        </w:rPr>
        <w:t xml:space="preserve">))</w:t>
      </w:r>
      <w:r>
        <w:rPr>
          <w:rStyle w:val="OperatorTok"/>
        </w:rPr>
        <w:t xml:space="preserve">;</w:t>
      </w:r>
      <w:r>
        <w:br/>
      </w:r>
      <w:r>
        <w:rPr>
          <w:rStyle w:val="CommentTok"/>
        </w:rPr>
        <w:t xml:space="preserve">// Output: x-y|7-8-9</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23"/>
    <w:bookmarkEnd w:id="924"/>
    <w:bookmarkStart w:id="937" w:name="array-in-place-operations"/>
    <w:p>
      <w:pPr>
        <w:pStyle w:val="Heading2"/>
      </w:pPr>
      <w:r>
        <w:t xml:space="preserve">Array In-place Operations</w:t>
      </w:r>
    </w:p>
    <w:bookmarkStart w:id="925" w:name="array.prototype.fillvalue-start-end"/>
    <w:p>
      <w:pPr>
        <w:pStyle w:val="Heading3"/>
      </w:pPr>
      <w:r>
        <w:rPr>
          <w:rStyle w:val="VerbatimChar"/>
        </w:rPr>
        <w:t xml:space="preserve">Array.prototype.fill(value[, start[, end]])</w:t>
      </w:r>
    </w:p>
    <w:p>
      <w:pPr>
        <w:pStyle w:val="FirstParagraph"/>
      </w:pPr>
      <w:r>
        <w:t xml:space="preserve">Fills all elements from</w:t>
      </w:r>
      <w:r>
        <w:t xml:space="preserve"> </w:t>
      </w:r>
      <w:r>
        <w:rPr>
          <w:rStyle w:val="VerbatimChar"/>
        </w:rPr>
        <w:t xml:space="preserve">start</w:t>
      </w:r>
      <w:r>
        <w:t xml:space="preserve"> </w:t>
      </w:r>
      <w:r>
        <w:t xml:space="preserve">to</w:t>
      </w:r>
      <w:r>
        <w:t xml:space="preserve"> </w:t>
      </w:r>
      <w:r>
        <w:rPr>
          <w:rStyle w:val="VerbatimChar"/>
        </w:rPr>
        <w:t xml:space="preserve">end</w:t>
      </w:r>
      <w:r>
        <w:t xml:space="preserve"> </w:t>
      </w:r>
      <w:r>
        <w:t xml:space="preserve">(exclusive) with</w:t>
      </w:r>
      <w:r>
        <w:t xml:space="preserve"> </w:t>
      </w:r>
      <w:r>
        <w:rPr>
          <w:rStyle w:val="VerbatimChar"/>
        </w:rPr>
        <w:t xml:space="preserve">value</w:t>
      </w:r>
      <w:r>
        <w:t xml:space="preserve">, in place. Negative indices are resolved relative to the array length. Returns the modified array.</w:t>
      </w:r>
    </w:p>
    <w:bookmarkEnd w:id="925"/>
    <w:bookmarkStart w:id="926" w:name="X20782d58459d2da8ed7e48eb20f02a6dc068238"/>
    <w:p>
      <w:pPr>
        <w:pStyle w:val="Heading3"/>
      </w:pPr>
      <w:r>
        <w:rPr>
          <w:rStyle w:val="VerbatimChar"/>
        </w:rPr>
        <w:t xml:space="preserve">Array.prototype.copyWithin(target[, start[, end]])</w:t>
      </w:r>
    </w:p>
    <w:p>
      <w:pPr>
        <w:pStyle w:val="FirstParagraph"/>
      </w:pPr>
      <w:r>
        <w:t xml:space="preserve">Copies a portion of the array (from</w:t>
      </w:r>
      <w:r>
        <w:t xml:space="preserve"> </w:t>
      </w:r>
      <w:r>
        <w:rPr>
          <w:rStyle w:val="VerbatimChar"/>
        </w:rPr>
        <w:t xml:space="preserve">start</w:t>
      </w:r>
      <w:r>
        <w:t xml:space="preserve"> </w:t>
      </w:r>
      <w:r>
        <w:t xml:space="preserve">to</w:t>
      </w:r>
      <w:r>
        <w:t xml:space="preserve"> </w:t>
      </w:r>
      <w:r>
        <w:rPr>
          <w:rStyle w:val="VerbatimChar"/>
        </w:rPr>
        <w:t xml:space="preserve">end</w:t>
      </w:r>
      <w:r>
        <w:t xml:space="preserve">, exclusive) to another position (</w:t>
      </w:r>
      <w:r>
        <w:rPr>
          <w:rStyle w:val="VerbatimChar"/>
        </w:rPr>
        <w:t xml:space="preserve">target</w:t>
      </w:r>
      <w:r>
        <w:t xml:space="preserve">) within the same array, in place. Does not change the array length. Returns the modified array.</w:t>
      </w:r>
    </w:p>
    <w:bookmarkEnd w:id="926"/>
    <w:bookmarkStart w:id="927" w:name="array.prototype.keys"/>
    <w:p>
      <w:pPr>
        <w:pStyle w:val="Heading3"/>
      </w:pPr>
      <w:r>
        <w:rPr>
          <w:rStyle w:val="VerbatimChar"/>
        </w:rPr>
        <w:t xml:space="preserve">Array.prototype.keys()</w:t>
      </w:r>
    </w:p>
    <w:p>
      <w:pPr>
        <w:pStyle w:val="FirstParagraph"/>
      </w:pPr>
      <w:r>
        <w:t xml:space="preserve">Returns an Array Iterator object containing each numeric index key from the array.</w:t>
      </w:r>
    </w:p>
    <w:bookmarkEnd w:id="927"/>
    <w:bookmarkStart w:id="928" w:name="array.prototype.entries"/>
    <w:p>
      <w:pPr>
        <w:pStyle w:val="Heading3"/>
      </w:pPr>
      <w:r>
        <w:rPr>
          <w:rStyle w:val="VerbatimChar"/>
        </w:rPr>
        <w:t xml:space="preserve">Array.prototype.entries()</w:t>
      </w:r>
    </w:p>
    <w:p>
      <w:pPr>
        <w:pStyle w:val="FirstParagraph"/>
      </w:pPr>
      <w:r>
        <w:t xml:space="preserve">Returns an Array Iterator object containing</w:t>
      </w:r>
      <w:r>
        <w:t xml:space="preserve"> </w:t>
      </w:r>
      <w:r>
        <w:rPr>
          <w:rStyle w:val="VerbatimChar"/>
        </w:rPr>
        <w:t xml:space="preserve">[index, value]</w:t>
      </w:r>
      <w:r>
        <w:t xml:space="preserve"> </w:t>
      </w:r>
      <w:r>
        <w:t xml:space="preserve">pairs for each array element.</w:t>
      </w:r>
    </w:p>
    <w:bookmarkEnd w:id="928"/>
    <w:bookmarkStart w:id="929" w:name="array.prototype.atindex"/>
    <w:p>
      <w:pPr>
        <w:pStyle w:val="Heading3"/>
      </w:pPr>
      <w:r>
        <w:rPr>
          <w:rStyle w:val="VerbatimChar"/>
        </w:rPr>
        <w:t xml:space="preserve">Array.prototype.at(index)</w:t>
      </w:r>
    </w:p>
    <w:p>
      <w:pPr>
        <w:pStyle w:val="FirstParagraph"/>
      </w:pPr>
      <w:r>
        <w:t xml:space="preserve">Returns the element at the specified</w:t>
      </w:r>
      <w:r>
        <w:t xml:space="preserve"> </w:t>
      </w:r>
      <w:r>
        <w:rPr>
          <w:rStyle w:val="VerbatimChar"/>
        </w:rPr>
        <w:t xml:space="preserve">index</w:t>
      </w:r>
      <w:r>
        <w:t xml:space="preserve">. Supports relative indexing from the end if</w:t>
      </w:r>
      <w:r>
        <w:t xml:space="preserve"> </w:t>
      </w:r>
      <w:r>
        <w:rPr>
          <w:rStyle w:val="VerbatimChar"/>
        </w:rPr>
        <w:t xml:space="preserve">index</w:t>
      </w:r>
      <w:r>
        <w:t xml:space="preserve"> </w:t>
      </w:r>
      <w:r>
        <w:t xml:space="preserve">is negative.</w:t>
      </w:r>
    </w:p>
    <w:bookmarkEnd w:id="929"/>
    <w:bookmarkStart w:id="930" w:name="array.prototype.flatdepth"/>
    <w:p>
      <w:pPr>
        <w:pStyle w:val="Heading3"/>
      </w:pPr>
      <w:r>
        <w:rPr>
          <w:rStyle w:val="VerbatimChar"/>
        </w:rPr>
        <w:t xml:space="preserve">Array.prototype.flat([depth])</w:t>
      </w:r>
    </w:p>
    <w:p>
      <w:pPr>
        <w:pStyle w:val="FirstParagraph"/>
      </w:pPr>
      <w:r>
        <w:t xml:space="preserve">Returns a new array with all sub-array elements concatenated into it recursively up to the specified</w:t>
      </w:r>
      <w:r>
        <w:t xml:space="preserve"> </w:t>
      </w:r>
      <w:r>
        <w:rPr>
          <w:rStyle w:val="VerbatimChar"/>
        </w:rPr>
        <w:t xml:space="preserve">depth</w:t>
      </w:r>
      <w:r>
        <w:t xml:space="preserve">. Defaults to</w:t>
      </w:r>
      <w:r>
        <w:t xml:space="preserve"> </w:t>
      </w:r>
      <w:r>
        <w:rPr>
          <w:rStyle w:val="VerbatimChar"/>
        </w:rPr>
        <w:t xml:space="preserve">1</w:t>
      </w:r>
      <w:r>
        <w:t xml:space="preserve">.</w:t>
      </w:r>
    </w:p>
    <w:bookmarkEnd w:id="930"/>
    <w:bookmarkStart w:id="931" w:name="array.prototype.flatmapcallback-thisarg"/>
    <w:p>
      <w:pPr>
        <w:pStyle w:val="Heading3"/>
      </w:pPr>
      <w:r>
        <w:rPr>
          <w:rStyle w:val="VerbatimChar"/>
        </w:rPr>
        <w:t xml:space="preserve">Array.prototype.flatMap(callback[, thisArg])</w:t>
      </w:r>
    </w:p>
    <w:p>
      <w:pPr>
        <w:pStyle w:val="FirstParagraph"/>
      </w:pPr>
      <w:r>
        <w:t xml:space="preserve">Returns a new array formed by applying a given callback function to each element of the array, and then flattening the result by one level.</w:t>
      </w:r>
    </w:p>
    <w:bookmarkEnd w:id="931"/>
    <w:bookmarkStart w:id="932" w:name="array.prototype.tosortedcomparefn"/>
    <w:p>
      <w:pPr>
        <w:pStyle w:val="Heading3"/>
      </w:pPr>
      <w:r>
        <w:rPr>
          <w:rStyle w:val="VerbatimChar"/>
        </w:rPr>
        <w:t xml:space="preserve">Array.prototype.toSorted([compareFn])</w:t>
      </w:r>
    </w:p>
    <w:p>
      <w:pPr>
        <w:pStyle w:val="FirstParagraph"/>
      </w:pPr>
      <w:r>
        <w:t xml:space="preserve">Returns a</w:t>
      </w:r>
      <w:r>
        <w:t xml:space="preserve"> </w:t>
      </w:r>
      <w:r>
        <w:rPr>
          <w:b/>
          <w:bCs/>
        </w:rPr>
        <w:t xml:space="preserve">new</w:t>
      </w:r>
      <w:r>
        <w:t xml:space="preserve"> </w:t>
      </w:r>
      <w:r>
        <w:t xml:space="preserve">array with the elements sorted in ascending order. Unlike</w:t>
      </w:r>
      <w:r>
        <w:t xml:space="preserve"> </w:t>
      </w:r>
      <w:r>
        <w:rPr>
          <w:rStyle w:val="VerbatimChar"/>
        </w:rPr>
        <w:t xml:space="preserve">sort()</w:t>
      </w:r>
      <w:r>
        <w:t xml:space="preserve">, it does not mutate the original array.</w:t>
      </w:r>
    </w:p>
    <w:bookmarkEnd w:id="932"/>
    <w:bookmarkStart w:id="933" w:name="array.prototype.toreversed"/>
    <w:p>
      <w:pPr>
        <w:pStyle w:val="Heading3"/>
      </w:pPr>
      <w:r>
        <w:rPr>
          <w:rStyle w:val="VerbatimChar"/>
        </w:rPr>
        <w:t xml:space="preserve">Array.prototype.toReversed()</w:t>
      </w:r>
    </w:p>
    <w:p>
      <w:pPr>
        <w:pStyle w:val="FirstParagraph"/>
      </w:pPr>
      <w:r>
        <w:t xml:space="preserve">Returns a</w:t>
      </w:r>
      <w:r>
        <w:t xml:space="preserve"> </w:t>
      </w:r>
      <w:r>
        <w:rPr>
          <w:b/>
          <w:bCs/>
        </w:rPr>
        <w:t xml:space="preserve">new</w:t>
      </w:r>
      <w:r>
        <w:t xml:space="preserve"> </w:t>
      </w:r>
      <w:r>
        <w:t xml:space="preserve">array with the elements in reversed order. Unlike</w:t>
      </w:r>
      <w:r>
        <w:t xml:space="preserve"> </w:t>
      </w:r>
      <w:r>
        <w:rPr>
          <w:rStyle w:val="VerbatimChar"/>
        </w:rPr>
        <w:t xml:space="preserve">reverse()</w:t>
      </w:r>
      <w:r>
        <w:t xml:space="preserve">, it does not mutate the original array.</w:t>
      </w:r>
    </w:p>
    <w:bookmarkEnd w:id="933"/>
    <w:bookmarkStart w:id="934" w:name="Xee59717eb102040a3e6e1f2519d04bec9181504"/>
    <w:p>
      <w:pPr>
        <w:pStyle w:val="Heading3"/>
      </w:pPr>
      <w:r>
        <w:rPr>
          <w:rStyle w:val="VerbatimChar"/>
        </w:rPr>
        <w:t xml:space="preserve">Array.prototype.toSpliced(start[, deleteCount[, ...items]])</w:t>
      </w:r>
    </w:p>
    <w:p>
      <w:pPr>
        <w:pStyle w:val="FirstParagraph"/>
      </w:pPr>
      <w:r>
        <w:t xml:space="preserve">Returns a</w:t>
      </w:r>
      <w:r>
        <w:t xml:space="preserve"> </w:t>
      </w:r>
      <w:r>
        <w:rPr>
          <w:b/>
          <w:bCs/>
        </w:rPr>
        <w:t xml:space="preserve">new</w:t>
      </w:r>
      <w:r>
        <w:t xml:space="preserve"> </w:t>
      </w:r>
      <w:r>
        <w:t xml:space="preserve">array with some elements removed and/or replaced at a given index. Unlike</w:t>
      </w:r>
      <w:r>
        <w:t xml:space="preserve"> </w:t>
      </w:r>
      <w:r>
        <w:rPr>
          <w:rStyle w:val="VerbatimChar"/>
        </w:rPr>
        <w:t xml:space="preserve">splice()</w:t>
      </w:r>
      <w:r>
        <w:t xml:space="preserve">, it does not mutate the original array.</w:t>
      </w:r>
    </w:p>
    <w:bookmarkEnd w:id="934"/>
    <w:bookmarkStart w:id="935" w:name="remarks-57"/>
    <w:p>
      <w:pPr>
        <w:pStyle w:val="Heading3"/>
      </w:pPr>
      <w:r>
        <w:t xml:space="preserve">Remarks</w:t>
      </w:r>
    </w:p>
    <w:p>
      <w:pPr>
        <w:pStyle w:val="Compact"/>
        <w:numPr>
          <w:ilvl w:val="0"/>
          <w:numId w:val="1266"/>
        </w:numPr>
      </w:pPr>
      <w:r>
        <w:t xml:space="preserve">Methods like</w:t>
      </w:r>
      <w:r>
        <w:t xml:space="preserve"> </w:t>
      </w:r>
      <w:r>
        <w:rPr>
          <w:rStyle w:val="VerbatimChar"/>
        </w:rPr>
        <w:t xml:space="preserve">fill</w:t>
      </w:r>
      <w:r>
        <w:t xml:space="preserve"> </w:t>
      </w:r>
      <w:r>
        <w:t xml:space="preserve">and</w:t>
      </w:r>
      <w:r>
        <w:t xml:space="preserve"> </w:t>
      </w:r>
      <w:r>
        <w:rPr>
          <w:rStyle w:val="VerbatimChar"/>
        </w:rPr>
        <w:t xml:space="preserve">copyWithin</w:t>
      </w:r>
      <w:r>
        <w:t xml:space="preserve"> </w:t>
      </w:r>
      <w:r>
        <w:t xml:space="preserve">operate in place and return the same array reference.</w:t>
      </w:r>
    </w:p>
    <w:p>
      <w:pPr>
        <w:pStyle w:val="Compact"/>
        <w:numPr>
          <w:ilvl w:val="0"/>
          <w:numId w:val="1266"/>
        </w:numPr>
      </w:pPr>
      <w:r>
        <w:rPr>
          <w:rStyle w:val="VerbatimChar"/>
        </w:rPr>
        <w:t xml:space="preserve">keys()</w:t>
      </w:r>
      <w:r>
        <w:t xml:space="preserve"> </w:t>
      </w:r>
      <w:r>
        <w:t xml:space="preserve">and</w:t>
      </w:r>
      <w:r>
        <w:t xml:space="preserve"> </w:t>
      </w:r>
      <w:r>
        <w:rPr>
          <w:rStyle w:val="VerbatimChar"/>
        </w:rPr>
        <w:t xml:space="preserve">entries()</w:t>
      </w:r>
      <w:r>
        <w:t xml:space="preserve"> </w:t>
      </w:r>
      <w:r>
        <w:t xml:space="preserve">return standard iterable Array Iterator objects and can be consumed by</w:t>
      </w:r>
      <w:r>
        <w:t xml:space="preserve"> </w:t>
      </w:r>
      <w:r>
        <w:rPr>
          <w:rStyle w:val="VerbatimChar"/>
        </w:rPr>
        <w:t xml:space="preserve">for...of</w:t>
      </w:r>
      <w:r>
        <w:t xml:space="preserve">.</w:t>
      </w:r>
    </w:p>
    <w:p>
      <w:pPr>
        <w:pStyle w:val="Compact"/>
        <w:numPr>
          <w:ilvl w:val="0"/>
          <w:numId w:val="1266"/>
        </w:numPr>
      </w:pPr>
      <w:r>
        <w:t xml:space="preserve">Modern immutable methods (</w:t>
      </w:r>
      <w:r>
        <w:rPr>
          <w:rStyle w:val="VerbatimChar"/>
        </w:rPr>
        <w:t xml:space="preserve">toSorted</w:t>
      </w:r>
      <w:r>
        <w:t xml:space="preserve">,</w:t>
      </w:r>
      <w:r>
        <w:t xml:space="preserve"> </w:t>
      </w:r>
      <w:r>
        <w:rPr>
          <w:rStyle w:val="VerbatimChar"/>
        </w:rPr>
        <w:t xml:space="preserve">toReversed</w:t>
      </w:r>
      <w:r>
        <w:t xml:space="preserve">,</w:t>
      </w:r>
      <w:r>
        <w:t xml:space="preserve"> </w:t>
      </w:r>
      <w:r>
        <w:rPr>
          <w:rStyle w:val="VerbatimChar"/>
        </w:rPr>
        <w:t xml:space="preserve">toSpliced</w:t>
      </w:r>
      <w:r>
        <w:t xml:space="preserve">) always return a new array instance.</w:t>
      </w:r>
    </w:p>
    <w:p>
      <w:pPr>
        <w:pStyle w:val="Compact"/>
        <w:numPr>
          <w:ilvl w:val="0"/>
          <w:numId w:val="1266"/>
        </w:numPr>
      </w:pPr>
      <w:r>
        <w:t xml:space="preserve">Negative index arguments in</w:t>
      </w:r>
      <w:r>
        <w:t xml:space="preserve"> </w:t>
      </w:r>
      <w:r>
        <w:rPr>
          <w:rStyle w:val="VerbatimChar"/>
        </w:rPr>
        <w:t xml:space="preserve">at</w:t>
      </w:r>
      <w:r>
        <w:t xml:space="preserve">,</w:t>
      </w:r>
      <w:r>
        <w:t xml:space="preserve"> </w:t>
      </w:r>
      <w:r>
        <w:rPr>
          <w:rStyle w:val="VerbatimChar"/>
        </w:rPr>
        <w:t xml:space="preserve">fill</w:t>
      </w:r>
      <w:r>
        <w:t xml:space="preserve">, and</w:t>
      </w:r>
      <w:r>
        <w:t xml:space="preserve"> </w:t>
      </w:r>
      <w:r>
        <w:rPr>
          <w:rStyle w:val="VerbatimChar"/>
        </w:rPr>
        <w:t xml:space="preserve">copyWithin</w:t>
      </w:r>
      <w:r>
        <w:t xml:space="preserve"> </w:t>
      </w:r>
      <w:r>
        <w:t xml:space="preserve">are normalized relative to the array length.</w:t>
      </w:r>
    </w:p>
    <w:bookmarkEnd w:id="935"/>
    <w:bookmarkStart w:id="936" w:name="code-example-44"/>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arr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DecValTok"/>
        </w:rPr>
        <w:t xml:space="preserve">3</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JSON</w:t>
      </w:r>
      <w:r>
        <w:rPr>
          <w:rStyle w:val="OperatorTok"/>
        </w:rPr>
        <w:t xml:space="preserve">.</w:t>
      </w:r>
      <w:r>
        <w:rPr>
          <w:rStyle w:val="FunctionTok"/>
        </w:rPr>
        <w:t xml:space="preserve">stringify</w:t>
      </w:r>
      <w:r>
        <w:rPr>
          <w:rStyle w:val="NormalTok"/>
        </w:rPr>
        <w:t xml:space="preserve">(arr</w:t>
      </w:r>
      <w:r>
        <w:rPr>
          <w:rStyle w:val="OperatorTok"/>
        </w:rPr>
        <w:t xml:space="preserve">.</w:t>
      </w:r>
      <w:r>
        <w:rPr>
          <w:rStyle w:val="FunctionTok"/>
        </w:rPr>
        <w:t xml:space="preserve">flat</w:t>
      </w:r>
      <w:r>
        <w:rPr>
          <w:rStyle w:val="NormalTok"/>
        </w:rPr>
        <w:t xml:space="preserve">()))</w:t>
      </w:r>
      <w:r>
        <w:rPr>
          <w:rStyle w:val="OperatorTok"/>
        </w:rPr>
        <w:t xml:space="preserve">;</w:t>
      </w:r>
      <w:r>
        <w:br/>
      </w:r>
      <w:r>
        <w:rPr>
          <w:rStyle w:val="CommentTok"/>
        </w:rPr>
        <w:t xml:space="preserve">// Output: [1,2,3]</w:t>
      </w:r>
      <w:r>
        <w:br/>
      </w:r>
      <w:r>
        <w:br/>
      </w:r>
      <w:r>
        <w:rPr>
          <w:rStyle w:val="KeywordTok"/>
        </w:rPr>
        <w:t xml:space="preserve">var</w:t>
      </w:r>
      <w:r>
        <w:rPr>
          <w:rStyle w:val="NormalTok"/>
        </w:rPr>
        <w:t xml:space="preserve"> original </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ecValTok"/>
        </w:rPr>
        <w:t xml:space="preserve">2</w:t>
      </w:r>
      <w:r>
        <w:rPr>
          <w:rStyle w:val="NormalTok"/>
        </w:rPr>
        <w:t xml:space="preserve">]</w:t>
      </w:r>
      <w:r>
        <w:rPr>
          <w:rStyle w:val="OperatorTok"/>
        </w:rPr>
        <w:t xml:space="preserve">;</w:t>
      </w:r>
      <w:r>
        <w:br/>
      </w:r>
      <w:r>
        <w:rPr>
          <w:rStyle w:val="KeywordTok"/>
        </w:rPr>
        <w:t xml:space="preserve">var</w:t>
      </w:r>
      <w:r>
        <w:rPr>
          <w:rStyle w:val="NormalTok"/>
        </w:rPr>
        <w:t xml:space="preserve"> sorted </w:t>
      </w:r>
      <w:r>
        <w:rPr>
          <w:rStyle w:val="OperatorTok"/>
        </w:rPr>
        <w:t xml:space="preserve">=</w:t>
      </w:r>
      <w:r>
        <w:rPr>
          <w:rStyle w:val="NormalTok"/>
        </w:rPr>
        <w:t xml:space="preserve"> original</w:t>
      </w:r>
      <w:r>
        <w:rPr>
          <w:rStyle w:val="OperatorTok"/>
        </w:rPr>
        <w:t xml:space="preserve">.</w:t>
      </w:r>
      <w:r>
        <w:rPr>
          <w:rStyle w:val="FunctionTok"/>
        </w:rPr>
        <w:t xml:space="preserve">toSorted</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(sorted</w:t>
      </w:r>
      <w:r>
        <w:rPr>
          <w:rStyle w:val="OperatorTok"/>
        </w:rPr>
        <w:t xml:space="preserve">.</w:t>
      </w:r>
      <w:r>
        <w:rPr>
          <w:rStyle w:val="FunctionTok"/>
        </w:rPr>
        <w:t xml:space="preserve">join</w:t>
      </w:r>
      <w:r>
        <w:rPr>
          <w:rStyle w:val="NormalTok"/>
        </w:rPr>
        <w:t xml:space="preserve">(</w:t>
      </w:r>
      <w:r>
        <w:rPr>
          <w:rStyle w:val="StringTok"/>
        </w:rPr>
        <w:t xml:space="preserve">","</w:t>
      </w:r>
      <w:r>
        <w:rPr>
          <w:rStyle w:val="NormalTok"/>
        </w:rPr>
        <w:t xml:space="preserve">))</w:t>
      </w:r>
      <w:r>
        <w:rPr>
          <w:rStyle w:val="OperatorTok"/>
        </w:rPr>
        <w:t xml:space="preserve">;</w:t>
      </w:r>
      <w:r>
        <w:br/>
      </w:r>
      <w:r>
        <w:rPr>
          <w:rStyle w:val="CommentTok"/>
        </w:rPr>
        <w:t xml:space="preserve">// Output: 1,2,3</w:t>
      </w:r>
      <w:r>
        <w:br/>
      </w:r>
      <w:r>
        <w:rPr>
          <w:rStyle w:val="NormalTok"/>
        </w:rPr>
        <w:t xml:space="preserve">Response</w:t>
      </w:r>
      <w:r>
        <w:rPr>
          <w:rStyle w:val="OperatorTok"/>
        </w:rPr>
        <w:t xml:space="preserve">.</w:t>
      </w:r>
      <w:r>
        <w:rPr>
          <w:rStyle w:val="FunctionTok"/>
        </w:rPr>
        <w:t xml:space="preserve">Write</w:t>
      </w:r>
      <w:r>
        <w:rPr>
          <w:rStyle w:val="NormalTok"/>
        </w:rPr>
        <w:t xml:space="preserve">(original</w:t>
      </w:r>
      <w:r>
        <w:rPr>
          <w:rStyle w:val="OperatorTok"/>
        </w:rPr>
        <w:t xml:space="preserve">.</w:t>
      </w:r>
      <w:r>
        <w:rPr>
          <w:rStyle w:val="FunctionTok"/>
        </w:rPr>
        <w:t xml:space="preserve">join</w:t>
      </w:r>
      <w:r>
        <w:rPr>
          <w:rStyle w:val="NormalTok"/>
        </w:rPr>
        <w:t xml:space="preserve">(</w:t>
      </w:r>
      <w:r>
        <w:rPr>
          <w:rStyle w:val="StringTok"/>
        </w:rPr>
        <w:t xml:space="preserve">","</w:t>
      </w:r>
      <w:r>
        <w:rPr>
          <w:rStyle w:val="NormalTok"/>
        </w:rPr>
        <w:t xml:space="preserve">))</w:t>
      </w:r>
      <w:r>
        <w:rPr>
          <w:rStyle w:val="OperatorTok"/>
        </w:rPr>
        <w:t xml:space="preserve">;</w:t>
      </w:r>
      <w:r>
        <w:br/>
      </w:r>
      <w:r>
        <w:rPr>
          <w:rStyle w:val="CommentTok"/>
        </w:rPr>
        <w:t xml:space="preserve">// Output: 3,1,2 (unchanged)</w:t>
      </w:r>
      <w:r>
        <w:br/>
      </w:r>
      <w:r>
        <w:br/>
      </w:r>
      <w:r>
        <w:rPr>
          <w:rStyle w:val="ControlFlowTok"/>
        </w:rPr>
        <w:t xml:space="preserve">for</w:t>
      </w:r>
      <w:r>
        <w:rPr>
          <w:rStyle w:val="NormalTok"/>
        </w:rPr>
        <w:t xml:space="preserve"> (</w:t>
      </w:r>
      <w:r>
        <w:rPr>
          <w:rStyle w:val="KeywordTok"/>
        </w:rPr>
        <w:t xml:space="preserve">var</w:t>
      </w:r>
      <w:r>
        <w:rPr>
          <w:rStyle w:val="NormalTok"/>
        </w:rPr>
        <w:t xml:space="preserve"> k </w:t>
      </w:r>
      <w:r>
        <w:rPr>
          <w:rStyle w:val="KeywordTok"/>
        </w:rPr>
        <w:t xml:space="preserve">of</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20</w:t>
      </w:r>
      <w:r>
        <w:rPr>
          <w:rStyle w:val="NormalTok"/>
        </w:rPr>
        <w:t xml:space="preserve">]</w:t>
      </w:r>
      <w:r>
        <w:rPr>
          <w:rStyle w:val="OperatorTok"/>
        </w:rPr>
        <w:t xml:space="preserve">.</w:t>
      </w:r>
      <w:r>
        <w:rPr>
          <w:rStyle w:val="FunctionTok"/>
        </w:rPr>
        <w:t xml:space="preserve">keys</w:t>
      </w:r>
      <w:r>
        <w:rPr>
          <w:rStyle w:val="NormalTok"/>
        </w:rPr>
        <w:t xml:space="preserve">()) {</w:t>
      </w:r>
      <w:r>
        <w:br/>
      </w:r>
      <w:r>
        <w:rPr>
          <w:rStyle w:val="NormalTok"/>
        </w:rPr>
        <w:t xml:space="preserve">    Response</w:t>
      </w:r>
      <w:r>
        <w:rPr>
          <w:rStyle w:val="OperatorTok"/>
        </w:rPr>
        <w:t xml:space="preserve">.</w:t>
      </w:r>
      <w:r>
        <w:rPr>
          <w:rStyle w:val="FunctionTok"/>
        </w:rPr>
        <w:t xml:space="preserve">Write</w:t>
      </w:r>
      <w:r>
        <w:rPr>
          <w:rStyle w:val="NormalTok"/>
        </w:rPr>
        <w:t xml:space="preserve">(k </w:t>
      </w:r>
      <w:r>
        <w:rPr>
          <w:rStyle w:val="OperatorTok"/>
        </w:rPr>
        <w:t xml:space="preserve">+</w:t>
      </w:r>
      <w:r>
        <w:rPr>
          <w:rStyle w:val="NormalTok"/>
        </w:rPr>
        <w:t xml:space="preserve"> </w:t>
      </w:r>
      <w:r>
        <w:rPr>
          <w:rStyle w:val="StringTok"/>
        </w:rPr>
        <w:t xml:space="preserve">" "</w:t>
      </w:r>
      <w:r>
        <w:rPr>
          <w:rStyle w:val="NormalTok"/>
        </w:rPr>
        <w:t xml:space="preserve">)</w:t>
      </w:r>
      <w:r>
        <w:rPr>
          <w:rStyle w:val="OperatorTok"/>
        </w:rPr>
        <w:t xml:space="preserve">;</w:t>
      </w:r>
      <w:r>
        <w:br/>
      </w:r>
      <w:r>
        <w:rPr>
          <w:rStyle w:val="NormalTok"/>
        </w:rPr>
        <w:t xml:space="preserve">}</w:t>
      </w:r>
      <w:r>
        <w:br/>
      </w:r>
      <w:r>
        <w:rPr>
          <w:rStyle w:val="CommentTok"/>
        </w:rPr>
        <w:t xml:space="preserve">// Output: 0 1</w:t>
      </w:r>
      <w:r>
        <w:br/>
      </w:r>
      <w:r>
        <w:br/>
      </w:r>
      <w:r>
        <w:rPr>
          <w:rStyle w:val="ControlFlowTok"/>
        </w:rPr>
        <w:t xml:space="preserve">for</w:t>
      </w:r>
      <w:r>
        <w:rPr>
          <w:rStyle w:val="NormalTok"/>
        </w:rPr>
        <w:t xml:space="preserve"> (</w:t>
      </w:r>
      <w:r>
        <w:rPr>
          <w:rStyle w:val="KeywordTok"/>
        </w:rPr>
        <w:t xml:space="preserve">var</w:t>
      </w:r>
      <w:r>
        <w:rPr>
          <w:rStyle w:val="NormalTok"/>
        </w:rPr>
        <w:t xml:space="preserve"> e </w:t>
      </w:r>
      <w:r>
        <w:rPr>
          <w:rStyle w:val="KeywordTok"/>
        </w:rPr>
        <w:t xml:space="preserve">of</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20</w:t>
      </w:r>
      <w:r>
        <w:rPr>
          <w:rStyle w:val="NormalTok"/>
        </w:rPr>
        <w:t xml:space="preserve">]</w:t>
      </w:r>
      <w:r>
        <w:rPr>
          <w:rStyle w:val="OperatorTok"/>
        </w:rPr>
        <w:t xml:space="preserve">.</w:t>
      </w:r>
      <w:r>
        <w:rPr>
          <w:rStyle w:val="FunctionTok"/>
        </w:rPr>
        <w:t xml:space="preserve">entries</w:t>
      </w:r>
      <w:r>
        <w:rPr>
          <w:rStyle w:val="NormalTok"/>
        </w:rPr>
        <w:t xml:space="preserve">()) {</w:t>
      </w:r>
      <w:r>
        <w:br/>
      </w:r>
      <w:r>
        <w:rPr>
          <w:rStyle w:val="NormalTok"/>
        </w:rPr>
        <w:t xml:space="preserve">    Response</w:t>
      </w:r>
      <w:r>
        <w:rPr>
          <w:rStyle w:val="OperatorTok"/>
        </w:rPr>
        <w:t xml:space="preserve">.</w:t>
      </w:r>
      <w:r>
        <w:rPr>
          <w:rStyle w:val="FunctionTok"/>
        </w:rPr>
        <w:t xml:space="preserve">Write</w:t>
      </w:r>
      <w:r>
        <w:rPr>
          <w:rStyle w:val="NormalTok"/>
        </w:rPr>
        <w:t xml:space="preserve">(e[</w:t>
      </w:r>
      <w:r>
        <w:rPr>
          <w:rStyle w:val="DecValTok"/>
        </w:rPr>
        <w:t xml:space="preserve">0</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e[</w:t>
      </w:r>
      <w:r>
        <w:rPr>
          <w:rStyle w:val="DecValTok"/>
        </w:rPr>
        <w:t xml:space="preserve">1</w:t>
      </w:r>
      <w:r>
        <w:rPr>
          <w:rStyle w:val="NormalTok"/>
        </w:rPr>
        <w:t xml:space="preserve">] </w:t>
      </w:r>
      <w:r>
        <w:rPr>
          <w:rStyle w:val="OperatorTok"/>
        </w:rPr>
        <w:t xml:space="preserve">+</w:t>
      </w:r>
      <w:r>
        <w:rPr>
          <w:rStyle w:val="NormalTok"/>
        </w:rPr>
        <w:t xml:space="preserve"> </w:t>
      </w:r>
      <w:r>
        <w:rPr>
          <w:rStyle w:val="StringTok"/>
        </w:rPr>
        <w:t xml:space="preserve">" "</w:t>
      </w:r>
      <w:r>
        <w:rPr>
          <w:rStyle w:val="NormalTok"/>
        </w:rPr>
        <w:t xml:space="preserve">)</w:t>
      </w:r>
      <w:r>
        <w:rPr>
          <w:rStyle w:val="OperatorTok"/>
        </w:rPr>
        <w:t xml:space="preserve">;</w:t>
      </w:r>
      <w:r>
        <w:br/>
      </w:r>
      <w:r>
        <w:rPr>
          <w:rStyle w:val="NormalTok"/>
        </w:rPr>
        <w:t xml:space="preserve">}</w:t>
      </w:r>
      <w:r>
        <w:br/>
      </w:r>
      <w:r>
        <w:rPr>
          <w:rStyle w:val="CommentTok"/>
        </w:rPr>
        <w:t xml:space="preserve">// Output: 0:10 1:20</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"abc"</w:t>
      </w:r>
      <w:r>
        <w:rPr>
          <w:rStyle w:val="OperatorTok"/>
        </w:rPr>
        <w:t xml:space="preserve">.</w:t>
      </w:r>
      <w:r>
        <w:rPr>
          <w:rStyle w:val="FunctionTok"/>
        </w:rPr>
        <w:t xml:space="preserve">at</w:t>
      </w:r>
      <w:r>
        <w:rPr>
          <w:rStyle w:val="NormalTok"/>
        </w:rPr>
        <w:t xml:space="preserve">(</w:t>
      </w:r>
      <w:r>
        <w:rPr>
          <w:rStyle w:val="OperatorTok"/>
        </w:rPr>
        <w:t xml:space="preserve">-</w:t>
      </w:r>
      <w:r>
        <w:rPr>
          <w:rStyle w:val="DecValTok"/>
        </w:rPr>
        <w:t xml:space="preserve">1</w:t>
      </w:r>
      <w:r>
        <w:rPr>
          <w:rStyle w:val="NormalTok"/>
        </w:rPr>
        <w:t xml:space="preserve">))</w:t>
      </w:r>
      <w:r>
        <w:rPr>
          <w:rStyle w:val="OperatorTok"/>
        </w:rPr>
        <w:t xml:space="preserve">;</w:t>
      </w:r>
      <w:r>
        <w:br/>
      </w:r>
      <w:r>
        <w:rPr>
          <w:rStyle w:val="CommentTok"/>
        </w:rPr>
        <w:t xml:space="preserve">// Output: c</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36"/>
    <w:bookmarkEnd w:id="937"/>
    <w:bookmarkStart w:id="948" w:name="es6-string-methods"/>
    <w:p>
      <w:pPr>
        <w:pStyle w:val="Heading2"/>
      </w:pPr>
      <w:r>
        <w:t xml:space="preserve">ES6 String Methods</w:t>
      </w:r>
    </w:p>
    <w:p>
      <w:pPr>
        <w:pStyle w:val="FirstParagraph"/>
      </w:pPr>
      <w:r>
        <w:t xml:space="preserve">The following methods are available on</w:t>
      </w:r>
      <w:r>
        <w:t xml:space="preserve"> </w:t>
      </w:r>
      <w:r>
        <w:rPr>
          <w:rStyle w:val="VerbatimChar"/>
        </w:rPr>
        <w:t xml:space="preserve">String</w:t>
      </w:r>
      <w:r>
        <w:t xml:space="preserve"> </w:t>
      </w:r>
      <w:r>
        <w:t xml:space="preserve">values.</w:t>
      </w:r>
    </w:p>
    <w:bookmarkStart w:id="938" w:name="Xc9edd763d42c1b65878179ab4a8b37de916e080"/>
    <w:p>
      <w:pPr>
        <w:pStyle w:val="Heading3"/>
      </w:pPr>
      <w:r>
        <w:rPr>
          <w:rStyle w:val="VerbatimChar"/>
        </w:rPr>
        <w:t xml:space="preserve">String.prototype.includes(searchString[, position])</w:t>
      </w:r>
    </w:p>
    <w:p>
      <w:pPr>
        <w:pStyle w:val="FirstParagraph"/>
      </w:pPr>
      <w:r>
        <w:t xml:space="preserve">Returns</w:t>
      </w:r>
      <w:r>
        <w:t xml:space="preserve"> </w:t>
      </w:r>
      <w:r>
        <w:rPr>
          <w:rStyle w:val="VerbatimChar"/>
        </w:rPr>
        <w:t xml:space="preserve">true</w:t>
      </w:r>
      <w:r>
        <w:t xml:space="preserve"> </w:t>
      </w:r>
      <w:r>
        <w:t xml:space="preserve">if</w:t>
      </w:r>
      <w:r>
        <w:t xml:space="preserve"> </w:t>
      </w:r>
      <w:r>
        <w:rPr>
          <w:rStyle w:val="VerbatimChar"/>
        </w:rPr>
        <w:t xml:space="preserve">searchString</w:t>
      </w:r>
      <w:r>
        <w:t xml:space="preserve"> </w:t>
      </w:r>
      <w:r>
        <w:t xml:space="preserve">is found anywhere within the string at or after</w:t>
      </w:r>
      <w:r>
        <w:t xml:space="preserve"> </w:t>
      </w:r>
      <w:r>
        <w:rPr>
          <w:rStyle w:val="VerbatimChar"/>
        </w:rPr>
        <w:t xml:space="preserve">position</w:t>
      </w:r>
      <w:r>
        <w:t xml:space="preserve"> </w:t>
      </w:r>
      <w:r>
        <w:t xml:space="preserve">(default</w:t>
      </w:r>
      <w:r>
        <w:t xml:space="preserve"> </w:t>
      </w:r>
      <w:r>
        <w:rPr>
          <w:rStyle w:val="VerbatimChar"/>
        </w:rPr>
        <w:t xml:space="preserve">0</w:t>
      </w:r>
      <w:r>
        <w:t xml:space="preserve">);</w:t>
      </w:r>
      <w:r>
        <w:t xml:space="preserve"> </w:t>
      </w:r>
      <w:r>
        <w:rPr>
          <w:rStyle w:val="VerbatimChar"/>
        </w:rPr>
        <w:t xml:space="preserve">false</w:t>
      </w:r>
      <w:r>
        <w:t xml:space="preserve"> </w:t>
      </w:r>
      <w:r>
        <w:t xml:space="preserve">otherwise. Case-sensitive. Raises a</w:t>
      </w:r>
      <w:r>
        <w:t xml:space="preserve"> </w:t>
      </w:r>
      <w:r>
        <w:rPr>
          <w:rStyle w:val="VerbatimChar"/>
        </w:rPr>
        <w:t xml:space="preserve">TypeError</w:t>
      </w:r>
      <w:r>
        <w:t xml:space="preserve"> </w:t>
      </w:r>
      <w:r>
        <w:t xml:space="preserve">if</w:t>
      </w:r>
      <w:r>
        <w:t xml:space="preserve"> </w:t>
      </w:r>
      <w:r>
        <w:rPr>
          <w:rStyle w:val="VerbatimChar"/>
        </w:rPr>
        <w:t xml:space="preserve">searchString</w:t>
      </w:r>
      <w:r>
        <w:t xml:space="preserve"> </w:t>
      </w:r>
      <w:r>
        <w:t xml:space="preserve">is a</w:t>
      </w:r>
      <w:r>
        <w:t xml:space="preserve"> </w:t>
      </w:r>
      <w:r>
        <w:rPr>
          <w:rStyle w:val="VerbatimChar"/>
        </w:rPr>
        <w:t xml:space="preserve">RegExp</w:t>
      </w:r>
      <w:r>
        <w:t xml:space="preserve">.</w:t>
      </w:r>
    </w:p>
    <w:bookmarkEnd w:id="938"/>
    <w:bookmarkStart w:id="939" w:name="string.prototype.startswithsearchstring"/>
    <w:p>
      <w:pPr>
        <w:pStyle w:val="Heading3"/>
      </w:pPr>
      <w:r>
        <w:rPr>
          <w:rStyle w:val="VerbatimChar"/>
        </w:rPr>
        <w:t xml:space="preserve">String.prototype.startsWith(searchString)</w:t>
      </w:r>
    </w:p>
    <w:p>
      <w:pPr>
        <w:pStyle w:val="FirstParagraph"/>
      </w:pPr>
      <w:r>
        <w:t xml:space="preserve">Returns</w:t>
      </w:r>
      <w:r>
        <w:t xml:space="preserve"> </w:t>
      </w:r>
      <w:r>
        <w:rPr>
          <w:rStyle w:val="VerbatimChar"/>
        </w:rPr>
        <w:t xml:space="preserve">true</w:t>
      </w:r>
      <w:r>
        <w:t xml:space="preserve"> </w:t>
      </w:r>
      <w:r>
        <w:t xml:space="preserve">if the string begins with</w:t>
      </w:r>
      <w:r>
        <w:t xml:space="preserve"> </w:t>
      </w:r>
      <w:r>
        <w:rPr>
          <w:rStyle w:val="VerbatimChar"/>
        </w:rPr>
        <w:t xml:space="preserve">searchString</w:t>
      </w:r>
      <w:r>
        <w:t xml:space="preserve">;</w:t>
      </w:r>
      <w:r>
        <w:t xml:space="preserve"> </w:t>
      </w:r>
      <w:r>
        <w:rPr>
          <w:rStyle w:val="VerbatimChar"/>
        </w:rPr>
        <w:t xml:space="preserve">false</w:t>
      </w:r>
      <w:r>
        <w:t xml:space="preserve"> </w:t>
      </w:r>
      <w:r>
        <w:t xml:space="preserve">otherwise. Case-sensitive.</w:t>
      </w:r>
    </w:p>
    <w:bookmarkEnd w:id="939"/>
    <w:bookmarkStart w:id="940" w:name="string.prototype.endswithsearchstring"/>
    <w:p>
      <w:pPr>
        <w:pStyle w:val="Heading3"/>
      </w:pPr>
      <w:r>
        <w:rPr>
          <w:rStyle w:val="VerbatimChar"/>
        </w:rPr>
        <w:t xml:space="preserve">String.prototype.endsWith(searchString)</w:t>
      </w:r>
    </w:p>
    <w:p>
      <w:pPr>
        <w:pStyle w:val="FirstParagraph"/>
      </w:pPr>
      <w:r>
        <w:t xml:space="preserve">Returns</w:t>
      </w:r>
      <w:r>
        <w:t xml:space="preserve"> </w:t>
      </w:r>
      <w:r>
        <w:rPr>
          <w:rStyle w:val="VerbatimChar"/>
        </w:rPr>
        <w:t xml:space="preserve">true</w:t>
      </w:r>
      <w:r>
        <w:t xml:space="preserve"> </w:t>
      </w:r>
      <w:r>
        <w:t xml:space="preserve">if the string ends with</w:t>
      </w:r>
      <w:r>
        <w:t xml:space="preserve"> </w:t>
      </w:r>
      <w:r>
        <w:rPr>
          <w:rStyle w:val="VerbatimChar"/>
        </w:rPr>
        <w:t xml:space="preserve">searchString</w:t>
      </w:r>
      <w:r>
        <w:t xml:space="preserve">;</w:t>
      </w:r>
      <w:r>
        <w:t xml:space="preserve"> </w:t>
      </w:r>
      <w:r>
        <w:rPr>
          <w:rStyle w:val="VerbatimChar"/>
        </w:rPr>
        <w:t xml:space="preserve">false</w:t>
      </w:r>
      <w:r>
        <w:t xml:space="preserve"> </w:t>
      </w:r>
      <w:r>
        <w:t xml:space="preserve">otherwise. Case-sensitive.</w:t>
      </w:r>
    </w:p>
    <w:bookmarkEnd w:id="940"/>
    <w:bookmarkStart w:id="941" w:name="string.prototype.repeatcount"/>
    <w:p>
      <w:pPr>
        <w:pStyle w:val="Heading3"/>
      </w:pPr>
      <w:r>
        <w:rPr>
          <w:rStyle w:val="VerbatimChar"/>
        </w:rPr>
        <w:t xml:space="preserve">String.prototype.repeat(count)</w:t>
      </w:r>
    </w:p>
    <w:p>
      <w:pPr>
        <w:pStyle w:val="FirstParagraph"/>
      </w:pPr>
      <w:r>
        <w:t xml:space="preserve">Returns a new string containing</w:t>
      </w:r>
      <w:r>
        <w:t xml:space="preserve"> </w:t>
      </w:r>
      <w:r>
        <w:rPr>
          <w:rStyle w:val="VerbatimChar"/>
        </w:rPr>
        <w:t xml:space="preserve">count</w:t>
      </w:r>
      <w:r>
        <w:t xml:space="preserve"> </w:t>
      </w:r>
      <w:r>
        <w:t xml:space="preserve">repetitions of the original string. Returns an empty string if</w:t>
      </w:r>
      <w:r>
        <w:t xml:space="preserve"> </w:t>
      </w:r>
      <w:r>
        <w:rPr>
          <w:rStyle w:val="VerbatimChar"/>
        </w:rPr>
        <w:t xml:space="preserve">count</w:t>
      </w:r>
      <w:r>
        <w:t xml:space="preserve"> </w:t>
      </w:r>
      <w:r>
        <w:t xml:space="preserve">is 0.</w:t>
      </w:r>
    </w:p>
    <w:bookmarkEnd w:id="941"/>
    <w:bookmarkStart w:id="942" w:name="string.prototype.atindex"/>
    <w:p>
      <w:pPr>
        <w:pStyle w:val="Heading3"/>
      </w:pPr>
      <w:r>
        <w:rPr>
          <w:rStyle w:val="VerbatimChar"/>
        </w:rPr>
        <w:t xml:space="preserve">String.prototype.at(index)</w:t>
      </w:r>
    </w:p>
    <w:p>
      <w:pPr>
        <w:pStyle w:val="FirstParagraph"/>
      </w:pPr>
      <w:r>
        <w:t xml:space="preserve">Returns the character at the specified</w:t>
      </w:r>
      <w:r>
        <w:t xml:space="preserve"> </w:t>
      </w:r>
      <w:r>
        <w:rPr>
          <w:rStyle w:val="VerbatimChar"/>
        </w:rPr>
        <w:t xml:space="preserve">index</w:t>
      </w:r>
      <w:r>
        <w:t xml:space="preserve">. Supports relative indexing from the end if</w:t>
      </w:r>
      <w:r>
        <w:t xml:space="preserve"> </w:t>
      </w:r>
      <w:r>
        <w:rPr>
          <w:rStyle w:val="VerbatimChar"/>
        </w:rPr>
        <w:t xml:space="preserve">index</w:t>
      </w:r>
      <w:r>
        <w:t xml:space="preserve"> </w:t>
      </w:r>
      <w:r>
        <w:t xml:space="preserve">is negative.</w:t>
      </w:r>
    </w:p>
    <w:bookmarkEnd w:id="942"/>
    <w:bookmarkStart w:id="943" w:name="string.prototype.codepointatposition"/>
    <w:p>
      <w:pPr>
        <w:pStyle w:val="Heading3"/>
      </w:pPr>
      <w:r>
        <w:rPr>
          <w:rStyle w:val="VerbatimChar"/>
        </w:rPr>
        <w:t xml:space="preserve">String.prototype.codePointAt(position)</w:t>
      </w:r>
    </w:p>
    <w:p>
      <w:pPr>
        <w:pStyle w:val="FirstParagraph"/>
      </w:pPr>
      <w:r>
        <w:t xml:space="preserve">Returns the Unicode code point value at</w:t>
      </w:r>
      <w:r>
        <w:t xml:space="preserve"> </w:t>
      </w:r>
      <w:r>
        <w:rPr>
          <w:rStyle w:val="VerbatimChar"/>
        </w:rPr>
        <w:t xml:space="preserve">position</w:t>
      </w:r>
      <w:r>
        <w:t xml:space="preserve">. If</w:t>
      </w:r>
      <w:r>
        <w:t xml:space="preserve"> </w:t>
      </w:r>
      <w:r>
        <w:rPr>
          <w:rStyle w:val="VerbatimChar"/>
        </w:rPr>
        <w:t xml:space="preserve">position</w:t>
      </w:r>
      <w:r>
        <w:t xml:space="preserve"> </w:t>
      </w:r>
      <w:r>
        <w:t xml:space="preserve">is out of range, returns</w:t>
      </w:r>
      <w:r>
        <w:t xml:space="preserve"> </w:t>
      </w:r>
      <w:r>
        <w:rPr>
          <w:rStyle w:val="VerbatimChar"/>
        </w:rPr>
        <w:t xml:space="preserve">undefined</w:t>
      </w:r>
      <w:r>
        <w:t xml:space="preserve">.</w:t>
      </w:r>
    </w:p>
    <w:bookmarkEnd w:id="943"/>
    <w:bookmarkStart w:id="944" w:name="string.prototype.normalizeform"/>
    <w:p>
      <w:pPr>
        <w:pStyle w:val="Heading3"/>
      </w:pPr>
      <w:r>
        <w:rPr>
          <w:rStyle w:val="VerbatimChar"/>
        </w:rPr>
        <w:t xml:space="preserve">String.prototype.normalize([form])</w:t>
      </w:r>
    </w:p>
    <w:p>
      <w:pPr>
        <w:pStyle w:val="FirstParagraph"/>
      </w:pPr>
      <w:r>
        <w:t xml:space="preserve">Returns the Unicode Normalization Form of the string. Supported values are</w:t>
      </w:r>
      <w:r>
        <w:t xml:space="preserve"> </w:t>
      </w:r>
      <w:r>
        <w:rPr>
          <w:rStyle w:val="VerbatimChar"/>
        </w:rPr>
        <w:t xml:space="preserve">NFC</w:t>
      </w:r>
      <w:r>
        <w:t xml:space="preserve">,</w:t>
      </w:r>
      <w:r>
        <w:t xml:space="preserve"> </w:t>
      </w:r>
      <w:r>
        <w:rPr>
          <w:rStyle w:val="VerbatimChar"/>
        </w:rPr>
        <w:t xml:space="preserve">NFD</w:t>
      </w:r>
      <w:r>
        <w:t xml:space="preserve">,</w:t>
      </w:r>
      <w:r>
        <w:t xml:space="preserve"> </w:t>
      </w:r>
      <w:r>
        <w:rPr>
          <w:rStyle w:val="VerbatimChar"/>
        </w:rPr>
        <w:t xml:space="preserve">NFKC</w:t>
      </w:r>
      <w:r>
        <w:t xml:space="preserve">, and</w:t>
      </w:r>
      <w:r>
        <w:t xml:space="preserve"> </w:t>
      </w:r>
      <w:r>
        <w:rPr>
          <w:rStyle w:val="VerbatimChar"/>
        </w:rPr>
        <w:t xml:space="preserve">NFKD</w:t>
      </w:r>
      <w:r>
        <w:t xml:space="preserve">. If omitted,</w:t>
      </w:r>
      <w:r>
        <w:t xml:space="preserve"> </w:t>
      </w:r>
      <w:r>
        <w:rPr>
          <w:rStyle w:val="VerbatimChar"/>
        </w:rPr>
        <w:t xml:space="preserve">NFC</w:t>
      </w:r>
      <w:r>
        <w:t xml:space="preserve"> </w:t>
      </w:r>
      <w:r>
        <w:t xml:space="preserve">is used.</w:t>
      </w:r>
    </w:p>
    <w:bookmarkEnd w:id="944"/>
    <w:bookmarkStart w:id="945" w:name="X3903cb0f5db9adfd0482e982b32cc7739998738"/>
    <w:p>
      <w:pPr>
        <w:pStyle w:val="Heading3"/>
      </w:pPr>
      <w:r>
        <w:rPr>
          <w:rStyle w:val="VerbatimChar"/>
        </w:rPr>
        <w:t xml:space="preserve">String.prototype.padStart(targetLength, padString)</w:t>
      </w:r>
    </w:p>
    <w:p>
      <w:pPr>
        <w:pStyle w:val="FirstParagraph"/>
      </w:pPr>
      <w:r>
        <w:t xml:space="preserve">Pads the string from the start with</w:t>
      </w:r>
      <w:r>
        <w:t xml:space="preserve"> </w:t>
      </w:r>
      <w:r>
        <w:rPr>
          <w:rStyle w:val="VerbatimChar"/>
        </w:rPr>
        <w:t xml:space="preserve">padString</w:t>
      </w:r>
      <w:r>
        <w:t xml:space="preserve"> </w:t>
      </w:r>
      <w:r>
        <w:t xml:space="preserve">until the total length reaches</w:t>
      </w:r>
      <w:r>
        <w:t xml:space="preserve"> </w:t>
      </w:r>
      <w:r>
        <w:rPr>
          <w:rStyle w:val="VerbatimChar"/>
        </w:rPr>
        <w:t xml:space="preserve">targetLength</w:t>
      </w:r>
      <w:r>
        <w:t xml:space="preserve">. If</w:t>
      </w:r>
      <w:r>
        <w:t xml:space="preserve"> </w:t>
      </w:r>
      <w:r>
        <w:rPr>
          <w:rStyle w:val="VerbatimChar"/>
        </w:rPr>
        <w:t xml:space="preserve">padString</w:t>
      </w:r>
      <w:r>
        <w:t xml:space="preserve"> </w:t>
      </w:r>
      <w:r>
        <w:t xml:space="preserve">is not supplied, spaces are used.</w:t>
      </w:r>
    </w:p>
    <w:bookmarkEnd w:id="945"/>
    <w:bookmarkStart w:id="946" w:name="X35ad4020f72896c119d6ac7e078622a73b5a6f1"/>
    <w:p>
      <w:pPr>
        <w:pStyle w:val="Heading3"/>
      </w:pPr>
      <w:r>
        <w:rPr>
          <w:rStyle w:val="VerbatimChar"/>
        </w:rPr>
        <w:t xml:space="preserve">String.prototype.padEnd(targetLength, padString)</w:t>
      </w:r>
    </w:p>
    <w:p>
      <w:pPr>
        <w:pStyle w:val="FirstParagraph"/>
      </w:pPr>
      <w:r>
        <w:t xml:space="preserve">Pads the string from the end with</w:t>
      </w:r>
      <w:r>
        <w:t xml:space="preserve"> </w:t>
      </w:r>
      <w:r>
        <w:rPr>
          <w:rStyle w:val="VerbatimChar"/>
        </w:rPr>
        <w:t xml:space="preserve">padString</w:t>
      </w:r>
      <w:r>
        <w:t xml:space="preserve"> </w:t>
      </w:r>
      <w:r>
        <w:t xml:space="preserve">until the total length reaches</w:t>
      </w:r>
      <w:r>
        <w:t xml:space="preserve"> </w:t>
      </w:r>
      <w:r>
        <w:rPr>
          <w:rStyle w:val="VerbatimChar"/>
        </w:rPr>
        <w:t xml:space="preserve">targetLength</w:t>
      </w:r>
      <w:r>
        <w:t xml:space="preserve">. If</w:t>
      </w:r>
      <w:r>
        <w:t xml:space="preserve"> </w:t>
      </w:r>
      <w:r>
        <w:rPr>
          <w:rStyle w:val="VerbatimChar"/>
        </w:rPr>
        <w:t xml:space="preserve">padString</w:t>
      </w:r>
      <w:r>
        <w:t xml:space="preserve"> </w:t>
      </w:r>
      <w:r>
        <w:t xml:space="preserve">is not supplied, spaces are used.</w:t>
      </w:r>
    </w:p>
    <w:bookmarkEnd w:id="946"/>
    <w:bookmarkStart w:id="947" w:name="code-example-45"/>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s </w:t>
      </w:r>
      <w:r>
        <w:rPr>
          <w:rStyle w:val="OperatorTok"/>
        </w:rPr>
        <w:t xml:space="preserve">=</w:t>
      </w:r>
      <w:r>
        <w:rPr>
          <w:rStyle w:val="NormalTok"/>
        </w:rPr>
        <w:t xml:space="preserve"> </w:t>
      </w:r>
      <w:r>
        <w:rPr>
          <w:rStyle w:val="StringTok"/>
        </w:rPr>
        <w:t xml:space="preserve">"Hello World"</w:t>
      </w:r>
      <w:r>
        <w:rPr>
          <w:rStyle w:val="OperatorTok"/>
        </w:rPr>
        <w:t xml:space="preserve">;</w:t>
      </w:r>
      <w:r>
        <w:br/>
      </w:r>
      <w:r>
        <w:br/>
      </w:r>
      <w:r>
        <w:rPr>
          <w:rStyle w:val="NormalTok"/>
        </w:rPr>
        <w:t xml:space="preserve">Response</w:t>
      </w:r>
      <w:r>
        <w:rPr>
          <w:rStyle w:val="OperatorTok"/>
        </w:rPr>
        <w:t xml:space="preserve">.</w:t>
      </w:r>
      <w:r>
        <w:rPr>
          <w:rStyle w:val="FunctionTok"/>
        </w:rPr>
        <w:t xml:space="preserve">Write</w:t>
      </w:r>
      <w:r>
        <w:rPr>
          <w:rStyle w:val="NormalTok"/>
        </w:rPr>
        <w:t xml:space="preserve">(s</w:t>
      </w:r>
      <w:r>
        <w:rPr>
          <w:rStyle w:val="OperatorTok"/>
        </w:rPr>
        <w:t xml:space="preserve">.</w:t>
      </w:r>
      <w:r>
        <w:rPr>
          <w:rStyle w:val="FunctionTok"/>
        </w:rPr>
        <w:t xml:space="preserve">includes</w:t>
      </w:r>
      <w:r>
        <w:rPr>
          <w:rStyle w:val="NormalTok"/>
        </w:rPr>
        <w:t xml:space="preserve">(</w:t>
      </w:r>
      <w:r>
        <w:rPr>
          <w:rStyle w:val="StringTok"/>
        </w:rPr>
        <w:t xml:space="preserve">"World"</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(s</w:t>
      </w:r>
      <w:r>
        <w:rPr>
          <w:rStyle w:val="OperatorTok"/>
        </w:rPr>
        <w:t xml:space="preserve">.</w:t>
      </w:r>
      <w:r>
        <w:rPr>
          <w:rStyle w:val="FunctionTok"/>
        </w:rPr>
        <w:t xml:space="preserve">includes</w:t>
      </w:r>
      <w:r>
        <w:rPr>
          <w:rStyle w:val="NormalTok"/>
        </w:rPr>
        <w:t xml:space="preserve">(</w:t>
      </w:r>
      <w:r>
        <w:rPr>
          <w:rStyle w:val="StringTok"/>
        </w:rPr>
        <w:t xml:space="preserve">"World"</w:t>
      </w:r>
      <w:r>
        <w:rPr>
          <w:rStyle w:val="OperatorTok"/>
        </w:rPr>
        <w:t xml:space="preserve">,</w:t>
      </w:r>
      <w:r>
        <w:rPr>
          <w:rStyle w:val="NormalTok"/>
        </w:rPr>
        <w:t xml:space="preserve"> </w:t>
      </w:r>
      <w:r>
        <w:rPr>
          <w:rStyle w:val="DecValTok"/>
        </w:rPr>
        <w:t xml:space="preserve">6</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(s</w:t>
      </w:r>
      <w:r>
        <w:rPr>
          <w:rStyle w:val="OperatorTok"/>
        </w:rPr>
        <w:t xml:space="preserve">.</w:t>
      </w:r>
      <w:r>
        <w:rPr>
          <w:rStyle w:val="FunctionTok"/>
        </w:rPr>
        <w:t xml:space="preserve">startsWith</w:t>
      </w:r>
      <w:r>
        <w:rPr>
          <w:rStyle w:val="NormalTok"/>
        </w:rPr>
        <w:t xml:space="preserve">(</w:t>
      </w:r>
      <w:r>
        <w:rPr>
          <w:rStyle w:val="StringTok"/>
        </w:rPr>
        <w:t xml:space="preserve">"Hello"</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(s</w:t>
      </w:r>
      <w:r>
        <w:rPr>
          <w:rStyle w:val="OperatorTok"/>
        </w:rPr>
        <w:t xml:space="preserve">.</w:t>
      </w:r>
      <w:r>
        <w:rPr>
          <w:rStyle w:val="FunctionTok"/>
        </w:rPr>
        <w:t xml:space="preserve">endsWith</w:t>
      </w:r>
      <w:r>
        <w:rPr>
          <w:rStyle w:val="NormalTok"/>
        </w:rPr>
        <w:t xml:space="preserve">(</w:t>
      </w:r>
      <w:r>
        <w:rPr>
          <w:rStyle w:val="StringTok"/>
        </w:rPr>
        <w:t xml:space="preserve">"World"</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"ab"</w:t>
      </w:r>
      <w:r>
        <w:rPr>
          <w:rStyle w:val="OperatorTok"/>
        </w:rPr>
        <w:t xml:space="preserve">.</w:t>
      </w:r>
      <w:r>
        <w:rPr>
          <w:rStyle w:val="FunctionTok"/>
        </w:rPr>
        <w:t xml:space="preserve">repeat</w:t>
      </w:r>
      <w:r>
        <w:rPr>
          <w:rStyle w:val="NormalTok"/>
        </w:rPr>
        <w:t xml:space="preserve">(</w:t>
      </w:r>
      <w:r>
        <w:rPr>
          <w:rStyle w:val="DecValTok"/>
        </w:rPr>
        <w:t xml:space="preserve">3</w:t>
      </w:r>
      <w:r>
        <w:rPr>
          <w:rStyle w:val="NormalTok"/>
        </w:rPr>
        <w:t xml:space="preserve">))</w:t>
      </w:r>
      <w:r>
        <w:rPr>
          <w:rStyle w:val="OperatorTok"/>
        </w:rPr>
        <w:t xml:space="preserve">;</w:t>
      </w:r>
      <w:r>
        <w:rPr>
          <w:rStyle w:val="NormalTok"/>
        </w:rPr>
        <w:t xml:space="preserve">             </w:t>
      </w:r>
      <w:r>
        <w:rPr>
          <w:rStyle w:val="CommentTok"/>
        </w:rPr>
        <w:t xml:space="preserve">// Output: ababab</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"5"</w:t>
      </w:r>
      <w:r>
        <w:rPr>
          <w:rStyle w:val="OperatorTok"/>
        </w:rPr>
        <w:t xml:space="preserve">.</w:t>
      </w:r>
      <w:r>
        <w:rPr>
          <w:rStyle w:val="FunctionTok"/>
        </w:rPr>
        <w:t xml:space="preserve">padStart</w:t>
      </w:r>
      <w:r>
        <w:rPr>
          <w:rStyle w:val="NormalTok"/>
        </w:rPr>
        <w:t xml:space="preserve">(</w:t>
      </w:r>
      <w:r>
        <w:rPr>
          <w:rStyle w:val="DecValTok"/>
        </w:rPr>
        <w:t xml:space="preserve">3</w:t>
      </w:r>
      <w:r>
        <w:rPr>
          <w:rStyle w:val="OperatorTok"/>
        </w:rPr>
        <w:t xml:space="preserve">,</w:t>
      </w:r>
      <w:r>
        <w:rPr>
          <w:rStyle w:val="NormalTok"/>
        </w:rPr>
        <w:t xml:space="preserve"> </w:t>
      </w:r>
      <w:r>
        <w:rPr>
          <w:rStyle w:val="StringTok"/>
        </w:rPr>
        <w:t xml:space="preserve">"0"</w:t>
      </w:r>
      <w:r>
        <w:rPr>
          <w:rStyle w:val="NormalTok"/>
        </w:rPr>
        <w:t xml:space="preserve">))</w:t>
      </w:r>
      <w:r>
        <w:rPr>
          <w:rStyle w:val="OperatorTok"/>
        </w:rPr>
        <w:t xml:space="preserve">;</w:t>
      </w:r>
      <w:r>
        <w:rPr>
          <w:rStyle w:val="NormalTok"/>
        </w:rPr>
        <w:t xml:space="preserve">       </w:t>
      </w:r>
      <w:r>
        <w:rPr>
          <w:rStyle w:val="CommentTok"/>
        </w:rPr>
        <w:t xml:space="preserve">// Output: 005</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"5"</w:t>
      </w:r>
      <w:r>
        <w:rPr>
          <w:rStyle w:val="OperatorTok"/>
        </w:rPr>
        <w:t xml:space="preserve">.</w:t>
      </w:r>
      <w:r>
        <w:rPr>
          <w:rStyle w:val="FunctionTok"/>
        </w:rPr>
        <w:t xml:space="preserve">padEnd</w:t>
      </w:r>
      <w:r>
        <w:rPr>
          <w:rStyle w:val="NormalTok"/>
        </w:rPr>
        <w:t xml:space="preserve">(</w:t>
      </w:r>
      <w:r>
        <w:rPr>
          <w:rStyle w:val="DecValTok"/>
        </w:rPr>
        <w:t xml:space="preserve">3</w:t>
      </w:r>
      <w:r>
        <w:rPr>
          <w:rStyle w:val="OperatorTok"/>
        </w:rPr>
        <w:t xml:space="preserve">,</w:t>
      </w:r>
      <w:r>
        <w:rPr>
          <w:rStyle w:val="NormalTok"/>
        </w:rPr>
        <w:t xml:space="preserve"> </w:t>
      </w:r>
      <w:r>
        <w:rPr>
          <w:rStyle w:val="StringTok"/>
        </w:rPr>
        <w:t xml:space="preserve">"0"</w:t>
      </w:r>
      <w:r>
        <w:rPr>
          <w:rStyle w:val="NormalTok"/>
        </w:rPr>
        <w:t xml:space="preserve">))</w:t>
      </w:r>
      <w:r>
        <w:rPr>
          <w:rStyle w:val="OperatorTok"/>
        </w:rPr>
        <w:t xml:space="preserve">;</w:t>
      </w:r>
      <w:r>
        <w:rPr>
          <w:rStyle w:val="NormalTok"/>
        </w:rPr>
        <w:t xml:space="preserve">         </w:t>
      </w:r>
      <w:r>
        <w:rPr>
          <w:rStyle w:val="CommentTok"/>
        </w:rPr>
        <w:t xml:space="preserve">// Output: 500</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"A😀B"</w:t>
      </w:r>
      <w:r>
        <w:rPr>
          <w:rStyle w:val="OperatorTok"/>
        </w:rPr>
        <w:t xml:space="preserve">.</w:t>
      </w:r>
      <w:r>
        <w:rPr>
          <w:rStyle w:val="FunctionTok"/>
        </w:rPr>
        <w:t xml:space="preserve">codePointAt</w:t>
      </w:r>
      <w:r>
        <w:rPr>
          <w:rStyle w:val="NormalTok"/>
        </w:rPr>
        <w:t xml:space="preserve">(</w:t>
      </w:r>
      <w:r>
        <w:rPr>
          <w:rStyle w:val="DecValTok"/>
        </w:rPr>
        <w:t xml:space="preserve">1</w:t>
      </w:r>
      <w:r>
        <w:rPr>
          <w:rStyle w:val="NormalTok"/>
        </w:rPr>
        <w:t xml:space="preserve">))</w:t>
      </w:r>
      <w:r>
        <w:rPr>
          <w:rStyle w:val="OperatorTok"/>
        </w:rPr>
        <w:t xml:space="preserve">;</w:t>
      </w:r>
      <w:r>
        <w:rPr>
          <w:rStyle w:val="NormalTok"/>
        </w:rPr>
        <w:t xml:space="preserve">       </w:t>
      </w:r>
      <w:r>
        <w:rPr>
          <w:rStyle w:val="CommentTok"/>
        </w:rPr>
        <w:t xml:space="preserve">// Output: 128512</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"e</w:t>
      </w:r>
      <w:r>
        <w:rPr>
          <w:rStyle w:val="SpecialCharTok"/>
        </w:rPr>
        <w:t xml:space="preserve">\u0301</w:t>
      </w:r>
      <w:r>
        <w:rPr>
          <w:rStyle w:val="StringTok"/>
        </w:rPr>
        <w:t xml:space="preserve">"</w:t>
      </w:r>
      <w:r>
        <w:rPr>
          <w:rStyle w:val="OperatorTok"/>
        </w:rPr>
        <w:t xml:space="preserve">.</w:t>
      </w:r>
      <w:r>
        <w:rPr>
          <w:rStyle w:val="FunctionTok"/>
        </w:rPr>
        <w:t xml:space="preserve">normalize</w:t>
      </w:r>
      <w:r>
        <w:rPr>
          <w:rStyle w:val="NormalTok"/>
        </w:rPr>
        <w:t xml:space="preserve">(</w:t>
      </w:r>
      <w:r>
        <w:rPr>
          <w:rStyle w:val="StringTok"/>
        </w:rPr>
        <w:t xml:space="preserve">"NFC"</w:t>
      </w:r>
      <w:r>
        <w:rPr>
          <w:rStyle w:val="NormalTok"/>
        </w:rPr>
        <w:t xml:space="preserve">))</w:t>
      </w:r>
      <w:r>
        <w:rPr>
          <w:rStyle w:val="OperatorTok"/>
        </w:rPr>
        <w:t xml:space="preserve">;</w:t>
      </w:r>
      <w:r>
        <w:rPr>
          <w:rStyle w:val="NormalTok"/>
        </w:rPr>
        <w:t xml:space="preserve"> </w:t>
      </w:r>
      <w:r>
        <w:rPr>
          <w:rStyle w:val="CommentTok"/>
        </w:rPr>
        <w:t xml:space="preserve">// Output: é</w:t>
      </w:r>
      <w:r>
        <w:br/>
      </w:r>
      <w:r>
        <w:br/>
      </w:r>
      <w:r>
        <w:rPr>
          <w:rStyle w:val="KeywordTok"/>
        </w:rPr>
        <w:t xml:space="preserve">var</w:t>
      </w:r>
      <w:r>
        <w:rPr>
          <w:rStyle w:val="NormalTok"/>
        </w:rPr>
        <w:t xml:space="preserve"> regexError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ControlFlowTok"/>
        </w:rPr>
        <w:t xml:space="preserve">try</w:t>
      </w:r>
      <w:r>
        <w:rPr>
          <w:rStyle w:val="NormalTok"/>
        </w:rPr>
        <w:t xml:space="preserve"> {</w:t>
      </w:r>
      <w:r>
        <w:br/>
      </w:r>
      <w:r>
        <w:rPr>
          <w:rStyle w:val="NormalTok"/>
        </w:rPr>
        <w:t xml:space="preserve">    </w:t>
      </w:r>
      <w:r>
        <w:rPr>
          <w:rStyle w:val="StringTok"/>
        </w:rPr>
        <w:t xml:space="preserve">"hello"</w:t>
      </w:r>
      <w:r>
        <w:rPr>
          <w:rStyle w:val="OperatorTok"/>
        </w:rPr>
        <w:t xml:space="preserve">.</w:t>
      </w:r>
      <w:r>
        <w:rPr>
          <w:rStyle w:val="FunctionTok"/>
        </w:rPr>
        <w:t xml:space="preserve">includes</w:t>
      </w:r>
      <w:r>
        <w:rPr>
          <w:rStyle w:val="NormalTok"/>
        </w:rPr>
        <w:t xml:space="preserve">(</w:t>
      </w:r>
      <w:r>
        <w:rPr>
          <w:rStyle w:val="KeywordTok"/>
        </w:rPr>
        <w:t xml:space="preserve">new</w:t>
      </w:r>
      <w:r>
        <w:rPr>
          <w:rStyle w:val="NormalTok"/>
        </w:rPr>
        <w:t xml:space="preserve"> </w:t>
      </w:r>
      <w:r>
        <w:rPr>
          <w:rStyle w:val="BuiltInTok"/>
        </w:rPr>
        <w:t xml:space="preserve">RegExp</w:t>
      </w:r>
      <w:r>
        <w:rPr>
          <w:rStyle w:val="NormalTok"/>
        </w:rPr>
        <w:t xml:space="preserve">(</w:t>
      </w:r>
      <w:r>
        <w:rPr>
          <w:rStyle w:val="StringTok"/>
        </w:rPr>
        <w:t xml:space="preserve">"h"</w:t>
      </w:r>
      <w:r>
        <w:rPr>
          <w:rStyle w:val="NormalTok"/>
        </w:rPr>
        <w:t xml:space="preserve">))</w:t>
      </w:r>
      <w:r>
        <w:rPr>
          <w:rStyle w:val="OperatorTok"/>
        </w:rPr>
        <w:t xml:space="preserve">;</w:t>
      </w:r>
      <w:r>
        <w:br/>
      </w:r>
      <w:r>
        <w:rPr>
          <w:rStyle w:val="NormalTok"/>
        </w:rPr>
        <w:t xml:space="preserve">} </w:t>
      </w:r>
      <w:r>
        <w:rPr>
          <w:rStyle w:val="ControlFlowTok"/>
        </w:rPr>
        <w:t xml:space="preserve">catch</w:t>
      </w:r>
      <w:r>
        <w:rPr>
          <w:rStyle w:val="NormalTok"/>
        </w:rPr>
        <w:t xml:space="preserve"> (e) {</w:t>
      </w:r>
      <w:r>
        <w:br/>
      </w:r>
      <w:r>
        <w:rPr>
          <w:rStyle w:val="NormalTok"/>
        </w:rPr>
        <w:t xml:space="preserve">    regexError </w:t>
      </w:r>
      <w:r>
        <w:rPr>
          <w:rStyle w:val="OperatorTok"/>
        </w:rPr>
        <w:t xml:space="preserve">=</w:t>
      </w:r>
      <w:r>
        <w:rPr>
          <w:rStyle w:val="NormalTok"/>
        </w:rPr>
        <w:t xml:space="preserve"> </w:t>
      </w:r>
      <w:r>
        <w:rPr>
          <w:rStyle w:val="BuiltInTok"/>
        </w:rPr>
        <w:t xml:space="preserve">String</w:t>
      </w:r>
      <w:r>
        <w:rPr>
          <w:rStyle w:val="NormalTok"/>
        </w:rPr>
        <w:t xml:space="preserve">(e)</w:t>
      </w:r>
      <w:r>
        <w:rPr>
          <w:rStyle w:val="OperatorTok"/>
        </w:rPr>
        <w:t xml:space="preserve">.</w:t>
      </w:r>
      <w:r>
        <w:rPr>
          <w:rStyle w:val="FunctionTok"/>
        </w:rPr>
        <w:t xml:space="preserve">indexOf</w:t>
      </w:r>
      <w:r>
        <w:rPr>
          <w:rStyle w:val="NormalTok"/>
        </w:rPr>
        <w:t xml:space="preserve">(</w:t>
      </w:r>
      <w:r>
        <w:rPr>
          <w:rStyle w:val="StringTok"/>
        </w:rPr>
        <w:t xml:space="preserve">"TypeError"</w:t>
      </w:r>
      <w:r>
        <w:rPr>
          <w:rStyle w:val="NormalTok"/>
        </w:rPr>
        <w:t xml:space="preserve">) </w:t>
      </w:r>
      <w:r>
        <w:rPr>
          <w:rStyle w:val="OperatorTok"/>
        </w:rPr>
        <w:t xml:space="preserve">!==</w:t>
      </w:r>
      <w:r>
        <w:rPr>
          <w:rStyle w:val="NormalTok"/>
        </w:rPr>
        <w:t xml:space="preserve"> </w:t>
      </w:r>
      <w:r>
        <w:rPr>
          <w:rStyle w:val="OperatorTok"/>
        </w:rPr>
        <w:t xml:space="preserve">-</w:t>
      </w:r>
      <w:r>
        <w:rPr>
          <w:rStyle w:val="DecValTok"/>
        </w:rPr>
        <w:t xml:space="preserve">1</w:t>
      </w:r>
      <w:r>
        <w:rPr>
          <w:rStyle w:val="OperatorTok"/>
        </w:rPr>
        <w:t xml:space="preserve">;</w:t>
      </w:r>
      <w:r>
        <w:br/>
      </w:r>
      <w:r>
        <w:rPr>
          <w:rStyle w:val="Normal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(regexError)</w:t>
      </w:r>
      <w:r>
        <w:rPr>
          <w:rStyle w:val="OperatorTok"/>
        </w:rPr>
        <w:t xml:space="preserve">;</w:t>
      </w:r>
      <w:r>
        <w:rPr>
          <w:rStyle w:val="NormalTok"/>
        </w:rPr>
        <w:t xml:space="preserve">                 </w:t>
      </w:r>
      <w:r>
        <w:rPr>
          <w:rStyle w:val="CommentTok"/>
        </w:rPr>
        <w:t xml:space="preserve">// Output: true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47"/>
    <w:bookmarkEnd w:id="948"/>
    <w:bookmarkStart w:id="957" w:name="es6-number-static-methods"/>
    <w:p>
      <w:pPr>
        <w:pStyle w:val="Heading2"/>
      </w:pPr>
      <w:r>
        <w:t xml:space="preserve">ES6 Number Static Methods</w:t>
      </w:r>
    </w:p>
    <w:p>
      <w:pPr>
        <w:pStyle w:val="FirstParagraph"/>
      </w:pPr>
      <w:r>
        <w:t xml:space="preserve">The following static methods are available on the</w:t>
      </w:r>
      <w:r>
        <w:t xml:space="preserve"> </w:t>
      </w:r>
      <w:r>
        <w:rPr>
          <w:rStyle w:val="VerbatimChar"/>
        </w:rPr>
        <w:t xml:space="preserve">Number</w:t>
      </w:r>
      <w:r>
        <w:t xml:space="preserve"> </w:t>
      </w:r>
      <w:r>
        <w:t xml:space="preserve">object.</w:t>
      </w:r>
    </w:p>
    <w:bookmarkStart w:id="949" w:name="number.isintegervalue"/>
    <w:p>
      <w:pPr>
        <w:pStyle w:val="Heading3"/>
      </w:pPr>
      <w:r>
        <w:rPr>
          <w:rStyle w:val="VerbatimChar"/>
        </w:rPr>
        <w:t xml:space="preserve">Number.isInteger(value)</w:t>
      </w:r>
    </w:p>
    <w:p>
      <w:pPr>
        <w:pStyle w:val="FirstParagraph"/>
      </w:pPr>
      <w:r>
        <w:t xml:space="preserve">Returns</w:t>
      </w:r>
      <w:r>
        <w:t xml:space="preserve"> </w:t>
      </w:r>
      <w:r>
        <w:rPr>
          <w:rStyle w:val="VerbatimChar"/>
        </w:rPr>
        <w:t xml:space="preserve">true</w:t>
      </w:r>
      <w:r>
        <w:t xml:space="preserve"> </w:t>
      </w:r>
      <w:r>
        <w:t xml:space="preserve">only if</w:t>
      </w:r>
      <w:r>
        <w:t xml:space="preserve"> </w:t>
      </w:r>
      <w:r>
        <w:rPr>
          <w:rStyle w:val="VerbatimChar"/>
        </w:rPr>
        <w:t xml:space="preserve">value</w:t>
      </w:r>
      <w:r>
        <w:t xml:space="preserve"> </w:t>
      </w:r>
      <w:r>
        <w:t xml:space="preserve">is a number with no fractional part and is not</w:t>
      </w:r>
      <w:r>
        <w:t xml:space="preserve"> </w:t>
      </w:r>
      <w:r>
        <w:rPr>
          <w:rStyle w:val="VerbatimChar"/>
        </w:rPr>
        <w:t xml:space="preserve">Infinity</w:t>
      </w:r>
      <w:r>
        <w:t xml:space="preserve"> </w:t>
      </w:r>
      <w:r>
        <w:t xml:space="preserve">or</w:t>
      </w:r>
      <w:r>
        <w:t xml:space="preserve"> </w:t>
      </w:r>
      <w:r>
        <w:rPr>
          <w:rStyle w:val="VerbatimChar"/>
        </w:rPr>
        <w:t xml:space="preserve">NaN</w:t>
      </w:r>
      <w:r>
        <w:t xml:space="preserve">. Does</w:t>
      </w:r>
      <w:r>
        <w:t xml:space="preserve"> </w:t>
      </w:r>
      <w:r>
        <w:rPr>
          <w:b/>
          <w:bCs/>
        </w:rPr>
        <w:t xml:space="preserve">not</w:t>
      </w:r>
      <w:r>
        <w:t xml:space="preserve"> </w:t>
      </w:r>
      <w:r>
        <w:t xml:space="preserve">coerce non-number values; non-numbers return</w:t>
      </w:r>
      <w:r>
        <w:t xml:space="preserve"> </w:t>
      </w:r>
      <w:r>
        <w:rPr>
          <w:rStyle w:val="VerbatimChar"/>
        </w:rPr>
        <w:t xml:space="preserve">false</w:t>
      </w:r>
      <w:r>
        <w:t xml:space="preserve">.</w:t>
      </w:r>
    </w:p>
    <w:bookmarkEnd w:id="949"/>
    <w:bookmarkStart w:id="950" w:name="number.isnanvalue"/>
    <w:p>
      <w:pPr>
        <w:pStyle w:val="Heading3"/>
      </w:pPr>
      <w:r>
        <w:rPr>
          <w:rStyle w:val="VerbatimChar"/>
        </w:rPr>
        <w:t xml:space="preserve">Number.isNaN(value)</w:t>
      </w:r>
    </w:p>
    <w:p>
      <w:pPr>
        <w:pStyle w:val="FirstParagraph"/>
      </w:pPr>
      <w:r>
        <w:t xml:space="preserve">Returns</w:t>
      </w:r>
      <w:r>
        <w:t xml:space="preserve"> </w:t>
      </w:r>
      <w:r>
        <w:rPr>
          <w:rStyle w:val="VerbatimChar"/>
        </w:rPr>
        <w:t xml:space="preserve">true</w:t>
      </w:r>
      <w:r>
        <w:t xml:space="preserve"> </w:t>
      </w:r>
      <w:r>
        <w:t xml:space="preserve">only if</w:t>
      </w:r>
      <w:r>
        <w:t xml:space="preserve"> </w:t>
      </w:r>
      <w:r>
        <w:rPr>
          <w:rStyle w:val="VerbatimChar"/>
        </w:rPr>
        <w:t xml:space="preserve">value</w:t>
      </w:r>
      <w:r>
        <w:t xml:space="preserve"> </w:t>
      </w:r>
      <w:r>
        <w:t xml:space="preserve">is the numeric</w:t>
      </w:r>
      <w:r>
        <w:t xml:space="preserve"> </w:t>
      </w:r>
      <w:r>
        <w:rPr>
          <w:rStyle w:val="VerbatimChar"/>
        </w:rPr>
        <w:t xml:space="preserve">NaN</w:t>
      </w:r>
      <w:r>
        <w:t xml:space="preserve">. Does</w:t>
      </w:r>
      <w:r>
        <w:t xml:space="preserve"> </w:t>
      </w:r>
      <w:r>
        <w:rPr>
          <w:b/>
          <w:bCs/>
        </w:rPr>
        <w:t xml:space="preserve">not</w:t>
      </w:r>
      <w:r>
        <w:t xml:space="preserve"> </w:t>
      </w:r>
      <w:r>
        <w:t xml:space="preserve">coerce non-number values; non-numbers always return</w:t>
      </w:r>
      <w:r>
        <w:t xml:space="preserve"> </w:t>
      </w:r>
      <w:r>
        <w:rPr>
          <w:rStyle w:val="VerbatimChar"/>
        </w:rPr>
        <w:t xml:space="preserve">false</w:t>
      </w:r>
      <w:r>
        <w:t xml:space="preserve">. This differs from the global</w:t>
      </w:r>
      <w:r>
        <w:t xml:space="preserve"> </w:t>
      </w:r>
      <w:r>
        <w:rPr>
          <w:rStyle w:val="VerbatimChar"/>
        </w:rPr>
        <w:t xml:space="preserve">isNaN()</w:t>
      </w:r>
      <w:r>
        <w:t xml:space="preserve"> </w:t>
      </w:r>
      <w:r>
        <w:t xml:space="preserve">function, which coerces its argument.</w:t>
      </w:r>
    </w:p>
    <w:bookmarkEnd w:id="950"/>
    <w:bookmarkStart w:id="951" w:name="number.isfinitevalue"/>
    <w:p>
      <w:pPr>
        <w:pStyle w:val="Heading3"/>
      </w:pPr>
      <w:r>
        <w:rPr>
          <w:rStyle w:val="VerbatimChar"/>
        </w:rPr>
        <w:t xml:space="preserve">Number.isFinite(value)</w:t>
      </w:r>
    </w:p>
    <w:p>
      <w:pPr>
        <w:pStyle w:val="FirstParagraph"/>
      </w:pPr>
      <w:r>
        <w:t xml:space="preserve">Returns</w:t>
      </w:r>
      <w:r>
        <w:t xml:space="preserve"> </w:t>
      </w:r>
      <w:r>
        <w:rPr>
          <w:rStyle w:val="VerbatimChar"/>
        </w:rPr>
        <w:t xml:space="preserve">true</w:t>
      </w:r>
      <w:r>
        <w:t xml:space="preserve"> </w:t>
      </w:r>
      <w:r>
        <w:t xml:space="preserve">only if</w:t>
      </w:r>
      <w:r>
        <w:t xml:space="preserve"> </w:t>
      </w:r>
      <w:r>
        <w:rPr>
          <w:rStyle w:val="VerbatimChar"/>
        </w:rPr>
        <w:t xml:space="preserve">value</w:t>
      </w:r>
      <w:r>
        <w:t xml:space="preserve"> </w:t>
      </w:r>
      <w:r>
        <w:t xml:space="preserve">is a finite number. Does</w:t>
      </w:r>
      <w:r>
        <w:t xml:space="preserve"> </w:t>
      </w:r>
      <w:r>
        <w:rPr>
          <w:b/>
          <w:bCs/>
        </w:rPr>
        <w:t xml:space="preserve">not</w:t>
      </w:r>
      <w:r>
        <w:t xml:space="preserve"> </w:t>
      </w:r>
      <w:r>
        <w:t xml:space="preserve">coerce non-number values; non-numbers always return</w:t>
      </w:r>
      <w:r>
        <w:t xml:space="preserve"> </w:t>
      </w:r>
      <w:r>
        <w:rPr>
          <w:rStyle w:val="VerbatimChar"/>
        </w:rPr>
        <w:t xml:space="preserve">false</w:t>
      </w:r>
      <w:r>
        <w:t xml:space="preserve">.</w:t>
      </w:r>
    </w:p>
    <w:bookmarkEnd w:id="951"/>
    <w:bookmarkStart w:id="952" w:name="number.issafeintegervalue"/>
    <w:p>
      <w:pPr>
        <w:pStyle w:val="Heading3"/>
      </w:pPr>
      <w:r>
        <w:rPr>
          <w:rStyle w:val="VerbatimChar"/>
        </w:rPr>
        <w:t xml:space="preserve">Number.isSafeInteger(value)</w:t>
      </w:r>
    </w:p>
    <w:p>
      <w:pPr>
        <w:pStyle w:val="FirstParagraph"/>
      </w:pPr>
      <w:r>
        <w:t xml:space="preserve">Returns</w:t>
      </w:r>
      <w:r>
        <w:t xml:space="preserve"> </w:t>
      </w:r>
      <w:r>
        <w:rPr>
          <w:rStyle w:val="VerbatimChar"/>
        </w:rPr>
        <w:t xml:space="preserve">true</w:t>
      </w:r>
      <w:r>
        <w:t xml:space="preserve"> </w:t>
      </w:r>
      <w:r>
        <w:t xml:space="preserve">if</w:t>
      </w:r>
      <w:r>
        <w:t xml:space="preserve"> </w:t>
      </w:r>
      <w:r>
        <w:rPr>
          <w:rStyle w:val="VerbatimChar"/>
        </w:rPr>
        <w:t xml:space="preserve">value</w:t>
      </w:r>
      <w:r>
        <w:t xml:space="preserve"> </w:t>
      </w:r>
      <w:r>
        <w:t xml:space="preserve">is an integer in the range</w:t>
      </w:r>
      <w:r>
        <w:t xml:space="preserve"> </w:t>
      </w:r>
      <w:r>
        <w:rPr>
          <w:rStyle w:val="VerbatimChar"/>
        </w:rPr>
        <w:t xml:space="preserve">-(2^53 - 1)</w:t>
      </w:r>
      <w:r>
        <w:t xml:space="preserve"> </w:t>
      </w:r>
      <w:r>
        <w:t xml:space="preserve">to</w:t>
      </w:r>
      <w:r>
        <w:t xml:space="preserve"> </w:t>
      </w:r>
      <w:r>
        <w:rPr>
          <w:rStyle w:val="VerbatimChar"/>
        </w:rPr>
        <w:t xml:space="preserve">2^53 - 1</w:t>
      </w:r>
      <w:r>
        <w:t xml:space="preserve"> </w:t>
      </w:r>
      <w:r>
        <w:t xml:space="preserve">inclusive, and has no fractional part. Does</w:t>
      </w:r>
      <w:r>
        <w:t xml:space="preserve"> </w:t>
      </w:r>
      <w:r>
        <w:rPr>
          <w:b/>
          <w:bCs/>
        </w:rPr>
        <w:t xml:space="preserve">not</w:t>
      </w:r>
      <w:r>
        <w:t xml:space="preserve"> </w:t>
      </w:r>
      <w:r>
        <w:t xml:space="preserve">coerce non-number values.</w:t>
      </w:r>
    </w:p>
    <w:bookmarkEnd w:id="952"/>
    <w:bookmarkStart w:id="953" w:name="number.parseintstring-radix"/>
    <w:p>
      <w:pPr>
        <w:pStyle w:val="Heading3"/>
      </w:pPr>
      <w:r>
        <w:rPr>
          <w:rStyle w:val="VerbatimChar"/>
        </w:rPr>
        <w:t xml:space="preserve">Number.parseInt(string, radix)</w:t>
      </w:r>
    </w:p>
    <w:p>
      <w:pPr>
        <w:pStyle w:val="FirstParagraph"/>
      </w:pPr>
      <w:r>
        <w:t xml:space="preserve">Equivalent to the global</w:t>
      </w:r>
      <w:r>
        <w:t xml:space="preserve"> </w:t>
      </w:r>
      <w:r>
        <w:rPr>
          <w:rStyle w:val="VerbatimChar"/>
        </w:rPr>
        <w:t xml:space="preserve">parseInt()</w:t>
      </w:r>
      <w:r>
        <w:t xml:space="preserve"> </w:t>
      </w:r>
      <w:r>
        <w:t xml:space="preserve">function. Parses</w:t>
      </w:r>
      <w:r>
        <w:t xml:space="preserve"> </w:t>
      </w:r>
      <w:r>
        <w:rPr>
          <w:rStyle w:val="VerbatimChar"/>
        </w:rPr>
        <w:t xml:space="preserve">string</w:t>
      </w:r>
      <w:r>
        <w:t xml:space="preserve"> </w:t>
      </w:r>
      <w:r>
        <w:t xml:space="preserve">as an integer in the specified</w:t>
      </w:r>
      <w:r>
        <w:t xml:space="preserve"> </w:t>
      </w:r>
      <w:r>
        <w:rPr>
          <w:rStyle w:val="VerbatimChar"/>
        </w:rPr>
        <w:t xml:space="preserve">radix</w:t>
      </w:r>
      <w:r>
        <w:t xml:space="preserve"> </w:t>
      </w:r>
      <w:r>
        <w:t xml:space="preserve">(2–36). Defaults to base 10.</w:t>
      </w:r>
    </w:p>
    <w:bookmarkEnd w:id="953"/>
    <w:bookmarkStart w:id="954" w:name="number.parsefloatstring"/>
    <w:p>
      <w:pPr>
        <w:pStyle w:val="Heading3"/>
      </w:pPr>
      <w:r>
        <w:rPr>
          <w:rStyle w:val="VerbatimChar"/>
        </w:rPr>
        <w:t xml:space="preserve">Number.parseFloat(string)</w:t>
      </w:r>
    </w:p>
    <w:p>
      <w:pPr>
        <w:pStyle w:val="FirstParagraph"/>
      </w:pPr>
      <w:r>
        <w:t xml:space="preserve">Equivalent to the global</w:t>
      </w:r>
      <w:r>
        <w:t xml:space="preserve"> </w:t>
      </w:r>
      <w:r>
        <w:rPr>
          <w:rStyle w:val="VerbatimChar"/>
        </w:rPr>
        <w:t xml:space="preserve">parseFloat()</w:t>
      </w:r>
      <w:r>
        <w:t xml:space="preserve"> </w:t>
      </w:r>
      <w:r>
        <w:t xml:space="preserve">function. Parses</w:t>
      </w:r>
      <w:r>
        <w:t xml:space="preserve"> </w:t>
      </w:r>
      <w:r>
        <w:rPr>
          <w:rStyle w:val="VerbatimChar"/>
        </w:rPr>
        <w:t xml:space="preserve">string</w:t>
      </w:r>
      <w:r>
        <w:t xml:space="preserve"> </w:t>
      </w:r>
      <w:r>
        <w:t xml:space="preserve">as a floating-point number.</w:t>
      </w:r>
    </w:p>
    <w:bookmarkEnd w:id="954"/>
    <w:bookmarkStart w:id="955" w:name="number-constants"/>
    <w:p>
      <w:pPr>
        <w:pStyle w:val="Heading3"/>
      </w:pPr>
      <w:r>
        <w:t xml:space="preserve">Number Constants</w:t>
      </w:r>
    </w:p>
    <w:p>
      <w:pPr>
        <w:pStyle w:val="FirstParagraph"/>
      </w:pPr>
      <w:r>
        <w:t xml:space="preserve">The</w:t>
      </w:r>
      <w:r>
        <w:t xml:space="preserve"> </w:t>
      </w:r>
      <w:r>
        <w:rPr>
          <w:rStyle w:val="VerbatimChar"/>
        </w:rPr>
        <w:t xml:space="preserve">Number</w:t>
      </w:r>
      <w:r>
        <w:t xml:space="preserve"> </w:t>
      </w:r>
      <w:r>
        <w:t xml:space="preserve">object exposes the following read-only constants: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Constant</w:t>
            </w:r>
          </w:p>
        </w:tc>
        <w:tc>
          <w:tcPr/>
          <w:p>
            <w:pPr>
              <w:pStyle w:val="Compact"/>
            </w:pPr>
            <w:r>
              <w:t xml:space="preserve">Value</w:t>
            </w:r>
          </w:p>
        </w:tc>
      </w:tr>
      <w:tr>
        <w:tc>
          <w:tcPr/>
          <w:p>
            <w:pPr>
              <w:pStyle w:val="Compact"/>
            </w:pPr>
            <w:r>
              <w:rPr>
                <w:rStyle w:val="VerbatimChar"/>
              </w:rPr>
              <w:t xml:space="preserve">Number.MAX_SAFE_INTEGER</w:t>
            </w:r>
          </w:p>
        </w:tc>
        <w:tc>
          <w:tcPr/>
          <w:p>
            <w:pPr>
              <w:pStyle w:val="Compact"/>
            </w:pPr>
            <w:r>
              <w:t xml:space="preserve">9007199254740991</w:t>
            </w:r>
          </w:p>
        </w:tc>
      </w:tr>
      <w:tr>
        <w:tc>
          <w:tcPr/>
          <w:p>
            <w:pPr>
              <w:pStyle w:val="Compact"/>
            </w:pPr>
            <w:r>
              <w:rPr>
                <w:rStyle w:val="VerbatimChar"/>
              </w:rPr>
              <w:t xml:space="preserve">Number.MIN_SAFE_INTEGER</w:t>
            </w:r>
          </w:p>
        </w:tc>
        <w:tc>
          <w:tcPr/>
          <w:p>
            <w:pPr>
              <w:pStyle w:val="Compact"/>
            </w:pPr>
            <w:r>
              <w:t xml:space="preserve">-9007199254740991</w:t>
            </w:r>
          </w:p>
        </w:tc>
      </w:tr>
      <w:tr>
        <w:tc>
          <w:tcPr/>
          <w:p>
            <w:pPr>
              <w:pStyle w:val="Compact"/>
            </w:pPr>
            <w:r>
              <w:rPr>
                <w:rStyle w:val="VerbatimChar"/>
              </w:rPr>
              <w:t xml:space="preserve">Number.MAX_VALUE</w:t>
            </w:r>
          </w:p>
        </w:tc>
        <w:tc>
          <w:tcPr/>
          <w:p>
            <w:pPr>
              <w:pStyle w:val="Compact"/>
            </w:pPr>
            <w:r>
              <w:t xml:space="preserve">~1.7976931348623157e+308</w:t>
            </w:r>
          </w:p>
        </w:tc>
      </w:tr>
      <w:tr>
        <w:tc>
          <w:tcPr/>
          <w:p>
            <w:pPr>
              <w:pStyle w:val="Compact"/>
            </w:pPr>
            <w:r>
              <w:rPr>
                <w:rStyle w:val="VerbatimChar"/>
              </w:rPr>
              <w:t xml:space="preserve">Number.MIN_VALUE</w:t>
            </w:r>
          </w:p>
        </w:tc>
        <w:tc>
          <w:tcPr/>
          <w:p>
            <w:pPr>
              <w:pStyle w:val="Compact"/>
            </w:pPr>
            <w:r>
              <w:t xml:space="preserve">~5e-324</w:t>
            </w:r>
          </w:p>
        </w:tc>
      </w:tr>
      <w:tr>
        <w:tc>
          <w:tcPr/>
          <w:p>
            <w:pPr>
              <w:pStyle w:val="Compact"/>
            </w:pPr>
            <w:r>
              <w:rPr>
                <w:rStyle w:val="VerbatimChar"/>
              </w:rPr>
              <w:t xml:space="preserve">Number.EPSILON</w:t>
            </w:r>
          </w:p>
        </w:tc>
        <w:tc>
          <w:tcPr/>
          <w:p>
            <w:pPr>
              <w:pStyle w:val="Compact"/>
            </w:pPr>
            <w:r>
              <w:t xml:space="preserve">~2.220446049250313e-16</w:t>
            </w:r>
          </w:p>
        </w:tc>
      </w:tr>
      <w:tr>
        <w:tc>
          <w:tcPr/>
          <w:p>
            <w:pPr>
              <w:pStyle w:val="Compact"/>
            </w:pPr>
            <w:r>
              <w:rPr>
                <w:rStyle w:val="VerbatimChar"/>
              </w:rPr>
              <w:t xml:space="preserve">Number.POSITIVE_INFINITY</w:t>
            </w:r>
          </w:p>
        </w:tc>
        <w:tc>
          <w:tcPr/>
          <w:p>
            <w:pPr>
              <w:pStyle w:val="Compact"/>
            </w:pPr>
            <w:r>
              <w:rPr>
                <w:rStyle w:val="VerbatimChar"/>
              </w:rPr>
              <w:t xml:space="preserve">Infinity</w:t>
            </w:r>
          </w:p>
        </w:tc>
      </w:tr>
      <w:tr>
        <w:tc>
          <w:tcPr/>
          <w:p>
            <w:pPr>
              <w:pStyle w:val="Compact"/>
            </w:pPr>
            <w:r>
              <w:rPr>
                <w:rStyle w:val="VerbatimChar"/>
              </w:rPr>
              <w:t xml:space="preserve">Number.NEGATIVE_INFINITY</w:t>
            </w:r>
          </w:p>
        </w:tc>
        <w:tc>
          <w:tcPr/>
          <w:p>
            <w:pPr>
              <w:pStyle w:val="Compact"/>
            </w:pPr>
            <w:r>
              <w:rPr>
                <w:rStyle w:val="VerbatimChar"/>
              </w:rPr>
              <w:t xml:space="preserve">-Infinity</w:t>
            </w:r>
          </w:p>
        </w:tc>
      </w:tr>
      <w:tr>
        <w:tc>
          <w:tcPr/>
          <w:p>
            <w:pPr>
              <w:pStyle w:val="Compact"/>
            </w:pPr>
            <w:r>
              <w:rPr>
                <w:rStyle w:val="VerbatimChar"/>
              </w:rPr>
              <w:t xml:space="preserve">Number.NaN</w:t>
            </w:r>
          </w:p>
        </w:tc>
        <w:tc>
          <w:tcPr/>
          <w:p>
            <w:pPr>
              <w:pStyle w:val="Compact"/>
            </w:pPr>
            <w:r>
              <w:rPr>
                <w:rStyle w:val="VerbatimChar"/>
              </w:rPr>
              <w:t xml:space="preserve">NaN</w:t>
            </w:r>
          </w:p>
        </w:tc>
      </w:tr>
    </w:tbl>
    <w:bookmarkEnd w:id="955"/>
    <w:bookmarkStart w:id="956" w:name="code-example-46"/>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isInteger</w:t>
      </w:r>
      <w:r>
        <w:rPr>
          <w:rStyle w:val="NormalTok"/>
        </w:rPr>
        <w:t xml:space="preserve">(</w:t>
      </w:r>
      <w:r>
        <w:rPr>
          <w:rStyle w:val="DecValTok"/>
        </w:rPr>
        <w:t xml:space="preserve">42</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isInteger</w:t>
      </w:r>
      <w:r>
        <w:rPr>
          <w:rStyle w:val="NormalTok"/>
        </w:rPr>
        <w:t xml:space="preserve">(</w:t>
      </w:r>
      <w:r>
        <w:rPr>
          <w:rStyle w:val="FloatTok"/>
        </w:rPr>
        <w:t xml:space="preserve">42.5</w:t>
      </w:r>
      <w:r>
        <w:rPr>
          <w:rStyle w:val="NormalTok"/>
        </w:rPr>
        <w:t xml:space="preserve">))</w:t>
      </w:r>
      <w:r>
        <w:rPr>
          <w:rStyle w:val="OperatorTok"/>
        </w:rPr>
        <w:t xml:space="preserve">;</w:t>
      </w:r>
      <w:r>
        <w:rPr>
          <w:rStyle w:val="NormalTok"/>
        </w:rPr>
        <w:t xml:space="preserve">        </w:t>
      </w:r>
      <w:r>
        <w:rPr>
          <w:rStyle w:val="CommentTok"/>
        </w:rPr>
        <w:t xml:space="preserve">// Output: false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isInteger</w:t>
      </w:r>
      <w:r>
        <w:rPr>
          <w:rStyle w:val="NormalTok"/>
        </w:rPr>
        <w:t xml:space="preserve">(</w:t>
      </w:r>
      <w:r>
        <w:rPr>
          <w:rStyle w:val="StringTok"/>
        </w:rPr>
        <w:t xml:space="preserve">"42"</w:t>
      </w:r>
      <w:r>
        <w:rPr>
          <w:rStyle w:val="NormalTok"/>
        </w:rPr>
        <w:t xml:space="preserve">))</w:t>
      </w:r>
      <w:r>
        <w:rPr>
          <w:rStyle w:val="OperatorTok"/>
        </w:rPr>
        <w:t xml:space="preserve">;</w:t>
      </w:r>
      <w:r>
        <w:rPr>
          <w:rStyle w:val="NormalTok"/>
        </w:rPr>
        <w:t xml:space="preserve">        </w:t>
      </w:r>
      <w:r>
        <w:rPr>
          <w:rStyle w:val="CommentTok"/>
        </w:rPr>
        <w:t xml:space="preserve">// Output: false</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isNaN</w:t>
      </w:r>
      <w:r>
        <w:rPr>
          <w:rStyle w:val="NormalTok"/>
        </w:rPr>
        <w:t xml:space="preserve">(</w:t>
      </w:r>
      <w:r>
        <w:rPr>
          <w:rStyle w:val="KeywordTok"/>
        </w:rPr>
        <w:t xml:space="preserve">NaN</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isNaN</w:t>
      </w:r>
      <w:r>
        <w:rPr>
          <w:rStyle w:val="NormalTok"/>
        </w:rPr>
        <w:t xml:space="preserve">(</w:t>
      </w:r>
      <w:r>
        <w:rPr>
          <w:rStyle w:val="DecValTok"/>
        </w:rPr>
        <w:t xml:space="preserve">42</w:t>
      </w:r>
      <w:r>
        <w:rPr>
          <w:rStyle w:val="NormalTok"/>
        </w:rPr>
        <w:t xml:space="preserve">))</w:t>
      </w:r>
      <w:r>
        <w:rPr>
          <w:rStyle w:val="OperatorTok"/>
        </w:rPr>
        <w:t xml:space="preserve">;</w:t>
      </w:r>
      <w:r>
        <w:rPr>
          <w:rStyle w:val="NormalTok"/>
        </w:rPr>
        <w:t xml:space="preserve">              </w:t>
      </w:r>
      <w:r>
        <w:rPr>
          <w:rStyle w:val="CommentTok"/>
        </w:rPr>
        <w:t xml:space="preserve">// Output: false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isNaN</w:t>
      </w:r>
      <w:r>
        <w:rPr>
          <w:rStyle w:val="NormalTok"/>
        </w:rPr>
        <w:t xml:space="preserve">(</w:t>
      </w:r>
      <w:r>
        <w:rPr>
          <w:rStyle w:val="StringTok"/>
        </w:rPr>
        <w:t xml:space="preserve">"NaN"</w:t>
      </w:r>
      <w:r>
        <w:rPr>
          <w:rStyle w:val="NormalTok"/>
        </w:rPr>
        <w:t xml:space="preserve">))</w:t>
      </w:r>
      <w:r>
        <w:rPr>
          <w:rStyle w:val="OperatorTok"/>
        </w:rPr>
        <w:t xml:space="preserve">;</w:t>
      </w:r>
      <w:r>
        <w:rPr>
          <w:rStyle w:val="NormalTok"/>
        </w:rPr>
        <w:t xml:space="preserve">           </w:t>
      </w:r>
      <w:r>
        <w:rPr>
          <w:rStyle w:val="CommentTok"/>
        </w:rPr>
        <w:t xml:space="preserve">// Output: false</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isFinite</w:t>
      </w:r>
      <w:r>
        <w:rPr>
          <w:rStyle w:val="NormalTok"/>
        </w:rPr>
        <w:t xml:space="preserve">(</w:t>
      </w:r>
      <w:r>
        <w:rPr>
          <w:rStyle w:val="DecValTok"/>
        </w:rPr>
        <w:t xml:space="preserve">100</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isFinite</w:t>
      </w:r>
      <w:r>
        <w:rPr>
          <w:rStyle w:val="NormalTok"/>
        </w:rPr>
        <w:t xml:space="preserve">(</w:t>
      </w:r>
      <w:r>
        <w:rPr>
          <w:rStyle w:val="KeywordTok"/>
        </w:rPr>
        <w:t xml:space="preserve">Infinity</w:t>
      </w:r>
      <w:r>
        <w:rPr>
          <w:rStyle w:val="NormalTok"/>
        </w:rPr>
        <w:t xml:space="preserve">))</w:t>
      </w:r>
      <w:r>
        <w:rPr>
          <w:rStyle w:val="OperatorTok"/>
        </w:rPr>
        <w:t xml:space="preserve">;</w:t>
      </w:r>
      <w:r>
        <w:rPr>
          <w:rStyle w:val="NormalTok"/>
        </w:rPr>
        <w:t xml:space="preserve">     </w:t>
      </w:r>
      <w:r>
        <w:rPr>
          <w:rStyle w:val="CommentTok"/>
        </w:rPr>
        <w:t xml:space="preserve">// Output: false</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isSafeInteger</w:t>
      </w:r>
      <w:r>
        <w:rPr>
          <w:rStyle w:val="NormalTok"/>
        </w:rPr>
        <w:t xml:space="preserve">(</w:t>
      </w:r>
      <w:r>
        <w:rPr>
          <w:rStyle w:val="DecValTok"/>
        </w:rPr>
        <w:t xml:space="preserve">9007199254740991</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FunctionTok"/>
        </w:rPr>
        <w:t xml:space="preserve">isSafeInteger</w:t>
      </w:r>
      <w:r>
        <w:rPr>
          <w:rStyle w:val="NormalTok"/>
        </w:rPr>
        <w:t xml:space="preserve">(</w:t>
      </w:r>
      <w:r>
        <w:rPr>
          <w:rStyle w:val="DecValTok"/>
        </w:rPr>
        <w:t xml:space="preserve">9007199254740992</w:t>
      </w:r>
      <w:r>
        <w:rPr>
          <w:rStyle w:val="NormalTok"/>
        </w:rPr>
        <w:t xml:space="preserve">))</w:t>
      </w:r>
      <w:r>
        <w:rPr>
          <w:rStyle w:val="OperatorTok"/>
        </w:rPr>
        <w:t xml:space="preserve">;</w:t>
      </w:r>
      <w:r>
        <w:rPr>
          <w:rStyle w:val="NormalTok"/>
        </w:rPr>
        <w:t xml:space="preserve">  </w:t>
      </w:r>
      <w:r>
        <w:rPr>
          <w:rStyle w:val="CommentTok"/>
        </w:rPr>
        <w:t xml:space="preserve">// Output: false</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ConstantTok"/>
        </w:rPr>
        <w:t xml:space="preserve">MAX_SAFE_INTEGER</w:t>
      </w:r>
      <w:r>
        <w:rPr>
          <w:rStyle w:val="NormalTok"/>
        </w:rPr>
        <w:t xml:space="preserve">)</w:t>
      </w:r>
      <w:r>
        <w:rPr>
          <w:rStyle w:val="OperatorTok"/>
        </w:rPr>
        <w:t xml:space="preserve">;</w:t>
      </w:r>
      <w:r>
        <w:rPr>
          <w:rStyle w:val="NormalTok"/>
        </w:rPr>
        <w:t xml:space="preserve">       </w:t>
      </w:r>
      <w:r>
        <w:rPr>
          <w:rStyle w:val="CommentTok"/>
        </w:rPr>
        <w:t xml:space="preserve">// Output: 9007199254740991</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Number</w:t>
      </w:r>
      <w:r>
        <w:rPr>
          <w:rStyle w:val="OperatorTok"/>
        </w:rPr>
        <w:t xml:space="preserve">.</w:t>
      </w:r>
      <w:r>
        <w:rPr>
          <w:rStyle w:val="ConstantTok"/>
        </w:rPr>
        <w:t xml:space="preserve">EPSILON</w:t>
      </w:r>
      <w:r>
        <w:rPr>
          <w:rStyle w:val="NormalTok"/>
        </w:rPr>
        <w:t xml:space="preserve">)</w:t>
      </w:r>
      <w:r>
        <w:rPr>
          <w:rStyle w:val="OperatorTok"/>
        </w:rPr>
        <w:t xml:space="preserve">;</w:t>
      </w:r>
      <w:r>
        <w:rPr>
          <w:rStyle w:val="NormalTok"/>
        </w:rPr>
        <w:t xml:space="preserve">                </w:t>
      </w:r>
      <w:r>
        <w:rPr>
          <w:rStyle w:val="CommentTok"/>
        </w:rPr>
        <w:t xml:space="preserve">// Output: 2.220446049250313e-16</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56"/>
    <w:bookmarkEnd w:id="957"/>
    <w:bookmarkStart w:id="961" w:name="binary-and-octal-numeric-literals"/>
    <w:p>
      <w:pPr>
        <w:pStyle w:val="Heading2"/>
      </w:pPr>
      <w:r>
        <w:t xml:space="preserve">Binary and Octal Numeric Literals</w:t>
      </w:r>
    </w:p>
    <w:bookmarkStart w:id="958" w:name="syntax-51"/>
    <w:p>
      <w:pPr>
        <w:pStyle w:val="Heading3"/>
      </w:pPr>
      <w:r>
        <w:t xml:space="preserve">Syntax</w:t>
      </w:r>
    </w:p>
    <w:p>
      <w:pPr>
        <w:pStyle w:val="SourceCode"/>
      </w:pPr>
      <w:r>
        <w:rPr>
          <w:rStyle w:val="KeywordTok"/>
        </w:rPr>
        <w:t xml:space="preserve">var</w:t>
      </w:r>
      <w:r>
        <w:rPr>
          <w:rStyle w:val="NormalTok"/>
        </w:rPr>
        <w:t xml:space="preserve"> b </w:t>
      </w:r>
      <w:r>
        <w:rPr>
          <w:rStyle w:val="OperatorTok"/>
        </w:rPr>
        <w:t xml:space="preserve">=</w:t>
      </w:r>
      <w:r>
        <w:rPr>
          <w:rStyle w:val="NormalTok"/>
        </w:rPr>
        <w:t xml:space="preserve"> </w:t>
      </w:r>
      <w:r>
        <w:rPr>
          <w:rStyle w:val="BaseNTok"/>
        </w:rPr>
        <w:t xml:space="preserve">0b1010</w:t>
      </w:r>
      <w:r>
        <w:rPr>
          <w:rStyle w:val="OperatorTok"/>
        </w:rPr>
        <w:t xml:space="preserve">;</w:t>
      </w:r>
      <w:r>
        <w:rPr>
          <w:rStyle w:val="NormalTok"/>
        </w:rPr>
        <w:t xml:space="preserve"> </w:t>
      </w:r>
      <w:r>
        <w:rPr>
          <w:rStyle w:val="CommentTok"/>
        </w:rPr>
        <w:t xml:space="preserve">// binary</w:t>
      </w:r>
      <w:r>
        <w:br/>
      </w:r>
      <w:r>
        <w:rPr>
          <w:rStyle w:val="KeywordTok"/>
        </w:rPr>
        <w:t xml:space="preserve">var</w:t>
      </w:r>
      <w:r>
        <w:rPr>
          <w:rStyle w:val="NormalTok"/>
        </w:rPr>
        <w:t xml:space="preserve"> o </w:t>
      </w:r>
      <w:r>
        <w:rPr>
          <w:rStyle w:val="OperatorTok"/>
        </w:rPr>
        <w:t xml:space="preserve">=</w:t>
      </w:r>
      <w:r>
        <w:rPr>
          <w:rStyle w:val="NormalTok"/>
        </w:rPr>
        <w:t xml:space="preserve"> </w:t>
      </w:r>
      <w:r>
        <w:rPr>
          <w:rStyle w:val="BaseNTok"/>
        </w:rPr>
        <w:t xml:space="preserve">0o744</w:t>
      </w:r>
      <w:r>
        <w:rPr>
          <w:rStyle w:val="OperatorTok"/>
        </w:rPr>
        <w:t xml:space="preserve">;</w:t>
      </w:r>
      <w:r>
        <w:rPr>
          <w:rStyle w:val="NormalTok"/>
        </w:rPr>
        <w:t xml:space="preserve">  </w:t>
      </w:r>
      <w:r>
        <w:rPr>
          <w:rStyle w:val="CommentTok"/>
        </w:rPr>
        <w:t xml:space="preserve">// octal</w:t>
      </w:r>
    </w:p>
    <w:bookmarkEnd w:id="958"/>
    <w:bookmarkStart w:id="959" w:name="remarks-58"/>
    <w:p>
      <w:pPr>
        <w:pStyle w:val="Heading3"/>
      </w:pPr>
      <w:r>
        <w:t xml:space="preserve">Remarks</w:t>
      </w:r>
    </w:p>
    <w:p>
      <w:pPr>
        <w:pStyle w:val="Compact"/>
        <w:numPr>
          <w:ilvl w:val="0"/>
          <w:numId w:val="1267"/>
        </w:numPr>
      </w:pPr>
      <w:r>
        <w:t xml:space="preserve">Prefix</w:t>
      </w:r>
      <w:r>
        <w:t xml:space="preserve"> </w:t>
      </w:r>
      <w:r>
        <w:rPr>
          <w:rStyle w:val="VerbatimChar"/>
        </w:rPr>
        <w:t xml:space="preserve">0b</w:t>
      </w:r>
      <w:r>
        <w:t xml:space="preserve"> </w:t>
      </w:r>
      <w:r>
        <w:t xml:space="preserve">or</w:t>
      </w:r>
      <w:r>
        <w:t xml:space="preserve"> </w:t>
      </w:r>
      <w:r>
        <w:rPr>
          <w:rStyle w:val="VerbatimChar"/>
        </w:rPr>
        <w:t xml:space="preserve">0B</w:t>
      </w:r>
      <w:r>
        <w:t xml:space="preserve"> </w:t>
      </w:r>
      <w:r>
        <w:t xml:space="preserve">parses base-2 integer literals.</w:t>
      </w:r>
    </w:p>
    <w:p>
      <w:pPr>
        <w:pStyle w:val="Compact"/>
        <w:numPr>
          <w:ilvl w:val="0"/>
          <w:numId w:val="1267"/>
        </w:numPr>
      </w:pPr>
      <w:r>
        <w:t xml:space="preserve">Prefix</w:t>
      </w:r>
      <w:r>
        <w:t xml:space="preserve"> </w:t>
      </w:r>
      <w:r>
        <w:rPr>
          <w:rStyle w:val="VerbatimChar"/>
        </w:rPr>
        <w:t xml:space="preserve">0o</w:t>
      </w:r>
      <w:r>
        <w:t xml:space="preserve"> </w:t>
      </w:r>
      <w:r>
        <w:t xml:space="preserve">or</w:t>
      </w:r>
      <w:r>
        <w:t xml:space="preserve"> </w:t>
      </w:r>
      <w:r>
        <w:rPr>
          <w:rStyle w:val="VerbatimChar"/>
        </w:rPr>
        <w:t xml:space="preserve">0O</w:t>
      </w:r>
      <w:r>
        <w:t xml:space="preserve"> </w:t>
      </w:r>
      <w:r>
        <w:t xml:space="preserve">parses base-8 integer literals.</w:t>
      </w:r>
    </w:p>
    <w:bookmarkEnd w:id="959"/>
    <w:bookmarkStart w:id="960" w:name="code-example-47"/>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aseNTok"/>
        </w:rPr>
        <w:t xml:space="preserve">0b1010</w:t>
      </w:r>
      <w:r>
        <w:rPr>
          <w:rStyle w:val="NormalTok"/>
        </w:rPr>
        <w:t xml:space="preserve">)</w:t>
      </w:r>
      <w:r>
        <w:rPr>
          <w:rStyle w:val="OperatorTok"/>
        </w:rPr>
        <w:t xml:space="preserve">;</w:t>
      </w:r>
      <w:r>
        <w:rPr>
          <w:rStyle w:val="NormalTok"/>
        </w:rPr>
        <w:t xml:space="preserve"> </w:t>
      </w:r>
      <w:r>
        <w:rPr>
          <w:rStyle w:val="CommentTok"/>
        </w:rPr>
        <w:t xml:space="preserve">// Output: 10</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aseNTok"/>
        </w:rPr>
        <w:t xml:space="preserve">0o744</w:t>
      </w:r>
      <w:r>
        <w:rPr>
          <w:rStyle w:val="NormalTok"/>
        </w:rPr>
        <w:t xml:space="preserve">)</w:t>
      </w:r>
      <w:r>
        <w:rPr>
          <w:rStyle w:val="OperatorTok"/>
        </w:rPr>
        <w:t xml:space="preserve">;</w:t>
      </w:r>
      <w:r>
        <w:rPr>
          <w:rStyle w:val="NormalTok"/>
        </w:rPr>
        <w:t xml:space="preserve">  </w:t>
      </w:r>
      <w:r>
        <w:rPr>
          <w:rStyle w:val="CommentTok"/>
        </w:rPr>
        <w:t xml:space="preserve">// Output: 484</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60"/>
    <w:bookmarkEnd w:id="961"/>
    <w:bookmarkStart w:id="967" w:name="global-uri-functions"/>
    <w:p>
      <w:pPr>
        <w:pStyle w:val="Heading2"/>
      </w:pPr>
      <w:r>
        <w:t xml:space="preserve">Global URI Functions</w:t>
      </w:r>
    </w:p>
    <w:p>
      <w:pPr>
        <w:pStyle w:val="FirstParagraph"/>
      </w:pPr>
      <w:r>
        <w:t xml:space="preserve">The following URI helper functions are available globally.</w:t>
      </w:r>
    </w:p>
    <w:bookmarkStart w:id="962" w:name="encodeuriuri"/>
    <w:p>
      <w:pPr>
        <w:pStyle w:val="Heading3"/>
      </w:pPr>
      <w:r>
        <w:rPr>
          <w:rStyle w:val="VerbatimChar"/>
        </w:rPr>
        <w:t xml:space="preserve">encodeURI(uri)</w:t>
      </w:r>
    </w:p>
    <w:p>
      <w:pPr>
        <w:pStyle w:val="FirstParagraph"/>
      </w:pPr>
      <w:r>
        <w:t xml:space="preserve">Encodes a complete URI string while preserving URI-reserved separators such as</w:t>
      </w:r>
      <w:r>
        <w:t xml:space="preserve">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&amp;</w:t>
      </w:r>
      <w:r>
        <w:t xml:space="preserve">,</w:t>
      </w:r>
      <w:r>
        <w:t xml:space="preserve"> </w:t>
      </w:r>
      <w:r>
        <w:rPr>
          <w:rStyle w:val="VerbatimChar"/>
        </w:rPr>
        <w:t xml:space="preserve">=</w:t>
      </w:r>
      <w:r>
        <w:t xml:space="preserve">, and</w:t>
      </w:r>
      <w:r>
        <w:t xml:space="preserve"> </w:t>
      </w:r>
      <w:r>
        <w:rPr>
          <w:rStyle w:val="VerbatimChar"/>
        </w:rPr>
        <w:t xml:space="preserve">#</w:t>
      </w:r>
      <w:r>
        <w:t xml:space="preserve">.</w:t>
      </w:r>
    </w:p>
    <w:bookmarkEnd w:id="962"/>
    <w:bookmarkStart w:id="963" w:name="decodeuriuri"/>
    <w:p>
      <w:pPr>
        <w:pStyle w:val="Heading3"/>
      </w:pPr>
      <w:r>
        <w:rPr>
          <w:rStyle w:val="VerbatimChar"/>
        </w:rPr>
        <w:t xml:space="preserve">decodeURI(uri)</w:t>
      </w:r>
    </w:p>
    <w:p>
      <w:pPr>
        <w:pStyle w:val="FirstParagraph"/>
      </w:pPr>
      <w:r>
        <w:t xml:space="preserve">Decodes a complete URI string. Reserved separators remain preserved when they were percent-encoded.</w:t>
      </w:r>
    </w:p>
    <w:bookmarkEnd w:id="963"/>
    <w:bookmarkStart w:id="964" w:name="encodeuricomponentcomponent"/>
    <w:p>
      <w:pPr>
        <w:pStyle w:val="Heading3"/>
      </w:pPr>
      <w:r>
        <w:rPr>
          <w:rStyle w:val="VerbatimChar"/>
        </w:rPr>
        <w:t xml:space="preserve">encodeURIComponent(component)</w:t>
      </w:r>
    </w:p>
    <w:p>
      <w:pPr>
        <w:pStyle w:val="FirstParagraph"/>
      </w:pPr>
      <w:r>
        <w:t xml:space="preserve">Encodes a URI component (such as one query value) and escapes reserved characters like</w:t>
      </w:r>
      <w:r>
        <w:t xml:space="preserve"> </w:t>
      </w:r>
      <w:r>
        <w:rPr>
          <w:rStyle w:val="VerbatimChar"/>
        </w:rPr>
        <w:t xml:space="preserve">=</w:t>
      </w:r>
      <w:r>
        <w:t xml:space="preserve">,</w:t>
      </w:r>
      <w:r>
        <w:t xml:space="preserve"> </w:t>
      </w:r>
      <w:r>
        <w:rPr>
          <w:rStyle w:val="VerbatimChar"/>
        </w:rPr>
        <w:t xml:space="preserve">&amp;</w:t>
      </w:r>
      <w:r>
        <w:t xml:space="preserve">, and</w:t>
      </w:r>
      <w:r>
        <w:t xml:space="preserve"> </w:t>
      </w:r>
      <w:r>
        <w:rPr>
          <w:rStyle w:val="VerbatimChar"/>
        </w:rPr>
        <w:t xml:space="preserve">+</w:t>
      </w:r>
      <w:r>
        <w:t xml:space="preserve">.</w:t>
      </w:r>
    </w:p>
    <w:bookmarkEnd w:id="964"/>
    <w:bookmarkStart w:id="965" w:name="decodeuricomponentcomponent"/>
    <w:p>
      <w:pPr>
        <w:pStyle w:val="Heading3"/>
      </w:pPr>
      <w:r>
        <w:rPr>
          <w:rStyle w:val="VerbatimChar"/>
        </w:rPr>
        <w:t xml:space="preserve">decodeURIComponent(component)</w:t>
      </w:r>
    </w:p>
    <w:p>
      <w:pPr>
        <w:pStyle w:val="FirstParagraph"/>
      </w:pPr>
      <w:r>
        <w:t xml:space="preserve">Decodes an encoded URI component.</w:t>
      </w:r>
    </w:p>
    <w:bookmarkEnd w:id="965"/>
    <w:bookmarkStart w:id="966" w:name="code-example-48"/>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full </w:t>
      </w:r>
      <w:r>
        <w:rPr>
          <w:rStyle w:val="OperatorTok"/>
        </w:rPr>
        <w:t xml:space="preserve">=</w:t>
      </w:r>
      <w:r>
        <w:rPr>
          <w:rStyle w:val="NormalTok"/>
        </w:rPr>
        <w:t xml:space="preserve"> </w:t>
      </w:r>
      <w:r>
        <w:rPr>
          <w:rStyle w:val="StringTok"/>
        </w:rPr>
        <w:t xml:space="preserve">"https://example.com/a path/?q=hello world&amp;x=1+2#frag"</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PreprocessorTok"/>
        </w:rPr>
        <w:t xml:space="preserve">encodeURI</w:t>
      </w:r>
      <w:r>
        <w:rPr>
          <w:rStyle w:val="NormalTok"/>
        </w:rPr>
        <w:t xml:space="preserve">(full))</w:t>
      </w:r>
      <w:r>
        <w:rPr>
          <w:rStyle w:val="OperatorTok"/>
        </w:rPr>
        <w:t xml:space="preserve">;</w:t>
      </w:r>
      <w:r>
        <w:br/>
      </w:r>
      <w:r>
        <w:rPr>
          <w:rStyle w:val="CommentTok"/>
        </w:rPr>
        <w:t xml:space="preserve">// Output: https://example.com/a%20path/?q=hello%20world&amp;x=1+2#frag</w:t>
      </w:r>
      <w:r>
        <w:br/>
      </w:r>
      <w:r>
        <w:br/>
      </w:r>
      <w:r>
        <w:rPr>
          <w:rStyle w:val="KeywordTok"/>
        </w:rPr>
        <w:t xml:space="preserve">var</w:t>
      </w:r>
      <w:r>
        <w:rPr>
          <w:rStyle w:val="NormalTok"/>
        </w:rPr>
        <w:t xml:space="preserve"> component </w:t>
      </w:r>
      <w:r>
        <w:rPr>
          <w:rStyle w:val="OperatorTok"/>
        </w:rPr>
        <w:t xml:space="preserve">=</w:t>
      </w:r>
      <w:r>
        <w:rPr>
          <w:rStyle w:val="NormalTok"/>
        </w:rPr>
        <w:t xml:space="preserve"> </w:t>
      </w:r>
      <w:r>
        <w:rPr>
          <w:rStyle w:val="StringTok"/>
        </w:rPr>
        <w:t xml:space="preserve">"q=hello world&amp;x=1+2"</w:t>
      </w:r>
      <w:r>
        <w:rPr>
          <w:rStyle w:val="OperatorTok"/>
        </w:rPr>
        <w:t xml:space="preserve">;</w:t>
      </w:r>
      <w:r>
        <w:br/>
      </w:r>
      <w:r>
        <w:rPr>
          <w:rStyle w:val="KeywordTok"/>
        </w:rPr>
        <w:t xml:space="preserve">var</w:t>
      </w:r>
      <w:r>
        <w:rPr>
          <w:rStyle w:val="NormalTok"/>
        </w:rPr>
        <w:t xml:space="preserve"> encoded </w:t>
      </w:r>
      <w:r>
        <w:rPr>
          <w:rStyle w:val="OperatorTok"/>
        </w:rPr>
        <w:t xml:space="preserve">=</w:t>
      </w:r>
      <w:r>
        <w:rPr>
          <w:rStyle w:val="NormalTok"/>
        </w:rPr>
        <w:t xml:space="preserve"> </w:t>
      </w:r>
      <w:r>
        <w:rPr>
          <w:rStyle w:val="PreprocessorTok"/>
        </w:rPr>
        <w:t xml:space="preserve">encodeURIComponent</w:t>
      </w:r>
      <w:r>
        <w:rPr>
          <w:rStyle w:val="NormalTok"/>
        </w:rPr>
        <w:t xml:space="preserve">(component)</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(encoded)</w:t>
      </w:r>
      <w:r>
        <w:rPr>
          <w:rStyle w:val="OperatorTok"/>
        </w:rPr>
        <w:t xml:space="preserve">;</w:t>
      </w:r>
      <w:r>
        <w:br/>
      </w:r>
      <w:r>
        <w:rPr>
          <w:rStyle w:val="CommentTok"/>
        </w:rPr>
        <w:t xml:space="preserve">// Output: q%3Dhello%20world%26x%3D1%2B2</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PreprocessorTok"/>
        </w:rPr>
        <w:t xml:space="preserve">decodeURIComponent</w:t>
      </w:r>
      <w:r>
        <w:rPr>
          <w:rStyle w:val="NormalTok"/>
        </w:rPr>
        <w:t xml:space="preserve">(encoded))</w:t>
      </w:r>
      <w:r>
        <w:rPr>
          <w:rStyle w:val="OperatorTok"/>
        </w:rPr>
        <w:t xml:space="preserve">;</w:t>
      </w:r>
      <w:r>
        <w:br/>
      </w:r>
      <w:r>
        <w:rPr>
          <w:rStyle w:val="CommentTok"/>
        </w:rPr>
        <w:t xml:space="preserve">// Output: q=hello world&amp;x=1+2</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66"/>
    <w:bookmarkEnd w:id="967"/>
    <w:bookmarkStart w:id="973" w:name="math-extensions"/>
    <w:p>
      <w:pPr>
        <w:pStyle w:val="Heading2"/>
      </w:pPr>
      <w:r>
        <w:t xml:space="preserve">Math Extensions</w:t>
      </w:r>
    </w:p>
    <w:p>
      <w:pPr>
        <w:pStyle w:val="FirstParagraph"/>
      </w:pPr>
      <w:r>
        <w:t xml:space="preserve">The following additional methods are available on the</w:t>
      </w:r>
      <w:r>
        <w:t xml:space="preserve"> </w:t>
      </w:r>
      <w:r>
        <w:rPr>
          <w:rStyle w:val="VerbatimChar"/>
        </w:rPr>
        <w:t xml:space="preserve">Math</w:t>
      </w:r>
      <w:r>
        <w:t xml:space="preserve"> </w:t>
      </w:r>
      <w:r>
        <w:t xml:space="preserve">object.</w:t>
      </w:r>
    </w:p>
    <w:bookmarkStart w:id="968" w:name="math.truncx"/>
    <w:p>
      <w:pPr>
        <w:pStyle w:val="Heading3"/>
      </w:pPr>
      <w:r>
        <w:rPr>
          <w:rStyle w:val="VerbatimChar"/>
        </w:rPr>
        <w:t xml:space="preserve">Math.trunc(x)</w:t>
      </w:r>
    </w:p>
    <w:p>
      <w:pPr>
        <w:pStyle w:val="FirstParagraph"/>
      </w:pPr>
      <w:r>
        <w:t xml:space="preserve">Returns the integer part of</w:t>
      </w:r>
      <w:r>
        <w:t xml:space="preserve"> </w:t>
      </w:r>
      <w:r>
        <w:rPr>
          <w:rStyle w:val="VerbatimChar"/>
        </w:rPr>
        <w:t xml:space="preserve">x</w:t>
      </w:r>
      <w:r>
        <w:t xml:space="preserve"> </w:t>
      </w:r>
      <w:r>
        <w:t xml:space="preserve">by removing the fractional digits.</w:t>
      </w:r>
    </w:p>
    <w:bookmarkEnd w:id="968"/>
    <w:bookmarkStart w:id="969" w:name="math.signx"/>
    <w:p>
      <w:pPr>
        <w:pStyle w:val="Heading3"/>
      </w:pPr>
      <w:r>
        <w:rPr>
          <w:rStyle w:val="VerbatimChar"/>
        </w:rPr>
        <w:t xml:space="preserve">Math.sign(x)</w:t>
      </w:r>
    </w:p>
    <w:p>
      <w:pPr>
        <w:pStyle w:val="FirstParagraph"/>
      </w:pPr>
      <w:r>
        <w:t xml:space="preserve">Returns</w:t>
      </w:r>
      <w:r>
        <w:t xml:space="preserve"> </w:t>
      </w:r>
      <w:r>
        <w:rPr>
          <w:rStyle w:val="VerbatimChar"/>
        </w:rPr>
        <w:t xml:space="preserve">1</w:t>
      </w:r>
      <w:r>
        <w:t xml:space="preserve"> </w:t>
      </w:r>
      <w:r>
        <w:t xml:space="preserve">for positive values,</w:t>
      </w:r>
      <w:r>
        <w:t xml:space="preserve"> </w:t>
      </w:r>
      <w:r>
        <w:rPr>
          <w:rStyle w:val="VerbatimChar"/>
        </w:rPr>
        <w:t xml:space="preserve">-1</w:t>
      </w:r>
      <w:r>
        <w:t xml:space="preserve"> </w:t>
      </w:r>
      <w:r>
        <w:t xml:space="preserve">for negative values, and</w:t>
      </w:r>
      <w:r>
        <w:t xml:space="preserve"> </w:t>
      </w:r>
      <w:r>
        <w:rPr>
          <w:rStyle w:val="VerbatimChar"/>
        </w:rPr>
        <w:t xml:space="preserve">0</w:t>
      </w:r>
      <w:r>
        <w:t xml:space="preserve"> </w:t>
      </w:r>
      <w:r>
        <w:t xml:space="preserve">for zero. Returns</w:t>
      </w:r>
      <w:r>
        <w:t xml:space="preserve"> </w:t>
      </w:r>
      <w:r>
        <w:rPr>
          <w:rStyle w:val="VerbatimChar"/>
        </w:rPr>
        <w:t xml:space="preserve">NaN</w:t>
      </w:r>
      <w:r>
        <w:t xml:space="preserve"> </w:t>
      </w:r>
      <w:r>
        <w:t xml:space="preserve">for</w:t>
      </w:r>
      <w:r>
        <w:t xml:space="preserve"> </w:t>
      </w:r>
      <w:r>
        <w:rPr>
          <w:rStyle w:val="VerbatimChar"/>
        </w:rPr>
        <w:t xml:space="preserve">NaN</w:t>
      </w:r>
      <w:r>
        <w:t xml:space="preserve"> </w:t>
      </w:r>
      <w:r>
        <w:t xml:space="preserve">input.</w:t>
      </w:r>
    </w:p>
    <w:bookmarkEnd w:id="969"/>
    <w:bookmarkStart w:id="970" w:name="math.cbrtx"/>
    <w:p>
      <w:pPr>
        <w:pStyle w:val="Heading3"/>
      </w:pPr>
      <w:r>
        <w:rPr>
          <w:rStyle w:val="VerbatimChar"/>
        </w:rPr>
        <w:t xml:space="preserve">Math.cbrt(x)</w:t>
      </w:r>
    </w:p>
    <w:p>
      <w:pPr>
        <w:pStyle w:val="FirstParagraph"/>
      </w:pPr>
      <w:r>
        <w:t xml:space="preserve">Returns the cube root of</w:t>
      </w:r>
      <w:r>
        <w:t xml:space="preserve"> </w:t>
      </w:r>
      <w:r>
        <w:rPr>
          <w:rStyle w:val="VerbatimChar"/>
        </w:rPr>
        <w:t xml:space="preserve">x</w:t>
      </w:r>
      <w:r>
        <w:t xml:space="preserve">.</w:t>
      </w:r>
    </w:p>
    <w:bookmarkEnd w:id="970"/>
    <w:bookmarkStart w:id="971" w:name="additional-methods"/>
    <w:p>
      <w:pPr>
        <w:pStyle w:val="Heading3"/>
      </w:pPr>
      <w:r>
        <w:t xml:space="preserve">Additional Methods</w:t>
      </w:r>
    </w:p>
    <w:p>
      <w:pPr>
        <w:pStyle w:val="Compact"/>
        <w:numPr>
          <w:ilvl w:val="0"/>
          <w:numId w:val="1268"/>
        </w:numPr>
      </w:pPr>
      <w:r>
        <w:rPr>
          <w:rStyle w:val="VerbatimChar"/>
        </w:rPr>
        <w:t xml:space="preserve">Math.acosh(x)</w:t>
      </w:r>
    </w:p>
    <w:p>
      <w:pPr>
        <w:pStyle w:val="Compact"/>
        <w:numPr>
          <w:ilvl w:val="0"/>
          <w:numId w:val="1268"/>
        </w:numPr>
      </w:pPr>
      <w:r>
        <w:rPr>
          <w:rStyle w:val="VerbatimChar"/>
        </w:rPr>
        <w:t xml:space="preserve">Math.asinh(x)</w:t>
      </w:r>
    </w:p>
    <w:p>
      <w:pPr>
        <w:pStyle w:val="Compact"/>
        <w:numPr>
          <w:ilvl w:val="0"/>
          <w:numId w:val="1268"/>
        </w:numPr>
      </w:pPr>
      <w:r>
        <w:rPr>
          <w:rStyle w:val="VerbatimChar"/>
        </w:rPr>
        <w:t xml:space="preserve">Math.atanh(x)</w:t>
      </w:r>
    </w:p>
    <w:p>
      <w:pPr>
        <w:pStyle w:val="Compact"/>
        <w:numPr>
          <w:ilvl w:val="0"/>
          <w:numId w:val="1268"/>
        </w:numPr>
      </w:pPr>
      <w:r>
        <w:rPr>
          <w:rStyle w:val="VerbatimChar"/>
        </w:rPr>
        <w:t xml:space="preserve">Math.expm1(x)</w:t>
      </w:r>
    </w:p>
    <w:p>
      <w:pPr>
        <w:pStyle w:val="Compact"/>
        <w:numPr>
          <w:ilvl w:val="0"/>
          <w:numId w:val="1268"/>
        </w:numPr>
      </w:pPr>
      <w:r>
        <w:rPr>
          <w:rStyle w:val="VerbatimChar"/>
        </w:rPr>
        <w:t xml:space="preserve">Math.log1p(x)</w:t>
      </w:r>
    </w:p>
    <w:p>
      <w:pPr>
        <w:pStyle w:val="Compact"/>
        <w:numPr>
          <w:ilvl w:val="0"/>
          <w:numId w:val="1268"/>
        </w:numPr>
      </w:pPr>
      <w:r>
        <w:rPr>
          <w:rStyle w:val="VerbatimChar"/>
        </w:rPr>
        <w:t xml:space="preserve">Math.log10(x)</w:t>
      </w:r>
    </w:p>
    <w:p>
      <w:pPr>
        <w:pStyle w:val="Compact"/>
        <w:numPr>
          <w:ilvl w:val="0"/>
          <w:numId w:val="1268"/>
        </w:numPr>
      </w:pPr>
      <w:r>
        <w:rPr>
          <w:rStyle w:val="VerbatimChar"/>
        </w:rPr>
        <w:t xml:space="preserve">Math.log2(x)</w:t>
      </w:r>
    </w:p>
    <w:p>
      <w:pPr>
        <w:pStyle w:val="Compact"/>
        <w:numPr>
          <w:ilvl w:val="0"/>
          <w:numId w:val="1268"/>
        </w:numPr>
      </w:pPr>
      <w:r>
        <w:rPr>
          <w:rStyle w:val="VerbatimChar"/>
        </w:rPr>
        <w:t xml:space="preserve">Math.hypot(...values)</w:t>
      </w:r>
    </w:p>
    <w:p>
      <w:pPr>
        <w:pStyle w:val="Compact"/>
        <w:numPr>
          <w:ilvl w:val="0"/>
          <w:numId w:val="1268"/>
        </w:numPr>
      </w:pPr>
      <w:r>
        <w:rPr>
          <w:rStyle w:val="VerbatimChar"/>
        </w:rPr>
        <w:t xml:space="preserve">Math.fround(x)</w:t>
      </w:r>
    </w:p>
    <w:p>
      <w:pPr>
        <w:pStyle w:val="Compact"/>
        <w:numPr>
          <w:ilvl w:val="0"/>
          <w:numId w:val="1268"/>
        </w:numPr>
      </w:pPr>
      <w:r>
        <w:rPr>
          <w:rStyle w:val="VerbatimChar"/>
        </w:rPr>
        <w:t xml:space="preserve">Math.imul(a, b)</w:t>
      </w:r>
    </w:p>
    <w:p>
      <w:pPr>
        <w:pStyle w:val="Compact"/>
        <w:numPr>
          <w:ilvl w:val="0"/>
          <w:numId w:val="1268"/>
        </w:numPr>
      </w:pPr>
      <w:r>
        <w:rPr>
          <w:rStyle w:val="VerbatimChar"/>
        </w:rPr>
        <w:t xml:space="preserve">Math.clz32(x)</w:t>
      </w:r>
    </w:p>
    <w:bookmarkEnd w:id="971"/>
    <w:bookmarkStart w:id="972" w:name="code-example-49"/>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Math</w:t>
      </w:r>
      <w:r>
        <w:rPr>
          <w:rStyle w:val="OperatorTok"/>
        </w:rPr>
        <w:t xml:space="preserve">.</w:t>
      </w:r>
      <w:r>
        <w:rPr>
          <w:rStyle w:val="FunctionTok"/>
        </w:rPr>
        <w:t xml:space="preserve">trunc</w:t>
      </w:r>
      <w:r>
        <w:rPr>
          <w:rStyle w:val="NormalTok"/>
        </w:rPr>
        <w:t xml:space="preserve">(</w:t>
      </w:r>
      <w:r>
        <w:rPr>
          <w:rStyle w:val="FloatTok"/>
        </w:rPr>
        <w:t xml:space="preserve">4.9</w:t>
      </w:r>
      <w:r>
        <w:rPr>
          <w:rStyle w:val="NormalTok"/>
        </w:rPr>
        <w:t xml:space="preserve">))</w:t>
      </w:r>
      <w:r>
        <w:rPr>
          <w:rStyle w:val="OperatorTok"/>
        </w:rPr>
        <w:t xml:space="preserve">;</w:t>
      </w:r>
      <w:r>
        <w:rPr>
          <w:rStyle w:val="NormalTok"/>
        </w:rPr>
        <w:t xml:space="preserve"> </w:t>
      </w:r>
      <w:r>
        <w:rPr>
          <w:rStyle w:val="CommentTok"/>
        </w:rPr>
        <w:t xml:space="preserve">// Output: 4</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Math</w:t>
      </w:r>
      <w:r>
        <w:rPr>
          <w:rStyle w:val="OperatorTok"/>
        </w:rPr>
        <w:t xml:space="preserve">.</w:t>
      </w:r>
      <w:r>
        <w:rPr>
          <w:rStyle w:val="FunctionTok"/>
        </w:rPr>
        <w:t xml:space="preserve">sign</w:t>
      </w:r>
      <w:r>
        <w:rPr>
          <w:rStyle w:val="NormalTok"/>
        </w:rPr>
        <w:t xml:space="preserve">(</w:t>
      </w:r>
      <w:r>
        <w:rPr>
          <w:rStyle w:val="OperatorTok"/>
        </w:rPr>
        <w:t xml:space="preserve">-</w:t>
      </w:r>
      <w:r>
        <w:rPr>
          <w:rStyle w:val="DecValTok"/>
        </w:rPr>
        <w:t xml:space="preserve">12</w:t>
      </w:r>
      <w:r>
        <w:rPr>
          <w:rStyle w:val="NormalTok"/>
        </w:rPr>
        <w:t xml:space="preserve">))</w:t>
      </w:r>
      <w:r>
        <w:rPr>
          <w:rStyle w:val="OperatorTok"/>
        </w:rPr>
        <w:t xml:space="preserve">;</w:t>
      </w:r>
      <w:r>
        <w:rPr>
          <w:rStyle w:val="NormalTok"/>
        </w:rPr>
        <w:t xml:space="preserve">  </w:t>
      </w:r>
      <w:r>
        <w:rPr>
          <w:rStyle w:val="CommentTok"/>
        </w:rPr>
        <w:t xml:space="preserve">// Output: -1</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Math</w:t>
      </w:r>
      <w:r>
        <w:rPr>
          <w:rStyle w:val="OperatorTok"/>
        </w:rPr>
        <w:t xml:space="preserve">.</w:t>
      </w:r>
      <w:r>
        <w:rPr>
          <w:rStyle w:val="FunctionTok"/>
        </w:rPr>
        <w:t xml:space="preserve">cbrt</w:t>
      </w:r>
      <w:r>
        <w:rPr>
          <w:rStyle w:val="NormalTok"/>
        </w:rPr>
        <w:t xml:space="preserve">(</w:t>
      </w:r>
      <w:r>
        <w:rPr>
          <w:rStyle w:val="DecValTok"/>
        </w:rPr>
        <w:t xml:space="preserve">27</w:t>
      </w:r>
      <w:r>
        <w:rPr>
          <w:rStyle w:val="NormalTok"/>
        </w:rPr>
        <w:t xml:space="preserve">))</w:t>
      </w:r>
      <w:r>
        <w:rPr>
          <w:rStyle w:val="OperatorTok"/>
        </w:rPr>
        <w:t xml:space="preserve">;</w:t>
      </w:r>
      <w:r>
        <w:rPr>
          <w:rStyle w:val="NormalTok"/>
        </w:rPr>
        <w:t xml:space="preserve">   </w:t>
      </w:r>
      <w:r>
        <w:rPr>
          <w:rStyle w:val="CommentTok"/>
        </w:rPr>
        <w:t xml:space="preserve">// Output: 3</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Math</w:t>
      </w:r>
      <w:r>
        <w:rPr>
          <w:rStyle w:val="OperatorTok"/>
        </w:rPr>
        <w:t xml:space="preserve">.</w:t>
      </w:r>
      <w:r>
        <w:rPr>
          <w:rStyle w:val="FunctionTok"/>
        </w:rPr>
        <w:t xml:space="preserve">hypot</w:t>
      </w:r>
      <w:r>
        <w:rPr>
          <w:rStyle w:val="NormalTok"/>
        </w:rPr>
        <w:t xml:space="preserve">(</w:t>
      </w:r>
      <w:r>
        <w:rPr>
          <w:rStyle w:val="DecValTok"/>
        </w:rPr>
        <w:t xml:space="preserve">3</w:t>
      </w:r>
      <w:r>
        <w:rPr>
          <w:rStyle w:val="OperatorTok"/>
        </w:rPr>
        <w:t xml:space="preserve">,</w:t>
      </w:r>
      <w:r>
        <w:rPr>
          <w:rStyle w:val="NormalTok"/>
        </w:rPr>
        <w:t xml:space="preserve"> </w:t>
      </w:r>
      <w:r>
        <w:rPr>
          <w:rStyle w:val="DecValTok"/>
        </w:rPr>
        <w:t xml:space="preserve">4</w:t>
      </w:r>
      <w:r>
        <w:rPr>
          <w:rStyle w:val="NormalTok"/>
        </w:rPr>
        <w:t xml:space="preserve">))</w:t>
      </w:r>
      <w:r>
        <w:rPr>
          <w:rStyle w:val="OperatorTok"/>
        </w:rPr>
        <w:t xml:space="preserve">;</w:t>
      </w:r>
      <w:r>
        <w:rPr>
          <w:rStyle w:val="NormalTok"/>
        </w:rPr>
        <w:t xml:space="preserve"> </w:t>
      </w:r>
      <w:r>
        <w:rPr>
          <w:rStyle w:val="CommentTok"/>
        </w:rPr>
        <w:t xml:space="preserve">// Output: 5</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Math</w:t>
      </w:r>
      <w:r>
        <w:rPr>
          <w:rStyle w:val="OperatorTok"/>
        </w:rPr>
        <w:t xml:space="preserve">.</w:t>
      </w:r>
      <w:r>
        <w:rPr>
          <w:rStyle w:val="FunctionTok"/>
        </w:rPr>
        <w:t xml:space="preserve">imul</w:t>
      </w:r>
      <w:r>
        <w:rPr>
          <w:rStyle w:val="NormalTok"/>
        </w:rPr>
        <w:t xml:space="preserve">(</w:t>
      </w:r>
      <w:r>
        <w:rPr>
          <w:rStyle w:val="BaseNTok"/>
        </w:rPr>
        <w:t xml:space="preserve">0xffffffff</w:t>
      </w:r>
      <w:r>
        <w:rPr>
          <w:rStyle w:val="OperatorTok"/>
        </w:rPr>
        <w:t xml:space="preserve">,</w:t>
      </w:r>
      <w:r>
        <w:rPr>
          <w:rStyle w:val="NormalTok"/>
        </w:rPr>
        <w:t xml:space="preserve"> </w:t>
      </w:r>
      <w:r>
        <w:rPr>
          <w:rStyle w:val="DecValTok"/>
        </w:rPr>
        <w:t xml:space="preserve">5</w:t>
      </w:r>
      <w:r>
        <w:rPr>
          <w:rStyle w:val="NormalTok"/>
        </w:rPr>
        <w:t xml:space="preserve">))</w:t>
      </w:r>
      <w:r>
        <w:rPr>
          <w:rStyle w:val="OperatorTok"/>
        </w:rPr>
        <w:t xml:space="preserve">;</w:t>
      </w:r>
      <w:r>
        <w:rPr>
          <w:rStyle w:val="NormalTok"/>
        </w:rPr>
        <w:t xml:space="preserve"> </w:t>
      </w:r>
      <w:r>
        <w:rPr>
          <w:rStyle w:val="CommentTok"/>
        </w:rPr>
        <w:t xml:space="preserve">// Output: -5</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Math</w:t>
      </w:r>
      <w:r>
        <w:rPr>
          <w:rStyle w:val="OperatorTok"/>
        </w:rPr>
        <w:t xml:space="preserve">.</w:t>
      </w:r>
      <w:r>
        <w:rPr>
          <w:rStyle w:val="FunctionTok"/>
        </w:rPr>
        <w:t xml:space="preserve">clz32</w:t>
      </w:r>
      <w:r>
        <w:rPr>
          <w:rStyle w:val="NormalTok"/>
        </w:rPr>
        <w:t xml:space="preserve">(</w:t>
      </w:r>
      <w:r>
        <w:rPr>
          <w:rStyle w:val="DecValTok"/>
        </w:rPr>
        <w:t xml:space="preserve">1</w:t>
      </w:r>
      <w:r>
        <w:rPr>
          <w:rStyle w:val="NormalTok"/>
        </w:rPr>
        <w:t xml:space="preserve">))</w:t>
      </w:r>
      <w:r>
        <w:rPr>
          <w:rStyle w:val="OperatorTok"/>
        </w:rPr>
        <w:t xml:space="preserve">;</w:t>
      </w:r>
      <w:r>
        <w:rPr>
          <w:rStyle w:val="NormalTok"/>
        </w:rPr>
        <w:t xml:space="preserve"> </w:t>
      </w:r>
      <w:r>
        <w:rPr>
          <w:rStyle w:val="CommentTok"/>
        </w:rPr>
        <w:t xml:space="preserve">// Output: 31</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72"/>
    <w:bookmarkEnd w:id="973"/>
    <w:bookmarkStart w:id="977" w:name="symbol-primitive"/>
    <w:p>
      <w:pPr>
        <w:pStyle w:val="Heading2"/>
      </w:pPr>
      <w:r>
        <w:t xml:space="preserve">Symbol Primitive</w:t>
      </w:r>
    </w:p>
    <w:bookmarkStart w:id="974" w:name="syntax-52"/>
    <w:p>
      <w:pPr>
        <w:pStyle w:val="Heading3"/>
      </w:pPr>
      <w:r>
        <w:t xml:space="preserve">Syntax</w:t>
      </w:r>
    </w:p>
    <w:p>
      <w:pPr>
        <w:pStyle w:val="SourceCode"/>
      </w:pPr>
      <w:r>
        <w:rPr>
          <w:rStyle w:val="KeywordTok"/>
        </w:rPr>
        <w:t xml:space="preserve">var</w:t>
      </w:r>
      <w:r>
        <w:rPr>
          <w:rStyle w:val="NormalTok"/>
        </w:rPr>
        <w:t xml:space="preserve"> sym </w:t>
      </w:r>
      <w:r>
        <w:rPr>
          <w:rStyle w:val="OperatorTok"/>
        </w:rPr>
        <w:t xml:space="preserve">=</w:t>
      </w:r>
      <w:r>
        <w:rPr>
          <w:rStyle w:val="NormalTok"/>
        </w:rPr>
        <w:t xml:space="preserve"> </w:t>
      </w:r>
      <w:r>
        <w:rPr>
          <w:rStyle w:val="BuiltInTok"/>
        </w:rPr>
        <w:t xml:space="preserve">Symbol</w:t>
      </w:r>
      <w:r>
        <w:rPr>
          <w:rStyle w:val="NormalTok"/>
        </w:rPr>
        <w:t xml:space="preserve">(description)</w:t>
      </w:r>
      <w:r>
        <w:rPr>
          <w:rStyle w:val="OperatorTok"/>
        </w:rPr>
        <w:t xml:space="preserve">;</w:t>
      </w:r>
    </w:p>
    <w:bookmarkEnd w:id="974"/>
    <w:bookmarkStart w:id="975" w:name="remarks-59"/>
    <w:p>
      <w:pPr>
        <w:pStyle w:val="Heading3"/>
      </w:pPr>
      <w:r>
        <w:t xml:space="preserve">Remarks</w:t>
      </w:r>
    </w:p>
    <w:p>
      <w:pPr>
        <w:pStyle w:val="Compact"/>
        <w:numPr>
          <w:ilvl w:val="0"/>
          <w:numId w:val="1269"/>
        </w:numPr>
      </w:pPr>
      <w:r>
        <w:t xml:space="preserve">Each call to</w:t>
      </w:r>
      <w:r>
        <w:t xml:space="preserve"> </w:t>
      </w:r>
      <w:r>
        <w:rPr>
          <w:rStyle w:val="VerbatimChar"/>
        </w:rPr>
        <w:t xml:space="preserve">Symbol()</w:t>
      </w:r>
      <w:r>
        <w:t xml:space="preserve"> </w:t>
      </w:r>
      <w:r>
        <w:t xml:space="preserve">returns a unique value that is never equal to any other</w:t>
      </w:r>
      <w:r>
        <w:t xml:space="preserve"> </w:t>
      </w:r>
      <w:r>
        <w:rPr>
          <w:rStyle w:val="VerbatimChar"/>
        </w:rPr>
        <w:t xml:space="preserve">Symbol</w:t>
      </w:r>
      <w:r>
        <w:t xml:space="preserve"> </w:t>
      </w:r>
      <w:r>
        <w:t xml:space="preserve">or primitive.</w:t>
      </w:r>
    </w:p>
    <w:p>
      <w:pPr>
        <w:pStyle w:val="Compact"/>
        <w:numPr>
          <w:ilvl w:val="0"/>
          <w:numId w:val="1269"/>
        </w:numPr>
      </w:pPr>
      <w:r>
        <w:t xml:space="preserve">Symbols can be used as object property keys to create collision-safe identifiers.</w:t>
      </w:r>
    </w:p>
    <w:p>
      <w:pPr>
        <w:pStyle w:val="Compact"/>
        <w:numPr>
          <w:ilvl w:val="0"/>
          <w:numId w:val="1269"/>
        </w:numPr>
      </w:pPr>
      <w:r>
        <w:t xml:space="preserve">Calling</w:t>
      </w:r>
      <w:r>
        <w:t xml:space="preserve"> </w:t>
      </w:r>
      <w:r>
        <w:rPr>
          <w:rStyle w:val="VerbatimChar"/>
        </w:rPr>
        <w:t xml:space="preserve">new Symbol()</w:t>
      </w:r>
      <w:r>
        <w:t xml:space="preserve"> </w:t>
      </w:r>
      <w:r>
        <w:t xml:space="preserve">raises a</w:t>
      </w:r>
      <w:r>
        <w:t xml:space="preserve"> </w:t>
      </w:r>
      <w:r>
        <w:rPr>
          <w:rStyle w:val="VerbatimChar"/>
        </w:rPr>
        <w:t xml:space="preserve">TypeError</w:t>
      </w:r>
      <w:r>
        <w:t xml:space="preserve">.</w:t>
      </w:r>
      <w:r>
        <w:t xml:space="preserve"> </w:t>
      </w:r>
      <w:r>
        <w:rPr>
          <w:rStyle w:val="VerbatimChar"/>
        </w:rPr>
        <w:t xml:space="preserve">Symbol</w:t>
      </w:r>
      <w:r>
        <w:t xml:space="preserve"> </w:t>
      </w:r>
      <w:r>
        <w:t xml:space="preserve">is not a constructor.</w:t>
      </w:r>
    </w:p>
    <w:p>
      <w:pPr>
        <w:pStyle w:val="Compact"/>
        <w:numPr>
          <w:ilvl w:val="0"/>
          <w:numId w:val="1269"/>
        </w:numPr>
      </w:pPr>
      <w:r>
        <w:t xml:space="preserve">Symbol-keyed properties are intentionally hidden from</w:t>
      </w:r>
      <w:r>
        <w:t xml:space="preserve"> </w:t>
      </w:r>
      <w:r>
        <w:rPr>
          <w:rStyle w:val="VerbatimChar"/>
        </w:rPr>
        <w:t xml:space="preserve">Object.keys</w:t>
      </w:r>
      <w:r>
        <w:t xml:space="preserve">,</w:t>
      </w:r>
      <w:r>
        <w:t xml:space="preserve"> </w:t>
      </w:r>
      <w:r>
        <w:rPr>
          <w:rStyle w:val="VerbatimChar"/>
        </w:rPr>
        <w:t xml:space="preserve">Object.values</w:t>
      </w:r>
      <w:r>
        <w:t xml:space="preserve">, and</w:t>
      </w:r>
      <w:r>
        <w:t xml:space="preserve"> </w:t>
      </w:r>
      <w:r>
        <w:rPr>
          <w:rStyle w:val="VerbatimChar"/>
        </w:rPr>
        <w:t xml:space="preserve">Object.entries</w:t>
      </w:r>
      <w:r>
        <w:t xml:space="preserve"> </w:t>
      </w:r>
      <w:r>
        <w:t xml:space="preserve">to prevent unintended exposure in enumeration.</w:t>
      </w:r>
    </w:p>
    <w:bookmarkEnd w:id="975"/>
    <w:bookmarkStart w:id="976" w:name="code-example-50"/>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s1 </w:t>
      </w:r>
      <w:r>
        <w:rPr>
          <w:rStyle w:val="OperatorTok"/>
        </w:rPr>
        <w:t xml:space="preserve">=</w:t>
      </w:r>
      <w:r>
        <w:rPr>
          <w:rStyle w:val="NormalTok"/>
        </w:rPr>
        <w:t xml:space="preserve"> </w:t>
      </w:r>
      <w:r>
        <w:rPr>
          <w:rStyle w:val="BuiltInTok"/>
        </w:rPr>
        <w:t xml:space="preserve">Symbol</w:t>
      </w:r>
      <w:r>
        <w:rPr>
          <w:rStyle w:val="NormalTok"/>
        </w:rPr>
        <w:t xml:space="preserve">(</w:t>
      </w:r>
      <w:r>
        <w:rPr>
          <w:rStyle w:val="StringTok"/>
        </w:rPr>
        <w:t xml:space="preserve">"id"</w:t>
      </w:r>
      <w:r>
        <w:rPr>
          <w:rStyle w:val="NormalTok"/>
        </w:rPr>
        <w:t xml:space="preserve">)</w:t>
      </w:r>
      <w:r>
        <w:rPr>
          <w:rStyle w:val="OperatorTok"/>
        </w:rPr>
        <w:t xml:space="preserve">;</w:t>
      </w:r>
      <w:r>
        <w:br/>
      </w:r>
      <w:r>
        <w:rPr>
          <w:rStyle w:val="KeywordTok"/>
        </w:rPr>
        <w:t xml:space="preserve">var</w:t>
      </w:r>
      <w:r>
        <w:rPr>
          <w:rStyle w:val="NormalTok"/>
        </w:rPr>
        <w:t xml:space="preserve"> s2 </w:t>
      </w:r>
      <w:r>
        <w:rPr>
          <w:rStyle w:val="OperatorTok"/>
        </w:rPr>
        <w:t xml:space="preserve">=</w:t>
      </w:r>
      <w:r>
        <w:rPr>
          <w:rStyle w:val="NormalTok"/>
        </w:rPr>
        <w:t xml:space="preserve"> </w:t>
      </w:r>
      <w:r>
        <w:rPr>
          <w:rStyle w:val="BuiltInTok"/>
        </w:rPr>
        <w:t xml:space="preserve">Symbol</w:t>
      </w:r>
      <w:r>
        <w:rPr>
          <w:rStyle w:val="NormalTok"/>
        </w:rPr>
        <w:t xml:space="preserve">(</w:t>
      </w:r>
      <w:r>
        <w:rPr>
          <w:rStyle w:val="StringTok"/>
        </w:rPr>
        <w:t xml:space="preserve">"id"</w:t>
      </w:r>
      <w:r>
        <w:rPr>
          <w:rStyle w:val="NormalTok"/>
        </w:rPr>
        <w:t xml:space="preserve">)</w:t>
      </w:r>
      <w:r>
        <w:rPr>
          <w:rStyle w:val="OperatorTok"/>
        </w:rPr>
        <w:t xml:space="preserve">;</w:t>
      </w:r>
      <w:r>
        <w:br/>
      </w:r>
      <w:r>
        <w:rPr>
          <w:rStyle w:val="KeywordTok"/>
        </w:rPr>
        <w:t xml:space="preserve">var</w:t>
      </w:r>
      <w:r>
        <w:rPr>
          <w:rStyle w:val="NormalTok"/>
        </w:rPr>
        <w:t xml:space="preserve"> o </w:t>
      </w:r>
      <w:r>
        <w:rPr>
          <w:rStyle w:val="OperatorTok"/>
        </w:rPr>
        <w:t xml:space="preserve">=</w:t>
      </w:r>
      <w:r>
        <w:rPr>
          <w:rStyle w:val="NormalTok"/>
        </w:rPr>
        <w:t xml:space="preserve"> {}</w:t>
      </w:r>
      <w:r>
        <w:rPr>
          <w:rStyle w:val="OperatorTok"/>
        </w:rPr>
        <w:t xml:space="preserve">;</w:t>
      </w:r>
      <w:r>
        <w:br/>
      </w:r>
      <w:r>
        <w:rPr>
          <w:rStyle w:val="NormalTok"/>
        </w:rPr>
        <w:t xml:space="preserve">o[s1] </w:t>
      </w:r>
      <w:r>
        <w:rPr>
          <w:rStyle w:val="OperatorTok"/>
        </w:rPr>
        <w:t xml:space="preserve">=</w:t>
      </w:r>
      <w:r>
        <w:rPr>
          <w:rStyle w:val="NormalTok"/>
        </w:rPr>
        <w:t xml:space="preserve"> </w:t>
      </w:r>
      <w:r>
        <w:rPr>
          <w:rStyle w:val="DecValTok"/>
        </w:rPr>
        <w:t xml:space="preserve">42</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((s1 </w:t>
      </w:r>
      <w:r>
        <w:rPr>
          <w:rStyle w:val="OperatorTok"/>
        </w:rPr>
        <w:t xml:space="preserve">!==</w:t>
      </w:r>
      <w:r>
        <w:rPr>
          <w:rStyle w:val="NormalTok"/>
        </w:rPr>
        <w:t xml:space="preserve"> s2)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o[s1])</w:t>
      </w:r>
      <w:r>
        <w:rPr>
          <w:rStyle w:val="OperatorTok"/>
        </w:rPr>
        <w:t xml:space="preserve">;</w:t>
      </w:r>
      <w:r>
        <w:br/>
      </w:r>
      <w:r>
        <w:rPr>
          <w:rStyle w:val="CommentTok"/>
        </w:rPr>
        <w:t xml:space="preserve">// Output: true|42</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76"/>
    <w:bookmarkEnd w:id="977"/>
    <w:bookmarkStart w:id="979" w:name="X280a0df234ce19156724f87dc5db0957ba6c287"/>
    <w:p>
      <w:pPr>
        <w:pStyle w:val="Heading2"/>
      </w:pPr>
      <w:r>
        <w:t xml:space="preserve">Symbol Primitive — Well-Known Symbols and Global Registry</w:t>
      </w:r>
    </w:p>
    <w:p>
      <w:pPr>
        <w:pStyle w:val="FirstParagraph"/>
      </w:pPr>
      <w:r>
        <w:t xml:space="preserve">Well-known symbols are pre-defined</w:t>
      </w:r>
      <w:r>
        <w:t xml:space="preserve"> </w:t>
      </w:r>
      <w:r>
        <w:rPr>
          <w:rStyle w:val="VerbatimChar"/>
        </w:rPr>
        <w:t xml:space="preserve">Symbol</w:t>
      </w:r>
      <w:r>
        <w:t xml:space="preserve"> </w:t>
      </w:r>
      <w:r>
        <w:t xml:space="preserve">values stored as properties of the</w:t>
      </w:r>
      <w:r>
        <w:t xml:space="preserve"> </w:t>
      </w:r>
      <w:r>
        <w:rPr>
          <w:rStyle w:val="VerbatimChar"/>
        </w:rPr>
        <w:t xml:space="preserve">Symbol</w:t>
      </w:r>
      <w:r>
        <w:t xml:space="preserve"> </w:t>
      </w:r>
      <w:r>
        <w:t xml:space="preserve">constructor object.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Symbol</w:t>
            </w:r>
          </w:p>
        </w:tc>
        <w:tc>
          <w:tcPr/>
          <w:p>
            <w:pPr>
              <w:pStyle w:val="Compact"/>
            </w:pPr>
            <w:r>
              <w:t xml:space="preserve">Description</w:t>
            </w:r>
          </w:p>
        </w:tc>
      </w:tr>
      <w:tr>
        <w:tc>
          <w:tcPr/>
          <w:p>
            <w:pPr>
              <w:pStyle w:val="Compact"/>
            </w:pPr>
            <w:r>
              <w:rPr>
                <w:rStyle w:val="VerbatimChar"/>
              </w:rPr>
              <w:t xml:space="preserve">Symbol.iterator</w:t>
            </w:r>
          </w:p>
        </w:tc>
        <w:tc>
          <w:tcPr/>
          <w:p>
            <w:pPr>
              <w:pStyle w:val="Compact"/>
            </w:pPr>
            <w:r>
              <w:t xml:space="preserve">Default iterator for</w:t>
            </w:r>
            <w:r>
              <w:t xml:space="preserve"> </w:t>
            </w:r>
            <w:r>
              <w:rPr>
                <w:rStyle w:val="VerbatimChar"/>
              </w:rPr>
              <w:t xml:space="preserve">for...of</w:t>
            </w:r>
            <w:r>
              <w:t xml:space="preserve"> </w:t>
            </w:r>
            <w:r>
              <w:t xml:space="preserve">loops</w:t>
            </w:r>
          </w:p>
        </w:tc>
      </w:tr>
      <w:tr>
        <w:tc>
          <w:tcPr/>
          <w:p>
            <w:pPr>
              <w:pStyle w:val="Compact"/>
            </w:pPr>
            <w:r>
              <w:rPr>
                <w:rStyle w:val="VerbatimChar"/>
              </w:rPr>
              <w:t xml:space="preserve">Symbol.toStringTag</w:t>
            </w:r>
          </w:p>
        </w:tc>
        <w:tc>
          <w:tcPr/>
          <w:p>
            <w:pPr>
              <w:pStyle w:val="Compact"/>
            </w:pPr>
            <w:r>
              <w:t xml:space="preserve">Object</w:t>
            </w:r>
            <w:r>
              <w:t xml:space="preserve"> </w:t>
            </w:r>
            <w:r>
              <w:rPr>
                <w:rStyle w:val="VerbatimChar"/>
              </w:rPr>
              <w:t xml:space="preserve">[object X]</w:t>
            </w:r>
            <w:r>
              <w:t xml:space="preserve"> </w:t>
            </w:r>
            <w:r>
              <w:t xml:space="preserve">tag override</w:t>
            </w:r>
          </w:p>
        </w:tc>
      </w:tr>
      <w:tr>
        <w:tc>
          <w:tcPr/>
          <w:p>
            <w:pPr>
              <w:pStyle w:val="Compact"/>
            </w:pPr>
            <w:r>
              <w:rPr>
                <w:rStyle w:val="VerbatimChar"/>
              </w:rPr>
              <w:t xml:space="preserve">Symbol.species</w:t>
            </w:r>
          </w:p>
        </w:tc>
        <w:tc>
          <w:tcPr/>
          <w:p>
            <w:pPr>
              <w:pStyle w:val="Compact"/>
            </w:pPr>
            <w:r>
              <w:t xml:space="preserve">Species constructor for derived objects</w:t>
            </w:r>
          </w:p>
        </w:tc>
      </w:tr>
      <w:tr>
        <w:tc>
          <w:tcPr/>
          <w:p>
            <w:pPr>
              <w:pStyle w:val="Compact"/>
            </w:pPr>
            <w:r>
              <w:rPr>
                <w:rStyle w:val="VerbatimChar"/>
              </w:rPr>
              <w:t xml:space="preserve">Symbol.hasInstance</w:t>
            </w:r>
          </w:p>
        </w:tc>
        <w:tc>
          <w:tcPr/>
          <w:p>
            <w:pPr>
              <w:pStyle w:val="Compact"/>
            </w:pPr>
            <w:r>
              <w:t xml:space="preserve">Custom</w:t>
            </w:r>
            <w:r>
              <w:t xml:space="preserve"> </w:t>
            </w:r>
            <w:r>
              <w:rPr>
                <w:rStyle w:val="VerbatimChar"/>
              </w:rPr>
              <w:t xml:space="preserve">instanceof</w:t>
            </w:r>
            <w:r>
              <w:t xml:space="preserve"> </w:t>
            </w:r>
            <w:r>
              <w:t xml:space="preserve">behavior</w:t>
            </w:r>
          </w:p>
        </w:tc>
      </w:tr>
      <w:tr>
        <w:tc>
          <w:tcPr/>
          <w:p>
            <w:pPr>
              <w:pStyle w:val="Compact"/>
            </w:pPr>
            <w:r>
              <w:rPr>
                <w:rStyle w:val="VerbatimChar"/>
              </w:rPr>
              <w:t xml:space="preserve">Symbol.toPrimitive</w:t>
            </w:r>
          </w:p>
        </w:tc>
        <w:tc>
          <w:tcPr/>
          <w:p>
            <w:pPr>
              <w:pStyle w:val="Compact"/>
            </w:pPr>
            <w:r>
              <w:t xml:space="preserve">Custom primitive conversion</w:t>
            </w:r>
          </w:p>
        </w:tc>
      </w:tr>
    </w:tbl>
    <w:p>
      <w:pPr>
        <w:pStyle w:val="BodyText"/>
      </w:pPr>
      <w:r>
        <w:t xml:space="preserve">The global symbol registry allows sharing symbols across realms via</w:t>
      </w:r>
      <w:r>
        <w:t xml:space="preserve"> </w:t>
      </w:r>
      <w:r>
        <w:rPr>
          <w:rStyle w:val="VerbatimChar"/>
        </w:rPr>
        <w:t xml:space="preserve">Symbol.for</w:t>
      </w:r>
      <w:r>
        <w:t xml:space="preserve"> </w:t>
      </w:r>
      <w:r>
        <w:t xml:space="preserve">and</w:t>
      </w:r>
      <w:r>
        <w:t xml:space="preserve"> </w:t>
      </w:r>
      <w:r>
        <w:rPr>
          <w:rStyle w:val="VerbatimChar"/>
        </w:rPr>
        <w:t xml:space="preserve">Symbol.keyFor</w:t>
      </w:r>
      <w:r>
        <w:t xml:space="preserve">.</w:t>
      </w:r>
    </w:p>
    <w:bookmarkStart w:id="978" w:name="code-example-51"/>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CommentTok"/>
        </w:rPr>
        <w:t xml:space="preserve">// Well-known symbols are of type "symbol"</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KeywordTok"/>
        </w:rPr>
        <w:t xml:space="preserve">typeof</w:t>
      </w:r>
      <w:r>
        <w:rPr>
          <w:rStyle w:val="NormalTok"/>
        </w:rPr>
        <w:t xml:space="preserve"> </w:t>
      </w:r>
      <w:r>
        <w:rPr>
          <w:rStyle w:val="BuiltInTok"/>
        </w:rPr>
        <w:t xml:space="preserve">Symbol</w:t>
      </w:r>
      <w:r>
        <w:rPr>
          <w:rStyle w:val="OperatorTok"/>
        </w:rPr>
        <w:t xml:space="preserve">.</w:t>
      </w:r>
      <w:r>
        <w:rPr>
          <w:rStyle w:val="AttributeTok"/>
        </w:rPr>
        <w:t xml:space="preserve">iterator</w:t>
      </w:r>
      <w:r>
        <w:rPr>
          <w:rStyle w:val="NormalTok"/>
        </w:rPr>
        <w:t xml:space="preserve">)</w:t>
      </w:r>
      <w:r>
        <w:rPr>
          <w:rStyle w:val="OperatorTok"/>
        </w:rPr>
        <w:t xml:space="preserve">;</w:t>
      </w:r>
      <w:r>
        <w:rPr>
          <w:rStyle w:val="NormalTok"/>
        </w:rPr>
        <w:t xml:space="preserve">   </w:t>
      </w:r>
      <w:r>
        <w:rPr>
          <w:rStyle w:val="CommentTok"/>
        </w:rPr>
        <w:t xml:space="preserve">// Output: symbol</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KeywordTok"/>
        </w:rPr>
        <w:t xml:space="preserve">typeof</w:t>
      </w:r>
      <w:r>
        <w:rPr>
          <w:rStyle w:val="NormalTok"/>
        </w:rPr>
        <w:t xml:space="preserve"> </w:t>
      </w:r>
      <w:r>
        <w:rPr>
          <w:rStyle w:val="BuiltInTok"/>
        </w:rPr>
        <w:t xml:space="preserve">Symbol</w:t>
      </w:r>
      <w:r>
        <w:rPr>
          <w:rStyle w:val="OperatorTok"/>
        </w:rPr>
        <w:t xml:space="preserve">.</w:t>
      </w:r>
      <w:r>
        <w:rPr>
          <w:rStyle w:val="AttributeTok"/>
        </w:rPr>
        <w:t xml:space="preserve">toStringTag</w:t>
      </w:r>
      <w:r>
        <w:rPr>
          <w:rStyle w:val="NormalTok"/>
        </w:rPr>
        <w:t xml:space="preserve">)</w:t>
      </w:r>
      <w:r>
        <w:rPr>
          <w:rStyle w:val="OperatorTok"/>
        </w:rPr>
        <w:t xml:space="preserve">;</w:t>
      </w:r>
      <w:r>
        <w:rPr>
          <w:rStyle w:val="NormalTok"/>
        </w:rPr>
        <w:t xml:space="preserve"> </w:t>
      </w:r>
      <w:r>
        <w:rPr>
          <w:rStyle w:val="CommentTok"/>
        </w:rPr>
        <w:t xml:space="preserve">// Output: symbol</w:t>
      </w:r>
      <w:r>
        <w:br/>
      </w:r>
      <w:r>
        <w:br/>
      </w:r>
      <w:r>
        <w:rPr>
          <w:rStyle w:val="CommentTok"/>
        </w:rPr>
        <w:t xml:space="preserve">// Symbol.for — global registry: same key returns same symbol</w:t>
      </w:r>
      <w:r>
        <w:br/>
      </w:r>
      <w:r>
        <w:rPr>
          <w:rStyle w:val="KeywordTok"/>
        </w:rPr>
        <w:t xml:space="preserve">var</w:t>
      </w:r>
      <w:r>
        <w:rPr>
          <w:rStyle w:val="NormalTok"/>
        </w:rPr>
        <w:t xml:space="preserve"> a </w:t>
      </w:r>
      <w:r>
        <w:rPr>
          <w:rStyle w:val="OperatorTok"/>
        </w:rPr>
        <w:t xml:space="preserve">=</w:t>
      </w:r>
      <w:r>
        <w:rPr>
          <w:rStyle w:val="NormalTok"/>
        </w:rPr>
        <w:t xml:space="preserve"> </w:t>
      </w:r>
      <w:r>
        <w:rPr>
          <w:rStyle w:val="BuiltInTok"/>
        </w:rPr>
        <w:t xml:space="preserve">Symbol</w:t>
      </w:r>
      <w:r>
        <w:rPr>
          <w:rStyle w:val="OperatorTok"/>
        </w:rPr>
        <w:t xml:space="preserve">.</w:t>
      </w:r>
      <w:r>
        <w:rPr>
          <w:rStyle w:val="FunctionTok"/>
        </w:rPr>
        <w:t xml:space="preserve">for</w:t>
      </w:r>
      <w:r>
        <w:rPr>
          <w:rStyle w:val="NormalTok"/>
        </w:rPr>
        <w:t xml:space="preserve">(</w:t>
      </w:r>
      <w:r>
        <w:rPr>
          <w:rStyle w:val="StringTok"/>
        </w:rPr>
        <w:t xml:space="preserve">"appToken"</w:t>
      </w:r>
      <w:r>
        <w:rPr>
          <w:rStyle w:val="NormalTok"/>
        </w:rPr>
        <w:t xml:space="preserve">)</w:t>
      </w:r>
      <w:r>
        <w:rPr>
          <w:rStyle w:val="OperatorTok"/>
        </w:rPr>
        <w:t xml:space="preserve">;</w:t>
      </w:r>
      <w:r>
        <w:br/>
      </w:r>
      <w:r>
        <w:rPr>
          <w:rStyle w:val="KeywordTok"/>
        </w:rPr>
        <w:t xml:space="preserve">var</w:t>
      </w:r>
      <w:r>
        <w:rPr>
          <w:rStyle w:val="NormalTok"/>
        </w:rPr>
        <w:t xml:space="preserve"> b </w:t>
      </w:r>
      <w:r>
        <w:rPr>
          <w:rStyle w:val="OperatorTok"/>
        </w:rPr>
        <w:t xml:space="preserve">=</w:t>
      </w:r>
      <w:r>
        <w:rPr>
          <w:rStyle w:val="NormalTok"/>
        </w:rPr>
        <w:t xml:space="preserve"> </w:t>
      </w:r>
      <w:r>
        <w:rPr>
          <w:rStyle w:val="BuiltInTok"/>
        </w:rPr>
        <w:t xml:space="preserve">Symbol</w:t>
      </w:r>
      <w:r>
        <w:rPr>
          <w:rStyle w:val="OperatorTok"/>
        </w:rPr>
        <w:t xml:space="preserve">.</w:t>
      </w:r>
      <w:r>
        <w:rPr>
          <w:rStyle w:val="FunctionTok"/>
        </w:rPr>
        <w:t xml:space="preserve">for</w:t>
      </w:r>
      <w:r>
        <w:rPr>
          <w:rStyle w:val="NormalTok"/>
        </w:rPr>
        <w:t xml:space="preserve">(</w:t>
      </w:r>
      <w:r>
        <w:rPr>
          <w:rStyle w:val="StringTok"/>
        </w:rPr>
        <w:t xml:space="preserve">"appToken"</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(a </w:t>
      </w:r>
      <w:r>
        <w:rPr>
          <w:rStyle w:val="OperatorTok"/>
        </w:rPr>
        <w:t xml:space="preserve">===</w:t>
      </w:r>
      <w:r>
        <w:rPr>
          <w:rStyle w:val="NormalTok"/>
        </w:rPr>
        <w:t xml:space="preserve"> b)</w:t>
      </w:r>
      <w:r>
        <w:rPr>
          <w:rStyle w:val="OperatorTok"/>
        </w:rPr>
        <w:t xml:space="preserve">;</w:t>
      </w:r>
      <w:r>
        <w:rPr>
          <w:rStyle w:val="NormalTok"/>
        </w:rPr>
        <w:t xml:space="preserve"> </w:t>
      </w:r>
      <w:r>
        <w:rPr>
          <w:rStyle w:val="CommentTok"/>
        </w:rPr>
        <w:t xml:space="preserve">// Output: true</w:t>
      </w:r>
      <w:r>
        <w:br/>
      </w:r>
      <w:r>
        <w:br/>
      </w:r>
      <w:r>
        <w:rPr>
          <w:rStyle w:val="CommentTok"/>
        </w:rPr>
        <w:t xml:space="preserve">// Symbol.keyFor — retrieve key from registry</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Symbol</w:t>
      </w:r>
      <w:r>
        <w:rPr>
          <w:rStyle w:val="OperatorTok"/>
        </w:rPr>
        <w:t xml:space="preserve">.</w:t>
      </w:r>
      <w:r>
        <w:rPr>
          <w:rStyle w:val="FunctionTok"/>
        </w:rPr>
        <w:t xml:space="preserve">keyFor</w:t>
      </w:r>
      <w:r>
        <w:rPr>
          <w:rStyle w:val="NormalTok"/>
        </w:rPr>
        <w:t xml:space="preserve">(a))</w:t>
      </w:r>
      <w:r>
        <w:rPr>
          <w:rStyle w:val="OperatorTok"/>
        </w:rPr>
        <w:t xml:space="preserve">;</w:t>
      </w:r>
      <w:r>
        <w:rPr>
          <w:rStyle w:val="NormalTok"/>
        </w:rPr>
        <w:t xml:space="preserve"> </w:t>
      </w:r>
      <w:r>
        <w:rPr>
          <w:rStyle w:val="CommentTok"/>
        </w:rPr>
        <w:t xml:space="preserve">// Output: appToken</w:t>
      </w:r>
      <w:r>
        <w:br/>
      </w:r>
      <w:r>
        <w:br/>
      </w:r>
      <w:r>
        <w:rPr>
          <w:rStyle w:val="CommentTok"/>
        </w:rPr>
        <w:t xml:space="preserve">// Locally created symbols are NOT in the registry</w:t>
      </w:r>
      <w:r>
        <w:br/>
      </w:r>
      <w:r>
        <w:rPr>
          <w:rStyle w:val="KeywordTok"/>
        </w:rPr>
        <w:t xml:space="preserve">var</w:t>
      </w:r>
      <w:r>
        <w:rPr>
          <w:rStyle w:val="NormalTok"/>
        </w:rPr>
        <w:t xml:space="preserve"> local </w:t>
      </w:r>
      <w:r>
        <w:rPr>
          <w:rStyle w:val="OperatorTok"/>
        </w:rPr>
        <w:t xml:space="preserve">=</w:t>
      </w:r>
      <w:r>
        <w:rPr>
          <w:rStyle w:val="NormalTok"/>
        </w:rPr>
        <w:t xml:space="preserve"> </w:t>
      </w:r>
      <w:r>
        <w:rPr>
          <w:rStyle w:val="BuiltInTok"/>
        </w:rPr>
        <w:t xml:space="preserve">Symbol</w:t>
      </w:r>
      <w:r>
        <w:rPr>
          <w:rStyle w:val="NormalTok"/>
        </w:rPr>
        <w:t xml:space="preserve">(</w:t>
      </w:r>
      <w:r>
        <w:rPr>
          <w:rStyle w:val="StringTok"/>
        </w:rPr>
        <w:t xml:space="preserve">"local"</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BuiltInTok"/>
        </w:rPr>
        <w:t xml:space="preserve">Symbol</w:t>
      </w:r>
      <w:r>
        <w:rPr>
          <w:rStyle w:val="OperatorTok"/>
        </w:rPr>
        <w:t xml:space="preserve">.</w:t>
      </w:r>
      <w:r>
        <w:rPr>
          <w:rStyle w:val="FunctionTok"/>
        </w:rPr>
        <w:t xml:space="preserve">keyFor</w:t>
      </w:r>
      <w:r>
        <w:rPr>
          <w:rStyle w:val="NormalTok"/>
        </w:rPr>
        <w:t xml:space="preserve">(local) </w:t>
      </w:r>
      <w:r>
        <w:rPr>
          <w:rStyle w:val="OperatorTok"/>
        </w:rPr>
        <w:t xml:space="preserve">===</w:t>
      </w:r>
      <w:r>
        <w:rPr>
          <w:rStyle w:val="NormalTok"/>
        </w:rPr>
        <w:t xml:space="preserve"> </w:t>
      </w:r>
      <w:r>
        <w:rPr>
          <w:rStyle w:val="KeywordTok"/>
        </w:rPr>
        <w:t xml:space="preserve">undefined</w:t>
      </w:r>
      <w:r>
        <w:rPr>
          <w:rStyle w:val="NormalTok"/>
        </w:rPr>
        <w:t xml:space="preserve">)</w:t>
      </w:r>
      <w:r>
        <w:rPr>
          <w:rStyle w:val="OperatorTok"/>
        </w:rPr>
        <w:t xml:space="preserve">;</w:t>
      </w:r>
      <w:r>
        <w:rPr>
          <w:rStyle w:val="NormalTok"/>
        </w:rPr>
        <w:t xml:space="preserve"> </w:t>
      </w:r>
      <w:r>
        <w:rPr>
          <w:rStyle w:val="CommentTok"/>
        </w:rPr>
        <w:t xml:space="preserve">// Output: true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78"/>
    <w:bookmarkEnd w:id="979"/>
    <w:bookmarkStart w:id="984" w:name="X4de40838f14773e33af9c69f2b66c51326ea28a"/>
    <w:p>
      <w:pPr>
        <w:pStyle w:val="Heading2"/>
      </w:pPr>
      <w:r>
        <w:t xml:space="preserve">Iteration Protocol —</w:t>
      </w:r>
      <w:r>
        <w:t xml:space="preserve"> </w:t>
      </w:r>
      <w:r>
        <w:rPr>
          <w:rStyle w:val="VerbatimChar"/>
        </w:rPr>
        <w:t xml:space="preserve">for...of</w:t>
      </w:r>
      <w:r>
        <w:t xml:space="preserve"> </w:t>
      </w:r>
      <w:r>
        <w:t xml:space="preserve">and Custom Iterables</w:t>
      </w:r>
    </w:p>
    <w:p>
      <w:pPr>
        <w:pStyle w:val="FirstParagraph"/>
      </w:pPr>
      <w:r>
        <w:t xml:space="preserve">The iteration protocol allows JScript objects to define or customize their iteration behavior, such as which values are looped over in a</w:t>
      </w:r>
      <w:r>
        <w:t xml:space="preserve"> </w:t>
      </w:r>
      <w:r>
        <w:rPr>
          <w:rStyle w:val="VerbatimChar"/>
        </w:rPr>
        <w:t xml:space="preserve">for...of</w:t>
      </w:r>
      <w:r>
        <w:t xml:space="preserve"> </w:t>
      </w:r>
      <w:r>
        <w:t xml:space="preserve">construct.</w:t>
      </w:r>
    </w:p>
    <w:bookmarkStart w:id="980" w:name="for...of-statement"/>
    <w:p>
      <w:pPr>
        <w:pStyle w:val="Heading3"/>
      </w:pPr>
      <w:r>
        <w:rPr>
          <w:rStyle w:val="VerbatimChar"/>
        </w:rPr>
        <w:t xml:space="preserve">for...of</w:t>
      </w:r>
      <w:r>
        <w:t xml:space="preserve"> </w:t>
      </w:r>
      <w:r>
        <w:t xml:space="preserve">Statement</w:t>
      </w:r>
    </w:p>
    <w:p>
      <w:pPr>
        <w:pStyle w:val="FirstParagraph"/>
      </w:pPr>
      <w:r>
        <w:t xml:space="preserve">The</w:t>
      </w:r>
      <w:r>
        <w:t xml:space="preserve"> </w:t>
      </w:r>
      <w:r>
        <w:rPr>
          <w:rStyle w:val="VerbatimChar"/>
        </w:rPr>
        <w:t xml:space="preserve">for...of</w:t>
      </w:r>
      <w:r>
        <w:t xml:space="preserve"> </w:t>
      </w:r>
      <w:r>
        <w:t xml:space="preserve">statement creates a loop iterating over iterable objects, including built-in</w:t>
      </w:r>
      <w:r>
        <w:t xml:space="preserve"> </w:t>
      </w:r>
      <w:r>
        <w:rPr>
          <w:rStyle w:val="VerbatimChar"/>
        </w:rPr>
        <w:t xml:space="preserve">Array</w:t>
      </w:r>
      <w:r>
        <w:t xml:space="preserve">,</w:t>
      </w:r>
      <w:r>
        <w:t xml:space="preserve"> </w:t>
      </w:r>
      <w:r>
        <w:rPr>
          <w:rStyle w:val="VerbatimChar"/>
        </w:rPr>
        <w:t xml:space="preserve">String</w:t>
      </w:r>
      <w:r>
        <w:t xml:space="preserve">,</w:t>
      </w:r>
      <w:r>
        <w:t xml:space="preserve"> </w:t>
      </w:r>
      <w:r>
        <w:rPr>
          <w:rStyle w:val="VerbatimChar"/>
        </w:rPr>
        <w:t xml:space="preserve">Set</w:t>
      </w:r>
      <w:r>
        <w:t xml:space="preserve">,</w:t>
      </w:r>
      <w:r>
        <w:t xml:space="preserve"> </w:t>
      </w:r>
      <w:r>
        <w:rPr>
          <w:rStyle w:val="VerbatimChar"/>
        </w:rPr>
        <w:t xml:space="preserve">Map</w:t>
      </w:r>
      <w:r>
        <w:t xml:space="preserve">, and custom iterables.</w:t>
      </w:r>
    </w:p>
    <w:bookmarkEnd w:id="980"/>
    <w:bookmarkStart w:id="981" w:name="built-in-iterables"/>
    <w:p>
      <w:pPr>
        <w:pStyle w:val="Heading3"/>
      </w:pPr>
      <w:r>
        <w:t xml:space="preserve">Built-in Iterables</w:t>
      </w:r>
    </w:p>
    <w:p>
      <w:pPr>
        <w:pStyle w:val="Compact"/>
        <w:numPr>
          <w:ilvl w:val="0"/>
          <w:numId w:val="1270"/>
        </w:numPr>
      </w:pPr>
      <w:r>
        <w:rPr>
          <w:b/>
          <w:bCs/>
        </w:rPr>
        <w:t xml:space="preserve">Array</w:t>
      </w:r>
      <w:r>
        <w:t xml:space="preserve">: Iterates over elements.</w:t>
      </w:r>
    </w:p>
    <w:p>
      <w:pPr>
        <w:pStyle w:val="Compact"/>
        <w:numPr>
          <w:ilvl w:val="0"/>
          <w:numId w:val="1270"/>
        </w:numPr>
      </w:pPr>
      <w:r>
        <w:rPr>
          <w:b/>
          <w:bCs/>
        </w:rPr>
        <w:t xml:space="preserve">String</w:t>
      </w:r>
      <w:r>
        <w:t xml:space="preserve">: Iterates over characters (handling surrogate pairs).</w:t>
      </w:r>
    </w:p>
    <w:p>
      <w:pPr>
        <w:pStyle w:val="Compact"/>
        <w:numPr>
          <w:ilvl w:val="0"/>
          <w:numId w:val="1270"/>
        </w:numPr>
      </w:pPr>
      <w:r>
        <w:rPr>
          <w:b/>
          <w:bCs/>
        </w:rPr>
        <w:t xml:space="preserve">Set</w:t>
      </w:r>
      <w:r>
        <w:t xml:space="preserve">: Iterates over unique values.</w:t>
      </w:r>
    </w:p>
    <w:p>
      <w:pPr>
        <w:pStyle w:val="Compact"/>
        <w:numPr>
          <w:ilvl w:val="0"/>
          <w:numId w:val="1270"/>
        </w:numPr>
      </w:pPr>
      <w:r>
        <w:rPr>
          <w:b/>
          <w:bCs/>
        </w:rPr>
        <w:t xml:space="preserve">Map</w:t>
      </w:r>
      <w:r>
        <w:t xml:space="preserve">: Iterates over</w:t>
      </w:r>
      <w:r>
        <w:t xml:space="preserve"> </w:t>
      </w:r>
      <w:r>
        <w:rPr>
          <w:rStyle w:val="VerbatimChar"/>
        </w:rPr>
        <w:t xml:space="preserve">[key, value]</w:t>
      </w:r>
      <w:r>
        <w:t xml:space="preserve"> </w:t>
      </w:r>
      <w:r>
        <w:t xml:space="preserve">entries.</w:t>
      </w:r>
    </w:p>
    <w:bookmarkEnd w:id="981"/>
    <w:bookmarkStart w:id="982" w:name="custom-iterables"/>
    <w:p>
      <w:pPr>
        <w:pStyle w:val="Heading3"/>
      </w:pPr>
      <w:r>
        <w:t xml:space="preserve">Custom Iterables</w:t>
      </w:r>
    </w:p>
    <w:p>
      <w:pPr>
        <w:pStyle w:val="FirstParagraph"/>
      </w:pPr>
      <w:r>
        <w:t xml:space="preserve">To make an object iterable, it must implement the</w:t>
      </w:r>
      <w:r>
        <w:t xml:space="preserve"> </w:t>
      </w:r>
      <w:r>
        <w:rPr>
          <w:rStyle w:val="VerbatimChar"/>
        </w:rPr>
        <w:t xml:space="preserve">[Symbol.iterator]</w:t>
      </w:r>
      <w:r>
        <w:t xml:space="preserve"> </w:t>
      </w:r>
      <w:r>
        <w:t xml:space="preserve">method, which returns an</w:t>
      </w:r>
      <w:r>
        <w:t xml:space="preserve"> </w:t>
      </w:r>
      <w:r>
        <w:rPr>
          <w:b/>
          <w:bCs/>
        </w:rPr>
        <w:t xml:space="preserve">Iterator</w:t>
      </w:r>
      <w:r>
        <w:t xml:space="preserve"> </w:t>
      </w:r>
      <w:r>
        <w:t xml:space="preserve">object. An iterator is an object that has a</w:t>
      </w:r>
      <w:r>
        <w:t xml:space="preserve"> </w:t>
      </w:r>
      <w:r>
        <w:rPr>
          <w:rStyle w:val="VerbatimChar"/>
        </w:rPr>
        <w:t xml:space="preserve">next()</w:t>
      </w:r>
      <w:r>
        <w:t xml:space="preserve"> </w:t>
      </w:r>
      <w:r>
        <w:t xml:space="preserve">method returning an object with two properties:</w:t>
      </w:r>
      <w:r>
        <w:t xml:space="preserve"> </w:t>
      </w:r>
      <w:r>
        <w:rPr>
          <w:rStyle w:val="VerbatimChar"/>
        </w:rPr>
        <w:t xml:space="preserve">value</w:t>
      </w:r>
      <w:r>
        <w:t xml:space="preserve"> </w:t>
      </w:r>
      <w:r>
        <w:t xml:space="preserve">(the next value) and</w:t>
      </w:r>
      <w:r>
        <w:t xml:space="preserve"> </w:t>
      </w:r>
      <w:r>
        <w:rPr>
          <w:rStyle w:val="VerbatimChar"/>
        </w:rPr>
        <w:t xml:space="preserve">done</w:t>
      </w:r>
      <w:r>
        <w:t xml:space="preserve"> </w:t>
      </w:r>
      <w:r>
        <w:t xml:space="preserve">(a boolean indicating completion).</w:t>
      </w:r>
    </w:p>
    <w:bookmarkEnd w:id="982"/>
    <w:bookmarkStart w:id="983" w:name="code-example-52"/>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CommentTok"/>
        </w:rPr>
        <w:t xml:space="preserve">// 1. Iterate over an Array</w:t>
      </w:r>
      <w:r>
        <w:br/>
      </w:r>
      <w:r>
        <w:rPr>
          <w:rStyle w:val="KeywordTok"/>
        </w:rPr>
        <w:t xml:space="preserve">var</w:t>
      </w:r>
      <w:r>
        <w:rPr>
          <w:rStyle w:val="NormalTok"/>
        </w:rPr>
        <w:t xml:space="preserve"> fruits </w:t>
      </w:r>
      <w:r>
        <w:rPr>
          <w:rStyle w:val="OperatorTok"/>
        </w:rPr>
        <w:t xml:space="preserve">=</w:t>
      </w:r>
      <w:r>
        <w:rPr>
          <w:rStyle w:val="NormalTok"/>
        </w:rPr>
        <w:t xml:space="preserve"> [</w:t>
      </w:r>
      <w:r>
        <w:rPr>
          <w:rStyle w:val="StringTok"/>
        </w:rPr>
        <w:t xml:space="preserve">"Apple"</w:t>
      </w:r>
      <w:r>
        <w:rPr>
          <w:rStyle w:val="OperatorTok"/>
        </w:rPr>
        <w:t xml:space="preserve">,</w:t>
      </w:r>
      <w:r>
        <w:rPr>
          <w:rStyle w:val="NormalTok"/>
        </w:rPr>
        <w:t xml:space="preserve"> </w:t>
      </w:r>
      <w:r>
        <w:rPr>
          <w:rStyle w:val="StringTok"/>
        </w:rPr>
        <w:t xml:space="preserve">"Orange"</w:t>
      </w:r>
      <w:r>
        <w:rPr>
          <w:rStyle w:val="OperatorTok"/>
        </w:rPr>
        <w:t xml:space="preserve">,</w:t>
      </w:r>
      <w:r>
        <w:rPr>
          <w:rStyle w:val="NormalTok"/>
        </w:rPr>
        <w:t xml:space="preserve"> </w:t>
      </w:r>
      <w:r>
        <w:rPr>
          <w:rStyle w:val="StringTok"/>
        </w:rPr>
        <w:t xml:space="preserve">"Banana"</w:t>
      </w:r>
      <w:r>
        <w:rPr>
          <w:rStyle w:val="NormalTok"/>
        </w:rPr>
        <w:t xml:space="preserve">]</w:t>
      </w:r>
      <w:r>
        <w:rPr>
          <w:rStyle w:val="OperatorTok"/>
        </w:rPr>
        <w:t xml:space="preserve">;</w:t>
      </w:r>
      <w:r>
        <w:br/>
      </w:r>
      <w:r>
        <w:rPr>
          <w:rStyle w:val="ControlFlowTok"/>
        </w:rPr>
        <w:t xml:space="preserve">for</w:t>
      </w:r>
      <w:r>
        <w:rPr>
          <w:rStyle w:val="NormalTok"/>
        </w:rPr>
        <w:t xml:space="preserve"> (</w:t>
      </w:r>
      <w:r>
        <w:rPr>
          <w:rStyle w:val="KeywordTok"/>
        </w:rPr>
        <w:t xml:space="preserve">var</w:t>
      </w:r>
      <w:r>
        <w:rPr>
          <w:rStyle w:val="NormalTok"/>
        </w:rPr>
        <w:t xml:space="preserve"> fruit </w:t>
      </w:r>
      <w:r>
        <w:rPr>
          <w:rStyle w:val="KeywordTok"/>
        </w:rPr>
        <w:t xml:space="preserve">of</w:t>
      </w:r>
      <w:r>
        <w:rPr>
          <w:rStyle w:val="NormalTok"/>
        </w:rPr>
        <w:t xml:space="preserve"> fruits) {</w:t>
      </w:r>
      <w:r>
        <w:br/>
      </w:r>
      <w:r>
        <w:rPr>
          <w:rStyle w:val="NormalTok"/>
        </w:rPr>
        <w:t xml:space="preserve">    Response</w:t>
      </w:r>
      <w:r>
        <w:rPr>
          <w:rStyle w:val="OperatorTok"/>
        </w:rPr>
        <w:t xml:space="preserve">.</w:t>
      </w:r>
      <w:r>
        <w:rPr>
          <w:rStyle w:val="FunctionTok"/>
        </w:rPr>
        <w:t xml:space="preserve">Write</w:t>
      </w:r>
      <w:r>
        <w:rPr>
          <w:rStyle w:val="NormalTok"/>
        </w:rPr>
        <w:t xml:space="preserve">(fruit </w:t>
      </w:r>
      <w:r>
        <w:rPr>
          <w:rStyle w:val="OperatorTok"/>
        </w:rPr>
        <w:t xml:space="preserve">+</w:t>
      </w:r>
      <w:r>
        <w:rPr>
          <w:rStyle w:val="NormalTok"/>
        </w:rPr>
        <w:t xml:space="preserve"> </w:t>
      </w:r>
      <w:r>
        <w:rPr>
          <w:rStyle w:val="StringTok"/>
        </w:rPr>
        <w:t xml:space="preserve">" "</w:t>
      </w:r>
      <w:r>
        <w:rPr>
          <w:rStyle w:val="NormalTok"/>
        </w:rPr>
        <w:t xml:space="preserve">)</w:t>
      </w:r>
      <w:r>
        <w:rPr>
          <w:rStyle w:val="OperatorTok"/>
        </w:rPr>
        <w:t xml:space="preserve">;</w:t>
      </w:r>
      <w:r>
        <w:rPr>
          <w:rStyle w:val="NormalTok"/>
        </w:rPr>
        <w:t xml:space="preserve"> </w:t>
      </w:r>
      <w:r>
        <w:rPr>
          <w:rStyle w:val="CommentTok"/>
        </w:rPr>
        <w:t xml:space="preserve">// Output: Apple Orange Banana </w:t>
      </w:r>
      <w:r>
        <w:br/>
      </w:r>
      <w:r>
        <w:rPr>
          <w:rStyle w:val="NormalTok"/>
        </w:rPr>
        <w:t xml:space="preserve">}</w:t>
      </w:r>
      <w:r>
        <w:br/>
      </w:r>
      <w:r>
        <w:br/>
      </w:r>
      <w:r>
        <w:rPr>
          <w:rStyle w:val="CommentTok"/>
        </w:rPr>
        <w:t xml:space="preserve">// 2. Manual Iterator usage</w:t>
      </w:r>
      <w:r>
        <w:br/>
      </w:r>
      <w:r>
        <w:rPr>
          <w:rStyle w:val="KeywordTok"/>
        </w:rPr>
        <w:t xml:space="preserve">var</w:t>
      </w:r>
      <w:r>
        <w:rPr>
          <w:rStyle w:val="NormalTok"/>
        </w:rPr>
        <w:t xml:space="preserve"> it </w:t>
      </w:r>
      <w:r>
        <w:rPr>
          <w:rStyle w:val="OperatorTok"/>
        </w:rPr>
        <w:t xml:space="preserve">=</w:t>
      </w:r>
      <w:r>
        <w:rPr>
          <w:rStyle w:val="NormalTok"/>
        </w:rPr>
        <w:t xml:space="preserve"> fruits[</w:t>
      </w:r>
      <w:r>
        <w:rPr>
          <w:rStyle w:val="BuiltInTok"/>
        </w:rPr>
        <w:t xml:space="preserve">Symbol</w:t>
      </w:r>
      <w:r>
        <w:rPr>
          <w:rStyle w:val="OperatorTok"/>
        </w:rPr>
        <w:t xml:space="preserve">.</w:t>
      </w:r>
      <w:r>
        <w:rPr>
          <w:rStyle w:val="AttributeTok"/>
        </w:rPr>
        <w:t xml:space="preserve">iterator</w:t>
      </w:r>
      <w:r>
        <w:rPr>
          <w:rStyle w:val="NormalTok"/>
        </w:rPr>
        <w:t xml:space="preserve">]()</w:t>
      </w:r>
      <w:r>
        <w:rPr>
          <w:rStyle w:val="OperatorTok"/>
        </w:rPr>
        <w:t xml:space="preserve">;</w:t>
      </w:r>
      <w:r>
        <w:br/>
      </w:r>
      <w:r>
        <w:rPr>
          <w:rStyle w:val="KeywordTok"/>
        </w:rPr>
        <w:t xml:space="preserve">var</w:t>
      </w:r>
      <w:r>
        <w:rPr>
          <w:rStyle w:val="NormalTok"/>
        </w:rPr>
        <w:t xml:space="preserve"> res </w:t>
      </w:r>
      <w:r>
        <w:rPr>
          <w:rStyle w:val="OperatorTok"/>
        </w:rPr>
        <w:t xml:space="preserve">=</w:t>
      </w:r>
      <w:r>
        <w:rPr>
          <w:rStyle w:val="NormalTok"/>
        </w:rPr>
        <w:t xml:space="preserve"> it</w:t>
      </w:r>
      <w:r>
        <w:rPr>
          <w:rStyle w:val="OperatorTok"/>
        </w:rPr>
        <w:t xml:space="preserve">.</w:t>
      </w:r>
      <w:r>
        <w:rPr>
          <w:rStyle w:val="FunctionTok"/>
        </w:rPr>
        <w:t xml:space="preserve">next</w:t>
      </w:r>
      <w:r>
        <w:rPr>
          <w:rStyle w:val="NormalTok"/>
        </w:rPr>
        <w:t xml:space="preserve">()</w:t>
      </w:r>
      <w:r>
        <w:rPr>
          <w:rStyle w:val="OperatorTok"/>
        </w:rPr>
        <w:t xml:space="preserve">;</w:t>
      </w:r>
      <w:r>
        <w:br/>
      </w:r>
      <w:r>
        <w:rPr>
          <w:rStyle w:val="ControlFlowTok"/>
        </w:rPr>
        <w:t xml:space="preserve">while</w:t>
      </w:r>
      <w:r>
        <w:rPr>
          <w:rStyle w:val="NormalTok"/>
        </w:rPr>
        <w:t xml:space="preserve"> (</w:t>
      </w:r>
      <w:r>
        <w:rPr>
          <w:rStyle w:val="OperatorTok"/>
        </w:rPr>
        <w:t xml:space="preserve">!</w:t>
      </w:r>
      <w:r>
        <w:rPr>
          <w:rStyle w:val="NormalTok"/>
        </w:rPr>
        <w:t xml:space="preserve">res</w:t>
      </w:r>
      <w:r>
        <w:rPr>
          <w:rStyle w:val="OperatorTok"/>
        </w:rPr>
        <w:t xml:space="preserve">.</w:t>
      </w:r>
      <w:r>
        <w:rPr>
          <w:rStyle w:val="AttributeTok"/>
        </w:rPr>
        <w:t xml:space="preserve">done</w:t>
      </w:r>
      <w:r>
        <w:rPr>
          <w:rStyle w:val="NormalTok"/>
        </w:rPr>
        <w:t xml:space="preserve">) {</w:t>
      </w:r>
      <w:r>
        <w:br/>
      </w:r>
      <w:r>
        <w:rPr>
          <w:rStyle w:val="NormalTok"/>
        </w:rPr>
        <w:t xml:space="preserve">    Response</w:t>
      </w:r>
      <w:r>
        <w:rPr>
          <w:rStyle w:val="OperatorTok"/>
        </w:rPr>
        <w:t xml:space="preserve">.</w:t>
      </w:r>
      <w:r>
        <w:rPr>
          <w:rStyle w:val="FunctionTok"/>
        </w:rPr>
        <w:t xml:space="preserve">Write</w:t>
      </w:r>
      <w:r>
        <w:rPr>
          <w:rStyle w:val="NormalTok"/>
        </w:rPr>
        <w:t xml:space="preserve">(res</w:t>
      </w:r>
      <w:r>
        <w:rPr>
          <w:rStyle w:val="OperatorTok"/>
        </w:rPr>
        <w:t xml:space="preserve">.</w:t>
      </w:r>
      <w:r>
        <w:rPr>
          <w:rStyle w:val="AttributeTok"/>
        </w:rPr>
        <w:t xml:space="preserve">value</w:t>
      </w:r>
      <w:r>
        <w:rPr>
          <w:rStyle w:val="NormalTok"/>
        </w:rPr>
        <w:t xml:space="preserve"> </w:t>
      </w:r>
      <w:r>
        <w:rPr>
          <w:rStyle w:val="OperatorTok"/>
        </w:rPr>
        <w:t xml:space="preserve">+</w:t>
      </w:r>
      <w:r>
        <w:rPr>
          <w:rStyle w:val="NormalTok"/>
        </w:rPr>
        <w:t xml:space="preserve"> </w:t>
      </w:r>
      <w:r>
        <w:rPr>
          <w:rStyle w:val="StringTok"/>
        </w:rPr>
        <w:t xml:space="preserve">" "</w:t>
      </w:r>
      <w:r>
        <w:rPr>
          <w:rStyle w:val="NormalTok"/>
        </w:rPr>
        <w:t xml:space="preserve">)</w:t>
      </w:r>
      <w:r>
        <w:rPr>
          <w:rStyle w:val="OperatorTok"/>
        </w:rPr>
        <w:t xml:space="preserve">;</w:t>
      </w:r>
      <w:r>
        <w:br/>
      </w:r>
      <w:r>
        <w:rPr>
          <w:rStyle w:val="NormalTok"/>
        </w:rPr>
        <w:t xml:space="preserve">    res </w:t>
      </w:r>
      <w:r>
        <w:rPr>
          <w:rStyle w:val="OperatorTok"/>
        </w:rPr>
        <w:t xml:space="preserve">=</w:t>
      </w:r>
      <w:r>
        <w:rPr>
          <w:rStyle w:val="NormalTok"/>
        </w:rPr>
        <w:t xml:space="preserve"> it</w:t>
      </w:r>
      <w:r>
        <w:rPr>
          <w:rStyle w:val="OperatorTok"/>
        </w:rPr>
        <w:t xml:space="preserve">.</w:t>
      </w:r>
      <w:r>
        <w:rPr>
          <w:rStyle w:val="FunctionTok"/>
        </w:rPr>
        <w:t xml:space="preserve">next</w:t>
      </w:r>
      <w:r>
        <w:rPr>
          <w:rStyle w:val="NormalTok"/>
        </w:rPr>
        <w:t xml:space="preserve">()</w:t>
      </w:r>
      <w:r>
        <w:rPr>
          <w:rStyle w:val="OperatorTok"/>
        </w:rPr>
        <w:t xml:space="preserve">;</w:t>
      </w:r>
      <w:r>
        <w:br/>
      </w:r>
      <w:r>
        <w:rPr>
          <w:rStyle w:val="NormalTok"/>
        </w:rPr>
        <w:t xml:space="preserve">}</w:t>
      </w:r>
      <w:r>
        <w:br/>
      </w:r>
      <w:r>
        <w:br/>
      </w:r>
      <w:r>
        <w:rPr>
          <w:rStyle w:val="CommentTok"/>
        </w:rPr>
        <w:t xml:space="preserve">// 3. Custom Iterable</w:t>
      </w:r>
      <w:r>
        <w:br/>
      </w:r>
      <w:r>
        <w:rPr>
          <w:rStyle w:val="KeywordTok"/>
        </w:rPr>
        <w:t xml:space="preserve">var</w:t>
      </w:r>
      <w:r>
        <w:rPr>
          <w:rStyle w:val="NormalTok"/>
        </w:rPr>
        <w:t xml:space="preserve"> range </w:t>
      </w:r>
      <w:r>
        <w:rPr>
          <w:rStyle w:val="OperatorTok"/>
        </w:rPr>
        <w:t xml:space="preserve">=</w:t>
      </w:r>
      <w:r>
        <w:rPr>
          <w:rStyle w:val="NormalTok"/>
        </w:rPr>
        <w:t xml:space="preserve"> {</w:t>
      </w:r>
      <w:r>
        <w:br/>
      </w:r>
      <w:r>
        <w:rPr>
          <w:rStyle w:val="NormalTok"/>
        </w:rPr>
        <w:t xml:space="preserve">    </w:t>
      </w:r>
      <w:r>
        <w:rPr>
          <w:rStyle w:val="DataTypeTok"/>
        </w:rPr>
        <w:t xml:space="preserve">from</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DataTypeTok"/>
        </w:rPr>
        <w:t xml:space="preserve">to</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    [</w:t>
      </w:r>
      <w:r>
        <w:rPr>
          <w:rStyle w:val="BuiltInTok"/>
        </w:rPr>
        <w:t xml:space="preserve">Symbol</w:t>
      </w:r>
      <w:r>
        <w:rPr>
          <w:rStyle w:val="OperatorTok"/>
        </w:rPr>
        <w:t xml:space="preserve">.</w:t>
      </w:r>
      <w:r>
        <w:rPr>
          <w:rStyle w:val="AttributeTok"/>
        </w:rPr>
        <w:t xml:space="preserve">iterator</w:t>
      </w:r>
      <w:r>
        <w:rPr>
          <w:rStyle w:val="NormalTok"/>
        </w:rPr>
        <w:t xml:space="preserve">]</w:t>
      </w:r>
      <w:r>
        <w:rPr>
          <w:rStyle w:val="OperatorTok"/>
        </w:rPr>
        <w:t xml:space="preserve">:</w:t>
      </w:r>
      <w:r>
        <w:rPr>
          <w:rStyle w:val="NormalTok"/>
        </w:rPr>
        <w:t xml:space="preserve"> </w:t>
      </w:r>
      <w:r>
        <w:rPr>
          <w:rStyle w:val="KeywordTok"/>
        </w:rPr>
        <w:t xml:space="preserve">function</w:t>
      </w:r>
      <w:r>
        <w:rPr>
          <w:rStyle w:val="NormalTok"/>
        </w:rPr>
        <w:t xml:space="preserve">() {</w:t>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DataTypeTok"/>
        </w:rPr>
        <w:t xml:space="preserve">current</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from</w:t>
      </w:r>
      <w:r>
        <w:rPr>
          <w:rStyle w:val="OperatorTok"/>
        </w:rPr>
        <w:t xml:space="preserve">,</w:t>
      </w:r>
      <w:r>
        <w:br/>
      </w:r>
      <w:r>
        <w:rPr>
          <w:rStyle w:val="NormalTok"/>
        </w:rPr>
        <w:t xml:space="preserve">            </w:t>
      </w:r>
      <w:r>
        <w:rPr>
          <w:rStyle w:val="DataTypeTok"/>
        </w:rPr>
        <w:t xml:space="preserve">last</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to</w:t>
      </w:r>
      <w:r>
        <w:rPr>
          <w:rStyle w:val="OperatorTok"/>
        </w:rPr>
        <w:t xml:space="preserve">,</w:t>
      </w:r>
      <w:r>
        <w:br/>
      </w:r>
      <w:r>
        <w:rPr>
          <w:rStyle w:val="NormalTok"/>
        </w:rPr>
        <w:t xml:space="preserve">            </w:t>
      </w:r>
      <w:r>
        <w:rPr>
          <w:rStyle w:val="DataTypeTok"/>
        </w:rPr>
        <w:t xml:space="preserve">next</w:t>
      </w:r>
      <w:r>
        <w:rPr>
          <w:rStyle w:val="OperatorTok"/>
        </w:rPr>
        <w:t xml:space="preserve">:</w:t>
      </w:r>
      <w:r>
        <w:rPr>
          <w:rStyle w:val="NormalTok"/>
        </w:rPr>
        <w:t xml:space="preserve"> </w:t>
      </w:r>
      <w:r>
        <w:rPr>
          <w:rStyle w:val="KeywordTok"/>
        </w:rPr>
        <w:t xml:space="preserve">function</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KeywordTok"/>
        </w:rPr>
        <w:t xml:space="preserve">this</w:t>
      </w:r>
      <w:r>
        <w:rPr>
          <w:rStyle w:val="OperatorTok"/>
        </w:rPr>
        <w:t xml:space="preserve">.</w:t>
      </w:r>
      <w:r>
        <w:rPr>
          <w:rStyle w:val="AttributeTok"/>
        </w:rPr>
        <w:t xml:space="preserve">current</w:t>
      </w:r>
      <w:r>
        <w:rPr>
          <w:rStyle w:val="NormalTok"/>
        </w:rPr>
        <w:t xml:space="preserve"> </w:t>
      </w:r>
      <w:r>
        <w:rPr>
          <w:rStyle w:val="OperatorTok"/>
        </w:rPr>
        <w:t xml:space="preserve">&lt;=</w:t>
      </w:r>
      <w:r>
        <w:rPr>
          <w:rStyle w:val="NormalTok"/>
        </w:rPr>
        <w:t xml:space="preserve"> </w:t>
      </w:r>
      <w:r>
        <w:rPr>
          <w:rStyle w:val="KeywordTok"/>
        </w:rPr>
        <w:t xml:space="preserve">this</w:t>
      </w:r>
      <w:r>
        <w:rPr>
          <w:rStyle w:val="OperatorTok"/>
        </w:rPr>
        <w:t xml:space="preserve">.</w:t>
      </w:r>
      <w:r>
        <w:rPr>
          <w:rStyle w:val="AttributeTok"/>
        </w:rPr>
        <w:t xml:space="preserve">last</w:t>
      </w:r>
      <w:r>
        <w:rPr>
          <w:rStyle w:val="NormalTok"/>
        </w:rPr>
        <w:t xml:space="preserve">) {</w:t>
      </w:r>
      <w:r>
        <w:br/>
      </w:r>
      <w:r>
        <w:rPr>
          <w:rStyle w:val="NormalTok"/>
        </w:rPr>
        <w:t xml:space="preserve">                    </w:t>
      </w:r>
      <w:r>
        <w:rPr>
          <w:rStyle w:val="ControlFlowTok"/>
        </w:rPr>
        <w:t xml:space="preserve">return</w:t>
      </w:r>
      <w:r>
        <w:rPr>
          <w:rStyle w:val="NormalTok"/>
        </w:rPr>
        <w:t xml:space="preserve"> { </w:t>
      </w:r>
      <w:r>
        <w:rPr>
          <w:rStyle w:val="DataTypeTok"/>
        </w:rPr>
        <w:t xml:space="preserve">value</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current</w:t>
      </w:r>
      <w:r>
        <w:rPr>
          <w:rStyle w:val="OperatorTok"/>
        </w:rPr>
        <w:t xml:space="preserve">++,</w:t>
      </w:r>
      <w:r>
        <w:rPr>
          <w:rStyle w:val="NormalTok"/>
        </w:rPr>
        <w:t xml:space="preserve"> </w:t>
      </w:r>
      <w:r>
        <w:rPr>
          <w:rStyle w:val="DataTypeTok"/>
        </w:rPr>
        <w:t xml:space="preserve">done</w:t>
      </w:r>
      <w:r>
        <w:rPr>
          <w:rStyle w:val="OperatorTok"/>
        </w:rPr>
        <w:t xml:space="preserve">:</w:t>
      </w:r>
      <w:r>
        <w:rPr>
          <w:rStyle w:val="NormalTok"/>
        </w:rPr>
        <w:t xml:space="preserve"> </w:t>
      </w:r>
      <w:r>
        <w:rPr>
          <w:rStyle w:val="KeywordTok"/>
        </w:rPr>
        <w:t xml:space="preserve">false</w:t>
      </w:r>
      <w:r>
        <w:rPr>
          <w:rStyle w:val="NormalTok"/>
        </w:rPr>
        <w:t xml:space="preserve"> }</w:t>
      </w:r>
      <w:r>
        <w:rPr>
          <w:rStyle w:val="OperatorTok"/>
        </w:rPr>
        <w:t xml:space="preserve">;</w:t>
      </w:r>
      <w:r>
        <w:br/>
      </w:r>
      <w:r>
        <w:rPr>
          <w:rStyle w:val="NormalTok"/>
        </w:rPr>
        <w:t xml:space="preserve">                } </w:t>
      </w:r>
      <w:r>
        <w:rPr>
          <w:rStyle w:val="ControlFlowTok"/>
        </w:rPr>
        <w:t xml:space="preserve">else</w:t>
      </w:r>
      <w:r>
        <w:rPr>
          <w:rStyle w:val="NormalTok"/>
        </w:rPr>
        <w:t xml:space="preserve"> {</w:t>
      </w:r>
      <w:r>
        <w:br/>
      </w:r>
      <w:r>
        <w:rPr>
          <w:rStyle w:val="NormalTok"/>
        </w:rPr>
        <w:t xml:space="preserve">                    </w:t>
      </w:r>
      <w:r>
        <w:rPr>
          <w:rStyle w:val="ControlFlowTok"/>
        </w:rPr>
        <w:t xml:space="preserve">return</w:t>
      </w:r>
      <w:r>
        <w:rPr>
          <w:rStyle w:val="NormalTok"/>
        </w:rPr>
        <w:t xml:space="preserve"> { </w:t>
      </w:r>
      <w:r>
        <w:rPr>
          <w:rStyle w:val="DataTypeTok"/>
        </w:rPr>
        <w:t xml:space="preserve">value</w:t>
      </w:r>
      <w:r>
        <w:rPr>
          <w:rStyle w:val="OperatorTok"/>
        </w:rPr>
        <w:t xml:space="preserve">:</w:t>
      </w:r>
      <w:r>
        <w:rPr>
          <w:rStyle w:val="NormalTok"/>
        </w:rPr>
        <w:t xml:space="preserve"> </w:t>
      </w:r>
      <w:r>
        <w:rPr>
          <w:rStyle w:val="KeywordTok"/>
        </w:rPr>
        <w:t xml:space="preserve">undefined</w:t>
      </w:r>
      <w:r>
        <w:rPr>
          <w:rStyle w:val="OperatorTok"/>
        </w:rPr>
        <w:t xml:space="preserve">,</w:t>
      </w:r>
      <w:r>
        <w:rPr>
          <w:rStyle w:val="NormalTok"/>
        </w:rPr>
        <w:t xml:space="preserve"> </w:t>
      </w:r>
      <w:r>
        <w:rPr>
          <w:rStyle w:val="DataTypeTok"/>
        </w:rPr>
        <w:t xml:space="preserve">done</w:t>
      </w:r>
      <w:r>
        <w:rPr>
          <w:rStyle w:val="OperatorTok"/>
        </w:rPr>
        <w:t xml:space="preserve">:</w:t>
      </w:r>
      <w:r>
        <w:rPr>
          <w:rStyle w:val="NormalTok"/>
        </w:rPr>
        <w:t xml:space="preserve"> </w:t>
      </w:r>
      <w:r>
        <w:rPr>
          <w:rStyle w:val="KeywordTok"/>
        </w:rPr>
        <w:t xml:space="preserve">true</w:t>
      </w:r>
      <w:r>
        <w:rPr>
          <w:rStyle w:val="NormalTok"/>
        </w:rPr>
        <w:t xml:space="preserve"> }</w:t>
      </w:r>
      <w:r>
        <w:rPr>
          <w:rStyle w:val="OperatorTok"/>
        </w:rPr>
        <w:t xml:space="preserve">;</w:t>
      </w:r>
      <w:r>
        <w:br/>
      </w:r>
      <w:r>
        <w:rPr>
          <w:rStyle w:val="NormalTok"/>
        </w:rPr>
        <w:t xml:space="preserve">                }</w:t>
      </w:r>
      <w:r>
        <w:br/>
      </w:r>
      <w:r>
        <w:rPr>
          <w:rStyle w:val="NormalTok"/>
        </w:rPr>
        <w:t xml:space="preserve">            }</w:t>
      </w:r>
      <w:r>
        <w:br/>
      </w:r>
      <w:r>
        <w:rPr>
          <w:rStyle w:val="NormalTok"/>
        </w:rPr>
        <w:t xml:space="preserve">        }</w:t>
      </w:r>
      <w:r>
        <w:rPr>
          <w:rStyle w:val="OperatorTok"/>
        </w:rPr>
        <w:t xml:space="preserve">;</w:t>
      </w:r>
      <w:r>
        <w:br/>
      </w:r>
      <w:r>
        <w:rPr>
          <w:rStyle w:val="NormalTok"/>
        </w:rPr>
        <w:t xml:space="preserve">    }</w:t>
      </w:r>
      <w:r>
        <w:br/>
      </w:r>
      <w:r>
        <w:rPr>
          <w:rStyle w:val="NormalTok"/>
        </w:rPr>
        <w:t xml:space="preserve">}</w:t>
      </w:r>
      <w:r>
        <w:rPr>
          <w:rStyle w:val="OperatorTok"/>
        </w:rPr>
        <w:t xml:space="preserve">;</w:t>
      </w:r>
      <w:r>
        <w:br/>
      </w:r>
      <w:r>
        <w:br/>
      </w:r>
      <w:r>
        <w:rPr>
          <w:rStyle w:val="ControlFlowTok"/>
        </w:rPr>
        <w:t xml:space="preserve">for</w:t>
      </w:r>
      <w:r>
        <w:rPr>
          <w:rStyle w:val="NormalTok"/>
        </w:rPr>
        <w:t xml:space="preserve"> (</w:t>
      </w:r>
      <w:r>
        <w:rPr>
          <w:rStyle w:val="KeywordTok"/>
        </w:rPr>
        <w:t xml:space="preserve">var</w:t>
      </w:r>
      <w:r>
        <w:rPr>
          <w:rStyle w:val="NormalTok"/>
        </w:rPr>
        <w:t xml:space="preserve"> n </w:t>
      </w:r>
      <w:r>
        <w:rPr>
          <w:rStyle w:val="KeywordTok"/>
        </w:rPr>
        <w:t xml:space="preserve">of</w:t>
      </w:r>
      <w:r>
        <w:rPr>
          <w:rStyle w:val="NormalTok"/>
        </w:rPr>
        <w:t xml:space="preserve"> range) {</w:t>
      </w:r>
      <w:r>
        <w:br/>
      </w:r>
      <w:r>
        <w:rPr>
          <w:rStyle w:val="NormalTok"/>
        </w:rPr>
        <w:t xml:space="preserve">    Response</w:t>
      </w:r>
      <w:r>
        <w:rPr>
          <w:rStyle w:val="OperatorTok"/>
        </w:rPr>
        <w:t xml:space="preserve">.</w:t>
      </w:r>
      <w:r>
        <w:rPr>
          <w:rStyle w:val="FunctionTok"/>
        </w:rPr>
        <w:t xml:space="preserve">Write</w:t>
      </w:r>
      <w:r>
        <w:rPr>
          <w:rStyle w:val="NormalTok"/>
        </w:rPr>
        <w:t xml:space="preserve">(n </w:t>
      </w:r>
      <w:r>
        <w:rPr>
          <w:rStyle w:val="OperatorTok"/>
        </w:rPr>
        <w:t xml:space="preserve">+</w:t>
      </w:r>
      <w:r>
        <w:rPr>
          <w:rStyle w:val="NormalTok"/>
        </w:rPr>
        <w:t xml:space="preserve"> </w:t>
      </w:r>
      <w:r>
        <w:rPr>
          <w:rStyle w:val="StringTok"/>
        </w:rPr>
        <w:t xml:space="preserve">" "</w:t>
      </w:r>
      <w:r>
        <w:rPr>
          <w:rStyle w:val="NormalTok"/>
        </w:rPr>
        <w:t xml:space="preserve">)</w:t>
      </w:r>
      <w:r>
        <w:rPr>
          <w:rStyle w:val="OperatorTok"/>
        </w:rPr>
        <w:t xml:space="preserve">;</w:t>
      </w:r>
      <w:r>
        <w:rPr>
          <w:rStyle w:val="NormalTok"/>
        </w:rPr>
        <w:t xml:space="preserve"> </w:t>
      </w:r>
      <w:r>
        <w:rPr>
          <w:rStyle w:val="CommentTok"/>
        </w:rPr>
        <w:t xml:space="preserve">// Output: 1 2 3</w:t>
      </w:r>
      <w:r>
        <w:br/>
      </w:r>
      <w:r>
        <w:rPr>
          <w:rStyle w:val="NormalTok"/>
        </w:rPr>
        <w:t xml:space="preserv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83"/>
    <w:bookmarkEnd w:id="984"/>
    <w:bookmarkStart w:id="993" w:name="X119da5a9533e9f2bef1ab15dd55a696e67faf2e"/>
    <w:p>
      <w:pPr>
        <w:pStyle w:val="Heading2"/>
      </w:pPr>
      <w:r>
        <w:t xml:space="preserve">Binary Data — ArrayBuffer, SharedArrayBuffer and Typed Arrays</w:t>
      </w:r>
    </w:p>
    <w:bookmarkStart w:id="985" w:name="syntax-53"/>
    <w:p>
      <w:pPr>
        <w:pStyle w:val="Heading3"/>
      </w:pPr>
      <w:r>
        <w:t xml:space="preserve">Syntax</w:t>
      </w:r>
    </w:p>
    <w:p>
      <w:pPr>
        <w:pStyle w:val="SourceCode"/>
      </w:pPr>
      <w:r>
        <w:rPr>
          <w:rStyle w:val="KeywordTok"/>
        </w:rPr>
        <w:t xml:space="preserve">var</w:t>
      </w:r>
      <w:r>
        <w:rPr>
          <w:rStyle w:val="NormalTok"/>
        </w:rPr>
        <w:t xml:space="preserve"> buffer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ArrayBuffer</w:t>
      </w:r>
      <w:r>
        <w:rPr>
          <w:rStyle w:val="NormalTok"/>
        </w:rPr>
        <w:t xml:space="preserve">(byteLength)</w:t>
      </w:r>
      <w:r>
        <w:rPr>
          <w:rStyle w:val="OperatorTok"/>
        </w:rPr>
        <w:t xml:space="preserve">;</w:t>
      </w:r>
      <w:r>
        <w:br/>
      </w:r>
      <w:r>
        <w:rPr>
          <w:rStyle w:val="KeywordTok"/>
        </w:rPr>
        <w:t xml:space="preserve">var</w:t>
      </w:r>
      <w:r>
        <w:rPr>
          <w:rStyle w:val="NormalTok"/>
        </w:rPr>
        <w:t xml:space="preserve"> sab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SharedArrayBuffer</w:t>
      </w:r>
      <w:r>
        <w:rPr>
          <w:rStyle w:val="NormalTok"/>
        </w:rPr>
        <w:t xml:space="preserve">(byteLength)</w:t>
      </w:r>
      <w:r>
        <w:rPr>
          <w:rStyle w:val="OperatorTok"/>
        </w:rPr>
        <w:t xml:space="preserve">;</w:t>
      </w:r>
      <w:r>
        <w:br/>
      </w:r>
      <w:r>
        <w:rPr>
          <w:rStyle w:val="KeywordTok"/>
        </w:rPr>
        <w:t xml:space="preserve">var</w:t>
      </w:r>
      <w:r>
        <w:rPr>
          <w:rStyle w:val="NormalTok"/>
        </w:rPr>
        <w:t xml:space="preserve"> view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Uint8Array</w:t>
      </w:r>
      <w:r>
        <w:rPr>
          <w:rStyle w:val="NormalTok"/>
        </w:rPr>
        <w:t xml:space="preserve">(buffer)</w:t>
      </w:r>
      <w:r>
        <w:rPr>
          <w:rStyle w:val="OperatorTok"/>
        </w:rPr>
        <w:t xml:space="preserve">;</w:t>
      </w:r>
      <w:r>
        <w:br/>
      </w:r>
      <w:r>
        <w:rPr>
          <w:rStyle w:val="KeywordTok"/>
        </w:rPr>
        <w:t xml:space="preserve">var</w:t>
      </w:r>
      <w:r>
        <w:rPr>
          <w:rStyle w:val="NormalTok"/>
        </w:rPr>
        <w:t xml:space="preserve"> view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Uint8Array</w:t>
      </w:r>
      <w:r>
        <w:rPr>
          <w:rStyle w:val="NormalTok"/>
        </w:rPr>
        <w:t xml:space="preserve">(sab)</w:t>
      </w:r>
      <w:r>
        <w:rPr>
          <w:rStyle w:val="OperatorTok"/>
        </w:rPr>
        <w:t xml:space="preserve">;</w:t>
      </w:r>
      <w:r>
        <w:br/>
      </w:r>
      <w:r>
        <w:rPr>
          <w:rStyle w:val="KeywordTok"/>
        </w:rPr>
        <w:t xml:space="preserve">var</w:t>
      </w:r>
      <w:r>
        <w:rPr>
          <w:rStyle w:val="NormalTok"/>
        </w:rPr>
        <w:t xml:space="preserve"> view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Uint8Array</w:t>
      </w:r>
      <w:r>
        <w:rPr>
          <w:rStyle w:val="NormalTok"/>
        </w:rPr>
        <w:t xml:space="preserve">(length)</w:t>
      </w:r>
      <w:r>
        <w:rPr>
          <w:rStyle w:val="OperatorTok"/>
        </w:rPr>
        <w:t xml:space="preserve">;</w:t>
      </w:r>
      <w:r>
        <w:br/>
      </w:r>
      <w:r>
        <w:rPr>
          <w:rStyle w:val="KeywordTok"/>
        </w:rPr>
        <w:t xml:space="preserve">var</w:t>
      </w:r>
      <w:r>
        <w:rPr>
          <w:rStyle w:val="NormalTok"/>
        </w:rPr>
        <w:t xml:space="preserve"> view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Uint8Array</w:t>
      </w:r>
      <w:r>
        <w:rPr>
          <w:rStyle w:val="NormalTok"/>
        </w:rPr>
        <w:t xml:space="preserve">([</w:t>
      </w:r>
      <w:r>
        <w:rPr>
          <w:rStyle w:val="DecValTok"/>
        </w:rPr>
        <w:t xml:space="preserve">1</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DecValTok"/>
        </w:rPr>
        <w:t xml:space="preserve">3</w:t>
      </w:r>
      <w:r>
        <w:rPr>
          <w:rStyle w:val="NormalTok"/>
        </w:rPr>
        <w:t xml:space="preserve">])</w:t>
      </w:r>
      <w:r>
        <w:rPr>
          <w:rStyle w:val="OperatorTok"/>
        </w:rPr>
        <w:t xml:space="preserve">;</w:t>
      </w:r>
      <w:r>
        <w:br/>
      </w:r>
      <w:r>
        <w:rPr>
          <w:rStyle w:val="KeywordTok"/>
        </w:rPr>
        <w:t xml:space="preserve">var</w:t>
      </w:r>
      <w:r>
        <w:rPr>
          <w:rStyle w:val="NormalTok"/>
        </w:rPr>
        <w:t xml:space="preserve"> dv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DataView</w:t>
      </w:r>
      <w:r>
        <w:rPr>
          <w:rStyle w:val="NormalTok"/>
        </w:rPr>
        <w:t xml:space="preserve">(buffer [</w:t>
      </w:r>
      <w:r>
        <w:rPr>
          <w:rStyle w:val="OperatorTok"/>
        </w:rPr>
        <w:t xml:space="preserve">,</w:t>
      </w:r>
      <w:r>
        <w:rPr>
          <w:rStyle w:val="NormalTok"/>
        </w:rPr>
        <w:t xml:space="preserve"> byteOffset [</w:t>
      </w:r>
      <w:r>
        <w:rPr>
          <w:rStyle w:val="OperatorTok"/>
        </w:rPr>
        <w:t xml:space="preserve">,</w:t>
      </w:r>
      <w:r>
        <w:rPr>
          <w:rStyle w:val="NormalTok"/>
        </w:rPr>
        <w:t xml:space="preserve"> byteLength]])</w:t>
      </w:r>
      <w:r>
        <w:rPr>
          <w:rStyle w:val="OperatorTok"/>
        </w:rPr>
        <w:t xml:space="preserve">;</w:t>
      </w:r>
      <w:r>
        <w:br/>
      </w:r>
      <w:r>
        <w:rPr>
          <w:rStyle w:val="KeywordTok"/>
        </w:rPr>
        <w:t xml:space="preserve">var</w:t>
      </w:r>
      <w:r>
        <w:rPr>
          <w:rStyle w:val="NormalTok"/>
        </w:rPr>
        <w:t xml:space="preserve"> dv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DataView</w:t>
      </w:r>
      <w:r>
        <w:rPr>
          <w:rStyle w:val="NormalTok"/>
        </w:rPr>
        <w:t xml:space="preserve">(sab [</w:t>
      </w:r>
      <w:r>
        <w:rPr>
          <w:rStyle w:val="OperatorTok"/>
        </w:rPr>
        <w:t xml:space="preserve">,</w:t>
      </w:r>
      <w:r>
        <w:rPr>
          <w:rStyle w:val="NormalTok"/>
        </w:rPr>
        <w:t xml:space="preserve"> byteOffset [</w:t>
      </w:r>
      <w:r>
        <w:rPr>
          <w:rStyle w:val="OperatorTok"/>
        </w:rPr>
        <w:t xml:space="preserve">,</w:t>
      </w:r>
      <w:r>
        <w:rPr>
          <w:rStyle w:val="NormalTok"/>
        </w:rPr>
        <w:t xml:space="preserve"> byteLength]])</w:t>
      </w:r>
      <w:r>
        <w:rPr>
          <w:rStyle w:val="OperatorTok"/>
        </w:rPr>
        <w:t xml:space="preserve">;</w:t>
      </w:r>
    </w:p>
    <w:bookmarkEnd w:id="985"/>
    <w:bookmarkStart w:id="986" w:name="remarks-60"/>
    <w:p>
      <w:pPr>
        <w:pStyle w:val="Heading3"/>
      </w:pPr>
      <w:r>
        <w:t xml:space="preserve">Remarks</w:t>
      </w:r>
    </w:p>
    <w:p>
      <w:pPr>
        <w:pStyle w:val="Compact"/>
        <w:numPr>
          <w:ilvl w:val="0"/>
          <w:numId w:val="1271"/>
        </w:numPr>
      </w:pPr>
      <w:r>
        <w:rPr>
          <w:rStyle w:val="VerbatimChar"/>
        </w:rPr>
        <w:t xml:space="preserve">ArrayBuffer</w:t>
      </w:r>
      <w:r>
        <w:t xml:space="preserve"> </w:t>
      </w:r>
      <w:r>
        <w:t xml:space="preserve">holds a raw byte block. Its</w:t>
      </w:r>
      <w:r>
        <w:t xml:space="preserve"> </w:t>
      </w:r>
      <w:r>
        <w:rPr>
          <w:rStyle w:val="VerbatimChar"/>
        </w:rPr>
        <w:t xml:space="preserve">byteLength</w:t>
      </w:r>
      <w:r>
        <w:t xml:space="preserve"> </w:t>
      </w:r>
      <w:r>
        <w:t xml:space="preserve">property returns its size in bytes. Use</w:t>
      </w:r>
      <w:r>
        <w:t xml:space="preserve"> </w:t>
      </w:r>
      <w:r>
        <w:rPr>
          <w:rStyle w:val="VerbatimChar"/>
        </w:rPr>
        <w:t xml:space="preserve">ArrayBuffer.isView(v)</w:t>
      </w:r>
      <w:r>
        <w:t xml:space="preserve"> </w:t>
      </w:r>
      <w:r>
        <w:t xml:space="preserve">to test whether a value is a typed array view.</w:t>
      </w:r>
    </w:p>
    <w:p>
      <w:pPr>
        <w:pStyle w:val="Compact"/>
        <w:numPr>
          <w:ilvl w:val="0"/>
          <w:numId w:val="1271"/>
        </w:numPr>
      </w:pPr>
      <w:r>
        <w:rPr>
          <w:rStyle w:val="VerbatimChar"/>
        </w:rPr>
        <w:t xml:space="preserve">SharedArrayBuffer</w:t>
      </w:r>
      <w:r>
        <w:t xml:space="preserve"> </w:t>
      </w:r>
      <w:r>
        <w:t xml:space="preserve">is similar to</w:t>
      </w:r>
      <w:r>
        <w:t xml:space="preserve"> </w:t>
      </w:r>
      <w:r>
        <w:rPr>
          <w:rStyle w:val="VerbatimChar"/>
        </w:rPr>
        <w:t xml:space="preserve">ArrayBuffer</w:t>
      </w:r>
      <w:r>
        <w:t xml:space="preserve"> </w:t>
      </w:r>
      <w:r>
        <w:t xml:space="preserve">but represents memory that can be shared between agents (workers). In the AxonASP single-threaded context, it behaves like a non-transferable</w:t>
      </w:r>
      <w:r>
        <w:t xml:space="preserve"> </w:t>
      </w:r>
      <w:r>
        <w:rPr>
          <w:rStyle w:val="VerbatimChar"/>
        </w:rPr>
        <w:t xml:space="preserve">ArrayBuffer</w:t>
      </w:r>
      <w:r>
        <w:t xml:space="preserve">.</w:t>
      </w:r>
    </w:p>
    <w:p>
      <w:pPr>
        <w:pStyle w:val="Compact"/>
        <w:numPr>
          <w:ilvl w:val="0"/>
          <w:numId w:val="1271"/>
        </w:numPr>
      </w:pPr>
      <w:r>
        <w:rPr>
          <w:b/>
          <w:bCs/>
        </w:rPr>
        <w:t xml:space="preserve">Typed arrays</w:t>
      </w:r>
      <w:r>
        <w:t xml:space="preserve"> </w:t>
      </w:r>
      <w:r>
        <w:t xml:space="preserve">provide strongly-typed views over an</w:t>
      </w:r>
      <w:r>
        <w:t xml:space="preserve"> </w:t>
      </w:r>
      <w:r>
        <w:rPr>
          <w:rStyle w:val="VerbatimChar"/>
        </w:rPr>
        <w:t xml:space="preserve">ArrayBuffer</w:t>
      </w:r>
      <w:r>
        <w:t xml:space="preserve"> </w:t>
      </w:r>
      <w:r>
        <w:t xml:space="preserve">or</w:t>
      </w:r>
      <w:r>
        <w:t xml:space="preserve"> </w:t>
      </w:r>
      <w:r>
        <w:rPr>
          <w:rStyle w:val="VerbatimChar"/>
        </w:rPr>
        <w:t xml:space="preserve">SharedArrayBuffer</w:t>
      </w:r>
      <w:r>
        <w:t xml:space="preserve">. All supported types are listed in the table below.</w:t>
      </w:r>
    </w:p>
    <w:p>
      <w:pPr>
        <w:pStyle w:val="Compact"/>
        <w:numPr>
          <w:ilvl w:val="0"/>
          <w:numId w:val="1271"/>
        </w:numPr>
      </w:pPr>
      <w:r>
        <w:rPr>
          <w:rStyle w:val="VerbatimChar"/>
        </w:rPr>
        <w:t xml:space="preserve">DataView</w:t>
      </w:r>
      <w:r>
        <w:t xml:space="preserve"> </w:t>
      </w:r>
      <w:r>
        <w:t xml:space="preserve">gives byte-level control over reads and writes including explicit endianness.</w:t>
      </w:r>
    </w:p>
    <w:p>
      <w:pPr>
        <w:pStyle w:val="Compact"/>
        <w:numPr>
          <w:ilvl w:val="0"/>
          <w:numId w:val="1271"/>
        </w:numPr>
      </w:pPr>
      <w:r>
        <w:t xml:space="preserve">Typed array constructors can be called with: a byte</w:t>
      </w:r>
      <w:r>
        <w:t xml:space="preserve"> </w:t>
      </w:r>
      <w:r>
        <w:rPr>
          <w:b/>
          <w:bCs/>
        </w:rPr>
        <w:t xml:space="preserve">length</w:t>
      </w:r>
      <w:r>
        <w:t xml:space="preserve">, an existing</w:t>
      </w:r>
      <w:r>
        <w:t xml:space="preserve"> </w:t>
      </w:r>
      <w:r>
        <w:rPr>
          <w:b/>
          <w:bCs/>
        </w:rPr>
        <w:t xml:space="preserve">ArrayBuffer/SharedArrayBuffer</w:t>
      </w:r>
      <w:r>
        <w:t xml:space="preserve">, or an</w:t>
      </w:r>
      <w:r>
        <w:t xml:space="preserve"> </w:t>
      </w:r>
      <w:r>
        <w:rPr>
          <w:b/>
          <w:bCs/>
        </w:rPr>
        <w:t xml:space="preserve">array-like</w:t>
      </w:r>
      <w:r>
        <w:t xml:space="preserve"> </w:t>
      </w:r>
      <w:r>
        <w:t xml:space="preserve">source (plain array or another typed array).</w:t>
      </w:r>
    </w:p>
    <w:p>
      <w:pPr>
        <w:pStyle w:val="Compact"/>
        <w:numPr>
          <w:ilvl w:val="0"/>
          <w:numId w:val="1271"/>
        </w:numPr>
      </w:pPr>
      <w:r>
        <w:t xml:space="preserve">Index reads past the end of the view return</w:t>
      </w:r>
      <w:r>
        <w:t xml:space="preserve"> </w:t>
      </w:r>
      <w:r>
        <w:rPr>
          <w:rStyle w:val="VerbatimChar"/>
        </w:rPr>
        <w:t xml:space="preserve">undefined</w:t>
      </w:r>
      <w:r>
        <w:t xml:space="preserve">. Index writes past the end are silently ignored.</w:t>
      </w:r>
    </w:p>
    <w:p>
      <w:pPr>
        <w:pStyle w:val="Compact"/>
        <w:numPr>
          <w:ilvl w:val="0"/>
          <w:numId w:val="1271"/>
        </w:numPr>
      </w:pPr>
      <w:r>
        <w:t xml:space="preserve">Calling a typed array constructor without</w:t>
      </w:r>
      <w:r>
        <w:t xml:space="preserve"> </w:t>
      </w:r>
      <w:r>
        <w:rPr>
          <w:rStyle w:val="VerbatimChar"/>
        </w:rPr>
        <w:t xml:space="preserve">new</w:t>
      </w:r>
      <w:r>
        <w:t xml:space="preserve"> </w:t>
      </w:r>
      <w:r>
        <w:t xml:space="preserve">raises a</w:t>
      </w:r>
      <w:r>
        <w:t xml:space="preserve"> </w:t>
      </w:r>
      <w:r>
        <w:rPr>
          <w:rStyle w:val="VerbatimChar"/>
        </w:rPr>
        <w:t xml:space="preserve">TypeError</w:t>
      </w:r>
      <w:r>
        <w:t xml:space="preserve">.</w:t>
      </w:r>
    </w:p>
    <w:bookmarkEnd w:id="986"/>
    <w:bookmarkStart w:id="987" w:name="supported-typed-array-types"/>
    <w:p>
      <w:pPr>
        <w:pStyle w:val="Heading3"/>
      </w:pPr>
      <w:r>
        <w:t xml:space="preserve">Supported Typed Array Types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Constructor</w:t>
            </w:r>
          </w:p>
        </w:tc>
        <w:tc>
          <w:tcPr/>
          <w:p>
            <w:pPr>
              <w:pStyle w:val="Compact"/>
            </w:pPr>
            <w:r>
              <w:t xml:space="preserve">Element type</w:t>
            </w:r>
          </w:p>
        </w:tc>
        <w:tc>
          <w:tcPr/>
          <w:p>
            <w:pPr>
              <w:pStyle w:val="Compact"/>
            </w:pPr>
            <w:r>
              <w:t xml:space="preserve">Bytes per element</w:t>
            </w:r>
          </w:p>
        </w:tc>
      </w:tr>
      <w:tr>
        <w:tc>
          <w:tcPr/>
          <w:p>
            <w:pPr>
              <w:pStyle w:val="Compact"/>
            </w:pPr>
            <w:r>
              <w:rPr>
                <w:rStyle w:val="VerbatimChar"/>
              </w:rPr>
              <w:t xml:space="preserve">Int8Array</w:t>
            </w:r>
          </w:p>
        </w:tc>
        <w:tc>
          <w:tcPr/>
          <w:p>
            <w:pPr>
              <w:pStyle w:val="Compact"/>
            </w:pPr>
            <w:r>
              <w:t xml:space="preserve">Signed 8-bit integer</w:t>
            </w:r>
          </w:p>
        </w:tc>
        <w:tc>
          <w:tcPr/>
          <w:p>
            <w:pPr>
              <w:pStyle w:val="Compact"/>
            </w:pPr>
            <w:r>
              <w:t xml:space="preserve">1</w:t>
            </w:r>
          </w:p>
        </w:tc>
      </w:tr>
      <w:tr>
        <w:tc>
          <w:tcPr/>
          <w:p>
            <w:pPr>
              <w:pStyle w:val="Compact"/>
            </w:pPr>
            <w:r>
              <w:rPr>
                <w:rStyle w:val="VerbatimChar"/>
              </w:rPr>
              <w:t xml:space="preserve">Uint8Array</w:t>
            </w:r>
          </w:p>
        </w:tc>
        <w:tc>
          <w:tcPr/>
          <w:p>
            <w:pPr>
              <w:pStyle w:val="Compact"/>
            </w:pPr>
            <w:r>
              <w:t xml:space="preserve">Unsigned 8-bit integer</w:t>
            </w:r>
          </w:p>
        </w:tc>
        <w:tc>
          <w:tcPr/>
          <w:p>
            <w:pPr>
              <w:pStyle w:val="Compact"/>
            </w:pPr>
            <w:r>
              <w:t xml:space="preserve">1</w:t>
            </w:r>
          </w:p>
        </w:tc>
      </w:tr>
      <w:tr>
        <w:tc>
          <w:tcPr/>
          <w:p>
            <w:pPr>
              <w:pStyle w:val="Compact"/>
            </w:pPr>
            <w:r>
              <w:rPr>
                <w:rStyle w:val="VerbatimChar"/>
              </w:rPr>
              <w:t xml:space="preserve">Uint8ClampedArray</w:t>
            </w:r>
          </w:p>
        </w:tc>
        <w:tc>
          <w:tcPr/>
          <w:p>
            <w:pPr>
              <w:pStyle w:val="Compact"/>
            </w:pPr>
            <w:r>
              <w:t xml:space="preserve">Unsigned 8-bit integer, clamped [0–255]</w:t>
            </w:r>
          </w:p>
        </w:tc>
        <w:tc>
          <w:tcPr/>
          <w:p>
            <w:pPr>
              <w:pStyle w:val="Compact"/>
            </w:pPr>
            <w:r>
              <w:t xml:space="preserve">1</w:t>
            </w:r>
          </w:p>
        </w:tc>
      </w:tr>
      <w:tr>
        <w:tc>
          <w:tcPr/>
          <w:p>
            <w:pPr>
              <w:pStyle w:val="Compact"/>
            </w:pPr>
            <w:r>
              <w:rPr>
                <w:rStyle w:val="VerbatimChar"/>
              </w:rPr>
              <w:t xml:space="preserve">Int16Array</w:t>
            </w:r>
          </w:p>
        </w:tc>
        <w:tc>
          <w:tcPr/>
          <w:p>
            <w:pPr>
              <w:pStyle w:val="Compact"/>
            </w:pPr>
            <w:r>
              <w:t xml:space="preserve">Signed 16-bit integer</w:t>
            </w:r>
          </w:p>
        </w:tc>
        <w:tc>
          <w:tcPr/>
          <w:p>
            <w:pPr>
              <w:pStyle w:val="Compact"/>
            </w:pPr>
            <w:r>
              <w:t xml:space="preserve">2</w:t>
            </w:r>
          </w:p>
        </w:tc>
      </w:tr>
      <w:tr>
        <w:tc>
          <w:tcPr/>
          <w:p>
            <w:pPr>
              <w:pStyle w:val="Compact"/>
            </w:pPr>
            <w:r>
              <w:rPr>
                <w:rStyle w:val="VerbatimChar"/>
              </w:rPr>
              <w:t xml:space="preserve">Uint16Array</w:t>
            </w:r>
          </w:p>
        </w:tc>
        <w:tc>
          <w:tcPr/>
          <w:p>
            <w:pPr>
              <w:pStyle w:val="Compact"/>
            </w:pPr>
            <w:r>
              <w:t xml:space="preserve">Unsigned 16-bit integer</w:t>
            </w:r>
          </w:p>
        </w:tc>
        <w:tc>
          <w:tcPr/>
          <w:p>
            <w:pPr>
              <w:pStyle w:val="Compact"/>
            </w:pPr>
            <w:r>
              <w:t xml:space="preserve">2</w:t>
            </w:r>
          </w:p>
        </w:tc>
      </w:tr>
      <w:tr>
        <w:tc>
          <w:tcPr/>
          <w:p>
            <w:pPr>
              <w:pStyle w:val="Compact"/>
            </w:pPr>
            <w:r>
              <w:rPr>
                <w:rStyle w:val="VerbatimChar"/>
              </w:rPr>
              <w:t xml:space="preserve">Int32Array</w:t>
            </w:r>
          </w:p>
        </w:tc>
        <w:tc>
          <w:tcPr/>
          <w:p>
            <w:pPr>
              <w:pStyle w:val="Compact"/>
            </w:pPr>
            <w:r>
              <w:t xml:space="preserve">Signed 32-bit integer</w:t>
            </w:r>
          </w:p>
        </w:tc>
        <w:tc>
          <w:tcPr/>
          <w:p>
            <w:pPr>
              <w:pStyle w:val="Compact"/>
            </w:pPr>
            <w:r>
              <w:t xml:space="preserve">4</w:t>
            </w:r>
          </w:p>
        </w:tc>
      </w:tr>
      <w:tr>
        <w:tc>
          <w:tcPr/>
          <w:p>
            <w:pPr>
              <w:pStyle w:val="Compact"/>
            </w:pPr>
            <w:r>
              <w:rPr>
                <w:rStyle w:val="VerbatimChar"/>
              </w:rPr>
              <w:t xml:space="preserve">Uint32Array</w:t>
            </w:r>
          </w:p>
        </w:tc>
        <w:tc>
          <w:tcPr/>
          <w:p>
            <w:pPr>
              <w:pStyle w:val="Compact"/>
            </w:pPr>
            <w:r>
              <w:t xml:space="preserve">Unsigned 32-bit integer</w:t>
            </w:r>
          </w:p>
        </w:tc>
        <w:tc>
          <w:tcPr/>
          <w:p>
            <w:pPr>
              <w:pStyle w:val="Compact"/>
            </w:pPr>
            <w:r>
              <w:t xml:space="preserve">4</w:t>
            </w:r>
          </w:p>
        </w:tc>
      </w:tr>
      <w:tr>
        <w:tc>
          <w:tcPr/>
          <w:p>
            <w:pPr>
              <w:pStyle w:val="Compact"/>
            </w:pPr>
            <w:r>
              <w:rPr>
                <w:rStyle w:val="VerbatimChar"/>
              </w:rPr>
              <w:t xml:space="preserve">Float32Array</w:t>
            </w:r>
          </w:p>
        </w:tc>
        <w:tc>
          <w:tcPr/>
          <w:p>
            <w:pPr>
              <w:pStyle w:val="Compact"/>
            </w:pPr>
            <w:r>
              <w:t xml:space="preserve">32-bit IEEE 754 float</w:t>
            </w:r>
          </w:p>
        </w:tc>
        <w:tc>
          <w:tcPr/>
          <w:p>
            <w:pPr>
              <w:pStyle w:val="Compact"/>
            </w:pPr>
            <w:r>
              <w:t xml:space="preserve">4</w:t>
            </w:r>
          </w:p>
        </w:tc>
      </w:tr>
      <w:tr>
        <w:tc>
          <w:tcPr/>
          <w:p>
            <w:pPr>
              <w:pStyle w:val="Compact"/>
            </w:pPr>
            <w:r>
              <w:rPr>
                <w:rStyle w:val="VerbatimChar"/>
              </w:rPr>
              <w:t xml:space="preserve">Float64Array</w:t>
            </w:r>
          </w:p>
        </w:tc>
        <w:tc>
          <w:tcPr/>
          <w:p>
            <w:pPr>
              <w:pStyle w:val="Compact"/>
            </w:pPr>
            <w:r>
              <w:t xml:space="preserve">64-bit IEEE 754 float</w:t>
            </w:r>
          </w:p>
        </w:tc>
        <w:tc>
          <w:tcPr/>
          <w:p>
            <w:pPr>
              <w:pStyle w:val="Compact"/>
            </w:pPr>
            <w:r>
              <w:t xml:space="preserve">8</w:t>
            </w:r>
          </w:p>
        </w:tc>
      </w:tr>
      <w:tr>
        <w:tc>
          <w:tcPr/>
          <w:p>
            <w:pPr>
              <w:pStyle w:val="Compact"/>
            </w:pPr>
            <w:r>
              <w:rPr>
                <w:rStyle w:val="VerbatimChar"/>
              </w:rPr>
              <w:t xml:space="preserve">BigInt64Array</w:t>
            </w:r>
          </w:p>
        </w:tc>
        <w:tc>
          <w:tcPr/>
          <w:p>
            <w:pPr>
              <w:pStyle w:val="Compact"/>
            </w:pPr>
            <w:r>
              <w:t xml:space="preserve">Signed 64-bit integer (BigInt)</w:t>
            </w:r>
          </w:p>
        </w:tc>
        <w:tc>
          <w:tcPr/>
          <w:p>
            <w:pPr>
              <w:pStyle w:val="Compact"/>
            </w:pPr>
            <w:r>
              <w:t xml:space="preserve">8</w:t>
            </w:r>
          </w:p>
        </w:tc>
      </w:tr>
      <w:tr>
        <w:tc>
          <w:tcPr/>
          <w:p>
            <w:pPr>
              <w:pStyle w:val="Compact"/>
            </w:pPr>
            <w:r>
              <w:rPr>
                <w:rStyle w:val="VerbatimChar"/>
              </w:rPr>
              <w:t xml:space="preserve">BigUint64Array</w:t>
            </w:r>
          </w:p>
        </w:tc>
        <w:tc>
          <w:tcPr/>
          <w:p>
            <w:pPr>
              <w:pStyle w:val="Compact"/>
            </w:pPr>
            <w:r>
              <w:t xml:space="preserve">Unsigned 64-bit integer (BigInt)</w:t>
            </w:r>
          </w:p>
        </w:tc>
        <w:tc>
          <w:tcPr/>
          <w:p>
            <w:pPr>
              <w:pStyle w:val="Compact"/>
            </w:pPr>
            <w:r>
              <w:t xml:space="preserve">8</w:t>
            </w:r>
          </w:p>
        </w:tc>
      </w:tr>
    </w:tbl>
    <w:bookmarkEnd w:id="987"/>
    <w:bookmarkStart w:id="988" w:name="typed-array-properties"/>
    <w:p>
      <w:pPr>
        <w:pStyle w:val="Heading3"/>
      </w:pPr>
      <w:r>
        <w:t xml:space="preserve">Typed Array Properties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Property</w:t>
            </w:r>
          </w:p>
        </w:tc>
        <w:tc>
          <w:tcPr/>
          <w:p>
            <w:pPr>
              <w:pStyle w:val="Compact"/>
            </w:pPr>
            <w:r>
              <w:t xml:space="preserve">Description</w:t>
            </w:r>
          </w:p>
        </w:tc>
      </w:tr>
      <w:tr>
        <w:tc>
          <w:tcPr/>
          <w:p>
            <w:pPr>
              <w:pStyle w:val="Compact"/>
            </w:pPr>
            <w:r>
              <w:rPr>
                <w:rStyle w:val="VerbatimChar"/>
              </w:rPr>
              <w:t xml:space="preserve">length</w:t>
            </w:r>
          </w:p>
        </w:tc>
        <w:tc>
          <w:tcPr/>
          <w:p>
            <w:pPr>
              <w:pStyle w:val="Compact"/>
            </w:pPr>
            <w:r>
              <w:t xml:space="preserve">Number of elements</w:t>
            </w:r>
          </w:p>
        </w:tc>
      </w:tr>
      <w:tr>
        <w:tc>
          <w:tcPr/>
          <w:p>
            <w:pPr>
              <w:pStyle w:val="Compact"/>
            </w:pPr>
            <w:r>
              <w:rPr>
                <w:rStyle w:val="VerbatimChar"/>
              </w:rPr>
              <w:t xml:space="preserve">byteLength</w:t>
            </w:r>
          </w:p>
        </w:tc>
        <w:tc>
          <w:tcPr/>
          <w:p>
            <w:pPr>
              <w:pStyle w:val="Compact"/>
            </w:pPr>
            <w:r>
              <w:t xml:space="preserve">Total size in bytes</w:t>
            </w:r>
          </w:p>
        </w:tc>
      </w:tr>
      <w:tr>
        <w:tc>
          <w:tcPr/>
          <w:p>
            <w:pPr>
              <w:pStyle w:val="Compact"/>
            </w:pPr>
            <w:r>
              <w:rPr>
                <w:rStyle w:val="VerbatimChar"/>
              </w:rPr>
              <w:t xml:space="preserve">byteOffset</w:t>
            </w:r>
          </w:p>
        </w:tc>
        <w:tc>
          <w:tcPr/>
          <w:p>
            <w:pPr>
              <w:pStyle w:val="Compact"/>
            </w:pPr>
            <w:r>
              <w:t xml:space="preserve">Offset into the backing</w:t>
            </w:r>
            <w:r>
              <w:t xml:space="preserve"> </w:t>
            </w:r>
            <w:r>
              <w:rPr>
                <w:rStyle w:val="VerbatimChar"/>
              </w:rPr>
              <w:t xml:space="preserve">ArrayBuffer</w:t>
            </w:r>
          </w:p>
        </w:tc>
      </w:tr>
      <w:tr>
        <w:tc>
          <w:tcPr/>
          <w:p>
            <w:pPr>
              <w:pStyle w:val="Compact"/>
            </w:pPr>
            <w:r>
              <w:rPr>
                <w:rStyle w:val="VerbatimChar"/>
              </w:rPr>
              <w:t xml:space="preserve">buffer</w:t>
            </w:r>
          </w:p>
        </w:tc>
        <w:tc>
          <w:tcPr/>
          <w:p>
            <w:pPr>
              <w:pStyle w:val="Compact"/>
            </w:pPr>
            <w:r>
              <w:t xml:space="preserve">The underlying</w:t>
            </w:r>
            <w:r>
              <w:t xml:space="preserve"> </w:t>
            </w:r>
            <w:r>
              <w:rPr>
                <w:rStyle w:val="VerbatimChar"/>
              </w:rPr>
              <w:t xml:space="preserve">ArrayBuffer</w:t>
            </w:r>
          </w:p>
        </w:tc>
      </w:tr>
    </w:tbl>
    <w:bookmarkEnd w:id="988"/>
    <w:bookmarkStart w:id="989" w:name="typed-array-methods"/>
    <w:p>
      <w:pPr>
        <w:pStyle w:val="Heading3"/>
      </w:pPr>
      <w:r>
        <w:t xml:space="preserve">Typed Array Methods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Description</w:t>
            </w:r>
          </w:p>
        </w:tc>
      </w:tr>
      <w:tr>
        <w:tc>
          <w:tcPr/>
          <w:p>
            <w:pPr>
              <w:pStyle w:val="Compact"/>
            </w:pPr>
            <w:r>
              <w:rPr>
                <w:rStyle w:val="VerbatimChar"/>
              </w:rPr>
              <w:t xml:space="preserve">set(array [, offset])</w:t>
            </w:r>
          </w:p>
        </w:tc>
        <w:tc>
          <w:tcPr/>
          <w:p>
            <w:pPr>
              <w:pStyle w:val="Compact"/>
            </w:pPr>
            <w:r>
              <w:t xml:space="preserve">Copy values from an array-like source</w:t>
            </w:r>
          </w:p>
        </w:tc>
      </w:tr>
      <w:tr>
        <w:tc>
          <w:tcPr/>
          <w:p>
            <w:pPr>
              <w:pStyle w:val="Compact"/>
            </w:pPr>
            <w:r>
              <w:rPr>
                <w:rStyle w:val="VerbatimChar"/>
              </w:rPr>
              <w:t xml:space="preserve">subarray([begin [, end]])</w:t>
            </w:r>
          </w:p>
        </w:tc>
        <w:tc>
          <w:tcPr/>
          <w:p>
            <w:pPr>
              <w:pStyle w:val="Compact"/>
            </w:pPr>
            <w:r>
              <w:t xml:space="preserve">Return a new view over the same buffer</w:t>
            </w:r>
          </w:p>
        </w:tc>
      </w:tr>
      <w:tr>
        <w:tc>
          <w:tcPr/>
          <w:p>
            <w:pPr>
              <w:pStyle w:val="Compact"/>
            </w:pPr>
            <w:r>
              <w:rPr>
                <w:rStyle w:val="VerbatimChar"/>
              </w:rPr>
              <w:t xml:space="preserve">fill(value [, start [, end]])</w:t>
            </w:r>
          </w:p>
        </w:tc>
        <w:tc>
          <w:tcPr/>
          <w:p>
            <w:pPr>
              <w:pStyle w:val="Compact"/>
            </w:pPr>
            <w:r>
              <w:t xml:space="preserve">Fill all or part of the view with a value</w:t>
            </w:r>
          </w:p>
        </w:tc>
      </w:tr>
      <w:tr>
        <w:tc>
          <w:tcPr/>
          <w:p>
            <w:pPr>
              <w:pStyle w:val="Compact"/>
            </w:pPr>
            <w:r>
              <w:rPr>
                <w:rStyle w:val="VerbatimChar"/>
              </w:rPr>
              <w:t xml:space="preserve">slice([begin [, end]])</w:t>
            </w:r>
          </w:p>
        </w:tc>
        <w:tc>
          <w:tcPr/>
          <w:p>
            <w:pPr>
              <w:pStyle w:val="Compact"/>
            </w:pPr>
            <w:r>
              <w:t xml:space="preserve">Return a new typed array copy of the range</w:t>
            </w:r>
          </w:p>
        </w:tc>
      </w:tr>
      <w:tr>
        <w:tc>
          <w:tcPr/>
          <w:p>
            <w:pPr>
              <w:pStyle w:val="Compact"/>
            </w:pPr>
            <w:r>
              <w:rPr>
                <w:rStyle w:val="VerbatimChar"/>
              </w:rPr>
              <w:t xml:space="preserve">forEach(callback)</w:t>
            </w:r>
          </w:p>
        </w:tc>
        <w:tc>
          <w:tcPr/>
          <w:p>
            <w:pPr>
              <w:pStyle w:val="Compact"/>
            </w:pPr>
            <w:r>
              <w:t xml:space="preserve">Iterate over each element</w:t>
            </w:r>
          </w:p>
        </w:tc>
      </w:tr>
      <w:tr>
        <w:tc>
          <w:tcPr/>
          <w:p>
            <w:pPr>
              <w:pStyle w:val="Compact"/>
            </w:pPr>
            <w:r>
              <w:rPr>
                <w:rStyle w:val="VerbatimChar"/>
              </w:rPr>
              <w:t xml:space="preserve">indexOf(value [, fromIndex])</w:t>
            </w:r>
          </w:p>
        </w:tc>
        <w:tc>
          <w:tcPr/>
          <w:p>
            <w:pPr>
              <w:pStyle w:val="Compact"/>
            </w:pPr>
            <w:r>
              <w:t xml:space="preserve">Return first index of a matching value, or -1</w:t>
            </w:r>
          </w:p>
        </w:tc>
      </w:tr>
    </w:tbl>
    <w:bookmarkEnd w:id="989"/>
    <w:bookmarkStart w:id="990" w:name="arraybuffer-methods"/>
    <w:p>
      <w:pPr>
        <w:pStyle w:val="Heading3"/>
      </w:pPr>
      <w:r>
        <w:t xml:space="preserve">ArrayBuffer Methods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Description</w:t>
            </w:r>
          </w:p>
        </w:tc>
      </w:tr>
      <w:tr>
        <w:tc>
          <w:tcPr/>
          <w:p>
            <w:pPr>
              <w:pStyle w:val="Compact"/>
            </w:pPr>
            <w:r>
              <w:rPr>
                <w:rStyle w:val="VerbatimChar"/>
              </w:rPr>
              <w:t xml:space="preserve">slice([begin [, end]])</w:t>
            </w:r>
          </w:p>
        </w:tc>
        <w:tc>
          <w:tcPr/>
          <w:p>
            <w:pPr>
              <w:pStyle w:val="Compact"/>
            </w:pPr>
            <w:r>
              <w:t xml:space="preserve">Return a new</w:t>
            </w:r>
            <w:r>
              <w:t xml:space="preserve"> </w:t>
            </w:r>
            <w:r>
              <w:rPr>
                <w:rStyle w:val="VerbatimChar"/>
              </w:rPr>
              <w:t xml:space="preserve">ArrayBuffer</w:t>
            </w:r>
            <w:r>
              <w:t xml:space="preserve"> </w:t>
            </w:r>
            <w:r>
              <w:t xml:space="preserve">containing a copy of the byte range</w:t>
            </w:r>
          </w:p>
        </w:tc>
      </w:tr>
      <w:tr>
        <w:tc>
          <w:tcPr/>
          <w:p>
            <w:pPr>
              <w:pStyle w:val="Compact"/>
            </w:pPr>
            <w:r>
              <w:rPr>
                <w:rStyle w:val="VerbatimChar"/>
              </w:rPr>
              <w:t xml:space="preserve">ArrayBuffer.isView(value)</w:t>
            </w:r>
          </w:p>
        </w:tc>
        <w:tc>
          <w:tcPr/>
          <w:p>
            <w:pPr>
              <w:pStyle w:val="Compact"/>
            </w:pPr>
            <w:r>
              <w:t xml:space="preserve">Return</w:t>
            </w:r>
            <w:r>
              <w:t xml:space="preserve"> </w:t>
            </w:r>
            <w:r>
              <w:rPr>
                <w:rStyle w:val="VerbatimChar"/>
              </w:rPr>
              <w:t xml:space="preserve">true</w:t>
            </w:r>
            <w:r>
              <w:t xml:space="preserve"> </w:t>
            </w:r>
            <w:r>
              <w:t xml:space="preserve">if the value is a typed array or DataView</w:t>
            </w:r>
          </w:p>
        </w:tc>
      </w:tr>
    </w:tbl>
    <w:bookmarkEnd w:id="990"/>
    <w:bookmarkStart w:id="991" w:name="dataview-methods"/>
    <w:p>
      <w:pPr>
        <w:pStyle w:val="Heading3"/>
      </w:pPr>
      <w:r>
        <w:t xml:space="preserve">DataView Methods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Description</w:t>
            </w:r>
          </w:p>
        </w:tc>
      </w:tr>
      <w:tr>
        <w:tc>
          <w:tcPr/>
          <w:p>
            <w:pPr>
              <w:pStyle w:val="Compact"/>
            </w:pPr>
            <w:r>
              <w:rPr>
                <w:rStyle w:val="VerbatimChar"/>
              </w:rPr>
              <w:t xml:space="preserve">getInt8(offset)</w:t>
            </w:r>
          </w:p>
        </w:tc>
        <w:tc>
          <w:tcPr/>
          <w:p>
            <w:pPr>
              <w:pStyle w:val="Compact"/>
            </w:pPr>
            <w:r>
              <w:t xml:space="preserve">Read signed 8-bit int</w:t>
            </w:r>
          </w:p>
        </w:tc>
      </w:tr>
      <w:tr>
        <w:tc>
          <w:tcPr/>
          <w:p>
            <w:pPr>
              <w:pStyle w:val="Compact"/>
            </w:pPr>
            <w:r>
              <w:rPr>
                <w:rStyle w:val="VerbatimChar"/>
              </w:rPr>
              <w:t xml:space="preserve">getUint8(offset)</w:t>
            </w:r>
          </w:p>
        </w:tc>
        <w:tc>
          <w:tcPr/>
          <w:p>
            <w:pPr>
              <w:pStyle w:val="Compact"/>
            </w:pPr>
            <w:r>
              <w:t xml:space="preserve">Read unsigned 8-bit int</w:t>
            </w:r>
          </w:p>
        </w:tc>
      </w:tr>
      <w:tr>
        <w:tc>
          <w:tcPr/>
          <w:p>
            <w:pPr>
              <w:pStyle w:val="Compact"/>
            </w:pPr>
            <w:r>
              <w:rPr>
                <w:rStyle w:val="VerbatimChar"/>
              </w:rPr>
              <w:t xml:space="preserve">getInt16(offset [, littleEndian])</w:t>
            </w:r>
          </w:p>
        </w:tc>
        <w:tc>
          <w:tcPr/>
          <w:p>
            <w:pPr>
              <w:pStyle w:val="Compact"/>
            </w:pPr>
            <w:r>
              <w:t xml:space="preserve">Read signed 16-bit int</w:t>
            </w:r>
          </w:p>
        </w:tc>
      </w:tr>
      <w:tr>
        <w:tc>
          <w:tcPr/>
          <w:p>
            <w:pPr>
              <w:pStyle w:val="Compact"/>
            </w:pPr>
            <w:r>
              <w:rPr>
                <w:rStyle w:val="VerbatimChar"/>
              </w:rPr>
              <w:t xml:space="preserve">getUint16(offset [, littleEndian])</w:t>
            </w:r>
          </w:p>
        </w:tc>
        <w:tc>
          <w:tcPr/>
          <w:p>
            <w:pPr>
              <w:pStyle w:val="Compact"/>
            </w:pPr>
            <w:r>
              <w:t xml:space="preserve">Read unsigned 16-bit int</w:t>
            </w:r>
          </w:p>
        </w:tc>
      </w:tr>
      <w:tr>
        <w:tc>
          <w:tcPr/>
          <w:p>
            <w:pPr>
              <w:pStyle w:val="Compact"/>
            </w:pPr>
            <w:r>
              <w:rPr>
                <w:rStyle w:val="VerbatimChar"/>
              </w:rPr>
              <w:t xml:space="preserve">getInt32(offset [, littleEndian])</w:t>
            </w:r>
          </w:p>
        </w:tc>
        <w:tc>
          <w:tcPr/>
          <w:p>
            <w:pPr>
              <w:pStyle w:val="Compact"/>
            </w:pPr>
            <w:r>
              <w:t xml:space="preserve">Read signed 32-bit int</w:t>
            </w:r>
          </w:p>
        </w:tc>
      </w:tr>
      <w:tr>
        <w:tc>
          <w:tcPr/>
          <w:p>
            <w:pPr>
              <w:pStyle w:val="Compact"/>
            </w:pPr>
            <w:r>
              <w:rPr>
                <w:rStyle w:val="VerbatimChar"/>
              </w:rPr>
              <w:t xml:space="preserve">getUint32(offset [, littleEndian])</w:t>
            </w:r>
          </w:p>
        </w:tc>
        <w:tc>
          <w:tcPr/>
          <w:p>
            <w:pPr>
              <w:pStyle w:val="Compact"/>
            </w:pPr>
            <w:r>
              <w:t xml:space="preserve">Read unsigned 32-bit int</w:t>
            </w:r>
          </w:p>
        </w:tc>
      </w:tr>
      <w:tr>
        <w:tc>
          <w:tcPr/>
          <w:p>
            <w:pPr>
              <w:pStyle w:val="Compact"/>
            </w:pPr>
            <w:r>
              <w:rPr>
                <w:rStyle w:val="VerbatimChar"/>
              </w:rPr>
              <w:t xml:space="preserve">getFloat32(offset [, littleEndian])</w:t>
            </w:r>
          </w:p>
        </w:tc>
        <w:tc>
          <w:tcPr/>
          <w:p>
            <w:pPr>
              <w:pStyle w:val="Compact"/>
            </w:pPr>
            <w:r>
              <w:t xml:space="preserve">Read 32-bit float</w:t>
            </w:r>
          </w:p>
        </w:tc>
      </w:tr>
      <w:tr>
        <w:tc>
          <w:tcPr/>
          <w:p>
            <w:pPr>
              <w:pStyle w:val="Compact"/>
            </w:pPr>
            <w:r>
              <w:rPr>
                <w:rStyle w:val="VerbatimChar"/>
              </w:rPr>
              <w:t xml:space="preserve">getFloat64(offset [, littleEndian])</w:t>
            </w:r>
          </w:p>
        </w:tc>
        <w:tc>
          <w:tcPr/>
          <w:p>
            <w:pPr>
              <w:pStyle w:val="Compact"/>
            </w:pPr>
            <w:r>
              <w:t xml:space="preserve">Read 64-bit float</w:t>
            </w:r>
          </w:p>
        </w:tc>
      </w:tr>
      <w:tr>
        <w:tc>
          <w:tcPr/>
          <w:p>
            <w:pPr>
              <w:pStyle w:val="Compact"/>
            </w:pPr>
            <w:r>
              <w:rPr>
                <w:rStyle w:val="VerbatimChar"/>
              </w:rPr>
              <w:t xml:space="preserve">setInt8(offset, value)</w:t>
            </w:r>
          </w:p>
        </w:tc>
        <w:tc>
          <w:tcPr/>
          <w:p>
            <w:pPr>
              <w:pStyle w:val="Compact"/>
            </w:pPr>
            <w:r>
              <w:t xml:space="preserve">Write signed 8-bit int</w:t>
            </w:r>
          </w:p>
        </w:tc>
      </w:tr>
      <w:tr>
        <w:tc>
          <w:tcPr/>
          <w:p>
            <w:pPr>
              <w:pStyle w:val="Compact"/>
            </w:pPr>
            <w:r>
              <w:rPr>
                <w:rStyle w:val="VerbatimChar"/>
              </w:rPr>
              <w:t xml:space="preserve">setUint8(offset, value)</w:t>
            </w:r>
          </w:p>
        </w:tc>
        <w:tc>
          <w:tcPr/>
          <w:p>
            <w:pPr>
              <w:pStyle w:val="Compact"/>
            </w:pPr>
            <w:r>
              <w:t xml:space="preserve">Write unsigned 8-bit int</w:t>
            </w:r>
          </w:p>
        </w:tc>
      </w:tr>
      <w:tr>
        <w:tc>
          <w:tcPr/>
          <w:p>
            <w:pPr>
              <w:pStyle w:val="Compact"/>
            </w:pPr>
            <w:r>
              <w:rPr>
                <w:rStyle w:val="VerbatimChar"/>
              </w:rPr>
              <w:t xml:space="preserve">setInt16(offset, value [, littleEndian])</w:t>
            </w:r>
          </w:p>
        </w:tc>
        <w:tc>
          <w:tcPr/>
          <w:p>
            <w:pPr>
              <w:pStyle w:val="Compact"/>
            </w:pPr>
            <w:r>
              <w:t xml:space="preserve">Write signed 16-bit int</w:t>
            </w:r>
          </w:p>
        </w:tc>
      </w:tr>
      <w:tr>
        <w:tc>
          <w:tcPr/>
          <w:p>
            <w:pPr>
              <w:pStyle w:val="Compact"/>
            </w:pPr>
            <w:r>
              <w:rPr>
                <w:rStyle w:val="VerbatimChar"/>
              </w:rPr>
              <w:t xml:space="preserve">setUint16(offset, value [, littleEndian])</w:t>
            </w:r>
          </w:p>
        </w:tc>
        <w:tc>
          <w:tcPr/>
          <w:p>
            <w:pPr>
              <w:pStyle w:val="Compact"/>
            </w:pPr>
            <w:r>
              <w:t xml:space="preserve">Write unsigned 16-bit int</w:t>
            </w:r>
          </w:p>
        </w:tc>
      </w:tr>
      <w:tr>
        <w:tc>
          <w:tcPr/>
          <w:p>
            <w:pPr>
              <w:pStyle w:val="Compact"/>
            </w:pPr>
            <w:r>
              <w:rPr>
                <w:rStyle w:val="VerbatimChar"/>
              </w:rPr>
              <w:t xml:space="preserve">setInt32(offset, value [, littleEndian])</w:t>
            </w:r>
          </w:p>
        </w:tc>
        <w:tc>
          <w:tcPr/>
          <w:p>
            <w:pPr>
              <w:pStyle w:val="Compact"/>
            </w:pPr>
            <w:r>
              <w:t xml:space="preserve">Write signed 32-bit int</w:t>
            </w:r>
          </w:p>
        </w:tc>
      </w:tr>
      <w:tr>
        <w:tc>
          <w:tcPr/>
          <w:p>
            <w:pPr>
              <w:pStyle w:val="Compact"/>
            </w:pPr>
            <w:r>
              <w:rPr>
                <w:rStyle w:val="VerbatimChar"/>
              </w:rPr>
              <w:t xml:space="preserve">setUint32(offset, value [, littleEndian])</w:t>
            </w:r>
          </w:p>
        </w:tc>
        <w:tc>
          <w:tcPr/>
          <w:p>
            <w:pPr>
              <w:pStyle w:val="Compact"/>
            </w:pPr>
            <w:r>
              <w:t xml:space="preserve">Write unsigned 32-bit int</w:t>
            </w:r>
          </w:p>
        </w:tc>
      </w:tr>
      <w:tr>
        <w:tc>
          <w:tcPr/>
          <w:p>
            <w:pPr>
              <w:pStyle w:val="Compact"/>
            </w:pPr>
            <w:r>
              <w:rPr>
                <w:rStyle w:val="VerbatimChar"/>
              </w:rPr>
              <w:t xml:space="preserve">setFloat32(offset, value [, littleEndian])</w:t>
            </w:r>
          </w:p>
        </w:tc>
        <w:tc>
          <w:tcPr/>
          <w:p>
            <w:pPr>
              <w:pStyle w:val="Compact"/>
            </w:pPr>
            <w:r>
              <w:t xml:space="preserve">Write 32-bit float</w:t>
            </w:r>
          </w:p>
        </w:tc>
      </w:tr>
      <w:tr>
        <w:tc>
          <w:tcPr/>
          <w:p>
            <w:pPr>
              <w:pStyle w:val="Compact"/>
            </w:pPr>
            <w:r>
              <w:rPr>
                <w:rStyle w:val="VerbatimChar"/>
              </w:rPr>
              <w:t xml:space="preserve">setFloat64(offset, value [, littleEndian])</w:t>
            </w:r>
          </w:p>
        </w:tc>
        <w:tc>
          <w:tcPr/>
          <w:p>
            <w:pPr>
              <w:pStyle w:val="Compact"/>
            </w:pPr>
            <w:r>
              <w:t xml:space="preserve">Write 64-bit float</w:t>
            </w:r>
          </w:p>
        </w:tc>
      </w:tr>
    </w:tbl>
    <w:bookmarkEnd w:id="991"/>
    <w:bookmarkStart w:id="992" w:name="code-example-53"/>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CommentTok"/>
        </w:rPr>
        <w:t xml:space="preserve">// --- ArrayBuffer and Uint8Array ---</w:t>
      </w:r>
      <w:r>
        <w:br/>
      </w:r>
      <w:r>
        <w:rPr>
          <w:rStyle w:val="KeywordTok"/>
        </w:rPr>
        <w:t xml:space="preserve">var</w:t>
      </w:r>
      <w:r>
        <w:rPr>
          <w:rStyle w:val="NormalTok"/>
        </w:rPr>
        <w:t xml:space="preserve"> buffer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ArrayBuffer</w:t>
      </w:r>
      <w:r>
        <w:rPr>
          <w:rStyle w:val="NormalTok"/>
        </w:rPr>
        <w:t xml:space="preserve">(</w:t>
      </w:r>
      <w:r>
        <w:rPr>
          <w:rStyle w:val="DecValTok"/>
        </w:rPr>
        <w:t xml:space="preserve">4</w:t>
      </w:r>
      <w:r>
        <w:rPr>
          <w:rStyle w:val="NormalTok"/>
        </w:rPr>
        <w:t xml:space="preserve">)</w:t>
      </w:r>
      <w:r>
        <w:rPr>
          <w:rStyle w:val="OperatorTok"/>
        </w:rPr>
        <w:t xml:space="preserve">;</w:t>
      </w:r>
      <w:r>
        <w:br/>
      </w:r>
      <w:r>
        <w:rPr>
          <w:rStyle w:val="KeywordTok"/>
        </w:rPr>
        <w:t xml:space="preserve">var</w:t>
      </w:r>
      <w:r>
        <w:rPr>
          <w:rStyle w:val="NormalTok"/>
        </w:rPr>
        <w:t xml:space="preserve"> view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Uint8Array</w:t>
      </w:r>
      <w:r>
        <w:rPr>
          <w:rStyle w:val="NormalTok"/>
        </w:rPr>
        <w:t xml:space="preserve">(buffer)</w:t>
      </w:r>
      <w:r>
        <w:rPr>
          <w:rStyle w:val="OperatorTok"/>
        </w:rPr>
        <w:t xml:space="preserve">;</w:t>
      </w:r>
      <w:r>
        <w:br/>
      </w:r>
      <w:r>
        <w:rPr>
          <w:rStyle w:val="NormalTok"/>
        </w:rPr>
        <w:t xml:space="preserve">view[</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view[</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20</w:t>
      </w:r>
      <w:r>
        <w:rPr>
          <w:rStyle w:val="OperatorTok"/>
        </w:rPr>
        <w:t xml:space="preserve">;</w:t>
      </w:r>
      <w:r>
        <w:br/>
      </w:r>
      <w:r>
        <w:rPr>
          <w:rStyle w:val="NormalTok"/>
        </w:rPr>
        <w:t xml:space="preserve">view[</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30</w:t>
      </w:r>
      <w:r>
        <w:rPr>
          <w:rStyle w:val="OperatorTok"/>
        </w:rPr>
        <w:t xml:space="preserve">;</w:t>
      </w:r>
      <w:r>
        <w:br/>
      </w:r>
      <w:r>
        <w:rPr>
          <w:rStyle w:val="NormalTok"/>
        </w:rPr>
        <w:t xml:space="preserve">view[</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40</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(view[</w:t>
      </w:r>
      <w:r>
        <w:rPr>
          <w:rStyle w:val="DecValTok"/>
        </w:rPr>
        <w:t xml:space="preserve">0</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view[</w:t>
      </w:r>
      <w:r>
        <w:rPr>
          <w:rStyle w:val="DecValTok"/>
        </w:rPr>
        <w:t xml:space="preserve">1</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view[</w:t>
      </w:r>
      <w:r>
        <w:rPr>
          <w:rStyle w:val="DecValTok"/>
        </w:rPr>
        <w:t xml:space="preserve">2</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view[</w:t>
      </w:r>
      <w:r>
        <w:rPr>
          <w:rStyle w:val="DecValTok"/>
        </w:rPr>
        <w:t xml:space="preserve">3</w:t>
      </w:r>
      <w:r>
        <w:rPr>
          <w:rStyle w:val="NormalTok"/>
        </w:rPr>
        <w:t xml:space="preserve">])</w:t>
      </w:r>
      <w:r>
        <w:rPr>
          <w:rStyle w:val="OperatorTok"/>
        </w:rPr>
        <w:t xml:space="preserve">;</w:t>
      </w:r>
      <w:r>
        <w:br/>
      </w:r>
      <w:r>
        <w:rPr>
          <w:rStyle w:val="CommentTok"/>
        </w:rPr>
        <w:t xml:space="preserve">// Output: 10,20,30,40</w:t>
      </w:r>
      <w:r>
        <w:br/>
      </w:r>
      <w:r>
        <w:br/>
      </w:r>
      <w:r>
        <w:rPr>
          <w:rStyle w:val="CommentTok"/>
        </w:rPr>
        <w:t xml:space="preserve">// --- Uint8ClampedArray ---</w:t>
      </w:r>
      <w:r>
        <w:br/>
      </w:r>
      <w:r>
        <w:rPr>
          <w:rStyle w:val="KeywordTok"/>
        </w:rPr>
        <w:t xml:space="preserve">var</w:t>
      </w:r>
      <w:r>
        <w:rPr>
          <w:rStyle w:val="NormalTok"/>
        </w:rPr>
        <w:t xml:space="preserve"> clamped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Uint8ClampedArray</w:t>
      </w:r>
      <w:r>
        <w:rPr>
          <w:rStyle w:val="NormalTok"/>
        </w:rPr>
        <w:t xml:space="preserve">(</w:t>
      </w:r>
      <w:r>
        <w:rPr>
          <w:rStyle w:val="DecValTok"/>
        </w:rPr>
        <w:t xml:space="preserve">2</w:t>
      </w:r>
      <w:r>
        <w:rPr>
          <w:rStyle w:val="NormalTok"/>
        </w:rPr>
        <w:t xml:space="preserve">)</w:t>
      </w:r>
      <w:r>
        <w:rPr>
          <w:rStyle w:val="OperatorTok"/>
        </w:rPr>
        <w:t xml:space="preserve">;</w:t>
      </w:r>
      <w:r>
        <w:br/>
      </w:r>
      <w:r>
        <w:rPr>
          <w:rStyle w:val="NormalTok"/>
        </w:rPr>
        <w:t xml:space="preserve">clamped[</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300</w:t>
      </w:r>
      <w:r>
        <w:rPr>
          <w:rStyle w:val="OperatorTok"/>
        </w:rPr>
        <w:t xml:space="preserve">;</w:t>
      </w:r>
      <w:r>
        <w:rPr>
          <w:rStyle w:val="NormalTok"/>
        </w:rPr>
        <w:t xml:space="preserve"> </w:t>
      </w:r>
      <w:r>
        <w:rPr>
          <w:rStyle w:val="CommentTok"/>
        </w:rPr>
        <w:t xml:space="preserve">// clamped to 255</w:t>
      </w:r>
      <w:r>
        <w:br/>
      </w:r>
      <w:r>
        <w:rPr>
          <w:rStyle w:val="NormalTok"/>
        </w:rPr>
        <w:t xml:space="preserve">clamped[</w:t>
      </w:r>
      <w:r>
        <w:rPr>
          <w:rStyle w:val="DecValTok"/>
        </w:rPr>
        <w:t xml:space="preserve">1</w:t>
      </w:r>
      <w:r>
        <w:rPr>
          <w:rStyle w:val="NormalTok"/>
        </w:rPr>
        <w:t xml:space="preserve">] </w:t>
      </w:r>
      <w:r>
        <w:rPr>
          <w:rStyle w:val="OperatorTok"/>
        </w:rPr>
        <w:t xml:space="preserve">=</w:t>
      </w:r>
      <w:r>
        <w:rPr>
          <w:rStyle w:val="NormalTok"/>
        </w:rPr>
        <w:t xml:space="preserve"> </w:t>
      </w:r>
      <w:r>
        <w:rPr>
          <w:rStyle w:val="OperatorTok"/>
        </w:rPr>
        <w:t xml:space="preserve">-</w:t>
      </w:r>
      <w:r>
        <w:rPr>
          <w:rStyle w:val="DecValTok"/>
        </w:rPr>
        <w:t xml:space="preserve">5</w:t>
      </w:r>
      <w:r>
        <w:rPr>
          <w:rStyle w:val="OperatorTok"/>
        </w:rPr>
        <w:t xml:space="preserve">;</w:t>
      </w:r>
      <w:r>
        <w:rPr>
          <w:rStyle w:val="NormalTok"/>
        </w:rPr>
        <w:t xml:space="preserve">  </w:t>
      </w:r>
      <w:r>
        <w:rPr>
          <w:rStyle w:val="CommentTok"/>
        </w:rPr>
        <w:t xml:space="preserve">// clamped to 0</w:t>
      </w:r>
      <w:r>
        <w:br/>
      </w:r>
      <w:r>
        <w:rPr>
          <w:rStyle w:val="NormalTok"/>
        </w:rPr>
        <w:t xml:space="preserve">Response</w:t>
      </w:r>
      <w:r>
        <w:rPr>
          <w:rStyle w:val="OperatorTok"/>
        </w:rPr>
        <w:t xml:space="preserve">.</w:t>
      </w:r>
      <w:r>
        <w:rPr>
          <w:rStyle w:val="FunctionTok"/>
        </w:rPr>
        <w:t xml:space="preserve">Write</w:t>
      </w:r>
      <w:r>
        <w:rPr>
          <w:rStyle w:val="NormalTok"/>
        </w:rPr>
        <w:t xml:space="preserve">(clamped[</w:t>
      </w:r>
      <w:r>
        <w:rPr>
          <w:rStyle w:val="DecValTok"/>
        </w:rPr>
        <w:t xml:space="preserve">0</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clamped[</w:t>
      </w:r>
      <w:r>
        <w:rPr>
          <w:rStyle w:val="DecValTok"/>
        </w:rPr>
        <w:t xml:space="preserve">1</w:t>
      </w:r>
      <w:r>
        <w:rPr>
          <w:rStyle w:val="NormalTok"/>
        </w:rPr>
        <w:t xml:space="preserve">])</w:t>
      </w:r>
      <w:r>
        <w:rPr>
          <w:rStyle w:val="OperatorTok"/>
        </w:rPr>
        <w:t xml:space="preserve">;</w:t>
      </w:r>
      <w:r>
        <w:br/>
      </w:r>
      <w:r>
        <w:rPr>
          <w:rStyle w:val="CommentTok"/>
        </w:rPr>
        <w:t xml:space="preserve">// Output: 255,0</w:t>
      </w:r>
      <w:r>
        <w:br/>
      </w:r>
      <w:r>
        <w:br/>
      </w:r>
      <w:r>
        <w:rPr>
          <w:rStyle w:val="CommentTok"/>
        </w:rPr>
        <w:t xml:space="preserve">// --- Int32Array from plain array ---</w:t>
      </w:r>
      <w:r>
        <w:br/>
      </w:r>
      <w:r>
        <w:rPr>
          <w:rStyle w:val="KeywordTok"/>
        </w:rPr>
        <w:t xml:space="preserve">var</w:t>
      </w:r>
      <w:r>
        <w:rPr>
          <w:rStyle w:val="NormalTok"/>
        </w:rPr>
        <w:t xml:space="preserve"> ints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Int32Array</w:t>
      </w:r>
      <w:r>
        <w:rPr>
          <w:rStyle w:val="NormalTok"/>
        </w:rPr>
        <w:t xml:space="preserve">([</w:t>
      </w:r>
      <w:r>
        <w:rPr>
          <w:rStyle w:val="OperatorTok"/>
        </w:rPr>
        <w:t xml:space="preserve">-</w:t>
      </w:r>
      <w:r>
        <w:rPr>
          <w:rStyle w:val="DecValTok"/>
        </w:rPr>
        <w:t xml:space="preserve">100</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DecValTok"/>
        </w:rPr>
        <w:t xml:space="preserve">100</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(ints[</w:t>
      </w:r>
      <w:r>
        <w:rPr>
          <w:rStyle w:val="DecValTok"/>
        </w:rPr>
        <w:t xml:space="preserve">0</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ints</w:t>
      </w:r>
      <w:r>
        <w:rPr>
          <w:rStyle w:val="OperatorTok"/>
        </w:rPr>
        <w:t xml:space="preserve">.</w:t>
      </w:r>
      <w:r>
        <w:rPr>
          <w:rStyle w:val="AttributeTok"/>
        </w:rPr>
        <w:t xml:space="preserve">byteLength</w:t>
      </w:r>
      <w:r>
        <w:rPr>
          <w:rStyle w:val="NormalTok"/>
        </w:rPr>
        <w:t xml:space="preserve">)</w:t>
      </w:r>
      <w:r>
        <w:rPr>
          <w:rStyle w:val="OperatorTok"/>
        </w:rPr>
        <w:t xml:space="preserve">;</w:t>
      </w:r>
      <w:r>
        <w:br/>
      </w:r>
      <w:r>
        <w:rPr>
          <w:rStyle w:val="CommentTok"/>
        </w:rPr>
        <w:t xml:space="preserve">// Output: -100,12</w:t>
      </w:r>
      <w:r>
        <w:br/>
      </w:r>
      <w:r>
        <w:br/>
      </w:r>
      <w:r>
        <w:rPr>
          <w:rStyle w:val="CommentTok"/>
        </w:rPr>
        <w:t xml:space="preserve">// --- DataView with explicit endianness ---</w:t>
      </w:r>
      <w:r>
        <w:br/>
      </w:r>
      <w:r>
        <w:rPr>
          <w:rStyle w:val="KeywordTok"/>
        </w:rPr>
        <w:t xml:space="preserve">var</w:t>
      </w:r>
      <w:r>
        <w:rPr>
          <w:rStyle w:val="NormalTok"/>
        </w:rPr>
        <w:t xml:space="preserve"> db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ArrayBuffer</w:t>
      </w:r>
      <w:r>
        <w:rPr>
          <w:rStyle w:val="NormalTok"/>
        </w:rPr>
        <w:t xml:space="preserve">(</w:t>
      </w:r>
      <w:r>
        <w:rPr>
          <w:rStyle w:val="DecValTok"/>
        </w:rPr>
        <w:t xml:space="preserve">8</w:t>
      </w:r>
      <w:r>
        <w:rPr>
          <w:rStyle w:val="NormalTok"/>
        </w:rPr>
        <w:t xml:space="preserve">)</w:t>
      </w:r>
      <w:r>
        <w:rPr>
          <w:rStyle w:val="OperatorTok"/>
        </w:rPr>
        <w:t xml:space="preserve">;</w:t>
      </w:r>
      <w:r>
        <w:br/>
      </w:r>
      <w:r>
        <w:rPr>
          <w:rStyle w:val="KeywordTok"/>
        </w:rPr>
        <w:t xml:space="preserve">var</w:t>
      </w:r>
      <w:r>
        <w:rPr>
          <w:rStyle w:val="NormalTok"/>
        </w:rPr>
        <w:t xml:space="preserve"> dv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DataView</w:t>
      </w:r>
      <w:r>
        <w:rPr>
          <w:rStyle w:val="NormalTok"/>
        </w:rPr>
        <w:t xml:space="preserve">(db)</w:t>
      </w:r>
      <w:r>
        <w:rPr>
          <w:rStyle w:val="OperatorTok"/>
        </w:rPr>
        <w:t xml:space="preserve">;</w:t>
      </w:r>
      <w:r>
        <w:br/>
      </w:r>
      <w:r>
        <w:rPr>
          <w:rStyle w:val="NormalTok"/>
        </w:rPr>
        <w:t xml:space="preserve">dv</w:t>
      </w:r>
      <w:r>
        <w:rPr>
          <w:rStyle w:val="OperatorTok"/>
        </w:rPr>
        <w:t xml:space="preserve">.</w:t>
      </w:r>
      <w:r>
        <w:rPr>
          <w:rStyle w:val="FunctionTok"/>
        </w:rPr>
        <w:t xml:space="preserve">setInt32</w:t>
      </w:r>
      <w:r>
        <w:rPr>
          <w:rStyle w:val="NormalTok"/>
        </w:rPr>
        <w:t xml:space="preserve">(</w:t>
      </w:r>
      <w:r>
        <w:rPr>
          <w:rStyle w:val="DecValTok"/>
        </w:rPr>
        <w:t xml:space="preserve">0</w:t>
      </w:r>
      <w:r>
        <w:rPr>
          <w:rStyle w:val="OperatorTok"/>
        </w:rPr>
        <w:t xml:space="preserve">,</w:t>
      </w:r>
      <w:r>
        <w:rPr>
          <w:rStyle w:val="NormalTok"/>
        </w:rPr>
        <w:t xml:space="preserve"> </w:t>
      </w:r>
      <w:r>
        <w:rPr>
          <w:rStyle w:val="BaseNTok"/>
        </w:rPr>
        <w:t xml:space="preserve">0xDEADBEEF</w:t>
      </w:r>
      <w:r>
        <w:rPr>
          <w:rStyle w:val="OperatorTok"/>
        </w:rPr>
        <w:t xml:space="preserve">,</w:t>
      </w:r>
      <w:r>
        <w:rPr>
          <w:rStyle w:val="NormalTok"/>
        </w:rPr>
        <w:t xml:space="preserve"> </w:t>
      </w:r>
      <w:r>
        <w:rPr>
          <w:rStyle w:val="KeywordTok"/>
        </w:rPr>
        <w:t xml:space="preserve">false</w:t>
      </w:r>
      <w:r>
        <w:rPr>
          <w:rStyle w:val="NormalTok"/>
        </w:rPr>
        <w:t xml:space="preserve">)</w:t>
      </w:r>
      <w:r>
        <w:rPr>
          <w:rStyle w:val="OperatorTok"/>
        </w:rPr>
        <w:t xml:space="preserve">;</w:t>
      </w:r>
      <w:r>
        <w:rPr>
          <w:rStyle w:val="NormalTok"/>
        </w:rPr>
        <w:t xml:space="preserve"> </w:t>
      </w:r>
      <w:r>
        <w:rPr>
          <w:rStyle w:val="CommentTok"/>
        </w:rPr>
        <w:t xml:space="preserve">// big-endian</w:t>
      </w:r>
      <w:r>
        <w:br/>
      </w:r>
      <w:r>
        <w:rPr>
          <w:rStyle w:val="NormalTok"/>
        </w:rPr>
        <w:t xml:space="preserve">Response</w:t>
      </w:r>
      <w:r>
        <w:rPr>
          <w:rStyle w:val="OperatorTok"/>
        </w:rPr>
        <w:t xml:space="preserve">.</w:t>
      </w:r>
      <w:r>
        <w:rPr>
          <w:rStyle w:val="FunctionTok"/>
        </w:rPr>
        <w:t xml:space="preserve">Write</w:t>
      </w:r>
      <w:r>
        <w:rPr>
          <w:rStyle w:val="NormalTok"/>
        </w:rPr>
        <w:t xml:space="preserve">(dv</w:t>
      </w:r>
      <w:r>
        <w:rPr>
          <w:rStyle w:val="OperatorTok"/>
        </w:rPr>
        <w:t xml:space="preserve">.</w:t>
      </w:r>
      <w:r>
        <w:rPr>
          <w:rStyle w:val="FunctionTok"/>
        </w:rPr>
        <w:t xml:space="preserve">getInt32</w:t>
      </w:r>
      <w:r>
        <w:rPr>
          <w:rStyle w:val="NormalTok"/>
        </w:rPr>
        <w:t xml:space="preserve">(</w:t>
      </w:r>
      <w:r>
        <w:rPr>
          <w:rStyle w:val="DecValTok"/>
        </w:rPr>
        <w:t xml:space="preserve">0</w:t>
      </w:r>
      <w:r>
        <w:rPr>
          <w:rStyle w:val="OperatorTok"/>
        </w:rPr>
        <w:t xml:space="preserve">,</w:t>
      </w:r>
      <w:r>
        <w:rPr>
          <w:rStyle w:val="NormalTok"/>
        </w:rPr>
        <w:t xml:space="preserve"> </w:t>
      </w:r>
      <w:r>
        <w:rPr>
          <w:rStyle w:val="KeywordTok"/>
        </w:rPr>
        <w:t xml:space="preserve">false</w:t>
      </w:r>
      <w:r>
        <w:rPr>
          <w:rStyle w:val="NormalTok"/>
        </w:rPr>
        <w:t xml:space="preserve">))</w:t>
      </w:r>
      <w:r>
        <w:rPr>
          <w:rStyle w:val="OperatorTok"/>
        </w:rPr>
        <w:t xml:space="preserve">;</w:t>
      </w:r>
      <w:r>
        <w:br/>
      </w:r>
      <w:r>
        <w:rPr>
          <w:rStyle w:val="CommentTok"/>
        </w:rPr>
        <w:t xml:space="preserve">// Output: -559038737</w:t>
      </w:r>
      <w:r>
        <w:br/>
      </w:r>
      <w:r>
        <w:br/>
      </w:r>
      <w:r>
        <w:rPr>
          <w:rStyle w:val="CommentTok"/>
        </w:rPr>
        <w:t xml:space="preserve">// --- ArrayBuffer.slice ---</w:t>
      </w:r>
      <w:r>
        <w:br/>
      </w:r>
      <w:r>
        <w:rPr>
          <w:rStyle w:val="KeywordTok"/>
        </w:rPr>
        <w:t xml:space="preserve">var</w:t>
      </w:r>
      <w:r>
        <w:rPr>
          <w:rStyle w:val="NormalTok"/>
        </w:rPr>
        <w:t xml:space="preserve"> sliced </w:t>
      </w:r>
      <w:r>
        <w:rPr>
          <w:rStyle w:val="OperatorTok"/>
        </w:rPr>
        <w:t xml:space="preserve">=</w:t>
      </w:r>
      <w:r>
        <w:rPr>
          <w:rStyle w:val="NormalTok"/>
        </w:rPr>
        <w:t xml:space="preserve"> buffer</w:t>
      </w:r>
      <w:r>
        <w:rPr>
          <w:rStyle w:val="OperatorTok"/>
        </w:rPr>
        <w:t xml:space="preserve">.</w:t>
      </w:r>
      <w:r>
        <w:rPr>
          <w:rStyle w:val="FunctionTok"/>
        </w:rPr>
        <w:t xml:space="preserve">slice</w:t>
      </w:r>
      <w:r>
        <w:rPr>
          <w:rStyle w:val="NormalTok"/>
        </w:rPr>
        <w:t xml:space="preserve">(</w:t>
      </w:r>
      <w:r>
        <w:rPr>
          <w:rStyle w:val="DecValTok"/>
        </w:rPr>
        <w:t xml:space="preserve">1</w:t>
      </w:r>
      <w:r>
        <w:rPr>
          <w:rStyle w:val="OperatorTok"/>
        </w:rPr>
        <w:t xml:space="preserve">,</w:t>
      </w:r>
      <w:r>
        <w:rPr>
          <w:rStyle w:val="NormalTok"/>
        </w:rPr>
        <w:t xml:space="preserve"> </w:t>
      </w:r>
      <w:r>
        <w:rPr>
          <w:rStyle w:val="DecValTok"/>
        </w:rPr>
        <w:t xml:space="preserve">3</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(sliced</w:t>
      </w:r>
      <w:r>
        <w:rPr>
          <w:rStyle w:val="OperatorTok"/>
        </w:rPr>
        <w:t xml:space="preserve">.</w:t>
      </w:r>
      <w:r>
        <w:rPr>
          <w:rStyle w:val="AttributeTok"/>
        </w:rPr>
        <w:t xml:space="preserve">byteLength</w:t>
      </w:r>
      <w:r>
        <w:rPr>
          <w:rStyle w:val="NormalTok"/>
        </w:rPr>
        <w:t xml:space="preserve">)</w:t>
      </w:r>
      <w:r>
        <w:rPr>
          <w:rStyle w:val="OperatorTok"/>
        </w:rPr>
        <w:t xml:space="preserve">;</w:t>
      </w:r>
      <w:r>
        <w:br/>
      </w:r>
      <w:r>
        <w:rPr>
          <w:rStyle w:val="CommentTok"/>
        </w:rPr>
        <w:t xml:space="preserve">// Output: 2</w:t>
      </w:r>
      <w:r>
        <w:br/>
      </w:r>
      <w:r>
        <w:br/>
      </w:r>
      <w:r>
        <w:rPr>
          <w:rStyle w:val="CommentTok"/>
        </w:rPr>
        <w:t xml:space="preserve">// --- for...of on typed array ---</w:t>
      </w:r>
      <w:r>
        <w:br/>
      </w:r>
      <w:r>
        <w:rPr>
          <w:rStyle w:val="KeywordTok"/>
        </w:rPr>
        <w:t xml:space="preserve">var</w:t>
      </w:r>
      <w:r>
        <w:rPr>
          <w:rStyle w:val="NormalTok"/>
        </w:rPr>
        <w:t xml:space="preserve"> a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Uint8Array</w:t>
      </w:r>
      <w:r>
        <w:rPr>
          <w:rStyle w:val="NormalTok"/>
        </w:rPr>
        <w:t xml:space="preserve">([</w:t>
      </w:r>
      <w:r>
        <w:rPr>
          <w:rStyle w:val="DecValTok"/>
        </w:rPr>
        <w:t xml:space="preserve">10</w:t>
      </w:r>
      <w:r>
        <w:rPr>
          <w:rStyle w:val="OperatorTok"/>
        </w:rPr>
        <w:t xml:space="preserve">,</w:t>
      </w:r>
      <w:r>
        <w:rPr>
          <w:rStyle w:val="NormalTok"/>
        </w:rPr>
        <w:t xml:space="preserve"> </w:t>
      </w:r>
      <w:r>
        <w:rPr>
          <w:rStyle w:val="DecValTok"/>
        </w:rPr>
        <w:t xml:space="preserve">20</w:t>
      </w:r>
      <w:r>
        <w:rPr>
          <w:rStyle w:val="OperatorTok"/>
        </w:rPr>
        <w:t xml:space="preserve">,</w:t>
      </w:r>
      <w:r>
        <w:rPr>
          <w:rStyle w:val="NormalTok"/>
        </w:rPr>
        <w:t xml:space="preserve"> </w:t>
      </w:r>
      <w:r>
        <w:rPr>
          <w:rStyle w:val="DecValTok"/>
        </w:rPr>
        <w:t xml:space="preserve">30</w:t>
      </w:r>
      <w:r>
        <w:rPr>
          <w:rStyle w:val="NormalTok"/>
        </w:rPr>
        <w:t xml:space="preserve">])</w:t>
      </w:r>
      <w:r>
        <w:rPr>
          <w:rStyle w:val="OperatorTok"/>
        </w:rPr>
        <w:t xml:space="preserve">;</w:t>
      </w:r>
      <w:r>
        <w:br/>
      </w:r>
      <w:r>
        <w:rPr>
          <w:rStyle w:val="KeywordTok"/>
        </w:rPr>
        <w:t xml:space="preserve">var</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ControlFlowTok"/>
        </w:rPr>
        <w:t xml:space="preserve">for</w:t>
      </w:r>
      <w:r>
        <w:rPr>
          <w:rStyle w:val="NormalTok"/>
        </w:rPr>
        <w:t xml:space="preserve"> (</w:t>
      </w:r>
      <w:r>
        <w:rPr>
          <w:rStyle w:val="KeywordTok"/>
        </w:rPr>
        <w:t xml:space="preserve">var</w:t>
      </w:r>
      <w:r>
        <w:rPr>
          <w:rStyle w:val="NormalTok"/>
        </w:rPr>
        <w:t xml:space="preserve"> v </w:t>
      </w:r>
      <w:r>
        <w:rPr>
          <w:rStyle w:val="KeywordTok"/>
        </w:rPr>
        <w:t xml:space="preserve">of</w:t>
      </w:r>
      <w:r>
        <w:rPr>
          <w:rStyle w:val="NormalTok"/>
        </w:rPr>
        <w:t xml:space="preserve"> a) { sum </w:t>
      </w:r>
      <w:r>
        <w:rPr>
          <w:rStyle w:val="OperatorTok"/>
        </w:rPr>
        <w:t xml:space="preserve">+=</w:t>
      </w:r>
      <w:r>
        <w:rPr>
          <w:rStyle w:val="NormalTok"/>
        </w:rPr>
        <w:t xml:space="preserve"> v</w:t>
      </w:r>
      <w:r>
        <w:rPr>
          <w:rStyle w:val="OperatorTok"/>
        </w:rPr>
        <w:t xml:space="preserve">;</w:t>
      </w:r>
      <w:r>
        <w:rPr>
          <w:rStyle w:val="NormalTok"/>
        </w:rPr>
        <w:t xml:space="preserve"> }</w:t>
      </w:r>
      <w:r>
        <w:br/>
      </w:r>
      <w:r>
        <w:rPr>
          <w:rStyle w:val="NormalTok"/>
        </w:rPr>
        <w:t xml:space="preserve">Response</w:t>
      </w:r>
      <w:r>
        <w:rPr>
          <w:rStyle w:val="OperatorTok"/>
        </w:rPr>
        <w:t xml:space="preserve">.</w:t>
      </w:r>
      <w:r>
        <w:rPr>
          <w:rStyle w:val="FunctionTok"/>
        </w:rPr>
        <w:t xml:space="preserve">Write</w:t>
      </w:r>
      <w:r>
        <w:rPr>
          <w:rStyle w:val="NormalTok"/>
        </w:rPr>
        <w:t xml:space="preserve">(sum)</w:t>
      </w:r>
      <w:r>
        <w:rPr>
          <w:rStyle w:val="OperatorTok"/>
        </w:rPr>
        <w:t xml:space="preserve">;</w:t>
      </w:r>
      <w:r>
        <w:br/>
      </w:r>
      <w:r>
        <w:rPr>
          <w:rStyle w:val="CommentTok"/>
        </w:rPr>
        <w:t xml:space="preserve">// Output: 60</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92"/>
    <w:bookmarkEnd w:id="993"/>
    <w:bookmarkStart w:id="997" w:name="set-and-map-collections"/>
    <w:p>
      <w:pPr>
        <w:pStyle w:val="Heading2"/>
      </w:pPr>
      <w:r>
        <w:t xml:space="preserve">Set and Map Collections</w:t>
      </w:r>
    </w:p>
    <w:bookmarkStart w:id="994" w:name="set"/>
    <w:p>
      <w:pPr>
        <w:pStyle w:val="Heading3"/>
      </w:pPr>
      <w:r>
        <w:rPr>
          <w:rStyle w:val="VerbatimChar"/>
        </w:rPr>
        <w:t xml:space="preserve">Set</w:t>
      </w:r>
    </w:p>
    <w:p>
      <w:pPr>
        <w:pStyle w:val="FirstParagraph"/>
      </w:pPr>
      <w:r>
        <w:t xml:space="preserve">A</w:t>
      </w:r>
      <w:r>
        <w:t xml:space="preserve"> </w:t>
      </w:r>
      <w:r>
        <w:rPr>
          <w:rStyle w:val="VerbatimChar"/>
        </w:rPr>
        <w:t xml:space="preserve">Set</w:t>
      </w:r>
      <w:r>
        <w:t xml:space="preserve"> </w:t>
      </w:r>
      <w:r>
        <w:t xml:space="preserve">stores unique values. Duplicate values are silently ignored on insertion.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Description</w:t>
            </w:r>
          </w:p>
        </w:tc>
      </w:tr>
      <w:tr>
        <w:tc>
          <w:tcPr/>
          <w:p>
            <w:pPr>
              <w:pStyle w:val="Compact"/>
            </w:pPr>
            <w:r>
              <w:rPr>
                <w:rStyle w:val="VerbatimChar"/>
              </w:rPr>
              <w:t xml:space="preserve">set.add(value)</w:t>
            </w:r>
          </w:p>
        </w:tc>
        <w:tc>
          <w:tcPr/>
          <w:p>
            <w:pPr>
              <w:pStyle w:val="Compact"/>
            </w:pPr>
            <w:r>
              <w:t xml:space="preserve">Inserts</w:t>
            </w:r>
            <w:r>
              <w:t xml:space="preserve"> </w:t>
            </w:r>
            <w:r>
              <w:rPr>
                <w:rStyle w:val="VerbatimChar"/>
              </w:rPr>
              <w:t xml:space="preserve">value</w:t>
            </w:r>
            <w:r>
              <w:t xml:space="preserve"> </w:t>
            </w:r>
            <w:r>
              <w:t xml:space="preserve">and returns the</w:t>
            </w:r>
            <w:r>
              <w:t xml:space="preserve"> </w:t>
            </w:r>
            <w:r>
              <w:rPr>
                <w:rStyle w:val="VerbatimChar"/>
              </w:rPr>
              <w:t xml:space="preserve">Set</w:t>
            </w:r>
            <w:r>
              <w:t xml:space="preserve">.</w:t>
            </w:r>
          </w:p>
        </w:tc>
      </w:tr>
      <w:tr>
        <w:tc>
          <w:tcPr/>
          <w:p>
            <w:pPr>
              <w:pStyle w:val="Compact"/>
            </w:pPr>
            <w:r>
              <w:rPr>
                <w:rStyle w:val="VerbatimChar"/>
              </w:rPr>
              <w:t xml:space="preserve">set.has(value)</w:t>
            </w:r>
          </w:p>
        </w:tc>
        <w:tc>
          <w:tcPr/>
          <w:p>
            <w:pPr>
              <w:pStyle w:val="Compact"/>
            </w:pPr>
            <w:r>
              <w:t xml:space="preserve">Returns</w:t>
            </w:r>
            <w:r>
              <w:t xml:space="preserve"> </w:t>
            </w:r>
            <w:r>
              <w:rPr>
                <w:rStyle w:val="VerbatimChar"/>
              </w:rPr>
              <w:t xml:space="preserve">true</w:t>
            </w:r>
            <w:r>
              <w:t xml:space="preserve"> </w:t>
            </w:r>
            <w:r>
              <w:t xml:space="preserve">if</w:t>
            </w:r>
            <w:r>
              <w:t xml:space="preserve"> </w:t>
            </w:r>
            <w:r>
              <w:rPr>
                <w:rStyle w:val="VerbatimChar"/>
              </w:rPr>
              <w:t xml:space="preserve">value</w:t>
            </w:r>
            <w:r>
              <w:t xml:space="preserve"> </w:t>
            </w:r>
            <w:r>
              <w:t xml:space="preserve">is present.</w:t>
            </w:r>
          </w:p>
        </w:tc>
      </w:tr>
      <w:tr>
        <w:tc>
          <w:tcPr/>
          <w:p>
            <w:pPr>
              <w:pStyle w:val="Compact"/>
            </w:pPr>
            <w:r>
              <w:rPr>
                <w:rStyle w:val="VerbatimChar"/>
              </w:rPr>
              <w:t xml:space="preserve">set.delete(value)</w:t>
            </w:r>
          </w:p>
        </w:tc>
        <w:tc>
          <w:tcPr/>
          <w:p>
            <w:pPr>
              <w:pStyle w:val="Compact"/>
            </w:pPr>
            <w:r>
              <w:t xml:space="preserve">Removes</w:t>
            </w:r>
            <w:r>
              <w:t xml:space="preserve"> </w:t>
            </w:r>
            <w:r>
              <w:rPr>
                <w:rStyle w:val="VerbatimChar"/>
              </w:rPr>
              <w:t xml:space="preserve">value</w:t>
            </w:r>
            <w:r>
              <w:t xml:space="preserve">. Returns</w:t>
            </w:r>
            <w:r>
              <w:t xml:space="preserve"> </w:t>
            </w:r>
            <w:r>
              <w:rPr>
                <w:rStyle w:val="VerbatimChar"/>
              </w:rPr>
              <w:t xml:space="preserve">true</w:t>
            </w:r>
            <w:r>
              <w:t xml:space="preserve"> </w:t>
            </w:r>
            <w:r>
              <w:t xml:space="preserve">if the value existed.</w:t>
            </w:r>
          </w:p>
        </w:tc>
      </w:tr>
      <w:tr>
        <w:tc>
          <w:tcPr/>
          <w:p>
            <w:pPr>
              <w:pStyle w:val="Compact"/>
            </w:pPr>
            <w:r>
              <w:rPr>
                <w:rStyle w:val="VerbatimChar"/>
              </w:rPr>
              <w:t xml:space="preserve">set.clear()</w:t>
            </w:r>
          </w:p>
        </w:tc>
        <w:tc>
          <w:tcPr/>
          <w:p>
            <w:pPr>
              <w:pStyle w:val="Compact"/>
            </w:pPr>
            <w:r>
              <w:t xml:space="preserve">Removes all elements.</w:t>
            </w:r>
          </w:p>
        </w:tc>
      </w:tr>
      <w:tr>
        <w:tc>
          <w:tcPr/>
          <w:p>
            <w:pPr>
              <w:pStyle w:val="Compact"/>
            </w:pPr>
            <w:r>
              <w:rPr>
                <w:rStyle w:val="VerbatimChar"/>
              </w:rPr>
              <w:t xml:space="preserve">set.size</w:t>
            </w:r>
          </w:p>
        </w:tc>
        <w:tc>
          <w:tcPr/>
          <w:p>
            <w:pPr>
              <w:pStyle w:val="Compact"/>
            </w:pPr>
            <w:r>
              <w:t xml:space="preserve">Returns the number of unique elements.</w:t>
            </w:r>
          </w:p>
        </w:tc>
      </w:tr>
    </w:tbl>
    <w:bookmarkEnd w:id="994"/>
    <w:bookmarkStart w:id="995" w:name="map"/>
    <w:p>
      <w:pPr>
        <w:pStyle w:val="Heading3"/>
      </w:pPr>
      <w:r>
        <w:rPr>
          <w:rStyle w:val="VerbatimChar"/>
        </w:rPr>
        <w:t xml:space="preserve">Map</w:t>
      </w:r>
    </w:p>
    <w:p>
      <w:pPr>
        <w:pStyle w:val="FirstParagraph"/>
      </w:pPr>
      <w:r>
        <w:t xml:space="preserve">A</w:t>
      </w:r>
      <w:r>
        <w:t xml:space="preserve"> </w:t>
      </w:r>
      <w:r>
        <w:rPr>
          <w:rStyle w:val="VerbatimChar"/>
        </w:rPr>
        <w:t xml:space="preserve">Map</w:t>
      </w:r>
      <w:r>
        <w:t xml:space="preserve"> </w:t>
      </w:r>
      <w:r>
        <w:t xml:space="preserve">stores key/value pairs and preserves insertion order.</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Description</w:t>
            </w:r>
          </w:p>
        </w:tc>
      </w:tr>
      <w:tr>
        <w:tc>
          <w:tcPr/>
          <w:p>
            <w:pPr>
              <w:pStyle w:val="Compact"/>
            </w:pPr>
            <w:r>
              <w:rPr>
                <w:rStyle w:val="VerbatimChar"/>
              </w:rPr>
              <w:t xml:space="preserve">map.set(key, value)</w:t>
            </w:r>
          </w:p>
        </w:tc>
        <w:tc>
          <w:tcPr/>
          <w:p>
            <w:pPr>
              <w:pStyle w:val="Compact"/>
            </w:pPr>
            <w:r>
              <w:t xml:space="preserve">Sets the entry for</w:t>
            </w:r>
            <w:r>
              <w:t xml:space="preserve"> </w:t>
            </w:r>
            <w:r>
              <w:rPr>
                <w:rStyle w:val="VerbatimChar"/>
              </w:rPr>
              <w:t xml:space="preserve">key</w:t>
            </w:r>
            <w:r>
              <w:t xml:space="preserve"> </w:t>
            </w:r>
            <w:r>
              <w:t xml:space="preserve">and returns the</w:t>
            </w:r>
            <w:r>
              <w:t xml:space="preserve"> </w:t>
            </w:r>
            <w:r>
              <w:rPr>
                <w:rStyle w:val="VerbatimChar"/>
              </w:rPr>
              <w:t xml:space="preserve">Map</w:t>
            </w:r>
            <w:r>
              <w:t xml:space="preserve">.</w:t>
            </w:r>
          </w:p>
        </w:tc>
      </w:tr>
      <w:tr>
        <w:tc>
          <w:tcPr/>
          <w:p>
            <w:pPr>
              <w:pStyle w:val="Compact"/>
            </w:pPr>
            <w:r>
              <w:rPr>
                <w:rStyle w:val="VerbatimChar"/>
              </w:rPr>
              <w:t xml:space="preserve">map.get(key)</w:t>
            </w:r>
          </w:p>
        </w:tc>
        <w:tc>
          <w:tcPr/>
          <w:p>
            <w:pPr>
              <w:pStyle w:val="Compact"/>
            </w:pPr>
            <w:r>
              <w:t xml:space="preserve">Returns the value associated with</w:t>
            </w:r>
            <w:r>
              <w:t xml:space="preserve"> </w:t>
            </w:r>
            <w:r>
              <w:rPr>
                <w:rStyle w:val="VerbatimChar"/>
              </w:rPr>
              <w:t xml:space="preserve">key</w:t>
            </w:r>
            <w:r>
              <w:t xml:space="preserve">, or</w:t>
            </w:r>
            <w:r>
              <w:t xml:space="preserve"> </w:t>
            </w:r>
            <w:r>
              <w:rPr>
                <w:rStyle w:val="VerbatimChar"/>
              </w:rPr>
              <w:t xml:space="preserve">undefined</w:t>
            </w:r>
            <w:r>
              <w:t xml:space="preserve">.</w:t>
            </w:r>
          </w:p>
        </w:tc>
      </w:tr>
      <w:tr>
        <w:tc>
          <w:tcPr/>
          <w:p>
            <w:pPr>
              <w:pStyle w:val="Compact"/>
            </w:pPr>
            <w:r>
              <w:rPr>
                <w:rStyle w:val="VerbatimChar"/>
              </w:rPr>
              <w:t xml:space="preserve">map.has(key)</w:t>
            </w:r>
          </w:p>
        </w:tc>
        <w:tc>
          <w:tcPr/>
          <w:p>
            <w:pPr>
              <w:pStyle w:val="Compact"/>
            </w:pPr>
            <w:r>
              <w:t xml:space="preserve">Returns</w:t>
            </w:r>
            <w:r>
              <w:t xml:space="preserve"> </w:t>
            </w:r>
            <w:r>
              <w:rPr>
                <w:rStyle w:val="VerbatimChar"/>
              </w:rPr>
              <w:t xml:space="preserve">true</w:t>
            </w:r>
            <w:r>
              <w:t xml:space="preserve"> </w:t>
            </w:r>
            <w:r>
              <w:t xml:space="preserve">if an entry for</w:t>
            </w:r>
            <w:r>
              <w:t xml:space="preserve"> </w:t>
            </w:r>
            <w:r>
              <w:rPr>
                <w:rStyle w:val="VerbatimChar"/>
              </w:rPr>
              <w:t xml:space="preserve">key</w:t>
            </w:r>
            <w:r>
              <w:t xml:space="preserve"> </w:t>
            </w:r>
            <w:r>
              <w:t xml:space="preserve">exists.</w:t>
            </w:r>
          </w:p>
        </w:tc>
      </w:tr>
      <w:tr>
        <w:tc>
          <w:tcPr/>
          <w:p>
            <w:pPr>
              <w:pStyle w:val="Compact"/>
            </w:pPr>
            <w:r>
              <w:rPr>
                <w:rStyle w:val="VerbatimChar"/>
              </w:rPr>
              <w:t xml:space="preserve">map.delete(key)</w:t>
            </w:r>
          </w:p>
        </w:tc>
        <w:tc>
          <w:tcPr/>
          <w:p>
            <w:pPr>
              <w:pStyle w:val="Compact"/>
            </w:pPr>
            <w:r>
              <w:t xml:space="preserve">Removes the entry for</w:t>
            </w:r>
            <w:r>
              <w:t xml:space="preserve"> </w:t>
            </w:r>
            <w:r>
              <w:rPr>
                <w:rStyle w:val="VerbatimChar"/>
              </w:rPr>
              <w:t xml:space="preserve">key</w:t>
            </w:r>
            <w:r>
              <w:t xml:space="preserve">. Returns</w:t>
            </w:r>
            <w:r>
              <w:t xml:space="preserve"> </w:t>
            </w:r>
            <w:r>
              <w:rPr>
                <w:rStyle w:val="VerbatimChar"/>
              </w:rPr>
              <w:t xml:space="preserve">true</w:t>
            </w:r>
            <w:r>
              <w:t xml:space="preserve"> </w:t>
            </w:r>
            <w:r>
              <w:t xml:space="preserve">if it existed.</w:t>
            </w:r>
          </w:p>
        </w:tc>
      </w:tr>
      <w:tr>
        <w:tc>
          <w:tcPr/>
          <w:p>
            <w:pPr>
              <w:pStyle w:val="Compact"/>
            </w:pPr>
            <w:r>
              <w:rPr>
                <w:rStyle w:val="VerbatimChar"/>
              </w:rPr>
              <w:t xml:space="preserve">map.clear()</w:t>
            </w:r>
          </w:p>
        </w:tc>
        <w:tc>
          <w:tcPr/>
          <w:p>
            <w:pPr>
              <w:pStyle w:val="Compact"/>
            </w:pPr>
            <w:r>
              <w:t xml:space="preserve">Removes all entries.</w:t>
            </w:r>
          </w:p>
        </w:tc>
      </w:tr>
      <w:tr>
        <w:tc>
          <w:tcPr/>
          <w:p>
            <w:pPr>
              <w:pStyle w:val="Compact"/>
            </w:pPr>
            <w:r>
              <w:rPr>
                <w:rStyle w:val="VerbatimChar"/>
              </w:rPr>
              <w:t xml:space="preserve">map.size</w:t>
            </w:r>
          </w:p>
        </w:tc>
        <w:tc>
          <w:tcPr/>
          <w:p>
            <w:pPr>
              <w:pStyle w:val="Compact"/>
            </w:pPr>
            <w:r>
              <w:t xml:space="preserve">Returns the number of entries.</w:t>
            </w:r>
          </w:p>
        </w:tc>
      </w:tr>
    </w:tbl>
    <w:bookmarkEnd w:id="995"/>
    <w:bookmarkStart w:id="996" w:name="code-example-54"/>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Set</w:t>
      </w:r>
      <w:r>
        <w:rPr>
          <w:rStyle w:val="NormalTok"/>
        </w:rPr>
        <w:t xml:space="preserve">()</w:t>
      </w:r>
      <w:r>
        <w:rPr>
          <w:rStyle w:val="OperatorTok"/>
        </w:rPr>
        <w:t xml:space="preserve">;</w:t>
      </w:r>
      <w:r>
        <w:br/>
      </w:r>
      <w:r>
        <w:rPr>
          <w:rStyle w:val="NormalTok"/>
        </w:rPr>
        <w:t xml:space="preserve">s</w:t>
      </w:r>
      <w:r>
        <w:rPr>
          <w:rStyle w:val="OperatorTok"/>
        </w:rPr>
        <w:t xml:space="preserve">.</w:t>
      </w:r>
      <w:r>
        <w:rPr>
          <w:rStyle w:val="FunctionTok"/>
        </w:rPr>
        <w:t xml:space="preserve">add</w:t>
      </w:r>
      <w:r>
        <w:rPr>
          <w:rStyle w:val="NormalTok"/>
        </w:rPr>
        <w:t xml:space="preserve">(</w:t>
      </w:r>
      <w:r>
        <w:rPr>
          <w:rStyle w:val="StringTok"/>
        </w:rPr>
        <w:t xml:space="preserve">"a"</w:t>
      </w:r>
      <w:r>
        <w:rPr>
          <w:rStyle w:val="NormalTok"/>
        </w:rPr>
        <w:t xml:space="preserve">)</w:t>
      </w:r>
      <w:r>
        <w:rPr>
          <w:rStyle w:val="OperatorTok"/>
        </w:rPr>
        <w:t xml:space="preserve">;</w:t>
      </w:r>
      <w:r>
        <w:br/>
      </w:r>
      <w:r>
        <w:rPr>
          <w:rStyle w:val="NormalTok"/>
        </w:rPr>
        <w:t xml:space="preserve">s</w:t>
      </w:r>
      <w:r>
        <w:rPr>
          <w:rStyle w:val="OperatorTok"/>
        </w:rPr>
        <w:t xml:space="preserve">.</w:t>
      </w:r>
      <w:r>
        <w:rPr>
          <w:rStyle w:val="FunctionTok"/>
        </w:rPr>
        <w:t xml:space="preserve">add</w:t>
      </w:r>
      <w:r>
        <w:rPr>
          <w:rStyle w:val="NormalTok"/>
        </w:rPr>
        <w:t xml:space="preserve">(</w:t>
      </w:r>
      <w:r>
        <w:rPr>
          <w:rStyle w:val="StringTok"/>
        </w:rPr>
        <w:t xml:space="preserve">"b"</w:t>
      </w:r>
      <w:r>
        <w:rPr>
          <w:rStyle w:val="NormalTok"/>
        </w:rPr>
        <w:t xml:space="preserve">)</w:t>
      </w:r>
      <w:r>
        <w:rPr>
          <w:rStyle w:val="OperatorTok"/>
        </w:rPr>
        <w:t xml:space="preserve">;</w:t>
      </w:r>
      <w:r>
        <w:br/>
      </w:r>
      <w:r>
        <w:rPr>
          <w:rStyle w:val="NormalTok"/>
        </w:rPr>
        <w:t xml:space="preserve">s</w:t>
      </w:r>
      <w:r>
        <w:rPr>
          <w:rStyle w:val="OperatorTok"/>
        </w:rPr>
        <w:t xml:space="preserve">.</w:t>
      </w:r>
      <w:r>
        <w:rPr>
          <w:rStyle w:val="FunctionTok"/>
        </w:rPr>
        <w:t xml:space="preserve">add</w:t>
      </w:r>
      <w:r>
        <w:rPr>
          <w:rStyle w:val="NormalTok"/>
        </w:rPr>
        <w:t xml:space="preserve">(</w:t>
      </w:r>
      <w:r>
        <w:rPr>
          <w:rStyle w:val="StringTok"/>
        </w:rPr>
        <w:t xml:space="preserve">"a"</w:t>
      </w:r>
      <w:r>
        <w:rPr>
          <w:rStyle w:val="NormalTok"/>
        </w:rPr>
        <w:t xml:space="preserve">)</w:t>
      </w:r>
      <w:r>
        <w:rPr>
          <w:rStyle w:val="OperatorTok"/>
        </w:rPr>
        <w:t xml:space="preserve">;</w:t>
      </w:r>
      <w:r>
        <w:rPr>
          <w:rStyle w:val="NormalTok"/>
        </w:rPr>
        <w:t xml:space="preserve"> </w:t>
      </w:r>
      <w:r>
        <w:rPr>
          <w:rStyle w:val="CommentTok"/>
        </w:rPr>
        <w:t xml:space="preserve">// duplicate, ignored</w:t>
      </w:r>
      <w:r>
        <w:br/>
      </w:r>
      <w:r>
        <w:rPr>
          <w:rStyle w:val="NormalTok"/>
        </w:rPr>
        <w:t xml:space="preserve">Response</w:t>
      </w:r>
      <w:r>
        <w:rPr>
          <w:rStyle w:val="OperatorTok"/>
        </w:rPr>
        <w:t xml:space="preserve">.</w:t>
      </w:r>
      <w:r>
        <w:rPr>
          <w:rStyle w:val="FunctionTok"/>
        </w:rPr>
        <w:t xml:space="preserve">Write</w:t>
      </w:r>
      <w:r>
        <w:rPr>
          <w:rStyle w:val="NormalTok"/>
        </w:rPr>
        <w:t xml:space="preserve">(s</w:t>
      </w:r>
      <w:r>
        <w:rPr>
          <w:rStyle w:val="OperatorTok"/>
        </w:rPr>
        <w:t xml:space="preserve">.</w:t>
      </w:r>
      <w:r>
        <w:rPr>
          <w:rStyle w:val="FunctionTok"/>
        </w:rPr>
        <w:t xml:space="preserve">has</w:t>
      </w:r>
      <w:r>
        <w:rPr>
          <w:rStyle w:val="NormalTok"/>
        </w:rPr>
        <w:t xml:space="preserve">(</w:t>
      </w:r>
      <w:r>
        <w:rPr>
          <w:rStyle w:val="StringTok"/>
        </w:rPr>
        <w:t xml:space="preserve">"a"</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s</w:t>
      </w:r>
      <w:r>
        <w:rPr>
          <w:rStyle w:val="OperatorTok"/>
        </w:rPr>
        <w:t xml:space="preserve">.</w:t>
      </w:r>
      <w:r>
        <w:rPr>
          <w:rStyle w:val="AttributeTok"/>
        </w:rPr>
        <w:t xml:space="preserve">size</w:t>
      </w:r>
      <w:r>
        <w:rPr>
          <w:rStyle w:val="NormalTok"/>
        </w:rPr>
        <w:t xml:space="preserve">)</w:t>
      </w:r>
      <w:r>
        <w:rPr>
          <w:rStyle w:val="OperatorTok"/>
        </w:rPr>
        <w:t xml:space="preserve">;</w:t>
      </w:r>
      <w:r>
        <w:br/>
      </w:r>
      <w:r>
        <w:rPr>
          <w:rStyle w:val="CommentTok"/>
        </w:rPr>
        <w:t xml:space="preserve">// Output: true|2</w:t>
      </w:r>
      <w:r>
        <w:br/>
      </w:r>
      <w:r>
        <w:br/>
      </w:r>
      <w:r>
        <w:rPr>
          <w:rStyle w:val="KeywordTok"/>
        </w:rPr>
        <w:t xml:space="preserve">var</w:t>
      </w:r>
      <w:r>
        <w:rPr>
          <w:rStyle w:val="NormalTok"/>
        </w:rPr>
        <w:t xml:space="preserve"> m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Map</w:t>
      </w:r>
      <w:r>
        <w:rPr>
          <w:rStyle w:val="NormalTok"/>
        </w:rPr>
        <w:t xml:space="preserve">()</w:t>
      </w:r>
      <w:r>
        <w:rPr>
          <w:rStyle w:val="OperatorTok"/>
        </w:rPr>
        <w:t xml:space="preserve">;</w:t>
      </w:r>
      <w:r>
        <w:br/>
      </w:r>
      <w:r>
        <w:rPr>
          <w:rStyle w:val="NormalTok"/>
        </w:rPr>
        <w:t xml:space="preserve">m</w:t>
      </w:r>
      <w:r>
        <w:rPr>
          <w:rStyle w:val="OperatorTok"/>
        </w:rPr>
        <w:t xml:space="preserve">.</w:t>
      </w:r>
      <w:r>
        <w:rPr>
          <w:rStyle w:val="FunctionTok"/>
        </w:rPr>
        <w:t xml:space="preserve">set</w:t>
      </w:r>
      <w:r>
        <w:rPr>
          <w:rStyle w:val="NormalTok"/>
        </w:rPr>
        <w:t xml:space="preserve">(</w:t>
      </w:r>
      <w:r>
        <w:rPr>
          <w:rStyle w:val="StringTok"/>
        </w:rPr>
        <w:t xml:space="preserve">"k"</w:t>
      </w:r>
      <w:r>
        <w:rPr>
          <w:rStyle w:val="OperatorTok"/>
        </w:rPr>
        <w:t xml:space="preserve">,</w:t>
      </w:r>
      <w:r>
        <w:rPr>
          <w:rStyle w:val="NormalTok"/>
        </w:rPr>
        <w:t xml:space="preserve"> </w:t>
      </w:r>
      <w:r>
        <w:rPr>
          <w:rStyle w:val="DecValTok"/>
        </w:rPr>
        <w:t xml:space="preserve">10</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(m</w:t>
      </w:r>
      <w:r>
        <w:rPr>
          <w:rStyle w:val="OperatorTok"/>
        </w:rPr>
        <w:t xml:space="preserve">.</w:t>
      </w:r>
      <w:r>
        <w:rPr>
          <w:rStyle w:val="FunctionTok"/>
        </w:rPr>
        <w:t xml:space="preserve">has</w:t>
      </w:r>
      <w:r>
        <w:rPr>
          <w:rStyle w:val="NormalTok"/>
        </w:rPr>
        <w:t xml:space="preserve">(</w:t>
      </w:r>
      <w:r>
        <w:rPr>
          <w:rStyle w:val="StringTok"/>
        </w:rPr>
        <w:t xml:space="preserve">"k"</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m</w:t>
      </w:r>
      <w:r>
        <w:rPr>
          <w:rStyle w:val="OperatorTok"/>
        </w:rPr>
        <w:t xml:space="preserve">.</w:t>
      </w:r>
      <w:r>
        <w:rPr>
          <w:rStyle w:val="FunctionTok"/>
        </w:rPr>
        <w:t xml:space="preserve">get</w:t>
      </w:r>
      <w:r>
        <w:rPr>
          <w:rStyle w:val="NormalTok"/>
        </w:rPr>
        <w:t xml:space="preserve">(</w:t>
      </w:r>
      <w:r>
        <w:rPr>
          <w:rStyle w:val="StringTok"/>
        </w:rPr>
        <w:t xml:space="preserve">"k"</w:t>
      </w:r>
      <w:r>
        <w:rPr>
          <w:rStyle w:val="NormalTok"/>
        </w:rPr>
        <w:t xml:space="preserve">))</w:t>
      </w:r>
      <w:r>
        <w:rPr>
          <w:rStyle w:val="OperatorTok"/>
        </w:rPr>
        <w:t xml:space="preserve">;</w:t>
      </w:r>
      <w:r>
        <w:br/>
      </w:r>
      <w:r>
        <w:rPr>
          <w:rStyle w:val="CommentTok"/>
        </w:rPr>
        <w:t xml:space="preserve">// Output: true|10</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996"/>
    <w:bookmarkEnd w:id="997"/>
    <w:bookmarkStart w:id="1001" w:name="computed-property-names"/>
    <w:p>
      <w:pPr>
        <w:pStyle w:val="Heading2"/>
      </w:pPr>
      <w:r>
        <w:t xml:space="preserve">Computed Property Names</w:t>
      </w:r>
    </w:p>
    <w:bookmarkStart w:id="998" w:name="syntax-54"/>
    <w:p>
      <w:pPr>
        <w:pStyle w:val="Heading3"/>
      </w:pPr>
      <w:r>
        <w:t xml:space="preserve">Syntax</w:t>
      </w:r>
    </w:p>
    <w:p>
      <w:pPr>
        <w:pStyle w:val="SourceCode"/>
      </w:pPr>
      <w:r>
        <w:rPr>
          <w:rStyle w:val="KeywordTok"/>
        </w:rPr>
        <w:t xml:space="preserve">var</w:t>
      </w:r>
      <w:r>
        <w:rPr>
          <w:rStyle w:val="NormalTok"/>
        </w:rPr>
        <w:t xml:space="preserve"> key </w:t>
      </w:r>
      <w:r>
        <w:rPr>
          <w:rStyle w:val="OperatorTok"/>
        </w:rPr>
        <w:t xml:space="preserve">=</w:t>
      </w:r>
      <w:r>
        <w:rPr>
          <w:rStyle w:val="NormalTok"/>
        </w:rPr>
        <w:t xml:space="preserve"> </w:t>
      </w:r>
      <w:r>
        <w:rPr>
          <w:rStyle w:val="StringTok"/>
        </w:rPr>
        <w:t xml:space="preserve">"name"</w:t>
      </w:r>
      <w:r>
        <w:rPr>
          <w:rStyle w:val="OperatorTok"/>
        </w:rPr>
        <w:t xml:space="preserve">;</w:t>
      </w:r>
      <w:r>
        <w:br/>
      </w:r>
      <w:r>
        <w:rPr>
          <w:rStyle w:val="KeywordTok"/>
        </w:rPr>
        <w:t xml:space="preserve">var</w:t>
      </w:r>
      <w:r>
        <w:rPr>
          <w:rStyle w:val="NormalTok"/>
        </w:rPr>
        <w:t xml:space="preserve"> obj </w:t>
      </w:r>
      <w:r>
        <w:rPr>
          <w:rStyle w:val="OperatorTok"/>
        </w:rPr>
        <w:t xml:space="preserve">=</w:t>
      </w:r>
      <w:r>
        <w:rPr>
          <w:rStyle w:val="NormalTok"/>
        </w:rPr>
        <w:t xml:space="preserve"> { [key]</w:t>
      </w:r>
      <w:r>
        <w:rPr>
          <w:rStyle w:val="OperatorTok"/>
        </w:rPr>
        <w:t xml:space="preserve">:</w:t>
      </w:r>
      <w:r>
        <w:rPr>
          <w:rStyle w:val="NormalTok"/>
        </w:rPr>
        <w:t xml:space="preserve"> </w:t>
      </w:r>
      <w:r>
        <w:rPr>
          <w:rStyle w:val="StringTok"/>
        </w:rPr>
        <w:t xml:space="preserve">"Alice"</w:t>
      </w:r>
      <w:r>
        <w:rPr>
          <w:rStyle w:val="NormalTok"/>
        </w:rPr>
        <w:t xml:space="preserve"> }</w:t>
      </w:r>
      <w:r>
        <w:rPr>
          <w:rStyle w:val="OperatorTok"/>
        </w:rPr>
        <w:t xml:space="preserve">;</w:t>
      </w:r>
      <w:r>
        <w:br/>
      </w:r>
      <w:r>
        <w:rPr>
          <w:rStyle w:val="KeywordTok"/>
        </w:rPr>
        <w:t xml:space="preserve">var</w:t>
      </w:r>
      <w:r>
        <w:rPr>
          <w:rStyle w:val="NormalTok"/>
        </w:rPr>
        <w:t xml:space="preserve"> obj2 </w:t>
      </w:r>
      <w:r>
        <w:rPr>
          <w:rStyle w:val="OperatorTok"/>
        </w:rPr>
        <w:t xml:space="preserve">=</w:t>
      </w:r>
      <w:r>
        <w:rPr>
          <w:rStyle w:val="NormalTok"/>
        </w:rPr>
        <w:t xml:space="preserve"> { [prefix </w:t>
      </w:r>
      <w:r>
        <w:rPr>
          <w:rStyle w:val="OperatorTok"/>
        </w:rPr>
        <w:t xml:space="preserve">+</w:t>
      </w:r>
      <w:r>
        <w:rPr>
          <w:rStyle w:val="NormalTok"/>
        </w:rPr>
        <w:t xml:space="preserve"> </w:t>
      </w:r>
      <w:r>
        <w:rPr>
          <w:rStyle w:val="StringTok"/>
        </w:rPr>
        <w:t xml:space="preserve">"_en"</w:t>
      </w:r>
      <w:r>
        <w:rPr>
          <w:rStyle w:val="NormalTok"/>
        </w:rPr>
        <w:t xml:space="preserve">]</w:t>
      </w:r>
      <w:r>
        <w:rPr>
          <w:rStyle w:val="OperatorTok"/>
        </w:rPr>
        <w:t xml:space="preserve">:</w:t>
      </w:r>
      <w:r>
        <w:rPr>
          <w:rStyle w:val="NormalTok"/>
        </w:rPr>
        <w:t xml:space="preserve"> </w:t>
      </w:r>
      <w:r>
        <w:rPr>
          <w:rStyle w:val="StringTok"/>
        </w:rPr>
        <w:t xml:space="preserve">"Hello"</w:t>
      </w:r>
      <w:r>
        <w:rPr>
          <w:rStyle w:val="OperatorTok"/>
        </w:rPr>
        <w:t xml:space="preserve">,</w:t>
      </w:r>
      <w:r>
        <w:rPr>
          <w:rStyle w:val="NormalTok"/>
        </w:rPr>
        <w:t xml:space="preserve"> [</w:t>
      </w:r>
      <w:r>
        <w:rPr>
          <w:rStyle w:val="StringTok"/>
        </w:rPr>
        <w:t xml:space="preserve">"dynamic"</w:t>
      </w:r>
      <w:r>
        <w:rPr>
          <w:rStyle w:val="NormalTok"/>
        </w:rPr>
        <w:t xml:space="preserve">]</w:t>
      </w:r>
      <w:r>
        <w:rPr>
          <w:rStyle w:val="OperatorTok"/>
        </w:rPr>
        <w:t xml:space="preserve">:</w:t>
      </w:r>
      <w:r>
        <w:rPr>
          <w:rStyle w:val="NormalTok"/>
        </w:rPr>
        <w:t xml:space="preserve"> </w:t>
      </w:r>
      <w:r>
        <w:rPr>
          <w:rStyle w:val="DecValTok"/>
        </w:rPr>
        <w:t xml:space="preserve">42</w:t>
      </w:r>
      <w:r>
        <w:rPr>
          <w:rStyle w:val="NormalTok"/>
        </w:rPr>
        <w:t xml:space="preserve"> }</w:t>
      </w:r>
      <w:r>
        <w:rPr>
          <w:rStyle w:val="OperatorTok"/>
        </w:rPr>
        <w:t xml:space="preserve">;</w:t>
      </w:r>
    </w:p>
    <w:p>
      <w:pPr>
        <w:pStyle w:val="FirstParagraph"/>
      </w:pPr>
      <w:r>
        <w:t xml:space="preserve">Use square brackets around a key expression inside an object literal to compute the property name at runtime.</w:t>
      </w:r>
    </w:p>
    <w:bookmarkEnd w:id="998"/>
    <w:bookmarkStart w:id="999" w:name="remarks-61"/>
    <w:p>
      <w:pPr>
        <w:pStyle w:val="Heading3"/>
      </w:pPr>
      <w:r>
        <w:t xml:space="preserve">Remarks</w:t>
      </w:r>
    </w:p>
    <w:p>
      <w:pPr>
        <w:pStyle w:val="Compact"/>
        <w:numPr>
          <w:ilvl w:val="0"/>
          <w:numId w:val="1272"/>
        </w:numPr>
      </w:pPr>
      <w:r>
        <w:t xml:space="preserve">The expression inside</w:t>
      </w:r>
      <w:r>
        <w:t xml:space="preserve"> </w:t>
      </w:r>
      <w:r>
        <w:rPr>
          <w:rStyle w:val="VerbatimChar"/>
        </w:rPr>
        <w:t xml:space="preserve">[...]</w:t>
      </w:r>
      <w:r>
        <w:t xml:space="preserve"> </w:t>
      </w:r>
      <w:r>
        <w:t xml:space="preserve">is evaluated at runtime and coerced to a string to form the property name.</w:t>
      </w:r>
    </w:p>
    <w:p>
      <w:pPr>
        <w:pStyle w:val="Compact"/>
        <w:numPr>
          <w:ilvl w:val="0"/>
          <w:numId w:val="1272"/>
        </w:numPr>
      </w:pPr>
      <w:r>
        <w:t xml:space="preserve">Any valid JScript expression can be used as the key: variables, string concatenations, function calls, and so on.</w:t>
      </w:r>
    </w:p>
    <w:p>
      <w:pPr>
        <w:pStyle w:val="Compact"/>
        <w:numPr>
          <w:ilvl w:val="0"/>
          <w:numId w:val="1272"/>
        </w:numPr>
      </w:pPr>
      <w:r>
        <w:t xml:space="preserve">Computed keys can be mixed freely with static keys and shorthand properties in the same literal.</w:t>
      </w:r>
    </w:p>
    <w:p>
      <w:pPr>
        <w:pStyle w:val="Compact"/>
        <w:numPr>
          <w:ilvl w:val="0"/>
          <w:numId w:val="1272"/>
        </w:numPr>
      </w:pPr>
      <w:r>
        <w:t xml:space="preserve">Numeric computed keys are coerced to strings before assignment (consistent with JScript’s property model).</w:t>
      </w:r>
    </w:p>
    <w:bookmarkEnd w:id="999"/>
    <w:bookmarkStart w:id="1000" w:name="code-example-55"/>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type </w:t>
      </w:r>
      <w:r>
        <w:rPr>
          <w:rStyle w:val="OperatorTok"/>
        </w:rPr>
        <w:t xml:space="preserve">=</w:t>
      </w:r>
      <w:r>
        <w:rPr>
          <w:rStyle w:val="NormalTok"/>
        </w:rPr>
        <w:t xml:space="preserve"> </w:t>
      </w:r>
      <w:r>
        <w:rPr>
          <w:rStyle w:val="StringTok"/>
        </w:rPr>
        <w:t xml:space="preserve">"color"</w:t>
      </w:r>
      <w:r>
        <w:rPr>
          <w:rStyle w:val="OperatorTok"/>
        </w:rPr>
        <w:t xml:space="preserve">;</w:t>
      </w:r>
      <w:r>
        <w:br/>
      </w:r>
      <w:r>
        <w:rPr>
          <w:rStyle w:val="KeywordTok"/>
        </w:rPr>
        <w:t xml:space="preserve">var</w:t>
      </w:r>
      <w:r>
        <w:rPr>
          <w:rStyle w:val="NormalTok"/>
        </w:rPr>
        <w:t xml:space="preserve"> o </w:t>
      </w:r>
      <w:r>
        <w:rPr>
          <w:rStyle w:val="OperatorTok"/>
        </w:rPr>
        <w:t xml:space="preserve">=</w:t>
      </w:r>
      <w:r>
        <w:rPr>
          <w:rStyle w:val="NormalTok"/>
        </w:rPr>
        <w:t xml:space="preserve"> {</w:t>
      </w:r>
      <w:r>
        <w:br/>
      </w:r>
      <w:r>
        <w:rPr>
          <w:rStyle w:val="NormalTok"/>
        </w:rPr>
        <w:t xml:space="preserve">    </w:t>
      </w:r>
      <w:r>
        <w:rPr>
          <w:rStyle w:val="DataTypeTok"/>
        </w:rPr>
        <w:t xml:space="preserve">static</w:t>
      </w:r>
      <w:r>
        <w:rPr>
          <w:rStyle w:val="OperatorTok"/>
        </w:rPr>
        <w:t xml:space="preserve">:</w:t>
      </w:r>
      <w:r>
        <w:rPr>
          <w:rStyle w:val="NormalTok"/>
        </w:rPr>
        <w:t xml:space="preserve"> </w:t>
      </w:r>
      <w:r>
        <w:rPr>
          <w:rStyle w:val="StringTok"/>
        </w:rPr>
        <w:t xml:space="preserve">"fixed"</w:t>
      </w:r>
      <w:r>
        <w:rPr>
          <w:rStyle w:val="OperatorTok"/>
        </w:rPr>
        <w:t xml:space="preserve">,</w:t>
      </w:r>
      <w:r>
        <w:br/>
      </w:r>
      <w:r>
        <w:rPr>
          <w:rStyle w:val="NormalTok"/>
        </w:rPr>
        <w:t xml:space="preserve">    [type]</w:t>
      </w:r>
      <w:r>
        <w:rPr>
          <w:rStyle w:val="OperatorTok"/>
        </w:rPr>
        <w:t xml:space="preserve">:</w:t>
      </w:r>
      <w:r>
        <w:rPr>
          <w:rStyle w:val="NormalTok"/>
        </w:rPr>
        <w:t xml:space="preserve"> </w:t>
      </w:r>
      <w:r>
        <w:rPr>
          <w:rStyle w:val="StringTok"/>
        </w:rPr>
        <w:t xml:space="preserve">"red"</w:t>
      </w:r>
      <w:r>
        <w:rPr>
          <w:rStyle w:val="OperatorTok"/>
        </w:rPr>
        <w:t xml:space="preserve">,</w:t>
      </w:r>
      <w:r>
        <w:br/>
      </w:r>
      <w:r>
        <w:rPr>
          <w:rStyle w:val="NormalTok"/>
        </w:rPr>
        <w:t xml:space="preserve">    [type </w:t>
      </w:r>
      <w:r>
        <w:rPr>
          <w:rStyle w:val="OperatorTok"/>
        </w:rPr>
        <w:t xml:space="preserve">+</w:t>
      </w:r>
      <w:r>
        <w:rPr>
          <w:rStyle w:val="NormalTok"/>
        </w:rPr>
        <w:t xml:space="preserve"> </w:t>
      </w:r>
      <w:r>
        <w:rPr>
          <w:rStyle w:val="StringTok"/>
        </w:rPr>
        <w:t xml:space="preserve">"_code"</w:t>
      </w:r>
      <w:r>
        <w:rPr>
          <w:rStyle w:val="NormalTok"/>
        </w:rPr>
        <w:t xml:space="preserve">]</w:t>
      </w:r>
      <w:r>
        <w:rPr>
          <w:rStyle w:val="OperatorTok"/>
        </w:rPr>
        <w:t xml:space="preserve">:</w:t>
      </w:r>
      <w:r>
        <w:rPr>
          <w:rStyle w:val="NormalTok"/>
        </w:rPr>
        <w:t xml:space="preserve"> </w:t>
      </w:r>
      <w:r>
        <w:rPr>
          <w:rStyle w:val="StringTok"/>
        </w:rPr>
        <w:t xml:space="preserve">"#FF0000"</w:t>
      </w:r>
      <w:r>
        <w:br/>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(o</w:t>
      </w:r>
      <w:r>
        <w:rPr>
          <w:rStyle w:val="OperatorTok"/>
        </w:rPr>
        <w:t xml:space="preserve">.</w:t>
      </w:r>
      <w:r>
        <w:rPr>
          <w:rStyle w:val="AttributeTok"/>
        </w:rPr>
        <w:t xml:space="preserve">static</w:t>
      </w:r>
      <w:r>
        <w:rPr>
          <w:rStyle w:val="NormalTok"/>
        </w:rPr>
        <w:t xml:space="preserve">)</w:t>
      </w:r>
      <w:r>
        <w:rPr>
          <w:rStyle w:val="OperatorTok"/>
        </w:rPr>
        <w:t xml:space="preserve">;</w:t>
      </w:r>
      <w:r>
        <w:rPr>
          <w:rStyle w:val="NormalTok"/>
        </w:rPr>
        <w:t xml:space="preserve">       </w:t>
      </w:r>
      <w:r>
        <w:rPr>
          <w:rStyle w:val="CommentTok"/>
        </w:rPr>
        <w:t xml:space="preserve">// Output: fixed</w:t>
      </w:r>
      <w:r>
        <w:br/>
      </w:r>
      <w:r>
        <w:rPr>
          <w:rStyle w:val="NormalTok"/>
        </w:rPr>
        <w:t xml:space="preserve">Response</w:t>
      </w:r>
      <w:r>
        <w:rPr>
          <w:rStyle w:val="OperatorTok"/>
        </w:rPr>
        <w:t xml:space="preserve">.</w:t>
      </w:r>
      <w:r>
        <w:rPr>
          <w:rStyle w:val="FunctionTok"/>
        </w:rPr>
        <w:t xml:space="preserve">Write</w:t>
      </w:r>
      <w:r>
        <w:rPr>
          <w:rStyle w:val="NormalTok"/>
        </w:rPr>
        <w:t xml:space="preserve">(o</w:t>
      </w:r>
      <w:r>
        <w:rPr>
          <w:rStyle w:val="OperatorTok"/>
        </w:rPr>
        <w:t xml:space="preserve">.</w:t>
      </w:r>
      <w:r>
        <w:rPr>
          <w:rStyle w:val="AttributeTok"/>
        </w:rPr>
        <w:t xml:space="preserve">color</w:t>
      </w:r>
      <w:r>
        <w:rPr>
          <w:rStyle w:val="NormalTok"/>
        </w:rPr>
        <w:t xml:space="preserve">)</w:t>
      </w:r>
      <w:r>
        <w:rPr>
          <w:rStyle w:val="OperatorTok"/>
        </w:rPr>
        <w:t xml:space="preserve">;</w:t>
      </w:r>
      <w:r>
        <w:rPr>
          <w:rStyle w:val="NormalTok"/>
        </w:rPr>
        <w:t xml:space="preserve">        </w:t>
      </w:r>
      <w:r>
        <w:rPr>
          <w:rStyle w:val="CommentTok"/>
        </w:rPr>
        <w:t xml:space="preserve">// Output: red</w:t>
      </w:r>
      <w:r>
        <w:br/>
      </w:r>
      <w:r>
        <w:rPr>
          <w:rStyle w:val="NormalTok"/>
        </w:rPr>
        <w:t xml:space="preserve">Response</w:t>
      </w:r>
      <w:r>
        <w:rPr>
          <w:rStyle w:val="OperatorTok"/>
        </w:rPr>
        <w:t xml:space="preserve">.</w:t>
      </w:r>
      <w:r>
        <w:rPr>
          <w:rStyle w:val="FunctionTok"/>
        </w:rPr>
        <w:t xml:space="preserve">Write</w:t>
      </w:r>
      <w:r>
        <w:rPr>
          <w:rStyle w:val="NormalTok"/>
        </w:rPr>
        <w:t xml:space="preserve">(o</w:t>
      </w:r>
      <w:r>
        <w:rPr>
          <w:rStyle w:val="OperatorTok"/>
        </w:rPr>
        <w:t xml:space="preserve">.</w:t>
      </w:r>
      <w:r>
        <w:rPr>
          <w:rStyle w:val="AttributeTok"/>
        </w:rPr>
        <w:t xml:space="preserve">color_code</w:t>
      </w:r>
      <w:r>
        <w:rPr>
          <w:rStyle w:val="NormalTok"/>
        </w:rPr>
        <w:t xml:space="preserve">)</w:t>
      </w:r>
      <w:r>
        <w:rPr>
          <w:rStyle w:val="OperatorTok"/>
        </w:rPr>
        <w:t xml:space="preserve">;</w:t>
      </w:r>
      <w:r>
        <w:rPr>
          <w:rStyle w:val="NormalTok"/>
        </w:rPr>
        <w:t xml:space="preserve">   </w:t>
      </w:r>
      <w:r>
        <w:rPr>
          <w:rStyle w:val="CommentTok"/>
        </w:rPr>
        <w:t xml:space="preserve">// Output: #FF0000</w:t>
      </w:r>
      <w:r>
        <w:br/>
      </w:r>
      <w:r>
        <w:br/>
      </w:r>
      <w:r>
        <w:rPr>
          <w:rStyle w:val="CommentTok"/>
        </w:rPr>
        <w:t xml:space="preserve">// Dynamic method name</w:t>
      </w:r>
      <w:r>
        <w:br/>
      </w:r>
      <w:r>
        <w:rPr>
          <w:rStyle w:val="KeywordTok"/>
        </w:rPr>
        <w:t xml:space="preserve">var</w:t>
      </w:r>
      <w:r>
        <w:rPr>
          <w:rStyle w:val="NormalTok"/>
        </w:rPr>
        <w:t xml:space="preserve"> methodKey </w:t>
      </w:r>
      <w:r>
        <w:rPr>
          <w:rStyle w:val="OperatorTok"/>
        </w:rPr>
        <w:t xml:space="preserve">=</w:t>
      </w:r>
      <w:r>
        <w:rPr>
          <w:rStyle w:val="NormalTok"/>
        </w:rPr>
        <w:t xml:space="preserve"> </w:t>
      </w:r>
      <w:r>
        <w:rPr>
          <w:rStyle w:val="StringTok"/>
        </w:rPr>
        <w:t xml:space="preserve">"greet"</w:t>
      </w:r>
      <w:r>
        <w:rPr>
          <w:rStyle w:val="OperatorTok"/>
        </w:rPr>
        <w:t xml:space="preserve">;</w:t>
      </w:r>
      <w:r>
        <w:br/>
      </w:r>
      <w:r>
        <w:rPr>
          <w:rStyle w:val="KeywordTok"/>
        </w:rPr>
        <w:t xml:space="preserve">var</w:t>
      </w:r>
      <w:r>
        <w:rPr>
          <w:rStyle w:val="NormalTok"/>
        </w:rPr>
        <w:t xml:space="preserve"> api </w:t>
      </w:r>
      <w:r>
        <w:rPr>
          <w:rStyle w:val="OperatorTok"/>
        </w:rPr>
        <w:t xml:space="preserve">=</w:t>
      </w:r>
      <w:r>
        <w:rPr>
          <w:rStyle w:val="NormalTok"/>
        </w:rPr>
        <w:t xml:space="preserve"> { [methodKey]</w:t>
      </w:r>
      <w:r>
        <w:rPr>
          <w:rStyle w:val="OperatorTok"/>
        </w:rPr>
        <w:t xml:space="preserve">:</w:t>
      </w:r>
      <w:r>
        <w:rPr>
          <w:rStyle w:val="NormalTok"/>
        </w:rPr>
        <w:t xml:space="preserve"> </w:t>
      </w:r>
      <w:r>
        <w:rPr>
          <w:rStyle w:val="KeywordTok"/>
        </w:rPr>
        <w:t xml:space="preserve">function</w:t>
      </w:r>
      <w:r>
        <w:rPr>
          <w:rStyle w:val="NormalTok"/>
        </w:rPr>
        <w:t xml:space="preserve">(n) { </w:t>
      </w:r>
      <w:r>
        <w:rPr>
          <w:rStyle w:val="ControlFlowTok"/>
        </w:rPr>
        <w:t xml:space="preserve">return</w:t>
      </w:r>
      <w:r>
        <w:rPr>
          <w:rStyle w:val="NormalTok"/>
        </w:rPr>
        <w:t xml:space="preserve"> </w:t>
      </w:r>
      <w:r>
        <w:rPr>
          <w:rStyle w:val="StringTok"/>
        </w:rPr>
        <w:t xml:space="preserve">"Hello, "</w:t>
      </w:r>
      <w:r>
        <w:rPr>
          <w:rStyle w:val="NormalTok"/>
        </w:rPr>
        <w:t xml:space="preserve"> </w:t>
      </w:r>
      <w:r>
        <w:rPr>
          <w:rStyle w:val="OperatorTok"/>
        </w:rPr>
        <w:t xml:space="preserve">+</w:t>
      </w:r>
      <w:r>
        <w:rPr>
          <w:rStyle w:val="NormalTok"/>
        </w:rPr>
        <w:t xml:space="preserve"> n</w:t>
      </w:r>
      <w:r>
        <w:rPr>
          <w:rStyle w:val="OperatorTok"/>
        </w:rPr>
        <w:t xml:space="preserve">;</w:t>
      </w:r>
      <w:r>
        <w:rPr>
          <w:rStyle w:val="NormalTok"/>
        </w:rPr>
        <w:t xml:space="preserve"> } }</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(api</w:t>
      </w:r>
      <w:r>
        <w:rPr>
          <w:rStyle w:val="OperatorTok"/>
        </w:rPr>
        <w:t xml:space="preserve">.</w:t>
      </w:r>
      <w:r>
        <w:rPr>
          <w:rStyle w:val="FunctionTok"/>
        </w:rPr>
        <w:t xml:space="preserve">greet</w:t>
      </w:r>
      <w:r>
        <w:rPr>
          <w:rStyle w:val="NormalTok"/>
        </w:rPr>
        <w:t xml:space="preserve">(</w:t>
      </w:r>
      <w:r>
        <w:rPr>
          <w:rStyle w:val="StringTok"/>
        </w:rPr>
        <w:t xml:space="preserve">"World"</w:t>
      </w:r>
      <w:r>
        <w:rPr>
          <w:rStyle w:val="NormalTok"/>
        </w:rPr>
        <w:t xml:space="preserve">))</w:t>
      </w:r>
      <w:r>
        <w:rPr>
          <w:rStyle w:val="OperatorTok"/>
        </w:rPr>
        <w:t xml:space="preserve">;</w:t>
      </w:r>
      <w:r>
        <w:rPr>
          <w:rStyle w:val="NormalTok"/>
        </w:rPr>
        <w:t xml:space="preserve"> </w:t>
      </w:r>
      <w:r>
        <w:rPr>
          <w:rStyle w:val="CommentTok"/>
        </w:rPr>
        <w:t xml:space="preserve">// Output: Hello, World</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00"/>
    <w:bookmarkEnd w:id="1001"/>
    <w:bookmarkStart w:id="1005" w:name="internationalization-api-intl"/>
    <w:p>
      <w:pPr>
        <w:pStyle w:val="Heading2"/>
      </w:pPr>
      <w:r>
        <w:t xml:space="preserve">Internationalization API (Intl)</w:t>
      </w:r>
    </w:p>
    <w:bookmarkStart w:id="1002" w:name="syntax-55"/>
    <w:p>
      <w:pPr>
        <w:pStyle w:val="Heading3"/>
      </w:pPr>
      <w:r>
        <w:t xml:space="preserve">Syntax</w:t>
      </w:r>
    </w:p>
    <w:p>
      <w:pPr>
        <w:pStyle w:val="SourceCode"/>
      </w:pPr>
      <w:r>
        <w:rPr>
          <w:rStyle w:val="KeywordTok"/>
        </w:rPr>
        <w:t xml:space="preserve">var</w:t>
      </w:r>
      <w:r>
        <w:rPr>
          <w:rStyle w:val="NormalTok"/>
        </w:rPr>
        <w:t xml:space="preserve"> dtf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DateTimeFormat</w:t>
      </w:r>
      <w:r>
        <w:rPr>
          <w:rStyle w:val="NormalTok"/>
        </w:rPr>
        <w:t xml:space="preserve">(locales[</w:t>
      </w:r>
      <w:r>
        <w:rPr>
          <w:rStyle w:val="OperatorTok"/>
        </w:rPr>
        <w:t xml:space="preserve">,</w:t>
      </w:r>
      <w:r>
        <w:rPr>
          <w:rStyle w:val="NormalTok"/>
        </w:rPr>
        <w:t xml:space="preserve"> options])</w:t>
      </w:r>
      <w:r>
        <w:rPr>
          <w:rStyle w:val="OperatorTok"/>
        </w:rPr>
        <w:t xml:space="preserve">;</w:t>
      </w:r>
      <w:r>
        <w:br/>
      </w:r>
      <w:r>
        <w:rPr>
          <w:rStyle w:val="KeywordTok"/>
        </w:rPr>
        <w:t xml:space="preserve">var</w:t>
      </w:r>
      <w:r>
        <w:rPr>
          <w:rStyle w:val="NormalTok"/>
        </w:rPr>
        <w:t xml:space="preserve"> nfmt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NumberFormat</w:t>
      </w:r>
      <w:r>
        <w:rPr>
          <w:rStyle w:val="NormalTok"/>
        </w:rPr>
        <w:t xml:space="preserve">(locales[</w:t>
      </w:r>
      <w:r>
        <w:rPr>
          <w:rStyle w:val="OperatorTok"/>
        </w:rPr>
        <w:t xml:space="preserve">,</w:t>
      </w:r>
      <w:r>
        <w:rPr>
          <w:rStyle w:val="NormalTok"/>
        </w:rPr>
        <w:t xml:space="preserve"> options])</w:t>
      </w:r>
      <w:r>
        <w:rPr>
          <w:rStyle w:val="OperatorTok"/>
        </w:rPr>
        <w:t xml:space="preserve">;</w:t>
      </w:r>
      <w:r>
        <w:br/>
      </w:r>
      <w:r>
        <w:rPr>
          <w:rStyle w:val="KeywordTok"/>
        </w:rPr>
        <w:t xml:space="preserve">var</w:t>
      </w:r>
      <w:r>
        <w:rPr>
          <w:rStyle w:val="NormalTok"/>
        </w:rPr>
        <w:t xml:space="preserve"> coll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Collator</w:t>
      </w:r>
      <w:r>
        <w:rPr>
          <w:rStyle w:val="NormalTok"/>
        </w:rPr>
        <w:t xml:space="preserve">(locales[</w:t>
      </w:r>
      <w:r>
        <w:rPr>
          <w:rStyle w:val="OperatorTok"/>
        </w:rPr>
        <w:t xml:space="preserve">,</w:t>
      </w:r>
      <w:r>
        <w:rPr>
          <w:rStyle w:val="NormalTok"/>
        </w:rPr>
        <w:t xml:space="preserve"> options])</w:t>
      </w:r>
      <w:r>
        <w:rPr>
          <w:rStyle w:val="OperatorTok"/>
        </w:rPr>
        <w:t xml:space="preserve">;</w:t>
      </w:r>
      <w:r>
        <w:br/>
      </w:r>
      <w:r>
        <w:rPr>
          <w:rStyle w:val="KeywordTok"/>
        </w:rPr>
        <w:t xml:space="preserve">var</w:t>
      </w:r>
      <w:r>
        <w:rPr>
          <w:rStyle w:val="NormalTok"/>
        </w:rPr>
        <w:t xml:space="preserve"> plur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PluralRules</w:t>
      </w:r>
      <w:r>
        <w:rPr>
          <w:rStyle w:val="NormalTok"/>
        </w:rPr>
        <w:t xml:space="preserve">(locales[</w:t>
      </w:r>
      <w:r>
        <w:rPr>
          <w:rStyle w:val="OperatorTok"/>
        </w:rPr>
        <w:t xml:space="preserve">,</w:t>
      </w:r>
      <w:r>
        <w:rPr>
          <w:rStyle w:val="NormalTok"/>
        </w:rPr>
        <w:t xml:space="preserve"> options])</w:t>
      </w:r>
      <w:r>
        <w:rPr>
          <w:rStyle w:val="OperatorTok"/>
        </w:rPr>
        <w:t xml:space="preserve">;</w:t>
      </w:r>
      <w:r>
        <w:br/>
      </w:r>
      <w:r>
        <w:rPr>
          <w:rStyle w:val="KeywordTok"/>
        </w:rPr>
        <w:t xml:space="preserve">var</w:t>
      </w:r>
      <w:r>
        <w:rPr>
          <w:rStyle w:val="NormalTok"/>
        </w:rPr>
        <w:t xml:space="preserve"> rtf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RelativeTimeFormat</w:t>
      </w:r>
      <w:r>
        <w:rPr>
          <w:rStyle w:val="NormalTok"/>
        </w:rPr>
        <w:t xml:space="preserve">(locales[</w:t>
      </w:r>
      <w:r>
        <w:rPr>
          <w:rStyle w:val="OperatorTok"/>
        </w:rPr>
        <w:t xml:space="preserve">,</w:t>
      </w:r>
      <w:r>
        <w:rPr>
          <w:rStyle w:val="NormalTok"/>
        </w:rPr>
        <w:t xml:space="preserve"> options])</w:t>
      </w:r>
      <w:r>
        <w:rPr>
          <w:rStyle w:val="OperatorTok"/>
        </w:rPr>
        <w:t xml:space="preserve">;</w:t>
      </w:r>
    </w:p>
    <w:bookmarkEnd w:id="1002"/>
    <w:bookmarkStart w:id="1003" w:name="remarks-62"/>
    <w:p>
      <w:pPr>
        <w:pStyle w:val="Heading3"/>
      </w:pPr>
      <w:r>
        <w:t xml:space="preserve">Remarks</w:t>
      </w:r>
    </w:p>
    <w:p>
      <w:pPr>
        <w:pStyle w:val="Compact"/>
        <w:numPr>
          <w:ilvl w:val="0"/>
          <w:numId w:val="1273"/>
        </w:numPr>
      </w:pPr>
      <w:r>
        <w:rPr>
          <w:rStyle w:val="VerbatimChar"/>
        </w:rPr>
        <w:t xml:space="preserve">Intl</w:t>
      </w:r>
      <w:r>
        <w:t xml:space="preserve"> </w:t>
      </w:r>
      <w:r>
        <w:t xml:space="preserve">is available as a global namespace in JScript.</w:t>
      </w:r>
    </w:p>
    <w:p>
      <w:pPr>
        <w:pStyle w:val="Compact"/>
        <w:numPr>
          <w:ilvl w:val="0"/>
          <w:numId w:val="1273"/>
        </w:numPr>
      </w:pPr>
      <w:r>
        <w:rPr>
          <w:rStyle w:val="VerbatimChar"/>
        </w:rPr>
        <w:t xml:space="preserve">DateTimeFormat</w:t>
      </w:r>
      <w:r>
        <w:t xml:space="preserve">,</w:t>
      </w:r>
      <w:r>
        <w:t xml:space="preserve"> </w:t>
      </w:r>
      <w:r>
        <w:rPr>
          <w:rStyle w:val="VerbatimChar"/>
        </w:rPr>
        <w:t xml:space="preserve">NumberFormat</w:t>
      </w:r>
      <w:r>
        <w:t xml:space="preserve">,</w:t>
      </w:r>
      <w:r>
        <w:t xml:space="preserve"> </w:t>
      </w:r>
      <w:r>
        <w:rPr>
          <w:rStyle w:val="VerbatimChar"/>
        </w:rPr>
        <w:t xml:space="preserve">Collator</w:t>
      </w:r>
      <w:r>
        <w:t xml:space="preserve">,</w:t>
      </w:r>
      <w:r>
        <w:t xml:space="preserve"> </w:t>
      </w:r>
      <w:r>
        <w:rPr>
          <w:rStyle w:val="VerbatimChar"/>
        </w:rPr>
        <w:t xml:space="preserve">PluralRules</w:t>
      </w:r>
      <w:r>
        <w:t xml:space="preserve">, and</w:t>
      </w:r>
      <w:r>
        <w:t xml:space="preserve"> </w:t>
      </w:r>
      <w:r>
        <w:rPr>
          <w:rStyle w:val="VerbatimChar"/>
        </w:rPr>
        <w:t xml:space="preserve">RelativeTimeFormat</w:t>
      </w:r>
      <w:r>
        <w:t xml:space="preserve"> </w:t>
      </w:r>
      <w:r>
        <w:t xml:space="preserve">use AxonASP locale profiles and the current server locale when no locale is supplied.</w:t>
      </w:r>
    </w:p>
    <w:p>
      <w:pPr>
        <w:pStyle w:val="Compact"/>
        <w:numPr>
          <w:ilvl w:val="0"/>
          <w:numId w:val="1273"/>
        </w:numPr>
      </w:pPr>
      <w:r>
        <w:t xml:space="preserve">Locale input can be a string or an array-like value. AxonASP uses the first usable locale tag and falls back to the effective server locale, then</w:t>
      </w:r>
      <w:r>
        <w:t xml:space="preserve"> </w:t>
      </w:r>
      <w:r>
        <w:rPr>
          <w:rStyle w:val="VerbatimChar"/>
        </w:rPr>
        <w:t xml:space="preserve">en-US</w:t>
      </w:r>
      <w:r>
        <w:t xml:space="preserve">.</w:t>
      </w:r>
    </w:p>
    <w:p>
      <w:pPr>
        <w:pStyle w:val="Compact"/>
        <w:numPr>
          <w:ilvl w:val="0"/>
          <w:numId w:val="1273"/>
        </w:numPr>
      </w:pPr>
      <w:r>
        <w:rPr>
          <w:rStyle w:val="VerbatimChar"/>
        </w:rPr>
        <w:t xml:space="preserve">Intl.DateTimeFormat</w:t>
      </w:r>
      <w:r>
        <w:t xml:space="preserve"> </w:t>
      </w:r>
      <w:r>
        <w:t xml:space="preserve">supports</w:t>
      </w:r>
      <w:r>
        <w:t xml:space="preserve"> </w:t>
      </w:r>
      <w:r>
        <w:rPr>
          <w:rStyle w:val="VerbatimChar"/>
        </w:rPr>
        <w:t xml:space="preserve">dateStyle</w:t>
      </w:r>
      <w:r>
        <w:t xml:space="preserve">,</w:t>
      </w:r>
      <w:r>
        <w:t xml:space="preserve"> </w:t>
      </w:r>
      <w:r>
        <w:rPr>
          <w:rStyle w:val="VerbatimChar"/>
        </w:rPr>
        <w:t xml:space="preserve">timeStyle</w:t>
      </w:r>
      <w:r>
        <w:t xml:space="preserve">,</w:t>
      </w:r>
      <w:r>
        <w:t xml:space="preserve"> </w:t>
      </w:r>
      <w:r>
        <w:rPr>
          <w:rStyle w:val="VerbatimChar"/>
        </w:rPr>
        <w:t xml:space="preserve">year</w:t>
      </w:r>
      <w:r>
        <w:t xml:space="preserve">,</w:t>
      </w:r>
      <w:r>
        <w:t xml:space="preserve"> </w:t>
      </w:r>
      <w:r>
        <w:rPr>
          <w:rStyle w:val="VerbatimChar"/>
        </w:rPr>
        <w:t xml:space="preserve">month</w:t>
      </w:r>
      <w:r>
        <w:t xml:space="preserve">,</w:t>
      </w:r>
      <w:r>
        <w:t xml:space="preserve"> </w:t>
      </w:r>
      <w:r>
        <w:rPr>
          <w:rStyle w:val="VerbatimChar"/>
        </w:rPr>
        <w:t xml:space="preserve">day</w:t>
      </w:r>
      <w:r>
        <w:t xml:space="preserve">,</w:t>
      </w:r>
      <w:r>
        <w:t xml:space="preserve"> </w:t>
      </w:r>
      <w:r>
        <w:rPr>
          <w:rStyle w:val="VerbatimChar"/>
        </w:rPr>
        <w:t xml:space="preserve">weekday</w:t>
      </w:r>
      <w:r>
        <w:t xml:space="preserve">,</w:t>
      </w:r>
      <w:r>
        <w:t xml:space="preserve"> </w:t>
      </w:r>
      <w:r>
        <w:rPr>
          <w:rStyle w:val="VerbatimChar"/>
        </w:rPr>
        <w:t xml:space="preserve">hour</w:t>
      </w:r>
      <w:r>
        <w:t xml:space="preserve">,</w:t>
      </w:r>
      <w:r>
        <w:t xml:space="preserve"> </w:t>
      </w:r>
      <w:r>
        <w:rPr>
          <w:rStyle w:val="VerbatimChar"/>
        </w:rPr>
        <w:t xml:space="preserve">minute</w:t>
      </w:r>
      <w:r>
        <w:t xml:space="preserve">,</w:t>
      </w:r>
      <w:r>
        <w:t xml:space="preserve"> </w:t>
      </w:r>
      <w:r>
        <w:rPr>
          <w:rStyle w:val="VerbatimChar"/>
        </w:rPr>
        <w:t xml:space="preserve">second</w:t>
      </w:r>
      <w:r>
        <w:t xml:space="preserve">,</w:t>
      </w:r>
      <w:r>
        <w:t xml:space="preserve"> </w:t>
      </w:r>
      <w:r>
        <w:rPr>
          <w:rStyle w:val="VerbatimChar"/>
        </w:rPr>
        <w:t xml:space="preserve">hour12</w:t>
      </w:r>
      <w:r>
        <w:t xml:space="preserve">, and</w:t>
      </w:r>
      <w:r>
        <w:t xml:space="preserve"> </w:t>
      </w:r>
      <w:r>
        <w:rPr>
          <w:rStyle w:val="VerbatimChar"/>
        </w:rPr>
        <w:t xml:space="preserve">formatToParts()</w:t>
      </w:r>
      <w:r>
        <w:t xml:space="preserve">.</w:t>
      </w:r>
    </w:p>
    <w:p>
      <w:pPr>
        <w:pStyle w:val="Compact"/>
        <w:numPr>
          <w:ilvl w:val="0"/>
          <w:numId w:val="1273"/>
        </w:numPr>
      </w:pPr>
      <w:r>
        <w:rPr>
          <w:rStyle w:val="VerbatimChar"/>
        </w:rPr>
        <w:t xml:space="preserve">Intl.NumberFormat</w:t>
      </w:r>
      <w:r>
        <w:t xml:space="preserve"> </w:t>
      </w:r>
      <w:r>
        <w:t xml:space="preserve">supports</w:t>
      </w:r>
      <w:r>
        <w:t xml:space="preserve"> </w:t>
      </w:r>
      <w:r>
        <w:rPr>
          <w:rStyle w:val="VerbatimChar"/>
        </w:rPr>
        <w:t xml:space="preserve">style: "decimal"</w:t>
      </w:r>
      <w:r>
        <w:t xml:space="preserve">,</w:t>
      </w:r>
      <w:r>
        <w:t xml:space="preserve"> </w:t>
      </w:r>
      <w:r>
        <w:rPr>
          <w:rStyle w:val="VerbatimChar"/>
        </w:rPr>
        <w:t xml:space="preserve">style: "currency"</w:t>
      </w:r>
      <w:r>
        <w:t xml:space="preserve">,</w:t>
      </w:r>
      <w:r>
        <w:t xml:space="preserve"> </w:t>
      </w:r>
      <w:r>
        <w:rPr>
          <w:rStyle w:val="VerbatimChar"/>
        </w:rPr>
        <w:t xml:space="preserve">style: "percent"</w:t>
      </w:r>
      <w:r>
        <w:t xml:space="preserve">, and</w:t>
      </w:r>
      <w:r>
        <w:t xml:space="preserve"> </w:t>
      </w:r>
      <w:r>
        <w:rPr>
          <w:rStyle w:val="VerbatimChar"/>
        </w:rPr>
        <w:t xml:space="preserve">formatToParts()</w:t>
      </w:r>
      <w:r>
        <w:t xml:space="preserve">.</w:t>
      </w:r>
    </w:p>
    <w:p>
      <w:pPr>
        <w:pStyle w:val="Compact"/>
        <w:numPr>
          <w:ilvl w:val="0"/>
          <w:numId w:val="1273"/>
        </w:numPr>
      </w:pPr>
      <w:r>
        <w:rPr>
          <w:rStyle w:val="VerbatimChar"/>
        </w:rPr>
        <w:t xml:space="preserve">Intl.Collator</w:t>
      </w:r>
      <w:r>
        <w:t xml:space="preserve"> </w:t>
      </w:r>
      <w:r>
        <w:t xml:space="preserve">supports</w:t>
      </w:r>
      <w:r>
        <w:t xml:space="preserve"> </w:t>
      </w:r>
      <w:r>
        <w:rPr>
          <w:rStyle w:val="VerbatimChar"/>
        </w:rPr>
        <w:t xml:space="preserve">usage</w:t>
      </w:r>
      <w:r>
        <w:t xml:space="preserve"> </w:t>
      </w:r>
      <w:r>
        <w:t xml:space="preserve">(</w:t>
      </w:r>
      <w:r>
        <w:t xml:space="preserve">“sort”</w:t>
      </w:r>
      <w:r>
        <w:t xml:space="preserve">,</w:t>
      </w:r>
      <w:r>
        <w:t xml:space="preserve"> </w:t>
      </w:r>
      <w:r>
        <w:t xml:space="preserve">“search”</w:t>
      </w:r>
      <w:r>
        <w:t xml:space="preserve">),</w:t>
      </w:r>
      <w:r>
        <w:t xml:space="preserve"> </w:t>
      </w:r>
      <w:r>
        <w:rPr>
          <w:rStyle w:val="VerbatimChar"/>
        </w:rPr>
        <w:t xml:space="preserve">sensitivity</w:t>
      </w:r>
      <w:r>
        <w:t xml:space="preserve"> </w:t>
      </w:r>
      <w:r>
        <w:t xml:space="preserve">(</w:t>
      </w:r>
      <w:r>
        <w:t xml:space="preserve">“base”</w:t>
      </w:r>
      <w:r>
        <w:t xml:space="preserve">,</w:t>
      </w:r>
      <w:r>
        <w:t xml:space="preserve"> </w:t>
      </w:r>
      <w:r>
        <w:t xml:space="preserve">“accent”</w:t>
      </w:r>
      <w:r>
        <w:t xml:space="preserve">,</w:t>
      </w:r>
      <w:r>
        <w:t xml:space="preserve"> </w:t>
      </w:r>
      <w:r>
        <w:t xml:space="preserve">“case”</w:t>
      </w:r>
      <w:r>
        <w:t xml:space="preserve">,</w:t>
      </w:r>
      <w:r>
        <w:t xml:space="preserve"> </w:t>
      </w:r>
      <w:r>
        <w:t xml:space="preserve">“variant”</w:t>
      </w:r>
      <w:r>
        <w:t xml:space="preserve">),</w:t>
      </w:r>
      <w:r>
        <w:t xml:space="preserve"> </w:t>
      </w:r>
      <w:r>
        <w:rPr>
          <w:rStyle w:val="VerbatimChar"/>
        </w:rPr>
        <w:t xml:space="preserve">numeric</w:t>
      </w:r>
      <w:r>
        <w:t xml:space="preserve">,</w:t>
      </w:r>
      <w:r>
        <w:t xml:space="preserve"> </w:t>
      </w:r>
      <w:r>
        <w:rPr>
          <w:rStyle w:val="VerbatimChar"/>
        </w:rPr>
        <w:t xml:space="preserve">caseFirst</w:t>
      </w:r>
      <w:r>
        <w:t xml:space="preserve">, and</w:t>
      </w:r>
      <w:r>
        <w:t xml:space="preserve"> </w:t>
      </w:r>
      <w:r>
        <w:rPr>
          <w:rStyle w:val="VerbatimChar"/>
        </w:rPr>
        <w:t xml:space="preserve">ignorePunctuation</w:t>
      </w:r>
      <w:r>
        <w:t xml:space="preserve">.</w:t>
      </w:r>
    </w:p>
    <w:p>
      <w:pPr>
        <w:pStyle w:val="Compact"/>
        <w:numPr>
          <w:ilvl w:val="0"/>
          <w:numId w:val="1273"/>
        </w:numPr>
      </w:pPr>
      <w:r>
        <w:rPr>
          <w:rStyle w:val="VerbatimChar"/>
        </w:rPr>
        <w:t xml:space="preserve">Intl.PluralRules</w:t>
      </w:r>
      <w:r>
        <w:t xml:space="preserve"> </w:t>
      </w:r>
      <w:r>
        <w:t xml:space="preserve">supports</w:t>
      </w:r>
      <w:r>
        <w:t xml:space="preserve"> </w:t>
      </w:r>
      <w:r>
        <w:rPr>
          <w:rStyle w:val="VerbatimChar"/>
        </w:rPr>
        <w:t xml:space="preserve">type</w:t>
      </w:r>
      <w:r>
        <w:t xml:space="preserve"> </w:t>
      </w:r>
      <w:r>
        <w:t xml:space="preserve">(</w:t>
      </w:r>
      <w:r>
        <w:t xml:space="preserve">“cardinal”</w:t>
      </w:r>
      <w:r>
        <w:t xml:space="preserve">,</w:t>
      </w:r>
      <w:r>
        <w:t xml:space="preserve"> </w:t>
      </w:r>
      <w:r>
        <w:t xml:space="preserve">“ordinal”</w:t>
      </w:r>
      <w:r>
        <w:t xml:space="preserve">) and provides</w:t>
      </w:r>
      <w:r>
        <w:t xml:space="preserve"> </w:t>
      </w:r>
      <w:r>
        <w:rPr>
          <w:rStyle w:val="VerbatimChar"/>
        </w:rPr>
        <w:t xml:space="preserve">select(number)</w:t>
      </w:r>
      <w:r>
        <w:t xml:space="preserve">.</w:t>
      </w:r>
    </w:p>
    <w:p>
      <w:pPr>
        <w:pStyle w:val="Compact"/>
        <w:numPr>
          <w:ilvl w:val="0"/>
          <w:numId w:val="1273"/>
        </w:numPr>
      </w:pPr>
      <w:r>
        <w:rPr>
          <w:rStyle w:val="VerbatimChar"/>
        </w:rPr>
        <w:t xml:space="preserve">Intl.RelativeTimeFormat</w:t>
      </w:r>
      <w:r>
        <w:t xml:space="preserve"> </w:t>
      </w:r>
      <w:r>
        <w:t xml:space="preserve">supports</w:t>
      </w:r>
      <w:r>
        <w:t xml:space="preserve"> </w:t>
      </w:r>
      <w:r>
        <w:rPr>
          <w:rStyle w:val="VerbatimChar"/>
        </w:rPr>
        <w:t xml:space="preserve">numeric</w:t>
      </w:r>
      <w:r>
        <w:t xml:space="preserve"> </w:t>
      </w:r>
      <w:r>
        <w:t xml:space="preserve">(</w:t>
      </w:r>
      <w:r>
        <w:t xml:space="preserve">“always”</w:t>
      </w:r>
      <w:r>
        <w:t xml:space="preserve">,</w:t>
      </w:r>
      <w:r>
        <w:t xml:space="preserve"> </w:t>
      </w:r>
      <w:r>
        <w:t xml:space="preserve">“auto”</w:t>
      </w:r>
      <w:r>
        <w:t xml:space="preserve">),</w:t>
      </w:r>
      <w:r>
        <w:t xml:space="preserve"> </w:t>
      </w:r>
      <w:r>
        <w:rPr>
          <w:rStyle w:val="VerbatimChar"/>
        </w:rPr>
        <w:t xml:space="preserve">style</w:t>
      </w:r>
      <w:r>
        <w:t xml:space="preserve"> </w:t>
      </w:r>
      <w:r>
        <w:t xml:space="preserve">(</w:t>
      </w:r>
      <w:r>
        <w:t xml:space="preserve">“long”</w:t>
      </w:r>
      <w:r>
        <w:t xml:space="preserve">,</w:t>
      </w:r>
      <w:r>
        <w:t xml:space="preserve"> </w:t>
      </w:r>
      <w:r>
        <w:t xml:space="preserve">“short”</w:t>
      </w:r>
      <w:r>
        <w:t xml:space="preserve">,</w:t>
      </w:r>
      <w:r>
        <w:t xml:space="preserve"> </w:t>
      </w:r>
      <w:r>
        <w:t xml:space="preserve">“narrow”</w:t>
      </w:r>
      <w:r>
        <w:t xml:space="preserve">), and provides</w:t>
      </w:r>
      <w:r>
        <w:t xml:space="preserve"> </w:t>
      </w:r>
      <w:r>
        <w:rPr>
          <w:rStyle w:val="VerbatimChar"/>
        </w:rPr>
        <w:t xml:space="preserve">format(value, unit)</w:t>
      </w:r>
      <w:r>
        <w:t xml:space="preserve"> </w:t>
      </w:r>
      <w:r>
        <w:t xml:space="preserve">and</w:t>
      </w:r>
      <w:r>
        <w:t xml:space="preserve"> </w:t>
      </w:r>
      <w:r>
        <w:rPr>
          <w:rStyle w:val="VerbatimChar"/>
        </w:rPr>
        <w:t xml:space="preserve">formatToParts(value, unit)</w:t>
      </w:r>
      <w:r>
        <w:t xml:space="preserve">.</w:t>
      </w:r>
    </w:p>
    <w:p>
      <w:pPr>
        <w:pStyle w:val="Compact"/>
        <w:numPr>
          <w:ilvl w:val="0"/>
          <w:numId w:val="1273"/>
        </w:numPr>
      </w:pPr>
      <w:r>
        <w:t xml:space="preserve">Unsupported locale values and extra options are ignored or fall back to the closest supported locale profile.</w:t>
      </w:r>
    </w:p>
    <w:bookmarkEnd w:id="1003"/>
    <w:bookmarkStart w:id="1004" w:name="code-example-56"/>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dateValue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Date</w:t>
      </w:r>
      <w:r>
        <w:rPr>
          <w:rStyle w:val="NormalTok"/>
        </w:rPr>
        <w:t xml:space="preserve">(</w:t>
      </w:r>
      <w:r>
        <w:rPr>
          <w:rStyle w:val="BuiltInTok"/>
        </w:rPr>
        <w:t xml:space="preserve">Date</w:t>
      </w:r>
      <w:r>
        <w:rPr>
          <w:rStyle w:val="OperatorTok"/>
        </w:rPr>
        <w:t xml:space="preserve">.</w:t>
      </w:r>
      <w:r>
        <w:rPr>
          <w:rStyle w:val="FunctionTok"/>
        </w:rPr>
        <w:t xml:space="preserve">UTC</w:t>
      </w:r>
      <w:r>
        <w:rPr>
          <w:rStyle w:val="NormalTok"/>
        </w:rPr>
        <w:t xml:space="preserve">(</w:t>
      </w:r>
      <w:r>
        <w:rPr>
          <w:rStyle w:val="DecValTok"/>
        </w:rPr>
        <w:t xml:space="preserve">2026</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w:t>
      </w:r>
      <w:r>
        <w:rPr>
          <w:rStyle w:val="DecValTok"/>
        </w:rPr>
        <w:t xml:space="preserve">4</w:t>
      </w:r>
      <w:r>
        <w:rPr>
          <w:rStyle w:val="OperatorTok"/>
        </w:rPr>
        <w:t xml:space="preserve">,</w:t>
      </w:r>
      <w:r>
        <w:rPr>
          <w:rStyle w:val="NormalTok"/>
        </w:rPr>
        <w:t xml:space="preserve"> </w:t>
      </w:r>
      <w:r>
        <w:rPr>
          <w:rStyle w:val="DecValTok"/>
        </w:rPr>
        <w:t xml:space="preserve">5</w:t>
      </w:r>
      <w:r>
        <w:rPr>
          <w:rStyle w:val="NormalTok"/>
        </w:rPr>
        <w:t xml:space="preserve">))</w:t>
      </w:r>
      <w:r>
        <w:rPr>
          <w:rStyle w:val="OperatorTok"/>
        </w:rPr>
        <w:t xml:space="preserve">;</w:t>
      </w:r>
      <w:r>
        <w:br/>
      </w:r>
      <w:r>
        <w:rPr>
          <w:rStyle w:val="KeywordTok"/>
        </w:rPr>
        <w:t xml:space="preserve">var</w:t>
      </w:r>
      <w:r>
        <w:rPr>
          <w:rStyle w:val="NormalTok"/>
        </w:rPr>
        <w:t xml:space="preserve"> enDate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DateTimeFormat</w:t>
      </w:r>
      <w:r>
        <w:rPr>
          <w:rStyle w:val="NormalTok"/>
        </w:rPr>
        <w:t xml:space="preserve">(</w:t>
      </w:r>
      <w:r>
        <w:rPr>
          <w:rStyle w:val="StringTok"/>
        </w:rPr>
        <w:t xml:space="preserve">"en-US"</w:t>
      </w:r>
      <w:r>
        <w:rPr>
          <w:rStyle w:val="OperatorTok"/>
        </w:rPr>
        <w:t xml:space="preserve">,</w:t>
      </w:r>
      <w:r>
        <w:rPr>
          <w:rStyle w:val="NormalTok"/>
        </w:rPr>
        <w:t xml:space="preserve"> { </w:t>
      </w:r>
      <w:r>
        <w:rPr>
          <w:rStyle w:val="DataTypeTok"/>
        </w:rPr>
        <w:t xml:space="preserve">dateStyle</w:t>
      </w:r>
      <w:r>
        <w:rPr>
          <w:rStyle w:val="OperatorTok"/>
        </w:rPr>
        <w:t xml:space="preserve">:</w:t>
      </w:r>
      <w:r>
        <w:rPr>
          <w:rStyle w:val="NormalTok"/>
        </w:rPr>
        <w:t xml:space="preserve"> </w:t>
      </w:r>
      <w:r>
        <w:rPr>
          <w:rStyle w:val="StringTok"/>
        </w:rPr>
        <w:t xml:space="preserve">"short"</w:t>
      </w:r>
      <w:r>
        <w:rPr>
          <w:rStyle w:val="NormalTok"/>
        </w:rPr>
        <w:t xml:space="preserve"> })</w:t>
      </w:r>
      <w:r>
        <w:rPr>
          <w:rStyle w:val="OperatorTok"/>
        </w:rPr>
        <w:t xml:space="preserve">.</w:t>
      </w:r>
      <w:r>
        <w:rPr>
          <w:rStyle w:val="FunctionTok"/>
        </w:rPr>
        <w:t xml:space="preserve">format</w:t>
      </w:r>
      <w:r>
        <w:rPr>
          <w:rStyle w:val="NormalTok"/>
        </w:rPr>
        <w:t xml:space="preserve">(dateValue)</w:t>
      </w:r>
      <w:r>
        <w:rPr>
          <w:rStyle w:val="OperatorTok"/>
        </w:rPr>
        <w:t xml:space="preserve">;</w:t>
      </w:r>
      <w:r>
        <w:br/>
      </w:r>
      <w:r>
        <w:rPr>
          <w:rStyle w:val="KeywordTok"/>
        </w:rPr>
        <w:t xml:space="preserve">var</w:t>
      </w:r>
      <w:r>
        <w:rPr>
          <w:rStyle w:val="NormalTok"/>
        </w:rPr>
        <w:t xml:space="preserve"> ptDate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DateTimeFormat</w:t>
      </w:r>
      <w:r>
        <w:rPr>
          <w:rStyle w:val="NormalTok"/>
        </w:rPr>
        <w:t xml:space="preserve">(</w:t>
      </w:r>
      <w:r>
        <w:rPr>
          <w:rStyle w:val="StringTok"/>
        </w:rPr>
        <w:t xml:space="preserve">"pt-BR"</w:t>
      </w:r>
      <w:r>
        <w:rPr>
          <w:rStyle w:val="OperatorTok"/>
        </w:rPr>
        <w:t xml:space="preserve">,</w:t>
      </w:r>
      <w:r>
        <w:rPr>
          <w:rStyle w:val="NormalTok"/>
        </w:rPr>
        <w:t xml:space="preserve"> { </w:t>
      </w:r>
      <w:r>
        <w:rPr>
          <w:rStyle w:val="DataTypeTok"/>
        </w:rPr>
        <w:t xml:space="preserve">dateStyle</w:t>
      </w:r>
      <w:r>
        <w:rPr>
          <w:rStyle w:val="OperatorTok"/>
        </w:rPr>
        <w:t xml:space="preserve">:</w:t>
      </w:r>
      <w:r>
        <w:rPr>
          <w:rStyle w:val="NormalTok"/>
        </w:rPr>
        <w:t xml:space="preserve"> </w:t>
      </w:r>
      <w:r>
        <w:rPr>
          <w:rStyle w:val="StringTok"/>
        </w:rPr>
        <w:t xml:space="preserve">"short"</w:t>
      </w:r>
      <w:r>
        <w:rPr>
          <w:rStyle w:val="NormalTok"/>
        </w:rPr>
        <w:t xml:space="preserve"> })</w:t>
      </w:r>
      <w:r>
        <w:rPr>
          <w:rStyle w:val="OperatorTok"/>
        </w:rPr>
        <w:t xml:space="preserve">.</w:t>
      </w:r>
      <w:r>
        <w:rPr>
          <w:rStyle w:val="FunctionTok"/>
        </w:rPr>
        <w:t xml:space="preserve">format</w:t>
      </w:r>
      <w:r>
        <w:rPr>
          <w:rStyle w:val="NormalTok"/>
        </w:rPr>
        <w:t xml:space="preserve">(dateValue)</w:t>
      </w:r>
      <w:r>
        <w:rPr>
          <w:rStyle w:val="OperatorTok"/>
        </w:rPr>
        <w:t xml:space="preserve">;</w:t>
      </w:r>
      <w:r>
        <w:br/>
      </w:r>
      <w:r>
        <w:rPr>
          <w:rStyle w:val="KeywordTok"/>
        </w:rPr>
        <w:t xml:space="preserve">var</w:t>
      </w:r>
      <w:r>
        <w:rPr>
          <w:rStyle w:val="NormalTok"/>
        </w:rPr>
        <w:t xml:space="preserve"> deNumber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NumberFormat</w:t>
      </w:r>
      <w:r>
        <w:rPr>
          <w:rStyle w:val="NormalTok"/>
        </w:rPr>
        <w:t xml:space="preserve">(</w:t>
      </w:r>
      <w:r>
        <w:rPr>
          <w:rStyle w:val="StringTok"/>
        </w:rPr>
        <w:t xml:space="preserve">"de-DE"</w:t>
      </w:r>
      <w:r>
        <w:rPr>
          <w:rStyle w:val="OperatorTok"/>
        </w:rPr>
        <w:t xml:space="preserve">,</w:t>
      </w:r>
      <w:r>
        <w:rPr>
          <w:rStyle w:val="NormalTok"/>
        </w:rPr>
        <w:t xml:space="preserve"> { </w:t>
      </w:r>
      <w:r>
        <w:rPr>
          <w:rStyle w:val="DataTypeTok"/>
        </w:rPr>
        <w:t xml:space="preserve">style</w:t>
      </w:r>
      <w:r>
        <w:rPr>
          <w:rStyle w:val="OperatorTok"/>
        </w:rPr>
        <w:t xml:space="preserve">:</w:t>
      </w:r>
      <w:r>
        <w:rPr>
          <w:rStyle w:val="NormalTok"/>
        </w:rPr>
        <w:t xml:space="preserve"> </w:t>
      </w:r>
      <w:r>
        <w:rPr>
          <w:rStyle w:val="StringTok"/>
        </w:rPr>
        <w:t xml:space="preserve">"currency"</w:t>
      </w:r>
      <w:r>
        <w:rPr>
          <w:rStyle w:val="OperatorTok"/>
        </w:rPr>
        <w:t xml:space="preserve">,</w:t>
      </w:r>
      <w:r>
        <w:rPr>
          <w:rStyle w:val="NormalTok"/>
        </w:rPr>
        <w:t xml:space="preserve"> </w:t>
      </w:r>
      <w:r>
        <w:rPr>
          <w:rStyle w:val="DataTypeTok"/>
        </w:rPr>
        <w:t xml:space="preserve">currency</w:t>
      </w:r>
      <w:r>
        <w:rPr>
          <w:rStyle w:val="OperatorTok"/>
        </w:rPr>
        <w:t xml:space="preserve">:</w:t>
      </w:r>
      <w:r>
        <w:rPr>
          <w:rStyle w:val="NormalTok"/>
        </w:rPr>
        <w:t xml:space="preserve"> </w:t>
      </w:r>
      <w:r>
        <w:rPr>
          <w:rStyle w:val="StringTok"/>
        </w:rPr>
        <w:t xml:space="preserve">"EUR"</w:t>
      </w:r>
      <w:r>
        <w:rPr>
          <w:rStyle w:val="OperatorTok"/>
        </w:rPr>
        <w:t xml:space="preserve">,</w:t>
      </w:r>
      <w:r>
        <w:rPr>
          <w:rStyle w:val="NormalTok"/>
        </w:rPr>
        <w:t xml:space="preserve"> </w:t>
      </w:r>
      <w:r>
        <w:rPr>
          <w:rStyle w:val="DataTypeTok"/>
        </w:rPr>
        <w:t xml:space="preserve">maximumFractionDigits</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FunctionTok"/>
        </w:rPr>
        <w:t xml:space="preserve">format</w:t>
      </w:r>
      <w:r>
        <w:rPr>
          <w:rStyle w:val="NormalTok"/>
        </w:rPr>
        <w:t xml:space="preserve">(</w:t>
      </w:r>
      <w:r>
        <w:rPr>
          <w:rStyle w:val="FloatTok"/>
        </w:rPr>
        <w:t xml:space="preserve">1234567.89</w:t>
      </w:r>
      <w:r>
        <w:rPr>
          <w:rStyle w:val="NormalTok"/>
        </w:rPr>
        <w:t xml:space="preserve">)</w:t>
      </w:r>
      <w:r>
        <w:rPr>
          <w:rStyle w:val="OperatorTok"/>
        </w:rPr>
        <w:t xml:space="preserve">;</w:t>
      </w:r>
      <w:r>
        <w:br/>
      </w:r>
      <w:r>
        <w:br/>
      </w:r>
      <w:r>
        <w:rPr>
          <w:rStyle w:val="NormalTok"/>
        </w:rPr>
        <w:t xml:space="preserve">Response</w:t>
      </w:r>
      <w:r>
        <w:rPr>
          <w:rStyle w:val="OperatorTok"/>
        </w:rPr>
        <w:t xml:space="preserve">.</w:t>
      </w:r>
      <w:r>
        <w:rPr>
          <w:rStyle w:val="FunctionTok"/>
        </w:rPr>
        <w:t xml:space="preserve">Write</w:t>
      </w:r>
      <w:r>
        <w:rPr>
          <w:rStyle w:val="NormalTok"/>
        </w:rPr>
        <w:t xml:space="preserve">(enDate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(ptDate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(deNumber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br/>
      </w:r>
      <w:r>
        <w:rPr>
          <w:rStyle w:val="CommentTok"/>
        </w:rPr>
        <w:t xml:space="preserve">// Output:</w:t>
      </w:r>
      <w:r>
        <w:br/>
      </w:r>
      <w:r>
        <w:rPr>
          <w:rStyle w:val="CommentTok"/>
        </w:rPr>
        <w:t xml:space="preserve">// 1/2/2026</w:t>
      </w:r>
      <w:r>
        <w:br/>
      </w:r>
      <w:r>
        <w:rPr>
          <w:rStyle w:val="CommentTok"/>
        </w:rPr>
        <w:t xml:space="preserve">// 02/01/2026</w:t>
      </w:r>
      <w:r>
        <w:br/>
      </w:r>
      <w:r>
        <w:rPr>
          <w:rStyle w:val="CommentTok"/>
        </w:rPr>
        <w:t xml:space="preserve">// € 1.234.567,89</w:t>
      </w:r>
      <w:r>
        <w:br/>
      </w:r>
      <w:r>
        <w:br/>
      </w:r>
      <w:r>
        <w:rPr>
          <w:rStyle w:val="CommentTok"/>
        </w:rPr>
        <w:t xml:space="preserve">// Collator Example</w:t>
      </w:r>
      <w:r>
        <w:br/>
      </w:r>
      <w:r>
        <w:rPr>
          <w:rStyle w:val="KeywordTok"/>
        </w:rPr>
        <w:t xml:space="preserve">var</w:t>
      </w:r>
      <w:r>
        <w:rPr>
          <w:rStyle w:val="NormalTok"/>
        </w:rPr>
        <w:t xml:space="preserve"> collator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Collator</w:t>
      </w:r>
      <w:r>
        <w:rPr>
          <w:rStyle w:val="NormalTok"/>
        </w:rPr>
        <w:t xml:space="preserve">(</w:t>
      </w:r>
      <w:r>
        <w:rPr>
          <w:rStyle w:val="StringTok"/>
        </w:rPr>
        <w:t xml:space="preserve">"en"</w:t>
      </w:r>
      <w:r>
        <w:rPr>
          <w:rStyle w:val="OperatorTok"/>
        </w:rPr>
        <w:t xml:space="preserve">,</w:t>
      </w:r>
      <w:r>
        <w:rPr>
          <w:rStyle w:val="NormalTok"/>
        </w:rPr>
        <w:t xml:space="preserve"> { </w:t>
      </w:r>
      <w:r>
        <w:rPr>
          <w:rStyle w:val="DataTypeTok"/>
        </w:rPr>
        <w:t xml:space="preserve">sensitivity</w:t>
      </w:r>
      <w:r>
        <w:rPr>
          <w:rStyle w:val="OperatorTok"/>
        </w:rPr>
        <w:t xml:space="preserve">:</w:t>
      </w:r>
      <w:r>
        <w:rPr>
          <w:rStyle w:val="NormalTok"/>
        </w:rPr>
        <w:t xml:space="preserve"> </w:t>
      </w:r>
      <w:r>
        <w:rPr>
          <w:rStyle w:val="StringTok"/>
        </w:rPr>
        <w:t xml:space="preserve">"base"</w:t>
      </w:r>
      <w:r>
        <w:rPr>
          <w:rStyle w:val="NormalTok"/>
        </w:rPr>
        <w:t xml:space="preserve"> })</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(collator</w:t>
      </w:r>
      <w:r>
        <w:rPr>
          <w:rStyle w:val="OperatorTok"/>
        </w:rPr>
        <w:t xml:space="preserve">.</w:t>
      </w:r>
      <w:r>
        <w:rPr>
          <w:rStyle w:val="FunctionTok"/>
        </w:rPr>
        <w:t xml:space="preserve">compare</w:t>
      </w:r>
      <w:r>
        <w:rPr>
          <w:rStyle w:val="NormalTok"/>
        </w:rPr>
        <w:t xml:space="preserve">(</w:t>
      </w:r>
      <w:r>
        <w:rPr>
          <w:rStyle w:val="StringTok"/>
        </w:rPr>
        <w:t xml:space="preserve">"a"</w:t>
      </w:r>
      <w:r>
        <w:rPr>
          <w:rStyle w:val="OperatorTok"/>
        </w:rPr>
        <w:t xml:space="preserve">,</w:t>
      </w:r>
      <w:r>
        <w:rPr>
          <w:rStyle w:val="NormalTok"/>
        </w:rPr>
        <w:t xml:space="preserve"> </w:t>
      </w:r>
      <w:r>
        <w:rPr>
          <w:rStyle w:val="StringTok"/>
        </w:rPr>
        <w:t xml:space="preserve">"A"</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w:t>
      </w:r>
      <w:r>
        <w:rPr>
          <w:rStyle w:val="OperatorTok"/>
        </w:rPr>
        <w:t xml:space="preserve">;</w:t>
      </w:r>
      <w:r>
        <w:rPr>
          <w:rStyle w:val="NormalTok"/>
        </w:rPr>
        <w:t xml:space="preserve"> </w:t>
      </w:r>
      <w:r>
        <w:rPr>
          <w:rStyle w:val="CommentTok"/>
        </w:rPr>
        <w:t xml:space="preserve">// Output: true</w:t>
      </w:r>
      <w:r>
        <w:br/>
      </w:r>
      <w:r>
        <w:br/>
      </w:r>
      <w:r>
        <w:rPr>
          <w:rStyle w:val="CommentTok"/>
        </w:rPr>
        <w:t xml:space="preserve">// PluralRules Example</w:t>
      </w:r>
      <w:r>
        <w:br/>
      </w:r>
      <w:r>
        <w:rPr>
          <w:rStyle w:val="KeywordTok"/>
        </w:rPr>
        <w:t xml:space="preserve">var</w:t>
      </w:r>
      <w:r>
        <w:rPr>
          <w:rStyle w:val="NormalTok"/>
        </w:rPr>
        <w:t xml:space="preserve"> pr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PluralRules</w:t>
      </w:r>
      <w:r>
        <w:rPr>
          <w:rStyle w:val="NormalTok"/>
        </w:rPr>
        <w:t xml:space="preserve">(</w:t>
      </w:r>
      <w:r>
        <w:rPr>
          <w:rStyle w:val="StringTok"/>
        </w:rPr>
        <w:t xml:space="preserve">"en"</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(pr</w:t>
      </w:r>
      <w:r>
        <w:rPr>
          <w:rStyle w:val="OperatorTok"/>
        </w:rPr>
        <w:t xml:space="preserve">.</w:t>
      </w:r>
      <w:r>
        <w:rPr>
          <w:rStyle w:val="FunctionTok"/>
        </w:rPr>
        <w:t xml:space="preserve">select</w:t>
      </w:r>
      <w:r>
        <w:rPr>
          <w:rStyle w:val="NormalTok"/>
        </w:rPr>
        <w:t xml:space="preserve">(</w:t>
      </w:r>
      <w:r>
        <w:rPr>
          <w:rStyle w:val="DecValTok"/>
        </w:rPr>
        <w:t xml:space="preserve">1</w:t>
      </w:r>
      <w:r>
        <w:rPr>
          <w:rStyle w:val="NormalTok"/>
        </w:rPr>
        <w:t xml:space="preserve">))</w:t>
      </w:r>
      <w:r>
        <w:rPr>
          <w:rStyle w:val="OperatorTok"/>
        </w:rPr>
        <w:t xml:space="preserve">;</w:t>
      </w:r>
      <w:r>
        <w:rPr>
          <w:rStyle w:val="NormalTok"/>
        </w:rPr>
        <w:t xml:space="preserve"> </w:t>
      </w:r>
      <w:r>
        <w:rPr>
          <w:rStyle w:val="CommentTok"/>
        </w:rPr>
        <w:t xml:space="preserve">// one</w:t>
      </w:r>
      <w:r>
        <w:br/>
      </w:r>
      <w:r>
        <w:rPr>
          <w:rStyle w:val="NormalTok"/>
        </w:rPr>
        <w:t xml:space="preserve">Response</w:t>
      </w:r>
      <w:r>
        <w:rPr>
          <w:rStyle w:val="OperatorTok"/>
        </w:rPr>
        <w:t xml:space="preserve">.</w:t>
      </w:r>
      <w:r>
        <w:rPr>
          <w:rStyle w:val="FunctionTok"/>
        </w:rPr>
        <w:t xml:space="preserve">Write</w:t>
      </w:r>
      <w:r>
        <w:rPr>
          <w:rStyle w:val="NormalTok"/>
        </w:rPr>
        <w:t xml:space="preserve">(pr</w:t>
      </w:r>
      <w:r>
        <w:rPr>
          <w:rStyle w:val="OperatorTok"/>
        </w:rPr>
        <w:t xml:space="preserve">.</w:t>
      </w:r>
      <w:r>
        <w:rPr>
          <w:rStyle w:val="FunctionTok"/>
        </w:rPr>
        <w:t xml:space="preserve">select</w:t>
      </w:r>
      <w:r>
        <w:rPr>
          <w:rStyle w:val="NormalTok"/>
        </w:rPr>
        <w:t xml:space="preserve">(</w:t>
      </w:r>
      <w:r>
        <w:rPr>
          <w:rStyle w:val="DecValTok"/>
        </w:rPr>
        <w:t xml:space="preserve">2</w:t>
      </w:r>
      <w:r>
        <w:rPr>
          <w:rStyle w:val="NormalTok"/>
        </w:rPr>
        <w:t xml:space="preserve">))</w:t>
      </w:r>
      <w:r>
        <w:rPr>
          <w:rStyle w:val="OperatorTok"/>
        </w:rPr>
        <w:t xml:space="preserve">;</w:t>
      </w:r>
      <w:r>
        <w:rPr>
          <w:rStyle w:val="NormalTok"/>
        </w:rPr>
        <w:t xml:space="preserve"> </w:t>
      </w:r>
      <w:r>
        <w:rPr>
          <w:rStyle w:val="CommentTok"/>
        </w:rPr>
        <w:t xml:space="preserve">// other</w:t>
      </w:r>
      <w:r>
        <w:br/>
      </w:r>
      <w:r>
        <w:br/>
      </w:r>
      <w:r>
        <w:rPr>
          <w:rStyle w:val="CommentTok"/>
        </w:rPr>
        <w:t xml:space="preserve">// RelativeTimeFormat Example</w:t>
      </w:r>
      <w:r>
        <w:br/>
      </w:r>
      <w:r>
        <w:rPr>
          <w:rStyle w:val="KeywordTok"/>
        </w:rPr>
        <w:t xml:space="preserve">var</w:t>
      </w:r>
      <w:r>
        <w:rPr>
          <w:rStyle w:val="NormalTok"/>
        </w:rPr>
        <w:t xml:space="preserve"> rtf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Intl</w:t>
      </w:r>
      <w:r>
        <w:rPr>
          <w:rStyle w:val="OperatorTok"/>
        </w:rPr>
        <w:t xml:space="preserve">.</w:t>
      </w:r>
      <w:r>
        <w:rPr>
          <w:rStyle w:val="FunctionTok"/>
        </w:rPr>
        <w:t xml:space="preserve">RelativeTimeFormat</w:t>
      </w:r>
      <w:r>
        <w:rPr>
          <w:rStyle w:val="NormalTok"/>
        </w:rPr>
        <w:t xml:space="preserve">(</w:t>
      </w:r>
      <w:r>
        <w:rPr>
          <w:rStyle w:val="StringTok"/>
        </w:rPr>
        <w:t xml:space="preserve">"en"</w:t>
      </w:r>
      <w:r>
        <w:rPr>
          <w:rStyle w:val="OperatorTok"/>
        </w:rPr>
        <w:t xml:space="preserve">,</w:t>
      </w:r>
      <w:r>
        <w:rPr>
          <w:rStyle w:val="NormalTok"/>
        </w:rPr>
        <w:t xml:space="preserve"> { </w:t>
      </w:r>
      <w:r>
        <w:rPr>
          <w:rStyle w:val="DataTypeTok"/>
        </w:rPr>
        <w:t xml:space="preserve">numeric</w:t>
      </w:r>
      <w:r>
        <w:rPr>
          <w:rStyle w:val="OperatorTok"/>
        </w:rPr>
        <w:t xml:space="preserve">:</w:t>
      </w:r>
      <w:r>
        <w:rPr>
          <w:rStyle w:val="NormalTok"/>
        </w:rPr>
        <w:t xml:space="preserve"> </w:t>
      </w:r>
      <w:r>
        <w:rPr>
          <w:rStyle w:val="StringTok"/>
        </w:rPr>
        <w:t xml:space="preserve">"auto"</w:t>
      </w:r>
      <w:r>
        <w:rPr>
          <w:rStyle w:val="NormalTok"/>
        </w:rPr>
        <w:t xml:space="preserve"> })</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(rtf</w:t>
      </w:r>
      <w:r>
        <w:rPr>
          <w:rStyle w:val="OperatorTok"/>
        </w:rPr>
        <w:t xml:space="preserve">.</w:t>
      </w:r>
      <w:r>
        <w:rPr>
          <w:rStyle w:val="FunctionTok"/>
        </w:rPr>
        <w:t xml:space="preserve">format</w:t>
      </w:r>
      <w:r>
        <w:rPr>
          <w:rStyle w:val="NormalTok"/>
        </w:rPr>
        <w:t xml:space="preserve">(</w:t>
      </w:r>
      <w:r>
        <w:rPr>
          <w:rStyle w:val="OperatorTok"/>
        </w:rPr>
        <w:t xml:space="preserve">-</w:t>
      </w:r>
      <w:r>
        <w:rPr>
          <w:rStyle w:val="DecValTok"/>
        </w:rPr>
        <w:t xml:space="preserve">1</w:t>
      </w:r>
      <w:r>
        <w:rPr>
          <w:rStyle w:val="OperatorTok"/>
        </w:rPr>
        <w:t xml:space="preserve">,</w:t>
      </w:r>
      <w:r>
        <w:rPr>
          <w:rStyle w:val="NormalTok"/>
        </w:rPr>
        <w:t xml:space="preserve"> </w:t>
      </w:r>
      <w:r>
        <w:rPr>
          <w:rStyle w:val="StringTok"/>
        </w:rPr>
        <w:t xml:space="preserve">"day"</w:t>
      </w:r>
      <w:r>
        <w:rPr>
          <w:rStyle w:val="NormalTok"/>
        </w:rPr>
        <w:t xml:space="preserve">))</w:t>
      </w:r>
      <w:r>
        <w:rPr>
          <w:rStyle w:val="OperatorTok"/>
        </w:rPr>
        <w:t xml:space="preserve">;</w:t>
      </w:r>
      <w:r>
        <w:rPr>
          <w:rStyle w:val="NormalTok"/>
        </w:rPr>
        <w:t xml:space="preserve"> </w:t>
      </w:r>
      <w:r>
        <w:rPr>
          <w:rStyle w:val="CommentTok"/>
        </w:rPr>
        <w:t xml:space="preserve">// yesterday</w:t>
      </w:r>
      <w:r>
        <w:br/>
      </w:r>
      <w:r>
        <w:rPr>
          <w:rStyle w:val="NormalTok"/>
        </w:rPr>
        <w:t xml:space="preserve">Response</w:t>
      </w:r>
      <w:r>
        <w:rPr>
          <w:rStyle w:val="OperatorTok"/>
        </w:rPr>
        <w:t xml:space="preserve">.</w:t>
      </w:r>
      <w:r>
        <w:rPr>
          <w:rStyle w:val="FunctionTok"/>
        </w:rPr>
        <w:t xml:space="preserve">Write</w:t>
      </w:r>
      <w:r>
        <w:rPr>
          <w:rStyle w:val="NormalTok"/>
        </w:rPr>
        <w:t xml:space="preserve">(rtf</w:t>
      </w:r>
      <w:r>
        <w:rPr>
          <w:rStyle w:val="OperatorTok"/>
        </w:rPr>
        <w:t xml:space="preserve">.</w:t>
      </w:r>
      <w:r>
        <w:rPr>
          <w:rStyle w:val="FunctionTok"/>
        </w:rPr>
        <w:t xml:space="preserve">format</w:t>
      </w:r>
      <w:r>
        <w:rPr>
          <w:rStyle w:val="NormalTok"/>
        </w:rPr>
        <w:t xml:space="preserve">(</w:t>
      </w:r>
      <w:r>
        <w:rPr>
          <w:rStyle w:val="DecValTok"/>
        </w:rPr>
        <w:t xml:space="preserve">2</w:t>
      </w:r>
      <w:r>
        <w:rPr>
          <w:rStyle w:val="OperatorTok"/>
        </w:rPr>
        <w:t xml:space="preserve">,</w:t>
      </w:r>
      <w:r>
        <w:rPr>
          <w:rStyle w:val="NormalTok"/>
        </w:rPr>
        <w:t xml:space="preserve"> </w:t>
      </w:r>
      <w:r>
        <w:rPr>
          <w:rStyle w:val="StringTok"/>
        </w:rPr>
        <w:t xml:space="preserve">"day"</w:t>
      </w:r>
      <w:r>
        <w:rPr>
          <w:rStyle w:val="NormalTok"/>
        </w:rPr>
        <w:t xml:space="preserve">))</w:t>
      </w:r>
      <w:r>
        <w:rPr>
          <w:rStyle w:val="OperatorTok"/>
        </w:rPr>
        <w:t xml:space="preserve">;</w:t>
      </w:r>
      <w:r>
        <w:rPr>
          <w:rStyle w:val="NormalTok"/>
        </w:rPr>
        <w:t xml:space="preserve">  </w:t>
      </w:r>
      <w:r>
        <w:rPr>
          <w:rStyle w:val="CommentTok"/>
        </w:rPr>
        <w:t xml:space="preserve">// in 2 days</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04"/>
    <w:bookmarkEnd w:id="1005"/>
    <w:bookmarkStart w:id="1014" w:name="destructuring-assignment"/>
    <w:p>
      <w:pPr>
        <w:pStyle w:val="Heading2"/>
      </w:pPr>
      <w:r>
        <w:t xml:space="preserve">Destructuring Assignment</w:t>
      </w:r>
    </w:p>
    <w:p>
      <w:pPr>
        <w:pStyle w:val="FirstParagraph"/>
      </w:pPr>
      <w:r>
        <w:t xml:space="preserve">Destructuring assignment is a syntax that makes it possible to unpack values from arrays, or properties from objects, into distinct variables.</w:t>
      </w:r>
    </w:p>
    <w:bookmarkStart w:id="1009" w:name="object-destructuring"/>
    <w:p>
      <w:pPr>
        <w:pStyle w:val="Heading3"/>
      </w:pPr>
      <w:r>
        <w:t xml:space="preserve">Object Destructuring</w:t>
      </w:r>
    </w:p>
    <w:p>
      <w:pPr>
        <w:pStyle w:val="FirstParagraph"/>
      </w:pPr>
      <w:r>
        <w:t xml:space="preserve">Object destructuring allows you to extract multiple properties from an object and assign them to variables in a single statement.</w:t>
      </w:r>
    </w:p>
    <w:bookmarkStart w:id="1006" w:name="syntax-56"/>
    <w:p>
      <w:pPr>
        <w:pStyle w:val="Heading4"/>
      </w:pPr>
      <w:r>
        <w:t xml:space="preserve">Syntax</w:t>
      </w:r>
    </w:p>
    <w:p>
      <w:pPr>
        <w:pStyle w:val="SourceCode"/>
      </w:pPr>
      <w:r>
        <w:rPr>
          <w:rStyle w:val="KeywordTok"/>
        </w:rPr>
        <w:t xml:space="preserve">var</w:t>
      </w:r>
      <w:r>
        <w:rPr>
          <w:rStyle w:val="NormalTok"/>
        </w:rPr>
        <w:t xml:space="preserve"> { p1</w:t>
      </w:r>
      <w:r>
        <w:rPr>
          <w:rStyle w:val="OperatorTok"/>
        </w:rPr>
        <w:t xml:space="preserve">,</w:t>
      </w:r>
      <w:r>
        <w:rPr>
          <w:rStyle w:val="NormalTok"/>
        </w:rPr>
        <w:t xml:space="preserve"> p2 } </w:t>
      </w:r>
      <w:r>
        <w:rPr>
          <w:rStyle w:val="OperatorTok"/>
        </w:rPr>
        <w:t xml:space="preserve">=</w:t>
      </w:r>
      <w:r>
        <w:rPr>
          <w:rStyle w:val="NormalTok"/>
        </w:rPr>
        <w:t xml:space="preserve"> object</w:t>
      </w:r>
      <w:r>
        <w:rPr>
          <w:rStyle w:val="OperatorTok"/>
        </w:rPr>
        <w:t xml:space="preserve">;</w:t>
      </w:r>
      <w:r>
        <w:br/>
      </w:r>
      <w:r>
        <w:rPr>
          <w:rStyle w:val="KeywordTok"/>
        </w:rPr>
        <w:t xml:space="preserve">var</w:t>
      </w:r>
      <w:r>
        <w:rPr>
          <w:rStyle w:val="NormalTok"/>
        </w:rPr>
        <w:t xml:space="preserve"> { </w:t>
      </w:r>
      <w:r>
        <w:rPr>
          <w:rStyle w:val="DataTypeTok"/>
        </w:rPr>
        <w:t xml:space="preserve">p1</w:t>
      </w:r>
      <w:r>
        <w:rPr>
          <w:rStyle w:val="OperatorTok"/>
        </w:rPr>
        <w:t xml:space="preserve">:</w:t>
      </w:r>
      <w:r>
        <w:rPr>
          <w:rStyle w:val="NormalTok"/>
        </w:rPr>
        <w:t xml:space="preserve"> v1</w:t>
      </w:r>
      <w:r>
        <w:rPr>
          <w:rStyle w:val="OperatorTok"/>
        </w:rPr>
        <w:t xml:space="preserve">,</w:t>
      </w:r>
      <w:r>
        <w:rPr>
          <w:rStyle w:val="NormalTok"/>
        </w:rPr>
        <w:t xml:space="preserve"> </w:t>
      </w:r>
      <w:r>
        <w:rPr>
          <w:rStyle w:val="DataTypeTok"/>
        </w:rPr>
        <w:t xml:space="preserve">p2</w:t>
      </w:r>
      <w:r>
        <w:rPr>
          <w:rStyle w:val="OperatorTok"/>
        </w:rPr>
        <w:t xml:space="preserve">:</w:t>
      </w:r>
      <w:r>
        <w:rPr>
          <w:rStyle w:val="NormalTok"/>
        </w:rPr>
        <w:t xml:space="preserve"> v2 } </w:t>
      </w:r>
      <w:r>
        <w:rPr>
          <w:rStyle w:val="OperatorTok"/>
        </w:rPr>
        <w:t xml:space="preserve">=</w:t>
      </w:r>
      <w:r>
        <w:rPr>
          <w:rStyle w:val="NormalTok"/>
        </w:rPr>
        <w:t xml:space="preserve"> object</w:t>
      </w:r>
      <w:r>
        <w:rPr>
          <w:rStyle w:val="OperatorTok"/>
        </w:rPr>
        <w:t xml:space="preserve">;</w:t>
      </w:r>
      <w:r>
        <w:br/>
      </w:r>
      <w:r>
        <w:rPr>
          <w:rStyle w:val="KeywordTok"/>
        </w:rPr>
        <w:t xml:space="preserve">var</w:t>
      </w:r>
      <w:r>
        <w:rPr>
          <w:rStyle w:val="NormalTok"/>
        </w:rPr>
        <w:t xml:space="preserve"> { p1 </w:t>
      </w:r>
      <w:r>
        <w:rPr>
          <w:rStyle w:val="OperatorTok"/>
        </w:rPr>
        <w:t xml:space="preserve">=</w:t>
      </w:r>
      <w:r>
        <w:rPr>
          <w:rStyle w:val="NormalTok"/>
        </w:rPr>
        <w:t xml:space="preserve"> defaultValue } </w:t>
      </w:r>
      <w:r>
        <w:rPr>
          <w:rStyle w:val="OperatorTok"/>
        </w:rPr>
        <w:t xml:space="preserve">=</w:t>
      </w:r>
      <w:r>
        <w:rPr>
          <w:rStyle w:val="NormalTok"/>
        </w:rPr>
        <w:t xml:space="preserve"> object</w:t>
      </w:r>
      <w:r>
        <w:rPr>
          <w:rStyle w:val="OperatorTok"/>
        </w:rPr>
        <w:t xml:space="preserve">;</w:t>
      </w:r>
      <w:r>
        <w:rPr>
          <w:rStyle w:val="NormalTok"/>
        </w:rPr>
        <w:t xml:space="preserve"> </w:t>
      </w:r>
      <w:r>
        <w:rPr>
          <w:rStyle w:val="CommentTok"/>
        </w:rPr>
        <w:t xml:space="preserve">// Default value</w:t>
      </w:r>
      <w:r>
        <w:br/>
      </w:r>
      <w:r>
        <w:rPr>
          <w:rStyle w:val="KeywordTok"/>
        </w:rPr>
        <w:t xml:space="preserve">var</w:t>
      </w:r>
      <w:r>
        <w:rPr>
          <w:rStyle w:val="NormalTok"/>
        </w:rPr>
        <w:t xml:space="preserve"> { p1</w:t>
      </w:r>
      <w:r>
        <w:rPr>
          <w:rStyle w:val="OperatorTok"/>
        </w:rPr>
        <w:t xml:space="preserve">,</w:t>
      </w:r>
      <w:r>
        <w:rPr>
          <w:rStyle w:val="NormalTok"/>
        </w:rPr>
        <w:t xml:space="preserve"> </w:t>
      </w:r>
      <w:r>
        <w:rPr>
          <w:rStyle w:val="OperatorTok"/>
        </w:rPr>
        <w:t xml:space="preserve">...</w:t>
      </w:r>
      <w:r>
        <w:rPr>
          <w:rStyle w:val="NormalTok"/>
        </w:rPr>
        <w:t xml:space="preserve">rest } </w:t>
      </w:r>
      <w:r>
        <w:rPr>
          <w:rStyle w:val="OperatorTok"/>
        </w:rPr>
        <w:t xml:space="preserve">=</w:t>
      </w:r>
      <w:r>
        <w:rPr>
          <w:rStyle w:val="NormalTok"/>
        </w:rPr>
        <w:t xml:space="preserve"> object</w:t>
      </w:r>
      <w:r>
        <w:rPr>
          <w:rStyle w:val="OperatorTok"/>
        </w:rPr>
        <w:t xml:space="preserve">;</w:t>
      </w:r>
      <w:r>
        <w:rPr>
          <w:rStyle w:val="NormalTok"/>
        </w:rPr>
        <w:t xml:space="preserve"> </w:t>
      </w:r>
      <w:r>
        <w:rPr>
          <w:rStyle w:val="CommentTok"/>
        </w:rPr>
        <w:t xml:space="preserve">// Object rest</w:t>
      </w:r>
    </w:p>
    <w:bookmarkEnd w:id="1006"/>
    <w:bookmarkStart w:id="1007" w:name="remarks-63"/>
    <w:p>
      <w:pPr>
        <w:pStyle w:val="Heading4"/>
      </w:pPr>
      <w:r>
        <w:t xml:space="preserve">Remarks</w:t>
      </w:r>
    </w:p>
    <w:p>
      <w:pPr>
        <w:pStyle w:val="Compact"/>
        <w:numPr>
          <w:ilvl w:val="0"/>
          <w:numId w:val="1274"/>
        </w:numPr>
      </w:pPr>
      <w:r>
        <w:t xml:space="preserve">If a variable name matches a property name, you can use the shorthand</w:t>
      </w:r>
      <w:r>
        <w:t xml:space="preserve"> </w:t>
      </w:r>
      <w:r>
        <w:rPr>
          <w:rStyle w:val="VerbatimChar"/>
        </w:rPr>
        <w:t xml:space="preserve">{ p1, p2 }</w:t>
      </w:r>
      <w:r>
        <w:t xml:space="preserve">.</w:t>
      </w:r>
    </w:p>
    <w:p>
      <w:pPr>
        <w:pStyle w:val="Compact"/>
        <w:numPr>
          <w:ilvl w:val="0"/>
          <w:numId w:val="1274"/>
        </w:numPr>
      </w:pPr>
      <w:r>
        <w:t xml:space="preserve">You can map a property to a different variable name using</w:t>
      </w:r>
      <w:r>
        <w:t xml:space="preserve"> </w:t>
      </w:r>
      <w:r>
        <w:rPr>
          <w:rStyle w:val="VerbatimChar"/>
        </w:rPr>
        <w:t xml:space="preserve">{ property: variable }</w:t>
      </w:r>
      <w:r>
        <w:t xml:space="preserve">.</w:t>
      </w:r>
    </w:p>
    <w:p>
      <w:pPr>
        <w:pStyle w:val="Compact"/>
        <w:numPr>
          <w:ilvl w:val="0"/>
          <w:numId w:val="1274"/>
        </w:numPr>
      </w:pPr>
      <w:r>
        <w:rPr>
          <w:b/>
          <w:bCs/>
        </w:rPr>
        <w:t xml:space="preserve">Default Values:</w:t>
      </w:r>
      <w:r>
        <w:t xml:space="preserve"> </w:t>
      </w:r>
      <w:r>
        <w:t xml:space="preserve">You can provide a default value using</w:t>
      </w:r>
      <w:r>
        <w:t xml:space="preserve"> </w:t>
      </w:r>
      <w:r>
        <w:rPr>
          <w:rStyle w:val="VerbatimChar"/>
        </w:rPr>
        <w:t xml:space="preserve">=</w:t>
      </w:r>
      <w:r>
        <w:t xml:space="preserve">. The default is only used if the property is strictly</w:t>
      </w:r>
      <w:r>
        <w:t xml:space="preserve"> </w:t>
      </w:r>
      <w:r>
        <w:rPr>
          <w:rStyle w:val="VerbatimChar"/>
        </w:rPr>
        <w:t xml:space="preserve">undefined</w:t>
      </w:r>
      <w:r>
        <w:t xml:space="preserve">.</w:t>
      </w:r>
    </w:p>
    <w:p>
      <w:pPr>
        <w:pStyle w:val="Compact"/>
        <w:numPr>
          <w:ilvl w:val="0"/>
          <w:numId w:val="1274"/>
        </w:numPr>
      </w:pPr>
      <w:r>
        <w:rPr>
          <w:b/>
          <w:bCs/>
        </w:rPr>
        <w:t xml:space="preserve">Rest Property:</w:t>
      </w:r>
      <w:r>
        <w:t xml:space="preserve"> </w:t>
      </w:r>
      <w:r>
        <w:t xml:space="preserve">The</w:t>
      </w:r>
      <w:r>
        <w:t xml:space="preserve"> </w:t>
      </w:r>
      <w:r>
        <w:rPr>
          <w:rStyle w:val="VerbatimChar"/>
        </w:rPr>
        <w:t xml:space="preserve">...rest</w:t>
      </w:r>
      <w:r>
        <w:t xml:space="preserve"> </w:t>
      </w:r>
      <w:r>
        <w:t xml:space="preserve">syntax creates a new object containing all remaining enumerable own properties of the source object.</w:t>
      </w:r>
    </w:p>
    <w:p>
      <w:pPr>
        <w:pStyle w:val="Compact"/>
        <w:numPr>
          <w:ilvl w:val="0"/>
          <w:numId w:val="1274"/>
        </w:numPr>
      </w:pPr>
      <w:r>
        <w:t xml:space="preserve">Nested destructuring is supported:</w:t>
      </w:r>
      <w:r>
        <w:t xml:space="preserve"> </w:t>
      </w:r>
      <w:r>
        <w:rPr>
          <w:rStyle w:val="VerbatimChar"/>
        </w:rPr>
        <w:t xml:space="preserve">var { a: { b } } = obj;</w:t>
      </w:r>
      <w:r>
        <w:t xml:space="preserve">.</w:t>
      </w:r>
    </w:p>
    <w:p>
      <w:pPr>
        <w:pStyle w:val="Compact"/>
        <w:numPr>
          <w:ilvl w:val="0"/>
          <w:numId w:val="1274"/>
        </w:numPr>
      </w:pPr>
      <w:r>
        <w:t xml:space="preserve">Computed property names can be used:</w:t>
      </w:r>
      <w:r>
        <w:t xml:space="preserve"> </w:t>
      </w:r>
      <w:r>
        <w:rPr>
          <w:rStyle w:val="VerbatimChar"/>
        </w:rPr>
        <w:t xml:space="preserve">var { [key]: value } = obj;</w:t>
      </w:r>
      <w:r>
        <w:t xml:space="preserve">.</w:t>
      </w:r>
    </w:p>
    <w:p>
      <w:pPr>
        <w:pStyle w:val="Compact"/>
        <w:numPr>
          <w:ilvl w:val="0"/>
          <w:numId w:val="1274"/>
        </w:numPr>
      </w:pPr>
      <w:r>
        <w:rPr>
          <w:b/>
          <w:bCs/>
        </w:rPr>
        <w:t xml:space="preserve">Validation:</w:t>
      </w:r>
      <w:r>
        <w:t xml:space="preserve"> </w:t>
      </w:r>
      <w:r>
        <w:t xml:space="preserve">Attempting to destructure</w:t>
      </w:r>
      <w:r>
        <w:t xml:space="preserve"> </w:t>
      </w:r>
      <w:r>
        <w:rPr>
          <w:rStyle w:val="VerbatimChar"/>
        </w:rPr>
        <w:t xml:space="preserve">null</w:t>
      </w:r>
      <w:r>
        <w:t xml:space="preserve"> </w:t>
      </w:r>
      <w:r>
        <w:t xml:space="preserve">or</w:t>
      </w:r>
      <w:r>
        <w:t xml:space="preserve"> </w:t>
      </w:r>
      <w:r>
        <w:rPr>
          <w:rStyle w:val="VerbatimChar"/>
        </w:rPr>
        <w:t xml:space="preserve">undefined</w:t>
      </w:r>
      <w:r>
        <w:t xml:space="preserve"> </w:t>
      </w:r>
      <w:r>
        <w:t xml:space="preserve">raises a</w:t>
      </w:r>
      <w:r>
        <w:t xml:space="preserve"> </w:t>
      </w:r>
      <w:r>
        <w:rPr>
          <w:rStyle w:val="VerbatimChar"/>
        </w:rPr>
        <w:t xml:space="preserve">TypeError</w:t>
      </w:r>
      <w:r>
        <w:t xml:space="preserve">.</w:t>
      </w:r>
    </w:p>
    <w:bookmarkEnd w:id="1007"/>
    <w:bookmarkStart w:id="1008" w:name="code-example-57"/>
    <w:p>
      <w:pPr>
        <w:pStyle w:val="Heading4"/>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user </w:t>
      </w:r>
      <w:r>
        <w:rPr>
          <w:rStyle w:val="OperatorTok"/>
        </w:rPr>
        <w:t xml:space="preserve">=</w:t>
      </w:r>
      <w:r>
        <w:rPr>
          <w:rStyle w:val="NormalTok"/>
        </w:rPr>
        <w:t xml:space="preserve"> { </w:t>
      </w:r>
      <w:r>
        <w:rPr>
          <w:rStyle w:val="DataTypeTok"/>
        </w:rPr>
        <w:t xml:space="preserve">id</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ataTypeTok"/>
        </w:rPr>
        <w:t xml:space="preserve">name</w:t>
      </w:r>
      <w:r>
        <w:rPr>
          <w:rStyle w:val="OperatorTok"/>
        </w:rPr>
        <w:t xml:space="preserve">:</w:t>
      </w:r>
      <w:r>
        <w:rPr>
          <w:rStyle w:val="NormalTok"/>
        </w:rPr>
        <w:t xml:space="preserve"> </w:t>
      </w:r>
      <w:r>
        <w:rPr>
          <w:rStyle w:val="StringTok"/>
        </w:rPr>
        <w:t xml:space="preserve">"Alice"</w:t>
      </w:r>
      <w:r>
        <w:rPr>
          <w:rStyle w:val="OperatorTok"/>
        </w:rPr>
        <w:t xml:space="preserve">,</w:t>
      </w:r>
      <w:r>
        <w:rPr>
          <w:rStyle w:val="NormalTok"/>
        </w:rPr>
        <w:t xml:space="preserve"> </w:t>
      </w:r>
      <w:r>
        <w:rPr>
          <w:rStyle w:val="DataTypeTok"/>
        </w:rPr>
        <w:t xml:space="preserve">details</w:t>
      </w:r>
      <w:r>
        <w:rPr>
          <w:rStyle w:val="OperatorTok"/>
        </w:rPr>
        <w:t xml:space="preserve">:</w:t>
      </w:r>
      <w:r>
        <w:rPr>
          <w:rStyle w:val="NormalTok"/>
        </w:rPr>
        <w:t xml:space="preserve"> { </w:t>
      </w:r>
      <w:r>
        <w:rPr>
          <w:rStyle w:val="DataTypeTok"/>
        </w:rPr>
        <w:t xml:space="preserve">age</w:t>
      </w:r>
      <w:r>
        <w:rPr>
          <w:rStyle w:val="OperatorTok"/>
        </w:rPr>
        <w:t xml:space="preserve">:</w:t>
      </w:r>
      <w:r>
        <w:rPr>
          <w:rStyle w:val="NormalTok"/>
        </w:rPr>
        <w:t xml:space="preserve"> </w:t>
      </w:r>
      <w:r>
        <w:rPr>
          <w:rStyle w:val="DecValTok"/>
        </w:rPr>
        <w:t xml:space="preserve">25</w:t>
      </w:r>
      <w:r>
        <w:rPr>
          <w:rStyle w:val="NormalTok"/>
        </w:rPr>
        <w:t xml:space="preserve"> } }</w:t>
      </w:r>
      <w:r>
        <w:rPr>
          <w:rStyle w:val="OperatorTok"/>
        </w:rPr>
        <w:t xml:space="preserve">;</w:t>
      </w:r>
      <w:r>
        <w:br/>
      </w:r>
      <w:r>
        <w:br/>
      </w:r>
      <w:r>
        <w:rPr>
          <w:rStyle w:val="CommentTok"/>
        </w:rPr>
        <w:t xml:space="preserve">// Basic destructuring</w:t>
      </w:r>
      <w:r>
        <w:br/>
      </w:r>
      <w:r>
        <w:rPr>
          <w:rStyle w:val="KeywordTok"/>
        </w:rPr>
        <w:t xml:space="preserve">var</w:t>
      </w:r>
      <w:r>
        <w:rPr>
          <w:rStyle w:val="NormalTok"/>
        </w:rPr>
        <w:t xml:space="preserve"> { id</w:t>
      </w:r>
      <w:r>
        <w:rPr>
          <w:rStyle w:val="OperatorTok"/>
        </w:rPr>
        <w:t xml:space="preserve">,</w:t>
      </w:r>
      <w:r>
        <w:rPr>
          <w:rStyle w:val="NormalTok"/>
        </w:rPr>
        <w:t xml:space="preserve"> name } </w:t>
      </w:r>
      <w:r>
        <w:rPr>
          <w:rStyle w:val="OperatorTok"/>
        </w:rPr>
        <w:t xml:space="preserve">=</w:t>
      </w:r>
      <w:r>
        <w:rPr>
          <w:rStyle w:val="NormalTok"/>
        </w:rPr>
        <w:t xml:space="preserve"> user</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(id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name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1: Alice</w:t>
      </w:r>
      <w:r>
        <w:br/>
      </w:r>
      <w:r>
        <w:br/>
      </w:r>
      <w:r>
        <w:rPr>
          <w:rStyle w:val="CommentTok"/>
        </w:rPr>
        <w:t xml:space="preserve">// Default values and rest</w:t>
      </w:r>
      <w:r>
        <w:br/>
      </w:r>
      <w:r>
        <w:rPr>
          <w:rStyle w:val="KeywordTok"/>
        </w:rPr>
        <w:t xml:space="preserve">var</w:t>
      </w:r>
      <w:r>
        <w:rPr>
          <w:rStyle w:val="NormalTok"/>
        </w:rPr>
        <w:t xml:space="preserve"> { role </w:t>
      </w:r>
      <w:r>
        <w:rPr>
          <w:rStyle w:val="OperatorTok"/>
        </w:rPr>
        <w:t xml:space="preserve">=</w:t>
      </w:r>
      <w:r>
        <w:rPr>
          <w:rStyle w:val="NormalTok"/>
        </w:rPr>
        <w:t xml:space="preserve"> </w:t>
      </w:r>
      <w:r>
        <w:rPr>
          <w:rStyle w:val="StringTok"/>
        </w:rPr>
        <w:t xml:space="preserve">"guest"</w:t>
      </w:r>
      <w:r>
        <w:rPr>
          <w:rStyle w:val="OperatorTok"/>
        </w:rPr>
        <w:t xml:space="preserve">,</w:t>
      </w:r>
      <w:r>
        <w:rPr>
          <w:rStyle w:val="NormalTok"/>
        </w:rPr>
        <w:t xml:space="preserve"> </w:t>
      </w:r>
      <w:r>
        <w:rPr>
          <w:rStyle w:val="OperatorTok"/>
        </w:rPr>
        <w:t xml:space="preserve">...</w:t>
      </w:r>
      <w:r>
        <w:rPr>
          <w:rStyle w:val="NormalTok"/>
        </w:rPr>
        <w:t xml:space="preserve">others } </w:t>
      </w:r>
      <w:r>
        <w:rPr>
          <w:rStyle w:val="OperatorTok"/>
        </w:rPr>
        <w:t xml:space="preserve">=</w:t>
      </w:r>
      <w:r>
        <w:rPr>
          <w:rStyle w:val="NormalTok"/>
        </w:rPr>
        <w:t xml:space="preserve"> { </w:t>
      </w:r>
      <w:r>
        <w:rPr>
          <w:rStyle w:val="DataTypeTok"/>
        </w:rPr>
        <w:t xml:space="preserve">id</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(role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others</w:t>
      </w:r>
      <w:r>
        <w:rPr>
          <w:rStyle w:val="OperatorTok"/>
        </w:rPr>
        <w:t xml:space="preserve">.</w:t>
      </w:r>
      <w:r>
        <w:rPr>
          <w:rStyle w:val="AttributeTok"/>
        </w:rPr>
        <w:t xml:space="preserve">id</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guest|2</w:t>
      </w:r>
      <w:r>
        <w:br/>
      </w:r>
      <w:r>
        <w:br/>
      </w:r>
      <w:r>
        <w:rPr>
          <w:rStyle w:val="CommentTok"/>
        </w:rPr>
        <w:t xml:space="preserve">// Renaming and nested</w:t>
      </w:r>
      <w:r>
        <w:br/>
      </w:r>
      <w:r>
        <w:rPr>
          <w:rStyle w:val="KeywordTok"/>
        </w:rPr>
        <w:t xml:space="preserve">var</w:t>
      </w:r>
      <w:r>
        <w:rPr>
          <w:rStyle w:val="NormalTok"/>
        </w:rPr>
        <w:t xml:space="preserve"> { </w:t>
      </w:r>
      <w:r>
        <w:rPr>
          <w:rStyle w:val="DataTypeTok"/>
        </w:rPr>
        <w:t xml:space="preserve">name</w:t>
      </w:r>
      <w:r>
        <w:rPr>
          <w:rStyle w:val="OperatorTok"/>
        </w:rPr>
        <w:t xml:space="preserve">:</w:t>
      </w:r>
      <w:r>
        <w:rPr>
          <w:rStyle w:val="NormalTok"/>
        </w:rPr>
        <w:t xml:space="preserve"> userName</w:t>
      </w:r>
      <w:r>
        <w:rPr>
          <w:rStyle w:val="OperatorTok"/>
        </w:rPr>
        <w:t xml:space="preserve">,</w:t>
      </w:r>
      <w:r>
        <w:rPr>
          <w:rStyle w:val="NormalTok"/>
        </w:rPr>
        <w:t xml:space="preserve"> </w:t>
      </w:r>
      <w:r>
        <w:rPr>
          <w:rStyle w:val="DataTypeTok"/>
        </w:rPr>
        <w:t xml:space="preserve">details</w:t>
      </w:r>
      <w:r>
        <w:rPr>
          <w:rStyle w:val="OperatorTok"/>
        </w:rPr>
        <w:t xml:space="preserve">:</w:t>
      </w:r>
      <w:r>
        <w:rPr>
          <w:rStyle w:val="NormalTok"/>
        </w:rPr>
        <w:t xml:space="preserve"> { age } } </w:t>
      </w:r>
      <w:r>
        <w:rPr>
          <w:rStyle w:val="OperatorTok"/>
        </w:rPr>
        <w:t xml:space="preserve">=</w:t>
      </w:r>
      <w:r>
        <w:rPr>
          <w:rStyle w:val="NormalTok"/>
        </w:rPr>
        <w:t xml:space="preserve"> user</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(userName </w:t>
      </w:r>
      <w:r>
        <w:rPr>
          <w:rStyle w:val="OperatorTok"/>
        </w:rPr>
        <w:t xml:space="preserve">+</w:t>
      </w:r>
      <w:r>
        <w:rPr>
          <w:rStyle w:val="NormalTok"/>
        </w:rPr>
        <w:t xml:space="preserve"> </w:t>
      </w:r>
      <w:r>
        <w:rPr>
          <w:rStyle w:val="StringTok"/>
        </w:rPr>
        <w:t xml:space="preserve">" is "</w:t>
      </w:r>
      <w:r>
        <w:rPr>
          <w:rStyle w:val="NormalTok"/>
        </w:rPr>
        <w:t xml:space="preserve"> </w:t>
      </w:r>
      <w:r>
        <w:rPr>
          <w:rStyle w:val="OperatorTok"/>
        </w:rPr>
        <w:t xml:space="preserve">+</w:t>
      </w:r>
      <w:r>
        <w:rPr>
          <w:rStyle w:val="NormalTok"/>
        </w:rPr>
        <w:t xml:space="preserve"> age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Alice is 25</w:t>
      </w:r>
      <w:r>
        <w:br/>
      </w:r>
      <w:r>
        <w:br/>
      </w:r>
      <w:r>
        <w:rPr>
          <w:rStyle w:val="CommentTok"/>
        </w:rPr>
        <w:t xml:space="preserve">// Assignment without declaration (requires parentheses)</w:t>
      </w:r>
      <w:r>
        <w:br/>
      </w:r>
      <w:r>
        <w:rPr>
          <w:rStyle w:val="KeywordTok"/>
        </w:rPr>
        <w:t xml:space="preserve">var</w:t>
      </w:r>
      <w:r>
        <w:rPr>
          <w:rStyle w:val="NormalTok"/>
        </w:rPr>
        <w:t xml:space="preserve"> x</w:t>
      </w:r>
      <w:r>
        <w:rPr>
          <w:rStyle w:val="OperatorTok"/>
        </w:rPr>
        <w:t xml:space="preserve">,</w:t>
      </w:r>
      <w:r>
        <w:rPr>
          <w:rStyle w:val="NormalTok"/>
        </w:rPr>
        <w:t xml:space="preserve"> y</w:t>
      </w:r>
      <w:r>
        <w:rPr>
          <w:rStyle w:val="OperatorTok"/>
        </w:rPr>
        <w:t xml:space="preserve">;</w:t>
      </w:r>
      <w:r>
        <w:br/>
      </w:r>
      <w:r>
        <w:rPr>
          <w:rStyle w:val="NormalTok"/>
        </w:rPr>
        <w:t xml:space="preserve">({ x</w:t>
      </w:r>
      <w:r>
        <w:rPr>
          <w:rStyle w:val="OperatorTok"/>
        </w:rPr>
        <w:t xml:space="preserve">,</w:t>
      </w:r>
      <w:r>
        <w:rPr>
          <w:rStyle w:val="NormalTok"/>
        </w:rPr>
        <w:t xml:space="preserve"> y } </w:t>
      </w:r>
      <w:r>
        <w:rPr>
          <w:rStyle w:val="OperatorTok"/>
        </w:rPr>
        <w:t xml:space="preserve">=</w:t>
      </w:r>
      <w:r>
        <w:rPr>
          <w:rStyle w:val="NormalTok"/>
        </w:rPr>
        <w:t xml:space="preserve"> { </w:t>
      </w:r>
      <w:r>
        <w:rPr>
          <w:rStyle w:val="DataTypeTok"/>
        </w:rPr>
        <w:t xml:space="preserve">x</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DataTypeTok"/>
        </w:rPr>
        <w:t xml:space="preserve">y</w:t>
      </w:r>
      <w:r>
        <w:rPr>
          <w:rStyle w:val="OperatorTok"/>
        </w:rPr>
        <w:t xml:space="preserve">:</w:t>
      </w:r>
      <w:r>
        <w:rPr>
          <w:rStyle w:val="NormalTok"/>
        </w:rPr>
        <w:t xml:space="preserve"> </w:t>
      </w:r>
      <w:r>
        <w:rPr>
          <w:rStyle w:val="DecValTok"/>
        </w:rPr>
        <w:t xml:space="preserve">20</w:t>
      </w:r>
      <w:r>
        <w:rPr>
          <w:rStyle w:val="NormalTok"/>
        </w:rPr>
        <w:t xml:space="preserve"> })</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(x </w:t>
      </w:r>
      <w:r>
        <w:rPr>
          <w:rStyle w:val="OperatorTok"/>
        </w:rPr>
        <w:t xml:space="preserve">+</w:t>
      </w:r>
      <w:r>
        <w:rPr>
          <w:rStyle w:val="NormalTok"/>
        </w:rPr>
        <w:t xml:space="preserve"> y)</w:t>
      </w:r>
      <w:r>
        <w:rPr>
          <w:rStyle w:val="OperatorTok"/>
        </w:rPr>
        <w:t xml:space="preserve">;</w:t>
      </w:r>
      <w:r>
        <w:rPr>
          <w:rStyle w:val="NormalTok"/>
        </w:rPr>
        <w:t xml:space="preserve"> </w:t>
      </w:r>
      <w:r>
        <w:rPr>
          <w:rStyle w:val="CommentTok"/>
        </w:rPr>
        <w:t xml:space="preserve">// Output: 30</w:t>
      </w:r>
      <w:r>
        <w:br/>
      </w:r>
      <w:r>
        <w:rPr>
          <w:rStyle w:val="OperatorTok"/>
        </w:rPr>
        <w:t xml:space="preserve">&lt;/</w:t>
      </w:r>
      <w:r>
        <w:rPr>
          <w:rStyle w:val="NormalTok"/>
        </w:rPr>
        <w:t xml:space="preserve">script</w:t>
      </w:r>
      <w:r>
        <w:rPr>
          <w:rStyle w:val="OperatorTok"/>
        </w:rPr>
        <w:t xml:space="preserve">&gt;</w:t>
      </w:r>
    </w:p>
    <w:bookmarkEnd w:id="1008"/>
    <w:bookmarkEnd w:id="1009"/>
    <w:bookmarkStart w:id="1013" w:name="array-destructuring"/>
    <w:p>
      <w:pPr>
        <w:pStyle w:val="Heading3"/>
      </w:pPr>
      <w:r>
        <w:t xml:space="preserve">Array Destructuring</w:t>
      </w:r>
    </w:p>
    <w:p>
      <w:pPr>
        <w:pStyle w:val="FirstParagraph"/>
      </w:pPr>
      <w:r>
        <w:t xml:space="preserve">Array destructuring allows you to extract elements from arrays or any iterable object (like Strings, Sets, or Maps) using an array-like syntax.</w:t>
      </w:r>
    </w:p>
    <w:bookmarkStart w:id="1010" w:name="syntax-57"/>
    <w:p>
      <w:pPr>
        <w:pStyle w:val="Heading4"/>
      </w:pPr>
      <w:r>
        <w:t xml:space="preserve">Syntax</w:t>
      </w:r>
    </w:p>
    <w:p>
      <w:pPr>
        <w:pStyle w:val="SourceCode"/>
      </w:pPr>
      <w:r>
        <w:rPr>
          <w:rStyle w:val="KeywordTok"/>
        </w:rPr>
        <w:t xml:space="preserve">var</w:t>
      </w:r>
      <w:r>
        <w:rPr>
          <w:rStyle w:val="NormalTok"/>
        </w:rPr>
        <w:t xml:space="preserve"> [a</w:t>
      </w:r>
      <w:r>
        <w:rPr>
          <w:rStyle w:val="OperatorTok"/>
        </w:rPr>
        <w:t xml:space="preserve">,</w:t>
      </w:r>
      <w:r>
        <w:rPr>
          <w:rStyle w:val="NormalTok"/>
        </w:rPr>
        <w:t xml:space="preserve"> b] </w:t>
      </w:r>
      <w:r>
        <w:rPr>
          <w:rStyle w:val="OperatorTok"/>
        </w:rPr>
        <w:t xml:space="preserve">=</w:t>
      </w:r>
      <w:r>
        <w:rPr>
          <w:rStyle w:val="NormalTok"/>
        </w:rPr>
        <w:t xml:space="preserve"> iterable</w:t>
      </w:r>
      <w:r>
        <w:rPr>
          <w:rStyle w:val="OperatorTok"/>
        </w:rPr>
        <w:t xml:space="preserve">;</w:t>
      </w:r>
      <w:r>
        <w:br/>
      </w:r>
      <w:r>
        <w:rPr>
          <w:rStyle w:val="KeywordTok"/>
        </w:rPr>
        <w:t xml:space="preserve">var</w:t>
      </w:r>
      <w:r>
        <w:rPr>
          <w:rStyle w:val="NormalTok"/>
        </w:rPr>
        <w:t xml:space="preserve"> [a</w:t>
      </w:r>
      <w:r>
        <w:rPr>
          <w:rStyle w:val="OperatorTok"/>
        </w:rPr>
        <w:t xml:space="preserve">,</w:t>
      </w:r>
      <w:r>
        <w:rPr>
          <w:rStyle w:val="NormalTok"/>
        </w:rPr>
        <w:t xml:space="preserve"> </w:t>
      </w:r>
      <w:r>
        <w:rPr>
          <w:rStyle w:val="OperatorTok"/>
        </w:rPr>
        <w:t xml:space="preserve">,</w:t>
      </w:r>
      <w:r>
        <w:rPr>
          <w:rStyle w:val="NormalTok"/>
        </w:rPr>
        <w:t xml:space="preserve"> c] </w:t>
      </w:r>
      <w:r>
        <w:rPr>
          <w:rStyle w:val="OperatorTok"/>
        </w:rPr>
        <w:t xml:space="preserve">=</w:t>
      </w:r>
      <w:r>
        <w:rPr>
          <w:rStyle w:val="NormalTok"/>
        </w:rPr>
        <w:t xml:space="preserve"> iterable</w:t>
      </w:r>
      <w:r>
        <w:rPr>
          <w:rStyle w:val="OperatorTok"/>
        </w:rPr>
        <w:t xml:space="preserve">;</w:t>
      </w:r>
      <w:r>
        <w:rPr>
          <w:rStyle w:val="NormalTok"/>
        </w:rPr>
        <w:t xml:space="preserve"> </w:t>
      </w:r>
      <w:r>
        <w:rPr>
          <w:rStyle w:val="CommentTok"/>
        </w:rPr>
        <w:t xml:space="preserve">// Elision (skipping elements)</w:t>
      </w:r>
      <w:r>
        <w:br/>
      </w:r>
      <w:r>
        <w:rPr>
          <w:rStyle w:val="KeywordTok"/>
        </w:rPr>
        <w:t xml:space="preserve">var</w:t>
      </w:r>
      <w:r>
        <w:rPr>
          <w:rStyle w:val="NormalTok"/>
        </w:rPr>
        <w:t xml:space="preserve"> [a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iterable</w:t>
      </w:r>
      <w:r>
        <w:rPr>
          <w:rStyle w:val="OperatorTok"/>
        </w:rPr>
        <w:t xml:space="preserve">;</w:t>
      </w:r>
      <w:r>
        <w:rPr>
          <w:rStyle w:val="NormalTok"/>
        </w:rPr>
        <w:t xml:space="preserve"> </w:t>
      </w:r>
      <w:r>
        <w:rPr>
          <w:rStyle w:val="CommentTok"/>
        </w:rPr>
        <w:t xml:space="preserve">// Default value</w:t>
      </w:r>
      <w:r>
        <w:br/>
      </w:r>
      <w:r>
        <w:rPr>
          <w:rStyle w:val="KeywordTok"/>
        </w:rPr>
        <w:t xml:space="preserve">var</w:t>
      </w:r>
      <w:r>
        <w:rPr>
          <w:rStyle w:val="NormalTok"/>
        </w:rPr>
        <w:t xml:space="preserve"> [a</w:t>
      </w:r>
      <w:r>
        <w:rPr>
          <w:rStyle w:val="OperatorTok"/>
        </w:rPr>
        <w:t xml:space="preserve">,</w:t>
      </w:r>
      <w:r>
        <w:rPr>
          <w:rStyle w:val="NormalTok"/>
        </w:rPr>
        <w:t xml:space="preserve"> </w:t>
      </w:r>
      <w:r>
        <w:rPr>
          <w:rStyle w:val="OperatorTok"/>
        </w:rPr>
        <w:t xml:space="preserve">...</w:t>
      </w:r>
      <w:r>
        <w:rPr>
          <w:rStyle w:val="NormalTok"/>
        </w:rPr>
        <w:t xml:space="preserve">rest] </w:t>
      </w:r>
      <w:r>
        <w:rPr>
          <w:rStyle w:val="OperatorTok"/>
        </w:rPr>
        <w:t xml:space="preserve">=</w:t>
      </w:r>
      <w:r>
        <w:rPr>
          <w:rStyle w:val="NormalTok"/>
        </w:rPr>
        <w:t xml:space="preserve"> iterable</w:t>
      </w:r>
      <w:r>
        <w:rPr>
          <w:rStyle w:val="OperatorTok"/>
        </w:rPr>
        <w:t xml:space="preserve">;</w:t>
      </w:r>
      <w:r>
        <w:rPr>
          <w:rStyle w:val="NormalTok"/>
        </w:rPr>
        <w:t xml:space="preserve"> </w:t>
      </w:r>
      <w:r>
        <w:rPr>
          <w:rStyle w:val="CommentTok"/>
        </w:rPr>
        <w:t xml:space="preserve">// Array rest</w:t>
      </w:r>
      <w:r>
        <w:br/>
      </w:r>
      <w:r>
        <w:rPr>
          <w:rStyle w:val="KeywordTok"/>
        </w:rPr>
        <w:t xml:space="preserve">var</w:t>
      </w:r>
      <w:r>
        <w:rPr>
          <w:rStyle w:val="NormalTok"/>
        </w:rPr>
        <w:t xml:space="preserve"> [a</w:t>
      </w:r>
      <w:r>
        <w:rPr>
          <w:rStyle w:val="OperatorTok"/>
        </w:rPr>
        <w:t xml:space="preserve">,</w:t>
      </w:r>
      <w:r>
        <w:rPr>
          <w:rStyle w:val="NormalTok"/>
        </w:rPr>
        <w:t xml:space="preserve"> [b</w:t>
      </w:r>
      <w:r>
        <w:rPr>
          <w:rStyle w:val="OperatorTok"/>
        </w:rPr>
        <w:t xml:space="preserve">,</w:t>
      </w:r>
      <w:r>
        <w:rPr>
          <w:rStyle w:val="NormalTok"/>
        </w:rPr>
        <w:t xml:space="preserve"> c]] </w:t>
      </w:r>
      <w:r>
        <w:rPr>
          <w:rStyle w:val="OperatorTok"/>
        </w:rPr>
        <w:t xml:space="preserve">=</w:t>
      </w:r>
      <w:r>
        <w:rPr>
          <w:rStyle w:val="NormalTok"/>
        </w:rPr>
        <w:t xml:space="preserve"> iterable</w:t>
      </w:r>
      <w:r>
        <w:rPr>
          <w:rStyle w:val="OperatorTok"/>
        </w:rPr>
        <w:t xml:space="preserve">;</w:t>
      </w:r>
      <w:r>
        <w:rPr>
          <w:rStyle w:val="NormalTok"/>
        </w:rPr>
        <w:t xml:space="preserve"> </w:t>
      </w:r>
      <w:r>
        <w:rPr>
          <w:rStyle w:val="CommentTok"/>
        </w:rPr>
        <w:t xml:space="preserve">// Nested array destructuring</w:t>
      </w:r>
    </w:p>
    <w:bookmarkEnd w:id="1010"/>
    <w:bookmarkStart w:id="1011" w:name="remarks-64"/>
    <w:p>
      <w:pPr>
        <w:pStyle w:val="Heading4"/>
      </w:pPr>
      <w:r>
        <w:t xml:space="preserve">Remarks</w:t>
      </w:r>
    </w:p>
    <w:p>
      <w:pPr>
        <w:pStyle w:val="Compact"/>
        <w:numPr>
          <w:ilvl w:val="0"/>
          <w:numId w:val="1275"/>
        </w:numPr>
      </w:pPr>
      <w:r>
        <w:t xml:space="preserve">Values are extracted in order from the source iterable.</w:t>
      </w:r>
    </w:p>
    <w:p>
      <w:pPr>
        <w:pStyle w:val="Compact"/>
        <w:numPr>
          <w:ilvl w:val="0"/>
          <w:numId w:val="1275"/>
        </w:numPr>
      </w:pPr>
      <w:r>
        <w:rPr>
          <w:b/>
          <w:bCs/>
        </w:rPr>
        <w:t xml:space="preserve">Elision:</w:t>
      </w:r>
      <w:r>
        <w:t xml:space="preserve"> </w:t>
      </w:r>
      <w:r>
        <w:t xml:space="preserve">You can skip elements using commas:</w:t>
      </w:r>
      <w:r>
        <w:t xml:space="preserve"> </w:t>
      </w:r>
      <w:r>
        <w:rPr>
          <w:rStyle w:val="VerbatimChar"/>
        </w:rPr>
        <w:t xml:space="preserve">var [first, , last] = [1, 2, 3];</w:t>
      </w:r>
      <w:r>
        <w:t xml:space="preserve">.</w:t>
      </w:r>
    </w:p>
    <w:p>
      <w:pPr>
        <w:pStyle w:val="Compact"/>
        <w:numPr>
          <w:ilvl w:val="0"/>
          <w:numId w:val="1275"/>
        </w:numPr>
      </w:pPr>
      <w:r>
        <w:rPr>
          <w:b/>
          <w:bCs/>
        </w:rPr>
        <w:t xml:space="preserve">Default Values:</w:t>
      </w:r>
      <w:r>
        <w:t xml:space="preserve"> </w:t>
      </w:r>
      <w:r>
        <w:t xml:space="preserve">Assigns a default if the iterable yields</w:t>
      </w:r>
      <w:r>
        <w:t xml:space="preserve"> </w:t>
      </w:r>
      <w:r>
        <w:rPr>
          <w:rStyle w:val="VerbatimChar"/>
        </w:rPr>
        <w:t xml:space="preserve">undefined</w:t>
      </w:r>
      <w:r>
        <w:t xml:space="preserve"> </w:t>
      </w:r>
      <w:r>
        <w:t xml:space="preserve">or is exhausted.</w:t>
      </w:r>
    </w:p>
    <w:p>
      <w:pPr>
        <w:pStyle w:val="Compact"/>
        <w:numPr>
          <w:ilvl w:val="0"/>
          <w:numId w:val="1275"/>
        </w:numPr>
      </w:pPr>
      <w:r>
        <w:rPr>
          <w:b/>
          <w:bCs/>
        </w:rPr>
        <w:t xml:space="preserve">Rest Elements:</w:t>
      </w:r>
      <w:r>
        <w:t xml:space="preserve"> </w:t>
      </w:r>
      <w:r>
        <w:t xml:space="preserve">The</w:t>
      </w:r>
      <w:r>
        <w:t xml:space="preserve"> </w:t>
      </w:r>
      <w:r>
        <w:rPr>
          <w:rStyle w:val="VerbatimChar"/>
        </w:rPr>
        <w:t xml:space="preserve">...rest</w:t>
      </w:r>
      <w:r>
        <w:t xml:space="preserve"> </w:t>
      </w:r>
      <w:r>
        <w:t xml:space="preserve">syntax collects all remaining yielded values into a new Array.</w:t>
      </w:r>
    </w:p>
    <w:p>
      <w:pPr>
        <w:pStyle w:val="Compact"/>
        <w:numPr>
          <w:ilvl w:val="0"/>
          <w:numId w:val="1275"/>
        </w:numPr>
      </w:pPr>
      <w:r>
        <w:rPr>
          <w:b/>
          <w:bCs/>
        </w:rPr>
        <w:t xml:space="preserve">Iteration Protocol:</w:t>
      </w:r>
      <w:r>
        <w:t xml:space="preserve"> </w:t>
      </w:r>
      <w:r>
        <w:t xml:space="preserve">Unlike object destructuring, array destructuring works with any object that implements the ES6 Iteration Protocol. This includes Strings (yielding characters), Maps (yielding</w:t>
      </w:r>
      <w:r>
        <w:t xml:space="preserve"> </w:t>
      </w:r>
      <w:r>
        <w:rPr>
          <w:rStyle w:val="VerbatimChar"/>
        </w:rPr>
        <w:t xml:space="preserve">[key, value]</w:t>
      </w:r>
      <w:r>
        <w:t xml:space="preserve"> </w:t>
      </w:r>
      <w:r>
        <w:t xml:space="preserve">pairs), and Sets.</w:t>
      </w:r>
    </w:p>
    <w:p>
      <w:pPr>
        <w:pStyle w:val="Compact"/>
        <w:numPr>
          <w:ilvl w:val="0"/>
          <w:numId w:val="1275"/>
        </w:numPr>
      </w:pPr>
      <w:r>
        <w:rPr>
          <w:b/>
          <w:bCs/>
        </w:rPr>
        <w:t xml:space="preserve">Validation:</w:t>
      </w:r>
      <w:r>
        <w:t xml:space="preserve"> </w:t>
      </w:r>
      <w:r>
        <w:t xml:space="preserve">Attempting to destructure a non-iterable value (like</w:t>
      </w:r>
      <w:r>
        <w:t xml:space="preserve"> </w:t>
      </w:r>
      <w:r>
        <w:rPr>
          <w:rStyle w:val="VerbatimChar"/>
        </w:rPr>
        <w:t xml:space="preserve">true</w:t>
      </w:r>
      <w:r>
        <w:t xml:space="preserve"> </w:t>
      </w:r>
      <w:r>
        <w:t xml:space="preserve">or a plain object without</w:t>
      </w:r>
      <w:r>
        <w:t xml:space="preserve"> </w:t>
      </w:r>
      <w:r>
        <w:rPr>
          <w:rStyle w:val="VerbatimChar"/>
        </w:rPr>
        <w:t xml:space="preserve">[Symbol.iterator]</w:t>
      </w:r>
      <w:r>
        <w:t xml:space="preserve">) raises a</w:t>
      </w:r>
      <w:r>
        <w:t xml:space="preserve"> </w:t>
      </w:r>
      <w:r>
        <w:rPr>
          <w:rStyle w:val="VerbatimChar"/>
        </w:rPr>
        <w:t xml:space="preserve">TypeError</w:t>
      </w:r>
      <w:r>
        <w:t xml:space="preserve">.</w:t>
      </w:r>
    </w:p>
    <w:bookmarkEnd w:id="1011"/>
    <w:bookmarkStart w:id="1012" w:name="code-example-58"/>
    <w:p>
      <w:pPr>
        <w:pStyle w:val="Heading4"/>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CommentTok"/>
        </w:rPr>
        <w:t xml:space="preserve">// 1. Basic array with rest</w:t>
      </w:r>
      <w:r>
        <w:br/>
      </w:r>
      <w:r>
        <w:rPr>
          <w:rStyle w:val="KeywordTok"/>
        </w:rPr>
        <w:t xml:space="preserve">var</w:t>
      </w:r>
      <w:r>
        <w:rPr>
          <w:rStyle w:val="NormalTok"/>
        </w:rPr>
        <w:t xml:space="preserve"> [first</w:t>
      </w:r>
      <w:r>
        <w:rPr>
          <w:rStyle w:val="OperatorTok"/>
        </w:rPr>
        <w:t xml:space="preserve">,</w:t>
      </w:r>
      <w:r>
        <w:rPr>
          <w:rStyle w:val="NormalTok"/>
        </w:rPr>
        <w:t xml:space="preserve"> </w:t>
      </w:r>
      <w:r>
        <w:rPr>
          <w:rStyle w:val="OperatorTok"/>
        </w:rPr>
        <w:t xml:space="preserve">...</w:t>
      </w:r>
      <w:r>
        <w:rPr>
          <w:rStyle w:val="NormalTok"/>
        </w:rPr>
        <w:t xml:space="preserve">others] </w:t>
      </w:r>
      <w:r>
        <w:rPr>
          <w:rStyle w:val="OperatorTok"/>
        </w:rPr>
        <w:t xml:space="preserve">=</w:t>
      </w:r>
      <w:r>
        <w:rPr>
          <w:rStyle w:val="NormalTok"/>
        </w:rPr>
        <w:t xml:space="preserve"> [</w:t>
      </w:r>
      <w:r>
        <w:rPr>
          <w:rStyle w:val="StringTok"/>
        </w:rPr>
        <w:t xml:space="preserve">"Red"</w:t>
      </w:r>
      <w:r>
        <w:rPr>
          <w:rStyle w:val="OperatorTok"/>
        </w:rPr>
        <w:t xml:space="preserve">,</w:t>
      </w:r>
      <w:r>
        <w:rPr>
          <w:rStyle w:val="NormalTok"/>
        </w:rPr>
        <w:t xml:space="preserve"> </w:t>
      </w:r>
      <w:r>
        <w:rPr>
          <w:rStyle w:val="StringTok"/>
        </w:rPr>
        <w:t xml:space="preserve">"Green"</w:t>
      </w:r>
      <w:r>
        <w:rPr>
          <w:rStyle w:val="OperatorTok"/>
        </w:rPr>
        <w:t xml:space="preserve">,</w:t>
      </w:r>
      <w:r>
        <w:rPr>
          <w:rStyle w:val="NormalTok"/>
        </w:rPr>
        <w:t xml:space="preserve"> </w:t>
      </w:r>
      <w:r>
        <w:rPr>
          <w:rStyle w:val="StringTok"/>
        </w:rPr>
        <w:t xml:space="preserve">"Blue"</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(first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others</w:t>
      </w:r>
      <w:r>
        <w:rPr>
          <w:rStyle w:val="OperatorTok"/>
        </w:rPr>
        <w:t xml:space="preserve">.</w:t>
      </w:r>
      <w:r>
        <w:rPr>
          <w:rStyle w:val="AttributeTok"/>
        </w:rPr>
        <w:t xml:space="preserve">length</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Red:2</w:t>
      </w:r>
      <w:r>
        <w:br/>
      </w:r>
      <w:r>
        <w:br/>
      </w:r>
      <w:r>
        <w:rPr>
          <w:rStyle w:val="CommentTok"/>
        </w:rPr>
        <w:t xml:space="preserve">// 2. Default values</w:t>
      </w:r>
      <w:r>
        <w:br/>
      </w:r>
      <w:r>
        <w:rPr>
          <w:rStyle w:val="KeywordTok"/>
        </w:rPr>
        <w:t xml:space="preserve">var</w:t>
      </w:r>
      <w:r>
        <w:rPr>
          <w:rStyle w:val="NormalTok"/>
        </w:rPr>
        <w:t xml:space="preserve"> [x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y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42</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(x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y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42|2</w:t>
      </w:r>
      <w:r>
        <w:br/>
      </w:r>
      <w:r>
        <w:br/>
      </w:r>
      <w:r>
        <w:rPr>
          <w:rStyle w:val="CommentTok"/>
        </w:rPr>
        <w:t xml:space="preserve">// 3. String (iterable)</w:t>
      </w:r>
      <w:r>
        <w:br/>
      </w:r>
      <w:r>
        <w:rPr>
          <w:rStyle w:val="KeywordTok"/>
        </w:rPr>
        <w:t xml:space="preserve">var</w:t>
      </w:r>
      <w:r>
        <w:rPr>
          <w:rStyle w:val="NormalTok"/>
        </w:rPr>
        <w:t xml:space="preserve"> [h</w:t>
      </w:r>
      <w:r>
        <w:rPr>
          <w:rStyle w:val="OperatorTok"/>
        </w:rPr>
        <w:t xml:space="preserve">,</w:t>
      </w:r>
      <w:r>
        <w:rPr>
          <w:rStyle w:val="NormalTok"/>
        </w:rPr>
        <w:t xml:space="preserve"> e</w:t>
      </w:r>
      <w:r>
        <w:rPr>
          <w:rStyle w:val="OperatorTok"/>
        </w:rPr>
        <w:t xml:space="preserve">,</w:t>
      </w:r>
      <w:r>
        <w:rPr>
          <w:rStyle w:val="NormalTok"/>
        </w:rPr>
        <w:t xml:space="preserve"> l</w:t>
      </w:r>
      <w:r>
        <w:rPr>
          <w:rStyle w:val="OperatorTok"/>
        </w:rPr>
        <w:t xml:space="preserve">,</w:t>
      </w:r>
      <w:r>
        <w:rPr>
          <w:rStyle w:val="NormalTok"/>
        </w:rPr>
        <w:t xml:space="preserve"> l2</w:t>
      </w:r>
      <w:r>
        <w:rPr>
          <w:rStyle w:val="OperatorTok"/>
        </w:rPr>
        <w:t xml:space="preserve">,</w:t>
      </w:r>
      <w:r>
        <w:rPr>
          <w:rStyle w:val="NormalTok"/>
        </w:rPr>
        <w:t xml:space="preserve"> o] </w:t>
      </w:r>
      <w:r>
        <w:rPr>
          <w:rStyle w:val="OperatorTok"/>
        </w:rPr>
        <w:t xml:space="preserve">=</w:t>
      </w:r>
      <w:r>
        <w:rPr>
          <w:rStyle w:val="NormalTok"/>
        </w:rPr>
        <w:t xml:space="preserve"> </w:t>
      </w:r>
      <w:r>
        <w:rPr>
          <w:rStyle w:val="StringTok"/>
        </w:rPr>
        <w:t xml:space="preserve">"Hello"</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(h </w:t>
      </w:r>
      <w:r>
        <w:rPr>
          <w:rStyle w:val="OperatorTok"/>
        </w:rPr>
        <w:t xml:space="preserve">+</w:t>
      </w:r>
      <w:r>
        <w:rPr>
          <w:rStyle w:val="NormalTok"/>
        </w:rPr>
        <w:t xml:space="preserve"> e </w:t>
      </w:r>
      <w:r>
        <w:rPr>
          <w:rStyle w:val="OperatorTok"/>
        </w:rPr>
        <w:t xml:space="preserve">+</w:t>
      </w:r>
      <w:r>
        <w:rPr>
          <w:rStyle w:val="NormalTok"/>
        </w:rPr>
        <w:t xml:space="preserve"> l </w:t>
      </w:r>
      <w:r>
        <w:rPr>
          <w:rStyle w:val="OperatorTok"/>
        </w:rPr>
        <w:t xml:space="preserve">+</w:t>
      </w:r>
      <w:r>
        <w:rPr>
          <w:rStyle w:val="NormalTok"/>
        </w:rPr>
        <w:t xml:space="preserve"> l2 </w:t>
      </w:r>
      <w:r>
        <w:rPr>
          <w:rStyle w:val="OperatorTok"/>
        </w:rPr>
        <w:t xml:space="preserve">+</w:t>
      </w:r>
      <w:r>
        <w:rPr>
          <w:rStyle w:val="NormalTok"/>
        </w:rPr>
        <w:t xml:space="preserve"> o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Hello</w:t>
      </w:r>
      <w:r>
        <w:br/>
      </w:r>
      <w:r>
        <w:br/>
      </w:r>
      <w:r>
        <w:rPr>
          <w:rStyle w:val="CommentTok"/>
        </w:rPr>
        <w:t xml:space="preserve">// 4. Nested</w:t>
      </w:r>
      <w:r>
        <w:br/>
      </w:r>
      <w:r>
        <w:rPr>
          <w:rStyle w:val="KeywordTok"/>
        </w:rPr>
        <w:t xml:space="preserve">var</w:t>
      </w:r>
      <w:r>
        <w:rPr>
          <w:rStyle w:val="NormalTok"/>
        </w:rPr>
        <w:t xml:space="preserve"> [a</w:t>
      </w:r>
      <w:r>
        <w:rPr>
          <w:rStyle w:val="OperatorTok"/>
        </w:rPr>
        <w:t xml:space="preserve">,</w:t>
      </w:r>
      <w:r>
        <w:rPr>
          <w:rStyle w:val="NormalTok"/>
        </w:rPr>
        <w:t xml:space="preserve"> [b</w:t>
      </w:r>
      <w:r>
        <w:rPr>
          <w:rStyle w:val="OperatorTok"/>
        </w:rPr>
        <w:t xml:space="preserve">,</w:t>
      </w:r>
      <w:r>
        <w:rPr>
          <w:rStyle w:val="NormalTok"/>
        </w:rPr>
        <w:t xml:space="preserve"> c]]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DecValTok"/>
        </w:rPr>
        <w:t xml:space="preserve">3</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(a </w:t>
      </w:r>
      <w:r>
        <w:rPr>
          <w:rStyle w:val="OperatorTok"/>
        </w:rPr>
        <w:t xml:space="preserve">+</w:t>
      </w:r>
      <w:r>
        <w:rPr>
          <w:rStyle w:val="NormalTok"/>
        </w:rPr>
        <w:t xml:space="preserve"> b </w:t>
      </w:r>
      <w:r>
        <w:rPr>
          <w:rStyle w:val="OperatorTok"/>
        </w:rPr>
        <w:t xml:space="preserve">+</w:t>
      </w:r>
      <w:r>
        <w:rPr>
          <w:rStyle w:val="NormalTok"/>
        </w:rPr>
        <w:t xml:space="preserve"> c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6</w:t>
      </w:r>
      <w:r>
        <w:br/>
      </w:r>
      <w:r>
        <w:br/>
      </w:r>
      <w:r>
        <w:rPr>
          <w:rStyle w:val="CommentTok"/>
        </w:rPr>
        <w:t xml:space="preserve">// 5. Map (yields [key, value] pairs)</w:t>
      </w:r>
      <w:r>
        <w:br/>
      </w:r>
      <w:r>
        <w:rPr>
          <w:rStyle w:val="KeywordTok"/>
        </w:rPr>
        <w:t xml:space="preserve">var</w:t>
      </w:r>
      <w:r>
        <w:rPr>
          <w:rStyle w:val="NormalTok"/>
        </w:rPr>
        <w:t xml:space="preserve"> map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Map</w:t>
      </w:r>
      <w:r>
        <w:rPr>
          <w:rStyle w:val="NormalTok"/>
        </w:rPr>
        <w:t xml:space="preserve">()</w:t>
      </w:r>
      <w:r>
        <w:rPr>
          <w:rStyle w:val="OperatorTok"/>
        </w:rPr>
        <w:t xml:space="preserve">;</w:t>
      </w:r>
      <w:r>
        <w:br/>
      </w:r>
      <w:r>
        <w:rPr>
          <w:rStyle w:val="NormalTok"/>
        </w:rPr>
        <w:t xml:space="preserve">map</w:t>
      </w:r>
      <w:r>
        <w:rPr>
          <w:rStyle w:val="OperatorTok"/>
        </w:rPr>
        <w:t xml:space="preserve">.</w:t>
      </w:r>
      <w:r>
        <w:rPr>
          <w:rStyle w:val="FunctionTok"/>
        </w:rPr>
        <w:t xml:space="preserve">set</w:t>
      </w:r>
      <w:r>
        <w:rPr>
          <w:rStyle w:val="NormalTok"/>
        </w:rPr>
        <w:t xml:space="preserve">(</w:t>
      </w:r>
      <w:r>
        <w:rPr>
          <w:rStyle w:val="StringTok"/>
        </w:rPr>
        <w:t xml:space="preserve">"id"</w:t>
      </w:r>
      <w:r>
        <w:rPr>
          <w:rStyle w:val="OperatorTok"/>
        </w:rPr>
        <w:t xml:space="preserve">,</w:t>
      </w:r>
      <w:r>
        <w:rPr>
          <w:rStyle w:val="NormalTok"/>
        </w:rPr>
        <w:t xml:space="preserve"> </w:t>
      </w:r>
      <w:r>
        <w:rPr>
          <w:rStyle w:val="DecValTok"/>
        </w:rPr>
        <w:t xml:space="preserve">42</w:t>
      </w:r>
      <w:r>
        <w:rPr>
          <w:rStyle w:val="NormalTok"/>
        </w:rPr>
        <w:t xml:space="preserve">)</w:t>
      </w:r>
      <w:r>
        <w:rPr>
          <w:rStyle w:val="OperatorTok"/>
        </w:rPr>
        <w:t xml:space="preserve">;</w:t>
      </w:r>
      <w:r>
        <w:br/>
      </w:r>
      <w:r>
        <w:rPr>
          <w:rStyle w:val="KeywordTok"/>
        </w:rPr>
        <w:t xml:space="preserve">var</w:t>
      </w:r>
      <w:r>
        <w:rPr>
          <w:rStyle w:val="NormalTok"/>
        </w:rPr>
        <w:t xml:space="preserve"> [[key</w:t>
      </w:r>
      <w:r>
        <w:rPr>
          <w:rStyle w:val="OperatorTok"/>
        </w:rPr>
        <w:t xml:space="preserve">,</w:t>
      </w:r>
      <w:r>
        <w:rPr>
          <w:rStyle w:val="NormalTok"/>
        </w:rPr>
        <w:t xml:space="preserve"> val]] </w:t>
      </w:r>
      <w:r>
        <w:rPr>
          <w:rStyle w:val="OperatorTok"/>
        </w:rPr>
        <w:t xml:space="preserve">=</w:t>
      </w:r>
      <w:r>
        <w:rPr>
          <w:rStyle w:val="NormalTok"/>
        </w:rPr>
        <w:t xml:space="preserve"> map</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(key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val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id=42</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12"/>
    <w:bookmarkEnd w:id="1013"/>
    <w:bookmarkEnd w:id="1014"/>
    <w:bookmarkStart w:id="1023" w:name="es6-classes"/>
    <w:p>
      <w:pPr>
        <w:pStyle w:val="Heading2"/>
      </w:pPr>
      <w:r>
        <w:t xml:space="preserve">ES6 Classes</w:t>
      </w:r>
    </w:p>
    <w:p>
      <w:pPr>
        <w:pStyle w:val="FirstParagraph"/>
      </w:pPr>
      <w:r>
        <w:t xml:space="preserve">AxonASP supports ES6 classes for object-oriented programming. Under the hood, classes are built upon JScript’s existing prototype-based inheritance model but with modern syntax and strict semantics.</w:t>
      </w:r>
    </w:p>
    <w:bookmarkStart w:id="1015" w:name="syntax-58"/>
    <w:p>
      <w:pPr>
        <w:pStyle w:val="Heading3"/>
      </w:pPr>
      <w:r>
        <w:t xml:space="preserve">Syntax</w:t>
      </w:r>
    </w:p>
    <w:p>
      <w:pPr>
        <w:pStyle w:val="SourceCode"/>
      </w:pPr>
      <w:r>
        <w:rPr>
          <w:rStyle w:val="KeywordTok"/>
        </w:rPr>
        <w:t xml:space="preserve">class</w:t>
      </w:r>
      <w:r>
        <w:rPr>
          <w:rStyle w:val="NormalTok"/>
        </w:rPr>
        <w:t xml:space="preserve"> MyClass [</w:t>
      </w:r>
      <w:r>
        <w:rPr>
          <w:rStyle w:val="KeywordTok"/>
        </w:rPr>
        <w:t xml:space="preserve">extends</w:t>
      </w:r>
      <w:r>
        <w:rPr>
          <w:rStyle w:val="NormalTok"/>
        </w:rPr>
        <w:t xml:space="preserve"> BaseClass] {</w:t>
      </w:r>
      <w:r>
        <w:br/>
      </w:r>
      <w:r>
        <w:rPr>
          <w:rStyle w:val="NormalTok"/>
        </w:rPr>
        <w:t xml:space="preserve">    </w:t>
      </w:r>
      <w:r>
        <w:rPr>
          <w:rStyle w:val="FunctionTok"/>
        </w:rPr>
        <w:t xml:space="preserve">constructor</w:t>
      </w:r>
      <w:r>
        <w:rPr>
          <w:rStyle w:val="NormalTok"/>
        </w:rPr>
        <w:t xml:space="preserve">(</w:t>
      </w:r>
      <w:r>
        <w:rPr>
          <w:rStyle w:val="OperatorTok"/>
        </w:rPr>
        <w:t xml:space="preserve">...</w:t>
      </w:r>
      <w:r>
        <w:rPr>
          <w:rStyle w:val="NormalTok"/>
        </w:rPr>
        <w:t xml:space="preserve">args) {</w:t>
      </w:r>
      <w:r>
        <w:br/>
      </w:r>
      <w:r>
        <w:rPr>
          <w:rStyle w:val="NormalTok"/>
        </w:rPr>
        <w:t xml:space="preserve">        [</w:t>
      </w:r>
      <w:r>
        <w:rPr>
          <w:rStyle w:val="KeywordTok"/>
        </w:rPr>
        <w:t xml:space="preserve">super</w:t>
      </w:r>
      <w:r>
        <w:rPr>
          <w:rStyle w:val="NormalTok"/>
        </w:rPr>
        <w:t xml:space="preserve">(</w:t>
      </w:r>
      <w:r>
        <w:rPr>
          <w:rStyle w:val="OperatorTok"/>
        </w:rPr>
        <w:t xml:space="preserve">...</w:t>
      </w:r>
      <w:r>
        <w:rPr>
          <w:rStyle w:val="NormalTok"/>
        </w:rPr>
        <w:t xml:space="preserve">args)</w:t>
      </w:r>
      <w:r>
        <w:rPr>
          <w:rStyle w:val="OperatorTok"/>
        </w:rPr>
        <w:t xml:space="preserve">;</w:t>
      </w:r>
      <w:r>
        <w:rPr>
          <w:rStyle w:val="NormalTok"/>
        </w:rPr>
        <w:t xml:space="preserve">]</w:t>
      </w:r>
      <w:r>
        <w:br/>
      </w:r>
      <w:r>
        <w:rPr>
          <w:rStyle w:val="NormalTok"/>
        </w:rPr>
        <w:t xml:space="preserve">        </w:t>
      </w:r>
      <w:r>
        <w:rPr>
          <w:rStyle w:val="CommentTok"/>
        </w:rPr>
        <w:t xml:space="preserve">// initialization</w:t>
      </w:r>
      <w:r>
        <w:br/>
      </w:r>
      <w:r>
        <w:rPr>
          <w:rStyle w:val="NormalTok"/>
        </w:rPr>
        <w:t xml:space="preserve">    }</w:t>
      </w:r>
      <w:r>
        <w:br/>
      </w:r>
      <w:r>
        <w:rPr>
          <w:rStyle w:val="NormalTok"/>
        </w:rPr>
        <w:t xml:space="preserve">    </w:t>
      </w:r>
      <w:r>
        <w:br/>
      </w:r>
      <w:r>
        <w:rPr>
          <w:rStyle w:val="NormalTok"/>
        </w:rPr>
        <w:t xml:space="preserve">    </w:t>
      </w:r>
      <w:r>
        <w:rPr>
          <w:rStyle w:val="FunctionTok"/>
        </w:rPr>
        <w:t xml:space="preserve">method</w:t>
      </w:r>
      <w:r>
        <w:rPr>
          <w:rStyle w:val="NormalTok"/>
        </w:rPr>
        <w:t xml:space="preserve">() { </w:t>
      </w:r>
      <w:r>
        <w:rPr>
          <w:rStyle w:val="OperatorTok"/>
        </w:rPr>
        <w:t xml:space="preserve">...</w:t>
      </w:r>
      <w:r>
        <w:rPr>
          <w:rStyle w:val="NormalTok"/>
        </w:rPr>
        <w:t xml:space="preserve"> }</w:t>
      </w:r>
      <w:r>
        <w:br/>
      </w:r>
      <w:r>
        <w:rPr>
          <w:rStyle w:val="NormalTok"/>
        </w:rPr>
        <w:t xml:space="preserve">    </w:t>
      </w:r>
      <w:r>
        <w:br/>
      </w:r>
      <w:r>
        <w:rPr>
          <w:rStyle w:val="NormalTok"/>
        </w:rPr>
        <w:t xml:space="preserve">    </w:t>
      </w:r>
      <w:r>
        <w:rPr>
          <w:rStyle w:val="KeywordTok"/>
        </w:rPr>
        <w:t xml:space="preserve">static</w:t>
      </w:r>
      <w:r>
        <w:rPr>
          <w:rStyle w:val="NormalTok"/>
        </w:rPr>
        <w:t xml:space="preserve"> </w:t>
      </w:r>
      <w:r>
        <w:rPr>
          <w:rStyle w:val="FunctionTok"/>
        </w:rPr>
        <w:t xml:space="preserve">staticMethod</w:t>
      </w:r>
      <w:r>
        <w:rPr>
          <w:rStyle w:val="NormalTok"/>
        </w:rPr>
        <w:t xml:space="preserve">() { </w:t>
      </w:r>
      <w:r>
        <w:rPr>
          <w:rStyle w:val="OperatorTok"/>
        </w:rPr>
        <w:t xml:space="preserve">...</w:t>
      </w:r>
      <w:r>
        <w:rPr>
          <w:rStyle w:val="NormalTok"/>
        </w:rPr>
        <w:t xml:space="preserve"> }</w:t>
      </w:r>
      <w:r>
        <w:br/>
      </w:r>
      <w:r>
        <w:rPr>
          <w:rStyle w:val="NormalTok"/>
        </w:rPr>
        <w:t xml:space="preserve">    </w:t>
      </w:r>
      <w:r>
        <w:br/>
      </w:r>
      <w:r>
        <w:rPr>
          <w:rStyle w:val="NormalTok"/>
        </w:rPr>
        <w:t xml:space="preserve">    </w:t>
      </w:r>
      <w:r>
        <w:rPr>
          <w:rStyle w:val="KeywordTok"/>
        </w:rPr>
        <w:t xml:space="preserve">get</w:t>
      </w:r>
      <w:r>
        <w:rPr>
          <w:rStyle w:val="NormalTok"/>
        </w:rPr>
        <w:t xml:space="preserve"> </w:t>
      </w:r>
      <w:r>
        <w:rPr>
          <w:rStyle w:val="FunctionTok"/>
        </w:rPr>
        <w:t xml:space="preserve">property</w:t>
      </w:r>
      <w:r>
        <w:rPr>
          <w:rStyle w:val="NormalTok"/>
        </w:rPr>
        <w:t xml:space="preserve">() { </w:t>
      </w:r>
      <w:r>
        <w:rPr>
          <w:rStyle w:val="OperatorTok"/>
        </w:rPr>
        <w:t xml:space="preserve">...</w:t>
      </w:r>
      <w:r>
        <w:rPr>
          <w:rStyle w:val="NormalTok"/>
        </w:rPr>
        <w:t xml:space="preserve"> }</w:t>
      </w:r>
      <w:r>
        <w:br/>
      </w:r>
      <w:r>
        <w:rPr>
          <w:rStyle w:val="NormalTok"/>
        </w:rPr>
        <w:t xml:space="preserve">    </w:t>
      </w:r>
      <w:r>
        <w:rPr>
          <w:rStyle w:val="KeywordTok"/>
        </w:rPr>
        <w:t xml:space="preserve">set</w:t>
      </w:r>
      <w:r>
        <w:rPr>
          <w:rStyle w:val="NormalTok"/>
        </w:rPr>
        <w:t xml:space="preserve"> </w:t>
      </w:r>
      <w:r>
        <w:rPr>
          <w:rStyle w:val="FunctionTok"/>
        </w:rPr>
        <w:t xml:space="preserve">property</w:t>
      </w:r>
      <w:r>
        <w:rPr>
          <w:rStyle w:val="NormalTok"/>
        </w:rPr>
        <w:t xml:space="preserve">(value) { </w:t>
      </w:r>
      <w:r>
        <w:rPr>
          <w:rStyle w:val="OperatorTok"/>
        </w:rPr>
        <w:t xml:space="preserve">...</w:t>
      </w:r>
      <w:r>
        <w:rPr>
          <w:rStyle w:val="NormalTok"/>
        </w:rPr>
        <w:t xml:space="preserve"> }</w:t>
      </w:r>
      <w:r>
        <w:br/>
      </w:r>
      <w:r>
        <w:rPr>
          <w:rStyle w:val="NormalTok"/>
        </w:rPr>
        <w:t xml:space="preserve">}</w:t>
      </w:r>
    </w:p>
    <w:bookmarkEnd w:id="1015"/>
    <w:bookmarkStart w:id="1016" w:name="remarks-65"/>
    <w:p>
      <w:pPr>
        <w:pStyle w:val="Heading3"/>
      </w:pPr>
      <w:r>
        <w:t xml:space="preserve">Remarks</w:t>
      </w:r>
    </w:p>
    <w:p>
      <w:pPr>
        <w:pStyle w:val="Compact"/>
        <w:numPr>
          <w:ilvl w:val="0"/>
          <w:numId w:val="1276"/>
        </w:numPr>
      </w:pPr>
      <w:r>
        <w:rPr>
          <w:b/>
          <w:bCs/>
        </w:rPr>
        <w:t xml:space="preserve">Strict Mode:</w:t>
      </w:r>
      <w:r>
        <w:t xml:space="preserve"> </w:t>
      </w:r>
      <w:r>
        <w:t xml:space="preserve">All code within a</w:t>
      </w:r>
      <w:r>
        <w:t xml:space="preserve"> </w:t>
      </w:r>
      <w:r>
        <w:rPr>
          <w:rStyle w:val="VerbatimChar"/>
        </w:rPr>
        <w:t xml:space="preserve">class</w:t>
      </w:r>
      <w:r>
        <w:t xml:space="preserve"> </w:t>
      </w:r>
      <w:r>
        <w:t xml:space="preserve">body (including methods and the constructor) implicitly runs in</w:t>
      </w:r>
      <w:r>
        <w:t xml:space="preserve"> </w:t>
      </w:r>
      <w:r>
        <w:rPr>
          <w:b/>
          <w:bCs/>
        </w:rPr>
        <w:t xml:space="preserve">Strict Mode</w:t>
      </w:r>
      <w:r>
        <w:t xml:space="preserve">.</w:t>
      </w:r>
    </w:p>
    <w:p>
      <w:pPr>
        <w:pStyle w:val="Compact"/>
        <w:numPr>
          <w:ilvl w:val="0"/>
          <w:numId w:val="1276"/>
        </w:numPr>
      </w:pPr>
      <w:r>
        <w:rPr>
          <w:b/>
          <w:bCs/>
        </w:rPr>
        <w:t xml:space="preserve">No Hoisting:</w:t>
      </w:r>
      <w:r>
        <w:t xml:space="preserve"> </w:t>
      </w:r>
      <w:r>
        <w:t xml:space="preserve">Unlike function declarations, classes are not hoisted. You must declare a class before you can use it (Temporal Dead Zone applies).</w:t>
      </w:r>
    </w:p>
    <w:p>
      <w:pPr>
        <w:pStyle w:val="Compact"/>
        <w:numPr>
          <w:ilvl w:val="0"/>
          <w:numId w:val="1276"/>
        </w:numPr>
      </w:pPr>
      <w:r>
        <w:rPr>
          <w:b/>
          <w:bCs/>
        </w:rPr>
        <w:t xml:space="preserve">Instantiation:</w:t>
      </w:r>
      <w:r>
        <w:t xml:space="preserve"> </w:t>
      </w:r>
      <w:r>
        <w:t xml:space="preserve">Classes must be instantiated with the</w:t>
      </w:r>
      <w:r>
        <w:t xml:space="preserve"> </w:t>
      </w:r>
      <w:r>
        <w:rPr>
          <w:rStyle w:val="VerbatimChar"/>
        </w:rPr>
        <w:t xml:space="preserve">new</w:t>
      </w:r>
      <w:r>
        <w:t xml:space="preserve"> </w:t>
      </w:r>
      <w:r>
        <w:t xml:space="preserve">operator. Calling a class constructor as a normal function (without</w:t>
      </w:r>
      <w:r>
        <w:t xml:space="preserve"> </w:t>
      </w:r>
      <w:r>
        <w:rPr>
          <w:rStyle w:val="VerbatimChar"/>
        </w:rPr>
        <w:t xml:space="preserve">new</w:t>
      </w:r>
      <w:r>
        <w:t xml:space="preserve">) throws a</w:t>
      </w:r>
      <w:r>
        <w:t xml:space="preserve"> </w:t>
      </w:r>
      <w:r>
        <w:rPr>
          <w:rStyle w:val="VerbatimChar"/>
        </w:rPr>
        <w:t xml:space="preserve">TypeError</w:t>
      </w:r>
      <w:r>
        <w:t xml:space="preserve">.</w:t>
      </w:r>
    </w:p>
    <w:p>
      <w:pPr>
        <w:pStyle w:val="Compact"/>
        <w:numPr>
          <w:ilvl w:val="0"/>
          <w:numId w:val="1276"/>
        </w:numPr>
      </w:pPr>
      <w:r>
        <w:rPr>
          <w:b/>
          <w:bCs/>
        </w:rPr>
        <w:t xml:space="preserve">Instance Methods:</w:t>
      </w:r>
      <w:r>
        <w:t xml:space="preserve"> </w:t>
      </w:r>
      <w:r>
        <w:t xml:space="preserve">Methods defined inside the class are attached to the class’s</w:t>
      </w:r>
      <w:r>
        <w:t xml:space="preserve"> </w:t>
      </w:r>
      <w:r>
        <w:rPr>
          <w:rStyle w:val="VerbatimChar"/>
        </w:rPr>
        <w:t xml:space="preserve">prototype</w:t>
      </w:r>
      <w:r>
        <w:t xml:space="preserve">.</w:t>
      </w:r>
    </w:p>
    <w:p>
      <w:pPr>
        <w:pStyle w:val="Compact"/>
        <w:numPr>
          <w:ilvl w:val="0"/>
          <w:numId w:val="1276"/>
        </w:numPr>
      </w:pPr>
      <w:r>
        <w:rPr>
          <w:b/>
          <w:bCs/>
        </w:rPr>
        <w:t xml:space="preserve">Static Methods:</w:t>
      </w:r>
      <w:r>
        <w:t xml:space="preserve"> </w:t>
      </w:r>
      <w:r>
        <w:t xml:space="preserve">Methods marked with the</w:t>
      </w:r>
      <w:r>
        <w:t xml:space="preserve"> </w:t>
      </w:r>
      <w:r>
        <w:rPr>
          <w:rStyle w:val="VerbatimChar"/>
        </w:rPr>
        <w:t xml:space="preserve">static</w:t>
      </w:r>
      <w:r>
        <w:t xml:space="preserve"> </w:t>
      </w:r>
      <w:r>
        <w:t xml:space="preserve">keyword are attached directly to the class constructor function.</w:t>
      </w:r>
    </w:p>
    <w:p>
      <w:pPr>
        <w:pStyle w:val="Compact"/>
        <w:numPr>
          <w:ilvl w:val="0"/>
          <w:numId w:val="1276"/>
        </w:numPr>
      </w:pPr>
      <w:r>
        <w:rPr>
          <w:b/>
          <w:bCs/>
        </w:rPr>
        <w:t xml:space="preserve">Inheritance:</w:t>
      </w:r>
      <w:r>
        <w:t xml:space="preserve"> </w:t>
      </w:r>
      <w:r>
        <w:t xml:space="preserve">When a class uses</w:t>
      </w:r>
      <w:r>
        <w:t xml:space="preserve"> </w:t>
      </w:r>
      <w:r>
        <w:rPr>
          <w:rStyle w:val="VerbatimChar"/>
        </w:rPr>
        <w:t xml:space="preserve">extends</w:t>
      </w:r>
      <w:r>
        <w:t xml:space="preserve">, AxonASP evaluates the superclass, validates that it is a constructor or</w:t>
      </w:r>
      <w:r>
        <w:t xml:space="preserve"> </w:t>
      </w:r>
      <w:r>
        <w:rPr>
          <w:rStyle w:val="VerbatimChar"/>
        </w:rPr>
        <w:t xml:space="preserve">null</w:t>
      </w:r>
      <w:r>
        <w:t xml:space="preserve">, and wires both the constructor chain and the prototype chain.</w:t>
      </w:r>
    </w:p>
    <w:p>
      <w:pPr>
        <w:pStyle w:val="Compact"/>
        <w:numPr>
          <w:ilvl w:val="0"/>
          <w:numId w:val="1276"/>
        </w:numPr>
      </w:pPr>
      <w:r>
        <w:rPr>
          <w:b/>
          <w:bCs/>
        </w:rPr>
        <w:t xml:space="preserve">Null Heritage:</w:t>
      </w:r>
      <w:r>
        <w:t xml:space="preserve"> </w:t>
      </w:r>
      <w:r>
        <w:rPr>
          <w:rStyle w:val="VerbatimChar"/>
        </w:rPr>
        <w:t xml:space="preserve">extends null</w:t>
      </w:r>
      <w:r>
        <w:t xml:space="preserve"> </w:t>
      </w:r>
      <w:r>
        <w:t xml:space="preserve">is supported. In that case, the class prototype chain terminates at</w:t>
      </w:r>
      <w:r>
        <w:t xml:space="preserve"> </w:t>
      </w:r>
      <w:r>
        <w:rPr>
          <w:rStyle w:val="VerbatimChar"/>
        </w:rPr>
        <w:t xml:space="preserve">null</w:t>
      </w:r>
      <w:r>
        <w:t xml:space="preserve">.</w:t>
      </w:r>
    </w:p>
    <w:p>
      <w:pPr>
        <w:pStyle w:val="Compact"/>
        <w:numPr>
          <w:ilvl w:val="0"/>
          <w:numId w:val="1276"/>
        </w:numPr>
      </w:pPr>
      <w:r>
        <w:rPr>
          <w:b/>
          <w:bCs/>
        </w:rPr>
        <w:t xml:space="preserve">Accessors:</w:t>
      </w:r>
      <w:r>
        <w:t xml:space="preserve"> </w:t>
      </w:r>
      <w:r>
        <w:rPr>
          <w:rStyle w:val="VerbatimChar"/>
        </w:rPr>
        <w:t xml:space="preserve">get</w:t>
      </w:r>
      <w:r>
        <w:t xml:space="preserve"> </w:t>
      </w:r>
      <w:r>
        <w:t xml:space="preserve">and</w:t>
      </w:r>
      <w:r>
        <w:t xml:space="preserve"> </w:t>
      </w:r>
      <w:r>
        <w:rPr>
          <w:rStyle w:val="VerbatimChar"/>
        </w:rPr>
        <w:t xml:space="preserve">set</w:t>
      </w:r>
      <w:r>
        <w:t xml:space="preserve"> </w:t>
      </w:r>
      <w:r>
        <w:t xml:space="preserve">syntax is supported for defining property getters and setters.</w:t>
      </w:r>
    </w:p>
    <w:p>
      <w:pPr>
        <w:pStyle w:val="Compact"/>
        <w:numPr>
          <w:ilvl w:val="0"/>
          <w:numId w:val="1276"/>
        </w:numPr>
      </w:pPr>
      <w:r>
        <w:rPr>
          <w:b/>
          <w:bCs/>
        </w:rPr>
        <w:t xml:space="preserve">Private Fields:</w:t>
      </w:r>
      <w:r>
        <w:t xml:space="preserve"> </w:t>
      </w:r>
      <w:r>
        <w:t xml:space="preserve">ES2022 private class fields (e.g. </w:t>
      </w:r>
      <w:r>
        <w:rPr>
          <w:rStyle w:val="VerbatimChar"/>
        </w:rPr>
        <w:t xml:space="preserve">#propertyName</w:t>
      </w:r>
      <w:r>
        <w:t xml:space="preserve">) and private static fields (e.g. </w:t>
      </w:r>
      <w:r>
        <w:rPr>
          <w:rStyle w:val="VerbatimChar"/>
        </w:rPr>
        <w:t xml:space="preserve">static #staticProperty</w:t>
      </w:r>
      <w:r>
        <w:t xml:space="preserve">) are fully supported. They provide true encapsulation without external memory overhead.</w:t>
      </w:r>
    </w:p>
    <w:bookmarkEnd w:id="1016"/>
    <w:bookmarkStart w:id="1017" w:name="code-example-59"/>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class</w:t>
      </w:r>
      <w:r>
        <w:rPr>
          <w:rStyle w:val="NormalTok"/>
        </w:rPr>
        <w:t xml:space="preserve"> Person {</w:t>
      </w:r>
      <w:r>
        <w:br/>
      </w:r>
      <w:r>
        <w:rPr>
          <w:rStyle w:val="NormalTok"/>
        </w:rPr>
        <w:t xml:space="preserve">    </w:t>
      </w:r>
      <w:r>
        <w:rPr>
          <w:rStyle w:val="FunctionTok"/>
        </w:rPr>
        <w:t xml:space="preserve">constructor</w:t>
      </w:r>
      <w:r>
        <w:rPr>
          <w:rStyle w:val="NormalTok"/>
        </w:rPr>
        <w:t xml:space="preserve">(name) {</w:t>
      </w:r>
      <w:r>
        <w:br/>
      </w:r>
      <w:r>
        <w:rPr>
          <w:rStyle w:val="NormalTok"/>
        </w:rPr>
        <w:t xml:space="preserve">        </w:t>
      </w:r>
      <w:r>
        <w:rPr>
          <w:rStyle w:val="KeywordTok"/>
        </w:rPr>
        <w:t xml:space="preserve">this</w:t>
      </w:r>
      <w:r>
        <w:rPr>
          <w:rStyle w:val="OperatorTok"/>
        </w:rPr>
        <w:t xml:space="preserve">.</w:t>
      </w:r>
      <w:r>
        <w:rPr>
          <w:rStyle w:val="AttributeTok"/>
        </w:rPr>
        <w:t xml:space="preserve">_name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br/>
      </w:r>
      <w:r>
        <w:br/>
      </w:r>
      <w:r>
        <w:rPr>
          <w:rStyle w:val="NormalTok"/>
        </w:rPr>
        <w:t xml:space="preserve">    </w:t>
      </w:r>
      <w:r>
        <w:rPr>
          <w:rStyle w:val="CommentTok"/>
        </w:rPr>
        <w:t xml:space="preserve">// Instance method</w:t>
      </w:r>
      <w:r>
        <w:br/>
      </w:r>
      <w:r>
        <w:rPr>
          <w:rStyle w:val="NormalTok"/>
        </w:rPr>
        <w:t xml:space="preserve">    </w:t>
      </w:r>
      <w:r>
        <w:rPr>
          <w:rStyle w:val="FunctionTok"/>
        </w:rPr>
        <w:t xml:space="preserve">greet</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StringTok"/>
        </w:rPr>
        <w:t xml:space="preserve">"Hello, I'm "</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_name</w:t>
      </w:r>
      <w:r>
        <w:rPr>
          <w:rStyle w:val="OperatorTok"/>
        </w:rPr>
        <w:t xml:space="preserve">;</w:t>
      </w:r>
      <w:r>
        <w:br/>
      </w:r>
      <w:r>
        <w:rPr>
          <w:rStyle w:val="NormalTok"/>
        </w:rPr>
        <w:t xml:space="preserve">    }</w:t>
      </w:r>
      <w:r>
        <w:br/>
      </w:r>
      <w:r>
        <w:br/>
      </w:r>
      <w:r>
        <w:rPr>
          <w:rStyle w:val="NormalTok"/>
        </w:rPr>
        <w:t xml:space="preserve">    </w:t>
      </w:r>
      <w:r>
        <w:rPr>
          <w:rStyle w:val="CommentTok"/>
        </w:rPr>
        <w:t xml:space="preserve">// Static method</w:t>
      </w:r>
      <w:r>
        <w:br/>
      </w:r>
      <w:r>
        <w:rPr>
          <w:rStyle w:val="NormalTok"/>
        </w:rPr>
        <w:t xml:space="preserve">    </w:t>
      </w:r>
      <w:r>
        <w:rPr>
          <w:rStyle w:val="KeywordTok"/>
        </w:rPr>
        <w:t xml:space="preserve">static</w:t>
      </w:r>
      <w:r>
        <w:rPr>
          <w:rStyle w:val="NormalTok"/>
        </w:rPr>
        <w:t xml:space="preserve"> </w:t>
      </w:r>
      <w:r>
        <w:rPr>
          <w:rStyle w:val="FunctionTok"/>
        </w:rPr>
        <w:t xml:space="preserve">species</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StringTok"/>
        </w:rPr>
        <w:t xml:space="preserve">"Homo Sapiens"</w:t>
      </w:r>
      <w:r>
        <w:rPr>
          <w:rStyle w:val="OperatorTok"/>
        </w:rPr>
        <w:t xml:space="preserve">;</w:t>
      </w:r>
      <w:r>
        <w:br/>
      </w:r>
      <w:r>
        <w:rPr>
          <w:rStyle w:val="NormalTok"/>
        </w:rPr>
        <w:t xml:space="preserve">    }</w:t>
      </w:r>
      <w:r>
        <w:br/>
      </w:r>
      <w:r>
        <w:br/>
      </w:r>
      <w:r>
        <w:rPr>
          <w:rStyle w:val="NormalTok"/>
        </w:rPr>
        <w:t xml:space="preserve">    </w:t>
      </w:r>
      <w:r>
        <w:rPr>
          <w:rStyle w:val="CommentTok"/>
        </w:rPr>
        <w:t xml:space="preserve">// Accessors</w:t>
      </w:r>
      <w:r>
        <w:br/>
      </w:r>
      <w:r>
        <w:rPr>
          <w:rStyle w:val="NormalTok"/>
        </w:rPr>
        <w:t xml:space="preserve">    </w:t>
      </w:r>
      <w:r>
        <w:rPr>
          <w:rStyle w:val="KeywordTok"/>
        </w:rPr>
        <w:t xml:space="preserve">get</w:t>
      </w:r>
      <w:r>
        <w:rPr>
          <w:rStyle w:val="NormalTok"/>
        </w:rPr>
        <w:t xml:space="preserve"> </w:t>
      </w:r>
      <w:r>
        <w:rPr>
          <w:rStyle w:val="FunctionTok"/>
        </w:rPr>
        <w:t xml:space="preserve">name</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KeywordTok"/>
        </w:rPr>
        <w:t xml:space="preserve">this</w:t>
      </w:r>
      <w:r>
        <w:rPr>
          <w:rStyle w:val="OperatorTok"/>
        </w:rPr>
        <w:t xml:space="preserve">.</w:t>
      </w:r>
      <w:r>
        <w:rPr>
          <w:rStyle w:val="AttributeTok"/>
        </w:rPr>
        <w:t xml:space="preserve">_name</w:t>
      </w:r>
      <w:r>
        <w:rPr>
          <w:rStyle w:val="OperatorTok"/>
        </w:rPr>
        <w:t xml:space="preserve">.</w:t>
      </w:r>
      <w:r>
        <w:rPr>
          <w:rStyle w:val="FunctionTok"/>
        </w:rPr>
        <w:t xml:space="preserve">toUpperCase</w:t>
      </w:r>
      <w:r>
        <w:rPr>
          <w:rStyle w:val="NormalTok"/>
        </w:rPr>
        <w:t xml:space="preserve">()</w:t>
      </w:r>
      <w:r>
        <w:rPr>
          <w:rStyle w:val="OperatorTok"/>
        </w:rPr>
        <w:t xml:space="preserve">;</w:t>
      </w:r>
      <w:r>
        <w:br/>
      </w:r>
      <w:r>
        <w:rPr>
          <w:rStyle w:val="NormalTok"/>
        </w:rPr>
        <w:t xml:space="preserve">    }</w:t>
      </w:r>
      <w:r>
        <w:br/>
      </w:r>
      <w:r>
        <w:rPr>
          <w:rStyle w:val="NormalTok"/>
        </w:rPr>
        <w:t xml:space="preserve">    </w:t>
      </w:r>
      <w:r>
        <w:br/>
      </w:r>
      <w:r>
        <w:rPr>
          <w:rStyle w:val="NormalTok"/>
        </w:rPr>
        <w:t xml:space="preserve">    </w:t>
      </w:r>
      <w:r>
        <w:rPr>
          <w:rStyle w:val="KeywordTok"/>
        </w:rPr>
        <w:t xml:space="preserve">set</w:t>
      </w:r>
      <w:r>
        <w:rPr>
          <w:rStyle w:val="NormalTok"/>
        </w:rPr>
        <w:t xml:space="preserve"> </w:t>
      </w:r>
      <w:r>
        <w:rPr>
          <w:rStyle w:val="FunctionTok"/>
        </w:rPr>
        <w:t xml:space="preserve">name</w:t>
      </w:r>
      <w:r>
        <w:rPr>
          <w:rStyle w:val="NormalTok"/>
        </w:rPr>
        <w:t xml:space="preserve">(value) {</w:t>
      </w:r>
      <w:r>
        <w:br/>
      </w:r>
      <w:r>
        <w:rPr>
          <w:rStyle w:val="NormalTok"/>
        </w:rPr>
        <w:t xml:space="preserve">        </w:t>
      </w:r>
      <w:r>
        <w:rPr>
          <w:rStyle w:val="KeywordTok"/>
        </w:rPr>
        <w:t xml:space="preserve">this</w:t>
      </w:r>
      <w:r>
        <w:rPr>
          <w:rStyle w:val="OperatorTok"/>
        </w:rPr>
        <w:t xml:space="preserve">.</w:t>
      </w:r>
      <w:r>
        <w:rPr>
          <w:rStyle w:val="AttributeTok"/>
        </w:rPr>
        <w:t xml:space="preserve">_name</w:t>
      </w:r>
      <w:r>
        <w:rPr>
          <w:rStyle w:val="NormalTok"/>
        </w:rPr>
        <w:t xml:space="preserve"> </w:t>
      </w:r>
      <w:r>
        <w:rPr>
          <w:rStyle w:val="OperatorTok"/>
        </w:rPr>
        <w:t xml:space="preserve">=</w:t>
      </w:r>
      <w:r>
        <w:rPr>
          <w:rStyle w:val="NormalTok"/>
        </w:rPr>
        <w:t xml:space="preserve"> value</w:t>
      </w:r>
      <w:r>
        <w:rPr>
          <w:rStyle w:val="OperatorTok"/>
        </w:rPr>
        <w:t xml:space="preserve">;</w:t>
      </w:r>
      <w:r>
        <w:br/>
      </w:r>
      <w:r>
        <w:rPr>
          <w:rStyle w:val="NormalTok"/>
        </w:rPr>
        <w:t xml:space="preserve">    }</w:t>
      </w:r>
      <w:r>
        <w:br/>
      </w:r>
      <w:r>
        <w:rPr>
          <w:rStyle w:val="NormalTok"/>
        </w:rPr>
        <w:t xml:space="preserve">}</w:t>
      </w:r>
      <w:r>
        <w:br/>
      </w:r>
      <w:r>
        <w:br/>
      </w:r>
      <w:r>
        <w:rPr>
          <w:rStyle w:val="KeywordTok"/>
        </w:rPr>
        <w:t xml:space="preserve">var</w:t>
      </w:r>
      <w:r>
        <w:rPr>
          <w:rStyle w:val="NormalTok"/>
        </w:rPr>
        <w:t xml:space="preserve"> p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Person</w:t>
      </w:r>
      <w:r>
        <w:rPr>
          <w:rStyle w:val="NormalTok"/>
        </w:rPr>
        <w:t xml:space="preserve">(</w:t>
      </w:r>
      <w:r>
        <w:rPr>
          <w:rStyle w:val="StringTok"/>
        </w:rPr>
        <w:t xml:space="preserve">"Alice"</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(p</w:t>
      </w:r>
      <w:r>
        <w:rPr>
          <w:rStyle w:val="OperatorTok"/>
        </w:rPr>
        <w:t xml:space="preserve">.</w:t>
      </w:r>
      <w:r>
        <w:rPr>
          <w:rStyle w:val="FunctionTok"/>
        </w:rPr>
        <w:t xml:space="preserve">greet</w:t>
      </w:r>
      <w:r>
        <w:rPr>
          <w:rStyle w:val="NormalTok"/>
        </w:rPr>
        <w:t xml:space="preserve">() </w:t>
      </w:r>
      <w:r>
        <w:rPr>
          <w:rStyle w:val="OperatorTok"/>
        </w:rPr>
        <w:t xml:space="preserve">+</w:t>
      </w:r>
      <w:r>
        <w:rPr>
          <w:rStyle w:val="NormalTok"/>
        </w:rPr>
        <w:t xml:space="preserve"> </w:t>
      </w:r>
      <w:r>
        <w:rPr>
          <w:rStyle w:val="StringTok"/>
        </w:rPr>
        <w:t xml:space="preserve">"&lt;br&gt;"</w:t>
      </w:r>
      <w:r>
        <w:rPr>
          <w:rStyle w:val="NormalTok"/>
        </w:rPr>
        <w:t xml:space="preserve">)</w:t>
      </w:r>
      <w:r>
        <w:rPr>
          <w:rStyle w:val="OperatorTok"/>
        </w:rPr>
        <w:t xml:space="preserve">;</w:t>
      </w:r>
      <w:r>
        <w:rPr>
          <w:rStyle w:val="NormalTok"/>
        </w:rPr>
        <w:t xml:space="preserve">       </w:t>
      </w:r>
      <w:r>
        <w:rPr>
          <w:rStyle w:val="CommentTok"/>
        </w:rPr>
        <w:t xml:space="preserve">// Output: Hello, I'm Alice</w:t>
      </w:r>
      <w:r>
        <w:br/>
      </w:r>
      <w:r>
        <w:rPr>
          <w:rStyle w:val="NormalTok"/>
        </w:rPr>
        <w:t xml:space="preserve">Response</w:t>
      </w:r>
      <w:r>
        <w:rPr>
          <w:rStyle w:val="OperatorTok"/>
        </w:rPr>
        <w:t xml:space="preserve">.</w:t>
      </w:r>
      <w:r>
        <w:rPr>
          <w:rStyle w:val="FunctionTok"/>
        </w:rPr>
        <w:t xml:space="preserve">Write</w:t>
      </w:r>
      <w:r>
        <w:rPr>
          <w:rStyle w:val="NormalTok"/>
        </w:rPr>
        <w:t xml:space="preserve">(Person</w:t>
      </w:r>
      <w:r>
        <w:rPr>
          <w:rStyle w:val="OperatorTok"/>
        </w:rPr>
        <w:t xml:space="preserve">.</w:t>
      </w:r>
      <w:r>
        <w:rPr>
          <w:rStyle w:val="FunctionTok"/>
        </w:rPr>
        <w:t xml:space="preserve">species</w:t>
      </w:r>
      <w:r>
        <w:rPr>
          <w:rStyle w:val="NormalTok"/>
        </w:rPr>
        <w:t xml:space="preserve">() </w:t>
      </w:r>
      <w:r>
        <w:rPr>
          <w:rStyle w:val="OperatorTok"/>
        </w:rPr>
        <w:t xml:space="preserve">+</w:t>
      </w:r>
      <w:r>
        <w:rPr>
          <w:rStyle w:val="NormalTok"/>
        </w:rPr>
        <w:t xml:space="preserve"> </w:t>
      </w:r>
      <w:r>
        <w:rPr>
          <w:rStyle w:val="StringTok"/>
        </w:rPr>
        <w:t xml:space="preserve">"&lt;br&gt;"</w:t>
      </w:r>
      <w:r>
        <w:rPr>
          <w:rStyle w:val="NormalTok"/>
        </w:rPr>
        <w:t xml:space="preserve">)</w:t>
      </w:r>
      <w:r>
        <w:rPr>
          <w:rStyle w:val="OperatorTok"/>
        </w:rPr>
        <w:t xml:space="preserve">;</w:t>
      </w:r>
      <w:r>
        <w:rPr>
          <w:rStyle w:val="NormalTok"/>
        </w:rPr>
        <w:t xml:space="preserve"> </w:t>
      </w:r>
      <w:r>
        <w:rPr>
          <w:rStyle w:val="CommentTok"/>
        </w:rPr>
        <w:t xml:space="preserve">// Output: Homo Sapiens</w:t>
      </w:r>
      <w:r>
        <w:br/>
      </w:r>
      <w:r>
        <w:rPr>
          <w:rStyle w:val="NormalTok"/>
        </w:rPr>
        <w:t xml:space="preserve">Response</w:t>
      </w:r>
      <w:r>
        <w:rPr>
          <w:rStyle w:val="OperatorTok"/>
        </w:rPr>
        <w:t xml:space="preserve">.</w:t>
      </w:r>
      <w:r>
        <w:rPr>
          <w:rStyle w:val="FunctionTok"/>
        </w:rPr>
        <w:t xml:space="preserve">Write</w:t>
      </w:r>
      <w:r>
        <w:rPr>
          <w:rStyle w:val="NormalTok"/>
        </w:rPr>
        <w:t xml:space="preserve">(p</w:t>
      </w:r>
      <w:r>
        <w:rPr>
          <w:rStyle w:val="OperatorTok"/>
        </w:rPr>
        <w:t xml:space="preserve">.</w:t>
      </w:r>
      <w:r>
        <w:rPr>
          <w:rStyle w:val="AttributeTok"/>
        </w:rPr>
        <w:t xml:space="preserve">name</w:t>
      </w:r>
      <w:r>
        <w:rPr>
          <w:rStyle w:val="NormalTok"/>
        </w:rPr>
        <w:t xml:space="preserve"> </w:t>
      </w:r>
      <w:r>
        <w:rPr>
          <w:rStyle w:val="OperatorTok"/>
        </w:rPr>
        <w:t xml:space="preserve">+</w:t>
      </w:r>
      <w:r>
        <w:rPr>
          <w:rStyle w:val="NormalTok"/>
        </w:rPr>
        <w:t xml:space="preserve"> </w:t>
      </w:r>
      <w:r>
        <w:rPr>
          <w:rStyle w:val="StringTok"/>
        </w:rPr>
        <w:t xml:space="preserve">"&lt;br&gt;"</w:t>
      </w:r>
      <w:r>
        <w:rPr>
          <w:rStyle w:val="NormalTok"/>
        </w:rPr>
        <w:t xml:space="preserve">)</w:t>
      </w:r>
      <w:r>
        <w:rPr>
          <w:rStyle w:val="OperatorTok"/>
        </w:rPr>
        <w:t xml:space="preserve">;</w:t>
      </w:r>
      <w:r>
        <w:rPr>
          <w:rStyle w:val="NormalTok"/>
        </w:rPr>
        <w:t xml:space="preserve">           </w:t>
      </w:r>
      <w:r>
        <w:rPr>
          <w:rStyle w:val="CommentTok"/>
        </w:rPr>
        <w:t xml:space="preserve">// Output: ALICE</w:t>
      </w:r>
      <w:r>
        <w:br/>
      </w:r>
      <w:r>
        <w:br/>
      </w:r>
      <w:r>
        <w:rPr>
          <w:rStyle w:val="NormalTok"/>
        </w:rPr>
        <w:t xml:space="preserve">p</w:t>
      </w:r>
      <w:r>
        <w:rPr>
          <w:rStyle w:val="OperatorTok"/>
        </w:rPr>
        <w:t xml:space="preserve">.</w:t>
      </w:r>
      <w:r>
        <w:rPr>
          <w:rStyle w:val="AttributeTok"/>
        </w:rPr>
        <w:t xml:space="preserve">name</w:t>
      </w:r>
      <w:r>
        <w:rPr>
          <w:rStyle w:val="NormalTok"/>
        </w:rPr>
        <w:t xml:space="preserve"> </w:t>
      </w:r>
      <w:r>
        <w:rPr>
          <w:rStyle w:val="OperatorTok"/>
        </w:rPr>
        <w:t xml:space="preserve">=</w:t>
      </w:r>
      <w:r>
        <w:rPr>
          <w:rStyle w:val="NormalTok"/>
        </w:rPr>
        <w:t xml:space="preserve"> </w:t>
      </w:r>
      <w:r>
        <w:rPr>
          <w:rStyle w:val="StringTok"/>
        </w:rPr>
        <w:t xml:space="preserve">"Bob"</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(p</w:t>
      </w:r>
      <w:r>
        <w:rPr>
          <w:rStyle w:val="OperatorTok"/>
        </w:rPr>
        <w:t xml:space="preserve">.</w:t>
      </w:r>
      <w:r>
        <w:rPr>
          <w:rStyle w:val="AttributeTok"/>
        </w:rPr>
        <w:t xml:space="preserve">name</w:t>
      </w:r>
      <w:r>
        <w:rPr>
          <w:rStyle w:val="NormalTok"/>
        </w:rPr>
        <w:t xml:space="preserve">)</w:t>
      </w:r>
      <w:r>
        <w:rPr>
          <w:rStyle w:val="OperatorTok"/>
        </w:rPr>
        <w:t xml:space="preserve">;</w:t>
      </w:r>
      <w:r>
        <w:rPr>
          <w:rStyle w:val="NormalTok"/>
        </w:rPr>
        <w:t xml:space="preserve">                   </w:t>
      </w:r>
      <w:r>
        <w:rPr>
          <w:rStyle w:val="CommentTok"/>
        </w:rPr>
        <w:t xml:space="preserve">// Output: BOB</w:t>
      </w:r>
      <w:r>
        <w:br/>
      </w:r>
      <w:r>
        <w:rPr>
          <w:rStyle w:val="OperatorTok"/>
        </w:rPr>
        <w:t xml:space="preserve">&lt;/</w:t>
      </w:r>
      <w:r>
        <w:rPr>
          <w:rStyle w:val="NormalTok"/>
        </w:rPr>
        <w:t xml:space="preserve">script</w:t>
      </w:r>
      <w:r>
        <w:rPr>
          <w:rStyle w:val="OperatorTok"/>
        </w:rPr>
        <w:t xml:space="preserve">&gt;</w:t>
      </w:r>
    </w:p>
    <w:bookmarkEnd w:id="1017"/>
    <w:bookmarkStart w:id="1022" w:name="inheritance-with-super"/>
    <w:p>
      <w:pPr>
        <w:pStyle w:val="Heading3"/>
      </w:pPr>
      <w:r>
        <w:t xml:space="preserve">Inheritance with super()</w:t>
      </w:r>
    </w:p>
    <w:p>
      <w:pPr>
        <w:pStyle w:val="FirstParagraph"/>
      </w:pPr>
      <w:r>
        <w:t xml:space="preserve">When a class extends another class, you can use the</w:t>
      </w:r>
      <w:r>
        <w:t xml:space="preserve"> </w:t>
      </w:r>
      <w:r>
        <w:rPr>
          <w:rStyle w:val="VerbatimChar"/>
        </w:rPr>
        <w:t xml:space="preserve">super()</w:t>
      </w:r>
      <w:r>
        <w:t xml:space="preserve"> </w:t>
      </w:r>
      <w:r>
        <w:t xml:space="preserve">keyword to invoke the parent class’s constructor and</w:t>
      </w:r>
      <w:r>
        <w:t xml:space="preserve"> </w:t>
      </w:r>
      <w:r>
        <w:rPr>
          <w:rStyle w:val="VerbatimChar"/>
        </w:rPr>
        <w:t xml:space="preserve">super.method()</w:t>
      </w:r>
      <w:r>
        <w:t xml:space="preserve"> </w:t>
      </w:r>
      <w:r>
        <w:t xml:space="preserve">to call parent class methods.</w:t>
      </w:r>
    </w:p>
    <w:bookmarkStart w:id="1018" w:name="super-in-derived-class-constructors"/>
    <w:p>
      <w:pPr>
        <w:pStyle w:val="Heading4"/>
      </w:pPr>
      <w:r>
        <w:t xml:space="preserve">super() in Derived Class Constructors</w:t>
      </w:r>
    </w:p>
    <w:p>
      <w:pPr>
        <w:pStyle w:val="FirstParagraph"/>
      </w:pPr>
      <w:r>
        <w:t xml:space="preserve">The</w:t>
      </w:r>
      <w:r>
        <w:t xml:space="preserve"> </w:t>
      </w:r>
      <w:r>
        <w:rPr>
          <w:rStyle w:val="VerbatimChar"/>
        </w:rPr>
        <w:t xml:space="preserve">super()</w:t>
      </w:r>
      <w:r>
        <w:t xml:space="preserve"> </w:t>
      </w:r>
      <w:r>
        <w:t xml:space="preserve">call must be made before accessing</w:t>
      </w:r>
      <w:r>
        <w:t xml:space="preserve"> </w:t>
      </w:r>
      <w:r>
        <w:rPr>
          <w:rStyle w:val="VerbatimChar"/>
        </w:rPr>
        <w:t xml:space="preserve">this</w:t>
      </w:r>
      <w:r>
        <w:t xml:space="preserve"> </w:t>
      </w:r>
      <w:r>
        <w:t xml:space="preserve">in a derived class constructor. If</w:t>
      </w:r>
      <w:r>
        <w:t xml:space="preserve"> </w:t>
      </w:r>
      <w:r>
        <w:rPr>
          <w:rStyle w:val="VerbatimChar"/>
        </w:rPr>
        <w:t xml:space="preserve">this</w:t>
      </w:r>
      <w:r>
        <w:t xml:space="preserve"> </w:t>
      </w:r>
      <w:r>
        <w:t xml:space="preserve">is accessed before</w:t>
      </w:r>
      <w:r>
        <w:t xml:space="preserve"> </w:t>
      </w:r>
      <w:r>
        <w:rPr>
          <w:rStyle w:val="VerbatimChar"/>
        </w:rPr>
        <w:t xml:space="preserve">super()</w:t>
      </w:r>
      <w:r>
        <w:t xml:space="preserve"> </w:t>
      </w:r>
      <w:r>
        <w:t xml:space="preserve">completes, a</w:t>
      </w:r>
      <w:r>
        <w:t xml:space="preserve"> </w:t>
      </w:r>
      <w:r>
        <w:rPr>
          <w:rStyle w:val="VerbatimChar"/>
        </w:rPr>
        <w:t xml:space="preserve">ReferenceError</w:t>
      </w:r>
      <w:r>
        <w:t xml:space="preserve"> </w:t>
      </w:r>
      <w:r>
        <w:t xml:space="preserve">is thrown (Temporal Dead Zone).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class</w:t>
      </w:r>
      <w:r>
        <w:rPr>
          <w:rStyle w:val="NormalTok"/>
        </w:rPr>
        <w:t xml:space="preserve"> Animal {</w:t>
      </w:r>
      <w:r>
        <w:br/>
      </w:r>
      <w:r>
        <w:rPr>
          <w:rStyle w:val="NormalTok"/>
        </w:rPr>
        <w:t xml:space="preserve">    </w:t>
      </w:r>
      <w:r>
        <w:rPr>
          <w:rStyle w:val="FunctionTok"/>
        </w:rPr>
        <w:t xml:space="preserve">constructor</w:t>
      </w:r>
      <w:r>
        <w:rPr>
          <w:rStyle w:val="NormalTok"/>
        </w:rPr>
        <w:t xml:space="preserve">(name) {</w:t>
      </w:r>
      <w:r>
        <w:br/>
      </w:r>
      <w:r>
        <w:rPr>
          <w:rStyle w:val="NormalTok"/>
        </w:rPr>
        <w:t xml:space="preserve">        </w:t>
      </w:r>
      <w:r>
        <w:rPr>
          <w:rStyle w:val="KeywordTok"/>
        </w:rPr>
        <w:t xml:space="preserve">this</w:t>
      </w:r>
      <w:r>
        <w:rPr>
          <w:rStyle w:val="OperatorTok"/>
        </w:rPr>
        <w:t xml:space="preserve">.</w:t>
      </w:r>
      <w:r>
        <w:rPr>
          <w:rStyle w:val="Attribute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br/>
      </w:r>
      <w:r>
        <w:rPr>
          <w:rStyle w:val="NormalTok"/>
        </w:rPr>
        <w:t xml:space="preserve">    </w:t>
      </w:r>
      <w:r>
        <w:rPr>
          <w:rStyle w:val="FunctionTok"/>
        </w:rPr>
        <w:t xml:space="preserve">speak</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KeywordTok"/>
        </w:rPr>
        <w:t xml:space="preserve">this</w:t>
      </w:r>
      <w:r>
        <w:rPr>
          <w:rStyle w:val="OperatorTok"/>
        </w:rPr>
        <w:t xml:space="preserve">.</w:t>
      </w:r>
      <w:r>
        <w:rPr>
          <w:rStyle w:val="AttributeTok"/>
        </w:rPr>
        <w:t xml:space="preserve">name</w:t>
      </w:r>
      <w:r>
        <w:rPr>
          <w:rStyle w:val="NormalTok"/>
        </w:rPr>
        <w:t xml:space="preserve"> </w:t>
      </w:r>
      <w:r>
        <w:rPr>
          <w:rStyle w:val="OperatorTok"/>
        </w:rPr>
        <w:t xml:space="preserve">+</w:t>
      </w:r>
      <w:r>
        <w:rPr>
          <w:rStyle w:val="NormalTok"/>
        </w:rPr>
        <w:t xml:space="preserve"> </w:t>
      </w:r>
      <w:r>
        <w:rPr>
          <w:rStyle w:val="StringTok"/>
        </w:rPr>
        <w:t xml:space="preserve">" makes a sound"</w:t>
      </w:r>
      <w:r>
        <w:rPr>
          <w:rStyle w:val="OperatorTok"/>
        </w:rPr>
        <w:t xml:space="preserve">;</w:t>
      </w:r>
      <w:r>
        <w:br/>
      </w:r>
      <w:r>
        <w:rPr>
          <w:rStyle w:val="NormalTok"/>
        </w:rPr>
        <w:t xml:space="preserve">    }</w:t>
      </w:r>
      <w:r>
        <w:br/>
      </w:r>
      <w:r>
        <w:rPr>
          <w:rStyle w:val="NormalTok"/>
        </w:rPr>
        <w:t xml:space="preserve">}</w:t>
      </w:r>
      <w:r>
        <w:br/>
      </w:r>
      <w:r>
        <w:br/>
      </w:r>
      <w:r>
        <w:rPr>
          <w:rStyle w:val="KeywordTok"/>
        </w:rPr>
        <w:t xml:space="preserve">class</w:t>
      </w:r>
      <w:r>
        <w:rPr>
          <w:rStyle w:val="NormalTok"/>
        </w:rPr>
        <w:t xml:space="preserve"> Dog </w:t>
      </w:r>
      <w:r>
        <w:rPr>
          <w:rStyle w:val="KeywordTok"/>
        </w:rPr>
        <w:t xml:space="preserve">extends</w:t>
      </w:r>
      <w:r>
        <w:rPr>
          <w:rStyle w:val="NormalTok"/>
        </w:rPr>
        <w:t xml:space="preserve"> Animal {</w:t>
      </w:r>
      <w:r>
        <w:br/>
      </w:r>
      <w:r>
        <w:rPr>
          <w:rStyle w:val="NormalTok"/>
        </w:rPr>
        <w:t xml:space="preserve">    </w:t>
      </w:r>
      <w:r>
        <w:rPr>
          <w:rStyle w:val="FunctionTok"/>
        </w:rPr>
        <w:t xml:space="preserve">constructor</w:t>
      </w:r>
      <w:r>
        <w:rPr>
          <w:rStyle w:val="NormalTok"/>
        </w:rPr>
        <w:t xml:space="preserve">(name</w:t>
      </w:r>
      <w:r>
        <w:rPr>
          <w:rStyle w:val="OperatorTok"/>
        </w:rPr>
        <w:t xml:space="preserve">,</w:t>
      </w:r>
      <w:r>
        <w:rPr>
          <w:rStyle w:val="NormalTok"/>
        </w:rPr>
        <w:t xml:space="preserve"> breed) {</w:t>
      </w:r>
      <w:r>
        <w:br/>
      </w:r>
      <w:r>
        <w:rPr>
          <w:rStyle w:val="NormalTok"/>
        </w:rPr>
        <w:t xml:space="preserve">        </w:t>
      </w:r>
      <w:r>
        <w:rPr>
          <w:rStyle w:val="KeywordTok"/>
        </w:rPr>
        <w:t xml:space="preserve">super</w:t>
      </w:r>
      <w:r>
        <w:rPr>
          <w:rStyle w:val="NormalTok"/>
        </w:rPr>
        <w:t xml:space="preserve">(name)</w:t>
      </w:r>
      <w:r>
        <w:rPr>
          <w:rStyle w:val="OperatorTok"/>
        </w:rPr>
        <w:t xml:space="preserve">;</w:t>
      </w:r>
      <w:r>
        <w:rPr>
          <w:rStyle w:val="NormalTok"/>
        </w:rPr>
        <w:t xml:space="preserve">        </w:t>
      </w:r>
      <w:r>
        <w:rPr>
          <w:rStyle w:val="CommentTok"/>
        </w:rPr>
        <w:t xml:space="preserve">// Call parent constructor</w:t>
      </w:r>
      <w:r>
        <w:br/>
      </w:r>
      <w:r>
        <w:rPr>
          <w:rStyle w:val="NormalTok"/>
        </w:rPr>
        <w:t xml:space="preserve">        </w:t>
      </w:r>
      <w:r>
        <w:rPr>
          <w:rStyle w:val="KeywordTok"/>
        </w:rPr>
        <w:t xml:space="preserve">this</w:t>
      </w:r>
      <w:r>
        <w:rPr>
          <w:rStyle w:val="OperatorTok"/>
        </w:rPr>
        <w:t xml:space="preserve">.</w:t>
      </w:r>
      <w:r>
        <w:rPr>
          <w:rStyle w:val="AttributeTok"/>
        </w:rPr>
        <w:t xml:space="preserve">breed</w:t>
      </w:r>
      <w:r>
        <w:rPr>
          <w:rStyle w:val="NormalTok"/>
        </w:rPr>
        <w:t xml:space="preserve"> </w:t>
      </w:r>
      <w:r>
        <w:rPr>
          <w:rStyle w:val="OperatorTok"/>
        </w:rPr>
        <w:t xml:space="preserve">=</w:t>
      </w:r>
      <w:r>
        <w:rPr>
          <w:rStyle w:val="NormalTok"/>
        </w:rPr>
        <w:t xml:space="preserve"> breed</w:t>
      </w:r>
      <w:r>
        <w:rPr>
          <w:rStyle w:val="OperatorTok"/>
        </w:rPr>
        <w:t xml:space="preserve">;</w:t>
      </w:r>
      <w:r>
        <w:br/>
      </w:r>
      <w:r>
        <w:rPr>
          <w:rStyle w:val="NormalTok"/>
        </w:rPr>
        <w:t xml:space="preserve">    }</w:t>
      </w:r>
      <w:r>
        <w:br/>
      </w:r>
      <w:r>
        <w:rPr>
          <w:rStyle w:val="NormalTok"/>
        </w:rPr>
        <w:t xml:space="preserve">    </w:t>
      </w:r>
      <w:r>
        <w:rPr>
          <w:rStyle w:val="FunctionTok"/>
        </w:rPr>
        <w:t xml:space="preserve">speak</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KeywordTok"/>
        </w:rPr>
        <w:t xml:space="preserve">super</w:t>
      </w:r>
      <w:r>
        <w:rPr>
          <w:rStyle w:val="OperatorTok"/>
        </w:rPr>
        <w:t xml:space="preserve">.</w:t>
      </w:r>
      <w:r>
        <w:rPr>
          <w:rStyle w:val="FunctionTok"/>
        </w:rPr>
        <w:t xml:space="preserve">speak</w:t>
      </w:r>
      <w:r>
        <w:rPr>
          <w:rStyle w:val="NormalTok"/>
        </w:rPr>
        <w:t xml:space="preserve">() </w:t>
      </w:r>
      <w:r>
        <w:rPr>
          <w:rStyle w:val="OperatorTok"/>
        </w:rPr>
        <w:t xml:space="preserve">+</w:t>
      </w:r>
      <w:r>
        <w:rPr>
          <w:rStyle w:val="NormalTok"/>
        </w:rPr>
        <w:t xml:space="preserve"> </w:t>
      </w:r>
      <w:r>
        <w:rPr>
          <w:rStyle w:val="StringTok"/>
        </w:rPr>
        <w:t xml:space="preserve">" - woof!"</w:t>
      </w:r>
      <w:r>
        <w:rPr>
          <w:rStyle w:val="OperatorTok"/>
        </w:rPr>
        <w:t xml:space="preserve">;</w:t>
      </w:r>
      <w:r>
        <w:br/>
      </w:r>
      <w:r>
        <w:rPr>
          <w:rStyle w:val="NormalTok"/>
        </w:rPr>
        <w:t xml:space="preserve">    }</w:t>
      </w:r>
      <w:r>
        <w:br/>
      </w:r>
      <w:r>
        <w:rPr>
          <w:rStyle w:val="NormalTok"/>
        </w:rPr>
        <w:t xml:space="preserve">}</w:t>
      </w:r>
      <w:r>
        <w:br/>
      </w:r>
      <w:r>
        <w:br/>
      </w:r>
      <w:r>
        <w:rPr>
          <w:rStyle w:val="KeywordTok"/>
        </w:rPr>
        <w:t xml:space="preserve">var</w:t>
      </w:r>
      <w:r>
        <w:rPr>
          <w:rStyle w:val="NormalTok"/>
        </w:rPr>
        <w:t xml:space="preserve"> dog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Dog</w:t>
      </w:r>
      <w:r>
        <w:rPr>
          <w:rStyle w:val="NormalTok"/>
        </w:rPr>
        <w:t xml:space="preserve">(</w:t>
      </w:r>
      <w:r>
        <w:rPr>
          <w:rStyle w:val="StringTok"/>
        </w:rPr>
        <w:t xml:space="preserve">"Buddy"</w:t>
      </w:r>
      <w:r>
        <w:rPr>
          <w:rStyle w:val="OperatorTok"/>
        </w:rPr>
        <w:t xml:space="preserve">,</w:t>
      </w:r>
      <w:r>
        <w:rPr>
          <w:rStyle w:val="NormalTok"/>
        </w:rPr>
        <w:t xml:space="preserve"> </w:t>
      </w:r>
      <w:r>
        <w:rPr>
          <w:rStyle w:val="StringTok"/>
        </w:rPr>
        <w:t xml:space="preserve">"Golden Retriever"</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(dog</w:t>
      </w:r>
      <w:r>
        <w:rPr>
          <w:rStyle w:val="OperatorTok"/>
        </w:rPr>
        <w:t xml:space="preserve">.</w:t>
      </w:r>
      <w:r>
        <w:rPr>
          <w:rStyle w:val="FunctionTok"/>
        </w:rPr>
        <w:t xml:space="preserve">speak</w:t>
      </w:r>
      <w:r>
        <w:rPr>
          <w:rStyle w:val="NormalTok"/>
        </w:rPr>
        <w:t xml:space="preserve">())</w:t>
      </w:r>
      <w:r>
        <w:rPr>
          <w:rStyle w:val="OperatorTok"/>
        </w:rPr>
        <w:t xml:space="preserve">;</w:t>
      </w:r>
      <w:r>
        <w:rPr>
          <w:rStyle w:val="NormalTok"/>
        </w:rPr>
        <w:t xml:space="preserve"> </w:t>
      </w:r>
      <w:r>
        <w:rPr>
          <w:rStyle w:val="CommentTok"/>
        </w:rPr>
        <w:t xml:space="preserve">// Output: Buddy makes a sound - woof!</w:t>
      </w:r>
      <w:r>
        <w:br/>
      </w:r>
      <w:r>
        <w:rPr>
          <w:rStyle w:val="OperatorTok"/>
        </w:rPr>
        <w:t xml:space="preserve">&lt;/</w:t>
      </w:r>
      <w:r>
        <w:rPr>
          <w:rStyle w:val="NormalTok"/>
        </w:rPr>
        <w:t xml:space="preserve">script</w:t>
      </w:r>
      <w:r>
        <w:rPr>
          <w:rStyle w:val="OperatorTok"/>
        </w:rPr>
        <w:t xml:space="preserve">&gt;</w:t>
      </w:r>
    </w:p>
    <w:bookmarkEnd w:id="1018"/>
    <w:bookmarkStart w:id="1019" w:name="super.method-calls"/>
    <w:p>
      <w:pPr>
        <w:pStyle w:val="Heading4"/>
      </w:pPr>
      <w:r>
        <w:t xml:space="preserve">super.method() Calls</w:t>
      </w:r>
    </w:p>
    <w:p>
      <w:pPr>
        <w:pStyle w:val="FirstParagraph"/>
      </w:pPr>
      <w:r>
        <w:t xml:space="preserve">Use</w:t>
      </w:r>
      <w:r>
        <w:t xml:space="preserve"> </w:t>
      </w:r>
      <w:r>
        <w:rPr>
          <w:rStyle w:val="VerbatimChar"/>
        </w:rPr>
        <w:t xml:space="preserve">super.method()</w:t>
      </w:r>
      <w:r>
        <w:t xml:space="preserve"> </w:t>
      </w:r>
      <w:r>
        <w:t xml:space="preserve">to invoke a method from the parent class. This is useful for extending parent behavior without completely overriding it.</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class</w:t>
      </w:r>
      <w:r>
        <w:rPr>
          <w:rStyle w:val="NormalTok"/>
        </w:rPr>
        <w:t xml:space="preserve"> Calculator {</w:t>
      </w:r>
      <w:r>
        <w:br/>
      </w:r>
      <w:r>
        <w:rPr>
          <w:rStyle w:val="NormalTok"/>
        </w:rPr>
        <w:t xml:space="preserve">    </w:t>
      </w:r>
      <w:r>
        <w:rPr>
          <w:rStyle w:val="FunctionTok"/>
        </w:rPr>
        <w:t xml:space="preserve">add</w:t>
      </w:r>
      <w:r>
        <w:rPr>
          <w:rStyle w:val="NormalTok"/>
        </w:rPr>
        <w:t xml:space="preserve">(a</w:t>
      </w:r>
      <w:r>
        <w:rPr>
          <w:rStyle w:val="OperatorTok"/>
        </w:rPr>
        <w:t xml:space="preserve">,</w:t>
      </w:r>
      <w:r>
        <w:rPr>
          <w:rStyle w:val="NormalTok"/>
        </w:rPr>
        <w:t xml:space="preserve"> b) {</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b</w:t>
      </w:r>
      <w:r>
        <w:rPr>
          <w:rStyle w:val="OperatorTok"/>
        </w:rPr>
        <w:t xml:space="preserve">;</w:t>
      </w:r>
      <w:r>
        <w:br/>
      </w:r>
      <w:r>
        <w:rPr>
          <w:rStyle w:val="NormalTok"/>
        </w:rPr>
        <w:t xml:space="preserve">    }</w:t>
      </w:r>
      <w:r>
        <w:br/>
      </w:r>
      <w:r>
        <w:rPr>
          <w:rStyle w:val="NormalTok"/>
        </w:rPr>
        <w:t xml:space="preserve">}</w:t>
      </w:r>
      <w:r>
        <w:br/>
      </w:r>
      <w:r>
        <w:br/>
      </w:r>
      <w:r>
        <w:rPr>
          <w:rStyle w:val="KeywordTok"/>
        </w:rPr>
        <w:t xml:space="preserve">class</w:t>
      </w:r>
      <w:r>
        <w:rPr>
          <w:rStyle w:val="NormalTok"/>
        </w:rPr>
        <w:t xml:space="preserve"> AdvancedCalculator </w:t>
      </w:r>
      <w:r>
        <w:rPr>
          <w:rStyle w:val="KeywordTok"/>
        </w:rPr>
        <w:t xml:space="preserve">extends</w:t>
      </w:r>
      <w:r>
        <w:rPr>
          <w:rStyle w:val="NormalTok"/>
        </w:rPr>
        <w:t xml:space="preserve"> Calculator {</w:t>
      </w:r>
      <w:r>
        <w:br/>
      </w:r>
      <w:r>
        <w:rPr>
          <w:rStyle w:val="NormalTok"/>
        </w:rPr>
        <w:t xml:space="preserve">    </w:t>
      </w:r>
      <w:r>
        <w:rPr>
          <w:rStyle w:val="FunctionTok"/>
        </w:rPr>
        <w:t xml:space="preserve">add</w:t>
      </w:r>
      <w:r>
        <w:rPr>
          <w:rStyle w:val="NormalTok"/>
        </w:rPr>
        <w:t xml:space="preserve">(a</w:t>
      </w:r>
      <w:r>
        <w:rPr>
          <w:rStyle w:val="OperatorTok"/>
        </w:rPr>
        <w:t xml:space="preserve">,</w:t>
      </w:r>
      <w:r>
        <w:rPr>
          <w:rStyle w:val="NormalTok"/>
        </w:rPr>
        <w:t xml:space="preserve"> b) {</w:t>
      </w:r>
      <w:r>
        <w:br/>
      </w:r>
      <w:r>
        <w:rPr>
          <w:rStyle w:val="NormalTok"/>
        </w:rPr>
        <w:t xml:space="preserve">        </w:t>
      </w:r>
      <w:r>
        <w:rPr>
          <w:rStyle w:val="KeywordTok"/>
        </w:rPr>
        <w:t xml:space="preserve">var</w:t>
      </w:r>
      <w:r>
        <w:rPr>
          <w:rStyle w:val="NormalTok"/>
        </w:rPr>
        <w:t xml:space="preserve"> result </w:t>
      </w:r>
      <w:r>
        <w:rPr>
          <w:rStyle w:val="OperatorTok"/>
        </w:rPr>
        <w:t xml:space="preserve">=</w:t>
      </w:r>
      <w:r>
        <w:rPr>
          <w:rStyle w:val="NormalTok"/>
        </w:rPr>
        <w:t xml:space="preserve"> </w:t>
      </w:r>
      <w:r>
        <w:rPr>
          <w:rStyle w:val="KeywordTok"/>
        </w:rPr>
        <w:t xml:space="preserve">super</w:t>
      </w:r>
      <w:r>
        <w:rPr>
          <w:rStyle w:val="OperatorTok"/>
        </w:rPr>
        <w:t xml:space="preserve">.</w:t>
      </w:r>
      <w:r>
        <w:rPr>
          <w:rStyle w:val="FunctionTok"/>
        </w:rPr>
        <w:t xml:space="preserve">add</w:t>
      </w:r>
      <w:r>
        <w:rPr>
          <w:rStyle w:val="NormalTok"/>
        </w:rPr>
        <w:t xml:space="preserve">(a</w:t>
      </w:r>
      <w:r>
        <w:rPr>
          <w:rStyle w:val="OperatorTok"/>
        </w:rPr>
        <w:t xml:space="preserve">,</w:t>
      </w:r>
      <w:r>
        <w:rPr>
          <w:rStyle w:val="NormalTok"/>
        </w:rPr>
        <w:t xml:space="preserve"> b)</w:t>
      </w:r>
      <w:r>
        <w:rPr>
          <w:rStyle w:val="OperatorTok"/>
        </w:rPr>
        <w:t xml:space="preserve">;</w:t>
      </w:r>
      <w:r>
        <w:br/>
      </w:r>
      <w:r>
        <w:rPr>
          <w:rStyle w:val="NormalTok"/>
        </w:rPr>
        <w:t xml:space="preserve">        </w:t>
      </w:r>
      <w:r>
        <w:rPr>
          <w:rStyle w:val="ControlFlowTok"/>
        </w:rPr>
        <w:t xml:space="preserve">return</w:t>
      </w:r>
      <w:r>
        <w:rPr>
          <w:rStyle w:val="NormalTok"/>
        </w:rPr>
        <w:t xml:space="preserve"> result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CommentTok"/>
        </w:rPr>
        <w:t xml:space="preserve">// Add 10 to the base result</w:t>
      </w:r>
      <w:r>
        <w:br/>
      </w:r>
      <w:r>
        <w:rPr>
          <w:rStyle w:val="NormalTok"/>
        </w:rPr>
        <w:t xml:space="preserve">    }</w:t>
      </w:r>
      <w:r>
        <w:br/>
      </w:r>
      <w:r>
        <w:rPr>
          <w:rStyle w:val="NormalTok"/>
        </w:rPr>
        <w:t xml:space="preserve">}</w:t>
      </w:r>
      <w:r>
        <w:br/>
      </w:r>
      <w:r>
        <w:br/>
      </w:r>
      <w:r>
        <w:rPr>
          <w:rStyle w:val="KeywordTok"/>
        </w:rPr>
        <w:t xml:space="preserve">var</w:t>
      </w:r>
      <w:r>
        <w:rPr>
          <w:rStyle w:val="NormalTok"/>
        </w:rPr>
        <w:t xml:space="preserve"> calc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AdvancedCalculator</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(calc</w:t>
      </w:r>
      <w:r>
        <w:rPr>
          <w:rStyle w:val="OperatorTok"/>
        </w:rPr>
        <w:t xml:space="preserve">.</w:t>
      </w:r>
      <w:r>
        <w:rPr>
          <w:rStyle w:val="FunctionTok"/>
        </w:rPr>
        <w:t xml:space="preserve">add</w:t>
      </w:r>
      <w:r>
        <w:rPr>
          <w:rStyle w:val="NormalTok"/>
        </w:rPr>
        <w:t xml:space="preserve">(</w:t>
      </w:r>
      <w:r>
        <w:rPr>
          <w:rStyle w:val="DecValTok"/>
        </w:rPr>
        <w:t xml:space="preserve">5</w:t>
      </w:r>
      <w:r>
        <w:rPr>
          <w:rStyle w:val="OperatorTok"/>
        </w:rPr>
        <w:t xml:space="preserve">,</w:t>
      </w:r>
      <w:r>
        <w:rPr>
          <w:rStyle w:val="NormalTok"/>
        </w:rPr>
        <w:t xml:space="preserve"> </w:t>
      </w:r>
      <w:r>
        <w:rPr>
          <w:rStyle w:val="DecValTok"/>
        </w:rPr>
        <w:t xml:space="preserve">3</w:t>
      </w:r>
      <w:r>
        <w:rPr>
          <w:rStyle w:val="NormalTok"/>
        </w:rPr>
        <w:t xml:space="preserve">))</w:t>
      </w:r>
      <w:r>
        <w:rPr>
          <w:rStyle w:val="OperatorTok"/>
        </w:rPr>
        <w:t xml:space="preserve">;</w:t>
      </w:r>
      <w:r>
        <w:rPr>
          <w:rStyle w:val="NormalTok"/>
        </w:rPr>
        <w:t xml:space="preserve"> </w:t>
      </w:r>
      <w:r>
        <w:rPr>
          <w:rStyle w:val="CommentTok"/>
        </w:rPr>
        <w:t xml:space="preserve">// Output: 18 (5 + 3 + 10)</w:t>
      </w:r>
      <w:r>
        <w:br/>
      </w:r>
      <w:r>
        <w:rPr>
          <w:rStyle w:val="OperatorTok"/>
        </w:rPr>
        <w:t xml:space="preserve">&lt;/</w:t>
      </w:r>
      <w:r>
        <w:rPr>
          <w:rStyle w:val="NormalTok"/>
        </w:rPr>
        <w:t xml:space="preserve">script</w:t>
      </w:r>
      <w:r>
        <w:rPr>
          <w:rStyle w:val="OperatorTok"/>
        </w:rPr>
        <w:t xml:space="preserve">&gt;</w:t>
      </w:r>
    </w:p>
    <w:bookmarkEnd w:id="1019"/>
    <w:bookmarkStart w:id="1020" w:name="super-property-access"/>
    <w:p>
      <w:pPr>
        <w:pStyle w:val="Heading4"/>
      </w:pPr>
      <w:r>
        <w:t xml:space="preserve">super Property Access</w:t>
      </w:r>
    </w:p>
    <w:p>
      <w:pPr>
        <w:pStyle w:val="FirstParagraph"/>
      </w:pPr>
      <w:r>
        <w:t xml:space="preserve">You can also use</w:t>
      </w:r>
      <w:r>
        <w:t xml:space="preserve"> </w:t>
      </w:r>
      <w:r>
        <w:rPr>
          <w:rStyle w:val="VerbatimChar"/>
        </w:rPr>
        <w:t xml:space="preserve">super</w:t>
      </w:r>
      <w:r>
        <w:t xml:space="preserve"> </w:t>
      </w:r>
      <w:r>
        <w:t xml:space="preserve">to set or access properties on the parent class prototype: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class</w:t>
      </w:r>
      <w:r>
        <w:rPr>
          <w:rStyle w:val="NormalTok"/>
        </w:rPr>
        <w:t xml:space="preserve"> Base {</w:t>
      </w:r>
      <w:r>
        <w:br/>
      </w:r>
      <w:r>
        <w:rPr>
          <w:rStyle w:val="NormalTok"/>
        </w:rPr>
        <w:t xml:space="preserve">    </w:t>
      </w:r>
      <w:r>
        <w:rPr>
          <w:rStyle w:val="FunctionTok"/>
        </w:rPr>
        <w:t xml:space="preserve">greet</w:t>
      </w:r>
      <w:r>
        <w:rPr>
          <w:rStyle w:val="NormalTok"/>
        </w:rPr>
        <w:t xml:space="preserve">() { </w:t>
      </w:r>
      <w:r>
        <w:rPr>
          <w:rStyle w:val="ControlFlowTok"/>
        </w:rPr>
        <w:t xml:space="preserve">return</w:t>
      </w:r>
      <w:r>
        <w:rPr>
          <w:rStyle w:val="NormalTok"/>
        </w:rPr>
        <w:t xml:space="preserve"> </w:t>
      </w:r>
      <w:r>
        <w:rPr>
          <w:rStyle w:val="StringTok"/>
        </w:rPr>
        <w:t xml:space="preserve">"Hello"</w:t>
      </w:r>
      <w:r>
        <w:rPr>
          <w:rStyle w:val="OperatorTok"/>
        </w:rPr>
        <w:t xml:space="preserve">;</w:t>
      </w:r>
      <w:r>
        <w:rPr>
          <w:rStyle w:val="NormalTok"/>
        </w:rPr>
        <w:t xml:space="preserve"> }</w:t>
      </w:r>
      <w:r>
        <w:br/>
      </w:r>
      <w:r>
        <w:rPr>
          <w:rStyle w:val="NormalTok"/>
        </w:rPr>
        <w:t xml:space="preserve">}</w:t>
      </w:r>
      <w:r>
        <w:br/>
      </w:r>
      <w:r>
        <w:br/>
      </w:r>
      <w:r>
        <w:rPr>
          <w:rStyle w:val="KeywordTok"/>
        </w:rPr>
        <w:t xml:space="preserve">class</w:t>
      </w:r>
      <w:r>
        <w:rPr>
          <w:rStyle w:val="NormalTok"/>
        </w:rPr>
        <w:t xml:space="preserve"> Derived </w:t>
      </w:r>
      <w:r>
        <w:rPr>
          <w:rStyle w:val="KeywordTok"/>
        </w:rPr>
        <w:t xml:space="preserve">extends</w:t>
      </w:r>
      <w:r>
        <w:rPr>
          <w:rStyle w:val="NormalTok"/>
        </w:rPr>
        <w:t xml:space="preserve"> Base {</w:t>
      </w:r>
      <w:r>
        <w:br/>
      </w:r>
      <w:r>
        <w:rPr>
          <w:rStyle w:val="NormalTok"/>
        </w:rPr>
        <w:t xml:space="preserve">    </w:t>
      </w:r>
      <w:r>
        <w:rPr>
          <w:rStyle w:val="FunctionTok"/>
        </w:rPr>
        <w:t xml:space="preserve">greet</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KeywordTok"/>
        </w:rPr>
        <w:t xml:space="preserve">super</w:t>
      </w:r>
      <w:r>
        <w:rPr>
          <w:rStyle w:val="OperatorTok"/>
        </w:rPr>
        <w:t xml:space="preserve">.</w:t>
      </w:r>
      <w:r>
        <w:rPr>
          <w:rStyle w:val="FunctionTok"/>
        </w:rPr>
        <w:t xml:space="preserve">greet</w:t>
      </w:r>
      <w:r>
        <w:rPr>
          <w:rStyle w:val="NormalTok"/>
        </w:rPr>
        <w:t xml:space="preserve">() </w:t>
      </w:r>
      <w:r>
        <w:rPr>
          <w:rStyle w:val="OperatorTok"/>
        </w:rPr>
        <w:t xml:space="preserve">+</w:t>
      </w:r>
      <w:r>
        <w:rPr>
          <w:rStyle w:val="NormalTok"/>
        </w:rPr>
        <w:t xml:space="preserve"> </w:t>
      </w:r>
      <w:r>
        <w:rPr>
          <w:rStyle w:val="StringTok"/>
        </w:rPr>
        <w:t xml:space="preserve">" World"</w:t>
      </w:r>
      <w:r>
        <w:rPr>
          <w:rStyle w:val="OperatorTok"/>
        </w:rPr>
        <w:t xml:space="preserve">;</w:t>
      </w:r>
      <w:r>
        <w:br/>
      </w:r>
      <w:r>
        <w:rPr>
          <w:rStyle w:val="NormalTok"/>
        </w:rPr>
        <w:t xml:space="preserve">    }</w:t>
      </w:r>
      <w:r>
        <w:br/>
      </w:r>
      <w:r>
        <w:rPr>
          <w:rStyle w:val="NormalTok"/>
        </w:rPr>
        <w:t xml:space="preserve">    </w:t>
      </w:r>
      <w:r>
        <w:rPr>
          <w:rStyle w:val="FunctionTok"/>
        </w:rPr>
        <w:t xml:space="preserve">setData</w:t>
      </w:r>
      <w:r>
        <w:rPr>
          <w:rStyle w:val="NormalTok"/>
        </w:rPr>
        <w:t xml:space="preserve">(val) {</w:t>
      </w:r>
      <w:r>
        <w:br/>
      </w:r>
      <w:r>
        <w:rPr>
          <w:rStyle w:val="NormalTok"/>
        </w:rPr>
        <w:t xml:space="preserve">        </w:t>
      </w:r>
      <w:r>
        <w:rPr>
          <w:rStyle w:val="KeywordTok"/>
        </w:rPr>
        <w:t xml:space="preserve">super</w:t>
      </w:r>
      <w:r>
        <w:rPr>
          <w:rStyle w:val="OperatorTok"/>
        </w:rPr>
        <w:t xml:space="preserve">.</w:t>
      </w:r>
      <w:r>
        <w:rPr>
          <w:rStyle w:val="AttributeTok"/>
        </w:rPr>
        <w:t xml:space="preserve">data</w:t>
      </w:r>
      <w:r>
        <w:rPr>
          <w:rStyle w:val="NormalTok"/>
        </w:rPr>
        <w:t xml:space="preserve"> </w:t>
      </w:r>
      <w:r>
        <w:rPr>
          <w:rStyle w:val="OperatorTok"/>
        </w:rPr>
        <w:t xml:space="preserve">=</w:t>
      </w:r>
      <w:r>
        <w:rPr>
          <w:rStyle w:val="NormalTok"/>
        </w:rPr>
        <w:t xml:space="preserve"> val</w:t>
      </w:r>
      <w:r>
        <w:rPr>
          <w:rStyle w:val="OperatorTok"/>
        </w:rPr>
        <w:t xml:space="preserve">;</w:t>
      </w:r>
      <w:r>
        <w:rPr>
          <w:rStyle w:val="NormalTok"/>
        </w:rPr>
        <w:t xml:space="preserve"> </w:t>
      </w:r>
      <w:r>
        <w:rPr>
          <w:rStyle w:val="CommentTok"/>
        </w:rPr>
        <w:t xml:space="preserve">// Set on instance via parent</w:t>
      </w:r>
      <w:r>
        <w:br/>
      </w:r>
      <w:r>
        <w:rPr>
          <w:rStyle w:val="NormalTok"/>
        </w:rPr>
        <w:t xml:space="preserve">    }</w:t>
      </w:r>
      <w:r>
        <w:br/>
      </w:r>
      <w:r>
        <w:rPr>
          <w:rStyle w:val="NormalTok"/>
        </w:rPr>
        <w:t xml:space="preserve">}</w:t>
      </w:r>
      <w:r>
        <w:br/>
      </w:r>
      <w:r>
        <w:br/>
      </w:r>
      <w:r>
        <w:rPr>
          <w:rStyle w:val="KeywordTok"/>
        </w:rPr>
        <w:t xml:space="preserve">var</w:t>
      </w:r>
      <w:r>
        <w:rPr>
          <w:rStyle w:val="NormalTok"/>
        </w:rPr>
        <w:t xml:space="preserve"> d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Derived</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(d</w:t>
      </w:r>
      <w:r>
        <w:rPr>
          <w:rStyle w:val="OperatorTok"/>
        </w:rPr>
        <w:t xml:space="preserve">.</w:t>
      </w:r>
      <w:r>
        <w:rPr>
          <w:rStyle w:val="FunctionTok"/>
        </w:rPr>
        <w:t xml:space="preserve">greet</w:t>
      </w:r>
      <w:r>
        <w:rPr>
          <w:rStyle w:val="NormalTok"/>
        </w:rPr>
        <w:t xml:space="preserve">())</w:t>
      </w:r>
      <w:r>
        <w:rPr>
          <w:rStyle w:val="OperatorTok"/>
        </w:rPr>
        <w:t xml:space="preserve">;</w:t>
      </w:r>
      <w:r>
        <w:rPr>
          <w:rStyle w:val="NormalTok"/>
        </w:rPr>
        <w:t xml:space="preserve">   </w:t>
      </w:r>
      <w:r>
        <w:rPr>
          <w:rStyle w:val="CommentTok"/>
        </w:rPr>
        <w:t xml:space="preserve">// Output: Hello World</w:t>
      </w:r>
      <w:r>
        <w:br/>
      </w:r>
      <w:r>
        <w:rPr>
          <w:rStyle w:val="NormalTok"/>
        </w:rPr>
        <w:t xml:space="preserve">d</w:t>
      </w:r>
      <w:r>
        <w:rPr>
          <w:rStyle w:val="OperatorTok"/>
        </w:rPr>
        <w:t xml:space="preserve">.</w:t>
      </w:r>
      <w:r>
        <w:rPr>
          <w:rStyle w:val="FunctionTok"/>
        </w:rPr>
        <w:t xml:space="preserve">setData</w:t>
      </w:r>
      <w:r>
        <w:rPr>
          <w:rStyle w:val="NormalTok"/>
        </w:rPr>
        <w:t xml:space="preserve">(</w:t>
      </w:r>
      <w:r>
        <w:rPr>
          <w:rStyle w:val="DecValTok"/>
        </w:rPr>
        <w:t xml:space="preserve">42</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(d</w:t>
      </w:r>
      <w:r>
        <w:rPr>
          <w:rStyle w:val="OperatorTok"/>
        </w:rPr>
        <w:t xml:space="preserve">.</w:t>
      </w:r>
      <w:r>
        <w:rPr>
          <w:rStyle w:val="AttributeTok"/>
        </w:rPr>
        <w:t xml:space="preserve">data</w:t>
      </w:r>
      <w:r>
        <w:rPr>
          <w:rStyle w:val="NormalTok"/>
        </w:rPr>
        <w:t xml:space="preserve">)</w:t>
      </w:r>
      <w:r>
        <w:rPr>
          <w:rStyle w:val="OperatorTok"/>
        </w:rPr>
        <w:t xml:space="preserve">;</w:t>
      </w:r>
      <w:r>
        <w:rPr>
          <w:rStyle w:val="NormalTok"/>
        </w:rPr>
        <w:t xml:space="preserve">      </w:t>
      </w:r>
      <w:r>
        <w:rPr>
          <w:rStyle w:val="CommentTok"/>
        </w:rPr>
        <w:t xml:space="preserve">// Output: 42</w:t>
      </w:r>
      <w:r>
        <w:br/>
      </w:r>
      <w:r>
        <w:rPr>
          <w:rStyle w:val="OperatorTok"/>
        </w:rPr>
        <w:t xml:space="preserve">&lt;/</w:t>
      </w:r>
      <w:r>
        <w:rPr>
          <w:rStyle w:val="NormalTok"/>
        </w:rPr>
        <w:t xml:space="preserve">script</w:t>
      </w:r>
      <w:r>
        <w:rPr>
          <w:rStyle w:val="OperatorTok"/>
        </w:rPr>
        <w:t xml:space="preserve">&gt;</w:t>
      </w:r>
    </w:p>
    <w:bookmarkEnd w:id="1020"/>
    <w:bookmarkStart w:id="1021" w:name="remarks-66"/>
    <w:p>
      <w:pPr>
        <w:pStyle w:val="Heading4"/>
      </w:pPr>
      <w:r>
        <w:t xml:space="preserve">Remarks</w:t>
      </w:r>
    </w:p>
    <w:p>
      <w:pPr>
        <w:pStyle w:val="Compact"/>
        <w:numPr>
          <w:ilvl w:val="0"/>
          <w:numId w:val="1277"/>
        </w:numPr>
      </w:pPr>
      <w:r>
        <w:rPr>
          <w:rStyle w:val="VerbatimChar"/>
        </w:rPr>
        <w:t xml:space="preserve">super()</w:t>
      </w:r>
      <w:r>
        <w:t xml:space="preserve"> </w:t>
      </w:r>
      <w:r>
        <w:rPr>
          <w:b/>
          <w:bCs/>
        </w:rPr>
        <w:t xml:space="preserve">must</w:t>
      </w:r>
      <w:r>
        <w:t xml:space="preserve"> </w:t>
      </w:r>
      <w:r>
        <w:t xml:space="preserve">be called in a derived class constructor before accessing</w:t>
      </w:r>
      <w:r>
        <w:t xml:space="preserve"> </w:t>
      </w:r>
      <w:r>
        <w:rPr>
          <w:rStyle w:val="VerbatimChar"/>
        </w:rPr>
        <w:t xml:space="preserve">this</w:t>
      </w:r>
      <w:r>
        <w:t xml:space="preserve">. Accessing</w:t>
      </w:r>
      <w:r>
        <w:t xml:space="preserve"> </w:t>
      </w:r>
      <w:r>
        <w:rPr>
          <w:rStyle w:val="VerbatimChar"/>
        </w:rPr>
        <w:t xml:space="preserve">this</w:t>
      </w:r>
      <w:r>
        <w:t xml:space="preserve"> </w:t>
      </w:r>
      <w:r>
        <w:t xml:space="preserve">before</w:t>
      </w:r>
      <w:r>
        <w:t xml:space="preserve"> </w:t>
      </w:r>
      <w:r>
        <w:rPr>
          <w:rStyle w:val="VerbatimChar"/>
        </w:rPr>
        <w:t xml:space="preserve">super()</w:t>
      </w:r>
      <w:r>
        <w:t xml:space="preserve"> </w:t>
      </w:r>
      <w:r>
        <w:t xml:space="preserve">throws a</w:t>
      </w:r>
      <w:r>
        <w:t xml:space="preserve"> </w:t>
      </w:r>
      <w:r>
        <w:rPr>
          <w:rStyle w:val="VerbatimChar"/>
        </w:rPr>
        <w:t xml:space="preserve">ReferenceError</w:t>
      </w:r>
      <w:r>
        <w:t xml:space="preserve">.</w:t>
      </w:r>
    </w:p>
    <w:p>
      <w:pPr>
        <w:pStyle w:val="Compact"/>
        <w:numPr>
          <w:ilvl w:val="0"/>
          <w:numId w:val="1277"/>
        </w:numPr>
      </w:pPr>
      <w:r>
        <w:rPr>
          <w:rStyle w:val="VerbatimChar"/>
        </w:rPr>
        <w:t xml:space="preserve">super.method()</w:t>
      </w:r>
      <w:r>
        <w:t xml:space="preserve"> </w:t>
      </w:r>
      <w:r>
        <w:t xml:space="preserve">resolves the method from the parent class’s prototype and calls it with the current</w:t>
      </w:r>
      <w:r>
        <w:t xml:space="preserve"> </w:t>
      </w:r>
      <w:r>
        <w:rPr>
          <w:rStyle w:val="VerbatimChar"/>
        </w:rPr>
        <w:t xml:space="preserve">this</w:t>
      </w:r>
      <w:r>
        <w:t xml:space="preserve"> </w:t>
      </w:r>
      <w:r>
        <w:t xml:space="preserve">context.</w:t>
      </w:r>
    </w:p>
    <w:p>
      <w:pPr>
        <w:pStyle w:val="Compact"/>
        <w:numPr>
          <w:ilvl w:val="0"/>
          <w:numId w:val="1277"/>
        </w:numPr>
      </w:pPr>
      <w:r>
        <w:t xml:space="preserve">Multi-level inheritance is fully supported:</w:t>
      </w:r>
      <w:r>
        <w:t xml:space="preserve"> </w:t>
      </w:r>
      <w:r>
        <w:rPr>
          <w:rStyle w:val="VerbatimChar"/>
        </w:rPr>
        <w:t xml:space="preserve">class C extends B extends A</w:t>
      </w:r>
      <w:r>
        <w:t xml:space="preserve"> </w:t>
      </w:r>
      <w:r>
        <w:t xml:space="preserve">works as expected, with each level able to call its parent via</w:t>
      </w:r>
      <w:r>
        <w:t xml:space="preserve"> </w:t>
      </w:r>
      <w:r>
        <w:rPr>
          <w:rStyle w:val="VerbatimChar"/>
        </w:rPr>
        <w:t xml:space="preserve">super</w:t>
      </w:r>
      <w:r>
        <w:t xml:space="preserve">.</w:t>
      </w:r>
    </w:p>
    <w:p>
      <w:pPr>
        <w:pStyle w:val="Compact"/>
        <w:numPr>
          <w:ilvl w:val="0"/>
          <w:numId w:val="1277"/>
        </w:numPr>
      </w:pPr>
      <w:r>
        <w:t xml:space="preserve">Static methods cannot use</w:t>
      </w:r>
      <w:r>
        <w:t xml:space="preserve"> </w:t>
      </w:r>
      <w:r>
        <w:rPr>
          <w:rStyle w:val="VerbatimChar"/>
        </w:rPr>
        <w:t xml:space="preserve">super.method()</w:t>
      </w:r>
      <w:r>
        <w:t xml:space="preserve"> </w:t>
      </w:r>
      <w:r>
        <w:t xml:space="preserve">unless they are inside a derived static method that explicitly calls a parent static method.</w:t>
      </w:r>
    </w:p>
    <w:p>
      <w:r>
        <w:pict>
          <v:rect style="width:0;height:1.5pt" o:hralign="center" o:hrstd="t" o:hr="t"/>
        </w:pict>
      </w:r>
    </w:p>
    <w:bookmarkEnd w:id="1021"/>
    <w:bookmarkEnd w:id="1022"/>
    <w:bookmarkEnd w:id="1023"/>
    <w:bookmarkStart w:id="1027" w:name="optional-chaining-."/>
    <w:p>
      <w:pPr>
        <w:pStyle w:val="Heading2"/>
      </w:pPr>
      <w:r>
        <w:t xml:space="preserve">Optional Chaining (?.)</w:t>
      </w:r>
    </w:p>
    <w:bookmarkStart w:id="1024" w:name="syntax-59"/>
    <w:p>
      <w:pPr>
        <w:pStyle w:val="Heading3"/>
      </w:pPr>
      <w:r>
        <w:t xml:space="preserve">Syntax</w:t>
      </w:r>
    </w:p>
    <w:p>
      <w:pPr>
        <w:pStyle w:val="SourceCode"/>
      </w:pPr>
      <w:r>
        <w:rPr>
          <w:rStyle w:val="NormalTok"/>
        </w:rPr>
        <w:t xml:space="preserve">obj</w:t>
      </w:r>
      <w:r>
        <w:rPr>
          <w:rStyle w:val="OperatorTok"/>
        </w:rPr>
        <w:t xml:space="preserve">?.</w:t>
      </w:r>
      <w:r>
        <w:rPr>
          <w:rStyle w:val="AttributeTok"/>
        </w:rPr>
        <w:t xml:space="preserve">property</w:t>
      </w:r>
      <w:r>
        <w:br/>
      </w:r>
      <w:r>
        <w:rPr>
          <w:rStyle w:val="NormalTok"/>
        </w:rPr>
        <w:t xml:space="preserve">obj</w:t>
      </w:r>
      <w:r>
        <w:rPr>
          <w:rStyle w:val="OperatorTok"/>
        </w:rPr>
        <w:t xml:space="preserve">?.</w:t>
      </w:r>
      <w:r>
        <w:rPr>
          <w:rStyle w:val="NormalTok"/>
        </w:rPr>
        <w:t xml:space="preserve">[expression]</w:t>
      </w:r>
      <w:r>
        <w:br/>
      </w:r>
      <w:r>
        <w:rPr>
          <w:rStyle w:val="NormalTok"/>
        </w:rPr>
        <w:t xml:space="preserve">obj</w:t>
      </w:r>
      <w:r>
        <w:rPr>
          <w:rStyle w:val="OperatorTok"/>
        </w:rPr>
        <w:t xml:space="preserve">?.</w:t>
      </w:r>
      <w:r>
        <w:rPr>
          <w:rStyle w:val="FunctionTok"/>
        </w:rPr>
        <w:t xml:space="preserve">method</w:t>
      </w:r>
      <w:r>
        <w:rPr>
          <w:rStyle w:val="NormalTok"/>
        </w:rPr>
        <w:t xml:space="preserve">()</w:t>
      </w:r>
    </w:p>
    <w:bookmarkEnd w:id="1024"/>
    <w:bookmarkStart w:id="1025" w:name="remarks-67"/>
    <w:p>
      <w:pPr>
        <w:pStyle w:val="Heading3"/>
      </w:pPr>
      <w:r>
        <w:t xml:space="preserve">Remarks</w:t>
      </w:r>
    </w:p>
    <w:p>
      <w:pPr>
        <w:pStyle w:val="Compact"/>
        <w:numPr>
          <w:ilvl w:val="0"/>
          <w:numId w:val="1278"/>
        </w:numPr>
      </w:pPr>
      <w:r>
        <w:t xml:space="preserve">The optional chaining operator (</w:t>
      </w:r>
      <w:r>
        <w:rPr>
          <w:rStyle w:val="VerbatimChar"/>
        </w:rPr>
        <w:t xml:space="preserve">?.</w:t>
      </w:r>
      <w:r>
        <w:t xml:space="preserve">) allows reading the value of a property located deep within a chain of connected objects without having to expressly validate that each reference in the chain is valid.</w:t>
      </w:r>
    </w:p>
    <w:p>
      <w:pPr>
        <w:pStyle w:val="Compact"/>
        <w:numPr>
          <w:ilvl w:val="0"/>
          <w:numId w:val="1278"/>
        </w:numPr>
      </w:pPr>
      <w:r>
        <w:t xml:space="preserve">If the object before the</w:t>
      </w:r>
      <w:r>
        <w:t xml:space="preserve"> </w:t>
      </w:r>
      <w:r>
        <w:rPr>
          <w:rStyle w:val="VerbatimChar"/>
        </w:rPr>
        <w:t xml:space="preserve">?.</w:t>
      </w:r>
      <w:r>
        <w:t xml:space="preserve"> </w:t>
      </w:r>
      <w:r>
        <w:t xml:space="preserve">is</w:t>
      </w:r>
      <w:r>
        <w:t xml:space="preserve"> </w:t>
      </w:r>
      <w:r>
        <w:rPr>
          <w:rStyle w:val="VerbatimChar"/>
        </w:rPr>
        <w:t xml:space="preserve">null</w:t>
      </w:r>
      <w:r>
        <w:t xml:space="preserve"> </w:t>
      </w:r>
      <w:r>
        <w:t xml:space="preserve">or</w:t>
      </w:r>
      <w:r>
        <w:t xml:space="preserve"> </w:t>
      </w:r>
      <w:r>
        <w:rPr>
          <w:rStyle w:val="VerbatimChar"/>
        </w:rPr>
        <w:t xml:space="preserve">undefined</w:t>
      </w:r>
      <w:r>
        <w:t xml:space="preserve">, the expression short-circuits and returns</w:t>
      </w:r>
      <w:r>
        <w:t xml:space="preserve"> </w:t>
      </w:r>
      <w:r>
        <w:rPr>
          <w:rStyle w:val="VerbatimChar"/>
        </w:rPr>
        <w:t xml:space="preserve">undefined</w:t>
      </w:r>
      <w:r>
        <w:t xml:space="preserve"> </w:t>
      </w:r>
      <w:r>
        <w:t xml:space="preserve">instead of throwing an error.</w:t>
      </w:r>
    </w:p>
    <w:p>
      <w:pPr>
        <w:pStyle w:val="Compact"/>
        <w:numPr>
          <w:ilvl w:val="0"/>
          <w:numId w:val="1278"/>
        </w:numPr>
      </w:pPr>
      <w:r>
        <w:t xml:space="preserve">Works for property access, bracket access, and function calls.</w:t>
      </w:r>
    </w:p>
    <w:bookmarkEnd w:id="1025"/>
    <w:bookmarkStart w:id="1026" w:name="code-example-60"/>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user </w:t>
      </w:r>
      <w:r>
        <w:rPr>
          <w:rStyle w:val="OperatorTok"/>
        </w:rPr>
        <w:t xml:space="preserve">=</w:t>
      </w:r>
      <w:r>
        <w:rPr>
          <w:rStyle w:val="NormalTok"/>
        </w:rPr>
        <w:t xml:space="preserve"> { </w:t>
      </w:r>
      <w:r>
        <w:rPr>
          <w:rStyle w:val="DataTypeTok"/>
        </w:rPr>
        <w:t xml:space="preserve">info</w:t>
      </w:r>
      <w:r>
        <w:rPr>
          <w:rStyle w:val="OperatorTok"/>
        </w:rPr>
        <w:t xml:space="preserve">:</w:t>
      </w:r>
      <w:r>
        <w:rPr>
          <w:rStyle w:val="NormalTok"/>
        </w:rPr>
        <w:t xml:space="preserve"> { </w:t>
      </w:r>
      <w:r>
        <w:rPr>
          <w:rStyle w:val="DataTypeTok"/>
        </w:rPr>
        <w:t xml:space="preserve">name</w:t>
      </w:r>
      <w:r>
        <w:rPr>
          <w:rStyle w:val="OperatorTok"/>
        </w:rPr>
        <w:t xml:space="preserve">:</w:t>
      </w:r>
      <w:r>
        <w:rPr>
          <w:rStyle w:val="NormalTok"/>
        </w:rPr>
        <w:t xml:space="preserve"> </w:t>
      </w:r>
      <w:r>
        <w:rPr>
          <w:rStyle w:val="StringTok"/>
        </w:rPr>
        <w:t xml:space="preserve">"Alice"</w:t>
      </w:r>
      <w:r>
        <w:rPr>
          <w:rStyle w:val="NormalTok"/>
        </w:rPr>
        <w:t xml:space="preserve"> } }</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(user</w:t>
      </w:r>
      <w:r>
        <w:rPr>
          <w:rStyle w:val="OperatorTok"/>
        </w:rPr>
        <w:t xml:space="preserve">?.</w:t>
      </w:r>
      <w:r>
        <w:rPr>
          <w:rStyle w:val="AttributeTok"/>
        </w:rPr>
        <w:t xml:space="preserve">info</w:t>
      </w:r>
      <w:r>
        <w:rPr>
          <w:rStyle w:val="OperatorTok"/>
        </w:rPr>
        <w:t xml:space="preserve">?.</w:t>
      </w:r>
      <w:r>
        <w:rPr>
          <w:rStyle w:val="AttributeTok"/>
        </w:rPr>
        <w:t xml:space="preserve">name</w:t>
      </w:r>
      <w:r>
        <w:rPr>
          <w:rStyle w:val="NormalTok"/>
        </w:rPr>
        <w:t xml:space="preserve">)</w:t>
      </w:r>
      <w:r>
        <w:rPr>
          <w:rStyle w:val="OperatorTok"/>
        </w:rPr>
        <w:t xml:space="preserve">;</w:t>
      </w:r>
      <w:r>
        <w:rPr>
          <w:rStyle w:val="NormalTok"/>
        </w:rPr>
        <w:t xml:space="preserve"> </w:t>
      </w:r>
      <w:r>
        <w:rPr>
          <w:rStyle w:val="CommentTok"/>
        </w:rPr>
        <w:t xml:space="preserve">// Output: Alice</w:t>
      </w:r>
      <w:r>
        <w:br/>
      </w:r>
      <w:r>
        <w:rPr>
          <w:rStyle w:val="NormalTok"/>
        </w:rPr>
        <w:t xml:space="preserve">Response</w:t>
      </w:r>
      <w:r>
        <w:rPr>
          <w:rStyle w:val="OperatorTok"/>
        </w:rPr>
        <w:t xml:space="preserve">.</w:t>
      </w:r>
      <w:r>
        <w:rPr>
          <w:rStyle w:val="FunctionTok"/>
        </w:rPr>
        <w:t xml:space="preserve">Write</w:t>
      </w:r>
      <w:r>
        <w:rPr>
          <w:rStyle w:val="NormalTok"/>
        </w:rPr>
        <w:t xml:space="preserve">(user</w:t>
      </w:r>
      <w:r>
        <w:rPr>
          <w:rStyle w:val="OperatorTok"/>
        </w:rPr>
        <w:t xml:space="preserve">?.</w:t>
      </w:r>
      <w:r>
        <w:rPr>
          <w:rStyle w:val="AttributeTok"/>
        </w:rPr>
        <w:t xml:space="preserve">settings</w:t>
      </w:r>
      <w:r>
        <w:rPr>
          <w:rStyle w:val="OperatorTok"/>
        </w:rPr>
        <w:t xml:space="preserve">?.</w:t>
      </w:r>
      <w:r>
        <w:rPr>
          <w:rStyle w:val="AttributeTok"/>
        </w:rPr>
        <w:t xml:space="preserve">theme</w:t>
      </w:r>
      <w:r>
        <w:rPr>
          <w:rStyle w:val="NormalTok"/>
        </w:rPr>
        <w:t xml:space="preserve">)</w:t>
      </w:r>
      <w:r>
        <w:rPr>
          <w:rStyle w:val="OperatorTok"/>
        </w:rPr>
        <w:t xml:space="preserve">;</w:t>
      </w:r>
      <w:r>
        <w:rPr>
          <w:rStyle w:val="NormalTok"/>
        </w:rPr>
        <w:t xml:space="preserve"> </w:t>
      </w:r>
      <w:r>
        <w:rPr>
          <w:rStyle w:val="CommentTok"/>
        </w:rPr>
        <w:t xml:space="preserve">// Output: undefined (no error)</w:t>
      </w:r>
      <w:r>
        <w:br/>
      </w:r>
      <w:r>
        <w:br/>
      </w:r>
      <w:r>
        <w:rPr>
          <w:rStyle w:val="KeywordTok"/>
        </w:rPr>
        <w:t xml:space="preserve">var</w:t>
      </w:r>
      <w:r>
        <w:rPr>
          <w:rStyle w:val="NormalTok"/>
        </w:rPr>
        <w:t xml:space="preserve"> fn </w:t>
      </w:r>
      <w:r>
        <w:rPr>
          <w:rStyle w:val="OperatorTok"/>
        </w:rPr>
        <w:t xml:space="preserve">=</w:t>
      </w:r>
      <w:r>
        <w:rPr>
          <w:rStyle w:val="NormalTok"/>
        </w:rPr>
        <w:t xml:space="preserve"> </w:t>
      </w:r>
      <w:r>
        <w:rPr>
          <w:rStyle w:val="KeywordTok"/>
        </w:rPr>
        <w:t xml:space="preserve">null</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(fn</w:t>
      </w:r>
      <w:r>
        <w:rPr>
          <w:rStyle w:val="OperatorTok"/>
        </w:rPr>
        <w:t xml:space="preserve">?.</w:t>
      </w:r>
      <w:r>
        <w:rPr>
          <w:rStyle w:val="NormalTok"/>
        </w:rPr>
        <w:t xml:space="preserve">())</w:t>
      </w:r>
      <w:r>
        <w:rPr>
          <w:rStyle w:val="OperatorTok"/>
        </w:rPr>
        <w:t xml:space="preserve">;</w:t>
      </w:r>
      <w:r>
        <w:rPr>
          <w:rStyle w:val="NormalTok"/>
        </w:rPr>
        <w:t xml:space="preserve"> </w:t>
      </w:r>
      <w:r>
        <w:rPr>
          <w:rStyle w:val="CommentTok"/>
        </w:rPr>
        <w:t xml:space="preserve">// Output: undefined (no error)</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26"/>
    <w:bookmarkEnd w:id="1027"/>
    <w:bookmarkStart w:id="1031" w:name="new.target-meta-property"/>
    <w:p>
      <w:pPr>
        <w:pStyle w:val="Heading2"/>
      </w:pPr>
      <w:r>
        <w:t xml:space="preserve">new.target meta-property</w:t>
      </w:r>
    </w:p>
    <w:bookmarkStart w:id="1028" w:name="syntax-60"/>
    <w:p>
      <w:pPr>
        <w:pStyle w:val="Heading3"/>
      </w:pPr>
      <w:r>
        <w:t xml:space="preserve">Syntax</w:t>
      </w:r>
    </w:p>
    <w:p>
      <w:pPr>
        <w:pStyle w:val="SourceCode"/>
      </w:pPr>
      <w:r>
        <w:rPr>
          <w:rStyle w:val="KeywordTok"/>
        </w:rPr>
        <w:t xml:space="preserve">new</w:t>
      </w:r>
      <w:r>
        <w:rPr>
          <w:rStyle w:val="OperatorTok"/>
        </w:rPr>
        <w:t xml:space="preserve">.</w:t>
      </w:r>
      <w:r>
        <w:rPr>
          <w:rStyle w:val="AttributeTok"/>
        </w:rPr>
        <w:t xml:space="preserve">target</w:t>
      </w:r>
    </w:p>
    <w:bookmarkEnd w:id="1028"/>
    <w:bookmarkStart w:id="1029" w:name="remarks-68"/>
    <w:p>
      <w:pPr>
        <w:pStyle w:val="Heading3"/>
      </w:pPr>
      <w:r>
        <w:t xml:space="preserve">Remarks</w:t>
      </w:r>
    </w:p>
    <w:p>
      <w:pPr>
        <w:pStyle w:val="Compact"/>
        <w:numPr>
          <w:ilvl w:val="0"/>
          <w:numId w:val="1279"/>
        </w:numPr>
      </w:pPr>
      <w:r>
        <w:rPr>
          <w:rStyle w:val="VerbatimChar"/>
        </w:rPr>
        <w:t xml:space="preserve">new.target</w:t>
      </w:r>
      <w:r>
        <w:t xml:space="preserve"> </w:t>
      </w:r>
      <w:r>
        <w:t xml:space="preserve">allows you to detect whether a function or constructor was called using the</w:t>
      </w:r>
      <w:r>
        <w:t xml:space="preserve"> </w:t>
      </w:r>
      <w:r>
        <w:rPr>
          <w:rStyle w:val="VerbatimChar"/>
        </w:rPr>
        <w:t xml:space="preserve">new</w:t>
      </w:r>
      <w:r>
        <w:t xml:space="preserve"> </w:t>
      </w:r>
      <w:r>
        <w:t xml:space="preserve">operator.</w:t>
      </w:r>
    </w:p>
    <w:p>
      <w:pPr>
        <w:pStyle w:val="Compact"/>
        <w:numPr>
          <w:ilvl w:val="0"/>
          <w:numId w:val="1279"/>
        </w:numPr>
      </w:pPr>
      <w:r>
        <w:t xml:space="preserve">In constructors and functions invoked via the</w:t>
      </w:r>
      <w:r>
        <w:t xml:space="preserve"> </w:t>
      </w:r>
      <w:r>
        <w:rPr>
          <w:rStyle w:val="VerbatimChar"/>
        </w:rPr>
        <w:t xml:space="preserve">new</w:t>
      </w:r>
      <w:r>
        <w:t xml:space="preserve"> </w:t>
      </w:r>
      <w:r>
        <w:t xml:space="preserve">operator,</w:t>
      </w:r>
      <w:r>
        <w:t xml:space="preserve"> </w:t>
      </w:r>
      <w:r>
        <w:rPr>
          <w:rStyle w:val="VerbatimChar"/>
        </w:rPr>
        <w:t xml:space="preserve">new.target</w:t>
      </w:r>
      <w:r>
        <w:t xml:space="preserve"> </w:t>
      </w:r>
      <w:r>
        <w:t xml:space="preserve">returns a reference to the constructor or function.</w:t>
      </w:r>
    </w:p>
    <w:p>
      <w:pPr>
        <w:pStyle w:val="Compact"/>
        <w:numPr>
          <w:ilvl w:val="0"/>
          <w:numId w:val="1279"/>
        </w:numPr>
      </w:pPr>
      <w:r>
        <w:t xml:space="preserve">In normal function calls,</w:t>
      </w:r>
      <w:r>
        <w:t xml:space="preserve"> </w:t>
      </w:r>
      <w:r>
        <w:rPr>
          <w:rStyle w:val="VerbatimChar"/>
        </w:rPr>
        <w:t xml:space="preserve">new.target</w:t>
      </w:r>
      <w:r>
        <w:t xml:space="preserve"> </w:t>
      </w:r>
      <w:r>
        <w:t xml:space="preserve">is</w:t>
      </w:r>
      <w:r>
        <w:t xml:space="preserve"> </w:t>
      </w:r>
      <w:r>
        <w:rPr>
          <w:rStyle w:val="VerbatimChar"/>
        </w:rPr>
        <w:t xml:space="preserve">undefined</w:t>
      </w:r>
      <w:r>
        <w:t xml:space="preserve">.</w:t>
      </w:r>
    </w:p>
    <w:p>
      <w:pPr>
        <w:pStyle w:val="Compact"/>
        <w:numPr>
          <w:ilvl w:val="0"/>
          <w:numId w:val="1279"/>
        </w:numPr>
      </w:pPr>
      <w:r>
        <w:t xml:space="preserve">This is particularly useful in class constructors to identify the specific class being instantiated (especially in inheritance scenarios).</w:t>
      </w:r>
    </w:p>
    <w:bookmarkEnd w:id="1029"/>
    <w:bookmarkStart w:id="1030" w:name="code-example-61"/>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function</w:t>
      </w:r>
      <w:r>
        <w:rPr>
          <w:rStyle w:val="NormalTok"/>
        </w:rPr>
        <w:t xml:space="preserve"> </w:t>
      </w:r>
      <w:r>
        <w:rPr>
          <w:rStyle w:val="FunctionTok"/>
        </w:rPr>
        <w:t xml:space="preserve">Foo</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KeywordTok"/>
        </w:rPr>
        <w:t xml:space="preserve">new</w:t>
      </w:r>
      <w:r>
        <w:rPr>
          <w:rStyle w:val="OperatorTok"/>
        </w:rPr>
        <w:t xml:space="preserve">.</w:t>
      </w:r>
      <w:r>
        <w:rPr>
          <w:rStyle w:val="AttributeTok"/>
        </w:rPr>
        <w:t xml:space="preserve">target</w:t>
      </w:r>
      <w:r>
        <w:rPr>
          <w:rStyle w:val="NormalTok"/>
        </w:rPr>
        <w:t xml:space="preserve">) {</w:t>
      </w:r>
      <w:r>
        <w:br/>
      </w:r>
      <w:r>
        <w:rPr>
          <w:rStyle w:val="NormalTok"/>
        </w:rPr>
        <w:t xml:space="preserve">    Response</w:t>
      </w:r>
      <w:r>
        <w:rPr>
          <w:rStyle w:val="OperatorTok"/>
        </w:rPr>
        <w:t xml:space="preserve">.</w:t>
      </w:r>
      <w:r>
        <w:rPr>
          <w:rStyle w:val="FunctionTok"/>
        </w:rPr>
        <w:t xml:space="preserve">Write</w:t>
      </w:r>
      <w:r>
        <w:rPr>
          <w:rStyle w:val="NormalTok"/>
        </w:rPr>
        <w:t xml:space="preserve">(</w:t>
      </w:r>
      <w:r>
        <w:rPr>
          <w:rStyle w:val="StringTok"/>
        </w:rPr>
        <w:t xml:space="preserve">"Called as function"</w:t>
      </w:r>
      <w:r>
        <w:rPr>
          <w:rStyle w:val="NormalTok"/>
        </w:rPr>
        <w:t xml:space="preserve">)</w:t>
      </w:r>
      <w:r>
        <w:rPr>
          <w:rStyle w:val="OperatorTok"/>
        </w:rPr>
        <w:t xml:space="preserve">;</w:t>
      </w:r>
      <w:r>
        <w:br/>
      </w:r>
      <w:r>
        <w:rPr>
          <w:rStyle w:val="NormalTok"/>
        </w:rPr>
        <w:t xml:space="preserve">  } </w:t>
      </w:r>
      <w:r>
        <w:rPr>
          <w:rStyle w:val="ControlFlowTok"/>
        </w:rPr>
        <w:t xml:space="preserve">else</w:t>
      </w:r>
      <w:r>
        <w:rPr>
          <w:rStyle w:val="NormalTok"/>
        </w:rPr>
        <w:t xml:space="preserve"> {</w:t>
      </w:r>
      <w:r>
        <w:br/>
      </w:r>
      <w:r>
        <w:rPr>
          <w:rStyle w:val="NormalTok"/>
        </w:rPr>
        <w:t xml:space="preserve">    Response</w:t>
      </w:r>
      <w:r>
        <w:rPr>
          <w:rStyle w:val="OperatorTok"/>
        </w:rPr>
        <w:t xml:space="preserve">.</w:t>
      </w:r>
      <w:r>
        <w:rPr>
          <w:rStyle w:val="FunctionTok"/>
        </w:rPr>
        <w:t xml:space="preserve">Write</w:t>
      </w:r>
      <w:r>
        <w:rPr>
          <w:rStyle w:val="NormalTok"/>
        </w:rPr>
        <w:t xml:space="preserve">(</w:t>
      </w:r>
      <w:r>
        <w:rPr>
          <w:rStyle w:val="StringTok"/>
        </w:rPr>
        <w:t xml:space="preserve">"Called with new"</w:t>
      </w:r>
      <w:r>
        <w:rPr>
          <w:rStyle w:val="NormalTok"/>
        </w:rPr>
        <w:t xml:space="preserve">)</w:t>
      </w:r>
      <w:r>
        <w:rPr>
          <w:rStyle w:val="OperatorTok"/>
        </w:rPr>
        <w:t xml:space="preserve">;</w:t>
      </w:r>
      <w:r>
        <w:br/>
      </w:r>
      <w:r>
        <w:rPr>
          <w:rStyle w:val="NormalTok"/>
        </w:rPr>
        <w:t xml:space="preserve">  }</w:t>
      </w:r>
      <w:r>
        <w:br/>
      </w:r>
      <w:r>
        <w:rPr>
          <w:rStyle w:val="NormalTok"/>
        </w:rPr>
        <w:t xml:space="preserve">}</w:t>
      </w:r>
      <w:r>
        <w:br/>
      </w:r>
      <w:r>
        <w:br/>
      </w:r>
      <w:r>
        <w:rPr>
          <w:rStyle w:val="FunctionTok"/>
        </w:rPr>
        <w:t xml:space="preserve">Foo</w:t>
      </w:r>
      <w:r>
        <w:rPr>
          <w:rStyle w:val="NormalTok"/>
        </w:rPr>
        <w:t xml:space="preserve">()</w:t>
      </w:r>
      <w:r>
        <w:rPr>
          <w:rStyle w:val="OperatorTok"/>
        </w:rPr>
        <w:t xml:space="preserve">;</w:t>
      </w:r>
      <w:r>
        <w:rPr>
          <w:rStyle w:val="NormalTok"/>
        </w:rPr>
        <w:t xml:space="preserve">      </w:t>
      </w:r>
      <w:r>
        <w:rPr>
          <w:rStyle w:val="CommentTok"/>
        </w:rPr>
        <w:t xml:space="preserve">// Output: Called as function</w:t>
      </w:r>
      <w:r>
        <w:br/>
      </w:r>
      <w:r>
        <w:rPr>
          <w:rStyle w:val="KeywordTok"/>
        </w:rPr>
        <w:t xml:space="preserve">new</w:t>
      </w:r>
      <w:r>
        <w:rPr>
          <w:rStyle w:val="NormalTok"/>
        </w:rPr>
        <w:t xml:space="preserve"> </w:t>
      </w:r>
      <w:r>
        <w:rPr>
          <w:rStyle w:val="FunctionTok"/>
        </w:rPr>
        <w:t xml:space="preserve">Foo</w:t>
      </w:r>
      <w:r>
        <w:rPr>
          <w:rStyle w:val="NormalTok"/>
        </w:rPr>
        <w:t xml:space="preserve">()</w:t>
      </w:r>
      <w:r>
        <w:rPr>
          <w:rStyle w:val="OperatorTok"/>
        </w:rPr>
        <w:t xml:space="preserve">;</w:t>
      </w:r>
      <w:r>
        <w:rPr>
          <w:rStyle w:val="NormalTok"/>
        </w:rPr>
        <w:t xml:space="preserve">  </w:t>
      </w:r>
      <w:r>
        <w:rPr>
          <w:rStyle w:val="CommentTok"/>
        </w:rPr>
        <w:t xml:space="preserve">// Output: Called with new</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30"/>
    <w:bookmarkEnd w:id="1031"/>
    <w:bookmarkStart w:id="1035" w:name="nullish-coalescing"/>
    <w:p>
      <w:pPr>
        <w:pStyle w:val="Heading2"/>
      </w:pPr>
      <w:r>
        <w:t xml:space="preserve">Nullish Coalescing (??)</w:t>
      </w:r>
    </w:p>
    <w:bookmarkStart w:id="1032" w:name="syntax-61"/>
    <w:p>
      <w:pPr>
        <w:pStyle w:val="Heading3"/>
      </w:pPr>
      <w:r>
        <w:t xml:space="preserve">Syntax</w:t>
      </w:r>
    </w:p>
    <w:p>
      <w:pPr>
        <w:pStyle w:val="SourceCode"/>
      </w:pPr>
      <w:r>
        <w:rPr>
          <w:rStyle w:val="KeywordTok"/>
        </w:rPr>
        <w:t xml:space="preserve">var</w:t>
      </w:r>
      <w:r>
        <w:rPr>
          <w:rStyle w:val="NormalTok"/>
        </w:rPr>
        <w:t xml:space="preserve"> result </w:t>
      </w:r>
      <w:r>
        <w:rPr>
          <w:rStyle w:val="OperatorTok"/>
        </w:rPr>
        <w:t xml:space="preserve">=</w:t>
      </w:r>
      <w:r>
        <w:rPr>
          <w:rStyle w:val="NormalTok"/>
        </w:rPr>
        <w:t xml:space="preserve"> leftExpr </w:t>
      </w:r>
      <w:r>
        <w:rPr>
          <w:rStyle w:val="OperatorTok"/>
        </w:rPr>
        <w:t xml:space="preserve">??</w:t>
      </w:r>
      <w:r>
        <w:rPr>
          <w:rStyle w:val="NormalTok"/>
        </w:rPr>
        <w:t xml:space="preserve"> rightExpr</w:t>
      </w:r>
      <w:r>
        <w:rPr>
          <w:rStyle w:val="OperatorTok"/>
        </w:rPr>
        <w:t xml:space="preserve">;</w:t>
      </w:r>
    </w:p>
    <w:bookmarkEnd w:id="1032"/>
    <w:bookmarkStart w:id="1033" w:name="remarks-69"/>
    <w:p>
      <w:pPr>
        <w:pStyle w:val="Heading3"/>
      </w:pPr>
      <w:r>
        <w:t xml:space="preserve">Remarks</w:t>
      </w:r>
    </w:p>
    <w:p>
      <w:pPr>
        <w:pStyle w:val="Compact"/>
        <w:numPr>
          <w:ilvl w:val="0"/>
          <w:numId w:val="1280"/>
        </w:numPr>
      </w:pPr>
      <w:r>
        <w:t xml:space="preserve">The nullish coalescing operator (</w:t>
      </w:r>
      <w:r>
        <w:rPr>
          <w:rStyle w:val="VerbatimChar"/>
        </w:rPr>
        <w:t xml:space="preserve">??</w:t>
      </w:r>
      <w:r>
        <w:t xml:space="preserve">) is a logical operator that returns its right-hand side operand when its left-hand side operand is</w:t>
      </w:r>
      <w:r>
        <w:t xml:space="preserve"> </w:t>
      </w:r>
      <w:r>
        <w:rPr>
          <w:rStyle w:val="VerbatimChar"/>
        </w:rPr>
        <w:t xml:space="preserve">null</w:t>
      </w:r>
      <w:r>
        <w:t xml:space="preserve"> </w:t>
      </w:r>
      <w:r>
        <w:t xml:space="preserve">or</w:t>
      </w:r>
      <w:r>
        <w:t xml:space="preserve"> </w:t>
      </w:r>
      <w:r>
        <w:rPr>
          <w:rStyle w:val="VerbatimChar"/>
        </w:rPr>
        <w:t xml:space="preserve">undefined</w:t>
      </w:r>
      <w:r>
        <w:t xml:space="preserve">, and otherwise returns its left-hand side operand.</w:t>
      </w:r>
    </w:p>
    <w:p>
      <w:pPr>
        <w:pStyle w:val="Compact"/>
        <w:numPr>
          <w:ilvl w:val="0"/>
          <w:numId w:val="1280"/>
        </w:numPr>
      </w:pPr>
      <w:r>
        <w:t xml:space="preserve">Unlike the OR operator (</w:t>
      </w:r>
      <w:r>
        <w:rPr>
          <w:rStyle w:val="VerbatimChar"/>
        </w:rPr>
        <w:t xml:space="preserve">||</w:t>
      </w:r>
      <w:r>
        <w:t xml:space="preserve">), it does not return the right-hand side for other</w:t>
      </w:r>
      <w:r>
        <w:t xml:space="preserve"> </w:t>
      </w:r>
      <w:r>
        <w:t xml:space="preserve">“falsy”</w:t>
      </w:r>
      <w:r>
        <w:t xml:space="preserve"> </w:t>
      </w:r>
      <w:r>
        <w:t xml:space="preserve">values like</w:t>
      </w:r>
      <w:r>
        <w:t xml:space="preserve"> </w:t>
      </w:r>
      <w:r>
        <w:rPr>
          <w:rStyle w:val="VerbatimChar"/>
        </w:rPr>
        <w:t xml:space="preserve">0</w:t>
      </w:r>
      <w:r>
        <w:t xml:space="preserve">,</w:t>
      </w:r>
      <w:r>
        <w:t xml:space="preserve"> </w:t>
      </w:r>
      <w:r>
        <w:rPr>
          <w:rStyle w:val="VerbatimChar"/>
        </w:rPr>
        <w:t xml:space="preserve">""</w:t>
      </w:r>
      <w:r>
        <w:t xml:space="preserve">, or</w:t>
      </w:r>
      <w:r>
        <w:t xml:space="preserve"> </w:t>
      </w:r>
      <w:r>
        <w:rPr>
          <w:rStyle w:val="VerbatimChar"/>
        </w:rPr>
        <w:t xml:space="preserve">false</w:t>
      </w:r>
      <w:r>
        <w:t xml:space="preserve">.</w:t>
      </w:r>
    </w:p>
    <w:bookmarkEnd w:id="1033"/>
    <w:bookmarkStart w:id="1034" w:name="code-example-62"/>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KeywordTok"/>
        </w:rPr>
        <w:t xml:space="preserve">null</w:t>
      </w:r>
      <w:r>
        <w:rPr>
          <w:rStyle w:val="NormalTok"/>
        </w:rPr>
        <w:t xml:space="preserve"> </w:t>
      </w:r>
      <w:r>
        <w:rPr>
          <w:rStyle w:val="OperatorTok"/>
        </w:rPr>
        <w:t xml:space="preserve">??</w:t>
      </w:r>
      <w:r>
        <w:rPr>
          <w:rStyle w:val="NormalTok"/>
        </w:rPr>
        <w:t xml:space="preserve"> </w:t>
      </w:r>
      <w:r>
        <w:rPr>
          <w:rStyle w:val="StringTok"/>
        </w:rPr>
        <w:t xml:space="preserve">"default"</w:t>
      </w:r>
      <w:r>
        <w:rPr>
          <w:rStyle w:val="NormalTok"/>
        </w:rPr>
        <w:t xml:space="preserve">)</w:t>
      </w:r>
      <w:r>
        <w:rPr>
          <w:rStyle w:val="OperatorTok"/>
        </w:rPr>
        <w:t xml:space="preserve">;</w:t>
      </w:r>
      <w:r>
        <w:rPr>
          <w:rStyle w:val="NormalTok"/>
        </w:rPr>
        <w:t xml:space="preserve"> </w:t>
      </w:r>
      <w:r>
        <w:rPr>
          <w:rStyle w:val="CommentTok"/>
        </w:rPr>
        <w:t xml:space="preserve">// Output: default</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KeywordTok"/>
        </w:rPr>
        <w:t xml:space="preserve">undefined</w:t>
      </w:r>
      <w:r>
        <w:rPr>
          <w:rStyle w:val="NormalTok"/>
        </w:rPr>
        <w:t xml:space="preserve"> </w:t>
      </w:r>
      <w:r>
        <w:rPr>
          <w:rStyle w:val="OperatorTok"/>
        </w:rPr>
        <w:t xml:space="preserve">??</w:t>
      </w:r>
      <w:r>
        <w:rPr>
          <w:rStyle w:val="NormalTok"/>
        </w:rPr>
        <w:t xml:space="preserve"> </w:t>
      </w:r>
      <w:r>
        <w:rPr>
          <w:rStyle w:val="StringTok"/>
        </w:rPr>
        <w:t xml:space="preserve">"default"</w:t>
      </w:r>
      <w:r>
        <w:rPr>
          <w:rStyle w:val="NormalTok"/>
        </w:rPr>
        <w:t xml:space="preserve">)</w:t>
      </w:r>
      <w:r>
        <w:rPr>
          <w:rStyle w:val="OperatorTok"/>
        </w:rPr>
        <w:t xml:space="preserve">;</w:t>
      </w:r>
      <w:r>
        <w:rPr>
          <w:rStyle w:val="NormalTok"/>
        </w:rPr>
        <w:t xml:space="preserve"> </w:t>
      </w:r>
      <w:r>
        <w:rPr>
          <w:rStyle w:val="CommentTok"/>
        </w:rPr>
        <w:t xml:space="preserve">// Output: default</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42</w:t>
      </w:r>
      <w:r>
        <w:rPr>
          <w:rStyle w:val="NormalTok"/>
        </w:rPr>
        <w:t xml:space="preserve">)</w:t>
      </w:r>
      <w:r>
        <w:rPr>
          <w:rStyle w:val="OperatorTok"/>
        </w:rPr>
        <w:t xml:space="preserve">;</w:t>
      </w:r>
      <w:r>
        <w:rPr>
          <w:rStyle w:val="NormalTok"/>
        </w:rPr>
        <w:t xml:space="preserve"> </w:t>
      </w:r>
      <w:r>
        <w:rPr>
          <w:rStyle w:val="CommentTok"/>
        </w:rPr>
        <w:t xml:space="preserve">// Output: 0</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w:t>
      </w:r>
      <w:r>
        <w:rPr>
          <w:rStyle w:val="NormalTok"/>
        </w:rPr>
        <w:t xml:space="preserve"> </w:t>
      </w:r>
      <w:r>
        <w:rPr>
          <w:rStyle w:val="OperatorTok"/>
        </w:rPr>
        <w:t xml:space="preserve">??</w:t>
      </w:r>
      <w:r>
        <w:rPr>
          <w:rStyle w:val="NormalTok"/>
        </w:rPr>
        <w:t xml:space="preserve"> </w:t>
      </w:r>
      <w:r>
        <w:rPr>
          <w:rStyle w:val="StringTok"/>
        </w:rPr>
        <w:t xml:space="preserve">"hello"</w:t>
      </w:r>
      <w:r>
        <w:rPr>
          <w:rStyle w:val="NormalTok"/>
        </w:rPr>
        <w:t xml:space="preserve">)</w:t>
      </w:r>
      <w:r>
        <w:rPr>
          <w:rStyle w:val="OperatorTok"/>
        </w:rPr>
        <w:t xml:space="preserve">;</w:t>
      </w:r>
      <w:r>
        <w:rPr>
          <w:rStyle w:val="NormalTok"/>
        </w:rPr>
        <w:t xml:space="preserve"> </w:t>
      </w:r>
      <w:r>
        <w:rPr>
          <w:rStyle w:val="CommentTok"/>
        </w:rPr>
        <w:t xml:space="preserve">// Output: (empty string)</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KeywordTok"/>
        </w:rPr>
        <w:t xml:space="preserve">false</w:t>
      </w:r>
      <w:r>
        <w:rPr>
          <w:rStyle w:val="NormalTok"/>
        </w:rPr>
        <w:t xml:space="preserve"> </w:t>
      </w:r>
      <w:r>
        <w:rPr>
          <w:rStyle w:val="OperatorTok"/>
        </w:rPr>
        <w:t xml:space="preserve">??</w:t>
      </w:r>
      <w:r>
        <w:rPr>
          <w:rStyle w:val="NormalTok"/>
        </w:rPr>
        <w:t xml:space="preserve"> </w:t>
      </w:r>
      <w:r>
        <w:rPr>
          <w:rStyle w:val="KeywordTok"/>
        </w:rPr>
        <w:t xml:space="preserve">true</w:t>
      </w:r>
      <w:r>
        <w:rPr>
          <w:rStyle w:val="NormalTok"/>
        </w:rPr>
        <w:t xml:space="preserve">)</w:t>
      </w:r>
      <w:r>
        <w:rPr>
          <w:rStyle w:val="OperatorTok"/>
        </w:rPr>
        <w:t xml:space="preserve">;</w:t>
      </w:r>
      <w:r>
        <w:rPr>
          <w:rStyle w:val="NormalTok"/>
        </w:rPr>
        <w:t xml:space="preserve"> </w:t>
      </w:r>
      <w:r>
        <w:rPr>
          <w:rStyle w:val="CommentTok"/>
        </w:rPr>
        <w:t xml:space="preserve">// Output: False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34"/>
    <w:bookmarkEnd w:id="1035"/>
    <w:bookmarkStart w:id="1039" w:name="logical-assignment"/>
    <w:p>
      <w:pPr>
        <w:pStyle w:val="Heading2"/>
      </w:pPr>
      <w:r>
        <w:t xml:space="preserve">Logical Assignment (||=, &amp;&amp;=, ??=)</w:t>
      </w:r>
    </w:p>
    <w:bookmarkStart w:id="1036" w:name="syntax-62"/>
    <w:p>
      <w:pPr>
        <w:pStyle w:val="Heading3"/>
      </w:pPr>
      <w:r>
        <w:t xml:space="preserve">Syntax</w:t>
      </w:r>
    </w:p>
    <w:p>
      <w:pPr>
        <w:pStyle w:val="SourceCode"/>
      </w:pPr>
      <w:r>
        <w:rPr>
          <w:rStyle w:val="NormalTok"/>
        </w:rPr>
        <w:t xml:space="preserve">a </w:t>
      </w:r>
      <w:r>
        <w:rPr>
          <w:rStyle w:val="OperatorTok"/>
        </w:rPr>
        <w:t xml:space="preserve">||=</w:t>
      </w:r>
      <w:r>
        <w:rPr>
          <w:rStyle w:val="NormalTok"/>
        </w:rPr>
        <w:t xml:space="preserve"> b</w:t>
      </w:r>
      <w:r>
        <w:rPr>
          <w:rStyle w:val="OperatorTok"/>
        </w:rPr>
        <w:t xml:space="preserve">;</w:t>
      </w:r>
      <w:r>
        <w:rPr>
          <w:rStyle w:val="NormalTok"/>
        </w:rPr>
        <w:t xml:space="preserve">  </w:t>
      </w:r>
      <w:r>
        <w:rPr>
          <w:rStyle w:val="CommentTok"/>
        </w:rPr>
        <w:t xml:space="preserve">// Logical OR assignment</w:t>
      </w:r>
      <w:r>
        <w:br/>
      </w:r>
      <w:r>
        <w:rPr>
          <w:rStyle w:val="NormalTok"/>
        </w:rPr>
        <w:t xml:space="preserve">a </w:t>
      </w:r>
      <w:r>
        <w:rPr>
          <w:rStyle w:val="OperatorTok"/>
        </w:rPr>
        <w:t xml:space="preserve">&amp;&amp;=</w:t>
      </w:r>
      <w:r>
        <w:rPr>
          <w:rStyle w:val="NormalTok"/>
        </w:rPr>
        <w:t xml:space="preserve"> b</w:t>
      </w:r>
      <w:r>
        <w:rPr>
          <w:rStyle w:val="OperatorTok"/>
        </w:rPr>
        <w:t xml:space="preserve">;</w:t>
      </w:r>
      <w:r>
        <w:rPr>
          <w:rStyle w:val="NormalTok"/>
        </w:rPr>
        <w:t xml:space="preserve">  </w:t>
      </w:r>
      <w:r>
        <w:rPr>
          <w:rStyle w:val="CommentTok"/>
        </w:rPr>
        <w:t xml:space="preserve">// Logical AND assignment</w:t>
      </w:r>
      <w:r>
        <w:br/>
      </w:r>
      <w:r>
        <w:rPr>
          <w:rStyle w:val="NormalTok"/>
        </w:rPr>
        <w:t xml:space="preserve">a </w:t>
      </w:r>
      <w:r>
        <w:rPr>
          <w:rStyle w:val="OperatorTok"/>
        </w:rPr>
        <w:t xml:space="preserve">??=</w:t>
      </w:r>
      <w:r>
        <w:rPr>
          <w:rStyle w:val="NormalTok"/>
        </w:rPr>
        <w:t xml:space="preserve"> b</w:t>
      </w:r>
      <w:r>
        <w:rPr>
          <w:rStyle w:val="OperatorTok"/>
        </w:rPr>
        <w:t xml:space="preserve">;</w:t>
      </w:r>
      <w:r>
        <w:rPr>
          <w:rStyle w:val="NormalTok"/>
        </w:rPr>
        <w:t xml:space="preserve">  </w:t>
      </w:r>
      <w:r>
        <w:rPr>
          <w:rStyle w:val="CommentTok"/>
        </w:rPr>
        <w:t xml:space="preserve">// Nullish coalescing assignment</w:t>
      </w:r>
    </w:p>
    <w:bookmarkEnd w:id="1036"/>
    <w:bookmarkStart w:id="1037" w:name="remarks-70"/>
    <w:p>
      <w:pPr>
        <w:pStyle w:val="Heading3"/>
      </w:pPr>
      <w:r>
        <w:t xml:space="preserve">Remarks</w:t>
      </w:r>
    </w:p>
    <w:p>
      <w:pPr>
        <w:pStyle w:val="Compact"/>
        <w:numPr>
          <w:ilvl w:val="0"/>
          <w:numId w:val="1281"/>
        </w:numPr>
      </w:pPr>
      <w:r>
        <w:rPr>
          <w:rStyle w:val="VerbatimChar"/>
        </w:rPr>
        <w:t xml:space="preserve">a ||= b</w:t>
      </w:r>
      <w:r>
        <w:t xml:space="preserve"> </w:t>
      </w:r>
      <w:r>
        <w:t xml:space="preserve">only assigns</w:t>
      </w:r>
      <w:r>
        <w:t xml:space="preserve"> </w:t>
      </w:r>
      <w:r>
        <w:rPr>
          <w:rStyle w:val="VerbatimChar"/>
        </w:rPr>
        <w:t xml:space="preserve">b</w:t>
      </w:r>
      <w:r>
        <w:t xml:space="preserve"> </w:t>
      </w:r>
      <w:r>
        <w:t xml:space="preserve">to</w:t>
      </w:r>
      <w:r>
        <w:t xml:space="preserve"> </w:t>
      </w:r>
      <w:r>
        <w:rPr>
          <w:rStyle w:val="VerbatimChar"/>
        </w:rPr>
        <w:t xml:space="preserve">a</w:t>
      </w:r>
      <w:r>
        <w:t xml:space="preserve"> </w:t>
      </w:r>
      <w:r>
        <w:t xml:space="preserve">if</w:t>
      </w:r>
      <w:r>
        <w:t xml:space="preserve"> </w:t>
      </w:r>
      <w:r>
        <w:rPr>
          <w:rStyle w:val="VerbatimChar"/>
        </w:rPr>
        <w:t xml:space="preserve">a</w:t>
      </w:r>
      <w:r>
        <w:t xml:space="preserve"> </w:t>
      </w:r>
      <w:r>
        <w:t xml:space="preserve">is falsy.</w:t>
      </w:r>
    </w:p>
    <w:p>
      <w:pPr>
        <w:pStyle w:val="Compact"/>
        <w:numPr>
          <w:ilvl w:val="0"/>
          <w:numId w:val="1281"/>
        </w:numPr>
      </w:pPr>
      <w:r>
        <w:rPr>
          <w:rStyle w:val="VerbatimChar"/>
        </w:rPr>
        <w:t xml:space="preserve">a &amp;&amp;= b</w:t>
      </w:r>
      <w:r>
        <w:t xml:space="preserve"> </w:t>
      </w:r>
      <w:r>
        <w:t xml:space="preserve">only assigns</w:t>
      </w:r>
      <w:r>
        <w:t xml:space="preserve"> </w:t>
      </w:r>
      <w:r>
        <w:rPr>
          <w:rStyle w:val="VerbatimChar"/>
        </w:rPr>
        <w:t xml:space="preserve">b</w:t>
      </w:r>
      <w:r>
        <w:t xml:space="preserve"> </w:t>
      </w:r>
      <w:r>
        <w:t xml:space="preserve">to</w:t>
      </w:r>
      <w:r>
        <w:t xml:space="preserve"> </w:t>
      </w:r>
      <w:r>
        <w:rPr>
          <w:rStyle w:val="VerbatimChar"/>
        </w:rPr>
        <w:t xml:space="preserve">a</w:t>
      </w:r>
      <w:r>
        <w:t xml:space="preserve"> </w:t>
      </w:r>
      <w:r>
        <w:t xml:space="preserve">if</w:t>
      </w:r>
      <w:r>
        <w:t xml:space="preserve"> </w:t>
      </w:r>
      <w:r>
        <w:rPr>
          <w:rStyle w:val="VerbatimChar"/>
        </w:rPr>
        <w:t xml:space="preserve">a</w:t>
      </w:r>
      <w:r>
        <w:t xml:space="preserve"> </w:t>
      </w:r>
      <w:r>
        <w:t xml:space="preserve">is truthy.</w:t>
      </w:r>
    </w:p>
    <w:p>
      <w:pPr>
        <w:pStyle w:val="Compact"/>
        <w:numPr>
          <w:ilvl w:val="0"/>
          <w:numId w:val="1281"/>
        </w:numPr>
      </w:pPr>
      <w:r>
        <w:rPr>
          <w:rStyle w:val="VerbatimChar"/>
        </w:rPr>
        <w:t xml:space="preserve">a ??= b</w:t>
      </w:r>
      <w:r>
        <w:t xml:space="preserve"> </w:t>
      </w:r>
      <w:r>
        <w:t xml:space="preserve">only assigns</w:t>
      </w:r>
      <w:r>
        <w:t xml:space="preserve"> </w:t>
      </w:r>
      <w:r>
        <w:rPr>
          <w:rStyle w:val="VerbatimChar"/>
        </w:rPr>
        <w:t xml:space="preserve">b</w:t>
      </w:r>
      <w:r>
        <w:t xml:space="preserve"> </w:t>
      </w:r>
      <w:r>
        <w:t xml:space="preserve">to</w:t>
      </w:r>
      <w:r>
        <w:t xml:space="preserve"> </w:t>
      </w:r>
      <w:r>
        <w:rPr>
          <w:rStyle w:val="VerbatimChar"/>
        </w:rPr>
        <w:t xml:space="preserve">a</w:t>
      </w:r>
      <w:r>
        <w:t xml:space="preserve"> </w:t>
      </w:r>
      <w:r>
        <w:t xml:space="preserve">if</w:t>
      </w:r>
      <w:r>
        <w:t xml:space="preserve"> </w:t>
      </w:r>
      <w:r>
        <w:rPr>
          <w:rStyle w:val="VerbatimChar"/>
        </w:rPr>
        <w:t xml:space="preserve">a</w:t>
      </w:r>
      <w:r>
        <w:t xml:space="preserve"> </w:t>
      </w:r>
      <w:r>
        <w:t xml:space="preserve">is nullish (</w:t>
      </w:r>
      <w:r>
        <w:rPr>
          <w:rStyle w:val="VerbatimChar"/>
        </w:rPr>
        <w:t xml:space="preserve">null</w:t>
      </w:r>
      <w:r>
        <w:t xml:space="preserve"> </w:t>
      </w:r>
      <w:r>
        <w:t xml:space="preserve">or</w:t>
      </w:r>
      <w:r>
        <w:t xml:space="preserve"> </w:t>
      </w:r>
      <w:r>
        <w:rPr>
          <w:rStyle w:val="VerbatimChar"/>
        </w:rPr>
        <w:t xml:space="preserve">undefined</w:t>
      </w:r>
      <w:r>
        <w:t xml:space="preserve">).</w:t>
      </w:r>
    </w:p>
    <w:p>
      <w:pPr>
        <w:pStyle w:val="Compact"/>
        <w:numPr>
          <w:ilvl w:val="0"/>
          <w:numId w:val="1281"/>
        </w:numPr>
      </w:pPr>
      <w:r>
        <w:t xml:space="preserve">These operators short-circuit; the right-hand side is only evaluated if the assignment condition is met.</w:t>
      </w:r>
    </w:p>
    <w:bookmarkEnd w:id="1037"/>
    <w:bookmarkStart w:id="1038" w:name="code-example-63"/>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a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a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(a)</w:t>
      </w:r>
      <w:r>
        <w:rPr>
          <w:rStyle w:val="OperatorTok"/>
        </w:rPr>
        <w:t xml:space="preserve">;</w:t>
      </w:r>
      <w:r>
        <w:rPr>
          <w:rStyle w:val="NormalTok"/>
        </w:rPr>
        <w:t xml:space="preserve"> </w:t>
      </w:r>
      <w:r>
        <w:rPr>
          <w:rStyle w:val="CommentTok"/>
        </w:rPr>
        <w:t xml:space="preserve">// Output: 10</w:t>
      </w:r>
      <w:r>
        <w:br/>
      </w:r>
      <w:r>
        <w:br/>
      </w:r>
      <w:r>
        <w:rPr>
          <w:rStyle w:val="KeywordTok"/>
        </w:rPr>
        <w:t xml:space="preserve">var</w:t>
      </w:r>
      <w:r>
        <w:rPr>
          <w:rStyle w:val="NormalTok"/>
        </w:rPr>
        <w:t xml:space="preserve"> b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b </w:t>
      </w:r>
      <w:r>
        <w:rPr>
          <w:rStyle w:val="OperatorTok"/>
        </w:rPr>
        <w:t xml:space="preserve">&amp;&amp;=</w:t>
      </w:r>
      <w:r>
        <w:rPr>
          <w:rStyle w:val="NormalTok"/>
        </w:rPr>
        <w:t xml:space="preserve"> </w:t>
      </w:r>
      <w:r>
        <w:rPr>
          <w:rStyle w:val="DecValTok"/>
        </w:rPr>
        <w:t xml:space="preserve">20</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(b)</w:t>
      </w:r>
      <w:r>
        <w:rPr>
          <w:rStyle w:val="OperatorTok"/>
        </w:rPr>
        <w:t xml:space="preserve">;</w:t>
      </w:r>
      <w:r>
        <w:rPr>
          <w:rStyle w:val="NormalTok"/>
        </w:rPr>
        <w:t xml:space="preserve"> </w:t>
      </w:r>
      <w:r>
        <w:rPr>
          <w:rStyle w:val="CommentTok"/>
        </w:rPr>
        <w:t xml:space="preserve">// Output: 20</w:t>
      </w:r>
      <w:r>
        <w:br/>
      </w:r>
      <w:r>
        <w:br/>
      </w:r>
      <w:r>
        <w:rPr>
          <w:rStyle w:val="KeywordTok"/>
        </w:rPr>
        <w:t xml:space="preserve">var</w:t>
      </w:r>
      <w:r>
        <w:rPr>
          <w:rStyle w:val="NormalTok"/>
        </w:rPr>
        <w:t xml:space="preserve"> c </w:t>
      </w:r>
      <w:r>
        <w:rPr>
          <w:rStyle w:val="OperatorTok"/>
        </w:rPr>
        <w:t xml:space="preserve">=</w:t>
      </w:r>
      <w:r>
        <w:rPr>
          <w:rStyle w:val="NormalTok"/>
        </w:rPr>
        <w:t xml:space="preserve"> </w:t>
      </w:r>
      <w:r>
        <w:rPr>
          <w:rStyle w:val="KeywordTok"/>
        </w:rPr>
        <w:t xml:space="preserve">null</w:t>
      </w:r>
      <w:r>
        <w:rPr>
          <w:rStyle w:val="OperatorTok"/>
        </w:rPr>
        <w:t xml:space="preserve">;</w:t>
      </w:r>
      <w:r>
        <w:br/>
      </w:r>
      <w:r>
        <w:rPr>
          <w:rStyle w:val="NormalTok"/>
        </w:rPr>
        <w:t xml:space="preserve">c </w:t>
      </w:r>
      <w:r>
        <w:rPr>
          <w:rStyle w:val="OperatorTok"/>
        </w:rPr>
        <w:t xml:space="preserve">??=</w:t>
      </w:r>
      <w:r>
        <w:rPr>
          <w:rStyle w:val="NormalTok"/>
        </w:rPr>
        <w:t xml:space="preserve"> </w:t>
      </w:r>
      <w:r>
        <w:rPr>
          <w:rStyle w:val="DecValTok"/>
        </w:rPr>
        <w:t xml:space="preserve">30</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(c)</w:t>
      </w:r>
      <w:r>
        <w:rPr>
          <w:rStyle w:val="OperatorTok"/>
        </w:rPr>
        <w:t xml:space="preserve">;</w:t>
      </w:r>
      <w:r>
        <w:rPr>
          <w:rStyle w:val="NormalTok"/>
        </w:rPr>
        <w:t xml:space="preserve"> </w:t>
      </w:r>
      <w:r>
        <w:rPr>
          <w:rStyle w:val="CommentTok"/>
        </w:rPr>
        <w:t xml:space="preserve">// Output: 30</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38"/>
    <w:bookmarkEnd w:id="1039"/>
    <w:bookmarkStart w:id="1043" w:name="exponentiation-operator"/>
    <w:p>
      <w:pPr>
        <w:pStyle w:val="Heading2"/>
      </w:pPr>
      <w:r>
        <w:t xml:space="preserve">Exponentiation Operator (**)</w:t>
      </w:r>
    </w:p>
    <w:bookmarkStart w:id="1040" w:name="syntax-63"/>
    <w:p>
      <w:pPr>
        <w:pStyle w:val="Heading3"/>
      </w:pPr>
      <w:r>
        <w:t xml:space="preserve">Syntax</w:t>
      </w:r>
    </w:p>
    <w:p>
      <w:pPr>
        <w:pStyle w:val="SourceCode"/>
      </w:pPr>
      <w:r>
        <w:rPr>
          <w:rStyle w:val="KeywordTok"/>
        </w:rPr>
        <w:t xml:space="preserve">var</w:t>
      </w:r>
      <w:r>
        <w:rPr>
          <w:rStyle w:val="NormalTok"/>
        </w:rPr>
        <w:t xml:space="preserve"> result </w:t>
      </w:r>
      <w:r>
        <w:rPr>
          <w:rStyle w:val="OperatorTok"/>
        </w:rPr>
        <w:t xml:space="preserve">=</w:t>
      </w:r>
      <w:r>
        <w:rPr>
          <w:rStyle w:val="NormalTok"/>
        </w:rPr>
        <w:t xml:space="preserve"> base </w:t>
      </w:r>
      <w:r>
        <w:rPr>
          <w:rStyle w:val="OperatorTok"/>
        </w:rPr>
        <w:t xml:space="preserve">**</w:t>
      </w:r>
      <w:r>
        <w:rPr>
          <w:rStyle w:val="NormalTok"/>
        </w:rPr>
        <w:t xml:space="preserve"> exponent</w:t>
      </w:r>
      <w:r>
        <w:rPr>
          <w:rStyle w:val="OperatorTok"/>
        </w:rPr>
        <w:t xml:space="preserve">;</w:t>
      </w:r>
      <w:r>
        <w:br/>
      </w:r>
      <w:r>
        <w:rPr>
          <w:rStyle w:val="KeywordTok"/>
        </w:rPr>
        <w:t xml:space="preserve">var</w:t>
      </w:r>
      <w:r>
        <w:rPr>
          <w:rStyle w:val="NormalTok"/>
        </w:rPr>
        <w:t xml:space="preserve"> a </w:t>
      </w:r>
      <w:r>
        <w:rPr>
          <w:rStyle w:val="OperatorTok"/>
        </w:rPr>
        <w:t xml:space="preserve">**=</w:t>
      </w:r>
      <w:r>
        <w:rPr>
          <w:rStyle w:val="NormalTok"/>
        </w:rPr>
        <w:t xml:space="preserve"> exponent</w:t>
      </w:r>
      <w:r>
        <w:rPr>
          <w:rStyle w:val="OperatorTok"/>
        </w:rPr>
        <w:t xml:space="preserve">;</w:t>
      </w:r>
    </w:p>
    <w:bookmarkEnd w:id="1040"/>
    <w:bookmarkStart w:id="1041" w:name="remarks-71"/>
    <w:p>
      <w:pPr>
        <w:pStyle w:val="Heading3"/>
      </w:pPr>
      <w:r>
        <w:t xml:space="preserve">Remarks</w:t>
      </w:r>
    </w:p>
    <w:p>
      <w:pPr>
        <w:pStyle w:val="Compact"/>
        <w:numPr>
          <w:ilvl w:val="0"/>
          <w:numId w:val="1282"/>
        </w:numPr>
      </w:pPr>
      <w:r>
        <w:t xml:space="preserve">The exponentiation operator (</w:t>
      </w:r>
      <w:r>
        <w:rPr>
          <w:rStyle w:val="VerbatimChar"/>
        </w:rPr>
        <w:t xml:space="preserve">**</w:t>
      </w:r>
      <w:r>
        <w:t xml:space="preserve">) returns the result of raising the first operand to the power of the second operand.</w:t>
      </w:r>
    </w:p>
    <w:p>
      <w:pPr>
        <w:pStyle w:val="Compact"/>
        <w:numPr>
          <w:ilvl w:val="0"/>
          <w:numId w:val="1282"/>
        </w:numPr>
      </w:pPr>
      <w:r>
        <w:t xml:space="preserve">It is equivalent to</w:t>
      </w:r>
      <w:r>
        <w:t xml:space="preserve"> </w:t>
      </w:r>
      <w:r>
        <w:rPr>
          <w:rStyle w:val="VerbatimChar"/>
        </w:rPr>
        <w:t xml:space="preserve">Math.pow()</w:t>
      </w:r>
      <w:r>
        <w:t xml:space="preserve">, but also supports</w:t>
      </w:r>
      <w:r>
        <w:t xml:space="preserve"> </w:t>
      </w:r>
      <w:r>
        <w:rPr>
          <w:rStyle w:val="VerbatimChar"/>
        </w:rPr>
        <w:t xml:space="preserve">BigInt</w:t>
      </w:r>
      <w:r>
        <w:t xml:space="preserve">.</w:t>
      </w:r>
    </w:p>
    <w:bookmarkEnd w:id="1041"/>
    <w:bookmarkStart w:id="1042" w:name="code-example-64"/>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w:t>
      </w:r>
      <w:r>
        <w:rPr>
          <w:rStyle w:val="OperatorTok"/>
        </w:rPr>
        <w:t xml:space="preserve">;</w:t>
      </w:r>
      <w:r>
        <w:rPr>
          <w:rStyle w:val="NormalTok"/>
        </w:rPr>
        <w:t xml:space="preserve"> </w:t>
      </w:r>
      <w:r>
        <w:rPr>
          <w:rStyle w:val="CommentTok"/>
        </w:rPr>
        <w:t xml:space="preserve">// Output: 8</w:t>
      </w:r>
      <w:r>
        <w:br/>
      </w:r>
      <w:r>
        <w:rPr>
          <w:rStyle w:val="KeywordTok"/>
        </w:rPr>
        <w:t xml:space="preserve">var</w:t>
      </w:r>
      <w:r>
        <w:rPr>
          <w:rStyle w:val="NormalTok"/>
        </w:rPr>
        <w:t xml:space="preserve"> x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x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(x)</w:t>
      </w:r>
      <w:r>
        <w:rPr>
          <w:rStyle w:val="OperatorTok"/>
        </w:rPr>
        <w:t xml:space="preserve">;</w:t>
      </w:r>
      <w:r>
        <w:rPr>
          <w:rStyle w:val="NormalTok"/>
        </w:rPr>
        <w:t xml:space="preserve"> </w:t>
      </w:r>
      <w:r>
        <w:rPr>
          <w:rStyle w:val="CommentTok"/>
        </w:rPr>
        <w:t xml:space="preserve">// Output: 9</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42"/>
    <w:bookmarkEnd w:id="1043"/>
    <w:bookmarkStart w:id="1047" w:name="bigint-support"/>
    <w:p>
      <w:pPr>
        <w:pStyle w:val="Heading2"/>
      </w:pPr>
      <w:r>
        <w:t xml:space="preserve">BigInt Support</w:t>
      </w:r>
    </w:p>
    <w:bookmarkStart w:id="1044" w:name="syntax-64"/>
    <w:p>
      <w:pPr>
        <w:pStyle w:val="Heading3"/>
      </w:pPr>
      <w:r>
        <w:t xml:space="preserve">Syntax</w:t>
      </w:r>
    </w:p>
    <w:p>
      <w:pPr>
        <w:pStyle w:val="SourceCode"/>
      </w:pPr>
      <w:r>
        <w:rPr>
          <w:rStyle w:val="KeywordTok"/>
        </w:rPr>
        <w:t xml:space="preserve">var</w:t>
      </w:r>
      <w:r>
        <w:rPr>
          <w:rStyle w:val="NormalTok"/>
        </w:rPr>
        <w:t xml:space="preserve"> large </w:t>
      </w:r>
      <w:r>
        <w:rPr>
          <w:rStyle w:val="OperatorTok"/>
        </w:rPr>
        <w:t xml:space="preserve">=</w:t>
      </w:r>
      <w:r>
        <w:rPr>
          <w:rStyle w:val="NormalTok"/>
        </w:rPr>
        <w:t xml:space="preserve"> </w:t>
      </w:r>
      <w:r>
        <w:rPr>
          <w:rStyle w:val="DecValTok"/>
        </w:rPr>
        <w:t xml:space="preserve">100</w:t>
      </w:r>
      <w:r>
        <w:rPr>
          <w:rStyle w:val="NormalTok"/>
        </w:rPr>
        <w:t xml:space="preserve">n</w:t>
      </w:r>
      <w:r>
        <w:rPr>
          <w:rStyle w:val="OperatorTok"/>
        </w:rPr>
        <w:t xml:space="preserve">;</w:t>
      </w:r>
      <w:r>
        <w:br/>
      </w:r>
      <w:r>
        <w:rPr>
          <w:rStyle w:val="KeywordTok"/>
        </w:rPr>
        <w:t xml:space="preserve">var</w:t>
      </w:r>
      <w:r>
        <w:rPr>
          <w:rStyle w:val="NormalTok"/>
        </w:rPr>
        <w:t xml:space="preserve"> another </w:t>
      </w:r>
      <w:r>
        <w:rPr>
          <w:rStyle w:val="OperatorTok"/>
        </w:rPr>
        <w:t xml:space="preserve">=</w:t>
      </w:r>
      <w:r>
        <w:rPr>
          <w:rStyle w:val="NormalTok"/>
        </w:rPr>
        <w:t xml:space="preserve"> </w:t>
      </w:r>
      <w:r>
        <w:rPr>
          <w:rStyle w:val="BuiltInTok"/>
        </w:rPr>
        <w:t xml:space="preserve">BigInt</w:t>
      </w:r>
      <w:r>
        <w:rPr>
          <w:rStyle w:val="NormalTok"/>
        </w:rPr>
        <w:t xml:space="preserve">(</w:t>
      </w:r>
      <w:r>
        <w:rPr>
          <w:rStyle w:val="StringTok"/>
        </w:rPr>
        <w:t xml:space="preserve">"9007199254740991"</w:t>
      </w:r>
      <w:r>
        <w:rPr>
          <w:rStyle w:val="NormalTok"/>
        </w:rPr>
        <w:t xml:space="preserve">)</w:t>
      </w:r>
      <w:r>
        <w:rPr>
          <w:rStyle w:val="OperatorTok"/>
        </w:rPr>
        <w:t xml:space="preserve">;</w:t>
      </w:r>
    </w:p>
    <w:bookmarkEnd w:id="1044"/>
    <w:bookmarkStart w:id="1045" w:name="remarks-72"/>
    <w:p>
      <w:pPr>
        <w:pStyle w:val="Heading3"/>
      </w:pPr>
      <w:r>
        <w:t xml:space="preserve">Remarks</w:t>
      </w:r>
    </w:p>
    <w:p>
      <w:pPr>
        <w:pStyle w:val="Compact"/>
        <w:numPr>
          <w:ilvl w:val="0"/>
          <w:numId w:val="1283"/>
        </w:numPr>
      </w:pPr>
      <w:r>
        <w:rPr>
          <w:rStyle w:val="VerbatimChar"/>
        </w:rPr>
        <w:t xml:space="preserve">BigInt</w:t>
      </w:r>
      <w:r>
        <w:t xml:space="preserve"> </w:t>
      </w:r>
      <w:r>
        <w:t xml:space="preserve">is a primitive wrapper object used to represent and manipulate primitive</w:t>
      </w:r>
      <w:r>
        <w:t xml:space="preserve"> </w:t>
      </w:r>
      <w:r>
        <w:rPr>
          <w:rStyle w:val="VerbatimChar"/>
        </w:rPr>
        <w:t xml:space="preserve">bigint</w:t>
      </w:r>
      <w:r>
        <w:t xml:space="preserve"> </w:t>
      </w:r>
      <w:r>
        <w:t xml:space="preserve">values—which are too large to be represented by the</w:t>
      </w:r>
      <w:r>
        <w:t xml:space="preserve"> </w:t>
      </w:r>
      <w:r>
        <w:rPr>
          <w:rStyle w:val="VerbatimChar"/>
        </w:rPr>
        <w:t xml:space="preserve">number</w:t>
      </w:r>
      <w:r>
        <w:t xml:space="preserve"> </w:t>
      </w:r>
      <w:r>
        <w:t xml:space="preserve">primitive.</w:t>
      </w:r>
    </w:p>
    <w:p>
      <w:pPr>
        <w:pStyle w:val="Compact"/>
        <w:numPr>
          <w:ilvl w:val="0"/>
          <w:numId w:val="1283"/>
        </w:numPr>
      </w:pPr>
      <w:r>
        <w:t xml:space="preserve">A</w:t>
      </w:r>
      <w:r>
        <w:t xml:space="preserve"> </w:t>
      </w:r>
      <w:r>
        <w:rPr>
          <w:rStyle w:val="VerbatimChar"/>
        </w:rPr>
        <w:t xml:space="preserve">BigInt</w:t>
      </w:r>
      <w:r>
        <w:t xml:space="preserve"> </w:t>
      </w:r>
      <w:r>
        <w:t xml:space="preserve">value is created by appending</w:t>
      </w:r>
      <w:r>
        <w:t xml:space="preserve"> </w:t>
      </w:r>
      <w:r>
        <w:rPr>
          <w:rStyle w:val="VerbatimChar"/>
        </w:rPr>
        <w:t xml:space="preserve">n</w:t>
      </w:r>
      <w:r>
        <w:t xml:space="preserve"> </w:t>
      </w:r>
      <w:r>
        <w:t xml:space="preserve">to the end of an integer literal, or by calling the</w:t>
      </w:r>
      <w:r>
        <w:t xml:space="preserve"> </w:t>
      </w:r>
      <w:r>
        <w:rPr>
          <w:rStyle w:val="VerbatimChar"/>
        </w:rPr>
        <w:t xml:space="preserve">BigInt()</w:t>
      </w:r>
      <w:r>
        <w:t xml:space="preserve"> </w:t>
      </w:r>
      <w:r>
        <w:t xml:space="preserve">constructor.</w:t>
      </w:r>
    </w:p>
    <w:p>
      <w:pPr>
        <w:pStyle w:val="Compact"/>
        <w:numPr>
          <w:ilvl w:val="0"/>
          <w:numId w:val="1283"/>
        </w:numPr>
      </w:pPr>
      <w:r>
        <w:rPr>
          <w:b/>
          <w:bCs/>
        </w:rPr>
        <w:t xml:space="preserve">Restriction:</w:t>
      </w:r>
      <w:r>
        <w:t xml:space="preserve"> </w:t>
      </w:r>
      <w:r>
        <w:t xml:space="preserve">You cannot mix</w:t>
      </w:r>
      <w:r>
        <w:t xml:space="preserve"> </w:t>
      </w:r>
      <w:r>
        <w:rPr>
          <w:rStyle w:val="VerbatimChar"/>
        </w:rPr>
        <w:t xml:space="preserve">BigInt</w:t>
      </w:r>
      <w:r>
        <w:t xml:space="preserve"> </w:t>
      </w:r>
      <w:r>
        <w:t xml:space="preserve">and</w:t>
      </w:r>
      <w:r>
        <w:t xml:space="preserve"> </w:t>
      </w:r>
      <w:r>
        <w:rPr>
          <w:rStyle w:val="VerbatimChar"/>
        </w:rPr>
        <w:t xml:space="preserve">Number</w:t>
      </w:r>
      <w:r>
        <w:t xml:space="preserve"> </w:t>
      </w:r>
      <w:r>
        <w:t xml:space="preserve">in the same operation (e.g.,</w:t>
      </w:r>
      <w:r>
        <w:t xml:space="preserve"> </w:t>
      </w:r>
      <w:r>
        <w:rPr>
          <w:rStyle w:val="VerbatimChar"/>
        </w:rPr>
        <w:t xml:space="preserve">10n + 5</w:t>
      </w:r>
      <w:r>
        <w:t xml:space="preserve"> </w:t>
      </w:r>
      <w:r>
        <w:t xml:space="preserve">throws</w:t>
      </w:r>
      <w:r>
        <w:t xml:space="preserve"> </w:t>
      </w:r>
      <w:r>
        <w:rPr>
          <w:rStyle w:val="VerbatimChar"/>
        </w:rPr>
        <w:t xml:space="preserve">TypeError</w:t>
      </w:r>
      <w:r>
        <w:t xml:space="preserve">). You must use explicit conversion.</w:t>
      </w:r>
    </w:p>
    <w:p>
      <w:pPr>
        <w:pStyle w:val="Compact"/>
        <w:numPr>
          <w:ilvl w:val="0"/>
          <w:numId w:val="1283"/>
        </w:numPr>
      </w:pPr>
      <w:r>
        <w:t xml:space="preserve">Arithmetic operations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w:t>
      </w:r>
      <w:r>
        <w:t xml:space="preserve">) and comparison operators are supported.</w:t>
      </w:r>
    </w:p>
    <w:p>
      <w:pPr>
        <w:pStyle w:val="Compact"/>
        <w:numPr>
          <w:ilvl w:val="0"/>
          <w:numId w:val="1283"/>
        </w:numPr>
      </w:pPr>
      <w:r>
        <w:rPr>
          <w:rStyle w:val="VerbatimChar"/>
        </w:rPr>
        <w:t xml:space="preserve">BigInt</w:t>
      </w:r>
      <w:r>
        <w:t xml:space="preserve"> </w:t>
      </w:r>
      <w:r>
        <w:t xml:space="preserve">division truncates towards zero.</w:t>
      </w:r>
    </w:p>
    <w:bookmarkEnd w:id="1045"/>
    <w:bookmarkStart w:id="1046" w:name="code-example-65"/>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a </w:t>
      </w:r>
      <w:r>
        <w:rPr>
          <w:rStyle w:val="OperatorTok"/>
        </w:rPr>
        <w:t xml:space="preserve">=</w:t>
      </w:r>
      <w:r>
        <w:rPr>
          <w:rStyle w:val="NormalTok"/>
        </w:rPr>
        <w:t xml:space="preserve"> </w:t>
      </w:r>
      <w:r>
        <w:rPr>
          <w:rStyle w:val="DecValTok"/>
        </w:rPr>
        <w:t xml:space="preserve">10</w:t>
      </w:r>
      <w:r>
        <w:rPr>
          <w:rStyle w:val="NormalTok"/>
        </w:rPr>
        <w:t xml:space="preserve">n</w:t>
      </w:r>
      <w:r>
        <w:rPr>
          <w:rStyle w:val="OperatorTok"/>
        </w:rPr>
        <w:t xml:space="preserve">;</w:t>
      </w:r>
      <w:r>
        <w:br/>
      </w:r>
      <w:r>
        <w:rPr>
          <w:rStyle w:val="KeywordTok"/>
        </w:rPr>
        <w:t xml:space="preserve">var</w:t>
      </w:r>
      <w:r>
        <w:rPr>
          <w:rStyle w:val="NormalTok"/>
        </w:rPr>
        <w:t xml:space="preserve"> b </w:t>
      </w:r>
      <w:r>
        <w:rPr>
          <w:rStyle w:val="OperatorTok"/>
        </w:rPr>
        <w:t xml:space="preserve">=</w:t>
      </w:r>
      <w:r>
        <w:rPr>
          <w:rStyle w:val="NormalTok"/>
        </w:rPr>
        <w:t xml:space="preserve"> </w:t>
      </w:r>
      <w:r>
        <w:rPr>
          <w:rStyle w:val="DecValTok"/>
        </w:rPr>
        <w:t xml:space="preserve">20</w:t>
      </w:r>
      <w:r>
        <w:rPr>
          <w:rStyle w:val="NormalTok"/>
        </w:rPr>
        <w:t xml:space="preserve">n</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(a </w:t>
      </w:r>
      <w:r>
        <w:rPr>
          <w:rStyle w:val="OperatorTok"/>
        </w:rPr>
        <w:t xml:space="preserve">+</w:t>
      </w:r>
      <w:r>
        <w:rPr>
          <w:rStyle w:val="NormalTok"/>
        </w:rPr>
        <w:t xml:space="preserve"> b)</w:t>
      </w:r>
      <w:r>
        <w:rPr>
          <w:rStyle w:val="OperatorTok"/>
        </w:rPr>
        <w:t xml:space="preserve">;</w:t>
      </w:r>
      <w:r>
        <w:rPr>
          <w:rStyle w:val="NormalTok"/>
        </w:rPr>
        <w:t xml:space="preserve"> </w:t>
      </w:r>
      <w:r>
        <w:rPr>
          <w:rStyle w:val="CommentTok"/>
        </w:rPr>
        <w:t xml:space="preserve">// Output: 30</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DecValTok"/>
        </w:rPr>
        <w:t xml:space="preserve">2</w:t>
      </w:r>
      <w:r>
        <w:rPr>
          <w:rStyle w:val="NormalTok"/>
        </w:rPr>
        <w:t xml:space="preserve">n </w:t>
      </w:r>
      <w:r>
        <w:rPr>
          <w:rStyle w:val="OperatorTok"/>
        </w:rPr>
        <w:t xml:space="preserve">**</w:t>
      </w:r>
      <w:r>
        <w:rPr>
          <w:rStyle w:val="NormalTok"/>
        </w:rPr>
        <w:t xml:space="preserve"> </w:t>
      </w:r>
      <w:r>
        <w:rPr>
          <w:rStyle w:val="DecValTok"/>
        </w:rPr>
        <w:t xml:space="preserve">64</w:t>
      </w:r>
      <w:r>
        <w:rPr>
          <w:rStyle w:val="NormalTok"/>
        </w:rPr>
        <w:t xml:space="preserve">n)</w:t>
      </w:r>
      <w:r>
        <w:rPr>
          <w:rStyle w:val="OperatorTok"/>
        </w:rPr>
        <w:t xml:space="preserve">;</w:t>
      </w:r>
      <w:r>
        <w:rPr>
          <w:rStyle w:val="NormalTok"/>
        </w:rPr>
        <w:t xml:space="preserve"> </w:t>
      </w:r>
      <w:r>
        <w:rPr>
          <w:rStyle w:val="CommentTok"/>
        </w:rPr>
        <w:t xml:space="preserve">// Output: 18446744073709551616</w:t>
      </w:r>
      <w:r>
        <w:br/>
      </w:r>
      <w:r>
        <w:br/>
      </w:r>
      <w:r>
        <w:rPr>
          <w:rStyle w:val="ControlFlowTok"/>
        </w:rPr>
        <w:t xml:space="preserve">try</w:t>
      </w:r>
      <w:r>
        <w:rPr>
          <w:rStyle w:val="NormalTok"/>
        </w:rPr>
        <w:t xml:space="preserve"> {</w:t>
      </w:r>
      <w:r>
        <w:br/>
      </w:r>
      <w:r>
        <w:rPr>
          <w:rStyle w:val="NormalTok"/>
        </w:rPr>
        <w:t xml:space="preserve">    Response</w:t>
      </w:r>
      <w:r>
        <w:rPr>
          <w:rStyle w:val="OperatorTok"/>
        </w:rPr>
        <w:t xml:space="preserve">.</w:t>
      </w:r>
      <w:r>
        <w:rPr>
          <w:rStyle w:val="FunctionTok"/>
        </w:rPr>
        <w:t xml:space="preserve">Write</w:t>
      </w:r>
      <w:r>
        <w:rPr>
          <w:rStyle w:val="NormalTok"/>
        </w:rPr>
        <w:t xml:space="preserve">(</w:t>
      </w:r>
      <w:r>
        <w:rPr>
          <w:rStyle w:val="DecValTok"/>
        </w:rPr>
        <w:t xml:space="preserve">10</w:t>
      </w:r>
      <w:r>
        <w:rPr>
          <w:rStyle w:val="NormalTok"/>
        </w:rPr>
        <w:t xml:space="preserve">n </w:t>
      </w:r>
      <w:r>
        <w:rPr>
          <w:rStyle w:val="OperatorTok"/>
        </w:rPr>
        <w:t xml:space="preserve">+</w:t>
      </w:r>
      <w:r>
        <w:rPr>
          <w:rStyle w:val="NormalTok"/>
        </w:rPr>
        <w:t xml:space="preserve"> </w:t>
      </w:r>
      <w:r>
        <w:rPr>
          <w:rStyle w:val="DecValTok"/>
        </w:rPr>
        <w:t xml:space="preserve">5</w:t>
      </w:r>
      <w:r>
        <w:rPr>
          <w:rStyle w:val="NormalTok"/>
        </w:rPr>
        <w:t xml:space="preserve">)</w:t>
      </w:r>
      <w:r>
        <w:rPr>
          <w:rStyle w:val="OperatorTok"/>
        </w:rPr>
        <w:t xml:space="preserve">;</w:t>
      </w:r>
      <w:r>
        <w:br/>
      </w:r>
      <w:r>
        <w:rPr>
          <w:rStyle w:val="NormalTok"/>
        </w:rPr>
        <w:t xml:space="preserve">} </w:t>
      </w:r>
      <w:r>
        <w:rPr>
          <w:rStyle w:val="ControlFlowTok"/>
        </w:rPr>
        <w:t xml:space="preserve">catch</w:t>
      </w:r>
      <w:r>
        <w:rPr>
          <w:rStyle w:val="NormalTok"/>
        </w:rPr>
        <w:t xml:space="preserve"> (e) {</w:t>
      </w:r>
      <w:r>
        <w:br/>
      </w:r>
      <w:r>
        <w:rPr>
          <w:rStyle w:val="NormalTok"/>
        </w:rPr>
        <w:t xml:space="preserve">    Response</w:t>
      </w:r>
      <w:r>
        <w:rPr>
          <w:rStyle w:val="OperatorTok"/>
        </w:rPr>
        <w:t xml:space="preserve">.</w:t>
      </w:r>
      <w:r>
        <w:rPr>
          <w:rStyle w:val="FunctionTok"/>
        </w:rPr>
        <w:t xml:space="preserve">Write</w:t>
      </w:r>
      <w:r>
        <w:rPr>
          <w:rStyle w:val="NormalTok"/>
        </w:rPr>
        <w:t xml:space="preserve">(</w:t>
      </w:r>
      <w:r>
        <w:rPr>
          <w:rStyle w:val="StringTok"/>
        </w:rPr>
        <w:t xml:space="preserve">"Error: "</w:t>
      </w:r>
      <w:r>
        <w:rPr>
          <w:rStyle w:val="NormalTok"/>
        </w:rPr>
        <w:t xml:space="preserve"> </w:t>
      </w:r>
      <w:r>
        <w:rPr>
          <w:rStyle w:val="OperatorTok"/>
        </w:rPr>
        <w:t xml:space="preserve">+</w:t>
      </w:r>
      <w:r>
        <w:rPr>
          <w:rStyle w:val="NormalTok"/>
        </w:rPr>
        <w:t xml:space="preserve"> e</w:t>
      </w:r>
      <w:r>
        <w:rPr>
          <w:rStyle w:val="OperatorTok"/>
        </w:rPr>
        <w:t xml:space="preserve">.</w:t>
      </w:r>
      <w:r>
        <w:rPr>
          <w:rStyle w:val="AttributeTok"/>
        </w:rPr>
        <w:t xml:space="preserve">message</w:t>
      </w:r>
      <w:r>
        <w:rPr>
          <w:rStyle w:val="NormalTok"/>
        </w:rPr>
        <w:t xml:space="preserve">)</w:t>
      </w:r>
      <w:r>
        <w:rPr>
          <w:rStyle w:val="OperatorTok"/>
        </w:rPr>
        <w:t xml:space="preserve">;</w:t>
      </w:r>
      <w:r>
        <w:rPr>
          <w:rStyle w:val="NormalTok"/>
        </w:rPr>
        <w:t xml:space="preserve"> </w:t>
      </w:r>
      <w:r>
        <w:rPr>
          <w:rStyle w:val="CommentTok"/>
        </w:rPr>
        <w:t xml:space="preserve">// Output: Error: Cannot mix BigInt and other types...</w:t>
      </w:r>
      <w:r>
        <w:br/>
      </w:r>
      <w:r>
        <w:rPr>
          <w:rStyle w:val="NormalTok"/>
        </w:rPr>
        <w:t xml:space="preserv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46"/>
    <w:bookmarkEnd w:id="1047"/>
    <w:bookmarkStart w:id="1051" w:name="promises"/>
    <w:p>
      <w:pPr>
        <w:pStyle w:val="Heading2"/>
      </w:pPr>
      <w:r>
        <w:t xml:space="preserve">Promises</w:t>
      </w:r>
    </w:p>
    <w:bookmarkStart w:id="1048" w:name="syntax-65"/>
    <w:p>
      <w:pPr>
        <w:pStyle w:val="Heading3"/>
      </w:pPr>
      <w:r>
        <w:t xml:space="preserve">Syntax</w:t>
      </w:r>
    </w:p>
    <w:p>
      <w:pPr>
        <w:pStyle w:val="SourceCode"/>
      </w:pPr>
      <w:r>
        <w:rPr>
          <w:rStyle w:val="KeywordTok"/>
        </w:rPr>
        <w:t xml:space="preserve">var</w:t>
      </w:r>
      <w:r>
        <w:rPr>
          <w:rStyle w:val="NormalTok"/>
        </w:rPr>
        <w:t xml:space="preserve"> p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Promise</w:t>
      </w:r>
      <w:r>
        <w:rPr>
          <w:rStyle w:val="NormalTok"/>
        </w:rPr>
        <w:t xml:space="preserve">(</w:t>
      </w:r>
      <w:r>
        <w:rPr>
          <w:rStyle w:val="KeywordTok"/>
        </w:rPr>
        <w:t xml:space="preserve">function</w:t>
      </w:r>
      <w:r>
        <w:rPr>
          <w:rStyle w:val="NormalTok"/>
        </w:rPr>
        <w:t xml:space="preserve">(resolve</w:t>
      </w:r>
      <w:r>
        <w:rPr>
          <w:rStyle w:val="OperatorTok"/>
        </w:rPr>
        <w:t xml:space="preserve">,</w:t>
      </w:r>
      <w:r>
        <w:rPr>
          <w:rStyle w:val="NormalTok"/>
        </w:rPr>
        <w:t xml:space="preserve"> reject) {</w:t>
      </w:r>
      <w:r>
        <w:br/>
      </w:r>
      <w:r>
        <w:rPr>
          <w:rStyle w:val="NormalTok"/>
        </w:rPr>
        <w:t xml:space="preserve">    </w:t>
      </w:r>
      <w:r>
        <w:rPr>
          <w:rStyle w:val="CommentTok"/>
        </w:rPr>
        <w:t xml:space="preserve">// asynchronous operation</w:t>
      </w:r>
      <w:r>
        <w:br/>
      </w:r>
      <w:r>
        <w:rPr>
          <w:rStyle w:val="NormalTok"/>
        </w:rPr>
        <w:t xml:space="preserve">    </w:t>
      </w:r>
      <w:r>
        <w:rPr>
          <w:rStyle w:val="ControlFlowTok"/>
        </w:rPr>
        <w:t xml:space="preserve">if</w:t>
      </w:r>
      <w:r>
        <w:rPr>
          <w:rStyle w:val="NormalTok"/>
        </w:rPr>
        <w:t xml:space="preserve"> (success) </w:t>
      </w:r>
      <w:r>
        <w:rPr>
          <w:rStyle w:val="FunctionTok"/>
        </w:rPr>
        <w:t xml:space="preserve">resolve</w:t>
      </w:r>
      <w:r>
        <w:rPr>
          <w:rStyle w:val="NormalTok"/>
        </w:rPr>
        <w:t xml:space="preserve">(data)</w:t>
      </w:r>
      <w:r>
        <w:rPr>
          <w:rStyle w:val="OperatorTok"/>
        </w:rPr>
        <w:t xml:space="preserve">;</w:t>
      </w:r>
      <w:r>
        <w:br/>
      </w:r>
      <w:r>
        <w:rPr>
          <w:rStyle w:val="NormalTok"/>
        </w:rPr>
        <w:t xml:space="preserve">    </w:t>
      </w:r>
      <w:r>
        <w:rPr>
          <w:rStyle w:val="ControlFlowTok"/>
        </w:rPr>
        <w:t xml:space="preserve">else</w:t>
      </w:r>
      <w:r>
        <w:rPr>
          <w:rStyle w:val="NormalTok"/>
        </w:rPr>
        <w:t xml:space="preserve"> </w:t>
      </w:r>
      <w:r>
        <w:rPr>
          <w:rStyle w:val="FunctionTok"/>
        </w:rPr>
        <w:t xml:space="preserve">reject</w:t>
      </w:r>
      <w:r>
        <w:rPr>
          <w:rStyle w:val="NormalTok"/>
        </w:rPr>
        <w:t xml:space="preserve">(error)</w:t>
      </w:r>
      <w:r>
        <w:rPr>
          <w:rStyle w:val="OperatorTok"/>
        </w:rPr>
        <w:t xml:space="preserve">;</w:t>
      </w:r>
      <w:r>
        <w:br/>
      </w:r>
      <w:r>
        <w:rPr>
          <w:rStyle w:val="NormalTok"/>
        </w:rPr>
        <w:t xml:space="preserve">})</w:t>
      </w:r>
      <w:r>
        <w:rPr>
          <w:rStyle w:val="OperatorTok"/>
        </w:rPr>
        <w:t xml:space="preserve">;</w:t>
      </w:r>
      <w:r>
        <w:br/>
      </w:r>
      <w:r>
        <w:br/>
      </w:r>
      <w:r>
        <w:rPr>
          <w:rStyle w:val="NormalTok"/>
        </w:rPr>
        <w:t xml:space="preserve">p</w:t>
      </w:r>
      <w:r>
        <w:rPr>
          <w:rStyle w:val="OperatorTok"/>
        </w:rPr>
        <w:t xml:space="preserve">.</w:t>
      </w:r>
      <w:r>
        <w:rPr>
          <w:rStyle w:val="FunctionTok"/>
        </w:rPr>
        <w:t xml:space="preserve">then</w:t>
      </w:r>
      <w:r>
        <w:rPr>
          <w:rStyle w:val="NormalTok"/>
        </w:rPr>
        <w:t xml:space="preserve">(onFulfilled</w:t>
      </w:r>
      <w:r>
        <w:rPr>
          <w:rStyle w:val="OperatorTok"/>
        </w:rPr>
        <w:t xml:space="preserve">,</w:t>
      </w:r>
      <w:r>
        <w:rPr>
          <w:rStyle w:val="NormalTok"/>
        </w:rPr>
        <w:t xml:space="preserve"> onRejected)</w:t>
      </w:r>
      <w:r>
        <w:br/>
      </w:r>
      <w:r>
        <w:rPr>
          <w:rStyle w:val="NormalTok"/>
        </w:rPr>
        <w:t xml:space="preserve"> </w:t>
      </w:r>
      <w:r>
        <w:rPr>
          <w:rStyle w:val="OperatorTok"/>
        </w:rPr>
        <w:t xml:space="preserve">.</w:t>
      </w:r>
      <w:r>
        <w:rPr>
          <w:rStyle w:val="FunctionTok"/>
        </w:rPr>
        <w:t xml:space="preserve">catch</w:t>
      </w:r>
      <w:r>
        <w:rPr>
          <w:rStyle w:val="NormalTok"/>
        </w:rPr>
        <w:t xml:space="preserve">(onRejected)</w:t>
      </w:r>
      <w:r>
        <w:br/>
      </w:r>
      <w:r>
        <w:rPr>
          <w:rStyle w:val="NormalTok"/>
        </w:rPr>
        <w:t xml:space="preserve"> </w:t>
      </w:r>
      <w:r>
        <w:rPr>
          <w:rStyle w:val="OperatorTok"/>
        </w:rPr>
        <w:t xml:space="preserve">.</w:t>
      </w:r>
      <w:r>
        <w:rPr>
          <w:rStyle w:val="FunctionTok"/>
        </w:rPr>
        <w:t xml:space="preserve">finally</w:t>
      </w:r>
      <w:r>
        <w:rPr>
          <w:rStyle w:val="NormalTok"/>
        </w:rPr>
        <w:t xml:space="preserve">(onFinally)</w:t>
      </w:r>
      <w:r>
        <w:rPr>
          <w:rStyle w:val="OperatorTok"/>
        </w:rPr>
        <w:t xml:space="preserve">;</w:t>
      </w:r>
    </w:p>
    <w:bookmarkEnd w:id="1048"/>
    <w:bookmarkStart w:id="1049" w:name="remarks-73"/>
    <w:p>
      <w:pPr>
        <w:pStyle w:val="Heading3"/>
      </w:pPr>
      <w:r>
        <w:t xml:space="preserve">Remarks</w:t>
      </w:r>
    </w:p>
    <w:p>
      <w:pPr>
        <w:pStyle w:val="Compact"/>
        <w:numPr>
          <w:ilvl w:val="0"/>
          <w:numId w:val="1284"/>
        </w:numPr>
      </w:pPr>
      <w:r>
        <w:t xml:space="preserve">AxonASP implements the full ES6</w:t>
      </w:r>
      <w:r>
        <w:t xml:space="preserve"> </w:t>
      </w:r>
      <w:r>
        <w:rPr>
          <w:rStyle w:val="VerbatimChar"/>
        </w:rPr>
        <w:t xml:space="preserve">Promise</w:t>
      </w:r>
      <w:r>
        <w:t xml:space="preserve"> </w:t>
      </w:r>
      <w:r>
        <w:t xml:space="preserve">API.</w:t>
      </w:r>
    </w:p>
    <w:p>
      <w:pPr>
        <w:pStyle w:val="Compact"/>
        <w:numPr>
          <w:ilvl w:val="0"/>
          <w:numId w:val="1284"/>
        </w:numPr>
      </w:pPr>
      <w:r>
        <w:rPr>
          <w:b/>
          <w:bCs/>
        </w:rPr>
        <w:t xml:space="preserve">Microtask Queue:</w:t>
      </w:r>
      <w:r>
        <w:t xml:space="preserve"> </w:t>
      </w:r>
      <w:r>
        <w:t xml:space="preserve">Promises are resolved using a Microtask queue. In the ASP environment, the queue is processed automatically when the script finishes or when an</w:t>
      </w:r>
      <w:r>
        <w:t xml:space="preserve"> </w:t>
      </w:r>
      <w:r>
        <w:rPr>
          <w:rStyle w:val="VerbatimChar"/>
        </w:rPr>
        <w:t xml:space="preserve">await</w:t>
      </w:r>
      <w:r>
        <w:t xml:space="preserve"> </w:t>
      </w:r>
      <w:r>
        <w:t xml:space="preserve">is hit.</w:t>
      </w:r>
    </w:p>
    <w:p>
      <w:pPr>
        <w:pStyle w:val="Compact"/>
        <w:numPr>
          <w:ilvl w:val="0"/>
          <w:numId w:val="1284"/>
        </w:numPr>
      </w:pPr>
      <w:r>
        <w:t xml:space="preserve">Supported static methods:</w:t>
      </w:r>
      <w:r>
        <w:t xml:space="preserve"> </w:t>
      </w:r>
      <w:r>
        <w:rPr>
          <w:rStyle w:val="VerbatimChar"/>
        </w:rPr>
        <w:t xml:space="preserve">Promise.resolve(v)</w:t>
      </w:r>
      <w:r>
        <w:t xml:space="preserve">,</w:t>
      </w:r>
      <w:r>
        <w:t xml:space="preserve"> </w:t>
      </w:r>
      <w:r>
        <w:rPr>
          <w:rStyle w:val="VerbatimChar"/>
        </w:rPr>
        <w:t xml:space="preserve">Promise.reject(r)</w:t>
      </w:r>
      <w:r>
        <w:t xml:space="preserve">,</w:t>
      </w:r>
      <w:r>
        <w:t xml:space="preserve"> </w:t>
      </w:r>
      <w:r>
        <w:rPr>
          <w:rStyle w:val="VerbatimChar"/>
        </w:rPr>
        <w:t xml:space="preserve">Promise.all(iterable)</w:t>
      </w:r>
      <w:r>
        <w:t xml:space="preserve">,</w:t>
      </w:r>
      <w:r>
        <w:t xml:space="preserve"> </w:t>
      </w:r>
      <w:r>
        <w:rPr>
          <w:rStyle w:val="VerbatimChar"/>
        </w:rPr>
        <w:t xml:space="preserve">Promise.race(iterable)</w:t>
      </w:r>
      <w:r>
        <w:t xml:space="preserve">.</w:t>
      </w:r>
    </w:p>
    <w:bookmarkEnd w:id="1049"/>
    <w:bookmarkStart w:id="1050" w:name="code-example-66"/>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p </w:t>
      </w:r>
      <w:r>
        <w:rPr>
          <w:rStyle w:val="OperatorTok"/>
        </w:rPr>
        <w:t xml:space="preserve">=</w:t>
      </w:r>
      <w:r>
        <w:rPr>
          <w:rStyle w:val="NormalTok"/>
        </w:rPr>
        <w:t xml:space="preserve"> </w:t>
      </w:r>
      <w:r>
        <w:rPr>
          <w:rStyle w:val="BuiltInTok"/>
        </w:rPr>
        <w:t xml:space="preserve">Promise</w:t>
      </w:r>
      <w:r>
        <w:rPr>
          <w:rStyle w:val="OperatorTok"/>
        </w:rPr>
        <w:t xml:space="preserve">.</w:t>
      </w:r>
      <w:r>
        <w:rPr>
          <w:rStyle w:val="FunctionTok"/>
        </w:rPr>
        <w:t xml:space="preserve">resolve</w:t>
      </w:r>
      <w:r>
        <w:rPr>
          <w:rStyle w:val="NormalTok"/>
        </w:rPr>
        <w:t xml:space="preserve">(</w:t>
      </w:r>
      <w:r>
        <w:rPr>
          <w:rStyle w:val="DecValTok"/>
        </w:rPr>
        <w:t xml:space="preserve">42</w:t>
      </w:r>
      <w:r>
        <w:rPr>
          <w:rStyle w:val="NormalTok"/>
        </w:rPr>
        <w:t xml:space="preserve">)</w:t>
      </w:r>
      <w:r>
        <w:rPr>
          <w:rStyle w:val="OperatorTok"/>
        </w:rPr>
        <w:t xml:space="preserve">;</w:t>
      </w:r>
      <w:r>
        <w:br/>
      </w:r>
      <w:r>
        <w:rPr>
          <w:rStyle w:val="NormalTok"/>
        </w:rPr>
        <w:t xml:space="preserve">p</w:t>
      </w:r>
      <w:r>
        <w:rPr>
          <w:rStyle w:val="OperatorTok"/>
        </w:rPr>
        <w:t xml:space="preserve">.</w:t>
      </w:r>
      <w:r>
        <w:rPr>
          <w:rStyle w:val="FunctionTok"/>
        </w:rPr>
        <w:t xml:space="preserve">then</w:t>
      </w:r>
      <w:r>
        <w:rPr>
          <w:rStyle w:val="NormalTok"/>
        </w:rPr>
        <w:t xml:space="preserve">(</w:t>
      </w:r>
      <w:r>
        <w:rPr>
          <w:rStyle w:val="KeywordTok"/>
        </w:rPr>
        <w:t xml:space="preserve">function</w:t>
      </w:r>
      <w:r>
        <w:rPr>
          <w:rStyle w:val="NormalTok"/>
        </w:rPr>
        <w:t xml:space="preserve">(val) {</w:t>
      </w:r>
      <w:r>
        <w:br/>
      </w:r>
      <w:r>
        <w:rPr>
          <w:rStyle w:val="NormalTok"/>
        </w:rPr>
        <w:t xml:space="preserve">    Response</w:t>
      </w:r>
      <w:r>
        <w:rPr>
          <w:rStyle w:val="OperatorTok"/>
        </w:rPr>
        <w:t xml:space="preserve">.</w:t>
      </w:r>
      <w:r>
        <w:rPr>
          <w:rStyle w:val="FunctionTok"/>
        </w:rPr>
        <w:t xml:space="preserve">Write</w:t>
      </w:r>
      <w:r>
        <w:rPr>
          <w:rStyle w:val="NormalTok"/>
        </w:rPr>
        <w:t xml:space="preserve">(</w:t>
      </w:r>
      <w:r>
        <w:rPr>
          <w:rStyle w:val="StringTok"/>
        </w:rPr>
        <w:t xml:space="preserve">"Promise resolved with: "</w:t>
      </w:r>
      <w:r>
        <w:rPr>
          <w:rStyle w:val="NormalTok"/>
        </w:rPr>
        <w:t xml:space="preserve"> </w:t>
      </w:r>
      <w:r>
        <w:rPr>
          <w:rStyle w:val="OperatorTok"/>
        </w:rPr>
        <w:t xml:space="preserve">+</w:t>
      </w:r>
      <w:r>
        <w:rPr>
          <w:rStyle w:val="NormalTok"/>
        </w:rPr>
        <w:t xml:space="preserve"> val)</w:t>
      </w:r>
      <w:r>
        <w:rPr>
          <w:rStyle w:val="OperatorTok"/>
        </w:rPr>
        <w:t xml:space="preserve">;</w:t>
      </w:r>
      <w:r>
        <w:br/>
      </w:r>
      <w:r>
        <w:rPr>
          <w:rStyle w:val="NormalTok"/>
        </w:rPr>
        <w:t xml:space="preserve">})</w:t>
      </w:r>
      <w:r>
        <w:rPr>
          <w:rStyle w:val="OperatorTok"/>
        </w:rPr>
        <w:t xml:space="preserv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50"/>
    <w:bookmarkEnd w:id="1051"/>
    <w:bookmarkStart w:id="1055" w:name="generators-function"/>
    <w:p>
      <w:pPr>
        <w:pStyle w:val="Heading2"/>
      </w:pPr>
      <w:r>
        <w:t xml:space="preserve">Generators (function*)</w:t>
      </w:r>
    </w:p>
    <w:bookmarkStart w:id="1052" w:name="syntax-66"/>
    <w:p>
      <w:pPr>
        <w:pStyle w:val="Heading3"/>
      </w:pPr>
      <w:r>
        <w:t xml:space="preserve">Syntax</w:t>
      </w:r>
    </w:p>
    <w:p>
      <w:pPr>
        <w:pStyle w:val="SourceCode"/>
      </w:pPr>
      <w:r>
        <w:rPr>
          <w:rStyle w:val="KeywordTok"/>
        </w:rPr>
        <w:t xml:space="preserve">function</w:t>
      </w:r>
      <w:r>
        <w:rPr>
          <w:rStyle w:val="OperatorTok"/>
        </w:rPr>
        <w:t xml:space="preserve">*</w:t>
      </w:r>
      <w:r>
        <w:rPr>
          <w:rStyle w:val="NormalTok"/>
        </w:rPr>
        <w:t xml:space="preserve"> </w:t>
      </w:r>
      <w:r>
        <w:rPr>
          <w:rStyle w:val="FunctionTok"/>
        </w:rPr>
        <w:t xml:space="preserve">myGenerator</w:t>
      </w:r>
      <w:r>
        <w:rPr>
          <w:rStyle w:val="NormalTok"/>
        </w:rPr>
        <w:t xml:space="preserve">() {</w:t>
      </w:r>
      <w:r>
        <w:br/>
      </w:r>
      <w:r>
        <w:rPr>
          <w:rStyle w:val="NormalTok"/>
        </w:rPr>
        <w:t xml:space="preserve">    </w:t>
      </w:r>
      <w:r>
        <w:rPr>
          <w:rStyle w:val="KeywordTok"/>
        </w:rPr>
        <w:t xml:space="preserve">yield</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KeywordTok"/>
        </w:rPr>
        <w:t xml:space="preserve">yield</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3</w:t>
      </w:r>
      <w:r>
        <w:rPr>
          <w:rStyle w:val="OperatorTok"/>
        </w:rPr>
        <w:t xml:space="preserve">;</w:t>
      </w:r>
      <w:r>
        <w:br/>
      </w:r>
      <w:r>
        <w:rPr>
          <w:rStyle w:val="NormalTok"/>
        </w:rPr>
        <w:t xml:space="preserve">}</w:t>
      </w:r>
      <w:r>
        <w:br/>
      </w:r>
      <w:r>
        <w:br/>
      </w:r>
      <w:r>
        <w:rPr>
          <w:rStyle w:val="KeywordTok"/>
        </w:rPr>
        <w:t xml:space="preserve">var</w:t>
      </w:r>
      <w:r>
        <w:rPr>
          <w:rStyle w:val="NormalTok"/>
        </w:rPr>
        <w:t xml:space="preserve"> g </w:t>
      </w:r>
      <w:r>
        <w:rPr>
          <w:rStyle w:val="OperatorTok"/>
        </w:rPr>
        <w:t xml:space="preserve">=</w:t>
      </w:r>
      <w:r>
        <w:rPr>
          <w:rStyle w:val="NormalTok"/>
        </w:rPr>
        <w:t xml:space="preserve"> </w:t>
      </w:r>
      <w:r>
        <w:rPr>
          <w:rStyle w:val="FunctionTok"/>
        </w:rPr>
        <w:t xml:space="preserve">myGenerator</w:t>
      </w:r>
      <w:r>
        <w:rPr>
          <w:rStyle w:val="NormalTok"/>
        </w:rPr>
        <w:t xml:space="preserve">()</w:t>
      </w:r>
      <w:r>
        <w:rPr>
          <w:rStyle w:val="OperatorTok"/>
        </w:rPr>
        <w:t xml:space="preserve">;</w:t>
      </w:r>
      <w:r>
        <w:br/>
      </w:r>
      <w:r>
        <w:rPr>
          <w:rStyle w:val="KeywordTok"/>
        </w:rPr>
        <w:t xml:space="preserve">var</w:t>
      </w:r>
      <w:r>
        <w:rPr>
          <w:rStyle w:val="NormalTok"/>
        </w:rPr>
        <w:t xml:space="preserve"> result </w:t>
      </w:r>
      <w:r>
        <w:rPr>
          <w:rStyle w:val="OperatorTok"/>
        </w:rPr>
        <w:t xml:space="preserve">=</w:t>
      </w:r>
      <w:r>
        <w:rPr>
          <w:rStyle w:val="NormalTok"/>
        </w:rPr>
        <w:t xml:space="preserve"> g</w:t>
      </w:r>
      <w:r>
        <w:rPr>
          <w:rStyle w:val="OperatorTok"/>
        </w:rPr>
        <w:t xml:space="preserve">.</w:t>
      </w:r>
      <w:r>
        <w:rPr>
          <w:rStyle w:val="FunctionTok"/>
        </w:rPr>
        <w:t xml:space="preserve">next</w:t>
      </w:r>
      <w:r>
        <w:rPr>
          <w:rStyle w:val="NormalTok"/>
        </w:rPr>
        <w:t xml:space="preserve">()</w:t>
      </w:r>
      <w:r>
        <w:rPr>
          <w:rStyle w:val="OperatorTok"/>
        </w:rPr>
        <w:t xml:space="preserve">;</w:t>
      </w:r>
      <w:r>
        <w:rPr>
          <w:rStyle w:val="NormalTok"/>
        </w:rPr>
        <w:t xml:space="preserve"> </w:t>
      </w:r>
      <w:r>
        <w:rPr>
          <w:rStyle w:val="CommentTok"/>
        </w:rPr>
        <w:t xml:space="preserve">// { value: 1, done: false }</w:t>
      </w:r>
    </w:p>
    <w:bookmarkEnd w:id="1052"/>
    <w:bookmarkStart w:id="1053" w:name="remarks-74"/>
    <w:p>
      <w:pPr>
        <w:pStyle w:val="Heading3"/>
      </w:pPr>
      <w:r>
        <w:t xml:space="preserve">Remarks</w:t>
      </w:r>
    </w:p>
    <w:p>
      <w:pPr>
        <w:pStyle w:val="Compact"/>
        <w:numPr>
          <w:ilvl w:val="0"/>
          <w:numId w:val="1285"/>
        </w:numPr>
      </w:pPr>
      <w:r>
        <w:t xml:space="preserve">Generators are functions that can be exited and later re-entered. Their context (variable bindings) will be saved across re-entrances.</w:t>
      </w:r>
    </w:p>
    <w:p>
      <w:pPr>
        <w:pStyle w:val="Compact"/>
        <w:numPr>
          <w:ilvl w:val="0"/>
          <w:numId w:val="1285"/>
        </w:numPr>
      </w:pPr>
      <w:r>
        <w:t xml:space="preserve">Calling a generator function does not execute its body immediately; it returns an iterator object.</w:t>
      </w:r>
    </w:p>
    <w:p>
      <w:pPr>
        <w:pStyle w:val="Compact"/>
        <w:numPr>
          <w:ilvl w:val="0"/>
          <w:numId w:val="1285"/>
        </w:numPr>
      </w:pPr>
      <w:r>
        <w:rPr>
          <w:rStyle w:val="VerbatimChar"/>
        </w:rPr>
        <w:t xml:space="preserve">yield</w:t>
      </w:r>
      <w:r>
        <w:t xml:space="preserve"> </w:t>
      </w:r>
      <w:r>
        <w:t xml:space="preserve">pauses generator execution and returns a value to the caller.</w:t>
      </w:r>
    </w:p>
    <w:p>
      <w:pPr>
        <w:pStyle w:val="Compact"/>
        <w:numPr>
          <w:ilvl w:val="0"/>
          <w:numId w:val="1285"/>
        </w:numPr>
      </w:pPr>
      <w:r>
        <w:rPr>
          <w:rStyle w:val="VerbatimChar"/>
        </w:rPr>
        <w:t xml:space="preserve">yield*</w:t>
      </w:r>
      <w:r>
        <w:t xml:space="preserve"> </w:t>
      </w:r>
      <w:r>
        <w:t xml:space="preserve">delegates to another generator or iterable (currently implemented as basic yield).</w:t>
      </w:r>
    </w:p>
    <w:bookmarkEnd w:id="1053"/>
    <w:bookmarkStart w:id="1054" w:name="code-example-67"/>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function</w:t>
      </w:r>
      <w:r>
        <w:rPr>
          <w:rStyle w:val="OperatorTok"/>
        </w:rPr>
        <w:t xml:space="preserve">*</w:t>
      </w:r>
      <w:r>
        <w:rPr>
          <w:rStyle w:val="NormalTok"/>
        </w:rPr>
        <w:t xml:space="preserve"> </w:t>
      </w:r>
      <w:r>
        <w:rPr>
          <w:rStyle w:val="FunctionTok"/>
        </w:rPr>
        <w:t xml:space="preserve">idMaker</w:t>
      </w:r>
      <w:r>
        <w:rPr>
          <w:rStyle w:val="NormalTok"/>
        </w:rPr>
        <w:t xml:space="preserve">() {</w:t>
      </w:r>
      <w:r>
        <w:br/>
      </w:r>
      <w:r>
        <w:rPr>
          <w:rStyle w:val="NormalTok"/>
        </w:rPr>
        <w:t xml:space="preserve">    </w:t>
      </w:r>
      <w:r>
        <w:rPr>
          <w:rStyle w:val="KeywordTok"/>
        </w:rPr>
        <w:t xml:space="preserve">var</w:t>
      </w:r>
      <w:r>
        <w:rPr>
          <w:rStyle w:val="NormalTok"/>
        </w:rPr>
        <w:t xml:space="preserve"> index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while</w:t>
      </w:r>
      <w:r>
        <w:rPr>
          <w:rStyle w:val="NormalTok"/>
        </w:rPr>
        <w:t xml:space="preserve"> (</w:t>
      </w:r>
      <w:r>
        <w:rPr>
          <w:rStyle w:val="KeywordTok"/>
        </w:rPr>
        <w:t xml:space="preserve">true</w:t>
      </w:r>
      <w:r>
        <w:rPr>
          <w:rStyle w:val="NormalTok"/>
        </w:rPr>
        <w:t xml:space="preserve">)</w:t>
      </w:r>
      <w:r>
        <w:br/>
      </w:r>
      <w:r>
        <w:rPr>
          <w:rStyle w:val="NormalTok"/>
        </w:rPr>
        <w:t xml:space="preserve">        </w:t>
      </w:r>
      <w:r>
        <w:rPr>
          <w:rStyle w:val="KeywordTok"/>
        </w:rPr>
        <w:t xml:space="preserve">yield</w:t>
      </w:r>
      <w:r>
        <w:rPr>
          <w:rStyle w:val="NormalTok"/>
        </w:rPr>
        <w:t xml:space="preserve"> index</w:t>
      </w:r>
      <w:r>
        <w:rPr>
          <w:rStyle w:val="OperatorTok"/>
        </w:rPr>
        <w:t xml:space="preserve">++;</w:t>
      </w:r>
      <w:r>
        <w:br/>
      </w:r>
      <w:r>
        <w:rPr>
          <w:rStyle w:val="NormalTok"/>
        </w:rPr>
        <w:t xml:space="preserve">}</w:t>
      </w:r>
      <w:r>
        <w:br/>
      </w:r>
      <w:r>
        <w:br/>
      </w:r>
      <w:r>
        <w:rPr>
          <w:rStyle w:val="KeywordTok"/>
        </w:rPr>
        <w:t xml:space="preserve">var</w:t>
      </w:r>
      <w:r>
        <w:rPr>
          <w:rStyle w:val="NormalTok"/>
        </w:rPr>
        <w:t xml:space="preserve"> gen </w:t>
      </w:r>
      <w:r>
        <w:rPr>
          <w:rStyle w:val="OperatorTok"/>
        </w:rPr>
        <w:t xml:space="preserve">=</w:t>
      </w:r>
      <w:r>
        <w:rPr>
          <w:rStyle w:val="NormalTok"/>
        </w:rPr>
        <w:t xml:space="preserve"> </w:t>
      </w:r>
      <w:r>
        <w:rPr>
          <w:rStyle w:val="FunctionTok"/>
        </w:rPr>
        <w:t xml:space="preserve">idMaker</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(gen</w:t>
      </w:r>
      <w:r>
        <w:rPr>
          <w:rStyle w:val="OperatorTok"/>
        </w:rPr>
        <w:t xml:space="preserve">.</w:t>
      </w:r>
      <w:r>
        <w:rPr>
          <w:rStyle w:val="FunctionTok"/>
        </w:rPr>
        <w:t xml:space="preserve">next</w:t>
      </w:r>
      <w:r>
        <w:rPr>
          <w:rStyle w:val="NormalTok"/>
        </w:rPr>
        <w:t xml:space="preserve">()</w:t>
      </w:r>
      <w:r>
        <w:rPr>
          <w:rStyle w:val="OperatorTok"/>
        </w:rPr>
        <w:t xml:space="preserve">.</w:t>
      </w:r>
      <w:r>
        <w:rPr>
          <w:rStyle w:val="AttributeTok"/>
        </w:rPr>
        <w:t xml:space="preserve">value</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0</w:t>
      </w:r>
      <w:r>
        <w:br/>
      </w:r>
      <w:r>
        <w:rPr>
          <w:rStyle w:val="NormalTok"/>
        </w:rPr>
        <w:t xml:space="preserve">Response</w:t>
      </w:r>
      <w:r>
        <w:rPr>
          <w:rStyle w:val="OperatorTok"/>
        </w:rPr>
        <w:t xml:space="preserve">.</w:t>
      </w:r>
      <w:r>
        <w:rPr>
          <w:rStyle w:val="FunctionTok"/>
        </w:rPr>
        <w:t xml:space="preserve">Write</w:t>
      </w:r>
      <w:r>
        <w:rPr>
          <w:rStyle w:val="NormalTok"/>
        </w:rPr>
        <w:t xml:space="preserve">(gen</w:t>
      </w:r>
      <w:r>
        <w:rPr>
          <w:rStyle w:val="OperatorTok"/>
        </w:rPr>
        <w:t xml:space="preserve">.</w:t>
      </w:r>
      <w:r>
        <w:rPr>
          <w:rStyle w:val="FunctionTok"/>
        </w:rPr>
        <w:t xml:space="preserve">next</w:t>
      </w:r>
      <w:r>
        <w:rPr>
          <w:rStyle w:val="NormalTok"/>
        </w:rPr>
        <w:t xml:space="preserve">()</w:t>
      </w:r>
      <w:r>
        <w:rPr>
          <w:rStyle w:val="OperatorTok"/>
        </w:rPr>
        <w:t xml:space="preserve">.</w:t>
      </w:r>
      <w:r>
        <w:rPr>
          <w:rStyle w:val="AttributeTok"/>
        </w:rPr>
        <w:t xml:space="preserve">value</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w:t>
      </w:r>
      <w:r>
        <w:rPr>
          <w:rStyle w:val="OperatorTok"/>
        </w:rPr>
        <w:t xml:space="preserve">;</w:t>
      </w:r>
      <w:r>
        <w:rPr>
          <w:rStyle w:val="NormalTok"/>
        </w:rPr>
        <w:t xml:space="preserve"> </w:t>
      </w:r>
      <w:r>
        <w:rPr>
          <w:rStyle w:val="CommentTok"/>
        </w:rPr>
        <w:t xml:space="preserve">// 1</w:t>
      </w:r>
      <w:r>
        <w:br/>
      </w:r>
      <w:r>
        <w:rPr>
          <w:rStyle w:val="NormalTok"/>
        </w:rPr>
        <w:t xml:space="preserve">Response</w:t>
      </w:r>
      <w:r>
        <w:rPr>
          <w:rStyle w:val="OperatorTok"/>
        </w:rPr>
        <w:t xml:space="preserve">.</w:t>
      </w:r>
      <w:r>
        <w:rPr>
          <w:rStyle w:val="FunctionTok"/>
        </w:rPr>
        <w:t xml:space="preserve">Write</w:t>
      </w:r>
      <w:r>
        <w:rPr>
          <w:rStyle w:val="NormalTok"/>
        </w:rPr>
        <w:t xml:space="preserve">(gen</w:t>
      </w:r>
      <w:r>
        <w:rPr>
          <w:rStyle w:val="OperatorTok"/>
        </w:rPr>
        <w:t xml:space="preserve">.</w:t>
      </w:r>
      <w:r>
        <w:rPr>
          <w:rStyle w:val="FunctionTok"/>
        </w:rPr>
        <w:t xml:space="preserve">next</w:t>
      </w:r>
      <w:r>
        <w:rPr>
          <w:rStyle w:val="NormalTok"/>
        </w:rPr>
        <w:t xml:space="preserve">()</w:t>
      </w:r>
      <w:r>
        <w:rPr>
          <w:rStyle w:val="OperatorTok"/>
        </w:rPr>
        <w:t xml:space="preserve">.</w:t>
      </w:r>
      <w:r>
        <w:rPr>
          <w:rStyle w:val="AttributeTok"/>
        </w:rPr>
        <w:t xml:space="preserve">value</w:t>
      </w:r>
      <w:r>
        <w:rPr>
          <w:rStyle w:val="NormalTok"/>
        </w:rPr>
        <w:t xml:space="preserve">)</w:t>
      </w:r>
      <w:r>
        <w:rPr>
          <w:rStyle w:val="OperatorTok"/>
        </w:rPr>
        <w:t xml:space="preserve">;</w:t>
      </w:r>
      <w:r>
        <w:rPr>
          <w:rStyle w:val="NormalTok"/>
        </w:rPr>
        <w:t xml:space="preserve">       </w:t>
      </w:r>
      <w:r>
        <w:rPr>
          <w:rStyle w:val="CommentTok"/>
        </w:rPr>
        <w:t xml:space="preserve">// 2</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54"/>
    <w:bookmarkEnd w:id="1055"/>
    <w:bookmarkStart w:id="1059" w:name="asyncawait"/>
    <w:p>
      <w:pPr>
        <w:pStyle w:val="Heading2"/>
      </w:pPr>
      <w:r>
        <w:t xml:space="preserve">Async/Await</w:t>
      </w:r>
    </w:p>
    <w:bookmarkStart w:id="1056" w:name="syntax-67"/>
    <w:p>
      <w:pPr>
        <w:pStyle w:val="Heading3"/>
      </w:pPr>
      <w:r>
        <w:t xml:space="preserve">Syntax</w:t>
      </w:r>
    </w:p>
    <w:p>
      <w:pPr>
        <w:pStyle w:val="SourceCode"/>
      </w:pPr>
      <w:r>
        <w:rPr>
          <w:rStyle w:val="KeywordTok"/>
        </w:rPr>
        <w:t xml:space="preserve">async</w:t>
      </w:r>
      <w:r>
        <w:rPr>
          <w:rStyle w:val="NormalTok"/>
        </w:rPr>
        <w:t xml:space="preserve"> </w:t>
      </w:r>
      <w:r>
        <w:rPr>
          <w:rStyle w:val="KeywordTok"/>
        </w:rPr>
        <w:t xml:space="preserve">function</w:t>
      </w:r>
      <w:r>
        <w:rPr>
          <w:rStyle w:val="NormalTok"/>
        </w:rPr>
        <w:t xml:space="preserve"> </w:t>
      </w:r>
      <w:r>
        <w:rPr>
          <w:rStyle w:val="FunctionTok"/>
        </w:rPr>
        <w:t xml:space="preserve">fetchData</w:t>
      </w:r>
      <w:r>
        <w:rPr>
          <w:rStyle w:val="NormalTok"/>
        </w:rPr>
        <w:t xml:space="preserve">() {</w:t>
      </w:r>
      <w:r>
        <w:br/>
      </w:r>
      <w:r>
        <w:rPr>
          <w:rStyle w:val="NormalTok"/>
        </w:rPr>
        <w:t xml:space="preserve">    </w:t>
      </w:r>
      <w:r>
        <w:rPr>
          <w:rStyle w:val="KeywordTok"/>
        </w:rPr>
        <w:t xml:space="preserve">var</w:t>
      </w:r>
      <w:r>
        <w:rPr>
          <w:rStyle w:val="NormalTok"/>
        </w:rPr>
        <w:t xml:space="preserve"> response </w:t>
      </w:r>
      <w:r>
        <w:rPr>
          <w:rStyle w:val="OperatorTok"/>
        </w:rPr>
        <w:t xml:space="preserve">=</w:t>
      </w:r>
      <w:r>
        <w:rPr>
          <w:rStyle w:val="NormalTok"/>
        </w:rPr>
        <w:t xml:space="preserve"> </w:t>
      </w:r>
      <w:r>
        <w:rPr>
          <w:rStyle w:val="ControlFlowTok"/>
        </w:rPr>
        <w:t xml:space="preserve">await</w:t>
      </w:r>
      <w:r>
        <w:rPr>
          <w:rStyle w:val="NormalTok"/>
        </w:rPr>
        <w:t xml:space="preserve"> </w:t>
      </w:r>
      <w:r>
        <w:rPr>
          <w:rStyle w:val="FunctionTok"/>
        </w:rPr>
        <w:t xml:space="preserve">someAsyncOperation</w:t>
      </w:r>
      <w:r>
        <w:rPr>
          <w:rStyle w:val="Normal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response</w:t>
      </w:r>
      <w:r>
        <w:rPr>
          <w:rStyle w:val="OperatorTok"/>
        </w:rPr>
        <w:t xml:space="preserve">.</w:t>
      </w:r>
      <w:r>
        <w:rPr>
          <w:rStyle w:val="AttributeTok"/>
        </w:rPr>
        <w:t xml:space="preserve">data</w:t>
      </w:r>
      <w:r>
        <w:rPr>
          <w:rStyle w:val="OperatorTok"/>
        </w:rPr>
        <w:t xml:space="preserve">;</w:t>
      </w:r>
      <w:r>
        <w:br/>
      </w:r>
      <w:r>
        <w:rPr>
          <w:rStyle w:val="NormalTok"/>
        </w:rPr>
        <w:t xml:space="preserve">}</w:t>
      </w:r>
      <w:r>
        <w:br/>
      </w:r>
      <w:r>
        <w:br/>
      </w:r>
      <w:r>
        <w:rPr>
          <w:rStyle w:val="FunctionTok"/>
        </w:rPr>
        <w:t xml:space="preserve">fetchData</w:t>
      </w:r>
      <w:r>
        <w:rPr>
          <w:rStyle w:val="NormalTok"/>
        </w:rPr>
        <w:t xml:space="preserve">()</w:t>
      </w:r>
      <w:r>
        <w:rPr>
          <w:rStyle w:val="OperatorTok"/>
        </w:rPr>
        <w:t xml:space="preserve">.</w:t>
      </w:r>
      <w:r>
        <w:rPr>
          <w:rStyle w:val="FunctionTok"/>
        </w:rPr>
        <w:t xml:space="preserve">then</w:t>
      </w:r>
      <w:r>
        <w:rPr>
          <w:rStyle w:val="NormalTok"/>
        </w:rPr>
        <w:t xml:space="preserve">(</w:t>
      </w:r>
      <w:r>
        <w:rPr>
          <w:rStyle w:val="KeywordTok"/>
        </w:rPr>
        <w:t xml:space="preserve">function</w:t>
      </w:r>
      <w:r>
        <w:rPr>
          <w:rStyle w:val="NormalTok"/>
        </w:rPr>
        <w:t xml:space="preserve">(data) {</w:t>
      </w:r>
      <w:r>
        <w:br/>
      </w:r>
      <w:r>
        <w:rPr>
          <w:rStyle w:val="NormalTok"/>
        </w:rPr>
        <w:t xml:space="preserve">    Response</w:t>
      </w:r>
      <w:r>
        <w:rPr>
          <w:rStyle w:val="OperatorTok"/>
        </w:rPr>
        <w:t xml:space="preserve">.</w:t>
      </w:r>
      <w:r>
        <w:rPr>
          <w:rStyle w:val="FunctionTok"/>
        </w:rPr>
        <w:t xml:space="preserve">Write</w:t>
      </w:r>
      <w:r>
        <w:rPr>
          <w:rStyle w:val="NormalTok"/>
        </w:rPr>
        <w:t xml:space="preserve">(data)</w:t>
      </w:r>
      <w:r>
        <w:rPr>
          <w:rStyle w:val="OperatorTok"/>
        </w:rPr>
        <w:t xml:space="preserve">;</w:t>
      </w:r>
      <w:r>
        <w:br/>
      </w:r>
      <w:r>
        <w:rPr>
          <w:rStyle w:val="NormalTok"/>
        </w:rPr>
        <w:t xml:space="preserve">})</w:t>
      </w:r>
      <w:r>
        <w:rPr>
          <w:rStyle w:val="OperatorTok"/>
        </w:rPr>
        <w:t xml:space="preserve">;</w:t>
      </w:r>
    </w:p>
    <w:bookmarkEnd w:id="1056"/>
    <w:bookmarkStart w:id="1057" w:name="remarks-75"/>
    <w:p>
      <w:pPr>
        <w:pStyle w:val="Heading3"/>
      </w:pPr>
      <w:r>
        <w:t xml:space="preserve">Remarks</w:t>
      </w:r>
    </w:p>
    <w:p>
      <w:pPr>
        <w:pStyle w:val="Compact"/>
        <w:numPr>
          <w:ilvl w:val="0"/>
          <w:numId w:val="1286"/>
        </w:numPr>
      </w:pPr>
      <w:r>
        <w:rPr>
          <w:rStyle w:val="VerbatimChar"/>
        </w:rPr>
        <w:t xml:space="preserve">async</w:t>
      </w:r>
      <w:r>
        <w:t xml:space="preserve"> </w:t>
      </w:r>
      <w:r>
        <w:t xml:space="preserve">functions return a</w:t>
      </w:r>
      <w:r>
        <w:t xml:space="preserve"> </w:t>
      </w:r>
      <w:r>
        <w:rPr>
          <w:rStyle w:val="VerbatimChar"/>
        </w:rPr>
        <w:t xml:space="preserve">Promise</w:t>
      </w:r>
      <w:r>
        <w:t xml:space="preserve">.</w:t>
      </w:r>
    </w:p>
    <w:p>
      <w:pPr>
        <w:pStyle w:val="Compact"/>
        <w:numPr>
          <w:ilvl w:val="0"/>
          <w:numId w:val="1286"/>
        </w:numPr>
      </w:pPr>
      <w:r>
        <w:rPr>
          <w:rStyle w:val="VerbatimChar"/>
        </w:rPr>
        <w:t xml:space="preserve">await</w:t>
      </w:r>
      <w:r>
        <w:t xml:space="preserve"> </w:t>
      </w:r>
      <w:r>
        <w:t xml:space="preserve">pauses the execution of the async function until the promise is settled.</w:t>
      </w:r>
    </w:p>
    <w:p>
      <w:pPr>
        <w:pStyle w:val="Compact"/>
        <w:numPr>
          <w:ilvl w:val="0"/>
          <w:numId w:val="1286"/>
        </w:numPr>
      </w:pPr>
      <w:r>
        <w:rPr>
          <w:b/>
          <w:bCs/>
        </w:rPr>
        <w:t xml:space="preserve">Synchronous Blocking:</w:t>
      </w:r>
      <w:r>
        <w:t xml:space="preserve"> </w:t>
      </w:r>
      <w:r>
        <w:t xml:space="preserve">In the AxonASP environment,</w:t>
      </w:r>
      <w:r>
        <w:t xml:space="preserve"> </w:t>
      </w:r>
      <w:r>
        <w:rPr>
          <w:rStyle w:val="VerbatimChar"/>
        </w:rPr>
        <w:t xml:space="preserve">await</w:t>
      </w:r>
      <w:r>
        <w:t xml:space="preserve"> </w:t>
      </w:r>
      <w:r>
        <w:t xml:space="preserve">blocks the current request thread while pumping the microtask queue, ensuring predictable execution order for ASP pages.</w:t>
      </w:r>
    </w:p>
    <w:p>
      <w:pPr>
        <w:pStyle w:val="Compact"/>
        <w:numPr>
          <w:ilvl w:val="0"/>
          <w:numId w:val="1286"/>
        </w:numPr>
      </w:pPr>
      <w:r>
        <w:t xml:space="preserve">Standard</w:t>
      </w:r>
      <w:r>
        <w:t xml:space="preserve"> </w:t>
      </w:r>
      <w:r>
        <w:rPr>
          <w:rStyle w:val="VerbatimChar"/>
        </w:rPr>
        <w:t xml:space="preserve">try...catch</w:t>
      </w:r>
      <w:r>
        <w:t xml:space="preserve"> </w:t>
      </w:r>
      <w:r>
        <w:t xml:space="preserve">blocks can be used to handle rejections from awaited promises.</w:t>
      </w:r>
    </w:p>
    <w:bookmarkEnd w:id="1057"/>
    <w:bookmarkStart w:id="1058" w:name="code-example-68"/>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async</w:t>
      </w:r>
      <w:r>
        <w:rPr>
          <w:rStyle w:val="NormalTok"/>
        </w:rPr>
        <w:t xml:space="preserve"> </w:t>
      </w:r>
      <w:r>
        <w:rPr>
          <w:rStyle w:val="KeywordTok"/>
        </w:rPr>
        <w:t xml:space="preserve">function</w:t>
      </w:r>
      <w:r>
        <w:rPr>
          <w:rStyle w:val="NormalTok"/>
        </w:rPr>
        <w:t xml:space="preserve"> </w:t>
      </w:r>
      <w:r>
        <w:rPr>
          <w:rStyle w:val="FunctionTok"/>
        </w:rPr>
        <w:t xml:space="preserve">calculate</w:t>
      </w:r>
      <w:r>
        <w:rPr>
          <w:rStyle w:val="NormalTok"/>
        </w:rPr>
        <w:t xml:space="preserve">(a</w:t>
      </w:r>
      <w:r>
        <w:rPr>
          <w:rStyle w:val="OperatorTok"/>
        </w:rPr>
        <w:t xml:space="preserve">,</w:t>
      </w:r>
      <w:r>
        <w:rPr>
          <w:rStyle w:val="NormalTok"/>
        </w:rPr>
        <w:t xml:space="preserve"> b) {</w:t>
      </w:r>
      <w:r>
        <w:br/>
      </w:r>
      <w:r>
        <w:rPr>
          <w:rStyle w:val="NormalTok"/>
        </w:rPr>
        <w:t xml:space="preserve">    </w:t>
      </w:r>
      <w:r>
        <w:rPr>
          <w:rStyle w:val="KeywordTok"/>
        </w:rPr>
        <w:t xml:space="preserve">var</w:t>
      </w:r>
      <w:r>
        <w:rPr>
          <w:rStyle w:val="NormalTok"/>
        </w:rPr>
        <w:t xml:space="preserve"> val </w:t>
      </w:r>
      <w:r>
        <w:rPr>
          <w:rStyle w:val="OperatorTok"/>
        </w:rPr>
        <w:t xml:space="preserve">=</w:t>
      </w:r>
      <w:r>
        <w:rPr>
          <w:rStyle w:val="NormalTok"/>
        </w:rPr>
        <w:t xml:space="preserve"> </w:t>
      </w:r>
      <w:r>
        <w:rPr>
          <w:rStyle w:val="ControlFlowTok"/>
        </w:rPr>
        <w:t xml:space="preserve">await</w:t>
      </w:r>
      <w:r>
        <w:rPr>
          <w:rStyle w:val="NormalTok"/>
        </w:rPr>
        <w:t xml:space="preserve"> </w:t>
      </w:r>
      <w:r>
        <w:rPr>
          <w:rStyle w:val="BuiltInTok"/>
        </w:rPr>
        <w:t xml:space="preserve">Promise</w:t>
      </w:r>
      <w:r>
        <w:rPr>
          <w:rStyle w:val="OperatorTok"/>
        </w:rPr>
        <w:t xml:space="preserve">.</w:t>
      </w:r>
      <w:r>
        <w:rPr>
          <w:rStyle w:val="FunctionTok"/>
        </w:rPr>
        <w:t xml:space="preserve">resolve</w:t>
      </w:r>
      <w:r>
        <w:rPr>
          <w:rStyle w:val="NormalTok"/>
        </w:rPr>
        <w:t xml:space="preserve">(a </w:t>
      </w:r>
      <w:r>
        <w:rPr>
          <w:rStyle w:val="OperatorTok"/>
        </w:rPr>
        <w:t xml:space="preserve">+</w:t>
      </w:r>
      <w:r>
        <w:rPr>
          <w:rStyle w:val="NormalTok"/>
        </w:rPr>
        <w:t xml:space="preserve"> b)</w:t>
      </w:r>
      <w:r>
        <w:rPr>
          <w:rStyle w:val="OperatorTok"/>
        </w:rPr>
        <w:t xml:space="preserve">;</w:t>
      </w:r>
      <w:r>
        <w:br/>
      </w:r>
      <w:r>
        <w:rPr>
          <w:rStyle w:val="NormalTok"/>
        </w:rPr>
        <w:t xml:space="preserve">    </w:t>
      </w:r>
      <w:r>
        <w:rPr>
          <w:rStyle w:val="ControlFlowTok"/>
        </w:rPr>
        <w:t xml:space="preserve">return</w:t>
      </w:r>
      <w:r>
        <w:rPr>
          <w:rStyle w:val="NormalTok"/>
        </w:rPr>
        <w:t xml:space="preserve"> val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w:t>
      </w:r>
      <w:r>
        <w:br/>
      </w:r>
      <w:r>
        <w:br/>
      </w:r>
      <w:r>
        <w:rPr>
          <w:rStyle w:val="FunctionTok"/>
        </w:rPr>
        <w:t xml:space="preserve">calculate</w:t>
      </w:r>
      <w:r>
        <w:rPr>
          <w:rStyle w:val="NormalTok"/>
        </w:rPr>
        <w:t xml:space="preserve">(</w:t>
      </w:r>
      <w:r>
        <w:rPr>
          <w:rStyle w:val="DecValTok"/>
        </w:rPr>
        <w:t xml:space="preserve">10</w:t>
      </w:r>
      <w:r>
        <w:rPr>
          <w:rStyle w:val="OperatorTok"/>
        </w:rPr>
        <w:t xml:space="preserve">,</w:t>
      </w:r>
      <w:r>
        <w:rPr>
          <w:rStyle w:val="NormalTok"/>
        </w:rPr>
        <w:t xml:space="preserve"> </w:t>
      </w:r>
      <w:r>
        <w:rPr>
          <w:rStyle w:val="DecValTok"/>
        </w:rPr>
        <w:t xml:space="preserve">5</w:t>
      </w:r>
      <w:r>
        <w:rPr>
          <w:rStyle w:val="NormalTok"/>
        </w:rPr>
        <w:t xml:space="preserve">)</w:t>
      </w:r>
      <w:r>
        <w:rPr>
          <w:rStyle w:val="OperatorTok"/>
        </w:rPr>
        <w:t xml:space="preserve">.</w:t>
      </w:r>
      <w:r>
        <w:rPr>
          <w:rStyle w:val="FunctionTok"/>
        </w:rPr>
        <w:t xml:space="preserve">then</w:t>
      </w:r>
      <w:r>
        <w:rPr>
          <w:rStyle w:val="NormalTok"/>
        </w:rPr>
        <w:t xml:space="preserve">(</w:t>
      </w:r>
      <w:r>
        <w:rPr>
          <w:rStyle w:val="KeywordTok"/>
        </w:rPr>
        <w:t xml:space="preserve">function</w:t>
      </w:r>
      <w:r>
        <w:rPr>
          <w:rStyle w:val="NormalTok"/>
        </w:rPr>
        <w:t xml:space="preserve">(result) {</w:t>
      </w:r>
      <w:r>
        <w:br/>
      </w:r>
      <w:r>
        <w:rPr>
          <w:rStyle w:val="NormalTok"/>
        </w:rPr>
        <w:t xml:space="preserve">    Response</w:t>
      </w:r>
      <w:r>
        <w:rPr>
          <w:rStyle w:val="OperatorTok"/>
        </w:rPr>
        <w:t xml:space="preserve">.</w:t>
      </w:r>
      <w:r>
        <w:rPr>
          <w:rStyle w:val="FunctionTok"/>
        </w:rPr>
        <w:t xml:space="preserve">Write</w:t>
      </w:r>
      <w:r>
        <w:rPr>
          <w:rStyle w:val="NormalTok"/>
        </w:rPr>
        <w:t xml:space="preserve">(</w:t>
      </w:r>
      <w:r>
        <w:rPr>
          <w:rStyle w:val="StringTok"/>
        </w:rPr>
        <w:t xml:space="preserve">"Result: "</w:t>
      </w:r>
      <w:r>
        <w:rPr>
          <w:rStyle w:val="NormalTok"/>
        </w:rPr>
        <w:t xml:space="preserve"> </w:t>
      </w:r>
      <w:r>
        <w:rPr>
          <w:rStyle w:val="OperatorTok"/>
        </w:rPr>
        <w:t xml:space="preserve">+</w:t>
      </w:r>
      <w:r>
        <w:rPr>
          <w:rStyle w:val="NormalTok"/>
        </w:rPr>
        <w:t xml:space="preserve"> result)</w:t>
      </w:r>
      <w:r>
        <w:rPr>
          <w:rStyle w:val="OperatorTok"/>
        </w:rPr>
        <w:t xml:space="preserve">;</w:t>
      </w:r>
      <w:r>
        <w:rPr>
          <w:rStyle w:val="NormalTok"/>
        </w:rPr>
        <w:t xml:space="preserve"> </w:t>
      </w:r>
      <w:r>
        <w:rPr>
          <w:rStyle w:val="CommentTok"/>
        </w:rPr>
        <w:t xml:space="preserve">// Output: Result: 30</w:t>
      </w:r>
      <w:r>
        <w:br/>
      </w:r>
      <w:r>
        <w:rPr>
          <w:rStyle w:val="NormalTok"/>
        </w:rPr>
        <w:t xml:space="preserve">})</w:t>
      </w:r>
      <w:r>
        <w:rPr>
          <w:rStyle w:val="OperatorTok"/>
        </w:rPr>
        <w:t xml:space="preserve">;</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58"/>
    <w:bookmarkEnd w:id="1059"/>
    <w:bookmarkStart w:id="1063" w:name="ecmascript-modules-esm"/>
    <w:p>
      <w:pPr>
        <w:pStyle w:val="Heading2"/>
      </w:pPr>
      <w:r>
        <w:t xml:space="preserve">ECMAScript Modules (ESM)</w:t>
      </w:r>
    </w:p>
    <w:bookmarkStart w:id="1060" w:name="syntax-68"/>
    <w:p>
      <w:pPr>
        <w:pStyle w:val="Heading3"/>
      </w:pPr>
      <w:r>
        <w:t xml:space="preserve">Syntax</w:t>
      </w:r>
    </w:p>
    <w:p>
      <w:pPr>
        <w:pStyle w:val="SourceCode"/>
      </w:pPr>
      <w:r>
        <w:rPr>
          <w:rStyle w:val="CommentTok"/>
        </w:rPr>
        <w:t xml:space="preserve">// math.js</w:t>
      </w:r>
      <w:r>
        <w:br/>
      </w:r>
      <w:r>
        <w:rPr>
          <w:rStyle w:val="ImportTok"/>
        </w:rPr>
        <w:t xml:space="preserve">export</w:t>
      </w:r>
      <w:r>
        <w:rPr>
          <w:rStyle w:val="NormalTok"/>
        </w:rPr>
        <w:t xml:space="preserve"> </w:t>
      </w:r>
      <w:r>
        <w:rPr>
          <w:rStyle w:val="KeywordTok"/>
        </w:rPr>
        <w:t xml:space="preserve">const</w:t>
      </w:r>
      <w:r>
        <w:rPr>
          <w:rStyle w:val="NormalTok"/>
        </w:rPr>
        <w:t xml:space="preserve"> </w:t>
      </w:r>
      <w:r>
        <w:rPr>
          <w:rStyle w:val="ConstantTok"/>
        </w:rPr>
        <w:t xml:space="preserve">PI</w:t>
      </w:r>
      <w:r>
        <w:rPr>
          <w:rStyle w:val="NormalTok"/>
        </w:rPr>
        <w:t xml:space="preserve"> </w:t>
      </w:r>
      <w:r>
        <w:rPr>
          <w:rStyle w:val="OperatorTok"/>
        </w:rPr>
        <w:t xml:space="preserve">=</w:t>
      </w:r>
      <w:r>
        <w:rPr>
          <w:rStyle w:val="NormalTok"/>
        </w:rPr>
        <w:t xml:space="preserve"> </w:t>
      </w:r>
      <w:r>
        <w:rPr>
          <w:rStyle w:val="FloatTok"/>
        </w:rPr>
        <w:t xml:space="preserve">3.14159</w:t>
      </w:r>
      <w:r>
        <w:rPr>
          <w:rStyle w:val="OperatorTok"/>
        </w:rPr>
        <w:t xml:space="preserve">;</w:t>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add</w:t>
      </w:r>
      <w:r>
        <w:rPr>
          <w:rStyle w:val="NormalTok"/>
        </w:rPr>
        <w:t xml:space="preserve">(a</w:t>
      </w:r>
      <w:r>
        <w:rPr>
          <w:rStyle w:val="OperatorTok"/>
        </w:rPr>
        <w:t xml:space="preserve">,</w:t>
      </w:r>
      <w:r>
        <w:rPr>
          <w:rStyle w:val="NormalTok"/>
        </w:rPr>
        <w:t xml:space="preserve"> b) { </w:t>
      </w:r>
      <w:r>
        <w:rPr>
          <w:rStyle w:val="ControlFlowTok"/>
        </w:rPr>
        <w:t xml:space="preserve">return</w:t>
      </w:r>
      <w:r>
        <w:rPr>
          <w:rStyle w:val="NormalTok"/>
        </w:rPr>
        <w:t xml:space="preserve"> a </w:t>
      </w:r>
      <w:r>
        <w:rPr>
          <w:rStyle w:val="OperatorTok"/>
        </w:rPr>
        <w:t xml:space="preserve">+</w:t>
      </w:r>
      <w:r>
        <w:rPr>
          <w:rStyle w:val="NormalTok"/>
        </w:rPr>
        <w:t xml:space="preserve"> b</w:t>
      </w:r>
      <w:r>
        <w:rPr>
          <w:rStyle w:val="OperatorTok"/>
        </w:rPr>
        <w:t xml:space="preserve">;</w:t>
      </w:r>
      <w:r>
        <w:rPr>
          <w:rStyle w:val="NormalTok"/>
        </w:rPr>
        <w:t xml:space="preserve"> }</w:t>
      </w:r>
      <w:r>
        <w:br/>
      </w:r>
      <w:r>
        <w:br/>
      </w:r>
      <w:r>
        <w:rPr>
          <w:rStyle w:val="CommentTok"/>
        </w:rPr>
        <w:t xml:space="preserve">// main.asp</w:t>
      </w:r>
      <w:r>
        <w:br/>
      </w:r>
      <w:r>
        <w:rPr>
          <w:rStyle w:val="ImportTok"/>
        </w:rPr>
        <w:t xml:space="preserve">import</w:t>
      </w:r>
      <w:r>
        <w:rPr>
          <w:rStyle w:val="NormalTok"/>
        </w:rPr>
        <w:t xml:space="preserve"> { </w:t>
      </w:r>
      <w:r>
        <w:rPr>
          <w:rStyle w:val="ConstantTok"/>
        </w:rPr>
        <w:t xml:space="preserve">PI</w:t>
      </w:r>
      <w:r>
        <w:rPr>
          <w:rStyle w:val="OperatorTok"/>
        </w:rPr>
        <w:t xml:space="preserve">,</w:t>
      </w:r>
      <w:r>
        <w:rPr>
          <w:rStyle w:val="NormalTok"/>
        </w:rPr>
        <w:t xml:space="preserve"> add } </w:t>
      </w:r>
      <w:r>
        <w:rPr>
          <w:rStyle w:val="ImportTok"/>
        </w:rPr>
        <w:t xml:space="preserve">from</w:t>
      </w:r>
      <w:r>
        <w:rPr>
          <w:rStyle w:val="NormalTok"/>
        </w:rPr>
        <w:t xml:space="preserve"> </w:t>
      </w:r>
      <w:r>
        <w:rPr>
          <w:rStyle w:val="StringTok"/>
        </w:rPr>
        <w:t xml:space="preserve">'./math.js'</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FunctionTok"/>
        </w:rPr>
        <w:t xml:space="preserve">add</w:t>
      </w:r>
      <w:r>
        <w:rPr>
          <w:rStyle w:val="NormalTok"/>
        </w:rPr>
        <w:t xml:space="preserve">(</w:t>
      </w:r>
      <w:r>
        <w:rPr>
          <w:rStyle w:val="ConstantTok"/>
        </w:rPr>
        <w:t xml:space="preserve">PI</w:t>
      </w:r>
      <w:r>
        <w:rPr>
          <w:rStyle w:val="OperatorTok"/>
        </w:rPr>
        <w:t xml:space="preserve">,</w:t>
      </w:r>
      <w:r>
        <w:rPr>
          <w:rStyle w:val="NormalTok"/>
        </w:rPr>
        <w:t xml:space="preserve"> </w:t>
      </w:r>
      <w:r>
        <w:rPr>
          <w:rStyle w:val="DecValTok"/>
        </w:rPr>
        <w:t xml:space="preserve">10</w:t>
      </w:r>
      <w:r>
        <w:rPr>
          <w:rStyle w:val="NormalTok"/>
        </w:rPr>
        <w:t xml:space="preserve">))</w:t>
      </w:r>
      <w:r>
        <w:rPr>
          <w:rStyle w:val="OperatorTok"/>
        </w:rPr>
        <w:t xml:space="preserve">;</w:t>
      </w:r>
    </w:p>
    <w:bookmarkEnd w:id="1060"/>
    <w:bookmarkStart w:id="1061" w:name="remarks-76"/>
    <w:p>
      <w:pPr>
        <w:pStyle w:val="Heading3"/>
      </w:pPr>
      <w:r>
        <w:t xml:space="preserve">Remarks</w:t>
      </w:r>
    </w:p>
    <w:p>
      <w:pPr>
        <w:pStyle w:val="Compact"/>
        <w:numPr>
          <w:ilvl w:val="0"/>
          <w:numId w:val="1287"/>
        </w:numPr>
      </w:pPr>
      <w:r>
        <w:t xml:space="preserve">AxonASP supports ES Modules via the</w:t>
      </w:r>
      <w:r>
        <w:t xml:space="preserve"> </w:t>
      </w:r>
      <w:r>
        <w:rPr>
          <w:rStyle w:val="VerbatimChar"/>
        </w:rPr>
        <w:t xml:space="preserve">import</w:t>
      </w:r>
      <w:r>
        <w:t xml:space="preserve"> </w:t>
      </w:r>
      <w:r>
        <w:t xml:space="preserve">and</w:t>
      </w:r>
      <w:r>
        <w:t xml:space="preserve"> </w:t>
      </w:r>
      <w:r>
        <w:rPr>
          <w:rStyle w:val="VerbatimChar"/>
        </w:rPr>
        <w:t xml:space="preserve">export</w:t>
      </w:r>
      <w:r>
        <w:t xml:space="preserve"> </w:t>
      </w:r>
      <w:r>
        <w:t xml:space="preserve">statements.</w:t>
      </w:r>
    </w:p>
    <w:p>
      <w:pPr>
        <w:pStyle w:val="Compact"/>
        <w:numPr>
          <w:ilvl w:val="0"/>
          <w:numId w:val="1287"/>
        </w:numPr>
      </w:pPr>
      <w:r>
        <w:rPr>
          <w:b/>
          <w:bCs/>
        </w:rPr>
        <w:t xml:space="preserve">Global AST Cache:</w:t>
      </w:r>
      <w:r>
        <w:t xml:space="preserve"> </w:t>
      </w:r>
      <w:r>
        <w:t xml:space="preserve">Modules are read and compiled into AST/Bytecode ONCE globally and shared across all requests.</w:t>
      </w:r>
    </w:p>
    <w:p>
      <w:pPr>
        <w:pStyle w:val="Compact"/>
        <w:numPr>
          <w:ilvl w:val="0"/>
          <w:numId w:val="1287"/>
        </w:numPr>
      </w:pPr>
      <w:r>
        <w:rPr>
          <w:b/>
          <w:bCs/>
        </w:rPr>
        <w:t xml:space="preserve">Request-Local Registry:</w:t>
      </w:r>
      <w:r>
        <w:t xml:space="preserve"> </w:t>
      </w:r>
      <w:r>
        <w:t xml:space="preserve">Each request has its own isolated module execution state. Top-level variables in a module are NOT shared between different users or subsequent requests.</w:t>
      </w:r>
    </w:p>
    <w:p>
      <w:pPr>
        <w:pStyle w:val="Compact"/>
        <w:numPr>
          <w:ilvl w:val="0"/>
          <w:numId w:val="1287"/>
        </w:numPr>
      </w:pPr>
      <w:r>
        <w:rPr>
          <w:b/>
          <w:bCs/>
        </w:rPr>
        <w:t xml:space="preserve">Singleton per Request:</w:t>
      </w:r>
      <w:r>
        <w:t xml:space="preserve"> </w:t>
      </w:r>
      <w:r>
        <w:t xml:space="preserve">A module is executed only once within a single request, even if imported multiple times.</w:t>
      </w:r>
    </w:p>
    <w:p>
      <w:pPr>
        <w:pStyle w:val="Compact"/>
        <w:numPr>
          <w:ilvl w:val="0"/>
          <w:numId w:val="1287"/>
        </w:numPr>
      </w:pPr>
      <w:r>
        <w:rPr>
          <w:b/>
          <w:bCs/>
        </w:rPr>
        <w:t xml:space="preserve">VM Reset:</w:t>
      </w:r>
      <w:r>
        <w:t xml:space="preserve"> </w:t>
      </w:r>
      <w:r>
        <w:t xml:space="preserve">Module instances are automatically cleared at the end of each request to prevent memory leaks and state contamination.</w:t>
      </w:r>
    </w:p>
    <w:p>
      <w:pPr>
        <w:pStyle w:val="Compact"/>
        <w:numPr>
          <w:ilvl w:val="0"/>
          <w:numId w:val="1287"/>
        </w:numPr>
      </w:pPr>
      <w:r>
        <w:rPr>
          <w:b/>
          <w:bCs/>
        </w:rPr>
        <w:t xml:space="preserve">Module Resolution:</w:t>
      </w:r>
      <w:r>
        <w:t xml:space="preserve"> </w:t>
      </w:r>
      <w:r>
        <w:t xml:space="preserve">Imports are resolved relative to the current file path. Absolute paths and standard ASP virtual paths are also supported.</w:t>
      </w:r>
    </w:p>
    <w:bookmarkEnd w:id="1061"/>
    <w:bookmarkStart w:id="1062" w:name="code-example-69"/>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CommentTok"/>
        </w:rPr>
        <w:t xml:space="preserve">// Assume 'config.js' exists with: export const version = "2.0";</w:t>
      </w:r>
      <w:r>
        <w:br/>
      </w:r>
      <w:r>
        <w:rPr>
          <w:rStyle w:val="ImportTok"/>
        </w:rPr>
        <w:t xml:space="preserve">import</w:t>
      </w:r>
      <w:r>
        <w:rPr>
          <w:rStyle w:val="NormalTok"/>
        </w:rPr>
        <w:t xml:space="preserve"> { version } </w:t>
      </w:r>
      <w:r>
        <w:rPr>
          <w:rStyle w:val="ImportTok"/>
        </w:rPr>
        <w:t xml:space="preserve">from</w:t>
      </w:r>
      <w:r>
        <w:rPr>
          <w:rStyle w:val="NormalTok"/>
        </w:rPr>
        <w:t xml:space="preserve"> </w:t>
      </w:r>
      <w:r>
        <w:rPr>
          <w:rStyle w:val="StringTok"/>
        </w:rPr>
        <w:t xml:space="preserve">'./config.js'</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"Application Version: "</w:t>
      </w:r>
      <w:r>
        <w:rPr>
          <w:rStyle w:val="NormalTok"/>
        </w:rPr>
        <w:t xml:space="preserve"> </w:t>
      </w:r>
      <w:r>
        <w:rPr>
          <w:rStyle w:val="OperatorTok"/>
        </w:rPr>
        <w:t xml:space="preserve">+</w:t>
      </w:r>
      <w:r>
        <w:rPr>
          <w:rStyle w:val="NormalTok"/>
        </w:rPr>
        <w:t xml:space="preserve"> version)</w:t>
      </w:r>
      <w:r>
        <w:rPr>
          <w:rStyle w:val="OperatorTok"/>
        </w:rPr>
        <w:t xml:space="preserve">;</w:t>
      </w:r>
      <w:r>
        <w:br/>
      </w:r>
      <w:r>
        <w:rPr>
          <w:rStyle w:val="OperatorTok"/>
        </w:rPr>
        <w:t xml:space="preserve">&lt;/</w:t>
      </w:r>
      <w:r>
        <w:rPr>
          <w:rStyle w:val="NormalTok"/>
        </w:rPr>
        <w:t xml:space="preserve">script</w:t>
      </w:r>
      <w:r>
        <w:rPr>
          <w:rStyle w:val="OperatorTok"/>
        </w:rPr>
        <w:t xml:space="preserve">&gt;</w:t>
      </w:r>
    </w:p>
    <w:bookmarkEnd w:id="1062"/>
    <w:bookmarkEnd w:id="1063"/>
    <w:bookmarkStart w:id="1067" w:name="atomics"/>
    <w:p>
      <w:pPr>
        <w:pStyle w:val="Heading2"/>
      </w:pPr>
      <w:r>
        <w:t xml:space="preserve">Atomics</w:t>
      </w:r>
    </w:p>
    <w:bookmarkStart w:id="1064" w:name="syntax-69"/>
    <w:p>
      <w:pPr>
        <w:pStyle w:val="Heading3"/>
      </w:pPr>
      <w:r>
        <w:t xml:space="preserve">Syntax</w:t>
      </w:r>
    </w:p>
    <w:p>
      <w:pPr>
        <w:pStyle w:val="SourceCode"/>
      </w:pPr>
      <w:r>
        <w:rPr>
          <w:rStyle w:val="BuiltInTok"/>
        </w:rPr>
        <w:t xml:space="preserve">Atomics</w:t>
      </w:r>
      <w:r>
        <w:rPr>
          <w:rStyle w:val="OperatorTok"/>
        </w:rPr>
        <w:t xml:space="preserve">.</w:t>
      </w:r>
      <w:r>
        <w:rPr>
          <w:rStyle w:val="FunctionTok"/>
        </w:rPr>
        <w:t xml:space="preserve">add</w:t>
      </w:r>
      <w:r>
        <w:rPr>
          <w:rStyle w:val="NormalTok"/>
        </w:rPr>
        <w:t xml:space="preserve">(typedArray</w:t>
      </w:r>
      <w:r>
        <w:rPr>
          <w:rStyle w:val="OperatorTok"/>
        </w:rPr>
        <w:t xml:space="preserve">,</w:t>
      </w:r>
      <w:r>
        <w:rPr>
          <w:rStyle w:val="NormalTok"/>
        </w:rPr>
        <w:t xml:space="preserve"> index</w:t>
      </w:r>
      <w:r>
        <w:rPr>
          <w:rStyle w:val="OperatorTok"/>
        </w:rPr>
        <w:t xml:space="preserve">,</w:t>
      </w:r>
      <w:r>
        <w:rPr>
          <w:rStyle w:val="NormalTok"/>
        </w:rPr>
        <w:t xml:space="preserve"> value)</w:t>
      </w:r>
      <w:r>
        <w:br/>
      </w:r>
      <w:r>
        <w:rPr>
          <w:rStyle w:val="BuiltInTok"/>
        </w:rPr>
        <w:t xml:space="preserve">Atomics</w:t>
      </w:r>
      <w:r>
        <w:rPr>
          <w:rStyle w:val="OperatorTok"/>
        </w:rPr>
        <w:t xml:space="preserve">.</w:t>
      </w:r>
      <w:r>
        <w:rPr>
          <w:rStyle w:val="FunctionTok"/>
        </w:rPr>
        <w:t xml:space="preserve">sub</w:t>
      </w:r>
      <w:r>
        <w:rPr>
          <w:rStyle w:val="NormalTok"/>
        </w:rPr>
        <w:t xml:space="preserve">(typedArray</w:t>
      </w:r>
      <w:r>
        <w:rPr>
          <w:rStyle w:val="OperatorTok"/>
        </w:rPr>
        <w:t xml:space="preserve">,</w:t>
      </w:r>
      <w:r>
        <w:rPr>
          <w:rStyle w:val="NormalTok"/>
        </w:rPr>
        <w:t xml:space="preserve"> index</w:t>
      </w:r>
      <w:r>
        <w:rPr>
          <w:rStyle w:val="OperatorTok"/>
        </w:rPr>
        <w:t xml:space="preserve">,</w:t>
      </w:r>
      <w:r>
        <w:rPr>
          <w:rStyle w:val="NormalTok"/>
        </w:rPr>
        <w:t xml:space="preserve"> value)</w:t>
      </w:r>
      <w:r>
        <w:br/>
      </w:r>
      <w:r>
        <w:rPr>
          <w:rStyle w:val="BuiltInTok"/>
        </w:rPr>
        <w:t xml:space="preserve">Atomics</w:t>
      </w:r>
      <w:r>
        <w:rPr>
          <w:rStyle w:val="OperatorTok"/>
        </w:rPr>
        <w:t xml:space="preserve">.</w:t>
      </w:r>
      <w:r>
        <w:rPr>
          <w:rStyle w:val="FunctionTok"/>
        </w:rPr>
        <w:t xml:space="preserve">and</w:t>
      </w:r>
      <w:r>
        <w:rPr>
          <w:rStyle w:val="NormalTok"/>
        </w:rPr>
        <w:t xml:space="preserve">(typedArray</w:t>
      </w:r>
      <w:r>
        <w:rPr>
          <w:rStyle w:val="OperatorTok"/>
        </w:rPr>
        <w:t xml:space="preserve">,</w:t>
      </w:r>
      <w:r>
        <w:rPr>
          <w:rStyle w:val="NormalTok"/>
        </w:rPr>
        <w:t xml:space="preserve"> index</w:t>
      </w:r>
      <w:r>
        <w:rPr>
          <w:rStyle w:val="OperatorTok"/>
        </w:rPr>
        <w:t xml:space="preserve">,</w:t>
      </w:r>
      <w:r>
        <w:rPr>
          <w:rStyle w:val="NormalTok"/>
        </w:rPr>
        <w:t xml:space="preserve"> value)</w:t>
      </w:r>
      <w:r>
        <w:br/>
      </w:r>
      <w:r>
        <w:rPr>
          <w:rStyle w:val="BuiltInTok"/>
        </w:rPr>
        <w:t xml:space="preserve">Atomics</w:t>
      </w:r>
      <w:r>
        <w:rPr>
          <w:rStyle w:val="OperatorTok"/>
        </w:rPr>
        <w:t xml:space="preserve">.</w:t>
      </w:r>
      <w:r>
        <w:rPr>
          <w:rStyle w:val="FunctionTok"/>
        </w:rPr>
        <w:t xml:space="preserve">or</w:t>
      </w:r>
      <w:r>
        <w:rPr>
          <w:rStyle w:val="NormalTok"/>
        </w:rPr>
        <w:t xml:space="preserve">(typedArray</w:t>
      </w:r>
      <w:r>
        <w:rPr>
          <w:rStyle w:val="OperatorTok"/>
        </w:rPr>
        <w:t xml:space="preserve">,</w:t>
      </w:r>
      <w:r>
        <w:rPr>
          <w:rStyle w:val="NormalTok"/>
        </w:rPr>
        <w:t xml:space="preserve"> index</w:t>
      </w:r>
      <w:r>
        <w:rPr>
          <w:rStyle w:val="OperatorTok"/>
        </w:rPr>
        <w:t xml:space="preserve">,</w:t>
      </w:r>
      <w:r>
        <w:rPr>
          <w:rStyle w:val="NormalTok"/>
        </w:rPr>
        <w:t xml:space="preserve"> value)</w:t>
      </w:r>
      <w:r>
        <w:br/>
      </w:r>
      <w:r>
        <w:rPr>
          <w:rStyle w:val="BuiltInTok"/>
        </w:rPr>
        <w:t xml:space="preserve">Atomics</w:t>
      </w:r>
      <w:r>
        <w:rPr>
          <w:rStyle w:val="OperatorTok"/>
        </w:rPr>
        <w:t xml:space="preserve">.</w:t>
      </w:r>
      <w:r>
        <w:rPr>
          <w:rStyle w:val="FunctionTok"/>
        </w:rPr>
        <w:t xml:space="preserve">xor</w:t>
      </w:r>
      <w:r>
        <w:rPr>
          <w:rStyle w:val="NormalTok"/>
        </w:rPr>
        <w:t xml:space="preserve">(typedArray</w:t>
      </w:r>
      <w:r>
        <w:rPr>
          <w:rStyle w:val="OperatorTok"/>
        </w:rPr>
        <w:t xml:space="preserve">,</w:t>
      </w:r>
      <w:r>
        <w:rPr>
          <w:rStyle w:val="NormalTok"/>
        </w:rPr>
        <w:t xml:space="preserve"> index</w:t>
      </w:r>
      <w:r>
        <w:rPr>
          <w:rStyle w:val="OperatorTok"/>
        </w:rPr>
        <w:t xml:space="preserve">,</w:t>
      </w:r>
      <w:r>
        <w:rPr>
          <w:rStyle w:val="NormalTok"/>
        </w:rPr>
        <w:t xml:space="preserve"> value)</w:t>
      </w:r>
      <w:r>
        <w:br/>
      </w:r>
      <w:r>
        <w:rPr>
          <w:rStyle w:val="BuiltInTok"/>
        </w:rPr>
        <w:t xml:space="preserve">Atomics</w:t>
      </w:r>
      <w:r>
        <w:rPr>
          <w:rStyle w:val="OperatorTok"/>
        </w:rPr>
        <w:t xml:space="preserve">.</w:t>
      </w:r>
      <w:r>
        <w:rPr>
          <w:rStyle w:val="FunctionTok"/>
        </w:rPr>
        <w:t xml:space="preserve">load</w:t>
      </w:r>
      <w:r>
        <w:rPr>
          <w:rStyle w:val="NormalTok"/>
        </w:rPr>
        <w:t xml:space="preserve">(typedArray</w:t>
      </w:r>
      <w:r>
        <w:rPr>
          <w:rStyle w:val="OperatorTok"/>
        </w:rPr>
        <w:t xml:space="preserve">,</w:t>
      </w:r>
      <w:r>
        <w:rPr>
          <w:rStyle w:val="NormalTok"/>
        </w:rPr>
        <w:t xml:space="preserve"> index)</w:t>
      </w:r>
      <w:r>
        <w:br/>
      </w:r>
      <w:r>
        <w:rPr>
          <w:rStyle w:val="BuiltInTok"/>
        </w:rPr>
        <w:t xml:space="preserve">Atomics</w:t>
      </w:r>
      <w:r>
        <w:rPr>
          <w:rStyle w:val="OperatorTok"/>
        </w:rPr>
        <w:t xml:space="preserve">.</w:t>
      </w:r>
      <w:r>
        <w:rPr>
          <w:rStyle w:val="FunctionTok"/>
        </w:rPr>
        <w:t xml:space="preserve">store</w:t>
      </w:r>
      <w:r>
        <w:rPr>
          <w:rStyle w:val="NormalTok"/>
        </w:rPr>
        <w:t xml:space="preserve">(typedArray</w:t>
      </w:r>
      <w:r>
        <w:rPr>
          <w:rStyle w:val="OperatorTok"/>
        </w:rPr>
        <w:t xml:space="preserve">,</w:t>
      </w:r>
      <w:r>
        <w:rPr>
          <w:rStyle w:val="NormalTok"/>
        </w:rPr>
        <w:t xml:space="preserve"> index</w:t>
      </w:r>
      <w:r>
        <w:rPr>
          <w:rStyle w:val="OperatorTok"/>
        </w:rPr>
        <w:t xml:space="preserve">,</w:t>
      </w:r>
      <w:r>
        <w:rPr>
          <w:rStyle w:val="NormalTok"/>
        </w:rPr>
        <w:t xml:space="preserve"> value)</w:t>
      </w:r>
      <w:r>
        <w:br/>
      </w:r>
      <w:r>
        <w:rPr>
          <w:rStyle w:val="BuiltInTok"/>
        </w:rPr>
        <w:t xml:space="preserve">Atomics</w:t>
      </w:r>
      <w:r>
        <w:rPr>
          <w:rStyle w:val="OperatorTok"/>
        </w:rPr>
        <w:t xml:space="preserve">.</w:t>
      </w:r>
      <w:r>
        <w:rPr>
          <w:rStyle w:val="FunctionTok"/>
        </w:rPr>
        <w:t xml:space="preserve">exchange</w:t>
      </w:r>
      <w:r>
        <w:rPr>
          <w:rStyle w:val="NormalTok"/>
        </w:rPr>
        <w:t xml:space="preserve">(typedArray</w:t>
      </w:r>
      <w:r>
        <w:rPr>
          <w:rStyle w:val="OperatorTok"/>
        </w:rPr>
        <w:t xml:space="preserve">,</w:t>
      </w:r>
      <w:r>
        <w:rPr>
          <w:rStyle w:val="NormalTok"/>
        </w:rPr>
        <w:t xml:space="preserve"> index</w:t>
      </w:r>
      <w:r>
        <w:rPr>
          <w:rStyle w:val="OperatorTok"/>
        </w:rPr>
        <w:t xml:space="preserve">,</w:t>
      </w:r>
      <w:r>
        <w:rPr>
          <w:rStyle w:val="NormalTok"/>
        </w:rPr>
        <w:t xml:space="preserve"> value)</w:t>
      </w:r>
      <w:r>
        <w:br/>
      </w:r>
      <w:r>
        <w:rPr>
          <w:rStyle w:val="BuiltInTok"/>
        </w:rPr>
        <w:t xml:space="preserve">Atomics</w:t>
      </w:r>
      <w:r>
        <w:rPr>
          <w:rStyle w:val="OperatorTok"/>
        </w:rPr>
        <w:t xml:space="preserve">.</w:t>
      </w:r>
      <w:r>
        <w:rPr>
          <w:rStyle w:val="FunctionTok"/>
        </w:rPr>
        <w:t xml:space="preserve">compareExchange</w:t>
      </w:r>
      <w:r>
        <w:rPr>
          <w:rStyle w:val="NormalTok"/>
        </w:rPr>
        <w:t xml:space="preserve">(typedArray</w:t>
      </w:r>
      <w:r>
        <w:rPr>
          <w:rStyle w:val="OperatorTok"/>
        </w:rPr>
        <w:t xml:space="preserve">,</w:t>
      </w:r>
      <w:r>
        <w:rPr>
          <w:rStyle w:val="NormalTok"/>
        </w:rPr>
        <w:t xml:space="preserve"> index</w:t>
      </w:r>
      <w:r>
        <w:rPr>
          <w:rStyle w:val="OperatorTok"/>
        </w:rPr>
        <w:t xml:space="preserve">,</w:t>
      </w:r>
      <w:r>
        <w:rPr>
          <w:rStyle w:val="NormalTok"/>
        </w:rPr>
        <w:t xml:space="preserve"> expectedValue</w:t>
      </w:r>
      <w:r>
        <w:rPr>
          <w:rStyle w:val="OperatorTok"/>
        </w:rPr>
        <w:t xml:space="preserve">,</w:t>
      </w:r>
      <w:r>
        <w:rPr>
          <w:rStyle w:val="NormalTok"/>
        </w:rPr>
        <w:t xml:space="preserve"> replacementValue)</w:t>
      </w:r>
      <w:r>
        <w:br/>
      </w:r>
      <w:r>
        <w:rPr>
          <w:rStyle w:val="BuiltInTok"/>
        </w:rPr>
        <w:t xml:space="preserve">Atomics</w:t>
      </w:r>
      <w:r>
        <w:rPr>
          <w:rStyle w:val="OperatorTok"/>
        </w:rPr>
        <w:t xml:space="preserve">.</w:t>
      </w:r>
      <w:r>
        <w:rPr>
          <w:rStyle w:val="FunctionTok"/>
        </w:rPr>
        <w:t xml:space="preserve">isLockFree</w:t>
      </w:r>
      <w:r>
        <w:rPr>
          <w:rStyle w:val="NormalTok"/>
        </w:rPr>
        <w:t xml:space="preserve">(size)</w:t>
      </w:r>
    </w:p>
    <w:bookmarkEnd w:id="1064"/>
    <w:bookmarkStart w:id="1065" w:name="remarks-77"/>
    <w:p>
      <w:pPr>
        <w:pStyle w:val="Heading3"/>
      </w:pPr>
      <w:r>
        <w:t xml:space="preserve">Remarks</w:t>
      </w:r>
    </w:p>
    <w:p>
      <w:pPr>
        <w:pStyle w:val="Compact"/>
        <w:numPr>
          <w:ilvl w:val="0"/>
          <w:numId w:val="1288"/>
        </w:numPr>
      </w:pPr>
      <w:r>
        <w:t xml:space="preserve">The</w:t>
      </w:r>
      <w:r>
        <w:t xml:space="preserve"> </w:t>
      </w:r>
      <w:r>
        <w:rPr>
          <w:rStyle w:val="VerbatimChar"/>
        </w:rPr>
        <w:t xml:space="preserve">Atomics</w:t>
      </w:r>
      <w:r>
        <w:t xml:space="preserve"> </w:t>
      </w:r>
      <w:r>
        <w:t xml:space="preserve">object provides atomic operations as static methods. They are used with</w:t>
      </w:r>
      <w:r>
        <w:t xml:space="preserve"> </w:t>
      </w:r>
      <w:r>
        <w:rPr>
          <w:rStyle w:val="VerbatimChar"/>
        </w:rPr>
        <w:t xml:space="preserve">SharedArrayBuffer</w:t>
      </w:r>
      <w:r>
        <w:t xml:space="preserve"> </w:t>
      </w:r>
      <w:r>
        <w:t xml:space="preserve">objects to ensure that concurrent memory accesses are predictable and safe.</w:t>
      </w:r>
    </w:p>
    <w:p>
      <w:pPr>
        <w:pStyle w:val="Compact"/>
        <w:numPr>
          <w:ilvl w:val="0"/>
          <w:numId w:val="1288"/>
        </w:numPr>
      </w:pPr>
      <w:r>
        <w:rPr>
          <w:b/>
          <w:bCs/>
        </w:rPr>
        <w:t xml:space="preserve">Strict Validation:</w:t>
      </w:r>
      <w:r>
        <w:t xml:space="preserve"> </w:t>
      </w:r>
      <w:r>
        <w:t xml:space="preserve">In AxonASP,</w:t>
      </w:r>
      <w:r>
        <w:t xml:space="preserve"> </w:t>
      </w:r>
      <w:r>
        <w:rPr>
          <w:rStyle w:val="VerbatimChar"/>
        </w:rPr>
        <w:t xml:space="preserve">Atomics</w:t>
      </w:r>
      <w:r>
        <w:t xml:space="preserve"> </w:t>
      </w:r>
      <w:r>
        <w:t xml:space="preserve">methods strictly require an integer TypedArray (e.g.,</w:t>
      </w:r>
      <w:r>
        <w:t xml:space="preserve"> </w:t>
      </w:r>
      <w:r>
        <w:rPr>
          <w:rStyle w:val="VerbatimChar"/>
        </w:rPr>
        <w:t xml:space="preserve">Int32Array</w:t>
      </w:r>
      <w:r>
        <w:t xml:space="preserve">,</w:t>
      </w:r>
      <w:r>
        <w:t xml:space="preserve"> </w:t>
      </w:r>
      <w:r>
        <w:rPr>
          <w:rStyle w:val="VerbatimChar"/>
        </w:rPr>
        <w:t xml:space="preserve">Uint8Array</w:t>
      </w:r>
      <w:r>
        <w:t xml:space="preserve">) backed by a</w:t>
      </w:r>
      <w:r>
        <w:t xml:space="preserve"> </w:t>
      </w:r>
      <w:r>
        <w:rPr>
          <w:rStyle w:val="VerbatimChar"/>
        </w:rPr>
        <w:t xml:space="preserve">SharedArrayBuffer</w:t>
      </w:r>
      <w:r>
        <w:t xml:space="preserve">. Using a standard</w:t>
      </w:r>
      <w:r>
        <w:t xml:space="preserve"> </w:t>
      </w:r>
      <w:r>
        <w:rPr>
          <w:rStyle w:val="VerbatimChar"/>
        </w:rPr>
        <w:t xml:space="preserve">ArrayBuffer</w:t>
      </w:r>
      <w:r>
        <w:t xml:space="preserve"> </w:t>
      </w:r>
      <w:r>
        <w:t xml:space="preserve">will throw a</w:t>
      </w:r>
      <w:r>
        <w:t xml:space="preserve"> </w:t>
      </w:r>
      <w:r>
        <w:rPr>
          <w:rStyle w:val="VerbatimChar"/>
        </w:rPr>
        <w:t xml:space="preserve">TypeError</w:t>
      </w:r>
      <w:r>
        <w:t xml:space="preserve">.</w:t>
      </w:r>
    </w:p>
    <w:p>
      <w:pPr>
        <w:pStyle w:val="Compact"/>
        <w:numPr>
          <w:ilvl w:val="0"/>
          <w:numId w:val="1288"/>
        </w:numPr>
      </w:pPr>
      <w:r>
        <w:rPr>
          <w:b/>
          <w:bCs/>
        </w:rPr>
        <w:t xml:space="preserve">Atomic Operations:</w:t>
      </w:r>
      <w:r>
        <w:t xml:space="preserve"> </w:t>
      </w:r>
      <w:r>
        <w:t xml:space="preserve">These operations cannot be interrupted and are performed as a single unit. Even in the single-threaded context of a standard ASP request, they provide the necessary semantics for modern JavaScript libraries.</w:t>
      </w:r>
    </w:p>
    <w:p>
      <w:pPr>
        <w:pStyle w:val="Compact"/>
        <w:numPr>
          <w:ilvl w:val="0"/>
          <w:numId w:val="1288"/>
        </w:numPr>
      </w:pPr>
      <w:r>
        <w:rPr>
          <w:rStyle w:val="VerbatimChar"/>
        </w:rPr>
        <w:t xml:space="preserve">Atomics.isLockFree(size)</w:t>
      </w:r>
      <w:r>
        <w:t xml:space="preserve"> </w:t>
      </w:r>
      <w:r>
        <w:t xml:space="preserve">returns</w:t>
      </w:r>
      <w:r>
        <w:t xml:space="preserve"> </w:t>
      </w:r>
      <w:r>
        <w:rPr>
          <w:rStyle w:val="VerbatimChar"/>
        </w:rPr>
        <w:t xml:space="preserve">true</w:t>
      </w:r>
      <w:r>
        <w:t xml:space="preserve"> </w:t>
      </w:r>
      <w:r>
        <w:t xml:space="preserve">for sizes 1, 2, 4, and 8, indicating that these operations are performed natively and efficiently by the CPU.</w:t>
      </w:r>
    </w:p>
    <w:bookmarkEnd w:id="1065"/>
    <w:bookmarkStart w:id="1066" w:name="code-example-70"/>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sab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SharedArrayBuffer</w:t>
      </w:r>
      <w:r>
        <w:rPr>
          <w:rStyle w:val="NormalTok"/>
        </w:rPr>
        <w:t xml:space="preserve">(</w:t>
      </w:r>
      <w:r>
        <w:rPr>
          <w:rStyle w:val="DecValTok"/>
        </w:rPr>
        <w:t xml:space="preserve">1024</w:t>
      </w:r>
      <w:r>
        <w:rPr>
          <w:rStyle w:val="NormalTok"/>
        </w:rPr>
        <w:t xml:space="preserve">)</w:t>
      </w:r>
      <w:r>
        <w:rPr>
          <w:rStyle w:val="OperatorTok"/>
        </w:rPr>
        <w:t xml:space="preserve">;</w:t>
      </w:r>
      <w:r>
        <w:br/>
      </w:r>
      <w:r>
        <w:rPr>
          <w:rStyle w:val="KeywordTok"/>
        </w:rPr>
        <w:t xml:space="preserve">var</w:t>
      </w:r>
      <w:r>
        <w:rPr>
          <w:rStyle w:val="NormalTok"/>
        </w:rPr>
        <w:t xml:space="preserve"> u32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Uint32Array</w:t>
      </w:r>
      <w:r>
        <w:rPr>
          <w:rStyle w:val="NormalTok"/>
        </w:rPr>
        <w:t xml:space="preserve">(sab)</w:t>
      </w:r>
      <w:r>
        <w:rPr>
          <w:rStyle w:val="OperatorTok"/>
        </w:rPr>
        <w:t xml:space="preserve">;</w:t>
      </w:r>
      <w:r>
        <w:br/>
      </w:r>
      <w:r>
        <w:br/>
      </w:r>
      <w:r>
        <w:rPr>
          <w:rStyle w:val="BuiltInTok"/>
        </w:rPr>
        <w:t xml:space="preserve">Atomics</w:t>
      </w:r>
      <w:r>
        <w:rPr>
          <w:rStyle w:val="OperatorTok"/>
        </w:rPr>
        <w:t xml:space="preserve">.</w:t>
      </w:r>
      <w:r>
        <w:rPr>
          <w:rStyle w:val="FunctionTok"/>
        </w:rPr>
        <w:t xml:space="preserve">store</w:t>
      </w:r>
      <w:r>
        <w:rPr>
          <w:rStyle w:val="NormalTok"/>
        </w:rPr>
        <w:t xml:space="preserve">(u32</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DecValTok"/>
        </w:rPr>
        <w:t xml:space="preserve">100</w:t>
      </w:r>
      <w:r>
        <w:rPr>
          <w:rStyle w:val="NormalTok"/>
        </w:rPr>
        <w:t xml:space="preserve">)</w:t>
      </w:r>
      <w:r>
        <w:rPr>
          <w:rStyle w:val="OperatorTok"/>
        </w:rPr>
        <w:t xml:space="preserve">;</w:t>
      </w:r>
      <w:r>
        <w:br/>
      </w:r>
      <w:r>
        <w:rPr>
          <w:rStyle w:val="KeywordTok"/>
        </w:rPr>
        <w:t xml:space="preserve">var</w:t>
      </w:r>
      <w:r>
        <w:rPr>
          <w:rStyle w:val="NormalTok"/>
        </w:rPr>
        <w:t xml:space="preserve"> old </w:t>
      </w:r>
      <w:r>
        <w:rPr>
          <w:rStyle w:val="OperatorTok"/>
        </w:rPr>
        <w:t xml:space="preserve">=</w:t>
      </w:r>
      <w:r>
        <w:rPr>
          <w:rStyle w:val="NormalTok"/>
        </w:rPr>
        <w:t xml:space="preserve"> </w:t>
      </w:r>
      <w:r>
        <w:rPr>
          <w:rStyle w:val="BuiltInTok"/>
        </w:rPr>
        <w:t xml:space="preserve">Atomics</w:t>
      </w:r>
      <w:r>
        <w:rPr>
          <w:rStyle w:val="OperatorTok"/>
        </w:rPr>
        <w:t xml:space="preserve">.</w:t>
      </w:r>
      <w:r>
        <w:rPr>
          <w:rStyle w:val="FunctionTok"/>
        </w:rPr>
        <w:t xml:space="preserve">add</w:t>
      </w:r>
      <w:r>
        <w:rPr>
          <w:rStyle w:val="NormalTok"/>
        </w:rPr>
        <w:t xml:space="preserve">(u32</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DecValTok"/>
        </w:rPr>
        <w:t xml:space="preserve">50</w:t>
      </w:r>
      <w:r>
        <w:rPr>
          <w:rStyle w:val="NormalTok"/>
        </w:rPr>
        <w:t xml:space="preserve">)</w:t>
      </w:r>
      <w:r>
        <w:rPr>
          <w:rStyle w:val="OperatorTok"/>
        </w:rPr>
        <w:t xml:space="preserve">;</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"Old: "</w:t>
      </w:r>
      <w:r>
        <w:rPr>
          <w:rStyle w:val="NormalTok"/>
        </w:rPr>
        <w:t xml:space="preserve"> </w:t>
      </w:r>
      <w:r>
        <w:rPr>
          <w:rStyle w:val="OperatorTok"/>
        </w:rPr>
        <w:t xml:space="preserve">+</w:t>
      </w:r>
      <w:r>
        <w:rPr>
          <w:rStyle w:val="NormalTok"/>
        </w:rPr>
        <w:t xml:space="preserve"> old </w:t>
      </w:r>
      <w:r>
        <w:rPr>
          <w:rStyle w:val="OperatorTok"/>
        </w:rPr>
        <w:t xml:space="preserve">+</w:t>
      </w:r>
      <w:r>
        <w:rPr>
          <w:rStyle w:val="NormalTok"/>
        </w:rPr>
        <w:t xml:space="preserve"> </w:t>
      </w:r>
      <w:r>
        <w:rPr>
          <w:rStyle w:val="StringTok"/>
        </w:rPr>
        <w:t xml:space="preserve">", New: "</w:t>
      </w:r>
      <w:r>
        <w:rPr>
          <w:rStyle w:val="NormalTok"/>
        </w:rPr>
        <w:t xml:space="preserve"> </w:t>
      </w:r>
      <w:r>
        <w:rPr>
          <w:rStyle w:val="OperatorTok"/>
        </w:rPr>
        <w:t xml:space="preserve">+</w:t>
      </w:r>
      <w:r>
        <w:rPr>
          <w:rStyle w:val="NormalTok"/>
        </w:rPr>
        <w:t xml:space="preserve"> </w:t>
      </w:r>
      <w:r>
        <w:rPr>
          <w:rStyle w:val="BuiltInTok"/>
        </w:rPr>
        <w:t xml:space="preserve">Atomics</w:t>
      </w:r>
      <w:r>
        <w:rPr>
          <w:rStyle w:val="OperatorTok"/>
        </w:rPr>
        <w:t xml:space="preserve">.</w:t>
      </w:r>
      <w:r>
        <w:rPr>
          <w:rStyle w:val="FunctionTok"/>
        </w:rPr>
        <w:t xml:space="preserve">load</w:t>
      </w:r>
      <w:r>
        <w:rPr>
          <w:rStyle w:val="NormalTok"/>
        </w:rPr>
        <w:t xml:space="preserve">(u32</w:t>
      </w:r>
      <w:r>
        <w:rPr>
          <w:rStyle w:val="OperatorTok"/>
        </w:rPr>
        <w:t xml:space="preserve">,</w:t>
      </w:r>
      <w:r>
        <w:rPr>
          <w:rStyle w:val="NormalTok"/>
        </w:rPr>
        <w:t xml:space="preserve"> </w:t>
      </w:r>
      <w:r>
        <w:rPr>
          <w:rStyle w:val="DecValTok"/>
        </w:rPr>
        <w:t xml:space="preserve">0</w:t>
      </w:r>
      <w:r>
        <w:rPr>
          <w:rStyle w:val="NormalTok"/>
        </w:rPr>
        <w:t xml:space="preserve">))</w:t>
      </w:r>
      <w:r>
        <w:rPr>
          <w:rStyle w:val="OperatorTok"/>
        </w:rPr>
        <w:t xml:space="preserve">;</w:t>
      </w:r>
      <w:r>
        <w:br/>
      </w:r>
      <w:r>
        <w:rPr>
          <w:rStyle w:val="CommentTok"/>
        </w:rPr>
        <w:t xml:space="preserve">// Output: Old: 100, New: 150</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66"/>
    <w:bookmarkEnd w:id="1067"/>
    <w:bookmarkStart w:id="1071" w:name="sharedarraybuffer"/>
    <w:p>
      <w:pPr>
        <w:pStyle w:val="Heading2"/>
      </w:pPr>
      <w:r>
        <w:t xml:space="preserve">SharedArrayBuffer</w:t>
      </w:r>
    </w:p>
    <w:bookmarkStart w:id="1068" w:name="syntax-70"/>
    <w:p>
      <w:pPr>
        <w:pStyle w:val="Heading3"/>
      </w:pPr>
      <w:r>
        <w:t xml:space="preserve">Syntax</w:t>
      </w:r>
    </w:p>
    <w:p>
      <w:pPr>
        <w:pStyle w:val="SourceCode"/>
      </w:pPr>
      <w:r>
        <w:rPr>
          <w:rStyle w:val="KeywordTok"/>
        </w:rPr>
        <w:t xml:space="preserve">var</w:t>
      </w:r>
      <w:r>
        <w:rPr>
          <w:rStyle w:val="NormalTok"/>
        </w:rPr>
        <w:t xml:space="preserve"> sab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SharedArrayBuffer</w:t>
      </w:r>
      <w:r>
        <w:rPr>
          <w:rStyle w:val="NormalTok"/>
        </w:rPr>
        <w:t xml:space="preserve">(byteLength)</w:t>
      </w:r>
      <w:r>
        <w:rPr>
          <w:rStyle w:val="OperatorTok"/>
        </w:rPr>
        <w:t xml:space="preserve">;</w:t>
      </w:r>
    </w:p>
    <w:bookmarkEnd w:id="1068"/>
    <w:bookmarkStart w:id="1069" w:name="remarks-78"/>
    <w:p>
      <w:pPr>
        <w:pStyle w:val="Heading3"/>
      </w:pPr>
      <w:r>
        <w:t xml:space="preserve">Remarks</w:t>
      </w:r>
    </w:p>
    <w:p>
      <w:pPr>
        <w:pStyle w:val="Compact"/>
        <w:numPr>
          <w:ilvl w:val="0"/>
          <w:numId w:val="1289"/>
        </w:numPr>
      </w:pPr>
      <w:r>
        <w:rPr>
          <w:rStyle w:val="VerbatimChar"/>
        </w:rPr>
        <w:t xml:space="preserve">SharedArrayBuffer</w:t>
      </w:r>
      <w:r>
        <w:t xml:space="preserve"> </w:t>
      </w:r>
      <w:r>
        <w:t xml:space="preserve">represents a generic, fixed-length raw binary data buffer, similar to</w:t>
      </w:r>
      <w:r>
        <w:t xml:space="preserve"> </w:t>
      </w:r>
      <w:r>
        <w:rPr>
          <w:rStyle w:val="VerbatimChar"/>
        </w:rPr>
        <w:t xml:space="preserve">ArrayBuffer</w:t>
      </w:r>
      <w:r>
        <w:t xml:space="preserve">.</w:t>
      </w:r>
    </w:p>
    <w:p>
      <w:pPr>
        <w:pStyle w:val="Compact"/>
        <w:numPr>
          <w:ilvl w:val="0"/>
          <w:numId w:val="1289"/>
        </w:numPr>
      </w:pPr>
      <w:r>
        <w:t xml:space="preserve">Unlike</w:t>
      </w:r>
      <w:r>
        <w:t xml:space="preserve"> </w:t>
      </w:r>
      <w:r>
        <w:rPr>
          <w:rStyle w:val="VerbatimChar"/>
        </w:rPr>
        <w:t xml:space="preserve">ArrayBuffer</w:t>
      </w:r>
      <w:r>
        <w:t xml:space="preserve">, a</w:t>
      </w:r>
      <w:r>
        <w:t xml:space="preserve"> </w:t>
      </w:r>
      <w:r>
        <w:rPr>
          <w:rStyle w:val="VerbatimChar"/>
        </w:rPr>
        <w:t xml:space="preserve">SharedArrayBuffer</w:t>
      </w:r>
      <w:r>
        <w:t xml:space="preserve"> </w:t>
      </w:r>
      <w:r>
        <w:t xml:space="preserve">cannot be detached and its memory can be shared across multiple agents (workers).</w:t>
      </w:r>
    </w:p>
    <w:p>
      <w:pPr>
        <w:pStyle w:val="Compact"/>
        <w:numPr>
          <w:ilvl w:val="0"/>
          <w:numId w:val="1289"/>
        </w:numPr>
      </w:pPr>
      <w:r>
        <w:t xml:space="preserve">In the AxonASP single-threaded VM context,</w:t>
      </w:r>
      <w:r>
        <w:t xml:space="preserve"> </w:t>
      </w:r>
      <w:r>
        <w:rPr>
          <w:rStyle w:val="VerbatimChar"/>
        </w:rPr>
        <w:t xml:space="preserve">SharedArrayBuffer</w:t>
      </w:r>
      <w:r>
        <w:t xml:space="preserve"> </w:t>
      </w:r>
      <w:r>
        <w:t xml:space="preserve">behaves identically to</w:t>
      </w:r>
      <w:r>
        <w:t xml:space="preserve"> </w:t>
      </w:r>
      <w:r>
        <w:rPr>
          <w:rStyle w:val="VerbatimChar"/>
        </w:rPr>
        <w:t xml:space="preserve">ArrayBuffer</w:t>
      </w:r>
      <w:r>
        <w:t xml:space="preserve"> </w:t>
      </w:r>
      <w:r>
        <w:t xml:space="preserve">but provides the necessary API compatibility for modern libraries and prepares the engine for future multi-agent support.</w:t>
      </w:r>
    </w:p>
    <w:p>
      <w:pPr>
        <w:pStyle w:val="Compact"/>
        <w:numPr>
          <w:ilvl w:val="0"/>
          <w:numId w:val="1289"/>
        </w:numPr>
      </w:pPr>
      <w:r>
        <w:rPr>
          <w:rStyle w:val="VerbatimChar"/>
        </w:rPr>
        <w:t xml:space="preserve">SharedArrayBuffer</w:t>
      </w:r>
      <w:r>
        <w:t xml:space="preserve"> </w:t>
      </w:r>
      <w:r>
        <w:t xml:space="preserve">objects can be used as the backing store for any TypedArray or</w:t>
      </w:r>
      <w:r>
        <w:t xml:space="preserve"> </w:t>
      </w:r>
      <w:r>
        <w:rPr>
          <w:rStyle w:val="VerbatimChar"/>
        </w:rPr>
        <w:t xml:space="preserve">DataView</w:t>
      </w:r>
      <w:r>
        <w:t xml:space="preserve">.</w:t>
      </w:r>
    </w:p>
    <w:bookmarkEnd w:id="1069"/>
    <w:bookmarkStart w:id="1070" w:name="code-example-71"/>
    <w:p>
      <w:pPr>
        <w:pStyle w:val="Heading3"/>
      </w:pPr>
      <w:r>
        <w:t xml:space="preserve">Code Example</w:t>
      </w:r>
    </w:p>
    <w:p>
      <w:pPr>
        <w:pStyle w:val="SourceCode"/>
      </w:pPr>
      <w:r>
        <w:rPr>
          <w:rStyle w:val="OperatorTok"/>
        </w:rPr>
        <w:t xml:space="preserve">&lt;</w:t>
      </w:r>
      <w:r>
        <w:rPr>
          <w:rStyle w:val="NormalTok"/>
        </w:rPr>
        <w:t xml:space="preserve">script runat</w:t>
      </w:r>
      <w:r>
        <w:rPr>
          <w:rStyle w:val="OperatorTok"/>
        </w:rPr>
        <w:t xml:space="preserve">=</w:t>
      </w:r>
      <w:r>
        <w:rPr>
          <w:rStyle w:val="StringTok"/>
        </w:rPr>
        <w:t xml:space="preserve">"server"</w:t>
      </w:r>
      <w:r>
        <w:rPr>
          <w:rStyle w:val="NormalTok"/>
        </w:rPr>
        <w:t xml:space="preserve"> language</w:t>
      </w:r>
      <w:r>
        <w:rPr>
          <w:rStyle w:val="OperatorTok"/>
        </w:rPr>
        <w:t xml:space="preserve">=</w:t>
      </w:r>
      <w:r>
        <w:rPr>
          <w:rStyle w:val="StringTok"/>
        </w:rPr>
        <w:t xml:space="preserve">"JScript"</w:t>
      </w:r>
      <w:r>
        <w:rPr>
          <w:rStyle w:val="OperatorTok"/>
        </w:rPr>
        <w:t xml:space="preserve">&gt;</w:t>
      </w:r>
      <w:r>
        <w:br/>
      </w:r>
      <w:r>
        <w:rPr>
          <w:rStyle w:val="KeywordTok"/>
        </w:rPr>
        <w:t xml:space="preserve">var</w:t>
      </w:r>
      <w:r>
        <w:rPr>
          <w:rStyle w:val="NormalTok"/>
        </w:rPr>
        <w:t xml:space="preserve"> sab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SharedArrayBuffer</w:t>
      </w:r>
      <w:r>
        <w:rPr>
          <w:rStyle w:val="NormalTok"/>
        </w:rPr>
        <w:t xml:space="preserve">(</w:t>
      </w:r>
      <w:r>
        <w:rPr>
          <w:rStyle w:val="DecValTok"/>
        </w:rPr>
        <w:t xml:space="preserve">1024</w:t>
      </w:r>
      <w:r>
        <w:rPr>
          <w:rStyle w:val="NormalTok"/>
        </w:rPr>
        <w:t xml:space="preserve">)</w:t>
      </w:r>
      <w:r>
        <w:rPr>
          <w:rStyle w:val="OperatorTok"/>
        </w:rPr>
        <w:t xml:space="preserve">;</w:t>
      </w:r>
      <w:r>
        <w:br/>
      </w:r>
      <w:r>
        <w:rPr>
          <w:rStyle w:val="KeywordTok"/>
        </w:rPr>
        <w:t xml:space="preserve">var</w:t>
      </w:r>
      <w:r>
        <w:rPr>
          <w:rStyle w:val="NormalTok"/>
        </w:rPr>
        <w:t xml:space="preserve"> u8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Uint8Array</w:t>
      </w:r>
      <w:r>
        <w:rPr>
          <w:rStyle w:val="NormalTok"/>
        </w:rPr>
        <w:t xml:space="preserve">(sab)</w:t>
      </w:r>
      <w:r>
        <w:rPr>
          <w:rStyle w:val="OperatorTok"/>
        </w:rPr>
        <w:t xml:space="preserve">;</w:t>
      </w:r>
      <w:r>
        <w:br/>
      </w:r>
      <w:r>
        <w:rPr>
          <w:rStyle w:val="NormalTok"/>
        </w:rPr>
        <w:t xml:space="preserve">u8[</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42</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"Value: "</w:t>
      </w:r>
      <w:r>
        <w:rPr>
          <w:rStyle w:val="NormalTok"/>
        </w:rPr>
        <w:t xml:space="preserve"> </w:t>
      </w:r>
      <w:r>
        <w:rPr>
          <w:rStyle w:val="OperatorTok"/>
        </w:rPr>
        <w:t xml:space="preserve">+</w:t>
      </w:r>
      <w:r>
        <w:rPr>
          <w:rStyle w:val="NormalTok"/>
        </w:rPr>
        <w:t xml:space="preserve"> u8[</w:t>
      </w:r>
      <w:r>
        <w:rPr>
          <w:rStyle w:val="DecValTok"/>
        </w:rPr>
        <w:t xml:space="preserve">0</w:t>
      </w:r>
      <w:r>
        <w:rPr>
          <w:rStyle w:val="NormalTok"/>
        </w:rPr>
        <w:t xml:space="preserve">] </w:t>
      </w:r>
      <w:r>
        <w:rPr>
          <w:rStyle w:val="OperatorTok"/>
        </w:rPr>
        <w:t xml:space="preserve">+</w:t>
      </w:r>
      <w:r>
        <w:rPr>
          <w:rStyle w:val="NormalTok"/>
        </w:rPr>
        <w:t xml:space="preserve"> </w:t>
      </w:r>
      <w:r>
        <w:rPr>
          <w:rStyle w:val="StringTok"/>
        </w:rPr>
        <w:t xml:space="preserve">", Length: "</w:t>
      </w:r>
      <w:r>
        <w:rPr>
          <w:rStyle w:val="NormalTok"/>
        </w:rPr>
        <w:t xml:space="preserve"> </w:t>
      </w:r>
      <w:r>
        <w:rPr>
          <w:rStyle w:val="OperatorTok"/>
        </w:rPr>
        <w:t xml:space="preserve">+</w:t>
      </w:r>
      <w:r>
        <w:rPr>
          <w:rStyle w:val="NormalTok"/>
        </w:rPr>
        <w:t xml:space="preserve"> sab</w:t>
      </w:r>
      <w:r>
        <w:rPr>
          <w:rStyle w:val="OperatorTok"/>
        </w:rPr>
        <w:t xml:space="preserve">.</w:t>
      </w:r>
      <w:r>
        <w:rPr>
          <w:rStyle w:val="AttributeTok"/>
        </w:rPr>
        <w:t xml:space="preserve">byteLength</w:t>
      </w:r>
      <w:r>
        <w:rPr>
          <w:rStyle w:val="NormalTok"/>
        </w:rPr>
        <w:t xml:space="preserve">)</w:t>
      </w:r>
      <w:r>
        <w:rPr>
          <w:rStyle w:val="OperatorTok"/>
        </w:rPr>
        <w:t xml:space="preserve">;</w:t>
      </w:r>
      <w:r>
        <w:br/>
      </w:r>
      <w:r>
        <w:rPr>
          <w:rStyle w:val="CommentTok"/>
        </w:rPr>
        <w:t xml:space="preserve">// Output: Value: 42, Length: 1024</w:t>
      </w:r>
      <w:r>
        <w:br/>
      </w:r>
      <w:r>
        <w:rPr>
          <w:rStyle w:val="OperatorTok"/>
        </w:rPr>
        <w:t xml:space="preserve">&lt;/</w:t>
      </w:r>
      <w:r>
        <w:rPr>
          <w:rStyle w:val="NormalTok"/>
        </w:rPr>
        <w:t xml:space="preserve">script</w:t>
      </w:r>
      <w:r>
        <w:rPr>
          <w:rStyle w:val="OperatorTok"/>
        </w:rPr>
        <w:t xml:space="preserve">&gt;</w:t>
      </w:r>
    </w:p>
    <w:p>
      <w:r>
        <w:pict>
          <v:rect style="width:0;height:1.5pt" o:hralign="center" o:hrstd="t" o:hr="t"/>
        </w:pict>
      </w:r>
    </w:p>
    <w:bookmarkEnd w:id="1070"/>
    <w:bookmarkEnd w:id="1071"/>
    <w:bookmarkEnd w:id="1072"/>
    <w:bookmarkStart w:id="1073" w:name="libraries"/>
    <w:p>
      <w:pPr>
        <w:pStyle w:val="Heading1"/>
      </w:pPr>
      <w:r>
        <w:t xml:space="preserve">Libraries</w:t>
      </w:r>
    </w:p>
    <w:bookmarkEnd w:id="1073"/>
    <w:bookmarkStart w:id="1083" w:name="use-g3pix-axonasp-library-objects"/>
    <w:p>
      <w:pPr>
        <w:pStyle w:val="Heading1"/>
      </w:pPr>
      <w:r>
        <w:t xml:space="preserve">Use G3Pix AxonASP Library Objects</w:t>
      </w:r>
    </w:p>
    <w:bookmarkStart w:id="1074" w:name="overview-52"/>
    <w:p>
      <w:pPr>
        <w:pStyle w:val="Heading2"/>
      </w:pPr>
      <w:r>
        <w:t xml:space="preserve">Overview</w:t>
      </w:r>
    </w:p>
    <w:p>
      <w:pPr>
        <w:pStyle w:val="FirstParagraph"/>
      </w:pPr>
      <w:r>
        <w:t xml:space="preserve">Use this page as a quick reference for object creation through</w:t>
      </w:r>
      <w:r>
        <w:t xml:space="preserve"> </w:t>
      </w:r>
      <w:r>
        <w:rPr>
          <w:rStyle w:val="VerbatimChar"/>
        </w:rPr>
        <w:t xml:space="preserve">Server.CreateObject</w:t>
      </w:r>
      <w:r>
        <w:t xml:space="preserve"> </w:t>
      </w:r>
      <w:r>
        <w:t xml:space="preserve">in G3Pix AxonASP. It summarizes supported primary ProgIDs and common compatibility aliases.</w:t>
      </w:r>
    </w:p>
    <w:bookmarkEnd w:id="1074"/>
    <w:bookmarkStart w:id="1075" w:name="prerequisites-12"/>
    <w:p>
      <w:pPr>
        <w:pStyle w:val="Heading2"/>
      </w:pPr>
      <w:r>
        <w:t xml:space="preserve">Prerequisites</w:t>
      </w:r>
    </w:p>
    <w:p>
      <w:pPr>
        <w:pStyle w:val="Compact"/>
        <w:numPr>
          <w:ilvl w:val="0"/>
          <w:numId w:val="1290"/>
        </w:numPr>
      </w:pPr>
      <w:r>
        <w:t xml:space="preserve">Run code inside a Classic ASP page hosted by G3Pix AxonASP.</w:t>
      </w:r>
    </w:p>
    <w:p>
      <w:pPr>
        <w:pStyle w:val="Compact"/>
        <w:numPr>
          <w:ilvl w:val="0"/>
          <w:numId w:val="1290"/>
        </w:numPr>
      </w:pPr>
      <w:r>
        <w:t xml:space="preserve">Use</w:t>
      </w:r>
      <w:r>
        <w:t xml:space="preserve"> </w:t>
      </w:r>
      <w:r>
        <w:rPr>
          <w:rStyle w:val="VerbatimChar"/>
        </w:rPr>
        <w:t xml:space="preserve">Server.CreateObject("ProgID")</w:t>
      </w:r>
      <w:r>
        <w:t xml:space="preserve"> </w:t>
      </w:r>
      <w:r>
        <w:t xml:space="preserve">with a supported ProgID string.</w:t>
      </w:r>
    </w:p>
    <w:bookmarkEnd w:id="1075"/>
    <w:bookmarkStart w:id="1076" w:name="syntax-71"/>
    <w:p>
      <w:pPr>
        <w:pStyle w:val="Heading2"/>
      </w:pPr>
      <w:r>
        <w:t xml:space="preserve">Syntax</w:t>
      </w:r>
    </w:p>
    <w:p>
      <w:pPr>
        <w:pStyle w:val="SourceCode"/>
      </w:pPr>
      <w:r>
        <w:rPr>
          <w:rStyle w:val="NormalTok"/>
        </w:rPr>
        <w:t xml:space="preserve">Set obj = Server.CreateObject("ProgID")</w:t>
      </w:r>
    </w:p>
    <w:bookmarkEnd w:id="1076"/>
    <w:bookmarkStart w:id="1077" w:name="object-creation-summary"/>
    <w:p>
      <w:pPr>
        <w:pStyle w:val="Heading2"/>
      </w:pPr>
      <w:r>
        <w:t xml:space="preserve">Object Creation Summary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Category</w:t>
            </w:r>
          </w:p>
        </w:tc>
        <w:tc>
          <w:tcPr/>
          <w:p>
            <w:pPr>
              <w:pStyle w:val="Compact"/>
            </w:pPr>
            <w:r>
              <w:t xml:space="preserve">Primary ProgID</w:t>
            </w:r>
          </w:p>
        </w:tc>
        <w:tc>
          <w:tcPr/>
          <w:p>
            <w:pPr>
              <w:pStyle w:val="Compact"/>
            </w:pPr>
            <w:r>
              <w:t xml:space="preserve">Compatibility Aliases</w:t>
            </w:r>
          </w:p>
        </w:tc>
      </w:tr>
      <w:tr>
        <w:tc>
          <w:tcPr/>
          <w:p>
            <w:pPr>
              <w:pStyle w:val="Compact"/>
            </w:pPr>
            <w:r>
              <w:t xml:space="preserve">Core functions</w:t>
            </w:r>
          </w:p>
        </w:tc>
        <w:tc>
          <w:tcPr/>
          <w:p>
            <w:pPr>
              <w:pStyle w:val="Compact"/>
            </w:pPr>
            <w:r>
              <w:rPr>
                <w:rStyle w:val="VerbatimChar"/>
              </w:rPr>
              <w:t xml:space="preserve">G3AXON.FUNCTIONS</w:t>
            </w:r>
          </w:p>
        </w:tc>
        <w:tc>
          <w:tcPr/>
          <w:p>
            <w:pPr>
              <w:pStyle w:val="Compact"/>
            </w:pPr>
            <w:r>
              <w:rPr>
                <w:rStyle w:val="VerbatimChar"/>
              </w:rPr>
              <w:t xml:space="preserve">G3AXON</w:t>
            </w:r>
          </w:p>
        </w:tc>
      </w:tr>
      <w:tr>
        <w:tc>
          <w:tcPr/>
          <w:p>
            <w:pPr>
              <w:pStyle w:val="Compact"/>
            </w:pPr>
            <w:r>
              <w:t xml:space="preserve">Markdown</w:t>
            </w:r>
          </w:p>
        </w:tc>
        <w:tc>
          <w:tcPr/>
          <w:p>
            <w:pPr>
              <w:pStyle w:val="Compact"/>
            </w:pPr>
            <w:r>
              <w:rPr>
                <w:rStyle w:val="VerbatimChar"/>
              </w:rPr>
              <w:t xml:space="preserve">G3MD</w:t>
            </w:r>
          </w:p>
        </w:tc>
        <w:tc>
          <w:tcPr/>
          <w:p>
            <w:pPr>
              <w:pStyle w:val="Compact"/>
            </w:pPr>
            <w:r>
              <w:t xml:space="preserve">None</w:t>
            </w:r>
          </w:p>
        </w:tc>
      </w:tr>
      <w:tr>
        <w:tc>
          <w:tcPr/>
          <w:p>
            <w:pPr>
              <w:pStyle w:val="Compact"/>
            </w:pPr>
            <w:r>
              <w:t xml:space="preserve">String builder</w:t>
            </w:r>
          </w:p>
        </w:tc>
        <w:tc>
          <w:tcPr/>
          <w:p>
            <w:pPr>
              <w:pStyle w:val="Compact"/>
            </w:pPr>
            <w:r>
              <w:rPr>
                <w:rStyle w:val="VerbatimChar"/>
              </w:rPr>
              <w:t xml:space="preserve">G3STRINGBUILDER</w:t>
            </w:r>
          </w:p>
        </w:tc>
        <w:tc>
          <w:tcPr/>
          <w:p>
            <w:pPr>
              <w:pStyle w:val="Compact"/>
            </w:pPr>
            <w:r>
              <w:t xml:space="preserve">None</w:t>
            </w:r>
          </w:p>
        </w:tc>
      </w:tr>
      <w:tr>
        <w:tc>
          <w:tcPr/>
          <w:p>
            <w:pPr>
              <w:pStyle w:val="Compact"/>
            </w:pPr>
            <w:r>
              <w:t xml:space="preserve">Crypto</w:t>
            </w:r>
          </w:p>
        </w:tc>
        <w:tc>
          <w:tcPr/>
          <w:p>
            <w:pPr>
              <w:pStyle w:val="Compact"/>
            </w:pPr>
            <w:r>
              <w:rPr>
                <w:rStyle w:val="VerbatimChar"/>
              </w:rPr>
              <w:t xml:space="preserve">G3CRYPTO</w:t>
            </w:r>
          </w:p>
        </w:tc>
        <w:tc>
          <w:tcPr/>
          <w:p>
            <w:pPr>
              <w:pStyle w:val="Compact"/>
            </w:pPr>
            <w:r>
              <w:t xml:space="preserve">None</w:t>
            </w:r>
          </w:p>
        </w:tc>
      </w:tr>
      <w:tr>
        <w:tc>
          <w:tcPr/>
          <w:p>
            <w:pPr>
              <w:pStyle w:val="Compact"/>
            </w:pPr>
            <w:r>
              <w:t xml:space="preserve">JSON</w:t>
            </w:r>
          </w:p>
        </w:tc>
        <w:tc>
          <w:tcPr/>
          <w:p>
            <w:pPr>
              <w:pStyle w:val="Compact"/>
            </w:pPr>
            <w:r>
              <w:rPr>
                <w:rStyle w:val="VerbatimChar"/>
              </w:rPr>
              <w:t xml:space="preserve">G3JSON</w:t>
            </w:r>
          </w:p>
        </w:tc>
        <w:tc>
          <w:tcPr/>
          <w:p>
            <w:pPr>
              <w:pStyle w:val="Compact"/>
            </w:pPr>
            <w:r>
              <w:t xml:space="preserve">None</w:t>
            </w:r>
          </w:p>
        </w:tc>
      </w:tr>
      <w:tr>
        <w:tc>
          <w:tcPr/>
          <w:p>
            <w:pPr>
              <w:pStyle w:val="Compact"/>
            </w:pPr>
            <w:r>
              <w:t xml:space="preserve">Database helper</w:t>
            </w:r>
          </w:p>
        </w:tc>
        <w:tc>
          <w:tcPr/>
          <w:p>
            <w:pPr>
              <w:pStyle w:val="Compact"/>
            </w:pPr>
            <w:r>
              <w:rPr>
                <w:rStyle w:val="VerbatimChar"/>
              </w:rPr>
              <w:t xml:space="preserve">G3DB</w:t>
            </w:r>
          </w:p>
        </w:tc>
        <w:tc>
          <w:tcPr/>
          <w:p>
            <w:pPr>
              <w:pStyle w:val="Compact"/>
            </w:pPr>
            <w:r>
              <w:t xml:space="preserve">None</w:t>
            </w:r>
          </w:p>
        </w:tc>
      </w:tr>
      <w:tr>
        <w:tc>
          <w:tcPr/>
          <w:p>
            <w:pPr>
              <w:pStyle w:val="Compact"/>
            </w:pPr>
            <w:r>
              <w:t xml:space="preserve">HTTP helper</w:t>
            </w:r>
          </w:p>
        </w:tc>
        <w:tc>
          <w:tcPr/>
          <w:p>
            <w:pPr>
              <w:pStyle w:val="Compact"/>
            </w:pPr>
            <w:r>
              <w:rPr>
                <w:rStyle w:val="VerbatimChar"/>
              </w:rPr>
              <w:t xml:space="preserve">G3HTTP</w:t>
            </w:r>
          </w:p>
        </w:tc>
        <w:tc>
          <w:tcPr/>
          <w:p>
            <w:pPr>
              <w:pStyle w:val="Compact"/>
            </w:pPr>
            <w:r>
              <w:t xml:space="preserve">None</w:t>
            </w:r>
          </w:p>
        </w:tc>
      </w:tr>
      <w:tr>
        <w:tc>
          <w:tcPr/>
          <w:p>
            <w:pPr>
              <w:pStyle w:val="Compact"/>
            </w:pPr>
            <w:r>
              <w:t xml:space="preserve">Mail</w:t>
            </w:r>
          </w:p>
        </w:tc>
        <w:tc>
          <w:tcPr/>
          <w:p>
            <w:pPr>
              <w:pStyle w:val="Compact"/>
            </w:pPr>
            <w:r>
              <w:rPr>
                <w:rStyle w:val="VerbatimChar"/>
              </w:rPr>
              <w:t xml:space="preserve">G3MAIL</w:t>
            </w:r>
          </w:p>
        </w:tc>
        <w:tc>
          <w:tcPr/>
          <w:p>
            <w:pPr>
              <w:pStyle w:val="Compact"/>
            </w:pPr>
            <w:r>
              <w:rPr>
                <w:rStyle w:val="VerbatimChar"/>
              </w:rPr>
              <w:t xml:space="preserve">CDONTS.NewMail</w:t>
            </w:r>
            <w:r>
              <w:t xml:space="preserve">,</w:t>
            </w:r>
            <w:r>
              <w:t xml:space="preserve"> </w:t>
            </w:r>
            <w:r>
              <w:rPr>
                <w:rStyle w:val="VerbatimChar"/>
              </w:rPr>
              <w:t xml:space="preserve">CDO.Message</w:t>
            </w:r>
            <w:r>
              <w:t xml:space="preserve">,</w:t>
            </w:r>
            <w:r>
              <w:t xml:space="preserve"> </w:t>
            </w:r>
            <w:r>
              <w:rPr>
                <w:rStyle w:val="VerbatimChar"/>
              </w:rPr>
              <w:t xml:space="preserve">Persits.MailSender</w:t>
            </w:r>
          </w:p>
        </w:tc>
      </w:tr>
      <w:tr>
        <w:tc>
          <w:tcPr/>
          <w:p>
            <w:pPr>
              <w:pStyle w:val="Compact"/>
            </w:pPr>
            <w:r>
              <w:t xml:space="preserve">Image</w:t>
            </w:r>
          </w:p>
        </w:tc>
        <w:tc>
          <w:tcPr/>
          <w:p>
            <w:pPr>
              <w:pStyle w:val="Compact"/>
            </w:pPr>
            <w:r>
              <w:rPr>
                <w:rStyle w:val="VerbatimChar"/>
              </w:rPr>
              <w:t xml:space="preserve">G3IMAGE</w:t>
            </w:r>
          </w:p>
        </w:tc>
        <w:tc>
          <w:tcPr/>
          <w:p>
            <w:pPr>
              <w:pStyle w:val="Compact"/>
            </w:pPr>
            <w:r>
              <w:t xml:space="preserve">None</w:t>
            </w:r>
          </w:p>
        </w:tc>
      </w:tr>
      <w:tr>
        <w:tc>
          <w:tcPr/>
          <w:p>
            <w:pPr>
              <w:pStyle w:val="Compact"/>
            </w:pPr>
            <w:r>
              <w:t xml:space="preserve">File helper</w:t>
            </w:r>
          </w:p>
        </w:tc>
        <w:tc>
          <w:tcPr/>
          <w:p>
            <w:pPr>
              <w:pStyle w:val="Compact"/>
            </w:pPr>
            <w:r>
              <w:rPr>
                <w:rStyle w:val="VerbatimChar"/>
              </w:rPr>
              <w:t xml:space="preserve">G3FILES</w:t>
            </w:r>
          </w:p>
        </w:tc>
        <w:tc>
          <w:tcPr/>
          <w:p>
            <w:pPr>
              <w:pStyle w:val="Compact"/>
            </w:pPr>
            <w:r>
              <w:t xml:space="preserve">None</w:t>
            </w:r>
          </w:p>
        </w:tc>
      </w:tr>
      <w:tr>
        <w:tc>
          <w:tcPr/>
          <w:p>
            <w:pPr>
              <w:pStyle w:val="Compact"/>
            </w:pPr>
            <w:r>
              <w:t xml:space="preserve">Template</w:t>
            </w:r>
          </w:p>
        </w:tc>
        <w:tc>
          <w:tcPr/>
          <w:p>
            <w:pPr>
              <w:pStyle w:val="Compact"/>
            </w:pPr>
            <w:r>
              <w:rPr>
                <w:rStyle w:val="VerbatimChar"/>
              </w:rPr>
              <w:t xml:space="preserve">G3TEMPLATE</w:t>
            </w:r>
          </w:p>
        </w:tc>
        <w:tc>
          <w:tcPr/>
          <w:p>
            <w:pPr>
              <w:pStyle w:val="Compact"/>
            </w:pPr>
            <w:r>
              <w:t xml:space="preserve">None</w:t>
            </w:r>
          </w:p>
        </w:tc>
      </w:tr>
      <w:tr>
        <w:tc>
          <w:tcPr/>
          <w:p>
            <w:pPr>
              <w:pStyle w:val="Compact"/>
            </w:pPr>
            <w:r>
              <w:t xml:space="preserve">Archive and compression</w:t>
            </w:r>
          </w:p>
        </w:tc>
        <w:tc>
          <w:tcPr/>
          <w:p>
            <w:pPr>
              <w:pStyle w:val="Compact"/>
            </w:pPr>
            <w:r>
              <w:rPr>
                <w:rStyle w:val="VerbatimChar"/>
              </w:rPr>
              <w:t xml:space="preserve">G3ZIP</w:t>
            </w:r>
            <w:r>
              <w:t xml:space="preserve">,</w:t>
            </w:r>
            <w:r>
              <w:t xml:space="preserve"> </w:t>
            </w:r>
            <w:r>
              <w:rPr>
                <w:rStyle w:val="VerbatimChar"/>
              </w:rPr>
              <w:t xml:space="preserve">G3ZLIB</w:t>
            </w:r>
            <w:r>
              <w:t xml:space="preserve">,</w:t>
            </w:r>
            <w:r>
              <w:t xml:space="preserve"> </w:t>
            </w:r>
            <w:r>
              <w:rPr>
                <w:rStyle w:val="VerbatimChar"/>
              </w:rPr>
              <w:t xml:space="preserve">G3TAR</w:t>
            </w:r>
            <w:r>
              <w:t xml:space="preserve">,</w:t>
            </w:r>
            <w:r>
              <w:t xml:space="preserve"> </w:t>
            </w:r>
            <w:r>
              <w:rPr>
                <w:rStyle w:val="VerbatimChar"/>
              </w:rPr>
              <w:t xml:space="preserve">G3ZSTD</w:t>
            </w:r>
            <w:r>
              <w:t xml:space="preserve">,</w:t>
            </w:r>
            <w:r>
              <w:t xml:space="preserve"> </w:t>
            </w:r>
            <w:r>
              <w:rPr>
                <w:rStyle w:val="VerbatimChar"/>
              </w:rPr>
              <w:t xml:space="preserve">G3FC</w:t>
            </w:r>
          </w:p>
        </w:tc>
        <w:tc>
          <w:tcPr/>
          <w:p>
            <w:pPr>
              <w:pStyle w:val="Compact"/>
            </w:pPr>
            <w:r>
              <w:t xml:space="preserve">None</w:t>
            </w:r>
          </w:p>
        </w:tc>
      </w:tr>
      <w:tr>
        <w:tc>
          <w:tcPr/>
          <w:p>
            <w:pPr>
              <w:pStyle w:val="Compact"/>
            </w:pPr>
            <w:r>
              <w:t xml:space="preserve">PDF</w:t>
            </w:r>
          </w:p>
        </w:tc>
        <w:tc>
          <w:tcPr/>
          <w:p>
            <w:pPr>
              <w:pStyle w:val="Compact"/>
            </w:pPr>
            <w:r>
              <w:rPr>
                <w:rStyle w:val="VerbatimChar"/>
              </w:rPr>
              <w:t xml:space="preserve">G3PDF</w:t>
            </w:r>
          </w:p>
        </w:tc>
        <w:tc>
          <w:tcPr/>
          <w:p>
            <w:pPr>
              <w:pStyle w:val="Compact"/>
            </w:pPr>
            <w:r>
              <w:t xml:space="preserve">None</w:t>
            </w:r>
          </w:p>
        </w:tc>
      </w:tr>
      <w:tr>
        <w:tc>
          <w:tcPr/>
          <w:p>
            <w:pPr>
              <w:pStyle w:val="Compact"/>
            </w:pPr>
            <w:r>
              <w:t xml:space="preserve">Upload</w:t>
            </w:r>
          </w:p>
        </w:tc>
        <w:tc>
          <w:tcPr/>
          <w:p>
            <w:pPr>
              <w:pStyle w:val="Compact"/>
            </w:pPr>
            <w:r>
              <w:rPr>
                <w:rStyle w:val="VerbatimChar"/>
              </w:rPr>
              <w:t xml:space="preserve">G3FILEUPLOADER</w:t>
            </w:r>
          </w:p>
        </w:tc>
        <w:tc>
          <w:tcPr/>
          <w:p>
            <w:pPr>
              <w:pStyle w:val="Compact"/>
            </w:pPr>
            <w:r>
              <w:t xml:space="preserve">None</w:t>
            </w:r>
          </w:p>
        </w:tc>
      </w:tr>
      <w:tr>
        <w:tc>
          <w:tcPr/>
          <w:p>
            <w:pPr>
              <w:pStyle w:val="Compact"/>
            </w:pPr>
            <w:r>
              <w:t xml:space="preserve">Shell</w:t>
            </w:r>
          </w:p>
        </w:tc>
        <w:tc>
          <w:tcPr/>
          <w:p>
            <w:pPr>
              <w:pStyle w:val="Compact"/>
            </w:pPr>
            <w:r>
              <w:rPr>
                <w:rStyle w:val="VerbatimChar"/>
              </w:rPr>
              <w:t xml:space="preserve">WSCRIPT.SHELL</w:t>
            </w:r>
          </w:p>
        </w:tc>
        <w:tc>
          <w:tcPr/>
          <w:p>
            <w:pPr>
              <w:pStyle w:val="Compact"/>
            </w:pPr>
            <w:r>
              <w:rPr>
                <w:rStyle w:val="VerbatimChar"/>
              </w:rPr>
              <w:t xml:space="preserve">Shell</w:t>
            </w:r>
          </w:p>
        </w:tc>
      </w:tr>
      <w:tr>
        <w:tc>
          <w:tcPr/>
          <w:p>
            <w:pPr>
              <w:pStyle w:val="Compact"/>
            </w:pPr>
            <w:r>
              <w:t xml:space="preserve">ADOX</w:t>
            </w:r>
          </w:p>
        </w:tc>
        <w:tc>
          <w:tcPr/>
          <w:p>
            <w:pPr>
              <w:pStyle w:val="Compact"/>
            </w:pPr>
            <w:r>
              <w:rPr>
                <w:rStyle w:val="VerbatimChar"/>
              </w:rPr>
              <w:t xml:space="preserve">ADOX.CATALOG</w:t>
            </w:r>
          </w:p>
        </w:tc>
        <w:tc>
          <w:tcPr/>
          <w:p>
            <w:pPr>
              <w:pStyle w:val="Compact"/>
            </w:pPr>
            <w:r>
              <w:t xml:space="preserve">None</w:t>
            </w:r>
          </w:p>
        </w:tc>
      </w:tr>
      <w:tr>
        <w:tc>
          <w:tcPr/>
          <w:p>
            <w:pPr>
              <w:pStyle w:val="Compact"/>
            </w:pPr>
            <w:r>
              <w:t xml:space="preserve">ADODB</w:t>
            </w:r>
          </w:p>
        </w:tc>
        <w:tc>
          <w:tcPr/>
          <w:p>
            <w:pPr>
              <w:pStyle w:val="Compact"/>
            </w:pPr>
            <w:r>
              <w:rPr>
                <w:rStyle w:val="VerbatimChar"/>
              </w:rPr>
              <w:t xml:space="preserve">ADODB.CONNECTION</w:t>
            </w:r>
            <w:r>
              <w:t xml:space="preserve">,</w:t>
            </w:r>
            <w:r>
              <w:t xml:space="preserve"> </w:t>
            </w:r>
            <w:r>
              <w:rPr>
                <w:rStyle w:val="VerbatimChar"/>
              </w:rPr>
              <w:t xml:space="preserve">ADODB.RECORDSET</w:t>
            </w:r>
            <w:r>
              <w:t xml:space="preserve">,</w:t>
            </w:r>
            <w:r>
              <w:t xml:space="preserve"> </w:t>
            </w:r>
            <w:r>
              <w:rPr>
                <w:rStyle w:val="VerbatimChar"/>
              </w:rPr>
              <w:t xml:space="preserve">ADODB.COMMAND</w:t>
            </w:r>
            <w:r>
              <w:t xml:space="preserve">,</w:t>
            </w:r>
            <w:r>
              <w:t xml:space="preserve"> </w:t>
            </w:r>
            <w:r>
              <w:rPr>
                <w:rStyle w:val="VerbatimChar"/>
              </w:rPr>
              <w:t xml:space="preserve">ADODB.STREAM</w:t>
            </w:r>
            <w:r>
              <w:t xml:space="preserve">,</w:t>
            </w:r>
            <w:r>
              <w:t xml:space="preserve"> </w:t>
            </w:r>
            <w:r>
              <w:rPr>
                <w:rStyle w:val="VerbatimChar"/>
              </w:rPr>
              <w:t xml:space="preserve">ADODBOLE.CONNECTION</w:t>
            </w:r>
          </w:p>
        </w:tc>
        <w:tc>
          <w:tcPr/>
          <w:p>
            <w:pPr>
              <w:pStyle w:val="Compact"/>
            </w:pPr>
            <w:r>
              <w:t xml:space="preserve">None</w:t>
            </w:r>
          </w:p>
        </w:tc>
      </w:tr>
      <w:tr>
        <w:tc>
          <w:tcPr/>
          <w:p>
            <w:pPr>
              <w:pStyle w:val="Compact"/>
            </w:pPr>
            <w:r>
              <w:t xml:space="preserve">Scripting runtime</w:t>
            </w:r>
          </w:p>
        </w:tc>
        <w:tc>
          <w:tcPr/>
          <w:p>
            <w:pPr>
              <w:pStyle w:val="Compact"/>
            </w:pPr>
            <w:r>
              <w:rPr>
                <w:rStyle w:val="VerbatimChar"/>
              </w:rPr>
              <w:t xml:space="preserve">SCRIPTING.FILESYSTEMOBJECT</w:t>
            </w:r>
            <w:r>
              <w:t xml:space="preserve">,</w:t>
            </w:r>
            <w:r>
              <w:t xml:space="preserve"> </w:t>
            </w:r>
            <w:r>
              <w:rPr>
                <w:rStyle w:val="VerbatimChar"/>
              </w:rPr>
              <w:t xml:space="preserve">SCRIPTING.DICTIONARY</w:t>
            </w:r>
          </w:p>
        </w:tc>
        <w:tc>
          <w:tcPr/>
          <w:p>
            <w:pPr>
              <w:pStyle w:val="Compact"/>
            </w:pPr>
            <w:r>
              <w:t xml:space="preserve">None</w:t>
            </w:r>
          </w:p>
        </w:tc>
      </w:tr>
      <w:tr>
        <w:tc>
          <w:tcPr/>
          <w:p>
            <w:pPr>
              <w:pStyle w:val="Compact"/>
            </w:pPr>
            <w:r>
              <w:t xml:space="preserve">XML HTTP</w:t>
            </w:r>
          </w:p>
        </w:tc>
        <w:tc>
          <w:tcPr/>
          <w:p>
            <w:pPr>
              <w:pStyle w:val="Compact"/>
            </w:pPr>
            <w:r>
              <w:rPr>
                <w:rStyle w:val="VerbatimChar"/>
              </w:rPr>
              <w:t xml:space="preserve">MSXML2.SERVERXMLHTTP</w:t>
            </w:r>
          </w:p>
        </w:tc>
        <w:tc>
          <w:tcPr/>
          <w:p>
            <w:pPr>
              <w:pStyle w:val="Compact"/>
            </w:pPr>
            <w:r>
              <w:rPr>
                <w:rStyle w:val="VerbatimChar"/>
              </w:rPr>
              <w:t xml:space="preserve">MSXML2.XMLHTTP</w:t>
            </w:r>
            <w:r>
              <w:t xml:space="preserve">,</w:t>
            </w:r>
            <w:r>
              <w:t xml:space="preserve"> </w:t>
            </w:r>
            <w:r>
              <w:rPr>
                <w:rStyle w:val="VerbatimChar"/>
              </w:rPr>
              <w:t xml:space="preserve">MICROSOFT.XMLHTTP</w:t>
            </w:r>
          </w:p>
        </w:tc>
      </w:tr>
      <w:tr>
        <w:tc>
          <w:tcPr/>
          <w:p>
            <w:pPr>
              <w:pStyle w:val="Compact"/>
            </w:pPr>
            <w:r>
              <w:t xml:space="preserve">XML DOM</w:t>
            </w:r>
          </w:p>
        </w:tc>
        <w:tc>
          <w:tcPr/>
          <w:p>
            <w:pPr>
              <w:pStyle w:val="Compact"/>
            </w:pPr>
            <w:r>
              <w:rPr>
                <w:rStyle w:val="VerbatimChar"/>
              </w:rPr>
              <w:t xml:space="preserve">MSXML2.DOMDOCUMENT</w:t>
            </w:r>
          </w:p>
        </w:tc>
        <w:tc>
          <w:tcPr/>
          <w:p>
            <w:pPr>
              <w:pStyle w:val="Compact"/>
            </w:pPr>
            <w:r>
              <w:rPr>
                <w:rStyle w:val="VerbatimChar"/>
              </w:rPr>
              <w:t xml:space="preserve">MICROSOFT.XMLDOM</w:t>
            </w:r>
          </w:p>
        </w:tc>
      </w:tr>
      <w:tr>
        <w:tc>
          <w:tcPr/>
          <w:p>
            <w:pPr>
              <w:pStyle w:val="Compact"/>
            </w:pPr>
            <w:r>
              <w:t xml:space="preserve">MSWC compatibility</w:t>
            </w:r>
          </w:p>
        </w:tc>
        <w:tc>
          <w:tcPr/>
          <w:p>
            <w:pPr>
              <w:pStyle w:val="Compact"/>
            </w:pPr>
            <w:r>
              <w:rPr>
                <w:rStyle w:val="VerbatimChar"/>
              </w:rPr>
              <w:t xml:space="preserve">MSWC.ADROTATOR</w:t>
            </w:r>
            <w:r>
              <w:t xml:space="preserve">,</w:t>
            </w:r>
            <w:r>
              <w:t xml:space="preserve"> </w:t>
            </w:r>
            <w:r>
              <w:rPr>
                <w:rStyle w:val="VerbatimChar"/>
              </w:rPr>
              <w:t xml:space="preserve">MSWC.BROWSERTYPE</w:t>
            </w:r>
            <w:r>
              <w:t xml:space="preserve">,</w:t>
            </w:r>
            <w:r>
              <w:t xml:space="preserve"> </w:t>
            </w:r>
            <w:r>
              <w:rPr>
                <w:rStyle w:val="VerbatimChar"/>
              </w:rPr>
              <w:t xml:space="preserve">MSWC.NEXTLINK</w:t>
            </w:r>
            <w:r>
              <w:t xml:space="preserve">,</w:t>
            </w:r>
            <w:r>
              <w:t xml:space="preserve"> </w:t>
            </w:r>
            <w:r>
              <w:rPr>
                <w:rStyle w:val="VerbatimChar"/>
              </w:rPr>
              <w:t xml:space="preserve">MSWC.CONTENTROTATOR</w:t>
            </w:r>
            <w:r>
              <w:t xml:space="preserve">,</w:t>
            </w:r>
            <w:r>
              <w:t xml:space="preserve"> </w:t>
            </w:r>
            <w:r>
              <w:rPr>
                <w:rStyle w:val="VerbatimChar"/>
              </w:rPr>
              <w:t xml:space="preserve">MSWC.COUNTERS</w:t>
            </w:r>
            <w:r>
              <w:t xml:space="preserve">,</w:t>
            </w:r>
            <w:r>
              <w:t xml:space="preserve"> </w:t>
            </w:r>
            <w:r>
              <w:rPr>
                <w:rStyle w:val="VerbatimChar"/>
              </w:rPr>
              <w:t xml:space="preserve">MSWC.PAGECOUNTER</w:t>
            </w:r>
            <w:r>
              <w:t xml:space="preserve">,</w:t>
            </w:r>
            <w:r>
              <w:t xml:space="preserve"> </w:t>
            </w:r>
            <w:r>
              <w:rPr>
                <w:rStyle w:val="VerbatimChar"/>
              </w:rPr>
              <w:t xml:space="preserve">MSWC.TOOLS</w:t>
            </w:r>
            <w:r>
              <w:t xml:space="preserve">,</w:t>
            </w:r>
            <w:r>
              <w:t xml:space="preserve"> </w:t>
            </w:r>
            <w:r>
              <w:rPr>
                <w:rStyle w:val="VerbatimChar"/>
              </w:rPr>
              <w:t xml:space="preserve">MSWC.MYINFO</w:t>
            </w:r>
            <w:r>
              <w:t xml:space="preserve">,</w:t>
            </w:r>
            <w:r>
              <w:t xml:space="preserve"> </w:t>
            </w:r>
            <w:r>
              <w:rPr>
                <w:rStyle w:val="VerbatimChar"/>
              </w:rPr>
              <w:t xml:space="preserve">MSWC.PERMISSIONCHECKER</w:t>
            </w:r>
          </w:p>
        </w:tc>
        <w:tc>
          <w:tcPr/>
          <w:p>
            <w:pPr>
              <w:pStyle w:val="Compact"/>
            </w:pPr>
            <w:r>
              <w:t xml:space="preserve">None</w:t>
            </w:r>
          </w:p>
        </w:tc>
      </w:tr>
      <w:tr>
        <w:tc>
          <w:tcPr/>
          <w:p>
            <w:pPr>
              <w:pStyle w:val="Compact"/>
            </w:pPr>
            <w:r>
              <w:t xml:space="preserve">RegExp</w:t>
            </w:r>
          </w:p>
        </w:tc>
        <w:tc>
          <w:tcPr/>
          <w:p>
            <w:pPr>
              <w:pStyle w:val="Compact"/>
            </w:pPr>
            <w:r>
              <w:rPr>
                <w:rStyle w:val="VerbatimChar"/>
              </w:rPr>
              <w:t xml:space="preserve">VBSCRIPT.REGEXP</w:t>
            </w:r>
          </w:p>
        </w:tc>
        <w:tc>
          <w:tcPr/>
          <w:p>
            <w:pPr>
              <w:pStyle w:val="Compact"/>
            </w:pPr>
            <w:r>
              <w:rPr>
                <w:rStyle w:val="VerbatimChar"/>
              </w:rPr>
              <w:t xml:space="preserve">REGEXP</w:t>
            </w:r>
          </w:p>
        </w:tc>
      </w:tr>
    </w:tbl>
    <w:bookmarkEnd w:id="1077"/>
    <w:bookmarkStart w:id="1078" w:name="return-value-15"/>
    <w:p>
      <w:pPr>
        <w:pStyle w:val="Heading2"/>
      </w:pPr>
      <w:r>
        <w:t xml:space="preserve">Return Value</w:t>
      </w:r>
    </w:p>
    <w:p>
      <w:pPr>
        <w:pStyle w:val="FirstParagraph"/>
      </w:pPr>
      <w:r>
        <w:rPr>
          <w:rStyle w:val="VerbatimChar"/>
        </w:rPr>
        <w:t xml:space="preserve">Server.CreateObject</w:t>
      </w:r>
      <w:r>
        <w:t xml:space="preserve"> </w:t>
      </w:r>
      <w:r>
        <w:t xml:space="preserve">returns an object handle bound to the native G3Pix AxonASP implementation for the resolved ProgID.</w:t>
      </w:r>
    </w:p>
    <w:bookmarkEnd w:id="1078"/>
    <w:bookmarkStart w:id="1079" w:name="remarks-79"/>
    <w:p>
      <w:pPr>
        <w:pStyle w:val="Heading2"/>
      </w:pPr>
      <w:r>
        <w:t xml:space="preserve">Remarks</w:t>
      </w:r>
    </w:p>
    <w:p>
      <w:pPr>
        <w:pStyle w:val="Compact"/>
        <w:numPr>
          <w:ilvl w:val="0"/>
          <w:numId w:val="1291"/>
        </w:numPr>
      </w:pPr>
      <w:r>
        <w:rPr>
          <w:b/>
          <w:bCs/>
        </w:rPr>
        <w:t xml:space="preserve">Object creation is case-insensitive for supported ProgIDs.</w:t>
      </w:r>
    </w:p>
    <w:p>
      <w:pPr>
        <w:pStyle w:val="Compact"/>
        <w:numPr>
          <w:ilvl w:val="0"/>
          <w:numId w:val="1291"/>
        </w:numPr>
      </w:pPr>
      <w:r>
        <w:rPr>
          <w:b/>
          <w:bCs/>
        </w:rPr>
        <w:t xml:space="preserve">Unsupported ProgIDs fall through to host-level CreateObject handling.</w:t>
      </w:r>
    </w:p>
    <w:p>
      <w:pPr>
        <w:pStyle w:val="Compact"/>
        <w:numPr>
          <w:ilvl w:val="0"/>
          <w:numId w:val="1291"/>
        </w:numPr>
      </w:pPr>
      <w:r>
        <w:rPr>
          <w:b/>
          <w:bCs/>
        </w:rPr>
        <w:t xml:space="preserve">Compatibility aliases are mapped to native AxonASP implementations where available.</w:t>
      </w:r>
    </w:p>
    <w:bookmarkEnd w:id="1079"/>
    <w:bookmarkStart w:id="1080" w:name="code-example-7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db</w:t>
      </w:r>
      <w:r>
        <w:rPr>
          <w:rStyle w:val="OtherTok"/>
        </w:rPr>
        <w:t xml:space="preserve">,</w:t>
      </w:r>
      <w:r>
        <w:rPr>
          <w:rStyle w:val="NormalTok"/>
        </w:rPr>
        <w:t xml:space="preserve"> stm</w:t>
      </w:r>
      <w:r>
        <w:rPr>
          <w:rStyle w:val="OtherTok"/>
        </w:rPr>
        <w:t xml:space="preserve">,</w:t>
      </w:r>
      <w:r>
        <w:rPr>
          <w:rStyle w:val="NormalTok"/>
        </w:rPr>
        <w:t xml:space="preserve"> xmlHttp</w:t>
      </w:r>
      <w:r>
        <w:br/>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KeywordTok"/>
        </w:rPr>
        <w:t xml:space="preserve">Set</w:t>
      </w:r>
      <w:r>
        <w:rPr>
          <w:rStyle w:val="NormalTok"/>
        </w:rPr>
        <w:t xml:space="preserve"> xmlHttp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TypeName</w:t>
      </w:r>
      <w:r>
        <w:rPr>
          <w:rStyle w:val="OtherTok"/>
        </w:rPr>
        <w:t xml:space="preserve">(</w:t>
      </w:r>
      <w:r>
        <w:rPr>
          <w:rStyle w:val="NormalTok"/>
        </w:rPr>
        <w:t xml:space="preserve">ax</w:t>
      </w:r>
      <w:r>
        <w:rPr>
          <w:rStyle w:val="OtherTok"/>
        </w:rPr>
        <w:t xml:space="preserve">)</w:t>
      </w:r>
      <w:r>
        <w:br/>
      </w:r>
      <w:r>
        <w:br/>
      </w:r>
      <w:r>
        <w:rPr>
          <w:rStyle w:val="KeywordTok"/>
        </w:rPr>
        <w:t xml:space="preserve">Set</w:t>
      </w:r>
      <w:r>
        <w:rPr>
          <w:rStyle w:val="NormalTok"/>
        </w:rPr>
        <w:t xml:space="preserve"> xmlHttp = </w:t>
      </w:r>
      <w:r>
        <w:rPr>
          <w:rStyle w:val="KeywordTok"/>
        </w:rPr>
        <w:t xml:space="preserve">Nothing</w:t>
      </w:r>
      <w:r>
        <w:br/>
      </w:r>
      <w:r>
        <w:rPr>
          <w:rStyle w:val="KeywordTok"/>
        </w:rPr>
        <w:t xml:space="preserve">Set</w:t>
      </w:r>
      <w:r>
        <w:rPr>
          <w:rStyle w:val="NormalTok"/>
        </w:rPr>
        <w:t xml:space="preserve"> stm = </w:t>
      </w:r>
      <w:r>
        <w:rPr>
          <w:rStyle w:val="KeywordTok"/>
        </w:rPr>
        <w:t xml:space="preserve">Nothing</w:t>
      </w:r>
      <w:r>
        <w:br/>
      </w:r>
      <w:r>
        <w:rPr>
          <w:rStyle w:val="KeywordTok"/>
        </w:rPr>
        <w:t xml:space="preserve">Set</w:t>
      </w:r>
      <w:r>
        <w:rPr>
          <w:rStyle w:val="NormalTok"/>
        </w:rPr>
        <w:t xml:space="preserve"> db = </w:t>
      </w:r>
      <w:r>
        <w:rPr>
          <w:rStyle w:val="KeywordTok"/>
        </w:rPr>
        <w:t xml:space="preserve">Nothing</w:t>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080"/>
    <w:bookmarkStart w:id="1081" w:name="api-reference-11"/>
    <w:p>
      <w:pPr>
        <w:pStyle w:val="Heading2"/>
      </w:pPr>
      <w:r>
        <w:t xml:space="preserve">API Reference</w:t>
      </w:r>
    </w:p>
    <w:p>
      <w:pPr>
        <w:pStyle w:val="Compact"/>
        <w:numPr>
          <w:ilvl w:val="0"/>
          <w:numId w:val="1292"/>
        </w:numPr>
      </w:pPr>
      <w:r>
        <w:t xml:space="preserve">Entry point:</w:t>
      </w:r>
      <w:r>
        <w:t xml:space="preserve"> </w:t>
      </w:r>
      <w:r>
        <w:rPr>
          <w:rStyle w:val="VerbatimChar"/>
        </w:rPr>
        <w:t xml:space="preserve">Server.CreateObject</w:t>
      </w:r>
    </w:p>
    <w:p>
      <w:pPr>
        <w:pStyle w:val="Compact"/>
        <w:numPr>
          <w:ilvl w:val="0"/>
          <w:numId w:val="1292"/>
        </w:numPr>
      </w:pPr>
      <w:r>
        <w:t xml:space="preserve">Input: ProgID string</w:t>
      </w:r>
    </w:p>
    <w:p>
      <w:pPr>
        <w:pStyle w:val="Compact"/>
        <w:numPr>
          <w:ilvl w:val="0"/>
          <w:numId w:val="1292"/>
        </w:numPr>
      </w:pPr>
      <w:r>
        <w:t xml:space="preserve">Resolution: native AxonASP ProgID map, then compatibility alias map, then host-level fallback</w:t>
      </w:r>
    </w:p>
    <w:p>
      <w:pPr>
        <w:pStyle w:val="Compact"/>
        <w:numPr>
          <w:ilvl w:val="0"/>
          <w:numId w:val="1292"/>
        </w:numPr>
      </w:pPr>
      <w:r>
        <w:t xml:space="preserve">Output: object handle for the resolved implementation</w:t>
      </w:r>
    </w:p>
    <w:bookmarkEnd w:id="1081"/>
    <w:bookmarkStart w:id="1082" w:name="g3axon-functions"/>
    <w:p>
      <w:pPr>
        <w:pStyle w:val="Heading2"/>
      </w:pPr>
      <w:r>
        <w:t xml:space="preserve">G3AXON Functions</w:t>
      </w:r>
    </w:p>
    <w:bookmarkEnd w:id="1082"/>
    <w:bookmarkEnd w:id="1083"/>
    <w:bookmarkStart w:id="1090" w:name="use-the-g3axon.functions-library"/>
    <w:p>
      <w:pPr>
        <w:pStyle w:val="Heading1"/>
      </w:pPr>
      <w:r>
        <w:t xml:space="preserve">Use the G3AXON.FUNCTIONS Library</w:t>
      </w:r>
    </w:p>
    <w:bookmarkStart w:id="1084" w:name="overview-53"/>
    <w:p>
      <w:pPr>
        <w:pStyle w:val="Heading2"/>
      </w:pPr>
      <w:r>
        <w:t xml:space="preserve">Overview</w:t>
      </w:r>
    </w:p>
    <w:p>
      <w:pPr>
        <w:pStyle w:val="FirstParagraph"/>
      </w:pPr>
      <w:r>
        <w:t xml:space="preserve">The</w:t>
      </w:r>
      <w:r>
        <w:t xml:space="preserve"> </w:t>
      </w:r>
      <w:r>
        <w:rPr>
          <w:b/>
          <w:bCs/>
        </w:rPr>
        <w:t xml:space="preserve">G3AXON.FUNCTIONS</w:t>
      </w:r>
      <w:r>
        <w:t xml:space="preserve"> </w:t>
      </w:r>
      <w:r>
        <w:t xml:space="preserve">library provides a comprehensive set of native utility functions for G3Pix AxonASP applications. These functions extend the standard VBScript capabilities with high-performance system operations, environment management, advanced math routines, and string manipulation helpers. The library is optimized for zero-allocation performance and provides direct access to the underlying Go runtime and host operating system features.</w:t>
      </w:r>
    </w:p>
    <w:bookmarkEnd w:id="1084"/>
    <w:bookmarkStart w:id="1085" w:name="syntax-72"/>
    <w:p>
      <w:pPr>
        <w:pStyle w:val="Heading2"/>
      </w:pPr>
      <w:r>
        <w:t xml:space="preserve">Syntax</w:t>
      </w:r>
    </w:p>
    <w:p>
      <w:pPr>
        <w:pStyle w:val="FirstParagraph"/>
      </w:pPr>
      <w:r>
        <w:t xml:space="preserve">To instantiate the library, use the following syntax:</w:t>
      </w:r>
    </w:p>
    <w:p>
      <w:pPr>
        <w:pStyle w:val="SourceCode"/>
      </w:pPr>
      <w:r>
        <w:rPr>
          <w:rStyle w:val="NormalTok"/>
        </w:rPr>
        <w:t xml:space="preserve">Dim ax</w:t>
      </w:r>
      <w:r>
        <w:br/>
      </w:r>
      <w:r>
        <w:rPr>
          <w:rStyle w:val="NormalTok"/>
        </w:rPr>
        <w:t xml:space="preserve">Set ax = Server.CreateObject("G3AXON.FUNCTIONS")</w:t>
      </w:r>
    </w:p>
    <w:p>
      <w:pPr>
        <w:pStyle w:val="SourceCode"/>
      </w:pPr>
      <w:r>
        <w:rPr>
          <w:rStyle w:val="KeywordTok"/>
        </w:rPr>
        <w:t xml:space="preserve">var</w:t>
      </w:r>
      <w:r>
        <w:rPr>
          <w:rStyle w:val="NormalTok"/>
        </w:rPr>
        <w:t xml:space="preserve"> ax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"G3AXON.FUNCTIONS"</w:t>
      </w:r>
      <w:r>
        <w:rPr>
          <w:rStyle w:val="NormalTok"/>
        </w:rPr>
        <w:t xml:space="preserve">)</w:t>
      </w:r>
      <w:r>
        <w:rPr>
          <w:rStyle w:val="OperatorTok"/>
        </w:rPr>
        <w:t xml:space="preserve">;</w:t>
      </w:r>
    </w:p>
    <w:bookmarkEnd w:id="1085"/>
    <w:bookmarkStart w:id="1086" w:name="prerequisites-13"/>
    <w:p>
      <w:pPr>
        <w:pStyle w:val="Heading2"/>
      </w:pPr>
      <w:r>
        <w:t xml:space="preserve">Prerequisites</w:t>
      </w:r>
    </w:p>
    <w:p>
      <w:pPr>
        <w:pStyle w:val="FirstParagraph"/>
      </w:pPr>
      <w:r>
        <w:t xml:space="preserve">No external dependencies are required. The G3AXON.FUNCTIONS library is a built-in native component of the AxonASP environment.</w:t>
      </w:r>
    </w:p>
    <w:bookmarkEnd w:id="1086"/>
    <w:bookmarkStart w:id="1087" w:name="how-it-works-14"/>
    <w:p>
      <w:pPr>
        <w:pStyle w:val="Heading2"/>
      </w:pPr>
      <w:r>
        <w:t xml:space="preserve">How it Works</w:t>
      </w:r>
    </w:p>
    <w:p>
      <w:pPr>
        <w:pStyle w:val="FirstParagraph"/>
      </w:pPr>
      <w:r>
        <w:t xml:space="preserve">The G3AXON.FUNCTIONS object acts as a gateway to specialized system and utility routines.</w:t>
      </w:r>
      <w:r>
        <w:t xml:space="preserve"> </w:t>
      </w:r>
      <w:r>
        <w:t xml:space="preserve">-</w:t>
      </w:r>
      <w:r>
        <w:t xml:space="preserve"> </w:t>
      </w:r>
      <w:r>
        <w:rPr>
          <w:b/>
          <w:bCs/>
        </w:rPr>
        <w:t xml:space="preserve">System &amp; Environment</w:t>
      </w:r>
      <w:r>
        <w:t xml:space="preserve">: Provides access to process IDs, hostname, environment variables, and directory management.</w:t>
      </w:r>
      <w:r>
        <w:t xml:space="preserve"> </w:t>
      </w:r>
      <w:r>
        <w:t xml:space="preserve">-</w:t>
      </w:r>
      <w:r>
        <w:t xml:space="preserve"> </w:t>
      </w:r>
      <w:r>
        <w:rPr>
          <w:b/>
          <w:bCs/>
        </w:rPr>
        <w:t xml:space="preserve">Math &amp; Numeric</w:t>
      </w:r>
      <w:r>
        <w:t xml:space="preserve">: Includes advanced functions like</w:t>
      </w:r>
      <w:r>
        <w:t xml:space="preserve"> </w:t>
      </w:r>
      <w:r>
        <w:rPr>
          <w:b/>
          <w:bCs/>
        </w:rPr>
        <w:t xml:space="preserve">AxMax</w:t>
      </w:r>
      <w:r>
        <w:t xml:space="preserve">,</w:t>
      </w:r>
      <w:r>
        <w:t xml:space="preserve"> </w:t>
      </w:r>
      <w:r>
        <w:rPr>
          <w:b/>
          <w:bCs/>
        </w:rPr>
        <w:t xml:space="preserve">AxMin</w:t>
      </w:r>
      <w:r>
        <w:t xml:space="preserve">, and high-precision random number generation.</w:t>
      </w:r>
      <w:r>
        <w:t xml:space="preserve"> </w:t>
      </w:r>
      <w:r>
        <w:t xml:space="preserve">-</w:t>
      </w:r>
      <w:r>
        <w:t xml:space="preserve"> </w:t>
      </w:r>
      <w:r>
        <w:rPr>
          <w:b/>
          <w:bCs/>
        </w:rPr>
        <w:t xml:space="preserve">Array &amp; String</w:t>
      </w:r>
      <w:r>
        <w:t xml:space="preserve">: Offers robust tools for data manipulation, such as</w:t>
      </w:r>
      <w:r>
        <w:t xml:space="preserve"> </w:t>
      </w:r>
      <w:r>
        <w:rPr>
          <w:b/>
          <w:bCs/>
        </w:rPr>
        <w:t xml:space="preserve">AxExplode</w:t>
      </w:r>
      <w:r>
        <w:t xml:space="preserve">,</w:t>
      </w:r>
      <w:r>
        <w:t xml:space="preserve"> </w:t>
      </w:r>
      <w:r>
        <w:rPr>
          <w:b/>
          <w:bCs/>
        </w:rPr>
        <w:t xml:space="preserve">AxImplode</w:t>
      </w:r>
      <w:r>
        <w:t xml:space="preserve">, and</w:t>
      </w:r>
      <w:r>
        <w:t xml:space="preserve"> </w:t>
      </w:r>
      <w:r>
        <w:rPr>
          <w:b/>
          <w:bCs/>
        </w:rPr>
        <w:t xml:space="preserve">AxPad</w:t>
      </w:r>
      <w:r>
        <w:t xml:space="preserve">.</w:t>
      </w:r>
      <w:r>
        <w:t xml:space="preserve"> </w:t>
      </w:r>
      <w:r>
        <w:t xml:space="preserve">-</w:t>
      </w:r>
      <w:r>
        <w:t xml:space="preserve"> </w:t>
      </w:r>
      <w:r>
        <w:rPr>
          <w:b/>
          <w:bCs/>
        </w:rPr>
        <w:t xml:space="preserve">Output</w:t>
      </w:r>
      <w:r>
        <w:t xml:space="preserve">: The</w:t>
      </w:r>
      <w:r>
        <w:t xml:space="preserve"> </w:t>
      </w:r>
      <w:r>
        <w:rPr>
          <w:b/>
          <w:bCs/>
        </w:rPr>
        <w:t xml:space="preserve">Axw</w:t>
      </w:r>
      <w:r>
        <w:t xml:space="preserve"> </w:t>
      </w:r>
      <w:r>
        <w:t xml:space="preserve">method provides an HTML-escaped alternative to standard output routines.</w:t>
      </w:r>
    </w:p>
    <w:p>
      <w:pPr>
        <w:pStyle w:val="BodyText"/>
      </w:pPr>
      <w:r>
        <w:t xml:space="preserve">Most functions in this library are also available as global built-ins (prefixed with</w:t>
      </w:r>
      <w:r>
        <w:t xml:space="preserve"> </w:t>
      </w:r>
      <w:r>
        <w:t xml:space="preserve">“Ax”</w:t>
      </w:r>
      <w:r>
        <w:t xml:space="preserve">) for developer convenience.</w:t>
      </w:r>
    </w:p>
    <w:bookmarkEnd w:id="1087"/>
    <w:bookmarkStart w:id="1088" w:name="api-reference-12"/>
    <w:p>
      <w:pPr>
        <w:pStyle w:val="Heading2"/>
      </w:pPr>
      <w:r>
        <w:t xml:space="preserve">API Reference</w:t>
      </w:r>
    </w:p>
    <w:p>
      <w:pPr>
        <w:pStyle w:val="FirstParagraph"/>
      </w:pPr>
      <w:r>
        <w:t xml:space="preserve">This library contains over 80 specialized methods. For detailed information on specific members, please refer to the individual method documentation pages.</w:t>
      </w:r>
    </w:p>
    <w:bookmarkEnd w:id="1088"/>
    <w:bookmarkStart w:id="1089" w:name="code-example-73"/>
    <w:p>
      <w:pPr>
        <w:pStyle w:val="Heading2"/>
      </w:pPr>
      <w:r>
        <w:t xml:space="preserve">Code Example</w:t>
      </w:r>
    </w:p>
    <w:p>
      <w:pPr>
        <w:pStyle w:val="FirstParagraph"/>
      </w:pPr>
      <w:r>
        <w:t xml:space="preserve">The following example demonstrates how to retrieve system information and format a number using the library.</w:t>
      </w:r>
    </w:p>
    <w:p>
      <w:pPr>
        <w:pStyle w:val="SourceCode"/>
      </w:pPr>
      <w:r>
        <w:rPr>
          <w:rStyle w:val="DataTypeTok"/>
        </w:rPr>
        <w:t xml:space="preserve">&lt;%</w:t>
      </w:r>
      <w:r>
        <w:br/>
      </w:r>
      <w:r>
        <w:rPr>
          <w:rStyle w:val="KeywordTok"/>
        </w:rPr>
        <w:t xml:space="preserve">Dim</w:t>
      </w:r>
      <w:r>
        <w:rPr>
          <w:rStyle w:val="NormalTok"/>
        </w:rPr>
        <w:t xml:space="preserve"> ax</w:t>
      </w:r>
      <w:r>
        <w:rPr>
          <w:rStyle w:val="OtherTok"/>
        </w:rPr>
        <w:t xml:space="preserve">,</w:t>
      </w:r>
      <w:r>
        <w:rPr>
          <w:rStyle w:val="NormalTok"/>
        </w:rPr>
        <w:t xml:space="preserve"> sysInfo</w:t>
      </w:r>
      <w:r>
        <w:rPr>
          <w:rStyle w:val="OtherTok"/>
        </w:rPr>
        <w:t xml:space="preserve">,</w:t>
      </w:r>
      <w:r>
        <w:rPr>
          <w:rStyle w:val="NormalTok"/>
        </w:rPr>
        <w:t xml:space="preserve"> formatted</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Retrieve a summary of system information</w:t>
      </w:r>
      <w:r>
        <w:br/>
      </w:r>
      <w:r>
        <w:rPr>
          <w:rStyle w:val="NormalTok"/>
        </w:rPr>
        <w:t xml:space="preserve">sysInfo = ax.AxSystemInfo</w:t>
      </w:r>
      <w:r>
        <w:rPr>
          <w:rStyle w:val="OtherTok"/>
        </w:rPr>
        <w:t xml:space="preserve">(</w:t>
      </w:r>
      <w:r>
        <w:rPr>
          <w:rStyle w:val="StringTok"/>
        </w:rPr>
        <w:t xml:space="preserve">"a"</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"System: "</w:t>
      </w:r>
      <w:r>
        <w:rPr>
          <w:rStyle w:val="NormalTok"/>
        </w:rPr>
        <w:t xml:space="preserve"> </w:t>
      </w:r>
      <w:r>
        <w:rPr>
          <w:rStyle w:val="KeywordTok"/>
        </w:rPr>
        <w:t xml:space="preserve">&amp;</w:t>
      </w:r>
      <w:r>
        <w:rPr>
          <w:rStyle w:val="NormalTok"/>
        </w:rPr>
        <w:t xml:space="preserve"> sysInfo </w:t>
      </w:r>
      <w:r>
        <w:rPr>
          <w:rStyle w:val="KeywordTok"/>
        </w:rPr>
        <w:t xml:space="preserve">&amp;</w:t>
      </w:r>
      <w:r>
        <w:rPr>
          <w:rStyle w:val="NormalTok"/>
        </w:rPr>
        <w:t xml:space="preserve"> </w:t>
      </w:r>
      <w:r>
        <w:rPr>
          <w:rStyle w:val="StringTok"/>
        </w:rPr>
        <w:t xml:space="preserve">"&lt;br&gt;"</w:t>
      </w:r>
      <w:r>
        <w:br/>
      </w:r>
      <w:r>
        <w:br/>
      </w:r>
      <w:r>
        <w:rPr>
          <w:rStyle w:val="CommentTok"/>
        </w:rPr>
        <w:t xml:space="preserve">' Format a numeric value with thousands separators</w:t>
      </w:r>
      <w:r>
        <w:br/>
      </w:r>
      <w:r>
        <w:rPr>
          <w:rStyle w:val="NormalTok"/>
        </w:rPr>
        <w:t xml:space="preserve">formatted = ax.AxNumberFormat</w:t>
      </w:r>
      <w:r>
        <w:rPr>
          <w:rStyle w:val="OtherTok"/>
        </w:rPr>
        <w:t xml:space="preserve">(</w:t>
      </w:r>
      <w:r>
        <w:rPr>
          <w:rStyle w:val="FloatTok"/>
        </w:rPr>
        <w:t xml:space="preserve">1234567.89</w:t>
      </w:r>
      <w:r>
        <w:rPr>
          <w:rStyle w:val="OtherTok"/>
        </w:rPr>
        <w:t xml:space="preserve">,</w:t>
      </w:r>
      <w:r>
        <w:rPr>
          <w:rStyle w:val="NormalTok"/>
        </w:rPr>
        <w:t xml:space="preserve"> </w:t>
      </w:r>
      <w:r>
        <w:rPr>
          <w:rStyle w:val="DecValTok"/>
        </w:rPr>
        <w:t xml:space="preserve">2</w:t>
      </w:r>
      <w:r>
        <w:rPr>
          <w:rStyle w:val="OtherTok"/>
        </w:rPr>
        <w:t xml:space="preserve">,</w:t>
      </w:r>
      <w:r>
        <w:rPr>
          <w:rStyle w:val="NormalTok"/>
        </w:rPr>
        <w:t xml:space="preserve"> </w:t>
      </w:r>
      <w:r>
        <w:rPr>
          <w:rStyle w:val="StringTok"/>
        </w:rPr>
        <w:t xml:space="preserve">"."</w:t>
      </w:r>
      <w:r>
        <w:rPr>
          <w:rStyle w:val="OtherTok"/>
        </w:rPr>
        <w:t xml:space="preserve">,</w:t>
      </w:r>
      <w:r>
        <w:rPr>
          <w:rStyle w:val="NormalTok"/>
        </w:rPr>
        <w:t xml:space="preserve"> </w:t>
      </w:r>
      <w:r>
        <w:rPr>
          <w:rStyle w:val="StringTok"/>
        </w:rPr>
        <w:t xml:space="preserv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"Formatted: "</w:t>
      </w:r>
      <w:r>
        <w:rPr>
          <w:rStyle w:val="NormalTok"/>
        </w:rPr>
        <w:t xml:space="preserve"> </w:t>
      </w:r>
      <w:r>
        <w:rPr>
          <w:rStyle w:val="KeywordTok"/>
        </w:rPr>
        <w:t xml:space="preserve">&amp;</w:t>
      </w:r>
      <w:r>
        <w:rPr>
          <w:rStyle w:val="NormalTok"/>
        </w:rPr>
        <w:t xml:space="preserve"> formatted</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089"/>
    <w:bookmarkEnd w:id="1090"/>
    <w:bookmarkStart w:id="1101" w:name="g3axon.functions-method-reference"/>
    <w:p>
      <w:pPr>
        <w:pStyle w:val="Heading1"/>
      </w:pPr>
      <w:r>
        <w:t xml:space="preserve">G3AXON.FUNCTIONS Method Reference</w:t>
      </w:r>
    </w:p>
    <w:bookmarkStart w:id="1091" w:name="overview-54"/>
    <w:p>
      <w:pPr>
        <w:pStyle w:val="Heading2"/>
      </w:pPr>
      <w:r>
        <w:t xml:space="preserve">Overview</w:t>
      </w:r>
    </w:p>
    <w:p>
      <w:pPr>
        <w:pStyle w:val="FirstParagraph"/>
      </w:pPr>
      <w:r>
        <w:t xml:space="preserve">This page lists every method exposed by the</w:t>
      </w:r>
      <w:r>
        <w:t xml:space="preserve"> </w:t>
      </w:r>
      <w:r>
        <w:rPr>
          <w:rStyle w:val="VerbatimChar"/>
        </w:rPr>
        <w:t xml:space="preserve">G3AXON.FUNCTIONS</w:t>
      </w:r>
      <w:r>
        <w:t xml:space="preserve"> </w:t>
      </w:r>
      <w:r>
        <w:t xml:space="preserve">library. Methods are grouped by functional category. All method names are case-insensitive.</w:t>
      </w:r>
    </w:p>
    <w:p>
      <w:r>
        <w:pict>
          <v:rect style="width:0;height:1.5pt" o:hralign="center" o:hrstd="t" o:hr="t"/>
        </w:pict>
      </w:r>
    </w:p>
    <w:bookmarkEnd w:id="1091"/>
    <w:bookmarkStart w:id="1092" w:name="system-and-environment"/>
    <w:p>
      <w:pPr>
        <w:pStyle w:val="Heading2"/>
      </w:pPr>
      <w:r>
        <w:t xml:space="preserve">System and Environment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AxCacheDirPath()</w:t>
            </w:r>
          </w:p>
        </w:tc>
        <w:tc>
          <w:tcPr/>
          <w:p>
            <w:pPr>
              <w:pStyle w:val="Compact"/>
            </w:pPr>
            <w:r>
              <w:t xml:space="preserve">String</w:t>
            </w:r>
          </w:p>
        </w:tc>
        <w:tc>
          <w:tcPr/>
          <w:p>
            <w:pPr>
              <w:pStyle w:val="Compact"/>
            </w:pPr>
            <w:r>
              <w:t xml:space="preserve">Full path to the</w:t>
            </w:r>
            <w:r>
              <w:t xml:space="preserve"> </w:t>
            </w:r>
            <w:r>
              <w:rPr>
                <w:rStyle w:val="VerbatimChar"/>
              </w:rPr>
              <w:t xml:space="preserve">.temp/cache/</w:t>
            </w:r>
            <w:r>
              <w:t xml:space="preserve"> </w:t>
            </w:r>
            <w:r>
              <w:t xml:space="preserve">directory with trailing separator.</w:t>
            </w:r>
          </w:p>
        </w:tc>
      </w:tr>
      <w:tr>
        <w:tc>
          <w:tcPr/>
          <w:p>
            <w:pPr>
              <w:pStyle w:val="Compact"/>
            </w:pPr>
            <w:r>
              <w:rPr>
                <w:rStyle w:val="VerbatimChar"/>
              </w:rPr>
              <w:t xml:space="preserve">AxChangeDir(path)</w:t>
            </w:r>
          </w:p>
        </w:tc>
        <w:tc>
          <w:tcPr/>
          <w:p>
            <w:pPr>
              <w:pStyle w:val="Compact"/>
            </w:pPr>
            <w:r>
              <w:t xml:space="preserve">Boolean</w:t>
            </w:r>
          </w:p>
        </w:tc>
        <w:tc>
          <w:tcPr/>
          <w:p>
            <w:pPr>
              <w:pStyle w:val="Compact"/>
            </w:pPr>
            <w:r>
              <w:t xml:space="preserve">Changes the process working directory. Returns</w:t>
            </w:r>
            <w:r>
              <w:t xml:space="preserve"> </w:t>
            </w:r>
            <w:r>
              <w:rPr>
                <w:rStyle w:val="VerbatimChar"/>
              </w:rPr>
              <w:t xml:space="preserve">True</w:t>
            </w:r>
            <w:r>
              <w:t xml:space="preserve"> </w:t>
            </w:r>
            <w:r>
              <w:t xml:space="preserve">on success.</w:t>
            </w:r>
          </w:p>
        </w:tc>
      </w:tr>
      <w:tr>
        <w:tc>
          <w:tcPr/>
          <w:p>
            <w:pPr>
              <w:pStyle w:val="Compact"/>
            </w:pPr>
            <w:r>
              <w:rPr>
                <w:rStyle w:val="VerbatimChar"/>
              </w:rPr>
              <w:t xml:space="preserve">AxChangeMode(path, mode)</w:t>
            </w:r>
          </w:p>
        </w:tc>
        <w:tc>
          <w:tcPr/>
          <w:p>
            <w:pPr>
              <w:pStyle w:val="Compact"/>
            </w:pPr>
            <w:r>
              <w:t xml:space="preserve">Boolean</w:t>
            </w:r>
          </w:p>
        </w:tc>
        <w:tc>
          <w:tcPr/>
          <w:p>
            <w:pPr>
              <w:pStyle w:val="Compact"/>
            </w:pPr>
            <w:r>
              <w:t xml:space="preserve">Changes the file mode using an octal string (e.g.,</w:t>
            </w:r>
            <w:r>
              <w:t xml:space="preserve"> </w:t>
            </w:r>
            <w:r>
              <w:rPr>
                <w:rStyle w:val="VerbatimChar"/>
              </w:rPr>
              <w:t xml:space="preserve">"0644"</w:t>
            </w:r>
            <w:r>
              <w:t xml:space="preserve">).</w:t>
            </w:r>
          </w:p>
        </w:tc>
      </w:tr>
      <w:tr>
        <w:tc>
          <w:tcPr/>
          <w:p>
            <w:pPr>
              <w:pStyle w:val="Compact"/>
            </w:pPr>
            <w:r>
              <w:rPr>
                <w:rStyle w:val="VerbatimChar"/>
              </w:rPr>
              <w:t xml:space="preserve">AxChangeOwner(path, uid, gid)</w:t>
            </w:r>
          </w:p>
        </w:tc>
        <w:tc>
          <w:tcPr/>
          <w:p>
            <w:pPr>
              <w:pStyle w:val="Compact"/>
            </w:pPr>
            <w:r>
              <w:t xml:space="preserve">Boolean</w:t>
            </w:r>
          </w:p>
        </w:tc>
        <w:tc>
          <w:tcPr/>
          <w:p>
            <w:pPr>
              <w:pStyle w:val="Compact"/>
            </w:pPr>
            <w:r>
              <w:t xml:space="preserve">Changes file owner and group IDs.</w:t>
            </w:r>
          </w:p>
        </w:tc>
      </w:tr>
      <w:tr>
        <w:tc>
          <w:tcPr/>
          <w:p>
            <w:pPr>
              <w:pStyle w:val="Compact"/>
            </w:pPr>
            <w:r>
              <w:rPr>
                <w:rStyle w:val="VerbatimChar"/>
              </w:rPr>
              <w:t xml:space="preserve">AxChangeTimes(path, accessTime, modifyTime)</w:t>
            </w:r>
          </w:p>
        </w:tc>
        <w:tc>
          <w:tcPr/>
          <w:p>
            <w:pPr>
              <w:pStyle w:val="Compact"/>
            </w:pPr>
            <w:r>
              <w:t xml:space="preserve">Boolean</w:t>
            </w:r>
          </w:p>
        </w:tc>
        <w:tc>
          <w:tcPr/>
          <w:p>
            <w:pPr>
              <w:pStyle w:val="Compact"/>
            </w:pPr>
            <w:r>
              <w:t xml:space="preserve">Sets file access and modification timestamps from Unix seconds.</w:t>
            </w:r>
          </w:p>
        </w:tc>
      </w:tr>
      <w:tr>
        <w:tc>
          <w:tcPr/>
          <w:p>
            <w:pPr>
              <w:pStyle w:val="Compact"/>
            </w:pPr>
            <w:r>
              <w:rPr>
                <w:rStyle w:val="VerbatimChar"/>
              </w:rPr>
              <w:t xml:space="preserve">AxClearEnvironment()</w:t>
            </w:r>
          </w:p>
        </w:tc>
        <w:tc>
          <w:tcPr/>
          <w:p>
            <w:pPr>
              <w:pStyle w:val="Compact"/>
            </w:pPr>
            <w:r>
              <w:t xml:space="preserve">Boolean</w:t>
            </w:r>
          </w:p>
        </w:tc>
        <w:tc>
          <w:tcPr/>
          <w:p>
            <w:pPr>
              <w:pStyle w:val="Compact"/>
            </w:pPr>
            <w:r>
              <w:t xml:space="preserve">Clears all process environment variables. Always returns</w:t>
            </w:r>
            <w:r>
              <w:t xml:space="preserve"> </w:t>
            </w:r>
            <w:r>
              <w:rPr>
                <w:rStyle w:val="VerbatimChar"/>
              </w:rPr>
              <w:t xml:space="preserve">True</w:t>
            </w:r>
            <w:r>
              <w:t xml:space="preserve">.</w:t>
            </w:r>
          </w:p>
        </w:tc>
      </w:tr>
      <w:tr>
        <w:tc>
          <w:tcPr/>
          <w:p>
            <w:pPr>
              <w:pStyle w:val="Compact"/>
            </w:pPr>
            <w:r>
              <w:rPr>
                <w:rStyle w:val="VerbatimChar"/>
              </w:rPr>
              <w:t xml:space="preserve">AxCreateLink(sourcePath, linkPath)</w:t>
            </w:r>
          </w:p>
        </w:tc>
        <w:tc>
          <w:tcPr/>
          <w:p>
            <w:pPr>
              <w:pStyle w:val="Compact"/>
            </w:pPr>
            <w:r>
              <w:t xml:space="preserve">Boolean</w:t>
            </w:r>
          </w:p>
        </w:tc>
        <w:tc>
          <w:tcPr/>
          <w:p>
            <w:pPr>
              <w:pStyle w:val="Compact"/>
            </w:pPr>
            <w:r>
              <w:t xml:space="preserve">Creates a hard link from source to destination.</w:t>
            </w:r>
          </w:p>
        </w:tc>
      </w:tr>
      <w:tr>
        <w:tc>
          <w:tcPr/>
          <w:p>
            <w:pPr>
              <w:pStyle w:val="Compact"/>
            </w:pPr>
            <w:r>
              <w:rPr>
                <w:rStyle w:val="VerbatimChar"/>
              </w:rPr>
              <w:t xml:space="preserve">AxCurrentDir()</w:t>
            </w:r>
          </w:p>
        </w:tc>
        <w:tc>
          <w:tcPr/>
          <w:p>
            <w:pPr>
              <w:pStyle w:val="Compact"/>
            </w:pPr>
            <w:r>
              <w:t xml:space="preserve">String</w:t>
            </w:r>
          </w:p>
        </w:tc>
        <w:tc>
          <w:tcPr/>
          <w:p>
            <w:pPr>
              <w:pStyle w:val="Compact"/>
            </w:pPr>
            <w:r>
              <w:t xml:space="preserve">Current process working directory path.</w:t>
            </w:r>
          </w:p>
        </w:tc>
      </w:tr>
      <w:tr>
        <w:tc>
          <w:tcPr/>
          <w:p>
            <w:pPr>
              <w:pStyle w:val="Compact"/>
            </w:pPr>
            <w:r>
              <w:rPr>
                <w:rStyle w:val="VerbatimChar"/>
              </w:rPr>
              <w:t xml:space="preserve">AxCurrentUser()</w:t>
            </w:r>
          </w:p>
        </w:tc>
        <w:tc>
          <w:tcPr/>
          <w:p>
            <w:pPr>
              <w:pStyle w:val="Compact"/>
            </w:pPr>
            <w:r>
              <w:t xml:space="preserve">String</w:t>
            </w:r>
          </w:p>
        </w:tc>
        <w:tc>
          <w:tcPr/>
          <w:p>
            <w:pPr>
              <w:pStyle w:val="Compact"/>
            </w:pPr>
            <w:r>
              <w:t xml:space="preserve">Current operating system user name.</w:t>
            </w:r>
          </w:p>
        </w:tc>
      </w:tr>
      <w:tr>
        <w:tc>
          <w:tcPr/>
          <w:p>
            <w:pPr>
              <w:pStyle w:val="Compact"/>
            </w:pPr>
            <w:r>
              <w:rPr>
                <w:rStyle w:val="VerbatimChar"/>
              </w:rPr>
              <w:t xml:space="preserve">AxDirSeparator()</w:t>
            </w:r>
          </w:p>
        </w:tc>
        <w:tc>
          <w:tcPr/>
          <w:p>
            <w:pPr>
              <w:pStyle w:val="Compact"/>
            </w:pPr>
            <w:r>
              <w:t xml:space="preserve">String</w:t>
            </w:r>
          </w:p>
        </w:tc>
        <w:tc>
          <w:tcPr/>
          <w:p>
            <w:pPr>
              <w:pStyle w:val="Compact"/>
            </w:pPr>
            <w:r>
              <w:t xml:space="preserve">OS directory separator (</w:t>
            </w:r>
            <w:r>
              <w:rPr>
                <w:rStyle w:val="VerbatimChar"/>
              </w:rPr>
              <w:t xml:space="preserve">\</w:t>
            </w:r>
            <w:r>
              <w:t xml:space="preserve"> </w:t>
            </w:r>
            <w:r>
              <w:t xml:space="preserve">on Windows,</w:t>
            </w:r>
            <w:r>
              <w:t xml:space="preserve"> </w:t>
            </w:r>
            <w:r>
              <w:rPr>
                <w:rStyle w:val="VerbatimChar"/>
              </w:rPr>
              <w:t xml:space="preserve">/</w:t>
            </w:r>
            <w:r>
              <w:t xml:space="preserve"> </w:t>
            </w:r>
            <w:r>
              <w:t xml:space="preserve">on Unix).</w:t>
            </w:r>
          </w:p>
        </w:tc>
      </w:tr>
      <w:tr>
        <w:tc>
          <w:tcPr/>
          <w:p>
            <w:pPr>
              <w:pStyle w:val="Compact"/>
            </w:pPr>
            <w:r>
              <w:rPr>
                <w:rStyle w:val="VerbatimChar"/>
              </w:rPr>
              <w:t xml:space="preserve">AxEffectiveUserId()</w:t>
            </w:r>
          </w:p>
        </w:tc>
        <w:tc>
          <w:tcPr/>
          <w:p>
            <w:pPr>
              <w:pStyle w:val="Compact"/>
            </w:pPr>
            <w:r>
              <w:t xml:space="preserve">Integer</w:t>
            </w:r>
          </w:p>
        </w:tc>
        <w:tc>
          <w:tcPr/>
          <w:p>
            <w:pPr>
              <w:pStyle w:val="Compact"/>
            </w:pPr>
            <w:r>
              <w:t xml:space="preserve">Effective user ID on Unix, or</w:t>
            </w:r>
            <w:r>
              <w:t xml:space="preserve"> </w:t>
            </w:r>
            <w:r>
              <w:rPr>
                <w:rStyle w:val="VerbatimChar"/>
              </w:rPr>
              <w:t xml:space="preserve">-1</w:t>
            </w:r>
            <w:r>
              <w:t xml:space="preserve"> </w:t>
            </w:r>
            <w:r>
              <w:t xml:space="preserve">on Windows.</w:t>
            </w:r>
          </w:p>
        </w:tc>
      </w:tr>
      <w:tr>
        <w:tc>
          <w:tcPr/>
          <w:p>
            <w:pPr>
              <w:pStyle w:val="Compact"/>
            </w:pPr>
            <w:r>
              <w:rPr>
                <w:rStyle w:val="VerbatimChar"/>
              </w:rPr>
              <w:t xml:space="preserve">AxEngineName()</w:t>
            </w:r>
          </w:p>
        </w:tc>
        <w:tc>
          <w:tcPr/>
          <w:p>
            <w:pPr>
              <w:pStyle w:val="Compact"/>
            </w:pPr>
            <w:r>
              <w:t xml:space="preserve">String</w:t>
            </w:r>
          </w:p>
        </w:tc>
        <w:tc>
          <w:tcPr/>
          <w:p>
            <w:pPr>
              <w:pStyle w:val="Compact"/>
            </w:pPr>
            <w:r>
              <w:t xml:space="preserve">AxonASP engine name string.</w:t>
            </w:r>
          </w:p>
        </w:tc>
      </w:tr>
      <w:tr>
        <w:tc>
          <w:tcPr/>
          <w:p>
            <w:pPr>
              <w:pStyle w:val="Compact"/>
            </w:pPr>
            <w:r>
              <w:rPr>
                <w:rStyle w:val="VerbatimChar"/>
              </w:rPr>
              <w:t xml:space="preserve">AxEnvironmentList()</w:t>
            </w:r>
          </w:p>
        </w:tc>
        <w:tc>
          <w:tcPr/>
          <w:p>
            <w:pPr>
              <w:pStyle w:val="Compact"/>
            </w:pPr>
            <w:r>
              <w:t xml:space="preserve">Array</w:t>
            </w:r>
          </w:p>
        </w:tc>
        <w:tc>
          <w:tcPr/>
          <w:p>
            <w:pPr>
              <w:pStyle w:val="Compact"/>
            </w:pPr>
            <w:r>
              <w:t xml:space="preserve">All environment entries as</w:t>
            </w:r>
            <w:r>
              <w:t xml:space="preserve"> </w:t>
            </w:r>
            <w:r>
              <w:rPr>
                <w:rStyle w:val="VerbatimChar"/>
              </w:rPr>
              <w:t xml:space="preserve">KEY=VALUE</w:t>
            </w:r>
            <w:r>
              <w:t xml:space="preserve"> </w:t>
            </w:r>
            <w:r>
              <w:t xml:space="preserve">strings.</w:t>
            </w:r>
          </w:p>
        </w:tc>
      </w:tr>
      <w:tr>
        <w:tc>
          <w:tcPr/>
          <w:p>
            <w:pPr>
              <w:pStyle w:val="Compact"/>
            </w:pPr>
            <w:r>
              <w:rPr>
                <w:rStyle w:val="VerbatimChar"/>
              </w:rPr>
              <w:t xml:space="preserve">AxEnvironmentValue(name [, default])</w:t>
            </w:r>
          </w:p>
        </w:tc>
        <w:tc>
          <w:tcPr/>
          <w:p>
            <w:pPr>
              <w:pStyle w:val="Compact"/>
            </w:pPr>
            <w:r>
              <w:t xml:space="preserve">String</w:t>
            </w:r>
          </w:p>
        </w:tc>
        <w:tc>
          <w:tcPr/>
          <w:p>
            <w:pPr>
              <w:pStyle w:val="Compact"/>
            </w:pPr>
            <w:r>
              <w:t xml:space="preserve">Value of an environment variable, with optional default fallback.</w:t>
            </w:r>
          </w:p>
        </w:tc>
      </w:tr>
      <w:tr>
        <w:tc>
          <w:tcPr/>
          <w:p>
            <w:pPr>
              <w:pStyle w:val="Compact"/>
            </w:pPr>
            <w:r>
              <w:rPr>
                <w:rStyle w:val="VerbatimChar"/>
              </w:rPr>
              <w:t xml:space="preserve">AxExecutablePath()</w:t>
            </w:r>
          </w:p>
        </w:tc>
        <w:tc>
          <w:tcPr/>
          <w:p>
            <w:pPr>
              <w:pStyle w:val="Compact"/>
            </w:pPr>
            <w:r>
              <w:t xml:space="preserve">String</w:t>
            </w:r>
          </w:p>
        </w:tc>
        <w:tc>
          <w:tcPr/>
          <w:p>
            <w:pPr>
              <w:pStyle w:val="Compact"/>
            </w:pPr>
            <w:r>
              <w:t xml:space="preserve">Absolute path of the running AxonASP executable.</w:t>
            </w:r>
          </w:p>
        </w:tc>
      </w:tr>
      <w:tr>
        <w:tc>
          <w:tcPr/>
          <w:p>
            <w:pPr>
              <w:pStyle w:val="Compact"/>
            </w:pPr>
            <w:r>
              <w:rPr>
                <w:rStyle w:val="VerbatimChar"/>
              </w:rPr>
              <w:t xml:space="preserve">AxExecute(command)</w:t>
            </w:r>
          </w:p>
        </w:tc>
        <w:tc>
          <w:tcPr/>
          <w:p>
            <w:pPr>
              <w:pStyle w:val="Compact"/>
            </w:pPr>
            <w:r>
              <w:t xml:space="preserve">String/Boolean</w:t>
            </w:r>
          </w:p>
        </w:tc>
        <w:tc>
          <w:tcPr/>
          <w:p>
            <w:pPr>
              <w:pStyle w:val="Compact"/>
            </w:pPr>
            <w:r>
              <w:t xml:space="preserve">Runs a shell command; returns combined stdout/stderr or</w:t>
            </w:r>
            <w:r>
              <w:t xml:space="preserve"> </w:t>
            </w:r>
            <w:r>
              <w:rPr>
                <w:rStyle w:val="VerbatimChar"/>
              </w:rPr>
              <w:t xml:space="preserve">False</w:t>
            </w:r>
            <w:r>
              <w:t xml:space="preserve"> </w:t>
            </w:r>
            <w:r>
              <w:t xml:space="preserve">on empty command.</w:t>
            </w:r>
          </w:p>
        </w:tc>
      </w:tr>
      <w:tr>
        <w:tc>
          <w:tcPr/>
          <w:p>
            <w:pPr>
              <w:pStyle w:val="Compact"/>
            </w:pPr>
            <w:r>
              <w:rPr>
                <w:rStyle w:val="VerbatimChar"/>
              </w:rPr>
              <w:t xml:space="preserve">AxGetEnv(name)</w:t>
            </w:r>
          </w:p>
        </w:tc>
        <w:tc>
          <w:tcPr/>
          <w:p>
            <w:pPr>
              <w:pStyle w:val="Compact"/>
            </w:pPr>
            <w:r>
              <w:t xml:space="preserve">String</w:t>
            </w:r>
          </w:p>
        </w:tc>
        <w:tc>
          <w:tcPr/>
          <w:p>
            <w:pPr>
              <w:pStyle w:val="Compact"/>
            </w:pPr>
            <w:r>
              <w:t xml:space="preserve">Value of an environment variable by name.</w:t>
            </w:r>
          </w:p>
        </w:tc>
      </w:tr>
      <w:tr>
        <w:tc>
          <w:tcPr/>
          <w:p>
            <w:pPr>
              <w:pStyle w:val="Compact"/>
            </w:pPr>
            <w:r>
              <w:rPr>
                <w:rStyle w:val="VerbatimChar"/>
              </w:rPr>
              <w:t xml:space="preserve">AxHostnameValue()</w:t>
            </w:r>
          </w:p>
        </w:tc>
        <w:tc>
          <w:tcPr/>
          <w:p>
            <w:pPr>
              <w:pStyle w:val="Compact"/>
            </w:pPr>
            <w:r>
              <w:t xml:space="preserve">String</w:t>
            </w:r>
          </w:p>
        </w:tc>
        <w:tc>
          <w:tcPr/>
          <w:p>
            <w:pPr>
              <w:pStyle w:val="Compact"/>
            </w:pPr>
            <w:r>
              <w:t xml:space="preserve">Current machine host name.</w:t>
            </w:r>
          </w:p>
        </w:tc>
      </w:tr>
      <w:tr>
        <w:tc>
          <w:tcPr/>
          <w:p>
            <w:pPr>
              <w:pStyle w:val="Compact"/>
            </w:pPr>
            <w:r>
              <w:rPr>
                <w:rStyle w:val="VerbatimChar"/>
              </w:rPr>
              <w:t xml:space="preserve">AxIsPathSeparator(char)</w:t>
            </w:r>
          </w:p>
        </w:tc>
        <w:tc>
          <w:tcPr/>
          <w:p>
            <w:pPr>
              <w:pStyle w:val="Compact"/>
            </w:pPr>
            <w:r>
              <w:t xml:space="preserve">Boolean</w:t>
            </w:r>
          </w:p>
        </w:tc>
        <w:tc>
          <w:tcPr/>
          <w:p>
            <w:pPr>
              <w:pStyle w:val="Compact"/>
            </w:pPr>
            <w:r>
              <w:rPr>
                <w:rStyle w:val="VerbatimChar"/>
              </w:rPr>
              <w:t xml:space="preserve">True</w:t>
            </w:r>
            <w:r>
              <w:t xml:space="preserve"> </w:t>
            </w:r>
            <w:r>
              <w:t xml:space="preserve">if the single character is a valid path separator on the current platform.</w:t>
            </w:r>
          </w:p>
        </w:tc>
      </w:tr>
      <w:tr>
        <w:tc>
          <w:tcPr/>
          <w:p>
            <w:pPr>
              <w:pStyle w:val="Compact"/>
            </w:pPr>
            <w:r>
              <w:rPr>
                <w:rStyle w:val="VerbatimChar"/>
              </w:rPr>
              <w:t xml:space="preserve">AxPathListSeparator()</w:t>
            </w:r>
          </w:p>
        </w:tc>
        <w:tc>
          <w:tcPr/>
          <w:p>
            <w:pPr>
              <w:pStyle w:val="Compact"/>
            </w:pPr>
            <w:r>
              <w:t xml:space="preserve">String</w:t>
            </w:r>
          </w:p>
        </w:tc>
        <w:tc>
          <w:tcPr/>
          <w:p>
            <w:pPr>
              <w:pStyle w:val="Compact"/>
            </w:pPr>
            <w:r>
              <w:t xml:space="preserve">OS path-list separator (</w:t>
            </w:r>
            <w:r>
              <w:rPr>
                <w:rStyle w:val="VerbatimChar"/>
              </w:rPr>
              <w:t xml:space="preserve">;</w:t>
            </w:r>
            <w:r>
              <w:t xml:space="preserve"> </w:t>
            </w:r>
            <w:r>
              <w:t xml:space="preserve">on Windows,</w:t>
            </w:r>
            <w:r>
              <w:t xml:space="preserve"> </w:t>
            </w:r>
            <w:r>
              <w:rPr>
                <w:rStyle w:val="VerbatimChar"/>
              </w:rPr>
              <w:t xml:space="preserve">:</w:t>
            </w:r>
            <w:r>
              <w:t xml:space="preserve"> </w:t>
            </w:r>
            <w:r>
              <w:t xml:space="preserve">on Unix).</w:t>
            </w:r>
          </w:p>
        </w:tc>
      </w:tr>
      <w:tr>
        <w:tc>
          <w:tcPr/>
          <w:p>
            <w:pPr>
              <w:pStyle w:val="Compact"/>
            </w:pPr>
            <w:r>
              <w:rPr>
                <w:rStyle w:val="VerbatimChar"/>
              </w:rPr>
              <w:t xml:space="preserve">AxProcessId()</w:t>
            </w:r>
          </w:p>
        </w:tc>
        <w:tc>
          <w:tcPr/>
          <w:p>
            <w:pPr>
              <w:pStyle w:val="Compact"/>
            </w:pPr>
            <w:r>
              <w:t xml:space="preserve">Integer</w:t>
            </w:r>
          </w:p>
        </w:tc>
        <w:tc>
          <w:tcPr/>
          <w:p>
            <w:pPr>
              <w:pStyle w:val="Compact"/>
            </w:pPr>
            <w:r>
              <w:t xml:space="preserve">Current process ID (PID).</w:t>
            </w:r>
          </w:p>
        </w:tc>
      </w:tr>
      <w:tr>
        <w:tc>
          <w:tcPr/>
          <w:p>
            <w:pPr>
              <w:pStyle w:val="Compact"/>
            </w:pPr>
            <w:r>
              <w:rPr>
                <w:rStyle w:val="VerbatimChar"/>
              </w:rPr>
              <w:t xml:space="preserve">AxRuntimeInfo()</w:t>
            </w:r>
          </w:p>
        </w:tc>
        <w:tc>
          <w:tcPr/>
          <w:p>
            <w:pPr>
              <w:pStyle w:val="Compact"/>
            </w:pPr>
            <w:r>
              <w:t xml:space="preserve">String</w:t>
            </w:r>
          </w:p>
        </w:tc>
        <w:tc>
          <w:tcPr/>
          <w:p>
            <w:pPr>
              <w:pStyle w:val="Compact"/>
            </w:pPr>
            <w:r>
              <w:t xml:space="preserve">Multi-section plain-text diagnostic report.</w:t>
            </w:r>
          </w:p>
        </w:tc>
      </w:tr>
      <w:tr>
        <w:tc>
          <w:tcPr/>
          <w:p>
            <w:pPr>
              <w:pStyle w:val="Compact"/>
            </w:pPr>
            <w:r>
              <w:rPr>
                <w:rStyle w:val="VerbatimChar"/>
              </w:rPr>
              <w:t xml:space="preserve">AxShutdownAxonASPServer()</w:t>
            </w:r>
          </w:p>
        </w:tc>
        <w:tc>
          <w:tcPr/>
          <w:p>
            <w:pPr>
              <w:pStyle w:val="Compact"/>
            </w:pPr>
            <w:r>
              <w:t xml:space="preserve">Boolean</w:t>
            </w:r>
          </w:p>
        </w:tc>
        <w:tc>
          <w:tcPr/>
          <w:p>
            <w:pPr>
              <w:pStyle w:val="Compact"/>
            </w:pPr>
            <w:r>
              <w:t xml:space="preserve">Terminates the server process if shutdown is enabled in configuration.</w:t>
            </w:r>
          </w:p>
        </w:tc>
      </w:tr>
      <w:tr>
        <w:tc>
          <w:tcPr/>
          <w:p>
            <w:pPr>
              <w:pStyle w:val="Compact"/>
            </w:pPr>
            <w:r>
              <w:rPr>
                <w:rStyle w:val="VerbatimChar"/>
              </w:rPr>
              <w:t xml:space="preserve">AxSystemInfo([mode])</w:t>
            </w:r>
          </w:p>
        </w:tc>
        <w:tc>
          <w:tcPr/>
          <w:p>
            <w:pPr>
              <w:pStyle w:val="Compact"/>
            </w:pPr>
            <w:r>
              <w:t xml:space="preserve">String</w:t>
            </w:r>
          </w:p>
        </w:tc>
        <w:tc>
          <w:tcPr/>
          <w:p>
            <w:pPr>
              <w:pStyle w:val="Compact"/>
            </w:pPr>
            <w:r>
              <w:t xml:space="preserve">System information: OS, hostname, architecture, Go version, or all combined.</w:t>
            </w:r>
          </w:p>
        </w:tc>
      </w:tr>
      <w:tr>
        <w:tc>
          <w:tcPr/>
          <w:p>
            <w:pPr>
              <w:pStyle w:val="Compact"/>
            </w:pPr>
            <w:r>
              <w:rPr>
                <w:rStyle w:val="VerbatimChar"/>
              </w:rPr>
              <w:t xml:space="preserve">AxUserConfigDirPath()</w:t>
            </w:r>
          </w:p>
        </w:tc>
        <w:tc>
          <w:tcPr/>
          <w:p>
            <w:pPr>
              <w:pStyle w:val="Compact"/>
            </w:pPr>
            <w:r>
              <w:t xml:space="preserve">String</w:t>
            </w:r>
          </w:p>
        </w:tc>
        <w:tc>
          <w:tcPr/>
          <w:p>
            <w:pPr>
              <w:pStyle w:val="Compact"/>
            </w:pPr>
            <w:r>
              <w:t xml:space="preserve">Resolved path to</w:t>
            </w:r>
            <w:r>
              <w:t xml:space="preserve"> </w:t>
            </w:r>
            <w:r>
              <w:rPr>
                <w:rStyle w:val="VerbatimChar"/>
              </w:rPr>
              <w:t xml:space="preserve">config/axonasp.toml</w:t>
            </w:r>
            <w:r>
              <w:t xml:space="preserve">.</w:t>
            </w:r>
          </w:p>
        </w:tc>
      </w:tr>
      <w:tr>
        <w:tc>
          <w:tcPr/>
          <w:p>
            <w:pPr>
              <w:pStyle w:val="Compact"/>
            </w:pPr>
            <w:r>
              <w:rPr>
                <w:rStyle w:val="VerbatimChar"/>
              </w:rPr>
              <w:t xml:space="preserve">AxUserHomeDirPath()</w:t>
            </w:r>
          </w:p>
        </w:tc>
        <w:tc>
          <w:tcPr/>
          <w:p>
            <w:pPr>
              <w:pStyle w:val="Compact"/>
            </w:pPr>
            <w:r>
              <w:t xml:space="preserve">String</w:t>
            </w:r>
          </w:p>
        </w:tc>
        <w:tc>
          <w:tcPr/>
          <w:p>
            <w:pPr>
              <w:pStyle w:val="Compact"/>
            </w:pPr>
            <w:r>
              <w:t xml:space="preserve">Current user home directory path.</w:t>
            </w:r>
          </w:p>
        </w:tc>
      </w:tr>
      <w:tr>
        <w:tc>
          <w:tcPr/>
          <w:p>
            <w:pPr>
              <w:pStyle w:val="Compact"/>
            </w:pPr>
            <w:r>
              <w:rPr>
                <w:rStyle w:val="VerbatimChar"/>
              </w:rPr>
              <w:t xml:space="preserve">AxVersion()</w:t>
            </w:r>
          </w:p>
        </w:tc>
        <w:tc>
          <w:tcPr/>
          <w:p>
            <w:pPr>
              <w:pStyle w:val="Compact"/>
            </w:pPr>
            <w:r>
              <w:t xml:space="preserve">String</w:t>
            </w:r>
          </w:p>
        </w:tc>
        <w:tc>
          <w:tcPr/>
          <w:p>
            <w:pPr>
              <w:pStyle w:val="Compact"/>
            </w:pPr>
            <w:r>
              <w:t xml:space="preserve">AxonASP runtime version string.</w:t>
            </w:r>
          </w:p>
        </w:tc>
      </w:tr>
    </w:tbl>
    <w:p>
      <w:r>
        <w:pict>
          <v:rect style="width:0;height:1.5pt" o:hralign="center" o:hrstd="t" o:hr="t"/>
        </w:pict>
      </w:r>
    </w:p>
    <w:bookmarkEnd w:id="1092"/>
    <w:bookmarkStart w:id="1093" w:name="configuration-3"/>
    <w:p>
      <w:pPr>
        <w:pStyle w:val="Heading2"/>
      </w:pPr>
      <w:r>
        <w:t xml:space="preserve">Configuration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AxGetConfig(key)</w:t>
            </w:r>
          </w:p>
        </w:tc>
        <w:tc>
          <w:tcPr/>
          <w:p>
            <w:pPr>
              <w:pStyle w:val="Compact"/>
            </w:pPr>
            <w:r>
              <w:t xml:space="preserve">String</w:t>
            </w:r>
          </w:p>
        </w:tc>
        <w:tc>
          <w:tcPr/>
          <w:p>
            <w:pPr>
              <w:pStyle w:val="Compact"/>
            </w:pPr>
            <w:r>
              <w:t xml:space="preserve">Reads a configuration key from</w:t>
            </w:r>
            <w:r>
              <w:t xml:space="preserve"> </w:t>
            </w:r>
            <w:r>
              <w:rPr>
                <w:rStyle w:val="VerbatimChar"/>
              </w:rPr>
              <w:t xml:space="preserve">axonasp.toml</w:t>
            </w:r>
            <w:r>
              <w:t xml:space="preserve"> </w:t>
            </w:r>
            <w:r>
              <w:t xml:space="preserve">with optional environment override.</w:t>
            </w:r>
          </w:p>
        </w:tc>
      </w:tr>
      <w:tr>
        <w:tc>
          <w:tcPr/>
          <w:p>
            <w:pPr>
              <w:pStyle w:val="Compact"/>
            </w:pPr>
            <w:r>
              <w:rPr>
                <w:rStyle w:val="VerbatimChar"/>
              </w:rPr>
              <w:t xml:space="preserve">AxGetConfigKeys()</w:t>
            </w:r>
          </w:p>
        </w:tc>
        <w:tc>
          <w:tcPr/>
          <w:p>
            <w:pPr>
              <w:pStyle w:val="Compact"/>
            </w:pPr>
            <w:r>
              <w:t xml:space="preserve">Array</w:t>
            </w:r>
          </w:p>
        </w:tc>
        <w:tc>
          <w:tcPr/>
          <w:p>
            <w:pPr>
              <w:pStyle w:val="Compact"/>
            </w:pPr>
            <w:r>
              <w:t xml:space="preserve">All available configuration key names.</w:t>
            </w:r>
          </w:p>
        </w:tc>
      </w:tr>
      <w:tr>
        <w:tc>
          <w:tcPr/>
          <w:p>
            <w:pPr>
              <w:pStyle w:val="Compact"/>
            </w:pPr>
            <w:r>
              <w:rPr>
                <w:rStyle w:val="VerbatimChar"/>
              </w:rPr>
              <w:t xml:space="preserve">AxGetDefaultCss()</w:t>
            </w:r>
          </w:p>
        </w:tc>
        <w:tc>
          <w:tcPr/>
          <w:p>
            <w:pPr>
              <w:pStyle w:val="Compact"/>
            </w:pPr>
            <w:r>
              <w:t xml:space="preserve">String</w:t>
            </w:r>
          </w:p>
        </w:tc>
        <w:tc>
          <w:tcPr/>
          <w:p>
            <w:pPr>
              <w:pStyle w:val="Compact"/>
            </w:pPr>
            <w:r>
              <w:t xml:space="preserve">Raw content of the CSS file configured at</w:t>
            </w:r>
            <w:r>
              <w:t xml:space="preserve"> </w:t>
            </w:r>
            <w:r>
              <w:rPr>
                <w:rStyle w:val="VerbatimChar"/>
              </w:rPr>
              <w:t xml:space="preserve">axfunctions.ax_default_css_path</w:t>
            </w:r>
            <w:r>
              <w:t xml:space="preserve">.</w:t>
            </w:r>
          </w:p>
        </w:tc>
      </w:tr>
      <w:tr>
        <w:tc>
          <w:tcPr/>
          <w:p>
            <w:pPr>
              <w:pStyle w:val="Compact"/>
            </w:pPr>
            <w:r>
              <w:rPr>
                <w:rStyle w:val="VerbatimChar"/>
              </w:rPr>
              <w:t xml:space="preserve">AxGetLogo()</w:t>
            </w:r>
          </w:p>
        </w:tc>
        <w:tc>
          <w:tcPr/>
          <w:p>
            <w:pPr>
              <w:pStyle w:val="Compact"/>
            </w:pPr>
            <w:r>
              <w:t xml:space="preserve">String</w:t>
            </w:r>
          </w:p>
        </w:tc>
        <w:tc>
          <w:tcPr/>
          <w:p>
            <w:pPr>
              <w:pStyle w:val="Compact"/>
            </w:pPr>
            <w:r>
              <w:t xml:space="preserve">Configured logo as a Base64 data URI.</w:t>
            </w:r>
          </w:p>
        </w:tc>
      </w:tr>
      <w:tr>
        <w:tc>
          <w:tcPr/>
          <w:p>
            <w:pPr>
              <w:pStyle w:val="Compact"/>
            </w:pPr>
            <w:r>
              <w:rPr>
                <w:rStyle w:val="VerbatimChar"/>
              </w:rPr>
              <w:t xml:space="preserve">AxPoweredByImage()</w:t>
            </w:r>
          </w:p>
        </w:tc>
        <w:tc>
          <w:tcPr/>
          <w:p>
            <w:pPr>
              <w:pStyle w:val="Compact"/>
            </w:pPr>
            <w:r>
              <w:t xml:space="preserve">String</w:t>
            </w:r>
          </w:p>
        </w:tc>
        <w:tc>
          <w:tcPr/>
          <w:p>
            <w:pPr>
              <w:pStyle w:val="Compact"/>
            </w:pPr>
            <w:r>
              <w:t xml:space="preserve">Built-in</w:t>
            </w:r>
            <w:r>
              <w:t xml:space="preserve"> </w:t>
            </w:r>
            <w:r>
              <w:t xml:space="preserve">“Powered by AxonASP”</w:t>
            </w:r>
            <w:r>
              <w:t xml:space="preserve"> </w:t>
            </w:r>
            <w:r>
              <w:t xml:space="preserve">image as a Base64 data URI.</w:t>
            </w:r>
          </w:p>
        </w:tc>
      </w:tr>
    </w:tbl>
    <w:p>
      <w:r>
        <w:pict>
          <v:rect style="width:0;height:1.5pt" o:hralign="center" o:hrstd="t" o:hr="t"/>
        </w:pict>
      </w:r>
    </w:p>
    <w:bookmarkEnd w:id="1093"/>
    <w:bookmarkStart w:id="1094" w:name="math-and-numeric"/>
    <w:p>
      <w:pPr>
        <w:pStyle w:val="Heading2"/>
      </w:pPr>
      <w:r>
        <w:t xml:space="preserve">Math and Numeric</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AxCeil(number)</w:t>
            </w:r>
          </w:p>
        </w:tc>
        <w:tc>
          <w:tcPr/>
          <w:p>
            <w:pPr>
              <w:pStyle w:val="Compact"/>
            </w:pPr>
            <w:r>
              <w:t xml:space="preserve">Double</w:t>
            </w:r>
          </w:p>
        </w:tc>
        <w:tc>
          <w:tcPr/>
          <w:p>
            <w:pPr>
              <w:pStyle w:val="Compact"/>
            </w:pPr>
            <w:r>
              <w:t xml:space="preserve">Rounds a value up to the nearest integer boundary.</w:t>
            </w:r>
          </w:p>
        </w:tc>
      </w:tr>
      <w:tr>
        <w:tc>
          <w:tcPr/>
          <w:p>
            <w:pPr>
              <w:pStyle w:val="Compact"/>
            </w:pPr>
            <w:r>
              <w:rPr>
                <w:rStyle w:val="VerbatimChar"/>
              </w:rPr>
              <w:t xml:space="preserve">AxCount(value)</w:t>
            </w:r>
          </w:p>
        </w:tc>
        <w:tc>
          <w:tcPr/>
          <w:p>
            <w:pPr>
              <w:pStyle w:val="Compact"/>
            </w:pPr>
            <w:r>
              <w:t xml:space="preserve">Integer</w:t>
            </w:r>
          </w:p>
        </w:tc>
        <w:tc>
          <w:tcPr/>
          <w:p>
            <w:pPr>
              <w:pStyle w:val="Compact"/>
            </w:pPr>
            <w:r>
              <w:t xml:space="preserve">Number of elements in a VBScript array. Returns</w:t>
            </w:r>
            <w:r>
              <w:t xml:space="preserve"> </w:t>
            </w:r>
            <w:r>
              <w:rPr>
                <w:rStyle w:val="VerbatimChar"/>
              </w:rPr>
              <w:t xml:space="preserve">0</w:t>
            </w:r>
            <w:r>
              <w:t xml:space="preserve"> </w:t>
            </w:r>
            <w:r>
              <w:t xml:space="preserve">for non-arrays.</w:t>
            </w:r>
          </w:p>
        </w:tc>
      </w:tr>
      <w:tr>
        <w:tc>
          <w:tcPr/>
          <w:p>
            <w:pPr>
              <w:pStyle w:val="Compact"/>
            </w:pPr>
            <w:r>
              <w:rPr>
                <w:rStyle w:val="VerbatimChar"/>
              </w:rPr>
              <w:t xml:space="preserve">AxFloor(number)</w:t>
            </w:r>
          </w:p>
        </w:tc>
        <w:tc>
          <w:tcPr/>
          <w:p>
            <w:pPr>
              <w:pStyle w:val="Compact"/>
            </w:pPr>
            <w:r>
              <w:t xml:space="preserve">Double</w:t>
            </w:r>
          </w:p>
        </w:tc>
        <w:tc>
          <w:tcPr/>
          <w:p>
            <w:pPr>
              <w:pStyle w:val="Compact"/>
            </w:pPr>
            <w:r>
              <w:t xml:space="preserve">Rounds a value down to the nearest integer boundary.</w:t>
            </w:r>
          </w:p>
        </w:tc>
      </w:tr>
      <w:tr>
        <w:tc>
          <w:tcPr/>
          <w:p>
            <w:pPr>
              <w:pStyle w:val="Compact"/>
            </w:pPr>
            <w:r>
              <w:rPr>
                <w:rStyle w:val="VerbatimChar"/>
              </w:rPr>
              <w:t xml:space="preserve">AxFloatPrecisionDigits()</w:t>
            </w:r>
          </w:p>
        </w:tc>
        <w:tc>
          <w:tcPr/>
          <w:p>
            <w:pPr>
              <w:pStyle w:val="Compact"/>
            </w:pPr>
            <w:r>
              <w:t xml:space="preserve">Integer</w:t>
            </w:r>
          </w:p>
        </w:tc>
        <w:tc>
          <w:tcPr/>
          <w:p>
            <w:pPr>
              <w:pStyle w:val="Compact"/>
            </w:pPr>
            <w:r>
              <w:t xml:space="preserve">Standard float precision digit count (</w:t>
            </w:r>
            <w:r>
              <w:rPr>
                <w:rStyle w:val="VerbatimChar"/>
              </w:rPr>
              <w:t xml:space="preserve">15</w:t>
            </w:r>
            <w:r>
              <w:t xml:space="preserve">).</w:t>
            </w:r>
          </w:p>
        </w:tc>
      </w:tr>
      <w:tr>
        <w:tc>
          <w:tcPr/>
          <w:p>
            <w:pPr>
              <w:pStyle w:val="Compact"/>
            </w:pPr>
            <w:r>
              <w:rPr>
                <w:rStyle w:val="VerbatimChar"/>
              </w:rPr>
              <w:t xml:space="preserve">AxIntegerMax()</w:t>
            </w:r>
          </w:p>
        </w:tc>
        <w:tc>
          <w:tcPr/>
          <w:p>
            <w:pPr>
              <w:pStyle w:val="Compact"/>
            </w:pPr>
            <w:r>
              <w:t xml:space="preserve">Integer</w:t>
            </w:r>
          </w:p>
        </w:tc>
        <w:tc>
          <w:tcPr/>
          <w:p>
            <w:pPr>
              <w:pStyle w:val="Compact"/>
            </w:pPr>
            <w:r>
              <w:t xml:space="preserve">Maximum native 64-bit integer value (</w:t>
            </w:r>
            <w:r>
              <w:rPr>
                <w:rStyle w:val="VerbatimChar"/>
              </w:rPr>
              <w:t xml:space="preserve">9,223,372,036,854,775,807</w:t>
            </w:r>
            <w:r>
              <w:t xml:space="preserve">).</w:t>
            </w:r>
          </w:p>
        </w:tc>
      </w:tr>
      <w:tr>
        <w:tc>
          <w:tcPr/>
          <w:p>
            <w:pPr>
              <w:pStyle w:val="Compact"/>
            </w:pPr>
            <w:r>
              <w:rPr>
                <w:rStyle w:val="VerbatimChar"/>
              </w:rPr>
              <w:t xml:space="preserve">AxIntegerMin()</w:t>
            </w:r>
          </w:p>
        </w:tc>
        <w:tc>
          <w:tcPr/>
          <w:p>
            <w:pPr>
              <w:pStyle w:val="Compact"/>
            </w:pPr>
            <w:r>
              <w:t xml:space="preserve">Integer</w:t>
            </w:r>
          </w:p>
        </w:tc>
        <w:tc>
          <w:tcPr/>
          <w:p>
            <w:pPr>
              <w:pStyle w:val="Compact"/>
            </w:pPr>
            <w:r>
              <w:t xml:space="preserve">Minimum native 64-bit integer value (</w:t>
            </w:r>
            <w:r>
              <w:rPr>
                <w:rStyle w:val="VerbatimChar"/>
              </w:rPr>
              <w:t xml:space="preserve">-9,223,372,036,854,775,808</w:t>
            </w:r>
            <w:r>
              <w:t xml:space="preserve">).</w:t>
            </w:r>
          </w:p>
        </w:tc>
      </w:tr>
      <w:tr>
        <w:tc>
          <w:tcPr/>
          <w:p>
            <w:pPr>
              <w:pStyle w:val="Compact"/>
            </w:pPr>
            <w:r>
              <w:rPr>
                <w:rStyle w:val="VerbatimChar"/>
              </w:rPr>
              <w:t xml:space="preserve">AxIntegerSizeBytes()</w:t>
            </w:r>
          </w:p>
        </w:tc>
        <w:tc>
          <w:tcPr/>
          <w:p>
            <w:pPr>
              <w:pStyle w:val="Compact"/>
            </w:pPr>
            <w:r>
              <w:t xml:space="preserve">Integer</w:t>
            </w:r>
          </w:p>
        </w:tc>
        <w:tc>
          <w:tcPr/>
          <w:p>
            <w:pPr>
              <w:pStyle w:val="Compact"/>
            </w:pPr>
            <w:r>
              <w:t xml:space="preserve">Native integer size in bytes (</w:t>
            </w:r>
            <w:r>
              <w:rPr>
                <w:rStyle w:val="VerbatimChar"/>
              </w:rPr>
              <w:t xml:space="preserve">4</w:t>
            </w:r>
            <w:r>
              <w:t xml:space="preserve"> </w:t>
            </w:r>
            <w:r>
              <w:t xml:space="preserve">on 32-bit,</w:t>
            </w:r>
            <w:r>
              <w:t xml:space="preserve"> </w:t>
            </w:r>
            <w:r>
              <w:rPr>
                <w:rStyle w:val="VerbatimChar"/>
              </w:rPr>
              <w:t xml:space="preserve">8</w:t>
            </w:r>
            <w:r>
              <w:t xml:space="preserve"> </w:t>
            </w:r>
            <w:r>
              <w:t xml:space="preserve">on 64-bit).</w:t>
            </w:r>
          </w:p>
        </w:tc>
      </w:tr>
      <w:tr>
        <w:tc>
          <w:tcPr/>
          <w:p>
            <w:pPr>
              <w:pStyle w:val="Compact"/>
            </w:pPr>
            <w:r>
              <w:rPr>
                <w:rStyle w:val="VerbatimChar"/>
              </w:rPr>
              <w:t xml:space="preserve">AxMax(n1, n2, ...)</w:t>
            </w:r>
          </w:p>
        </w:tc>
        <w:tc>
          <w:tcPr/>
          <w:p>
            <w:pPr>
              <w:pStyle w:val="Compact"/>
            </w:pPr>
            <w:r>
              <w:t xml:space="preserve">Double</w:t>
            </w:r>
          </w:p>
        </w:tc>
        <w:tc>
          <w:tcPr/>
          <w:p>
            <w:pPr>
              <w:pStyle w:val="Compact"/>
            </w:pPr>
            <w:r>
              <w:t xml:space="preserve">Largest value from the supplied arguments.</w:t>
            </w:r>
          </w:p>
        </w:tc>
      </w:tr>
      <w:tr>
        <w:tc>
          <w:tcPr/>
          <w:p>
            <w:pPr>
              <w:pStyle w:val="Compact"/>
            </w:pPr>
            <w:r>
              <w:rPr>
                <w:rStyle w:val="VerbatimChar"/>
              </w:rPr>
              <w:t xml:space="preserve">AxMin(n1, n2, ...)</w:t>
            </w:r>
          </w:p>
        </w:tc>
        <w:tc>
          <w:tcPr/>
          <w:p>
            <w:pPr>
              <w:pStyle w:val="Compact"/>
            </w:pPr>
            <w:r>
              <w:t xml:space="preserve">Double</w:t>
            </w:r>
          </w:p>
        </w:tc>
        <w:tc>
          <w:tcPr/>
          <w:p>
            <w:pPr>
              <w:pStyle w:val="Compact"/>
            </w:pPr>
            <w:r>
              <w:t xml:space="preserve">Smallest value from the supplied arguments.</w:t>
            </w:r>
          </w:p>
        </w:tc>
      </w:tr>
      <w:tr>
        <w:tc>
          <w:tcPr/>
          <w:p>
            <w:pPr>
              <w:pStyle w:val="Compact"/>
            </w:pPr>
            <w:r>
              <w:rPr>
                <w:rStyle w:val="VerbatimChar"/>
              </w:rPr>
              <w:t xml:space="preserve">AxNumberFormat(n, decimals, decPoint, thousandsSep)</w:t>
            </w:r>
          </w:p>
        </w:tc>
        <w:tc>
          <w:tcPr/>
          <w:p>
            <w:pPr>
              <w:pStyle w:val="Compact"/>
            </w:pPr>
            <w:r>
              <w:t xml:space="preserve">String</w:t>
            </w:r>
          </w:p>
        </w:tc>
        <w:tc>
          <w:tcPr/>
          <w:p>
            <w:pPr>
              <w:pStyle w:val="Compact"/>
            </w:pPr>
            <w:r>
              <w:t xml:space="preserve">Formats a number with configurable separators.</w:t>
            </w:r>
          </w:p>
        </w:tc>
      </w:tr>
      <w:tr>
        <w:tc>
          <w:tcPr/>
          <w:p>
            <w:pPr>
              <w:pStyle w:val="Compact"/>
            </w:pPr>
            <w:r>
              <w:rPr>
                <w:rStyle w:val="VerbatimChar"/>
              </w:rPr>
              <w:t xml:space="preserve">AxPi()</w:t>
            </w:r>
          </w:p>
        </w:tc>
        <w:tc>
          <w:tcPr/>
          <w:p>
            <w:pPr>
              <w:pStyle w:val="Compact"/>
            </w:pPr>
            <w:r>
              <w:t xml:space="preserve">Double</w:t>
            </w:r>
          </w:p>
        </w:tc>
        <w:tc>
          <w:tcPr/>
          <w:p>
            <w:pPr>
              <w:pStyle w:val="Compact"/>
            </w:pPr>
            <w:r>
              <w:t xml:space="preserve">Mathematical constant π (</w:t>
            </w:r>
            <w:r>
              <w:rPr>
                <w:rStyle w:val="VerbatimChar"/>
              </w:rPr>
              <w:t xml:space="preserve">3.141592653589793</w:t>
            </w:r>
            <w:r>
              <w:t xml:space="preserve">).</w:t>
            </w:r>
          </w:p>
        </w:tc>
      </w:tr>
      <w:tr>
        <w:tc>
          <w:tcPr/>
          <w:p>
            <w:pPr>
              <w:pStyle w:val="Compact"/>
            </w:pPr>
            <w:r>
              <w:rPr>
                <w:rStyle w:val="VerbatimChar"/>
              </w:rPr>
              <w:t xml:space="preserve">AxPlatformBits()</w:t>
            </w:r>
          </w:p>
        </w:tc>
        <w:tc>
          <w:tcPr/>
          <w:p>
            <w:pPr>
              <w:pStyle w:val="Compact"/>
            </w:pPr>
            <w:r>
              <w:t xml:space="preserve">Integer</w:t>
            </w:r>
          </w:p>
        </w:tc>
        <w:tc>
          <w:tcPr/>
          <w:p>
            <w:pPr>
              <w:pStyle w:val="Compact"/>
            </w:pPr>
            <w:r>
              <w:t xml:space="preserve">Native integer size in bits (</w:t>
            </w:r>
            <w:r>
              <w:rPr>
                <w:rStyle w:val="VerbatimChar"/>
              </w:rPr>
              <w:t xml:space="preserve">32</w:t>
            </w:r>
            <w:r>
              <w:t xml:space="preserve"> </w:t>
            </w:r>
            <w:r>
              <w:t xml:space="preserve">or</w:t>
            </w:r>
            <w:r>
              <w:t xml:space="preserve"> </w:t>
            </w:r>
            <w:r>
              <w:rPr>
                <w:rStyle w:val="VerbatimChar"/>
              </w:rPr>
              <w:t xml:space="preserve">64</w:t>
            </w:r>
            <w:r>
              <w:t xml:space="preserve">).</w:t>
            </w:r>
          </w:p>
        </w:tc>
      </w:tr>
      <w:tr>
        <w:tc>
          <w:tcPr/>
          <w:p>
            <w:pPr>
              <w:pStyle w:val="Compact"/>
            </w:pPr>
            <w:r>
              <w:rPr>
                <w:rStyle w:val="VerbatimChar"/>
              </w:rPr>
              <w:t xml:space="preserve">AxRand([max] / [min, max])</w:t>
            </w:r>
          </w:p>
        </w:tc>
        <w:tc>
          <w:tcPr/>
          <w:p>
            <w:pPr>
              <w:pStyle w:val="Compact"/>
            </w:pPr>
            <w:r>
              <w:t xml:space="preserve">Integer</w:t>
            </w:r>
          </w:p>
        </w:tc>
        <w:tc>
          <w:tcPr/>
          <w:p>
            <w:pPr>
              <w:pStyle w:val="Compact"/>
            </w:pPr>
            <w:r>
              <w:t xml:space="preserve">Random integer within the specified range.</w:t>
            </w:r>
          </w:p>
        </w:tc>
      </w:tr>
      <w:tr>
        <w:tc>
          <w:tcPr/>
          <w:p>
            <w:pPr>
              <w:pStyle w:val="Compact"/>
            </w:pPr>
            <w:r>
              <w:rPr>
                <w:rStyle w:val="VerbatimChar"/>
              </w:rPr>
              <w:t xml:space="preserve">AxSmallestFloatValue()</w:t>
            </w:r>
          </w:p>
        </w:tc>
        <w:tc>
          <w:tcPr/>
          <w:p>
            <w:pPr>
              <w:pStyle w:val="Compact"/>
            </w:pPr>
            <w:r>
              <w:t xml:space="preserve">Double</w:t>
            </w:r>
          </w:p>
        </w:tc>
        <w:tc>
          <w:tcPr/>
          <w:p>
            <w:pPr>
              <w:pStyle w:val="Compact"/>
            </w:pPr>
            <w:r>
              <w:t xml:space="preserve">Smallest non-zero positive</w:t>
            </w:r>
            <w:r>
              <w:t xml:space="preserve"> </w:t>
            </w:r>
            <w:r>
              <w:rPr>
                <w:rStyle w:val="VerbatimChar"/>
              </w:rPr>
              <w:t xml:space="preserve">float64</w:t>
            </w:r>
            <w:r>
              <w:t xml:space="preserve"> </w:t>
            </w:r>
            <w:r>
              <w:t xml:space="preserve">value (</w:t>
            </w:r>
            <w:r>
              <w:rPr>
                <w:rStyle w:val="VerbatimChar"/>
              </w:rPr>
              <w:t xml:space="preserve">5e-324</w:t>
            </w:r>
            <w:r>
              <w:t xml:space="preserve">).</w:t>
            </w:r>
          </w:p>
        </w:tc>
      </w:tr>
    </w:tbl>
    <w:p>
      <w:r>
        <w:pict>
          <v:rect style="width:0;height:1.5pt" o:hralign="center" o:hrstd="t" o:hr="t"/>
        </w:pict>
      </w:r>
    </w:p>
    <w:bookmarkEnd w:id="1094"/>
    <w:bookmarkStart w:id="1095" w:name="array"/>
    <w:p>
      <w:pPr>
        <w:pStyle w:val="Heading2"/>
      </w:pPr>
      <w:r>
        <w:t xml:space="preserve">Array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AxArrayReverse(arr)</w:t>
            </w:r>
          </w:p>
        </w:tc>
        <w:tc>
          <w:tcPr/>
          <w:p>
            <w:pPr>
              <w:pStyle w:val="Compact"/>
            </w:pPr>
            <w:r>
              <w:t xml:space="preserve">Array</w:t>
            </w:r>
          </w:p>
        </w:tc>
        <w:tc>
          <w:tcPr/>
          <w:p>
            <w:pPr>
              <w:pStyle w:val="Compact"/>
            </w:pPr>
            <w:r>
              <w:t xml:space="preserve">New array with elements in reverse order.</w:t>
            </w:r>
          </w:p>
        </w:tc>
      </w:tr>
      <w:tr>
        <w:tc>
          <w:tcPr/>
          <w:p>
            <w:pPr>
              <w:pStyle w:val="Compact"/>
            </w:pPr>
            <w:r>
              <w:rPr>
                <w:rStyle w:val="VerbatimChar"/>
              </w:rPr>
              <w:t xml:space="preserve">AxExplode(delimiter, str [, limit])</w:t>
            </w:r>
          </w:p>
        </w:tc>
        <w:tc>
          <w:tcPr/>
          <w:p>
            <w:pPr>
              <w:pStyle w:val="Compact"/>
            </w:pPr>
            <w:r>
              <w:t xml:space="preserve">Array</w:t>
            </w:r>
          </w:p>
        </w:tc>
        <w:tc>
          <w:tcPr/>
          <w:p>
            <w:pPr>
              <w:pStyle w:val="Compact"/>
            </w:pPr>
            <w:r>
              <w:t xml:space="preserve">Splits a string into an array by delimiter.</w:t>
            </w:r>
          </w:p>
        </w:tc>
      </w:tr>
      <w:tr>
        <w:tc>
          <w:tcPr/>
          <w:p>
            <w:pPr>
              <w:pStyle w:val="Compact"/>
            </w:pPr>
            <w:r>
              <w:rPr>
                <w:rStyle w:val="VerbatimChar"/>
              </w:rPr>
              <w:t xml:space="preserve">AxImplode(glue, arr)</w:t>
            </w:r>
          </w:p>
        </w:tc>
        <w:tc>
          <w:tcPr/>
          <w:p>
            <w:pPr>
              <w:pStyle w:val="Compact"/>
            </w:pPr>
            <w:r>
              <w:t xml:space="preserve">String</w:t>
            </w:r>
          </w:p>
        </w:tc>
        <w:tc>
          <w:tcPr/>
          <w:p>
            <w:pPr>
              <w:pStyle w:val="Compact"/>
            </w:pPr>
            <w:r>
              <w:t xml:space="preserve">Joins array elements into a string with a separator.</w:t>
            </w:r>
          </w:p>
        </w:tc>
      </w:tr>
      <w:tr>
        <w:tc>
          <w:tcPr/>
          <w:p>
            <w:pPr>
              <w:pStyle w:val="Compact"/>
            </w:pPr>
            <w:r>
              <w:rPr>
                <w:rStyle w:val="VerbatimChar"/>
              </w:rPr>
              <w:t xml:space="preserve">AxRange(start, end [, step])</w:t>
            </w:r>
          </w:p>
        </w:tc>
        <w:tc>
          <w:tcPr/>
          <w:p>
            <w:pPr>
              <w:pStyle w:val="Compact"/>
            </w:pPr>
            <w:r>
              <w:t xml:space="preserve">Array</w:t>
            </w:r>
          </w:p>
        </w:tc>
        <w:tc>
          <w:tcPr/>
          <w:p>
            <w:pPr>
              <w:pStyle w:val="Compact"/>
            </w:pPr>
            <w:r>
              <w:t xml:space="preserve">Numeric array from</w:t>
            </w:r>
            <w:r>
              <w:t xml:space="preserve"> </w:t>
            </w:r>
            <w:r>
              <w:rPr>
                <w:rStyle w:val="VerbatimChar"/>
              </w:rPr>
              <w:t xml:space="preserve">start</w:t>
            </w:r>
            <w:r>
              <w:t xml:space="preserve"> </w:t>
            </w:r>
            <w:r>
              <w:t xml:space="preserve">to</w:t>
            </w:r>
            <w:r>
              <w:t xml:space="preserve"> </w:t>
            </w:r>
            <w:r>
              <w:rPr>
                <w:rStyle w:val="VerbatimChar"/>
              </w:rPr>
              <w:t xml:space="preserve">end</w:t>
            </w:r>
            <w:r>
              <w:t xml:space="preserve"> </w:t>
            </w:r>
            <w:r>
              <w:t xml:space="preserve">with optional</w:t>
            </w:r>
            <w:r>
              <w:t xml:space="preserve"> </w:t>
            </w:r>
            <w:r>
              <w:rPr>
                <w:rStyle w:val="VerbatimChar"/>
              </w:rPr>
              <w:t xml:space="preserve">step</w:t>
            </w:r>
            <w:r>
              <w:t xml:space="preserve">.</w:t>
            </w:r>
          </w:p>
        </w:tc>
      </w:tr>
    </w:tbl>
    <w:p>
      <w:r>
        <w:pict>
          <v:rect style="width:0;height:1.5pt" o:hralign="center" o:hrstd="t" o:hr="t"/>
        </w:pict>
      </w:r>
    </w:p>
    <w:bookmarkEnd w:id="1095"/>
    <w:bookmarkStart w:id="1096" w:name="string"/>
    <w:p>
      <w:pPr>
        <w:pStyle w:val="Heading2"/>
      </w:pPr>
      <w:r>
        <w:t xml:space="preserve">String</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AxNl2Br(str)</w:t>
            </w:r>
          </w:p>
        </w:tc>
        <w:tc>
          <w:tcPr/>
          <w:p>
            <w:pPr>
              <w:pStyle w:val="Compact"/>
            </w:pPr>
            <w:r>
              <w:t xml:space="preserve">String</w:t>
            </w:r>
          </w:p>
        </w:tc>
        <w:tc>
          <w:tcPr/>
          <w:p>
            <w:pPr>
              <w:pStyle w:val="Compact"/>
            </w:pPr>
            <w:r>
              <w:t xml:space="preserve">Replaces line breaks (CRLF, LF, CR) with HTML</w:t>
            </w:r>
            <w:r>
              <w:t xml:space="preserve"> </w:t>
            </w:r>
            <w:r>
              <w:rPr>
                <w:rStyle w:val="VerbatimChar"/>
              </w:rPr>
              <w:t xml:space="preserve">&lt;br&gt;</w:t>
            </w:r>
            <w:r>
              <w:t xml:space="preserve"> </w:t>
            </w:r>
            <w:r>
              <w:t xml:space="preserve">tags.</w:t>
            </w:r>
          </w:p>
        </w:tc>
      </w:tr>
      <w:tr>
        <w:tc>
          <w:tcPr/>
          <w:p>
            <w:pPr>
              <w:pStyle w:val="Compact"/>
            </w:pPr>
            <w:r>
              <w:rPr>
                <w:rStyle w:val="VerbatimChar"/>
              </w:rPr>
              <w:t xml:space="preserve">AxPad(str, length, padStr, padType)</w:t>
            </w:r>
          </w:p>
        </w:tc>
        <w:tc>
          <w:tcPr/>
          <w:p>
            <w:pPr>
              <w:pStyle w:val="Compact"/>
            </w:pPr>
            <w:r>
              <w:t xml:space="preserve">String</w:t>
            </w:r>
          </w:p>
        </w:tc>
        <w:tc>
          <w:tcPr/>
          <w:p>
            <w:pPr>
              <w:pStyle w:val="Compact"/>
            </w:pPr>
            <w:r>
              <w:t xml:space="preserve">Pads a string to a target length on the left, right, or both sides.</w:t>
            </w:r>
          </w:p>
        </w:tc>
      </w:tr>
      <w:tr>
        <w:tc>
          <w:tcPr/>
          <w:p>
            <w:pPr>
              <w:pStyle w:val="Compact"/>
            </w:pPr>
            <w:r>
              <w:rPr>
                <w:rStyle w:val="VerbatimChar"/>
              </w:rPr>
              <w:t xml:space="preserve">AxRepeat(str, count)</w:t>
            </w:r>
          </w:p>
        </w:tc>
        <w:tc>
          <w:tcPr/>
          <w:p>
            <w:pPr>
              <w:pStyle w:val="Compact"/>
            </w:pPr>
            <w:r>
              <w:t xml:space="preserve">String</w:t>
            </w:r>
          </w:p>
        </w:tc>
        <w:tc>
          <w:tcPr/>
          <w:p>
            <w:pPr>
              <w:pStyle w:val="Compact"/>
            </w:pPr>
            <w:r>
              <w:t xml:space="preserve">Repeats a string a specified number of times.</w:t>
            </w:r>
          </w:p>
        </w:tc>
      </w:tr>
      <w:tr>
        <w:tc>
          <w:tcPr/>
          <w:p>
            <w:pPr>
              <w:pStyle w:val="Compact"/>
            </w:pPr>
            <w:r>
              <w:rPr>
                <w:rStyle w:val="VerbatimChar"/>
              </w:rPr>
              <w:t xml:space="preserve">AxStringGetCsv(str [, delimiter])</w:t>
            </w:r>
          </w:p>
        </w:tc>
        <w:tc>
          <w:tcPr/>
          <w:p>
            <w:pPr>
              <w:pStyle w:val="Compact"/>
            </w:pPr>
            <w:r>
              <w:t xml:space="preserve">Array</w:t>
            </w:r>
          </w:p>
        </w:tc>
        <w:tc>
          <w:tcPr/>
          <w:p>
            <w:pPr>
              <w:pStyle w:val="Compact"/>
            </w:pPr>
            <w:r>
              <w:t xml:space="preserve">Parses one CSV row and returns the field values as an array.</w:t>
            </w:r>
          </w:p>
        </w:tc>
      </w:tr>
      <w:tr>
        <w:tc>
          <w:tcPr/>
          <w:p>
            <w:pPr>
              <w:pStyle w:val="Compact"/>
            </w:pPr>
            <w:r>
              <w:rPr>
                <w:rStyle w:val="VerbatimChar"/>
              </w:rPr>
              <w:t xml:space="preserve">AxStringReplace(search, replacement, subject)</w:t>
            </w:r>
          </w:p>
        </w:tc>
        <w:tc>
          <w:tcPr/>
          <w:p>
            <w:pPr>
              <w:pStyle w:val="Compact"/>
            </w:pPr>
            <w:r>
              <w:t xml:space="preserve">String</w:t>
            </w:r>
          </w:p>
        </w:tc>
        <w:tc>
          <w:tcPr/>
          <w:p>
            <w:pPr>
              <w:pStyle w:val="Compact"/>
            </w:pPr>
            <w:r>
              <w:t xml:space="preserve">Replaces all occurrences of a substring.</w:t>
            </w:r>
          </w:p>
        </w:tc>
      </w:tr>
      <w:tr>
        <w:tc>
          <w:tcPr/>
          <w:p>
            <w:pPr>
              <w:pStyle w:val="Compact"/>
            </w:pPr>
            <w:r>
              <w:rPr>
                <w:rStyle w:val="VerbatimChar"/>
              </w:rPr>
              <w:t xml:space="preserve">AxTrim(str [, chars])</w:t>
            </w:r>
          </w:p>
        </w:tc>
        <w:tc>
          <w:tcPr/>
          <w:p>
            <w:pPr>
              <w:pStyle w:val="Compact"/>
            </w:pPr>
            <w:r>
              <w:t xml:space="preserve">String</w:t>
            </w:r>
          </w:p>
        </w:tc>
        <w:tc>
          <w:tcPr/>
          <w:p>
            <w:pPr>
              <w:pStyle w:val="Compact"/>
            </w:pPr>
            <w:r>
              <w:t xml:space="preserve">Trims whitespace or a custom character set from both ends.</w:t>
            </w:r>
          </w:p>
        </w:tc>
      </w:tr>
      <w:tr>
        <w:tc>
          <w:tcPr/>
          <w:p>
            <w:pPr>
              <w:pStyle w:val="Compact"/>
            </w:pPr>
            <w:r>
              <w:rPr>
                <w:rStyle w:val="VerbatimChar"/>
              </w:rPr>
              <w:t xml:space="preserve">AxUcFirst(str)</w:t>
            </w:r>
          </w:p>
        </w:tc>
        <w:tc>
          <w:tcPr/>
          <w:p>
            <w:pPr>
              <w:pStyle w:val="Compact"/>
            </w:pPr>
            <w:r>
              <w:t xml:space="preserve">String</w:t>
            </w:r>
          </w:p>
        </w:tc>
        <w:tc>
          <w:tcPr/>
          <w:p>
            <w:pPr>
              <w:pStyle w:val="Compact"/>
            </w:pPr>
            <w:r>
              <w:t xml:space="preserve">Uppercases the first character of a string.</w:t>
            </w:r>
          </w:p>
        </w:tc>
      </w:tr>
      <w:tr>
        <w:tc>
          <w:tcPr/>
          <w:p>
            <w:pPr>
              <w:pStyle w:val="Compact"/>
            </w:pPr>
            <w:r>
              <w:rPr>
                <w:rStyle w:val="VerbatimChar"/>
              </w:rPr>
              <w:t xml:space="preserve">AxW(text)</w:t>
            </w:r>
          </w:p>
        </w:tc>
        <w:tc>
          <w:tcPr/>
          <w:p>
            <w:pPr>
              <w:pStyle w:val="Compact"/>
            </w:pPr>
            <w:r>
              <w:t xml:space="preserve">Empty</w:t>
            </w:r>
          </w:p>
        </w:tc>
        <w:tc>
          <w:tcPr/>
          <w:p>
            <w:pPr>
              <w:pStyle w:val="Compact"/>
            </w:pPr>
            <w:r>
              <w:t xml:space="preserve">Writes HTML-escaped text to the response output stream.</w:t>
            </w:r>
          </w:p>
        </w:tc>
      </w:tr>
      <w:tr>
        <w:tc>
          <w:tcPr/>
          <w:p>
            <w:pPr>
              <w:pStyle w:val="Compact"/>
            </w:pPr>
            <w:r>
              <w:rPr>
                <w:rStyle w:val="VerbatimChar"/>
              </w:rPr>
              <w:t xml:space="preserve">AxWordCount(str [, format])</w:t>
            </w:r>
          </w:p>
        </w:tc>
        <w:tc>
          <w:tcPr/>
          <w:p>
            <w:pPr>
              <w:pStyle w:val="Compact"/>
            </w:pPr>
            <w:r>
              <w:t xml:space="preserve">Integer/Array</w:t>
            </w:r>
          </w:p>
        </w:tc>
        <w:tc>
          <w:tcPr/>
          <w:p>
            <w:pPr>
              <w:pStyle w:val="Compact"/>
            </w:pPr>
            <w:r>
              <w:t xml:space="preserve">Counts words in a string, or returns them as an array.</w:t>
            </w:r>
          </w:p>
        </w:tc>
      </w:tr>
    </w:tbl>
    <w:p>
      <w:r>
        <w:pict>
          <v:rect style="width:0;height:1.5pt" o:hralign="center" o:hrstd="t" o:hr="t"/>
        </w:pict>
      </w:r>
    </w:p>
    <w:bookmarkEnd w:id="1096"/>
    <w:bookmarkStart w:id="1097" w:name="hash-and-encoding"/>
    <w:p>
      <w:pPr>
        <w:pStyle w:val="Heading2"/>
      </w:pPr>
      <w:r>
        <w:t xml:space="preserve">Hash and Encoding</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AxBase64Decode(str)</w:t>
            </w:r>
          </w:p>
        </w:tc>
        <w:tc>
          <w:tcPr/>
          <w:p>
            <w:pPr>
              <w:pStyle w:val="Compact"/>
            </w:pPr>
            <w:r>
              <w:t xml:space="preserve">String</w:t>
            </w:r>
          </w:p>
        </w:tc>
        <w:tc>
          <w:tcPr/>
          <w:p>
            <w:pPr>
              <w:pStyle w:val="Compact"/>
            </w:pPr>
            <w:r>
              <w:t xml:space="preserve">Decodes a Base64 string. Returns empty string on invalid input.</w:t>
            </w:r>
          </w:p>
        </w:tc>
      </w:tr>
      <w:tr>
        <w:tc>
          <w:tcPr/>
          <w:p>
            <w:pPr>
              <w:pStyle w:val="Compact"/>
            </w:pPr>
            <w:r>
              <w:rPr>
                <w:rStyle w:val="VerbatimChar"/>
              </w:rPr>
              <w:t xml:space="preserve">AxBase64Encode(str)</w:t>
            </w:r>
          </w:p>
        </w:tc>
        <w:tc>
          <w:tcPr/>
          <w:p>
            <w:pPr>
              <w:pStyle w:val="Compact"/>
            </w:pPr>
            <w:r>
              <w:t xml:space="preserve">String</w:t>
            </w:r>
          </w:p>
        </w:tc>
        <w:tc>
          <w:tcPr/>
          <w:p>
            <w:pPr>
              <w:pStyle w:val="Compact"/>
            </w:pPr>
            <w:r>
              <w:t xml:space="preserve">Encodes a string to Base64.</w:t>
            </w:r>
          </w:p>
        </w:tc>
      </w:tr>
      <w:tr>
        <w:tc>
          <w:tcPr/>
          <w:p>
            <w:pPr>
              <w:pStyle w:val="Compact"/>
            </w:pPr>
            <w:r>
              <w:rPr>
                <w:rStyle w:val="VerbatimChar"/>
              </w:rPr>
              <w:t xml:space="preserve">AxHash(algo, str)</w:t>
            </w:r>
          </w:p>
        </w:tc>
        <w:tc>
          <w:tcPr/>
          <w:p>
            <w:pPr>
              <w:pStyle w:val="Compact"/>
            </w:pPr>
            <w:r>
              <w:t xml:space="preserve">String</w:t>
            </w:r>
          </w:p>
        </w:tc>
        <w:tc>
          <w:tcPr/>
          <w:p>
            <w:pPr>
              <w:pStyle w:val="Compact"/>
            </w:pPr>
            <w:r>
              <w:t xml:space="preserve">Hexadecimal hash using</w:t>
            </w:r>
            <w:r>
              <w:t xml:space="preserve"> </w:t>
            </w:r>
            <w:r>
              <w:rPr>
                <w:rStyle w:val="VerbatimChar"/>
              </w:rPr>
              <w:t xml:space="preserve">"md5"</w:t>
            </w:r>
            <w:r>
              <w:t xml:space="preserve">,</w:t>
            </w:r>
            <w:r>
              <w:t xml:space="preserve"> </w:t>
            </w:r>
            <w:r>
              <w:rPr>
                <w:rStyle w:val="VerbatimChar"/>
              </w:rPr>
              <w:t xml:space="preserve">"sha1"</w:t>
            </w:r>
            <w:r>
              <w:t xml:space="preserve">, or</w:t>
            </w:r>
            <w:r>
              <w:t xml:space="preserve"> </w:t>
            </w:r>
            <w:r>
              <w:rPr>
                <w:rStyle w:val="VerbatimChar"/>
              </w:rPr>
              <w:t xml:space="preserve">"sha256"</w:t>
            </w:r>
            <w:r>
              <w:t xml:space="preserve">.</w:t>
            </w:r>
          </w:p>
        </w:tc>
      </w:tr>
      <w:tr>
        <w:tc>
          <w:tcPr/>
          <w:p>
            <w:pPr>
              <w:pStyle w:val="Compact"/>
            </w:pPr>
            <w:r>
              <w:rPr>
                <w:rStyle w:val="VerbatimChar"/>
              </w:rPr>
              <w:t xml:space="preserve">AxHexToRgb(hex)</w:t>
            </w:r>
          </w:p>
        </w:tc>
        <w:tc>
          <w:tcPr/>
          <w:p>
            <w:pPr>
              <w:pStyle w:val="Compact"/>
            </w:pPr>
            <w:r>
              <w:t xml:space="preserve">String</w:t>
            </w:r>
          </w:p>
        </w:tc>
        <w:tc>
          <w:tcPr/>
          <w:p>
            <w:pPr>
              <w:pStyle w:val="Compact"/>
            </w:pPr>
            <w:r>
              <w:t xml:space="preserve">Converts</w:t>
            </w:r>
            <w:r>
              <w:t xml:space="preserve"> </w:t>
            </w:r>
            <w:r>
              <w:rPr>
                <w:rStyle w:val="VerbatimChar"/>
              </w:rPr>
              <w:t xml:space="preserve">#RRGGBB</w:t>
            </w:r>
            <w:r>
              <w:t xml:space="preserve"> </w:t>
            </w:r>
            <w:r>
              <w:t xml:space="preserve">or</w:t>
            </w:r>
            <w:r>
              <w:t xml:space="preserve"> </w:t>
            </w:r>
            <w:r>
              <w:rPr>
                <w:rStyle w:val="VerbatimChar"/>
              </w:rPr>
              <w:t xml:space="preserve">#RGB</w:t>
            </w:r>
            <w:r>
              <w:t xml:space="preserve"> </w:t>
            </w:r>
            <w:r>
              <w:t xml:space="preserve">to</w:t>
            </w:r>
            <w:r>
              <w:t xml:space="preserve"> </w:t>
            </w:r>
            <w:r>
              <w:rPr>
                <w:rStyle w:val="VerbatimChar"/>
              </w:rPr>
              <w:t xml:space="preserve">rgb(R,G,B)</w:t>
            </w:r>
            <w:r>
              <w:t xml:space="preserve">.</w:t>
            </w:r>
          </w:p>
        </w:tc>
      </w:tr>
      <w:tr>
        <w:tc>
          <w:tcPr/>
          <w:p>
            <w:pPr>
              <w:pStyle w:val="Compact"/>
            </w:pPr>
            <w:r>
              <w:rPr>
                <w:rStyle w:val="VerbatimChar"/>
              </w:rPr>
              <w:t xml:space="preserve">AxHtmlSpecialChars(str)</w:t>
            </w:r>
          </w:p>
        </w:tc>
        <w:tc>
          <w:tcPr/>
          <w:p>
            <w:pPr>
              <w:pStyle w:val="Compact"/>
            </w:pPr>
            <w:r>
              <w:t xml:space="preserve">String</w:t>
            </w:r>
          </w:p>
        </w:tc>
        <w:tc>
          <w:tcPr/>
          <w:p>
            <w:pPr>
              <w:pStyle w:val="Compact"/>
            </w:pPr>
            <w:r>
              <w:t xml:space="preserve">Escapes</w:t>
            </w:r>
            <w:r>
              <w:t xml:space="preserve"> </w:t>
            </w:r>
            <w:r>
              <w:rPr>
                <w:rStyle w:val="VerbatimChar"/>
              </w:rPr>
              <w:t xml:space="preserve">&amp;</w:t>
            </w:r>
            <w:r>
              <w:t xml:space="preserve">,</w:t>
            </w:r>
            <w:r>
              <w:t xml:space="preserve"> </w:t>
            </w:r>
            <w:r>
              <w:rPr>
                <w:rStyle w:val="VerbatimChar"/>
              </w:rPr>
              <w:t xml:space="preserve">&lt;</w:t>
            </w:r>
            <w:r>
              <w:t xml:space="preserve">,</w:t>
            </w:r>
            <w:r>
              <w:t xml:space="preserve"> </w:t>
            </w:r>
            <w:r>
              <w:rPr>
                <w:rStyle w:val="VerbatimChar"/>
              </w:rPr>
              <w:t xml:space="preserve">&gt;</w:t>
            </w:r>
            <w:r>
              <w:t xml:space="preserve">, and</w:t>
            </w:r>
            <w:r>
              <w:t xml:space="preserve"> </w:t>
            </w:r>
            <w:r>
              <w:rPr>
                <w:rStyle w:val="VerbatimChar"/>
              </w:rPr>
              <w:t xml:space="preserve">"</w:t>
            </w:r>
            <w:r>
              <w:t xml:space="preserve"> </w:t>
            </w:r>
            <w:r>
              <w:t xml:space="preserve">to HTML entities.</w:t>
            </w:r>
          </w:p>
        </w:tc>
      </w:tr>
      <w:tr>
        <w:tc>
          <w:tcPr/>
          <w:p>
            <w:pPr>
              <w:pStyle w:val="Compact"/>
            </w:pPr>
            <w:r>
              <w:rPr>
                <w:rStyle w:val="VerbatimChar"/>
              </w:rPr>
              <w:t xml:space="preserve">AxMD5(str)</w:t>
            </w:r>
          </w:p>
        </w:tc>
        <w:tc>
          <w:tcPr/>
          <w:p>
            <w:pPr>
              <w:pStyle w:val="Compact"/>
            </w:pPr>
            <w:r>
              <w:t xml:space="preserve">String</w:t>
            </w:r>
          </w:p>
        </w:tc>
        <w:tc>
          <w:tcPr/>
          <w:p>
            <w:pPr>
              <w:pStyle w:val="Compact"/>
            </w:pPr>
            <w:r>
              <w:t xml:space="preserve">32-character lowercase MD5 hash.</w:t>
            </w:r>
          </w:p>
        </w:tc>
      </w:tr>
      <w:tr>
        <w:tc>
          <w:tcPr/>
          <w:p>
            <w:pPr>
              <w:pStyle w:val="Compact"/>
            </w:pPr>
            <w:r>
              <w:rPr>
                <w:rStyle w:val="VerbatimChar"/>
              </w:rPr>
              <w:t xml:space="preserve">AxRawUrlDecode(str)</w:t>
            </w:r>
          </w:p>
        </w:tc>
        <w:tc>
          <w:tcPr/>
          <w:p>
            <w:pPr>
              <w:pStyle w:val="Compact"/>
            </w:pPr>
            <w:r>
              <w:t xml:space="preserve">String</w:t>
            </w:r>
          </w:p>
        </w:tc>
        <w:tc>
          <w:tcPr/>
          <w:p>
            <w:pPr>
              <w:pStyle w:val="Compact"/>
            </w:pPr>
            <w:r>
              <w:t xml:space="preserve">URL-decodes a string, converting</w:t>
            </w:r>
            <w:r>
              <w:t xml:space="preserve"> </w:t>
            </w:r>
            <w:r>
              <w:rPr>
                <w:rStyle w:val="VerbatimChar"/>
              </w:rPr>
              <w:t xml:space="preserve">+</w:t>
            </w:r>
            <w:r>
              <w:t xml:space="preserve"> </w:t>
            </w:r>
            <w:r>
              <w:t xml:space="preserve">to space first.</w:t>
            </w:r>
          </w:p>
        </w:tc>
      </w:tr>
      <w:tr>
        <w:tc>
          <w:tcPr/>
          <w:p>
            <w:pPr>
              <w:pStyle w:val="Compact"/>
            </w:pPr>
            <w:r>
              <w:rPr>
                <w:rStyle w:val="VerbatimChar"/>
              </w:rPr>
              <w:t xml:space="preserve">AxRgbToHex(r, g, b)</w:t>
            </w:r>
          </w:p>
        </w:tc>
        <w:tc>
          <w:tcPr/>
          <w:p>
            <w:pPr>
              <w:pStyle w:val="Compact"/>
            </w:pPr>
            <w:r>
              <w:t xml:space="preserve">String</w:t>
            </w:r>
          </w:p>
        </w:tc>
        <w:tc>
          <w:tcPr/>
          <w:p>
            <w:pPr>
              <w:pStyle w:val="Compact"/>
            </w:pPr>
            <w:r>
              <w:t xml:space="preserve">Converts RGB values to uppercase</w:t>
            </w:r>
            <w:r>
              <w:t xml:space="preserve"> </w:t>
            </w:r>
            <w:r>
              <w:rPr>
                <w:rStyle w:val="VerbatimChar"/>
              </w:rPr>
              <w:t xml:space="preserve">#RRGGBB</w:t>
            </w:r>
            <w:r>
              <w:t xml:space="preserve"> </w:t>
            </w:r>
            <w:r>
              <w:t xml:space="preserve">hex.</w:t>
            </w:r>
          </w:p>
        </w:tc>
      </w:tr>
      <w:tr>
        <w:tc>
          <w:tcPr/>
          <w:p>
            <w:pPr>
              <w:pStyle w:val="Compact"/>
            </w:pPr>
            <w:r>
              <w:rPr>
                <w:rStyle w:val="VerbatimChar"/>
              </w:rPr>
              <w:t xml:space="preserve">AxSHA1(str)</w:t>
            </w:r>
          </w:p>
        </w:tc>
        <w:tc>
          <w:tcPr/>
          <w:p>
            <w:pPr>
              <w:pStyle w:val="Compact"/>
            </w:pPr>
            <w:r>
              <w:t xml:space="preserve">String</w:t>
            </w:r>
          </w:p>
        </w:tc>
        <w:tc>
          <w:tcPr/>
          <w:p>
            <w:pPr>
              <w:pStyle w:val="Compact"/>
            </w:pPr>
            <w:r>
              <w:t xml:space="preserve">40-character lowercase SHA-1 hash.</w:t>
            </w:r>
          </w:p>
        </w:tc>
      </w:tr>
      <w:tr>
        <w:tc>
          <w:tcPr/>
          <w:p>
            <w:pPr>
              <w:pStyle w:val="Compact"/>
            </w:pPr>
            <w:r>
              <w:rPr>
                <w:rStyle w:val="VerbatimChar"/>
              </w:rPr>
              <w:t xml:space="preserve">AxStripTags(str)</w:t>
            </w:r>
          </w:p>
        </w:tc>
        <w:tc>
          <w:tcPr/>
          <w:p>
            <w:pPr>
              <w:pStyle w:val="Compact"/>
            </w:pPr>
            <w:r>
              <w:t xml:space="preserve">String</w:t>
            </w:r>
          </w:p>
        </w:tc>
        <w:tc>
          <w:tcPr/>
          <w:p>
            <w:pPr>
              <w:pStyle w:val="Compact"/>
            </w:pPr>
            <w:r>
              <w:t xml:space="preserve">Removes all HTML and XML tags from a string.</w:t>
            </w:r>
          </w:p>
        </w:tc>
      </w:tr>
      <w:tr>
        <w:tc>
          <w:tcPr/>
          <w:p>
            <w:pPr>
              <w:pStyle w:val="Compact"/>
            </w:pPr>
            <w:r>
              <w:rPr>
                <w:rStyle w:val="VerbatimChar"/>
              </w:rPr>
              <w:t xml:space="preserve">AxUrlDecode(str)</w:t>
            </w:r>
          </w:p>
        </w:tc>
        <w:tc>
          <w:tcPr/>
          <w:p>
            <w:pPr>
              <w:pStyle w:val="Compact"/>
            </w:pPr>
            <w:r>
              <w:t xml:space="preserve">String</w:t>
            </w:r>
          </w:p>
        </w:tc>
        <w:tc>
          <w:tcPr/>
          <w:p>
            <w:pPr>
              <w:pStyle w:val="Compact"/>
            </w:pPr>
            <w:r>
              <w:t xml:space="preserve">Percent-decodes a URL-encoded string (RFC 3986).</w:t>
            </w:r>
          </w:p>
        </w:tc>
      </w:tr>
    </w:tbl>
    <w:p>
      <w:r>
        <w:pict>
          <v:rect style="width:0;height:1.5pt" o:hralign="center" o:hrstd="t" o:hr="t"/>
        </w:pict>
      </w:r>
    </w:p>
    <w:bookmarkEnd w:id="1097"/>
    <w:bookmarkStart w:id="1098" w:name="validation-and-type-inspection"/>
    <w:p>
      <w:pPr>
        <w:pStyle w:val="Heading2"/>
      </w:pPr>
      <w:r>
        <w:t xml:space="preserve">Validation and Type Inspection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AxCtypeAlnum(str)</w:t>
            </w:r>
          </w:p>
        </w:tc>
        <w:tc>
          <w:tcPr/>
          <w:p>
            <w:pPr>
              <w:pStyle w:val="Compact"/>
            </w:pPr>
            <w:r>
              <w:t xml:space="preserve">Boolean</w:t>
            </w:r>
          </w:p>
        </w:tc>
        <w:tc>
          <w:tcPr/>
          <w:p>
            <w:pPr>
              <w:pStyle w:val="Compact"/>
            </w:pPr>
            <w:r>
              <w:rPr>
                <w:rStyle w:val="VerbatimChar"/>
              </w:rPr>
              <w:t xml:space="preserve">True</w:t>
            </w:r>
            <w:r>
              <w:t xml:space="preserve"> </w:t>
            </w:r>
            <w:r>
              <w:t xml:space="preserve">if all characters are ASCII alphanumeric. Empty string returns</w:t>
            </w:r>
            <w:r>
              <w:t xml:space="preserve"> </w:t>
            </w:r>
            <w:r>
              <w:rPr>
                <w:rStyle w:val="VerbatimChar"/>
              </w:rPr>
              <w:t xml:space="preserve">False</w:t>
            </w:r>
            <w:r>
              <w:t xml:space="preserve">.</w:t>
            </w:r>
          </w:p>
        </w:tc>
      </w:tr>
      <w:tr>
        <w:tc>
          <w:tcPr/>
          <w:p>
            <w:pPr>
              <w:pStyle w:val="Compact"/>
            </w:pPr>
            <w:r>
              <w:rPr>
                <w:rStyle w:val="VerbatimChar"/>
              </w:rPr>
              <w:t xml:space="preserve">AxCtypeAlpha(str)</w:t>
            </w:r>
          </w:p>
        </w:tc>
        <w:tc>
          <w:tcPr/>
          <w:p>
            <w:pPr>
              <w:pStyle w:val="Compact"/>
            </w:pPr>
            <w:r>
              <w:t xml:space="preserve">Boolean</w:t>
            </w:r>
          </w:p>
        </w:tc>
        <w:tc>
          <w:tcPr/>
          <w:p>
            <w:pPr>
              <w:pStyle w:val="Compact"/>
            </w:pPr>
            <w:r>
              <w:rPr>
                <w:rStyle w:val="VerbatimChar"/>
              </w:rPr>
              <w:t xml:space="preserve">True</w:t>
            </w:r>
            <w:r>
              <w:t xml:space="preserve"> </w:t>
            </w:r>
            <w:r>
              <w:t xml:space="preserve">if all characters are ASCII letters. Empty string returns</w:t>
            </w:r>
            <w:r>
              <w:t xml:space="preserve"> </w:t>
            </w:r>
            <w:r>
              <w:rPr>
                <w:rStyle w:val="VerbatimChar"/>
              </w:rPr>
              <w:t xml:space="preserve">False</w:t>
            </w:r>
            <w:r>
              <w:t xml:space="preserve">.</w:t>
            </w:r>
          </w:p>
        </w:tc>
      </w:tr>
      <w:tr>
        <w:tc>
          <w:tcPr/>
          <w:p>
            <w:pPr>
              <w:pStyle w:val="Compact"/>
            </w:pPr>
            <w:r>
              <w:rPr>
                <w:rStyle w:val="VerbatimChar"/>
              </w:rPr>
              <w:t xml:space="preserve">AxEmpty(value)</w:t>
            </w:r>
          </w:p>
        </w:tc>
        <w:tc>
          <w:tcPr/>
          <w:p>
            <w:pPr>
              <w:pStyle w:val="Compact"/>
            </w:pPr>
            <w:r>
              <w:t xml:space="preserve">Boolean</w:t>
            </w:r>
          </w:p>
        </w:tc>
        <w:tc>
          <w:tcPr/>
          <w:p>
            <w:pPr>
              <w:pStyle w:val="Compact"/>
            </w:pPr>
            <w:r>
              <w:rPr>
                <w:rStyle w:val="VerbatimChar"/>
              </w:rPr>
              <w:t xml:space="preserve">True</w:t>
            </w:r>
            <w:r>
              <w:t xml:space="preserve"> </w:t>
            </w:r>
            <w:r>
              <w:t xml:space="preserve">if value is</w:t>
            </w:r>
            <w:r>
              <w:t xml:space="preserve"> </w:t>
            </w:r>
            <w:r>
              <w:rPr>
                <w:rStyle w:val="VerbatimChar"/>
              </w:rPr>
              <w:t xml:space="preserve">Empty</w:t>
            </w:r>
            <w:r>
              <w:t xml:space="preserve">,</w:t>
            </w:r>
            <w:r>
              <w:t xml:space="preserve"> </w:t>
            </w:r>
            <w:r>
              <w:rPr>
                <w:rStyle w:val="VerbatimChar"/>
              </w:rPr>
              <w:t xml:space="preserve">Null</w:t>
            </w:r>
            <w:r>
              <w:t xml:space="preserve">,</w:t>
            </w:r>
            <w:r>
              <w:t xml:space="preserve"> </w:t>
            </w:r>
            <w:r>
              <w:rPr>
                <w:rStyle w:val="VerbatimChar"/>
              </w:rPr>
              <w:t xml:space="preserve">""</w:t>
            </w:r>
            <w:r>
              <w:t xml:space="preserve">,</w:t>
            </w:r>
            <w:r>
              <w:t xml:space="preserve"> </w:t>
            </w:r>
            <w:r>
              <w:rPr>
                <w:rStyle w:val="VerbatimChar"/>
              </w:rPr>
              <w:t xml:space="preserve">0</w:t>
            </w:r>
            <w:r>
              <w:t xml:space="preserve">,</w:t>
            </w:r>
            <w:r>
              <w:t xml:space="preserve"> </w:t>
            </w:r>
            <w:r>
              <w:rPr>
                <w:rStyle w:val="VerbatimChar"/>
              </w:rPr>
              <w:t xml:space="preserve">0.0</w:t>
            </w:r>
            <w:r>
              <w:t xml:space="preserve">, or</w:t>
            </w:r>
            <w:r>
              <w:t xml:space="preserve"> </w:t>
            </w:r>
            <w:r>
              <w:rPr>
                <w:rStyle w:val="VerbatimChar"/>
              </w:rPr>
              <w:t xml:space="preserve">False</w:t>
            </w:r>
            <w:r>
              <w:t xml:space="preserve">.</w:t>
            </w:r>
          </w:p>
        </w:tc>
      </w:tr>
      <w:tr>
        <w:tc>
          <w:tcPr/>
          <w:p>
            <w:pPr>
              <w:pStyle w:val="Compact"/>
            </w:pPr>
            <w:r>
              <w:rPr>
                <w:rStyle w:val="VerbatimChar"/>
              </w:rPr>
              <w:t xml:space="preserve">AxFilterValidateEmail(email)</w:t>
            </w:r>
          </w:p>
        </w:tc>
        <w:tc>
          <w:tcPr/>
          <w:p>
            <w:pPr>
              <w:pStyle w:val="Compact"/>
            </w:pPr>
            <w:r>
              <w:t xml:space="preserve">Boolean</w:t>
            </w:r>
          </w:p>
        </w:tc>
        <w:tc>
          <w:tcPr/>
          <w:p>
            <w:pPr>
              <w:pStyle w:val="Compact"/>
            </w:pPr>
            <w:r>
              <w:rPr>
                <w:rStyle w:val="VerbatimChar"/>
              </w:rPr>
              <w:t xml:space="preserve">True</w:t>
            </w:r>
            <w:r>
              <w:t xml:space="preserve"> </w:t>
            </w:r>
            <w:r>
              <w:t xml:space="preserve">if the string is a syntactically valid email address.</w:t>
            </w:r>
          </w:p>
        </w:tc>
      </w:tr>
      <w:tr>
        <w:tc>
          <w:tcPr/>
          <w:p>
            <w:pPr>
              <w:pStyle w:val="Compact"/>
            </w:pPr>
            <w:r>
              <w:rPr>
                <w:rStyle w:val="VerbatimChar"/>
              </w:rPr>
              <w:t xml:space="preserve">AxFilterValidateIp(ip)</w:t>
            </w:r>
          </w:p>
        </w:tc>
        <w:tc>
          <w:tcPr/>
          <w:p>
            <w:pPr>
              <w:pStyle w:val="Compact"/>
            </w:pPr>
            <w:r>
              <w:t xml:space="preserve">Boolean</w:t>
            </w:r>
          </w:p>
        </w:tc>
        <w:tc>
          <w:tcPr/>
          <w:p>
            <w:pPr>
              <w:pStyle w:val="Compact"/>
            </w:pPr>
            <w:r>
              <w:rPr>
                <w:rStyle w:val="VerbatimChar"/>
              </w:rPr>
              <w:t xml:space="preserve">True</w:t>
            </w:r>
            <w:r>
              <w:t xml:space="preserve"> </w:t>
            </w:r>
            <w:r>
              <w:t xml:space="preserve">if the string is a valid IPv4 or IPv6 address.</w:t>
            </w:r>
          </w:p>
        </w:tc>
      </w:tr>
      <w:tr>
        <w:tc>
          <w:tcPr/>
          <w:p>
            <w:pPr>
              <w:pStyle w:val="Compact"/>
            </w:pPr>
            <w:r>
              <w:rPr>
                <w:rStyle w:val="VerbatimChar"/>
              </w:rPr>
              <w:t xml:space="preserve">AxIsFloat(value)</w:t>
            </w:r>
          </w:p>
        </w:tc>
        <w:tc>
          <w:tcPr/>
          <w:p>
            <w:pPr>
              <w:pStyle w:val="Compact"/>
            </w:pPr>
            <w:r>
              <w:t xml:space="preserve">Boolean</w:t>
            </w:r>
          </w:p>
        </w:tc>
        <w:tc>
          <w:tcPr/>
          <w:p>
            <w:pPr>
              <w:pStyle w:val="Compact"/>
            </w:pPr>
            <w:r>
              <w:rPr>
                <w:rStyle w:val="VerbatimChar"/>
              </w:rPr>
              <w:t xml:space="preserve">True</w:t>
            </w:r>
            <w:r>
              <w:t xml:space="preserve"> </w:t>
            </w:r>
            <w:r>
              <w:t xml:space="preserve">if the VM internal type is</w:t>
            </w:r>
            <w:r>
              <w:t xml:space="preserve"> </w:t>
            </w:r>
            <w:r>
              <w:rPr>
                <w:rStyle w:val="VerbatimChar"/>
              </w:rPr>
              <w:t xml:space="preserve">VTDouble</w:t>
            </w:r>
            <w:r>
              <w:t xml:space="preserve">.</w:t>
            </w:r>
          </w:p>
        </w:tc>
      </w:tr>
      <w:tr>
        <w:tc>
          <w:tcPr/>
          <w:p>
            <w:pPr>
              <w:pStyle w:val="Compact"/>
            </w:pPr>
            <w:r>
              <w:rPr>
                <w:rStyle w:val="VerbatimChar"/>
              </w:rPr>
              <w:t xml:space="preserve">AxIsInt(value)</w:t>
            </w:r>
          </w:p>
        </w:tc>
        <w:tc>
          <w:tcPr/>
          <w:p>
            <w:pPr>
              <w:pStyle w:val="Compact"/>
            </w:pPr>
            <w:r>
              <w:t xml:space="preserve">Boolean</w:t>
            </w:r>
          </w:p>
        </w:tc>
        <w:tc>
          <w:tcPr/>
          <w:p>
            <w:pPr>
              <w:pStyle w:val="Compact"/>
            </w:pPr>
            <w:r>
              <w:rPr>
                <w:rStyle w:val="VerbatimChar"/>
              </w:rPr>
              <w:t xml:space="preserve">True</w:t>
            </w:r>
            <w:r>
              <w:t xml:space="preserve"> </w:t>
            </w:r>
            <w:r>
              <w:t xml:space="preserve">if the VM internal type is</w:t>
            </w:r>
            <w:r>
              <w:t xml:space="preserve"> </w:t>
            </w:r>
            <w:r>
              <w:rPr>
                <w:rStyle w:val="VerbatimChar"/>
              </w:rPr>
              <w:t xml:space="preserve">VTInteger</w:t>
            </w:r>
            <w:r>
              <w:t xml:space="preserve">.</w:t>
            </w:r>
          </w:p>
        </w:tc>
      </w:tr>
      <w:tr>
        <w:tc>
          <w:tcPr/>
          <w:p>
            <w:pPr>
              <w:pStyle w:val="Compact"/>
            </w:pPr>
            <w:r>
              <w:rPr>
                <w:rStyle w:val="VerbatimChar"/>
              </w:rPr>
              <w:t xml:space="preserve">AxIsSet(value)</w:t>
            </w:r>
          </w:p>
        </w:tc>
        <w:tc>
          <w:tcPr/>
          <w:p>
            <w:pPr>
              <w:pStyle w:val="Compact"/>
            </w:pPr>
            <w:r>
              <w:t xml:space="preserve">Boolean</w:t>
            </w:r>
          </w:p>
        </w:tc>
        <w:tc>
          <w:tcPr/>
          <w:p>
            <w:pPr>
              <w:pStyle w:val="Compact"/>
            </w:pPr>
            <w:r>
              <w:rPr>
                <w:rStyle w:val="VerbatimChar"/>
              </w:rPr>
              <w:t xml:space="preserve">True</w:t>
            </w:r>
            <w:r>
              <w:t xml:space="preserve"> </w:t>
            </w:r>
            <w:r>
              <w:t xml:space="preserve">if value is not</w:t>
            </w:r>
            <w:r>
              <w:t xml:space="preserve"> </w:t>
            </w:r>
            <w:r>
              <w:rPr>
                <w:rStyle w:val="VerbatimChar"/>
              </w:rPr>
              <w:t xml:space="preserve">Empty</w:t>
            </w:r>
            <w:r>
              <w:t xml:space="preserve"> </w:t>
            </w:r>
            <w:r>
              <w:t xml:space="preserve">or</w:t>
            </w:r>
            <w:r>
              <w:t xml:space="preserve"> </w:t>
            </w:r>
            <w:r>
              <w:rPr>
                <w:rStyle w:val="VerbatimChar"/>
              </w:rPr>
              <w:t xml:space="preserve">Null</w:t>
            </w:r>
            <w:r>
              <w:t xml:space="preserve">.</w:t>
            </w:r>
          </w:p>
        </w:tc>
      </w:tr>
    </w:tbl>
    <w:p>
      <w:r>
        <w:pict>
          <v:rect style="width:0;height:1.5pt" o:hralign="center" o:hrstd="t" o:hr="t"/>
        </w:pict>
      </w:r>
    </w:p>
    <w:bookmarkEnd w:id="1098"/>
    <w:bookmarkStart w:id="1099" w:name="date-time-and-network"/>
    <w:p>
      <w:pPr>
        <w:pStyle w:val="Heading2"/>
      </w:pPr>
      <w:r>
        <w:t xml:space="preserve">Date, Time, and Network</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AxDate(format [, timestamp])</w:t>
            </w:r>
          </w:p>
        </w:tc>
        <w:tc>
          <w:tcPr/>
          <w:p>
            <w:pPr>
              <w:pStyle w:val="Compact"/>
            </w:pPr>
            <w:r>
              <w:t xml:space="preserve">String</w:t>
            </w:r>
          </w:p>
        </w:tc>
        <w:tc>
          <w:tcPr/>
          <w:p>
            <w:pPr>
              <w:pStyle w:val="Compact"/>
            </w:pPr>
            <w:r>
              <w:t xml:space="preserve">Formats a Unix timestamp using PHP-compatible tokens.</w:t>
            </w:r>
          </w:p>
        </w:tc>
      </w:tr>
      <w:tr>
        <w:tc>
          <w:tcPr/>
          <w:p>
            <w:pPr>
              <w:pStyle w:val="Compact"/>
            </w:pPr>
            <w:r>
              <w:rPr>
                <w:rStyle w:val="VerbatimChar"/>
              </w:rPr>
              <w:t xml:space="preserve">AxGenerateGuid()</w:t>
            </w:r>
          </w:p>
        </w:tc>
        <w:tc>
          <w:tcPr/>
          <w:p>
            <w:pPr>
              <w:pStyle w:val="Compact"/>
            </w:pPr>
            <w:r>
              <w:t xml:space="preserve">String</w:t>
            </w:r>
          </w:p>
        </w:tc>
        <w:tc>
          <w:tcPr/>
          <w:p>
            <w:pPr>
              <w:pStyle w:val="Compact"/>
            </w:pPr>
            <w:r>
              <w:t xml:space="preserve">RFC 4122 version 4 GUID string.</w:t>
            </w:r>
          </w:p>
        </w:tc>
      </w:tr>
      <w:tr>
        <w:tc>
          <w:tcPr/>
          <w:p>
            <w:pPr>
              <w:pStyle w:val="Compact"/>
            </w:pPr>
            <w:r>
              <w:rPr>
                <w:rStyle w:val="VerbatimChar"/>
              </w:rPr>
              <w:t xml:space="preserve">AxGetRemoteFile(url)</w:t>
            </w:r>
          </w:p>
        </w:tc>
        <w:tc>
          <w:tcPr/>
          <w:p>
            <w:pPr>
              <w:pStyle w:val="Compact"/>
            </w:pPr>
            <w:r>
              <w:t xml:space="preserve">String/Boolean</w:t>
            </w:r>
          </w:p>
        </w:tc>
        <w:tc>
          <w:tcPr/>
          <w:p>
            <w:pPr>
              <w:pStyle w:val="Compact"/>
            </w:pPr>
            <w:r>
              <w:t xml:space="preserve">HTTP GET response body on success, or</w:t>
            </w:r>
            <w:r>
              <w:t xml:space="preserve"> </w:t>
            </w:r>
            <w:r>
              <w:rPr>
                <w:rStyle w:val="VerbatimChar"/>
              </w:rPr>
              <w:t xml:space="preserve">False</w:t>
            </w:r>
            <w:r>
              <w:t xml:space="preserve"> </w:t>
            </w:r>
            <w:r>
              <w:t xml:space="preserve">on failure.</w:t>
            </w:r>
          </w:p>
        </w:tc>
      </w:tr>
      <w:tr>
        <w:tc>
          <w:tcPr/>
          <w:p>
            <w:pPr>
              <w:pStyle w:val="Compact"/>
            </w:pPr>
            <w:r>
              <w:rPr>
                <w:rStyle w:val="VerbatimChar"/>
              </w:rPr>
              <w:t xml:space="preserve">AxLastModified()</w:t>
            </w:r>
          </w:p>
        </w:tc>
        <w:tc>
          <w:tcPr/>
          <w:p>
            <w:pPr>
              <w:pStyle w:val="Compact"/>
            </w:pPr>
            <w:r>
              <w:t xml:space="preserve">Integer</w:t>
            </w:r>
          </w:p>
        </w:tc>
        <w:tc>
          <w:tcPr/>
          <w:p>
            <w:pPr>
              <w:pStyle w:val="Compact"/>
            </w:pPr>
            <w:r>
              <w:t xml:space="preserve">Unix timestamp of the current script file’s last modification.</w:t>
            </w:r>
          </w:p>
        </w:tc>
      </w:tr>
      <w:tr>
        <w:tc>
          <w:tcPr/>
          <w:p>
            <w:pPr>
              <w:pStyle w:val="Compact"/>
            </w:pPr>
            <w:r>
              <w:rPr>
                <w:rStyle w:val="VerbatimChar"/>
              </w:rPr>
              <w:t xml:space="preserve">AxTime()</w:t>
            </w:r>
          </w:p>
        </w:tc>
        <w:tc>
          <w:tcPr/>
          <w:p>
            <w:pPr>
              <w:pStyle w:val="Compact"/>
            </w:pPr>
            <w:r>
              <w:t xml:space="preserve">Integer</w:t>
            </w:r>
          </w:p>
        </w:tc>
        <w:tc>
          <w:tcPr/>
          <w:p>
            <w:pPr>
              <w:pStyle w:val="Compact"/>
            </w:pPr>
            <w:r>
              <w:t xml:space="preserve">Current Unix timestamp in seconds.</w:t>
            </w:r>
          </w:p>
        </w:tc>
      </w:tr>
    </w:tbl>
    <w:p>
      <w:r>
        <w:pict>
          <v:rect style="width:0;height:1.5pt" o:hralign="center" o:hrstd="t" o:hr="t"/>
        </w:pict>
      </w:r>
    </w:p>
    <w:bookmarkEnd w:id="1099"/>
    <w:bookmarkStart w:id="1100" w:name="remarks-80"/>
    <w:p>
      <w:pPr>
        <w:pStyle w:val="Heading2"/>
      </w:pPr>
      <w:r>
        <w:t xml:space="preserve">Remarks</w:t>
      </w:r>
    </w:p>
    <w:p>
      <w:pPr>
        <w:pStyle w:val="Compact"/>
        <w:numPr>
          <w:ilvl w:val="0"/>
          <w:numId w:val="1293"/>
        </w:numPr>
      </w:pPr>
      <w:r>
        <w:t xml:space="preserve">All method names are case-insensitive.</w:t>
      </w:r>
    </w:p>
    <w:p>
      <w:pPr>
        <w:pStyle w:val="Compact"/>
        <w:numPr>
          <w:ilvl w:val="0"/>
          <w:numId w:val="1293"/>
        </w:numPr>
      </w:pPr>
      <w:r>
        <w:t xml:space="preserve">Instantiate the library with</w:t>
      </w:r>
      <w:r>
        <w:t xml:space="preserve"> </w:t>
      </w:r>
      <w:r>
        <w:rPr>
          <w:rStyle w:val="VerbatimChar"/>
        </w:rPr>
        <w:t xml:space="preserve">Server.CreateObject("G3AXON.FUNCTIONS")</w:t>
      </w:r>
      <w:r>
        <w:t xml:space="preserve"> </w:t>
      </w:r>
      <w:r>
        <w:t xml:space="preserve">before calling any method.</w:t>
      </w:r>
    </w:p>
    <w:p>
      <w:pPr>
        <w:pStyle w:val="Compact"/>
        <w:numPr>
          <w:ilvl w:val="0"/>
          <w:numId w:val="1293"/>
        </w:numPr>
      </w:pPr>
      <w:r>
        <w:t xml:space="preserve">Methods that perform file system or OS operations may behave differently on Windows versus Unix-like platforms. Refer to individual method pages for platform notes.</w:t>
      </w:r>
    </w:p>
    <w:bookmarkEnd w:id="1100"/>
    <w:bookmarkEnd w:id="1101"/>
    <w:bookmarkStart w:id="1106" w:name="properties-7"/>
    <w:p>
      <w:pPr>
        <w:pStyle w:val="Heading1"/>
      </w:pPr>
      <w:r>
        <w:t xml:space="preserve">Properties</w:t>
      </w:r>
    </w:p>
    <w:bookmarkStart w:id="1102" w:name="overview-55"/>
    <w:p>
      <w:pPr>
        <w:pStyle w:val="Heading2"/>
      </w:pPr>
      <w:r>
        <w:t xml:space="preserve">Overview</w:t>
      </w:r>
    </w:p>
    <w:p>
      <w:pPr>
        <w:pStyle w:val="FirstParagraph"/>
      </w:pPr>
      <w:r>
        <w:t xml:space="preserve">This page lists properties exposed by G3AXON.Functions.</w:t>
      </w:r>
    </w:p>
    <w:bookmarkEnd w:id="1102"/>
    <w:bookmarkStart w:id="1103" w:name="property-list"/>
    <w:p>
      <w:pPr>
        <w:pStyle w:val="Heading2"/>
      </w:pPr>
      <w:r>
        <w:t xml:space="preserve">Property List</w:t>
      </w:r>
    </w:p>
    <w:bookmarkEnd w:id="1103"/>
    <w:bookmarkStart w:id="1105" w:name="remarks-81"/>
    <w:p>
      <w:pPr>
        <w:pStyle w:val="Heading2"/>
      </w:pPr>
      <w:r>
        <w:t xml:space="preserve">Remarks</w:t>
      </w:r>
    </w:p>
    <w:p>
      <w:pPr>
        <w:pStyle w:val="FirstParagraph"/>
      </w:pPr>
      <w:r>
        <w:t xml:space="preserve">Read-only properties reject assignment and raise runtime errors when not writable.</w:t>
      </w:r>
    </w:p>
    <w:bookmarkStart w:id="1104" w:name="methods-detail"/>
    <w:p>
      <w:pPr>
        <w:pStyle w:val="Heading3"/>
      </w:pPr>
      <w:r>
        <w:t xml:space="preserve">Methods Detail</w:t>
      </w:r>
    </w:p>
    <w:bookmarkEnd w:id="1104"/>
    <w:bookmarkEnd w:id="1105"/>
    <w:bookmarkEnd w:id="1106"/>
    <w:bookmarkStart w:id="1115" w:name="axenginename"/>
    <w:p>
      <w:pPr>
        <w:pStyle w:val="Heading1"/>
      </w:pPr>
      <w:r>
        <w:t xml:space="preserve">AxEngineName</w:t>
      </w:r>
    </w:p>
    <w:bookmarkStart w:id="1107" w:name="overview-56"/>
    <w:p>
      <w:pPr>
        <w:pStyle w:val="Heading2"/>
      </w:pPr>
      <w:r>
        <w:t xml:space="preserve">Overview</w:t>
      </w:r>
    </w:p>
    <w:p>
      <w:pPr>
        <w:pStyle w:val="FirstParagraph"/>
      </w:pPr>
      <w:r>
        <w:t xml:space="preserve">Use</w:t>
      </w:r>
      <w:r>
        <w:t xml:space="preserve"> </w:t>
      </w:r>
      <w:r>
        <w:rPr>
          <w:rStyle w:val="VerbatimChar"/>
        </w:rPr>
        <w:t xml:space="preserve">AxEngineName</w:t>
      </w:r>
      <w:r>
        <w:t xml:space="preserve"> </w:t>
      </w:r>
      <w:r>
        <w:t xml:space="preserve">to identify the runtime engine name exposed by G3Pix AxonASP.</w:t>
      </w:r>
    </w:p>
    <w:bookmarkEnd w:id="1107"/>
    <w:bookmarkStart w:id="1108" w:name="prerequisites-14"/>
    <w:p>
      <w:pPr>
        <w:pStyle w:val="Heading2"/>
      </w:pPr>
      <w:r>
        <w:t xml:space="preserve">Prerequisites</w:t>
      </w:r>
    </w:p>
    <w:p>
      <w:pPr>
        <w:pStyle w:val="Compact"/>
        <w:numPr>
          <w:ilvl w:val="0"/>
          <w:numId w:val="1294"/>
        </w:numPr>
      </w:pPr>
      <w:r>
        <w:t xml:space="preserve">Instantiate the library with</w:t>
      </w:r>
      <w:r>
        <w:t xml:space="preserve"> </w:t>
      </w:r>
      <w:r>
        <w:rPr>
          <w:rStyle w:val="VerbatimChar"/>
        </w:rPr>
        <w:t xml:space="preserve">Server.CreateObject("G3AXON.FUNCTIONS")</w:t>
      </w:r>
      <w:r>
        <w:t xml:space="preserve">.</w:t>
      </w:r>
    </w:p>
    <w:bookmarkEnd w:id="1108"/>
    <w:bookmarkStart w:id="1109" w:name="syntax-73"/>
    <w:p>
      <w:pPr>
        <w:pStyle w:val="Heading2"/>
      </w:pPr>
      <w:r>
        <w:t xml:space="preserve">Syntax</w:t>
      </w:r>
    </w:p>
    <w:p>
      <w:pPr>
        <w:pStyle w:val="SourceCode"/>
      </w:pPr>
      <w:r>
        <w:rPr>
          <w:rStyle w:val="NormalTok"/>
        </w:rPr>
        <w:t xml:space="preserve">engineName = obj.AxEngineName()</w:t>
      </w:r>
    </w:p>
    <w:bookmarkEnd w:id="1109"/>
    <w:bookmarkStart w:id="1110" w:name="parameters"/>
    <w:p>
      <w:pPr>
        <w:pStyle w:val="Heading2"/>
      </w:pPr>
      <w:r>
        <w:t xml:space="preserve">Parameters</w:t>
      </w:r>
    </w:p>
    <w:p>
      <w:pPr>
        <w:pStyle w:val="Compact"/>
        <w:numPr>
          <w:ilvl w:val="0"/>
          <w:numId w:val="1295"/>
        </w:numPr>
      </w:pPr>
      <w:r>
        <w:t xml:space="preserve">This method does not require parameters.</w:t>
      </w:r>
    </w:p>
    <w:bookmarkEnd w:id="1110"/>
    <w:bookmarkStart w:id="1111" w:name="return-value-16"/>
    <w:p>
      <w:pPr>
        <w:pStyle w:val="Heading2"/>
      </w:pPr>
      <w:r>
        <w:t xml:space="preserve">Return Value</w:t>
      </w:r>
    </w:p>
    <w:p>
      <w:pPr>
        <w:pStyle w:val="Compact"/>
        <w:numPr>
          <w:ilvl w:val="0"/>
          <w:numId w:val="1296"/>
        </w:numPr>
      </w:pPr>
      <w:r>
        <w:rPr>
          <w:b/>
          <w:bCs/>
        </w:rPr>
        <w:t xml:space="preserve">String</w:t>
      </w:r>
      <w:r>
        <w:t xml:space="preserve">: Always returns</w:t>
      </w:r>
      <w:r>
        <w:t xml:space="preserve"> </w:t>
      </w:r>
      <w:r>
        <w:rPr>
          <w:rStyle w:val="VerbatimChar"/>
        </w:rPr>
        <w:t xml:space="preserve">AxonASP</w:t>
      </w:r>
      <w:r>
        <w:t xml:space="preserve">.</w:t>
      </w:r>
    </w:p>
    <w:bookmarkEnd w:id="1111"/>
    <w:bookmarkStart w:id="1112" w:name="remarks-82"/>
    <w:p>
      <w:pPr>
        <w:pStyle w:val="Heading2"/>
      </w:pPr>
      <w:r>
        <w:t xml:space="preserve">Remarks</w:t>
      </w:r>
    </w:p>
    <w:p>
      <w:pPr>
        <w:pStyle w:val="Compact"/>
        <w:numPr>
          <w:ilvl w:val="0"/>
          <w:numId w:val="1297"/>
        </w:numPr>
      </w:pPr>
      <w:r>
        <w:t xml:space="preserve">Use this method for runtime identification checks before calling engine-specific routines.</w:t>
      </w:r>
    </w:p>
    <w:p>
      <w:pPr>
        <w:pStyle w:val="Compact"/>
        <w:numPr>
          <w:ilvl w:val="0"/>
          <w:numId w:val="1297"/>
        </w:numPr>
      </w:pPr>
      <w:r>
        <w:t xml:space="preserve">Method names are case-insensitive in VBScript dispatch.</w:t>
      </w:r>
    </w:p>
    <w:bookmarkEnd w:id="1112"/>
    <w:bookmarkStart w:id="1113" w:name="example-1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engineName</w:t>
      </w:r>
      <w:r>
        <w:br/>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engineName = ax.AxEngineName</w:t>
      </w:r>
      <w:r>
        <w:rPr>
          <w:rStyle w:val="OtherTok"/>
        </w:rPr>
        <w:t xml:space="preserve">()</w:t>
      </w:r>
      <w:r>
        <w:br/>
      </w:r>
      <w:r>
        <w:rPr>
          <w:rStyle w:val="ControlFlowTok"/>
        </w:rPr>
        <w:t xml:space="preserve">If</w:t>
      </w:r>
      <w:r>
        <w:rPr>
          <w:rStyle w:val="NormalTok"/>
        </w:rPr>
        <w:t xml:space="preserve"> engineName = </w:t>
      </w:r>
      <w:r>
        <w:rPr>
          <w:rStyle w:val="StringTok"/>
        </w:rPr>
        <w:t xml:space="preserve">"AxonASP"</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"Running on G3Pix AxonASP"</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"Unknown engine"</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13"/>
    <w:bookmarkStart w:id="1114" w:name="api-reference-13"/>
    <w:p>
      <w:pPr>
        <w:pStyle w:val="Heading2"/>
      </w:pPr>
      <w:r>
        <w:t xml:space="preserve">API Reference</w:t>
      </w:r>
    </w:p>
    <w:p>
      <w:pPr>
        <w:pStyle w:val="Compact"/>
        <w:numPr>
          <w:ilvl w:val="0"/>
          <w:numId w:val="1298"/>
        </w:numPr>
      </w:pPr>
      <w:r>
        <w:rPr>
          <w:b/>
          <w:bCs/>
        </w:rPr>
        <w:t xml:space="preserve">Object</w:t>
      </w:r>
      <w:r>
        <w:t xml:space="preserve">:</w:t>
      </w:r>
      <w:r>
        <w:t xml:space="preserve"> </w:t>
      </w:r>
      <w:r>
        <w:rPr>
          <w:rStyle w:val="VerbatimChar"/>
        </w:rPr>
        <w:t xml:space="preserve">G3AXON.FUNCTIONS</w:t>
      </w:r>
    </w:p>
    <w:p>
      <w:pPr>
        <w:pStyle w:val="Compact"/>
        <w:numPr>
          <w:ilvl w:val="0"/>
          <w:numId w:val="1298"/>
        </w:numPr>
      </w:pPr>
      <w:r>
        <w:rPr>
          <w:b/>
          <w:bCs/>
        </w:rPr>
        <w:t xml:space="preserve">Method</w:t>
      </w:r>
      <w:r>
        <w:t xml:space="preserve">:</w:t>
      </w:r>
      <w:r>
        <w:t xml:space="preserve"> </w:t>
      </w:r>
      <w:r>
        <w:rPr>
          <w:rStyle w:val="VerbatimChar"/>
        </w:rPr>
        <w:t xml:space="preserve">AxEngineName</w:t>
      </w:r>
    </w:p>
    <w:p>
      <w:pPr>
        <w:pStyle w:val="Compact"/>
        <w:numPr>
          <w:ilvl w:val="0"/>
          <w:numId w:val="1298"/>
        </w:numPr>
      </w:pPr>
      <w:r>
        <w:rPr>
          <w:b/>
          <w:bCs/>
        </w:rPr>
        <w:t xml:space="preserve">Arguments</w:t>
      </w:r>
      <w:r>
        <w:t xml:space="preserve">: none</w:t>
      </w:r>
    </w:p>
    <w:p>
      <w:pPr>
        <w:pStyle w:val="Compact"/>
        <w:numPr>
          <w:ilvl w:val="0"/>
          <w:numId w:val="1298"/>
        </w:numPr>
      </w:pPr>
      <w:r>
        <w:rPr>
          <w:b/>
          <w:bCs/>
        </w:rPr>
        <w:t xml:space="preserve">Returns</w:t>
      </w:r>
      <w:r>
        <w:t xml:space="preserve">:</w:t>
      </w:r>
      <w:r>
        <w:t xml:space="preserve"> </w:t>
      </w:r>
      <w:r>
        <w:rPr>
          <w:rStyle w:val="VerbatimChar"/>
        </w:rPr>
        <w:t xml:space="preserve">String</w:t>
      </w:r>
      <w:r>
        <w:t xml:space="preserve"> </w:t>
      </w:r>
      <w:r>
        <w:t xml:space="preserve">(</w:t>
      </w:r>
      <w:r>
        <w:rPr>
          <w:rStyle w:val="VerbatimChar"/>
        </w:rPr>
        <w:t xml:space="preserve">AxonASP</w:t>
      </w:r>
      <w:r>
        <w:t xml:space="preserve">)</w:t>
      </w:r>
    </w:p>
    <w:bookmarkEnd w:id="1114"/>
    <w:bookmarkEnd w:id="1115"/>
    <w:bookmarkStart w:id="1124" w:name="axversion"/>
    <w:p>
      <w:pPr>
        <w:pStyle w:val="Heading1"/>
      </w:pPr>
      <w:r>
        <w:t xml:space="preserve">AxVersion</w:t>
      </w:r>
    </w:p>
    <w:bookmarkStart w:id="1116" w:name="overview-57"/>
    <w:p>
      <w:pPr>
        <w:pStyle w:val="Heading2"/>
      </w:pPr>
      <w:r>
        <w:t xml:space="preserve">Overview</w:t>
      </w:r>
    </w:p>
    <w:p>
      <w:pPr>
        <w:pStyle w:val="FirstParagraph"/>
      </w:pPr>
      <w:r>
        <w:t xml:space="preserve">Use</w:t>
      </w:r>
      <w:r>
        <w:t xml:space="preserve"> </w:t>
      </w:r>
      <w:r>
        <w:rPr>
          <w:rStyle w:val="VerbatimChar"/>
        </w:rPr>
        <w:t xml:space="preserve">AxVersion</w:t>
      </w:r>
      <w:r>
        <w:t xml:space="preserve"> </w:t>
      </w:r>
      <w:r>
        <w:t xml:space="preserve">to read the active runtime version string of G3Pix AxonASP.</w:t>
      </w:r>
    </w:p>
    <w:bookmarkEnd w:id="1116"/>
    <w:bookmarkStart w:id="1117" w:name="prerequisites-15"/>
    <w:p>
      <w:pPr>
        <w:pStyle w:val="Heading2"/>
      </w:pPr>
      <w:r>
        <w:t xml:space="preserve">Prerequisites</w:t>
      </w:r>
    </w:p>
    <w:p>
      <w:pPr>
        <w:pStyle w:val="Compact"/>
        <w:numPr>
          <w:ilvl w:val="0"/>
          <w:numId w:val="1299"/>
        </w:numPr>
      </w:pPr>
      <w:r>
        <w:t xml:space="preserve">Instantiate the library with</w:t>
      </w:r>
      <w:r>
        <w:t xml:space="preserve"> </w:t>
      </w:r>
      <w:r>
        <w:rPr>
          <w:rStyle w:val="VerbatimChar"/>
        </w:rPr>
        <w:t xml:space="preserve">Server.CreateObject("G3AXON.FUNCTIONS")</w:t>
      </w:r>
      <w:r>
        <w:t xml:space="preserve">.</w:t>
      </w:r>
    </w:p>
    <w:bookmarkEnd w:id="1117"/>
    <w:bookmarkStart w:id="1118" w:name="syntax-74"/>
    <w:p>
      <w:pPr>
        <w:pStyle w:val="Heading2"/>
      </w:pPr>
      <w:r>
        <w:t xml:space="preserve">Syntax</w:t>
      </w:r>
    </w:p>
    <w:p>
      <w:pPr>
        <w:pStyle w:val="SourceCode"/>
      </w:pPr>
      <w:r>
        <w:rPr>
          <w:rStyle w:val="NormalTok"/>
        </w:rPr>
        <w:t xml:space="preserve">versionText = obj.AxVersion()</w:t>
      </w:r>
    </w:p>
    <w:bookmarkEnd w:id="1118"/>
    <w:bookmarkStart w:id="1119" w:name="parameters-1"/>
    <w:p>
      <w:pPr>
        <w:pStyle w:val="Heading2"/>
      </w:pPr>
      <w:r>
        <w:t xml:space="preserve">Parameters</w:t>
      </w:r>
    </w:p>
    <w:p>
      <w:pPr>
        <w:pStyle w:val="Compact"/>
        <w:numPr>
          <w:ilvl w:val="0"/>
          <w:numId w:val="1300"/>
        </w:numPr>
      </w:pPr>
      <w:r>
        <w:t xml:space="preserve">This method does not require parameters.</w:t>
      </w:r>
    </w:p>
    <w:bookmarkEnd w:id="1119"/>
    <w:bookmarkStart w:id="1120" w:name="return-value-17"/>
    <w:p>
      <w:pPr>
        <w:pStyle w:val="Heading2"/>
      </w:pPr>
      <w:r>
        <w:t xml:space="preserve">Return Value</w:t>
      </w:r>
    </w:p>
    <w:p>
      <w:pPr>
        <w:pStyle w:val="Compact"/>
        <w:numPr>
          <w:ilvl w:val="0"/>
          <w:numId w:val="1301"/>
        </w:numPr>
      </w:pPr>
      <w:r>
        <w:rPr>
          <w:b/>
          <w:bCs/>
        </w:rPr>
        <w:t xml:space="preserve">String</w:t>
      </w:r>
      <w:r>
        <w:t xml:space="preserve">: Returns the current AxonASP runtime version (for example,</w:t>
      </w:r>
      <w:r>
        <w:t xml:space="preserve"> </w:t>
      </w:r>
      <w:r>
        <w:rPr>
          <w:rStyle w:val="VerbatimChar"/>
        </w:rPr>
        <w:t xml:space="preserve">1.2.3</w:t>
      </w:r>
      <w:r>
        <w:t xml:space="preserve"> </w:t>
      </w:r>
      <w:r>
        <w:t xml:space="preserve">or a build-specific version string configured at build time).</w:t>
      </w:r>
    </w:p>
    <w:bookmarkEnd w:id="1120"/>
    <w:bookmarkStart w:id="1121" w:name="remarks-83"/>
    <w:p>
      <w:pPr>
        <w:pStyle w:val="Heading2"/>
      </w:pPr>
      <w:r>
        <w:t xml:space="preserve">Remarks</w:t>
      </w:r>
    </w:p>
    <w:p>
      <w:pPr>
        <w:pStyle w:val="Compact"/>
        <w:numPr>
          <w:ilvl w:val="0"/>
          <w:numId w:val="1302"/>
        </w:numPr>
      </w:pPr>
      <w:r>
        <w:t xml:space="preserve">Use this method for diagnostics, telemetry, and feature gating by runtime version.</w:t>
      </w:r>
    </w:p>
    <w:p>
      <w:pPr>
        <w:pStyle w:val="Compact"/>
        <w:numPr>
          <w:ilvl w:val="0"/>
          <w:numId w:val="1302"/>
        </w:numPr>
      </w:pPr>
      <w:r>
        <w:t xml:space="preserve">Method names are case-insensitive in VBScript dispatch.</w:t>
      </w:r>
    </w:p>
    <w:bookmarkEnd w:id="1121"/>
    <w:bookmarkStart w:id="1122" w:name="example-1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versionText</w:t>
      </w:r>
      <w:r>
        <w:br/>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versionText = ax.AxVersion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"G3Pix AxonASP Version: "</w:t>
      </w:r>
      <w:r>
        <w:rPr>
          <w:rStyle w:val="NormalTok"/>
        </w:rPr>
        <w:t xml:space="preserve"> </w:t>
      </w:r>
      <w:r>
        <w:rPr>
          <w:rStyle w:val="KeywordTok"/>
        </w:rPr>
        <w:t xml:space="preserve">&amp;</w:t>
      </w:r>
      <w:r>
        <w:rPr>
          <w:rStyle w:val="NormalTok"/>
        </w:rPr>
        <w:t xml:space="preserve"> versionText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22"/>
    <w:bookmarkStart w:id="1123" w:name="api-reference-14"/>
    <w:p>
      <w:pPr>
        <w:pStyle w:val="Heading2"/>
      </w:pPr>
      <w:r>
        <w:t xml:space="preserve">API Reference</w:t>
      </w:r>
    </w:p>
    <w:p>
      <w:pPr>
        <w:pStyle w:val="Compact"/>
        <w:numPr>
          <w:ilvl w:val="0"/>
          <w:numId w:val="1303"/>
        </w:numPr>
      </w:pPr>
      <w:r>
        <w:rPr>
          <w:b/>
          <w:bCs/>
        </w:rPr>
        <w:t xml:space="preserve">Object</w:t>
      </w:r>
      <w:r>
        <w:t xml:space="preserve">:</w:t>
      </w:r>
      <w:r>
        <w:t xml:space="preserve"> </w:t>
      </w:r>
      <w:r>
        <w:rPr>
          <w:rStyle w:val="VerbatimChar"/>
        </w:rPr>
        <w:t xml:space="preserve">G3AXON.FUNCTIONS</w:t>
      </w:r>
    </w:p>
    <w:p>
      <w:pPr>
        <w:pStyle w:val="Compact"/>
        <w:numPr>
          <w:ilvl w:val="0"/>
          <w:numId w:val="1303"/>
        </w:numPr>
      </w:pPr>
      <w:r>
        <w:rPr>
          <w:b/>
          <w:bCs/>
        </w:rPr>
        <w:t xml:space="preserve">Method</w:t>
      </w:r>
      <w:r>
        <w:t xml:space="preserve">:</w:t>
      </w:r>
      <w:r>
        <w:t xml:space="preserve"> </w:t>
      </w:r>
      <w:r>
        <w:rPr>
          <w:rStyle w:val="VerbatimChar"/>
        </w:rPr>
        <w:t xml:space="preserve">AxVersion</w:t>
      </w:r>
    </w:p>
    <w:p>
      <w:pPr>
        <w:pStyle w:val="Compact"/>
        <w:numPr>
          <w:ilvl w:val="0"/>
          <w:numId w:val="1303"/>
        </w:numPr>
      </w:pPr>
      <w:r>
        <w:rPr>
          <w:b/>
          <w:bCs/>
        </w:rPr>
        <w:t xml:space="preserve">Arguments</w:t>
      </w:r>
      <w:r>
        <w:t xml:space="preserve">: none</w:t>
      </w:r>
    </w:p>
    <w:p>
      <w:pPr>
        <w:pStyle w:val="Compact"/>
        <w:numPr>
          <w:ilvl w:val="0"/>
          <w:numId w:val="1303"/>
        </w:numPr>
      </w:pPr>
      <w:r>
        <w:rPr>
          <w:b/>
          <w:bCs/>
        </w:rPr>
        <w:t xml:space="preserve">Returns</w:t>
      </w:r>
      <w:r>
        <w:t xml:space="preserve">:</w:t>
      </w:r>
      <w:r>
        <w:t xml:space="preserve"> </w:t>
      </w:r>
      <w:r>
        <w:rPr>
          <w:rStyle w:val="VerbatimChar"/>
        </w:rPr>
        <w:t xml:space="preserve">String</w:t>
      </w:r>
      <w:r>
        <w:t xml:space="preserve"> </w:t>
      </w:r>
      <w:r>
        <w:t xml:space="preserve">(current runtime version)</w:t>
      </w:r>
    </w:p>
    <w:bookmarkEnd w:id="1123"/>
    <w:bookmarkEnd w:id="1124"/>
    <w:bookmarkStart w:id="1138" w:name="get-runtime-diagnostic-report"/>
    <w:p>
      <w:pPr>
        <w:pStyle w:val="Heading1"/>
      </w:pPr>
      <w:r>
        <w:t xml:space="preserve">Get Runtime Diagnostic Report</w:t>
      </w:r>
    </w:p>
    <w:bookmarkStart w:id="1125" w:name="overview-58"/>
    <w:p>
      <w:pPr>
        <w:pStyle w:val="Heading2"/>
      </w:pPr>
      <w:r>
        <w:t xml:space="preserve">Overview</w:t>
      </w:r>
    </w:p>
    <w:p>
      <w:pPr>
        <w:pStyle w:val="FirstParagraph"/>
      </w:pPr>
      <w:r>
        <w:t xml:space="preserve">Returns a multi-section diagnostic report covering runtime details, server context, a memory snapshot, all loaded configuration keys from</w:t>
      </w:r>
      <w:r>
        <w:t xml:space="preserve"> </w:t>
      </w:r>
      <w:r>
        <w:rPr>
          <w:rStyle w:val="VerbatimChar"/>
        </w:rPr>
        <w:t xml:space="preserve">config/axonasp.toml</w:t>
      </w:r>
      <w:r>
        <w:t xml:space="preserve">, and the AxonASP legal attribution block.</w:t>
      </w:r>
    </w:p>
    <w:bookmarkEnd w:id="1125"/>
    <w:bookmarkStart w:id="1126" w:name="prerequisites-1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126"/>
    <w:bookmarkStart w:id="1127" w:name="syntax-75"/>
    <w:p>
      <w:pPr>
        <w:pStyle w:val="Heading2"/>
      </w:pPr>
      <w:r>
        <w:t xml:space="preserve">Syntax</w:t>
      </w:r>
    </w:p>
    <w:p>
      <w:pPr>
        <w:pStyle w:val="SourceCode"/>
      </w:pPr>
      <w:r>
        <w:rPr>
          <w:rStyle w:val="NormalTok"/>
        </w:rPr>
        <w:t xml:space="preserve">result = ax.AxRuntimeInfo()</w:t>
      </w:r>
    </w:p>
    <w:bookmarkEnd w:id="1127"/>
    <w:bookmarkStart w:id="1128" w:name="parameters-2"/>
    <w:p>
      <w:pPr>
        <w:pStyle w:val="Heading2"/>
      </w:pPr>
      <w:r>
        <w:t xml:space="preserve">Parameters</w:t>
      </w:r>
    </w:p>
    <w:p>
      <w:pPr>
        <w:pStyle w:val="FirstParagraph"/>
      </w:pPr>
      <w:r>
        <w:t xml:space="preserve">This method does not accept any parameters.</w:t>
      </w:r>
    </w:p>
    <w:bookmarkEnd w:id="1128"/>
    <w:bookmarkStart w:id="1129" w:name="return-value-18"/>
    <w:p>
      <w:pPr>
        <w:pStyle w:val="Heading2"/>
      </w:pPr>
      <w:r>
        <w:t xml:space="preserve">Return Value</w:t>
      </w:r>
    </w:p>
    <w:p>
      <w:pPr>
        <w:pStyle w:val="Compact"/>
        <w:numPr>
          <w:ilvl w:val="0"/>
          <w:numId w:val="1304"/>
        </w:numPr>
      </w:pPr>
      <w:r>
        <w:rPr>
          <w:b/>
          <w:bCs/>
        </w:rPr>
        <w:t xml:space="preserve">String</w:t>
      </w:r>
      <w:r>
        <w:t xml:space="preserve">: A plain-text diagnostic report. The format mirrors a</w:t>
      </w:r>
      <w:r>
        <w:t xml:space="preserve"> </w:t>
      </w:r>
      <w:r>
        <w:rPr>
          <w:rStyle w:val="VerbatimChar"/>
        </w:rPr>
        <w:t xml:space="preserve">phpinfo()</w:t>
      </w:r>
      <w:r>
        <w:t xml:space="preserve">-style output and is intended to be wrapped in a</w:t>
      </w:r>
      <w:r>
        <w:t xml:space="preserve"> </w:t>
      </w:r>
      <w:r>
        <w:rPr>
          <w:rStyle w:val="VerbatimChar"/>
        </w:rPr>
        <w:t xml:space="preserve">&lt;pre&gt;</w:t>
      </w:r>
      <w:r>
        <w:t xml:space="preserve"> </w:t>
      </w:r>
      <w:r>
        <w:t xml:space="preserve">element for display.</w:t>
      </w:r>
    </w:p>
    <w:bookmarkEnd w:id="1129"/>
    <w:bookmarkStart w:id="1130" w:name="remarks-84"/>
    <w:p>
      <w:pPr>
        <w:pStyle w:val="Heading2"/>
      </w:pPr>
      <w:r>
        <w:t xml:space="preserve">Remarks</w:t>
      </w:r>
    </w:p>
    <w:p>
      <w:pPr>
        <w:pStyle w:val="Compact"/>
        <w:numPr>
          <w:ilvl w:val="0"/>
          <w:numId w:val="1305"/>
        </w:numPr>
      </w:pPr>
      <w:r>
        <w:t xml:space="preserve">Only expose this method on secured administrative pages. The report includes internal configuration values.</w:t>
      </w:r>
    </w:p>
    <w:p>
      <w:pPr>
        <w:pStyle w:val="Compact"/>
        <w:numPr>
          <w:ilvl w:val="0"/>
          <w:numId w:val="1305"/>
        </w:numPr>
      </w:pPr>
      <w:r>
        <w:t xml:space="preserve">Method names are case-insensitive.</w:t>
      </w:r>
    </w:p>
    <w:bookmarkEnd w:id="1130"/>
    <w:bookmarkStart w:id="1131" w:name="example-2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report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report = ax.AxRuntimeInfo</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"&lt;pre&gt;"</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report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"&lt;/pre&gt;"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31"/>
    <w:bookmarkStart w:id="1132" w:name="api-reference-15"/>
    <w:p>
      <w:pPr>
        <w:pStyle w:val="Heading2"/>
      </w:pPr>
      <w:r>
        <w:t xml:space="preserve">API Reference</w:t>
      </w:r>
    </w:p>
    <w:p>
      <w:pPr>
        <w:pStyle w:val="Compact"/>
        <w:numPr>
          <w:ilvl w:val="0"/>
          <w:numId w:val="1306"/>
        </w:numPr>
      </w:pPr>
      <w:r>
        <w:rPr>
          <w:b/>
          <w:bCs/>
        </w:rPr>
        <w:t xml:space="preserve">Object</w:t>
      </w:r>
      <w:r>
        <w:t xml:space="preserve">:</w:t>
      </w:r>
      <w:r>
        <w:t xml:space="preserve"> </w:t>
      </w:r>
      <w:r>
        <w:rPr>
          <w:rStyle w:val="VerbatimChar"/>
        </w:rPr>
        <w:t xml:space="preserve">G3AXON.FUNCTIONS</w:t>
      </w:r>
    </w:p>
    <w:p>
      <w:pPr>
        <w:pStyle w:val="Compact"/>
        <w:numPr>
          <w:ilvl w:val="0"/>
          <w:numId w:val="1306"/>
        </w:numPr>
      </w:pPr>
      <w:r>
        <w:rPr>
          <w:b/>
          <w:bCs/>
        </w:rPr>
        <w:t xml:space="preserve">Method</w:t>
      </w:r>
      <w:r>
        <w:t xml:space="preserve">:</w:t>
      </w:r>
      <w:r>
        <w:t xml:space="preserve"> </w:t>
      </w:r>
      <w:r>
        <w:rPr>
          <w:rStyle w:val="VerbatimChar"/>
        </w:rPr>
        <w:t xml:space="preserve">AxRuntimeInfo</w:t>
      </w:r>
    </w:p>
    <w:p>
      <w:pPr>
        <w:pStyle w:val="Compact"/>
        <w:numPr>
          <w:ilvl w:val="0"/>
          <w:numId w:val="1306"/>
        </w:numPr>
      </w:pPr>
      <w:r>
        <w:rPr>
          <w:b/>
          <w:bCs/>
        </w:rPr>
        <w:t xml:space="preserve">Arguments</w:t>
      </w:r>
      <w:r>
        <w:t xml:space="preserve">: None</w:t>
      </w:r>
    </w:p>
    <w:p>
      <w:pPr>
        <w:pStyle w:val="Compact"/>
        <w:numPr>
          <w:ilvl w:val="0"/>
          <w:numId w:val="1306"/>
        </w:numPr>
      </w:pPr>
      <w:r>
        <w:rPr>
          <w:b/>
          <w:bCs/>
        </w:rPr>
        <w:t xml:space="preserve">Returns</w:t>
      </w:r>
      <w:r>
        <w:t xml:space="preserve">: String — multi-section plain-text diagnostic report</w:t>
      </w:r>
    </w:p>
    <w:p>
      <w:pPr>
        <w:pStyle w:val="SourceCode"/>
      </w:pPr>
      <w:r>
        <w:br/>
      </w:r>
      <w:r>
        <w:rPr>
          <w:rStyle w:val="VerbatimChar"/>
        </w:rPr>
        <w:t xml:space="preserve"># AxGetEnv</w:t>
      </w:r>
      <w:r>
        <w:br/>
      </w:r>
      <w:r>
        <w:br/>
      </w:r>
      <w:r>
        <w:rPr>
          <w:rStyle w:val="VerbatimChar"/>
        </w:rPr>
        <w:t xml:space="preserve">## Overview</w:t>
      </w:r>
      <w:r>
        <w:br/>
      </w:r>
      <w:r>
        <w:br/>
      </w:r>
      <w:r>
        <w:rPr>
          <w:rStyle w:val="VerbatimChar"/>
        </w:rPr>
        <w:t xml:space="preserve">Use `AxGetEnv` to read one operating-system environment variable from the host process.</w:t>
      </w:r>
      <w:r>
        <w:br/>
      </w:r>
      <w:r>
        <w:br/>
      </w:r>
      <w:r>
        <w:rPr>
          <w:rStyle w:val="VerbatimChar"/>
        </w:rPr>
        <w:t xml:space="preserve">## Prerequisites</w:t>
      </w:r>
      <w:r>
        <w:br/>
      </w:r>
      <w:r>
        <w:br/>
      </w:r>
      <w:r>
        <w:rPr>
          <w:rStyle w:val="VerbatimChar"/>
        </w:rPr>
        <w:t xml:space="preserve">- Instantiate the library with `Server.CreateObject("G3AXON.FUNCTIONS")`.</w:t>
      </w:r>
      <w:r>
        <w:br/>
      </w:r>
      <w:r>
        <w:br/>
      </w:r>
      <w:r>
        <w:rPr>
          <w:rStyle w:val="VerbatimChar"/>
        </w:rPr>
        <w:t xml:space="preserve">## Syntax</w:t>
      </w:r>
      <w:r>
        <w:br/>
      </w:r>
      <w:r>
        <w:br/>
      </w:r>
      <w:r>
        <w:rPr>
          <w:rStyle w:val="VerbatimChar"/>
        </w:rPr>
        <w:t xml:space="preserve">```asp</w:t>
      </w:r>
      <w:r>
        <w:br/>
      </w:r>
      <w:r>
        <w:rPr>
          <w:rStyle w:val="VerbatimChar"/>
        </w:rPr>
        <w:t xml:space="preserve">value = obj.AxGetEnv(name)</w:t>
      </w:r>
    </w:p>
    <w:bookmarkEnd w:id="1132"/>
    <w:bookmarkStart w:id="1133" w:name="parameters-3"/>
    <w:p>
      <w:pPr>
        <w:pStyle w:val="Heading2"/>
      </w:pPr>
      <w:r>
        <w:t xml:space="preserve">Parameters</w:t>
      </w:r>
    </w:p>
    <w:p>
      <w:pPr>
        <w:pStyle w:val="Compact"/>
        <w:numPr>
          <w:ilvl w:val="0"/>
          <w:numId w:val="1307"/>
        </w:numPr>
      </w:pPr>
      <w:r>
        <w:rPr>
          <w:b/>
          <w:bCs/>
        </w:rPr>
        <w:t xml:space="preserve">name</w:t>
      </w:r>
      <w:r>
        <w:t xml:space="preserve"> </w:t>
      </w:r>
      <w:r>
        <w:t xml:space="preserve">(String): Environment variable name to resolve.</w:t>
      </w:r>
    </w:p>
    <w:bookmarkEnd w:id="1133"/>
    <w:bookmarkStart w:id="1134" w:name="return-value-19"/>
    <w:p>
      <w:pPr>
        <w:pStyle w:val="Heading2"/>
      </w:pPr>
      <w:r>
        <w:t xml:space="preserve">Return Value</w:t>
      </w:r>
    </w:p>
    <w:p>
      <w:pPr>
        <w:pStyle w:val="Compact"/>
        <w:numPr>
          <w:ilvl w:val="0"/>
          <w:numId w:val="1308"/>
        </w:numPr>
      </w:pPr>
      <w:r>
        <w:rPr>
          <w:b/>
          <w:bCs/>
        </w:rPr>
        <w:t xml:space="preserve">String</w:t>
      </w:r>
      <w:r>
        <w:t xml:space="preserve">: Returns the value of the requested environment variable.</w:t>
      </w:r>
    </w:p>
    <w:p>
      <w:pPr>
        <w:pStyle w:val="Compact"/>
        <w:numPr>
          <w:ilvl w:val="0"/>
          <w:numId w:val="1308"/>
        </w:numPr>
      </w:pPr>
      <w:r>
        <w:rPr>
          <w:b/>
          <w:bCs/>
        </w:rPr>
        <w:t xml:space="preserve">String</w:t>
      </w:r>
      <w:r>
        <w:t xml:space="preserve">: Returns an empty string when the variable does not exist.</w:t>
      </w:r>
    </w:p>
    <w:p>
      <w:pPr>
        <w:pStyle w:val="Compact"/>
        <w:numPr>
          <w:ilvl w:val="0"/>
          <w:numId w:val="1308"/>
        </w:numPr>
      </w:pPr>
      <w:r>
        <w:rPr>
          <w:b/>
          <w:bCs/>
        </w:rPr>
        <w:t xml:space="preserve">String</w:t>
      </w:r>
      <w:r>
        <w:t xml:space="preserve">: Returns an empty string when</w:t>
      </w:r>
      <w:r>
        <w:t xml:space="preserve"> </w:t>
      </w:r>
      <w:r>
        <w:rPr>
          <w:rStyle w:val="VerbatimChar"/>
        </w:rPr>
        <w:t xml:space="preserve">name</w:t>
      </w:r>
      <w:r>
        <w:t xml:space="preserve"> </w:t>
      </w:r>
      <w:r>
        <w:t xml:space="preserve">is omitted.</w:t>
      </w:r>
    </w:p>
    <w:bookmarkEnd w:id="1134"/>
    <w:bookmarkStart w:id="1135" w:name="remarks-85"/>
    <w:p>
      <w:pPr>
        <w:pStyle w:val="Heading2"/>
      </w:pPr>
      <w:r>
        <w:t xml:space="preserve">Remarks</w:t>
      </w:r>
    </w:p>
    <w:p>
      <w:pPr>
        <w:pStyle w:val="Compact"/>
        <w:numPr>
          <w:ilvl w:val="0"/>
          <w:numId w:val="1309"/>
        </w:numPr>
      </w:pPr>
      <w:r>
        <w:t xml:space="preserve">On Windows hosts, environment variable lookup is case-insensitive.</w:t>
      </w:r>
    </w:p>
    <w:p>
      <w:pPr>
        <w:pStyle w:val="Compact"/>
        <w:numPr>
          <w:ilvl w:val="0"/>
          <w:numId w:val="1309"/>
        </w:numPr>
      </w:pPr>
      <w:r>
        <w:t xml:space="preserve">On Unix-like hosts, environment variable lookup is case-sensitive.</w:t>
      </w:r>
    </w:p>
    <w:p>
      <w:pPr>
        <w:pStyle w:val="Compact"/>
        <w:numPr>
          <w:ilvl w:val="0"/>
          <w:numId w:val="1309"/>
        </w:numPr>
      </w:pPr>
      <w:r>
        <w:t xml:space="preserve">Method names are case-insensitive in VBScript dispatch.</w:t>
      </w:r>
    </w:p>
    <w:bookmarkEnd w:id="1135"/>
    <w:bookmarkStart w:id="1136" w:name="example-2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pathValue</w:t>
      </w:r>
      <w:r>
        <w:rPr>
          <w:rStyle w:val="OtherTok"/>
        </w:rPr>
        <w:t xml:space="preserve">,</w:t>
      </w:r>
      <w:r>
        <w:rPr>
          <w:rStyle w:val="NormalTok"/>
        </w:rPr>
        <w:t xml:space="preserve"> missingValue</w:t>
      </w:r>
      <w:r>
        <w:br/>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pathValue = ax.AxGetEnv</w:t>
      </w:r>
      <w:r>
        <w:rPr>
          <w:rStyle w:val="OtherTok"/>
        </w:rPr>
        <w:t xml:space="preserve">(</w:t>
      </w:r>
      <w:r>
        <w:rPr>
          <w:rStyle w:val="StringTok"/>
        </w:rPr>
        <w:t xml:space="preserve">"PATH"</w:t>
      </w:r>
      <w:r>
        <w:rPr>
          <w:rStyle w:val="OtherTok"/>
        </w:rPr>
        <w:t xml:space="preserve">)</w:t>
      </w:r>
      <w:r>
        <w:br/>
      </w:r>
      <w:r>
        <w:rPr>
          <w:rStyle w:val="NormalTok"/>
        </w:rPr>
        <w:t xml:space="preserve">missingValue = ax.AxGetEnv</w:t>
      </w:r>
      <w:r>
        <w:rPr>
          <w:rStyle w:val="OtherTok"/>
        </w:rPr>
        <w:t xml:space="preserve">(</w:t>
      </w:r>
      <w:r>
        <w:rPr>
          <w:rStyle w:val="StringTok"/>
        </w:rPr>
        <w:t xml:space="preserve">"AXONASP_VAR_THAT_DOES_NOT_EXIST"</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"PATH length: "</w:t>
      </w:r>
      <w:r>
        <w:rPr>
          <w:rStyle w:val="NormalTok"/>
        </w:rPr>
        <w:t xml:space="preserve"> </w:t>
      </w:r>
      <w:r>
        <w:rPr>
          <w:rStyle w:val="KeywordTok"/>
        </w:rPr>
        <w:t xml:space="preserve">&amp;</w:t>
      </w:r>
      <w:r>
        <w:rPr>
          <w:rStyle w:val="NormalTok"/>
        </w:rPr>
        <w:t xml:space="preserve"> </w:t>
      </w:r>
      <w:r>
        <w:rPr>
          <w:rStyle w:val="FunctionTok"/>
        </w:rPr>
        <w:t xml:space="preserve">Len</w:t>
      </w:r>
      <w:r>
        <w:rPr>
          <w:rStyle w:val="OtherTok"/>
        </w:rPr>
        <w:t xml:space="preserve">(</w:t>
      </w:r>
      <w:r>
        <w:rPr>
          <w:rStyle w:val="NormalTok"/>
        </w:rPr>
        <w:t xml:space="preserve">pathValue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"Missing variable value: ["</w:t>
      </w:r>
      <w:r>
        <w:rPr>
          <w:rStyle w:val="NormalTok"/>
        </w:rPr>
        <w:t xml:space="preserve"> </w:t>
      </w:r>
      <w:r>
        <w:rPr>
          <w:rStyle w:val="KeywordTok"/>
        </w:rPr>
        <w:t xml:space="preserve">&amp;</w:t>
      </w:r>
      <w:r>
        <w:rPr>
          <w:rStyle w:val="NormalTok"/>
        </w:rPr>
        <w:t xml:space="preserve"> missingValue </w:t>
      </w:r>
      <w:r>
        <w:rPr>
          <w:rStyle w:val="KeywordTok"/>
        </w:rPr>
        <w:t xml:space="preserve">&amp;</w:t>
      </w:r>
      <w:r>
        <w:rPr>
          <w:rStyle w:val="NormalTok"/>
        </w:rPr>
        <w:t xml:space="preserve"> </w:t>
      </w:r>
      <w:r>
        <w:rPr>
          <w:rStyle w:val="String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36"/>
    <w:bookmarkStart w:id="1137" w:name="api-reference-16"/>
    <w:p>
      <w:pPr>
        <w:pStyle w:val="Heading2"/>
      </w:pPr>
      <w:r>
        <w:t xml:space="preserve">API Reference</w:t>
      </w:r>
    </w:p>
    <w:p>
      <w:pPr>
        <w:pStyle w:val="Compact"/>
        <w:numPr>
          <w:ilvl w:val="0"/>
          <w:numId w:val="1310"/>
        </w:numPr>
      </w:pPr>
      <w:r>
        <w:rPr>
          <w:b/>
          <w:bCs/>
        </w:rPr>
        <w:t xml:space="preserve">Object</w:t>
      </w:r>
      <w:r>
        <w:t xml:space="preserve">:</w:t>
      </w:r>
      <w:r>
        <w:t xml:space="preserve"> </w:t>
      </w:r>
      <w:r>
        <w:rPr>
          <w:rStyle w:val="VerbatimChar"/>
        </w:rPr>
        <w:t xml:space="preserve">G3AXON.FUNCTIONS</w:t>
      </w:r>
    </w:p>
    <w:p>
      <w:pPr>
        <w:pStyle w:val="Compact"/>
        <w:numPr>
          <w:ilvl w:val="0"/>
          <w:numId w:val="1310"/>
        </w:numPr>
      </w:pPr>
      <w:r>
        <w:rPr>
          <w:b/>
          <w:bCs/>
        </w:rPr>
        <w:t xml:space="preserve">Method</w:t>
      </w:r>
      <w:r>
        <w:t xml:space="preserve">:</w:t>
      </w:r>
      <w:r>
        <w:t xml:space="preserve"> </w:t>
      </w:r>
      <w:r>
        <w:rPr>
          <w:rStyle w:val="VerbatimChar"/>
        </w:rPr>
        <w:t xml:space="preserve">AxGetEnv</w:t>
      </w:r>
    </w:p>
    <w:p>
      <w:pPr>
        <w:pStyle w:val="Compact"/>
        <w:numPr>
          <w:ilvl w:val="0"/>
          <w:numId w:val="1310"/>
        </w:numPr>
      </w:pPr>
      <w:r>
        <w:rPr>
          <w:b/>
          <w:bCs/>
        </w:rPr>
        <w:t xml:space="preserve">Arguments</w:t>
      </w:r>
      <w:r>
        <w:t xml:space="preserve">:</w:t>
      </w:r>
      <w:r>
        <w:t xml:space="preserve"> </w:t>
      </w:r>
      <w:r>
        <w:rPr>
          <w:rStyle w:val="VerbatimChar"/>
        </w:rPr>
        <w:t xml:space="preserve">name As String</w:t>
      </w:r>
    </w:p>
    <w:p>
      <w:pPr>
        <w:pStyle w:val="Compact"/>
        <w:numPr>
          <w:ilvl w:val="0"/>
          <w:numId w:val="1310"/>
        </w:numPr>
      </w:pPr>
      <w:r>
        <w:rPr>
          <w:b/>
          <w:bCs/>
        </w:rPr>
        <w:t xml:space="preserve">Returns</w:t>
      </w:r>
      <w:r>
        <w:t xml:space="preserve">:</w:t>
      </w:r>
      <w:r>
        <w:t xml:space="preserve"> </w:t>
      </w:r>
      <w:r>
        <w:rPr>
          <w:rStyle w:val="VerbatimChar"/>
        </w:rPr>
        <w:t xml:space="preserve">String</w:t>
      </w:r>
      <w:r>
        <w:t xml:space="preserve"> </w:t>
      </w:r>
      <w:r>
        <w:t xml:space="preserve">(environment variable value, or empty string)</w:t>
      </w:r>
    </w:p>
    <w:bookmarkEnd w:id="1137"/>
    <w:bookmarkEnd w:id="1138"/>
    <w:bookmarkStart w:id="1147" w:name="axgetconfig"/>
    <w:p>
      <w:pPr>
        <w:pStyle w:val="Heading1"/>
      </w:pPr>
      <w:r>
        <w:t xml:space="preserve">AxGetConfig</w:t>
      </w:r>
    </w:p>
    <w:bookmarkStart w:id="1139" w:name="overview-59"/>
    <w:p>
      <w:pPr>
        <w:pStyle w:val="Heading2"/>
      </w:pPr>
      <w:r>
        <w:t xml:space="preserve">Overview</w:t>
      </w:r>
    </w:p>
    <w:p>
      <w:pPr>
        <w:pStyle w:val="FirstParagraph"/>
      </w:pPr>
      <w:r>
        <w:t xml:space="preserve">Use</w:t>
      </w:r>
      <w:r>
        <w:t xml:space="preserve"> </w:t>
      </w:r>
      <w:r>
        <w:rPr>
          <w:rStyle w:val="VerbatimChar"/>
        </w:rPr>
        <w:t xml:space="preserve">AxGetConfig</w:t>
      </w:r>
      <w:r>
        <w:t xml:space="preserve"> </w:t>
      </w:r>
      <w:r>
        <w:t xml:space="preserve">to read one key from the active G3Pix AxonASP configuration.</w:t>
      </w:r>
    </w:p>
    <w:bookmarkEnd w:id="1139"/>
    <w:bookmarkStart w:id="1140" w:name="prerequisites-17"/>
    <w:p>
      <w:pPr>
        <w:pStyle w:val="Heading2"/>
      </w:pPr>
      <w:r>
        <w:t xml:space="preserve">Prerequisites</w:t>
      </w:r>
    </w:p>
    <w:p>
      <w:pPr>
        <w:pStyle w:val="Compact"/>
        <w:numPr>
          <w:ilvl w:val="0"/>
          <w:numId w:val="1311"/>
        </w:numPr>
      </w:pPr>
      <w:r>
        <w:t xml:space="preserve">Instantiate the library with</w:t>
      </w:r>
      <w:r>
        <w:t xml:space="preserve"> </w:t>
      </w:r>
      <w:r>
        <w:rPr>
          <w:rStyle w:val="VerbatimChar"/>
        </w:rPr>
        <w:t xml:space="preserve">Server.CreateObject("G3AXON.FUNCTIONS")</w:t>
      </w:r>
      <w:r>
        <w:t xml:space="preserve">.</w:t>
      </w:r>
    </w:p>
    <w:p>
      <w:pPr>
        <w:pStyle w:val="Compact"/>
        <w:numPr>
          <w:ilvl w:val="0"/>
          <w:numId w:val="1311"/>
        </w:numPr>
      </w:pPr>
      <w:r>
        <w:t xml:space="preserve">Ensure the runtime can load</w:t>
      </w:r>
      <w:r>
        <w:t xml:space="preserve"> </w:t>
      </w:r>
      <w:r>
        <w:rPr>
          <w:rStyle w:val="VerbatimChar"/>
        </w:rPr>
        <w:t xml:space="preserve">config/axonasp.toml</w:t>
      </w:r>
      <w:r>
        <w:t xml:space="preserve">.</w:t>
      </w:r>
    </w:p>
    <w:bookmarkEnd w:id="1140"/>
    <w:bookmarkStart w:id="1141" w:name="syntax-76"/>
    <w:p>
      <w:pPr>
        <w:pStyle w:val="Heading2"/>
      </w:pPr>
      <w:r>
        <w:t xml:space="preserve">Syntax</w:t>
      </w:r>
    </w:p>
    <w:p>
      <w:pPr>
        <w:pStyle w:val="SourceCode"/>
      </w:pPr>
      <w:r>
        <w:rPr>
          <w:rStyle w:val="NormalTok"/>
        </w:rPr>
        <w:t xml:space="preserve">value = obj.AxGetConfig(key)</w:t>
      </w:r>
    </w:p>
    <w:bookmarkEnd w:id="1141"/>
    <w:bookmarkStart w:id="1142" w:name="parameters-4"/>
    <w:p>
      <w:pPr>
        <w:pStyle w:val="Heading2"/>
      </w:pPr>
      <w:r>
        <w:t xml:space="preserve">Parameters</w:t>
      </w:r>
    </w:p>
    <w:p>
      <w:pPr>
        <w:pStyle w:val="Compact"/>
        <w:numPr>
          <w:ilvl w:val="0"/>
          <w:numId w:val="1312"/>
        </w:numPr>
      </w:pPr>
      <w:r>
        <w:rPr>
          <w:b/>
          <w:bCs/>
        </w:rPr>
        <w:t xml:space="preserve">key</w:t>
      </w:r>
      <w:r>
        <w:t xml:space="preserve"> </w:t>
      </w:r>
      <w:r>
        <w:t xml:space="preserve">(String): Fully qualified configuration key, such as</w:t>
      </w:r>
      <w:r>
        <w:t xml:space="preserve"> </w:t>
      </w:r>
      <w:r>
        <w:rPr>
          <w:rStyle w:val="VerbatimChar"/>
        </w:rPr>
        <w:t xml:space="preserve">global.golang_memory_limit_mb</w:t>
      </w:r>
      <w:r>
        <w:t xml:space="preserve">.</w:t>
      </w:r>
    </w:p>
    <w:bookmarkEnd w:id="1142"/>
    <w:bookmarkStart w:id="1143" w:name="return-value-20"/>
    <w:p>
      <w:pPr>
        <w:pStyle w:val="Heading2"/>
      </w:pPr>
      <w:r>
        <w:t xml:space="preserve">Return Value</w:t>
      </w:r>
    </w:p>
    <w:p>
      <w:pPr>
        <w:pStyle w:val="Compact"/>
        <w:numPr>
          <w:ilvl w:val="0"/>
          <w:numId w:val="1313"/>
        </w:numPr>
      </w:pPr>
      <w:r>
        <w:rPr>
          <w:b/>
          <w:bCs/>
        </w:rPr>
        <w:t xml:space="preserve">Empty</w:t>
      </w:r>
      <w:r>
        <w:t xml:space="preserve">: Returned when</w:t>
      </w:r>
      <w:r>
        <w:t xml:space="preserve"> </w:t>
      </w:r>
      <w:r>
        <w:rPr>
          <w:rStyle w:val="VerbatimChar"/>
        </w:rPr>
        <w:t xml:space="preserve">key</w:t>
      </w:r>
      <w:r>
        <w:t xml:space="preserve"> </w:t>
      </w:r>
      <w:r>
        <w:t xml:space="preserve">is omitted.</w:t>
      </w:r>
    </w:p>
    <w:p>
      <w:pPr>
        <w:pStyle w:val="Compact"/>
        <w:numPr>
          <w:ilvl w:val="0"/>
          <w:numId w:val="1313"/>
        </w:numPr>
      </w:pPr>
      <w:r>
        <w:rPr>
          <w:b/>
          <w:bCs/>
        </w:rPr>
        <w:t xml:space="preserve">Empty</w:t>
      </w:r>
      <w:r>
        <w:t xml:space="preserve">: Returned when</w:t>
      </w:r>
      <w:r>
        <w:t xml:space="preserve"> </w:t>
      </w:r>
      <w:r>
        <w:rPr>
          <w:rStyle w:val="VerbatimChar"/>
        </w:rPr>
        <w:t xml:space="preserve">key</w:t>
      </w:r>
      <w:r>
        <w:t xml:space="preserve"> </w:t>
      </w:r>
      <w:r>
        <w:t xml:space="preserve">is blank.</w:t>
      </w:r>
    </w:p>
    <w:p>
      <w:pPr>
        <w:pStyle w:val="Compact"/>
        <w:numPr>
          <w:ilvl w:val="0"/>
          <w:numId w:val="1313"/>
        </w:numPr>
      </w:pPr>
      <w:r>
        <w:rPr>
          <w:b/>
          <w:bCs/>
        </w:rPr>
        <w:t xml:space="preserve">Empty</w:t>
      </w:r>
      <w:r>
        <w:t xml:space="preserve">: Returned when the config file is not loaded.</w:t>
      </w:r>
    </w:p>
    <w:p>
      <w:pPr>
        <w:pStyle w:val="Compact"/>
        <w:numPr>
          <w:ilvl w:val="0"/>
          <w:numId w:val="1313"/>
        </w:numPr>
      </w:pPr>
      <w:r>
        <w:rPr>
          <w:b/>
          <w:bCs/>
        </w:rPr>
        <w:t xml:space="preserve">Empty</w:t>
      </w:r>
      <w:r>
        <w:t xml:space="preserve">: Returned when the key does not exist.</w:t>
      </w:r>
    </w:p>
    <w:p>
      <w:pPr>
        <w:pStyle w:val="Compact"/>
        <w:numPr>
          <w:ilvl w:val="0"/>
          <w:numId w:val="1313"/>
        </w:numPr>
      </w:pPr>
      <w:r>
        <w:rPr>
          <w:b/>
          <w:bCs/>
        </w:rPr>
        <w:t xml:space="preserve">String</w:t>
      </w:r>
      <w:r>
        <w:t xml:space="preserve">: Returned when the resolved config value is textual.</w:t>
      </w:r>
    </w:p>
    <w:p>
      <w:pPr>
        <w:pStyle w:val="Compact"/>
        <w:numPr>
          <w:ilvl w:val="0"/>
          <w:numId w:val="1313"/>
        </w:numPr>
      </w:pPr>
      <w:r>
        <w:rPr>
          <w:b/>
          <w:bCs/>
        </w:rPr>
        <w:t xml:space="preserve">Boolean</w:t>
      </w:r>
      <w:r>
        <w:t xml:space="preserve">: Returned when the resolved config value is true/false.</w:t>
      </w:r>
    </w:p>
    <w:p>
      <w:pPr>
        <w:pStyle w:val="Compact"/>
        <w:numPr>
          <w:ilvl w:val="0"/>
          <w:numId w:val="1313"/>
        </w:numPr>
      </w:pPr>
      <w:r>
        <w:rPr>
          <w:b/>
          <w:bCs/>
        </w:rPr>
        <w:t xml:space="preserve">Integer</w:t>
      </w:r>
      <w:r>
        <w:t xml:space="preserve">: Returned when the resolved config value is an integer type.</w:t>
      </w:r>
    </w:p>
    <w:p>
      <w:pPr>
        <w:pStyle w:val="Compact"/>
        <w:numPr>
          <w:ilvl w:val="0"/>
          <w:numId w:val="1313"/>
        </w:numPr>
      </w:pPr>
      <w:r>
        <w:rPr>
          <w:b/>
          <w:bCs/>
        </w:rPr>
        <w:t xml:space="preserve">Double</w:t>
      </w:r>
      <w:r>
        <w:t xml:space="preserve">: Returned when the resolved config value is a floating-point type.</w:t>
      </w:r>
    </w:p>
    <w:p>
      <w:pPr>
        <w:pStyle w:val="Compact"/>
        <w:numPr>
          <w:ilvl w:val="0"/>
          <w:numId w:val="1313"/>
        </w:numPr>
      </w:pPr>
      <w:r>
        <w:rPr>
          <w:b/>
          <w:bCs/>
        </w:rPr>
        <w:t xml:space="preserve">Array</w:t>
      </w:r>
      <w:r>
        <w:t xml:space="preserve">: Returned when the resolved config value is a list.</w:t>
      </w:r>
    </w:p>
    <w:bookmarkEnd w:id="1143"/>
    <w:bookmarkStart w:id="1144" w:name="remarks-86"/>
    <w:p>
      <w:pPr>
        <w:pStyle w:val="Heading2"/>
      </w:pPr>
      <w:r>
        <w:t xml:space="preserve">Remarks</w:t>
      </w:r>
    </w:p>
    <w:p>
      <w:pPr>
        <w:pStyle w:val="Compact"/>
        <w:numPr>
          <w:ilvl w:val="0"/>
          <w:numId w:val="1314"/>
        </w:numPr>
      </w:pPr>
      <w:r>
        <w:t xml:space="preserve">When</w:t>
      </w:r>
      <w:r>
        <w:t xml:space="preserve"> </w:t>
      </w:r>
      <w:r>
        <w:rPr>
          <w:rStyle w:val="VerbatimChar"/>
        </w:rPr>
        <w:t xml:space="preserve">global.viper_automatic_env</w:t>
      </w:r>
      <w:r>
        <w:t xml:space="preserve"> </w:t>
      </w:r>
      <w:r>
        <w:t xml:space="preserve">is enabled, environment variables can override file values.</w:t>
      </w:r>
    </w:p>
    <w:p>
      <w:pPr>
        <w:pStyle w:val="Compact"/>
        <w:numPr>
          <w:ilvl w:val="0"/>
          <w:numId w:val="1314"/>
        </w:numPr>
      </w:pPr>
      <w:r>
        <w:t xml:space="preserve">Method names are case-insensitive in VBScript dispatch.</w:t>
      </w:r>
    </w:p>
    <w:bookmarkEnd w:id="1144"/>
    <w:bookmarkStart w:id="1145" w:name="example-2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memLimit</w:t>
      </w:r>
      <w:r>
        <w:rPr>
          <w:rStyle w:val="OtherTok"/>
        </w:rPr>
        <w:t xml:space="preserve">,</w:t>
      </w:r>
      <w:r>
        <w:rPr>
          <w:rStyle w:val="NormalTok"/>
        </w:rPr>
        <w:t xml:space="preserve"> missingKey</w:t>
      </w:r>
      <w:r>
        <w:br/>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memLimit = ax.AxGetConfig</w:t>
      </w:r>
      <w:r>
        <w:rPr>
          <w:rStyle w:val="OtherTok"/>
        </w:rPr>
        <w:t xml:space="preserve">(</w:t>
      </w:r>
      <w:r>
        <w:rPr>
          <w:rStyle w:val="StringTok"/>
        </w:rPr>
        <w:t xml:space="preserve">"global.golang_memory_limit_mb"</w:t>
      </w:r>
      <w:r>
        <w:rPr>
          <w:rStyle w:val="OtherTok"/>
        </w:rPr>
        <w:t xml:space="preserve">)</w:t>
      </w:r>
      <w:r>
        <w:br/>
      </w:r>
      <w:r>
        <w:rPr>
          <w:rStyle w:val="NormalTok"/>
        </w:rPr>
        <w:t xml:space="preserve">missingKey = ax.AxGetConfig</w:t>
      </w:r>
      <w:r>
        <w:rPr>
          <w:rStyle w:val="OtherTok"/>
        </w:rPr>
        <w:t xml:space="preserve">(</w:t>
      </w:r>
      <w:r>
        <w:rPr>
          <w:rStyle w:val="StringTok"/>
        </w:rPr>
        <w:t xml:space="preserve">"global.this_key_does_not_exist"</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"Memory limit: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memLimit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If</w:t>
      </w:r>
      <w:r>
        <w:rPr>
          <w:rStyle w:val="NormalTok"/>
        </w:rPr>
        <w:t xml:space="preserve"> </w:t>
      </w:r>
      <w:r>
        <w:rPr>
          <w:rStyle w:val="FunctionTok"/>
        </w:rPr>
        <w:t xml:space="preserve">IsEmpty</w:t>
      </w:r>
      <w:r>
        <w:rPr>
          <w:rStyle w:val="OtherTok"/>
        </w:rPr>
        <w:t xml:space="preserve">(</w:t>
      </w:r>
      <w:r>
        <w:rPr>
          <w:rStyle w:val="NormalTok"/>
        </w:rPr>
        <w:t xml:space="preserve">missingKey</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"Missing key returned Empty"</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45"/>
    <w:bookmarkStart w:id="1146" w:name="api-reference-17"/>
    <w:p>
      <w:pPr>
        <w:pStyle w:val="Heading2"/>
      </w:pPr>
      <w:r>
        <w:t xml:space="preserve">API Reference</w:t>
      </w:r>
    </w:p>
    <w:p>
      <w:pPr>
        <w:pStyle w:val="Compact"/>
        <w:numPr>
          <w:ilvl w:val="0"/>
          <w:numId w:val="1315"/>
        </w:numPr>
      </w:pPr>
      <w:r>
        <w:rPr>
          <w:b/>
          <w:bCs/>
        </w:rPr>
        <w:t xml:space="preserve">Object</w:t>
      </w:r>
      <w:r>
        <w:t xml:space="preserve">:</w:t>
      </w:r>
      <w:r>
        <w:t xml:space="preserve"> </w:t>
      </w:r>
      <w:r>
        <w:rPr>
          <w:rStyle w:val="VerbatimChar"/>
        </w:rPr>
        <w:t xml:space="preserve">G3AXON.FUNCTIONS</w:t>
      </w:r>
    </w:p>
    <w:p>
      <w:pPr>
        <w:pStyle w:val="Compact"/>
        <w:numPr>
          <w:ilvl w:val="0"/>
          <w:numId w:val="1315"/>
        </w:numPr>
      </w:pPr>
      <w:r>
        <w:rPr>
          <w:b/>
          <w:bCs/>
        </w:rPr>
        <w:t xml:space="preserve">Method</w:t>
      </w:r>
      <w:r>
        <w:t xml:space="preserve">:</w:t>
      </w:r>
      <w:r>
        <w:t xml:space="preserve"> </w:t>
      </w:r>
      <w:r>
        <w:rPr>
          <w:rStyle w:val="VerbatimChar"/>
        </w:rPr>
        <w:t xml:space="preserve">AxGetConfig</w:t>
      </w:r>
    </w:p>
    <w:p>
      <w:pPr>
        <w:pStyle w:val="Compact"/>
        <w:numPr>
          <w:ilvl w:val="0"/>
          <w:numId w:val="1315"/>
        </w:numPr>
      </w:pPr>
      <w:r>
        <w:rPr>
          <w:b/>
          <w:bCs/>
        </w:rPr>
        <w:t xml:space="preserve">Arguments</w:t>
      </w:r>
      <w:r>
        <w:t xml:space="preserve">:</w:t>
      </w:r>
      <w:r>
        <w:t xml:space="preserve"> </w:t>
      </w:r>
      <w:r>
        <w:rPr>
          <w:rStyle w:val="VerbatimChar"/>
        </w:rPr>
        <w:t xml:space="preserve">key As String</w:t>
      </w:r>
    </w:p>
    <w:p>
      <w:pPr>
        <w:pStyle w:val="Compact"/>
        <w:numPr>
          <w:ilvl w:val="0"/>
          <w:numId w:val="1315"/>
        </w:numPr>
      </w:pPr>
      <w:r>
        <w:rPr>
          <w:b/>
          <w:bCs/>
        </w:rPr>
        <w:t xml:space="preserve">Returns</w:t>
      </w:r>
      <w:r>
        <w:t xml:space="preserve">:</w:t>
      </w:r>
      <w:r>
        <w:t xml:space="preserve"> </w:t>
      </w:r>
      <w:r>
        <w:rPr>
          <w:rStyle w:val="VerbatimChar"/>
        </w:rPr>
        <w:t xml:space="preserve">Empty</w:t>
      </w:r>
      <w:r>
        <w:t xml:space="preserve">,</w:t>
      </w:r>
      <w:r>
        <w:t xml:space="preserve"> </w:t>
      </w:r>
      <w:r>
        <w:rPr>
          <w:rStyle w:val="VerbatimChar"/>
        </w:rPr>
        <w:t xml:space="preserve">String</w:t>
      </w:r>
      <w:r>
        <w:t xml:space="preserve">,</w:t>
      </w:r>
      <w:r>
        <w:t xml:space="preserve"> </w:t>
      </w:r>
      <w:r>
        <w:rPr>
          <w:rStyle w:val="VerbatimChar"/>
        </w:rPr>
        <w:t xml:space="preserve">Boolean</w:t>
      </w:r>
      <w:r>
        <w:t xml:space="preserve">,</w:t>
      </w:r>
      <w:r>
        <w:t xml:space="preserve"> </w:t>
      </w:r>
      <w:r>
        <w:rPr>
          <w:rStyle w:val="VerbatimChar"/>
        </w:rPr>
        <w:t xml:space="preserve">Integer</w:t>
      </w:r>
      <w:r>
        <w:t xml:space="preserve">,</w:t>
      </w:r>
      <w:r>
        <w:t xml:space="preserve"> </w:t>
      </w:r>
      <w:r>
        <w:rPr>
          <w:rStyle w:val="VerbatimChar"/>
        </w:rPr>
        <w:t xml:space="preserve">Double</w:t>
      </w:r>
      <w:r>
        <w:t xml:space="preserve">, or</w:t>
      </w:r>
      <w:r>
        <w:t xml:space="preserve"> </w:t>
      </w:r>
      <w:r>
        <w:rPr>
          <w:rStyle w:val="VerbatimChar"/>
        </w:rPr>
        <w:t xml:space="preserve">Array</w:t>
      </w:r>
      <w:r>
        <w:t xml:space="preserve"> </w:t>
      </w:r>
      <w:r>
        <w:t xml:space="preserve">based on the resolved key state and value type</w:t>
      </w:r>
    </w:p>
    <w:bookmarkEnd w:id="1146"/>
    <w:bookmarkEnd w:id="1147"/>
    <w:bookmarkStart w:id="1156" w:name="axgetconfigkeys"/>
    <w:p>
      <w:pPr>
        <w:pStyle w:val="Heading1"/>
      </w:pPr>
      <w:r>
        <w:t xml:space="preserve">AxGetConfigKeys</w:t>
      </w:r>
    </w:p>
    <w:bookmarkStart w:id="1148" w:name="overview-60"/>
    <w:p>
      <w:pPr>
        <w:pStyle w:val="Heading2"/>
      </w:pPr>
      <w:r>
        <w:t xml:space="preserve">Overview</w:t>
      </w:r>
    </w:p>
    <w:p>
      <w:pPr>
        <w:pStyle w:val="FirstParagraph"/>
      </w:pPr>
      <w:r>
        <w:t xml:space="preserve">Use</w:t>
      </w:r>
      <w:r>
        <w:t xml:space="preserve"> </w:t>
      </w:r>
      <w:r>
        <w:rPr>
          <w:rStyle w:val="VerbatimChar"/>
        </w:rPr>
        <w:t xml:space="preserve">AxGetConfigKeys</w:t>
      </w:r>
      <w:r>
        <w:t xml:space="preserve"> </w:t>
      </w:r>
      <w:r>
        <w:t xml:space="preserve">to list every configuration key currently visible to G3Pix AxonASP.</w:t>
      </w:r>
    </w:p>
    <w:bookmarkEnd w:id="1148"/>
    <w:bookmarkStart w:id="1149" w:name="prerequisites-18"/>
    <w:p>
      <w:pPr>
        <w:pStyle w:val="Heading2"/>
      </w:pPr>
      <w:r>
        <w:t xml:space="preserve">Prerequisites</w:t>
      </w:r>
    </w:p>
    <w:p>
      <w:pPr>
        <w:pStyle w:val="Compact"/>
        <w:numPr>
          <w:ilvl w:val="0"/>
          <w:numId w:val="1316"/>
        </w:numPr>
      </w:pPr>
      <w:r>
        <w:t xml:space="preserve">Instantiate the library with</w:t>
      </w:r>
      <w:r>
        <w:t xml:space="preserve"> </w:t>
      </w:r>
      <w:r>
        <w:rPr>
          <w:rStyle w:val="VerbatimChar"/>
        </w:rPr>
        <w:t xml:space="preserve">Server.CreateObject("G3AXON.FUNCTIONS")</w:t>
      </w:r>
      <w:r>
        <w:t xml:space="preserve">.</w:t>
      </w:r>
    </w:p>
    <w:p>
      <w:pPr>
        <w:pStyle w:val="Compact"/>
        <w:numPr>
          <w:ilvl w:val="0"/>
          <w:numId w:val="1316"/>
        </w:numPr>
      </w:pPr>
      <w:r>
        <w:t xml:space="preserve">Ensure the runtime can load</w:t>
      </w:r>
      <w:r>
        <w:t xml:space="preserve"> </w:t>
      </w:r>
      <w:r>
        <w:rPr>
          <w:rStyle w:val="VerbatimChar"/>
        </w:rPr>
        <w:t xml:space="preserve">config/axonasp.toml</w:t>
      </w:r>
      <w:r>
        <w:t xml:space="preserve"> </w:t>
      </w:r>
      <w:r>
        <w:t xml:space="preserve">when you expect non-empty output.</w:t>
      </w:r>
    </w:p>
    <w:bookmarkEnd w:id="1149"/>
    <w:bookmarkStart w:id="1150" w:name="syntax-77"/>
    <w:p>
      <w:pPr>
        <w:pStyle w:val="Heading2"/>
      </w:pPr>
      <w:r>
        <w:t xml:space="preserve">Syntax</w:t>
      </w:r>
    </w:p>
    <w:p>
      <w:pPr>
        <w:pStyle w:val="SourceCode"/>
      </w:pPr>
      <w:r>
        <w:rPr>
          <w:rStyle w:val="NormalTok"/>
        </w:rPr>
        <w:t xml:space="preserve">keys = obj.AxGetConfigKeys()</w:t>
      </w:r>
    </w:p>
    <w:bookmarkEnd w:id="1150"/>
    <w:bookmarkStart w:id="1151" w:name="parameters-5"/>
    <w:p>
      <w:pPr>
        <w:pStyle w:val="Heading2"/>
      </w:pPr>
      <w:r>
        <w:t xml:space="preserve">Parameters</w:t>
      </w:r>
    </w:p>
    <w:p>
      <w:pPr>
        <w:pStyle w:val="Compact"/>
        <w:numPr>
          <w:ilvl w:val="0"/>
          <w:numId w:val="1317"/>
        </w:numPr>
      </w:pPr>
      <w:r>
        <w:t xml:space="preserve">This method does not require parameters.</w:t>
      </w:r>
    </w:p>
    <w:bookmarkEnd w:id="1151"/>
    <w:bookmarkStart w:id="1152" w:name="return-value-21"/>
    <w:p>
      <w:pPr>
        <w:pStyle w:val="Heading2"/>
      </w:pPr>
      <w:r>
        <w:t xml:space="preserve">Return Value</w:t>
      </w:r>
    </w:p>
    <w:p>
      <w:pPr>
        <w:pStyle w:val="Compact"/>
        <w:numPr>
          <w:ilvl w:val="0"/>
          <w:numId w:val="1318"/>
        </w:numPr>
      </w:pPr>
      <w:r>
        <w:rPr>
          <w:b/>
          <w:bCs/>
        </w:rPr>
        <w:t xml:space="preserve">Array</w:t>
      </w:r>
      <w:r>
        <w:t xml:space="preserve">: Zero-based VBArray containing configuration keys as strings.</w:t>
      </w:r>
    </w:p>
    <w:p>
      <w:pPr>
        <w:pStyle w:val="Compact"/>
        <w:numPr>
          <w:ilvl w:val="0"/>
          <w:numId w:val="1318"/>
        </w:numPr>
      </w:pPr>
      <w:r>
        <w:rPr>
          <w:b/>
          <w:bCs/>
        </w:rPr>
        <w:t xml:space="preserve">Array</w:t>
      </w:r>
      <w:r>
        <w:t xml:space="preserve">: Returns an empty zero-length array when no keys are available (for example, when the config file is not loaded).</w:t>
      </w:r>
    </w:p>
    <w:bookmarkEnd w:id="1152"/>
    <w:bookmarkStart w:id="1153" w:name="remarks-87"/>
    <w:p>
      <w:pPr>
        <w:pStyle w:val="Heading2"/>
      </w:pPr>
      <w:r>
        <w:t xml:space="preserve">Remarks</w:t>
      </w:r>
    </w:p>
    <w:p>
      <w:pPr>
        <w:pStyle w:val="Compact"/>
        <w:numPr>
          <w:ilvl w:val="0"/>
          <w:numId w:val="1319"/>
        </w:numPr>
      </w:pPr>
      <w:r>
        <w:t xml:space="preserve">Each element is a full key name (for example,</w:t>
      </w:r>
      <w:r>
        <w:t xml:space="preserve"> </w:t>
      </w:r>
      <w:r>
        <w:rPr>
          <w:rStyle w:val="VerbatimChar"/>
        </w:rPr>
        <w:t xml:space="preserve">global.golang_memory_limit_mb</w:t>
      </w:r>
      <w:r>
        <w:t xml:space="preserve">).</w:t>
      </w:r>
    </w:p>
    <w:p>
      <w:pPr>
        <w:pStyle w:val="Compact"/>
        <w:numPr>
          <w:ilvl w:val="0"/>
          <w:numId w:val="1319"/>
        </w:numPr>
      </w:pPr>
      <w:r>
        <w:t xml:space="preserve">Method names are case-insensitive in VBScript dispatch.</w:t>
      </w:r>
    </w:p>
    <w:bookmarkEnd w:id="1153"/>
    <w:bookmarkStart w:id="1154" w:name="example-2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w:t>
      </w:r>
      <w:r>
        <w:rPr>
          <w:rStyle w:val="FunctionTok"/>
        </w:rPr>
        <w:t xml:space="preserve">keys</w:t>
      </w:r>
      <w:r>
        <w:rPr>
          <w:rStyle w:val="OtherTok"/>
        </w:rPr>
        <w:t xml:space="preserve">,</w:t>
      </w:r>
      <w:r>
        <w:rPr>
          <w:rStyle w:val="NormalTok"/>
        </w:rPr>
        <w:t xml:space="preserve"> i</w:t>
      </w:r>
      <w:r>
        <w:br/>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keys</w:t>
      </w:r>
      <w:r>
        <w:rPr>
          <w:rStyle w:val="NormalTok"/>
        </w:rPr>
        <w:t xml:space="preserve"> = ax.AxGetConfigKeys</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FunctionTok"/>
        </w:rPr>
        <w:t xml:space="preserve">keys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keys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54"/>
    <w:bookmarkStart w:id="1155" w:name="api-reference-18"/>
    <w:p>
      <w:pPr>
        <w:pStyle w:val="Heading2"/>
      </w:pPr>
      <w:r>
        <w:t xml:space="preserve">API Reference</w:t>
      </w:r>
    </w:p>
    <w:p>
      <w:pPr>
        <w:pStyle w:val="Compact"/>
        <w:numPr>
          <w:ilvl w:val="0"/>
          <w:numId w:val="1320"/>
        </w:numPr>
      </w:pPr>
      <w:r>
        <w:rPr>
          <w:b/>
          <w:bCs/>
        </w:rPr>
        <w:t xml:space="preserve">Object</w:t>
      </w:r>
      <w:r>
        <w:t xml:space="preserve">:</w:t>
      </w:r>
      <w:r>
        <w:t xml:space="preserve"> </w:t>
      </w:r>
      <w:r>
        <w:rPr>
          <w:rStyle w:val="VerbatimChar"/>
        </w:rPr>
        <w:t xml:space="preserve">G3AXON.FUNCTIONS</w:t>
      </w:r>
    </w:p>
    <w:p>
      <w:pPr>
        <w:pStyle w:val="Compact"/>
        <w:numPr>
          <w:ilvl w:val="0"/>
          <w:numId w:val="1320"/>
        </w:numPr>
      </w:pPr>
      <w:r>
        <w:rPr>
          <w:b/>
          <w:bCs/>
        </w:rPr>
        <w:t xml:space="preserve">Method</w:t>
      </w:r>
      <w:r>
        <w:t xml:space="preserve">:</w:t>
      </w:r>
      <w:r>
        <w:t xml:space="preserve"> </w:t>
      </w:r>
      <w:r>
        <w:rPr>
          <w:rStyle w:val="VerbatimChar"/>
        </w:rPr>
        <w:t xml:space="preserve">AxGetConfigKeys</w:t>
      </w:r>
    </w:p>
    <w:p>
      <w:pPr>
        <w:pStyle w:val="Compact"/>
        <w:numPr>
          <w:ilvl w:val="0"/>
          <w:numId w:val="1320"/>
        </w:numPr>
      </w:pPr>
      <w:r>
        <w:rPr>
          <w:b/>
          <w:bCs/>
        </w:rPr>
        <w:t xml:space="preserve">Arguments</w:t>
      </w:r>
      <w:r>
        <w:t xml:space="preserve">: none</w:t>
      </w:r>
    </w:p>
    <w:p>
      <w:pPr>
        <w:pStyle w:val="Compact"/>
        <w:numPr>
          <w:ilvl w:val="0"/>
          <w:numId w:val="1320"/>
        </w:numPr>
      </w:pPr>
      <w:r>
        <w:rPr>
          <w:b/>
          <w:bCs/>
        </w:rPr>
        <w:t xml:space="preserve">Returns</w:t>
      </w:r>
      <w:r>
        <w:t xml:space="preserve">:</w:t>
      </w:r>
      <w:r>
        <w:t xml:space="preserve"> </w:t>
      </w:r>
      <w:r>
        <w:rPr>
          <w:rStyle w:val="VerbatimChar"/>
        </w:rPr>
        <w:t xml:space="preserve">Array</w:t>
      </w:r>
      <w:r>
        <w:t xml:space="preserve"> </w:t>
      </w:r>
      <w:r>
        <w:t xml:space="preserve">of</w:t>
      </w:r>
      <w:r>
        <w:t xml:space="preserve"> </w:t>
      </w:r>
      <w:r>
        <w:rPr>
          <w:rStyle w:val="VerbatimChar"/>
        </w:rPr>
        <w:t xml:space="preserve">String</w:t>
      </w:r>
      <w:r>
        <w:t xml:space="preserve"> </w:t>
      </w:r>
      <w:r>
        <w:t xml:space="preserve">keys (zero-based VBArray)</w:t>
      </w:r>
    </w:p>
    <w:bookmarkEnd w:id="1155"/>
    <w:bookmarkEnd w:id="1156"/>
    <w:bookmarkStart w:id="1165" w:name="get-the-user-home-directory-path"/>
    <w:p>
      <w:pPr>
        <w:pStyle w:val="Heading1"/>
      </w:pPr>
      <w:r>
        <w:t xml:space="preserve">Get the User Home Directory Path</w:t>
      </w:r>
    </w:p>
    <w:bookmarkStart w:id="1157" w:name="overview-61"/>
    <w:p>
      <w:pPr>
        <w:pStyle w:val="Heading2"/>
      </w:pPr>
      <w:r>
        <w:t xml:space="preserve">Overview</w:t>
      </w:r>
    </w:p>
    <w:p>
      <w:pPr>
        <w:pStyle w:val="FirstParagraph"/>
      </w:pPr>
      <w:r>
        <w:t xml:space="preserve">Returns the absolute path of the home directory for the user running the AxonASP process.</w:t>
      </w:r>
    </w:p>
    <w:bookmarkEnd w:id="1157"/>
    <w:bookmarkStart w:id="1158" w:name="prerequisites-1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158"/>
    <w:bookmarkStart w:id="1159" w:name="syntax-78"/>
    <w:p>
      <w:pPr>
        <w:pStyle w:val="Heading2"/>
      </w:pPr>
      <w:r>
        <w:t xml:space="preserve">Syntax</w:t>
      </w:r>
    </w:p>
    <w:p>
      <w:pPr>
        <w:pStyle w:val="SourceCode"/>
      </w:pPr>
      <w:r>
        <w:rPr>
          <w:rStyle w:val="NormalTok"/>
        </w:rPr>
        <w:t xml:space="preserve">result = obj.AxUserHomeDirPath()</w:t>
      </w:r>
    </w:p>
    <w:bookmarkEnd w:id="1159"/>
    <w:bookmarkStart w:id="1160" w:name="parameters-6"/>
    <w:p>
      <w:pPr>
        <w:pStyle w:val="Heading2"/>
      </w:pPr>
      <w:r>
        <w:t xml:space="preserve">Parameters</w:t>
      </w:r>
    </w:p>
    <w:p>
      <w:pPr>
        <w:pStyle w:val="FirstParagraph"/>
      </w:pPr>
      <w:r>
        <w:t xml:space="preserve">This method does not require parameters.</w:t>
      </w:r>
    </w:p>
    <w:bookmarkEnd w:id="1160"/>
    <w:bookmarkStart w:id="1161" w:name="return-value-22"/>
    <w:p>
      <w:pPr>
        <w:pStyle w:val="Heading2"/>
      </w:pPr>
      <w:r>
        <w:t xml:space="preserve">Return Value</w:t>
      </w:r>
    </w:p>
    <w:p>
      <w:pPr>
        <w:pStyle w:val="Compact"/>
        <w:numPr>
          <w:ilvl w:val="0"/>
          <w:numId w:val="1321"/>
        </w:numPr>
      </w:pPr>
      <w:r>
        <w:rPr>
          <w:b/>
          <w:bCs/>
        </w:rPr>
        <w:t xml:space="preserve">String</w:t>
      </w:r>
      <w:r>
        <w:t xml:space="preserve">: Returns the absolute path of the current user’s home directory.</w:t>
      </w:r>
    </w:p>
    <w:p>
      <w:pPr>
        <w:pStyle w:val="Compact"/>
        <w:numPr>
          <w:ilvl w:val="0"/>
          <w:numId w:val="1321"/>
        </w:numPr>
      </w:pPr>
      <w:r>
        <w:rPr>
          <w:b/>
          <w:bCs/>
        </w:rPr>
        <w:t xml:space="preserve">String</w:t>
      </w:r>
      <w:r>
        <w:t xml:space="preserve">: Returns an empty string when the home directory cannot be determined.</w:t>
      </w:r>
    </w:p>
    <w:bookmarkEnd w:id="1161"/>
    <w:bookmarkStart w:id="1162" w:name="remarks-88"/>
    <w:p>
      <w:pPr>
        <w:pStyle w:val="Heading2"/>
      </w:pPr>
      <w:r>
        <w:t xml:space="preserve">Remarks</w:t>
      </w:r>
    </w:p>
    <w:p>
      <w:pPr>
        <w:pStyle w:val="Compact"/>
        <w:numPr>
          <w:ilvl w:val="0"/>
          <w:numId w:val="1322"/>
        </w:numPr>
      </w:pPr>
      <w:r>
        <w:t xml:space="preserve">On Windows, falls back to</w:t>
      </w:r>
      <w:r>
        <w:t xml:space="preserve"> </w:t>
      </w:r>
      <w:r>
        <w:rPr>
          <w:rStyle w:val="VerbatimChar"/>
        </w:rPr>
        <w:t xml:space="preserve">USERPROFILE</w:t>
      </w:r>
      <w:r>
        <w:t xml:space="preserve"> </w:t>
      </w:r>
      <w:r>
        <w:t xml:space="preserve">then</w:t>
      </w:r>
      <w:r>
        <w:t xml:space="preserve"> </w:t>
      </w:r>
      <w:r>
        <w:rPr>
          <w:rStyle w:val="VerbatimChar"/>
        </w:rPr>
        <w:t xml:space="preserve">HOME</w:t>
      </w:r>
      <w:r>
        <w:t xml:space="preserve"> </w:t>
      </w:r>
      <w:r>
        <w:t xml:space="preserve">environment variables.</w:t>
      </w:r>
    </w:p>
    <w:p>
      <w:pPr>
        <w:pStyle w:val="Compact"/>
        <w:numPr>
          <w:ilvl w:val="0"/>
          <w:numId w:val="1322"/>
        </w:numPr>
      </w:pPr>
      <w:r>
        <w:t xml:space="preserve">On Unix-like systems, falls back to the</w:t>
      </w:r>
      <w:r>
        <w:t xml:space="preserve"> </w:t>
      </w:r>
      <w:r>
        <w:rPr>
          <w:rStyle w:val="VerbatimChar"/>
        </w:rPr>
        <w:t xml:space="preserve">HOME</w:t>
      </w:r>
      <w:r>
        <w:t xml:space="preserve"> </w:t>
      </w:r>
      <w:r>
        <w:t xml:space="preserve">environment variable.</w:t>
      </w:r>
    </w:p>
    <w:p>
      <w:pPr>
        <w:pStyle w:val="Compact"/>
        <w:numPr>
          <w:ilvl w:val="0"/>
          <w:numId w:val="1322"/>
        </w:numPr>
      </w:pPr>
      <w:r>
        <w:t xml:space="preserve">Method names are case-insensitive in VBScript dispatch.</w:t>
      </w:r>
    </w:p>
    <w:bookmarkEnd w:id="1162"/>
    <w:bookmarkStart w:id="1163" w:name="example-2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"Home: "</w:t>
      </w:r>
      <w:r>
        <w:rPr>
          <w:rStyle w:val="NormalTok"/>
        </w:rPr>
        <w:t xml:space="preserve"> </w:t>
      </w:r>
      <w:r>
        <w:rPr>
          <w:rStyle w:val="KeywordTok"/>
        </w:rPr>
        <w:t xml:space="preserve">&amp;</w:t>
      </w:r>
      <w:r>
        <w:rPr>
          <w:rStyle w:val="NormalTok"/>
        </w:rPr>
        <w:t xml:space="preserve"> ax.AxUserHomeDirPath</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63"/>
    <w:bookmarkStart w:id="1164" w:name="api-reference-19"/>
    <w:p>
      <w:pPr>
        <w:pStyle w:val="Heading2"/>
      </w:pPr>
      <w:r>
        <w:t xml:space="preserve">API Reference</w:t>
      </w:r>
    </w:p>
    <w:p>
      <w:pPr>
        <w:pStyle w:val="Compact"/>
        <w:numPr>
          <w:ilvl w:val="0"/>
          <w:numId w:val="1323"/>
        </w:numPr>
      </w:pPr>
      <w:r>
        <w:rPr>
          <w:b/>
          <w:bCs/>
        </w:rPr>
        <w:t xml:space="preserve">Object</w:t>
      </w:r>
      <w:r>
        <w:t xml:space="preserve">:</w:t>
      </w:r>
      <w:r>
        <w:t xml:space="preserve"> </w:t>
      </w:r>
      <w:r>
        <w:rPr>
          <w:rStyle w:val="VerbatimChar"/>
        </w:rPr>
        <w:t xml:space="preserve">G3AXON.FUNCTIONS</w:t>
      </w:r>
    </w:p>
    <w:p>
      <w:pPr>
        <w:pStyle w:val="Compact"/>
        <w:numPr>
          <w:ilvl w:val="0"/>
          <w:numId w:val="1323"/>
        </w:numPr>
      </w:pPr>
      <w:r>
        <w:rPr>
          <w:b/>
          <w:bCs/>
        </w:rPr>
        <w:t xml:space="preserve">Method</w:t>
      </w:r>
      <w:r>
        <w:t xml:space="preserve">:</w:t>
      </w:r>
      <w:r>
        <w:t xml:space="preserve"> </w:t>
      </w:r>
      <w:r>
        <w:rPr>
          <w:rStyle w:val="VerbatimChar"/>
        </w:rPr>
        <w:t xml:space="preserve">AxUserHomeDirPath</w:t>
      </w:r>
    </w:p>
    <w:p>
      <w:pPr>
        <w:pStyle w:val="Compact"/>
        <w:numPr>
          <w:ilvl w:val="0"/>
          <w:numId w:val="1323"/>
        </w:numPr>
      </w:pPr>
      <w:r>
        <w:rPr>
          <w:b/>
          <w:bCs/>
        </w:rPr>
        <w:t xml:space="preserve">Arguments</w:t>
      </w:r>
      <w:r>
        <w:t xml:space="preserve">: none</w:t>
      </w:r>
    </w:p>
    <w:p>
      <w:pPr>
        <w:pStyle w:val="Compact"/>
        <w:numPr>
          <w:ilvl w:val="0"/>
          <w:numId w:val="1323"/>
        </w:numPr>
      </w:pPr>
      <w:r>
        <w:rPr>
          <w:b/>
          <w:bCs/>
        </w:rPr>
        <w:t xml:space="preserve">Returns</w:t>
      </w:r>
      <w:r>
        <w:t xml:space="preserve">:</w:t>
      </w:r>
      <w:r>
        <w:t xml:space="preserve"> </w:t>
      </w:r>
      <w:r>
        <w:rPr>
          <w:rStyle w:val="VerbatimChar"/>
        </w:rPr>
        <w:t xml:space="preserve">String</w:t>
      </w:r>
      <w:r>
        <w:t xml:space="preserve"> </w:t>
      </w:r>
      <w:r>
        <w:t xml:space="preserve">(absolute home directory path)</w:t>
      </w:r>
    </w:p>
    <w:bookmarkEnd w:id="1164"/>
    <w:bookmarkEnd w:id="1165"/>
    <w:bookmarkStart w:id="1174" w:name="get-the-configuration-file-path"/>
    <w:p>
      <w:pPr>
        <w:pStyle w:val="Heading1"/>
      </w:pPr>
      <w:r>
        <w:t xml:space="preserve">Get the Configuration File Path</w:t>
      </w:r>
    </w:p>
    <w:bookmarkStart w:id="1166" w:name="overview-62"/>
    <w:p>
      <w:pPr>
        <w:pStyle w:val="Heading2"/>
      </w:pPr>
      <w:r>
        <w:t xml:space="preserve">Overview</w:t>
      </w:r>
    </w:p>
    <w:p>
      <w:pPr>
        <w:pStyle w:val="FirstParagraph"/>
      </w:pPr>
      <w:r>
        <w:t xml:space="preserve">Returns the resolved absolute path to the AxonASP configuration file (</w:t>
      </w:r>
      <w:r>
        <w:rPr>
          <w:rStyle w:val="VerbatimChar"/>
        </w:rPr>
        <w:t xml:space="preserve">config/axonasp.toml</w:t>
      </w:r>
      <w:r>
        <w:t xml:space="preserve">).</w:t>
      </w:r>
    </w:p>
    <w:bookmarkEnd w:id="1166"/>
    <w:bookmarkStart w:id="1167" w:name="prerequisites-2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167"/>
    <w:bookmarkStart w:id="1168" w:name="syntax-79"/>
    <w:p>
      <w:pPr>
        <w:pStyle w:val="Heading2"/>
      </w:pPr>
      <w:r>
        <w:t xml:space="preserve">Syntax</w:t>
      </w:r>
    </w:p>
    <w:p>
      <w:pPr>
        <w:pStyle w:val="SourceCode"/>
      </w:pPr>
      <w:r>
        <w:rPr>
          <w:rStyle w:val="NormalTok"/>
        </w:rPr>
        <w:t xml:space="preserve">result = obj.AxUserConfigDirPath()</w:t>
      </w:r>
    </w:p>
    <w:bookmarkEnd w:id="1168"/>
    <w:bookmarkStart w:id="1169" w:name="parameters-7"/>
    <w:p>
      <w:pPr>
        <w:pStyle w:val="Heading2"/>
      </w:pPr>
      <w:r>
        <w:t xml:space="preserve">Parameters</w:t>
      </w:r>
    </w:p>
    <w:p>
      <w:pPr>
        <w:pStyle w:val="FirstParagraph"/>
      </w:pPr>
      <w:r>
        <w:t xml:space="preserve">This method does not require parameters.</w:t>
      </w:r>
    </w:p>
    <w:bookmarkEnd w:id="1169"/>
    <w:bookmarkStart w:id="1170" w:name="return-value-23"/>
    <w:p>
      <w:pPr>
        <w:pStyle w:val="Heading2"/>
      </w:pPr>
      <w:r>
        <w:t xml:space="preserve">Return Value</w:t>
      </w:r>
    </w:p>
    <w:p>
      <w:pPr>
        <w:pStyle w:val="Compact"/>
        <w:numPr>
          <w:ilvl w:val="0"/>
          <w:numId w:val="1324"/>
        </w:numPr>
      </w:pPr>
      <w:r>
        <w:rPr>
          <w:b/>
          <w:bCs/>
        </w:rPr>
        <w:t xml:space="preserve">String</w:t>
      </w:r>
      <w:r>
        <w:t xml:space="preserve">: Returns the absolute path to</w:t>
      </w:r>
      <w:r>
        <w:t xml:space="preserve"> </w:t>
      </w:r>
      <w:r>
        <w:rPr>
          <w:rStyle w:val="VerbatimChar"/>
        </w:rPr>
        <w:t xml:space="preserve">config/axonasp.toml</w:t>
      </w:r>
      <w:r>
        <w:t xml:space="preserve">, resolved from common search locations relative to the executable.</w:t>
      </w:r>
    </w:p>
    <w:bookmarkEnd w:id="1170"/>
    <w:bookmarkStart w:id="1171" w:name="remarks-89"/>
    <w:p>
      <w:pPr>
        <w:pStyle w:val="Heading2"/>
      </w:pPr>
      <w:r>
        <w:t xml:space="preserve">Remarks</w:t>
      </w:r>
    </w:p>
    <w:p>
      <w:pPr>
        <w:pStyle w:val="Compact"/>
        <w:numPr>
          <w:ilvl w:val="0"/>
          <w:numId w:val="1325"/>
        </w:numPr>
      </w:pPr>
      <w:r>
        <w:t xml:space="preserve">The path is resolved by searching</w:t>
      </w:r>
      <w:r>
        <w:t xml:space="preserve"> </w:t>
      </w:r>
      <w:r>
        <w:rPr>
          <w:rStyle w:val="VerbatimChar"/>
        </w:rPr>
        <w:t xml:space="preserve">./config/axonasp.toml</w:t>
      </w:r>
      <w:r>
        <w:t xml:space="preserve">,</w:t>
      </w:r>
      <w:r>
        <w:t xml:space="preserve"> </w:t>
      </w:r>
      <w:r>
        <w:rPr>
          <w:rStyle w:val="VerbatimChar"/>
        </w:rPr>
        <w:t xml:space="preserve">../config/axonasp.toml</w:t>
      </w:r>
      <w:r>
        <w:t xml:space="preserve">, and the directory of the running executable.</w:t>
      </w:r>
    </w:p>
    <w:p>
      <w:pPr>
        <w:pStyle w:val="Compact"/>
        <w:numPr>
          <w:ilvl w:val="0"/>
          <w:numId w:val="1325"/>
        </w:numPr>
      </w:pPr>
      <w:r>
        <w:t xml:space="preserve">Method names are case-insensitive in VBScript dispatch.</w:t>
      </w:r>
    </w:p>
    <w:bookmarkEnd w:id="1171"/>
    <w:bookmarkStart w:id="1172" w:name="example-2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"Config path: "</w:t>
      </w:r>
      <w:r>
        <w:rPr>
          <w:rStyle w:val="NormalTok"/>
        </w:rPr>
        <w:t xml:space="preserve"> </w:t>
      </w:r>
      <w:r>
        <w:rPr>
          <w:rStyle w:val="KeywordTok"/>
        </w:rPr>
        <w:t xml:space="preserve">&amp;</w:t>
      </w:r>
      <w:r>
        <w:rPr>
          <w:rStyle w:val="NormalTok"/>
        </w:rPr>
        <w:t xml:space="preserve"> ax.AxUserConfigDirPath</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72"/>
    <w:bookmarkStart w:id="1173" w:name="api-reference-20"/>
    <w:p>
      <w:pPr>
        <w:pStyle w:val="Heading2"/>
      </w:pPr>
      <w:r>
        <w:t xml:space="preserve">API Reference</w:t>
      </w:r>
    </w:p>
    <w:p>
      <w:pPr>
        <w:pStyle w:val="Compact"/>
        <w:numPr>
          <w:ilvl w:val="0"/>
          <w:numId w:val="1326"/>
        </w:numPr>
      </w:pPr>
      <w:r>
        <w:rPr>
          <w:b/>
          <w:bCs/>
        </w:rPr>
        <w:t xml:space="preserve">Object</w:t>
      </w:r>
      <w:r>
        <w:t xml:space="preserve">:</w:t>
      </w:r>
      <w:r>
        <w:t xml:space="preserve"> </w:t>
      </w:r>
      <w:r>
        <w:rPr>
          <w:rStyle w:val="VerbatimChar"/>
        </w:rPr>
        <w:t xml:space="preserve">G3AXON.FUNCTIONS</w:t>
      </w:r>
    </w:p>
    <w:p>
      <w:pPr>
        <w:pStyle w:val="Compact"/>
        <w:numPr>
          <w:ilvl w:val="0"/>
          <w:numId w:val="1326"/>
        </w:numPr>
      </w:pPr>
      <w:r>
        <w:rPr>
          <w:b/>
          <w:bCs/>
        </w:rPr>
        <w:t xml:space="preserve">Method</w:t>
      </w:r>
      <w:r>
        <w:t xml:space="preserve">:</w:t>
      </w:r>
      <w:r>
        <w:t xml:space="preserve"> </w:t>
      </w:r>
      <w:r>
        <w:rPr>
          <w:rStyle w:val="VerbatimChar"/>
        </w:rPr>
        <w:t xml:space="preserve">AxUserConfigDirPath</w:t>
      </w:r>
    </w:p>
    <w:p>
      <w:pPr>
        <w:pStyle w:val="Compact"/>
        <w:numPr>
          <w:ilvl w:val="0"/>
          <w:numId w:val="1326"/>
        </w:numPr>
      </w:pPr>
      <w:r>
        <w:rPr>
          <w:b/>
          <w:bCs/>
        </w:rPr>
        <w:t xml:space="preserve">Arguments</w:t>
      </w:r>
      <w:r>
        <w:t xml:space="preserve">: none</w:t>
      </w:r>
    </w:p>
    <w:p>
      <w:pPr>
        <w:pStyle w:val="Compact"/>
        <w:numPr>
          <w:ilvl w:val="0"/>
          <w:numId w:val="1326"/>
        </w:numPr>
      </w:pPr>
      <w:r>
        <w:rPr>
          <w:b/>
          <w:bCs/>
        </w:rPr>
        <w:t xml:space="preserve">Returns</w:t>
      </w:r>
      <w:r>
        <w:t xml:space="preserve">:</w:t>
      </w:r>
      <w:r>
        <w:t xml:space="preserve"> </w:t>
      </w:r>
      <w:r>
        <w:rPr>
          <w:rStyle w:val="VerbatimChar"/>
        </w:rPr>
        <w:t xml:space="preserve">String</w:t>
      </w:r>
      <w:r>
        <w:t xml:space="preserve"> </w:t>
      </w:r>
      <w:r>
        <w:t xml:space="preserve">(absolute path to</w:t>
      </w:r>
      <w:r>
        <w:t xml:space="preserve"> </w:t>
      </w:r>
      <w:r>
        <w:rPr>
          <w:rStyle w:val="VerbatimChar"/>
        </w:rPr>
        <w:t xml:space="preserve">config/axonasp.toml</w:t>
      </w:r>
      <w:r>
        <w:t xml:space="preserve">)</w:t>
      </w:r>
    </w:p>
    <w:bookmarkEnd w:id="1173"/>
    <w:bookmarkEnd w:id="1174"/>
    <w:bookmarkStart w:id="1183" w:name="get-the-cache-directory-path"/>
    <w:p>
      <w:pPr>
        <w:pStyle w:val="Heading1"/>
      </w:pPr>
      <w:r>
        <w:t xml:space="preserve">Get the Cache Directory Path</w:t>
      </w:r>
    </w:p>
    <w:bookmarkStart w:id="1175" w:name="overview-63"/>
    <w:p>
      <w:pPr>
        <w:pStyle w:val="Heading2"/>
      </w:pPr>
      <w:r>
        <w:t xml:space="preserve">Overview</w:t>
      </w:r>
    </w:p>
    <w:p>
      <w:pPr>
        <w:pStyle w:val="FirstParagraph"/>
      </w:pPr>
      <w:r>
        <w:t xml:space="preserve">Returns the absolute path to the AxonASP cache directory (</w:t>
      </w:r>
      <w:r>
        <w:rPr>
          <w:rStyle w:val="VerbatimChar"/>
        </w:rPr>
        <w:t xml:space="preserve">.temp/cache/</w:t>
      </w:r>
      <w:r>
        <w:t xml:space="preserve">), including a trailing path separator.</w:t>
      </w:r>
    </w:p>
    <w:bookmarkEnd w:id="1175"/>
    <w:bookmarkStart w:id="1176" w:name="prerequisites-2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176"/>
    <w:bookmarkStart w:id="1177" w:name="syntax-80"/>
    <w:p>
      <w:pPr>
        <w:pStyle w:val="Heading2"/>
      </w:pPr>
      <w:r>
        <w:t xml:space="preserve">Syntax</w:t>
      </w:r>
    </w:p>
    <w:p>
      <w:pPr>
        <w:pStyle w:val="SourceCode"/>
      </w:pPr>
      <w:r>
        <w:rPr>
          <w:rStyle w:val="NormalTok"/>
        </w:rPr>
        <w:t xml:space="preserve">result = obj.AxCacheDirPath()</w:t>
      </w:r>
    </w:p>
    <w:bookmarkEnd w:id="1177"/>
    <w:bookmarkStart w:id="1178" w:name="parameters-8"/>
    <w:p>
      <w:pPr>
        <w:pStyle w:val="Heading2"/>
      </w:pPr>
      <w:r>
        <w:t xml:space="preserve">Parameters</w:t>
      </w:r>
    </w:p>
    <w:p>
      <w:pPr>
        <w:pStyle w:val="FirstParagraph"/>
      </w:pPr>
      <w:r>
        <w:t xml:space="preserve">This method does not require parameters.</w:t>
      </w:r>
    </w:p>
    <w:bookmarkEnd w:id="1178"/>
    <w:bookmarkStart w:id="1179" w:name="return-value-24"/>
    <w:p>
      <w:pPr>
        <w:pStyle w:val="Heading2"/>
      </w:pPr>
      <w:r>
        <w:t xml:space="preserve">Return Value</w:t>
      </w:r>
    </w:p>
    <w:p>
      <w:pPr>
        <w:pStyle w:val="Compact"/>
        <w:numPr>
          <w:ilvl w:val="0"/>
          <w:numId w:val="1327"/>
        </w:numPr>
      </w:pPr>
      <w:r>
        <w:rPr>
          <w:b/>
          <w:bCs/>
        </w:rPr>
        <w:t xml:space="preserve">String</w:t>
      </w:r>
      <w:r>
        <w:t xml:space="preserve">: Returns the absolute path to the cache directory, always ending with a path separator character.</w:t>
      </w:r>
    </w:p>
    <w:bookmarkEnd w:id="1179"/>
    <w:bookmarkStart w:id="1180" w:name="remarks-90"/>
    <w:p>
      <w:pPr>
        <w:pStyle w:val="Heading2"/>
      </w:pPr>
      <w:r>
        <w:t xml:space="preserve">Remarks</w:t>
      </w:r>
    </w:p>
    <w:p>
      <w:pPr>
        <w:pStyle w:val="Compact"/>
        <w:numPr>
          <w:ilvl w:val="0"/>
          <w:numId w:val="1328"/>
        </w:numPr>
      </w:pPr>
      <w:r>
        <w:t xml:space="preserve">Method names are case-insensitive in VBScript dispatch.</w:t>
      </w:r>
    </w:p>
    <w:bookmarkEnd w:id="1180"/>
    <w:bookmarkStart w:id="1181" w:name="example-2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cachePath</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cachePath = ax.AxCacheDirPath</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"Cache: "</w:t>
      </w:r>
      <w:r>
        <w:rPr>
          <w:rStyle w:val="NormalTok"/>
        </w:rPr>
        <w:t xml:space="preserve"> </w:t>
      </w:r>
      <w:r>
        <w:rPr>
          <w:rStyle w:val="KeywordTok"/>
        </w:rPr>
        <w:t xml:space="preserve">&amp;</w:t>
      </w:r>
      <w:r>
        <w:rPr>
          <w:rStyle w:val="NormalTok"/>
        </w:rPr>
        <w:t xml:space="preserve"> cachePath</w:t>
      </w:r>
      <w:r>
        <w:br/>
      </w:r>
      <w:r>
        <w:rPr>
          <w:rStyle w:val="CommentTok"/>
        </w:rPr>
        <w:t xml:space="preserve">' Example output on Windows: C:\axonasp\.temp\cache\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81"/>
    <w:bookmarkStart w:id="1182" w:name="api-reference-21"/>
    <w:p>
      <w:pPr>
        <w:pStyle w:val="Heading2"/>
      </w:pPr>
      <w:r>
        <w:t xml:space="preserve">API Reference</w:t>
      </w:r>
    </w:p>
    <w:p>
      <w:pPr>
        <w:pStyle w:val="Compact"/>
        <w:numPr>
          <w:ilvl w:val="0"/>
          <w:numId w:val="1329"/>
        </w:numPr>
      </w:pPr>
      <w:r>
        <w:rPr>
          <w:b/>
          <w:bCs/>
        </w:rPr>
        <w:t xml:space="preserve">Object</w:t>
      </w:r>
      <w:r>
        <w:t xml:space="preserve">:</w:t>
      </w:r>
      <w:r>
        <w:t xml:space="preserve"> </w:t>
      </w:r>
      <w:r>
        <w:rPr>
          <w:rStyle w:val="VerbatimChar"/>
        </w:rPr>
        <w:t xml:space="preserve">G3AXON.FUNCTIONS</w:t>
      </w:r>
    </w:p>
    <w:p>
      <w:pPr>
        <w:pStyle w:val="Compact"/>
        <w:numPr>
          <w:ilvl w:val="0"/>
          <w:numId w:val="1329"/>
        </w:numPr>
      </w:pPr>
      <w:r>
        <w:rPr>
          <w:b/>
          <w:bCs/>
        </w:rPr>
        <w:t xml:space="preserve">Method</w:t>
      </w:r>
      <w:r>
        <w:t xml:space="preserve">:</w:t>
      </w:r>
      <w:r>
        <w:t xml:space="preserve"> </w:t>
      </w:r>
      <w:r>
        <w:rPr>
          <w:rStyle w:val="VerbatimChar"/>
        </w:rPr>
        <w:t xml:space="preserve">AxCacheDirPath</w:t>
      </w:r>
    </w:p>
    <w:p>
      <w:pPr>
        <w:pStyle w:val="Compact"/>
        <w:numPr>
          <w:ilvl w:val="0"/>
          <w:numId w:val="1329"/>
        </w:numPr>
      </w:pPr>
      <w:r>
        <w:rPr>
          <w:b/>
          <w:bCs/>
        </w:rPr>
        <w:t xml:space="preserve">Arguments</w:t>
      </w:r>
      <w:r>
        <w:t xml:space="preserve">: none</w:t>
      </w:r>
    </w:p>
    <w:p>
      <w:pPr>
        <w:pStyle w:val="Compact"/>
        <w:numPr>
          <w:ilvl w:val="0"/>
          <w:numId w:val="1329"/>
        </w:numPr>
      </w:pPr>
      <w:r>
        <w:rPr>
          <w:b/>
          <w:bCs/>
        </w:rPr>
        <w:t xml:space="preserve">Returns</w:t>
      </w:r>
      <w:r>
        <w:t xml:space="preserve">:</w:t>
      </w:r>
      <w:r>
        <w:t xml:space="preserve"> </w:t>
      </w:r>
      <w:r>
        <w:rPr>
          <w:rStyle w:val="VerbatimChar"/>
        </w:rPr>
        <w:t xml:space="preserve">String</w:t>
      </w:r>
      <w:r>
        <w:t xml:space="preserve"> </w:t>
      </w:r>
      <w:r>
        <w:t xml:space="preserve">(absolute path to</w:t>
      </w:r>
      <w:r>
        <w:t xml:space="preserve"> </w:t>
      </w:r>
      <w:r>
        <w:rPr>
          <w:rStyle w:val="VerbatimChar"/>
        </w:rPr>
        <w:t xml:space="preserve">.temp/cache/</w:t>
      </w:r>
      <w:r>
        <w:t xml:space="preserve"> </w:t>
      </w:r>
      <w:r>
        <w:t xml:space="preserve">with trailing separator)</w:t>
      </w:r>
    </w:p>
    <w:bookmarkEnd w:id="1182"/>
    <w:bookmarkEnd w:id="1183"/>
    <w:bookmarkStart w:id="1192" w:name="check-if-a-character-is-a-path-separator"/>
    <w:p>
      <w:pPr>
        <w:pStyle w:val="Heading1"/>
      </w:pPr>
      <w:r>
        <w:t xml:space="preserve">Check If a Character Is a Path Separator</w:t>
      </w:r>
    </w:p>
    <w:bookmarkStart w:id="1184" w:name="overview-64"/>
    <w:p>
      <w:pPr>
        <w:pStyle w:val="Heading2"/>
      </w:pPr>
      <w:r>
        <w:t xml:space="preserve">Overview</w:t>
      </w:r>
    </w:p>
    <w:p>
      <w:pPr>
        <w:pStyle w:val="FirstParagraph"/>
      </w:pPr>
      <w:r>
        <w:t xml:space="preserve">Returns</w:t>
      </w:r>
      <w:r>
        <w:t xml:space="preserve"> </w:t>
      </w:r>
      <w:r>
        <w:rPr>
          <w:rStyle w:val="VerbatimChar"/>
        </w:rPr>
        <w:t xml:space="preserve">True</w:t>
      </w:r>
      <w:r>
        <w:t xml:space="preserve"> </w:t>
      </w:r>
      <w:r>
        <w:t xml:space="preserve">when the provided single character is a valid path separator for the current platform.</w:t>
      </w:r>
    </w:p>
    <w:bookmarkEnd w:id="1184"/>
    <w:bookmarkStart w:id="1185" w:name="prerequisites-2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185"/>
    <w:bookmarkStart w:id="1186" w:name="syntax-81"/>
    <w:p>
      <w:pPr>
        <w:pStyle w:val="Heading2"/>
      </w:pPr>
      <w:r>
        <w:t xml:space="preserve">Syntax</w:t>
      </w:r>
    </w:p>
    <w:p>
      <w:pPr>
        <w:pStyle w:val="SourceCode"/>
      </w:pPr>
      <w:r>
        <w:rPr>
          <w:rStyle w:val="NormalTok"/>
        </w:rPr>
        <w:t xml:space="preserve">result = obj.AxIsPathSeparator(character)</w:t>
      </w:r>
    </w:p>
    <w:bookmarkEnd w:id="1186"/>
    <w:bookmarkStart w:id="1187" w:name="parameters-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character</w:t>
            </w:r>
          </w:p>
        </w:tc>
        <w:tc>
          <w:tcPr/>
          <w:p>
            <w:pPr>
              <w:pStyle w:val="Compact"/>
            </w:pPr>
            <w:r>
              <w:t xml:space="preserve">String</w:t>
            </w:r>
          </w:p>
        </w:tc>
        <w:tc>
          <w:tcPr/>
          <w:p>
            <w:pPr>
              <w:pStyle w:val="Compact"/>
            </w:pPr>
            <w:r>
              <w:t xml:space="preserve">Yes</w:t>
            </w:r>
          </w:p>
        </w:tc>
        <w:tc>
          <w:tcPr/>
          <w:p>
            <w:pPr>
              <w:pStyle w:val="Compact"/>
            </w:pPr>
            <w:r>
              <w:t xml:space="preserve">A single character to test. Multi-character strings or empty strings always return</w:t>
            </w:r>
            <w:r>
              <w:t xml:space="preserve"> </w:t>
            </w:r>
            <w:r>
              <w:rPr>
                <w:rStyle w:val="VerbatimChar"/>
              </w:rPr>
              <w:t xml:space="preserve">False</w:t>
            </w:r>
            <w:r>
              <w:t xml:space="preserve">.</w:t>
            </w:r>
          </w:p>
        </w:tc>
      </w:tr>
    </w:tbl>
    <w:bookmarkEnd w:id="1187"/>
    <w:bookmarkStart w:id="1188" w:name="return-value-25"/>
    <w:p>
      <w:pPr>
        <w:pStyle w:val="Heading2"/>
      </w:pPr>
      <w:r>
        <w:t xml:space="preserve">Return Value</w:t>
      </w:r>
    </w:p>
    <w:p>
      <w:pPr>
        <w:pStyle w:val="Compact"/>
        <w:numPr>
          <w:ilvl w:val="0"/>
          <w:numId w:val="1330"/>
        </w:numPr>
      </w:pPr>
      <w:r>
        <w:rPr>
          <w:b/>
          <w:bCs/>
        </w:rPr>
        <w:t xml:space="preserve">Boolean</w:t>
      </w:r>
      <w:r>
        <w:t xml:space="preserve">: Returns</w:t>
      </w:r>
      <w:r>
        <w:t xml:space="preserve"> </w:t>
      </w:r>
      <w:r>
        <w:rPr>
          <w:rStyle w:val="VerbatimChar"/>
        </w:rPr>
        <w:t xml:space="preserve">True</w:t>
      </w:r>
      <w:r>
        <w:t xml:space="preserve"> </w:t>
      </w:r>
      <w:r>
        <w:t xml:space="preserve">when</w:t>
      </w:r>
      <w:r>
        <w:t xml:space="preserve"> </w:t>
      </w:r>
      <w:r>
        <w:rPr>
          <w:rStyle w:val="VerbatimChar"/>
        </w:rPr>
        <w:t xml:space="preserve">character</w:t>
      </w:r>
      <w:r>
        <w:t xml:space="preserve"> </w:t>
      </w:r>
      <w:r>
        <w:t xml:space="preserve">is a valid path separator on the current operating system.</w:t>
      </w:r>
    </w:p>
    <w:p>
      <w:pPr>
        <w:pStyle w:val="Compact"/>
        <w:numPr>
          <w:ilvl w:val="0"/>
          <w:numId w:val="1330"/>
        </w:numPr>
      </w:pPr>
      <w:r>
        <w:rPr>
          <w:b/>
          <w:bCs/>
        </w:rPr>
        <w:t xml:space="preserve">Boolean</w:t>
      </w:r>
      <w:r>
        <w:t xml:space="preserve">: Returns</w:t>
      </w:r>
      <w:r>
        <w:t xml:space="preserve"> </w:t>
      </w:r>
      <w:r>
        <w:rPr>
          <w:rStyle w:val="VerbatimChar"/>
        </w:rPr>
        <w:t xml:space="preserve">False</w:t>
      </w:r>
      <w:r>
        <w:t xml:space="preserve"> </w:t>
      </w:r>
      <w:r>
        <w:t xml:space="preserve">when</w:t>
      </w:r>
      <w:r>
        <w:t xml:space="preserve"> </w:t>
      </w:r>
      <w:r>
        <w:rPr>
          <w:rStyle w:val="VerbatimChar"/>
        </w:rPr>
        <w:t xml:space="preserve">character</w:t>
      </w:r>
      <w:r>
        <w:t xml:space="preserve"> </w:t>
      </w:r>
      <w:r>
        <w:t xml:space="preserve">is not a path separator, is empty, is multi-character, or no argument is provided.</w:t>
      </w:r>
    </w:p>
    <w:bookmarkEnd w:id="1188"/>
    <w:bookmarkStart w:id="1189" w:name="remarks-91"/>
    <w:p>
      <w:pPr>
        <w:pStyle w:val="Heading2"/>
      </w:pPr>
      <w:r>
        <w:t xml:space="preserve">Remarks</w:t>
      </w:r>
    </w:p>
    <w:p>
      <w:pPr>
        <w:pStyle w:val="Compact"/>
        <w:numPr>
          <w:ilvl w:val="0"/>
          <w:numId w:val="1331"/>
        </w:numPr>
      </w:pPr>
      <w:r>
        <w:t xml:space="preserve">On Windows, both</w:t>
      </w:r>
      <w:r>
        <w:t xml:space="preserve"> </w:t>
      </w:r>
      <w:r>
        <w:rPr>
          <w:rStyle w:val="VerbatimChar"/>
        </w:rPr>
        <w:t xml:space="preserve">\</w:t>
      </w:r>
      <w:r>
        <w:t xml:space="preserve"> </w:t>
      </w:r>
      <w:r>
        <w:t xml:space="preserve">and</w:t>
      </w:r>
      <w:r>
        <w:t xml:space="preserve"> </w:t>
      </w:r>
      <w:r>
        <w:rPr>
          <w:rStyle w:val="VerbatimChar"/>
        </w:rPr>
        <w:t xml:space="preserve">/</w:t>
      </w:r>
      <w:r>
        <w:t xml:space="preserve"> </w:t>
      </w:r>
      <w:r>
        <w:t xml:space="preserve">may be valid path separators.</w:t>
      </w:r>
    </w:p>
    <w:p>
      <w:pPr>
        <w:pStyle w:val="Compact"/>
        <w:numPr>
          <w:ilvl w:val="0"/>
          <w:numId w:val="1331"/>
        </w:numPr>
      </w:pPr>
      <w:r>
        <w:t xml:space="preserve">Method names are case-insensitive in VBScript dispatch.</w:t>
      </w:r>
    </w:p>
    <w:bookmarkEnd w:id="1189"/>
    <w:bookmarkStart w:id="1190" w:name="example-2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ax.AxIsPathSeparator</w:t>
      </w:r>
      <w:r>
        <w:rPr>
          <w:rStyle w:val="OtherTok"/>
        </w:rPr>
        <w:t xml:space="preserve">(</w:t>
      </w:r>
      <w:r>
        <w:rPr>
          <w:rStyle w:val="StringTok"/>
        </w:rPr>
        <w:t xml:space="preserv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 on Unix, possibly True on Windows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ax.AxIsPathSeparator</w:t>
      </w:r>
      <w:r>
        <w:rPr>
          <w:rStyle w:val="OtherTok"/>
        </w:rPr>
        <w:t xml:space="preserve">(</w:t>
      </w:r>
      <w:r>
        <w:rPr>
          <w:rStyle w:val="StringTok"/>
        </w:rPr>
        <w:t xml:space="preserve">"a"</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90"/>
    <w:bookmarkStart w:id="1191" w:name="api-reference-22"/>
    <w:p>
      <w:pPr>
        <w:pStyle w:val="Heading2"/>
      </w:pPr>
      <w:r>
        <w:t xml:space="preserve">API Reference</w:t>
      </w:r>
    </w:p>
    <w:p>
      <w:pPr>
        <w:pStyle w:val="Compact"/>
        <w:numPr>
          <w:ilvl w:val="0"/>
          <w:numId w:val="1332"/>
        </w:numPr>
      </w:pPr>
      <w:r>
        <w:rPr>
          <w:b/>
          <w:bCs/>
        </w:rPr>
        <w:t xml:space="preserve">Object</w:t>
      </w:r>
      <w:r>
        <w:t xml:space="preserve">:</w:t>
      </w:r>
      <w:r>
        <w:t xml:space="preserve"> </w:t>
      </w:r>
      <w:r>
        <w:rPr>
          <w:rStyle w:val="VerbatimChar"/>
        </w:rPr>
        <w:t xml:space="preserve">G3AXON.FUNCTIONS</w:t>
      </w:r>
    </w:p>
    <w:p>
      <w:pPr>
        <w:pStyle w:val="Compact"/>
        <w:numPr>
          <w:ilvl w:val="0"/>
          <w:numId w:val="1332"/>
        </w:numPr>
      </w:pPr>
      <w:r>
        <w:rPr>
          <w:b/>
          <w:bCs/>
        </w:rPr>
        <w:t xml:space="preserve">Method</w:t>
      </w:r>
      <w:r>
        <w:t xml:space="preserve">:</w:t>
      </w:r>
      <w:r>
        <w:t xml:space="preserve"> </w:t>
      </w:r>
      <w:r>
        <w:rPr>
          <w:rStyle w:val="VerbatimChar"/>
        </w:rPr>
        <w:t xml:space="preserve">AxIsPathSeparator</w:t>
      </w:r>
    </w:p>
    <w:p>
      <w:pPr>
        <w:pStyle w:val="Compact"/>
        <w:numPr>
          <w:ilvl w:val="0"/>
          <w:numId w:val="1332"/>
        </w:numPr>
      </w:pPr>
      <w:r>
        <w:rPr>
          <w:b/>
          <w:bCs/>
        </w:rPr>
        <w:t xml:space="preserve">Arguments</w:t>
      </w:r>
      <w:r>
        <w:t xml:space="preserve">:</w:t>
      </w:r>
      <w:r>
        <w:t xml:space="preserve"> </w:t>
      </w:r>
      <w:r>
        <w:rPr>
          <w:rStyle w:val="VerbatimChar"/>
        </w:rPr>
        <w:t xml:space="preserve">character As String</w:t>
      </w:r>
    </w:p>
    <w:p>
      <w:pPr>
        <w:pStyle w:val="Compact"/>
        <w:numPr>
          <w:ilvl w:val="0"/>
          <w:numId w:val="1332"/>
        </w:numPr>
      </w:pPr>
      <w:r>
        <w:rPr>
          <w:b/>
          <w:bCs/>
        </w:rPr>
        <w:t xml:space="preserve">Returns</w:t>
      </w:r>
      <w:r>
        <w:t xml:space="preserve">:</w:t>
      </w:r>
      <w:r>
        <w:t xml:space="preserve"> </w:t>
      </w:r>
      <w:r>
        <w:rPr>
          <w:rStyle w:val="VerbatimChar"/>
        </w:rPr>
        <w:t xml:space="preserve">Boolean</w:t>
      </w:r>
      <w:r>
        <w:t xml:space="preserve"> </w:t>
      </w:r>
      <w:r>
        <w:t xml:space="preserve">(</w:t>
      </w:r>
      <w:r>
        <w:rPr>
          <w:rStyle w:val="VerbatimChar"/>
        </w:rPr>
        <w:t xml:space="preserve">True</w:t>
      </w:r>
      <w:r>
        <w:t xml:space="preserve"> </w:t>
      </w:r>
      <w:r>
        <w:t xml:space="preserve">if the character is a valid path separator)</w:t>
      </w:r>
    </w:p>
    <w:bookmarkEnd w:id="1191"/>
    <w:bookmarkEnd w:id="1192"/>
    <w:bookmarkStart w:id="1201" w:name="change-file-timestamps"/>
    <w:p>
      <w:pPr>
        <w:pStyle w:val="Heading1"/>
      </w:pPr>
      <w:r>
        <w:t xml:space="preserve">Change File Timestamps</w:t>
      </w:r>
    </w:p>
    <w:bookmarkStart w:id="1193" w:name="overview-65"/>
    <w:p>
      <w:pPr>
        <w:pStyle w:val="Heading2"/>
      </w:pPr>
      <w:r>
        <w:t xml:space="preserve">Overview</w:t>
      </w:r>
    </w:p>
    <w:p>
      <w:pPr>
        <w:pStyle w:val="FirstParagraph"/>
      </w:pPr>
      <w:r>
        <w:t xml:space="preserve">Changes the access and modification timestamps of a file using Unix epoch seconds.</w:t>
      </w:r>
    </w:p>
    <w:bookmarkEnd w:id="1193"/>
    <w:bookmarkStart w:id="1194" w:name="prerequisites-2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194"/>
    <w:bookmarkStart w:id="1195" w:name="syntax-82"/>
    <w:p>
      <w:pPr>
        <w:pStyle w:val="Heading2"/>
      </w:pPr>
      <w:r>
        <w:t xml:space="preserve">Syntax</w:t>
      </w:r>
    </w:p>
    <w:p>
      <w:pPr>
        <w:pStyle w:val="SourceCode"/>
      </w:pPr>
      <w:r>
        <w:rPr>
          <w:rStyle w:val="NormalTok"/>
        </w:rPr>
        <w:t xml:space="preserve">result = obj.AxChangeTimes(path, accessTime, modifyTime)</w:t>
      </w:r>
    </w:p>
    <w:bookmarkEnd w:id="1195"/>
    <w:bookmarkStart w:id="1196" w:name="parameters-1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path</w:t>
            </w:r>
          </w:p>
        </w:tc>
        <w:tc>
          <w:tcPr/>
          <w:p>
            <w:pPr>
              <w:pStyle w:val="Compact"/>
            </w:pPr>
            <w:r>
              <w:t xml:space="preserve">String</w:t>
            </w:r>
          </w:p>
        </w:tc>
        <w:tc>
          <w:tcPr/>
          <w:p>
            <w:pPr>
              <w:pStyle w:val="Compact"/>
            </w:pPr>
            <w:r>
              <w:t xml:space="preserve">Yes</w:t>
            </w:r>
          </w:p>
        </w:tc>
        <w:tc>
          <w:tcPr/>
          <w:p>
            <w:pPr>
              <w:pStyle w:val="Compact"/>
            </w:pPr>
            <w:r>
              <w:t xml:space="preserve">The file path whose timestamps will be updated.</w:t>
            </w:r>
          </w:p>
        </w:tc>
      </w:tr>
      <w:tr>
        <w:tc>
          <w:tcPr/>
          <w:p>
            <w:pPr>
              <w:pStyle w:val="Compact"/>
            </w:pPr>
            <w:r>
              <w:t xml:space="preserve">accessTime</w:t>
            </w:r>
          </w:p>
        </w:tc>
        <w:tc>
          <w:tcPr/>
          <w:p>
            <w:pPr>
              <w:pStyle w:val="Compact"/>
            </w:pPr>
            <w:r>
              <w:t xml:space="preserve">Integer</w:t>
            </w:r>
          </w:p>
        </w:tc>
        <w:tc>
          <w:tcPr/>
          <w:p>
            <w:pPr>
              <w:pStyle w:val="Compact"/>
            </w:pPr>
            <w:r>
              <w:t xml:space="preserve">Yes</w:t>
            </w:r>
          </w:p>
        </w:tc>
        <w:tc>
          <w:tcPr/>
          <w:p>
            <w:pPr>
              <w:pStyle w:val="Compact"/>
            </w:pPr>
            <w:r>
              <w:t xml:space="preserve">The new access time as a Unix epoch timestamp (seconds since 1970-01-01 UTC).</w:t>
            </w:r>
          </w:p>
        </w:tc>
      </w:tr>
      <w:tr>
        <w:tc>
          <w:tcPr/>
          <w:p>
            <w:pPr>
              <w:pStyle w:val="Compact"/>
            </w:pPr>
            <w:r>
              <w:t xml:space="preserve">modifyTime</w:t>
            </w:r>
          </w:p>
        </w:tc>
        <w:tc>
          <w:tcPr/>
          <w:p>
            <w:pPr>
              <w:pStyle w:val="Compact"/>
            </w:pPr>
            <w:r>
              <w:t xml:space="preserve">Integer</w:t>
            </w:r>
          </w:p>
        </w:tc>
        <w:tc>
          <w:tcPr/>
          <w:p>
            <w:pPr>
              <w:pStyle w:val="Compact"/>
            </w:pPr>
            <w:r>
              <w:t xml:space="preserve">Yes</w:t>
            </w:r>
          </w:p>
        </w:tc>
        <w:tc>
          <w:tcPr/>
          <w:p>
            <w:pPr>
              <w:pStyle w:val="Compact"/>
            </w:pPr>
            <w:r>
              <w:t xml:space="preserve">The new modification time as a Unix epoch timestamp.</w:t>
            </w:r>
          </w:p>
        </w:tc>
      </w:tr>
    </w:tbl>
    <w:bookmarkEnd w:id="1196"/>
    <w:bookmarkStart w:id="1197" w:name="return-value-26"/>
    <w:p>
      <w:pPr>
        <w:pStyle w:val="Heading2"/>
      </w:pPr>
      <w:r>
        <w:t xml:space="preserve">Return Value</w:t>
      </w:r>
    </w:p>
    <w:p>
      <w:pPr>
        <w:pStyle w:val="Compact"/>
        <w:numPr>
          <w:ilvl w:val="0"/>
          <w:numId w:val="1333"/>
        </w:numPr>
      </w:pPr>
      <w:r>
        <w:rPr>
          <w:b/>
          <w:bCs/>
        </w:rPr>
        <w:t xml:space="preserve">Boolean</w:t>
      </w:r>
      <w:r>
        <w:t xml:space="preserve">: Returns</w:t>
      </w:r>
      <w:r>
        <w:t xml:space="preserve"> </w:t>
      </w:r>
      <w:r>
        <w:rPr>
          <w:rStyle w:val="VerbatimChar"/>
        </w:rPr>
        <w:t xml:space="preserve">True</w:t>
      </w:r>
      <w:r>
        <w:t xml:space="preserve"> </w:t>
      </w:r>
      <w:r>
        <w:t xml:space="preserve">when the timestamps were changed successfully.</w:t>
      </w:r>
    </w:p>
    <w:p>
      <w:pPr>
        <w:pStyle w:val="Compact"/>
        <w:numPr>
          <w:ilvl w:val="0"/>
          <w:numId w:val="1333"/>
        </w:numPr>
      </w:pPr>
      <w:r>
        <w:rPr>
          <w:b/>
          <w:bCs/>
        </w:rPr>
        <w:t xml:space="preserve">Boolean</w:t>
      </w:r>
      <w:r>
        <w:t xml:space="preserve">: Returns</w:t>
      </w:r>
      <w:r>
        <w:t xml:space="preserve"> </w:t>
      </w:r>
      <w:r>
        <w:rPr>
          <w:rStyle w:val="VerbatimChar"/>
        </w:rPr>
        <w:t xml:space="preserve">False</w:t>
      </w:r>
      <w:r>
        <w:t xml:space="preserve"> </w:t>
      </w:r>
      <w:r>
        <w:t xml:space="preserve">when the path is empty, the file does not exist, or the operation fails due to permissions.</w:t>
      </w:r>
    </w:p>
    <w:bookmarkEnd w:id="1197"/>
    <w:bookmarkStart w:id="1198" w:name="remarks-92"/>
    <w:p>
      <w:pPr>
        <w:pStyle w:val="Heading2"/>
      </w:pPr>
      <w:r>
        <w:t xml:space="preserve">Remarks</w:t>
      </w:r>
    </w:p>
    <w:p>
      <w:pPr>
        <w:pStyle w:val="Compact"/>
        <w:numPr>
          <w:ilvl w:val="0"/>
          <w:numId w:val="1334"/>
        </w:numPr>
      </w:pPr>
      <w:r>
        <w:t xml:space="preserve">Requires at least three arguments; returns</w:t>
      </w:r>
      <w:r>
        <w:t xml:space="preserve"> </w:t>
      </w:r>
      <w:r>
        <w:rPr>
          <w:rStyle w:val="VerbatimChar"/>
        </w:rPr>
        <w:t xml:space="preserve">False</w:t>
      </w:r>
      <w:r>
        <w:t xml:space="preserve"> </w:t>
      </w:r>
      <w:r>
        <w:t xml:space="preserve">with fewer.</w:t>
      </w:r>
    </w:p>
    <w:p>
      <w:pPr>
        <w:pStyle w:val="Compact"/>
        <w:numPr>
          <w:ilvl w:val="0"/>
          <w:numId w:val="1334"/>
        </w:numPr>
      </w:pPr>
      <w:r>
        <w:t xml:space="preserve">Method names are case-insensitive in VBScript dispatch.</w:t>
      </w:r>
    </w:p>
    <w:bookmarkEnd w:id="1198"/>
    <w:bookmarkStart w:id="1199" w:name="example-2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ok</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ok = ax.AxChangeTimes</w:t>
      </w:r>
      <w:r>
        <w:rPr>
          <w:rStyle w:val="OtherTok"/>
        </w:rPr>
        <w:t xml:space="preserve">(</w:t>
      </w:r>
      <w:r>
        <w:rPr>
          <w:rStyle w:val="StringTok"/>
        </w:rPr>
        <w:t xml:space="preserve">"C:\\temp\\file.txt"</w:t>
      </w:r>
      <w:r>
        <w:rPr>
          <w:rStyle w:val="OtherTok"/>
        </w:rPr>
        <w:t xml:space="preserve">,</w:t>
      </w:r>
      <w:r>
        <w:rPr>
          <w:rStyle w:val="NormalTok"/>
        </w:rPr>
        <w:t xml:space="preserve"> </w:t>
      </w:r>
      <w:r>
        <w:rPr>
          <w:rStyle w:val="DecValTok"/>
        </w:rPr>
        <w:t xml:space="preserve">1700000000</w:t>
      </w:r>
      <w:r>
        <w:rPr>
          <w:rStyle w:val="OtherTok"/>
        </w:rPr>
        <w:t xml:space="preserve">,</w:t>
      </w:r>
      <w:r>
        <w:rPr>
          <w:rStyle w:val="NormalTok"/>
        </w:rPr>
        <w:t xml:space="preserve"> </w:t>
      </w:r>
      <w:r>
        <w:rPr>
          <w:rStyle w:val="DecValTok"/>
        </w:rPr>
        <w:t xml:space="preserve">1700000001</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"Timestamps updated."</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199"/>
    <w:bookmarkStart w:id="1200" w:name="api-reference-23"/>
    <w:p>
      <w:pPr>
        <w:pStyle w:val="Heading2"/>
      </w:pPr>
      <w:r>
        <w:t xml:space="preserve">API Reference</w:t>
      </w:r>
    </w:p>
    <w:p>
      <w:pPr>
        <w:pStyle w:val="Compact"/>
        <w:numPr>
          <w:ilvl w:val="0"/>
          <w:numId w:val="1335"/>
        </w:numPr>
      </w:pPr>
      <w:r>
        <w:rPr>
          <w:b/>
          <w:bCs/>
        </w:rPr>
        <w:t xml:space="preserve">Object</w:t>
      </w:r>
      <w:r>
        <w:t xml:space="preserve">:</w:t>
      </w:r>
      <w:r>
        <w:t xml:space="preserve"> </w:t>
      </w:r>
      <w:r>
        <w:rPr>
          <w:rStyle w:val="VerbatimChar"/>
        </w:rPr>
        <w:t xml:space="preserve">G3AXON.FUNCTIONS</w:t>
      </w:r>
    </w:p>
    <w:p>
      <w:pPr>
        <w:pStyle w:val="Compact"/>
        <w:numPr>
          <w:ilvl w:val="0"/>
          <w:numId w:val="1335"/>
        </w:numPr>
      </w:pPr>
      <w:r>
        <w:rPr>
          <w:b/>
          <w:bCs/>
        </w:rPr>
        <w:t xml:space="preserve">Method</w:t>
      </w:r>
      <w:r>
        <w:t xml:space="preserve">:</w:t>
      </w:r>
      <w:r>
        <w:t xml:space="preserve"> </w:t>
      </w:r>
      <w:r>
        <w:rPr>
          <w:rStyle w:val="VerbatimChar"/>
        </w:rPr>
        <w:t xml:space="preserve">AxChangeTimes</w:t>
      </w:r>
    </w:p>
    <w:p>
      <w:pPr>
        <w:pStyle w:val="Compact"/>
        <w:numPr>
          <w:ilvl w:val="0"/>
          <w:numId w:val="1335"/>
        </w:numPr>
      </w:pPr>
      <w:r>
        <w:rPr>
          <w:b/>
          <w:bCs/>
        </w:rPr>
        <w:t xml:space="preserve">Arguments</w:t>
      </w:r>
      <w:r>
        <w:t xml:space="preserve">:</w:t>
      </w:r>
      <w:r>
        <w:t xml:space="preserve"> </w:t>
      </w:r>
      <w:r>
        <w:rPr>
          <w:rStyle w:val="VerbatimChar"/>
        </w:rPr>
        <w:t xml:space="preserve">path As String, accessTime As Integer, modifyTime As Integer</w:t>
      </w:r>
    </w:p>
    <w:p>
      <w:pPr>
        <w:pStyle w:val="Compact"/>
        <w:numPr>
          <w:ilvl w:val="0"/>
          <w:numId w:val="1335"/>
        </w:numPr>
      </w:pPr>
      <w:r>
        <w:rPr>
          <w:b/>
          <w:bCs/>
        </w:rPr>
        <w:t xml:space="preserve">Returns</w:t>
      </w:r>
      <w:r>
        <w:t xml:space="preserve">:</w:t>
      </w:r>
      <w:r>
        <w:t xml:space="preserve"> </w:t>
      </w:r>
      <w:r>
        <w:rPr>
          <w:rStyle w:val="VerbatimChar"/>
        </w:rPr>
        <w:t xml:space="preserve">Boolean</w:t>
      </w:r>
      <w:r>
        <w:t xml:space="preserve"> </w:t>
      </w:r>
      <w:r>
        <w:t xml:space="preserve">(</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failure)</w:t>
      </w:r>
    </w:p>
    <w:bookmarkEnd w:id="1200"/>
    <w:bookmarkEnd w:id="1201"/>
    <w:bookmarkStart w:id="1210" w:name="change-file-mode-permissions"/>
    <w:p>
      <w:pPr>
        <w:pStyle w:val="Heading1"/>
      </w:pPr>
      <w:r>
        <w:t xml:space="preserve">Change File Mode Permissions</w:t>
      </w:r>
    </w:p>
    <w:bookmarkStart w:id="1202" w:name="overview-66"/>
    <w:p>
      <w:pPr>
        <w:pStyle w:val="Heading2"/>
      </w:pPr>
      <w:r>
        <w:t xml:space="preserve">Overview</w:t>
      </w:r>
    </w:p>
    <w:p>
      <w:pPr>
        <w:pStyle w:val="FirstParagraph"/>
      </w:pPr>
      <w:r>
        <w:t xml:space="preserve">Changes the mode (permission bits) of a file using an octal string (for example,</w:t>
      </w:r>
      <w:r>
        <w:t xml:space="preserve"> </w:t>
      </w:r>
      <w:r>
        <w:rPr>
          <w:rStyle w:val="VerbatimChar"/>
        </w:rPr>
        <w:t xml:space="preserve">"0644"</w:t>
      </w:r>
      <w:r>
        <w:t xml:space="preserve">).</w:t>
      </w:r>
    </w:p>
    <w:bookmarkEnd w:id="1202"/>
    <w:bookmarkStart w:id="1203" w:name="prerequisites-2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03"/>
    <w:bookmarkStart w:id="1204" w:name="syntax-83"/>
    <w:p>
      <w:pPr>
        <w:pStyle w:val="Heading2"/>
      </w:pPr>
      <w:r>
        <w:t xml:space="preserve">Syntax</w:t>
      </w:r>
    </w:p>
    <w:p>
      <w:pPr>
        <w:pStyle w:val="SourceCode"/>
      </w:pPr>
      <w:r>
        <w:rPr>
          <w:rStyle w:val="NormalTok"/>
        </w:rPr>
        <w:t xml:space="preserve">result = obj.AxChangeMode(path, mode)</w:t>
      </w:r>
    </w:p>
    <w:bookmarkEnd w:id="1204"/>
    <w:bookmarkStart w:id="1205" w:name="parameters-1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path</w:t>
            </w:r>
          </w:p>
        </w:tc>
        <w:tc>
          <w:tcPr/>
          <w:p>
            <w:pPr>
              <w:pStyle w:val="Compact"/>
            </w:pPr>
            <w:r>
              <w:t xml:space="preserve">String</w:t>
            </w:r>
          </w:p>
        </w:tc>
        <w:tc>
          <w:tcPr/>
          <w:p>
            <w:pPr>
              <w:pStyle w:val="Compact"/>
            </w:pPr>
            <w:r>
              <w:t xml:space="preserve">Yes</w:t>
            </w:r>
          </w:p>
        </w:tc>
        <w:tc>
          <w:tcPr/>
          <w:p>
            <w:pPr>
              <w:pStyle w:val="Compact"/>
            </w:pPr>
            <w:r>
              <w:t xml:space="preserve">The file path to modify.</w:t>
            </w:r>
          </w:p>
        </w:tc>
      </w:tr>
      <w:tr>
        <w:tc>
          <w:tcPr/>
          <w:p>
            <w:pPr>
              <w:pStyle w:val="Compact"/>
            </w:pPr>
            <w:r>
              <w:t xml:space="preserve">mode</w:t>
            </w:r>
          </w:p>
        </w:tc>
        <w:tc>
          <w:tcPr/>
          <w:p>
            <w:pPr>
              <w:pStyle w:val="Compact"/>
            </w:pPr>
            <w:r>
              <w:t xml:space="preserve">String</w:t>
            </w:r>
          </w:p>
        </w:tc>
        <w:tc>
          <w:tcPr/>
          <w:p>
            <w:pPr>
              <w:pStyle w:val="Compact"/>
            </w:pPr>
            <w:r>
              <w:t xml:space="preserve">Yes</w:t>
            </w:r>
          </w:p>
        </w:tc>
        <w:tc>
          <w:tcPr/>
          <w:p>
            <w:pPr>
              <w:pStyle w:val="Compact"/>
            </w:pPr>
            <w:r>
              <w:t xml:space="preserve">The octal permission string (for example,</w:t>
            </w:r>
            <w:r>
              <w:t xml:space="preserve"> </w:t>
            </w:r>
            <w:r>
              <w:rPr>
                <w:rStyle w:val="VerbatimChar"/>
              </w:rPr>
              <w:t xml:space="preserve">"0644"</w:t>
            </w:r>
            <w:r>
              <w:t xml:space="preserve">,</w:t>
            </w:r>
            <w:r>
              <w:t xml:space="preserve"> </w:t>
            </w:r>
            <w:r>
              <w:rPr>
                <w:rStyle w:val="VerbatimChar"/>
              </w:rPr>
              <w:t xml:space="preserve">"0755"</w:t>
            </w:r>
            <w:r>
              <w:t xml:space="preserve">).</w:t>
            </w:r>
          </w:p>
        </w:tc>
      </w:tr>
    </w:tbl>
    <w:bookmarkEnd w:id="1205"/>
    <w:bookmarkStart w:id="1206" w:name="return-value-27"/>
    <w:p>
      <w:pPr>
        <w:pStyle w:val="Heading2"/>
      </w:pPr>
      <w:r>
        <w:t xml:space="preserve">Return Value</w:t>
      </w:r>
    </w:p>
    <w:p>
      <w:pPr>
        <w:pStyle w:val="Compact"/>
        <w:numPr>
          <w:ilvl w:val="0"/>
          <w:numId w:val="1336"/>
        </w:numPr>
      </w:pPr>
      <w:r>
        <w:rPr>
          <w:b/>
          <w:bCs/>
        </w:rPr>
        <w:t xml:space="preserve">Boolean</w:t>
      </w:r>
      <w:r>
        <w:t xml:space="preserve">: Returns</w:t>
      </w:r>
      <w:r>
        <w:t xml:space="preserve"> </w:t>
      </w:r>
      <w:r>
        <w:rPr>
          <w:rStyle w:val="VerbatimChar"/>
        </w:rPr>
        <w:t xml:space="preserve">True</w:t>
      </w:r>
      <w:r>
        <w:t xml:space="preserve"> </w:t>
      </w:r>
      <w:r>
        <w:t xml:space="preserve">when the mode was applied successfully.</w:t>
      </w:r>
    </w:p>
    <w:p>
      <w:pPr>
        <w:pStyle w:val="Compact"/>
        <w:numPr>
          <w:ilvl w:val="0"/>
          <w:numId w:val="1336"/>
        </w:numPr>
      </w:pPr>
      <w:r>
        <w:rPr>
          <w:b/>
          <w:bCs/>
        </w:rPr>
        <w:t xml:space="preserve">Boolean</w:t>
      </w:r>
      <w:r>
        <w:t xml:space="preserve">: Returns</w:t>
      </w:r>
      <w:r>
        <w:t xml:space="preserve"> </w:t>
      </w:r>
      <w:r>
        <w:rPr>
          <w:rStyle w:val="VerbatimChar"/>
        </w:rPr>
        <w:t xml:space="preserve">False</w:t>
      </w:r>
      <w:r>
        <w:t xml:space="preserve"> </w:t>
      </w:r>
      <w:r>
        <w:t xml:space="preserve">when fewer than two arguments are provided, the path or mode is empty, the octal string is invalid, or the operation fails due to permissions.</w:t>
      </w:r>
    </w:p>
    <w:bookmarkEnd w:id="1206"/>
    <w:bookmarkStart w:id="1207" w:name="remarks-93"/>
    <w:p>
      <w:pPr>
        <w:pStyle w:val="Heading2"/>
      </w:pPr>
      <w:r>
        <w:t xml:space="preserve">Remarks</w:t>
      </w:r>
    </w:p>
    <w:p>
      <w:pPr>
        <w:pStyle w:val="Compact"/>
        <w:numPr>
          <w:ilvl w:val="0"/>
          <w:numId w:val="1337"/>
        </w:numPr>
      </w:pPr>
      <w:r>
        <w:t xml:space="preserve">This method applies the Unix-style file mode bits. On Windows, the effect is limited; only the read-only attribute is affected.</w:t>
      </w:r>
    </w:p>
    <w:p>
      <w:pPr>
        <w:pStyle w:val="Compact"/>
        <w:numPr>
          <w:ilvl w:val="0"/>
          <w:numId w:val="1337"/>
        </w:numPr>
      </w:pPr>
      <w:r>
        <w:t xml:space="preserve">Method names are case-insensitive in VBScript dispatch.</w:t>
      </w:r>
    </w:p>
    <w:bookmarkEnd w:id="1207"/>
    <w:bookmarkStart w:id="1208" w:name="example-2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ntrolFlowTok"/>
        </w:rPr>
        <w:t xml:space="preserve">If</w:t>
      </w:r>
      <w:r>
        <w:rPr>
          <w:rStyle w:val="NormalTok"/>
        </w:rPr>
        <w:t xml:space="preserve"> ax.AxChangeMode</w:t>
      </w:r>
      <w:r>
        <w:rPr>
          <w:rStyle w:val="OtherTok"/>
        </w:rPr>
        <w:t xml:space="preserve">(</w:t>
      </w:r>
      <w:r>
        <w:rPr>
          <w:rStyle w:val="StringTok"/>
        </w:rPr>
        <w:t xml:space="preserve">"/var/www/upload.log"</w:t>
      </w:r>
      <w:r>
        <w:rPr>
          <w:rStyle w:val="OtherTok"/>
        </w:rPr>
        <w:t xml:space="preserve">,</w:t>
      </w:r>
      <w:r>
        <w:rPr>
          <w:rStyle w:val="NormalTok"/>
        </w:rPr>
        <w:t xml:space="preserve"> </w:t>
      </w:r>
      <w:r>
        <w:rPr>
          <w:rStyle w:val="StringTok"/>
        </w:rPr>
        <w:t xml:space="preserve">"0644"</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"Permissions updated."</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08"/>
    <w:bookmarkStart w:id="1209" w:name="api-reference-24"/>
    <w:p>
      <w:pPr>
        <w:pStyle w:val="Heading2"/>
      </w:pPr>
      <w:r>
        <w:t xml:space="preserve">API Reference</w:t>
      </w:r>
    </w:p>
    <w:p>
      <w:pPr>
        <w:pStyle w:val="Compact"/>
        <w:numPr>
          <w:ilvl w:val="0"/>
          <w:numId w:val="1338"/>
        </w:numPr>
      </w:pPr>
      <w:r>
        <w:rPr>
          <w:b/>
          <w:bCs/>
        </w:rPr>
        <w:t xml:space="preserve">Object</w:t>
      </w:r>
      <w:r>
        <w:t xml:space="preserve">:</w:t>
      </w:r>
      <w:r>
        <w:t xml:space="preserve"> </w:t>
      </w:r>
      <w:r>
        <w:rPr>
          <w:rStyle w:val="VerbatimChar"/>
        </w:rPr>
        <w:t xml:space="preserve">G3AXON.FUNCTIONS</w:t>
      </w:r>
    </w:p>
    <w:p>
      <w:pPr>
        <w:pStyle w:val="Compact"/>
        <w:numPr>
          <w:ilvl w:val="0"/>
          <w:numId w:val="1338"/>
        </w:numPr>
      </w:pPr>
      <w:r>
        <w:rPr>
          <w:b/>
          <w:bCs/>
        </w:rPr>
        <w:t xml:space="preserve">Method</w:t>
      </w:r>
      <w:r>
        <w:t xml:space="preserve">:</w:t>
      </w:r>
      <w:r>
        <w:t xml:space="preserve"> </w:t>
      </w:r>
      <w:r>
        <w:rPr>
          <w:rStyle w:val="VerbatimChar"/>
        </w:rPr>
        <w:t xml:space="preserve">AxChangeMode</w:t>
      </w:r>
    </w:p>
    <w:p>
      <w:pPr>
        <w:pStyle w:val="Compact"/>
        <w:numPr>
          <w:ilvl w:val="0"/>
          <w:numId w:val="1338"/>
        </w:numPr>
      </w:pPr>
      <w:r>
        <w:rPr>
          <w:b/>
          <w:bCs/>
        </w:rPr>
        <w:t xml:space="preserve">Arguments</w:t>
      </w:r>
      <w:r>
        <w:t xml:space="preserve">:</w:t>
      </w:r>
      <w:r>
        <w:t xml:space="preserve"> </w:t>
      </w:r>
      <w:r>
        <w:rPr>
          <w:rStyle w:val="VerbatimChar"/>
        </w:rPr>
        <w:t xml:space="preserve">path As String, mode As String</w:t>
      </w:r>
    </w:p>
    <w:p>
      <w:pPr>
        <w:pStyle w:val="Compact"/>
        <w:numPr>
          <w:ilvl w:val="0"/>
          <w:numId w:val="1338"/>
        </w:numPr>
      </w:pPr>
      <w:r>
        <w:rPr>
          <w:b/>
          <w:bCs/>
        </w:rPr>
        <w:t xml:space="preserve">Returns</w:t>
      </w:r>
      <w:r>
        <w:t xml:space="preserve">:</w:t>
      </w:r>
      <w:r>
        <w:t xml:space="preserve"> </w:t>
      </w:r>
      <w:r>
        <w:rPr>
          <w:rStyle w:val="VerbatimChar"/>
        </w:rPr>
        <w:t xml:space="preserve">Boolean</w:t>
      </w:r>
      <w:r>
        <w:t xml:space="preserve"> </w:t>
      </w:r>
      <w:r>
        <w:t xml:space="preserve">(</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failure)</w:t>
      </w:r>
    </w:p>
    <w:bookmarkEnd w:id="1209"/>
    <w:bookmarkEnd w:id="1210"/>
    <w:bookmarkStart w:id="1219" w:name="create-a-hard-link"/>
    <w:p>
      <w:pPr>
        <w:pStyle w:val="Heading1"/>
      </w:pPr>
      <w:r>
        <w:t xml:space="preserve">Create a Hard Link</w:t>
      </w:r>
    </w:p>
    <w:bookmarkStart w:id="1211" w:name="overview-67"/>
    <w:p>
      <w:pPr>
        <w:pStyle w:val="Heading2"/>
      </w:pPr>
      <w:r>
        <w:t xml:space="preserve">Overview</w:t>
      </w:r>
    </w:p>
    <w:p>
      <w:pPr>
        <w:pStyle w:val="FirstParagraph"/>
      </w:pPr>
      <w:r>
        <w:t xml:space="preserve">Creates a hard link at</w:t>
      </w:r>
      <w:r>
        <w:t xml:space="preserve"> </w:t>
      </w:r>
      <w:r>
        <w:rPr>
          <w:rStyle w:val="VerbatimChar"/>
        </w:rPr>
        <w:t xml:space="preserve">linkPath</w:t>
      </w:r>
      <w:r>
        <w:t xml:space="preserve"> </w:t>
      </w:r>
      <w:r>
        <w:t xml:space="preserve">that points to the existing file at</w:t>
      </w:r>
      <w:r>
        <w:t xml:space="preserve"> </w:t>
      </w:r>
      <w:r>
        <w:rPr>
          <w:rStyle w:val="VerbatimChar"/>
        </w:rPr>
        <w:t xml:space="preserve">sourcePath</w:t>
      </w:r>
      <w:r>
        <w:t xml:space="preserve">.</w:t>
      </w:r>
    </w:p>
    <w:bookmarkEnd w:id="1211"/>
    <w:bookmarkStart w:id="1212" w:name="prerequisites-2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12"/>
    <w:bookmarkStart w:id="1213" w:name="syntax-84"/>
    <w:p>
      <w:pPr>
        <w:pStyle w:val="Heading2"/>
      </w:pPr>
      <w:r>
        <w:t xml:space="preserve">Syntax</w:t>
      </w:r>
    </w:p>
    <w:p>
      <w:pPr>
        <w:pStyle w:val="SourceCode"/>
      </w:pPr>
      <w:r>
        <w:rPr>
          <w:rStyle w:val="NormalTok"/>
        </w:rPr>
        <w:t xml:space="preserve">result = obj.AxCreateLink(sourcePath, linkPath)</w:t>
      </w:r>
    </w:p>
    <w:bookmarkEnd w:id="1213"/>
    <w:bookmarkStart w:id="1214" w:name="parameters-1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sourcePath</w:t>
            </w:r>
          </w:p>
        </w:tc>
        <w:tc>
          <w:tcPr/>
          <w:p>
            <w:pPr>
              <w:pStyle w:val="Compact"/>
            </w:pPr>
            <w:r>
              <w:t xml:space="preserve">String</w:t>
            </w:r>
          </w:p>
        </w:tc>
        <w:tc>
          <w:tcPr/>
          <w:p>
            <w:pPr>
              <w:pStyle w:val="Compact"/>
            </w:pPr>
            <w:r>
              <w:t xml:space="preserve">Yes</w:t>
            </w:r>
          </w:p>
        </w:tc>
        <w:tc>
          <w:tcPr/>
          <w:p>
            <w:pPr>
              <w:pStyle w:val="Compact"/>
            </w:pPr>
            <w:r>
              <w:t xml:space="preserve">The path of the existing file to link to.</w:t>
            </w:r>
          </w:p>
        </w:tc>
      </w:tr>
      <w:tr>
        <w:tc>
          <w:tcPr/>
          <w:p>
            <w:pPr>
              <w:pStyle w:val="Compact"/>
            </w:pPr>
            <w:r>
              <w:t xml:space="preserve">linkPath</w:t>
            </w:r>
          </w:p>
        </w:tc>
        <w:tc>
          <w:tcPr/>
          <w:p>
            <w:pPr>
              <w:pStyle w:val="Compact"/>
            </w:pPr>
            <w:r>
              <w:t xml:space="preserve">String</w:t>
            </w:r>
          </w:p>
        </w:tc>
        <w:tc>
          <w:tcPr/>
          <w:p>
            <w:pPr>
              <w:pStyle w:val="Compact"/>
            </w:pPr>
            <w:r>
              <w:t xml:space="preserve">Yes</w:t>
            </w:r>
          </w:p>
        </w:tc>
        <w:tc>
          <w:tcPr/>
          <w:p>
            <w:pPr>
              <w:pStyle w:val="Compact"/>
            </w:pPr>
            <w:r>
              <w:t xml:space="preserve">The path of the new hard link to create.</w:t>
            </w:r>
          </w:p>
        </w:tc>
      </w:tr>
    </w:tbl>
    <w:bookmarkEnd w:id="1214"/>
    <w:bookmarkStart w:id="1215" w:name="return-value-28"/>
    <w:p>
      <w:pPr>
        <w:pStyle w:val="Heading2"/>
      </w:pPr>
      <w:r>
        <w:t xml:space="preserve">Return Value</w:t>
      </w:r>
    </w:p>
    <w:p>
      <w:pPr>
        <w:pStyle w:val="Compact"/>
        <w:numPr>
          <w:ilvl w:val="0"/>
          <w:numId w:val="1339"/>
        </w:numPr>
      </w:pPr>
      <w:r>
        <w:rPr>
          <w:b/>
          <w:bCs/>
        </w:rPr>
        <w:t xml:space="preserve">Boolean</w:t>
      </w:r>
      <w:r>
        <w:t xml:space="preserve">: Returns</w:t>
      </w:r>
      <w:r>
        <w:t xml:space="preserve"> </w:t>
      </w:r>
      <w:r>
        <w:rPr>
          <w:rStyle w:val="VerbatimChar"/>
        </w:rPr>
        <w:t xml:space="preserve">True</w:t>
      </w:r>
      <w:r>
        <w:t xml:space="preserve"> </w:t>
      </w:r>
      <w:r>
        <w:t xml:space="preserve">when the hard link was created successfully.</w:t>
      </w:r>
    </w:p>
    <w:p>
      <w:pPr>
        <w:pStyle w:val="Compact"/>
        <w:numPr>
          <w:ilvl w:val="0"/>
          <w:numId w:val="1339"/>
        </w:numPr>
      </w:pPr>
      <w:r>
        <w:rPr>
          <w:b/>
          <w:bCs/>
        </w:rPr>
        <w:t xml:space="preserve">Boolean</w:t>
      </w:r>
      <w:r>
        <w:t xml:space="preserve">: Returns</w:t>
      </w:r>
      <w:r>
        <w:t xml:space="preserve"> </w:t>
      </w:r>
      <w:r>
        <w:rPr>
          <w:rStyle w:val="VerbatimChar"/>
        </w:rPr>
        <w:t xml:space="preserve">False</w:t>
      </w:r>
      <w:r>
        <w:t xml:space="preserve"> </w:t>
      </w:r>
      <w:r>
        <w:t xml:space="preserve">when fewer than two arguments are provided, either path is empty, or the operation fails.</w:t>
      </w:r>
    </w:p>
    <w:bookmarkEnd w:id="1215"/>
    <w:bookmarkStart w:id="1216" w:name="remarks-94"/>
    <w:p>
      <w:pPr>
        <w:pStyle w:val="Heading2"/>
      </w:pPr>
      <w:r>
        <w:t xml:space="preserve">Remarks</w:t>
      </w:r>
    </w:p>
    <w:p>
      <w:pPr>
        <w:pStyle w:val="Compact"/>
        <w:numPr>
          <w:ilvl w:val="0"/>
          <w:numId w:val="1340"/>
        </w:numPr>
      </w:pPr>
      <w:r>
        <w:t xml:space="preserve">Hard links share the same inode as the source; deleting one does not remove the other.</w:t>
      </w:r>
    </w:p>
    <w:p>
      <w:pPr>
        <w:pStyle w:val="Compact"/>
        <w:numPr>
          <w:ilvl w:val="0"/>
          <w:numId w:val="1340"/>
        </w:numPr>
      </w:pPr>
      <w:r>
        <w:t xml:space="preserve">Some restricted environments or file system types may deny link creation.</w:t>
      </w:r>
    </w:p>
    <w:p>
      <w:pPr>
        <w:pStyle w:val="Compact"/>
        <w:numPr>
          <w:ilvl w:val="0"/>
          <w:numId w:val="1340"/>
        </w:numPr>
      </w:pPr>
      <w:r>
        <w:t xml:space="preserve">Method names are case-insensitive in VBScript dispatch.</w:t>
      </w:r>
    </w:p>
    <w:bookmarkEnd w:id="1216"/>
    <w:bookmarkStart w:id="1217" w:name="example-3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ntrolFlowTok"/>
        </w:rPr>
        <w:t xml:space="preserve">If</w:t>
      </w:r>
      <w:r>
        <w:rPr>
          <w:rStyle w:val="NormalTok"/>
        </w:rPr>
        <w:t xml:space="preserve"> ax.AxCreateLink</w:t>
      </w:r>
      <w:r>
        <w:rPr>
          <w:rStyle w:val="OtherTok"/>
        </w:rPr>
        <w:t xml:space="preserve">(</w:t>
      </w:r>
      <w:r>
        <w:rPr>
          <w:rStyle w:val="StringTok"/>
        </w:rPr>
        <w:t xml:space="preserve">"/var/data/original.txt"</w:t>
      </w:r>
      <w:r>
        <w:rPr>
          <w:rStyle w:val="OtherTok"/>
        </w:rPr>
        <w:t xml:space="preserve">,</w:t>
      </w:r>
      <w:r>
        <w:rPr>
          <w:rStyle w:val="NormalTok"/>
        </w:rPr>
        <w:t xml:space="preserve"> </w:t>
      </w:r>
      <w:r>
        <w:rPr>
          <w:rStyle w:val="StringTok"/>
        </w:rPr>
        <w:t xml:space="preserve">"/var/data/backup.txt"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"Hard link created."</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17"/>
    <w:bookmarkStart w:id="1218" w:name="api-reference-25"/>
    <w:p>
      <w:pPr>
        <w:pStyle w:val="Heading2"/>
      </w:pPr>
      <w:r>
        <w:t xml:space="preserve">API Reference</w:t>
      </w:r>
    </w:p>
    <w:p>
      <w:pPr>
        <w:pStyle w:val="Compact"/>
        <w:numPr>
          <w:ilvl w:val="0"/>
          <w:numId w:val="1341"/>
        </w:numPr>
      </w:pPr>
      <w:r>
        <w:rPr>
          <w:b/>
          <w:bCs/>
        </w:rPr>
        <w:t xml:space="preserve">Object</w:t>
      </w:r>
      <w:r>
        <w:t xml:space="preserve">:</w:t>
      </w:r>
      <w:r>
        <w:t xml:space="preserve"> </w:t>
      </w:r>
      <w:r>
        <w:rPr>
          <w:rStyle w:val="VerbatimChar"/>
        </w:rPr>
        <w:t xml:space="preserve">G3AXON.FUNCTIONS</w:t>
      </w:r>
    </w:p>
    <w:p>
      <w:pPr>
        <w:pStyle w:val="Compact"/>
        <w:numPr>
          <w:ilvl w:val="0"/>
          <w:numId w:val="1341"/>
        </w:numPr>
      </w:pPr>
      <w:r>
        <w:rPr>
          <w:b/>
          <w:bCs/>
        </w:rPr>
        <w:t xml:space="preserve">Method</w:t>
      </w:r>
      <w:r>
        <w:t xml:space="preserve">:</w:t>
      </w:r>
      <w:r>
        <w:t xml:space="preserve"> </w:t>
      </w:r>
      <w:r>
        <w:rPr>
          <w:rStyle w:val="VerbatimChar"/>
        </w:rPr>
        <w:t xml:space="preserve">AxCreateLink</w:t>
      </w:r>
    </w:p>
    <w:p>
      <w:pPr>
        <w:pStyle w:val="Compact"/>
        <w:numPr>
          <w:ilvl w:val="0"/>
          <w:numId w:val="1341"/>
        </w:numPr>
      </w:pPr>
      <w:r>
        <w:rPr>
          <w:b/>
          <w:bCs/>
        </w:rPr>
        <w:t xml:space="preserve">Arguments</w:t>
      </w:r>
      <w:r>
        <w:t xml:space="preserve">:</w:t>
      </w:r>
      <w:r>
        <w:t xml:space="preserve"> </w:t>
      </w:r>
      <w:r>
        <w:rPr>
          <w:rStyle w:val="VerbatimChar"/>
        </w:rPr>
        <w:t xml:space="preserve">sourcePath As String, linkPath As String</w:t>
      </w:r>
    </w:p>
    <w:p>
      <w:pPr>
        <w:pStyle w:val="Compact"/>
        <w:numPr>
          <w:ilvl w:val="0"/>
          <w:numId w:val="1341"/>
        </w:numPr>
      </w:pPr>
      <w:r>
        <w:rPr>
          <w:b/>
          <w:bCs/>
        </w:rPr>
        <w:t xml:space="preserve">Returns</w:t>
      </w:r>
      <w:r>
        <w:t xml:space="preserve">:</w:t>
      </w:r>
      <w:r>
        <w:t xml:space="preserve"> </w:t>
      </w:r>
      <w:r>
        <w:rPr>
          <w:rStyle w:val="VerbatimChar"/>
        </w:rPr>
        <w:t xml:space="preserve">Boolean</w:t>
      </w:r>
      <w:r>
        <w:t xml:space="preserve"> </w:t>
      </w:r>
      <w:r>
        <w:t xml:space="preserve">(</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failure)</w:t>
      </w:r>
    </w:p>
    <w:bookmarkEnd w:id="1218"/>
    <w:bookmarkEnd w:id="1219"/>
    <w:bookmarkStart w:id="1228" w:name="change-file-owner-and-group"/>
    <w:p>
      <w:pPr>
        <w:pStyle w:val="Heading1"/>
      </w:pPr>
      <w:r>
        <w:t xml:space="preserve">Change File Owner and Group</w:t>
      </w:r>
    </w:p>
    <w:bookmarkStart w:id="1220" w:name="overview-68"/>
    <w:p>
      <w:pPr>
        <w:pStyle w:val="Heading2"/>
      </w:pPr>
      <w:r>
        <w:t xml:space="preserve">Overview</w:t>
      </w:r>
    </w:p>
    <w:p>
      <w:pPr>
        <w:pStyle w:val="FirstParagraph"/>
      </w:pPr>
      <w:r>
        <w:t xml:space="preserve">Changes the owner and group of a file by specifying numeric user ID (uid) and group ID (gid).</w:t>
      </w:r>
    </w:p>
    <w:bookmarkEnd w:id="1220"/>
    <w:bookmarkStart w:id="1221" w:name="prerequisites-2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21"/>
    <w:bookmarkStart w:id="1222" w:name="syntax-85"/>
    <w:p>
      <w:pPr>
        <w:pStyle w:val="Heading2"/>
      </w:pPr>
      <w:r>
        <w:t xml:space="preserve">Syntax</w:t>
      </w:r>
    </w:p>
    <w:p>
      <w:pPr>
        <w:pStyle w:val="SourceCode"/>
      </w:pPr>
      <w:r>
        <w:rPr>
          <w:rStyle w:val="NormalTok"/>
        </w:rPr>
        <w:t xml:space="preserve">result = obj.AxChangeOwner(path, uid, gid)</w:t>
      </w:r>
    </w:p>
    <w:bookmarkEnd w:id="1222"/>
    <w:bookmarkStart w:id="1223" w:name="parameters-1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path</w:t>
            </w:r>
          </w:p>
        </w:tc>
        <w:tc>
          <w:tcPr/>
          <w:p>
            <w:pPr>
              <w:pStyle w:val="Compact"/>
            </w:pPr>
            <w:r>
              <w:t xml:space="preserve">String</w:t>
            </w:r>
          </w:p>
        </w:tc>
        <w:tc>
          <w:tcPr/>
          <w:p>
            <w:pPr>
              <w:pStyle w:val="Compact"/>
            </w:pPr>
            <w:r>
              <w:t xml:space="preserve">Yes</w:t>
            </w:r>
          </w:p>
        </w:tc>
        <w:tc>
          <w:tcPr/>
          <w:p>
            <w:pPr>
              <w:pStyle w:val="Compact"/>
            </w:pPr>
            <w:r>
              <w:t xml:space="preserve">The file path to change ownership of.</w:t>
            </w:r>
          </w:p>
        </w:tc>
      </w:tr>
      <w:tr>
        <w:tc>
          <w:tcPr/>
          <w:p>
            <w:pPr>
              <w:pStyle w:val="Compact"/>
            </w:pPr>
            <w:r>
              <w:t xml:space="preserve">uid</w:t>
            </w:r>
          </w:p>
        </w:tc>
        <w:tc>
          <w:tcPr/>
          <w:p>
            <w:pPr>
              <w:pStyle w:val="Compact"/>
            </w:pPr>
            <w:r>
              <w:t xml:space="preserve">Integer</w:t>
            </w:r>
          </w:p>
        </w:tc>
        <w:tc>
          <w:tcPr/>
          <w:p>
            <w:pPr>
              <w:pStyle w:val="Compact"/>
            </w:pPr>
            <w:r>
              <w:t xml:space="preserve">Yes</w:t>
            </w:r>
          </w:p>
        </w:tc>
        <w:tc>
          <w:tcPr/>
          <w:p>
            <w:pPr>
              <w:pStyle w:val="Compact"/>
            </w:pPr>
            <w:r>
              <w:t xml:space="preserve">The numeric user ID of the new owner.</w:t>
            </w:r>
          </w:p>
        </w:tc>
      </w:tr>
      <w:tr>
        <w:tc>
          <w:tcPr/>
          <w:p>
            <w:pPr>
              <w:pStyle w:val="Compact"/>
            </w:pPr>
            <w:r>
              <w:t xml:space="preserve">gid</w:t>
            </w:r>
          </w:p>
        </w:tc>
        <w:tc>
          <w:tcPr/>
          <w:p>
            <w:pPr>
              <w:pStyle w:val="Compact"/>
            </w:pPr>
            <w:r>
              <w:t xml:space="preserve">Integer</w:t>
            </w:r>
          </w:p>
        </w:tc>
        <w:tc>
          <w:tcPr/>
          <w:p>
            <w:pPr>
              <w:pStyle w:val="Compact"/>
            </w:pPr>
            <w:r>
              <w:t xml:space="preserve">Yes</w:t>
            </w:r>
          </w:p>
        </w:tc>
        <w:tc>
          <w:tcPr/>
          <w:p>
            <w:pPr>
              <w:pStyle w:val="Compact"/>
            </w:pPr>
            <w:r>
              <w:t xml:space="preserve">The numeric group ID of the new owner group.</w:t>
            </w:r>
          </w:p>
        </w:tc>
      </w:tr>
    </w:tbl>
    <w:bookmarkEnd w:id="1223"/>
    <w:bookmarkStart w:id="1224" w:name="return-value-29"/>
    <w:p>
      <w:pPr>
        <w:pStyle w:val="Heading2"/>
      </w:pPr>
      <w:r>
        <w:t xml:space="preserve">Return Value</w:t>
      </w:r>
    </w:p>
    <w:p>
      <w:pPr>
        <w:pStyle w:val="Compact"/>
        <w:numPr>
          <w:ilvl w:val="0"/>
          <w:numId w:val="1342"/>
        </w:numPr>
      </w:pPr>
      <w:r>
        <w:rPr>
          <w:b/>
          <w:bCs/>
        </w:rPr>
        <w:t xml:space="preserve">Boolean</w:t>
      </w:r>
      <w:r>
        <w:t xml:space="preserve">: Returns</w:t>
      </w:r>
      <w:r>
        <w:t xml:space="preserve"> </w:t>
      </w:r>
      <w:r>
        <w:rPr>
          <w:rStyle w:val="VerbatimChar"/>
        </w:rPr>
        <w:t xml:space="preserve">True</w:t>
      </w:r>
      <w:r>
        <w:t xml:space="preserve"> </w:t>
      </w:r>
      <w:r>
        <w:t xml:space="preserve">when ownership was changed successfully.</w:t>
      </w:r>
    </w:p>
    <w:p>
      <w:pPr>
        <w:pStyle w:val="Compact"/>
        <w:numPr>
          <w:ilvl w:val="0"/>
          <w:numId w:val="1342"/>
        </w:numPr>
      </w:pPr>
      <w:r>
        <w:rPr>
          <w:b/>
          <w:bCs/>
        </w:rPr>
        <w:t xml:space="preserve">Boolean</w:t>
      </w:r>
      <w:r>
        <w:t xml:space="preserve">: Returns</w:t>
      </w:r>
      <w:r>
        <w:t xml:space="preserve"> </w:t>
      </w:r>
      <w:r>
        <w:rPr>
          <w:rStyle w:val="VerbatimChar"/>
        </w:rPr>
        <w:t xml:space="preserve">False</w:t>
      </w:r>
      <w:r>
        <w:t xml:space="preserve"> </w:t>
      </w:r>
      <w:r>
        <w:t xml:space="preserve">when fewer than three arguments are provided, the path is empty, or the operation fails due to permissions.</w:t>
      </w:r>
    </w:p>
    <w:bookmarkEnd w:id="1224"/>
    <w:bookmarkStart w:id="1225" w:name="remarks-95"/>
    <w:p>
      <w:pPr>
        <w:pStyle w:val="Heading2"/>
      </w:pPr>
      <w:r>
        <w:t xml:space="preserve">Remarks</w:t>
      </w:r>
    </w:p>
    <w:p>
      <w:pPr>
        <w:pStyle w:val="Compact"/>
        <w:numPr>
          <w:ilvl w:val="0"/>
          <w:numId w:val="1343"/>
        </w:numPr>
      </w:pPr>
      <w:r>
        <w:t xml:space="preserve">On Windows and non-privileged Unix environments, this method commonly returns</w:t>
      </w:r>
      <w:r>
        <w:t xml:space="preserve"> </w:t>
      </w:r>
      <w:r>
        <w:rPr>
          <w:rStyle w:val="VerbatimChar"/>
        </w:rPr>
        <w:t xml:space="preserve">False</w:t>
      </w:r>
      <w:r>
        <w:t xml:space="preserve">.</w:t>
      </w:r>
    </w:p>
    <w:p>
      <w:pPr>
        <w:pStyle w:val="Compact"/>
        <w:numPr>
          <w:ilvl w:val="0"/>
          <w:numId w:val="1343"/>
        </w:numPr>
      </w:pPr>
      <w:r>
        <w:t xml:space="preserve">Typically requires root/administrator privileges on Unix-like systems.</w:t>
      </w:r>
    </w:p>
    <w:p>
      <w:pPr>
        <w:pStyle w:val="Compact"/>
        <w:numPr>
          <w:ilvl w:val="0"/>
          <w:numId w:val="1343"/>
        </w:numPr>
      </w:pPr>
      <w:r>
        <w:t xml:space="preserve">Method names are case-insensitive in VBScript dispatch.</w:t>
      </w:r>
    </w:p>
    <w:bookmarkEnd w:id="1225"/>
    <w:bookmarkStart w:id="1226" w:name="example-3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Change owner to root:root (uid=0, gid=0)</w:t>
      </w:r>
      <w:r>
        <w:br/>
      </w:r>
      <w:r>
        <w:rPr>
          <w:rStyle w:val="ControlFlowTok"/>
        </w:rPr>
        <w:t xml:space="preserve">If</w:t>
      </w:r>
      <w:r>
        <w:rPr>
          <w:rStyle w:val="NormalTok"/>
        </w:rPr>
        <w:t xml:space="preserve"> ax.AxChangeOwner</w:t>
      </w:r>
      <w:r>
        <w:rPr>
          <w:rStyle w:val="OtherTok"/>
        </w:rPr>
        <w:t xml:space="preserve">(</w:t>
      </w:r>
      <w:r>
        <w:rPr>
          <w:rStyle w:val="StringTok"/>
        </w:rPr>
        <w:t xml:space="preserve">"/var/data/file.txt"</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"Owner changed."</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(insufficient privileges)."</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26"/>
    <w:bookmarkStart w:id="1227" w:name="api-reference-26"/>
    <w:p>
      <w:pPr>
        <w:pStyle w:val="Heading2"/>
      </w:pPr>
      <w:r>
        <w:t xml:space="preserve">API Reference</w:t>
      </w:r>
    </w:p>
    <w:p>
      <w:pPr>
        <w:pStyle w:val="Compact"/>
        <w:numPr>
          <w:ilvl w:val="0"/>
          <w:numId w:val="1344"/>
        </w:numPr>
      </w:pPr>
      <w:r>
        <w:rPr>
          <w:b/>
          <w:bCs/>
        </w:rPr>
        <w:t xml:space="preserve">Object</w:t>
      </w:r>
      <w:r>
        <w:t xml:space="preserve">:</w:t>
      </w:r>
      <w:r>
        <w:t xml:space="preserve"> </w:t>
      </w:r>
      <w:r>
        <w:rPr>
          <w:rStyle w:val="VerbatimChar"/>
        </w:rPr>
        <w:t xml:space="preserve">G3AXON.FUNCTIONS</w:t>
      </w:r>
    </w:p>
    <w:p>
      <w:pPr>
        <w:pStyle w:val="Compact"/>
        <w:numPr>
          <w:ilvl w:val="0"/>
          <w:numId w:val="1344"/>
        </w:numPr>
      </w:pPr>
      <w:r>
        <w:rPr>
          <w:b/>
          <w:bCs/>
        </w:rPr>
        <w:t xml:space="preserve">Method</w:t>
      </w:r>
      <w:r>
        <w:t xml:space="preserve">:</w:t>
      </w:r>
      <w:r>
        <w:t xml:space="preserve"> </w:t>
      </w:r>
      <w:r>
        <w:rPr>
          <w:rStyle w:val="VerbatimChar"/>
        </w:rPr>
        <w:t xml:space="preserve">AxChangeOwner</w:t>
      </w:r>
    </w:p>
    <w:p>
      <w:pPr>
        <w:pStyle w:val="Compact"/>
        <w:numPr>
          <w:ilvl w:val="0"/>
          <w:numId w:val="1344"/>
        </w:numPr>
      </w:pPr>
      <w:r>
        <w:rPr>
          <w:b/>
          <w:bCs/>
        </w:rPr>
        <w:t xml:space="preserve">Arguments</w:t>
      </w:r>
      <w:r>
        <w:t xml:space="preserve">:</w:t>
      </w:r>
      <w:r>
        <w:t xml:space="preserve"> </w:t>
      </w:r>
      <w:r>
        <w:rPr>
          <w:rStyle w:val="VerbatimChar"/>
        </w:rPr>
        <w:t xml:space="preserve">path As String, uid As Integer, gid As Integer</w:t>
      </w:r>
    </w:p>
    <w:p>
      <w:pPr>
        <w:pStyle w:val="Compact"/>
        <w:numPr>
          <w:ilvl w:val="0"/>
          <w:numId w:val="1344"/>
        </w:numPr>
      </w:pPr>
      <w:r>
        <w:rPr>
          <w:b/>
          <w:bCs/>
        </w:rPr>
        <w:t xml:space="preserve">Returns</w:t>
      </w:r>
      <w:r>
        <w:t xml:space="preserve">:</w:t>
      </w:r>
      <w:r>
        <w:t xml:space="preserve"> </w:t>
      </w:r>
      <w:r>
        <w:rPr>
          <w:rStyle w:val="VerbatimChar"/>
        </w:rPr>
        <w:t xml:space="preserve">Boolean</w:t>
      </w:r>
      <w:r>
        <w:t xml:space="preserve"> </w:t>
      </w:r>
      <w:r>
        <w:t xml:space="preserve">(</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failure)</w:t>
      </w:r>
    </w:p>
    <w:bookmarkEnd w:id="1227"/>
    <w:bookmarkEnd w:id="1228"/>
    <w:bookmarkStart w:id="1237" w:name="shut-down-the-axonasp-server"/>
    <w:p>
      <w:pPr>
        <w:pStyle w:val="Heading1"/>
      </w:pPr>
      <w:r>
        <w:t xml:space="preserve">Shut Down the AxonASP Server</w:t>
      </w:r>
    </w:p>
    <w:bookmarkStart w:id="1229" w:name="overview-69"/>
    <w:p>
      <w:pPr>
        <w:pStyle w:val="Heading2"/>
      </w:pPr>
      <w:r>
        <w:t xml:space="preserve">Overview</w:t>
      </w:r>
    </w:p>
    <w:p>
      <w:pPr>
        <w:pStyle w:val="FirstParagraph"/>
      </w:pPr>
      <w:r>
        <w:t xml:space="preserve">Immediately terminates the AxonASP server process. This method requires the shutdown function to be enabled in the configuration file before it can execute.</w:t>
      </w:r>
    </w:p>
    <w:bookmarkEnd w:id="1229"/>
    <w:bookmarkStart w:id="1230" w:name="prerequisites-2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p>
      <w:pPr>
        <w:pStyle w:val="BodyText"/>
      </w:pPr>
      <w:r>
        <w:t xml:space="preserve">Enable the shutdown function in</w:t>
      </w:r>
      <w:r>
        <w:t xml:space="preserve"> </w:t>
      </w:r>
      <w:r>
        <w:rPr>
          <w:rStyle w:val="VerbatimChar"/>
        </w:rPr>
        <w:t xml:space="preserve">config/axonasp.toml</w:t>
      </w:r>
      <w:r>
        <w:t xml:space="preserve">:</w:t>
      </w:r>
    </w:p>
    <w:p>
      <w:pPr>
        <w:pStyle w:val="SourceCode"/>
      </w:pPr>
      <w:r>
        <w:rPr>
          <w:rStyle w:val="KeywordTok"/>
        </w:rPr>
        <w:t xml:space="preserve">[axfunctions]</w:t>
      </w:r>
      <w:r>
        <w:br/>
      </w:r>
      <w:r>
        <w:rPr>
          <w:rStyle w:val="DataTypeTok"/>
        </w:rPr>
        <w:t xml:space="preserve">enable_axservershutdown_function</w:t>
      </w:r>
      <w:r>
        <w:rPr>
          <w:rStyle w:val="NormalTok"/>
        </w:rPr>
        <w:t xml:space="preserve"> </w:t>
      </w:r>
      <w:r>
        <w:rPr>
          <w:rStyle w:val="OperatorTok"/>
        </w:rPr>
        <w:t xml:space="preserve">=</w:t>
      </w:r>
      <w:r>
        <w:rPr>
          <w:rStyle w:val="NormalTok"/>
        </w:rPr>
        <w:t xml:space="preserve"> </w:t>
      </w:r>
      <w:r>
        <w:rPr>
          <w:rStyle w:val="ConstantTok"/>
        </w:rPr>
        <w:t xml:space="preserve">true</w:t>
      </w:r>
    </w:p>
    <w:bookmarkEnd w:id="1230"/>
    <w:bookmarkStart w:id="1231" w:name="syntax-86"/>
    <w:p>
      <w:pPr>
        <w:pStyle w:val="Heading2"/>
      </w:pPr>
      <w:r>
        <w:t xml:space="preserve">Syntax</w:t>
      </w:r>
    </w:p>
    <w:p>
      <w:pPr>
        <w:pStyle w:val="SourceCode"/>
      </w:pPr>
      <w:r>
        <w:rPr>
          <w:rStyle w:val="NormalTok"/>
        </w:rPr>
        <w:t xml:space="preserve">result = ax.AxShutdownAxonASPServer()</w:t>
      </w:r>
    </w:p>
    <w:bookmarkEnd w:id="1231"/>
    <w:bookmarkStart w:id="1232" w:name="parameters-14"/>
    <w:p>
      <w:pPr>
        <w:pStyle w:val="Heading2"/>
      </w:pPr>
      <w:r>
        <w:t xml:space="preserve">Parameters</w:t>
      </w:r>
    </w:p>
    <w:p>
      <w:pPr>
        <w:pStyle w:val="FirstParagraph"/>
      </w:pPr>
      <w:r>
        <w:t xml:space="preserve">This method does not accept any parameters.</w:t>
      </w:r>
    </w:p>
    <w:bookmarkEnd w:id="1232"/>
    <w:bookmarkStart w:id="1233" w:name="return-value-30"/>
    <w:p>
      <w:pPr>
        <w:pStyle w:val="Heading2"/>
      </w:pPr>
      <w:r>
        <w:t xml:space="preserve">Return Value</w:t>
      </w:r>
    </w:p>
    <w:p>
      <w:pPr>
        <w:pStyle w:val="Compact"/>
        <w:numPr>
          <w:ilvl w:val="0"/>
          <w:numId w:val="1345"/>
        </w:numPr>
      </w:pPr>
      <w:r>
        <w:rPr>
          <w:b/>
          <w:bCs/>
        </w:rPr>
        <w:t xml:space="preserve">Boolean</w:t>
      </w:r>
      <w:r>
        <w:rPr>
          <w:b/>
          <w:bCs/>
        </w:rPr>
        <w:t xml:space="preserve"> </w:t>
      </w:r>
      <w:r>
        <w:rPr>
          <w:rStyle w:val="VerbatimChar"/>
          <w:b/>
          <w:bCs/>
        </w:rPr>
        <w:t xml:space="preserve">True</w:t>
      </w:r>
      <w:r>
        <w:t xml:space="preserve">: The shutdown was triggered and the server process will terminate immediately.</w:t>
      </w:r>
    </w:p>
    <w:p>
      <w:pPr>
        <w:pStyle w:val="Compact"/>
        <w:numPr>
          <w:ilvl w:val="0"/>
          <w:numId w:val="1345"/>
        </w:numPr>
      </w:pPr>
      <w:r>
        <w:rPr>
          <w:b/>
          <w:bCs/>
        </w:rPr>
        <w:t xml:space="preserve">Boolean</w:t>
      </w:r>
      <w:r>
        <w:rPr>
          <w:b/>
          <w:bCs/>
        </w:rPr>
        <w:t xml:space="preserve"> </w:t>
      </w:r>
      <w:r>
        <w:rPr>
          <w:rStyle w:val="VerbatimChar"/>
          <w:b/>
          <w:bCs/>
        </w:rPr>
        <w:t xml:space="preserve">False</w:t>
      </w:r>
      <w:r>
        <w:t xml:space="preserve">: The</w:t>
      </w:r>
      <w:r>
        <w:t xml:space="preserve"> </w:t>
      </w:r>
      <w:r>
        <w:rPr>
          <w:rStyle w:val="VerbatimChar"/>
        </w:rPr>
        <w:t xml:space="preserve">enable_axservershutdown_function</w:t>
      </w:r>
      <w:r>
        <w:t xml:space="preserve"> </w:t>
      </w:r>
      <w:r>
        <w:t xml:space="preserve">configuration key is</w:t>
      </w:r>
      <w:r>
        <w:t xml:space="preserve"> </w:t>
      </w:r>
      <w:r>
        <w:rPr>
          <w:rStyle w:val="VerbatimChar"/>
        </w:rPr>
        <w:t xml:space="preserve">false</w:t>
      </w:r>
      <w:r>
        <w:t xml:space="preserve"> </w:t>
      </w:r>
      <w:r>
        <w:t xml:space="preserve">or absent. The server continues running.</w:t>
      </w:r>
    </w:p>
    <w:bookmarkEnd w:id="1233"/>
    <w:bookmarkStart w:id="1234" w:name="remarks-96"/>
    <w:p>
      <w:pPr>
        <w:pStyle w:val="Heading2"/>
      </w:pPr>
      <w:r>
        <w:t xml:space="preserve">Remarks</w:t>
      </w:r>
    </w:p>
    <w:p>
      <w:pPr>
        <w:pStyle w:val="Compact"/>
        <w:numPr>
          <w:ilvl w:val="0"/>
          <w:numId w:val="1346"/>
        </w:numPr>
      </w:pPr>
      <w:r>
        <w:rPr>
          <w:b/>
          <w:bCs/>
        </w:rPr>
        <w:t xml:space="preserve">This call is irreversible.</w:t>
      </w:r>
      <w:r>
        <w:t xml:space="preserve"> </w:t>
      </w:r>
      <w:r>
        <w:t xml:space="preserve">All in-flight requests are immediately cancelled when the server exits.</w:t>
      </w:r>
    </w:p>
    <w:p>
      <w:pPr>
        <w:pStyle w:val="Compact"/>
        <w:numPr>
          <w:ilvl w:val="0"/>
          <w:numId w:val="1346"/>
        </w:numPr>
      </w:pPr>
      <w:r>
        <w:t xml:space="preserve">Only expose this method in a secured administrative page. Do not make it publicly accessible.</w:t>
      </w:r>
    </w:p>
    <w:p>
      <w:pPr>
        <w:pStyle w:val="Compact"/>
        <w:numPr>
          <w:ilvl w:val="0"/>
          <w:numId w:val="1346"/>
        </w:numPr>
      </w:pPr>
      <w:r>
        <w:t xml:space="preserve">The method calls</w:t>
      </w:r>
      <w:r>
        <w:t xml:space="preserve"> </w:t>
      </w:r>
      <w:r>
        <w:rPr>
          <w:rStyle w:val="VerbatimChar"/>
        </w:rPr>
        <w:t xml:space="preserve">os.Exit</w:t>
      </w:r>
      <w:r>
        <w:t xml:space="preserve"> </w:t>
      </w:r>
      <w:r>
        <w:t xml:space="preserve">internally. No further code in the current script executes after a</w:t>
      </w:r>
      <w:r>
        <w:t xml:space="preserve"> </w:t>
      </w:r>
      <w:r>
        <w:rPr>
          <w:rStyle w:val="VerbatimChar"/>
        </w:rPr>
        <w:t xml:space="preserve">True</w:t>
      </w:r>
      <w:r>
        <w:t xml:space="preserve"> </w:t>
      </w:r>
      <w:r>
        <w:t xml:space="preserve">return.</w:t>
      </w:r>
    </w:p>
    <w:p>
      <w:pPr>
        <w:pStyle w:val="Compact"/>
        <w:numPr>
          <w:ilvl w:val="0"/>
          <w:numId w:val="1346"/>
        </w:numPr>
      </w:pPr>
      <w:r>
        <w:t xml:space="preserve">Method names are case-insensitive.</w:t>
      </w:r>
    </w:p>
    <w:bookmarkEnd w:id="1234"/>
    <w:bookmarkStart w:id="1235" w:name="example-3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result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result = ax.AxShutdownAxonASPServer</w:t>
      </w:r>
      <w:r>
        <w:rPr>
          <w:rStyle w:val="OtherTok"/>
        </w:rPr>
        <w:t xml:space="preserve">()</w:t>
      </w:r>
      <w:r>
        <w:br/>
      </w:r>
      <w:r>
        <w:br/>
      </w:r>
      <w:r>
        <w:rPr>
          <w:rStyle w:val="ControlFlowTok"/>
        </w:rPr>
        <w:t xml:space="preserve">If</w:t>
      </w:r>
      <w:r>
        <w:rPr>
          <w:rStyle w:val="NormalTok"/>
        </w:rPr>
        <w:t xml:space="preserve"> result </w:t>
      </w:r>
      <w:r>
        <w:rPr>
          <w:rStyle w:val="ControlFlowTok"/>
        </w:rPr>
        <w:t xml:space="preserve">Then</w:t>
      </w:r>
      <w:r>
        <w:br/>
      </w:r>
      <w:r>
        <w:rPr>
          <w:rStyle w:val="NormalTok"/>
        </w:rPr>
        <w:t xml:space="preserve">    </w:t>
      </w:r>
      <w:r>
        <w:rPr>
          <w:rStyle w:val="CommentTok"/>
        </w:rPr>
        <w:t xml:space="preserve">' Execution never reaches here — server is terminating.</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"Shutdown is not enabled in the configuration."</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35"/>
    <w:bookmarkStart w:id="1236" w:name="api-reference-27"/>
    <w:p>
      <w:pPr>
        <w:pStyle w:val="Heading2"/>
      </w:pPr>
      <w:r>
        <w:t xml:space="preserve">API Reference</w:t>
      </w:r>
    </w:p>
    <w:p>
      <w:pPr>
        <w:pStyle w:val="Compact"/>
        <w:numPr>
          <w:ilvl w:val="0"/>
          <w:numId w:val="1347"/>
        </w:numPr>
      </w:pPr>
      <w:r>
        <w:rPr>
          <w:b/>
          <w:bCs/>
        </w:rPr>
        <w:t xml:space="preserve">Object</w:t>
      </w:r>
      <w:r>
        <w:t xml:space="preserve">:</w:t>
      </w:r>
      <w:r>
        <w:t xml:space="preserve"> </w:t>
      </w:r>
      <w:r>
        <w:rPr>
          <w:rStyle w:val="VerbatimChar"/>
        </w:rPr>
        <w:t xml:space="preserve">G3AXON.FUNCTIONS</w:t>
      </w:r>
    </w:p>
    <w:p>
      <w:pPr>
        <w:pStyle w:val="Compact"/>
        <w:numPr>
          <w:ilvl w:val="0"/>
          <w:numId w:val="1347"/>
        </w:numPr>
      </w:pPr>
      <w:r>
        <w:rPr>
          <w:b/>
          <w:bCs/>
        </w:rPr>
        <w:t xml:space="preserve">Method</w:t>
      </w:r>
      <w:r>
        <w:t xml:space="preserve">:</w:t>
      </w:r>
      <w:r>
        <w:t xml:space="preserve"> </w:t>
      </w:r>
      <w:r>
        <w:rPr>
          <w:rStyle w:val="VerbatimChar"/>
        </w:rPr>
        <w:t xml:space="preserve">AxShutdownAxonASPServer</w:t>
      </w:r>
    </w:p>
    <w:p>
      <w:pPr>
        <w:pStyle w:val="Compact"/>
        <w:numPr>
          <w:ilvl w:val="0"/>
          <w:numId w:val="1347"/>
        </w:numPr>
      </w:pPr>
      <w:r>
        <w:rPr>
          <w:b/>
          <w:bCs/>
        </w:rPr>
        <w:t xml:space="preserve">Arguments</w:t>
      </w:r>
      <w:r>
        <w:t xml:space="preserve">: None</w:t>
      </w:r>
    </w:p>
    <w:p>
      <w:pPr>
        <w:pStyle w:val="Compact"/>
        <w:numPr>
          <w:ilvl w:val="0"/>
          <w:numId w:val="1347"/>
        </w:numPr>
      </w:pPr>
      <w:r>
        <w:rPr>
          <w:b/>
          <w:bCs/>
        </w:rPr>
        <w:t xml:space="preserve">Returns</w:t>
      </w:r>
      <w:r>
        <w:t xml:space="preserve">: Boolean —</w:t>
      </w:r>
      <w:r>
        <w:t xml:space="preserve"> </w:t>
      </w:r>
      <w:r>
        <w:rPr>
          <w:rStyle w:val="VerbatimChar"/>
        </w:rPr>
        <w:t xml:space="preserve">True</w:t>
      </w:r>
      <w:r>
        <w:t xml:space="preserve"> </w:t>
      </w:r>
      <w:r>
        <w:t xml:space="preserve">if the server terminated;</w:t>
      </w:r>
      <w:r>
        <w:t xml:space="preserve"> </w:t>
      </w:r>
      <w:r>
        <w:rPr>
          <w:rStyle w:val="VerbatimChar"/>
        </w:rPr>
        <w:t xml:space="preserve">False</w:t>
      </w:r>
      <w:r>
        <w:t xml:space="preserve"> </w:t>
      </w:r>
      <w:r>
        <w:t xml:space="preserve">if shutdown is disabled in configuration</w:t>
      </w:r>
    </w:p>
    <w:bookmarkEnd w:id="1236"/>
    <w:bookmarkEnd w:id="1237"/>
    <w:bookmarkStart w:id="1251" w:name="change-the-current-working-directory"/>
    <w:p>
      <w:pPr>
        <w:pStyle w:val="Heading1"/>
      </w:pPr>
      <w:r>
        <w:t xml:space="preserve">Change the Current Working Directory</w:t>
      </w:r>
    </w:p>
    <w:bookmarkStart w:id="1238" w:name="overview-70"/>
    <w:p>
      <w:pPr>
        <w:pStyle w:val="Heading2"/>
      </w:pPr>
      <w:r>
        <w:t xml:space="preserve">Overview</w:t>
      </w:r>
    </w:p>
    <w:p>
      <w:pPr>
        <w:pStyle w:val="FirstParagraph"/>
      </w:pPr>
      <w:r>
        <w:t xml:space="preserve">Changes the current working directory of the AxonASP process to the specified path.</w:t>
      </w:r>
    </w:p>
    <w:bookmarkEnd w:id="1238"/>
    <w:bookmarkStart w:id="1239" w:name="prerequisites-2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39"/>
    <w:bookmarkStart w:id="1240" w:name="syntax-87"/>
    <w:p>
      <w:pPr>
        <w:pStyle w:val="Heading2"/>
      </w:pPr>
      <w:r>
        <w:t xml:space="preserve">Syntax</w:t>
      </w:r>
    </w:p>
    <w:p>
      <w:pPr>
        <w:pStyle w:val="SourceCode"/>
      </w:pPr>
      <w:r>
        <w:rPr>
          <w:rStyle w:val="NormalTok"/>
        </w:rPr>
        <w:t xml:space="preserve">result = obj.AxChangeDir(path)</w:t>
      </w:r>
    </w:p>
    <w:bookmarkEnd w:id="1240"/>
    <w:bookmarkStart w:id="1241" w:name="parameters-1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path</w:t>
            </w:r>
          </w:p>
        </w:tc>
        <w:tc>
          <w:tcPr/>
          <w:p>
            <w:pPr>
              <w:pStyle w:val="Compact"/>
            </w:pPr>
            <w:r>
              <w:t xml:space="preserve">String</w:t>
            </w:r>
          </w:p>
        </w:tc>
        <w:tc>
          <w:tcPr/>
          <w:p>
            <w:pPr>
              <w:pStyle w:val="Compact"/>
            </w:pPr>
            <w:r>
              <w:t xml:space="preserve">Yes</w:t>
            </w:r>
          </w:p>
        </w:tc>
        <w:tc>
          <w:tcPr/>
          <w:p>
            <w:pPr>
              <w:pStyle w:val="Compact"/>
            </w:pPr>
            <w:r>
              <w:t xml:space="preserve">The absolute or relative path of the directory to switch to.</w:t>
            </w:r>
          </w:p>
        </w:tc>
      </w:tr>
    </w:tbl>
    <w:bookmarkEnd w:id="1241"/>
    <w:bookmarkStart w:id="1242" w:name="return-value-31"/>
    <w:p>
      <w:pPr>
        <w:pStyle w:val="Heading2"/>
      </w:pPr>
      <w:r>
        <w:t xml:space="preserve">Return Value</w:t>
      </w:r>
    </w:p>
    <w:p>
      <w:pPr>
        <w:pStyle w:val="Compact"/>
        <w:numPr>
          <w:ilvl w:val="0"/>
          <w:numId w:val="1348"/>
        </w:numPr>
      </w:pPr>
      <w:r>
        <w:rPr>
          <w:b/>
          <w:bCs/>
        </w:rPr>
        <w:t xml:space="preserve">Boolean</w:t>
      </w:r>
      <w:r>
        <w:t xml:space="preserve">: Returns</w:t>
      </w:r>
      <w:r>
        <w:t xml:space="preserve"> </w:t>
      </w:r>
      <w:r>
        <w:rPr>
          <w:rStyle w:val="VerbatimChar"/>
        </w:rPr>
        <w:t xml:space="preserve">True</w:t>
      </w:r>
      <w:r>
        <w:t xml:space="preserve"> </w:t>
      </w:r>
      <w:r>
        <w:t xml:space="preserve">when the directory was changed successfully.</w:t>
      </w:r>
    </w:p>
    <w:p>
      <w:pPr>
        <w:pStyle w:val="Compact"/>
        <w:numPr>
          <w:ilvl w:val="0"/>
          <w:numId w:val="1348"/>
        </w:numPr>
      </w:pPr>
      <w:r>
        <w:rPr>
          <w:b/>
          <w:bCs/>
        </w:rPr>
        <w:t xml:space="preserve">Boolean</w:t>
      </w:r>
      <w:r>
        <w:t xml:space="preserve">: Returns</w:t>
      </w:r>
      <w:r>
        <w:t xml:space="preserve"> </w:t>
      </w:r>
      <w:r>
        <w:rPr>
          <w:rStyle w:val="VerbatimChar"/>
        </w:rPr>
        <w:t xml:space="preserve">False</w:t>
      </w:r>
      <w:r>
        <w:t xml:space="preserve"> </w:t>
      </w:r>
      <w:r>
        <w:t xml:space="preserve">when the path is invalid, inaccessible, or no argument is provided.</w:t>
      </w:r>
    </w:p>
    <w:bookmarkEnd w:id="1242"/>
    <w:bookmarkStart w:id="1243" w:name="remarks-97"/>
    <w:p>
      <w:pPr>
        <w:pStyle w:val="Heading2"/>
      </w:pPr>
      <w:r>
        <w:t xml:space="preserve">Remarks</w:t>
      </w:r>
    </w:p>
    <w:p>
      <w:pPr>
        <w:pStyle w:val="Compact"/>
        <w:numPr>
          <w:ilvl w:val="0"/>
          <w:numId w:val="1349"/>
        </w:numPr>
      </w:pPr>
      <w:r>
        <w:t xml:space="preserve">Changing the working directory affects the entire process. In a multi-threaded web server environment, use this function with caution because it may interfere with other concurrent requests.</w:t>
      </w:r>
    </w:p>
    <w:p>
      <w:pPr>
        <w:pStyle w:val="Compact"/>
        <w:numPr>
          <w:ilvl w:val="0"/>
          <w:numId w:val="1349"/>
        </w:numPr>
      </w:pPr>
      <w:r>
        <w:t xml:space="preserve">Method names are case-insensitive in VBScript dispatch.</w:t>
      </w:r>
    </w:p>
    <w:bookmarkEnd w:id="1243"/>
    <w:bookmarkStart w:id="1244" w:name="example-3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ok</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ok = ax.AxChangeDir</w:t>
      </w:r>
      <w:r>
        <w:rPr>
          <w:rStyle w:val="OtherTok"/>
        </w:rPr>
        <w:t xml:space="preserve">(</w:t>
      </w:r>
      <w:r>
        <w:rPr>
          <w:rStyle w:val="StringTok"/>
        </w:rPr>
        <w:t xml:space="preserve">"C:\Windows\Temp"</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"Directory changed to: "</w:t>
      </w:r>
      <w:r>
        <w:rPr>
          <w:rStyle w:val="NormalTok"/>
        </w:rPr>
        <w:t xml:space="preserve"> </w:t>
      </w:r>
      <w:r>
        <w:rPr>
          <w:rStyle w:val="KeywordTok"/>
        </w:rPr>
        <w:t xml:space="preserve">&amp;</w:t>
      </w:r>
      <w:r>
        <w:rPr>
          <w:rStyle w:val="NormalTok"/>
        </w:rPr>
        <w:t xml:space="preserve"> ax.AxCurrentDir</w:t>
      </w:r>
      <w:r>
        <w:rPr>
          <w:rStyle w:val="OtherTok"/>
        </w:rPr>
        <w:t xml:space="preserv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to change directory."</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44"/>
    <w:bookmarkStart w:id="1245" w:name="api-reference-28"/>
    <w:p>
      <w:pPr>
        <w:pStyle w:val="Heading2"/>
      </w:pPr>
      <w:r>
        <w:t xml:space="preserve">API Reference</w:t>
      </w:r>
    </w:p>
    <w:p>
      <w:pPr>
        <w:pStyle w:val="Compact"/>
        <w:numPr>
          <w:ilvl w:val="0"/>
          <w:numId w:val="1350"/>
        </w:numPr>
      </w:pPr>
      <w:r>
        <w:rPr>
          <w:b/>
          <w:bCs/>
        </w:rPr>
        <w:t xml:space="preserve">Object</w:t>
      </w:r>
      <w:r>
        <w:t xml:space="preserve">:</w:t>
      </w:r>
      <w:r>
        <w:t xml:space="preserve"> </w:t>
      </w:r>
      <w:r>
        <w:rPr>
          <w:rStyle w:val="VerbatimChar"/>
        </w:rPr>
        <w:t xml:space="preserve">G3AXON.FUNCTIONS</w:t>
      </w:r>
    </w:p>
    <w:p>
      <w:pPr>
        <w:pStyle w:val="Compact"/>
        <w:numPr>
          <w:ilvl w:val="0"/>
          <w:numId w:val="1350"/>
        </w:numPr>
      </w:pPr>
      <w:r>
        <w:rPr>
          <w:b/>
          <w:bCs/>
        </w:rPr>
        <w:t xml:space="preserve">Method</w:t>
      </w:r>
      <w:r>
        <w:t xml:space="preserve">:</w:t>
      </w:r>
      <w:r>
        <w:t xml:space="preserve"> </w:t>
      </w:r>
      <w:r>
        <w:rPr>
          <w:rStyle w:val="VerbatimChar"/>
        </w:rPr>
        <w:t xml:space="preserve">AxChangeDir</w:t>
      </w:r>
    </w:p>
    <w:p>
      <w:pPr>
        <w:pStyle w:val="Compact"/>
        <w:numPr>
          <w:ilvl w:val="0"/>
          <w:numId w:val="1350"/>
        </w:numPr>
      </w:pPr>
      <w:r>
        <w:rPr>
          <w:b/>
          <w:bCs/>
        </w:rPr>
        <w:t xml:space="preserve">Arguments</w:t>
      </w:r>
      <w:r>
        <w:t xml:space="preserve">:</w:t>
      </w:r>
      <w:r>
        <w:t xml:space="preserve"> </w:t>
      </w:r>
      <w:r>
        <w:rPr>
          <w:rStyle w:val="VerbatimChar"/>
        </w:rPr>
        <w:t xml:space="preserve">path As String</w:t>
      </w:r>
    </w:p>
    <w:p>
      <w:pPr>
        <w:pStyle w:val="Compact"/>
        <w:numPr>
          <w:ilvl w:val="0"/>
          <w:numId w:val="1350"/>
        </w:numPr>
      </w:pPr>
      <w:r>
        <w:rPr>
          <w:b/>
          <w:bCs/>
        </w:rPr>
        <w:t xml:space="preserve">Returns</w:t>
      </w:r>
      <w:r>
        <w:t xml:space="preserve">:</w:t>
      </w:r>
      <w:r>
        <w:t xml:space="preserve"> </w:t>
      </w:r>
      <w:r>
        <w:rPr>
          <w:rStyle w:val="VerbatimChar"/>
        </w:rPr>
        <w:t xml:space="preserve">Boolean</w:t>
      </w:r>
      <w:r>
        <w:t xml:space="preserve"> </w:t>
      </w:r>
      <w:r>
        <w:t xml:space="preserve">(</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failure)</w:t>
      </w:r>
      <w:r>
        <w:t xml:space="preserve"> </w:t>
      </w:r>
      <w:r>
        <w:t xml:space="preserve">%&gt;</w:t>
      </w:r>
    </w:p>
    <w:p>
      <w:pPr>
        <w:pStyle w:val="SourceCode"/>
      </w:pPr>
      <w:r>
        <w:br/>
      </w:r>
      <w:r>
        <w:rPr>
          <w:rStyle w:val="VerbatimChar"/>
        </w:rPr>
        <w:t xml:space="preserve"># Get the Current Working Directory</w:t>
      </w:r>
      <w:r>
        <w:br/>
      </w:r>
      <w:r>
        <w:br/>
      </w:r>
      <w:r>
        <w:rPr>
          <w:rStyle w:val="VerbatimChar"/>
        </w:rPr>
        <w:t xml:space="preserve">## Overview</w:t>
      </w:r>
      <w:r>
        <w:br/>
      </w:r>
      <w:r>
        <w:br/>
      </w:r>
      <w:r>
        <w:rPr>
          <w:rStyle w:val="VerbatimChar"/>
        </w:rPr>
        <w:t xml:space="preserve">Returns the absolute path of the current working directory of the AxonASP process.</w:t>
      </w:r>
      <w:r>
        <w:br/>
      </w:r>
      <w:r>
        <w:br/>
      </w:r>
      <w:r>
        <w:rPr>
          <w:rStyle w:val="VerbatimChar"/>
        </w:rPr>
        <w:t xml:space="preserve">## Prerequisites</w:t>
      </w:r>
      <w:r>
        <w:br/>
      </w:r>
      <w:r>
        <w:br/>
      </w:r>
      <w:r>
        <w:rPr>
          <w:rStyle w:val="VerbatimChar"/>
        </w:rPr>
        <w:t xml:space="preserve">Instantiate the library with `Server.CreateObject("G3AXON.FUNCTIONS")`.</w:t>
      </w:r>
      <w:r>
        <w:br/>
      </w:r>
      <w:r>
        <w:br/>
      </w:r>
      <w:r>
        <w:rPr>
          <w:rStyle w:val="VerbatimChar"/>
        </w:rPr>
        <w:t xml:space="preserve">## Syntax</w:t>
      </w:r>
      <w:r>
        <w:br/>
      </w:r>
      <w:r>
        <w:br/>
      </w:r>
      <w:r>
        <w:rPr>
          <w:rStyle w:val="VerbatimChar"/>
        </w:rPr>
        <w:t xml:space="preserve">```asp</w:t>
      </w:r>
      <w:r>
        <w:br/>
      </w:r>
      <w:r>
        <w:rPr>
          <w:rStyle w:val="VerbatimChar"/>
        </w:rPr>
        <w:t xml:space="preserve">result = obj.AxCurrentDir()</w:t>
      </w:r>
    </w:p>
    <w:bookmarkEnd w:id="1245"/>
    <w:bookmarkStart w:id="1246" w:name="parameters-16"/>
    <w:p>
      <w:pPr>
        <w:pStyle w:val="Heading2"/>
      </w:pPr>
      <w:r>
        <w:t xml:space="preserve">Parameters</w:t>
      </w:r>
    </w:p>
    <w:p>
      <w:pPr>
        <w:pStyle w:val="FirstParagraph"/>
      </w:pPr>
      <w:r>
        <w:t xml:space="preserve">This method does not require parameters.</w:t>
      </w:r>
    </w:p>
    <w:bookmarkEnd w:id="1246"/>
    <w:bookmarkStart w:id="1247" w:name="return-value-32"/>
    <w:p>
      <w:pPr>
        <w:pStyle w:val="Heading2"/>
      </w:pPr>
      <w:r>
        <w:t xml:space="preserve">Return Value</w:t>
      </w:r>
    </w:p>
    <w:p>
      <w:pPr>
        <w:pStyle w:val="Compact"/>
        <w:numPr>
          <w:ilvl w:val="0"/>
          <w:numId w:val="1351"/>
        </w:numPr>
      </w:pPr>
      <w:r>
        <w:rPr>
          <w:b/>
          <w:bCs/>
        </w:rPr>
        <w:t xml:space="preserve">String</w:t>
      </w:r>
      <w:r>
        <w:t xml:space="preserve">: Returns the absolute path of the current working directory.</w:t>
      </w:r>
    </w:p>
    <w:p>
      <w:pPr>
        <w:pStyle w:val="Compact"/>
        <w:numPr>
          <w:ilvl w:val="0"/>
          <w:numId w:val="1351"/>
        </w:numPr>
      </w:pPr>
      <w:r>
        <w:rPr>
          <w:b/>
          <w:bCs/>
        </w:rPr>
        <w:t xml:space="preserve">String</w:t>
      </w:r>
      <w:r>
        <w:t xml:space="preserve">: Returns an empty string when an OS error occurs.</w:t>
      </w:r>
    </w:p>
    <w:bookmarkEnd w:id="1247"/>
    <w:bookmarkStart w:id="1248" w:name="remarks-98"/>
    <w:p>
      <w:pPr>
        <w:pStyle w:val="Heading2"/>
      </w:pPr>
      <w:r>
        <w:t xml:space="preserve">Remarks</w:t>
      </w:r>
    </w:p>
    <w:p>
      <w:pPr>
        <w:pStyle w:val="Compact"/>
        <w:numPr>
          <w:ilvl w:val="0"/>
          <w:numId w:val="1352"/>
        </w:numPr>
      </w:pPr>
      <w:r>
        <w:t xml:space="preserve">Method names are case-insensitive in VBScript dispatch.</w:t>
      </w:r>
    </w:p>
    <w:bookmarkEnd w:id="1248"/>
    <w:bookmarkStart w:id="1249" w:name="example-3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"Working directory: "</w:t>
      </w:r>
      <w:r>
        <w:rPr>
          <w:rStyle w:val="NormalTok"/>
        </w:rPr>
        <w:t xml:space="preserve"> </w:t>
      </w:r>
      <w:r>
        <w:rPr>
          <w:rStyle w:val="KeywordTok"/>
        </w:rPr>
        <w:t xml:space="preserve">&amp;</w:t>
      </w:r>
      <w:r>
        <w:rPr>
          <w:rStyle w:val="NormalTok"/>
        </w:rPr>
        <w:t xml:space="preserve"> ax.AxCurrentDir</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49"/>
    <w:bookmarkStart w:id="1250" w:name="api-reference-29"/>
    <w:p>
      <w:pPr>
        <w:pStyle w:val="Heading2"/>
      </w:pPr>
      <w:r>
        <w:t xml:space="preserve">API Reference</w:t>
      </w:r>
    </w:p>
    <w:p>
      <w:pPr>
        <w:pStyle w:val="Compact"/>
        <w:numPr>
          <w:ilvl w:val="0"/>
          <w:numId w:val="1353"/>
        </w:numPr>
      </w:pPr>
      <w:r>
        <w:rPr>
          <w:b/>
          <w:bCs/>
        </w:rPr>
        <w:t xml:space="preserve">Object</w:t>
      </w:r>
      <w:r>
        <w:t xml:space="preserve">:</w:t>
      </w:r>
      <w:r>
        <w:t xml:space="preserve"> </w:t>
      </w:r>
      <w:r>
        <w:rPr>
          <w:rStyle w:val="VerbatimChar"/>
        </w:rPr>
        <w:t xml:space="preserve">G3AXON.FUNCTIONS</w:t>
      </w:r>
    </w:p>
    <w:p>
      <w:pPr>
        <w:pStyle w:val="Compact"/>
        <w:numPr>
          <w:ilvl w:val="0"/>
          <w:numId w:val="1353"/>
        </w:numPr>
      </w:pPr>
      <w:r>
        <w:rPr>
          <w:b/>
          <w:bCs/>
        </w:rPr>
        <w:t xml:space="preserve">Method</w:t>
      </w:r>
      <w:r>
        <w:t xml:space="preserve">:</w:t>
      </w:r>
      <w:r>
        <w:t xml:space="preserve"> </w:t>
      </w:r>
      <w:r>
        <w:rPr>
          <w:rStyle w:val="VerbatimChar"/>
        </w:rPr>
        <w:t xml:space="preserve">AxCurrentDir</w:t>
      </w:r>
    </w:p>
    <w:p>
      <w:pPr>
        <w:pStyle w:val="Compact"/>
        <w:numPr>
          <w:ilvl w:val="0"/>
          <w:numId w:val="1353"/>
        </w:numPr>
      </w:pPr>
      <w:r>
        <w:rPr>
          <w:b/>
          <w:bCs/>
        </w:rPr>
        <w:t xml:space="preserve">Arguments</w:t>
      </w:r>
      <w:r>
        <w:t xml:space="preserve">: none</w:t>
      </w:r>
    </w:p>
    <w:p>
      <w:pPr>
        <w:pStyle w:val="Compact"/>
        <w:numPr>
          <w:ilvl w:val="0"/>
          <w:numId w:val="1353"/>
        </w:numPr>
      </w:pPr>
      <w:r>
        <w:rPr>
          <w:b/>
          <w:bCs/>
        </w:rPr>
        <w:t xml:space="preserve">Returns</w:t>
      </w:r>
      <w:r>
        <w:t xml:space="preserve">:</w:t>
      </w:r>
      <w:r>
        <w:t xml:space="preserve"> </w:t>
      </w:r>
      <w:r>
        <w:rPr>
          <w:rStyle w:val="VerbatimChar"/>
        </w:rPr>
        <w:t xml:space="preserve">String</w:t>
      </w:r>
      <w:r>
        <w:t xml:space="preserve"> </w:t>
      </w:r>
      <w:r>
        <w:t xml:space="preserve">(absolute path of the current working directory)</w:t>
      </w:r>
    </w:p>
    <w:bookmarkEnd w:id="1250"/>
    <w:bookmarkEnd w:id="1251"/>
    <w:bookmarkStart w:id="1260" w:name="get-the-machine-hostname"/>
    <w:p>
      <w:pPr>
        <w:pStyle w:val="Heading1"/>
      </w:pPr>
      <w:r>
        <w:t xml:space="preserve">Get the Machine Hostname</w:t>
      </w:r>
    </w:p>
    <w:bookmarkStart w:id="1252" w:name="overview-71"/>
    <w:p>
      <w:pPr>
        <w:pStyle w:val="Heading2"/>
      </w:pPr>
      <w:r>
        <w:t xml:space="preserve">Overview</w:t>
      </w:r>
    </w:p>
    <w:p>
      <w:pPr>
        <w:pStyle w:val="FirstParagraph"/>
      </w:pPr>
      <w:r>
        <w:t xml:space="preserve">Returns the network hostname of the machine where the AxonASP process is running.</w:t>
      </w:r>
    </w:p>
    <w:bookmarkEnd w:id="1252"/>
    <w:bookmarkStart w:id="1253" w:name="prerequisites-2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53"/>
    <w:bookmarkStart w:id="1254" w:name="syntax-88"/>
    <w:p>
      <w:pPr>
        <w:pStyle w:val="Heading2"/>
      </w:pPr>
      <w:r>
        <w:t xml:space="preserve">Syntax</w:t>
      </w:r>
    </w:p>
    <w:p>
      <w:pPr>
        <w:pStyle w:val="SourceCode"/>
      </w:pPr>
      <w:r>
        <w:rPr>
          <w:rStyle w:val="NormalTok"/>
        </w:rPr>
        <w:t xml:space="preserve">result = obj.AxHostnameValue()</w:t>
      </w:r>
    </w:p>
    <w:bookmarkEnd w:id="1254"/>
    <w:bookmarkStart w:id="1255" w:name="parameters-17"/>
    <w:p>
      <w:pPr>
        <w:pStyle w:val="Heading2"/>
      </w:pPr>
      <w:r>
        <w:t xml:space="preserve">Parameters</w:t>
      </w:r>
    </w:p>
    <w:p>
      <w:pPr>
        <w:pStyle w:val="FirstParagraph"/>
      </w:pPr>
      <w:r>
        <w:t xml:space="preserve">This method does not require parameters.</w:t>
      </w:r>
    </w:p>
    <w:bookmarkEnd w:id="1255"/>
    <w:bookmarkStart w:id="1256" w:name="return-value-33"/>
    <w:p>
      <w:pPr>
        <w:pStyle w:val="Heading2"/>
      </w:pPr>
      <w:r>
        <w:t xml:space="preserve">Return Value</w:t>
      </w:r>
    </w:p>
    <w:p>
      <w:pPr>
        <w:pStyle w:val="Compact"/>
        <w:numPr>
          <w:ilvl w:val="0"/>
          <w:numId w:val="1354"/>
        </w:numPr>
      </w:pPr>
      <w:r>
        <w:rPr>
          <w:b/>
          <w:bCs/>
        </w:rPr>
        <w:t xml:space="preserve">String</w:t>
      </w:r>
      <w:r>
        <w:t xml:space="preserve">: Returns the system hostname as reported by the operating system.</w:t>
      </w:r>
    </w:p>
    <w:p>
      <w:pPr>
        <w:pStyle w:val="Compact"/>
        <w:numPr>
          <w:ilvl w:val="0"/>
          <w:numId w:val="1354"/>
        </w:numPr>
      </w:pPr>
      <w:r>
        <w:rPr>
          <w:b/>
          <w:bCs/>
        </w:rPr>
        <w:t xml:space="preserve">String</w:t>
      </w:r>
      <w:r>
        <w:t xml:space="preserve">: Returns an empty string when the hostname cannot be determined.</w:t>
      </w:r>
    </w:p>
    <w:bookmarkEnd w:id="1256"/>
    <w:bookmarkStart w:id="1257" w:name="remarks-99"/>
    <w:p>
      <w:pPr>
        <w:pStyle w:val="Heading2"/>
      </w:pPr>
      <w:r>
        <w:t xml:space="preserve">Remarks</w:t>
      </w:r>
    </w:p>
    <w:p>
      <w:pPr>
        <w:pStyle w:val="Compact"/>
        <w:numPr>
          <w:ilvl w:val="0"/>
          <w:numId w:val="1355"/>
        </w:numPr>
      </w:pPr>
      <w:r>
        <w:t xml:space="preserve">Method names are case-insensitive in VBScript dispatch.</w:t>
      </w:r>
    </w:p>
    <w:bookmarkEnd w:id="1257"/>
    <w:bookmarkStart w:id="1258" w:name="example-3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"Hostname: "</w:t>
      </w:r>
      <w:r>
        <w:rPr>
          <w:rStyle w:val="NormalTok"/>
        </w:rPr>
        <w:t xml:space="preserve"> </w:t>
      </w:r>
      <w:r>
        <w:rPr>
          <w:rStyle w:val="KeywordTok"/>
        </w:rPr>
        <w:t xml:space="preserve">&amp;</w:t>
      </w:r>
      <w:r>
        <w:rPr>
          <w:rStyle w:val="NormalTok"/>
        </w:rPr>
        <w:t xml:space="preserve"> ax.AxHostnameValue</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58"/>
    <w:bookmarkStart w:id="1259" w:name="api-reference-30"/>
    <w:p>
      <w:pPr>
        <w:pStyle w:val="Heading2"/>
      </w:pPr>
      <w:r>
        <w:t xml:space="preserve">API Reference</w:t>
      </w:r>
    </w:p>
    <w:p>
      <w:pPr>
        <w:pStyle w:val="Compact"/>
        <w:numPr>
          <w:ilvl w:val="0"/>
          <w:numId w:val="1356"/>
        </w:numPr>
      </w:pPr>
      <w:r>
        <w:rPr>
          <w:b/>
          <w:bCs/>
        </w:rPr>
        <w:t xml:space="preserve">Object</w:t>
      </w:r>
      <w:r>
        <w:t xml:space="preserve">:</w:t>
      </w:r>
      <w:r>
        <w:t xml:space="preserve"> </w:t>
      </w:r>
      <w:r>
        <w:rPr>
          <w:rStyle w:val="VerbatimChar"/>
        </w:rPr>
        <w:t xml:space="preserve">G3AXON.FUNCTIONS</w:t>
      </w:r>
    </w:p>
    <w:p>
      <w:pPr>
        <w:pStyle w:val="Compact"/>
        <w:numPr>
          <w:ilvl w:val="0"/>
          <w:numId w:val="1356"/>
        </w:numPr>
      </w:pPr>
      <w:r>
        <w:rPr>
          <w:b/>
          <w:bCs/>
        </w:rPr>
        <w:t xml:space="preserve">Method</w:t>
      </w:r>
      <w:r>
        <w:t xml:space="preserve">:</w:t>
      </w:r>
      <w:r>
        <w:t xml:space="preserve"> </w:t>
      </w:r>
      <w:r>
        <w:rPr>
          <w:rStyle w:val="VerbatimChar"/>
        </w:rPr>
        <w:t xml:space="preserve">AxHostnameValue</w:t>
      </w:r>
    </w:p>
    <w:p>
      <w:pPr>
        <w:pStyle w:val="Compact"/>
        <w:numPr>
          <w:ilvl w:val="0"/>
          <w:numId w:val="1356"/>
        </w:numPr>
      </w:pPr>
      <w:r>
        <w:rPr>
          <w:b/>
          <w:bCs/>
        </w:rPr>
        <w:t xml:space="preserve">Arguments</w:t>
      </w:r>
      <w:r>
        <w:t xml:space="preserve">: none</w:t>
      </w:r>
    </w:p>
    <w:p>
      <w:pPr>
        <w:pStyle w:val="Compact"/>
        <w:numPr>
          <w:ilvl w:val="0"/>
          <w:numId w:val="1356"/>
        </w:numPr>
      </w:pPr>
      <w:r>
        <w:rPr>
          <w:b/>
          <w:bCs/>
        </w:rPr>
        <w:t xml:space="preserve">Returns</w:t>
      </w:r>
      <w:r>
        <w:t xml:space="preserve">:</w:t>
      </w:r>
      <w:r>
        <w:t xml:space="preserve"> </w:t>
      </w:r>
      <w:r>
        <w:rPr>
          <w:rStyle w:val="VerbatimChar"/>
        </w:rPr>
        <w:t xml:space="preserve">String</w:t>
      </w:r>
      <w:r>
        <w:t xml:space="preserve"> </w:t>
      </w:r>
      <w:r>
        <w:t xml:space="preserve">(machine hostname, or empty string)</w:t>
      </w:r>
    </w:p>
    <w:bookmarkEnd w:id="1259"/>
    <w:bookmarkEnd w:id="1260"/>
    <w:bookmarkStart w:id="1274" w:name="clear-all-environment-variables"/>
    <w:p>
      <w:pPr>
        <w:pStyle w:val="Heading1"/>
      </w:pPr>
      <w:r>
        <w:t xml:space="preserve">Clear All Environment Variables</w:t>
      </w:r>
    </w:p>
    <w:bookmarkStart w:id="1261" w:name="overview-72"/>
    <w:p>
      <w:pPr>
        <w:pStyle w:val="Heading2"/>
      </w:pPr>
      <w:r>
        <w:t xml:space="preserve">Overview</w:t>
      </w:r>
    </w:p>
    <w:p>
      <w:pPr>
        <w:pStyle w:val="FirstParagraph"/>
      </w:pPr>
      <w:r>
        <w:t xml:space="preserve">Removes all environment variables from the current AxonASP process environment.</w:t>
      </w:r>
    </w:p>
    <w:bookmarkEnd w:id="1261"/>
    <w:bookmarkStart w:id="1262" w:name="prerequisites-3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62"/>
    <w:bookmarkStart w:id="1263" w:name="syntax-89"/>
    <w:p>
      <w:pPr>
        <w:pStyle w:val="Heading2"/>
      </w:pPr>
      <w:r>
        <w:t xml:space="preserve">Syntax</w:t>
      </w:r>
    </w:p>
    <w:p>
      <w:pPr>
        <w:pStyle w:val="SourceCode"/>
      </w:pPr>
      <w:r>
        <w:rPr>
          <w:rStyle w:val="NormalTok"/>
        </w:rPr>
        <w:t xml:space="preserve">result = obj.AxClearEnvironment()</w:t>
      </w:r>
    </w:p>
    <w:bookmarkEnd w:id="1263"/>
    <w:bookmarkStart w:id="1264" w:name="parameters-18"/>
    <w:p>
      <w:pPr>
        <w:pStyle w:val="Heading2"/>
      </w:pPr>
      <w:r>
        <w:t xml:space="preserve">Parameters</w:t>
      </w:r>
    </w:p>
    <w:p>
      <w:pPr>
        <w:pStyle w:val="FirstParagraph"/>
      </w:pPr>
      <w:r>
        <w:t xml:space="preserve">This method does not require parameters.</w:t>
      </w:r>
    </w:p>
    <w:bookmarkEnd w:id="1264"/>
    <w:bookmarkStart w:id="1265" w:name="return-value-34"/>
    <w:p>
      <w:pPr>
        <w:pStyle w:val="Heading2"/>
      </w:pPr>
      <w:r>
        <w:t xml:space="preserve">Return Value</w:t>
      </w:r>
    </w:p>
    <w:p>
      <w:pPr>
        <w:pStyle w:val="Compact"/>
        <w:numPr>
          <w:ilvl w:val="0"/>
          <w:numId w:val="1357"/>
        </w:numPr>
      </w:pPr>
      <w:r>
        <w:rPr>
          <w:b/>
          <w:bCs/>
        </w:rPr>
        <w:t xml:space="preserve">Boolean</w:t>
      </w:r>
      <w:r>
        <w:t xml:space="preserve">: Always returns</w:t>
      </w:r>
      <w:r>
        <w:t xml:space="preserve"> </w:t>
      </w:r>
      <w:r>
        <w:rPr>
          <w:rStyle w:val="VerbatimChar"/>
        </w:rPr>
        <w:t xml:space="preserve">True</w:t>
      </w:r>
      <w:r>
        <w:t xml:space="preserve"> </w:t>
      </w:r>
      <w:r>
        <w:t xml:space="preserve">after execution.</w:t>
      </w:r>
    </w:p>
    <w:bookmarkEnd w:id="1265"/>
    <w:bookmarkStart w:id="1266" w:name="remarks-100"/>
    <w:p>
      <w:pPr>
        <w:pStyle w:val="Heading2"/>
      </w:pPr>
      <w:r>
        <w:t xml:space="preserve">Remarks</w:t>
      </w:r>
    </w:p>
    <w:p>
      <w:pPr>
        <w:pStyle w:val="Compact"/>
        <w:numPr>
          <w:ilvl w:val="0"/>
          <w:numId w:val="1358"/>
        </w:numPr>
      </w:pPr>
      <w:r>
        <w:t xml:space="preserve">This is a destructive, process-wide operation. All inherited and set environment variables are removed.</w:t>
      </w:r>
    </w:p>
    <w:p>
      <w:pPr>
        <w:pStyle w:val="Compact"/>
        <w:numPr>
          <w:ilvl w:val="0"/>
          <w:numId w:val="1358"/>
        </w:numPr>
      </w:pPr>
      <w:r>
        <w:t xml:space="preserve">Use with extreme care because system utilities and libraries may fail if they depend on specific environment variables.</w:t>
      </w:r>
    </w:p>
    <w:p>
      <w:pPr>
        <w:pStyle w:val="Compact"/>
        <w:numPr>
          <w:ilvl w:val="0"/>
          <w:numId w:val="1358"/>
        </w:numPr>
      </w:pPr>
      <w:r>
        <w:t xml:space="preserve">Method names are case-insensitive in VBScript dispatch.</w:t>
      </w:r>
    </w:p>
    <w:bookmarkEnd w:id="1266"/>
    <w:bookmarkStart w:id="1267" w:name="example-3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w:t>
      </w:r>
      <w:r>
        <w:rPr>
          <w:rStyle w:val="AlertTok"/>
        </w:rPr>
        <w:t xml:space="preserve">WARNING</w:t>
      </w:r>
      <w:r>
        <w:rPr>
          <w:rStyle w:val="CommentTok"/>
        </w:rPr>
        <w:t xml:space="preserve">: Clears ALL environment variables from the process</w:t>
      </w:r>
      <w:r>
        <w:br/>
      </w:r>
      <w:r>
        <w:rPr>
          <w:rStyle w:val="NormalTok"/>
        </w:rPr>
        <w:t xml:space="preserve">ax.AxClearEnvironment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"Environment cleared."</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67"/>
    <w:bookmarkStart w:id="1268" w:name="api-reference-31"/>
    <w:p>
      <w:pPr>
        <w:pStyle w:val="Heading2"/>
      </w:pPr>
      <w:r>
        <w:t xml:space="preserve">API Reference</w:t>
      </w:r>
    </w:p>
    <w:p>
      <w:pPr>
        <w:pStyle w:val="Compact"/>
        <w:numPr>
          <w:ilvl w:val="0"/>
          <w:numId w:val="1359"/>
        </w:numPr>
      </w:pPr>
      <w:r>
        <w:rPr>
          <w:b/>
          <w:bCs/>
        </w:rPr>
        <w:t xml:space="preserve">Object</w:t>
      </w:r>
      <w:r>
        <w:t xml:space="preserve">:</w:t>
      </w:r>
      <w:r>
        <w:t xml:space="preserve"> </w:t>
      </w:r>
      <w:r>
        <w:rPr>
          <w:rStyle w:val="VerbatimChar"/>
        </w:rPr>
        <w:t xml:space="preserve">G3AXON.FUNCTIONS</w:t>
      </w:r>
    </w:p>
    <w:p>
      <w:pPr>
        <w:pStyle w:val="Compact"/>
        <w:numPr>
          <w:ilvl w:val="0"/>
          <w:numId w:val="1359"/>
        </w:numPr>
      </w:pPr>
      <w:r>
        <w:rPr>
          <w:b/>
          <w:bCs/>
        </w:rPr>
        <w:t xml:space="preserve">Method</w:t>
      </w:r>
      <w:r>
        <w:t xml:space="preserve">:</w:t>
      </w:r>
      <w:r>
        <w:t xml:space="preserve"> </w:t>
      </w:r>
      <w:r>
        <w:rPr>
          <w:rStyle w:val="VerbatimChar"/>
        </w:rPr>
        <w:t xml:space="preserve">AxClearEnvironment</w:t>
      </w:r>
    </w:p>
    <w:p>
      <w:pPr>
        <w:pStyle w:val="Compact"/>
        <w:numPr>
          <w:ilvl w:val="0"/>
          <w:numId w:val="1359"/>
        </w:numPr>
      </w:pPr>
      <w:r>
        <w:rPr>
          <w:b/>
          <w:bCs/>
        </w:rPr>
        <w:t xml:space="preserve">Arguments</w:t>
      </w:r>
      <w:r>
        <w:t xml:space="preserve">: none</w:t>
      </w:r>
    </w:p>
    <w:p>
      <w:pPr>
        <w:pStyle w:val="Compact"/>
        <w:numPr>
          <w:ilvl w:val="0"/>
          <w:numId w:val="1359"/>
        </w:numPr>
      </w:pPr>
      <w:r>
        <w:rPr>
          <w:b/>
          <w:bCs/>
        </w:rPr>
        <w:t xml:space="preserve">Returns</w:t>
      </w:r>
      <w:r>
        <w:t xml:space="preserve">:</w:t>
      </w:r>
      <w:r>
        <w:t xml:space="preserve"> </w:t>
      </w:r>
      <w:r>
        <w:rPr>
          <w:rStyle w:val="VerbatimChar"/>
        </w:rPr>
        <w:t xml:space="preserve">Boolean</w:t>
      </w:r>
      <w:r>
        <w:t xml:space="preserve"> </w:t>
      </w:r>
      <w:r>
        <w:t xml:space="preserve">(always</w:t>
      </w:r>
      <w:r>
        <w:t xml:space="preserve"> </w:t>
      </w:r>
      <w:r>
        <w:rPr>
          <w:rStyle w:val="VerbatimChar"/>
        </w:rPr>
        <w:t xml:space="preserve">True</w:t>
      </w:r>
      <w:r>
        <w:t xml:space="preserve">)</w:t>
      </w:r>
    </w:p>
    <w:p>
      <w:pPr>
        <w:pStyle w:val="SourceCode"/>
      </w:pPr>
      <w:r>
        <w:br/>
      </w:r>
      <w:r>
        <w:rPr>
          <w:rStyle w:val="VerbatimChar"/>
        </w:rPr>
        <w:t xml:space="preserve"># List All Environment Variables</w:t>
      </w:r>
      <w:r>
        <w:br/>
      </w:r>
      <w:r>
        <w:br/>
      </w:r>
      <w:r>
        <w:rPr>
          <w:rStyle w:val="VerbatimChar"/>
        </w:rPr>
        <w:t xml:space="preserve">## Overview</w:t>
      </w:r>
      <w:r>
        <w:br/>
      </w:r>
      <w:r>
        <w:br/>
      </w:r>
      <w:r>
        <w:rPr>
          <w:rStyle w:val="VerbatimChar"/>
        </w:rPr>
        <w:t xml:space="preserve">Returns a snapshot of all environment variables currently defined in the process as a VBArray.</w:t>
      </w:r>
      <w:r>
        <w:br/>
      </w:r>
      <w:r>
        <w:br/>
      </w:r>
      <w:r>
        <w:rPr>
          <w:rStyle w:val="VerbatimChar"/>
        </w:rPr>
        <w:t xml:space="preserve">## Prerequisites</w:t>
      </w:r>
      <w:r>
        <w:br/>
      </w:r>
      <w:r>
        <w:br/>
      </w:r>
      <w:r>
        <w:rPr>
          <w:rStyle w:val="VerbatimChar"/>
        </w:rPr>
        <w:t xml:space="preserve">Instantiate the library with `Server.CreateObject("G3AXON.FUNCTIONS")`.</w:t>
      </w:r>
      <w:r>
        <w:br/>
      </w:r>
      <w:r>
        <w:br/>
      </w:r>
      <w:r>
        <w:rPr>
          <w:rStyle w:val="VerbatimChar"/>
        </w:rPr>
        <w:t xml:space="preserve">## Syntax</w:t>
      </w:r>
      <w:r>
        <w:br/>
      </w:r>
      <w:r>
        <w:br/>
      </w:r>
      <w:r>
        <w:rPr>
          <w:rStyle w:val="VerbatimChar"/>
        </w:rPr>
        <w:t xml:space="preserve">```asp</w:t>
      </w:r>
      <w:r>
        <w:br/>
      </w:r>
      <w:r>
        <w:rPr>
          <w:rStyle w:val="VerbatimChar"/>
        </w:rPr>
        <w:t xml:space="preserve">result = obj.AxEnvironmentList()</w:t>
      </w:r>
    </w:p>
    <w:bookmarkEnd w:id="1268"/>
    <w:bookmarkStart w:id="1269" w:name="parameters-19"/>
    <w:p>
      <w:pPr>
        <w:pStyle w:val="Heading2"/>
      </w:pPr>
      <w:r>
        <w:t xml:space="preserve">Parameters</w:t>
      </w:r>
    </w:p>
    <w:p>
      <w:pPr>
        <w:pStyle w:val="FirstParagraph"/>
      </w:pPr>
      <w:r>
        <w:t xml:space="preserve">This method does not require parameters.</w:t>
      </w:r>
    </w:p>
    <w:bookmarkEnd w:id="1269"/>
    <w:bookmarkStart w:id="1270" w:name="return-value-35"/>
    <w:p>
      <w:pPr>
        <w:pStyle w:val="Heading2"/>
      </w:pPr>
      <w:r>
        <w:t xml:space="preserve">Return Value</w:t>
      </w:r>
    </w:p>
    <w:p>
      <w:pPr>
        <w:pStyle w:val="Compact"/>
        <w:numPr>
          <w:ilvl w:val="0"/>
          <w:numId w:val="1360"/>
        </w:numPr>
      </w:pPr>
      <w:r>
        <w:rPr>
          <w:b/>
          <w:bCs/>
        </w:rPr>
        <w:t xml:space="preserve">Array</w:t>
      </w:r>
      <w:r>
        <w:t xml:space="preserve">: Returns a zero-based VBArray of String values, each in</w:t>
      </w:r>
      <w:r>
        <w:t xml:space="preserve"> </w:t>
      </w:r>
      <w:r>
        <w:rPr>
          <w:rStyle w:val="VerbatimChar"/>
        </w:rPr>
        <w:t xml:space="preserve">KEY=VALUE</w:t>
      </w:r>
      <w:r>
        <w:t xml:space="preserve"> </w:t>
      </w:r>
      <w:r>
        <w:t xml:space="preserve">format.</w:t>
      </w:r>
    </w:p>
    <w:bookmarkEnd w:id="1270"/>
    <w:bookmarkStart w:id="1271" w:name="remarks-101"/>
    <w:p>
      <w:pPr>
        <w:pStyle w:val="Heading2"/>
      </w:pPr>
      <w:r>
        <w:t xml:space="preserve">Remarks</w:t>
      </w:r>
    </w:p>
    <w:p>
      <w:pPr>
        <w:pStyle w:val="Compact"/>
        <w:numPr>
          <w:ilvl w:val="0"/>
          <w:numId w:val="1361"/>
        </w:numPr>
      </w:pPr>
      <w:r>
        <w:t xml:space="preserve">Pseudo-environment entries (such as entries starting with</w:t>
      </w:r>
      <w:r>
        <w:t xml:space="preserve"> </w:t>
      </w:r>
      <w:r>
        <w:rPr>
          <w:rStyle w:val="VerbatimChar"/>
        </w:rPr>
        <w:t xml:space="preserve">=</w:t>
      </w:r>
      <w:r>
        <w:t xml:space="preserve"> </w:t>
      </w:r>
      <w:r>
        <w:t xml:space="preserve">on Windows) are filtered out automatically.</w:t>
      </w:r>
    </w:p>
    <w:p>
      <w:pPr>
        <w:pStyle w:val="Compact"/>
        <w:numPr>
          <w:ilvl w:val="0"/>
          <w:numId w:val="1361"/>
        </w:numPr>
      </w:pPr>
      <w:r>
        <w:t xml:space="preserve">The order of elements depends on the operating system.</w:t>
      </w:r>
    </w:p>
    <w:p>
      <w:pPr>
        <w:pStyle w:val="Compact"/>
        <w:numPr>
          <w:ilvl w:val="0"/>
          <w:numId w:val="1361"/>
        </w:numPr>
      </w:pPr>
      <w:r>
        <w:t xml:space="preserve">Method names are case-insensitive in VBScript dispatch.</w:t>
      </w:r>
    </w:p>
    <w:bookmarkEnd w:id="1271"/>
    <w:bookmarkStart w:id="1272" w:name="example-3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envList</w:t>
      </w:r>
      <w:r>
        <w:rPr>
          <w:rStyle w:val="OtherTok"/>
        </w:rPr>
        <w:t xml:space="preserve">,</w:t>
      </w:r>
      <w:r>
        <w:rPr>
          <w:rStyle w:val="NormalTok"/>
        </w:rPr>
        <w:t xml:space="preserve"> i</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envList = ax.AxEnvironmentList</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envList</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envList</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72"/>
    <w:bookmarkStart w:id="1273" w:name="api-reference-32"/>
    <w:p>
      <w:pPr>
        <w:pStyle w:val="Heading2"/>
      </w:pPr>
      <w:r>
        <w:t xml:space="preserve">API Reference</w:t>
      </w:r>
    </w:p>
    <w:p>
      <w:pPr>
        <w:pStyle w:val="Compact"/>
        <w:numPr>
          <w:ilvl w:val="0"/>
          <w:numId w:val="1362"/>
        </w:numPr>
      </w:pPr>
      <w:r>
        <w:rPr>
          <w:b/>
          <w:bCs/>
        </w:rPr>
        <w:t xml:space="preserve">Object</w:t>
      </w:r>
      <w:r>
        <w:t xml:space="preserve">:</w:t>
      </w:r>
      <w:r>
        <w:t xml:space="preserve"> </w:t>
      </w:r>
      <w:r>
        <w:rPr>
          <w:rStyle w:val="VerbatimChar"/>
        </w:rPr>
        <w:t xml:space="preserve">G3AXON.FUNCTIONS</w:t>
      </w:r>
    </w:p>
    <w:p>
      <w:pPr>
        <w:pStyle w:val="Compact"/>
        <w:numPr>
          <w:ilvl w:val="0"/>
          <w:numId w:val="1362"/>
        </w:numPr>
      </w:pPr>
      <w:r>
        <w:rPr>
          <w:b/>
          <w:bCs/>
        </w:rPr>
        <w:t xml:space="preserve">Method</w:t>
      </w:r>
      <w:r>
        <w:t xml:space="preserve">:</w:t>
      </w:r>
      <w:r>
        <w:t xml:space="preserve"> </w:t>
      </w:r>
      <w:r>
        <w:rPr>
          <w:rStyle w:val="VerbatimChar"/>
        </w:rPr>
        <w:t xml:space="preserve">AxEnvironmentList</w:t>
      </w:r>
    </w:p>
    <w:p>
      <w:pPr>
        <w:pStyle w:val="Compact"/>
        <w:numPr>
          <w:ilvl w:val="0"/>
          <w:numId w:val="1362"/>
        </w:numPr>
      </w:pPr>
      <w:r>
        <w:rPr>
          <w:b/>
          <w:bCs/>
        </w:rPr>
        <w:t xml:space="preserve">Arguments</w:t>
      </w:r>
      <w:r>
        <w:t xml:space="preserve">: none</w:t>
      </w:r>
    </w:p>
    <w:p>
      <w:pPr>
        <w:pStyle w:val="Compact"/>
        <w:numPr>
          <w:ilvl w:val="0"/>
          <w:numId w:val="1362"/>
        </w:numPr>
      </w:pPr>
      <w:r>
        <w:rPr>
          <w:b/>
          <w:bCs/>
        </w:rPr>
        <w:t xml:space="preserve">Returns</w:t>
      </w:r>
      <w:r>
        <w:t xml:space="preserve">:</w:t>
      </w:r>
      <w:r>
        <w:t xml:space="preserve"> </w:t>
      </w:r>
      <w:r>
        <w:rPr>
          <w:rStyle w:val="VerbatimChar"/>
        </w:rPr>
        <w:t xml:space="preserve">Array</w:t>
      </w:r>
      <w:r>
        <w:t xml:space="preserve"> </w:t>
      </w:r>
      <w:r>
        <w:t xml:space="preserve">(zero-based VBArray of</w:t>
      </w:r>
      <w:r>
        <w:t xml:space="preserve"> </w:t>
      </w:r>
      <w:r>
        <w:rPr>
          <w:rStyle w:val="VerbatimChar"/>
        </w:rPr>
        <w:t xml:space="preserve">KEY=VALUE</w:t>
      </w:r>
      <w:r>
        <w:t xml:space="preserve"> </w:t>
      </w:r>
      <w:r>
        <w:t xml:space="preserve">strings)</w:t>
      </w:r>
    </w:p>
    <w:bookmarkEnd w:id="1273"/>
    <w:bookmarkEnd w:id="1274"/>
    <w:bookmarkStart w:id="1283" w:name="get-an-environment-variable-value"/>
    <w:p>
      <w:pPr>
        <w:pStyle w:val="Heading1"/>
      </w:pPr>
      <w:r>
        <w:t xml:space="preserve">Get an Environment Variable Value</w:t>
      </w:r>
    </w:p>
    <w:bookmarkStart w:id="1275" w:name="overview-73"/>
    <w:p>
      <w:pPr>
        <w:pStyle w:val="Heading2"/>
      </w:pPr>
      <w:r>
        <w:t xml:space="preserve">Overview</w:t>
      </w:r>
    </w:p>
    <w:p>
      <w:pPr>
        <w:pStyle w:val="FirstParagraph"/>
      </w:pPr>
      <w:r>
        <w:t xml:space="preserve">Retrieves the value of a specific environment variable from the process, with an optional default fallback.</w:t>
      </w:r>
    </w:p>
    <w:bookmarkEnd w:id="1275"/>
    <w:bookmarkStart w:id="1276" w:name="prerequisites-3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76"/>
    <w:bookmarkStart w:id="1277" w:name="syntax-90"/>
    <w:p>
      <w:pPr>
        <w:pStyle w:val="Heading2"/>
      </w:pPr>
      <w:r>
        <w:t xml:space="preserve">Syntax</w:t>
      </w:r>
    </w:p>
    <w:p>
      <w:pPr>
        <w:pStyle w:val="SourceCode"/>
      </w:pPr>
      <w:r>
        <w:rPr>
          <w:rStyle w:val="NormalTok"/>
        </w:rPr>
        <w:t xml:space="preserve">result = obj.AxEnvironmentValue(name [, default])</w:t>
      </w:r>
    </w:p>
    <w:bookmarkEnd w:id="1277"/>
    <w:bookmarkStart w:id="1278" w:name="parameters-2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name</w:t>
            </w:r>
          </w:p>
        </w:tc>
        <w:tc>
          <w:tcPr/>
          <w:p>
            <w:pPr>
              <w:pStyle w:val="Compact"/>
            </w:pPr>
            <w:r>
              <w:t xml:space="preserve">String</w:t>
            </w:r>
          </w:p>
        </w:tc>
        <w:tc>
          <w:tcPr/>
          <w:p>
            <w:pPr>
              <w:pStyle w:val="Compact"/>
            </w:pPr>
            <w:r>
              <w:t xml:space="preserve">Yes</w:t>
            </w:r>
          </w:p>
        </w:tc>
        <w:tc>
          <w:tcPr/>
          <w:p>
            <w:pPr>
              <w:pStyle w:val="Compact"/>
            </w:pPr>
            <w:r>
              <w:t xml:space="preserve">The name of the environment variable to look up.</w:t>
            </w:r>
          </w:p>
        </w:tc>
      </w:tr>
      <w:tr>
        <w:tc>
          <w:tcPr/>
          <w:p>
            <w:pPr>
              <w:pStyle w:val="Compact"/>
            </w:pPr>
            <w:r>
              <w:t xml:space="preserve">default</w:t>
            </w:r>
          </w:p>
        </w:tc>
        <w:tc>
          <w:tcPr/>
          <w:p>
            <w:pPr>
              <w:pStyle w:val="Compact"/>
            </w:pPr>
            <w:r>
              <w:t xml:space="preserve">Variant</w:t>
            </w:r>
          </w:p>
        </w:tc>
        <w:tc>
          <w:tcPr/>
          <w:p>
            <w:pPr>
              <w:pStyle w:val="Compact"/>
            </w:pPr>
            <w:r>
              <w:t xml:space="preserve">Optional</w:t>
            </w:r>
          </w:p>
        </w:tc>
        <w:tc>
          <w:tcPr/>
          <w:p>
            <w:pPr>
              <w:pStyle w:val="Compact"/>
            </w:pPr>
            <w:r>
              <w:t xml:space="preserve">The value to return when the variable is not found. Defaults to an empty string.</w:t>
            </w:r>
          </w:p>
        </w:tc>
      </w:tr>
    </w:tbl>
    <w:bookmarkEnd w:id="1278"/>
    <w:bookmarkStart w:id="1279" w:name="return-value-36"/>
    <w:p>
      <w:pPr>
        <w:pStyle w:val="Heading2"/>
      </w:pPr>
      <w:r>
        <w:t xml:space="preserve">Return Value</w:t>
      </w:r>
    </w:p>
    <w:p>
      <w:pPr>
        <w:pStyle w:val="Compact"/>
        <w:numPr>
          <w:ilvl w:val="0"/>
          <w:numId w:val="1363"/>
        </w:numPr>
      </w:pPr>
      <w:r>
        <w:rPr>
          <w:b/>
          <w:bCs/>
        </w:rPr>
        <w:t xml:space="preserve">String</w:t>
      </w:r>
      <w:r>
        <w:t xml:space="preserve">: Returns the value of the environment variable when it exists.</w:t>
      </w:r>
    </w:p>
    <w:p>
      <w:pPr>
        <w:pStyle w:val="Compact"/>
        <w:numPr>
          <w:ilvl w:val="0"/>
          <w:numId w:val="1363"/>
        </w:numPr>
      </w:pPr>
      <w:r>
        <w:rPr>
          <w:b/>
          <w:bCs/>
        </w:rPr>
        <w:t xml:space="preserve">Variant</w:t>
      </w:r>
      <w:r>
        <w:t xml:space="preserve">: Returns</w:t>
      </w:r>
      <w:r>
        <w:t xml:space="preserve"> </w:t>
      </w:r>
      <w:r>
        <w:rPr>
          <w:rStyle w:val="VerbatimChar"/>
        </w:rPr>
        <w:t xml:space="preserve">default</w:t>
      </w:r>
      <w:r>
        <w:t xml:space="preserve"> </w:t>
      </w:r>
      <w:r>
        <w:t xml:space="preserve">when the variable is not found and a default was provided.</w:t>
      </w:r>
    </w:p>
    <w:p>
      <w:pPr>
        <w:pStyle w:val="Compact"/>
        <w:numPr>
          <w:ilvl w:val="0"/>
          <w:numId w:val="1363"/>
        </w:numPr>
      </w:pPr>
      <w:r>
        <w:rPr>
          <w:b/>
          <w:bCs/>
        </w:rPr>
        <w:t xml:space="preserve">String</w:t>
      </w:r>
      <w:r>
        <w:t xml:space="preserve">: Returns an empty string when the variable is not found and no default was provided.</w:t>
      </w:r>
    </w:p>
    <w:bookmarkEnd w:id="1279"/>
    <w:bookmarkStart w:id="1280" w:name="remarks-102"/>
    <w:p>
      <w:pPr>
        <w:pStyle w:val="Heading2"/>
      </w:pPr>
      <w:r>
        <w:t xml:space="preserve">Remarks</w:t>
      </w:r>
    </w:p>
    <w:p>
      <w:pPr>
        <w:pStyle w:val="Compact"/>
        <w:numPr>
          <w:ilvl w:val="0"/>
          <w:numId w:val="1364"/>
        </w:numPr>
      </w:pPr>
      <w:r>
        <w:t xml:space="preserve">On Windows, lookup is case-insensitive. On Unix-like systems, lookup is case-sensitive.</w:t>
      </w:r>
    </w:p>
    <w:p>
      <w:pPr>
        <w:pStyle w:val="Compact"/>
        <w:numPr>
          <w:ilvl w:val="0"/>
          <w:numId w:val="1364"/>
        </w:numPr>
      </w:pPr>
      <w:r>
        <w:t xml:space="preserve">Unlike</w:t>
      </w:r>
      <w:r>
        <w:t xml:space="preserve"> </w:t>
      </w:r>
      <w:r>
        <w:rPr>
          <w:rStyle w:val="VerbatimChar"/>
        </w:rPr>
        <w:t xml:space="preserve">AxGetEnv</w:t>
      </w:r>
      <w:r>
        <w:t xml:space="preserve">, this method lets you specify a fallback value in the same call.</w:t>
      </w:r>
    </w:p>
    <w:p>
      <w:pPr>
        <w:pStyle w:val="Compact"/>
        <w:numPr>
          <w:ilvl w:val="0"/>
          <w:numId w:val="1364"/>
        </w:numPr>
      </w:pPr>
      <w:r>
        <w:t xml:space="preserve">Method names are case-insensitive in VBScript dispatch.</w:t>
      </w:r>
    </w:p>
    <w:bookmarkEnd w:id="1280"/>
    <w:bookmarkStart w:id="1281" w:name="example-3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port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port = ax.AxEnvironmentValue</w:t>
      </w:r>
      <w:r>
        <w:rPr>
          <w:rStyle w:val="OtherTok"/>
        </w:rPr>
        <w:t xml:space="preserve">(</w:t>
      </w:r>
      <w:r>
        <w:rPr>
          <w:rStyle w:val="StringTok"/>
        </w:rPr>
        <w:t xml:space="preserve">"APP_PORT"</w:t>
      </w:r>
      <w:r>
        <w:rPr>
          <w:rStyle w:val="OtherTok"/>
        </w:rPr>
        <w:t xml:space="preserve">,</w:t>
      </w:r>
      <w:r>
        <w:rPr>
          <w:rStyle w:val="NormalTok"/>
        </w:rPr>
        <w:t xml:space="preserve"> </w:t>
      </w:r>
      <w:r>
        <w:rPr>
          <w:rStyle w:val="StringTok"/>
        </w:rPr>
        <w:t xml:space="preserve">"8080"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"Port: "</w:t>
      </w:r>
      <w:r>
        <w:rPr>
          <w:rStyle w:val="NormalTok"/>
        </w:rPr>
        <w:t xml:space="preserve"> </w:t>
      </w:r>
      <w:r>
        <w:rPr>
          <w:rStyle w:val="KeywordTok"/>
        </w:rPr>
        <w:t xml:space="preserve">&amp;</w:t>
      </w:r>
      <w:r>
        <w:rPr>
          <w:rStyle w:val="NormalTok"/>
        </w:rPr>
        <w:t xml:space="preserve"> port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81"/>
    <w:bookmarkStart w:id="1282" w:name="api-reference-33"/>
    <w:p>
      <w:pPr>
        <w:pStyle w:val="Heading2"/>
      </w:pPr>
      <w:r>
        <w:t xml:space="preserve">API Reference</w:t>
      </w:r>
    </w:p>
    <w:p>
      <w:pPr>
        <w:pStyle w:val="Compact"/>
        <w:numPr>
          <w:ilvl w:val="0"/>
          <w:numId w:val="1365"/>
        </w:numPr>
      </w:pPr>
      <w:r>
        <w:rPr>
          <w:b/>
          <w:bCs/>
        </w:rPr>
        <w:t xml:space="preserve">Object</w:t>
      </w:r>
      <w:r>
        <w:t xml:space="preserve">:</w:t>
      </w:r>
      <w:r>
        <w:t xml:space="preserve"> </w:t>
      </w:r>
      <w:r>
        <w:rPr>
          <w:rStyle w:val="VerbatimChar"/>
        </w:rPr>
        <w:t xml:space="preserve">G3AXON.FUNCTIONS</w:t>
      </w:r>
    </w:p>
    <w:p>
      <w:pPr>
        <w:pStyle w:val="Compact"/>
        <w:numPr>
          <w:ilvl w:val="0"/>
          <w:numId w:val="1365"/>
        </w:numPr>
      </w:pPr>
      <w:r>
        <w:rPr>
          <w:b/>
          <w:bCs/>
        </w:rPr>
        <w:t xml:space="preserve">Method</w:t>
      </w:r>
      <w:r>
        <w:t xml:space="preserve">:</w:t>
      </w:r>
      <w:r>
        <w:t xml:space="preserve"> </w:t>
      </w:r>
      <w:r>
        <w:rPr>
          <w:rStyle w:val="VerbatimChar"/>
        </w:rPr>
        <w:t xml:space="preserve">AxEnvironmentValue</w:t>
      </w:r>
    </w:p>
    <w:p>
      <w:pPr>
        <w:pStyle w:val="Compact"/>
        <w:numPr>
          <w:ilvl w:val="0"/>
          <w:numId w:val="1365"/>
        </w:numPr>
      </w:pPr>
      <w:r>
        <w:rPr>
          <w:b/>
          <w:bCs/>
        </w:rPr>
        <w:t xml:space="preserve">Arguments</w:t>
      </w:r>
      <w:r>
        <w:t xml:space="preserve">:</w:t>
      </w:r>
      <w:r>
        <w:t xml:space="preserve"> </w:t>
      </w:r>
      <w:r>
        <w:rPr>
          <w:rStyle w:val="VerbatimChar"/>
        </w:rPr>
        <w:t xml:space="preserve">name As String [, default As Variant]</w:t>
      </w:r>
    </w:p>
    <w:p>
      <w:pPr>
        <w:pStyle w:val="Compact"/>
        <w:numPr>
          <w:ilvl w:val="0"/>
          <w:numId w:val="1365"/>
        </w:numPr>
      </w:pPr>
      <w:r>
        <w:rPr>
          <w:b/>
          <w:bCs/>
        </w:rPr>
        <w:t xml:space="preserve">Returns</w:t>
      </w:r>
      <w:r>
        <w:t xml:space="preserve">:</w:t>
      </w:r>
      <w:r>
        <w:t xml:space="preserve"> </w:t>
      </w:r>
      <w:r>
        <w:rPr>
          <w:rStyle w:val="VerbatimChar"/>
        </w:rPr>
        <w:t xml:space="preserve">String</w:t>
      </w:r>
      <w:r>
        <w:t xml:space="preserve"> </w:t>
      </w:r>
      <w:r>
        <w:t xml:space="preserve">(variable value or default)</w:t>
      </w:r>
    </w:p>
    <w:bookmarkEnd w:id="1282"/>
    <w:bookmarkEnd w:id="1283"/>
    <w:bookmarkStart w:id="1292" w:name="get-the-current-process-id"/>
    <w:p>
      <w:pPr>
        <w:pStyle w:val="Heading1"/>
      </w:pPr>
      <w:r>
        <w:t xml:space="preserve">Get the Current Process ID</w:t>
      </w:r>
    </w:p>
    <w:bookmarkStart w:id="1284" w:name="overview-74"/>
    <w:p>
      <w:pPr>
        <w:pStyle w:val="Heading2"/>
      </w:pPr>
      <w:r>
        <w:t xml:space="preserve">Overview</w:t>
      </w:r>
    </w:p>
    <w:p>
      <w:pPr>
        <w:pStyle w:val="FirstParagraph"/>
      </w:pPr>
      <w:r>
        <w:t xml:space="preserve">Returns the operating system Process ID (PID) of the current AxonASP process.</w:t>
      </w:r>
    </w:p>
    <w:bookmarkEnd w:id="1284"/>
    <w:bookmarkStart w:id="1285" w:name="prerequisites-3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85"/>
    <w:bookmarkStart w:id="1286" w:name="syntax-91"/>
    <w:p>
      <w:pPr>
        <w:pStyle w:val="Heading2"/>
      </w:pPr>
      <w:r>
        <w:t xml:space="preserve">Syntax</w:t>
      </w:r>
    </w:p>
    <w:p>
      <w:pPr>
        <w:pStyle w:val="SourceCode"/>
      </w:pPr>
      <w:r>
        <w:rPr>
          <w:rStyle w:val="NormalTok"/>
        </w:rPr>
        <w:t xml:space="preserve">result = obj.AxProcessId()</w:t>
      </w:r>
    </w:p>
    <w:bookmarkEnd w:id="1286"/>
    <w:bookmarkStart w:id="1287" w:name="parameters-21"/>
    <w:p>
      <w:pPr>
        <w:pStyle w:val="Heading2"/>
      </w:pPr>
      <w:r>
        <w:t xml:space="preserve">Parameters</w:t>
      </w:r>
    </w:p>
    <w:p>
      <w:pPr>
        <w:pStyle w:val="FirstParagraph"/>
      </w:pPr>
      <w:r>
        <w:t xml:space="preserve">This method does not require parameters.</w:t>
      </w:r>
    </w:p>
    <w:bookmarkEnd w:id="1287"/>
    <w:bookmarkStart w:id="1288" w:name="return-value-37"/>
    <w:p>
      <w:pPr>
        <w:pStyle w:val="Heading2"/>
      </w:pPr>
      <w:r>
        <w:t xml:space="preserve">Return Value</w:t>
      </w:r>
    </w:p>
    <w:p>
      <w:pPr>
        <w:pStyle w:val="Compact"/>
        <w:numPr>
          <w:ilvl w:val="0"/>
          <w:numId w:val="1366"/>
        </w:numPr>
      </w:pPr>
      <w:r>
        <w:rPr>
          <w:b/>
          <w:bCs/>
        </w:rPr>
        <w:t xml:space="preserve">Integer</w:t>
      </w:r>
      <w:r>
        <w:t xml:space="preserve">: Returns the numeric PID assigned by the OS to the current process.</w:t>
      </w:r>
    </w:p>
    <w:bookmarkEnd w:id="1288"/>
    <w:bookmarkStart w:id="1289" w:name="remarks-103"/>
    <w:p>
      <w:pPr>
        <w:pStyle w:val="Heading2"/>
      </w:pPr>
      <w:r>
        <w:t xml:space="preserve">Remarks</w:t>
      </w:r>
    </w:p>
    <w:p>
      <w:pPr>
        <w:pStyle w:val="Compact"/>
        <w:numPr>
          <w:ilvl w:val="0"/>
          <w:numId w:val="1367"/>
        </w:numPr>
      </w:pPr>
      <w:r>
        <w:t xml:space="preserve">Method names are case-insensitive in VBScript dispatch.</w:t>
      </w:r>
    </w:p>
    <w:bookmarkEnd w:id="1289"/>
    <w:bookmarkStart w:id="1290" w:name="example-3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"PID: "</w:t>
      </w:r>
      <w:r>
        <w:rPr>
          <w:rStyle w:val="NormalTok"/>
        </w:rPr>
        <w:t xml:space="preserve"> </w:t>
      </w:r>
      <w:r>
        <w:rPr>
          <w:rStyle w:val="KeywordTok"/>
        </w:rPr>
        <w:t xml:space="preserve">&amp;</w:t>
      </w:r>
      <w:r>
        <w:rPr>
          <w:rStyle w:val="NormalTok"/>
        </w:rPr>
        <w:t xml:space="preserve"> ax.AxProcessId</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90"/>
    <w:bookmarkStart w:id="1291" w:name="api-reference-34"/>
    <w:p>
      <w:pPr>
        <w:pStyle w:val="Heading2"/>
      </w:pPr>
      <w:r>
        <w:t xml:space="preserve">API Reference</w:t>
      </w:r>
    </w:p>
    <w:p>
      <w:pPr>
        <w:pStyle w:val="Compact"/>
        <w:numPr>
          <w:ilvl w:val="0"/>
          <w:numId w:val="1368"/>
        </w:numPr>
      </w:pPr>
      <w:r>
        <w:rPr>
          <w:b/>
          <w:bCs/>
        </w:rPr>
        <w:t xml:space="preserve">Object</w:t>
      </w:r>
      <w:r>
        <w:t xml:space="preserve">:</w:t>
      </w:r>
      <w:r>
        <w:t xml:space="preserve"> </w:t>
      </w:r>
      <w:r>
        <w:rPr>
          <w:rStyle w:val="VerbatimChar"/>
        </w:rPr>
        <w:t xml:space="preserve">G3AXON.FUNCTIONS</w:t>
      </w:r>
    </w:p>
    <w:p>
      <w:pPr>
        <w:pStyle w:val="Compact"/>
        <w:numPr>
          <w:ilvl w:val="0"/>
          <w:numId w:val="1368"/>
        </w:numPr>
      </w:pPr>
      <w:r>
        <w:rPr>
          <w:b/>
          <w:bCs/>
        </w:rPr>
        <w:t xml:space="preserve">Method</w:t>
      </w:r>
      <w:r>
        <w:t xml:space="preserve">:</w:t>
      </w:r>
      <w:r>
        <w:t xml:space="preserve"> </w:t>
      </w:r>
      <w:r>
        <w:rPr>
          <w:rStyle w:val="VerbatimChar"/>
        </w:rPr>
        <w:t xml:space="preserve">AxProcessId</w:t>
      </w:r>
    </w:p>
    <w:p>
      <w:pPr>
        <w:pStyle w:val="Compact"/>
        <w:numPr>
          <w:ilvl w:val="0"/>
          <w:numId w:val="1368"/>
        </w:numPr>
      </w:pPr>
      <w:r>
        <w:rPr>
          <w:b/>
          <w:bCs/>
        </w:rPr>
        <w:t xml:space="preserve">Arguments</w:t>
      </w:r>
      <w:r>
        <w:t xml:space="preserve">: none</w:t>
      </w:r>
    </w:p>
    <w:p>
      <w:pPr>
        <w:pStyle w:val="Compact"/>
        <w:numPr>
          <w:ilvl w:val="0"/>
          <w:numId w:val="1368"/>
        </w:numPr>
      </w:pPr>
      <w:r>
        <w:rPr>
          <w:b/>
          <w:bCs/>
        </w:rPr>
        <w:t xml:space="preserve">Returns</w:t>
      </w:r>
      <w:r>
        <w:t xml:space="preserve">:</w:t>
      </w:r>
      <w:r>
        <w:t xml:space="preserve"> </w:t>
      </w:r>
      <w:r>
        <w:rPr>
          <w:rStyle w:val="VerbatimChar"/>
        </w:rPr>
        <w:t xml:space="preserve">Integer</w:t>
      </w:r>
      <w:r>
        <w:t xml:space="preserve"> </w:t>
      </w:r>
      <w:r>
        <w:t xml:space="preserve">(operating system process identifier)</w:t>
      </w:r>
    </w:p>
    <w:bookmarkEnd w:id="1291"/>
    <w:bookmarkEnd w:id="1292"/>
    <w:bookmarkStart w:id="1301" w:name="get-the-effective-user-id"/>
    <w:p>
      <w:pPr>
        <w:pStyle w:val="Heading1"/>
      </w:pPr>
      <w:r>
        <w:t xml:space="preserve">Get the Effective User ID</w:t>
      </w:r>
    </w:p>
    <w:bookmarkStart w:id="1293" w:name="overview-75"/>
    <w:p>
      <w:pPr>
        <w:pStyle w:val="Heading2"/>
      </w:pPr>
      <w:r>
        <w:t xml:space="preserve">Overview</w:t>
      </w:r>
    </w:p>
    <w:p>
      <w:pPr>
        <w:pStyle w:val="FirstParagraph"/>
      </w:pPr>
      <w:r>
        <w:t xml:space="preserve">Returns the effective user ID (</w:t>
      </w:r>
      <w:r>
        <w:rPr>
          <w:rStyle w:val="VerbatimChar"/>
        </w:rPr>
        <w:t xml:space="preserve">euid</w:t>
      </w:r>
      <w:r>
        <w:t xml:space="preserve">) of the AxonASP process.</w:t>
      </w:r>
    </w:p>
    <w:bookmarkEnd w:id="1293"/>
    <w:bookmarkStart w:id="1294" w:name="prerequisites-3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294"/>
    <w:bookmarkStart w:id="1295" w:name="syntax-92"/>
    <w:p>
      <w:pPr>
        <w:pStyle w:val="Heading2"/>
      </w:pPr>
      <w:r>
        <w:t xml:space="preserve">Syntax</w:t>
      </w:r>
    </w:p>
    <w:p>
      <w:pPr>
        <w:pStyle w:val="SourceCode"/>
      </w:pPr>
      <w:r>
        <w:rPr>
          <w:rStyle w:val="NormalTok"/>
        </w:rPr>
        <w:t xml:space="preserve">result = obj.AxEffectiveUserId()</w:t>
      </w:r>
    </w:p>
    <w:bookmarkEnd w:id="1295"/>
    <w:bookmarkStart w:id="1296" w:name="parameters-22"/>
    <w:p>
      <w:pPr>
        <w:pStyle w:val="Heading2"/>
      </w:pPr>
      <w:r>
        <w:t xml:space="preserve">Parameters</w:t>
      </w:r>
    </w:p>
    <w:p>
      <w:pPr>
        <w:pStyle w:val="FirstParagraph"/>
      </w:pPr>
      <w:r>
        <w:t xml:space="preserve">This method does not require parameters.</w:t>
      </w:r>
    </w:p>
    <w:bookmarkEnd w:id="1296"/>
    <w:bookmarkStart w:id="1297" w:name="return-value-38"/>
    <w:p>
      <w:pPr>
        <w:pStyle w:val="Heading2"/>
      </w:pPr>
      <w:r>
        <w:t xml:space="preserve">Return Value</w:t>
      </w:r>
    </w:p>
    <w:p>
      <w:pPr>
        <w:pStyle w:val="Compact"/>
        <w:numPr>
          <w:ilvl w:val="0"/>
          <w:numId w:val="1369"/>
        </w:numPr>
      </w:pPr>
      <w:r>
        <w:rPr>
          <w:b/>
          <w:bCs/>
        </w:rPr>
        <w:t xml:space="preserve">Integer</w:t>
      </w:r>
      <w:r>
        <w:t xml:space="preserve">: Returns the numeric effective user ID on Unix-like systems.</w:t>
      </w:r>
    </w:p>
    <w:p>
      <w:pPr>
        <w:pStyle w:val="Compact"/>
        <w:numPr>
          <w:ilvl w:val="0"/>
          <w:numId w:val="1369"/>
        </w:numPr>
      </w:pPr>
      <w:r>
        <w:rPr>
          <w:b/>
          <w:bCs/>
        </w:rPr>
        <w:t xml:space="preserve">Integer</w:t>
      </w:r>
      <w:r>
        <w:t xml:space="preserve">: Returns</w:t>
      </w:r>
      <w:r>
        <w:t xml:space="preserve"> </w:t>
      </w:r>
      <w:r>
        <w:rPr>
          <w:rStyle w:val="VerbatimChar"/>
        </w:rPr>
        <w:t xml:space="preserve">-1</w:t>
      </w:r>
      <w:r>
        <w:t xml:space="preserve"> </w:t>
      </w:r>
      <w:r>
        <w:t xml:space="preserve">on Windows, where the effective user ID concept does not apply.</w:t>
      </w:r>
    </w:p>
    <w:bookmarkEnd w:id="1297"/>
    <w:bookmarkStart w:id="1298" w:name="remarks-104"/>
    <w:p>
      <w:pPr>
        <w:pStyle w:val="Heading2"/>
      </w:pPr>
      <w:r>
        <w:t xml:space="preserve">Remarks</w:t>
      </w:r>
    </w:p>
    <w:p>
      <w:pPr>
        <w:pStyle w:val="Compact"/>
        <w:numPr>
          <w:ilvl w:val="0"/>
          <w:numId w:val="1370"/>
        </w:numPr>
      </w:pPr>
      <w:r>
        <w:t xml:space="preserve">On Unix-like systems, a return value of</w:t>
      </w:r>
      <w:r>
        <w:t xml:space="preserve"> </w:t>
      </w:r>
      <w:r>
        <w:rPr>
          <w:rStyle w:val="VerbatimChar"/>
        </w:rPr>
        <w:t xml:space="preserve">0</w:t>
      </w:r>
      <w:r>
        <w:t xml:space="preserve"> </w:t>
      </w:r>
      <w:r>
        <w:t xml:space="preserve">indicates the process is running as root.</w:t>
      </w:r>
    </w:p>
    <w:p>
      <w:pPr>
        <w:pStyle w:val="Compact"/>
        <w:numPr>
          <w:ilvl w:val="0"/>
          <w:numId w:val="1370"/>
        </w:numPr>
      </w:pPr>
      <w:r>
        <w:t xml:space="preserve">Method names are case-insensitive in VBScript dispatch.</w:t>
      </w:r>
    </w:p>
    <w:bookmarkEnd w:id="1298"/>
    <w:bookmarkStart w:id="1299" w:name="example-4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ntrolFlowTok"/>
        </w:rPr>
        <w:t xml:space="preserve">If</w:t>
      </w:r>
      <w:r>
        <w:rPr>
          <w:rStyle w:val="NormalTok"/>
        </w:rPr>
        <w:t xml:space="preserve"> ax.AxEffectiveUserId</w:t>
      </w:r>
      <w:r>
        <w:rPr>
          <w:rStyle w:val="OtherTok"/>
        </w:rPr>
        <w:t xml:space="preserve">()</w:t>
      </w:r>
      <w:r>
        <w:rPr>
          <w:rStyle w:val="NormalTok"/>
        </w:rPr>
        <w:t xml:space="preserve"> =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"Running as root/superuser"</w:t>
      </w:r>
      <w:r>
        <w:br/>
      </w:r>
      <w:r>
        <w:rPr>
          <w:rStyle w:val="ControlFlowTok"/>
        </w:rPr>
        <w:t xml:space="preserve">ElseIf</w:t>
      </w:r>
      <w:r>
        <w:rPr>
          <w:rStyle w:val="NormalTok"/>
        </w:rPr>
        <w:t xml:space="preserve"> ax.AxEffectiveUserId</w:t>
      </w:r>
      <w:r>
        <w:rPr>
          <w:rStyle w:val="OtherTok"/>
        </w:rPr>
        <w:t xml:space="preserve">()</w:t>
      </w:r>
      <w:r>
        <w:rPr>
          <w:rStyle w:val="NormalTok"/>
        </w:rPr>
        <w:t xml:space="preserve"> = -</w:t>
      </w:r>
      <w:r>
        <w:rPr>
          <w:rStyle w:val="DecValTok"/>
        </w:rPr>
        <w:t xml:space="preserve">1</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"Windows: effective UID not applicable"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"Effective UID: "</w:t>
      </w:r>
      <w:r>
        <w:rPr>
          <w:rStyle w:val="NormalTok"/>
        </w:rPr>
        <w:t xml:space="preserve"> </w:t>
      </w:r>
      <w:r>
        <w:rPr>
          <w:rStyle w:val="KeywordTok"/>
        </w:rPr>
        <w:t xml:space="preserve">&amp;</w:t>
      </w:r>
      <w:r>
        <w:rPr>
          <w:rStyle w:val="NormalTok"/>
        </w:rPr>
        <w:t xml:space="preserve"> ax.AxEffectiveUserId</w:t>
      </w:r>
      <w:r>
        <w:rPr>
          <w:rStyle w:val="OtherTok"/>
        </w:rPr>
        <w:t xml:space="preserve">()</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299"/>
    <w:bookmarkStart w:id="1300" w:name="api-reference-35"/>
    <w:p>
      <w:pPr>
        <w:pStyle w:val="Heading2"/>
      </w:pPr>
      <w:r>
        <w:t xml:space="preserve">API Reference</w:t>
      </w:r>
    </w:p>
    <w:p>
      <w:pPr>
        <w:pStyle w:val="Compact"/>
        <w:numPr>
          <w:ilvl w:val="0"/>
          <w:numId w:val="1371"/>
        </w:numPr>
      </w:pPr>
      <w:r>
        <w:rPr>
          <w:b/>
          <w:bCs/>
        </w:rPr>
        <w:t xml:space="preserve">Object</w:t>
      </w:r>
      <w:r>
        <w:t xml:space="preserve">:</w:t>
      </w:r>
      <w:r>
        <w:t xml:space="preserve"> </w:t>
      </w:r>
      <w:r>
        <w:rPr>
          <w:rStyle w:val="VerbatimChar"/>
        </w:rPr>
        <w:t xml:space="preserve">G3AXON.FUNCTIONS</w:t>
      </w:r>
    </w:p>
    <w:p>
      <w:pPr>
        <w:pStyle w:val="Compact"/>
        <w:numPr>
          <w:ilvl w:val="0"/>
          <w:numId w:val="1371"/>
        </w:numPr>
      </w:pPr>
      <w:r>
        <w:rPr>
          <w:b/>
          <w:bCs/>
        </w:rPr>
        <w:t xml:space="preserve">Method</w:t>
      </w:r>
      <w:r>
        <w:t xml:space="preserve">:</w:t>
      </w:r>
      <w:r>
        <w:t xml:space="preserve"> </w:t>
      </w:r>
      <w:r>
        <w:rPr>
          <w:rStyle w:val="VerbatimChar"/>
        </w:rPr>
        <w:t xml:space="preserve">AxEffectiveUserId</w:t>
      </w:r>
    </w:p>
    <w:p>
      <w:pPr>
        <w:pStyle w:val="Compact"/>
        <w:numPr>
          <w:ilvl w:val="0"/>
          <w:numId w:val="1371"/>
        </w:numPr>
      </w:pPr>
      <w:r>
        <w:rPr>
          <w:b/>
          <w:bCs/>
        </w:rPr>
        <w:t xml:space="preserve">Arguments</w:t>
      </w:r>
      <w:r>
        <w:t xml:space="preserve">: none</w:t>
      </w:r>
    </w:p>
    <w:p>
      <w:pPr>
        <w:pStyle w:val="Compact"/>
        <w:numPr>
          <w:ilvl w:val="0"/>
          <w:numId w:val="1371"/>
        </w:numPr>
      </w:pPr>
      <w:r>
        <w:rPr>
          <w:b/>
          <w:bCs/>
        </w:rPr>
        <w:t xml:space="preserve">Returns</w:t>
      </w:r>
      <w:r>
        <w:t xml:space="preserve">:</w:t>
      </w:r>
      <w:r>
        <w:t xml:space="preserve"> </w:t>
      </w:r>
      <w:r>
        <w:rPr>
          <w:rStyle w:val="VerbatimChar"/>
        </w:rPr>
        <w:t xml:space="preserve">Integer</w:t>
      </w:r>
      <w:r>
        <w:t xml:space="preserve"> </w:t>
      </w:r>
      <w:r>
        <w:t xml:space="preserve">(euid on Unix,</w:t>
      </w:r>
      <w:r>
        <w:t xml:space="preserve"> </w:t>
      </w:r>
      <w:r>
        <w:rPr>
          <w:rStyle w:val="VerbatimChar"/>
        </w:rPr>
        <w:t xml:space="preserve">-1</w:t>
      </w:r>
      <w:r>
        <w:t xml:space="preserve"> </w:t>
      </w:r>
      <w:r>
        <w:t xml:space="preserve">on Windows)</w:t>
      </w:r>
    </w:p>
    <w:bookmarkEnd w:id="1300"/>
    <w:bookmarkEnd w:id="1301"/>
    <w:bookmarkStart w:id="1310" w:name="get-the-directory-separator-character"/>
    <w:p>
      <w:pPr>
        <w:pStyle w:val="Heading1"/>
      </w:pPr>
      <w:r>
        <w:t xml:space="preserve">Get the Directory Separator Character</w:t>
      </w:r>
    </w:p>
    <w:bookmarkStart w:id="1302" w:name="overview-76"/>
    <w:p>
      <w:pPr>
        <w:pStyle w:val="Heading2"/>
      </w:pPr>
      <w:r>
        <w:t xml:space="preserve">Overview</w:t>
      </w:r>
    </w:p>
    <w:p>
      <w:pPr>
        <w:pStyle w:val="FirstParagraph"/>
      </w:pPr>
      <w:r>
        <w:t xml:space="preserve">Returns the character the operating system uses to separate directory components in a file path.</w:t>
      </w:r>
    </w:p>
    <w:bookmarkEnd w:id="1302"/>
    <w:bookmarkStart w:id="1303" w:name="prerequisites-3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03"/>
    <w:bookmarkStart w:id="1304" w:name="syntax-93"/>
    <w:p>
      <w:pPr>
        <w:pStyle w:val="Heading2"/>
      </w:pPr>
      <w:r>
        <w:t xml:space="preserve">Syntax</w:t>
      </w:r>
    </w:p>
    <w:p>
      <w:pPr>
        <w:pStyle w:val="SourceCode"/>
      </w:pPr>
      <w:r>
        <w:rPr>
          <w:rStyle w:val="NormalTok"/>
        </w:rPr>
        <w:t xml:space="preserve">result = obj.AxDirSeparator()</w:t>
      </w:r>
    </w:p>
    <w:bookmarkEnd w:id="1304"/>
    <w:bookmarkStart w:id="1305" w:name="parameters-23"/>
    <w:p>
      <w:pPr>
        <w:pStyle w:val="Heading2"/>
      </w:pPr>
      <w:r>
        <w:t xml:space="preserve">Parameters</w:t>
      </w:r>
    </w:p>
    <w:p>
      <w:pPr>
        <w:pStyle w:val="FirstParagraph"/>
      </w:pPr>
      <w:r>
        <w:t xml:space="preserve">This method does not require parameters.</w:t>
      </w:r>
    </w:p>
    <w:bookmarkEnd w:id="1305"/>
    <w:bookmarkStart w:id="1306" w:name="return-value-39"/>
    <w:p>
      <w:pPr>
        <w:pStyle w:val="Heading2"/>
      </w:pPr>
      <w:r>
        <w:t xml:space="preserve">Return Value</w:t>
      </w:r>
    </w:p>
    <w:p>
      <w:pPr>
        <w:pStyle w:val="Compact"/>
        <w:numPr>
          <w:ilvl w:val="0"/>
          <w:numId w:val="1372"/>
        </w:numPr>
      </w:pPr>
      <w:r>
        <w:rPr>
          <w:b/>
          <w:bCs/>
        </w:rPr>
        <w:t xml:space="preserve">String</w:t>
      </w:r>
      <w:r>
        <w:t xml:space="preserve">: Returns</w:t>
      </w:r>
      <w:r>
        <w:t xml:space="preserve"> </w:t>
      </w:r>
      <w:r>
        <w:rPr>
          <w:rStyle w:val="VerbatimChar"/>
        </w:rPr>
        <w:t xml:space="preserve">"\"</w:t>
      </w:r>
      <w:r>
        <w:t xml:space="preserve"> </w:t>
      </w:r>
      <w:r>
        <w:t xml:space="preserve">on Windows systems.</w:t>
      </w:r>
    </w:p>
    <w:p>
      <w:pPr>
        <w:pStyle w:val="Compact"/>
        <w:numPr>
          <w:ilvl w:val="0"/>
          <w:numId w:val="1372"/>
        </w:numPr>
      </w:pPr>
      <w:r>
        <w:rPr>
          <w:b/>
          <w:bCs/>
        </w:rPr>
        <w:t xml:space="preserve">String</w:t>
      </w:r>
      <w:r>
        <w:t xml:space="preserve">: Returns</w:t>
      </w:r>
      <w:r>
        <w:t xml:space="preserve"> </w:t>
      </w:r>
      <w:r>
        <w:rPr>
          <w:rStyle w:val="VerbatimChar"/>
        </w:rPr>
        <w:t xml:space="preserve">"/"</w:t>
      </w:r>
      <w:r>
        <w:t xml:space="preserve"> </w:t>
      </w:r>
      <w:r>
        <w:t xml:space="preserve">on Unix-like systems.</w:t>
      </w:r>
    </w:p>
    <w:bookmarkEnd w:id="1306"/>
    <w:bookmarkStart w:id="1307" w:name="remarks-105"/>
    <w:p>
      <w:pPr>
        <w:pStyle w:val="Heading2"/>
      </w:pPr>
      <w:r>
        <w:t xml:space="preserve">Remarks</w:t>
      </w:r>
    </w:p>
    <w:p>
      <w:pPr>
        <w:pStyle w:val="Compact"/>
        <w:numPr>
          <w:ilvl w:val="0"/>
          <w:numId w:val="1373"/>
        </w:numPr>
      </w:pPr>
      <w:r>
        <w:t xml:space="preserve">Method names are case-insensitive in VBScript dispatch.</w:t>
      </w:r>
    </w:p>
    <w:bookmarkEnd w:id="1307"/>
    <w:bookmarkStart w:id="1308" w:name="example-4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sep</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sep = ax.AxDirSeparator</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"docs"</w:t>
      </w:r>
      <w:r>
        <w:rPr>
          <w:rStyle w:val="NormalTok"/>
        </w:rPr>
        <w:t xml:space="preserve"> </w:t>
      </w:r>
      <w:r>
        <w:rPr>
          <w:rStyle w:val="KeywordTok"/>
        </w:rPr>
        <w:t xml:space="preserve">&amp;</w:t>
      </w:r>
      <w:r>
        <w:rPr>
          <w:rStyle w:val="NormalTok"/>
        </w:rPr>
        <w:t xml:space="preserve"> sep </w:t>
      </w:r>
      <w:r>
        <w:rPr>
          <w:rStyle w:val="KeywordTok"/>
        </w:rPr>
        <w:t xml:space="preserve">&amp;</w:t>
      </w:r>
      <w:r>
        <w:rPr>
          <w:rStyle w:val="NormalTok"/>
        </w:rPr>
        <w:t xml:space="preserve"> </w:t>
      </w:r>
      <w:r>
        <w:rPr>
          <w:rStyle w:val="StringTok"/>
        </w:rPr>
        <w:t xml:space="preserve">"manual"</w:t>
      </w:r>
      <w:r>
        <w:rPr>
          <w:rStyle w:val="NormalTok"/>
        </w:rPr>
        <w:t xml:space="preserve"> </w:t>
      </w:r>
      <w:r>
        <w:rPr>
          <w:rStyle w:val="KeywordTok"/>
        </w:rPr>
        <w:t xml:space="preserve">&amp;</w:t>
      </w:r>
      <w:r>
        <w:rPr>
          <w:rStyle w:val="NormalTok"/>
        </w:rPr>
        <w:t xml:space="preserve"> sep </w:t>
      </w:r>
      <w:r>
        <w:rPr>
          <w:rStyle w:val="KeywordTok"/>
        </w:rPr>
        <w:t xml:space="preserve">&amp;</w:t>
      </w:r>
      <w:r>
        <w:rPr>
          <w:rStyle w:val="NormalTok"/>
        </w:rPr>
        <w:t xml:space="preserve"> </w:t>
      </w:r>
      <w:r>
        <w:rPr>
          <w:rStyle w:val="StringTok"/>
        </w:rPr>
        <w:t xml:space="preserve">"index.html"</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08"/>
    <w:bookmarkStart w:id="1309" w:name="api-reference-36"/>
    <w:p>
      <w:pPr>
        <w:pStyle w:val="Heading2"/>
      </w:pPr>
      <w:r>
        <w:t xml:space="preserve">API Reference</w:t>
      </w:r>
    </w:p>
    <w:p>
      <w:pPr>
        <w:pStyle w:val="Compact"/>
        <w:numPr>
          <w:ilvl w:val="0"/>
          <w:numId w:val="1374"/>
        </w:numPr>
      </w:pPr>
      <w:r>
        <w:rPr>
          <w:b/>
          <w:bCs/>
        </w:rPr>
        <w:t xml:space="preserve">Object</w:t>
      </w:r>
      <w:r>
        <w:t xml:space="preserve">:</w:t>
      </w:r>
      <w:r>
        <w:t xml:space="preserve"> </w:t>
      </w:r>
      <w:r>
        <w:rPr>
          <w:rStyle w:val="VerbatimChar"/>
        </w:rPr>
        <w:t xml:space="preserve">G3AXON.FUNCTIONS</w:t>
      </w:r>
    </w:p>
    <w:p>
      <w:pPr>
        <w:pStyle w:val="Compact"/>
        <w:numPr>
          <w:ilvl w:val="0"/>
          <w:numId w:val="1374"/>
        </w:numPr>
      </w:pPr>
      <w:r>
        <w:rPr>
          <w:b/>
          <w:bCs/>
        </w:rPr>
        <w:t xml:space="preserve">Method</w:t>
      </w:r>
      <w:r>
        <w:t xml:space="preserve">:</w:t>
      </w:r>
      <w:r>
        <w:t xml:space="preserve"> </w:t>
      </w:r>
      <w:r>
        <w:rPr>
          <w:rStyle w:val="VerbatimChar"/>
        </w:rPr>
        <w:t xml:space="preserve">AxDirSeparator</w:t>
      </w:r>
    </w:p>
    <w:p>
      <w:pPr>
        <w:pStyle w:val="Compact"/>
        <w:numPr>
          <w:ilvl w:val="0"/>
          <w:numId w:val="1374"/>
        </w:numPr>
      </w:pPr>
      <w:r>
        <w:rPr>
          <w:b/>
          <w:bCs/>
        </w:rPr>
        <w:t xml:space="preserve">Arguments</w:t>
      </w:r>
      <w:r>
        <w:t xml:space="preserve">: none</w:t>
      </w:r>
    </w:p>
    <w:p>
      <w:pPr>
        <w:pStyle w:val="Compact"/>
        <w:numPr>
          <w:ilvl w:val="0"/>
          <w:numId w:val="1374"/>
        </w:numPr>
      </w:pPr>
      <w:r>
        <w:rPr>
          <w:b/>
          <w:bCs/>
        </w:rPr>
        <w:t xml:space="preserve">Returns</w:t>
      </w:r>
      <w:r>
        <w:t xml:space="preserve">:</w:t>
      </w:r>
      <w:r>
        <w:t xml:space="preserve"> </w:t>
      </w:r>
      <w:r>
        <w:rPr>
          <w:rStyle w:val="VerbatimChar"/>
        </w:rPr>
        <w:t xml:space="preserve">String</w:t>
      </w:r>
      <w:r>
        <w:t xml:space="preserve"> </w:t>
      </w:r>
      <w:r>
        <w:t xml:space="preserve">(</w:t>
      </w:r>
      <w:r>
        <w:rPr>
          <w:rStyle w:val="VerbatimChar"/>
        </w:rPr>
        <w:t xml:space="preserve">\</w:t>
      </w:r>
      <w:r>
        <w:t xml:space="preserve"> </w:t>
      </w:r>
      <w:r>
        <w:t xml:space="preserve">on Windows,</w:t>
      </w:r>
      <w:r>
        <w:t xml:space="preserve"> </w:t>
      </w:r>
      <w:r>
        <w:rPr>
          <w:rStyle w:val="VerbatimChar"/>
        </w:rPr>
        <w:t xml:space="preserve">/</w:t>
      </w:r>
      <w:r>
        <w:t xml:space="preserve"> </w:t>
      </w:r>
      <w:r>
        <w:t xml:space="preserve">on Unix)</w:t>
      </w:r>
    </w:p>
    <w:bookmarkEnd w:id="1309"/>
    <w:bookmarkEnd w:id="1310"/>
    <w:bookmarkStart w:id="1319" w:name="get-the-path-list-separator-character"/>
    <w:p>
      <w:pPr>
        <w:pStyle w:val="Heading1"/>
      </w:pPr>
      <w:r>
        <w:t xml:space="preserve">Get the Path List Separator Character</w:t>
      </w:r>
    </w:p>
    <w:bookmarkStart w:id="1311" w:name="overview-77"/>
    <w:p>
      <w:pPr>
        <w:pStyle w:val="Heading2"/>
      </w:pPr>
      <w:r>
        <w:t xml:space="preserve">Overview</w:t>
      </w:r>
    </w:p>
    <w:p>
      <w:pPr>
        <w:pStyle w:val="FirstParagraph"/>
      </w:pPr>
      <w:r>
        <w:t xml:space="preserve">Returns the character the operating system uses to separate entries in a path list, such as the</w:t>
      </w:r>
      <w:r>
        <w:t xml:space="preserve"> </w:t>
      </w:r>
      <w:r>
        <w:rPr>
          <w:rStyle w:val="VerbatimChar"/>
        </w:rPr>
        <w:t xml:space="preserve">PATH</w:t>
      </w:r>
      <w:r>
        <w:t xml:space="preserve"> </w:t>
      </w:r>
      <w:r>
        <w:t xml:space="preserve">environment variable.</w:t>
      </w:r>
    </w:p>
    <w:bookmarkEnd w:id="1311"/>
    <w:bookmarkStart w:id="1312" w:name="prerequisites-3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12"/>
    <w:bookmarkStart w:id="1313" w:name="syntax-94"/>
    <w:p>
      <w:pPr>
        <w:pStyle w:val="Heading2"/>
      </w:pPr>
      <w:r>
        <w:t xml:space="preserve">Syntax</w:t>
      </w:r>
    </w:p>
    <w:p>
      <w:pPr>
        <w:pStyle w:val="SourceCode"/>
      </w:pPr>
      <w:r>
        <w:rPr>
          <w:rStyle w:val="NormalTok"/>
        </w:rPr>
        <w:t xml:space="preserve">result = ax.AxPathListSeparator()</w:t>
      </w:r>
    </w:p>
    <w:bookmarkEnd w:id="1313"/>
    <w:bookmarkStart w:id="1314" w:name="parameters-24"/>
    <w:p>
      <w:pPr>
        <w:pStyle w:val="Heading2"/>
      </w:pPr>
      <w:r>
        <w:t xml:space="preserve">Parameters</w:t>
      </w:r>
    </w:p>
    <w:p>
      <w:pPr>
        <w:pStyle w:val="FirstParagraph"/>
      </w:pPr>
      <w:r>
        <w:t xml:space="preserve">This method does not accept any parameters.</w:t>
      </w:r>
    </w:p>
    <w:bookmarkEnd w:id="1314"/>
    <w:bookmarkStart w:id="1315" w:name="return-value-40"/>
    <w:p>
      <w:pPr>
        <w:pStyle w:val="Heading2"/>
      </w:pPr>
      <w:r>
        <w:t xml:space="preserve">Return Value</w:t>
      </w:r>
    </w:p>
    <w:p>
      <w:pPr>
        <w:pStyle w:val="Compact"/>
        <w:numPr>
          <w:ilvl w:val="0"/>
          <w:numId w:val="1375"/>
        </w:numPr>
      </w:pPr>
      <w:r>
        <w:rPr>
          <w:b/>
          <w:bCs/>
        </w:rPr>
        <w:t xml:space="preserve">String</w:t>
      </w:r>
      <w:r>
        <w:t xml:space="preserve">:</w:t>
      </w:r>
      <w:r>
        <w:t xml:space="preserve"> </w:t>
      </w:r>
      <w:r>
        <w:rPr>
          <w:rStyle w:val="VerbatimChar"/>
        </w:rPr>
        <w:t xml:space="preserve">";"</w:t>
      </w:r>
      <w:r>
        <w:t xml:space="preserve"> </w:t>
      </w:r>
      <w:r>
        <w:t xml:space="preserve">on Windows.</w:t>
      </w:r>
      <w:r>
        <w:t xml:space="preserve"> </w:t>
      </w:r>
      <w:r>
        <w:rPr>
          <w:rStyle w:val="VerbatimChar"/>
        </w:rPr>
        <w:t xml:space="preserve">":"</w:t>
      </w:r>
      <w:r>
        <w:t xml:space="preserve"> </w:t>
      </w:r>
      <w:r>
        <w:t xml:space="preserve">on Unix-like systems.</w:t>
      </w:r>
    </w:p>
    <w:bookmarkEnd w:id="1315"/>
    <w:bookmarkStart w:id="1316" w:name="remarks-106"/>
    <w:p>
      <w:pPr>
        <w:pStyle w:val="Heading2"/>
      </w:pPr>
      <w:r>
        <w:t xml:space="preserve">Remarks</w:t>
      </w:r>
    </w:p>
    <w:p>
      <w:pPr>
        <w:pStyle w:val="Compact"/>
        <w:numPr>
          <w:ilvl w:val="0"/>
          <w:numId w:val="1376"/>
        </w:numPr>
      </w:pPr>
      <w:r>
        <w:t xml:space="preserve">Use this method to build portable path list strings without hardcoding platform-specific separator characters.</w:t>
      </w:r>
    </w:p>
    <w:p>
      <w:pPr>
        <w:pStyle w:val="Compact"/>
        <w:numPr>
          <w:ilvl w:val="0"/>
          <w:numId w:val="1376"/>
        </w:numPr>
      </w:pPr>
      <w:r>
        <w:t xml:space="preserve">Method names are case-insensitive.</w:t>
      </w:r>
    </w:p>
    <w:bookmarkEnd w:id="1316"/>
    <w:bookmarkStart w:id="1317" w:name="example-4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sep</w:t>
      </w:r>
      <w:r>
        <w:rPr>
          <w:rStyle w:val="OtherTok"/>
        </w:rPr>
        <w:t xml:space="preserve">,</w:t>
      </w:r>
      <w:r>
        <w:rPr>
          <w:rStyle w:val="NormalTok"/>
        </w:rPr>
        <w:t xml:space="preserve"> pathList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sep = ax.AxPathListSeparator</w:t>
      </w:r>
      <w:r>
        <w:rPr>
          <w:rStyle w:val="OtherTok"/>
        </w:rPr>
        <w:t xml:space="preserve">()</w:t>
      </w:r>
      <w:r>
        <w:br/>
      </w:r>
      <w:r>
        <w:rPr>
          <w:rStyle w:val="NormalTok"/>
        </w:rPr>
        <w:t xml:space="preserve">pathList = </w:t>
      </w:r>
      <w:r>
        <w:rPr>
          <w:rStyle w:val="StringTok"/>
        </w:rPr>
        <w:t xml:space="preserve">"/usr/bin"</w:t>
      </w:r>
      <w:r>
        <w:rPr>
          <w:rStyle w:val="NormalTok"/>
        </w:rPr>
        <w:t xml:space="preserve"> </w:t>
      </w:r>
      <w:r>
        <w:rPr>
          <w:rStyle w:val="KeywordTok"/>
        </w:rPr>
        <w:t xml:space="preserve">&amp;</w:t>
      </w:r>
      <w:r>
        <w:rPr>
          <w:rStyle w:val="NormalTok"/>
        </w:rPr>
        <w:t xml:space="preserve"> sep </w:t>
      </w:r>
      <w:r>
        <w:rPr>
          <w:rStyle w:val="KeywordTok"/>
        </w:rPr>
        <w:t xml:space="preserve">&amp;</w:t>
      </w:r>
      <w:r>
        <w:rPr>
          <w:rStyle w:val="NormalTok"/>
        </w:rPr>
        <w:t xml:space="preserve"> </w:t>
      </w:r>
      <w:r>
        <w:rPr>
          <w:rStyle w:val="StringTok"/>
        </w:rPr>
        <w:t xml:space="preserve">"/usr/local/bin"</w:t>
      </w:r>
      <w:r>
        <w:rPr>
          <w:rStyle w:val="NormalTok"/>
        </w:rPr>
        <w:t xml:space="preserve"> </w:t>
      </w:r>
      <w:r>
        <w:rPr>
          <w:rStyle w:val="KeywordTok"/>
        </w:rPr>
        <w:t xml:space="preserve">&amp;</w:t>
      </w:r>
      <w:r>
        <w:rPr>
          <w:rStyle w:val="NormalTok"/>
        </w:rPr>
        <w:t xml:space="preserve"> sep </w:t>
      </w:r>
      <w:r>
        <w:rPr>
          <w:rStyle w:val="KeywordTok"/>
        </w:rPr>
        <w:t xml:space="preserve">&amp;</w:t>
      </w:r>
      <w:r>
        <w:rPr>
          <w:rStyle w:val="NormalTok"/>
        </w:rPr>
        <w:t xml:space="preserve"> </w:t>
      </w:r>
      <w:r>
        <w:rPr>
          <w:rStyle w:val="StringTok"/>
        </w:rPr>
        <w:t xml:space="preserve">"/opt/go/bin"</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"PATH list: "</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pathList</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17"/>
    <w:bookmarkStart w:id="1318" w:name="api-reference-37"/>
    <w:p>
      <w:pPr>
        <w:pStyle w:val="Heading2"/>
      </w:pPr>
      <w:r>
        <w:t xml:space="preserve">API Reference</w:t>
      </w:r>
    </w:p>
    <w:p>
      <w:pPr>
        <w:pStyle w:val="Compact"/>
        <w:numPr>
          <w:ilvl w:val="0"/>
          <w:numId w:val="1377"/>
        </w:numPr>
      </w:pPr>
      <w:r>
        <w:rPr>
          <w:b/>
          <w:bCs/>
        </w:rPr>
        <w:t xml:space="preserve">Object</w:t>
      </w:r>
      <w:r>
        <w:t xml:space="preserve">:</w:t>
      </w:r>
      <w:r>
        <w:t xml:space="preserve"> </w:t>
      </w:r>
      <w:r>
        <w:rPr>
          <w:rStyle w:val="VerbatimChar"/>
        </w:rPr>
        <w:t xml:space="preserve">G3AXON.FUNCTIONS</w:t>
      </w:r>
    </w:p>
    <w:p>
      <w:pPr>
        <w:pStyle w:val="Compact"/>
        <w:numPr>
          <w:ilvl w:val="0"/>
          <w:numId w:val="1377"/>
        </w:numPr>
      </w:pPr>
      <w:r>
        <w:rPr>
          <w:b/>
          <w:bCs/>
        </w:rPr>
        <w:t xml:space="preserve">Method</w:t>
      </w:r>
      <w:r>
        <w:t xml:space="preserve">:</w:t>
      </w:r>
      <w:r>
        <w:t xml:space="preserve"> </w:t>
      </w:r>
      <w:r>
        <w:rPr>
          <w:rStyle w:val="VerbatimChar"/>
        </w:rPr>
        <w:t xml:space="preserve">AxPathListSeparator</w:t>
      </w:r>
    </w:p>
    <w:p>
      <w:pPr>
        <w:pStyle w:val="Compact"/>
        <w:numPr>
          <w:ilvl w:val="0"/>
          <w:numId w:val="1377"/>
        </w:numPr>
      </w:pPr>
      <w:r>
        <w:rPr>
          <w:b/>
          <w:bCs/>
        </w:rPr>
        <w:t xml:space="preserve">Arguments</w:t>
      </w:r>
      <w:r>
        <w:t xml:space="preserve">: None</w:t>
      </w:r>
    </w:p>
    <w:p>
      <w:pPr>
        <w:pStyle w:val="Compact"/>
        <w:numPr>
          <w:ilvl w:val="0"/>
          <w:numId w:val="1377"/>
        </w:numPr>
      </w:pPr>
      <w:r>
        <w:rPr>
          <w:b/>
          <w:bCs/>
        </w:rPr>
        <w:t xml:space="preserve">Returns</w:t>
      </w:r>
      <w:r>
        <w:t xml:space="preserve">: String —</w:t>
      </w:r>
      <w:r>
        <w:t xml:space="preserve"> </w:t>
      </w:r>
      <w:r>
        <w:rPr>
          <w:rStyle w:val="VerbatimChar"/>
        </w:rPr>
        <w:t xml:space="preserve">";"</w:t>
      </w:r>
      <w:r>
        <w:t xml:space="preserve"> </w:t>
      </w:r>
      <w:r>
        <w:t xml:space="preserve">on Windows,</w:t>
      </w:r>
      <w:r>
        <w:t xml:space="preserve"> </w:t>
      </w:r>
      <w:r>
        <w:rPr>
          <w:rStyle w:val="VerbatimChar"/>
        </w:rPr>
        <w:t xml:space="preserve">":"</w:t>
      </w:r>
      <w:r>
        <w:t xml:space="preserve"> </w:t>
      </w:r>
      <w:r>
        <w:t xml:space="preserve">on Unix</w:t>
      </w:r>
    </w:p>
    <w:bookmarkEnd w:id="1318"/>
    <w:bookmarkEnd w:id="1319"/>
    <w:bookmarkStart w:id="1328" w:name="get-the-native-integer-size-in-bytes"/>
    <w:p>
      <w:pPr>
        <w:pStyle w:val="Heading1"/>
      </w:pPr>
      <w:r>
        <w:t xml:space="preserve">Get the Native Integer Size in Bytes</w:t>
      </w:r>
    </w:p>
    <w:bookmarkStart w:id="1320" w:name="overview-78"/>
    <w:p>
      <w:pPr>
        <w:pStyle w:val="Heading2"/>
      </w:pPr>
      <w:r>
        <w:t xml:space="preserve">Overview</w:t>
      </w:r>
    </w:p>
    <w:p>
      <w:pPr>
        <w:pStyle w:val="FirstParagraph"/>
      </w:pPr>
      <w:r>
        <w:t xml:space="preserve">Returns the number of bytes used to store a native integer on the current platform.</w:t>
      </w:r>
    </w:p>
    <w:bookmarkEnd w:id="1320"/>
    <w:bookmarkStart w:id="1321" w:name="prerequisites-3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21"/>
    <w:bookmarkStart w:id="1322" w:name="syntax-95"/>
    <w:p>
      <w:pPr>
        <w:pStyle w:val="Heading2"/>
      </w:pPr>
      <w:r>
        <w:t xml:space="preserve">Syntax</w:t>
      </w:r>
    </w:p>
    <w:p>
      <w:pPr>
        <w:pStyle w:val="SourceCode"/>
      </w:pPr>
      <w:r>
        <w:rPr>
          <w:rStyle w:val="NormalTok"/>
        </w:rPr>
        <w:t xml:space="preserve">result = obj.AxIntegerSizeBytes()</w:t>
      </w:r>
    </w:p>
    <w:bookmarkEnd w:id="1322"/>
    <w:bookmarkStart w:id="1323" w:name="parameters-25"/>
    <w:p>
      <w:pPr>
        <w:pStyle w:val="Heading2"/>
      </w:pPr>
      <w:r>
        <w:t xml:space="preserve">Parameters</w:t>
      </w:r>
    </w:p>
    <w:p>
      <w:pPr>
        <w:pStyle w:val="FirstParagraph"/>
      </w:pPr>
      <w:r>
        <w:t xml:space="preserve">This method does not require parameters.</w:t>
      </w:r>
    </w:p>
    <w:bookmarkEnd w:id="1323"/>
    <w:bookmarkStart w:id="1324" w:name="return-value-41"/>
    <w:p>
      <w:pPr>
        <w:pStyle w:val="Heading2"/>
      </w:pPr>
      <w:r>
        <w:t xml:space="preserve">Return Value</w:t>
      </w:r>
    </w:p>
    <w:p>
      <w:pPr>
        <w:pStyle w:val="Compact"/>
        <w:numPr>
          <w:ilvl w:val="0"/>
          <w:numId w:val="1378"/>
        </w:numPr>
      </w:pPr>
      <w:r>
        <w:rPr>
          <w:b/>
          <w:bCs/>
        </w:rPr>
        <w:t xml:space="preserve">Integer</w:t>
      </w:r>
      <w:r>
        <w:t xml:space="preserve">: Returns</w:t>
      </w:r>
      <w:r>
        <w:t xml:space="preserve"> </w:t>
      </w:r>
      <w:r>
        <w:rPr>
          <w:rStyle w:val="VerbatimChar"/>
        </w:rPr>
        <w:t xml:space="preserve">4</w:t>
      </w:r>
      <w:r>
        <w:t xml:space="preserve"> </w:t>
      </w:r>
      <w:r>
        <w:t xml:space="preserve">on 32-bit systems and</w:t>
      </w:r>
      <w:r>
        <w:t xml:space="preserve"> </w:t>
      </w:r>
      <w:r>
        <w:rPr>
          <w:rStyle w:val="VerbatimChar"/>
        </w:rPr>
        <w:t xml:space="preserve">8</w:t>
      </w:r>
      <w:r>
        <w:t xml:space="preserve"> </w:t>
      </w:r>
      <w:r>
        <w:t xml:space="preserve">on 64-bit systems.</w:t>
      </w:r>
    </w:p>
    <w:bookmarkEnd w:id="1324"/>
    <w:bookmarkStart w:id="1325" w:name="remarks-107"/>
    <w:p>
      <w:pPr>
        <w:pStyle w:val="Heading2"/>
      </w:pPr>
      <w:r>
        <w:t xml:space="preserve">Remarks</w:t>
      </w:r>
    </w:p>
    <w:p>
      <w:pPr>
        <w:pStyle w:val="Compact"/>
        <w:numPr>
          <w:ilvl w:val="0"/>
          <w:numId w:val="1379"/>
        </w:numPr>
      </w:pPr>
      <w:r>
        <w:t xml:space="preserve">Method names are case-insensitive in VBScript dispatch.</w:t>
      </w:r>
    </w:p>
    <w:bookmarkEnd w:id="1325"/>
    <w:bookmarkStart w:id="1326" w:name="example-4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ax.AxIntegerSizeBytes</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bytes"</w:t>
      </w:r>
      <w:r>
        <w:br/>
      </w:r>
      <w:r>
        <w:rPr>
          <w:rStyle w:val="CommentTok"/>
        </w:rPr>
        <w:t xml:space="preserve">' Output: 8 bytes (on a 64-bit system)</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26"/>
    <w:bookmarkStart w:id="1327" w:name="api-reference-38"/>
    <w:p>
      <w:pPr>
        <w:pStyle w:val="Heading2"/>
      </w:pPr>
      <w:r>
        <w:t xml:space="preserve">API Reference</w:t>
      </w:r>
    </w:p>
    <w:p>
      <w:pPr>
        <w:pStyle w:val="Compact"/>
        <w:numPr>
          <w:ilvl w:val="0"/>
          <w:numId w:val="1380"/>
        </w:numPr>
      </w:pPr>
      <w:r>
        <w:rPr>
          <w:b/>
          <w:bCs/>
        </w:rPr>
        <w:t xml:space="preserve">Object</w:t>
      </w:r>
      <w:r>
        <w:t xml:space="preserve">:</w:t>
      </w:r>
      <w:r>
        <w:t xml:space="preserve"> </w:t>
      </w:r>
      <w:r>
        <w:rPr>
          <w:rStyle w:val="VerbatimChar"/>
        </w:rPr>
        <w:t xml:space="preserve">G3AXON.FUNCTIONS</w:t>
      </w:r>
    </w:p>
    <w:p>
      <w:pPr>
        <w:pStyle w:val="Compact"/>
        <w:numPr>
          <w:ilvl w:val="0"/>
          <w:numId w:val="1380"/>
        </w:numPr>
      </w:pPr>
      <w:r>
        <w:rPr>
          <w:b/>
          <w:bCs/>
        </w:rPr>
        <w:t xml:space="preserve">Method</w:t>
      </w:r>
      <w:r>
        <w:t xml:space="preserve">:</w:t>
      </w:r>
      <w:r>
        <w:t xml:space="preserve"> </w:t>
      </w:r>
      <w:r>
        <w:rPr>
          <w:rStyle w:val="VerbatimChar"/>
        </w:rPr>
        <w:t xml:space="preserve">AxIntegerSizeBytes</w:t>
      </w:r>
    </w:p>
    <w:p>
      <w:pPr>
        <w:pStyle w:val="Compact"/>
        <w:numPr>
          <w:ilvl w:val="0"/>
          <w:numId w:val="1380"/>
        </w:numPr>
      </w:pPr>
      <w:r>
        <w:rPr>
          <w:b/>
          <w:bCs/>
        </w:rPr>
        <w:t xml:space="preserve">Arguments</w:t>
      </w:r>
      <w:r>
        <w:t xml:space="preserve">: none</w:t>
      </w:r>
    </w:p>
    <w:p>
      <w:pPr>
        <w:pStyle w:val="Compact"/>
        <w:numPr>
          <w:ilvl w:val="0"/>
          <w:numId w:val="1380"/>
        </w:numPr>
      </w:pPr>
      <w:r>
        <w:rPr>
          <w:b/>
          <w:bCs/>
        </w:rPr>
        <w:t xml:space="preserve">Returns</w:t>
      </w:r>
      <w:r>
        <w:t xml:space="preserve">:</w:t>
      </w:r>
      <w:r>
        <w:t xml:space="preserve"> </w:t>
      </w:r>
      <w:r>
        <w:rPr>
          <w:rStyle w:val="VerbatimChar"/>
        </w:rPr>
        <w:t xml:space="preserve">Integer</w:t>
      </w:r>
      <w:r>
        <w:t xml:space="preserve"> </w:t>
      </w:r>
      <w:r>
        <w:t xml:space="preserve">(4 on 32-bit, 8 on 64-bit)</w:t>
      </w:r>
    </w:p>
    <w:bookmarkEnd w:id="1327"/>
    <w:bookmarkEnd w:id="1328"/>
    <w:bookmarkStart w:id="1337" w:name="get-the-platform-architecture-bit-width"/>
    <w:p>
      <w:pPr>
        <w:pStyle w:val="Heading1"/>
      </w:pPr>
      <w:r>
        <w:t xml:space="preserve">Get the Platform Architecture Bit Width</w:t>
      </w:r>
    </w:p>
    <w:bookmarkStart w:id="1329" w:name="overview-79"/>
    <w:p>
      <w:pPr>
        <w:pStyle w:val="Heading2"/>
      </w:pPr>
      <w:r>
        <w:t xml:space="preserve">Overview</w:t>
      </w:r>
    </w:p>
    <w:p>
      <w:pPr>
        <w:pStyle w:val="FirstParagraph"/>
      </w:pPr>
      <w:r>
        <w:t xml:space="preserve">Returns the native integer bit size of the current platform (typically 32 or 64).</w:t>
      </w:r>
    </w:p>
    <w:bookmarkEnd w:id="1329"/>
    <w:bookmarkStart w:id="1330" w:name="prerequisites-3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30"/>
    <w:bookmarkStart w:id="1331" w:name="syntax-96"/>
    <w:p>
      <w:pPr>
        <w:pStyle w:val="Heading2"/>
      </w:pPr>
      <w:r>
        <w:t xml:space="preserve">Syntax</w:t>
      </w:r>
    </w:p>
    <w:p>
      <w:pPr>
        <w:pStyle w:val="SourceCode"/>
      </w:pPr>
      <w:r>
        <w:rPr>
          <w:rStyle w:val="NormalTok"/>
        </w:rPr>
        <w:t xml:space="preserve">result = obj.AxPlatformBits()</w:t>
      </w:r>
    </w:p>
    <w:bookmarkEnd w:id="1331"/>
    <w:bookmarkStart w:id="1332" w:name="parameters-26"/>
    <w:p>
      <w:pPr>
        <w:pStyle w:val="Heading2"/>
      </w:pPr>
      <w:r>
        <w:t xml:space="preserve">Parameters</w:t>
      </w:r>
    </w:p>
    <w:p>
      <w:pPr>
        <w:pStyle w:val="FirstParagraph"/>
      </w:pPr>
      <w:r>
        <w:t xml:space="preserve">This method does not require parameters.</w:t>
      </w:r>
    </w:p>
    <w:bookmarkEnd w:id="1332"/>
    <w:bookmarkStart w:id="1333" w:name="return-value-42"/>
    <w:p>
      <w:pPr>
        <w:pStyle w:val="Heading2"/>
      </w:pPr>
      <w:r>
        <w:t xml:space="preserve">Return Value</w:t>
      </w:r>
    </w:p>
    <w:p>
      <w:pPr>
        <w:pStyle w:val="Compact"/>
        <w:numPr>
          <w:ilvl w:val="0"/>
          <w:numId w:val="1381"/>
        </w:numPr>
      </w:pPr>
      <w:r>
        <w:rPr>
          <w:b/>
          <w:bCs/>
        </w:rPr>
        <w:t xml:space="preserve">Integer</w:t>
      </w:r>
      <w:r>
        <w:t xml:space="preserve">: Returns</w:t>
      </w:r>
      <w:r>
        <w:t xml:space="preserve"> </w:t>
      </w:r>
      <w:r>
        <w:rPr>
          <w:rStyle w:val="VerbatimChar"/>
        </w:rPr>
        <w:t xml:space="preserve">32</w:t>
      </w:r>
      <w:r>
        <w:t xml:space="preserve"> </w:t>
      </w:r>
      <w:r>
        <w:t xml:space="preserve">on 32-bit systems and</w:t>
      </w:r>
      <w:r>
        <w:t xml:space="preserve"> </w:t>
      </w:r>
      <w:r>
        <w:rPr>
          <w:rStyle w:val="VerbatimChar"/>
        </w:rPr>
        <w:t xml:space="preserve">64</w:t>
      </w:r>
      <w:r>
        <w:t xml:space="preserve"> </w:t>
      </w:r>
      <w:r>
        <w:t xml:space="preserve">on 64-bit systems.</w:t>
      </w:r>
    </w:p>
    <w:bookmarkEnd w:id="1333"/>
    <w:bookmarkStart w:id="1334" w:name="remarks-108"/>
    <w:p>
      <w:pPr>
        <w:pStyle w:val="Heading2"/>
      </w:pPr>
      <w:r>
        <w:t xml:space="preserve">Remarks</w:t>
      </w:r>
    </w:p>
    <w:p>
      <w:pPr>
        <w:pStyle w:val="Compact"/>
        <w:numPr>
          <w:ilvl w:val="0"/>
          <w:numId w:val="1382"/>
        </w:numPr>
      </w:pPr>
      <w:r>
        <w:t xml:space="preserve">Method names are case-insensitive in VBScript dispatch.</w:t>
      </w:r>
    </w:p>
    <w:bookmarkEnd w:id="1334"/>
    <w:bookmarkStart w:id="1335" w:name="example-4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ax.AxPlatformBits</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"-bit"</w:t>
      </w:r>
      <w:r>
        <w:br/>
      </w:r>
      <w:r>
        <w:rPr>
          <w:rStyle w:val="CommentTok"/>
        </w:rPr>
        <w:t xml:space="preserve">' Output: 64-bit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35"/>
    <w:bookmarkStart w:id="1336" w:name="api-reference-39"/>
    <w:p>
      <w:pPr>
        <w:pStyle w:val="Heading2"/>
      </w:pPr>
      <w:r>
        <w:t xml:space="preserve">API Reference</w:t>
      </w:r>
    </w:p>
    <w:p>
      <w:pPr>
        <w:pStyle w:val="Compact"/>
        <w:numPr>
          <w:ilvl w:val="0"/>
          <w:numId w:val="1383"/>
        </w:numPr>
      </w:pPr>
      <w:r>
        <w:rPr>
          <w:b/>
          <w:bCs/>
        </w:rPr>
        <w:t xml:space="preserve">Object</w:t>
      </w:r>
      <w:r>
        <w:t xml:space="preserve">:</w:t>
      </w:r>
      <w:r>
        <w:t xml:space="preserve"> </w:t>
      </w:r>
      <w:r>
        <w:rPr>
          <w:rStyle w:val="VerbatimChar"/>
        </w:rPr>
        <w:t xml:space="preserve">G3AXON.FUNCTIONS</w:t>
      </w:r>
    </w:p>
    <w:p>
      <w:pPr>
        <w:pStyle w:val="Compact"/>
        <w:numPr>
          <w:ilvl w:val="0"/>
          <w:numId w:val="1383"/>
        </w:numPr>
      </w:pPr>
      <w:r>
        <w:rPr>
          <w:b/>
          <w:bCs/>
        </w:rPr>
        <w:t xml:space="preserve">Method</w:t>
      </w:r>
      <w:r>
        <w:t xml:space="preserve">:</w:t>
      </w:r>
      <w:r>
        <w:t xml:space="preserve"> </w:t>
      </w:r>
      <w:r>
        <w:rPr>
          <w:rStyle w:val="VerbatimChar"/>
        </w:rPr>
        <w:t xml:space="preserve">AxPlatformBits</w:t>
      </w:r>
    </w:p>
    <w:p>
      <w:pPr>
        <w:pStyle w:val="Compact"/>
        <w:numPr>
          <w:ilvl w:val="0"/>
          <w:numId w:val="1383"/>
        </w:numPr>
      </w:pPr>
      <w:r>
        <w:rPr>
          <w:b/>
          <w:bCs/>
        </w:rPr>
        <w:t xml:space="preserve">Arguments</w:t>
      </w:r>
      <w:r>
        <w:t xml:space="preserve">: none</w:t>
      </w:r>
    </w:p>
    <w:p>
      <w:pPr>
        <w:pStyle w:val="Compact"/>
        <w:numPr>
          <w:ilvl w:val="0"/>
          <w:numId w:val="1383"/>
        </w:numPr>
      </w:pPr>
      <w:r>
        <w:rPr>
          <w:b/>
          <w:bCs/>
        </w:rPr>
        <w:t xml:space="preserve">Returns</w:t>
      </w:r>
      <w:r>
        <w:t xml:space="preserve">:</w:t>
      </w:r>
      <w:r>
        <w:t xml:space="preserve"> </w:t>
      </w:r>
      <w:r>
        <w:rPr>
          <w:rStyle w:val="VerbatimChar"/>
        </w:rPr>
        <w:t xml:space="preserve">Integer</w:t>
      </w:r>
      <w:r>
        <w:t xml:space="preserve"> </w:t>
      </w:r>
      <w:r>
        <w:t xml:space="preserve">(32 or 64)</w:t>
      </w:r>
    </w:p>
    <w:bookmarkEnd w:id="1336"/>
    <w:bookmarkEnd w:id="1337"/>
    <w:bookmarkStart w:id="1346" w:name="get-the-executable-path"/>
    <w:p>
      <w:pPr>
        <w:pStyle w:val="Heading1"/>
      </w:pPr>
      <w:r>
        <w:t xml:space="preserve">Get the Executable Path</w:t>
      </w:r>
    </w:p>
    <w:bookmarkStart w:id="1338" w:name="overview-80"/>
    <w:p>
      <w:pPr>
        <w:pStyle w:val="Heading2"/>
      </w:pPr>
      <w:r>
        <w:t xml:space="preserve">Overview</w:t>
      </w:r>
    </w:p>
    <w:p>
      <w:pPr>
        <w:pStyle w:val="FirstParagraph"/>
      </w:pPr>
      <w:r>
        <w:t xml:space="preserve">Returns the absolute path of the AxonASP executable file currently running the process.</w:t>
      </w:r>
    </w:p>
    <w:bookmarkEnd w:id="1338"/>
    <w:bookmarkStart w:id="1339" w:name="prerequisites-3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39"/>
    <w:bookmarkStart w:id="1340" w:name="syntax-97"/>
    <w:p>
      <w:pPr>
        <w:pStyle w:val="Heading2"/>
      </w:pPr>
      <w:r>
        <w:t xml:space="preserve">Syntax</w:t>
      </w:r>
    </w:p>
    <w:p>
      <w:pPr>
        <w:pStyle w:val="SourceCode"/>
      </w:pPr>
      <w:r>
        <w:rPr>
          <w:rStyle w:val="NormalTok"/>
        </w:rPr>
        <w:t xml:space="preserve">result = obj.AxExecutablePath()</w:t>
      </w:r>
    </w:p>
    <w:bookmarkEnd w:id="1340"/>
    <w:bookmarkStart w:id="1341" w:name="parameters-27"/>
    <w:p>
      <w:pPr>
        <w:pStyle w:val="Heading2"/>
      </w:pPr>
      <w:r>
        <w:t xml:space="preserve">Parameters</w:t>
      </w:r>
    </w:p>
    <w:p>
      <w:pPr>
        <w:pStyle w:val="FirstParagraph"/>
      </w:pPr>
      <w:r>
        <w:t xml:space="preserve">This method does not require parameters.</w:t>
      </w:r>
    </w:p>
    <w:bookmarkEnd w:id="1341"/>
    <w:bookmarkStart w:id="1342" w:name="return-value-43"/>
    <w:p>
      <w:pPr>
        <w:pStyle w:val="Heading2"/>
      </w:pPr>
      <w:r>
        <w:t xml:space="preserve">Return Value</w:t>
      </w:r>
    </w:p>
    <w:p>
      <w:pPr>
        <w:pStyle w:val="Compact"/>
        <w:numPr>
          <w:ilvl w:val="0"/>
          <w:numId w:val="1384"/>
        </w:numPr>
      </w:pPr>
      <w:r>
        <w:rPr>
          <w:b/>
          <w:bCs/>
        </w:rPr>
        <w:t xml:space="preserve">String</w:t>
      </w:r>
      <w:r>
        <w:t xml:space="preserve">: Returns the absolute path to the running executable file.</w:t>
      </w:r>
    </w:p>
    <w:p>
      <w:pPr>
        <w:pStyle w:val="Compact"/>
        <w:numPr>
          <w:ilvl w:val="0"/>
          <w:numId w:val="1384"/>
        </w:numPr>
      </w:pPr>
      <w:r>
        <w:rPr>
          <w:b/>
          <w:bCs/>
        </w:rPr>
        <w:t xml:space="preserve">String</w:t>
      </w:r>
      <w:r>
        <w:t xml:space="preserve">: Returns an empty string when the path cannot be determined.</w:t>
      </w:r>
    </w:p>
    <w:bookmarkEnd w:id="1342"/>
    <w:bookmarkStart w:id="1343" w:name="remarks-109"/>
    <w:p>
      <w:pPr>
        <w:pStyle w:val="Heading2"/>
      </w:pPr>
      <w:r>
        <w:t xml:space="preserve">Remarks</w:t>
      </w:r>
    </w:p>
    <w:p>
      <w:pPr>
        <w:pStyle w:val="Compact"/>
        <w:numPr>
          <w:ilvl w:val="0"/>
          <w:numId w:val="1385"/>
        </w:numPr>
      </w:pPr>
      <w:r>
        <w:t xml:space="preserve">Method names are case-insensitive in VBScript dispatch.</w:t>
      </w:r>
    </w:p>
    <w:bookmarkEnd w:id="1343"/>
    <w:bookmarkStart w:id="1344" w:name="example-4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"Executable: "</w:t>
      </w:r>
      <w:r>
        <w:rPr>
          <w:rStyle w:val="NormalTok"/>
        </w:rPr>
        <w:t xml:space="preserve"> </w:t>
      </w:r>
      <w:r>
        <w:rPr>
          <w:rStyle w:val="KeywordTok"/>
        </w:rPr>
        <w:t xml:space="preserve">&amp;</w:t>
      </w:r>
      <w:r>
        <w:rPr>
          <w:rStyle w:val="NormalTok"/>
        </w:rPr>
        <w:t xml:space="preserve"> ax.AxExecutablePath</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44"/>
    <w:bookmarkStart w:id="1345" w:name="api-reference-40"/>
    <w:p>
      <w:pPr>
        <w:pStyle w:val="Heading2"/>
      </w:pPr>
      <w:r>
        <w:t xml:space="preserve">API Reference</w:t>
      </w:r>
    </w:p>
    <w:p>
      <w:pPr>
        <w:pStyle w:val="Compact"/>
        <w:numPr>
          <w:ilvl w:val="0"/>
          <w:numId w:val="1386"/>
        </w:numPr>
      </w:pPr>
      <w:r>
        <w:rPr>
          <w:b/>
          <w:bCs/>
        </w:rPr>
        <w:t xml:space="preserve">Object</w:t>
      </w:r>
      <w:r>
        <w:t xml:space="preserve">:</w:t>
      </w:r>
      <w:r>
        <w:t xml:space="preserve"> </w:t>
      </w:r>
      <w:r>
        <w:rPr>
          <w:rStyle w:val="VerbatimChar"/>
        </w:rPr>
        <w:t xml:space="preserve">G3AXON.FUNCTIONS</w:t>
      </w:r>
    </w:p>
    <w:p>
      <w:pPr>
        <w:pStyle w:val="Compact"/>
        <w:numPr>
          <w:ilvl w:val="0"/>
          <w:numId w:val="1386"/>
        </w:numPr>
      </w:pPr>
      <w:r>
        <w:rPr>
          <w:b/>
          <w:bCs/>
        </w:rPr>
        <w:t xml:space="preserve">Method</w:t>
      </w:r>
      <w:r>
        <w:t xml:space="preserve">:</w:t>
      </w:r>
      <w:r>
        <w:t xml:space="preserve"> </w:t>
      </w:r>
      <w:r>
        <w:rPr>
          <w:rStyle w:val="VerbatimChar"/>
        </w:rPr>
        <w:t xml:space="preserve">AxExecutablePath</w:t>
      </w:r>
    </w:p>
    <w:p>
      <w:pPr>
        <w:pStyle w:val="Compact"/>
        <w:numPr>
          <w:ilvl w:val="0"/>
          <w:numId w:val="1386"/>
        </w:numPr>
      </w:pPr>
      <w:r>
        <w:rPr>
          <w:b/>
          <w:bCs/>
        </w:rPr>
        <w:t xml:space="preserve">Arguments</w:t>
      </w:r>
      <w:r>
        <w:t xml:space="preserve">: none</w:t>
      </w:r>
    </w:p>
    <w:p>
      <w:pPr>
        <w:pStyle w:val="Compact"/>
        <w:numPr>
          <w:ilvl w:val="0"/>
          <w:numId w:val="1386"/>
        </w:numPr>
      </w:pPr>
      <w:r>
        <w:rPr>
          <w:b/>
          <w:bCs/>
        </w:rPr>
        <w:t xml:space="preserve">Returns</w:t>
      </w:r>
      <w:r>
        <w:t xml:space="preserve">:</w:t>
      </w:r>
      <w:r>
        <w:t xml:space="preserve"> </w:t>
      </w:r>
      <w:r>
        <w:rPr>
          <w:rStyle w:val="VerbatimChar"/>
        </w:rPr>
        <w:t xml:space="preserve">String</w:t>
      </w:r>
      <w:r>
        <w:t xml:space="preserve"> </w:t>
      </w:r>
      <w:r>
        <w:t xml:space="preserve">(absolute path to the running executable)</w:t>
      </w:r>
    </w:p>
    <w:bookmarkEnd w:id="1345"/>
    <w:bookmarkEnd w:id="1346"/>
    <w:bookmarkStart w:id="1355" w:name="execute-a-shell-command"/>
    <w:p>
      <w:pPr>
        <w:pStyle w:val="Heading1"/>
      </w:pPr>
      <w:r>
        <w:t xml:space="preserve">Execute a Shell Command</w:t>
      </w:r>
    </w:p>
    <w:bookmarkStart w:id="1347" w:name="overview-81"/>
    <w:p>
      <w:pPr>
        <w:pStyle w:val="Heading2"/>
      </w:pPr>
      <w:r>
        <w:t xml:space="preserve">Overview</w:t>
      </w:r>
    </w:p>
    <w:p>
      <w:pPr>
        <w:pStyle w:val="FirstParagraph"/>
      </w:pPr>
      <w:r>
        <w:t xml:space="preserve">Executes an external shell command and returns the combined stdout and stderr output as a string.</w:t>
      </w:r>
    </w:p>
    <w:bookmarkEnd w:id="1347"/>
    <w:bookmarkStart w:id="1348" w:name="prerequisites-3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48"/>
    <w:bookmarkStart w:id="1349" w:name="syntax-98"/>
    <w:p>
      <w:pPr>
        <w:pStyle w:val="Heading2"/>
      </w:pPr>
      <w:r>
        <w:t xml:space="preserve">Syntax</w:t>
      </w:r>
    </w:p>
    <w:p>
      <w:pPr>
        <w:pStyle w:val="SourceCode"/>
      </w:pPr>
      <w:r>
        <w:rPr>
          <w:rStyle w:val="NormalTok"/>
        </w:rPr>
        <w:t xml:space="preserve">result = obj.AxExecute(command)</w:t>
      </w:r>
    </w:p>
    <w:bookmarkEnd w:id="1349"/>
    <w:bookmarkStart w:id="1350" w:name="parameters-2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command</w:t>
            </w:r>
          </w:p>
        </w:tc>
        <w:tc>
          <w:tcPr/>
          <w:p>
            <w:pPr>
              <w:pStyle w:val="Compact"/>
            </w:pPr>
            <w:r>
              <w:t xml:space="preserve">String</w:t>
            </w:r>
          </w:p>
        </w:tc>
        <w:tc>
          <w:tcPr/>
          <w:p>
            <w:pPr>
              <w:pStyle w:val="Compact"/>
            </w:pPr>
            <w:r>
              <w:t xml:space="preserve">Yes</w:t>
            </w:r>
          </w:p>
        </w:tc>
        <w:tc>
          <w:tcPr/>
          <w:p>
            <w:pPr>
              <w:pStyle w:val="Compact"/>
            </w:pPr>
            <w:r>
              <w:t xml:space="preserve">The full command line to execute.</w:t>
            </w:r>
          </w:p>
        </w:tc>
      </w:tr>
    </w:tbl>
    <w:bookmarkEnd w:id="1350"/>
    <w:bookmarkStart w:id="1351" w:name="return-value-44"/>
    <w:p>
      <w:pPr>
        <w:pStyle w:val="Heading2"/>
      </w:pPr>
      <w:r>
        <w:t xml:space="preserve">Return Value</w:t>
      </w:r>
    </w:p>
    <w:p>
      <w:pPr>
        <w:pStyle w:val="Compact"/>
        <w:numPr>
          <w:ilvl w:val="0"/>
          <w:numId w:val="1387"/>
        </w:numPr>
      </w:pPr>
      <w:r>
        <w:rPr>
          <w:b/>
          <w:bCs/>
        </w:rPr>
        <w:t xml:space="preserve">String</w:t>
      </w:r>
      <w:r>
        <w:t xml:space="preserve">: Returns the combined stdout and stderr output of the command, with trailing newlines stripped.</w:t>
      </w:r>
    </w:p>
    <w:p>
      <w:pPr>
        <w:pStyle w:val="Compact"/>
        <w:numPr>
          <w:ilvl w:val="0"/>
          <w:numId w:val="1387"/>
        </w:numPr>
      </w:pPr>
      <w:r>
        <w:rPr>
          <w:b/>
          <w:bCs/>
        </w:rPr>
        <w:t xml:space="preserve">Boolean</w:t>
      </w:r>
      <w:r>
        <w:t xml:space="preserve">: Returns</w:t>
      </w:r>
      <w:r>
        <w:t xml:space="preserve"> </w:t>
      </w:r>
      <w:r>
        <w:rPr>
          <w:rStyle w:val="VerbatimChar"/>
        </w:rPr>
        <w:t xml:space="preserve">False</w:t>
      </w:r>
      <w:r>
        <w:t xml:space="preserve"> </w:t>
      </w:r>
      <w:r>
        <w:t xml:space="preserve">when</w:t>
      </w:r>
      <w:r>
        <w:t xml:space="preserve"> </w:t>
      </w:r>
      <w:r>
        <w:rPr>
          <w:rStyle w:val="VerbatimChar"/>
        </w:rPr>
        <w:t xml:space="preserve">command</w:t>
      </w:r>
      <w:r>
        <w:t xml:space="preserve"> </w:t>
      </w:r>
      <w:r>
        <w:t xml:space="preserve">is empty or no argument is provided.</w:t>
      </w:r>
    </w:p>
    <w:bookmarkEnd w:id="1351"/>
    <w:bookmarkStart w:id="1352" w:name="remarks-110"/>
    <w:p>
      <w:pPr>
        <w:pStyle w:val="Heading2"/>
      </w:pPr>
      <w:r>
        <w:t xml:space="preserve">Remarks</w:t>
      </w:r>
    </w:p>
    <w:p>
      <w:pPr>
        <w:pStyle w:val="Compact"/>
        <w:numPr>
          <w:ilvl w:val="0"/>
          <w:numId w:val="1388"/>
        </w:numPr>
      </w:pPr>
      <w:r>
        <w:t xml:space="preserve">On Windows, the command runs via</w:t>
      </w:r>
      <w:r>
        <w:t xml:space="preserve"> </w:t>
      </w:r>
      <w:r>
        <w:rPr>
          <w:rStyle w:val="VerbatimChar"/>
        </w:rPr>
        <w:t xml:space="preserve">cmd.exe /c</w:t>
      </w:r>
      <w:r>
        <w:t xml:space="preserve">. On Unix-like systems, it runs via</w:t>
      </w:r>
      <w:r>
        <w:t xml:space="preserve"> </w:t>
      </w:r>
      <w:r>
        <w:rPr>
          <w:rStyle w:val="VerbatimChar"/>
        </w:rPr>
        <w:t xml:space="preserve">sh -c</w:t>
      </w:r>
      <w:r>
        <w:t xml:space="preserve">.</w:t>
      </w:r>
    </w:p>
    <w:p>
      <w:pPr>
        <w:pStyle w:val="Compact"/>
        <w:numPr>
          <w:ilvl w:val="0"/>
          <w:numId w:val="1388"/>
        </w:numPr>
      </w:pPr>
      <w:r>
        <w:t xml:space="preserve">This is a blocking call. The script waits until the command completes.</w:t>
      </w:r>
    </w:p>
    <w:p>
      <w:pPr>
        <w:pStyle w:val="Compact"/>
        <w:numPr>
          <w:ilvl w:val="0"/>
          <w:numId w:val="1388"/>
        </w:numPr>
      </w:pPr>
      <w:r>
        <w:t xml:space="preserve">Never pass user-provided input directly to this function without validation.</w:t>
      </w:r>
    </w:p>
    <w:p>
      <w:pPr>
        <w:pStyle w:val="Compact"/>
        <w:numPr>
          <w:ilvl w:val="0"/>
          <w:numId w:val="1388"/>
        </w:numPr>
      </w:pPr>
      <w:r>
        <w:t xml:space="preserve">Method names are case-insensitive in VBScript dispatch.</w:t>
      </w:r>
    </w:p>
    <w:bookmarkEnd w:id="1352"/>
    <w:bookmarkStart w:id="1353" w:name="example-4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output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output = ax.AxExecute</w:t>
      </w:r>
      <w:r>
        <w:rPr>
          <w:rStyle w:val="OtherTok"/>
        </w:rPr>
        <w:t xml:space="preserve">(</w:t>
      </w:r>
      <w:r>
        <w:rPr>
          <w:rStyle w:val="StringTok"/>
        </w:rPr>
        <w:t xml:space="preserve">"dir C:\\"</w:t>
      </w:r>
      <w:r>
        <w:rPr>
          <w:rStyle w:val="OtherTok"/>
        </w:rPr>
        <w:t xml:space="preserve">)</w:t>
      </w:r>
      <w:r>
        <w:rPr>
          <w:rStyle w:val="NormalTok"/>
        </w:rPr>
        <w:t xml:space="preserve"> </w:t>
      </w:r>
      <w:r>
        <w:rPr>
          <w:rStyle w:val="CommentTok"/>
        </w:rPr>
        <w:t xml:space="preserve">' Windows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"&lt;pre&gt;"</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output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"&lt;/pre&gt;"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53"/>
    <w:bookmarkStart w:id="1354" w:name="api-reference-41"/>
    <w:p>
      <w:pPr>
        <w:pStyle w:val="Heading2"/>
      </w:pPr>
      <w:r>
        <w:t xml:space="preserve">API Reference</w:t>
      </w:r>
    </w:p>
    <w:p>
      <w:pPr>
        <w:pStyle w:val="Compact"/>
        <w:numPr>
          <w:ilvl w:val="0"/>
          <w:numId w:val="1389"/>
        </w:numPr>
      </w:pPr>
      <w:r>
        <w:rPr>
          <w:b/>
          <w:bCs/>
        </w:rPr>
        <w:t xml:space="preserve">Object</w:t>
      </w:r>
      <w:r>
        <w:t xml:space="preserve">:</w:t>
      </w:r>
      <w:r>
        <w:t xml:space="preserve"> </w:t>
      </w:r>
      <w:r>
        <w:rPr>
          <w:rStyle w:val="VerbatimChar"/>
        </w:rPr>
        <w:t xml:space="preserve">G3AXON.FUNCTIONS</w:t>
      </w:r>
    </w:p>
    <w:p>
      <w:pPr>
        <w:pStyle w:val="Compact"/>
        <w:numPr>
          <w:ilvl w:val="0"/>
          <w:numId w:val="1389"/>
        </w:numPr>
      </w:pPr>
      <w:r>
        <w:rPr>
          <w:b/>
          <w:bCs/>
        </w:rPr>
        <w:t xml:space="preserve">Method</w:t>
      </w:r>
      <w:r>
        <w:t xml:space="preserve">:</w:t>
      </w:r>
      <w:r>
        <w:t xml:space="preserve"> </w:t>
      </w:r>
      <w:r>
        <w:rPr>
          <w:rStyle w:val="VerbatimChar"/>
        </w:rPr>
        <w:t xml:space="preserve">AxExecute</w:t>
      </w:r>
    </w:p>
    <w:p>
      <w:pPr>
        <w:pStyle w:val="Compact"/>
        <w:numPr>
          <w:ilvl w:val="0"/>
          <w:numId w:val="1389"/>
        </w:numPr>
      </w:pPr>
      <w:r>
        <w:rPr>
          <w:b/>
          <w:bCs/>
        </w:rPr>
        <w:t xml:space="preserve">Arguments</w:t>
      </w:r>
      <w:r>
        <w:t xml:space="preserve">:</w:t>
      </w:r>
      <w:r>
        <w:t xml:space="preserve"> </w:t>
      </w:r>
      <w:r>
        <w:rPr>
          <w:rStyle w:val="VerbatimChar"/>
        </w:rPr>
        <w:t xml:space="preserve">command As String</w:t>
      </w:r>
    </w:p>
    <w:p>
      <w:pPr>
        <w:pStyle w:val="Compact"/>
        <w:numPr>
          <w:ilvl w:val="0"/>
          <w:numId w:val="1389"/>
        </w:numPr>
      </w:pPr>
      <w:r>
        <w:rPr>
          <w:b/>
          <w:bCs/>
        </w:rPr>
        <w:t xml:space="preserve">Returns</w:t>
      </w:r>
      <w:r>
        <w:t xml:space="preserve">:</w:t>
      </w:r>
      <w:r>
        <w:t xml:space="preserve"> </w:t>
      </w:r>
      <w:r>
        <w:rPr>
          <w:rStyle w:val="VerbatimChar"/>
        </w:rPr>
        <w:t xml:space="preserve">String</w:t>
      </w:r>
      <w:r>
        <w:t xml:space="preserve"> </w:t>
      </w:r>
      <w:r>
        <w:t xml:space="preserve">(command output), or</w:t>
      </w:r>
      <w:r>
        <w:t xml:space="preserve"> </w:t>
      </w:r>
      <w:r>
        <w:rPr>
          <w:rStyle w:val="VerbatimChar"/>
        </w:rPr>
        <w:t xml:space="preserve">Boolean</w:t>
      </w:r>
      <w:r>
        <w:t xml:space="preserve"> </w:t>
      </w:r>
      <w:r>
        <w:rPr>
          <w:rStyle w:val="VerbatimChar"/>
        </w:rPr>
        <w:t xml:space="preserve">False</w:t>
      </w:r>
      <w:r>
        <w:t xml:space="preserve"> </w:t>
      </w:r>
      <w:r>
        <w:t xml:space="preserve">when command is empty</w:t>
      </w:r>
    </w:p>
    <w:bookmarkEnd w:id="1354"/>
    <w:bookmarkEnd w:id="1355"/>
    <w:bookmarkStart w:id="1364" w:name="get-system-information"/>
    <w:p>
      <w:pPr>
        <w:pStyle w:val="Heading1"/>
      </w:pPr>
      <w:r>
        <w:t xml:space="preserve">Get System Information</w:t>
      </w:r>
    </w:p>
    <w:bookmarkStart w:id="1356" w:name="overview-82"/>
    <w:p>
      <w:pPr>
        <w:pStyle w:val="Heading2"/>
      </w:pPr>
      <w:r>
        <w:t xml:space="preserve">Overview</w:t>
      </w:r>
    </w:p>
    <w:p>
      <w:pPr>
        <w:pStyle w:val="FirstParagraph"/>
      </w:pPr>
      <w:r>
        <w:t xml:space="preserve">Retrieves operating system and runtime environment details for the current server process.</w:t>
      </w:r>
    </w:p>
    <w:bookmarkEnd w:id="1356"/>
    <w:bookmarkStart w:id="1357" w:name="prerequisites-4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57"/>
    <w:bookmarkStart w:id="1358" w:name="syntax-99"/>
    <w:p>
      <w:pPr>
        <w:pStyle w:val="Heading2"/>
      </w:pPr>
      <w:r>
        <w:t xml:space="preserve">Syntax</w:t>
      </w:r>
    </w:p>
    <w:p>
      <w:pPr>
        <w:pStyle w:val="SourceCode"/>
      </w:pPr>
      <w:r>
        <w:rPr>
          <w:rStyle w:val="NormalTok"/>
        </w:rPr>
        <w:t xml:space="preserve">result = ax.AxSystemInfo([mode])</w:t>
      </w:r>
    </w:p>
    <w:bookmarkEnd w:id="1358"/>
    <w:bookmarkStart w:id="1359" w:name="parameters-2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mode</w:t>
            </w:r>
          </w:p>
        </w:tc>
        <w:tc>
          <w:tcPr/>
          <w:p>
            <w:pPr>
              <w:pStyle w:val="Compact"/>
            </w:pPr>
            <w:r>
              <w:t xml:space="preserve">String</w:t>
            </w:r>
          </w:p>
        </w:tc>
        <w:tc>
          <w:tcPr/>
          <w:p>
            <w:pPr>
              <w:pStyle w:val="Compact"/>
            </w:pPr>
            <w:r>
              <w:t xml:space="preserve">No</w:t>
            </w:r>
          </w:p>
        </w:tc>
        <w:tc>
          <w:tcPr/>
          <w:p>
            <w:pPr>
              <w:pStyle w:val="Compact"/>
            </w:pPr>
            <w:r>
              <w:t xml:space="preserve">A single character selecting the category of information to return. Omit or pass any unrecognized value to receive all categories combined.</w:t>
            </w:r>
          </w:p>
        </w:tc>
      </w:tr>
    </w:tbl>
    <w:p>
      <w:pPr>
        <w:pStyle w:val="BodyText"/>
      </w:pPr>
      <w:r>
        <w:rPr>
          <w:b/>
          <w:bCs/>
        </w:rPr>
        <w:t xml:space="preserve">mode values: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Value</w:t>
            </w:r>
          </w:p>
        </w:tc>
        <w:tc>
          <w:tcPr/>
          <w:p>
            <w:pPr>
              <w:pStyle w:val="Compact"/>
            </w:pPr>
            <w:r>
              <w:t xml:space="preserve">Returns</w:t>
            </w:r>
          </w:p>
        </w:tc>
      </w:tr>
      <w:tr>
        <w:tc>
          <w:tcPr/>
          <w:p>
            <w:pPr>
              <w:pStyle w:val="Compact"/>
            </w:pPr>
            <w:r>
              <w:rPr>
                <w:rStyle w:val="VerbatimChar"/>
              </w:rPr>
              <w:t xml:space="preserve">"s"</w:t>
            </w:r>
          </w:p>
        </w:tc>
        <w:tc>
          <w:tcPr/>
          <w:p>
            <w:pPr>
              <w:pStyle w:val="Compact"/>
            </w:pPr>
            <w:r>
              <w:t xml:space="preserve">Operating system name (e.g.,</w:t>
            </w:r>
            <w:r>
              <w:t xml:space="preserve"> </w:t>
            </w:r>
            <w:r>
              <w:rPr>
                <w:rStyle w:val="VerbatimChar"/>
              </w:rPr>
              <w:t xml:space="preserve">"windows"</w:t>
            </w:r>
            <w:r>
              <w:t xml:space="preserve">,</w:t>
            </w:r>
            <w:r>
              <w:t xml:space="preserve"> </w:t>
            </w:r>
            <w:r>
              <w:rPr>
                <w:rStyle w:val="VerbatimChar"/>
              </w:rPr>
              <w:t xml:space="preserve">"linux"</w:t>
            </w:r>
            <w:r>
              <w:t xml:space="preserve">,</w:t>
            </w:r>
            <w:r>
              <w:t xml:space="preserve"> </w:t>
            </w:r>
            <w:r>
              <w:rPr>
                <w:rStyle w:val="VerbatimChar"/>
              </w:rPr>
              <w:t xml:space="preserve">"darwin"</w:t>
            </w:r>
            <w:r>
              <w:t xml:space="preserve">).</w:t>
            </w:r>
          </w:p>
        </w:tc>
      </w:tr>
      <w:tr>
        <w:tc>
          <w:tcPr/>
          <w:p>
            <w:pPr>
              <w:pStyle w:val="Compact"/>
            </w:pPr>
            <w:r>
              <w:rPr>
                <w:rStyle w:val="VerbatimChar"/>
              </w:rPr>
              <w:t xml:space="preserve">"n"</w:t>
            </w:r>
          </w:p>
        </w:tc>
        <w:tc>
          <w:tcPr/>
          <w:p>
            <w:pPr>
              <w:pStyle w:val="Compact"/>
            </w:pPr>
            <w:r>
              <w:t xml:space="preserve">Hostname of the machine.</w:t>
            </w:r>
          </w:p>
        </w:tc>
      </w:tr>
      <w:tr>
        <w:tc>
          <w:tcPr/>
          <w:p>
            <w:pPr>
              <w:pStyle w:val="Compact"/>
            </w:pPr>
            <w:r>
              <w:rPr>
                <w:rStyle w:val="VerbatimChar"/>
              </w:rPr>
              <w:t xml:space="preserve">"v"</w:t>
            </w:r>
          </w:p>
        </w:tc>
        <w:tc>
          <w:tcPr/>
          <w:p>
            <w:pPr>
              <w:pStyle w:val="Compact"/>
            </w:pPr>
            <w:r>
              <w:t xml:space="preserve">Go runtime version (e.g.,</w:t>
            </w:r>
            <w:r>
              <w:t xml:space="preserve"> </w:t>
            </w:r>
            <w:r>
              <w:rPr>
                <w:rStyle w:val="VerbatimChar"/>
              </w:rPr>
              <w:t xml:space="preserve">"go1.22.0"</w:t>
            </w:r>
            <w:r>
              <w:t xml:space="preserve">).</w:t>
            </w:r>
          </w:p>
        </w:tc>
      </w:tr>
      <w:tr>
        <w:tc>
          <w:tcPr/>
          <w:p>
            <w:pPr>
              <w:pStyle w:val="Compact"/>
            </w:pPr>
            <w:r>
              <w:rPr>
                <w:rStyle w:val="VerbatimChar"/>
              </w:rPr>
              <w:t xml:space="preserve">"m"</w:t>
            </w:r>
          </w:p>
        </w:tc>
        <w:tc>
          <w:tcPr/>
          <w:p>
            <w:pPr>
              <w:pStyle w:val="Compact"/>
            </w:pPr>
            <w:r>
              <w:t xml:space="preserve">Machine architecture (e.g.,</w:t>
            </w:r>
            <w:r>
              <w:t xml:space="preserve"> </w:t>
            </w:r>
            <w:r>
              <w:rPr>
                <w:rStyle w:val="VerbatimChar"/>
              </w:rPr>
              <w:t xml:space="preserve">"amd64"</w:t>
            </w:r>
            <w:r>
              <w:t xml:space="preserve">,</w:t>
            </w:r>
            <w:r>
              <w:t xml:space="preserve"> </w:t>
            </w:r>
            <w:r>
              <w:rPr>
                <w:rStyle w:val="VerbatimChar"/>
              </w:rPr>
              <w:t xml:space="preserve">"arm64"</w:t>
            </w:r>
            <w:r>
              <w:t xml:space="preserve">).</w:t>
            </w:r>
          </w:p>
        </w:tc>
      </w:tr>
      <w:tr>
        <w:tc>
          <w:tcPr/>
          <w:p>
            <w:pPr>
              <w:pStyle w:val="Compact"/>
            </w:pPr>
            <w:r>
              <w:rPr>
                <w:rStyle w:val="VerbatimChar"/>
              </w:rPr>
              <w:t xml:space="preserve">"a"</w:t>
            </w:r>
            <w:r>
              <w:t xml:space="preserve"> </w:t>
            </w:r>
            <w:r>
              <w:t xml:space="preserve">or omitted</w:t>
            </w:r>
          </w:p>
        </w:tc>
        <w:tc>
          <w:tcPr/>
          <w:p>
            <w:pPr>
              <w:pStyle w:val="Compact"/>
            </w:pPr>
            <w:r>
              <w:t xml:space="preserve">All categories combined in a single string.</w:t>
            </w:r>
          </w:p>
        </w:tc>
      </w:tr>
    </w:tbl>
    <w:bookmarkEnd w:id="1359"/>
    <w:bookmarkStart w:id="1360" w:name="return-value-45"/>
    <w:p>
      <w:pPr>
        <w:pStyle w:val="Heading2"/>
      </w:pPr>
      <w:r>
        <w:t xml:space="preserve">Return Value</w:t>
      </w:r>
    </w:p>
    <w:p>
      <w:pPr>
        <w:pStyle w:val="Compact"/>
        <w:numPr>
          <w:ilvl w:val="0"/>
          <w:numId w:val="1390"/>
        </w:numPr>
      </w:pPr>
      <w:r>
        <w:rPr>
          <w:b/>
          <w:bCs/>
        </w:rPr>
        <w:t xml:space="preserve">String</w:t>
      </w:r>
      <w:r>
        <w:t xml:space="preserve">: The requested system information. Returns all categories combined when</w:t>
      </w:r>
      <w:r>
        <w:t xml:space="preserve"> </w:t>
      </w:r>
      <w:r>
        <w:rPr>
          <w:rStyle w:val="VerbatimChar"/>
        </w:rPr>
        <w:t xml:space="preserve">mode</w:t>
      </w:r>
      <w:r>
        <w:t xml:space="preserve"> </w:t>
      </w:r>
      <w:r>
        <w:t xml:space="preserve">is omitted or unrecognized.</w:t>
      </w:r>
    </w:p>
    <w:bookmarkEnd w:id="1360"/>
    <w:bookmarkStart w:id="1361" w:name="remarks-111"/>
    <w:p>
      <w:pPr>
        <w:pStyle w:val="Heading2"/>
      </w:pPr>
      <w:r>
        <w:t xml:space="preserve">Remarks</w:t>
      </w:r>
    </w:p>
    <w:p>
      <w:pPr>
        <w:pStyle w:val="Compact"/>
        <w:numPr>
          <w:ilvl w:val="0"/>
          <w:numId w:val="1391"/>
        </w:numPr>
      </w:pPr>
      <w:r>
        <w:t xml:space="preserve">Any unrecognized or empty mode value defaults to</w:t>
      </w:r>
      <w:r>
        <w:t xml:space="preserve"> </w:t>
      </w:r>
      <w:r>
        <w:rPr>
          <w:rStyle w:val="VerbatimChar"/>
        </w:rPr>
        <w:t xml:space="preserve">"a"</w:t>
      </w:r>
      <w:r>
        <w:t xml:space="preserve"> </w:t>
      </w:r>
      <w:r>
        <w:t xml:space="preserve">(all information).</w:t>
      </w:r>
    </w:p>
    <w:p>
      <w:pPr>
        <w:pStyle w:val="Compact"/>
        <w:numPr>
          <w:ilvl w:val="0"/>
          <w:numId w:val="1391"/>
        </w:numPr>
      </w:pPr>
      <w:r>
        <w:t xml:space="preserve">Method names are case-insensitive.</w:t>
      </w:r>
    </w:p>
    <w:bookmarkEnd w:id="1361"/>
    <w:bookmarkStart w:id="1362" w:name="example-4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"OS: "</w:t>
      </w:r>
      <w:r>
        <w:rPr>
          <w:rStyle w:val="NormalTok"/>
        </w:rPr>
        <w:t xml:space="preserve"> </w:t>
      </w:r>
      <w:r>
        <w:rPr>
          <w:rStyle w:val="KeywordTok"/>
        </w:rPr>
        <w:t xml:space="preserve">&amp;</w:t>
      </w:r>
      <w:r>
        <w:rPr>
          <w:rStyle w:val="NormalTok"/>
        </w:rPr>
        <w:t xml:space="preserve"> ax.AxSystemInfo</w:t>
      </w:r>
      <w:r>
        <w:rPr>
          <w:rStyle w:val="OtherTok"/>
        </w:rPr>
        <w:t xml:space="preserve">(</w:t>
      </w:r>
      <w:r>
        <w:rPr>
          <w:rStyle w:val="StringTok"/>
        </w:rPr>
        <w:t xml:space="preserve">"s"</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"Hostname: "</w:t>
      </w:r>
      <w:r>
        <w:rPr>
          <w:rStyle w:val="NormalTok"/>
        </w:rPr>
        <w:t xml:space="preserve"> </w:t>
      </w:r>
      <w:r>
        <w:rPr>
          <w:rStyle w:val="KeywordTok"/>
        </w:rPr>
        <w:t xml:space="preserve">&amp;</w:t>
      </w:r>
      <w:r>
        <w:rPr>
          <w:rStyle w:val="NormalTok"/>
        </w:rPr>
        <w:t xml:space="preserve"> ax.AxSystemInfo</w:t>
      </w:r>
      <w:r>
        <w:rPr>
          <w:rStyle w:val="OtherTok"/>
        </w:rPr>
        <w:t xml:space="preserve">(</w:t>
      </w:r>
      <w:r>
        <w:rPr>
          <w:rStyle w:val="StringTok"/>
        </w:rPr>
        <w:t xml:space="preserve">"n"</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"Architecture: "</w:t>
      </w:r>
      <w:r>
        <w:rPr>
          <w:rStyle w:val="NormalTok"/>
        </w:rPr>
        <w:t xml:space="preserve"> </w:t>
      </w:r>
      <w:r>
        <w:rPr>
          <w:rStyle w:val="KeywordTok"/>
        </w:rPr>
        <w:t xml:space="preserve">&amp;</w:t>
      </w:r>
      <w:r>
        <w:rPr>
          <w:rStyle w:val="NormalTok"/>
        </w:rPr>
        <w:t xml:space="preserve"> ax.AxSystemInfo</w:t>
      </w:r>
      <w:r>
        <w:rPr>
          <w:rStyle w:val="OtherTok"/>
        </w:rPr>
        <w:t xml:space="preserve">(</w:t>
      </w:r>
      <w:r>
        <w:rPr>
          <w:rStyle w:val="StringTok"/>
        </w:rPr>
        <w:t xml:space="preserve">"m"</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"Go version: "</w:t>
      </w:r>
      <w:r>
        <w:rPr>
          <w:rStyle w:val="NormalTok"/>
        </w:rPr>
        <w:t xml:space="preserve"> </w:t>
      </w:r>
      <w:r>
        <w:rPr>
          <w:rStyle w:val="KeywordTok"/>
        </w:rPr>
        <w:t xml:space="preserve">&amp;</w:t>
      </w:r>
      <w:r>
        <w:rPr>
          <w:rStyle w:val="NormalTok"/>
        </w:rPr>
        <w:t xml:space="preserve"> ax.AxSystemInfo</w:t>
      </w:r>
      <w:r>
        <w:rPr>
          <w:rStyle w:val="OtherTok"/>
        </w:rPr>
        <w:t xml:space="preserve">(</w:t>
      </w:r>
      <w:r>
        <w:rPr>
          <w:rStyle w:val="StringTok"/>
        </w:rPr>
        <w:t xml:space="preserve">"v"</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"Full info: "</w:t>
      </w:r>
      <w:r>
        <w:rPr>
          <w:rStyle w:val="NormalTok"/>
        </w:rPr>
        <w:t xml:space="preserve"> </w:t>
      </w:r>
      <w:r>
        <w:rPr>
          <w:rStyle w:val="KeywordTok"/>
        </w:rPr>
        <w:t xml:space="preserve">&amp;</w:t>
      </w:r>
      <w:r>
        <w:rPr>
          <w:rStyle w:val="NormalTok"/>
        </w:rPr>
        <w:t xml:space="preserve"> ax.AxSystemInfo</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62"/>
    <w:bookmarkStart w:id="1363" w:name="api-reference-42"/>
    <w:p>
      <w:pPr>
        <w:pStyle w:val="Heading2"/>
      </w:pPr>
      <w:r>
        <w:t xml:space="preserve">API Reference</w:t>
      </w:r>
    </w:p>
    <w:p>
      <w:pPr>
        <w:pStyle w:val="Compact"/>
        <w:numPr>
          <w:ilvl w:val="0"/>
          <w:numId w:val="1392"/>
        </w:numPr>
      </w:pPr>
      <w:r>
        <w:rPr>
          <w:b/>
          <w:bCs/>
        </w:rPr>
        <w:t xml:space="preserve">Object</w:t>
      </w:r>
      <w:r>
        <w:t xml:space="preserve">:</w:t>
      </w:r>
      <w:r>
        <w:t xml:space="preserve"> </w:t>
      </w:r>
      <w:r>
        <w:rPr>
          <w:rStyle w:val="VerbatimChar"/>
        </w:rPr>
        <w:t xml:space="preserve">G3AXON.FUNCTIONS</w:t>
      </w:r>
    </w:p>
    <w:p>
      <w:pPr>
        <w:pStyle w:val="Compact"/>
        <w:numPr>
          <w:ilvl w:val="0"/>
          <w:numId w:val="1392"/>
        </w:numPr>
      </w:pPr>
      <w:r>
        <w:rPr>
          <w:b/>
          <w:bCs/>
        </w:rPr>
        <w:t xml:space="preserve">Method</w:t>
      </w:r>
      <w:r>
        <w:t xml:space="preserve">:</w:t>
      </w:r>
      <w:r>
        <w:t xml:space="preserve"> </w:t>
      </w:r>
      <w:r>
        <w:rPr>
          <w:rStyle w:val="VerbatimChar"/>
        </w:rPr>
        <w:t xml:space="preserve">AxSystemInfo</w:t>
      </w:r>
    </w:p>
    <w:p>
      <w:pPr>
        <w:pStyle w:val="Compact"/>
        <w:numPr>
          <w:ilvl w:val="0"/>
          <w:numId w:val="1392"/>
        </w:numPr>
      </w:pPr>
      <w:r>
        <w:rPr>
          <w:b/>
          <w:bCs/>
        </w:rPr>
        <w:t xml:space="preserve">Arguments</w:t>
      </w:r>
      <w:r>
        <w:t xml:space="preserve">:</w:t>
      </w:r>
      <w:r>
        <w:t xml:space="preserve"> </w:t>
      </w:r>
      <w:r>
        <w:rPr>
          <w:rStyle w:val="VerbatimChar"/>
        </w:rPr>
        <w:t xml:space="preserve">mode</w:t>
      </w:r>
      <w:r>
        <w:t xml:space="preserve"> </w:t>
      </w:r>
      <w:r>
        <w:t xml:space="preserve">(String, optional) —</w:t>
      </w:r>
      <w:r>
        <w:t xml:space="preserve"> </w:t>
      </w:r>
      <w:r>
        <w:rPr>
          <w:rStyle w:val="VerbatimChar"/>
        </w:rPr>
        <w:t xml:space="preserve">"s"</w:t>
      </w:r>
      <w:r>
        <w:t xml:space="preserve">,</w:t>
      </w:r>
      <w:r>
        <w:t xml:space="preserve"> </w:t>
      </w:r>
      <w:r>
        <w:rPr>
          <w:rStyle w:val="VerbatimChar"/>
        </w:rPr>
        <w:t xml:space="preserve">"n"</w:t>
      </w:r>
      <w:r>
        <w:t xml:space="preserve">,</w:t>
      </w:r>
      <w:r>
        <w:t xml:space="preserve"> </w:t>
      </w:r>
      <w:r>
        <w:rPr>
          <w:rStyle w:val="VerbatimChar"/>
        </w:rPr>
        <w:t xml:space="preserve">"v"</w:t>
      </w:r>
      <w:r>
        <w:t xml:space="preserve">,</w:t>
      </w:r>
      <w:r>
        <w:t xml:space="preserve"> </w:t>
      </w:r>
      <w:r>
        <w:rPr>
          <w:rStyle w:val="VerbatimChar"/>
        </w:rPr>
        <w:t xml:space="preserve">"m"</w:t>
      </w:r>
      <w:r>
        <w:t xml:space="preserve">, or</w:t>
      </w:r>
      <w:r>
        <w:t xml:space="preserve"> </w:t>
      </w:r>
      <w:r>
        <w:rPr>
          <w:rStyle w:val="VerbatimChar"/>
        </w:rPr>
        <w:t xml:space="preserve">"a"</w:t>
      </w:r>
    </w:p>
    <w:p>
      <w:pPr>
        <w:pStyle w:val="Compact"/>
        <w:numPr>
          <w:ilvl w:val="0"/>
          <w:numId w:val="1392"/>
        </w:numPr>
      </w:pPr>
      <w:r>
        <w:rPr>
          <w:b/>
          <w:bCs/>
        </w:rPr>
        <w:t xml:space="preserve">Returns</w:t>
      </w:r>
      <w:r>
        <w:t xml:space="preserve">: String — system information for the selected category</w:t>
      </w:r>
    </w:p>
    <w:bookmarkEnd w:id="1363"/>
    <w:bookmarkEnd w:id="1364"/>
    <w:bookmarkStart w:id="1373" w:name="get-the-current-process-user-name"/>
    <w:p>
      <w:pPr>
        <w:pStyle w:val="Heading1"/>
      </w:pPr>
      <w:r>
        <w:t xml:space="preserve">Get the Current Process User Name</w:t>
      </w:r>
    </w:p>
    <w:bookmarkStart w:id="1365" w:name="overview-83"/>
    <w:p>
      <w:pPr>
        <w:pStyle w:val="Heading2"/>
      </w:pPr>
      <w:r>
        <w:t xml:space="preserve">Overview</w:t>
      </w:r>
    </w:p>
    <w:p>
      <w:pPr>
        <w:pStyle w:val="FirstParagraph"/>
      </w:pPr>
      <w:r>
        <w:t xml:space="preserve">Returns the username of the operating system user running the current AxonASP process.</w:t>
      </w:r>
    </w:p>
    <w:bookmarkEnd w:id="1365"/>
    <w:bookmarkStart w:id="1366" w:name="prerequisites-4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66"/>
    <w:bookmarkStart w:id="1367" w:name="syntax-100"/>
    <w:p>
      <w:pPr>
        <w:pStyle w:val="Heading2"/>
      </w:pPr>
      <w:r>
        <w:t xml:space="preserve">Syntax</w:t>
      </w:r>
    </w:p>
    <w:p>
      <w:pPr>
        <w:pStyle w:val="SourceCode"/>
      </w:pPr>
      <w:r>
        <w:rPr>
          <w:rStyle w:val="NormalTok"/>
        </w:rPr>
        <w:t xml:space="preserve">result = obj.AxCurrentUser()</w:t>
      </w:r>
    </w:p>
    <w:bookmarkEnd w:id="1367"/>
    <w:bookmarkStart w:id="1368" w:name="parameters-30"/>
    <w:p>
      <w:pPr>
        <w:pStyle w:val="Heading2"/>
      </w:pPr>
      <w:r>
        <w:t xml:space="preserve">Parameters</w:t>
      </w:r>
    </w:p>
    <w:p>
      <w:pPr>
        <w:pStyle w:val="FirstParagraph"/>
      </w:pPr>
      <w:r>
        <w:t xml:space="preserve">This method does not require parameters.</w:t>
      </w:r>
    </w:p>
    <w:bookmarkEnd w:id="1368"/>
    <w:bookmarkStart w:id="1369" w:name="return-value-46"/>
    <w:p>
      <w:pPr>
        <w:pStyle w:val="Heading2"/>
      </w:pPr>
      <w:r>
        <w:t xml:space="preserve">Return Value</w:t>
      </w:r>
    </w:p>
    <w:p>
      <w:pPr>
        <w:pStyle w:val="Compact"/>
        <w:numPr>
          <w:ilvl w:val="0"/>
          <w:numId w:val="1393"/>
        </w:numPr>
      </w:pPr>
      <w:r>
        <w:rPr>
          <w:b/>
          <w:bCs/>
        </w:rPr>
        <w:t xml:space="preserve">String</w:t>
      </w:r>
      <w:r>
        <w:t xml:space="preserve">: Returns the username of the process owner.</w:t>
      </w:r>
    </w:p>
    <w:p>
      <w:pPr>
        <w:pStyle w:val="Compact"/>
        <w:numPr>
          <w:ilvl w:val="0"/>
          <w:numId w:val="1393"/>
        </w:numPr>
      </w:pPr>
      <w:r>
        <w:rPr>
          <w:b/>
          <w:bCs/>
        </w:rPr>
        <w:t xml:space="preserve">String</w:t>
      </w:r>
      <w:r>
        <w:t xml:space="preserve">: Returns an empty string when the username cannot be determined.</w:t>
      </w:r>
    </w:p>
    <w:bookmarkEnd w:id="1369"/>
    <w:bookmarkStart w:id="1370" w:name="remarks-112"/>
    <w:p>
      <w:pPr>
        <w:pStyle w:val="Heading2"/>
      </w:pPr>
      <w:r>
        <w:t xml:space="preserve">Remarks</w:t>
      </w:r>
    </w:p>
    <w:p>
      <w:pPr>
        <w:pStyle w:val="Compact"/>
        <w:numPr>
          <w:ilvl w:val="0"/>
          <w:numId w:val="1394"/>
        </w:numPr>
      </w:pPr>
      <w:r>
        <w:t xml:space="preserve">On Windows, falls back to the</w:t>
      </w:r>
      <w:r>
        <w:t xml:space="preserve"> </w:t>
      </w:r>
      <w:r>
        <w:rPr>
          <w:rStyle w:val="VerbatimChar"/>
        </w:rPr>
        <w:t xml:space="preserve">USERNAME</w:t>
      </w:r>
      <w:r>
        <w:t xml:space="preserve"> </w:t>
      </w:r>
      <w:r>
        <w:t xml:space="preserve">environment variable if the system API call fails.</w:t>
      </w:r>
    </w:p>
    <w:p>
      <w:pPr>
        <w:pStyle w:val="Compact"/>
        <w:numPr>
          <w:ilvl w:val="0"/>
          <w:numId w:val="1394"/>
        </w:numPr>
      </w:pPr>
      <w:r>
        <w:t xml:space="preserve">On Unix-like systems, falls back to the</w:t>
      </w:r>
      <w:r>
        <w:t xml:space="preserve"> </w:t>
      </w:r>
      <w:r>
        <w:rPr>
          <w:rStyle w:val="VerbatimChar"/>
        </w:rPr>
        <w:t xml:space="preserve">USER</w:t>
      </w:r>
      <w:r>
        <w:t xml:space="preserve"> </w:t>
      </w:r>
      <w:r>
        <w:t xml:space="preserve">environment variable if the system API call fails.</w:t>
      </w:r>
    </w:p>
    <w:p>
      <w:pPr>
        <w:pStyle w:val="Compact"/>
        <w:numPr>
          <w:ilvl w:val="0"/>
          <w:numId w:val="1394"/>
        </w:numPr>
      </w:pPr>
      <w:r>
        <w:t xml:space="preserve">Method names are case-insensitive in VBScript dispatch.</w:t>
      </w:r>
    </w:p>
    <w:bookmarkEnd w:id="1370"/>
    <w:bookmarkStart w:id="1371" w:name="example-4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"Process user: "</w:t>
      </w:r>
      <w:r>
        <w:rPr>
          <w:rStyle w:val="NormalTok"/>
        </w:rPr>
        <w:t xml:space="preserve"> </w:t>
      </w:r>
      <w:r>
        <w:rPr>
          <w:rStyle w:val="KeywordTok"/>
        </w:rPr>
        <w:t xml:space="preserve">&amp;</w:t>
      </w:r>
      <w:r>
        <w:rPr>
          <w:rStyle w:val="NormalTok"/>
        </w:rPr>
        <w:t xml:space="preserve"> ax.AxCurrentUser</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71"/>
    <w:bookmarkStart w:id="1372" w:name="api-reference-43"/>
    <w:p>
      <w:pPr>
        <w:pStyle w:val="Heading2"/>
      </w:pPr>
      <w:r>
        <w:t xml:space="preserve">API Reference</w:t>
      </w:r>
    </w:p>
    <w:p>
      <w:pPr>
        <w:pStyle w:val="Compact"/>
        <w:numPr>
          <w:ilvl w:val="0"/>
          <w:numId w:val="1395"/>
        </w:numPr>
      </w:pPr>
      <w:r>
        <w:rPr>
          <w:b/>
          <w:bCs/>
        </w:rPr>
        <w:t xml:space="preserve">Object</w:t>
      </w:r>
      <w:r>
        <w:t xml:space="preserve">:</w:t>
      </w:r>
      <w:r>
        <w:t xml:space="preserve"> </w:t>
      </w:r>
      <w:r>
        <w:rPr>
          <w:rStyle w:val="VerbatimChar"/>
        </w:rPr>
        <w:t xml:space="preserve">G3AXON.FUNCTIONS</w:t>
      </w:r>
    </w:p>
    <w:p>
      <w:pPr>
        <w:pStyle w:val="Compact"/>
        <w:numPr>
          <w:ilvl w:val="0"/>
          <w:numId w:val="1395"/>
        </w:numPr>
      </w:pPr>
      <w:r>
        <w:rPr>
          <w:b/>
          <w:bCs/>
        </w:rPr>
        <w:t xml:space="preserve">Method</w:t>
      </w:r>
      <w:r>
        <w:t xml:space="preserve">:</w:t>
      </w:r>
      <w:r>
        <w:t xml:space="preserve"> </w:t>
      </w:r>
      <w:r>
        <w:rPr>
          <w:rStyle w:val="VerbatimChar"/>
        </w:rPr>
        <w:t xml:space="preserve">AxCurrentUser</w:t>
      </w:r>
    </w:p>
    <w:p>
      <w:pPr>
        <w:pStyle w:val="Compact"/>
        <w:numPr>
          <w:ilvl w:val="0"/>
          <w:numId w:val="1395"/>
        </w:numPr>
      </w:pPr>
      <w:r>
        <w:rPr>
          <w:b/>
          <w:bCs/>
        </w:rPr>
        <w:t xml:space="preserve">Arguments</w:t>
      </w:r>
      <w:r>
        <w:t xml:space="preserve">: none</w:t>
      </w:r>
    </w:p>
    <w:p>
      <w:pPr>
        <w:pStyle w:val="Compact"/>
        <w:numPr>
          <w:ilvl w:val="0"/>
          <w:numId w:val="1395"/>
        </w:numPr>
      </w:pPr>
      <w:r>
        <w:rPr>
          <w:b/>
          <w:bCs/>
        </w:rPr>
        <w:t xml:space="preserve">Returns</w:t>
      </w:r>
      <w:r>
        <w:t xml:space="preserve">:</w:t>
      </w:r>
      <w:r>
        <w:t xml:space="preserve"> </w:t>
      </w:r>
      <w:r>
        <w:rPr>
          <w:rStyle w:val="VerbatimChar"/>
        </w:rPr>
        <w:t xml:space="preserve">String</w:t>
      </w:r>
      <w:r>
        <w:t xml:space="preserve"> </w:t>
      </w:r>
      <w:r>
        <w:t xml:space="preserve">(username of the process owner, or empty string)</w:t>
      </w:r>
    </w:p>
    <w:bookmarkEnd w:id="1372"/>
    <w:bookmarkEnd w:id="1373"/>
    <w:bookmarkStart w:id="1382" w:name="write-html-escaped-text-to-the-response"/>
    <w:p>
      <w:pPr>
        <w:pStyle w:val="Heading1"/>
      </w:pPr>
      <w:r>
        <w:t xml:space="preserve">Write HTML-Escaped Text to the Response</w:t>
      </w:r>
    </w:p>
    <w:bookmarkStart w:id="1374" w:name="overview-84"/>
    <w:p>
      <w:pPr>
        <w:pStyle w:val="Heading2"/>
      </w:pPr>
      <w:r>
        <w:t xml:space="preserve">Overview</w:t>
      </w:r>
    </w:p>
    <w:p>
      <w:pPr>
        <w:pStyle w:val="FirstParagraph"/>
      </w:pPr>
      <w:r>
        <w:t xml:space="preserve">Writes a string to the current HTTP response after escaping all HTML special characters. This is a safe alternative to</w:t>
      </w:r>
      <w:r>
        <w:t xml:space="preserve"> </w:t>
      </w:r>
      <w:r>
        <w:rPr>
          <w:rStyle w:val="VerbatimChar"/>
        </w:rPr>
        <w:t xml:space="preserve">Response.Write</w:t>
      </w:r>
      <w:r>
        <w:t xml:space="preserve"> </w:t>
      </w:r>
      <w:r>
        <w:t xml:space="preserve">when outputting user-supplied or untrusted data.</w:t>
      </w:r>
    </w:p>
    <w:bookmarkEnd w:id="1374"/>
    <w:bookmarkStart w:id="1375" w:name="prerequisites-4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75"/>
    <w:bookmarkStart w:id="1376" w:name="syntax-101"/>
    <w:p>
      <w:pPr>
        <w:pStyle w:val="Heading2"/>
      </w:pPr>
      <w:r>
        <w:t xml:space="preserve">Syntax</w:t>
      </w:r>
    </w:p>
    <w:p>
      <w:pPr>
        <w:pStyle w:val="SourceCode"/>
      </w:pPr>
      <w:r>
        <w:rPr>
          <w:rStyle w:val="NormalTok"/>
        </w:rPr>
        <w:t xml:space="preserve">ax.AxW(text)</w:t>
      </w:r>
    </w:p>
    <w:p>
      <w:pPr>
        <w:pStyle w:val="FirstParagraph"/>
      </w:pPr>
      <w:r>
        <w:t xml:space="preserve">This method is also accessible as</w:t>
      </w:r>
      <w:r>
        <w:t xml:space="preserve"> </w:t>
      </w:r>
      <w:r>
        <w:rPr>
          <w:rStyle w:val="VerbatimChar"/>
        </w:rPr>
        <w:t xml:space="preserve">ax.document.write(text)</w:t>
      </w:r>
      <w:r>
        <w:t xml:space="preserve"> </w:t>
      </w:r>
      <w:r>
        <w:t xml:space="preserve">and</w:t>
      </w:r>
      <w:r>
        <w:t xml:space="preserve"> </w:t>
      </w:r>
      <w:r>
        <w:rPr>
          <w:rStyle w:val="VerbatimChar"/>
        </w:rPr>
        <w:t xml:space="preserve">ax.documentwrite(text)</w:t>
      </w:r>
      <w:r>
        <w:t xml:space="preserve"> </w:t>
      </w:r>
      <w:r>
        <w:t xml:space="preserve">for compatibility.</w:t>
      </w:r>
    </w:p>
    <w:bookmarkEnd w:id="1376"/>
    <w:bookmarkStart w:id="1377" w:name="parameters-3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text</w:t>
            </w:r>
          </w:p>
        </w:tc>
        <w:tc>
          <w:tcPr/>
          <w:p>
            <w:pPr>
              <w:pStyle w:val="Compact"/>
            </w:pPr>
            <w:r>
              <w:t xml:space="preserve">String</w:t>
            </w:r>
          </w:p>
        </w:tc>
        <w:tc>
          <w:tcPr/>
          <w:p>
            <w:pPr>
              <w:pStyle w:val="Compact"/>
            </w:pPr>
            <w:r>
              <w:t xml:space="preserve">Yes</w:t>
            </w:r>
          </w:p>
        </w:tc>
        <w:tc>
          <w:tcPr/>
          <w:p>
            <w:pPr>
              <w:pStyle w:val="Compact"/>
            </w:pPr>
            <w:r>
              <w:t xml:space="preserve">The text to write to the response. HTML special characters are escaped before output.</w:t>
            </w:r>
          </w:p>
        </w:tc>
      </w:tr>
    </w:tbl>
    <w:bookmarkEnd w:id="1377"/>
    <w:bookmarkStart w:id="1378" w:name="return-value-47"/>
    <w:p>
      <w:pPr>
        <w:pStyle w:val="Heading2"/>
      </w:pPr>
      <w:r>
        <w:t xml:space="preserve">Return Value</w:t>
      </w:r>
    </w:p>
    <w:p>
      <w:pPr>
        <w:pStyle w:val="Compact"/>
        <w:numPr>
          <w:ilvl w:val="0"/>
          <w:numId w:val="1396"/>
        </w:numPr>
      </w:pPr>
      <w:r>
        <w:rPr>
          <w:b/>
          <w:bCs/>
        </w:rPr>
        <w:t xml:space="preserve">Empty</w:t>
      </w:r>
      <w:r>
        <w:t xml:space="preserve">: This method does not return a value.</w:t>
      </w:r>
    </w:p>
    <w:bookmarkEnd w:id="1378"/>
    <w:bookmarkStart w:id="1379" w:name="remarks-113"/>
    <w:p>
      <w:pPr>
        <w:pStyle w:val="Heading2"/>
      </w:pPr>
      <w:r>
        <w:t xml:space="preserve">Remarks</w:t>
      </w:r>
    </w:p>
    <w:p>
      <w:pPr>
        <w:pStyle w:val="Compact"/>
        <w:numPr>
          <w:ilvl w:val="0"/>
          <w:numId w:val="1397"/>
        </w:numPr>
      </w:pPr>
      <w:r>
        <w:t xml:space="preserve">Characters escaped:</w:t>
      </w:r>
      <w:r>
        <w:t xml:space="preserve"> </w:t>
      </w:r>
      <w:r>
        <w:rPr>
          <w:rStyle w:val="VerbatimChar"/>
        </w:rPr>
        <w:t xml:space="preserve">&amp;</w:t>
      </w:r>
      <w:r>
        <w:t xml:space="preserve"> </w:t>
      </w:r>
      <w:r>
        <w:t xml:space="preserve">→</w:t>
      </w:r>
      <w:r>
        <w:t xml:space="preserve"> </w:t>
      </w:r>
      <w:r>
        <w:rPr>
          <w:rStyle w:val="VerbatimChar"/>
        </w:rPr>
        <w:t xml:space="preserve">&amp;amp;</w:t>
      </w:r>
      <w:r>
        <w:t xml:space="preserve">,</w:t>
      </w:r>
      <w:r>
        <w:t xml:space="preserve"> </w:t>
      </w:r>
      <w:r>
        <w:rPr>
          <w:rStyle w:val="VerbatimChar"/>
        </w:rPr>
        <w:t xml:space="preserve">&lt;</w:t>
      </w:r>
      <w:r>
        <w:t xml:space="preserve"> </w:t>
      </w:r>
      <w:r>
        <w:t xml:space="preserve">→</w:t>
      </w:r>
      <w:r>
        <w:t xml:space="preserve"> </w:t>
      </w:r>
      <w:r>
        <w:rPr>
          <w:rStyle w:val="VerbatimChar"/>
        </w:rPr>
        <w:t xml:space="preserve">&amp;lt;</w:t>
      </w:r>
      <w:r>
        <w:t xml:space="preserve">,</w:t>
      </w:r>
      <w:r>
        <w:t xml:space="preserve"> </w:t>
      </w:r>
      <w:r>
        <w:rPr>
          <w:rStyle w:val="VerbatimChar"/>
        </w:rPr>
        <w:t xml:space="preserve">&gt;</w:t>
      </w:r>
      <w:r>
        <w:t xml:space="preserve"> </w:t>
      </w:r>
      <w:r>
        <w:t xml:space="preserve">→</w:t>
      </w:r>
      <w:r>
        <w:t xml:space="preserve"> </w:t>
      </w:r>
      <w:r>
        <w:rPr>
          <w:rStyle w:val="VerbatimChar"/>
        </w:rPr>
        <w:t xml:space="preserve">&amp;gt;</w:t>
      </w:r>
      <w:r>
        <w:t xml:space="preserve">,</w:t>
      </w:r>
      <w:r>
        <w:t xml:space="preserve"> </w:t>
      </w:r>
      <w:r>
        <w:rPr>
          <w:rStyle w:val="VerbatimChar"/>
        </w:rPr>
        <w:t xml:space="preserve">"</w:t>
      </w:r>
      <w:r>
        <w:t xml:space="preserve"> </w:t>
      </w:r>
      <w:r>
        <w:t xml:space="preserve">→</w:t>
      </w:r>
      <w:r>
        <w:t xml:space="preserve"> </w:t>
      </w:r>
      <w:r>
        <w:rPr>
          <w:rStyle w:val="VerbatimChar"/>
        </w:rPr>
        <w:t xml:space="preserve">&amp;#34;</w:t>
      </w:r>
      <w:r>
        <w:t xml:space="preserve">.</w:t>
      </w:r>
    </w:p>
    <w:p>
      <w:pPr>
        <w:pStyle w:val="Compact"/>
        <w:numPr>
          <w:ilvl w:val="0"/>
          <w:numId w:val="1397"/>
        </w:numPr>
      </w:pPr>
      <w:r>
        <w:t xml:space="preserve">Use</w:t>
      </w:r>
      <w:r>
        <w:t xml:space="preserve"> </w:t>
      </w:r>
      <w:r>
        <w:rPr>
          <w:rStyle w:val="VerbatimChar"/>
        </w:rPr>
        <w:t xml:space="preserve">Response.Write</w:t>
      </w:r>
      <w:r>
        <w:t xml:space="preserve"> </w:t>
      </w:r>
      <w:r>
        <w:t xml:space="preserve">when you intentionally need to output raw HTML markup.</w:t>
      </w:r>
    </w:p>
    <w:p>
      <w:pPr>
        <w:pStyle w:val="Compact"/>
        <w:numPr>
          <w:ilvl w:val="0"/>
          <w:numId w:val="1397"/>
        </w:numPr>
      </w:pPr>
      <w:r>
        <w:t xml:space="preserve">Method names are case-insensitive.</w:t>
      </w:r>
    </w:p>
    <w:bookmarkEnd w:id="1379"/>
    <w:bookmarkStart w:id="1380" w:name="example-4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userInput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userInput = </w:t>
      </w:r>
      <w:r>
        <w:rPr>
          <w:rStyle w:val="StringTok"/>
        </w:rPr>
        <w:t xml:space="preserve">"&lt;script&gt;alert('xss')&lt;/script&gt;"</w:t>
      </w:r>
      <w:r>
        <w:br/>
      </w:r>
      <w:r>
        <w:br/>
      </w:r>
      <w:r>
        <w:rPr>
          <w:rStyle w:val="CommentTok"/>
        </w:rPr>
        <w:t xml:space="preserve">' Renders safely as literal text — no script executes.</w:t>
      </w:r>
      <w:r>
        <w:br/>
      </w:r>
      <w:r>
        <w:rPr>
          <w:rStyle w:val="NormalTok"/>
        </w:rPr>
        <w:t xml:space="preserve">ax.AxW userInput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80"/>
    <w:bookmarkStart w:id="1381" w:name="api-reference-44"/>
    <w:p>
      <w:pPr>
        <w:pStyle w:val="Heading2"/>
      </w:pPr>
      <w:r>
        <w:t xml:space="preserve">API Reference</w:t>
      </w:r>
    </w:p>
    <w:p>
      <w:pPr>
        <w:pStyle w:val="Compact"/>
        <w:numPr>
          <w:ilvl w:val="0"/>
          <w:numId w:val="1398"/>
        </w:numPr>
      </w:pPr>
      <w:r>
        <w:rPr>
          <w:b/>
          <w:bCs/>
        </w:rPr>
        <w:t xml:space="preserve">Object</w:t>
      </w:r>
      <w:r>
        <w:t xml:space="preserve">:</w:t>
      </w:r>
      <w:r>
        <w:t xml:space="preserve"> </w:t>
      </w:r>
      <w:r>
        <w:rPr>
          <w:rStyle w:val="VerbatimChar"/>
        </w:rPr>
        <w:t xml:space="preserve">G3AXON.FUNCTIONS</w:t>
      </w:r>
    </w:p>
    <w:p>
      <w:pPr>
        <w:pStyle w:val="Compact"/>
        <w:numPr>
          <w:ilvl w:val="0"/>
          <w:numId w:val="1398"/>
        </w:numPr>
      </w:pPr>
      <w:r>
        <w:rPr>
          <w:b/>
          <w:bCs/>
        </w:rPr>
        <w:t xml:space="preserve">Method</w:t>
      </w:r>
      <w:r>
        <w:t xml:space="preserve">:</w:t>
      </w:r>
      <w:r>
        <w:t xml:space="preserve"> </w:t>
      </w:r>
      <w:r>
        <w:rPr>
          <w:rStyle w:val="VerbatimChar"/>
        </w:rPr>
        <w:t xml:space="preserve">AxW</w:t>
      </w:r>
      <w:r>
        <w:t xml:space="preserve"> </w:t>
      </w:r>
      <w:r>
        <w:t xml:space="preserve">(also:</w:t>
      </w:r>
      <w:r>
        <w:t xml:space="preserve"> </w:t>
      </w:r>
      <w:r>
        <w:rPr>
          <w:rStyle w:val="VerbatimChar"/>
        </w:rPr>
        <w:t xml:space="preserve">document.write</w:t>
      </w:r>
      <w:r>
        <w:t xml:space="preserve">,</w:t>
      </w:r>
      <w:r>
        <w:t xml:space="preserve"> </w:t>
      </w:r>
      <w:r>
        <w:rPr>
          <w:rStyle w:val="VerbatimChar"/>
        </w:rPr>
        <w:t xml:space="preserve">documentwrite</w:t>
      </w:r>
      <w:r>
        <w:t xml:space="preserve">)</w:t>
      </w:r>
    </w:p>
    <w:p>
      <w:pPr>
        <w:pStyle w:val="Compact"/>
        <w:numPr>
          <w:ilvl w:val="0"/>
          <w:numId w:val="1398"/>
        </w:numPr>
      </w:pPr>
      <w:r>
        <w:rPr>
          <w:b/>
          <w:bCs/>
        </w:rPr>
        <w:t xml:space="preserve">Arguments</w:t>
      </w:r>
      <w:r>
        <w:t xml:space="preserve">:</w:t>
      </w:r>
      <w:r>
        <w:t xml:space="preserve"> </w:t>
      </w:r>
      <w:r>
        <w:rPr>
          <w:rStyle w:val="VerbatimChar"/>
        </w:rPr>
        <w:t xml:space="preserve">text</w:t>
      </w:r>
      <w:r>
        <w:t xml:space="preserve"> </w:t>
      </w:r>
      <w:r>
        <w:t xml:space="preserve">(String, required)</w:t>
      </w:r>
    </w:p>
    <w:p>
      <w:pPr>
        <w:pStyle w:val="Compact"/>
        <w:numPr>
          <w:ilvl w:val="0"/>
          <w:numId w:val="1398"/>
        </w:numPr>
      </w:pPr>
      <w:r>
        <w:rPr>
          <w:b/>
          <w:bCs/>
        </w:rPr>
        <w:t xml:space="preserve">Returns</w:t>
      </w:r>
      <w:r>
        <w:t xml:space="preserve">: Empty</w:t>
      </w:r>
    </w:p>
    <w:bookmarkEnd w:id="1381"/>
    <w:bookmarkEnd w:id="1382"/>
    <w:bookmarkStart w:id="1391" w:name="return-the-maximum-value"/>
    <w:p>
      <w:pPr>
        <w:pStyle w:val="Heading1"/>
      </w:pPr>
      <w:r>
        <w:t xml:space="preserve">Return the Maximum Value</w:t>
      </w:r>
    </w:p>
    <w:bookmarkStart w:id="1383" w:name="overview-85"/>
    <w:p>
      <w:pPr>
        <w:pStyle w:val="Heading2"/>
      </w:pPr>
      <w:r>
        <w:t xml:space="preserve">Overview</w:t>
      </w:r>
    </w:p>
    <w:p>
      <w:pPr>
        <w:pStyle w:val="FirstParagraph"/>
      </w:pPr>
      <w:r>
        <w:t xml:space="preserve">Returns the largest numeric value from all provided arguments.</w:t>
      </w:r>
    </w:p>
    <w:bookmarkEnd w:id="1383"/>
    <w:bookmarkStart w:id="1384" w:name="prerequisites-4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84"/>
    <w:bookmarkStart w:id="1385" w:name="syntax-102"/>
    <w:p>
      <w:pPr>
        <w:pStyle w:val="Heading2"/>
      </w:pPr>
      <w:r>
        <w:t xml:space="preserve">Syntax</w:t>
      </w:r>
    </w:p>
    <w:p>
      <w:pPr>
        <w:pStyle w:val="SourceCode"/>
      </w:pPr>
      <w:r>
        <w:rPr>
          <w:rStyle w:val="NormalTok"/>
        </w:rPr>
        <w:t xml:space="preserve">result = obj.AxMax(n1, n2, ...)</w:t>
      </w:r>
    </w:p>
    <w:bookmarkEnd w:id="1385"/>
    <w:bookmarkStart w:id="1386" w:name="parameters-3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n1, n2, …</w:t>
            </w:r>
          </w:p>
        </w:tc>
        <w:tc>
          <w:tcPr/>
          <w:p>
            <w:pPr>
              <w:pStyle w:val="Compact"/>
            </w:pPr>
            <w:r>
              <w:t xml:space="preserve">Double</w:t>
            </w:r>
          </w:p>
        </w:tc>
        <w:tc>
          <w:tcPr/>
          <w:p>
            <w:pPr>
              <w:pStyle w:val="Compact"/>
            </w:pPr>
            <w:r>
              <w:t xml:space="preserve">Yes (at least one)</w:t>
            </w:r>
          </w:p>
        </w:tc>
        <w:tc>
          <w:tcPr/>
          <w:p>
            <w:pPr>
              <w:pStyle w:val="Compact"/>
            </w:pPr>
            <w:r>
              <w:t xml:space="preserve">One or more numeric values to compare. All values are coerced to Double before comparison.</w:t>
            </w:r>
          </w:p>
        </w:tc>
      </w:tr>
    </w:tbl>
    <w:bookmarkEnd w:id="1386"/>
    <w:bookmarkStart w:id="1387" w:name="return-value-48"/>
    <w:p>
      <w:pPr>
        <w:pStyle w:val="Heading2"/>
      </w:pPr>
      <w:r>
        <w:t xml:space="preserve">Return Value</w:t>
      </w:r>
    </w:p>
    <w:p>
      <w:pPr>
        <w:pStyle w:val="Compact"/>
        <w:numPr>
          <w:ilvl w:val="0"/>
          <w:numId w:val="1399"/>
        </w:numPr>
      </w:pPr>
      <w:r>
        <w:rPr>
          <w:b/>
          <w:bCs/>
        </w:rPr>
        <w:t xml:space="preserve">Double</w:t>
      </w:r>
      <w:r>
        <w:t xml:space="preserve">: Returns the largest value among all arguments.</w:t>
      </w:r>
    </w:p>
    <w:p>
      <w:pPr>
        <w:pStyle w:val="Compact"/>
        <w:numPr>
          <w:ilvl w:val="0"/>
          <w:numId w:val="1399"/>
        </w:numPr>
      </w:pPr>
      <w:r>
        <w:rPr>
          <w:b/>
          <w:bCs/>
        </w:rPr>
        <w:t xml:space="preserve">Integer</w:t>
      </w:r>
      <w:r>
        <w:t xml:space="preserve">: Returns</w:t>
      </w:r>
      <w:r>
        <w:t xml:space="preserve"> </w:t>
      </w:r>
      <w:r>
        <w:rPr>
          <w:rStyle w:val="VerbatimChar"/>
        </w:rPr>
        <w:t xml:space="preserve">0</w:t>
      </w:r>
      <w:r>
        <w:t xml:space="preserve"> </w:t>
      </w:r>
      <w:r>
        <w:t xml:space="preserve">when no arguments are provided.</w:t>
      </w:r>
    </w:p>
    <w:bookmarkEnd w:id="1387"/>
    <w:bookmarkStart w:id="1388" w:name="remarks-114"/>
    <w:p>
      <w:pPr>
        <w:pStyle w:val="Heading2"/>
      </w:pPr>
      <w:r>
        <w:t xml:space="preserve">Remarks</w:t>
      </w:r>
    </w:p>
    <w:p>
      <w:pPr>
        <w:pStyle w:val="Compact"/>
        <w:numPr>
          <w:ilvl w:val="0"/>
          <w:numId w:val="1400"/>
        </w:numPr>
      </w:pPr>
      <w:r>
        <w:t xml:space="preserve">All values are coerced to Double before comparison.</w:t>
      </w:r>
    </w:p>
    <w:p>
      <w:pPr>
        <w:pStyle w:val="Compact"/>
        <w:numPr>
          <w:ilvl w:val="0"/>
          <w:numId w:val="1400"/>
        </w:numPr>
      </w:pPr>
      <w:r>
        <w:t xml:space="preserve">Method names are case-insensitive in VBScript dispatch.</w:t>
      </w:r>
    </w:p>
    <w:bookmarkEnd w:id="1388"/>
    <w:bookmarkStart w:id="1389" w:name="example-5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ax.AxMax</w:t>
      </w:r>
      <w:r>
        <w:rPr>
          <w:rStyle w:val="OtherTok"/>
        </w:rPr>
        <w:t xml:space="preserve">(</w:t>
      </w:r>
      <w:r>
        <w:rPr>
          <w:rStyle w:val="DecValTok"/>
        </w:rPr>
        <w:t xml:space="preserve">10</w:t>
      </w:r>
      <w:r>
        <w:rPr>
          <w:rStyle w:val="OtherTok"/>
        </w:rPr>
        <w:t xml:space="preserve">,</w:t>
      </w:r>
      <w:r>
        <w:rPr>
          <w:rStyle w:val="NormalTok"/>
        </w:rPr>
        <w:t xml:space="preserve"> </w:t>
      </w:r>
      <w:r>
        <w:rPr>
          <w:rStyle w:val="FloatTok"/>
        </w:rPr>
        <w:t xml:space="preserve">45.7</w:t>
      </w:r>
      <w:r>
        <w:rPr>
          <w:rStyle w:val="OtherTok"/>
        </w:rPr>
        <w:t xml:space="preserve">,</w:t>
      </w:r>
      <w:r>
        <w:rPr>
          <w:rStyle w:val="NormalTok"/>
        </w:rPr>
        <w:t xml:space="preserve"> </w:t>
      </w:r>
      <w:r>
        <w:rPr>
          <w:rStyle w:val="DecValTok"/>
        </w:rPr>
        <w:t xml:space="preserve">32</w:t>
      </w:r>
      <w:r>
        <w:rPr>
          <w:rStyle w:val="OtherTok"/>
        </w:rPr>
        <w:t xml:space="preserve">,</w:t>
      </w:r>
      <w:r>
        <w:rPr>
          <w:rStyle w:val="NormalTok"/>
        </w:rPr>
        <w:t xml:space="preserve"> -</w:t>
      </w:r>
      <w:r>
        <w:rPr>
          <w:rStyle w:val="DecValTok"/>
        </w:rPr>
        <w:t xml:space="preserve">5</w:t>
      </w:r>
      <w:r>
        <w:rPr>
          <w:rStyle w:val="OtherTok"/>
        </w:rPr>
        <w:t xml:space="preserve">)</w:t>
      </w:r>
      <w:r>
        <w:br/>
      </w:r>
      <w:r>
        <w:rPr>
          <w:rStyle w:val="CommentTok"/>
        </w:rPr>
        <w:t xml:space="preserve">' Output: 45.7</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ax.AxMax</w:t>
      </w:r>
      <w:r>
        <w:rPr>
          <w:rStyle w:val="OtherTok"/>
        </w:rPr>
        <w:t xml:space="preserve">(</w:t>
      </w:r>
      <w:r>
        <w:rPr>
          <w:rStyle w:val="DecValTok"/>
        </w:rPr>
        <w:t xml:space="preserve">100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DecValTok"/>
        </w:rPr>
        <w:t xml:space="preserve">150</w:t>
      </w:r>
      <w:r>
        <w:rPr>
          <w:rStyle w:val="OtherTok"/>
        </w:rPr>
        <w:t xml:space="preserve">)</w:t>
      </w:r>
      <w:r>
        <w:br/>
      </w:r>
      <w:r>
        <w:rPr>
          <w:rStyle w:val="CommentTok"/>
        </w:rPr>
        <w:t xml:space="preserve">' Output: 200</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89"/>
    <w:bookmarkStart w:id="1390" w:name="api-reference-45"/>
    <w:p>
      <w:pPr>
        <w:pStyle w:val="Heading2"/>
      </w:pPr>
      <w:r>
        <w:t xml:space="preserve">API Reference</w:t>
      </w:r>
    </w:p>
    <w:p>
      <w:pPr>
        <w:pStyle w:val="Compact"/>
        <w:numPr>
          <w:ilvl w:val="0"/>
          <w:numId w:val="1401"/>
        </w:numPr>
      </w:pPr>
      <w:r>
        <w:rPr>
          <w:b/>
          <w:bCs/>
        </w:rPr>
        <w:t xml:space="preserve">Object</w:t>
      </w:r>
      <w:r>
        <w:t xml:space="preserve">:</w:t>
      </w:r>
      <w:r>
        <w:t xml:space="preserve"> </w:t>
      </w:r>
      <w:r>
        <w:rPr>
          <w:rStyle w:val="VerbatimChar"/>
        </w:rPr>
        <w:t xml:space="preserve">G3AXON.FUNCTIONS</w:t>
      </w:r>
    </w:p>
    <w:p>
      <w:pPr>
        <w:pStyle w:val="Compact"/>
        <w:numPr>
          <w:ilvl w:val="0"/>
          <w:numId w:val="1401"/>
        </w:numPr>
      </w:pPr>
      <w:r>
        <w:rPr>
          <w:b/>
          <w:bCs/>
        </w:rPr>
        <w:t xml:space="preserve">Method</w:t>
      </w:r>
      <w:r>
        <w:t xml:space="preserve">:</w:t>
      </w:r>
      <w:r>
        <w:t xml:space="preserve"> </w:t>
      </w:r>
      <w:r>
        <w:rPr>
          <w:rStyle w:val="VerbatimChar"/>
        </w:rPr>
        <w:t xml:space="preserve">AxMax</w:t>
      </w:r>
    </w:p>
    <w:p>
      <w:pPr>
        <w:pStyle w:val="Compact"/>
        <w:numPr>
          <w:ilvl w:val="0"/>
          <w:numId w:val="1401"/>
        </w:numPr>
      </w:pPr>
      <w:r>
        <w:rPr>
          <w:b/>
          <w:bCs/>
        </w:rPr>
        <w:t xml:space="preserve">Arguments</w:t>
      </w:r>
      <w:r>
        <w:t xml:space="preserve">:</w:t>
      </w:r>
      <w:r>
        <w:t xml:space="preserve"> </w:t>
      </w:r>
      <w:r>
        <w:rPr>
          <w:rStyle w:val="VerbatimChar"/>
        </w:rPr>
        <w:t xml:space="preserve">n1 As Double, n2 As Double, ...</w:t>
      </w:r>
      <w:r>
        <w:t xml:space="preserve"> </w:t>
      </w:r>
      <w:r>
        <w:t xml:space="preserve">(variadic)</w:t>
      </w:r>
    </w:p>
    <w:p>
      <w:pPr>
        <w:pStyle w:val="Compact"/>
        <w:numPr>
          <w:ilvl w:val="0"/>
          <w:numId w:val="1401"/>
        </w:numPr>
      </w:pPr>
      <w:r>
        <w:rPr>
          <w:b/>
          <w:bCs/>
        </w:rPr>
        <w:t xml:space="preserve">Returns</w:t>
      </w:r>
      <w:r>
        <w:t xml:space="preserve">:</w:t>
      </w:r>
      <w:r>
        <w:t xml:space="preserve"> </w:t>
      </w:r>
      <w:r>
        <w:rPr>
          <w:rStyle w:val="VerbatimChar"/>
        </w:rPr>
        <w:t xml:space="preserve">Double</w:t>
      </w:r>
      <w:r>
        <w:t xml:space="preserve"> </w:t>
      </w:r>
      <w:r>
        <w:t xml:space="preserve">(largest value among arguments)</w:t>
      </w:r>
    </w:p>
    <w:bookmarkEnd w:id="1390"/>
    <w:bookmarkEnd w:id="1391"/>
    <w:bookmarkStart w:id="1400" w:name="return-the-minimum-value"/>
    <w:p>
      <w:pPr>
        <w:pStyle w:val="Heading1"/>
      </w:pPr>
      <w:r>
        <w:t xml:space="preserve">Return the Minimum Value</w:t>
      </w:r>
    </w:p>
    <w:bookmarkStart w:id="1392" w:name="overview-86"/>
    <w:p>
      <w:pPr>
        <w:pStyle w:val="Heading2"/>
      </w:pPr>
      <w:r>
        <w:t xml:space="preserve">Overview</w:t>
      </w:r>
    </w:p>
    <w:p>
      <w:pPr>
        <w:pStyle w:val="FirstParagraph"/>
      </w:pPr>
      <w:r>
        <w:t xml:space="preserve">Returns the smallest numeric value from all provided arguments.</w:t>
      </w:r>
    </w:p>
    <w:bookmarkEnd w:id="1392"/>
    <w:bookmarkStart w:id="1393" w:name="prerequisites-4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393"/>
    <w:bookmarkStart w:id="1394" w:name="syntax-103"/>
    <w:p>
      <w:pPr>
        <w:pStyle w:val="Heading2"/>
      </w:pPr>
      <w:r>
        <w:t xml:space="preserve">Syntax</w:t>
      </w:r>
    </w:p>
    <w:p>
      <w:pPr>
        <w:pStyle w:val="SourceCode"/>
      </w:pPr>
      <w:r>
        <w:rPr>
          <w:rStyle w:val="NormalTok"/>
        </w:rPr>
        <w:t xml:space="preserve">result = obj.AxMin(n1, n2, ...)</w:t>
      </w:r>
    </w:p>
    <w:bookmarkEnd w:id="1394"/>
    <w:bookmarkStart w:id="1395" w:name="parameters-3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n1, n2, …</w:t>
            </w:r>
          </w:p>
        </w:tc>
        <w:tc>
          <w:tcPr/>
          <w:p>
            <w:pPr>
              <w:pStyle w:val="Compact"/>
            </w:pPr>
            <w:r>
              <w:t xml:space="preserve">Double</w:t>
            </w:r>
          </w:p>
        </w:tc>
        <w:tc>
          <w:tcPr/>
          <w:p>
            <w:pPr>
              <w:pStyle w:val="Compact"/>
            </w:pPr>
            <w:r>
              <w:t xml:space="preserve">Yes (at least one)</w:t>
            </w:r>
          </w:p>
        </w:tc>
        <w:tc>
          <w:tcPr/>
          <w:p>
            <w:pPr>
              <w:pStyle w:val="Compact"/>
            </w:pPr>
            <w:r>
              <w:t xml:space="preserve">One or more numeric values to compare. All values are coerced to Double before comparison.</w:t>
            </w:r>
          </w:p>
        </w:tc>
      </w:tr>
    </w:tbl>
    <w:bookmarkEnd w:id="1395"/>
    <w:bookmarkStart w:id="1396" w:name="return-value-49"/>
    <w:p>
      <w:pPr>
        <w:pStyle w:val="Heading2"/>
      </w:pPr>
      <w:r>
        <w:t xml:space="preserve">Return Value</w:t>
      </w:r>
    </w:p>
    <w:p>
      <w:pPr>
        <w:pStyle w:val="Compact"/>
        <w:numPr>
          <w:ilvl w:val="0"/>
          <w:numId w:val="1402"/>
        </w:numPr>
      </w:pPr>
      <w:r>
        <w:rPr>
          <w:b/>
          <w:bCs/>
        </w:rPr>
        <w:t xml:space="preserve">Double</w:t>
      </w:r>
      <w:r>
        <w:t xml:space="preserve">: Returns the smallest value among all arguments.</w:t>
      </w:r>
    </w:p>
    <w:p>
      <w:pPr>
        <w:pStyle w:val="Compact"/>
        <w:numPr>
          <w:ilvl w:val="0"/>
          <w:numId w:val="1402"/>
        </w:numPr>
      </w:pPr>
      <w:r>
        <w:rPr>
          <w:b/>
          <w:bCs/>
        </w:rPr>
        <w:t xml:space="preserve">Integer</w:t>
      </w:r>
      <w:r>
        <w:t xml:space="preserve">: Returns</w:t>
      </w:r>
      <w:r>
        <w:t xml:space="preserve"> </w:t>
      </w:r>
      <w:r>
        <w:rPr>
          <w:rStyle w:val="VerbatimChar"/>
        </w:rPr>
        <w:t xml:space="preserve">0</w:t>
      </w:r>
      <w:r>
        <w:t xml:space="preserve"> </w:t>
      </w:r>
      <w:r>
        <w:t xml:space="preserve">when no arguments are provided.</w:t>
      </w:r>
    </w:p>
    <w:bookmarkEnd w:id="1396"/>
    <w:bookmarkStart w:id="1397" w:name="remarks-115"/>
    <w:p>
      <w:pPr>
        <w:pStyle w:val="Heading2"/>
      </w:pPr>
      <w:r>
        <w:t xml:space="preserve">Remarks</w:t>
      </w:r>
    </w:p>
    <w:p>
      <w:pPr>
        <w:pStyle w:val="Compact"/>
        <w:numPr>
          <w:ilvl w:val="0"/>
          <w:numId w:val="1403"/>
        </w:numPr>
      </w:pPr>
      <w:r>
        <w:t xml:space="preserve">All values are coerced to Double before comparison.</w:t>
      </w:r>
    </w:p>
    <w:p>
      <w:pPr>
        <w:pStyle w:val="Compact"/>
        <w:numPr>
          <w:ilvl w:val="0"/>
          <w:numId w:val="1403"/>
        </w:numPr>
      </w:pPr>
      <w:r>
        <w:t xml:space="preserve">Method names are case-insensitive in VBScript dispatch.</w:t>
      </w:r>
    </w:p>
    <w:bookmarkEnd w:id="1397"/>
    <w:bookmarkStart w:id="1398" w:name="example-5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ax.AxMin</w:t>
      </w:r>
      <w:r>
        <w:rPr>
          <w:rStyle w:val="OtherTok"/>
        </w:rPr>
        <w:t xml:space="preserve">(</w:t>
      </w:r>
      <w:r>
        <w:rPr>
          <w:rStyle w:val="DecValTok"/>
        </w:rPr>
        <w:t xml:space="preserve">10</w:t>
      </w:r>
      <w:r>
        <w:rPr>
          <w:rStyle w:val="OtherTok"/>
        </w:rPr>
        <w:t xml:space="preserve">,</w:t>
      </w:r>
      <w:r>
        <w:rPr>
          <w:rStyle w:val="NormalTok"/>
        </w:rPr>
        <w:t xml:space="preserve"> </w:t>
      </w:r>
      <w:r>
        <w:rPr>
          <w:rStyle w:val="DecValTok"/>
        </w:rPr>
        <w:t xml:space="preserve">45</w:t>
      </w:r>
      <w:r>
        <w:rPr>
          <w:rStyle w:val="OtherTok"/>
        </w:rPr>
        <w:t xml:space="preserve">,</w:t>
      </w:r>
      <w:r>
        <w:rPr>
          <w:rStyle w:val="NormalTok"/>
        </w:rPr>
        <w:t xml:space="preserve"> </w:t>
      </w:r>
      <w:r>
        <w:rPr>
          <w:rStyle w:val="DecValTok"/>
        </w:rPr>
        <w:t xml:space="preserve">32</w:t>
      </w:r>
      <w:r>
        <w:rPr>
          <w:rStyle w:val="OtherTok"/>
        </w:rPr>
        <w:t xml:space="preserve">,</w:t>
      </w:r>
      <w:r>
        <w:rPr>
          <w:rStyle w:val="NormalTok"/>
        </w:rPr>
        <w:t xml:space="preserve"> -</w:t>
      </w:r>
      <w:r>
        <w:rPr>
          <w:rStyle w:val="FloatTok"/>
        </w:rPr>
        <w:t xml:space="preserve">5.2</w:t>
      </w:r>
      <w:r>
        <w:rPr>
          <w:rStyle w:val="OtherTok"/>
        </w:rPr>
        <w:t xml:space="preserve">)</w:t>
      </w:r>
      <w:r>
        <w:br/>
      </w:r>
      <w:r>
        <w:rPr>
          <w:rStyle w:val="CommentTok"/>
        </w:rPr>
        <w:t xml:space="preserve">' Output: -5.2</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ax.AxMin</w:t>
      </w:r>
      <w:r>
        <w:rPr>
          <w:rStyle w:val="OtherTok"/>
        </w:rPr>
        <w:t xml:space="preserve">(</w:t>
      </w:r>
      <w:r>
        <w:rPr>
          <w:rStyle w:val="DecValTok"/>
        </w:rPr>
        <w:t xml:space="preserve">100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DecValTok"/>
        </w:rPr>
        <w:t xml:space="preserve">150</w:t>
      </w:r>
      <w:r>
        <w:rPr>
          <w:rStyle w:val="OtherTok"/>
        </w:rPr>
        <w:t xml:space="preserve">)</w:t>
      </w:r>
      <w:r>
        <w:br/>
      </w:r>
      <w:r>
        <w:rPr>
          <w:rStyle w:val="CommentTok"/>
        </w:rPr>
        <w:t xml:space="preserve">' Output: 100</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398"/>
    <w:bookmarkStart w:id="1399" w:name="api-reference-46"/>
    <w:p>
      <w:pPr>
        <w:pStyle w:val="Heading2"/>
      </w:pPr>
      <w:r>
        <w:t xml:space="preserve">API Reference</w:t>
      </w:r>
    </w:p>
    <w:p>
      <w:pPr>
        <w:pStyle w:val="Compact"/>
        <w:numPr>
          <w:ilvl w:val="0"/>
          <w:numId w:val="1404"/>
        </w:numPr>
      </w:pPr>
      <w:r>
        <w:rPr>
          <w:b/>
          <w:bCs/>
        </w:rPr>
        <w:t xml:space="preserve">Object</w:t>
      </w:r>
      <w:r>
        <w:t xml:space="preserve">:</w:t>
      </w:r>
      <w:r>
        <w:t xml:space="preserve"> </w:t>
      </w:r>
      <w:r>
        <w:rPr>
          <w:rStyle w:val="VerbatimChar"/>
        </w:rPr>
        <w:t xml:space="preserve">G3AXON.FUNCTIONS</w:t>
      </w:r>
    </w:p>
    <w:p>
      <w:pPr>
        <w:pStyle w:val="Compact"/>
        <w:numPr>
          <w:ilvl w:val="0"/>
          <w:numId w:val="1404"/>
        </w:numPr>
      </w:pPr>
      <w:r>
        <w:rPr>
          <w:b/>
          <w:bCs/>
        </w:rPr>
        <w:t xml:space="preserve">Method</w:t>
      </w:r>
      <w:r>
        <w:t xml:space="preserve">:</w:t>
      </w:r>
      <w:r>
        <w:t xml:space="preserve"> </w:t>
      </w:r>
      <w:r>
        <w:rPr>
          <w:rStyle w:val="VerbatimChar"/>
        </w:rPr>
        <w:t xml:space="preserve">AxMin</w:t>
      </w:r>
    </w:p>
    <w:p>
      <w:pPr>
        <w:pStyle w:val="Compact"/>
        <w:numPr>
          <w:ilvl w:val="0"/>
          <w:numId w:val="1404"/>
        </w:numPr>
      </w:pPr>
      <w:r>
        <w:rPr>
          <w:b/>
          <w:bCs/>
        </w:rPr>
        <w:t xml:space="preserve">Arguments</w:t>
      </w:r>
      <w:r>
        <w:t xml:space="preserve">:</w:t>
      </w:r>
      <w:r>
        <w:t xml:space="preserve"> </w:t>
      </w:r>
      <w:r>
        <w:rPr>
          <w:rStyle w:val="VerbatimChar"/>
        </w:rPr>
        <w:t xml:space="preserve">n1 As Double, n2 As Double, ...</w:t>
      </w:r>
      <w:r>
        <w:t xml:space="preserve"> </w:t>
      </w:r>
      <w:r>
        <w:t xml:space="preserve">(variadic)</w:t>
      </w:r>
    </w:p>
    <w:p>
      <w:pPr>
        <w:pStyle w:val="Compact"/>
        <w:numPr>
          <w:ilvl w:val="0"/>
          <w:numId w:val="1404"/>
        </w:numPr>
      </w:pPr>
      <w:r>
        <w:rPr>
          <w:b/>
          <w:bCs/>
        </w:rPr>
        <w:t xml:space="preserve">Returns</w:t>
      </w:r>
      <w:r>
        <w:t xml:space="preserve">:</w:t>
      </w:r>
      <w:r>
        <w:t xml:space="preserve"> </w:t>
      </w:r>
      <w:r>
        <w:rPr>
          <w:rStyle w:val="VerbatimChar"/>
        </w:rPr>
        <w:t xml:space="preserve">Double</w:t>
      </w:r>
      <w:r>
        <w:t xml:space="preserve"> </w:t>
      </w:r>
      <w:r>
        <w:t xml:space="preserve">(smallest value among arguments)</w:t>
      </w:r>
    </w:p>
    <w:bookmarkEnd w:id="1399"/>
    <w:bookmarkEnd w:id="1400"/>
    <w:bookmarkStart w:id="1409" w:name="get-the-maximum-platform-integer-value"/>
    <w:p>
      <w:pPr>
        <w:pStyle w:val="Heading1"/>
      </w:pPr>
      <w:r>
        <w:t xml:space="preserve">Get the Maximum Platform Integer Value</w:t>
      </w:r>
    </w:p>
    <w:bookmarkStart w:id="1401" w:name="overview-87"/>
    <w:p>
      <w:pPr>
        <w:pStyle w:val="Heading2"/>
      </w:pPr>
      <w:r>
        <w:t xml:space="preserve">Overview</w:t>
      </w:r>
    </w:p>
    <w:p>
      <w:pPr>
        <w:pStyle w:val="FirstParagraph"/>
      </w:pPr>
      <w:r>
        <w:t xml:space="preserve">Returns the maximum value that a signed 64-bit integer can hold on the current platform.</w:t>
      </w:r>
    </w:p>
    <w:bookmarkEnd w:id="1401"/>
    <w:bookmarkStart w:id="1402" w:name="prerequisites-4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02"/>
    <w:bookmarkStart w:id="1403" w:name="syntax-104"/>
    <w:p>
      <w:pPr>
        <w:pStyle w:val="Heading2"/>
      </w:pPr>
      <w:r>
        <w:t xml:space="preserve">Syntax</w:t>
      </w:r>
    </w:p>
    <w:p>
      <w:pPr>
        <w:pStyle w:val="SourceCode"/>
      </w:pPr>
      <w:r>
        <w:rPr>
          <w:rStyle w:val="NormalTok"/>
        </w:rPr>
        <w:t xml:space="preserve">result = obj.AxIntegerMax()</w:t>
      </w:r>
    </w:p>
    <w:bookmarkEnd w:id="1403"/>
    <w:bookmarkStart w:id="1404" w:name="parameters-34"/>
    <w:p>
      <w:pPr>
        <w:pStyle w:val="Heading2"/>
      </w:pPr>
      <w:r>
        <w:t xml:space="preserve">Parameters</w:t>
      </w:r>
    </w:p>
    <w:p>
      <w:pPr>
        <w:pStyle w:val="FirstParagraph"/>
      </w:pPr>
      <w:r>
        <w:t xml:space="preserve">This method does not require parameters.</w:t>
      </w:r>
    </w:p>
    <w:bookmarkEnd w:id="1404"/>
    <w:bookmarkStart w:id="1405" w:name="return-value-50"/>
    <w:p>
      <w:pPr>
        <w:pStyle w:val="Heading2"/>
      </w:pPr>
      <w:r>
        <w:t xml:space="preserve">Return Value</w:t>
      </w:r>
    </w:p>
    <w:p>
      <w:pPr>
        <w:pStyle w:val="Compact"/>
        <w:numPr>
          <w:ilvl w:val="0"/>
          <w:numId w:val="1405"/>
        </w:numPr>
      </w:pPr>
      <w:r>
        <w:rPr>
          <w:b/>
          <w:bCs/>
        </w:rPr>
        <w:t xml:space="preserve">Integer</w:t>
      </w:r>
      <w:r>
        <w:t xml:space="preserve">: Returns</w:t>
      </w:r>
      <w:r>
        <w:t xml:space="preserve"> </w:t>
      </w:r>
      <w:r>
        <w:rPr>
          <w:rStyle w:val="VerbatimChar"/>
        </w:rPr>
        <w:t xml:space="preserve">9,223,372,036,854,775,807</w:t>
      </w:r>
      <w:r>
        <w:t xml:space="preserve"> </w:t>
      </w:r>
      <w:r>
        <w:t xml:space="preserve">on 64-bit systems.</w:t>
      </w:r>
    </w:p>
    <w:bookmarkEnd w:id="1405"/>
    <w:bookmarkStart w:id="1406" w:name="remarks-116"/>
    <w:p>
      <w:pPr>
        <w:pStyle w:val="Heading2"/>
      </w:pPr>
      <w:r>
        <w:t xml:space="preserve">Remarks</w:t>
      </w:r>
    </w:p>
    <w:p>
      <w:pPr>
        <w:pStyle w:val="Compact"/>
        <w:numPr>
          <w:ilvl w:val="0"/>
          <w:numId w:val="1406"/>
        </w:numPr>
      </w:pPr>
      <w:r>
        <w:t xml:space="preserve">Method names are case-insensitive in VBScript dispatch.</w:t>
      </w:r>
    </w:p>
    <w:bookmarkEnd w:id="1406"/>
    <w:bookmarkStart w:id="1407" w:name="example-5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ax.AxIntegerMax</w:t>
      </w:r>
      <w:r>
        <w:rPr>
          <w:rStyle w:val="OtherTok"/>
        </w:rPr>
        <w:t xml:space="preserve">()</w:t>
      </w:r>
      <w:r>
        <w:br/>
      </w:r>
      <w:r>
        <w:rPr>
          <w:rStyle w:val="CommentTok"/>
        </w:rPr>
        <w:t xml:space="preserve">' Output: 9223372036854775807</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07"/>
    <w:bookmarkStart w:id="1408" w:name="api-reference-47"/>
    <w:p>
      <w:pPr>
        <w:pStyle w:val="Heading2"/>
      </w:pPr>
      <w:r>
        <w:t xml:space="preserve">API Reference</w:t>
      </w:r>
    </w:p>
    <w:p>
      <w:pPr>
        <w:pStyle w:val="Compact"/>
        <w:numPr>
          <w:ilvl w:val="0"/>
          <w:numId w:val="1407"/>
        </w:numPr>
      </w:pPr>
      <w:r>
        <w:rPr>
          <w:b/>
          <w:bCs/>
        </w:rPr>
        <w:t xml:space="preserve">Object</w:t>
      </w:r>
      <w:r>
        <w:t xml:space="preserve">:</w:t>
      </w:r>
      <w:r>
        <w:t xml:space="preserve"> </w:t>
      </w:r>
      <w:r>
        <w:rPr>
          <w:rStyle w:val="VerbatimChar"/>
        </w:rPr>
        <w:t xml:space="preserve">G3AXON.FUNCTIONS</w:t>
      </w:r>
    </w:p>
    <w:p>
      <w:pPr>
        <w:pStyle w:val="Compact"/>
        <w:numPr>
          <w:ilvl w:val="0"/>
          <w:numId w:val="1407"/>
        </w:numPr>
      </w:pPr>
      <w:r>
        <w:rPr>
          <w:b/>
          <w:bCs/>
        </w:rPr>
        <w:t xml:space="preserve">Method</w:t>
      </w:r>
      <w:r>
        <w:t xml:space="preserve">:</w:t>
      </w:r>
      <w:r>
        <w:t xml:space="preserve"> </w:t>
      </w:r>
      <w:r>
        <w:rPr>
          <w:rStyle w:val="VerbatimChar"/>
        </w:rPr>
        <w:t xml:space="preserve">AxIntegerMax</w:t>
      </w:r>
    </w:p>
    <w:p>
      <w:pPr>
        <w:pStyle w:val="Compact"/>
        <w:numPr>
          <w:ilvl w:val="0"/>
          <w:numId w:val="1407"/>
        </w:numPr>
      </w:pPr>
      <w:r>
        <w:rPr>
          <w:b/>
          <w:bCs/>
        </w:rPr>
        <w:t xml:space="preserve">Arguments</w:t>
      </w:r>
      <w:r>
        <w:t xml:space="preserve">: none</w:t>
      </w:r>
    </w:p>
    <w:p>
      <w:pPr>
        <w:pStyle w:val="Compact"/>
        <w:numPr>
          <w:ilvl w:val="0"/>
          <w:numId w:val="1407"/>
        </w:numPr>
      </w:pPr>
      <w:r>
        <w:rPr>
          <w:b/>
          <w:bCs/>
        </w:rPr>
        <w:t xml:space="preserve">Returns</w:t>
      </w:r>
      <w:r>
        <w:t xml:space="preserve">:</w:t>
      </w:r>
      <w:r>
        <w:t xml:space="preserve"> </w:t>
      </w:r>
      <w:r>
        <w:rPr>
          <w:rStyle w:val="VerbatimChar"/>
        </w:rPr>
        <w:t xml:space="preserve">Integer</w:t>
      </w:r>
      <w:r>
        <w:t xml:space="preserve"> </w:t>
      </w:r>
      <w:r>
        <w:t xml:space="preserve">(maximum signed 64-bit integer value)</w:t>
      </w:r>
    </w:p>
    <w:bookmarkEnd w:id="1408"/>
    <w:bookmarkEnd w:id="1409"/>
    <w:bookmarkStart w:id="1418" w:name="get-the-minimum-platform-integer-value"/>
    <w:p>
      <w:pPr>
        <w:pStyle w:val="Heading1"/>
      </w:pPr>
      <w:r>
        <w:t xml:space="preserve">Get the Minimum Platform Integer Value</w:t>
      </w:r>
    </w:p>
    <w:bookmarkStart w:id="1410" w:name="overview-88"/>
    <w:p>
      <w:pPr>
        <w:pStyle w:val="Heading2"/>
      </w:pPr>
      <w:r>
        <w:t xml:space="preserve">Overview</w:t>
      </w:r>
    </w:p>
    <w:p>
      <w:pPr>
        <w:pStyle w:val="FirstParagraph"/>
      </w:pPr>
      <w:r>
        <w:t xml:space="preserve">Returns the minimum value that a signed 64-bit integer can hold on the current platform.</w:t>
      </w:r>
    </w:p>
    <w:bookmarkEnd w:id="1410"/>
    <w:bookmarkStart w:id="1411" w:name="prerequisites-4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11"/>
    <w:bookmarkStart w:id="1412" w:name="syntax-105"/>
    <w:p>
      <w:pPr>
        <w:pStyle w:val="Heading2"/>
      </w:pPr>
      <w:r>
        <w:t xml:space="preserve">Syntax</w:t>
      </w:r>
    </w:p>
    <w:p>
      <w:pPr>
        <w:pStyle w:val="SourceCode"/>
      </w:pPr>
      <w:r>
        <w:rPr>
          <w:rStyle w:val="NormalTok"/>
        </w:rPr>
        <w:t xml:space="preserve">result = obj.AxIntegerMin()</w:t>
      </w:r>
    </w:p>
    <w:bookmarkEnd w:id="1412"/>
    <w:bookmarkStart w:id="1413" w:name="parameters-35"/>
    <w:p>
      <w:pPr>
        <w:pStyle w:val="Heading2"/>
      </w:pPr>
      <w:r>
        <w:t xml:space="preserve">Parameters</w:t>
      </w:r>
    </w:p>
    <w:p>
      <w:pPr>
        <w:pStyle w:val="FirstParagraph"/>
      </w:pPr>
      <w:r>
        <w:t xml:space="preserve">This method does not require parameters.</w:t>
      </w:r>
    </w:p>
    <w:bookmarkEnd w:id="1413"/>
    <w:bookmarkStart w:id="1414" w:name="return-value-51"/>
    <w:p>
      <w:pPr>
        <w:pStyle w:val="Heading2"/>
      </w:pPr>
      <w:r>
        <w:t xml:space="preserve">Return Value</w:t>
      </w:r>
    </w:p>
    <w:p>
      <w:pPr>
        <w:pStyle w:val="Compact"/>
        <w:numPr>
          <w:ilvl w:val="0"/>
          <w:numId w:val="1408"/>
        </w:numPr>
      </w:pPr>
      <w:r>
        <w:rPr>
          <w:b/>
          <w:bCs/>
        </w:rPr>
        <w:t xml:space="preserve">Integer</w:t>
      </w:r>
      <w:r>
        <w:t xml:space="preserve">: Returns</w:t>
      </w:r>
      <w:r>
        <w:t xml:space="preserve"> </w:t>
      </w:r>
      <w:r>
        <w:rPr>
          <w:rStyle w:val="VerbatimChar"/>
        </w:rPr>
        <w:t xml:space="preserve">-9,223,372,036,854,775,808</w:t>
      </w:r>
      <w:r>
        <w:t xml:space="preserve"> </w:t>
      </w:r>
      <w:r>
        <w:t xml:space="preserve">on 64-bit systems.</w:t>
      </w:r>
    </w:p>
    <w:bookmarkEnd w:id="1414"/>
    <w:bookmarkStart w:id="1415" w:name="remarks-117"/>
    <w:p>
      <w:pPr>
        <w:pStyle w:val="Heading2"/>
      </w:pPr>
      <w:r>
        <w:t xml:space="preserve">Remarks</w:t>
      </w:r>
    </w:p>
    <w:p>
      <w:pPr>
        <w:pStyle w:val="Compact"/>
        <w:numPr>
          <w:ilvl w:val="0"/>
          <w:numId w:val="1409"/>
        </w:numPr>
      </w:pPr>
      <w:r>
        <w:t xml:space="preserve">Method names are case-insensitive in VBScript dispatch.</w:t>
      </w:r>
    </w:p>
    <w:bookmarkEnd w:id="1415"/>
    <w:bookmarkStart w:id="1416" w:name="example-5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ax.AxIntegerMin</w:t>
      </w:r>
      <w:r>
        <w:rPr>
          <w:rStyle w:val="OtherTok"/>
        </w:rPr>
        <w:t xml:space="preserve">()</w:t>
      </w:r>
      <w:r>
        <w:br/>
      </w:r>
      <w:r>
        <w:rPr>
          <w:rStyle w:val="CommentTok"/>
        </w:rPr>
        <w:t xml:space="preserve">' Output: -9223372036854775808</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16"/>
    <w:bookmarkStart w:id="1417" w:name="api-reference-48"/>
    <w:p>
      <w:pPr>
        <w:pStyle w:val="Heading2"/>
      </w:pPr>
      <w:r>
        <w:t xml:space="preserve">API Reference</w:t>
      </w:r>
    </w:p>
    <w:p>
      <w:pPr>
        <w:pStyle w:val="Compact"/>
        <w:numPr>
          <w:ilvl w:val="0"/>
          <w:numId w:val="1410"/>
        </w:numPr>
      </w:pPr>
      <w:r>
        <w:rPr>
          <w:b/>
          <w:bCs/>
        </w:rPr>
        <w:t xml:space="preserve">Object</w:t>
      </w:r>
      <w:r>
        <w:t xml:space="preserve">:</w:t>
      </w:r>
      <w:r>
        <w:t xml:space="preserve"> </w:t>
      </w:r>
      <w:r>
        <w:rPr>
          <w:rStyle w:val="VerbatimChar"/>
        </w:rPr>
        <w:t xml:space="preserve">G3AXON.FUNCTIONS</w:t>
      </w:r>
    </w:p>
    <w:p>
      <w:pPr>
        <w:pStyle w:val="Compact"/>
        <w:numPr>
          <w:ilvl w:val="0"/>
          <w:numId w:val="1410"/>
        </w:numPr>
      </w:pPr>
      <w:r>
        <w:rPr>
          <w:b/>
          <w:bCs/>
        </w:rPr>
        <w:t xml:space="preserve">Method</w:t>
      </w:r>
      <w:r>
        <w:t xml:space="preserve">:</w:t>
      </w:r>
      <w:r>
        <w:t xml:space="preserve"> </w:t>
      </w:r>
      <w:r>
        <w:rPr>
          <w:rStyle w:val="VerbatimChar"/>
        </w:rPr>
        <w:t xml:space="preserve">AxIntegerMin</w:t>
      </w:r>
    </w:p>
    <w:p>
      <w:pPr>
        <w:pStyle w:val="Compact"/>
        <w:numPr>
          <w:ilvl w:val="0"/>
          <w:numId w:val="1410"/>
        </w:numPr>
      </w:pPr>
      <w:r>
        <w:rPr>
          <w:b/>
          <w:bCs/>
        </w:rPr>
        <w:t xml:space="preserve">Arguments</w:t>
      </w:r>
      <w:r>
        <w:t xml:space="preserve">: none</w:t>
      </w:r>
    </w:p>
    <w:p>
      <w:pPr>
        <w:pStyle w:val="Compact"/>
        <w:numPr>
          <w:ilvl w:val="0"/>
          <w:numId w:val="1410"/>
        </w:numPr>
      </w:pPr>
      <w:r>
        <w:rPr>
          <w:b/>
          <w:bCs/>
        </w:rPr>
        <w:t xml:space="preserve">Returns</w:t>
      </w:r>
      <w:r>
        <w:t xml:space="preserve">:</w:t>
      </w:r>
      <w:r>
        <w:t xml:space="preserve"> </w:t>
      </w:r>
      <w:r>
        <w:rPr>
          <w:rStyle w:val="VerbatimChar"/>
        </w:rPr>
        <w:t xml:space="preserve">Integer</w:t>
      </w:r>
      <w:r>
        <w:t xml:space="preserve"> </w:t>
      </w:r>
      <w:r>
        <w:t xml:space="preserve">(minimum signed 64-bit integer value)</w:t>
      </w:r>
    </w:p>
    <w:bookmarkEnd w:id="1417"/>
    <w:bookmarkEnd w:id="1418"/>
    <w:bookmarkStart w:id="1427" w:name="round-a-number-up"/>
    <w:p>
      <w:pPr>
        <w:pStyle w:val="Heading1"/>
      </w:pPr>
      <w:r>
        <w:t xml:space="preserve">Round a Number Up</w:t>
      </w:r>
    </w:p>
    <w:bookmarkStart w:id="1419" w:name="overview-89"/>
    <w:p>
      <w:pPr>
        <w:pStyle w:val="Heading2"/>
      </w:pPr>
      <w:r>
        <w:t xml:space="preserve">Overview</w:t>
      </w:r>
    </w:p>
    <w:p>
      <w:pPr>
        <w:pStyle w:val="FirstParagraph"/>
      </w:pPr>
      <w:r>
        <w:t xml:space="preserve">Returns the smallest integer value greater than or equal to the specified number (ceiling).</w:t>
      </w:r>
    </w:p>
    <w:bookmarkEnd w:id="1419"/>
    <w:bookmarkStart w:id="1420" w:name="prerequisites-4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20"/>
    <w:bookmarkStart w:id="1421" w:name="syntax-106"/>
    <w:p>
      <w:pPr>
        <w:pStyle w:val="Heading2"/>
      </w:pPr>
      <w:r>
        <w:t xml:space="preserve">Syntax</w:t>
      </w:r>
    </w:p>
    <w:p>
      <w:pPr>
        <w:pStyle w:val="SourceCode"/>
      </w:pPr>
      <w:r>
        <w:rPr>
          <w:rStyle w:val="NormalTok"/>
        </w:rPr>
        <w:t xml:space="preserve">result = obj.AxCeil(number)</w:t>
      </w:r>
    </w:p>
    <w:bookmarkEnd w:id="1421"/>
    <w:bookmarkStart w:id="1422" w:name="parameters-3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number</w:t>
            </w:r>
          </w:p>
        </w:tc>
        <w:tc>
          <w:tcPr/>
          <w:p>
            <w:pPr>
              <w:pStyle w:val="Compact"/>
            </w:pPr>
            <w:r>
              <w:t xml:space="preserve">Double</w:t>
            </w:r>
          </w:p>
        </w:tc>
        <w:tc>
          <w:tcPr/>
          <w:p>
            <w:pPr>
              <w:pStyle w:val="Compact"/>
            </w:pPr>
            <w:r>
              <w:t xml:space="preserve">Yes</w:t>
            </w:r>
          </w:p>
        </w:tc>
        <w:tc>
          <w:tcPr/>
          <w:p>
            <w:pPr>
              <w:pStyle w:val="Compact"/>
            </w:pPr>
            <w:r>
              <w:t xml:space="preserve">The numeric value to round up. Coerced to Double before processing.</w:t>
            </w:r>
          </w:p>
        </w:tc>
      </w:tr>
    </w:tbl>
    <w:bookmarkEnd w:id="1422"/>
    <w:bookmarkStart w:id="1423" w:name="return-value-52"/>
    <w:p>
      <w:pPr>
        <w:pStyle w:val="Heading2"/>
      </w:pPr>
      <w:r>
        <w:t xml:space="preserve">Return Value</w:t>
      </w:r>
    </w:p>
    <w:p>
      <w:pPr>
        <w:pStyle w:val="Compact"/>
        <w:numPr>
          <w:ilvl w:val="0"/>
          <w:numId w:val="1411"/>
        </w:numPr>
      </w:pPr>
      <w:r>
        <w:rPr>
          <w:b/>
          <w:bCs/>
        </w:rPr>
        <w:t xml:space="preserve">Double</w:t>
      </w:r>
      <w:r>
        <w:t xml:space="preserve">: Returns the smallest integer value that is greater than or equal to</w:t>
      </w:r>
      <w:r>
        <w:t xml:space="preserve"> </w:t>
      </w:r>
      <w:r>
        <w:rPr>
          <w:rStyle w:val="VerbatimChar"/>
        </w:rPr>
        <w:t xml:space="preserve">number</w:t>
      </w:r>
      <w:r>
        <w:t xml:space="preserve">.</w:t>
      </w:r>
    </w:p>
    <w:p>
      <w:pPr>
        <w:pStyle w:val="Compact"/>
        <w:numPr>
          <w:ilvl w:val="0"/>
          <w:numId w:val="1411"/>
        </w:numPr>
      </w:pPr>
      <w:r>
        <w:rPr>
          <w:b/>
          <w:bCs/>
        </w:rPr>
        <w:t xml:space="preserve">Integer</w:t>
      </w:r>
      <w:r>
        <w:t xml:space="preserve">: Returns</w:t>
      </w:r>
      <w:r>
        <w:t xml:space="preserve"> </w:t>
      </w:r>
      <w:r>
        <w:rPr>
          <w:rStyle w:val="VerbatimChar"/>
        </w:rPr>
        <w:t xml:space="preserve">0</w:t>
      </w:r>
      <w:r>
        <w:t xml:space="preserve"> </w:t>
      </w:r>
      <w:r>
        <w:t xml:space="preserve">when no argument is provided.</w:t>
      </w:r>
    </w:p>
    <w:bookmarkEnd w:id="1423"/>
    <w:bookmarkStart w:id="1424" w:name="remarks-118"/>
    <w:p>
      <w:pPr>
        <w:pStyle w:val="Heading2"/>
      </w:pPr>
      <w:r>
        <w:t xml:space="preserve">Remarks</w:t>
      </w:r>
    </w:p>
    <w:p>
      <w:pPr>
        <w:pStyle w:val="Compact"/>
        <w:numPr>
          <w:ilvl w:val="0"/>
          <w:numId w:val="1412"/>
        </w:numPr>
      </w:pPr>
      <w:r>
        <w:t xml:space="preserve">Method names are case-insensitive in VBScript dispatch.</w:t>
      </w:r>
    </w:p>
    <w:bookmarkEnd w:id="1424"/>
    <w:bookmarkStart w:id="1425" w:name="example-5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ax.AxCeil</w:t>
      </w:r>
      <w:r>
        <w:rPr>
          <w:rStyle w:val="OtherTok"/>
        </w:rPr>
        <w:t xml:space="preserve">(</w:t>
      </w:r>
      <w:r>
        <w:rPr>
          <w:rStyle w:val="FloatTok"/>
        </w:rPr>
        <w:t xml:space="preserve">4.1</w:t>
      </w:r>
      <w:r>
        <w:rPr>
          <w:rStyle w:val="OtherTok"/>
        </w:rPr>
        <w:t xml:space="preserve">)</w:t>
      </w:r>
      <w:r>
        <w:rPr>
          <w:rStyle w:val="NormalTok"/>
        </w:rPr>
        <w:t xml:space="preserve">  </w:t>
      </w:r>
      <w:r>
        <w:rPr>
          <w:rStyle w:val="CommentTok"/>
        </w:rPr>
        <w:t xml:space="preserve">' Output: 5</w:t>
      </w:r>
      <w:r>
        <w:br/>
      </w:r>
      <w:r>
        <w:rPr>
          <w:rStyle w:val="FunctionTok"/>
        </w:rPr>
        <w:t xml:space="preserve">Response</w:t>
      </w:r>
      <w:r>
        <w:rPr>
          <w:rStyle w:val="NormalTok"/>
        </w:rPr>
        <w:t xml:space="preserve">.</w:t>
      </w:r>
      <w:r>
        <w:rPr>
          <w:rStyle w:val="FunctionTok"/>
        </w:rPr>
        <w:t xml:space="preserve">Write</w:t>
      </w:r>
      <w:r>
        <w:rPr>
          <w:rStyle w:val="NormalTok"/>
        </w:rPr>
        <w:t xml:space="preserve"> ax.AxCeil</w:t>
      </w:r>
      <w:r>
        <w:rPr>
          <w:rStyle w:val="OtherTok"/>
        </w:rPr>
        <w:t xml:space="preserve">(</w:t>
      </w:r>
      <w:r>
        <w:rPr>
          <w:rStyle w:val="FloatTok"/>
        </w:rPr>
        <w:t xml:space="preserve">4.9</w:t>
      </w:r>
      <w:r>
        <w:rPr>
          <w:rStyle w:val="OtherTok"/>
        </w:rPr>
        <w:t xml:space="preserve">)</w:t>
      </w:r>
      <w:r>
        <w:rPr>
          <w:rStyle w:val="NormalTok"/>
        </w:rPr>
        <w:t xml:space="preserve">  </w:t>
      </w:r>
      <w:r>
        <w:rPr>
          <w:rStyle w:val="CommentTok"/>
        </w:rPr>
        <w:t xml:space="preserve">' Output: 5</w:t>
      </w:r>
      <w:r>
        <w:br/>
      </w:r>
      <w:r>
        <w:rPr>
          <w:rStyle w:val="FunctionTok"/>
        </w:rPr>
        <w:t xml:space="preserve">Response</w:t>
      </w:r>
      <w:r>
        <w:rPr>
          <w:rStyle w:val="NormalTok"/>
        </w:rPr>
        <w:t xml:space="preserve">.</w:t>
      </w:r>
      <w:r>
        <w:rPr>
          <w:rStyle w:val="FunctionTok"/>
        </w:rPr>
        <w:t xml:space="preserve">Write</w:t>
      </w:r>
      <w:r>
        <w:rPr>
          <w:rStyle w:val="NormalTok"/>
        </w:rPr>
        <w:t xml:space="preserve"> ax.AxCeil</w:t>
      </w:r>
      <w:r>
        <w:rPr>
          <w:rStyle w:val="OtherTok"/>
        </w:rPr>
        <w:t xml:space="preserve">(</w:t>
      </w:r>
      <w:r>
        <w:rPr>
          <w:rStyle w:val="NormalTok"/>
        </w:rPr>
        <w:t xml:space="preserve">-</w:t>
      </w:r>
      <w:r>
        <w:rPr>
          <w:rStyle w:val="FloatTok"/>
        </w:rPr>
        <w:t xml:space="preserve">4.1</w:t>
      </w:r>
      <w:r>
        <w:rPr>
          <w:rStyle w:val="OtherTok"/>
        </w:rPr>
        <w:t xml:space="preserve">)</w:t>
      </w:r>
      <w:r>
        <w:rPr>
          <w:rStyle w:val="NormalTok"/>
        </w:rPr>
        <w:t xml:space="preserve"> </w:t>
      </w:r>
      <w:r>
        <w:rPr>
          <w:rStyle w:val="CommentTok"/>
        </w:rPr>
        <w:t xml:space="preserve">' Output: -4</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25"/>
    <w:bookmarkStart w:id="1426" w:name="api-reference-49"/>
    <w:p>
      <w:pPr>
        <w:pStyle w:val="Heading2"/>
      </w:pPr>
      <w:r>
        <w:t xml:space="preserve">API Reference</w:t>
      </w:r>
    </w:p>
    <w:p>
      <w:pPr>
        <w:pStyle w:val="Compact"/>
        <w:numPr>
          <w:ilvl w:val="0"/>
          <w:numId w:val="1413"/>
        </w:numPr>
      </w:pPr>
      <w:r>
        <w:rPr>
          <w:b/>
          <w:bCs/>
        </w:rPr>
        <w:t xml:space="preserve">Object</w:t>
      </w:r>
      <w:r>
        <w:t xml:space="preserve">:</w:t>
      </w:r>
      <w:r>
        <w:t xml:space="preserve"> </w:t>
      </w:r>
      <w:r>
        <w:rPr>
          <w:rStyle w:val="VerbatimChar"/>
        </w:rPr>
        <w:t xml:space="preserve">G3AXON.FUNCTIONS</w:t>
      </w:r>
    </w:p>
    <w:p>
      <w:pPr>
        <w:pStyle w:val="Compact"/>
        <w:numPr>
          <w:ilvl w:val="0"/>
          <w:numId w:val="1413"/>
        </w:numPr>
      </w:pPr>
      <w:r>
        <w:rPr>
          <w:b/>
          <w:bCs/>
        </w:rPr>
        <w:t xml:space="preserve">Method</w:t>
      </w:r>
      <w:r>
        <w:t xml:space="preserve">:</w:t>
      </w:r>
      <w:r>
        <w:t xml:space="preserve"> </w:t>
      </w:r>
      <w:r>
        <w:rPr>
          <w:rStyle w:val="VerbatimChar"/>
        </w:rPr>
        <w:t xml:space="preserve">AxCeil</w:t>
      </w:r>
    </w:p>
    <w:p>
      <w:pPr>
        <w:pStyle w:val="Compact"/>
        <w:numPr>
          <w:ilvl w:val="0"/>
          <w:numId w:val="1413"/>
        </w:numPr>
      </w:pPr>
      <w:r>
        <w:rPr>
          <w:b/>
          <w:bCs/>
        </w:rPr>
        <w:t xml:space="preserve">Arguments</w:t>
      </w:r>
      <w:r>
        <w:t xml:space="preserve">:</w:t>
      </w:r>
      <w:r>
        <w:t xml:space="preserve"> </w:t>
      </w:r>
      <w:r>
        <w:rPr>
          <w:rStyle w:val="VerbatimChar"/>
        </w:rPr>
        <w:t xml:space="preserve">number As Double</w:t>
      </w:r>
    </w:p>
    <w:p>
      <w:pPr>
        <w:pStyle w:val="Compact"/>
        <w:numPr>
          <w:ilvl w:val="0"/>
          <w:numId w:val="1413"/>
        </w:numPr>
      </w:pPr>
      <w:r>
        <w:rPr>
          <w:b/>
          <w:bCs/>
        </w:rPr>
        <w:t xml:space="preserve">Returns</w:t>
      </w:r>
      <w:r>
        <w:t xml:space="preserve">:</w:t>
      </w:r>
      <w:r>
        <w:t xml:space="preserve"> </w:t>
      </w:r>
      <w:r>
        <w:rPr>
          <w:rStyle w:val="VerbatimChar"/>
        </w:rPr>
        <w:t xml:space="preserve">Double</w:t>
      </w:r>
      <w:r>
        <w:t xml:space="preserve"> </w:t>
      </w:r>
      <w:r>
        <w:t xml:space="preserve">(ceiling of input)</w:t>
      </w:r>
    </w:p>
    <w:bookmarkEnd w:id="1426"/>
    <w:bookmarkEnd w:id="1427"/>
    <w:bookmarkStart w:id="1436" w:name="round-a-number-down"/>
    <w:p>
      <w:pPr>
        <w:pStyle w:val="Heading1"/>
      </w:pPr>
      <w:r>
        <w:t xml:space="preserve">Round a Number Down</w:t>
      </w:r>
    </w:p>
    <w:bookmarkStart w:id="1428" w:name="overview-90"/>
    <w:p>
      <w:pPr>
        <w:pStyle w:val="Heading2"/>
      </w:pPr>
      <w:r>
        <w:t xml:space="preserve">Overview</w:t>
      </w:r>
    </w:p>
    <w:p>
      <w:pPr>
        <w:pStyle w:val="FirstParagraph"/>
      </w:pPr>
      <w:r>
        <w:t xml:space="preserve">Returns the largest integer value less than or equal to the specified number (floor).</w:t>
      </w:r>
    </w:p>
    <w:bookmarkEnd w:id="1428"/>
    <w:bookmarkStart w:id="1429" w:name="prerequisites-4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29"/>
    <w:bookmarkStart w:id="1430" w:name="syntax-107"/>
    <w:p>
      <w:pPr>
        <w:pStyle w:val="Heading2"/>
      </w:pPr>
      <w:r>
        <w:t xml:space="preserve">Syntax</w:t>
      </w:r>
    </w:p>
    <w:p>
      <w:pPr>
        <w:pStyle w:val="SourceCode"/>
      </w:pPr>
      <w:r>
        <w:rPr>
          <w:rStyle w:val="NormalTok"/>
        </w:rPr>
        <w:t xml:space="preserve">result = obj.AxFloor(number)</w:t>
      </w:r>
    </w:p>
    <w:bookmarkEnd w:id="1430"/>
    <w:bookmarkStart w:id="1431" w:name="parameters-3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number</w:t>
            </w:r>
          </w:p>
        </w:tc>
        <w:tc>
          <w:tcPr/>
          <w:p>
            <w:pPr>
              <w:pStyle w:val="Compact"/>
            </w:pPr>
            <w:r>
              <w:t xml:space="preserve">Double</w:t>
            </w:r>
          </w:p>
        </w:tc>
        <w:tc>
          <w:tcPr/>
          <w:p>
            <w:pPr>
              <w:pStyle w:val="Compact"/>
            </w:pPr>
            <w:r>
              <w:t xml:space="preserve">Yes</w:t>
            </w:r>
          </w:p>
        </w:tc>
        <w:tc>
          <w:tcPr/>
          <w:p>
            <w:pPr>
              <w:pStyle w:val="Compact"/>
            </w:pPr>
            <w:r>
              <w:t xml:space="preserve">The numeric value to round down. Coerced to Double before processing.</w:t>
            </w:r>
          </w:p>
        </w:tc>
      </w:tr>
    </w:tbl>
    <w:bookmarkEnd w:id="1431"/>
    <w:bookmarkStart w:id="1432" w:name="return-value-53"/>
    <w:p>
      <w:pPr>
        <w:pStyle w:val="Heading2"/>
      </w:pPr>
      <w:r>
        <w:t xml:space="preserve">Return Value</w:t>
      </w:r>
    </w:p>
    <w:p>
      <w:pPr>
        <w:pStyle w:val="Compact"/>
        <w:numPr>
          <w:ilvl w:val="0"/>
          <w:numId w:val="1414"/>
        </w:numPr>
      </w:pPr>
      <w:r>
        <w:rPr>
          <w:b/>
          <w:bCs/>
        </w:rPr>
        <w:t xml:space="preserve">Double</w:t>
      </w:r>
      <w:r>
        <w:t xml:space="preserve">: Returns the largest integer value that is less than or equal to</w:t>
      </w:r>
      <w:r>
        <w:t xml:space="preserve"> </w:t>
      </w:r>
      <w:r>
        <w:rPr>
          <w:rStyle w:val="VerbatimChar"/>
        </w:rPr>
        <w:t xml:space="preserve">number</w:t>
      </w:r>
      <w:r>
        <w:t xml:space="preserve">.</w:t>
      </w:r>
    </w:p>
    <w:p>
      <w:pPr>
        <w:pStyle w:val="Compact"/>
        <w:numPr>
          <w:ilvl w:val="0"/>
          <w:numId w:val="1414"/>
        </w:numPr>
      </w:pPr>
      <w:r>
        <w:rPr>
          <w:b/>
          <w:bCs/>
        </w:rPr>
        <w:t xml:space="preserve">Integer</w:t>
      </w:r>
      <w:r>
        <w:t xml:space="preserve">: Returns</w:t>
      </w:r>
      <w:r>
        <w:t xml:space="preserve"> </w:t>
      </w:r>
      <w:r>
        <w:rPr>
          <w:rStyle w:val="VerbatimChar"/>
        </w:rPr>
        <w:t xml:space="preserve">0</w:t>
      </w:r>
      <w:r>
        <w:t xml:space="preserve"> </w:t>
      </w:r>
      <w:r>
        <w:t xml:space="preserve">when no argument is provided.</w:t>
      </w:r>
    </w:p>
    <w:bookmarkEnd w:id="1432"/>
    <w:bookmarkStart w:id="1433" w:name="remarks-119"/>
    <w:p>
      <w:pPr>
        <w:pStyle w:val="Heading2"/>
      </w:pPr>
      <w:r>
        <w:t xml:space="preserve">Remarks</w:t>
      </w:r>
    </w:p>
    <w:p>
      <w:pPr>
        <w:pStyle w:val="Compact"/>
        <w:numPr>
          <w:ilvl w:val="0"/>
          <w:numId w:val="1415"/>
        </w:numPr>
      </w:pPr>
      <w:r>
        <w:t xml:space="preserve">Method names are case-insensitive in VBScript dispatch.</w:t>
      </w:r>
    </w:p>
    <w:bookmarkEnd w:id="1433"/>
    <w:bookmarkStart w:id="1434" w:name="example-5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ax.AxFloor</w:t>
      </w:r>
      <w:r>
        <w:rPr>
          <w:rStyle w:val="OtherTok"/>
        </w:rPr>
        <w:t xml:space="preserve">(</w:t>
      </w:r>
      <w:r>
        <w:rPr>
          <w:rStyle w:val="FloatTok"/>
        </w:rPr>
        <w:t xml:space="preserve">4.9</w:t>
      </w:r>
      <w:r>
        <w:rPr>
          <w:rStyle w:val="OtherTok"/>
        </w:rPr>
        <w:t xml:space="preserve">)</w:t>
      </w:r>
      <w:r>
        <w:rPr>
          <w:rStyle w:val="NormalTok"/>
        </w:rPr>
        <w:t xml:space="preserve">  </w:t>
      </w:r>
      <w:r>
        <w:rPr>
          <w:rStyle w:val="CommentTok"/>
        </w:rPr>
        <w:t xml:space="preserve">' Output: 4</w:t>
      </w:r>
      <w:r>
        <w:br/>
      </w:r>
      <w:r>
        <w:rPr>
          <w:rStyle w:val="FunctionTok"/>
        </w:rPr>
        <w:t xml:space="preserve">Response</w:t>
      </w:r>
      <w:r>
        <w:rPr>
          <w:rStyle w:val="NormalTok"/>
        </w:rPr>
        <w:t xml:space="preserve">.</w:t>
      </w:r>
      <w:r>
        <w:rPr>
          <w:rStyle w:val="FunctionTok"/>
        </w:rPr>
        <w:t xml:space="preserve">Write</w:t>
      </w:r>
      <w:r>
        <w:rPr>
          <w:rStyle w:val="NormalTok"/>
        </w:rPr>
        <w:t xml:space="preserve"> ax.AxFloor</w:t>
      </w:r>
      <w:r>
        <w:rPr>
          <w:rStyle w:val="OtherTok"/>
        </w:rPr>
        <w:t xml:space="preserve">(</w:t>
      </w:r>
      <w:r>
        <w:rPr>
          <w:rStyle w:val="FloatTok"/>
        </w:rPr>
        <w:t xml:space="preserve">4.1</w:t>
      </w:r>
      <w:r>
        <w:rPr>
          <w:rStyle w:val="OtherTok"/>
        </w:rPr>
        <w:t xml:space="preserve">)</w:t>
      </w:r>
      <w:r>
        <w:rPr>
          <w:rStyle w:val="NormalTok"/>
        </w:rPr>
        <w:t xml:space="preserve">  </w:t>
      </w:r>
      <w:r>
        <w:rPr>
          <w:rStyle w:val="CommentTok"/>
        </w:rPr>
        <w:t xml:space="preserve">' Output: 4</w:t>
      </w:r>
      <w:r>
        <w:br/>
      </w:r>
      <w:r>
        <w:rPr>
          <w:rStyle w:val="FunctionTok"/>
        </w:rPr>
        <w:t xml:space="preserve">Response</w:t>
      </w:r>
      <w:r>
        <w:rPr>
          <w:rStyle w:val="NormalTok"/>
        </w:rPr>
        <w:t xml:space="preserve">.</w:t>
      </w:r>
      <w:r>
        <w:rPr>
          <w:rStyle w:val="FunctionTok"/>
        </w:rPr>
        <w:t xml:space="preserve">Write</w:t>
      </w:r>
      <w:r>
        <w:rPr>
          <w:rStyle w:val="NormalTok"/>
        </w:rPr>
        <w:t xml:space="preserve"> ax.AxFloor</w:t>
      </w:r>
      <w:r>
        <w:rPr>
          <w:rStyle w:val="OtherTok"/>
        </w:rPr>
        <w:t xml:space="preserve">(</w:t>
      </w:r>
      <w:r>
        <w:rPr>
          <w:rStyle w:val="NormalTok"/>
        </w:rPr>
        <w:t xml:space="preserve">-</w:t>
      </w:r>
      <w:r>
        <w:rPr>
          <w:rStyle w:val="FloatTok"/>
        </w:rPr>
        <w:t xml:space="preserve">4.1</w:t>
      </w:r>
      <w:r>
        <w:rPr>
          <w:rStyle w:val="OtherTok"/>
        </w:rPr>
        <w:t xml:space="preserve">)</w:t>
      </w:r>
      <w:r>
        <w:rPr>
          <w:rStyle w:val="NormalTok"/>
        </w:rPr>
        <w:t xml:space="preserve"> </w:t>
      </w:r>
      <w:r>
        <w:rPr>
          <w:rStyle w:val="CommentTok"/>
        </w:rPr>
        <w:t xml:space="preserve">' Output: -5</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34"/>
    <w:bookmarkStart w:id="1435" w:name="api-reference-50"/>
    <w:p>
      <w:pPr>
        <w:pStyle w:val="Heading2"/>
      </w:pPr>
      <w:r>
        <w:t xml:space="preserve">API Reference</w:t>
      </w:r>
    </w:p>
    <w:p>
      <w:pPr>
        <w:pStyle w:val="Compact"/>
        <w:numPr>
          <w:ilvl w:val="0"/>
          <w:numId w:val="1416"/>
        </w:numPr>
      </w:pPr>
      <w:r>
        <w:rPr>
          <w:b/>
          <w:bCs/>
        </w:rPr>
        <w:t xml:space="preserve">Object</w:t>
      </w:r>
      <w:r>
        <w:t xml:space="preserve">:</w:t>
      </w:r>
      <w:r>
        <w:t xml:space="preserve"> </w:t>
      </w:r>
      <w:r>
        <w:rPr>
          <w:rStyle w:val="VerbatimChar"/>
        </w:rPr>
        <w:t xml:space="preserve">G3AXON.FUNCTIONS</w:t>
      </w:r>
    </w:p>
    <w:p>
      <w:pPr>
        <w:pStyle w:val="Compact"/>
        <w:numPr>
          <w:ilvl w:val="0"/>
          <w:numId w:val="1416"/>
        </w:numPr>
      </w:pPr>
      <w:r>
        <w:rPr>
          <w:b/>
          <w:bCs/>
        </w:rPr>
        <w:t xml:space="preserve">Method</w:t>
      </w:r>
      <w:r>
        <w:t xml:space="preserve">:</w:t>
      </w:r>
      <w:r>
        <w:t xml:space="preserve"> </w:t>
      </w:r>
      <w:r>
        <w:rPr>
          <w:rStyle w:val="VerbatimChar"/>
        </w:rPr>
        <w:t xml:space="preserve">AxFloor</w:t>
      </w:r>
    </w:p>
    <w:p>
      <w:pPr>
        <w:pStyle w:val="Compact"/>
        <w:numPr>
          <w:ilvl w:val="0"/>
          <w:numId w:val="1416"/>
        </w:numPr>
      </w:pPr>
      <w:r>
        <w:rPr>
          <w:b/>
          <w:bCs/>
        </w:rPr>
        <w:t xml:space="preserve">Arguments</w:t>
      </w:r>
      <w:r>
        <w:t xml:space="preserve">:</w:t>
      </w:r>
      <w:r>
        <w:t xml:space="preserve"> </w:t>
      </w:r>
      <w:r>
        <w:rPr>
          <w:rStyle w:val="VerbatimChar"/>
        </w:rPr>
        <w:t xml:space="preserve">number As Double</w:t>
      </w:r>
    </w:p>
    <w:p>
      <w:pPr>
        <w:pStyle w:val="Compact"/>
        <w:numPr>
          <w:ilvl w:val="0"/>
          <w:numId w:val="1416"/>
        </w:numPr>
      </w:pPr>
      <w:r>
        <w:rPr>
          <w:b/>
          <w:bCs/>
        </w:rPr>
        <w:t xml:space="preserve">Returns</w:t>
      </w:r>
      <w:r>
        <w:t xml:space="preserve">:</w:t>
      </w:r>
      <w:r>
        <w:t xml:space="preserve"> </w:t>
      </w:r>
      <w:r>
        <w:rPr>
          <w:rStyle w:val="VerbatimChar"/>
        </w:rPr>
        <w:t xml:space="preserve">Double</w:t>
      </w:r>
      <w:r>
        <w:t xml:space="preserve"> </w:t>
      </w:r>
      <w:r>
        <w:t xml:space="preserve">(floor of input)</w:t>
      </w:r>
    </w:p>
    <w:bookmarkEnd w:id="1435"/>
    <w:bookmarkEnd w:id="1436"/>
    <w:bookmarkStart w:id="1445" w:name="generate-a-random-integer"/>
    <w:p>
      <w:pPr>
        <w:pStyle w:val="Heading1"/>
      </w:pPr>
      <w:r>
        <w:t xml:space="preserve">Generate a Random Integer</w:t>
      </w:r>
    </w:p>
    <w:bookmarkStart w:id="1437" w:name="overview-91"/>
    <w:p>
      <w:pPr>
        <w:pStyle w:val="Heading2"/>
      </w:pPr>
      <w:r>
        <w:t xml:space="preserve">Overview</w:t>
      </w:r>
    </w:p>
    <w:p>
      <w:pPr>
        <w:pStyle w:val="FirstParagraph"/>
      </w:pPr>
      <w:r>
        <w:t xml:space="preserve">Returns a pseudo-random Integer. Supports three call forms: unconstrained, single-bound, and range-bound.</w:t>
      </w:r>
    </w:p>
    <w:bookmarkEnd w:id="1437"/>
    <w:bookmarkStart w:id="1438" w:name="prerequisites-4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38"/>
    <w:bookmarkStart w:id="1439" w:name="syntax-108"/>
    <w:p>
      <w:pPr>
        <w:pStyle w:val="Heading2"/>
      </w:pPr>
      <w:r>
        <w:t xml:space="preserve">Syntax</w:t>
      </w:r>
    </w:p>
    <w:p>
      <w:pPr>
        <w:pStyle w:val="SourceCode"/>
      </w:pPr>
      <w:r>
        <w:rPr>
          <w:rStyle w:val="NormalTok"/>
        </w:rPr>
        <w:t xml:space="preserve">result = obj.AxRand([max])</w:t>
      </w:r>
      <w:r>
        <w:br/>
      </w:r>
      <w:r>
        <w:rPr>
          <w:rStyle w:val="NormalTok"/>
        </w:rPr>
        <w:t xml:space="preserve">result = obj.AxRand(min, max)</w:t>
      </w:r>
    </w:p>
    <w:bookmarkEnd w:id="1439"/>
    <w:bookmarkStart w:id="1440" w:name="parameters-38"/>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(none)</w:t>
            </w:r>
          </w:p>
        </w:tc>
        <w:tc>
          <w:tcPr/>
          <w:p>
            <w:pPr>
              <w:pStyle w:val="Compact"/>
            </w:pPr>
            <w:r>
              <w:t xml:space="preserve">—</w:t>
            </w:r>
          </w:p>
        </w:tc>
        <w:tc>
          <w:tcPr/>
          <w:p>
            <w:pPr>
              <w:pStyle w:val="Compact"/>
            </w:pPr>
            <w:r>
              <w:t xml:space="preserve">Optional</w:t>
            </w:r>
          </w:p>
        </w:tc>
        <w:tc>
          <w:tcPr/>
          <w:p>
            <w:pPr>
              <w:pStyle w:val="Compact"/>
            </w:pPr>
            <w:r>
              <w:t xml:space="preserve">When called with no arguments, returns any non-negative random Integer.</w:t>
            </w:r>
          </w:p>
        </w:tc>
      </w:tr>
      <w:tr>
        <w:tc>
          <w:tcPr/>
          <w:p>
            <w:pPr>
              <w:pStyle w:val="Compact"/>
            </w:pPr>
            <w:r>
              <w:t xml:space="preserve">max</w:t>
            </w:r>
          </w:p>
        </w:tc>
        <w:tc>
          <w:tcPr/>
          <w:p>
            <w:pPr>
              <w:pStyle w:val="Compact"/>
            </w:pPr>
            <w:r>
              <w:t xml:space="preserve">Integer</w:t>
            </w:r>
          </w:p>
        </w:tc>
        <w:tc>
          <w:tcPr/>
          <w:p>
            <w:pPr>
              <w:pStyle w:val="Compact"/>
            </w:pPr>
            <w:r>
              <w:t xml:space="preserve">Optional</w:t>
            </w:r>
          </w:p>
        </w:tc>
        <w:tc>
          <w:tcPr/>
          <w:p>
            <w:pPr>
              <w:pStyle w:val="Compact"/>
            </w:pPr>
            <w:r>
              <w:t xml:space="preserve">When called with one argument, returns an Integer between</w:t>
            </w:r>
            <w:r>
              <w:t xml:space="preserve"> </w:t>
            </w:r>
            <w:r>
              <w:rPr>
                <w:rStyle w:val="VerbatimChar"/>
              </w:rPr>
              <w:t xml:space="preserve">0</w:t>
            </w:r>
            <w:r>
              <w:t xml:space="preserve"> </w:t>
            </w:r>
            <w:r>
              <w:t xml:space="preserve">and</w:t>
            </w:r>
            <w:r>
              <w:t xml:space="preserve"> </w:t>
            </w:r>
            <w:r>
              <w:rPr>
                <w:rStyle w:val="VerbatimChar"/>
              </w:rPr>
              <w:t xml:space="preserve">max</w:t>
            </w:r>
            <w:r>
              <w:t xml:space="preserve"> </w:t>
            </w:r>
            <w:r>
              <w:t xml:space="preserve">(inclusive).</w:t>
            </w:r>
          </w:p>
        </w:tc>
      </w:tr>
      <w:tr>
        <w:tc>
          <w:tcPr/>
          <w:p>
            <w:pPr>
              <w:pStyle w:val="Compact"/>
            </w:pPr>
            <w:r>
              <w:t xml:space="preserve">min</w:t>
            </w:r>
          </w:p>
        </w:tc>
        <w:tc>
          <w:tcPr/>
          <w:p>
            <w:pPr>
              <w:pStyle w:val="Compact"/>
            </w:pPr>
            <w:r>
              <w:t xml:space="preserve">Integer</w:t>
            </w:r>
          </w:p>
        </w:tc>
        <w:tc>
          <w:tcPr/>
          <w:p>
            <w:pPr>
              <w:pStyle w:val="Compact"/>
            </w:pPr>
            <w:r>
              <w:t xml:space="preserve">Optional</w:t>
            </w:r>
          </w:p>
        </w:tc>
        <w:tc>
          <w:tcPr/>
          <w:p>
            <w:pPr>
              <w:pStyle w:val="Compact"/>
            </w:pPr>
            <w:r>
              <w:t xml:space="preserve">When called with two arguments, the lower bound (inclusive). Swapped automatically if greater than</w:t>
            </w:r>
            <w:r>
              <w:t xml:space="preserve"> </w:t>
            </w:r>
            <w:r>
              <w:rPr>
                <w:rStyle w:val="VerbatimChar"/>
              </w:rPr>
              <w:t xml:space="preserve">max</w:t>
            </w:r>
            <w:r>
              <w:t xml:space="preserve">.</w:t>
            </w:r>
          </w:p>
        </w:tc>
      </w:tr>
      <w:tr>
        <w:tc>
          <w:tcPr/>
          <w:p>
            <w:pPr>
              <w:pStyle w:val="Compact"/>
            </w:pPr>
            <w:r>
              <w:t xml:space="preserve">max</w:t>
            </w:r>
          </w:p>
        </w:tc>
        <w:tc>
          <w:tcPr/>
          <w:p>
            <w:pPr>
              <w:pStyle w:val="Compact"/>
            </w:pPr>
            <w:r>
              <w:t xml:space="preserve">Integer</w:t>
            </w:r>
          </w:p>
        </w:tc>
        <w:tc>
          <w:tcPr/>
          <w:p>
            <w:pPr>
              <w:pStyle w:val="Compact"/>
            </w:pPr>
            <w:r>
              <w:t xml:space="preserve">Optional</w:t>
            </w:r>
          </w:p>
        </w:tc>
        <w:tc>
          <w:tcPr/>
          <w:p>
            <w:pPr>
              <w:pStyle w:val="Compact"/>
            </w:pPr>
            <w:r>
              <w:t xml:space="preserve">When called with two arguments, the upper bound (inclusive).</w:t>
            </w:r>
          </w:p>
        </w:tc>
      </w:tr>
    </w:tbl>
    <w:bookmarkEnd w:id="1440"/>
    <w:bookmarkStart w:id="1441" w:name="return-value-54"/>
    <w:p>
      <w:pPr>
        <w:pStyle w:val="Heading2"/>
      </w:pPr>
      <w:r>
        <w:t xml:space="preserve">Return Value</w:t>
      </w:r>
    </w:p>
    <w:p>
      <w:pPr>
        <w:pStyle w:val="Compact"/>
        <w:numPr>
          <w:ilvl w:val="0"/>
          <w:numId w:val="1417"/>
        </w:numPr>
      </w:pPr>
      <w:r>
        <w:rPr>
          <w:b/>
          <w:bCs/>
        </w:rPr>
        <w:t xml:space="preserve">Integer</w:t>
      </w:r>
      <w:r>
        <w:t xml:space="preserve">: Returns a pseudo-random Integer within the specified range (inclusive on both ends).</w:t>
      </w:r>
    </w:p>
    <w:bookmarkEnd w:id="1441"/>
    <w:bookmarkStart w:id="1442" w:name="remarks-120"/>
    <w:p>
      <w:pPr>
        <w:pStyle w:val="Heading2"/>
      </w:pPr>
      <w:r>
        <w:t xml:space="preserve">Remarks</w:t>
      </w:r>
    </w:p>
    <w:p>
      <w:pPr>
        <w:pStyle w:val="Compact"/>
        <w:numPr>
          <w:ilvl w:val="0"/>
          <w:numId w:val="1418"/>
        </w:numPr>
      </w:pPr>
      <w:r>
        <w:t xml:space="preserve">When</w:t>
      </w:r>
      <w:r>
        <w:t xml:space="preserve"> </w:t>
      </w:r>
      <w:r>
        <w:rPr>
          <w:rStyle w:val="VerbatimChar"/>
        </w:rPr>
        <w:t xml:space="preserve">min</w:t>
      </w:r>
      <w:r>
        <w:t xml:space="preserve"> </w:t>
      </w:r>
      <w:r>
        <w:t xml:space="preserve">is greater than</w:t>
      </w:r>
      <w:r>
        <w:t xml:space="preserve"> </w:t>
      </w:r>
      <w:r>
        <w:rPr>
          <w:rStyle w:val="VerbatimChar"/>
        </w:rPr>
        <w:t xml:space="preserve">max</w:t>
      </w:r>
      <w:r>
        <w:t xml:space="preserve">, the bounds are automatically swapped.</w:t>
      </w:r>
    </w:p>
    <w:p>
      <w:pPr>
        <w:pStyle w:val="Compact"/>
        <w:numPr>
          <w:ilvl w:val="0"/>
          <w:numId w:val="1418"/>
        </w:numPr>
      </w:pPr>
      <w:r>
        <w:t xml:space="preserve">When</w:t>
      </w:r>
      <w:r>
        <w:t xml:space="preserve"> </w:t>
      </w:r>
      <w:r>
        <w:rPr>
          <w:rStyle w:val="VerbatimChar"/>
        </w:rPr>
        <w:t xml:space="preserve">max</w:t>
      </w:r>
      <w:r>
        <w:t xml:space="preserve"> </w:t>
      </w:r>
      <w:r>
        <w:t xml:space="preserve">is</w:t>
      </w:r>
      <w:r>
        <w:t xml:space="preserve"> </w:t>
      </w:r>
      <w:r>
        <w:rPr>
          <w:rStyle w:val="VerbatimChar"/>
        </w:rPr>
        <w:t xml:space="preserve">0</w:t>
      </w:r>
      <w:r>
        <w:t xml:space="preserve"> </w:t>
      </w:r>
      <w:r>
        <w:t xml:space="preserve">or less and only one argument is provided, returns</w:t>
      </w:r>
      <w:r>
        <w:t xml:space="preserve"> </w:t>
      </w:r>
      <w:r>
        <w:rPr>
          <w:rStyle w:val="VerbatimChar"/>
        </w:rPr>
        <w:t xml:space="preserve">0</w:t>
      </w:r>
      <w:r>
        <w:t xml:space="preserve">.</w:t>
      </w:r>
    </w:p>
    <w:p>
      <w:pPr>
        <w:pStyle w:val="Compact"/>
        <w:numPr>
          <w:ilvl w:val="0"/>
          <w:numId w:val="1418"/>
        </w:numPr>
      </w:pPr>
      <w:r>
        <w:t xml:space="preserve">Method names are case-insensitive in VBScript dispatch.</w:t>
      </w:r>
    </w:p>
    <w:bookmarkEnd w:id="1442"/>
    <w:bookmarkStart w:id="1443" w:name="example-5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Any non-negative integer</w:t>
      </w:r>
      <w:r>
        <w:br/>
      </w:r>
      <w:r>
        <w:rPr>
          <w:rStyle w:val="FunctionTok"/>
        </w:rPr>
        <w:t xml:space="preserve">Response</w:t>
      </w:r>
      <w:r>
        <w:rPr>
          <w:rStyle w:val="NormalTok"/>
        </w:rPr>
        <w:t xml:space="preserve">.</w:t>
      </w:r>
      <w:r>
        <w:rPr>
          <w:rStyle w:val="FunctionTok"/>
        </w:rPr>
        <w:t xml:space="preserve">Write</w:t>
      </w:r>
      <w:r>
        <w:rPr>
          <w:rStyle w:val="NormalTok"/>
        </w:rPr>
        <w:t xml:space="preserve"> ax.AxRand</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CommentTok"/>
        </w:rPr>
        <w:t xml:space="preserve">' Between 0 and 10</w:t>
      </w:r>
      <w:r>
        <w:br/>
      </w:r>
      <w:r>
        <w:rPr>
          <w:rStyle w:val="FunctionTok"/>
        </w:rPr>
        <w:t xml:space="preserve">Response</w:t>
      </w:r>
      <w:r>
        <w:rPr>
          <w:rStyle w:val="NormalTok"/>
        </w:rPr>
        <w:t xml:space="preserve">.</w:t>
      </w:r>
      <w:r>
        <w:rPr>
          <w:rStyle w:val="FunctionTok"/>
        </w:rPr>
        <w:t xml:space="preserve">Write</w:t>
      </w:r>
      <w:r>
        <w:rPr>
          <w:rStyle w:val="NormalTok"/>
        </w:rPr>
        <w:t xml:space="preserve"> ax.AxRand</w:t>
      </w:r>
      <w:r>
        <w:rPr>
          <w:rStyle w:val="OtherTok"/>
        </w:rPr>
        <w:t xml:space="preserve">(</w:t>
      </w:r>
      <w:r>
        <w:rPr>
          <w:rStyle w:val="DecValTok"/>
        </w:rPr>
        <w:t xml:space="preserve">10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CommentTok"/>
        </w:rPr>
        <w:t xml:space="preserve">' Between 1 and 100</w:t>
      </w:r>
      <w:r>
        <w:br/>
      </w:r>
      <w:r>
        <w:rPr>
          <w:rStyle w:val="FunctionTok"/>
        </w:rPr>
        <w:t xml:space="preserve">Response</w:t>
      </w:r>
      <w:r>
        <w:rPr>
          <w:rStyle w:val="NormalTok"/>
        </w:rPr>
        <w:t xml:space="preserve">.</w:t>
      </w:r>
      <w:r>
        <w:rPr>
          <w:rStyle w:val="FunctionTok"/>
        </w:rPr>
        <w:t xml:space="preserve">Write</w:t>
      </w:r>
      <w:r>
        <w:rPr>
          <w:rStyle w:val="NormalTok"/>
        </w:rPr>
        <w:t xml:space="preserve"> ax.AxRand</w:t>
      </w:r>
      <w:r>
        <w:rPr>
          <w:rStyle w:val="OtherTok"/>
        </w:rPr>
        <w:t xml:space="preserve">(</w:t>
      </w:r>
      <w:r>
        <w:rPr>
          <w:rStyle w:val="DecValTok"/>
        </w:rPr>
        <w:t xml:space="preserve">1</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43"/>
    <w:bookmarkStart w:id="1444" w:name="api-reference-51"/>
    <w:p>
      <w:pPr>
        <w:pStyle w:val="Heading2"/>
      </w:pPr>
      <w:r>
        <w:t xml:space="preserve">API Reference</w:t>
      </w:r>
    </w:p>
    <w:p>
      <w:pPr>
        <w:pStyle w:val="Compact"/>
        <w:numPr>
          <w:ilvl w:val="0"/>
          <w:numId w:val="1419"/>
        </w:numPr>
      </w:pPr>
      <w:r>
        <w:rPr>
          <w:b/>
          <w:bCs/>
        </w:rPr>
        <w:t xml:space="preserve">Object</w:t>
      </w:r>
      <w:r>
        <w:t xml:space="preserve">:</w:t>
      </w:r>
      <w:r>
        <w:t xml:space="preserve"> </w:t>
      </w:r>
      <w:r>
        <w:rPr>
          <w:rStyle w:val="VerbatimChar"/>
        </w:rPr>
        <w:t xml:space="preserve">G3AXON.FUNCTIONS</w:t>
      </w:r>
    </w:p>
    <w:p>
      <w:pPr>
        <w:pStyle w:val="Compact"/>
        <w:numPr>
          <w:ilvl w:val="0"/>
          <w:numId w:val="1419"/>
        </w:numPr>
      </w:pPr>
      <w:r>
        <w:rPr>
          <w:b/>
          <w:bCs/>
        </w:rPr>
        <w:t xml:space="preserve">Method</w:t>
      </w:r>
      <w:r>
        <w:t xml:space="preserve">:</w:t>
      </w:r>
      <w:r>
        <w:t xml:space="preserve"> </w:t>
      </w:r>
      <w:r>
        <w:rPr>
          <w:rStyle w:val="VerbatimChar"/>
        </w:rPr>
        <w:t xml:space="preserve">AxRand</w:t>
      </w:r>
    </w:p>
    <w:p>
      <w:pPr>
        <w:pStyle w:val="Compact"/>
        <w:numPr>
          <w:ilvl w:val="0"/>
          <w:numId w:val="1419"/>
        </w:numPr>
      </w:pPr>
      <w:r>
        <w:rPr>
          <w:b/>
          <w:bCs/>
        </w:rPr>
        <w:t xml:space="preserve">Arguments</w:t>
      </w:r>
      <w:r>
        <w:t xml:space="preserve">:</w:t>
      </w:r>
      <w:r>
        <w:t xml:space="preserve"> </w:t>
      </w:r>
      <w:r>
        <w:rPr>
          <w:rStyle w:val="VerbatimChar"/>
        </w:rPr>
        <w:t xml:space="preserve">[max As Integer]</w:t>
      </w:r>
      <w:r>
        <w:t xml:space="preserve"> </w:t>
      </w:r>
      <w:r>
        <w:t xml:space="preserve">or</w:t>
      </w:r>
      <w:r>
        <w:t xml:space="preserve"> </w:t>
      </w:r>
      <w:r>
        <w:rPr>
          <w:rStyle w:val="VerbatimChar"/>
        </w:rPr>
        <w:t xml:space="preserve">[min As Integer, max As Integer]</w:t>
      </w:r>
    </w:p>
    <w:p>
      <w:pPr>
        <w:pStyle w:val="Compact"/>
        <w:numPr>
          <w:ilvl w:val="0"/>
          <w:numId w:val="1419"/>
        </w:numPr>
      </w:pPr>
      <w:r>
        <w:rPr>
          <w:b/>
          <w:bCs/>
        </w:rPr>
        <w:t xml:space="preserve">Returns</w:t>
      </w:r>
      <w:r>
        <w:t xml:space="preserve">:</w:t>
      </w:r>
      <w:r>
        <w:t xml:space="preserve"> </w:t>
      </w:r>
      <w:r>
        <w:rPr>
          <w:rStyle w:val="VerbatimChar"/>
        </w:rPr>
        <w:t xml:space="preserve">Integer</w:t>
      </w:r>
      <w:r>
        <w:t xml:space="preserve"> </w:t>
      </w:r>
      <w:r>
        <w:t xml:space="preserve">(pseudo-random integer within the specified range)</w:t>
      </w:r>
    </w:p>
    <w:bookmarkEnd w:id="1444"/>
    <w:bookmarkEnd w:id="1445"/>
    <w:bookmarkStart w:id="1454" w:name="X62086d5123713c8bf9ea59f26a9807d92404d98"/>
    <w:p>
      <w:pPr>
        <w:pStyle w:val="Heading1"/>
      </w:pPr>
      <w:r>
        <w:t xml:space="preserve">Format a Number with Grouping and Decimal Options</w:t>
      </w:r>
    </w:p>
    <w:bookmarkStart w:id="1446" w:name="overview-92"/>
    <w:p>
      <w:pPr>
        <w:pStyle w:val="Heading2"/>
      </w:pPr>
      <w:r>
        <w:t xml:space="preserve">Overview</w:t>
      </w:r>
    </w:p>
    <w:p>
      <w:pPr>
        <w:pStyle w:val="FirstParagraph"/>
      </w:pPr>
      <w:r>
        <w:t xml:space="preserve">Formats a numeric value with configurable decimal places, decimal separator, and thousands separator.</w:t>
      </w:r>
    </w:p>
    <w:bookmarkEnd w:id="1446"/>
    <w:bookmarkStart w:id="1447" w:name="prerequisites-5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47"/>
    <w:bookmarkStart w:id="1448" w:name="syntax-109"/>
    <w:p>
      <w:pPr>
        <w:pStyle w:val="Heading2"/>
      </w:pPr>
      <w:r>
        <w:t xml:space="preserve">Syntax</w:t>
      </w:r>
    </w:p>
    <w:p>
      <w:pPr>
        <w:pStyle w:val="SourceCode"/>
      </w:pPr>
      <w:r>
        <w:rPr>
          <w:rStyle w:val="NormalTok"/>
        </w:rPr>
        <w:t xml:space="preserve">result = obj.AxNumberFormat(number [, decimals [, decPoint [, thousandsSep]]])</w:t>
      </w:r>
    </w:p>
    <w:bookmarkEnd w:id="1448"/>
    <w:bookmarkStart w:id="1449" w:name="parameters-3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number</w:t>
            </w:r>
          </w:p>
        </w:tc>
        <w:tc>
          <w:tcPr/>
          <w:p>
            <w:pPr>
              <w:pStyle w:val="Compact"/>
            </w:pPr>
            <w:r>
              <w:t xml:space="preserve">Double</w:t>
            </w:r>
          </w:p>
        </w:tc>
        <w:tc>
          <w:tcPr/>
          <w:p>
            <w:pPr>
              <w:pStyle w:val="Compact"/>
            </w:pPr>
            <w:r>
              <w:t xml:space="preserve">Yes</w:t>
            </w:r>
          </w:p>
        </w:tc>
        <w:tc>
          <w:tcPr/>
          <w:p>
            <w:pPr>
              <w:pStyle w:val="Compact"/>
            </w:pPr>
            <w:r>
              <w:t xml:space="preserve">The numeric value to format.</w:t>
            </w:r>
          </w:p>
        </w:tc>
      </w:tr>
      <w:tr>
        <w:tc>
          <w:tcPr/>
          <w:p>
            <w:pPr>
              <w:pStyle w:val="Compact"/>
            </w:pPr>
            <w:r>
              <w:t xml:space="preserve">decimals</w:t>
            </w:r>
          </w:p>
        </w:tc>
        <w:tc>
          <w:tcPr/>
          <w:p>
            <w:pPr>
              <w:pStyle w:val="Compact"/>
            </w:pPr>
            <w:r>
              <w:t xml:space="preserve">Integer</w:t>
            </w:r>
          </w:p>
        </w:tc>
        <w:tc>
          <w:tcPr/>
          <w:p>
            <w:pPr>
              <w:pStyle w:val="Compact"/>
            </w:pPr>
            <w:r>
              <w:t xml:space="preserve">Optional</w:t>
            </w:r>
          </w:p>
        </w:tc>
        <w:tc>
          <w:tcPr/>
          <w:p>
            <w:pPr>
              <w:pStyle w:val="Compact"/>
            </w:pPr>
            <w:r>
              <w:t xml:space="preserve">The number of decimal places to include. Defaults to</w:t>
            </w:r>
            <w:r>
              <w:t xml:space="preserve"> </w:t>
            </w:r>
            <w:r>
              <w:rPr>
                <w:rStyle w:val="VerbatimChar"/>
              </w:rPr>
              <w:t xml:space="preserve">2</w:t>
            </w:r>
            <w:r>
              <w:t xml:space="preserve">.</w:t>
            </w:r>
          </w:p>
        </w:tc>
      </w:tr>
      <w:tr>
        <w:tc>
          <w:tcPr/>
          <w:p>
            <w:pPr>
              <w:pStyle w:val="Compact"/>
            </w:pPr>
            <w:r>
              <w:t xml:space="preserve">decPoint</w:t>
            </w:r>
          </w:p>
        </w:tc>
        <w:tc>
          <w:tcPr/>
          <w:p>
            <w:pPr>
              <w:pStyle w:val="Compact"/>
            </w:pPr>
            <w:r>
              <w:t xml:space="preserve">String</w:t>
            </w:r>
          </w:p>
        </w:tc>
        <w:tc>
          <w:tcPr/>
          <w:p>
            <w:pPr>
              <w:pStyle w:val="Compact"/>
            </w:pPr>
            <w:r>
              <w:t xml:space="preserve">Optional</w:t>
            </w:r>
          </w:p>
        </w:tc>
        <w:tc>
          <w:tcPr/>
          <w:p>
            <w:pPr>
              <w:pStyle w:val="Compact"/>
            </w:pPr>
            <w:r>
              <w:t xml:space="preserve">The decimal separator character. Defaults to</w:t>
            </w:r>
            <w:r>
              <w:t xml:space="preserve"> </w:t>
            </w:r>
            <w:r>
              <w:rPr>
                <w:rStyle w:val="VerbatimChar"/>
              </w:rPr>
              <w:t xml:space="preserve">"."</w:t>
            </w:r>
            <w:r>
              <w:t xml:space="preserve">.</w:t>
            </w:r>
          </w:p>
        </w:tc>
      </w:tr>
      <w:tr>
        <w:tc>
          <w:tcPr/>
          <w:p>
            <w:pPr>
              <w:pStyle w:val="Compact"/>
            </w:pPr>
            <w:r>
              <w:t xml:space="preserve">thousandsSep</w:t>
            </w:r>
          </w:p>
        </w:tc>
        <w:tc>
          <w:tcPr/>
          <w:p>
            <w:pPr>
              <w:pStyle w:val="Compact"/>
            </w:pPr>
            <w:r>
              <w:t xml:space="preserve">String</w:t>
            </w:r>
          </w:p>
        </w:tc>
        <w:tc>
          <w:tcPr/>
          <w:p>
            <w:pPr>
              <w:pStyle w:val="Compact"/>
            </w:pPr>
            <w:r>
              <w:t xml:space="preserve">Optional</w:t>
            </w:r>
          </w:p>
        </w:tc>
        <w:tc>
          <w:tcPr/>
          <w:p>
            <w:pPr>
              <w:pStyle w:val="Compact"/>
            </w:pPr>
            <w:r>
              <w:t xml:space="preserve">The thousands grouping separator. Defaults to</w:t>
            </w:r>
            <w:r>
              <w:t xml:space="preserve"> </w:t>
            </w:r>
            <w:r>
              <w:rPr>
                <w:rStyle w:val="VerbatimChar"/>
              </w:rPr>
              <w:t xml:space="preserve">","</w:t>
            </w:r>
            <w:r>
              <w:t xml:space="preserve">. Pass an empty string to disable grouping.</w:t>
            </w:r>
          </w:p>
        </w:tc>
      </w:tr>
    </w:tbl>
    <w:bookmarkEnd w:id="1449"/>
    <w:bookmarkStart w:id="1450" w:name="return-value-55"/>
    <w:p>
      <w:pPr>
        <w:pStyle w:val="Heading2"/>
      </w:pPr>
      <w:r>
        <w:t xml:space="preserve">Return Value</w:t>
      </w:r>
    </w:p>
    <w:p>
      <w:pPr>
        <w:pStyle w:val="Compact"/>
        <w:numPr>
          <w:ilvl w:val="0"/>
          <w:numId w:val="1420"/>
        </w:numPr>
      </w:pPr>
      <w:r>
        <w:rPr>
          <w:b/>
          <w:bCs/>
        </w:rPr>
        <w:t xml:space="preserve">String</w:t>
      </w:r>
      <w:r>
        <w:t xml:space="preserve">: Returns the formatted number as a string.</w:t>
      </w:r>
    </w:p>
    <w:p>
      <w:pPr>
        <w:pStyle w:val="Compact"/>
        <w:numPr>
          <w:ilvl w:val="0"/>
          <w:numId w:val="1420"/>
        </w:numPr>
      </w:pPr>
      <w:r>
        <w:rPr>
          <w:b/>
          <w:bCs/>
        </w:rPr>
        <w:t xml:space="preserve">String</w:t>
      </w:r>
      <w:r>
        <w:t xml:space="preserve">: Returns an empty string when no argument is provided.</w:t>
      </w:r>
    </w:p>
    <w:bookmarkEnd w:id="1450"/>
    <w:bookmarkStart w:id="1451" w:name="remarks-121"/>
    <w:p>
      <w:pPr>
        <w:pStyle w:val="Heading2"/>
      </w:pPr>
      <w:r>
        <w:t xml:space="preserve">Remarks</w:t>
      </w:r>
    </w:p>
    <w:p>
      <w:pPr>
        <w:pStyle w:val="Compact"/>
        <w:numPr>
          <w:ilvl w:val="0"/>
          <w:numId w:val="1421"/>
        </w:numPr>
      </w:pPr>
      <w:r>
        <w:t xml:space="preserve">Modeled after the PHP</w:t>
      </w:r>
      <w:r>
        <w:t xml:space="preserve"> </w:t>
      </w:r>
      <w:r>
        <w:rPr>
          <w:rStyle w:val="VerbatimChar"/>
        </w:rPr>
        <w:t xml:space="preserve">number_format</w:t>
      </w:r>
      <w:r>
        <w:t xml:space="preserve"> </w:t>
      </w:r>
      <w:r>
        <w:t xml:space="preserve">function behavior.</w:t>
      </w:r>
    </w:p>
    <w:p>
      <w:pPr>
        <w:pStyle w:val="Compact"/>
        <w:numPr>
          <w:ilvl w:val="0"/>
          <w:numId w:val="1421"/>
        </w:numPr>
      </w:pPr>
      <w:r>
        <w:t xml:space="preserve">Method names are case-insensitive in VBScript dispatch.</w:t>
      </w:r>
    </w:p>
    <w:bookmarkEnd w:id="1451"/>
    <w:bookmarkStart w:id="1452" w:name="example-5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US format: 1,234,567.89</w:t>
      </w:r>
      <w:r>
        <w:br/>
      </w:r>
      <w:r>
        <w:rPr>
          <w:rStyle w:val="FunctionTok"/>
        </w:rPr>
        <w:t xml:space="preserve">Response</w:t>
      </w:r>
      <w:r>
        <w:rPr>
          <w:rStyle w:val="NormalTok"/>
        </w:rPr>
        <w:t xml:space="preserve">.</w:t>
      </w:r>
      <w:r>
        <w:rPr>
          <w:rStyle w:val="FunctionTok"/>
        </w:rPr>
        <w:t xml:space="preserve">Write</w:t>
      </w:r>
      <w:r>
        <w:rPr>
          <w:rStyle w:val="NormalTok"/>
        </w:rPr>
        <w:t xml:space="preserve"> ax.AxNumberFormat</w:t>
      </w:r>
      <w:r>
        <w:rPr>
          <w:rStyle w:val="OtherTok"/>
        </w:rPr>
        <w:t xml:space="preserve">(</w:t>
      </w:r>
      <w:r>
        <w:rPr>
          <w:rStyle w:val="FloatTok"/>
        </w:rPr>
        <w:t xml:space="preserve">1234567.891</w:t>
      </w:r>
      <w:r>
        <w:rPr>
          <w:rStyle w:val="OtherTok"/>
        </w:rPr>
        <w:t xml:space="preserve">,</w:t>
      </w:r>
      <w:r>
        <w:rPr>
          <w:rStyle w:val="NormalTok"/>
        </w:rPr>
        <w:t xml:space="preserve"> </w:t>
      </w:r>
      <w:r>
        <w:rPr>
          <w:rStyle w:val="DecValTok"/>
        </w:rPr>
        <w:t xml:space="preserve">2</w:t>
      </w:r>
      <w:r>
        <w:rPr>
          <w:rStyle w:val="OtherTok"/>
        </w:rPr>
        <w:t xml:space="preserve">)</w:t>
      </w:r>
      <w:r>
        <w:br/>
      </w:r>
      <w:r>
        <w:br/>
      </w:r>
      <w:r>
        <w:rPr>
          <w:rStyle w:val="CommentTok"/>
        </w:rPr>
        <w:t xml:space="preserve">' European format: 1.234.567,89</w:t>
      </w:r>
      <w:r>
        <w:br/>
      </w:r>
      <w:r>
        <w:rPr>
          <w:rStyle w:val="FunctionTok"/>
        </w:rPr>
        <w:t xml:space="preserve">Response</w:t>
      </w:r>
      <w:r>
        <w:rPr>
          <w:rStyle w:val="NormalTok"/>
        </w:rPr>
        <w:t xml:space="preserve">.</w:t>
      </w:r>
      <w:r>
        <w:rPr>
          <w:rStyle w:val="FunctionTok"/>
        </w:rPr>
        <w:t xml:space="preserve">Write</w:t>
      </w:r>
      <w:r>
        <w:rPr>
          <w:rStyle w:val="NormalTok"/>
        </w:rPr>
        <w:t xml:space="preserve"> ax.AxNumberFormat</w:t>
      </w:r>
      <w:r>
        <w:rPr>
          <w:rStyle w:val="OtherTok"/>
        </w:rPr>
        <w:t xml:space="preserve">(</w:t>
      </w:r>
      <w:r>
        <w:rPr>
          <w:rStyle w:val="FloatTok"/>
        </w:rPr>
        <w:t xml:space="preserve">1234567.891</w:t>
      </w:r>
      <w:r>
        <w:rPr>
          <w:rStyle w:val="OtherTok"/>
        </w:rPr>
        <w:t xml:space="preserve">,</w:t>
      </w:r>
      <w:r>
        <w:rPr>
          <w:rStyle w:val="NormalTok"/>
        </w:rPr>
        <w:t xml:space="preserve"> </w:t>
      </w:r>
      <w:r>
        <w:rPr>
          <w:rStyle w:val="DecValTok"/>
        </w:rPr>
        <w:t xml:space="preserve">2</w:t>
      </w:r>
      <w:r>
        <w:rPr>
          <w:rStyle w:val="OtherTok"/>
        </w:rPr>
        <w:t xml:space="preserve">,</w:t>
      </w:r>
      <w:r>
        <w:rPr>
          <w:rStyle w:val="NormalTok"/>
        </w:rPr>
        <w:t xml:space="preserve"> </w:t>
      </w:r>
      <w:r>
        <w:rPr>
          <w:rStyle w:val="StringTok"/>
        </w:rPr>
        <w:t xml:space="preserve">","</w:t>
      </w:r>
      <w:r>
        <w:rPr>
          <w:rStyle w:val="OtherTok"/>
        </w:rPr>
        <w:t xml:space="preserve">,</w:t>
      </w:r>
      <w:r>
        <w:rPr>
          <w:rStyle w:val="NormalTok"/>
        </w:rPr>
        <w:t xml:space="preserve"> </w:t>
      </w:r>
      <w:r>
        <w:rPr>
          <w:rStyle w:val="StringTok"/>
        </w:rPr>
        <w:t xml:space="preserve">"."</w:t>
      </w:r>
      <w:r>
        <w:rPr>
          <w:rStyle w:val="OtherTok"/>
        </w:rPr>
        <w:t xml:space="preserve">)</w:t>
      </w:r>
      <w:r>
        <w:br/>
      </w:r>
      <w:r>
        <w:br/>
      </w:r>
      <w:r>
        <w:rPr>
          <w:rStyle w:val="CommentTok"/>
        </w:rPr>
        <w:t xml:space="preserve">' No decimal, no grouping</w:t>
      </w:r>
      <w:r>
        <w:br/>
      </w:r>
      <w:r>
        <w:rPr>
          <w:rStyle w:val="FunctionTok"/>
        </w:rPr>
        <w:t xml:space="preserve">Response</w:t>
      </w:r>
      <w:r>
        <w:rPr>
          <w:rStyle w:val="NormalTok"/>
        </w:rPr>
        <w:t xml:space="preserve">.</w:t>
      </w:r>
      <w:r>
        <w:rPr>
          <w:rStyle w:val="FunctionTok"/>
        </w:rPr>
        <w:t xml:space="preserve">Write</w:t>
      </w:r>
      <w:r>
        <w:rPr>
          <w:rStyle w:val="NormalTok"/>
        </w:rPr>
        <w:t xml:space="preserve"> ax.AxNumberFormat</w:t>
      </w:r>
      <w:r>
        <w:rPr>
          <w:rStyle w:val="OtherTok"/>
        </w:rPr>
        <w:t xml:space="preserve">(</w:t>
      </w:r>
      <w:r>
        <w:rPr>
          <w:rStyle w:val="FloatTok"/>
        </w:rPr>
        <w:t xml:space="preserve">9876.5</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StringTok"/>
        </w:rPr>
        <w:t xml:space="preserve">"."</w:t>
      </w:r>
      <w:r>
        <w:rPr>
          <w:rStyle w:val="OtherTok"/>
        </w:rPr>
        <w:t xml:space="preserve">,</w:t>
      </w:r>
      <w:r>
        <w:rPr>
          <w:rStyle w:val="NormalTok"/>
        </w:rPr>
        <w:t xml:space="preserve"> </w:t>
      </w:r>
      <w:r>
        <w:rPr>
          <w:rStyle w:val="StringTok"/>
        </w:rPr>
        <w:t xml:space="preserve">""</w:t>
      </w:r>
      <w:r>
        <w:rPr>
          <w:rStyle w:val="OtherTok"/>
        </w:rPr>
        <w:t xml:space="preserve">)</w:t>
      </w:r>
      <w:r>
        <w:br/>
      </w:r>
      <w:r>
        <w:rPr>
          <w:rStyle w:val="CommentTok"/>
        </w:rPr>
        <w:t xml:space="preserve">' Output: 9877</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52"/>
    <w:bookmarkStart w:id="1453" w:name="api-reference-52"/>
    <w:p>
      <w:pPr>
        <w:pStyle w:val="Heading2"/>
      </w:pPr>
      <w:r>
        <w:t xml:space="preserve">API Reference</w:t>
      </w:r>
    </w:p>
    <w:p>
      <w:pPr>
        <w:pStyle w:val="Compact"/>
        <w:numPr>
          <w:ilvl w:val="0"/>
          <w:numId w:val="1422"/>
        </w:numPr>
      </w:pPr>
      <w:r>
        <w:rPr>
          <w:b/>
          <w:bCs/>
        </w:rPr>
        <w:t xml:space="preserve">Object</w:t>
      </w:r>
      <w:r>
        <w:t xml:space="preserve">:</w:t>
      </w:r>
      <w:r>
        <w:t xml:space="preserve"> </w:t>
      </w:r>
      <w:r>
        <w:rPr>
          <w:rStyle w:val="VerbatimChar"/>
        </w:rPr>
        <w:t xml:space="preserve">G3AXON.FUNCTIONS</w:t>
      </w:r>
    </w:p>
    <w:p>
      <w:pPr>
        <w:pStyle w:val="Compact"/>
        <w:numPr>
          <w:ilvl w:val="0"/>
          <w:numId w:val="1422"/>
        </w:numPr>
      </w:pPr>
      <w:r>
        <w:rPr>
          <w:b/>
          <w:bCs/>
        </w:rPr>
        <w:t xml:space="preserve">Method</w:t>
      </w:r>
      <w:r>
        <w:t xml:space="preserve">:</w:t>
      </w:r>
      <w:r>
        <w:t xml:space="preserve"> </w:t>
      </w:r>
      <w:r>
        <w:rPr>
          <w:rStyle w:val="VerbatimChar"/>
        </w:rPr>
        <w:t xml:space="preserve">AxNumberFormat</w:t>
      </w:r>
    </w:p>
    <w:p>
      <w:pPr>
        <w:pStyle w:val="Compact"/>
        <w:numPr>
          <w:ilvl w:val="0"/>
          <w:numId w:val="1422"/>
        </w:numPr>
      </w:pPr>
      <w:r>
        <w:rPr>
          <w:b/>
          <w:bCs/>
        </w:rPr>
        <w:t xml:space="preserve">Arguments</w:t>
      </w:r>
      <w:r>
        <w:t xml:space="preserve">:</w:t>
      </w:r>
      <w:r>
        <w:t xml:space="preserve"> </w:t>
      </w:r>
      <w:r>
        <w:rPr>
          <w:rStyle w:val="VerbatimChar"/>
        </w:rPr>
        <w:t xml:space="preserve">number As Double [, decimals As Integer [, decPoint As String [, thousandsSep As String]]]</w:t>
      </w:r>
    </w:p>
    <w:p>
      <w:pPr>
        <w:pStyle w:val="Compact"/>
        <w:numPr>
          <w:ilvl w:val="0"/>
          <w:numId w:val="1422"/>
        </w:numPr>
      </w:pPr>
      <w:r>
        <w:rPr>
          <w:b/>
          <w:bCs/>
        </w:rPr>
        <w:t xml:space="preserve">Returns</w:t>
      </w:r>
      <w:r>
        <w:t xml:space="preserve">:</w:t>
      </w:r>
      <w:r>
        <w:t xml:space="preserve"> </w:t>
      </w:r>
      <w:r>
        <w:rPr>
          <w:rStyle w:val="VerbatimChar"/>
        </w:rPr>
        <w:t xml:space="preserve">String</w:t>
      </w:r>
      <w:r>
        <w:t xml:space="preserve"> </w:t>
      </w:r>
      <w:r>
        <w:t xml:space="preserve">(formatted number string)</w:t>
      </w:r>
    </w:p>
    <w:bookmarkEnd w:id="1453"/>
    <w:bookmarkEnd w:id="1454"/>
    <w:bookmarkStart w:id="1463" w:name="return-the-constant-pi"/>
    <w:p>
      <w:pPr>
        <w:pStyle w:val="Heading1"/>
      </w:pPr>
      <w:r>
        <w:t xml:space="preserve">Return the Constant Pi</w:t>
      </w:r>
    </w:p>
    <w:bookmarkStart w:id="1455" w:name="overview-93"/>
    <w:p>
      <w:pPr>
        <w:pStyle w:val="Heading2"/>
      </w:pPr>
      <w:r>
        <w:t xml:space="preserve">Overview</w:t>
      </w:r>
    </w:p>
    <w:p>
      <w:pPr>
        <w:pStyle w:val="FirstParagraph"/>
      </w:pPr>
      <w:r>
        <w:t xml:space="preserve">Returns the mathematical constant Pi (π = 3.141592653589793…).</w:t>
      </w:r>
    </w:p>
    <w:bookmarkEnd w:id="1455"/>
    <w:bookmarkStart w:id="1456" w:name="prerequisites-5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56"/>
    <w:bookmarkStart w:id="1457" w:name="syntax-110"/>
    <w:p>
      <w:pPr>
        <w:pStyle w:val="Heading2"/>
      </w:pPr>
      <w:r>
        <w:t xml:space="preserve">Syntax</w:t>
      </w:r>
    </w:p>
    <w:p>
      <w:pPr>
        <w:pStyle w:val="SourceCode"/>
      </w:pPr>
      <w:r>
        <w:rPr>
          <w:rStyle w:val="NormalTok"/>
        </w:rPr>
        <w:t xml:space="preserve">result = obj.AxPi()</w:t>
      </w:r>
    </w:p>
    <w:bookmarkEnd w:id="1457"/>
    <w:bookmarkStart w:id="1458" w:name="parameters-40"/>
    <w:p>
      <w:pPr>
        <w:pStyle w:val="Heading2"/>
      </w:pPr>
      <w:r>
        <w:t xml:space="preserve">Parameters</w:t>
      </w:r>
    </w:p>
    <w:p>
      <w:pPr>
        <w:pStyle w:val="FirstParagraph"/>
      </w:pPr>
      <w:r>
        <w:t xml:space="preserve">This method does not require parameters.</w:t>
      </w:r>
    </w:p>
    <w:bookmarkEnd w:id="1458"/>
    <w:bookmarkStart w:id="1459" w:name="return-value-56"/>
    <w:p>
      <w:pPr>
        <w:pStyle w:val="Heading2"/>
      </w:pPr>
      <w:r>
        <w:t xml:space="preserve">Return Value</w:t>
      </w:r>
    </w:p>
    <w:p>
      <w:pPr>
        <w:pStyle w:val="Compact"/>
        <w:numPr>
          <w:ilvl w:val="0"/>
          <w:numId w:val="1423"/>
        </w:numPr>
      </w:pPr>
      <w:r>
        <w:rPr>
          <w:b/>
          <w:bCs/>
        </w:rPr>
        <w:t xml:space="preserve">Double</w:t>
      </w:r>
      <w:r>
        <w:t xml:space="preserve">: Returns</w:t>
      </w:r>
      <w:r>
        <w:t xml:space="preserve"> </w:t>
      </w:r>
      <w:r>
        <w:rPr>
          <w:rStyle w:val="VerbatimChar"/>
        </w:rPr>
        <w:t xml:space="preserve">3.141592653589793</w:t>
      </w:r>
      <w:r>
        <w:t xml:space="preserve"> </w:t>
      </w:r>
      <w:r>
        <w:t xml:space="preserve">(the IEEE-754 double-precision representation of Pi).</w:t>
      </w:r>
    </w:p>
    <w:bookmarkEnd w:id="1459"/>
    <w:bookmarkStart w:id="1460" w:name="remarks-122"/>
    <w:p>
      <w:pPr>
        <w:pStyle w:val="Heading2"/>
      </w:pPr>
      <w:r>
        <w:t xml:space="preserve">Remarks</w:t>
      </w:r>
    </w:p>
    <w:p>
      <w:pPr>
        <w:pStyle w:val="Compact"/>
        <w:numPr>
          <w:ilvl w:val="0"/>
          <w:numId w:val="1424"/>
        </w:numPr>
      </w:pPr>
      <w:r>
        <w:t xml:space="preserve">Method names are case-insensitive in VBScript dispatch.</w:t>
      </w:r>
    </w:p>
    <w:bookmarkEnd w:id="1460"/>
    <w:bookmarkStart w:id="1461" w:name="example-5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area</w:t>
      </w:r>
      <w:r>
        <w:rPr>
          <w:rStyle w:val="OtherTok"/>
        </w:rPr>
        <w:t xml:space="preserve">,</w:t>
      </w:r>
      <w:r>
        <w:rPr>
          <w:rStyle w:val="NormalTok"/>
        </w:rPr>
        <w:t xml:space="preserve"> radius</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radius = </w:t>
      </w:r>
      <w:r>
        <w:rPr>
          <w:rStyle w:val="DecValTok"/>
        </w:rPr>
        <w:t xml:space="preserve">5</w:t>
      </w:r>
      <w:r>
        <w:br/>
      </w:r>
      <w:r>
        <w:rPr>
          <w:rStyle w:val="NormalTok"/>
        </w:rPr>
        <w:t xml:space="preserve">area = ax.AxPi</w:t>
      </w:r>
      <w:r>
        <w:rPr>
          <w:rStyle w:val="OtherTok"/>
        </w:rPr>
        <w:t xml:space="preserve">()</w:t>
      </w:r>
      <w:r>
        <w:rPr>
          <w:rStyle w:val="NormalTok"/>
        </w:rPr>
        <w:t xml:space="preserve"> * radius * radius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"Circle area: "</w:t>
      </w:r>
      <w:r>
        <w:rPr>
          <w:rStyle w:val="NormalTok"/>
        </w:rPr>
        <w:t xml:space="preserve"> </w:t>
      </w:r>
      <w:r>
        <w:rPr>
          <w:rStyle w:val="KeywordTok"/>
        </w:rPr>
        <w:t xml:space="preserve">&amp;</w:t>
      </w:r>
      <w:r>
        <w:rPr>
          <w:rStyle w:val="NormalTok"/>
        </w:rPr>
        <w:t xml:space="preserve"> area</w:t>
      </w:r>
      <w:r>
        <w:br/>
      </w:r>
      <w:r>
        <w:rPr>
          <w:rStyle w:val="CommentTok"/>
        </w:rPr>
        <w:t xml:space="preserve">' Output: Circle area: 78.5398163397448</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61"/>
    <w:bookmarkStart w:id="1462" w:name="api-reference-53"/>
    <w:p>
      <w:pPr>
        <w:pStyle w:val="Heading2"/>
      </w:pPr>
      <w:r>
        <w:t xml:space="preserve">API Reference</w:t>
      </w:r>
    </w:p>
    <w:p>
      <w:pPr>
        <w:pStyle w:val="Compact"/>
        <w:numPr>
          <w:ilvl w:val="0"/>
          <w:numId w:val="1425"/>
        </w:numPr>
      </w:pPr>
      <w:r>
        <w:rPr>
          <w:b/>
          <w:bCs/>
        </w:rPr>
        <w:t xml:space="preserve">Object</w:t>
      </w:r>
      <w:r>
        <w:t xml:space="preserve">:</w:t>
      </w:r>
      <w:r>
        <w:t xml:space="preserve"> </w:t>
      </w:r>
      <w:r>
        <w:rPr>
          <w:rStyle w:val="VerbatimChar"/>
        </w:rPr>
        <w:t xml:space="preserve">G3AXON.FUNCTIONS</w:t>
      </w:r>
    </w:p>
    <w:p>
      <w:pPr>
        <w:pStyle w:val="Compact"/>
        <w:numPr>
          <w:ilvl w:val="0"/>
          <w:numId w:val="1425"/>
        </w:numPr>
      </w:pPr>
      <w:r>
        <w:rPr>
          <w:b/>
          <w:bCs/>
        </w:rPr>
        <w:t xml:space="preserve">Method</w:t>
      </w:r>
      <w:r>
        <w:t xml:space="preserve">:</w:t>
      </w:r>
      <w:r>
        <w:t xml:space="preserve"> </w:t>
      </w:r>
      <w:r>
        <w:rPr>
          <w:rStyle w:val="VerbatimChar"/>
        </w:rPr>
        <w:t xml:space="preserve">AxPi</w:t>
      </w:r>
    </w:p>
    <w:p>
      <w:pPr>
        <w:pStyle w:val="Compact"/>
        <w:numPr>
          <w:ilvl w:val="0"/>
          <w:numId w:val="1425"/>
        </w:numPr>
      </w:pPr>
      <w:r>
        <w:rPr>
          <w:b/>
          <w:bCs/>
        </w:rPr>
        <w:t xml:space="preserve">Arguments</w:t>
      </w:r>
      <w:r>
        <w:t xml:space="preserve">: none</w:t>
      </w:r>
    </w:p>
    <w:p>
      <w:pPr>
        <w:pStyle w:val="Compact"/>
        <w:numPr>
          <w:ilvl w:val="0"/>
          <w:numId w:val="1425"/>
        </w:numPr>
      </w:pPr>
      <w:r>
        <w:rPr>
          <w:b/>
          <w:bCs/>
        </w:rPr>
        <w:t xml:space="preserve">Returns</w:t>
      </w:r>
      <w:r>
        <w:t xml:space="preserve">:</w:t>
      </w:r>
      <w:r>
        <w:t xml:space="preserve"> </w:t>
      </w:r>
      <w:r>
        <w:rPr>
          <w:rStyle w:val="VerbatimChar"/>
        </w:rPr>
        <w:t xml:space="preserve">Double</w:t>
      </w:r>
      <w:r>
        <w:t xml:space="preserve"> </w:t>
      </w:r>
      <w:r>
        <w:t xml:space="preserve">(3.141592653589793)</w:t>
      </w:r>
    </w:p>
    <w:bookmarkEnd w:id="1462"/>
    <w:bookmarkEnd w:id="1463"/>
    <w:bookmarkStart w:id="1472" w:name="get-the-smallest-positive-float-value"/>
    <w:p>
      <w:pPr>
        <w:pStyle w:val="Heading1"/>
      </w:pPr>
      <w:r>
        <w:t xml:space="preserve">Get the Smallest Positive Float Value</w:t>
      </w:r>
    </w:p>
    <w:bookmarkStart w:id="1464" w:name="overview-94"/>
    <w:p>
      <w:pPr>
        <w:pStyle w:val="Heading2"/>
      </w:pPr>
      <w:r>
        <w:t xml:space="preserve">Overview</w:t>
      </w:r>
    </w:p>
    <w:p>
      <w:pPr>
        <w:pStyle w:val="FirstParagraph"/>
      </w:pPr>
      <w:r>
        <w:t xml:space="preserve">Returns the smallest positive non-zero value representable by a 64-bit double-precision float.</w:t>
      </w:r>
    </w:p>
    <w:bookmarkEnd w:id="1464"/>
    <w:bookmarkStart w:id="1465" w:name="prerequisites-5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65"/>
    <w:bookmarkStart w:id="1466" w:name="syntax-111"/>
    <w:p>
      <w:pPr>
        <w:pStyle w:val="Heading2"/>
      </w:pPr>
      <w:r>
        <w:t xml:space="preserve">Syntax</w:t>
      </w:r>
    </w:p>
    <w:p>
      <w:pPr>
        <w:pStyle w:val="SourceCode"/>
      </w:pPr>
      <w:r>
        <w:rPr>
          <w:rStyle w:val="NormalTok"/>
        </w:rPr>
        <w:t xml:space="preserve">result = obj.AxSmallestFloatValue()</w:t>
      </w:r>
    </w:p>
    <w:bookmarkEnd w:id="1466"/>
    <w:bookmarkStart w:id="1467" w:name="parameters-41"/>
    <w:p>
      <w:pPr>
        <w:pStyle w:val="Heading2"/>
      </w:pPr>
      <w:r>
        <w:t xml:space="preserve">Parameters</w:t>
      </w:r>
    </w:p>
    <w:p>
      <w:pPr>
        <w:pStyle w:val="FirstParagraph"/>
      </w:pPr>
      <w:r>
        <w:t xml:space="preserve">This method does not require parameters.</w:t>
      </w:r>
    </w:p>
    <w:bookmarkEnd w:id="1467"/>
    <w:bookmarkStart w:id="1468" w:name="return-value-57"/>
    <w:p>
      <w:pPr>
        <w:pStyle w:val="Heading2"/>
      </w:pPr>
      <w:r>
        <w:t xml:space="preserve">Return Value</w:t>
      </w:r>
    </w:p>
    <w:p>
      <w:pPr>
        <w:pStyle w:val="Compact"/>
        <w:numPr>
          <w:ilvl w:val="0"/>
          <w:numId w:val="1426"/>
        </w:numPr>
      </w:pPr>
      <w:r>
        <w:rPr>
          <w:b/>
          <w:bCs/>
        </w:rPr>
        <w:t xml:space="preserve">Double</w:t>
      </w:r>
      <w:r>
        <w:t xml:space="preserve">: Returns</w:t>
      </w:r>
      <w:r>
        <w:t xml:space="preserve"> </w:t>
      </w:r>
      <w:r>
        <w:rPr>
          <w:rStyle w:val="VerbatimChar"/>
        </w:rPr>
        <w:t xml:space="preserve">5e-324</w:t>
      </w:r>
      <w:r>
        <w:t xml:space="preserve"> </w:t>
      </w:r>
      <w:r>
        <w:t xml:space="preserve">(equivalent to</w:t>
      </w:r>
      <w:r>
        <w:t xml:space="preserve"> </w:t>
      </w:r>
      <w:r>
        <w:rPr>
          <w:rStyle w:val="VerbatimChar"/>
        </w:rPr>
        <w:t xml:space="preserve">math.SmallestNonzeroFloat64</w:t>
      </w:r>
      <w:r>
        <w:t xml:space="preserve"> </w:t>
      </w:r>
      <w:r>
        <w:t xml:space="preserve">in Go).</w:t>
      </w:r>
    </w:p>
    <w:bookmarkEnd w:id="1468"/>
    <w:bookmarkStart w:id="1469" w:name="remarks-123"/>
    <w:p>
      <w:pPr>
        <w:pStyle w:val="Heading2"/>
      </w:pPr>
      <w:r>
        <w:t xml:space="preserve">Remarks</w:t>
      </w:r>
    </w:p>
    <w:p>
      <w:pPr>
        <w:pStyle w:val="Compact"/>
        <w:numPr>
          <w:ilvl w:val="0"/>
          <w:numId w:val="1427"/>
        </w:numPr>
      </w:pPr>
      <w:r>
        <w:t xml:space="preserve">Use this value for epsilon comparisons to detect near-zero floating-point differences.</w:t>
      </w:r>
    </w:p>
    <w:p>
      <w:pPr>
        <w:pStyle w:val="Compact"/>
        <w:numPr>
          <w:ilvl w:val="0"/>
          <w:numId w:val="1427"/>
        </w:numPr>
      </w:pPr>
      <w:r>
        <w:t xml:space="preserve">Method names are case-insensitive in VBScript dispatch.</w:t>
      </w:r>
    </w:p>
    <w:bookmarkEnd w:id="1469"/>
    <w:bookmarkStart w:id="1470" w:name="example-5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tiny</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tiny = ax.AxSmallestFloatValue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"Smallest float: "</w:t>
      </w:r>
      <w:r>
        <w:rPr>
          <w:rStyle w:val="NormalTok"/>
        </w:rPr>
        <w:t xml:space="preserve"> </w:t>
      </w:r>
      <w:r>
        <w:rPr>
          <w:rStyle w:val="KeywordTok"/>
        </w:rPr>
        <w:t xml:space="preserve">&amp;</w:t>
      </w:r>
      <w:r>
        <w:rPr>
          <w:rStyle w:val="NormalTok"/>
        </w:rPr>
        <w:t xml:space="preserve"> tiny</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70"/>
    <w:bookmarkStart w:id="1471" w:name="api-reference-54"/>
    <w:p>
      <w:pPr>
        <w:pStyle w:val="Heading2"/>
      </w:pPr>
      <w:r>
        <w:t xml:space="preserve">API Reference</w:t>
      </w:r>
    </w:p>
    <w:p>
      <w:pPr>
        <w:pStyle w:val="Compact"/>
        <w:numPr>
          <w:ilvl w:val="0"/>
          <w:numId w:val="1428"/>
        </w:numPr>
      </w:pPr>
      <w:r>
        <w:rPr>
          <w:b/>
          <w:bCs/>
        </w:rPr>
        <w:t xml:space="preserve">Object</w:t>
      </w:r>
      <w:r>
        <w:t xml:space="preserve">:</w:t>
      </w:r>
      <w:r>
        <w:t xml:space="preserve"> </w:t>
      </w:r>
      <w:r>
        <w:rPr>
          <w:rStyle w:val="VerbatimChar"/>
        </w:rPr>
        <w:t xml:space="preserve">G3AXON.FUNCTIONS</w:t>
      </w:r>
    </w:p>
    <w:p>
      <w:pPr>
        <w:pStyle w:val="Compact"/>
        <w:numPr>
          <w:ilvl w:val="0"/>
          <w:numId w:val="1428"/>
        </w:numPr>
      </w:pPr>
      <w:r>
        <w:rPr>
          <w:b/>
          <w:bCs/>
        </w:rPr>
        <w:t xml:space="preserve">Method</w:t>
      </w:r>
      <w:r>
        <w:t xml:space="preserve">:</w:t>
      </w:r>
      <w:r>
        <w:t xml:space="preserve"> </w:t>
      </w:r>
      <w:r>
        <w:rPr>
          <w:rStyle w:val="VerbatimChar"/>
        </w:rPr>
        <w:t xml:space="preserve">AxSmallestFloatValue</w:t>
      </w:r>
    </w:p>
    <w:p>
      <w:pPr>
        <w:pStyle w:val="Compact"/>
        <w:numPr>
          <w:ilvl w:val="0"/>
          <w:numId w:val="1428"/>
        </w:numPr>
      </w:pPr>
      <w:r>
        <w:rPr>
          <w:b/>
          <w:bCs/>
        </w:rPr>
        <w:t xml:space="preserve">Arguments</w:t>
      </w:r>
      <w:r>
        <w:t xml:space="preserve">: none</w:t>
      </w:r>
    </w:p>
    <w:p>
      <w:pPr>
        <w:pStyle w:val="Compact"/>
        <w:numPr>
          <w:ilvl w:val="0"/>
          <w:numId w:val="1428"/>
        </w:numPr>
      </w:pPr>
      <w:r>
        <w:rPr>
          <w:b/>
          <w:bCs/>
        </w:rPr>
        <w:t xml:space="preserve">Returns</w:t>
      </w:r>
      <w:r>
        <w:t xml:space="preserve">:</w:t>
      </w:r>
      <w:r>
        <w:t xml:space="preserve"> </w:t>
      </w:r>
      <w:r>
        <w:rPr>
          <w:rStyle w:val="VerbatimChar"/>
        </w:rPr>
        <w:t xml:space="preserve">Double</w:t>
      </w:r>
      <w:r>
        <w:t xml:space="preserve"> </w:t>
      </w:r>
      <w:r>
        <w:t xml:space="preserve">(5e-324)</w:t>
      </w:r>
    </w:p>
    <w:bookmarkEnd w:id="1471"/>
    <w:bookmarkEnd w:id="1472"/>
    <w:bookmarkStart w:id="1481" w:name="get-the-float-precision-digit-count"/>
    <w:p>
      <w:pPr>
        <w:pStyle w:val="Heading1"/>
      </w:pPr>
      <w:r>
        <w:t xml:space="preserve">Get the Float Precision Digit Count</w:t>
      </w:r>
    </w:p>
    <w:bookmarkStart w:id="1473" w:name="overview-95"/>
    <w:p>
      <w:pPr>
        <w:pStyle w:val="Heading2"/>
      </w:pPr>
      <w:r>
        <w:t xml:space="preserve">Overview</w:t>
      </w:r>
    </w:p>
    <w:p>
      <w:pPr>
        <w:pStyle w:val="FirstParagraph"/>
      </w:pPr>
      <w:r>
        <w:t xml:space="preserve">Returns the standard number of significant decimal digits for IEEE-754 double-precision floating-point values.</w:t>
      </w:r>
    </w:p>
    <w:bookmarkEnd w:id="1473"/>
    <w:bookmarkStart w:id="1474" w:name="prerequisites-5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74"/>
    <w:bookmarkStart w:id="1475" w:name="syntax-112"/>
    <w:p>
      <w:pPr>
        <w:pStyle w:val="Heading2"/>
      </w:pPr>
      <w:r>
        <w:t xml:space="preserve">Syntax</w:t>
      </w:r>
    </w:p>
    <w:p>
      <w:pPr>
        <w:pStyle w:val="SourceCode"/>
      </w:pPr>
      <w:r>
        <w:rPr>
          <w:rStyle w:val="NormalTok"/>
        </w:rPr>
        <w:t xml:space="preserve">result = obj.AxFloatPrecisionDigits()</w:t>
      </w:r>
    </w:p>
    <w:bookmarkEnd w:id="1475"/>
    <w:bookmarkStart w:id="1476" w:name="parameters-42"/>
    <w:p>
      <w:pPr>
        <w:pStyle w:val="Heading2"/>
      </w:pPr>
      <w:r>
        <w:t xml:space="preserve">Parameters</w:t>
      </w:r>
    </w:p>
    <w:p>
      <w:pPr>
        <w:pStyle w:val="FirstParagraph"/>
      </w:pPr>
      <w:r>
        <w:t xml:space="preserve">This method does not require parameters.</w:t>
      </w:r>
    </w:p>
    <w:bookmarkEnd w:id="1476"/>
    <w:bookmarkStart w:id="1477" w:name="return-value-58"/>
    <w:p>
      <w:pPr>
        <w:pStyle w:val="Heading2"/>
      </w:pPr>
      <w:r>
        <w:t xml:space="preserve">Return Value</w:t>
      </w:r>
    </w:p>
    <w:p>
      <w:pPr>
        <w:pStyle w:val="Compact"/>
        <w:numPr>
          <w:ilvl w:val="0"/>
          <w:numId w:val="1429"/>
        </w:numPr>
      </w:pPr>
      <w:r>
        <w:rPr>
          <w:b/>
          <w:bCs/>
        </w:rPr>
        <w:t xml:space="preserve">Integer</w:t>
      </w:r>
      <w:r>
        <w:t xml:space="preserve">: Always returns</w:t>
      </w:r>
      <w:r>
        <w:t xml:space="preserve"> </w:t>
      </w:r>
      <w:r>
        <w:rPr>
          <w:rStyle w:val="VerbatimChar"/>
        </w:rPr>
        <w:t xml:space="preserve">15</w:t>
      </w:r>
      <w:r>
        <w:t xml:space="preserve">.</w:t>
      </w:r>
    </w:p>
    <w:bookmarkEnd w:id="1477"/>
    <w:bookmarkStart w:id="1478" w:name="remarks-124"/>
    <w:p>
      <w:pPr>
        <w:pStyle w:val="Heading2"/>
      </w:pPr>
      <w:r>
        <w:t xml:space="preserve">Remarks</w:t>
      </w:r>
    </w:p>
    <w:p>
      <w:pPr>
        <w:pStyle w:val="Compact"/>
        <w:numPr>
          <w:ilvl w:val="0"/>
          <w:numId w:val="1430"/>
        </w:numPr>
      </w:pPr>
      <w:r>
        <w:t xml:space="preserve">This is a constant reflecting IEEE-754 double-precision capability.</w:t>
      </w:r>
    </w:p>
    <w:p>
      <w:pPr>
        <w:pStyle w:val="Compact"/>
        <w:numPr>
          <w:ilvl w:val="0"/>
          <w:numId w:val="1430"/>
        </w:numPr>
      </w:pPr>
      <w:r>
        <w:t xml:space="preserve">Method names are case-insensitive in VBScript dispatch.</w:t>
      </w:r>
    </w:p>
    <w:bookmarkEnd w:id="1478"/>
    <w:bookmarkStart w:id="1479" w:name="example-6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ax.AxFloatPrecisionDigits</w:t>
      </w:r>
      <w:r>
        <w:rPr>
          <w:rStyle w:val="OtherTok"/>
        </w:rPr>
        <w:t xml:space="preserve">()</w:t>
      </w:r>
      <w:r>
        <w:br/>
      </w:r>
      <w:r>
        <w:rPr>
          <w:rStyle w:val="CommentTok"/>
        </w:rPr>
        <w:t xml:space="preserve">' Output: 15</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79"/>
    <w:bookmarkStart w:id="1480" w:name="api-reference-55"/>
    <w:p>
      <w:pPr>
        <w:pStyle w:val="Heading2"/>
      </w:pPr>
      <w:r>
        <w:t xml:space="preserve">API Reference</w:t>
      </w:r>
    </w:p>
    <w:p>
      <w:pPr>
        <w:pStyle w:val="Compact"/>
        <w:numPr>
          <w:ilvl w:val="0"/>
          <w:numId w:val="1431"/>
        </w:numPr>
      </w:pPr>
      <w:r>
        <w:rPr>
          <w:b/>
          <w:bCs/>
        </w:rPr>
        <w:t xml:space="preserve">Object</w:t>
      </w:r>
      <w:r>
        <w:t xml:space="preserve">:</w:t>
      </w:r>
      <w:r>
        <w:t xml:space="preserve"> </w:t>
      </w:r>
      <w:r>
        <w:rPr>
          <w:rStyle w:val="VerbatimChar"/>
        </w:rPr>
        <w:t xml:space="preserve">G3AXON.FUNCTIONS</w:t>
      </w:r>
    </w:p>
    <w:p>
      <w:pPr>
        <w:pStyle w:val="Compact"/>
        <w:numPr>
          <w:ilvl w:val="0"/>
          <w:numId w:val="1431"/>
        </w:numPr>
      </w:pPr>
      <w:r>
        <w:rPr>
          <w:b/>
          <w:bCs/>
        </w:rPr>
        <w:t xml:space="preserve">Method</w:t>
      </w:r>
      <w:r>
        <w:t xml:space="preserve">:</w:t>
      </w:r>
      <w:r>
        <w:t xml:space="preserve"> </w:t>
      </w:r>
      <w:r>
        <w:rPr>
          <w:rStyle w:val="VerbatimChar"/>
        </w:rPr>
        <w:t xml:space="preserve">AxFloatPrecisionDigits</w:t>
      </w:r>
    </w:p>
    <w:p>
      <w:pPr>
        <w:pStyle w:val="Compact"/>
        <w:numPr>
          <w:ilvl w:val="0"/>
          <w:numId w:val="1431"/>
        </w:numPr>
      </w:pPr>
      <w:r>
        <w:rPr>
          <w:b/>
          <w:bCs/>
        </w:rPr>
        <w:t xml:space="preserve">Arguments</w:t>
      </w:r>
      <w:r>
        <w:t xml:space="preserve">: none</w:t>
      </w:r>
    </w:p>
    <w:p>
      <w:pPr>
        <w:pStyle w:val="Compact"/>
        <w:numPr>
          <w:ilvl w:val="0"/>
          <w:numId w:val="1431"/>
        </w:numPr>
      </w:pPr>
      <w:r>
        <w:rPr>
          <w:b/>
          <w:bCs/>
        </w:rPr>
        <w:t xml:space="preserve">Returns</w:t>
      </w:r>
      <w:r>
        <w:t xml:space="preserve">:</w:t>
      </w:r>
      <w:r>
        <w:t xml:space="preserve"> </w:t>
      </w:r>
      <w:r>
        <w:rPr>
          <w:rStyle w:val="VerbatimChar"/>
        </w:rPr>
        <w:t xml:space="preserve">Integer</w:t>
      </w:r>
      <w:r>
        <w:t xml:space="preserve"> </w:t>
      </w:r>
      <w:r>
        <w:t xml:space="preserve">(always</w:t>
      </w:r>
      <w:r>
        <w:t xml:space="preserve"> </w:t>
      </w:r>
      <w:r>
        <w:rPr>
          <w:rStyle w:val="VerbatimChar"/>
        </w:rPr>
        <w:t xml:space="preserve">15</w:t>
      </w:r>
      <w:r>
        <w:t xml:space="preserve">)</w:t>
      </w:r>
    </w:p>
    <w:bookmarkEnd w:id="1480"/>
    <w:bookmarkEnd w:id="1481"/>
    <w:bookmarkStart w:id="1490" w:name="count-elements-in-an-array"/>
    <w:p>
      <w:pPr>
        <w:pStyle w:val="Heading1"/>
      </w:pPr>
      <w:r>
        <w:t xml:space="preserve">Count Elements in an Array</w:t>
      </w:r>
    </w:p>
    <w:bookmarkStart w:id="1482" w:name="overview-96"/>
    <w:p>
      <w:pPr>
        <w:pStyle w:val="Heading2"/>
      </w:pPr>
      <w:r>
        <w:t xml:space="preserve">Overview</w:t>
      </w:r>
    </w:p>
    <w:p>
      <w:pPr>
        <w:pStyle w:val="FirstParagraph"/>
      </w:pPr>
      <w:r>
        <w:t xml:space="preserve">Returns the total number of elements in a zero-based VBArray.</w:t>
      </w:r>
    </w:p>
    <w:bookmarkEnd w:id="1482"/>
    <w:bookmarkStart w:id="1483" w:name="prerequisites-5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83"/>
    <w:bookmarkStart w:id="1484" w:name="syntax-113"/>
    <w:p>
      <w:pPr>
        <w:pStyle w:val="Heading2"/>
      </w:pPr>
      <w:r>
        <w:t xml:space="preserve">Syntax</w:t>
      </w:r>
    </w:p>
    <w:p>
      <w:pPr>
        <w:pStyle w:val="SourceCode"/>
      </w:pPr>
      <w:r>
        <w:rPr>
          <w:rStyle w:val="NormalTok"/>
        </w:rPr>
        <w:t xml:space="preserve">result = obj.AxCount(array)</w:t>
      </w:r>
    </w:p>
    <w:bookmarkEnd w:id="1484"/>
    <w:bookmarkStart w:id="1485" w:name="parameters-4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array</w:t>
            </w:r>
          </w:p>
        </w:tc>
        <w:tc>
          <w:tcPr/>
          <w:p>
            <w:pPr>
              <w:pStyle w:val="Compact"/>
            </w:pPr>
            <w:r>
              <w:t xml:space="preserve">Array</w:t>
            </w:r>
          </w:p>
        </w:tc>
        <w:tc>
          <w:tcPr/>
          <w:p>
            <w:pPr>
              <w:pStyle w:val="Compact"/>
            </w:pPr>
            <w:r>
              <w:t xml:space="preserve">Yes</w:t>
            </w:r>
          </w:p>
        </w:tc>
        <w:tc>
          <w:tcPr/>
          <w:p>
            <w:pPr>
              <w:pStyle w:val="Compact"/>
            </w:pPr>
            <w:r>
              <w:t xml:space="preserve">The VBArray to measure.</w:t>
            </w:r>
          </w:p>
        </w:tc>
      </w:tr>
    </w:tbl>
    <w:bookmarkEnd w:id="1485"/>
    <w:bookmarkStart w:id="1486" w:name="return-value-59"/>
    <w:p>
      <w:pPr>
        <w:pStyle w:val="Heading2"/>
      </w:pPr>
      <w:r>
        <w:t xml:space="preserve">Return Value</w:t>
      </w:r>
    </w:p>
    <w:p>
      <w:pPr>
        <w:pStyle w:val="Compact"/>
        <w:numPr>
          <w:ilvl w:val="0"/>
          <w:numId w:val="1432"/>
        </w:numPr>
      </w:pPr>
      <w:r>
        <w:rPr>
          <w:b/>
          <w:bCs/>
        </w:rPr>
        <w:t xml:space="preserve">Integer</w:t>
      </w:r>
      <w:r>
        <w:t xml:space="preserve">: Returns the number of elements in</w:t>
      </w:r>
      <w:r>
        <w:t xml:space="preserve"> </w:t>
      </w:r>
      <w:r>
        <w:rPr>
          <w:rStyle w:val="VerbatimChar"/>
        </w:rPr>
        <w:t xml:space="preserve">array</w:t>
      </w:r>
      <w:r>
        <w:t xml:space="preserve">.</w:t>
      </w:r>
    </w:p>
    <w:p>
      <w:pPr>
        <w:pStyle w:val="Compact"/>
        <w:numPr>
          <w:ilvl w:val="0"/>
          <w:numId w:val="1432"/>
        </w:numPr>
      </w:pPr>
      <w:r>
        <w:rPr>
          <w:b/>
          <w:bCs/>
        </w:rPr>
        <w:t xml:space="preserve">Integer</w:t>
      </w:r>
      <w:r>
        <w:t xml:space="preserve">: Returns</w:t>
      </w:r>
      <w:r>
        <w:t xml:space="preserve"> </w:t>
      </w:r>
      <w:r>
        <w:rPr>
          <w:rStyle w:val="VerbatimChar"/>
        </w:rPr>
        <w:t xml:space="preserve">0</w:t>
      </w:r>
      <w:r>
        <w:t xml:space="preserve"> </w:t>
      </w:r>
      <w:r>
        <w:t xml:space="preserve">when the input is not a valid array or no argument is provided.</w:t>
      </w:r>
    </w:p>
    <w:bookmarkEnd w:id="1486"/>
    <w:bookmarkStart w:id="1487" w:name="remarks-125"/>
    <w:p>
      <w:pPr>
        <w:pStyle w:val="Heading2"/>
      </w:pPr>
      <w:r>
        <w:t xml:space="preserve">Remarks</w:t>
      </w:r>
    </w:p>
    <w:p>
      <w:pPr>
        <w:pStyle w:val="Compact"/>
        <w:numPr>
          <w:ilvl w:val="0"/>
          <w:numId w:val="1433"/>
        </w:numPr>
      </w:pPr>
      <w:r>
        <w:t xml:space="preserve">Equivalent to</w:t>
      </w:r>
      <w:r>
        <w:t xml:space="preserve"> </w:t>
      </w:r>
      <w:r>
        <w:rPr>
          <w:rStyle w:val="VerbatimChar"/>
        </w:rPr>
        <w:t xml:space="preserve">UBound(arr) - LBound(arr) + 1</w:t>
      </w:r>
      <w:r>
        <w:t xml:space="preserve"> </w:t>
      </w:r>
      <w:r>
        <w:t xml:space="preserve">for single-dimensional arrays.</w:t>
      </w:r>
    </w:p>
    <w:p>
      <w:pPr>
        <w:pStyle w:val="Compact"/>
        <w:numPr>
          <w:ilvl w:val="0"/>
          <w:numId w:val="1433"/>
        </w:numPr>
      </w:pPr>
      <w:r>
        <w:t xml:space="preserve">Method names are case-insensitive in VBScript dispatch.</w:t>
      </w:r>
    </w:p>
    <w:bookmarkEnd w:id="1487"/>
    <w:bookmarkStart w:id="1488" w:name="example-6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w:t>
      </w:r>
      <w:r>
        <w:rPr>
          <w:rStyle w:val="FunctionTok"/>
        </w:rPr>
        <w:t xml:space="preserve">items</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items</w:t>
      </w:r>
      <w:r>
        <w:rPr>
          <w:rStyle w:val="NormalTok"/>
        </w:rPr>
        <w:t xml:space="preserve"> = </w:t>
      </w:r>
      <w:r>
        <w:rPr>
          <w:rStyle w:val="FunctionTok"/>
        </w:rPr>
        <w:t xml:space="preserve">Array</w:t>
      </w:r>
      <w:r>
        <w:rPr>
          <w:rStyle w:val="OtherTok"/>
        </w:rPr>
        <w:t xml:space="preserve">(</w:t>
      </w:r>
      <w:r>
        <w:rPr>
          <w:rStyle w:val="StringTok"/>
        </w:rPr>
        <w:t xml:space="preserve">"A"</w:t>
      </w:r>
      <w:r>
        <w:rPr>
          <w:rStyle w:val="OtherTok"/>
        </w:rPr>
        <w:t xml:space="preserve">,</w:t>
      </w:r>
      <w:r>
        <w:rPr>
          <w:rStyle w:val="NormalTok"/>
        </w:rPr>
        <w:t xml:space="preserve"> </w:t>
      </w:r>
      <w:r>
        <w:rPr>
          <w:rStyle w:val="StringTok"/>
        </w:rPr>
        <w:t xml:space="preserve">"B"</w:t>
      </w:r>
      <w:r>
        <w:rPr>
          <w:rStyle w:val="OtherTok"/>
        </w:rPr>
        <w:t xml:space="preserve">,</w:t>
      </w:r>
      <w:r>
        <w:rPr>
          <w:rStyle w:val="NormalTok"/>
        </w:rPr>
        <w:t xml:space="preserve"> </w:t>
      </w:r>
      <w:r>
        <w:rPr>
          <w:rStyle w:val="StringTok"/>
        </w:rPr>
        <w:t xml:space="preserve">"C"</w:t>
      </w:r>
      <w:r>
        <w:rPr>
          <w:rStyle w:val="OtherTok"/>
        </w:rPr>
        <w:t xml:space="preserve">,</w:t>
      </w:r>
      <w:r>
        <w:rPr>
          <w:rStyle w:val="NormalTok"/>
        </w:rPr>
        <w:t xml:space="preserve"> </w:t>
      </w:r>
      <w:r>
        <w:rPr>
          <w:rStyle w:val="StringTok"/>
        </w:rPr>
        <w:t xml:space="preserve">"D"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ax.AxCount</w:t>
      </w:r>
      <w:r>
        <w:rPr>
          <w:rStyle w:val="OtherTok"/>
        </w:rPr>
        <w:t xml:space="preserve">(</w:t>
      </w:r>
      <w:r>
        <w:rPr>
          <w:rStyle w:val="FunctionTok"/>
        </w:rPr>
        <w:t xml:space="preserve">items</w:t>
      </w:r>
      <w:r>
        <w:rPr>
          <w:rStyle w:val="OtherTok"/>
        </w:rPr>
        <w:t xml:space="preserve">)</w:t>
      </w:r>
      <w:r>
        <w:br/>
      </w:r>
      <w:r>
        <w:rPr>
          <w:rStyle w:val="CommentTok"/>
        </w:rPr>
        <w:t xml:space="preserve">' Output: 4</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88"/>
    <w:bookmarkStart w:id="1489" w:name="api-reference-56"/>
    <w:p>
      <w:pPr>
        <w:pStyle w:val="Heading2"/>
      </w:pPr>
      <w:r>
        <w:t xml:space="preserve">API Reference</w:t>
      </w:r>
    </w:p>
    <w:p>
      <w:pPr>
        <w:pStyle w:val="Compact"/>
        <w:numPr>
          <w:ilvl w:val="0"/>
          <w:numId w:val="1434"/>
        </w:numPr>
      </w:pPr>
      <w:r>
        <w:rPr>
          <w:b/>
          <w:bCs/>
        </w:rPr>
        <w:t xml:space="preserve">Object</w:t>
      </w:r>
      <w:r>
        <w:t xml:space="preserve">:</w:t>
      </w:r>
      <w:r>
        <w:t xml:space="preserve"> </w:t>
      </w:r>
      <w:r>
        <w:rPr>
          <w:rStyle w:val="VerbatimChar"/>
        </w:rPr>
        <w:t xml:space="preserve">G3AXON.FUNCTIONS</w:t>
      </w:r>
    </w:p>
    <w:p>
      <w:pPr>
        <w:pStyle w:val="Compact"/>
        <w:numPr>
          <w:ilvl w:val="0"/>
          <w:numId w:val="1434"/>
        </w:numPr>
      </w:pPr>
      <w:r>
        <w:rPr>
          <w:b/>
          <w:bCs/>
        </w:rPr>
        <w:t xml:space="preserve">Method</w:t>
      </w:r>
      <w:r>
        <w:t xml:space="preserve">:</w:t>
      </w:r>
      <w:r>
        <w:t xml:space="preserve"> </w:t>
      </w:r>
      <w:r>
        <w:rPr>
          <w:rStyle w:val="VerbatimChar"/>
        </w:rPr>
        <w:t xml:space="preserve">AxCount</w:t>
      </w:r>
    </w:p>
    <w:p>
      <w:pPr>
        <w:pStyle w:val="Compact"/>
        <w:numPr>
          <w:ilvl w:val="0"/>
          <w:numId w:val="1434"/>
        </w:numPr>
      </w:pPr>
      <w:r>
        <w:rPr>
          <w:b/>
          <w:bCs/>
        </w:rPr>
        <w:t xml:space="preserve">Arguments</w:t>
      </w:r>
      <w:r>
        <w:t xml:space="preserve">:</w:t>
      </w:r>
      <w:r>
        <w:t xml:space="preserve"> </w:t>
      </w:r>
      <w:r>
        <w:rPr>
          <w:rStyle w:val="VerbatimChar"/>
        </w:rPr>
        <w:t xml:space="preserve">array As Array</w:t>
      </w:r>
    </w:p>
    <w:p>
      <w:pPr>
        <w:pStyle w:val="Compact"/>
        <w:numPr>
          <w:ilvl w:val="0"/>
          <w:numId w:val="1434"/>
        </w:numPr>
      </w:pPr>
      <w:r>
        <w:rPr>
          <w:b/>
          <w:bCs/>
        </w:rPr>
        <w:t xml:space="preserve">Returns</w:t>
      </w:r>
      <w:r>
        <w:t xml:space="preserve">:</w:t>
      </w:r>
      <w:r>
        <w:t xml:space="preserve"> </w:t>
      </w:r>
      <w:r>
        <w:rPr>
          <w:rStyle w:val="VerbatimChar"/>
        </w:rPr>
        <w:t xml:space="preserve">Integer</w:t>
      </w:r>
      <w:r>
        <w:t xml:space="preserve"> </w:t>
      </w:r>
      <w:r>
        <w:t xml:space="preserve">(number of elements)</w:t>
      </w:r>
    </w:p>
    <w:bookmarkEnd w:id="1489"/>
    <w:bookmarkEnd w:id="1490"/>
    <w:bookmarkStart w:id="1499" w:name="split-a-string-into-an-array"/>
    <w:p>
      <w:pPr>
        <w:pStyle w:val="Heading1"/>
      </w:pPr>
      <w:r>
        <w:t xml:space="preserve">Split a String into an Array</w:t>
      </w:r>
    </w:p>
    <w:bookmarkStart w:id="1491" w:name="overview-97"/>
    <w:p>
      <w:pPr>
        <w:pStyle w:val="Heading2"/>
      </w:pPr>
      <w:r>
        <w:t xml:space="preserve">Overview</w:t>
      </w:r>
    </w:p>
    <w:p>
      <w:pPr>
        <w:pStyle w:val="FirstParagraph"/>
      </w:pPr>
      <w:r>
        <w:t xml:space="preserve">Splits a string by a specified delimiter and returns a zero-based VBArray of the resulting substrings.</w:t>
      </w:r>
    </w:p>
    <w:bookmarkEnd w:id="1491"/>
    <w:bookmarkStart w:id="1492" w:name="prerequisites-5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492"/>
    <w:bookmarkStart w:id="1493" w:name="syntax-114"/>
    <w:p>
      <w:pPr>
        <w:pStyle w:val="Heading2"/>
      </w:pPr>
      <w:r>
        <w:t xml:space="preserve">Syntax</w:t>
      </w:r>
    </w:p>
    <w:p>
      <w:pPr>
        <w:pStyle w:val="SourceCode"/>
      </w:pPr>
      <w:r>
        <w:rPr>
          <w:rStyle w:val="NormalTok"/>
        </w:rPr>
        <w:t xml:space="preserve">arr = obj.AxExplode(delimiter, str [, limit])</w:t>
      </w:r>
    </w:p>
    <w:bookmarkEnd w:id="1493"/>
    <w:bookmarkStart w:id="1494" w:name="parameters-4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delimiter</w:t>
            </w:r>
          </w:p>
        </w:tc>
        <w:tc>
          <w:tcPr/>
          <w:p>
            <w:pPr>
              <w:pStyle w:val="Compact"/>
            </w:pPr>
            <w:r>
              <w:t xml:space="preserve">String</w:t>
            </w:r>
          </w:p>
        </w:tc>
        <w:tc>
          <w:tcPr/>
          <w:p>
            <w:pPr>
              <w:pStyle w:val="Compact"/>
            </w:pPr>
            <w:r>
              <w:t xml:space="preserve">Yes</w:t>
            </w:r>
          </w:p>
        </w:tc>
        <w:tc>
          <w:tcPr/>
          <w:p>
            <w:pPr>
              <w:pStyle w:val="Compact"/>
            </w:pPr>
            <w:r>
              <w:t xml:space="preserve">The string used to split</w:t>
            </w:r>
            <w:r>
              <w:t xml:space="preserve"> </w:t>
            </w:r>
            <w:r>
              <w:rPr>
                <w:rStyle w:val="VerbatimChar"/>
              </w:rPr>
              <w:t xml:space="preserve">str</w:t>
            </w:r>
            <w:r>
              <w:t xml:space="preserve">. When empty, each character becomes a separate element.</w:t>
            </w:r>
          </w:p>
        </w:tc>
      </w:tr>
      <w:tr>
        <w:tc>
          <w:tcPr/>
          <w:p>
            <w:pPr>
              <w:pStyle w:val="Compact"/>
            </w:pPr>
            <w:r>
              <w:t xml:space="preserve">str</w:t>
            </w:r>
          </w:p>
        </w:tc>
        <w:tc>
          <w:tcPr/>
          <w:p>
            <w:pPr>
              <w:pStyle w:val="Compact"/>
            </w:pPr>
            <w:r>
              <w:t xml:space="preserve">String</w:t>
            </w:r>
          </w:p>
        </w:tc>
        <w:tc>
          <w:tcPr/>
          <w:p>
            <w:pPr>
              <w:pStyle w:val="Compact"/>
            </w:pPr>
            <w:r>
              <w:t xml:space="preserve">Yes</w:t>
            </w:r>
          </w:p>
        </w:tc>
        <w:tc>
          <w:tcPr/>
          <w:p>
            <w:pPr>
              <w:pStyle w:val="Compact"/>
            </w:pPr>
            <w:r>
              <w:t xml:space="preserve">The string to split.</w:t>
            </w:r>
          </w:p>
        </w:tc>
      </w:tr>
      <w:tr>
        <w:tc>
          <w:tcPr/>
          <w:p>
            <w:pPr>
              <w:pStyle w:val="Compact"/>
            </w:pPr>
            <w:r>
              <w:t xml:space="preserve">limit</w:t>
            </w:r>
          </w:p>
        </w:tc>
        <w:tc>
          <w:tcPr/>
          <w:p>
            <w:pPr>
              <w:pStyle w:val="Compact"/>
            </w:pPr>
            <w:r>
              <w:t xml:space="preserve">Integer</w:t>
            </w:r>
          </w:p>
        </w:tc>
        <w:tc>
          <w:tcPr/>
          <w:p>
            <w:pPr>
              <w:pStyle w:val="Compact"/>
            </w:pPr>
            <w:r>
              <w:t xml:space="preserve">Optional</w:t>
            </w:r>
          </w:p>
        </w:tc>
        <w:tc>
          <w:tcPr/>
          <w:p>
            <w:pPr>
              <w:pStyle w:val="Compact"/>
            </w:pPr>
            <w:r>
              <w:t xml:space="preserve">Maximum number of elements to return. When specified, the last element contains the remainder of the string.</w:t>
            </w:r>
          </w:p>
        </w:tc>
      </w:tr>
    </w:tbl>
    <w:bookmarkEnd w:id="1494"/>
    <w:bookmarkStart w:id="1495" w:name="return-value-60"/>
    <w:p>
      <w:pPr>
        <w:pStyle w:val="Heading2"/>
      </w:pPr>
      <w:r>
        <w:t xml:space="preserve">Return Value</w:t>
      </w:r>
    </w:p>
    <w:p>
      <w:pPr>
        <w:pStyle w:val="Compact"/>
        <w:numPr>
          <w:ilvl w:val="0"/>
          <w:numId w:val="1435"/>
        </w:numPr>
      </w:pPr>
      <w:r>
        <w:rPr>
          <w:b/>
          <w:bCs/>
        </w:rPr>
        <w:t xml:space="preserve">Array</w:t>
      </w:r>
      <w:r>
        <w:t xml:space="preserve">: Returns a zero-based VBArray of String elements.</w:t>
      </w:r>
    </w:p>
    <w:p>
      <w:pPr>
        <w:pStyle w:val="Compact"/>
        <w:numPr>
          <w:ilvl w:val="0"/>
          <w:numId w:val="1435"/>
        </w:numPr>
      </w:pPr>
      <w:r>
        <w:rPr>
          <w:b/>
          <w:bCs/>
        </w:rPr>
        <w:t xml:space="preserve">Array</w:t>
      </w:r>
      <w:r>
        <w:t xml:space="preserve">: Returns an empty array when fewer than two arguments are provided.</w:t>
      </w:r>
    </w:p>
    <w:bookmarkEnd w:id="1495"/>
    <w:bookmarkStart w:id="1496" w:name="remarks-126"/>
    <w:p>
      <w:pPr>
        <w:pStyle w:val="Heading2"/>
      </w:pPr>
      <w:r>
        <w:t xml:space="preserve">Remarks</w:t>
      </w:r>
    </w:p>
    <w:p>
      <w:pPr>
        <w:pStyle w:val="Compact"/>
        <w:numPr>
          <w:ilvl w:val="0"/>
          <w:numId w:val="1436"/>
        </w:numPr>
      </w:pPr>
      <w:r>
        <w:t xml:space="preserve">When</w:t>
      </w:r>
      <w:r>
        <w:t xml:space="preserve"> </w:t>
      </w:r>
      <w:r>
        <w:rPr>
          <w:rStyle w:val="VerbatimChar"/>
        </w:rPr>
        <w:t xml:space="preserve">delimiter</w:t>
      </w:r>
      <w:r>
        <w:t xml:space="preserve"> </w:t>
      </w:r>
      <w:r>
        <w:t xml:space="preserve">is empty,</w:t>
      </w:r>
      <w:r>
        <w:t xml:space="preserve"> </w:t>
      </w:r>
      <w:r>
        <w:rPr>
          <w:rStyle w:val="VerbatimChar"/>
        </w:rPr>
        <w:t xml:space="preserve">str</w:t>
      </w:r>
      <w:r>
        <w:t xml:space="preserve"> </w:t>
      </w:r>
      <w:r>
        <w:t xml:space="preserve">is split into individual characters.</w:t>
      </w:r>
    </w:p>
    <w:p>
      <w:pPr>
        <w:pStyle w:val="Compact"/>
        <w:numPr>
          <w:ilvl w:val="0"/>
          <w:numId w:val="1436"/>
        </w:numPr>
      </w:pPr>
      <w:r>
        <w:t xml:space="preserve">When</w:t>
      </w:r>
      <w:r>
        <w:t xml:space="preserve"> </w:t>
      </w:r>
      <w:r>
        <w:rPr>
          <w:rStyle w:val="VerbatimChar"/>
        </w:rPr>
        <w:t xml:space="preserve">limit</w:t>
      </w:r>
      <w:r>
        <w:t xml:space="preserve"> </w:t>
      </w:r>
      <w:r>
        <w:t xml:space="preserve">is greater than the actual number of parts, it has no effect.</w:t>
      </w:r>
    </w:p>
    <w:p>
      <w:pPr>
        <w:pStyle w:val="Compact"/>
        <w:numPr>
          <w:ilvl w:val="0"/>
          <w:numId w:val="1436"/>
        </w:numPr>
      </w:pPr>
      <w:r>
        <w:t xml:space="preserve">Method names are case-insensitive in VBScript dispatch.</w:t>
      </w:r>
    </w:p>
    <w:bookmarkEnd w:id="1496"/>
    <w:bookmarkStart w:id="1497" w:name="example-6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parts</w:t>
      </w:r>
      <w:r>
        <w:rPr>
          <w:rStyle w:val="OtherTok"/>
        </w:rPr>
        <w:t xml:space="preserve">,</w:t>
      </w:r>
      <w:r>
        <w:rPr>
          <w:rStyle w:val="NormalTok"/>
        </w:rPr>
        <w:t xml:space="preserve"> i</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parts = ax.AxExplode</w:t>
      </w:r>
      <w:r>
        <w:rPr>
          <w:rStyle w:val="OtherTok"/>
        </w:rPr>
        <w:t xml:space="preserve">(</w:t>
      </w:r>
      <w:r>
        <w:rPr>
          <w:rStyle w:val="StringTok"/>
        </w:rPr>
        <w:t xml:space="preserve">","</w:t>
      </w:r>
      <w:r>
        <w:rPr>
          <w:rStyle w:val="OtherTok"/>
        </w:rPr>
        <w:t xml:space="preserve">,</w:t>
      </w:r>
      <w:r>
        <w:rPr>
          <w:rStyle w:val="NormalTok"/>
        </w:rPr>
        <w:t xml:space="preserve"> </w:t>
      </w:r>
      <w:r>
        <w:rPr>
          <w:rStyle w:val="StringTok"/>
        </w:rPr>
        <w:t xml:space="preserve">"apple,banana,cherry"</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parts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parts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CommentTok"/>
        </w:rPr>
        <w:t xml:space="preserve">' Output:</w:t>
      </w:r>
      <w:r>
        <w:br/>
      </w:r>
      <w:r>
        <w:rPr>
          <w:rStyle w:val="CommentTok"/>
        </w:rPr>
        <w:t xml:space="preserve">' apple</w:t>
      </w:r>
      <w:r>
        <w:br/>
      </w:r>
      <w:r>
        <w:rPr>
          <w:rStyle w:val="CommentTok"/>
        </w:rPr>
        <w:t xml:space="preserve">' banana</w:t>
      </w:r>
      <w:r>
        <w:br/>
      </w:r>
      <w:r>
        <w:rPr>
          <w:rStyle w:val="CommentTok"/>
        </w:rPr>
        <w:t xml:space="preserve">' cherry</w:t>
      </w:r>
      <w:r>
        <w:br/>
      </w:r>
      <w:r>
        <w:br/>
      </w:r>
      <w:r>
        <w:rPr>
          <w:rStyle w:val="CommentTok"/>
        </w:rPr>
        <w:t xml:space="preserve">' Limit to 2 parts</w:t>
      </w:r>
      <w:r>
        <w:br/>
      </w:r>
      <w:r>
        <w:rPr>
          <w:rStyle w:val="NormalTok"/>
        </w:rPr>
        <w:t xml:space="preserve">parts = ax.AxExplode</w:t>
      </w:r>
      <w:r>
        <w:rPr>
          <w:rStyle w:val="OtherTok"/>
        </w:rPr>
        <w:t xml:space="preserve">(</w:t>
      </w:r>
      <w:r>
        <w:rPr>
          <w:rStyle w:val="StringTok"/>
        </w:rPr>
        <w:t xml:space="preserve">","</w:t>
      </w:r>
      <w:r>
        <w:rPr>
          <w:rStyle w:val="OtherTok"/>
        </w:rPr>
        <w:t xml:space="preserve">,</w:t>
      </w:r>
      <w:r>
        <w:rPr>
          <w:rStyle w:val="NormalTok"/>
        </w:rPr>
        <w:t xml:space="preserve"> </w:t>
      </w:r>
      <w:r>
        <w:rPr>
          <w:rStyle w:val="StringTok"/>
        </w:rPr>
        <w:t xml:space="preserve">"a,b,c,d"</w:t>
      </w:r>
      <w:r>
        <w:rPr>
          <w:rStyle w:val="OtherTok"/>
        </w:rPr>
        <w:t xml:space="preserve">,</w:t>
      </w:r>
      <w:r>
        <w:rPr>
          <w:rStyle w:val="NormalTok"/>
        </w:rPr>
        <w:t xml:space="preserve"> </w:t>
      </w:r>
      <w:r>
        <w:rPr>
          <w:rStyle w:val="DecValTok"/>
        </w:rPr>
        <w:t xml:space="preserve">2</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parts</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parts</w:t>
      </w:r>
      <w:r>
        <w:rPr>
          <w:rStyle w:val="OtherTok"/>
        </w:rPr>
        <w:t xml:space="preserve">(</w:t>
      </w:r>
      <w:r>
        <w:rPr>
          <w:rStyle w:val="DecValTok"/>
        </w:rPr>
        <w:t xml:space="preserve">1</w:t>
      </w:r>
      <w:r>
        <w:rPr>
          <w:rStyle w:val="OtherTok"/>
        </w:rPr>
        <w:t xml:space="preserve">)</w:t>
      </w:r>
      <w:r>
        <w:br/>
      </w:r>
      <w:r>
        <w:rPr>
          <w:rStyle w:val="CommentTok"/>
        </w:rPr>
        <w:t xml:space="preserve">' Output: a / b</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497"/>
    <w:bookmarkStart w:id="1498" w:name="api-reference-57"/>
    <w:p>
      <w:pPr>
        <w:pStyle w:val="Heading2"/>
      </w:pPr>
      <w:r>
        <w:t xml:space="preserve">API Reference</w:t>
      </w:r>
    </w:p>
    <w:p>
      <w:pPr>
        <w:pStyle w:val="Compact"/>
        <w:numPr>
          <w:ilvl w:val="0"/>
          <w:numId w:val="1437"/>
        </w:numPr>
      </w:pPr>
      <w:r>
        <w:rPr>
          <w:b/>
          <w:bCs/>
        </w:rPr>
        <w:t xml:space="preserve">Object</w:t>
      </w:r>
      <w:r>
        <w:t xml:space="preserve">:</w:t>
      </w:r>
      <w:r>
        <w:t xml:space="preserve"> </w:t>
      </w:r>
      <w:r>
        <w:rPr>
          <w:rStyle w:val="VerbatimChar"/>
        </w:rPr>
        <w:t xml:space="preserve">G3AXON.FUNCTIONS</w:t>
      </w:r>
    </w:p>
    <w:p>
      <w:pPr>
        <w:pStyle w:val="Compact"/>
        <w:numPr>
          <w:ilvl w:val="0"/>
          <w:numId w:val="1437"/>
        </w:numPr>
      </w:pPr>
      <w:r>
        <w:rPr>
          <w:b/>
          <w:bCs/>
        </w:rPr>
        <w:t xml:space="preserve">Method</w:t>
      </w:r>
      <w:r>
        <w:t xml:space="preserve">:</w:t>
      </w:r>
      <w:r>
        <w:t xml:space="preserve"> </w:t>
      </w:r>
      <w:r>
        <w:rPr>
          <w:rStyle w:val="VerbatimChar"/>
        </w:rPr>
        <w:t xml:space="preserve">AxExplode</w:t>
      </w:r>
    </w:p>
    <w:p>
      <w:pPr>
        <w:pStyle w:val="Compact"/>
        <w:numPr>
          <w:ilvl w:val="0"/>
          <w:numId w:val="1437"/>
        </w:numPr>
      </w:pPr>
      <w:r>
        <w:rPr>
          <w:b/>
          <w:bCs/>
        </w:rPr>
        <w:t xml:space="preserve">Arguments</w:t>
      </w:r>
      <w:r>
        <w:t xml:space="preserve">:</w:t>
      </w:r>
      <w:r>
        <w:t xml:space="preserve"> </w:t>
      </w:r>
      <w:r>
        <w:rPr>
          <w:rStyle w:val="VerbatimChar"/>
        </w:rPr>
        <w:t xml:space="preserve">delimiter As String, str As String [, limit As Integer]</w:t>
      </w:r>
    </w:p>
    <w:p>
      <w:pPr>
        <w:pStyle w:val="Compact"/>
        <w:numPr>
          <w:ilvl w:val="0"/>
          <w:numId w:val="1437"/>
        </w:numPr>
      </w:pPr>
      <w:r>
        <w:rPr>
          <w:b/>
          <w:bCs/>
        </w:rPr>
        <w:t xml:space="preserve">Returns</w:t>
      </w:r>
      <w:r>
        <w:t xml:space="preserve">:</w:t>
      </w:r>
      <w:r>
        <w:t xml:space="preserve"> </w:t>
      </w:r>
      <w:r>
        <w:rPr>
          <w:rStyle w:val="VerbatimChar"/>
        </w:rPr>
        <w:t xml:space="preserve">Array</w:t>
      </w:r>
      <w:r>
        <w:t xml:space="preserve"> </w:t>
      </w:r>
      <w:r>
        <w:t xml:space="preserve">(zero-based VBArray of String elements)</w:t>
      </w:r>
    </w:p>
    <w:bookmarkEnd w:id="1498"/>
    <w:bookmarkEnd w:id="1499"/>
    <w:bookmarkStart w:id="1508" w:name="join-array-elements-into-a-string"/>
    <w:p>
      <w:pPr>
        <w:pStyle w:val="Heading1"/>
      </w:pPr>
      <w:r>
        <w:t xml:space="preserve">Join Array Elements into a String</w:t>
      </w:r>
    </w:p>
    <w:bookmarkStart w:id="1500" w:name="overview-98"/>
    <w:p>
      <w:pPr>
        <w:pStyle w:val="Heading2"/>
      </w:pPr>
      <w:r>
        <w:t xml:space="preserve">Overview</w:t>
      </w:r>
    </w:p>
    <w:p>
      <w:pPr>
        <w:pStyle w:val="FirstParagraph"/>
      </w:pPr>
      <w:r>
        <w:t xml:space="preserve">Joins all elements of a VBArray into a single string, separated by the specified glue string.</w:t>
      </w:r>
    </w:p>
    <w:bookmarkEnd w:id="1500"/>
    <w:bookmarkStart w:id="1501" w:name="prerequisites-5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01"/>
    <w:bookmarkStart w:id="1502" w:name="syntax-115"/>
    <w:p>
      <w:pPr>
        <w:pStyle w:val="Heading2"/>
      </w:pPr>
      <w:r>
        <w:t xml:space="preserve">Syntax</w:t>
      </w:r>
    </w:p>
    <w:p>
      <w:pPr>
        <w:pStyle w:val="SourceCode"/>
      </w:pPr>
      <w:r>
        <w:rPr>
          <w:rStyle w:val="NormalTok"/>
        </w:rPr>
        <w:t xml:space="preserve">result = obj.AxImplode(glue, inputArray)</w:t>
      </w:r>
    </w:p>
    <w:bookmarkEnd w:id="1502"/>
    <w:bookmarkStart w:id="1503" w:name="parameters-4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glue</w:t>
            </w:r>
          </w:p>
        </w:tc>
        <w:tc>
          <w:tcPr/>
          <w:p>
            <w:pPr>
              <w:pStyle w:val="Compact"/>
            </w:pPr>
            <w:r>
              <w:t xml:space="preserve">String</w:t>
            </w:r>
          </w:p>
        </w:tc>
        <w:tc>
          <w:tcPr/>
          <w:p>
            <w:pPr>
              <w:pStyle w:val="Compact"/>
            </w:pPr>
            <w:r>
              <w:t xml:space="preserve">Yes</w:t>
            </w:r>
          </w:p>
        </w:tc>
        <w:tc>
          <w:tcPr/>
          <w:p>
            <w:pPr>
              <w:pStyle w:val="Compact"/>
            </w:pPr>
            <w:r>
              <w:t xml:space="preserve">The string placed between each element of</w:t>
            </w:r>
            <w:r>
              <w:t xml:space="preserve"> </w:t>
            </w:r>
            <w:r>
              <w:rPr>
                <w:rStyle w:val="VerbatimChar"/>
              </w:rPr>
              <w:t xml:space="preserve">inputArray</w:t>
            </w:r>
            <w:r>
              <w:t xml:space="preserve">.</w:t>
            </w:r>
          </w:p>
        </w:tc>
      </w:tr>
      <w:tr>
        <w:tc>
          <w:tcPr/>
          <w:p>
            <w:pPr>
              <w:pStyle w:val="Compact"/>
            </w:pPr>
            <w:r>
              <w:t xml:space="preserve">inputArray</w:t>
            </w:r>
          </w:p>
        </w:tc>
        <w:tc>
          <w:tcPr/>
          <w:p>
            <w:pPr>
              <w:pStyle w:val="Compact"/>
            </w:pPr>
            <w:r>
              <w:t xml:space="preserve">Array</w:t>
            </w:r>
          </w:p>
        </w:tc>
        <w:tc>
          <w:tcPr/>
          <w:p>
            <w:pPr>
              <w:pStyle w:val="Compact"/>
            </w:pPr>
            <w:r>
              <w:t xml:space="preserve">Yes</w:t>
            </w:r>
          </w:p>
        </w:tc>
        <w:tc>
          <w:tcPr/>
          <w:p>
            <w:pPr>
              <w:pStyle w:val="Compact"/>
            </w:pPr>
            <w:r>
              <w:t xml:space="preserve">The zero-based VBArray whose elements are joined.</w:t>
            </w:r>
          </w:p>
        </w:tc>
      </w:tr>
    </w:tbl>
    <w:bookmarkEnd w:id="1503"/>
    <w:bookmarkStart w:id="1504" w:name="return-value-61"/>
    <w:p>
      <w:pPr>
        <w:pStyle w:val="Heading2"/>
      </w:pPr>
      <w:r>
        <w:t xml:space="preserve">Return Value</w:t>
      </w:r>
    </w:p>
    <w:p>
      <w:pPr>
        <w:pStyle w:val="Compact"/>
        <w:numPr>
          <w:ilvl w:val="0"/>
          <w:numId w:val="1438"/>
        </w:numPr>
      </w:pPr>
      <w:r>
        <w:rPr>
          <w:b/>
          <w:bCs/>
        </w:rPr>
        <w:t xml:space="preserve">String</w:t>
      </w:r>
      <w:r>
        <w:t xml:space="preserve">: Returns a single string with each array element separated by</w:t>
      </w:r>
      <w:r>
        <w:t xml:space="preserve"> </w:t>
      </w:r>
      <w:r>
        <w:rPr>
          <w:rStyle w:val="VerbatimChar"/>
        </w:rPr>
        <w:t xml:space="preserve">glue</w:t>
      </w:r>
      <w:r>
        <w:t xml:space="preserve">.</w:t>
      </w:r>
    </w:p>
    <w:p>
      <w:pPr>
        <w:pStyle w:val="Compact"/>
        <w:numPr>
          <w:ilvl w:val="0"/>
          <w:numId w:val="1438"/>
        </w:numPr>
      </w:pPr>
      <w:r>
        <w:rPr>
          <w:b/>
          <w:bCs/>
        </w:rPr>
        <w:t xml:space="preserve">String</w:t>
      </w:r>
      <w:r>
        <w:t xml:space="preserve">: Returns an empty string when</w:t>
      </w:r>
      <w:r>
        <w:t xml:space="preserve"> </w:t>
      </w:r>
      <w:r>
        <w:rPr>
          <w:rStyle w:val="VerbatimChar"/>
        </w:rPr>
        <w:t xml:space="preserve">inputArray</w:t>
      </w:r>
      <w:r>
        <w:t xml:space="preserve"> </w:t>
      </w:r>
      <w:r>
        <w:t xml:space="preserve">is not a valid array or fewer than two arguments are provided.</w:t>
      </w:r>
    </w:p>
    <w:bookmarkEnd w:id="1504"/>
    <w:bookmarkStart w:id="1505" w:name="remarks-127"/>
    <w:p>
      <w:pPr>
        <w:pStyle w:val="Heading2"/>
      </w:pPr>
      <w:r>
        <w:t xml:space="preserve">Remarks</w:t>
      </w:r>
    </w:p>
    <w:p>
      <w:pPr>
        <w:pStyle w:val="Compact"/>
        <w:numPr>
          <w:ilvl w:val="0"/>
          <w:numId w:val="1439"/>
        </w:numPr>
      </w:pPr>
      <w:r>
        <w:t xml:space="preserve">Method names are case-insensitive in VBScript dispatch.</w:t>
      </w:r>
    </w:p>
    <w:bookmarkEnd w:id="1505"/>
    <w:bookmarkStart w:id="1506" w:name="example-6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fruits</w:t>
      </w:r>
      <w:r>
        <w:rPr>
          <w:rStyle w:val="OtherTok"/>
        </w:rPr>
        <w:t xml:space="preserve">,</w:t>
      </w:r>
      <w:r>
        <w:rPr>
          <w:rStyle w:val="NormalTok"/>
        </w:rPr>
        <w:t xml:space="preserve"> result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fruits = </w:t>
      </w:r>
      <w:r>
        <w:rPr>
          <w:rStyle w:val="FunctionTok"/>
        </w:rPr>
        <w:t xml:space="preserve">Array</w:t>
      </w:r>
      <w:r>
        <w:rPr>
          <w:rStyle w:val="OtherTok"/>
        </w:rPr>
        <w:t xml:space="preserve">(</w:t>
      </w:r>
      <w:r>
        <w:rPr>
          <w:rStyle w:val="StringTok"/>
        </w:rPr>
        <w:t xml:space="preserve">"apple"</w:t>
      </w:r>
      <w:r>
        <w:rPr>
          <w:rStyle w:val="OtherTok"/>
        </w:rPr>
        <w:t xml:space="preserve">,</w:t>
      </w:r>
      <w:r>
        <w:rPr>
          <w:rStyle w:val="NormalTok"/>
        </w:rPr>
        <w:t xml:space="preserve"> </w:t>
      </w:r>
      <w:r>
        <w:rPr>
          <w:rStyle w:val="StringTok"/>
        </w:rPr>
        <w:t xml:space="preserve">"banana"</w:t>
      </w:r>
      <w:r>
        <w:rPr>
          <w:rStyle w:val="OtherTok"/>
        </w:rPr>
        <w:t xml:space="preserve">,</w:t>
      </w:r>
      <w:r>
        <w:rPr>
          <w:rStyle w:val="NormalTok"/>
        </w:rPr>
        <w:t xml:space="preserve"> </w:t>
      </w:r>
      <w:r>
        <w:rPr>
          <w:rStyle w:val="StringTok"/>
        </w:rPr>
        <w:t xml:space="preserve">"cherry"</w:t>
      </w:r>
      <w:r>
        <w:rPr>
          <w:rStyle w:val="OtherTok"/>
        </w:rPr>
        <w:t xml:space="preserve">)</w:t>
      </w:r>
      <w:r>
        <w:br/>
      </w:r>
      <w:r>
        <w:rPr>
          <w:rStyle w:val="NormalTok"/>
        </w:rPr>
        <w:t xml:space="preserve">result = ax.AxImplode</w:t>
      </w:r>
      <w:r>
        <w:rPr>
          <w:rStyle w:val="OtherTok"/>
        </w:rPr>
        <w:t xml:space="preserve">(</w:t>
      </w:r>
      <w:r>
        <w:rPr>
          <w:rStyle w:val="StringTok"/>
        </w:rPr>
        <w:t xml:space="preserve">", "</w:t>
      </w:r>
      <w:r>
        <w:rPr>
          <w:rStyle w:val="OtherTok"/>
        </w:rPr>
        <w:t xml:space="preserve">,</w:t>
      </w:r>
      <w:r>
        <w:rPr>
          <w:rStyle w:val="NormalTok"/>
        </w:rPr>
        <w:t xml:space="preserve"> fruits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rPr>
          <w:rStyle w:val="CommentTok"/>
        </w:rPr>
        <w:t xml:space="preserve">' Output: apple, banana, cherry</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06"/>
    <w:bookmarkStart w:id="1507" w:name="api-reference-58"/>
    <w:p>
      <w:pPr>
        <w:pStyle w:val="Heading2"/>
      </w:pPr>
      <w:r>
        <w:t xml:space="preserve">API Reference</w:t>
      </w:r>
    </w:p>
    <w:p>
      <w:pPr>
        <w:pStyle w:val="Compact"/>
        <w:numPr>
          <w:ilvl w:val="0"/>
          <w:numId w:val="1440"/>
        </w:numPr>
      </w:pPr>
      <w:r>
        <w:rPr>
          <w:b/>
          <w:bCs/>
        </w:rPr>
        <w:t xml:space="preserve">Object</w:t>
      </w:r>
      <w:r>
        <w:t xml:space="preserve">:</w:t>
      </w:r>
      <w:r>
        <w:t xml:space="preserve"> </w:t>
      </w:r>
      <w:r>
        <w:rPr>
          <w:rStyle w:val="VerbatimChar"/>
        </w:rPr>
        <w:t xml:space="preserve">G3AXON.FUNCTIONS</w:t>
      </w:r>
    </w:p>
    <w:p>
      <w:pPr>
        <w:pStyle w:val="Compact"/>
        <w:numPr>
          <w:ilvl w:val="0"/>
          <w:numId w:val="1440"/>
        </w:numPr>
      </w:pPr>
      <w:r>
        <w:rPr>
          <w:b/>
          <w:bCs/>
        </w:rPr>
        <w:t xml:space="preserve">Method</w:t>
      </w:r>
      <w:r>
        <w:t xml:space="preserve">:</w:t>
      </w:r>
      <w:r>
        <w:t xml:space="preserve"> </w:t>
      </w:r>
      <w:r>
        <w:rPr>
          <w:rStyle w:val="VerbatimChar"/>
        </w:rPr>
        <w:t xml:space="preserve">AxImplode</w:t>
      </w:r>
    </w:p>
    <w:p>
      <w:pPr>
        <w:pStyle w:val="Compact"/>
        <w:numPr>
          <w:ilvl w:val="0"/>
          <w:numId w:val="1440"/>
        </w:numPr>
      </w:pPr>
      <w:r>
        <w:rPr>
          <w:b/>
          <w:bCs/>
        </w:rPr>
        <w:t xml:space="preserve">Arguments</w:t>
      </w:r>
      <w:r>
        <w:t xml:space="preserve">:</w:t>
      </w:r>
      <w:r>
        <w:t xml:space="preserve"> </w:t>
      </w:r>
      <w:r>
        <w:rPr>
          <w:rStyle w:val="VerbatimChar"/>
        </w:rPr>
        <w:t xml:space="preserve">glue As String, inputArray As Array</w:t>
      </w:r>
    </w:p>
    <w:p>
      <w:pPr>
        <w:pStyle w:val="Compact"/>
        <w:numPr>
          <w:ilvl w:val="0"/>
          <w:numId w:val="1440"/>
        </w:numPr>
      </w:pPr>
      <w:r>
        <w:rPr>
          <w:b/>
          <w:bCs/>
        </w:rPr>
        <w:t xml:space="preserve">Returns</w:t>
      </w:r>
      <w:r>
        <w:t xml:space="preserve">:</w:t>
      </w:r>
      <w:r>
        <w:t xml:space="preserve"> </w:t>
      </w:r>
      <w:r>
        <w:rPr>
          <w:rStyle w:val="VerbatimChar"/>
        </w:rPr>
        <w:t xml:space="preserve">String</w:t>
      </w:r>
      <w:r>
        <w:t xml:space="preserve"> </w:t>
      </w:r>
      <w:r>
        <w:t xml:space="preserve">(joined string)</w:t>
      </w:r>
    </w:p>
    <w:bookmarkEnd w:id="1507"/>
    <w:bookmarkEnd w:id="1508"/>
    <w:bookmarkStart w:id="1517" w:name="reverse-an-array"/>
    <w:p>
      <w:pPr>
        <w:pStyle w:val="Heading1"/>
      </w:pPr>
      <w:r>
        <w:t xml:space="preserve">Reverse an Array</w:t>
      </w:r>
    </w:p>
    <w:bookmarkStart w:id="1509" w:name="overview-99"/>
    <w:p>
      <w:pPr>
        <w:pStyle w:val="Heading2"/>
      </w:pPr>
      <w:r>
        <w:t xml:space="preserve">Overview</w:t>
      </w:r>
    </w:p>
    <w:p>
      <w:pPr>
        <w:pStyle w:val="FirstParagraph"/>
      </w:pPr>
      <w:r>
        <w:t xml:space="preserve">Returns a new array with the elements in reverse order. The original array is not modified.</w:t>
      </w:r>
    </w:p>
    <w:bookmarkEnd w:id="1509"/>
    <w:bookmarkStart w:id="1510" w:name="prerequisites-5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10"/>
    <w:bookmarkStart w:id="1511" w:name="syntax-116"/>
    <w:p>
      <w:pPr>
        <w:pStyle w:val="Heading2"/>
      </w:pPr>
      <w:r>
        <w:t xml:space="preserve">Syntax</w:t>
      </w:r>
    </w:p>
    <w:p>
      <w:pPr>
        <w:pStyle w:val="SourceCode"/>
      </w:pPr>
      <w:r>
        <w:rPr>
          <w:rStyle w:val="NormalTok"/>
        </w:rPr>
        <w:t xml:space="preserve">reversed = obj.AxArrayReverse(inputArray)</w:t>
      </w:r>
    </w:p>
    <w:bookmarkEnd w:id="1511"/>
    <w:bookmarkStart w:id="1512" w:name="parameters-4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inputArray</w:t>
            </w:r>
          </w:p>
        </w:tc>
        <w:tc>
          <w:tcPr/>
          <w:p>
            <w:pPr>
              <w:pStyle w:val="Compact"/>
            </w:pPr>
            <w:r>
              <w:t xml:space="preserve">Array</w:t>
            </w:r>
          </w:p>
        </w:tc>
        <w:tc>
          <w:tcPr/>
          <w:p>
            <w:pPr>
              <w:pStyle w:val="Compact"/>
            </w:pPr>
            <w:r>
              <w:t xml:space="preserve">Yes</w:t>
            </w:r>
          </w:p>
        </w:tc>
        <w:tc>
          <w:tcPr/>
          <w:p>
            <w:pPr>
              <w:pStyle w:val="Compact"/>
            </w:pPr>
            <w:r>
              <w:t xml:space="preserve">The source VBArray whose elements will be reversed.</w:t>
            </w:r>
          </w:p>
        </w:tc>
      </w:tr>
    </w:tbl>
    <w:bookmarkEnd w:id="1512"/>
    <w:bookmarkStart w:id="1513" w:name="return-value-62"/>
    <w:p>
      <w:pPr>
        <w:pStyle w:val="Heading2"/>
      </w:pPr>
      <w:r>
        <w:t xml:space="preserve">Return Value</w:t>
      </w:r>
    </w:p>
    <w:p>
      <w:pPr>
        <w:pStyle w:val="Compact"/>
        <w:numPr>
          <w:ilvl w:val="0"/>
          <w:numId w:val="1441"/>
        </w:numPr>
      </w:pPr>
      <w:r>
        <w:rPr>
          <w:b/>
          <w:bCs/>
        </w:rPr>
        <w:t xml:space="preserve">Array</w:t>
      </w:r>
      <w:r>
        <w:t xml:space="preserve">: Returns a zero-based VBArray containing the same elements as</w:t>
      </w:r>
      <w:r>
        <w:t xml:space="preserve"> </w:t>
      </w:r>
      <w:r>
        <w:rPr>
          <w:rStyle w:val="VerbatimChar"/>
        </w:rPr>
        <w:t xml:space="preserve">inputArray</w:t>
      </w:r>
      <w:r>
        <w:t xml:space="preserve"> </w:t>
      </w:r>
      <w:r>
        <w:t xml:space="preserve">in reverse order.</w:t>
      </w:r>
    </w:p>
    <w:p>
      <w:pPr>
        <w:pStyle w:val="Compact"/>
        <w:numPr>
          <w:ilvl w:val="0"/>
          <w:numId w:val="1441"/>
        </w:numPr>
      </w:pPr>
      <w:r>
        <w:rPr>
          <w:b/>
          <w:bCs/>
        </w:rPr>
        <w:t xml:space="preserve">Array</w:t>
      </w:r>
      <w:r>
        <w:t xml:space="preserve">: Returns an empty array when</w:t>
      </w:r>
      <w:r>
        <w:t xml:space="preserve"> </w:t>
      </w:r>
      <w:r>
        <w:rPr>
          <w:rStyle w:val="VerbatimChar"/>
        </w:rPr>
        <w:t xml:space="preserve">inputArray</w:t>
      </w:r>
      <w:r>
        <w:t xml:space="preserve"> </w:t>
      </w:r>
      <w:r>
        <w:t xml:space="preserve">is not a valid array.</w:t>
      </w:r>
    </w:p>
    <w:bookmarkEnd w:id="1513"/>
    <w:bookmarkStart w:id="1514" w:name="remarks-128"/>
    <w:p>
      <w:pPr>
        <w:pStyle w:val="Heading2"/>
      </w:pPr>
      <w:r>
        <w:t xml:space="preserve">Remarks</w:t>
      </w:r>
    </w:p>
    <w:p>
      <w:pPr>
        <w:pStyle w:val="Compact"/>
        <w:numPr>
          <w:ilvl w:val="0"/>
          <w:numId w:val="1442"/>
        </w:numPr>
      </w:pPr>
      <w:r>
        <w:t xml:space="preserve">Method names are case-insensitive in VBScript dispatch.</w:t>
      </w:r>
    </w:p>
    <w:p>
      <w:pPr>
        <w:pStyle w:val="Compact"/>
        <w:numPr>
          <w:ilvl w:val="0"/>
          <w:numId w:val="1442"/>
        </w:numPr>
      </w:pPr>
      <w:r>
        <w:t xml:space="preserve">The function does not modify the original array in place; it returns a new array.</w:t>
      </w:r>
    </w:p>
    <w:bookmarkEnd w:id="1514"/>
    <w:bookmarkStart w:id="1515" w:name="example-6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colors</w:t>
      </w:r>
      <w:r>
        <w:rPr>
          <w:rStyle w:val="OtherTok"/>
        </w:rPr>
        <w:t xml:space="preserve">,</w:t>
      </w:r>
      <w:r>
        <w:rPr>
          <w:rStyle w:val="NormalTok"/>
        </w:rPr>
        <w:t xml:space="preserve"> reversed</w:t>
      </w:r>
      <w:r>
        <w:rPr>
          <w:rStyle w:val="OtherTok"/>
        </w:rPr>
        <w:t xml:space="preserve">,</w:t>
      </w:r>
      <w:r>
        <w:rPr>
          <w:rStyle w:val="NormalTok"/>
        </w:rPr>
        <w:t xml:space="preserve"> i</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colors = </w:t>
      </w:r>
      <w:r>
        <w:rPr>
          <w:rStyle w:val="FunctionTok"/>
        </w:rPr>
        <w:t xml:space="preserve">Array</w:t>
      </w:r>
      <w:r>
        <w:rPr>
          <w:rStyle w:val="OtherTok"/>
        </w:rPr>
        <w:t xml:space="preserve">(</w:t>
      </w:r>
      <w:r>
        <w:rPr>
          <w:rStyle w:val="StringTok"/>
        </w:rPr>
        <w:t xml:space="preserve">"Red"</w:t>
      </w:r>
      <w:r>
        <w:rPr>
          <w:rStyle w:val="OtherTok"/>
        </w:rPr>
        <w:t xml:space="preserve">,</w:t>
      </w:r>
      <w:r>
        <w:rPr>
          <w:rStyle w:val="NormalTok"/>
        </w:rPr>
        <w:t xml:space="preserve"> </w:t>
      </w:r>
      <w:r>
        <w:rPr>
          <w:rStyle w:val="StringTok"/>
        </w:rPr>
        <w:t xml:space="preserve">"Green"</w:t>
      </w:r>
      <w:r>
        <w:rPr>
          <w:rStyle w:val="OtherTok"/>
        </w:rPr>
        <w:t xml:space="preserve">,</w:t>
      </w:r>
      <w:r>
        <w:rPr>
          <w:rStyle w:val="NormalTok"/>
        </w:rPr>
        <w:t xml:space="preserve"> </w:t>
      </w:r>
      <w:r>
        <w:rPr>
          <w:rStyle w:val="StringTok"/>
        </w:rPr>
        <w:t xml:space="preserve">"Blue"</w:t>
      </w:r>
      <w:r>
        <w:rPr>
          <w:rStyle w:val="OtherTok"/>
        </w:rPr>
        <w:t xml:space="preserve">)</w:t>
      </w:r>
      <w:r>
        <w:br/>
      </w:r>
      <w:r>
        <w:rPr>
          <w:rStyle w:val="NormalTok"/>
        </w:rPr>
        <w:t xml:space="preserve">reversed = ax.AxArrayReverse</w:t>
      </w:r>
      <w:r>
        <w:rPr>
          <w:rStyle w:val="OtherTok"/>
        </w:rPr>
        <w:t xml:space="preserve">(</w:t>
      </w:r>
      <w:r>
        <w:rPr>
          <w:rStyle w:val="NormalTok"/>
        </w:rPr>
        <w:t xml:space="preserve">colors</w:t>
      </w:r>
      <w:r>
        <w:rPr>
          <w:rStyle w:val="OtherTok"/>
        </w:rPr>
        <w:t xml:space="preserve">)</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reversed</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reversed</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CommentTok"/>
        </w:rPr>
        <w:t xml:space="preserve">' Output:</w:t>
      </w:r>
      <w:r>
        <w:br/>
      </w:r>
      <w:r>
        <w:rPr>
          <w:rStyle w:val="CommentTok"/>
        </w:rPr>
        <w:t xml:space="preserve">' Blue</w:t>
      </w:r>
      <w:r>
        <w:br/>
      </w:r>
      <w:r>
        <w:rPr>
          <w:rStyle w:val="CommentTok"/>
        </w:rPr>
        <w:t xml:space="preserve">' Green</w:t>
      </w:r>
      <w:r>
        <w:br/>
      </w:r>
      <w:r>
        <w:rPr>
          <w:rStyle w:val="CommentTok"/>
        </w:rPr>
        <w:t xml:space="preserve">' Red</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15"/>
    <w:bookmarkStart w:id="1516" w:name="api-reference-59"/>
    <w:p>
      <w:pPr>
        <w:pStyle w:val="Heading2"/>
      </w:pPr>
      <w:r>
        <w:t xml:space="preserve">API Reference</w:t>
      </w:r>
    </w:p>
    <w:p>
      <w:pPr>
        <w:pStyle w:val="Compact"/>
        <w:numPr>
          <w:ilvl w:val="0"/>
          <w:numId w:val="1443"/>
        </w:numPr>
      </w:pPr>
      <w:r>
        <w:rPr>
          <w:b/>
          <w:bCs/>
        </w:rPr>
        <w:t xml:space="preserve">Object</w:t>
      </w:r>
      <w:r>
        <w:t xml:space="preserve">:</w:t>
      </w:r>
      <w:r>
        <w:t xml:space="preserve"> </w:t>
      </w:r>
      <w:r>
        <w:rPr>
          <w:rStyle w:val="VerbatimChar"/>
        </w:rPr>
        <w:t xml:space="preserve">G3AXON.FUNCTIONS</w:t>
      </w:r>
    </w:p>
    <w:p>
      <w:pPr>
        <w:pStyle w:val="Compact"/>
        <w:numPr>
          <w:ilvl w:val="0"/>
          <w:numId w:val="1443"/>
        </w:numPr>
      </w:pPr>
      <w:r>
        <w:rPr>
          <w:b/>
          <w:bCs/>
        </w:rPr>
        <w:t xml:space="preserve">Method</w:t>
      </w:r>
      <w:r>
        <w:t xml:space="preserve">:</w:t>
      </w:r>
      <w:r>
        <w:t xml:space="preserve"> </w:t>
      </w:r>
      <w:r>
        <w:rPr>
          <w:rStyle w:val="VerbatimChar"/>
        </w:rPr>
        <w:t xml:space="preserve">AxArrayReverse</w:t>
      </w:r>
    </w:p>
    <w:p>
      <w:pPr>
        <w:pStyle w:val="Compact"/>
        <w:numPr>
          <w:ilvl w:val="0"/>
          <w:numId w:val="1443"/>
        </w:numPr>
      </w:pPr>
      <w:r>
        <w:rPr>
          <w:b/>
          <w:bCs/>
        </w:rPr>
        <w:t xml:space="preserve">Arguments</w:t>
      </w:r>
      <w:r>
        <w:t xml:space="preserve">:</w:t>
      </w:r>
      <w:r>
        <w:t xml:space="preserve"> </w:t>
      </w:r>
      <w:r>
        <w:rPr>
          <w:rStyle w:val="VerbatimChar"/>
        </w:rPr>
        <w:t xml:space="preserve">inputArray As Array</w:t>
      </w:r>
    </w:p>
    <w:p>
      <w:pPr>
        <w:pStyle w:val="Compact"/>
        <w:numPr>
          <w:ilvl w:val="0"/>
          <w:numId w:val="1443"/>
        </w:numPr>
      </w:pPr>
      <w:r>
        <w:rPr>
          <w:b/>
          <w:bCs/>
        </w:rPr>
        <w:t xml:space="preserve">Returns</w:t>
      </w:r>
      <w:r>
        <w:t xml:space="preserve">:</w:t>
      </w:r>
      <w:r>
        <w:t xml:space="preserve"> </w:t>
      </w:r>
      <w:r>
        <w:rPr>
          <w:rStyle w:val="VerbatimChar"/>
        </w:rPr>
        <w:t xml:space="preserve">Array</w:t>
      </w:r>
      <w:r>
        <w:t xml:space="preserve"> </w:t>
      </w:r>
      <w:r>
        <w:t xml:space="preserve">(reversed copy of the input array)</w:t>
      </w:r>
    </w:p>
    <w:bookmarkEnd w:id="1516"/>
    <w:bookmarkEnd w:id="1517"/>
    <w:bookmarkStart w:id="1526" w:name="create-a-numeric-range-array"/>
    <w:p>
      <w:pPr>
        <w:pStyle w:val="Heading1"/>
      </w:pPr>
      <w:r>
        <w:t xml:space="preserve">Create a Numeric Range Array</w:t>
      </w:r>
    </w:p>
    <w:bookmarkStart w:id="1518" w:name="overview-100"/>
    <w:p>
      <w:pPr>
        <w:pStyle w:val="Heading2"/>
      </w:pPr>
      <w:r>
        <w:t xml:space="preserve">Overview</w:t>
      </w:r>
    </w:p>
    <w:p>
      <w:pPr>
        <w:pStyle w:val="FirstParagraph"/>
      </w:pPr>
      <w:r>
        <w:t xml:space="preserve">Builds and returns a zero-based VBArray containing Integer values from</w:t>
      </w:r>
      <w:r>
        <w:t xml:space="preserve"> </w:t>
      </w:r>
      <w:r>
        <w:rPr>
          <w:rStyle w:val="VerbatimChar"/>
        </w:rPr>
        <w:t xml:space="preserve">start</w:t>
      </w:r>
      <w:r>
        <w:t xml:space="preserve"> </w:t>
      </w:r>
      <w:r>
        <w:t xml:space="preserve">to</w:t>
      </w:r>
      <w:r>
        <w:t xml:space="preserve"> </w:t>
      </w:r>
      <w:r>
        <w:rPr>
          <w:rStyle w:val="VerbatimChar"/>
        </w:rPr>
        <w:t xml:space="preserve">end</w:t>
      </w:r>
      <w:r>
        <w:t xml:space="preserve">, progressing by</w:t>
      </w:r>
      <w:r>
        <w:t xml:space="preserve"> </w:t>
      </w:r>
      <w:r>
        <w:rPr>
          <w:rStyle w:val="VerbatimChar"/>
        </w:rPr>
        <w:t xml:space="preserve">step</w:t>
      </w:r>
      <w:r>
        <w:t xml:space="preserve">.</w:t>
      </w:r>
    </w:p>
    <w:bookmarkEnd w:id="1518"/>
    <w:bookmarkStart w:id="1519" w:name="prerequisites-5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19"/>
    <w:bookmarkStart w:id="1520" w:name="syntax-117"/>
    <w:p>
      <w:pPr>
        <w:pStyle w:val="Heading2"/>
      </w:pPr>
      <w:r>
        <w:t xml:space="preserve">Syntax</w:t>
      </w:r>
    </w:p>
    <w:p>
      <w:pPr>
        <w:pStyle w:val="SourceCode"/>
      </w:pPr>
      <w:r>
        <w:rPr>
          <w:rStyle w:val="NormalTok"/>
        </w:rPr>
        <w:t xml:space="preserve">arr = obj.AxRange(start, end [, step])</w:t>
      </w:r>
    </w:p>
    <w:bookmarkEnd w:id="1520"/>
    <w:bookmarkStart w:id="1521" w:name="parameters-4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start</w:t>
            </w:r>
          </w:p>
        </w:tc>
        <w:tc>
          <w:tcPr/>
          <w:p>
            <w:pPr>
              <w:pStyle w:val="Compact"/>
            </w:pPr>
            <w:r>
              <w:t xml:space="preserve">Integer</w:t>
            </w:r>
          </w:p>
        </w:tc>
        <w:tc>
          <w:tcPr/>
          <w:p>
            <w:pPr>
              <w:pStyle w:val="Compact"/>
            </w:pPr>
            <w:r>
              <w:t xml:space="preserve">Yes</w:t>
            </w:r>
          </w:p>
        </w:tc>
        <w:tc>
          <w:tcPr/>
          <w:p>
            <w:pPr>
              <w:pStyle w:val="Compact"/>
            </w:pPr>
            <w:r>
              <w:t xml:space="preserve">The first value in the range.</w:t>
            </w:r>
          </w:p>
        </w:tc>
      </w:tr>
      <w:tr>
        <w:tc>
          <w:tcPr/>
          <w:p>
            <w:pPr>
              <w:pStyle w:val="Compact"/>
            </w:pPr>
            <w:r>
              <w:t xml:space="preserve">end</w:t>
            </w:r>
          </w:p>
        </w:tc>
        <w:tc>
          <w:tcPr/>
          <w:p>
            <w:pPr>
              <w:pStyle w:val="Compact"/>
            </w:pPr>
            <w:r>
              <w:t xml:space="preserve">Integer</w:t>
            </w:r>
          </w:p>
        </w:tc>
        <w:tc>
          <w:tcPr/>
          <w:p>
            <w:pPr>
              <w:pStyle w:val="Compact"/>
            </w:pPr>
            <w:r>
              <w:t xml:space="preserve">Yes</w:t>
            </w:r>
          </w:p>
        </w:tc>
        <w:tc>
          <w:tcPr/>
          <w:p>
            <w:pPr>
              <w:pStyle w:val="Compact"/>
            </w:pPr>
            <w:r>
              <w:t xml:space="preserve">The last value in the range (inclusive).</w:t>
            </w:r>
          </w:p>
        </w:tc>
      </w:tr>
      <w:tr>
        <w:tc>
          <w:tcPr/>
          <w:p>
            <w:pPr>
              <w:pStyle w:val="Compact"/>
            </w:pPr>
            <w:r>
              <w:t xml:space="preserve">step</w:t>
            </w:r>
          </w:p>
        </w:tc>
        <w:tc>
          <w:tcPr/>
          <w:p>
            <w:pPr>
              <w:pStyle w:val="Compact"/>
            </w:pPr>
            <w:r>
              <w:t xml:space="preserve">Integer</w:t>
            </w:r>
          </w:p>
        </w:tc>
        <w:tc>
          <w:tcPr/>
          <w:p>
            <w:pPr>
              <w:pStyle w:val="Compact"/>
            </w:pPr>
            <w:r>
              <w:t xml:space="preserve">Optional</w:t>
            </w:r>
          </w:p>
        </w:tc>
        <w:tc>
          <w:tcPr/>
          <w:p>
            <w:pPr>
              <w:pStyle w:val="Compact"/>
            </w:pPr>
            <w:r>
              <w:t xml:space="preserve">The increment between values. Defaults to</w:t>
            </w:r>
            <w:r>
              <w:t xml:space="preserve"> </w:t>
            </w:r>
            <w:r>
              <w:rPr>
                <w:rStyle w:val="VerbatimChar"/>
              </w:rPr>
              <w:t xml:space="preserve">1</w:t>
            </w:r>
            <w:r>
              <w:t xml:space="preserve">. A negative step generates a descending range.</w:t>
            </w:r>
          </w:p>
        </w:tc>
      </w:tr>
    </w:tbl>
    <w:bookmarkEnd w:id="1521"/>
    <w:bookmarkStart w:id="1522" w:name="return-value-63"/>
    <w:p>
      <w:pPr>
        <w:pStyle w:val="Heading2"/>
      </w:pPr>
      <w:r>
        <w:t xml:space="preserve">Return Value</w:t>
      </w:r>
    </w:p>
    <w:p>
      <w:pPr>
        <w:pStyle w:val="Compact"/>
        <w:numPr>
          <w:ilvl w:val="0"/>
          <w:numId w:val="1444"/>
        </w:numPr>
      </w:pPr>
      <w:r>
        <w:rPr>
          <w:b/>
          <w:bCs/>
        </w:rPr>
        <w:t xml:space="preserve">Array</w:t>
      </w:r>
      <w:r>
        <w:t xml:space="preserve">: Returns a zero-based VBArray of Integer values from</w:t>
      </w:r>
      <w:r>
        <w:t xml:space="preserve"> </w:t>
      </w:r>
      <w:r>
        <w:rPr>
          <w:rStyle w:val="VerbatimChar"/>
        </w:rPr>
        <w:t xml:space="preserve">start</w:t>
      </w:r>
      <w:r>
        <w:t xml:space="preserve"> </w:t>
      </w:r>
      <w:r>
        <w:t xml:space="preserve">to</w:t>
      </w:r>
      <w:r>
        <w:t xml:space="preserve"> </w:t>
      </w:r>
      <w:r>
        <w:rPr>
          <w:rStyle w:val="VerbatimChar"/>
        </w:rPr>
        <w:t xml:space="preserve">end</w:t>
      </w:r>
      <w:r>
        <w:t xml:space="preserve">.</w:t>
      </w:r>
    </w:p>
    <w:p>
      <w:pPr>
        <w:pStyle w:val="Compact"/>
        <w:numPr>
          <w:ilvl w:val="0"/>
          <w:numId w:val="1444"/>
        </w:numPr>
      </w:pPr>
      <w:r>
        <w:rPr>
          <w:b/>
          <w:bCs/>
        </w:rPr>
        <w:t xml:space="preserve">Array</w:t>
      </w:r>
      <w:r>
        <w:t xml:space="preserve">: Returns an empty array when fewer than two arguments are provided.</w:t>
      </w:r>
    </w:p>
    <w:bookmarkEnd w:id="1522"/>
    <w:bookmarkStart w:id="1523" w:name="remarks-129"/>
    <w:p>
      <w:pPr>
        <w:pStyle w:val="Heading2"/>
      </w:pPr>
      <w:r>
        <w:t xml:space="preserve">Remarks</w:t>
      </w:r>
    </w:p>
    <w:p>
      <w:pPr>
        <w:pStyle w:val="Compact"/>
        <w:numPr>
          <w:ilvl w:val="0"/>
          <w:numId w:val="1445"/>
        </w:numPr>
      </w:pPr>
      <w:r>
        <w:t xml:space="preserve">When</w:t>
      </w:r>
      <w:r>
        <w:t xml:space="preserve"> </w:t>
      </w:r>
      <w:r>
        <w:rPr>
          <w:rStyle w:val="VerbatimChar"/>
        </w:rPr>
        <w:t xml:space="preserve">step</w:t>
      </w:r>
      <w:r>
        <w:t xml:space="preserve"> </w:t>
      </w:r>
      <w:r>
        <w:t xml:space="preserve">is</w:t>
      </w:r>
      <w:r>
        <w:t xml:space="preserve"> </w:t>
      </w:r>
      <w:r>
        <w:rPr>
          <w:rStyle w:val="VerbatimChar"/>
        </w:rPr>
        <w:t xml:space="preserve">0</w:t>
      </w:r>
      <w:r>
        <w:t xml:space="preserve">, it defaults to</w:t>
      </w:r>
      <w:r>
        <w:t xml:space="preserve"> </w:t>
      </w:r>
      <w:r>
        <w:rPr>
          <w:rStyle w:val="VerbatimChar"/>
        </w:rPr>
        <w:t xml:space="preserve">1</w:t>
      </w:r>
      <w:r>
        <w:t xml:space="preserve">.</w:t>
      </w:r>
    </w:p>
    <w:p>
      <w:pPr>
        <w:pStyle w:val="Compact"/>
        <w:numPr>
          <w:ilvl w:val="0"/>
          <w:numId w:val="1445"/>
        </w:numPr>
      </w:pPr>
      <w:r>
        <w:t xml:space="preserve">For a descending range, provide a negative</w:t>
      </w:r>
      <w:r>
        <w:t xml:space="preserve"> </w:t>
      </w:r>
      <w:r>
        <w:rPr>
          <w:rStyle w:val="VerbatimChar"/>
        </w:rPr>
        <w:t xml:space="preserve">step</w:t>
      </w:r>
      <w:r>
        <w:t xml:space="preserve"> </w:t>
      </w:r>
      <w:r>
        <w:t xml:space="preserve">and set</w:t>
      </w:r>
      <w:r>
        <w:t xml:space="preserve"> </w:t>
      </w:r>
      <w:r>
        <w:rPr>
          <w:rStyle w:val="VerbatimChar"/>
        </w:rPr>
        <w:t xml:space="preserve">start</w:t>
      </w:r>
      <w:r>
        <w:t xml:space="preserve"> </w:t>
      </w:r>
      <w:r>
        <w:t xml:space="preserve">greater than</w:t>
      </w:r>
      <w:r>
        <w:t xml:space="preserve"> </w:t>
      </w:r>
      <w:r>
        <w:rPr>
          <w:rStyle w:val="VerbatimChar"/>
        </w:rPr>
        <w:t xml:space="preserve">end</w:t>
      </w:r>
      <w:r>
        <w:t xml:space="preserve">.</w:t>
      </w:r>
    </w:p>
    <w:p>
      <w:pPr>
        <w:pStyle w:val="Compact"/>
        <w:numPr>
          <w:ilvl w:val="0"/>
          <w:numId w:val="1445"/>
        </w:numPr>
      </w:pPr>
      <w:r>
        <w:t xml:space="preserve">Method names are case-insensitive in VBScript dispatch.</w:t>
      </w:r>
    </w:p>
    <w:bookmarkEnd w:id="1523"/>
    <w:bookmarkStart w:id="1524" w:name="example-6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nums</w:t>
      </w:r>
      <w:r>
        <w:rPr>
          <w:rStyle w:val="OtherTok"/>
        </w:rPr>
        <w:t xml:space="preserve">,</w:t>
      </w:r>
      <w:r>
        <w:rPr>
          <w:rStyle w:val="NormalTok"/>
        </w:rPr>
        <w:t xml:space="preserve"> i</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Ascending range 1 to 5</w:t>
      </w:r>
      <w:r>
        <w:br/>
      </w:r>
      <w:r>
        <w:rPr>
          <w:rStyle w:val="NormalTok"/>
        </w:rPr>
        <w:t xml:space="preserve">nums = ax.AxRange</w:t>
      </w:r>
      <w:r>
        <w:rPr>
          <w:rStyle w:val="OtherTok"/>
        </w:rPr>
        <w:t xml:space="preserve">(</w:t>
      </w:r>
      <w:r>
        <w:rPr>
          <w:rStyle w:val="DecValTok"/>
        </w:rPr>
        <w:t xml:space="preserve">1</w:t>
      </w:r>
      <w:r>
        <w:rPr>
          <w:rStyle w:val="OtherTok"/>
        </w:rPr>
        <w:t xml:space="preserve">,</w:t>
      </w:r>
      <w:r>
        <w:rPr>
          <w:rStyle w:val="NormalTok"/>
        </w:rPr>
        <w:t xml:space="preserve"> </w:t>
      </w:r>
      <w:r>
        <w:rPr>
          <w:rStyle w:val="DecValTok"/>
        </w:rPr>
        <w:t xml:space="preserve">5</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nums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nums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br/>
      </w:r>
      <w:r>
        <w:rPr>
          <w:rStyle w:val="ControlFlowTok"/>
        </w:rPr>
        <w:t xml:space="preserve">Next</w:t>
      </w:r>
      <w:r>
        <w:br/>
      </w:r>
      <w:r>
        <w:rPr>
          <w:rStyle w:val="CommentTok"/>
        </w:rPr>
        <w:t xml:space="preserve">' Output: 1 2 3 4 5</w:t>
      </w:r>
      <w:r>
        <w:br/>
      </w:r>
      <w:r>
        <w:br/>
      </w:r>
      <w:r>
        <w:rPr>
          <w:rStyle w:val="CommentTok"/>
        </w:rPr>
        <w:t xml:space="preserve">' Step of 2</w:t>
      </w:r>
      <w:r>
        <w:br/>
      </w:r>
      <w:r>
        <w:rPr>
          <w:rStyle w:val="NormalTok"/>
        </w:rPr>
        <w:t xml:space="preserve">nums = ax.AxRange</w:t>
      </w:r>
      <w:r>
        <w:rPr>
          <w:rStyle w:val="OtherTok"/>
        </w:rPr>
        <w:t xml:space="preserve">(</w:t>
      </w:r>
      <w:r>
        <w:rPr>
          <w:rStyle w:val="DecValTok"/>
        </w:rPr>
        <w:t xml:space="preserve">0</w:t>
      </w:r>
      <w:r>
        <w:rPr>
          <w:rStyle w:val="OtherTok"/>
        </w:rPr>
        <w:t xml:space="preserve">,</w:t>
      </w:r>
      <w:r>
        <w:rPr>
          <w:rStyle w:val="NormalTok"/>
        </w:rPr>
        <w:t xml:space="preserve"> </w:t>
      </w:r>
      <w:r>
        <w:rPr>
          <w:rStyle w:val="DecValTok"/>
        </w:rPr>
        <w:t xml:space="preserve">10</w:t>
      </w:r>
      <w:r>
        <w:rPr>
          <w:rStyle w:val="OtherTok"/>
        </w:rPr>
        <w:t xml:space="preserve">,</w:t>
      </w:r>
      <w:r>
        <w:rPr>
          <w:rStyle w:val="NormalTok"/>
        </w:rPr>
        <w:t xml:space="preserve"> </w:t>
      </w:r>
      <w:r>
        <w:rPr>
          <w:rStyle w:val="DecValTok"/>
        </w:rPr>
        <w:t xml:space="preserve">2</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nums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nums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br/>
      </w:r>
      <w:r>
        <w:rPr>
          <w:rStyle w:val="ControlFlowTok"/>
        </w:rPr>
        <w:t xml:space="preserve">Next</w:t>
      </w:r>
      <w:r>
        <w:br/>
      </w:r>
      <w:r>
        <w:rPr>
          <w:rStyle w:val="CommentTok"/>
        </w:rPr>
        <w:t xml:space="preserve">' Output: 0 2 4 6 8 10</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24"/>
    <w:bookmarkStart w:id="1525" w:name="api-reference-60"/>
    <w:p>
      <w:pPr>
        <w:pStyle w:val="Heading2"/>
      </w:pPr>
      <w:r>
        <w:t xml:space="preserve">API Reference</w:t>
      </w:r>
    </w:p>
    <w:p>
      <w:pPr>
        <w:pStyle w:val="Compact"/>
        <w:numPr>
          <w:ilvl w:val="0"/>
          <w:numId w:val="1446"/>
        </w:numPr>
      </w:pPr>
      <w:r>
        <w:rPr>
          <w:b/>
          <w:bCs/>
        </w:rPr>
        <w:t xml:space="preserve">Object</w:t>
      </w:r>
      <w:r>
        <w:t xml:space="preserve">:</w:t>
      </w:r>
      <w:r>
        <w:t xml:space="preserve"> </w:t>
      </w:r>
      <w:r>
        <w:rPr>
          <w:rStyle w:val="VerbatimChar"/>
        </w:rPr>
        <w:t xml:space="preserve">G3AXON.FUNCTIONS</w:t>
      </w:r>
    </w:p>
    <w:p>
      <w:pPr>
        <w:pStyle w:val="Compact"/>
        <w:numPr>
          <w:ilvl w:val="0"/>
          <w:numId w:val="1446"/>
        </w:numPr>
      </w:pPr>
      <w:r>
        <w:rPr>
          <w:b/>
          <w:bCs/>
        </w:rPr>
        <w:t xml:space="preserve">Method</w:t>
      </w:r>
      <w:r>
        <w:t xml:space="preserve">:</w:t>
      </w:r>
      <w:r>
        <w:t xml:space="preserve"> </w:t>
      </w:r>
      <w:r>
        <w:rPr>
          <w:rStyle w:val="VerbatimChar"/>
        </w:rPr>
        <w:t xml:space="preserve">AxRange</w:t>
      </w:r>
    </w:p>
    <w:p>
      <w:pPr>
        <w:pStyle w:val="Compact"/>
        <w:numPr>
          <w:ilvl w:val="0"/>
          <w:numId w:val="1446"/>
        </w:numPr>
      </w:pPr>
      <w:r>
        <w:rPr>
          <w:b/>
          <w:bCs/>
        </w:rPr>
        <w:t xml:space="preserve">Arguments</w:t>
      </w:r>
      <w:r>
        <w:t xml:space="preserve">:</w:t>
      </w:r>
      <w:r>
        <w:t xml:space="preserve"> </w:t>
      </w:r>
      <w:r>
        <w:rPr>
          <w:rStyle w:val="VerbatimChar"/>
        </w:rPr>
        <w:t xml:space="preserve">start As Integer, end As Integer [, step As Integer]</w:t>
      </w:r>
    </w:p>
    <w:p>
      <w:pPr>
        <w:pStyle w:val="Compact"/>
        <w:numPr>
          <w:ilvl w:val="0"/>
          <w:numId w:val="1446"/>
        </w:numPr>
      </w:pPr>
      <w:r>
        <w:rPr>
          <w:b/>
          <w:bCs/>
        </w:rPr>
        <w:t xml:space="preserve">Returns</w:t>
      </w:r>
      <w:r>
        <w:t xml:space="preserve">:</w:t>
      </w:r>
      <w:r>
        <w:t xml:space="preserve"> </w:t>
      </w:r>
      <w:r>
        <w:rPr>
          <w:rStyle w:val="VerbatimChar"/>
        </w:rPr>
        <w:t xml:space="preserve">Array</w:t>
      </w:r>
      <w:r>
        <w:t xml:space="preserve"> </w:t>
      </w:r>
      <w:r>
        <w:t xml:space="preserve">(zero-based VBArray of Integer values)</w:t>
      </w:r>
    </w:p>
    <w:bookmarkEnd w:id="1525"/>
    <w:bookmarkEnd w:id="1526"/>
    <w:bookmarkStart w:id="1535" w:name="replace-all-occurrences-of-a-substring"/>
    <w:p>
      <w:pPr>
        <w:pStyle w:val="Heading1"/>
      </w:pPr>
      <w:r>
        <w:t xml:space="preserve">Replace All Occurrences of a Substring</w:t>
      </w:r>
    </w:p>
    <w:bookmarkStart w:id="1527" w:name="overview-101"/>
    <w:p>
      <w:pPr>
        <w:pStyle w:val="Heading2"/>
      </w:pPr>
      <w:r>
        <w:t xml:space="preserve">Overview</w:t>
      </w:r>
    </w:p>
    <w:p>
      <w:pPr>
        <w:pStyle w:val="FirstParagraph"/>
      </w:pPr>
      <w:r>
        <w:t xml:space="preserve">Replaces every occurrence of a search string within a source string and returns the modified result.</w:t>
      </w:r>
    </w:p>
    <w:bookmarkEnd w:id="1527"/>
    <w:bookmarkStart w:id="1528" w:name="prerequisites-5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28"/>
    <w:bookmarkStart w:id="1529" w:name="syntax-118"/>
    <w:p>
      <w:pPr>
        <w:pStyle w:val="Heading2"/>
      </w:pPr>
      <w:r>
        <w:t xml:space="preserve">Syntax</w:t>
      </w:r>
    </w:p>
    <w:p>
      <w:pPr>
        <w:pStyle w:val="SourceCode"/>
      </w:pPr>
      <w:r>
        <w:rPr>
          <w:rStyle w:val="NormalTok"/>
        </w:rPr>
        <w:t xml:space="preserve">result = obj.AxStringReplace(search, replacement, subject)</w:t>
      </w:r>
    </w:p>
    <w:bookmarkEnd w:id="1529"/>
    <w:bookmarkStart w:id="1530" w:name="parameters-48"/>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search</w:t>
            </w:r>
          </w:p>
        </w:tc>
        <w:tc>
          <w:tcPr/>
          <w:p>
            <w:pPr>
              <w:pStyle w:val="Compact"/>
            </w:pPr>
            <w:r>
              <w:t xml:space="preserve">String</w:t>
            </w:r>
          </w:p>
        </w:tc>
        <w:tc>
          <w:tcPr/>
          <w:p>
            <w:pPr>
              <w:pStyle w:val="Compact"/>
            </w:pPr>
            <w:r>
              <w:t xml:space="preserve">Yes</w:t>
            </w:r>
          </w:p>
        </w:tc>
        <w:tc>
          <w:tcPr/>
          <w:p>
            <w:pPr>
              <w:pStyle w:val="Compact"/>
            </w:pPr>
            <w:r>
              <w:t xml:space="preserve">The substring to find in</w:t>
            </w:r>
            <w:r>
              <w:t xml:space="preserve"> </w:t>
            </w:r>
            <w:r>
              <w:rPr>
                <w:rStyle w:val="VerbatimChar"/>
              </w:rPr>
              <w:t xml:space="preserve">subject</w:t>
            </w:r>
            <w:r>
              <w:t xml:space="preserve">.</w:t>
            </w:r>
          </w:p>
        </w:tc>
      </w:tr>
      <w:tr>
        <w:tc>
          <w:tcPr/>
          <w:p>
            <w:pPr>
              <w:pStyle w:val="Compact"/>
            </w:pPr>
            <w:r>
              <w:t xml:space="preserve">replacement</w:t>
            </w:r>
          </w:p>
        </w:tc>
        <w:tc>
          <w:tcPr/>
          <w:p>
            <w:pPr>
              <w:pStyle w:val="Compact"/>
            </w:pPr>
            <w:r>
              <w:t xml:space="preserve">String</w:t>
            </w:r>
          </w:p>
        </w:tc>
        <w:tc>
          <w:tcPr/>
          <w:p>
            <w:pPr>
              <w:pStyle w:val="Compact"/>
            </w:pPr>
            <w:r>
              <w:t xml:space="preserve">Yes</w:t>
            </w:r>
          </w:p>
        </w:tc>
        <w:tc>
          <w:tcPr/>
          <w:p>
            <w:pPr>
              <w:pStyle w:val="Compact"/>
            </w:pPr>
            <w:r>
              <w:t xml:space="preserve">The string to substitute for each occurrence of</w:t>
            </w:r>
            <w:r>
              <w:t xml:space="preserve"> </w:t>
            </w:r>
            <w:r>
              <w:rPr>
                <w:rStyle w:val="VerbatimChar"/>
              </w:rPr>
              <w:t xml:space="preserve">search</w:t>
            </w:r>
            <w:r>
              <w:t xml:space="preserve">.</w:t>
            </w:r>
          </w:p>
        </w:tc>
      </w:tr>
      <w:tr>
        <w:tc>
          <w:tcPr/>
          <w:p>
            <w:pPr>
              <w:pStyle w:val="Compact"/>
            </w:pPr>
            <w:r>
              <w:t xml:space="preserve">subject</w:t>
            </w:r>
          </w:p>
        </w:tc>
        <w:tc>
          <w:tcPr/>
          <w:p>
            <w:pPr>
              <w:pStyle w:val="Compact"/>
            </w:pPr>
            <w:r>
              <w:t xml:space="preserve">String</w:t>
            </w:r>
          </w:p>
        </w:tc>
        <w:tc>
          <w:tcPr/>
          <w:p>
            <w:pPr>
              <w:pStyle w:val="Compact"/>
            </w:pPr>
            <w:r>
              <w:t xml:space="preserve">Yes</w:t>
            </w:r>
          </w:p>
        </w:tc>
        <w:tc>
          <w:tcPr/>
          <w:p>
            <w:pPr>
              <w:pStyle w:val="Compact"/>
            </w:pPr>
            <w:r>
              <w:t xml:space="preserve">The source string to search within.</w:t>
            </w:r>
          </w:p>
        </w:tc>
      </w:tr>
    </w:tbl>
    <w:bookmarkEnd w:id="1530"/>
    <w:bookmarkStart w:id="1531" w:name="return-value-64"/>
    <w:p>
      <w:pPr>
        <w:pStyle w:val="Heading2"/>
      </w:pPr>
      <w:r>
        <w:t xml:space="preserve">Return Value</w:t>
      </w:r>
    </w:p>
    <w:p>
      <w:pPr>
        <w:pStyle w:val="Compact"/>
        <w:numPr>
          <w:ilvl w:val="0"/>
          <w:numId w:val="1447"/>
        </w:numPr>
      </w:pPr>
      <w:r>
        <w:rPr>
          <w:b/>
          <w:bCs/>
        </w:rPr>
        <w:t xml:space="preserve">String</w:t>
      </w:r>
      <w:r>
        <w:t xml:space="preserve">: Returns a copy of</w:t>
      </w:r>
      <w:r>
        <w:t xml:space="preserve"> </w:t>
      </w:r>
      <w:r>
        <w:rPr>
          <w:rStyle w:val="VerbatimChar"/>
        </w:rPr>
        <w:t xml:space="preserve">subject</w:t>
      </w:r>
      <w:r>
        <w:t xml:space="preserve"> </w:t>
      </w:r>
      <w:r>
        <w:t xml:space="preserve">with all occurrences of</w:t>
      </w:r>
      <w:r>
        <w:t xml:space="preserve"> </w:t>
      </w:r>
      <w:r>
        <w:rPr>
          <w:rStyle w:val="VerbatimChar"/>
        </w:rPr>
        <w:t xml:space="preserve">search</w:t>
      </w:r>
      <w:r>
        <w:t xml:space="preserve"> </w:t>
      </w:r>
      <w:r>
        <w:t xml:space="preserve">replaced by</w:t>
      </w:r>
      <w:r>
        <w:t xml:space="preserve"> </w:t>
      </w:r>
      <w:r>
        <w:rPr>
          <w:rStyle w:val="VerbatimChar"/>
        </w:rPr>
        <w:t xml:space="preserve">replacement</w:t>
      </w:r>
      <w:r>
        <w:t xml:space="preserve">.</w:t>
      </w:r>
    </w:p>
    <w:p>
      <w:pPr>
        <w:pStyle w:val="Compact"/>
        <w:numPr>
          <w:ilvl w:val="0"/>
          <w:numId w:val="1447"/>
        </w:numPr>
      </w:pPr>
      <w:r>
        <w:rPr>
          <w:b/>
          <w:bCs/>
        </w:rPr>
        <w:t xml:space="preserve">String</w:t>
      </w:r>
      <w:r>
        <w:t xml:space="preserve">: Returns an empty string when fewer than three arguments are provided.</w:t>
      </w:r>
    </w:p>
    <w:bookmarkEnd w:id="1531"/>
    <w:bookmarkStart w:id="1532" w:name="remarks-130"/>
    <w:p>
      <w:pPr>
        <w:pStyle w:val="Heading2"/>
      </w:pPr>
      <w:r>
        <w:t xml:space="preserve">Remarks</w:t>
      </w:r>
    </w:p>
    <w:p>
      <w:pPr>
        <w:pStyle w:val="Compact"/>
        <w:numPr>
          <w:ilvl w:val="0"/>
          <w:numId w:val="1448"/>
        </w:numPr>
      </w:pPr>
      <w:r>
        <w:t xml:space="preserve">The replacement is case-sensitive.</w:t>
      </w:r>
    </w:p>
    <w:p>
      <w:pPr>
        <w:pStyle w:val="Compact"/>
        <w:numPr>
          <w:ilvl w:val="0"/>
          <w:numId w:val="1448"/>
        </w:numPr>
      </w:pPr>
      <w:r>
        <w:t xml:space="preserve">All non-overlapping occurrences are replaced in a single pass.</w:t>
      </w:r>
    </w:p>
    <w:p>
      <w:pPr>
        <w:pStyle w:val="Compact"/>
        <w:numPr>
          <w:ilvl w:val="0"/>
          <w:numId w:val="1448"/>
        </w:numPr>
      </w:pPr>
      <w:r>
        <w:t xml:space="preserve">Method names are case-insensitive in VBScript dispatch.</w:t>
      </w:r>
    </w:p>
    <w:bookmarkEnd w:id="1532"/>
    <w:bookmarkStart w:id="1533" w:name="example-6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result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result = ax.AxStringReplace</w:t>
      </w:r>
      <w:r>
        <w:rPr>
          <w:rStyle w:val="OtherTok"/>
        </w:rPr>
        <w:t xml:space="preserve">(</w:t>
      </w:r>
      <w:r>
        <w:rPr>
          <w:rStyle w:val="StringTok"/>
        </w:rPr>
        <w:t xml:space="preserve">"world"</w:t>
      </w:r>
      <w:r>
        <w:rPr>
          <w:rStyle w:val="OtherTok"/>
        </w:rPr>
        <w:t xml:space="preserve">,</w:t>
      </w:r>
      <w:r>
        <w:rPr>
          <w:rStyle w:val="NormalTok"/>
        </w:rPr>
        <w:t xml:space="preserve"> </w:t>
      </w:r>
      <w:r>
        <w:rPr>
          <w:rStyle w:val="StringTok"/>
        </w:rPr>
        <w:t xml:space="preserve">"AxonASP"</w:t>
      </w:r>
      <w:r>
        <w:rPr>
          <w:rStyle w:val="OtherTok"/>
        </w:rPr>
        <w:t xml:space="preserve">,</w:t>
      </w:r>
      <w:r>
        <w:rPr>
          <w:rStyle w:val="NormalTok"/>
        </w:rPr>
        <w:t xml:space="preserve"> </w:t>
      </w:r>
      <w:r>
        <w:rPr>
          <w:rStyle w:val="StringTok"/>
        </w:rPr>
        <w:t xml:space="preserve">"Hello world"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rPr>
          <w:rStyle w:val="CommentTok"/>
        </w:rPr>
        <w:t xml:space="preserve">' Output: Hello AxonASP</w:t>
      </w:r>
      <w:r>
        <w:br/>
      </w:r>
      <w:r>
        <w:br/>
      </w:r>
      <w:r>
        <w:rPr>
          <w:rStyle w:val="CommentTok"/>
        </w:rPr>
        <w:t xml:space="preserve">' Remove a character</w:t>
      </w:r>
      <w:r>
        <w:br/>
      </w:r>
      <w:r>
        <w:rPr>
          <w:rStyle w:val="NormalTok"/>
        </w:rPr>
        <w:t xml:space="preserve">result = ax.AxStringReplace</w:t>
      </w:r>
      <w:r>
        <w:rPr>
          <w:rStyle w:val="OtherTok"/>
        </w:rPr>
        <w:t xml:space="preserve">(</w:t>
      </w:r>
      <w:r>
        <w:rPr>
          <w:rStyle w:val="StringTok"/>
        </w:rPr>
        <w:t xml:space="preserve">"-"</w:t>
      </w:r>
      <w:r>
        <w:rPr>
          <w:rStyle w:val="OtherTok"/>
        </w:rPr>
        <w:t xml:space="preserve">,</w:t>
      </w:r>
      <w:r>
        <w:rPr>
          <w:rStyle w:val="NormalTok"/>
        </w:rPr>
        <w:t xml:space="preserve"> </w:t>
      </w:r>
      <w:r>
        <w:rPr>
          <w:rStyle w:val="StringTok"/>
        </w:rPr>
        <w:t xml:space="preserve">""</w:t>
      </w:r>
      <w:r>
        <w:rPr>
          <w:rStyle w:val="OtherTok"/>
        </w:rPr>
        <w:t xml:space="preserve">,</w:t>
      </w:r>
      <w:r>
        <w:rPr>
          <w:rStyle w:val="NormalTok"/>
        </w:rPr>
        <w:t xml:space="preserve"> </w:t>
      </w:r>
      <w:r>
        <w:rPr>
          <w:rStyle w:val="StringTok"/>
        </w:rPr>
        <w:t xml:space="preserve">"2025-04-18"</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rPr>
          <w:rStyle w:val="CommentTok"/>
        </w:rPr>
        <w:t xml:space="preserve">' Output: 20250418</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33"/>
    <w:bookmarkStart w:id="1534" w:name="api-reference-61"/>
    <w:p>
      <w:pPr>
        <w:pStyle w:val="Heading2"/>
      </w:pPr>
      <w:r>
        <w:t xml:space="preserve">API Reference</w:t>
      </w:r>
    </w:p>
    <w:p>
      <w:pPr>
        <w:pStyle w:val="Compact"/>
        <w:numPr>
          <w:ilvl w:val="0"/>
          <w:numId w:val="1449"/>
        </w:numPr>
      </w:pPr>
      <w:r>
        <w:rPr>
          <w:b/>
          <w:bCs/>
        </w:rPr>
        <w:t xml:space="preserve">Object</w:t>
      </w:r>
      <w:r>
        <w:t xml:space="preserve">:</w:t>
      </w:r>
      <w:r>
        <w:t xml:space="preserve"> </w:t>
      </w:r>
      <w:r>
        <w:rPr>
          <w:rStyle w:val="VerbatimChar"/>
        </w:rPr>
        <w:t xml:space="preserve">G3AXON.FUNCTIONS</w:t>
      </w:r>
    </w:p>
    <w:p>
      <w:pPr>
        <w:pStyle w:val="Compact"/>
        <w:numPr>
          <w:ilvl w:val="0"/>
          <w:numId w:val="1449"/>
        </w:numPr>
      </w:pPr>
      <w:r>
        <w:rPr>
          <w:b/>
          <w:bCs/>
        </w:rPr>
        <w:t xml:space="preserve">Method</w:t>
      </w:r>
      <w:r>
        <w:t xml:space="preserve">:</w:t>
      </w:r>
      <w:r>
        <w:t xml:space="preserve"> </w:t>
      </w:r>
      <w:r>
        <w:rPr>
          <w:rStyle w:val="VerbatimChar"/>
        </w:rPr>
        <w:t xml:space="preserve">AxStringReplace</w:t>
      </w:r>
    </w:p>
    <w:p>
      <w:pPr>
        <w:pStyle w:val="Compact"/>
        <w:numPr>
          <w:ilvl w:val="0"/>
          <w:numId w:val="1449"/>
        </w:numPr>
      </w:pPr>
      <w:r>
        <w:rPr>
          <w:b/>
          <w:bCs/>
        </w:rPr>
        <w:t xml:space="preserve">Arguments</w:t>
      </w:r>
      <w:r>
        <w:t xml:space="preserve">:</w:t>
      </w:r>
      <w:r>
        <w:t xml:space="preserve"> </w:t>
      </w:r>
      <w:r>
        <w:rPr>
          <w:rStyle w:val="VerbatimChar"/>
        </w:rPr>
        <w:t xml:space="preserve">search As String, replacement As String, subject As String</w:t>
      </w:r>
    </w:p>
    <w:p>
      <w:pPr>
        <w:pStyle w:val="Compact"/>
        <w:numPr>
          <w:ilvl w:val="0"/>
          <w:numId w:val="1449"/>
        </w:numPr>
      </w:pPr>
      <w:r>
        <w:rPr>
          <w:b/>
          <w:bCs/>
        </w:rPr>
        <w:t xml:space="preserve">Returns</w:t>
      </w:r>
      <w:r>
        <w:t xml:space="preserve">:</w:t>
      </w:r>
      <w:r>
        <w:t xml:space="preserve"> </w:t>
      </w:r>
      <w:r>
        <w:rPr>
          <w:rStyle w:val="VerbatimChar"/>
        </w:rPr>
        <w:t xml:space="preserve">String</w:t>
      </w:r>
      <w:r>
        <w:t xml:space="preserve"> </w:t>
      </w:r>
      <w:r>
        <w:t xml:space="preserve">(modified copy of</w:t>
      </w:r>
      <w:r>
        <w:t xml:space="preserve"> </w:t>
      </w:r>
      <w:r>
        <w:rPr>
          <w:rStyle w:val="VerbatimChar"/>
        </w:rPr>
        <w:t xml:space="preserve">subject</w:t>
      </w:r>
      <w:r>
        <w:t xml:space="preserve">)</w:t>
      </w:r>
    </w:p>
    <w:bookmarkEnd w:id="1534"/>
    <w:bookmarkEnd w:id="1535"/>
    <w:bookmarkStart w:id="1544" w:name="pad-a-string-to-a-specified-length"/>
    <w:p>
      <w:pPr>
        <w:pStyle w:val="Heading1"/>
      </w:pPr>
      <w:r>
        <w:t xml:space="preserve">Pad a String to a Specified Length</w:t>
      </w:r>
    </w:p>
    <w:bookmarkStart w:id="1536" w:name="overview-102"/>
    <w:p>
      <w:pPr>
        <w:pStyle w:val="Heading2"/>
      </w:pPr>
      <w:r>
        <w:t xml:space="preserve">Overview</w:t>
      </w:r>
    </w:p>
    <w:p>
      <w:pPr>
        <w:pStyle w:val="FirstParagraph"/>
      </w:pPr>
      <w:r>
        <w:t xml:space="preserve">Pads a string to a target length using a specified pad character or string. Supports right-padding, left-padding, and center-padding.</w:t>
      </w:r>
    </w:p>
    <w:bookmarkEnd w:id="1536"/>
    <w:bookmarkStart w:id="1537" w:name="prerequisites-6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37"/>
    <w:bookmarkStart w:id="1538" w:name="syntax-119"/>
    <w:p>
      <w:pPr>
        <w:pStyle w:val="Heading2"/>
      </w:pPr>
      <w:r>
        <w:t xml:space="preserve">Syntax</w:t>
      </w:r>
    </w:p>
    <w:p>
      <w:pPr>
        <w:pStyle w:val="SourceCode"/>
      </w:pPr>
      <w:r>
        <w:rPr>
          <w:rStyle w:val="NormalTok"/>
        </w:rPr>
        <w:t xml:space="preserve">result = obj.AxPad(str, length [, padStr [, padType]])</w:t>
      </w:r>
    </w:p>
    <w:bookmarkEnd w:id="1538"/>
    <w:bookmarkStart w:id="1539" w:name="parameters-4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w:t>
            </w:r>
          </w:p>
        </w:tc>
        <w:tc>
          <w:tcPr/>
          <w:p>
            <w:pPr>
              <w:pStyle w:val="Compact"/>
            </w:pPr>
            <w:r>
              <w:t xml:space="preserve">String</w:t>
            </w:r>
          </w:p>
        </w:tc>
        <w:tc>
          <w:tcPr/>
          <w:p>
            <w:pPr>
              <w:pStyle w:val="Compact"/>
            </w:pPr>
            <w:r>
              <w:t xml:space="preserve">Yes</w:t>
            </w:r>
          </w:p>
        </w:tc>
        <w:tc>
          <w:tcPr/>
          <w:p>
            <w:pPr>
              <w:pStyle w:val="Compact"/>
            </w:pPr>
            <w:r>
              <w:t xml:space="preserve">The source string to pad.</w:t>
            </w:r>
          </w:p>
        </w:tc>
      </w:tr>
      <w:tr>
        <w:tc>
          <w:tcPr/>
          <w:p>
            <w:pPr>
              <w:pStyle w:val="Compact"/>
            </w:pPr>
            <w:r>
              <w:t xml:space="preserve">length</w:t>
            </w:r>
          </w:p>
        </w:tc>
        <w:tc>
          <w:tcPr/>
          <w:p>
            <w:pPr>
              <w:pStyle w:val="Compact"/>
            </w:pPr>
            <w:r>
              <w:t xml:space="preserve">Integer</w:t>
            </w:r>
          </w:p>
        </w:tc>
        <w:tc>
          <w:tcPr/>
          <w:p>
            <w:pPr>
              <w:pStyle w:val="Compact"/>
            </w:pPr>
            <w:r>
              <w:t xml:space="preserve">Yes</w:t>
            </w:r>
          </w:p>
        </w:tc>
        <w:tc>
          <w:tcPr/>
          <w:p>
            <w:pPr>
              <w:pStyle w:val="Compact"/>
            </w:pPr>
            <w:r>
              <w:t xml:space="preserve">The target total length of the resulting string. When</w:t>
            </w:r>
            <w:r>
              <w:t xml:space="preserve"> </w:t>
            </w:r>
            <w:r>
              <w:rPr>
                <w:rStyle w:val="VerbatimChar"/>
              </w:rPr>
              <w:t xml:space="preserve">str</w:t>
            </w:r>
            <w:r>
              <w:t xml:space="preserve"> </w:t>
            </w:r>
            <w:r>
              <w:t xml:space="preserve">is already this length or longer,</w:t>
            </w:r>
            <w:r>
              <w:t xml:space="preserve"> </w:t>
            </w:r>
            <w:r>
              <w:rPr>
                <w:rStyle w:val="VerbatimChar"/>
              </w:rPr>
              <w:t xml:space="preserve">str</w:t>
            </w:r>
            <w:r>
              <w:t xml:space="preserve"> </w:t>
            </w:r>
            <w:r>
              <w:t xml:space="preserve">is returned unchanged.</w:t>
            </w:r>
          </w:p>
        </w:tc>
      </w:tr>
      <w:tr>
        <w:tc>
          <w:tcPr/>
          <w:p>
            <w:pPr>
              <w:pStyle w:val="Compact"/>
            </w:pPr>
            <w:r>
              <w:t xml:space="preserve">padStr</w:t>
            </w:r>
          </w:p>
        </w:tc>
        <w:tc>
          <w:tcPr/>
          <w:p>
            <w:pPr>
              <w:pStyle w:val="Compact"/>
            </w:pPr>
            <w:r>
              <w:t xml:space="preserve">String</w:t>
            </w:r>
          </w:p>
        </w:tc>
        <w:tc>
          <w:tcPr/>
          <w:p>
            <w:pPr>
              <w:pStyle w:val="Compact"/>
            </w:pPr>
            <w:r>
              <w:t xml:space="preserve">Optional</w:t>
            </w:r>
          </w:p>
        </w:tc>
        <w:tc>
          <w:tcPr/>
          <w:p>
            <w:pPr>
              <w:pStyle w:val="Compact"/>
            </w:pPr>
            <w:r>
              <w:t xml:space="preserve">The character or string to use for padding. Defaults to a single space.</w:t>
            </w:r>
          </w:p>
        </w:tc>
      </w:tr>
      <w:tr>
        <w:tc>
          <w:tcPr/>
          <w:p>
            <w:pPr>
              <w:pStyle w:val="Compact"/>
            </w:pPr>
            <w:r>
              <w:t xml:space="preserve">padType</w:t>
            </w:r>
          </w:p>
        </w:tc>
        <w:tc>
          <w:tcPr/>
          <w:p>
            <w:pPr>
              <w:pStyle w:val="Compact"/>
            </w:pPr>
            <w:r>
              <w:t xml:space="preserve">Integer</w:t>
            </w:r>
          </w:p>
        </w:tc>
        <w:tc>
          <w:tcPr/>
          <w:p>
            <w:pPr>
              <w:pStyle w:val="Compact"/>
            </w:pPr>
            <w:r>
              <w:t xml:space="preserve">Optional</w:t>
            </w:r>
          </w:p>
        </w:tc>
        <w:tc>
          <w:tcPr/>
          <w:p>
            <w:pPr>
              <w:pStyle w:val="Compact"/>
            </w:pPr>
            <w:r>
              <w:t xml:space="preserve">Padding direction:</w:t>
            </w:r>
            <w:r>
              <w:t xml:space="preserve"> </w:t>
            </w:r>
            <w:r>
              <w:rPr>
                <w:rStyle w:val="VerbatimChar"/>
              </w:rPr>
              <w:t xml:space="preserve">0</w:t>
            </w:r>
            <w:r>
              <w:t xml:space="preserve"> </w:t>
            </w:r>
            <w:r>
              <w:t xml:space="preserve">= left,</w:t>
            </w:r>
            <w:r>
              <w:t xml:space="preserve"> </w:t>
            </w:r>
            <w:r>
              <w:rPr>
                <w:rStyle w:val="VerbatimChar"/>
              </w:rPr>
              <w:t xml:space="preserve">1</w:t>
            </w:r>
            <w:r>
              <w:t xml:space="preserve"> </w:t>
            </w:r>
            <w:r>
              <w:t xml:space="preserve">= right (default),</w:t>
            </w:r>
            <w:r>
              <w:t xml:space="preserve"> </w:t>
            </w:r>
            <w:r>
              <w:rPr>
                <w:rStyle w:val="VerbatimChar"/>
              </w:rPr>
              <w:t xml:space="preserve">2</w:t>
            </w:r>
            <w:r>
              <w:t xml:space="preserve"> </w:t>
            </w:r>
            <w:r>
              <w:t xml:space="preserve">= both sides (center).</w:t>
            </w:r>
          </w:p>
        </w:tc>
      </w:tr>
    </w:tbl>
    <w:bookmarkEnd w:id="1539"/>
    <w:bookmarkStart w:id="1540" w:name="return-value-65"/>
    <w:p>
      <w:pPr>
        <w:pStyle w:val="Heading2"/>
      </w:pPr>
      <w:r>
        <w:t xml:space="preserve">Return Value</w:t>
      </w:r>
    </w:p>
    <w:p>
      <w:pPr>
        <w:pStyle w:val="Compact"/>
        <w:numPr>
          <w:ilvl w:val="0"/>
          <w:numId w:val="1450"/>
        </w:numPr>
      </w:pPr>
      <w:r>
        <w:rPr>
          <w:b/>
          <w:bCs/>
        </w:rPr>
        <w:t xml:space="preserve">String</w:t>
      </w:r>
      <w:r>
        <w:t xml:space="preserve">: Returns the padded string when</w:t>
      </w:r>
      <w:r>
        <w:t xml:space="preserve"> </w:t>
      </w:r>
      <w:r>
        <w:rPr>
          <w:rStyle w:val="VerbatimChar"/>
        </w:rPr>
        <w:t xml:space="preserve">str</w:t>
      </w:r>
      <w:r>
        <w:t xml:space="preserve"> </w:t>
      </w:r>
      <w:r>
        <w:t xml:space="preserve">is shorter than</w:t>
      </w:r>
      <w:r>
        <w:t xml:space="preserve"> </w:t>
      </w:r>
      <w:r>
        <w:rPr>
          <w:rStyle w:val="VerbatimChar"/>
        </w:rPr>
        <w:t xml:space="preserve">length</w:t>
      </w:r>
      <w:r>
        <w:t xml:space="preserve">.</w:t>
      </w:r>
    </w:p>
    <w:p>
      <w:pPr>
        <w:pStyle w:val="Compact"/>
        <w:numPr>
          <w:ilvl w:val="0"/>
          <w:numId w:val="1450"/>
        </w:numPr>
      </w:pPr>
      <w:r>
        <w:rPr>
          <w:b/>
          <w:bCs/>
        </w:rPr>
        <w:t xml:space="preserve">String</w:t>
      </w:r>
      <w:r>
        <w:t xml:space="preserve">: Returns</w:t>
      </w:r>
      <w:r>
        <w:t xml:space="preserve"> </w:t>
      </w:r>
      <w:r>
        <w:rPr>
          <w:rStyle w:val="VerbatimChar"/>
        </w:rPr>
        <w:t xml:space="preserve">str</w:t>
      </w:r>
      <w:r>
        <w:t xml:space="preserve"> </w:t>
      </w:r>
      <w:r>
        <w:t xml:space="preserve">unchanged when it is already equal to or longer than</w:t>
      </w:r>
      <w:r>
        <w:t xml:space="preserve"> </w:t>
      </w:r>
      <w:r>
        <w:rPr>
          <w:rStyle w:val="VerbatimChar"/>
        </w:rPr>
        <w:t xml:space="preserve">length</w:t>
      </w:r>
      <w:r>
        <w:t xml:space="preserve">.</w:t>
      </w:r>
    </w:p>
    <w:p>
      <w:pPr>
        <w:pStyle w:val="Compact"/>
        <w:numPr>
          <w:ilvl w:val="0"/>
          <w:numId w:val="1450"/>
        </w:numPr>
      </w:pPr>
      <w:r>
        <w:rPr>
          <w:b/>
          <w:bCs/>
        </w:rPr>
        <w:t xml:space="preserve">String</w:t>
      </w:r>
      <w:r>
        <w:t xml:space="preserve">: Returns an empty string when fewer than two arguments are provided.</w:t>
      </w:r>
    </w:p>
    <w:bookmarkEnd w:id="1540"/>
    <w:bookmarkStart w:id="1541" w:name="remarks-131"/>
    <w:p>
      <w:pPr>
        <w:pStyle w:val="Heading2"/>
      </w:pPr>
      <w:r>
        <w:t xml:space="preserve">Remarks</w:t>
      </w:r>
    </w:p>
    <w:p>
      <w:pPr>
        <w:pStyle w:val="Compact"/>
        <w:numPr>
          <w:ilvl w:val="0"/>
          <w:numId w:val="1451"/>
        </w:numPr>
      </w:pPr>
      <w:r>
        <w:t xml:space="preserve">When</w:t>
      </w:r>
      <w:r>
        <w:t xml:space="preserve"> </w:t>
      </w:r>
      <w:r>
        <w:rPr>
          <w:rStyle w:val="VerbatimChar"/>
        </w:rPr>
        <w:t xml:space="preserve">padType</w:t>
      </w:r>
      <w:r>
        <w:t xml:space="preserve"> </w:t>
      </w:r>
      <w:r>
        <w:t xml:space="preserve">is</w:t>
      </w:r>
      <w:r>
        <w:t xml:space="preserve"> </w:t>
      </w:r>
      <w:r>
        <w:rPr>
          <w:rStyle w:val="VerbatimChar"/>
        </w:rPr>
        <w:t xml:space="preserve">2</w:t>
      </w:r>
      <w:r>
        <w:t xml:space="preserve"> </w:t>
      </w:r>
      <w:r>
        <w:t xml:space="preserve">(both sides), the extra character is appended to the right side.</w:t>
      </w:r>
    </w:p>
    <w:p>
      <w:pPr>
        <w:pStyle w:val="Compact"/>
        <w:numPr>
          <w:ilvl w:val="0"/>
          <w:numId w:val="1451"/>
        </w:numPr>
      </w:pPr>
      <w:r>
        <w:t xml:space="preserve">Method names are case-insensitive in VBScript dispatch.</w:t>
      </w:r>
    </w:p>
    <w:bookmarkEnd w:id="1541"/>
    <w:bookmarkStart w:id="1542" w:name="example-6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Right-pad with spaces (default)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t>
      </w:r>
      <w:r>
        <w:rPr>
          <w:rStyle w:val="NormalTok"/>
        </w:rPr>
        <w:t xml:space="preserve"> </w:t>
      </w:r>
      <w:r>
        <w:rPr>
          <w:rStyle w:val="KeywordTok"/>
        </w:rPr>
        <w:t xml:space="preserve">&amp;</w:t>
      </w:r>
      <w:r>
        <w:rPr>
          <w:rStyle w:val="NormalTok"/>
        </w:rPr>
        <w:t xml:space="preserve"> ax.AxPad</w:t>
      </w:r>
      <w:r>
        <w:rPr>
          <w:rStyle w:val="OtherTok"/>
        </w:rPr>
        <w:t xml:space="preserve">(</w:t>
      </w:r>
      <w:r>
        <w:rPr>
          <w:rStyle w:val="StringTok"/>
        </w:rPr>
        <w:t xml:space="preserve">"Hi"</w:t>
      </w:r>
      <w:r>
        <w:rPr>
          <w:rStyle w:val="OtherTok"/>
        </w:rPr>
        <w:t xml:space="preserve">,</w:t>
      </w:r>
      <w:r>
        <w:rPr>
          <w:rStyle w:val="NormalTok"/>
        </w:rPr>
        <w:t xml:space="preserve"> </w:t>
      </w:r>
      <w:r>
        <w:rPr>
          <w:rStyle w:val="DecValTok"/>
        </w:rPr>
        <w:t xml:space="preserve">8</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w:t>
      </w:r>
      <w:r>
        <w:rPr>
          <w:rStyle w:val="NormalTok"/>
        </w:rPr>
        <w:t xml:space="preserve">           </w:t>
      </w:r>
      <w:r>
        <w:rPr>
          <w:rStyle w:val="CommentTok"/>
        </w:rPr>
        <w:t xml:space="preserve">' [Hi      ]</w:t>
      </w:r>
      <w:r>
        <w:br/>
      </w:r>
      <w:r>
        <w:br/>
      </w:r>
      <w:r>
        <w:rPr>
          <w:rStyle w:val="CommentTok"/>
        </w:rPr>
        <w:t xml:space="preserve">' Left-pad with zeros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t>
      </w:r>
      <w:r>
        <w:rPr>
          <w:rStyle w:val="NormalTok"/>
        </w:rPr>
        <w:t xml:space="preserve"> </w:t>
      </w:r>
      <w:r>
        <w:rPr>
          <w:rStyle w:val="KeywordTok"/>
        </w:rPr>
        <w:t xml:space="preserve">&amp;</w:t>
      </w:r>
      <w:r>
        <w:rPr>
          <w:rStyle w:val="NormalTok"/>
        </w:rPr>
        <w:t xml:space="preserve"> ax.AxPad</w:t>
      </w:r>
      <w:r>
        <w:rPr>
          <w:rStyle w:val="OtherTok"/>
        </w:rPr>
        <w:t xml:space="preserve">(</w:t>
      </w:r>
      <w:r>
        <w:rPr>
          <w:rStyle w:val="StringTok"/>
        </w:rPr>
        <w:t xml:space="preserve">"42"</w:t>
      </w:r>
      <w:r>
        <w:rPr>
          <w:rStyle w:val="OtherTok"/>
        </w:rPr>
        <w:t xml:space="preserve">,</w:t>
      </w:r>
      <w:r>
        <w:rPr>
          <w:rStyle w:val="NormalTok"/>
        </w:rPr>
        <w:t xml:space="preserve"> </w:t>
      </w:r>
      <w:r>
        <w:rPr>
          <w:rStyle w:val="DecValTok"/>
        </w:rPr>
        <w:t xml:space="preserve">6</w:t>
      </w:r>
      <w:r>
        <w:rPr>
          <w:rStyle w:val="OtherTok"/>
        </w:rPr>
        <w:t xml:space="preserve">,</w:t>
      </w:r>
      <w:r>
        <w:rPr>
          <w:rStyle w:val="NormalTok"/>
        </w:rPr>
        <w:t xml:space="preserve"> </w:t>
      </w:r>
      <w:r>
        <w:rPr>
          <w:rStyle w:val="String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w:t>
      </w:r>
      <w:r>
        <w:rPr>
          <w:rStyle w:val="NormalTok"/>
        </w:rPr>
        <w:t xml:space="preserve">   </w:t>
      </w:r>
      <w:r>
        <w:rPr>
          <w:rStyle w:val="CommentTok"/>
        </w:rPr>
        <w:t xml:space="preserve">' [000042]</w:t>
      </w:r>
      <w:r>
        <w:br/>
      </w:r>
      <w:r>
        <w:br/>
      </w:r>
      <w:r>
        <w:rPr>
          <w:rStyle w:val="CommentTok"/>
        </w:rPr>
        <w:t xml:space="preserve">' Center-pad with dashes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t>
      </w:r>
      <w:r>
        <w:rPr>
          <w:rStyle w:val="NormalTok"/>
        </w:rPr>
        <w:t xml:space="preserve"> </w:t>
      </w:r>
      <w:r>
        <w:rPr>
          <w:rStyle w:val="KeywordTok"/>
        </w:rPr>
        <w:t xml:space="preserve">&amp;</w:t>
      </w:r>
      <w:r>
        <w:rPr>
          <w:rStyle w:val="NormalTok"/>
        </w:rPr>
        <w:t xml:space="preserve"> ax.AxPad</w:t>
      </w:r>
      <w:r>
        <w:rPr>
          <w:rStyle w:val="OtherTok"/>
        </w:rPr>
        <w:t xml:space="preserve">(</w:t>
      </w:r>
      <w:r>
        <w:rPr>
          <w:rStyle w:val="StringTok"/>
        </w:rPr>
        <w:t xml:space="preserve">"Go"</w:t>
      </w:r>
      <w:r>
        <w:rPr>
          <w:rStyle w:val="OtherTok"/>
        </w:rPr>
        <w:t xml:space="preserve">,</w:t>
      </w:r>
      <w:r>
        <w:rPr>
          <w:rStyle w:val="NormalTok"/>
        </w:rPr>
        <w:t xml:space="preserve"> </w:t>
      </w:r>
      <w:r>
        <w:rPr>
          <w:rStyle w:val="DecValTok"/>
        </w:rPr>
        <w:t xml:space="preserve">8</w:t>
      </w:r>
      <w:r>
        <w:rPr>
          <w:rStyle w:val="OtherTok"/>
        </w:rPr>
        <w:t xml:space="preserve">,</w:t>
      </w:r>
      <w:r>
        <w:rPr>
          <w:rStyle w:val="NormalTok"/>
        </w:rPr>
        <w:t xml:space="preserve"> </w:t>
      </w:r>
      <w:r>
        <w:rPr>
          <w:rStyle w:val="StringTok"/>
        </w:rPr>
        <w:t xml:space="preserve">"-"</w:t>
      </w:r>
      <w:r>
        <w:rPr>
          <w:rStyle w:val="OtherTok"/>
        </w:rPr>
        <w:t xml:space="preserve">,</w:t>
      </w:r>
      <w:r>
        <w:rPr>
          <w:rStyle w:val="NormalTok"/>
        </w:rPr>
        <w:t xml:space="preserve"> </w:t>
      </w:r>
      <w:r>
        <w:rPr>
          <w:rStyle w:val="DecValTok"/>
        </w:rPr>
        <w:t xml:space="preserve">2</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w:t>
      </w:r>
      <w:r>
        <w:rPr>
          <w:rStyle w:val="NormalTok"/>
        </w:rPr>
        <w:t xml:space="preserve">   </w:t>
      </w:r>
      <w:r>
        <w:rPr>
          <w:rStyle w:val="CommentTok"/>
        </w:rPr>
        <w:t xml:space="preserve">' [---Go---]</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42"/>
    <w:bookmarkStart w:id="1543" w:name="api-reference-62"/>
    <w:p>
      <w:pPr>
        <w:pStyle w:val="Heading2"/>
      </w:pPr>
      <w:r>
        <w:t xml:space="preserve">API Reference</w:t>
      </w:r>
    </w:p>
    <w:p>
      <w:pPr>
        <w:pStyle w:val="Compact"/>
        <w:numPr>
          <w:ilvl w:val="0"/>
          <w:numId w:val="1452"/>
        </w:numPr>
      </w:pPr>
      <w:r>
        <w:rPr>
          <w:b/>
          <w:bCs/>
        </w:rPr>
        <w:t xml:space="preserve">Object</w:t>
      </w:r>
      <w:r>
        <w:t xml:space="preserve">:</w:t>
      </w:r>
      <w:r>
        <w:t xml:space="preserve"> </w:t>
      </w:r>
      <w:r>
        <w:rPr>
          <w:rStyle w:val="VerbatimChar"/>
        </w:rPr>
        <w:t xml:space="preserve">G3AXON.FUNCTIONS</w:t>
      </w:r>
    </w:p>
    <w:p>
      <w:pPr>
        <w:pStyle w:val="Compact"/>
        <w:numPr>
          <w:ilvl w:val="0"/>
          <w:numId w:val="1452"/>
        </w:numPr>
      </w:pPr>
      <w:r>
        <w:rPr>
          <w:b/>
          <w:bCs/>
        </w:rPr>
        <w:t xml:space="preserve">Method</w:t>
      </w:r>
      <w:r>
        <w:t xml:space="preserve">:</w:t>
      </w:r>
      <w:r>
        <w:t xml:space="preserve"> </w:t>
      </w:r>
      <w:r>
        <w:rPr>
          <w:rStyle w:val="VerbatimChar"/>
        </w:rPr>
        <w:t xml:space="preserve">AxPad</w:t>
      </w:r>
    </w:p>
    <w:p>
      <w:pPr>
        <w:pStyle w:val="Compact"/>
        <w:numPr>
          <w:ilvl w:val="0"/>
          <w:numId w:val="1452"/>
        </w:numPr>
      </w:pPr>
      <w:r>
        <w:rPr>
          <w:b/>
          <w:bCs/>
        </w:rPr>
        <w:t xml:space="preserve">Arguments</w:t>
      </w:r>
      <w:r>
        <w:t xml:space="preserve">:</w:t>
      </w:r>
      <w:r>
        <w:t xml:space="preserve"> </w:t>
      </w:r>
      <w:r>
        <w:rPr>
          <w:rStyle w:val="VerbatimChar"/>
        </w:rPr>
        <w:t xml:space="preserve">str As String, length As Integer [, padStr As String [, padType As Integer]]</w:t>
      </w:r>
    </w:p>
    <w:p>
      <w:pPr>
        <w:pStyle w:val="Compact"/>
        <w:numPr>
          <w:ilvl w:val="0"/>
          <w:numId w:val="1452"/>
        </w:numPr>
      </w:pPr>
      <w:r>
        <w:rPr>
          <w:b/>
          <w:bCs/>
        </w:rPr>
        <w:t xml:space="preserve">Returns</w:t>
      </w:r>
      <w:r>
        <w:t xml:space="preserve">:</w:t>
      </w:r>
      <w:r>
        <w:t xml:space="preserve"> </w:t>
      </w:r>
      <w:r>
        <w:rPr>
          <w:rStyle w:val="VerbatimChar"/>
        </w:rPr>
        <w:t xml:space="preserve">String</w:t>
      </w:r>
      <w:r>
        <w:t xml:space="preserve"> </w:t>
      </w:r>
      <w:r>
        <w:t xml:space="preserve">(padded string)</w:t>
      </w:r>
    </w:p>
    <w:bookmarkEnd w:id="1543"/>
    <w:bookmarkEnd w:id="1544"/>
    <w:bookmarkStart w:id="1553" w:name="repeat-a-string"/>
    <w:p>
      <w:pPr>
        <w:pStyle w:val="Heading1"/>
      </w:pPr>
      <w:r>
        <w:t xml:space="preserve">Repeat a String</w:t>
      </w:r>
    </w:p>
    <w:bookmarkStart w:id="1545" w:name="overview-103"/>
    <w:p>
      <w:pPr>
        <w:pStyle w:val="Heading2"/>
      </w:pPr>
      <w:r>
        <w:t xml:space="preserve">Overview</w:t>
      </w:r>
    </w:p>
    <w:p>
      <w:pPr>
        <w:pStyle w:val="FirstParagraph"/>
      </w:pPr>
      <w:r>
        <w:t xml:space="preserve">Returns a new string formed by repeating the source string a specified number of times.</w:t>
      </w:r>
    </w:p>
    <w:bookmarkEnd w:id="1545"/>
    <w:bookmarkStart w:id="1546" w:name="prerequisites-6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46"/>
    <w:bookmarkStart w:id="1547" w:name="syntax-120"/>
    <w:p>
      <w:pPr>
        <w:pStyle w:val="Heading2"/>
      </w:pPr>
      <w:r>
        <w:t xml:space="preserve">Syntax</w:t>
      </w:r>
    </w:p>
    <w:p>
      <w:pPr>
        <w:pStyle w:val="SourceCode"/>
      </w:pPr>
      <w:r>
        <w:rPr>
          <w:rStyle w:val="NormalTok"/>
        </w:rPr>
        <w:t xml:space="preserve">result = obj.AxRepeat(str, count)</w:t>
      </w:r>
    </w:p>
    <w:bookmarkEnd w:id="1547"/>
    <w:bookmarkStart w:id="1548" w:name="parameters-5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w:t>
            </w:r>
          </w:p>
        </w:tc>
        <w:tc>
          <w:tcPr/>
          <w:p>
            <w:pPr>
              <w:pStyle w:val="Compact"/>
            </w:pPr>
            <w:r>
              <w:t xml:space="preserve">String</w:t>
            </w:r>
          </w:p>
        </w:tc>
        <w:tc>
          <w:tcPr/>
          <w:p>
            <w:pPr>
              <w:pStyle w:val="Compact"/>
            </w:pPr>
            <w:r>
              <w:t xml:space="preserve">Yes</w:t>
            </w:r>
          </w:p>
        </w:tc>
        <w:tc>
          <w:tcPr/>
          <w:p>
            <w:pPr>
              <w:pStyle w:val="Compact"/>
            </w:pPr>
            <w:r>
              <w:t xml:space="preserve">The string to repeat.</w:t>
            </w:r>
          </w:p>
        </w:tc>
      </w:tr>
      <w:tr>
        <w:tc>
          <w:tcPr/>
          <w:p>
            <w:pPr>
              <w:pStyle w:val="Compact"/>
            </w:pPr>
            <w:r>
              <w:t xml:space="preserve">count</w:t>
            </w:r>
          </w:p>
        </w:tc>
        <w:tc>
          <w:tcPr/>
          <w:p>
            <w:pPr>
              <w:pStyle w:val="Compact"/>
            </w:pPr>
            <w:r>
              <w:t xml:space="preserve">Integer</w:t>
            </w:r>
          </w:p>
        </w:tc>
        <w:tc>
          <w:tcPr/>
          <w:p>
            <w:pPr>
              <w:pStyle w:val="Compact"/>
            </w:pPr>
            <w:r>
              <w:t xml:space="preserve">Yes</w:t>
            </w:r>
          </w:p>
        </w:tc>
        <w:tc>
          <w:tcPr/>
          <w:p>
            <w:pPr>
              <w:pStyle w:val="Compact"/>
            </w:pPr>
            <w:r>
              <w:t xml:space="preserve">The number of times to repeat</w:t>
            </w:r>
            <w:r>
              <w:t xml:space="preserve"> </w:t>
            </w:r>
            <w:r>
              <w:rPr>
                <w:rStyle w:val="VerbatimChar"/>
              </w:rPr>
              <w:t xml:space="preserve">str</w:t>
            </w:r>
            <w:r>
              <w:t xml:space="preserve">. Negative values are treated as</w:t>
            </w:r>
            <w:r>
              <w:t xml:space="preserve"> </w:t>
            </w:r>
            <w:r>
              <w:rPr>
                <w:rStyle w:val="VerbatimChar"/>
              </w:rPr>
              <w:t xml:space="preserve">0</w:t>
            </w:r>
            <w:r>
              <w:t xml:space="preserve">.</w:t>
            </w:r>
          </w:p>
        </w:tc>
      </w:tr>
    </w:tbl>
    <w:bookmarkEnd w:id="1548"/>
    <w:bookmarkStart w:id="1549" w:name="return-value-66"/>
    <w:p>
      <w:pPr>
        <w:pStyle w:val="Heading2"/>
      </w:pPr>
      <w:r>
        <w:t xml:space="preserve">Return Value</w:t>
      </w:r>
    </w:p>
    <w:p>
      <w:pPr>
        <w:pStyle w:val="Compact"/>
        <w:numPr>
          <w:ilvl w:val="0"/>
          <w:numId w:val="1453"/>
        </w:numPr>
      </w:pPr>
      <w:r>
        <w:rPr>
          <w:b/>
          <w:bCs/>
        </w:rPr>
        <w:t xml:space="preserve">String</w:t>
      </w:r>
      <w:r>
        <w:t xml:space="preserve">: Returns</w:t>
      </w:r>
      <w:r>
        <w:t xml:space="preserve"> </w:t>
      </w:r>
      <w:r>
        <w:rPr>
          <w:rStyle w:val="VerbatimChar"/>
        </w:rPr>
        <w:t xml:space="preserve">str</w:t>
      </w:r>
      <w:r>
        <w:t xml:space="preserve"> </w:t>
      </w:r>
      <w:r>
        <w:t xml:space="preserve">concatenated</w:t>
      </w:r>
      <w:r>
        <w:t xml:space="preserve"> </w:t>
      </w:r>
      <w:r>
        <w:rPr>
          <w:rStyle w:val="VerbatimChar"/>
        </w:rPr>
        <w:t xml:space="preserve">count</w:t>
      </w:r>
      <w:r>
        <w:t xml:space="preserve"> </w:t>
      </w:r>
      <w:r>
        <w:t xml:space="preserve">times.</w:t>
      </w:r>
    </w:p>
    <w:p>
      <w:pPr>
        <w:pStyle w:val="Compact"/>
        <w:numPr>
          <w:ilvl w:val="0"/>
          <w:numId w:val="1453"/>
        </w:numPr>
      </w:pPr>
      <w:r>
        <w:rPr>
          <w:b/>
          <w:bCs/>
        </w:rPr>
        <w:t xml:space="preserve">String</w:t>
      </w:r>
      <w:r>
        <w:t xml:space="preserve">: Returns an empty string when</w:t>
      </w:r>
      <w:r>
        <w:t xml:space="preserve"> </w:t>
      </w:r>
      <w:r>
        <w:rPr>
          <w:rStyle w:val="VerbatimChar"/>
        </w:rPr>
        <w:t xml:space="preserve">count</w:t>
      </w:r>
      <w:r>
        <w:t xml:space="preserve"> </w:t>
      </w:r>
      <w:r>
        <w:t xml:space="preserve">is</w:t>
      </w:r>
      <w:r>
        <w:t xml:space="preserve"> </w:t>
      </w:r>
      <w:r>
        <w:rPr>
          <w:rStyle w:val="VerbatimChar"/>
        </w:rPr>
        <w:t xml:space="preserve">0</w:t>
      </w:r>
      <w:r>
        <w:t xml:space="preserve"> </w:t>
      </w:r>
      <w:r>
        <w:t xml:space="preserve">or negative, or when fewer than two arguments are provided.</w:t>
      </w:r>
    </w:p>
    <w:bookmarkEnd w:id="1549"/>
    <w:bookmarkStart w:id="1550" w:name="remarks-132"/>
    <w:p>
      <w:pPr>
        <w:pStyle w:val="Heading2"/>
      </w:pPr>
      <w:r>
        <w:t xml:space="preserve">Remarks</w:t>
      </w:r>
    </w:p>
    <w:p>
      <w:pPr>
        <w:pStyle w:val="Compact"/>
        <w:numPr>
          <w:ilvl w:val="0"/>
          <w:numId w:val="1454"/>
        </w:numPr>
      </w:pPr>
      <w:r>
        <w:t xml:space="preserve">Method names are case-insensitive in VBScript dispatch.</w:t>
      </w:r>
    </w:p>
    <w:bookmarkEnd w:id="1550"/>
    <w:bookmarkStart w:id="1551" w:name="example-6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ax.AxRepeat</w:t>
      </w:r>
      <w:r>
        <w:rPr>
          <w:rStyle w:val="OtherTok"/>
        </w:rPr>
        <w:t xml:space="preserve">(</w:t>
      </w:r>
      <w:r>
        <w:rPr>
          <w:rStyle w:val="StringTok"/>
        </w:rPr>
        <w:t xml:space="preserve">"AB"</w:t>
      </w:r>
      <w:r>
        <w:rPr>
          <w:rStyle w:val="OtherTok"/>
        </w:rPr>
        <w:t xml:space="preserve">,</w:t>
      </w:r>
      <w:r>
        <w:rPr>
          <w:rStyle w:val="NormalTok"/>
        </w:rPr>
        <w:t xml:space="preserve"> </w:t>
      </w:r>
      <w:r>
        <w:rPr>
          <w:rStyle w:val="DecValTok"/>
        </w:rPr>
        <w:t xml:space="preserve">4</w:t>
      </w:r>
      <w:r>
        <w:rPr>
          <w:rStyle w:val="OtherTok"/>
        </w:rPr>
        <w:t xml:space="preserve">)</w:t>
      </w:r>
      <w:r>
        <w:br/>
      </w:r>
      <w:r>
        <w:rPr>
          <w:rStyle w:val="CommentTok"/>
        </w:rPr>
        <w:t xml:space="preserve">' Output: ABABABAB</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ax.AxRepeat</w:t>
      </w:r>
      <w:r>
        <w:rPr>
          <w:rStyle w:val="OtherTok"/>
        </w:rPr>
        <w:t xml:space="preserve">(</w:t>
      </w:r>
      <w:r>
        <w:rPr>
          <w:rStyle w:val="StringTok"/>
        </w:rPr>
        <w:t xml:space="preserve">"-"</w:t>
      </w:r>
      <w:r>
        <w:rPr>
          <w:rStyle w:val="OtherTok"/>
        </w:rPr>
        <w:t xml:space="preserve">,</w:t>
      </w:r>
      <w:r>
        <w:rPr>
          <w:rStyle w:val="NormalTok"/>
        </w:rPr>
        <w:t xml:space="preserve"> </w:t>
      </w:r>
      <w:r>
        <w:rPr>
          <w:rStyle w:val="DecValTok"/>
        </w:rPr>
        <w:t xml:space="preserve">20</w:t>
      </w:r>
      <w:r>
        <w:rPr>
          <w:rStyle w:val="OtherTok"/>
        </w:rPr>
        <w:t xml:space="preserve">)</w:t>
      </w:r>
      <w:r>
        <w:br/>
      </w:r>
      <w:r>
        <w:rPr>
          <w:rStyle w:val="CommentTok"/>
        </w:rPr>
        <w:t xml:space="preserve">' Output: --------------------</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51"/>
    <w:bookmarkStart w:id="1552" w:name="api-reference-63"/>
    <w:p>
      <w:pPr>
        <w:pStyle w:val="Heading2"/>
      </w:pPr>
      <w:r>
        <w:t xml:space="preserve">API Reference</w:t>
      </w:r>
    </w:p>
    <w:p>
      <w:pPr>
        <w:pStyle w:val="Compact"/>
        <w:numPr>
          <w:ilvl w:val="0"/>
          <w:numId w:val="1455"/>
        </w:numPr>
      </w:pPr>
      <w:r>
        <w:rPr>
          <w:b/>
          <w:bCs/>
        </w:rPr>
        <w:t xml:space="preserve">Object</w:t>
      </w:r>
      <w:r>
        <w:t xml:space="preserve">:</w:t>
      </w:r>
      <w:r>
        <w:t xml:space="preserve"> </w:t>
      </w:r>
      <w:r>
        <w:rPr>
          <w:rStyle w:val="VerbatimChar"/>
        </w:rPr>
        <w:t xml:space="preserve">G3AXON.FUNCTIONS</w:t>
      </w:r>
    </w:p>
    <w:p>
      <w:pPr>
        <w:pStyle w:val="Compact"/>
        <w:numPr>
          <w:ilvl w:val="0"/>
          <w:numId w:val="1455"/>
        </w:numPr>
      </w:pPr>
      <w:r>
        <w:rPr>
          <w:b/>
          <w:bCs/>
        </w:rPr>
        <w:t xml:space="preserve">Method</w:t>
      </w:r>
      <w:r>
        <w:t xml:space="preserve">:</w:t>
      </w:r>
      <w:r>
        <w:t xml:space="preserve"> </w:t>
      </w:r>
      <w:r>
        <w:rPr>
          <w:rStyle w:val="VerbatimChar"/>
        </w:rPr>
        <w:t xml:space="preserve">AxRepeat</w:t>
      </w:r>
    </w:p>
    <w:p>
      <w:pPr>
        <w:pStyle w:val="Compact"/>
        <w:numPr>
          <w:ilvl w:val="0"/>
          <w:numId w:val="1455"/>
        </w:numPr>
      </w:pPr>
      <w:r>
        <w:rPr>
          <w:b/>
          <w:bCs/>
        </w:rPr>
        <w:t xml:space="preserve">Arguments</w:t>
      </w:r>
      <w:r>
        <w:t xml:space="preserve">:</w:t>
      </w:r>
      <w:r>
        <w:t xml:space="preserve"> </w:t>
      </w:r>
      <w:r>
        <w:rPr>
          <w:rStyle w:val="VerbatimChar"/>
        </w:rPr>
        <w:t xml:space="preserve">str As String, count As Integer</w:t>
      </w:r>
    </w:p>
    <w:p>
      <w:pPr>
        <w:pStyle w:val="Compact"/>
        <w:numPr>
          <w:ilvl w:val="0"/>
          <w:numId w:val="1455"/>
        </w:numPr>
      </w:pPr>
      <w:r>
        <w:rPr>
          <w:b/>
          <w:bCs/>
        </w:rPr>
        <w:t xml:space="preserve">Returns</w:t>
      </w:r>
      <w:r>
        <w:t xml:space="preserve">:</w:t>
      </w:r>
      <w:r>
        <w:t xml:space="preserve"> </w:t>
      </w:r>
      <w:r>
        <w:rPr>
          <w:rStyle w:val="VerbatimChar"/>
        </w:rPr>
        <w:t xml:space="preserve">String</w:t>
      </w:r>
      <w:r>
        <w:t xml:space="preserve"> </w:t>
      </w:r>
      <w:r>
        <w:t xml:space="preserve">(repeated string)</w:t>
      </w:r>
    </w:p>
    <w:bookmarkEnd w:id="1552"/>
    <w:bookmarkEnd w:id="1553"/>
    <w:bookmarkStart w:id="1562" w:name="uppercase-the-first-character"/>
    <w:p>
      <w:pPr>
        <w:pStyle w:val="Heading1"/>
      </w:pPr>
      <w:r>
        <w:t xml:space="preserve">Uppercase the First Character</w:t>
      </w:r>
    </w:p>
    <w:bookmarkStart w:id="1554" w:name="overview-104"/>
    <w:p>
      <w:pPr>
        <w:pStyle w:val="Heading2"/>
      </w:pPr>
      <w:r>
        <w:t xml:space="preserve">Overview</w:t>
      </w:r>
    </w:p>
    <w:p>
      <w:pPr>
        <w:pStyle w:val="FirstParagraph"/>
      </w:pPr>
      <w:r>
        <w:t xml:space="preserve">Returns a copy of the input string with the first Unicode character converted to uppercase.</w:t>
      </w:r>
    </w:p>
    <w:bookmarkEnd w:id="1554"/>
    <w:bookmarkStart w:id="1555" w:name="prerequisites-6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55"/>
    <w:bookmarkStart w:id="1556" w:name="syntax-121"/>
    <w:p>
      <w:pPr>
        <w:pStyle w:val="Heading2"/>
      </w:pPr>
      <w:r>
        <w:t xml:space="preserve">Syntax</w:t>
      </w:r>
    </w:p>
    <w:p>
      <w:pPr>
        <w:pStyle w:val="SourceCode"/>
      </w:pPr>
      <w:r>
        <w:rPr>
          <w:rStyle w:val="NormalTok"/>
        </w:rPr>
        <w:t xml:space="preserve">result = obj.AxUcfirst(str)</w:t>
      </w:r>
    </w:p>
    <w:bookmarkEnd w:id="1556"/>
    <w:bookmarkStart w:id="1557" w:name="parameters-51"/>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w:t>
            </w:r>
          </w:p>
        </w:tc>
        <w:tc>
          <w:tcPr/>
          <w:p>
            <w:pPr>
              <w:pStyle w:val="Compact"/>
            </w:pPr>
            <w:r>
              <w:t xml:space="preserve">String</w:t>
            </w:r>
          </w:p>
        </w:tc>
        <w:tc>
          <w:tcPr/>
          <w:p>
            <w:pPr>
              <w:pStyle w:val="Compact"/>
            </w:pPr>
            <w:r>
              <w:t xml:space="preserve">Yes</w:t>
            </w:r>
          </w:p>
        </w:tc>
        <w:tc>
          <w:tcPr/>
          <w:p>
            <w:pPr>
              <w:pStyle w:val="Compact"/>
            </w:pPr>
            <w:r>
              <w:t xml:space="preserve">The source string.</w:t>
            </w:r>
          </w:p>
        </w:tc>
      </w:tr>
    </w:tbl>
    <w:bookmarkEnd w:id="1557"/>
    <w:bookmarkStart w:id="1558" w:name="return-value-67"/>
    <w:p>
      <w:pPr>
        <w:pStyle w:val="Heading2"/>
      </w:pPr>
      <w:r>
        <w:t xml:space="preserve">Return Value</w:t>
      </w:r>
    </w:p>
    <w:p>
      <w:pPr>
        <w:pStyle w:val="Compact"/>
        <w:numPr>
          <w:ilvl w:val="0"/>
          <w:numId w:val="1456"/>
        </w:numPr>
      </w:pPr>
      <w:r>
        <w:rPr>
          <w:b/>
          <w:bCs/>
        </w:rPr>
        <w:t xml:space="preserve">String</w:t>
      </w:r>
      <w:r>
        <w:t xml:space="preserve">: Returns</w:t>
      </w:r>
      <w:r>
        <w:t xml:space="preserve"> </w:t>
      </w:r>
      <w:r>
        <w:rPr>
          <w:rStyle w:val="VerbatimChar"/>
        </w:rPr>
        <w:t xml:space="preserve">str</w:t>
      </w:r>
      <w:r>
        <w:t xml:space="preserve"> </w:t>
      </w:r>
      <w:r>
        <w:t xml:space="preserve">with the first character converted to uppercase and remaining characters unchanged.</w:t>
      </w:r>
    </w:p>
    <w:p>
      <w:pPr>
        <w:pStyle w:val="Compact"/>
        <w:numPr>
          <w:ilvl w:val="0"/>
          <w:numId w:val="1456"/>
        </w:numPr>
      </w:pPr>
      <w:r>
        <w:rPr>
          <w:b/>
          <w:bCs/>
        </w:rPr>
        <w:t xml:space="preserve">String</w:t>
      </w:r>
      <w:r>
        <w:t xml:space="preserve">: Returns an empty string when</w:t>
      </w:r>
      <w:r>
        <w:t xml:space="preserve"> </w:t>
      </w:r>
      <w:r>
        <w:rPr>
          <w:rStyle w:val="VerbatimChar"/>
        </w:rPr>
        <w:t xml:space="preserve">str</w:t>
      </w:r>
      <w:r>
        <w:t xml:space="preserve"> </w:t>
      </w:r>
      <w:r>
        <w:t xml:space="preserve">is empty or no argument is provided.</w:t>
      </w:r>
    </w:p>
    <w:bookmarkEnd w:id="1558"/>
    <w:bookmarkStart w:id="1559" w:name="remarks-133"/>
    <w:p>
      <w:pPr>
        <w:pStyle w:val="Heading2"/>
      </w:pPr>
      <w:r>
        <w:t xml:space="preserve">Remarks</w:t>
      </w:r>
    </w:p>
    <w:p>
      <w:pPr>
        <w:pStyle w:val="Compact"/>
        <w:numPr>
          <w:ilvl w:val="0"/>
          <w:numId w:val="1457"/>
        </w:numPr>
      </w:pPr>
      <w:r>
        <w:t xml:space="preserve">Method names are case-insensitive in VBScript dispatch.</w:t>
      </w:r>
    </w:p>
    <w:p>
      <w:pPr>
        <w:pStyle w:val="Compact"/>
        <w:numPr>
          <w:ilvl w:val="0"/>
          <w:numId w:val="1457"/>
        </w:numPr>
      </w:pPr>
      <w:r>
        <w:t xml:space="preserve">Only the first Unicode character is uppercased; all other characters are left as-is.</w:t>
      </w:r>
    </w:p>
    <w:bookmarkEnd w:id="1559"/>
    <w:bookmarkStart w:id="1560" w:name="example-6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ax.AxUcfirst</w:t>
      </w:r>
      <w:r>
        <w:rPr>
          <w:rStyle w:val="OtherTok"/>
        </w:rPr>
        <w:t xml:space="preserve">(</w:t>
      </w:r>
      <w:r>
        <w:rPr>
          <w:rStyle w:val="StringTok"/>
        </w:rPr>
        <w:t xml:space="preserve">"hello world"</w:t>
      </w:r>
      <w:r>
        <w:rPr>
          <w:rStyle w:val="OtherTok"/>
        </w:rPr>
        <w:t xml:space="preserve">)</w:t>
      </w:r>
      <w:r>
        <w:br/>
      </w:r>
      <w:r>
        <w:rPr>
          <w:rStyle w:val="CommentTok"/>
        </w:rPr>
        <w:t xml:space="preserve">' Output: Hello world</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ax.AxUcfirst</w:t>
      </w:r>
      <w:r>
        <w:rPr>
          <w:rStyle w:val="OtherTok"/>
        </w:rPr>
        <w:t xml:space="preserve">(</w:t>
      </w:r>
      <w:r>
        <w:rPr>
          <w:rStyle w:val="StringTok"/>
        </w:rPr>
        <w:t xml:space="preserve">"axonASP"</w:t>
      </w:r>
      <w:r>
        <w:rPr>
          <w:rStyle w:val="OtherTok"/>
        </w:rPr>
        <w:t xml:space="preserve">)</w:t>
      </w:r>
      <w:r>
        <w:br/>
      </w:r>
      <w:r>
        <w:rPr>
          <w:rStyle w:val="CommentTok"/>
        </w:rPr>
        <w:t xml:space="preserve">' Output: AxonASP</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60"/>
    <w:bookmarkStart w:id="1561" w:name="api-reference-64"/>
    <w:p>
      <w:pPr>
        <w:pStyle w:val="Heading2"/>
      </w:pPr>
      <w:r>
        <w:t xml:space="preserve">API Reference</w:t>
      </w:r>
    </w:p>
    <w:p>
      <w:pPr>
        <w:pStyle w:val="Compact"/>
        <w:numPr>
          <w:ilvl w:val="0"/>
          <w:numId w:val="1458"/>
        </w:numPr>
      </w:pPr>
      <w:r>
        <w:rPr>
          <w:b/>
          <w:bCs/>
        </w:rPr>
        <w:t xml:space="preserve">Object</w:t>
      </w:r>
      <w:r>
        <w:t xml:space="preserve">:</w:t>
      </w:r>
      <w:r>
        <w:t xml:space="preserve"> </w:t>
      </w:r>
      <w:r>
        <w:rPr>
          <w:rStyle w:val="VerbatimChar"/>
        </w:rPr>
        <w:t xml:space="preserve">G3AXON.FUNCTIONS</w:t>
      </w:r>
    </w:p>
    <w:p>
      <w:pPr>
        <w:pStyle w:val="Compact"/>
        <w:numPr>
          <w:ilvl w:val="0"/>
          <w:numId w:val="1458"/>
        </w:numPr>
      </w:pPr>
      <w:r>
        <w:rPr>
          <w:b/>
          <w:bCs/>
        </w:rPr>
        <w:t xml:space="preserve">Method</w:t>
      </w:r>
      <w:r>
        <w:t xml:space="preserve">:</w:t>
      </w:r>
      <w:r>
        <w:t xml:space="preserve"> </w:t>
      </w:r>
      <w:r>
        <w:rPr>
          <w:rStyle w:val="VerbatimChar"/>
        </w:rPr>
        <w:t xml:space="preserve">AxUcfirst</w:t>
      </w:r>
    </w:p>
    <w:p>
      <w:pPr>
        <w:pStyle w:val="Compact"/>
        <w:numPr>
          <w:ilvl w:val="0"/>
          <w:numId w:val="1458"/>
        </w:numPr>
      </w:pPr>
      <w:r>
        <w:rPr>
          <w:b/>
          <w:bCs/>
        </w:rPr>
        <w:t xml:space="preserve">Arguments</w:t>
      </w:r>
      <w:r>
        <w:t xml:space="preserve">:</w:t>
      </w:r>
      <w:r>
        <w:t xml:space="preserve"> </w:t>
      </w:r>
      <w:r>
        <w:rPr>
          <w:rStyle w:val="VerbatimChar"/>
        </w:rPr>
        <w:t xml:space="preserve">str As String</w:t>
      </w:r>
    </w:p>
    <w:p>
      <w:pPr>
        <w:pStyle w:val="Compact"/>
        <w:numPr>
          <w:ilvl w:val="0"/>
          <w:numId w:val="1458"/>
        </w:numPr>
      </w:pPr>
      <w:r>
        <w:rPr>
          <w:b/>
          <w:bCs/>
        </w:rPr>
        <w:t xml:space="preserve">Returns</w:t>
      </w:r>
      <w:r>
        <w:t xml:space="preserve">:</w:t>
      </w:r>
      <w:r>
        <w:t xml:space="preserve"> </w:t>
      </w:r>
      <w:r>
        <w:rPr>
          <w:rStyle w:val="VerbatimChar"/>
        </w:rPr>
        <w:t xml:space="preserve">String</w:t>
      </w:r>
      <w:r>
        <w:t xml:space="preserve"> </w:t>
      </w:r>
      <w:r>
        <w:t xml:space="preserve">(string with uppercased first character)</w:t>
      </w:r>
    </w:p>
    <w:bookmarkEnd w:id="1561"/>
    <w:bookmarkEnd w:id="1562"/>
    <w:bookmarkStart w:id="1571" w:name="count-words-in-a-string"/>
    <w:p>
      <w:pPr>
        <w:pStyle w:val="Heading1"/>
      </w:pPr>
      <w:r>
        <w:t xml:space="preserve">Count Words in a String</w:t>
      </w:r>
    </w:p>
    <w:bookmarkStart w:id="1563" w:name="overview-105"/>
    <w:p>
      <w:pPr>
        <w:pStyle w:val="Heading2"/>
      </w:pPr>
      <w:r>
        <w:t xml:space="preserve">Overview</w:t>
      </w:r>
    </w:p>
    <w:p>
      <w:pPr>
        <w:pStyle w:val="FirstParagraph"/>
      </w:pPr>
      <w:r>
        <w:t xml:space="preserve">Counts the number of words in a string, or optionally returns an array of those words.</w:t>
      </w:r>
    </w:p>
    <w:bookmarkEnd w:id="1563"/>
    <w:bookmarkStart w:id="1564" w:name="prerequisites-6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64"/>
    <w:bookmarkStart w:id="1565" w:name="syntax-122"/>
    <w:p>
      <w:pPr>
        <w:pStyle w:val="Heading2"/>
      </w:pPr>
      <w:r>
        <w:t xml:space="preserve">Syntax</w:t>
      </w:r>
    </w:p>
    <w:p>
      <w:pPr>
        <w:pStyle w:val="SourceCode"/>
      </w:pPr>
      <w:r>
        <w:rPr>
          <w:rStyle w:val="NormalTok"/>
        </w:rPr>
        <w:t xml:space="preserve">result = obj.AxWordCount(str [, format])</w:t>
      </w:r>
    </w:p>
    <w:bookmarkEnd w:id="1565"/>
    <w:bookmarkStart w:id="1566" w:name="parameters-5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w:t>
            </w:r>
          </w:p>
        </w:tc>
        <w:tc>
          <w:tcPr/>
          <w:p>
            <w:pPr>
              <w:pStyle w:val="Compact"/>
            </w:pPr>
            <w:r>
              <w:t xml:space="preserve">String</w:t>
            </w:r>
          </w:p>
        </w:tc>
        <w:tc>
          <w:tcPr/>
          <w:p>
            <w:pPr>
              <w:pStyle w:val="Compact"/>
            </w:pPr>
            <w:r>
              <w:t xml:space="preserve">Yes</w:t>
            </w:r>
          </w:p>
        </w:tc>
        <w:tc>
          <w:tcPr/>
          <w:p>
            <w:pPr>
              <w:pStyle w:val="Compact"/>
            </w:pPr>
            <w:r>
              <w:t xml:space="preserve">The string to analyze.</w:t>
            </w:r>
          </w:p>
        </w:tc>
      </w:tr>
      <w:tr>
        <w:tc>
          <w:tcPr/>
          <w:p>
            <w:pPr>
              <w:pStyle w:val="Compact"/>
            </w:pPr>
            <w:r>
              <w:t xml:space="preserve">format</w:t>
            </w:r>
          </w:p>
        </w:tc>
        <w:tc>
          <w:tcPr/>
          <w:p>
            <w:pPr>
              <w:pStyle w:val="Compact"/>
            </w:pPr>
            <w:r>
              <w:t xml:space="preserve">Integer</w:t>
            </w:r>
          </w:p>
        </w:tc>
        <w:tc>
          <w:tcPr/>
          <w:p>
            <w:pPr>
              <w:pStyle w:val="Compact"/>
            </w:pPr>
            <w:r>
              <w:t xml:space="preserve">Optional</w:t>
            </w:r>
          </w:p>
        </w:tc>
        <w:tc>
          <w:tcPr/>
          <w:p>
            <w:pPr>
              <w:pStyle w:val="Compact"/>
            </w:pPr>
            <w:r>
              <w:t xml:space="preserve">Output mode.</w:t>
            </w:r>
            <w:r>
              <w:t xml:space="preserve"> </w:t>
            </w:r>
            <w:r>
              <w:rPr>
                <w:rStyle w:val="VerbatimChar"/>
              </w:rPr>
              <w:t xml:space="preserve">0</w:t>
            </w:r>
            <w:r>
              <w:t xml:space="preserve"> </w:t>
            </w:r>
            <w:r>
              <w:t xml:space="preserve">(default) returns the word count as an Integer.</w:t>
            </w:r>
            <w:r>
              <w:t xml:space="preserve"> </w:t>
            </w:r>
            <w:r>
              <w:rPr>
                <w:rStyle w:val="VerbatimChar"/>
              </w:rPr>
              <w:t xml:space="preserve">1</w:t>
            </w:r>
            <w:r>
              <w:t xml:space="preserve"> </w:t>
            </w:r>
            <w:r>
              <w:t xml:space="preserve">returns a zero-based VBArray of String words.</w:t>
            </w:r>
          </w:p>
        </w:tc>
      </w:tr>
    </w:tbl>
    <w:bookmarkEnd w:id="1566"/>
    <w:bookmarkStart w:id="1567" w:name="return-value-68"/>
    <w:p>
      <w:pPr>
        <w:pStyle w:val="Heading2"/>
      </w:pPr>
      <w:r>
        <w:t xml:space="preserve">Return Value</w:t>
      </w:r>
    </w:p>
    <w:p>
      <w:pPr>
        <w:pStyle w:val="Compact"/>
        <w:numPr>
          <w:ilvl w:val="0"/>
          <w:numId w:val="1459"/>
        </w:numPr>
      </w:pPr>
      <w:r>
        <w:rPr>
          <w:b/>
          <w:bCs/>
        </w:rPr>
        <w:t xml:space="preserve">Integer</w:t>
      </w:r>
      <w:r>
        <w:t xml:space="preserve">: Returns the number of whitespace-delimited words when</w:t>
      </w:r>
      <w:r>
        <w:t xml:space="preserve"> </w:t>
      </w:r>
      <w:r>
        <w:rPr>
          <w:rStyle w:val="VerbatimChar"/>
        </w:rPr>
        <w:t xml:space="preserve">format</w:t>
      </w:r>
      <w:r>
        <w:t xml:space="preserve"> </w:t>
      </w:r>
      <w:r>
        <w:t xml:space="preserve">is</w:t>
      </w:r>
      <w:r>
        <w:t xml:space="preserve"> </w:t>
      </w:r>
      <w:r>
        <w:rPr>
          <w:rStyle w:val="VerbatimChar"/>
        </w:rPr>
        <w:t xml:space="preserve">0</w:t>
      </w:r>
      <w:r>
        <w:t xml:space="preserve"> </w:t>
      </w:r>
      <w:r>
        <w:t xml:space="preserve">or omitted.</w:t>
      </w:r>
    </w:p>
    <w:p>
      <w:pPr>
        <w:pStyle w:val="Compact"/>
        <w:numPr>
          <w:ilvl w:val="0"/>
          <w:numId w:val="1459"/>
        </w:numPr>
      </w:pPr>
      <w:r>
        <w:rPr>
          <w:b/>
          <w:bCs/>
        </w:rPr>
        <w:t xml:space="preserve">Array</w:t>
      </w:r>
      <w:r>
        <w:t xml:space="preserve">: Returns a zero-based VBArray of String words when</w:t>
      </w:r>
      <w:r>
        <w:t xml:space="preserve"> </w:t>
      </w:r>
      <w:r>
        <w:rPr>
          <w:rStyle w:val="VerbatimChar"/>
        </w:rPr>
        <w:t xml:space="preserve">format</w:t>
      </w:r>
      <w:r>
        <w:t xml:space="preserve"> </w:t>
      </w:r>
      <w:r>
        <w:t xml:space="preserve">is</w:t>
      </w:r>
      <w:r>
        <w:t xml:space="preserve"> </w:t>
      </w:r>
      <w:r>
        <w:rPr>
          <w:rStyle w:val="VerbatimChar"/>
        </w:rPr>
        <w:t xml:space="preserve">1</w:t>
      </w:r>
      <w:r>
        <w:t xml:space="preserve">.</w:t>
      </w:r>
    </w:p>
    <w:p>
      <w:pPr>
        <w:pStyle w:val="Compact"/>
        <w:numPr>
          <w:ilvl w:val="0"/>
          <w:numId w:val="1459"/>
        </w:numPr>
      </w:pPr>
      <w:r>
        <w:rPr>
          <w:b/>
          <w:bCs/>
        </w:rPr>
        <w:t xml:space="preserve">Integer</w:t>
      </w:r>
      <w:r>
        <w:t xml:space="preserve">: Returns</w:t>
      </w:r>
      <w:r>
        <w:t xml:space="preserve"> </w:t>
      </w:r>
      <w:r>
        <w:rPr>
          <w:rStyle w:val="VerbatimChar"/>
        </w:rPr>
        <w:t xml:space="preserve">0</w:t>
      </w:r>
      <w:r>
        <w:t xml:space="preserve"> </w:t>
      </w:r>
      <w:r>
        <w:t xml:space="preserve">when no argument is provided.</w:t>
      </w:r>
    </w:p>
    <w:bookmarkEnd w:id="1567"/>
    <w:bookmarkStart w:id="1568" w:name="remarks-134"/>
    <w:p>
      <w:pPr>
        <w:pStyle w:val="Heading2"/>
      </w:pPr>
      <w:r>
        <w:t xml:space="preserve">Remarks</w:t>
      </w:r>
    </w:p>
    <w:p>
      <w:pPr>
        <w:pStyle w:val="Compact"/>
        <w:numPr>
          <w:ilvl w:val="0"/>
          <w:numId w:val="1460"/>
        </w:numPr>
      </w:pPr>
      <w:r>
        <w:t xml:space="preserve">Word boundaries are determined by whitespace (spaces, tabs, newlines).</w:t>
      </w:r>
    </w:p>
    <w:p>
      <w:pPr>
        <w:pStyle w:val="Compact"/>
        <w:numPr>
          <w:ilvl w:val="0"/>
          <w:numId w:val="1460"/>
        </w:numPr>
      </w:pPr>
      <w:r>
        <w:t xml:space="preserve">Method names are case-insensitive in VBScript dispatch.</w:t>
      </w:r>
    </w:p>
    <w:bookmarkEnd w:id="1568"/>
    <w:bookmarkStart w:id="1569" w:name="example-7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wordArr</w:t>
      </w:r>
      <w:r>
        <w:rPr>
          <w:rStyle w:val="OtherTok"/>
        </w:rPr>
        <w:t xml:space="preserve">,</w:t>
      </w:r>
      <w:r>
        <w:rPr>
          <w:rStyle w:val="NormalTok"/>
        </w:rPr>
        <w:t xml:space="preserve"> i</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Count words</w:t>
      </w:r>
      <w:r>
        <w:br/>
      </w:r>
      <w:r>
        <w:rPr>
          <w:rStyle w:val="FunctionTok"/>
        </w:rPr>
        <w:t xml:space="preserve">Response</w:t>
      </w:r>
      <w:r>
        <w:rPr>
          <w:rStyle w:val="NormalTok"/>
        </w:rPr>
        <w:t xml:space="preserve">.</w:t>
      </w:r>
      <w:r>
        <w:rPr>
          <w:rStyle w:val="FunctionTok"/>
        </w:rPr>
        <w:t xml:space="preserve">Write</w:t>
      </w:r>
      <w:r>
        <w:rPr>
          <w:rStyle w:val="NormalTok"/>
        </w:rPr>
        <w:t xml:space="preserve"> ax.AxWordCount</w:t>
      </w:r>
      <w:r>
        <w:rPr>
          <w:rStyle w:val="OtherTok"/>
        </w:rPr>
        <w:t xml:space="preserve">(</w:t>
      </w:r>
      <w:r>
        <w:rPr>
          <w:rStyle w:val="StringTok"/>
        </w:rPr>
        <w:t xml:space="preserve">"The quick brown fox"</w:t>
      </w:r>
      <w:r>
        <w:rPr>
          <w:rStyle w:val="OtherTok"/>
        </w:rPr>
        <w:t xml:space="preserve">)</w:t>
      </w:r>
      <w:r>
        <w:br/>
      </w:r>
      <w:r>
        <w:rPr>
          <w:rStyle w:val="CommentTok"/>
        </w:rPr>
        <w:t xml:space="preserve">' Output: 4</w:t>
      </w:r>
      <w:r>
        <w:br/>
      </w:r>
      <w:r>
        <w:br/>
      </w:r>
      <w:r>
        <w:rPr>
          <w:rStyle w:val="CommentTok"/>
        </w:rPr>
        <w:t xml:space="preserve">' Get word array</w:t>
      </w:r>
      <w:r>
        <w:br/>
      </w:r>
      <w:r>
        <w:rPr>
          <w:rStyle w:val="NormalTok"/>
        </w:rPr>
        <w:t xml:space="preserve">wordArr = ax.AxWordCount</w:t>
      </w:r>
      <w:r>
        <w:rPr>
          <w:rStyle w:val="OtherTok"/>
        </w:rPr>
        <w:t xml:space="preserve">(</w:t>
      </w:r>
      <w:r>
        <w:rPr>
          <w:rStyle w:val="StringTok"/>
        </w:rPr>
        <w:t xml:space="preserve">"Hello World ASP"</w:t>
      </w:r>
      <w:r>
        <w:rPr>
          <w:rStyle w:val="OtherTok"/>
        </w:rPr>
        <w:t xml:space="preserve">,</w:t>
      </w:r>
      <w:r>
        <w:rPr>
          <w:rStyle w:val="NormalTok"/>
        </w:rPr>
        <w:t xml:space="preserve"> </w:t>
      </w:r>
      <w:r>
        <w:rPr>
          <w:rStyle w:val="DecValTok"/>
        </w:rPr>
        <w:t xml:space="preserve">1</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wordArr</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wordArr</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CommentTok"/>
        </w:rPr>
        <w:t xml:space="preserve">' Output:</w:t>
      </w:r>
      <w:r>
        <w:br/>
      </w:r>
      <w:r>
        <w:rPr>
          <w:rStyle w:val="CommentTok"/>
        </w:rPr>
        <w:t xml:space="preserve">' Hello</w:t>
      </w:r>
      <w:r>
        <w:br/>
      </w:r>
      <w:r>
        <w:rPr>
          <w:rStyle w:val="CommentTok"/>
        </w:rPr>
        <w:t xml:space="preserve">' World</w:t>
      </w:r>
      <w:r>
        <w:br/>
      </w:r>
      <w:r>
        <w:rPr>
          <w:rStyle w:val="CommentTok"/>
        </w:rPr>
        <w:t xml:space="preserve">' ASP</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69"/>
    <w:bookmarkStart w:id="1570" w:name="api-reference-65"/>
    <w:p>
      <w:pPr>
        <w:pStyle w:val="Heading2"/>
      </w:pPr>
      <w:r>
        <w:t xml:space="preserve">API Reference</w:t>
      </w:r>
    </w:p>
    <w:p>
      <w:pPr>
        <w:pStyle w:val="Compact"/>
        <w:numPr>
          <w:ilvl w:val="0"/>
          <w:numId w:val="1461"/>
        </w:numPr>
      </w:pPr>
      <w:r>
        <w:rPr>
          <w:b/>
          <w:bCs/>
        </w:rPr>
        <w:t xml:space="preserve">Object</w:t>
      </w:r>
      <w:r>
        <w:t xml:space="preserve">:</w:t>
      </w:r>
      <w:r>
        <w:t xml:space="preserve"> </w:t>
      </w:r>
      <w:r>
        <w:rPr>
          <w:rStyle w:val="VerbatimChar"/>
        </w:rPr>
        <w:t xml:space="preserve">G3AXON.FUNCTIONS</w:t>
      </w:r>
    </w:p>
    <w:p>
      <w:pPr>
        <w:pStyle w:val="Compact"/>
        <w:numPr>
          <w:ilvl w:val="0"/>
          <w:numId w:val="1461"/>
        </w:numPr>
      </w:pPr>
      <w:r>
        <w:rPr>
          <w:b/>
          <w:bCs/>
        </w:rPr>
        <w:t xml:space="preserve">Method</w:t>
      </w:r>
      <w:r>
        <w:t xml:space="preserve">:</w:t>
      </w:r>
      <w:r>
        <w:t xml:space="preserve"> </w:t>
      </w:r>
      <w:r>
        <w:rPr>
          <w:rStyle w:val="VerbatimChar"/>
        </w:rPr>
        <w:t xml:space="preserve">AxWordCount</w:t>
      </w:r>
    </w:p>
    <w:p>
      <w:pPr>
        <w:pStyle w:val="Compact"/>
        <w:numPr>
          <w:ilvl w:val="0"/>
          <w:numId w:val="1461"/>
        </w:numPr>
      </w:pPr>
      <w:r>
        <w:rPr>
          <w:b/>
          <w:bCs/>
        </w:rPr>
        <w:t xml:space="preserve">Arguments</w:t>
      </w:r>
      <w:r>
        <w:t xml:space="preserve">:</w:t>
      </w:r>
      <w:r>
        <w:t xml:space="preserve"> </w:t>
      </w:r>
      <w:r>
        <w:rPr>
          <w:rStyle w:val="VerbatimChar"/>
        </w:rPr>
        <w:t xml:space="preserve">str As String [, format As Integer]</w:t>
      </w:r>
    </w:p>
    <w:p>
      <w:pPr>
        <w:pStyle w:val="Compact"/>
        <w:numPr>
          <w:ilvl w:val="0"/>
          <w:numId w:val="1461"/>
        </w:numPr>
      </w:pPr>
      <w:r>
        <w:rPr>
          <w:b/>
          <w:bCs/>
        </w:rPr>
        <w:t xml:space="preserve">Returns</w:t>
      </w:r>
      <w:r>
        <w:t xml:space="preserve">:</w:t>
      </w:r>
      <w:r>
        <w:t xml:space="preserve"> </w:t>
      </w:r>
      <w:r>
        <w:rPr>
          <w:rStyle w:val="VerbatimChar"/>
        </w:rPr>
        <w:t xml:space="preserve">Integer</w:t>
      </w:r>
      <w:r>
        <w:t xml:space="preserve"> </w:t>
      </w:r>
      <w:r>
        <w:t xml:space="preserve">(word count) or</w:t>
      </w:r>
      <w:r>
        <w:t xml:space="preserve"> </w:t>
      </w:r>
      <w:r>
        <w:rPr>
          <w:rStyle w:val="VerbatimChar"/>
        </w:rPr>
        <w:t xml:space="preserve">Array</w:t>
      </w:r>
      <w:r>
        <w:t xml:space="preserve"> </w:t>
      </w:r>
      <w:r>
        <w:t xml:space="preserve">(word list when format=1)</w:t>
      </w:r>
    </w:p>
    <w:bookmarkEnd w:id="1570"/>
    <w:bookmarkEnd w:id="1571"/>
    <w:bookmarkStart w:id="1580" w:name="convert-newlines-to-html-line-breaks"/>
    <w:p>
      <w:pPr>
        <w:pStyle w:val="Heading1"/>
      </w:pPr>
      <w:r>
        <w:t xml:space="preserve">Convert Newlines to HTML Line Breaks</w:t>
      </w:r>
    </w:p>
    <w:bookmarkStart w:id="1572" w:name="overview-106"/>
    <w:p>
      <w:pPr>
        <w:pStyle w:val="Heading2"/>
      </w:pPr>
      <w:r>
        <w:t xml:space="preserve">Overview</w:t>
      </w:r>
    </w:p>
    <w:p>
      <w:pPr>
        <w:pStyle w:val="FirstParagraph"/>
      </w:pPr>
      <w:r>
        <w:t xml:space="preserve">Replaces all newline sequences in a string with</w:t>
      </w:r>
      <w:r>
        <w:t xml:space="preserve"> </w:t>
      </w:r>
      <w:r>
        <w:rPr>
          <w:rStyle w:val="VerbatimChar"/>
        </w:rPr>
        <w:t xml:space="preserve">&lt;br&gt;</w:t>
      </w:r>
      <w:r>
        <w:t xml:space="preserve"> </w:t>
      </w:r>
      <w:r>
        <w:t xml:space="preserve">HTML tags.</w:t>
      </w:r>
    </w:p>
    <w:bookmarkEnd w:id="1572"/>
    <w:bookmarkStart w:id="1573" w:name="prerequisites-6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73"/>
    <w:bookmarkStart w:id="1574" w:name="syntax-123"/>
    <w:p>
      <w:pPr>
        <w:pStyle w:val="Heading2"/>
      </w:pPr>
      <w:r>
        <w:t xml:space="preserve">Syntax</w:t>
      </w:r>
    </w:p>
    <w:p>
      <w:pPr>
        <w:pStyle w:val="SourceCode"/>
      </w:pPr>
      <w:r>
        <w:rPr>
          <w:rStyle w:val="NormalTok"/>
        </w:rPr>
        <w:t xml:space="preserve">result = obj.AxNl2br(str)</w:t>
      </w:r>
    </w:p>
    <w:bookmarkEnd w:id="1574"/>
    <w:bookmarkStart w:id="1575" w:name="parameters-5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w:t>
            </w:r>
          </w:p>
        </w:tc>
        <w:tc>
          <w:tcPr/>
          <w:p>
            <w:pPr>
              <w:pStyle w:val="Compact"/>
            </w:pPr>
            <w:r>
              <w:t xml:space="preserve">String</w:t>
            </w:r>
          </w:p>
        </w:tc>
        <w:tc>
          <w:tcPr/>
          <w:p>
            <w:pPr>
              <w:pStyle w:val="Compact"/>
            </w:pPr>
            <w:r>
              <w:t xml:space="preserve">Yes</w:t>
            </w:r>
          </w:p>
        </w:tc>
        <w:tc>
          <w:tcPr/>
          <w:p>
            <w:pPr>
              <w:pStyle w:val="Compact"/>
            </w:pPr>
            <w:r>
              <w:t xml:space="preserve">The source string containing newlines to replace.</w:t>
            </w:r>
          </w:p>
        </w:tc>
      </w:tr>
    </w:tbl>
    <w:bookmarkEnd w:id="1575"/>
    <w:bookmarkStart w:id="1576" w:name="return-value-69"/>
    <w:p>
      <w:pPr>
        <w:pStyle w:val="Heading2"/>
      </w:pPr>
      <w:r>
        <w:t xml:space="preserve">Return Value</w:t>
      </w:r>
    </w:p>
    <w:p>
      <w:pPr>
        <w:pStyle w:val="Compact"/>
        <w:numPr>
          <w:ilvl w:val="0"/>
          <w:numId w:val="1462"/>
        </w:numPr>
      </w:pPr>
      <w:r>
        <w:rPr>
          <w:b/>
          <w:bCs/>
        </w:rPr>
        <w:t xml:space="preserve">String</w:t>
      </w:r>
      <w:r>
        <w:t xml:space="preserve">: Returns a copy of</w:t>
      </w:r>
      <w:r>
        <w:t xml:space="preserve"> </w:t>
      </w:r>
      <w:r>
        <w:rPr>
          <w:rStyle w:val="VerbatimChar"/>
        </w:rPr>
        <w:t xml:space="preserve">str</w:t>
      </w:r>
      <w:r>
        <w:t xml:space="preserve"> </w:t>
      </w:r>
      <w:r>
        <w:t xml:space="preserve">with all</w:t>
      </w:r>
      <w:r>
        <w:t xml:space="preserve"> </w:t>
      </w:r>
      <w:r>
        <w:rPr>
          <w:rStyle w:val="VerbatimChar"/>
        </w:rPr>
        <w:t xml:space="preserve">CRLF</w:t>
      </w:r>
      <w:r>
        <w:t xml:space="preserve"> </w:t>
      </w:r>
      <w:r>
        <w:t xml:space="preserve">(</w:t>
      </w:r>
      <w:r>
        <w:rPr>
          <w:rStyle w:val="VerbatimChar"/>
        </w:rPr>
        <w:t xml:space="preserve">\r\n</w:t>
      </w:r>
      <w:r>
        <w:t xml:space="preserve">),</w:t>
      </w:r>
      <w:r>
        <w:t xml:space="preserve"> </w:t>
      </w:r>
      <w:r>
        <w:rPr>
          <w:rStyle w:val="VerbatimChar"/>
        </w:rPr>
        <w:t xml:space="preserve">LF</w:t>
      </w:r>
      <w:r>
        <w:t xml:space="preserve"> </w:t>
      </w:r>
      <w:r>
        <w:t xml:space="preserve">(</w:t>
      </w:r>
      <w:r>
        <w:rPr>
          <w:rStyle w:val="VerbatimChar"/>
        </w:rPr>
        <w:t xml:space="preserve">\n</w:t>
      </w:r>
      <w:r>
        <w:t xml:space="preserve">), and</w:t>
      </w:r>
      <w:r>
        <w:t xml:space="preserve"> </w:t>
      </w:r>
      <w:r>
        <w:rPr>
          <w:rStyle w:val="VerbatimChar"/>
        </w:rPr>
        <w:t xml:space="preserve">CR</w:t>
      </w:r>
      <w:r>
        <w:t xml:space="preserve"> </w:t>
      </w:r>
      <w:r>
        <w:t xml:space="preserve">(</w:t>
      </w:r>
      <w:r>
        <w:rPr>
          <w:rStyle w:val="VerbatimChar"/>
        </w:rPr>
        <w:t xml:space="preserve">\r</w:t>
      </w:r>
      <w:r>
        <w:t xml:space="preserve">) sequences replaced by</w:t>
      </w:r>
      <w:r>
        <w:t xml:space="preserve"> </w:t>
      </w:r>
      <w:r>
        <w:rPr>
          <w:rStyle w:val="VerbatimChar"/>
        </w:rPr>
        <w:t xml:space="preserve">&lt;br&gt;</w:t>
      </w:r>
      <w:r>
        <w:t xml:space="preserve">.</w:t>
      </w:r>
    </w:p>
    <w:p>
      <w:pPr>
        <w:pStyle w:val="Compact"/>
        <w:numPr>
          <w:ilvl w:val="0"/>
          <w:numId w:val="1462"/>
        </w:numPr>
      </w:pPr>
      <w:r>
        <w:rPr>
          <w:b/>
          <w:bCs/>
        </w:rPr>
        <w:t xml:space="preserve">String</w:t>
      </w:r>
      <w:r>
        <w:t xml:space="preserve">: Returns an empty string when no argument is provided.</w:t>
      </w:r>
    </w:p>
    <w:bookmarkEnd w:id="1576"/>
    <w:bookmarkStart w:id="1577" w:name="remarks-135"/>
    <w:p>
      <w:pPr>
        <w:pStyle w:val="Heading2"/>
      </w:pPr>
      <w:r>
        <w:t xml:space="preserve">Remarks</w:t>
      </w:r>
    </w:p>
    <w:p>
      <w:pPr>
        <w:pStyle w:val="Compact"/>
        <w:numPr>
          <w:ilvl w:val="0"/>
          <w:numId w:val="1463"/>
        </w:numPr>
      </w:pPr>
      <w:r>
        <w:rPr>
          <w:rStyle w:val="VerbatimChar"/>
        </w:rPr>
        <w:t xml:space="preserve">CRLF</w:t>
      </w:r>
      <w:r>
        <w:t xml:space="preserve"> </w:t>
      </w:r>
      <w:r>
        <w:t xml:space="preserve">sequences are replaced first before individual</w:t>
      </w:r>
      <w:r>
        <w:t xml:space="preserve"> </w:t>
      </w:r>
      <w:r>
        <w:rPr>
          <w:rStyle w:val="VerbatimChar"/>
        </w:rPr>
        <w:t xml:space="preserve">LF</w:t>
      </w:r>
      <w:r>
        <w:t xml:space="preserve"> </w:t>
      </w:r>
      <w:r>
        <w:t xml:space="preserve">and</w:t>
      </w:r>
      <w:r>
        <w:t xml:space="preserve"> </w:t>
      </w:r>
      <w:r>
        <w:rPr>
          <w:rStyle w:val="VerbatimChar"/>
        </w:rPr>
        <w:t xml:space="preserve">CR</w:t>
      </w:r>
      <w:r>
        <w:t xml:space="preserve"> </w:t>
      </w:r>
      <w:r>
        <w:t xml:space="preserve">characters.</w:t>
      </w:r>
    </w:p>
    <w:p>
      <w:pPr>
        <w:pStyle w:val="Compact"/>
        <w:numPr>
          <w:ilvl w:val="0"/>
          <w:numId w:val="1463"/>
        </w:numPr>
      </w:pPr>
      <w:r>
        <w:t xml:space="preserve">Method names are case-insensitive in VBScript dispatch.</w:t>
      </w:r>
    </w:p>
    <w:bookmarkEnd w:id="1577"/>
    <w:bookmarkStart w:id="1578" w:name="example-7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text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text = </w:t>
      </w:r>
      <w:r>
        <w:rPr>
          <w:rStyle w:val="StringTok"/>
        </w:rPr>
        <w:t xml:space="preserve">"Line 1"</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"Line 2"</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"Line 3"</w:t>
      </w:r>
      <w:r>
        <w:br/>
      </w:r>
      <w:r>
        <w:rPr>
          <w:rStyle w:val="FunctionTok"/>
        </w:rPr>
        <w:t xml:space="preserve">Response</w:t>
      </w:r>
      <w:r>
        <w:rPr>
          <w:rStyle w:val="NormalTok"/>
        </w:rPr>
        <w:t xml:space="preserve">.</w:t>
      </w:r>
      <w:r>
        <w:rPr>
          <w:rStyle w:val="FunctionTok"/>
        </w:rPr>
        <w:t xml:space="preserve">Write</w:t>
      </w:r>
      <w:r>
        <w:rPr>
          <w:rStyle w:val="NormalTok"/>
        </w:rPr>
        <w:t xml:space="preserve"> ax.AxNl2br</w:t>
      </w:r>
      <w:r>
        <w:rPr>
          <w:rStyle w:val="OtherTok"/>
        </w:rPr>
        <w:t xml:space="preserve">(</w:t>
      </w:r>
      <w:r>
        <w:rPr>
          <w:rStyle w:val="NormalTok"/>
        </w:rPr>
        <w:t xml:space="preserve">text</w:t>
      </w:r>
      <w:r>
        <w:rPr>
          <w:rStyle w:val="OtherTok"/>
        </w:rPr>
        <w:t xml:space="preserve">)</w:t>
      </w:r>
      <w:r>
        <w:br/>
      </w:r>
      <w:r>
        <w:rPr>
          <w:rStyle w:val="CommentTok"/>
        </w:rPr>
        <w:t xml:space="preserve">' Output: Line 1&lt;br&gt;Line 2&lt;br&gt;Line 3</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78"/>
    <w:bookmarkStart w:id="1579" w:name="api-reference-66"/>
    <w:p>
      <w:pPr>
        <w:pStyle w:val="Heading2"/>
      </w:pPr>
      <w:r>
        <w:t xml:space="preserve">API Reference</w:t>
      </w:r>
    </w:p>
    <w:p>
      <w:pPr>
        <w:pStyle w:val="Compact"/>
        <w:numPr>
          <w:ilvl w:val="0"/>
          <w:numId w:val="1464"/>
        </w:numPr>
      </w:pPr>
      <w:r>
        <w:rPr>
          <w:b/>
          <w:bCs/>
        </w:rPr>
        <w:t xml:space="preserve">Object</w:t>
      </w:r>
      <w:r>
        <w:t xml:space="preserve">:</w:t>
      </w:r>
      <w:r>
        <w:t xml:space="preserve"> </w:t>
      </w:r>
      <w:r>
        <w:rPr>
          <w:rStyle w:val="VerbatimChar"/>
        </w:rPr>
        <w:t xml:space="preserve">G3AXON.FUNCTIONS</w:t>
      </w:r>
    </w:p>
    <w:p>
      <w:pPr>
        <w:pStyle w:val="Compact"/>
        <w:numPr>
          <w:ilvl w:val="0"/>
          <w:numId w:val="1464"/>
        </w:numPr>
      </w:pPr>
      <w:r>
        <w:rPr>
          <w:b/>
          <w:bCs/>
        </w:rPr>
        <w:t xml:space="preserve">Method</w:t>
      </w:r>
      <w:r>
        <w:t xml:space="preserve">:</w:t>
      </w:r>
      <w:r>
        <w:t xml:space="preserve"> </w:t>
      </w:r>
      <w:r>
        <w:rPr>
          <w:rStyle w:val="VerbatimChar"/>
        </w:rPr>
        <w:t xml:space="preserve">AxNl2br</w:t>
      </w:r>
    </w:p>
    <w:p>
      <w:pPr>
        <w:pStyle w:val="Compact"/>
        <w:numPr>
          <w:ilvl w:val="0"/>
          <w:numId w:val="1464"/>
        </w:numPr>
      </w:pPr>
      <w:r>
        <w:rPr>
          <w:b/>
          <w:bCs/>
        </w:rPr>
        <w:t xml:space="preserve">Arguments</w:t>
      </w:r>
      <w:r>
        <w:t xml:space="preserve">:</w:t>
      </w:r>
      <w:r>
        <w:t xml:space="preserve"> </w:t>
      </w:r>
      <w:r>
        <w:rPr>
          <w:rStyle w:val="VerbatimChar"/>
        </w:rPr>
        <w:t xml:space="preserve">str As String</w:t>
      </w:r>
    </w:p>
    <w:p>
      <w:pPr>
        <w:pStyle w:val="Compact"/>
        <w:numPr>
          <w:ilvl w:val="0"/>
          <w:numId w:val="1464"/>
        </w:numPr>
      </w:pPr>
      <w:r>
        <w:rPr>
          <w:b/>
          <w:bCs/>
        </w:rPr>
        <w:t xml:space="preserve">Returns</w:t>
      </w:r>
      <w:r>
        <w:t xml:space="preserve">:</w:t>
      </w:r>
      <w:r>
        <w:t xml:space="preserve"> </w:t>
      </w:r>
      <w:r>
        <w:rPr>
          <w:rStyle w:val="VerbatimChar"/>
        </w:rPr>
        <w:t xml:space="preserve">String</w:t>
      </w:r>
      <w:r>
        <w:t xml:space="preserve"> </w:t>
      </w:r>
      <w:r>
        <w:t xml:space="preserve">(string with newlines replaced by</w:t>
      </w:r>
      <w:r>
        <w:t xml:space="preserve"> </w:t>
      </w:r>
      <w:r>
        <w:rPr>
          <w:rStyle w:val="VerbatimChar"/>
        </w:rPr>
        <w:t xml:space="preserve">&lt;br&gt;</w:t>
      </w:r>
      <w:r>
        <w:t xml:space="preserve">)</w:t>
      </w:r>
    </w:p>
    <w:bookmarkEnd w:id="1579"/>
    <w:bookmarkEnd w:id="1580"/>
    <w:bookmarkStart w:id="1589" w:name="X22663cfa750952a979afd1a1d4ad21164605a1a"/>
    <w:p>
      <w:pPr>
        <w:pStyle w:val="Heading1"/>
      </w:pPr>
      <w:r>
        <w:t xml:space="preserve">Trim Characters from Both Ends of a String</w:t>
      </w:r>
    </w:p>
    <w:bookmarkStart w:id="1581" w:name="overview-107"/>
    <w:p>
      <w:pPr>
        <w:pStyle w:val="Heading2"/>
      </w:pPr>
      <w:r>
        <w:t xml:space="preserve">Overview</w:t>
      </w:r>
    </w:p>
    <w:p>
      <w:pPr>
        <w:pStyle w:val="FirstParagraph"/>
      </w:pPr>
      <w:r>
        <w:t xml:space="preserve">Removes leading and trailing characters from a string. Defaults to stripping standard whitespace.</w:t>
      </w:r>
    </w:p>
    <w:bookmarkEnd w:id="1581"/>
    <w:bookmarkStart w:id="1582" w:name="prerequisites-6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82"/>
    <w:bookmarkStart w:id="1583" w:name="syntax-124"/>
    <w:p>
      <w:pPr>
        <w:pStyle w:val="Heading2"/>
      </w:pPr>
      <w:r>
        <w:t xml:space="preserve">Syntax</w:t>
      </w:r>
    </w:p>
    <w:p>
      <w:pPr>
        <w:pStyle w:val="SourceCode"/>
      </w:pPr>
      <w:r>
        <w:rPr>
          <w:rStyle w:val="NormalTok"/>
        </w:rPr>
        <w:t xml:space="preserve">result = obj.AxTrim(str [, chars])</w:t>
      </w:r>
    </w:p>
    <w:bookmarkEnd w:id="1583"/>
    <w:bookmarkStart w:id="1584" w:name="parameters-5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w:t>
            </w:r>
          </w:p>
        </w:tc>
        <w:tc>
          <w:tcPr/>
          <w:p>
            <w:pPr>
              <w:pStyle w:val="Compact"/>
            </w:pPr>
            <w:r>
              <w:t xml:space="preserve">String</w:t>
            </w:r>
          </w:p>
        </w:tc>
        <w:tc>
          <w:tcPr/>
          <w:p>
            <w:pPr>
              <w:pStyle w:val="Compact"/>
            </w:pPr>
            <w:r>
              <w:t xml:space="preserve">Yes</w:t>
            </w:r>
          </w:p>
        </w:tc>
        <w:tc>
          <w:tcPr/>
          <w:p>
            <w:pPr>
              <w:pStyle w:val="Compact"/>
            </w:pPr>
            <w:r>
              <w:t xml:space="preserve">The string to trim.</w:t>
            </w:r>
          </w:p>
        </w:tc>
      </w:tr>
      <w:tr>
        <w:tc>
          <w:tcPr/>
          <w:p>
            <w:pPr>
              <w:pStyle w:val="Compact"/>
            </w:pPr>
            <w:r>
              <w:t xml:space="preserve">chars</w:t>
            </w:r>
          </w:p>
        </w:tc>
        <w:tc>
          <w:tcPr/>
          <w:p>
            <w:pPr>
              <w:pStyle w:val="Compact"/>
            </w:pPr>
            <w:r>
              <w:t xml:space="preserve">String</w:t>
            </w:r>
          </w:p>
        </w:tc>
        <w:tc>
          <w:tcPr/>
          <w:p>
            <w:pPr>
              <w:pStyle w:val="Compact"/>
            </w:pPr>
            <w:r>
              <w:t xml:space="preserve">Optional</w:t>
            </w:r>
          </w:p>
        </w:tc>
        <w:tc>
          <w:tcPr/>
          <w:p>
            <w:pPr>
              <w:pStyle w:val="Compact"/>
            </w:pPr>
            <w:r>
              <w:t xml:space="preserve">A set of characters to strip from both ends. When omitted, the default set</w:t>
            </w:r>
            <w:r>
              <w:t xml:space="preserve"> </w:t>
            </w:r>
            <w:r>
              <w:rPr>
                <w:rStyle w:val="VerbatimChar"/>
              </w:rPr>
              <w:t xml:space="preserve">" \t\n\r\v\f"</w:t>
            </w:r>
            <w:r>
              <w:t xml:space="preserve"> </w:t>
            </w:r>
            <w:r>
              <w:t xml:space="preserve">is used.</w:t>
            </w:r>
          </w:p>
        </w:tc>
      </w:tr>
    </w:tbl>
    <w:bookmarkEnd w:id="1584"/>
    <w:bookmarkStart w:id="1585" w:name="return-value-70"/>
    <w:p>
      <w:pPr>
        <w:pStyle w:val="Heading2"/>
      </w:pPr>
      <w:r>
        <w:t xml:space="preserve">Return Value</w:t>
      </w:r>
    </w:p>
    <w:p>
      <w:pPr>
        <w:pStyle w:val="Compact"/>
        <w:numPr>
          <w:ilvl w:val="0"/>
          <w:numId w:val="1465"/>
        </w:numPr>
      </w:pPr>
      <w:r>
        <w:rPr>
          <w:b/>
          <w:bCs/>
        </w:rPr>
        <w:t xml:space="preserve">String</w:t>
      </w:r>
      <w:r>
        <w:t xml:space="preserve">: Returns</w:t>
      </w:r>
      <w:r>
        <w:t xml:space="preserve"> </w:t>
      </w:r>
      <w:r>
        <w:rPr>
          <w:rStyle w:val="VerbatimChar"/>
        </w:rPr>
        <w:t xml:space="preserve">str</w:t>
      </w:r>
      <w:r>
        <w:t xml:space="preserve"> </w:t>
      </w:r>
      <w:r>
        <w:t xml:space="preserve">with all leading and trailing occurrences of any character in</w:t>
      </w:r>
      <w:r>
        <w:t xml:space="preserve"> </w:t>
      </w:r>
      <w:r>
        <w:rPr>
          <w:rStyle w:val="VerbatimChar"/>
        </w:rPr>
        <w:t xml:space="preserve">chars</w:t>
      </w:r>
      <w:r>
        <w:t xml:space="preserve"> </w:t>
      </w:r>
      <w:r>
        <w:t xml:space="preserve">removed.</w:t>
      </w:r>
    </w:p>
    <w:p>
      <w:pPr>
        <w:pStyle w:val="Compact"/>
        <w:numPr>
          <w:ilvl w:val="0"/>
          <w:numId w:val="1465"/>
        </w:numPr>
      </w:pPr>
      <w:r>
        <w:rPr>
          <w:b/>
          <w:bCs/>
        </w:rPr>
        <w:t xml:space="preserve">String</w:t>
      </w:r>
      <w:r>
        <w:t xml:space="preserve">: Returns an empty string when no argument is provided.</w:t>
      </w:r>
    </w:p>
    <w:bookmarkEnd w:id="1585"/>
    <w:bookmarkStart w:id="1586" w:name="remarks-136"/>
    <w:p>
      <w:pPr>
        <w:pStyle w:val="Heading2"/>
      </w:pPr>
      <w:r>
        <w:t xml:space="preserve">Remarks</w:t>
      </w:r>
    </w:p>
    <w:p>
      <w:pPr>
        <w:pStyle w:val="Compact"/>
        <w:numPr>
          <w:ilvl w:val="0"/>
          <w:numId w:val="1466"/>
        </w:numPr>
      </w:pPr>
      <w:r>
        <w:rPr>
          <w:rStyle w:val="VerbatimChar"/>
        </w:rPr>
        <w:t xml:space="preserve">chars</w:t>
      </w:r>
      <w:r>
        <w:t xml:space="preserve"> </w:t>
      </w:r>
      <w:r>
        <w:t xml:space="preserve">works as a character set, not as a literal substring — any character in</w:t>
      </w:r>
      <w:r>
        <w:t xml:space="preserve"> </w:t>
      </w:r>
      <w:r>
        <w:rPr>
          <w:rStyle w:val="VerbatimChar"/>
        </w:rPr>
        <w:t xml:space="preserve">chars</w:t>
      </w:r>
      <w:r>
        <w:t xml:space="preserve"> </w:t>
      </w:r>
      <w:r>
        <w:t xml:space="preserve">is trimmed.</w:t>
      </w:r>
    </w:p>
    <w:p>
      <w:pPr>
        <w:pStyle w:val="Compact"/>
        <w:numPr>
          <w:ilvl w:val="0"/>
          <w:numId w:val="1466"/>
        </w:numPr>
      </w:pPr>
      <w:r>
        <w:t xml:space="preserve">Method names are case-insensitive in VBScript dispatch.</w:t>
      </w:r>
    </w:p>
    <w:bookmarkEnd w:id="1586"/>
    <w:bookmarkStart w:id="1587" w:name="example-7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ax.AxTrim</w:t>
      </w:r>
      <w:r>
        <w:rPr>
          <w:rStyle w:val="OtherTok"/>
        </w:rPr>
        <w:t xml:space="preserve">(</w:t>
      </w:r>
      <w:r>
        <w:rPr>
          <w:rStyle w:val="StringTok"/>
        </w:rPr>
        <w:t xml:space="preserve">"   Hello World   "</w:t>
      </w:r>
      <w:r>
        <w:rPr>
          <w:rStyle w:val="OtherTok"/>
        </w:rPr>
        <w:t xml:space="preserve">)</w:t>
      </w:r>
      <w:r>
        <w:br/>
      </w:r>
      <w:r>
        <w:rPr>
          <w:rStyle w:val="CommentTok"/>
        </w:rPr>
        <w:t xml:space="preserve">' Output: Hello World</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ax.AxTrim</w:t>
      </w:r>
      <w:r>
        <w:rPr>
          <w:rStyle w:val="OtherTok"/>
        </w:rPr>
        <w:t xml:space="preserve">(</w:t>
      </w:r>
      <w:r>
        <w:rPr>
          <w:rStyle w:val="StringTok"/>
        </w:rPr>
        <w:t xml:space="preserve">"***data***"</w:t>
      </w:r>
      <w:r>
        <w:rPr>
          <w:rStyle w:val="OtherTok"/>
        </w:rPr>
        <w:t xml:space="preserve">,</w:t>
      </w:r>
      <w:r>
        <w:rPr>
          <w:rStyle w:val="NormalTok"/>
        </w:rPr>
        <w:t xml:space="preserve"> </w:t>
      </w:r>
      <w:r>
        <w:rPr>
          <w:rStyle w:val="StringTok"/>
        </w:rPr>
        <w:t xml:space="preserve">"*"</w:t>
      </w:r>
      <w:r>
        <w:rPr>
          <w:rStyle w:val="OtherTok"/>
        </w:rPr>
        <w:t xml:space="preserve">)</w:t>
      </w:r>
      <w:r>
        <w:br/>
      </w:r>
      <w:r>
        <w:rPr>
          <w:rStyle w:val="CommentTok"/>
        </w:rPr>
        <w:t xml:space="preserve">' Output: data</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87"/>
    <w:bookmarkStart w:id="1588" w:name="api-reference-67"/>
    <w:p>
      <w:pPr>
        <w:pStyle w:val="Heading2"/>
      </w:pPr>
      <w:r>
        <w:t xml:space="preserve">API Reference</w:t>
      </w:r>
    </w:p>
    <w:p>
      <w:pPr>
        <w:pStyle w:val="Compact"/>
        <w:numPr>
          <w:ilvl w:val="0"/>
          <w:numId w:val="1467"/>
        </w:numPr>
      </w:pPr>
      <w:r>
        <w:rPr>
          <w:b/>
          <w:bCs/>
        </w:rPr>
        <w:t xml:space="preserve">Object</w:t>
      </w:r>
      <w:r>
        <w:t xml:space="preserve">:</w:t>
      </w:r>
      <w:r>
        <w:t xml:space="preserve"> </w:t>
      </w:r>
      <w:r>
        <w:rPr>
          <w:rStyle w:val="VerbatimChar"/>
        </w:rPr>
        <w:t xml:space="preserve">G3AXON.FUNCTIONS</w:t>
      </w:r>
    </w:p>
    <w:p>
      <w:pPr>
        <w:pStyle w:val="Compact"/>
        <w:numPr>
          <w:ilvl w:val="0"/>
          <w:numId w:val="1467"/>
        </w:numPr>
      </w:pPr>
      <w:r>
        <w:rPr>
          <w:b/>
          <w:bCs/>
        </w:rPr>
        <w:t xml:space="preserve">Method</w:t>
      </w:r>
      <w:r>
        <w:t xml:space="preserve">:</w:t>
      </w:r>
      <w:r>
        <w:t xml:space="preserve"> </w:t>
      </w:r>
      <w:r>
        <w:rPr>
          <w:rStyle w:val="VerbatimChar"/>
        </w:rPr>
        <w:t xml:space="preserve">AxTrim</w:t>
      </w:r>
    </w:p>
    <w:p>
      <w:pPr>
        <w:pStyle w:val="Compact"/>
        <w:numPr>
          <w:ilvl w:val="0"/>
          <w:numId w:val="1467"/>
        </w:numPr>
      </w:pPr>
      <w:r>
        <w:rPr>
          <w:b/>
          <w:bCs/>
        </w:rPr>
        <w:t xml:space="preserve">Arguments</w:t>
      </w:r>
      <w:r>
        <w:t xml:space="preserve">:</w:t>
      </w:r>
      <w:r>
        <w:t xml:space="preserve"> </w:t>
      </w:r>
      <w:r>
        <w:rPr>
          <w:rStyle w:val="VerbatimChar"/>
        </w:rPr>
        <w:t xml:space="preserve">str As String [, chars As String]</w:t>
      </w:r>
    </w:p>
    <w:p>
      <w:pPr>
        <w:pStyle w:val="Compact"/>
        <w:numPr>
          <w:ilvl w:val="0"/>
          <w:numId w:val="1467"/>
        </w:numPr>
      </w:pPr>
      <w:r>
        <w:rPr>
          <w:b/>
          <w:bCs/>
        </w:rPr>
        <w:t xml:space="preserve">Returns</w:t>
      </w:r>
      <w:r>
        <w:t xml:space="preserve">:</w:t>
      </w:r>
      <w:r>
        <w:t xml:space="preserve"> </w:t>
      </w:r>
      <w:r>
        <w:rPr>
          <w:rStyle w:val="VerbatimChar"/>
        </w:rPr>
        <w:t xml:space="preserve">String</w:t>
      </w:r>
      <w:r>
        <w:t xml:space="preserve"> </w:t>
      </w:r>
      <w:r>
        <w:t xml:space="preserve">(trimmed string)</w:t>
      </w:r>
    </w:p>
    <w:bookmarkEnd w:id="1588"/>
    <w:bookmarkEnd w:id="1589"/>
    <w:bookmarkStart w:id="1598" w:name="parse-a-csv-row-string"/>
    <w:p>
      <w:pPr>
        <w:pStyle w:val="Heading1"/>
      </w:pPr>
      <w:r>
        <w:t xml:space="preserve">Parse a CSV Row String</w:t>
      </w:r>
    </w:p>
    <w:bookmarkStart w:id="1590" w:name="overview-108"/>
    <w:p>
      <w:pPr>
        <w:pStyle w:val="Heading2"/>
      </w:pPr>
      <w:r>
        <w:t xml:space="preserve">Overview</w:t>
      </w:r>
    </w:p>
    <w:p>
      <w:pPr>
        <w:pStyle w:val="FirstParagraph"/>
      </w:pPr>
      <w:r>
        <w:t xml:space="preserve">Parses one CSV-formatted row string and returns its fields as a zero-based VBArray.</w:t>
      </w:r>
    </w:p>
    <w:bookmarkEnd w:id="1590"/>
    <w:bookmarkStart w:id="1591" w:name="prerequisites-6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591"/>
    <w:bookmarkStart w:id="1592" w:name="syntax-125"/>
    <w:p>
      <w:pPr>
        <w:pStyle w:val="Heading2"/>
      </w:pPr>
      <w:r>
        <w:t xml:space="preserve">Syntax</w:t>
      </w:r>
    </w:p>
    <w:p>
      <w:pPr>
        <w:pStyle w:val="SourceCode"/>
      </w:pPr>
      <w:r>
        <w:rPr>
          <w:rStyle w:val="NormalTok"/>
        </w:rPr>
        <w:t xml:space="preserve">arr = obj.AxStringGetCSV(str [, delimiter])</w:t>
      </w:r>
    </w:p>
    <w:bookmarkEnd w:id="1592"/>
    <w:bookmarkStart w:id="1593" w:name="parameters-5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w:t>
            </w:r>
          </w:p>
        </w:tc>
        <w:tc>
          <w:tcPr/>
          <w:p>
            <w:pPr>
              <w:pStyle w:val="Compact"/>
            </w:pPr>
            <w:r>
              <w:t xml:space="preserve">String</w:t>
            </w:r>
          </w:p>
        </w:tc>
        <w:tc>
          <w:tcPr/>
          <w:p>
            <w:pPr>
              <w:pStyle w:val="Compact"/>
            </w:pPr>
            <w:r>
              <w:t xml:space="preserve">Yes</w:t>
            </w:r>
          </w:p>
        </w:tc>
        <w:tc>
          <w:tcPr/>
          <w:p>
            <w:pPr>
              <w:pStyle w:val="Compact"/>
            </w:pPr>
            <w:r>
              <w:t xml:space="preserve">A single CSV row string to parse. Quoted fields and embedded delimiters are handled correctly.</w:t>
            </w:r>
          </w:p>
        </w:tc>
      </w:tr>
      <w:tr>
        <w:tc>
          <w:tcPr/>
          <w:p>
            <w:pPr>
              <w:pStyle w:val="Compact"/>
            </w:pPr>
            <w:r>
              <w:t xml:space="preserve">delimiter</w:t>
            </w:r>
          </w:p>
        </w:tc>
        <w:tc>
          <w:tcPr/>
          <w:p>
            <w:pPr>
              <w:pStyle w:val="Compact"/>
            </w:pPr>
            <w:r>
              <w:t xml:space="preserve">String</w:t>
            </w:r>
          </w:p>
        </w:tc>
        <w:tc>
          <w:tcPr/>
          <w:p>
            <w:pPr>
              <w:pStyle w:val="Compact"/>
            </w:pPr>
            <w:r>
              <w:t xml:space="preserve">Optional</w:t>
            </w:r>
          </w:p>
        </w:tc>
        <w:tc>
          <w:tcPr/>
          <w:p>
            <w:pPr>
              <w:pStyle w:val="Compact"/>
            </w:pPr>
            <w:r>
              <w:t xml:space="preserve">The field separator character. Only the first character in the string is used. Defaults to</w:t>
            </w:r>
            <w:r>
              <w:t xml:space="preserve"> </w:t>
            </w:r>
            <w:r>
              <w:rPr>
                <w:rStyle w:val="VerbatimChar"/>
              </w:rPr>
              <w:t xml:space="preserve">,</w:t>
            </w:r>
            <w:r>
              <w:t xml:space="preserve">.</w:t>
            </w:r>
          </w:p>
        </w:tc>
      </w:tr>
    </w:tbl>
    <w:bookmarkEnd w:id="1593"/>
    <w:bookmarkStart w:id="1594" w:name="return-value-71"/>
    <w:p>
      <w:pPr>
        <w:pStyle w:val="Heading2"/>
      </w:pPr>
      <w:r>
        <w:t xml:space="preserve">Return Value</w:t>
      </w:r>
    </w:p>
    <w:p>
      <w:pPr>
        <w:pStyle w:val="Compact"/>
        <w:numPr>
          <w:ilvl w:val="0"/>
          <w:numId w:val="1468"/>
        </w:numPr>
      </w:pPr>
      <w:r>
        <w:rPr>
          <w:b/>
          <w:bCs/>
        </w:rPr>
        <w:t xml:space="preserve">Array</w:t>
      </w:r>
      <w:r>
        <w:t xml:space="preserve">: Returns a zero-based VBArray of String fields parsed from</w:t>
      </w:r>
      <w:r>
        <w:t xml:space="preserve"> </w:t>
      </w:r>
      <w:r>
        <w:rPr>
          <w:rStyle w:val="VerbatimChar"/>
        </w:rPr>
        <w:t xml:space="preserve">str</w:t>
      </w:r>
      <w:r>
        <w:t xml:space="preserve">.</w:t>
      </w:r>
    </w:p>
    <w:p>
      <w:pPr>
        <w:pStyle w:val="Compact"/>
        <w:numPr>
          <w:ilvl w:val="0"/>
          <w:numId w:val="1468"/>
        </w:numPr>
      </w:pPr>
      <w:r>
        <w:rPr>
          <w:b/>
          <w:bCs/>
        </w:rPr>
        <w:t xml:space="preserve">Array</w:t>
      </w:r>
      <w:r>
        <w:t xml:space="preserve">: Returns an empty array when no argument is provided or when parsing fails.</w:t>
      </w:r>
    </w:p>
    <w:bookmarkEnd w:id="1594"/>
    <w:bookmarkStart w:id="1595" w:name="remarks-137"/>
    <w:p>
      <w:pPr>
        <w:pStyle w:val="Heading2"/>
      </w:pPr>
      <w:r>
        <w:t xml:space="preserve">Remarks</w:t>
      </w:r>
    </w:p>
    <w:p>
      <w:pPr>
        <w:pStyle w:val="Compact"/>
        <w:numPr>
          <w:ilvl w:val="0"/>
          <w:numId w:val="1469"/>
        </w:numPr>
      </w:pPr>
      <w:r>
        <w:t xml:space="preserve">Only the first row of a multi-row CSV string is parsed.</w:t>
      </w:r>
    </w:p>
    <w:p>
      <w:pPr>
        <w:pStyle w:val="Compact"/>
        <w:numPr>
          <w:ilvl w:val="0"/>
          <w:numId w:val="1469"/>
        </w:numPr>
      </w:pPr>
      <w:r>
        <w:t xml:space="preserve">Quoted fields with embedded commas are handled correctly by the underlying CSV parser.</w:t>
      </w:r>
    </w:p>
    <w:p>
      <w:pPr>
        <w:pStyle w:val="Compact"/>
        <w:numPr>
          <w:ilvl w:val="0"/>
          <w:numId w:val="1469"/>
        </w:numPr>
      </w:pPr>
      <w:r>
        <w:t xml:space="preserve">Method names are case-insensitive in VBScript dispatch.</w:t>
      </w:r>
    </w:p>
    <w:bookmarkEnd w:id="1595"/>
    <w:bookmarkStart w:id="1596" w:name="example-7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fields</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fields = ax.AxStringGetCSV</w:t>
      </w:r>
      <w:r>
        <w:rPr>
          <w:rStyle w:val="OtherTok"/>
        </w:rPr>
        <w:t xml:space="preserve">(</w:t>
      </w:r>
      <w:r>
        <w:rPr>
          <w:rStyle w:val="StringTok"/>
        </w:rPr>
        <w:t xml:space="preserve">"apple,\"</w:t>
      </w:r>
      <w:r>
        <w:rPr>
          <w:rStyle w:val="NormalTok"/>
        </w:rPr>
        <w:t xml:space="preserve">banana</w:t>
      </w:r>
      <w:r>
        <w:rPr>
          <w:rStyle w:val="OtherTok"/>
        </w:rPr>
        <w:t xml:space="preserve">,</w:t>
      </w:r>
      <w:r>
        <w:rPr>
          <w:rStyle w:val="FunctionTok"/>
        </w:rPr>
        <w:t xml:space="preserve">split</w:t>
      </w:r>
      <w:r>
        <w:rPr>
          <w:rStyle w:val="NormalTok"/>
        </w:rPr>
        <w:t xml:space="preserve">\</w:t>
      </w:r>
      <w:r>
        <w:rPr>
          <w:rStyle w:val="StringTok"/>
        </w:rPr>
        <w:t xml:space="preserve">",cherry"</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fields</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apple</w:t>
      </w:r>
      <w:r>
        <w:br/>
      </w:r>
      <w:r>
        <w:rPr>
          <w:rStyle w:val="FunctionTok"/>
        </w:rPr>
        <w:t xml:space="preserve">Response</w:t>
      </w:r>
      <w:r>
        <w:rPr>
          <w:rStyle w:val="NormalTok"/>
        </w:rPr>
        <w:t xml:space="preserve">.</w:t>
      </w:r>
      <w:r>
        <w:rPr>
          <w:rStyle w:val="FunctionTok"/>
        </w:rPr>
        <w:t xml:space="preserve">Write</w:t>
      </w:r>
      <w:r>
        <w:rPr>
          <w:rStyle w:val="NormalTok"/>
        </w:rPr>
        <w:t xml:space="preserve"> fields</w:t>
      </w:r>
      <w:r>
        <w:rPr>
          <w:rStyle w:val="OtherTok"/>
        </w:rPr>
        <w:t xml:space="preserve">(</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banana,split</w:t>
      </w:r>
      <w:r>
        <w:br/>
      </w:r>
      <w:r>
        <w:rPr>
          <w:rStyle w:val="FunctionTok"/>
        </w:rPr>
        <w:t xml:space="preserve">Response</w:t>
      </w:r>
      <w:r>
        <w:rPr>
          <w:rStyle w:val="NormalTok"/>
        </w:rPr>
        <w:t xml:space="preserve">.</w:t>
      </w:r>
      <w:r>
        <w:rPr>
          <w:rStyle w:val="FunctionTok"/>
        </w:rPr>
        <w:t xml:space="preserve">Write</w:t>
      </w:r>
      <w:r>
        <w:rPr>
          <w:rStyle w:val="NormalTok"/>
        </w:rPr>
        <w:t xml:space="preserve"> fields</w:t>
      </w:r>
      <w:r>
        <w:rPr>
          <w:rStyle w:val="OtherTok"/>
        </w:rPr>
        <w:t xml:space="preserve">(</w:t>
      </w:r>
      <w:r>
        <w:rPr>
          <w:rStyle w:val="DecValTok"/>
        </w:rPr>
        <w:t xml:space="preserve">2</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cherry</w:t>
      </w:r>
      <w:r>
        <w:br/>
      </w:r>
      <w:r>
        <w:br/>
      </w:r>
      <w:r>
        <w:rPr>
          <w:rStyle w:val="CommentTok"/>
        </w:rPr>
        <w:t xml:space="preserve">' Tab-delimited</w:t>
      </w:r>
      <w:r>
        <w:br/>
      </w:r>
      <w:r>
        <w:rPr>
          <w:rStyle w:val="NormalTok"/>
        </w:rPr>
        <w:t xml:space="preserve">fields = ax.AxStringGetCSV</w:t>
      </w:r>
      <w:r>
        <w:rPr>
          <w:rStyle w:val="OtherTok"/>
        </w:rPr>
        <w:t xml:space="preserve">(</w:t>
      </w:r>
      <w:r>
        <w:rPr>
          <w:rStyle w:val="StringTok"/>
        </w:rPr>
        <w:t xml:space="preserve">"col1"</w:t>
      </w:r>
      <w:r>
        <w:rPr>
          <w:rStyle w:val="NormalTok"/>
        </w:rPr>
        <w:t xml:space="preserve"> </w:t>
      </w:r>
      <w:r>
        <w:rPr>
          <w:rStyle w:val="KeywordTok"/>
        </w:rPr>
        <w:t xml:space="preserve">&amp;</w:t>
      </w:r>
      <w:r>
        <w:rPr>
          <w:rStyle w:val="NormalTok"/>
        </w:rPr>
        <w:t xml:space="preserve"> </w:t>
      </w:r>
      <w:r>
        <w:rPr>
          <w:rStyle w:val="FunctionTok"/>
        </w:rPr>
        <w:t xml:space="preserve">Chr</w:t>
      </w:r>
      <w:r>
        <w:rPr>
          <w:rStyle w:val="OtherTok"/>
        </w:rPr>
        <w:t xml:space="preserve">(</w:t>
      </w:r>
      <w:r>
        <w:rPr>
          <w:rStyle w:val="DecValTok"/>
        </w:rPr>
        <w:t xml:space="preserve">9</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"col2"</w:t>
      </w:r>
      <w:r>
        <w:rPr>
          <w:rStyle w:val="OtherTok"/>
        </w:rPr>
        <w:t xml:space="preserve">,</w:t>
      </w:r>
      <w:r>
        <w:rPr>
          <w:rStyle w:val="NormalTok"/>
        </w:rPr>
        <w:t xml:space="preserve"> </w:t>
      </w:r>
      <w:r>
        <w:rPr>
          <w:rStyle w:val="FunctionTok"/>
        </w:rPr>
        <w:t xml:space="preserve">Chr</w:t>
      </w:r>
      <w:r>
        <w:rPr>
          <w:rStyle w:val="OtherTok"/>
        </w:rPr>
        <w:t xml:space="preserve">(</w:t>
      </w:r>
      <w:r>
        <w:rPr>
          <w:rStyle w:val="DecValTok"/>
        </w:rPr>
        <w:t xml:space="preserve">9</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fields</w:t>
      </w:r>
      <w:r>
        <w:rPr>
          <w:rStyle w:val="OtherTok"/>
        </w:rPr>
        <w:t xml:space="preserve">(</w:t>
      </w:r>
      <w:r>
        <w:rPr>
          <w:rStyle w:val="DecValTok"/>
        </w:rPr>
        <w:t xml:space="preserve">0</w:t>
      </w:r>
      <w:r>
        <w:rPr>
          <w:rStyle w:val="OtherTok"/>
        </w:rPr>
        <w:t xml:space="preserve">)</w:t>
      </w:r>
      <w:r>
        <w:rPr>
          <w:rStyle w:val="NormalTok"/>
        </w:rPr>
        <w:t xml:space="preserve">          </w:t>
      </w:r>
      <w:r>
        <w:rPr>
          <w:rStyle w:val="CommentTok"/>
        </w:rPr>
        <w:t xml:space="preserve">' col1</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596"/>
    <w:bookmarkStart w:id="1597" w:name="api-reference-68"/>
    <w:p>
      <w:pPr>
        <w:pStyle w:val="Heading2"/>
      </w:pPr>
      <w:r>
        <w:t xml:space="preserve">API Reference</w:t>
      </w:r>
    </w:p>
    <w:p>
      <w:pPr>
        <w:pStyle w:val="Compact"/>
        <w:numPr>
          <w:ilvl w:val="0"/>
          <w:numId w:val="1470"/>
        </w:numPr>
      </w:pPr>
      <w:r>
        <w:rPr>
          <w:b/>
          <w:bCs/>
        </w:rPr>
        <w:t xml:space="preserve">Object</w:t>
      </w:r>
      <w:r>
        <w:t xml:space="preserve">:</w:t>
      </w:r>
      <w:r>
        <w:t xml:space="preserve"> </w:t>
      </w:r>
      <w:r>
        <w:rPr>
          <w:rStyle w:val="VerbatimChar"/>
        </w:rPr>
        <w:t xml:space="preserve">G3AXON.FUNCTIONS</w:t>
      </w:r>
    </w:p>
    <w:p>
      <w:pPr>
        <w:pStyle w:val="Compact"/>
        <w:numPr>
          <w:ilvl w:val="0"/>
          <w:numId w:val="1470"/>
        </w:numPr>
      </w:pPr>
      <w:r>
        <w:rPr>
          <w:b/>
          <w:bCs/>
        </w:rPr>
        <w:t xml:space="preserve">Method</w:t>
      </w:r>
      <w:r>
        <w:t xml:space="preserve">:</w:t>
      </w:r>
      <w:r>
        <w:t xml:space="preserve"> </w:t>
      </w:r>
      <w:r>
        <w:rPr>
          <w:rStyle w:val="VerbatimChar"/>
        </w:rPr>
        <w:t xml:space="preserve">AxStringGetCSV</w:t>
      </w:r>
    </w:p>
    <w:p>
      <w:pPr>
        <w:pStyle w:val="Compact"/>
        <w:numPr>
          <w:ilvl w:val="0"/>
          <w:numId w:val="1470"/>
        </w:numPr>
      </w:pPr>
      <w:r>
        <w:rPr>
          <w:b/>
          <w:bCs/>
        </w:rPr>
        <w:t xml:space="preserve">Arguments</w:t>
      </w:r>
      <w:r>
        <w:t xml:space="preserve">:</w:t>
      </w:r>
      <w:r>
        <w:t xml:space="preserve"> </w:t>
      </w:r>
      <w:r>
        <w:rPr>
          <w:rStyle w:val="VerbatimChar"/>
        </w:rPr>
        <w:t xml:space="preserve">str As String [, delimiter As String]</w:t>
      </w:r>
    </w:p>
    <w:p>
      <w:pPr>
        <w:pStyle w:val="Compact"/>
        <w:numPr>
          <w:ilvl w:val="0"/>
          <w:numId w:val="1470"/>
        </w:numPr>
      </w:pPr>
      <w:r>
        <w:rPr>
          <w:b/>
          <w:bCs/>
        </w:rPr>
        <w:t xml:space="preserve">Returns</w:t>
      </w:r>
      <w:r>
        <w:t xml:space="preserve">:</w:t>
      </w:r>
      <w:r>
        <w:t xml:space="preserve"> </w:t>
      </w:r>
      <w:r>
        <w:rPr>
          <w:rStyle w:val="VerbatimChar"/>
        </w:rPr>
        <w:t xml:space="preserve">Array</w:t>
      </w:r>
      <w:r>
        <w:t xml:space="preserve"> </w:t>
      </w:r>
      <w:r>
        <w:t xml:space="preserve">(zero-based VBArray of String fields)</w:t>
      </w:r>
    </w:p>
    <w:bookmarkEnd w:id="1597"/>
    <w:bookmarkEnd w:id="1598"/>
    <w:bookmarkStart w:id="1607" w:name="compute-an-md5-hash"/>
    <w:p>
      <w:pPr>
        <w:pStyle w:val="Heading1"/>
      </w:pPr>
      <w:r>
        <w:t xml:space="preserve">Compute an MD5 Hash</w:t>
      </w:r>
    </w:p>
    <w:bookmarkStart w:id="1599" w:name="overview-109"/>
    <w:p>
      <w:pPr>
        <w:pStyle w:val="Heading2"/>
      </w:pPr>
      <w:r>
        <w:t xml:space="preserve">Overview</w:t>
      </w:r>
    </w:p>
    <w:p>
      <w:pPr>
        <w:pStyle w:val="FirstParagraph"/>
      </w:pPr>
      <w:r>
        <w:t xml:space="preserve">Computes the MD5 hash of a string and returns it as a lowercase hexadecimal string.</w:t>
      </w:r>
    </w:p>
    <w:bookmarkEnd w:id="1599"/>
    <w:bookmarkStart w:id="1600" w:name="prerequisites-6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00"/>
    <w:bookmarkStart w:id="1601" w:name="syntax-126"/>
    <w:p>
      <w:pPr>
        <w:pStyle w:val="Heading2"/>
      </w:pPr>
      <w:r>
        <w:t xml:space="preserve">Syntax</w:t>
      </w:r>
    </w:p>
    <w:p>
      <w:pPr>
        <w:pStyle w:val="SourceCode"/>
      </w:pPr>
      <w:r>
        <w:rPr>
          <w:rStyle w:val="NormalTok"/>
        </w:rPr>
        <w:t xml:space="preserve">result = ax.AxMD5(str)</w:t>
      </w:r>
    </w:p>
    <w:bookmarkEnd w:id="1601"/>
    <w:bookmarkStart w:id="1602" w:name="parameters-5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input string to hash.</w:t>
            </w:r>
          </w:p>
        </w:tc>
      </w:tr>
    </w:tbl>
    <w:bookmarkEnd w:id="1602"/>
    <w:bookmarkStart w:id="1603" w:name="return-value-72"/>
    <w:p>
      <w:pPr>
        <w:pStyle w:val="Heading2"/>
      </w:pPr>
      <w:r>
        <w:t xml:space="preserve">Return Value</w:t>
      </w:r>
    </w:p>
    <w:p>
      <w:pPr>
        <w:pStyle w:val="Compact"/>
        <w:numPr>
          <w:ilvl w:val="0"/>
          <w:numId w:val="1471"/>
        </w:numPr>
      </w:pPr>
      <w:r>
        <w:rPr>
          <w:b/>
          <w:bCs/>
        </w:rPr>
        <w:t xml:space="preserve">String</w:t>
      </w:r>
      <w:r>
        <w:t xml:space="preserve">: A 32-character lowercase hexadecimal MD5 digest.</w:t>
      </w:r>
    </w:p>
    <w:bookmarkEnd w:id="1603"/>
    <w:bookmarkStart w:id="1604" w:name="remarks-138"/>
    <w:p>
      <w:pPr>
        <w:pStyle w:val="Heading2"/>
      </w:pPr>
      <w:r>
        <w:t xml:space="preserve">Remarks</w:t>
      </w:r>
    </w:p>
    <w:p>
      <w:pPr>
        <w:pStyle w:val="Compact"/>
        <w:numPr>
          <w:ilvl w:val="0"/>
          <w:numId w:val="1472"/>
        </w:numPr>
      </w:pPr>
      <w:r>
        <w:t xml:space="preserve">MD5 is a fast, non-cryptographic-strength hash. Use it for checksums and non-security-sensitive identifiers, not for password storage.</w:t>
      </w:r>
    </w:p>
    <w:p>
      <w:pPr>
        <w:pStyle w:val="Compact"/>
        <w:numPr>
          <w:ilvl w:val="0"/>
          <w:numId w:val="1472"/>
        </w:numPr>
      </w:pPr>
      <w:r>
        <w:t xml:space="preserve">The input string is encoded as UTF-8 before hashing.</w:t>
      </w:r>
    </w:p>
    <w:p>
      <w:pPr>
        <w:pStyle w:val="Compact"/>
        <w:numPr>
          <w:ilvl w:val="0"/>
          <w:numId w:val="1472"/>
        </w:numPr>
      </w:pPr>
      <w:r>
        <w:t xml:space="preserve">Method names are case-insensitive.</w:t>
      </w:r>
    </w:p>
    <w:bookmarkEnd w:id="1604"/>
    <w:bookmarkStart w:id="1605" w:name="example-7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hash</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hash = ax.AxMD5</w:t>
      </w:r>
      <w:r>
        <w:rPr>
          <w:rStyle w:val="OtherTok"/>
        </w:rPr>
        <w:t xml:space="preserve">(</w:t>
      </w:r>
      <w:r>
        <w:rPr>
          <w:rStyle w:val="StringTok"/>
        </w:rPr>
        <w:t xml:space="preserve">"AxonASP"</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hash</w:t>
      </w:r>
      <w:r>
        <w:br/>
      </w:r>
      <w:r>
        <w:rPr>
          <w:rStyle w:val="CommentTok"/>
        </w:rPr>
        <w:t xml:space="preserve">' Output: 3e3a3e7f84bbf16cce4ad33fd9d68aca (example — actual value depends on input)</w:t>
      </w:r>
      <w:r>
        <w:br/>
      </w:r>
      <w:r>
        <w:br/>
      </w:r>
      <w:r>
        <w:rPr>
          <w:rStyle w:val="NormalTok"/>
        </w:rPr>
        <w:t xml:space="preserve">hash = ax.AxMD5</w:t>
      </w:r>
      <w:r>
        <w:rPr>
          <w:rStyle w:val="OtherTok"/>
        </w:rPr>
        <w:t xml:space="preserve">(</w:t>
      </w:r>
      <w:r>
        <w:rPr>
          <w:rStyle w:val="StringTok"/>
        </w:rPr>
        <w:t xml:space="preserve">"admin"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w:t>
      </w:r>
      <w:r>
        <w:rPr>
          <w:rStyle w:val="NormalTok"/>
        </w:rPr>
        <w:t xml:space="preserve"> </w:t>
      </w:r>
      <w:r>
        <w:rPr>
          <w:rStyle w:val="KeywordTok"/>
        </w:rPr>
        <w:t xml:space="preserve">&amp;</w:t>
      </w:r>
      <w:r>
        <w:rPr>
          <w:rStyle w:val="NormalTok"/>
        </w:rPr>
        <w:t xml:space="preserve"> hash</w:t>
      </w:r>
      <w:r>
        <w:br/>
      </w:r>
      <w:r>
        <w:rPr>
          <w:rStyle w:val="CommentTok"/>
        </w:rPr>
        <w:t xml:space="preserve">' Output: 21232f297a57a5a743894a0e4a801fc3</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05"/>
    <w:bookmarkStart w:id="1606" w:name="api-reference-69"/>
    <w:p>
      <w:pPr>
        <w:pStyle w:val="Heading2"/>
      </w:pPr>
      <w:r>
        <w:t xml:space="preserve">API Reference</w:t>
      </w:r>
    </w:p>
    <w:p>
      <w:pPr>
        <w:pStyle w:val="Compact"/>
        <w:numPr>
          <w:ilvl w:val="0"/>
          <w:numId w:val="1473"/>
        </w:numPr>
      </w:pPr>
      <w:r>
        <w:rPr>
          <w:b/>
          <w:bCs/>
        </w:rPr>
        <w:t xml:space="preserve">Object</w:t>
      </w:r>
      <w:r>
        <w:t xml:space="preserve">:</w:t>
      </w:r>
      <w:r>
        <w:t xml:space="preserve"> </w:t>
      </w:r>
      <w:r>
        <w:rPr>
          <w:rStyle w:val="VerbatimChar"/>
        </w:rPr>
        <w:t xml:space="preserve">G3AXON.FUNCTIONS</w:t>
      </w:r>
    </w:p>
    <w:p>
      <w:pPr>
        <w:pStyle w:val="Compact"/>
        <w:numPr>
          <w:ilvl w:val="0"/>
          <w:numId w:val="1473"/>
        </w:numPr>
      </w:pPr>
      <w:r>
        <w:rPr>
          <w:b/>
          <w:bCs/>
        </w:rPr>
        <w:t xml:space="preserve">Method</w:t>
      </w:r>
      <w:r>
        <w:t xml:space="preserve">:</w:t>
      </w:r>
      <w:r>
        <w:t xml:space="preserve"> </w:t>
      </w:r>
      <w:r>
        <w:rPr>
          <w:rStyle w:val="VerbatimChar"/>
        </w:rPr>
        <w:t xml:space="preserve">AxMD5</w:t>
      </w:r>
    </w:p>
    <w:p>
      <w:pPr>
        <w:pStyle w:val="Compact"/>
        <w:numPr>
          <w:ilvl w:val="0"/>
          <w:numId w:val="1473"/>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473"/>
        </w:numPr>
      </w:pPr>
      <w:r>
        <w:rPr>
          <w:b/>
          <w:bCs/>
        </w:rPr>
        <w:t xml:space="preserve">Returns</w:t>
      </w:r>
      <w:r>
        <w:t xml:space="preserve">: String — 32-character lowercase hexadecimal MD5 hash</w:t>
      </w:r>
    </w:p>
    <w:bookmarkEnd w:id="1606"/>
    <w:bookmarkEnd w:id="1607"/>
    <w:bookmarkStart w:id="1616" w:name="compute-a-sha-1-hash"/>
    <w:p>
      <w:pPr>
        <w:pStyle w:val="Heading1"/>
      </w:pPr>
      <w:r>
        <w:t xml:space="preserve">Compute a SHA-1 Hash</w:t>
      </w:r>
    </w:p>
    <w:bookmarkStart w:id="1608" w:name="overview-110"/>
    <w:p>
      <w:pPr>
        <w:pStyle w:val="Heading2"/>
      </w:pPr>
      <w:r>
        <w:t xml:space="preserve">Overview</w:t>
      </w:r>
    </w:p>
    <w:p>
      <w:pPr>
        <w:pStyle w:val="FirstParagraph"/>
      </w:pPr>
      <w:r>
        <w:t xml:space="preserve">Computes the SHA-1 hash of a string and returns it as a lowercase hexadecimal string.</w:t>
      </w:r>
    </w:p>
    <w:bookmarkEnd w:id="1608"/>
    <w:bookmarkStart w:id="1609" w:name="prerequisites-6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09"/>
    <w:bookmarkStart w:id="1610" w:name="syntax-127"/>
    <w:p>
      <w:pPr>
        <w:pStyle w:val="Heading2"/>
      </w:pPr>
      <w:r>
        <w:t xml:space="preserve">Syntax</w:t>
      </w:r>
    </w:p>
    <w:p>
      <w:pPr>
        <w:pStyle w:val="SourceCode"/>
      </w:pPr>
      <w:r>
        <w:rPr>
          <w:rStyle w:val="NormalTok"/>
        </w:rPr>
        <w:t xml:space="preserve">result = ax.AxSHA1(str)</w:t>
      </w:r>
    </w:p>
    <w:bookmarkEnd w:id="1610"/>
    <w:bookmarkStart w:id="1611" w:name="parameters-5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input string to hash.</w:t>
            </w:r>
          </w:p>
        </w:tc>
      </w:tr>
    </w:tbl>
    <w:bookmarkEnd w:id="1611"/>
    <w:bookmarkStart w:id="1612" w:name="return-value-73"/>
    <w:p>
      <w:pPr>
        <w:pStyle w:val="Heading2"/>
      </w:pPr>
      <w:r>
        <w:t xml:space="preserve">Return Value</w:t>
      </w:r>
    </w:p>
    <w:p>
      <w:pPr>
        <w:pStyle w:val="Compact"/>
        <w:numPr>
          <w:ilvl w:val="0"/>
          <w:numId w:val="1474"/>
        </w:numPr>
      </w:pPr>
      <w:r>
        <w:rPr>
          <w:b/>
          <w:bCs/>
        </w:rPr>
        <w:t xml:space="preserve">String</w:t>
      </w:r>
      <w:r>
        <w:t xml:space="preserve">: A 40-character lowercase hexadecimal SHA-1 digest.</w:t>
      </w:r>
    </w:p>
    <w:bookmarkEnd w:id="1612"/>
    <w:bookmarkStart w:id="1613" w:name="remarks-139"/>
    <w:p>
      <w:pPr>
        <w:pStyle w:val="Heading2"/>
      </w:pPr>
      <w:r>
        <w:t xml:space="preserve">Remarks</w:t>
      </w:r>
    </w:p>
    <w:p>
      <w:pPr>
        <w:pStyle w:val="Compact"/>
        <w:numPr>
          <w:ilvl w:val="0"/>
          <w:numId w:val="1475"/>
        </w:numPr>
      </w:pPr>
      <w:r>
        <w:t xml:space="preserve">SHA-1 produces a 160-bit hash. It is suitable for checksums and integrity verification but is not recommended for new security-sensitive applications.</w:t>
      </w:r>
    </w:p>
    <w:p>
      <w:pPr>
        <w:pStyle w:val="Compact"/>
        <w:numPr>
          <w:ilvl w:val="0"/>
          <w:numId w:val="1475"/>
        </w:numPr>
      </w:pPr>
      <w:r>
        <w:t xml:space="preserve">The input string is encoded as UTF-8 before hashing.</w:t>
      </w:r>
    </w:p>
    <w:p>
      <w:pPr>
        <w:pStyle w:val="Compact"/>
        <w:numPr>
          <w:ilvl w:val="0"/>
          <w:numId w:val="1475"/>
        </w:numPr>
      </w:pPr>
      <w:r>
        <w:t xml:space="preserve">Method names are case-insensitive.</w:t>
      </w:r>
    </w:p>
    <w:bookmarkEnd w:id="1613"/>
    <w:bookmarkStart w:id="1614" w:name="example-7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hash</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hash = ax.AxSHA1</w:t>
      </w:r>
      <w:r>
        <w:rPr>
          <w:rStyle w:val="OtherTok"/>
        </w:rPr>
        <w:t xml:space="preserve">(</w:t>
      </w:r>
      <w:r>
        <w:rPr>
          <w:rStyle w:val="StringTok"/>
        </w:rPr>
        <w:t xml:space="preserve">"test"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hash</w:t>
      </w:r>
      <w:r>
        <w:br/>
      </w:r>
      <w:r>
        <w:rPr>
          <w:rStyle w:val="CommentTok"/>
        </w:rPr>
        <w:t xml:space="preserve">' Output: a94a8fe5ccb19ba61c4c0873d391e987982fbbd3</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14"/>
    <w:bookmarkStart w:id="1615" w:name="api-reference-70"/>
    <w:p>
      <w:pPr>
        <w:pStyle w:val="Heading2"/>
      </w:pPr>
      <w:r>
        <w:t xml:space="preserve">API Reference</w:t>
      </w:r>
    </w:p>
    <w:p>
      <w:pPr>
        <w:pStyle w:val="Compact"/>
        <w:numPr>
          <w:ilvl w:val="0"/>
          <w:numId w:val="1476"/>
        </w:numPr>
      </w:pPr>
      <w:r>
        <w:rPr>
          <w:b/>
          <w:bCs/>
        </w:rPr>
        <w:t xml:space="preserve">Object</w:t>
      </w:r>
      <w:r>
        <w:t xml:space="preserve">:</w:t>
      </w:r>
      <w:r>
        <w:t xml:space="preserve"> </w:t>
      </w:r>
      <w:r>
        <w:rPr>
          <w:rStyle w:val="VerbatimChar"/>
        </w:rPr>
        <w:t xml:space="preserve">G3AXON.FUNCTIONS</w:t>
      </w:r>
    </w:p>
    <w:p>
      <w:pPr>
        <w:pStyle w:val="Compact"/>
        <w:numPr>
          <w:ilvl w:val="0"/>
          <w:numId w:val="1476"/>
        </w:numPr>
      </w:pPr>
      <w:r>
        <w:rPr>
          <w:b/>
          <w:bCs/>
        </w:rPr>
        <w:t xml:space="preserve">Method</w:t>
      </w:r>
      <w:r>
        <w:t xml:space="preserve">:</w:t>
      </w:r>
      <w:r>
        <w:t xml:space="preserve"> </w:t>
      </w:r>
      <w:r>
        <w:rPr>
          <w:rStyle w:val="VerbatimChar"/>
        </w:rPr>
        <w:t xml:space="preserve">AxSHA1</w:t>
      </w:r>
    </w:p>
    <w:p>
      <w:pPr>
        <w:pStyle w:val="Compact"/>
        <w:numPr>
          <w:ilvl w:val="0"/>
          <w:numId w:val="1476"/>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476"/>
        </w:numPr>
      </w:pPr>
      <w:r>
        <w:rPr>
          <w:b/>
          <w:bCs/>
        </w:rPr>
        <w:t xml:space="preserve">Returns</w:t>
      </w:r>
      <w:r>
        <w:t xml:space="preserve">: String — 40-character lowercase hexadecimal SHA-1 hash</w:t>
      </w:r>
    </w:p>
    <w:bookmarkEnd w:id="1615"/>
    <w:bookmarkEnd w:id="1616"/>
    <w:bookmarkStart w:id="1625" w:name="compute-a-string-hash-by-algorithm"/>
    <w:p>
      <w:pPr>
        <w:pStyle w:val="Heading1"/>
      </w:pPr>
      <w:r>
        <w:t xml:space="preserve">Compute a String Hash by Algorithm</w:t>
      </w:r>
    </w:p>
    <w:bookmarkStart w:id="1617" w:name="overview-111"/>
    <w:p>
      <w:pPr>
        <w:pStyle w:val="Heading2"/>
      </w:pPr>
      <w:r>
        <w:t xml:space="preserve">Overview</w:t>
      </w:r>
    </w:p>
    <w:p>
      <w:pPr>
        <w:pStyle w:val="FirstParagraph"/>
      </w:pPr>
      <w:r>
        <w:t xml:space="preserve">Computes the hash of a string using the specified cryptographic algorithm and returns the result as a lowercase hexadecimal string.</w:t>
      </w:r>
    </w:p>
    <w:bookmarkEnd w:id="1617"/>
    <w:bookmarkStart w:id="1618" w:name="prerequisites-6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18"/>
    <w:bookmarkStart w:id="1619" w:name="syntax-128"/>
    <w:p>
      <w:pPr>
        <w:pStyle w:val="Heading2"/>
      </w:pPr>
      <w:r>
        <w:t xml:space="preserve">Syntax</w:t>
      </w:r>
    </w:p>
    <w:p>
      <w:pPr>
        <w:pStyle w:val="SourceCode"/>
      </w:pPr>
      <w:r>
        <w:rPr>
          <w:rStyle w:val="NormalTok"/>
        </w:rPr>
        <w:t xml:space="preserve">result = ax.AxHash(algo, str)</w:t>
      </w:r>
    </w:p>
    <w:bookmarkEnd w:id="1619"/>
    <w:bookmarkStart w:id="1620" w:name="parameters-58"/>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algo</w:t>
            </w:r>
          </w:p>
        </w:tc>
        <w:tc>
          <w:tcPr/>
          <w:p>
            <w:pPr>
              <w:pStyle w:val="Compact"/>
            </w:pPr>
            <w:r>
              <w:t xml:space="preserve">String</w:t>
            </w:r>
          </w:p>
        </w:tc>
        <w:tc>
          <w:tcPr/>
          <w:p>
            <w:pPr>
              <w:pStyle w:val="Compact"/>
            </w:pPr>
            <w:r>
              <w:t xml:space="preserve">Yes</w:t>
            </w:r>
          </w:p>
        </w:tc>
        <w:tc>
          <w:tcPr/>
          <w:p>
            <w:pPr>
              <w:pStyle w:val="Compact"/>
            </w:pPr>
            <w:r>
              <w:t xml:space="preserve">The hashing algorithm. Supported values:</w:t>
            </w:r>
            <w:r>
              <w:t xml:space="preserve"> </w:t>
            </w:r>
            <w:r>
              <w:rPr>
                <w:rStyle w:val="VerbatimChar"/>
              </w:rPr>
              <w:t xml:space="preserve">"md5"</w:t>
            </w:r>
            <w:r>
              <w:t xml:space="preserve">,</w:t>
            </w:r>
            <w:r>
              <w:t xml:space="preserve"> </w:t>
            </w:r>
            <w:r>
              <w:rPr>
                <w:rStyle w:val="VerbatimChar"/>
              </w:rPr>
              <w:t xml:space="preserve">"sha1"</w:t>
            </w:r>
            <w:r>
              <w:t xml:space="preserve">,</w:t>
            </w:r>
            <w:r>
              <w:t xml:space="preserve"> </w:t>
            </w:r>
            <w:r>
              <w:rPr>
                <w:rStyle w:val="VerbatimChar"/>
              </w:rPr>
              <w:t xml:space="preserve">"sha256"</w:t>
            </w:r>
            <w:r>
              <w:t xml:space="preserve">.</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input string to hash.</w:t>
            </w:r>
          </w:p>
        </w:tc>
      </w:tr>
    </w:tbl>
    <w:bookmarkEnd w:id="1620"/>
    <w:bookmarkStart w:id="1621" w:name="return-value-74"/>
    <w:p>
      <w:pPr>
        <w:pStyle w:val="Heading2"/>
      </w:pPr>
      <w:r>
        <w:t xml:space="preserve">Return Value</w:t>
      </w:r>
    </w:p>
    <w:p>
      <w:pPr>
        <w:pStyle w:val="Compact"/>
        <w:numPr>
          <w:ilvl w:val="0"/>
          <w:numId w:val="1477"/>
        </w:numPr>
      </w:pPr>
      <w:r>
        <w:rPr>
          <w:b/>
          <w:bCs/>
        </w:rPr>
        <w:t xml:space="preserve">String</w:t>
      </w:r>
      <w:r>
        <w:t xml:space="preserve">: A lowercase hexadecimal digest. Length depends on the algorithm: 32 characters for MD5, 40 for SHA-1, 64 for SHA-256.</w:t>
      </w:r>
    </w:p>
    <w:p>
      <w:pPr>
        <w:pStyle w:val="Compact"/>
        <w:numPr>
          <w:ilvl w:val="0"/>
          <w:numId w:val="1477"/>
        </w:numPr>
      </w:pPr>
      <w:r>
        <w:rPr>
          <w:b/>
          <w:bCs/>
        </w:rPr>
        <w:t xml:space="preserve">String (empty)</w:t>
      </w:r>
      <w:r>
        <w:t xml:space="preserve">: Returned when an unsupported algorithm name is provided.</w:t>
      </w:r>
    </w:p>
    <w:bookmarkEnd w:id="1621"/>
    <w:bookmarkStart w:id="1622" w:name="remarks-140"/>
    <w:p>
      <w:pPr>
        <w:pStyle w:val="Heading2"/>
      </w:pPr>
      <w:r>
        <w:t xml:space="preserve">Remarks</w:t>
      </w:r>
    </w:p>
    <w:p>
      <w:pPr>
        <w:pStyle w:val="Compact"/>
        <w:numPr>
          <w:ilvl w:val="0"/>
          <w:numId w:val="1478"/>
        </w:numPr>
      </w:pPr>
      <w:r>
        <w:t xml:space="preserve">Algorithm names are matched case-insensitively.</w:t>
      </w:r>
    </w:p>
    <w:p>
      <w:pPr>
        <w:pStyle w:val="Compact"/>
        <w:numPr>
          <w:ilvl w:val="0"/>
          <w:numId w:val="1478"/>
        </w:numPr>
      </w:pPr>
      <w:r>
        <w:t xml:space="preserve">The input string is encoded as UTF-8 before hashing.</w:t>
      </w:r>
    </w:p>
    <w:p>
      <w:pPr>
        <w:pStyle w:val="Compact"/>
        <w:numPr>
          <w:ilvl w:val="0"/>
          <w:numId w:val="1478"/>
        </w:numPr>
      </w:pPr>
      <w:r>
        <w:t xml:space="preserve">Method names are case-insensitive.</w:t>
      </w:r>
    </w:p>
    <w:bookmarkEnd w:id="1622"/>
    <w:bookmarkStart w:id="1623" w:name="example-7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ax.AxHash</w:t>
      </w:r>
      <w:r>
        <w:rPr>
          <w:rStyle w:val="OtherTok"/>
        </w:rPr>
        <w:t xml:space="preserve">(</w:t>
      </w:r>
      <w:r>
        <w:rPr>
          <w:rStyle w:val="StringTok"/>
        </w:rPr>
        <w:t xml:space="preserve">"md5"</w:t>
      </w:r>
      <w:r>
        <w:rPr>
          <w:rStyle w:val="OtherTok"/>
        </w:rPr>
        <w:t xml:space="preserve">,</w:t>
      </w:r>
      <w:r>
        <w:rPr>
          <w:rStyle w:val="NormalTok"/>
        </w:rPr>
        <w:t xml:space="preserve"> </w:t>
      </w:r>
      <w:r>
        <w:rPr>
          <w:rStyle w:val="StringTok"/>
        </w:rPr>
        <w:t xml:space="preserve">"hello"</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mmentTok"/>
        </w:rPr>
        <w:t xml:space="preserve">' Output: 5d41402abc4b2a76b9719d911017c592</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ax.AxHash</w:t>
      </w:r>
      <w:r>
        <w:rPr>
          <w:rStyle w:val="OtherTok"/>
        </w:rPr>
        <w:t xml:space="preserve">(</w:t>
      </w:r>
      <w:r>
        <w:rPr>
          <w:rStyle w:val="StringTok"/>
        </w:rPr>
        <w:t xml:space="preserve">"sha256"</w:t>
      </w:r>
      <w:r>
        <w:rPr>
          <w:rStyle w:val="OtherTok"/>
        </w:rPr>
        <w:t xml:space="preserve">,</w:t>
      </w:r>
      <w:r>
        <w:rPr>
          <w:rStyle w:val="NormalTok"/>
        </w:rPr>
        <w:t xml:space="preserve"> </w:t>
      </w:r>
      <w:r>
        <w:rPr>
          <w:rStyle w:val="StringTok"/>
        </w:rPr>
        <w:t xml:space="preserve">"hello"</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mmentTok"/>
        </w:rPr>
        <w:t xml:space="preserve">' Output: 2cf24dba5fb0a30e26e83b2ac5b9e29e1b161e5c1fa7425e73043362938b9824</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ax.AxHash</w:t>
      </w:r>
      <w:r>
        <w:rPr>
          <w:rStyle w:val="OtherTok"/>
        </w:rPr>
        <w:t xml:space="preserve">(</w:t>
      </w:r>
      <w:r>
        <w:rPr>
          <w:rStyle w:val="StringTok"/>
        </w:rPr>
        <w:t xml:space="preserve">"invalid"</w:t>
      </w:r>
      <w:r>
        <w:rPr>
          <w:rStyle w:val="OtherTok"/>
        </w:rPr>
        <w:t xml:space="preserve">,</w:t>
      </w:r>
      <w:r>
        <w:rPr>
          <w:rStyle w:val="NormalTok"/>
        </w:rPr>
        <w:t xml:space="preserve"> </w:t>
      </w:r>
      <w:r>
        <w:rPr>
          <w:rStyle w:val="StringTok"/>
        </w:rPr>
        <w:t xml:space="preserve">"hello"</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mmentTok"/>
        </w:rPr>
        <w:t xml:space="preserve">' Output: (empty string)</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23"/>
    <w:bookmarkStart w:id="1624" w:name="api-reference-71"/>
    <w:p>
      <w:pPr>
        <w:pStyle w:val="Heading2"/>
      </w:pPr>
      <w:r>
        <w:t xml:space="preserve">API Reference</w:t>
      </w:r>
    </w:p>
    <w:p>
      <w:pPr>
        <w:pStyle w:val="Compact"/>
        <w:numPr>
          <w:ilvl w:val="0"/>
          <w:numId w:val="1479"/>
        </w:numPr>
      </w:pPr>
      <w:r>
        <w:rPr>
          <w:b/>
          <w:bCs/>
        </w:rPr>
        <w:t xml:space="preserve">Object</w:t>
      </w:r>
      <w:r>
        <w:t xml:space="preserve">:</w:t>
      </w:r>
      <w:r>
        <w:t xml:space="preserve"> </w:t>
      </w:r>
      <w:r>
        <w:rPr>
          <w:rStyle w:val="VerbatimChar"/>
        </w:rPr>
        <w:t xml:space="preserve">G3AXON.FUNCTIONS</w:t>
      </w:r>
    </w:p>
    <w:p>
      <w:pPr>
        <w:pStyle w:val="Compact"/>
        <w:numPr>
          <w:ilvl w:val="0"/>
          <w:numId w:val="1479"/>
        </w:numPr>
      </w:pPr>
      <w:r>
        <w:rPr>
          <w:b/>
          <w:bCs/>
        </w:rPr>
        <w:t xml:space="preserve">Method</w:t>
      </w:r>
      <w:r>
        <w:t xml:space="preserve">:</w:t>
      </w:r>
      <w:r>
        <w:t xml:space="preserve"> </w:t>
      </w:r>
      <w:r>
        <w:rPr>
          <w:rStyle w:val="VerbatimChar"/>
        </w:rPr>
        <w:t xml:space="preserve">AxHash</w:t>
      </w:r>
    </w:p>
    <w:p>
      <w:pPr>
        <w:pStyle w:val="Compact"/>
        <w:numPr>
          <w:ilvl w:val="0"/>
          <w:numId w:val="1479"/>
        </w:numPr>
      </w:pPr>
      <w:r>
        <w:rPr>
          <w:b/>
          <w:bCs/>
        </w:rPr>
        <w:t xml:space="preserve">Arguments</w:t>
      </w:r>
      <w:r>
        <w:t xml:space="preserve">:</w:t>
      </w:r>
      <w:r>
        <w:t xml:space="preserve"> </w:t>
      </w:r>
      <w:r>
        <w:rPr>
          <w:rStyle w:val="VerbatimChar"/>
        </w:rPr>
        <w:t xml:space="preserve">algo</w:t>
      </w:r>
      <w:r>
        <w:t xml:space="preserve"> </w:t>
      </w:r>
      <w:r>
        <w:t xml:space="preserve">(String, required),</w:t>
      </w:r>
      <w:r>
        <w:t xml:space="preserve"> </w:t>
      </w:r>
      <w:r>
        <w:rPr>
          <w:rStyle w:val="VerbatimChar"/>
        </w:rPr>
        <w:t xml:space="preserve">str</w:t>
      </w:r>
      <w:r>
        <w:t xml:space="preserve"> </w:t>
      </w:r>
      <w:r>
        <w:t xml:space="preserve">(String, required)</w:t>
      </w:r>
    </w:p>
    <w:p>
      <w:pPr>
        <w:pStyle w:val="Compact"/>
        <w:numPr>
          <w:ilvl w:val="0"/>
          <w:numId w:val="1479"/>
        </w:numPr>
      </w:pPr>
      <w:r>
        <w:rPr>
          <w:b/>
          <w:bCs/>
        </w:rPr>
        <w:t xml:space="preserve">Returns</w:t>
      </w:r>
      <w:r>
        <w:t xml:space="preserve">: String — lowercase hexadecimal hash, or empty string for unsupported algorithms</w:t>
      </w:r>
    </w:p>
    <w:bookmarkEnd w:id="1624"/>
    <w:bookmarkEnd w:id="1625"/>
    <w:bookmarkStart w:id="1634" w:name="encode-a-string-to-base64"/>
    <w:p>
      <w:pPr>
        <w:pStyle w:val="Heading1"/>
      </w:pPr>
      <w:r>
        <w:t xml:space="preserve">Encode a String to Base64</w:t>
      </w:r>
    </w:p>
    <w:bookmarkStart w:id="1626" w:name="overview-112"/>
    <w:p>
      <w:pPr>
        <w:pStyle w:val="Heading2"/>
      </w:pPr>
      <w:r>
        <w:t xml:space="preserve">Overview</w:t>
      </w:r>
    </w:p>
    <w:p>
      <w:pPr>
        <w:pStyle w:val="FirstParagraph"/>
      </w:pPr>
      <w:r>
        <w:t xml:space="preserve">Encodes a string to Base64 format using the standard RFC 4648 encoding.</w:t>
      </w:r>
    </w:p>
    <w:bookmarkEnd w:id="1626"/>
    <w:bookmarkStart w:id="1627" w:name="prerequisites-7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27"/>
    <w:bookmarkStart w:id="1628" w:name="syntax-129"/>
    <w:p>
      <w:pPr>
        <w:pStyle w:val="Heading2"/>
      </w:pPr>
      <w:r>
        <w:t xml:space="preserve">Syntax</w:t>
      </w:r>
    </w:p>
    <w:p>
      <w:pPr>
        <w:pStyle w:val="SourceCode"/>
      </w:pPr>
      <w:r>
        <w:rPr>
          <w:rStyle w:val="NormalTok"/>
        </w:rPr>
        <w:t xml:space="preserve">result = ax.AxBase64Encode(str)</w:t>
      </w:r>
    </w:p>
    <w:bookmarkEnd w:id="1628"/>
    <w:bookmarkStart w:id="1629" w:name="parameters-5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string to encode.</w:t>
            </w:r>
          </w:p>
        </w:tc>
      </w:tr>
    </w:tbl>
    <w:bookmarkEnd w:id="1629"/>
    <w:bookmarkStart w:id="1630" w:name="return-value-75"/>
    <w:p>
      <w:pPr>
        <w:pStyle w:val="Heading2"/>
      </w:pPr>
      <w:r>
        <w:t xml:space="preserve">Return Value</w:t>
      </w:r>
    </w:p>
    <w:p>
      <w:pPr>
        <w:pStyle w:val="Compact"/>
        <w:numPr>
          <w:ilvl w:val="0"/>
          <w:numId w:val="1480"/>
        </w:numPr>
      </w:pPr>
      <w:r>
        <w:rPr>
          <w:b/>
          <w:bCs/>
        </w:rPr>
        <w:t xml:space="preserve">String</w:t>
      </w:r>
      <w:r>
        <w:t xml:space="preserve">: The Base64-encoded representation of the input string.</w:t>
      </w:r>
    </w:p>
    <w:bookmarkEnd w:id="1630"/>
    <w:bookmarkStart w:id="1631" w:name="remarks-141"/>
    <w:p>
      <w:pPr>
        <w:pStyle w:val="Heading2"/>
      </w:pPr>
      <w:r>
        <w:t xml:space="preserve">Remarks</w:t>
      </w:r>
    </w:p>
    <w:p>
      <w:pPr>
        <w:pStyle w:val="Compact"/>
        <w:numPr>
          <w:ilvl w:val="0"/>
          <w:numId w:val="1481"/>
        </w:numPr>
      </w:pPr>
      <w:r>
        <w:t xml:space="preserve">The input string is encoded as UTF-8 before Base64 encoding.</w:t>
      </w:r>
    </w:p>
    <w:p>
      <w:pPr>
        <w:pStyle w:val="Compact"/>
        <w:numPr>
          <w:ilvl w:val="0"/>
          <w:numId w:val="1481"/>
        </w:numPr>
      </w:pPr>
      <w:r>
        <w:t xml:space="preserve">Base64 encoding is commonly used to safely transmit or store binary or text data in text-based protocols.</w:t>
      </w:r>
    </w:p>
    <w:p>
      <w:pPr>
        <w:pStyle w:val="Compact"/>
        <w:numPr>
          <w:ilvl w:val="0"/>
          <w:numId w:val="1481"/>
        </w:numPr>
      </w:pPr>
      <w:r>
        <w:t xml:space="preserve">To reverse the operation, use</w:t>
      </w:r>
      <w:r>
        <w:t xml:space="preserve"> </w:t>
      </w:r>
      <w:r>
        <w:rPr>
          <w:rStyle w:val="VerbatimChar"/>
        </w:rPr>
        <w:t xml:space="preserve">AxBase64Decode</w:t>
      </w:r>
      <w:r>
        <w:t xml:space="preserve">.</w:t>
      </w:r>
    </w:p>
    <w:p>
      <w:pPr>
        <w:pStyle w:val="Compact"/>
        <w:numPr>
          <w:ilvl w:val="0"/>
          <w:numId w:val="1481"/>
        </w:numPr>
      </w:pPr>
      <w:r>
        <w:t xml:space="preserve">Method names are case-insensitive.</w:t>
      </w:r>
    </w:p>
    <w:bookmarkEnd w:id="1631"/>
    <w:bookmarkStart w:id="1632" w:name="example-7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encoded</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encoded = ax.AxBase64Encode</w:t>
      </w:r>
      <w:r>
        <w:rPr>
          <w:rStyle w:val="OtherTok"/>
        </w:rPr>
        <w:t xml:space="preserve">(</w:t>
      </w:r>
      <w:r>
        <w:rPr>
          <w:rStyle w:val="StringTok"/>
        </w:rPr>
        <w:t xml:space="preserve">"Hello World"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encoded</w:t>
      </w:r>
      <w:r>
        <w:br/>
      </w:r>
      <w:r>
        <w:rPr>
          <w:rStyle w:val="CommentTok"/>
        </w:rPr>
        <w:t xml:space="preserve">' Output: SGVsbG8gV29ybGQ=</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32"/>
    <w:bookmarkStart w:id="1633" w:name="api-reference-72"/>
    <w:p>
      <w:pPr>
        <w:pStyle w:val="Heading2"/>
      </w:pPr>
      <w:r>
        <w:t xml:space="preserve">API Reference</w:t>
      </w:r>
    </w:p>
    <w:p>
      <w:pPr>
        <w:pStyle w:val="Compact"/>
        <w:numPr>
          <w:ilvl w:val="0"/>
          <w:numId w:val="1482"/>
        </w:numPr>
      </w:pPr>
      <w:r>
        <w:rPr>
          <w:b/>
          <w:bCs/>
        </w:rPr>
        <w:t xml:space="preserve">Object</w:t>
      </w:r>
      <w:r>
        <w:t xml:space="preserve">:</w:t>
      </w:r>
      <w:r>
        <w:t xml:space="preserve"> </w:t>
      </w:r>
      <w:r>
        <w:rPr>
          <w:rStyle w:val="VerbatimChar"/>
        </w:rPr>
        <w:t xml:space="preserve">G3AXON.FUNCTIONS</w:t>
      </w:r>
    </w:p>
    <w:p>
      <w:pPr>
        <w:pStyle w:val="Compact"/>
        <w:numPr>
          <w:ilvl w:val="0"/>
          <w:numId w:val="1482"/>
        </w:numPr>
      </w:pPr>
      <w:r>
        <w:rPr>
          <w:b/>
          <w:bCs/>
        </w:rPr>
        <w:t xml:space="preserve">Method</w:t>
      </w:r>
      <w:r>
        <w:t xml:space="preserve">:</w:t>
      </w:r>
      <w:r>
        <w:t xml:space="preserve"> </w:t>
      </w:r>
      <w:r>
        <w:rPr>
          <w:rStyle w:val="VerbatimChar"/>
        </w:rPr>
        <w:t xml:space="preserve">AxBase64Encode</w:t>
      </w:r>
    </w:p>
    <w:p>
      <w:pPr>
        <w:pStyle w:val="Compact"/>
        <w:numPr>
          <w:ilvl w:val="0"/>
          <w:numId w:val="1482"/>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482"/>
        </w:numPr>
      </w:pPr>
      <w:r>
        <w:rPr>
          <w:b/>
          <w:bCs/>
        </w:rPr>
        <w:t xml:space="preserve">Returns</w:t>
      </w:r>
      <w:r>
        <w:t xml:space="preserve">: String — Base64-encoded representation of the input</w:t>
      </w:r>
    </w:p>
    <w:bookmarkEnd w:id="1633"/>
    <w:bookmarkEnd w:id="1634"/>
    <w:bookmarkStart w:id="1643" w:name="decode-a-base64-string"/>
    <w:p>
      <w:pPr>
        <w:pStyle w:val="Heading1"/>
      </w:pPr>
      <w:r>
        <w:t xml:space="preserve">Decode a Base64 String</w:t>
      </w:r>
    </w:p>
    <w:bookmarkStart w:id="1635" w:name="overview-113"/>
    <w:p>
      <w:pPr>
        <w:pStyle w:val="Heading2"/>
      </w:pPr>
      <w:r>
        <w:t xml:space="preserve">Overview</w:t>
      </w:r>
    </w:p>
    <w:p>
      <w:pPr>
        <w:pStyle w:val="FirstParagraph"/>
      </w:pPr>
      <w:r>
        <w:t xml:space="preserve">Decodes a Base64-encoded string back to its original representation.</w:t>
      </w:r>
    </w:p>
    <w:bookmarkEnd w:id="1635"/>
    <w:bookmarkStart w:id="1636" w:name="prerequisites-7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36"/>
    <w:bookmarkStart w:id="1637" w:name="syntax-130"/>
    <w:p>
      <w:pPr>
        <w:pStyle w:val="Heading2"/>
      </w:pPr>
      <w:r>
        <w:t xml:space="preserve">Syntax</w:t>
      </w:r>
    </w:p>
    <w:p>
      <w:pPr>
        <w:pStyle w:val="SourceCode"/>
      </w:pPr>
      <w:r>
        <w:rPr>
          <w:rStyle w:val="NormalTok"/>
        </w:rPr>
        <w:t xml:space="preserve">result = ax.AxBase64Decode(str)</w:t>
      </w:r>
    </w:p>
    <w:bookmarkEnd w:id="1637"/>
    <w:bookmarkStart w:id="1638" w:name="parameters-6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Base64-encoded string to decode.</w:t>
            </w:r>
          </w:p>
        </w:tc>
      </w:tr>
    </w:tbl>
    <w:bookmarkEnd w:id="1638"/>
    <w:bookmarkStart w:id="1639" w:name="return-value-76"/>
    <w:p>
      <w:pPr>
        <w:pStyle w:val="Heading2"/>
      </w:pPr>
      <w:r>
        <w:t xml:space="preserve">Return Value</w:t>
      </w:r>
    </w:p>
    <w:p>
      <w:pPr>
        <w:pStyle w:val="Compact"/>
        <w:numPr>
          <w:ilvl w:val="0"/>
          <w:numId w:val="1483"/>
        </w:numPr>
      </w:pPr>
      <w:r>
        <w:rPr>
          <w:b/>
          <w:bCs/>
        </w:rPr>
        <w:t xml:space="preserve">String</w:t>
      </w:r>
      <w:r>
        <w:t xml:space="preserve">: The decoded original string.</w:t>
      </w:r>
    </w:p>
    <w:p>
      <w:pPr>
        <w:pStyle w:val="Compact"/>
        <w:numPr>
          <w:ilvl w:val="0"/>
          <w:numId w:val="1483"/>
        </w:numPr>
      </w:pPr>
      <w:r>
        <w:rPr>
          <w:b/>
          <w:bCs/>
        </w:rPr>
        <w:t xml:space="preserve">String (empty)</w:t>
      </w:r>
      <w:r>
        <w:t xml:space="preserve">: Returned when the input is not valid Base64.</w:t>
      </w:r>
    </w:p>
    <w:bookmarkEnd w:id="1639"/>
    <w:bookmarkStart w:id="1640" w:name="remarks-142"/>
    <w:p>
      <w:pPr>
        <w:pStyle w:val="Heading2"/>
      </w:pPr>
      <w:r>
        <w:t xml:space="preserve">Remarks</w:t>
      </w:r>
    </w:p>
    <w:p>
      <w:pPr>
        <w:pStyle w:val="Compact"/>
        <w:numPr>
          <w:ilvl w:val="0"/>
          <w:numId w:val="1484"/>
        </w:numPr>
      </w:pPr>
      <w:r>
        <w:t xml:space="preserve">The decoded bytes are interpreted as a UTF-8 string.</w:t>
      </w:r>
    </w:p>
    <w:p>
      <w:pPr>
        <w:pStyle w:val="Compact"/>
        <w:numPr>
          <w:ilvl w:val="0"/>
          <w:numId w:val="1484"/>
        </w:numPr>
      </w:pPr>
      <w:r>
        <w:t xml:space="preserve">Padding characters (</w:t>
      </w:r>
      <w:r>
        <w:rPr>
          <w:rStyle w:val="VerbatimChar"/>
        </w:rPr>
        <w:t xml:space="preserve">=</w:t>
      </w:r>
      <w:r>
        <w:t xml:space="preserve">) are handled automatically.</w:t>
      </w:r>
    </w:p>
    <w:p>
      <w:pPr>
        <w:pStyle w:val="Compact"/>
        <w:numPr>
          <w:ilvl w:val="0"/>
          <w:numId w:val="1484"/>
        </w:numPr>
      </w:pPr>
      <w:r>
        <w:t xml:space="preserve">To encode a string, use</w:t>
      </w:r>
      <w:r>
        <w:t xml:space="preserve"> </w:t>
      </w:r>
      <w:r>
        <w:rPr>
          <w:rStyle w:val="VerbatimChar"/>
        </w:rPr>
        <w:t xml:space="preserve">AxBase64Encode</w:t>
      </w:r>
      <w:r>
        <w:t xml:space="preserve">.</w:t>
      </w:r>
    </w:p>
    <w:p>
      <w:pPr>
        <w:pStyle w:val="Compact"/>
        <w:numPr>
          <w:ilvl w:val="0"/>
          <w:numId w:val="1484"/>
        </w:numPr>
      </w:pPr>
      <w:r>
        <w:t xml:space="preserve">Method names are case-insensitive.</w:t>
      </w:r>
    </w:p>
    <w:bookmarkEnd w:id="1640"/>
    <w:bookmarkStart w:id="1641" w:name="example-7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decoded</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decoded = ax.AxBase64Decode</w:t>
      </w:r>
      <w:r>
        <w:rPr>
          <w:rStyle w:val="OtherTok"/>
        </w:rPr>
        <w:t xml:space="preserve">(</w:t>
      </w:r>
      <w:r>
        <w:rPr>
          <w:rStyle w:val="StringTok"/>
        </w:rPr>
        <w:t xml:space="preserve">"SGVsbG8gV29ybGQ="</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decoded</w:t>
      </w:r>
      <w:r>
        <w:br/>
      </w:r>
      <w:r>
        <w:rPr>
          <w:rStyle w:val="CommentTok"/>
        </w:rPr>
        <w:t xml:space="preserve">' Output: Hello World</w:t>
      </w:r>
      <w:r>
        <w:br/>
      </w:r>
      <w:r>
        <w:br/>
      </w:r>
      <w:r>
        <w:rPr>
          <w:rStyle w:val="NormalTok"/>
        </w:rPr>
        <w:t xml:space="preserve">decoded = ax.AxBase64Decode</w:t>
      </w:r>
      <w:r>
        <w:rPr>
          <w:rStyle w:val="OtherTok"/>
        </w:rPr>
        <w:t xml:space="preserve">(</w:t>
      </w:r>
      <w:r>
        <w:rPr>
          <w:rStyle w:val="StringTok"/>
        </w:rPr>
        <w:t xml:space="preserve">"!!!invalid!!!"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w:t>
      </w:r>
      <w:r>
        <w:rPr>
          <w:rStyle w:val="NormalTok"/>
        </w:rPr>
        <w:t xml:space="preserve"> </w:t>
      </w:r>
      <w:r>
        <w:rPr>
          <w:rStyle w:val="KeywordTok"/>
        </w:rPr>
        <w:t xml:space="preserve">&amp;</w:t>
      </w:r>
      <w:r>
        <w:rPr>
          <w:rStyle w:val="NormalTok"/>
        </w:rPr>
        <w:t xml:space="preserve"> </w:t>
      </w:r>
      <w:r>
        <w:rPr>
          <w:rStyle w:val="FunctionTok"/>
        </w:rPr>
        <w:t xml:space="preserve">Len</w:t>
      </w:r>
      <w:r>
        <w:rPr>
          <w:rStyle w:val="OtherTok"/>
        </w:rPr>
        <w:t xml:space="preserve">(</w:t>
      </w:r>
      <w:r>
        <w:rPr>
          <w:rStyle w:val="NormalTok"/>
        </w:rPr>
        <w:t xml:space="preserve">decoded</w:t>
      </w:r>
      <w:r>
        <w:rPr>
          <w:rStyle w:val="OtherTok"/>
        </w:rPr>
        <w:t xml:space="preserve">)</w:t>
      </w:r>
      <w:r>
        <w:br/>
      </w:r>
      <w:r>
        <w:rPr>
          <w:rStyle w:val="CommentTok"/>
        </w:rPr>
        <w:t xml:space="preserve">' Output: 0 (empty string returned for invalid input)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41"/>
    <w:bookmarkStart w:id="1642" w:name="api-reference-73"/>
    <w:p>
      <w:pPr>
        <w:pStyle w:val="Heading2"/>
      </w:pPr>
      <w:r>
        <w:t xml:space="preserve">API Reference</w:t>
      </w:r>
    </w:p>
    <w:p>
      <w:pPr>
        <w:pStyle w:val="Compact"/>
        <w:numPr>
          <w:ilvl w:val="0"/>
          <w:numId w:val="1485"/>
        </w:numPr>
      </w:pPr>
      <w:r>
        <w:rPr>
          <w:b/>
          <w:bCs/>
        </w:rPr>
        <w:t xml:space="preserve">Object</w:t>
      </w:r>
      <w:r>
        <w:t xml:space="preserve">:</w:t>
      </w:r>
      <w:r>
        <w:t xml:space="preserve"> </w:t>
      </w:r>
      <w:r>
        <w:rPr>
          <w:rStyle w:val="VerbatimChar"/>
        </w:rPr>
        <w:t xml:space="preserve">G3AXON.FUNCTIONS</w:t>
      </w:r>
    </w:p>
    <w:p>
      <w:pPr>
        <w:pStyle w:val="Compact"/>
        <w:numPr>
          <w:ilvl w:val="0"/>
          <w:numId w:val="1485"/>
        </w:numPr>
      </w:pPr>
      <w:r>
        <w:rPr>
          <w:b/>
          <w:bCs/>
        </w:rPr>
        <w:t xml:space="preserve">Method</w:t>
      </w:r>
      <w:r>
        <w:t xml:space="preserve">:</w:t>
      </w:r>
      <w:r>
        <w:t xml:space="preserve"> </w:t>
      </w:r>
      <w:r>
        <w:rPr>
          <w:rStyle w:val="VerbatimChar"/>
        </w:rPr>
        <w:t xml:space="preserve">AxBase64Decode</w:t>
      </w:r>
    </w:p>
    <w:p>
      <w:pPr>
        <w:pStyle w:val="Compact"/>
        <w:numPr>
          <w:ilvl w:val="0"/>
          <w:numId w:val="1485"/>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485"/>
        </w:numPr>
      </w:pPr>
      <w:r>
        <w:rPr>
          <w:b/>
          <w:bCs/>
        </w:rPr>
        <w:t xml:space="preserve">Returns</w:t>
      </w:r>
      <w:r>
        <w:t xml:space="preserve">: String — decoded original string, or empty string on invalid Base64 input</w:t>
      </w:r>
    </w:p>
    <w:bookmarkEnd w:id="1642"/>
    <w:bookmarkEnd w:id="1643"/>
    <w:bookmarkStart w:id="1652" w:name="decode-a-url-encoded-string"/>
    <w:p>
      <w:pPr>
        <w:pStyle w:val="Heading1"/>
      </w:pPr>
      <w:r>
        <w:t xml:space="preserve">Decode a URL-Encoded String</w:t>
      </w:r>
    </w:p>
    <w:bookmarkStart w:id="1644" w:name="overview-114"/>
    <w:p>
      <w:pPr>
        <w:pStyle w:val="Heading2"/>
      </w:pPr>
      <w:r>
        <w:t xml:space="preserve">Overview</w:t>
      </w:r>
    </w:p>
    <w:p>
      <w:pPr>
        <w:pStyle w:val="FirstParagraph"/>
      </w:pPr>
      <w:r>
        <w:t xml:space="preserve">Decodes a percent-encoded URL string produced by standard form submission or query string encoding.</w:t>
      </w:r>
    </w:p>
    <w:bookmarkEnd w:id="1644"/>
    <w:bookmarkStart w:id="1645" w:name="prerequisites-7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45"/>
    <w:bookmarkStart w:id="1646" w:name="syntax-131"/>
    <w:p>
      <w:pPr>
        <w:pStyle w:val="Heading2"/>
      </w:pPr>
      <w:r>
        <w:t xml:space="preserve">Syntax</w:t>
      </w:r>
    </w:p>
    <w:p>
      <w:pPr>
        <w:pStyle w:val="SourceCode"/>
      </w:pPr>
      <w:r>
        <w:rPr>
          <w:rStyle w:val="NormalTok"/>
        </w:rPr>
        <w:t xml:space="preserve">result = ax.AxUrlDecode(str)</w:t>
      </w:r>
    </w:p>
    <w:bookmarkEnd w:id="1646"/>
    <w:bookmarkStart w:id="1647" w:name="parameters-61"/>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URL-encoded string to decode.</w:t>
            </w:r>
          </w:p>
        </w:tc>
      </w:tr>
    </w:tbl>
    <w:bookmarkEnd w:id="1647"/>
    <w:bookmarkStart w:id="1648" w:name="return-value-77"/>
    <w:p>
      <w:pPr>
        <w:pStyle w:val="Heading2"/>
      </w:pPr>
      <w:r>
        <w:t xml:space="preserve">Return Value</w:t>
      </w:r>
    </w:p>
    <w:p>
      <w:pPr>
        <w:pStyle w:val="Compact"/>
        <w:numPr>
          <w:ilvl w:val="0"/>
          <w:numId w:val="1486"/>
        </w:numPr>
      </w:pPr>
      <w:r>
        <w:rPr>
          <w:b/>
          <w:bCs/>
        </w:rPr>
        <w:t xml:space="preserve">String</w:t>
      </w:r>
      <w:r>
        <w:t xml:space="preserve">: The decoded string.</w:t>
      </w:r>
    </w:p>
    <w:p>
      <w:pPr>
        <w:pStyle w:val="Compact"/>
        <w:numPr>
          <w:ilvl w:val="0"/>
          <w:numId w:val="1486"/>
        </w:numPr>
      </w:pPr>
      <w:r>
        <w:rPr>
          <w:b/>
          <w:bCs/>
        </w:rPr>
        <w:t xml:space="preserve">String (original input)</w:t>
      </w:r>
      <w:r>
        <w:t xml:space="preserve">: Returned unchanged when the input contains malformed percent-encoding sequences.</w:t>
      </w:r>
    </w:p>
    <w:bookmarkEnd w:id="1648"/>
    <w:bookmarkStart w:id="1649" w:name="remarks-143"/>
    <w:p>
      <w:pPr>
        <w:pStyle w:val="Heading2"/>
      </w:pPr>
      <w:r>
        <w:t xml:space="preserve">Remarks</w:t>
      </w:r>
    </w:p>
    <w:p>
      <w:pPr>
        <w:pStyle w:val="Compact"/>
        <w:numPr>
          <w:ilvl w:val="0"/>
          <w:numId w:val="1487"/>
        </w:numPr>
      </w:pPr>
      <w:r>
        <w:t xml:space="preserve">This method uses standard RFC 3986 percent-decoding. It does</w:t>
      </w:r>
      <w:r>
        <w:t xml:space="preserve"> </w:t>
      </w:r>
      <w:r>
        <w:rPr>
          <w:b/>
          <w:bCs/>
        </w:rPr>
        <w:t xml:space="preserve">not</w:t>
      </w:r>
      <w:r>
        <w:t xml:space="preserve"> </w:t>
      </w:r>
      <w:r>
        <w:t xml:space="preserve">convert</w:t>
      </w:r>
      <w:r>
        <w:t xml:space="preserve"> </w:t>
      </w:r>
      <w:r>
        <w:rPr>
          <w:rStyle w:val="VerbatimChar"/>
        </w:rPr>
        <w:t xml:space="preserve">+</w:t>
      </w:r>
      <w:r>
        <w:t xml:space="preserve"> </w:t>
      </w:r>
      <w:r>
        <w:t xml:space="preserve">to a space. Use</w:t>
      </w:r>
      <w:r>
        <w:t xml:space="preserve"> </w:t>
      </w:r>
      <w:r>
        <w:rPr>
          <w:rStyle w:val="VerbatimChar"/>
        </w:rPr>
        <w:t xml:space="preserve">AxRawUrlDecode</w:t>
      </w:r>
      <w:r>
        <w:t xml:space="preserve"> </w:t>
      </w:r>
      <w:r>
        <w:t xml:space="preserve">if the input uses</w:t>
      </w:r>
      <w:r>
        <w:t xml:space="preserve"> </w:t>
      </w:r>
      <w:r>
        <w:rPr>
          <w:rStyle w:val="VerbatimChar"/>
        </w:rPr>
        <w:t xml:space="preserve">+</w:t>
      </w:r>
      <w:r>
        <w:t xml:space="preserve"> </w:t>
      </w:r>
      <w:r>
        <w:t xml:space="preserve">as a space character.</w:t>
      </w:r>
    </w:p>
    <w:p>
      <w:pPr>
        <w:pStyle w:val="Compact"/>
        <w:numPr>
          <w:ilvl w:val="0"/>
          <w:numId w:val="1487"/>
        </w:numPr>
      </w:pPr>
      <w:r>
        <w:t xml:space="preserve">Method names are case-insensitive.</w:t>
      </w:r>
    </w:p>
    <w:bookmarkEnd w:id="1649"/>
    <w:bookmarkStart w:id="1650" w:name="example-7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decoded</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decoded = ax.AxUrlDecode</w:t>
      </w:r>
      <w:r>
        <w:rPr>
          <w:rStyle w:val="OtherTok"/>
        </w:rPr>
        <w:t xml:space="preserve">(</w:t>
      </w:r>
      <w:r>
        <w:rPr>
          <w:rStyle w:val="StringTok"/>
        </w:rPr>
        <w:t xml:space="preserve">"Hello%20World%21"</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decoded</w:t>
      </w:r>
      <w:r>
        <w:br/>
      </w:r>
      <w:r>
        <w:rPr>
          <w:rStyle w:val="CommentTok"/>
        </w:rPr>
        <w:t xml:space="preserve">' Output: Hello World!</w:t>
      </w:r>
      <w:r>
        <w:br/>
      </w:r>
      <w:r>
        <w:br/>
      </w:r>
      <w:r>
        <w:rPr>
          <w:rStyle w:val="NormalTok"/>
        </w:rPr>
        <w:t xml:space="preserve">decoded = ax.AxUrlDecode</w:t>
      </w:r>
      <w:r>
        <w:rPr>
          <w:rStyle w:val="OtherTok"/>
        </w:rPr>
        <w:t xml:space="preserve">(</w:t>
      </w:r>
      <w:r>
        <w:rPr>
          <w:rStyle w:val="StringTok"/>
        </w:rPr>
        <w:t xml:space="preserve">"Hello+World"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w:t>
      </w:r>
      <w:r>
        <w:rPr>
          <w:rStyle w:val="NormalTok"/>
        </w:rPr>
        <w:t xml:space="preserve"> </w:t>
      </w:r>
      <w:r>
        <w:rPr>
          <w:rStyle w:val="KeywordTok"/>
        </w:rPr>
        <w:t xml:space="preserve">&amp;</w:t>
      </w:r>
      <w:r>
        <w:rPr>
          <w:rStyle w:val="NormalTok"/>
        </w:rPr>
        <w:t xml:space="preserve"> decoded</w:t>
      </w:r>
      <w:r>
        <w:br/>
      </w:r>
      <w:r>
        <w:rPr>
          <w:rStyle w:val="CommentTok"/>
        </w:rPr>
        <w:t xml:space="preserve">' Output: Hello+World (+ is not converted — use AxRawUrlDecode for that)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50"/>
    <w:bookmarkStart w:id="1651" w:name="api-reference-74"/>
    <w:p>
      <w:pPr>
        <w:pStyle w:val="Heading2"/>
      </w:pPr>
      <w:r>
        <w:t xml:space="preserve">API Reference</w:t>
      </w:r>
    </w:p>
    <w:p>
      <w:pPr>
        <w:pStyle w:val="Compact"/>
        <w:numPr>
          <w:ilvl w:val="0"/>
          <w:numId w:val="1488"/>
        </w:numPr>
      </w:pPr>
      <w:r>
        <w:rPr>
          <w:b/>
          <w:bCs/>
        </w:rPr>
        <w:t xml:space="preserve">Object</w:t>
      </w:r>
      <w:r>
        <w:t xml:space="preserve">:</w:t>
      </w:r>
      <w:r>
        <w:t xml:space="preserve"> </w:t>
      </w:r>
      <w:r>
        <w:rPr>
          <w:rStyle w:val="VerbatimChar"/>
        </w:rPr>
        <w:t xml:space="preserve">G3AXON.FUNCTIONS</w:t>
      </w:r>
    </w:p>
    <w:p>
      <w:pPr>
        <w:pStyle w:val="Compact"/>
        <w:numPr>
          <w:ilvl w:val="0"/>
          <w:numId w:val="1488"/>
        </w:numPr>
      </w:pPr>
      <w:r>
        <w:rPr>
          <w:b/>
          <w:bCs/>
        </w:rPr>
        <w:t xml:space="preserve">Method</w:t>
      </w:r>
      <w:r>
        <w:t xml:space="preserve">:</w:t>
      </w:r>
      <w:r>
        <w:t xml:space="preserve"> </w:t>
      </w:r>
      <w:r>
        <w:rPr>
          <w:rStyle w:val="VerbatimChar"/>
        </w:rPr>
        <w:t xml:space="preserve">AxUrlDecode</w:t>
      </w:r>
    </w:p>
    <w:p>
      <w:pPr>
        <w:pStyle w:val="Compact"/>
        <w:numPr>
          <w:ilvl w:val="0"/>
          <w:numId w:val="1488"/>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488"/>
        </w:numPr>
      </w:pPr>
      <w:r>
        <w:rPr>
          <w:b/>
          <w:bCs/>
        </w:rPr>
        <w:t xml:space="preserve">Returns</w:t>
      </w:r>
      <w:r>
        <w:t xml:space="preserve">: String — decoded string, or original input on malformed encoding</w:t>
      </w:r>
    </w:p>
    <w:bookmarkEnd w:id="1651"/>
    <w:bookmarkEnd w:id="1652"/>
    <w:bookmarkStart w:id="1661" w:name="decode-a-raw-url-encoded-string"/>
    <w:p>
      <w:pPr>
        <w:pStyle w:val="Heading1"/>
      </w:pPr>
      <w:r>
        <w:t xml:space="preserve">Decode a Raw URL-Encoded String</w:t>
      </w:r>
    </w:p>
    <w:bookmarkStart w:id="1653" w:name="overview-115"/>
    <w:p>
      <w:pPr>
        <w:pStyle w:val="Heading2"/>
      </w:pPr>
      <w:r>
        <w:t xml:space="preserve">Overview</w:t>
      </w:r>
    </w:p>
    <w:p>
      <w:pPr>
        <w:pStyle w:val="FirstParagraph"/>
      </w:pPr>
      <w:r>
        <w:t xml:space="preserve">Decodes a URL-encoded string, treating</w:t>
      </w:r>
      <w:r>
        <w:t xml:space="preserve"> </w:t>
      </w:r>
      <w:r>
        <w:rPr>
          <w:rStyle w:val="VerbatimChar"/>
        </w:rPr>
        <w:t xml:space="preserve">+</w:t>
      </w:r>
      <w:r>
        <w:t xml:space="preserve"> </w:t>
      </w:r>
      <w:r>
        <w:t xml:space="preserve">characters as spaces before applying standard percent-decoding.</w:t>
      </w:r>
    </w:p>
    <w:bookmarkEnd w:id="1653"/>
    <w:bookmarkStart w:id="1654" w:name="prerequisites-7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54"/>
    <w:bookmarkStart w:id="1655" w:name="syntax-132"/>
    <w:p>
      <w:pPr>
        <w:pStyle w:val="Heading2"/>
      </w:pPr>
      <w:r>
        <w:t xml:space="preserve">Syntax</w:t>
      </w:r>
    </w:p>
    <w:p>
      <w:pPr>
        <w:pStyle w:val="SourceCode"/>
      </w:pPr>
      <w:r>
        <w:rPr>
          <w:rStyle w:val="NormalTok"/>
        </w:rPr>
        <w:t xml:space="preserve">result = ax.AxRawUrlDecode(str)</w:t>
      </w:r>
    </w:p>
    <w:bookmarkEnd w:id="1655"/>
    <w:bookmarkStart w:id="1656" w:name="parameters-6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raw URL-encoded string to decode.</w:t>
            </w:r>
          </w:p>
        </w:tc>
      </w:tr>
    </w:tbl>
    <w:bookmarkEnd w:id="1656"/>
    <w:bookmarkStart w:id="1657" w:name="return-value-78"/>
    <w:p>
      <w:pPr>
        <w:pStyle w:val="Heading2"/>
      </w:pPr>
      <w:r>
        <w:t xml:space="preserve">Return Value</w:t>
      </w:r>
    </w:p>
    <w:p>
      <w:pPr>
        <w:pStyle w:val="Compact"/>
        <w:numPr>
          <w:ilvl w:val="0"/>
          <w:numId w:val="1489"/>
        </w:numPr>
      </w:pPr>
      <w:r>
        <w:rPr>
          <w:b/>
          <w:bCs/>
        </w:rPr>
        <w:t xml:space="preserve">String</w:t>
      </w:r>
      <w:r>
        <w:t xml:space="preserve">: The decoded string, with</w:t>
      </w:r>
      <w:r>
        <w:t xml:space="preserve"> </w:t>
      </w:r>
      <w:r>
        <w:rPr>
          <w:rStyle w:val="VerbatimChar"/>
        </w:rPr>
        <w:t xml:space="preserve">+</w:t>
      </w:r>
      <w:r>
        <w:t xml:space="preserve"> </w:t>
      </w:r>
      <w:r>
        <w:t xml:space="preserve">characters replaced by spaces and percent-encoded sequences unescaped.</w:t>
      </w:r>
    </w:p>
    <w:bookmarkEnd w:id="1657"/>
    <w:bookmarkStart w:id="1658" w:name="remarks-144"/>
    <w:p>
      <w:pPr>
        <w:pStyle w:val="Heading2"/>
      </w:pPr>
      <w:r>
        <w:t xml:space="preserve">Remarks</w:t>
      </w:r>
    </w:p>
    <w:p>
      <w:pPr>
        <w:pStyle w:val="Compact"/>
        <w:numPr>
          <w:ilvl w:val="0"/>
          <w:numId w:val="1490"/>
        </w:numPr>
      </w:pPr>
      <w:r>
        <w:t xml:space="preserve">This method first replaces each</w:t>
      </w:r>
      <w:r>
        <w:t xml:space="preserve"> </w:t>
      </w:r>
      <w:r>
        <w:rPr>
          <w:rStyle w:val="VerbatimChar"/>
        </w:rPr>
        <w:t xml:space="preserve">+</w:t>
      </w:r>
      <w:r>
        <w:t xml:space="preserve"> </w:t>
      </w:r>
      <w:r>
        <w:t xml:space="preserve">with a space, then applies RFC 3986 percent-decoding. This matches the behavior of HTML form submissions using</w:t>
      </w:r>
      <w:r>
        <w:t xml:space="preserve"> </w:t>
      </w:r>
      <w:r>
        <w:rPr>
          <w:rStyle w:val="VerbatimChar"/>
        </w:rPr>
        <w:t xml:space="preserve">application/x-www-form-urlencoded</w:t>
      </w:r>
      <w:r>
        <w:t xml:space="preserve"> </w:t>
      </w:r>
      <w:r>
        <w:t xml:space="preserve">encoding.</w:t>
      </w:r>
    </w:p>
    <w:p>
      <w:pPr>
        <w:pStyle w:val="Compact"/>
        <w:numPr>
          <w:ilvl w:val="0"/>
          <w:numId w:val="1490"/>
        </w:numPr>
      </w:pPr>
      <w:r>
        <w:t xml:space="preserve">Use</w:t>
      </w:r>
      <w:r>
        <w:t xml:space="preserve"> </w:t>
      </w:r>
      <w:r>
        <w:rPr>
          <w:rStyle w:val="VerbatimChar"/>
        </w:rPr>
        <w:t xml:space="preserve">AxUrlDecode</w:t>
      </w:r>
      <w:r>
        <w:t xml:space="preserve"> </w:t>
      </w:r>
      <w:r>
        <w:t xml:space="preserve">when the input does not use</w:t>
      </w:r>
      <w:r>
        <w:t xml:space="preserve"> </w:t>
      </w:r>
      <w:r>
        <w:rPr>
          <w:rStyle w:val="VerbatimChar"/>
        </w:rPr>
        <w:t xml:space="preserve">+</w:t>
      </w:r>
      <w:r>
        <w:t xml:space="preserve"> </w:t>
      </w:r>
      <w:r>
        <w:t xml:space="preserve">as a space.</w:t>
      </w:r>
    </w:p>
    <w:p>
      <w:pPr>
        <w:pStyle w:val="Compact"/>
        <w:numPr>
          <w:ilvl w:val="0"/>
          <w:numId w:val="1490"/>
        </w:numPr>
      </w:pPr>
      <w:r>
        <w:t xml:space="preserve">Method names are case-insensitive.</w:t>
      </w:r>
    </w:p>
    <w:bookmarkEnd w:id="1658"/>
    <w:bookmarkStart w:id="1659" w:name="example-8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decoded</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decoded = ax.AxRawUrlDecode</w:t>
      </w:r>
      <w:r>
        <w:rPr>
          <w:rStyle w:val="OtherTok"/>
        </w:rPr>
        <w:t xml:space="preserve">(</w:t>
      </w:r>
      <w:r>
        <w:rPr>
          <w:rStyle w:val="StringTok"/>
        </w:rPr>
        <w:t xml:space="preserve">"Hello+World%21"</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decoded</w:t>
      </w:r>
      <w:r>
        <w:br/>
      </w:r>
      <w:r>
        <w:rPr>
          <w:rStyle w:val="CommentTok"/>
        </w:rPr>
        <w:t xml:space="preserve">' Output: Hello World!</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59"/>
    <w:bookmarkStart w:id="1660" w:name="api-reference-75"/>
    <w:p>
      <w:pPr>
        <w:pStyle w:val="Heading2"/>
      </w:pPr>
      <w:r>
        <w:t xml:space="preserve">API Reference</w:t>
      </w:r>
    </w:p>
    <w:p>
      <w:pPr>
        <w:pStyle w:val="Compact"/>
        <w:numPr>
          <w:ilvl w:val="0"/>
          <w:numId w:val="1491"/>
        </w:numPr>
      </w:pPr>
      <w:r>
        <w:rPr>
          <w:b/>
          <w:bCs/>
        </w:rPr>
        <w:t xml:space="preserve">Object</w:t>
      </w:r>
      <w:r>
        <w:t xml:space="preserve">:</w:t>
      </w:r>
      <w:r>
        <w:t xml:space="preserve"> </w:t>
      </w:r>
      <w:r>
        <w:rPr>
          <w:rStyle w:val="VerbatimChar"/>
        </w:rPr>
        <w:t xml:space="preserve">G3AXON.FUNCTIONS</w:t>
      </w:r>
    </w:p>
    <w:p>
      <w:pPr>
        <w:pStyle w:val="Compact"/>
        <w:numPr>
          <w:ilvl w:val="0"/>
          <w:numId w:val="1491"/>
        </w:numPr>
      </w:pPr>
      <w:r>
        <w:rPr>
          <w:b/>
          <w:bCs/>
        </w:rPr>
        <w:t xml:space="preserve">Method</w:t>
      </w:r>
      <w:r>
        <w:t xml:space="preserve">:</w:t>
      </w:r>
      <w:r>
        <w:t xml:space="preserve"> </w:t>
      </w:r>
      <w:r>
        <w:rPr>
          <w:rStyle w:val="VerbatimChar"/>
        </w:rPr>
        <w:t xml:space="preserve">AxRawUrlDecode</w:t>
      </w:r>
    </w:p>
    <w:p>
      <w:pPr>
        <w:pStyle w:val="Compact"/>
        <w:numPr>
          <w:ilvl w:val="0"/>
          <w:numId w:val="1491"/>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491"/>
        </w:numPr>
      </w:pPr>
      <w:r>
        <w:rPr>
          <w:b/>
          <w:bCs/>
        </w:rPr>
        <w:t xml:space="preserve">Returns</w:t>
      </w:r>
      <w:r>
        <w:t xml:space="preserve">: String — decoded string with</w:t>
      </w:r>
      <w:r>
        <w:t xml:space="preserve"> </w:t>
      </w:r>
      <w:r>
        <w:rPr>
          <w:rStyle w:val="VerbatimChar"/>
        </w:rPr>
        <w:t xml:space="preserve">+</w:t>
      </w:r>
      <w:r>
        <w:t xml:space="preserve"> </w:t>
      </w:r>
      <w:r>
        <w:t xml:space="preserve">converted to spaces</w:t>
      </w:r>
    </w:p>
    <w:bookmarkEnd w:id="1660"/>
    <w:bookmarkEnd w:id="1661"/>
    <w:bookmarkStart w:id="1670" w:name="X493ddc487b7e155467825ee8d099efba4e7c4db"/>
    <w:p>
      <w:pPr>
        <w:pStyle w:val="Heading1"/>
      </w:pPr>
      <w:r>
        <w:t xml:space="preserve">Convert RGB Values to a Hexadecimal Color Code</w:t>
      </w:r>
    </w:p>
    <w:bookmarkStart w:id="1662" w:name="overview-116"/>
    <w:p>
      <w:pPr>
        <w:pStyle w:val="Heading2"/>
      </w:pPr>
      <w:r>
        <w:t xml:space="preserve">Overview</w:t>
      </w:r>
    </w:p>
    <w:p>
      <w:pPr>
        <w:pStyle w:val="FirstParagraph"/>
      </w:pPr>
      <w:r>
        <w:t xml:space="preserve">Converts individual red, green, and blue color component values to an uppercase HTML hexadecimal color string.</w:t>
      </w:r>
    </w:p>
    <w:bookmarkEnd w:id="1662"/>
    <w:bookmarkStart w:id="1663" w:name="prerequisites-7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63"/>
    <w:bookmarkStart w:id="1664" w:name="syntax-133"/>
    <w:p>
      <w:pPr>
        <w:pStyle w:val="Heading2"/>
      </w:pPr>
      <w:r>
        <w:t xml:space="preserve">Syntax</w:t>
      </w:r>
    </w:p>
    <w:p>
      <w:pPr>
        <w:pStyle w:val="SourceCode"/>
      </w:pPr>
      <w:r>
        <w:rPr>
          <w:rStyle w:val="NormalTok"/>
        </w:rPr>
        <w:t xml:space="preserve">result = ax.AxRgbToHex(r, g, b)</w:t>
      </w:r>
    </w:p>
    <w:bookmarkEnd w:id="1664"/>
    <w:bookmarkStart w:id="1665" w:name="parameters-6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r</w:t>
            </w:r>
          </w:p>
        </w:tc>
        <w:tc>
          <w:tcPr/>
          <w:p>
            <w:pPr>
              <w:pStyle w:val="Compact"/>
            </w:pPr>
            <w:r>
              <w:t xml:space="preserve">Integer</w:t>
            </w:r>
          </w:p>
        </w:tc>
        <w:tc>
          <w:tcPr/>
          <w:p>
            <w:pPr>
              <w:pStyle w:val="Compact"/>
            </w:pPr>
            <w:r>
              <w:t xml:space="preserve">Yes</w:t>
            </w:r>
          </w:p>
        </w:tc>
        <w:tc>
          <w:tcPr/>
          <w:p>
            <w:pPr>
              <w:pStyle w:val="Compact"/>
            </w:pPr>
            <w:r>
              <w:t xml:space="preserve">Red component (0–255). Values outside this range are masked with</w:t>
            </w:r>
            <w:r>
              <w:t xml:space="preserve"> </w:t>
            </w:r>
            <w:r>
              <w:rPr>
                <w:rStyle w:val="VerbatimChar"/>
              </w:rPr>
              <w:t xml:space="preserve">&amp; 0xFF</w:t>
            </w:r>
            <w:r>
              <w:t xml:space="preserve">.</w:t>
            </w:r>
          </w:p>
        </w:tc>
      </w:tr>
      <w:tr>
        <w:tc>
          <w:tcPr/>
          <w:p>
            <w:pPr>
              <w:pStyle w:val="Compact"/>
            </w:pPr>
            <w:r>
              <w:rPr>
                <w:b/>
                <w:bCs/>
              </w:rPr>
              <w:t xml:space="preserve">g</w:t>
            </w:r>
          </w:p>
        </w:tc>
        <w:tc>
          <w:tcPr/>
          <w:p>
            <w:pPr>
              <w:pStyle w:val="Compact"/>
            </w:pPr>
            <w:r>
              <w:t xml:space="preserve">Integer</w:t>
            </w:r>
          </w:p>
        </w:tc>
        <w:tc>
          <w:tcPr/>
          <w:p>
            <w:pPr>
              <w:pStyle w:val="Compact"/>
            </w:pPr>
            <w:r>
              <w:t xml:space="preserve">Yes</w:t>
            </w:r>
          </w:p>
        </w:tc>
        <w:tc>
          <w:tcPr/>
          <w:p>
            <w:pPr>
              <w:pStyle w:val="Compact"/>
            </w:pPr>
            <w:r>
              <w:t xml:space="preserve">Green component (0–255). Values outside this range are masked with</w:t>
            </w:r>
            <w:r>
              <w:t xml:space="preserve"> </w:t>
            </w:r>
            <w:r>
              <w:rPr>
                <w:rStyle w:val="VerbatimChar"/>
              </w:rPr>
              <w:t xml:space="preserve">&amp; 0xFF</w:t>
            </w:r>
            <w:r>
              <w:t xml:space="preserve">.</w:t>
            </w:r>
          </w:p>
        </w:tc>
      </w:tr>
      <w:tr>
        <w:tc>
          <w:tcPr/>
          <w:p>
            <w:pPr>
              <w:pStyle w:val="Compact"/>
            </w:pPr>
            <w:r>
              <w:rPr>
                <w:b/>
                <w:bCs/>
              </w:rPr>
              <w:t xml:space="preserve">b</w:t>
            </w:r>
          </w:p>
        </w:tc>
        <w:tc>
          <w:tcPr/>
          <w:p>
            <w:pPr>
              <w:pStyle w:val="Compact"/>
            </w:pPr>
            <w:r>
              <w:t xml:space="preserve">Integer</w:t>
            </w:r>
          </w:p>
        </w:tc>
        <w:tc>
          <w:tcPr/>
          <w:p>
            <w:pPr>
              <w:pStyle w:val="Compact"/>
            </w:pPr>
            <w:r>
              <w:t xml:space="preserve">Yes</w:t>
            </w:r>
          </w:p>
        </w:tc>
        <w:tc>
          <w:tcPr/>
          <w:p>
            <w:pPr>
              <w:pStyle w:val="Compact"/>
            </w:pPr>
            <w:r>
              <w:t xml:space="preserve">Blue component (0–255). Values outside this range are masked with</w:t>
            </w:r>
            <w:r>
              <w:t xml:space="preserve"> </w:t>
            </w:r>
            <w:r>
              <w:rPr>
                <w:rStyle w:val="VerbatimChar"/>
              </w:rPr>
              <w:t xml:space="preserve">&amp; 0xFF</w:t>
            </w:r>
            <w:r>
              <w:t xml:space="preserve">.</w:t>
            </w:r>
          </w:p>
        </w:tc>
      </w:tr>
    </w:tbl>
    <w:bookmarkEnd w:id="1665"/>
    <w:bookmarkStart w:id="1666" w:name="return-value-79"/>
    <w:p>
      <w:pPr>
        <w:pStyle w:val="Heading2"/>
      </w:pPr>
      <w:r>
        <w:t xml:space="preserve">Return Value</w:t>
      </w:r>
    </w:p>
    <w:p>
      <w:pPr>
        <w:pStyle w:val="Compact"/>
        <w:numPr>
          <w:ilvl w:val="0"/>
          <w:numId w:val="1492"/>
        </w:numPr>
      </w:pPr>
      <w:r>
        <w:rPr>
          <w:b/>
          <w:bCs/>
        </w:rPr>
        <w:t xml:space="preserve">String</w:t>
      </w:r>
      <w:r>
        <w:t xml:space="preserve">: An uppercase hexadecimal color string in</w:t>
      </w:r>
      <w:r>
        <w:t xml:space="preserve"> </w:t>
      </w:r>
      <w:r>
        <w:rPr>
          <w:rStyle w:val="VerbatimChar"/>
        </w:rPr>
        <w:t xml:space="preserve">#RRGGBB</w:t>
      </w:r>
      <w:r>
        <w:t xml:space="preserve"> </w:t>
      </w:r>
      <w:r>
        <w:t xml:space="preserve">format (e.g.,</w:t>
      </w:r>
      <w:r>
        <w:t xml:space="preserve"> </w:t>
      </w:r>
      <w:r>
        <w:rPr>
          <w:rStyle w:val="VerbatimChar"/>
        </w:rPr>
        <w:t xml:space="preserve">"#FF8000"</w:t>
      </w:r>
      <w:r>
        <w:t xml:space="preserve">).</w:t>
      </w:r>
    </w:p>
    <w:p>
      <w:pPr>
        <w:pStyle w:val="Compact"/>
        <w:numPr>
          <w:ilvl w:val="0"/>
          <w:numId w:val="1492"/>
        </w:numPr>
      </w:pPr>
      <w:r>
        <w:rPr>
          <w:b/>
          <w:bCs/>
        </w:rPr>
        <w:t xml:space="preserve">String</w:t>
      </w:r>
      <w:r>
        <w:rPr>
          <w:b/>
          <w:bCs/>
        </w:rPr>
        <w:t xml:space="preserve"> </w:t>
      </w:r>
      <w:r>
        <w:rPr>
          <w:rStyle w:val="VerbatimChar"/>
          <w:b/>
          <w:bCs/>
        </w:rPr>
        <w:t xml:space="preserve">"#000000"</w:t>
      </w:r>
      <w:r>
        <w:t xml:space="preserve">: Returned when fewer than three arguments are supplied.</w:t>
      </w:r>
    </w:p>
    <w:bookmarkEnd w:id="1666"/>
    <w:bookmarkStart w:id="1667" w:name="remarks-145"/>
    <w:p>
      <w:pPr>
        <w:pStyle w:val="Heading2"/>
      </w:pPr>
      <w:r>
        <w:t xml:space="preserve">Remarks</w:t>
      </w:r>
    </w:p>
    <w:p>
      <w:pPr>
        <w:pStyle w:val="Compact"/>
        <w:numPr>
          <w:ilvl w:val="0"/>
          <w:numId w:val="1493"/>
        </w:numPr>
      </w:pPr>
      <w:r>
        <w:t xml:space="preserve">Each component is masked with</w:t>
      </w:r>
      <w:r>
        <w:t xml:space="preserve"> </w:t>
      </w:r>
      <w:r>
        <w:rPr>
          <w:rStyle w:val="VerbatimChar"/>
        </w:rPr>
        <w:t xml:space="preserve">&amp; 0xFF</w:t>
      </w:r>
      <w:r>
        <w:t xml:space="preserve"> </w:t>
      </w:r>
      <w:r>
        <w:t xml:space="preserve">before formatting, so values outside 0–255 wrap rather than cause an error.</w:t>
      </w:r>
    </w:p>
    <w:p>
      <w:pPr>
        <w:pStyle w:val="Compact"/>
        <w:numPr>
          <w:ilvl w:val="0"/>
          <w:numId w:val="1493"/>
        </w:numPr>
      </w:pPr>
      <w:r>
        <w:t xml:space="preserve">The hex digits are uppercase (</w:t>
      </w:r>
      <w:r>
        <w:rPr>
          <w:rStyle w:val="VerbatimChar"/>
        </w:rPr>
        <w:t xml:space="preserve">A</w:t>
      </w:r>
      <w:r>
        <w:t xml:space="preserve">–</w:t>
      </w:r>
      <w:r>
        <w:rPr>
          <w:rStyle w:val="VerbatimChar"/>
        </w:rPr>
        <w:t xml:space="preserve">F</w:t>
      </w:r>
      <w:r>
        <w:t xml:space="preserve">).</w:t>
      </w:r>
    </w:p>
    <w:p>
      <w:pPr>
        <w:pStyle w:val="Compact"/>
        <w:numPr>
          <w:ilvl w:val="0"/>
          <w:numId w:val="1493"/>
        </w:numPr>
      </w:pPr>
      <w:r>
        <w:t xml:space="preserve">Method names are case-insensitive.</w:t>
      </w:r>
    </w:p>
    <w:bookmarkEnd w:id="1667"/>
    <w:bookmarkStart w:id="1668" w:name="example-8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w:t>
      </w:r>
      <w:r>
        <w:rPr>
          <w:rStyle w:val="FunctionTok"/>
        </w:rPr>
        <w:t xml:space="preserve">hex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hex</w:t>
      </w:r>
      <w:r>
        <w:rPr>
          <w:rStyle w:val="NormalTok"/>
        </w:rPr>
        <w:t xml:space="preserve"> = ax.AxRgbToHex</w:t>
      </w:r>
      <w:r>
        <w:rPr>
          <w:rStyle w:val="OtherTok"/>
        </w:rPr>
        <w:t xml:space="preserve">(</w:t>
      </w:r>
      <w:r>
        <w:rPr>
          <w:rStyle w:val="DecValTok"/>
        </w:rPr>
        <w:t xml:space="preserve">255</w:t>
      </w:r>
      <w:r>
        <w:rPr>
          <w:rStyle w:val="OtherTok"/>
        </w:rPr>
        <w:t xml:space="preserve">,</w:t>
      </w:r>
      <w:r>
        <w:rPr>
          <w:rStyle w:val="NormalTok"/>
        </w:rPr>
        <w:t xml:space="preserve"> </w:t>
      </w:r>
      <w:r>
        <w:rPr>
          <w:rStyle w:val="DecValTok"/>
        </w:rPr>
        <w:t xml:space="preserve">128</w:t>
      </w:r>
      <w:r>
        <w:rPr>
          <w:rStyle w:val="OtherTok"/>
        </w:rPr>
        <w:t xml:space="preserve">,</w:t>
      </w:r>
      <w:r>
        <w:rPr>
          <w:rStyle w:val="NormalTok"/>
        </w:rPr>
        <w:t xml:space="preserve"> </w:t>
      </w:r>
      <w:r>
        <w:rPr>
          <w:rStyle w:val="DecValTok"/>
        </w:rPr>
        <w:t xml:space="preserve">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hex</w:t>
      </w:r>
      <w:r>
        <w:br/>
      </w:r>
      <w:r>
        <w:rPr>
          <w:rStyle w:val="CommentTok"/>
        </w:rPr>
        <w:t xml:space="preserve">' Output: #FF8000</w:t>
      </w:r>
      <w:r>
        <w:br/>
      </w:r>
      <w:r>
        <w:br/>
      </w:r>
      <w:r>
        <w:rPr>
          <w:rStyle w:val="FunctionTok"/>
        </w:rPr>
        <w:t xml:space="preserve">hex</w:t>
      </w:r>
      <w:r>
        <w:rPr>
          <w:rStyle w:val="NormalTok"/>
        </w:rPr>
        <w:t xml:space="preserve"> = ax.AxRgbToHex</w:t>
      </w:r>
      <w:r>
        <w:rPr>
          <w:rStyle w:val="OtherTok"/>
        </w:rPr>
        <w:t xml:space="preserve">(</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255</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w:t>
      </w:r>
      <w:r>
        <w:rPr>
          <w:rStyle w:val="NormalTok"/>
        </w:rPr>
        <w:t xml:space="preserve"> </w:t>
      </w:r>
      <w:r>
        <w:rPr>
          <w:rStyle w:val="KeywordTok"/>
        </w:rPr>
        <w:t xml:space="preserve">&amp;</w:t>
      </w:r>
      <w:r>
        <w:rPr>
          <w:rStyle w:val="NormalTok"/>
        </w:rPr>
        <w:t xml:space="preserve"> </w:t>
      </w:r>
      <w:r>
        <w:rPr>
          <w:rStyle w:val="FunctionTok"/>
        </w:rPr>
        <w:t xml:space="preserve">hex</w:t>
      </w:r>
      <w:r>
        <w:br/>
      </w:r>
      <w:r>
        <w:rPr>
          <w:rStyle w:val="CommentTok"/>
        </w:rPr>
        <w:t xml:space="preserve">' Output: #0000FF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68"/>
    <w:bookmarkStart w:id="1669" w:name="api-reference-76"/>
    <w:p>
      <w:pPr>
        <w:pStyle w:val="Heading2"/>
      </w:pPr>
      <w:r>
        <w:t xml:space="preserve">API Reference</w:t>
      </w:r>
    </w:p>
    <w:p>
      <w:pPr>
        <w:pStyle w:val="Compact"/>
        <w:numPr>
          <w:ilvl w:val="0"/>
          <w:numId w:val="1494"/>
        </w:numPr>
      </w:pPr>
      <w:r>
        <w:rPr>
          <w:b/>
          <w:bCs/>
        </w:rPr>
        <w:t xml:space="preserve">Object</w:t>
      </w:r>
      <w:r>
        <w:t xml:space="preserve">:</w:t>
      </w:r>
      <w:r>
        <w:t xml:space="preserve"> </w:t>
      </w:r>
      <w:r>
        <w:rPr>
          <w:rStyle w:val="VerbatimChar"/>
        </w:rPr>
        <w:t xml:space="preserve">G3AXON.FUNCTIONS</w:t>
      </w:r>
    </w:p>
    <w:p>
      <w:pPr>
        <w:pStyle w:val="Compact"/>
        <w:numPr>
          <w:ilvl w:val="0"/>
          <w:numId w:val="1494"/>
        </w:numPr>
      </w:pPr>
      <w:r>
        <w:rPr>
          <w:b/>
          <w:bCs/>
        </w:rPr>
        <w:t xml:space="preserve">Method</w:t>
      </w:r>
      <w:r>
        <w:t xml:space="preserve">:</w:t>
      </w:r>
      <w:r>
        <w:t xml:space="preserve"> </w:t>
      </w:r>
      <w:r>
        <w:rPr>
          <w:rStyle w:val="VerbatimChar"/>
        </w:rPr>
        <w:t xml:space="preserve">AxRgbToHex</w:t>
      </w:r>
    </w:p>
    <w:p>
      <w:pPr>
        <w:pStyle w:val="Compact"/>
        <w:numPr>
          <w:ilvl w:val="0"/>
          <w:numId w:val="1494"/>
        </w:numPr>
      </w:pPr>
      <w:r>
        <w:rPr>
          <w:b/>
          <w:bCs/>
        </w:rPr>
        <w:t xml:space="preserve">Arguments</w:t>
      </w:r>
      <w:r>
        <w:t xml:space="preserve">:</w:t>
      </w:r>
      <w:r>
        <w:t xml:space="preserve"> </w:t>
      </w:r>
      <w:r>
        <w:rPr>
          <w:rStyle w:val="VerbatimChar"/>
        </w:rPr>
        <w:t xml:space="preserve">r</w:t>
      </w:r>
      <w:r>
        <w:t xml:space="preserve"> </w:t>
      </w:r>
      <w:r>
        <w:t xml:space="preserve">(Integer, required),</w:t>
      </w:r>
      <w:r>
        <w:t xml:space="preserve"> </w:t>
      </w:r>
      <w:r>
        <w:rPr>
          <w:rStyle w:val="VerbatimChar"/>
        </w:rPr>
        <w:t xml:space="preserve">g</w:t>
      </w:r>
      <w:r>
        <w:t xml:space="preserve"> </w:t>
      </w:r>
      <w:r>
        <w:t xml:space="preserve">(Integer, required),</w:t>
      </w:r>
      <w:r>
        <w:t xml:space="preserve"> </w:t>
      </w:r>
      <w:r>
        <w:rPr>
          <w:rStyle w:val="VerbatimChar"/>
        </w:rPr>
        <w:t xml:space="preserve">b</w:t>
      </w:r>
      <w:r>
        <w:t xml:space="preserve"> </w:t>
      </w:r>
      <w:r>
        <w:t xml:space="preserve">(Integer, required)</w:t>
      </w:r>
    </w:p>
    <w:p>
      <w:pPr>
        <w:pStyle w:val="Compact"/>
        <w:numPr>
          <w:ilvl w:val="0"/>
          <w:numId w:val="1494"/>
        </w:numPr>
      </w:pPr>
      <w:r>
        <w:rPr>
          <w:b/>
          <w:bCs/>
        </w:rPr>
        <w:t xml:space="preserve">Returns</w:t>
      </w:r>
      <w:r>
        <w:t xml:space="preserve">: String — uppercase</w:t>
      </w:r>
      <w:r>
        <w:t xml:space="preserve"> </w:t>
      </w:r>
      <w:r>
        <w:rPr>
          <w:rStyle w:val="VerbatimChar"/>
        </w:rPr>
        <w:t xml:space="preserve">#RRGGBB</w:t>
      </w:r>
      <w:r>
        <w:t xml:space="preserve"> </w:t>
      </w:r>
      <w:r>
        <w:t xml:space="preserve">hex color code</w:t>
      </w:r>
    </w:p>
    <w:bookmarkEnd w:id="1669"/>
    <w:bookmarkEnd w:id="1670"/>
    <w:bookmarkStart w:id="1679" w:name="convert-a-hexadecimal-color-code-to-rgb"/>
    <w:p>
      <w:pPr>
        <w:pStyle w:val="Heading1"/>
      </w:pPr>
      <w:r>
        <w:t xml:space="preserve">Convert a Hexadecimal Color Code to RGB</w:t>
      </w:r>
    </w:p>
    <w:bookmarkStart w:id="1671" w:name="overview-117"/>
    <w:p>
      <w:pPr>
        <w:pStyle w:val="Heading2"/>
      </w:pPr>
      <w:r>
        <w:t xml:space="preserve">Overview</w:t>
      </w:r>
    </w:p>
    <w:p>
      <w:pPr>
        <w:pStyle w:val="FirstParagraph"/>
      </w:pPr>
      <w:r>
        <w:t xml:space="preserve">Converts an HTML hexadecimal color string to a CSS</w:t>
      </w:r>
      <w:r>
        <w:t xml:space="preserve"> </w:t>
      </w:r>
      <w:r>
        <w:rPr>
          <w:rStyle w:val="VerbatimChar"/>
        </w:rPr>
        <w:t xml:space="preserve">rgb()</w:t>
      </w:r>
      <w:r>
        <w:t xml:space="preserve"> </w:t>
      </w:r>
      <w:r>
        <w:t xml:space="preserve">function string.</w:t>
      </w:r>
    </w:p>
    <w:bookmarkEnd w:id="1671"/>
    <w:bookmarkStart w:id="1672" w:name="prerequisites-7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72"/>
    <w:bookmarkStart w:id="1673" w:name="syntax-134"/>
    <w:p>
      <w:pPr>
        <w:pStyle w:val="Heading2"/>
      </w:pPr>
      <w:r>
        <w:t xml:space="preserve">Syntax</w:t>
      </w:r>
    </w:p>
    <w:p>
      <w:pPr>
        <w:pStyle w:val="SourceCode"/>
      </w:pPr>
      <w:r>
        <w:rPr>
          <w:rStyle w:val="NormalTok"/>
        </w:rPr>
        <w:t xml:space="preserve">result = ax.AxHexToRgb(hex)</w:t>
      </w:r>
    </w:p>
    <w:bookmarkEnd w:id="1673"/>
    <w:bookmarkStart w:id="1674" w:name="parameters-6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hex</w:t>
            </w:r>
          </w:p>
        </w:tc>
        <w:tc>
          <w:tcPr/>
          <w:p>
            <w:pPr>
              <w:pStyle w:val="Compact"/>
            </w:pPr>
            <w:r>
              <w:t xml:space="preserve">String</w:t>
            </w:r>
          </w:p>
        </w:tc>
        <w:tc>
          <w:tcPr/>
          <w:p>
            <w:pPr>
              <w:pStyle w:val="Compact"/>
            </w:pPr>
            <w:r>
              <w:t xml:space="preserve">Yes</w:t>
            </w:r>
          </w:p>
        </w:tc>
        <w:tc>
          <w:tcPr/>
          <w:p>
            <w:pPr>
              <w:pStyle w:val="Compact"/>
            </w:pPr>
            <w:r>
              <w:t xml:space="preserve">An HTML color string in</w:t>
            </w:r>
            <w:r>
              <w:t xml:space="preserve"> </w:t>
            </w:r>
            <w:r>
              <w:rPr>
                <w:rStyle w:val="VerbatimChar"/>
              </w:rPr>
              <w:t xml:space="preserve">#RGB</w:t>
            </w:r>
            <w:r>
              <w:t xml:space="preserve"> </w:t>
            </w:r>
            <w:r>
              <w:t xml:space="preserve">or</w:t>
            </w:r>
            <w:r>
              <w:t xml:space="preserve"> </w:t>
            </w:r>
            <w:r>
              <w:rPr>
                <w:rStyle w:val="VerbatimChar"/>
              </w:rPr>
              <w:t xml:space="preserve">#RRGGBB</w:t>
            </w:r>
            <w:r>
              <w:t xml:space="preserve"> </w:t>
            </w:r>
            <w:r>
              <w:t xml:space="preserve">format. The leading</w:t>
            </w:r>
            <w:r>
              <w:t xml:space="preserve"> </w:t>
            </w:r>
            <w:r>
              <w:rPr>
                <w:rStyle w:val="VerbatimChar"/>
              </w:rPr>
              <w:t xml:space="preserve">#</w:t>
            </w:r>
            <w:r>
              <w:t xml:space="preserve"> </w:t>
            </w:r>
            <w:r>
              <w:t xml:space="preserve">is required.</w:t>
            </w:r>
          </w:p>
        </w:tc>
      </w:tr>
    </w:tbl>
    <w:bookmarkEnd w:id="1674"/>
    <w:bookmarkStart w:id="1675" w:name="return-value-80"/>
    <w:p>
      <w:pPr>
        <w:pStyle w:val="Heading2"/>
      </w:pPr>
      <w:r>
        <w:t xml:space="preserve">Return Value</w:t>
      </w:r>
    </w:p>
    <w:p>
      <w:pPr>
        <w:pStyle w:val="Compact"/>
        <w:numPr>
          <w:ilvl w:val="0"/>
          <w:numId w:val="1495"/>
        </w:numPr>
      </w:pPr>
      <w:r>
        <w:rPr>
          <w:b/>
          <w:bCs/>
        </w:rPr>
        <w:t xml:space="preserve">String</w:t>
      </w:r>
      <w:r>
        <w:t xml:space="preserve">: A CSS color string in</w:t>
      </w:r>
      <w:r>
        <w:t xml:space="preserve"> </w:t>
      </w:r>
      <w:r>
        <w:rPr>
          <w:rStyle w:val="VerbatimChar"/>
        </w:rPr>
        <w:t xml:space="preserve">rgb(R,G,B)</w:t>
      </w:r>
      <w:r>
        <w:t xml:space="preserve"> </w:t>
      </w:r>
      <w:r>
        <w:t xml:space="preserve">format (e.g.,</w:t>
      </w:r>
      <w:r>
        <w:t xml:space="preserve"> </w:t>
      </w:r>
      <w:r>
        <w:rPr>
          <w:rStyle w:val="VerbatimChar"/>
        </w:rPr>
        <w:t xml:space="preserve">"rgb(0,128,255)"</w:t>
      </w:r>
      <w:r>
        <w:t xml:space="preserve">).</w:t>
      </w:r>
    </w:p>
    <w:p>
      <w:pPr>
        <w:pStyle w:val="Compact"/>
        <w:numPr>
          <w:ilvl w:val="0"/>
          <w:numId w:val="1495"/>
        </w:numPr>
      </w:pPr>
      <w:r>
        <w:rPr>
          <w:b/>
          <w:bCs/>
        </w:rPr>
        <w:t xml:space="preserve">String</w:t>
      </w:r>
      <w:r>
        <w:rPr>
          <w:b/>
          <w:bCs/>
        </w:rPr>
        <w:t xml:space="preserve"> </w:t>
      </w:r>
      <w:r>
        <w:rPr>
          <w:rStyle w:val="VerbatimChar"/>
          <w:b/>
          <w:bCs/>
        </w:rPr>
        <w:t xml:space="preserve">"rgb(0,0,0)"</w:t>
      </w:r>
      <w:r>
        <w:t xml:space="preserve">: Returned when the input is empty, missing the</w:t>
      </w:r>
      <w:r>
        <w:t xml:space="preserve"> </w:t>
      </w:r>
      <w:r>
        <w:rPr>
          <w:rStyle w:val="VerbatimChar"/>
        </w:rPr>
        <w:t xml:space="preserve">#</w:t>
      </w:r>
      <w:r>
        <w:t xml:space="preserve"> </w:t>
      </w:r>
      <w:r>
        <w:t xml:space="preserve">prefix, or has an invalid format.</w:t>
      </w:r>
    </w:p>
    <w:bookmarkEnd w:id="1675"/>
    <w:bookmarkStart w:id="1676" w:name="remarks-146"/>
    <w:p>
      <w:pPr>
        <w:pStyle w:val="Heading2"/>
      </w:pPr>
      <w:r>
        <w:t xml:space="preserve">Remarks</w:t>
      </w:r>
    </w:p>
    <w:p>
      <w:pPr>
        <w:pStyle w:val="Compact"/>
        <w:numPr>
          <w:ilvl w:val="0"/>
          <w:numId w:val="1496"/>
        </w:numPr>
      </w:pPr>
      <w:r>
        <w:t xml:space="preserve">Both 3-digit (</w:t>
      </w:r>
      <w:r>
        <w:rPr>
          <w:rStyle w:val="VerbatimChar"/>
        </w:rPr>
        <w:t xml:space="preserve">#RGB</w:t>
      </w:r>
      <w:r>
        <w:t xml:space="preserve">) and 6-digit (</w:t>
      </w:r>
      <w:r>
        <w:rPr>
          <w:rStyle w:val="VerbatimChar"/>
        </w:rPr>
        <w:t xml:space="preserve">#RRGGBB</w:t>
      </w:r>
      <w:r>
        <w:t xml:space="preserve">) formats are accepted.</w:t>
      </w:r>
    </w:p>
    <w:p>
      <w:pPr>
        <w:pStyle w:val="Compact"/>
        <w:numPr>
          <w:ilvl w:val="0"/>
          <w:numId w:val="1496"/>
        </w:numPr>
      </w:pPr>
      <w:r>
        <w:t xml:space="preserve">The 3-digit form is expanded by doubling each digit (e.g.,</w:t>
      </w:r>
      <w:r>
        <w:t xml:space="preserve"> </w:t>
      </w:r>
      <w:r>
        <w:rPr>
          <w:rStyle w:val="VerbatimChar"/>
        </w:rPr>
        <w:t xml:space="preserve">#F80</w:t>
      </w:r>
      <w:r>
        <w:t xml:space="preserve"> </w:t>
      </w:r>
      <w:r>
        <w:t xml:space="preserve">→</w:t>
      </w:r>
      <w:r>
        <w:t xml:space="preserve"> </w:t>
      </w:r>
      <w:r>
        <w:rPr>
          <w:rStyle w:val="VerbatimChar"/>
        </w:rPr>
        <w:t xml:space="preserve">#FF8800</w:t>
      </w:r>
      <w:r>
        <w:t xml:space="preserve">).</w:t>
      </w:r>
    </w:p>
    <w:p>
      <w:pPr>
        <w:pStyle w:val="Compact"/>
        <w:numPr>
          <w:ilvl w:val="0"/>
          <w:numId w:val="1496"/>
        </w:numPr>
      </w:pPr>
      <w:r>
        <w:t xml:space="preserve">Method names are case-insensitive.</w:t>
      </w:r>
    </w:p>
    <w:bookmarkEnd w:id="1676"/>
    <w:bookmarkStart w:id="1677" w:name="example-8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w:t>
      </w:r>
      <w:r>
        <w:rPr>
          <w:rStyle w:val="FunctionTok"/>
        </w:rPr>
        <w:t xml:space="preserve">rgb</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rgb</w:t>
      </w:r>
      <w:r>
        <w:rPr>
          <w:rStyle w:val="NormalTok"/>
        </w:rPr>
        <w:t xml:space="preserve"> = ax.AxHexToRgb</w:t>
      </w:r>
      <w:r>
        <w:rPr>
          <w:rStyle w:val="OtherTok"/>
        </w:rPr>
        <w:t xml:space="preserve">(</w:t>
      </w:r>
      <w:r>
        <w:rPr>
          <w:rStyle w:val="StringTok"/>
        </w:rPr>
        <w:t xml:space="preserve">"#0080FF"</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rgb</w:t>
      </w:r>
      <w:r>
        <w:br/>
      </w:r>
      <w:r>
        <w:rPr>
          <w:rStyle w:val="CommentTok"/>
        </w:rPr>
        <w:t xml:space="preserve">' Output: rgb(0,128,255)</w:t>
      </w:r>
      <w:r>
        <w:br/>
      </w:r>
      <w:r>
        <w:br/>
      </w:r>
      <w:r>
        <w:rPr>
          <w:rStyle w:val="FunctionTok"/>
        </w:rPr>
        <w:t xml:space="preserve">rgb</w:t>
      </w:r>
      <w:r>
        <w:rPr>
          <w:rStyle w:val="NormalTok"/>
        </w:rPr>
        <w:t xml:space="preserve"> = ax.AxHexToRgb</w:t>
      </w:r>
      <w:r>
        <w:rPr>
          <w:rStyle w:val="OtherTok"/>
        </w:rPr>
        <w:t xml:space="preserve">(</w:t>
      </w:r>
      <w:r>
        <w:rPr>
          <w:rStyle w:val="StringTok"/>
        </w:rPr>
        <w:t xml:space="preserve">"#F80"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w:t>
      </w:r>
      <w:r>
        <w:rPr>
          <w:rStyle w:val="NormalTok"/>
        </w:rPr>
        <w:t xml:space="preserve"> </w:t>
      </w:r>
      <w:r>
        <w:rPr>
          <w:rStyle w:val="KeywordTok"/>
        </w:rPr>
        <w:t xml:space="preserve">&amp;</w:t>
      </w:r>
      <w:r>
        <w:rPr>
          <w:rStyle w:val="NormalTok"/>
        </w:rPr>
        <w:t xml:space="preserve"> </w:t>
      </w:r>
      <w:r>
        <w:rPr>
          <w:rStyle w:val="FunctionTok"/>
        </w:rPr>
        <w:t xml:space="preserve">rgb</w:t>
      </w:r>
      <w:r>
        <w:br/>
      </w:r>
      <w:r>
        <w:rPr>
          <w:rStyle w:val="CommentTok"/>
        </w:rPr>
        <w:t xml:space="preserve">' Output: rgb(255,136,0)</w:t>
      </w:r>
      <w:r>
        <w:br/>
      </w:r>
      <w:r>
        <w:br/>
      </w:r>
      <w:r>
        <w:rPr>
          <w:rStyle w:val="FunctionTok"/>
        </w:rPr>
        <w:t xml:space="preserve">rgb</w:t>
      </w:r>
      <w:r>
        <w:rPr>
          <w:rStyle w:val="NormalTok"/>
        </w:rPr>
        <w:t xml:space="preserve"> = ax.AxHexToRgb</w:t>
      </w:r>
      <w:r>
        <w:rPr>
          <w:rStyle w:val="OtherTok"/>
        </w:rPr>
        <w:t xml:space="preserve">(</w:t>
      </w:r>
      <w:r>
        <w:rPr>
          <w:rStyle w:val="StringTok"/>
        </w:rPr>
        <w:t xml:space="preserve">"invalid"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w:t>
      </w:r>
      <w:r>
        <w:rPr>
          <w:rStyle w:val="NormalTok"/>
        </w:rPr>
        <w:t xml:space="preserve"> </w:t>
      </w:r>
      <w:r>
        <w:rPr>
          <w:rStyle w:val="KeywordTok"/>
        </w:rPr>
        <w:t xml:space="preserve">&amp;</w:t>
      </w:r>
      <w:r>
        <w:rPr>
          <w:rStyle w:val="NormalTok"/>
        </w:rPr>
        <w:t xml:space="preserve"> </w:t>
      </w:r>
      <w:r>
        <w:rPr>
          <w:rStyle w:val="FunctionTok"/>
        </w:rPr>
        <w:t xml:space="preserve">rgb</w:t>
      </w:r>
      <w:r>
        <w:br/>
      </w:r>
      <w:r>
        <w:rPr>
          <w:rStyle w:val="CommentTok"/>
        </w:rPr>
        <w:t xml:space="preserve">' Output: rgb(0,0,0)</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77"/>
    <w:bookmarkStart w:id="1678" w:name="api-reference-77"/>
    <w:p>
      <w:pPr>
        <w:pStyle w:val="Heading2"/>
      </w:pPr>
      <w:r>
        <w:t xml:space="preserve">API Reference</w:t>
      </w:r>
    </w:p>
    <w:p>
      <w:pPr>
        <w:pStyle w:val="Compact"/>
        <w:numPr>
          <w:ilvl w:val="0"/>
          <w:numId w:val="1497"/>
        </w:numPr>
      </w:pPr>
      <w:r>
        <w:rPr>
          <w:b/>
          <w:bCs/>
        </w:rPr>
        <w:t xml:space="preserve">Object</w:t>
      </w:r>
      <w:r>
        <w:t xml:space="preserve">:</w:t>
      </w:r>
      <w:r>
        <w:t xml:space="preserve"> </w:t>
      </w:r>
      <w:r>
        <w:rPr>
          <w:rStyle w:val="VerbatimChar"/>
        </w:rPr>
        <w:t xml:space="preserve">G3AXON.FUNCTIONS</w:t>
      </w:r>
    </w:p>
    <w:p>
      <w:pPr>
        <w:pStyle w:val="Compact"/>
        <w:numPr>
          <w:ilvl w:val="0"/>
          <w:numId w:val="1497"/>
        </w:numPr>
      </w:pPr>
      <w:r>
        <w:rPr>
          <w:b/>
          <w:bCs/>
        </w:rPr>
        <w:t xml:space="preserve">Method</w:t>
      </w:r>
      <w:r>
        <w:t xml:space="preserve">:</w:t>
      </w:r>
      <w:r>
        <w:t xml:space="preserve"> </w:t>
      </w:r>
      <w:r>
        <w:rPr>
          <w:rStyle w:val="VerbatimChar"/>
        </w:rPr>
        <w:t xml:space="preserve">AxHexToRgb</w:t>
      </w:r>
    </w:p>
    <w:p>
      <w:pPr>
        <w:pStyle w:val="Compact"/>
        <w:numPr>
          <w:ilvl w:val="0"/>
          <w:numId w:val="1497"/>
        </w:numPr>
      </w:pPr>
      <w:r>
        <w:rPr>
          <w:b/>
          <w:bCs/>
        </w:rPr>
        <w:t xml:space="preserve">Arguments</w:t>
      </w:r>
      <w:r>
        <w:t xml:space="preserve">:</w:t>
      </w:r>
      <w:r>
        <w:t xml:space="preserve"> </w:t>
      </w:r>
      <w:r>
        <w:rPr>
          <w:rStyle w:val="VerbatimChar"/>
        </w:rPr>
        <w:t xml:space="preserve">hex</w:t>
      </w:r>
      <w:r>
        <w:t xml:space="preserve"> </w:t>
      </w:r>
      <w:r>
        <w:t xml:space="preserve">(String, required)</w:t>
      </w:r>
    </w:p>
    <w:p>
      <w:pPr>
        <w:pStyle w:val="Compact"/>
        <w:numPr>
          <w:ilvl w:val="0"/>
          <w:numId w:val="1497"/>
        </w:numPr>
      </w:pPr>
      <w:r>
        <w:rPr>
          <w:b/>
          <w:bCs/>
        </w:rPr>
        <w:t xml:space="preserve">Returns</w:t>
      </w:r>
      <w:r>
        <w:t xml:space="preserve">: String —</w:t>
      </w:r>
      <w:r>
        <w:t xml:space="preserve"> </w:t>
      </w:r>
      <w:r>
        <w:rPr>
          <w:rStyle w:val="VerbatimChar"/>
        </w:rPr>
        <w:t xml:space="preserve">rgb(R,G,B)</w:t>
      </w:r>
      <w:r>
        <w:t xml:space="preserve"> </w:t>
      </w:r>
      <w:r>
        <w:t xml:space="preserve">form, or</w:t>
      </w:r>
      <w:r>
        <w:t xml:space="preserve"> </w:t>
      </w:r>
      <w:r>
        <w:rPr>
          <w:rStyle w:val="VerbatimChar"/>
        </w:rPr>
        <w:t xml:space="preserve">rgb(0,0,0)</w:t>
      </w:r>
      <w:r>
        <w:t xml:space="preserve"> </w:t>
      </w:r>
      <w:r>
        <w:t xml:space="preserve">on invalid input</w:t>
      </w:r>
    </w:p>
    <w:bookmarkEnd w:id="1678"/>
    <w:bookmarkEnd w:id="1679"/>
    <w:bookmarkStart w:id="1688" w:name="Xed55dd1b561b0440c4f36f0fdedc08df58d715e"/>
    <w:p>
      <w:pPr>
        <w:pStyle w:val="Heading1"/>
      </w:pPr>
      <w:r>
        <w:t xml:space="preserve">Get the Default Logo as a Base64 Data URI</w:t>
      </w:r>
    </w:p>
    <w:bookmarkStart w:id="1680" w:name="overview-118"/>
    <w:p>
      <w:pPr>
        <w:pStyle w:val="Heading2"/>
      </w:pPr>
      <w:r>
        <w:t xml:space="preserve">Overview</w:t>
      </w:r>
    </w:p>
    <w:p>
      <w:pPr>
        <w:pStyle w:val="FirstParagraph"/>
      </w:pPr>
      <w:r>
        <w:t xml:space="preserve">Returns the server’s configured default logo image as an inline Base64 data URI string, ready for use in an HTML</w:t>
      </w:r>
      <w:r>
        <w:t xml:space="preserve"> </w:t>
      </w:r>
      <w:r>
        <w:rPr>
          <w:rStyle w:val="VerbatimChar"/>
        </w:rPr>
        <w:t xml:space="preserve">&lt;img&gt;</w:t>
      </w:r>
      <w:r>
        <w:t xml:space="preserve"> </w:t>
      </w:r>
      <w:r>
        <w:t xml:space="preserve">tag.</w:t>
      </w:r>
    </w:p>
    <w:bookmarkEnd w:id="1680"/>
    <w:bookmarkStart w:id="1681" w:name="prerequisites-7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p>
      <w:pPr>
        <w:pStyle w:val="BodyText"/>
      </w:pPr>
      <w:r>
        <w:t xml:space="preserve">Set the logo file path in</w:t>
      </w:r>
      <w:r>
        <w:t xml:space="preserve"> </w:t>
      </w:r>
      <w:r>
        <w:rPr>
          <w:rStyle w:val="VerbatimChar"/>
        </w:rPr>
        <w:t xml:space="preserve">config/axonasp.toml</w:t>
      </w:r>
      <w:r>
        <w:t xml:space="preserve">:</w:t>
      </w:r>
    </w:p>
    <w:p>
      <w:pPr>
        <w:pStyle w:val="SourceCode"/>
      </w:pPr>
      <w:r>
        <w:rPr>
          <w:rStyle w:val="KeywordTok"/>
        </w:rPr>
        <w:t xml:space="preserve">[axfunctions]</w:t>
      </w:r>
      <w:r>
        <w:br/>
      </w:r>
      <w:r>
        <w:rPr>
          <w:rStyle w:val="DataTypeTok"/>
        </w:rPr>
        <w:t xml:space="preserve">ax_default_logo_path</w:t>
      </w:r>
      <w:r>
        <w:rPr>
          <w:rStyle w:val="NormalTok"/>
        </w:rPr>
        <w:t xml:space="preserve"> </w:t>
      </w:r>
      <w:r>
        <w:rPr>
          <w:rStyle w:val="OperatorTok"/>
        </w:rPr>
        <w:t xml:space="preserve">=</w:t>
      </w:r>
      <w:r>
        <w:rPr>
          <w:rStyle w:val="NormalTok"/>
        </w:rPr>
        <w:t xml:space="preserve"> </w:t>
      </w:r>
      <w:r>
        <w:rPr>
          <w:rStyle w:val="StringTok"/>
        </w:rPr>
        <w:t xml:space="preserve">"./www/images/logo.png"</w:t>
      </w:r>
    </w:p>
    <w:bookmarkEnd w:id="1681"/>
    <w:bookmarkStart w:id="1682" w:name="syntax-135"/>
    <w:p>
      <w:pPr>
        <w:pStyle w:val="Heading2"/>
      </w:pPr>
      <w:r>
        <w:t xml:space="preserve">Syntax</w:t>
      </w:r>
    </w:p>
    <w:p>
      <w:pPr>
        <w:pStyle w:val="SourceCode"/>
      </w:pPr>
      <w:r>
        <w:rPr>
          <w:rStyle w:val="NormalTok"/>
        </w:rPr>
        <w:t xml:space="preserve">result = ax.AxGetLogo()</w:t>
      </w:r>
    </w:p>
    <w:bookmarkEnd w:id="1682"/>
    <w:bookmarkStart w:id="1683" w:name="parameters-65"/>
    <w:p>
      <w:pPr>
        <w:pStyle w:val="Heading2"/>
      </w:pPr>
      <w:r>
        <w:t xml:space="preserve">Parameters</w:t>
      </w:r>
    </w:p>
    <w:p>
      <w:pPr>
        <w:pStyle w:val="FirstParagraph"/>
      </w:pPr>
      <w:r>
        <w:t xml:space="preserve">This method does not accept any parameters.</w:t>
      </w:r>
    </w:p>
    <w:bookmarkEnd w:id="1683"/>
    <w:bookmarkStart w:id="1684" w:name="return-value-81"/>
    <w:p>
      <w:pPr>
        <w:pStyle w:val="Heading2"/>
      </w:pPr>
      <w:r>
        <w:t xml:space="preserve">Return Value</w:t>
      </w:r>
    </w:p>
    <w:p>
      <w:pPr>
        <w:pStyle w:val="Compact"/>
        <w:numPr>
          <w:ilvl w:val="0"/>
          <w:numId w:val="1498"/>
        </w:numPr>
      </w:pPr>
      <w:r>
        <w:rPr>
          <w:b/>
          <w:bCs/>
        </w:rPr>
        <w:t xml:space="preserve">String</w:t>
      </w:r>
      <w:r>
        <w:t xml:space="preserve">: A data URI in the form</w:t>
      </w:r>
      <w:r>
        <w:t xml:space="preserve"> </w:t>
      </w:r>
      <w:r>
        <w:rPr>
          <w:rStyle w:val="VerbatimChar"/>
        </w:rPr>
        <w:t xml:space="preserve">data:{mime};base64,{base64content}</w:t>
      </w:r>
      <w:r>
        <w:t xml:space="preserve"> </w:t>
      </w:r>
      <w:r>
        <w:t xml:space="preserve">where</w:t>
      </w:r>
      <w:r>
        <w:t xml:space="preserve"> </w:t>
      </w:r>
      <w:r>
        <w:rPr>
          <w:rStyle w:val="VerbatimChar"/>
        </w:rPr>
        <w:t xml:space="preserve">{mime}</w:t>
      </w:r>
      <w:r>
        <w:t xml:space="preserve"> </w:t>
      </w:r>
      <w:r>
        <w:t xml:space="preserve">is the detected MIME type (e.g.,</w:t>
      </w:r>
      <w:r>
        <w:t xml:space="preserve"> </w:t>
      </w:r>
      <w:r>
        <w:rPr>
          <w:rStyle w:val="VerbatimChar"/>
        </w:rPr>
        <w:t xml:space="preserve">image/png</w:t>
      </w:r>
      <w:r>
        <w:t xml:space="preserve">) and</w:t>
      </w:r>
      <w:r>
        <w:t xml:space="preserve"> </w:t>
      </w:r>
      <w:r>
        <w:rPr>
          <w:rStyle w:val="VerbatimChar"/>
        </w:rPr>
        <w:t xml:space="preserve">{base64content}</w:t>
      </w:r>
      <w:r>
        <w:t xml:space="preserve"> </w:t>
      </w:r>
      <w:r>
        <w:t xml:space="preserve">is the Base64-encoded file content.</w:t>
      </w:r>
    </w:p>
    <w:p>
      <w:pPr>
        <w:pStyle w:val="Compact"/>
        <w:numPr>
          <w:ilvl w:val="0"/>
          <w:numId w:val="1498"/>
        </w:numPr>
      </w:pPr>
      <w:r>
        <w:rPr>
          <w:b/>
          <w:bCs/>
        </w:rPr>
        <w:t xml:space="preserve">String (empty)</w:t>
      </w:r>
      <w:r>
        <w:t xml:space="preserve">: Returned when</w:t>
      </w:r>
      <w:r>
        <w:t xml:space="preserve"> </w:t>
      </w:r>
      <w:r>
        <w:rPr>
          <w:rStyle w:val="VerbatimChar"/>
        </w:rPr>
        <w:t xml:space="preserve">ax_default_logo_path</w:t>
      </w:r>
      <w:r>
        <w:t xml:space="preserve"> </w:t>
      </w:r>
      <w:r>
        <w:t xml:space="preserve">is not configured or the file cannot be read.</w:t>
      </w:r>
    </w:p>
    <w:bookmarkEnd w:id="1684"/>
    <w:bookmarkStart w:id="1685" w:name="remarks-147"/>
    <w:p>
      <w:pPr>
        <w:pStyle w:val="Heading2"/>
      </w:pPr>
      <w:r>
        <w:t xml:space="preserve">Remarks</w:t>
      </w:r>
    </w:p>
    <w:p>
      <w:pPr>
        <w:pStyle w:val="Compact"/>
        <w:numPr>
          <w:ilvl w:val="0"/>
          <w:numId w:val="1499"/>
        </w:numPr>
      </w:pPr>
      <w:r>
        <w:t xml:space="preserve">The MIME type is detected from the file extension. Supported extensions include</w:t>
      </w:r>
      <w:r>
        <w:t xml:space="preserve"> </w:t>
      </w:r>
      <w:r>
        <w:rPr>
          <w:rStyle w:val="VerbatimChar"/>
        </w:rPr>
        <w:t xml:space="preserve">.png</w:t>
      </w:r>
      <w:r>
        <w:t xml:space="preserve">,</w:t>
      </w:r>
      <w:r>
        <w:t xml:space="preserve"> </w:t>
      </w:r>
      <w:r>
        <w:rPr>
          <w:rStyle w:val="VerbatimChar"/>
        </w:rPr>
        <w:t xml:space="preserve">.jpg</w:t>
      </w:r>
      <w:r>
        <w:t xml:space="preserve">,</w:t>
      </w:r>
      <w:r>
        <w:t xml:space="preserve"> </w:t>
      </w:r>
      <w:r>
        <w:rPr>
          <w:rStyle w:val="VerbatimChar"/>
        </w:rPr>
        <w:t xml:space="preserve">.gif</w:t>
      </w:r>
      <w:r>
        <w:t xml:space="preserve">,</w:t>
      </w:r>
      <w:r>
        <w:t xml:space="preserve"> </w:t>
      </w:r>
      <w:r>
        <w:rPr>
          <w:rStyle w:val="VerbatimChar"/>
        </w:rPr>
        <w:t xml:space="preserve">.svg</w:t>
      </w:r>
      <w:r>
        <w:t xml:space="preserve">, and</w:t>
      </w:r>
      <w:r>
        <w:t xml:space="preserve"> </w:t>
      </w:r>
      <w:r>
        <w:rPr>
          <w:rStyle w:val="VerbatimChar"/>
        </w:rPr>
        <w:t xml:space="preserve">.ico</w:t>
      </w:r>
      <w:r>
        <w:t xml:space="preserve">.</w:t>
      </w:r>
    </w:p>
    <w:p>
      <w:pPr>
        <w:pStyle w:val="Compact"/>
        <w:numPr>
          <w:ilvl w:val="0"/>
          <w:numId w:val="1499"/>
        </w:numPr>
      </w:pPr>
      <w:r>
        <w:t xml:space="preserve">The file path is resolved relative to the AxonASP executable directory.</w:t>
      </w:r>
    </w:p>
    <w:p>
      <w:pPr>
        <w:pStyle w:val="Compact"/>
        <w:numPr>
          <w:ilvl w:val="0"/>
          <w:numId w:val="1499"/>
        </w:numPr>
      </w:pPr>
      <w:r>
        <w:t xml:space="preserve">Method names are case-insensitive.</w:t>
      </w:r>
    </w:p>
    <w:bookmarkEnd w:id="1685"/>
    <w:bookmarkStart w:id="1686" w:name="example-8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logoUri</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logoUri = ax.AxGetLogo</w:t>
      </w:r>
      <w:r>
        <w:rPr>
          <w:rStyle w:val="OtherTok"/>
        </w:rPr>
        <w:t xml:space="preserve">()</w:t>
      </w:r>
      <w:r>
        <w:br/>
      </w:r>
      <w:r>
        <w:br/>
      </w:r>
      <w:r>
        <w:rPr>
          <w:rStyle w:val="ControlFlowTok"/>
        </w:rPr>
        <w:t xml:space="preserve">If</w:t>
      </w:r>
      <w:r>
        <w:rPr>
          <w:rStyle w:val="NormalTok"/>
        </w:rPr>
        <w:t xml:space="preserve"> logoUri &lt;&gt;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"&lt;img src=</w:t>
      </w:r>
      <w:r>
        <w:rPr>
          <w:rStyle w:val="SpecialCharTok"/>
        </w:rPr>
        <w:t xml:space="preserve">""</w:t>
      </w:r>
      <w:r>
        <w:rPr>
          <w:rStyle w:val="StringTok"/>
        </w:rPr>
        <w:t xml:space="preserve">"</w:t>
      </w:r>
      <w:r>
        <w:rPr>
          <w:rStyle w:val="NormalTok"/>
        </w:rPr>
        <w:t xml:space="preserve"> </w:t>
      </w:r>
      <w:r>
        <w:rPr>
          <w:rStyle w:val="KeywordTok"/>
        </w:rPr>
        <w:t xml:space="preserve">&amp;</w:t>
      </w:r>
      <w:r>
        <w:rPr>
          <w:rStyle w:val="NormalTok"/>
        </w:rPr>
        <w:t xml:space="preserve"> logoUri </w:t>
      </w:r>
      <w:r>
        <w:rPr>
          <w:rStyle w:val="KeywordTok"/>
        </w:rPr>
        <w:t xml:space="preserve">&amp;</w:t>
      </w:r>
      <w:r>
        <w:rPr>
          <w:rStyle w:val="NormalTok"/>
        </w:rPr>
        <w:t xml:space="preserve"> </w:t>
      </w:r>
      <w:r>
        <w:rPr>
          <w:rStyle w:val="StringTok"/>
        </w:rPr>
        <w:t xml:space="preserve">"</w:t>
      </w:r>
      <w:r>
        <w:rPr>
          <w:rStyle w:val="SpecialCharTok"/>
        </w:rPr>
        <w:t xml:space="preserve">""</w:t>
      </w:r>
      <w:r>
        <w:rPr>
          <w:rStyle w:val="StringTok"/>
        </w:rPr>
        <w:t xml:space="preserve"> alt=</w:t>
      </w:r>
      <w:r>
        <w:rPr>
          <w:rStyle w:val="SpecialCharTok"/>
        </w:rPr>
        <w:t xml:space="preserve">""</w:t>
      </w:r>
      <w:r>
        <w:rPr>
          <w:rStyle w:val="StringTok"/>
        </w:rPr>
        <w:t xml:space="preserve">Logo</w:t>
      </w:r>
      <w:r>
        <w:rPr>
          <w:rStyle w:val="SpecialCharTok"/>
        </w:rPr>
        <w:t xml:space="preserve">""</w:t>
      </w:r>
      <w:r>
        <w:rPr>
          <w:rStyle w:val="StringTok"/>
        </w:rPr>
        <w:t xml:space="preserve">&gt;"</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86"/>
    <w:bookmarkStart w:id="1687" w:name="api-reference-78"/>
    <w:p>
      <w:pPr>
        <w:pStyle w:val="Heading2"/>
      </w:pPr>
      <w:r>
        <w:t xml:space="preserve">API Reference</w:t>
      </w:r>
    </w:p>
    <w:p>
      <w:pPr>
        <w:pStyle w:val="Compact"/>
        <w:numPr>
          <w:ilvl w:val="0"/>
          <w:numId w:val="1500"/>
        </w:numPr>
      </w:pPr>
      <w:r>
        <w:rPr>
          <w:b/>
          <w:bCs/>
        </w:rPr>
        <w:t xml:space="preserve">Object</w:t>
      </w:r>
      <w:r>
        <w:t xml:space="preserve">:</w:t>
      </w:r>
      <w:r>
        <w:t xml:space="preserve"> </w:t>
      </w:r>
      <w:r>
        <w:rPr>
          <w:rStyle w:val="VerbatimChar"/>
        </w:rPr>
        <w:t xml:space="preserve">G3AXON.FUNCTIONS</w:t>
      </w:r>
    </w:p>
    <w:p>
      <w:pPr>
        <w:pStyle w:val="Compact"/>
        <w:numPr>
          <w:ilvl w:val="0"/>
          <w:numId w:val="1500"/>
        </w:numPr>
      </w:pPr>
      <w:r>
        <w:rPr>
          <w:b/>
          <w:bCs/>
        </w:rPr>
        <w:t xml:space="preserve">Method</w:t>
      </w:r>
      <w:r>
        <w:t xml:space="preserve">:</w:t>
      </w:r>
      <w:r>
        <w:t xml:space="preserve"> </w:t>
      </w:r>
      <w:r>
        <w:rPr>
          <w:rStyle w:val="VerbatimChar"/>
        </w:rPr>
        <w:t xml:space="preserve">AxGetLogo</w:t>
      </w:r>
    </w:p>
    <w:p>
      <w:pPr>
        <w:pStyle w:val="Compact"/>
        <w:numPr>
          <w:ilvl w:val="0"/>
          <w:numId w:val="1500"/>
        </w:numPr>
      </w:pPr>
      <w:r>
        <w:rPr>
          <w:b/>
          <w:bCs/>
        </w:rPr>
        <w:t xml:space="preserve">Arguments</w:t>
      </w:r>
      <w:r>
        <w:t xml:space="preserve">: None</w:t>
      </w:r>
    </w:p>
    <w:p>
      <w:pPr>
        <w:pStyle w:val="Compact"/>
        <w:numPr>
          <w:ilvl w:val="0"/>
          <w:numId w:val="1500"/>
        </w:numPr>
      </w:pPr>
      <w:r>
        <w:rPr>
          <w:b/>
          <w:bCs/>
        </w:rPr>
        <w:t xml:space="preserve">Returns</w:t>
      </w:r>
      <w:r>
        <w:t xml:space="preserve">: String —</w:t>
      </w:r>
      <w:r>
        <w:t xml:space="preserve"> </w:t>
      </w:r>
      <w:r>
        <w:rPr>
          <w:rStyle w:val="VerbatimChar"/>
        </w:rPr>
        <w:t xml:space="preserve">data:{mime};base64,{content}</w:t>
      </w:r>
      <w:r>
        <w:t xml:space="preserve"> </w:t>
      </w:r>
      <w:r>
        <w:t xml:space="preserve">URI, or empty string if not configured or unreadable</w:t>
      </w:r>
    </w:p>
    <w:bookmarkEnd w:id="1687"/>
    <w:bookmarkEnd w:id="1688"/>
    <w:bookmarkStart w:id="1697" w:name="escape-html-special-characters"/>
    <w:p>
      <w:pPr>
        <w:pStyle w:val="Heading1"/>
      </w:pPr>
      <w:r>
        <w:t xml:space="preserve">Escape HTML Special Characters</w:t>
      </w:r>
    </w:p>
    <w:bookmarkStart w:id="1689" w:name="overview-119"/>
    <w:p>
      <w:pPr>
        <w:pStyle w:val="Heading2"/>
      </w:pPr>
      <w:r>
        <w:t xml:space="preserve">Overview</w:t>
      </w:r>
    </w:p>
    <w:p>
      <w:pPr>
        <w:pStyle w:val="FirstParagraph"/>
      </w:pPr>
      <w:r>
        <w:t xml:space="preserve">Escapes the HTML special characters in a string to their corresponding HTML entities, preventing browsers from interpreting them as markup.</w:t>
      </w:r>
    </w:p>
    <w:bookmarkEnd w:id="1689"/>
    <w:bookmarkStart w:id="1690" w:name="prerequisites-7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90"/>
    <w:bookmarkStart w:id="1691" w:name="syntax-136"/>
    <w:p>
      <w:pPr>
        <w:pStyle w:val="Heading2"/>
      </w:pPr>
      <w:r>
        <w:t xml:space="preserve">Syntax</w:t>
      </w:r>
    </w:p>
    <w:p>
      <w:pPr>
        <w:pStyle w:val="SourceCode"/>
      </w:pPr>
      <w:r>
        <w:rPr>
          <w:rStyle w:val="NormalTok"/>
        </w:rPr>
        <w:t xml:space="preserve">result = ax.AxHtmlSpecialChars(str)</w:t>
      </w:r>
    </w:p>
    <w:bookmarkEnd w:id="1691"/>
    <w:bookmarkStart w:id="1692" w:name="parameters-6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string to escape.</w:t>
            </w:r>
          </w:p>
        </w:tc>
      </w:tr>
    </w:tbl>
    <w:bookmarkEnd w:id="1692"/>
    <w:bookmarkStart w:id="1693" w:name="return-value-82"/>
    <w:p>
      <w:pPr>
        <w:pStyle w:val="Heading2"/>
      </w:pPr>
      <w:r>
        <w:t xml:space="preserve">Return Value</w:t>
      </w:r>
    </w:p>
    <w:p>
      <w:pPr>
        <w:pStyle w:val="Compact"/>
        <w:numPr>
          <w:ilvl w:val="0"/>
          <w:numId w:val="1501"/>
        </w:numPr>
      </w:pPr>
      <w:r>
        <w:rPr>
          <w:b/>
          <w:bCs/>
        </w:rPr>
        <w:t xml:space="preserve">String</w:t>
      </w:r>
      <w:r>
        <w:t xml:space="preserve">: The input string with</w:t>
      </w:r>
      <w:r>
        <w:t xml:space="preserve"> </w:t>
      </w:r>
      <w:r>
        <w:rPr>
          <w:rStyle w:val="VerbatimChar"/>
        </w:rPr>
        <w:t xml:space="preserve">&amp;</w:t>
      </w:r>
      <w:r>
        <w:t xml:space="preserve">,</w:t>
      </w:r>
      <w:r>
        <w:t xml:space="preserve"> </w:t>
      </w:r>
      <w:r>
        <w:rPr>
          <w:rStyle w:val="VerbatimChar"/>
        </w:rPr>
        <w:t xml:space="preserve">&lt;</w:t>
      </w:r>
      <w:r>
        <w:t xml:space="preserve">,</w:t>
      </w:r>
      <w:r>
        <w:t xml:space="preserve"> </w:t>
      </w:r>
      <w:r>
        <w:rPr>
          <w:rStyle w:val="VerbatimChar"/>
        </w:rPr>
        <w:t xml:space="preserve">&gt;</w:t>
      </w:r>
      <w:r>
        <w:t xml:space="preserve">, and</w:t>
      </w:r>
      <w:r>
        <w:t xml:space="preserve"> </w:t>
      </w:r>
      <w:r>
        <w:rPr>
          <w:rStyle w:val="VerbatimChar"/>
        </w:rPr>
        <w:t xml:space="preserve">"</w:t>
      </w:r>
      <w:r>
        <w:t xml:space="preserve"> </w:t>
      </w:r>
      <w:r>
        <w:t xml:space="preserve">replaced by their HTML entity equivalents.</w:t>
      </w:r>
    </w:p>
    <w:p>
      <w:pPr>
        <w:pStyle w:val="Compact"/>
        <w:numPr>
          <w:ilvl w:val="0"/>
          <w:numId w:val="1501"/>
        </w:numPr>
      </w:pPr>
      <w:r>
        <w:rPr>
          <w:b/>
          <w:bCs/>
        </w:rPr>
        <w:t xml:space="preserve">String (empty)</w:t>
      </w:r>
      <w:r>
        <w:t xml:space="preserve">: Returned when no argument is supplied.</w:t>
      </w:r>
    </w:p>
    <w:bookmarkEnd w:id="1693"/>
    <w:bookmarkStart w:id="1694" w:name="remarks-148"/>
    <w:p>
      <w:pPr>
        <w:pStyle w:val="Heading2"/>
      </w:pPr>
      <w:r>
        <w:t xml:space="preserve">Remarks</w:t>
      </w:r>
    </w:p>
    <w:p>
      <w:pPr>
        <w:pStyle w:val="Compact"/>
        <w:numPr>
          <w:ilvl w:val="0"/>
          <w:numId w:val="1502"/>
        </w:numPr>
      </w:pPr>
      <w:r>
        <w:t xml:space="preserve">Characters replaced:</w:t>
      </w:r>
      <w:r>
        <w:t xml:space="preserve"> </w:t>
      </w:r>
      <w:r>
        <w:rPr>
          <w:rStyle w:val="VerbatimChar"/>
        </w:rPr>
        <w:t xml:space="preserve">&amp;</w:t>
      </w:r>
      <w:r>
        <w:t xml:space="preserve"> </w:t>
      </w:r>
      <w:r>
        <w:t xml:space="preserve">→</w:t>
      </w:r>
      <w:r>
        <w:t xml:space="preserve"> </w:t>
      </w:r>
      <w:r>
        <w:rPr>
          <w:rStyle w:val="VerbatimChar"/>
        </w:rPr>
        <w:t xml:space="preserve">&amp;amp;</w:t>
      </w:r>
      <w:r>
        <w:t xml:space="preserve">,</w:t>
      </w:r>
      <w:r>
        <w:t xml:space="preserve"> </w:t>
      </w:r>
      <w:r>
        <w:rPr>
          <w:rStyle w:val="VerbatimChar"/>
        </w:rPr>
        <w:t xml:space="preserve">&lt;</w:t>
      </w:r>
      <w:r>
        <w:t xml:space="preserve"> </w:t>
      </w:r>
      <w:r>
        <w:t xml:space="preserve">→</w:t>
      </w:r>
      <w:r>
        <w:t xml:space="preserve"> </w:t>
      </w:r>
      <w:r>
        <w:rPr>
          <w:rStyle w:val="VerbatimChar"/>
        </w:rPr>
        <w:t xml:space="preserve">&amp;lt;</w:t>
      </w:r>
      <w:r>
        <w:t xml:space="preserve">,</w:t>
      </w:r>
      <w:r>
        <w:t xml:space="preserve"> </w:t>
      </w:r>
      <w:r>
        <w:rPr>
          <w:rStyle w:val="VerbatimChar"/>
        </w:rPr>
        <w:t xml:space="preserve">&gt;</w:t>
      </w:r>
      <w:r>
        <w:t xml:space="preserve"> </w:t>
      </w:r>
      <w:r>
        <w:t xml:space="preserve">→</w:t>
      </w:r>
      <w:r>
        <w:t xml:space="preserve"> </w:t>
      </w:r>
      <w:r>
        <w:rPr>
          <w:rStyle w:val="VerbatimChar"/>
        </w:rPr>
        <w:t xml:space="preserve">&amp;gt;</w:t>
      </w:r>
      <w:r>
        <w:t xml:space="preserve">,</w:t>
      </w:r>
      <w:r>
        <w:t xml:space="preserve"> </w:t>
      </w:r>
      <w:r>
        <w:rPr>
          <w:rStyle w:val="VerbatimChar"/>
        </w:rPr>
        <w:t xml:space="preserve">"</w:t>
      </w:r>
      <w:r>
        <w:t xml:space="preserve"> </w:t>
      </w:r>
      <w:r>
        <w:t xml:space="preserve">→</w:t>
      </w:r>
      <w:r>
        <w:t xml:space="preserve"> </w:t>
      </w:r>
      <w:r>
        <w:rPr>
          <w:rStyle w:val="VerbatimChar"/>
        </w:rPr>
        <w:t xml:space="preserve">&amp;#34;</w:t>
      </w:r>
      <w:r>
        <w:t xml:space="preserve">.</w:t>
      </w:r>
    </w:p>
    <w:p>
      <w:pPr>
        <w:pStyle w:val="Compact"/>
        <w:numPr>
          <w:ilvl w:val="0"/>
          <w:numId w:val="1502"/>
        </w:numPr>
      </w:pPr>
      <w:r>
        <w:t xml:space="preserve">Use this method when outputting user-supplied data into HTML to prevent cross-site scripting (XSS) attacks.</w:t>
      </w:r>
    </w:p>
    <w:p>
      <w:pPr>
        <w:pStyle w:val="Compact"/>
        <w:numPr>
          <w:ilvl w:val="0"/>
          <w:numId w:val="1502"/>
        </w:numPr>
      </w:pPr>
      <w:r>
        <w:t xml:space="preserve">Method names are case-insensitive.</w:t>
      </w:r>
    </w:p>
    <w:bookmarkEnd w:id="1694"/>
    <w:bookmarkStart w:id="1695" w:name="example-8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safe</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safe = ax.AxHtmlSpecialChars</w:t>
      </w:r>
      <w:r>
        <w:rPr>
          <w:rStyle w:val="OtherTok"/>
        </w:rPr>
        <w:t xml:space="preserve">(</w:t>
      </w:r>
      <w:r>
        <w:rPr>
          <w:rStyle w:val="StringTok"/>
        </w:rPr>
        <w:t xml:space="preserve">"&lt;script&gt;alert('xss')&lt;/script&gt;"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safe</w:t>
      </w:r>
      <w:r>
        <w:br/>
      </w:r>
      <w:r>
        <w:rPr>
          <w:rStyle w:val="CommentTok"/>
        </w:rPr>
        <w:t xml:space="preserve">' Output: &amp;lt;script&amp;gt;alert(&amp;#34;xss&amp;#34;)&amp;lt;/script&amp;gt;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695"/>
    <w:bookmarkStart w:id="1696" w:name="api-reference-79"/>
    <w:p>
      <w:pPr>
        <w:pStyle w:val="Heading2"/>
      </w:pPr>
      <w:r>
        <w:t xml:space="preserve">API Reference</w:t>
      </w:r>
    </w:p>
    <w:p>
      <w:pPr>
        <w:pStyle w:val="Compact"/>
        <w:numPr>
          <w:ilvl w:val="0"/>
          <w:numId w:val="1503"/>
        </w:numPr>
      </w:pPr>
      <w:r>
        <w:rPr>
          <w:b/>
          <w:bCs/>
        </w:rPr>
        <w:t xml:space="preserve">Object</w:t>
      </w:r>
      <w:r>
        <w:t xml:space="preserve">:</w:t>
      </w:r>
      <w:r>
        <w:t xml:space="preserve"> </w:t>
      </w:r>
      <w:r>
        <w:rPr>
          <w:rStyle w:val="VerbatimChar"/>
        </w:rPr>
        <w:t xml:space="preserve">G3AXON.FUNCTIONS</w:t>
      </w:r>
    </w:p>
    <w:p>
      <w:pPr>
        <w:pStyle w:val="Compact"/>
        <w:numPr>
          <w:ilvl w:val="0"/>
          <w:numId w:val="1503"/>
        </w:numPr>
      </w:pPr>
      <w:r>
        <w:rPr>
          <w:b/>
          <w:bCs/>
        </w:rPr>
        <w:t xml:space="preserve">Method</w:t>
      </w:r>
      <w:r>
        <w:t xml:space="preserve">:</w:t>
      </w:r>
      <w:r>
        <w:t xml:space="preserve"> </w:t>
      </w:r>
      <w:r>
        <w:rPr>
          <w:rStyle w:val="VerbatimChar"/>
        </w:rPr>
        <w:t xml:space="preserve">AxHtmlSpecialChars</w:t>
      </w:r>
    </w:p>
    <w:p>
      <w:pPr>
        <w:pStyle w:val="Compact"/>
        <w:numPr>
          <w:ilvl w:val="0"/>
          <w:numId w:val="1503"/>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503"/>
        </w:numPr>
      </w:pPr>
      <w:r>
        <w:rPr>
          <w:b/>
          <w:bCs/>
        </w:rPr>
        <w:t xml:space="preserve">Returns</w:t>
      </w:r>
      <w:r>
        <w:t xml:space="preserve">: String — HTML-entity-escaped version of the input</w:t>
      </w:r>
    </w:p>
    <w:bookmarkEnd w:id="1696"/>
    <w:bookmarkEnd w:id="1697"/>
    <w:bookmarkStart w:id="1706" w:name="strip-html-and-xml-tags-from-a-string"/>
    <w:p>
      <w:pPr>
        <w:pStyle w:val="Heading1"/>
      </w:pPr>
      <w:r>
        <w:t xml:space="preserve">Strip HTML and XML Tags from a String</w:t>
      </w:r>
    </w:p>
    <w:bookmarkStart w:id="1698" w:name="overview-120"/>
    <w:p>
      <w:pPr>
        <w:pStyle w:val="Heading2"/>
      </w:pPr>
      <w:r>
        <w:t xml:space="preserve">Overview</w:t>
      </w:r>
    </w:p>
    <w:p>
      <w:pPr>
        <w:pStyle w:val="FirstParagraph"/>
      </w:pPr>
      <w:r>
        <w:t xml:space="preserve">Removes all HTML and XML tags from a string, returning only the plain text content.</w:t>
      </w:r>
    </w:p>
    <w:bookmarkEnd w:id="1698"/>
    <w:bookmarkStart w:id="1699" w:name="prerequisites-7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699"/>
    <w:bookmarkStart w:id="1700" w:name="syntax-137"/>
    <w:p>
      <w:pPr>
        <w:pStyle w:val="Heading2"/>
      </w:pPr>
      <w:r>
        <w:t xml:space="preserve">Syntax</w:t>
      </w:r>
    </w:p>
    <w:p>
      <w:pPr>
        <w:pStyle w:val="SourceCode"/>
      </w:pPr>
      <w:r>
        <w:rPr>
          <w:rStyle w:val="NormalTok"/>
        </w:rPr>
        <w:t xml:space="preserve">result = ax.AxStripTags(str)</w:t>
      </w:r>
    </w:p>
    <w:bookmarkEnd w:id="1700"/>
    <w:bookmarkStart w:id="1701" w:name="parameters-6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string from which to remove HTML and XML tags.</w:t>
            </w:r>
          </w:p>
        </w:tc>
      </w:tr>
    </w:tbl>
    <w:bookmarkEnd w:id="1701"/>
    <w:bookmarkStart w:id="1702" w:name="return-value-83"/>
    <w:p>
      <w:pPr>
        <w:pStyle w:val="Heading2"/>
      </w:pPr>
      <w:r>
        <w:t xml:space="preserve">Return Value</w:t>
      </w:r>
    </w:p>
    <w:p>
      <w:pPr>
        <w:pStyle w:val="Compact"/>
        <w:numPr>
          <w:ilvl w:val="0"/>
          <w:numId w:val="1504"/>
        </w:numPr>
      </w:pPr>
      <w:r>
        <w:rPr>
          <w:b/>
          <w:bCs/>
        </w:rPr>
        <w:t xml:space="preserve">String</w:t>
      </w:r>
      <w:r>
        <w:t xml:space="preserve">: The input string with all content between</w:t>
      </w:r>
      <w:r>
        <w:t xml:space="preserve"> </w:t>
      </w:r>
      <w:r>
        <w:rPr>
          <w:rStyle w:val="VerbatimChar"/>
        </w:rPr>
        <w:t xml:space="preserve">&lt;</w:t>
      </w:r>
      <w:r>
        <w:t xml:space="preserve"> </w:t>
      </w:r>
      <w:r>
        <w:t xml:space="preserve">and</w:t>
      </w:r>
      <w:r>
        <w:t xml:space="preserve"> </w:t>
      </w:r>
      <w:r>
        <w:rPr>
          <w:rStyle w:val="VerbatimChar"/>
        </w:rPr>
        <w:t xml:space="preserve">&gt;</w:t>
      </w:r>
      <w:r>
        <w:t xml:space="preserve"> </w:t>
      </w:r>
      <w:r>
        <w:t xml:space="preserve">removed.</w:t>
      </w:r>
    </w:p>
    <w:p>
      <w:pPr>
        <w:pStyle w:val="Compact"/>
        <w:numPr>
          <w:ilvl w:val="0"/>
          <w:numId w:val="1504"/>
        </w:numPr>
      </w:pPr>
      <w:r>
        <w:rPr>
          <w:b/>
          <w:bCs/>
        </w:rPr>
        <w:t xml:space="preserve">String (empty)</w:t>
      </w:r>
      <w:r>
        <w:t xml:space="preserve">: Returned when no argument is supplied.</w:t>
      </w:r>
    </w:p>
    <w:bookmarkEnd w:id="1702"/>
    <w:bookmarkStart w:id="1703" w:name="remarks-149"/>
    <w:p>
      <w:pPr>
        <w:pStyle w:val="Heading2"/>
      </w:pPr>
      <w:r>
        <w:t xml:space="preserve">Remarks</w:t>
      </w:r>
    </w:p>
    <w:p>
      <w:pPr>
        <w:pStyle w:val="Compact"/>
        <w:numPr>
          <w:ilvl w:val="0"/>
          <w:numId w:val="1505"/>
        </w:numPr>
      </w:pPr>
      <w:r>
        <w:t xml:space="preserve">Tags are identified and removed using a regular expression that matches any sequence from</w:t>
      </w:r>
      <w:r>
        <w:t xml:space="preserve"> </w:t>
      </w:r>
      <w:r>
        <w:rPr>
          <w:rStyle w:val="VerbatimChar"/>
        </w:rPr>
        <w:t xml:space="preserve">&lt;</w:t>
      </w:r>
      <w:r>
        <w:t xml:space="preserve"> </w:t>
      </w:r>
      <w:r>
        <w:t xml:space="preserve">to</w:t>
      </w:r>
      <w:r>
        <w:t xml:space="preserve"> </w:t>
      </w:r>
      <w:r>
        <w:rPr>
          <w:rStyle w:val="VerbatimChar"/>
        </w:rPr>
        <w:t xml:space="preserve">&gt;</w:t>
      </w:r>
      <w:r>
        <w:t xml:space="preserve">.</w:t>
      </w:r>
    </w:p>
    <w:p>
      <w:pPr>
        <w:pStyle w:val="Compact"/>
        <w:numPr>
          <w:ilvl w:val="0"/>
          <w:numId w:val="1505"/>
        </w:numPr>
      </w:pPr>
      <w:r>
        <w:t xml:space="preserve">Comments (</w:t>
      </w:r>
      <w:r>
        <w:rPr>
          <w:rStyle w:val="VerbatimChar"/>
        </w:rPr>
        <w:t xml:space="preserve">&lt;!-- ... --&gt;</w:t>
      </w:r>
      <w:r>
        <w:t xml:space="preserve">) and processing instructions (</w:t>
      </w:r>
      <w:r>
        <w:rPr>
          <w:rStyle w:val="VerbatimChar"/>
        </w:rPr>
        <w:t xml:space="preserve">&lt;? ... ?&gt;</w:t>
      </w:r>
      <w:r>
        <w:t xml:space="preserve">) are also removed.</w:t>
      </w:r>
    </w:p>
    <w:p>
      <w:pPr>
        <w:pStyle w:val="Compact"/>
        <w:numPr>
          <w:ilvl w:val="0"/>
          <w:numId w:val="1505"/>
        </w:numPr>
      </w:pPr>
      <w:r>
        <w:t xml:space="preserve">This method does not decode HTML entities. Use</w:t>
      </w:r>
      <w:r>
        <w:t xml:space="preserve"> </w:t>
      </w:r>
      <w:r>
        <w:rPr>
          <w:rStyle w:val="VerbatimChar"/>
        </w:rPr>
        <w:t xml:space="preserve">AxHtmlSpecialChars</w:t>
      </w:r>
      <w:r>
        <w:t xml:space="preserve"> </w:t>
      </w:r>
      <w:r>
        <w:t xml:space="preserve">to escape output, not sanitize HTML.</w:t>
      </w:r>
    </w:p>
    <w:p>
      <w:pPr>
        <w:pStyle w:val="Compact"/>
        <w:numPr>
          <w:ilvl w:val="0"/>
          <w:numId w:val="1505"/>
        </w:numPr>
      </w:pPr>
      <w:r>
        <w:t xml:space="preserve">Method names are case-insensitive.</w:t>
      </w:r>
    </w:p>
    <w:bookmarkEnd w:id="1703"/>
    <w:bookmarkStart w:id="1704" w:name="example-8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html</w:t>
      </w:r>
      <w:r>
        <w:rPr>
          <w:rStyle w:val="OtherTok"/>
        </w:rPr>
        <w:t xml:space="preserve">,</w:t>
      </w:r>
      <w:r>
        <w:rPr>
          <w:rStyle w:val="NormalTok"/>
        </w:rPr>
        <w:t xml:space="preserve"> plain</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html = </w:t>
      </w:r>
      <w:r>
        <w:rPr>
          <w:rStyle w:val="StringTok"/>
        </w:rPr>
        <w:t xml:space="preserve">"&lt;p&gt;Hello &lt;b&gt;AxonASP&lt;/b&gt;!&lt;/p&gt;&lt;!-- comment --&gt;"</w:t>
      </w:r>
      <w:r>
        <w:br/>
      </w:r>
      <w:r>
        <w:rPr>
          <w:rStyle w:val="NormalTok"/>
        </w:rPr>
        <w:t xml:space="preserve">plain = ax.AxStripTags</w:t>
      </w:r>
      <w:r>
        <w:rPr>
          <w:rStyle w:val="OtherTok"/>
        </w:rPr>
        <w:t xml:space="preserve">(</w:t>
      </w:r>
      <w:r>
        <w:rPr>
          <w:rStyle w:val="NormalTok"/>
        </w:rPr>
        <w:t xml:space="preserve">html</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plain</w:t>
      </w:r>
      <w:r>
        <w:br/>
      </w:r>
      <w:r>
        <w:rPr>
          <w:rStyle w:val="CommentTok"/>
        </w:rPr>
        <w:t xml:space="preserve">' Output: Hello AxonASP!</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04"/>
    <w:bookmarkStart w:id="1705" w:name="api-reference-80"/>
    <w:p>
      <w:pPr>
        <w:pStyle w:val="Heading2"/>
      </w:pPr>
      <w:r>
        <w:t xml:space="preserve">API Reference</w:t>
      </w:r>
    </w:p>
    <w:p>
      <w:pPr>
        <w:pStyle w:val="Compact"/>
        <w:numPr>
          <w:ilvl w:val="0"/>
          <w:numId w:val="1506"/>
        </w:numPr>
      </w:pPr>
      <w:r>
        <w:rPr>
          <w:b/>
          <w:bCs/>
        </w:rPr>
        <w:t xml:space="preserve">Object</w:t>
      </w:r>
      <w:r>
        <w:t xml:space="preserve">:</w:t>
      </w:r>
      <w:r>
        <w:t xml:space="preserve"> </w:t>
      </w:r>
      <w:r>
        <w:rPr>
          <w:rStyle w:val="VerbatimChar"/>
        </w:rPr>
        <w:t xml:space="preserve">G3AXON.FUNCTIONS</w:t>
      </w:r>
    </w:p>
    <w:p>
      <w:pPr>
        <w:pStyle w:val="Compact"/>
        <w:numPr>
          <w:ilvl w:val="0"/>
          <w:numId w:val="1506"/>
        </w:numPr>
      </w:pPr>
      <w:r>
        <w:rPr>
          <w:b/>
          <w:bCs/>
        </w:rPr>
        <w:t xml:space="preserve">Method</w:t>
      </w:r>
      <w:r>
        <w:t xml:space="preserve">:</w:t>
      </w:r>
      <w:r>
        <w:t xml:space="preserve"> </w:t>
      </w:r>
      <w:r>
        <w:rPr>
          <w:rStyle w:val="VerbatimChar"/>
        </w:rPr>
        <w:t xml:space="preserve">AxStripTags</w:t>
      </w:r>
    </w:p>
    <w:p>
      <w:pPr>
        <w:pStyle w:val="Compact"/>
        <w:numPr>
          <w:ilvl w:val="0"/>
          <w:numId w:val="1506"/>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506"/>
        </w:numPr>
      </w:pPr>
      <w:r>
        <w:rPr>
          <w:b/>
          <w:bCs/>
        </w:rPr>
        <w:t xml:space="preserve">Returns</w:t>
      </w:r>
      <w:r>
        <w:t xml:space="preserve">: String — input with all HTML/XML tags removed</w:t>
      </w:r>
    </w:p>
    <w:bookmarkEnd w:id="1705"/>
    <w:bookmarkEnd w:id="1706"/>
    <w:bookmarkStart w:id="1715" w:name="validate-an-ip-address"/>
    <w:p>
      <w:pPr>
        <w:pStyle w:val="Heading1"/>
      </w:pPr>
      <w:r>
        <w:t xml:space="preserve">Validate an IP Address</w:t>
      </w:r>
    </w:p>
    <w:bookmarkStart w:id="1707" w:name="overview-121"/>
    <w:p>
      <w:pPr>
        <w:pStyle w:val="Heading2"/>
      </w:pPr>
      <w:r>
        <w:t xml:space="preserve">Overview</w:t>
      </w:r>
    </w:p>
    <w:p>
      <w:pPr>
        <w:pStyle w:val="FirstParagraph"/>
      </w:pPr>
      <w:r>
        <w:t xml:space="preserve">Determines whether a string is a valid IPv4 or IPv6 address.</w:t>
      </w:r>
    </w:p>
    <w:bookmarkEnd w:id="1707"/>
    <w:bookmarkStart w:id="1708" w:name="prerequisites-7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08"/>
    <w:bookmarkStart w:id="1709" w:name="syntax-138"/>
    <w:p>
      <w:pPr>
        <w:pStyle w:val="Heading2"/>
      </w:pPr>
      <w:r>
        <w:t xml:space="preserve">Syntax</w:t>
      </w:r>
    </w:p>
    <w:p>
      <w:pPr>
        <w:pStyle w:val="SourceCode"/>
      </w:pPr>
      <w:r>
        <w:rPr>
          <w:rStyle w:val="NormalTok"/>
        </w:rPr>
        <w:t xml:space="preserve">result = ax.AxFilterValidateIp(ipAddress)</w:t>
      </w:r>
    </w:p>
    <w:bookmarkEnd w:id="1709"/>
    <w:bookmarkStart w:id="1710" w:name="parameters-68"/>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ipAddress</w:t>
            </w:r>
          </w:p>
        </w:tc>
        <w:tc>
          <w:tcPr/>
          <w:p>
            <w:pPr>
              <w:pStyle w:val="Compact"/>
            </w:pPr>
            <w:r>
              <w:t xml:space="preserve">String</w:t>
            </w:r>
          </w:p>
        </w:tc>
        <w:tc>
          <w:tcPr/>
          <w:p>
            <w:pPr>
              <w:pStyle w:val="Compact"/>
            </w:pPr>
            <w:r>
              <w:t xml:space="preserve">Yes</w:t>
            </w:r>
          </w:p>
        </w:tc>
        <w:tc>
          <w:tcPr/>
          <w:p>
            <w:pPr>
              <w:pStyle w:val="Compact"/>
            </w:pPr>
            <w:r>
              <w:t xml:space="preserve">The string to validate as an IP address.</w:t>
            </w:r>
          </w:p>
        </w:tc>
      </w:tr>
    </w:tbl>
    <w:bookmarkEnd w:id="1710"/>
    <w:bookmarkStart w:id="1711" w:name="return-value-84"/>
    <w:p>
      <w:pPr>
        <w:pStyle w:val="Heading2"/>
      </w:pPr>
      <w:r>
        <w:t xml:space="preserve">Return Value</w:t>
      </w:r>
    </w:p>
    <w:p>
      <w:pPr>
        <w:pStyle w:val="Compact"/>
        <w:numPr>
          <w:ilvl w:val="0"/>
          <w:numId w:val="1507"/>
        </w:numPr>
      </w:pPr>
      <w:r>
        <w:rPr>
          <w:b/>
          <w:bCs/>
        </w:rPr>
        <w:t xml:space="preserve">Boolean</w:t>
      </w:r>
      <w:r>
        <w:rPr>
          <w:b/>
          <w:bCs/>
        </w:rPr>
        <w:t xml:space="preserve"> </w:t>
      </w:r>
      <w:r>
        <w:rPr>
          <w:rStyle w:val="VerbatimChar"/>
          <w:b/>
          <w:bCs/>
        </w:rPr>
        <w:t xml:space="preserve">True</w:t>
      </w:r>
      <w:r>
        <w:t xml:space="preserve">: The string is a valid IPv4 or IPv6 address.</w:t>
      </w:r>
    </w:p>
    <w:p>
      <w:pPr>
        <w:pStyle w:val="Compact"/>
        <w:numPr>
          <w:ilvl w:val="0"/>
          <w:numId w:val="1507"/>
        </w:numPr>
      </w:pPr>
      <w:r>
        <w:rPr>
          <w:b/>
          <w:bCs/>
        </w:rPr>
        <w:t xml:space="preserve">Boolean</w:t>
      </w:r>
      <w:r>
        <w:rPr>
          <w:b/>
          <w:bCs/>
        </w:rPr>
        <w:t xml:space="preserve"> </w:t>
      </w:r>
      <w:r>
        <w:rPr>
          <w:rStyle w:val="VerbatimChar"/>
          <w:b/>
          <w:bCs/>
        </w:rPr>
        <w:t xml:space="preserve">False</w:t>
      </w:r>
      <w:r>
        <w:t xml:space="preserve">: The string is not a valid IP address, or no argument was supplied.</w:t>
      </w:r>
    </w:p>
    <w:bookmarkEnd w:id="1711"/>
    <w:bookmarkStart w:id="1712" w:name="remarks-150"/>
    <w:p>
      <w:pPr>
        <w:pStyle w:val="Heading2"/>
      </w:pPr>
      <w:r>
        <w:t xml:space="preserve">Remarks</w:t>
      </w:r>
    </w:p>
    <w:p>
      <w:pPr>
        <w:pStyle w:val="Compact"/>
        <w:numPr>
          <w:ilvl w:val="0"/>
          <w:numId w:val="1508"/>
        </w:numPr>
      </w:pPr>
      <w:r>
        <w:t xml:space="preserve">Validation uses Go’s</w:t>
      </w:r>
      <w:r>
        <w:t xml:space="preserve"> </w:t>
      </w:r>
      <w:r>
        <w:rPr>
          <w:rStyle w:val="VerbatimChar"/>
        </w:rPr>
        <w:t xml:space="preserve">net.ParseIP</w:t>
      </w:r>
      <w:r>
        <w:t xml:space="preserve">, which accepts both IPv4 (e.g.,</w:t>
      </w:r>
      <w:r>
        <w:t xml:space="preserve"> </w:t>
      </w:r>
      <w:r>
        <w:rPr>
          <w:rStyle w:val="VerbatimChar"/>
        </w:rPr>
        <w:t xml:space="preserve">192.168.1.1</w:t>
      </w:r>
      <w:r>
        <w:t xml:space="preserve">) and IPv6 (e.g.,</w:t>
      </w:r>
      <w:r>
        <w:t xml:space="preserve"> </w:t>
      </w:r>
      <w:r>
        <w:rPr>
          <w:rStyle w:val="VerbatimChar"/>
        </w:rPr>
        <w:t xml:space="preserve">::1</w:t>
      </w:r>
      <w:r>
        <w:t xml:space="preserve">) addresses.</w:t>
      </w:r>
    </w:p>
    <w:p>
      <w:pPr>
        <w:pStyle w:val="Compact"/>
        <w:numPr>
          <w:ilvl w:val="0"/>
          <w:numId w:val="1508"/>
        </w:numPr>
      </w:pPr>
      <w:r>
        <w:t xml:space="preserve">This method does not perform DNS resolution or reachability checks.</w:t>
      </w:r>
    </w:p>
    <w:p>
      <w:pPr>
        <w:pStyle w:val="Compact"/>
        <w:numPr>
          <w:ilvl w:val="0"/>
          <w:numId w:val="1508"/>
        </w:numPr>
      </w:pPr>
      <w:r>
        <w:t xml:space="preserve">Method names are case-insensitive.</w:t>
      </w:r>
    </w:p>
    <w:bookmarkEnd w:id="1712"/>
    <w:bookmarkStart w:id="1713" w:name="example-8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ntrolFlowTok"/>
        </w:rPr>
        <w:t xml:space="preserve">If</w:t>
      </w:r>
      <w:r>
        <w:rPr>
          <w:rStyle w:val="NormalTok"/>
        </w:rPr>
        <w:t xml:space="preserve"> ax.AxFilterValidateIp</w:t>
      </w:r>
      <w:r>
        <w:rPr>
          <w:rStyle w:val="OtherTok"/>
        </w:rPr>
        <w:t xml:space="preserve">(</w:t>
      </w:r>
      <w:r>
        <w:rPr>
          <w:rStyle w:val="StringTok"/>
        </w:rPr>
        <w:t xml:space="preserve">"192.168.1.1"</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"192.168.1.1 is valid.&lt;br&gt;"</w:t>
      </w:r>
      <w:r>
        <w:br/>
      </w:r>
      <w:r>
        <w:rPr>
          <w:rStyle w:val="ControlFlowTok"/>
        </w:rPr>
        <w:t xml:space="preserve">End If</w:t>
      </w:r>
      <w:r>
        <w:br/>
      </w:r>
      <w:r>
        <w:br/>
      </w:r>
      <w:r>
        <w:rPr>
          <w:rStyle w:val="ControlFlowTok"/>
        </w:rPr>
        <w:t xml:space="preserve">If</w:t>
      </w:r>
      <w:r>
        <w:rPr>
          <w:rStyle w:val="NormalTok"/>
        </w:rPr>
        <w:t xml:space="preserve"> ax.AxFilterValidateIp</w:t>
      </w:r>
      <w:r>
        <w:rPr>
          <w:rStyle w:val="OtherTok"/>
        </w:rPr>
        <w:t xml:space="preserve">(</w:t>
      </w:r>
      <w:r>
        <w:rPr>
          <w:rStyle w:val="StringTok"/>
        </w:rPr>
        <w:t xml:space="preserve">"::1"</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"::1 is a valid IPv6 address.&lt;br&gt;"</w:t>
      </w:r>
      <w:r>
        <w:br/>
      </w:r>
      <w:r>
        <w:rPr>
          <w:rStyle w:val="ControlFlowTok"/>
        </w:rPr>
        <w:t xml:space="preserve">End If</w:t>
      </w:r>
      <w:r>
        <w:br/>
      </w:r>
      <w:r>
        <w:br/>
      </w:r>
      <w:r>
        <w:rPr>
          <w:rStyle w:val="ControlFlowTok"/>
        </w:rPr>
        <w:t xml:space="preserve">If</w:t>
      </w:r>
      <w:r>
        <w:rPr>
          <w:rStyle w:val="NormalTok"/>
        </w:rPr>
        <w:t xml:space="preserve"> </w:t>
      </w:r>
      <w:r>
        <w:rPr>
          <w:rStyle w:val="KeywordTok"/>
        </w:rPr>
        <w:t xml:space="preserve">Not</w:t>
      </w:r>
      <w:r>
        <w:rPr>
          <w:rStyle w:val="NormalTok"/>
        </w:rPr>
        <w:t xml:space="preserve"> ax.AxFilterValidateIp</w:t>
      </w:r>
      <w:r>
        <w:rPr>
          <w:rStyle w:val="OtherTok"/>
        </w:rPr>
        <w:t xml:space="preserve">(</w:t>
      </w:r>
      <w:r>
        <w:rPr>
          <w:rStyle w:val="StringTok"/>
        </w:rPr>
        <w:t xml:space="preserve">"not-an-ip"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"not-an-ip is invalid.&lt;br&gt;"</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13"/>
    <w:bookmarkStart w:id="1714" w:name="api-reference-81"/>
    <w:p>
      <w:pPr>
        <w:pStyle w:val="Heading2"/>
      </w:pPr>
      <w:r>
        <w:t xml:space="preserve">API Reference</w:t>
      </w:r>
    </w:p>
    <w:p>
      <w:pPr>
        <w:pStyle w:val="Compact"/>
        <w:numPr>
          <w:ilvl w:val="0"/>
          <w:numId w:val="1509"/>
        </w:numPr>
      </w:pPr>
      <w:r>
        <w:rPr>
          <w:b/>
          <w:bCs/>
        </w:rPr>
        <w:t xml:space="preserve">Object</w:t>
      </w:r>
      <w:r>
        <w:t xml:space="preserve">:</w:t>
      </w:r>
      <w:r>
        <w:t xml:space="preserve"> </w:t>
      </w:r>
      <w:r>
        <w:rPr>
          <w:rStyle w:val="VerbatimChar"/>
        </w:rPr>
        <w:t xml:space="preserve">G3AXON.FUNCTIONS</w:t>
      </w:r>
    </w:p>
    <w:p>
      <w:pPr>
        <w:pStyle w:val="Compact"/>
        <w:numPr>
          <w:ilvl w:val="0"/>
          <w:numId w:val="1509"/>
        </w:numPr>
      </w:pPr>
      <w:r>
        <w:rPr>
          <w:b/>
          <w:bCs/>
        </w:rPr>
        <w:t xml:space="preserve">Method</w:t>
      </w:r>
      <w:r>
        <w:t xml:space="preserve">:</w:t>
      </w:r>
      <w:r>
        <w:t xml:space="preserve"> </w:t>
      </w:r>
      <w:r>
        <w:rPr>
          <w:rStyle w:val="VerbatimChar"/>
        </w:rPr>
        <w:t xml:space="preserve">AxFilterValidateIp</w:t>
      </w:r>
    </w:p>
    <w:p>
      <w:pPr>
        <w:pStyle w:val="Compact"/>
        <w:numPr>
          <w:ilvl w:val="0"/>
          <w:numId w:val="1509"/>
        </w:numPr>
      </w:pPr>
      <w:r>
        <w:rPr>
          <w:b/>
          <w:bCs/>
        </w:rPr>
        <w:t xml:space="preserve">Arguments</w:t>
      </w:r>
      <w:r>
        <w:t xml:space="preserve">:</w:t>
      </w:r>
      <w:r>
        <w:t xml:space="preserve"> </w:t>
      </w:r>
      <w:r>
        <w:rPr>
          <w:rStyle w:val="VerbatimChar"/>
        </w:rPr>
        <w:t xml:space="preserve">ipAddress</w:t>
      </w:r>
      <w:r>
        <w:t xml:space="preserve"> </w:t>
      </w:r>
      <w:r>
        <w:t xml:space="preserve">(String, required)</w:t>
      </w:r>
    </w:p>
    <w:p>
      <w:pPr>
        <w:pStyle w:val="Compact"/>
        <w:numPr>
          <w:ilvl w:val="0"/>
          <w:numId w:val="1509"/>
        </w:numPr>
      </w:pPr>
      <w:r>
        <w:rPr>
          <w:b/>
          <w:bCs/>
        </w:rPr>
        <w:t xml:space="preserve">Returns</w:t>
      </w:r>
      <w:r>
        <w:t xml:space="preserve">: Boolean —</w:t>
      </w:r>
      <w:r>
        <w:t xml:space="preserve"> </w:t>
      </w:r>
      <w:r>
        <w:rPr>
          <w:rStyle w:val="VerbatimChar"/>
        </w:rPr>
        <w:t xml:space="preserve">True</w:t>
      </w:r>
      <w:r>
        <w:t xml:space="preserve"> </w:t>
      </w:r>
      <w:r>
        <w:t xml:space="preserve">if valid IPv4 or IPv6;</w:t>
      </w:r>
      <w:r>
        <w:t xml:space="preserve"> </w:t>
      </w:r>
      <w:r>
        <w:rPr>
          <w:rStyle w:val="VerbatimChar"/>
        </w:rPr>
        <w:t xml:space="preserve">False</w:t>
      </w:r>
      <w:r>
        <w:t xml:space="preserve"> </w:t>
      </w:r>
      <w:r>
        <w:t xml:space="preserve">otherwise</w:t>
      </w:r>
    </w:p>
    <w:bookmarkEnd w:id="1714"/>
    <w:bookmarkEnd w:id="1715"/>
    <w:bookmarkStart w:id="1724" w:name="validate-an-email-address"/>
    <w:p>
      <w:pPr>
        <w:pStyle w:val="Heading1"/>
      </w:pPr>
      <w:r>
        <w:t xml:space="preserve">Validate an Email Address</w:t>
      </w:r>
    </w:p>
    <w:bookmarkStart w:id="1716" w:name="overview-122"/>
    <w:p>
      <w:pPr>
        <w:pStyle w:val="Heading2"/>
      </w:pPr>
      <w:r>
        <w:t xml:space="preserve">Overview</w:t>
      </w:r>
    </w:p>
    <w:p>
      <w:pPr>
        <w:pStyle w:val="FirstParagraph"/>
      </w:pPr>
      <w:r>
        <w:t xml:space="preserve">Determines whether a string is a syntactically valid email address.</w:t>
      </w:r>
    </w:p>
    <w:bookmarkEnd w:id="1716"/>
    <w:bookmarkStart w:id="1717" w:name="prerequisites-8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17"/>
    <w:bookmarkStart w:id="1718" w:name="syntax-139"/>
    <w:p>
      <w:pPr>
        <w:pStyle w:val="Heading2"/>
      </w:pPr>
      <w:r>
        <w:t xml:space="preserve">Syntax</w:t>
      </w:r>
    </w:p>
    <w:p>
      <w:pPr>
        <w:pStyle w:val="SourceCode"/>
      </w:pPr>
      <w:r>
        <w:rPr>
          <w:rStyle w:val="NormalTok"/>
        </w:rPr>
        <w:t xml:space="preserve">result = ax.AxFilterValidateEmail(emailAddress)</w:t>
      </w:r>
    </w:p>
    <w:bookmarkEnd w:id="1718"/>
    <w:bookmarkStart w:id="1719" w:name="parameters-6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emailAddress</w:t>
            </w:r>
          </w:p>
        </w:tc>
        <w:tc>
          <w:tcPr/>
          <w:p>
            <w:pPr>
              <w:pStyle w:val="Compact"/>
            </w:pPr>
            <w:r>
              <w:t xml:space="preserve">String</w:t>
            </w:r>
          </w:p>
        </w:tc>
        <w:tc>
          <w:tcPr/>
          <w:p>
            <w:pPr>
              <w:pStyle w:val="Compact"/>
            </w:pPr>
            <w:r>
              <w:t xml:space="preserve">Yes</w:t>
            </w:r>
          </w:p>
        </w:tc>
        <w:tc>
          <w:tcPr/>
          <w:p>
            <w:pPr>
              <w:pStyle w:val="Compact"/>
            </w:pPr>
            <w:r>
              <w:t xml:space="preserve">The string to validate as an email address.</w:t>
            </w:r>
          </w:p>
        </w:tc>
      </w:tr>
    </w:tbl>
    <w:bookmarkEnd w:id="1719"/>
    <w:bookmarkStart w:id="1720" w:name="return-value-85"/>
    <w:p>
      <w:pPr>
        <w:pStyle w:val="Heading2"/>
      </w:pPr>
      <w:r>
        <w:t xml:space="preserve">Return Value</w:t>
      </w:r>
    </w:p>
    <w:p>
      <w:pPr>
        <w:pStyle w:val="Compact"/>
        <w:numPr>
          <w:ilvl w:val="0"/>
          <w:numId w:val="1510"/>
        </w:numPr>
      </w:pPr>
      <w:r>
        <w:rPr>
          <w:b/>
          <w:bCs/>
        </w:rPr>
        <w:t xml:space="preserve">Boolean</w:t>
      </w:r>
      <w:r>
        <w:rPr>
          <w:b/>
          <w:bCs/>
        </w:rPr>
        <w:t xml:space="preserve"> </w:t>
      </w:r>
      <w:r>
        <w:rPr>
          <w:rStyle w:val="VerbatimChar"/>
          <w:b/>
          <w:bCs/>
        </w:rPr>
        <w:t xml:space="preserve">True</w:t>
      </w:r>
      <w:r>
        <w:t xml:space="preserve">: The string is a syntactically valid email address.</w:t>
      </w:r>
    </w:p>
    <w:p>
      <w:pPr>
        <w:pStyle w:val="Compact"/>
        <w:numPr>
          <w:ilvl w:val="0"/>
          <w:numId w:val="1510"/>
        </w:numPr>
      </w:pPr>
      <w:r>
        <w:rPr>
          <w:b/>
          <w:bCs/>
        </w:rPr>
        <w:t xml:space="preserve">Boolean</w:t>
      </w:r>
      <w:r>
        <w:rPr>
          <w:b/>
          <w:bCs/>
        </w:rPr>
        <w:t xml:space="preserve"> </w:t>
      </w:r>
      <w:r>
        <w:rPr>
          <w:rStyle w:val="VerbatimChar"/>
          <w:b/>
          <w:bCs/>
        </w:rPr>
        <w:t xml:space="preserve">False</w:t>
      </w:r>
      <w:r>
        <w:t xml:space="preserve">: The string is not a valid email address, or no argument was supplied.</w:t>
      </w:r>
    </w:p>
    <w:bookmarkEnd w:id="1720"/>
    <w:bookmarkStart w:id="1721" w:name="remarks-151"/>
    <w:p>
      <w:pPr>
        <w:pStyle w:val="Heading2"/>
      </w:pPr>
      <w:r>
        <w:t xml:space="preserve">Remarks</w:t>
      </w:r>
    </w:p>
    <w:p>
      <w:pPr>
        <w:pStyle w:val="Compact"/>
        <w:numPr>
          <w:ilvl w:val="0"/>
          <w:numId w:val="1511"/>
        </w:numPr>
      </w:pPr>
      <w:r>
        <w:t xml:space="preserve">Validation uses Go’s</w:t>
      </w:r>
      <w:r>
        <w:t xml:space="preserve"> </w:t>
      </w:r>
      <w:r>
        <w:rPr>
          <w:rStyle w:val="VerbatimChar"/>
        </w:rPr>
        <w:t xml:space="preserve">mail.ParseAddress</w:t>
      </w:r>
      <w:r>
        <w:t xml:space="preserve">, which checks RFC 5322 syntax. It does not perform DNS MX record lookups or verify the mailbox exists.</w:t>
      </w:r>
    </w:p>
    <w:p>
      <w:pPr>
        <w:pStyle w:val="Compact"/>
        <w:numPr>
          <w:ilvl w:val="0"/>
          <w:numId w:val="1511"/>
        </w:numPr>
      </w:pPr>
      <w:r>
        <w:t xml:space="preserve">Addresses with display names (e.g.,</w:t>
      </w:r>
      <w:r>
        <w:t xml:space="preserve"> </w:t>
      </w:r>
      <w:r>
        <w:rPr>
          <w:rStyle w:val="VerbatimChar"/>
        </w:rPr>
        <w:t xml:space="preserve">John Doe &lt;john@example.com&gt;</w:t>
      </w:r>
      <w:r>
        <w:t xml:space="preserve">) are accepted.</w:t>
      </w:r>
    </w:p>
    <w:p>
      <w:pPr>
        <w:pStyle w:val="Compact"/>
        <w:numPr>
          <w:ilvl w:val="0"/>
          <w:numId w:val="1511"/>
        </w:numPr>
      </w:pPr>
      <w:r>
        <w:t xml:space="preserve">Method names are case-insensitive.</w:t>
      </w:r>
    </w:p>
    <w:bookmarkEnd w:id="1721"/>
    <w:bookmarkStart w:id="1722" w:name="example-8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ntrolFlowTok"/>
        </w:rPr>
        <w:t xml:space="preserve">If</w:t>
      </w:r>
      <w:r>
        <w:rPr>
          <w:rStyle w:val="NormalTok"/>
        </w:rPr>
        <w:t xml:space="preserve"> ax.AxFilterValidateEmail</w:t>
      </w:r>
      <w:r>
        <w:rPr>
          <w:rStyle w:val="OtherTok"/>
        </w:rPr>
        <w:t xml:space="preserve">(</w:t>
      </w:r>
      <w:r>
        <w:rPr>
          <w:rStyle w:val="StringTok"/>
        </w:rPr>
        <w:t xml:space="preserve">"user@example.com"</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"user@example.com is valid.&lt;br&gt;"</w:t>
      </w:r>
      <w:r>
        <w:br/>
      </w:r>
      <w:r>
        <w:rPr>
          <w:rStyle w:val="ControlFlowTok"/>
        </w:rPr>
        <w:t xml:space="preserve">End If</w:t>
      </w:r>
      <w:r>
        <w:br/>
      </w:r>
      <w:r>
        <w:br/>
      </w:r>
      <w:r>
        <w:rPr>
          <w:rStyle w:val="ControlFlowTok"/>
        </w:rPr>
        <w:t xml:space="preserve">If</w:t>
      </w:r>
      <w:r>
        <w:rPr>
          <w:rStyle w:val="NormalTok"/>
        </w:rPr>
        <w:t xml:space="preserve"> </w:t>
      </w:r>
      <w:r>
        <w:rPr>
          <w:rStyle w:val="KeywordTok"/>
        </w:rPr>
        <w:t xml:space="preserve">Not</w:t>
      </w:r>
      <w:r>
        <w:rPr>
          <w:rStyle w:val="NormalTok"/>
        </w:rPr>
        <w:t xml:space="preserve"> ax.AxFilterValidateEmail</w:t>
      </w:r>
      <w:r>
        <w:rPr>
          <w:rStyle w:val="OtherTok"/>
        </w:rPr>
        <w:t xml:space="preserve">(</w:t>
      </w:r>
      <w:r>
        <w:rPr>
          <w:rStyle w:val="StringTok"/>
        </w:rPr>
        <w:t xml:space="preserve">"not-an-email"</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"not-an-email is invalid.&lt;br&gt;"</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22"/>
    <w:bookmarkStart w:id="1723" w:name="api-reference-82"/>
    <w:p>
      <w:pPr>
        <w:pStyle w:val="Heading2"/>
      </w:pPr>
      <w:r>
        <w:t xml:space="preserve">API Reference</w:t>
      </w:r>
    </w:p>
    <w:p>
      <w:pPr>
        <w:pStyle w:val="Compact"/>
        <w:numPr>
          <w:ilvl w:val="0"/>
          <w:numId w:val="1512"/>
        </w:numPr>
      </w:pPr>
      <w:r>
        <w:rPr>
          <w:b/>
          <w:bCs/>
        </w:rPr>
        <w:t xml:space="preserve">Object</w:t>
      </w:r>
      <w:r>
        <w:t xml:space="preserve">:</w:t>
      </w:r>
      <w:r>
        <w:t xml:space="preserve"> </w:t>
      </w:r>
      <w:r>
        <w:rPr>
          <w:rStyle w:val="VerbatimChar"/>
        </w:rPr>
        <w:t xml:space="preserve">G3AXON.FUNCTIONS</w:t>
      </w:r>
    </w:p>
    <w:p>
      <w:pPr>
        <w:pStyle w:val="Compact"/>
        <w:numPr>
          <w:ilvl w:val="0"/>
          <w:numId w:val="1512"/>
        </w:numPr>
      </w:pPr>
      <w:r>
        <w:rPr>
          <w:b/>
          <w:bCs/>
        </w:rPr>
        <w:t xml:space="preserve">Method</w:t>
      </w:r>
      <w:r>
        <w:t xml:space="preserve">:</w:t>
      </w:r>
      <w:r>
        <w:t xml:space="preserve"> </w:t>
      </w:r>
      <w:r>
        <w:rPr>
          <w:rStyle w:val="VerbatimChar"/>
        </w:rPr>
        <w:t xml:space="preserve">AxFilterValidateEmail</w:t>
      </w:r>
    </w:p>
    <w:p>
      <w:pPr>
        <w:pStyle w:val="Compact"/>
        <w:numPr>
          <w:ilvl w:val="0"/>
          <w:numId w:val="1512"/>
        </w:numPr>
      </w:pPr>
      <w:r>
        <w:rPr>
          <w:b/>
          <w:bCs/>
        </w:rPr>
        <w:t xml:space="preserve">Arguments</w:t>
      </w:r>
      <w:r>
        <w:t xml:space="preserve">:</w:t>
      </w:r>
      <w:r>
        <w:t xml:space="preserve"> </w:t>
      </w:r>
      <w:r>
        <w:rPr>
          <w:rStyle w:val="VerbatimChar"/>
        </w:rPr>
        <w:t xml:space="preserve">emailAddress</w:t>
      </w:r>
      <w:r>
        <w:t xml:space="preserve"> </w:t>
      </w:r>
      <w:r>
        <w:t xml:space="preserve">(String, required)</w:t>
      </w:r>
    </w:p>
    <w:p>
      <w:pPr>
        <w:pStyle w:val="Compact"/>
        <w:numPr>
          <w:ilvl w:val="0"/>
          <w:numId w:val="1512"/>
        </w:numPr>
      </w:pPr>
      <w:r>
        <w:rPr>
          <w:b/>
          <w:bCs/>
        </w:rPr>
        <w:t xml:space="preserve">Returns</w:t>
      </w:r>
      <w:r>
        <w:t xml:space="preserve">: Boolean —</w:t>
      </w:r>
      <w:r>
        <w:t xml:space="preserve"> </w:t>
      </w:r>
      <w:r>
        <w:rPr>
          <w:rStyle w:val="VerbatimChar"/>
        </w:rPr>
        <w:t xml:space="preserve">True</w:t>
      </w:r>
      <w:r>
        <w:t xml:space="preserve"> </w:t>
      </w:r>
      <w:r>
        <w:t xml:space="preserve">if syntactically valid email;</w:t>
      </w:r>
      <w:r>
        <w:t xml:space="preserve"> </w:t>
      </w:r>
      <w:r>
        <w:rPr>
          <w:rStyle w:val="VerbatimChar"/>
        </w:rPr>
        <w:t xml:space="preserve">False</w:t>
      </w:r>
      <w:r>
        <w:t xml:space="preserve"> </w:t>
      </w:r>
      <w:r>
        <w:t xml:space="preserve">otherwise</w:t>
      </w:r>
    </w:p>
    <w:bookmarkEnd w:id="1723"/>
    <w:bookmarkEnd w:id="1724"/>
    <w:bookmarkStart w:id="1733" w:name="check-if-a-value-is-an-integer"/>
    <w:p>
      <w:pPr>
        <w:pStyle w:val="Heading1"/>
      </w:pPr>
      <w:r>
        <w:t xml:space="preserve">Check If a Value Is an Integer</w:t>
      </w:r>
    </w:p>
    <w:bookmarkStart w:id="1725" w:name="overview-123"/>
    <w:p>
      <w:pPr>
        <w:pStyle w:val="Heading2"/>
      </w:pPr>
      <w:r>
        <w:t xml:space="preserve">Overview</w:t>
      </w:r>
    </w:p>
    <w:p>
      <w:pPr>
        <w:pStyle w:val="FirstParagraph"/>
      </w:pPr>
      <w:r>
        <w:t xml:space="preserve">Determines whether the VM internal type of a value is</w:t>
      </w:r>
      <w:r>
        <w:t xml:space="preserve"> </w:t>
      </w:r>
      <w:r>
        <w:rPr>
          <w:rStyle w:val="VerbatimChar"/>
        </w:rPr>
        <w:t xml:space="preserve">VTInteger</w:t>
      </w:r>
      <w:r>
        <w:t xml:space="preserve"> </w:t>
      </w:r>
      <w:r>
        <w:t xml:space="preserve">(Integer).</w:t>
      </w:r>
    </w:p>
    <w:bookmarkEnd w:id="1725"/>
    <w:bookmarkStart w:id="1726" w:name="prerequisites-8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26"/>
    <w:bookmarkStart w:id="1727" w:name="syntax-140"/>
    <w:p>
      <w:pPr>
        <w:pStyle w:val="Heading2"/>
      </w:pPr>
      <w:r>
        <w:t xml:space="preserve">Syntax</w:t>
      </w:r>
    </w:p>
    <w:p>
      <w:pPr>
        <w:pStyle w:val="SourceCode"/>
      </w:pPr>
      <w:r>
        <w:rPr>
          <w:rStyle w:val="NormalTok"/>
        </w:rPr>
        <w:t xml:space="preserve">result = ax.AxIsInt(value)</w:t>
      </w:r>
    </w:p>
    <w:bookmarkEnd w:id="1727"/>
    <w:bookmarkStart w:id="1728" w:name="parameters-7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value</w:t>
            </w:r>
          </w:p>
        </w:tc>
        <w:tc>
          <w:tcPr/>
          <w:p>
            <w:pPr>
              <w:pStyle w:val="Compact"/>
            </w:pPr>
            <w:r>
              <w:t xml:space="preserve">Variant</w:t>
            </w:r>
          </w:p>
        </w:tc>
        <w:tc>
          <w:tcPr/>
          <w:p>
            <w:pPr>
              <w:pStyle w:val="Compact"/>
            </w:pPr>
            <w:r>
              <w:t xml:space="preserve">Yes</w:t>
            </w:r>
          </w:p>
        </w:tc>
        <w:tc>
          <w:tcPr/>
          <w:p>
            <w:pPr>
              <w:pStyle w:val="Compact"/>
            </w:pPr>
            <w:r>
              <w:t xml:space="preserve">The value to inspect.</w:t>
            </w:r>
          </w:p>
        </w:tc>
      </w:tr>
    </w:tbl>
    <w:bookmarkEnd w:id="1728"/>
    <w:bookmarkStart w:id="1729" w:name="return-value-86"/>
    <w:p>
      <w:pPr>
        <w:pStyle w:val="Heading2"/>
      </w:pPr>
      <w:r>
        <w:t xml:space="preserve">Return Value</w:t>
      </w:r>
    </w:p>
    <w:p>
      <w:pPr>
        <w:pStyle w:val="Compact"/>
        <w:numPr>
          <w:ilvl w:val="0"/>
          <w:numId w:val="1513"/>
        </w:numPr>
      </w:pPr>
      <w:r>
        <w:rPr>
          <w:b/>
          <w:bCs/>
        </w:rPr>
        <w:t xml:space="preserve">Boolean</w:t>
      </w:r>
      <w:r>
        <w:rPr>
          <w:b/>
          <w:bCs/>
        </w:rPr>
        <w:t xml:space="preserve"> </w:t>
      </w:r>
      <w:r>
        <w:rPr>
          <w:rStyle w:val="VerbatimChar"/>
          <w:b/>
          <w:bCs/>
        </w:rPr>
        <w:t xml:space="preserve">True</w:t>
      </w:r>
      <w:r>
        <w:t xml:space="preserve">: The value’s VM internal type is</w:t>
      </w:r>
      <w:r>
        <w:t xml:space="preserve"> </w:t>
      </w:r>
      <w:r>
        <w:rPr>
          <w:rStyle w:val="VerbatimChar"/>
        </w:rPr>
        <w:t xml:space="preserve">VTInteger</w:t>
      </w:r>
      <w:r>
        <w:t xml:space="preserve">.</w:t>
      </w:r>
    </w:p>
    <w:p>
      <w:pPr>
        <w:pStyle w:val="Compact"/>
        <w:numPr>
          <w:ilvl w:val="0"/>
          <w:numId w:val="1513"/>
        </w:numPr>
      </w:pPr>
      <w:r>
        <w:rPr>
          <w:b/>
          <w:bCs/>
        </w:rPr>
        <w:t xml:space="preserve">Boolean</w:t>
      </w:r>
      <w:r>
        <w:rPr>
          <w:b/>
          <w:bCs/>
        </w:rPr>
        <w:t xml:space="preserve"> </w:t>
      </w:r>
      <w:r>
        <w:rPr>
          <w:rStyle w:val="VerbatimChar"/>
          <w:b/>
          <w:bCs/>
        </w:rPr>
        <w:t xml:space="preserve">False</w:t>
      </w:r>
      <w:r>
        <w:t xml:space="preserve">: The value is not a</w:t>
      </w:r>
      <w:r>
        <w:t xml:space="preserve"> </w:t>
      </w:r>
      <w:r>
        <w:rPr>
          <w:rStyle w:val="VerbatimChar"/>
        </w:rPr>
        <w:t xml:space="preserve">VTInteger</w:t>
      </w:r>
      <w:r>
        <w:t xml:space="preserve">, or no argument was supplied.</w:t>
      </w:r>
    </w:p>
    <w:bookmarkEnd w:id="1729"/>
    <w:bookmarkStart w:id="1730" w:name="remarks-152"/>
    <w:p>
      <w:pPr>
        <w:pStyle w:val="Heading2"/>
      </w:pPr>
      <w:r>
        <w:t xml:space="preserve">Remarks</w:t>
      </w:r>
    </w:p>
    <w:p>
      <w:pPr>
        <w:pStyle w:val="Compact"/>
        <w:numPr>
          <w:ilvl w:val="0"/>
          <w:numId w:val="1514"/>
        </w:numPr>
      </w:pPr>
      <w:r>
        <w:t xml:space="preserve">This method checks the VM’s internal type tag, not the VBScript</w:t>
      </w:r>
      <w:r>
        <w:t xml:space="preserve"> </w:t>
      </w:r>
      <w:r>
        <w:rPr>
          <w:rStyle w:val="VerbatimChar"/>
        </w:rPr>
        <w:t xml:space="preserve">VarType</w:t>
      </w:r>
      <w:r>
        <w:t xml:space="preserve">. A value returned from a function that coerces to an integer at the VBScript level may still fail this check if the VM stored it as a different type.</w:t>
      </w:r>
    </w:p>
    <w:p>
      <w:pPr>
        <w:pStyle w:val="Compact"/>
        <w:numPr>
          <w:ilvl w:val="0"/>
          <w:numId w:val="1514"/>
        </w:numPr>
      </w:pPr>
      <w:r>
        <w:t xml:space="preserve">Use</w:t>
      </w:r>
      <w:r>
        <w:t xml:space="preserve"> </w:t>
      </w:r>
      <w:r>
        <w:rPr>
          <w:rStyle w:val="VerbatimChar"/>
        </w:rPr>
        <w:t xml:space="preserve">AxIsFloat</w:t>
      </w:r>
      <w:r>
        <w:t xml:space="preserve"> </w:t>
      </w:r>
      <w:r>
        <w:t xml:space="preserve">to check for Double precision values.</w:t>
      </w:r>
    </w:p>
    <w:p>
      <w:pPr>
        <w:pStyle w:val="Compact"/>
        <w:numPr>
          <w:ilvl w:val="0"/>
          <w:numId w:val="1514"/>
        </w:numPr>
      </w:pPr>
      <w:r>
        <w:t xml:space="preserve">Method names are case-insensitive.</w:t>
      </w:r>
    </w:p>
    <w:bookmarkEnd w:id="1730"/>
    <w:bookmarkStart w:id="1731" w:name="example-8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a</w:t>
      </w:r>
      <w:r>
        <w:rPr>
          <w:rStyle w:val="OtherTok"/>
        </w:rPr>
        <w:t xml:space="preserve">,</w:t>
      </w:r>
      <w:r>
        <w:rPr>
          <w:rStyle w:val="NormalTok"/>
        </w:rPr>
        <w:t xml:space="preserve"> b</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a = </w:t>
      </w:r>
      <w:r>
        <w:rPr>
          <w:rStyle w:val="DecValTok"/>
        </w:rPr>
        <w:t xml:space="preserve">100</w:t>
      </w:r>
      <w:r>
        <w:br/>
      </w:r>
      <w:r>
        <w:rPr>
          <w:rStyle w:val="NormalTok"/>
        </w:rPr>
        <w:t xml:space="preserve">b = </w:t>
      </w:r>
      <w:r>
        <w:rPr>
          <w:rStyle w:val="FloatTok"/>
        </w:rPr>
        <w:t xml:space="preserve">100.5</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ax.AxIsInt</w:t>
      </w:r>
      <w:r>
        <w:rPr>
          <w:rStyle w:val="OtherTok"/>
        </w:rPr>
        <w:t xml:space="preserve">(</w:t>
      </w:r>
      <w:r>
        <w:rPr>
          <w:rStyle w:val="NormalTok"/>
        </w:rPr>
        <w:t xml:space="preserve">a</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w:t>
      </w:r>
      <w:r>
        <w:br/>
      </w:r>
      <w:r>
        <w:rPr>
          <w:rStyle w:val="FunctionTok"/>
        </w:rPr>
        <w:t xml:space="preserve">Response</w:t>
      </w:r>
      <w:r>
        <w:rPr>
          <w:rStyle w:val="NormalTok"/>
        </w:rPr>
        <w:t xml:space="preserve">.</w:t>
      </w:r>
      <w:r>
        <w:rPr>
          <w:rStyle w:val="FunctionTok"/>
        </w:rPr>
        <w:t xml:space="preserve">Write</w:t>
      </w:r>
      <w:r>
        <w:rPr>
          <w:rStyle w:val="NormalTok"/>
        </w:rPr>
        <w:t xml:space="preserve"> ax.AxIsInt</w:t>
      </w:r>
      <w:r>
        <w:rPr>
          <w:rStyle w:val="OtherTok"/>
        </w:rPr>
        <w:t xml:space="preserve">(</w:t>
      </w:r>
      <w:r>
        <w:rPr>
          <w:rStyle w:val="NormalTok"/>
        </w:rPr>
        <w:t xml:space="preserve">b</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31"/>
    <w:bookmarkStart w:id="1732" w:name="api-reference-83"/>
    <w:p>
      <w:pPr>
        <w:pStyle w:val="Heading2"/>
      </w:pPr>
      <w:r>
        <w:t xml:space="preserve">API Reference</w:t>
      </w:r>
    </w:p>
    <w:p>
      <w:pPr>
        <w:pStyle w:val="Compact"/>
        <w:numPr>
          <w:ilvl w:val="0"/>
          <w:numId w:val="1515"/>
        </w:numPr>
      </w:pPr>
      <w:r>
        <w:rPr>
          <w:b/>
          <w:bCs/>
        </w:rPr>
        <w:t xml:space="preserve">Object</w:t>
      </w:r>
      <w:r>
        <w:t xml:space="preserve">:</w:t>
      </w:r>
      <w:r>
        <w:t xml:space="preserve"> </w:t>
      </w:r>
      <w:r>
        <w:rPr>
          <w:rStyle w:val="VerbatimChar"/>
        </w:rPr>
        <w:t xml:space="preserve">G3AXON.FUNCTIONS</w:t>
      </w:r>
    </w:p>
    <w:p>
      <w:pPr>
        <w:pStyle w:val="Compact"/>
        <w:numPr>
          <w:ilvl w:val="0"/>
          <w:numId w:val="1515"/>
        </w:numPr>
      </w:pPr>
      <w:r>
        <w:rPr>
          <w:b/>
          <w:bCs/>
        </w:rPr>
        <w:t xml:space="preserve">Method</w:t>
      </w:r>
      <w:r>
        <w:t xml:space="preserve">:</w:t>
      </w:r>
      <w:r>
        <w:t xml:space="preserve"> </w:t>
      </w:r>
      <w:r>
        <w:rPr>
          <w:rStyle w:val="VerbatimChar"/>
        </w:rPr>
        <w:t xml:space="preserve">AxIsInt</w:t>
      </w:r>
    </w:p>
    <w:p>
      <w:pPr>
        <w:pStyle w:val="Compact"/>
        <w:numPr>
          <w:ilvl w:val="0"/>
          <w:numId w:val="1515"/>
        </w:numPr>
      </w:pPr>
      <w:r>
        <w:rPr>
          <w:b/>
          <w:bCs/>
        </w:rPr>
        <w:t xml:space="preserve">Arguments</w:t>
      </w:r>
      <w:r>
        <w:t xml:space="preserve">:</w:t>
      </w:r>
      <w:r>
        <w:t xml:space="preserve"> </w:t>
      </w:r>
      <w:r>
        <w:rPr>
          <w:rStyle w:val="VerbatimChar"/>
        </w:rPr>
        <w:t xml:space="preserve">value</w:t>
      </w:r>
      <w:r>
        <w:t xml:space="preserve"> </w:t>
      </w:r>
      <w:r>
        <w:t xml:space="preserve">(Variant, required)</w:t>
      </w:r>
    </w:p>
    <w:p>
      <w:pPr>
        <w:pStyle w:val="Compact"/>
        <w:numPr>
          <w:ilvl w:val="0"/>
          <w:numId w:val="1515"/>
        </w:numPr>
      </w:pPr>
      <w:r>
        <w:rPr>
          <w:b/>
          <w:bCs/>
        </w:rPr>
        <w:t xml:space="preserve">Returns</w:t>
      </w:r>
      <w:r>
        <w:t xml:space="preserve">: Boolean —</w:t>
      </w:r>
      <w:r>
        <w:t xml:space="preserve"> </w:t>
      </w:r>
      <w:r>
        <w:rPr>
          <w:rStyle w:val="VerbatimChar"/>
        </w:rPr>
        <w:t xml:space="preserve">True</w:t>
      </w:r>
      <w:r>
        <w:t xml:space="preserve"> </w:t>
      </w:r>
      <w:r>
        <w:t xml:space="preserve">if VM type is</w:t>
      </w:r>
      <w:r>
        <w:t xml:space="preserve"> </w:t>
      </w:r>
      <w:r>
        <w:rPr>
          <w:rStyle w:val="VerbatimChar"/>
        </w:rPr>
        <w:t xml:space="preserve">VTInteger</w:t>
      </w:r>
      <w:r>
        <w:t xml:space="preserve">;</w:t>
      </w:r>
      <w:r>
        <w:t xml:space="preserve"> </w:t>
      </w:r>
      <w:r>
        <w:rPr>
          <w:rStyle w:val="VerbatimChar"/>
        </w:rPr>
        <w:t xml:space="preserve">False</w:t>
      </w:r>
      <w:r>
        <w:t xml:space="preserve"> </w:t>
      </w:r>
      <w:r>
        <w:t xml:space="preserve">otherwise</w:t>
      </w:r>
    </w:p>
    <w:bookmarkEnd w:id="1732"/>
    <w:bookmarkEnd w:id="1733"/>
    <w:bookmarkStart w:id="1742" w:name="X519578d6ac32689650a7e3e5a8df9e48445fb1f"/>
    <w:p>
      <w:pPr>
        <w:pStyle w:val="Heading1"/>
      </w:pPr>
      <w:r>
        <w:t xml:space="preserve">Check If a Value Is a Floating-Point Number</w:t>
      </w:r>
    </w:p>
    <w:bookmarkStart w:id="1734" w:name="overview-124"/>
    <w:p>
      <w:pPr>
        <w:pStyle w:val="Heading2"/>
      </w:pPr>
      <w:r>
        <w:t xml:space="preserve">Overview</w:t>
      </w:r>
    </w:p>
    <w:p>
      <w:pPr>
        <w:pStyle w:val="FirstParagraph"/>
      </w:pPr>
      <w:r>
        <w:t xml:space="preserve">Determines whether the VM internal type of a value is</w:t>
      </w:r>
      <w:r>
        <w:t xml:space="preserve"> </w:t>
      </w:r>
      <w:r>
        <w:rPr>
          <w:rStyle w:val="VerbatimChar"/>
        </w:rPr>
        <w:t xml:space="preserve">VTDouble</w:t>
      </w:r>
      <w:r>
        <w:t xml:space="preserve"> </w:t>
      </w:r>
      <w:r>
        <w:t xml:space="preserve">(Double precision floating-point).</w:t>
      </w:r>
    </w:p>
    <w:bookmarkEnd w:id="1734"/>
    <w:bookmarkStart w:id="1735" w:name="prerequisites-8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35"/>
    <w:bookmarkStart w:id="1736" w:name="syntax-141"/>
    <w:p>
      <w:pPr>
        <w:pStyle w:val="Heading2"/>
      </w:pPr>
      <w:r>
        <w:t xml:space="preserve">Syntax</w:t>
      </w:r>
    </w:p>
    <w:p>
      <w:pPr>
        <w:pStyle w:val="SourceCode"/>
      </w:pPr>
      <w:r>
        <w:rPr>
          <w:rStyle w:val="NormalTok"/>
        </w:rPr>
        <w:t xml:space="preserve">result = ax.AxIsFloat(value)</w:t>
      </w:r>
    </w:p>
    <w:bookmarkEnd w:id="1736"/>
    <w:bookmarkStart w:id="1737" w:name="parameters-71"/>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value</w:t>
            </w:r>
          </w:p>
        </w:tc>
        <w:tc>
          <w:tcPr/>
          <w:p>
            <w:pPr>
              <w:pStyle w:val="Compact"/>
            </w:pPr>
            <w:r>
              <w:t xml:space="preserve">Variant</w:t>
            </w:r>
          </w:p>
        </w:tc>
        <w:tc>
          <w:tcPr/>
          <w:p>
            <w:pPr>
              <w:pStyle w:val="Compact"/>
            </w:pPr>
            <w:r>
              <w:t xml:space="preserve">Yes</w:t>
            </w:r>
          </w:p>
        </w:tc>
        <w:tc>
          <w:tcPr/>
          <w:p>
            <w:pPr>
              <w:pStyle w:val="Compact"/>
            </w:pPr>
            <w:r>
              <w:t xml:space="preserve">The value to inspect.</w:t>
            </w:r>
          </w:p>
        </w:tc>
      </w:tr>
    </w:tbl>
    <w:bookmarkEnd w:id="1737"/>
    <w:bookmarkStart w:id="1738" w:name="return-value-87"/>
    <w:p>
      <w:pPr>
        <w:pStyle w:val="Heading2"/>
      </w:pPr>
      <w:r>
        <w:t xml:space="preserve">Return Value</w:t>
      </w:r>
    </w:p>
    <w:p>
      <w:pPr>
        <w:pStyle w:val="Compact"/>
        <w:numPr>
          <w:ilvl w:val="0"/>
          <w:numId w:val="1516"/>
        </w:numPr>
      </w:pPr>
      <w:r>
        <w:rPr>
          <w:b/>
          <w:bCs/>
        </w:rPr>
        <w:t xml:space="preserve">Boolean</w:t>
      </w:r>
      <w:r>
        <w:rPr>
          <w:b/>
          <w:bCs/>
        </w:rPr>
        <w:t xml:space="preserve"> </w:t>
      </w:r>
      <w:r>
        <w:rPr>
          <w:rStyle w:val="VerbatimChar"/>
          <w:b/>
          <w:bCs/>
        </w:rPr>
        <w:t xml:space="preserve">True</w:t>
      </w:r>
      <w:r>
        <w:t xml:space="preserve">: The value’s VM internal type is</w:t>
      </w:r>
      <w:r>
        <w:t xml:space="preserve"> </w:t>
      </w:r>
      <w:r>
        <w:rPr>
          <w:rStyle w:val="VerbatimChar"/>
        </w:rPr>
        <w:t xml:space="preserve">VTDouble</w:t>
      </w:r>
      <w:r>
        <w:t xml:space="preserve">.</w:t>
      </w:r>
    </w:p>
    <w:p>
      <w:pPr>
        <w:pStyle w:val="Compact"/>
        <w:numPr>
          <w:ilvl w:val="0"/>
          <w:numId w:val="1516"/>
        </w:numPr>
      </w:pPr>
      <w:r>
        <w:rPr>
          <w:b/>
          <w:bCs/>
        </w:rPr>
        <w:t xml:space="preserve">Boolean</w:t>
      </w:r>
      <w:r>
        <w:rPr>
          <w:b/>
          <w:bCs/>
        </w:rPr>
        <w:t xml:space="preserve"> </w:t>
      </w:r>
      <w:r>
        <w:rPr>
          <w:rStyle w:val="VerbatimChar"/>
          <w:b/>
          <w:bCs/>
        </w:rPr>
        <w:t xml:space="preserve">False</w:t>
      </w:r>
      <w:r>
        <w:t xml:space="preserve">: The value is not a</w:t>
      </w:r>
      <w:r>
        <w:t xml:space="preserve"> </w:t>
      </w:r>
      <w:r>
        <w:rPr>
          <w:rStyle w:val="VerbatimChar"/>
        </w:rPr>
        <w:t xml:space="preserve">VTDouble</w:t>
      </w:r>
      <w:r>
        <w:t xml:space="preserve">, or no argument was supplied.</w:t>
      </w:r>
    </w:p>
    <w:bookmarkEnd w:id="1738"/>
    <w:bookmarkStart w:id="1739" w:name="remarks-153"/>
    <w:p>
      <w:pPr>
        <w:pStyle w:val="Heading2"/>
      </w:pPr>
      <w:r>
        <w:t xml:space="preserve">Remarks</w:t>
      </w:r>
    </w:p>
    <w:p>
      <w:pPr>
        <w:pStyle w:val="Compact"/>
        <w:numPr>
          <w:ilvl w:val="0"/>
          <w:numId w:val="1517"/>
        </w:numPr>
      </w:pPr>
      <w:r>
        <w:t xml:space="preserve">This method checks the VM’s internal type tag, not the VBScript</w:t>
      </w:r>
      <w:r>
        <w:t xml:space="preserve"> </w:t>
      </w:r>
      <w:r>
        <w:rPr>
          <w:rStyle w:val="VerbatimChar"/>
        </w:rPr>
        <w:t xml:space="preserve">VarType</w:t>
      </w:r>
      <w:r>
        <w:t xml:space="preserve">.</w:t>
      </w:r>
    </w:p>
    <w:p>
      <w:pPr>
        <w:pStyle w:val="Compact"/>
        <w:numPr>
          <w:ilvl w:val="0"/>
          <w:numId w:val="1517"/>
        </w:numPr>
      </w:pPr>
      <w:r>
        <w:t xml:space="preserve">Use</w:t>
      </w:r>
      <w:r>
        <w:t xml:space="preserve"> </w:t>
      </w:r>
      <w:r>
        <w:rPr>
          <w:rStyle w:val="VerbatimChar"/>
        </w:rPr>
        <w:t xml:space="preserve">AxIsInt</w:t>
      </w:r>
      <w:r>
        <w:t xml:space="preserve"> </w:t>
      </w:r>
      <w:r>
        <w:t xml:space="preserve">to check for Integer values.</w:t>
      </w:r>
    </w:p>
    <w:p>
      <w:pPr>
        <w:pStyle w:val="Compact"/>
        <w:numPr>
          <w:ilvl w:val="0"/>
          <w:numId w:val="1517"/>
        </w:numPr>
      </w:pPr>
      <w:r>
        <w:t xml:space="preserve">Method names are case-insensitive.</w:t>
      </w:r>
    </w:p>
    <w:bookmarkEnd w:id="1739"/>
    <w:bookmarkStart w:id="1740" w:name="example-8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a</w:t>
      </w:r>
      <w:r>
        <w:rPr>
          <w:rStyle w:val="OtherTok"/>
        </w:rPr>
        <w:t xml:space="preserve">,</w:t>
      </w:r>
      <w:r>
        <w:rPr>
          <w:rStyle w:val="NormalTok"/>
        </w:rPr>
        <w:t xml:space="preserve"> b</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a = </w:t>
      </w:r>
      <w:r>
        <w:rPr>
          <w:rStyle w:val="FloatTok"/>
        </w:rPr>
        <w:t xml:space="preserve">3.14</w:t>
      </w:r>
      <w:r>
        <w:br/>
      </w:r>
      <w:r>
        <w:rPr>
          <w:rStyle w:val="NormalTok"/>
        </w:rPr>
        <w:t xml:space="preserve">b = </w:t>
      </w:r>
      <w:r>
        <w:rPr>
          <w:rStyle w:val="DecValTok"/>
        </w:rPr>
        <w:t xml:space="preserve">3</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ax.AxIsFloat</w:t>
      </w:r>
      <w:r>
        <w:rPr>
          <w:rStyle w:val="OtherTok"/>
        </w:rPr>
        <w:t xml:space="preserve">(</w:t>
      </w:r>
      <w:r>
        <w:rPr>
          <w:rStyle w:val="NormalTok"/>
        </w:rPr>
        <w:t xml:space="preserve">a</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w:t>
      </w:r>
      <w:r>
        <w:br/>
      </w:r>
      <w:r>
        <w:rPr>
          <w:rStyle w:val="FunctionTok"/>
        </w:rPr>
        <w:t xml:space="preserve">Response</w:t>
      </w:r>
      <w:r>
        <w:rPr>
          <w:rStyle w:val="NormalTok"/>
        </w:rPr>
        <w:t xml:space="preserve">.</w:t>
      </w:r>
      <w:r>
        <w:rPr>
          <w:rStyle w:val="FunctionTok"/>
        </w:rPr>
        <w:t xml:space="preserve">Write</w:t>
      </w:r>
      <w:r>
        <w:rPr>
          <w:rStyle w:val="NormalTok"/>
        </w:rPr>
        <w:t xml:space="preserve"> ax.AxIsFloat</w:t>
      </w:r>
      <w:r>
        <w:rPr>
          <w:rStyle w:val="OtherTok"/>
        </w:rPr>
        <w:t xml:space="preserve">(</w:t>
      </w:r>
      <w:r>
        <w:rPr>
          <w:rStyle w:val="NormalTok"/>
        </w:rPr>
        <w:t xml:space="preserve">b</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40"/>
    <w:bookmarkStart w:id="1741" w:name="api-reference-84"/>
    <w:p>
      <w:pPr>
        <w:pStyle w:val="Heading2"/>
      </w:pPr>
      <w:r>
        <w:t xml:space="preserve">API Reference</w:t>
      </w:r>
    </w:p>
    <w:p>
      <w:pPr>
        <w:pStyle w:val="Compact"/>
        <w:numPr>
          <w:ilvl w:val="0"/>
          <w:numId w:val="1518"/>
        </w:numPr>
      </w:pPr>
      <w:r>
        <w:rPr>
          <w:b/>
          <w:bCs/>
        </w:rPr>
        <w:t xml:space="preserve">Object</w:t>
      </w:r>
      <w:r>
        <w:t xml:space="preserve">:</w:t>
      </w:r>
      <w:r>
        <w:t xml:space="preserve"> </w:t>
      </w:r>
      <w:r>
        <w:rPr>
          <w:rStyle w:val="VerbatimChar"/>
        </w:rPr>
        <w:t xml:space="preserve">G3AXON.FUNCTIONS</w:t>
      </w:r>
    </w:p>
    <w:p>
      <w:pPr>
        <w:pStyle w:val="Compact"/>
        <w:numPr>
          <w:ilvl w:val="0"/>
          <w:numId w:val="1518"/>
        </w:numPr>
      </w:pPr>
      <w:r>
        <w:rPr>
          <w:b/>
          <w:bCs/>
        </w:rPr>
        <w:t xml:space="preserve">Method</w:t>
      </w:r>
      <w:r>
        <w:t xml:space="preserve">:</w:t>
      </w:r>
      <w:r>
        <w:t xml:space="preserve"> </w:t>
      </w:r>
      <w:r>
        <w:rPr>
          <w:rStyle w:val="VerbatimChar"/>
        </w:rPr>
        <w:t xml:space="preserve">AxIsFloat</w:t>
      </w:r>
    </w:p>
    <w:p>
      <w:pPr>
        <w:pStyle w:val="Compact"/>
        <w:numPr>
          <w:ilvl w:val="0"/>
          <w:numId w:val="1518"/>
        </w:numPr>
      </w:pPr>
      <w:r>
        <w:rPr>
          <w:b/>
          <w:bCs/>
        </w:rPr>
        <w:t xml:space="preserve">Arguments</w:t>
      </w:r>
      <w:r>
        <w:t xml:space="preserve">:</w:t>
      </w:r>
      <w:r>
        <w:t xml:space="preserve"> </w:t>
      </w:r>
      <w:r>
        <w:rPr>
          <w:rStyle w:val="VerbatimChar"/>
        </w:rPr>
        <w:t xml:space="preserve">value</w:t>
      </w:r>
      <w:r>
        <w:t xml:space="preserve"> </w:t>
      </w:r>
      <w:r>
        <w:t xml:space="preserve">(Variant, required)</w:t>
      </w:r>
    </w:p>
    <w:p>
      <w:pPr>
        <w:pStyle w:val="Compact"/>
        <w:numPr>
          <w:ilvl w:val="0"/>
          <w:numId w:val="1518"/>
        </w:numPr>
      </w:pPr>
      <w:r>
        <w:rPr>
          <w:b/>
          <w:bCs/>
        </w:rPr>
        <w:t xml:space="preserve">Returns</w:t>
      </w:r>
      <w:r>
        <w:t xml:space="preserve">: Boolean —</w:t>
      </w:r>
      <w:r>
        <w:t xml:space="preserve"> </w:t>
      </w:r>
      <w:r>
        <w:rPr>
          <w:rStyle w:val="VerbatimChar"/>
        </w:rPr>
        <w:t xml:space="preserve">True</w:t>
      </w:r>
      <w:r>
        <w:t xml:space="preserve"> </w:t>
      </w:r>
      <w:r>
        <w:t xml:space="preserve">if VM type is</w:t>
      </w:r>
      <w:r>
        <w:t xml:space="preserve"> </w:t>
      </w:r>
      <w:r>
        <w:rPr>
          <w:rStyle w:val="VerbatimChar"/>
        </w:rPr>
        <w:t xml:space="preserve">VTDouble</w:t>
      </w:r>
      <w:r>
        <w:t xml:space="preserve">;</w:t>
      </w:r>
      <w:r>
        <w:t xml:space="preserve"> </w:t>
      </w:r>
      <w:r>
        <w:rPr>
          <w:rStyle w:val="VerbatimChar"/>
        </w:rPr>
        <w:t xml:space="preserve">False</w:t>
      </w:r>
      <w:r>
        <w:t xml:space="preserve"> </w:t>
      </w:r>
      <w:r>
        <w:t xml:space="preserve">otherwise</w:t>
      </w:r>
    </w:p>
    <w:bookmarkEnd w:id="1741"/>
    <w:bookmarkEnd w:id="1742"/>
    <w:bookmarkStart w:id="1751" w:name="X549a0f880153343a13cc903b97a9636888c225a"/>
    <w:p>
      <w:pPr>
        <w:pStyle w:val="Heading1"/>
      </w:pPr>
      <w:r>
        <w:t xml:space="preserve">Check If a String Contains Only Alphabetic Characters</w:t>
      </w:r>
    </w:p>
    <w:bookmarkStart w:id="1743" w:name="overview-125"/>
    <w:p>
      <w:pPr>
        <w:pStyle w:val="Heading2"/>
      </w:pPr>
      <w:r>
        <w:t xml:space="preserve">Overview</w:t>
      </w:r>
    </w:p>
    <w:p>
      <w:pPr>
        <w:pStyle w:val="FirstParagraph"/>
      </w:pPr>
      <w:r>
        <w:t xml:space="preserve">Determines whether every character in a string is an ASCII alphabetic letter (a–z or A–Z).</w:t>
      </w:r>
    </w:p>
    <w:bookmarkEnd w:id="1743"/>
    <w:bookmarkStart w:id="1744" w:name="prerequisites-8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44"/>
    <w:bookmarkStart w:id="1745" w:name="syntax-142"/>
    <w:p>
      <w:pPr>
        <w:pStyle w:val="Heading2"/>
      </w:pPr>
      <w:r>
        <w:t xml:space="preserve">Syntax</w:t>
      </w:r>
    </w:p>
    <w:p>
      <w:pPr>
        <w:pStyle w:val="SourceCode"/>
      </w:pPr>
      <w:r>
        <w:rPr>
          <w:rStyle w:val="NormalTok"/>
        </w:rPr>
        <w:t xml:space="preserve">result = ax.AxCtypeAlpha(str)</w:t>
      </w:r>
    </w:p>
    <w:bookmarkEnd w:id="1745"/>
    <w:bookmarkStart w:id="1746" w:name="parameters-7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string to test.</w:t>
            </w:r>
          </w:p>
        </w:tc>
      </w:tr>
    </w:tbl>
    <w:bookmarkEnd w:id="1746"/>
    <w:bookmarkStart w:id="1747" w:name="return-value-88"/>
    <w:p>
      <w:pPr>
        <w:pStyle w:val="Heading2"/>
      </w:pPr>
      <w:r>
        <w:t xml:space="preserve">Return Value</w:t>
      </w:r>
    </w:p>
    <w:p>
      <w:pPr>
        <w:pStyle w:val="Compact"/>
        <w:numPr>
          <w:ilvl w:val="0"/>
          <w:numId w:val="1519"/>
        </w:numPr>
      </w:pPr>
      <w:r>
        <w:rPr>
          <w:b/>
          <w:bCs/>
        </w:rPr>
        <w:t xml:space="preserve">Boolean</w:t>
      </w:r>
      <w:r>
        <w:rPr>
          <w:b/>
          <w:bCs/>
        </w:rPr>
        <w:t xml:space="preserve"> </w:t>
      </w:r>
      <w:r>
        <w:rPr>
          <w:rStyle w:val="VerbatimChar"/>
          <w:b/>
          <w:bCs/>
        </w:rPr>
        <w:t xml:space="preserve">True</w:t>
      </w:r>
      <w:r>
        <w:t xml:space="preserve">: All characters in the string are ASCII alphabetic letters.</w:t>
      </w:r>
    </w:p>
    <w:p>
      <w:pPr>
        <w:pStyle w:val="Compact"/>
        <w:numPr>
          <w:ilvl w:val="0"/>
          <w:numId w:val="1519"/>
        </w:numPr>
      </w:pPr>
      <w:r>
        <w:rPr>
          <w:b/>
          <w:bCs/>
        </w:rPr>
        <w:t xml:space="preserve">Boolean</w:t>
      </w:r>
      <w:r>
        <w:rPr>
          <w:b/>
          <w:bCs/>
        </w:rPr>
        <w:t xml:space="preserve"> </w:t>
      </w:r>
      <w:r>
        <w:rPr>
          <w:rStyle w:val="VerbatimChar"/>
          <w:b/>
          <w:bCs/>
        </w:rPr>
        <w:t xml:space="preserve">False</w:t>
      </w:r>
      <w:r>
        <w:t xml:space="preserve">: The string contains non-alphabetic characters, the string is empty, or no argument was supplied.</w:t>
      </w:r>
    </w:p>
    <w:bookmarkEnd w:id="1747"/>
    <w:bookmarkStart w:id="1748" w:name="remarks-154"/>
    <w:p>
      <w:pPr>
        <w:pStyle w:val="Heading2"/>
      </w:pPr>
      <w:r>
        <w:t xml:space="preserve">Remarks</w:t>
      </w:r>
    </w:p>
    <w:p>
      <w:pPr>
        <w:pStyle w:val="Compact"/>
        <w:numPr>
          <w:ilvl w:val="0"/>
          <w:numId w:val="1520"/>
        </w:numPr>
      </w:pPr>
      <w:r>
        <w:t xml:space="preserve">Only ASCII characters</w:t>
      </w:r>
      <w:r>
        <w:t xml:space="preserve"> </w:t>
      </w:r>
      <w:r>
        <w:rPr>
          <w:rStyle w:val="VerbatimChar"/>
        </w:rPr>
        <w:t xml:space="preserve">A</w:t>
      </w:r>
      <w:r>
        <w:t xml:space="preserve">–</w:t>
      </w:r>
      <w:r>
        <w:rPr>
          <w:rStyle w:val="VerbatimChar"/>
        </w:rPr>
        <w:t xml:space="preserve">Z</w:t>
      </w:r>
      <w:r>
        <w:t xml:space="preserve"> </w:t>
      </w:r>
      <w:r>
        <w:t xml:space="preserve">and</w:t>
      </w:r>
      <w:r>
        <w:t xml:space="preserve"> </w:t>
      </w:r>
      <w:r>
        <w:rPr>
          <w:rStyle w:val="VerbatimChar"/>
        </w:rPr>
        <w:t xml:space="preserve">a</w:t>
      </w:r>
      <w:r>
        <w:t xml:space="preserve">–</w:t>
      </w:r>
      <w:r>
        <w:rPr>
          <w:rStyle w:val="VerbatimChar"/>
        </w:rPr>
        <w:t xml:space="preserve">z</w:t>
      </w:r>
      <w:r>
        <w:t xml:space="preserve"> </w:t>
      </w:r>
      <w:r>
        <w:t xml:space="preserve">are considered alphabetic. Accented characters and Unicode letters return</w:t>
      </w:r>
      <w:r>
        <w:t xml:space="preserve"> </w:t>
      </w:r>
      <w:r>
        <w:rPr>
          <w:rStyle w:val="VerbatimChar"/>
        </w:rPr>
        <w:t xml:space="preserve">False</w:t>
      </w:r>
      <w:r>
        <w:t xml:space="preserve">.</w:t>
      </w:r>
    </w:p>
    <w:p>
      <w:pPr>
        <w:pStyle w:val="Compact"/>
        <w:numPr>
          <w:ilvl w:val="0"/>
          <w:numId w:val="1520"/>
        </w:numPr>
      </w:pPr>
      <w:r>
        <w:t xml:space="preserve">An empty string always returns</w:t>
      </w:r>
      <w:r>
        <w:t xml:space="preserve"> </w:t>
      </w:r>
      <w:r>
        <w:rPr>
          <w:rStyle w:val="VerbatimChar"/>
        </w:rPr>
        <w:t xml:space="preserve">False</w:t>
      </w:r>
      <w:r>
        <w:t xml:space="preserve">.</w:t>
      </w:r>
    </w:p>
    <w:p>
      <w:pPr>
        <w:pStyle w:val="Compact"/>
        <w:numPr>
          <w:ilvl w:val="0"/>
          <w:numId w:val="1520"/>
        </w:numPr>
      </w:pPr>
      <w:r>
        <w:t xml:space="preserve">Method names are case-insensitive.</w:t>
      </w:r>
    </w:p>
    <w:bookmarkEnd w:id="1748"/>
    <w:bookmarkStart w:id="1749" w:name="example-9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ax.AxCtypeAlpha</w:t>
      </w:r>
      <w:r>
        <w:rPr>
          <w:rStyle w:val="OtherTok"/>
        </w:rPr>
        <w:t xml:space="preserve">(</w:t>
      </w:r>
      <w:r>
        <w:rPr>
          <w:rStyle w:val="StringTok"/>
        </w:rPr>
        <w:t xml:space="preserve">"AxonASP"</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w:t>
      </w:r>
      <w:r>
        <w:br/>
      </w:r>
      <w:r>
        <w:rPr>
          <w:rStyle w:val="FunctionTok"/>
        </w:rPr>
        <w:t xml:space="preserve">Response</w:t>
      </w:r>
      <w:r>
        <w:rPr>
          <w:rStyle w:val="NormalTok"/>
        </w:rPr>
        <w:t xml:space="preserve">.</w:t>
      </w:r>
      <w:r>
        <w:rPr>
          <w:rStyle w:val="FunctionTok"/>
        </w:rPr>
        <w:t xml:space="preserve">Write</w:t>
      </w:r>
      <w:r>
        <w:rPr>
          <w:rStyle w:val="NormalTok"/>
        </w:rPr>
        <w:t xml:space="preserve"> ax.AxCtypeAlpha</w:t>
      </w:r>
      <w:r>
        <w:rPr>
          <w:rStyle w:val="OtherTok"/>
        </w:rPr>
        <w:t xml:space="preserve">(</w:t>
      </w:r>
      <w:r>
        <w:rPr>
          <w:rStyle w:val="StringTok"/>
        </w:rPr>
        <w:t xml:space="preserve">"Axon2"</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 (digit)</w:t>
      </w:r>
      <w:r>
        <w:br/>
      </w:r>
      <w:r>
        <w:rPr>
          <w:rStyle w:val="FunctionTok"/>
        </w:rPr>
        <w:t xml:space="preserve">Response</w:t>
      </w:r>
      <w:r>
        <w:rPr>
          <w:rStyle w:val="NormalTok"/>
        </w:rPr>
        <w:t xml:space="preserve">.</w:t>
      </w:r>
      <w:r>
        <w:rPr>
          <w:rStyle w:val="FunctionTok"/>
        </w:rPr>
        <w:t xml:space="preserve">Write</w:t>
      </w:r>
      <w:r>
        <w:rPr>
          <w:rStyle w:val="NormalTok"/>
        </w:rPr>
        <w:t xml:space="preserve"> ax.AxCtypeAlpha</w:t>
      </w:r>
      <w:r>
        <w:rPr>
          <w:rStyle w:val="OtherTok"/>
        </w:rPr>
        <w:t xml:space="preserve">(</w:t>
      </w:r>
      <w:r>
        <w:rPr>
          <w:rStyle w:val="StringTok"/>
        </w:rPr>
        <w:t xml:space="preserv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 (empty)</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49"/>
    <w:bookmarkStart w:id="1750" w:name="api-reference-85"/>
    <w:p>
      <w:pPr>
        <w:pStyle w:val="Heading2"/>
      </w:pPr>
      <w:r>
        <w:t xml:space="preserve">API Reference</w:t>
      </w:r>
    </w:p>
    <w:p>
      <w:pPr>
        <w:pStyle w:val="Compact"/>
        <w:numPr>
          <w:ilvl w:val="0"/>
          <w:numId w:val="1521"/>
        </w:numPr>
      </w:pPr>
      <w:r>
        <w:rPr>
          <w:b/>
          <w:bCs/>
        </w:rPr>
        <w:t xml:space="preserve">Object</w:t>
      </w:r>
      <w:r>
        <w:t xml:space="preserve">:</w:t>
      </w:r>
      <w:r>
        <w:t xml:space="preserve"> </w:t>
      </w:r>
      <w:r>
        <w:rPr>
          <w:rStyle w:val="VerbatimChar"/>
        </w:rPr>
        <w:t xml:space="preserve">G3AXON.FUNCTIONS</w:t>
      </w:r>
    </w:p>
    <w:p>
      <w:pPr>
        <w:pStyle w:val="Compact"/>
        <w:numPr>
          <w:ilvl w:val="0"/>
          <w:numId w:val="1521"/>
        </w:numPr>
      </w:pPr>
      <w:r>
        <w:rPr>
          <w:b/>
          <w:bCs/>
        </w:rPr>
        <w:t xml:space="preserve">Method</w:t>
      </w:r>
      <w:r>
        <w:t xml:space="preserve">:</w:t>
      </w:r>
      <w:r>
        <w:t xml:space="preserve"> </w:t>
      </w:r>
      <w:r>
        <w:rPr>
          <w:rStyle w:val="VerbatimChar"/>
        </w:rPr>
        <w:t xml:space="preserve">AxCtypeAlpha</w:t>
      </w:r>
    </w:p>
    <w:p>
      <w:pPr>
        <w:pStyle w:val="Compact"/>
        <w:numPr>
          <w:ilvl w:val="0"/>
          <w:numId w:val="1521"/>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521"/>
        </w:numPr>
      </w:pPr>
      <w:r>
        <w:rPr>
          <w:b/>
          <w:bCs/>
        </w:rPr>
        <w:t xml:space="preserve">Returns</w:t>
      </w:r>
      <w:r>
        <w:t xml:space="preserve">: Boolean —</w:t>
      </w:r>
      <w:r>
        <w:t xml:space="preserve"> </w:t>
      </w:r>
      <w:r>
        <w:rPr>
          <w:rStyle w:val="VerbatimChar"/>
        </w:rPr>
        <w:t xml:space="preserve">True</w:t>
      </w:r>
      <w:r>
        <w:t xml:space="preserve"> </w:t>
      </w:r>
      <w:r>
        <w:t xml:space="preserve">if all characters are ASCII alphabetic;</w:t>
      </w:r>
      <w:r>
        <w:t xml:space="preserve"> </w:t>
      </w:r>
      <w:r>
        <w:rPr>
          <w:rStyle w:val="VerbatimChar"/>
        </w:rPr>
        <w:t xml:space="preserve">False</w:t>
      </w:r>
      <w:r>
        <w:t xml:space="preserve"> </w:t>
      </w:r>
      <w:r>
        <w:t xml:space="preserve">otherwise</w:t>
      </w:r>
    </w:p>
    <w:bookmarkEnd w:id="1750"/>
    <w:bookmarkEnd w:id="1751"/>
    <w:bookmarkStart w:id="1760" w:name="X6bdfe849b7a59f3d091b72c79f0956f471bad01"/>
    <w:p>
      <w:pPr>
        <w:pStyle w:val="Heading1"/>
      </w:pPr>
      <w:r>
        <w:t xml:space="preserve">Check If a String Contains Only Alphanumeric Characters</w:t>
      </w:r>
    </w:p>
    <w:bookmarkStart w:id="1752" w:name="overview-126"/>
    <w:p>
      <w:pPr>
        <w:pStyle w:val="Heading2"/>
      </w:pPr>
      <w:r>
        <w:t xml:space="preserve">Overview</w:t>
      </w:r>
    </w:p>
    <w:p>
      <w:pPr>
        <w:pStyle w:val="FirstParagraph"/>
      </w:pPr>
      <w:r>
        <w:t xml:space="preserve">Determines whether every character in a string is an ASCII alphanumeric character (a–z, A–Z, or 0–9).</w:t>
      </w:r>
    </w:p>
    <w:bookmarkEnd w:id="1752"/>
    <w:bookmarkStart w:id="1753" w:name="prerequisites-8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53"/>
    <w:bookmarkStart w:id="1754" w:name="syntax-143"/>
    <w:p>
      <w:pPr>
        <w:pStyle w:val="Heading2"/>
      </w:pPr>
      <w:r>
        <w:t xml:space="preserve">Syntax</w:t>
      </w:r>
    </w:p>
    <w:p>
      <w:pPr>
        <w:pStyle w:val="SourceCode"/>
      </w:pPr>
      <w:r>
        <w:rPr>
          <w:rStyle w:val="NormalTok"/>
        </w:rPr>
        <w:t xml:space="preserve">result = ax.AxCtypeAlnum(str)</w:t>
      </w:r>
    </w:p>
    <w:bookmarkEnd w:id="1754"/>
    <w:bookmarkStart w:id="1755" w:name="parameters-7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str</w:t>
            </w:r>
          </w:p>
        </w:tc>
        <w:tc>
          <w:tcPr/>
          <w:p>
            <w:pPr>
              <w:pStyle w:val="Compact"/>
            </w:pPr>
            <w:r>
              <w:t xml:space="preserve">String</w:t>
            </w:r>
          </w:p>
        </w:tc>
        <w:tc>
          <w:tcPr/>
          <w:p>
            <w:pPr>
              <w:pStyle w:val="Compact"/>
            </w:pPr>
            <w:r>
              <w:t xml:space="preserve">Yes</w:t>
            </w:r>
          </w:p>
        </w:tc>
        <w:tc>
          <w:tcPr/>
          <w:p>
            <w:pPr>
              <w:pStyle w:val="Compact"/>
            </w:pPr>
            <w:r>
              <w:t xml:space="preserve">The string to test.</w:t>
            </w:r>
          </w:p>
        </w:tc>
      </w:tr>
    </w:tbl>
    <w:bookmarkEnd w:id="1755"/>
    <w:bookmarkStart w:id="1756" w:name="return-value-89"/>
    <w:p>
      <w:pPr>
        <w:pStyle w:val="Heading2"/>
      </w:pPr>
      <w:r>
        <w:t xml:space="preserve">Return Value</w:t>
      </w:r>
    </w:p>
    <w:p>
      <w:pPr>
        <w:pStyle w:val="Compact"/>
        <w:numPr>
          <w:ilvl w:val="0"/>
          <w:numId w:val="1522"/>
        </w:numPr>
      </w:pPr>
      <w:r>
        <w:rPr>
          <w:b/>
          <w:bCs/>
        </w:rPr>
        <w:t xml:space="preserve">Boolean</w:t>
      </w:r>
      <w:r>
        <w:rPr>
          <w:b/>
          <w:bCs/>
        </w:rPr>
        <w:t xml:space="preserve"> </w:t>
      </w:r>
      <w:r>
        <w:rPr>
          <w:rStyle w:val="VerbatimChar"/>
          <w:b/>
          <w:bCs/>
        </w:rPr>
        <w:t xml:space="preserve">True</w:t>
      </w:r>
      <w:r>
        <w:t xml:space="preserve">: All characters in the string are ASCII alphanumeric.</w:t>
      </w:r>
    </w:p>
    <w:p>
      <w:pPr>
        <w:pStyle w:val="Compact"/>
        <w:numPr>
          <w:ilvl w:val="0"/>
          <w:numId w:val="1522"/>
        </w:numPr>
      </w:pPr>
      <w:r>
        <w:rPr>
          <w:b/>
          <w:bCs/>
        </w:rPr>
        <w:t xml:space="preserve">Boolean</w:t>
      </w:r>
      <w:r>
        <w:rPr>
          <w:b/>
          <w:bCs/>
        </w:rPr>
        <w:t xml:space="preserve"> </w:t>
      </w:r>
      <w:r>
        <w:rPr>
          <w:rStyle w:val="VerbatimChar"/>
          <w:b/>
          <w:bCs/>
        </w:rPr>
        <w:t xml:space="preserve">False</w:t>
      </w:r>
      <w:r>
        <w:t xml:space="preserve">: The string contains non-alphanumeric characters, the string is empty, or no argument was supplied.</w:t>
      </w:r>
    </w:p>
    <w:bookmarkEnd w:id="1756"/>
    <w:bookmarkStart w:id="1757" w:name="remarks-155"/>
    <w:p>
      <w:pPr>
        <w:pStyle w:val="Heading2"/>
      </w:pPr>
      <w:r>
        <w:t xml:space="preserve">Remarks</w:t>
      </w:r>
    </w:p>
    <w:p>
      <w:pPr>
        <w:pStyle w:val="Compact"/>
        <w:numPr>
          <w:ilvl w:val="0"/>
          <w:numId w:val="1523"/>
        </w:numPr>
      </w:pPr>
      <w:r>
        <w:t xml:space="preserve">Only ASCII letters</w:t>
      </w:r>
      <w:r>
        <w:t xml:space="preserve"> </w:t>
      </w:r>
      <w:r>
        <w:rPr>
          <w:rStyle w:val="VerbatimChar"/>
        </w:rPr>
        <w:t xml:space="preserve">A</w:t>
      </w:r>
      <w:r>
        <w:t xml:space="preserve">–</w:t>
      </w:r>
      <w:r>
        <w:rPr>
          <w:rStyle w:val="VerbatimChar"/>
        </w:rPr>
        <w:t xml:space="preserve">Z</w:t>
      </w:r>
      <w:r>
        <w:t xml:space="preserve">,</w:t>
      </w:r>
      <w:r>
        <w:t xml:space="preserve"> </w:t>
      </w:r>
      <w:r>
        <w:rPr>
          <w:rStyle w:val="VerbatimChar"/>
        </w:rPr>
        <w:t xml:space="preserve">a</w:t>
      </w:r>
      <w:r>
        <w:t xml:space="preserve">–</w:t>
      </w:r>
      <w:r>
        <w:rPr>
          <w:rStyle w:val="VerbatimChar"/>
        </w:rPr>
        <w:t xml:space="preserve">z</w:t>
      </w:r>
      <w:r>
        <w:t xml:space="preserve">, and digits</w:t>
      </w:r>
      <w:r>
        <w:t xml:space="preserve"> </w:t>
      </w:r>
      <w:r>
        <w:rPr>
          <w:rStyle w:val="VerbatimChar"/>
        </w:rPr>
        <w:t xml:space="preserve">0</w:t>
      </w:r>
      <w:r>
        <w:t xml:space="preserve">–</w:t>
      </w:r>
      <w:r>
        <w:rPr>
          <w:rStyle w:val="VerbatimChar"/>
        </w:rPr>
        <w:t xml:space="preserve">9</w:t>
      </w:r>
      <w:r>
        <w:t xml:space="preserve"> </w:t>
      </w:r>
      <w:r>
        <w:t xml:space="preserve">are considered alphanumeric. Spaces, punctuation, and Unicode characters return</w:t>
      </w:r>
      <w:r>
        <w:t xml:space="preserve"> </w:t>
      </w:r>
      <w:r>
        <w:rPr>
          <w:rStyle w:val="VerbatimChar"/>
        </w:rPr>
        <w:t xml:space="preserve">False</w:t>
      </w:r>
      <w:r>
        <w:t xml:space="preserve">.</w:t>
      </w:r>
    </w:p>
    <w:p>
      <w:pPr>
        <w:pStyle w:val="Compact"/>
        <w:numPr>
          <w:ilvl w:val="0"/>
          <w:numId w:val="1523"/>
        </w:numPr>
      </w:pPr>
      <w:r>
        <w:t xml:space="preserve">An empty string always returns</w:t>
      </w:r>
      <w:r>
        <w:t xml:space="preserve"> </w:t>
      </w:r>
      <w:r>
        <w:rPr>
          <w:rStyle w:val="VerbatimChar"/>
        </w:rPr>
        <w:t xml:space="preserve">False</w:t>
      </w:r>
      <w:r>
        <w:t xml:space="preserve">.</w:t>
      </w:r>
    </w:p>
    <w:p>
      <w:pPr>
        <w:pStyle w:val="Compact"/>
        <w:numPr>
          <w:ilvl w:val="0"/>
          <w:numId w:val="1523"/>
        </w:numPr>
      </w:pPr>
      <w:r>
        <w:t xml:space="preserve">Method names are case-insensitive.</w:t>
      </w:r>
    </w:p>
    <w:bookmarkEnd w:id="1757"/>
    <w:bookmarkStart w:id="1758" w:name="example-9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ax.AxCtypeAlnum</w:t>
      </w:r>
      <w:r>
        <w:rPr>
          <w:rStyle w:val="OtherTok"/>
        </w:rPr>
        <w:t xml:space="preserve">(</w:t>
      </w:r>
      <w:r>
        <w:rPr>
          <w:rStyle w:val="StringTok"/>
        </w:rPr>
        <w:t xml:space="preserve">"AxonASP2026"</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w:t>
      </w:r>
      <w:r>
        <w:br/>
      </w:r>
      <w:r>
        <w:rPr>
          <w:rStyle w:val="FunctionTok"/>
        </w:rPr>
        <w:t xml:space="preserve">Response</w:t>
      </w:r>
      <w:r>
        <w:rPr>
          <w:rStyle w:val="NormalTok"/>
        </w:rPr>
        <w:t xml:space="preserve">.</w:t>
      </w:r>
      <w:r>
        <w:rPr>
          <w:rStyle w:val="FunctionTok"/>
        </w:rPr>
        <w:t xml:space="preserve">Write</w:t>
      </w:r>
      <w:r>
        <w:rPr>
          <w:rStyle w:val="NormalTok"/>
        </w:rPr>
        <w:t xml:space="preserve"> ax.AxCtypeAlnum</w:t>
      </w:r>
      <w:r>
        <w:rPr>
          <w:rStyle w:val="OtherTok"/>
        </w:rPr>
        <w:t xml:space="preserve">(</w:t>
      </w:r>
      <w:r>
        <w:rPr>
          <w:rStyle w:val="StringTok"/>
        </w:rPr>
        <w:t xml:space="preserve">"Axon-ASP"</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 (hyphen)</w:t>
      </w:r>
      <w:r>
        <w:br/>
      </w:r>
      <w:r>
        <w:rPr>
          <w:rStyle w:val="FunctionTok"/>
        </w:rPr>
        <w:t xml:space="preserve">Response</w:t>
      </w:r>
      <w:r>
        <w:rPr>
          <w:rStyle w:val="NormalTok"/>
        </w:rPr>
        <w:t xml:space="preserve">.</w:t>
      </w:r>
      <w:r>
        <w:rPr>
          <w:rStyle w:val="FunctionTok"/>
        </w:rPr>
        <w:t xml:space="preserve">Write</w:t>
      </w:r>
      <w:r>
        <w:rPr>
          <w:rStyle w:val="NormalTok"/>
        </w:rPr>
        <w:t xml:space="preserve"> ax.AxCtypeAlnum</w:t>
      </w:r>
      <w:r>
        <w:rPr>
          <w:rStyle w:val="OtherTok"/>
        </w:rPr>
        <w:t xml:space="preserve">(</w:t>
      </w:r>
      <w:r>
        <w:rPr>
          <w:rStyle w:val="StringTok"/>
        </w:rPr>
        <w:t xml:space="preserv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 (empty)</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58"/>
    <w:bookmarkStart w:id="1759" w:name="api-reference-86"/>
    <w:p>
      <w:pPr>
        <w:pStyle w:val="Heading2"/>
      </w:pPr>
      <w:r>
        <w:t xml:space="preserve">API Reference</w:t>
      </w:r>
    </w:p>
    <w:p>
      <w:pPr>
        <w:pStyle w:val="Compact"/>
        <w:numPr>
          <w:ilvl w:val="0"/>
          <w:numId w:val="1524"/>
        </w:numPr>
      </w:pPr>
      <w:r>
        <w:rPr>
          <w:b/>
          <w:bCs/>
        </w:rPr>
        <w:t xml:space="preserve">Object</w:t>
      </w:r>
      <w:r>
        <w:t xml:space="preserve">:</w:t>
      </w:r>
      <w:r>
        <w:t xml:space="preserve"> </w:t>
      </w:r>
      <w:r>
        <w:rPr>
          <w:rStyle w:val="VerbatimChar"/>
        </w:rPr>
        <w:t xml:space="preserve">G3AXON.FUNCTIONS</w:t>
      </w:r>
    </w:p>
    <w:p>
      <w:pPr>
        <w:pStyle w:val="Compact"/>
        <w:numPr>
          <w:ilvl w:val="0"/>
          <w:numId w:val="1524"/>
        </w:numPr>
      </w:pPr>
      <w:r>
        <w:rPr>
          <w:b/>
          <w:bCs/>
        </w:rPr>
        <w:t xml:space="preserve">Method</w:t>
      </w:r>
      <w:r>
        <w:t xml:space="preserve">:</w:t>
      </w:r>
      <w:r>
        <w:t xml:space="preserve"> </w:t>
      </w:r>
      <w:r>
        <w:rPr>
          <w:rStyle w:val="VerbatimChar"/>
        </w:rPr>
        <w:t xml:space="preserve">AxCtypeAlnum</w:t>
      </w:r>
    </w:p>
    <w:p>
      <w:pPr>
        <w:pStyle w:val="Compact"/>
        <w:numPr>
          <w:ilvl w:val="0"/>
          <w:numId w:val="1524"/>
        </w:numPr>
      </w:pPr>
      <w:r>
        <w:rPr>
          <w:b/>
          <w:bCs/>
        </w:rPr>
        <w:t xml:space="preserve">Arguments</w:t>
      </w:r>
      <w:r>
        <w:t xml:space="preserve">:</w:t>
      </w:r>
      <w:r>
        <w:t xml:space="preserve"> </w:t>
      </w:r>
      <w:r>
        <w:rPr>
          <w:rStyle w:val="VerbatimChar"/>
        </w:rPr>
        <w:t xml:space="preserve">str</w:t>
      </w:r>
      <w:r>
        <w:t xml:space="preserve"> </w:t>
      </w:r>
      <w:r>
        <w:t xml:space="preserve">(String, required)</w:t>
      </w:r>
    </w:p>
    <w:p>
      <w:pPr>
        <w:pStyle w:val="Compact"/>
        <w:numPr>
          <w:ilvl w:val="0"/>
          <w:numId w:val="1524"/>
        </w:numPr>
      </w:pPr>
      <w:r>
        <w:rPr>
          <w:b/>
          <w:bCs/>
        </w:rPr>
        <w:t xml:space="preserve">Returns</w:t>
      </w:r>
      <w:r>
        <w:t xml:space="preserve">: Boolean —</w:t>
      </w:r>
      <w:r>
        <w:t xml:space="preserve"> </w:t>
      </w:r>
      <w:r>
        <w:rPr>
          <w:rStyle w:val="VerbatimChar"/>
        </w:rPr>
        <w:t xml:space="preserve">True</w:t>
      </w:r>
      <w:r>
        <w:t xml:space="preserve"> </w:t>
      </w:r>
      <w:r>
        <w:t xml:space="preserve">if all characters are ASCII alphanumeric;</w:t>
      </w:r>
      <w:r>
        <w:t xml:space="preserve"> </w:t>
      </w:r>
      <w:r>
        <w:rPr>
          <w:rStyle w:val="VerbatimChar"/>
        </w:rPr>
        <w:t xml:space="preserve">False</w:t>
      </w:r>
      <w:r>
        <w:t xml:space="preserve"> </w:t>
      </w:r>
      <w:r>
        <w:t xml:space="preserve">otherwise</w:t>
      </w:r>
    </w:p>
    <w:bookmarkEnd w:id="1759"/>
    <w:bookmarkEnd w:id="1760"/>
    <w:bookmarkStart w:id="1774" w:name="check-if-a-value-is-empty"/>
    <w:p>
      <w:pPr>
        <w:pStyle w:val="Heading1"/>
      </w:pPr>
      <w:r>
        <w:t xml:space="preserve">Check If a Value Is Empty</w:t>
      </w:r>
    </w:p>
    <w:bookmarkStart w:id="1761" w:name="overview-127"/>
    <w:p>
      <w:pPr>
        <w:pStyle w:val="Heading2"/>
      </w:pPr>
      <w:r>
        <w:t xml:space="preserve">Overview</w:t>
      </w:r>
    </w:p>
    <w:p>
      <w:pPr>
        <w:pStyle w:val="FirstParagraph"/>
      </w:pPr>
      <w:r>
        <w:t xml:space="preserve">Determines whether a value is considered empty under extended criteria that covers uninitialized variables, null values, zero-like values, and empty strings.</w:t>
      </w:r>
    </w:p>
    <w:bookmarkEnd w:id="1761"/>
    <w:bookmarkStart w:id="1762" w:name="prerequisites-8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62"/>
    <w:bookmarkStart w:id="1763" w:name="syntax-144"/>
    <w:p>
      <w:pPr>
        <w:pStyle w:val="Heading2"/>
      </w:pPr>
      <w:r>
        <w:t xml:space="preserve">Syntax</w:t>
      </w:r>
    </w:p>
    <w:p>
      <w:pPr>
        <w:pStyle w:val="SourceCode"/>
      </w:pPr>
      <w:r>
        <w:rPr>
          <w:rStyle w:val="NormalTok"/>
        </w:rPr>
        <w:t xml:space="preserve">result = ax.AxEmpty(value)</w:t>
      </w:r>
    </w:p>
    <w:bookmarkEnd w:id="1763"/>
    <w:bookmarkStart w:id="1764" w:name="parameters-74"/>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value</w:t>
            </w:r>
          </w:p>
        </w:tc>
        <w:tc>
          <w:tcPr/>
          <w:p>
            <w:pPr>
              <w:pStyle w:val="Compact"/>
            </w:pPr>
            <w:r>
              <w:t xml:space="preserve">Variant</w:t>
            </w:r>
          </w:p>
        </w:tc>
        <w:tc>
          <w:tcPr/>
          <w:p>
            <w:pPr>
              <w:pStyle w:val="Compact"/>
            </w:pPr>
            <w:r>
              <w:t xml:space="preserve">Yes</w:t>
            </w:r>
          </w:p>
        </w:tc>
        <w:tc>
          <w:tcPr/>
          <w:p>
            <w:pPr>
              <w:pStyle w:val="Compact"/>
            </w:pPr>
            <w:r>
              <w:t xml:space="preserve">The value to test for emptiness.</w:t>
            </w:r>
          </w:p>
        </w:tc>
      </w:tr>
    </w:tbl>
    <w:bookmarkEnd w:id="1764"/>
    <w:bookmarkStart w:id="1765" w:name="return-value-90"/>
    <w:p>
      <w:pPr>
        <w:pStyle w:val="Heading2"/>
      </w:pPr>
      <w:r>
        <w:t xml:space="preserve">Return Value</w:t>
      </w:r>
    </w:p>
    <w:p>
      <w:pPr>
        <w:pStyle w:val="Compact"/>
        <w:numPr>
          <w:ilvl w:val="0"/>
          <w:numId w:val="1525"/>
        </w:numPr>
      </w:pPr>
      <w:r>
        <w:rPr>
          <w:b/>
          <w:bCs/>
        </w:rPr>
        <w:t xml:space="preserve">Boolean</w:t>
      </w:r>
      <w:r>
        <w:rPr>
          <w:b/>
          <w:bCs/>
        </w:rPr>
        <w:t xml:space="preserve"> </w:t>
      </w:r>
      <w:r>
        <w:rPr>
          <w:rStyle w:val="VerbatimChar"/>
          <w:b/>
          <w:bCs/>
        </w:rPr>
        <w:t xml:space="preserve">True</w:t>
      </w:r>
      <w:r>
        <w:t xml:space="preserve">: The value is</w:t>
      </w:r>
      <w:r>
        <w:t xml:space="preserve"> </w:t>
      </w:r>
      <w:r>
        <w:rPr>
          <w:rStyle w:val="VerbatimChar"/>
        </w:rPr>
        <w:t xml:space="preserve">Empty</w:t>
      </w:r>
      <w:r>
        <w:t xml:space="preserve">,</w:t>
      </w:r>
      <w:r>
        <w:t xml:space="preserve"> </w:t>
      </w:r>
      <w:r>
        <w:rPr>
          <w:rStyle w:val="VerbatimChar"/>
        </w:rPr>
        <w:t xml:space="preserve">Null</w:t>
      </w:r>
      <w:r>
        <w:t xml:space="preserve">, an empty string (</w:t>
      </w:r>
      <w:r>
        <w:rPr>
          <w:rStyle w:val="VerbatimChar"/>
        </w:rPr>
        <w:t xml:space="preserve">""</w:t>
      </w:r>
      <w:r>
        <w:t xml:space="preserve">), Integer</w:t>
      </w:r>
      <w:r>
        <w:t xml:space="preserve"> </w:t>
      </w:r>
      <w:r>
        <w:rPr>
          <w:rStyle w:val="VerbatimChar"/>
        </w:rPr>
        <w:t xml:space="preserve">0</w:t>
      </w:r>
      <w:r>
        <w:t xml:space="preserve">, Double</w:t>
      </w:r>
      <w:r>
        <w:t xml:space="preserve"> </w:t>
      </w:r>
      <w:r>
        <w:rPr>
          <w:rStyle w:val="VerbatimChar"/>
        </w:rPr>
        <w:t xml:space="preserve">0.0</w:t>
      </w:r>
      <w:r>
        <w:t xml:space="preserve">, or Boolean</w:t>
      </w:r>
      <w:r>
        <w:t xml:space="preserve"> </w:t>
      </w:r>
      <w:r>
        <w:rPr>
          <w:rStyle w:val="VerbatimChar"/>
        </w:rPr>
        <w:t xml:space="preserve">False</w:t>
      </w:r>
      <w:r>
        <w:t xml:space="preserve">.</w:t>
      </w:r>
    </w:p>
    <w:p>
      <w:pPr>
        <w:pStyle w:val="Compact"/>
        <w:numPr>
          <w:ilvl w:val="0"/>
          <w:numId w:val="1525"/>
        </w:numPr>
      </w:pPr>
      <w:r>
        <w:rPr>
          <w:b/>
          <w:bCs/>
        </w:rPr>
        <w:t xml:space="preserve">Boolean</w:t>
      </w:r>
      <w:r>
        <w:rPr>
          <w:b/>
          <w:bCs/>
        </w:rPr>
        <w:t xml:space="preserve"> </w:t>
      </w:r>
      <w:r>
        <w:rPr>
          <w:rStyle w:val="VerbatimChar"/>
          <w:b/>
          <w:bCs/>
        </w:rPr>
        <w:t xml:space="preserve">False</w:t>
      </w:r>
      <w:r>
        <w:t xml:space="preserve">: The value is any other non-empty, non-zero value.</w:t>
      </w:r>
    </w:p>
    <w:bookmarkEnd w:id="1765"/>
    <w:bookmarkStart w:id="1766" w:name="remarks-156"/>
    <w:p>
      <w:pPr>
        <w:pStyle w:val="Heading2"/>
      </w:pPr>
      <w:r>
        <w:t xml:space="preserve">Remarks</w:t>
      </w:r>
    </w:p>
    <w:p>
      <w:pPr>
        <w:pStyle w:val="Compact"/>
        <w:numPr>
          <w:ilvl w:val="0"/>
          <w:numId w:val="1526"/>
        </w:numPr>
      </w:pPr>
      <w:r>
        <w:t xml:space="preserve">This method provides a single call to replace multiple</w:t>
      </w:r>
      <w:r>
        <w:t xml:space="preserve"> </w:t>
      </w:r>
      <w:r>
        <w:rPr>
          <w:rStyle w:val="VerbatimChar"/>
        </w:rPr>
        <w:t xml:space="preserve">IsEmpty</w:t>
      </w:r>
      <w:r>
        <w:t xml:space="preserve">,</w:t>
      </w:r>
      <w:r>
        <w:t xml:space="preserve"> </w:t>
      </w:r>
      <w:r>
        <w:rPr>
          <w:rStyle w:val="VerbatimChar"/>
        </w:rPr>
        <w:t xml:space="preserve">IsNull</w:t>
      </w:r>
      <w:r>
        <w:t xml:space="preserve">, and zero-comparison checks.</w:t>
      </w:r>
    </w:p>
    <w:p>
      <w:pPr>
        <w:pStyle w:val="Compact"/>
        <w:numPr>
          <w:ilvl w:val="0"/>
          <w:numId w:val="1526"/>
        </w:numPr>
      </w:pPr>
      <w:r>
        <w:t xml:space="preserve">Use</w:t>
      </w:r>
      <w:r>
        <w:t xml:space="preserve"> </w:t>
      </w:r>
      <w:r>
        <w:rPr>
          <w:rStyle w:val="VerbatimChar"/>
        </w:rPr>
        <w:t xml:space="preserve">AxIsSet</w:t>
      </w:r>
      <w:r>
        <w:t xml:space="preserve"> </w:t>
      </w:r>
      <w:r>
        <w:t xml:space="preserve">for the inverse check (value is initialized and not null).</w:t>
      </w:r>
    </w:p>
    <w:p>
      <w:pPr>
        <w:pStyle w:val="Compact"/>
        <w:numPr>
          <w:ilvl w:val="0"/>
          <w:numId w:val="1526"/>
        </w:numPr>
      </w:pPr>
      <w:r>
        <w:t xml:space="preserve">Method names are case-insensitive.</w:t>
      </w:r>
    </w:p>
    <w:bookmarkEnd w:id="1766"/>
    <w:bookmarkStart w:id="1767" w:name="example-9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ax.AxEmpty</w:t>
      </w:r>
      <w:r>
        <w:rPr>
          <w:rStyle w:val="OtherTok"/>
        </w:rPr>
        <w:t xml:space="preserve">(</w:t>
      </w:r>
      <w:r>
        <w:rPr>
          <w:rStyle w:val="StringTok"/>
        </w:rPr>
        <w:t xml:space="preserv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w:t>
      </w:r>
      <w:r>
        <w:br/>
      </w:r>
      <w:r>
        <w:rPr>
          <w:rStyle w:val="FunctionTok"/>
        </w:rPr>
        <w:t xml:space="preserve">Response</w:t>
      </w:r>
      <w:r>
        <w:rPr>
          <w:rStyle w:val="NormalTok"/>
        </w:rPr>
        <w:t xml:space="preserve">.</w:t>
      </w:r>
      <w:r>
        <w:rPr>
          <w:rStyle w:val="FunctionTok"/>
        </w:rPr>
        <w:t xml:space="preserve">Write</w:t>
      </w:r>
      <w:r>
        <w:rPr>
          <w:rStyle w:val="NormalTok"/>
        </w:rPr>
        <w:t xml:space="preserve"> ax.AxEmpty</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w:t>
      </w:r>
      <w:r>
        <w:br/>
      </w:r>
      <w:r>
        <w:rPr>
          <w:rStyle w:val="FunctionTok"/>
        </w:rPr>
        <w:t xml:space="preserve">Response</w:t>
      </w:r>
      <w:r>
        <w:rPr>
          <w:rStyle w:val="NormalTok"/>
        </w:rPr>
        <w:t xml:space="preserve">.</w:t>
      </w:r>
      <w:r>
        <w:rPr>
          <w:rStyle w:val="FunctionTok"/>
        </w:rPr>
        <w:t xml:space="preserve">Write</w:t>
      </w:r>
      <w:r>
        <w:rPr>
          <w:rStyle w:val="NormalTok"/>
        </w:rPr>
        <w:t xml:space="preserve"> ax.AxEmpty</w:t>
      </w:r>
      <w:r>
        <w:rPr>
          <w:rStyle w:val="OtherTok"/>
        </w:rPr>
        <w:t xml:space="preserve">(</w:t>
      </w:r>
      <w:r>
        <w:rPr>
          <w:rStyle w:val="KeywordTok"/>
        </w:rPr>
        <w:t xml:space="preserve">False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w:t>
      </w:r>
      <w:r>
        <w:br/>
      </w:r>
      <w:r>
        <w:rPr>
          <w:rStyle w:val="FunctionTok"/>
        </w:rPr>
        <w:t xml:space="preserve">Response</w:t>
      </w:r>
      <w:r>
        <w:rPr>
          <w:rStyle w:val="NormalTok"/>
        </w:rPr>
        <w:t xml:space="preserve">.</w:t>
      </w:r>
      <w:r>
        <w:rPr>
          <w:rStyle w:val="FunctionTok"/>
        </w:rPr>
        <w:t xml:space="preserve">Write</w:t>
      </w:r>
      <w:r>
        <w:rPr>
          <w:rStyle w:val="NormalTok"/>
        </w:rPr>
        <w:t xml:space="preserve"> ax.AxEmpty</w:t>
      </w:r>
      <w:r>
        <w:rPr>
          <w:rStyle w:val="OtherTok"/>
        </w:rPr>
        <w:t xml:space="preserve">(</w:t>
      </w:r>
      <w:r>
        <w:rPr>
          <w:rStyle w:val="StringTok"/>
        </w:rPr>
        <w:t xml:space="preserve">"hello"</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w:t>
      </w:r>
      <w:r>
        <w:br/>
      </w:r>
      <w:r>
        <w:rPr>
          <w:rStyle w:val="FunctionTok"/>
        </w:rPr>
        <w:t xml:space="preserve">Response</w:t>
      </w:r>
      <w:r>
        <w:rPr>
          <w:rStyle w:val="NormalTok"/>
        </w:rPr>
        <w:t xml:space="preserve">.</w:t>
      </w:r>
      <w:r>
        <w:rPr>
          <w:rStyle w:val="FunctionTok"/>
        </w:rPr>
        <w:t xml:space="preserve">Write</w:t>
      </w:r>
      <w:r>
        <w:rPr>
          <w:rStyle w:val="NormalTok"/>
        </w:rPr>
        <w:t xml:space="preserve"> ax.AxEmpty</w:t>
      </w:r>
      <w:r>
        <w:rPr>
          <w:rStyle w:val="OtherTok"/>
        </w:rPr>
        <w:t xml:space="preserve">(</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67"/>
    <w:bookmarkStart w:id="1768" w:name="api-reference-87"/>
    <w:p>
      <w:pPr>
        <w:pStyle w:val="Heading2"/>
      </w:pPr>
      <w:r>
        <w:t xml:space="preserve">API Reference</w:t>
      </w:r>
    </w:p>
    <w:p>
      <w:pPr>
        <w:pStyle w:val="Compact"/>
        <w:numPr>
          <w:ilvl w:val="0"/>
          <w:numId w:val="1527"/>
        </w:numPr>
      </w:pPr>
      <w:r>
        <w:rPr>
          <w:b/>
          <w:bCs/>
        </w:rPr>
        <w:t xml:space="preserve">Object</w:t>
      </w:r>
      <w:r>
        <w:t xml:space="preserve">:</w:t>
      </w:r>
      <w:r>
        <w:t xml:space="preserve"> </w:t>
      </w:r>
      <w:r>
        <w:rPr>
          <w:rStyle w:val="VerbatimChar"/>
        </w:rPr>
        <w:t xml:space="preserve">G3AXON.FUNCTIONS</w:t>
      </w:r>
    </w:p>
    <w:p>
      <w:pPr>
        <w:pStyle w:val="Compact"/>
        <w:numPr>
          <w:ilvl w:val="0"/>
          <w:numId w:val="1527"/>
        </w:numPr>
      </w:pPr>
      <w:r>
        <w:rPr>
          <w:b/>
          <w:bCs/>
        </w:rPr>
        <w:t xml:space="preserve">Method</w:t>
      </w:r>
      <w:r>
        <w:t xml:space="preserve">:</w:t>
      </w:r>
      <w:r>
        <w:t xml:space="preserve"> </w:t>
      </w:r>
      <w:r>
        <w:rPr>
          <w:rStyle w:val="VerbatimChar"/>
        </w:rPr>
        <w:t xml:space="preserve">AxEmpty</w:t>
      </w:r>
    </w:p>
    <w:p>
      <w:pPr>
        <w:pStyle w:val="Compact"/>
        <w:numPr>
          <w:ilvl w:val="0"/>
          <w:numId w:val="1527"/>
        </w:numPr>
      </w:pPr>
      <w:r>
        <w:rPr>
          <w:b/>
          <w:bCs/>
        </w:rPr>
        <w:t xml:space="preserve">Arguments</w:t>
      </w:r>
      <w:r>
        <w:t xml:space="preserve">:</w:t>
      </w:r>
      <w:r>
        <w:t xml:space="preserve"> </w:t>
      </w:r>
      <w:r>
        <w:rPr>
          <w:rStyle w:val="VerbatimChar"/>
        </w:rPr>
        <w:t xml:space="preserve">value</w:t>
      </w:r>
      <w:r>
        <w:t xml:space="preserve"> </w:t>
      </w:r>
      <w:r>
        <w:t xml:space="preserve">(Variant, required)</w:t>
      </w:r>
    </w:p>
    <w:p>
      <w:pPr>
        <w:pStyle w:val="Compact"/>
        <w:numPr>
          <w:ilvl w:val="0"/>
          <w:numId w:val="1527"/>
        </w:numPr>
      </w:pPr>
      <w:r>
        <w:rPr>
          <w:b/>
          <w:bCs/>
        </w:rPr>
        <w:t xml:space="preserve">Returns</w:t>
      </w:r>
      <w:r>
        <w:t xml:space="preserve">: Boolean —</w:t>
      </w:r>
      <w:r>
        <w:t xml:space="preserve"> </w:t>
      </w:r>
      <w:r>
        <w:rPr>
          <w:rStyle w:val="VerbatimChar"/>
        </w:rPr>
        <w:t xml:space="preserve">True</w:t>
      </w:r>
      <w:r>
        <w:t xml:space="preserve"> </w:t>
      </w:r>
      <w:r>
        <w:t xml:space="preserve">if empty/null/zero-like;</w:t>
      </w:r>
      <w:r>
        <w:t xml:space="preserve"> </w:t>
      </w:r>
      <w:r>
        <w:rPr>
          <w:rStyle w:val="VerbatimChar"/>
        </w:rPr>
        <w:t xml:space="preserve">False</w:t>
      </w:r>
      <w:r>
        <w:t xml:space="preserve"> </w:t>
      </w:r>
      <w:r>
        <w:t xml:space="preserve">otherwise</w:t>
      </w:r>
      <w:r>
        <w:t xml:space="preserve"> </w:t>
      </w:r>
      <w:r>
        <w:t xml:space="preserve">End If</w:t>
      </w:r>
    </w:p>
    <w:p>
      <w:pPr>
        <w:pStyle w:val="FirstParagraph"/>
      </w:pPr>
      <w:r>
        <w:t xml:space="preserve">Set ax = Nothing</w:t>
      </w:r>
      <w:r>
        <w:t xml:space="preserve"> </w:t>
      </w:r>
      <w:r>
        <w:t xml:space="preserve">%&gt;</w:t>
      </w:r>
    </w:p>
    <w:p>
      <w:pPr>
        <w:pStyle w:val="SourceCode"/>
      </w:pPr>
      <w:r>
        <w:br/>
      </w:r>
      <w:r>
        <w:rPr>
          <w:rStyle w:val="VerbatimChar"/>
        </w:rPr>
        <w:t xml:space="preserve"># Check If a Value Is Set</w:t>
      </w:r>
      <w:r>
        <w:br/>
      </w:r>
      <w:r>
        <w:br/>
      </w:r>
      <w:r>
        <w:rPr>
          <w:rStyle w:val="VerbatimChar"/>
        </w:rPr>
        <w:t xml:space="preserve">## Overview</w:t>
      </w:r>
      <w:r>
        <w:br/>
      </w:r>
      <w:r>
        <w:br/>
      </w:r>
      <w:r>
        <w:rPr>
          <w:rStyle w:val="VerbatimChar"/>
        </w:rPr>
        <w:t xml:space="preserve">Determines whether a value has been initialized and is neither `Empty` nor `Null`.</w:t>
      </w:r>
      <w:r>
        <w:br/>
      </w:r>
      <w:r>
        <w:br/>
      </w:r>
      <w:r>
        <w:rPr>
          <w:rStyle w:val="VerbatimChar"/>
        </w:rPr>
        <w:t xml:space="preserve">## Prerequisites</w:t>
      </w:r>
      <w:r>
        <w:br/>
      </w:r>
      <w:r>
        <w:br/>
      </w:r>
      <w:r>
        <w:rPr>
          <w:rStyle w:val="VerbatimChar"/>
        </w:rPr>
        <w:t xml:space="preserve">Instantiate the library with `Server.CreateObject("G3AXON.FUNCTIONS")`.</w:t>
      </w:r>
      <w:r>
        <w:br/>
      </w:r>
      <w:r>
        <w:br/>
      </w:r>
      <w:r>
        <w:rPr>
          <w:rStyle w:val="VerbatimChar"/>
        </w:rPr>
        <w:t xml:space="preserve">## Syntax</w:t>
      </w:r>
      <w:r>
        <w:br/>
      </w:r>
      <w:r>
        <w:br/>
      </w:r>
      <w:r>
        <w:rPr>
          <w:rStyle w:val="VerbatimChar"/>
        </w:rPr>
        <w:t xml:space="preserve">```asp</w:t>
      </w:r>
      <w:r>
        <w:br/>
      </w:r>
      <w:r>
        <w:rPr>
          <w:rStyle w:val="VerbatimChar"/>
        </w:rPr>
        <w:t xml:space="preserve">result = ax.AxIsSet(value)</w:t>
      </w:r>
    </w:p>
    <w:bookmarkEnd w:id="1768"/>
    <w:bookmarkStart w:id="1769" w:name="parameters-75"/>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value</w:t>
            </w:r>
          </w:p>
        </w:tc>
        <w:tc>
          <w:tcPr/>
          <w:p>
            <w:pPr>
              <w:pStyle w:val="Compact"/>
            </w:pPr>
            <w:r>
              <w:t xml:space="preserve">Variant</w:t>
            </w:r>
          </w:p>
        </w:tc>
        <w:tc>
          <w:tcPr/>
          <w:p>
            <w:pPr>
              <w:pStyle w:val="Compact"/>
            </w:pPr>
            <w:r>
              <w:t xml:space="preserve">Yes</w:t>
            </w:r>
          </w:p>
        </w:tc>
        <w:tc>
          <w:tcPr/>
          <w:p>
            <w:pPr>
              <w:pStyle w:val="Compact"/>
            </w:pPr>
            <w:r>
              <w:t xml:space="preserve">The value to inspect.</w:t>
            </w:r>
          </w:p>
        </w:tc>
      </w:tr>
    </w:tbl>
    <w:bookmarkEnd w:id="1769"/>
    <w:bookmarkStart w:id="1770" w:name="return-value-91"/>
    <w:p>
      <w:pPr>
        <w:pStyle w:val="Heading2"/>
      </w:pPr>
      <w:r>
        <w:t xml:space="preserve">Return Value</w:t>
      </w:r>
    </w:p>
    <w:p>
      <w:pPr>
        <w:pStyle w:val="Compact"/>
        <w:numPr>
          <w:ilvl w:val="0"/>
          <w:numId w:val="1528"/>
        </w:numPr>
      </w:pPr>
      <w:r>
        <w:rPr>
          <w:b/>
          <w:bCs/>
        </w:rPr>
        <w:t xml:space="preserve">Boolean</w:t>
      </w:r>
      <w:r>
        <w:rPr>
          <w:b/>
          <w:bCs/>
        </w:rPr>
        <w:t xml:space="preserve"> </w:t>
      </w:r>
      <w:r>
        <w:rPr>
          <w:rStyle w:val="VerbatimChar"/>
          <w:b/>
          <w:bCs/>
        </w:rPr>
        <w:t xml:space="preserve">True</w:t>
      </w:r>
      <w:r>
        <w:t xml:space="preserve">: The value is initialized and is not</w:t>
      </w:r>
      <w:r>
        <w:t xml:space="preserve"> </w:t>
      </w:r>
      <w:r>
        <w:rPr>
          <w:rStyle w:val="VerbatimChar"/>
        </w:rPr>
        <w:t xml:space="preserve">Empty</w:t>
      </w:r>
      <w:r>
        <w:t xml:space="preserve"> </w:t>
      </w:r>
      <w:r>
        <w:t xml:space="preserve">or</w:t>
      </w:r>
      <w:r>
        <w:t xml:space="preserve"> </w:t>
      </w:r>
      <w:r>
        <w:rPr>
          <w:rStyle w:val="VerbatimChar"/>
        </w:rPr>
        <w:t xml:space="preserve">Null</w:t>
      </w:r>
      <w:r>
        <w:t xml:space="preserve">.</w:t>
      </w:r>
    </w:p>
    <w:p>
      <w:pPr>
        <w:pStyle w:val="Compact"/>
        <w:numPr>
          <w:ilvl w:val="0"/>
          <w:numId w:val="1528"/>
        </w:numPr>
      </w:pPr>
      <w:r>
        <w:rPr>
          <w:b/>
          <w:bCs/>
        </w:rPr>
        <w:t xml:space="preserve">Boolean</w:t>
      </w:r>
      <w:r>
        <w:rPr>
          <w:b/>
          <w:bCs/>
        </w:rPr>
        <w:t xml:space="preserve"> </w:t>
      </w:r>
      <w:r>
        <w:rPr>
          <w:rStyle w:val="VerbatimChar"/>
          <w:b/>
          <w:bCs/>
        </w:rPr>
        <w:t xml:space="preserve">False</w:t>
      </w:r>
      <w:r>
        <w:t xml:space="preserve">: The value is</w:t>
      </w:r>
      <w:r>
        <w:t xml:space="preserve"> </w:t>
      </w:r>
      <w:r>
        <w:rPr>
          <w:rStyle w:val="VerbatimChar"/>
        </w:rPr>
        <w:t xml:space="preserve">Empty</w:t>
      </w:r>
      <w:r>
        <w:t xml:space="preserve"> </w:t>
      </w:r>
      <w:r>
        <w:t xml:space="preserve">or</w:t>
      </w:r>
      <w:r>
        <w:t xml:space="preserve"> </w:t>
      </w:r>
      <w:r>
        <w:rPr>
          <w:rStyle w:val="VerbatimChar"/>
        </w:rPr>
        <w:t xml:space="preserve">Null</w:t>
      </w:r>
      <w:r>
        <w:t xml:space="preserve">.</w:t>
      </w:r>
    </w:p>
    <w:bookmarkEnd w:id="1770"/>
    <w:bookmarkStart w:id="1771" w:name="remarks-157"/>
    <w:p>
      <w:pPr>
        <w:pStyle w:val="Heading2"/>
      </w:pPr>
      <w:r>
        <w:t xml:space="preserve">Remarks</w:t>
      </w:r>
    </w:p>
    <w:p>
      <w:pPr>
        <w:pStyle w:val="Compact"/>
        <w:numPr>
          <w:ilvl w:val="0"/>
          <w:numId w:val="1529"/>
        </w:numPr>
      </w:pPr>
      <w:r>
        <w:t xml:space="preserve">This method is the inverse of the VBScript</w:t>
      </w:r>
      <w:r>
        <w:t xml:space="preserve"> </w:t>
      </w:r>
      <w:r>
        <w:rPr>
          <w:rStyle w:val="VerbatimChar"/>
        </w:rPr>
        <w:t xml:space="preserve">IsEmpty</w:t>
      </w:r>
      <w:r>
        <w:t xml:space="preserve"> </w:t>
      </w:r>
      <w:r>
        <w:t xml:space="preserve">and</w:t>
      </w:r>
      <w:r>
        <w:t xml:space="preserve"> </w:t>
      </w:r>
      <w:r>
        <w:rPr>
          <w:rStyle w:val="VerbatimChar"/>
        </w:rPr>
        <w:t xml:space="preserve">IsNull</w:t>
      </w:r>
      <w:r>
        <w:t xml:space="preserve"> </w:t>
      </w:r>
      <w:r>
        <w:t xml:space="preserve">checks combined.</w:t>
      </w:r>
    </w:p>
    <w:p>
      <w:pPr>
        <w:pStyle w:val="Compact"/>
        <w:numPr>
          <w:ilvl w:val="0"/>
          <w:numId w:val="1529"/>
        </w:numPr>
      </w:pPr>
      <w:r>
        <w:t xml:space="preserve">Unlike</w:t>
      </w:r>
      <w:r>
        <w:t xml:space="preserve"> </w:t>
      </w:r>
      <w:r>
        <w:rPr>
          <w:rStyle w:val="VerbatimChar"/>
        </w:rPr>
        <w:t xml:space="preserve">AxEmpty</w:t>
      </w:r>
      <w:r>
        <w:t xml:space="preserve">, this method does not consider zero (</w:t>
      </w:r>
      <w:r>
        <w:rPr>
          <w:rStyle w:val="VerbatimChar"/>
        </w:rPr>
        <w:t xml:space="preserve">0</w:t>
      </w:r>
      <w:r>
        <w:t xml:space="preserve">), empty string (</w:t>
      </w:r>
      <w:r>
        <w:rPr>
          <w:rStyle w:val="VerbatimChar"/>
        </w:rPr>
        <w:t xml:space="preserve">""</w:t>
      </w:r>
      <w:r>
        <w:t xml:space="preserve">), or</w:t>
      </w:r>
      <w:r>
        <w:t xml:space="preserve"> </w:t>
      </w:r>
      <w:r>
        <w:rPr>
          <w:rStyle w:val="VerbatimChar"/>
        </w:rPr>
        <w:t xml:space="preserve">False</w:t>
      </w:r>
      <w:r>
        <w:t xml:space="preserve"> </w:t>
      </w:r>
      <w:r>
        <w:t xml:space="preserve">as unset. Only</w:t>
      </w:r>
      <w:r>
        <w:t xml:space="preserve"> </w:t>
      </w:r>
      <w:r>
        <w:rPr>
          <w:rStyle w:val="VerbatimChar"/>
        </w:rPr>
        <w:t xml:space="preserve">Empty</w:t>
      </w:r>
      <w:r>
        <w:t xml:space="preserve"> </w:t>
      </w:r>
      <w:r>
        <w:t xml:space="preserve">and</w:t>
      </w:r>
      <w:r>
        <w:t xml:space="preserve"> </w:t>
      </w:r>
      <w:r>
        <w:rPr>
          <w:rStyle w:val="VerbatimChar"/>
        </w:rPr>
        <w:t xml:space="preserve">Null</w:t>
      </w:r>
      <w:r>
        <w:t xml:space="preserve"> </w:t>
      </w:r>
      <w:r>
        <w:t xml:space="preserve">return</w:t>
      </w:r>
      <w:r>
        <w:t xml:space="preserve"> </w:t>
      </w:r>
      <w:r>
        <w:rPr>
          <w:rStyle w:val="VerbatimChar"/>
        </w:rPr>
        <w:t xml:space="preserve">False</w:t>
      </w:r>
      <w:r>
        <w:t xml:space="preserve">.</w:t>
      </w:r>
    </w:p>
    <w:p>
      <w:pPr>
        <w:pStyle w:val="Compact"/>
        <w:numPr>
          <w:ilvl w:val="0"/>
          <w:numId w:val="1529"/>
        </w:numPr>
      </w:pPr>
      <w:r>
        <w:t xml:space="preserve">Method names are case-insensitive.</w:t>
      </w:r>
    </w:p>
    <w:bookmarkEnd w:id="1771"/>
    <w:bookmarkStart w:id="1772" w:name="example-9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val</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CommentTok"/>
        </w:rPr>
        <w:t xml:space="preserve">' val is uninitialized (Empty)</w:t>
      </w:r>
      <w:r>
        <w:br/>
      </w:r>
      <w:r>
        <w:rPr>
          <w:rStyle w:val="FunctionTok"/>
        </w:rPr>
        <w:t xml:space="preserve">Response</w:t>
      </w:r>
      <w:r>
        <w:rPr>
          <w:rStyle w:val="NormalTok"/>
        </w:rPr>
        <w:t xml:space="preserve">.</w:t>
      </w:r>
      <w:r>
        <w:rPr>
          <w:rStyle w:val="FunctionTok"/>
        </w:rPr>
        <w:t xml:space="preserve">Write</w:t>
      </w:r>
      <w:r>
        <w:rPr>
          <w:rStyle w:val="NormalTok"/>
        </w:rPr>
        <w:t xml:space="preserve"> ax.AxIsSet</w:t>
      </w:r>
      <w:r>
        <w:rPr>
          <w:rStyle w:val="OtherTok"/>
        </w:rPr>
        <w:t xml:space="preserve">(</w:t>
      </w:r>
      <w:r>
        <w:rPr>
          <w:rStyle w:val="NormalTok"/>
        </w:rPr>
        <w:t xml:space="preserve">val</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False</w:t>
      </w:r>
      <w:r>
        <w:br/>
      </w:r>
      <w:r>
        <w:br/>
      </w:r>
      <w:r>
        <w:rPr>
          <w:rStyle w:val="NormalTok"/>
        </w:rPr>
        <w:t xml:space="preserve">val =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ax.AxIsSet</w:t>
      </w:r>
      <w:r>
        <w:rPr>
          <w:rStyle w:val="OtherTok"/>
        </w:rPr>
        <w:t xml:space="preserve">(</w:t>
      </w:r>
      <w:r>
        <w:rPr>
          <w:rStyle w:val="NormalTok"/>
        </w:rPr>
        <w:t xml:space="preserve">val</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 (0 is a set value)</w:t>
      </w:r>
      <w:r>
        <w:br/>
      </w:r>
      <w:r>
        <w:br/>
      </w:r>
      <w:r>
        <w:rPr>
          <w:rStyle w:val="NormalTok"/>
        </w:rPr>
        <w:t xml:space="preserve">val = </w:t>
      </w:r>
      <w:r>
        <w:rPr>
          <w:rStyle w:val="StringTok"/>
        </w:rPr>
        <w:t xml:space="preserve">"hello"</w:t>
      </w:r>
      <w:r>
        <w:br/>
      </w:r>
      <w:r>
        <w:rPr>
          <w:rStyle w:val="FunctionTok"/>
        </w:rPr>
        <w:t xml:space="preserve">Response</w:t>
      </w:r>
      <w:r>
        <w:rPr>
          <w:rStyle w:val="NormalTok"/>
        </w:rPr>
        <w:t xml:space="preserve">.</w:t>
      </w:r>
      <w:r>
        <w:rPr>
          <w:rStyle w:val="FunctionTok"/>
        </w:rPr>
        <w:t xml:space="preserve">Write</w:t>
      </w:r>
      <w:r>
        <w:rPr>
          <w:rStyle w:val="NormalTok"/>
        </w:rPr>
        <w:t xml:space="preserve"> ax.AxIsSet</w:t>
      </w:r>
      <w:r>
        <w:rPr>
          <w:rStyle w:val="OtherTok"/>
        </w:rPr>
        <w:t xml:space="preserve">(</w:t>
      </w:r>
      <w:r>
        <w:rPr>
          <w:rStyle w:val="NormalTok"/>
        </w:rPr>
        <w:t xml:space="preserve">val</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rPr>
          <w:rStyle w:val="NormalTok"/>
        </w:rPr>
        <w:t xml:space="preserve">   </w:t>
      </w:r>
      <w:r>
        <w:rPr>
          <w:rStyle w:val="CommentTok"/>
        </w:rPr>
        <w:t xml:space="preserve">' True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72"/>
    <w:bookmarkStart w:id="1773" w:name="api-reference-88"/>
    <w:p>
      <w:pPr>
        <w:pStyle w:val="Heading2"/>
      </w:pPr>
      <w:r>
        <w:t xml:space="preserve">API Reference</w:t>
      </w:r>
    </w:p>
    <w:p>
      <w:pPr>
        <w:pStyle w:val="Compact"/>
        <w:numPr>
          <w:ilvl w:val="0"/>
          <w:numId w:val="1530"/>
        </w:numPr>
      </w:pPr>
      <w:r>
        <w:rPr>
          <w:b/>
          <w:bCs/>
        </w:rPr>
        <w:t xml:space="preserve">Object</w:t>
      </w:r>
      <w:r>
        <w:t xml:space="preserve">:</w:t>
      </w:r>
      <w:r>
        <w:t xml:space="preserve"> </w:t>
      </w:r>
      <w:r>
        <w:rPr>
          <w:rStyle w:val="VerbatimChar"/>
        </w:rPr>
        <w:t xml:space="preserve">G3AXON.FUNCTIONS</w:t>
      </w:r>
    </w:p>
    <w:p>
      <w:pPr>
        <w:pStyle w:val="Compact"/>
        <w:numPr>
          <w:ilvl w:val="0"/>
          <w:numId w:val="1530"/>
        </w:numPr>
      </w:pPr>
      <w:r>
        <w:rPr>
          <w:b/>
          <w:bCs/>
        </w:rPr>
        <w:t xml:space="preserve">Method</w:t>
      </w:r>
      <w:r>
        <w:t xml:space="preserve">:</w:t>
      </w:r>
      <w:r>
        <w:t xml:space="preserve"> </w:t>
      </w:r>
      <w:r>
        <w:rPr>
          <w:rStyle w:val="VerbatimChar"/>
        </w:rPr>
        <w:t xml:space="preserve">AxIsSet</w:t>
      </w:r>
    </w:p>
    <w:p>
      <w:pPr>
        <w:pStyle w:val="Compact"/>
        <w:numPr>
          <w:ilvl w:val="0"/>
          <w:numId w:val="1530"/>
        </w:numPr>
      </w:pPr>
      <w:r>
        <w:rPr>
          <w:b/>
          <w:bCs/>
        </w:rPr>
        <w:t xml:space="preserve">Arguments</w:t>
      </w:r>
      <w:r>
        <w:t xml:space="preserve">:</w:t>
      </w:r>
      <w:r>
        <w:t xml:space="preserve"> </w:t>
      </w:r>
      <w:r>
        <w:rPr>
          <w:rStyle w:val="VerbatimChar"/>
        </w:rPr>
        <w:t xml:space="preserve">value</w:t>
      </w:r>
      <w:r>
        <w:t xml:space="preserve"> </w:t>
      </w:r>
      <w:r>
        <w:t xml:space="preserve">(Variant, required)</w:t>
      </w:r>
    </w:p>
    <w:p>
      <w:pPr>
        <w:pStyle w:val="Compact"/>
        <w:numPr>
          <w:ilvl w:val="0"/>
          <w:numId w:val="1530"/>
        </w:numPr>
      </w:pPr>
      <w:r>
        <w:rPr>
          <w:b/>
          <w:bCs/>
        </w:rPr>
        <w:t xml:space="preserve">Returns</w:t>
      </w:r>
      <w:r>
        <w:t xml:space="preserve">: Boolean —</w:t>
      </w:r>
      <w:r>
        <w:t xml:space="preserve"> </w:t>
      </w:r>
      <w:r>
        <w:rPr>
          <w:rStyle w:val="VerbatimChar"/>
        </w:rPr>
        <w:t xml:space="preserve">True</w:t>
      </w:r>
      <w:r>
        <w:t xml:space="preserve"> </w:t>
      </w:r>
      <w:r>
        <w:t xml:space="preserve">if value is not</w:t>
      </w:r>
      <w:r>
        <w:t xml:space="preserve"> </w:t>
      </w:r>
      <w:r>
        <w:rPr>
          <w:rStyle w:val="VerbatimChar"/>
        </w:rPr>
        <w:t xml:space="preserve">Empty</w:t>
      </w:r>
      <w:r>
        <w:t xml:space="preserve"> </w:t>
      </w:r>
      <w:r>
        <w:t xml:space="preserve">or</w:t>
      </w:r>
      <w:r>
        <w:t xml:space="preserve"> </w:t>
      </w:r>
      <w:r>
        <w:rPr>
          <w:rStyle w:val="VerbatimChar"/>
        </w:rPr>
        <w:t xml:space="preserve">Null</w:t>
      </w:r>
      <w:r>
        <w:t xml:space="preserve">;</w:t>
      </w:r>
      <w:r>
        <w:t xml:space="preserve"> </w:t>
      </w:r>
      <w:r>
        <w:rPr>
          <w:rStyle w:val="VerbatimChar"/>
        </w:rPr>
        <w:t xml:space="preserve">False</w:t>
      </w:r>
      <w:r>
        <w:t xml:space="preserve"> </w:t>
      </w:r>
      <w:r>
        <w:t xml:space="preserve">otherwise</w:t>
      </w:r>
    </w:p>
    <w:bookmarkEnd w:id="1773"/>
    <w:bookmarkEnd w:id="1774"/>
    <w:bookmarkStart w:id="1783" w:name="get-the-current-unix-timestamp"/>
    <w:p>
      <w:pPr>
        <w:pStyle w:val="Heading1"/>
      </w:pPr>
      <w:r>
        <w:t xml:space="preserve">Get the Current Unix Timestamp</w:t>
      </w:r>
    </w:p>
    <w:bookmarkStart w:id="1775" w:name="overview-128"/>
    <w:p>
      <w:pPr>
        <w:pStyle w:val="Heading2"/>
      </w:pPr>
      <w:r>
        <w:t xml:space="preserve">Overview</w:t>
      </w:r>
    </w:p>
    <w:p>
      <w:pPr>
        <w:pStyle w:val="FirstParagraph"/>
      </w:pPr>
      <w:r>
        <w:t xml:space="preserve">Returns the number of seconds elapsed since 1970-01-01 00:00:00 UTC (Unix epoch).</w:t>
      </w:r>
    </w:p>
    <w:bookmarkEnd w:id="1775"/>
    <w:bookmarkStart w:id="1776" w:name="prerequisites-8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76"/>
    <w:bookmarkStart w:id="1777" w:name="syntax-145"/>
    <w:p>
      <w:pPr>
        <w:pStyle w:val="Heading2"/>
      </w:pPr>
      <w:r>
        <w:t xml:space="preserve">Syntax</w:t>
      </w:r>
    </w:p>
    <w:p>
      <w:pPr>
        <w:pStyle w:val="SourceCode"/>
      </w:pPr>
      <w:r>
        <w:rPr>
          <w:rStyle w:val="NormalTok"/>
        </w:rPr>
        <w:t xml:space="preserve">result = ax.AxTime()</w:t>
      </w:r>
    </w:p>
    <w:bookmarkEnd w:id="1777"/>
    <w:bookmarkStart w:id="1778" w:name="parameters-76"/>
    <w:p>
      <w:pPr>
        <w:pStyle w:val="Heading2"/>
      </w:pPr>
      <w:r>
        <w:t xml:space="preserve">Parameters</w:t>
      </w:r>
    </w:p>
    <w:p>
      <w:pPr>
        <w:pStyle w:val="FirstParagraph"/>
      </w:pPr>
      <w:r>
        <w:t xml:space="preserve">This method does not accept any parameters.</w:t>
      </w:r>
    </w:p>
    <w:bookmarkEnd w:id="1778"/>
    <w:bookmarkStart w:id="1779" w:name="return-value-92"/>
    <w:p>
      <w:pPr>
        <w:pStyle w:val="Heading2"/>
      </w:pPr>
      <w:r>
        <w:t xml:space="preserve">Return Value</w:t>
      </w:r>
    </w:p>
    <w:p>
      <w:pPr>
        <w:pStyle w:val="Compact"/>
        <w:numPr>
          <w:ilvl w:val="0"/>
          <w:numId w:val="1531"/>
        </w:numPr>
      </w:pPr>
      <w:r>
        <w:rPr>
          <w:b/>
          <w:bCs/>
        </w:rPr>
        <w:t xml:space="preserve">Integer</w:t>
      </w:r>
      <w:r>
        <w:t xml:space="preserve">: The current Unix timestamp in seconds.</w:t>
      </w:r>
    </w:p>
    <w:bookmarkEnd w:id="1779"/>
    <w:bookmarkStart w:id="1780" w:name="remarks-158"/>
    <w:p>
      <w:pPr>
        <w:pStyle w:val="Heading2"/>
      </w:pPr>
      <w:r>
        <w:t xml:space="preserve">Remarks</w:t>
      </w:r>
    </w:p>
    <w:p>
      <w:pPr>
        <w:pStyle w:val="Compact"/>
        <w:numPr>
          <w:ilvl w:val="0"/>
          <w:numId w:val="1532"/>
        </w:numPr>
      </w:pPr>
      <w:r>
        <w:t xml:space="preserve">The returned value reflects the server’s clock in UTC, adjusted for the configured time zone.</w:t>
      </w:r>
    </w:p>
    <w:p>
      <w:pPr>
        <w:pStyle w:val="Compact"/>
        <w:numPr>
          <w:ilvl w:val="0"/>
          <w:numId w:val="1532"/>
        </w:numPr>
      </w:pPr>
      <w:r>
        <w:t xml:space="preserve">Pass the return value to</w:t>
      </w:r>
      <w:r>
        <w:t xml:space="preserve"> </w:t>
      </w:r>
      <w:r>
        <w:rPr>
          <w:rStyle w:val="VerbatimChar"/>
        </w:rPr>
        <w:t xml:space="preserve">AxDate</w:t>
      </w:r>
      <w:r>
        <w:t xml:space="preserve"> </w:t>
      </w:r>
      <w:r>
        <w:t xml:space="preserve">to format it as a readable date/time string.</w:t>
      </w:r>
    </w:p>
    <w:p>
      <w:pPr>
        <w:pStyle w:val="Compact"/>
        <w:numPr>
          <w:ilvl w:val="0"/>
          <w:numId w:val="1532"/>
        </w:numPr>
      </w:pPr>
      <w:r>
        <w:t xml:space="preserve">Method names are case-insensitive.</w:t>
      </w:r>
    </w:p>
    <w:bookmarkEnd w:id="1780"/>
    <w:bookmarkStart w:id="1781" w:name="example-9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ts</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ts = ax.AxTime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"Unix timestamp: "</w:t>
      </w:r>
      <w:r>
        <w:rPr>
          <w:rStyle w:val="NormalTok"/>
        </w:rPr>
        <w:t xml:space="preserve"> </w:t>
      </w:r>
      <w:r>
        <w:rPr>
          <w:rStyle w:val="KeywordTok"/>
        </w:rPr>
        <w:t xml:space="preserve">&amp;</w:t>
      </w:r>
      <w:r>
        <w:rPr>
          <w:rStyle w:val="NormalTok"/>
        </w:rPr>
        <w:t xml:space="preserve"> ts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"Formatted: "</w:t>
      </w:r>
      <w:r>
        <w:rPr>
          <w:rStyle w:val="NormalTok"/>
        </w:rPr>
        <w:t xml:space="preserve"> </w:t>
      </w:r>
      <w:r>
        <w:rPr>
          <w:rStyle w:val="KeywordTok"/>
        </w:rPr>
        <w:t xml:space="preserve">&amp;</w:t>
      </w:r>
      <w:r>
        <w:rPr>
          <w:rStyle w:val="NormalTok"/>
        </w:rPr>
        <w:t xml:space="preserve"> ax.AxDate</w:t>
      </w:r>
      <w:r>
        <w:rPr>
          <w:rStyle w:val="OtherTok"/>
        </w:rPr>
        <w:t xml:space="preserve">(</w:t>
      </w:r>
      <w:r>
        <w:rPr>
          <w:rStyle w:val="StringTok"/>
        </w:rPr>
        <w:t xml:space="preserve">"Y-m-d H:i:s"</w:t>
      </w:r>
      <w:r>
        <w:rPr>
          <w:rStyle w:val="OtherTok"/>
        </w:rPr>
        <w:t xml:space="preserve">,</w:t>
      </w:r>
      <w:r>
        <w:rPr>
          <w:rStyle w:val="NormalTok"/>
        </w:rPr>
        <w:t xml:space="preserve"> ts</w:t>
      </w:r>
      <w:r>
        <w:rPr>
          <w:rStyle w:val="OtherTok"/>
        </w:rPr>
        <w:t xml:space="preserve">)</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81"/>
    <w:bookmarkStart w:id="1782" w:name="api-reference-89"/>
    <w:p>
      <w:pPr>
        <w:pStyle w:val="Heading2"/>
      </w:pPr>
      <w:r>
        <w:t xml:space="preserve">API Reference</w:t>
      </w:r>
    </w:p>
    <w:p>
      <w:pPr>
        <w:pStyle w:val="Compact"/>
        <w:numPr>
          <w:ilvl w:val="0"/>
          <w:numId w:val="1533"/>
        </w:numPr>
      </w:pPr>
      <w:r>
        <w:rPr>
          <w:b/>
          <w:bCs/>
        </w:rPr>
        <w:t xml:space="preserve">Object</w:t>
      </w:r>
      <w:r>
        <w:t xml:space="preserve">:</w:t>
      </w:r>
      <w:r>
        <w:t xml:space="preserve"> </w:t>
      </w:r>
      <w:r>
        <w:rPr>
          <w:rStyle w:val="VerbatimChar"/>
        </w:rPr>
        <w:t xml:space="preserve">G3AXON.FUNCTIONS</w:t>
      </w:r>
    </w:p>
    <w:p>
      <w:pPr>
        <w:pStyle w:val="Compact"/>
        <w:numPr>
          <w:ilvl w:val="0"/>
          <w:numId w:val="1533"/>
        </w:numPr>
      </w:pPr>
      <w:r>
        <w:rPr>
          <w:b/>
          <w:bCs/>
        </w:rPr>
        <w:t xml:space="preserve">Method</w:t>
      </w:r>
      <w:r>
        <w:t xml:space="preserve">:</w:t>
      </w:r>
      <w:r>
        <w:t xml:space="preserve"> </w:t>
      </w:r>
      <w:r>
        <w:rPr>
          <w:rStyle w:val="VerbatimChar"/>
        </w:rPr>
        <w:t xml:space="preserve">AxTime</w:t>
      </w:r>
    </w:p>
    <w:p>
      <w:pPr>
        <w:pStyle w:val="Compact"/>
        <w:numPr>
          <w:ilvl w:val="0"/>
          <w:numId w:val="1533"/>
        </w:numPr>
      </w:pPr>
      <w:r>
        <w:rPr>
          <w:b/>
          <w:bCs/>
        </w:rPr>
        <w:t xml:space="preserve">Arguments</w:t>
      </w:r>
      <w:r>
        <w:t xml:space="preserve">: None</w:t>
      </w:r>
    </w:p>
    <w:p>
      <w:pPr>
        <w:pStyle w:val="Compact"/>
        <w:numPr>
          <w:ilvl w:val="0"/>
          <w:numId w:val="1533"/>
        </w:numPr>
      </w:pPr>
      <w:r>
        <w:rPr>
          <w:b/>
          <w:bCs/>
        </w:rPr>
        <w:t xml:space="preserve">Returns</w:t>
      </w:r>
      <w:r>
        <w:t xml:space="preserve">: Integer — current Unix timestamp in seconds</w:t>
      </w:r>
    </w:p>
    <w:bookmarkEnd w:id="1782"/>
    <w:bookmarkEnd w:id="1783"/>
    <w:bookmarkStart w:id="1792" w:name="format-a-date-and-time-string"/>
    <w:p>
      <w:pPr>
        <w:pStyle w:val="Heading1"/>
      </w:pPr>
      <w:r>
        <w:t xml:space="preserve">Format a Date and Time String</w:t>
      </w:r>
    </w:p>
    <w:bookmarkStart w:id="1784" w:name="overview-129"/>
    <w:p>
      <w:pPr>
        <w:pStyle w:val="Heading2"/>
      </w:pPr>
      <w:r>
        <w:t xml:space="preserve">Overview</w:t>
      </w:r>
    </w:p>
    <w:p>
      <w:pPr>
        <w:pStyle w:val="FirstParagraph"/>
      </w:pPr>
      <w:r>
        <w:t xml:space="preserve">Formats a Unix timestamp (or the current server time if omitted) into a readable string using PHP-compatible format tokens.</w:t>
      </w:r>
    </w:p>
    <w:bookmarkEnd w:id="1784"/>
    <w:bookmarkStart w:id="1785" w:name="prerequisites-8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85"/>
    <w:bookmarkStart w:id="1786" w:name="syntax-146"/>
    <w:p>
      <w:pPr>
        <w:pStyle w:val="Heading2"/>
      </w:pPr>
      <w:r>
        <w:t xml:space="preserve">Syntax</w:t>
      </w:r>
    </w:p>
    <w:p>
      <w:pPr>
        <w:pStyle w:val="SourceCode"/>
      </w:pPr>
      <w:r>
        <w:rPr>
          <w:rStyle w:val="NormalTok"/>
        </w:rPr>
        <w:t xml:space="preserve">result = ax.AxDate(format [, timestamp])</w:t>
      </w:r>
    </w:p>
    <w:bookmarkEnd w:id="1786"/>
    <w:bookmarkStart w:id="1787" w:name="parameters-7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format</w:t>
            </w:r>
          </w:p>
        </w:tc>
        <w:tc>
          <w:tcPr/>
          <w:p>
            <w:pPr>
              <w:pStyle w:val="Compact"/>
            </w:pPr>
            <w:r>
              <w:t xml:space="preserve">String</w:t>
            </w:r>
          </w:p>
        </w:tc>
        <w:tc>
          <w:tcPr/>
          <w:p>
            <w:pPr>
              <w:pStyle w:val="Compact"/>
            </w:pPr>
            <w:r>
              <w:t xml:space="preserve">Yes</w:t>
            </w:r>
          </w:p>
        </w:tc>
        <w:tc>
          <w:tcPr/>
          <w:p>
            <w:pPr>
              <w:pStyle w:val="Compact"/>
            </w:pPr>
            <w:r>
              <w:t xml:space="preserve">A format string composed of PHP-like tokens.</w:t>
            </w:r>
          </w:p>
        </w:tc>
      </w:tr>
      <w:tr>
        <w:tc>
          <w:tcPr/>
          <w:p>
            <w:pPr>
              <w:pStyle w:val="Compact"/>
            </w:pPr>
            <w:r>
              <w:rPr>
                <w:b/>
                <w:bCs/>
              </w:rPr>
              <w:t xml:space="preserve">timestamp</w:t>
            </w:r>
          </w:p>
        </w:tc>
        <w:tc>
          <w:tcPr/>
          <w:p>
            <w:pPr>
              <w:pStyle w:val="Compact"/>
            </w:pPr>
            <w:r>
              <w:t xml:space="preserve">Integer</w:t>
            </w:r>
          </w:p>
        </w:tc>
        <w:tc>
          <w:tcPr/>
          <w:p>
            <w:pPr>
              <w:pStyle w:val="Compact"/>
            </w:pPr>
            <w:r>
              <w:t xml:space="preserve">No</w:t>
            </w:r>
          </w:p>
        </w:tc>
        <w:tc>
          <w:tcPr/>
          <w:p>
            <w:pPr>
              <w:pStyle w:val="Compact"/>
            </w:pPr>
            <w:r>
              <w:t xml:space="preserve">A Unix timestamp (seconds since 1970-01-01 UTC). Defaults to the current server time when omitted.</w:t>
            </w:r>
          </w:p>
        </w:tc>
      </w:tr>
    </w:tbl>
    <w:p>
      <w:pPr>
        <w:pStyle w:val="BodyText"/>
      </w:pPr>
      <w:r>
        <w:rPr>
          <w:b/>
          <w:bCs/>
        </w:rPr>
        <w:t xml:space="preserve">Supported format tokens: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Token</w:t>
            </w:r>
          </w:p>
        </w:tc>
        <w:tc>
          <w:tcPr/>
          <w:p>
            <w:pPr>
              <w:pStyle w:val="Compact"/>
            </w:pPr>
            <w:r>
              <w:t xml:space="preserve">Description</w:t>
            </w:r>
          </w:p>
        </w:tc>
        <w:tc>
          <w:tcPr/>
          <w:p>
            <w:pPr>
              <w:pStyle w:val="Compact"/>
            </w:pPr>
            <w:r>
              <w:t xml:space="preserve">Example</w:t>
            </w:r>
          </w:p>
        </w:tc>
      </w:tr>
      <w:tr>
        <w:tc>
          <w:tcPr/>
          <w:p>
            <w:pPr>
              <w:pStyle w:val="Compact"/>
            </w:pPr>
            <w:r>
              <w:rPr>
                <w:rStyle w:val="VerbatimChar"/>
              </w:rPr>
              <w:t xml:space="preserve">Y</w:t>
            </w:r>
          </w:p>
        </w:tc>
        <w:tc>
          <w:tcPr/>
          <w:p>
            <w:pPr>
              <w:pStyle w:val="Compact"/>
            </w:pPr>
            <w:r>
              <w:t xml:space="preserve">4-digit year</w:t>
            </w:r>
          </w:p>
        </w:tc>
        <w:tc>
          <w:tcPr/>
          <w:p>
            <w:pPr>
              <w:pStyle w:val="Compact"/>
            </w:pPr>
            <w:r>
              <w:rPr>
                <w:rStyle w:val="VerbatimChar"/>
              </w:rPr>
              <w:t xml:space="preserve">2025</w:t>
            </w:r>
          </w:p>
        </w:tc>
      </w:tr>
      <w:tr>
        <w:tc>
          <w:tcPr/>
          <w:p>
            <w:pPr>
              <w:pStyle w:val="Compact"/>
            </w:pPr>
            <w:r>
              <w:rPr>
                <w:rStyle w:val="VerbatimChar"/>
              </w:rPr>
              <w:t xml:space="preserve">m</w:t>
            </w:r>
          </w:p>
        </w:tc>
        <w:tc>
          <w:tcPr/>
          <w:p>
            <w:pPr>
              <w:pStyle w:val="Compact"/>
            </w:pPr>
            <w:r>
              <w:t xml:space="preserve">Month with leading zero</w:t>
            </w:r>
          </w:p>
        </w:tc>
        <w:tc>
          <w:tcPr/>
          <w:p>
            <w:pPr>
              <w:pStyle w:val="Compact"/>
            </w:pPr>
            <w:r>
              <w:rPr>
                <w:rStyle w:val="VerbatimChar"/>
              </w:rPr>
              <w:t xml:space="preserve">01</w:t>
            </w:r>
            <w:r>
              <w:t xml:space="preserve">–</w:t>
            </w:r>
            <w:r>
              <w:rPr>
                <w:rStyle w:val="VerbatimChar"/>
              </w:rPr>
              <w:t xml:space="preserve">12</w:t>
            </w:r>
          </w:p>
        </w:tc>
      </w:tr>
      <w:tr>
        <w:tc>
          <w:tcPr/>
          <w:p>
            <w:pPr>
              <w:pStyle w:val="Compact"/>
            </w:pPr>
            <w:r>
              <w:rPr>
                <w:rStyle w:val="VerbatimChar"/>
              </w:rPr>
              <w:t xml:space="preserve">d</w:t>
            </w:r>
          </w:p>
        </w:tc>
        <w:tc>
          <w:tcPr/>
          <w:p>
            <w:pPr>
              <w:pStyle w:val="Compact"/>
            </w:pPr>
            <w:r>
              <w:t xml:space="preserve">Day of month with leading zero</w:t>
            </w:r>
          </w:p>
        </w:tc>
        <w:tc>
          <w:tcPr/>
          <w:p>
            <w:pPr>
              <w:pStyle w:val="Compact"/>
            </w:pPr>
            <w:r>
              <w:rPr>
                <w:rStyle w:val="VerbatimChar"/>
              </w:rPr>
              <w:t xml:space="preserve">01</w:t>
            </w:r>
            <w:r>
              <w:t xml:space="preserve">–</w:t>
            </w:r>
            <w:r>
              <w:rPr>
                <w:rStyle w:val="VerbatimChar"/>
              </w:rPr>
              <w:t xml:space="preserve">31</w:t>
            </w:r>
          </w:p>
        </w:tc>
      </w:tr>
      <w:tr>
        <w:tc>
          <w:tcPr/>
          <w:p>
            <w:pPr>
              <w:pStyle w:val="Compact"/>
            </w:pPr>
            <w:r>
              <w:rPr>
                <w:rStyle w:val="VerbatimChar"/>
              </w:rPr>
              <w:t xml:space="preserve">H</w:t>
            </w:r>
          </w:p>
        </w:tc>
        <w:tc>
          <w:tcPr/>
          <w:p>
            <w:pPr>
              <w:pStyle w:val="Compact"/>
            </w:pPr>
            <w:r>
              <w:t xml:space="preserve">Hour in 24-hour format with leading zero</w:t>
            </w:r>
          </w:p>
        </w:tc>
        <w:tc>
          <w:tcPr/>
          <w:p>
            <w:pPr>
              <w:pStyle w:val="Compact"/>
            </w:pPr>
            <w:r>
              <w:rPr>
                <w:rStyle w:val="VerbatimChar"/>
              </w:rPr>
              <w:t xml:space="preserve">00</w:t>
            </w:r>
            <w:r>
              <w:t xml:space="preserve">–</w:t>
            </w:r>
            <w:r>
              <w:rPr>
                <w:rStyle w:val="VerbatimChar"/>
              </w:rPr>
              <w:t xml:space="preserve">23</w:t>
            </w:r>
          </w:p>
        </w:tc>
      </w:tr>
      <w:tr>
        <w:tc>
          <w:tcPr/>
          <w:p>
            <w:pPr>
              <w:pStyle w:val="Compact"/>
            </w:pPr>
            <w:r>
              <w:rPr>
                <w:rStyle w:val="VerbatimChar"/>
              </w:rPr>
              <w:t xml:space="preserve">i</w:t>
            </w:r>
          </w:p>
        </w:tc>
        <w:tc>
          <w:tcPr/>
          <w:p>
            <w:pPr>
              <w:pStyle w:val="Compact"/>
            </w:pPr>
            <w:r>
              <w:t xml:space="preserve">Minutes with leading zero</w:t>
            </w:r>
          </w:p>
        </w:tc>
        <w:tc>
          <w:tcPr/>
          <w:p>
            <w:pPr>
              <w:pStyle w:val="Compact"/>
            </w:pPr>
            <w:r>
              <w:rPr>
                <w:rStyle w:val="VerbatimChar"/>
              </w:rPr>
              <w:t xml:space="preserve">00</w:t>
            </w:r>
            <w:r>
              <w:t xml:space="preserve">–</w:t>
            </w:r>
            <w:r>
              <w:rPr>
                <w:rStyle w:val="VerbatimChar"/>
              </w:rPr>
              <w:t xml:space="preserve">59</w:t>
            </w:r>
          </w:p>
        </w:tc>
      </w:tr>
      <w:tr>
        <w:tc>
          <w:tcPr/>
          <w:p>
            <w:pPr>
              <w:pStyle w:val="Compact"/>
            </w:pPr>
            <w:r>
              <w:rPr>
                <w:rStyle w:val="VerbatimChar"/>
              </w:rPr>
              <w:t xml:space="preserve">s</w:t>
            </w:r>
          </w:p>
        </w:tc>
        <w:tc>
          <w:tcPr/>
          <w:p>
            <w:pPr>
              <w:pStyle w:val="Compact"/>
            </w:pPr>
            <w:r>
              <w:t xml:space="preserve">Seconds with leading zero</w:t>
            </w:r>
          </w:p>
        </w:tc>
        <w:tc>
          <w:tcPr/>
          <w:p>
            <w:pPr>
              <w:pStyle w:val="Compact"/>
            </w:pPr>
            <w:r>
              <w:rPr>
                <w:rStyle w:val="VerbatimChar"/>
              </w:rPr>
              <w:t xml:space="preserve">00</w:t>
            </w:r>
            <w:r>
              <w:t xml:space="preserve">–</w:t>
            </w:r>
            <w:r>
              <w:rPr>
                <w:rStyle w:val="VerbatimChar"/>
              </w:rPr>
              <w:t xml:space="preserve">59</w:t>
            </w:r>
          </w:p>
        </w:tc>
      </w:tr>
      <w:tr>
        <w:tc>
          <w:tcPr/>
          <w:p>
            <w:pPr>
              <w:pStyle w:val="Compact"/>
            </w:pPr>
            <w:r>
              <w:rPr>
                <w:rStyle w:val="VerbatimChar"/>
              </w:rPr>
              <w:t xml:space="preserve">a</w:t>
            </w:r>
          </w:p>
        </w:tc>
        <w:tc>
          <w:tcPr/>
          <w:p>
            <w:pPr>
              <w:pStyle w:val="Compact"/>
            </w:pPr>
            <w:r>
              <w:t xml:space="preserve">Lowercase ante/post meridiem</w:t>
            </w:r>
          </w:p>
        </w:tc>
        <w:tc>
          <w:tcPr/>
          <w:p>
            <w:pPr>
              <w:pStyle w:val="Compact"/>
            </w:pPr>
            <w:r>
              <w:rPr>
                <w:rStyle w:val="VerbatimChar"/>
              </w:rPr>
              <w:t xml:space="preserve">am</w:t>
            </w:r>
            <w:r>
              <w:t xml:space="preserve"> </w:t>
            </w:r>
            <w:r>
              <w:t xml:space="preserve">/</w:t>
            </w:r>
            <w:r>
              <w:t xml:space="preserve"> </w:t>
            </w:r>
            <w:r>
              <w:rPr>
                <w:rStyle w:val="VerbatimChar"/>
              </w:rPr>
              <w:t xml:space="preserve">pm</w:t>
            </w:r>
          </w:p>
        </w:tc>
      </w:tr>
      <w:tr>
        <w:tc>
          <w:tcPr/>
          <w:p>
            <w:pPr>
              <w:pStyle w:val="Compact"/>
            </w:pPr>
            <w:r>
              <w:rPr>
                <w:rStyle w:val="VerbatimChar"/>
              </w:rPr>
              <w:t xml:space="preserve">A</w:t>
            </w:r>
          </w:p>
        </w:tc>
        <w:tc>
          <w:tcPr/>
          <w:p>
            <w:pPr>
              <w:pStyle w:val="Compact"/>
            </w:pPr>
            <w:r>
              <w:t xml:space="preserve">Uppercase ante/post meridiem</w:t>
            </w:r>
          </w:p>
        </w:tc>
        <w:tc>
          <w:tcPr/>
          <w:p>
            <w:pPr>
              <w:pStyle w:val="Compact"/>
            </w:pPr>
            <w:r>
              <w:rPr>
                <w:rStyle w:val="VerbatimChar"/>
              </w:rPr>
              <w:t xml:space="preserve">AM</w:t>
            </w:r>
            <w:r>
              <w:t xml:space="preserve"> </w:t>
            </w:r>
            <w:r>
              <w:t xml:space="preserve">/</w:t>
            </w:r>
            <w:r>
              <w:t xml:space="preserve"> </w:t>
            </w:r>
            <w:r>
              <w:rPr>
                <w:rStyle w:val="VerbatimChar"/>
              </w:rPr>
              <w:t xml:space="preserve">PM</w:t>
            </w:r>
          </w:p>
        </w:tc>
      </w:tr>
      <w:tr>
        <w:tc>
          <w:tcPr/>
          <w:p>
            <w:pPr>
              <w:pStyle w:val="Compact"/>
            </w:pPr>
            <w:r>
              <w:rPr>
                <w:rStyle w:val="VerbatimChar"/>
              </w:rPr>
              <w:t xml:space="preserve">F</w:t>
            </w:r>
          </w:p>
        </w:tc>
        <w:tc>
          <w:tcPr/>
          <w:p>
            <w:pPr>
              <w:pStyle w:val="Compact"/>
            </w:pPr>
            <w:r>
              <w:t xml:space="preserve">Full month name</w:t>
            </w:r>
          </w:p>
        </w:tc>
        <w:tc>
          <w:tcPr/>
          <w:p>
            <w:pPr>
              <w:pStyle w:val="Compact"/>
            </w:pPr>
            <w:r>
              <w:rPr>
                <w:rStyle w:val="VerbatimChar"/>
              </w:rPr>
              <w:t xml:space="preserve">January</w:t>
            </w:r>
          </w:p>
        </w:tc>
      </w:tr>
      <w:tr>
        <w:tc>
          <w:tcPr/>
          <w:p>
            <w:pPr>
              <w:pStyle w:val="Compact"/>
            </w:pPr>
            <w:r>
              <w:rPr>
                <w:rStyle w:val="VerbatimChar"/>
              </w:rPr>
              <w:t xml:space="preserve">M</w:t>
            </w:r>
          </w:p>
        </w:tc>
        <w:tc>
          <w:tcPr/>
          <w:p>
            <w:pPr>
              <w:pStyle w:val="Compact"/>
            </w:pPr>
            <w:r>
              <w:t xml:space="preserve">Abbreviated month name</w:t>
            </w:r>
          </w:p>
        </w:tc>
        <w:tc>
          <w:tcPr/>
          <w:p>
            <w:pPr>
              <w:pStyle w:val="Compact"/>
            </w:pPr>
            <w:r>
              <w:rPr>
                <w:rStyle w:val="VerbatimChar"/>
              </w:rPr>
              <w:t xml:space="preserve">Jan</w:t>
            </w:r>
          </w:p>
        </w:tc>
      </w:tr>
      <w:tr>
        <w:tc>
          <w:tcPr/>
          <w:p>
            <w:pPr>
              <w:pStyle w:val="Compact"/>
            </w:pPr>
            <w:r>
              <w:rPr>
                <w:rStyle w:val="VerbatimChar"/>
              </w:rPr>
              <w:t xml:space="preserve">l</w:t>
            </w:r>
          </w:p>
        </w:tc>
        <w:tc>
          <w:tcPr/>
          <w:p>
            <w:pPr>
              <w:pStyle w:val="Compact"/>
            </w:pPr>
            <w:r>
              <w:t xml:space="preserve">Full weekday name</w:t>
            </w:r>
          </w:p>
        </w:tc>
        <w:tc>
          <w:tcPr/>
          <w:p>
            <w:pPr>
              <w:pStyle w:val="Compact"/>
            </w:pPr>
            <w:r>
              <w:rPr>
                <w:rStyle w:val="VerbatimChar"/>
              </w:rPr>
              <w:t xml:space="preserve">Monday</w:t>
            </w:r>
          </w:p>
        </w:tc>
      </w:tr>
      <w:tr>
        <w:tc>
          <w:tcPr/>
          <w:p>
            <w:pPr>
              <w:pStyle w:val="Compact"/>
            </w:pPr>
            <w:r>
              <w:rPr>
                <w:rStyle w:val="VerbatimChar"/>
              </w:rPr>
              <w:t xml:space="preserve">D</w:t>
            </w:r>
          </w:p>
        </w:tc>
        <w:tc>
          <w:tcPr/>
          <w:p>
            <w:pPr>
              <w:pStyle w:val="Compact"/>
            </w:pPr>
            <w:r>
              <w:t xml:space="preserve">Abbreviated weekday name</w:t>
            </w:r>
          </w:p>
        </w:tc>
        <w:tc>
          <w:tcPr/>
          <w:p>
            <w:pPr>
              <w:pStyle w:val="Compact"/>
            </w:pPr>
            <w:r>
              <w:rPr>
                <w:rStyle w:val="VerbatimChar"/>
              </w:rPr>
              <w:t xml:space="preserve">Mon</w:t>
            </w:r>
          </w:p>
        </w:tc>
      </w:tr>
      <w:tr>
        <w:tc>
          <w:tcPr/>
          <w:p>
            <w:pPr>
              <w:pStyle w:val="Compact"/>
            </w:pPr>
            <w:r>
              <w:rPr>
                <w:rStyle w:val="VerbatimChar"/>
              </w:rPr>
              <w:t xml:space="preserve">N</w:t>
            </w:r>
          </w:p>
        </w:tc>
        <w:tc>
          <w:tcPr/>
          <w:p>
            <w:pPr>
              <w:pStyle w:val="Compact"/>
            </w:pPr>
            <w:r>
              <w:t xml:space="preserve">ISO-8601 day of the week (1=Monday, 7=Sunday)</w:t>
            </w:r>
          </w:p>
        </w:tc>
        <w:tc>
          <w:tcPr/>
          <w:p>
            <w:pPr>
              <w:pStyle w:val="Compact"/>
            </w:pPr>
            <w:r>
              <w:rPr>
                <w:rStyle w:val="VerbatimChar"/>
              </w:rPr>
              <w:t xml:space="preserve">1</w:t>
            </w:r>
            <w:r>
              <w:t xml:space="preserve">–</w:t>
            </w:r>
            <w:r>
              <w:rPr>
                <w:rStyle w:val="VerbatimChar"/>
              </w:rPr>
              <w:t xml:space="preserve">7</w:t>
            </w:r>
          </w:p>
        </w:tc>
      </w:tr>
      <w:tr>
        <w:tc>
          <w:tcPr/>
          <w:p>
            <w:pPr>
              <w:pStyle w:val="Compact"/>
            </w:pPr>
            <w:r>
              <w:rPr>
                <w:rStyle w:val="VerbatimChar"/>
              </w:rPr>
              <w:t xml:space="preserve">j</w:t>
            </w:r>
          </w:p>
        </w:tc>
        <w:tc>
          <w:tcPr/>
          <w:p>
            <w:pPr>
              <w:pStyle w:val="Compact"/>
            </w:pPr>
            <w:r>
              <w:t xml:space="preserve">Day of month without leading zero</w:t>
            </w:r>
          </w:p>
        </w:tc>
        <w:tc>
          <w:tcPr/>
          <w:p>
            <w:pPr>
              <w:pStyle w:val="Compact"/>
            </w:pPr>
            <w:r>
              <w:rPr>
                <w:rStyle w:val="VerbatimChar"/>
              </w:rPr>
              <w:t xml:space="preserve">1</w:t>
            </w:r>
            <w:r>
              <w:t xml:space="preserve">–</w:t>
            </w:r>
            <w:r>
              <w:rPr>
                <w:rStyle w:val="VerbatimChar"/>
              </w:rPr>
              <w:t xml:space="preserve">31</w:t>
            </w:r>
          </w:p>
        </w:tc>
      </w:tr>
      <w:tr>
        <w:tc>
          <w:tcPr/>
          <w:p>
            <w:pPr>
              <w:pStyle w:val="Compact"/>
            </w:pPr>
            <w:r>
              <w:rPr>
                <w:rStyle w:val="VerbatimChar"/>
              </w:rPr>
              <w:t xml:space="preserve">n</w:t>
            </w:r>
          </w:p>
        </w:tc>
        <w:tc>
          <w:tcPr/>
          <w:p>
            <w:pPr>
              <w:pStyle w:val="Compact"/>
            </w:pPr>
            <w:r>
              <w:t xml:space="preserve">Month without leading zero</w:t>
            </w:r>
          </w:p>
        </w:tc>
        <w:tc>
          <w:tcPr/>
          <w:p>
            <w:pPr>
              <w:pStyle w:val="Compact"/>
            </w:pPr>
            <w:r>
              <w:rPr>
                <w:rStyle w:val="VerbatimChar"/>
              </w:rPr>
              <w:t xml:space="preserve">1</w:t>
            </w:r>
            <w:r>
              <w:t xml:space="preserve">–</w:t>
            </w:r>
            <w:r>
              <w:rPr>
                <w:rStyle w:val="VerbatimChar"/>
              </w:rPr>
              <w:t xml:space="preserve">12</w:t>
            </w:r>
          </w:p>
        </w:tc>
      </w:tr>
      <w:tr>
        <w:tc>
          <w:tcPr/>
          <w:p>
            <w:pPr>
              <w:pStyle w:val="Compact"/>
            </w:pPr>
            <w:r>
              <w:rPr>
                <w:rStyle w:val="VerbatimChar"/>
              </w:rPr>
              <w:t xml:space="preserve">G</w:t>
            </w:r>
          </w:p>
        </w:tc>
        <w:tc>
          <w:tcPr/>
          <w:p>
            <w:pPr>
              <w:pStyle w:val="Compact"/>
            </w:pPr>
            <w:r>
              <w:t xml:space="preserve">Hour in 24-hour format without leading zero</w:t>
            </w:r>
          </w:p>
        </w:tc>
        <w:tc>
          <w:tcPr/>
          <w:p>
            <w:pPr>
              <w:pStyle w:val="Compact"/>
            </w:pPr>
            <w:r>
              <w:rPr>
                <w:rStyle w:val="VerbatimChar"/>
              </w:rPr>
              <w:t xml:space="preserve">0</w:t>
            </w:r>
            <w:r>
              <w:t xml:space="preserve">–</w:t>
            </w:r>
            <w:r>
              <w:rPr>
                <w:rStyle w:val="VerbatimChar"/>
              </w:rPr>
              <w:t xml:space="preserve">23</w:t>
            </w:r>
          </w:p>
        </w:tc>
      </w:tr>
      <w:tr>
        <w:tc>
          <w:tcPr/>
          <w:p>
            <w:pPr>
              <w:pStyle w:val="Compact"/>
            </w:pPr>
            <w:r>
              <w:rPr>
                <w:rStyle w:val="VerbatimChar"/>
              </w:rPr>
              <w:t xml:space="preserve">U</w:t>
            </w:r>
          </w:p>
        </w:tc>
        <w:tc>
          <w:tcPr/>
          <w:p>
            <w:pPr>
              <w:pStyle w:val="Compact"/>
            </w:pPr>
            <w:r>
              <w:t xml:space="preserve">Unix timestamp</w:t>
            </w:r>
          </w:p>
        </w:tc>
        <w:tc>
          <w:tcPr/>
          <w:p>
            <w:pPr>
              <w:pStyle w:val="Compact"/>
            </w:pPr>
            <w:r>
              <w:t xml:space="preserve">Integer</w:t>
            </w:r>
          </w:p>
        </w:tc>
      </w:tr>
    </w:tbl>
    <w:bookmarkEnd w:id="1787"/>
    <w:bookmarkStart w:id="1788" w:name="return-value-93"/>
    <w:p>
      <w:pPr>
        <w:pStyle w:val="Heading2"/>
      </w:pPr>
      <w:r>
        <w:t xml:space="preserve">Return Value</w:t>
      </w:r>
    </w:p>
    <w:p>
      <w:pPr>
        <w:pStyle w:val="Compact"/>
        <w:numPr>
          <w:ilvl w:val="0"/>
          <w:numId w:val="1534"/>
        </w:numPr>
      </w:pPr>
      <w:r>
        <w:rPr>
          <w:b/>
          <w:bCs/>
        </w:rPr>
        <w:t xml:space="preserve">String</w:t>
      </w:r>
      <w:r>
        <w:t xml:space="preserve">: The input format string with all recognized tokens replaced by their corresponding date/time values.</w:t>
      </w:r>
    </w:p>
    <w:bookmarkEnd w:id="1788"/>
    <w:bookmarkStart w:id="1789" w:name="remarks-159"/>
    <w:p>
      <w:pPr>
        <w:pStyle w:val="Heading2"/>
      </w:pPr>
      <w:r>
        <w:t xml:space="preserve">Remarks</w:t>
      </w:r>
    </w:p>
    <w:p>
      <w:pPr>
        <w:pStyle w:val="Compact"/>
        <w:numPr>
          <w:ilvl w:val="0"/>
          <w:numId w:val="1535"/>
        </w:numPr>
      </w:pPr>
      <w:r>
        <w:t xml:space="preserve">Month and weekday names use the locale configured for the AxonASP VM.</w:t>
      </w:r>
    </w:p>
    <w:p>
      <w:pPr>
        <w:pStyle w:val="Compact"/>
        <w:numPr>
          <w:ilvl w:val="0"/>
          <w:numId w:val="1535"/>
        </w:numPr>
      </w:pPr>
      <w:r>
        <w:t xml:space="preserve">Unrecognized characters in the format string are passed through unchanged.</w:t>
      </w:r>
    </w:p>
    <w:p>
      <w:pPr>
        <w:pStyle w:val="Compact"/>
        <w:numPr>
          <w:ilvl w:val="0"/>
          <w:numId w:val="1535"/>
        </w:numPr>
      </w:pPr>
      <w:r>
        <w:t xml:space="preserve">Method names are case-insensitive.</w:t>
      </w:r>
    </w:p>
    <w:bookmarkEnd w:id="1789"/>
    <w:bookmarkStart w:id="1790" w:name="example-9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ax.AxDate</w:t>
      </w:r>
      <w:r>
        <w:rPr>
          <w:rStyle w:val="OtherTok"/>
        </w:rPr>
        <w:t xml:space="preserve">(</w:t>
      </w:r>
      <w:r>
        <w:rPr>
          <w:rStyle w:val="StringTok"/>
        </w:rPr>
        <w:t xml:space="preserve">"Y-m-d H:i:s"</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mmentTok"/>
        </w:rPr>
        <w:t xml:space="preserve">' Output (example): 2025-06-15 14:30:00</w:t>
      </w:r>
      <w:r>
        <w:br/>
      </w:r>
      <w:r>
        <w:br/>
      </w:r>
      <w:r>
        <w:rPr>
          <w:rStyle w:val="FunctionTok"/>
        </w:rPr>
        <w:t xml:space="preserve">Response</w:t>
      </w:r>
      <w:r>
        <w:rPr>
          <w:rStyle w:val="NormalTok"/>
        </w:rPr>
        <w:t xml:space="preserve">.</w:t>
      </w:r>
      <w:r>
        <w:rPr>
          <w:rStyle w:val="FunctionTok"/>
        </w:rPr>
        <w:t xml:space="preserve">Write</w:t>
      </w:r>
      <w:r>
        <w:rPr>
          <w:rStyle w:val="NormalTok"/>
        </w:rPr>
        <w:t xml:space="preserve"> ax.AxDate</w:t>
      </w:r>
      <w:r>
        <w:rPr>
          <w:rStyle w:val="OtherTok"/>
        </w:rPr>
        <w:t xml:space="preserve">(</w:t>
      </w:r>
      <w:r>
        <w:rPr>
          <w:rStyle w:val="StringTok"/>
        </w:rPr>
        <w:t xml:space="preserve">"l, F j, Y"</w:t>
      </w:r>
      <w:r>
        <w:rPr>
          <w:rStyle w:val="OtherTok"/>
        </w:rPr>
        <w:t xml:space="preserve">,</w:t>
      </w:r>
      <w:r>
        <w:rPr>
          <w:rStyle w:val="NormalTok"/>
        </w:rPr>
        <w:t xml:space="preserve"> </w:t>
      </w:r>
      <w:r>
        <w:rPr>
          <w:rStyle w:val="DecValTok"/>
        </w:rPr>
        <w:t xml:space="preserve">1735689600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mmentTok"/>
        </w:rPr>
        <w:t xml:space="preserve">' Output (example): Wednesday, January 1, 2025</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90"/>
    <w:bookmarkStart w:id="1791" w:name="api-reference-90"/>
    <w:p>
      <w:pPr>
        <w:pStyle w:val="Heading2"/>
      </w:pPr>
      <w:r>
        <w:t xml:space="preserve">API Reference</w:t>
      </w:r>
    </w:p>
    <w:p>
      <w:pPr>
        <w:pStyle w:val="Compact"/>
        <w:numPr>
          <w:ilvl w:val="0"/>
          <w:numId w:val="1536"/>
        </w:numPr>
      </w:pPr>
      <w:r>
        <w:rPr>
          <w:b/>
          <w:bCs/>
        </w:rPr>
        <w:t xml:space="preserve">Object</w:t>
      </w:r>
      <w:r>
        <w:t xml:space="preserve">:</w:t>
      </w:r>
      <w:r>
        <w:t xml:space="preserve"> </w:t>
      </w:r>
      <w:r>
        <w:rPr>
          <w:rStyle w:val="VerbatimChar"/>
        </w:rPr>
        <w:t xml:space="preserve">G3AXON.FUNCTIONS</w:t>
      </w:r>
    </w:p>
    <w:p>
      <w:pPr>
        <w:pStyle w:val="Compact"/>
        <w:numPr>
          <w:ilvl w:val="0"/>
          <w:numId w:val="1536"/>
        </w:numPr>
      </w:pPr>
      <w:r>
        <w:rPr>
          <w:b/>
          <w:bCs/>
        </w:rPr>
        <w:t xml:space="preserve">Method</w:t>
      </w:r>
      <w:r>
        <w:t xml:space="preserve">:</w:t>
      </w:r>
      <w:r>
        <w:t xml:space="preserve"> </w:t>
      </w:r>
      <w:r>
        <w:rPr>
          <w:rStyle w:val="VerbatimChar"/>
        </w:rPr>
        <w:t xml:space="preserve">AxDate</w:t>
      </w:r>
    </w:p>
    <w:p>
      <w:pPr>
        <w:pStyle w:val="Compact"/>
        <w:numPr>
          <w:ilvl w:val="0"/>
          <w:numId w:val="1536"/>
        </w:numPr>
      </w:pPr>
      <w:r>
        <w:rPr>
          <w:b/>
          <w:bCs/>
        </w:rPr>
        <w:t xml:space="preserve">Arguments</w:t>
      </w:r>
      <w:r>
        <w:t xml:space="preserve">:</w:t>
      </w:r>
      <w:r>
        <w:t xml:space="preserve"> </w:t>
      </w:r>
      <w:r>
        <w:rPr>
          <w:rStyle w:val="VerbatimChar"/>
        </w:rPr>
        <w:t xml:space="preserve">format</w:t>
      </w:r>
      <w:r>
        <w:t xml:space="preserve"> </w:t>
      </w:r>
      <w:r>
        <w:t xml:space="preserve">(String, required),</w:t>
      </w:r>
      <w:r>
        <w:t xml:space="preserve"> </w:t>
      </w:r>
      <w:r>
        <w:rPr>
          <w:rStyle w:val="VerbatimChar"/>
        </w:rPr>
        <w:t xml:space="preserve">timestamp</w:t>
      </w:r>
      <w:r>
        <w:t xml:space="preserve"> </w:t>
      </w:r>
      <w:r>
        <w:t xml:space="preserve">(Integer, optional)</w:t>
      </w:r>
    </w:p>
    <w:p>
      <w:pPr>
        <w:pStyle w:val="Compact"/>
        <w:numPr>
          <w:ilvl w:val="0"/>
          <w:numId w:val="1536"/>
        </w:numPr>
      </w:pPr>
      <w:r>
        <w:rPr>
          <w:b/>
          <w:bCs/>
        </w:rPr>
        <w:t xml:space="preserve">Returns</w:t>
      </w:r>
      <w:r>
        <w:t xml:space="preserve">: String — formatted date/time string</w:t>
      </w:r>
    </w:p>
    <w:bookmarkEnd w:id="1791"/>
    <w:bookmarkEnd w:id="1792"/>
    <w:bookmarkStart w:id="1801" w:name="Xd0eacb0fe2b9265c4fac3500341414c97de92b7"/>
    <w:p>
      <w:pPr>
        <w:pStyle w:val="Heading1"/>
      </w:pPr>
      <w:r>
        <w:t xml:space="preserve">Get the Last Modified Timestamp of the Current Page</w:t>
      </w:r>
    </w:p>
    <w:bookmarkStart w:id="1793" w:name="overview-130"/>
    <w:p>
      <w:pPr>
        <w:pStyle w:val="Heading2"/>
      </w:pPr>
      <w:r>
        <w:t xml:space="preserve">Overview</w:t>
      </w:r>
    </w:p>
    <w:p>
      <w:pPr>
        <w:pStyle w:val="FirstParagraph"/>
      </w:pPr>
      <w:r>
        <w:t xml:space="preserve">Returns the Unix timestamp of the last modification time of the currently executing ASP script file.</w:t>
      </w:r>
    </w:p>
    <w:bookmarkEnd w:id="1793"/>
    <w:bookmarkStart w:id="1794" w:name="prerequisites-8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794"/>
    <w:bookmarkStart w:id="1795" w:name="syntax-147"/>
    <w:p>
      <w:pPr>
        <w:pStyle w:val="Heading2"/>
      </w:pPr>
      <w:r>
        <w:t xml:space="preserve">Syntax</w:t>
      </w:r>
    </w:p>
    <w:p>
      <w:pPr>
        <w:pStyle w:val="SourceCode"/>
      </w:pPr>
      <w:r>
        <w:rPr>
          <w:rStyle w:val="NormalTok"/>
        </w:rPr>
        <w:t xml:space="preserve">result = ax.AxLastModified()</w:t>
      </w:r>
    </w:p>
    <w:bookmarkEnd w:id="1795"/>
    <w:bookmarkStart w:id="1796" w:name="parameters-78"/>
    <w:p>
      <w:pPr>
        <w:pStyle w:val="Heading2"/>
      </w:pPr>
      <w:r>
        <w:t xml:space="preserve">Parameters</w:t>
      </w:r>
    </w:p>
    <w:p>
      <w:pPr>
        <w:pStyle w:val="FirstParagraph"/>
      </w:pPr>
      <w:r>
        <w:t xml:space="preserve">This method does not accept any parameters.</w:t>
      </w:r>
    </w:p>
    <w:bookmarkEnd w:id="1796"/>
    <w:bookmarkStart w:id="1797" w:name="return-value-94"/>
    <w:p>
      <w:pPr>
        <w:pStyle w:val="Heading2"/>
      </w:pPr>
      <w:r>
        <w:t xml:space="preserve">Return Value</w:t>
      </w:r>
    </w:p>
    <w:p>
      <w:pPr>
        <w:pStyle w:val="Compact"/>
        <w:numPr>
          <w:ilvl w:val="0"/>
          <w:numId w:val="1537"/>
        </w:numPr>
      </w:pPr>
      <w:r>
        <w:rPr>
          <w:b/>
          <w:bCs/>
        </w:rPr>
        <w:t xml:space="preserve">Integer</w:t>
      </w:r>
      <w:r>
        <w:t xml:space="preserve">: Unix timestamp of the current file’s last modification time.</w:t>
      </w:r>
    </w:p>
    <w:p>
      <w:pPr>
        <w:pStyle w:val="Compact"/>
        <w:numPr>
          <w:ilvl w:val="0"/>
          <w:numId w:val="1537"/>
        </w:numPr>
      </w:pPr>
      <w:r>
        <w:rPr>
          <w:b/>
          <w:bCs/>
        </w:rPr>
        <w:t xml:space="preserve">Integer</w:t>
      </w:r>
      <w:r>
        <w:rPr>
          <w:b/>
          <w:bCs/>
        </w:rPr>
        <w:t xml:space="preserve"> </w:t>
      </w:r>
      <w:r>
        <w:rPr>
          <w:rStyle w:val="VerbatimChar"/>
          <w:b/>
          <w:bCs/>
        </w:rPr>
        <w:t xml:space="preserve">0</w:t>
      </w:r>
      <w:r>
        <w:t xml:space="preserve">: Returned when the modification time cannot be determined (for example, when the script path is unavailable).</w:t>
      </w:r>
    </w:p>
    <w:bookmarkEnd w:id="1797"/>
    <w:bookmarkStart w:id="1798" w:name="remarks-160"/>
    <w:p>
      <w:pPr>
        <w:pStyle w:val="Heading2"/>
      </w:pPr>
      <w:r>
        <w:t xml:space="preserve">Remarks</w:t>
      </w:r>
    </w:p>
    <w:p>
      <w:pPr>
        <w:pStyle w:val="Compact"/>
        <w:numPr>
          <w:ilvl w:val="0"/>
          <w:numId w:val="1538"/>
        </w:numPr>
      </w:pPr>
      <w:r>
        <w:t xml:space="preserve">The method resolves the current script path using</w:t>
      </w:r>
      <w:r>
        <w:t xml:space="preserve"> </w:t>
      </w:r>
      <w:r>
        <w:rPr>
          <w:rStyle w:val="VerbatimChar"/>
        </w:rPr>
        <w:t xml:space="preserve">Server.MapPath("")</w:t>
      </w:r>
      <w:r>
        <w:t xml:space="preserve"> </w:t>
      </w:r>
      <w:r>
        <w:t xml:space="preserve">internally.</w:t>
      </w:r>
    </w:p>
    <w:p>
      <w:pPr>
        <w:pStyle w:val="Compact"/>
        <w:numPr>
          <w:ilvl w:val="0"/>
          <w:numId w:val="1538"/>
        </w:numPr>
      </w:pPr>
      <w:r>
        <w:t xml:space="preserve">Use the return value with</w:t>
      </w:r>
      <w:r>
        <w:t xml:space="preserve"> </w:t>
      </w:r>
      <w:r>
        <w:rPr>
          <w:rStyle w:val="VerbatimChar"/>
        </w:rPr>
        <w:t xml:space="preserve">AxDate</w:t>
      </w:r>
      <w:r>
        <w:t xml:space="preserve"> </w:t>
      </w:r>
      <w:r>
        <w:t xml:space="preserve">to format it as a human-readable string.</w:t>
      </w:r>
    </w:p>
    <w:p>
      <w:pPr>
        <w:pStyle w:val="Compact"/>
        <w:numPr>
          <w:ilvl w:val="0"/>
          <w:numId w:val="1538"/>
        </w:numPr>
      </w:pPr>
      <w:r>
        <w:t xml:space="preserve">Method names are case-insensitive.</w:t>
      </w:r>
    </w:p>
    <w:bookmarkEnd w:id="1798"/>
    <w:bookmarkStart w:id="1799" w:name="example-9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ts</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ts = ax.AxLastModified</w:t>
      </w:r>
      <w:r>
        <w:rPr>
          <w:rStyle w:val="OtherTok"/>
        </w:rPr>
        <w:t xml:space="preserve">()</w:t>
      </w:r>
      <w:r>
        <w:br/>
      </w:r>
      <w:r>
        <w:br/>
      </w:r>
      <w:r>
        <w:rPr>
          <w:rStyle w:val="ControlFlowTok"/>
        </w:rPr>
        <w:t xml:space="preserve">If</w:t>
      </w:r>
      <w:r>
        <w:rPr>
          <w:rStyle w:val="NormalTok"/>
        </w:rPr>
        <w:t xml:space="preserve"> ts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"Page last modified: "</w:t>
      </w:r>
      <w:r>
        <w:rPr>
          <w:rStyle w:val="NormalTok"/>
        </w:rPr>
        <w:t xml:space="preserve"> </w:t>
      </w:r>
      <w:r>
        <w:rPr>
          <w:rStyle w:val="KeywordTok"/>
        </w:rPr>
        <w:t xml:space="preserve">&amp;</w:t>
      </w:r>
      <w:r>
        <w:rPr>
          <w:rStyle w:val="NormalTok"/>
        </w:rPr>
        <w:t xml:space="preserve"> ax.AxDate</w:t>
      </w:r>
      <w:r>
        <w:rPr>
          <w:rStyle w:val="OtherTok"/>
        </w:rPr>
        <w:t xml:space="preserve">(</w:t>
      </w:r>
      <w:r>
        <w:rPr>
          <w:rStyle w:val="StringTok"/>
        </w:rPr>
        <w:t xml:space="preserve">"Y-m-d H:i:s"</w:t>
      </w:r>
      <w:r>
        <w:rPr>
          <w:rStyle w:val="OtherTok"/>
        </w:rPr>
        <w:t xml:space="preserve">,</w:t>
      </w:r>
      <w:r>
        <w:rPr>
          <w:rStyle w:val="NormalTok"/>
        </w:rPr>
        <w:t xml:space="preserve"> ts</w:t>
      </w:r>
      <w:r>
        <w:rPr>
          <w:rStyle w:val="OtherTok"/>
        </w:rPr>
        <w:t xml:space="preserv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"Modification time unavailable."</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799"/>
    <w:bookmarkStart w:id="1800" w:name="api-reference-91"/>
    <w:p>
      <w:pPr>
        <w:pStyle w:val="Heading2"/>
      </w:pPr>
      <w:r>
        <w:t xml:space="preserve">API Reference</w:t>
      </w:r>
    </w:p>
    <w:p>
      <w:pPr>
        <w:pStyle w:val="Compact"/>
        <w:numPr>
          <w:ilvl w:val="0"/>
          <w:numId w:val="1539"/>
        </w:numPr>
      </w:pPr>
      <w:r>
        <w:rPr>
          <w:b/>
          <w:bCs/>
        </w:rPr>
        <w:t xml:space="preserve">Object</w:t>
      </w:r>
      <w:r>
        <w:t xml:space="preserve">:</w:t>
      </w:r>
      <w:r>
        <w:t xml:space="preserve"> </w:t>
      </w:r>
      <w:r>
        <w:rPr>
          <w:rStyle w:val="VerbatimChar"/>
        </w:rPr>
        <w:t xml:space="preserve">G3AXON.FUNCTIONS</w:t>
      </w:r>
    </w:p>
    <w:p>
      <w:pPr>
        <w:pStyle w:val="Compact"/>
        <w:numPr>
          <w:ilvl w:val="0"/>
          <w:numId w:val="1539"/>
        </w:numPr>
      </w:pPr>
      <w:r>
        <w:rPr>
          <w:b/>
          <w:bCs/>
        </w:rPr>
        <w:t xml:space="preserve">Method</w:t>
      </w:r>
      <w:r>
        <w:t xml:space="preserve">:</w:t>
      </w:r>
      <w:r>
        <w:t xml:space="preserve"> </w:t>
      </w:r>
      <w:r>
        <w:rPr>
          <w:rStyle w:val="VerbatimChar"/>
        </w:rPr>
        <w:t xml:space="preserve">AxLastModified</w:t>
      </w:r>
    </w:p>
    <w:p>
      <w:pPr>
        <w:pStyle w:val="Compact"/>
        <w:numPr>
          <w:ilvl w:val="0"/>
          <w:numId w:val="1539"/>
        </w:numPr>
      </w:pPr>
      <w:r>
        <w:rPr>
          <w:b/>
          <w:bCs/>
        </w:rPr>
        <w:t xml:space="preserve">Arguments</w:t>
      </w:r>
      <w:r>
        <w:t xml:space="preserve">: None</w:t>
      </w:r>
    </w:p>
    <w:p>
      <w:pPr>
        <w:pStyle w:val="Compact"/>
        <w:numPr>
          <w:ilvl w:val="0"/>
          <w:numId w:val="1539"/>
        </w:numPr>
      </w:pPr>
      <w:r>
        <w:rPr>
          <w:b/>
          <w:bCs/>
        </w:rPr>
        <w:t xml:space="preserve">Returns</w:t>
      </w:r>
      <w:r>
        <w:t xml:space="preserve">: Integer — Unix timestamp of the script’s last modification, or</w:t>
      </w:r>
      <w:r>
        <w:t xml:space="preserve"> </w:t>
      </w:r>
      <w:r>
        <w:rPr>
          <w:rStyle w:val="VerbatimChar"/>
        </w:rPr>
        <w:t xml:space="preserve">0</w:t>
      </w:r>
      <w:r>
        <w:t xml:space="preserve"> </w:t>
      </w:r>
      <w:r>
        <w:t xml:space="preserve">on failure</w:t>
      </w:r>
    </w:p>
    <w:bookmarkEnd w:id="1800"/>
    <w:bookmarkEnd w:id="1801"/>
    <w:bookmarkStart w:id="1810" w:name="fetch-the-content-of-a-remote-url"/>
    <w:p>
      <w:pPr>
        <w:pStyle w:val="Heading1"/>
      </w:pPr>
      <w:r>
        <w:t xml:space="preserve">Fetch the Content of a Remote URL</w:t>
      </w:r>
    </w:p>
    <w:bookmarkStart w:id="1802" w:name="overview-131"/>
    <w:p>
      <w:pPr>
        <w:pStyle w:val="Heading2"/>
      </w:pPr>
      <w:r>
        <w:t xml:space="preserve">Overview</w:t>
      </w:r>
    </w:p>
    <w:p>
      <w:pPr>
        <w:pStyle w:val="FirstParagraph"/>
      </w:pPr>
      <w:r>
        <w:t xml:space="preserve">Performs a synchronous HTTP GET request to a URL and returns the response body as a string.</w:t>
      </w:r>
    </w:p>
    <w:bookmarkEnd w:id="1802"/>
    <w:bookmarkStart w:id="1803" w:name="prerequisites-8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803"/>
    <w:bookmarkStart w:id="1804" w:name="syntax-148"/>
    <w:p>
      <w:pPr>
        <w:pStyle w:val="Heading2"/>
      </w:pPr>
      <w:r>
        <w:t xml:space="preserve">Syntax</w:t>
      </w:r>
    </w:p>
    <w:p>
      <w:pPr>
        <w:pStyle w:val="SourceCode"/>
      </w:pPr>
      <w:r>
        <w:rPr>
          <w:rStyle w:val="NormalTok"/>
        </w:rPr>
        <w:t xml:space="preserve">result = ax.AxGetRemoteFile(url)</w:t>
      </w:r>
    </w:p>
    <w:bookmarkEnd w:id="1804"/>
    <w:bookmarkStart w:id="1805" w:name="parameters-7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url</w:t>
            </w:r>
          </w:p>
        </w:tc>
        <w:tc>
          <w:tcPr/>
          <w:p>
            <w:pPr>
              <w:pStyle w:val="Compact"/>
            </w:pPr>
            <w:r>
              <w:t xml:space="preserve">String</w:t>
            </w:r>
          </w:p>
        </w:tc>
        <w:tc>
          <w:tcPr/>
          <w:p>
            <w:pPr>
              <w:pStyle w:val="Compact"/>
            </w:pPr>
            <w:r>
              <w:t xml:space="preserve">Yes</w:t>
            </w:r>
          </w:p>
        </w:tc>
        <w:tc>
          <w:tcPr/>
          <w:p>
            <w:pPr>
              <w:pStyle w:val="Compact"/>
            </w:pPr>
            <w:r>
              <w:t xml:space="preserve">The fully qualified URL to request. Must begin with</w:t>
            </w:r>
            <w:r>
              <w:t xml:space="preserve"> </w:t>
            </w:r>
            <w:r>
              <w:rPr>
                <w:rStyle w:val="VerbatimChar"/>
              </w:rPr>
              <w:t xml:space="preserve">http://</w:t>
            </w:r>
            <w:r>
              <w:t xml:space="preserve"> </w:t>
            </w:r>
            <w:r>
              <w:t xml:space="preserve">or</w:t>
            </w:r>
            <w:r>
              <w:t xml:space="preserve"> </w:t>
            </w:r>
            <w:r>
              <w:rPr>
                <w:rStyle w:val="VerbatimChar"/>
              </w:rPr>
              <w:t xml:space="preserve">https://</w:t>
            </w:r>
            <w:r>
              <w:t xml:space="preserve">.</w:t>
            </w:r>
          </w:p>
        </w:tc>
      </w:tr>
    </w:tbl>
    <w:bookmarkEnd w:id="1805"/>
    <w:bookmarkStart w:id="1806" w:name="return-value-95"/>
    <w:p>
      <w:pPr>
        <w:pStyle w:val="Heading2"/>
      </w:pPr>
      <w:r>
        <w:t xml:space="preserve">Return Value</w:t>
      </w:r>
    </w:p>
    <w:p>
      <w:pPr>
        <w:pStyle w:val="Compact"/>
        <w:numPr>
          <w:ilvl w:val="0"/>
          <w:numId w:val="1540"/>
        </w:numPr>
      </w:pPr>
      <w:r>
        <w:rPr>
          <w:b/>
          <w:bCs/>
        </w:rPr>
        <w:t xml:space="preserve">String</w:t>
      </w:r>
      <w:r>
        <w:t xml:space="preserve">: The response body when the server returns HTTP 200 OK.</w:t>
      </w:r>
    </w:p>
    <w:p>
      <w:pPr>
        <w:pStyle w:val="Compact"/>
        <w:numPr>
          <w:ilvl w:val="0"/>
          <w:numId w:val="1540"/>
        </w:numPr>
      </w:pPr>
      <w:r>
        <w:rPr>
          <w:b/>
          <w:bCs/>
        </w:rPr>
        <w:t xml:space="preserve">Boolean</w:t>
      </w:r>
      <w:r>
        <w:rPr>
          <w:b/>
          <w:bCs/>
        </w:rPr>
        <w:t xml:space="preserve"> </w:t>
      </w:r>
      <w:r>
        <w:rPr>
          <w:rStyle w:val="VerbatimChar"/>
          <w:b/>
          <w:bCs/>
        </w:rPr>
        <w:t xml:space="preserve">False</w:t>
      </w:r>
      <w:r>
        <w:t xml:space="preserve">: Returned when the URL does not start with</w:t>
      </w:r>
      <w:r>
        <w:t xml:space="preserve"> </w:t>
      </w:r>
      <w:r>
        <w:rPr>
          <w:rStyle w:val="VerbatimChar"/>
        </w:rPr>
        <w:t xml:space="preserve">http://</w:t>
      </w:r>
      <w:r>
        <w:t xml:space="preserve"> </w:t>
      </w:r>
      <w:r>
        <w:t xml:space="preserve">or</w:t>
      </w:r>
      <w:r>
        <w:t xml:space="preserve"> </w:t>
      </w:r>
      <w:r>
        <w:rPr>
          <w:rStyle w:val="VerbatimChar"/>
        </w:rPr>
        <w:t xml:space="preserve">https://</w:t>
      </w:r>
      <w:r>
        <w:t xml:space="preserve">, the request times out, a network error occurs, or the server returns a non-200 status code.</w:t>
      </w:r>
    </w:p>
    <w:bookmarkEnd w:id="1806"/>
    <w:bookmarkStart w:id="1807" w:name="remarks-161"/>
    <w:p>
      <w:pPr>
        <w:pStyle w:val="Heading2"/>
      </w:pPr>
      <w:r>
        <w:t xml:space="preserve">Remarks</w:t>
      </w:r>
    </w:p>
    <w:p>
      <w:pPr>
        <w:pStyle w:val="Compact"/>
        <w:numPr>
          <w:ilvl w:val="0"/>
          <w:numId w:val="1541"/>
        </w:numPr>
      </w:pPr>
      <w:r>
        <w:t xml:space="preserve">The default request timeout is 10 seconds.</w:t>
      </w:r>
    </w:p>
    <w:p>
      <w:pPr>
        <w:pStyle w:val="Compact"/>
        <w:numPr>
          <w:ilvl w:val="0"/>
          <w:numId w:val="1541"/>
        </w:numPr>
      </w:pPr>
      <w:r>
        <w:t xml:space="preserve">No request headers, authentication, or POST body are supported. For advanced HTTP scenarios, use the</w:t>
      </w:r>
      <w:r>
        <w:t xml:space="preserve"> </w:t>
      </w:r>
      <w:r>
        <w:rPr>
          <w:rStyle w:val="VerbatimChar"/>
        </w:rPr>
        <w:t xml:space="preserve">G3HTTP</w:t>
      </w:r>
      <w:r>
        <w:t xml:space="preserve"> </w:t>
      </w:r>
      <w:r>
        <w:t xml:space="preserve">library.</w:t>
      </w:r>
    </w:p>
    <w:p>
      <w:pPr>
        <w:pStyle w:val="Compact"/>
        <w:numPr>
          <w:ilvl w:val="0"/>
          <w:numId w:val="1541"/>
        </w:numPr>
      </w:pPr>
      <w:r>
        <w:t xml:space="preserve">Check the return type with</w:t>
      </w:r>
      <w:r>
        <w:t xml:space="preserve"> </w:t>
      </w:r>
      <w:r>
        <w:rPr>
          <w:rStyle w:val="VerbatimChar"/>
        </w:rPr>
        <w:t xml:space="preserve">VarType</w:t>
      </w:r>
      <w:r>
        <w:t xml:space="preserve"> </w:t>
      </w:r>
      <w:r>
        <w:t xml:space="preserve">or</w:t>
      </w:r>
      <w:r>
        <w:t xml:space="preserve"> </w:t>
      </w:r>
      <w:r>
        <w:rPr>
          <w:rStyle w:val="VerbatimChar"/>
        </w:rPr>
        <w:t xml:space="preserve">TypeName</w:t>
      </w:r>
      <w:r>
        <w:t xml:space="preserve"> </w:t>
      </w:r>
      <w:r>
        <w:t xml:space="preserve">before using the result to handle failures gracefully.</w:t>
      </w:r>
    </w:p>
    <w:p>
      <w:pPr>
        <w:pStyle w:val="Compact"/>
        <w:numPr>
          <w:ilvl w:val="0"/>
          <w:numId w:val="1541"/>
        </w:numPr>
      </w:pPr>
      <w:r>
        <w:t xml:space="preserve">Method names are case-insensitive.</w:t>
      </w:r>
    </w:p>
    <w:bookmarkEnd w:id="1807"/>
    <w:bookmarkStart w:id="1808" w:name="example-9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content</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content = ax.AxGetRemoteFile</w:t>
      </w:r>
      <w:r>
        <w:rPr>
          <w:rStyle w:val="OtherTok"/>
        </w:rPr>
        <w:t xml:space="preserve">(</w:t>
      </w:r>
      <w:r>
        <w:rPr>
          <w:rStyle w:val="StringTok"/>
        </w:rPr>
        <w:t xml:space="preserve">"https://example.com/api/data.json"</w:t>
      </w:r>
      <w:r>
        <w:rPr>
          <w:rStyle w:val="OtherTok"/>
        </w:rPr>
        <w:t xml:space="preserve">)</w:t>
      </w:r>
      <w:r>
        <w:br/>
      </w:r>
      <w:r>
        <w:br/>
      </w:r>
      <w:r>
        <w:rPr>
          <w:rStyle w:val="ControlFlowTok"/>
        </w:rPr>
        <w:t xml:space="preserve">If</w:t>
      </w:r>
      <w:r>
        <w:rPr>
          <w:rStyle w:val="NormalTok"/>
        </w:rPr>
        <w:t xml:space="preserve"> </w:t>
      </w:r>
      <w:r>
        <w:rPr>
          <w:rStyle w:val="FunctionTok"/>
        </w:rPr>
        <w:t xml:space="preserve">VarType</w:t>
      </w:r>
      <w:r>
        <w:rPr>
          <w:rStyle w:val="OtherTok"/>
        </w:rPr>
        <w:t xml:space="preserve">(</w:t>
      </w:r>
      <w:r>
        <w:rPr>
          <w:rStyle w:val="NormalTok"/>
        </w:rPr>
        <w:t xml:space="preserve">content</w:t>
      </w:r>
      <w:r>
        <w:rPr>
          <w:rStyle w:val="OtherTok"/>
        </w:rPr>
        <w:t xml:space="preserve">)</w:t>
      </w:r>
      <w:r>
        <w:rPr>
          <w:rStyle w:val="NormalTok"/>
        </w:rPr>
        <w:t xml:space="preserve"> = vbString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content</w:t>
      </w:r>
      <w:r>
        <w:rPr>
          <w:rStyle w:val="OtherTok"/>
        </w:rPr>
        <w:t xml:space="preserv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to fetch the remote file."</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808"/>
    <w:bookmarkStart w:id="1809" w:name="api-reference-92"/>
    <w:p>
      <w:pPr>
        <w:pStyle w:val="Heading2"/>
      </w:pPr>
      <w:r>
        <w:t xml:space="preserve">API Reference</w:t>
      </w:r>
    </w:p>
    <w:p>
      <w:pPr>
        <w:pStyle w:val="Compact"/>
        <w:numPr>
          <w:ilvl w:val="0"/>
          <w:numId w:val="1542"/>
        </w:numPr>
      </w:pPr>
      <w:r>
        <w:rPr>
          <w:b/>
          <w:bCs/>
        </w:rPr>
        <w:t xml:space="preserve">Object</w:t>
      </w:r>
      <w:r>
        <w:t xml:space="preserve">:</w:t>
      </w:r>
      <w:r>
        <w:t xml:space="preserve"> </w:t>
      </w:r>
      <w:r>
        <w:rPr>
          <w:rStyle w:val="VerbatimChar"/>
        </w:rPr>
        <w:t xml:space="preserve">G3AXON.FUNCTIONS</w:t>
      </w:r>
    </w:p>
    <w:p>
      <w:pPr>
        <w:pStyle w:val="Compact"/>
        <w:numPr>
          <w:ilvl w:val="0"/>
          <w:numId w:val="1542"/>
        </w:numPr>
      </w:pPr>
      <w:r>
        <w:rPr>
          <w:b/>
          <w:bCs/>
        </w:rPr>
        <w:t xml:space="preserve">Method</w:t>
      </w:r>
      <w:r>
        <w:t xml:space="preserve">:</w:t>
      </w:r>
      <w:r>
        <w:t xml:space="preserve"> </w:t>
      </w:r>
      <w:r>
        <w:rPr>
          <w:rStyle w:val="VerbatimChar"/>
        </w:rPr>
        <w:t xml:space="preserve">AxGetRemoteFile</w:t>
      </w:r>
    </w:p>
    <w:p>
      <w:pPr>
        <w:pStyle w:val="Compact"/>
        <w:numPr>
          <w:ilvl w:val="0"/>
          <w:numId w:val="1542"/>
        </w:numPr>
      </w:pPr>
      <w:r>
        <w:rPr>
          <w:b/>
          <w:bCs/>
        </w:rPr>
        <w:t xml:space="preserve">Arguments</w:t>
      </w:r>
      <w:r>
        <w:t xml:space="preserve">:</w:t>
      </w:r>
      <w:r>
        <w:t xml:space="preserve"> </w:t>
      </w:r>
      <w:r>
        <w:rPr>
          <w:rStyle w:val="VerbatimChar"/>
        </w:rPr>
        <w:t xml:space="preserve">url</w:t>
      </w:r>
      <w:r>
        <w:t xml:space="preserve"> </w:t>
      </w:r>
      <w:r>
        <w:t xml:space="preserve">(String, required)</w:t>
      </w:r>
    </w:p>
    <w:p>
      <w:pPr>
        <w:pStyle w:val="Compact"/>
        <w:numPr>
          <w:ilvl w:val="0"/>
          <w:numId w:val="1542"/>
        </w:numPr>
      </w:pPr>
      <w:r>
        <w:rPr>
          <w:b/>
          <w:bCs/>
        </w:rPr>
        <w:t xml:space="preserve">Returns</w:t>
      </w:r>
      <w:r>
        <w:t xml:space="preserve">: String (response body on HTTP 200) or Boolean</w:t>
      </w:r>
      <w:r>
        <w:t xml:space="preserve"> </w:t>
      </w:r>
      <w:r>
        <w:rPr>
          <w:rStyle w:val="VerbatimChar"/>
        </w:rPr>
        <w:t xml:space="preserve">False</w:t>
      </w:r>
      <w:r>
        <w:t xml:space="preserve"> </w:t>
      </w:r>
      <w:r>
        <w:t xml:space="preserve">on failure</w:t>
      </w:r>
    </w:p>
    <w:bookmarkEnd w:id="1809"/>
    <w:bookmarkEnd w:id="1810"/>
    <w:bookmarkStart w:id="1819" w:name="generate-a-guid"/>
    <w:p>
      <w:pPr>
        <w:pStyle w:val="Heading1"/>
      </w:pPr>
      <w:r>
        <w:t xml:space="preserve">Generate a GUID</w:t>
      </w:r>
    </w:p>
    <w:bookmarkStart w:id="1811" w:name="overview-132"/>
    <w:p>
      <w:pPr>
        <w:pStyle w:val="Heading2"/>
      </w:pPr>
      <w:r>
        <w:t xml:space="preserve">Overview</w:t>
      </w:r>
    </w:p>
    <w:p>
      <w:pPr>
        <w:pStyle w:val="FirstParagraph"/>
      </w:pPr>
      <w:r>
        <w:t xml:space="preserve">Generates a cryptographically secure version 4 GUID (Globally Unique Identifier) string.</w:t>
      </w:r>
    </w:p>
    <w:bookmarkEnd w:id="1811"/>
    <w:bookmarkStart w:id="1812" w:name="prerequisites-9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bookmarkEnd w:id="1812"/>
    <w:bookmarkStart w:id="1813" w:name="syntax-149"/>
    <w:p>
      <w:pPr>
        <w:pStyle w:val="Heading2"/>
      </w:pPr>
      <w:r>
        <w:t xml:space="preserve">Syntax</w:t>
      </w:r>
    </w:p>
    <w:p>
      <w:pPr>
        <w:pStyle w:val="SourceCode"/>
      </w:pPr>
      <w:r>
        <w:rPr>
          <w:rStyle w:val="NormalTok"/>
        </w:rPr>
        <w:t xml:space="preserve">result = ax.AxGenerateGuid()</w:t>
      </w:r>
    </w:p>
    <w:bookmarkEnd w:id="1813"/>
    <w:bookmarkStart w:id="1814" w:name="parameters-80"/>
    <w:p>
      <w:pPr>
        <w:pStyle w:val="Heading2"/>
      </w:pPr>
      <w:r>
        <w:t xml:space="preserve">Parameters</w:t>
      </w:r>
    </w:p>
    <w:p>
      <w:pPr>
        <w:pStyle w:val="FirstParagraph"/>
      </w:pPr>
      <w:r>
        <w:t xml:space="preserve">This method does not accept any parameters.</w:t>
      </w:r>
    </w:p>
    <w:bookmarkEnd w:id="1814"/>
    <w:bookmarkStart w:id="1815" w:name="return-value-96"/>
    <w:p>
      <w:pPr>
        <w:pStyle w:val="Heading2"/>
      </w:pPr>
      <w:r>
        <w:t xml:space="preserve">Return Value</w:t>
      </w:r>
    </w:p>
    <w:p>
      <w:pPr>
        <w:pStyle w:val="Compact"/>
        <w:numPr>
          <w:ilvl w:val="0"/>
          <w:numId w:val="1543"/>
        </w:numPr>
      </w:pPr>
      <w:r>
        <w:rPr>
          <w:b/>
          <w:bCs/>
        </w:rPr>
        <w:t xml:space="preserve">String</w:t>
      </w:r>
      <w:r>
        <w:t xml:space="preserve">: A 36-character RFC 4122 version 4 GUID in the form</w:t>
      </w:r>
      <w:r>
        <w:t xml:space="preserve"> </w:t>
      </w:r>
      <w:r>
        <w:rPr>
          <w:rStyle w:val="VerbatimChar"/>
        </w:rPr>
        <w:t xml:space="preserve">xxxxxxxx-xxxx-4xxx-yxxx-xxxxxxxxxxxx</w:t>
      </w:r>
      <w:r>
        <w:t xml:space="preserve">, where</w:t>
      </w:r>
      <w:r>
        <w:t xml:space="preserve"> </w:t>
      </w:r>
      <w:r>
        <w:rPr>
          <w:rStyle w:val="VerbatimChar"/>
        </w:rPr>
        <w:t xml:space="preserve">x</w:t>
      </w:r>
      <w:r>
        <w:t xml:space="preserve"> </w:t>
      </w:r>
      <w:r>
        <w:t xml:space="preserve">is a random lowercase hexadecimal digit and</w:t>
      </w:r>
      <w:r>
        <w:t xml:space="preserve"> </w:t>
      </w:r>
      <w:r>
        <w:rPr>
          <w:rStyle w:val="VerbatimChar"/>
        </w:rPr>
        <w:t xml:space="preserve">y</w:t>
      </w:r>
      <w:r>
        <w:t xml:space="preserve"> </w:t>
      </w:r>
      <w:r>
        <w:t xml:space="preserve">is one of</w:t>
      </w:r>
      <w:r>
        <w:t xml:space="preserve"> </w:t>
      </w:r>
      <w:r>
        <w:rPr>
          <w:rStyle w:val="VerbatimChar"/>
        </w:rPr>
        <w:t xml:space="preserve">8</w:t>
      </w:r>
      <w:r>
        <w:t xml:space="preserve">,</w:t>
      </w:r>
      <w:r>
        <w:t xml:space="preserve"> </w:t>
      </w:r>
      <w:r>
        <w:rPr>
          <w:rStyle w:val="VerbatimChar"/>
        </w:rPr>
        <w:t xml:space="preserve">9</w:t>
      </w:r>
      <w:r>
        <w:t xml:space="preserve">,</w:t>
      </w:r>
      <w:r>
        <w:t xml:space="preserve"> </w:t>
      </w:r>
      <w:r>
        <w:rPr>
          <w:rStyle w:val="VerbatimChar"/>
        </w:rPr>
        <w:t xml:space="preserve">a</w:t>
      </w:r>
      <w:r>
        <w:t xml:space="preserve">, or</w:t>
      </w:r>
      <w:r>
        <w:t xml:space="preserve"> </w:t>
      </w:r>
      <w:r>
        <w:rPr>
          <w:rStyle w:val="VerbatimChar"/>
        </w:rPr>
        <w:t xml:space="preserve">b</w:t>
      </w:r>
      <w:r>
        <w:t xml:space="preserve">.</w:t>
      </w:r>
    </w:p>
    <w:bookmarkEnd w:id="1815"/>
    <w:bookmarkStart w:id="1816" w:name="remarks-162"/>
    <w:p>
      <w:pPr>
        <w:pStyle w:val="Heading2"/>
      </w:pPr>
      <w:r>
        <w:t xml:space="preserve">Remarks</w:t>
      </w:r>
    </w:p>
    <w:p>
      <w:pPr>
        <w:pStyle w:val="Compact"/>
        <w:numPr>
          <w:ilvl w:val="0"/>
          <w:numId w:val="1544"/>
        </w:numPr>
      </w:pPr>
      <w:r>
        <w:t xml:space="preserve">The GUID is generated using a cryptographically secure random number generator.</w:t>
      </w:r>
    </w:p>
    <w:p>
      <w:pPr>
        <w:pStyle w:val="Compact"/>
        <w:numPr>
          <w:ilvl w:val="0"/>
          <w:numId w:val="1544"/>
        </w:numPr>
      </w:pPr>
      <w:r>
        <w:t xml:space="preserve">Each call produces a statistically unique value. Collisions are possible but astronomically unlikely.</w:t>
      </w:r>
    </w:p>
    <w:p>
      <w:pPr>
        <w:pStyle w:val="Compact"/>
        <w:numPr>
          <w:ilvl w:val="0"/>
          <w:numId w:val="1544"/>
        </w:numPr>
      </w:pPr>
      <w:r>
        <w:t xml:space="preserve">Method names are case-insensitive.</w:t>
      </w:r>
    </w:p>
    <w:bookmarkEnd w:id="1816"/>
    <w:bookmarkStart w:id="1817" w:name="example-9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guid</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guid = ax.AxGenerateGuid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guid</w:t>
      </w:r>
      <w:r>
        <w:br/>
      </w:r>
      <w:r>
        <w:rPr>
          <w:rStyle w:val="CommentTok"/>
        </w:rPr>
        <w:t xml:space="preserve">' Output example: f47ac10b-58cc-4372-a567-0e02b2c3d479</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817"/>
    <w:bookmarkStart w:id="1818" w:name="api-reference-93"/>
    <w:p>
      <w:pPr>
        <w:pStyle w:val="Heading2"/>
      </w:pPr>
      <w:r>
        <w:t xml:space="preserve">API Reference</w:t>
      </w:r>
    </w:p>
    <w:p>
      <w:pPr>
        <w:pStyle w:val="Compact"/>
        <w:numPr>
          <w:ilvl w:val="0"/>
          <w:numId w:val="1545"/>
        </w:numPr>
      </w:pPr>
      <w:r>
        <w:rPr>
          <w:b/>
          <w:bCs/>
        </w:rPr>
        <w:t xml:space="preserve">Object</w:t>
      </w:r>
      <w:r>
        <w:t xml:space="preserve">:</w:t>
      </w:r>
      <w:r>
        <w:t xml:space="preserve"> </w:t>
      </w:r>
      <w:r>
        <w:rPr>
          <w:rStyle w:val="VerbatimChar"/>
        </w:rPr>
        <w:t xml:space="preserve">G3AXON.FUNCTIONS</w:t>
      </w:r>
    </w:p>
    <w:p>
      <w:pPr>
        <w:pStyle w:val="Compact"/>
        <w:numPr>
          <w:ilvl w:val="0"/>
          <w:numId w:val="1545"/>
        </w:numPr>
      </w:pPr>
      <w:r>
        <w:rPr>
          <w:b/>
          <w:bCs/>
        </w:rPr>
        <w:t xml:space="preserve">Method</w:t>
      </w:r>
      <w:r>
        <w:t xml:space="preserve">:</w:t>
      </w:r>
      <w:r>
        <w:t xml:space="preserve"> </w:t>
      </w:r>
      <w:r>
        <w:rPr>
          <w:rStyle w:val="VerbatimChar"/>
        </w:rPr>
        <w:t xml:space="preserve">AxGenerateGuid</w:t>
      </w:r>
    </w:p>
    <w:p>
      <w:pPr>
        <w:pStyle w:val="Compact"/>
        <w:numPr>
          <w:ilvl w:val="0"/>
          <w:numId w:val="1545"/>
        </w:numPr>
      </w:pPr>
      <w:r>
        <w:rPr>
          <w:b/>
          <w:bCs/>
        </w:rPr>
        <w:t xml:space="preserve">Arguments</w:t>
      </w:r>
      <w:r>
        <w:t xml:space="preserve">: None</w:t>
      </w:r>
    </w:p>
    <w:p>
      <w:pPr>
        <w:pStyle w:val="Compact"/>
        <w:numPr>
          <w:ilvl w:val="0"/>
          <w:numId w:val="1545"/>
        </w:numPr>
      </w:pPr>
      <w:r>
        <w:rPr>
          <w:b/>
          <w:bCs/>
        </w:rPr>
        <w:t xml:space="preserve">Returns</w:t>
      </w:r>
      <w:r>
        <w:t xml:space="preserve">: String — 36-character RFC 4122 v4 GUID</w:t>
      </w:r>
    </w:p>
    <w:bookmarkEnd w:id="1818"/>
    <w:bookmarkEnd w:id="1819"/>
    <w:bookmarkStart w:id="1828" w:name="get-the-default-css-stylesheet-content"/>
    <w:p>
      <w:pPr>
        <w:pStyle w:val="Heading1"/>
      </w:pPr>
      <w:r>
        <w:t xml:space="preserve">Get the Default CSS Stylesheet Content</w:t>
      </w:r>
    </w:p>
    <w:bookmarkStart w:id="1820" w:name="overview-133"/>
    <w:p>
      <w:pPr>
        <w:pStyle w:val="Heading2"/>
      </w:pPr>
      <w:r>
        <w:t xml:space="preserve">Overview</w:t>
      </w:r>
    </w:p>
    <w:p>
      <w:pPr>
        <w:pStyle w:val="FirstParagraph"/>
      </w:pPr>
      <w:r>
        <w:t xml:space="preserve">Returns the text content of the CSS file configured in the</w:t>
      </w:r>
      <w:r>
        <w:t xml:space="preserve"> </w:t>
      </w:r>
      <w:r>
        <w:rPr>
          <w:rStyle w:val="VerbatimChar"/>
        </w:rPr>
        <w:t xml:space="preserve">axfunctions.ax_default_css_path</w:t>
      </w:r>
      <w:r>
        <w:t xml:space="preserve"> </w:t>
      </w:r>
      <w:r>
        <w:t xml:space="preserve">setting of</w:t>
      </w:r>
      <w:r>
        <w:t xml:space="preserve"> </w:t>
      </w:r>
      <w:r>
        <w:rPr>
          <w:rStyle w:val="VerbatimChar"/>
        </w:rPr>
        <w:t xml:space="preserve">config/axonasp.toml</w:t>
      </w:r>
      <w:r>
        <w:t xml:space="preserve">.</w:t>
      </w:r>
    </w:p>
    <w:bookmarkEnd w:id="1820"/>
    <w:bookmarkStart w:id="1821" w:name="prerequisites-9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Server.CreateObject("G3AXON.FUNCTIONS")</w:t>
      </w:r>
      <w:r>
        <w:t xml:space="preserve">.</w:t>
      </w:r>
    </w:p>
    <w:p>
      <w:pPr>
        <w:pStyle w:val="BodyText"/>
      </w:pPr>
      <w:r>
        <w:t xml:space="preserve">Set the CSS file path in</w:t>
      </w:r>
      <w:r>
        <w:t xml:space="preserve"> </w:t>
      </w:r>
      <w:r>
        <w:rPr>
          <w:rStyle w:val="VerbatimChar"/>
        </w:rPr>
        <w:t xml:space="preserve">config/axonasp.toml</w:t>
      </w:r>
      <w:r>
        <w:t xml:space="preserve">:</w:t>
      </w:r>
    </w:p>
    <w:p>
      <w:pPr>
        <w:pStyle w:val="SourceCode"/>
      </w:pPr>
      <w:r>
        <w:rPr>
          <w:rStyle w:val="KeywordTok"/>
        </w:rPr>
        <w:t xml:space="preserve">[axfunctions]</w:t>
      </w:r>
      <w:r>
        <w:br/>
      </w:r>
      <w:r>
        <w:rPr>
          <w:rStyle w:val="DataTypeTok"/>
        </w:rPr>
        <w:t xml:space="preserve">ax_default_css_path</w:t>
      </w:r>
      <w:r>
        <w:rPr>
          <w:rStyle w:val="NormalTok"/>
        </w:rPr>
        <w:t xml:space="preserve"> </w:t>
      </w:r>
      <w:r>
        <w:rPr>
          <w:rStyle w:val="OperatorTok"/>
        </w:rPr>
        <w:t xml:space="preserve">=</w:t>
      </w:r>
      <w:r>
        <w:rPr>
          <w:rStyle w:val="NormalTok"/>
        </w:rPr>
        <w:t xml:space="preserve"> </w:t>
      </w:r>
      <w:r>
        <w:rPr>
          <w:rStyle w:val="StringTok"/>
        </w:rPr>
        <w:t xml:space="preserve">"./www/css/axonasp.css"</w:t>
      </w:r>
    </w:p>
    <w:bookmarkEnd w:id="1821"/>
    <w:bookmarkStart w:id="1822" w:name="syntax-150"/>
    <w:p>
      <w:pPr>
        <w:pStyle w:val="Heading2"/>
      </w:pPr>
      <w:r>
        <w:t xml:space="preserve">Syntax</w:t>
      </w:r>
    </w:p>
    <w:p>
      <w:pPr>
        <w:pStyle w:val="SourceCode"/>
      </w:pPr>
      <w:r>
        <w:rPr>
          <w:rStyle w:val="NormalTok"/>
        </w:rPr>
        <w:t xml:space="preserve">result = ax.AxGetDefaultCss()</w:t>
      </w:r>
    </w:p>
    <w:bookmarkEnd w:id="1822"/>
    <w:bookmarkStart w:id="1823" w:name="parameters-81"/>
    <w:p>
      <w:pPr>
        <w:pStyle w:val="Heading2"/>
      </w:pPr>
      <w:r>
        <w:t xml:space="preserve">Parameters</w:t>
      </w:r>
    </w:p>
    <w:p>
      <w:pPr>
        <w:pStyle w:val="FirstParagraph"/>
      </w:pPr>
      <w:r>
        <w:t xml:space="preserve">This method does not accept any parameters.</w:t>
      </w:r>
    </w:p>
    <w:bookmarkEnd w:id="1823"/>
    <w:bookmarkStart w:id="1824" w:name="return-value-97"/>
    <w:p>
      <w:pPr>
        <w:pStyle w:val="Heading2"/>
      </w:pPr>
      <w:r>
        <w:t xml:space="preserve">Return Value</w:t>
      </w:r>
    </w:p>
    <w:p>
      <w:pPr>
        <w:pStyle w:val="Compact"/>
        <w:numPr>
          <w:ilvl w:val="0"/>
          <w:numId w:val="1546"/>
        </w:numPr>
      </w:pPr>
      <w:r>
        <w:rPr>
          <w:b/>
          <w:bCs/>
        </w:rPr>
        <w:t xml:space="preserve">String</w:t>
      </w:r>
      <w:r>
        <w:t xml:space="preserve">: The raw CSS text from the configured file.</w:t>
      </w:r>
    </w:p>
    <w:p>
      <w:pPr>
        <w:pStyle w:val="Compact"/>
        <w:numPr>
          <w:ilvl w:val="0"/>
          <w:numId w:val="1546"/>
        </w:numPr>
      </w:pPr>
      <w:r>
        <w:rPr>
          <w:b/>
          <w:bCs/>
        </w:rPr>
        <w:t xml:space="preserve">String (empty)</w:t>
      </w:r>
      <w:r>
        <w:t xml:space="preserve">: Returned when</w:t>
      </w:r>
      <w:r>
        <w:t xml:space="preserve"> </w:t>
      </w:r>
      <w:r>
        <w:rPr>
          <w:rStyle w:val="VerbatimChar"/>
        </w:rPr>
        <w:t xml:space="preserve">ax_default_css_path</w:t>
      </w:r>
      <w:r>
        <w:t xml:space="preserve"> </w:t>
      </w:r>
      <w:r>
        <w:t xml:space="preserve">is not configured or the file cannot be read.</w:t>
      </w:r>
    </w:p>
    <w:bookmarkEnd w:id="1824"/>
    <w:bookmarkStart w:id="1825" w:name="remarks-163"/>
    <w:p>
      <w:pPr>
        <w:pStyle w:val="Heading2"/>
      </w:pPr>
      <w:r>
        <w:t xml:space="preserve">Remarks</w:t>
      </w:r>
    </w:p>
    <w:p>
      <w:pPr>
        <w:pStyle w:val="Compact"/>
        <w:numPr>
          <w:ilvl w:val="0"/>
          <w:numId w:val="1547"/>
        </w:numPr>
      </w:pPr>
      <w:r>
        <w:t xml:space="preserve">The file path is resolved relative to the AxonASP executable directory.</w:t>
      </w:r>
    </w:p>
    <w:p>
      <w:pPr>
        <w:pStyle w:val="Compact"/>
        <w:numPr>
          <w:ilvl w:val="0"/>
          <w:numId w:val="1547"/>
        </w:numPr>
      </w:pPr>
      <w:r>
        <w:t xml:space="preserve">This method allows ASP pages to inline the system stylesheet without hardcoding file paths.</w:t>
      </w:r>
    </w:p>
    <w:p>
      <w:pPr>
        <w:pStyle w:val="Compact"/>
        <w:numPr>
          <w:ilvl w:val="0"/>
          <w:numId w:val="1547"/>
        </w:numPr>
      </w:pPr>
      <w:r>
        <w:t xml:space="preserve">Method names are case-insensitive.</w:t>
      </w:r>
    </w:p>
    <w:bookmarkEnd w:id="1825"/>
    <w:bookmarkStart w:id="1826" w:name="example-9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css</w:t>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css = ax.AxGetDefaultCss</w:t>
      </w:r>
      <w:r>
        <w:rPr>
          <w:rStyle w:val="OtherTok"/>
        </w:rPr>
        <w:t xml:space="preserve">()</w:t>
      </w:r>
      <w:r>
        <w:br/>
      </w:r>
      <w:r>
        <w:br/>
      </w:r>
      <w:r>
        <w:rPr>
          <w:rStyle w:val="ControlFlowTok"/>
        </w:rPr>
        <w:t xml:space="preserve">If</w:t>
      </w:r>
      <w:r>
        <w:rPr>
          <w:rStyle w:val="NormalTok"/>
        </w:rPr>
        <w:t xml:space="preserve"> css &lt;&gt;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"&lt;style&gt;"</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css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"&lt;/style&gt;"</w:t>
      </w:r>
      <w:r>
        <w:br/>
      </w:r>
      <w:r>
        <w:rPr>
          <w:rStyle w:val="ControlFlowTok"/>
        </w:rPr>
        <w:t xml:space="preserve">End If</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826"/>
    <w:bookmarkStart w:id="1827" w:name="api-reference-94"/>
    <w:p>
      <w:pPr>
        <w:pStyle w:val="Heading2"/>
      </w:pPr>
      <w:r>
        <w:t xml:space="preserve">API Reference</w:t>
      </w:r>
    </w:p>
    <w:p>
      <w:pPr>
        <w:pStyle w:val="Compact"/>
        <w:numPr>
          <w:ilvl w:val="0"/>
          <w:numId w:val="1548"/>
        </w:numPr>
      </w:pPr>
      <w:r>
        <w:rPr>
          <w:b/>
          <w:bCs/>
        </w:rPr>
        <w:t xml:space="preserve">Object</w:t>
      </w:r>
      <w:r>
        <w:t xml:space="preserve">:</w:t>
      </w:r>
      <w:r>
        <w:t xml:space="preserve"> </w:t>
      </w:r>
      <w:r>
        <w:rPr>
          <w:rStyle w:val="VerbatimChar"/>
        </w:rPr>
        <w:t xml:space="preserve">G3AXON.FUNCTIONS</w:t>
      </w:r>
    </w:p>
    <w:p>
      <w:pPr>
        <w:pStyle w:val="Compact"/>
        <w:numPr>
          <w:ilvl w:val="0"/>
          <w:numId w:val="1548"/>
        </w:numPr>
      </w:pPr>
      <w:r>
        <w:rPr>
          <w:b/>
          <w:bCs/>
        </w:rPr>
        <w:t xml:space="preserve">Method</w:t>
      </w:r>
      <w:r>
        <w:t xml:space="preserve">:</w:t>
      </w:r>
      <w:r>
        <w:t xml:space="preserve"> </w:t>
      </w:r>
      <w:r>
        <w:rPr>
          <w:rStyle w:val="VerbatimChar"/>
        </w:rPr>
        <w:t xml:space="preserve">AxGetDefaultCss</w:t>
      </w:r>
    </w:p>
    <w:p>
      <w:pPr>
        <w:pStyle w:val="Compact"/>
        <w:numPr>
          <w:ilvl w:val="0"/>
          <w:numId w:val="1548"/>
        </w:numPr>
      </w:pPr>
      <w:r>
        <w:rPr>
          <w:b/>
          <w:bCs/>
        </w:rPr>
        <w:t xml:space="preserve">Arguments</w:t>
      </w:r>
      <w:r>
        <w:t xml:space="preserve">: None</w:t>
      </w:r>
    </w:p>
    <w:p>
      <w:pPr>
        <w:pStyle w:val="Compact"/>
        <w:numPr>
          <w:ilvl w:val="0"/>
          <w:numId w:val="1548"/>
        </w:numPr>
      </w:pPr>
      <w:r>
        <w:rPr>
          <w:b/>
          <w:bCs/>
        </w:rPr>
        <w:t xml:space="preserve">Returns</w:t>
      </w:r>
      <w:r>
        <w:t xml:space="preserve">: String — CSS file content, or empty string if not configured or unreadable</w:t>
      </w:r>
    </w:p>
    <w:bookmarkEnd w:id="1827"/>
    <w:bookmarkEnd w:id="1828"/>
    <w:bookmarkStart w:id="1838" w:name="axpoweredbyimage"/>
    <w:p>
      <w:pPr>
        <w:pStyle w:val="Heading1"/>
      </w:pPr>
      <w:r>
        <w:t xml:space="preserve">AxPoweredByImage</w:t>
      </w:r>
    </w:p>
    <w:bookmarkStart w:id="1829" w:name="overview-134"/>
    <w:p>
      <w:pPr>
        <w:pStyle w:val="Heading2"/>
      </w:pPr>
      <w:r>
        <w:t xml:space="preserve">Overview</w:t>
      </w:r>
    </w:p>
    <w:p>
      <w:pPr>
        <w:pStyle w:val="FirstParagraph"/>
      </w:pPr>
      <w:r>
        <w:t xml:space="preserve">Use</w:t>
      </w:r>
      <w:r>
        <w:t xml:space="preserve"> </w:t>
      </w:r>
      <w:r>
        <w:rPr>
          <w:rStyle w:val="VerbatimChar"/>
        </w:rPr>
        <w:t xml:space="preserve">AxPoweredByImage</w:t>
      </w:r>
      <w:r>
        <w:t xml:space="preserve"> </w:t>
      </w:r>
      <w:r>
        <w:t xml:space="preserve">to read the built-in</w:t>
      </w:r>
      <w:r>
        <w:t xml:space="preserve"> </w:t>
      </w:r>
      <w:r>
        <w:t xml:space="preserve">“Powered by AxonASP”</w:t>
      </w:r>
      <w:r>
        <w:t xml:space="preserve"> </w:t>
      </w:r>
      <w:r>
        <w:t xml:space="preserve">promotional image as a Base64 data URI string.</w:t>
      </w:r>
    </w:p>
    <w:bookmarkEnd w:id="1829"/>
    <w:bookmarkStart w:id="1830" w:name="prerequisites-92"/>
    <w:p>
      <w:pPr>
        <w:pStyle w:val="Heading2"/>
      </w:pPr>
      <w:r>
        <w:t xml:space="preserve">Prerequisites</w:t>
      </w:r>
    </w:p>
    <w:p>
      <w:pPr>
        <w:pStyle w:val="Compact"/>
        <w:numPr>
          <w:ilvl w:val="0"/>
          <w:numId w:val="1549"/>
        </w:numPr>
      </w:pPr>
      <w:r>
        <w:t xml:space="preserve">Instantiate the library with</w:t>
      </w:r>
      <w:r>
        <w:t xml:space="preserve"> </w:t>
      </w:r>
      <w:r>
        <w:rPr>
          <w:rStyle w:val="VerbatimChar"/>
        </w:rPr>
        <w:t xml:space="preserve">Server.CreateObject("G3AXON.FUNCTIONS")</w:t>
      </w:r>
      <w:r>
        <w:t xml:space="preserve">.</w:t>
      </w:r>
    </w:p>
    <w:bookmarkEnd w:id="1830"/>
    <w:bookmarkStart w:id="1831" w:name="syntax-151"/>
    <w:p>
      <w:pPr>
        <w:pStyle w:val="Heading2"/>
      </w:pPr>
      <w:r>
        <w:t xml:space="preserve">Syntax</w:t>
      </w:r>
    </w:p>
    <w:p>
      <w:pPr>
        <w:pStyle w:val="SourceCode"/>
      </w:pPr>
      <w:r>
        <w:rPr>
          <w:rStyle w:val="NormalTok"/>
        </w:rPr>
        <w:t xml:space="preserve">imageUri = obj.AxPoweredByImage()</w:t>
      </w:r>
    </w:p>
    <w:bookmarkEnd w:id="1831"/>
    <w:bookmarkStart w:id="1832" w:name="parameters-82"/>
    <w:p>
      <w:pPr>
        <w:pStyle w:val="Heading2"/>
      </w:pPr>
      <w:r>
        <w:t xml:space="preserve">Parameters</w:t>
      </w:r>
    </w:p>
    <w:p>
      <w:pPr>
        <w:pStyle w:val="Compact"/>
        <w:numPr>
          <w:ilvl w:val="0"/>
          <w:numId w:val="1550"/>
        </w:numPr>
      </w:pPr>
      <w:r>
        <w:t xml:space="preserve">This method does not require parameters.</w:t>
      </w:r>
    </w:p>
    <w:bookmarkEnd w:id="1832"/>
    <w:bookmarkStart w:id="1833" w:name="return-value-98"/>
    <w:p>
      <w:pPr>
        <w:pStyle w:val="Heading2"/>
      </w:pPr>
      <w:r>
        <w:t xml:space="preserve">Return Value</w:t>
      </w:r>
    </w:p>
    <w:p>
      <w:pPr>
        <w:pStyle w:val="Compact"/>
        <w:numPr>
          <w:ilvl w:val="0"/>
          <w:numId w:val="1551"/>
        </w:numPr>
      </w:pPr>
      <w:r>
        <w:rPr>
          <w:b/>
          <w:bCs/>
        </w:rPr>
        <w:t xml:space="preserve">String</w:t>
      </w:r>
      <w:r>
        <w:t xml:space="preserve">: Returns a Base64 encoded data URI representing a PNG image (e.g.,</w:t>
      </w:r>
      <w:r>
        <w:t xml:space="preserve"> </w:t>
      </w:r>
      <w:r>
        <w:rPr>
          <w:rStyle w:val="VerbatimChar"/>
        </w:rPr>
        <w:t xml:space="preserve">data:image/png;base64,...</w:t>
      </w:r>
      <w:r>
        <w:t xml:space="preserve">).</w:t>
      </w:r>
    </w:p>
    <w:bookmarkEnd w:id="1833"/>
    <w:bookmarkStart w:id="1834" w:name="remarks-164"/>
    <w:p>
      <w:pPr>
        <w:pStyle w:val="Heading2"/>
      </w:pPr>
      <w:r>
        <w:t xml:space="preserve">Remarks</w:t>
      </w:r>
    </w:p>
    <w:p>
      <w:pPr>
        <w:pStyle w:val="Compact"/>
        <w:numPr>
          <w:ilvl w:val="0"/>
          <w:numId w:val="1552"/>
        </w:numPr>
      </w:pPr>
      <w:r>
        <w:t xml:space="preserve">Use this method to easily embed a</w:t>
      </w:r>
      <w:r>
        <w:t xml:space="preserve"> </w:t>
      </w:r>
      <w:r>
        <w:t xml:space="preserve">“Powered by AxonASP”</w:t>
      </w:r>
      <w:r>
        <w:t xml:space="preserve"> </w:t>
      </w:r>
      <w:r>
        <w:t xml:space="preserve">badge into your HTML output without relying on external image files.</w:t>
      </w:r>
    </w:p>
    <w:p>
      <w:pPr>
        <w:pStyle w:val="Compact"/>
        <w:numPr>
          <w:ilvl w:val="0"/>
          <w:numId w:val="1552"/>
        </w:numPr>
      </w:pPr>
      <w:r>
        <w:t xml:space="preserve">The returned string can be used directly as the</w:t>
      </w:r>
      <w:r>
        <w:t xml:space="preserve"> </w:t>
      </w:r>
      <w:r>
        <w:rPr>
          <w:rStyle w:val="VerbatimChar"/>
        </w:rPr>
        <w:t xml:space="preserve">src</w:t>
      </w:r>
      <w:r>
        <w:t xml:space="preserve"> </w:t>
      </w:r>
      <w:r>
        <w:t xml:space="preserve">attribute of an HTML</w:t>
      </w:r>
      <w:r>
        <w:t xml:space="preserve"> </w:t>
      </w:r>
      <w:r>
        <w:rPr>
          <w:rStyle w:val="VerbatimChar"/>
        </w:rPr>
        <w:t xml:space="preserve">&lt;img&gt;</w:t>
      </w:r>
      <w:r>
        <w:t xml:space="preserve"> </w:t>
      </w:r>
      <w:r>
        <w:t xml:space="preserve">tag.</w:t>
      </w:r>
    </w:p>
    <w:p>
      <w:pPr>
        <w:pStyle w:val="Compact"/>
        <w:numPr>
          <w:ilvl w:val="0"/>
          <w:numId w:val="1552"/>
        </w:numPr>
      </w:pPr>
      <w:r>
        <w:t xml:space="preserve">Method names are case-insensitive in VBScript dispatch.</w:t>
      </w:r>
    </w:p>
    <w:bookmarkEnd w:id="1834"/>
    <w:bookmarkStart w:id="1835" w:name="example-10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ax</w:t>
      </w:r>
      <w:r>
        <w:rPr>
          <w:rStyle w:val="OtherTok"/>
        </w:rPr>
        <w:t xml:space="preserve">,</w:t>
      </w:r>
      <w:r>
        <w:rPr>
          <w:rStyle w:val="NormalTok"/>
        </w:rPr>
        <w:t xml:space="preserve"> imageUri</w:t>
      </w:r>
      <w:r>
        <w:br/>
      </w:r>
      <w:r>
        <w:br/>
      </w:r>
      <w:r>
        <w:rPr>
          <w:rStyle w:val="KeywordTok"/>
        </w:rPr>
        <w:t xml:space="preserve">Set</w:t>
      </w:r>
      <w:r>
        <w:rPr>
          <w:rStyle w:val="NormalTok"/>
        </w:rPr>
        <w:t xml:space="preserve"> ax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"G3AXON.FUNCTIONS"</w:t>
      </w:r>
      <w:r>
        <w:rPr>
          <w:rStyle w:val="OtherTok"/>
        </w:rPr>
        <w:t xml:space="preserve">)</w:t>
      </w:r>
      <w:r>
        <w:br/>
      </w:r>
      <w:r>
        <w:br/>
      </w:r>
      <w:r>
        <w:rPr>
          <w:rStyle w:val="NormalTok"/>
        </w:rPr>
        <w:t xml:space="preserve">imageUri = ax.AxPoweredByImage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"&lt;img src=</w:t>
      </w:r>
      <w:r>
        <w:rPr>
          <w:rStyle w:val="SpecialCharTok"/>
        </w:rPr>
        <w:t xml:space="preserve">""</w:t>
      </w:r>
      <w:r>
        <w:rPr>
          <w:rStyle w:val="StringTok"/>
        </w:rPr>
        <w:t xml:space="preserve">"</w:t>
      </w:r>
      <w:r>
        <w:rPr>
          <w:rStyle w:val="NormalTok"/>
        </w:rPr>
        <w:t xml:space="preserve"> </w:t>
      </w:r>
      <w:r>
        <w:rPr>
          <w:rStyle w:val="KeywordTok"/>
        </w:rPr>
        <w:t xml:space="preserve">&amp;</w:t>
      </w:r>
      <w:r>
        <w:rPr>
          <w:rStyle w:val="NormalTok"/>
        </w:rPr>
        <w:t xml:space="preserve"> imageUri </w:t>
      </w:r>
      <w:r>
        <w:rPr>
          <w:rStyle w:val="KeywordTok"/>
        </w:rPr>
        <w:t xml:space="preserve">&amp;</w:t>
      </w:r>
      <w:r>
        <w:rPr>
          <w:rStyle w:val="NormalTok"/>
        </w:rPr>
        <w:t xml:space="preserve"> </w:t>
      </w:r>
      <w:r>
        <w:rPr>
          <w:rStyle w:val="StringTok"/>
        </w:rPr>
        <w:t xml:space="preserve">"</w:t>
      </w:r>
      <w:r>
        <w:rPr>
          <w:rStyle w:val="SpecialCharTok"/>
        </w:rPr>
        <w:t xml:space="preserve">""</w:t>
      </w:r>
      <w:r>
        <w:rPr>
          <w:rStyle w:val="StringTok"/>
        </w:rPr>
        <w:t xml:space="preserve"> alt=</w:t>
      </w:r>
      <w:r>
        <w:rPr>
          <w:rStyle w:val="SpecialCharTok"/>
        </w:rPr>
        <w:t xml:space="preserve">""</w:t>
      </w:r>
      <w:r>
        <w:rPr>
          <w:rStyle w:val="StringTok"/>
        </w:rPr>
        <w:t xml:space="preserve">Powered by AxonASP</w:t>
      </w:r>
      <w:r>
        <w:rPr>
          <w:rStyle w:val="SpecialCharTok"/>
        </w:rPr>
        <w:t xml:space="preserve">""</w:t>
      </w:r>
      <w:r>
        <w:rPr>
          <w:rStyle w:val="StringTok"/>
        </w:rPr>
        <w:t xml:space="preserve"> /&gt;"</w:t>
      </w:r>
      <w:r>
        <w:br/>
      </w:r>
      <w:r>
        <w:br/>
      </w:r>
      <w:r>
        <w:rPr>
          <w:rStyle w:val="KeywordTok"/>
        </w:rPr>
        <w:t xml:space="preserve">Set</w:t>
      </w:r>
      <w:r>
        <w:rPr>
          <w:rStyle w:val="NormalTok"/>
        </w:rPr>
        <w:t xml:space="preserve"> ax = </w:t>
      </w:r>
      <w:r>
        <w:rPr>
          <w:rStyle w:val="KeywordTok"/>
        </w:rPr>
        <w:t xml:space="preserve">Nothing</w:t>
      </w:r>
      <w:r>
        <w:br/>
      </w:r>
      <w:r>
        <w:rPr>
          <w:rStyle w:val="DataTypeTok"/>
        </w:rPr>
        <w:t xml:space="preserve">%&gt;</w:t>
      </w:r>
    </w:p>
    <w:bookmarkEnd w:id="1835"/>
    <w:bookmarkStart w:id="1836" w:name="api-reference-95"/>
    <w:p>
      <w:pPr>
        <w:pStyle w:val="Heading2"/>
      </w:pPr>
      <w:r>
        <w:t xml:space="preserve">API Reference</w:t>
      </w:r>
    </w:p>
    <w:p>
      <w:pPr>
        <w:pStyle w:val="Compact"/>
        <w:numPr>
          <w:ilvl w:val="0"/>
          <w:numId w:val="1553"/>
        </w:numPr>
      </w:pPr>
      <w:r>
        <w:rPr>
          <w:b/>
          <w:bCs/>
        </w:rPr>
        <w:t xml:space="preserve">Object</w:t>
      </w:r>
      <w:r>
        <w:t xml:space="preserve">:</w:t>
      </w:r>
      <w:r>
        <w:t xml:space="preserve"> </w:t>
      </w:r>
      <w:r>
        <w:rPr>
          <w:rStyle w:val="VerbatimChar"/>
        </w:rPr>
        <w:t xml:space="preserve">G3AXON.FUNCTIONS</w:t>
      </w:r>
    </w:p>
    <w:p>
      <w:pPr>
        <w:pStyle w:val="Compact"/>
        <w:numPr>
          <w:ilvl w:val="0"/>
          <w:numId w:val="1553"/>
        </w:numPr>
      </w:pPr>
      <w:r>
        <w:rPr>
          <w:b/>
          <w:bCs/>
        </w:rPr>
        <w:t xml:space="preserve">Method</w:t>
      </w:r>
      <w:r>
        <w:t xml:space="preserve">:</w:t>
      </w:r>
      <w:r>
        <w:t xml:space="preserve"> </w:t>
      </w:r>
      <w:r>
        <w:rPr>
          <w:rStyle w:val="VerbatimChar"/>
        </w:rPr>
        <w:t xml:space="preserve">AxPoweredByImage</w:t>
      </w:r>
    </w:p>
    <w:p>
      <w:pPr>
        <w:pStyle w:val="Compact"/>
        <w:numPr>
          <w:ilvl w:val="0"/>
          <w:numId w:val="1553"/>
        </w:numPr>
      </w:pPr>
      <w:r>
        <w:rPr>
          <w:b/>
          <w:bCs/>
        </w:rPr>
        <w:t xml:space="preserve">Arguments</w:t>
      </w:r>
      <w:r>
        <w:t xml:space="preserve">: none</w:t>
      </w:r>
    </w:p>
    <w:p>
      <w:pPr>
        <w:pStyle w:val="Compact"/>
        <w:numPr>
          <w:ilvl w:val="0"/>
          <w:numId w:val="1553"/>
        </w:numPr>
      </w:pPr>
      <w:r>
        <w:rPr>
          <w:b/>
          <w:bCs/>
        </w:rPr>
        <w:t xml:space="preserve">Returns</w:t>
      </w:r>
      <w:r>
        <w:t xml:space="preserve">:</w:t>
      </w:r>
      <w:r>
        <w:t xml:space="preserve"> </w:t>
      </w:r>
      <w:r>
        <w:rPr>
          <w:rStyle w:val="VerbatimChar"/>
        </w:rPr>
        <w:t xml:space="preserve">String</w:t>
      </w:r>
      <w:r>
        <w:t xml:space="preserve"> </w:t>
      </w:r>
      <w:r>
        <w:t xml:space="preserve">(Base64 image data URI)</w:t>
      </w:r>
    </w:p>
    <w:bookmarkEnd w:id="1836"/>
    <w:bookmarkStart w:id="1837" w:name="g3axonlive"/>
    <w:p>
      <w:pPr>
        <w:pStyle w:val="Heading2"/>
      </w:pPr>
      <w:r>
        <w:t xml:space="preserve">G3AXONLIVE</w:t>
      </w:r>
    </w:p>
    <w:bookmarkEnd w:id="1837"/>
    <w:bookmarkEnd w:id="1838"/>
    <w:bookmarkStart w:id="1842" w:name="g3axonlive-object-overview"/>
    <w:p>
      <w:pPr>
        <w:pStyle w:val="Heading1"/>
      </w:pPr>
      <w:r>
        <w:t xml:space="preserve">G3AXONLIVE Object Overview</w:t>
      </w:r>
    </w:p>
    <w:p>
      <w:pPr>
        <w:pStyle w:val="FirstParagraph"/>
      </w:pPr>
      <w:r>
        <w:t xml:space="preserve">The</w:t>
      </w:r>
      <w:r>
        <w:t xml:space="preserve"> </w:t>
      </w:r>
      <w:r>
        <w:rPr>
          <w:rStyle w:val="VerbatimChar"/>
        </w:rPr>
        <w:t xml:space="preserve">G3AXONLIVE</w:t>
      </w:r>
      <w:r>
        <w:t xml:space="preserve"> </w:t>
      </w:r>
      <w:r>
        <w:t xml:space="preserve">object is the native server-side procedural controller for the AxonLive framework. By utilizing this object, developers can receive asynchronous JavaScript</w:t>
      </w:r>
      <w:r>
        <w:t xml:space="preserve"> </w:t>
      </w:r>
      <w:r>
        <w:rPr>
          <w:rStyle w:val="VerbatimChar"/>
        </w:rPr>
        <w:t xml:space="preserve">fetch</w:t>
      </w:r>
      <w:r>
        <w:t xml:space="preserve"> </w:t>
      </w:r>
      <w:r>
        <w:t xml:space="preserve">events from the frontend, process the associated business logic locally in Go memory, and respond with targeted DOM updates (HTML patches) and client instructions.</w:t>
      </w:r>
    </w:p>
    <w:bookmarkStart w:id="1839" w:name="progid"/>
    <w:p>
      <w:pPr>
        <w:pStyle w:val="Heading2"/>
      </w:pPr>
      <w:r>
        <w:t xml:space="preserve">ProgID</w:t>
      </w:r>
    </w:p>
    <w:p>
      <w:pPr>
        <w:pStyle w:val="SourceCode"/>
      </w:pPr>
      <w:r>
        <w:rPr>
          <w:rStyle w:val="VerbatimChar"/>
        </w:rPr>
        <w:t xml:space="preserve">Set obj = Server.CreateObject("G3AXONLIVE")</w:t>
      </w:r>
    </w:p>
    <w:p>
      <w:pPr>
        <w:pStyle w:val="SourceCode"/>
      </w:pPr>
      <w:r>
        <w:rPr>
          <w:rStyle w:val="KeywordTok"/>
        </w:rPr>
        <w:t xml:space="preserve">var</w:t>
      </w:r>
      <w:r>
        <w:rPr>
          <w:rStyle w:val="NormalTok"/>
        </w:rPr>
        <w:t xml:space="preserve"> obj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p>
    <w:bookmarkEnd w:id="1839"/>
    <w:bookmarkStart w:id="1840" w:name="architecture"/>
    <w:p>
      <w:pPr>
        <w:pStyle w:val="Heading2"/>
      </w:pPr>
      <w:r>
        <w:t xml:space="preserve">Architecture</w:t>
      </w:r>
    </w:p>
    <w:p>
      <w:pPr>
        <w:pStyle w:val="FirstParagraph"/>
      </w:pPr>
      <w:r>
        <w:t xml:space="preserve">The</w:t>
      </w:r>
      <w:r>
        <w:t xml:space="preserve"> </w:t>
      </w:r>
      <w:r>
        <w:rPr>
          <w:rStyle w:val="VerbatimChar"/>
        </w:rPr>
        <w:t xml:space="preserve">G3AXONLIVE</w:t>
      </w:r>
      <w:r>
        <w:t xml:space="preserve"> </w:t>
      </w:r>
      <w:r>
        <w:t xml:space="preserve">object acts as a bridge between the incoming async POST request (triggered by</w:t>
      </w:r>
      <w:r>
        <w:t xml:space="preserve"> </w:t>
      </w:r>
      <w:r>
        <w:rPr>
          <w:rStyle w:val="VerbatimChar"/>
        </w:rPr>
        <w:t xml:space="preserve">g3axonlive.js</w:t>
      </w:r>
      <w:r>
        <w:t xml:space="preserve">) and the backend ASP engine. It provides methods to identify the source of the event (</w:t>
      </w:r>
      <w:r>
        <w:rPr>
          <w:rStyle w:val="VerbatimChar"/>
        </w:rPr>
        <w:t xml:space="preserve">EventComponentID</w:t>
      </w:r>
      <w:r>
        <w:t xml:space="preserve">), fetch contextual data (</w:t>
      </w:r>
      <w:r>
        <w:rPr>
          <w:rStyle w:val="VerbatimChar"/>
        </w:rPr>
        <w:t xml:space="preserve">GetEventArg</w:t>
      </w:r>
      <w:r>
        <w:t xml:space="preserve">), and securely update state.</w:t>
      </w:r>
    </w:p>
    <w:p>
      <w:pPr>
        <w:pStyle w:val="BodyText"/>
      </w:pPr>
      <w:r>
        <w:t xml:space="preserve">Async event routing is bound to the authenticated ASP session cookie (</w:t>
      </w:r>
      <w:r>
        <w:rPr>
          <w:rStyle w:val="VerbatimChar"/>
        </w:rPr>
        <w:t xml:space="preserve">ASPSESSIONID</w:t>
      </w:r>
      <w:r>
        <w:t xml:space="preserve">). The server validates event session identity against the authenticated request context before resolving the target page.</w:t>
      </w:r>
    </w:p>
    <w:p>
      <w:pPr>
        <w:pStyle w:val="BodyText"/>
      </w:pPr>
      <w:r>
        <w:t xml:space="preserve">When an async request is handled, the framework requires developers to call</w:t>
      </w:r>
      <w:r>
        <w:t xml:space="preserve"> </w:t>
      </w:r>
      <w:r>
        <w:rPr>
          <w:rStyle w:val="VerbatimChar"/>
        </w:rPr>
        <w:t xml:space="preserve">EndAsyncResponse()</w:t>
      </w:r>
      <w:r>
        <w:t xml:space="preserve">. This method collects all registered components and actions, serializes them into a JSON payload, writes it to the output buffer, and securely halts the ASP execution before the rest of the HTML template is rendered.</w:t>
      </w:r>
    </w:p>
    <w:bookmarkEnd w:id="1840"/>
    <w:bookmarkStart w:id="1841" w:name="state-management"/>
    <w:p>
      <w:pPr>
        <w:pStyle w:val="Heading2"/>
      </w:pPr>
      <w:r>
        <w:t xml:space="preserve">State Management</w:t>
      </w:r>
    </w:p>
    <w:p>
      <w:pPr>
        <w:pStyle w:val="FirstParagraph"/>
      </w:pPr>
      <w:r>
        <w:t xml:space="preserve">G3AxonLive includes built-in granular persistence. The methods</w:t>
      </w:r>
      <w:r>
        <w:t xml:space="preserve"> </w:t>
      </w:r>
      <w:r>
        <w:rPr>
          <w:rStyle w:val="VerbatimChar"/>
        </w:rPr>
        <w:t xml:space="preserve">SetComponentProperty</w:t>
      </w:r>
      <w:r>
        <w:t xml:space="preserve"> </w:t>
      </w:r>
      <w:r>
        <w:t xml:space="preserve">and</w:t>
      </w:r>
      <w:r>
        <w:t xml:space="preserve"> </w:t>
      </w:r>
      <w:r>
        <w:rPr>
          <w:rStyle w:val="VerbatimChar"/>
        </w:rPr>
        <w:t xml:space="preserve">GetComponentProperty</w:t>
      </w:r>
      <w:r>
        <w:t xml:space="preserve"> </w:t>
      </w:r>
      <w:r>
        <w:t xml:space="preserve">bypass the standard ASP</w:t>
      </w:r>
      <w:r>
        <w:t xml:space="preserve"> </w:t>
      </w:r>
      <w:r>
        <w:rPr>
          <w:rStyle w:val="VerbatimChar"/>
        </w:rPr>
        <w:t xml:space="preserve">Session</w:t>
      </w:r>
      <w:r>
        <w:t xml:space="preserve"> </w:t>
      </w:r>
      <w:r>
        <w:t xml:space="preserve">object and store data directly in an optimized, concurrent memory map keyed by the current Session ID. This guarantees memory efficiency and strict isolation across users.</w:t>
      </w:r>
    </w:p>
    <w:bookmarkEnd w:id="1841"/>
    <w:bookmarkEnd w:id="1842"/>
    <w:bookmarkStart w:id="1843" w:name="g3axon.live-methods"/>
    <w:p>
      <w:pPr>
        <w:pStyle w:val="Heading1"/>
      </w:pPr>
      <w:r>
        <w:t xml:space="preserve">G3AXON.LIVE Methods</w:t>
      </w:r>
    </w:p>
    <w:p>
      <w:pPr>
        <w:pStyle w:val="FirstParagraph"/>
      </w:pPr>
      <w:r>
        <w:t xml:space="preserve">The following methods are available for the</w:t>
      </w:r>
      <w:r>
        <w:t xml:space="preserve"> </w:t>
      </w:r>
      <w:r>
        <w:rPr>
          <w:rStyle w:val="VerbatimChar"/>
        </w:rPr>
        <w:t xml:space="preserve">G3AXONLIVE</w:t>
      </w:r>
      <w:r>
        <w:t xml:space="preserve"> </w:t>
      </w:r>
      <w:r>
        <w:t xml:space="preserve">object.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AddAttribute</w:t>
            </w:r>
          </w:p>
        </w:tc>
        <w:tc>
          <w:tcPr/>
          <w:p>
            <w:pPr>
              <w:pStyle w:val="Compact"/>
            </w:pPr>
            <w:r>
              <w:t xml:space="preserve">Empty</w:t>
            </w:r>
          </w:p>
        </w:tc>
        <w:tc>
          <w:tcPr/>
          <w:p>
            <w:pPr>
              <w:pStyle w:val="Compact"/>
            </w:pPr>
            <w:r>
              <w:t xml:space="preserve">Queues a client action to add or update an HTML attribute on a specific component element.</w:t>
            </w:r>
          </w:p>
        </w:tc>
      </w:tr>
      <w:tr>
        <w:tc>
          <w:tcPr/>
          <w:p>
            <w:pPr>
              <w:pStyle w:val="Compact"/>
            </w:pPr>
            <w:r>
              <w:t xml:space="preserve">ClearComponentState</w:t>
            </w:r>
          </w:p>
        </w:tc>
        <w:tc>
          <w:tcPr/>
          <w:p>
            <w:pPr>
              <w:pStyle w:val="Compact"/>
            </w:pPr>
            <w:r>
              <w:t xml:space="preserve">Empty</w:t>
            </w:r>
          </w:p>
        </w:tc>
        <w:tc>
          <w:tcPr/>
          <w:p>
            <w:pPr>
              <w:pStyle w:val="Compact"/>
            </w:pPr>
            <w:r>
              <w:t xml:space="preserve">Clears all properties saved in the persistent store for a given session and component pair.</w:t>
            </w:r>
          </w:p>
        </w:tc>
      </w:tr>
      <w:tr>
        <w:tc>
          <w:tcPr/>
          <w:p>
            <w:pPr>
              <w:pStyle w:val="Compact"/>
            </w:pPr>
            <w:r>
              <w:t xml:space="preserve">EndAsyncResponse</w:t>
            </w:r>
          </w:p>
        </w:tc>
        <w:tc>
          <w:tcPr/>
          <w:p>
            <w:pPr>
              <w:pStyle w:val="Compact"/>
            </w:pPr>
            <w:r>
              <w:t xml:space="preserve">Empty</w:t>
            </w:r>
          </w:p>
        </w:tc>
        <w:tc>
          <w:tcPr/>
          <w:p>
            <w:pPr>
              <w:pStyle w:val="Compact"/>
            </w:pPr>
            <w:r>
              <w:t xml:space="preserve">Serializes all pending HTML patches and client actions into a JSON response, writes it, and halts script execution.</w:t>
            </w:r>
          </w:p>
        </w:tc>
      </w:tr>
      <w:tr>
        <w:tc>
          <w:tcPr/>
          <w:p>
            <w:pPr>
              <w:pStyle w:val="Compact"/>
            </w:pPr>
            <w:r>
              <w:t xml:space="preserve">GetComponent</w:t>
            </w:r>
          </w:p>
        </w:tc>
        <w:tc>
          <w:tcPr/>
          <w:p>
            <w:pPr>
              <w:pStyle w:val="Compact"/>
            </w:pPr>
            <w:r>
              <w:t xml:space="preserve">Object</w:t>
            </w:r>
          </w:p>
        </w:tc>
        <w:tc>
          <w:tcPr/>
          <w:p>
            <w:pPr>
              <w:pStyle w:val="Compact"/>
            </w:pPr>
            <w:r>
              <w:t xml:space="preserve">Returns a</w:t>
            </w:r>
            <w:r>
              <w:t xml:space="preserve"> </w:t>
            </w:r>
            <w:r>
              <w:rPr>
                <w:rStyle w:val="VerbatimChar"/>
              </w:rPr>
              <w:t xml:space="preserve">G3ALComponentProxy</w:t>
            </w:r>
            <w:r>
              <w:t xml:space="preserve"> </w:t>
            </w:r>
            <w:r>
              <w:t xml:space="preserve">native object for granular DOM manipulation (like</w:t>
            </w:r>
            <w:r>
              <w:t xml:space="preserve"> </w:t>
            </w:r>
            <w:r>
              <w:rPr>
                <w:rStyle w:val="VerbatimChar"/>
              </w:rPr>
              <w:t xml:space="preserve">SetStyle</w:t>
            </w:r>
            <w:r>
              <w:t xml:space="preserve"> </w:t>
            </w:r>
            <w:r>
              <w:t xml:space="preserve">or</w:t>
            </w:r>
            <w:r>
              <w:t xml:space="preserve"> </w:t>
            </w:r>
            <w:r>
              <w:rPr>
                <w:rStyle w:val="VerbatimChar"/>
              </w:rPr>
              <w:t xml:space="preserve">AddClass</w:t>
            </w:r>
            <w:r>
              <w:t xml:space="preserve">).</w:t>
            </w:r>
          </w:p>
        </w:tc>
      </w:tr>
      <w:tr>
        <w:tc>
          <w:tcPr/>
          <w:p>
            <w:pPr>
              <w:pStyle w:val="Compact"/>
            </w:pPr>
            <w:r>
              <w:t xml:space="preserve">GetComponentProperty</w:t>
            </w:r>
          </w:p>
        </w:tc>
        <w:tc>
          <w:tcPr/>
          <w:p>
            <w:pPr>
              <w:pStyle w:val="Compact"/>
            </w:pPr>
            <w:r>
              <w:t xml:space="preserve">String</w:t>
            </w:r>
          </w:p>
        </w:tc>
        <w:tc>
          <w:tcPr/>
          <w:p>
            <w:pPr>
              <w:pStyle w:val="Compact"/>
            </w:pPr>
            <w:r>
              <w:t xml:space="preserve">Retrieves a property value from the persistent global state for a component.</w:t>
            </w:r>
          </w:p>
        </w:tc>
      </w:tr>
      <w:tr>
        <w:tc>
          <w:tcPr/>
          <w:p>
            <w:pPr>
              <w:pStyle w:val="Compact"/>
            </w:pPr>
            <w:r>
              <w:t xml:space="preserve">GetComponentState</w:t>
            </w:r>
          </w:p>
        </w:tc>
        <w:tc>
          <w:tcPr/>
          <w:p>
            <w:pPr>
              <w:pStyle w:val="Compact"/>
            </w:pPr>
            <w:r>
              <w:t xml:space="preserve">String</w:t>
            </w:r>
          </w:p>
        </w:tc>
        <w:tc>
          <w:tcPr/>
          <w:p>
            <w:pPr>
              <w:pStyle w:val="Compact"/>
            </w:pPr>
            <w:r>
              <w:t xml:space="preserve">Returns a diagnostic string listing all stored properties for a specific component.</w:t>
            </w:r>
          </w:p>
        </w:tc>
      </w:tr>
      <w:tr>
        <w:tc>
          <w:tcPr/>
          <w:p>
            <w:pPr>
              <w:pStyle w:val="Compact"/>
            </w:pPr>
            <w:r>
              <w:t xml:space="preserve">GetEventArg</w:t>
            </w:r>
          </w:p>
        </w:tc>
        <w:tc>
          <w:tcPr/>
          <w:p>
            <w:pPr>
              <w:pStyle w:val="Compact"/>
            </w:pPr>
            <w:r>
              <w:t xml:space="preserve">String</w:t>
            </w:r>
          </w:p>
        </w:tc>
        <w:tc>
          <w:tcPr/>
          <w:p>
            <w:pPr>
              <w:pStyle w:val="Compact"/>
            </w:pPr>
            <w:r>
              <w:t xml:space="preserve">Retrieves a single named event argument sent by the client.</w:t>
            </w:r>
          </w:p>
        </w:tc>
      </w:tr>
      <w:tr>
        <w:tc>
          <w:tcPr/>
          <w:p>
            <w:pPr>
              <w:pStyle w:val="Compact"/>
            </w:pPr>
            <w:r>
              <w:t xml:space="preserve">InitPage</w:t>
            </w:r>
          </w:p>
        </w:tc>
        <w:tc>
          <w:tcPr/>
          <w:p>
            <w:pPr>
              <w:pStyle w:val="Compact"/>
            </w:pPr>
            <w:r>
              <w:t xml:space="preserve">Boolean</w:t>
            </w:r>
          </w:p>
        </w:tc>
        <w:tc>
          <w:tcPr/>
          <w:p>
            <w:pPr>
              <w:pStyle w:val="Compact"/>
            </w:pPr>
            <w:r>
              <w:t xml:space="preserve">Parses the incoming request to determine if it is an async G3AxonLive POST. Async context is bound to the authenticated ASP session. Returns</w:t>
            </w:r>
            <w:r>
              <w:t xml:space="preserve"> </w:t>
            </w:r>
            <w:r>
              <w:rPr>
                <w:rStyle w:val="VerbatimChar"/>
              </w:rPr>
              <w:t xml:space="preserve">True</w:t>
            </w:r>
            <w:r>
              <w:t xml:space="preserve"> </w:t>
            </w:r>
            <w:r>
              <w:t xml:space="preserve">if it is.</w:t>
            </w:r>
          </w:p>
        </w:tc>
      </w:tr>
      <w:tr>
        <w:tc>
          <w:tcPr/>
          <w:p>
            <w:pPr>
              <w:pStyle w:val="Compact"/>
            </w:pPr>
            <w:r>
              <w:t xml:space="preserve">Redirect</w:t>
            </w:r>
          </w:p>
        </w:tc>
        <w:tc>
          <w:tcPr/>
          <w:p>
            <w:pPr>
              <w:pStyle w:val="Compact"/>
            </w:pPr>
            <w:r>
              <w:t xml:space="preserve">Empty</w:t>
            </w:r>
          </w:p>
        </w:tc>
        <w:tc>
          <w:tcPr/>
          <w:p>
            <w:pPr>
              <w:pStyle w:val="Compact"/>
            </w:pPr>
            <w:r>
              <w:t xml:space="preserve">Queues a client action that securely navigates the browser to the specified URL.</w:t>
            </w:r>
          </w:p>
        </w:tc>
      </w:tr>
      <w:tr>
        <w:tc>
          <w:tcPr/>
          <w:p>
            <w:pPr>
              <w:pStyle w:val="Compact"/>
            </w:pPr>
            <w:r>
              <w:t xml:space="preserve">RegisterComponent</w:t>
            </w:r>
          </w:p>
        </w:tc>
        <w:tc>
          <w:tcPr/>
          <w:p>
            <w:pPr>
              <w:pStyle w:val="Compact"/>
            </w:pPr>
            <w:r>
              <w:t xml:space="preserve">Empty</w:t>
            </w:r>
          </w:p>
        </w:tc>
        <w:tc>
          <w:tcPr/>
          <w:p>
            <w:pPr>
              <w:pStyle w:val="Compact"/>
            </w:pPr>
            <w:r>
              <w:t xml:space="preserve">Queues an HTML patch for a specific component to be included in the async response.</w:t>
            </w:r>
          </w:p>
        </w:tc>
      </w:tr>
      <w:tr>
        <w:tc>
          <w:tcPr/>
          <w:p>
            <w:pPr>
              <w:pStyle w:val="Compact"/>
            </w:pPr>
            <w:r>
              <w:t xml:space="preserve">RegisterPage</w:t>
            </w:r>
          </w:p>
        </w:tc>
        <w:tc>
          <w:tcPr/>
          <w:p>
            <w:pPr>
              <w:pStyle w:val="Compact"/>
            </w:pPr>
            <w:r>
              <w:t xml:space="preserve">Empty</w:t>
            </w:r>
          </w:p>
        </w:tc>
        <w:tc>
          <w:tcPr/>
          <w:p>
            <w:pPr>
              <w:pStyle w:val="Compact"/>
            </w:pPr>
            <w:r>
              <w:t xml:space="preserve">Records the ASP script URL for a session so the framework knows which page to re-execute for async events.</w:t>
            </w:r>
          </w:p>
        </w:tc>
      </w:tr>
      <w:tr>
        <w:tc>
          <w:tcPr/>
          <w:p>
            <w:pPr>
              <w:pStyle w:val="Compact"/>
            </w:pPr>
            <w:r>
              <w:t xml:space="preserve">RemoveComponentProperty</w:t>
            </w:r>
          </w:p>
        </w:tc>
        <w:tc>
          <w:tcPr/>
          <w:p>
            <w:pPr>
              <w:pStyle w:val="Compact"/>
            </w:pPr>
            <w:r>
              <w:t xml:space="preserve">Empty</w:t>
            </w:r>
          </w:p>
        </w:tc>
        <w:tc>
          <w:tcPr/>
          <w:p>
            <w:pPr>
              <w:pStyle w:val="Compact"/>
            </w:pPr>
            <w:r>
              <w:t xml:space="preserve">Deletes a specific property entry from the persistent global state.</w:t>
            </w:r>
          </w:p>
        </w:tc>
      </w:tr>
      <w:tr>
        <w:tc>
          <w:tcPr/>
          <w:p>
            <w:pPr>
              <w:pStyle w:val="Compact"/>
            </w:pPr>
            <w:r>
              <w:t xml:space="preserve">RemoveSession</w:t>
            </w:r>
          </w:p>
        </w:tc>
        <w:tc>
          <w:tcPr/>
          <w:p>
            <w:pPr>
              <w:pStyle w:val="Compact"/>
            </w:pPr>
            <w:r>
              <w:t xml:space="preserve">Empty</w:t>
            </w:r>
          </w:p>
        </w:tc>
        <w:tc>
          <w:tcPr/>
          <w:p>
            <w:pPr>
              <w:pStyle w:val="Compact"/>
            </w:pPr>
            <w:r>
              <w:t xml:space="preserve">Completely deletes all AxonLive state data associated with a specific session ID.</w:t>
            </w:r>
          </w:p>
        </w:tc>
      </w:tr>
      <w:tr>
        <w:tc>
          <w:tcPr/>
          <w:p>
            <w:pPr>
              <w:pStyle w:val="Compact"/>
            </w:pPr>
            <w:r>
              <w:t xml:space="preserve">SetComponentProperty</w:t>
            </w:r>
          </w:p>
        </w:tc>
        <w:tc>
          <w:tcPr/>
          <w:p>
            <w:pPr>
              <w:pStyle w:val="Compact"/>
            </w:pPr>
            <w:r>
              <w:t xml:space="preserve">Empty</w:t>
            </w:r>
          </w:p>
        </w:tc>
        <w:tc>
          <w:tcPr/>
          <w:p>
            <w:pPr>
              <w:pStyle w:val="Compact"/>
            </w:pPr>
            <w:r>
              <w:t xml:space="preserve">Stores a property value in the persistent global state.</w:t>
            </w:r>
          </w:p>
        </w:tc>
      </w:tr>
      <w:tr>
        <w:tc>
          <w:tcPr/>
          <w:p>
            <w:pPr>
              <w:pStyle w:val="Compact"/>
            </w:pPr>
            <w:r>
              <w:t xml:space="preserve">SetTimer</w:t>
            </w:r>
          </w:p>
        </w:tc>
        <w:tc>
          <w:tcPr/>
          <w:p>
            <w:pPr>
              <w:pStyle w:val="Compact"/>
            </w:pPr>
            <w:r>
              <w:t xml:space="preserve">Empty</w:t>
            </w:r>
          </w:p>
        </w:tc>
        <w:tc>
          <w:tcPr/>
          <w:p>
            <w:pPr>
              <w:pStyle w:val="Compact"/>
            </w:pPr>
            <w:r>
              <w:t xml:space="preserve">Queues a client action that instructs the browser to trigger a specific event after a set delay in milliseconds.</w:t>
            </w:r>
          </w:p>
        </w:tc>
      </w:tr>
      <w:tr>
        <w:tc>
          <w:tcPr/>
          <w:p>
            <w:pPr>
              <w:pStyle w:val="Compact"/>
            </w:pPr>
            <w:r>
              <w:t xml:space="preserve">StartCleanup</w:t>
            </w:r>
          </w:p>
        </w:tc>
        <w:tc>
          <w:tcPr/>
          <w:p>
            <w:pPr>
              <w:pStyle w:val="Compact"/>
            </w:pPr>
            <w:r>
              <w:t xml:space="preserve">Empty</w:t>
            </w:r>
          </w:p>
        </w:tc>
        <w:tc>
          <w:tcPr/>
          <w:p>
            <w:pPr>
              <w:pStyle w:val="Compact"/>
            </w:pPr>
            <w:r>
              <w:t xml:space="preserve">Starts a background process to clean up idle AxonLive session data.</w:t>
            </w:r>
          </w:p>
        </w:tc>
      </w:tr>
      <w:tr>
        <w:tc>
          <w:tcPr/>
          <w:p>
            <w:pPr>
              <w:pStyle w:val="Compact"/>
            </w:pPr>
            <w:r>
              <w:t xml:space="preserve">StopCleanup</w:t>
            </w:r>
          </w:p>
        </w:tc>
        <w:tc>
          <w:tcPr/>
          <w:p>
            <w:pPr>
              <w:pStyle w:val="Compact"/>
            </w:pPr>
            <w:r>
              <w:t xml:space="preserve">Empty</w:t>
            </w:r>
          </w:p>
        </w:tc>
        <w:tc>
          <w:tcPr/>
          <w:p>
            <w:pPr>
              <w:pStyle w:val="Compact"/>
            </w:pPr>
            <w:r>
              <w:t xml:space="preserve">Stops the background cleanup process.</w:t>
            </w:r>
          </w:p>
        </w:tc>
      </w:tr>
      <w:tr>
        <w:tc>
          <w:tcPr/>
          <w:p>
            <w:pPr>
              <w:pStyle w:val="Compact"/>
            </w:pPr>
            <w:r>
              <w:t xml:space="preserve">Trigger</w:t>
            </w:r>
          </w:p>
        </w:tc>
        <w:tc>
          <w:tcPr/>
          <w:p>
            <w:pPr>
              <w:pStyle w:val="Compact"/>
            </w:pPr>
            <w:r>
              <w:t xml:space="preserve">Empty</w:t>
            </w:r>
          </w:p>
        </w:tc>
        <w:tc>
          <w:tcPr/>
          <w:p>
            <w:pPr>
              <w:pStyle w:val="Compact"/>
            </w:pPr>
            <w:r>
              <w:t xml:space="preserve">Queues a client action that immediately triggers a specific client-side event.</w:t>
            </w:r>
          </w:p>
        </w:tc>
      </w:tr>
    </w:tbl>
    <w:bookmarkEnd w:id="1843"/>
    <w:bookmarkStart w:id="1845" w:name="g3axonlive-properties"/>
    <w:p>
      <w:pPr>
        <w:pStyle w:val="Heading1"/>
      </w:pPr>
      <w:r>
        <w:t xml:space="preserve">G3AXONLIVE Properties</w:t>
      </w:r>
    </w:p>
    <w:p>
      <w:pPr>
        <w:pStyle w:val="FirstParagraph"/>
      </w:pPr>
      <w:r>
        <w:t xml:space="preserve">The following properties are available for the</w:t>
      </w:r>
      <w:r>
        <w:t xml:space="preserve"> </w:t>
      </w:r>
      <w:r>
        <w:rPr>
          <w:rStyle w:val="VerbatimChar"/>
        </w:rPr>
        <w:t xml:space="preserve">G3AXONLIVE</w:t>
      </w:r>
      <w:r>
        <w:t xml:space="preserve"> </w:t>
      </w:r>
      <w:r>
        <w:t xml:space="preserve">object.</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EventArgs</w:t>
            </w:r>
          </w:p>
        </w:tc>
        <w:tc>
          <w:tcPr/>
          <w:p>
            <w:pPr>
              <w:pStyle w:val="Compact"/>
            </w:pPr>
            <w:r>
              <w:t xml:space="preserve">Read-only</w:t>
            </w:r>
          </w:p>
        </w:tc>
        <w:tc>
          <w:tcPr/>
          <w:p>
            <w:pPr>
              <w:pStyle w:val="Compact"/>
            </w:pPr>
            <w:r>
              <w:t xml:space="preserve">String</w:t>
            </w:r>
          </w:p>
        </w:tc>
        <w:tc>
          <w:tcPr/>
          <w:p>
            <w:pPr>
              <w:pStyle w:val="Compact"/>
            </w:pPr>
            <w:r>
              <w:t xml:space="preserve">Returns the entire event arguments map encoded as a JSON string.</w:t>
            </w:r>
          </w:p>
        </w:tc>
      </w:tr>
      <w:tr>
        <w:tc>
          <w:tcPr/>
          <w:p>
            <w:pPr>
              <w:pStyle w:val="Compact"/>
            </w:pPr>
            <w:r>
              <w:t xml:space="preserve">EventComponentID</w:t>
            </w:r>
          </w:p>
        </w:tc>
        <w:tc>
          <w:tcPr/>
          <w:p>
            <w:pPr>
              <w:pStyle w:val="Compact"/>
            </w:pPr>
            <w:r>
              <w:t xml:space="preserve">Read-only</w:t>
            </w:r>
          </w:p>
        </w:tc>
        <w:tc>
          <w:tcPr/>
          <w:p>
            <w:pPr>
              <w:pStyle w:val="Compact"/>
            </w:pPr>
            <w:r>
              <w:t xml:space="preserve">String</w:t>
            </w:r>
          </w:p>
        </w:tc>
        <w:tc>
          <w:tcPr/>
          <w:p>
            <w:pPr>
              <w:pStyle w:val="Compact"/>
            </w:pPr>
            <w:r>
              <w:t xml:space="preserve">Returns the ID of the component that fired the asynchronous event.</w:t>
            </w:r>
          </w:p>
        </w:tc>
      </w:tr>
      <w:tr>
        <w:tc>
          <w:tcPr/>
          <w:p>
            <w:pPr>
              <w:pStyle w:val="Compact"/>
            </w:pPr>
            <w:r>
              <w:t xml:space="preserve">EventName</w:t>
            </w:r>
          </w:p>
        </w:tc>
        <w:tc>
          <w:tcPr/>
          <w:p>
            <w:pPr>
              <w:pStyle w:val="Compact"/>
            </w:pPr>
            <w:r>
              <w:t xml:space="preserve">Read-only</w:t>
            </w:r>
          </w:p>
        </w:tc>
        <w:tc>
          <w:tcPr/>
          <w:p>
            <w:pPr>
              <w:pStyle w:val="Compact"/>
            </w:pPr>
            <w:r>
              <w:t xml:space="preserve">String</w:t>
            </w:r>
          </w:p>
        </w:tc>
        <w:tc>
          <w:tcPr/>
          <w:p>
            <w:pPr>
              <w:pStyle w:val="Compact"/>
            </w:pPr>
            <w:r>
              <w:t xml:space="preserve">Returns the name of the asynchronous event that was fired (e.g.,</w:t>
            </w:r>
            <w:r>
              <w:t xml:space="preserve"> </w:t>
            </w:r>
            <w:r>
              <w:rPr>
                <w:rStyle w:val="VerbatimChar"/>
              </w:rPr>
              <w:t xml:space="preserve">onclick</w:t>
            </w:r>
            <w:r>
              <w:t xml:space="preserve">).</w:t>
            </w:r>
          </w:p>
        </w:tc>
      </w:tr>
      <w:tr>
        <w:tc>
          <w:tcPr/>
          <w:p>
            <w:pPr>
              <w:pStyle w:val="Compact"/>
            </w:pPr>
            <w:r>
              <w:t xml:space="preserve">IsAsyncRequest</w:t>
            </w:r>
          </w:p>
        </w:tc>
        <w:tc>
          <w:tcPr/>
          <w:p>
            <w:pPr>
              <w:pStyle w:val="Compact"/>
            </w:pPr>
            <w:r>
              <w:t xml:space="preserve">Read-only</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if the current request is an asynchronous G3AxonLive event POST, otherwise</w:t>
            </w:r>
            <w:r>
              <w:t xml:space="preserve"> </w:t>
            </w:r>
            <w:r>
              <w:rPr>
                <w:rStyle w:val="VerbatimChar"/>
              </w:rPr>
              <w:t xml:space="preserve">False</w:t>
            </w:r>
            <w:r>
              <w:t xml:space="preserve">.</w:t>
            </w:r>
          </w:p>
        </w:tc>
      </w:tr>
      <w:tr>
        <w:tc>
          <w:tcPr/>
          <w:p>
            <w:pPr>
              <w:pStyle w:val="Compact"/>
            </w:pPr>
            <w:r>
              <w:t xml:space="preserve">Version</w:t>
            </w:r>
          </w:p>
        </w:tc>
        <w:tc>
          <w:tcPr/>
          <w:p>
            <w:pPr>
              <w:pStyle w:val="Compact"/>
            </w:pPr>
            <w:r>
              <w:t xml:space="preserve">Read-only</w:t>
            </w:r>
          </w:p>
        </w:tc>
        <w:tc>
          <w:tcPr/>
          <w:p>
            <w:pPr>
              <w:pStyle w:val="Compact"/>
            </w:pPr>
            <w:r>
              <w:t xml:space="preserve">String</w:t>
            </w:r>
          </w:p>
        </w:tc>
        <w:tc>
          <w:tcPr/>
          <w:p>
            <w:pPr>
              <w:pStyle w:val="Compact"/>
            </w:pPr>
            <w:r>
              <w:t xml:space="preserve">Returns the current version of the AxonLive framework (e.g.,</w:t>
            </w:r>
            <w:r>
              <w:t xml:space="preserve"> </w:t>
            </w:r>
            <w:r>
              <w:rPr>
                <w:rStyle w:val="VerbatimChar"/>
              </w:rPr>
              <w:t xml:space="preserve">2.0.0</w:t>
            </w:r>
            <w:r>
              <w:t xml:space="preserve">).</w:t>
            </w:r>
          </w:p>
        </w:tc>
      </w:tr>
    </w:tbl>
    <w:bookmarkStart w:id="1844" w:name="methods-detail-1"/>
    <w:p>
      <w:pPr>
        <w:pStyle w:val="Heading3"/>
      </w:pPr>
      <w:r>
        <w:t xml:space="preserve">Methods Detail</w:t>
      </w:r>
    </w:p>
    <w:bookmarkEnd w:id="1844"/>
    <w:bookmarkEnd w:id="1845"/>
    <w:bookmarkStart w:id="1854" w:name="addattribute"/>
    <w:p>
      <w:pPr>
        <w:pStyle w:val="Heading1"/>
      </w:pPr>
      <w:r>
        <w:t xml:space="preserve">AddAttribute</w:t>
      </w:r>
    </w:p>
    <w:bookmarkStart w:id="1846" w:name="overview-135"/>
    <w:p>
      <w:pPr>
        <w:pStyle w:val="Heading2"/>
      </w:pPr>
      <w:r>
        <w:t xml:space="preserve">Overview</w:t>
      </w:r>
    </w:p>
    <w:p>
      <w:pPr>
        <w:pStyle w:val="FirstParagraph"/>
      </w:pPr>
      <w:r>
        <w:t xml:space="preserve">Queues a client action that adds or updates an HTML attribute on a specific component element in the browser DOM.</w:t>
      </w:r>
    </w:p>
    <w:bookmarkEnd w:id="1846"/>
    <w:bookmarkStart w:id="1847" w:name="syntax-152"/>
    <w:p>
      <w:pPr>
        <w:pStyle w:val="Heading2"/>
      </w:pPr>
      <w:r>
        <w:t xml:space="preserve">Syntax</w:t>
      </w:r>
    </w:p>
    <w:p>
      <w:pPr>
        <w:pStyle w:val="SourceCode"/>
      </w:pPr>
      <w:r>
        <w:rPr>
          <w:rStyle w:val="VerbatimChar"/>
        </w:rPr>
        <w:t xml:space="preserve">objAxonLive.AddAttribute componentId, attributeName, attributeValue</w:t>
      </w:r>
    </w:p>
    <w:p>
      <w:pPr>
        <w:pStyle w:val="SourceCode"/>
      </w:pPr>
      <w:r>
        <w:rPr>
          <w:rStyle w:val="NormalTok"/>
        </w:rPr>
        <w:t xml:space="preserve">objAxonLive</w:t>
      </w:r>
      <w:r>
        <w:rPr>
          <w:rStyle w:val="OperatorTok"/>
        </w:rPr>
        <w:t xml:space="preserve">.</w:t>
      </w:r>
      <w:r>
        <w:rPr>
          <w:rStyle w:val="FunctionTok"/>
        </w:rPr>
        <w:t xml:space="preserve">AddAttribute</w:t>
      </w:r>
      <w:r>
        <w:rPr>
          <w:rStyle w:val="NormalTok"/>
        </w:rPr>
        <w:t xml:space="preserve">(componentId</w:t>
      </w:r>
      <w:r>
        <w:rPr>
          <w:rStyle w:val="OperatorTok"/>
        </w:rPr>
        <w:t xml:space="preserve">,</w:t>
      </w:r>
      <w:r>
        <w:rPr>
          <w:rStyle w:val="NormalTok"/>
        </w:rPr>
        <w:t xml:space="preserve"> attributeName</w:t>
      </w:r>
      <w:r>
        <w:rPr>
          <w:rStyle w:val="OperatorTok"/>
        </w:rPr>
        <w:t xml:space="preserve">,</w:t>
      </w:r>
      <w:r>
        <w:rPr>
          <w:rStyle w:val="NormalTok"/>
        </w:rPr>
        <w:t xml:space="preserve"> attributeValue)</w:t>
      </w:r>
      <w:r>
        <w:rPr>
          <w:rStyle w:val="OperatorTok"/>
        </w:rPr>
        <w:t xml:space="preserve">;</w:t>
      </w:r>
    </w:p>
    <w:bookmarkEnd w:id="1847"/>
    <w:bookmarkStart w:id="1848" w:name="parameters-and-arguments-14"/>
    <w:p>
      <w:pPr>
        <w:pStyle w:val="Heading2"/>
      </w:pPr>
      <w:r>
        <w:t xml:space="preserve">Parameters and Arguments</w:t>
      </w:r>
    </w:p>
    <w:p>
      <w:pPr>
        <w:pStyle w:val="Compact"/>
        <w:numPr>
          <w:ilvl w:val="0"/>
          <w:numId w:val="1554"/>
        </w:numPr>
      </w:pPr>
      <w:r>
        <w:rPr>
          <w:b/>
          <w:bCs/>
        </w:rPr>
        <w:t xml:space="preserve">componentId</w:t>
      </w:r>
      <w:r>
        <w:t xml:space="preserve"> </w:t>
      </w:r>
      <w:r>
        <w:t xml:space="preserve">(</w:t>
      </w:r>
      <w:r>
        <w:rPr>
          <w:rStyle w:val="VerbatimChar"/>
        </w:rPr>
        <w:t xml:space="preserve">String</w:t>
      </w:r>
      <w:r>
        <w:t xml:space="preserve">): The ID of the component to update.</w:t>
      </w:r>
    </w:p>
    <w:p>
      <w:pPr>
        <w:pStyle w:val="Compact"/>
        <w:numPr>
          <w:ilvl w:val="0"/>
          <w:numId w:val="1554"/>
        </w:numPr>
      </w:pPr>
      <w:r>
        <w:rPr>
          <w:b/>
          <w:bCs/>
        </w:rPr>
        <w:t xml:space="preserve">attributeName</w:t>
      </w:r>
      <w:r>
        <w:t xml:space="preserve"> </w:t>
      </w:r>
      <w:r>
        <w:t xml:space="preserve">(</w:t>
      </w:r>
      <w:r>
        <w:rPr>
          <w:rStyle w:val="VerbatimChar"/>
        </w:rPr>
        <w:t xml:space="preserve">String</w:t>
      </w:r>
      <w:r>
        <w:t xml:space="preserve">): The name of the HTML attribute (e.g.,</w:t>
      </w:r>
      <w:r>
        <w:t xml:space="preserve"> </w:t>
      </w:r>
      <w:r>
        <w:rPr>
          <w:rStyle w:val="VerbatimChar"/>
        </w:rPr>
        <w:t xml:space="preserve">disabled</w:t>
      </w:r>
      <w:r>
        <w:t xml:space="preserve">,</w:t>
      </w:r>
      <w:r>
        <w:t xml:space="preserve"> </w:t>
      </w:r>
      <w:r>
        <w:rPr>
          <w:rStyle w:val="VerbatimChar"/>
        </w:rPr>
        <w:t xml:space="preserve">data-count</w:t>
      </w:r>
      <w:r>
        <w:t xml:space="preserve">).</w:t>
      </w:r>
    </w:p>
    <w:p>
      <w:pPr>
        <w:pStyle w:val="Compact"/>
        <w:numPr>
          <w:ilvl w:val="0"/>
          <w:numId w:val="1554"/>
        </w:numPr>
      </w:pPr>
      <w:r>
        <w:rPr>
          <w:b/>
          <w:bCs/>
        </w:rPr>
        <w:t xml:space="preserve">attributeValue</w:t>
      </w:r>
      <w:r>
        <w:t xml:space="preserve"> </w:t>
      </w:r>
      <w:r>
        <w:t xml:space="preserve">(</w:t>
      </w:r>
      <w:r>
        <w:rPr>
          <w:rStyle w:val="VerbatimChar"/>
        </w:rPr>
        <w:t xml:space="preserve">String</w:t>
      </w:r>
      <w:r>
        <w:t xml:space="preserve">): The value to assign to the attribute.</w:t>
      </w:r>
    </w:p>
    <w:bookmarkEnd w:id="1848"/>
    <w:bookmarkStart w:id="1849" w:name="return-values-10"/>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849"/>
    <w:bookmarkStart w:id="1850" w:name="remarks-165"/>
    <w:p>
      <w:pPr>
        <w:pStyle w:val="Heading2"/>
      </w:pPr>
      <w:r>
        <w:t xml:space="preserve">Remarks</w:t>
      </w:r>
    </w:p>
    <w:p>
      <w:pPr>
        <w:pStyle w:val="FirstParagraph"/>
      </w:pPr>
      <w:r>
        <w:t xml:space="preserve">If you need to make several granular changes to an element, consider using</w:t>
      </w:r>
      <w:r>
        <w:t xml:space="preserve"> </w:t>
      </w:r>
      <w:r>
        <w:rPr>
          <w:rStyle w:val="VerbatimChar"/>
        </w:rPr>
        <w:t xml:space="preserve">GetComponent</w:t>
      </w:r>
      <w:r>
        <w:t xml:space="preserve"> </w:t>
      </w:r>
      <w:r>
        <w:t xml:space="preserve">to obtain a</w:t>
      </w:r>
      <w:r>
        <w:t xml:space="preserve"> </w:t>
      </w:r>
      <w:r>
        <w:rPr>
          <w:rStyle w:val="VerbatimChar"/>
        </w:rPr>
        <w:t xml:space="preserve">G3ALComponentProxy</w:t>
      </w:r>
      <w:r>
        <w:t xml:space="preserve"> </w:t>
      </w:r>
      <w:r>
        <w:t xml:space="preserve">instead.</w:t>
      </w:r>
    </w:p>
    <w:bookmarkEnd w:id="1850"/>
    <w:bookmarkStart w:id="1853" w:name="code-example-74"/>
    <w:p>
      <w:pPr>
        <w:pStyle w:val="Heading2"/>
      </w:pPr>
      <w:r>
        <w:t xml:space="preserve">Code Example</w:t>
      </w:r>
    </w:p>
    <w:bookmarkStart w:id="1851" w:name="vbscript"/>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 Disable the submit button to prevent double-clicks</w:t>
      </w:r>
      <w:r>
        <w:br/>
      </w:r>
      <w:r>
        <w:rPr>
          <w:rStyle w:val="VerbatimChar"/>
        </w:rPr>
        <w:t xml:space="preserve">    AxonLive.AddAttribute "btnSubmit", "disabled", "disabled"</w:t>
      </w:r>
      <w:r>
        <w:br/>
      </w:r>
      <w:r>
        <w:rPr>
          <w:rStyle w:val="VerbatimChar"/>
        </w:rPr>
        <w:t xml:space="preserve">    AxonLive.EndAsyncResponse()</w:t>
      </w:r>
      <w:r>
        <w:br/>
      </w:r>
      <w:r>
        <w:rPr>
          <w:rStyle w:val="VerbatimChar"/>
        </w:rPr>
        <w:t xml:space="preserve">End If</w:t>
      </w:r>
    </w:p>
    <w:bookmarkEnd w:id="1851"/>
    <w:bookmarkStart w:id="1852" w:name="javascript"/>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mmentTok"/>
        </w:rPr>
        <w:t xml:space="preserve">// Disable the submit button to prevent double-clicks</w:t>
      </w:r>
      <w:r>
        <w:br/>
      </w:r>
      <w:r>
        <w:rPr>
          <w:rStyle w:val="NormalTok"/>
        </w:rPr>
        <w:t xml:space="preserve">    AxonLive</w:t>
      </w:r>
      <w:r>
        <w:rPr>
          <w:rStyle w:val="OperatorTok"/>
        </w:rPr>
        <w:t xml:space="preserve">.</w:t>
      </w:r>
      <w:r>
        <w:rPr>
          <w:rStyle w:val="FunctionTok"/>
        </w:rPr>
        <w:t xml:space="preserve">AddAttribute</w:t>
      </w:r>
      <w:r>
        <w:rPr>
          <w:rStyle w:val="NormalTok"/>
        </w:rPr>
        <w:t xml:space="preserve">(</w:t>
      </w:r>
      <w:r>
        <w:rPr>
          <w:rStyle w:val="StringTok"/>
        </w:rPr>
        <w:t xml:space="preserve">"btnSubmit"</w:t>
      </w:r>
      <w:r>
        <w:rPr>
          <w:rStyle w:val="OperatorTok"/>
        </w:rPr>
        <w:t xml:space="preserve">,</w:t>
      </w:r>
      <w:r>
        <w:rPr>
          <w:rStyle w:val="NormalTok"/>
        </w:rPr>
        <w:t xml:space="preserve"> </w:t>
      </w:r>
      <w:r>
        <w:rPr>
          <w:rStyle w:val="StringTok"/>
        </w:rPr>
        <w:t xml:space="preserve">"disabled"</w:t>
      </w:r>
      <w:r>
        <w:rPr>
          <w:rStyle w:val="OperatorTok"/>
        </w:rPr>
        <w:t xml:space="preserve">,</w:t>
      </w:r>
      <w:r>
        <w:rPr>
          <w:rStyle w:val="NormalTok"/>
        </w:rPr>
        <w:t xml:space="preserve"> </w:t>
      </w:r>
      <w:r>
        <w:rPr>
          <w:rStyle w:val="StringTok"/>
        </w:rPr>
        <w:t xml:space="preserve">"disabled"</w:t>
      </w:r>
      <w:r>
        <w:rPr>
          <w:rStyle w:val="NormalTok"/>
        </w:rPr>
        <w:t xml:space="preserve">)</w:t>
      </w:r>
      <w:r>
        <w:rPr>
          <w:rStyle w:val="OperatorTok"/>
        </w:rPr>
        <w:t xml:space="preserve">;</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852"/>
    <w:bookmarkEnd w:id="1853"/>
    <w:bookmarkEnd w:id="1854"/>
    <w:bookmarkStart w:id="1863" w:name="clearcomponentstate"/>
    <w:p>
      <w:pPr>
        <w:pStyle w:val="Heading1"/>
      </w:pPr>
      <w:r>
        <w:t xml:space="preserve">ClearComponentState</w:t>
      </w:r>
    </w:p>
    <w:bookmarkStart w:id="1855" w:name="overview-136"/>
    <w:p>
      <w:pPr>
        <w:pStyle w:val="Heading2"/>
      </w:pPr>
      <w:r>
        <w:t xml:space="preserve">Overview</w:t>
      </w:r>
    </w:p>
    <w:p>
      <w:pPr>
        <w:pStyle w:val="FirstParagraph"/>
      </w:pPr>
      <w:r>
        <w:t xml:space="preserve">Clears all properties saved in the persistent store for a given session and component pair.</w:t>
      </w:r>
    </w:p>
    <w:bookmarkEnd w:id="1855"/>
    <w:bookmarkStart w:id="1856" w:name="syntax-153"/>
    <w:p>
      <w:pPr>
        <w:pStyle w:val="Heading2"/>
      </w:pPr>
      <w:r>
        <w:t xml:space="preserve">Syntax</w:t>
      </w:r>
    </w:p>
    <w:p>
      <w:pPr>
        <w:pStyle w:val="SourceCode"/>
      </w:pPr>
      <w:r>
        <w:rPr>
          <w:rStyle w:val="VerbatimChar"/>
        </w:rPr>
        <w:t xml:space="preserve">objAxonLive.ClearComponentState sessionID, componentID</w:t>
      </w:r>
    </w:p>
    <w:p>
      <w:pPr>
        <w:pStyle w:val="SourceCode"/>
      </w:pPr>
      <w:r>
        <w:rPr>
          <w:rStyle w:val="NormalTok"/>
        </w:rPr>
        <w:t xml:space="preserve">objAxonLive</w:t>
      </w:r>
      <w:r>
        <w:rPr>
          <w:rStyle w:val="OperatorTok"/>
        </w:rPr>
        <w:t xml:space="preserve">.</w:t>
      </w:r>
      <w:r>
        <w:rPr>
          <w:rStyle w:val="FunctionTok"/>
        </w:rPr>
        <w:t xml:space="preserve">ClearComponentState</w:t>
      </w:r>
      <w:r>
        <w:rPr>
          <w:rStyle w:val="NormalTok"/>
        </w:rPr>
        <w:t xml:space="preserve">(sessionID</w:t>
      </w:r>
      <w:r>
        <w:rPr>
          <w:rStyle w:val="OperatorTok"/>
        </w:rPr>
        <w:t xml:space="preserve">,</w:t>
      </w:r>
      <w:r>
        <w:rPr>
          <w:rStyle w:val="NormalTok"/>
        </w:rPr>
        <w:t xml:space="preserve"> componentID)</w:t>
      </w:r>
      <w:r>
        <w:rPr>
          <w:rStyle w:val="OperatorTok"/>
        </w:rPr>
        <w:t xml:space="preserve">;</w:t>
      </w:r>
    </w:p>
    <w:bookmarkEnd w:id="1856"/>
    <w:bookmarkStart w:id="1857" w:name="parameters-and-arguments-15"/>
    <w:p>
      <w:pPr>
        <w:pStyle w:val="Heading2"/>
      </w:pPr>
      <w:r>
        <w:t xml:space="preserve">Parameters and Arguments</w:t>
      </w:r>
    </w:p>
    <w:p>
      <w:pPr>
        <w:pStyle w:val="Compact"/>
        <w:numPr>
          <w:ilvl w:val="0"/>
          <w:numId w:val="1555"/>
        </w:numPr>
      </w:pPr>
      <w:r>
        <w:rPr>
          <w:b/>
          <w:bCs/>
        </w:rPr>
        <w:t xml:space="preserve">sessionID</w:t>
      </w:r>
      <w:r>
        <w:t xml:space="preserve"> </w:t>
      </w:r>
      <w:r>
        <w:t xml:space="preserve">(</w:t>
      </w:r>
      <w:r>
        <w:rPr>
          <w:rStyle w:val="VerbatimChar"/>
        </w:rPr>
        <w:t xml:space="preserve">String</w:t>
      </w:r>
      <w:r>
        <w:t xml:space="preserve">): The active Session ID.</w:t>
      </w:r>
    </w:p>
    <w:p>
      <w:pPr>
        <w:pStyle w:val="Compact"/>
        <w:numPr>
          <w:ilvl w:val="0"/>
          <w:numId w:val="1555"/>
        </w:numPr>
      </w:pPr>
      <w:r>
        <w:rPr>
          <w:b/>
          <w:bCs/>
        </w:rPr>
        <w:t xml:space="preserve">componentID</w:t>
      </w:r>
      <w:r>
        <w:t xml:space="preserve"> </w:t>
      </w:r>
      <w:r>
        <w:t xml:space="preserve">(</w:t>
      </w:r>
      <w:r>
        <w:rPr>
          <w:rStyle w:val="VerbatimChar"/>
        </w:rPr>
        <w:t xml:space="preserve">String</w:t>
      </w:r>
      <w:r>
        <w:t xml:space="preserve">): The component identifier.</w:t>
      </w:r>
    </w:p>
    <w:bookmarkEnd w:id="1857"/>
    <w:bookmarkStart w:id="1858" w:name="return-values-11"/>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858"/>
    <w:bookmarkStart w:id="1859" w:name="remarks-166"/>
    <w:p>
      <w:pPr>
        <w:pStyle w:val="Heading2"/>
      </w:pPr>
      <w:r>
        <w:t xml:space="preserve">Remarks</w:t>
      </w:r>
    </w:p>
    <w:p>
      <w:pPr>
        <w:pStyle w:val="FirstParagraph"/>
      </w:pPr>
      <w:r>
        <w:t xml:space="preserve">This method deletes all keys sharing the same</w:t>
      </w:r>
      <w:r>
        <w:t xml:space="preserve"> </w:t>
      </w:r>
      <w:r>
        <w:rPr>
          <w:rStyle w:val="VerbatimChar"/>
        </w:rPr>
        <w:t xml:space="preserve">sessionID</w:t>
      </w:r>
      <w:r>
        <w:t xml:space="preserve"> </w:t>
      </w:r>
      <w:r>
        <w:t xml:space="preserve">and</w:t>
      </w:r>
      <w:r>
        <w:t xml:space="preserve"> </w:t>
      </w:r>
      <w:r>
        <w:rPr>
          <w:rStyle w:val="VerbatimChar"/>
        </w:rPr>
        <w:t xml:space="preserve">componentID</w:t>
      </w:r>
      <w:r>
        <w:t xml:space="preserve"> </w:t>
      </w:r>
      <w:r>
        <w:t xml:space="preserve">prefix in the internal memory map. It is useful for resetting a complex component (like a wizard or a multi-field form) to its factory state.</w:t>
      </w:r>
    </w:p>
    <w:bookmarkEnd w:id="1859"/>
    <w:bookmarkStart w:id="1862" w:name="code-example-75"/>
    <w:p>
      <w:pPr>
        <w:pStyle w:val="Heading2"/>
      </w:pPr>
      <w:r>
        <w:t xml:space="preserve">Code Example</w:t>
      </w:r>
    </w:p>
    <w:bookmarkStart w:id="1860" w:name="vbscript-1"/>
    <w:p>
      <w:pPr>
        <w:pStyle w:val="Heading3"/>
      </w:pPr>
      <w:r>
        <w:t xml:space="preserve">VBScript</w:t>
      </w:r>
    </w:p>
    <w:p>
      <w:pPr>
        <w:pStyle w:val="SourceCode"/>
      </w:pPr>
      <w:r>
        <w:rPr>
          <w:rStyle w:val="VerbatimChar"/>
        </w:rPr>
        <w:t xml:space="preserve">Dim AxonLive, sID</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sID = Session.SessionID</w:t>
      </w:r>
      <w:r>
        <w:br/>
      </w:r>
      <w:r>
        <w:br/>
      </w:r>
      <w:r>
        <w:rPr>
          <w:rStyle w:val="VerbatimChar"/>
        </w:rPr>
        <w:t xml:space="preserve">If AxonLive.IsAsyncRequest Then</w:t>
      </w:r>
      <w:r>
        <w:br/>
      </w:r>
      <w:r>
        <w:rPr>
          <w:rStyle w:val="VerbatimChar"/>
        </w:rPr>
        <w:t xml:space="preserve">    If AxonLive.EventComponentID = "btnResetAll" Then</w:t>
      </w:r>
      <w:r>
        <w:br/>
      </w:r>
      <w:r>
        <w:rPr>
          <w:rStyle w:val="VerbatimChar"/>
        </w:rPr>
        <w:t xml:space="preserve">        AxonLive.ClearComponentState sID, "wizard"</w:t>
      </w:r>
      <w:r>
        <w:br/>
      </w:r>
      <w:r>
        <w:rPr>
          <w:rStyle w:val="VerbatimChar"/>
        </w:rPr>
        <w:t xml:space="preserve">    End If</w:t>
      </w:r>
      <w:r>
        <w:br/>
      </w:r>
      <w:r>
        <w:rPr>
          <w:rStyle w:val="VerbatimChar"/>
        </w:rPr>
        <w:t xml:space="preserve">    AxonLive.EndAsyncResponse()</w:t>
      </w:r>
      <w:r>
        <w:br/>
      </w:r>
      <w:r>
        <w:rPr>
          <w:rStyle w:val="VerbatimChar"/>
        </w:rPr>
        <w:t xml:space="preserve">End If</w:t>
      </w:r>
    </w:p>
    <w:bookmarkEnd w:id="1860"/>
    <w:bookmarkStart w:id="1861" w:name="javascript-1"/>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KeywordTok"/>
        </w:rPr>
        <w:t xml:space="preserve">var</w:t>
      </w:r>
      <w:r>
        <w:rPr>
          <w:rStyle w:val="NormalTok"/>
        </w:rPr>
        <w:t xml:space="preserve"> sID </w:t>
      </w:r>
      <w:r>
        <w:rPr>
          <w:rStyle w:val="OperatorTok"/>
        </w:rPr>
        <w:t xml:space="preserve">=</w:t>
      </w:r>
      <w:r>
        <w:rPr>
          <w:rStyle w:val="NormalTok"/>
        </w:rPr>
        <w:t xml:space="preserve"> Session</w:t>
      </w:r>
      <w:r>
        <w:rPr>
          <w:rStyle w:val="OperatorTok"/>
        </w:rPr>
        <w:t xml:space="preserve">.</w:t>
      </w:r>
      <w:r>
        <w:rPr>
          <w:rStyle w:val="AttributeTok"/>
        </w:rPr>
        <w:t xml:space="preserve">SessionID</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ntrolFlowTok"/>
        </w:rPr>
        <w:t xml:space="preserve">if</w:t>
      </w:r>
      <w:r>
        <w:rPr>
          <w:rStyle w:val="NormalTok"/>
        </w:rPr>
        <w:t xml:space="preserve"> (AxonLive</w:t>
      </w:r>
      <w:r>
        <w:rPr>
          <w:rStyle w:val="OperatorTok"/>
        </w:rPr>
        <w:t xml:space="preserve">.</w:t>
      </w:r>
      <w:r>
        <w:rPr>
          <w:rStyle w:val="AttributeTok"/>
        </w:rPr>
        <w:t xml:space="preserve">EventComponentID</w:t>
      </w:r>
      <w:r>
        <w:rPr>
          <w:rStyle w:val="NormalTok"/>
        </w:rPr>
        <w:t xml:space="preserve"> </w:t>
      </w:r>
      <w:r>
        <w:rPr>
          <w:rStyle w:val="OperatorTok"/>
        </w:rPr>
        <w:t xml:space="preserve">===</w:t>
      </w:r>
      <w:r>
        <w:rPr>
          <w:rStyle w:val="NormalTok"/>
        </w:rPr>
        <w:t xml:space="preserve"> </w:t>
      </w:r>
      <w:r>
        <w:rPr>
          <w:rStyle w:val="StringTok"/>
        </w:rPr>
        <w:t xml:space="preserve">"btnResetAll"</w:t>
      </w:r>
      <w:r>
        <w:rPr>
          <w:rStyle w:val="NormalTok"/>
        </w:rPr>
        <w:t xml:space="preserve">) {</w:t>
      </w:r>
      <w:r>
        <w:br/>
      </w:r>
      <w:r>
        <w:rPr>
          <w:rStyle w:val="NormalTok"/>
        </w:rPr>
        <w:t xml:space="preserve">        AxonLive</w:t>
      </w:r>
      <w:r>
        <w:rPr>
          <w:rStyle w:val="OperatorTok"/>
        </w:rPr>
        <w:t xml:space="preserve">.</w:t>
      </w:r>
      <w:r>
        <w:rPr>
          <w:rStyle w:val="FunctionTok"/>
        </w:rPr>
        <w:t xml:space="preserve">ClearComponentState</w:t>
      </w:r>
      <w:r>
        <w:rPr>
          <w:rStyle w:val="NormalTok"/>
        </w:rPr>
        <w:t xml:space="preserve">(sID</w:t>
      </w:r>
      <w:r>
        <w:rPr>
          <w:rStyle w:val="OperatorTok"/>
        </w:rPr>
        <w:t xml:space="preserve">,</w:t>
      </w:r>
      <w:r>
        <w:rPr>
          <w:rStyle w:val="NormalTok"/>
        </w:rPr>
        <w:t xml:space="preserve"> </w:t>
      </w:r>
      <w:r>
        <w:rPr>
          <w:rStyle w:val="StringTok"/>
        </w:rPr>
        <w:t xml:space="preserve">"wizard"</w:t>
      </w:r>
      <w:r>
        <w:rPr>
          <w:rStyle w:val="NormalTok"/>
        </w:rPr>
        <w:t xml:space="preserve">)</w:t>
      </w:r>
      <w:r>
        <w:rPr>
          <w:rStyle w:val="OperatorTok"/>
        </w:rPr>
        <w:t xml:space="preserve">;</w:t>
      </w:r>
      <w:r>
        <w:br/>
      </w:r>
      <w:r>
        <w:rPr>
          <w:rStyle w:val="NormalTok"/>
        </w:rPr>
        <w:t xml:space="preserve">    }</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861"/>
    <w:bookmarkEnd w:id="1862"/>
    <w:bookmarkEnd w:id="1863"/>
    <w:bookmarkStart w:id="1872" w:name="endasyncresponse"/>
    <w:p>
      <w:pPr>
        <w:pStyle w:val="Heading1"/>
      </w:pPr>
      <w:r>
        <w:t xml:space="preserve">EndAsyncResponse</w:t>
      </w:r>
    </w:p>
    <w:bookmarkStart w:id="1864" w:name="overview-137"/>
    <w:p>
      <w:pPr>
        <w:pStyle w:val="Heading2"/>
      </w:pPr>
      <w:r>
        <w:t xml:space="preserve">Overview</w:t>
      </w:r>
    </w:p>
    <w:p>
      <w:pPr>
        <w:pStyle w:val="FirstParagraph"/>
      </w:pPr>
      <w:r>
        <w:t xml:space="preserve">Finalizes the asynchronous event cycle. It collects all registered HTML component patches and scheduled client actions, serializes them into a JSON payload, writes the response to the client, and safely halts the execution of the ASP script.</w:t>
      </w:r>
    </w:p>
    <w:bookmarkEnd w:id="1864"/>
    <w:bookmarkStart w:id="1865" w:name="syntax-154"/>
    <w:p>
      <w:pPr>
        <w:pStyle w:val="Heading2"/>
      </w:pPr>
      <w:r>
        <w:t xml:space="preserve">Syntax</w:t>
      </w:r>
    </w:p>
    <w:p>
      <w:pPr>
        <w:pStyle w:val="SourceCode"/>
      </w:pPr>
      <w:r>
        <w:rPr>
          <w:rStyle w:val="VerbatimChar"/>
        </w:rPr>
        <w:t xml:space="preserve">objAxonLive.EndAsyncResponse()</w:t>
      </w:r>
    </w:p>
    <w:p>
      <w:pPr>
        <w:pStyle w:val="SourceCode"/>
      </w:pPr>
      <w:r>
        <w:rPr>
          <w:rStyle w:val="NormalTok"/>
        </w:rPr>
        <w:t xml:space="preserve">objAxonLive</w:t>
      </w:r>
      <w:r>
        <w:rPr>
          <w:rStyle w:val="OperatorTok"/>
        </w:rPr>
        <w:t xml:space="preserve">.</w:t>
      </w:r>
      <w:r>
        <w:rPr>
          <w:rStyle w:val="FunctionTok"/>
        </w:rPr>
        <w:t xml:space="preserve">EndAsyncResponse</w:t>
      </w:r>
      <w:r>
        <w:rPr>
          <w:rStyle w:val="NormalTok"/>
        </w:rPr>
        <w:t xml:space="preserve">()</w:t>
      </w:r>
      <w:r>
        <w:rPr>
          <w:rStyle w:val="OperatorTok"/>
        </w:rPr>
        <w:t xml:space="preserve">;</w:t>
      </w:r>
    </w:p>
    <w:bookmarkEnd w:id="1865"/>
    <w:bookmarkStart w:id="1866" w:name="parameters-and-arguments-16"/>
    <w:p>
      <w:pPr>
        <w:pStyle w:val="Heading2"/>
      </w:pPr>
      <w:r>
        <w:t xml:space="preserve">Parameters and Arguments</w:t>
      </w:r>
    </w:p>
    <w:p>
      <w:pPr>
        <w:pStyle w:val="FirstParagraph"/>
      </w:pPr>
      <w:r>
        <w:t xml:space="preserve">None.</w:t>
      </w:r>
    </w:p>
    <w:bookmarkEnd w:id="1866"/>
    <w:bookmarkStart w:id="1867" w:name="return-values-12"/>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867"/>
    <w:bookmarkStart w:id="1868" w:name="remarks-167"/>
    <w:p>
      <w:pPr>
        <w:pStyle w:val="Heading2"/>
      </w:pPr>
      <w:r>
        <w:t xml:space="preserve">Remarks</w:t>
      </w:r>
    </w:p>
    <w:p>
      <w:pPr>
        <w:pStyle w:val="FirstParagraph"/>
      </w:pPr>
      <w:r>
        <w:t xml:space="preserve">Calling this method is mandatory at the end of your</w:t>
      </w:r>
      <w:r>
        <w:t xml:space="preserve"> </w:t>
      </w:r>
      <w:r>
        <w:rPr>
          <w:rStyle w:val="VerbatimChar"/>
        </w:rPr>
        <w:t xml:space="preserve">If AxonLive.IsAsyncRequest</w:t>
      </w:r>
      <w:r>
        <w:t xml:space="preserve"> </w:t>
      </w:r>
      <w:r>
        <w:t xml:space="preserve">block. Once called, the ASP engine immediately stops processing the file (similar to</w:t>
      </w:r>
      <w:r>
        <w:t xml:space="preserve"> </w:t>
      </w:r>
      <w:r>
        <w:rPr>
          <w:rStyle w:val="VerbatimChar"/>
        </w:rPr>
        <w:t xml:space="preserve">Response.End</w:t>
      </w:r>
      <w:r>
        <w:t xml:space="preserve">), ensuring that the background request only receives the JSON instructions and not the remaining HTML template of your page.</w:t>
      </w:r>
    </w:p>
    <w:bookmarkEnd w:id="1868"/>
    <w:bookmarkStart w:id="1871" w:name="code-example-76"/>
    <w:p>
      <w:pPr>
        <w:pStyle w:val="Heading2"/>
      </w:pPr>
      <w:r>
        <w:t xml:space="preserve">Code Example</w:t>
      </w:r>
    </w:p>
    <w:bookmarkStart w:id="1869" w:name="vbscript-2"/>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 1. Process Logic</w:t>
      </w:r>
      <w:r>
        <w:br/>
      </w:r>
      <w:r>
        <w:rPr>
          <w:rStyle w:val="VerbatimChar"/>
        </w:rPr>
        <w:t xml:space="preserve">    ' 2. Register Component Patches</w:t>
      </w:r>
      <w:r>
        <w:br/>
      </w:r>
      <w:r>
        <w:rPr>
          <w:rStyle w:val="VerbatimChar"/>
        </w:rPr>
        <w:t xml:space="preserve">    AxonLive.RegisterComponent "myDiv", "&lt;div&gt;Updated HTML&lt;/div&gt;"</w:t>
      </w:r>
      <w:r>
        <w:br/>
      </w:r>
      <w:r>
        <w:rPr>
          <w:rStyle w:val="VerbatimChar"/>
        </w:rPr>
        <w:t xml:space="preserve">    </w:t>
      </w:r>
      <w:r>
        <w:br/>
      </w:r>
      <w:r>
        <w:rPr>
          <w:rStyle w:val="VerbatimChar"/>
        </w:rPr>
        <w:t xml:space="preserve">    ' 3. Finish and Halt</w:t>
      </w:r>
      <w:r>
        <w:br/>
      </w:r>
      <w:r>
        <w:rPr>
          <w:rStyle w:val="VerbatimChar"/>
        </w:rPr>
        <w:t xml:space="preserve">    AxonLive.EndAsyncResponse()</w:t>
      </w:r>
      <w:r>
        <w:br/>
      </w:r>
      <w:r>
        <w:rPr>
          <w:rStyle w:val="VerbatimChar"/>
        </w:rPr>
        <w:t xml:space="preserve">End If</w:t>
      </w:r>
    </w:p>
    <w:bookmarkEnd w:id="1869"/>
    <w:bookmarkStart w:id="1870" w:name="javascript-2"/>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mmentTok"/>
        </w:rPr>
        <w:t xml:space="preserve">// 1. Process Logic</w:t>
      </w:r>
      <w:r>
        <w:br/>
      </w:r>
      <w:r>
        <w:rPr>
          <w:rStyle w:val="NormalTok"/>
        </w:rPr>
        <w:t xml:space="preserve">    </w:t>
      </w:r>
      <w:r>
        <w:rPr>
          <w:rStyle w:val="CommentTok"/>
        </w:rPr>
        <w:t xml:space="preserve">// 2. Register Component Patches</w:t>
      </w:r>
      <w:r>
        <w:br/>
      </w:r>
      <w:r>
        <w:rPr>
          <w:rStyle w:val="NormalTok"/>
        </w:rPr>
        <w:t xml:space="preserve">    AxonLive</w:t>
      </w:r>
      <w:r>
        <w:rPr>
          <w:rStyle w:val="OperatorTok"/>
        </w:rPr>
        <w:t xml:space="preserve">.</w:t>
      </w:r>
      <w:r>
        <w:rPr>
          <w:rStyle w:val="FunctionTok"/>
        </w:rPr>
        <w:t xml:space="preserve">RegisterComponent</w:t>
      </w:r>
      <w:r>
        <w:rPr>
          <w:rStyle w:val="NormalTok"/>
        </w:rPr>
        <w:t xml:space="preserve">(</w:t>
      </w:r>
      <w:r>
        <w:rPr>
          <w:rStyle w:val="StringTok"/>
        </w:rPr>
        <w:t xml:space="preserve">"myDiv"</w:t>
      </w:r>
      <w:r>
        <w:rPr>
          <w:rStyle w:val="OperatorTok"/>
        </w:rPr>
        <w:t xml:space="preserve">,</w:t>
      </w:r>
      <w:r>
        <w:rPr>
          <w:rStyle w:val="NormalTok"/>
        </w:rPr>
        <w:t xml:space="preserve"> </w:t>
      </w:r>
      <w:r>
        <w:rPr>
          <w:rStyle w:val="StringTok"/>
        </w:rPr>
        <w:t xml:space="preserve">"&lt;div&gt;Updated HTML&lt;/div&gt;"</w:t>
      </w:r>
      <w:r>
        <w:rPr>
          <w:rStyle w:val="NormalTok"/>
        </w:rPr>
        <w:t xml:space="preserve">)</w:t>
      </w:r>
      <w:r>
        <w:rPr>
          <w:rStyle w:val="OperatorTok"/>
        </w:rPr>
        <w:t xml:space="preserve">;</w:t>
      </w:r>
      <w:r>
        <w:br/>
      </w:r>
      <w:r>
        <w:rPr>
          <w:rStyle w:val="NormalTok"/>
        </w:rPr>
        <w:t xml:space="preserve">    </w:t>
      </w:r>
      <w:r>
        <w:br/>
      </w:r>
      <w:r>
        <w:rPr>
          <w:rStyle w:val="NormalTok"/>
        </w:rPr>
        <w:t xml:space="preserve">    </w:t>
      </w:r>
      <w:r>
        <w:rPr>
          <w:rStyle w:val="CommentTok"/>
        </w:rPr>
        <w:t xml:space="preserve">// 3. Finish and Halt</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870"/>
    <w:bookmarkEnd w:id="1871"/>
    <w:bookmarkEnd w:id="1872"/>
    <w:bookmarkStart w:id="1881" w:name="getcomponent"/>
    <w:p>
      <w:pPr>
        <w:pStyle w:val="Heading1"/>
      </w:pPr>
      <w:r>
        <w:t xml:space="preserve">GetComponent</w:t>
      </w:r>
    </w:p>
    <w:bookmarkStart w:id="1873" w:name="overview-138"/>
    <w:p>
      <w:pPr>
        <w:pStyle w:val="Heading2"/>
      </w:pPr>
      <w:r>
        <w:t xml:space="preserve">Overview</w:t>
      </w:r>
    </w:p>
    <w:p>
      <w:pPr>
        <w:pStyle w:val="FirstParagraph"/>
      </w:pPr>
      <w:r>
        <w:t xml:space="preserve">Returns a</w:t>
      </w:r>
      <w:r>
        <w:t xml:space="preserve"> </w:t>
      </w:r>
      <w:r>
        <w:rPr>
          <w:rStyle w:val="VerbatimChar"/>
        </w:rPr>
        <w:t xml:space="preserve">G3ALComponentProxy</w:t>
      </w:r>
      <w:r>
        <w:t xml:space="preserve"> </w:t>
      </w:r>
      <w:r>
        <w:t xml:space="preserve">native object, providing granular manipulation methods to modify a specific DOM element’s classes, styles, and attributes without having to re-render its entire HTML.</w:t>
      </w:r>
    </w:p>
    <w:bookmarkEnd w:id="1873"/>
    <w:bookmarkStart w:id="1874" w:name="syntax-155"/>
    <w:p>
      <w:pPr>
        <w:pStyle w:val="Heading2"/>
      </w:pPr>
      <w:r>
        <w:t xml:space="preserve">Syntax</w:t>
      </w:r>
    </w:p>
    <w:p>
      <w:pPr>
        <w:pStyle w:val="SourceCode"/>
      </w:pPr>
      <w:r>
        <w:rPr>
          <w:rStyle w:val="VerbatimChar"/>
        </w:rPr>
        <w:t xml:space="preserve">Set objProxy = objAxonLive.GetComponent(componentId)</w:t>
      </w:r>
    </w:p>
    <w:p>
      <w:pPr>
        <w:pStyle w:val="SourceCode"/>
      </w:pPr>
      <w:r>
        <w:rPr>
          <w:rStyle w:val="KeywordTok"/>
        </w:rPr>
        <w:t xml:space="preserve">var</w:t>
      </w:r>
      <w:r>
        <w:rPr>
          <w:rStyle w:val="NormalTok"/>
        </w:rPr>
        <w:t xml:space="preserve"> objProxy </w:t>
      </w:r>
      <w:r>
        <w:rPr>
          <w:rStyle w:val="OperatorTok"/>
        </w:rPr>
        <w:t xml:space="preserve">=</w:t>
      </w:r>
      <w:r>
        <w:rPr>
          <w:rStyle w:val="NormalTok"/>
        </w:rPr>
        <w:t xml:space="preserve"> objAxonLive</w:t>
      </w:r>
      <w:r>
        <w:rPr>
          <w:rStyle w:val="OperatorTok"/>
        </w:rPr>
        <w:t xml:space="preserve">.</w:t>
      </w:r>
      <w:r>
        <w:rPr>
          <w:rStyle w:val="FunctionTok"/>
        </w:rPr>
        <w:t xml:space="preserve">GetComponent</w:t>
      </w:r>
      <w:r>
        <w:rPr>
          <w:rStyle w:val="NormalTok"/>
        </w:rPr>
        <w:t xml:space="preserve">(componentId)</w:t>
      </w:r>
      <w:r>
        <w:rPr>
          <w:rStyle w:val="OperatorTok"/>
        </w:rPr>
        <w:t xml:space="preserve">;</w:t>
      </w:r>
    </w:p>
    <w:bookmarkEnd w:id="1874"/>
    <w:bookmarkStart w:id="1875" w:name="parameters-and-arguments-17"/>
    <w:p>
      <w:pPr>
        <w:pStyle w:val="Heading2"/>
      </w:pPr>
      <w:r>
        <w:t xml:space="preserve">Parameters and Arguments</w:t>
      </w:r>
    </w:p>
    <w:p>
      <w:pPr>
        <w:pStyle w:val="Compact"/>
        <w:numPr>
          <w:ilvl w:val="0"/>
          <w:numId w:val="1556"/>
        </w:numPr>
      </w:pPr>
      <w:r>
        <w:rPr>
          <w:b/>
          <w:bCs/>
        </w:rPr>
        <w:t xml:space="preserve">componentId</w:t>
      </w:r>
      <w:r>
        <w:t xml:space="preserve"> </w:t>
      </w:r>
      <w:r>
        <w:t xml:space="preserve">(</w:t>
      </w:r>
      <w:r>
        <w:rPr>
          <w:rStyle w:val="VerbatimChar"/>
        </w:rPr>
        <w:t xml:space="preserve">String</w:t>
      </w:r>
      <w:r>
        <w:t xml:space="preserve">): The HTML ID of the component element to proxy.</w:t>
      </w:r>
    </w:p>
    <w:bookmarkEnd w:id="1875"/>
    <w:bookmarkStart w:id="1876" w:name="return-values-13"/>
    <w:p>
      <w:pPr>
        <w:pStyle w:val="Heading2"/>
      </w:pPr>
      <w:r>
        <w:t xml:space="preserve">Return Values</w:t>
      </w:r>
    </w:p>
    <w:p>
      <w:pPr>
        <w:pStyle w:val="FirstParagraph"/>
      </w:pPr>
      <w:r>
        <w:t xml:space="preserve">Returns an</w:t>
      </w:r>
      <w:r>
        <w:t xml:space="preserve"> </w:t>
      </w:r>
      <w:r>
        <w:rPr>
          <w:rStyle w:val="VerbatimChar"/>
        </w:rPr>
        <w:t xml:space="preserve">Object</w:t>
      </w:r>
      <w:r>
        <w:t xml:space="preserve"> </w:t>
      </w:r>
      <w:r>
        <w:t xml:space="preserve">(</w:t>
      </w:r>
      <w:r>
        <w:rPr>
          <w:rStyle w:val="VerbatimChar"/>
        </w:rPr>
        <w:t xml:space="preserve">G3ALComponentProxy</w:t>
      </w:r>
      <w:r>
        <w:t xml:space="preserve">).</w:t>
      </w:r>
    </w:p>
    <w:bookmarkEnd w:id="1876"/>
    <w:bookmarkStart w:id="1877" w:name="remarks-168"/>
    <w:p>
      <w:pPr>
        <w:pStyle w:val="Heading2"/>
      </w:pPr>
      <w:r>
        <w:t xml:space="preserve">Remarks</w:t>
      </w:r>
    </w:p>
    <w:p>
      <w:pPr>
        <w:pStyle w:val="FirstParagraph"/>
      </w:pPr>
      <w:r>
        <w:t xml:space="preserve">The returned proxy object acts as a bridge to manipulate the DOM element on the client side. The following methods are available on the proxy object:</w:t>
      </w:r>
      <w:r>
        <w:t xml:space="preserve"> </w:t>
      </w:r>
      <w:r>
        <w:t xml:space="preserve">*</w:t>
      </w:r>
      <w:r>
        <w:t xml:space="preserve"> </w:t>
      </w:r>
      <w:r>
        <w:rPr>
          <w:rStyle w:val="VerbatimChar"/>
        </w:rPr>
        <w:t xml:space="preserve">SetStyle(attributeName, attributeValue)</w:t>
      </w:r>
      <w:r>
        <w:t xml:space="preserve"> </w:t>
      </w:r>
      <w:r>
        <w:t xml:space="preserve">*</w:t>
      </w:r>
      <w:r>
        <w:t xml:space="preserve"> </w:t>
      </w:r>
      <w:r>
        <w:rPr>
          <w:rStyle w:val="VerbatimChar"/>
        </w:rPr>
        <w:t xml:space="preserve">AddClass(className)</w:t>
      </w:r>
      <w:r>
        <w:t xml:space="preserve"> </w:t>
      </w:r>
      <w:r>
        <w:t xml:space="preserve">*</w:t>
      </w:r>
      <w:r>
        <w:t xml:space="preserve"> </w:t>
      </w:r>
      <w:r>
        <w:rPr>
          <w:rStyle w:val="VerbatimChar"/>
        </w:rPr>
        <w:t xml:space="preserve">RemoveClass(className)</w:t>
      </w:r>
      <w:r>
        <w:t xml:space="preserve"> </w:t>
      </w:r>
      <w:r>
        <w:t xml:space="preserve">*</w:t>
      </w:r>
      <w:r>
        <w:t xml:space="preserve"> </w:t>
      </w:r>
      <w:r>
        <w:rPr>
          <w:rStyle w:val="VerbatimChar"/>
        </w:rPr>
        <w:t xml:space="preserve">SetAttribute(attributeName, attributeValue)</w:t>
      </w:r>
      <w:r>
        <w:t xml:space="preserve"> </w:t>
      </w:r>
      <w:r>
        <w:t xml:space="preserve">*</w:t>
      </w:r>
      <w:r>
        <w:t xml:space="preserve"> </w:t>
      </w:r>
      <w:r>
        <w:rPr>
          <w:rStyle w:val="VerbatimChar"/>
        </w:rPr>
        <w:t xml:space="preserve">RemoveAttribute(attributeName)</w:t>
      </w:r>
      <w:r>
        <w:t xml:space="preserve"> </w:t>
      </w:r>
      <w:r>
        <w:t xml:space="preserve">*</w:t>
      </w:r>
      <w:r>
        <w:t xml:space="preserve"> </w:t>
      </w:r>
      <w:r>
        <w:rPr>
          <w:rStyle w:val="VerbatimChar"/>
        </w:rPr>
        <w:t xml:space="preserve">AddTitle(titleText)</w:t>
      </w:r>
      <w:r>
        <w:t xml:space="preserve"> </w:t>
      </w:r>
      <w:r>
        <w:t xml:space="preserve">*</w:t>
      </w:r>
      <w:r>
        <w:t xml:space="preserve"> </w:t>
      </w:r>
      <w:r>
        <w:rPr>
          <w:rStyle w:val="VerbatimChar"/>
        </w:rPr>
        <w:t xml:space="preserve">RemoveTitle()</w:t>
      </w:r>
      <w:r>
        <w:t xml:space="preserve"> </w:t>
      </w:r>
      <w:r>
        <w:t xml:space="preserve">*</w:t>
      </w:r>
      <w:r>
        <w:t xml:space="preserve"> </w:t>
      </w:r>
      <w:r>
        <w:rPr>
          <w:rStyle w:val="VerbatimChar"/>
        </w:rPr>
        <w:t xml:space="preserve">SetValue(value)</w:t>
      </w:r>
    </w:p>
    <w:bookmarkEnd w:id="1877"/>
    <w:bookmarkStart w:id="1880" w:name="code-example-77"/>
    <w:p>
      <w:pPr>
        <w:pStyle w:val="Heading2"/>
      </w:pPr>
      <w:r>
        <w:t xml:space="preserve">Code Example</w:t>
      </w:r>
    </w:p>
    <w:bookmarkStart w:id="1878" w:name="vbscript-3"/>
    <w:p>
      <w:pPr>
        <w:pStyle w:val="Heading3"/>
      </w:pPr>
      <w:r>
        <w:t xml:space="preserve">VBScript</w:t>
      </w:r>
    </w:p>
    <w:p>
      <w:pPr>
        <w:pStyle w:val="SourceCode"/>
      </w:pPr>
      <w:r>
        <w:rPr>
          <w:rStyle w:val="VerbatimChar"/>
        </w:rPr>
        <w:t xml:space="preserve">Dim AxonLive, btnAction</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Set btnAction = AxonLive.GetComponent("btnAction")</w:t>
      </w:r>
      <w:r>
        <w:br/>
      </w:r>
      <w:r>
        <w:rPr>
          <w:rStyle w:val="VerbatimChar"/>
        </w:rPr>
        <w:t xml:space="preserve">    btnAction.AddClass "btn-success"</w:t>
      </w:r>
      <w:r>
        <w:br/>
      </w:r>
      <w:r>
        <w:rPr>
          <w:rStyle w:val="VerbatimChar"/>
        </w:rPr>
        <w:t xml:space="preserve">    btnAction.SetAttribute "disabled", "disabled"</w:t>
      </w:r>
      <w:r>
        <w:br/>
      </w:r>
      <w:r>
        <w:rPr>
          <w:rStyle w:val="VerbatimChar"/>
        </w:rPr>
        <w:t xml:space="preserve">    btnAction.SetValue "Action Completed"</w:t>
      </w:r>
      <w:r>
        <w:br/>
      </w:r>
      <w:r>
        <w:rPr>
          <w:rStyle w:val="VerbatimChar"/>
        </w:rPr>
        <w:t xml:space="preserve">    </w:t>
      </w:r>
      <w:r>
        <w:br/>
      </w:r>
      <w:r>
        <w:rPr>
          <w:rStyle w:val="VerbatimChar"/>
        </w:rPr>
        <w:t xml:space="preserve">    AxonLive.EndAsyncResponse()</w:t>
      </w:r>
      <w:r>
        <w:br/>
      </w:r>
      <w:r>
        <w:rPr>
          <w:rStyle w:val="VerbatimChar"/>
        </w:rPr>
        <w:t xml:space="preserve">End If</w:t>
      </w:r>
    </w:p>
    <w:bookmarkEnd w:id="1878"/>
    <w:bookmarkStart w:id="1879" w:name="javascript-3"/>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KeywordTok"/>
        </w:rPr>
        <w:t xml:space="preserve">var</w:t>
      </w:r>
      <w:r>
        <w:rPr>
          <w:rStyle w:val="NormalTok"/>
        </w:rPr>
        <w:t xml:space="preserve"> btnAction </w:t>
      </w:r>
      <w:r>
        <w:rPr>
          <w:rStyle w:val="OperatorTok"/>
        </w:rPr>
        <w:t xml:space="preserve">=</w:t>
      </w:r>
      <w:r>
        <w:rPr>
          <w:rStyle w:val="NormalTok"/>
        </w:rPr>
        <w:t xml:space="preserve"> AxonLive</w:t>
      </w:r>
      <w:r>
        <w:rPr>
          <w:rStyle w:val="OperatorTok"/>
        </w:rPr>
        <w:t xml:space="preserve">.</w:t>
      </w:r>
      <w:r>
        <w:rPr>
          <w:rStyle w:val="FunctionTok"/>
        </w:rPr>
        <w:t xml:space="preserve">GetComponent</w:t>
      </w:r>
      <w:r>
        <w:rPr>
          <w:rStyle w:val="NormalTok"/>
        </w:rPr>
        <w:t xml:space="preserve">(</w:t>
      </w:r>
      <w:r>
        <w:rPr>
          <w:rStyle w:val="StringTok"/>
        </w:rPr>
        <w:t xml:space="preserve">"btnAction"</w:t>
      </w:r>
      <w:r>
        <w:rPr>
          <w:rStyle w:val="NormalTok"/>
        </w:rPr>
        <w:t xml:space="preserve">)</w:t>
      </w:r>
      <w:r>
        <w:rPr>
          <w:rStyle w:val="OperatorTok"/>
        </w:rPr>
        <w:t xml:space="preserve">;</w:t>
      </w:r>
      <w:r>
        <w:br/>
      </w:r>
      <w:r>
        <w:rPr>
          <w:rStyle w:val="NormalTok"/>
        </w:rPr>
        <w:t xml:space="preserve">    btnAction</w:t>
      </w:r>
      <w:r>
        <w:rPr>
          <w:rStyle w:val="OperatorTok"/>
        </w:rPr>
        <w:t xml:space="preserve">.</w:t>
      </w:r>
      <w:r>
        <w:rPr>
          <w:rStyle w:val="FunctionTok"/>
        </w:rPr>
        <w:t xml:space="preserve">AddClass</w:t>
      </w:r>
      <w:r>
        <w:rPr>
          <w:rStyle w:val="NormalTok"/>
        </w:rPr>
        <w:t xml:space="preserve">(</w:t>
      </w:r>
      <w:r>
        <w:rPr>
          <w:rStyle w:val="StringTok"/>
        </w:rPr>
        <w:t xml:space="preserve">"btn-success"</w:t>
      </w:r>
      <w:r>
        <w:rPr>
          <w:rStyle w:val="NormalTok"/>
        </w:rPr>
        <w:t xml:space="preserve">)</w:t>
      </w:r>
      <w:r>
        <w:rPr>
          <w:rStyle w:val="OperatorTok"/>
        </w:rPr>
        <w:t xml:space="preserve">;</w:t>
      </w:r>
      <w:r>
        <w:br/>
      </w:r>
      <w:r>
        <w:rPr>
          <w:rStyle w:val="NormalTok"/>
        </w:rPr>
        <w:t xml:space="preserve">    btnAction</w:t>
      </w:r>
      <w:r>
        <w:rPr>
          <w:rStyle w:val="OperatorTok"/>
        </w:rPr>
        <w:t xml:space="preserve">.</w:t>
      </w:r>
      <w:r>
        <w:rPr>
          <w:rStyle w:val="FunctionTok"/>
        </w:rPr>
        <w:t xml:space="preserve">SetAttribute</w:t>
      </w:r>
      <w:r>
        <w:rPr>
          <w:rStyle w:val="NormalTok"/>
        </w:rPr>
        <w:t xml:space="preserve">(</w:t>
      </w:r>
      <w:r>
        <w:rPr>
          <w:rStyle w:val="StringTok"/>
        </w:rPr>
        <w:t xml:space="preserve">"disabled"</w:t>
      </w:r>
      <w:r>
        <w:rPr>
          <w:rStyle w:val="OperatorTok"/>
        </w:rPr>
        <w:t xml:space="preserve">,</w:t>
      </w:r>
      <w:r>
        <w:rPr>
          <w:rStyle w:val="NormalTok"/>
        </w:rPr>
        <w:t xml:space="preserve"> </w:t>
      </w:r>
      <w:r>
        <w:rPr>
          <w:rStyle w:val="StringTok"/>
        </w:rPr>
        <w:t xml:space="preserve">"disabled"</w:t>
      </w:r>
      <w:r>
        <w:rPr>
          <w:rStyle w:val="NormalTok"/>
        </w:rPr>
        <w:t xml:space="preserve">)</w:t>
      </w:r>
      <w:r>
        <w:rPr>
          <w:rStyle w:val="OperatorTok"/>
        </w:rPr>
        <w:t xml:space="preserve">;</w:t>
      </w:r>
      <w:r>
        <w:br/>
      </w:r>
      <w:r>
        <w:rPr>
          <w:rStyle w:val="NormalTok"/>
        </w:rPr>
        <w:t xml:space="preserve">    btnAction</w:t>
      </w:r>
      <w:r>
        <w:rPr>
          <w:rStyle w:val="OperatorTok"/>
        </w:rPr>
        <w:t xml:space="preserve">.</w:t>
      </w:r>
      <w:r>
        <w:rPr>
          <w:rStyle w:val="FunctionTok"/>
        </w:rPr>
        <w:t xml:space="preserve">SetValue</w:t>
      </w:r>
      <w:r>
        <w:rPr>
          <w:rStyle w:val="NormalTok"/>
        </w:rPr>
        <w:t xml:space="preserve">(</w:t>
      </w:r>
      <w:r>
        <w:rPr>
          <w:rStyle w:val="StringTok"/>
        </w:rPr>
        <w:t xml:space="preserve">"Action Completed"</w:t>
      </w:r>
      <w:r>
        <w:rPr>
          <w:rStyle w:val="NormalTok"/>
        </w:rPr>
        <w:t xml:space="preserve">)</w:t>
      </w:r>
      <w:r>
        <w:rPr>
          <w:rStyle w:val="OperatorTok"/>
        </w:rPr>
        <w:t xml:space="preserve">;</w:t>
      </w:r>
      <w:r>
        <w:br/>
      </w:r>
      <w:r>
        <w:rPr>
          <w:rStyle w:val="NormalTok"/>
        </w:rPr>
        <w:t xml:space="preserve">    </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879"/>
    <w:bookmarkEnd w:id="1880"/>
    <w:bookmarkEnd w:id="1881"/>
    <w:bookmarkStart w:id="1890" w:name="getcomponentproperty"/>
    <w:p>
      <w:pPr>
        <w:pStyle w:val="Heading1"/>
      </w:pPr>
      <w:r>
        <w:t xml:space="preserve">GetComponentProperty</w:t>
      </w:r>
    </w:p>
    <w:bookmarkStart w:id="1882" w:name="overview-139"/>
    <w:p>
      <w:pPr>
        <w:pStyle w:val="Heading2"/>
      </w:pPr>
      <w:r>
        <w:t xml:space="preserve">Overview</w:t>
      </w:r>
    </w:p>
    <w:p>
      <w:pPr>
        <w:pStyle w:val="FirstParagraph"/>
      </w:pPr>
      <w:r>
        <w:t xml:space="preserve">Retrieves a property value from the persistent global state for a given session and component.</w:t>
      </w:r>
    </w:p>
    <w:bookmarkEnd w:id="1882"/>
    <w:bookmarkStart w:id="1883" w:name="syntax-156"/>
    <w:p>
      <w:pPr>
        <w:pStyle w:val="Heading2"/>
      </w:pPr>
      <w:r>
        <w:t xml:space="preserve">Syntax</w:t>
      </w:r>
    </w:p>
    <w:p>
      <w:pPr>
        <w:pStyle w:val="SourceCode"/>
      </w:pPr>
      <w:r>
        <w:rPr>
          <w:rStyle w:val="VerbatimChar"/>
        </w:rPr>
        <w:t xml:space="preserve">strValue = objAxonLive.GetComponentProperty(sessionID, componentID, propertyName)</w:t>
      </w:r>
    </w:p>
    <w:p>
      <w:pPr>
        <w:pStyle w:val="SourceCode"/>
      </w:pPr>
      <w:r>
        <w:rPr>
          <w:rStyle w:val="KeywordTok"/>
        </w:rPr>
        <w:t xml:space="preserve">var</w:t>
      </w:r>
      <w:r>
        <w:rPr>
          <w:rStyle w:val="NormalTok"/>
        </w:rPr>
        <w:t xml:space="preserve"> strValue </w:t>
      </w:r>
      <w:r>
        <w:rPr>
          <w:rStyle w:val="OperatorTok"/>
        </w:rPr>
        <w:t xml:space="preserve">=</w:t>
      </w:r>
      <w:r>
        <w:rPr>
          <w:rStyle w:val="NormalTok"/>
        </w:rPr>
        <w:t xml:space="preserve"> objAxonLive</w:t>
      </w:r>
      <w:r>
        <w:rPr>
          <w:rStyle w:val="OperatorTok"/>
        </w:rPr>
        <w:t xml:space="preserve">.</w:t>
      </w:r>
      <w:r>
        <w:rPr>
          <w:rStyle w:val="FunctionTok"/>
        </w:rPr>
        <w:t xml:space="preserve">GetComponentProperty</w:t>
      </w:r>
      <w:r>
        <w:rPr>
          <w:rStyle w:val="NormalTok"/>
        </w:rPr>
        <w:t xml:space="preserve">(sessionID</w:t>
      </w:r>
      <w:r>
        <w:rPr>
          <w:rStyle w:val="OperatorTok"/>
        </w:rPr>
        <w:t xml:space="preserve">,</w:t>
      </w:r>
      <w:r>
        <w:rPr>
          <w:rStyle w:val="NormalTok"/>
        </w:rPr>
        <w:t xml:space="preserve"> componentID</w:t>
      </w:r>
      <w:r>
        <w:rPr>
          <w:rStyle w:val="OperatorTok"/>
        </w:rPr>
        <w:t xml:space="preserve">,</w:t>
      </w:r>
      <w:r>
        <w:rPr>
          <w:rStyle w:val="NormalTok"/>
        </w:rPr>
        <w:t xml:space="preserve"> propertyName)</w:t>
      </w:r>
      <w:r>
        <w:rPr>
          <w:rStyle w:val="OperatorTok"/>
        </w:rPr>
        <w:t xml:space="preserve">;</w:t>
      </w:r>
    </w:p>
    <w:bookmarkEnd w:id="1883"/>
    <w:bookmarkStart w:id="1884" w:name="parameters-and-arguments-18"/>
    <w:p>
      <w:pPr>
        <w:pStyle w:val="Heading2"/>
      </w:pPr>
      <w:r>
        <w:t xml:space="preserve">Parameters and Arguments</w:t>
      </w:r>
    </w:p>
    <w:p>
      <w:pPr>
        <w:pStyle w:val="Compact"/>
        <w:numPr>
          <w:ilvl w:val="0"/>
          <w:numId w:val="1557"/>
        </w:numPr>
      </w:pPr>
      <w:r>
        <w:rPr>
          <w:b/>
          <w:bCs/>
        </w:rPr>
        <w:t xml:space="preserve">sessionID</w:t>
      </w:r>
      <w:r>
        <w:t xml:space="preserve"> </w:t>
      </w:r>
      <w:r>
        <w:t xml:space="preserve">(</w:t>
      </w:r>
      <w:r>
        <w:rPr>
          <w:rStyle w:val="VerbatimChar"/>
        </w:rPr>
        <w:t xml:space="preserve">String</w:t>
      </w:r>
      <w:r>
        <w:t xml:space="preserve">): The active Session ID.</w:t>
      </w:r>
    </w:p>
    <w:p>
      <w:pPr>
        <w:pStyle w:val="Compact"/>
        <w:numPr>
          <w:ilvl w:val="0"/>
          <w:numId w:val="1557"/>
        </w:numPr>
      </w:pPr>
      <w:r>
        <w:rPr>
          <w:b/>
          <w:bCs/>
        </w:rPr>
        <w:t xml:space="preserve">componentID</w:t>
      </w:r>
      <w:r>
        <w:t xml:space="preserve"> </w:t>
      </w:r>
      <w:r>
        <w:t xml:space="preserve">(</w:t>
      </w:r>
      <w:r>
        <w:rPr>
          <w:rStyle w:val="VerbatimChar"/>
        </w:rPr>
        <w:t xml:space="preserve">String</w:t>
      </w:r>
      <w:r>
        <w:t xml:space="preserve">): The component identifier used when saving the property.</w:t>
      </w:r>
    </w:p>
    <w:p>
      <w:pPr>
        <w:pStyle w:val="Compact"/>
        <w:numPr>
          <w:ilvl w:val="0"/>
          <w:numId w:val="1557"/>
        </w:numPr>
      </w:pPr>
      <w:r>
        <w:rPr>
          <w:b/>
          <w:bCs/>
        </w:rPr>
        <w:t xml:space="preserve">propertyName</w:t>
      </w:r>
      <w:r>
        <w:t xml:space="preserve"> </w:t>
      </w:r>
      <w:r>
        <w:t xml:space="preserve">(</w:t>
      </w:r>
      <w:r>
        <w:rPr>
          <w:rStyle w:val="VerbatimChar"/>
        </w:rPr>
        <w:t xml:space="preserve">String</w:t>
      </w:r>
      <w:r>
        <w:t xml:space="preserve">): The name of the property to retrieve.</w:t>
      </w:r>
    </w:p>
    <w:bookmarkEnd w:id="1884"/>
    <w:bookmarkStart w:id="1885" w:name="return-values-14"/>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containing the stored value. Returns</w:t>
      </w:r>
      <w:r>
        <w:t xml:space="preserve"> </w:t>
      </w:r>
      <w:r>
        <w:rPr>
          <w:rStyle w:val="VerbatimChar"/>
        </w:rPr>
        <w:t xml:space="preserve">Empty</w:t>
      </w:r>
      <w:r>
        <w:t xml:space="preserve"> </w:t>
      </w:r>
      <w:r>
        <w:t xml:space="preserve">(VBScript) or</w:t>
      </w:r>
      <w:r>
        <w:t xml:space="preserve"> </w:t>
      </w:r>
      <w:r>
        <w:rPr>
          <w:rStyle w:val="VerbatimChar"/>
        </w:rPr>
        <w:t xml:space="preserve">undefined</w:t>
      </w:r>
      <w:r>
        <w:t xml:space="preserve"> </w:t>
      </w:r>
      <w:r>
        <w:t xml:space="preserve">(JavaScript) if the property does not exist.</w:t>
      </w:r>
    </w:p>
    <w:bookmarkEnd w:id="1885"/>
    <w:bookmarkStart w:id="1886" w:name="remarks-169"/>
    <w:p>
      <w:pPr>
        <w:pStyle w:val="Heading2"/>
      </w:pPr>
      <w:r>
        <w:t xml:space="preserve">Remarks</w:t>
      </w:r>
    </w:p>
    <w:p>
      <w:pPr>
        <w:pStyle w:val="FirstParagraph"/>
      </w:pPr>
      <w:r>
        <w:t xml:space="preserve">This method retrieves data from the optimized Go memory map, bypassing standard</w:t>
      </w:r>
      <w:r>
        <w:t xml:space="preserve"> </w:t>
      </w:r>
      <w:r>
        <w:rPr>
          <w:rStyle w:val="VerbatimChar"/>
        </w:rPr>
        <w:t xml:space="preserve">Session</w:t>
      </w:r>
      <w:r>
        <w:t xml:space="preserve"> </w:t>
      </w:r>
      <w:r>
        <w:t xml:space="preserve">state. It’s the primary way to re-hydrate your UI during a standard page load or to check state during an async event.</w:t>
      </w:r>
    </w:p>
    <w:bookmarkEnd w:id="1886"/>
    <w:bookmarkStart w:id="1889" w:name="code-example-78"/>
    <w:p>
      <w:pPr>
        <w:pStyle w:val="Heading2"/>
      </w:pPr>
      <w:r>
        <w:t xml:space="preserve">Code Example</w:t>
      </w:r>
    </w:p>
    <w:bookmarkStart w:id="1887" w:name="vbscript-4"/>
    <w:p>
      <w:pPr>
        <w:pStyle w:val="Heading3"/>
      </w:pPr>
      <w:r>
        <w:t xml:space="preserve">VBScript</w:t>
      </w:r>
    </w:p>
    <w:p>
      <w:pPr>
        <w:pStyle w:val="SourceCode"/>
      </w:pPr>
      <w:r>
        <w:rPr>
          <w:rStyle w:val="VerbatimChar"/>
        </w:rPr>
        <w:t xml:space="preserve">Dim AxonLive, sID, stepVal</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sID = Session.SessionID</w:t>
      </w:r>
      <w:r>
        <w:br/>
      </w:r>
      <w:r>
        <w:br/>
      </w:r>
      <w:r>
        <w:rPr>
          <w:rStyle w:val="VerbatimChar"/>
        </w:rPr>
        <w:t xml:space="preserve">stepVal = AxonLive.GetComponentProperty(sID, "wizard", "step")</w:t>
      </w:r>
      <w:r>
        <w:br/>
      </w:r>
      <w:r>
        <w:rPr>
          <w:rStyle w:val="VerbatimChar"/>
        </w:rPr>
        <w:t xml:space="preserve">If IsEmpty(stepVal) Then stepVal = "1"</w:t>
      </w:r>
      <w:r>
        <w:br/>
      </w:r>
      <w:r>
        <w:br/>
      </w:r>
      <w:r>
        <w:rPr>
          <w:rStyle w:val="VerbatimChar"/>
        </w:rPr>
        <w:t xml:space="preserve">Response.Write "Current Step: " &amp; stepVal</w:t>
      </w:r>
    </w:p>
    <w:bookmarkEnd w:id="1887"/>
    <w:bookmarkStart w:id="1888" w:name="javascript-4"/>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KeywordTok"/>
        </w:rPr>
        <w:t xml:space="preserve">var</w:t>
      </w:r>
      <w:r>
        <w:rPr>
          <w:rStyle w:val="NormalTok"/>
        </w:rPr>
        <w:t xml:space="preserve"> sID </w:t>
      </w:r>
      <w:r>
        <w:rPr>
          <w:rStyle w:val="OperatorTok"/>
        </w:rPr>
        <w:t xml:space="preserve">=</w:t>
      </w:r>
      <w:r>
        <w:rPr>
          <w:rStyle w:val="NormalTok"/>
        </w:rPr>
        <w:t xml:space="preserve"> Session</w:t>
      </w:r>
      <w:r>
        <w:rPr>
          <w:rStyle w:val="OperatorTok"/>
        </w:rPr>
        <w:t xml:space="preserve">.</w:t>
      </w:r>
      <w:r>
        <w:rPr>
          <w:rStyle w:val="AttributeTok"/>
        </w:rPr>
        <w:t xml:space="preserve">SessionID</w:t>
      </w:r>
      <w:r>
        <w:rPr>
          <w:rStyle w:val="OperatorTok"/>
        </w:rPr>
        <w:t xml:space="preserve">;</w:t>
      </w:r>
      <w:r>
        <w:br/>
      </w:r>
      <w:r>
        <w:br/>
      </w:r>
      <w:r>
        <w:rPr>
          <w:rStyle w:val="KeywordTok"/>
        </w:rPr>
        <w:t xml:space="preserve">var</w:t>
      </w:r>
      <w:r>
        <w:rPr>
          <w:rStyle w:val="NormalTok"/>
        </w:rPr>
        <w:t xml:space="preserve"> stepVal </w:t>
      </w:r>
      <w:r>
        <w:rPr>
          <w:rStyle w:val="OperatorTok"/>
        </w:rPr>
        <w:t xml:space="preserve">=</w:t>
      </w:r>
      <w:r>
        <w:rPr>
          <w:rStyle w:val="NormalTok"/>
        </w:rPr>
        <w:t xml:space="preserve"> AxonLive</w:t>
      </w:r>
      <w:r>
        <w:rPr>
          <w:rStyle w:val="OperatorTok"/>
        </w:rPr>
        <w:t xml:space="preserve">.</w:t>
      </w:r>
      <w:r>
        <w:rPr>
          <w:rStyle w:val="FunctionTok"/>
        </w:rPr>
        <w:t xml:space="preserve">GetComponentProperty</w:t>
      </w:r>
      <w:r>
        <w:rPr>
          <w:rStyle w:val="NormalTok"/>
        </w:rPr>
        <w:t xml:space="preserve">(sID</w:t>
      </w:r>
      <w:r>
        <w:rPr>
          <w:rStyle w:val="OperatorTok"/>
        </w:rPr>
        <w:t xml:space="preserve">,</w:t>
      </w:r>
      <w:r>
        <w:rPr>
          <w:rStyle w:val="NormalTok"/>
        </w:rPr>
        <w:t xml:space="preserve"> </w:t>
      </w:r>
      <w:r>
        <w:rPr>
          <w:rStyle w:val="StringTok"/>
        </w:rPr>
        <w:t xml:space="preserve">"wizard"</w:t>
      </w:r>
      <w:r>
        <w:rPr>
          <w:rStyle w:val="OperatorTok"/>
        </w:rPr>
        <w:t xml:space="preserve">,</w:t>
      </w:r>
      <w:r>
        <w:rPr>
          <w:rStyle w:val="NormalTok"/>
        </w:rPr>
        <w:t xml:space="preserve"> </w:t>
      </w:r>
      <w:r>
        <w:rPr>
          <w:rStyle w:val="StringTok"/>
        </w:rPr>
        <w:t xml:space="preserve">"step"</w:t>
      </w:r>
      <w:r>
        <w:rPr>
          <w:rStyle w:val="NormalTok"/>
        </w:rPr>
        <w:t xml:space="preserve">)</w:t>
      </w:r>
      <w:r>
        <w:rPr>
          <w:rStyle w:val="OperatorTok"/>
        </w:rPr>
        <w:t xml:space="preserve">;</w:t>
      </w:r>
      <w:r>
        <w:br/>
      </w:r>
      <w:r>
        <w:rPr>
          <w:rStyle w:val="ControlFlowTok"/>
        </w:rPr>
        <w:t xml:space="preserve">if</w:t>
      </w:r>
      <w:r>
        <w:rPr>
          <w:rStyle w:val="NormalTok"/>
        </w:rPr>
        <w:t xml:space="preserve"> (</w:t>
      </w:r>
      <w:r>
        <w:rPr>
          <w:rStyle w:val="OperatorTok"/>
        </w:rPr>
        <w:t xml:space="preserve">!</w:t>
      </w:r>
      <w:r>
        <w:rPr>
          <w:rStyle w:val="NormalTok"/>
        </w:rPr>
        <w:t xml:space="preserve">stepVal) stepVal </w:t>
      </w:r>
      <w:r>
        <w:rPr>
          <w:rStyle w:val="OperatorTok"/>
        </w:rPr>
        <w:t xml:space="preserve">=</w:t>
      </w:r>
      <w:r>
        <w:rPr>
          <w:rStyle w:val="NormalTok"/>
        </w:rPr>
        <w:t xml:space="preserve"> </w:t>
      </w:r>
      <w:r>
        <w:rPr>
          <w:rStyle w:val="StringTok"/>
        </w:rPr>
        <w:t xml:space="preserve">"1"</w:t>
      </w:r>
      <w:r>
        <w:rPr>
          <w:rStyle w:val="OperatorTok"/>
        </w:rPr>
        <w:t xml:space="preserve">;</w:t>
      </w:r>
      <w:r>
        <w:br/>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"Current Step: "</w:t>
      </w:r>
      <w:r>
        <w:rPr>
          <w:rStyle w:val="NormalTok"/>
        </w:rPr>
        <w:t xml:space="preserve"> </w:t>
      </w:r>
      <w:r>
        <w:rPr>
          <w:rStyle w:val="OperatorTok"/>
        </w:rPr>
        <w:t xml:space="preserve">+</w:t>
      </w:r>
      <w:r>
        <w:rPr>
          <w:rStyle w:val="NormalTok"/>
        </w:rPr>
        <w:t xml:space="preserve"> stepVal)</w:t>
      </w:r>
      <w:r>
        <w:rPr>
          <w:rStyle w:val="OperatorTok"/>
        </w:rPr>
        <w:t xml:space="preserve">;</w:t>
      </w:r>
    </w:p>
    <w:bookmarkEnd w:id="1888"/>
    <w:bookmarkEnd w:id="1889"/>
    <w:bookmarkEnd w:id="1890"/>
    <w:bookmarkStart w:id="1899" w:name="getcomponentstate"/>
    <w:p>
      <w:pPr>
        <w:pStyle w:val="Heading1"/>
      </w:pPr>
      <w:r>
        <w:t xml:space="preserve">GetComponentState</w:t>
      </w:r>
    </w:p>
    <w:bookmarkStart w:id="1891" w:name="overview-140"/>
    <w:p>
      <w:pPr>
        <w:pStyle w:val="Heading2"/>
      </w:pPr>
      <w:r>
        <w:t xml:space="preserve">Overview</w:t>
      </w:r>
    </w:p>
    <w:p>
      <w:pPr>
        <w:pStyle w:val="FirstParagraph"/>
      </w:pPr>
      <w:r>
        <w:t xml:space="preserve">Returns a diagnostic string listing all stored properties for a specific component and session.</w:t>
      </w:r>
    </w:p>
    <w:bookmarkEnd w:id="1891"/>
    <w:bookmarkStart w:id="1892" w:name="syntax-157"/>
    <w:p>
      <w:pPr>
        <w:pStyle w:val="Heading2"/>
      </w:pPr>
      <w:r>
        <w:t xml:space="preserve">Syntax</w:t>
      </w:r>
    </w:p>
    <w:p>
      <w:pPr>
        <w:pStyle w:val="SourceCode"/>
      </w:pPr>
      <w:r>
        <w:rPr>
          <w:rStyle w:val="VerbatimChar"/>
        </w:rPr>
        <w:t xml:space="preserve">strDump = objAxonLive.GetComponentState(sessionID, componentID)</w:t>
      </w:r>
    </w:p>
    <w:p>
      <w:pPr>
        <w:pStyle w:val="SourceCode"/>
      </w:pPr>
      <w:r>
        <w:rPr>
          <w:rStyle w:val="KeywordTok"/>
        </w:rPr>
        <w:t xml:space="preserve">var</w:t>
      </w:r>
      <w:r>
        <w:rPr>
          <w:rStyle w:val="NormalTok"/>
        </w:rPr>
        <w:t xml:space="preserve"> strDump </w:t>
      </w:r>
      <w:r>
        <w:rPr>
          <w:rStyle w:val="OperatorTok"/>
        </w:rPr>
        <w:t xml:space="preserve">=</w:t>
      </w:r>
      <w:r>
        <w:rPr>
          <w:rStyle w:val="NormalTok"/>
        </w:rPr>
        <w:t xml:space="preserve"> objAxonLive</w:t>
      </w:r>
      <w:r>
        <w:rPr>
          <w:rStyle w:val="OperatorTok"/>
        </w:rPr>
        <w:t xml:space="preserve">.</w:t>
      </w:r>
      <w:r>
        <w:rPr>
          <w:rStyle w:val="FunctionTok"/>
        </w:rPr>
        <w:t xml:space="preserve">GetComponentState</w:t>
      </w:r>
      <w:r>
        <w:rPr>
          <w:rStyle w:val="NormalTok"/>
        </w:rPr>
        <w:t xml:space="preserve">(sessionID</w:t>
      </w:r>
      <w:r>
        <w:rPr>
          <w:rStyle w:val="OperatorTok"/>
        </w:rPr>
        <w:t xml:space="preserve">,</w:t>
      </w:r>
      <w:r>
        <w:rPr>
          <w:rStyle w:val="NormalTok"/>
        </w:rPr>
        <w:t xml:space="preserve"> componentID)</w:t>
      </w:r>
      <w:r>
        <w:rPr>
          <w:rStyle w:val="OperatorTok"/>
        </w:rPr>
        <w:t xml:space="preserve">;</w:t>
      </w:r>
    </w:p>
    <w:bookmarkEnd w:id="1892"/>
    <w:bookmarkStart w:id="1893" w:name="parameters-and-arguments-19"/>
    <w:p>
      <w:pPr>
        <w:pStyle w:val="Heading2"/>
      </w:pPr>
      <w:r>
        <w:t xml:space="preserve">Parameters and Arguments</w:t>
      </w:r>
    </w:p>
    <w:p>
      <w:pPr>
        <w:pStyle w:val="Compact"/>
        <w:numPr>
          <w:ilvl w:val="0"/>
          <w:numId w:val="1558"/>
        </w:numPr>
      </w:pPr>
      <w:r>
        <w:rPr>
          <w:b/>
          <w:bCs/>
        </w:rPr>
        <w:t xml:space="preserve">sessionID</w:t>
      </w:r>
      <w:r>
        <w:t xml:space="preserve"> </w:t>
      </w:r>
      <w:r>
        <w:t xml:space="preserve">(</w:t>
      </w:r>
      <w:r>
        <w:rPr>
          <w:rStyle w:val="VerbatimChar"/>
        </w:rPr>
        <w:t xml:space="preserve">String</w:t>
      </w:r>
      <w:r>
        <w:t xml:space="preserve">): The active Session ID.</w:t>
      </w:r>
    </w:p>
    <w:p>
      <w:pPr>
        <w:pStyle w:val="Compact"/>
        <w:numPr>
          <w:ilvl w:val="0"/>
          <w:numId w:val="1558"/>
        </w:numPr>
      </w:pPr>
      <w:r>
        <w:rPr>
          <w:b/>
          <w:bCs/>
        </w:rPr>
        <w:t xml:space="preserve">componentID</w:t>
      </w:r>
      <w:r>
        <w:t xml:space="preserve"> </w:t>
      </w:r>
      <w:r>
        <w:t xml:space="preserve">(</w:t>
      </w:r>
      <w:r>
        <w:rPr>
          <w:rStyle w:val="VerbatimChar"/>
        </w:rPr>
        <w:t xml:space="preserve">String</w:t>
      </w:r>
      <w:r>
        <w:t xml:space="preserve">): The component identifier.</w:t>
      </w:r>
    </w:p>
    <w:bookmarkEnd w:id="1893"/>
    <w:bookmarkStart w:id="1894" w:name="return-values-15"/>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containing a formatted list of all property keys, their values, and their last updated timestamps.</w:t>
      </w:r>
    </w:p>
    <w:bookmarkEnd w:id="1894"/>
    <w:bookmarkStart w:id="1895" w:name="remarks-170"/>
    <w:p>
      <w:pPr>
        <w:pStyle w:val="Heading2"/>
      </w:pPr>
      <w:r>
        <w:t xml:space="preserve">Remarks</w:t>
      </w:r>
    </w:p>
    <w:p>
      <w:pPr>
        <w:pStyle w:val="FirstParagraph"/>
      </w:pPr>
      <w:r>
        <w:t xml:space="preserve">This method is intended primarily for debugging purposes. Do not rely on its specific string format for parsing business logic.</w:t>
      </w:r>
    </w:p>
    <w:bookmarkEnd w:id="1895"/>
    <w:bookmarkStart w:id="1898" w:name="code-example-79"/>
    <w:p>
      <w:pPr>
        <w:pStyle w:val="Heading2"/>
      </w:pPr>
      <w:r>
        <w:t xml:space="preserve">Code Example</w:t>
      </w:r>
    </w:p>
    <w:bookmarkStart w:id="1896" w:name="vbscript-5"/>
    <w:p>
      <w:pPr>
        <w:pStyle w:val="Heading3"/>
      </w:pPr>
      <w:r>
        <w:t xml:space="preserve">VBScript</w:t>
      </w:r>
    </w:p>
    <w:p>
      <w:pPr>
        <w:pStyle w:val="SourceCode"/>
      </w:pPr>
      <w:r>
        <w:rPr>
          <w:rStyle w:val="VerbatimChar"/>
        </w:rPr>
        <w:t xml:space="preserve">Dim AxonLive, sID, dump</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sID = Session.SessionID</w:t>
      </w:r>
      <w:r>
        <w:br/>
      </w:r>
      <w:r>
        <w:br/>
      </w:r>
      <w:r>
        <w:rPr>
          <w:rStyle w:val="VerbatimChar"/>
        </w:rPr>
        <w:t xml:space="preserve">dump = AxonLive.GetComponentState(sID, "wizard")</w:t>
      </w:r>
      <w:r>
        <w:br/>
      </w:r>
      <w:r>
        <w:rPr>
          <w:rStyle w:val="VerbatimChar"/>
        </w:rPr>
        <w:t xml:space="preserve">Response.Write "&lt;pre&gt;" &amp; Server.HTMLEncode(dump) &amp; "&lt;/pre&gt;"</w:t>
      </w:r>
    </w:p>
    <w:bookmarkEnd w:id="1896"/>
    <w:bookmarkStart w:id="1897" w:name="javascript-5"/>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KeywordTok"/>
        </w:rPr>
        <w:t xml:space="preserve">var</w:t>
      </w:r>
      <w:r>
        <w:rPr>
          <w:rStyle w:val="NormalTok"/>
        </w:rPr>
        <w:t xml:space="preserve"> sID </w:t>
      </w:r>
      <w:r>
        <w:rPr>
          <w:rStyle w:val="OperatorTok"/>
        </w:rPr>
        <w:t xml:space="preserve">=</w:t>
      </w:r>
      <w:r>
        <w:rPr>
          <w:rStyle w:val="NormalTok"/>
        </w:rPr>
        <w:t xml:space="preserve"> Session</w:t>
      </w:r>
      <w:r>
        <w:rPr>
          <w:rStyle w:val="OperatorTok"/>
        </w:rPr>
        <w:t xml:space="preserve">.</w:t>
      </w:r>
      <w:r>
        <w:rPr>
          <w:rStyle w:val="AttributeTok"/>
        </w:rPr>
        <w:t xml:space="preserve">SessionID</w:t>
      </w:r>
      <w:r>
        <w:rPr>
          <w:rStyle w:val="OperatorTok"/>
        </w:rPr>
        <w:t xml:space="preserve">;</w:t>
      </w:r>
      <w:r>
        <w:br/>
      </w:r>
      <w:r>
        <w:br/>
      </w:r>
      <w:r>
        <w:rPr>
          <w:rStyle w:val="KeywordTok"/>
        </w:rPr>
        <w:t xml:space="preserve">var</w:t>
      </w:r>
      <w:r>
        <w:rPr>
          <w:rStyle w:val="NormalTok"/>
        </w:rPr>
        <w:t xml:space="preserve"> dump </w:t>
      </w:r>
      <w:r>
        <w:rPr>
          <w:rStyle w:val="OperatorTok"/>
        </w:rPr>
        <w:t xml:space="preserve">=</w:t>
      </w:r>
      <w:r>
        <w:rPr>
          <w:rStyle w:val="NormalTok"/>
        </w:rPr>
        <w:t xml:space="preserve"> AxonLive</w:t>
      </w:r>
      <w:r>
        <w:rPr>
          <w:rStyle w:val="OperatorTok"/>
        </w:rPr>
        <w:t xml:space="preserve">.</w:t>
      </w:r>
      <w:r>
        <w:rPr>
          <w:rStyle w:val="FunctionTok"/>
        </w:rPr>
        <w:t xml:space="preserve">GetComponentState</w:t>
      </w:r>
      <w:r>
        <w:rPr>
          <w:rStyle w:val="NormalTok"/>
        </w:rPr>
        <w:t xml:space="preserve">(sID</w:t>
      </w:r>
      <w:r>
        <w:rPr>
          <w:rStyle w:val="OperatorTok"/>
        </w:rPr>
        <w:t xml:space="preserve">,</w:t>
      </w:r>
      <w:r>
        <w:rPr>
          <w:rStyle w:val="NormalTok"/>
        </w:rPr>
        <w:t xml:space="preserve"> </w:t>
      </w:r>
      <w:r>
        <w:rPr>
          <w:rStyle w:val="StringTok"/>
        </w:rPr>
        <w:t xml:space="preserve">"wizard"</w:t>
      </w:r>
      <w:r>
        <w:rPr>
          <w:rStyle w:val="NormalTok"/>
        </w:rPr>
        <w:t xml:space="preserve">)</w:t>
      </w:r>
      <w:r>
        <w:rPr>
          <w:rStyle w:val="OperatorTok"/>
        </w:rPr>
        <w:t xml:space="preserve">;</w:t>
      </w:r>
      <w:r>
        <w:br/>
      </w:r>
      <w:r>
        <w:rPr>
          <w:rStyle w:val="NormalTok"/>
        </w:rPr>
        <w:t xml:space="preserve">Response</w:t>
      </w:r>
      <w:r>
        <w:rPr>
          <w:rStyle w:val="OperatorTok"/>
        </w:rPr>
        <w:t xml:space="preserve">.</w:t>
      </w:r>
      <w:r>
        <w:rPr>
          <w:rStyle w:val="FunctionTok"/>
        </w:rPr>
        <w:t xml:space="preserve">Write</w:t>
      </w:r>
      <w:r>
        <w:rPr>
          <w:rStyle w:val="NormalTok"/>
        </w:rPr>
        <w:t xml:space="preserve">(</w:t>
      </w:r>
      <w:r>
        <w:rPr>
          <w:rStyle w:val="StringTok"/>
        </w:rPr>
        <w:t xml:space="preserve">"&lt;pre&gt;"</w:t>
      </w:r>
      <w:r>
        <w:rPr>
          <w:rStyle w:val="NormalTok"/>
        </w:rPr>
        <w:t xml:space="preser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HTMLEncode</w:t>
      </w:r>
      <w:r>
        <w:rPr>
          <w:rStyle w:val="NormalTok"/>
        </w:rPr>
        <w:t xml:space="preserve">(dump) </w:t>
      </w:r>
      <w:r>
        <w:rPr>
          <w:rStyle w:val="OperatorTok"/>
        </w:rPr>
        <w:t xml:space="preserve">+</w:t>
      </w:r>
      <w:r>
        <w:rPr>
          <w:rStyle w:val="NormalTok"/>
        </w:rPr>
        <w:t xml:space="preserve"> </w:t>
      </w:r>
      <w:r>
        <w:rPr>
          <w:rStyle w:val="StringTok"/>
        </w:rPr>
        <w:t xml:space="preserve">"&lt;/pre&gt;"</w:t>
      </w:r>
      <w:r>
        <w:rPr>
          <w:rStyle w:val="NormalTok"/>
        </w:rPr>
        <w:t xml:space="preserve">)</w:t>
      </w:r>
      <w:r>
        <w:rPr>
          <w:rStyle w:val="OperatorTok"/>
        </w:rPr>
        <w:t xml:space="preserve">;</w:t>
      </w:r>
    </w:p>
    <w:bookmarkEnd w:id="1897"/>
    <w:bookmarkEnd w:id="1898"/>
    <w:bookmarkEnd w:id="1899"/>
    <w:bookmarkStart w:id="1908" w:name="geteventarg"/>
    <w:p>
      <w:pPr>
        <w:pStyle w:val="Heading1"/>
      </w:pPr>
      <w:r>
        <w:t xml:space="preserve">GetEventArg</w:t>
      </w:r>
    </w:p>
    <w:bookmarkStart w:id="1900" w:name="overview-141"/>
    <w:p>
      <w:pPr>
        <w:pStyle w:val="Heading2"/>
      </w:pPr>
      <w:r>
        <w:t xml:space="preserve">Overview</w:t>
      </w:r>
    </w:p>
    <w:p>
      <w:pPr>
        <w:pStyle w:val="FirstParagraph"/>
      </w:pPr>
      <w:r>
        <w:t xml:space="preserve">Retrieves the value of a specific event argument sent by the client during the async request.</w:t>
      </w:r>
    </w:p>
    <w:bookmarkEnd w:id="1900"/>
    <w:bookmarkStart w:id="1901" w:name="syntax-158"/>
    <w:p>
      <w:pPr>
        <w:pStyle w:val="Heading2"/>
      </w:pPr>
      <w:r>
        <w:t xml:space="preserve">Syntax</w:t>
      </w:r>
    </w:p>
    <w:p>
      <w:pPr>
        <w:pStyle w:val="SourceCode"/>
      </w:pPr>
      <w:r>
        <w:rPr>
          <w:rStyle w:val="VerbatimChar"/>
        </w:rPr>
        <w:t xml:space="preserve">strArgValue = objAxonLive.GetEventArg(argName)</w:t>
      </w:r>
    </w:p>
    <w:p>
      <w:pPr>
        <w:pStyle w:val="SourceCode"/>
      </w:pPr>
      <w:r>
        <w:rPr>
          <w:rStyle w:val="KeywordTok"/>
        </w:rPr>
        <w:t xml:space="preserve">var</w:t>
      </w:r>
      <w:r>
        <w:rPr>
          <w:rStyle w:val="NormalTok"/>
        </w:rPr>
        <w:t xml:space="preserve"> strArgValue </w:t>
      </w:r>
      <w:r>
        <w:rPr>
          <w:rStyle w:val="OperatorTok"/>
        </w:rPr>
        <w:t xml:space="preserve">=</w:t>
      </w:r>
      <w:r>
        <w:rPr>
          <w:rStyle w:val="NormalTok"/>
        </w:rPr>
        <w:t xml:space="preserve"> objAxonLive</w:t>
      </w:r>
      <w:r>
        <w:rPr>
          <w:rStyle w:val="OperatorTok"/>
        </w:rPr>
        <w:t xml:space="preserve">.</w:t>
      </w:r>
      <w:r>
        <w:rPr>
          <w:rStyle w:val="FunctionTok"/>
        </w:rPr>
        <w:t xml:space="preserve">GetEventArg</w:t>
      </w:r>
      <w:r>
        <w:rPr>
          <w:rStyle w:val="NormalTok"/>
        </w:rPr>
        <w:t xml:space="preserve">(argName)</w:t>
      </w:r>
      <w:r>
        <w:rPr>
          <w:rStyle w:val="OperatorTok"/>
        </w:rPr>
        <w:t xml:space="preserve">;</w:t>
      </w:r>
    </w:p>
    <w:bookmarkEnd w:id="1901"/>
    <w:bookmarkStart w:id="1902" w:name="parameters-and-arguments-20"/>
    <w:p>
      <w:pPr>
        <w:pStyle w:val="Heading2"/>
      </w:pPr>
      <w:r>
        <w:t xml:space="preserve">Parameters and Arguments</w:t>
      </w:r>
    </w:p>
    <w:p>
      <w:pPr>
        <w:pStyle w:val="Compact"/>
        <w:numPr>
          <w:ilvl w:val="0"/>
          <w:numId w:val="1559"/>
        </w:numPr>
      </w:pPr>
      <w:r>
        <w:rPr>
          <w:b/>
          <w:bCs/>
        </w:rPr>
        <w:t xml:space="preserve">argName</w:t>
      </w:r>
      <w:r>
        <w:t xml:space="preserve"> </w:t>
      </w:r>
      <w:r>
        <w:t xml:space="preserve">(</w:t>
      </w:r>
      <w:r>
        <w:rPr>
          <w:rStyle w:val="VerbatimChar"/>
        </w:rPr>
        <w:t xml:space="preserve">String</w:t>
      </w:r>
      <w:r>
        <w:t xml:space="preserve">): The name of the argument to retrieve.</w:t>
      </w:r>
    </w:p>
    <w:bookmarkEnd w:id="1902"/>
    <w:bookmarkStart w:id="1903" w:name="return-values-16"/>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containing the argument value. If the argument does not exist, it returns</w:t>
      </w:r>
      <w:r>
        <w:t xml:space="preserve"> </w:t>
      </w:r>
      <w:r>
        <w:rPr>
          <w:rStyle w:val="VerbatimChar"/>
        </w:rPr>
        <w:t xml:space="preserve">Empty</w:t>
      </w:r>
      <w:r>
        <w:t xml:space="preserve"> </w:t>
      </w:r>
      <w:r>
        <w:t xml:space="preserve">(VBScript) or</w:t>
      </w:r>
      <w:r>
        <w:t xml:space="preserve"> </w:t>
      </w:r>
      <w:r>
        <w:rPr>
          <w:rStyle w:val="VerbatimChar"/>
        </w:rPr>
        <w:t xml:space="preserve">undefined</w:t>
      </w:r>
      <w:r>
        <w:t xml:space="preserve">/empty string (JavaScript).</w:t>
      </w:r>
    </w:p>
    <w:bookmarkEnd w:id="1903"/>
    <w:bookmarkStart w:id="1904" w:name="remarks-171"/>
    <w:p>
      <w:pPr>
        <w:pStyle w:val="Heading2"/>
      </w:pPr>
      <w:r>
        <w:t xml:space="preserve">Remarks</w:t>
      </w:r>
    </w:p>
    <w:p>
      <w:pPr>
        <w:pStyle w:val="FirstParagraph"/>
      </w:pPr>
      <w:r>
        <w:t xml:space="preserve">Arguments are automatically populated by the</w:t>
      </w:r>
      <w:r>
        <w:t xml:space="preserve"> </w:t>
      </w:r>
      <w:r>
        <w:rPr>
          <w:rStyle w:val="VerbatimChar"/>
        </w:rPr>
        <w:t xml:space="preserve">g3axonlive.js</w:t>
      </w:r>
      <w:r>
        <w:t xml:space="preserve"> </w:t>
      </w:r>
      <w:r>
        <w:t xml:space="preserve">bridge from elements containing</w:t>
      </w:r>
      <w:r>
        <w:t xml:space="preserve"> </w:t>
      </w:r>
      <w:r>
        <w:rPr>
          <w:rStyle w:val="VerbatimChar"/>
        </w:rPr>
        <w:t xml:space="preserve">data-g3al-arg-[name]="[value]"</w:t>
      </w:r>
      <w:r>
        <w:t xml:space="preserve"> </w:t>
      </w:r>
      <w:r>
        <w:t xml:space="preserve">attributes.</w:t>
      </w:r>
    </w:p>
    <w:bookmarkEnd w:id="1904"/>
    <w:bookmarkStart w:id="1907" w:name="code-example-80"/>
    <w:p>
      <w:pPr>
        <w:pStyle w:val="Heading2"/>
      </w:pPr>
      <w:r>
        <w:t xml:space="preserve">Code Example</w:t>
      </w:r>
    </w:p>
    <w:bookmarkStart w:id="1905" w:name="vbscript-6"/>
    <w:p>
      <w:pPr>
        <w:pStyle w:val="Heading3"/>
      </w:pPr>
      <w:r>
        <w:t xml:space="preserve">VBScript</w:t>
      </w:r>
    </w:p>
    <w:p>
      <w:pPr>
        <w:pStyle w:val="SourceCode"/>
      </w:pPr>
      <w:r>
        <w:rPr>
          <w:rStyle w:val="VerbatimChar"/>
        </w:rPr>
        <w:t xml:space="preserve">Dim AxonLive, stepVal</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 Assuming client element had: data-g3al-arg-step="5"</w:t>
      </w:r>
      <w:r>
        <w:br/>
      </w:r>
      <w:r>
        <w:rPr>
          <w:rStyle w:val="VerbatimChar"/>
        </w:rPr>
        <w:t xml:space="preserve">    stepVal = AxonLive.GetEventArg("step")</w:t>
      </w:r>
      <w:r>
        <w:br/>
      </w:r>
      <w:r>
        <w:rPr>
          <w:rStyle w:val="VerbatimChar"/>
        </w:rPr>
        <w:t xml:space="preserve">    If stepVal = "" Then stepVal = "1"</w:t>
      </w:r>
      <w:r>
        <w:br/>
      </w:r>
      <w:r>
        <w:rPr>
          <w:rStyle w:val="VerbatimChar"/>
        </w:rPr>
        <w:t xml:space="preserve">    </w:t>
      </w:r>
      <w:r>
        <w:br/>
      </w:r>
      <w:r>
        <w:rPr>
          <w:rStyle w:val="VerbatimChar"/>
        </w:rPr>
        <w:t xml:space="preserve">    Response.Write "Moving " &amp; stepVal &amp; " steps."</w:t>
      </w:r>
      <w:r>
        <w:br/>
      </w:r>
      <w:r>
        <w:rPr>
          <w:rStyle w:val="VerbatimChar"/>
        </w:rPr>
        <w:t xml:space="preserve">    AxonLive.EndAsyncResponse()</w:t>
      </w:r>
      <w:r>
        <w:br/>
      </w:r>
      <w:r>
        <w:rPr>
          <w:rStyle w:val="VerbatimChar"/>
        </w:rPr>
        <w:t xml:space="preserve">End If</w:t>
      </w:r>
    </w:p>
    <w:bookmarkEnd w:id="1905"/>
    <w:bookmarkStart w:id="1906" w:name="javascript-6"/>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mmentTok"/>
        </w:rPr>
        <w:t xml:space="preserve">// Assuming client element had: data-g3al-arg-step="5"</w:t>
      </w:r>
      <w:r>
        <w:br/>
      </w:r>
      <w:r>
        <w:rPr>
          <w:rStyle w:val="NormalTok"/>
        </w:rPr>
        <w:t xml:space="preserve">    </w:t>
      </w:r>
      <w:r>
        <w:rPr>
          <w:rStyle w:val="KeywordTok"/>
        </w:rPr>
        <w:t xml:space="preserve">var</w:t>
      </w:r>
      <w:r>
        <w:rPr>
          <w:rStyle w:val="NormalTok"/>
        </w:rPr>
        <w:t xml:space="preserve"> stepVal </w:t>
      </w:r>
      <w:r>
        <w:rPr>
          <w:rStyle w:val="OperatorTok"/>
        </w:rPr>
        <w:t xml:space="preserve">=</w:t>
      </w:r>
      <w:r>
        <w:rPr>
          <w:rStyle w:val="NormalTok"/>
        </w:rPr>
        <w:t xml:space="preserve"> AxonLive</w:t>
      </w:r>
      <w:r>
        <w:rPr>
          <w:rStyle w:val="OperatorTok"/>
        </w:rPr>
        <w:t xml:space="preserve">.</w:t>
      </w:r>
      <w:r>
        <w:rPr>
          <w:rStyle w:val="FunctionTok"/>
        </w:rPr>
        <w:t xml:space="preserve">GetEventArg</w:t>
      </w:r>
      <w:r>
        <w:rPr>
          <w:rStyle w:val="NormalTok"/>
        </w:rPr>
        <w:t xml:space="preserve">(</w:t>
      </w:r>
      <w:r>
        <w:rPr>
          <w:rStyle w:val="StringTok"/>
        </w:rPr>
        <w:t xml:space="preserve">"step"</w:t>
      </w:r>
      <w:r>
        <w:rPr>
          <w:rStyle w:val="NormalTok"/>
        </w:rPr>
        <w:t xml:space="preserve">)</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stepVal) stepVal </w:t>
      </w:r>
      <w:r>
        <w:rPr>
          <w:rStyle w:val="OperatorTok"/>
        </w:rPr>
        <w:t xml:space="preserve">=</w:t>
      </w:r>
      <w:r>
        <w:rPr>
          <w:rStyle w:val="NormalTok"/>
        </w:rPr>
        <w:t xml:space="preserve"> </w:t>
      </w:r>
      <w:r>
        <w:rPr>
          <w:rStyle w:val="StringTok"/>
        </w:rPr>
        <w:t xml:space="preserve">"1"</w:t>
      </w:r>
      <w:r>
        <w:rPr>
          <w:rStyle w:val="OperatorTok"/>
        </w:rPr>
        <w:t xml:space="preserve">;</w:t>
      </w:r>
      <w:r>
        <w:br/>
      </w:r>
      <w:r>
        <w:rPr>
          <w:rStyle w:val="NormalTok"/>
        </w:rPr>
        <w:t xml:space="preserve">    </w:t>
      </w:r>
      <w:r>
        <w:br/>
      </w:r>
      <w:r>
        <w:rPr>
          <w:rStyle w:val="NormalTok"/>
        </w:rPr>
        <w:t xml:space="preserve">    Response</w:t>
      </w:r>
      <w:r>
        <w:rPr>
          <w:rStyle w:val="OperatorTok"/>
        </w:rPr>
        <w:t xml:space="preserve">.</w:t>
      </w:r>
      <w:r>
        <w:rPr>
          <w:rStyle w:val="FunctionTok"/>
        </w:rPr>
        <w:t xml:space="preserve">Write</w:t>
      </w:r>
      <w:r>
        <w:rPr>
          <w:rStyle w:val="NormalTok"/>
        </w:rPr>
        <w:t xml:space="preserve">(</w:t>
      </w:r>
      <w:r>
        <w:rPr>
          <w:rStyle w:val="StringTok"/>
        </w:rPr>
        <w:t xml:space="preserve">"Moving "</w:t>
      </w:r>
      <w:r>
        <w:rPr>
          <w:rStyle w:val="NormalTok"/>
        </w:rPr>
        <w:t xml:space="preserve"> </w:t>
      </w:r>
      <w:r>
        <w:rPr>
          <w:rStyle w:val="OperatorTok"/>
        </w:rPr>
        <w:t xml:space="preserve">+</w:t>
      </w:r>
      <w:r>
        <w:rPr>
          <w:rStyle w:val="NormalTok"/>
        </w:rPr>
        <w:t xml:space="preserve"> stepVal </w:t>
      </w:r>
      <w:r>
        <w:rPr>
          <w:rStyle w:val="OperatorTok"/>
        </w:rPr>
        <w:t xml:space="preserve">+</w:t>
      </w:r>
      <w:r>
        <w:rPr>
          <w:rStyle w:val="NormalTok"/>
        </w:rPr>
        <w:t xml:space="preserve"> </w:t>
      </w:r>
      <w:r>
        <w:rPr>
          <w:rStyle w:val="StringTok"/>
        </w:rPr>
        <w:t xml:space="preserve">" steps."</w:t>
      </w:r>
      <w:r>
        <w:rPr>
          <w:rStyle w:val="NormalTok"/>
        </w:rPr>
        <w:t xml:space="preserve">)</w:t>
      </w:r>
      <w:r>
        <w:rPr>
          <w:rStyle w:val="OperatorTok"/>
        </w:rPr>
        <w:t xml:space="preserve">;</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906"/>
    <w:bookmarkEnd w:id="1907"/>
    <w:bookmarkEnd w:id="1908"/>
    <w:bookmarkStart w:id="1917" w:name="initpage"/>
    <w:p>
      <w:pPr>
        <w:pStyle w:val="Heading1"/>
      </w:pPr>
      <w:r>
        <w:t xml:space="preserve">InitPage</w:t>
      </w:r>
    </w:p>
    <w:bookmarkStart w:id="1909" w:name="overview-142"/>
    <w:p>
      <w:pPr>
        <w:pStyle w:val="Heading2"/>
      </w:pPr>
      <w:r>
        <w:t xml:space="preserve">Overview</w:t>
      </w:r>
    </w:p>
    <w:p>
      <w:pPr>
        <w:pStyle w:val="FirstParagraph"/>
      </w:pPr>
      <w:r>
        <w:t xml:space="preserve">Initializes the page for the AxonLive framework. It parses the incoming request to determine if it is an async POST event and automatically registers the current page URL for session tracking.</w:t>
      </w:r>
    </w:p>
    <w:bookmarkEnd w:id="1909"/>
    <w:bookmarkStart w:id="1910" w:name="syntax-159"/>
    <w:p>
      <w:pPr>
        <w:pStyle w:val="Heading2"/>
      </w:pPr>
      <w:r>
        <w:t xml:space="preserve">Syntax</w:t>
      </w:r>
    </w:p>
    <w:p>
      <w:pPr>
        <w:pStyle w:val="SourceCode"/>
      </w:pPr>
      <w:r>
        <w:rPr>
          <w:rStyle w:val="VerbatimChar"/>
        </w:rPr>
        <w:t xml:space="preserve">objAxonLive.InitPage()</w:t>
      </w:r>
    </w:p>
    <w:p>
      <w:pPr>
        <w:pStyle w:val="SourceCode"/>
      </w:pPr>
      <w:r>
        <w:rPr>
          <w:rStyle w:val="NormalTok"/>
        </w:rPr>
        <w:t xml:space="preserve">objAxonLive</w:t>
      </w:r>
      <w:r>
        <w:rPr>
          <w:rStyle w:val="OperatorTok"/>
        </w:rPr>
        <w:t xml:space="preserve">.</w:t>
      </w:r>
      <w:r>
        <w:rPr>
          <w:rStyle w:val="FunctionTok"/>
        </w:rPr>
        <w:t xml:space="preserve">InitPage</w:t>
      </w:r>
      <w:r>
        <w:rPr>
          <w:rStyle w:val="NormalTok"/>
        </w:rPr>
        <w:t xml:space="preserve">()</w:t>
      </w:r>
      <w:r>
        <w:rPr>
          <w:rStyle w:val="OperatorTok"/>
        </w:rPr>
        <w:t xml:space="preserve">;</w:t>
      </w:r>
    </w:p>
    <w:bookmarkEnd w:id="1910"/>
    <w:bookmarkStart w:id="1911" w:name="parameters-and-arguments-21"/>
    <w:p>
      <w:pPr>
        <w:pStyle w:val="Heading2"/>
      </w:pPr>
      <w:r>
        <w:t xml:space="preserve">Parameters and Arguments</w:t>
      </w:r>
    </w:p>
    <w:p>
      <w:pPr>
        <w:pStyle w:val="FirstParagraph"/>
      </w:pPr>
      <w:r>
        <w:t xml:space="preserve">None.</w:t>
      </w:r>
    </w:p>
    <w:bookmarkEnd w:id="1911"/>
    <w:bookmarkStart w:id="1912" w:name="return-values-17"/>
    <w:p>
      <w:pPr>
        <w:pStyle w:val="Heading2"/>
      </w:pPr>
      <w:r>
        <w:t xml:space="preserve">Return Values</w:t>
      </w:r>
    </w:p>
    <w:p>
      <w:pPr>
        <w:pStyle w:val="FirstParagraph"/>
      </w:pPr>
      <w:r>
        <w:t xml:space="preserve">Returns a</w:t>
      </w:r>
      <w:r>
        <w:t xml:space="preserve"> </w:t>
      </w:r>
      <w:r>
        <w:rPr>
          <w:rStyle w:val="VerbatimChar"/>
        </w:rPr>
        <w:t xml:space="preserve">Boolean</w:t>
      </w:r>
      <w:r>
        <w:t xml:space="preserve">. Returns</w:t>
      </w:r>
      <w:r>
        <w:t xml:space="preserve"> </w:t>
      </w:r>
      <w:r>
        <w:rPr>
          <w:rStyle w:val="VerbatimChar"/>
        </w:rPr>
        <w:t xml:space="preserve">True</w:t>
      </w:r>
      <w:r>
        <w:t xml:space="preserve"> </w:t>
      </w:r>
      <w:r>
        <w:t xml:space="preserve">if it successfully initialized an asynchronous event, or</w:t>
      </w:r>
      <w:r>
        <w:t xml:space="preserve"> </w:t>
      </w:r>
      <w:r>
        <w:rPr>
          <w:rStyle w:val="VerbatimChar"/>
        </w:rPr>
        <w:t xml:space="preserve">False</w:t>
      </w:r>
      <w:r>
        <w:t xml:space="preserve"> </w:t>
      </w:r>
      <w:r>
        <w:t xml:space="preserve">if it initialized a standard page load.</w:t>
      </w:r>
    </w:p>
    <w:bookmarkEnd w:id="1912"/>
    <w:bookmarkStart w:id="1913" w:name="remarks-172"/>
    <w:p>
      <w:pPr>
        <w:pStyle w:val="Heading2"/>
      </w:pPr>
      <w:r>
        <w:t xml:space="preserve">Remarks</w:t>
      </w:r>
    </w:p>
    <w:p>
      <w:pPr>
        <w:pStyle w:val="FirstParagraph"/>
      </w:pPr>
      <w:r>
        <w:t xml:space="preserve">You MUST call this method at the very top of your ASP script, before checking</w:t>
      </w:r>
      <w:r>
        <w:t xml:space="preserve"> </w:t>
      </w:r>
      <w:r>
        <w:rPr>
          <w:rStyle w:val="VerbatimChar"/>
        </w:rPr>
        <w:t xml:space="preserve">IsAsyncRequest</w:t>
      </w:r>
      <w:r>
        <w:t xml:space="preserve"> </w:t>
      </w:r>
      <w:r>
        <w:t xml:space="preserve">or attempting to read any event properties. Calling it multiple times in the same script has no adverse effects.</w:t>
      </w:r>
    </w:p>
    <w:bookmarkEnd w:id="1913"/>
    <w:bookmarkStart w:id="1916" w:name="code-example-81"/>
    <w:p>
      <w:pPr>
        <w:pStyle w:val="Heading2"/>
      </w:pPr>
      <w:r>
        <w:t xml:space="preserve">Code Example</w:t>
      </w:r>
    </w:p>
    <w:bookmarkStart w:id="1914" w:name="vbscript-7"/>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rPr>
          <w:rStyle w:val="VerbatimChar"/>
        </w:rPr>
        <w:t xml:space="preserve">AxonLive.InitPage() ' Mandatory initialization</w:t>
      </w:r>
    </w:p>
    <w:bookmarkEnd w:id="1914"/>
    <w:bookmarkStart w:id="1915" w:name="javascript-7"/>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rPr>
          <w:rStyle w:val="NormalTok"/>
        </w:rPr>
        <w:t xml:space="preserve"> </w:t>
      </w:r>
      <w:r>
        <w:rPr>
          <w:rStyle w:val="CommentTok"/>
        </w:rPr>
        <w:t xml:space="preserve">// Mandatory initialization</w:t>
      </w:r>
    </w:p>
    <w:bookmarkEnd w:id="1915"/>
    <w:bookmarkEnd w:id="1916"/>
    <w:bookmarkEnd w:id="1917"/>
    <w:bookmarkStart w:id="1926" w:name="redirect"/>
    <w:p>
      <w:pPr>
        <w:pStyle w:val="Heading1"/>
      </w:pPr>
      <w:r>
        <w:t xml:space="preserve">Redirect</w:t>
      </w:r>
    </w:p>
    <w:bookmarkStart w:id="1918" w:name="overview-143"/>
    <w:p>
      <w:pPr>
        <w:pStyle w:val="Heading2"/>
      </w:pPr>
      <w:r>
        <w:t xml:space="preserve">Overview</w:t>
      </w:r>
    </w:p>
    <w:p>
      <w:pPr>
        <w:pStyle w:val="FirstParagraph"/>
      </w:pPr>
      <w:r>
        <w:t xml:space="preserve">Queues a client action that securely navigates the browser to the specified URL. Since the request is asynchronous, a standard</w:t>
      </w:r>
      <w:r>
        <w:t xml:space="preserve"> </w:t>
      </w:r>
      <w:r>
        <w:rPr>
          <w:rStyle w:val="VerbatimChar"/>
        </w:rPr>
        <w:t xml:space="preserve">Response.Redirect</w:t>
      </w:r>
      <w:r>
        <w:t xml:space="preserve"> </w:t>
      </w:r>
      <w:r>
        <w:t xml:space="preserve">will not work. This method instructs the frontend bridge to change</w:t>
      </w:r>
      <w:r>
        <w:t xml:space="preserve"> </w:t>
      </w:r>
      <w:r>
        <w:rPr>
          <w:rStyle w:val="VerbatimChar"/>
        </w:rPr>
        <w:t xml:space="preserve">window.location.href</w:t>
      </w:r>
      <w:r>
        <w:t xml:space="preserve">.</w:t>
      </w:r>
    </w:p>
    <w:bookmarkEnd w:id="1918"/>
    <w:bookmarkStart w:id="1919" w:name="syntax-160"/>
    <w:p>
      <w:pPr>
        <w:pStyle w:val="Heading2"/>
      </w:pPr>
      <w:r>
        <w:t xml:space="preserve">Syntax</w:t>
      </w:r>
    </w:p>
    <w:p>
      <w:pPr>
        <w:pStyle w:val="SourceCode"/>
      </w:pPr>
      <w:r>
        <w:rPr>
          <w:rStyle w:val="VerbatimChar"/>
        </w:rPr>
        <w:t xml:space="preserve">objAxonLive.Redirect url</w:t>
      </w:r>
    </w:p>
    <w:p>
      <w:pPr>
        <w:pStyle w:val="SourceCode"/>
      </w:pPr>
      <w:r>
        <w:rPr>
          <w:rStyle w:val="NormalTok"/>
        </w:rPr>
        <w:t xml:space="preserve">objAxonLive</w:t>
      </w:r>
      <w:r>
        <w:rPr>
          <w:rStyle w:val="OperatorTok"/>
        </w:rPr>
        <w:t xml:space="preserve">.</w:t>
      </w:r>
      <w:r>
        <w:rPr>
          <w:rStyle w:val="FunctionTok"/>
        </w:rPr>
        <w:t xml:space="preserve">Redirect</w:t>
      </w:r>
      <w:r>
        <w:rPr>
          <w:rStyle w:val="NormalTok"/>
        </w:rPr>
        <w:t xml:space="preserve">(url)</w:t>
      </w:r>
      <w:r>
        <w:rPr>
          <w:rStyle w:val="OperatorTok"/>
        </w:rPr>
        <w:t xml:space="preserve">;</w:t>
      </w:r>
    </w:p>
    <w:bookmarkEnd w:id="1919"/>
    <w:bookmarkStart w:id="1920" w:name="parameters-and-arguments-22"/>
    <w:p>
      <w:pPr>
        <w:pStyle w:val="Heading2"/>
      </w:pPr>
      <w:r>
        <w:t xml:space="preserve">Parameters and Arguments</w:t>
      </w:r>
    </w:p>
    <w:p>
      <w:pPr>
        <w:pStyle w:val="Compact"/>
        <w:numPr>
          <w:ilvl w:val="0"/>
          <w:numId w:val="1560"/>
        </w:numPr>
      </w:pPr>
      <w:r>
        <w:rPr>
          <w:b/>
          <w:bCs/>
        </w:rPr>
        <w:t xml:space="preserve">url</w:t>
      </w:r>
      <w:r>
        <w:t xml:space="preserve"> </w:t>
      </w:r>
      <w:r>
        <w:t xml:space="preserve">(</w:t>
      </w:r>
      <w:r>
        <w:rPr>
          <w:rStyle w:val="VerbatimChar"/>
        </w:rPr>
        <w:t xml:space="preserve">String</w:t>
      </w:r>
      <w:r>
        <w:t xml:space="preserve">): The destination URL. It can be absolute or relative.</w:t>
      </w:r>
    </w:p>
    <w:bookmarkEnd w:id="1920"/>
    <w:bookmarkStart w:id="1921" w:name="return-values-18"/>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21"/>
    <w:bookmarkStart w:id="1922" w:name="remarks-173"/>
    <w:p>
      <w:pPr>
        <w:pStyle w:val="Heading2"/>
      </w:pPr>
      <w:r>
        <w:t xml:space="preserve">Remarks</w:t>
      </w:r>
    </w:p>
    <w:p>
      <w:pPr>
        <w:pStyle w:val="FirstParagraph"/>
      </w:pPr>
      <w:r>
        <w:t xml:space="preserve">This method should be used instead of</w:t>
      </w:r>
      <w:r>
        <w:t xml:space="preserve"> </w:t>
      </w:r>
      <w:r>
        <w:rPr>
          <w:rStyle w:val="VerbatimChar"/>
        </w:rPr>
        <w:t xml:space="preserve">Response.Redirect</w:t>
      </w:r>
      <w:r>
        <w:t xml:space="preserve"> </w:t>
      </w:r>
      <w:r>
        <w:t xml:space="preserve">when responding to an AxonLive event. The redirect happens immediately after the client bridge processes the JSON response.</w:t>
      </w:r>
    </w:p>
    <w:bookmarkEnd w:id="1922"/>
    <w:bookmarkStart w:id="1925" w:name="code-example-82"/>
    <w:p>
      <w:pPr>
        <w:pStyle w:val="Heading2"/>
      </w:pPr>
      <w:r>
        <w:t xml:space="preserve">Code Example</w:t>
      </w:r>
    </w:p>
    <w:bookmarkStart w:id="1923" w:name="vbscript-8"/>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If AxonLive.EventComponentID = "btnLogout" Then</w:t>
      </w:r>
      <w:r>
        <w:br/>
      </w:r>
      <w:r>
        <w:rPr>
          <w:rStyle w:val="VerbatimChar"/>
        </w:rPr>
        <w:t xml:space="preserve">        ' Perform logout logic here, then redirect</w:t>
      </w:r>
      <w:r>
        <w:br/>
      </w:r>
      <w:r>
        <w:rPr>
          <w:rStyle w:val="VerbatimChar"/>
        </w:rPr>
        <w:t xml:space="preserve">        AxonLive.Redirect "/login.asp"</w:t>
      </w:r>
      <w:r>
        <w:br/>
      </w:r>
      <w:r>
        <w:rPr>
          <w:rStyle w:val="VerbatimChar"/>
        </w:rPr>
        <w:t xml:space="preserve">    End If</w:t>
      </w:r>
      <w:r>
        <w:br/>
      </w:r>
      <w:r>
        <w:rPr>
          <w:rStyle w:val="VerbatimChar"/>
        </w:rPr>
        <w:t xml:space="preserve">    AxonLive.EndAsyncResponse()</w:t>
      </w:r>
      <w:r>
        <w:br/>
      </w:r>
      <w:r>
        <w:rPr>
          <w:rStyle w:val="VerbatimChar"/>
        </w:rPr>
        <w:t xml:space="preserve">End If</w:t>
      </w:r>
    </w:p>
    <w:bookmarkEnd w:id="1923"/>
    <w:bookmarkStart w:id="1924" w:name="javascript-8"/>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ntrolFlowTok"/>
        </w:rPr>
        <w:t xml:space="preserve">if</w:t>
      </w:r>
      <w:r>
        <w:rPr>
          <w:rStyle w:val="NormalTok"/>
        </w:rPr>
        <w:t xml:space="preserve"> (AxonLive</w:t>
      </w:r>
      <w:r>
        <w:rPr>
          <w:rStyle w:val="OperatorTok"/>
        </w:rPr>
        <w:t xml:space="preserve">.</w:t>
      </w:r>
      <w:r>
        <w:rPr>
          <w:rStyle w:val="AttributeTok"/>
        </w:rPr>
        <w:t xml:space="preserve">EventComponentID</w:t>
      </w:r>
      <w:r>
        <w:rPr>
          <w:rStyle w:val="NormalTok"/>
        </w:rPr>
        <w:t xml:space="preserve"> </w:t>
      </w:r>
      <w:r>
        <w:rPr>
          <w:rStyle w:val="OperatorTok"/>
        </w:rPr>
        <w:t xml:space="preserve">===</w:t>
      </w:r>
      <w:r>
        <w:rPr>
          <w:rStyle w:val="NormalTok"/>
        </w:rPr>
        <w:t xml:space="preserve"> </w:t>
      </w:r>
      <w:r>
        <w:rPr>
          <w:rStyle w:val="StringTok"/>
        </w:rPr>
        <w:t xml:space="preserve">"btnLogout"</w:t>
      </w:r>
      <w:r>
        <w:rPr>
          <w:rStyle w:val="NormalTok"/>
        </w:rPr>
        <w:t xml:space="preserve">) {</w:t>
      </w:r>
      <w:r>
        <w:br/>
      </w:r>
      <w:r>
        <w:rPr>
          <w:rStyle w:val="NormalTok"/>
        </w:rPr>
        <w:t xml:space="preserve">        </w:t>
      </w:r>
      <w:r>
        <w:rPr>
          <w:rStyle w:val="CommentTok"/>
        </w:rPr>
        <w:t xml:space="preserve">// Perform logout logic here, then redirect</w:t>
      </w:r>
      <w:r>
        <w:br/>
      </w:r>
      <w:r>
        <w:rPr>
          <w:rStyle w:val="NormalTok"/>
        </w:rPr>
        <w:t xml:space="preserve">        AxonLive</w:t>
      </w:r>
      <w:r>
        <w:rPr>
          <w:rStyle w:val="OperatorTok"/>
        </w:rPr>
        <w:t xml:space="preserve">.</w:t>
      </w:r>
      <w:r>
        <w:rPr>
          <w:rStyle w:val="FunctionTok"/>
        </w:rPr>
        <w:t xml:space="preserve">Redirect</w:t>
      </w:r>
      <w:r>
        <w:rPr>
          <w:rStyle w:val="NormalTok"/>
        </w:rPr>
        <w:t xml:space="preserve">(</w:t>
      </w:r>
      <w:r>
        <w:rPr>
          <w:rStyle w:val="StringTok"/>
        </w:rPr>
        <w:t xml:space="preserve">"/login.asp"</w:t>
      </w:r>
      <w:r>
        <w:rPr>
          <w:rStyle w:val="NormalTok"/>
        </w:rPr>
        <w:t xml:space="preserve">)</w:t>
      </w:r>
      <w:r>
        <w:rPr>
          <w:rStyle w:val="OperatorTok"/>
        </w:rPr>
        <w:t xml:space="preserve">;</w:t>
      </w:r>
      <w:r>
        <w:br/>
      </w:r>
      <w:r>
        <w:rPr>
          <w:rStyle w:val="NormalTok"/>
        </w:rPr>
        <w:t xml:space="preserve">    }</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924"/>
    <w:bookmarkEnd w:id="1925"/>
    <w:bookmarkEnd w:id="1926"/>
    <w:bookmarkStart w:id="1935" w:name="registercomponent"/>
    <w:p>
      <w:pPr>
        <w:pStyle w:val="Heading1"/>
      </w:pPr>
      <w:r>
        <w:t xml:space="preserve">RegisterComponent</w:t>
      </w:r>
    </w:p>
    <w:bookmarkStart w:id="1927" w:name="overview-144"/>
    <w:p>
      <w:pPr>
        <w:pStyle w:val="Heading2"/>
      </w:pPr>
      <w:r>
        <w:t xml:space="preserve">Overview</w:t>
      </w:r>
    </w:p>
    <w:p>
      <w:pPr>
        <w:pStyle w:val="FirstParagraph"/>
      </w:pPr>
      <w:r>
        <w:t xml:space="preserve">Registers an updated HTML block for a specific component. When</w:t>
      </w:r>
      <w:r>
        <w:t xml:space="preserve"> </w:t>
      </w:r>
      <w:r>
        <w:rPr>
          <w:rStyle w:val="VerbatimChar"/>
        </w:rPr>
        <w:t xml:space="preserve">EndAsyncResponse</w:t>
      </w:r>
      <w:r>
        <w:t xml:space="preserve"> </w:t>
      </w:r>
      <w:r>
        <w:t xml:space="preserve">is called, the framework sends this HTML patch to the browser, replacing the component’s</w:t>
      </w:r>
      <w:r>
        <w:t xml:space="preserve"> </w:t>
      </w:r>
      <w:r>
        <w:rPr>
          <w:rStyle w:val="VerbatimChar"/>
        </w:rPr>
        <w:t xml:space="preserve">outerHTML</w:t>
      </w:r>
      <w:r>
        <w:t xml:space="preserve">.</w:t>
      </w:r>
    </w:p>
    <w:bookmarkEnd w:id="1927"/>
    <w:bookmarkStart w:id="1928" w:name="syntax-161"/>
    <w:p>
      <w:pPr>
        <w:pStyle w:val="Heading2"/>
      </w:pPr>
      <w:r>
        <w:t xml:space="preserve">Syntax</w:t>
      </w:r>
    </w:p>
    <w:p>
      <w:pPr>
        <w:pStyle w:val="SourceCode"/>
      </w:pPr>
      <w:r>
        <w:rPr>
          <w:rStyle w:val="VerbatimChar"/>
        </w:rPr>
        <w:t xml:space="preserve">objAxonLive.RegisterComponent componentId, htmlString</w:t>
      </w:r>
    </w:p>
    <w:p>
      <w:pPr>
        <w:pStyle w:val="SourceCode"/>
      </w:pPr>
      <w:r>
        <w:rPr>
          <w:rStyle w:val="NormalTok"/>
        </w:rPr>
        <w:t xml:space="preserve">objAxonLive</w:t>
      </w:r>
      <w:r>
        <w:rPr>
          <w:rStyle w:val="OperatorTok"/>
        </w:rPr>
        <w:t xml:space="preserve">.</w:t>
      </w:r>
      <w:r>
        <w:rPr>
          <w:rStyle w:val="FunctionTok"/>
        </w:rPr>
        <w:t xml:space="preserve">RegisterComponent</w:t>
      </w:r>
      <w:r>
        <w:rPr>
          <w:rStyle w:val="NormalTok"/>
        </w:rPr>
        <w:t xml:space="preserve">(componentId</w:t>
      </w:r>
      <w:r>
        <w:rPr>
          <w:rStyle w:val="OperatorTok"/>
        </w:rPr>
        <w:t xml:space="preserve">,</w:t>
      </w:r>
      <w:r>
        <w:rPr>
          <w:rStyle w:val="NormalTok"/>
        </w:rPr>
        <w:t xml:space="preserve"> htmlString)</w:t>
      </w:r>
      <w:r>
        <w:rPr>
          <w:rStyle w:val="OperatorTok"/>
        </w:rPr>
        <w:t xml:space="preserve">;</w:t>
      </w:r>
    </w:p>
    <w:bookmarkEnd w:id="1928"/>
    <w:bookmarkStart w:id="1929" w:name="parameters-and-arguments-23"/>
    <w:p>
      <w:pPr>
        <w:pStyle w:val="Heading2"/>
      </w:pPr>
      <w:r>
        <w:t xml:space="preserve">Parameters and Arguments</w:t>
      </w:r>
    </w:p>
    <w:p>
      <w:pPr>
        <w:pStyle w:val="Compact"/>
        <w:numPr>
          <w:ilvl w:val="0"/>
          <w:numId w:val="1561"/>
        </w:numPr>
      </w:pPr>
      <w:r>
        <w:rPr>
          <w:b/>
          <w:bCs/>
        </w:rPr>
        <w:t xml:space="preserve">componentId</w:t>
      </w:r>
      <w:r>
        <w:t xml:space="preserve"> </w:t>
      </w:r>
      <w:r>
        <w:t xml:space="preserve">(</w:t>
      </w:r>
      <w:r>
        <w:rPr>
          <w:rStyle w:val="VerbatimChar"/>
        </w:rPr>
        <w:t xml:space="preserve">String</w:t>
      </w:r>
      <w:r>
        <w:t xml:space="preserve">): The ID of the HTML element on the client side to be replaced.</w:t>
      </w:r>
    </w:p>
    <w:p>
      <w:pPr>
        <w:pStyle w:val="Compact"/>
        <w:numPr>
          <w:ilvl w:val="0"/>
          <w:numId w:val="1561"/>
        </w:numPr>
      </w:pPr>
      <w:r>
        <w:rPr>
          <w:b/>
          <w:bCs/>
        </w:rPr>
        <w:t xml:space="preserve">htmlString</w:t>
      </w:r>
      <w:r>
        <w:t xml:space="preserve"> </w:t>
      </w:r>
      <w:r>
        <w:t xml:space="preserve">(</w:t>
      </w:r>
      <w:r>
        <w:rPr>
          <w:rStyle w:val="VerbatimChar"/>
        </w:rPr>
        <w:t xml:space="preserve">String</w:t>
      </w:r>
      <w:r>
        <w:t xml:space="preserve">): The completely new HTML string that will replace the component. Note: this replaces the</w:t>
      </w:r>
      <w:r>
        <w:t xml:space="preserve"> </w:t>
      </w:r>
      <w:r>
        <w:rPr>
          <w:rStyle w:val="VerbatimChar"/>
        </w:rPr>
        <w:t xml:space="preserve">outerHTML</w:t>
      </w:r>
      <w:r>
        <w:t xml:space="preserve">, so the root tag should typically maintain the same ID.</w:t>
      </w:r>
    </w:p>
    <w:bookmarkEnd w:id="1929"/>
    <w:bookmarkStart w:id="1930" w:name="return-values-19"/>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30"/>
    <w:bookmarkStart w:id="1931" w:name="remarks-174"/>
    <w:p>
      <w:pPr>
        <w:pStyle w:val="Heading2"/>
      </w:pPr>
      <w:r>
        <w:t xml:space="preserve">Remarks</w:t>
      </w:r>
    </w:p>
    <w:p>
      <w:pPr>
        <w:pStyle w:val="FirstParagraph"/>
      </w:pPr>
      <w:r>
        <w:t xml:space="preserve">The</w:t>
      </w:r>
      <w:r>
        <w:t xml:space="preserve"> </w:t>
      </w:r>
      <w:r>
        <w:rPr>
          <w:rStyle w:val="VerbatimChar"/>
        </w:rPr>
        <w:t xml:space="preserve">htmlString</w:t>
      </w:r>
      <w:r>
        <w:t xml:space="preserve"> </w:t>
      </w:r>
      <w:r>
        <w:t xml:space="preserve">must be a valid HTML string. If you replace an element, ensure the new HTML includes the same</w:t>
      </w:r>
      <w:r>
        <w:t xml:space="preserve"> </w:t>
      </w:r>
      <w:r>
        <w:rPr>
          <w:rStyle w:val="VerbatimChar"/>
        </w:rPr>
        <w:t xml:space="preserve">id</w:t>
      </w:r>
      <w:r>
        <w:t xml:space="preserve"> </w:t>
      </w:r>
      <w:r>
        <w:t xml:space="preserve">and</w:t>
      </w:r>
      <w:r>
        <w:t xml:space="preserve"> </w:t>
      </w:r>
      <w:r>
        <w:rPr>
          <w:rStyle w:val="VerbatimChar"/>
        </w:rPr>
        <w:t xml:space="preserve">data-g3al-*</w:t>
      </w:r>
      <w:r>
        <w:t xml:space="preserve"> </w:t>
      </w:r>
      <w:r>
        <w:t xml:space="preserve">attributes if you want it to remain interactive for future events.</w:t>
      </w:r>
    </w:p>
    <w:bookmarkEnd w:id="1931"/>
    <w:bookmarkStart w:id="1934" w:name="code-example-83"/>
    <w:p>
      <w:pPr>
        <w:pStyle w:val="Heading2"/>
      </w:pPr>
      <w:r>
        <w:t xml:space="preserve">Code Example</w:t>
      </w:r>
    </w:p>
    <w:bookmarkStart w:id="1932" w:name="vbscript-9"/>
    <w:p>
      <w:pPr>
        <w:pStyle w:val="Heading3"/>
      </w:pPr>
      <w:r>
        <w:t xml:space="preserve">VBScript</w:t>
      </w:r>
    </w:p>
    <w:p>
      <w:pPr>
        <w:pStyle w:val="SourceCode"/>
      </w:pPr>
      <w:r>
        <w:rPr>
          <w:rStyle w:val="VerbatimChar"/>
        </w:rPr>
        <w:t xml:space="preserve">Dim AxonLive, newHtml</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newHtml = "&lt;div id=""statusMessage"" class=""alert alert-success""&gt;Saved!&lt;/div&gt;"</w:t>
      </w:r>
      <w:r>
        <w:br/>
      </w:r>
      <w:r>
        <w:rPr>
          <w:rStyle w:val="VerbatimChar"/>
        </w:rPr>
        <w:t xml:space="preserve">    AxonLive.RegisterComponent "statusMessage", newHtml</w:t>
      </w:r>
      <w:r>
        <w:br/>
      </w:r>
      <w:r>
        <w:rPr>
          <w:rStyle w:val="VerbatimChar"/>
        </w:rPr>
        <w:t xml:space="preserve">    AxonLive.EndAsyncResponse()</w:t>
      </w:r>
      <w:r>
        <w:br/>
      </w:r>
      <w:r>
        <w:rPr>
          <w:rStyle w:val="VerbatimChar"/>
        </w:rPr>
        <w:t xml:space="preserve">End If</w:t>
      </w:r>
    </w:p>
    <w:bookmarkEnd w:id="1932"/>
    <w:bookmarkStart w:id="1933" w:name="javascript-9"/>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KeywordTok"/>
        </w:rPr>
        <w:t xml:space="preserve">var</w:t>
      </w:r>
      <w:r>
        <w:rPr>
          <w:rStyle w:val="NormalTok"/>
        </w:rPr>
        <w:t xml:space="preserve"> newHtml </w:t>
      </w:r>
      <w:r>
        <w:rPr>
          <w:rStyle w:val="OperatorTok"/>
        </w:rPr>
        <w:t xml:space="preserve">=</w:t>
      </w:r>
      <w:r>
        <w:rPr>
          <w:rStyle w:val="NormalTok"/>
        </w:rPr>
        <w:t xml:space="preserve"> </w:t>
      </w:r>
      <w:r>
        <w:rPr>
          <w:rStyle w:val="StringTok"/>
        </w:rPr>
        <w:t xml:space="preserve">"&lt;div id=</w:t>
      </w:r>
      <w:r>
        <w:rPr>
          <w:rStyle w:val="SpecialCharTok"/>
        </w:rPr>
        <w:t xml:space="preserve">\"</w:t>
      </w:r>
      <w:r>
        <w:rPr>
          <w:rStyle w:val="StringTok"/>
        </w:rPr>
        <w:t xml:space="preserve">statusMessage</w:t>
      </w:r>
      <w:r>
        <w:rPr>
          <w:rStyle w:val="SpecialCharTok"/>
        </w:rPr>
        <w:t xml:space="preserve">\"</w:t>
      </w:r>
      <w:r>
        <w:rPr>
          <w:rStyle w:val="StringTok"/>
        </w:rPr>
        <w:t xml:space="preserve"> class=</w:t>
      </w:r>
      <w:r>
        <w:rPr>
          <w:rStyle w:val="SpecialCharTok"/>
        </w:rPr>
        <w:t xml:space="preserve">\"</w:t>
      </w:r>
      <w:r>
        <w:rPr>
          <w:rStyle w:val="StringTok"/>
        </w:rPr>
        <w:t xml:space="preserve">alert alert-success</w:t>
      </w:r>
      <w:r>
        <w:rPr>
          <w:rStyle w:val="SpecialCharTok"/>
        </w:rPr>
        <w:t xml:space="preserve">\"</w:t>
      </w:r>
      <w:r>
        <w:rPr>
          <w:rStyle w:val="StringTok"/>
        </w:rPr>
        <w:t xml:space="preserve">&gt;Saved!&lt;/div&gt;"</w:t>
      </w:r>
      <w:r>
        <w:rPr>
          <w:rStyle w:val="OperatorTok"/>
        </w:rPr>
        <w:t xml:space="preserve">;</w:t>
      </w:r>
      <w:r>
        <w:br/>
      </w:r>
      <w:r>
        <w:rPr>
          <w:rStyle w:val="NormalTok"/>
        </w:rPr>
        <w:t xml:space="preserve">    AxonLive</w:t>
      </w:r>
      <w:r>
        <w:rPr>
          <w:rStyle w:val="OperatorTok"/>
        </w:rPr>
        <w:t xml:space="preserve">.</w:t>
      </w:r>
      <w:r>
        <w:rPr>
          <w:rStyle w:val="FunctionTok"/>
        </w:rPr>
        <w:t xml:space="preserve">RegisterComponent</w:t>
      </w:r>
      <w:r>
        <w:rPr>
          <w:rStyle w:val="NormalTok"/>
        </w:rPr>
        <w:t xml:space="preserve">(</w:t>
      </w:r>
      <w:r>
        <w:rPr>
          <w:rStyle w:val="StringTok"/>
        </w:rPr>
        <w:t xml:space="preserve">"statusMessage"</w:t>
      </w:r>
      <w:r>
        <w:rPr>
          <w:rStyle w:val="OperatorTok"/>
        </w:rPr>
        <w:t xml:space="preserve">,</w:t>
      </w:r>
      <w:r>
        <w:rPr>
          <w:rStyle w:val="NormalTok"/>
        </w:rPr>
        <w:t xml:space="preserve"> newHtml)</w:t>
      </w:r>
      <w:r>
        <w:rPr>
          <w:rStyle w:val="OperatorTok"/>
        </w:rPr>
        <w:t xml:space="preserve">;</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933"/>
    <w:bookmarkEnd w:id="1934"/>
    <w:bookmarkEnd w:id="1935"/>
    <w:bookmarkStart w:id="1944" w:name="registerpage"/>
    <w:p>
      <w:pPr>
        <w:pStyle w:val="Heading1"/>
      </w:pPr>
      <w:r>
        <w:t xml:space="preserve">RegisterPage</w:t>
      </w:r>
    </w:p>
    <w:bookmarkStart w:id="1936" w:name="overview-145"/>
    <w:p>
      <w:pPr>
        <w:pStyle w:val="Heading2"/>
      </w:pPr>
      <w:r>
        <w:t xml:space="preserve">Overview</w:t>
      </w:r>
    </w:p>
    <w:p>
      <w:pPr>
        <w:pStyle w:val="FirstParagraph"/>
      </w:pPr>
      <w:r>
        <w:t xml:space="preserve">Records the ASP script URL for a session so the backend framework knows which page to re-execute when an asynchronous event arrives from the client.</w:t>
      </w:r>
    </w:p>
    <w:bookmarkEnd w:id="1936"/>
    <w:bookmarkStart w:id="1937" w:name="syntax-162"/>
    <w:p>
      <w:pPr>
        <w:pStyle w:val="Heading2"/>
      </w:pPr>
      <w:r>
        <w:t xml:space="preserve">Syntax</w:t>
      </w:r>
    </w:p>
    <w:p>
      <w:pPr>
        <w:pStyle w:val="SourceCode"/>
      </w:pPr>
      <w:r>
        <w:rPr>
          <w:rStyle w:val="VerbatimChar"/>
        </w:rPr>
        <w:t xml:space="preserve">objAxonLive.RegisterPage sessionID, scriptURL</w:t>
      </w:r>
    </w:p>
    <w:p>
      <w:pPr>
        <w:pStyle w:val="SourceCode"/>
      </w:pPr>
      <w:r>
        <w:rPr>
          <w:rStyle w:val="NormalTok"/>
        </w:rPr>
        <w:t xml:space="preserve">objAxonLive</w:t>
      </w:r>
      <w:r>
        <w:rPr>
          <w:rStyle w:val="OperatorTok"/>
        </w:rPr>
        <w:t xml:space="preserve">.</w:t>
      </w:r>
      <w:r>
        <w:rPr>
          <w:rStyle w:val="FunctionTok"/>
        </w:rPr>
        <w:t xml:space="preserve">RegisterPage</w:t>
      </w:r>
      <w:r>
        <w:rPr>
          <w:rStyle w:val="NormalTok"/>
        </w:rPr>
        <w:t xml:space="preserve">(sessionID</w:t>
      </w:r>
      <w:r>
        <w:rPr>
          <w:rStyle w:val="OperatorTok"/>
        </w:rPr>
        <w:t xml:space="preserve">,</w:t>
      </w:r>
      <w:r>
        <w:rPr>
          <w:rStyle w:val="NormalTok"/>
        </w:rPr>
        <w:t xml:space="preserve"> scriptURL)</w:t>
      </w:r>
      <w:r>
        <w:rPr>
          <w:rStyle w:val="OperatorTok"/>
        </w:rPr>
        <w:t xml:space="preserve">;</w:t>
      </w:r>
    </w:p>
    <w:bookmarkEnd w:id="1937"/>
    <w:bookmarkStart w:id="1938" w:name="parameters-and-arguments-24"/>
    <w:p>
      <w:pPr>
        <w:pStyle w:val="Heading2"/>
      </w:pPr>
      <w:r>
        <w:t xml:space="preserve">Parameters and Arguments</w:t>
      </w:r>
    </w:p>
    <w:p>
      <w:pPr>
        <w:pStyle w:val="Compact"/>
        <w:numPr>
          <w:ilvl w:val="0"/>
          <w:numId w:val="1562"/>
        </w:numPr>
      </w:pPr>
      <w:r>
        <w:rPr>
          <w:b/>
          <w:bCs/>
        </w:rPr>
        <w:t xml:space="preserve">sessionID</w:t>
      </w:r>
      <w:r>
        <w:t xml:space="preserve"> </w:t>
      </w:r>
      <w:r>
        <w:t xml:space="preserve">(</w:t>
      </w:r>
      <w:r>
        <w:rPr>
          <w:rStyle w:val="VerbatimChar"/>
        </w:rPr>
        <w:t xml:space="preserve">String</w:t>
      </w:r>
      <w:r>
        <w:t xml:space="preserve">): The active Session ID.</w:t>
      </w:r>
    </w:p>
    <w:p>
      <w:pPr>
        <w:pStyle w:val="Compact"/>
        <w:numPr>
          <w:ilvl w:val="0"/>
          <w:numId w:val="1562"/>
        </w:numPr>
      </w:pPr>
      <w:r>
        <w:rPr>
          <w:b/>
          <w:bCs/>
        </w:rPr>
        <w:t xml:space="preserve">scriptURL</w:t>
      </w:r>
      <w:r>
        <w:t xml:space="preserve"> </w:t>
      </w:r>
      <w:r>
        <w:t xml:space="preserve">(</w:t>
      </w:r>
      <w:r>
        <w:rPr>
          <w:rStyle w:val="VerbatimChar"/>
        </w:rPr>
        <w:t xml:space="preserve">String</w:t>
      </w:r>
      <w:r>
        <w:t xml:space="preserve">): The URL of the script (usually</w:t>
      </w:r>
      <w:r>
        <w:t xml:space="preserve"> </w:t>
      </w:r>
      <w:r>
        <w:rPr>
          <w:rStyle w:val="VerbatimChar"/>
        </w:rPr>
        <w:t xml:space="preserve">Request.ServerVariables("SCRIPT_NAME")</w:t>
      </w:r>
      <w:r>
        <w:t xml:space="preserve">).</w:t>
      </w:r>
    </w:p>
    <w:bookmarkEnd w:id="1938"/>
    <w:bookmarkStart w:id="1939" w:name="return-values-20"/>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39"/>
    <w:bookmarkStart w:id="1940" w:name="remarks-175"/>
    <w:p>
      <w:pPr>
        <w:pStyle w:val="Heading2"/>
      </w:pPr>
      <w:r>
        <w:t xml:space="preserve">Remarks</w:t>
      </w:r>
    </w:p>
    <w:p>
      <w:pPr>
        <w:pStyle w:val="FirstParagraph"/>
      </w:pPr>
      <w:r>
        <w:t xml:space="preserve">You generally</w:t>
      </w:r>
      <w:r>
        <w:t xml:space="preserve"> </w:t>
      </w:r>
      <w:r>
        <w:rPr>
          <w:b/>
          <w:bCs/>
        </w:rPr>
        <w:t xml:space="preserve">do not need to call this manually</w:t>
      </w:r>
      <w:r>
        <w:t xml:space="preserve">. The</w:t>
      </w:r>
      <w:r>
        <w:t xml:space="preserve"> </w:t>
      </w:r>
      <w:r>
        <w:rPr>
          <w:rStyle w:val="VerbatimChar"/>
        </w:rPr>
        <w:t xml:space="preserve">InitPage</w:t>
      </w:r>
      <w:r>
        <w:t xml:space="preserve"> </w:t>
      </w:r>
      <w:r>
        <w:t xml:space="preserve">method automatically registers the current page on your behalf during standard page loads and async events. This method is exposed for edge cases where you might need to route async requests to a different handler script explicitly.</w:t>
      </w:r>
    </w:p>
    <w:bookmarkEnd w:id="1940"/>
    <w:bookmarkStart w:id="1943" w:name="code-example-84"/>
    <w:p>
      <w:pPr>
        <w:pStyle w:val="Heading2"/>
      </w:pPr>
      <w:r>
        <w:t xml:space="preserve">Code Example</w:t>
      </w:r>
    </w:p>
    <w:bookmarkStart w:id="1941" w:name="vbscript-10"/>
    <w:p>
      <w:pPr>
        <w:pStyle w:val="Heading3"/>
      </w:pPr>
      <w:r>
        <w:t xml:space="preserve">VBScript</w:t>
      </w:r>
    </w:p>
    <w:p>
      <w:pPr>
        <w:pStyle w:val="SourceCode"/>
      </w:pPr>
      <w:r>
        <w:rPr>
          <w:rStyle w:val="VerbatimChar"/>
        </w:rPr>
        <w:t xml:space="preserve">Dim AxonLive, sID</w:t>
      </w:r>
      <w:r>
        <w:br/>
      </w:r>
      <w:r>
        <w:rPr>
          <w:rStyle w:val="VerbatimChar"/>
        </w:rPr>
        <w:t xml:space="preserve">Set AxonLive = Server.CreateObject("G3AXONLIVE")</w:t>
      </w:r>
      <w:r>
        <w:br/>
      </w:r>
      <w:r>
        <w:br/>
      </w:r>
      <w:r>
        <w:rPr>
          <w:rStyle w:val="VerbatimChar"/>
        </w:rPr>
        <w:t xml:space="preserve">sID = Session.SessionID</w:t>
      </w:r>
      <w:r>
        <w:br/>
      </w:r>
      <w:r>
        <w:rPr>
          <w:rStyle w:val="VerbatimChar"/>
        </w:rPr>
        <w:t xml:space="preserve">AxonLive.RegisterPage sID, "/custom_handler.asp"</w:t>
      </w:r>
    </w:p>
    <w:bookmarkEnd w:id="1941"/>
    <w:bookmarkStart w:id="1942" w:name="javascript-10"/>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br/>
      </w:r>
      <w:r>
        <w:rPr>
          <w:rStyle w:val="KeywordTok"/>
        </w:rPr>
        <w:t xml:space="preserve">var</w:t>
      </w:r>
      <w:r>
        <w:rPr>
          <w:rStyle w:val="NormalTok"/>
        </w:rPr>
        <w:t xml:space="preserve"> sID </w:t>
      </w:r>
      <w:r>
        <w:rPr>
          <w:rStyle w:val="OperatorTok"/>
        </w:rPr>
        <w:t xml:space="preserve">=</w:t>
      </w:r>
      <w:r>
        <w:rPr>
          <w:rStyle w:val="NormalTok"/>
        </w:rPr>
        <w:t xml:space="preserve"> Session</w:t>
      </w:r>
      <w:r>
        <w:rPr>
          <w:rStyle w:val="OperatorTok"/>
        </w:rPr>
        <w:t xml:space="preserve">.</w:t>
      </w:r>
      <w:r>
        <w:rPr>
          <w:rStyle w:val="AttributeTok"/>
        </w:rPr>
        <w:t xml:space="preserve">SessionID</w:t>
      </w:r>
      <w:r>
        <w:rPr>
          <w:rStyle w:val="OperatorTok"/>
        </w:rPr>
        <w:t xml:space="preserve">;</w:t>
      </w:r>
      <w:r>
        <w:br/>
      </w:r>
      <w:r>
        <w:rPr>
          <w:rStyle w:val="NormalTok"/>
        </w:rPr>
        <w:t xml:space="preserve">AxonLive</w:t>
      </w:r>
      <w:r>
        <w:rPr>
          <w:rStyle w:val="OperatorTok"/>
        </w:rPr>
        <w:t xml:space="preserve">.</w:t>
      </w:r>
      <w:r>
        <w:rPr>
          <w:rStyle w:val="FunctionTok"/>
        </w:rPr>
        <w:t xml:space="preserve">RegisterPage</w:t>
      </w:r>
      <w:r>
        <w:rPr>
          <w:rStyle w:val="NormalTok"/>
        </w:rPr>
        <w:t xml:space="preserve">(sID</w:t>
      </w:r>
      <w:r>
        <w:rPr>
          <w:rStyle w:val="OperatorTok"/>
        </w:rPr>
        <w:t xml:space="preserve">,</w:t>
      </w:r>
      <w:r>
        <w:rPr>
          <w:rStyle w:val="NormalTok"/>
        </w:rPr>
        <w:t xml:space="preserve"> </w:t>
      </w:r>
      <w:r>
        <w:rPr>
          <w:rStyle w:val="StringTok"/>
        </w:rPr>
        <w:t xml:space="preserve">"/custom_handler.asp"</w:t>
      </w:r>
      <w:r>
        <w:rPr>
          <w:rStyle w:val="NormalTok"/>
        </w:rPr>
        <w:t xml:space="preserve">)</w:t>
      </w:r>
      <w:r>
        <w:rPr>
          <w:rStyle w:val="OperatorTok"/>
        </w:rPr>
        <w:t xml:space="preserve">;</w:t>
      </w:r>
    </w:p>
    <w:bookmarkEnd w:id="1942"/>
    <w:bookmarkEnd w:id="1943"/>
    <w:bookmarkEnd w:id="1944"/>
    <w:bookmarkStart w:id="1953" w:name="removecomponentproperty"/>
    <w:p>
      <w:pPr>
        <w:pStyle w:val="Heading1"/>
      </w:pPr>
      <w:r>
        <w:t xml:space="preserve">RemoveComponentProperty</w:t>
      </w:r>
    </w:p>
    <w:bookmarkStart w:id="1945" w:name="overview-146"/>
    <w:p>
      <w:pPr>
        <w:pStyle w:val="Heading2"/>
      </w:pPr>
      <w:r>
        <w:t xml:space="preserve">Overview</w:t>
      </w:r>
    </w:p>
    <w:p>
      <w:pPr>
        <w:pStyle w:val="FirstParagraph"/>
      </w:pPr>
      <w:r>
        <w:t xml:space="preserve">Deletes a specific property entry from the persistent global state.</w:t>
      </w:r>
    </w:p>
    <w:bookmarkEnd w:id="1945"/>
    <w:bookmarkStart w:id="1946" w:name="syntax-163"/>
    <w:p>
      <w:pPr>
        <w:pStyle w:val="Heading2"/>
      </w:pPr>
      <w:r>
        <w:t xml:space="preserve">Syntax</w:t>
      </w:r>
    </w:p>
    <w:p>
      <w:pPr>
        <w:pStyle w:val="SourceCode"/>
      </w:pPr>
      <w:r>
        <w:rPr>
          <w:rStyle w:val="VerbatimChar"/>
        </w:rPr>
        <w:t xml:space="preserve">objAxonLive.RemoveComponentProperty sessionID, componentID, propertyName</w:t>
      </w:r>
    </w:p>
    <w:p>
      <w:pPr>
        <w:pStyle w:val="SourceCode"/>
      </w:pPr>
      <w:r>
        <w:rPr>
          <w:rStyle w:val="NormalTok"/>
        </w:rPr>
        <w:t xml:space="preserve">objAxonLive</w:t>
      </w:r>
      <w:r>
        <w:rPr>
          <w:rStyle w:val="OperatorTok"/>
        </w:rPr>
        <w:t xml:space="preserve">.</w:t>
      </w:r>
      <w:r>
        <w:rPr>
          <w:rStyle w:val="FunctionTok"/>
        </w:rPr>
        <w:t xml:space="preserve">RemoveComponentProperty</w:t>
      </w:r>
      <w:r>
        <w:rPr>
          <w:rStyle w:val="NormalTok"/>
        </w:rPr>
        <w:t xml:space="preserve">(sessionID</w:t>
      </w:r>
      <w:r>
        <w:rPr>
          <w:rStyle w:val="OperatorTok"/>
        </w:rPr>
        <w:t xml:space="preserve">,</w:t>
      </w:r>
      <w:r>
        <w:rPr>
          <w:rStyle w:val="NormalTok"/>
        </w:rPr>
        <w:t xml:space="preserve"> componentID</w:t>
      </w:r>
      <w:r>
        <w:rPr>
          <w:rStyle w:val="OperatorTok"/>
        </w:rPr>
        <w:t xml:space="preserve">,</w:t>
      </w:r>
      <w:r>
        <w:rPr>
          <w:rStyle w:val="NormalTok"/>
        </w:rPr>
        <w:t xml:space="preserve"> propertyName)</w:t>
      </w:r>
      <w:r>
        <w:rPr>
          <w:rStyle w:val="OperatorTok"/>
        </w:rPr>
        <w:t xml:space="preserve">;</w:t>
      </w:r>
    </w:p>
    <w:bookmarkEnd w:id="1946"/>
    <w:bookmarkStart w:id="1947" w:name="parameters-and-arguments-25"/>
    <w:p>
      <w:pPr>
        <w:pStyle w:val="Heading2"/>
      </w:pPr>
      <w:r>
        <w:t xml:space="preserve">Parameters and Arguments</w:t>
      </w:r>
    </w:p>
    <w:p>
      <w:pPr>
        <w:pStyle w:val="Compact"/>
        <w:numPr>
          <w:ilvl w:val="0"/>
          <w:numId w:val="1563"/>
        </w:numPr>
      </w:pPr>
      <w:r>
        <w:rPr>
          <w:b/>
          <w:bCs/>
        </w:rPr>
        <w:t xml:space="preserve">sessionID</w:t>
      </w:r>
      <w:r>
        <w:t xml:space="preserve"> </w:t>
      </w:r>
      <w:r>
        <w:t xml:space="preserve">(</w:t>
      </w:r>
      <w:r>
        <w:rPr>
          <w:rStyle w:val="VerbatimChar"/>
        </w:rPr>
        <w:t xml:space="preserve">String</w:t>
      </w:r>
      <w:r>
        <w:t xml:space="preserve">): The active Session ID.</w:t>
      </w:r>
    </w:p>
    <w:p>
      <w:pPr>
        <w:pStyle w:val="Compact"/>
        <w:numPr>
          <w:ilvl w:val="0"/>
          <w:numId w:val="1563"/>
        </w:numPr>
      </w:pPr>
      <w:r>
        <w:rPr>
          <w:b/>
          <w:bCs/>
        </w:rPr>
        <w:t xml:space="preserve">componentID</w:t>
      </w:r>
      <w:r>
        <w:t xml:space="preserve"> </w:t>
      </w:r>
      <w:r>
        <w:t xml:space="preserve">(</w:t>
      </w:r>
      <w:r>
        <w:rPr>
          <w:rStyle w:val="VerbatimChar"/>
        </w:rPr>
        <w:t xml:space="preserve">String</w:t>
      </w:r>
      <w:r>
        <w:t xml:space="preserve">): The component identifier.</w:t>
      </w:r>
    </w:p>
    <w:p>
      <w:pPr>
        <w:pStyle w:val="Compact"/>
        <w:numPr>
          <w:ilvl w:val="0"/>
          <w:numId w:val="1563"/>
        </w:numPr>
      </w:pPr>
      <w:r>
        <w:rPr>
          <w:b/>
          <w:bCs/>
        </w:rPr>
        <w:t xml:space="preserve">propertyName</w:t>
      </w:r>
      <w:r>
        <w:t xml:space="preserve"> </w:t>
      </w:r>
      <w:r>
        <w:t xml:space="preserve">(</w:t>
      </w:r>
      <w:r>
        <w:rPr>
          <w:rStyle w:val="VerbatimChar"/>
        </w:rPr>
        <w:t xml:space="preserve">String</w:t>
      </w:r>
      <w:r>
        <w:t xml:space="preserve">): The name of the property to remove.</w:t>
      </w:r>
    </w:p>
    <w:bookmarkEnd w:id="1947"/>
    <w:bookmarkStart w:id="1948" w:name="return-values-21"/>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48"/>
    <w:bookmarkStart w:id="1949" w:name="remarks-176"/>
    <w:p>
      <w:pPr>
        <w:pStyle w:val="Heading2"/>
      </w:pPr>
      <w:r>
        <w:t xml:space="preserve">Remarks</w:t>
      </w:r>
    </w:p>
    <w:p>
      <w:pPr>
        <w:pStyle w:val="FirstParagraph"/>
      </w:pPr>
      <w:r>
        <w:t xml:space="preserve">Use this method to clean up individual properties without affecting the rest of the component’s state.</w:t>
      </w:r>
    </w:p>
    <w:bookmarkEnd w:id="1949"/>
    <w:bookmarkStart w:id="1952" w:name="code-example-85"/>
    <w:p>
      <w:pPr>
        <w:pStyle w:val="Heading2"/>
      </w:pPr>
      <w:r>
        <w:t xml:space="preserve">Code Example</w:t>
      </w:r>
    </w:p>
    <w:bookmarkStart w:id="1950" w:name="vbscript-11"/>
    <w:p>
      <w:pPr>
        <w:pStyle w:val="Heading3"/>
      </w:pPr>
      <w:r>
        <w:t xml:space="preserve">VBScript</w:t>
      </w:r>
    </w:p>
    <w:p>
      <w:pPr>
        <w:pStyle w:val="SourceCode"/>
      </w:pPr>
      <w:r>
        <w:rPr>
          <w:rStyle w:val="VerbatimChar"/>
        </w:rPr>
        <w:t xml:space="preserve">Dim AxonLive, sID</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sID = Session.SessionID</w:t>
      </w:r>
      <w:r>
        <w:br/>
      </w:r>
      <w:r>
        <w:br/>
      </w:r>
      <w:r>
        <w:rPr>
          <w:rStyle w:val="VerbatimChar"/>
        </w:rPr>
        <w:t xml:space="preserve">If AxonLive.IsAsyncRequest Then</w:t>
      </w:r>
      <w:r>
        <w:br/>
      </w:r>
      <w:r>
        <w:rPr>
          <w:rStyle w:val="VerbatimChar"/>
        </w:rPr>
        <w:t xml:space="preserve">    If AxonLive.EventComponentID = "btnResetStep" Then</w:t>
      </w:r>
      <w:r>
        <w:br/>
      </w:r>
      <w:r>
        <w:rPr>
          <w:rStyle w:val="VerbatimChar"/>
        </w:rPr>
        <w:t xml:space="preserve">        AxonLive.RemoveComponentProperty sID, "wizard", "step"</w:t>
      </w:r>
      <w:r>
        <w:br/>
      </w:r>
      <w:r>
        <w:rPr>
          <w:rStyle w:val="VerbatimChar"/>
        </w:rPr>
        <w:t xml:space="preserve">    End If</w:t>
      </w:r>
      <w:r>
        <w:br/>
      </w:r>
      <w:r>
        <w:rPr>
          <w:rStyle w:val="VerbatimChar"/>
        </w:rPr>
        <w:t xml:space="preserve">    AxonLive.EndAsyncResponse()</w:t>
      </w:r>
      <w:r>
        <w:br/>
      </w:r>
      <w:r>
        <w:rPr>
          <w:rStyle w:val="VerbatimChar"/>
        </w:rPr>
        <w:t xml:space="preserve">End If</w:t>
      </w:r>
    </w:p>
    <w:bookmarkEnd w:id="1950"/>
    <w:bookmarkStart w:id="1951" w:name="javascript-11"/>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KeywordTok"/>
        </w:rPr>
        <w:t xml:space="preserve">var</w:t>
      </w:r>
      <w:r>
        <w:rPr>
          <w:rStyle w:val="NormalTok"/>
        </w:rPr>
        <w:t xml:space="preserve"> sID </w:t>
      </w:r>
      <w:r>
        <w:rPr>
          <w:rStyle w:val="OperatorTok"/>
        </w:rPr>
        <w:t xml:space="preserve">=</w:t>
      </w:r>
      <w:r>
        <w:rPr>
          <w:rStyle w:val="NormalTok"/>
        </w:rPr>
        <w:t xml:space="preserve"> Session</w:t>
      </w:r>
      <w:r>
        <w:rPr>
          <w:rStyle w:val="OperatorTok"/>
        </w:rPr>
        <w:t xml:space="preserve">.</w:t>
      </w:r>
      <w:r>
        <w:rPr>
          <w:rStyle w:val="AttributeTok"/>
        </w:rPr>
        <w:t xml:space="preserve">SessionID</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ntrolFlowTok"/>
        </w:rPr>
        <w:t xml:space="preserve">if</w:t>
      </w:r>
      <w:r>
        <w:rPr>
          <w:rStyle w:val="NormalTok"/>
        </w:rPr>
        <w:t xml:space="preserve"> (AxonLive</w:t>
      </w:r>
      <w:r>
        <w:rPr>
          <w:rStyle w:val="OperatorTok"/>
        </w:rPr>
        <w:t xml:space="preserve">.</w:t>
      </w:r>
      <w:r>
        <w:rPr>
          <w:rStyle w:val="AttributeTok"/>
        </w:rPr>
        <w:t xml:space="preserve">EventComponentID</w:t>
      </w:r>
      <w:r>
        <w:rPr>
          <w:rStyle w:val="NormalTok"/>
        </w:rPr>
        <w:t xml:space="preserve"> </w:t>
      </w:r>
      <w:r>
        <w:rPr>
          <w:rStyle w:val="OperatorTok"/>
        </w:rPr>
        <w:t xml:space="preserve">===</w:t>
      </w:r>
      <w:r>
        <w:rPr>
          <w:rStyle w:val="NormalTok"/>
        </w:rPr>
        <w:t xml:space="preserve"> </w:t>
      </w:r>
      <w:r>
        <w:rPr>
          <w:rStyle w:val="StringTok"/>
        </w:rPr>
        <w:t xml:space="preserve">"btnResetStep"</w:t>
      </w:r>
      <w:r>
        <w:rPr>
          <w:rStyle w:val="NormalTok"/>
        </w:rPr>
        <w:t xml:space="preserve">) {</w:t>
      </w:r>
      <w:r>
        <w:br/>
      </w:r>
      <w:r>
        <w:rPr>
          <w:rStyle w:val="NormalTok"/>
        </w:rPr>
        <w:t xml:space="preserve">        AxonLive</w:t>
      </w:r>
      <w:r>
        <w:rPr>
          <w:rStyle w:val="OperatorTok"/>
        </w:rPr>
        <w:t xml:space="preserve">.</w:t>
      </w:r>
      <w:r>
        <w:rPr>
          <w:rStyle w:val="FunctionTok"/>
        </w:rPr>
        <w:t xml:space="preserve">RemoveComponentProperty</w:t>
      </w:r>
      <w:r>
        <w:rPr>
          <w:rStyle w:val="NormalTok"/>
        </w:rPr>
        <w:t xml:space="preserve">(sID</w:t>
      </w:r>
      <w:r>
        <w:rPr>
          <w:rStyle w:val="OperatorTok"/>
        </w:rPr>
        <w:t xml:space="preserve">,</w:t>
      </w:r>
      <w:r>
        <w:rPr>
          <w:rStyle w:val="NormalTok"/>
        </w:rPr>
        <w:t xml:space="preserve"> </w:t>
      </w:r>
      <w:r>
        <w:rPr>
          <w:rStyle w:val="StringTok"/>
        </w:rPr>
        <w:t xml:space="preserve">"wizard"</w:t>
      </w:r>
      <w:r>
        <w:rPr>
          <w:rStyle w:val="OperatorTok"/>
        </w:rPr>
        <w:t xml:space="preserve">,</w:t>
      </w:r>
      <w:r>
        <w:rPr>
          <w:rStyle w:val="NormalTok"/>
        </w:rPr>
        <w:t xml:space="preserve"> </w:t>
      </w:r>
      <w:r>
        <w:rPr>
          <w:rStyle w:val="StringTok"/>
        </w:rPr>
        <w:t xml:space="preserve">"step"</w:t>
      </w:r>
      <w:r>
        <w:rPr>
          <w:rStyle w:val="NormalTok"/>
        </w:rPr>
        <w:t xml:space="preserve">)</w:t>
      </w:r>
      <w:r>
        <w:rPr>
          <w:rStyle w:val="OperatorTok"/>
        </w:rPr>
        <w:t xml:space="preserve">;</w:t>
      </w:r>
      <w:r>
        <w:br/>
      </w:r>
      <w:r>
        <w:rPr>
          <w:rStyle w:val="NormalTok"/>
        </w:rPr>
        <w:t xml:space="preserve">    }</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951"/>
    <w:bookmarkEnd w:id="1952"/>
    <w:bookmarkEnd w:id="1953"/>
    <w:bookmarkStart w:id="1962" w:name="removesession"/>
    <w:p>
      <w:pPr>
        <w:pStyle w:val="Heading1"/>
      </w:pPr>
      <w:r>
        <w:t xml:space="preserve">RemoveSession</w:t>
      </w:r>
    </w:p>
    <w:bookmarkStart w:id="1954" w:name="overview-147"/>
    <w:p>
      <w:pPr>
        <w:pStyle w:val="Heading2"/>
      </w:pPr>
      <w:r>
        <w:t xml:space="preserve">Overview</w:t>
      </w:r>
    </w:p>
    <w:p>
      <w:pPr>
        <w:pStyle w:val="FirstParagraph"/>
      </w:pPr>
      <w:r>
        <w:t xml:space="preserve">Completely deletes all AxonLive state data associated with a specific session ID, including component values, page registration, and last access time.</w:t>
      </w:r>
    </w:p>
    <w:bookmarkEnd w:id="1954"/>
    <w:bookmarkStart w:id="1955" w:name="syntax-164"/>
    <w:p>
      <w:pPr>
        <w:pStyle w:val="Heading2"/>
      </w:pPr>
      <w:r>
        <w:t xml:space="preserve">Syntax</w:t>
      </w:r>
    </w:p>
    <w:p>
      <w:pPr>
        <w:pStyle w:val="SourceCode"/>
      </w:pPr>
      <w:r>
        <w:rPr>
          <w:rStyle w:val="VerbatimChar"/>
        </w:rPr>
        <w:t xml:space="preserve">objAxonLive.RemoveSession sessionID</w:t>
      </w:r>
    </w:p>
    <w:p>
      <w:pPr>
        <w:pStyle w:val="SourceCode"/>
      </w:pPr>
      <w:r>
        <w:rPr>
          <w:rStyle w:val="NormalTok"/>
        </w:rPr>
        <w:t xml:space="preserve">objAxonLive</w:t>
      </w:r>
      <w:r>
        <w:rPr>
          <w:rStyle w:val="OperatorTok"/>
        </w:rPr>
        <w:t xml:space="preserve">.</w:t>
      </w:r>
      <w:r>
        <w:rPr>
          <w:rStyle w:val="FunctionTok"/>
        </w:rPr>
        <w:t xml:space="preserve">RemoveSession</w:t>
      </w:r>
      <w:r>
        <w:rPr>
          <w:rStyle w:val="NormalTok"/>
        </w:rPr>
        <w:t xml:space="preserve">(sessionID)</w:t>
      </w:r>
      <w:r>
        <w:rPr>
          <w:rStyle w:val="OperatorTok"/>
        </w:rPr>
        <w:t xml:space="preserve">;</w:t>
      </w:r>
    </w:p>
    <w:bookmarkEnd w:id="1955"/>
    <w:bookmarkStart w:id="1956" w:name="parameters-and-arguments-26"/>
    <w:p>
      <w:pPr>
        <w:pStyle w:val="Heading2"/>
      </w:pPr>
      <w:r>
        <w:t xml:space="preserve">Parameters and Arguments</w:t>
      </w:r>
    </w:p>
    <w:p>
      <w:pPr>
        <w:pStyle w:val="Compact"/>
        <w:numPr>
          <w:ilvl w:val="0"/>
          <w:numId w:val="1564"/>
        </w:numPr>
      </w:pPr>
      <w:r>
        <w:rPr>
          <w:b/>
          <w:bCs/>
        </w:rPr>
        <w:t xml:space="preserve">sessionID</w:t>
      </w:r>
      <w:r>
        <w:t xml:space="preserve"> </w:t>
      </w:r>
      <w:r>
        <w:t xml:space="preserve">(</w:t>
      </w:r>
      <w:r>
        <w:rPr>
          <w:rStyle w:val="VerbatimChar"/>
        </w:rPr>
        <w:t xml:space="preserve">String</w:t>
      </w:r>
      <w:r>
        <w:t xml:space="preserve">): The Session ID to remove.</w:t>
      </w:r>
    </w:p>
    <w:bookmarkEnd w:id="1956"/>
    <w:bookmarkStart w:id="1957" w:name="return-values-22"/>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57"/>
    <w:bookmarkStart w:id="1958" w:name="remarks-177"/>
    <w:p>
      <w:pPr>
        <w:pStyle w:val="Heading2"/>
      </w:pPr>
      <w:r>
        <w:t xml:space="preserve">Remarks</w:t>
      </w:r>
    </w:p>
    <w:p>
      <w:pPr>
        <w:pStyle w:val="FirstParagraph"/>
      </w:pPr>
      <w:r>
        <w:t xml:space="preserve">This method is typically called when a user logs out or their session is explicitly ended. It ensures that the Go memory map frees up resources associated with that user immediately, rather than waiting for the background cleanup process.</w:t>
      </w:r>
    </w:p>
    <w:bookmarkEnd w:id="1958"/>
    <w:bookmarkStart w:id="1961" w:name="code-example-86"/>
    <w:p>
      <w:pPr>
        <w:pStyle w:val="Heading2"/>
      </w:pPr>
      <w:r>
        <w:t xml:space="preserve">Code Example</w:t>
      </w:r>
    </w:p>
    <w:bookmarkStart w:id="1959" w:name="vbscript-12"/>
    <w:p>
      <w:pPr>
        <w:pStyle w:val="Heading3"/>
      </w:pPr>
      <w:r>
        <w:t xml:space="preserve">VBScript</w:t>
      </w:r>
    </w:p>
    <w:p>
      <w:pPr>
        <w:pStyle w:val="SourceCode"/>
      </w:pPr>
      <w:r>
        <w:rPr>
          <w:rStyle w:val="VerbatimChar"/>
        </w:rPr>
        <w:t xml:space="preserve">Dim AxonLive, sID</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sID = Session.SessionID</w:t>
      </w:r>
      <w:r>
        <w:br/>
      </w:r>
      <w:r>
        <w:br/>
      </w:r>
      <w:r>
        <w:rPr>
          <w:rStyle w:val="VerbatimChar"/>
        </w:rPr>
        <w:t xml:space="preserve">If Request.QueryString("action") = "logout" Then</w:t>
      </w:r>
      <w:r>
        <w:br/>
      </w:r>
      <w:r>
        <w:rPr>
          <w:rStyle w:val="VerbatimChar"/>
        </w:rPr>
        <w:t xml:space="preserve">    AxonLive.RemoveSession sID</w:t>
      </w:r>
      <w:r>
        <w:br/>
      </w:r>
      <w:r>
        <w:rPr>
          <w:rStyle w:val="VerbatimChar"/>
        </w:rPr>
        <w:t xml:space="preserve">    Session.Abandon</w:t>
      </w:r>
      <w:r>
        <w:br/>
      </w:r>
      <w:r>
        <w:rPr>
          <w:rStyle w:val="VerbatimChar"/>
        </w:rPr>
        <w:t xml:space="preserve">    Response.Redirect "/login.asp"</w:t>
      </w:r>
      <w:r>
        <w:br/>
      </w:r>
      <w:r>
        <w:rPr>
          <w:rStyle w:val="VerbatimChar"/>
        </w:rPr>
        <w:t xml:space="preserve">End If</w:t>
      </w:r>
    </w:p>
    <w:bookmarkEnd w:id="1959"/>
    <w:bookmarkStart w:id="1960" w:name="javascript-12"/>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KeywordTok"/>
        </w:rPr>
        <w:t xml:space="preserve">var</w:t>
      </w:r>
      <w:r>
        <w:rPr>
          <w:rStyle w:val="NormalTok"/>
        </w:rPr>
        <w:t xml:space="preserve"> sID </w:t>
      </w:r>
      <w:r>
        <w:rPr>
          <w:rStyle w:val="OperatorTok"/>
        </w:rPr>
        <w:t xml:space="preserve">=</w:t>
      </w:r>
      <w:r>
        <w:rPr>
          <w:rStyle w:val="NormalTok"/>
        </w:rPr>
        <w:t xml:space="preserve"> Session</w:t>
      </w:r>
      <w:r>
        <w:rPr>
          <w:rStyle w:val="OperatorTok"/>
        </w:rPr>
        <w:t xml:space="preserve">.</w:t>
      </w:r>
      <w:r>
        <w:rPr>
          <w:rStyle w:val="AttributeTok"/>
        </w:rPr>
        <w:t xml:space="preserve">SessionID</w:t>
      </w:r>
      <w:r>
        <w:rPr>
          <w:rStyle w:val="OperatorTok"/>
        </w:rPr>
        <w:t xml:space="preserve">;</w:t>
      </w:r>
      <w:r>
        <w:br/>
      </w:r>
      <w:r>
        <w:br/>
      </w:r>
      <w:r>
        <w:rPr>
          <w:rStyle w:val="ControlFlowTok"/>
        </w:rPr>
        <w:t xml:space="preserve">if</w:t>
      </w:r>
      <w:r>
        <w:rPr>
          <w:rStyle w:val="NormalTok"/>
        </w:rPr>
        <w:t xml:space="preserve"> (Request</w:t>
      </w:r>
      <w:r>
        <w:rPr>
          <w:rStyle w:val="OperatorTok"/>
        </w:rPr>
        <w:t xml:space="preserve">.</w:t>
      </w:r>
      <w:r>
        <w:rPr>
          <w:rStyle w:val="FunctionTok"/>
        </w:rPr>
        <w:t xml:space="preserve">QueryString</w:t>
      </w:r>
      <w:r>
        <w:rPr>
          <w:rStyle w:val="NormalTok"/>
        </w:rPr>
        <w:t xml:space="preserve">(</w:t>
      </w:r>
      <w:r>
        <w:rPr>
          <w:rStyle w:val="StringTok"/>
        </w:rPr>
        <w:t xml:space="preserve">"action"</w:t>
      </w:r>
      <w:r>
        <w:rPr>
          <w:rStyle w:val="NormalTok"/>
        </w:rPr>
        <w:t xml:space="preserve">) </w:t>
      </w:r>
      <w:r>
        <w:rPr>
          <w:rStyle w:val="OperatorTok"/>
        </w:rPr>
        <w:t xml:space="preserve">==</w:t>
      </w:r>
      <w:r>
        <w:rPr>
          <w:rStyle w:val="NormalTok"/>
        </w:rPr>
        <w:t xml:space="preserve"> </w:t>
      </w:r>
      <w:r>
        <w:rPr>
          <w:rStyle w:val="StringTok"/>
        </w:rPr>
        <w:t xml:space="preserve">"logout"</w:t>
      </w:r>
      <w:r>
        <w:rPr>
          <w:rStyle w:val="NormalTok"/>
        </w:rPr>
        <w:t xml:space="preserve">) {</w:t>
      </w:r>
      <w:r>
        <w:br/>
      </w:r>
      <w:r>
        <w:rPr>
          <w:rStyle w:val="NormalTok"/>
        </w:rPr>
        <w:t xml:space="preserve">    AxonLive</w:t>
      </w:r>
      <w:r>
        <w:rPr>
          <w:rStyle w:val="OperatorTok"/>
        </w:rPr>
        <w:t xml:space="preserve">.</w:t>
      </w:r>
      <w:r>
        <w:rPr>
          <w:rStyle w:val="FunctionTok"/>
        </w:rPr>
        <w:t xml:space="preserve">RemoveSession</w:t>
      </w:r>
      <w:r>
        <w:rPr>
          <w:rStyle w:val="NormalTok"/>
        </w:rPr>
        <w:t xml:space="preserve">(sID)</w:t>
      </w:r>
      <w:r>
        <w:rPr>
          <w:rStyle w:val="OperatorTok"/>
        </w:rPr>
        <w:t xml:space="preserve">;</w:t>
      </w:r>
      <w:r>
        <w:br/>
      </w:r>
      <w:r>
        <w:rPr>
          <w:rStyle w:val="NormalTok"/>
        </w:rPr>
        <w:t xml:space="preserve">    Session</w:t>
      </w:r>
      <w:r>
        <w:rPr>
          <w:rStyle w:val="OperatorTok"/>
        </w:rPr>
        <w:t xml:space="preserve">.</w:t>
      </w:r>
      <w:r>
        <w:rPr>
          <w:rStyle w:val="FunctionTok"/>
        </w:rPr>
        <w:t xml:space="preserve">Abandon</w:t>
      </w:r>
      <w:r>
        <w:rPr>
          <w:rStyle w:val="NormalTok"/>
        </w:rPr>
        <w:t xml:space="preserve">()</w:t>
      </w:r>
      <w:r>
        <w:rPr>
          <w:rStyle w:val="OperatorTok"/>
        </w:rPr>
        <w:t xml:space="preserve">;</w:t>
      </w:r>
      <w:r>
        <w:br/>
      </w:r>
      <w:r>
        <w:rPr>
          <w:rStyle w:val="NormalTok"/>
        </w:rPr>
        <w:t xml:space="preserve">    Response</w:t>
      </w:r>
      <w:r>
        <w:rPr>
          <w:rStyle w:val="OperatorTok"/>
        </w:rPr>
        <w:t xml:space="preserve">.</w:t>
      </w:r>
      <w:r>
        <w:rPr>
          <w:rStyle w:val="FunctionTok"/>
        </w:rPr>
        <w:t xml:space="preserve">Redirect</w:t>
      </w:r>
      <w:r>
        <w:rPr>
          <w:rStyle w:val="NormalTok"/>
        </w:rPr>
        <w:t xml:space="preserve">(</w:t>
      </w:r>
      <w:r>
        <w:rPr>
          <w:rStyle w:val="StringTok"/>
        </w:rPr>
        <w:t xml:space="preserve">"/login.asp"</w:t>
      </w:r>
      <w:r>
        <w:rPr>
          <w:rStyle w:val="NormalTok"/>
        </w:rPr>
        <w:t xml:space="preserve">)</w:t>
      </w:r>
      <w:r>
        <w:rPr>
          <w:rStyle w:val="OperatorTok"/>
        </w:rPr>
        <w:t xml:space="preserve">;</w:t>
      </w:r>
      <w:r>
        <w:br/>
      </w:r>
      <w:r>
        <w:rPr>
          <w:rStyle w:val="NormalTok"/>
        </w:rPr>
        <w:t xml:space="preserve">}</w:t>
      </w:r>
    </w:p>
    <w:bookmarkEnd w:id="1960"/>
    <w:bookmarkEnd w:id="1961"/>
    <w:bookmarkEnd w:id="1962"/>
    <w:bookmarkStart w:id="1971" w:name="setcomponentproperty"/>
    <w:p>
      <w:pPr>
        <w:pStyle w:val="Heading1"/>
      </w:pPr>
      <w:r>
        <w:t xml:space="preserve">SetComponentProperty</w:t>
      </w:r>
    </w:p>
    <w:bookmarkStart w:id="1963" w:name="overview-148"/>
    <w:p>
      <w:pPr>
        <w:pStyle w:val="Heading2"/>
      </w:pPr>
      <w:r>
        <w:t xml:space="preserve">Overview</w:t>
      </w:r>
    </w:p>
    <w:p>
      <w:pPr>
        <w:pStyle w:val="FirstParagraph"/>
      </w:pPr>
      <w:r>
        <w:t xml:space="preserve">Stores a property value in the persistent global state for a given session and component. This data persists across all asynchronous calls and page reloads for the user.</w:t>
      </w:r>
    </w:p>
    <w:bookmarkEnd w:id="1963"/>
    <w:bookmarkStart w:id="1964" w:name="syntax-165"/>
    <w:p>
      <w:pPr>
        <w:pStyle w:val="Heading2"/>
      </w:pPr>
      <w:r>
        <w:t xml:space="preserve">Syntax</w:t>
      </w:r>
    </w:p>
    <w:p>
      <w:pPr>
        <w:pStyle w:val="SourceCode"/>
      </w:pPr>
      <w:r>
        <w:rPr>
          <w:rStyle w:val="VerbatimChar"/>
        </w:rPr>
        <w:t xml:space="preserve">objAxonLive.SetComponentProperty sessionID, componentID, propertyName, propertyValue</w:t>
      </w:r>
    </w:p>
    <w:p>
      <w:pPr>
        <w:pStyle w:val="SourceCode"/>
      </w:pPr>
      <w:r>
        <w:rPr>
          <w:rStyle w:val="NormalTok"/>
        </w:rPr>
        <w:t xml:space="preserve">objAxonLive</w:t>
      </w:r>
      <w:r>
        <w:rPr>
          <w:rStyle w:val="OperatorTok"/>
        </w:rPr>
        <w:t xml:space="preserve">.</w:t>
      </w:r>
      <w:r>
        <w:rPr>
          <w:rStyle w:val="FunctionTok"/>
        </w:rPr>
        <w:t xml:space="preserve">SetComponentProperty</w:t>
      </w:r>
      <w:r>
        <w:rPr>
          <w:rStyle w:val="NormalTok"/>
        </w:rPr>
        <w:t xml:space="preserve">(sessionID</w:t>
      </w:r>
      <w:r>
        <w:rPr>
          <w:rStyle w:val="OperatorTok"/>
        </w:rPr>
        <w:t xml:space="preserve">,</w:t>
      </w:r>
      <w:r>
        <w:rPr>
          <w:rStyle w:val="NormalTok"/>
        </w:rPr>
        <w:t xml:space="preserve"> componentID</w:t>
      </w:r>
      <w:r>
        <w:rPr>
          <w:rStyle w:val="OperatorTok"/>
        </w:rPr>
        <w:t xml:space="preserve">,</w:t>
      </w:r>
      <w:r>
        <w:rPr>
          <w:rStyle w:val="NormalTok"/>
        </w:rPr>
        <w:t xml:space="preserve"> propertyName</w:t>
      </w:r>
      <w:r>
        <w:rPr>
          <w:rStyle w:val="OperatorTok"/>
        </w:rPr>
        <w:t xml:space="preserve">,</w:t>
      </w:r>
      <w:r>
        <w:rPr>
          <w:rStyle w:val="NormalTok"/>
        </w:rPr>
        <w:t xml:space="preserve"> propertyValue)</w:t>
      </w:r>
      <w:r>
        <w:rPr>
          <w:rStyle w:val="OperatorTok"/>
        </w:rPr>
        <w:t xml:space="preserve">;</w:t>
      </w:r>
    </w:p>
    <w:bookmarkEnd w:id="1964"/>
    <w:bookmarkStart w:id="1965" w:name="parameters-and-arguments-27"/>
    <w:p>
      <w:pPr>
        <w:pStyle w:val="Heading2"/>
      </w:pPr>
      <w:r>
        <w:t xml:space="preserve">Parameters and Arguments</w:t>
      </w:r>
    </w:p>
    <w:p>
      <w:pPr>
        <w:pStyle w:val="Compact"/>
        <w:numPr>
          <w:ilvl w:val="0"/>
          <w:numId w:val="1565"/>
        </w:numPr>
      </w:pPr>
      <w:r>
        <w:rPr>
          <w:b/>
          <w:bCs/>
        </w:rPr>
        <w:t xml:space="preserve">sessionID</w:t>
      </w:r>
      <w:r>
        <w:t xml:space="preserve"> </w:t>
      </w:r>
      <w:r>
        <w:t xml:space="preserve">(</w:t>
      </w:r>
      <w:r>
        <w:rPr>
          <w:rStyle w:val="VerbatimChar"/>
        </w:rPr>
        <w:t xml:space="preserve">String</w:t>
      </w:r>
      <w:r>
        <w:t xml:space="preserve">): The active Session ID (usually obtained via</w:t>
      </w:r>
      <w:r>
        <w:t xml:space="preserve"> </w:t>
      </w:r>
      <w:r>
        <w:rPr>
          <w:rStyle w:val="VerbatimChar"/>
        </w:rPr>
        <w:t xml:space="preserve">Session.SessionID</w:t>
      </w:r>
      <w:r>
        <w:t xml:space="preserve">).</w:t>
      </w:r>
    </w:p>
    <w:p>
      <w:pPr>
        <w:pStyle w:val="Compact"/>
        <w:numPr>
          <w:ilvl w:val="0"/>
          <w:numId w:val="1565"/>
        </w:numPr>
      </w:pPr>
      <w:r>
        <w:rPr>
          <w:b/>
          <w:bCs/>
        </w:rPr>
        <w:t xml:space="preserve">componentID</w:t>
      </w:r>
      <w:r>
        <w:t xml:space="preserve"> </w:t>
      </w:r>
      <w:r>
        <w:t xml:space="preserve">(</w:t>
      </w:r>
      <w:r>
        <w:rPr>
          <w:rStyle w:val="VerbatimChar"/>
        </w:rPr>
        <w:t xml:space="preserve">String</w:t>
      </w:r>
      <w:r>
        <w:t xml:space="preserve">): An arbitrary component identifier acting as a namespace bucket.</w:t>
      </w:r>
    </w:p>
    <w:p>
      <w:pPr>
        <w:pStyle w:val="Compact"/>
        <w:numPr>
          <w:ilvl w:val="0"/>
          <w:numId w:val="1565"/>
        </w:numPr>
      </w:pPr>
      <w:r>
        <w:rPr>
          <w:b/>
          <w:bCs/>
        </w:rPr>
        <w:t xml:space="preserve">propertyName</w:t>
      </w:r>
      <w:r>
        <w:t xml:space="preserve"> </w:t>
      </w:r>
      <w:r>
        <w:t xml:space="preserve">(</w:t>
      </w:r>
      <w:r>
        <w:rPr>
          <w:rStyle w:val="VerbatimChar"/>
        </w:rPr>
        <w:t xml:space="preserve">String</w:t>
      </w:r>
      <w:r>
        <w:t xml:space="preserve">): The name of the property to store.</w:t>
      </w:r>
    </w:p>
    <w:p>
      <w:pPr>
        <w:pStyle w:val="Compact"/>
        <w:numPr>
          <w:ilvl w:val="0"/>
          <w:numId w:val="1565"/>
        </w:numPr>
      </w:pPr>
      <w:r>
        <w:rPr>
          <w:b/>
          <w:bCs/>
        </w:rPr>
        <w:t xml:space="preserve">propertyValue</w:t>
      </w:r>
      <w:r>
        <w:t xml:space="preserve"> </w:t>
      </w:r>
      <w:r>
        <w:t xml:space="preserve">(</w:t>
      </w:r>
      <w:r>
        <w:rPr>
          <w:rStyle w:val="VerbatimChar"/>
        </w:rPr>
        <w:t xml:space="preserve">String</w:t>
      </w:r>
      <w:r>
        <w:t xml:space="preserve">): The value to store.</w:t>
      </w:r>
    </w:p>
    <w:bookmarkEnd w:id="1965"/>
    <w:bookmarkStart w:id="1966" w:name="return-values-23"/>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66"/>
    <w:bookmarkStart w:id="1967" w:name="remarks-178"/>
    <w:p>
      <w:pPr>
        <w:pStyle w:val="Heading2"/>
      </w:pPr>
      <w:r>
        <w:t xml:space="preserve">Remarks</w:t>
      </w:r>
    </w:p>
    <w:p>
      <w:pPr>
        <w:pStyle w:val="FirstParagraph"/>
      </w:pPr>
      <w:r>
        <w:t xml:space="preserve">Unlike standard ASP</w:t>
      </w:r>
      <w:r>
        <w:t xml:space="preserve"> </w:t>
      </w:r>
      <w:r>
        <w:rPr>
          <w:rStyle w:val="VerbatimChar"/>
        </w:rPr>
        <w:t xml:space="preserve">Session</w:t>
      </w:r>
      <w:r>
        <w:t xml:space="preserve"> </w:t>
      </w:r>
      <w:r>
        <w:t xml:space="preserve">variables, this state is maintained in an optimized Go</w:t>
      </w:r>
      <w:r>
        <w:t xml:space="preserve"> </w:t>
      </w:r>
      <w:r>
        <w:rPr>
          <w:rStyle w:val="VerbatimChar"/>
        </w:rPr>
        <w:t xml:space="preserve">sync.RWMutex</w:t>
      </w:r>
      <w:r>
        <w:t xml:space="preserve"> </w:t>
      </w:r>
      <w:r>
        <w:t xml:space="preserve">map, offering excellent concurrent read/write performance.</w:t>
      </w:r>
    </w:p>
    <w:bookmarkEnd w:id="1967"/>
    <w:bookmarkStart w:id="1970" w:name="code-example-87"/>
    <w:p>
      <w:pPr>
        <w:pStyle w:val="Heading2"/>
      </w:pPr>
      <w:r>
        <w:t xml:space="preserve">Code Example</w:t>
      </w:r>
    </w:p>
    <w:bookmarkStart w:id="1968" w:name="vbscript-13"/>
    <w:p>
      <w:pPr>
        <w:pStyle w:val="Heading3"/>
      </w:pPr>
      <w:r>
        <w:t xml:space="preserve">VBScript</w:t>
      </w:r>
    </w:p>
    <w:p>
      <w:pPr>
        <w:pStyle w:val="SourceCode"/>
      </w:pPr>
      <w:r>
        <w:rPr>
          <w:rStyle w:val="VerbatimChar"/>
        </w:rPr>
        <w:t xml:space="preserve">Dim AxonLive, sID</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sID = Session.SessionID</w:t>
      </w:r>
      <w:r>
        <w:br/>
      </w:r>
      <w:r>
        <w:br/>
      </w:r>
      <w:r>
        <w:rPr>
          <w:rStyle w:val="VerbatimChar"/>
        </w:rPr>
        <w:t xml:space="preserve">If AxonLive.IsAsyncRequest Then</w:t>
      </w:r>
      <w:r>
        <w:br/>
      </w:r>
      <w:r>
        <w:rPr>
          <w:rStyle w:val="VerbatimChar"/>
        </w:rPr>
        <w:t xml:space="preserve">    ' Save the user's progress</w:t>
      </w:r>
      <w:r>
        <w:br/>
      </w:r>
      <w:r>
        <w:rPr>
          <w:rStyle w:val="VerbatimChar"/>
        </w:rPr>
        <w:t xml:space="preserve">    AxonLive.SetComponentProperty sID, "wizard", "step", "2"</w:t>
      </w:r>
      <w:r>
        <w:br/>
      </w:r>
      <w:r>
        <w:rPr>
          <w:rStyle w:val="VerbatimChar"/>
        </w:rPr>
        <w:t xml:space="preserve">    AxonLive.EndAsyncResponse()</w:t>
      </w:r>
      <w:r>
        <w:br/>
      </w:r>
      <w:r>
        <w:rPr>
          <w:rStyle w:val="VerbatimChar"/>
        </w:rPr>
        <w:t xml:space="preserve">End If</w:t>
      </w:r>
    </w:p>
    <w:bookmarkEnd w:id="1968"/>
    <w:bookmarkStart w:id="1969" w:name="javascript-13"/>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KeywordTok"/>
        </w:rPr>
        <w:t xml:space="preserve">var</w:t>
      </w:r>
      <w:r>
        <w:rPr>
          <w:rStyle w:val="NormalTok"/>
        </w:rPr>
        <w:t xml:space="preserve"> sID </w:t>
      </w:r>
      <w:r>
        <w:rPr>
          <w:rStyle w:val="OperatorTok"/>
        </w:rPr>
        <w:t xml:space="preserve">=</w:t>
      </w:r>
      <w:r>
        <w:rPr>
          <w:rStyle w:val="NormalTok"/>
        </w:rPr>
        <w:t xml:space="preserve"> Session</w:t>
      </w:r>
      <w:r>
        <w:rPr>
          <w:rStyle w:val="OperatorTok"/>
        </w:rPr>
        <w:t xml:space="preserve">.</w:t>
      </w:r>
      <w:r>
        <w:rPr>
          <w:rStyle w:val="AttributeTok"/>
        </w:rPr>
        <w:t xml:space="preserve">SessionID</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mmentTok"/>
        </w:rPr>
        <w:t xml:space="preserve">// Save the user's progress</w:t>
      </w:r>
      <w:r>
        <w:br/>
      </w:r>
      <w:r>
        <w:rPr>
          <w:rStyle w:val="NormalTok"/>
        </w:rPr>
        <w:t xml:space="preserve">    AxonLive</w:t>
      </w:r>
      <w:r>
        <w:rPr>
          <w:rStyle w:val="OperatorTok"/>
        </w:rPr>
        <w:t xml:space="preserve">.</w:t>
      </w:r>
      <w:r>
        <w:rPr>
          <w:rStyle w:val="FunctionTok"/>
        </w:rPr>
        <w:t xml:space="preserve">SetComponentProperty</w:t>
      </w:r>
      <w:r>
        <w:rPr>
          <w:rStyle w:val="NormalTok"/>
        </w:rPr>
        <w:t xml:space="preserve">(sID</w:t>
      </w:r>
      <w:r>
        <w:rPr>
          <w:rStyle w:val="OperatorTok"/>
        </w:rPr>
        <w:t xml:space="preserve">,</w:t>
      </w:r>
      <w:r>
        <w:rPr>
          <w:rStyle w:val="NormalTok"/>
        </w:rPr>
        <w:t xml:space="preserve"> </w:t>
      </w:r>
      <w:r>
        <w:rPr>
          <w:rStyle w:val="StringTok"/>
        </w:rPr>
        <w:t xml:space="preserve">"wizard"</w:t>
      </w:r>
      <w:r>
        <w:rPr>
          <w:rStyle w:val="OperatorTok"/>
        </w:rPr>
        <w:t xml:space="preserve">,</w:t>
      </w:r>
      <w:r>
        <w:rPr>
          <w:rStyle w:val="NormalTok"/>
        </w:rPr>
        <w:t xml:space="preserve"> </w:t>
      </w:r>
      <w:r>
        <w:rPr>
          <w:rStyle w:val="StringTok"/>
        </w:rPr>
        <w:t xml:space="preserve">"step"</w:t>
      </w:r>
      <w:r>
        <w:rPr>
          <w:rStyle w:val="OperatorTok"/>
        </w:rPr>
        <w:t xml:space="preserve">,</w:t>
      </w:r>
      <w:r>
        <w:rPr>
          <w:rStyle w:val="NormalTok"/>
        </w:rPr>
        <w:t xml:space="preserve"> </w:t>
      </w:r>
      <w:r>
        <w:rPr>
          <w:rStyle w:val="StringTok"/>
        </w:rPr>
        <w:t xml:space="preserve">"2"</w:t>
      </w:r>
      <w:r>
        <w:rPr>
          <w:rStyle w:val="NormalTok"/>
        </w:rPr>
        <w:t xml:space="preserve">)</w:t>
      </w:r>
      <w:r>
        <w:rPr>
          <w:rStyle w:val="OperatorTok"/>
        </w:rPr>
        <w:t xml:space="preserve">;</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969"/>
    <w:bookmarkEnd w:id="1970"/>
    <w:bookmarkEnd w:id="1971"/>
    <w:bookmarkStart w:id="1980" w:name="settimer"/>
    <w:p>
      <w:pPr>
        <w:pStyle w:val="Heading1"/>
      </w:pPr>
      <w:r>
        <w:t xml:space="preserve">SetTimer</w:t>
      </w:r>
    </w:p>
    <w:bookmarkStart w:id="1972" w:name="overview-149"/>
    <w:p>
      <w:pPr>
        <w:pStyle w:val="Heading2"/>
      </w:pPr>
      <w:r>
        <w:t xml:space="preserve">Overview</w:t>
      </w:r>
    </w:p>
    <w:p>
      <w:pPr>
        <w:pStyle w:val="FirstParagraph"/>
      </w:pPr>
      <w:r>
        <w:t xml:space="preserve">Queues a client action that instructs the browser to trigger a specific event on a component after a set delay. This is useful for building polling mechanisms, delayed redirects, or delayed UI resets.</w:t>
      </w:r>
    </w:p>
    <w:bookmarkEnd w:id="1972"/>
    <w:bookmarkStart w:id="1973" w:name="syntax-166"/>
    <w:p>
      <w:pPr>
        <w:pStyle w:val="Heading2"/>
      </w:pPr>
      <w:r>
        <w:t xml:space="preserve">Syntax</w:t>
      </w:r>
    </w:p>
    <w:p>
      <w:pPr>
        <w:pStyle w:val="SourceCode"/>
      </w:pPr>
      <w:r>
        <w:rPr>
          <w:rStyle w:val="VerbatimChar"/>
        </w:rPr>
        <w:t xml:space="preserve">objAxonLive.SetTimer componentId, eventName, delayMs</w:t>
      </w:r>
    </w:p>
    <w:p>
      <w:pPr>
        <w:pStyle w:val="SourceCode"/>
      </w:pPr>
      <w:r>
        <w:rPr>
          <w:rStyle w:val="NormalTok"/>
        </w:rPr>
        <w:t xml:space="preserve">objAxonLive</w:t>
      </w:r>
      <w:r>
        <w:rPr>
          <w:rStyle w:val="OperatorTok"/>
        </w:rPr>
        <w:t xml:space="preserve">.</w:t>
      </w:r>
      <w:r>
        <w:rPr>
          <w:rStyle w:val="FunctionTok"/>
        </w:rPr>
        <w:t xml:space="preserve">SetTimer</w:t>
      </w:r>
      <w:r>
        <w:rPr>
          <w:rStyle w:val="NormalTok"/>
        </w:rPr>
        <w:t xml:space="preserve">(componentId</w:t>
      </w:r>
      <w:r>
        <w:rPr>
          <w:rStyle w:val="OperatorTok"/>
        </w:rPr>
        <w:t xml:space="preserve">,</w:t>
      </w:r>
      <w:r>
        <w:rPr>
          <w:rStyle w:val="NormalTok"/>
        </w:rPr>
        <w:t xml:space="preserve"> eventName</w:t>
      </w:r>
      <w:r>
        <w:rPr>
          <w:rStyle w:val="OperatorTok"/>
        </w:rPr>
        <w:t xml:space="preserve">,</w:t>
      </w:r>
      <w:r>
        <w:rPr>
          <w:rStyle w:val="NormalTok"/>
        </w:rPr>
        <w:t xml:space="preserve"> delayMs)</w:t>
      </w:r>
      <w:r>
        <w:rPr>
          <w:rStyle w:val="OperatorTok"/>
        </w:rPr>
        <w:t xml:space="preserve">;</w:t>
      </w:r>
    </w:p>
    <w:bookmarkEnd w:id="1973"/>
    <w:bookmarkStart w:id="1974" w:name="parameters-and-arguments-28"/>
    <w:p>
      <w:pPr>
        <w:pStyle w:val="Heading2"/>
      </w:pPr>
      <w:r>
        <w:t xml:space="preserve">Parameters and Arguments</w:t>
      </w:r>
    </w:p>
    <w:p>
      <w:pPr>
        <w:pStyle w:val="Compact"/>
        <w:numPr>
          <w:ilvl w:val="0"/>
          <w:numId w:val="1566"/>
        </w:numPr>
      </w:pPr>
      <w:r>
        <w:rPr>
          <w:b/>
          <w:bCs/>
        </w:rPr>
        <w:t xml:space="preserve">componentId</w:t>
      </w:r>
      <w:r>
        <w:t xml:space="preserve"> </w:t>
      </w:r>
      <w:r>
        <w:t xml:space="preserve">(</w:t>
      </w:r>
      <w:r>
        <w:rPr>
          <w:rStyle w:val="VerbatimChar"/>
        </w:rPr>
        <w:t xml:space="preserve">String</w:t>
      </w:r>
      <w:r>
        <w:t xml:space="preserve">): The ID of the component that will receive the delayed event.</w:t>
      </w:r>
    </w:p>
    <w:p>
      <w:pPr>
        <w:pStyle w:val="Compact"/>
        <w:numPr>
          <w:ilvl w:val="0"/>
          <w:numId w:val="1566"/>
        </w:numPr>
      </w:pPr>
      <w:r>
        <w:rPr>
          <w:b/>
          <w:bCs/>
        </w:rPr>
        <w:t xml:space="preserve">eventName</w:t>
      </w:r>
      <w:r>
        <w:t xml:space="preserve"> </w:t>
      </w:r>
      <w:r>
        <w:t xml:space="preserve">(</w:t>
      </w:r>
      <w:r>
        <w:rPr>
          <w:rStyle w:val="VerbatimChar"/>
        </w:rPr>
        <w:t xml:space="preserve">String</w:t>
      </w:r>
      <w:r>
        <w:t xml:space="preserve">): The name of the event to trigger (e.g.,</w:t>
      </w:r>
      <w:r>
        <w:t xml:space="preserve"> </w:t>
      </w:r>
      <w:r>
        <w:rPr>
          <w:rStyle w:val="VerbatimChar"/>
        </w:rPr>
        <w:t xml:space="preserve">ontimer</w:t>
      </w:r>
      <w:r>
        <w:t xml:space="preserve">).</w:t>
      </w:r>
    </w:p>
    <w:p>
      <w:pPr>
        <w:pStyle w:val="Compact"/>
        <w:numPr>
          <w:ilvl w:val="0"/>
          <w:numId w:val="1566"/>
        </w:numPr>
      </w:pPr>
      <w:r>
        <w:rPr>
          <w:b/>
          <w:bCs/>
        </w:rPr>
        <w:t xml:space="preserve">delayMs</w:t>
      </w:r>
      <w:r>
        <w:t xml:space="preserve"> </w:t>
      </w:r>
      <w:r>
        <w:t xml:space="preserve">(</w:t>
      </w:r>
      <w:r>
        <w:rPr>
          <w:rStyle w:val="VerbatimChar"/>
        </w:rPr>
        <w:t xml:space="preserve">Integer</w:t>
      </w:r>
      <w:r>
        <w:t xml:space="preserve">): The delay in milliseconds before the event fires.</w:t>
      </w:r>
    </w:p>
    <w:bookmarkEnd w:id="1974"/>
    <w:bookmarkStart w:id="1975" w:name="return-values-24"/>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75"/>
    <w:bookmarkStart w:id="1976" w:name="remarks-179"/>
    <w:p>
      <w:pPr>
        <w:pStyle w:val="Heading2"/>
      </w:pPr>
      <w:r>
        <w:t xml:space="preserve">Remarks</w:t>
      </w:r>
    </w:p>
    <w:p>
      <w:pPr>
        <w:pStyle w:val="FirstParagraph"/>
      </w:pPr>
      <w:r>
        <w:t xml:space="preserve">The client browser handles the actual timer via</w:t>
      </w:r>
      <w:r>
        <w:t xml:space="preserve"> </w:t>
      </w:r>
      <w:r>
        <w:rPr>
          <w:rStyle w:val="VerbatimChar"/>
        </w:rPr>
        <w:t xml:space="preserve">setTimeout</w:t>
      </w:r>
      <w:r>
        <w:t xml:space="preserve">. Once the time elapses,</w:t>
      </w:r>
      <w:r>
        <w:t xml:space="preserve"> </w:t>
      </w:r>
      <w:r>
        <w:rPr>
          <w:rStyle w:val="VerbatimChar"/>
        </w:rPr>
        <w:t xml:space="preserve">g3axonlive.js</w:t>
      </w:r>
      <w:r>
        <w:t xml:space="preserve"> </w:t>
      </w:r>
      <w:r>
        <w:t xml:space="preserve">dispatches an asynchronous request back to the server just as if the user had manually interacted with the component.</w:t>
      </w:r>
    </w:p>
    <w:bookmarkEnd w:id="1976"/>
    <w:bookmarkStart w:id="1979" w:name="code-example-88"/>
    <w:p>
      <w:pPr>
        <w:pStyle w:val="Heading2"/>
      </w:pPr>
      <w:r>
        <w:t xml:space="preserve">Code Example</w:t>
      </w:r>
    </w:p>
    <w:bookmarkStart w:id="1977" w:name="vbscript-14"/>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If AxonLive.EventComponentID = "btnStart" Then</w:t>
      </w:r>
      <w:r>
        <w:br/>
      </w:r>
      <w:r>
        <w:rPr>
          <w:rStyle w:val="VerbatimChar"/>
        </w:rPr>
        <w:t xml:space="preserve">        ' Trigger the 'ontimer' event on the 'timer1' component after 5 seconds</w:t>
      </w:r>
      <w:r>
        <w:br/>
      </w:r>
      <w:r>
        <w:rPr>
          <w:rStyle w:val="VerbatimChar"/>
        </w:rPr>
        <w:t xml:space="preserve">        AxonLive.SetTimer "timer1", "ontimer", 5000</w:t>
      </w:r>
      <w:r>
        <w:br/>
      </w:r>
      <w:r>
        <w:rPr>
          <w:rStyle w:val="VerbatimChar"/>
        </w:rPr>
        <w:t xml:space="preserve">    End If</w:t>
      </w:r>
      <w:r>
        <w:br/>
      </w:r>
      <w:r>
        <w:rPr>
          <w:rStyle w:val="VerbatimChar"/>
        </w:rPr>
        <w:t xml:space="preserve">    AxonLive.EndAsyncResponse()</w:t>
      </w:r>
      <w:r>
        <w:br/>
      </w:r>
      <w:r>
        <w:rPr>
          <w:rStyle w:val="VerbatimChar"/>
        </w:rPr>
        <w:t xml:space="preserve">End If</w:t>
      </w:r>
    </w:p>
    <w:bookmarkEnd w:id="1977"/>
    <w:bookmarkStart w:id="1978" w:name="javascript-14"/>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ntrolFlowTok"/>
        </w:rPr>
        <w:t xml:space="preserve">if</w:t>
      </w:r>
      <w:r>
        <w:rPr>
          <w:rStyle w:val="NormalTok"/>
        </w:rPr>
        <w:t xml:space="preserve"> (AxonLive</w:t>
      </w:r>
      <w:r>
        <w:rPr>
          <w:rStyle w:val="OperatorTok"/>
        </w:rPr>
        <w:t xml:space="preserve">.</w:t>
      </w:r>
      <w:r>
        <w:rPr>
          <w:rStyle w:val="AttributeTok"/>
        </w:rPr>
        <w:t xml:space="preserve">EventComponentID</w:t>
      </w:r>
      <w:r>
        <w:rPr>
          <w:rStyle w:val="NormalTok"/>
        </w:rPr>
        <w:t xml:space="preserve"> </w:t>
      </w:r>
      <w:r>
        <w:rPr>
          <w:rStyle w:val="OperatorTok"/>
        </w:rPr>
        <w:t xml:space="preserve">===</w:t>
      </w:r>
      <w:r>
        <w:rPr>
          <w:rStyle w:val="NormalTok"/>
        </w:rPr>
        <w:t xml:space="preserve"> </w:t>
      </w:r>
      <w:r>
        <w:rPr>
          <w:rStyle w:val="StringTok"/>
        </w:rPr>
        <w:t xml:space="preserve">"btnStart"</w:t>
      </w:r>
      <w:r>
        <w:rPr>
          <w:rStyle w:val="NormalTok"/>
        </w:rPr>
        <w:t xml:space="preserve">) {</w:t>
      </w:r>
      <w:r>
        <w:br/>
      </w:r>
      <w:r>
        <w:rPr>
          <w:rStyle w:val="NormalTok"/>
        </w:rPr>
        <w:t xml:space="preserve">        </w:t>
      </w:r>
      <w:r>
        <w:rPr>
          <w:rStyle w:val="CommentTok"/>
        </w:rPr>
        <w:t xml:space="preserve">// Trigger the 'ontimer' event on the 'timer1' component after 5 seconds</w:t>
      </w:r>
      <w:r>
        <w:br/>
      </w:r>
      <w:r>
        <w:rPr>
          <w:rStyle w:val="NormalTok"/>
        </w:rPr>
        <w:t xml:space="preserve">        AxonLive</w:t>
      </w:r>
      <w:r>
        <w:rPr>
          <w:rStyle w:val="OperatorTok"/>
        </w:rPr>
        <w:t xml:space="preserve">.</w:t>
      </w:r>
      <w:r>
        <w:rPr>
          <w:rStyle w:val="FunctionTok"/>
        </w:rPr>
        <w:t xml:space="preserve">SetTimer</w:t>
      </w:r>
      <w:r>
        <w:rPr>
          <w:rStyle w:val="NormalTok"/>
        </w:rPr>
        <w:t xml:space="preserve">(</w:t>
      </w:r>
      <w:r>
        <w:rPr>
          <w:rStyle w:val="StringTok"/>
        </w:rPr>
        <w:t xml:space="preserve">"timer1"</w:t>
      </w:r>
      <w:r>
        <w:rPr>
          <w:rStyle w:val="OperatorTok"/>
        </w:rPr>
        <w:t xml:space="preserve">,</w:t>
      </w:r>
      <w:r>
        <w:rPr>
          <w:rStyle w:val="NormalTok"/>
        </w:rPr>
        <w:t xml:space="preserve"> </w:t>
      </w:r>
      <w:r>
        <w:rPr>
          <w:rStyle w:val="StringTok"/>
        </w:rPr>
        <w:t xml:space="preserve">"ontimer"</w:t>
      </w:r>
      <w:r>
        <w:rPr>
          <w:rStyle w:val="OperatorTok"/>
        </w:rPr>
        <w:t xml:space="preserve">,</w:t>
      </w:r>
      <w:r>
        <w:rPr>
          <w:rStyle w:val="NormalTok"/>
        </w:rPr>
        <w:t xml:space="preserve"> </w:t>
      </w:r>
      <w:r>
        <w:rPr>
          <w:rStyle w:val="DecValTok"/>
        </w:rPr>
        <w:t xml:space="preserve">5000</w:t>
      </w:r>
      <w:r>
        <w:rPr>
          <w:rStyle w:val="NormalTok"/>
        </w:rPr>
        <w:t xml:space="preserve">)</w:t>
      </w:r>
      <w:r>
        <w:rPr>
          <w:rStyle w:val="OperatorTok"/>
        </w:rPr>
        <w:t xml:space="preserve">;</w:t>
      </w:r>
      <w:r>
        <w:br/>
      </w:r>
      <w:r>
        <w:rPr>
          <w:rStyle w:val="NormalTok"/>
        </w:rPr>
        <w:t xml:space="preserve">    }</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1978"/>
    <w:bookmarkEnd w:id="1979"/>
    <w:bookmarkEnd w:id="1980"/>
    <w:bookmarkStart w:id="1989" w:name="startcleanup"/>
    <w:p>
      <w:pPr>
        <w:pStyle w:val="Heading1"/>
      </w:pPr>
      <w:r>
        <w:t xml:space="preserve">StartCleanup</w:t>
      </w:r>
    </w:p>
    <w:bookmarkStart w:id="1981" w:name="overview-150"/>
    <w:p>
      <w:pPr>
        <w:pStyle w:val="Heading2"/>
      </w:pPr>
      <w:r>
        <w:t xml:space="preserve">Overview</w:t>
      </w:r>
    </w:p>
    <w:p>
      <w:pPr>
        <w:pStyle w:val="FirstParagraph"/>
      </w:pPr>
      <w:r>
        <w:t xml:space="preserve">Starts a background process (goroutine) in the Go engine to clean up idle AxonLive session data.</w:t>
      </w:r>
    </w:p>
    <w:bookmarkEnd w:id="1981"/>
    <w:bookmarkStart w:id="1982" w:name="syntax-167"/>
    <w:p>
      <w:pPr>
        <w:pStyle w:val="Heading2"/>
      </w:pPr>
      <w:r>
        <w:t xml:space="preserve">Syntax</w:t>
      </w:r>
    </w:p>
    <w:p>
      <w:pPr>
        <w:pStyle w:val="SourceCode"/>
      </w:pPr>
      <w:r>
        <w:rPr>
          <w:rStyle w:val="VerbatimChar"/>
        </w:rPr>
        <w:t xml:space="preserve">objAxonLive.StartCleanup()</w:t>
      </w:r>
    </w:p>
    <w:p>
      <w:pPr>
        <w:pStyle w:val="SourceCode"/>
      </w:pPr>
      <w:r>
        <w:rPr>
          <w:rStyle w:val="NormalTok"/>
        </w:rPr>
        <w:t xml:space="preserve">objAxonLive</w:t>
      </w:r>
      <w:r>
        <w:rPr>
          <w:rStyle w:val="OperatorTok"/>
        </w:rPr>
        <w:t xml:space="preserve">.</w:t>
      </w:r>
      <w:r>
        <w:rPr>
          <w:rStyle w:val="FunctionTok"/>
        </w:rPr>
        <w:t xml:space="preserve">StartCleanup</w:t>
      </w:r>
      <w:r>
        <w:rPr>
          <w:rStyle w:val="NormalTok"/>
        </w:rPr>
        <w:t xml:space="preserve">()</w:t>
      </w:r>
      <w:r>
        <w:rPr>
          <w:rStyle w:val="OperatorTok"/>
        </w:rPr>
        <w:t xml:space="preserve">;</w:t>
      </w:r>
    </w:p>
    <w:bookmarkEnd w:id="1982"/>
    <w:bookmarkStart w:id="1983" w:name="parameters-and-arguments-29"/>
    <w:p>
      <w:pPr>
        <w:pStyle w:val="Heading2"/>
      </w:pPr>
      <w:r>
        <w:t xml:space="preserve">Parameters and Arguments</w:t>
      </w:r>
    </w:p>
    <w:p>
      <w:pPr>
        <w:pStyle w:val="FirstParagraph"/>
      </w:pPr>
      <w:r>
        <w:t xml:space="preserve">None.</w:t>
      </w:r>
    </w:p>
    <w:bookmarkEnd w:id="1983"/>
    <w:bookmarkStart w:id="1984" w:name="return-values-25"/>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84"/>
    <w:bookmarkStart w:id="1985" w:name="remarks-180"/>
    <w:p>
      <w:pPr>
        <w:pStyle w:val="Heading2"/>
      </w:pPr>
      <w:r>
        <w:t xml:space="preserve">Remarks</w:t>
      </w:r>
    </w:p>
    <w:p>
      <w:pPr>
        <w:pStyle w:val="FirstParagraph"/>
      </w:pPr>
      <w:r>
        <w:t xml:space="preserve">This method is usually triggered automatically during server startup if</w:t>
      </w:r>
      <w:r>
        <w:t xml:space="preserve"> </w:t>
      </w:r>
      <w:r>
        <w:rPr>
          <w:rStyle w:val="VerbatimChar"/>
        </w:rPr>
        <w:t xml:space="preserve">g3axonlive_active</w:t>
      </w:r>
      <w:r>
        <w:t xml:space="preserve"> </w:t>
      </w:r>
      <w:r>
        <w:t xml:space="preserve">is enabled in</w:t>
      </w:r>
      <w:r>
        <w:t xml:space="preserve"> </w:t>
      </w:r>
      <w:r>
        <w:rPr>
          <w:rStyle w:val="VerbatimChar"/>
        </w:rPr>
        <w:t xml:space="preserve">axonasp.toml</w:t>
      </w:r>
      <w:r>
        <w:t xml:space="preserve">. You generally do not need to call this manually unless you previously called</w:t>
      </w:r>
      <w:r>
        <w:t xml:space="preserve"> </w:t>
      </w:r>
      <w:r>
        <w:rPr>
          <w:rStyle w:val="VerbatimChar"/>
        </w:rPr>
        <w:t xml:space="preserve">StopCleanup</w:t>
      </w:r>
      <w:r>
        <w:t xml:space="preserve">.</w:t>
      </w:r>
    </w:p>
    <w:bookmarkEnd w:id="1985"/>
    <w:bookmarkStart w:id="1988" w:name="code-example-89"/>
    <w:p>
      <w:pPr>
        <w:pStyle w:val="Heading2"/>
      </w:pPr>
      <w:r>
        <w:t xml:space="preserve">Code Example</w:t>
      </w:r>
    </w:p>
    <w:bookmarkStart w:id="1986" w:name="vbscript-15"/>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br/>
      </w:r>
      <w:r>
        <w:rPr>
          <w:rStyle w:val="VerbatimChar"/>
        </w:rPr>
        <w:t xml:space="preserve">' Explicitly start the memory cleanup process</w:t>
      </w:r>
      <w:r>
        <w:br/>
      </w:r>
      <w:r>
        <w:rPr>
          <w:rStyle w:val="VerbatimChar"/>
        </w:rPr>
        <w:t xml:space="preserve">AxonLive.StartCleanup()</w:t>
      </w:r>
    </w:p>
    <w:bookmarkEnd w:id="1986"/>
    <w:bookmarkStart w:id="1987" w:name="javascript-15"/>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br/>
      </w:r>
      <w:r>
        <w:rPr>
          <w:rStyle w:val="CommentTok"/>
        </w:rPr>
        <w:t xml:space="preserve">// Explicitly start the memory cleanup process</w:t>
      </w:r>
      <w:r>
        <w:br/>
      </w:r>
      <w:r>
        <w:rPr>
          <w:rStyle w:val="NormalTok"/>
        </w:rPr>
        <w:t xml:space="preserve">AxonLive</w:t>
      </w:r>
      <w:r>
        <w:rPr>
          <w:rStyle w:val="OperatorTok"/>
        </w:rPr>
        <w:t xml:space="preserve">.</w:t>
      </w:r>
      <w:r>
        <w:rPr>
          <w:rStyle w:val="FunctionTok"/>
        </w:rPr>
        <w:t xml:space="preserve">StartCleanup</w:t>
      </w:r>
      <w:r>
        <w:rPr>
          <w:rStyle w:val="NormalTok"/>
        </w:rPr>
        <w:t xml:space="preserve">()</w:t>
      </w:r>
      <w:r>
        <w:rPr>
          <w:rStyle w:val="OperatorTok"/>
        </w:rPr>
        <w:t xml:space="preserve">;</w:t>
      </w:r>
    </w:p>
    <w:bookmarkEnd w:id="1987"/>
    <w:bookmarkEnd w:id="1988"/>
    <w:bookmarkEnd w:id="1989"/>
    <w:bookmarkStart w:id="1998" w:name="stopcleanup"/>
    <w:p>
      <w:pPr>
        <w:pStyle w:val="Heading1"/>
      </w:pPr>
      <w:r>
        <w:t xml:space="preserve">StopCleanup</w:t>
      </w:r>
    </w:p>
    <w:bookmarkStart w:id="1990" w:name="overview-151"/>
    <w:p>
      <w:pPr>
        <w:pStyle w:val="Heading2"/>
      </w:pPr>
      <w:r>
        <w:t xml:space="preserve">Overview</w:t>
      </w:r>
    </w:p>
    <w:p>
      <w:pPr>
        <w:pStyle w:val="FirstParagraph"/>
      </w:pPr>
      <w:r>
        <w:t xml:space="preserve">Stops the background process that cleans up idle AxonLive session data.</w:t>
      </w:r>
    </w:p>
    <w:bookmarkEnd w:id="1990"/>
    <w:bookmarkStart w:id="1991" w:name="syntax-168"/>
    <w:p>
      <w:pPr>
        <w:pStyle w:val="Heading2"/>
      </w:pPr>
      <w:r>
        <w:t xml:space="preserve">Syntax</w:t>
      </w:r>
    </w:p>
    <w:p>
      <w:pPr>
        <w:pStyle w:val="SourceCode"/>
      </w:pPr>
      <w:r>
        <w:rPr>
          <w:rStyle w:val="VerbatimChar"/>
        </w:rPr>
        <w:t xml:space="preserve">objAxonLive.StopCleanup()</w:t>
      </w:r>
    </w:p>
    <w:p>
      <w:pPr>
        <w:pStyle w:val="SourceCode"/>
      </w:pPr>
      <w:r>
        <w:rPr>
          <w:rStyle w:val="NormalTok"/>
        </w:rPr>
        <w:t xml:space="preserve">objAxonLive</w:t>
      </w:r>
      <w:r>
        <w:rPr>
          <w:rStyle w:val="OperatorTok"/>
        </w:rPr>
        <w:t xml:space="preserve">.</w:t>
      </w:r>
      <w:r>
        <w:rPr>
          <w:rStyle w:val="FunctionTok"/>
        </w:rPr>
        <w:t xml:space="preserve">StopCleanup</w:t>
      </w:r>
      <w:r>
        <w:rPr>
          <w:rStyle w:val="NormalTok"/>
        </w:rPr>
        <w:t xml:space="preserve">()</w:t>
      </w:r>
      <w:r>
        <w:rPr>
          <w:rStyle w:val="OperatorTok"/>
        </w:rPr>
        <w:t xml:space="preserve">;</w:t>
      </w:r>
    </w:p>
    <w:bookmarkEnd w:id="1991"/>
    <w:bookmarkStart w:id="1992" w:name="parameters-and-arguments-30"/>
    <w:p>
      <w:pPr>
        <w:pStyle w:val="Heading2"/>
      </w:pPr>
      <w:r>
        <w:t xml:space="preserve">Parameters and Arguments</w:t>
      </w:r>
    </w:p>
    <w:p>
      <w:pPr>
        <w:pStyle w:val="FirstParagraph"/>
      </w:pPr>
      <w:r>
        <w:t xml:space="preserve">None.</w:t>
      </w:r>
    </w:p>
    <w:bookmarkEnd w:id="1992"/>
    <w:bookmarkStart w:id="1993" w:name="return-values-26"/>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1993"/>
    <w:bookmarkStart w:id="1994" w:name="remarks-181"/>
    <w:p>
      <w:pPr>
        <w:pStyle w:val="Heading2"/>
      </w:pPr>
      <w:r>
        <w:t xml:space="preserve">Remarks</w:t>
      </w:r>
    </w:p>
    <w:p>
      <w:pPr>
        <w:pStyle w:val="FirstParagraph"/>
      </w:pPr>
      <w:r>
        <w:t xml:space="preserve">This method is typically only used during server shutdown or in specialized environments where you want to manage memory cleanup manually.</w:t>
      </w:r>
    </w:p>
    <w:bookmarkEnd w:id="1994"/>
    <w:bookmarkStart w:id="1997" w:name="code-example-90"/>
    <w:p>
      <w:pPr>
        <w:pStyle w:val="Heading2"/>
      </w:pPr>
      <w:r>
        <w:t xml:space="preserve">Code Example</w:t>
      </w:r>
    </w:p>
    <w:bookmarkStart w:id="1995" w:name="vbscript-16"/>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br/>
      </w:r>
      <w:r>
        <w:rPr>
          <w:rStyle w:val="VerbatimChar"/>
        </w:rPr>
        <w:t xml:space="preserve">' Explicitly stop the memory cleanup process</w:t>
      </w:r>
      <w:r>
        <w:br/>
      </w:r>
      <w:r>
        <w:rPr>
          <w:rStyle w:val="VerbatimChar"/>
        </w:rPr>
        <w:t xml:space="preserve">AxonLive.StopCleanup()</w:t>
      </w:r>
    </w:p>
    <w:bookmarkEnd w:id="1995"/>
    <w:bookmarkStart w:id="1996" w:name="javascript-16"/>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br/>
      </w:r>
      <w:r>
        <w:rPr>
          <w:rStyle w:val="CommentTok"/>
        </w:rPr>
        <w:t xml:space="preserve">// Explicitly stop the memory cleanup process</w:t>
      </w:r>
      <w:r>
        <w:br/>
      </w:r>
      <w:r>
        <w:rPr>
          <w:rStyle w:val="NormalTok"/>
        </w:rPr>
        <w:t xml:space="preserve">AxonLive</w:t>
      </w:r>
      <w:r>
        <w:rPr>
          <w:rStyle w:val="OperatorTok"/>
        </w:rPr>
        <w:t xml:space="preserve">.</w:t>
      </w:r>
      <w:r>
        <w:rPr>
          <w:rStyle w:val="FunctionTok"/>
        </w:rPr>
        <w:t xml:space="preserve">StopCleanup</w:t>
      </w:r>
      <w:r>
        <w:rPr>
          <w:rStyle w:val="NormalTok"/>
        </w:rPr>
        <w:t xml:space="preserve">()</w:t>
      </w:r>
      <w:r>
        <w:rPr>
          <w:rStyle w:val="OperatorTok"/>
        </w:rPr>
        <w:t xml:space="preserve">;</w:t>
      </w:r>
    </w:p>
    <w:bookmarkEnd w:id="1996"/>
    <w:bookmarkEnd w:id="1997"/>
    <w:bookmarkEnd w:id="1998"/>
    <w:bookmarkStart w:id="2008" w:name="trigger"/>
    <w:p>
      <w:pPr>
        <w:pStyle w:val="Heading1"/>
      </w:pPr>
      <w:r>
        <w:t xml:space="preserve">Trigger</w:t>
      </w:r>
    </w:p>
    <w:bookmarkStart w:id="1999" w:name="overview-152"/>
    <w:p>
      <w:pPr>
        <w:pStyle w:val="Heading2"/>
      </w:pPr>
      <w:r>
        <w:t xml:space="preserve">Overview</w:t>
      </w:r>
    </w:p>
    <w:p>
      <w:pPr>
        <w:pStyle w:val="FirstParagraph"/>
      </w:pPr>
      <w:r>
        <w:t xml:space="preserve">Queues a client action that immediately fires a specific client-side event without requiring user interaction.</w:t>
      </w:r>
    </w:p>
    <w:bookmarkEnd w:id="1999"/>
    <w:bookmarkStart w:id="2000" w:name="syntax-169"/>
    <w:p>
      <w:pPr>
        <w:pStyle w:val="Heading2"/>
      </w:pPr>
      <w:r>
        <w:t xml:space="preserve">Syntax</w:t>
      </w:r>
    </w:p>
    <w:p>
      <w:pPr>
        <w:pStyle w:val="SourceCode"/>
      </w:pPr>
      <w:r>
        <w:rPr>
          <w:rStyle w:val="VerbatimChar"/>
        </w:rPr>
        <w:t xml:space="preserve">objAxonLive.Trigger componentId, eventName</w:t>
      </w:r>
    </w:p>
    <w:p>
      <w:pPr>
        <w:pStyle w:val="SourceCode"/>
      </w:pPr>
      <w:r>
        <w:rPr>
          <w:rStyle w:val="NormalTok"/>
        </w:rPr>
        <w:t xml:space="preserve">objAxonLive</w:t>
      </w:r>
      <w:r>
        <w:rPr>
          <w:rStyle w:val="OperatorTok"/>
        </w:rPr>
        <w:t xml:space="preserve">.</w:t>
      </w:r>
      <w:r>
        <w:rPr>
          <w:rStyle w:val="FunctionTok"/>
        </w:rPr>
        <w:t xml:space="preserve">Trigger</w:t>
      </w:r>
      <w:r>
        <w:rPr>
          <w:rStyle w:val="NormalTok"/>
        </w:rPr>
        <w:t xml:space="preserve">(componentId</w:t>
      </w:r>
      <w:r>
        <w:rPr>
          <w:rStyle w:val="OperatorTok"/>
        </w:rPr>
        <w:t xml:space="preserve">,</w:t>
      </w:r>
      <w:r>
        <w:rPr>
          <w:rStyle w:val="NormalTok"/>
        </w:rPr>
        <w:t xml:space="preserve"> eventName)</w:t>
      </w:r>
      <w:r>
        <w:rPr>
          <w:rStyle w:val="OperatorTok"/>
        </w:rPr>
        <w:t xml:space="preserve">;</w:t>
      </w:r>
    </w:p>
    <w:bookmarkEnd w:id="2000"/>
    <w:bookmarkStart w:id="2001" w:name="parameters-and-arguments-31"/>
    <w:p>
      <w:pPr>
        <w:pStyle w:val="Heading2"/>
      </w:pPr>
      <w:r>
        <w:t xml:space="preserve">Parameters and Arguments</w:t>
      </w:r>
    </w:p>
    <w:p>
      <w:pPr>
        <w:pStyle w:val="Compact"/>
        <w:numPr>
          <w:ilvl w:val="0"/>
          <w:numId w:val="1567"/>
        </w:numPr>
      </w:pPr>
      <w:r>
        <w:rPr>
          <w:b/>
          <w:bCs/>
        </w:rPr>
        <w:t xml:space="preserve">componentId</w:t>
      </w:r>
      <w:r>
        <w:t xml:space="preserve"> </w:t>
      </w:r>
      <w:r>
        <w:t xml:space="preserve">(</w:t>
      </w:r>
      <w:r>
        <w:rPr>
          <w:rStyle w:val="VerbatimChar"/>
        </w:rPr>
        <w:t xml:space="preserve">String</w:t>
      </w:r>
      <w:r>
        <w:t xml:space="preserve">): The ID of the component on which to trigger the event.</w:t>
      </w:r>
    </w:p>
    <w:p>
      <w:pPr>
        <w:pStyle w:val="Compact"/>
        <w:numPr>
          <w:ilvl w:val="0"/>
          <w:numId w:val="1567"/>
        </w:numPr>
      </w:pPr>
      <w:r>
        <w:rPr>
          <w:b/>
          <w:bCs/>
        </w:rPr>
        <w:t xml:space="preserve">eventName</w:t>
      </w:r>
      <w:r>
        <w:t xml:space="preserve"> </w:t>
      </w:r>
      <w:r>
        <w:t xml:space="preserve">(</w:t>
      </w:r>
      <w:r>
        <w:rPr>
          <w:rStyle w:val="VerbatimChar"/>
        </w:rPr>
        <w:t xml:space="preserve">String</w:t>
      </w:r>
      <w:r>
        <w:t xml:space="preserve">): The name of the event to fire (e.g.,</w:t>
      </w:r>
      <w:r>
        <w:t xml:space="preserve"> </w:t>
      </w:r>
      <w:r>
        <w:rPr>
          <w:rStyle w:val="VerbatimChar"/>
        </w:rPr>
        <w:t xml:space="preserve">onclick</w:t>
      </w:r>
      <w:r>
        <w:t xml:space="preserve">,</w:t>
      </w:r>
      <w:r>
        <w:t xml:space="preserve"> </w:t>
      </w:r>
      <w:r>
        <w:rPr>
          <w:rStyle w:val="VerbatimChar"/>
        </w:rPr>
        <w:t xml:space="preserve">onchange</w:t>
      </w:r>
      <w:r>
        <w:t xml:space="preserve">).</w:t>
      </w:r>
    </w:p>
    <w:bookmarkEnd w:id="2001"/>
    <w:bookmarkStart w:id="2002" w:name="return-values-27"/>
    <w:p>
      <w:pPr>
        <w:pStyle w:val="Heading2"/>
      </w:pPr>
      <w:r>
        <w:t xml:space="preserve">Return Values</w:t>
      </w:r>
    </w:p>
    <w:p>
      <w:pPr>
        <w:pStyle w:val="FirstParagraph"/>
      </w:pPr>
      <w:r>
        <w:t xml:space="preserve">Returns</w:t>
      </w:r>
      <w:r>
        <w:t xml:space="preserve"> </w:t>
      </w:r>
      <w:r>
        <w:rPr>
          <w:rStyle w:val="VerbatimChar"/>
        </w:rPr>
        <w:t xml:space="preserve">Empty</w:t>
      </w:r>
      <w:r>
        <w:t xml:space="preserve">.</w:t>
      </w:r>
    </w:p>
    <w:bookmarkEnd w:id="2002"/>
    <w:bookmarkStart w:id="2003" w:name="remarks-182"/>
    <w:p>
      <w:pPr>
        <w:pStyle w:val="Heading2"/>
      </w:pPr>
      <w:r>
        <w:t xml:space="preserve">Remarks</w:t>
      </w:r>
    </w:p>
    <w:p>
      <w:pPr>
        <w:pStyle w:val="FirstParagraph"/>
      </w:pPr>
      <w:r>
        <w:t xml:space="preserve">This is useful for chaining server-side workflows. For instance, successfully saving a form could automatically trigger a refresh event on a separate grid component.</w:t>
      </w:r>
    </w:p>
    <w:bookmarkEnd w:id="2003"/>
    <w:bookmarkStart w:id="2007" w:name="code-example-91"/>
    <w:p>
      <w:pPr>
        <w:pStyle w:val="Heading2"/>
      </w:pPr>
      <w:r>
        <w:t xml:space="preserve">Code Example</w:t>
      </w:r>
    </w:p>
    <w:bookmarkStart w:id="2004" w:name="vbscript-17"/>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If AxonLive.EventComponentID = "btnSave" Then</w:t>
      </w:r>
      <w:r>
        <w:br/>
      </w:r>
      <w:r>
        <w:rPr>
          <w:rStyle w:val="VerbatimChar"/>
        </w:rPr>
        <w:t xml:space="preserve">        ' Save logic here...</w:t>
      </w:r>
      <w:r>
        <w:br/>
      </w:r>
      <w:r>
        <w:rPr>
          <w:rStyle w:val="VerbatimChar"/>
        </w:rPr>
        <w:t xml:space="preserve">        </w:t>
      </w:r>
      <w:r>
        <w:br/>
      </w:r>
      <w:r>
        <w:rPr>
          <w:rStyle w:val="VerbatimChar"/>
        </w:rPr>
        <w:t xml:space="preserve">        ' Now tell the client to automatically "click" the refresh button</w:t>
      </w:r>
      <w:r>
        <w:br/>
      </w:r>
      <w:r>
        <w:rPr>
          <w:rStyle w:val="VerbatimChar"/>
        </w:rPr>
        <w:t xml:space="preserve">        AxonLive.Trigger "btnRefreshData", "onclick"</w:t>
      </w:r>
      <w:r>
        <w:br/>
      </w:r>
      <w:r>
        <w:rPr>
          <w:rStyle w:val="VerbatimChar"/>
        </w:rPr>
        <w:t xml:space="preserve">    End If</w:t>
      </w:r>
      <w:r>
        <w:br/>
      </w:r>
      <w:r>
        <w:rPr>
          <w:rStyle w:val="VerbatimChar"/>
        </w:rPr>
        <w:t xml:space="preserve">    AxonLive.EndAsyncResponse()</w:t>
      </w:r>
      <w:r>
        <w:br/>
      </w:r>
      <w:r>
        <w:rPr>
          <w:rStyle w:val="VerbatimChar"/>
        </w:rPr>
        <w:t xml:space="preserve">End If</w:t>
      </w:r>
    </w:p>
    <w:bookmarkEnd w:id="2004"/>
    <w:bookmarkStart w:id="2005" w:name="javascript-17"/>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ntrolFlowTok"/>
        </w:rPr>
        <w:t xml:space="preserve">if</w:t>
      </w:r>
      <w:r>
        <w:rPr>
          <w:rStyle w:val="NormalTok"/>
        </w:rPr>
        <w:t xml:space="preserve"> (AxonLive</w:t>
      </w:r>
      <w:r>
        <w:rPr>
          <w:rStyle w:val="OperatorTok"/>
        </w:rPr>
        <w:t xml:space="preserve">.</w:t>
      </w:r>
      <w:r>
        <w:rPr>
          <w:rStyle w:val="AttributeTok"/>
        </w:rPr>
        <w:t xml:space="preserve">EventComponentID</w:t>
      </w:r>
      <w:r>
        <w:rPr>
          <w:rStyle w:val="NormalTok"/>
        </w:rPr>
        <w:t xml:space="preserve"> </w:t>
      </w:r>
      <w:r>
        <w:rPr>
          <w:rStyle w:val="OperatorTok"/>
        </w:rPr>
        <w:t xml:space="preserve">===</w:t>
      </w:r>
      <w:r>
        <w:rPr>
          <w:rStyle w:val="NormalTok"/>
        </w:rPr>
        <w:t xml:space="preserve"> </w:t>
      </w:r>
      <w:r>
        <w:rPr>
          <w:rStyle w:val="StringTok"/>
        </w:rPr>
        <w:t xml:space="preserve">"btnSave"</w:t>
      </w:r>
      <w:r>
        <w:rPr>
          <w:rStyle w:val="NormalTok"/>
        </w:rPr>
        <w:t xml:space="preserve">) {</w:t>
      </w:r>
      <w:r>
        <w:br/>
      </w:r>
      <w:r>
        <w:rPr>
          <w:rStyle w:val="NormalTok"/>
        </w:rPr>
        <w:t xml:space="preserve">        </w:t>
      </w:r>
      <w:r>
        <w:rPr>
          <w:rStyle w:val="CommentTok"/>
        </w:rPr>
        <w:t xml:space="preserve">// Save logic here...</w:t>
      </w:r>
      <w:r>
        <w:br/>
      </w:r>
      <w:r>
        <w:rPr>
          <w:rStyle w:val="NormalTok"/>
        </w:rPr>
        <w:t xml:space="preserve">        </w:t>
      </w:r>
      <w:r>
        <w:br/>
      </w:r>
      <w:r>
        <w:rPr>
          <w:rStyle w:val="NormalTok"/>
        </w:rPr>
        <w:t xml:space="preserve">        </w:t>
      </w:r>
      <w:r>
        <w:rPr>
          <w:rStyle w:val="CommentTok"/>
        </w:rPr>
        <w:t xml:space="preserve">// Now tell the client to automatically "click" the refresh button</w:t>
      </w:r>
      <w:r>
        <w:br/>
      </w:r>
      <w:r>
        <w:rPr>
          <w:rStyle w:val="NormalTok"/>
        </w:rPr>
        <w:t xml:space="preserve">        AxonLive</w:t>
      </w:r>
      <w:r>
        <w:rPr>
          <w:rStyle w:val="OperatorTok"/>
        </w:rPr>
        <w:t xml:space="preserve">.</w:t>
      </w:r>
      <w:r>
        <w:rPr>
          <w:rStyle w:val="FunctionTok"/>
        </w:rPr>
        <w:t xml:space="preserve">Trigger</w:t>
      </w:r>
      <w:r>
        <w:rPr>
          <w:rStyle w:val="NormalTok"/>
        </w:rPr>
        <w:t xml:space="preserve">(</w:t>
      </w:r>
      <w:r>
        <w:rPr>
          <w:rStyle w:val="StringTok"/>
        </w:rPr>
        <w:t xml:space="preserve">"btnRefreshData"</w:t>
      </w:r>
      <w:r>
        <w:rPr>
          <w:rStyle w:val="OperatorTok"/>
        </w:rPr>
        <w:t xml:space="preserve">,</w:t>
      </w:r>
      <w:r>
        <w:rPr>
          <w:rStyle w:val="NormalTok"/>
        </w:rPr>
        <w:t xml:space="preserve"> </w:t>
      </w:r>
      <w:r>
        <w:rPr>
          <w:rStyle w:val="StringTok"/>
        </w:rPr>
        <w:t xml:space="preserve">"onclick"</w:t>
      </w:r>
      <w:r>
        <w:rPr>
          <w:rStyle w:val="NormalTok"/>
        </w:rPr>
        <w:t xml:space="preserve">)</w:t>
      </w:r>
      <w:r>
        <w:rPr>
          <w:rStyle w:val="OperatorTok"/>
        </w:rPr>
        <w:t xml:space="preserve">;</w:t>
      </w:r>
      <w:r>
        <w:br/>
      </w:r>
      <w:r>
        <w:rPr>
          <w:rStyle w:val="NormalTok"/>
        </w:rPr>
        <w:t xml:space="preserve">    }</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2005"/>
    <w:bookmarkStart w:id="2006" w:name="properties-detail"/>
    <w:p>
      <w:pPr>
        <w:pStyle w:val="Heading3"/>
      </w:pPr>
      <w:r>
        <w:t xml:space="preserve">Properties Detail</w:t>
      </w:r>
    </w:p>
    <w:bookmarkEnd w:id="2006"/>
    <w:bookmarkEnd w:id="2007"/>
    <w:bookmarkEnd w:id="2008"/>
    <w:bookmarkStart w:id="2016" w:name="eventargs"/>
    <w:p>
      <w:pPr>
        <w:pStyle w:val="Heading1"/>
      </w:pPr>
      <w:r>
        <w:t xml:space="preserve">EventArgs</w:t>
      </w:r>
    </w:p>
    <w:bookmarkStart w:id="2009" w:name="overview-153"/>
    <w:p>
      <w:pPr>
        <w:pStyle w:val="Heading2"/>
      </w:pPr>
      <w:r>
        <w:t xml:space="preserve">Overview</w:t>
      </w:r>
    </w:p>
    <w:p>
      <w:pPr>
        <w:pStyle w:val="FirstParagraph"/>
      </w:pPr>
      <w:r>
        <w:t xml:space="preserve">Returns the entire event arguments map sent by the client, encoded as a JSON string. This is useful for passing complex contextual data from the frontend to the backend during an asynchronous event.</w:t>
      </w:r>
    </w:p>
    <w:bookmarkEnd w:id="2009"/>
    <w:bookmarkStart w:id="2010" w:name="syntax-170"/>
    <w:p>
      <w:pPr>
        <w:pStyle w:val="Heading2"/>
      </w:pPr>
      <w:r>
        <w:t xml:space="preserve">Syntax</w:t>
      </w:r>
    </w:p>
    <w:p>
      <w:pPr>
        <w:pStyle w:val="SourceCode"/>
      </w:pPr>
      <w:r>
        <w:rPr>
          <w:rStyle w:val="VerbatimChar"/>
        </w:rPr>
        <w:t xml:space="preserve">strJsonArgs = objAxonLive.EventArgs</w:t>
      </w:r>
    </w:p>
    <w:p>
      <w:pPr>
        <w:pStyle w:val="SourceCode"/>
      </w:pPr>
      <w:r>
        <w:rPr>
          <w:rStyle w:val="KeywordTok"/>
        </w:rPr>
        <w:t xml:space="preserve">var</w:t>
      </w:r>
      <w:r>
        <w:rPr>
          <w:rStyle w:val="NormalTok"/>
        </w:rPr>
        <w:t xml:space="preserve"> strJsonArgs </w:t>
      </w:r>
      <w:r>
        <w:rPr>
          <w:rStyle w:val="OperatorTok"/>
        </w:rPr>
        <w:t xml:space="preserve">=</w:t>
      </w:r>
      <w:r>
        <w:rPr>
          <w:rStyle w:val="NormalTok"/>
        </w:rPr>
        <w:t xml:space="preserve"> objAxonLive</w:t>
      </w:r>
      <w:r>
        <w:rPr>
          <w:rStyle w:val="OperatorTok"/>
        </w:rPr>
        <w:t xml:space="preserve">.</w:t>
      </w:r>
      <w:r>
        <w:rPr>
          <w:rStyle w:val="AttributeTok"/>
        </w:rPr>
        <w:t xml:space="preserve">EventArgs</w:t>
      </w:r>
      <w:r>
        <w:rPr>
          <w:rStyle w:val="OperatorTok"/>
        </w:rPr>
        <w:t xml:space="preserve">;</w:t>
      </w:r>
    </w:p>
    <w:bookmarkEnd w:id="2010"/>
    <w:bookmarkStart w:id="2011" w:name="return-values-28"/>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containing a JSON object representation of the arguments. Returns</w:t>
      </w:r>
      <w:r>
        <w:t xml:space="preserve"> </w:t>
      </w:r>
      <w:r>
        <w:rPr>
          <w:rStyle w:val="VerbatimChar"/>
        </w:rPr>
        <w:t xml:space="preserve">{}</w:t>
      </w:r>
      <w:r>
        <w:t xml:space="preserve"> </w:t>
      </w:r>
      <w:r>
        <w:t xml:space="preserve">if there are no arguments.</w:t>
      </w:r>
    </w:p>
    <w:bookmarkEnd w:id="2011"/>
    <w:bookmarkStart w:id="2012" w:name="remarks-183"/>
    <w:p>
      <w:pPr>
        <w:pStyle w:val="Heading2"/>
      </w:pPr>
      <w:r>
        <w:t xml:space="preserve">Remarks</w:t>
      </w:r>
    </w:p>
    <w:p>
      <w:pPr>
        <w:pStyle w:val="FirstParagraph"/>
      </w:pPr>
      <w:r>
        <w:t xml:space="preserve">The client bridge (</w:t>
      </w:r>
      <w:r>
        <w:rPr>
          <w:rStyle w:val="VerbatimChar"/>
        </w:rPr>
        <w:t xml:space="preserve">g3axonlive.js</w:t>
      </w:r>
      <w:r>
        <w:t xml:space="preserve">) automatically collects</w:t>
      </w:r>
      <w:r>
        <w:t xml:space="preserve"> </w:t>
      </w:r>
      <w:r>
        <w:rPr>
          <w:rStyle w:val="VerbatimChar"/>
        </w:rPr>
        <w:t xml:space="preserve">data-g3al-arg-*</w:t>
      </w:r>
      <w:r>
        <w:t xml:space="preserve"> </w:t>
      </w:r>
      <w:r>
        <w:t xml:space="preserve">attributes from the HTML element that triggered the event. For example,</w:t>
      </w:r>
      <w:r>
        <w:t xml:space="preserve"> </w:t>
      </w:r>
      <w:r>
        <w:rPr>
          <w:rStyle w:val="VerbatimChar"/>
        </w:rPr>
        <w:t xml:space="preserve">data-g3al-arg-step="5"</w:t>
      </w:r>
      <w:r>
        <w:t xml:space="preserve"> </w:t>
      </w:r>
      <w:r>
        <w:t xml:space="preserve">will be passed as</w:t>
      </w:r>
      <w:r>
        <w:t xml:space="preserve"> </w:t>
      </w:r>
      <w:r>
        <w:rPr>
          <w:rStyle w:val="VerbatimChar"/>
        </w:rPr>
        <w:t xml:space="preserve">{"step": "5"}</w:t>
      </w:r>
      <w:r>
        <w:t xml:space="preserve"> </w:t>
      </w:r>
      <w:r>
        <w:t xml:space="preserve">in the JSON payload.</w:t>
      </w:r>
    </w:p>
    <w:bookmarkEnd w:id="2012"/>
    <w:bookmarkStart w:id="2015" w:name="code-example-92"/>
    <w:p>
      <w:pPr>
        <w:pStyle w:val="Heading2"/>
      </w:pPr>
      <w:r>
        <w:t xml:space="preserve">Code Example</w:t>
      </w:r>
    </w:p>
    <w:bookmarkStart w:id="2013" w:name="vbscript-18"/>
    <w:p>
      <w:pPr>
        <w:pStyle w:val="Heading3"/>
      </w:pPr>
      <w:r>
        <w:t xml:space="preserve">VBScript</w:t>
      </w:r>
    </w:p>
    <w:p>
      <w:pPr>
        <w:pStyle w:val="SourceCode"/>
      </w:pPr>
      <w:r>
        <w:rPr>
          <w:rStyle w:val="VerbatimChar"/>
        </w:rPr>
        <w:t xml:space="preserve">Dim AxonLive, jsonArgs</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jsonArgs = AxonLive.EventArgs</w:t>
      </w:r>
      <w:r>
        <w:br/>
      </w:r>
      <w:r>
        <w:rPr>
          <w:rStyle w:val="VerbatimChar"/>
        </w:rPr>
        <w:t xml:space="preserve">    ' You can parse jsonArgs using the G3JSON library</w:t>
      </w:r>
      <w:r>
        <w:br/>
      </w:r>
      <w:r>
        <w:rPr>
          <w:rStyle w:val="VerbatimChar"/>
        </w:rPr>
        <w:t xml:space="preserve">    Response.Write "Received JSON: " &amp; jsonArgs</w:t>
      </w:r>
      <w:r>
        <w:br/>
      </w:r>
      <w:r>
        <w:rPr>
          <w:rStyle w:val="VerbatimChar"/>
        </w:rPr>
        <w:t xml:space="preserve">    AxonLive.EndAsyncResponse()</w:t>
      </w:r>
      <w:r>
        <w:br/>
      </w:r>
      <w:r>
        <w:rPr>
          <w:rStyle w:val="VerbatimChar"/>
        </w:rPr>
        <w:t xml:space="preserve">End If</w:t>
      </w:r>
    </w:p>
    <w:bookmarkEnd w:id="2013"/>
    <w:bookmarkStart w:id="2014" w:name="javascript-18"/>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KeywordTok"/>
        </w:rPr>
        <w:t xml:space="preserve">var</w:t>
      </w:r>
      <w:r>
        <w:rPr>
          <w:rStyle w:val="NormalTok"/>
        </w:rPr>
        <w:t xml:space="preserve"> jsonArgs </w:t>
      </w:r>
      <w:r>
        <w:rPr>
          <w:rStyle w:val="OperatorTok"/>
        </w:rPr>
        <w:t xml:space="preserve">=</w:t>
      </w:r>
      <w:r>
        <w:rPr>
          <w:rStyle w:val="NormalTok"/>
        </w:rPr>
        <w:t xml:space="preserve"> AxonLive</w:t>
      </w:r>
      <w:r>
        <w:rPr>
          <w:rStyle w:val="OperatorTok"/>
        </w:rPr>
        <w:t xml:space="preserve">.</w:t>
      </w:r>
      <w:r>
        <w:rPr>
          <w:rStyle w:val="AttributeTok"/>
        </w:rPr>
        <w:t xml:space="preserve">EventArgs</w:t>
      </w:r>
      <w:r>
        <w:rPr>
          <w:rStyle w:val="OperatorTok"/>
        </w:rPr>
        <w:t xml:space="preserve">;</w:t>
      </w:r>
      <w:r>
        <w:br/>
      </w:r>
      <w:r>
        <w:rPr>
          <w:rStyle w:val="NormalTok"/>
        </w:rPr>
        <w:t xml:space="preserve">    Response</w:t>
      </w:r>
      <w:r>
        <w:rPr>
          <w:rStyle w:val="OperatorTok"/>
        </w:rPr>
        <w:t xml:space="preserve">.</w:t>
      </w:r>
      <w:r>
        <w:rPr>
          <w:rStyle w:val="FunctionTok"/>
        </w:rPr>
        <w:t xml:space="preserve">Write</w:t>
      </w:r>
      <w:r>
        <w:rPr>
          <w:rStyle w:val="NormalTok"/>
        </w:rPr>
        <w:t xml:space="preserve">(</w:t>
      </w:r>
      <w:r>
        <w:rPr>
          <w:rStyle w:val="StringTok"/>
        </w:rPr>
        <w:t xml:space="preserve">"Received JSON: "</w:t>
      </w:r>
      <w:r>
        <w:rPr>
          <w:rStyle w:val="NormalTok"/>
        </w:rPr>
        <w:t xml:space="preserve"> </w:t>
      </w:r>
      <w:r>
        <w:rPr>
          <w:rStyle w:val="OperatorTok"/>
        </w:rPr>
        <w:t xml:space="preserve">+</w:t>
      </w:r>
      <w:r>
        <w:rPr>
          <w:rStyle w:val="NormalTok"/>
        </w:rPr>
        <w:t xml:space="preserve"> jsonArgs)</w:t>
      </w:r>
      <w:r>
        <w:rPr>
          <w:rStyle w:val="OperatorTok"/>
        </w:rPr>
        <w:t xml:space="preserve">;</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2014"/>
    <w:bookmarkEnd w:id="2015"/>
    <w:bookmarkEnd w:id="2016"/>
    <w:bookmarkStart w:id="2024" w:name="eventcomponentid"/>
    <w:p>
      <w:pPr>
        <w:pStyle w:val="Heading1"/>
      </w:pPr>
      <w:r>
        <w:t xml:space="preserve">EventComponentID</w:t>
      </w:r>
    </w:p>
    <w:bookmarkStart w:id="2017" w:name="overview-154"/>
    <w:p>
      <w:pPr>
        <w:pStyle w:val="Heading2"/>
      </w:pPr>
      <w:r>
        <w:t xml:space="preserve">Overview</w:t>
      </w:r>
    </w:p>
    <w:p>
      <w:pPr>
        <w:pStyle w:val="FirstParagraph"/>
      </w:pPr>
      <w:r>
        <w:t xml:space="preserve">Returns the ID of the component that fired the current asynchronous event.</w:t>
      </w:r>
    </w:p>
    <w:bookmarkEnd w:id="2017"/>
    <w:bookmarkStart w:id="2018" w:name="syntax-171"/>
    <w:p>
      <w:pPr>
        <w:pStyle w:val="Heading2"/>
      </w:pPr>
      <w:r>
        <w:t xml:space="preserve">Syntax</w:t>
      </w:r>
    </w:p>
    <w:p>
      <w:pPr>
        <w:pStyle w:val="SourceCode"/>
      </w:pPr>
      <w:r>
        <w:rPr>
          <w:rStyle w:val="VerbatimChar"/>
        </w:rPr>
        <w:t xml:space="preserve">strComponentID = objAxonLive.EventComponentID</w:t>
      </w:r>
    </w:p>
    <w:p>
      <w:pPr>
        <w:pStyle w:val="SourceCode"/>
      </w:pPr>
      <w:r>
        <w:rPr>
          <w:rStyle w:val="KeywordTok"/>
        </w:rPr>
        <w:t xml:space="preserve">var</w:t>
      </w:r>
      <w:r>
        <w:rPr>
          <w:rStyle w:val="NormalTok"/>
        </w:rPr>
        <w:t xml:space="preserve"> strComponentID </w:t>
      </w:r>
      <w:r>
        <w:rPr>
          <w:rStyle w:val="OperatorTok"/>
        </w:rPr>
        <w:t xml:space="preserve">=</w:t>
      </w:r>
      <w:r>
        <w:rPr>
          <w:rStyle w:val="NormalTok"/>
        </w:rPr>
        <w:t xml:space="preserve"> objAxonLive</w:t>
      </w:r>
      <w:r>
        <w:rPr>
          <w:rStyle w:val="OperatorTok"/>
        </w:rPr>
        <w:t xml:space="preserve">.</w:t>
      </w:r>
      <w:r>
        <w:rPr>
          <w:rStyle w:val="AttributeTok"/>
        </w:rPr>
        <w:t xml:space="preserve">EventComponentID</w:t>
      </w:r>
      <w:r>
        <w:rPr>
          <w:rStyle w:val="OperatorTok"/>
        </w:rPr>
        <w:t xml:space="preserve">;</w:t>
      </w:r>
    </w:p>
    <w:bookmarkEnd w:id="2018"/>
    <w:bookmarkStart w:id="2019" w:name="return-values-29"/>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representing the ID of the component. If the request is not an asynchronous event, it returns an empty string.</w:t>
      </w:r>
    </w:p>
    <w:bookmarkEnd w:id="2019"/>
    <w:bookmarkStart w:id="2020" w:name="remarks-184"/>
    <w:p>
      <w:pPr>
        <w:pStyle w:val="Heading2"/>
      </w:pPr>
      <w:r>
        <w:t xml:space="preserve">Remarks</w:t>
      </w:r>
    </w:p>
    <w:p>
      <w:pPr>
        <w:pStyle w:val="FirstParagraph"/>
      </w:pPr>
      <w:r>
        <w:t xml:space="preserve">This property is crucial for routing logic inside the</w:t>
      </w:r>
      <w:r>
        <w:t xml:space="preserve"> </w:t>
      </w:r>
      <w:r>
        <w:rPr>
          <w:rStyle w:val="VerbatimChar"/>
        </w:rPr>
        <w:t xml:space="preserve">If AxonLive.IsAsyncRequest</w:t>
      </w:r>
      <w:r>
        <w:t xml:space="preserve"> </w:t>
      </w:r>
      <w:r>
        <w:t xml:space="preserve">block. You use it in a</w:t>
      </w:r>
      <w:r>
        <w:t xml:space="preserve"> </w:t>
      </w:r>
      <w:r>
        <w:rPr>
          <w:rStyle w:val="VerbatimChar"/>
        </w:rPr>
        <w:t xml:space="preserve">Select Case</w:t>
      </w:r>
      <w:r>
        <w:t xml:space="preserve"> </w:t>
      </w:r>
      <w:r>
        <w:t xml:space="preserve">or</w:t>
      </w:r>
      <w:r>
        <w:t xml:space="preserve"> </w:t>
      </w:r>
      <w:r>
        <w:rPr>
          <w:rStyle w:val="VerbatimChar"/>
        </w:rPr>
        <w:t xml:space="preserve">switch</w:t>
      </w:r>
      <w:r>
        <w:t xml:space="preserve"> </w:t>
      </w:r>
      <w:r>
        <w:t xml:space="preserve">statement to determine which piece of logic should execute.</w:t>
      </w:r>
    </w:p>
    <w:bookmarkEnd w:id="2020"/>
    <w:bookmarkStart w:id="2023" w:name="code-example-93"/>
    <w:p>
      <w:pPr>
        <w:pStyle w:val="Heading2"/>
      </w:pPr>
      <w:r>
        <w:t xml:space="preserve">Code Example</w:t>
      </w:r>
    </w:p>
    <w:bookmarkStart w:id="2021" w:name="vbscript-19"/>
    <w:p>
      <w:pPr>
        <w:pStyle w:val="Heading3"/>
      </w:pPr>
      <w:r>
        <w:t xml:space="preserve">VBScript</w:t>
      </w:r>
    </w:p>
    <w:p>
      <w:pPr>
        <w:pStyle w:val="SourceCode"/>
      </w:pPr>
      <w:r>
        <w:rPr>
          <w:rStyle w:val="VerbatimChar"/>
        </w:rPr>
        <w:t xml:space="preserve">Dim AxonLive, compID</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compID = AxonLive.EventComponentID</w:t>
      </w:r>
      <w:r>
        <w:br/>
      </w:r>
      <w:r>
        <w:rPr>
          <w:rStyle w:val="VerbatimChar"/>
        </w:rPr>
        <w:t xml:space="preserve">    If compID = "btnIncrement" Then</w:t>
      </w:r>
      <w:r>
        <w:br/>
      </w:r>
      <w:r>
        <w:rPr>
          <w:rStyle w:val="VerbatimChar"/>
        </w:rPr>
        <w:t xml:space="preserve">        ' Handle increment logic</w:t>
      </w:r>
      <w:r>
        <w:br/>
      </w:r>
      <w:r>
        <w:rPr>
          <w:rStyle w:val="VerbatimChar"/>
        </w:rPr>
        <w:t xml:space="preserve">    End If</w:t>
      </w:r>
      <w:r>
        <w:br/>
      </w:r>
      <w:r>
        <w:rPr>
          <w:rStyle w:val="VerbatimChar"/>
        </w:rPr>
        <w:t xml:space="preserve">    AxonLive.EndAsyncResponse()</w:t>
      </w:r>
      <w:r>
        <w:br/>
      </w:r>
      <w:r>
        <w:rPr>
          <w:rStyle w:val="VerbatimChar"/>
        </w:rPr>
        <w:t xml:space="preserve">End If</w:t>
      </w:r>
    </w:p>
    <w:bookmarkEnd w:id="2021"/>
    <w:bookmarkStart w:id="2022" w:name="javascript-19"/>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KeywordTok"/>
        </w:rPr>
        <w:t xml:space="preserve">var</w:t>
      </w:r>
      <w:r>
        <w:rPr>
          <w:rStyle w:val="NormalTok"/>
        </w:rPr>
        <w:t xml:space="preserve"> compID </w:t>
      </w:r>
      <w:r>
        <w:rPr>
          <w:rStyle w:val="OperatorTok"/>
        </w:rPr>
        <w:t xml:space="preserve">=</w:t>
      </w:r>
      <w:r>
        <w:rPr>
          <w:rStyle w:val="NormalTok"/>
        </w:rPr>
        <w:t xml:space="preserve"> AxonLive</w:t>
      </w:r>
      <w:r>
        <w:rPr>
          <w:rStyle w:val="OperatorTok"/>
        </w:rPr>
        <w:t xml:space="preserve">.</w:t>
      </w:r>
      <w:r>
        <w:rPr>
          <w:rStyle w:val="AttributeTok"/>
        </w:rPr>
        <w:t xml:space="preserve">EventComponentID</w:t>
      </w:r>
      <w:r>
        <w:rPr>
          <w:rStyle w:val="OperatorTok"/>
        </w:rPr>
        <w:t xml:space="preserve">;</w:t>
      </w:r>
      <w:r>
        <w:br/>
      </w:r>
      <w:r>
        <w:rPr>
          <w:rStyle w:val="NormalTok"/>
        </w:rPr>
        <w:t xml:space="preserve">    </w:t>
      </w:r>
      <w:r>
        <w:rPr>
          <w:rStyle w:val="ControlFlowTok"/>
        </w:rPr>
        <w:t xml:space="preserve">switch</w:t>
      </w:r>
      <w:r>
        <w:rPr>
          <w:rStyle w:val="NormalTok"/>
        </w:rPr>
        <w:t xml:space="preserve"> (compID) {</w:t>
      </w:r>
      <w:r>
        <w:br/>
      </w:r>
      <w:r>
        <w:rPr>
          <w:rStyle w:val="NormalTok"/>
        </w:rPr>
        <w:t xml:space="preserve">        </w:t>
      </w:r>
      <w:r>
        <w:rPr>
          <w:rStyle w:val="ControlFlowTok"/>
        </w:rPr>
        <w:t xml:space="preserve">case</w:t>
      </w:r>
      <w:r>
        <w:rPr>
          <w:rStyle w:val="NormalTok"/>
        </w:rPr>
        <w:t xml:space="preserve"> </w:t>
      </w:r>
      <w:r>
        <w:rPr>
          <w:rStyle w:val="StringTok"/>
        </w:rPr>
        <w:t xml:space="preserve">"btnIncrement"</w:t>
      </w:r>
      <w:r>
        <w:rPr>
          <w:rStyle w:val="OperatorTok"/>
        </w:rPr>
        <w:t xml:space="preserve">:</w:t>
      </w:r>
      <w:r>
        <w:br/>
      </w:r>
      <w:r>
        <w:rPr>
          <w:rStyle w:val="NormalTok"/>
        </w:rPr>
        <w:t xml:space="preserve">            </w:t>
      </w:r>
      <w:r>
        <w:rPr>
          <w:rStyle w:val="CommentTok"/>
        </w:rPr>
        <w:t xml:space="preserve">// Handle increment logic</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2022"/>
    <w:bookmarkEnd w:id="2023"/>
    <w:bookmarkEnd w:id="2024"/>
    <w:bookmarkStart w:id="2032" w:name="eventname"/>
    <w:p>
      <w:pPr>
        <w:pStyle w:val="Heading1"/>
      </w:pPr>
      <w:r>
        <w:t xml:space="preserve">EventName</w:t>
      </w:r>
    </w:p>
    <w:bookmarkStart w:id="2025" w:name="overview-155"/>
    <w:p>
      <w:pPr>
        <w:pStyle w:val="Heading2"/>
      </w:pPr>
      <w:r>
        <w:t xml:space="preserve">Overview</w:t>
      </w:r>
    </w:p>
    <w:p>
      <w:pPr>
        <w:pStyle w:val="FirstParagraph"/>
      </w:pPr>
      <w:r>
        <w:t xml:space="preserve">Returns the name of the asynchronous event that was fired by the component (e.g.,</w:t>
      </w:r>
      <w:r>
        <w:t xml:space="preserve"> </w:t>
      </w:r>
      <w:r>
        <w:rPr>
          <w:rStyle w:val="VerbatimChar"/>
        </w:rPr>
        <w:t xml:space="preserve">onclick</w:t>
      </w:r>
      <w:r>
        <w:t xml:space="preserve">,</w:t>
      </w:r>
      <w:r>
        <w:t xml:space="preserve"> </w:t>
      </w:r>
      <w:r>
        <w:rPr>
          <w:rStyle w:val="VerbatimChar"/>
        </w:rPr>
        <w:t xml:space="preserve">onchange</w:t>
      </w:r>
      <w:r>
        <w:t xml:space="preserve">).</w:t>
      </w:r>
    </w:p>
    <w:bookmarkEnd w:id="2025"/>
    <w:bookmarkStart w:id="2026" w:name="syntax-172"/>
    <w:p>
      <w:pPr>
        <w:pStyle w:val="Heading2"/>
      </w:pPr>
      <w:r>
        <w:t xml:space="preserve">Syntax</w:t>
      </w:r>
    </w:p>
    <w:p>
      <w:pPr>
        <w:pStyle w:val="SourceCode"/>
      </w:pPr>
      <w:r>
        <w:rPr>
          <w:rStyle w:val="VerbatimChar"/>
        </w:rPr>
        <w:t xml:space="preserve">strEventName = objAxonLive.EventName</w:t>
      </w:r>
    </w:p>
    <w:p>
      <w:pPr>
        <w:pStyle w:val="SourceCode"/>
      </w:pPr>
      <w:r>
        <w:rPr>
          <w:rStyle w:val="KeywordTok"/>
        </w:rPr>
        <w:t xml:space="preserve">var</w:t>
      </w:r>
      <w:r>
        <w:rPr>
          <w:rStyle w:val="NormalTok"/>
        </w:rPr>
        <w:t xml:space="preserve"> strEventName </w:t>
      </w:r>
      <w:r>
        <w:rPr>
          <w:rStyle w:val="OperatorTok"/>
        </w:rPr>
        <w:t xml:space="preserve">=</w:t>
      </w:r>
      <w:r>
        <w:rPr>
          <w:rStyle w:val="NormalTok"/>
        </w:rPr>
        <w:t xml:space="preserve"> objAxonLive</w:t>
      </w:r>
      <w:r>
        <w:rPr>
          <w:rStyle w:val="OperatorTok"/>
        </w:rPr>
        <w:t xml:space="preserve">.</w:t>
      </w:r>
      <w:r>
        <w:rPr>
          <w:rStyle w:val="AttributeTok"/>
        </w:rPr>
        <w:t xml:space="preserve">EventName</w:t>
      </w:r>
      <w:r>
        <w:rPr>
          <w:rStyle w:val="OperatorTok"/>
        </w:rPr>
        <w:t xml:space="preserve">;</w:t>
      </w:r>
    </w:p>
    <w:bookmarkEnd w:id="2026"/>
    <w:bookmarkStart w:id="2027" w:name="return-values-30"/>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representing the name of the event. Returns an empty string if the request is not asynchronous.</w:t>
      </w:r>
    </w:p>
    <w:bookmarkEnd w:id="2027"/>
    <w:bookmarkStart w:id="2028" w:name="remarks-185"/>
    <w:p>
      <w:pPr>
        <w:pStyle w:val="Heading2"/>
      </w:pPr>
      <w:r>
        <w:t xml:space="preserve">Remarks</w:t>
      </w:r>
    </w:p>
    <w:p>
      <w:pPr>
        <w:pStyle w:val="FirstParagraph"/>
      </w:pPr>
      <w:r>
        <w:t xml:space="preserve">While</w:t>
      </w:r>
      <w:r>
        <w:t xml:space="preserve"> </w:t>
      </w:r>
      <w:r>
        <w:rPr>
          <w:rStyle w:val="VerbatimChar"/>
        </w:rPr>
        <w:t xml:space="preserve">EventComponentID</w:t>
      </w:r>
      <w:r>
        <w:t xml:space="preserve"> </w:t>
      </w:r>
      <w:r>
        <w:t xml:space="preserve">tells you</w:t>
      </w:r>
      <w:r>
        <w:t xml:space="preserve"> </w:t>
      </w:r>
      <w:r>
        <w:rPr>
          <w:i/>
          <w:iCs/>
        </w:rPr>
        <w:t xml:space="preserve">who</w:t>
      </w:r>
      <w:r>
        <w:t xml:space="preserve"> </w:t>
      </w:r>
      <w:r>
        <w:t xml:space="preserve">triggered the request,</w:t>
      </w:r>
      <w:r>
        <w:t xml:space="preserve"> </w:t>
      </w:r>
      <w:r>
        <w:rPr>
          <w:rStyle w:val="VerbatimChar"/>
        </w:rPr>
        <w:t xml:space="preserve">EventName</w:t>
      </w:r>
      <w:r>
        <w:t xml:space="preserve"> </w:t>
      </w:r>
      <w:r>
        <w:t xml:space="preserve">tells you</w:t>
      </w:r>
      <w:r>
        <w:t xml:space="preserve"> </w:t>
      </w:r>
      <w:r>
        <w:rPr>
          <w:i/>
          <w:iCs/>
        </w:rPr>
        <w:t xml:space="preserve">what</w:t>
      </w:r>
      <w:r>
        <w:t xml:space="preserve"> </w:t>
      </w:r>
      <w:r>
        <w:t xml:space="preserve">they did. This is useful when a single component listens to multiple event types (e.g., handling both</w:t>
      </w:r>
      <w:r>
        <w:t xml:space="preserve"> </w:t>
      </w:r>
      <w:r>
        <w:rPr>
          <w:rStyle w:val="VerbatimChar"/>
        </w:rPr>
        <w:t xml:space="preserve">onclick</w:t>
      </w:r>
      <w:r>
        <w:t xml:space="preserve"> </w:t>
      </w:r>
      <w:r>
        <w:t xml:space="preserve">and</w:t>
      </w:r>
      <w:r>
        <w:t xml:space="preserve"> </w:t>
      </w:r>
      <w:r>
        <w:rPr>
          <w:rStyle w:val="VerbatimChar"/>
        </w:rPr>
        <w:t xml:space="preserve">ondblclick</w:t>
      </w:r>
      <w:r>
        <w:t xml:space="preserve">).</w:t>
      </w:r>
    </w:p>
    <w:bookmarkEnd w:id="2028"/>
    <w:bookmarkStart w:id="2031" w:name="code-example-94"/>
    <w:p>
      <w:pPr>
        <w:pStyle w:val="Heading2"/>
      </w:pPr>
      <w:r>
        <w:t xml:space="preserve">Code Example</w:t>
      </w:r>
    </w:p>
    <w:bookmarkStart w:id="2029" w:name="vbscript-20"/>
    <w:p>
      <w:pPr>
        <w:pStyle w:val="Heading3"/>
      </w:pPr>
      <w:r>
        <w:t xml:space="preserve">VBScript</w:t>
      </w:r>
    </w:p>
    <w:p>
      <w:pPr>
        <w:pStyle w:val="SourceCode"/>
      </w:pPr>
      <w:r>
        <w:rPr>
          <w:rStyle w:val="VerbatimChar"/>
        </w:rPr>
        <w:t xml:space="preserve">Dim AxonLive, evtName</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evtName = AxonLive.EventName</w:t>
      </w:r>
      <w:r>
        <w:br/>
      </w:r>
      <w:r>
        <w:rPr>
          <w:rStyle w:val="VerbatimChar"/>
        </w:rPr>
        <w:t xml:space="preserve">    If evtName = "onclick" Then</w:t>
      </w:r>
      <w:r>
        <w:br/>
      </w:r>
      <w:r>
        <w:rPr>
          <w:rStyle w:val="VerbatimChar"/>
        </w:rPr>
        <w:t xml:space="preserve">        ' Handle click event</w:t>
      </w:r>
      <w:r>
        <w:br/>
      </w:r>
      <w:r>
        <w:rPr>
          <w:rStyle w:val="VerbatimChar"/>
        </w:rPr>
        <w:t xml:space="preserve">    End If</w:t>
      </w:r>
      <w:r>
        <w:br/>
      </w:r>
      <w:r>
        <w:rPr>
          <w:rStyle w:val="VerbatimChar"/>
        </w:rPr>
        <w:t xml:space="preserve">    AxonLive.EndAsyncResponse()</w:t>
      </w:r>
      <w:r>
        <w:br/>
      </w:r>
      <w:r>
        <w:rPr>
          <w:rStyle w:val="VerbatimChar"/>
        </w:rPr>
        <w:t xml:space="preserve">End If</w:t>
      </w:r>
    </w:p>
    <w:bookmarkEnd w:id="2029"/>
    <w:bookmarkStart w:id="2030" w:name="javascript-20"/>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KeywordTok"/>
        </w:rPr>
        <w:t xml:space="preserve">var</w:t>
      </w:r>
      <w:r>
        <w:rPr>
          <w:rStyle w:val="NormalTok"/>
        </w:rPr>
        <w:t xml:space="preserve"> evtName </w:t>
      </w:r>
      <w:r>
        <w:rPr>
          <w:rStyle w:val="OperatorTok"/>
        </w:rPr>
        <w:t xml:space="preserve">=</w:t>
      </w:r>
      <w:r>
        <w:rPr>
          <w:rStyle w:val="NormalTok"/>
        </w:rPr>
        <w:t xml:space="preserve"> AxonLive</w:t>
      </w:r>
      <w:r>
        <w:rPr>
          <w:rStyle w:val="OperatorTok"/>
        </w:rPr>
        <w:t xml:space="preserve">.</w:t>
      </w:r>
      <w:r>
        <w:rPr>
          <w:rStyle w:val="AttributeTok"/>
        </w:rPr>
        <w:t xml:space="preserve">EventName</w:t>
      </w:r>
      <w:r>
        <w:rPr>
          <w:rStyle w:val="OperatorTok"/>
        </w:rPr>
        <w:t xml:space="preserve">;</w:t>
      </w:r>
      <w:r>
        <w:br/>
      </w:r>
      <w:r>
        <w:rPr>
          <w:rStyle w:val="NormalTok"/>
        </w:rPr>
        <w:t xml:space="preserve">    </w:t>
      </w:r>
      <w:r>
        <w:rPr>
          <w:rStyle w:val="ControlFlowTok"/>
        </w:rPr>
        <w:t xml:space="preserve">if</w:t>
      </w:r>
      <w:r>
        <w:rPr>
          <w:rStyle w:val="NormalTok"/>
        </w:rPr>
        <w:t xml:space="preserve"> (evtName </w:t>
      </w:r>
      <w:r>
        <w:rPr>
          <w:rStyle w:val="OperatorTok"/>
        </w:rPr>
        <w:t xml:space="preserve">===</w:t>
      </w:r>
      <w:r>
        <w:rPr>
          <w:rStyle w:val="NormalTok"/>
        </w:rPr>
        <w:t xml:space="preserve"> </w:t>
      </w:r>
      <w:r>
        <w:rPr>
          <w:rStyle w:val="StringTok"/>
        </w:rPr>
        <w:t xml:space="preserve">"onclick"</w:t>
      </w:r>
      <w:r>
        <w:rPr>
          <w:rStyle w:val="NormalTok"/>
        </w:rPr>
        <w:t xml:space="preserve">) {</w:t>
      </w:r>
      <w:r>
        <w:br/>
      </w:r>
      <w:r>
        <w:rPr>
          <w:rStyle w:val="NormalTok"/>
        </w:rPr>
        <w:t xml:space="preserve">        </w:t>
      </w:r>
      <w:r>
        <w:rPr>
          <w:rStyle w:val="CommentTok"/>
        </w:rPr>
        <w:t xml:space="preserve">// Handle click event</w:t>
      </w:r>
      <w:r>
        <w:br/>
      </w:r>
      <w:r>
        <w:rPr>
          <w:rStyle w:val="NormalTok"/>
        </w:rPr>
        <w:t xml:space="preserve">    }</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p>
    <w:bookmarkEnd w:id="2030"/>
    <w:bookmarkEnd w:id="2031"/>
    <w:bookmarkEnd w:id="2032"/>
    <w:bookmarkStart w:id="2041" w:name="isasyncrequest"/>
    <w:p>
      <w:pPr>
        <w:pStyle w:val="Heading1"/>
      </w:pPr>
      <w:r>
        <w:t xml:space="preserve">IsAsyncRequest</w:t>
      </w:r>
    </w:p>
    <w:bookmarkStart w:id="2033" w:name="overview-156"/>
    <w:p>
      <w:pPr>
        <w:pStyle w:val="Heading2"/>
      </w:pPr>
      <w:r>
        <w:t xml:space="preserve">Overview</w:t>
      </w:r>
    </w:p>
    <w:p>
      <w:pPr>
        <w:pStyle w:val="FirstParagraph"/>
      </w:pPr>
      <w:r>
        <w:t xml:space="preserve">A boolean property that indicates whether the current page load is a standard full-page request or a background JSON</w:t>
      </w:r>
      <w:r>
        <w:t xml:space="preserve"> </w:t>
      </w:r>
      <w:r>
        <w:rPr>
          <w:rStyle w:val="VerbatimChar"/>
        </w:rPr>
        <w:t xml:space="preserve">fetch</w:t>
      </w:r>
      <w:r>
        <w:t xml:space="preserve"> </w:t>
      </w:r>
      <w:r>
        <w:t xml:space="preserve">request triggered by an AxonLive component.</w:t>
      </w:r>
    </w:p>
    <w:bookmarkEnd w:id="2033"/>
    <w:bookmarkStart w:id="2034" w:name="syntax-173"/>
    <w:p>
      <w:pPr>
        <w:pStyle w:val="Heading2"/>
      </w:pPr>
      <w:r>
        <w:t xml:space="preserve">Syntax</w:t>
      </w:r>
    </w:p>
    <w:p>
      <w:pPr>
        <w:pStyle w:val="SourceCode"/>
      </w:pPr>
      <w:r>
        <w:rPr>
          <w:rStyle w:val="VerbatimChar"/>
        </w:rPr>
        <w:t xml:space="preserve">bIsAsync = objAxonLive.IsAsyncRequest</w:t>
      </w:r>
    </w:p>
    <w:p>
      <w:pPr>
        <w:pStyle w:val="SourceCode"/>
      </w:pPr>
      <w:r>
        <w:rPr>
          <w:rStyle w:val="KeywordTok"/>
        </w:rPr>
        <w:t xml:space="preserve">var</w:t>
      </w:r>
      <w:r>
        <w:rPr>
          <w:rStyle w:val="NormalTok"/>
        </w:rPr>
        <w:t xml:space="preserve"> bIsAsync </w:t>
      </w:r>
      <w:r>
        <w:rPr>
          <w:rStyle w:val="OperatorTok"/>
        </w:rPr>
        <w:t xml:space="preserve">=</w:t>
      </w:r>
      <w:r>
        <w:rPr>
          <w:rStyle w:val="NormalTok"/>
        </w:rPr>
        <w:t xml:space="preserve"> objAxonLive</w:t>
      </w:r>
      <w:r>
        <w:rPr>
          <w:rStyle w:val="OperatorTok"/>
        </w:rPr>
        <w:t xml:space="preserve">.</w:t>
      </w:r>
      <w:r>
        <w:rPr>
          <w:rStyle w:val="AttributeTok"/>
        </w:rPr>
        <w:t xml:space="preserve">IsAsyncRequest</w:t>
      </w:r>
      <w:r>
        <w:rPr>
          <w:rStyle w:val="OperatorTok"/>
        </w:rPr>
        <w:t xml:space="preserve">;</w:t>
      </w:r>
    </w:p>
    <w:bookmarkEnd w:id="2034"/>
    <w:bookmarkStart w:id="2035" w:name="return-values-31"/>
    <w:p>
      <w:pPr>
        <w:pStyle w:val="Heading2"/>
      </w:pPr>
      <w:r>
        <w:t xml:space="preserve">Return Values</w:t>
      </w:r>
    </w:p>
    <w:p>
      <w:pPr>
        <w:pStyle w:val="FirstParagraph"/>
      </w:pPr>
      <w:r>
        <w:t xml:space="preserve">Returns a</w:t>
      </w:r>
      <w:r>
        <w:t xml:space="preserve"> </w:t>
      </w:r>
      <w:r>
        <w:rPr>
          <w:rStyle w:val="VerbatimChar"/>
        </w:rPr>
        <w:t xml:space="preserve">Boolean</w:t>
      </w:r>
      <w:r>
        <w:t xml:space="preserve">.</w:t>
      </w:r>
      <w:r>
        <w:t xml:space="preserve"> </w:t>
      </w:r>
      <w:r>
        <w:rPr>
          <w:rStyle w:val="VerbatimChar"/>
        </w:rPr>
        <w:t xml:space="preserve">True</w:t>
      </w:r>
      <w:r>
        <w:t xml:space="preserve"> </w:t>
      </w:r>
      <w:r>
        <w:t xml:space="preserve">if the request is an asynchronous event POST, otherwise</w:t>
      </w:r>
      <w:r>
        <w:t xml:space="preserve"> </w:t>
      </w:r>
      <w:r>
        <w:rPr>
          <w:rStyle w:val="VerbatimChar"/>
        </w:rPr>
        <w:t xml:space="preserve">False</w:t>
      </w:r>
      <w:r>
        <w:t xml:space="preserve">.</w:t>
      </w:r>
    </w:p>
    <w:bookmarkEnd w:id="2035"/>
    <w:bookmarkStart w:id="2036" w:name="remarks-186"/>
    <w:p>
      <w:pPr>
        <w:pStyle w:val="Heading2"/>
      </w:pPr>
      <w:r>
        <w:t xml:space="preserve">Remarks</w:t>
      </w:r>
    </w:p>
    <w:p>
      <w:pPr>
        <w:pStyle w:val="FirstParagraph"/>
      </w:pPr>
      <w:r>
        <w:t xml:space="preserve">This property is the main gatekeeper for AxonLive logic. All component-handling logic must be placed inside a conditional block checking this property to avoid running during a standard page render.</w:t>
      </w:r>
    </w:p>
    <w:bookmarkEnd w:id="2036"/>
    <w:bookmarkStart w:id="2039" w:name="code-example-95"/>
    <w:p>
      <w:pPr>
        <w:pStyle w:val="Heading2"/>
      </w:pPr>
      <w:r>
        <w:t xml:space="preserve">Code Example</w:t>
      </w:r>
    </w:p>
    <w:bookmarkStart w:id="2037" w:name="vbscript-21"/>
    <w:p>
      <w:pPr>
        <w:pStyle w:val="Heading3"/>
      </w:pPr>
      <w:r>
        <w:t xml:space="preserve">VBScript</w:t>
      </w:r>
    </w:p>
    <w:p>
      <w:pPr>
        <w:pStyle w:val="SourceCode"/>
      </w:pPr>
      <w:r>
        <w:rPr>
          <w:rStyle w:val="VerbatimChar"/>
        </w:rPr>
        <w:t xml:space="preserve">Dim AxonLive</w:t>
      </w:r>
      <w:r>
        <w:br/>
      </w:r>
      <w:r>
        <w:rPr>
          <w:rStyle w:val="VerbatimChar"/>
        </w:rPr>
        <w:t xml:space="preserve">Set AxonLive = Server.CreateObject("G3AXONLIVE")</w:t>
      </w:r>
      <w:r>
        <w:br/>
      </w:r>
      <w:r>
        <w:rPr>
          <w:rStyle w:val="VerbatimChar"/>
        </w:rPr>
        <w:t xml:space="preserve">AxonLive.InitPage()</w:t>
      </w:r>
      <w:r>
        <w:br/>
      </w:r>
      <w:r>
        <w:br/>
      </w:r>
      <w:r>
        <w:rPr>
          <w:rStyle w:val="VerbatimChar"/>
        </w:rPr>
        <w:t xml:space="preserve">If AxonLive.IsAsyncRequest Then</w:t>
      </w:r>
      <w:r>
        <w:br/>
      </w:r>
      <w:r>
        <w:rPr>
          <w:rStyle w:val="VerbatimChar"/>
        </w:rPr>
        <w:t xml:space="preserve">    ' We are handling an AJAX background event.</w:t>
      </w:r>
      <w:r>
        <w:br/>
      </w:r>
      <w:r>
        <w:rPr>
          <w:rStyle w:val="VerbatimChar"/>
        </w:rPr>
        <w:t xml:space="preserve">    ' Process logic and stop execution.</w:t>
      </w:r>
      <w:r>
        <w:br/>
      </w:r>
      <w:r>
        <w:rPr>
          <w:rStyle w:val="VerbatimChar"/>
        </w:rPr>
        <w:t xml:space="preserve">    AxonLive.EndAsyncResponse()</w:t>
      </w:r>
      <w:r>
        <w:br/>
      </w:r>
      <w:r>
        <w:rPr>
          <w:rStyle w:val="VerbatimChar"/>
        </w:rPr>
        <w:t xml:space="preserve">End If</w:t>
      </w:r>
      <w:r>
        <w:br/>
      </w:r>
      <w:r>
        <w:br/>
      </w:r>
      <w:r>
        <w:rPr>
          <w:rStyle w:val="VerbatimChar"/>
        </w:rPr>
        <w:t xml:space="preserve">' If we get here, it's a normal page load. Render HTML below.</w:t>
      </w:r>
    </w:p>
    <w:bookmarkEnd w:id="2037"/>
    <w:bookmarkStart w:id="2038" w:name="javascript-21"/>
    <w:p>
      <w:pPr>
        <w:pStyle w:val="Heading3"/>
      </w:pPr>
      <w:r>
        <w:t xml:space="preserve">JavaScript</w:t>
      </w:r>
    </w:p>
    <w:p>
      <w:pPr>
        <w:pStyle w:val="SourceCode"/>
      </w:pPr>
      <w:r>
        <w:rPr>
          <w:rStyle w:val="KeywordTok"/>
        </w:rPr>
        <w:t xml:space="preserve">var</w:t>
      </w:r>
      <w:r>
        <w:rPr>
          <w:rStyle w:val="NormalTok"/>
        </w:rPr>
        <w:t xml:space="preserve"> AxonLive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"G3AXONLIVE"</w:t>
      </w:r>
      <w:r>
        <w:rPr>
          <w:rStyle w:val="NormalTok"/>
        </w:rPr>
        <w:t xml:space="preserve">)</w:t>
      </w:r>
      <w:r>
        <w:rPr>
          <w:rStyle w:val="OperatorTok"/>
        </w:rPr>
        <w:t xml:space="preserve">;</w:t>
      </w:r>
      <w:r>
        <w:br/>
      </w:r>
      <w:r>
        <w:rPr>
          <w:rStyle w:val="NormalTok"/>
        </w:rPr>
        <w:t xml:space="preserve">AxonLive</w:t>
      </w:r>
      <w:r>
        <w:rPr>
          <w:rStyle w:val="OperatorTok"/>
        </w:rPr>
        <w:t xml:space="preserve">.</w:t>
      </w:r>
      <w:r>
        <w:rPr>
          <w:rStyle w:val="FunctionTok"/>
        </w:rPr>
        <w:t xml:space="preserve">InitPage</w:t>
      </w:r>
      <w:r>
        <w:rPr>
          <w:rStyle w:val="NormalTok"/>
        </w:rPr>
        <w:t xml:space="preserve">()</w:t>
      </w:r>
      <w:r>
        <w:rPr>
          <w:rStyle w:val="OperatorTok"/>
        </w:rPr>
        <w:t xml:space="preserve">;</w:t>
      </w:r>
      <w:r>
        <w:br/>
      </w:r>
      <w:r>
        <w:br/>
      </w:r>
      <w:r>
        <w:rPr>
          <w:rStyle w:val="ControlFlowTok"/>
        </w:rPr>
        <w:t xml:space="preserve">if</w:t>
      </w:r>
      <w:r>
        <w:rPr>
          <w:rStyle w:val="NormalTok"/>
        </w:rPr>
        <w:t xml:space="preserve"> (AxonLive</w:t>
      </w:r>
      <w:r>
        <w:rPr>
          <w:rStyle w:val="OperatorTok"/>
        </w:rPr>
        <w:t xml:space="preserve">.</w:t>
      </w:r>
      <w:r>
        <w:rPr>
          <w:rStyle w:val="AttributeTok"/>
        </w:rPr>
        <w:t xml:space="preserve">IsAsyncRequest</w:t>
      </w:r>
      <w:r>
        <w:rPr>
          <w:rStyle w:val="NormalTok"/>
        </w:rPr>
        <w:t xml:space="preserve">) {</w:t>
      </w:r>
      <w:r>
        <w:br/>
      </w:r>
      <w:r>
        <w:rPr>
          <w:rStyle w:val="NormalTok"/>
        </w:rPr>
        <w:t xml:space="preserve">    </w:t>
      </w:r>
      <w:r>
        <w:rPr>
          <w:rStyle w:val="CommentTok"/>
        </w:rPr>
        <w:t xml:space="preserve">// We are handling an AJAX background event.</w:t>
      </w:r>
      <w:r>
        <w:br/>
      </w:r>
      <w:r>
        <w:rPr>
          <w:rStyle w:val="NormalTok"/>
        </w:rPr>
        <w:t xml:space="preserve">    </w:t>
      </w:r>
      <w:r>
        <w:rPr>
          <w:rStyle w:val="CommentTok"/>
        </w:rPr>
        <w:t xml:space="preserve">// Process logic and stop execution.</w:t>
      </w:r>
      <w:r>
        <w:br/>
      </w:r>
      <w:r>
        <w:rPr>
          <w:rStyle w:val="NormalTok"/>
        </w:rPr>
        <w:t xml:space="preserve">    AxonLive</w:t>
      </w:r>
      <w:r>
        <w:rPr>
          <w:rStyle w:val="OperatorTok"/>
        </w:rPr>
        <w:t xml:space="preserve">.</w:t>
      </w:r>
      <w:r>
        <w:rPr>
          <w:rStyle w:val="FunctionTok"/>
        </w:rPr>
        <w:t xml:space="preserve">EndAsyncResponse</w:t>
      </w:r>
      <w:r>
        <w:rPr>
          <w:rStyle w:val="NormalTok"/>
        </w:rPr>
        <w:t xml:space="preserve">()</w:t>
      </w:r>
      <w:r>
        <w:rPr>
          <w:rStyle w:val="OperatorTok"/>
        </w:rPr>
        <w:t xml:space="preserve">;</w:t>
      </w:r>
      <w:r>
        <w:br/>
      </w:r>
      <w:r>
        <w:rPr>
          <w:rStyle w:val="NormalTok"/>
        </w:rPr>
        <w:t xml:space="preserve">}</w:t>
      </w:r>
      <w:r>
        <w:br/>
      </w:r>
      <w:r>
        <w:br/>
      </w:r>
      <w:r>
        <w:rPr>
          <w:rStyle w:val="CommentTok"/>
        </w:rPr>
        <w:t xml:space="preserve">// If we get here, it's a normal page load. Render HTML below.</w:t>
      </w:r>
    </w:p>
    <w:bookmarkEnd w:id="2038"/>
    <w:bookmarkEnd w:id="2039"/>
    <w:bookmarkStart w:id="2040" w:name="g3date"/>
    <w:p>
      <w:pPr>
        <w:pStyle w:val="Heading2"/>
      </w:pPr>
      <w:r>
        <w:t xml:space="preserve">G3DATE</w:t>
      </w:r>
    </w:p>
    <w:bookmarkEnd w:id="2040"/>
    <w:bookmarkEnd w:id="2041"/>
    <w:bookmarkStart w:id="2049" w:name="use-the-g3date-library"/>
    <w:p>
      <w:pPr>
        <w:pStyle w:val="Heading1"/>
      </w:pPr>
      <w:r>
        <w:t xml:space="preserve">Use the G3DATE Library</w:t>
      </w:r>
    </w:p>
    <w:bookmarkStart w:id="2042" w:name="overview-157"/>
    <w:p>
      <w:pPr>
        <w:pStyle w:val="Heading2"/>
      </w:pPr>
      <w:r>
        <w:t xml:space="preserve">Overview</w:t>
      </w:r>
    </w:p>
    <w:p>
      <w:pPr>
        <w:pStyle w:val="FirstParagraph"/>
      </w:pPr>
      <w:r>
        <w:t xml:space="preserve">Use</w:t>
      </w:r>
      <w:r>
        <w:t xml:space="preserve"> </w:t>
      </w:r>
      <w:r>
        <w:rPr>
          <w:b/>
          <w:bCs/>
        </w:rPr>
        <w:t xml:space="preserve">G3DATE</w:t>
      </w:r>
      <w:r>
        <w:t xml:space="preserve"> </w:t>
      </w:r>
      <w:r>
        <w:t xml:space="preserve">to perform advanced date and time operations in G3Pix AxonASP, including time zone conversions, ISO 8601 formatting, duration calculations, UNIX epoch handling, and reliable Daylight Saving Time (DST) processing. The library wraps Go’s</w:t>
      </w:r>
      <w:r>
        <w:t xml:space="preserve"> </w:t>
      </w:r>
      <w:r>
        <w:rPr>
          <w:rStyle w:val="VerbatimChar"/>
        </w:rPr>
        <w:t xml:space="preserve">time</w:t>
      </w:r>
      <w:r>
        <w:t xml:space="preserve"> </w:t>
      </w:r>
      <w:r>
        <w:t xml:space="preserve">package and exposes its full power through familiar Classic ASP method calls.</w:t>
      </w:r>
    </w:p>
    <w:bookmarkEnd w:id="2042"/>
    <w:bookmarkStart w:id="2043" w:name="prerequisites-93"/>
    <w:p>
      <w:pPr>
        <w:pStyle w:val="Heading2"/>
      </w:pPr>
      <w:r>
        <w:t xml:space="preserve">Prerequisites</w:t>
      </w:r>
    </w:p>
    <w:p>
      <w:pPr>
        <w:pStyle w:val="Compact"/>
        <w:numPr>
          <w:ilvl w:val="0"/>
          <w:numId w:val="1568"/>
        </w:numPr>
      </w:pPr>
      <w:r>
        <w:t xml:space="preserve">Use a running G3Pix AxonASP environment.</w:t>
      </w:r>
    </w:p>
    <w:p>
      <w:pPr>
        <w:pStyle w:val="Compact"/>
        <w:numPr>
          <w:ilvl w:val="0"/>
          <w:numId w:val="1568"/>
        </w:numPr>
      </w:pPr>
      <w:r>
        <w:t xml:space="preserve">Create the object with the primary ProgID:</w:t>
      </w:r>
    </w:p>
    <w:p>
      <w:pPr>
        <w:pStyle w:val="SourceCode"/>
      </w:pPr>
      <w:r>
        <w:rPr>
          <w:rStyle w:val="NormalTok"/>
        </w:rPr>
        <w:t xml:space="preserve">Dim dt</w:t>
      </w:r>
      <w:r>
        <w:br/>
      </w:r>
      <w:r>
        <w:rPr>
          <w:rStyle w:val="NormalTok"/>
        </w:rPr>
        <w:t xml:space="preserve">Set dt = Server.CreateObject("G3DATE")</w:t>
      </w:r>
    </w:p>
    <w:bookmarkEnd w:id="2043"/>
    <w:bookmarkStart w:id="2044" w:name="how-it-works-15"/>
    <w:p>
      <w:pPr>
        <w:pStyle w:val="Heading2"/>
      </w:pPr>
      <w:r>
        <w:t xml:space="preserve">How It Works</w:t>
      </w:r>
    </w:p>
    <w:p>
      <w:pPr>
        <w:pStyle w:val="Compact"/>
        <w:numPr>
          <w:ilvl w:val="0"/>
          <w:numId w:val="1569"/>
        </w:numPr>
      </w:pPr>
      <w:r>
        <w:t xml:space="preserve">All date values are passed as VBScript Date subtypes (</w:t>
      </w:r>
      <w:r>
        <w:rPr>
          <w:rStyle w:val="VerbatimChar"/>
        </w:rPr>
        <w:t xml:space="preserve">#YYYY/MM/DD#</w:t>
      </w:r>
      <w:r>
        <w:t xml:space="preserve">) or ISO 8601 strings. The library also accepts UNIX timestamps (seconds or milliseconds) as numeric values.</w:t>
      </w:r>
    </w:p>
    <w:p>
      <w:pPr>
        <w:pStyle w:val="Compact"/>
        <w:numPr>
          <w:ilvl w:val="0"/>
          <w:numId w:val="1569"/>
        </w:numPr>
      </w:pPr>
      <w:r>
        <w:t xml:space="preserve">Time zones are specified using IANA time zone identifiers (e.g.,</w:t>
      </w:r>
      <w:r>
        <w:t xml:space="preserve"> </w:t>
      </w:r>
      <w:r>
        <w:rPr>
          <w:rStyle w:val="VerbatimChar"/>
        </w:rPr>
        <w:t xml:space="preserve">"America/New_York"</w:t>
      </w:r>
      <w:r>
        <w:t xml:space="preserve">,</w:t>
      </w:r>
      <w:r>
        <w:t xml:space="preserve"> </w:t>
      </w:r>
      <w:r>
        <w:rPr>
          <w:rStyle w:val="VerbatimChar"/>
        </w:rPr>
        <w:t xml:space="preserve">"Europe/London"</w:t>
      </w:r>
      <w:r>
        <w:t xml:space="preserve">,</w:t>
      </w:r>
      <w:r>
        <w:t xml:space="preserve"> </w:t>
      </w:r>
      <w:r>
        <w:rPr>
          <w:rStyle w:val="VerbatimChar"/>
        </w:rPr>
        <w:t xml:space="preserve">"Asia/Tokyo"</w:t>
      </w:r>
      <w:r>
        <w:t xml:space="preserve">).</w:t>
      </w:r>
    </w:p>
    <w:p>
      <w:pPr>
        <w:pStyle w:val="Compact"/>
        <w:numPr>
          <w:ilvl w:val="0"/>
          <w:numId w:val="1569"/>
        </w:numPr>
      </w:pPr>
      <w:r>
        <w:t xml:space="preserve">Duration values are expressed in nanoseconds when using the raw duration methods, or as human-readable strings with</w:t>
      </w:r>
      <w:r>
        <w:t xml:space="preserve"> </w:t>
      </w:r>
      <w:r>
        <w:rPr>
          <w:rStyle w:val="VerbatimChar"/>
        </w:rPr>
        <w:t xml:space="preserve">ParseDuration</w:t>
      </w:r>
      <w:r>
        <w:t xml:space="preserve">.</w:t>
      </w:r>
    </w:p>
    <w:p>
      <w:pPr>
        <w:pStyle w:val="Compact"/>
        <w:numPr>
          <w:ilvl w:val="0"/>
          <w:numId w:val="1569"/>
        </w:numPr>
      </w:pPr>
      <w:r>
        <w:t xml:space="preserve">The system default time zone is loaded from</w:t>
      </w:r>
      <w:r>
        <w:t xml:space="preserve"> </w:t>
      </w:r>
      <w:r>
        <w:rPr>
          <w:rStyle w:val="VerbatimChar"/>
        </w:rPr>
        <w:t xml:space="preserve">axonasp.toml</w:t>
      </w:r>
      <w:r>
        <w:t xml:space="preserve"> </w:t>
      </w:r>
      <w:r>
        <w:t xml:space="preserve">(</w:t>
      </w:r>
      <w:r>
        <w:rPr>
          <w:rStyle w:val="VerbatimChar"/>
        </w:rPr>
        <w:t xml:space="preserve">global.default_timezone</w:t>
      </w:r>
      <w:r>
        <w:t xml:space="preserve">), falling back to UTC if not configured.</w:t>
      </w:r>
    </w:p>
    <w:bookmarkEnd w:id="2044"/>
    <w:bookmarkStart w:id="2047" w:name="api-reference-96"/>
    <w:p>
      <w:pPr>
        <w:pStyle w:val="Heading2"/>
      </w:pPr>
      <w:r>
        <w:t xml:space="preserve">API Reference</w:t>
      </w:r>
    </w:p>
    <w:bookmarkStart w:id="2045" w:name="methods-6"/>
    <w:p>
      <w:pPr>
        <w:pStyle w:val="Heading3"/>
      </w:pPr>
      <w:r>
        <w:t xml:space="preserve">Methods</w:t>
      </w:r>
    </w:p>
    <w:p>
      <w:pPr>
        <w:pStyle w:val="FirstParagraph"/>
      </w:pPr>
      <w:r>
        <w:t xml:space="preserve">The G3DATE library exposes the following method categories: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Methods</w:t>
            </w:r>
          </w:p>
        </w:tc>
      </w:tr>
      <w:tr>
        <w:tc>
          <w:tcPr/>
          <w:p>
            <w:pPr>
              <w:pStyle w:val="Compact"/>
            </w:pPr>
            <w:r>
              <w:rPr>
                <w:b/>
                <w:bCs/>
              </w:rPr>
              <w:t xml:space="preserve">Parsing</w:t>
            </w:r>
          </w:p>
        </w:tc>
        <w:tc>
          <w:tcPr/>
          <w:p>
            <w:pPr>
              <w:pStyle w:val="Compact"/>
            </w:pPr>
            <w:r>
              <w:t xml:space="preserve">Parse, ParseInLocation, ParseDuration, LoadLocation, FixedZone, Location</w:t>
            </w:r>
          </w:p>
        </w:tc>
      </w:tr>
      <w:tr>
        <w:tc>
          <w:tcPr/>
          <w:p>
            <w:pPr>
              <w:pStyle w:val="Compact"/>
            </w:pPr>
            <w:r>
              <w:rPr>
                <w:b/>
                <w:bCs/>
              </w:rPr>
              <w:t xml:space="preserve">Time Zone Conversion</w:t>
            </w:r>
          </w:p>
        </w:tc>
        <w:tc>
          <w:tcPr/>
          <w:p>
            <w:pPr>
              <w:pStyle w:val="Compact"/>
            </w:pPr>
            <w:r>
              <w:t xml:space="preserve">ConvertUTCtoZone, ConvertZoneToUTC, ConvertSystemToZone, ConvertZoneToZone</w:t>
            </w:r>
          </w:p>
        </w:tc>
      </w:tr>
      <w:tr>
        <w:tc>
          <w:tcPr/>
          <w:p>
            <w:pPr>
              <w:pStyle w:val="Compact"/>
            </w:pPr>
            <w:r>
              <w:rPr>
                <w:b/>
                <w:bCs/>
              </w:rPr>
              <w:t xml:space="preserve">Offsets &amp; DST</w:t>
            </w:r>
          </w:p>
        </w:tc>
        <w:tc>
          <w:tcPr/>
          <w:p>
            <w:pPr>
              <w:pStyle w:val="Compact"/>
            </w:pPr>
            <w:r>
              <w:t xml:space="preserve">OffsetZoneToUTC, OffsetZoneToSystem, OffsetZoneToZone, IsDST, Zone, ZoneBounds, TimezoneAbbreviation</w:t>
            </w:r>
          </w:p>
        </w:tc>
      </w:tr>
      <w:tr>
        <w:tc>
          <w:tcPr/>
          <w:p>
            <w:pPr>
              <w:pStyle w:val="Compact"/>
            </w:pPr>
            <w:r>
              <w:rPr>
                <w:b/>
                <w:bCs/>
              </w:rPr>
              <w:t xml:space="preserve">Constructors &amp; Accessors</w:t>
            </w:r>
          </w:p>
        </w:tc>
        <w:tc>
          <w:tcPr/>
          <w:p>
            <w:pPr>
              <w:pStyle w:val="Compact"/>
            </w:pPr>
            <w:r>
              <w:t xml:space="preserve">Date, Year, Month, Day, Hour, Minute, Second, Weekday, YearDay, ISOWeek, Clock, DateAndClock, Nanosecond</w:t>
            </w:r>
          </w:p>
        </w:tc>
      </w:tr>
      <w:tr>
        <w:tc>
          <w:tcPr/>
          <w:p>
            <w:pPr>
              <w:pStyle w:val="Compact"/>
            </w:pPr>
            <w:r>
              <w:rPr>
                <w:b/>
                <w:bCs/>
              </w:rPr>
              <w:t xml:space="preserve">Arithmetic</w:t>
            </w:r>
          </w:p>
        </w:tc>
        <w:tc>
          <w:tcPr/>
          <w:p>
            <w:pPr>
              <w:pStyle w:val="Compact"/>
            </w:pPr>
            <w:r>
              <w:t xml:space="preserve">Add, AddDate, Sub, Since, Until, After, Before, Equal, Truncate, Round</w:t>
            </w:r>
          </w:p>
        </w:tc>
      </w:tr>
      <w:tr>
        <w:tc>
          <w:tcPr/>
          <w:p>
            <w:pPr>
              <w:pStyle w:val="Compact"/>
            </w:pPr>
            <w:r>
              <w:rPr>
                <w:b/>
                <w:bCs/>
              </w:rPr>
              <w:t xml:space="preserve">Duration</w:t>
            </w:r>
          </w:p>
        </w:tc>
        <w:tc>
          <w:tcPr/>
          <w:p>
            <w:pPr>
              <w:pStyle w:val="Compact"/>
            </w:pPr>
            <w:r>
              <w:t xml:space="preserve">Duration, DurationHours, DurationMinutes, DurationSeconds, DurationMilliseconds, DurationMicroseconds, DurationNanoseconds, DurationAbs, DurationString, DurationRound, DurationTruncate</w:t>
            </w:r>
          </w:p>
        </w:tc>
      </w:tr>
      <w:tr>
        <w:tc>
          <w:tcPr/>
          <w:p>
            <w:pPr>
              <w:pStyle w:val="Compact"/>
            </w:pPr>
            <w:r>
              <w:rPr>
                <w:b/>
                <w:bCs/>
              </w:rPr>
              <w:t xml:space="preserve">Formatting</w:t>
            </w:r>
          </w:p>
        </w:tc>
        <w:tc>
          <w:tcPr/>
          <w:p>
            <w:pPr>
              <w:pStyle w:val="Compact"/>
            </w:pPr>
            <w:r>
              <w:t xml:space="preserve">Format, FormatPad, ToString, GoString, AppendBinary, AppendFormat, AppendText, ISOFormat, RFC822Format, RFC850Format, RFC1123Format, RFC3339Format, RFC3339NanoFormat, KitchenFormat, DateTimeFormat</w:t>
            </w:r>
          </w:p>
        </w:tc>
      </w:tr>
      <w:tr>
        <w:tc>
          <w:tcPr/>
          <w:p>
            <w:pPr>
              <w:pStyle w:val="Compact"/>
            </w:pPr>
            <w:r>
              <w:rPr>
                <w:b/>
                <w:bCs/>
              </w:rPr>
              <w:t xml:space="preserve">UNIX Epoch</w:t>
            </w:r>
          </w:p>
        </w:tc>
        <w:tc>
          <w:tcPr/>
          <w:p>
            <w:pPr>
              <w:pStyle w:val="Compact"/>
            </w:pPr>
            <w:r>
              <w:t xml:space="preserve">Unix, TimeUnix, UnixMicro, UnixMilli</w:t>
            </w:r>
          </w:p>
        </w:tc>
      </w:tr>
      <w:tr>
        <w:tc>
          <w:tcPr/>
          <w:p>
            <w:pPr>
              <w:pStyle w:val="Compact"/>
            </w:pPr>
            <w:r>
              <w:rPr>
                <w:b/>
                <w:bCs/>
              </w:rPr>
              <w:t xml:space="preserve">Utility</w:t>
            </w:r>
          </w:p>
        </w:tc>
        <w:tc>
          <w:tcPr/>
          <w:p>
            <w:pPr>
              <w:pStyle w:val="Compact"/>
            </w:pPr>
            <w:r>
              <w:t xml:space="preserve">Now, UTCNow, In, UTC, Local, IsUTC, IsLocal, IsZero</w:t>
            </w:r>
          </w:p>
        </w:tc>
      </w:tr>
    </w:tbl>
    <w:bookmarkEnd w:id="2045"/>
    <w:bookmarkStart w:id="2046" w:name="properties-8"/>
    <w:p>
      <w:pPr>
        <w:pStyle w:val="Heading3"/>
      </w:pPr>
      <w:r>
        <w:t xml:space="preserve">Properties</w:t>
      </w:r>
    </w:p>
    <w:p>
      <w:pPr>
        <w:pStyle w:val="FirstParagraph"/>
      </w:pPr>
      <w:r>
        <w:t xml:space="preserve">G3DATE does not expose public properties.</w:t>
      </w:r>
    </w:p>
    <w:bookmarkEnd w:id="2046"/>
    <w:bookmarkEnd w:id="2047"/>
    <w:bookmarkStart w:id="2048" w:name="example-10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converted</w:t>
      </w:r>
      <w:r>
        <w:rPr>
          <w:rStyle w:val="OtherTok"/>
        </w:rPr>
        <w:t xml:space="preserve">,</w:t>
      </w:r>
      <w:r>
        <w:rPr>
          <w:rStyle w:val="NormalTok"/>
        </w:rPr>
        <w:t xml:space="preserve"> dur</w:t>
      </w:r>
      <w:r>
        <w:br/>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br/>
      </w:r>
      <w:r>
        <w:rPr>
          <w:rStyle w:val="CommentTok"/>
        </w:rPr>
        <w:t xml:space="preserve">' Get current time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time: "</w:t>
      </w:r>
      <w:r>
        <w:rPr>
          <w:rStyle w:val="NormalTok"/>
        </w:rPr>
        <w:t xml:space="preserve"> </w:t>
      </w:r>
      <w:r>
        <w:rPr>
          <w:rStyle w:val="KeywordTok"/>
        </w:rPr>
        <w:t xml:space="preserve">&amp;</w:t>
      </w:r>
      <w:r>
        <w:rPr>
          <w:rStyle w:val="NormalTok"/>
        </w:rPr>
        <w:t xml:space="preserve"> </w:t>
      </w:r>
      <w:r>
        <w:rPr>
          <w:rStyle w:val="FunctionTok"/>
        </w:rPr>
        <w:t xml:space="preserve">now</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CommentTok"/>
        </w:rPr>
        <w:t xml:space="preserve">' Convert UTC to a specific time zone</w:t>
      </w:r>
      <w:r>
        <w:br/>
      </w:r>
      <w:r>
        <w:rPr>
          <w:rStyle w:val="NormalTok"/>
        </w:rPr>
        <w:t xml:space="preserve">converted = dt.ConvertUTCtoZone</w:t>
      </w:r>
      <w:r>
        <w:rPr>
          <w:rStyle w:val="OtherTok"/>
        </w:rPr>
        <w:t xml:space="preserve">(</w:t>
      </w:r>
      <w:r>
        <w:rPr>
          <w:rStyle w:val="FunctionTok"/>
        </w:rPr>
        <w:t xml:space="preserve">now</w:t>
      </w:r>
      <w:r>
        <w:rPr>
          <w:rStyle w:val="OtherTok"/>
        </w:rPr>
        <w:t xml:space="preserve">,</w:t>
      </w:r>
      <w:r>
        <w:rPr>
          <w:rStyle w:val="NormalTok"/>
        </w:rPr>
        <w:t xml:space="preserve"> </w:t>
      </w:r>
      <w:r>
        <w:rPr>
          <w:rStyle w:val="StringTok"/>
        </w:rPr>
        <w:t xml:space="preserve">"America/New_York"</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"New York time: "</w:t>
      </w:r>
      <w:r>
        <w:rPr>
          <w:rStyle w:val="NormalTok"/>
        </w:rPr>
        <w:t xml:space="preserve"> </w:t>
      </w:r>
      <w:r>
        <w:rPr>
          <w:rStyle w:val="KeywordTok"/>
        </w:rPr>
        <w:t xml:space="preserve">&amp;</w:t>
      </w:r>
      <w:r>
        <w:rPr>
          <w:rStyle w:val="NormalTok"/>
        </w:rPr>
        <w:t xml:space="preserve"> converted </w:t>
      </w:r>
      <w:r>
        <w:rPr>
          <w:rStyle w:val="KeywordTok"/>
        </w:rPr>
        <w:t xml:space="preserve">&amp;</w:t>
      </w:r>
      <w:r>
        <w:rPr>
          <w:rStyle w:val="NormalTok"/>
        </w:rPr>
        <w:t xml:space="preserve"> </w:t>
      </w:r>
      <w:r>
        <w:rPr>
          <w:rStyle w:val="StringTok"/>
        </w:rPr>
        <w:t xml:space="preserve">"&lt;br&gt;"</w:t>
      </w:r>
      <w:r>
        <w:br/>
      </w:r>
      <w:r>
        <w:br/>
      </w:r>
      <w:r>
        <w:rPr>
          <w:rStyle w:val="CommentTok"/>
        </w:rPr>
        <w:t xml:space="preserve">' Format as ISO 8601</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"ISO 8601: "</w:t>
      </w:r>
      <w:r>
        <w:rPr>
          <w:rStyle w:val="NormalTok"/>
        </w:rPr>
        <w:t xml:space="preserve"> </w:t>
      </w:r>
      <w:r>
        <w:rPr>
          <w:rStyle w:val="KeywordTok"/>
        </w:rPr>
        <w:t xml:space="preserve">&amp;</w:t>
      </w:r>
      <w:r>
        <w:rPr>
          <w:rStyle w:val="NormalTok"/>
        </w:rPr>
        <w:t xml:space="preserve"> dt.ISOFormat</w:t>
      </w:r>
      <w:r>
        <w:rPr>
          <w:rStyle w:val="OtherTok"/>
        </w:rPr>
        <w:t xml:space="preserve">(</w:t>
      </w:r>
      <w:r>
        <w:rPr>
          <w:rStyle w:val="FunctionTok"/>
        </w:rPr>
        <w:t xml:space="preserve">now</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CommentTok"/>
        </w:rPr>
        <w:t xml:space="preserve">' Parse a date string</w:t>
      </w:r>
      <w:r>
        <w:br/>
      </w:r>
      <w:r>
        <w:rPr>
          <w:rStyle w:val="KeywordTok"/>
        </w:rPr>
        <w:t xml:space="preserve">Dim</w:t>
      </w:r>
      <w:r>
        <w:rPr>
          <w:rStyle w:val="NormalTok"/>
        </w:rPr>
        <w:t xml:space="preserve"> parsed</w:t>
      </w:r>
      <w:r>
        <w:br/>
      </w:r>
      <w:r>
        <w:rPr>
          <w:rStyle w:val="NormalTok"/>
        </w:rPr>
        <w:t xml:space="preserve">parsed = dt.Parse</w:t>
      </w:r>
      <w:r>
        <w:rPr>
          <w:rStyle w:val="OtherTok"/>
        </w:rPr>
        <w:t xml:space="preserve">(</w:t>
      </w:r>
      <w:r>
        <w:rPr>
          <w:rStyle w:val="StringTok"/>
        </w:rPr>
        <w:t xml:space="preserve">"2006-01-02"</w:t>
      </w:r>
      <w:r>
        <w:rPr>
          <w:rStyle w:val="OtherTok"/>
        </w:rPr>
        <w:t xml:space="preserve">,</w:t>
      </w:r>
      <w:r>
        <w:rPr>
          <w:rStyle w:val="NormalTok"/>
        </w:rPr>
        <w:t xml:space="preserve"> </w:t>
      </w:r>
      <w:r>
        <w:rPr>
          <w:rStyle w:val="StringTok"/>
        </w:rPr>
        <w:t xml:space="preserve">"2026-12-25"</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"Parsed date: "</w:t>
      </w:r>
      <w:r>
        <w:rPr>
          <w:rStyle w:val="NormalTok"/>
        </w:rPr>
        <w:t xml:space="preserve"> </w:t>
      </w:r>
      <w:r>
        <w:rPr>
          <w:rStyle w:val="KeywordTok"/>
        </w:rPr>
        <w:t xml:space="preserve">&amp;</w:t>
      </w:r>
      <w:r>
        <w:rPr>
          <w:rStyle w:val="NormalTok"/>
        </w:rPr>
        <w:t xml:space="preserve"> parsed </w:t>
      </w:r>
      <w:r>
        <w:rPr>
          <w:rStyle w:val="KeywordTok"/>
        </w:rPr>
        <w:t xml:space="preserve">&amp;</w:t>
      </w:r>
      <w:r>
        <w:rPr>
          <w:rStyle w:val="NormalTok"/>
        </w:rPr>
        <w:t xml:space="preserve"> </w:t>
      </w:r>
      <w:r>
        <w:rPr>
          <w:rStyle w:val="StringTok"/>
        </w:rPr>
        <w:t xml:space="preserve">"&lt;br&gt;"</w:t>
      </w:r>
      <w:r>
        <w:br/>
      </w:r>
      <w:r>
        <w:br/>
      </w:r>
      <w:r>
        <w:rPr>
          <w:rStyle w:val="CommentTok"/>
        </w:rPr>
        <w:t xml:space="preserve">' Add 7 days</w:t>
      </w:r>
      <w:r>
        <w:br/>
      </w:r>
      <w:r>
        <w:rPr>
          <w:rStyle w:val="KeywordTok"/>
        </w:rPr>
        <w:t xml:space="preserve">Dim</w:t>
      </w:r>
      <w:r>
        <w:rPr>
          <w:rStyle w:val="NormalTok"/>
        </w:rPr>
        <w:t xml:space="preserve"> future</w:t>
      </w:r>
      <w:r>
        <w:br/>
      </w:r>
      <w:r>
        <w:rPr>
          <w:rStyle w:val="NormalTok"/>
        </w:rPr>
        <w:t xml:space="preserve">future = dt.AddDate</w:t>
      </w:r>
      <w:r>
        <w:rPr>
          <w:rStyle w:val="OtherTok"/>
        </w:rPr>
        <w:t xml:space="preserve">(</w:t>
      </w:r>
      <w:r>
        <w:rPr>
          <w:rStyle w:val="FunctionTok"/>
        </w:rPr>
        <w:t xml:space="preserve">now</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7</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"7 days from now: "</w:t>
      </w:r>
      <w:r>
        <w:rPr>
          <w:rStyle w:val="NormalTok"/>
        </w:rPr>
        <w:t xml:space="preserve"> </w:t>
      </w:r>
      <w:r>
        <w:rPr>
          <w:rStyle w:val="KeywordTok"/>
        </w:rPr>
        <w:t xml:space="preserve">&amp;</w:t>
      </w:r>
      <w:r>
        <w:rPr>
          <w:rStyle w:val="NormalTok"/>
        </w:rPr>
        <w:t xml:space="preserve"> future </w:t>
      </w:r>
      <w:r>
        <w:rPr>
          <w:rStyle w:val="KeywordTok"/>
        </w:rPr>
        <w:t xml:space="preserve">&amp;</w:t>
      </w:r>
      <w:r>
        <w:rPr>
          <w:rStyle w:val="NormalTok"/>
        </w:rPr>
        <w:t xml:space="preserve"> </w:t>
      </w:r>
      <w:r>
        <w:rPr>
          <w:rStyle w:val="StringTok"/>
        </w:rPr>
        <w:t xml:space="preserve">"&lt;br&gt;"</w:t>
      </w:r>
      <w:r>
        <w:br/>
      </w:r>
      <w:r>
        <w:br/>
      </w:r>
      <w:r>
        <w:rPr>
          <w:rStyle w:val="CommentTok"/>
        </w:rPr>
        <w:t xml:space="preserve">' Duration between two dates</w:t>
      </w:r>
      <w:r>
        <w:br/>
      </w:r>
      <w:r>
        <w:rPr>
          <w:rStyle w:val="KeywordTok"/>
        </w:rPr>
        <w:t xml:space="preserve">Dim</w:t>
      </w:r>
      <w:r>
        <w:rPr>
          <w:rStyle w:val="NormalTok"/>
        </w:rPr>
        <w:t xml:space="preserve"> durVal</w:t>
      </w:r>
      <w:r>
        <w:br/>
      </w:r>
      <w:r>
        <w:rPr>
          <w:rStyle w:val="NormalTok"/>
        </w:rPr>
        <w:t xml:space="preserve">durVal = dt.</w:t>
      </w:r>
      <w:r>
        <w:rPr>
          <w:rStyle w:val="FunctionTok"/>
        </w:rPr>
        <w:t xml:space="preserve">DateDiff</w:t>
      </w:r>
      <w:r>
        <w:rPr>
          <w:rStyle w:val="OtherTok"/>
        </w:rPr>
        <w:t xml:space="preserve">(</w:t>
      </w:r>
      <w:r>
        <w:rPr>
          <w:rStyle w:val="NormalTok"/>
        </w:rPr>
        <w:t xml:space="preserve">future</w:t>
      </w:r>
      <w:r>
        <w:rPr>
          <w:rStyle w:val="OtherTok"/>
        </w:rPr>
        <w:t xml:space="preserve">,</w:t>
      </w:r>
      <w:r>
        <w:rPr>
          <w:rStyle w:val="NormalTok"/>
        </w:rPr>
        <w:t xml:space="preserve"> </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"Duration in nanoseconds: "</w:t>
      </w:r>
      <w:r>
        <w:rPr>
          <w:rStyle w:val="NormalTok"/>
        </w:rPr>
        <w:t xml:space="preserve"> </w:t>
      </w:r>
      <w:r>
        <w:rPr>
          <w:rStyle w:val="KeywordTok"/>
        </w:rPr>
        <w:t xml:space="preserve">&amp;</w:t>
      </w:r>
      <w:r>
        <w:rPr>
          <w:rStyle w:val="NormalTok"/>
        </w:rPr>
        <w:t xml:space="preserve"> durVal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"Duration in hours: "</w:t>
      </w:r>
      <w:r>
        <w:rPr>
          <w:rStyle w:val="NormalTok"/>
        </w:rPr>
        <w:t xml:space="preserve"> </w:t>
      </w:r>
      <w:r>
        <w:rPr>
          <w:rStyle w:val="KeywordTok"/>
        </w:rPr>
        <w:t xml:space="preserve">&amp;</w:t>
      </w:r>
      <w:r>
        <w:rPr>
          <w:rStyle w:val="NormalTok"/>
        </w:rPr>
        <w:t xml:space="preserve"> dt.DurationHours</w:t>
      </w:r>
      <w:r>
        <w:rPr>
          <w:rStyle w:val="OtherTok"/>
        </w:rPr>
        <w:t xml:space="preserve">(</w:t>
      </w:r>
      <w:r>
        <w:rPr>
          <w:rStyle w:val="NormalTok"/>
        </w:rPr>
        <w:t xml:space="preserve">durVal</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CommentTok"/>
        </w:rPr>
        <w:t xml:space="preserve">' UNIX timestamp</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"UNIX timestamp: "</w:t>
      </w:r>
      <w:r>
        <w:rPr>
          <w:rStyle w:val="NormalTok"/>
        </w:rPr>
        <w:t xml:space="preserve"> </w:t>
      </w:r>
      <w:r>
        <w:rPr>
          <w:rStyle w:val="KeywordTok"/>
        </w:rPr>
        <w:t xml:space="preserve">&amp;</w:t>
      </w:r>
      <w:r>
        <w:rPr>
          <w:rStyle w:val="NormalTok"/>
        </w:rPr>
        <w:t xml:space="preserve"> dt.TimeUnix</w:t>
      </w:r>
      <w:r>
        <w:rPr>
          <w:rStyle w:val="OtherTok"/>
        </w:rPr>
        <w:t xml:space="preserve">(</w:t>
      </w:r>
      <w:r>
        <w:rPr>
          <w:rStyle w:val="FunctionTok"/>
        </w:rPr>
        <w:t xml:space="preserve">now</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048"/>
    <w:bookmarkEnd w:id="2049"/>
    <w:bookmarkStart w:id="2053" w:name="g3date-methods"/>
    <w:p>
      <w:pPr>
        <w:pStyle w:val="Heading1"/>
      </w:pPr>
      <w:r>
        <w:t xml:space="preserve">G3DATE Methods</w:t>
      </w:r>
    </w:p>
    <w:bookmarkStart w:id="2050" w:name="overview-158"/>
    <w:p>
      <w:pPr>
        <w:pStyle w:val="Heading2"/>
      </w:pPr>
      <w:r>
        <w:t xml:space="preserve">Overview</w:t>
      </w:r>
    </w:p>
    <w:p>
      <w:pPr>
        <w:pStyle w:val="FirstParagraph"/>
      </w:pPr>
      <w:r>
        <w:t xml:space="preserve">This page summarizes every method exposed by</w:t>
      </w:r>
      <w:r>
        <w:t xml:space="preserve"> </w:t>
      </w:r>
      <w:r>
        <w:rPr>
          <w:rStyle w:val="VerbatimChar"/>
        </w:rPr>
        <w:t xml:space="preserve">G3DATE</w:t>
      </w:r>
      <w:r>
        <w:t xml:space="preserve"> </w:t>
      </w:r>
      <w:r>
        <w:t xml:space="preserve">in G3Pix AxonASP.</w:t>
      </w:r>
    </w:p>
    <w:bookmarkEnd w:id="2050"/>
    <w:bookmarkStart w:id="2051" w:name="methods-7"/>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Parse(layout, value [, timezone])</w:t>
            </w:r>
          </w:p>
        </w:tc>
        <w:tc>
          <w:tcPr/>
          <w:p>
            <w:pPr>
              <w:pStyle w:val="Compact"/>
            </w:pPr>
            <w:r>
              <w:t xml:space="preserve">Date</w:t>
            </w:r>
          </w:p>
        </w:tc>
        <w:tc>
          <w:tcPr/>
          <w:p>
            <w:pPr>
              <w:pStyle w:val="Compact"/>
            </w:pPr>
            <w:r>
              <w:t xml:space="preserve">Parses a date string using the Go layout format.</w:t>
            </w:r>
          </w:p>
        </w:tc>
      </w:tr>
      <w:tr>
        <w:tc>
          <w:tcPr/>
          <w:p>
            <w:pPr>
              <w:pStyle w:val="Compact"/>
            </w:pPr>
            <w:r>
              <w:rPr>
                <w:rStyle w:val="VerbatimChar"/>
              </w:rPr>
              <w:t xml:space="preserve">ParseInLocation(layout, value [, timezone])</w:t>
            </w:r>
          </w:p>
        </w:tc>
        <w:tc>
          <w:tcPr/>
          <w:p>
            <w:pPr>
              <w:pStyle w:val="Compact"/>
            </w:pPr>
            <w:r>
              <w:t xml:space="preserve">Date</w:t>
            </w:r>
          </w:p>
        </w:tc>
        <w:tc>
          <w:tcPr/>
          <w:p>
            <w:pPr>
              <w:pStyle w:val="Compact"/>
            </w:pPr>
            <w:r>
              <w:t xml:space="preserve">Parses a date string in the specified timezone.</w:t>
            </w:r>
          </w:p>
        </w:tc>
      </w:tr>
      <w:tr>
        <w:tc>
          <w:tcPr/>
          <w:p>
            <w:pPr>
              <w:pStyle w:val="Compact"/>
            </w:pPr>
            <w:r>
              <w:rPr>
                <w:rStyle w:val="VerbatimChar"/>
              </w:rPr>
              <w:t xml:space="preserve">ParseDuration(duration)</w:t>
            </w:r>
          </w:p>
        </w:tc>
        <w:tc>
          <w:tcPr/>
          <w:p>
            <w:pPr>
              <w:pStyle w:val="Compact"/>
            </w:pPr>
            <w:r>
              <w:t xml:space="preserve">Integer</w:t>
            </w:r>
          </w:p>
        </w:tc>
        <w:tc>
          <w:tcPr/>
          <w:p>
            <w:pPr>
              <w:pStyle w:val="Compact"/>
            </w:pPr>
            <w:r>
              <w:t xml:space="preserve">Parses a duration string (e.g.,</w:t>
            </w:r>
            <w:r>
              <w:t xml:space="preserve"> </w:t>
            </w:r>
            <w:r>
              <w:t xml:space="preserve">“2h45m”</w:t>
            </w:r>
            <w:r>
              <w:t xml:space="preserve">) to nanoseconds.</w:t>
            </w:r>
          </w:p>
        </w:tc>
      </w:tr>
      <w:tr>
        <w:tc>
          <w:tcPr/>
          <w:p>
            <w:pPr>
              <w:pStyle w:val="Compact"/>
            </w:pPr>
            <w:r>
              <w:rPr>
                <w:rStyle w:val="VerbatimChar"/>
              </w:rPr>
              <w:t xml:space="preserve">LoadLocation(timezone)</w:t>
            </w:r>
          </w:p>
        </w:tc>
        <w:tc>
          <w:tcPr/>
          <w:p>
            <w:pPr>
              <w:pStyle w:val="Compact"/>
            </w:pPr>
            <w:r>
              <w:t xml:space="preserve">String</w:t>
            </w:r>
          </w:p>
        </w:tc>
        <w:tc>
          <w:tcPr/>
          <w:p>
            <w:pPr>
              <w:pStyle w:val="Compact"/>
            </w:pPr>
            <w:r>
              <w:t xml:space="preserve">Validates and returns a timezone name, or Empty on failure.</w:t>
            </w:r>
          </w:p>
        </w:tc>
      </w:tr>
      <w:tr>
        <w:tc>
          <w:tcPr/>
          <w:p>
            <w:pPr>
              <w:pStyle w:val="Compact"/>
            </w:pPr>
            <w:r>
              <w:rPr>
                <w:rStyle w:val="VerbatimChar"/>
              </w:rPr>
              <w:t xml:space="preserve">FixedZone(offset [, name])</w:t>
            </w:r>
          </w:p>
        </w:tc>
        <w:tc>
          <w:tcPr/>
          <w:p>
            <w:pPr>
              <w:pStyle w:val="Compact"/>
            </w:pPr>
            <w:r>
              <w:t xml:space="preserve">String</w:t>
            </w:r>
          </w:p>
        </w:tc>
        <w:tc>
          <w:tcPr/>
          <w:p>
            <w:pPr>
              <w:pStyle w:val="Compact"/>
            </w:pPr>
            <w:r>
              <w:t xml:space="preserve">Creates a fixed offset timezone and returns its name.</w:t>
            </w:r>
          </w:p>
        </w:tc>
      </w:tr>
      <w:tr>
        <w:tc>
          <w:tcPr/>
          <w:p>
            <w:pPr>
              <w:pStyle w:val="Compact"/>
            </w:pPr>
            <w:r>
              <w:rPr>
                <w:rStyle w:val="VerbatimChar"/>
              </w:rPr>
              <w:t xml:space="preserve">Location()</w:t>
            </w:r>
          </w:p>
        </w:tc>
        <w:tc>
          <w:tcPr/>
          <w:p>
            <w:pPr>
              <w:pStyle w:val="Compact"/>
            </w:pPr>
            <w:r>
              <w:t xml:space="preserve">String</w:t>
            </w:r>
          </w:p>
        </w:tc>
        <w:tc>
          <w:tcPr/>
          <w:p>
            <w:pPr>
              <w:pStyle w:val="Compact"/>
            </w:pPr>
            <w:r>
              <w:t xml:space="preserve">Returns the IANA name of the system default timezone.</w:t>
            </w:r>
          </w:p>
        </w:tc>
      </w:tr>
      <w:tr>
        <w:tc>
          <w:tcPr/>
          <w:p>
            <w:pPr>
              <w:pStyle w:val="Compact"/>
            </w:pPr>
            <w:r>
              <w:rPr>
                <w:rStyle w:val="VerbatimChar"/>
              </w:rPr>
              <w:t xml:space="preserve">ConvertUTCtoZone(date, targetZone)</w:t>
            </w:r>
          </w:p>
        </w:tc>
        <w:tc>
          <w:tcPr/>
          <w:p>
            <w:pPr>
              <w:pStyle w:val="Compact"/>
            </w:pPr>
            <w:r>
              <w:t xml:space="preserve">Date</w:t>
            </w:r>
          </w:p>
        </w:tc>
        <w:tc>
          <w:tcPr/>
          <w:p>
            <w:pPr>
              <w:pStyle w:val="Compact"/>
            </w:pPr>
            <w:r>
              <w:t xml:space="preserve">Converts a UTC date to the target timezone.</w:t>
            </w:r>
          </w:p>
        </w:tc>
      </w:tr>
      <w:tr>
        <w:tc>
          <w:tcPr/>
          <w:p>
            <w:pPr>
              <w:pStyle w:val="Compact"/>
            </w:pPr>
            <w:r>
              <w:rPr>
                <w:rStyle w:val="VerbatimChar"/>
              </w:rPr>
              <w:t xml:space="preserve">ConvertZoneToUTC(date, sourceZone)</w:t>
            </w:r>
          </w:p>
        </w:tc>
        <w:tc>
          <w:tcPr/>
          <w:p>
            <w:pPr>
              <w:pStyle w:val="Compact"/>
            </w:pPr>
            <w:r>
              <w:t xml:space="preserve">Date</w:t>
            </w:r>
          </w:p>
        </w:tc>
        <w:tc>
          <w:tcPr/>
          <w:p>
            <w:pPr>
              <w:pStyle w:val="Compact"/>
            </w:pPr>
            <w:r>
              <w:t xml:space="preserve">Converts a date from source timezone to UTC.</w:t>
            </w:r>
          </w:p>
        </w:tc>
      </w:tr>
      <w:tr>
        <w:tc>
          <w:tcPr/>
          <w:p>
            <w:pPr>
              <w:pStyle w:val="Compact"/>
            </w:pPr>
            <w:r>
              <w:rPr>
                <w:rStyle w:val="VerbatimChar"/>
              </w:rPr>
              <w:t xml:space="preserve">ConvertSystemToZone(date, targetZone)</w:t>
            </w:r>
          </w:p>
        </w:tc>
        <w:tc>
          <w:tcPr/>
          <w:p>
            <w:pPr>
              <w:pStyle w:val="Compact"/>
            </w:pPr>
            <w:r>
              <w:t xml:space="preserve">Date</w:t>
            </w:r>
          </w:p>
        </w:tc>
        <w:tc>
          <w:tcPr/>
          <w:p>
            <w:pPr>
              <w:pStyle w:val="Compact"/>
            </w:pPr>
            <w:r>
              <w:t xml:space="preserve">Converts a date from system timezone to target.</w:t>
            </w:r>
          </w:p>
        </w:tc>
      </w:tr>
      <w:tr>
        <w:tc>
          <w:tcPr/>
          <w:p>
            <w:pPr>
              <w:pStyle w:val="Compact"/>
            </w:pPr>
            <w:r>
              <w:rPr>
                <w:rStyle w:val="VerbatimChar"/>
              </w:rPr>
              <w:t xml:space="preserve">ConvertZoneToZone(date, sourceZone, targetZone)</w:t>
            </w:r>
          </w:p>
        </w:tc>
        <w:tc>
          <w:tcPr/>
          <w:p>
            <w:pPr>
              <w:pStyle w:val="Compact"/>
            </w:pPr>
            <w:r>
              <w:t xml:space="preserve">Date</w:t>
            </w:r>
          </w:p>
        </w:tc>
        <w:tc>
          <w:tcPr/>
          <w:p>
            <w:pPr>
              <w:pStyle w:val="Compact"/>
            </w:pPr>
            <w:r>
              <w:t xml:space="preserve">Converts a date from one timezone to another.</w:t>
            </w:r>
          </w:p>
        </w:tc>
      </w:tr>
      <w:tr>
        <w:tc>
          <w:tcPr/>
          <w:p>
            <w:pPr>
              <w:pStyle w:val="Compact"/>
            </w:pPr>
            <w:r>
              <w:rPr>
                <w:rStyle w:val="VerbatimChar"/>
              </w:rPr>
              <w:t xml:space="preserve">OffsetZoneToUTC(targetZone)</w:t>
            </w:r>
          </w:p>
        </w:tc>
        <w:tc>
          <w:tcPr/>
          <w:p>
            <w:pPr>
              <w:pStyle w:val="Compact"/>
            </w:pPr>
            <w:r>
              <w:t xml:space="preserve">Integer</w:t>
            </w:r>
          </w:p>
        </w:tc>
        <w:tc>
          <w:tcPr/>
          <w:p>
            <w:pPr>
              <w:pStyle w:val="Compact"/>
            </w:pPr>
            <w:r>
              <w:t xml:space="preserve">Gets the offset in seconds from the timezone to UTC.</w:t>
            </w:r>
          </w:p>
        </w:tc>
      </w:tr>
      <w:tr>
        <w:tc>
          <w:tcPr/>
          <w:p>
            <w:pPr>
              <w:pStyle w:val="Compact"/>
            </w:pPr>
            <w:r>
              <w:rPr>
                <w:rStyle w:val="VerbatimChar"/>
              </w:rPr>
              <w:t xml:space="preserve">OffsetZoneToSystem(targetZone)</w:t>
            </w:r>
          </w:p>
        </w:tc>
        <w:tc>
          <w:tcPr/>
          <w:p>
            <w:pPr>
              <w:pStyle w:val="Compact"/>
            </w:pPr>
            <w:r>
              <w:t xml:space="preserve">Integer</w:t>
            </w:r>
          </w:p>
        </w:tc>
        <w:tc>
          <w:tcPr/>
          <w:p>
            <w:pPr>
              <w:pStyle w:val="Compact"/>
            </w:pPr>
            <w:r>
              <w:t xml:space="preserve">Gets the offset in seconds from timezone to system.</w:t>
            </w:r>
          </w:p>
        </w:tc>
      </w:tr>
      <w:tr>
        <w:tc>
          <w:tcPr/>
          <w:p>
            <w:pPr>
              <w:pStyle w:val="Compact"/>
            </w:pPr>
            <w:r>
              <w:rPr>
                <w:rStyle w:val="VerbatimChar"/>
              </w:rPr>
              <w:t xml:space="preserve">OffsetZoneToZone(sourceZone, targetZone)</w:t>
            </w:r>
          </w:p>
        </w:tc>
        <w:tc>
          <w:tcPr/>
          <w:p>
            <w:pPr>
              <w:pStyle w:val="Compact"/>
            </w:pPr>
            <w:r>
              <w:t xml:space="preserve">Integer</w:t>
            </w:r>
          </w:p>
        </w:tc>
        <w:tc>
          <w:tcPr/>
          <w:p>
            <w:pPr>
              <w:pStyle w:val="Compact"/>
            </w:pPr>
            <w:r>
              <w:t xml:space="preserve">Gets the offset in seconds between two timezones.</w:t>
            </w:r>
          </w:p>
        </w:tc>
      </w:tr>
      <w:tr>
        <w:tc>
          <w:tcPr/>
          <w:p>
            <w:pPr>
              <w:pStyle w:val="Compact"/>
            </w:pPr>
            <w:r>
              <w:rPr>
                <w:rStyle w:val="VerbatimChar"/>
              </w:rPr>
              <w:t xml:space="preserve">IsDST(date)</w:t>
            </w:r>
          </w:p>
        </w:tc>
        <w:tc>
          <w:tcPr/>
          <w:p>
            <w:pPr>
              <w:pStyle w:val="Compact"/>
            </w:pPr>
            <w:r>
              <w:t xml:space="preserve">Boolean</w:t>
            </w:r>
          </w:p>
        </w:tc>
        <w:tc>
          <w:tcPr/>
          <w:p>
            <w:pPr>
              <w:pStyle w:val="Compact"/>
            </w:pPr>
            <w:r>
              <w:t xml:space="preserve">Checks if DST is active for the given date.</w:t>
            </w:r>
          </w:p>
        </w:tc>
      </w:tr>
      <w:tr>
        <w:tc>
          <w:tcPr/>
          <w:p>
            <w:pPr>
              <w:pStyle w:val="Compact"/>
            </w:pPr>
            <w:r>
              <w:rPr>
                <w:rStyle w:val="VerbatimChar"/>
              </w:rPr>
              <w:t xml:space="preserve">Zone(date)</w:t>
            </w:r>
          </w:p>
        </w:tc>
        <w:tc>
          <w:tcPr/>
          <w:p>
            <w:pPr>
              <w:pStyle w:val="Compact"/>
            </w:pPr>
            <w:r>
              <w:t xml:space="preserve">Array</w:t>
            </w:r>
          </w:p>
        </w:tc>
        <w:tc>
          <w:tcPr/>
          <w:p>
            <w:pPr>
              <w:pStyle w:val="Compact"/>
            </w:pPr>
            <w:r>
              <w:t xml:space="preserve">Returns [timezoneName, offsetSeconds].</w:t>
            </w:r>
          </w:p>
        </w:tc>
      </w:tr>
      <w:tr>
        <w:tc>
          <w:tcPr/>
          <w:p>
            <w:pPr>
              <w:pStyle w:val="Compact"/>
            </w:pPr>
            <w:r>
              <w:rPr>
                <w:rStyle w:val="VerbatimChar"/>
              </w:rPr>
              <w:t xml:space="preserve">ZoneBounds(date)</w:t>
            </w:r>
          </w:p>
        </w:tc>
        <w:tc>
          <w:tcPr/>
          <w:p>
            <w:pPr>
              <w:pStyle w:val="Compact"/>
            </w:pPr>
            <w:r>
              <w:t xml:space="preserve">Array</w:t>
            </w:r>
          </w:p>
        </w:tc>
        <w:tc>
          <w:tcPr/>
          <w:p>
            <w:pPr>
              <w:pStyle w:val="Compact"/>
            </w:pPr>
            <w:r>
              <w:t xml:space="preserve">Returns [start, end] of the current zone bounds.</w:t>
            </w:r>
          </w:p>
        </w:tc>
      </w:tr>
      <w:tr>
        <w:tc>
          <w:tcPr/>
          <w:p>
            <w:pPr>
              <w:pStyle w:val="Compact"/>
            </w:pPr>
            <w:r>
              <w:rPr>
                <w:rStyle w:val="VerbatimChar"/>
              </w:rPr>
              <w:t xml:space="preserve">TimezoneAbbreviation(date)</w:t>
            </w:r>
          </w:p>
        </w:tc>
        <w:tc>
          <w:tcPr/>
          <w:p>
            <w:pPr>
              <w:pStyle w:val="Compact"/>
            </w:pPr>
            <w:r>
              <w:t xml:space="preserve">String</w:t>
            </w:r>
          </w:p>
        </w:tc>
        <w:tc>
          <w:tcPr/>
          <w:p>
            <w:pPr>
              <w:pStyle w:val="Compact"/>
            </w:pPr>
            <w:r>
              <w:t xml:space="preserve">Returns the timezone abbreviation (e.g.,</w:t>
            </w:r>
            <w:r>
              <w:t xml:space="preserve"> </w:t>
            </w:r>
            <w:r>
              <w:t xml:space="preserve">“EST”</w:t>
            </w:r>
            <w:r>
              <w:t xml:space="preserve">).</w:t>
            </w:r>
          </w:p>
        </w:tc>
      </w:tr>
      <w:tr>
        <w:tc>
          <w:tcPr/>
          <w:p>
            <w:pPr>
              <w:pStyle w:val="Compact"/>
            </w:pPr>
            <w:r>
              <w:rPr>
                <w:rStyle w:val="VerbatimChar"/>
              </w:rPr>
              <w:t xml:space="preserve">Date(year, month, day [, hour, min, sec, nsec, tz])</w:t>
            </w:r>
          </w:p>
        </w:tc>
        <w:tc>
          <w:tcPr/>
          <w:p>
            <w:pPr>
              <w:pStyle w:val="Compact"/>
            </w:pPr>
            <w:r>
              <w:t xml:space="preserve">Date</w:t>
            </w:r>
          </w:p>
        </w:tc>
        <w:tc>
          <w:tcPr/>
          <w:p>
            <w:pPr>
              <w:pStyle w:val="Compact"/>
            </w:pPr>
            <w:r>
              <w:t xml:space="preserve">Constructs a date from components.</w:t>
            </w:r>
          </w:p>
        </w:tc>
      </w:tr>
      <w:tr>
        <w:tc>
          <w:tcPr/>
          <w:p>
            <w:pPr>
              <w:pStyle w:val="Compact"/>
            </w:pPr>
            <w:r>
              <w:rPr>
                <w:rStyle w:val="VerbatimChar"/>
              </w:rPr>
              <w:t xml:space="preserve">Year(date)</w:t>
            </w:r>
          </w:p>
        </w:tc>
        <w:tc>
          <w:tcPr/>
          <w:p>
            <w:pPr>
              <w:pStyle w:val="Compact"/>
            </w:pPr>
            <w:r>
              <w:t xml:space="preserve">Integer</w:t>
            </w:r>
          </w:p>
        </w:tc>
        <w:tc>
          <w:tcPr/>
          <w:p>
            <w:pPr>
              <w:pStyle w:val="Compact"/>
            </w:pPr>
            <w:r>
              <w:t xml:space="preserve">Returns the year component.</w:t>
            </w:r>
          </w:p>
        </w:tc>
      </w:tr>
      <w:tr>
        <w:tc>
          <w:tcPr/>
          <w:p>
            <w:pPr>
              <w:pStyle w:val="Compact"/>
            </w:pPr>
            <w:r>
              <w:rPr>
                <w:rStyle w:val="VerbatimChar"/>
              </w:rPr>
              <w:t xml:space="preserve">Month(date)</w:t>
            </w:r>
          </w:p>
        </w:tc>
        <w:tc>
          <w:tcPr/>
          <w:p>
            <w:pPr>
              <w:pStyle w:val="Compact"/>
            </w:pPr>
            <w:r>
              <w:t xml:space="preserve">Integer</w:t>
            </w:r>
          </w:p>
        </w:tc>
        <w:tc>
          <w:tcPr/>
          <w:p>
            <w:pPr>
              <w:pStyle w:val="Compact"/>
            </w:pPr>
            <w:r>
              <w:t xml:space="preserve">Returns the month component (1-12).</w:t>
            </w:r>
          </w:p>
        </w:tc>
      </w:tr>
      <w:tr>
        <w:tc>
          <w:tcPr/>
          <w:p>
            <w:pPr>
              <w:pStyle w:val="Compact"/>
            </w:pPr>
            <w:r>
              <w:rPr>
                <w:rStyle w:val="VerbatimChar"/>
              </w:rPr>
              <w:t xml:space="preserve">Day(date)</w:t>
            </w:r>
          </w:p>
        </w:tc>
        <w:tc>
          <w:tcPr/>
          <w:p>
            <w:pPr>
              <w:pStyle w:val="Compact"/>
            </w:pPr>
            <w:r>
              <w:t xml:space="preserve">Integer</w:t>
            </w:r>
          </w:p>
        </w:tc>
        <w:tc>
          <w:tcPr/>
          <w:p>
            <w:pPr>
              <w:pStyle w:val="Compact"/>
            </w:pPr>
            <w:r>
              <w:t xml:space="preserve">Returns the day component (1-31).</w:t>
            </w:r>
          </w:p>
        </w:tc>
      </w:tr>
      <w:tr>
        <w:tc>
          <w:tcPr/>
          <w:p>
            <w:pPr>
              <w:pStyle w:val="Compact"/>
            </w:pPr>
            <w:r>
              <w:rPr>
                <w:rStyle w:val="VerbatimChar"/>
              </w:rPr>
              <w:t xml:space="preserve">Hour(date)</w:t>
            </w:r>
          </w:p>
        </w:tc>
        <w:tc>
          <w:tcPr/>
          <w:p>
            <w:pPr>
              <w:pStyle w:val="Compact"/>
            </w:pPr>
            <w:r>
              <w:t xml:space="preserve">Integer</w:t>
            </w:r>
          </w:p>
        </w:tc>
        <w:tc>
          <w:tcPr/>
          <w:p>
            <w:pPr>
              <w:pStyle w:val="Compact"/>
            </w:pPr>
            <w:r>
              <w:t xml:space="preserve">Returns the hour component (0-23).</w:t>
            </w:r>
          </w:p>
        </w:tc>
      </w:tr>
      <w:tr>
        <w:tc>
          <w:tcPr/>
          <w:p>
            <w:pPr>
              <w:pStyle w:val="Compact"/>
            </w:pPr>
            <w:r>
              <w:rPr>
                <w:rStyle w:val="VerbatimChar"/>
              </w:rPr>
              <w:t xml:space="preserve">Minute(date)</w:t>
            </w:r>
          </w:p>
        </w:tc>
        <w:tc>
          <w:tcPr/>
          <w:p>
            <w:pPr>
              <w:pStyle w:val="Compact"/>
            </w:pPr>
            <w:r>
              <w:t xml:space="preserve">Integer</w:t>
            </w:r>
          </w:p>
        </w:tc>
        <w:tc>
          <w:tcPr/>
          <w:p>
            <w:pPr>
              <w:pStyle w:val="Compact"/>
            </w:pPr>
            <w:r>
              <w:t xml:space="preserve">Returns the minute component (0-59).</w:t>
            </w:r>
          </w:p>
        </w:tc>
      </w:tr>
      <w:tr>
        <w:tc>
          <w:tcPr/>
          <w:p>
            <w:pPr>
              <w:pStyle w:val="Compact"/>
            </w:pPr>
            <w:r>
              <w:rPr>
                <w:rStyle w:val="VerbatimChar"/>
              </w:rPr>
              <w:t xml:space="preserve">Second(date)</w:t>
            </w:r>
          </w:p>
        </w:tc>
        <w:tc>
          <w:tcPr/>
          <w:p>
            <w:pPr>
              <w:pStyle w:val="Compact"/>
            </w:pPr>
            <w:r>
              <w:t xml:space="preserve">Integer</w:t>
            </w:r>
          </w:p>
        </w:tc>
        <w:tc>
          <w:tcPr/>
          <w:p>
            <w:pPr>
              <w:pStyle w:val="Compact"/>
            </w:pPr>
            <w:r>
              <w:t xml:space="preserve">Returns the second component (0-59).</w:t>
            </w:r>
          </w:p>
        </w:tc>
      </w:tr>
      <w:tr>
        <w:tc>
          <w:tcPr/>
          <w:p>
            <w:pPr>
              <w:pStyle w:val="Compact"/>
            </w:pPr>
            <w:r>
              <w:rPr>
                <w:rStyle w:val="VerbatimChar"/>
              </w:rPr>
              <w:t xml:space="preserve">Weekday(date)</w:t>
            </w:r>
          </w:p>
        </w:tc>
        <w:tc>
          <w:tcPr/>
          <w:p>
            <w:pPr>
              <w:pStyle w:val="Compact"/>
            </w:pPr>
            <w:r>
              <w:t xml:space="preserve">Integer</w:t>
            </w:r>
          </w:p>
        </w:tc>
        <w:tc>
          <w:tcPr/>
          <w:p>
            <w:pPr>
              <w:pStyle w:val="Compact"/>
            </w:pPr>
            <w:r>
              <w:t xml:space="preserve">Returns the weekday (0=Sunday, 6=Saturday).</w:t>
            </w:r>
          </w:p>
        </w:tc>
      </w:tr>
      <w:tr>
        <w:tc>
          <w:tcPr/>
          <w:p>
            <w:pPr>
              <w:pStyle w:val="Compact"/>
            </w:pPr>
            <w:r>
              <w:rPr>
                <w:rStyle w:val="VerbatimChar"/>
              </w:rPr>
              <w:t xml:space="preserve">YearDay(date)</w:t>
            </w:r>
          </w:p>
        </w:tc>
        <w:tc>
          <w:tcPr/>
          <w:p>
            <w:pPr>
              <w:pStyle w:val="Compact"/>
            </w:pPr>
            <w:r>
              <w:t xml:space="preserve">Integer</w:t>
            </w:r>
          </w:p>
        </w:tc>
        <w:tc>
          <w:tcPr/>
          <w:p>
            <w:pPr>
              <w:pStyle w:val="Compact"/>
            </w:pPr>
            <w:r>
              <w:t xml:space="preserve">Returns the day of the year (1-366).</w:t>
            </w:r>
          </w:p>
        </w:tc>
      </w:tr>
      <w:tr>
        <w:tc>
          <w:tcPr/>
          <w:p>
            <w:pPr>
              <w:pStyle w:val="Compact"/>
            </w:pPr>
            <w:r>
              <w:rPr>
                <w:rStyle w:val="VerbatimChar"/>
              </w:rPr>
              <w:t xml:space="preserve">ISOWeek(date)</w:t>
            </w:r>
          </w:p>
        </w:tc>
        <w:tc>
          <w:tcPr/>
          <w:p>
            <w:pPr>
              <w:pStyle w:val="Compact"/>
            </w:pPr>
            <w:r>
              <w:t xml:space="preserve">Integer</w:t>
            </w:r>
          </w:p>
        </w:tc>
        <w:tc>
          <w:tcPr/>
          <w:p>
            <w:pPr>
              <w:pStyle w:val="Compact"/>
            </w:pPr>
            <w:r>
              <w:t xml:space="preserve">Returns year*1000 + ISO week number.</w:t>
            </w:r>
          </w:p>
        </w:tc>
      </w:tr>
      <w:tr>
        <w:tc>
          <w:tcPr/>
          <w:p>
            <w:pPr>
              <w:pStyle w:val="Compact"/>
            </w:pPr>
            <w:r>
              <w:rPr>
                <w:rStyle w:val="VerbatimChar"/>
              </w:rPr>
              <w:t xml:space="preserve">Clock(date)</w:t>
            </w:r>
          </w:p>
        </w:tc>
        <w:tc>
          <w:tcPr/>
          <w:p>
            <w:pPr>
              <w:pStyle w:val="Compact"/>
            </w:pPr>
            <w:r>
              <w:t xml:space="preserve">Array</w:t>
            </w:r>
          </w:p>
        </w:tc>
        <w:tc>
          <w:tcPr/>
          <w:p>
            <w:pPr>
              <w:pStyle w:val="Compact"/>
            </w:pPr>
            <w:r>
              <w:t xml:space="preserve">Returns [hour, minute, second].</w:t>
            </w:r>
          </w:p>
        </w:tc>
      </w:tr>
      <w:tr>
        <w:tc>
          <w:tcPr/>
          <w:p>
            <w:pPr>
              <w:pStyle w:val="Compact"/>
            </w:pPr>
            <w:r>
              <w:rPr>
                <w:rStyle w:val="VerbatimChar"/>
              </w:rPr>
              <w:t xml:space="preserve">DateAndClock(date)</w:t>
            </w:r>
          </w:p>
        </w:tc>
        <w:tc>
          <w:tcPr/>
          <w:p>
            <w:pPr>
              <w:pStyle w:val="Compact"/>
            </w:pPr>
            <w:r>
              <w:t xml:space="preserve">Array</w:t>
            </w:r>
          </w:p>
        </w:tc>
        <w:tc>
          <w:tcPr/>
          <w:p>
            <w:pPr>
              <w:pStyle w:val="Compact"/>
            </w:pPr>
            <w:r>
              <w:t xml:space="preserve">Returns [year, month, day, hour, minute, second].</w:t>
            </w:r>
          </w:p>
        </w:tc>
      </w:tr>
      <w:tr>
        <w:tc>
          <w:tcPr/>
          <w:p>
            <w:pPr>
              <w:pStyle w:val="Compact"/>
            </w:pPr>
            <w:r>
              <w:rPr>
                <w:rStyle w:val="VerbatimChar"/>
              </w:rPr>
              <w:t xml:space="preserve">Nanosecond(date)</w:t>
            </w:r>
          </w:p>
        </w:tc>
        <w:tc>
          <w:tcPr/>
          <w:p>
            <w:pPr>
              <w:pStyle w:val="Compact"/>
            </w:pPr>
            <w:r>
              <w:t xml:space="preserve">Integer</w:t>
            </w:r>
          </w:p>
        </w:tc>
        <w:tc>
          <w:tcPr/>
          <w:p>
            <w:pPr>
              <w:pStyle w:val="Compact"/>
            </w:pPr>
            <w:r>
              <w:t xml:space="preserve">Returns the nanosecond component.</w:t>
            </w:r>
          </w:p>
        </w:tc>
      </w:tr>
      <w:tr>
        <w:tc>
          <w:tcPr/>
          <w:p>
            <w:pPr>
              <w:pStyle w:val="Compact"/>
            </w:pPr>
            <w:r>
              <w:rPr>
                <w:rStyle w:val="VerbatimChar"/>
              </w:rPr>
              <w:t xml:space="preserve">Add(date, nanoseconds)</w:t>
            </w:r>
          </w:p>
        </w:tc>
        <w:tc>
          <w:tcPr/>
          <w:p>
            <w:pPr>
              <w:pStyle w:val="Compact"/>
            </w:pPr>
            <w:r>
              <w:t xml:space="preserve">Date</w:t>
            </w:r>
          </w:p>
        </w:tc>
        <w:tc>
          <w:tcPr/>
          <w:p>
            <w:pPr>
              <w:pStyle w:val="Compact"/>
            </w:pPr>
            <w:r>
              <w:t xml:space="preserve">Adds a duration to a date.</w:t>
            </w:r>
          </w:p>
        </w:tc>
      </w:tr>
      <w:tr>
        <w:tc>
          <w:tcPr/>
          <w:p>
            <w:pPr>
              <w:pStyle w:val="Compact"/>
            </w:pPr>
            <w:r>
              <w:rPr>
                <w:rStyle w:val="VerbatimChar"/>
              </w:rPr>
              <w:t xml:space="preserve">AddDate(date, years, months, days)</w:t>
            </w:r>
          </w:p>
        </w:tc>
        <w:tc>
          <w:tcPr/>
          <w:p>
            <w:pPr>
              <w:pStyle w:val="Compact"/>
            </w:pPr>
            <w:r>
              <w:t xml:space="preserve">Date</w:t>
            </w:r>
          </w:p>
        </w:tc>
        <w:tc>
          <w:tcPr/>
          <w:p>
            <w:pPr>
              <w:pStyle w:val="Compact"/>
            </w:pPr>
            <w:r>
              <w:t xml:space="preserve">Adds years, months, days to a date.</w:t>
            </w:r>
          </w:p>
        </w:tc>
      </w:tr>
      <w:tr>
        <w:tc>
          <w:tcPr/>
          <w:p>
            <w:pPr>
              <w:pStyle w:val="Compact"/>
            </w:pPr>
            <w:r>
              <w:rPr>
                <w:rStyle w:val="VerbatimChar"/>
              </w:rPr>
              <w:t xml:space="preserve">DateDiff(date1, date2)</w:t>
            </w:r>
          </w:p>
        </w:tc>
        <w:tc>
          <w:tcPr/>
          <w:p>
            <w:pPr>
              <w:pStyle w:val="Compact"/>
            </w:pPr>
            <w:r>
              <w:t xml:space="preserve">Integer</w:t>
            </w:r>
          </w:p>
        </w:tc>
        <w:tc>
          <w:tcPr/>
          <w:p>
            <w:pPr>
              <w:pStyle w:val="Compact"/>
            </w:pPr>
            <w:r>
              <w:t xml:space="preserve">Returns the difference in nanoseconds (date1 - date2).</w:t>
            </w:r>
          </w:p>
        </w:tc>
      </w:tr>
      <w:tr>
        <w:tc>
          <w:tcPr/>
          <w:p>
            <w:pPr>
              <w:pStyle w:val="Compact"/>
            </w:pPr>
            <w:r>
              <w:rPr>
                <w:rStyle w:val="VerbatimChar"/>
              </w:rPr>
              <w:t xml:space="preserve">Since(date)</w:t>
            </w:r>
          </w:p>
        </w:tc>
        <w:tc>
          <w:tcPr/>
          <w:p>
            <w:pPr>
              <w:pStyle w:val="Compact"/>
            </w:pPr>
            <w:r>
              <w:t xml:space="preserve">Integer</w:t>
            </w:r>
          </w:p>
        </w:tc>
        <w:tc>
          <w:tcPr/>
          <w:p>
            <w:pPr>
              <w:pStyle w:val="Compact"/>
            </w:pPr>
            <w:r>
              <w:t xml:space="preserve">Returns nanoseconds since the given date.</w:t>
            </w:r>
          </w:p>
        </w:tc>
      </w:tr>
      <w:tr>
        <w:tc>
          <w:tcPr/>
          <w:p>
            <w:pPr>
              <w:pStyle w:val="Compact"/>
            </w:pPr>
            <w:r>
              <w:rPr>
                <w:rStyle w:val="VerbatimChar"/>
              </w:rPr>
              <w:t xml:space="preserve">Until(date)</w:t>
            </w:r>
          </w:p>
        </w:tc>
        <w:tc>
          <w:tcPr/>
          <w:p>
            <w:pPr>
              <w:pStyle w:val="Compact"/>
            </w:pPr>
            <w:r>
              <w:t xml:space="preserve">Integer</w:t>
            </w:r>
          </w:p>
        </w:tc>
        <w:tc>
          <w:tcPr/>
          <w:p>
            <w:pPr>
              <w:pStyle w:val="Compact"/>
            </w:pPr>
            <w:r>
              <w:t xml:space="preserve">Returns nanoseconds until the given date.</w:t>
            </w:r>
          </w:p>
        </w:tc>
      </w:tr>
      <w:tr>
        <w:tc>
          <w:tcPr/>
          <w:p>
            <w:pPr>
              <w:pStyle w:val="Compact"/>
            </w:pPr>
            <w:r>
              <w:rPr>
                <w:rStyle w:val="VerbatimChar"/>
              </w:rPr>
              <w:t xml:space="preserve">After(date1, date2)</w:t>
            </w:r>
          </w:p>
        </w:tc>
        <w:tc>
          <w:tcPr/>
          <w:p>
            <w:pPr>
              <w:pStyle w:val="Compact"/>
            </w:pPr>
            <w:r>
              <w:t xml:space="preserve">Boolean</w:t>
            </w:r>
          </w:p>
        </w:tc>
        <w:tc>
          <w:tcPr/>
          <w:p>
            <w:pPr>
              <w:pStyle w:val="Compact"/>
            </w:pPr>
            <w:r>
              <w:t xml:space="preserve">True if date1 is after date2.</w:t>
            </w:r>
          </w:p>
        </w:tc>
      </w:tr>
      <w:tr>
        <w:tc>
          <w:tcPr/>
          <w:p>
            <w:pPr>
              <w:pStyle w:val="Compact"/>
            </w:pPr>
            <w:r>
              <w:rPr>
                <w:rStyle w:val="VerbatimChar"/>
              </w:rPr>
              <w:t xml:space="preserve">Before(date1, date2)</w:t>
            </w:r>
          </w:p>
        </w:tc>
        <w:tc>
          <w:tcPr/>
          <w:p>
            <w:pPr>
              <w:pStyle w:val="Compact"/>
            </w:pPr>
            <w:r>
              <w:t xml:space="preserve">Boolean</w:t>
            </w:r>
          </w:p>
        </w:tc>
        <w:tc>
          <w:tcPr/>
          <w:p>
            <w:pPr>
              <w:pStyle w:val="Compact"/>
            </w:pPr>
            <w:r>
              <w:t xml:space="preserve">True if date1 is before date2.</w:t>
            </w:r>
          </w:p>
        </w:tc>
      </w:tr>
      <w:tr>
        <w:tc>
          <w:tcPr/>
          <w:p>
            <w:pPr>
              <w:pStyle w:val="Compact"/>
            </w:pPr>
            <w:r>
              <w:rPr>
                <w:rStyle w:val="VerbatimChar"/>
              </w:rPr>
              <w:t xml:space="preserve">Equal(date1, date2)</w:t>
            </w:r>
          </w:p>
        </w:tc>
        <w:tc>
          <w:tcPr/>
          <w:p>
            <w:pPr>
              <w:pStyle w:val="Compact"/>
            </w:pPr>
            <w:r>
              <w:t xml:space="preserve">Boolean</w:t>
            </w:r>
          </w:p>
        </w:tc>
        <w:tc>
          <w:tcPr/>
          <w:p>
            <w:pPr>
              <w:pStyle w:val="Compact"/>
            </w:pPr>
            <w:r>
              <w:t xml:space="preserve">True if dates represent the same instant.</w:t>
            </w:r>
          </w:p>
        </w:tc>
      </w:tr>
      <w:tr>
        <w:tc>
          <w:tcPr/>
          <w:p>
            <w:pPr>
              <w:pStyle w:val="Compact"/>
            </w:pPr>
            <w:r>
              <w:rPr>
                <w:rStyle w:val="VerbatimChar"/>
              </w:rPr>
              <w:t xml:space="preserve">Truncate(date, nanoseconds)</w:t>
            </w:r>
          </w:p>
        </w:tc>
        <w:tc>
          <w:tcPr/>
          <w:p>
            <w:pPr>
              <w:pStyle w:val="Compact"/>
            </w:pPr>
            <w:r>
              <w:t xml:space="preserve">Date</w:t>
            </w:r>
          </w:p>
        </w:tc>
        <w:tc>
          <w:tcPr/>
          <w:p>
            <w:pPr>
              <w:pStyle w:val="Compact"/>
            </w:pPr>
            <w:r>
              <w:t xml:space="preserve">Truncates time to the given duration.</w:t>
            </w:r>
          </w:p>
        </w:tc>
      </w:tr>
      <w:tr>
        <w:tc>
          <w:tcPr/>
          <w:p>
            <w:pPr>
              <w:pStyle w:val="Compact"/>
            </w:pPr>
            <w:r>
              <w:rPr>
                <w:rStyle w:val="VerbatimChar"/>
              </w:rPr>
              <w:t xml:space="preserve">Round(date, nanoseconds)</w:t>
            </w:r>
          </w:p>
        </w:tc>
        <w:tc>
          <w:tcPr/>
          <w:p>
            <w:pPr>
              <w:pStyle w:val="Compact"/>
            </w:pPr>
            <w:r>
              <w:t xml:space="preserve">Date</w:t>
            </w:r>
          </w:p>
        </w:tc>
        <w:tc>
          <w:tcPr/>
          <w:p>
            <w:pPr>
              <w:pStyle w:val="Compact"/>
            </w:pPr>
            <w:r>
              <w:t xml:space="preserve">Rounds time to the given duration.</w:t>
            </w:r>
          </w:p>
        </w:tc>
      </w:tr>
      <w:tr>
        <w:tc>
          <w:tcPr/>
          <w:p>
            <w:pPr>
              <w:pStyle w:val="Compact"/>
            </w:pPr>
            <w:r>
              <w:rPr>
                <w:rStyle w:val="VerbatimChar"/>
              </w:rPr>
              <w:t xml:space="preserve">Duration(nanoseconds)</w:t>
            </w:r>
          </w:p>
        </w:tc>
        <w:tc>
          <w:tcPr/>
          <w:p>
            <w:pPr>
              <w:pStyle w:val="Compact"/>
            </w:pPr>
            <w:r>
              <w:t xml:space="preserve">Integer</w:t>
            </w:r>
          </w:p>
        </w:tc>
        <w:tc>
          <w:tcPr/>
          <w:p>
            <w:pPr>
              <w:pStyle w:val="Compact"/>
            </w:pPr>
            <w:r>
              <w:t xml:space="preserve">Creates a duration value from nanoseconds.</w:t>
            </w:r>
          </w:p>
        </w:tc>
      </w:tr>
      <w:tr>
        <w:tc>
          <w:tcPr/>
          <w:p>
            <w:pPr>
              <w:pStyle w:val="Compact"/>
            </w:pPr>
            <w:r>
              <w:rPr>
                <w:rStyle w:val="VerbatimChar"/>
              </w:rPr>
              <w:t xml:space="preserve">DurationHours(duration)</w:t>
            </w:r>
          </w:p>
        </w:tc>
        <w:tc>
          <w:tcPr/>
          <w:p>
            <w:pPr>
              <w:pStyle w:val="Compact"/>
            </w:pPr>
            <w:r>
              <w:t xml:space="preserve">Double</w:t>
            </w:r>
          </w:p>
        </w:tc>
        <w:tc>
          <w:tcPr/>
          <w:p>
            <w:pPr>
              <w:pStyle w:val="Compact"/>
            </w:pPr>
            <w:r>
              <w:t xml:space="preserve">Returns duration as hours.</w:t>
            </w:r>
          </w:p>
        </w:tc>
      </w:tr>
      <w:tr>
        <w:tc>
          <w:tcPr/>
          <w:p>
            <w:pPr>
              <w:pStyle w:val="Compact"/>
            </w:pPr>
            <w:r>
              <w:rPr>
                <w:rStyle w:val="VerbatimChar"/>
              </w:rPr>
              <w:t xml:space="preserve">DurationMinutes(duration)</w:t>
            </w:r>
          </w:p>
        </w:tc>
        <w:tc>
          <w:tcPr/>
          <w:p>
            <w:pPr>
              <w:pStyle w:val="Compact"/>
            </w:pPr>
            <w:r>
              <w:t xml:space="preserve">Double</w:t>
            </w:r>
          </w:p>
        </w:tc>
        <w:tc>
          <w:tcPr/>
          <w:p>
            <w:pPr>
              <w:pStyle w:val="Compact"/>
            </w:pPr>
            <w:r>
              <w:t xml:space="preserve">Returns duration as minutes.</w:t>
            </w:r>
          </w:p>
        </w:tc>
      </w:tr>
      <w:tr>
        <w:tc>
          <w:tcPr/>
          <w:p>
            <w:pPr>
              <w:pStyle w:val="Compact"/>
            </w:pPr>
            <w:r>
              <w:rPr>
                <w:rStyle w:val="VerbatimChar"/>
              </w:rPr>
              <w:t xml:space="preserve">DurationSeconds(duration)</w:t>
            </w:r>
          </w:p>
        </w:tc>
        <w:tc>
          <w:tcPr/>
          <w:p>
            <w:pPr>
              <w:pStyle w:val="Compact"/>
            </w:pPr>
            <w:r>
              <w:t xml:space="preserve">Double</w:t>
            </w:r>
          </w:p>
        </w:tc>
        <w:tc>
          <w:tcPr/>
          <w:p>
            <w:pPr>
              <w:pStyle w:val="Compact"/>
            </w:pPr>
            <w:r>
              <w:t xml:space="preserve">Returns duration as seconds.</w:t>
            </w:r>
          </w:p>
        </w:tc>
      </w:tr>
      <w:tr>
        <w:tc>
          <w:tcPr/>
          <w:p>
            <w:pPr>
              <w:pStyle w:val="Compact"/>
            </w:pPr>
            <w:r>
              <w:rPr>
                <w:rStyle w:val="VerbatimChar"/>
              </w:rPr>
              <w:t xml:space="preserve">DurationMilliseconds(duration)</w:t>
            </w:r>
          </w:p>
        </w:tc>
        <w:tc>
          <w:tcPr/>
          <w:p>
            <w:pPr>
              <w:pStyle w:val="Compact"/>
            </w:pPr>
            <w:r>
              <w:t xml:space="preserve">Integer</w:t>
            </w:r>
          </w:p>
        </w:tc>
        <w:tc>
          <w:tcPr/>
          <w:p>
            <w:pPr>
              <w:pStyle w:val="Compact"/>
            </w:pPr>
            <w:r>
              <w:t xml:space="preserve">Returns duration as milliseconds.</w:t>
            </w:r>
          </w:p>
        </w:tc>
      </w:tr>
      <w:tr>
        <w:tc>
          <w:tcPr/>
          <w:p>
            <w:pPr>
              <w:pStyle w:val="Compact"/>
            </w:pPr>
            <w:r>
              <w:rPr>
                <w:rStyle w:val="VerbatimChar"/>
              </w:rPr>
              <w:t xml:space="preserve">DurationMicroseconds(duration)</w:t>
            </w:r>
          </w:p>
        </w:tc>
        <w:tc>
          <w:tcPr/>
          <w:p>
            <w:pPr>
              <w:pStyle w:val="Compact"/>
            </w:pPr>
            <w:r>
              <w:t xml:space="preserve">Integer</w:t>
            </w:r>
          </w:p>
        </w:tc>
        <w:tc>
          <w:tcPr/>
          <w:p>
            <w:pPr>
              <w:pStyle w:val="Compact"/>
            </w:pPr>
            <w:r>
              <w:t xml:space="preserve">Returns duration as microseconds.</w:t>
            </w:r>
          </w:p>
        </w:tc>
      </w:tr>
      <w:tr>
        <w:tc>
          <w:tcPr/>
          <w:p>
            <w:pPr>
              <w:pStyle w:val="Compact"/>
            </w:pPr>
            <w:r>
              <w:rPr>
                <w:rStyle w:val="VerbatimChar"/>
              </w:rPr>
              <w:t xml:space="preserve">DurationNanoseconds(duration)</w:t>
            </w:r>
          </w:p>
        </w:tc>
        <w:tc>
          <w:tcPr/>
          <w:p>
            <w:pPr>
              <w:pStyle w:val="Compact"/>
            </w:pPr>
            <w:r>
              <w:t xml:space="preserve">Integer</w:t>
            </w:r>
          </w:p>
        </w:tc>
        <w:tc>
          <w:tcPr/>
          <w:p>
            <w:pPr>
              <w:pStyle w:val="Compact"/>
            </w:pPr>
            <w:r>
              <w:t xml:space="preserve">Returns duration as nanoseconds.</w:t>
            </w:r>
          </w:p>
        </w:tc>
      </w:tr>
      <w:tr>
        <w:tc>
          <w:tcPr/>
          <w:p>
            <w:pPr>
              <w:pStyle w:val="Compact"/>
            </w:pPr>
            <w:r>
              <w:rPr>
                <w:rStyle w:val="VerbatimChar"/>
              </w:rPr>
              <w:t xml:space="preserve">DurationAbs(duration)</w:t>
            </w:r>
          </w:p>
        </w:tc>
        <w:tc>
          <w:tcPr/>
          <w:p>
            <w:pPr>
              <w:pStyle w:val="Compact"/>
            </w:pPr>
            <w:r>
              <w:t xml:space="preserve">Integer</w:t>
            </w:r>
          </w:p>
        </w:tc>
        <w:tc>
          <w:tcPr/>
          <w:p>
            <w:pPr>
              <w:pStyle w:val="Compact"/>
            </w:pPr>
            <w:r>
              <w:t xml:space="preserve">Returns the absolute value of a duration.</w:t>
            </w:r>
          </w:p>
        </w:tc>
      </w:tr>
      <w:tr>
        <w:tc>
          <w:tcPr/>
          <w:p>
            <w:pPr>
              <w:pStyle w:val="Compact"/>
            </w:pPr>
            <w:r>
              <w:rPr>
                <w:rStyle w:val="VerbatimChar"/>
              </w:rPr>
              <w:t xml:space="preserve">DurationString(duration)</w:t>
            </w:r>
          </w:p>
        </w:tc>
        <w:tc>
          <w:tcPr/>
          <w:p>
            <w:pPr>
              <w:pStyle w:val="Compact"/>
            </w:pPr>
            <w:r>
              <w:t xml:space="preserve">String</w:t>
            </w:r>
          </w:p>
        </w:tc>
        <w:tc>
          <w:tcPr/>
          <w:p>
            <w:pPr>
              <w:pStyle w:val="Compact"/>
            </w:pPr>
            <w:r>
              <w:t xml:space="preserve">Returns the string representation of a duration.</w:t>
            </w:r>
          </w:p>
        </w:tc>
      </w:tr>
      <w:tr>
        <w:tc>
          <w:tcPr/>
          <w:p>
            <w:pPr>
              <w:pStyle w:val="Compact"/>
            </w:pPr>
            <w:r>
              <w:rPr>
                <w:rStyle w:val="VerbatimChar"/>
              </w:rPr>
              <w:t xml:space="preserve">DurationRound(duration, roundDur)</w:t>
            </w:r>
          </w:p>
        </w:tc>
        <w:tc>
          <w:tcPr/>
          <w:p>
            <w:pPr>
              <w:pStyle w:val="Compact"/>
            </w:pPr>
            <w:r>
              <w:t xml:space="preserve">Integer</w:t>
            </w:r>
          </w:p>
        </w:tc>
        <w:tc>
          <w:tcPr/>
          <w:p>
            <w:pPr>
              <w:pStyle w:val="Compact"/>
            </w:pPr>
            <w:r>
              <w:t xml:space="preserve">Rounds a duration to the given multiple.</w:t>
            </w:r>
          </w:p>
        </w:tc>
      </w:tr>
      <w:tr>
        <w:tc>
          <w:tcPr/>
          <w:p>
            <w:pPr>
              <w:pStyle w:val="Compact"/>
            </w:pPr>
            <w:r>
              <w:rPr>
                <w:rStyle w:val="VerbatimChar"/>
              </w:rPr>
              <w:t xml:space="preserve">DurationTruncate(duration, truncDur)</w:t>
            </w:r>
          </w:p>
        </w:tc>
        <w:tc>
          <w:tcPr/>
          <w:p>
            <w:pPr>
              <w:pStyle w:val="Compact"/>
            </w:pPr>
            <w:r>
              <w:t xml:space="preserve">Integer</w:t>
            </w:r>
          </w:p>
        </w:tc>
        <w:tc>
          <w:tcPr/>
          <w:p>
            <w:pPr>
              <w:pStyle w:val="Compact"/>
            </w:pPr>
            <w:r>
              <w:t xml:space="preserve">Truncates a duration to the given multiple.</w:t>
            </w:r>
          </w:p>
        </w:tc>
      </w:tr>
      <w:tr>
        <w:tc>
          <w:tcPr/>
          <w:p>
            <w:pPr>
              <w:pStyle w:val="Compact"/>
            </w:pPr>
            <w:r>
              <w:rPr>
                <w:rStyle w:val="VerbatimChar"/>
              </w:rPr>
              <w:t xml:space="preserve">Format(date, layout)</w:t>
            </w:r>
          </w:p>
        </w:tc>
        <w:tc>
          <w:tcPr/>
          <w:p>
            <w:pPr>
              <w:pStyle w:val="Compact"/>
            </w:pPr>
            <w:r>
              <w:t xml:space="preserve">String</w:t>
            </w:r>
          </w:p>
        </w:tc>
        <w:tc>
          <w:tcPr/>
          <w:p>
            <w:pPr>
              <w:pStyle w:val="Compact"/>
            </w:pPr>
            <w:r>
              <w:t xml:space="preserve">Formats a date using the Go layout.</w:t>
            </w:r>
          </w:p>
        </w:tc>
      </w:tr>
      <w:tr>
        <w:tc>
          <w:tcPr/>
          <w:p>
            <w:pPr>
              <w:pStyle w:val="Compact"/>
            </w:pPr>
            <w:r>
              <w:rPr>
                <w:rStyle w:val="VerbatimChar"/>
              </w:rPr>
              <w:t xml:space="preserve">FormatPad(date, layout)</w:t>
            </w:r>
          </w:p>
        </w:tc>
        <w:tc>
          <w:tcPr/>
          <w:p>
            <w:pPr>
              <w:pStyle w:val="Compact"/>
            </w:pPr>
            <w:r>
              <w:t xml:space="preserve">String</w:t>
            </w:r>
          </w:p>
        </w:tc>
        <w:tc>
          <w:tcPr/>
          <w:p>
            <w:pPr>
              <w:pStyle w:val="Compact"/>
            </w:pPr>
            <w:r>
              <w:t xml:space="preserve">Formats a date with zero-padded fields.</w:t>
            </w:r>
          </w:p>
        </w:tc>
      </w:tr>
      <w:tr>
        <w:tc>
          <w:tcPr/>
          <w:p>
            <w:pPr>
              <w:pStyle w:val="Compact"/>
            </w:pPr>
            <w:r>
              <w:rPr>
                <w:rStyle w:val="VerbatimChar"/>
              </w:rPr>
              <w:t xml:space="preserve">ToString(date)</w:t>
            </w:r>
          </w:p>
        </w:tc>
        <w:tc>
          <w:tcPr/>
          <w:p>
            <w:pPr>
              <w:pStyle w:val="Compact"/>
            </w:pPr>
            <w:r>
              <w:t xml:space="preserve">String</w:t>
            </w:r>
          </w:p>
        </w:tc>
        <w:tc>
          <w:tcPr/>
          <w:p>
            <w:pPr>
              <w:pStyle w:val="Compact"/>
            </w:pPr>
            <w:r>
              <w:t xml:space="preserve">Returns the default string representation.</w:t>
            </w:r>
          </w:p>
        </w:tc>
      </w:tr>
      <w:tr>
        <w:tc>
          <w:tcPr/>
          <w:p>
            <w:pPr>
              <w:pStyle w:val="Compact"/>
            </w:pPr>
            <w:r>
              <w:rPr>
                <w:rStyle w:val="VerbatimChar"/>
              </w:rPr>
              <w:t xml:space="preserve">GoString(date)</w:t>
            </w:r>
          </w:p>
        </w:tc>
        <w:tc>
          <w:tcPr/>
          <w:p>
            <w:pPr>
              <w:pStyle w:val="Compact"/>
            </w:pPr>
            <w:r>
              <w:t xml:space="preserve">String</w:t>
            </w:r>
          </w:p>
        </w:tc>
        <w:tc>
          <w:tcPr/>
          <w:p>
            <w:pPr>
              <w:pStyle w:val="Compact"/>
            </w:pPr>
            <w:r>
              <w:t xml:space="preserve">Returns the Go-syntax representation.</w:t>
            </w:r>
          </w:p>
        </w:tc>
      </w:tr>
      <w:tr>
        <w:tc>
          <w:tcPr/>
          <w:p>
            <w:pPr>
              <w:pStyle w:val="Compact"/>
            </w:pPr>
            <w:r>
              <w:rPr>
                <w:rStyle w:val="VerbatimChar"/>
              </w:rPr>
              <w:t xml:space="preserve">AppendBinary(date)</w:t>
            </w:r>
          </w:p>
        </w:tc>
        <w:tc>
          <w:tcPr/>
          <w:p>
            <w:pPr>
              <w:pStyle w:val="Compact"/>
            </w:pPr>
            <w:r>
              <w:t xml:space="preserve">String</w:t>
            </w:r>
          </w:p>
        </w:tc>
        <w:tc>
          <w:tcPr/>
          <w:p>
            <w:pPr>
              <w:pStyle w:val="Compact"/>
            </w:pPr>
            <w:r>
              <w:t xml:space="preserve">Returns binary encoding of the date.</w:t>
            </w:r>
          </w:p>
        </w:tc>
      </w:tr>
      <w:tr>
        <w:tc>
          <w:tcPr/>
          <w:p>
            <w:pPr>
              <w:pStyle w:val="Compact"/>
            </w:pPr>
            <w:r>
              <w:rPr>
                <w:rStyle w:val="VerbatimChar"/>
              </w:rPr>
              <w:t xml:space="preserve">AppendFormat(date, layout)</w:t>
            </w:r>
          </w:p>
        </w:tc>
        <w:tc>
          <w:tcPr/>
          <w:p>
            <w:pPr>
              <w:pStyle w:val="Compact"/>
            </w:pPr>
            <w:r>
              <w:t xml:space="preserve">String</w:t>
            </w:r>
          </w:p>
        </w:tc>
        <w:tc>
          <w:tcPr/>
          <w:p>
            <w:pPr>
              <w:pStyle w:val="Compact"/>
            </w:pPr>
            <w:r>
              <w:t xml:space="preserve">Appends formatted text to a buffer.</w:t>
            </w:r>
          </w:p>
        </w:tc>
      </w:tr>
      <w:tr>
        <w:tc>
          <w:tcPr/>
          <w:p>
            <w:pPr>
              <w:pStyle w:val="Compact"/>
            </w:pPr>
            <w:r>
              <w:rPr>
                <w:rStyle w:val="VerbatimChar"/>
              </w:rPr>
              <w:t xml:space="preserve">AppendText(date, layout)</w:t>
            </w:r>
          </w:p>
        </w:tc>
        <w:tc>
          <w:tcPr/>
          <w:p>
            <w:pPr>
              <w:pStyle w:val="Compact"/>
            </w:pPr>
            <w:r>
              <w:t xml:space="preserve">String</w:t>
            </w:r>
          </w:p>
        </w:tc>
        <w:tc>
          <w:tcPr/>
          <w:p>
            <w:pPr>
              <w:pStyle w:val="Compact"/>
            </w:pPr>
            <w:r>
              <w:t xml:space="preserve">Returns text representation.</w:t>
            </w:r>
          </w:p>
        </w:tc>
      </w:tr>
      <w:tr>
        <w:tc>
          <w:tcPr/>
          <w:p>
            <w:pPr>
              <w:pStyle w:val="Compact"/>
            </w:pPr>
            <w:r>
              <w:rPr>
                <w:rStyle w:val="VerbatimChar"/>
              </w:rPr>
              <w:t xml:space="preserve">ISOFormat(date)</w:t>
            </w:r>
          </w:p>
        </w:tc>
        <w:tc>
          <w:tcPr/>
          <w:p>
            <w:pPr>
              <w:pStyle w:val="Compact"/>
            </w:pPr>
            <w:r>
              <w:t xml:space="preserve">String</w:t>
            </w:r>
          </w:p>
        </w:tc>
        <w:tc>
          <w:tcPr/>
          <w:p>
            <w:pPr>
              <w:pStyle w:val="Compact"/>
            </w:pPr>
            <w:r>
              <w:t xml:space="preserve">Returns RFC 3339 / ISO 8601 format.</w:t>
            </w:r>
          </w:p>
        </w:tc>
      </w:tr>
      <w:tr>
        <w:tc>
          <w:tcPr/>
          <w:p>
            <w:pPr>
              <w:pStyle w:val="Compact"/>
            </w:pPr>
            <w:r>
              <w:rPr>
                <w:rStyle w:val="VerbatimChar"/>
              </w:rPr>
              <w:t xml:space="preserve">RFC822Format(date)</w:t>
            </w:r>
          </w:p>
        </w:tc>
        <w:tc>
          <w:tcPr/>
          <w:p>
            <w:pPr>
              <w:pStyle w:val="Compact"/>
            </w:pPr>
            <w:r>
              <w:t xml:space="preserve">String</w:t>
            </w:r>
          </w:p>
        </w:tc>
        <w:tc>
          <w:tcPr/>
          <w:p>
            <w:pPr>
              <w:pStyle w:val="Compact"/>
            </w:pPr>
            <w:r>
              <w:t xml:space="preserve">Returns RFC 822 format.</w:t>
            </w:r>
          </w:p>
        </w:tc>
      </w:tr>
      <w:tr>
        <w:tc>
          <w:tcPr/>
          <w:p>
            <w:pPr>
              <w:pStyle w:val="Compact"/>
            </w:pPr>
            <w:r>
              <w:rPr>
                <w:rStyle w:val="VerbatimChar"/>
              </w:rPr>
              <w:t xml:space="preserve">RFC850Format(date)</w:t>
            </w:r>
          </w:p>
        </w:tc>
        <w:tc>
          <w:tcPr/>
          <w:p>
            <w:pPr>
              <w:pStyle w:val="Compact"/>
            </w:pPr>
            <w:r>
              <w:t xml:space="preserve">String</w:t>
            </w:r>
          </w:p>
        </w:tc>
        <w:tc>
          <w:tcPr/>
          <w:p>
            <w:pPr>
              <w:pStyle w:val="Compact"/>
            </w:pPr>
            <w:r>
              <w:t xml:space="preserve">Returns RFC 850 format.</w:t>
            </w:r>
          </w:p>
        </w:tc>
      </w:tr>
      <w:tr>
        <w:tc>
          <w:tcPr/>
          <w:p>
            <w:pPr>
              <w:pStyle w:val="Compact"/>
            </w:pPr>
            <w:r>
              <w:rPr>
                <w:rStyle w:val="VerbatimChar"/>
              </w:rPr>
              <w:t xml:space="preserve">RFC1123Format(date)</w:t>
            </w:r>
          </w:p>
        </w:tc>
        <w:tc>
          <w:tcPr/>
          <w:p>
            <w:pPr>
              <w:pStyle w:val="Compact"/>
            </w:pPr>
            <w:r>
              <w:t xml:space="preserve">String</w:t>
            </w:r>
          </w:p>
        </w:tc>
        <w:tc>
          <w:tcPr/>
          <w:p>
            <w:pPr>
              <w:pStyle w:val="Compact"/>
            </w:pPr>
            <w:r>
              <w:t xml:space="preserve">Returns RFC 1123 format.</w:t>
            </w:r>
          </w:p>
        </w:tc>
      </w:tr>
      <w:tr>
        <w:tc>
          <w:tcPr/>
          <w:p>
            <w:pPr>
              <w:pStyle w:val="Compact"/>
            </w:pPr>
            <w:r>
              <w:rPr>
                <w:rStyle w:val="VerbatimChar"/>
              </w:rPr>
              <w:t xml:space="preserve">RFC3339Format(date)</w:t>
            </w:r>
          </w:p>
        </w:tc>
        <w:tc>
          <w:tcPr/>
          <w:p>
            <w:pPr>
              <w:pStyle w:val="Compact"/>
            </w:pPr>
            <w:r>
              <w:t xml:space="preserve">String</w:t>
            </w:r>
          </w:p>
        </w:tc>
        <w:tc>
          <w:tcPr/>
          <w:p>
            <w:pPr>
              <w:pStyle w:val="Compact"/>
            </w:pPr>
            <w:r>
              <w:t xml:space="preserve">Returns RFC 3339 format.</w:t>
            </w:r>
          </w:p>
        </w:tc>
      </w:tr>
      <w:tr>
        <w:tc>
          <w:tcPr/>
          <w:p>
            <w:pPr>
              <w:pStyle w:val="Compact"/>
            </w:pPr>
            <w:r>
              <w:rPr>
                <w:rStyle w:val="VerbatimChar"/>
              </w:rPr>
              <w:t xml:space="preserve">RFC3339NanoFormat(date)</w:t>
            </w:r>
          </w:p>
        </w:tc>
        <w:tc>
          <w:tcPr/>
          <w:p>
            <w:pPr>
              <w:pStyle w:val="Compact"/>
            </w:pPr>
            <w:r>
              <w:t xml:space="preserve">String</w:t>
            </w:r>
          </w:p>
        </w:tc>
        <w:tc>
          <w:tcPr/>
          <w:p>
            <w:pPr>
              <w:pStyle w:val="Compact"/>
            </w:pPr>
            <w:r>
              <w:t xml:space="preserve">Returns RFC 3339 with nanoseconds.</w:t>
            </w:r>
          </w:p>
        </w:tc>
      </w:tr>
      <w:tr>
        <w:tc>
          <w:tcPr/>
          <w:p>
            <w:pPr>
              <w:pStyle w:val="Compact"/>
            </w:pPr>
            <w:r>
              <w:rPr>
                <w:rStyle w:val="VerbatimChar"/>
              </w:rPr>
              <w:t xml:space="preserve">KitchenFormat(date)</w:t>
            </w:r>
          </w:p>
        </w:tc>
        <w:tc>
          <w:tcPr/>
          <w:p>
            <w:pPr>
              <w:pStyle w:val="Compact"/>
            </w:pPr>
            <w:r>
              <w:t xml:space="preserve">String</w:t>
            </w:r>
          </w:p>
        </w:tc>
        <w:tc>
          <w:tcPr/>
          <w:p>
            <w:pPr>
              <w:pStyle w:val="Compact"/>
            </w:pPr>
            <w:r>
              <w:t xml:space="preserve">Returns kitchen time format.</w:t>
            </w:r>
          </w:p>
        </w:tc>
      </w:tr>
      <w:tr>
        <w:tc>
          <w:tcPr/>
          <w:p>
            <w:pPr>
              <w:pStyle w:val="Compact"/>
            </w:pPr>
            <w:r>
              <w:rPr>
                <w:rStyle w:val="VerbatimChar"/>
              </w:rPr>
              <w:t xml:space="preserve">DateTimeFormat(date)</w:t>
            </w:r>
          </w:p>
        </w:tc>
        <w:tc>
          <w:tcPr/>
          <w:p>
            <w:pPr>
              <w:pStyle w:val="Compact"/>
            </w:pPr>
            <w:r>
              <w:t xml:space="preserve">String</w:t>
            </w:r>
          </w:p>
        </w:tc>
        <w:tc>
          <w:tcPr/>
          <w:p>
            <w:pPr>
              <w:pStyle w:val="Compact"/>
            </w:pPr>
            <w:r>
              <w:t xml:space="preserve">Returns</w:t>
            </w:r>
            <w:r>
              <w:t xml:space="preserve"> </w:t>
            </w:r>
            <w:r>
              <w:t xml:space="preserve">“2006-01-02 15:04:05”</w:t>
            </w:r>
            <w:r>
              <w:t xml:space="preserve"> </w:t>
            </w:r>
            <w:r>
              <w:t xml:space="preserve">format.</w:t>
            </w:r>
          </w:p>
        </w:tc>
      </w:tr>
      <w:tr>
        <w:tc>
          <w:tcPr/>
          <w:p>
            <w:pPr>
              <w:pStyle w:val="Compact"/>
            </w:pPr>
            <w:r>
              <w:rPr>
                <w:rStyle w:val="VerbatimChar"/>
              </w:rPr>
              <w:t xml:space="preserve">Unix(sec, nsec)</w:t>
            </w:r>
          </w:p>
        </w:tc>
        <w:tc>
          <w:tcPr/>
          <w:p>
            <w:pPr>
              <w:pStyle w:val="Compact"/>
            </w:pPr>
            <w:r>
              <w:t xml:space="preserve">Date</w:t>
            </w:r>
          </w:p>
        </w:tc>
        <w:tc>
          <w:tcPr/>
          <w:p>
            <w:pPr>
              <w:pStyle w:val="Compact"/>
            </w:pPr>
            <w:r>
              <w:t xml:space="preserve">Creates a date from UNIX timestamp.</w:t>
            </w:r>
          </w:p>
        </w:tc>
      </w:tr>
      <w:tr>
        <w:tc>
          <w:tcPr/>
          <w:p>
            <w:pPr>
              <w:pStyle w:val="Compact"/>
            </w:pPr>
            <w:r>
              <w:rPr>
                <w:rStyle w:val="VerbatimChar"/>
              </w:rPr>
              <w:t xml:space="preserve">TimeUnix(date)</w:t>
            </w:r>
          </w:p>
        </w:tc>
        <w:tc>
          <w:tcPr/>
          <w:p>
            <w:pPr>
              <w:pStyle w:val="Compact"/>
            </w:pPr>
            <w:r>
              <w:t xml:space="preserve">Integer</w:t>
            </w:r>
          </w:p>
        </w:tc>
        <w:tc>
          <w:tcPr/>
          <w:p>
            <w:pPr>
              <w:pStyle w:val="Compact"/>
            </w:pPr>
            <w:r>
              <w:t xml:space="preserve">Returns UNIX timestamp in seconds.</w:t>
            </w:r>
          </w:p>
        </w:tc>
      </w:tr>
      <w:tr>
        <w:tc>
          <w:tcPr/>
          <w:p>
            <w:pPr>
              <w:pStyle w:val="Compact"/>
            </w:pPr>
            <w:r>
              <w:rPr>
                <w:rStyle w:val="VerbatimChar"/>
              </w:rPr>
              <w:t xml:space="preserve">UnixMicro(date)</w:t>
            </w:r>
          </w:p>
        </w:tc>
        <w:tc>
          <w:tcPr/>
          <w:p>
            <w:pPr>
              <w:pStyle w:val="Compact"/>
            </w:pPr>
            <w:r>
              <w:t xml:space="preserve">Integer or Date</w:t>
            </w:r>
          </w:p>
        </w:tc>
        <w:tc>
          <w:tcPr/>
          <w:p>
            <w:pPr>
              <w:pStyle w:val="Compact"/>
            </w:pPr>
            <w:r>
              <w:t xml:space="preserve">Returns UNIX microseconds or creates date from microseconds.</w:t>
            </w:r>
          </w:p>
        </w:tc>
      </w:tr>
      <w:tr>
        <w:tc>
          <w:tcPr/>
          <w:p>
            <w:pPr>
              <w:pStyle w:val="Compact"/>
            </w:pPr>
            <w:r>
              <w:rPr>
                <w:rStyle w:val="VerbatimChar"/>
              </w:rPr>
              <w:t xml:space="preserve">UnixMilli(date)</w:t>
            </w:r>
          </w:p>
        </w:tc>
        <w:tc>
          <w:tcPr/>
          <w:p>
            <w:pPr>
              <w:pStyle w:val="Compact"/>
            </w:pPr>
            <w:r>
              <w:t xml:space="preserve">Integer or Date</w:t>
            </w:r>
          </w:p>
        </w:tc>
        <w:tc>
          <w:tcPr/>
          <w:p>
            <w:pPr>
              <w:pStyle w:val="Compact"/>
            </w:pPr>
            <w:r>
              <w:t xml:space="preserve">Returns UNIX milliseconds or creates date from milliseconds.</w:t>
            </w:r>
          </w:p>
        </w:tc>
      </w:tr>
      <w:tr>
        <w:tc>
          <w:tcPr/>
          <w:p>
            <w:pPr>
              <w:pStyle w:val="Compact"/>
            </w:pPr>
            <w:r>
              <w:rPr>
                <w:rStyle w:val="VerbatimChar"/>
              </w:rPr>
              <w:t xml:space="preserve">Now()</w:t>
            </w:r>
          </w:p>
        </w:tc>
        <w:tc>
          <w:tcPr/>
          <w:p>
            <w:pPr>
              <w:pStyle w:val="Compact"/>
            </w:pPr>
            <w:r>
              <w:t xml:space="preserve">Date</w:t>
            </w:r>
          </w:p>
        </w:tc>
        <w:tc>
          <w:tcPr/>
          <w:p>
            <w:pPr>
              <w:pStyle w:val="Compact"/>
            </w:pPr>
            <w:r>
              <w:t xml:space="preserve">Returns the current system date and time.</w:t>
            </w:r>
          </w:p>
        </w:tc>
      </w:tr>
      <w:tr>
        <w:tc>
          <w:tcPr/>
          <w:p>
            <w:pPr>
              <w:pStyle w:val="Compact"/>
            </w:pPr>
            <w:r>
              <w:rPr>
                <w:rStyle w:val="VerbatimChar"/>
              </w:rPr>
              <w:t xml:space="preserve">UTCNow()</w:t>
            </w:r>
          </w:p>
        </w:tc>
        <w:tc>
          <w:tcPr/>
          <w:p>
            <w:pPr>
              <w:pStyle w:val="Compact"/>
            </w:pPr>
            <w:r>
              <w:t xml:space="preserve">Date</w:t>
            </w:r>
          </w:p>
        </w:tc>
        <w:tc>
          <w:tcPr/>
          <w:p>
            <w:pPr>
              <w:pStyle w:val="Compact"/>
            </w:pPr>
            <w:r>
              <w:t xml:space="preserve">Returns the current UTC date and time.</w:t>
            </w:r>
          </w:p>
        </w:tc>
      </w:tr>
      <w:tr>
        <w:tc>
          <w:tcPr/>
          <w:p>
            <w:pPr>
              <w:pStyle w:val="Compact"/>
            </w:pPr>
            <w:r>
              <w:rPr>
                <w:rStyle w:val="VerbatimChar"/>
              </w:rPr>
              <w:t xml:space="preserve">In(date, timezone)</w:t>
            </w:r>
          </w:p>
        </w:tc>
        <w:tc>
          <w:tcPr/>
          <w:p>
            <w:pPr>
              <w:pStyle w:val="Compact"/>
            </w:pPr>
            <w:r>
              <w:t xml:space="preserve">Date</w:t>
            </w:r>
          </w:p>
        </w:tc>
        <w:tc>
          <w:tcPr/>
          <w:p>
            <w:pPr>
              <w:pStyle w:val="Compact"/>
            </w:pPr>
            <w:r>
              <w:t xml:space="preserve">Converts date to the specified timezone.</w:t>
            </w:r>
          </w:p>
        </w:tc>
      </w:tr>
      <w:tr>
        <w:tc>
          <w:tcPr/>
          <w:p>
            <w:pPr>
              <w:pStyle w:val="Compact"/>
            </w:pPr>
            <w:r>
              <w:rPr>
                <w:rStyle w:val="VerbatimChar"/>
              </w:rPr>
              <w:t xml:space="preserve">UTC(date)</w:t>
            </w:r>
          </w:p>
        </w:tc>
        <w:tc>
          <w:tcPr/>
          <w:p>
            <w:pPr>
              <w:pStyle w:val="Compact"/>
            </w:pPr>
            <w:r>
              <w:t xml:space="preserve">Date</w:t>
            </w:r>
          </w:p>
        </w:tc>
        <w:tc>
          <w:tcPr/>
          <w:p>
            <w:pPr>
              <w:pStyle w:val="Compact"/>
            </w:pPr>
            <w:r>
              <w:t xml:space="preserve">Converts date to UTC.</w:t>
            </w:r>
          </w:p>
        </w:tc>
      </w:tr>
      <w:tr>
        <w:tc>
          <w:tcPr/>
          <w:p>
            <w:pPr>
              <w:pStyle w:val="Compact"/>
            </w:pPr>
            <w:r>
              <w:rPr>
                <w:rStyle w:val="VerbatimChar"/>
              </w:rPr>
              <w:t xml:space="preserve">Local(date)</w:t>
            </w:r>
          </w:p>
        </w:tc>
        <w:tc>
          <w:tcPr/>
          <w:p>
            <w:pPr>
              <w:pStyle w:val="Compact"/>
            </w:pPr>
            <w:r>
              <w:t xml:space="preserve">Date</w:t>
            </w:r>
          </w:p>
        </w:tc>
        <w:tc>
          <w:tcPr/>
          <w:p>
            <w:pPr>
              <w:pStyle w:val="Compact"/>
            </w:pPr>
            <w:r>
              <w:t xml:space="preserve">Converts date to local time.</w:t>
            </w:r>
          </w:p>
        </w:tc>
      </w:tr>
      <w:tr>
        <w:tc>
          <w:tcPr/>
          <w:p>
            <w:pPr>
              <w:pStyle w:val="Compact"/>
            </w:pPr>
            <w:r>
              <w:rPr>
                <w:rStyle w:val="VerbatimChar"/>
              </w:rPr>
              <w:t xml:space="preserve">IsUTC(date)</w:t>
            </w:r>
          </w:p>
        </w:tc>
        <w:tc>
          <w:tcPr/>
          <w:p>
            <w:pPr>
              <w:pStyle w:val="Compact"/>
            </w:pPr>
            <w:r>
              <w:t xml:space="preserve">Boolean</w:t>
            </w:r>
          </w:p>
        </w:tc>
        <w:tc>
          <w:tcPr/>
          <w:p>
            <w:pPr>
              <w:pStyle w:val="Compact"/>
            </w:pPr>
            <w:r>
              <w:t xml:space="preserve">Checks if the date is in UTC.</w:t>
            </w:r>
          </w:p>
        </w:tc>
      </w:tr>
      <w:tr>
        <w:tc>
          <w:tcPr/>
          <w:p>
            <w:pPr>
              <w:pStyle w:val="Compact"/>
            </w:pPr>
            <w:r>
              <w:rPr>
                <w:rStyle w:val="VerbatimChar"/>
              </w:rPr>
              <w:t xml:space="preserve">IsLocal(date)</w:t>
            </w:r>
          </w:p>
        </w:tc>
        <w:tc>
          <w:tcPr/>
          <w:p>
            <w:pPr>
              <w:pStyle w:val="Compact"/>
            </w:pPr>
            <w:r>
              <w:t xml:space="preserve">Boolean</w:t>
            </w:r>
          </w:p>
        </w:tc>
        <w:tc>
          <w:tcPr/>
          <w:p>
            <w:pPr>
              <w:pStyle w:val="Compact"/>
            </w:pPr>
            <w:r>
              <w:t xml:space="preserve">Checks if the date is in local time.</w:t>
            </w:r>
          </w:p>
        </w:tc>
      </w:tr>
      <w:tr>
        <w:tc>
          <w:tcPr/>
          <w:p>
            <w:pPr>
              <w:pStyle w:val="Compact"/>
            </w:pPr>
            <w:r>
              <w:rPr>
                <w:rStyle w:val="VerbatimChar"/>
              </w:rPr>
              <w:t xml:space="preserve">IsZero(date)</w:t>
            </w:r>
          </w:p>
        </w:tc>
        <w:tc>
          <w:tcPr/>
          <w:p>
            <w:pPr>
              <w:pStyle w:val="Compact"/>
            </w:pPr>
            <w:r>
              <w:t xml:space="preserve">Boolean</w:t>
            </w:r>
          </w:p>
        </w:tc>
        <w:tc>
          <w:tcPr/>
          <w:p>
            <w:pPr>
              <w:pStyle w:val="Compact"/>
            </w:pPr>
            <w:r>
              <w:t xml:space="preserve">Checks if the date is the zero value.</w:t>
            </w:r>
          </w:p>
        </w:tc>
      </w:tr>
    </w:tbl>
    <w:bookmarkEnd w:id="2051"/>
    <w:bookmarkStart w:id="2052" w:name="remarks-187"/>
    <w:p>
      <w:pPr>
        <w:pStyle w:val="Heading2"/>
      </w:pPr>
      <w:r>
        <w:t xml:space="preserve">Remarks</w:t>
      </w:r>
    </w:p>
    <w:p>
      <w:pPr>
        <w:pStyle w:val="Compact"/>
        <w:numPr>
          <w:ilvl w:val="0"/>
          <w:numId w:val="1570"/>
        </w:numPr>
      </w:pPr>
      <w:r>
        <w:t xml:space="preserve">Instantiate the library with</w:t>
      </w:r>
      <w:r>
        <w:t xml:space="preserve"> </w:t>
      </w:r>
      <w:r>
        <w:rPr>
          <w:rStyle w:val="VerbatimChar"/>
        </w:rPr>
        <w:t xml:space="preserve">Server.CreateObject("G3DATE")</w:t>
      </w:r>
      <w:r>
        <w:t xml:space="preserve">.</w:t>
      </w:r>
    </w:p>
    <w:p>
      <w:pPr>
        <w:pStyle w:val="Compact"/>
        <w:numPr>
          <w:ilvl w:val="0"/>
          <w:numId w:val="1570"/>
        </w:numPr>
      </w:pPr>
      <w:r>
        <w:t xml:space="preserve">Method names are case-insensitive.</w:t>
      </w:r>
    </w:p>
    <w:p>
      <w:pPr>
        <w:pStyle w:val="Compact"/>
        <w:numPr>
          <w:ilvl w:val="0"/>
          <w:numId w:val="1570"/>
        </w:numPr>
      </w:pPr>
      <w:r>
        <w:t xml:space="preserve">Date arguments can be VBScript Date subtype, ISO 8601 strings, or UNIX timestamps.</w:t>
      </w:r>
    </w:p>
    <w:p>
      <w:pPr>
        <w:pStyle w:val="Compact"/>
        <w:numPr>
          <w:ilvl w:val="0"/>
          <w:numId w:val="1570"/>
        </w:numPr>
      </w:pPr>
      <w:r>
        <w:t xml:space="preserve">Timezone names must be valid IANA time zone database identifiers.</w:t>
      </w:r>
    </w:p>
    <w:p>
      <w:pPr>
        <w:pStyle w:val="Compact"/>
        <w:numPr>
          <w:ilvl w:val="0"/>
          <w:numId w:val="1570"/>
        </w:numPr>
      </w:pPr>
      <w:r>
        <w:t xml:space="preserve">Duration values are in nanoseconds unless otherwise noted.</w:t>
      </w:r>
    </w:p>
    <w:bookmarkEnd w:id="2052"/>
    <w:bookmarkEnd w:id="2053"/>
    <w:bookmarkStart w:id="2056" w:name="g3date-properties"/>
    <w:p>
      <w:pPr>
        <w:pStyle w:val="Heading1"/>
      </w:pPr>
      <w:r>
        <w:t xml:space="preserve">G3DATE Properties</w:t>
      </w:r>
    </w:p>
    <w:bookmarkStart w:id="2055" w:name="overview-159"/>
    <w:p>
      <w:pPr>
        <w:pStyle w:val="Heading2"/>
      </w:pPr>
      <w:r>
        <w:t xml:space="preserve">Overview</w:t>
      </w:r>
    </w:p>
    <w:p>
      <w:pPr>
        <w:pStyle w:val="FirstParagraph"/>
      </w:pPr>
      <w:r>
        <w:t xml:space="preserve">G3DATE does not expose public properties. All functionality is accessed through methods.</w:t>
      </w:r>
    </w:p>
    <w:bookmarkStart w:id="2054" w:name="methods-detail-2"/>
    <w:p>
      <w:pPr>
        <w:pStyle w:val="Heading3"/>
      </w:pPr>
      <w:r>
        <w:t xml:space="preserve">Methods Detail</w:t>
      </w:r>
    </w:p>
    <w:bookmarkEnd w:id="2054"/>
    <w:bookmarkEnd w:id="2055"/>
    <w:bookmarkEnd w:id="2056"/>
    <w:bookmarkStart w:id="2063" w:name="add-a-duration-to-a-date"/>
    <w:p>
      <w:pPr>
        <w:pStyle w:val="Heading1"/>
      </w:pPr>
      <w:r>
        <w:t xml:space="preserve">Add a Duration to a Date</w:t>
      </w:r>
    </w:p>
    <w:bookmarkStart w:id="2057" w:name="overview-160"/>
    <w:p>
      <w:pPr>
        <w:pStyle w:val="Heading2"/>
      </w:pPr>
      <w:r>
        <w:t xml:space="preserve">Overview</w:t>
      </w:r>
    </w:p>
    <w:p>
      <w:pPr>
        <w:pStyle w:val="FirstParagraph"/>
      </w:pPr>
      <w:r>
        <w:t xml:space="preserve">Adds a duration in nanoseconds to a date value and returns the resulting date.</w:t>
      </w:r>
    </w:p>
    <w:bookmarkEnd w:id="2057"/>
    <w:bookmarkStart w:id="2058" w:name="syntax-174"/>
    <w:p>
      <w:pPr>
        <w:pStyle w:val="Heading2"/>
      </w:pPr>
      <w:r>
        <w:t xml:space="preserve">Syntax</w:t>
      </w:r>
    </w:p>
    <w:p>
      <w:pPr>
        <w:pStyle w:val="SourceCode"/>
      </w:pPr>
      <w:r>
        <w:rPr>
          <w:rStyle w:val="NormalTok"/>
        </w:rPr>
        <w:t xml:space="preserve">result = g3date.Add(date, nanoseconds)</w:t>
      </w:r>
    </w:p>
    <w:bookmarkEnd w:id="2058"/>
    <w:bookmarkStart w:id="2059" w:name="parameters-8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base date.</w:t>
            </w:r>
          </w:p>
        </w:tc>
      </w:tr>
      <w:tr>
        <w:tc>
          <w:tcPr/>
          <w:p>
            <w:pPr>
              <w:pStyle w:val="Compact"/>
            </w:pPr>
            <w:r>
              <w:rPr>
                <w:b/>
                <w:bCs/>
              </w:rPr>
              <w:t xml:space="preserve">nanoseconds</w:t>
            </w:r>
          </w:p>
        </w:tc>
        <w:tc>
          <w:tcPr/>
          <w:p>
            <w:pPr>
              <w:pStyle w:val="Compact"/>
            </w:pPr>
            <w:r>
              <w:t xml:space="preserve">Integer</w:t>
            </w:r>
          </w:p>
        </w:tc>
        <w:tc>
          <w:tcPr/>
          <w:p>
            <w:pPr>
              <w:pStyle w:val="Compact"/>
            </w:pPr>
            <w:r>
              <w:t xml:space="preserve">Yes</w:t>
            </w:r>
          </w:p>
        </w:tc>
        <w:tc>
          <w:tcPr/>
          <w:p>
            <w:pPr>
              <w:pStyle w:val="Compact"/>
            </w:pPr>
            <w:r>
              <w:t xml:space="preserve">Duration to add in nanoseconds (negative to subtract).</w:t>
            </w:r>
          </w:p>
        </w:tc>
      </w:tr>
    </w:tbl>
    <w:bookmarkEnd w:id="2059"/>
    <w:bookmarkStart w:id="2060" w:name="return-value-99"/>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advanced (or moved back) by the specified duration.</w:t>
      </w:r>
    </w:p>
    <w:bookmarkEnd w:id="2060"/>
    <w:bookmarkStart w:id="2061" w:name="remarks-188"/>
    <w:p>
      <w:pPr>
        <w:pStyle w:val="Heading2"/>
      </w:pPr>
      <w:r>
        <w:t xml:space="preserve">Remarks</w:t>
      </w:r>
    </w:p>
    <w:p>
      <w:pPr>
        <w:pStyle w:val="Compact"/>
        <w:numPr>
          <w:ilvl w:val="0"/>
          <w:numId w:val="1571"/>
        </w:numPr>
      </w:pPr>
      <w:r>
        <w:t xml:space="preserve">Use</w:t>
      </w:r>
      <w:r>
        <w:t xml:space="preserve"> </w:t>
      </w:r>
      <w:r>
        <w:rPr>
          <w:rStyle w:val="VerbatimChar"/>
        </w:rPr>
        <w:t xml:space="preserve">ParseDuration</w:t>
      </w:r>
      <w:r>
        <w:t xml:space="preserve"> </w:t>
      </w:r>
      <w:r>
        <w:t xml:space="preserve">to convert human-readable strings like</w:t>
      </w:r>
      <w:r>
        <w:t xml:space="preserve"> </w:t>
      </w:r>
      <w:r>
        <w:t xml:space="preserve">“2h30m”</w:t>
      </w:r>
      <w:r>
        <w:t xml:space="preserve"> </w:t>
      </w:r>
      <w:r>
        <w:t xml:space="preserve">to nanoseconds.</w:t>
      </w:r>
    </w:p>
    <w:p>
      <w:pPr>
        <w:pStyle w:val="Compact"/>
        <w:numPr>
          <w:ilvl w:val="0"/>
          <w:numId w:val="1571"/>
        </w:numPr>
      </w:pPr>
      <w:r>
        <w:t xml:space="preserve">For adding calendar units (years, months, days), use</w:t>
      </w:r>
      <w:r>
        <w:t xml:space="preserve"> </w:t>
      </w:r>
      <w:r>
        <w:rPr>
          <w:rStyle w:val="VerbatimChar"/>
        </w:rPr>
        <w:t xml:space="preserve">AddDate</w:t>
      </w:r>
      <w:r>
        <w:t xml:space="preserve"> </w:t>
      </w:r>
      <w:r>
        <w:t xml:space="preserve">instead.</w:t>
      </w:r>
    </w:p>
    <w:bookmarkEnd w:id="2061"/>
    <w:bookmarkStart w:id="2062" w:name="example-10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later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CommentTok"/>
        </w:rPr>
        <w:t xml:space="preserve">' Add 2 hours (7200000000000 ns)</w:t>
      </w:r>
      <w:r>
        <w:br/>
      </w:r>
      <w:r>
        <w:rPr>
          <w:rStyle w:val="NormalTok"/>
        </w:rPr>
        <w:t xml:space="preserve">later = dt.</w:t>
      </w:r>
      <w:r>
        <w:rPr>
          <w:rStyle w:val="FunctionTok"/>
        </w:rPr>
        <w:t xml:space="preserve">Add</w:t>
      </w:r>
      <w:r>
        <w:rPr>
          <w:rStyle w:val="OtherTok"/>
        </w:rPr>
        <w:t xml:space="preserve">(</w:t>
      </w:r>
      <w:r>
        <w:rPr>
          <w:rStyle w:val="FunctionTok"/>
        </w:rPr>
        <w:t xml:space="preserve">now</w:t>
      </w:r>
      <w:r>
        <w:rPr>
          <w:rStyle w:val="OtherTok"/>
        </w:rPr>
        <w:t xml:space="preserve">,</w:t>
      </w:r>
      <w:r>
        <w:rPr>
          <w:rStyle w:val="NormalTok"/>
        </w:rPr>
        <w:t xml:space="preserve"> </w:t>
      </w:r>
      <w:r>
        <w:rPr>
          <w:rStyle w:val="DecValTok"/>
        </w:rPr>
        <w:t xml:space="preserve">7200000000000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"Two hours from now: "</w:t>
      </w:r>
      <w:r>
        <w:rPr>
          <w:rStyle w:val="NormalTok"/>
        </w:rPr>
        <w:t xml:space="preserve"> </w:t>
      </w:r>
      <w:r>
        <w:rPr>
          <w:rStyle w:val="KeywordTok"/>
        </w:rPr>
        <w:t xml:space="preserve">&amp;</w:t>
      </w:r>
      <w:r>
        <w:rPr>
          <w:rStyle w:val="NormalTok"/>
        </w:rPr>
        <w:t xml:space="preserve"> later</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062"/>
    <w:bookmarkEnd w:id="2063"/>
    <w:bookmarkStart w:id="2070" w:name="add-years-months-and-days-to-a-date"/>
    <w:p>
      <w:pPr>
        <w:pStyle w:val="Heading1"/>
      </w:pPr>
      <w:r>
        <w:t xml:space="preserve">Add Years, Months, and Days to a Date</w:t>
      </w:r>
    </w:p>
    <w:bookmarkStart w:id="2064" w:name="overview-161"/>
    <w:p>
      <w:pPr>
        <w:pStyle w:val="Heading2"/>
      </w:pPr>
      <w:r>
        <w:t xml:space="preserve">Overview</w:t>
      </w:r>
    </w:p>
    <w:p>
      <w:pPr>
        <w:pStyle w:val="FirstParagraph"/>
      </w:pPr>
      <w:r>
        <w:t xml:space="preserve">Adds a specified number of years, months, and days to a date value.</w:t>
      </w:r>
    </w:p>
    <w:bookmarkEnd w:id="2064"/>
    <w:bookmarkStart w:id="2065" w:name="syntax-175"/>
    <w:p>
      <w:pPr>
        <w:pStyle w:val="Heading2"/>
      </w:pPr>
      <w:r>
        <w:t xml:space="preserve">Syntax</w:t>
      </w:r>
    </w:p>
    <w:p>
      <w:pPr>
        <w:pStyle w:val="SourceCode"/>
      </w:pPr>
      <w:r>
        <w:rPr>
          <w:rStyle w:val="NormalTok"/>
        </w:rPr>
        <w:t xml:space="preserve">result = g3date.AddDate(date, years, months, days)</w:t>
      </w:r>
    </w:p>
    <w:bookmarkEnd w:id="2065"/>
    <w:bookmarkStart w:id="2066" w:name="parameters-8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base date.</w:t>
            </w:r>
          </w:p>
        </w:tc>
      </w:tr>
      <w:tr>
        <w:tc>
          <w:tcPr/>
          <w:p>
            <w:pPr>
              <w:pStyle w:val="Compact"/>
            </w:pPr>
            <w:r>
              <w:rPr>
                <w:b/>
                <w:bCs/>
              </w:rPr>
              <w:t xml:space="preserve">years</w:t>
            </w:r>
          </w:p>
        </w:tc>
        <w:tc>
          <w:tcPr/>
          <w:p>
            <w:pPr>
              <w:pStyle w:val="Compact"/>
            </w:pPr>
            <w:r>
              <w:t xml:space="preserve">Integer</w:t>
            </w:r>
          </w:p>
        </w:tc>
        <w:tc>
          <w:tcPr/>
          <w:p>
            <w:pPr>
              <w:pStyle w:val="Compact"/>
            </w:pPr>
            <w:r>
              <w:t xml:space="preserve">Yes</w:t>
            </w:r>
          </w:p>
        </w:tc>
        <w:tc>
          <w:tcPr/>
          <w:p>
            <w:pPr>
              <w:pStyle w:val="Compact"/>
            </w:pPr>
            <w:r>
              <w:t xml:space="preserve">Number of years to add (negative to subtract).</w:t>
            </w:r>
          </w:p>
        </w:tc>
      </w:tr>
      <w:tr>
        <w:tc>
          <w:tcPr/>
          <w:p>
            <w:pPr>
              <w:pStyle w:val="Compact"/>
            </w:pPr>
            <w:r>
              <w:rPr>
                <w:b/>
                <w:bCs/>
              </w:rPr>
              <w:t xml:space="preserve">months</w:t>
            </w:r>
          </w:p>
        </w:tc>
        <w:tc>
          <w:tcPr/>
          <w:p>
            <w:pPr>
              <w:pStyle w:val="Compact"/>
            </w:pPr>
            <w:r>
              <w:t xml:space="preserve">Integer</w:t>
            </w:r>
          </w:p>
        </w:tc>
        <w:tc>
          <w:tcPr/>
          <w:p>
            <w:pPr>
              <w:pStyle w:val="Compact"/>
            </w:pPr>
            <w:r>
              <w:t xml:space="preserve">Yes</w:t>
            </w:r>
          </w:p>
        </w:tc>
        <w:tc>
          <w:tcPr/>
          <w:p>
            <w:pPr>
              <w:pStyle w:val="Compact"/>
            </w:pPr>
            <w:r>
              <w:t xml:space="preserve">Number of months to add (negative to subtract).</w:t>
            </w:r>
          </w:p>
        </w:tc>
      </w:tr>
      <w:tr>
        <w:tc>
          <w:tcPr/>
          <w:p>
            <w:pPr>
              <w:pStyle w:val="Compact"/>
            </w:pPr>
            <w:r>
              <w:rPr>
                <w:b/>
                <w:bCs/>
              </w:rPr>
              <w:t xml:space="preserve">days</w:t>
            </w:r>
          </w:p>
        </w:tc>
        <w:tc>
          <w:tcPr/>
          <w:p>
            <w:pPr>
              <w:pStyle w:val="Compact"/>
            </w:pPr>
            <w:r>
              <w:t xml:space="preserve">Integer</w:t>
            </w:r>
          </w:p>
        </w:tc>
        <w:tc>
          <w:tcPr/>
          <w:p>
            <w:pPr>
              <w:pStyle w:val="Compact"/>
            </w:pPr>
            <w:r>
              <w:t xml:space="preserve">Yes</w:t>
            </w:r>
          </w:p>
        </w:tc>
        <w:tc>
          <w:tcPr/>
          <w:p>
            <w:pPr>
              <w:pStyle w:val="Compact"/>
            </w:pPr>
            <w:r>
              <w:t xml:space="preserve">Number of days to add (negative to subtract).</w:t>
            </w:r>
          </w:p>
        </w:tc>
      </w:tr>
    </w:tbl>
    <w:bookmarkEnd w:id="2066"/>
    <w:bookmarkStart w:id="2067" w:name="return-value-100"/>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adjusted by the specified amounts.</w:t>
      </w:r>
    </w:p>
    <w:bookmarkEnd w:id="2067"/>
    <w:bookmarkStart w:id="2068" w:name="remarks-189"/>
    <w:p>
      <w:pPr>
        <w:pStyle w:val="Heading2"/>
      </w:pPr>
      <w:r>
        <w:t xml:space="preserve">Remarks</w:t>
      </w:r>
    </w:p>
    <w:p>
      <w:pPr>
        <w:pStyle w:val="Compact"/>
        <w:numPr>
          <w:ilvl w:val="0"/>
          <w:numId w:val="1572"/>
        </w:numPr>
      </w:pPr>
      <w:r>
        <w:t xml:space="preserve">Years, months, and days are applied in that order.</w:t>
      </w:r>
    </w:p>
    <w:p>
      <w:pPr>
        <w:pStyle w:val="Compact"/>
        <w:numPr>
          <w:ilvl w:val="0"/>
          <w:numId w:val="1572"/>
        </w:numPr>
      </w:pPr>
      <w:r>
        <w:t xml:space="preserve">Negative values perform subtraction.</w:t>
      </w:r>
    </w:p>
    <w:p>
      <w:pPr>
        <w:pStyle w:val="Compact"/>
        <w:numPr>
          <w:ilvl w:val="0"/>
          <w:numId w:val="1572"/>
        </w:numPr>
      </w:pPr>
      <w:r>
        <w:t xml:space="preserve">Month overflow is normalized (e.g., adding 1 month to January 31 produces February 28 or 29).</w:t>
      </w:r>
    </w:p>
    <w:bookmarkEnd w:id="2068"/>
    <w:bookmarkStart w:id="2069" w:name="example-10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today</w:t>
      </w:r>
      <w:r>
        <w:rPr>
          <w:rStyle w:val="OtherTok"/>
        </w:rPr>
        <w:t xml:space="preserve">,</w:t>
      </w:r>
      <w:r>
        <w:rPr>
          <w:rStyle w:val="NormalTok"/>
        </w:rPr>
        <w:t xml:space="preserve"> future</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today = dt.</w:t>
      </w:r>
      <w:r>
        <w:rPr>
          <w:rStyle w:val="FunctionTok"/>
        </w:rPr>
        <w:t xml:space="preserve">Now</w:t>
      </w:r>
      <w:r>
        <w:rPr>
          <w:rStyle w:val="OtherTok"/>
        </w:rPr>
        <w:t xml:space="preserve">()</w:t>
      </w:r>
      <w:r>
        <w:br/>
      </w:r>
      <w:r>
        <w:rPr>
          <w:rStyle w:val="CommentTok"/>
        </w:rPr>
        <w:t xml:space="preserve">' Add 1 year, 2 months, 10 days</w:t>
      </w:r>
      <w:r>
        <w:br/>
      </w:r>
      <w:r>
        <w:rPr>
          <w:rStyle w:val="NormalTok"/>
        </w:rPr>
        <w:t xml:space="preserve">future = dt.AddDate</w:t>
      </w:r>
      <w:r>
        <w:rPr>
          <w:rStyle w:val="OtherTok"/>
        </w:rPr>
        <w:t xml:space="preserve">(</w:t>
      </w:r>
      <w:r>
        <w:rPr>
          <w:rStyle w:val="NormalTok"/>
        </w:rPr>
        <w:t xml:space="preserve">today</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DecValTok"/>
        </w:rPr>
        <w:t xml:space="preserve">2</w:t>
      </w:r>
      <w:r>
        <w:rPr>
          <w:rStyle w:val="OtherTok"/>
        </w:rPr>
        <w:t xml:space="preserve">,</w:t>
      </w:r>
      <w:r>
        <w:rPr>
          <w:rStyle w:val="NormalTok"/>
        </w:rPr>
        <w:t xml:space="preserve"> </w:t>
      </w:r>
      <w:r>
        <w:rPr>
          <w:rStyle w:val="DecValTok"/>
        </w:rPr>
        <w:t xml:space="preserve">10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"Future date: "</w:t>
      </w:r>
      <w:r>
        <w:rPr>
          <w:rStyle w:val="NormalTok"/>
        </w:rPr>
        <w:t xml:space="preserve"> </w:t>
      </w:r>
      <w:r>
        <w:rPr>
          <w:rStyle w:val="KeywordTok"/>
        </w:rPr>
        <w:t xml:space="preserve">&amp;</w:t>
      </w:r>
      <w:r>
        <w:rPr>
          <w:rStyle w:val="NormalTok"/>
        </w:rPr>
        <w:t xml:space="preserve"> future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069"/>
    <w:bookmarkEnd w:id="2070"/>
    <w:bookmarkStart w:id="2076" w:name="check-if-one-date-is-after-another"/>
    <w:p>
      <w:pPr>
        <w:pStyle w:val="Heading1"/>
      </w:pPr>
      <w:r>
        <w:t xml:space="preserve">Check if One Date Is After Another</w:t>
      </w:r>
    </w:p>
    <w:bookmarkStart w:id="2071" w:name="overview-162"/>
    <w:p>
      <w:pPr>
        <w:pStyle w:val="Heading2"/>
      </w:pPr>
      <w:r>
        <w:t xml:space="preserve">Overview</w:t>
      </w:r>
    </w:p>
    <w:p>
      <w:pPr>
        <w:pStyle w:val="FirstParagraph"/>
      </w:pPr>
      <w:r>
        <w:t xml:space="preserve">Determines whether the first date occurs after the second date.</w:t>
      </w:r>
    </w:p>
    <w:bookmarkEnd w:id="2071"/>
    <w:bookmarkStart w:id="2072" w:name="syntax-176"/>
    <w:p>
      <w:pPr>
        <w:pStyle w:val="Heading2"/>
      </w:pPr>
      <w:r>
        <w:t xml:space="preserve">Syntax</w:t>
      </w:r>
    </w:p>
    <w:p>
      <w:pPr>
        <w:pStyle w:val="SourceCode"/>
      </w:pPr>
      <w:r>
        <w:rPr>
          <w:rStyle w:val="NormalTok"/>
        </w:rPr>
        <w:t xml:space="preserve">result = g3date.After(date1, date2)</w:t>
      </w:r>
    </w:p>
    <w:bookmarkEnd w:id="2072"/>
    <w:bookmarkStart w:id="2073" w:name="parameters-85"/>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date1</w:t>
            </w:r>
          </w:p>
        </w:tc>
        <w:tc>
          <w:tcPr/>
          <w:p>
            <w:pPr>
              <w:pStyle w:val="Compact"/>
            </w:pPr>
            <w:r>
              <w:t xml:space="preserve">Date</w:t>
            </w:r>
          </w:p>
        </w:tc>
        <w:tc>
          <w:tcPr/>
          <w:p>
            <w:pPr>
              <w:pStyle w:val="Compact"/>
            </w:pPr>
            <w:r>
              <w:t xml:space="preserve">Yes</w:t>
            </w:r>
          </w:p>
        </w:tc>
        <w:tc>
          <w:tcPr/>
          <w:p>
            <w:pPr>
              <w:pStyle w:val="Compact"/>
            </w:pPr>
            <w:r>
              <w:t xml:space="preserve">The date to test.</w:t>
            </w:r>
          </w:p>
        </w:tc>
      </w:tr>
      <w:tr>
        <w:tc>
          <w:tcPr/>
          <w:p>
            <w:pPr>
              <w:pStyle w:val="Compact"/>
            </w:pPr>
            <w:r>
              <w:rPr>
                <w:b/>
                <w:bCs/>
              </w:rPr>
              <w:t xml:space="preserve">date2</w:t>
            </w:r>
          </w:p>
        </w:tc>
        <w:tc>
          <w:tcPr/>
          <w:p>
            <w:pPr>
              <w:pStyle w:val="Compact"/>
            </w:pPr>
            <w:r>
              <w:t xml:space="preserve">Date</w:t>
            </w:r>
          </w:p>
        </w:tc>
        <w:tc>
          <w:tcPr/>
          <w:p>
            <w:pPr>
              <w:pStyle w:val="Compact"/>
            </w:pPr>
            <w:r>
              <w:t xml:space="preserve">Yes</w:t>
            </w:r>
          </w:p>
        </w:tc>
        <w:tc>
          <w:tcPr/>
          <w:p>
            <w:pPr>
              <w:pStyle w:val="Compact"/>
            </w:pPr>
            <w:r>
              <w:t xml:space="preserve">The reference date.</w:t>
            </w:r>
          </w:p>
        </w:tc>
      </w:tr>
    </w:tbl>
    <w:bookmarkEnd w:id="2073"/>
    <w:bookmarkStart w:id="2074" w:name="return-value-101"/>
    <w:p>
      <w:pPr>
        <w:pStyle w:val="Heading2"/>
      </w:pPr>
      <w:r>
        <w:t xml:space="preserve">Return Value</w:t>
      </w:r>
    </w:p>
    <w:p>
      <w:pPr>
        <w:pStyle w:val="FirstParagraph"/>
      </w:pPr>
      <w:r>
        <w:t xml:space="preserve">Returns a</w:t>
      </w:r>
      <w:r>
        <w:t xml:space="preserve"> </w:t>
      </w:r>
      <w:r>
        <w:rPr>
          <w:b/>
          <w:bCs/>
        </w:rPr>
        <w:t xml:space="preserve">Boolean</w:t>
      </w:r>
      <w:r>
        <w:t xml:space="preserve">: True if date1 is after date2, False otherwise.</w:t>
      </w:r>
    </w:p>
    <w:bookmarkEnd w:id="2074"/>
    <w:bookmarkStart w:id="2075" w:name="example-10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today</w:t>
      </w:r>
      <w:r>
        <w:rPr>
          <w:rStyle w:val="OtherTok"/>
        </w:rPr>
        <w:t xml:space="preserve">,</w:t>
      </w:r>
      <w:r>
        <w:rPr>
          <w:rStyle w:val="NormalTok"/>
        </w:rPr>
        <w:t xml:space="preserve"> tomorrow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today = dt.</w:t>
      </w:r>
      <w:r>
        <w:rPr>
          <w:rStyle w:val="FunctionTok"/>
        </w:rPr>
        <w:t xml:space="preserve">Now</w:t>
      </w:r>
      <w:r>
        <w:rPr>
          <w:rStyle w:val="OtherTok"/>
        </w:rPr>
        <w:t xml:space="preserve">()</w:t>
      </w:r>
      <w:r>
        <w:br/>
      </w:r>
      <w:r>
        <w:rPr>
          <w:rStyle w:val="NormalTok"/>
        </w:rPr>
        <w:t xml:space="preserve">tomorrow = dt.AddDate</w:t>
      </w:r>
      <w:r>
        <w:rPr>
          <w:rStyle w:val="OtherTok"/>
        </w:rPr>
        <w:t xml:space="preserve">(</w:t>
      </w:r>
      <w:r>
        <w:rPr>
          <w:rStyle w:val="NormalTok"/>
        </w:rPr>
        <w:t xml:space="preserve">today</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1</w:t>
      </w:r>
      <w:r>
        <w:rPr>
          <w:rStyle w:val="OtherTok"/>
        </w:rPr>
        <w:t xml:space="preserve">)</w:t>
      </w:r>
      <w:r>
        <w:br/>
      </w:r>
      <w:r>
        <w:rPr>
          <w:rStyle w:val="ControlFlowTok"/>
        </w:rPr>
        <w:t xml:space="preserve">If</w:t>
      </w:r>
      <w:r>
        <w:rPr>
          <w:rStyle w:val="NormalTok"/>
        </w:rPr>
        <w:t xml:space="preserve"> dt.After</w:t>
      </w:r>
      <w:r>
        <w:rPr>
          <w:rStyle w:val="OtherTok"/>
        </w:rPr>
        <w:t xml:space="preserve">(</w:t>
      </w:r>
      <w:r>
        <w:rPr>
          <w:rStyle w:val="NormalTok"/>
        </w:rPr>
        <w:t xml:space="preserve">tomorrow</w:t>
      </w:r>
      <w:r>
        <w:rPr>
          <w:rStyle w:val="OtherTok"/>
        </w:rPr>
        <w:t xml:space="preserve">,</w:t>
      </w:r>
      <w:r>
        <w:rPr>
          <w:rStyle w:val="NormalTok"/>
        </w:rPr>
        <w:t xml:space="preserve"> today</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"Tomorrow is after today"</w:t>
      </w:r>
      <w:r>
        <w:br/>
      </w:r>
      <w:r>
        <w:rPr>
          <w:rStyle w:val="ControlFlowTok"/>
        </w:rPr>
        <w:t xml:space="preserve">End If</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075"/>
    <w:bookmarkEnd w:id="2076"/>
    <w:bookmarkStart w:id="2083" w:name="get-binary-encoding-of-a-date"/>
    <w:p>
      <w:pPr>
        <w:pStyle w:val="Heading1"/>
      </w:pPr>
      <w:r>
        <w:t xml:space="preserve">Get Binary Encoding of a Date</w:t>
      </w:r>
    </w:p>
    <w:bookmarkStart w:id="2077" w:name="overview-163"/>
    <w:p>
      <w:pPr>
        <w:pStyle w:val="Heading2"/>
      </w:pPr>
      <w:r>
        <w:t xml:space="preserve">Overview</w:t>
      </w:r>
    </w:p>
    <w:p>
      <w:pPr>
        <w:pStyle w:val="FirstParagraph"/>
      </w:pPr>
      <w:r>
        <w:t xml:space="preserve">Returns the binary encoding of a date value using Go’s binary encoding format.</w:t>
      </w:r>
    </w:p>
    <w:bookmarkEnd w:id="2077"/>
    <w:bookmarkStart w:id="2078" w:name="syntax-177"/>
    <w:p>
      <w:pPr>
        <w:pStyle w:val="Heading2"/>
      </w:pPr>
      <w:r>
        <w:t xml:space="preserve">Syntax</w:t>
      </w:r>
    </w:p>
    <w:p>
      <w:pPr>
        <w:pStyle w:val="SourceCode"/>
      </w:pPr>
      <w:r>
        <w:rPr>
          <w:rStyle w:val="NormalTok"/>
        </w:rPr>
        <w:t xml:space="preserve">result = g3date.AppendBinary(date)</w:t>
      </w:r>
    </w:p>
    <w:bookmarkEnd w:id="2078"/>
    <w:bookmarkStart w:id="2079" w:name="parameters-8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079"/>
    <w:bookmarkStart w:id="2080" w:name="return-value-102"/>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binary-encoded date representation.</w:t>
      </w:r>
    </w:p>
    <w:bookmarkEnd w:id="2080"/>
    <w:bookmarkStart w:id="2081" w:name="remark"/>
    <w:p>
      <w:pPr>
        <w:pStyle w:val="Heading2"/>
      </w:pPr>
      <w:r>
        <w:t xml:space="preserve">Remark</w:t>
      </w:r>
    </w:p>
    <w:p>
      <w:pPr>
        <w:pStyle w:val="FirstParagraph"/>
      </w:pPr>
      <w:r>
        <w:t xml:space="preserve">This is useful for serializing dates for storage or transmission in binary formats.</w:t>
      </w:r>
    </w:p>
    <w:bookmarkEnd w:id="2081"/>
    <w:bookmarkStart w:id="2082" w:name="example-10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bin</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bin = dt.AppendBinary</w:t>
      </w:r>
      <w:r>
        <w:rPr>
          <w:rStyle w:val="OtherTok"/>
        </w:rPr>
        <w:t xml:space="preserve">(</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"Binary length: "</w:t>
      </w:r>
      <w:r>
        <w:rPr>
          <w:rStyle w:val="NormalTok"/>
        </w:rPr>
        <w:t xml:space="preserve"> </w:t>
      </w:r>
      <w:r>
        <w:rPr>
          <w:rStyle w:val="KeywordTok"/>
        </w:rPr>
        <w:t xml:space="preserve">&amp;</w:t>
      </w:r>
      <w:r>
        <w:rPr>
          <w:rStyle w:val="NormalTok"/>
        </w:rPr>
        <w:t xml:space="preserve"> </w:t>
      </w:r>
      <w:r>
        <w:rPr>
          <w:rStyle w:val="FunctionTok"/>
        </w:rPr>
        <w:t xml:space="preserve">Len</w:t>
      </w:r>
      <w:r>
        <w:rPr>
          <w:rStyle w:val="OtherTok"/>
        </w:rPr>
        <w:t xml:space="preserve">(</w:t>
      </w:r>
      <w:r>
        <w:rPr>
          <w:rStyle w:val="NormalTok"/>
        </w:rPr>
        <w:t xml:space="preserve">bin</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082"/>
    <w:bookmarkEnd w:id="2083"/>
    <w:bookmarkStart w:id="2090" w:name="append-formatted-text-to-a-buffer"/>
    <w:p>
      <w:pPr>
        <w:pStyle w:val="Heading1"/>
      </w:pPr>
      <w:r>
        <w:t xml:space="preserve">Append Formatted Text to a Buffer</w:t>
      </w:r>
    </w:p>
    <w:bookmarkStart w:id="2084" w:name="overview-164"/>
    <w:p>
      <w:pPr>
        <w:pStyle w:val="Heading2"/>
      </w:pPr>
      <w:r>
        <w:t xml:space="preserve">Overview</w:t>
      </w:r>
    </w:p>
    <w:p>
      <w:pPr>
        <w:pStyle w:val="FirstParagraph"/>
      </w:pPr>
      <w:r>
        <w:t xml:space="preserve">Formats a date using a Go layout and returns the result as a string.</w:t>
      </w:r>
    </w:p>
    <w:bookmarkEnd w:id="2084"/>
    <w:bookmarkStart w:id="2085" w:name="syntax-178"/>
    <w:p>
      <w:pPr>
        <w:pStyle w:val="Heading2"/>
      </w:pPr>
      <w:r>
        <w:t xml:space="preserve">Syntax</w:t>
      </w:r>
    </w:p>
    <w:p>
      <w:pPr>
        <w:pStyle w:val="SourceCode"/>
      </w:pPr>
      <w:r>
        <w:rPr>
          <w:rStyle w:val="NormalTok"/>
        </w:rPr>
        <w:t xml:space="preserve">result = g3date.AppendFormat(date, layout)</w:t>
      </w:r>
    </w:p>
    <w:bookmarkEnd w:id="2085"/>
    <w:bookmarkStart w:id="2086" w:name="parameters-8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r>
        <w:tc>
          <w:tcPr/>
          <w:p>
            <w:pPr>
              <w:pStyle w:val="Compact"/>
            </w:pPr>
            <w:r>
              <w:rPr>
                <w:b/>
                <w:bCs/>
              </w:rPr>
              <w:t xml:space="preserve">layout</w:t>
            </w:r>
          </w:p>
        </w:tc>
        <w:tc>
          <w:tcPr/>
          <w:p>
            <w:pPr>
              <w:pStyle w:val="Compact"/>
            </w:pPr>
            <w:r>
              <w:t xml:space="preserve">String</w:t>
            </w:r>
          </w:p>
        </w:tc>
        <w:tc>
          <w:tcPr/>
          <w:p>
            <w:pPr>
              <w:pStyle w:val="Compact"/>
            </w:pPr>
            <w:r>
              <w:t xml:space="preserve">Yes</w:t>
            </w:r>
          </w:p>
        </w:tc>
        <w:tc>
          <w:tcPr/>
          <w:p>
            <w:pPr>
              <w:pStyle w:val="Compact"/>
            </w:pPr>
            <w:r>
              <w:t xml:space="preserve">Go time layout string.</w:t>
            </w:r>
          </w:p>
        </w:tc>
      </w:tr>
    </w:tbl>
    <w:bookmarkEnd w:id="2086"/>
    <w:bookmarkStart w:id="2087" w:name="return-value-103"/>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formatted date.</w:t>
      </w:r>
    </w:p>
    <w:bookmarkEnd w:id="2087"/>
    <w:bookmarkStart w:id="2088" w:name="remarks-190"/>
    <w:p>
      <w:pPr>
        <w:pStyle w:val="Heading2"/>
      </w:pPr>
      <w:r>
        <w:t xml:space="preserve">Remarks</w:t>
      </w:r>
    </w:p>
    <w:p>
      <w:pPr>
        <w:pStyle w:val="Compact"/>
        <w:numPr>
          <w:ilvl w:val="0"/>
          <w:numId w:val="1573"/>
        </w:numPr>
      </w:pPr>
      <w:r>
        <w:t xml:space="preserve">Similar to</w:t>
      </w:r>
      <w:r>
        <w:t xml:space="preserve"> </w:t>
      </w:r>
      <w:r>
        <w:rPr>
          <w:rStyle w:val="VerbatimChar"/>
        </w:rPr>
        <w:t xml:space="preserve">Format</w:t>
      </w:r>
      <w:r>
        <w:t xml:space="preserve">, but uses Go’s</w:t>
      </w:r>
      <w:r>
        <w:t xml:space="preserve"> </w:t>
      </w:r>
      <w:r>
        <w:rPr>
          <w:rStyle w:val="VerbatimChar"/>
        </w:rPr>
        <w:t xml:space="preserve">AppendFormat</w:t>
      </w:r>
      <w:r>
        <w:t xml:space="preserve"> </w:t>
      </w:r>
      <w:r>
        <w:t xml:space="preserve">internally.</w:t>
      </w:r>
    </w:p>
    <w:p>
      <w:pPr>
        <w:pStyle w:val="Compact"/>
        <w:numPr>
          <w:ilvl w:val="0"/>
          <w:numId w:val="1573"/>
        </w:numPr>
      </w:pPr>
      <w:r>
        <w:t xml:space="preserve">The result is identical to</w:t>
      </w:r>
      <w:r>
        <w:t xml:space="preserve"> </w:t>
      </w:r>
      <w:r>
        <w:rPr>
          <w:rStyle w:val="VerbatimChar"/>
        </w:rPr>
        <w:t xml:space="preserve">Format</w:t>
      </w:r>
      <w:r>
        <w:t xml:space="preserve"> </w:t>
      </w:r>
      <w:r>
        <w:t xml:space="preserve">for the same inputs.</w:t>
      </w:r>
    </w:p>
    <w:bookmarkEnd w:id="2088"/>
    <w:bookmarkStart w:id="2089" w:name="example-10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dt.AppendFormat</w:t>
      </w:r>
      <w:r>
        <w:rPr>
          <w:rStyle w:val="OtherTok"/>
        </w:rPr>
        <w:t xml:space="preserve">(</w:t>
      </w:r>
      <w:r>
        <w:rPr>
          <w:rStyle w:val="FunctionTok"/>
        </w:rPr>
        <w:t xml:space="preserve">now</w:t>
      </w:r>
      <w:r>
        <w:rPr>
          <w:rStyle w:val="OtherTok"/>
        </w:rPr>
        <w:t xml:space="preserve">,</w:t>
      </w:r>
      <w:r>
        <w:rPr>
          <w:rStyle w:val="NormalTok"/>
        </w:rPr>
        <w:t xml:space="preserve"> </w:t>
      </w:r>
      <w:r>
        <w:rPr>
          <w:rStyle w:val="StringTok"/>
        </w:rPr>
        <w:t xml:space="preserve">"2006-01-02 15:04:05"</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089"/>
    <w:bookmarkEnd w:id="2090"/>
    <w:bookmarkStart w:id="2096" w:name="get-text-representation-of-a-date"/>
    <w:p>
      <w:pPr>
        <w:pStyle w:val="Heading1"/>
      </w:pPr>
      <w:r>
        <w:t xml:space="preserve">Get Text Representation of a Date</w:t>
      </w:r>
    </w:p>
    <w:bookmarkStart w:id="2091" w:name="overview-165"/>
    <w:p>
      <w:pPr>
        <w:pStyle w:val="Heading2"/>
      </w:pPr>
      <w:r>
        <w:t xml:space="preserve">Overview</w:t>
      </w:r>
    </w:p>
    <w:p>
      <w:pPr>
        <w:pStyle w:val="FirstParagraph"/>
      </w:pPr>
      <w:r>
        <w:t xml:space="preserve">Returns the text representation of a date using Go’s text marshaling format.</w:t>
      </w:r>
    </w:p>
    <w:bookmarkEnd w:id="2091"/>
    <w:bookmarkStart w:id="2092" w:name="syntax-179"/>
    <w:p>
      <w:pPr>
        <w:pStyle w:val="Heading2"/>
      </w:pPr>
      <w:r>
        <w:t xml:space="preserve">Syntax</w:t>
      </w:r>
    </w:p>
    <w:p>
      <w:pPr>
        <w:pStyle w:val="SourceCode"/>
      </w:pPr>
      <w:r>
        <w:rPr>
          <w:rStyle w:val="NormalTok"/>
        </w:rPr>
        <w:t xml:space="preserve">result = g3date.AppendText(date, layout)</w:t>
      </w:r>
    </w:p>
    <w:bookmarkEnd w:id="2092"/>
    <w:bookmarkStart w:id="2093" w:name="parameters-8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r>
        <w:tc>
          <w:tcPr/>
          <w:p>
            <w:pPr>
              <w:pStyle w:val="Compact"/>
            </w:pPr>
            <w:r>
              <w:rPr>
                <w:b/>
                <w:bCs/>
              </w:rPr>
              <w:t xml:space="preserve">layout</w:t>
            </w:r>
          </w:p>
        </w:tc>
        <w:tc>
          <w:tcPr/>
          <w:p>
            <w:pPr>
              <w:pStyle w:val="Compact"/>
            </w:pPr>
            <w:r>
              <w:t xml:space="preserve">String</w:t>
            </w:r>
          </w:p>
        </w:tc>
        <w:tc>
          <w:tcPr/>
          <w:p>
            <w:pPr>
              <w:pStyle w:val="Compact"/>
            </w:pPr>
            <w:r>
              <w:t xml:space="preserve">Yes</w:t>
            </w:r>
          </w:p>
        </w:tc>
        <w:tc>
          <w:tcPr/>
          <w:p>
            <w:pPr>
              <w:pStyle w:val="Compact"/>
            </w:pPr>
            <w:r>
              <w:t xml:space="preserve">Layout format for text output.</w:t>
            </w:r>
          </w:p>
        </w:tc>
      </w:tr>
    </w:tbl>
    <w:bookmarkEnd w:id="2093"/>
    <w:bookmarkStart w:id="2094" w:name="return-value-104"/>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text representation.</w:t>
      </w:r>
    </w:p>
    <w:bookmarkEnd w:id="2094"/>
    <w:bookmarkStart w:id="2095" w:name="example-10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dt.AppendText</w:t>
      </w:r>
      <w:r>
        <w:rPr>
          <w:rStyle w:val="OtherTok"/>
        </w:rPr>
        <w:t xml:space="preserve">(</w:t>
      </w:r>
      <w:r>
        <w:rPr>
          <w:rStyle w:val="FunctionTok"/>
        </w:rPr>
        <w:t xml:space="preserve">now</w:t>
      </w:r>
      <w:r>
        <w:rPr>
          <w:rStyle w:val="OtherTok"/>
        </w:rPr>
        <w:t xml:space="preserve">,</w:t>
      </w:r>
      <w:r>
        <w:rPr>
          <w:rStyle w:val="NormalTok"/>
        </w:rPr>
        <w:t xml:space="preserve"> </w:t>
      </w:r>
      <w:r>
        <w:rPr>
          <w:rStyle w:val="StringTok"/>
        </w:rPr>
        <w:t xml:space="preserve">"2006-01-02"</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095"/>
    <w:bookmarkEnd w:id="2096"/>
    <w:bookmarkStart w:id="2102" w:name="check-if-one-date-is-before-another"/>
    <w:p>
      <w:pPr>
        <w:pStyle w:val="Heading1"/>
      </w:pPr>
      <w:r>
        <w:t xml:space="preserve">Check if One Date Is Before Another</w:t>
      </w:r>
    </w:p>
    <w:bookmarkStart w:id="2097" w:name="overview-166"/>
    <w:p>
      <w:pPr>
        <w:pStyle w:val="Heading2"/>
      </w:pPr>
      <w:r>
        <w:t xml:space="preserve">Overview</w:t>
      </w:r>
    </w:p>
    <w:p>
      <w:pPr>
        <w:pStyle w:val="FirstParagraph"/>
      </w:pPr>
      <w:r>
        <w:t xml:space="preserve">Determines whether the first date occurs before the second date.</w:t>
      </w:r>
    </w:p>
    <w:bookmarkEnd w:id="2097"/>
    <w:bookmarkStart w:id="2098" w:name="syntax-180"/>
    <w:p>
      <w:pPr>
        <w:pStyle w:val="Heading2"/>
      </w:pPr>
      <w:r>
        <w:t xml:space="preserve">Syntax</w:t>
      </w:r>
    </w:p>
    <w:p>
      <w:pPr>
        <w:pStyle w:val="SourceCode"/>
      </w:pPr>
      <w:r>
        <w:rPr>
          <w:rStyle w:val="NormalTok"/>
        </w:rPr>
        <w:t xml:space="preserve">result = g3date.Before(date1, date2)</w:t>
      </w:r>
    </w:p>
    <w:bookmarkEnd w:id="2098"/>
    <w:bookmarkStart w:id="2099" w:name="parameters-8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date1</w:t>
            </w:r>
          </w:p>
        </w:tc>
        <w:tc>
          <w:tcPr/>
          <w:p>
            <w:pPr>
              <w:pStyle w:val="Compact"/>
            </w:pPr>
            <w:r>
              <w:t xml:space="preserve">Date</w:t>
            </w:r>
          </w:p>
        </w:tc>
        <w:tc>
          <w:tcPr/>
          <w:p>
            <w:pPr>
              <w:pStyle w:val="Compact"/>
            </w:pPr>
            <w:r>
              <w:t xml:space="preserve">Yes</w:t>
            </w:r>
          </w:p>
        </w:tc>
        <w:tc>
          <w:tcPr/>
          <w:p>
            <w:pPr>
              <w:pStyle w:val="Compact"/>
            </w:pPr>
            <w:r>
              <w:t xml:space="preserve">The date to test.</w:t>
            </w:r>
          </w:p>
        </w:tc>
      </w:tr>
      <w:tr>
        <w:tc>
          <w:tcPr/>
          <w:p>
            <w:pPr>
              <w:pStyle w:val="Compact"/>
            </w:pPr>
            <w:r>
              <w:rPr>
                <w:b/>
                <w:bCs/>
              </w:rPr>
              <w:t xml:space="preserve">date2</w:t>
            </w:r>
          </w:p>
        </w:tc>
        <w:tc>
          <w:tcPr/>
          <w:p>
            <w:pPr>
              <w:pStyle w:val="Compact"/>
            </w:pPr>
            <w:r>
              <w:t xml:space="preserve">Date</w:t>
            </w:r>
          </w:p>
        </w:tc>
        <w:tc>
          <w:tcPr/>
          <w:p>
            <w:pPr>
              <w:pStyle w:val="Compact"/>
            </w:pPr>
            <w:r>
              <w:t xml:space="preserve">Yes</w:t>
            </w:r>
          </w:p>
        </w:tc>
        <w:tc>
          <w:tcPr/>
          <w:p>
            <w:pPr>
              <w:pStyle w:val="Compact"/>
            </w:pPr>
            <w:r>
              <w:t xml:space="preserve">The reference date.</w:t>
            </w:r>
          </w:p>
        </w:tc>
      </w:tr>
    </w:tbl>
    <w:bookmarkEnd w:id="2099"/>
    <w:bookmarkStart w:id="2100" w:name="return-value-105"/>
    <w:p>
      <w:pPr>
        <w:pStyle w:val="Heading2"/>
      </w:pPr>
      <w:r>
        <w:t xml:space="preserve">Return Value</w:t>
      </w:r>
    </w:p>
    <w:p>
      <w:pPr>
        <w:pStyle w:val="FirstParagraph"/>
      </w:pPr>
      <w:r>
        <w:t xml:space="preserve">Returns a</w:t>
      </w:r>
      <w:r>
        <w:t xml:space="preserve"> </w:t>
      </w:r>
      <w:r>
        <w:rPr>
          <w:b/>
          <w:bCs/>
        </w:rPr>
        <w:t xml:space="preserve">Boolean</w:t>
      </w:r>
      <w:r>
        <w:t xml:space="preserve">: True if date1 is before date2, False otherwise.</w:t>
      </w:r>
    </w:p>
    <w:bookmarkEnd w:id="2100"/>
    <w:bookmarkStart w:id="2101" w:name="example-10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today</w:t>
      </w:r>
      <w:r>
        <w:rPr>
          <w:rStyle w:val="OtherTok"/>
        </w:rPr>
        <w:t xml:space="preserve">,</w:t>
      </w:r>
      <w:r>
        <w:rPr>
          <w:rStyle w:val="NormalTok"/>
        </w:rPr>
        <w:t xml:space="preserve"> yesterday</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today = dt.</w:t>
      </w:r>
      <w:r>
        <w:rPr>
          <w:rStyle w:val="FunctionTok"/>
        </w:rPr>
        <w:t xml:space="preserve">Now</w:t>
      </w:r>
      <w:r>
        <w:rPr>
          <w:rStyle w:val="OtherTok"/>
        </w:rPr>
        <w:t xml:space="preserve">()</w:t>
      </w:r>
      <w:r>
        <w:br/>
      </w:r>
      <w:r>
        <w:rPr>
          <w:rStyle w:val="NormalTok"/>
        </w:rPr>
        <w:t xml:space="preserve">yesterday = dt.AddDate</w:t>
      </w:r>
      <w:r>
        <w:rPr>
          <w:rStyle w:val="OtherTok"/>
        </w:rPr>
        <w:t xml:space="preserve">(</w:t>
      </w:r>
      <w:r>
        <w:rPr>
          <w:rStyle w:val="NormalTok"/>
        </w:rPr>
        <w:t xml:space="preserve">today</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1</w:t>
      </w:r>
      <w:r>
        <w:rPr>
          <w:rStyle w:val="OtherTok"/>
        </w:rPr>
        <w:t xml:space="preserve">)</w:t>
      </w:r>
      <w:r>
        <w:br/>
      </w:r>
      <w:r>
        <w:rPr>
          <w:rStyle w:val="ControlFlowTok"/>
        </w:rPr>
        <w:t xml:space="preserve">If</w:t>
      </w:r>
      <w:r>
        <w:rPr>
          <w:rStyle w:val="NormalTok"/>
        </w:rPr>
        <w:t xml:space="preserve"> dt.Before</w:t>
      </w:r>
      <w:r>
        <w:rPr>
          <w:rStyle w:val="OtherTok"/>
        </w:rPr>
        <w:t xml:space="preserve">(</w:t>
      </w:r>
      <w:r>
        <w:rPr>
          <w:rStyle w:val="NormalTok"/>
        </w:rPr>
        <w:t xml:space="preserve">yesterday</w:t>
      </w:r>
      <w:r>
        <w:rPr>
          <w:rStyle w:val="OtherTok"/>
        </w:rPr>
        <w:t xml:space="preserve">,</w:t>
      </w:r>
      <w:r>
        <w:rPr>
          <w:rStyle w:val="NormalTok"/>
        </w:rPr>
        <w:t xml:space="preserve"> today</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"Yesterday is before today"</w:t>
      </w:r>
      <w:r>
        <w:br/>
      </w:r>
      <w:r>
        <w:rPr>
          <w:rStyle w:val="ControlFlowTok"/>
        </w:rPr>
        <w:t xml:space="preserve">End If</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01"/>
    <w:bookmarkEnd w:id="2102"/>
    <w:bookmarkStart w:id="2108" w:name="get-the-clock-time-components"/>
    <w:p>
      <w:pPr>
        <w:pStyle w:val="Heading1"/>
      </w:pPr>
      <w:r>
        <w:t xml:space="preserve">Get the Clock Time Components</w:t>
      </w:r>
    </w:p>
    <w:bookmarkStart w:id="2103" w:name="overview-167"/>
    <w:p>
      <w:pPr>
        <w:pStyle w:val="Heading2"/>
      </w:pPr>
      <w:r>
        <w:t xml:space="preserve">Overview</w:t>
      </w:r>
    </w:p>
    <w:p>
      <w:pPr>
        <w:pStyle w:val="FirstParagraph"/>
      </w:pPr>
      <w:r>
        <w:t xml:space="preserve">Returns the clock time (hour, minute, second) as a three-element array.</w:t>
      </w:r>
    </w:p>
    <w:bookmarkEnd w:id="2103"/>
    <w:bookmarkStart w:id="2104" w:name="syntax-181"/>
    <w:p>
      <w:pPr>
        <w:pStyle w:val="Heading2"/>
      </w:pPr>
      <w:r>
        <w:t xml:space="preserve">Syntax</w:t>
      </w:r>
    </w:p>
    <w:p>
      <w:pPr>
        <w:pStyle w:val="SourceCode"/>
      </w:pPr>
      <w:r>
        <w:rPr>
          <w:rStyle w:val="NormalTok"/>
        </w:rPr>
        <w:t xml:space="preserve">arr = g3date.Clock(date)</w:t>
      </w:r>
    </w:p>
    <w:bookmarkEnd w:id="2104"/>
    <w:bookmarkStart w:id="2105" w:name="parameters-9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105"/>
    <w:bookmarkStart w:id="2106" w:name="return-value-106"/>
    <w:p>
      <w:pPr>
        <w:pStyle w:val="Heading2"/>
      </w:pPr>
      <w:r>
        <w:t xml:space="preserve">Return Value</w:t>
      </w:r>
    </w:p>
    <w:p>
      <w:pPr>
        <w:pStyle w:val="FirstParagraph"/>
      </w:pPr>
      <w:r>
        <w:t xml:space="preserve">Returns an</w:t>
      </w:r>
      <w:r>
        <w:t xml:space="preserve"> </w:t>
      </w:r>
      <w:r>
        <w:rPr>
          <w:b/>
          <w:bCs/>
        </w:rPr>
        <w:t xml:space="preserve">Array</w:t>
      </w:r>
      <w:r>
        <w:t xml:space="preserve"> </w:t>
      </w:r>
      <w:r>
        <w:t xml:space="preserve">with three elements:</w:t>
      </w:r>
      <w:r>
        <w:t xml:space="preserve"> </w:t>
      </w:r>
      <w:r>
        <w:rPr>
          <w:rStyle w:val="VerbatimChar"/>
        </w:rPr>
        <w:t xml:space="preserve">[hour, minute, second]</w:t>
      </w:r>
      <w:r>
        <w:t xml:space="preserve">.</w:t>
      </w:r>
    </w:p>
    <w:bookmarkEnd w:id="2106"/>
    <w:bookmarkStart w:id="2107" w:name="example-10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arr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arr = dt.Clock</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"Hour: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Minute: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Second: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2</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07"/>
    <w:bookmarkEnd w:id="2108"/>
    <w:bookmarkStart w:id="2115" w:name="convert-system-time-to-a-target-timezone"/>
    <w:p>
      <w:pPr>
        <w:pStyle w:val="Heading1"/>
      </w:pPr>
      <w:r>
        <w:t xml:space="preserve">Convert System Time to a Target Timezone</w:t>
      </w:r>
    </w:p>
    <w:bookmarkStart w:id="2109" w:name="overview-168"/>
    <w:p>
      <w:pPr>
        <w:pStyle w:val="Heading2"/>
      </w:pPr>
      <w:r>
        <w:t xml:space="preserve">Overview</w:t>
      </w:r>
    </w:p>
    <w:p>
      <w:pPr>
        <w:pStyle w:val="FirstParagraph"/>
      </w:pPr>
      <w:r>
        <w:t xml:space="preserve">Converts a date from the system default timezone to the specified target timezone.</w:t>
      </w:r>
    </w:p>
    <w:bookmarkEnd w:id="2109"/>
    <w:bookmarkStart w:id="2110" w:name="syntax-182"/>
    <w:p>
      <w:pPr>
        <w:pStyle w:val="Heading2"/>
      </w:pPr>
      <w:r>
        <w:t xml:space="preserve">Syntax</w:t>
      </w:r>
    </w:p>
    <w:p>
      <w:pPr>
        <w:pStyle w:val="SourceCode"/>
      </w:pPr>
      <w:r>
        <w:rPr>
          <w:rStyle w:val="NormalTok"/>
        </w:rPr>
        <w:t xml:space="preserve">result = g3date.ConvertSystemToZone(date, targetZone)</w:t>
      </w:r>
    </w:p>
    <w:bookmarkEnd w:id="2110"/>
    <w:bookmarkStart w:id="2111" w:name="parameters-9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A date value in the system timezone.</w:t>
            </w:r>
          </w:p>
        </w:tc>
      </w:tr>
      <w:tr>
        <w:tc>
          <w:tcPr/>
          <w:p>
            <w:pPr>
              <w:pStyle w:val="Compact"/>
            </w:pPr>
            <w:r>
              <w:rPr>
                <w:b/>
                <w:bCs/>
              </w:rPr>
              <w:t xml:space="preserve">targetZone</w:t>
            </w:r>
          </w:p>
        </w:tc>
        <w:tc>
          <w:tcPr/>
          <w:p>
            <w:pPr>
              <w:pStyle w:val="Compact"/>
            </w:pPr>
            <w:r>
              <w:t xml:space="preserve">String</w:t>
            </w:r>
          </w:p>
        </w:tc>
        <w:tc>
          <w:tcPr/>
          <w:p>
            <w:pPr>
              <w:pStyle w:val="Compact"/>
            </w:pPr>
            <w:r>
              <w:t xml:space="preserve">Yes</w:t>
            </w:r>
          </w:p>
        </w:tc>
        <w:tc>
          <w:tcPr/>
          <w:p>
            <w:pPr>
              <w:pStyle w:val="Compact"/>
            </w:pPr>
            <w:r>
              <w:t xml:space="preserve">IANA timezone identifier (e.g.,</w:t>
            </w:r>
            <w:r>
              <w:t xml:space="preserve"> </w:t>
            </w:r>
            <w:r>
              <w:t xml:space="preserve">“Europe/London”</w:t>
            </w:r>
            <w:r>
              <w:t xml:space="preserve">).</w:t>
            </w:r>
          </w:p>
        </w:tc>
      </w:tr>
    </w:tbl>
    <w:bookmarkEnd w:id="2111"/>
    <w:bookmarkStart w:id="2112" w:name="return-value-107"/>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same instant expressed in the target timezone.</w:t>
      </w:r>
    </w:p>
    <w:bookmarkEnd w:id="2112"/>
    <w:bookmarkStart w:id="2113" w:name="remarks-191"/>
    <w:p>
      <w:pPr>
        <w:pStyle w:val="Heading2"/>
      </w:pPr>
      <w:r>
        <w:t xml:space="preserve">Remarks</w:t>
      </w:r>
    </w:p>
    <w:p>
      <w:pPr>
        <w:pStyle w:val="Compact"/>
        <w:numPr>
          <w:ilvl w:val="0"/>
          <w:numId w:val="1574"/>
        </w:numPr>
      </w:pPr>
      <w:r>
        <w:t xml:space="preserve">The input date is assumed to be in the system timezone configured in</w:t>
      </w:r>
      <w:r>
        <w:t xml:space="preserve"> </w:t>
      </w:r>
      <w:r>
        <w:rPr>
          <w:rStyle w:val="VerbatimChar"/>
        </w:rPr>
        <w:t xml:space="preserve">axonasp.toml</w:t>
      </w:r>
      <w:r>
        <w:t xml:space="preserve">.</w:t>
      </w:r>
    </w:p>
    <w:p>
      <w:pPr>
        <w:pStyle w:val="Compact"/>
        <w:numPr>
          <w:ilvl w:val="0"/>
          <w:numId w:val="1574"/>
        </w:numPr>
      </w:pPr>
      <w:r>
        <w:t xml:space="preserve">Invalid timezone names cause a fallback to the system default timezone.</w:t>
      </w:r>
    </w:p>
    <w:bookmarkEnd w:id="2113"/>
    <w:bookmarkStart w:id="2114" w:name="example-11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londonTime</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londonTime = dt.ConvertSystemToZone</w:t>
      </w:r>
      <w:r>
        <w:rPr>
          <w:rStyle w:val="OtherTok"/>
        </w:rPr>
        <w:t xml:space="preserve">(</w:t>
      </w:r>
      <w:r>
        <w:rPr>
          <w:rStyle w:val="FunctionTok"/>
        </w:rPr>
        <w:t xml:space="preserve">now</w:t>
      </w:r>
      <w:r>
        <w:rPr>
          <w:rStyle w:val="OtherTok"/>
        </w:rPr>
        <w:t xml:space="preserve">,</w:t>
      </w:r>
      <w:r>
        <w:rPr>
          <w:rStyle w:val="NormalTok"/>
        </w:rPr>
        <w:t xml:space="preserve"> </w:t>
      </w:r>
      <w:r>
        <w:rPr>
          <w:rStyle w:val="StringTok"/>
        </w:rPr>
        <w:t xml:space="preserve">"Europe/London"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"London time: "</w:t>
      </w:r>
      <w:r>
        <w:rPr>
          <w:rStyle w:val="NormalTok"/>
        </w:rPr>
        <w:t xml:space="preserve"> </w:t>
      </w:r>
      <w:r>
        <w:rPr>
          <w:rStyle w:val="KeywordTok"/>
        </w:rPr>
        <w:t xml:space="preserve">&amp;</w:t>
      </w:r>
      <w:r>
        <w:rPr>
          <w:rStyle w:val="NormalTok"/>
        </w:rPr>
        <w:t xml:space="preserve"> londonTime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14"/>
    <w:bookmarkEnd w:id="2115"/>
    <w:bookmarkStart w:id="2122" w:name="convert-utc-date-to-target-timezone"/>
    <w:p>
      <w:pPr>
        <w:pStyle w:val="Heading1"/>
      </w:pPr>
      <w:r>
        <w:t xml:space="preserve">Convert UTC Date to Target Timezone</w:t>
      </w:r>
    </w:p>
    <w:bookmarkStart w:id="2116" w:name="overview-169"/>
    <w:p>
      <w:pPr>
        <w:pStyle w:val="Heading2"/>
      </w:pPr>
      <w:r>
        <w:t xml:space="preserve">Overview</w:t>
      </w:r>
    </w:p>
    <w:p>
      <w:pPr>
        <w:pStyle w:val="FirstParagraph"/>
      </w:pPr>
      <w:r>
        <w:t xml:space="preserve">Converts a UTC date value to the specified target timezone.</w:t>
      </w:r>
    </w:p>
    <w:bookmarkEnd w:id="2116"/>
    <w:bookmarkStart w:id="2117" w:name="syntax-183"/>
    <w:p>
      <w:pPr>
        <w:pStyle w:val="Heading2"/>
      </w:pPr>
      <w:r>
        <w:t xml:space="preserve">Syntax</w:t>
      </w:r>
    </w:p>
    <w:p>
      <w:pPr>
        <w:pStyle w:val="SourceCode"/>
      </w:pPr>
      <w:r>
        <w:rPr>
          <w:rStyle w:val="NormalTok"/>
        </w:rPr>
        <w:t xml:space="preserve">result = g3date.ConvertUTCtoZone(date, targetZone)</w:t>
      </w:r>
    </w:p>
    <w:bookmarkEnd w:id="2117"/>
    <w:bookmarkStart w:id="2118" w:name="parameters-9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A date value in UTC.</w:t>
            </w:r>
          </w:p>
        </w:tc>
      </w:tr>
      <w:tr>
        <w:tc>
          <w:tcPr/>
          <w:p>
            <w:pPr>
              <w:pStyle w:val="Compact"/>
            </w:pPr>
            <w:r>
              <w:rPr>
                <w:b/>
                <w:bCs/>
              </w:rPr>
              <w:t xml:space="preserve">targetZone</w:t>
            </w:r>
          </w:p>
        </w:tc>
        <w:tc>
          <w:tcPr/>
          <w:p>
            <w:pPr>
              <w:pStyle w:val="Compact"/>
            </w:pPr>
            <w:r>
              <w:t xml:space="preserve">String</w:t>
            </w:r>
          </w:p>
        </w:tc>
        <w:tc>
          <w:tcPr/>
          <w:p>
            <w:pPr>
              <w:pStyle w:val="Compact"/>
            </w:pPr>
            <w:r>
              <w:t xml:space="preserve">Yes</w:t>
            </w:r>
          </w:p>
        </w:tc>
        <w:tc>
          <w:tcPr/>
          <w:p>
            <w:pPr>
              <w:pStyle w:val="Compact"/>
            </w:pPr>
            <w:r>
              <w:t xml:space="preserve">IANA timezone identifier (e.g.,</w:t>
            </w:r>
            <w:r>
              <w:t xml:space="preserve"> </w:t>
            </w:r>
            <w:r>
              <w:t xml:space="preserve">“America/New_York”</w:t>
            </w:r>
            <w:r>
              <w:t xml:space="preserve">).</w:t>
            </w:r>
          </w:p>
        </w:tc>
      </w:tr>
    </w:tbl>
    <w:bookmarkEnd w:id="2118"/>
    <w:bookmarkStart w:id="2119" w:name="return-value-108"/>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same instant expressed in the target timezone.</w:t>
      </w:r>
    </w:p>
    <w:bookmarkEnd w:id="2119"/>
    <w:bookmarkStart w:id="2120" w:name="remarks-192"/>
    <w:p>
      <w:pPr>
        <w:pStyle w:val="Heading2"/>
      </w:pPr>
      <w:r>
        <w:t xml:space="preserve">Remarks</w:t>
      </w:r>
    </w:p>
    <w:p>
      <w:pPr>
        <w:pStyle w:val="Compact"/>
        <w:numPr>
          <w:ilvl w:val="0"/>
          <w:numId w:val="1575"/>
        </w:numPr>
      </w:pPr>
      <w:r>
        <w:t xml:space="preserve">The input date is assumed to be in UTC.</w:t>
      </w:r>
    </w:p>
    <w:p>
      <w:pPr>
        <w:pStyle w:val="Compact"/>
        <w:numPr>
          <w:ilvl w:val="0"/>
          <w:numId w:val="1575"/>
        </w:numPr>
      </w:pPr>
      <w:r>
        <w:t xml:space="preserve">Invalid timezone names cause a fallback to the system default timezone.</w:t>
      </w:r>
    </w:p>
    <w:bookmarkEnd w:id="2120"/>
    <w:bookmarkStart w:id="2121" w:name="example-11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utcNow</w:t>
      </w:r>
      <w:r>
        <w:rPr>
          <w:rStyle w:val="OtherTok"/>
        </w:rPr>
        <w:t xml:space="preserve">,</w:t>
      </w:r>
      <w:r>
        <w:rPr>
          <w:rStyle w:val="NormalTok"/>
        </w:rPr>
        <w:t xml:space="preserve"> nyTime</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utcNow = dt.UTCNow</w:t>
      </w:r>
      <w:r>
        <w:rPr>
          <w:rStyle w:val="OtherTok"/>
        </w:rPr>
        <w:t xml:space="preserve">()</w:t>
      </w:r>
      <w:r>
        <w:br/>
      </w:r>
      <w:r>
        <w:rPr>
          <w:rStyle w:val="NormalTok"/>
        </w:rPr>
        <w:t xml:space="preserve">nyTime = dt.ConvertUTCtoZone</w:t>
      </w:r>
      <w:r>
        <w:rPr>
          <w:rStyle w:val="OtherTok"/>
        </w:rPr>
        <w:t xml:space="preserve">(</w:t>
      </w:r>
      <w:r>
        <w:rPr>
          <w:rStyle w:val="NormalTok"/>
        </w:rPr>
        <w:t xml:space="preserve">utcNow</w:t>
      </w:r>
      <w:r>
        <w:rPr>
          <w:rStyle w:val="OtherTok"/>
        </w:rPr>
        <w:t xml:space="preserve">,</w:t>
      </w:r>
      <w:r>
        <w:rPr>
          <w:rStyle w:val="NormalTok"/>
        </w:rPr>
        <w:t xml:space="preserve"> </w:t>
      </w:r>
      <w:r>
        <w:rPr>
          <w:rStyle w:val="StringTok"/>
        </w:rPr>
        <w:t xml:space="preserve">"America/New_York"</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"New York time: "</w:t>
      </w:r>
      <w:r>
        <w:rPr>
          <w:rStyle w:val="NormalTok"/>
        </w:rPr>
        <w:t xml:space="preserve"> </w:t>
      </w:r>
      <w:r>
        <w:rPr>
          <w:rStyle w:val="KeywordTok"/>
        </w:rPr>
        <w:t xml:space="preserve">&amp;</w:t>
      </w:r>
      <w:r>
        <w:rPr>
          <w:rStyle w:val="NormalTok"/>
        </w:rPr>
        <w:t xml:space="preserve"> nyTime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21"/>
    <w:bookmarkEnd w:id="2122"/>
    <w:bookmarkStart w:id="2129" w:name="convert-date-from-source-timezone-to-utc"/>
    <w:p>
      <w:pPr>
        <w:pStyle w:val="Heading1"/>
      </w:pPr>
      <w:r>
        <w:t xml:space="preserve">Convert Date from Source Timezone to UTC</w:t>
      </w:r>
    </w:p>
    <w:bookmarkStart w:id="2123" w:name="overview-170"/>
    <w:p>
      <w:pPr>
        <w:pStyle w:val="Heading2"/>
      </w:pPr>
      <w:r>
        <w:t xml:space="preserve">Overview</w:t>
      </w:r>
    </w:p>
    <w:p>
      <w:pPr>
        <w:pStyle w:val="FirstParagraph"/>
      </w:pPr>
      <w:r>
        <w:t xml:space="preserve">Converts a date from a specified source timezone to UTC.</w:t>
      </w:r>
    </w:p>
    <w:bookmarkEnd w:id="2123"/>
    <w:bookmarkStart w:id="2124" w:name="syntax-184"/>
    <w:p>
      <w:pPr>
        <w:pStyle w:val="Heading2"/>
      </w:pPr>
      <w:r>
        <w:t xml:space="preserve">Syntax</w:t>
      </w:r>
    </w:p>
    <w:p>
      <w:pPr>
        <w:pStyle w:val="SourceCode"/>
      </w:pPr>
      <w:r>
        <w:rPr>
          <w:rStyle w:val="NormalTok"/>
        </w:rPr>
        <w:t xml:space="preserve">result = g3date.ConvertZoneToUTC(date, sourceZone)</w:t>
      </w:r>
    </w:p>
    <w:bookmarkEnd w:id="2124"/>
    <w:bookmarkStart w:id="2125" w:name="parameters-9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A date value in the source timezone.</w:t>
            </w:r>
          </w:p>
        </w:tc>
      </w:tr>
      <w:tr>
        <w:tc>
          <w:tcPr/>
          <w:p>
            <w:pPr>
              <w:pStyle w:val="Compact"/>
            </w:pPr>
            <w:r>
              <w:rPr>
                <w:b/>
                <w:bCs/>
              </w:rPr>
              <w:t xml:space="preserve">sourceZone</w:t>
            </w:r>
          </w:p>
        </w:tc>
        <w:tc>
          <w:tcPr/>
          <w:p>
            <w:pPr>
              <w:pStyle w:val="Compact"/>
            </w:pPr>
            <w:r>
              <w:t xml:space="preserve">String</w:t>
            </w:r>
          </w:p>
        </w:tc>
        <w:tc>
          <w:tcPr/>
          <w:p>
            <w:pPr>
              <w:pStyle w:val="Compact"/>
            </w:pPr>
            <w:r>
              <w:t xml:space="preserve">Yes</w:t>
            </w:r>
          </w:p>
        </w:tc>
        <w:tc>
          <w:tcPr/>
          <w:p>
            <w:pPr>
              <w:pStyle w:val="Compact"/>
            </w:pPr>
            <w:r>
              <w:t xml:space="preserve">IANA timezone identifier of the source (e.g.,</w:t>
            </w:r>
            <w:r>
              <w:t xml:space="preserve"> </w:t>
            </w:r>
            <w:r>
              <w:t xml:space="preserve">“America/New_York”</w:t>
            </w:r>
            <w:r>
              <w:t xml:space="preserve">).</w:t>
            </w:r>
          </w:p>
        </w:tc>
      </w:tr>
    </w:tbl>
    <w:bookmarkEnd w:id="2125"/>
    <w:bookmarkStart w:id="2126" w:name="return-value-109"/>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converted to UTC.</w:t>
      </w:r>
    </w:p>
    <w:bookmarkEnd w:id="2126"/>
    <w:bookmarkStart w:id="2127" w:name="remarks-193"/>
    <w:p>
      <w:pPr>
        <w:pStyle w:val="Heading2"/>
      </w:pPr>
      <w:r>
        <w:t xml:space="preserve">Remarks</w:t>
      </w:r>
    </w:p>
    <w:p>
      <w:pPr>
        <w:pStyle w:val="Compact"/>
        <w:numPr>
          <w:ilvl w:val="0"/>
          <w:numId w:val="1576"/>
        </w:numPr>
      </w:pPr>
      <w:r>
        <w:t xml:space="preserve">The time components of the input date are interpreted as being in the source timezone.</w:t>
      </w:r>
    </w:p>
    <w:p>
      <w:pPr>
        <w:pStyle w:val="Compact"/>
        <w:numPr>
          <w:ilvl w:val="0"/>
          <w:numId w:val="1576"/>
        </w:numPr>
      </w:pPr>
      <w:r>
        <w:t xml:space="preserve">DST adjustments are automatically applied.</w:t>
      </w:r>
    </w:p>
    <w:bookmarkEnd w:id="2127"/>
    <w:bookmarkStart w:id="2128" w:name="example-11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nyTime</w:t>
      </w:r>
      <w:r>
        <w:rPr>
          <w:rStyle w:val="OtherTok"/>
        </w:rPr>
        <w:t xml:space="preserve">,</w:t>
      </w:r>
      <w:r>
        <w:rPr>
          <w:rStyle w:val="NormalTok"/>
        </w:rPr>
        <w:t xml:space="preserve"> utcTime</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nyTime = dt.</w:t>
      </w:r>
      <w:r>
        <w:rPr>
          <w:rStyle w:val="FunctionTok"/>
        </w:rPr>
        <w:t xml:space="preserve">Now</w:t>
      </w:r>
      <w:r>
        <w:rPr>
          <w:rStyle w:val="OtherTok"/>
        </w:rPr>
        <w:t xml:space="preserve">()</w:t>
      </w:r>
      <w:r>
        <w:br/>
      </w:r>
      <w:r>
        <w:rPr>
          <w:rStyle w:val="NormalTok"/>
        </w:rPr>
        <w:t xml:space="preserve">utcTime = dt.ConvertZoneToUTC</w:t>
      </w:r>
      <w:r>
        <w:rPr>
          <w:rStyle w:val="OtherTok"/>
        </w:rPr>
        <w:t xml:space="preserve">(</w:t>
      </w:r>
      <w:r>
        <w:rPr>
          <w:rStyle w:val="NormalTok"/>
        </w:rPr>
        <w:t xml:space="preserve">nyTime</w:t>
      </w:r>
      <w:r>
        <w:rPr>
          <w:rStyle w:val="OtherTok"/>
        </w:rPr>
        <w:t xml:space="preserve">,</w:t>
      </w:r>
      <w:r>
        <w:rPr>
          <w:rStyle w:val="NormalTok"/>
        </w:rPr>
        <w:t xml:space="preserve"> </w:t>
      </w:r>
      <w:r>
        <w:rPr>
          <w:rStyle w:val="StringTok"/>
        </w:rPr>
        <w:t xml:space="preserve">"America/New_York"</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"UTC time: "</w:t>
      </w:r>
      <w:r>
        <w:rPr>
          <w:rStyle w:val="NormalTok"/>
        </w:rPr>
        <w:t xml:space="preserve"> </w:t>
      </w:r>
      <w:r>
        <w:rPr>
          <w:rStyle w:val="KeywordTok"/>
        </w:rPr>
        <w:t xml:space="preserve">&amp;</w:t>
      </w:r>
      <w:r>
        <w:rPr>
          <w:rStyle w:val="NormalTok"/>
        </w:rPr>
        <w:t xml:space="preserve"> utcTime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28"/>
    <w:bookmarkEnd w:id="2129"/>
    <w:bookmarkStart w:id="2136" w:name="convert-between-two-timezones"/>
    <w:p>
      <w:pPr>
        <w:pStyle w:val="Heading1"/>
      </w:pPr>
      <w:r>
        <w:t xml:space="preserve">Convert Between Two Timezones</w:t>
      </w:r>
    </w:p>
    <w:bookmarkStart w:id="2130" w:name="overview-171"/>
    <w:p>
      <w:pPr>
        <w:pStyle w:val="Heading2"/>
      </w:pPr>
      <w:r>
        <w:t xml:space="preserve">Overview</w:t>
      </w:r>
    </w:p>
    <w:p>
      <w:pPr>
        <w:pStyle w:val="FirstParagraph"/>
      </w:pPr>
      <w:r>
        <w:t xml:space="preserve">Converts a date from one source timezone to another target timezone.</w:t>
      </w:r>
    </w:p>
    <w:bookmarkEnd w:id="2130"/>
    <w:bookmarkStart w:id="2131" w:name="syntax-185"/>
    <w:p>
      <w:pPr>
        <w:pStyle w:val="Heading2"/>
      </w:pPr>
      <w:r>
        <w:t xml:space="preserve">Syntax</w:t>
      </w:r>
    </w:p>
    <w:p>
      <w:pPr>
        <w:pStyle w:val="SourceCode"/>
      </w:pPr>
      <w:r>
        <w:rPr>
          <w:rStyle w:val="NormalTok"/>
        </w:rPr>
        <w:t xml:space="preserve">result = g3date.ConvertZoneToZone(date, sourceZone, targetZone)</w:t>
      </w:r>
    </w:p>
    <w:bookmarkEnd w:id="2131"/>
    <w:bookmarkStart w:id="2132" w:name="parameters-9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A date value in the source timezone.</w:t>
            </w:r>
          </w:p>
        </w:tc>
      </w:tr>
      <w:tr>
        <w:tc>
          <w:tcPr/>
          <w:p>
            <w:pPr>
              <w:pStyle w:val="Compact"/>
            </w:pPr>
            <w:r>
              <w:rPr>
                <w:b/>
                <w:bCs/>
              </w:rPr>
              <w:t xml:space="preserve">sourceZone</w:t>
            </w:r>
          </w:p>
        </w:tc>
        <w:tc>
          <w:tcPr/>
          <w:p>
            <w:pPr>
              <w:pStyle w:val="Compact"/>
            </w:pPr>
            <w:r>
              <w:t xml:space="preserve">String</w:t>
            </w:r>
          </w:p>
        </w:tc>
        <w:tc>
          <w:tcPr/>
          <w:p>
            <w:pPr>
              <w:pStyle w:val="Compact"/>
            </w:pPr>
            <w:r>
              <w:t xml:space="preserve">Yes</w:t>
            </w:r>
          </w:p>
        </w:tc>
        <w:tc>
          <w:tcPr/>
          <w:p>
            <w:pPr>
              <w:pStyle w:val="Compact"/>
            </w:pPr>
            <w:r>
              <w:t xml:space="preserve">IANA timezone identifier of the source.</w:t>
            </w:r>
          </w:p>
        </w:tc>
      </w:tr>
      <w:tr>
        <w:tc>
          <w:tcPr/>
          <w:p>
            <w:pPr>
              <w:pStyle w:val="Compact"/>
            </w:pPr>
            <w:r>
              <w:rPr>
                <w:b/>
                <w:bCs/>
              </w:rPr>
              <w:t xml:space="preserve">targetZone</w:t>
            </w:r>
          </w:p>
        </w:tc>
        <w:tc>
          <w:tcPr/>
          <w:p>
            <w:pPr>
              <w:pStyle w:val="Compact"/>
            </w:pPr>
            <w:r>
              <w:t xml:space="preserve">String</w:t>
            </w:r>
          </w:p>
        </w:tc>
        <w:tc>
          <w:tcPr/>
          <w:p>
            <w:pPr>
              <w:pStyle w:val="Compact"/>
            </w:pPr>
            <w:r>
              <w:t xml:space="preserve">Yes</w:t>
            </w:r>
          </w:p>
        </w:tc>
        <w:tc>
          <w:tcPr/>
          <w:p>
            <w:pPr>
              <w:pStyle w:val="Compact"/>
            </w:pPr>
            <w:r>
              <w:t xml:space="preserve">IANA timezone identifier of the target.</w:t>
            </w:r>
          </w:p>
        </w:tc>
      </w:tr>
    </w:tbl>
    <w:bookmarkEnd w:id="2132"/>
    <w:bookmarkStart w:id="2133" w:name="return-value-110"/>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same instant in the target timezone.</w:t>
      </w:r>
    </w:p>
    <w:bookmarkEnd w:id="2133"/>
    <w:bookmarkStart w:id="2134" w:name="remarks-194"/>
    <w:p>
      <w:pPr>
        <w:pStyle w:val="Heading2"/>
      </w:pPr>
      <w:r>
        <w:t xml:space="preserve">Remarks</w:t>
      </w:r>
    </w:p>
    <w:p>
      <w:pPr>
        <w:pStyle w:val="Compact"/>
        <w:numPr>
          <w:ilvl w:val="0"/>
          <w:numId w:val="1577"/>
        </w:numPr>
      </w:pPr>
      <w:r>
        <w:t xml:space="preserve">Both timezone names must be valid IANA identifiers.</w:t>
      </w:r>
    </w:p>
    <w:p>
      <w:pPr>
        <w:pStyle w:val="Compact"/>
        <w:numPr>
          <w:ilvl w:val="0"/>
          <w:numId w:val="1577"/>
        </w:numPr>
      </w:pPr>
      <w:r>
        <w:t xml:space="preserve">DST adjustments are automatically applied for both zones.</w:t>
      </w:r>
    </w:p>
    <w:p>
      <w:pPr>
        <w:pStyle w:val="Compact"/>
        <w:numPr>
          <w:ilvl w:val="0"/>
          <w:numId w:val="1577"/>
        </w:numPr>
      </w:pPr>
      <w:r>
        <w:t xml:space="preserve">The time components of the input date are interpreted as being in the source timezone.</w:t>
      </w:r>
    </w:p>
    <w:bookmarkEnd w:id="2134"/>
    <w:bookmarkStart w:id="2135" w:name="example-11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nyTime</w:t>
      </w:r>
      <w:r>
        <w:rPr>
          <w:rStyle w:val="OtherTok"/>
        </w:rPr>
        <w:t xml:space="preserve">,</w:t>
      </w:r>
      <w:r>
        <w:rPr>
          <w:rStyle w:val="NormalTok"/>
        </w:rPr>
        <w:t xml:space="preserve"> tokyoTime</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nyTime = dt.</w:t>
      </w:r>
      <w:r>
        <w:rPr>
          <w:rStyle w:val="FunctionTok"/>
        </w:rPr>
        <w:t xml:space="preserve">Now</w:t>
      </w:r>
      <w:r>
        <w:rPr>
          <w:rStyle w:val="OtherTok"/>
        </w:rPr>
        <w:t xml:space="preserve">()</w:t>
      </w:r>
      <w:r>
        <w:br/>
      </w:r>
      <w:r>
        <w:rPr>
          <w:rStyle w:val="NormalTok"/>
        </w:rPr>
        <w:t xml:space="preserve">tokyoTime = dt.ConvertZoneToZone</w:t>
      </w:r>
      <w:r>
        <w:rPr>
          <w:rStyle w:val="OtherTok"/>
        </w:rPr>
        <w:t xml:space="preserve">(</w:t>
      </w:r>
      <w:r>
        <w:rPr>
          <w:rStyle w:val="NormalTok"/>
        </w:rPr>
        <w:t xml:space="preserve">nyTime</w:t>
      </w:r>
      <w:r>
        <w:rPr>
          <w:rStyle w:val="OtherTok"/>
        </w:rPr>
        <w:t xml:space="preserve">,</w:t>
      </w:r>
      <w:r>
        <w:rPr>
          <w:rStyle w:val="NormalTok"/>
        </w:rPr>
        <w:t xml:space="preserve"> </w:t>
      </w:r>
      <w:r>
        <w:rPr>
          <w:rStyle w:val="StringTok"/>
        </w:rPr>
        <w:t xml:space="preserve">"America/New_York"</w:t>
      </w:r>
      <w:r>
        <w:rPr>
          <w:rStyle w:val="OtherTok"/>
        </w:rPr>
        <w:t xml:space="preserve">,</w:t>
      </w:r>
      <w:r>
        <w:rPr>
          <w:rStyle w:val="NormalTok"/>
        </w:rPr>
        <w:t xml:space="preserve"> </w:t>
      </w:r>
      <w:r>
        <w:rPr>
          <w:rStyle w:val="StringTok"/>
        </w:rPr>
        <w:t xml:space="preserve">"Asia/Tokyo"</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"Tokyo time: "</w:t>
      </w:r>
      <w:r>
        <w:rPr>
          <w:rStyle w:val="NormalTok"/>
        </w:rPr>
        <w:t xml:space="preserve"> </w:t>
      </w:r>
      <w:r>
        <w:rPr>
          <w:rStyle w:val="KeywordTok"/>
        </w:rPr>
        <w:t xml:space="preserve">&amp;</w:t>
      </w:r>
      <w:r>
        <w:rPr>
          <w:rStyle w:val="NormalTok"/>
        </w:rPr>
        <w:t xml:space="preserve"> tokyoTime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35"/>
    <w:bookmarkEnd w:id="2136"/>
    <w:bookmarkStart w:id="2143" w:name="construct-a-date-from-components"/>
    <w:p>
      <w:pPr>
        <w:pStyle w:val="Heading1"/>
      </w:pPr>
      <w:r>
        <w:t xml:space="preserve">Construct a Date from Components</w:t>
      </w:r>
    </w:p>
    <w:bookmarkStart w:id="2137" w:name="overview-172"/>
    <w:p>
      <w:pPr>
        <w:pStyle w:val="Heading2"/>
      </w:pPr>
      <w:r>
        <w:t xml:space="preserve">Overview</w:t>
      </w:r>
    </w:p>
    <w:p>
      <w:pPr>
        <w:pStyle w:val="FirstParagraph"/>
      </w:pPr>
      <w:r>
        <w:t xml:space="preserve">Creates a date value from individual year, month, day, and optional time components.</w:t>
      </w:r>
    </w:p>
    <w:bookmarkEnd w:id="2137"/>
    <w:bookmarkStart w:id="2138" w:name="syntax-186"/>
    <w:p>
      <w:pPr>
        <w:pStyle w:val="Heading2"/>
      </w:pPr>
      <w:r>
        <w:t xml:space="preserve">Syntax</w:t>
      </w:r>
    </w:p>
    <w:p>
      <w:pPr>
        <w:pStyle w:val="SourceCode"/>
      </w:pPr>
      <w:r>
        <w:rPr>
          <w:rStyle w:val="NormalTok"/>
        </w:rPr>
        <w:t xml:space="preserve">result = g3date.Date(year, month, day [, hour, minute, second, nanosecond, timezone])</w:t>
      </w:r>
    </w:p>
    <w:bookmarkEnd w:id="2138"/>
    <w:bookmarkStart w:id="2139" w:name="parameters-9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year</w:t>
            </w:r>
          </w:p>
        </w:tc>
        <w:tc>
          <w:tcPr/>
          <w:p>
            <w:pPr>
              <w:pStyle w:val="Compact"/>
            </w:pPr>
            <w:r>
              <w:t xml:space="preserve">Integer</w:t>
            </w:r>
          </w:p>
        </w:tc>
        <w:tc>
          <w:tcPr/>
          <w:p>
            <w:pPr>
              <w:pStyle w:val="Compact"/>
            </w:pPr>
            <w:r>
              <w:t xml:space="preserve">Yes</w:t>
            </w:r>
          </w:p>
        </w:tc>
        <w:tc>
          <w:tcPr/>
          <w:p>
            <w:pPr>
              <w:pStyle w:val="Compact"/>
            </w:pPr>
            <w:r>
              <w:t xml:space="preserve">Year (e.g., 2026).</w:t>
            </w:r>
          </w:p>
        </w:tc>
      </w:tr>
      <w:tr>
        <w:tc>
          <w:tcPr/>
          <w:p>
            <w:pPr>
              <w:pStyle w:val="Compact"/>
            </w:pPr>
            <w:r>
              <w:rPr>
                <w:b/>
                <w:bCs/>
              </w:rPr>
              <w:t xml:space="preserve">month</w:t>
            </w:r>
          </w:p>
        </w:tc>
        <w:tc>
          <w:tcPr/>
          <w:p>
            <w:pPr>
              <w:pStyle w:val="Compact"/>
            </w:pPr>
            <w:r>
              <w:t xml:space="preserve">Integer</w:t>
            </w:r>
          </w:p>
        </w:tc>
        <w:tc>
          <w:tcPr/>
          <w:p>
            <w:pPr>
              <w:pStyle w:val="Compact"/>
            </w:pPr>
            <w:r>
              <w:t xml:space="preserve">Yes</w:t>
            </w:r>
          </w:p>
        </w:tc>
        <w:tc>
          <w:tcPr/>
          <w:p>
            <w:pPr>
              <w:pStyle w:val="Compact"/>
            </w:pPr>
            <w:r>
              <w:t xml:space="preserve">Month (1-12).</w:t>
            </w:r>
          </w:p>
        </w:tc>
      </w:tr>
      <w:tr>
        <w:tc>
          <w:tcPr/>
          <w:p>
            <w:pPr>
              <w:pStyle w:val="Compact"/>
            </w:pPr>
            <w:r>
              <w:rPr>
                <w:b/>
                <w:bCs/>
              </w:rPr>
              <w:t xml:space="preserve">day</w:t>
            </w:r>
          </w:p>
        </w:tc>
        <w:tc>
          <w:tcPr/>
          <w:p>
            <w:pPr>
              <w:pStyle w:val="Compact"/>
            </w:pPr>
            <w:r>
              <w:t xml:space="preserve">Integer</w:t>
            </w:r>
          </w:p>
        </w:tc>
        <w:tc>
          <w:tcPr/>
          <w:p>
            <w:pPr>
              <w:pStyle w:val="Compact"/>
            </w:pPr>
            <w:r>
              <w:t xml:space="preserve">Yes</w:t>
            </w:r>
          </w:p>
        </w:tc>
        <w:tc>
          <w:tcPr/>
          <w:p>
            <w:pPr>
              <w:pStyle w:val="Compact"/>
            </w:pPr>
            <w:r>
              <w:t xml:space="preserve">Day (1-31).</w:t>
            </w:r>
          </w:p>
        </w:tc>
      </w:tr>
      <w:tr>
        <w:tc>
          <w:tcPr/>
          <w:p>
            <w:pPr>
              <w:pStyle w:val="Compact"/>
            </w:pPr>
            <w:r>
              <w:rPr>
                <w:b/>
                <w:bCs/>
              </w:rPr>
              <w:t xml:space="preserve">hour</w:t>
            </w:r>
          </w:p>
        </w:tc>
        <w:tc>
          <w:tcPr/>
          <w:p>
            <w:pPr>
              <w:pStyle w:val="Compact"/>
            </w:pPr>
            <w:r>
              <w:t xml:space="preserve">Integer</w:t>
            </w:r>
          </w:p>
        </w:tc>
        <w:tc>
          <w:tcPr/>
          <w:p>
            <w:pPr>
              <w:pStyle w:val="Compact"/>
            </w:pPr>
            <w:r>
              <w:t xml:space="preserve">No</w:t>
            </w:r>
          </w:p>
        </w:tc>
        <w:tc>
          <w:tcPr/>
          <w:p>
            <w:pPr>
              <w:pStyle w:val="Compact"/>
            </w:pPr>
            <w:r>
              <w:t xml:space="preserve">Hour (0-23, default: 0).</w:t>
            </w:r>
          </w:p>
        </w:tc>
      </w:tr>
      <w:tr>
        <w:tc>
          <w:tcPr/>
          <w:p>
            <w:pPr>
              <w:pStyle w:val="Compact"/>
            </w:pPr>
            <w:r>
              <w:rPr>
                <w:b/>
                <w:bCs/>
              </w:rPr>
              <w:t xml:space="preserve">minute</w:t>
            </w:r>
          </w:p>
        </w:tc>
        <w:tc>
          <w:tcPr/>
          <w:p>
            <w:pPr>
              <w:pStyle w:val="Compact"/>
            </w:pPr>
            <w:r>
              <w:t xml:space="preserve">Integer</w:t>
            </w:r>
          </w:p>
        </w:tc>
        <w:tc>
          <w:tcPr/>
          <w:p>
            <w:pPr>
              <w:pStyle w:val="Compact"/>
            </w:pPr>
            <w:r>
              <w:t xml:space="preserve">No</w:t>
            </w:r>
          </w:p>
        </w:tc>
        <w:tc>
          <w:tcPr/>
          <w:p>
            <w:pPr>
              <w:pStyle w:val="Compact"/>
            </w:pPr>
            <w:r>
              <w:t xml:space="preserve">Minute (0-59, default: 0).</w:t>
            </w:r>
          </w:p>
        </w:tc>
      </w:tr>
      <w:tr>
        <w:tc>
          <w:tcPr/>
          <w:p>
            <w:pPr>
              <w:pStyle w:val="Compact"/>
            </w:pPr>
            <w:r>
              <w:rPr>
                <w:b/>
                <w:bCs/>
              </w:rPr>
              <w:t xml:space="preserve">second</w:t>
            </w:r>
          </w:p>
        </w:tc>
        <w:tc>
          <w:tcPr/>
          <w:p>
            <w:pPr>
              <w:pStyle w:val="Compact"/>
            </w:pPr>
            <w:r>
              <w:t xml:space="preserve">Integer</w:t>
            </w:r>
          </w:p>
        </w:tc>
        <w:tc>
          <w:tcPr/>
          <w:p>
            <w:pPr>
              <w:pStyle w:val="Compact"/>
            </w:pPr>
            <w:r>
              <w:t xml:space="preserve">No</w:t>
            </w:r>
          </w:p>
        </w:tc>
        <w:tc>
          <w:tcPr/>
          <w:p>
            <w:pPr>
              <w:pStyle w:val="Compact"/>
            </w:pPr>
            <w:r>
              <w:t xml:space="preserve">Second (0-59, default: 0).</w:t>
            </w:r>
          </w:p>
        </w:tc>
      </w:tr>
      <w:tr>
        <w:tc>
          <w:tcPr/>
          <w:p>
            <w:pPr>
              <w:pStyle w:val="Compact"/>
            </w:pPr>
            <w:r>
              <w:rPr>
                <w:b/>
                <w:bCs/>
              </w:rPr>
              <w:t xml:space="preserve">nanosecond</w:t>
            </w:r>
          </w:p>
        </w:tc>
        <w:tc>
          <w:tcPr/>
          <w:p>
            <w:pPr>
              <w:pStyle w:val="Compact"/>
            </w:pPr>
            <w:r>
              <w:t xml:space="preserve">Integer</w:t>
            </w:r>
          </w:p>
        </w:tc>
        <w:tc>
          <w:tcPr/>
          <w:p>
            <w:pPr>
              <w:pStyle w:val="Compact"/>
            </w:pPr>
            <w:r>
              <w:t xml:space="preserve">No</w:t>
            </w:r>
          </w:p>
        </w:tc>
        <w:tc>
          <w:tcPr/>
          <w:p>
            <w:pPr>
              <w:pStyle w:val="Compact"/>
            </w:pPr>
            <w:r>
              <w:t xml:space="preserve">Nanosecond (0-999999999, default: 0).</w:t>
            </w:r>
          </w:p>
        </w:tc>
      </w:tr>
      <w:tr>
        <w:tc>
          <w:tcPr/>
          <w:p>
            <w:pPr>
              <w:pStyle w:val="Compact"/>
            </w:pPr>
            <w:r>
              <w:rPr>
                <w:b/>
                <w:bCs/>
              </w:rPr>
              <w:t xml:space="preserve">timezone</w:t>
            </w:r>
          </w:p>
        </w:tc>
        <w:tc>
          <w:tcPr/>
          <w:p>
            <w:pPr>
              <w:pStyle w:val="Compact"/>
            </w:pPr>
            <w:r>
              <w:t xml:space="preserve">String</w:t>
            </w:r>
          </w:p>
        </w:tc>
        <w:tc>
          <w:tcPr/>
          <w:p>
            <w:pPr>
              <w:pStyle w:val="Compact"/>
            </w:pPr>
            <w:r>
              <w:t xml:space="preserve">No</w:t>
            </w:r>
          </w:p>
        </w:tc>
        <w:tc>
          <w:tcPr/>
          <w:p>
            <w:pPr>
              <w:pStyle w:val="Compact"/>
            </w:pPr>
            <w:r>
              <w:t xml:space="preserve">IANA timezone name (default: system timezone).</w:t>
            </w:r>
          </w:p>
        </w:tc>
      </w:tr>
    </w:tbl>
    <w:bookmarkEnd w:id="2139"/>
    <w:bookmarkStart w:id="2140" w:name="return-value-111"/>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constructed from the specified components.</w:t>
      </w:r>
    </w:p>
    <w:bookmarkEnd w:id="2140"/>
    <w:bookmarkStart w:id="2141" w:name="remarks-195"/>
    <w:p>
      <w:pPr>
        <w:pStyle w:val="Heading2"/>
      </w:pPr>
      <w:r>
        <w:t xml:space="preserve">Remarks</w:t>
      </w:r>
    </w:p>
    <w:p>
      <w:pPr>
        <w:pStyle w:val="Compact"/>
        <w:numPr>
          <w:ilvl w:val="0"/>
          <w:numId w:val="1578"/>
        </w:numPr>
      </w:pPr>
      <w:r>
        <w:t xml:space="preserve">Out-of-range values are normalized (e.g., month 14 becomes February of the next year).</w:t>
      </w:r>
    </w:p>
    <w:p>
      <w:pPr>
        <w:pStyle w:val="Compact"/>
        <w:numPr>
          <w:ilvl w:val="0"/>
          <w:numId w:val="1578"/>
        </w:numPr>
      </w:pPr>
      <w:r>
        <w:t xml:space="preserve">The timezone determines the location context of the constructed time.</w:t>
      </w:r>
    </w:p>
    <w:bookmarkEnd w:id="2141"/>
    <w:bookmarkStart w:id="2142" w:name="example-11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custom</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custom = dt.</w:t>
      </w:r>
      <w:r>
        <w:rPr>
          <w:rStyle w:val="FunctionTok"/>
        </w:rPr>
        <w:t xml:space="preserve">Date</w:t>
      </w:r>
      <w:r>
        <w:rPr>
          <w:rStyle w:val="OtherTok"/>
        </w:rPr>
        <w:t xml:space="preserve">(</w:t>
      </w:r>
      <w:r>
        <w:rPr>
          <w:rStyle w:val="DecValTok"/>
        </w:rPr>
        <w:t xml:space="preserve">2026</w:t>
      </w:r>
      <w:r>
        <w:rPr>
          <w:rStyle w:val="OtherTok"/>
        </w:rPr>
        <w:t xml:space="preserve">,</w:t>
      </w:r>
      <w:r>
        <w:rPr>
          <w:rStyle w:val="NormalTok"/>
        </w:rPr>
        <w:t xml:space="preserve"> </w:t>
      </w:r>
      <w:r>
        <w:rPr>
          <w:rStyle w:val="DecValTok"/>
        </w:rPr>
        <w:t xml:space="preserve">12</w:t>
      </w:r>
      <w:r>
        <w:rPr>
          <w:rStyle w:val="OtherTok"/>
        </w:rPr>
        <w:t xml:space="preserve">,</w:t>
      </w:r>
      <w:r>
        <w:rPr>
          <w:rStyle w:val="NormalTok"/>
        </w:rPr>
        <w:t xml:space="preserve"> </w:t>
      </w:r>
      <w:r>
        <w:rPr>
          <w:rStyle w:val="DecValTok"/>
        </w:rPr>
        <w:t xml:space="preserve">25</w:t>
      </w:r>
      <w:r>
        <w:rPr>
          <w:rStyle w:val="OtherTok"/>
        </w:rPr>
        <w:t xml:space="preserve">,</w:t>
      </w:r>
      <w:r>
        <w:rPr>
          <w:rStyle w:val="NormalTok"/>
        </w:rPr>
        <w:t xml:space="preserve"> </w:t>
      </w:r>
      <w:r>
        <w:rPr>
          <w:rStyle w:val="DecValTok"/>
        </w:rPr>
        <w:t xml:space="preserve">10</w:t>
      </w:r>
      <w:r>
        <w:rPr>
          <w:rStyle w:val="OtherTok"/>
        </w:rPr>
        <w:t xml:space="preserve">,</w:t>
      </w:r>
      <w:r>
        <w:rPr>
          <w:rStyle w:val="NormalTok"/>
        </w:rPr>
        <w:t xml:space="preserve"> </w:t>
      </w:r>
      <w:r>
        <w:rPr>
          <w:rStyle w:val="DecValTok"/>
        </w:rPr>
        <w:t xml:space="preserve">30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StringTok"/>
        </w:rPr>
        <w:t xml:space="preserve">"UTC"</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"Custom date: "</w:t>
      </w:r>
      <w:r>
        <w:rPr>
          <w:rStyle w:val="NormalTok"/>
        </w:rPr>
        <w:t xml:space="preserve"> </w:t>
      </w:r>
      <w:r>
        <w:rPr>
          <w:rStyle w:val="KeywordTok"/>
        </w:rPr>
        <w:t xml:space="preserve">&amp;</w:t>
      </w:r>
      <w:r>
        <w:rPr>
          <w:rStyle w:val="NormalTok"/>
        </w:rPr>
        <w:t xml:space="preserve"> custom</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42"/>
    <w:bookmarkEnd w:id="2143"/>
    <w:bookmarkStart w:id="2149" w:name="get-all-date-and-time-components"/>
    <w:p>
      <w:pPr>
        <w:pStyle w:val="Heading1"/>
      </w:pPr>
      <w:r>
        <w:t xml:space="preserve">Get All Date and Time Components</w:t>
      </w:r>
    </w:p>
    <w:bookmarkStart w:id="2144" w:name="overview-173"/>
    <w:p>
      <w:pPr>
        <w:pStyle w:val="Heading2"/>
      </w:pPr>
      <w:r>
        <w:t xml:space="preserve">Overview</w:t>
      </w:r>
    </w:p>
    <w:p>
      <w:pPr>
        <w:pStyle w:val="FirstParagraph"/>
      </w:pPr>
      <w:r>
        <w:t xml:space="preserve">Returns the full date and time components as a six-element array:</w:t>
      </w:r>
      <w:r>
        <w:t xml:space="preserve"> </w:t>
      </w:r>
      <w:r>
        <w:rPr>
          <w:rStyle w:val="VerbatimChar"/>
        </w:rPr>
        <w:t xml:space="preserve">[year, month, day, hour, minute, second]</w:t>
      </w:r>
      <w:r>
        <w:t xml:space="preserve">.</w:t>
      </w:r>
    </w:p>
    <w:bookmarkEnd w:id="2144"/>
    <w:bookmarkStart w:id="2145" w:name="syntax-187"/>
    <w:p>
      <w:pPr>
        <w:pStyle w:val="Heading2"/>
      </w:pPr>
      <w:r>
        <w:t xml:space="preserve">Syntax</w:t>
      </w:r>
    </w:p>
    <w:p>
      <w:pPr>
        <w:pStyle w:val="SourceCode"/>
      </w:pPr>
      <w:r>
        <w:rPr>
          <w:rStyle w:val="NormalTok"/>
        </w:rPr>
        <w:t xml:space="preserve">arr = g3date.DateAndClock(date)</w:t>
      </w:r>
    </w:p>
    <w:bookmarkEnd w:id="2145"/>
    <w:bookmarkStart w:id="2146" w:name="parameters-9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146"/>
    <w:bookmarkStart w:id="2147" w:name="return-value-112"/>
    <w:p>
      <w:pPr>
        <w:pStyle w:val="Heading2"/>
      </w:pPr>
      <w:r>
        <w:t xml:space="preserve">Return Value</w:t>
      </w:r>
    </w:p>
    <w:p>
      <w:pPr>
        <w:pStyle w:val="FirstParagraph"/>
      </w:pPr>
      <w:r>
        <w:t xml:space="preserve">Returns an</w:t>
      </w:r>
      <w:r>
        <w:t xml:space="preserve"> </w:t>
      </w:r>
      <w:r>
        <w:rPr>
          <w:b/>
          <w:bCs/>
        </w:rPr>
        <w:t xml:space="preserve">Array</w:t>
      </w:r>
      <w:r>
        <w:t xml:space="preserve"> </w:t>
      </w:r>
      <w:r>
        <w:t xml:space="preserve">with six elements:</w:t>
      </w:r>
      <w:r>
        <w:t xml:space="preserve"> </w:t>
      </w:r>
      <w:r>
        <w:rPr>
          <w:rStyle w:val="VerbatimChar"/>
        </w:rPr>
        <w:t xml:space="preserve">[year, month, day, hour, minute, second]</w:t>
      </w:r>
      <w:r>
        <w:t xml:space="preserve">.</w:t>
      </w:r>
    </w:p>
    <w:bookmarkEnd w:id="2147"/>
    <w:bookmarkStart w:id="2148" w:name="example-11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arr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arr = dt.DateAndClock</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"Year: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Month: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Day: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2</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 Hour: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3</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Minute: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4</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Second: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5</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48"/>
    <w:bookmarkEnd w:id="2149"/>
    <w:bookmarkStart w:id="2156" w:name="X56d2f9e4c215671e3565d77ab22ab1d9cd4a4af"/>
    <w:p>
      <w:pPr>
        <w:pStyle w:val="Heading1"/>
      </w:pPr>
      <w:r>
        <w:t xml:space="preserve">Calculate the Difference Between Two Dates</w:t>
      </w:r>
    </w:p>
    <w:bookmarkStart w:id="2150" w:name="overview-174"/>
    <w:p>
      <w:pPr>
        <w:pStyle w:val="Heading2"/>
      </w:pPr>
      <w:r>
        <w:t xml:space="preserve">Overview</w:t>
      </w:r>
    </w:p>
    <w:p>
      <w:pPr>
        <w:pStyle w:val="FirstParagraph"/>
      </w:pPr>
      <w:r>
        <w:t xml:space="preserve">Returns the difference between two dates in nanoseconds (date1 minus date2).</w:t>
      </w:r>
    </w:p>
    <w:bookmarkEnd w:id="2150"/>
    <w:bookmarkStart w:id="2151" w:name="syntax-188"/>
    <w:p>
      <w:pPr>
        <w:pStyle w:val="Heading2"/>
      </w:pPr>
      <w:r>
        <w:t xml:space="preserve">Syntax</w:t>
      </w:r>
    </w:p>
    <w:p>
      <w:pPr>
        <w:pStyle w:val="SourceCode"/>
      </w:pPr>
      <w:r>
        <w:rPr>
          <w:rStyle w:val="NormalTok"/>
        </w:rPr>
        <w:t xml:space="preserve">result = g3date.DateDiff(date1, date2)</w:t>
      </w:r>
    </w:p>
    <w:bookmarkEnd w:id="2151"/>
    <w:bookmarkStart w:id="2152" w:name="parameters-9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date1</w:t>
            </w:r>
          </w:p>
        </w:tc>
        <w:tc>
          <w:tcPr/>
          <w:p>
            <w:pPr>
              <w:pStyle w:val="Compact"/>
            </w:pPr>
            <w:r>
              <w:t xml:space="preserve">Date</w:t>
            </w:r>
          </w:p>
        </w:tc>
        <w:tc>
          <w:tcPr/>
          <w:p>
            <w:pPr>
              <w:pStyle w:val="Compact"/>
            </w:pPr>
            <w:r>
              <w:t xml:space="preserve">Yes</w:t>
            </w:r>
          </w:p>
        </w:tc>
        <w:tc>
          <w:tcPr/>
          <w:p>
            <w:pPr>
              <w:pStyle w:val="Compact"/>
            </w:pPr>
            <w:r>
              <w:t xml:space="preserve">The first (later) date.</w:t>
            </w:r>
          </w:p>
        </w:tc>
      </w:tr>
      <w:tr>
        <w:tc>
          <w:tcPr/>
          <w:p>
            <w:pPr>
              <w:pStyle w:val="Compact"/>
            </w:pPr>
            <w:r>
              <w:rPr>
                <w:b/>
                <w:bCs/>
              </w:rPr>
              <w:t xml:space="preserve">date2</w:t>
            </w:r>
          </w:p>
        </w:tc>
        <w:tc>
          <w:tcPr/>
          <w:p>
            <w:pPr>
              <w:pStyle w:val="Compact"/>
            </w:pPr>
            <w:r>
              <w:t xml:space="preserve">Date</w:t>
            </w:r>
          </w:p>
        </w:tc>
        <w:tc>
          <w:tcPr/>
          <w:p>
            <w:pPr>
              <w:pStyle w:val="Compact"/>
            </w:pPr>
            <w:r>
              <w:t xml:space="preserve">Yes</w:t>
            </w:r>
          </w:p>
        </w:tc>
        <w:tc>
          <w:tcPr/>
          <w:p>
            <w:pPr>
              <w:pStyle w:val="Compact"/>
            </w:pPr>
            <w:r>
              <w:t xml:space="preserve">The second (earlier) date.</w:t>
            </w:r>
          </w:p>
        </w:tc>
      </w:tr>
    </w:tbl>
    <w:bookmarkEnd w:id="2152"/>
    <w:bookmarkStart w:id="2153" w:name="return-value-113"/>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difference in nanoseconds. A positive result means date1 is after date2.</w:t>
      </w:r>
    </w:p>
    <w:bookmarkEnd w:id="2153"/>
    <w:bookmarkStart w:id="2154" w:name="remarks-196"/>
    <w:p>
      <w:pPr>
        <w:pStyle w:val="Heading2"/>
      </w:pPr>
      <w:r>
        <w:t xml:space="preserve">Remarks</w:t>
      </w:r>
    </w:p>
    <w:p>
      <w:pPr>
        <w:pStyle w:val="Compact"/>
        <w:numPr>
          <w:ilvl w:val="0"/>
          <w:numId w:val="1579"/>
        </w:numPr>
      </w:pPr>
      <w:r>
        <w:t xml:space="preserve">The result is in nanoseconds. Use</w:t>
      </w:r>
      <w:r>
        <w:t xml:space="preserve"> </w:t>
      </w:r>
      <w:r>
        <w:rPr>
          <w:rStyle w:val="VerbatimChar"/>
        </w:rPr>
        <w:t xml:space="preserve">DurationHours</w:t>
      </w:r>
      <w:r>
        <w:t xml:space="preserve">,</w:t>
      </w:r>
      <w:r>
        <w:t xml:space="preserve"> </w:t>
      </w:r>
      <w:r>
        <w:rPr>
          <w:rStyle w:val="VerbatimChar"/>
        </w:rPr>
        <w:t xml:space="preserve">DurationMinutes</w:t>
      </w:r>
      <w:r>
        <w:t xml:space="preserve">, etc. to convert.</w:t>
      </w:r>
    </w:p>
    <w:p>
      <w:pPr>
        <w:pStyle w:val="Compact"/>
        <w:numPr>
          <w:ilvl w:val="0"/>
          <w:numId w:val="1579"/>
        </w:numPr>
      </w:pPr>
      <w:r>
        <w:t xml:space="preserve">This method name avoids conflict with the VBScript</w:t>
      </w:r>
      <w:r>
        <w:t xml:space="preserve"> </w:t>
      </w:r>
      <w:r>
        <w:rPr>
          <w:rStyle w:val="VerbatimChar"/>
        </w:rPr>
        <w:t xml:space="preserve">Sub</w:t>
      </w:r>
      <w:r>
        <w:t xml:space="preserve"> </w:t>
      </w:r>
      <w:r>
        <w:t xml:space="preserve">keyword.</w:t>
      </w:r>
    </w:p>
    <w:bookmarkEnd w:id="2154"/>
    <w:bookmarkStart w:id="2155" w:name="example-11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later</w:t>
      </w:r>
      <w:r>
        <w:rPr>
          <w:rStyle w:val="OtherTok"/>
        </w:rPr>
        <w:t xml:space="preserve">,</w:t>
      </w:r>
      <w:r>
        <w:rPr>
          <w:rStyle w:val="NormalTok"/>
        </w:rPr>
        <w:t xml:space="preserve"> diff</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later = dt.AddDate</w:t>
      </w:r>
      <w:r>
        <w:rPr>
          <w:rStyle w:val="OtherTok"/>
        </w:rPr>
        <w:t xml:space="preserve">(</w:t>
      </w:r>
      <w:r>
        <w:rPr>
          <w:rStyle w:val="FunctionTok"/>
        </w:rPr>
        <w:t xml:space="preserve">now</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7</w:t>
      </w:r>
      <w:r>
        <w:rPr>
          <w:rStyle w:val="OtherTok"/>
        </w:rPr>
        <w:t xml:space="preserve">)</w:t>
      </w:r>
      <w:r>
        <w:rPr>
          <w:rStyle w:val="NormalTok"/>
        </w:rPr>
        <w:t xml:space="preserve"> </w:t>
      </w:r>
      <w:r>
        <w:rPr>
          <w:rStyle w:val="CommentTok"/>
        </w:rPr>
        <w:t xml:space="preserve">' 7 days later</w:t>
      </w:r>
      <w:r>
        <w:br/>
      </w:r>
      <w:r>
        <w:rPr>
          <w:rStyle w:val="NormalTok"/>
        </w:rPr>
        <w:t xml:space="preserve">diff = dt.</w:t>
      </w:r>
      <w:r>
        <w:rPr>
          <w:rStyle w:val="FunctionTok"/>
        </w:rPr>
        <w:t xml:space="preserve">DateDiff</w:t>
      </w:r>
      <w:r>
        <w:rPr>
          <w:rStyle w:val="OtherTok"/>
        </w:rPr>
        <w:t xml:space="preserve">(</w:t>
      </w:r>
      <w:r>
        <w:rPr>
          <w:rStyle w:val="NormalTok"/>
        </w:rPr>
        <w:t xml:space="preserve">later</w:t>
      </w:r>
      <w:r>
        <w:rPr>
          <w:rStyle w:val="OtherTok"/>
        </w:rPr>
        <w:t xml:space="preserve">,</w:t>
      </w:r>
      <w:r>
        <w:rPr>
          <w:rStyle w:val="NormalTok"/>
        </w:rPr>
        <w:t xml:space="preserve"> </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"Difference in nanoseconds: "</w:t>
      </w:r>
      <w:r>
        <w:rPr>
          <w:rStyle w:val="NormalTok"/>
        </w:rPr>
        <w:t xml:space="preserve"> </w:t>
      </w:r>
      <w:r>
        <w:rPr>
          <w:rStyle w:val="KeywordTok"/>
        </w:rPr>
        <w:t xml:space="preserve">&amp;</w:t>
      </w:r>
      <w:r>
        <w:rPr>
          <w:rStyle w:val="NormalTok"/>
        </w:rPr>
        <w:t xml:space="preserve"> diff</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"Hours: "</w:t>
      </w:r>
      <w:r>
        <w:rPr>
          <w:rStyle w:val="NormalTok"/>
        </w:rPr>
        <w:t xml:space="preserve"> </w:t>
      </w:r>
      <w:r>
        <w:rPr>
          <w:rStyle w:val="KeywordTok"/>
        </w:rPr>
        <w:t xml:space="preserve">&amp;</w:t>
      </w:r>
      <w:r>
        <w:rPr>
          <w:rStyle w:val="NormalTok"/>
        </w:rPr>
        <w:t xml:space="preserve"> dt.DurationHours</w:t>
      </w:r>
      <w:r>
        <w:rPr>
          <w:rStyle w:val="OtherTok"/>
        </w:rPr>
        <w:t xml:space="preserve">(</w:t>
      </w:r>
      <w:r>
        <w:rPr>
          <w:rStyle w:val="NormalTok"/>
        </w:rPr>
        <w:t xml:space="preserve">diff</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55"/>
    <w:bookmarkEnd w:id="2156"/>
    <w:bookmarkStart w:id="2162" w:name="format-date-as-standard-datetime-string"/>
    <w:p>
      <w:pPr>
        <w:pStyle w:val="Heading1"/>
      </w:pPr>
      <w:r>
        <w:t xml:space="preserve">Format Date as Standard Datetime String</w:t>
      </w:r>
    </w:p>
    <w:bookmarkStart w:id="2157" w:name="overview-175"/>
    <w:p>
      <w:pPr>
        <w:pStyle w:val="Heading2"/>
      </w:pPr>
      <w:r>
        <w:t xml:space="preserve">Overview</w:t>
      </w:r>
    </w:p>
    <w:p>
      <w:pPr>
        <w:pStyle w:val="FirstParagraph"/>
      </w:pPr>
      <w:r>
        <w:t xml:space="preserve">Formats a date as a standard datetime string in the format</w:t>
      </w:r>
      <w:r>
        <w:t xml:space="preserve"> </w:t>
      </w:r>
      <w:r>
        <w:t xml:space="preserve">“2006-01-02 15:04:05”</w:t>
      </w:r>
      <w:r>
        <w:t xml:space="preserve">.</w:t>
      </w:r>
    </w:p>
    <w:bookmarkEnd w:id="2157"/>
    <w:bookmarkStart w:id="2158" w:name="syntax-189"/>
    <w:p>
      <w:pPr>
        <w:pStyle w:val="Heading2"/>
      </w:pPr>
      <w:r>
        <w:t xml:space="preserve">Syntax</w:t>
      </w:r>
    </w:p>
    <w:p>
      <w:pPr>
        <w:pStyle w:val="SourceCode"/>
      </w:pPr>
      <w:r>
        <w:rPr>
          <w:rStyle w:val="NormalTok"/>
        </w:rPr>
        <w:t xml:space="preserve">result = g3date.DateTimeFormat(date)</w:t>
      </w:r>
    </w:p>
    <w:bookmarkEnd w:id="2158"/>
    <w:bookmarkStart w:id="2159" w:name="parameters-9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bl>
    <w:bookmarkEnd w:id="2159"/>
    <w:bookmarkStart w:id="2160" w:name="return-value-114"/>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w:t>
      </w:r>
      <w:r>
        <w:t xml:space="preserve"> </w:t>
      </w:r>
      <w:r>
        <w:t xml:space="preserve">“YYYY-MM-DD HH:MM:SS”</w:t>
      </w:r>
      <w:r>
        <w:t xml:space="preserve"> </w:t>
      </w:r>
      <w:r>
        <w:t xml:space="preserve">format (e.g.,</w:t>
      </w:r>
      <w:r>
        <w:t xml:space="preserve"> </w:t>
      </w:r>
      <w:r>
        <w:t xml:space="preserve">“2026-06-26 17:36:29”</w:t>
      </w:r>
      <w:r>
        <w:t xml:space="preserve">).</w:t>
      </w:r>
    </w:p>
    <w:bookmarkEnd w:id="2160"/>
    <w:bookmarkStart w:id="2161" w:name="example-11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dt.DateTimeFormat</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61"/>
    <w:bookmarkEnd w:id="2162"/>
    <w:bookmarkStart w:id="2168" w:name="get-the-day-component"/>
    <w:p>
      <w:pPr>
        <w:pStyle w:val="Heading1"/>
      </w:pPr>
      <w:r>
        <w:t xml:space="preserve">Get the Day Component</w:t>
      </w:r>
    </w:p>
    <w:bookmarkStart w:id="2163" w:name="overview-176"/>
    <w:p>
      <w:pPr>
        <w:pStyle w:val="Heading2"/>
      </w:pPr>
      <w:r>
        <w:t xml:space="preserve">Overview</w:t>
      </w:r>
    </w:p>
    <w:p>
      <w:pPr>
        <w:pStyle w:val="FirstParagraph"/>
      </w:pPr>
      <w:r>
        <w:t xml:space="preserve">Returns the day-of-month component of a date value (1-31).</w:t>
      </w:r>
    </w:p>
    <w:bookmarkEnd w:id="2163"/>
    <w:bookmarkStart w:id="2164" w:name="syntax-190"/>
    <w:p>
      <w:pPr>
        <w:pStyle w:val="Heading2"/>
      </w:pPr>
      <w:r>
        <w:t xml:space="preserve">Syntax</w:t>
      </w:r>
    </w:p>
    <w:p>
      <w:pPr>
        <w:pStyle w:val="SourceCode"/>
      </w:pPr>
      <w:r>
        <w:rPr>
          <w:rStyle w:val="NormalTok"/>
        </w:rPr>
        <w:t xml:space="preserve">result = g3date.Day(date)</w:t>
      </w:r>
    </w:p>
    <w:bookmarkEnd w:id="2164"/>
    <w:bookmarkStart w:id="2165" w:name="parameters-9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165"/>
    <w:bookmarkStart w:id="2166" w:name="return-value-115"/>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from 1 to 31 representing the day of the month.</w:t>
      </w:r>
    </w:p>
    <w:bookmarkEnd w:id="2166"/>
    <w:bookmarkStart w:id="2167" w:name="example-11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 = dt.</w:t>
      </w:r>
      <w:r>
        <w:rPr>
          <w:rStyle w:val="FunctionTok"/>
        </w:rPr>
        <w:t xml:space="preserve">Day</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day: "</w:t>
      </w:r>
      <w:r>
        <w:rPr>
          <w:rStyle w:val="NormalTok"/>
        </w:rPr>
        <w:t xml:space="preserve"> </w:t>
      </w:r>
      <w:r>
        <w:rPr>
          <w:rStyle w:val="KeywordTok"/>
        </w:rPr>
        <w:t xml:space="preserve">&amp;</w:t>
      </w:r>
      <w:r>
        <w:rPr>
          <w:rStyle w:val="NormalTok"/>
        </w:rPr>
        <w:t xml:space="preserve"> d</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67"/>
    <w:bookmarkEnd w:id="2168"/>
    <w:bookmarkStart w:id="2175" w:name="create-a-duration-value"/>
    <w:p>
      <w:pPr>
        <w:pStyle w:val="Heading1"/>
      </w:pPr>
      <w:r>
        <w:t xml:space="preserve">Create a Duration Value</w:t>
      </w:r>
    </w:p>
    <w:bookmarkStart w:id="2169" w:name="overview-177"/>
    <w:p>
      <w:pPr>
        <w:pStyle w:val="Heading2"/>
      </w:pPr>
      <w:r>
        <w:t xml:space="preserve">Overview</w:t>
      </w:r>
    </w:p>
    <w:p>
      <w:pPr>
        <w:pStyle w:val="FirstParagraph"/>
      </w:pPr>
      <w:r>
        <w:t xml:space="preserve">Creates a duration value from a nanosecond count.</w:t>
      </w:r>
    </w:p>
    <w:bookmarkEnd w:id="2169"/>
    <w:bookmarkStart w:id="2170" w:name="syntax-191"/>
    <w:p>
      <w:pPr>
        <w:pStyle w:val="Heading2"/>
      </w:pPr>
      <w:r>
        <w:t xml:space="preserve">Syntax</w:t>
      </w:r>
    </w:p>
    <w:p>
      <w:pPr>
        <w:pStyle w:val="SourceCode"/>
      </w:pPr>
      <w:r>
        <w:rPr>
          <w:rStyle w:val="NormalTok"/>
        </w:rPr>
        <w:t xml:space="preserve">result = g3date.Duration(nanoseconds)</w:t>
      </w:r>
    </w:p>
    <w:bookmarkEnd w:id="2170"/>
    <w:bookmarkStart w:id="2171" w:name="parameters-10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nanoseconds</w:t>
            </w:r>
          </w:p>
        </w:tc>
        <w:tc>
          <w:tcPr/>
          <w:p>
            <w:pPr>
              <w:pStyle w:val="Compact"/>
            </w:pPr>
            <w:r>
              <w:t xml:space="preserve">Integer</w:t>
            </w:r>
          </w:p>
        </w:tc>
        <w:tc>
          <w:tcPr/>
          <w:p>
            <w:pPr>
              <w:pStyle w:val="Compact"/>
            </w:pPr>
            <w:r>
              <w:t xml:space="preserve">Yes</w:t>
            </w:r>
          </w:p>
        </w:tc>
        <w:tc>
          <w:tcPr/>
          <w:p>
            <w:pPr>
              <w:pStyle w:val="Compact"/>
            </w:pPr>
            <w:r>
              <w:t xml:space="preserve">The duration in nanoseconds.</w:t>
            </w:r>
          </w:p>
        </w:tc>
      </w:tr>
    </w:tbl>
    <w:bookmarkEnd w:id="2171"/>
    <w:bookmarkStart w:id="2172" w:name="return-value-116"/>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duration in nanoseconds.</w:t>
      </w:r>
    </w:p>
    <w:bookmarkEnd w:id="2172"/>
    <w:bookmarkStart w:id="2173" w:name="remarks-197"/>
    <w:p>
      <w:pPr>
        <w:pStyle w:val="Heading2"/>
      </w:pPr>
      <w:r>
        <w:t xml:space="preserve">Remarks</w:t>
      </w:r>
    </w:p>
    <w:p>
      <w:pPr>
        <w:pStyle w:val="Compact"/>
        <w:numPr>
          <w:ilvl w:val="0"/>
          <w:numId w:val="1580"/>
        </w:numPr>
      </w:pPr>
      <w:r>
        <w:t xml:space="preserve">This method is primarily for type clarity; the value is stored as an integer.</w:t>
      </w:r>
    </w:p>
    <w:p>
      <w:pPr>
        <w:pStyle w:val="Compact"/>
        <w:numPr>
          <w:ilvl w:val="0"/>
          <w:numId w:val="1580"/>
        </w:numPr>
      </w:pPr>
      <w:r>
        <w:t xml:space="preserve">Use with other duration methods like</w:t>
      </w:r>
      <w:r>
        <w:t xml:space="preserve"> </w:t>
      </w:r>
      <w:r>
        <w:rPr>
          <w:rStyle w:val="VerbatimChar"/>
        </w:rPr>
        <w:t xml:space="preserve">DurationHours</w:t>
      </w:r>
      <w:r>
        <w:t xml:space="preserve">,</w:t>
      </w:r>
      <w:r>
        <w:t xml:space="preserve"> </w:t>
      </w:r>
      <w:r>
        <w:rPr>
          <w:rStyle w:val="VerbatimChar"/>
        </w:rPr>
        <w:t xml:space="preserve">DurationString</w:t>
      </w:r>
      <w:r>
        <w:t xml:space="preserve">, etc.</w:t>
      </w:r>
    </w:p>
    <w:bookmarkEnd w:id="2173"/>
    <w:bookmarkStart w:id="2174" w:name="example-11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dt.Duration</w:t>
      </w:r>
      <w:r>
        <w:rPr>
          <w:rStyle w:val="OtherTok"/>
        </w:rPr>
        <w:t xml:space="preserve">(</w:t>
      </w:r>
      <w:r>
        <w:rPr>
          <w:rStyle w:val="DecValTok"/>
        </w:rPr>
        <w:t xml:space="preserve">7200000000000</w:t>
      </w:r>
      <w:r>
        <w:rPr>
          <w:rStyle w:val="OtherTok"/>
        </w:rPr>
        <w:t xml:space="preserve">)</w:t>
      </w:r>
      <w:r>
        <w:rPr>
          <w:rStyle w:val="NormalTok"/>
        </w:rPr>
        <w:t xml:space="preserve"> </w:t>
      </w:r>
      <w:r>
        <w:rPr>
          <w:rStyle w:val="CommentTok"/>
        </w:rPr>
        <w:t xml:space="preserve">' 2 hours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"Duration: "</w:t>
      </w:r>
      <w:r>
        <w:rPr>
          <w:rStyle w:val="NormalTok"/>
        </w:rPr>
        <w:t xml:space="preserve"> </w:t>
      </w:r>
      <w:r>
        <w:rPr>
          <w:rStyle w:val="KeywordTok"/>
        </w:rPr>
        <w:t xml:space="preserve">&amp;</w:t>
      </w:r>
      <w:r>
        <w:rPr>
          <w:rStyle w:val="NormalTok"/>
        </w:rPr>
        <w:t xml:space="preserve"> dt.DurationHours</w:t>
      </w:r>
      <w:r>
        <w:rPr>
          <w:rStyle w:val="OtherTok"/>
        </w:rPr>
        <w:t xml:space="preserve">(</w:t>
      </w:r>
      <w:r>
        <w:rPr>
          <w:rStyle w:val="NormalTok"/>
        </w:rPr>
        <w:t xml:space="preserve">dur</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hours"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74"/>
    <w:bookmarkEnd w:id="2175"/>
    <w:bookmarkStart w:id="2181" w:name="get-absolute-value-of-a-duration"/>
    <w:p>
      <w:pPr>
        <w:pStyle w:val="Heading1"/>
      </w:pPr>
      <w:r>
        <w:t xml:space="preserve">Get Absolute Value of a Duration</w:t>
      </w:r>
    </w:p>
    <w:bookmarkStart w:id="2176" w:name="overview-178"/>
    <w:p>
      <w:pPr>
        <w:pStyle w:val="Heading2"/>
      </w:pPr>
      <w:r>
        <w:t xml:space="preserve">Overview</w:t>
      </w:r>
    </w:p>
    <w:p>
      <w:pPr>
        <w:pStyle w:val="FirstParagraph"/>
      </w:pPr>
      <w:r>
        <w:t xml:space="preserve">Returns the absolute (non-negative) value of a duration.</w:t>
      </w:r>
    </w:p>
    <w:bookmarkEnd w:id="2176"/>
    <w:bookmarkStart w:id="2177" w:name="syntax-192"/>
    <w:p>
      <w:pPr>
        <w:pStyle w:val="Heading2"/>
      </w:pPr>
      <w:r>
        <w:t xml:space="preserve">Syntax</w:t>
      </w:r>
    </w:p>
    <w:p>
      <w:pPr>
        <w:pStyle w:val="SourceCode"/>
      </w:pPr>
      <w:r>
        <w:rPr>
          <w:rStyle w:val="NormalTok"/>
        </w:rPr>
        <w:t xml:space="preserve">result = g3date.DurationAbs(duration)</w:t>
      </w:r>
    </w:p>
    <w:bookmarkEnd w:id="2177"/>
    <w:bookmarkStart w:id="2178" w:name="parameters-10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in nanoseconds (may be negative).</w:t>
            </w:r>
          </w:p>
        </w:tc>
      </w:tr>
    </w:tbl>
    <w:bookmarkEnd w:id="2178"/>
    <w:bookmarkStart w:id="2179" w:name="return-value-117"/>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absolute value of the duration in nanoseconds (always non-negative).</w:t>
      </w:r>
    </w:p>
    <w:bookmarkEnd w:id="2179"/>
    <w:bookmarkStart w:id="2180" w:name="example-12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dt.DurationAbs</w:t>
      </w:r>
      <w:r>
        <w:rPr>
          <w:rStyle w:val="OtherTok"/>
        </w:rPr>
        <w:t xml:space="preserve">(</w:t>
      </w:r>
      <w:r>
        <w:rPr>
          <w:rStyle w:val="NormalTok"/>
        </w:rPr>
        <w:t xml:space="preserve">-</w:t>
      </w:r>
      <w:r>
        <w:rPr>
          <w:rStyle w:val="DecValTok"/>
        </w:rPr>
        <w:t xml:space="preserve">3600000000000</w:t>
      </w:r>
      <w:r>
        <w:rPr>
          <w:rStyle w:val="OtherTok"/>
        </w:rPr>
        <w:t xml:space="preserve">)</w:t>
      </w:r>
      <w:r>
        <w:rPr>
          <w:rStyle w:val="NormalTok"/>
        </w:rPr>
        <w:t xml:space="preserve"> </w:t>
      </w:r>
      <w:r>
        <w:rPr>
          <w:rStyle w:val="CommentTok"/>
        </w:rPr>
        <w:t xml:space="preserve">' -1 hour</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"Absolute: "</w:t>
      </w:r>
      <w:r>
        <w:rPr>
          <w:rStyle w:val="NormalTok"/>
        </w:rPr>
        <w:t xml:space="preserve"> </w:t>
      </w:r>
      <w:r>
        <w:rPr>
          <w:rStyle w:val="KeywordTok"/>
        </w:rPr>
        <w:t xml:space="preserve">&amp;</w:t>
      </w:r>
      <w:r>
        <w:rPr>
          <w:rStyle w:val="NormalTok"/>
        </w:rPr>
        <w:t xml:space="preserve"> dt.DurationHours</w:t>
      </w:r>
      <w:r>
        <w:rPr>
          <w:rStyle w:val="OtherTok"/>
        </w:rPr>
        <w:t xml:space="preserve">(</w:t>
      </w:r>
      <w:r>
        <w:rPr>
          <w:rStyle w:val="NormalTok"/>
        </w:rPr>
        <w:t xml:space="preserve">dur</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hours"</w:t>
      </w:r>
      <w:r>
        <w:rPr>
          <w:rStyle w:val="NormalTok"/>
        </w:rPr>
        <w:t xml:space="preserve"> </w:t>
      </w:r>
      <w:r>
        <w:rPr>
          <w:rStyle w:val="CommentTok"/>
        </w:rPr>
        <w:t xml:space="preserve">' Output: 1</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80"/>
    <w:bookmarkEnd w:id="2181"/>
    <w:bookmarkStart w:id="2187" w:name="convert-duration-to-hours"/>
    <w:p>
      <w:pPr>
        <w:pStyle w:val="Heading1"/>
      </w:pPr>
      <w:r>
        <w:t xml:space="preserve">Convert Duration to Hours</w:t>
      </w:r>
    </w:p>
    <w:bookmarkStart w:id="2182" w:name="overview-179"/>
    <w:p>
      <w:pPr>
        <w:pStyle w:val="Heading2"/>
      </w:pPr>
      <w:r>
        <w:t xml:space="preserve">Overview</w:t>
      </w:r>
    </w:p>
    <w:p>
      <w:pPr>
        <w:pStyle w:val="FirstParagraph"/>
      </w:pPr>
      <w:r>
        <w:t xml:space="preserve">Converts a duration in nanoseconds to hours as a floating-point value.</w:t>
      </w:r>
    </w:p>
    <w:bookmarkEnd w:id="2182"/>
    <w:bookmarkStart w:id="2183" w:name="syntax-193"/>
    <w:p>
      <w:pPr>
        <w:pStyle w:val="Heading2"/>
      </w:pPr>
      <w:r>
        <w:t xml:space="preserve">Syntax</w:t>
      </w:r>
    </w:p>
    <w:p>
      <w:pPr>
        <w:pStyle w:val="SourceCode"/>
      </w:pPr>
      <w:r>
        <w:rPr>
          <w:rStyle w:val="NormalTok"/>
        </w:rPr>
        <w:t xml:space="preserve">result = g3date.DurationHours(duration)</w:t>
      </w:r>
    </w:p>
    <w:bookmarkEnd w:id="2183"/>
    <w:bookmarkStart w:id="2184" w:name="parameters-10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in nanoseconds.</w:t>
            </w:r>
          </w:p>
        </w:tc>
      </w:tr>
    </w:tbl>
    <w:bookmarkEnd w:id="2184"/>
    <w:bookmarkStart w:id="2185" w:name="return-value-118"/>
    <w:p>
      <w:pPr>
        <w:pStyle w:val="Heading2"/>
      </w:pPr>
      <w:r>
        <w:t xml:space="preserve">Return Value</w:t>
      </w:r>
    </w:p>
    <w:p>
      <w:pPr>
        <w:pStyle w:val="FirstParagraph"/>
      </w:pPr>
      <w:r>
        <w:t xml:space="preserve">Returns a</w:t>
      </w:r>
      <w:r>
        <w:t xml:space="preserve"> </w:t>
      </w:r>
      <w:r>
        <w:rPr>
          <w:b/>
          <w:bCs/>
        </w:rPr>
        <w:t xml:space="preserve">Double</w:t>
      </w:r>
      <w:r>
        <w:t xml:space="preserve"> </w:t>
      </w:r>
      <w:r>
        <w:t xml:space="preserve">representing the duration in hours. May include fractional hours.</w:t>
      </w:r>
    </w:p>
    <w:bookmarkEnd w:id="2185"/>
    <w:bookmarkStart w:id="2186" w:name="example-12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"2h30m"</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"Hours: "</w:t>
      </w:r>
      <w:r>
        <w:rPr>
          <w:rStyle w:val="NormalTok"/>
        </w:rPr>
        <w:t xml:space="preserve"> </w:t>
      </w:r>
      <w:r>
        <w:rPr>
          <w:rStyle w:val="KeywordTok"/>
        </w:rPr>
        <w:t xml:space="preserve">&amp;</w:t>
      </w:r>
      <w:r>
        <w:rPr>
          <w:rStyle w:val="NormalTok"/>
        </w:rPr>
        <w:t xml:space="preserve"> dt.DurationHours</w:t>
      </w:r>
      <w:r>
        <w:rPr>
          <w:rStyle w:val="OtherTok"/>
        </w:rPr>
        <w:t xml:space="preserve">(</w:t>
      </w:r>
      <w:r>
        <w:rPr>
          <w:rStyle w:val="NormalTok"/>
        </w:rPr>
        <w:t xml:space="preserve">dur</w:t>
      </w:r>
      <w:r>
        <w:rPr>
          <w:rStyle w:val="OtherTok"/>
        </w:rPr>
        <w:t xml:space="preserve">)</w:t>
      </w:r>
      <w:r>
        <w:rPr>
          <w:rStyle w:val="NormalTok"/>
        </w:rPr>
        <w:t xml:space="preserve"> </w:t>
      </w:r>
      <w:r>
        <w:rPr>
          <w:rStyle w:val="CommentTok"/>
        </w:rPr>
        <w:t xml:space="preserve">' Output: 2.5</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86"/>
    <w:bookmarkEnd w:id="2187"/>
    <w:bookmarkStart w:id="2193" w:name="convert-duration-to-microseconds"/>
    <w:p>
      <w:pPr>
        <w:pStyle w:val="Heading1"/>
      </w:pPr>
      <w:r>
        <w:t xml:space="preserve">Convert Duration to Microseconds</w:t>
      </w:r>
    </w:p>
    <w:bookmarkStart w:id="2188" w:name="overview-180"/>
    <w:p>
      <w:pPr>
        <w:pStyle w:val="Heading2"/>
      </w:pPr>
      <w:r>
        <w:t xml:space="preserve">Overview</w:t>
      </w:r>
    </w:p>
    <w:p>
      <w:pPr>
        <w:pStyle w:val="FirstParagraph"/>
      </w:pPr>
      <w:r>
        <w:t xml:space="preserve">Converts a duration in nanoseconds to microseconds as an integer.</w:t>
      </w:r>
    </w:p>
    <w:bookmarkEnd w:id="2188"/>
    <w:bookmarkStart w:id="2189" w:name="syntax-194"/>
    <w:p>
      <w:pPr>
        <w:pStyle w:val="Heading2"/>
      </w:pPr>
      <w:r>
        <w:t xml:space="preserve">Syntax</w:t>
      </w:r>
    </w:p>
    <w:p>
      <w:pPr>
        <w:pStyle w:val="SourceCode"/>
      </w:pPr>
      <w:r>
        <w:rPr>
          <w:rStyle w:val="NormalTok"/>
        </w:rPr>
        <w:t xml:space="preserve">result = g3date.DurationMicroseconds(duration)</w:t>
      </w:r>
    </w:p>
    <w:bookmarkEnd w:id="2189"/>
    <w:bookmarkStart w:id="2190" w:name="parameters-10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in nanoseconds.</w:t>
            </w:r>
          </w:p>
        </w:tc>
      </w:tr>
    </w:tbl>
    <w:bookmarkEnd w:id="2190"/>
    <w:bookmarkStart w:id="2191" w:name="return-value-119"/>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duration in microseconds. Fractional microseconds are truncated.</w:t>
      </w:r>
    </w:p>
    <w:bookmarkEnd w:id="2191"/>
    <w:bookmarkStart w:id="2192" w:name="example-12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"1ms"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"Microseconds: "</w:t>
      </w:r>
      <w:r>
        <w:rPr>
          <w:rStyle w:val="NormalTok"/>
        </w:rPr>
        <w:t xml:space="preserve"> </w:t>
      </w:r>
      <w:r>
        <w:rPr>
          <w:rStyle w:val="KeywordTok"/>
        </w:rPr>
        <w:t xml:space="preserve">&amp;</w:t>
      </w:r>
      <w:r>
        <w:rPr>
          <w:rStyle w:val="NormalTok"/>
        </w:rPr>
        <w:t xml:space="preserve"> dt.DurationMicroseconds</w:t>
      </w:r>
      <w:r>
        <w:rPr>
          <w:rStyle w:val="OtherTok"/>
        </w:rPr>
        <w:t xml:space="preserve">(</w:t>
      </w:r>
      <w:r>
        <w:rPr>
          <w:rStyle w:val="NormalTok"/>
        </w:rPr>
        <w:t xml:space="preserve">dur</w:t>
      </w:r>
      <w:r>
        <w:rPr>
          <w:rStyle w:val="OtherTok"/>
        </w:rPr>
        <w:t xml:space="preserve">)</w:t>
      </w:r>
      <w:r>
        <w:rPr>
          <w:rStyle w:val="NormalTok"/>
        </w:rPr>
        <w:t xml:space="preserve"> </w:t>
      </w:r>
      <w:r>
        <w:rPr>
          <w:rStyle w:val="CommentTok"/>
        </w:rPr>
        <w:t xml:space="preserve">' Output: 1000</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92"/>
    <w:bookmarkEnd w:id="2193"/>
    <w:bookmarkStart w:id="2199" w:name="convert-duration-to-milliseconds"/>
    <w:p>
      <w:pPr>
        <w:pStyle w:val="Heading1"/>
      </w:pPr>
      <w:r>
        <w:t xml:space="preserve">Convert Duration to Milliseconds</w:t>
      </w:r>
    </w:p>
    <w:bookmarkStart w:id="2194" w:name="overview-181"/>
    <w:p>
      <w:pPr>
        <w:pStyle w:val="Heading2"/>
      </w:pPr>
      <w:r>
        <w:t xml:space="preserve">Overview</w:t>
      </w:r>
    </w:p>
    <w:p>
      <w:pPr>
        <w:pStyle w:val="FirstParagraph"/>
      </w:pPr>
      <w:r>
        <w:t xml:space="preserve">Converts a duration in nanoseconds to milliseconds as an integer.</w:t>
      </w:r>
    </w:p>
    <w:bookmarkEnd w:id="2194"/>
    <w:bookmarkStart w:id="2195" w:name="syntax-195"/>
    <w:p>
      <w:pPr>
        <w:pStyle w:val="Heading2"/>
      </w:pPr>
      <w:r>
        <w:t xml:space="preserve">Syntax</w:t>
      </w:r>
    </w:p>
    <w:p>
      <w:pPr>
        <w:pStyle w:val="SourceCode"/>
      </w:pPr>
      <w:r>
        <w:rPr>
          <w:rStyle w:val="NormalTok"/>
        </w:rPr>
        <w:t xml:space="preserve">result = g3date.DurationMilliseconds(duration)</w:t>
      </w:r>
    </w:p>
    <w:bookmarkEnd w:id="2195"/>
    <w:bookmarkStart w:id="2196" w:name="parameters-104"/>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in nanoseconds.</w:t>
            </w:r>
          </w:p>
        </w:tc>
      </w:tr>
    </w:tbl>
    <w:bookmarkEnd w:id="2196"/>
    <w:bookmarkStart w:id="2197" w:name="return-value-120"/>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duration in milliseconds. Fractional milliseconds are truncated.</w:t>
      </w:r>
    </w:p>
    <w:bookmarkEnd w:id="2197"/>
    <w:bookmarkStart w:id="2198" w:name="example-12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"2.5s"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"Milliseconds: "</w:t>
      </w:r>
      <w:r>
        <w:rPr>
          <w:rStyle w:val="NormalTok"/>
        </w:rPr>
        <w:t xml:space="preserve"> </w:t>
      </w:r>
      <w:r>
        <w:rPr>
          <w:rStyle w:val="KeywordTok"/>
        </w:rPr>
        <w:t xml:space="preserve">&amp;</w:t>
      </w:r>
      <w:r>
        <w:rPr>
          <w:rStyle w:val="NormalTok"/>
        </w:rPr>
        <w:t xml:space="preserve"> dt.DurationMilliseconds</w:t>
      </w:r>
      <w:r>
        <w:rPr>
          <w:rStyle w:val="OtherTok"/>
        </w:rPr>
        <w:t xml:space="preserve">(</w:t>
      </w:r>
      <w:r>
        <w:rPr>
          <w:rStyle w:val="NormalTok"/>
        </w:rPr>
        <w:t xml:space="preserve">dur</w:t>
      </w:r>
      <w:r>
        <w:rPr>
          <w:rStyle w:val="OtherTok"/>
        </w:rPr>
        <w:t xml:space="preserve">)</w:t>
      </w:r>
      <w:r>
        <w:rPr>
          <w:rStyle w:val="NormalTok"/>
        </w:rPr>
        <w:t xml:space="preserve"> </w:t>
      </w:r>
      <w:r>
        <w:rPr>
          <w:rStyle w:val="CommentTok"/>
        </w:rPr>
        <w:t xml:space="preserve">' Output: 2500</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198"/>
    <w:bookmarkEnd w:id="2199"/>
    <w:bookmarkStart w:id="2205" w:name="convert-duration-to-minutes"/>
    <w:p>
      <w:pPr>
        <w:pStyle w:val="Heading1"/>
      </w:pPr>
      <w:r>
        <w:t xml:space="preserve">Convert Duration to Minutes</w:t>
      </w:r>
    </w:p>
    <w:bookmarkStart w:id="2200" w:name="overview-182"/>
    <w:p>
      <w:pPr>
        <w:pStyle w:val="Heading2"/>
      </w:pPr>
      <w:r>
        <w:t xml:space="preserve">Overview</w:t>
      </w:r>
    </w:p>
    <w:p>
      <w:pPr>
        <w:pStyle w:val="FirstParagraph"/>
      </w:pPr>
      <w:r>
        <w:t xml:space="preserve">Converts a duration in nanoseconds to minutes as a floating-point value.</w:t>
      </w:r>
    </w:p>
    <w:bookmarkEnd w:id="2200"/>
    <w:bookmarkStart w:id="2201" w:name="syntax-196"/>
    <w:p>
      <w:pPr>
        <w:pStyle w:val="Heading2"/>
      </w:pPr>
      <w:r>
        <w:t xml:space="preserve">Syntax</w:t>
      </w:r>
    </w:p>
    <w:p>
      <w:pPr>
        <w:pStyle w:val="SourceCode"/>
      </w:pPr>
      <w:r>
        <w:rPr>
          <w:rStyle w:val="NormalTok"/>
        </w:rPr>
        <w:t xml:space="preserve">result = g3date.DurationMinutes(duration)</w:t>
      </w:r>
    </w:p>
    <w:bookmarkEnd w:id="2201"/>
    <w:bookmarkStart w:id="2202" w:name="parameters-105"/>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in nanoseconds.</w:t>
            </w:r>
          </w:p>
        </w:tc>
      </w:tr>
    </w:tbl>
    <w:bookmarkEnd w:id="2202"/>
    <w:bookmarkStart w:id="2203" w:name="return-value-121"/>
    <w:p>
      <w:pPr>
        <w:pStyle w:val="Heading2"/>
      </w:pPr>
      <w:r>
        <w:t xml:space="preserve">Return Value</w:t>
      </w:r>
    </w:p>
    <w:p>
      <w:pPr>
        <w:pStyle w:val="FirstParagraph"/>
      </w:pPr>
      <w:r>
        <w:t xml:space="preserve">Returns a</w:t>
      </w:r>
      <w:r>
        <w:t xml:space="preserve"> </w:t>
      </w:r>
      <w:r>
        <w:rPr>
          <w:b/>
          <w:bCs/>
        </w:rPr>
        <w:t xml:space="preserve">Double</w:t>
      </w:r>
      <w:r>
        <w:t xml:space="preserve"> </w:t>
      </w:r>
      <w:r>
        <w:t xml:space="preserve">representing the duration in minutes. May include fractional minutes.</w:t>
      </w:r>
    </w:p>
    <w:bookmarkEnd w:id="2203"/>
    <w:bookmarkStart w:id="2204" w:name="example-12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"1h30m"</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"Minutes: "</w:t>
      </w:r>
      <w:r>
        <w:rPr>
          <w:rStyle w:val="NormalTok"/>
        </w:rPr>
        <w:t xml:space="preserve"> </w:t>
      </w:r>
      <w:r>
        <w:rPr>
          <w:rStyle w:val="KeywordTok"/>
        </w:rPr>
        <w:t xml:space="preserve">&amp;</w:t>
      </w:r>
      <w:r>
        <w:rPr>
          <w:rStyle w:val="NormalTok"/>
        </w:rPr>
        <w:t xml:space="preserve"> dt.DurationMinutes</w:t>
      </w:r>
      <w:r>
        <w:rPr>
          <w:rStyle w:val="OtherTok"/>
        </w:rPr>
        <w:t xml:space="preserve">(</w:t>
      </w:r>
      <w:r>
        <w:rPr>
          <w:rStyle w:val="NormalTok"/>
        </w:rPr>
        <w:t xml:space="preserve">dur</w:t>
      </w:r>
      <w:r>
        <w:rPr>
          <w:rStyle w:val="OtherTok"/>
        </w:rPr>
        <w:t xml:space="preserve">)</w:t>
      </w:r>
      <w:r>
        <w:rPr>
          <w:rStyle w:val="NormalTok"/>
        </w:rPr>
        <w:t xml:space="preserve"> </w:t>
      </w:r>
      <w:r>
        <w:rPr>
          <w:rStyle w:val="CommentTok"/>
        </w:rPr>
        <w:t xml:space="preserve">' Output: 90</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04"/>
    <w:bookmarkEnd w:id="2205"/>
    <w:bookmarkStart w:id="2211" w:name="convert-duration-to-nanoseconds"/>
    <w:p>
      <w:pPr>
        <w:pStyle w:val="Heading1"/>
      </w:pPr>
      <w:r>
        <w:t xml:space="preserve">Convert Duration to Nanoseconds</w:t>
      </w:r>
    </w:p>
    <w:bookmarkStart w:id="2206" w:name="overview-183"/>
    <w:p>
      <w:pPr>
        <w:pStyle w:val="Heading2"/>
      </w:pPr>
      <w:r>
        <w:t xml:space="preserve">Overview</w:t>
      </w:r>
    </w:p>
    <w:p>
      <w:pPr>
        <w:pStyle w:val="FirstParagraph"/>
      </w:pPr>
      <w:r>
        <w:t xml:space="preserve">Returns a duration in nanoseconds as an integer. This is an identity operation since durations are already stored in nanoseconds.</w:t>
      </w:r>
    </w:p>
    <w:bookmarkEnd w:id="2206"/>
    <w:bookmarkStart w:id="2207" w:name="syntax-197"/>
    <w:p>
      <w:pPr>
        <w:pStyle w:val="Heading2"/>
      </w:pPr>
      <w:r>
        <w:t xml:space="preserve">Syntax</w:t>
      </w:r>
    </w:p>
    <w:p>
      <w:pPr>
        <w:pStyle w:val="SourceCode"/>
      </w:pPr>
      <w:r>
        <w:rPr>
          <w:rStyle w:val="NormalTok"/>
        </w:rPr>
        <w:t xml:space="preserve">result = g3date.DurationNanoseconds(duration)</w:t>
      </w:r>
    </w:p>
    <w:bookmarkEnd w:id="2207"/>
    <w:bookmarkStart w:id="2208" w:name="parameters-10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in nanoseconds.</w:t>
            </w:r>
          </w:p>
        </w:tc>
      </w:tr>
    </w:tbl>
    <w:bookmarkEnd w:id="2208"/>
    <w:bookmarkStart w:id="2209" w:name="return-value-122"/>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same duration in nanoseconds.</w:t>
      </w:r>
    </w:p>
    <w:bookmarkEnd w:id="2209"/>
    <w:bookmarkStart w:id="2210" w:name="example-12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"1h"</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"Nanoseconds: "</w:t>
      </w:r>
      <w:r>
        <w:rPr>
          <w:rStyle w:val="NormalTok"/>
        </w:rPr>
        <w:t xml:space="preserve"> </w:t>
      </w:r>
      <w:r>
        <w:rPr>
          <w:rStyle w:val="KeywordTok"/>
        </w:rPr>
        <w:t xml:space="preserve">&amp;</w:t>
      </w:r>
      <w:r>
        <w:rPr>
          <w:rStyle w:val="NormalTok"/>
        </w:rPr>
        <w:t xml:space="preserve"> dt.DurationNanoseconds</w:t>
      </w:r>
      <w:r>
        <w:rPr>
          <w:rStyle w:val="OtherTok"/>
        </w:rPr>
        <w:t xml:space="preserve">(</w:t>
      </w:r>
      <w:r>
        <w:rPr>
          <w:rStyle w:val="NormalTok"/>
        </w:rPr>
        <w:t xml:space="preserve">dur</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10"/>
    <w:bookmarkEnd w:id="2211"/>
    <w:bookmarkStart w:id="2217" w:name="round-a-duration-to-a-multiple"/>
    <w:p>
      <w:pPr>
        <w:pStyle w:val="Heading1"/>
      </w:pPr>
      <w:r>
        <w:t xml:space="preserve">Round a Duration to a Multiple</w:t>
      </w:r>
    </w:p>
    <w:bookmarkStart w:id="2212" w:name="overview-184"/>
    <w:p>
      <w:pPr>
        <w:pStyle w:val="Heading2"/>
      </w:pPr>
      <w:r>
        <w:t xml:space="preserve">Overview</w:t>
      </w:r>
    </w:p>
    <w:p>
      <w:pPr>
        <w:pStyle w:val="FirstParagraph"/>
      </w:pPr>
      <w:r>
        <w:t xml:space="preserve">Rounds a duration to the nearest multiple of the specified rounding duration.</w:t>
      </w:r>
    </w:p>
    <w:bookmarkEnd w:id="2212"/>
    <w:bookmarkStart w:id="2213" w:name="syntax-198"/>
    <w:p>
      <w:pPr>
        <w:pStyle w:val="Heading2"/>
      </w:pPr>
      <w:r>
        <w:t xml:space="preserve">Syntax</w:t>
      </w:r>
    </w:p>
    <w:p>
      <w:pPr>
        <w:pStyle w:val="SourceCode"/>
      </w:pPr>
      <w:r>
        <w:rPr>
          <w:rStyle w:val="NormalTok"/>
        </w:rPr>
        <w:t xml:space="preserve">result = g3date.DurationRound(duration, roundDuration)</w:t>
      </w:r>
    </w:p>
    <w:bookmarkEnd w:id="2213"/>
    <w:bookmarkStart w:id="2214" w:name="parameters-10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to round in nanoseconds.</w:t>
            </w:r>
          </w:p>
        </w:tc>
      </w:tr>
      <w:tr>
        <w:tc>
          <w:tcPr/>
          <w:p>
            <w:pPr>
              <w:pStyle w:val="Compact"/>
            </w:pPr>
            <w:r>
              <w:rPr>
                <w:b/>
                <w:bCs/>
              </w:rPr>
              <w:t xml:space="preserve">roundDuration</w:t>
            </w:r>
          </w:p>
        </w:tc>
        <w:tc>
          <w:tcPr/>
          <w:p>
            <w:pPr>
              <w:pStyle w:val="Compact"/>
            </w:pPr>
            <w:r>
              <w:t xml:space="preserve">Integer</w:t>
            </w:r>
          </w:p>
        </w:tc>
        <w:tc>
          <w:tcPr/>
          <w:p>
            <w:pPr>
              <w:pStyle w:val="Compact"/>
            </w:pPr>
            <w:r>
              <w:t xml:space="preserve">Yes</w:t>
            </w:r>
          </w:p>
        </w:tc>
        <w:tc>
          <w:tcPr/>
          <w:p>
            <w:pPr>
              <w:pStyle w:val="Compact"/>
            </w:pPr>
            <w:r>
              <w:t xml:space="preserve">Rounding unit in nanoseconds.</w:t>
            </w:r>
          </w:p>
        </w:tc>
      </w:tr>
    </w:tbl>
    <w:bookmarkEnd w:id="2214"/>
    <w:bookmarkStart w:id="2215" w:name="return-value-123"/>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rounded duration in nanoseconds.</w:t>
      </w:r>
    </w:p>
    <w:bookmarkEnd w:id="2215"/>
    <w:bookmarkStart w:id="2216" w:name="example-12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"1h17m"</w:t>
      </w:r>
      <w:r>
        <w:rPr>
          <w:rStyle w:val="OtherTok"/>
        </w:rPr>
        <w:t xml:space="preserve">)</w:t>
      </w:r>
      <w:r>
        <w:br/>
      </w:r>
      <w:r>
        <w:rPr>
          <w:rStyle w:val="CommentTok"/>
        </w:rPr>
        <w:t xml:space="preserve">' Round to nearest 15 minutes (900000000000 ns)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"Rounded: "</w:t>
      </w:r>
      <w:r>
        <w:rPr>
          <w:rStyle w:val="NormalTok"/>
        </w:rPr>
        <w:t xml:space="preserve"> </w:t>
      </w:r>
      <w:r>
        <w:rPr>
          <w:rStyle w:val="KeywordTok"/>
        </w:rPr>
        <w:t xml:space="preserve">&amp;</w:t>
      </w:r>
      <w:r>
        <w:rPr>
          <w:rStyle w:val="NormalTok"/>
        </w:rPr>
        <w:t xml:space="preserve"> dt.DurationRound</w:t>
      </w:r>
      <w:r>
        <w:rPr>
          <w:rStyle w:val="OtherTok"/>
        </w:rPr>
        <w:t xml:space="preserve">(</w:t>
      </w:r>
      <w:r>
        <w:rPr>
          <w:rStyle w:val="NormalTok"/>
        </w:rPr>
        <w:t xml:space="preserve">dur</w:t>
      </w:r>
      <w:r>
        <w:rPr>
          <w:rStyle w:val="OtherTok"/>
        </w:rPr>
        <w:t xml:space="preserve">,</w:t>
      </w:r>
      <w:r>
        <w:rPr>
          <w:rStyle w:val="NormalTok"/>
        </w:rPr>
        <w:t xml:space="preserve"> </w:t>
      </w:r>
      <w:r>
        <w:rPr>
          <w:rStyle w:val="DecValTok"/>
        </w:rPr>
        <w:t xml:space="preserve">900000000000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ns"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16"/>
    <w:bookmarkEnd w:id="2217"/>
    <w:bookmarkStart w:id="2223" w:name="convert-duration-to-seconds"/>
    <w:p>
      <w:pPr>
        <w:pStyle w:val="Heading1"/>
      </w:pPr>
      <w:r>
        <w:t xml:space="preserve">Convert Duration to Seconds</w:t>
      </w:r>
    </w:p>
    <w:bookmarkStart w:id="2218" w:name="overview-185"/>
    <w:p>
      <w:pPr>
        <w:pStyle w:val="Heading2"/>
      </w:pPr>
      <w:r>
        <w:t xml:space="preserve">Overview</w:t>
      </w:r>
    </w:p>
    <w:p>
      <w:pPr>
        <w:pStyle w:val="FirstParagraph"/>
      </w:pPr>
      <w:r>
        <w:t xml:space="preserve">Converts a duration in nanoseconds to seconds as a floating-point value.</w:t>
      </w:r>
    </w:p>
    <w:bookmarkEnd w:id="2218"/>
    <w:bookmarkStart w:id="2219" w:name="syntax-199"/>
    <w:p>
      <w:pPr>
        <w:pStyle w:val="Heading2"/>
      </w:pPr>
      <w:r>
        <w:t xml:space="preserve">Syntax</w:t>
      </w:r>
    </w:p>
    <w:p>
      <w:pPr>
        <w:pStyle w:val="SourceCode"/>
      </w:pPr>
      <w:r>
        <w:rPr>
          <w:rStyle w:val="NormalTok"/>
        </w:rPr>
        <w:t xml:space="preserve">result = g3date.DurationSeconds(duration)</w:t>
      </w:r>
    </w:p>
    <w:bookmarkEnd w:id="2219"/>
    <w:bookmarkStart w:id="2220" w:name="parameters-10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in nanoseconds.</w:t>
            </w:r>
          </w:p>
        </w:tc>
      </w:tr>
    </w:tbl>
    <w:bookmarkEnd w:id="2220"/>
    <w:bookmarkStart w:id="2221" w:name="return-value-124"/>
    <w:p>
      <w:pPr>
        <w:pStyle w:val="Heading2"/>
      </w:pPr>
      <w:r>
        <w:t xml:space="preserve">Return Value</w:t>
      </w:r>
    </w:p>
    <w:p>
      <w:pPr>
        <w:pStyle w:val="FirstParagraph"/>
      </w:pPr>
      <w:r>
        <w:t xml:space="preserve">Returns a</w:t>
      </w:r>
      <w:r>
        <w:t xml:space="preserve"> </w:t>
      </w:r>
      <w:r>
        <w:rPr>
          <w:b/>
          <w:bCs/>
        </w:rPr>
        <w:t xml:space="preserve">Double</w:t>
      </w:r>
      <w:r>
        <w:t xml:space="preserve"> </w:t>
      </w:r>
      <w:r>
        <w:t xml:space="preserve">representing the duration in seconds. May include fractional seconds.</w:t>
      </w:r>
    </w:p>
    <w:bookmarkEnd w:id="2221"/>
    <w:bookmarkStart w:id="2222" w:name="example-12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"45s"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"Seconds: "</w:t>
      </w:r>
      <w:r>
        <w:rPr>
          <w:rStyle w:val="NormalTok"/>
        </w:rPr>
        <w:t xml:space="preserve"> </w:t>
      </w:r>
      <w:r>
        <w:rPr>
          <w:rStyle w:val="KeywordTok"/>
        </w:rPr>
        <w:t xml:space="preserve">&amp;</w:t>
      </w:r>
      <w:r>
        <w:rPr>
          <w:rStyle w:val="NormalTok"/>
        </w:rPr>
        <w:t xml:space="preserve"> dt.DurationSeconds</w:t>
      </w:r>
      <w:r>
        <w:rPr>
          <w:rStyle w:val="OtherTok"/>
        </w:rPr>
        <w:t xml:space="preserve">(</w:t>
      </w:r>
      <w:r>
        <w:rPr>
          <w:rStyle w:val="NormalTok"/>
        </w:rPr>
        <w:t xml:space="preserve">dur</w:t>
      </w:r>
      <w:r>
        <w:rPr>
          <w:rStyle w:val="OtherTok"/>
        </w:rPr>
        <w:t xml:space="preserve">)</w:t>
      </w:r>
      <w:r>
        <w:rPr>
          <w:rStyle w:val="NormalTok"/>
        </w:rPr>
        <w:t xml:space="preserve"> </w:t>
      </w:r>
      <w:r>
        <w:rPr>
          <w:rStyle w:val="CommentTok"/>
        </w:rPr>
        <w:t xml:space="preserve">' Output: 45</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22"/>
    <w:bookmarkEnd w:id="2223"/>
    <w:bookmarkStart w:id="2229" w:name="get-string-representation-of-a-duration"/>
    <w:p>
      <w:pPr>
        <w:pStyle w:val="Heading1"/>
      </w:pPr>
      <w:r>
        <w:t xml:space="preserve">Get String Representation of a Duration</w:t>
      </w:r>
    </w:p>
    <w:bookmarkStart w:id="2224" w:name="overview-186"/>
    <w:p>
      <w:pPr>
        <w:pStyle w:val="Heading2"/>
      </w:pPr>
      <w:r>
        <w:t xml:space="preserve">Overview</w:t>
      </w:r>
    </w:p>
    <w:p>
      <w:pPr>
        <w:pStyle w:val="FirstParagraph"/>
      </w:pPr>
      <w:r>
        <w:t xml:space="preserve">Returns the human-readable string representation of a duration.</w:t>
      </w:r>
    </w:p>
    <w:bookmarkEnd w:id="2224"/>
    <w:bookmarkStart w:id="2225" w:name="syntax-200"/>
    <w:p>
      <w:pPr>
        <w:pStyle w:val="Heading2"/>
      </w:pPr>
      <w:r>
        <w:t xml:space="preserve">Syntax</w:t>
      </w:r>
    </w:p>
    <w:p>
      <w:pPr>
        <w:pStyle w:val="SourceCode"/>
      </w:pPr>
      <w:r>
        <w:rPr>
          <w:rStyle w:val="NormalTok"/>
        </w:rPr>
        <w:t xml:space="preserve">result = g3date.DurationString(duration)</w:t>
      </w:r>
    </w:p>
    <w:bookmarkEnd w:id="2225"/>
    <w:bookmarkStart w:id="2226" w:name="parameters-10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in nanoseconds.</w:t>
            </w:r>
          </w:p>
        </w:tc>
      </w:tr>
    </w:tbl>
    <w:bookmarkEnd w:id="2226"/>
    <w:bookmarkStart w:id="2227" w:name="return-value-125"/>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the format like</w:t>
      </w:r>
      <w:r>
        <w:t xml:space="preserve"> </w:t>
      </w:r>
      <w:r>
        <w:t xml:space="preserve">“2h30m0s”</w:t>
      </w:r>
      <w:r>
        <w:t xml:space="preserve">,</w:t>
      </w:r>
      <w:r>
        <w:t xml:space="preserve"> </w:t>
      </w:r>
      <w:r>
        <w:t xml:space="preserve">“1h15m30s”</w:t>
      </w:r>
      <w:r>
        <w:t xml:space="preserve">, or</w:t>
      </w:r>
      <w:r>
        <w:t xml:space="preserve"> </w:t>
      </w:r>
      <w:r>
        <w:t xml:space="preserve">“45.5s”</w:t>
      </w:r>
      <w:r>
        <w:t xml:space="preserve">.</w:t>
      </w:r>
    </w:p>
    <w:bookmarkEnd w:id="2227"/>
    <w:bookmarkStart w:id="2228" w:name="example-12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"2h30m"</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"Duration string: "</w:t>
      </w:r>
      <w:r>
        <w:rPr>
          <w:rStyle w:val="NormalTok"/>
        </w:rPr>
        <w:t xml:space="preserve"> </w:t>
      </w:r>
      <w:r>
        <w:rPr>
          <w:rStyle w:val="KeywordTok"/>
        </w:rPr>
        <w:t xml:space="preserve">&amp;</w:t>
      </w:r>
      <w:r>
        <w:rPr>
          <w:rStyle w:val="NormalTok"/>
        </w:rPr>
        <w:t xml:space="preserve"> dt.DurationString</w:t>
      </w:r>
      <w:r>
        <w:rPr>
          <w:rStyle w:val="OtherTok"/>
        </w:rPr>
        <w:t xml:space="preserve">(</w:t>
      </w:r>
      <w:r>
        <w:rPr>
          <w:rStyle w:val="NormalTok"/>
        </w:rPr>
        <w:t xml:space="preserve">dur</w:t>
      </w:r>
      <w:r>
        <w:rPr>
          <w:rStyle w:val="OtherTok"/>
        </w:rPr>
        <w:t xml:space="preserve">)</w:t>
      </w:r>
      <w:r>
        <w:rPr>
          <w:rStyle w:val="NormalTok"/>
        </w:rPr>
        <w:t xml:space="preserve"> </w:t>
      </w:r>
      <w:r>
        <w:rPr>
          <w:rStyle w:val="CommentTok"/>
        </w:rPr>
        <w:t xml:space="preserve">' Output: 2h30m0s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28"/>
    <w:bookmarkEnd w:id="2229"/>
    <w:bookmarkStart w:id="2235" w:name="truncate-a-duration-to-a-multiple"/>
    <w:p>
      <w:pPr>
        <w:pStyle w:val="Heading1"/>
      </w:pPr>
      <w:r>
        <w:t xml:space="preserve">Truncate a Duration to a Multiple</w:t>
      </w:r>
    </w:p>
    <w:bookmarkStart w:id="2230" w:name="overview-187"/>
    <w:p>
      <w:pPr>
        <w:pStyle w:val="Heading2"/>
      </w:pPr>
      <w:r>
        <w:t xml:space="preserve">Overview</w:t>
      </w:r>
    </w:p>
    <w:p>
      <w:pPr>
        <w:pStyle w:val="FirstParagraph"/>
      </w:pPr>
      <w:r>
        <w:t xml:space="preserve">Truncates (rounds down) a duration to a multiple of the specified duration.</w:t>
      </w:r>
    </w:p>
    <w:bookmarkEnd w:id="2230"/>
    <w:bookmarkStart w:id="2231" w:name="syntax-201"/>
    <w:p>
      <w:pPr>
        <w:pStyle w:val="Heading2"/>
      </w:pPr>
      <w:r>
        <w:t xml:space="preserve">Syntax</w:t>
      </w:r>
    </w:p>
    <w:p>
      <w:pPr>
        <w:pStyle w:val="SourceCode"/>
      </w:pPr>
      <w:r>
        <w:rPr>
          <w:rStyle w:val="NormalTok"/>
        </w:rPr>
        <w:t xml:space="preserve">result = g3date.DurationTruncate(duration, truncDuration)</w:t>
      </w:r>
    </w:p>
    <w:bookmarkEnd w:id="2231"/>
    <w:bookmarkStart w:id="2232" w:name="parameters-11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Integer</w:t>
            </w:r>
          </w:p>
        </w:tc>
        <w:tc>
          <w:tcPr/>
          <w:p>
            <w:pPr>
              <w:pStyle w:val="Compact"/>
            </w:pPr>
            <w:r>
              <w:t xml:space="preserve">Yes</w:t>
            </w:r>
          </w:p>
        </w:tc>
        <w:tc>
          <w:tcPr/>
          <w:p>
            <w:pPr>
              <w:pStyle w:val="Compact"/>
            </w:pPr>
            <w:r>
              <w:t xml:space="preserve">Duration to truncate in nanoseconds.</w:t>
            </w:r>
          </w:p>
        </w:tc>
      </w:tr>
      <w:tr>
        <w:tc>
          <w:tcPr/>
          <w:p>
            <w:pPr>
              <w:pStyle w:val="Compact"/>
            </w:pPr>
            <w:r>
              <w:rPr>
                <w:b/>
                <w:bCs/>
              </w:rPr>
              <w:t xml:space="preserve">truncDuration</w:t>
            </w:r>
          </w:p>
        </w:tc>
        <w:tc>
          <w:tcPr/>
          <w:p>
            <w:pPr>
              <w:pStyle w:val="Compact"/>
            </w:pPr>
            <w:r>
              <w:t xml:space="preserve">Integer</w:t>
            </w:r>
          </w:p>
        </w:tc>
        <w:tc>
          <w:tcPr/>
          <w:p>
            <w:pPr>
              <w:pStyle w:val="Compact"/>
            </w:pPr>
            <w:r>
              <w:t xml:space="preserve">Yes</w:t>
            </w:r>
          </w:p>
        </w:tc>
        <w:tc>
          <w:tcPr/>
          <w:p>
            <w:pPr>
              <w:pStyle w:val="Compact"/>
            </w:pPr>
            <w:r>
              <w:t xml:space="preserve">Truncation unit in nanoseconds.</w:t>
            </w:r>
          </w:p>
        </w:tc>
      </w:tr>
    </w:tbl>
    <w:bookmarkEnd w:id="2232"/>
    <w:bookmarkStart w:id="2233" w:name="return-value-126"/>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truncated duration in nanoseconds.</w:t>
      </w:r>
    </w:p>
    <w:bookmarkEnd w:id="2233"/>
    <w:bookmarkStart w:id="2234" w:name="example-12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dur = dt.ParseDuration</w:t>
      </w:r>
      <w:r>
        <w:rPr>
          <w:rStyle w:val="OtherTok"/>
        </w:rPr>
        <w:t xml:space="preserve">(</w:t>
      </w:r>
      <w:r>
        <w:rPr>
          <w:rStyle w:val="StringTok"/>
        </w:rPr>
        <w:t xml:space="preserve">"1h47m"</w:t>
      </w:r>
      <w:r>
        <w:rPr>
          <w:rStyle w:val="OtherTok"/>
        </w:rPr>
        <w:t xml:space="preserve">)</w:t>
      </w:r>
      <w:r>
        <w:br/>
      </w:r>
      <w:r>
        <w:rPr>
          <w:rStyle w:val="CommentTok"/>
        </w:rPr>
        <w:t xml:space="preserve">' Truncate to nearest hour (3600000000000 ns)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"Truncated: "</w:t>
      </w:r>
      <w:r>
        <w:rPr>
          <w:rStyle w:val="NormalTok"/>
        </w:rPr>
        <w:t xml:space="preserve"> </w:t>
      </w:r>
      <w:r>
        <w:rPr>
          <w:rStyle w:val="KeywordTok"/>
        </w:rPr>
        <w:t xml:space="preserve">&amp;</w:t>
      </w:r>
      <w:r>
        <w:rPr>
          <w:rStyle w:val="NormalTok"/>
        </w:rPr>
        <w:t xml:space="preserve"> dt.DurationTruncate</w:t>
      </w:r>
      <w:r>
        <w:rPr>
          <w:rStyle w:val="OtherTok"/>
        </w:rPr>
        <w:t xml:space="preserve">(</w:t>
      </w:r>
      <w:r>
        <w:rPr>
          <w:rStyle w:val="NormalTok"/>
        </w:rPr>
        <w:t xml:space="preserve">dur</w:t>
      </w:r>
      <w:r>
        <w:rPr>
          <w:rStyle w:val="OtherTok"/>
        </w:rPr>
        <w:t xml:space="preserve">,</w:t>
      </w:r>
      <w:r>
        <w:rPr>
          <w:rStyle w:val="NormalTok"/>
        </w:rPr>
        <w:t xml:space="preserve"> </w:t>
      </w:r>
      <w:r>
        <w:rPr>
          <w:rStyle w:val="DecValTok"/>
        </w:rPr>
        <w:t xml:space="preserve">3600000000000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ns"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34"/>
    <w:bookmarkEnd w:id="2235"/>
    <w:bookmarkStart w:id="2242" w:name="check-if-two-dates-are-equal"/>
    <w:p>
      <w:pPr>
        <w:pStyle w:val="Heading1"/>
      </w:pPr>
      <w:r>
        <w:t xml:space="preserve">Check if Two Dates Are Equal</w:t>
      </w:r>
    </w:p>
    <w:bookmarkStart w:id="2236" w:name="overview-188"/>
    <w:p>
      <w:pPr>
        <w:pStyle w:val="Heading2"/>
      </w:pPr>
      <w:r>
        <w:t xml:space="preserve">Overview</w:t>
      </w:r>
    </w:p>
    <w:p>
      <w:pPr>
        <w:pStyle w:val="FirstParagraph"/>
      </w:pPr>
      <w:r>
        <w:t xml:space="preserve">Determines whether two date values represent the same instant in time.</w:t>
      </w:r>
    </w:p>
    <w:bookmarkEnd w:id="2236"/>
    <w:bookmarkStart w:id="2237" w:name="syntax-202"/>
    <w:p>
      <w:pPr>
        <w:pStyle w:val="Heading2"/>
      </w:pPr>
      <w:r>
        <w:t xml:space="preserve">Syntax</w:t>
      </w:r>
    </w:p>
    <w:p>
      <w:pPr>
        <w:pStyle w:val="SourceCode"/>
      </w:pPr>
      <w:r>
        <w:rPr>
          <w:rStyle w:val="NormalTok"/>
        </w:rPr>
        <w:t xml:space="preserve">result = g3date.Equal(date1, date2)</w:t>
      </w:r>
    </w:p>
    <w:bookmarkEnd w:id="2237"/>
    <w:bookmarkStart w:id="2238" w:name="parameters-111"/>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date1</w:t>
            </w:r>
          </w:p>
        </w:tc>
        <w:tc>
          <w:tcPr/>
          <w:p>
            <w:pPr>
              <w:pStyle w:val="Compact"/>
            </w:pPr>
            <w:r>
              <w:t xml:space="preserve">Date</w:t>
            </w:r>
          </w:p>
        </w:tc>
        <w:tc>
          <w:tcPr/>
          <w:p>
            <w:pPr>
              <w:pStyle w:val="Compact"/>
            </w:pPr>
            <w:r>
              <w:t xml:space="preserve">Yes</w:t>
            </w:r>
          </w:p>
        </w:tc>
        <w:tc>
          <w:tcPr/>
          <w:p>
            <w:pPr>
              <w:pStyle w:val="Compact"/>
            </w:pPr>
            <w:r>
              <w:t xml:space="preserve">The first date.</w:t>
            </w:r>
          </w:p>
        </w:tc>
      </w:tr>
      <w:tr>
        <w:tc>
          <w:tcPr/>
          <w:p>
            <w:pPr>
              <w:pStyle w:val="Compact"/>
            </w:pPr>
            <w:r>
              <w:rPr>
                <w:b/>
                <w:bCs/>
              </w:rPr>
              <w:t xml:space="preserve">date2</w:t>
            </w:r>
          </w:p>
        </w:tc>
        <w:tc>
          <w:tcPr/>
          <w:p>
            <w:pPr>
              <w:pStyle w:val="Compact"/>
            </w:pPr>
            <w:r>
              <w:t xml:space="preserve">Date</w:t>
            </w:r>
          </w:p>
        </w:tc>
        <w:tc>
          <w:tcPr/>
          <w:p>
            <w:pPr>
              <w:pStyle w:val="Compact"/>
            </w:pPr>
            <w:r>
              <w:t xml:space="preserve">Yes</w:t>
            </w:r>
          </w:p>
        </w:tc>
        <w:tc>
          <w:tcPr/>
          <w:p>
            <w:pPr>
              <w:pStyle w:val="Compact"/>
            </w:pPr>
            <w:r>
              <w:t xml:space="preserve">The second date.</w:t>
            </w:r>
          </w:p>
        </w:tc>
      </w:tr>
    </w:tbl>
    <w:bookmarkEnd w:id="2238"/>
    <w:bookmarkStart w:id="2239" w:name="return-value-127"/>
    <w:p>
      <w:pPr>
        <w:pStyle w:val="Heading2"/>
      </w:pPr>
      <w:r>
        <w:t xml:space="preserve">Return Value</w:t>
      </w:r>
    </w:p>
    <w:p>
      <w:pPr>
        <w:pStyle w:val="FirstParagraph"/>
      </w:pPr>
      <w:r>
        <w:t xml:space="preserve">Returns a</w:t>
      </w:r>
      <w:r>
        <w:t xml:space="preserve"> </w:t>
      </w:r>
      <w:r>
        <w:rPr>
          <w:b/>
          <w:bCs/>
        </w:rPr>
        <w:t xml:space="preserve">Boolean</w:t>
      </w:r>
      <w:r>
        <w:t xml:space="preserve">: True if both dates represent the same instant, False otherwise.</w:t>
      </w:r>
    </w:p>
    <w:bookmarkEnd w:id="2239"/>
    <w:bookmarkStart w:id="2240" w:name="remarks-198"/>
    <w:p>
      <w:pPr>
        <w:pStyle w:val="Heading2"/>
      </w:pPr>
      <w:r>
        <w:t xml:space="preserve">Remarks</w:t>
      </w:r>
    </w:p>
    <w:p>
      <w:pPr>
        <w:pStyle w:val="Compact"/>
        <w:numPr>
          <w:ilvl w:val="0"/>
          <w:numId w:val="1581"/>
        </w:numPr>
      </w:pPr>
      <w:r>
        <w:t xml:space="preserve">Equality is based on the UTC instant, not the clock time in a specific timezone.</w:t>
      </w:r>
    </w:p>
    <w:p>
      <w:pPr>
        <w:pStyle w:val="Compact"/>
        <w:numPr>
          <w:ilvl w:val="0"/>
          <w:numId w:val="1581"/>
        </w:numPr>
      </w:pPr>
      <w:r>
        <w:t xml:space="preserve">Two dates in different timezones that represent the same moment are considered equal.</w:t>
      </w:r>
    </w:p>
    <w:bookmarkEnd w:id="2240"/>
    <w:bookmarkStart w:id="2241" w:name="example-13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d1</w:t>
      </w:r>
      <w:r>
        <w:rPr>
          <w:rStyle w:val="OtherTok"/>
        </w:rPr>
        <w:t xml:space="preserve">,</w:t>
      </w:r>
      <w:r>
        <w:rPr>
          <w:rStyle w:val="NormalTok"/>
        </w:rPr>
        <w:t xml:space="preserve"> d2</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d1 = dt.</w:t>
      </w:r>
      <w:r>
        <w:rPr>
          <w:rStyle w:val="FunctionTok"/>
        </w:rPr>
        <w:t xml:space="preserve">Now</w:t>
      </w:r>
      <w:r>
        <w:rPr>
          <w:rStyle w:val="OtherTok"/>
        </w:rPr>
        <w:t xml:space="preserve">()</w:t>
      </w:r>
      <w:r>
        <w:br/>
      </w:r>
      <w:r>
        <w:rPr>
          <w:rStyle w:val="NormalTok"/>
        </w:rPr>
        <w:t xml:space="preserve">d2 = dt.</w:t>
      </w:r>
      <w:r>
        <w:rPr>
          <w:rStyle w:val="FunctionTok"/>
        </w:rPr>
        <w:t xml:space="preserve">Now</w:t>
      </w:r>
      <w:r>
        <w:rPr>
          <w:rStyle w:val="OtherTok"/>
        </w:rPr>
        <w:t xml:space="preserve">()</w:t>
      </w:r>
      <w:r>
        <w:br/>
      </w:r>
      <w:r>
        <w:rPr>
          <w:rStyle w:val="ControlFlowTok"/>
        </w:rPr>
        <w:t xml:space="preserve">If</w:t>
      </w:r>
      <w:r>
        <w:rPr>
          <w:rStyle w:val="NormalTok"/>
        </w:rPr>
        <w:t xml:space="preserve"> dt.Equal</w:t>
      </w:r>
      <w:r>
        <w:rPr>
          <w:rStyle w:val="OtherTok"/>
        </w:rPr>
        <w:t xml:space="preserve">(</w:t>
      </w:r>
      <w:r>
        <w:rPr>
          <w:rStyle w:val="NormalTok"/>
        </w:rPr>
        <w:t xml:space="preserve">d1</w:t>
      </w:r>
      <w:r>
        <w:rPr>
          <w:rStyle w:val="OtherTok"/>
        </w:rPr>
        <w:t xml:space="preserve">,</w:t>
      </w:r>
      <w:r>
        <w:rPr>
          <w:rStyle w:val="NormalTok"/>
        </w:rPr>
        <w:t xml:space="preserve"> d2</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"Both dates are the same"</w:t>
      </w:r>
      <w:r>
        <w:br/>
      </w:r>
      <w:r>
        <w:rPr>
          <w:rStyle w:val="ControlFlowTok"/>
        </w:rPr>
        <w:t xml:space="preserve">End If</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41"/>
    <w:bookmarkEnd w:id="2242"/>
    <w:bookmarkStart w:id="2249" w:name="create-a-fixed-offset-timezone"/>
    <w:p>
      <w:pPr>
        <w:pStyle w:val="Heading1"/>
      </w:pPr>
      <w:r>
        <w:t xml:space="preserve">Create a Fixed Offset Timezone</w:t>
      </w:r>
    </w:p>
    <w:bookmarkStart w:id="2243" w:name="overview-189"/>
    <w:p>
      <w:pPr>
        <w:pStyle w:val="Heading2"/>
      </w:pPr>
      <w:r>
        <w:t xml:space="preserve">Overview</w:t>
      </w:r>
    </w:p>
    <w:p>
      <w:pPr>
        <w:pStyle w:val="FirstParagraph"/>
      </w:pPr>
      <w:r>
        <w:t xml:space="preserve">Creates a timezone with a fixed offset from UTC, independent of geographic location and DST rules.</w:t>
      </w:r>
    </w:p>
    <w:bookmarkEnd w:id="2243"/>
    <w:bookmarkStart w:id="2244" w:name="syntax-203"/>
    <w:p>
      <w:pPr>
        <w:pStyle w:val="Heading2"/>
      </w:pPr>
      <w:r>
        <w:t xml:space="preserve">Syntax</w:t>
      </w:r>
    </w:p>
    <w:p>
      <w:pPr>
        <w:pStyle w:val="SourceCode"/>
      </w:pPr>
      <w:r>
        <w:rPr>
          <w:rStyle w:val="NormalTok"/>
        </w:rPr>
        <w:t xml:space="preserve">result = g3date.FixedZone(offset [, name])</w:t>
      </w:r>
    </w:p>
    <w:bookmarkEnd w:id="2244"/>
    <w:bookmarkStart w:id="2245" w:name="parameters-11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offset</w:t>
            </w:r>
          </w:p>
        </w:tc>
        <w:tc>
          <w:tcPr/>
          <w:p>
            <w:pPr>
              <w:pStyle w:val="Compact"/>
            </w:pPr>
            <w:r>
              <w:t xml:space="preserve">Integer</w:t>
            </w:r>
          </w:p>
        </w:tc>
        <w:tc>
          <w:tcPr/>
          <w:p>
            <w:pPr>
              <w:pStyle w:val="Compact"/>
            </w:pPr>
            <w:r>
              <w:t xml:space="preserve">Yes</w:t>
            </w:r>
          </w:p>
        </w:tc>
        <w:tc>
          <w:tcPr/>
          <w:p>
            <w:pPr>
              <w:pStyle w:val="Compact"/>
            </w:pPr>
            <w:r>
              <w:t xml:space="preserve">Offset in seconds east of UTC (negative for west).</w:t>
            </w:r>
          </w:p>
        </w:tc>
      </w:tr>
      <w:tr>
        <w:tc>
          <w:tcPr/>
          <w:p>
            <w:pPr>
              <w:pStyle w:val="Compact"/>
            </w:pPr>
            <w:r>
              <w:rPr>
                <w:b/>
                <w:bCs/>
              </w:rPr>
              <w:t xml:space="preserve">name</w:t>
            </w:r>
          </w:p>
        </w:tc>
        <w:tc>
          <w:tcPr/>
          <w:p>
            <w:pPr>
              <w:pStyle w:val="Compact"/>
            </w:pPr>
            <w:r>
              <w:t xml:space="preserve">String</w:t>
            </w:r>
          </w:p>
        </w:tc>
        <w:tc>
          <w:tcPr/>
          <w:p>
            <w:pPr>
              <w:pStyle w:val="Compact"/>
            </w:pPr>
            <w:r>
              <w:t xml:space="preserve">No</w:t>
            </w:r>
          </w:p>
        </w:tc>
        <w:tc>
          <w:tcPr/>
          <w:p>
            <w:pPr>
              <w:pStyle w:val="Compact"/>
            </w:pPr>
            <w:r>
              <w:t xml:space="preserve">Name for the timezone (e.g.,</w:t>
            </w:r>
            <w:r>
              <w:t xml:space="preserve"> </w:t>
            </w:r>
            <w:r>
              <w:t xml:space="preserve">“EST”</w:t>
            </w:r>
            <w:r>
              <w:t xml:space="preserve">).</w:t>
            </w:r>
          </w:p>
        </w:tc>
      </w:tr>
    </w:tbl>
    <w:bookmarkEnd w:id="2245"/>
    <w:bookmarkStart w:id="2246" w:name="return-value-128"/>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fixed timezone description.</w:t>
      </w:r>
    </w:p>
    <w:bookmarkEnd w:id="2246"/>
    <w:bookmarkStart w:id="2247" w:name="remarks-199"/>
    <w:p>
      <w:pPr>
        <w:pStyle w:val="Heading2"/>
      </w:pPr>
      <w:r>
        <w:t xml:space="preserve">Remarks</w:t>
      </w:r>
    </w:p>
    <w:p>
      <w:pPr>
        <w:pStyle w:val="Compact"/>
        <w:numPr>
          <w:ilvl w:val="0"/>
          <w:numId w:val="1582"/>
        </w:numPr>
      </w:pPr>
      <w:r>
        <w:t xml:space="preserve">A fixed zone does not observe Daylight Saving Time.</w:t>
      </w:r>
    </w:p>
    <w:p>
      <w:pPr>
        <w:pStyle w:val="Compact"/>
        <w:numPr>
          <w:ilvl w:val="0"/>
          <w:numId w:val="1582"/>
        </w:numPr>
      </w:pPr>
      <w:r>
        <w:t xml:space="preserve">For EST (UTC-5), use offset -18000 (-5 * 3600).</w:t>
      </w:r>
    </w:p>
    <w:p>
      <w:pPr>
        <w:pStyle w:val="Compact"/>
        <w:numPr>
          <w:ilvl w:val="0"/>
          <w:numId w:val="1582"/>
        </w:numPr>
      </w:pPr>
      <w:r>
        <w:t xml:space="preserve">For EDT (UTC-4), use offset -14400 (-4 * 3600).</w:t>
      </w:r>
    </w:p>
    <w:bookmarkEnd w:id="2247"/>
    <w:bookmarkStart w:id="2248" w:name="example-13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fz</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fz = dt.FixedZone</w:t>
      </w:r>
      <w:r>
        <w:rPr>
          <w:rStyle w:val="OtherTok"/>
        </w:rPr>
        <w:t xml:space="preserve">(</w:t>
      </w:r>
      <w:r>
        <w:rPr>
          <w:rStyle w:val="NormalTok"/>
        </w:rPr>
        <w:t xml:space="preserve">-</w:t>
      </w:r>
      <w:r>
        <w:rPr>
          <w:rStyle w:val="DecValTok"/>
        </w:rPr>
        <w:t xml:space="preserve">18000</w:t>
      </w:r>
      <w:r>
        <w:rPr>
          <w:rStyle w:val="OtherTok"/>
        </w:rPr>
        <w:t xml:space="preserve">,</w:t>
      </w:r>
      <w:r>
        <w:rPr>
          <w:rStyle w:val="NormalTok"/>
        </w:rPr>
        <w:t xml:space="preserve"> </w:t>
      </w:r>
      <w:r>
        <w:rPr>
          <w:rStyle w:val="StringTok"/>
        </w:rPr>
        <w:t xml:space="preserve">"EST"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"Fixed zone: "</w:t>
      </w:r>
      <w:r>
        <w:rPr>
          <w:rStyle w:val="NormalTok"/>
        </w:rPr>
        <w:t xml:space="preserve"> </w:t>
      </w:r>
      <w:r>
        <w:rPr>
          <w:rStyle w:val="KeywordTok"/>
        </w:rPr>
        <w:t xml:space="preserve">&amp;</w:t>
      </w:r>
      <w:r>
        <w:rPr>
          <w:rStyle w:val="NormalTok"/>
        </w:rPr>
        <w:t xml:space="preserve"> fz</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48"/>
    <w:bookmarkEnd w:id="2249"/>
    <w:bookmarkStart w:id="2256" w:name="format-a-date-using-go-layout"/>
    <w:p>
      <w:pPr>
        <w:pStyle w:val="Heading1"/>
      </w:pPr>
      <w:r>
        <w:t xml:space="preserve">Format a Date Using Go Layout</w:t>
      </w:r>
    </w:p>
    <w:bookmarkStart w:id="2250" w:name="overview-190"/>
    <w:p>
      <w:pPr>
        <w:pStyle w:val="Heading2"/>
      </w:pPr>
      <w:r>
        <w:t xml:space="preserve">Overview</w:t>
      </w:r>
    </w:p>
    <w:p>
      <w:pPr>
        <w:pStyle w:val="FirstParagraph"/>
      </w:pPr>
      <w:r>
        <w:t xml:space="preserve">Formats a date value into a string using a Go time layout pattern.</w:t>
      </w:r>
    </w:p>
    <w:bookmarkEnd w:id="2250"/>
    <w:bookmarkStart w:id="2251" w:name="syntax-204"/>
    <w:p>
      <w:pPr>
        <w:pStyle w:val="Heading2"/>
      </w:pPr>
      <w:r>
        <w:t xml:space="preserve">Syntax</w:t>
      </w:r>
    </w:p>
    <w:p>
      <w:pPr>
        <w:pStyle w:val="SourceCode"/>
      </w:pPr>
      <w:r>
        <w:rPr>
          <w:rStyle w:val="NormalTok"/>
        </w:rPr>
        <w:t xml:space="preserve">result = g3date.Format(date, layout)</w:t>
      </w:r>
    </w:p>
    <w:bookmarkEnd w:id="2251"/>
    <w:bookmarkStart w:id="2252" w:name="parameters-11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r>
        <w:tc>
          <w:tcPr/>
          <w:p>
            <w:pPr>
              <w:pStyle w:val="Compact"/>
            </w:pPr>
            <w:r>
              <w:rPr>
                <w:b/>
                <w:bCs/>
              </w:rPr>
              <w:t xml:space="preserve">layout</w:t>
            </w:r>
          </w:p>
        </w:tc>
        <w:tc>
          <w:tcPr/>
          <w:p>
            <w:pPr>
              <w:pStyle w:val="Compact"/>
            </w:pPr>
            <w:r>
              <w:t xml:space="preserve">String</w:t>
            </w:r>
          </w:p>
        </w:tc>
        <w:tc>
          <w:tcPr/>
          <w:p>
            <w:pPr>
              <w:pStyle w:val="Compact"/>
            </w:pPr>
            <w:r>
              <w:t xml:space="preserve">Yes</w:t>
            </w:r>
          </w:p>
        </w:tc>
        <w:tc>
          <w:tcPr/>
          <w:p>
            <w:pPr>
              <w:pStyle w:val="Compact"/>
            </w:pPr>
            <w:r>
              <w:t xml:space="preserve">Go time layout string (e.g.,</w:t>
            </w:r>
            <w:r>
              <w:t xml:space="preserve"> </w:t>
            </w:r>
            <w:r>
              <w:t xml:space="preserve">“2006-01-02 15:04:05”</w:t>
            </w:r>
            <w:r>
              <w:t xml:space="preserve">).</w:t>
            </w:r>
          </w:p>
        </w:tc>
      </w:tr>
    </w:tbl>
    <w:bookmarkEnd w:id="2252"/>
    <w:bookmarkStart w:id="2253" w:name="return-value-129"/>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formatted date.</w:t>
      </w:r>
    </w:p>
    <w:bookmarkEnd w:id="2253"/>
    <w:bookmarkStart w:id="2254" w:name="remarks-200"/>
    <w:p>
      <w:pPr>
        <w:pStyle w:val="Heading2"/>
      </w:pPr>
      <w:r>
        <w:t xml:space="preserve">Remarks</w:t>
      </w:r>
    </w:p>
    <w:p>
      <w:pPr>
        <w:pStyle w:val="Compact"/>
        <w:numPr>
          <w:ilvl w:val="0"/>
          <w:numId w:val="1583"/>
        </w:numPr>
      </w:pPr>
      <w:r>
        <w:t xml:space="preserve">Go uses reference time</w:t>
      </w:r>
      <w:r>
        <w:t xml:space="preserve"> </w:t>
      </w:r>
      <w:r>
        <w:rPr>
          <w:rStyle w:val="VerbatimChar"/>
        </w:rPr>
        <w:t xml:space="preserve">Mon Jan 2 15:04:05 MST 2006</w:t>
      </w:r>
      <w:r>
        <w:t xml:space="preserve"> </w:t>
      </w:r>
      <w:r>
        <w:t xml:space="preserve">for layout patterns.</w:t>
      </w:r>
    </w:p>
    <w:p>
      <w:pPr>
        <w:pStyle w:val="Compact"/>
        <w:numPr>
          <w:ilvl w:val="0"/>
          <w:numId w:val="1583"/>
        </w:numPr>
      </w:pPr>
      <w:r>
        <w:t xml:space="preserve">Common layouts:</w:t>
      </w:r>
      <w:r>
        <w:t xml:space="preserve"> </w:t>
      </w:r>
      <w:r>
        <w:rPr>
          <w:rStyle w:val="VerbatimChar"/>
        </w:rPr>
        <w:t xml:space="preserve">"2006-01-02"</w:t>
      </w:r>
      <w:r>
        <w:t xml:space="preserve"> </w:t>
      </w:r>
      <w:r>
        <w:t xml:space="preserve">(date),</w:t>
      </w:r>
      <w:r>
        <w:t xml:space="preserve"> </w:t>
      </w:r>
      <w:r>
        <w:rPr>
          <w:rStyle w:val="VerbatimChar"/>
        </w:rPr>
        <w:t xml:space="preserve">"15:04:05"</w:t>
      </w:r>
      <w:r>
        <w:t xml:space="preserve"> </w:t>
      </w:r>
      <w:r>
        <w:t xml:space="preserve">(time),</w:t>
      </w:r>
      <w:r>
        <w:t xml:space="preserve"> </w:t>
      </w:r>
      <w:r>
        <w:rPr>
          <w:rStyle w:val="VerbatimChar"/>
        </w:rPr>
        <w:t xml:space="preserve">"2006-01-02 15:04:05"</w:t>
      </w:r>
      <w:r>
        <w:t xml:space="preserve"> </w:t>
      </w:r>
      <w:r>
        <w:t xml:space="preserve">(datetime).</w:t>
      </w:r>
    </w:p>
    <w:p>
      <w:pPr>
        <w:pStyle w:val="Compact"/>
        <w:numPr>
          <w:ilvl w:val="0"/>
          <w:numId w:val="1583"/>
        </w:numPr>
      </w:pPr>
      <w:r>
        <w:t xml:space="preserve">For RFC 3339 formatting, use the ISOFormat method instead.</w:t>
      </w:r>
    </w:p>
    <w:bookmarkEnd w:id="2254"/>
    <w:bookmarkStart w:id="2255" w:name="example-13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dt.Format</w:t>
      </w:r>
      <w:r>
        <w:rPr>
          <w:rStyle w:val="OtherTok"/>
        </w:rPr>
        <w:t xml:space="preserve">(</w:t>
      </w:r>
      <w:r>
        <w:rPr>
          <w:rStyle w:val="FunctionTok"/>
        </w:rPr>
        <w:t xml:space="preserve">now</w:t>
      </w:r>
      <w:r>
        <w:rPr>
          <w:rStyle w:val="OtherTok"/>
        </w:rPr>
        <w:t xml:space="preserve">,</w:t>
      </w:r>
      <w:r>
        <w:rPr>
          <w:rStyle w:val="NormalTok"/>
        </w:rPr>
        <w:t xml:space="preserve"> </w:t>
      </w:r>
      <w:r>
        <w:rPr>
          <w:rStyle w:val="StringTok"/>
        </w:rPr>
        <w:t xml:space="preserve">"2006-01-02 15:04:05"</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55"/>
    <w:bookmarkEnd w:id="2256"/>
    <w:bookmarkStart w:id="2263" w:name="format-a-date-with-zero-padding"/>
    <w:p>
      <w:pPr>
        <w:pStyle w:val="Heading1"/>
      </w:pPr>
      <w:r>
        <w:t xml:space="preserve">Format a Date with Zero Padding</w:t>
      </w:r>
    </w:p>
    <w:bookmarkStart w:id="2257" w:name="overview-191"/>
    <w:p>
      <w:pPr>
        <w:pStyle w:val="Heading2"/>
      </w:pPr>
      <w:r>
        <w:t xml:space="preserve">Overview</w:t>
      </w:r>
    </w:p>
    <w:p>
      <w:pPr>
        <w:pStyle w:val="FirstParagraph"/>
      </w:pPr>
      <w:r>
        <w:t xml:space="preserve">Formats a date using a Go layout pattern with zero-padded numeric fields.</w:t>
      </w:r>
    </w:p>
    <w:bookmarkEnd w:id="2257"/>
    <w:bookmarkStart w:id="2258" w:name="syntax-205"/>
    <w:p>
      <w:pPr>
        <w:pStyle w:val="Heading2"/>
      </w:pPr>
      <w:r>
        <w:t xml:space="preserve">Syntax</w:t>
      </w:r>
    </w:p>
    <w:p>
      <w:pPr>
        <w:pStyle w:val="SourceCode"/>
      </w:pPr>
      <w:r>
        <w:rPr>
          <w:rStyle w:val="NormalTok"/>
        </w:rPr>
        <w:t xml:space="preserve">result = g3date.FormatPad(date, layout)</w:t>
      </w:r>
    </w:p>
    <w:bookmarkEnd w:id="2258"/>
    <w:bookmarkStart w:id="2259" w:name="parameters-11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r>
        <w:tc>
          <w:tcPr/>
          <w:p>
            <w:pPr>
              <w:pStyle w:val="Compact"/>
            </w:pPr>
            <w:r>
              <w:rPr>
                <w:b/>
                <w:bCs/>
              </w:rPr>
              <w:t xml:space="preserve">layout</w:t>
            </w:r>
          </w:p>
        </w:tc>
        <w:tc>
          <w:tcPr/>
          <w:p>
            <w:pPr>
              <w:pStyle w:val="Compact"/>
            </w:pPr>
            <w:r>
              <w:t xml:space="preserve">String</w:t>
            </w:r>
          </w:p>
        </w:tc>
        <w:tc>
          <w:tcPr/>
          <w:p>
            <w:pPr>
              <w:pStyle w:val="Compact"/>
            </w:pPr>
            <w:r>
              <w:t xml:space="preserve">Yes</w:t>
            </w:r>
          </w:p>
        </w:tc>
        <w:tc>
          <w:tcPr/>
          <w:p>
            <w:pPr>
              <w:pStyle w:val="Compact"/>
            </w:pPr>
            <w:r>
              <w:t xml:space="preserve">Go time layout string with zero-padded fields.</w:t>
            </w:r>
          </w:p>
        </w:tc>
      </w:tr>
    </w:tbl>
    <w:bookmarkEnd w:id="2259"/>
    <w:bookmarkStart w:id="2260" w:name="return-value-130"/>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formatted date with zero-padded components.</w:t>
      </w:r>
    </w:p>
    <w:bookmarkEnd w:id="2260"/>
    <w:bookmarkStart w:id="2261" w:name="remarks-201"/>
    <w:p>
      <w:pPr>
        <w:pStyle w:val="Heading2"/>
      </w:pPr>
      <w:r>
        <w:t xml:space="preserve">Remarks</w:t>
      </w:r>
    </w:p>
    <w:p>
      <w:pPr>
        <w:pStyle w:val="Compact"/>
        <w:numPr>
          <w:ilvl w:val="0"/>
          <w:numId w:val="1584"/>
        </w:numPr>
      </w:pPr>
      <w:r>
        <w:t xml:space="preserve">This method replaces digits 1-6 in the layout with zero-padded equivalents (01-06) before formatting.</w:t>
      </w:r>
    </w:p>
    <w:p>
      <w:pPr>
        <w:pStyle w:val="Compact"/>
        <w:numPr>
          <w:ilvl w:val="0"/>
          <w:numId w:val="1584"/>
        </w:numPr>
      </w:pPr>
      <w:r>
        <w:t xml:space="preserve">Useful for ensuring consistent width in formatted output.</w:t>
      </w:r>
    </w:p>
    <w:bookmarkEnd w:id="2261"/>
    <w:bookmarkStart w:id="2262" w:name="example-13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dt.FormatPad</w:t>
      </w:r>
      <w:r>
        <w:rPr>
          <w:rStyle w:val="OtherTok"/>
        </w:rPr>
        <w:t xml:space="preserve">(</w:t>
      </w:r>
      <w:r>
        <w:rPr>
          <w:rStyle w:val="FunctionTok"/>
        </w:rPr>
        <w:t xml:space="preserve">now</w:t>
      </w:r>
      <w:r>
        <w:rPr>
          <w:rStyle w:val="OtherTok"/>
        </w:rPr>
        <w:t xml:space="preserve">,</w:t>
      </w:r>
      <w:r>
        <w:rPr>
          <w:rStyle w:val="NormalTok"/>
        </w:rPr>
        <w:t xml:space="preserve"> </w:t>
      </w:r>
      <w:r>
        <w:rPr>
          <w:rStyle w:val="StringTok"/>
        </w:rPr>
        <w:t xml:space="preserve">"2006-1-2 3:4:5"</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62"/>
    <w:bookmarkEnd w:id="2263"/>
    <w:bookmarkStart w:id="2269" w:name="get-go-syntax-representation"/>
    <w:p>
      <w:pPr>
        <w:pStyle w:val="Heading1"/>
      </w:pPr>
      <w:r>
        <w:t xml:space="preserve">Get Go Syntax Representation</w:t>
      </w:r>
    </w:p>
    <w:bookmarkStart w:id="2264" w:name="overview-192"/>
    <w:p>
      <w:pPr>
        <w:pStyle w:val="Heading2"/>
      </w:pPr>
      <w:r>
        <w:t xml:space="preserve">Overview</w:t>
      </w:r>
    </w:p>
    <w:p>
      <w:pPr>
        <w:pStyle w:val="FirstParagraph"/>
      </w:pPr>
      <w:r>
        <w:t xml:space="preserve">Returns a Go-syntax representation of the date value using Go’s GoString() format.</w:t>
      </w:r>
    </w:p>
    <w:bookmarkEnd w:id="2264"/>
    <w:bookmarkStart w:id="2265" w:name="syntax-206"/>
    <w:p>
      <w:pPr>
        <w:pStyle w:val="Heading2"/>
      </w:pPr>
      <w:r>
        <w:t xml:space="preserve">Syntax</w:t>
      </w:r>
    </w:p>
    <w:p>
      <w:pPr>
        <w:pStyle w:val="SourceCode"/>
      </w:pPr>
      <w:r>
        <w:rPr>
          <w:rStyle w:val="NormalTok"/>
        </w:rPr>
        <w:t xml:space="preserve">result = g3date.GoString(date)</w:t>
      </w:r>
    </w:p>
    <w:bookmarkEnd w:id="2265"/>
    <w:bookmarkStart w:id="2266" w:name="parameters-115"/>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266"/>
    <w:bookmarkStart w:id="2267" w:name="return-value-131"/>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Go syntax format, suitable for debugging.</w:t>
      </w:r>
    </w:p>
    <w:bookmarkEnd w:id="2267"/>
    <w:bookmarkStart w:id="2268" w:name="example-13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dt.GoString</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68"/>
    <w:bookmarkEnd w:id="2269"/>
    <w:bookmarkStart w:id="2275" w:name="get-the-hour-component"/>
    <w:p>
      <w:pPr>
        <w:pStyle w:val="Heading1"/>
      </w:pPr>
      <w:r>
        <w:t xml:space="preserve">Get the Hour Component</w:t>
      </w:r>
    </w:p>
    <w:bookmarkStart w:id="2270" w:name="overview-193"/>
    <w:p>
      <w:pPr>
        <w:pStyle w:val="Heading2"/>
      </w:pPr>
      <w:r>
        <w:t xml:space="preserve">Overview</w:t>
      </w:r>
    </w:p>
    <w:p>
      <w:pPr>
        <w:pStyle w:val="FirstParagraph"/>
      </w:pPr>
      <w:r>
        <w:t xml:space="preserve">Returns the hour component of a date value (0-23).</w:t>
      </w:r>
    </w:p>
    <w:bookmarkEnd w:id="2270"/>
    <w:bookmarkStart w:id="2271" w:name="syntax-207"/>
    <w:p>
      <w:pPr>
        <w:pStyle w:val="Heading2"/>
      </w:pPr>
      <w:r>
        <w:t xml:space="preserve">Syntax</w:t>
      </w:r>
    </w:p>
    <w:p>
      <w:pPr>
        <w:pStyle w:val="SourceCode"/>
      </w:pPr>
      <w:r>
        <w:rPr>
          <w:rStyle w:val="NormalTok"/>
        </w:rPr>
        <w:t xml:space="preserve">result = g3date.Hour(date)</w:t>
      </w:r>
    </w:p>
    <w:bookmarkEnd w:id="2271"/>
    <w:bookmarkStart w:id="2272" w:name="parameters-11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272"/>
    <w:bookmarkStart w:id="2273" w:name="return-value-132"/>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from 0 to 23 representing the hour of the day.</w:t>
      </w:r>
    </w:p>
    <w:bookmarkEnd w:id="2273"/>
    <w:bookmarkStart w:id="2274" w:name="example-13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h</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h = dt.</w:t>
      </w:r>
      <w:r>
        <w:rPr>
          <w:rStyle w:val="FunctionTok"/>
        </w:rPr>
        <w:t xml:space="preserve">Hour</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hour: "</w:t>
      </w:r>
      <w:r>
        <w:rPr>
          <w:rStyle w:val="NormalTok"/>
        </w:rPr>
        <w:t xml:space="preserve"> </w:t>
      </w:r>
      <w:r>
        <w:rPr>
          <w:rStyle w:val="KeywordTok"/>
        </w:rPr>
        <w:t xml:space="preserve">&amp;</w:t>
      </w:r>
      <w:r>
        <w:rPr>
          <w:rStyle w:val="NormalTok"/>
        </w:rPr>
        <w:t xml:space="preserve"> h</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74"/>
    <w:bookmarkEnd w:id="2275"/>
    <w:bookmarkStart w:id="2281" w:name="convert-date-to-a-specific-timezone"/>
    <w:p>
      <w:pPr>
        <w:pStyle w:val="Heading1"/>
      </w:pPr>
      <w:r>
        <w:t xml:space="preserve">Convert Date to a Specific Timezone</w:t>
      </w:r>
    </w:p>
    <w:bookmarkStart w:id="2276" w:name="overview-194"/>
    <w:p>
      <w:pPr>
        <w:pStyle w:val="Heading2"/>
      </w:pPr>
      <w:r>
        <w:t xml:space="preserve">Overview</w:t>
      </w:r>
    </w:p>
    <w:p>
      <w:pPr>
        <w:pStyle w:val="FirstParagraph"/>
      </w:pPr>
      <w:r>
        <w:t xml:space="preserve">Converts a date value to the specified timezone.</w:t>
      </w:r>
    </w:p>
    <w:bookmarkEnd w:id="2276"/>
    <w:bookmarkStart w:id="2277" w:name="syntax-208"/>
    <w:p>
      <w:pPr>
        <w:pStyle w:val="Heading2"/>
      </w:pPr>
      <w:r>
        <w:t xml:space="preserve">Syntax</w:t>
      </w:r>
    </w:p>
    <w:p>
      <w:pPr>
        <w:pStyle w:val="SourceCode"/>
      </w:pPr>
      <w:r>
        <w:rPr>
          <w:rStyle w:val="NormalTok"/>
        </w:rPr>
        <w:t xml:space="preserve">result = g3date.In(date, timezone)</w:t>
      </w:r>
    </w:p>
    <w:bookmarkEnd w:id="2277"/>
    <w:bookmarkStart w:id="2278" w:name="parameters-11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r>
        <w:tc>
          <w:tcPr/>
          <w:p>
            <w:pPr>
              <w:pStyle w:val="Compact"/>
            </w:pPr>
            <w:r>
              <w:rPr>
                <w:b/>
                <w:bCs/>
              </w:rPr>
              <w:t xml:space="preserve">timezone</w:t>
            </w:r>
          </w:p>
        </w:tc>
        <w:tc>
          <w:tcPr/>
          <w:p>
            <w:pPr>
              <w:pStyle w:val="Compact"/>
            </w:pPr>
            <w:r>
              <w:t xml:space="preserve">String</w:t>
            </w:r>
          </w:p>
        </w:tc>
        <w:tc>
          <w:tcPr/>
          <w:p>
            <w:pPr>
              <w:pStyle w:val="Compact"/>
            </w:pPr>
            <w:r>
              <w:t xml:space="preserve">Yes</w:t>
            </w:r>
          </w:p>
        </w:tc>
        <w:tc>
          <w:tcPr/>
          <w:p>
            <w:pPr>
              <w:pStyle w:val="Compact"/>
            </w:pPr>
            <w:r>
              <w:t xml:space="preserve">IANA timezone identifier (e.g.,</w:t>
            </w:r>
            <w:r>
              <w:t xml:space="preserve"> </w:t>
            </w:r>
            <w:r>
              <w:t xml:space="preserve">“America/New_York”</w:t>
            </w:r>
            <w:r>
              <w:t xml:space="preserve">).</w:t>
            </w:r>
          </w:p>
        </w:tc>
      </w:tr>
    </w:tbl>
    <w:bookmarkEnd w:id="2278"/>
    <w:bookmarkStart w:id="2279" w:name="return-value-133"/>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same instant in the specified timezone.</w:t>
      </w:r>
    </w:p>
    <w:bookmarkEnd w:id="2279"/>
    <w:bookmarkStart w:id="2280" w:name="example-13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nyTime</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nyTime = dt.</w:t>
      </w:r>
      <w:r>
        <w:rPr>
          <w:rStyle w:val="ControlFlowTok"/>
        </w:rPr>
        <w:t xml:space="preserve">In</w:t>
      </w:r>
      <w:r>
        <w:rPr>
          <w:rStyle w:val="OtherTok"/>
        </w:rPr>
        <w:t xml:space="preserve">(</w:t>
      </w:r>
      <w:r>
        <w:rPr>
          <w:rStyle w:val="FunctionTok"/>
        </w:rPr>
        <w:t xml:space="preserve">now</w:t>
      </w:r>
      <w:r>
        <w:rPr>
          <w:rStyle w:val="OtherTok"/>
        </w:rPr>
        <w:t xml:space="preserve">,</w:t>
      </w:r>
      <w:r>
        <w:rPr>
          <w:rStyle w:val="NormalTok"/>
        </w:rPr>
        <w:t xml:space="preserve"> </w:t>
      </w:r>
      <w:r>
        <w:rPr>
          <w:rStyle w:val="StringTok"/>
        </w:rPr>
        <w:t xml:space="preserve">"America/New_York"</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"New York time: "</w:t>
      </w:r>
      <w:r>
        <w:rPr>
          <w:rStyle w:val="NormalTok"/>
        </w:rPr>
        <w:t xml:space="preserve"> </w:t>
      </w:r>
      <w:r>
        <w:rPr>
          <w:rStyle w:val="KeywordTok"/>
        </w:rPr>
        <w:t xml:space="preserve">&amp;</w:t>
      </w:r>
      <w:r>
        <w:rPr>
          <w:rStyle w:val="NormalTok"/>
        </w:rPr>
        <w:t xml:space="preserve"> nyTime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80"/>
    <w:bookmarkEnd w:id="2281"/>
    <w:bookmarkStart w:id="2288" w:name="check-if-daylight-saving-time-is-active"/>
    <w:p>
      <w:pPr>
        <w:pStyle w:val="Heading1"/>
      </w:pPr>
      <w:r>
        <w:t xml:space="preserve">Check if Daylight Saving Time Is Active</w:t>
      </w:r>
    </w:p>
    <w:bookmarkStart w:id="2282" w:name="overview-195"/>
    <w:p>
      <w:pPr>
        <w:pStyle w:val="Heading2"/>
      </w:pPr>
      <w:r>
        <w:t xml:space="preserve">Overview</w:t>
      </w:r>
    </w:p>
    <w:p>
      <w:pPr>
        <w:pStyle w:val="FirstParagraph"/>
      </w:pPr>
      <w:r>
        <w:t xml:space="preserve">Determines whether Daylight Saving Time (DST) is active for a given date in its timezone.</w:t>
      </w:r>
    </w:p>
    <w:bookmarkEnd w:id="2282"/>
    <w:bookmarkStart w:id="2283" w:name="syntax-209"/>
    <w:p>
      <w:pPr>
        <w:pStyle w:val="Heading2"/>
      </w:pPr>
      <w:r>
        <w:t xml:space="preserve">Syntax</w:t>
      </w:r>
    </w:p>
    <w:p>
      <w:pPr>
        <w:pStyle w:val="SourceCode"/>
      </w:pPr>
      <w:r>
        <w:rPr>
          <w:rStyle w:val="NormalTok"/>
        </w:rPr>
        <w:t xml:space="preserve">result = g3date.IsDST(date)</w:t>
      </w:r>
    </w:p>
    <w:bookmarkEnd w:id="2283"/>
    <w:bookmarkStart w:id="2284" w:name="parameters-11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284"/>
    <w:bookmarkStart w:id="2285" w:name="return-value-134"/>
    <w:p>
      <w:pPr>
        <w:pStyle w:val="Heading2"/>
      </w:pPr>
      <w:r>
        <w:t xml:space="preserve">Return Value</w:t>
      </w:r>
    </w:p>
    <w:p>
      <w:pPr>
        <w:pStyle w:val="FirstParagraph"/>
      </w:pPr>
      <w:r>
        <w:t xml:space="preserve">Returns a</w:t>
      </w:r>
      <w:r>
        <w:t xml:space="preserve"> </w:t>
      </w:r>
      <w:r>
        <w:rPr>
          <w:b/>
          <w:bCs/>
        </w:rPr>
        <w:t xml:space="preserve">Boolean</w:t>
      </w:r>
      <w:r>
        <w:t xml:space="preserve">: True if DST is active for the date’s timezone, False otherwise.</w:t>
      </w:r>
    </w:p>
    <w:bookmarkEnd w:id="2285"/>
    <w:bookmarkStart w:id="2286" w:name="remarks-202"/>
    <w:p>
      <w:pPr>
        <w:pStyle w:val="Heading2"/>
      </w:pPr>
      <w:r>
        <w:t xml:space="preserve">Remarks</w:t>
      </w:r>
    </w:p>
    <w:p>
      <w:pPr>
        <w:pStyle w:val="Compact"/>
        <w:numPr>
          <w:ilvl w:val="0"/>
          <w:numId w:val="1585"/>
        </w:numPr>
      </w:pPr>
      <w:r>
        <w:t xml:space="preserve">UTC always returns False since it has no DST.</w:t>
      </w:r>
    </w:p>
    <w:p>
      <w:pPr>
        <w:pStyle w:val="Compact"/>
        <w:numPr>
          <w:ilvl w:val="0"/>
          <w:numId w:val="1585"/>
        </w:numPr>
      </w:pPr>
      <w:r>
        <w:t xml:space="preserve">The method compares January and July offsets to determine if DST is observed.</w:t>
      </w:r>
    </w:p>
    <w:p>
      <w:pPr>
        <w:pStyle w:val="Compact"/>
        <w:numPr>
          <w:ilvl w:val="0"/>
          <w:numId w:val="1585"/>
        </w:numPr>
      </w:pPr>
      <w:r>
        <w:t xml:space="preserve">For timezones that do not observe DST, always returns False.</w:t>
      </w:r>
    </w:p>
    <w:bookmarkEnd w:id="2286"/>
    <w:bookmarkStart w:id="2287" w:name="example-13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ControlFlowTok"/>
        </w:rPr>
        <w:t xml:space="preserve">If</w:t>
      </w:r>
      <w:r>
        <w:rPr>
          <w:rStyle w:val="NormalTok"/>
        </w:rPr>
        <w:t xml:space="preserve"> dt.IsDST</w:t>
      </w:r>
      <w:r>
        <w:rPr>
          <w:rStyle w:val="OtherTok"/>
        </w:rPr>
        <w:t xml:space="preserve">(</w:t>
      </w:r>
      <w:r>
        <w:rPr>
          <w:rStyle w:val="FunctionTok"/>
        </w:rPr>
        <w:t xml:space="preserve">now</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"DST is currently active"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"DST is not active"</w:t>
      </w:r>
      <w:r>
        <w:br/>
      </w:r>
      <w:r>
        <w:rPr>
          <w:rStyle w:val="ControlFlowTok"/>
        </w:rPr>
        <w:t xml:space="preserve">End If</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87"/>
    <w:bookmarkEnd w:id="2288"/>
    <w:bookmarkStart w:id="2294" w:name="check-if-date-is-in-local-timezone"/>
    <w:p>
      <w:pPr>
        <w:pStyle w:val="Heading1"/>
      </w:pPr>
      <w:r>
        <w:t xml:space="preserve">Check if Date Is in Local Timezone</w:t>
      </w:r>
    </w:p>
    <w:bookmarkStart w:id="2289" w:name="overview-196"/>
    <w:p>
      <w:pPr>
        <w:pStyle w:val="Heading2"/>
      </w:pPr>
      <w:r>
        <w:t xml:space="preserve">Overview</w:t>
      </w:r>
    </w:p>
    <w:p>
      <w:pPr>
        <w:pStyle w:val="FirstParagraph"/>
      </w:pPr>
      <w:r>
        <w:t xml:space="preserve">Determines whether a date value is in the system local timezone.</w:t>
      </w:r>
    </w:p>
    <w:bookmarkEnd w:id="2289"/>
    <w:bookmarkStart w:id="2290" w:name="syntax-210"/>
    <w:p>
      <w:pPr>
        <w:pStyle w:val="Heading2"/>
      </w:pPr>
      <w:r>
        <w:t xml:space="preserve">Syntax</w:t>
      </w:r>
    </w:p>
    <w:p>
      <w:pPr>
        <w:pStyle w:val="SourceCode"/>
      </w:pPr>
      <w:r>
        <w:rPr>
          <w:rStyle w:val="NormalTok"/>
        </w:rPr>
        <w:t xml:space="preserve">result = g3date.IsLocal(date)</w:t>
      </w:r>
    </w:p>
    <w:bookmarkEnd w:id="2290"/>
    <w:bookmarkStart w:id="2291" w:name="parameters-11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291"/>
    <w:bookmarkStart w:id="2292" w:name="return-value-135"/>
    <w:p>
      <w:pPr>
        <w:pStyle w:val="Heading2"/>
      </w:pPr>
      <w:r>
        <w:t xml:space="preserve">Return Value</w:t>
      </w:r>
    </w:p>
    <w:p>
      <w:pPr>
        <w:pStyle w:val="FirstParagraph"/>
      </w:pPr>
      <w:r>
        <w:t xml:space="preserve">Returns a</w:t>
      </w:r>
      <w:r>
        <w:t xml:space="preserve"> </w:t>
      </w:r>
      <w:r>
        <w:rPr>
          <w:b/>
          <w:bCs/>
        </w:rPr>
        <w:t xml:space="preserve">Boolean</w:t>
      </w:r>
      <w:r>
        <w:t xml:space="preserve">: True if the date’s location is the system local timezone, False otherwise.</w:t>
      </w:r>
    </w:p>
    <w:bookmarkEnd w:id="2292"/>
    <w:bookmarkStart w:id="2293" w:name="example-13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ControlFlowTok"/>
        </w:rPr>
        <w:t xml:space="preserve">If</w:t>
      </w:r>
      <w:r>
        <w:rPr>
          <w:rStyle w:val="NormalTok"/>
        </w:rPr>
        <w:t xml:space="preserve"> dt.IsLocal</w:t>
      </w:r>
      <w:r>
        <w:rPr>
          <w:rStyle w:val="OtherTok"/>
        </w:rPr>
        <w:t xml:space="preserve">(</w:t>
      </w:r>
      <w:r>
        <w:rPr>
          <w:rStyle w:val="FunctionTok"/>
        </w:rPr>
        <w:t xml:space="preserve">now</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"Date is in local timezone"</w:t>
      </w:r>
      <w:r>
        <w:br/>
      </w:r>
      <w:r>
        <w:rPr>
          <w:rStyle w:val="ControlFlowTok"/>
        </w:rPr>
        <w:t xml:space="preserve">End If</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93"/>
    <w:bookmarkEnd w:id="2294"/>
    <w:bookmarkStart w:id="2300" w:name="check-if-date-is-in-utc"/>
    <w:p>
      <w:pPr>
        <w:pStyle w:val="Heading1"/>
      </w:pPr>
      <w:r>
        <w:t xml:space="preserve">Check if Date Is in UTC</w:t>
      </w:r>
    </w:p>
    <w:bookmarkStart w:id="2295" w:name="overview-197"/>
    <w:p>
      <w:pPr>
        <w:pStyle w:val="Heading2"/>
      </w:pPr>
      <w:r>
        <w:t xml:space="preserve">Overview</w:t>
      </w:r>
    </w:p>
    <w:p>
      <w:pPr>
        <w:pStyle w:val="FirstParagraph"/>
      </w:pPr>
      <w:r>
        <w:t xml:space="preserve">Determines whether a date value is in the UTC timezone.</w:t>
      </w:r>
    </w:p>
    <w:bookmarkEnd w:id="2295"/>
    <w:bookmarkStart w:id="2296" w:name="syntax-211"/>
    <w:p>
      <w:pPr>
        <w:pStyle w:val="Heading2"/>
      </w:pPr>
      <w:r>
        <w:t xml:space="preserve">Syntax</w:t>
      </w:r>
    </w:p>
    <w:p>
      <w:pPr>
        <w:pStyle w:val="SourceCode"/>
      </w:pPr>
      <w:r>
        <w:rPr>
          <w:rStyle w:val="NormalTok"/>
        </w:rPr>
        <w:t xml:space="preserve">result = g3date.IsUTC(date)</w:t>
      </w:r>
    </w:p>
    <w:bookmarkEnd w:id="2296"/>
    <w:bookmarkStart w:id="2297" w:name="parameters-12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297"/>
    <w:bookmarkStart w:id="2298" w:name="return-value-136"/>
    <w:p>
      <w:pPr>
        <w:pStyle w:val="Heading2"/>
      </w:pPr>
      <w:r>
        <w:t xml:space="preserve">Return Value</w:t>
      </w:r>
    </w:p>
    <w:p>
      <w:pPr>
        <w:pStyle w:val="FirstParagraph"/>
      </w:pPr>
      <w:r>
        <w:t xml:space="preserve">Returns a</w:t>
      </w:r>
      <w:r>
        <w:t xml:space="preserve"> </w:t>
      </w:r>
      <w:r>
        <w:rPr>
          <w:b/>
          <w:bCs/>
        </w:rPr>
        <w:t xml:space="preserve">Boolean</w:t>
      </w:r>
      <w:r>
        <w:t xml:space="preserve">: True if the date’s location is UTC, False otherwise.</w:t>
      </w:r>
    </w:p>
    <w:bookmarkEnd w:id="2298"/>
    <w:bookmarkStart w:id="2299" w:name="example-13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utc</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utc = dt.UTCNow</w:t>
      </w:r>
      <w:r>
        <w:rPr>
          <w:rStyle w:val="OtherTok"/>
        </w:rPr>
        <w:t xml:space="preserve">()</w:t>
      </w:r>
      <w:r>
        <w:br/>
      </w:r>
      <w:r>
        <w:rPr>
          <w:rStyle w:val="ControlFlowTok"/>
        </w:rPr>
        <w:t xml:space="preserve">If</w:t>
      </w:r>
      <w:r>
        <w:rPr>
          <w:rStyle w:val="NormalTok"/>
        </w:rPr>
        <w:t xml:space="preserve"> dt.IsUTC</w:t>
      </w:r>
      <w:r>
        <w:rPr>
          <w:rStyle w:val="OtherTok"/>
        </w:rPr>
        <w:t xml:space="preserve">(</w:t>
      </w:r>
      <w:r>
        <w:rPr>
          <w:rStyle w:val="NormalTok"/>
        </w:rPr>
        <w:t xml:space="preserve">utc</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"Date is in UTC"</w:t>
      </w:r>
      <w:r>
        <w:br/>
      </w:r>
      <w:r>
        <w:rPr>
          <w:rStyle w:val="ControlFlowTok"/>
        </w:rPr>
        <w:t xml:space="preserve">End If</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299"/>
    <w:bookmarkEnd w:id="2300"/>
    <w:bookmarkStart w:id="2307" w:name="check-if-date-is-zero"/>
    <w:p>
      <w:pPr>
        <w:pStyle w:val="Heading1"/>
      </w:pPr>
      <w:r>
        <w:t xml:space="preserve">Check if Date Is Zero</w:t>
      </w:r>
    </w:p>
    <w:bookmarkStart w:id="2301" w:name="overview-198"/>
    <w:p>
      <w:pPr>
        <w:pStyle w:val="Heading2"/>
      </w:pPr>
      <w:r>
        <w:t xml:space="preserve">Overview</w:t>
      </w:r>
    </w:p>
    <w:p>
      <w:pPr>
        <w:pStyle w:val="FirstParagraph"/>
      </w:pPr>
      <w:r>
        <w:t xml:space="preserve">Determines whether a date value is the zero (undefined) date value.</w:t>
      </w:r>
    </w:p>
    <w:bookmarkEnd w:id="2301"/>
    <w:bookmarkStart w:id="2302" w:name="syntax-212"/>
    <w:p>
      <w:pPr>
        <w:pStyle w:val="Heading2"/>
      </w:pPr>
      <w:r>
        <w:t xml:space="preserve">Syntax</w:t>
      </w:r>
    </w:p>
    <w:p>
      <w:pPr>
        <w:pStyle w:val="SourceCode"/>
      </w:pPr>
      <w:r>
        <w:rPr>
          <w:rStyle w:val="NormalTok"/>
        </w:rPr>
        <w:t xml:space="preserve">result = g3date.IsZero(date)</w:t>
      </w:r>
    </w:p>
    <w:bookmarkEnd w:id="2302"/>
    <w:bookmarkStart w:id="2303" w:name="parameters-121"/>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303"/>
    <w:bookmarkStart w:id="2304" w:name="return-value-137"/>
    <w:p>
      <w:pPr>
        <w:pStyle w:val="Heading2"/>
      </w:pPr>
      <w:r>
        <w:t xml:space="preserve">Return Value</w:t>
      </w:r>
    </w:p>
    <w:p>
      <w:pPr>
        <w:pStyle w:val="FirstParagraph"/>
      </w:pPr>
      <w:r>
        <w:t xml:space="preserve">Returns a</w:t>
      </w:r>
      <w:r>
        <w:t xml:space="preserve"> </w:t>
      </w:r>
      <w:r>
        <w:rPr>
          <w:b/>
          <w:bCs/>
        </w:rPr>
        <w:t xml:space="preserve">Boolean</w:t>
      </w:r>
      <w:r>
        <w:t xml:space="preserve">: True if the date is the zero value, False otherwise.</w:t>
      </w:r>
    </w:p>
    <w:bookmarkEnd w:id="2304"/>
    <w:bookmarkStart w:id="2305" w:name="remarks-203"/>
    <w:p>
      <w:pPr>
        <w:pStyle w:val="Heading2"/>
      </w:pPr>
      <w:r>
        <w:t xml:space="preserve">Remarks</w:t>
      </w:r>
    </w:p>
    <w:p>
      <w:pPr>
        <w:pStyle w:val="Compact"/>
        <w:numPr>
          <w:ilvl w:val="0"/>
          <w:numId w:val="1586"/>
        </w:numPr>
      </w:pPr>
      <w:r>
        <w:t xml:space="preserve">The zero date represents an undefined or uninitialized date.</w:t>
      </w:r>
    </w:p>
    <w:p>
      <w:pPr>
        <w:pStyle w:val="Compact"/>
        <w:numPr>
          <w:ilvl w:val="0"/>
          <w:numId w:val="1586"/>
        </w:numPr>
      </w:pPr>
      <w:r>
        <w:t xml:space="preserve">Comparing a zero date against valid dates helps detect uninitialized values.</w:t>
      </w:r>
    </w:p>
    <w:bookmarkEnd w:id="2305"/>
    <w:bookmarkStart w:id="2306" w:name="example-14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dt.IsZero</w:t>
      </w:r>
      <w:r>
        <w:rPr>
          <w:rStyle w:val="OtherTok"/>
        </w:rPr>
        <w:t xml:space="preserve">(</w:t>
      </w:r>
      <w:r>
        <w:rPr>
          <w:rStyle w:val="FunctionTok"/>
        </w:rPr>
        <w:t xml:space="preserve">now</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"Date is valid"</w:t>
      </w:r>
      <w:r>
        <w:br/>
      </w:r>
      <w:r>
        <w:rPr>
          <w:rStyle w:val="ControlFlowTok"/>
        </w:rPr>
        <w:t xml:space="preserve">End If</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06"/>
    <w:bookmarkEnd w:id="2307"/>
    <w:bookmarkStart w:id="2314" w:name="format-date-as-iso-8601-rfc-3339"/>
    <w:p>
      <w:pPr>
        <w:pStyle w:val="Heading1"/>
      </w:pPr>
      <w:r>
        <w:t xml:space="preserve">Format Date as ISO 8601 / RFC 3339</w:t>
      </w:r>
    </w:p>
    <w:bookmarkStart w:id="2308" w:name="overview-199"/>
    <w:p>
      <w:pPr>
        <w:pStyle w:val="Heading2"/>
      </w:pPr>
      <w:r>
        <w:t xml:space="preserve">Overview</w:t>
      </w:r>
    </w:p>
    <w:p>
      <w:pPr>
        <w:pStyle w:val="FirstParagraph"/>
      </w:pPr>
      <w:r>
        <w:t xml:space="preserve">Formats a date value as an ISO 8601 string (RFC 3339 format).</w:t>
      </w:r>
    </w:p>
    <w:bookmarkEnd w:id="2308"/>
    <w:bookmarkStart w:id="2309" w:name="syntax-213"/>
    <w:p>
      <w:pPr>
        <w:pStyle w:val="Heading2"/>
      </w:pPr>
      <w:r>
        <w:t xml:space="preserve">Syntax</w:t>
      </w:r>
    </w:p>
    <w:p>
      <w:pPr>
        <w:pStyle w:val="SourceCode"/>
      </w:pPr>
      <w:r>
        <w:rPr>
          <w:rStyle w:val="NormalTok"/>
        </w:rPr>
        <w:t xml:space="preserve">result = g3date.ISOFormat(date)</w:t>
      </w:r>
    </w:p>
    <w:bookmarkEnd w:id="2309"/>
    <w:bookmarkStart w:id="2310" w:name="parameters-12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bl>
    <w:bookmarkEnd w:id="2310"/>
    <w:bookmarkStart w:id="2311" w:name="return-value-138"/>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RFC 3339 format (e.g.,</w:t>
      </w:r>
      <w:r>
        <w:t xml:space="preserve"> </w:t>
      </w:r>
      <w:r>
        <w:t xml:space="preserve">“2026-06-26T17:36:29Z”</w:t>
      </w:r>
      <w:r>
        <w:t xml:space="preserve">).</w:t>
      </w:r>
    </w:p>
    <w:bookmarkEnd w:id="2311"/>
    <w:bookmarkStart w:id="2312" w:name="remarks-204"/>
    <w:p>
      <w:pPr>
        <w:pStyle w:val="Heading2"/>
      </w:pPr>
      <w:r>
        <w:t xml:space="preserve">Remarks</w:t>
      </w:r>
    </w:p>
    <w:p>
      <w:pPr>
        <w:pStyle w:val="Compact"/>
        <w:numPr>
          <w:ilvl w:val="0"/>
          <w:numId w:val="1587"/>
        </w:numPr>
      </w:pPr>
      <w:r>
        <w:t xml:space="preserve">The output follows the ISO 8601 extended format.</w:t>
      </w:r>
    </w:p>
    <w:p>
      <w:pPr>
        <w:pStyle w:val="Compact"/>
        <w:numPr>
          <w:ilvl w:val="0"/>
          <w:numId w:val="1587"/>
        </w:numPr>
      </w:pPr>
      <w:r>
        <w:t xml:space="preserve">UTC dates end with</w:t>
      </w:r>
      <w:r>
        <w:t xml:space="preserve"> </w:t>
      </w:r>
      <w:r>
        <w:t xml:space="preserve">“Z”</w:t>
      </w:r>
      <w:r>
        <w:t xml:space="preserve">, other timezones include the offset.</w:t>
      </w:r>
    </w:p>
    <w:bookmarkEnd w:id="2312"/>
    <w:bookmarkStart w:id="2313" w:name="example-14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dt.ISOFormat</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13"/>
    <w:bookmarkEnd w:id="2314"/>
    <w:bookmarkStart w:id="2321" w:name="get-the-iso-week-number"/>
    <w:p>
      <w:pPr>
        <w:pStyle w:val="Heading1"/>
      </w:pPr>
      <w:r>
        <w:t xml:space="preserve">Get the ISO Week Number</w:t>
      </w:r>
    </w:p>
    <w:bookmarkStart w:id="2315" w:name="overview-200"/>
    <w:p>
      <w:pPr>
        <w:pStyle w:val="Heading2"/>
      </w:pPr>
      <w:r>
        <w:t xml:space="preserve">Overview</w:t>
      </w:r>
    </w:p>
    <w:p>
      <w:pPr>
        <w:pStyle w:val="FirstParagraph"/>
      </w:pPr>
      <w:r>
        <w:t xml:space="preserve">Returns the ISO 8601 week number combined with the year as a single integer value (year * 1000 + week).</w:t>
      </w:r>
    </w:p>
    <w:bookmarkEnd w:id="2315"/>
    <w:bookmarkStart w:id="2316" w:name="syntax-214"/>
    <w:p>
      <w:pPr>
        <w:pStyle w:val="Heading2"/>
      </w:pPr>
      <w:r>
        <w:t xml:space="preserve">Syntax</w:t>
      </w:r>
    </w:p>
    <w:p>
      <w:pPr>
        <w:pStyle w:val="SourceCode"/>
      </w:pPr>
      <w:r>
        <w:rPr>
          <w:rStyle w:val="NormalTok"/>
        </w:rPr>
        <w:t xml:space="preserve">result = g3date.ISOWeek(date)</w:t>
      </w:r>
    </w:p>
    <w:bookmarkEnd w:id="2316"/>
    <w:bookmarkStart w:id="2317" w:name="parameters-12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317"/>
    <w:bookmarkStart w:id="2318" w:name="return-value-139"/>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where the year and ISO week number are encoded as</w:t>
      </w:r>
      <w:r>
        <w:t xml:space="preserve"> </w:t>
      </w:r>
      <w:r>
        <w:rPr>
          <w:rStyle w:val="VerbatimChar"/>
        </w:rPr>
        <w:t xml:space="preserve">year * 1000 + week</w:t>
      </w:r>
      <w:r>
        <w:t xml:space="preserve">. For example, 2026043 represents year 2026, week 43.</w:t>
      </w:r>
    </w:p>
    <w:bookmarkEnd w:id="2318"/>
    <w:bookmarkStart w:id="2319" w:name="remarks-205"/>
    <w:p>
      <w:pPr>
        <w:pStyle w:val="Heading2"/>
      </w:pPr>
      <w:r>
        <w:t xml:space="preserve">Remarks</w:t>
      </w:r>
    </w:p>
    <w:p>
      <w:pPr>
        <w:pStyle w:val="Compact"/>
        <w:numPr>
          <w:ilvl w:val="0"/>
          <w:numId w:val="1588"/>
        </w:numPr>
      </w:pPr>
      <w:r>
        <w:t xml:space="preserve">ISO weeks start on Monday.</w:t>
      </w:r>
    </w:p>
    <w:p>
      <w:pPr>
        <w:pStyle w:val="Compact"/>
        <w:numPr>
          <w:ilvl w:val="0"/>
          <w:numId w:val="1588"/>
        </w:numPr>
      </w:pPr>
      <w:r>
        <w:t xml:space="preserve">Week 1 is the week containing the first Thursday of the year.</w:t>
      </w:r>
    </w:p>
    <w:bookmarkEnd w:id="2319"/>
    <w:bookmarkStart w:id="2320" w:name="example-14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iw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iw = dt.ISOWeek</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"ISO week code: "</w:t>
      </w:r>
      <w:r>
        <w:rPr>
          <w:rStyle w:val="NormalTok"/>
        </w:rPr>
        <w:t xml:space="preserve"> </w:t>
      </w:r>
      <w:r>
        <w:rPr>
          <w:rStyle w:val="KeywordTok"/>
        </w:rPr>
        <w:t xml:space="preserve">&amp;</w:t>
      </w:r>
      <w:r>
        <w:rPr>
          <w:rStyle w:val="NormalTok"/>
        </w:rPr>
        <w:t xml:space="preserve"> iw</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20"/>
    <w:bookmarkEnd w:id="2321"/>
    <w:bookmarkStart w:id="2327" w:name="format-date-as-kitchen-time"/>
    <w:p>
      <w:pPr>
        <w:pStyle w:val="Heading1"/>
      </w:pPr>
      <w:r>
        <w:t xml:space="preserve">Format Date as Kitchen Time</w:t>
      </w:r>
    </w:p>
    <w:bookmarkStart w:id="2322" w:name="overview-201"/>
    <w:p>
      <w:pPr>
        <w:pStyle w:val="Heading2"/>
      </w:pPr>
      <w:r>
        <w:t xml:space="preserve">Overview</w:t>
      </w:r>
    </w:p>
    <w:p>
      <w:pPr>
        <w:pStyle w:val="FirstParagraph"/>
      </w:pPr>
      <w:r>
        <w:t xml:space="preserve">Formats a date using the kitchen time layout (hour:minute AM/PM).</w:t>
      </w:r>
    </w:p>
    <w:bookmarkEnd w:id="2322"/>
    <w:bookmarkStart w:id="2323" w:name="syntax-215"/>
    <w:p>
      <w:pPr>
        <w:pStyle w:val="Heading2"/>
      </w:pPr>
      <w:r>
        <w:t xml:space="preserve">Syntax</w:t>
      </w:r>
    </w:p>
    <w:p>
      <w:pPr>
        <w:pStyle w:val="SourceCode"/>
      </w:pPr>
      <w:r>
        <w:rPr>
          <w:rStyle w:val="NormalTok"/>
        </w:rPr>
        <w:t xml:space="preserve">result = g3date.KitchenFormat(date)</w:t>
      </w:r>
    </w:p>
    <w:bookmarkEnd w:id="2323"/>
    <w:bookmarkStart w:id="2324" w:name="parameters-124"/>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bl>
    <w:bookmarkEnd w:id="2324"/>
    <w:bookmarkStart w:id="2325" w:name="return-value-140"/>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kitchen format (e.g.,</w:t>
      </w:r>
      <w:r>
        <w:t xml:space="preserve"> </w:t>
      </w:r>
      <w:r>
        <w:t xml:space="preserve">“5:36PM”</w:t>
      </w:r>
      <w:r>
        <w:t xml:space="preserve">).</w:t>
      </w:r>
    </w:p>
    <w:bookmarkEnd w:id="2325"/>
    <w:bookmarkStart w:id="2326" w:name="example-14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dt.KitchenFormat</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26"/>
    <w:bookmarkEnd w:id="2327"/>
    <w:bookmarkStart w:id="2334" w:name="load-and-validate-a-timezone"/>
    <w:p>
      <w:pPr>
        <w:pStyle w:val="Heading1"/>
      </w:pPr>
      <w:r>
        <w:t xml:space="preserve">Load and Validate a Timezone</w:t>
      </w:r>
    </w:p>
    <w:bookmarkStart w:id="2328" w:name="overview-202"/>
    <w:p>
      <w:pPr>
        <w:pStyle w:val="Heading2"/>
      </w:pPr>
      <w:r>
        <w:t xml:space="preserve">Overview</w:t>
      </w:r>
    </w:p>
    <w:p>
      <w:pPr>
        <w:pStyle w:val="FirstParagraph"/>
      </w:pPr>
      <w:r>
        <w:t xml:space="preserve">Validates a timezone name and returns its IANA identifier, or Empty if the timezone is not found.</w:t>
      </w:r>
    </w:p>
    <w:bookmarkEnd w:id="2328"/>
    <w:bookmarkStart w:id="2329" w:name="syntax-216"/>
    <w:p>
      <w:pPr>
        <w:pStyle w:val="Heading2"/>
      </w:pPr>
      <w:r>
        <w:t xml:space="preserve">Syntax</w:t>
      </w:r>
    </w:p>
    <w:p>
      <w:pPr>
        <w:pStyle w:val="SourceCode"/>
      </w:pPr>
      <w:r>
        <w:rPr>
          <w:rStyle w:val="NormalTok"/>
        </w:rPr>
        <w:t xml:space="preserve">result = g3date.LoadLocation(timezone)</w:t>
      </w:r>
    </w:p>
    <w:bookmarkEnd w:id="2329"/>
    <w:bookmarkStart w:id="2330" w:name="parameters-12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timezone</w:t>
            </w:r>
          </w:p>
        </w:tc>
        <w:tc>
          <w:tcPr/>
          <w:p>
            <w:pPr>
              <w:pStyle w:val="Compact"/>
            </w:pPr>
            <w:r>
              <w:t xml:space="preserve">String</w:t>
            </w:r>
          </w:p>
        </w:tc>
        <w:tc>
          <w:tcPr/>
          <w:p>
            <w:pPr>
              <w:pStyle w:val="Compact"/>
            </w:pPr>
            <w:r>
              <w:t xml:space="preserve">Yes</w:t>
            </w:r>
          </w:p>
        </w:tc>
        <w:tc>
          <w:tcPr/>
          <w:p>
            <w:pPr>
              <w:pStyle w:val="Compact"/>
            </w:pPr>
            <w:r>
              <w:t xml:space="preserve">IANA timezone identifier (e.g.,</w:t>
            </w:r>
            <w:r>
              <w:t xml:space="preserve"> </w:t>
            </w:r>
            <w:r>
              <w:t xml:space="preserve">“America/New_York”</w:t>
            </w:r>
            <w:r>
              <w:t xml:space="preserve">).</w:t>
            </w:r>
          </w:p>
        </w:tc>
      </w:tr>
    </w:tbl>
    <w:bookmarkEnd w:id="2330"/>
    <w:bookmarkStart w:id="2331" w:name="return-value-141"/>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validated timezone name, or</w:t>
      </w:r>
      <w:r>
        <w:t xml:space="preserve"> </w:t>
      </w:r>
      <w:r>
        <w:rPr>
          <w:b/>
          <w:bCs/>
        </w:rPr>
        <w:t xml:space="preserve">Empty</w:t>
      </w:r>
      <w:r>
        <w:t xml:space="preserve"> </w:t>
      </w:r>
      <w:r>
        <w:t xml:space="preserve">if the timezone is not recognized.</w:t>
      </w:r>
    </w:p>
    <w:bookmarkEnd w:id="2331"/>
    <w:bookmarkStart w:id="2332" w:name="remarks-206"/>
    <w:p>
      <w:pPr>
        <w:pStyle w:val="Heading2"/>
      </w:pPr>
      <w:r>
        <w:t xml:space="preserve">Remarks</w:t>
      </w:r>
    </w:p>
    <w:p>
      <w:pPr>
        <w:pStyle w:val="Compact"/>
        <w:numPr>
          <w:ilvl w:val="0"/>
          <w:numId w:val="1589"/>
        </w:numPr>
      </w:pPr>
      <w:r>
        <w:t xml:space="preserve">Use this method to validate timezone names before using them in other methods.</w:t>
      </w:r>
    </w:p>
    <w:p>
      <w:pPr>
        <w:pStyle w:val="Compact"/>
        <w:numPr>
          <w:ilvl w:val="0"/>
          <w:numId w:val="1589"/>
        </w:numPr>
      </w:pPr>
      <w:r>
        <w:t xml:space="preserve">Valid timezones are those in the IANA Time Zone Database.</w:t>
      </w:r>
    </w:p>
    <w:bookmarkEnd w:id="2332"/>
    <w:bookmarkStart w:id="2333" w:name="example-14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loc</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loc = dt.LoadLocation</w:t>
      </w:r>
      <w:r>
        <w:rPr>
          <w:rStyle w:val="OtherTok"/>
        </w:rPr>
        <w:t xml:space="preserve">(</w:t>
      </w:r>
      <w:r>
        <w:rPr>
          <w:rStyle w:val="StringTok"/>
        </w:rPr>
        <w:t xml:space="preserve">"Europe/London"</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loc</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"Valid timezone: "</w:t>
      </w:r>
      <w:r>
        <w:rPr>
          <w:rStyle w:val="NormalTok"/>
        </w:rPr>
        <w:t xml:space="preserve"> </w:t>
      </w:r>
      <w:r>
        <w:rPr>
          <w:rStyle w:val="KeywordTok"/>
        </w:rPr>
        <w:t xml:space="preserve">&amp;</w:t>
      </w:r>
      <w:r>
        <w:rPr>
          <w:rStyle w:val="NormalTok"/>
        </w:rPr>
        <w:t xml:space="preserve"> loc</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"Invalid timezone"</w:t>
      </w:r>
      <w:r>
        <w:br/>
      </w:r>
      <w:r>
        <w:rPr>
          <w:rStyle w:val="ControlFlowTok"/>
        </w:rPr>
        <w:t xml:space="preserve">End If</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33"/>
    <w:bookmarkEnd w:id="2334"/>
    <w:bookmarkStart w:id="2340" w:name="convert-date-to-local-time"/>
    <w:p>
      <w:pPr>
        <w:pStyle w:val="Heading1"/>
      </w:pPr>
      <w:r>
        <w:t xml:space="preserve">Convert Date to Local Time</w:t>
      </w:r>
    </w:p>
    <w:bookmarkStart w:id="2335" w:name="overview-203"/>
    <w:p>
      <w:pPr>
        <w:pStyle w:val="Heading2"/>
      </w:pPr>
      <w:r>
        <w:t xml:space="preserve">Overview</w:t>
      </w:r>
    </w:p>
    <w:p>
      <w:pPr>
        <w:pStyle w:val="FirstParagraph"/>
      </w:pPr>
      <w:r>
        <w:t xml:space="preserve">Converts a date value to the system local timezone.</w:t>
      </w:r>
    </w:p>
    <w:bookmarkEnd w:id="2335"/>
    <w:bookmarkStart w:id="2336" w:name="syntax-217"/>
    <w:p>
      <w:pPr>
        <w:pStyle w:val="Heading2"/>
      </w:pPr>
      <w:r>
        <w:t xml:space="preserve">Syntax</w:t>
      </w:r>
    </w:p>
    <w:p>
      <w:pPr>
        <w:pStyle w:val="SourceCode"/>
      </w:pPr>
      <w:r>
        <w:rPr>
          <w:rStyle w:val="NormalTok"/>
        </w:rPr>
        <w:t xml:space="preserve">result = g3date.Local(date)</w:t>
      </w:r>
    </w:p>
    <w:bookmarkEnd w:id="2336"/>
    <w:bookmarkStart w:id="2337" w:name="parameters-12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337"/>
    <w:bookmarkStart w:id="2338" w:name="return-value-142"/>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converted to the system local timezone.</w:t>
      </w:r>
    </w:p>
    <w:bookmarkEnd w:id="2338"/>
    <w:bookmarkStart w:id="2339" w:name="example-14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utc</w:t>
      </w:r>
      <w:r>
        <w:rPr>
          <w:rStyle w:val="OtherTok"/>
        </w:rPr>
        <w:t xml:space="preserve">,</w:t>
      </w:r>
      <w:r>
        <w:rPr>
          <w:rStyle w:val="NormalTok"/>
        </w:rPr>
        <w:t xml:space="preserve"> local</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utc = dt.UTCNow</w:t>
      </w:r>
      <w:r>
        <w:rPr>
          <w:rStyle w:val="OtherTok"/>
        </w:rPr>
        <w:t xml:space="preserve">()</w:t>
      </w:r>
      <w:r>
        <w:br/>
      </w:r>
      <w:r>
        <w:rPr>
          <w:rStyle w:val="NormalTok"/>
        </w:rPr>
        <w:t xml:space="preserve">local = dt.Local</w:t>
      </w:r>
      <w:r>
        <w:rPr>
          <w:rStyle w:val="OtherTok"/>
        </w:rPr>
        <w:t xml:space="preserve">(</w:t>
      </w:r>
      <w:r>
        <w:rPr>
          <w:rStyle w:val="NormalTok"/>
        </w:rPr>
        <w:t xml:space="preserve">utc</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"Local time: "</w:t>
      </w:r>
      <w:r>
        <w:rPr>
          <w:rStyle w:val="NormalTok"/>
        </w:rPr>
        <w:t xml:space="preserve"> </w:t>
      </w:r>
      <w:r>
        <w:rPr>
          <w:rStyle w:val="KeywordTok"/>
        </w:rPr>
        <w:t xml:space="preserve">&amp;</w:t>
      </w:r>
      <w:r>
        <w:rPr>
          <w:rStyle w:val="NormalTok"/>
        </w:rPr>
        <w:t xml:space="preserve"> local</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39"/>
    <w:bookmarkEnd w:id="2340"/>
    <w:bookmarkStart w:id="2347" w:name="get-the-system-default-timezone"/>
    <w:p>
      <w:pPr>
        <w:pStyle w:val="Heading1"/>
      </w:pPr>
      <w:r>
        <w:t xml:space="preserve">Get the System Default Timezone</w:t>
      </w:r>
    </w:p>
    <w:bookmarkStart w:id="2341" w:name="overview-204"/>
    <w:p>
      <w:pPr>
        <w:pStyle w:val="Heading2"/>
      </w:pPr>
      <w:r>
        <w:t xml:space="preserve">Overview</w:t>
      </w:r>
    </w:p>
    <w:p>
      <w:pPr>
        <w:pStyle w:val="FirstParagraph"/>
      </w:pPr>
      <w:r>
        <w:t xml:space="preserve">Returns the IANA name of the system default timezone as configured in</w:t>
      </w:r>
      <w:r>
        <w:t xml:space="preserve"> </w:t>
      </w:r>
      <w:r>
        <w:rPr>
          <w:rStyle w:val="VerbatimChar"/>
        </w:rPr>
        <w:t xml:space="preserve">axonasp.toml</w:t>
      </w:r>
      <w:r>
        <w:t xml:space="preserve">.</w:t>
      </w:r>
    </w:p>
    <w:bookmarkEnd w:id="2341"/>
    <w:bookmarkStart w:id="2342" w:name="syntax-218"/>
    <w:p>
      <w:pPr>
        <w:pStyle w:val="Heading2"/>
      </w:pPr>
      <w:r>
        <w:t xml:space="preserve">Syntax</w:t>
      </w:r>
    </w:p>
    <w:p>
      <w:pPr>
        <w:pStyle w:val="SourceCode"/>
      </w:pPr>
      <w:r>
        <w:rPr>
          <w:rStyle w:val="NormalTok"/>
        </w:rPr>
        <w:t xml:space="preserve">result = g3date.Location()</w:t>
      </w:r>
    </w:p>
    <w:bookmarkEnd w:id="2342"/>
    <w:bookmarkStart w:id="2343" w:name="parameters-127"/>
    <w:p>
      <w:pPr>
        <w:pStyle w:val="Heading2"/>
      </w:pPr>
      <w:r>
        <w:t xml:space="preserve">Parameters</w:t>
      </w:r>
    </w:p>
    <w:p>
      <w:pPr>
        <w:pStyle w:val="FirstParagraph"/>
      </w:pPr>
      <w:r>
        <w:t xml:space="preserve">None.</w:t>
      </w:r>
    </w:p>
    <w:bookmarkEnd w:id="2343"/>
    <w:bookmarkStart w:id="2344" w:name="return-value-143"/>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IANA timezone name (e.g.,</w:t>
      </w:r>
      <w:r>
        <w:t xml:space="preserve"> </w:t>
      </w:r>
      <w:r>
        <w:t xml:space="preserve">“UTC”</w:t>
      </w:r>
      <w:r>
        <w:t xml:space="preserve">,</w:t>
      </w:r>
      <w:r>
        <w:t xml:space="preserve"> </w:t>
      </w:r>
      <w:r>
        <w:t xml:space="preserve">“America/New_York”</w:t>
      </w:r>
      <w:r>
        <w:t xml:space="preserve">).</w:t>
      </w:r>
    </w:p>
    <w:bookmarkEnd w:id="2344"/>
    <w:bookmarkStart w:id="2345" w:name="remarks-207"/>
    <w:p>
      <w:pPr>
        <w:pStyle w:val="Heading2"/>
      </w:pPr>
      <w:r>
        <w:t xml:space="preserve">Remarks</w:t>
      </w:r>
    </w:p>
    <w:p>
      <w:pPr>
        <w:pStyle w:val="Compact"/>
        <w:numPr>
          <w:ilvl w:val="0"/>
          <w:numId w:val="1590"/>
        </w:numPr>
      </w:pPr>
      <w:r>
        <w:t xml:space="preserve">The value is determined by the</w:t>
      </w:r>
      <w:r>
        <w:t xml:space="preserve"> </w:t>
      </w:r>
      <w:r>
        <w:rPr>
          <w:rStyle w:val="VerbatimChar"/>
        </w:rPr>
        <w:t xml:space="preserve">global.default_timezone</w:t>
      </w:r>
      <w:r>
        <w:t xml:space="preserve"> </w:t>
      </w:r>
      <w:r>
        <w:t xml:space="preserve">setting in</w:t>
      </w:r>
      <w:r>
        <w:t xml:space="preserve"> </w:t>
      </w:r>
      <w:r>
        <w:rPr>
          <w:rStyle w:val="VerbatimChar"/>
        </w:rPr>
        <w:t xml:space="preserve">axonasp.toml</w:t>
      </w:r>
      <w:r>
        <w:t xml:space="preserve">.</w:t>
      </w:r>
    </w:p>
    <w:p>
      <w:pPr>
        <w:pStyle w:val="Compact"/>
        <w:numPr>
          <w:ilvl w:val="0"/>
          <w:numId w:val="1590"/>
        </w:numPr>
      </w:pPr>
      <w:r>
        <w:t xml:space="preserve">If not configured, defaults to</w:t>
      </w:r>
      <w:r>
        <w:t xml:space="preserve"> </w:t>
      </w:r>
      <w:r>
        <w:t xml:space="preserve">“UTC”</w:t>
      </w:r>
      <w:r>
        <w:t xml:space="preserve">.</w:t>
      </w:r>
    </w:p>
    <w:bookmarkEnd w:id="2345"/>
    <w:bookmarkStart w:id="2346" w:name="example-14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sysLoc</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sysLoc = dt.Location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"System timezone: "</w:t>
      </w:r>
      <w:r>
        <w:rPr>
          <w:rStyle w:val="NormalTok"/>
        </w:rPr>
        <w:t xml:space="preserve"> </w:t>
      </w:r>
      <w:r>
        <w:rPr>
          <w:rStyle w:val="KeywordTok"/>
        </w:rPr>
        <w:t xml:space="preserve">&amp;</w:t>
      </w:r>
      <w:r>
        <w:rPr>
          <w:rStyle w:val="NormalTok"/>
        </w:rPr>
        <w:t xml:space="preserve"> sysLoc</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46"/>
    <w:bookmarkEnd w:id="2347"/>
    <w:bookmarkStart w:id="2353" w:name="get-the-minute-component"/>
    <w:p>
      <w:pPr>
        <w:pStyle w:val="Heading1"/>
      </w:pPr>
      <w:r>
        <w:t xml:space="preserve">Get the Minute Component</w:t>
      </w:r>
    </w:p>
    <w:bookmarkStart w:id="2348" w:name="overview-205"/>
    <w:p>
      <w:pPr>
        <w:pStyle w:val="Heading2"/>
      </w:pPr>
      <w:r>
        <w:t xml:space="preserve">Overview</w:t>
      </w:r>
    </w:p>
    <w:p>
      <w:pPr>
        <w:pStyle w:val="FirstParagraph"/>
      </w:pPr>
      <w:r>
        <w:t xml:space="preserve">Returns the minute component of a date value (0-59).</w:t>
      </w:r>
    </w:p>
    <w:bookmarkEnd w:id="2348"/>
    <w:bookmarkStart w:id="2349" w:name="syntax-219"/>
    <w:p>
      <w:pPr>
        <w:pStyle w:val="Heading2"/>
      </w:pPr>
      <w:r>
        <w:t xml:space="preserve">Syntax</w:t>
      </w:r>
    </w:p>
    <w:p>
      <w:pPr>
        <w:pStyle w:val="SourceCode"/>
      </w:pPr>
      <w:r>
        <w:rPr>
          <w:rStyle w:val="NormalTok"/>
        </w:rPr>
        <w:t xml:space="preserve">result = g3date.Minute(date)</w:t>
      </w:r>
    </w:p>
    <w:bookmarkEnd w:id="2349"/>
    <w:bookmarkStart w:id="2350" w:name="parameters-12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350"/>
    <w:bookmarkStart w:id="2351" w:name="return-value-144"/>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from 0 to 59 representing the minute of the hour.</w:t>
      </w:r>
    </w:p>
    <w:bookmarkEnd w:id="2351"/>
    <w:bookmarkStart w:id="2352" w:name="example-14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min</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min = dt.</w:t>
      </w:r>
      <w:r>
        <w:rPr>
          <w:rStyle w:val="FunctionTok"/>
        </w:rPr>
        <w:t xml:space="preserve">Minute</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minute: "</w:t>
      </w:r>
      <w:r>
        <w:rPr>
          <w:rStyle w:val="NormalTok"/>
        </w:rPr>
        <w:t xml:space="preserve"> </w:t>
      </w:r>
      <w:r>
        <w:rPr>
          <w:rStyle w:val="KeywordTok"/>
        </w:rPr>
        <w:t xml:space="preserve">&amp;</w:t>
      </w:r>
      <w:r>
        <w:rPr>
          <w:rStyle w:val="NormalTok"/>
        </w:rPr>
        <w:t xml:space="preserve"> min</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52"/>
    <w:bookmarkEnd w:id="2353"/>
    <w:bookmarkStart w:id="2359" w:name="get-the-month-component"/>
    <w:p>
      <w:pPr>
        <w:pStyle w:val="Heading1"/>
      </w:pPr>
      <w:r>
        <w:t xml:space="preserve">Get the Month Component</w:t>
      </w:r>
    </w:p>
    <w:bookmarkStart w:id="2354" w:name="overview-206"/>
    <w:p>
      <w:pPr>
        <w:pStyle w:val="Heading2"/>
      </w:pPr>
      <w:r>
        <w:t xml:space="preserve">Overview</w:t>
      </w:r>
    </w:p>
    <w:p>
      <w:pPr>
        <w:pStyle w:val="FirstParagraph"/>
      </w:pPr>
      <w:r>
        <w:t xml:space="preserve">Returns the month component of a date value as an integer (1-12).</w:t>
      </w:r>
    </w:p>
    <w:bookmarkEnd w:id="2354"/>
    <w:bookmarkStart w:id="2355" w:name="syntax-220"/>
    <w:p>
      <w:pPr>
        <w:pStyle w:val="Heading2"/>
      </w:pPr>
      <w:r>
        <w:t xml:space="preserve">Syntax</w:t>
      </w:r>
    </w:p>
    <w:p>
      <w:pPr>
        <w:pStyle w:val="SourceCode"/>
      </w:pPr>
      <w:r>
        <w:rPr>
          <w:rStyle w:val="NormalTok"/>
        </w:rPr>
        <w:t xml:space="preserve">result = g3date.Month(date)</w:t>
      </w:r>
    </w:p>
    <w:bookmarkEnd w:id="2355"/>
    <w:bookmarkStart w:id="2356" w:name="parameters-12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356"/>
    <w:bookmarkStart w:id="2357" w:name="return-value-145"/>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from 1 (January) to 12 (December).</w:t>
      </w:r>
    </w:p>
    <w:bookmarkEnd w:id="2357"/>
    <w:bookmarkStart w:id="2358" w:name="example-14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m</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m = dt.</w:t>
      </w:r>
      <w:r>
        <w:rPr>
          <w:rStyle w:val="FunctionTok"/>
        </w:rPr>
        <w:t xml:space="preserve">Month</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month: "</w:t>
      </w:r>
      <w:r>
        <w:rPr>
          <w:rStyle w:val="NormalTok"/>
        </w:rPr>
        <w:t xml:space="preserve"> </w:t>
      </w:r>
      <w:r>
        <w:rPr>
          <w:rStyle w:val="KeywordTok"/>
        </w:rPr>
        <w:t xml:space="preserve">&amp;</w:t>
      </w:r>
      <w:r>
        <w:rPr>
          <w:rStyle w:val="NormalTok"/>
        </w:rPr>
        <w:t xml:space="preserve"> m</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58"/>
    <w:bookmarkEnd w:id="2359"/>
    <w:bookmarkStart w:id="2365" w:name="get-the-nanosecond-component"/>
    <w:p>
      <w:pPr>
        <w:pStyle w:val="Heading1"/>
      </w:pPr>
      <w:r>
        <w:t xml:space="preserve">Get the Nanosecond Component</w:t>
      </w:r>
    </w:p>
    <w:bookmarkStart w:id="2360" w:name="overview-207"/>
    <w:p>
      <w:pPr>
        <w:pStyle w:val="Heading2"/>
      </w:pPr>
      <w:r>
        <w:t xml:space="preserve">Overview</w:t>
      </w:r>
    </w:p>
    <w:p>
      <w:pPr>
        <w:pStyle w:val="FirstParagraph"/>
      </w:pPr>
      <w:r>
        <w:t xml:space="preserve">Returns the nanosecond component of a date value (0-999999999).</w:t>
      </w:r>
    </w:p>
    <w:bookmarkEnd w:id="2360"/>
    <w:bookmarkStart w:id="2361" w:name="syntax-221"/>
    <w:p>
      <w:pPr>
        <w:pStyle w:val="Heading2"/>
      </w:pPr>
      <w:r>
        <w:t xml:space="preserve">Syntax</w:t>
      </w:r>
    </w:p>
    <w:p>
      <w:pPr>
        <w:pStyle w:val="SourceCode"/>
      </w:pPr>
      <w:r>
        <w:rPr>
          <w:rStyle w:val="NormalTok"/>
        </w:rPr>
        <w:t xml:space="preserve">result = g3date.Nanosecond(date)</w:t>
      </w:r>
    </w:p>
    <w:bookmarkEnd w:id="2361"/>
    <w:bookmarkStart w:id="2362" w:name="parameters-13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362"/>
    <w:bookmarkStart w:id="2363" w:name="return-value-146"/>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from 0 to 999999999 representing the nanosecond within the second.</w:t>
      </w:r>
    </w:p>
    <w:bookmarkEnd w:id="2363"/>
    <w:bookmarkStart w:id="2364" w:name="example-14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ns</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ns = dt.Nanosecond</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"Nanoseconds: "</w:t>
      </w:r>
      <w:r>
        <w:rPr>
          <w:rStyle w:val="NormalTok"/>
        </w:rPr>
        <w:t xml:space="preserve"> </w:t>
      </w:r>
      <w:r>
        <w:rPr>
          <w:rStyle w:val="KeywordTok"/>
        </w:rPr>
        <w:t xml:space="preserve">&amp;</w:t>
      </w:r>
      <w:r>
        <w:rPr>
          <w:rStyle w:val="NormalTok"/>
        </w:rPr>
        <w:t xml:space="preserve"> ns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64"/>
    <w:bookmarkEnd w:id="2365"/>
    <w:bookmarkStart w:id="2372" w:name="get-current-date-and-time"/>
    <w:p>
      <w:pPr>
        <w:pStyle w:val="Heading1"/>
      </w:pPr>
      <w:r>
        <w:t xml:space="preserve">Get Current Date and Time</w:t>
      </w:r>
    </w:p>
    <w:bookmarkStart w:id="2366" w:name="overview-208"/>
    <w:p>
      <w:pPr>
        <w:pStyle w:val="Heading2"/>
      </w:pPr>
      <w:r>
        <w:t xml:space="preserve">Overview</w:t>
      </w:r>
    </w:p>
    <w:p>
      <w:pPr>
        <w:pStyle w:val="FirstParagraph"/>
      </w:pPr>
      <w:r>
        <w:t xml:space="preserve">Returns the current system date and time.</w:t>
      </w:r>
    </w:p>
    <w:bookmarkEnd w:id="2366"/>
    <w:bookmarkStart w:id="2367" w:name="syntax-222"/>
    <w:p>
      <w:pPr>
        <w:pStyle w:val="Heading2"/>
      </w:pPr>
      <w:r>
        <w:t xml:space="preserve">Syntax</w:t>
      </w:r>
    </w:p>
    <w:p>
      <w:pPr>
        <w:pStyle w:val="SourceCode"/>
      </w:pPr>
      <w:r>
        <w:rPr>
          <w:rStyle w:val="NormalTok"/>
        </w:rPr>
        <w:t xml:space="preserve">result = g3date.Now()</w:t>
      </w:r>
    </w:p>
    <w:bookmarkEnd w:id="2367"/>
    <w:bookmarkStart w:id="2368" w:name="parameters-131"/>
    <w:p>
      <w:pPr>
        <w:pStyle w:val="Heading2"/>
      </w:pPr>
      <w:r>
        <w:t xml:space="preserve">Parameters</w:t>
      </w:r>
    </w:p>
    <w:p>
      <w:pPr>
        <w:pStyle w:val="FirstParagraph"/>
      </w:pPr>
      <w:r>
        <w:t xml:space="preserve">None.</w:t>
      </w:r>
    </w:p>
    <w:bookmarkEnd w:id="2368"/>
    <w:bookmarkStart w:id="2369" w:name="return-value-147"/>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current system date and time in the configured default timezone.</w:t>
      </w:r>
    </w:p>
    <w:bookmarkEnd w:id="2369"/>
    <w:bookmarkStart w:id="2370" w:name="remarks-208"/>
    <w:p>
      <w:pPr>
        <w:pStyle w:val="Heading2"/>
      </w:pPr>
      <w:r>
        <w:t xml:space="preserve">Remarks</w:t>
      </w:r>
    </w:p>
    <w:p>
      <w:pPr>
        <w:pStyle w:val="Compact"/>
        <w:numPr>
          <w:ilvl w:val="0"/>
          <w:numId w:val="1591"/>
        </w:numPr>
      </w:pPr>
      <w:r>
        <w:t xml:space="preserve">The timezone used is determined by the</w:t>
      </w:r>
      <w:r>
        <w:t xml:space="preserve"> </w:t>
      </w:r>
      <w:r>
        <w:rPr>
          <w:rStyle w:val="VerbatimChar"/>
        </w:rPr>
        <w:t xml:space="preserve">global.default_timezone</w:t>
      </w:r>
      <w:r>
        <w:t xml:space="preserve"> </w:t>
      </w:r>
      <w:r>
        <w:t xml:space="preserve">setting in</w:t>
      </w:r>
      <w:r>
        <w:t xml:space="preserve"> </w:t>
      </w:r>
      <w:r>
        <w:rPr>
          <w:rStyle w:val="VerbatimChar"/>
        </w:rPr>
        <w:t xml:space="preserve">axonasp.toml</w:t>
      </w:r>
      <w:r>
        <w:t xml:space="preserve">.</w:t>
      </w:r>
    </w:p>
    <w:p>
      <w:pPr>
        <w:pStyle w:val="Compact"/>
        <w:numPr>
          <w:ilvl w:val="0"/>
          <w:numId w:val="1591"/>
        </w:numPr>
      </w:pPr>
      <w:r>
        <w:t xml:space="preserve">To get UTC time regardless of configuration, use</w:t>
      </w:r>
      <w:r>
        <w:t xml:space="preserve"> </w:t>
      </w:r>
      <w:r>
        <w:rPr>
          <w:rStyle w:val="VerbatimChar"/>
        </w:rPr>
        <w:t xml:space="preserve">UTCNow()</w:t>
      </w:r>
      <w:r>
        <w:t xml:space="preserve">.</w:t>
      </w:r>
    </w:p>
    <w:bookmarkEnd w:id="2370"/>
    <w:bookmarkStart w:id="2371" w:name="example-15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date and time: "</w:t>
      </w:r>
      <w:r>
        <w:rPr>
          <w:rStyle w:val="NormalTok"/>
        </w:rPr>
        <w:t xml:space="preserve"> </w:t>
      </w:r>
      <w:r>
        <w:rPr>
          <w:rStyle w:val="KeywordTok"/>
        </w:rPr>
        <w:t xml:space="preserve">&amp;</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71"/>
    <w:bookmarkEnd w:id="2372"/>
    <w:bookmarkStart w:id="2379" w:name="X6c853f05bb3ebb5306b032c6b97a141a76b7e80"/>
    <w:p>
      <w:pPr>
        <w:pStyle w:val="Heading1"/>
      </w:pPr>
      <w:r>
        <w:t xml:space="preserve">Get Offset from Timezone to System Timezone</w:t>
      </w:r>
    </w:p>
    <w:bookmarkStart w:id="2373" w:name="overview-209"/>
    <w:p>
      <w:pPr>
        <w:pStyle w:val="Heading2"/>
      </w:pPr>
      <w:r>
        <w:t xml:space="preserve">Overview</w:t>
      </w:r>
    </w:p>
    <w:p>
      <w:pPr>
        <w:pStyle w:val="FirstParagraph"/>
      </w:pPr>
      <w:r>
        <w:t xml:space="preserve">Returns the current offset in seconds between the specified timezone and the system default timezone.</w:t>
      </w:r>
    </w:p>
    <w:bookmarkEnd w:id="2373"/>
    <w:bookmarkStart w:id="2374" w:name="syntax-223"/>
    <w:p>
      <w:pPr>
        <w:pStyle w:val="Heading2"/>
      </w:pPr>
      <w:r>
        <w:t xml:space="preserve">Syntax</w:t>
      </w:r>
    </w:p>
    <w:p>
      <w:pPr>
        <w:pStyle w:val="SourceCode"/>
      </w:pPr>
      <w:r>
        <w:rPr>
          <w:rStyle w:val="NormalTok"/>
        </w:rPr>
        <w:t xml:space="preserve">result = g3date.OffsetZoneToSystem(targetZone)</w:t>
      </w:r>
    </w:p>
    <w:bookmarkEnd w:id="2374"/>
    <w:bookmarkStart w:id="2375" w:name="parameters-13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targetZone</w:t>
            </w:r>
          </w:p>
        </w:tc>
        <w:tc>
          <w:tcPr/>
          <w:p>
            <w:pPr>
              <w:pStyle w:val="Compact"/>
            </w:pPr>
            <w:r>
              <w:t xml:space="preserve">String</w:t>
            </w:r>
          </w:p>
        </w:tc>
        <w:tc>
          <w:tcPr/>
          <w:p>
            <w:pPr>
              <w:pStyle w:val="Compact"/>
            </w:pPr>
            <w:r>
              <w:t xml:space="preserve">Yes</w:t>
            </w:r>
          </w:p>
        </w:tc>
        <w:tc>
          <w:tcPr/>
          <w:p>
            <w:pPr>
              <w:pStyle w:val="Compact"/>
            </w:pPr>
            <w:r>
              <w:t xml:space="preserve">IANA timezone identifier.</w:t>
            </w:r>
          </w:p>
        </w:tc>
      </w:tr>
    </w:tbl>
    <w:bookmarkEnd w:id="2375"/>
    <w:bookmarkStart w:id="2376" w:name="return-value-148"/>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offset in seconds (system timezone minus target timezone).</w:t>
      </w:r>
    </w:p>
    <w:bookmarkEnd w:id="2376"/>
    <w:bookmarkStart w:id="2377" w:name="remarks-209"/>
    <w:p>
      <w:pPr>
        <w:pStyle w:val="Heading2"/>
      </w:pPr>
      <w:r>
        <w:t xml:space="preserve">Remarks</w:t>
      </w:r>
    </w:p>
    <w:p>
      <w:pPr>
        <w:pStyle w:val="Compact"/>
        <w:numPr>
          <w:ilvl w:val="0"/>
          <w:numId w:val="1592"/>
        </w:numPr>
      </w:pPr>
      <w:r>
        <w:t xml:space="preserve">A positive result means the system timezone is ahead of the target timezone.</w:t>
      </w:r>
    </w:p>
    <w:p>
      <w:pPr>
        <w:pStyle w:val="Compact"/>
        <w:numPr>
          <w:ilvl w:val="0"/>
          <w:numId w:val="1592"/>
        </w:numPr>
      </w:pPr>
      <w:r>
        <w:t xml:space="preserve">The offset reflects current DST status for both timezones.</w:t>
      </w:r>
    </w:p>
    <w:bookmarkEnd w:id="2377"/>
    <w:bookmarkStart w:id="2378" w:name="example-15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offset</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offset = dt.OffsetZoneToSystem</w:t>
      </w:r>
      <w:r>
        <w:rPr>
          <w:rStyle w:val="OtherTok"/>
        </w:rPr>
        <w:t xml:space="preserve">(</w:t>
      </w:r>
      <w:r>
        <w:rPr>
          <w:rStyle w:val="StringTok"/>
        </w:rPr>
        <w:t xml:space="preserve">"Asia/Tokyo"</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"Offset from Tokyo to system: "</w:t>
      </w:r>
      <w:r>
        <w:rPr>
          <w:rStyle w:val="NormalTok"/>
        </w:rPr>
        <w:t xml:space="preserve"> </w:t>
      </w:r>
      <w:r>
        <w:rPr>
          <w:rStyle w:val="KeywordTok"/>
        </w:rPr>
        <w:t xml:space="preserve">&amp;</w:t>
      </w:r>
      <w:r>
        <w:rPr>
          <w:rStyle w:val="NormalTok"/>
        </w:rPr>
        <w:t xml:space="preserve"> offset </w:t>
      </w:r>
      <w:r>
        <w:rPr>
          <w:rStyle w:val="KeywordTok"/>
        </w:rPr>
        <w:t xml:space="preserve">&amp;</w:t>
      </w:r>
      <w:r>
        <w:rPr>
          <w:rStyle w:val="NormalTok"/>
        </w:rPr>
        <w:t xml:space="preserve"> </w:t>
      </w:r>
      <w:r>
        <w:rPr>
          <w:rStyle w:val="StringTok"/>
        </w:rPr>
        <w:t xml:space="preserve">" seconds"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78"/>
    <w:bookmarkEnd w:id="2379"/>
    <w:bookmarkStart w:id="2386" w:name="get-offset-from-timezone-to-utc"/>
    <w:p>
      <w:pPr>
        <w:pStyle w:val="Heading1"/>
      </w:pPr>
      <w:r>
        <w:t xml:space="preserve">Get Offset from Timezone to UTC</w:t>
      </w:r>
    </w:p>
    <w:bookmarkStart w:id="2380" w:name="overview-210"/>
    <w:p>
      <w:pPr>
        <w:pStyle w:val="Heading2"/>
      </w:pPr>
      <w:r>
        <w:t xml:space="preserve">Overview</w:t>
      </w:r>
    </w:p>
    <w:p>
      <w:pPr>
        <w:pStyle w:val="FirstParagraph"/>
      </w:pPr>
      <w:r>
        <w:t xml:space="preserve">Returns the current offset in seconds between the specified timezone and UTC.</w:t>
      </w:r>
    </w:p>
    <w:bookmarkEnd w:id="2380"/>
    <w:bookmarkStart w:id="2381" w:name="syntax-224"/>
    <w:p>
      <w:pPr>
        <w:pStyle w:val="Heading2"/>
      </w:pPr>
      <w:r>
        <w:t xml:space="preserve">Syntax</w:t>
      </w:r>
    </w:p>
    <w:p>
      <w:pPr>
        <w:pStyle w:val="SourceCode"/>
      </w:pPr>
      <w:r>
        <w:rPr>
          <w:rStyle w:val="NormalTok"/>
        </w:rPr>
        <w:t xml:space="preserve">result = g3date.OffsetZoneToUTC(targetZone)</w:t>
      </w:r>
    </w:p>
    <w:bookmarkEnd w:id="2381"/>
    <w:bookmarkStart w:id="2382" w:name="parameters-13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targetZone</w:t>
            </w:r>
          </w:p>
        </w:tc>
        <w:tc>
          <w:tcPr/>
          <w:p>
            <w:pPr>
              <w:pStyle w:val="Compact"/>
            </w:pPr>
            <w:r>
              <w:t xml:space="preserve">String</w:t>
            </w:r>
          </w:p>
        </w:tc>
        <w:tc>
          <w:tcPr/>
          <w:p>
            <w:pPr>
              <w:pStyle w:val="Compact"/>
            </w:pPr>
            <w:r>
              <w:t xml:space="preserve">Yes</w:t>
            </w:r>
          </w:p>
        </w:tc>
        <w:tc>
          <w:tcPr/>
          <w:p>
            <w:pPr>
              <w:pStyle w:val="Compact"/>
            </w:pPr>
            <w:r>
              <w:t xml:space="preserve">IANA timezone identifier (e.g.,</w:t>
            </w:r>
            <w:r>
              <w:t xml:space="preserve"> </w:t>
            </w:r>
            <w:r>
              <w:t xml:space="preserve">“America/New_York”</w:t>
            </w:r>
            <w:r>
              <w:t xml:space="preserve">).</w:t>
            </w:r>
          </w:p>
        </w:tc>
      </w:tr>
    </w:tbl>
    <w:bookmarkEnd w:id="2382"/>
    <w:bookmarkStart w:id="2383" w:name="return-value-149"/>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offset in seconds. Positive values are east of UTC, negative values are west.</w:t>
      </w:r>
    </w:p>
    <w:bookmarkEnd w:id="2383"/>
    <w:bookmarkStart w:id="2384" w:name="remarks-210"/>
    <w:p>
      <w:pPr>
        <w:pStyle w:val="Heading2"/>
      </w:pPr>
      <w:r>
        <w:t xml:space="preserve">Remarks</w:t>
      </w:r>
    </w:p>
    <w:p>
      <w:pPr>
        <w:pStyle w:val="Compact"/>
        <w:numPr>
          <w:ilvl w:val="0"/>
          <w:numId w:val="1593"/>
        </w:numPr>
      </w:pPr>
      <w:r>
        <w:t xml:space="preserve">The offset reflects the current DST status of the timezone.</w:t>
      </w:r>
    </w:p>
    <w:p>
      <w:pPr>
        <w:pStyle w:val="Compact"/>
        <w:numPr>
          <w:ilvl w:val="0"/>
          <w:numId w:val="1593"/>
        </w:numPr>
      </w:pPr>
      <w:r>
        <w:t xml:space="preserve">For UTC, the offset is always 0.</w:t>
      </w:r>
    </w:p>
    <w:p>
      <w:pPr>
        <w:pStyle w:val="Compact"/>
        <w:numPr>
          <w:ilvl w:val="0"/>
          <w:numId w:val="1593"/>
        </w:numPr>
      </w:pPr>
      <w:r>
        <w:t xml:space="preserve">For EST (America/New_York in winter), the offset is -18000 (-5 hours).</w:t>
      </w:r>
    </w:p>
    <w:bookmarkEnd w:id="2384"/>
    <w:bookmarkStart w:id="2385" w:name="example-15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offset</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offset = dt.OffsetZoneToUTC</w:t>
      </w:r>
      <w:r>
        <w:rPr>
          <w:rStyle w:val="OtherTok"/>
        </w:rPr>
        <w:t xml:space="preserve">(</w:t>
      </w:r>
      <w:r>
        <w:rPr>
          <w:rStyle w:val="StringTok"/>
        </w:rPr>
        <w:t xml:space="preserve">"America/New_York"</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"NY offset from UTC: "</w:t>
      </w:r>
      <w:r>
        <w:rPr>
          <w:rStyle w:val="NormalTok"/>
        </w:rPr>
        <w:t xml:space="preserve"> </w:t>
      </w:r>
      <w:r>
        <w:rPr>
          <w:rStyle w:val="KeywordTok"/>
        </w:rPr>
        <w:t xml:space="preserve">&amp;</w:t>
      </w:r>
      <w:r>
        <w:rPr>
          <w:rStyle w:val="NormalTok"/>
        </w:rPr>
        <w:t xml:space="preserve"> offset </w:t>
      </w:r>
      <w:r>
        <w:rPr>
          <w:rStyle w:val="KeywordTok"/>
        </w:rPr>
        <w:t xml:space="preserve">&amp;</w:t>
      </w:r>
      <w:r>
        <w:rPr>
          <w:rStyle w:val="NormalTok"/>
        </w:rPr>
        <w:t xml:space="preserve"> </w:t>
      </w:r>
      <w:r>
        <w:rPr>
          <w:rStyle w:val="StringTok"/>
        </w:rPr>
        <w:t xml:space="preserve">" seconds"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85"/>
    <w:bookmarkEnd w:id="2386"/>
    <w:bookmarkStart w:id="2393" w:name="get-offset-between-two-timezones"/>
    <w:p>
      <w:pPr>
        <w:pStyle w:val="Heading1"/>
      </w:pPr>
      <w:r>
        <w:t xml:space="preserve">Get Offset Between Two Timezones</w:t>
      </w:r>
    </w:p>
    <w:bookmarkStart w:id="2387" w:name="overview-211"/>
    <w:p>
      <w:pPr>
        <w:pStyle w:val="Heading2"/>
      </w:pPr>
      <w:r>
        <w:t xml:space="preserve">Overview</w:t>
      </w:r>
    </w:p>
    <w:p>
      <w:pPr>
        <w:pStyle w:val="FirstParagraph"/>
      </w:pPr>
      <w:r>
        <w:t xml:space="preserve">Returns the current offset in seconds between two timezones.</w:t>
      </w:r>
    </w:p>
    <w:bookmarkEnd w:id="2387"/>
    <w:bookmarkStart w:id="2388" w:name="syntax-225"/>
    <w:p>
      <w:pPr>
        <w:pStyle w:val="Heading2"/>
      </w:pPr>
      <w:r>
        <w:t xml:space="preserve">Syntax</w:t>
      </w:r>
    </w:p>
    <w:p>
      <w:pPr>
        <w:pStyle w:val="SourceCode"/>
      </w:pPr>
      <w:r>
        <w:rPr>
          <w:rStyle w:val="NormalTok"/>
        </w:rPr>
        <w:t xml:space="preserve">result = g3date.OffsetZoneToZone(sourceZone, targetZone)</w:t>
      </w:r>
    </w:p>
    <w:bookmarkEnd w:id="2388"/>
    <w:bookmarkStart w:id="2389" w:name="parameters-13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sourceZone</w:t>
            </w:r>
          </w:p>
        </w:tc>
        <w:tc>
          <w:tcPr/>
          <w:p>
            <w:pPr>
              <w:pStyle w:val="Compact"/>
            </w:pPr>
            <w:r>
              <w:t xml:space="preserve">String</w:t>
            </w:r>
          </w:p>
        </w:tc>
        <w:tc>
          <w:tcPr/>
          <w:p>
            <w:pPr>
              <w:pStyle w:val="Compact"/>
            </w:pPr>
            <w:r>
              <w:t xml:space="preserve">Yes</w:t>
            </w:r>
          </w:p>
        </w:tc>
        <w:tc>
          <w:tcPr/>
          <w:p>
            <w:pPr>
              <w:pStyle w:val="Compact"/>
            </w:pPr>
            <w:r>
              <w:t xml:space="preserve">IANA timezone identifier for the source.</w:t>
            </w:r>
          </w:p>
        </w:tc>
      </w:tr>
      <w:tr>
        <w:tc>
          <w:tcPr/>
          <w:p>
            <w:pPr>
              <w:pStyle w:val="Compact"/>
            </w:pPr>
            <w:r>
              <w:rPr>
                <w:b/>
                <w:bCs/>
              </w:rPr>
              <w:t xml:space="preserve">targetZone</w:t>
            </w:r>
          </w:p>
        </w:tc>
        <w:tc>
          <w:tcPr/>
          <w:p>
            <w:pPr>
              <w:pStyle w:val="Compact"/>
            </w:pPr>
            <w:r>
              <w:t xml:space="preserve">String</w:t>
            </w:r>
          </w:p>
        </w:tc>
        <w:tc>
          <w:tcPr/>
          <w:p>
            <w:pPr>
              <w:pStyle w:val="Compact"/>
            </w:pPr>
            <w:r>
              <w:t xml:space="preserve">Yes</w:t>
            </w:r>
          </w:p>
        </w:tc>
        <w:tc>
          <w:tcPr/>
          <w:p>
            <w:pPr>
              <w:pStyle w:val="Compact"/>
            </w:pPr>
            <w:r>
              <w:t xml:space="preserve">IANA timezone identifier for the target.</w:t>
            </w:r>
          </w:p>
        </w:tc>
      </w:tr>
    </w:tbl>
    <w:bookmarkEnd w:id="2389"/>
    <w:bookmarkStart w:id="2390" w:name="return-value-150"/>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offset in seconds (target minus source).</w:t>
      </w:r>
    </w:p>
    <w:bookmarkEnd w:id="2390"/>
    <w:bookmarkStart w:id="2391" w:name="remarks-211"/>
    <w:p>
      <w:pPr>
        <w:pStyle w:val="Heading2"/>
      </w:pPr>
      <w:r>
        <w:t xml:space="preserve">Remarks</w:t>
      </w:r>
    </w:p>
    <w:p>
      <w:pPr>
        <w:pStyle w:val="Compact"/>
        <w:numPr>
          <w:ilvl w:val="0"/>
          <w:numId w:val="1594"/>
        </w:numPr>
      </w:pPr>
      <w:r>
        <w:t xml:space="preserve">A positive result means the target timezone is ahead of the source timezone.</w:t>
      </w:r>
    </w:p>
    <w:p>
      <w:pPr>
        <w:pStyle w:val="Compact"/>
        <w:numPr>
          <w:ilvl w:val="0"/>
          <w:numId w:val="1594"/>
        </w:numPr>
      </w:pPr>
      <w:r>
        <w:t xml:space="preserve">The offset reflects current DST status for both timezones.</w:t>
      </w:r>
    </w:p>
    <w:p>
      <w:pPr>
        <w:pStyle w:val="Compact"/>
        <w:numPr>
          <w:ilvl w:val="0"/>
          <w:numId w:val="1594"/>
        </w:numPr>
      </w:pPr>
      <w:r>
        <w:t xml:space="preserve">This is equivalent to</w:t>
      </w:r>
      <w:r>
        <w:t xml:space="preserve"> </w:t>
      </w:r>
      <w:r>
        <w:rPr>
          <w:rStyle w:val="VerbatimChar"/>
        </w:rPr>
        <w:t xml:space="preserve">OffsetZoneToUTC(target) - OffsetZoneToUTC(source)</w:t>
      </w:r>
      <w:r>
        <w:t xml:space="preserve">.</w:t>
      </w:r>
    </w:p>
    <w:bookmarkEnd w:id="2391"/>
    <w:bookmarkStart w:id="2392" w:name="example-15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offset</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offset = dt.OffsetZoneToZone</w:t>
      </w:r>
      <w:r>
        <w:rPr>
          <w:rStyle w:val="OtherTok"/>
        </w:rPr>
        <w:t xml:space="preserve">(</w:t>
      </w:r>
      <w:r>
        <w:rPr>
          <w:rStyle w:val="StringTok"/>
        </w:rPr>
        <w:t xml:space="preserve">"America/New_York"</w:t>
      </w:r>
      <w:r>
        <w:rPr>
          <w:rStyle w:val="OtherTok"/>
        </w:rPr>
        <w:t xml:space="preserve">,</w:t>
      </w:r>
      <w:r>
        <w:rPr>
          <w:rStyle w:val="NormalTok"/>
        </w:rPr>
        <w:t xml:space="preserve"> </w:t>
      </w:r>
      <w:r>
        <w:rPr>
          <w:rStyle w:val="StringTok"/>
        </w:rPr>
        <w:t xml:space="preserve">"Europe/London"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"London minus NY offset: "</w:t>
      </w:r>
      <w:r>
        <w:rPr>
          <w:rStyle w:val="NormalTok"/>
        </w:rPr>
        <w:t xml:space="preserve"> </w:t>
      </w:r>
      <w:r>
        <w:rPr>
          <w:rStyle w:val="KeywordTok"/>
        </w:rPr>
        <w:t xml:space="preserve">&amp;</w:t>
      </w:r>
      <w:r>
        <w:rPr>
          <w:rStyle w:val="NormalTok"/>
        </w:rPr>
        <w:t xml:space="preserve"> offset </w:t>
      </w:r>
      <w:r>
        <w:rPr>
          <w:rStyle w:val="KeywordTok"/>
        </w:rPr>
        <w:t xml:space="preserve">&amp;</w:t>
      </w:r>
      <w:r>
        <w:rPr>
          <w:rStyle w:val="NormalTok"/>
        </w:rPr>
        <w:t xml:space="preserve"> </w:t>
      </w:r>
      <w:r>
        <w:rPr>
          <w:rStyle w:val="StringTok"/>
        </w:rPr>
        <w:t xml:space="preserve">" seconds"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92"/>
    <w:bookmarkEnd w:id="2393"/>
    <w:bookmarkStart w:id="2400" w:name="parse-a-date-string-using-go-layout"/>
    <w:p>
      <w:pPr>
        <w:pStyle w:val="Heading1"/>
      </w:pPr>
      <w:r>
        <w:t xml:space="preserve">Parse a Date String Using Go Layout</w:t>
      </w:r>
    </w:p>
    <w:bookmarkStart w:id="2394" w:name="overview-212"/>
    <w:p>
      <w:pPr>
        <w:pStyle w:val="Heading2"/>
      </w:pPr>
      <w:r>
        <w:t xml:space="preserve">Overview</w:t>
      </w:r>
    </w:p>
    <w:p>
      <w:pPr>
        <w:pStyle w:val="FirstParagraph"/>
      </w:pPr>
      <w:r>
        <w:t xml:space="preserve">Parses a date string using the specified Go time layout and returns a date value.</w:t>
      </w:r>
    </w:p>
    <w:bookmarkEnd w:id="2394"/>
    <w:bookmarkStart w:id="2395" w:name="syntax-226"/>
    <w:p>
      <w:pPr>
        <w:pStyle w:val="Heading2"/>
      </w:pPr>
      <w:r>
        <w:t xml:space="preserve">Syntax</w:t>
      </w:r>
    </w:p>
    <w:p>
      <w:pPr>
        <w:pStyle w:val="SourceCode"/>
      </w:pPr>
      <w:r>
        <w:rPr>
          <w:rStyle w:val="NormalTok"/>
        </w:rPr>
        <w:t xml:space="preserve">result = g3date.Parse(layout, value [, timezone])</w:t>
      </w:r>
    </w:p>
    <w:bookmarkEnd w:id="2395"/>
    <w:bookmarkStart w:id="2396" w:name="parameters-13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layout</w:t>
            </w:r>
          </w:p>
        </w:tc>
        <w:tc>
          <w:tcPr/>
          <w:p>
            <w:pPr>
              <w:pStyle w:val="Compact"/>
            </w:pPr>
            <w:r>
              <w:t xml:space="preserve">String</w:t>
            </w:r>
          </w:p>
        </w:tc>
        <w:tc>
          <w:tcPr/>
          <w:p>
            <w:pPr>
              <w:pStyle w:val="Compact"/>
            </w:pPr>
            <w:r>
              <w:t xml:space="preserve">Yes</w:t>
            </w:r>
          </w:p>
        </w:tc>
        <w:tc>
          <w:tcPr/>
          <w:p>
            <w:pPr>
              <w:pStyle w:val="Compact"/>
            </w:pPr>
            <w:r>
              <w:t xml:space="preserve">Go time layout string (e.g.,</w:t>
            </w:r>
            <w:r>
              <w:t xml:space="preserve"> </w:t>
            </w:r>
            <w:r>
              <w:t xml:space="preserve">“2006-01-02”</w:t>
            </w:r>
            <w:r>
              <w:t xml:space="preserve">).</w:t>
            </w:r>
          </w:p>
        </w:tc>
      </w:tr>
      <w:tr>
        <w:tc>
          <w:tcPr/>
          <w:p>
            <w:pPr>
              <w:pStyle w:val="Compact"/>
            </w:pPr>
            <w:r>
              <w:rPr>
                <w:b/>
                <w:bCs/>
              </w:rPr>
              <w:t xml:space="preserve">value</w:t>
            </w:r>
          </w:p>
        </w:tc>
        <w:tc>
          <w:tcPr/>
          <w:p>
            <w:pPr>
              <w:pStyle w:val="Compact"/>
            </w:pPr>
            <w:r>
              <w:t xml:space="preserve">String</w:t>
            </w:r>
          </w:p>
        </w:tc>
        <w:tc>
          <w:tcPr/>
          <w:p>
            <w:pPr>
              <w:pStyle w:val="Compact"/>
            </w:pPr>
            <w:r>
              <w:t xml:space="preserve">Yes</w:t>
            </w:r>
          </w:p>
        </w:tc>
        <w:tc>
          <w:tcPr/>
          <w:p>
            <w:pPr>
              <w:pStyle w:val="Compact"/>
            </w:pPr>
            <w:r>
              <w:t xml:space="preserve">The date string to parse.</w:t>
            </w:r>
          </w:p>
        </w:tc>
      </w:tr>
      <w:tr>
        <w:tc>
          <w:tcPr/>
          <w:p>
            <w:pPr>
              <w:pStyle w:val="Compact"/>
            </w:pPr>
            <w:r>
              <w:rPr>
                <w:b/>
                <w:bCs/>
              </w:rPr>
              <w:t xml:space="preserve">timezone</w:t>
            </w:r>
          </w:p>
        </w:tc>
        <w:tc>
          <w:tcPr/>
          <w:p>
            <w:pPr>
              <w:pStyle w:val="Compact"/>
            </w:pPr>
            <w:r>
              <w:t xml:space="preserve">String</w:t>
            </w:r>
          </w:p>
        </w:tc>
        <w:tc>
          <w:tcPr/>
          <w:p>
            <w:pPr>
              <w:pStyle w:val="Compact"/>
            </w:pPr>
            <w:r>
              <w:t xml:space="preserve">No</w:t>
            </w:r>
          </w:p>
        </w:tc>
        <w:tc>
          <w:tcPr/>
          <w:p>
            <w:pPr>
              <w:pStyle w:val="Compact"/>
            </w:pPr>
            <w:r>
              <w:t xml:space="preserve">IANA timezone name for interpretation (default: UTC).</w:t>
            </w:r>
          </w:p>
        </w:tc>
      </w:tr>
    </w:tbl>
    <w:bookmarkEnd w:id="2396"/>
    <w:bookmarkStart w:id="2397" w:name="return-value-151"/>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parsed date, or raises an error on parse failure.</w:t>
      </w:r>
    </w:p>
    <w:bookmarkEnd w:id="2397"/>
    <w:bookmarkStart w:id="2398" w:name="remarks-212"/>
    <w:p>
      <w:pPr>
        <w:pStyle w:val="Heading2"/>
      </w:pPr>
      <w:r>
        <w:t xml:space="preserve">Remarks</w:t>
      </w:r>
    </w:p>
    <w:p>
      <w:pPr>
        <w:pStyle w:val="Compact"/>
        <w:numPr>
          <w:ilvl w:val="0"/>
          <w:numId w:val="1595"/>
        </w:numPr>
      </w:pPr>
      <w:r>
        <w:t xml:space="preserve">The layout parameter must follow Go’s reference time format:</w:t>
      </w:r>
      <w:r>
        <w:t xml:space="preserve"> </w:t>
      </w:r>
      <w:r>
        <w:rPr>
          <w:rStyle w:val="VerbatimChar"/>
        </w:rPr>
        <w:t xml:space="preserve">Mon Jan 2 15:04:05 MST 2006</w:t>
      </w:r>
      <w:r>
        <w:t xml:space="preserve">.</w:t>
      </w:r>
    </w:p>
    <w:p>
      <w:pPr>
        <w:pStyle w:val="Compact"/>
        <w:numPr>
          <w:ilvl w:val="0"/>
          <w:numId w:val="1595"/>
        </w:numPr>
      </w:pPr>
      <w:r>
        <w:t xml:space="preserve">If no timezone is specified, the string is parsed as UTC.</w:t>
      </w:r>
    </w:p>
    <w:p>
      <w:pPr>
        <w:pStyle w:val="Compact"/>
        <w:numPr>
          <w:ilvl w:val="0"/>
          <w:numId w:val="1595"/>
        </w:numPr>
      </w:pPr>
      <w:r>
        <w:t xml:space="preserve">Common layouts:</w:t>
      </w:r>
      <w:r>
        <w:t xml:space="preserve"> </w:t>
      </w:r>
      <w:r>
        <w:rPr>
          <w:rStyle w:val="VerbatimChar"/>
        </w:rPr>
        <w:t xml:space="preserve">"2006-01-02"</w:t>
      </w:r>
      <w:r>
        <w:t xml:space="preserve">,</w:t>
      </w:r>
      <w:r>
        <w:t xml:space="preserve"> </w:t>
      </w:r>
      <w:r>
        <w:rPr>
          <w:rStyle w:val="VerbatimChar"/>
        </w:rPr>
        <w:t xml:space="preserve">"2006-01-02 15:04:05"</w:t>
      </w:r>
      <w:r>
        <w:t xml:space="preserve">,</w:t>
      </w:r>
      <w:r>
        <w:t xml:space="preserve"> </w:t>
      </w:r>
      <w:r>
        <w:rPr>
          <w:rStyle w:val="VerbatimChar"/>
        </w:rPr>
        <w:t xml:space="preserve">time.RFC3339</w:t>
      </w:r>
      <w:r>
        <w:t xml:space="preserve">.</w:t>
      </w:r>
    </w:p>
    <w:bookmarkEnd w:id="2398"/>
    <w:bookmarkStart w:id="2399" w:name="example-15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parsed</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parsed = dt.Parse</w:t>
      </w:r>
      <w:r>
        <w:rPr>
          <w:rStyle w:val="OtherTok"/>
        </w:rPr>
        <w:t xml:space="preserve">(</w:t>
      </w:r>
      <w:r>
        <w:rPr>
          <w:rStyle w:val="StringTok"/>
        </w:rPr>
        <w:t xml:space="preserve">"2006-01-02"</w:t>
      </w:r>
      <w:r>
        <w:rPr>
          <w:rStyle w:val="OtherTok"/>
        </w:rPr>
        <w:t xml:space="preserve">,</w:t>
      </w:r>
      <w:r>
        <w:rPr>
          <w:rStyle w:val="NormalTok"/>
        </w:rPr>
        <w:t xml:space="preserve"> </w:t>
      </w:r>
      <w:r>
        <w:rPr>
          <w:rStyle w:val="StringTok"/>
        </w:rPr>
        <w:t xml:space="preserve">"2026-12-25"</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"Parsed date: "</w:t>
      </w:r>
      <w:r>
        <w:rPr>
          <w:rStyle w:val="NormalTok"/>
        </w:rPr>
        <w:t xml:space="preserve"> </w:t>
      </w:r>
      <w:r>
        <w:rPr>
          <w:rStyle w:val="KeywordTok"/>
        </w:rPr>
        <w:t xml:space="preserve">&amp;</w:t>
      </w:r>
      <w:r>
        <w:rPr>
          <w:rStyle w:val="NormalTok"/>
        </w:rPr>
        <w:t xml:space="preserve"> parsed</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399"/>
    <w:bookmarkEnd w:id="2400"/>
    <w:bookmarkStart w:id="2407" w:name="parse-a-duration-string"/>
    <w:p>
      <w:pPr>
        <w:pStyle w:val="Heading1"/>
      </w:pPr>
      <w:r>
        <w:t xml:space="preserve">Parse a Duration String</w:t>
      </w:r>
    </w:p>
    <w:bookmarkStart w:id="2401" w:name="overview-213"/>
    <w:p>
      <w:pPr>
        <w:pStyle w:val="Heading2"/>
      </w:pPr>
      <w:r>
        <w:t xml:space="preserve">Overview</w:t>
      </w:r>
    </w:p>
    <w:p>
      <w:pPr>
        <w:pStyle w:val="FirstParagraph"/>
      </w:pPr>
      <w:r>
        <w:t xml:space="preserve">Parses a human-readable duration string and returns the equivalent value in nanoseconds.</w:t>
      </w:r>
    </w:p>
    <w:bookmarkEnd w:id="2401"/>
    <w:bookmarkStart w:id="2402" w:name="syntax-227"/>
    <w:p>
      <w:pPr>
        <w:pStyle w:val="Heading2"/>
      </w:pPr>
      <w:r>
        <w:t xml:space="preserve">Syntax</w:t>
      </w:r>
    </w:p>
    <w:p>
      <w:pPr>
        <w:pStyle w:val="SourceCode"/>
      </w:pPr>
      <w:r>
        <w:rPr>
          <w:rStyle w:val="NormalTok"/>
        </w:rPr>
        <w:t xml:space="preserve">result = g3date.ParseDuration(duration)</w:t>
      </w:r>
    </w:p>
    <w:bookmarkEnd w:id="2402"/>
    <w:bookmarkStart w:id="2403" w:name="parameters-13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duration</w:t>
            </w:r>
          </w:p>
        </w:tc>
        <w:tc>
          <w:tcPr/>
          <w:p>
            <w:pPr>
              <w:pStyle w:val="Compact"/>
            </w:pPr>
            <w:r>
              <w:t xml:space="preserve">String</w:t>
            </w:r>
          </w:p>
        </w:tc>
        <w:tc>
          <w:tcPr/>
          <w:p>
            <w:pPr>
              <w:pStyle w:val="Compact"/>
            </w:pPr>
            <w:r>
              <w:t xml:space="preserve">Yes</w:t>
            </w:r>
          </w:p>
        </w:tc>
        <w:tc>
          <w:tcPr/>
          <w:p>
            <w:pPr>
              <w:pStyle w:val="Compact"/>
            </w:pPr>
            <w:r>
              <w:t xml:space="preserve">Duration string (e.g.,</w:t>
            </w:r>
            <w:r>
              <w:t xml:space="preserve"> </w:t>
            </w:r>
            <w:r>
              <w:t xml:space="preserve">“2h45m”</w:t>
            </w:r>
            <w:r>
              <w:t xml:space="preserve">,</w:t>
            </w:r>
            <w:r>
              <w:t xml:space="preserve"> </w:t>
            </w:r>
            <w:r>
              <w:t xml:space="preserve">“1h30m20s”</w:t>
            </w:r>
            <w:r>
              <w:t xml:space="preserve">,</w:t>
            </w:r>
            <w:r>
              <w:t xml:space="preserve"> </w:t>
            </w:r>
            <w:r>
              <w:t xml:space="preserve">“300ms”</w:t>
            </w:r>
            <w:r>
              <w:t xml:space="preserve">).</w:t>
            </w:r>
          </w:p>
        </w:tc>
      </w:tr>
    </w:tbl>
    <w:bookmarkEnd w:id="2403"/>
    <w:bookmarkStart w:id="2404" w:name="return-value-152"/>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duration in nanoseconds, or raises an error if the duration string is invalid.</w:t>
      </w:r>
    </w:p>
    <w:bookmarkEnd w:id="2404"/>
    <w:bookmarkStart w:id="2405" w:name="remarks-213"/>
    <w:p>
      <w:pPr>
        <w:pStyle w:val="Heading2"/>
      </w:pPr>
      <w:r>
        <w:t xml:space="preserve">Remarks</w:t>
      </w:r>
    </w:p>
    <w:p>
      <w:pPr>
        <w:pStyle w:val="Compact"/>
        <w:numPr>
          <w:ilvl w:val="0"/>
          <w:numId w:val="1596"/>
        </w:numPr>
      </w:pPr>
      <w:r>
        <w:t xml:space="preserve">Valid time units:</w:t>
      </w:r>
      <w:r>
        <w:t xml:space="preserve"> </w:t>
      </w:r>
      <w:r>
        <w:rPr>
          <w:rStyle w:val="VerbatimChar"/>
        </w:rPr>
        <w:t xml:space="preserve">ns</w:t>
      </w:r>
      <w:r>
        <w:t xml:space="preserve">,</w:t>
      </w:r>
      <w:r>
        <w:t xml:space="preserve"> </w:t>
      </w:r>
      <w:r>
        <w:rPr>
          <w:rStyle w:val="VerbatimChar"/>
        </w:rPr>
        <w:t xml:space="preserve">us</w:t>
      </w:r>
      <w:r>
        <w:t xml:space="preserve">/</w:t>
      </w:r>
      <w:r>
        <w:rPr>
          <w:rStyle w:val="VerbatimChar"/>
        </w:rPr>
        <w:t xml:space="preserve">µs</w:t>
      </w:r>
      <w:r>
        <w:t xml:space="preserve">,</w:t>
      </w:r>
      <w:r>
        <w:t xml:space="preserve"> </w:t>
      </w:r>
      <w:r>
        <w:rPr>
          <w:rStyle w:val="VerbatimChar"/>
        </w:rPr>
        <w:t xml:space="preserve">ms</w:t>
      </w:r>
      <w:r>
        <w:t xml:space="preserve">,</w:t>
      </w:r>
      <w:r>
        <w:t xml:space="preserve"> </w:t>
      </w:r>
      <w:r>
        <w:rPr>
          <w:rStyle w:val="VerbatimChar"/>
        </w:rPr>
        <w:t xml:space="preserve">s</w:t>
      </w:r>
      <w:r>
        <w:t xml:space="preserve">,</w:t>
      </w:r>
      <w:r>
        <w:t xml:space="preserve"> </w:t>
      </w:r>
      <w:r>
        <w:rPr>
          <w:rStyle w:val="VerbatimChar"/>
        </w:rPr>
        <w:t xml:space="preserve">m</w:t>
      </w:r>
      <w:r>
        <w:t xml:space="preserve">,</w:t>
      </w:r>
      <w:r>
        <w:t xml:space="preserve"> </w:t>
      </w:r>
      <w:r>
        <w:rPr>
          <w:rStyle w:val="VerbatimChar"/>
        </w:rPr>
        <w:t xml:space="preserve">h</w:t>
      </w:r>
      <w:r>
        <w:t xml:space="preserve">.</w:t>
      </w:r>
    </w:p>
    <w:p>
      <w:pPr>
        <w:pStyle w:val="Compact"/>
        <w:numPr>
          <w:ilvl w:val="0"/>
          <w:numId w:val="1596"/>
        </w:numPr>
      </w:pPr>
      <w:r>
        <w:t xml:space="preserve">Format:</w:t>
      </w:r>
      <w:r>
        <w:t xml:space="preserve"> </w:t>
      </w:r>
      <w:r>
        <w:rPr>
          <w:rStyle w:val="VerbatimChar"/>
        </w:rPr>
        <w:t xml:space="preserve">[number]unit</w:t>
      </w:r>
      <w:r>
        <w:t xml:space="preserve"> </w:t>
      </w:r>
      <w:r>
        <w:t xml:space="preserve">with optional fractional values (e.g.,</w:t>
      </w:r>
      <w:r>
        <w:t xml:space="preserve"> </w:t>
      </w:r>
      <w:r>
        <w:t xml:space="preserve">“1.5h”</w:t>
      </w:r>
      <w:r>
        <w:t xml:space="preserve">).</w:t>
      </w:r>
    </w:p>
    <w:p>
      <w:pPr>
        <w:pStyle w:val="Compact"/>
        <w:numPr>
          <w:ilvl w:val="0"/>
          <w:numId w:val="1596"/>
        </w:numPr>
      </w:pPr>
      <w:r>
        <w:t xml:space="preserve">Combine multiple units:</w:t>
      </w:r>
      <w:r>
        <w:t xml:space="preserve"> </w:t>
      </w:r>
      <w:r>
        <w:rPr>
          <w:rStyle w:val="VerbatimChar"/>
        </w:rPr>
        <w:t xml:space="preserve">"2h45m30s"</w:t>
      </w:r>
      <w:r>
        <w:t xml:space="preserve">.</w:t>
      </w:r>
    </w:p>
    <w:bookmarkEnd w:id="2405"/>
    <w:bookmarkStart w:id="2406" w:name="example-15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dur</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future</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br/>
      </w:r>
      <w:r>
        <w:rPr>
          <w:rStyle w:val="CommentTok"/>
        </w:rPr>
        <w:t xml:space="preserve">' Parse 2 hours and 30 minutes</w:t>
      </w:r>
      <w:r>
        <w:br/>
      </w:r>
      <w:r>
        <w:rPr>
          <w:rStyle w:val="NormalTok"/>
        </w:rPr>
        <w:t xml:space="preserve">dur = dt.ParseDuration</w:t>
      </w:r>
      <w:r>
        <w:rPr>
          <w:rStyle w:val="OtherTok"/>
        </w:rPr>
        <w:t xml:space="preserve">(</w:t>
      </w:r>
      <w:r>
        <w:rPr>
          <w:rStyle w:val="StringTok"/>
        </w:rPr>
        <w:t xml:space="preserve">"2h30m"</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future = dt.</w:t>
      </w:r>
      <w:r>
        <w:rPr>
          <w:rStyle w:val="FunctionTok"/>
        </w:rPr>
        <w:t xml:space="preserve">Add</w:t>
      </w:r>
      <w:r>
        <w:rPr>
          <w:rStyle w:val="OtherTok"/>
        </w:rPr>
        <w:t xml:space="preserve">(</w:t>
      </w:r>
      <w:r>
        <w:rPr>
          <w:rStyle w:val="FunctionTok"/>
        </w:rPr>
        <w:t xml:space="preserve">now</w:t>
      </w:r>
      <w:r>
        <w:rPr>
          <w:rStyle w:val="OtherTok"/>
        </w:rPr>
        <w:t xml:space="preserve">,</w:t>
      </w:r>
      <w:r>
        <w:rPr>
          <w:rStyle w:val="NormalTok"/>
        </w:rPr>
        <w:t xml:space="preserve"> dur</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"2.5 hours from now: "</w:t>
      </w:r>
      <w:r>
        <w:rPr>
          <w:rStyle w:val="NormalTok"/>
        </w:rPr>
        <w:t xml:space="preserve"> </w:t>
      </w:r>
      <w:r>
        <w:rPr>
          <w:rStyle w:val="KeywordTok"/>
        </w:rPr>
        <w:t xml:space="preserve">&amp;</w:t>
      </w:r>
      <w:r>
        <w:rPr>
          <w:rStyle w:val="NormalTok"/>
        </w:rPr>
        <w:t xml:space="preserve"> future</w:t>
      </w:r>
      <w:r>
        <w:br/>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06"/>
    <w:bookmarkEnd w:id="2407"/>
    <w:bookmarkStart w:id="2414" w:name="X39c09f19c7aa8a13d0e9f56bd563c8c53544b84"/>
    <w:p>
      <w:pPr>
        <w:pStyle w:val="Heading1"/>
      </w:pPr>
      <w:r>
        <w:t xml:space="preserve">Parse a Date String in a Specific Timezone</w:t>
      </w:r>
    </w:p>
    <w:bookmarkStart w:id="2408" w:name="overview-214"/>
    <w:p>
      <w:pPr>
        <w:pStyle w:val="Heading2"/>
      </w:pPr>
      <w:r>
        <w:t xml:space="preserve">Overview</w:t>
      </w:r>
    </w:p>
    <w:p>
      <w:pPr>
        <w:pStyle w:val="FirstParagraph"/>
      </w:pPr>
      <w:r>
        <w:t xml:space="preserve">Parses a date string in the specified timezone location using a Go layout pattern.</w:t>
      </w:r>
    </w:p>
    <w:bookmarkEnd w:id="2408"/>
    <w:bookmarkStart w:id="2409" w:name="syntax-228"/>
    <w:p>
      <w:pPr>
        <w:pStyle w:val="Heading2"/>
      </w:pPr>
      <w:r>
        <w:t xml:space="preserve">Syntax</w:t>
      </w:r>
    </w:p>
    <w:p>
      <w:pPr>
        <w:pStyle w:val="SourceCode"/>
      </w:pPr>
      <w:r>
        <w:rPr>
          <w:rStyle w:val="NormalTok"/>
        </w:rPr>
        <w:t xml:space="preserve">result = g3date.ParseInLocation(layout, value [, timezone])</w:t>
      </w:r>
    </w:p>
    <w:bookmarkEnd w:id="2409"/>
    <w:bookmarkStart w:id="2410" w:name="parameters-13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layout</w:t>
            </w:r>
          </w:p>
        </w:tc>
        <w:tc>
          <w:tcPr/>
          <w:p>
            <w:pPr>
              <w:pStyle w:val="Compact"/>
            </w:pPr>
            <w:r>
              <w:t xml:space="preserve">String</w:t>
            </w:r>
          </w:p>
        </w:tc>
        <w:tc>
          <w:tcPr/>
          <w:p>
            <w:pPr>
              <w:pStyle w:val="Compact"/>
            </w:pPr>
            <w:r>
              <w:t xml:space="preserve">Yes</w:t>
            </w:r>
          </w:p>
        </w:tc>
        <w:tc>
          <w:tcPr/>
          <w:p>
            <w:pPr>
              <w:pStyle w:val="Compact"/>
            </w:pPr>
            <w:r>
              <w:t xml:space="preserve">Go time layout string (e.g.,</w:t>
            </w:r>
            <w:r>
              <w:t xml:space="preserve"> </w:t>
            </w:r>
            <w:r>
              <w:t xml:space="preserve">“2006-01-02 15:04:05”</w:t>
            </w:r>
            <w:r>
              <w:t xml:space="preserve">).</w:t>
            </w:r>
          </w:p>
        </w:tc>
      </w:tr>
      <w:tr>
        <w:tc>
          <w:tcPr/>
          <w:p>
            <w:pPr>
              <w:pStyle w:val="Compact"/>
            </w:pPr>
            <w:r>
              <w:rPr>
                <w:b/>
                <w:bCs/>
              </w:rPr>
              <w:t xml:space="preserve">value</w:t>
            </w:r>
          </w:p>
        </w:tc>
        <w:tc>
          <w:tcPr/>
          <w:p>
            <w:pPr>
              <w:pStyle w:val="Compact"/>
            </w:pPr>
            <w:r>
              <w:t xml:space="preserve">String</w:t>
            </w:r>
          </w:p>
        </w:tc>
        <w:tc>
          <w:tcPr/>
          <w:p>
            <w:pPr>
              <w:pStyle w:val="Compact"/>
            </w:pPr>
            <w:r>
              <w:t xml:space="preserve">Yes</w:t>
            </w:r>
          </w:p>
        </w:tc>
        <w:tc>
          <w:tcPr/>
          <w:p>
            <w:pPr>
              <w:pStyle w:val="Compact"/>
            </w:pPr>
            <w:r>
              <w:t xml:space="preserve">The date string to parse.</w:t>
            </w:r>
          </w:p>
        </w:tc>
      </w:tr>
      <w:tr>
        <w:tc>
          <w:tcPr/>
          <w:p>
            <w:pPr>
              <w:pStyle w:val="Compact"/>
            </w:pPr>
            <w:r>
              <w:rPr>
                <w:b/>
                <w:bCs/>
              </w:rPr>
              <w:t xml:space="preserve">timezone</w:t>
            </w:r>
          </w:p>
        </w:tc>
        <w:tc>
          <w:tcPr/>
          <w:p>
            <w:pPr>
              <w:pStyle w:val="Compact"/>
            </w:pPr>
            <w:r>
              <w:t xml:space="preserve">String</w:t>
            </w:r>
          </w:p>
        </w:tc>
        <w:tc>
          <w:tcPr/>
          <w:p>
            <w:pPr>
              <w:pStyle w:val="Compact"/>
            </w:pPr>
            <w:r>
              <w:t xml:space="preserve">No</w:t>
            </w:r>
          </w:p>
        </w:tc>
        <w:tc>
          <w:tcPr/>
          <w:p>
            <w:pPr>
              <w:pStyle w:val="Compact"/>
            </w:pPr>
            <w:r>
              <w:t xml:space="preserve">IANA timezone name (default: system timezone).</w:t>
            </w:r>
          </w:p>
        </w:tc>
      </w:tr>
    </w:tbl>
    <w:bookmarkEnd w:id="2410"/>
    <w:bookmarkStart w:id="2411" w:name="return-value-153"/>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parsed date in the specified location.</w:t>
      </w:r>
    </w:p>
    <w:bookmarkEnd w:id="2411"/>
    <w:bookmarkStart w:id="2412" w:name="remarks-214"/>
    <w:p>
      <w:pPr>
        <w:pStyle w:val="Heading2"/>
      </w:pPr>
      <w:r>
        <w:t xml:space="preserve">Remarks</w:t>
      </w:r>
    </w:p>
    <w:p>
      <w:pPr>
        <w:pStyle w:val="Compact"/>
        <w:numPr>
          <w:ilvl w:val="0"/>
          <w:numId w:val="1597"/>
        </w:numPr>
      </w:pPr>
      <w:r>
        <w:t xml:space="preserve">The layout uses Go reference time</w:t>
      </w:r>
      <w:r>
        <w:t xml:space="preserve"> </w:t>
      </w:r>
      <w:r>
        <w:rPr>
          <w:rStyle w:val="VerbatimChar"/>
        </w:rPr>
        <w:t xml:space="preserve">Mon Jan 2 15:04:05 MST 2006</w:t>
      </w:r>
      <w:r>
        <w:t xml:space="preserve">.</w:t>
      </w:r>
    </w:p>
    <w:p>
      <w:pPr>
        <w:pStyle w:val="Compact"/>
        <w:numPr>
          <w:ilvl w:val="0"/>
          <w:numId w:val="1597"/>
        </w:numPr>
      </w:pPr>
      <w:r>
        <w:t xml:space="preserve">Differences from Parse: the default location is the system timezone instead of UTC.</w:t>
      </w:r>
    </w:p>
    <w:p>
      <w:pPr>
        <w:pStyle w:val="Compact"/>
        <w:numPr>
          <w:ilvl w:val="0"/>
          <w:numId w:val="1597"/>
        </w:numPr>
      </w:pPr>
      <w:r>
        <w:t xml:space="preserve">This method is useful when the input string assumes a specific timezone context.</w:t>
      </w:r>
    </w:p>
    <w:bookmarkEnd w:id="2412"/>
    <w:bookmarkStart w:id="2413" w:name="example-15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parsed</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parsed = dt.ParseInLocation</w:t>
      </w:r>
      <w:r>
        <w:rPr>
          <w:rStyle w:val="OtherTok"/>
        </w:rPr>
        <w:t xml:space="preserve">(</w:t>
      </w:r>
      <w:r>
        <w:rPr>
          <w:rStyle w:val="StringTok"/>
        </w:rPr>
        <w:t xml:space="preserve">"2006-01-02 15:04:05"</w:t>
      </w:r>
      <w:r>
        <w:rPr>
          <w:rStyle w:val="OtherTok"/>
        </w:rPr>
        <w:t xml:space="preserve">,</w:t>
      </w:r>
      <w:r>
        <w:rPr>
          <w:rStyle w:val="NormalTok"/>
        </w:rPr>
        <w:t xml:space="preserve"> </w:t>
      </w:r>
      <w:r>
        <w:rPr>
          <w:rStyle w:val="StringTok"/>
        </w:rPr>
        <w:t xml:space="preserve">"2026-12-25 10:30:00"</w:t>
      </w:r>
      <w:r>
        <w:rPr>
          <w:rStyle w:val="OtherTok"/>
        </w:rPr>
        <w:t xml:space="preserve">,</w:t>
      </w:r>
      <w:r>
        <w:rPr>
          <w:rStyle w:val="NormalTok"/>
        </w:rPr>
        <w:t xml:space="preserve"> </w:t>
      </w:r>
      <w:r>
        <w:rPr>
          <w:rStyle w:val="StringTok"/>
        </w:rPr>
        <w:t xml:space="preserve">"America/New_York"</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"Parsed date: "</w:t>
      </w:r>
      <w:r>
        <w:rPr>
          <w:rStyle w:val="NormalTok"/>
        </w:rPr>
        <w:t xml:space="preserve"> </w:t>
      </w:r>
      <w:r>
        <w:rPr>
          <w:rStyle w:val="KeywordTok"/>
        </w:rPr>
        <w:t xml:space="preserve">&amp;</w:t>
      </w:r>
      <w:r>
        <w:rPr>
          <w:rStyle w:val="NormalTok"/>
        </w:rPr>
        <w:t xml:space="preserve"> parsed</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13"/>
    <w:bookmarkEnd w:id="2414"/>
    <w:bookmarkStart w:id="2421" w:name="format-date-as-rfc-1123"/>
    <w:p>
      <w:pPr>
        <w:pStyle w:val="Heading1"/>
      </w:pPr>
      <w:r>
        <w:t xml:space="preserve">Format Date as RFC 1123</w:t>
      </w:r>
    </w:p>
    <w:bookmarkStart w:id="2415" w:name="overview-215"/>
    <w:p>
      <w:pPr>
        <w:pStyle w:val="Heading2"/>
      </w:pPr>
      <w:r>
        <w:t xml:space="preserve">Overview</w:t>
      </w:r>
    </w:p>
    <w:p>
      <w:pPr>
        <w:pStyle w:val="FirstParagraph"/>
      </w:pPr>
      <w:r>
        <w:t xml:space="preserve">Formats a date using the RFC 1123 standard layout.</w:t>
      </w:r>
    </w:p>
    <w:bookmarkEnd w:id="2415"/>
    <w:bookmarkStart w:id="2416" w:name="syntax-229"/>
    <w:p>
      <w:pPr>
        <w:pStyle w:val="Heading2"/>
      </w:pPr>
      <w:r>
        <w:t xml:space="preserve">Syntax</w:t>
      </w:r>
    </w:p>
    <w:p>
      <w:pPr>
        <w:pStyle w:val="SourceCode"/>
      </w:pPr>
      <w:r>
        <w:rPr>
          <w:rStyle w:val="NormalTok"/>
        </w:rPr>
        <w:t xml:space="preserve">result = g3date.RFC1123Format(date)</w:t>
      </w:r>
    </w:p>
    <w:bookmarkEnd w:id="2416"/>
    <w:bookmarkStart w:id="2417" w:name="parameters-13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bl>
    <w:bookmarkEnd w:id="2417"/>
    <w:bookmarkStart w:id="2418" w:name="return-value-154"/>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RFC 1123 format (e.g.,</w:t>
      </w:r>
      <w:r>
        <w:t xml:space="preserve"> </w:t>
      </w:r>
      <w:r>
        <w:t xml:space="preserve">“Fri, 26 Jun 2026 17:36:29 UTC”</w:t>
      </w:r>
      <w:r>
        <w:t xml:space="preserve">).</w:t>
      </w:r>
    </w:p>
    <w:bookmarkEnd w:id="2418"/>
    <w:bookmarkStart w:id="2419" w:name="remarks-215"/>
    <w:p>
      <w:pPr>
        <w:pStyle w:val="Heading2"/>
      </w:pPr>
      <w:r>
        <w:t xml:space="preserve">Remarks</w:t>
      </w:r>
    </w:p>
    <w:p>
      <w:pPr>
        <w:pStyle w:val="Compact"/>
        <w:numPr>
          <w:ilvl w:val="0"/>
          <w:numId w:val="1598"/>
        </w:numPr>
      </w:pPr>
      <w:r>
        <w:t xml:space="preserve">RFC 1123 is the standard format used in HTTP headers.</w:t>
      </w:r>
    </w:p>
    <w:p>
      <w:pPr>
        <w:pStyle w:val="Compact"/>
        <w:numPr>
          <w:ilvl w:val="0"/>
          <w:numId w:val="1598"/>
        </w:numPr>
      </w:pPr>
      <w:r>
        <w:t xml:space="preserve">Use this method when you need dates formatted for HTTP responses.</w:t>
      </w:r>
    </w:p>
    <w:bookmarkEnd w:id="2419"/>
    <w:bookmarkStart w:id="2420" w:name="example-15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dt.RFC1123Format</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20"/>
    <w:bookmarkEnd w:id="2421"/>
    <w:bookmarkStart w:id="2428" w:name="format-date-as-rfc-3339"/>
    <w:p>
      <w:pPr>
        <w:pStyle w:val="Heading1"/>
      </w:pPr>
      <w:r>
        <w:t xml:space="preserve">Format Date as RFC 3339</w:t>
      </w:r>
    </w:p>
    <w:bookmarkStart w:id="2422" w:name="overview-216"/>
    <w:p>
      <w:pPr>
        <w:pStyle w:val="Heading2"/>
      </w:pPr>
      <w:r>
        <w:t xml:space="preserve">Overview</w:t>
      </w:r>
    </w:p>
    <w:p>
      <w:pPr>
        <w:pStyle w:val="FirstParagraph"/>
      </w:pPr>
      <w:r>
        <w:t xml:space="preserve">Formats a date using the RFC 3339 standard layout.</w:t>
      </w:r>
    </w:p>
    <w:bookmarkEnd w:id="2422"/>
    <w:bookmarkStart w:id="2423" w:name="syntax-230"/>
    <w:p>
      <w:pPr>
        <w:pStyle w:val="Heading2"/>
      </w:pPr>
      <w:r>
        <w:t xml:space="preserve">Syntax</w:t>
      </w:r>
    </w:p>
    <w:p>
      <w:pPr>
        <w:pStyle w:val="SourceCode"/>
      </w:pPr>
      <w:r>
        <w:rPr>
          <w:rStyle w:val="NormalTok"/>
        </w:rPr>
        <w:t xml:space="preserve">result = g3date.RFC3339Format(date)</w:t>
      </w:r>
    </w:p>
    <w:bookmarkEnd w:id="2423"/>
    <w:bookmarkStart w:id="2424" w:name="parameters-13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bl>
    <w:bookmarkEnd w:id="2424"/>
    <w:bookmarkStart w:id="2425" w:name="return-value-155"/>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RFC 3339 format (e.g.,</w:t>
      </w:r>
      <w:r>
        <w:t xml:space="preserve"> </w:t>
      </w:r>
      <w:r>
        <w:t xml:space="preserve">“2026-06-26T17:36:29Z”</w:t>
      </w:r>
      <w:r>
        <w:t xml:space="preserve">).</w:t>
      </w:r>
    </w:p>
    <w:bookmarkEnd w:id="2425"/>
    <w:bookmarkStart w:id="2426" w:name="remarks-216"/>
    <w:p>
      <w:pPr>
        <w:pStyle w:val="Heading2"/>
      </w:pPr>
      <w:r>
        <w:t xml:space="preserve">Remarks</w:t>
      </w:r>
    </w:p>
    <w:p>
      <w:pPr>
        <w:pStyle w:val="Compact"/>
        <w:numPr>
          <w:ilvl w:val="0"/>
          <w:numId w:val="1599"/>
        </w:numPr>
      </w:pPr>
      <w:r>
        <w:t xml:space="preserve">This is equivalent to ISO 8601 extended format.</w:t>
      </w:r>
    </w:p>
    <w:p>
      <w:pPr>
        <w:pStyle w:val="Compact"/>
        <w:numPr>
          <w:ilvl w:val="0"/>
          <w:numId w:val="1599"/>
        </w:numPr>
      </w:pPr>
      <w:r>
        <w:t xml:space="preserve">RFC 3339 is a profile of ISO 8601.</w:t>
      </w:r>
    </w:p>
    <w:bookmarkEnd w:id="2426"/>
    <w:bookmarkStart w:id="2427" w:name="example-15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dt.RFC3339Format</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27"/>
    <w:bookmarkEnd w:id="2428"/>
    <w:bookmarkStart w:id="2434" w:name="format-date-as-rfc-3339-with-nanoseconds"/>
    <w:p>
      <w:pPr>
        <w:pStyle w:val="Heading1"/>
      </w:pPr>
      <w:r>
        <w:t xml:space="preserve">Format Date as RFC 3339 with Nanoseconds</w:t>
      </w:r>
    </w:p>
    <w:bookmarkStart w:id="2429" w:name="overview-217"/>
    <w:p>
      <w:pPr>
        <w:pStyle w:val="Heading2"/>
      </w:pPr>
      <w:r>
        <w:t xml:space="preserve">Overview</w:t>
      </w:r>
    </w:p>
    <w:p>
      <w:pPr>
        <w:pStyle w:val="FirstParagraph"/>
      </w:pPr>
      <w:r>
        <w:t xml:space="preserve">Formats a date using the RFC 3339 standard layout with nanosecond precision.</w:t>
      </w:r>
    </w:p>
    <w:bookmarkEnd w:id="2429"/>
    <w:bookmarkStart w:id="2430" w:name="syntax-231"/>
    <w:p>
      <w:pPr>
        <w:pStyle w:val="Heading2"/>
      </w:pPr>
      <w:r>
        <w:t xml:space="preserve">Syntax</w:t>
      </w:r>
    </w:p>
    <w:p>
      <w:pPr>
        <w:pStyle w:val="SourceCode"/>
      </w:pPr>
      <w:r>
        <w:rPr>
          <w:rStyle w:val="NormalTok"/>
        </w:rPr>
        <w:t xml:space="preserve">result = g3date.RFC3339NanoFormat(date)</w:t>
      </w:r>
    </w:p>
    <w:bookmarkEnd w:id="2430"/>
    <w:bookmarkStart w:id="2431" w:name="parameters-14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bl>
    <w:bookmarkEnd w:id="2431"/>
    <w:bookmarkStart w:id="2432" w:name="return-value-156"/>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RFC 3339 format with nanosecond precision (e.g.,</w:t>
      </w:r>
      <w:r>
        <w:t xml:space="preserve"> </w:t>
      </w:r>
      <w:r>
        <w:t xml:space="preserve">“2026-06-26T17:36:29.123456789Z”</w:t>
      </w:r>
      <w:r>
        <w:t xml:space="preserve">).</w:t>
      </w:r>
    </w:p>
    <w:bookmarkEnd w:id="2432"/>
    <w:bookmarkStart w:id="2433" w:name="example-15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dt.RFC3339NanoFormat</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33"/>
    <w:bookmarkEnd w:id="2434"/>
    <w:bookmarkStart w:id="2440" w:name="format-date-as-rfc-822"/>
    <w:p>
      <w:pPr>
        <w:pStyle w:val="Heading1"/>
      </w:pPr>
      <w:r>
        <w:t xml:space="preserve">Format Date as RFC 822</w:t>
      </w:r>
    </w:p>
    <w:bookmarkStart w:id="2435" w:name="overview-218"/>
    <w:p>
      <w:pPr>
        <w:pStyle w:val="Heading2"/>
      </w:pPr>
      <w:r>
        <w:t xml:space="preserve">Overview</w:t>
      </w:r>
    </w:p>
    <w:p>
      <w:pPr>
        <w:pStyle w:val="FirstParagraph"/>
      </w:pPr>
      <w:r>
        <w:t xml:space="preserve">Formats a date using the RFC 822 standard layout.</w:t>
      </w:r>
    </w:p>
    <w:bookmarkEnd w:id="2435"/>
    <w:bookmarkStart w:id="2436" w:name="syntax-232"/>
    <w:p>
      <w:pPr>
        <w:pStyle w:val="Heading2"/>
      </w:pPr>
      <w:r>
        <w:t xml:space="preserve">Syntax</w:t>
      </w:r>
    </w:p>
    <w:p>
      <w:pPr>
        <w:pStyle w:val="SourceCode"/>
      </w:pPr>
      <w:r>
        <w:rPr>
          <w:rStyle w:val="NormalTok"/>
        </w:rPr>
        <w:t xml:space="preserve">result = g3date.RFC822Format(date)</w:t>
      </w:r>
    </w:p>
    <w:bookmarkEnd w:id="2436"/>
    <w:bookmarkStart w:id="2437" w:name="parameters-141"/>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bl>
    <w:bookmarkEnd w:id="2437"/>
    <w:bookmarkStart w:id="2438" w:name="return-value-157"/>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RFC 822 format (e.g.,</w:t>
      </w:r>
      <w:r>
        <w:t xml:space="preserve"> </w:t>
      </w:r>
      <w:r>
        <w:t xml:space="preserve">“26 Jun 26 17:36 UTC”</w:t>
      </w:r>
      <w:r>
        <w:t xml:space="preserve">).</w:t>
      </w:r>
    </w:p>
    <w:bookmarkEnd w:id="2438"/>
    <w:bookmarkStart w:id="2439" w:name="example-16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dt.RFC822Format</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39"/>
    <w:bookmarkEnd w:id="2440"/>
    <w:bookmarkStart w:id="2446" w:name="format-date-as-rfc-850"/>
    <w:p>
      <w:pPr>
        <w:pStyle w:val="Heading1"/>
      </w:pPr>
      <w:r>
        <w:t xml:space="preserve">Format Date as RFC 850</w:t>
      </w:r>
    </w:p>
    <w:bookmarkStart w:id="2441" w:name="overview-219"/>
    <w:p>
      <w:pPr>
        <w:pStyle w:val="Heading2"/>
      </w:pPr>
      <w:r>
        <w:t xml:space="preserve">Overview</w:t>
      </w:r>
    </w:p>
    <w:p>
      <w:pPr>
        <w:pStyle w:val="FirstParagraph"/>
      </w:pPr>
      <w:r>
        <w:t xml:space="preserve">Formats a date using the RFC 850 standard layout.</w:t>
      </w:r>
    </w:p>
    <w:bookmarkEnd w:id="2441"/>
    <w:bookmarkStart w:id="2442" w:name="syntax-233"/>
    <w:p>
      <w:pPr>
        <w:pStyle w:val="Heading2"/>
      </w:pPr>
      <w:r>
        <w:t xml:space="preserve">Syntax</w:t>
      </w:r>
    </w:p>
    <w:p>
      <w:pPr>
        <w:pStyle w:val="SourceCode"/>
      </w:pPr>
      <w:r>
        <w:rPr>
          <w:rStyle w:val="NormalTok"/>
        </w:rPr>
        <w:t xml:space="preserve">result = g3date.RFC850Format(date)</w:t>
      </w:r>
    </w:p>
    <w:bookmarkEnd w:id="2442"/>
    <w:bookmarkStart w:id="2443" w:name="parameters-14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format.</w:t>
            </w:r>
          </w:p>
        </w:tc>
      </w:tr>
    </w:tbl>
    <w:bookmarkEnd w:id="2443"/>
    <w:bookmarkStart w:id="2444" w:name="return-value-158"/>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RFC 850 format (e.g.,</w:t>
      </w:r>
      <w:r>
        <w:t xml:space="preserve"> </w:t>
      </w:r>
      <w:r>
        <w:t xml:space="preserve">“Friday, 26-Jun-26 17:36:29 UTC”</w:t>
      </w:r>
      <w:r>
        <w:t xml:space="preserve">).</w:t>
      </w:r>
    </w:p>
    <w:bookmarkEnd w:id="2444"/>
    <w:bookmarkStart w:id="2445" w:name="example-16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dt.RFC850Format</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45"/>
    <w:bookmarkEnd w:id="2446"/>
    <w:bookmarkStart w:id="2453" w:name="round-time-to-a-given-duration"/>
    <w:p>
      <w:pPr>
        <w:pStyle w:val="Heading1"/>
      </w:pPr>
      <w:r>
        <w:t xml:space="preserve">Round Time to a Given Duration</w:t>
      </w:r>
    </w:p>
    <w:bookmarkStart w:id="2447" w:name="overview-220"/>
    <w:p>
      <w:pPr>
        <w:pStyle w:val="Heading2"/>
      </w:pPr>
      <w:r>
        <w:t xml:space="preserve">Overview</w:t>
      </w:r>
    </w:p>
    <w:p>
      <w:pPr>
        <w:pStyle w:val="FirstParagraph"/>
      </w:pPr>
      <w:r>
        <w:t xml:space="preserve">Rounds a date to the nearest multiple of the specified duration.</w:t>
      </w:r>
    </w:p>
    <w:bookmarkEnd w:id="2447"/>
    <w:bookmarkStart w:id="2448" w:name="syntax-234"/>
    <w:p>
      <w:pPr>
        <w:pStyle w:val="Heading2"/>
      </w:pPr>
      <w:r>
        <w:t xml:space="preserve">Syntax</w:t>
      </w:r>
    </w:p>
    <w:p>
      <w:pPr>
        <w:pStyle w:val="SourceCode"/>
      </w:pPr>
      <w:r>
        <w:rPr>
          <w:rStyle w:val="NormalTok"/>
        </w:rPr>
        <w:t xml:space="preserve">result = g3date.Round(date, nanoseconds)</w:t>
      </w:r>
    </w:p>
    <w:bookmarkEnd w:id="2448"/>
    <w:bookmarkStart w:id="2449" w:name="parameters-14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round.</w:t>
            </w:r>
          </w:p>
        </w:tc>
      </w:tr>
      <w:tr>
        <w:tc>
          <w:tcPr/>
          <w:p>
            <w:pPr>
              <w:pStyle w:val="Compact"/>
            </w:pPr>
            <w:r>
              <w:rPr>
                <w:b/>
                <w:bCs/>
              </w:rPr>
              <w:t xml:space="preserve">nanoseconds</w:t>
            </w:r>
          </w:p>
        </w:tc>
        <w:tc>
          <w:tcPr/>
          <w:p>
            <w:pPr>
              <w:pStyle w:val="Compact"/>
            </w:pPr>
            <w:r>
              <w:t xml:space="preserve">Integer</w:t>
            </w:r>
          </w:p>
        </w:tc>
        <w:tc>
          <w:tcPr/>
          <w:p>
            <w:pPr>
              <w:pStyle w:val="Compact"/>
            </w:pPr>
            <w:r>
              <w:t xml:space="preserve">Yes</w:t>
            </w:r>
          </w:p>
        </w:tc>
        <w:tc>
          <w:tcPr/>
          <w:p>
            <w:pPr>
              <w:pStyle w:val="Compact"/>
            </w:pPr>
            <w:r>
              <w:t xml:space="preserve">Duration unit for rounding (e.g., 3600000000000 for 1 hour).</w:t>
            </w:r>
          </w:p>
        </w:tc>
      </w:tr>
    </w:tbl>
    <w:bookmarkEnd w:id="2449"/>
    <w:bookmarkStart w:id="2450" w:name="return-value-159"/>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rounded to the nearest multiple of the given duration.</w:t>
      </w:r>
    </w:p>
    <w:bookmarkEnd w:id="2450"/>
    <w:bookmarkStart w:id="2451" w:name="remarks-217"/>
    <w:p>
      <w:pPr>
        <w:pStyle w:val="Heading2"/>
      </w:pPr>
      <w:r>
        <w:t xml:space="preserve">Remarks</w:t>
      </w:r>
    </w:p>
    <w:p>
      <w:pPr>
        <w:pStyle w:val="Compact"/>
        <w:numPr>
          <w:ilvl w:val="0"/>
          <w:numId w:val="1600"/>
        </w:numPr>
      </w:pPr>
      <w:r>
        <w:t xml:space="preserve">Rounding uses standard midpoint rounding (up at exactly half).</w:t>
      </w:r>
    </w:p>
    <w:p>
      <w:pPr>
        <w:pStyle w:val="Compact"/>
        <w:numPr>
          <w:ilvl w:val="0"/>
          <w:numId w:val="1600"/>
        </w:numPr>
      </w:pPr>
      <w:r>
        <w:t xml:space="preserve">For example, rounding to 1 hour rounds 10:30:00 to 11:00:00.</w:t>
      </w:r>
    </w:p>
    <w:bookmarkEnd w:id="2451"/>
    <w:bookmarkStart w:id="2452" w:name="example-16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rounded</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rounded = dt.</w:t>
      </w:r>
      <w:r>
        <w:rPr>
          <w:rStyle w:val="FunctionTok"/>
        </w:rPr>
        <w:t xml:space="preserve">Round</w:t>
      </w:r>
      <w:r>
        <w:rPr>
          <w:rStyle w:val="OtherTok"/>
        </w:rPr>
        <w:t xml:space="preserve">(</w:t>
      </w:r>
      <w:r>
        <w:rPr>
          <w:rStyle w:val="FunctionTok"/>
        </w:rPr>
        <w:t xml:space="preserve">now</w:t>
      </w:r>
      <w:r>
        <w:rPr>
          <w:rStyle w:val="OtherTok"/>
        </w:rPr>
        <w:t xml:space="preserve">,</w:t>
      </w:r>
      <w:r>
        <w:rPr>
          <w:rStyle w:val="NormalTok"/>
        </w:rPr>
        <w:t xml:space="preserve"> </w:t>
      </w:r>
      <w:r>
        <w:rPr>
          <w:rStyle w:val="DecValTok"/>
        </w:rPr>
        <w:t xml:space="preserve">3600000000000</w:t>
      </w:r>
      <w:r>
        <w:rPr>
          <w:rStyle w:val="OtherTok"/>
        </w:rPr>
        <w:t xml:space="preserve">)</w:t>
      </w:r>
      <w:r>
        <w:rPr>
          <w:rStyle w:val="NormalTok"/>
        </w:rPr>
        <w:t xml:space="preserve"> </w:t>
      </w:r>
      <w:r>
        <w:rPr>
          <w:rStyle w:val="CommentTok"/>
        </w:rPr>
        <w:t xml:space="preserve">' round to nearest hour</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"Rounded to hour: "</w:t>
      </w:r>
      <w:r>
        <w:rPr>
          <w:rStyle w:val="NormalTok"/>
        </w:rPr>
        <w:t xml:space="preserve"> </w:t>
      </w:r>
      <w:r>
        <w:rPr>
          <w:rStyle w:val="KeywordTok"/>
        </w:rPr>
        <w:t xml:space="preserve">&amp;</w:t>
      </w:r>
      <w:r>
        <w:rPr>
          <w:rStyle w:val="NormalTok"/>
        </w:rPr>
        <w:t xml:space="preserve"> rounded</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52"/>
    <w:bookmarkEnd w:id="2453"/>
    <w:bookmarkStart w:id="2459" w:name="get-the-second-component"/>
    <w:p>
      <w:pPr>
        <w:pStyle w:val="Heading1"/>
      </w:pPr>
      <w:r>
        <w:t xml:space="preserve">Get the Second Component</w:t>
      </w:r>
    </w:p>
    <w:bookmarkStart w:id="2454" w:name="overview-221"/>
    <w:p>
      <w:pPr>
        <w:pStyle w:val="Heading2"/>
      </w:pPr>
      <w:r>
        <w:t xml:space="preserve">Overview</w:t>
      </w:r>
    </w:p>
    <w:p>
      <w:pPr>
        <w:pStyle w:val="FirstParagraph"/>
      </w:pPr>
      <w:r>
        <w:t xml:space="preserve">Returns the second component of a date value (0-59).</w:t>
      </w:r>
    </w:p>
    <w:bookmarkEnd w:id="2454"/>
    <w:bookmarkStart w:id="2455" w:name="syntax-235"/>
    <w:p>
      <w:pPr>
        <w:pStyle w:val="Heading2"/>
      </w:pPr>
      <w:r>
        <w:t xml:space="preserve">Syntax</w:t>
      </w:r>
    </w:p>
    <w:p>
      <w:pPr>
        <w:pStyle w:val="SourceCode"/>
      </w:pPr>
      <w:r>
        <w:rPr>
          <w:rStyle w:val="NormalTok"/>
        </w:rPr>
        <w:t xml:space="preserve">result = g3date.Second(date)</w:t>
      </w:r>
    </w:p>
    <w:bookmarkEnd w:id="2455"/>
    <w:bookmarkStart w:id="2456" w:name="parameters-144"/>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456"/>
    <w:bookmarkStart w:id="2457" w:name="return-value-160"/>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from 0 to 59 representing the second of the minute.</w:t>
      </w:r>
    </w:p>
    <w:bookmarkEnd w:id="2457"/>
    <w:bookmarkStart w:id="2458" w:name="example-16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s</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s = dt.</w:t>
      </w:r>
      <w:r>
        <w:rPr>
          <w:rStyle w:val="FunctionTok"/>
        </w:rPr>
        <w:t xml:space="preserve">Second</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second: "</w:t>
      </w:r>
      <w:r>
        <w:rPr>
          <w:rStyle w:val="NormalTok"/>
        </w:rPr>
        <w:t xml:space="preserve"> </w:t>
      </w:r>
      <w:r>
        <w:rPr>
          <w:rStyle w:val="KeywordTok"/>
        </w:rPr>
        <w:t xml:space="preserve">&amp;</w:t>
      </w:r>
      <w:r>
        <w:rPr>
          <w:rStyle w:val="NormalTok"/>
        </w:rPr>
        <w:t xml:space="preserve"> 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58"/>
    <w:bookmarkEnd w:id="2459"/>
    <w:bookmarkStart w:id="2466" w:name="get-time-elapsed-since-a-date"/>
    <w:p>
      <w:pPr>
        <w:pStyle w:val="Heading1"/>
      </w:pPr>
      <w:r>
        <w:t xml:space="preserve">Get Time Elapsed Since a Date</w:t>
      </w:r>
    </w:p>
    <w:bookmarkStart w:id="2460" w:name="overview-222"/>
    <w:p>
      <w:pPr>
        <w:pStyle w:val="Heading2"/>
      </w:pPr>
      <w:r>
        <w:t xml:space="preserve">Overview</w:t>
      </w:r>
    </w:p>
    <w:p>
      <w:pPr>
        <w:pStyle w:val="FirstParagraph"/>
      </w:pPr>
      <w:r>
        <w:t xml:space="preserve">Returns the elapsed time in nanoseconds since the specified date.</w:t>
      </w:r>
    </w:p>
    <w:bookmarkEnd w:id="2460"/>
    <w:bookmarkStart w:id="2461" w:name="syntax-236"/>
    <w:p>
      <w:pPr>
        <w:pStyle w:val="Heading2"/>
      </w:pPr>
      <w:r>
        <w:t xml:space="preserve">Syntax</w:t>
      </w:r>
    </w:p>
    <w:p>
      <w:pPr>
        <w:pStyle w:val="SourceCode"/>
      </w:pPr>
      <w:r>
        <w:rPr>
          <w:rStyle w:val="NormalTok"/>
        </w:rPr>
        <w:t xml:space="preserve">result = g3date.Since(date)</w:t>
      </w:r>
    </w:p>
    <w:bookmarkEnd w:id="2461"/>
    <w:bookmarkStart w:id="2462" w:name="parameters-145"/>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past date.</w:t>
            </w:r>
          </w:p>
        </w:tc>
      </w:tr>
    </w:tbl>
    <w:bookmarkEnd w:id="2462"/>
    <w:bookmarkStart w:id="2463" w:name="return-value-161"/>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nanoseconds elapsed since the given date.</w:t>
      </w:r>
    </w:p>
    <w:bookmarkEnd w:id="2463"/>
    <w:bookmarkStart w:id="2464" w:name="remarks-218"/>
    <w:p>
      <w:pPr>
        <w:pStyle w:val="Heading2"/>
      </w:pPr>
      <w:r>
        <w:t xml:space="preserve">Remarks</w:t>
      </w:r>
    </w:p>
    <w:p>
      <w:pPr>
        <w:pStyle w:val="Compact"/>
        <w:numPr>
          <w:ilvl w:val="0"/>
          <w:numId w:val="1601"/>
        </w:numPr>
      </w:pPr>
      <w:r>
        <w:t xml:space="preserve">The result is equivalent to</w:t>
      </w:r>
      <w:r>
        <w:t xml:space="preserve"> </w:t>
      </w:r>
      <w:r>
        <w:rPr>
          <w:rStyle w:val="VerbatimChar"/>
        </w:rPr>
        <w:t xml:space="preserve">DateDiff(Now(), date)</w:t>
      </w:r>
      <w:r>
        <w:t xml:space="preserve">.</w:t>
      </w:r>
    </w:p>
    <w:p>
      <w:pPr>
        <w:pStyle w:val="Compact"/>
        <w:numPr>
          <w:ilvl w:val="0"/>
          <w:numId w:val="1601"/>
        </w:numPr>
      </w:pPr>
      <w:r>
        <w:t xml:space="preserve">A negative result means the date is in the future.</w:t>
      </w:r>
    </w:p>
    <w:bookmarkEnd w:id="2464"/>
    <w:bookmarkStart w:id="2465" w:name="example-16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past</w:t>
      </w:r>
      <w:r>
        <w:rPr>
          <w:rStyle w:val="OtherTok"/>
        </w:rPr>
        <w:t xml:space="preserve">,</w:t>
      </w:r>
      <w:r>
        <w:rPr>
          <w:rStyle w:val="NormalTok"/>
        </w:rPr>
        <w:t xml:space="preserve"> elapsed</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past = dt.AddDate</w:t>
      </w:r>
      <w:r>
        <w:rPr>
          <w:rStyle w:val="OtherTok"/>
        </w:rPr>
        <w:t xml:space="preserve">(</w:t>
      </w:r>
      <w:r>
        <w:rPr>
          <w:rStyle w:val="NormalTok"/>
        </w:rPr>
        <w:t xml:space="preserve">dt.</w:t>
      </w:r>
      <w:r>
        <w:rPr>
          <w:rStyle w:val="FunctionTok"/>
        </w:rPr>
        <w:t xml:space="preserve">Now</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CommentTok"/>
        </w:rPr>
        <w:t xml:space="preserve">' 1 day ago</w:t>
      </w:r>
      <w:r>
        <w:br/>
      </w:r>
      <w:r>
        <w:rPr>
          <w:rStyle w:val="NormalTok"/>
        </w:rPr>
        <w:t xml:space="preserve">elapsed = dt.Since</w:t>
      </w:r>
      <w:r>
        <w:rPr>
          <w:rStyle w:val="OtherTok"/>
        </w:rPr>
        <w:t xml:space="preserve">(</w:t>
      </w:r>
      <w:r>
        <w:rPr>
          <w:rStyle w:val="NormalTok"/>
        </w:rPr>
        <w:t xml:space="preserve">past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"Nanoseconds since yesterday: "</w:t>
      </w:r>
      <w:r>
        <w:rPr>
          <w:rStyle w:val="NormalTok"/>
        </w:rPr>
        <w:t xml:space="preserve"> </w:t>
      </w:r>
      <w:r>
        <w:rPr>
          <w:rStyle w:val="KeywordTok"/>
        </w:rPr>
        <w:t xml:space="preserve">&amp;</w:t>
      </w:r>
      <w:r>
        <w:rPr>
          <w:rStyle w:val="NormalTok"/>
        </w:rPr>
        <w:t xml:space="preserve"> elapsed</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65"/>
    <w:bookmarkEnd w:id="2466"/>
    <w:bookmarkStart w:id="2472" w:name="get-unix-timestamp-from-a-date"/>
    <w:p>
      <w:pPr>
        <w:pStyle w:val="Heading1"/>
      </w:pPr>
      <w:r>
        <w:t xml:space="preserve">Get UNIX Timestamp from a Date</w:t>
      </w:r>
    </w:p>
    <w:bookmarkStart w:id="2467" w:name="overview-223"/>
    <w:p>
      <w:pPr>
        <w:pStyle w:val="Heading2"/>
      </w:pPr>
      <w:r>
        <w:t xml:space="preserve">Overview</w:t>
      </w:r>
    </w:p>
    <w:p>
      <w:pPr>
        <w:pStyle w:val="FirstParagraph"/>
      </w:pPr>
      <w:r>
        <w:t xml:space="preserve">Returns the UNIX timestamp (seconds since 1970-01-01 UTC) from a date value.</w:t>
      </w:r>
    </w:p>
    <w:bookmarkEnd w:id="2467"/>
    <w:bookmarkStart w:id="2468" w:name="syntax-237"/>
    <w:p>
      <w:pPr>
        <w:pStyle w:val="Heading2"/>
      </w:pPr>
      <w:r>
        <w:t xml:space="preserve">Syntax</w:t>
      </w:r>
    </w:p>
    <w:p>
      <w:pPr>
        <w:pStyle w:val="SourceCode"/>
      </w:pPr>
      <w:r>
        <w:rPr>
          <w:rStyle w:val="NormalTok"/>
        </w:rPr>
        <w:t xml:space="preserve">result = g3date.TimeUnix(date)</w:t>
      </w:r>
    </w:p>
    <w:bookmarkEnd w:id="2468"/>
    <w:bookmarkStart w:id="2469" w:name="parameters-14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469"/>
    <w:bookmarkStart w:id="2470" w:name="return-value-162"/>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seconds since January 1, 1970 UTC.</w:t>
      </w:r>
    </w:p>
    <w:bookmarkEnd w:id="2470"/>
    <w:bookmarkStart w:id="2471" w:name="example-16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ts</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ts = dt.TimeUnix</w:t>
      </w:r>
      <w:r>
        <w:rPr>
          <w:rStyle w:val="OtherTok"/>
        </w:rPr>
        <w:t xml:space="preserve">(</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"UNIX timestamp: "</w:t>
      </w:r>
      <w:r>
        <w:rPr>
          <w:rStyle w:val="NormalTok"/>
        </w:rPr>
        <w:t xml:space="preserve"> </w:t>
      </w:r>
      <w:r>
        <w:rPr>
          <w:rStyle w:val="KeywordTok"/>
        </w:rPr>
        <w:t xml:space="preserve">&amp;</w:t>
      </w:r>
      <w:r>
        <w:rPr>
          <w:rStyle w:val="NormalTok"/>
        </w:rPr>
        <w:t xml:space="preserve"> ts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71"/>
    <w:bookmarkEnd w:id="2472"/>
    <w:bookmarkStart w:id="2479" w:name="get-timezone-abbreviation"/>
    <w:p>
      <w:pPr>
        <w:pStyle w:val="Heading1"/>
      </w:pPr>
      <w:r>
        <w:t xml:space="preserve">Get Timezone Abbreviation</w:t>
      </w:r>
    </w:p>
    <w:bookmarkStart w:id="2473" w:name="overview-224"/>
    <w:p>
      <w:pPr>
        <w:pStyle w:val="Heading2"/>
      </w:pPr>
      <w:r>
        <w:t xml:space="preserve">Overview</w:t>
      </w:r>
    </w:p>
    <w:p>
      <w:pPr>
        <w:pStyle w:val="FirstParagraph"/>
      </w:pPr>
      <w:r>
        <w:t xml:space="preserve">Returns the timezone abbreviation for a given date (e.g.,</w:t>
      </w:r>
      <w:r>
        <w:t xml:space="preserve"> </w:t>
      </w:r>
      <w:r>
        <w:t xml:space="preserve">“EST”</w:t>
      </w:r>
      <w:r>
        <w:t xml:space="preserve">,</w:t>
      </w:r>
      <w:r>
        <w:t xml:space="preserve"> </w:t>
      </w:r>
      <w:r>
        <w:t xml:space="preserve">“EDT”</w:t>
      </w:r>
      <w:r>
        <w:t xml:space="preserve">,</w:t>
      </w:r>
      <w:r>
        <w:t xml:space="preserve"> </w:t>
      </w:r>
      <w:r>
        <w:t xml:space="preserve">“UTC”</w:t>
      </w:r>
      <w:r>
        <w:t xml:space="preserve">).</w:t>
      </w:r>
    </w:p>
    <w:bookmarkEnd w:id="2473"/>
    <w:bookmarkStart w:id="2474" w:name="syntax-238"/>
    <w:p>
      <w:pPr>
        <w:pStyle w:val="Heading2"/>
      </w:pPr>
      <w:r>
        <w:t xml:space="preserve">Syntax</w:t>
      </w:r>
    </w:p>
    <w:p>
      <w:pPr>
        <w:pStyle w:val="SourceCode"/>
      </w:pPr>
      <w:r>
        <w:rPr>
          <w:rStyle w:val="NormalTok"/>
        </w:rPr>
        <w:t xml:space="preserve">result = g3date.TimezoneAbbreviation(date)</w:t>
      </w:r>
    </w:p>
    <w:bookmarkEnd w:id="2474"/>
    <w:bookmarkStart w:id="2475" w:name="parameters-14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475"/>
    <w:bookmarkStart w:id="2476" w:name="return-value-163"/>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timezone abbreviation (short name).</w:t>
      </w:r>
    </w:p>
    <w:bookmarkEnd w:id="2476"/>
    <w:bookmarkStart w:id="2477" w:name="remarks-219"/>
    <w:p>
      <w:pPr>
        <w:pStyle w:val="Heading2"/>
      </w:pPr>
      <w:r>
        <w:t xml:space="preserve">Remarks</w:t>
      </w:r>
    </w:p>
    <w:p>
      <w:pPr>
        <w:pStyle w:val="Compact"/>
        <w:numPr>
          <w:ilvl w:val="0"/>
          <w:numId w:val="1602"/>
        </w:numPr>
      </w:pPr>
      <w:r>
        <w:t xml:space="preserve">The abbreviation depends on DST status for the given date.</w:t>
      </w:r>
    </w:p>
    <w:p>
      <w:pPr>
        <w:pStyle w:val="Compact"/>
        <w:numPr>
          <w:ilvl w:val="0"/>
          <w:numId w:val="1602"/>
        </w:numPr>
      </w:pPr>
      <w:r>
        <w:t xml:space="preserve">For America/New_York in January, returns</w:t>
      </w:r>
      <w:r>
        <w:t xml:space="preserve"> </w:t>
      </w:r>
      <w:r>
        <w:t xml:space="preserve">“EST”</w:t>
      </w:r>
      <w:r>
        <w:t xml:space="preserve">; in July, returns</w:t>
      </w:r>
      <w:r>
        <w:t xml:space="preserve"> </w:t>
      </w:r>
      <w:r>
        <w:t xml:space="preserve">“EDT”</w:t>
      </w:r>
      <w:r>
        <w:t xml:space="preserve">.</w:t>
      </w:r>
    </w:p>
    <w:bookmarkEnd w:id="2477"/>
    <w:bookmarkStart w:id="2478" w:name="example-16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abbr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abbr = dt.TimezoneAbbreviation</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"Timezone abbreviation: "</w:t>
      </w:r>
      <w:r>
        <w:rPr>
          <w:rStyle w:val="NormalTok"/>
        </w:rPr>
        <w:t xml:space="preserve"> </w:t>
      </w:r>
      <w:r>
        <w:rPr>
          <w:rStyle w:val="KeywordTok"/>
        </w:rPr>
        <w:t xml:space="preserve">&amp;</w:t>
      </w:r>
      <w:r>
        <w:rPr>
          <w:rStyle w:val="NormalTok"/>
        </w:rPr>
        <w:t xml:space="preserve"> abbr</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78"/>
    <w:bookmarkEnd w:id="2479"/>
    <w:bookmarkStart w:id="2485" w:name="get-default-string-representation"/>
    <w:p>
      <w:pPr>
        <w:pStyle w:val="Heading1"/>
      </w:pPr>
      <w:r>
        <w:t xml:space="preserve">Get Default String Representation</w:t>
      </w:r>
    </w:p>
    <w:bookmarkStart w:id="2480" w:name="overview-225"/>
    <w:p>
      <w:pPr>
        <w:pStyle w:val="Heading2"/>
      </w:pPr>
      <w:r>
        <w:t xml:space="preserve">Overview</w:t>
      </w:r>
    </w:p>
    <w:p>
      <w:pPr>
        <w:pStyle w:val="FirstParagraph"/>
      </w:pPr>
      <w:r>
        <w:t xml:space="preserve">Returns the default string representation of a date value using Go’s String() format.</w:t>
      </w:r>
    </w:p>
    <w:bookmarkEnd w:id="2480"/>
    <w:bookmarkStart w:id="2481" w:name="syntax-239"/>
    <w:p>
      <w:pPr>
        <w:pStyle w:val="Heading2"/>
      </w:pPr>
      <w:r>
        <w:t xml:space="preserve">Syntax</w:t>
      </w:r>
    </w:p>
    <w:p>
      <w:pPr>
        <w:pStyle w:val="SourceCode"/>
      </w:pPr>
      <w:r>
        <w:rPr>
          <w:rStyle w:val="NormalTok"/>
        </w:rPr>
        <w:t xml:space="preserve">result = g3date.ToString(date)</w:t>
      </w:r>
    </w:p>
    <w:bookmarkEnd w:id="2481"/>
    <w:bookmarkStart w:id="2482" w:name="parameters-14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482"/>
    <w:bookmarkStart w:id="2483" w:name="return-value-164"/>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in Go’s default time format (e.g.,</w:t>
      </w:r>
      <w:r>
        <w:t xml:space="preserve"> </w:t>
      </w:r>
      <w:r>
        <w:t xml:space="preserve">“2026-06-26 17:36:29 +0000 UTC”</w:t>
      </w:r>
      <w:r>
        <w:t xml:space="preserve">).</w:t>
      </w:r>
    </w:p>
    <w:bookmarkEnd w:id="2483"/>
    <w:bookmarkStart w:id="2484" w:name="example-16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dt.ToString</w:t>
      </w:r>
      <w:r>
        <w:rPr>
          <w:rStyle w:val="OtherTok"/>
        </w:rPr>
        <w:t xml:space="preserve">(</w:t>
      </w:r>
      <w:r>
        <w:rPr>
          <w:rStyle w:val="FunctionTok"/>
        </w:rPr>
        <w:t xml:space="preserve">now</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84"/>
    <w:bookmarkEnd w:id="2485"/>
    <w:bookmarkStart w:id="2492" w:name="truncate-time-to-a-given-duration"/>
    <w:p>
      <w:pPr>
        <w:pStyle w:val="Heading1"/>
      </w:pPr>
      <w:r>
        <w:t xml:space="preserve">Truncate Time to a Given Duration</w:t>
      </w:r>
    </w:p>
    <w:bookmarkStart w:id="2486" w:name="overview-226"/>
    <w:p>
      <w:pPr>
        <w:pStyle w:val="Heading2"/>
      </w:pPr>
      <w:r>
        <w:t xml:space="preserve">Overview</w:t>
      </w:r>
    </w:p>
    <w:p>
      <w:pPr>
        <w:pStyle w:val="FirstParagraph"/>
      </w:pPr>
      <w:r>
        <w:t xml:space="preserve">Rounds a date down to a multiple of the specified duration.</w:t>
      </w:r>
    </w:p>
    <w:bookmarkEnd w:id="2486"/>
    <w:bookmarkStart w:id="2487" w:name="syntax-240"/>
    <w:p>
      <w:pPr>
        <w:pStyle w:val="Heading2"/>
      </w:pPr>
      <w:r>
        <w:t xml:space="preserve">Syntax</w:t>
      </w:r>
    </w:p>
    <w:p>
      <w:pPr>
        <w:pStyle w:val="SourceCode"/>
      </w:pPr>
      <w:r>
        <w:rPr>
          <w:rStyle w:val="NormalTok"/>
        </w:rPr>
        <w:t xml:space="preserve">result = g3date.Truncate(date, nanoseconds)</w:t>
      </w:r>
    </w:p>
    <w:bookmarkEnd w:id="2487"/>
    <w:bookmarkStart w:id="2488" w:name="parameters-14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to truncate.</w:t>
            </w:r>
          </w:p>
        </w:tc>
      </w:tr>
      <w:tr>
        <w:tc>
          <w:tcPr/>
          <w:p>
            <w:pPr>
              <w:pStyle w:val="Compact"/>
            </w:pPr>
            <w:r>
              <w:rPr>
                <w:b/>
                <w:bCs/>
              </w:rPr>
              <w:t xml:space="preserve">nanoseconds</w:t>
            </w:r>
          </w:p>
        </w:tc>
        <w:tc>
          <w:tcPr/>
          <w:p>
            <w:pPr>
              <w:pStyle w:val="Compact"/>
            </w:pPr>
            <w:r>
              <w:t xml:space="preserve">Integer</w:t>
            </w:r>
          </w:p>
        </w:tc>
        <w:tc>
          <w:tcPr/>
          <w:p>
            <w:pPr>
              <w:pStyle w:val="Compact"/>
            </w:pPr>
            <w:r>
              <w:t xml:space="preserve">Yes</w:t>
            </w:r>
          </w:p>
        </w:tc>
        <w:tc>
          <w:tcPr/>
          <w:p>
            <w:pPr>
              <w:pStyle w:val="Compact"/>
            </w:pPr>
            <w:r>
              <w:t xml:space="preserve">Duration unit for rounding (e.g., 3600000000000 for 1 hour).</w:t>
            </w:r>
          </w:p>
        </w:tc>
      </w:tr>
    </w:tbl>
    <w:bookmarkEnd w:id="2488"/>
    <w:bookmarkStart w:id="2489" w:name="return-value-165"/>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truncated to the given duration boundary.</w:t>
      </w:r>
    </w:p>
    <w:bookmarkEnd w:id="2489"/>
    <w:bookmarkStart w:id="2490" w:name="remarks-220"/>
    <w:p>
      <w:pPr>
        <w:pStyle w:val="Heading2"/>
      </w:pPr>
      <w:r>
        <w:t xml:space="preserve">Remarks</w:t>
      </w:r>
    </w:p>
    <w:p>
      <w:pPr>
        <w:pStyle w:val="Compact"/>
        <w:numPr>
          <w:ilvl w:val="0"/>
          <w:numId w:val="1603"/>
        </w:numPr>
      </w:pPr>
      <w:r>
        <w:t xml:space="preserve">Truncation always rounds down (toward the past).</w:t>
      </w:r>
    </w:p>
    <w:p>
      <w:pPr>
        <w:pStyle w:val="Compact"/>
        <w:numPr>
          <w:ilvl w:val="0"/>
          <w:numId w:val="1603"/>
        </w:numPr>
      </w:pPr>
      <w:r>
        <w:t xml:space="preserve">For example, truncating to 1 hour sets minutes, seconds, and nanoseconds to zero.</w:t>
      </w:r>
    </w:p>
    <w:bookmarkEnd w:id="2490"/>
    <w:bookmarkStart w:id="2491" w:name="example-16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truncated</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truncated = dt.Truncate</w:t>
      </w:r>
      <w:r>
        <w:rPr>
          <w:rStyle w:val="OtherTok"/>
        </w:rPr>
        <w:t xml:space="preserve">(</w:t>
      </w:r>
      <w:r>
        <w:rPr>
          <w:rStyle w:val="FunctionTok"/>
        </w:rPr>
        <w:t xml:space="preserve">now</w:t>
      </w:r>
      <w:r>
        <w:rPr>
          <w:rStyle w:val="OtherTok"/>
        </w:rPr>
        <w:t xml:space="preserve">,</w:t>
      </w:r>
      <w:r>
        <w:rPr>
          <w:rStyle w:val="NormalTok"/>
        </w:rPr>
        <w:t xml:space="preserve"> </w:t>
      </w:r>
      <w:r>
        <w:rPr>
          <w:rStyle w:val="DecValTok"/>
        </w:rPr>
        <w:t xml:space="preserve">3600000000000</w:t>
      </w:r>
      <w:r>
        <w:rPr>
          <w:rStyle w:val="OtherTok"/>
        </w:rPr>
        <w:t xml:space="preserve">)</w:t>
      </w:r>
      <w:r>
        <w:rPr>
          <w:rStyle w:val="NormalTok"/>
        </w:rPr>
        <w:t xml:space="preserve"> </w:t>
      </w:r>
      <w:r>
        <w:rPr>
          <w:rStyle w:val="CommentTok"/>
        </w:rPr>
        <w:t xml:space="preserve">' truncate to hour</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"Truncated to hour: "</w:t>
      </w:r>
      <w:r>
        <w:rPr>
          <w:rStyle w:val="NormalTok"/>
        </w:rPr>
        <w:t xml:space="preserve"> </w:t>
      </w:r>
      <w:r>
        <w:rPr>
          <w:rStyle w:val="KeywordTok"/>
        </w:rPr>
        <w:t xml:space="preserve">&amp;</w:t>
      </w:r>
      <w:r>
        <w:rPr>
          <w:rStyle w:val="NormalTok"/>
        </w:rPr>
        <w:t xml:space="preserve"> truncated</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91"/>
    <w:bookmarkEnd w:id="2492"/>
    <w:bookmarkStart w:id="2498" w:name="create-date-from-unix-timestamp"/>
    <w:p>
      <w:pPr>
        <w:pStyle w:val="Heading1"/>
      </w:pPr>
      <w:r>
        <w:t xml:space="preserve">Create Date from UNIX Timestamp</w:t>
      </w:r>
    </w:p>
    <w:bookmarkStart w:id="2493" w:name="overview-227"/>
    <w:p>
      <w:pPr>
        <w:pStyle w:val="Heading2"/>
      </w:pPr>
      <w:r>
        <w:t xml:space="preserve">Overview</w:t>
      </w:r>
    </w:p>
    <w:p>
      <w:pPr>
        <w:pStyle w:val="FirstParagraph"/>
      </w:pPr>
      <w:r>
        <w:t xml:space="preserve">Creates a date value from a UNIX timestamp (seconds and nanoseconds since 1970-01-01 UTC).</w:t>
      </w:r>
    </w:p>
    <w:bookmarkEnd w:id="2493"/>
    <w:bookmarkStart w:id="2494" w:name="syntax-241"/>
    <w:p>
      <w:pPr>
        <w:pStyle w:val="Heading2"/>
      </w:pPr>
      <w:r>
        <w:t xml:space="preserve">Syntax</w:t>
      </w:r>
    </w:p>
    <w:p>
      <w:pPr>
        <w:pStyle w:val="SourceCode"/>
      </w:pPr>
      <w:r>
        <w:rPr>
          <w:rStyle w:val="NormalTok"/>
        </w:rPr>
        <w:t xml:space="preserve">result = g3date.Unix(sec, nsec)</w:t>
      </w:r>
    </w:p>
    <w:bookmarkEnd w:id="2494"/>
    <w:bookmarkStart w:id="2495" w:name="parameters-15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sec</w:t>
            </w:r>
          </w:p>
        </w:tc>
        <w:tc>
          <w:tcPr/>
          <w:p>
            <w:pPr>
              <w:pStyle w:val="Compact"/>
            </w:pPr>
            <w:r>
              <w:t xml:space="preserve">Integer</w:t>
            </w:r>
          </w:p>
        </w:tc>
        <w:tc>
          <w:tcPr/>
          <w:p>
            <w:pPr>
              <w:pStyle w:val="Compact"/>
            </w:pPr>
            <w:r>
              <w:t xml:space="preserve">Yes</w:t>
            </w:r>
          </w:p>
        </w:tc>
        <w:tc>
          <w:tcPr/>
          <w:p>
            <w:pPr>
              <w:pStyle w:val="Compact"/>
            </w:pPr>
            <w:r>
              <w:t xml:space="preserve">Seconds since January 1, 1970 UTC.</w:t>
            </w:r>
          </w:p>
        </w:tc>
      </w:tr>
      <w:tr>
        <w:tc>
          <w:tcPr/>
          <w:p>
            <w:pPr>
              <w:pStyle w:val="Compact"/>
            </w:pPr>
            <w:r>
              <w:rPr>
                <w:b/>
                <w:bCs/>
              </w:rPr>
              <w:t xml:space="preserve">nsec</w:t>
            </w:r>
          </w:p>
        </w:tc>
        <w:tc>
          <w:tcPr/>
          <w:p>
            <w:pPr>
              <w:pStyle w:val="Compact"/>
            </w:pPr>
            <w:r>
              <w:t xml:space="preserve">Integer</w:t>
            </w:r>
          </w:p>
        </w:tc>
        <w:tc>
          <w:tcPr/>
          <w:p>
            <w:pPr>
              <w:pStyle w:val="Compact"/>
            </w:pPr>
            <w:r>
              <w:t xml:space="preserve">Yes</w:t>
            </w:r>
          </w:p>
        </w:tc>
        <w:tc>
          <w:tcPr/>
          <w:p>
            <w:pPr>
              <w:pStyle w:val="Compact"/>
            </w:pPr>
            <w:r>
              <w:t xml:space="preserve">Nanoseconds within the second (0-999999999).</w:t>
            </w:r>
          </w:p>
        </w:tc>
      </w:tr>
    </w:tbl>
    <w:bookmarkEnd w:id="2495"/>
    <w:bookmarkStart w:id="2496" w:name="return-value-166"/>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specified UNIX timestamp.</w:t>
      </w:r>
    </w:p>
    <w:bookmarkEnd w:id="2496"/>
    <w:bookmarkStart w:id="2497" w:name="example-16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ts</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ts = dt.Unix</w:t>
      </w:r>
      <w:r>
        <w:rPr>
          <w:rStyle w:val="OtherTok"/>
        </w:rPr>
        <w:t xml:space="preserve">(</w:t>
      </w:r>
      <w:r>
        <w:rPr>
          <w:rStyle w:val="DecValTok"/>
        </w:rPr>
        <w:t xml:space="preserve">1763257845</w:t>
      </w:r>
      <w:r>
        <w:rPr>
          <w:rStyle w:val="OtherTok"/>
        </w:rPr>
        <w:t xml:space="preserve">,</w:t>
      </w:r>
      <w:r>
        <w:rPr>
          <w:rStyle w:val="NormalTok"/>
        </w:rPr>
        <w:t xml:space="preserve"> </w:t>
      </w:r>
      <w:r>
        <w:rPr>
          <w:rStyle w:val="DecValTok"/>
        </w:rPr>
        <w:t xml:space="preserve">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"Date from timestamp: "</w:t>
      </w:r>
      <w:r>
        <w:rPr>
          <w:rStyle w:val="NormalTok"/>
        </w:rPr>
        <w:t xml:space="preserve"> </w:t>
      </w:r>
      <w:r>
        <w:rPr>
          <w:rStyle w:val="KeywordTok"/>
        </w:rPr>
        <w:t xml:space="preserve">&amp;</w:t>
      </w:r>
      <w:r>
        <w:rPr>
          <w:rStyle w:val="NormalTok"/>
        </w:rPr>
        <w:t xml:space="preserve"> ts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497"/>
    <w:bookmarkEnd w:id="2498"/>
    <w:bookmarkStart w:id="2504" w:name="get-or-create-unix-microsecond-timestamp"/>
    <w:p>
      <w:pPr>
        <w:pStyle w:val="Heading1"/>
      </w:pPr>
      <w:r>
        <w:t xml:space="preserve">Get or Create UNIX Microsecond Timestamp</w:t>
      </w:r>
    </w:p>
    <w:bookmarkStart w:id="2499" w:name="overview-228"/>
    <w:p>
      <w:pPr>
        <w:pStyle w:val="Heading2"/>
      </w:pPr>
      <w:r>
        <w:t xml:space="preserve">Overview</w:t>
      </w:r>
    </w:p>
    <w:p>
      <w:pPr>
        <w:pStyle w:val="FirstParagraph"/>
      </w:pPr>
      <w:r>
        <w:t xml:space="preserve">When called with a date argument, returns the UNIX microsecond timestamp. When called with a single integer, creates a date from microseconds.</w:t>
      </w:r>
    </w:p>
    <w:bookmarkEnd w:id="2499"/>
    <w:bookmarkStart w:id="2500" w:name="syntax-242"/>
    <w:p>
      <w:pPr>
        <w:pStyle w:val="Heading2"/>
      </w:pPr>
      <w:r>
        <w:t xml:space="preserve">Syntax</w:t>
      </w:r>
    </w:p>
    <w:p>
      <w:pPr>
        <w:pStyle w:val="SourceCode"/>
      </w:pPr>
      <w:r>
        <w:rPr>
          <w:rStyle w:val="NormalTok"/>
        </w:rPr>
        <w:t xml:space="preserve">result = g3date.UnixMicro(value)</w:t>
      </w:r>
    </w:p>
    <w:bookmarkEnd w:id="2500"/>
    <w:bookmarkStart w:id="2501" w:name="parameters-15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value</w:t>
            </w:r>
          </w:p>
        </w:tc>
        <w:tc>
          <w:tcPr/>
          <w:p>
            <w:pPr>
              <w:pStyle w:val="Compact"/>
            </w:pPr>
            <w:r>
              <w:t xml:space="preserve">Date or Integer</w:t>
            </w:r>
          </w:p>
        </w:tc>
        <w:tc>
          <w:tcPr/>
          <w:p>
            <w:pPr>
              <w:pStyle w:val="Compact"/>
            </w:pPr>
            <w:r>
              <w:t xml:space="preserve">Yes</w:t>
            </w:r>
          </w:p>
        </w:tc>
        <w:tc>
          <w:tcPr/>
          <w:p>
            <w:pPr>
              <w:pStyle w:val="Compact"/>
            </w:pPr>
            <w:r>
              <w:t xml:space="preserve">A date value (returns microseconds) or an integer timestamp in microseconds (creates date).</w:t>
            </w:r>
          </w:p>
        </w:tc>
      </w:tr>
    </w:tbl>
    <w:bookmarkEnd w:id="2501"/>
    <w:bookmarkStart w:id="2502" w:name="return-value-167"/>
    <w:p>
      <w:pPr>
        <w:pStyle w:val="Heading2"/>
      </w:pPr>
      <w:r>
        <w:t xml:space="preserve">Return Value</w:t>
      </w:r>
    </w:p>
    <w:p>
      <w:pPr>
        <w:pStyle w:val="Compact"/>
        <w:numPr>
          <w:ilvl w:val="0"/>
          <w:numId w:val="1604"/>
        </w:numPr>
      </w:pPr>
      <w:r>
        <w:t xml:space="preserve">If the argument is a</w:t>
      </w:r>
      <w:r>
        <w:t xml:space="preserve"> </w:t>
      </w:r>
      <w:r>
        <w:rPr>
          <w:b/>
          <w:bCs/>
        </w:rPr>
        <w:t xml:space="preserve">Date</w:t>
      </w:r>
      <w:r>
        <w:t xml:space="preserve">: returns an</w:t>
      </w:r>
      <w:r>
        <w:t xml:space="preserve"> </w:t>
      </w:r>
      <w:r>
        <w:rPr>
          <w:b/>
          <w:bCs/>
        </w:rPr>
        <w:t xml:space="preserve">Integer</w:t>
      </w:r>
      <w:r>
        <w:t xml:space="preserve"> </w:t>
      </w:r>
      <w:r>
        <w:t xml:space="preserve">representing microseconds since 1970-01-01 UTC.</w:t>
      </w:r>
    </w:p>
    <w:p>
      <w:pPr>
        <w:pStyle w:val="Compact"/>
        <w:numPr>
          <w:ilvl w:val="0"/>
          <w:numId w:val="1604"/>
        </w:numPr>
      </w:pPr>
      <w:r>
        <w:t xml:space="preserve">If the argument is an</w:t>
      </w:r>
      <w:r>
        <w:t xml:space="preserve"> </w:t>
      </w:r>
      <w:r>
        <w:rPr>
          <w:b/>
          <w:bCs/>
        </w:rPr>
        <w:t xml:space="preserve">Integer</w:t>
      </w:r>
      <w:r>
        <w:t xml:space="preserve">: returns a</w:t>
      </w:r>
      <w:r>
        <w:t xml:space="preserve"> </w:t>
      </w:r>
      <w:r>
        <w:rPr>
          <w:b/>
          <w:bCs/>
        </w:rPr>
        <w:t xml:space="preserve">Date</w:t>
      </w:r>
      <w:r>
        <w:t xml:space="preserve"> </w:t>
      </w:r>
      <w:r>
        <w:t xml:space="preserve">value.</w:t>
      </w:r>
    </w:p>
    <w:bookmarkEnd w:id="2502"/>
    <w:bookmarkStart w:id="2503" w:name="example-17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micros</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micros = dt.UnixMicro</w:t>
      </w:r>
      <w:r>
        <w:rPr>
          <w:rStyle w:val="OtherTok"/>
        </w:rPr>
        <w:t xml:space="preserve">(</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"Microseconds: "</w:t>
      </w:r>
      <w:r>
        <w:rPr>
          <w:rStyle w:val="NormalTok"/>
        </w:rPr>
        <w:t xml:space="preserve"> </w:t>
      </w:r>
      <w:r>
        <w:rPr>
          <w:rStyle w:val="KeywordTok"/>
        </w:rPr>
        <w:t xml:space="preserve">&amp;</w:t>
      </w:r>
      <w:r>
        <w:rPr>
          <w:rStyle w:val="NormalTok"/>
        </w:rPr>
        <w:t xml:space="preserve"> micros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03"/>
    <w:bookmarkEnd w:id="2504"/>
    <w:bookmarkStart w:id="2510" w:name="get-or-create-unix-millisecond-timestamp"/>
    <w:p>
      <w:pPr>
        <w:pStyle w:val="Heading1"/>
      </w:pPr>
      <w:r>
        <w:t xml:space="preserve">Get or Create UNIX Millisecond Timestamp</w:t>
      </w:r>
    </w:p>
    <w:bookmarkStart w:id="2505" w:name="overview-229"/>
    <w:p>
      <w:pPr>
        <w:pStyle w:val="Heading2"/>
      </w:pPr>
      <w:r>
        <w:t xml:space="preserve">Overview</w:t>
      </w:r>
    </w:p>
    <w:p>
      <w:pPr>
        <w:pStyle w:val="FirstParagraph"/>
      </w:pPr>
      <w:r>
        <w:t xml:space="preserve">When called with a date argument, returns the UNIX millisecond timestamp. When called with a single integer, creates a date from milliseconds.</w:t>
      </w:r>
    </w:p>
    <w:bookmarkEnd w:id="2505"/>
    <w:bookmarkStart w:id="2506" w:name="syntax-243"/>
    <w:p>
      <w:pPr>
        <w:pStyle w:val="Heading2"/>
      </w:pPr>
      <w:r>
        <w:t xml:space="preserve">Syntax</w:t>
      </w:r>
    </w:p>
    <w:p>
      <w:pPr>
        <w:pStyle w:val="SourceCode"/>
      </w:pPr>
      <w:r>
        <w:rPr>
          <w:rStyle w:val="NormalTok"/>
        </w:rPr>
        <w:t xml:space="preserve">result = g3date.UnixMilli(value)</w:t>
      </w:r>
    </w:p>
    <w:bookmarkEnd w:id="2506"/>
    <w:bookmarkStart w:id="2507" w:name="parameters-15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value</w:t>
            </w:r>
          </w:p>
        </w:tc>
        <w:tc>
          <w:tcPr/>
          <w:p>
            <w:pPr>
              <w:pStyle w:val="Compact"/>
            </w:pPr>
            <w:r>
              <w:t xml:space="preserve">Date or Integer</w:t>
            </w:r>
          </w:p>
        </w:tc>
        <w:tc>
          <w:tcPr/>
          <w:p>
            <w:pPr>
              <w:pStyle w:val="Compact"/>
            </w:pPr>
            <w:r>
              <w:t xml:space="preserve">Yes</w:t>
            </w:r>
          </w:p>
        </w:tc>
        <w:tc>
          <w:tcPr/>
          <w:p>
            <w:pPr>
              <w:pStyle w:val="Compact"/>
            </w:pPr>
            <w:r>
              <w:t xml:space="preserve">A date value (returns milliseconds) or an integer timestamp in milliseconds (creates date).</w:t>
            </w:r>
          </w:p>
        </w:tc>
      </w:tr>
    </w:tbl>
    <w:bookmarkEnd w:id="2507"/>
    <w:bookmarkStart w:id="2508" w:name="return-value-168"/>
    <w:p>
      <w:pPr>
        <w:pStyle w:val="Heading2"/>
      </w:pPr>
      <w:r>
        <w:t xml:space="preserve">Return Value</w:t>
      </w:r>
    </w:p>
    <w:p>
      <w:pPr>
        <w:pStyle w:val="Compact"/>
        <w:numPr>
          <w:ilvl w:val="0"/>
          <w:numId w:val="1605"/>
        </w:numPr>
      </w:pPr>
      <w:r>
        <w:t xml:space="preserve">If the argument is a</w:t>
      </w:r>
      <w:r>
        <w:t xml:space="preserve"> </w:t>
      </w:r>
      <w:r>
        <w:rPr>
          <w:b/>
          <w:bCs/>
        </w:rPr>
        <w:t xml:space="preserve">Date</w:t>
      </w:r>
      <w:r>
        <w:t xml:space="preserve">: returns an</w:t>
      </w:r>
      <w:r>
        <w:t xml:space="preserve"> </w:t>
      </w:r>
      <w:r>
        <w:rPr>
          <w:b/>
          <w:bCs/>
        </w:rPr>
        <w:t xml:space="preserve">Integer</w:t>
      </w:r>
      <w:r>
        <w:t xml:space="preserve"> </w:t>
      </w:r>
      <w:r>
        <w:t xml:space="preserve">representing milliseconds since 1970-01-01 UTC.</w:t>
      </w:r>
    </w:p>
    <w:p>
      <w:pPr>
        <w:pStyle w:val="Compact"/>
        <w:numPr>
          <w:ilvl w:val="0"/>
          <w:numId w:val="1605"/>
        </w:numPr>
      </w:pPr>
      <w:r>
        <w:t xml:space="preserve">If the argument is an</w:t>
      </w:r>
      <w:r>
        <w:t xml:space="preserve"> </w:t>
      </w:r>
      <w:r>
        <w:rPr>
          <w:b/>
          <w:bCs/>
        </w:rPr>
        <w:t xml:space="preserve">Integer</w:t>
      </w:r>
      <w:r>
        <w:t xml:space="preserve">: returns a</w:t>
      </w:r>
      <w:r>
        <w:t xml:space="preserve"> </w:t>
      </w:r>
      <w:r>
        <w:rPr>
          <w:b/>
          <w:bCs/>
        </w:rPr>
        <w:t xml:space="preserve">Date</w:t>
      </w:r>
      <w:r>
        <w:t xml:space="preserve"> </w:t>
      </w:r>
      <w:r>
        <w:t xml:space="preserve">value.</w:t>
      </w:r>
    </w:p>
    <w:bookmarkEnd w:id="2508"/>
    <w:bookmarkStart w:id="2509" w:name="example-17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millis</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millis = dt.UnixMilli</w:t>
      </w:r>
      <w:r>
        <w:rPr>
          <w:rStyle w:val="OtherTok"/>
        </w:rPr>
        <w:t xml:space="preserve">(</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"Milliseconds: "</w:t>
      </w:r>
      <w:r>
        <w:rPr>
          <w:rStyle w:val="NormalTok"/>
        </w:rPr>
        <w:t xml:space="preserve"> </w:t>
      </w:r>
      <w:r>
        <w:rPr>
          <w:rStyle w:val="KeywordTok"/>
        </w:rPr>
        <w:t xml:space="preserve">&amp;</w:t>
      </w:r>
      <w:r>
        <w:rPr>
          <w:rStyle w:val="NormalTok"/>
        </w:rPr>
        <w:t xml:space="preserve"> millis</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09"/>
    <w:bookmarkEnd w:id="2510"/>
    <w:bookmarkStart w:id="2517" w:name="get-time-until-a-future-date"/>
    <w:p>
      <w:pPr>
        <w:pStyle w:val="Heading1"/>
      </w:pPr>
      <w:r>
        <w:t xml:space="preserve">Get Time Until a Future Date</w:t>
      </w:r>
    </w:p>
    <w:bookmarkStart w:id="2511" w:name="overview-230"/>
    <w:p>
      <w:pPr>
        <w:pStyle w:val="Heading2"/>
      </w:pPr>
      <w:r>
        <w:t xml:space="preserve">Overview</w:t>
      </w:r>
    </w:p>
    <w:p>
      <w:pPr>
        <w:pStyle w:val="FirstParagraph"/>
      </w:pPr>
      <w:r>
        <w:t xml:space="preserve">Returns the time remaining in nanoseconds until the specified future date.</w:t>
      </w:r>
    </w:p>
    <w:bookmarkEnd w:id="2511"/>
    <w:bookmarkStart w:id="2512" w:name="syntax-244"/>
    <w:p>
      <w:pPr>
        <w:pStyle w:val="Heading2"/>
      </w:pPr>
      <w:r>
        <w:t xml:space="preserve">Syntax</w:t>
      </w:r>
    </w:p>
    <w:p>
      <w:pPr>
        <w:pStyle w:val="SourceCode"/>
      </w:pPr>
      <w:r>
        <w:rPr>
          <w:rStyle w:val="NormalTok"/>
        </w:rPr>
        <w:t xml:space="preserve">result = g3date.Until(date)</w:t>
      </w:r>
    </w:p>
    <w:bookmarkEnd w:id="2512"/>
    <w:bookmarkStart w:id="2513" w:name="parameters-15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future date.</w:t>
            </w:r>
          </w:p>
        </w:tc>
      </w:tr>
    </w:tbl>
    <w:bookmarkEnd w:id="2513"/>
    <w:bookmarkStart w:id="2514" w:name="return-value-169"/>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nanoseconds until the given date.</w:t>
      </w:r>
    </w:p>
    <w:bookmarkEnd w:id="2514"/>
    <w:bookmarkStart w:id="2515" w:name="remarks-221"/>
    <w:p>
      <w:pPr>
        <w:pStyle w:val="Heading2"/>
      </w:pPr>
      <w:r>
        <w:t xml:space="preserve">Remarks</w:t>
      </w:r>
    </w:p>
    <w:p>
      <w:pPr>
        <w:pStyle w:val="Compact"/>
        <w:numPr>
          <w:ilvl w:val="0"/>
          <w:numId w:val="1606"/>
        </w:numPr>
      </w:pPr>
      <w:r>
        <w:t xml:space="preserve">The result is equivalent to</w:t>
      </w:r>
      <w:r>
        <w:t xml:space="preserve"> </w:t>
      </w:r>
      <w:r>
        <w:rPr>
          <w:rStyle w:val="VerbatimChar"/>
        </w:rPr>
        <w:t xml:space="preserve">DateDiff(date, Now())</w:t>
      </w:r>
      <w:r>
        <w:t xml:space="preserve">.</w:t>
      </w:r>
    </w:p>
    <w:p>
      <w:pPr>
        <w:pStyle w:val="Compact"/>
        <w:numPr>
          <w:ilvl w:val="0"/>
          <w:numId w:val="1606"/>
        </w:numPr>
      </w:pPr>
      <w:r>
        <w:t xml:space="preserve">A negative result means the date is in the past.</w:t>
      </w:r>
    </w:p>
    <w:bookmarkEnd w:id="2515"/>
    <w:bookmarkStart w:id="2516" w:name="example-17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future</w:t>
      </w:r>
      <w:r>
        <w:rPr>
          <w:rStyle w:val="OtherTok"/>
        </w:rPr>
        <w:t xml:space="preserve">,</w:t>
      </w:r>
      <w:r>
        <w:rPr>
          <w:rStyle w:val="NormalTok"/>
        </w:rPr>
        <w:t xml:space="preserve"> remaining</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future = dt.AddDate</w:t>
      </w:r>
      <w:r>
        <w:rPr>
          <w:rStyle w:val="OtherTok"/>
        </w:rPr>
        <w:t xml:space="preserve">(</w:t>
      </w:r>
      <w:r>
        <w:rPr>
          <w:rStyle w:val="NormalTok"/>
        </w:rPr>
        <w:t xml:space="preserve">dt.</w:t>
      </w:r>
      <w:r>
        <w:rPr>
          <w:rStyle w:val="FunctionTok"/>
        </w:rPr>
        <w:t xml:space="preserve">Now</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7</w:t>
      </w:r>
      <w:r>
        <w:rPr>
          <w:rStyle w:val="OtherTok"/>
        </w:rPr>
        <w:t xml:space="preserve">)</w:t>
      </w:r>
      <w:r>
        <w:rPr>
          <w:rStyle w:val="NormalTok"/>
        </w:rPr>
        <w:t xml:space="preserve"> </w:t>
      </w:r>
      <w:r>
        <w:rPr>
          <w:rStyle w:val="CommentTok"/>
        </w:rPr>
        <w:t xml:space="preserve">' 7 days from now</w:t>
      </w:r>
      <w:r>
        <w:br/>
      </w:r>
      <w:r>
        <w:rPr>
          <w:rStyle w:val="NormalTok"/>
        </w:rPr>
        <w:t xml:space="preserve">remaining = dt.</w:t>
      </w:r>
      <w:r>
        <w:rPr>
          <w:rStyle w:val="ControlFlowTok"/>
        </w:rPr>
        <w:t xml:space="preserve">Until</w:t>
      </w:r>
      <w:r>
        <w:rPr>
          <w:rStyle w:val="OtherTok"/>
        </w:rPr>
        <w:t xml:space="preserve">(</w:t>
      </w:r>
      <w:r>
        <w:rPr>
          <w:rStyle w:val="NormalTok"/>
        </w:rPr>
        <w:t xml:space="preserve">future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"Nanoseconds until next week: "</w:t>
      </w:r>
      <w:r>
        <w:rPr>
          <w:rStyle w:val="NormalTok"/>
        </w:rPr>
        <w:t xml:space="preserve"> </w:t>
      </w:r>
      <w:r>
        <w:rPr>
          <w:rStyle w:val="KeywordTok"/>
        </w:rPr>
        <w:t xml:space="preserve">&amp;</w:t>
      </w:r>
      <w:r>
        <w:rPr>
          <w:rStyle w:val="NormalTok"/>
        </w:rPr>
        <w:t xml:space="preserve"> remaining</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16"/>
    <w:bookmarkEnd w:id="2517"/>
    <w:bookmarkStart w:id="2523" w:name="convert-date-to-utc"/>
    <w:p>
      <w:pPr>
        <w:pStyle w:val="Heading1"/>
      </w:pPr>
      <w:r>
        <w:t xml:space="preserve">Convert Date to UTC</w:t>
      </w:r>
    </w:p>
    <w:bookmarkStart w:id="2518" w:name="overview-231"/>
    <w:p>
      <w:pPr>
        <w:pStyle w:val="Heading2"/>
      </w:pPr>
      <w:r>
        <w:t xml:space="preserve">Overview</w:t>
      </w:r>
    </w:p>
    <w:p>
      <w:pPr>
        <w:pStyle w:val="FirstParagraph"/>
      </w:pPr>
      <w:r>
        <w:t xml:space="preserve">Converts a date value to Coordinated Universal Time (UTC).</w:t>
      </w:r>
    </w:p>
    <w:bookmarkEnd w:id="2518"/>
    <w:bookmarkStart w:id="2519" w:name="syntax-245"/>
    <w:p>
      <w:pPr>
        <w:pStyle w:val="Heading2"/>
      </w:pPr>
      <w:r>
        <w:t xml:space="preserve">Syntax</w:t>
      </w:r>
    </w:p>
    <w:p>
      <w:pPr>
        <w:pStyle w:val="SourceCode"/>
      </w:pPr>
      <w:r>
        <w:rPr>
          <w:rStyle w:val="NormalTok"/>
        </w:rPr>
        <w:t xml:space="preserve">result = g3date.UTC(date)</w:t>
      </w:r>
    </w:p>
    <w:bookmarkEnd w:id="2519"/>
    <w:bookmarkStart w:id="2520" w:name="parameters-154"/>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520"/>
    <w:bookmarkStart w:id="2521" w:name="return-value-170"/>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converted to UTC.</w:t>
      </w:r>
    </w:p>
    <w:bookmarkEnd w:id="2521"/>
    <w:bookmarkStart w:id="2522" w:name="example-17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utc</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FunctionTok"/>
        </w:rPr>
        <w:t xml:space="preserve">now</w:t>
      </w:r>
      <w:r>
        <w:rPr>
          <w:rStyle w:val="NormalTok"/>
        </w:rPr>
        <w:t xml:space="preserve"> = dt.</w:t>
      </w:r>
      <w:r>
        <w:rPr>
          <w:rStyle w:val="FunctionTok"/>
        </w:rPr>
        <w:t xml:space="preserve">Now</w:t>
      </w:r>
      <w:r>
        <w:rPr>
          <w:rStyle w:val="OtherTok"/>
        </w:rPr>
        <w:t xml:space="preserve">()</w:t>
      </w:r>
      <w:r>
        <w:br/>
      </w:r>
      <w:r>
        <w:rPr>
          <w:rStyle w:val="NormalTok"/>
        </w:rPr>
        <w:t xml:space="preserve">utc = dt.UTC</w:t>
      </w:r>
      <w:r>
        <w:rPr>
          <w:rStyle w:val="OtherTok"/>
        </w:rPr>
        <w:t xml:space="preserve">(</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"UTC time: "</w:t>
      </w:r>
      <w:r>
        <w:rPr>
          <w:rStyle w:val="NormalTok"/>
        </w:rPr>
        <w:t xml:space="preserve"> </w:t>
      </w:r>
      <w:r>
        <w:rPr>
          <w:rStyle w:val="KeywordTok"/>
        </w:rPr>
        <w:t xml:space="preserve">&amp;</w:t>
      </w:r>
      <w:r>
        <w:rPr>
          <w:rStyle w:val="NormalTok"/>
        </w:rPr>
        <w:t xml:space="preserve"> utc</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22"/>
    <w:bookmarkEnd w:id="2523"/>
    <w:bookmarkStart w:id="2530" w:name="get-current-utc-date-and-time"/>
    <w:p>
      <w:pPr>
        <w:pStyle w:val="Heading1"/>
      </w:pPr>
      <w:r>
        <w:t xml:space="preserve">Get Current UTC Date and Time</w:t>
      </w:r>
    </w:p>
    <w:bookmarkStart w:id="2524" w:name="overview-232"/>
    <w:p>
      <w:pPr>
        <w:pStyle w:val="Heading2"/>
      </w:pPr>
      <w:r>
        <w:t xml:space="preserve">Overview</w:t>
      </w:r>
    </w:p>
    <w:p>
      <w:pPr>
        <w:pStyle w:val="FirstParagraph"/>
      </w:pPr>
      <w:r>
        <w:t xml:space="preserve">Returns the current date and time in Coordinated Universal Time (UTC).</w:t>
      </w:r>
    </w:p>
    <w:bookmarkEnd w:id="2524"/>
    <w:bookmarkStart w:id="2525" w:name="syntax-246"/>
    <w:p>
      <w:pPr>
        <w:pStyle w:val="Heading2"/>
      </w:pPr>
      <w:r>
        <w:t xml:space="preserve">Syntax</w:t>
      </w:r>
    </w:p>
    <w:p>
      <w:pPr>
        <w:pStyle w:val="SourceCode"/>
      </w:pPr>
      <w:r>
        <w:rPr>
          <w:rStyle w:val="NormalTok"/>
        </w:rPr>
        <w:t xml:space="preserve">result = g3date.UTCNow()</w:t>
      </w:r>
    </w:p>
    <w:bookmarkEnd w:id="2525"/>
    <w:bookmarkStart w:id="2526" w:name="parameters-155"/>
    <w:p>
      <w:pPr>
        <w:pStyle w:val="Heading2"/>
      </w:pPr>
      <w:r>
        <w:t xml:space="preserve">Parameters</w:t>
      </w:r>
    </w:p>
    <w:p>
      <w:pPr>
        <w:pStyle w:val="FirstParagraph"/>
      </w:pPr>
      <w:r>
        <w:t xml:space="preserve">None.</w:t>
      </w:r>
    </w:p>
    <w:bookmarkEnd w:id="2526"/>
    <w:bookmarkStart w:id="2527" w:name="return-value-171"/>
    <w:p>
      <w:pPr>
        <w:pStyle w:val="Heading2"/>
      </w:pPr>
      <w:r>
        <w:t xml:space="preserve">Return Value</w:t>
      </w:r>
    </w:p>
    <w:p>
      <w:pPr>
        <w:pStyle w:val="FirstParagraph"/>
      </w:pPr>
      <w:r>
        <w:t xml:space="preserve">Returns a</w:t>
      </w:r>
      <w:r>
        <w:t xml:space="preserve"> </w:t>
      </w:r>
      <w:r>
        <w:rPr>
          <w:b/>
          <w:bCs/>
        </w:rPr>
        <w:t xml:space="preserve">Date</w:t>
      </w:r>
      <w:r>
        <w:t xml:space="preserve"> </w:t>
      </w:r>
      <w:r>
        <w:t xml:space="preserve">value representing the current UTC date and time.</w:t>
      </w:r>
    </w:p>
    <w:bookmarkEnd w:id="2527"/>
    <w:bookmarkStart w:id="2528" w:name="remarks-222"/>
    <w:p>
      <w:pPr>
        <w:pStyle w:val="Heading2"/>
      </w:pPr>
      <w:r>
        <w:t xml:space="preserve">Remarks</w:t>
      </w:r>
    </w:p>
    <w:p>
      <w:pPr>
        <w:pStyle w:val="Compact"/>
        <w:numPr>
          <w:ilvl w:val="0"/>
          <w:numId w:val="1607"/>
        </w:numPr>
      </w:pPr>
      <w:r>
        <w:t xml:space="preserve">Unlike</w:t>
      </w:r>
      <w:r>
        <w:t xml:space="preserve"> </w:t>
      </w:r>
      <w:r>
        <w:rPr>
          <w:rStyle w:val="VerbatimChar"/>
        </w:rPr>
        <w:t xml:space="preserve">Now()</w:t>
      </w:r>
      <w:r>
        <w:t xml:space="preserve">, this method always returns UTC regardless of the configured timezone.</w:t>
      </w:r>
    </w:p>
    <w:p>
      <w:pPr>
        <w:pStyle w:val="Compact"/>
        <w:numPr>
          <w:ilvl w:val="0"/>
          <w:numId w:val="1607"/>
        </w:numPr>
      </w:pPr>
      <w:r>
        <w:t xml:space="preserve">Use this for timezone-independent timestamps.</w:t>
      </w:r>
    </w:p>
    <w:bookmarkEnd w:id="2528"/>
    <w:bookmarkStart w:id="2529" w:name="example-17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utc</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utc = dt.UTCNow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"UTC time: "</w:t>
      </w:r>
      <w:r>
        <w:rPr>
          <w:rStyle w:val="NormalTok"/>
        </w:rPr>
        <w:t xml:space="preserve"> </w:t>
      </w:r>
      <w:r>
        <w:rPr>
          <w:rStyle w:val="KeywordTok"/>
        </w:rPr>
        <w:t xml:space="preserve">&amp;</w:t>
      </w:r>
      <w:r>
        <w:rPr>
          <w:rStyle w:val="NormalTok"/>
        </w:rPr>
        <w:t xml:space="preserve"> utc</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29"/>
    <w:bookmarkEnd w:id="2530"/>
    <w:bookmarkStart w:id="2536" w:name="get-the-weekday-component"/>
    <w:p>
      <w:pPr>
        <w:pStyle w:val="Heading1"/>
      </w:pPr>
      <w:r>
        <w:t xml:space="preserve">Get the Weekday Component</w:t>
      </w:r>
    </w:p>
    <w:bookmarkStart w:id="2531" w:name="overview-233"/>
    <w:p>
      <w:pPr>
        <w:pStyle w:val="Heading2"/>
      </w:pPr>
      <w:r>
        <w:t xml:space="preserve">Overview</w:t>
      </w:r>
    </w:p>
    <w:p>
      <w:pPr>
        <w:pStyle w:val="FirstParagraph"/>
      </w:pPr>
      <w:r>
        <w:t xml:space="preserve">Returns the day of the week as an integer (0=Sunday, 6=Saturday).</w:t>
      </w:r>
    </w:p>
    <w:bookmarkEnd w:id="2531"/>
    <w:bookmarkStart w:id="2532" w:name="syntax-247"/>
    <w:p>
      <w:pPr>
        <w:pStyle w:val="Heading2"/>
      </w:pPr>
      <w:r>
        <w:t xml:space="preserve">Syntax</w:t>
      </w:r>
    </w:p>
    <w:p>
      <w:pPr>
        <w:pStyle w:val="SourceCode"/>
      </w:pPr>
      <w:r>
        <w:rPr>
          <w:rStyle w:val="NormalTok"/>
        </w:rPr>
        <w:t xml:space="preserve">result = g3date.Weekday(date)</w:t>
      </w:r>
    </w:p>
    <w:bookmarkEnd w:id="2532"/>
    <w:bookmarkStart w:id="2533" w:name="parameters-15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533"/>
    <w:bookmarkStart w:id="2534" w:name="return-value-172"/>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from 0 (Sunday) to 6 (Saturday).</w:t>
      </w:r>
    </w:p>
    <w:bookmarkEnd w:id="2534"/>
    <w:bookmarkStart w:id="2535" w:name="example-17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wd</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wd = dt.</w:t>
      </w:r>
      <w:r>
        <w:rPr>
          <w:rStyle w:val="FunctionTok"/>
        </w:rPr>
        <w:t xml:space="preserve">Weekday</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"Today is day "</w:t>
      </w:r>
      <w:r>
        <w:rPr>
          <w:rStyle w:val="NormalTok"/>
        </w:rPr>
        <w:t xml:space="preserve"> </w:t>
      </w:r>
      <w:r>
        <w:rPr>
          <w:rStyle w:val="KeywordTok"/>
        </w:rPr>
        <w:t xml:space="preserve">&amp;</w:t>
      </w:r>
      <w:r>
        <w:rPr>
          <w:rStyle w:val="NormalTok"/>
        </w:rPr>
        <w:t xml:space="preserve"> wd </w:t>
      </w:r>
      <w:r>
        <w:rPr>
          <w:rStyle w:val="KeywordTok"/>
        </w:rPr>
        <w:t xml:space="preserve">&amp;</w:t>
      </w:r>
      <w:r>
        <w:rPr>
          <w:rStyle w:val="NormalTok"/>
        </w:rPr>
        <w:t xml:space="preserve"> </w:t>
      </w:r>
      <w:r>
        <w:rPr>
          <w:rStyle w:val="StringTok"/>
        </w:rPr>
        <w:t xml:space="preserve">" of the week (0=Sunday)"</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35"/>
    <w:bookmarkEnd w:id="2536"/>
    <w:bookmarkStart w:id="2542" w:name="get-the-year-component"/>
    <w:p>
      <w:pPr>
        <w:pStyle w:val="Heading1"/>
      </w:pPr>
      <w:r>
        <w:t xml:space="preserve">Get the Year Component</w:t>
      </w:r>
    </w:p>
    <w:bookmarkStart w:id="2537" w:name="overview-234"/>
    <w:p>
      <w:pPr>
        <w:pStyle w:val="Heading2"/>
      </w:pPr>
      <w:r>
        <w:t xml:space="preserve">Overview</w:t>
      </w:r>
    </w:p>
    <w:p>
      <w:pPr>
        <w:pStyle w:val="FirstParagraph"/>
      </w:pPr>
      <w:r>
        <w:t xml:space="preserve">Returns the year component of a date value.</w:t>
      </w:r>
    </w:p>
    <w:bookmarkEnd w:id="2537"/>
    <w:bookmarkStart w:id="2538" w:name="syntax-248"/>
    <w:p>
      <w:pPr>
        <w:pStyle w:val="Heading2"/>
      </w:pPr>
      <w:r>
        <w:t xml:space="preserve">Syntax</w:t>
      </w:r>
    </w:p>
    <w:p>
      <w:pPr>
        <w:pStyle w:val="SourceCode"/>
      </w:pPr>
      <w:r>
        <w:rPr>
          <w:rStyle w:val="NormalTok"/>
        </w:rPr>
        <w:t xml:space="preserve">result = g3date.Year(date)</w:t>
      </w:r>
    </w:p>
    <w:bookmarkEnd w:id="2538"/>
    <w:bookmarkStart w:id="2539" w:name="parameters-15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539"/>
    <w:bookmarkStart w:id="2540" w:name="return-value-173"/>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representing the year (e.g., 2026).</w:t>
      </w:r>
    </w:p>
    <w:bookmarkEnd w:id="2540"/>
    <w:bookmarkStart w:id="2541" w:name="example-17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y</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y = dt.</w:t>
      </w:r>
      <w:r>
        <w:rPr>
          <w:rStyle w:val="FunctionTok"/>
        </w:rPr>
        <w:t xml:space="preserve">Year</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year: "</w:t>
      </w:r>
      <w:r>
        <w:rPr>
          <w:rStyle w:val="NormalTok"/>
        </w:rPr>
        <w:t xml:space="preserve"> </w:t>
      </w:r>
      <w:r>
        <w:rPr>
          <w:rStyle w:val="KeywordTok"/>
        </w:rPr>
        <w:t xml:space="preserve">&amp;</w:t>
      </w:r>
      <w:r>
        <w:rPr>
          <w:rStyle w:val="NormalTok"/>
        </w:rPr>
        <w:t xml:space="preserve"> y</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41"/>
    <w:bookmarkEnd w:id="2542"/>
    <w:bookmarkStart w:id="2548" w:name="get-the-day-of-the-year"/>
    <w:p>
      <w:pPr>
        <w:pStyle w:val="Heading1"/>
      </w:pPr>
      <w:r>
        <w:t xml:space="preserve">Get the Day of the Year</w:t>
      </w:r>
    </w:p>
    <w:bookmarkStart w:id="2543" w:name="overview-235"/>
    <w:p>
      <w:pPr>
        <w:pStyle w:val="Heading2"/>
      </w:pPr>
      <w:r>
        <w:t xml:space="preserve">Overview</w:t>
      </w:r>
    </w:p>
    <w:p>
      <w:pPr>
        <w:pStyle w:val="FirstParagraph"/>
      </w:pPr>
      <w:r>
        <w:t xml:space="preserve">Returns the day of the year as an integer (1-366).</w:t>
      </w:r>
    </w:p>
    <w:bookmarkEnd w:id="2543"/>
    <w:bookmarkStart w:id="2544" w:name="syntax-249"/>
    <w:p>
      <w:pPr>
        <w:pStyle w:val="Heading2"/>
      </w:pPr>
      <w:r>
        <w:t xml:space="preserve">Syntax</w:t>
      </w:r>
    </w:p>
    <w:p>
      <w:pPr>
        <w:pStyle w:val="SourceCode"/>
      </w:pPr>
      <w:r>
        <w:rPr>
          <w:rStyle w:val="NormalTok"/>
        </w:rPr>
        <w:t xml:space="preserve">result = g3date.YearDay(date)</w:t>
      </w:r>
    </w:p>
    <w:bookmarkEnd w:id="2544"/>
    <w:bookmarkStart w:id="2545" w:name="parameters-15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545"/>
    <w:bookmarkStart w:id="2546" w:name="return-value-174"/>
    <w:p>
      <w:pPr>
        <w:pStyle w:val="Heading2"/>
      </w:pPr>
      <w:r>
        <w:t xml:space="preserve">Return Value</w:t>
      </w:r>
    </w:p>
    <w:p>
      <w:pPr>
        <w:pStyle w:val="FirstParagraph"/>
      </w:pPr>
      <w:r>
        <w:t xml:space="preserve">Returns an</w:t>
      </w:r>
      <w:r>
        <w:t xml:space="preserve"> </w:t>
      </w:r>
      <w:r>
        <w:rPr>
          <w:b/>
          <w:bCs/>
        </w:rPr>
        <w:t xml:space="preserve">Integer</w:t>
      </w:r>
      <w:r>
        <w:t xml:space="preserve"> </w:t>
      </w:r>
      <w:r>
        <w:t xml:space="preserve">from 1 to 366 representing the day of the year.</w:t>
      </w:r>
    </w:p>
    <w:bookmarkEnd w:id="2546"/>
    <w:bookmarkStart w:id="2547" w:name="example-17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yd</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yd = dt.YearDay</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"Day of the year: "</w:t>
      </w:r>
      <w:r>
        <w:rPr>
          <w:rStyle w:val="NormalTok"/>
        </w:rPr>
        <w:t xml:space="preserve"> </w:t>
      </w:r>
      <w:r>
        <w:rPr>
          <w:rStyle w:val="KeywordTok"/>
        </w:rPr>
        <w:t xml:space="preserve">&amp;</w:t>
      </w:r>
      <w:r>
        <w:rPr>
          <w:rStyle w:val="NormalTok"/>
        </w:rPr>
        <w:t xml:space="preserve"> yd</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47"/>
    <w:bookmarkEnd w:id="2548"/>
    <w:bookmarkStart w:id="2555" w:name="get-timezone-name-and-offset"/>
    <w:p>
      <w:pPr>
        <w:pStyle w:val="Heading1"/>
      </w:pPr>
      <w:r>
        <w:t xml:space="preserve">Get Timezone Name and Offset</w:t>
      </w:r>
    </w:p>
    <w:bookmarkStart w:id="2549" w:name="overview-236"/>
    <w:p>
      <w:pPr>
        <w:pStyle w:val="Heading2"/>
      </w:pPr>
      <w:r>
        <w:t xml:space="preserve">Overview</w:t>
      </w:r>
    </w:p>
    <w:p>
      <w:pPr>
        <w:pStyle w:val="FirstParagraph"/>
      </w:pPr>
      <w:r>
        <w:t xml:space="preserve">Returns the timezone name and offset for a date as a two-element array.</w:t>
      </w:r>
    </w:p>
    <w:bookmarkEnd w:id="2549"/>
    <w:bookmarkStart w:id="2550" w:name="syntax-250"/>
    <w:p>
      <w:pPr>
        <w:pStyle w:val="Heading2"/>
      </w:pPr>
      <w:r>
        <w:t xml:space="preserve">Syntax</w:t>
      </w:r>
    </w:p>
    <w:p>
      <w:pPr>
        <w:pStyle w:val="SourceCode"/>
      </w:pPr>
      <w:r>
        <w:rPr>
          <w:rStyle w:val="NormalTok"/>
        </w:rPr>
        <w:t xml:space="preserve">arr = g3date.Zone(date)</w:t>
      </w:r>
    </w:p>
    <w:bookmarkEnd w:id="2550"/>
    <w:bookmarkStart w:id="2551" w:name="parameters-15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w:t>
            </w:r>
          </w:p>
        </w:tc>
      </w:tr>
    </w:tbl>
    <w:bookmarkEnd w:id="2551"/>
    <w:bookmarkStart w:id="2552" w:name="return-value-175"/>
    <w:p>
      <w:pPr>
        <w:pStyle w:val="Heading2"/>
      </w:pPr>
      <w:r>
        <w:t xml:space="preserve">Return Value</w:t>
      </w:r>
    </w:p>
    <w:p>
      <w:pPr>
        <w:pStyle w:val="FirstParagraph"/>
      </w:pPr>
      <w:r>
        <w:t xml:space="preserve">Returns an</w:t>
      </w:r>
      <w:r>
        <w:t xml:space="preserve"> </w:t>
      </w:r>
      <w:r>
        <w:rPr>
          <w:b/>
          <w:bCs/>
        </w:rPr>
        <w:t xml:space="preserve">Array</w:t>
      </w:r>
      <w:r>
        <w:t xml:space="preserve"> </w:t>
      </w:r>
      <w:r>
        <w:t xml:space="preserve">with two elements:</w:t>
      </w:r>
      <w:r>
        <w:t xml:space="preserve"> </w:t>
      </w:r>
      <w:r>
        <w:rPr>
          <w:rStyle w:val="VerbatimChar"/>
        </w:rPr>
        <w:t xml:space="preserve">[timezoneName, offsetSeconds]</w:t>
      </w:r>
      <w:r>
        <w:t xml:space="preserve">.</w:t>
      </w:r>
    </w:p>
    <w:bookmarkEnd w:id="2552"/>
    <w:bookmarkStart w:id="2553" w:name="remarks-223"/>
    <w:p>
      <w:pPr>
        <w:pStyle w:val="Heading2"/>
      </w:pPr>
      <w:r>
        <w:t xml:space="preserve">Remarks</w:t>
      </w:r>
    </w:p>
    <w:p>
      <w:pPr>
        <w:pStyle w:val="Compact"/>
        <w:numPr>
          <w:ilvl w:val="0"/>
          <w:numId w:val="1608"/>
        </w:numPr>
      </w:pPr>
      <w:r>
        <w:t xml:space="preserve">The timezone name is the abbreviation (e.g.,</w:t>
      </w:r>
      <w:r>
        <w:t xml:space="preserve"> </w:t>
      </w:r>
      <w:r>
        <w:t xml:space="preserve">“EST”</w:t>
      </w:r>
      <w:r>
        <w:t xml:space="preserve">,</w:t>
      </w:r>
      <w:r>
        <w:t xml:space="preserve"> </w:t>
      </w:r>
      <w:r>
        <w:t xml:space="preserve">“EDT”</w:t>
      </w:r>
      <w:r>
        <w:t xml:space="preserve">,</w:t>
      </w:r>
      <w:r>
        <w:t xml:space="preserve"> </w:t>
      </w:r>
      <w:r>
        <w:t xml:space="preserve">“UTC”</w:t>
      </w:r>
      <w:r>
        <w:t xml:space="preserve">).</w:t>
      </w:r>
    </w:p>
    <w:p>
      <w:pPr>
        <w:pStyle w:val="Compact"/>
        <w:numPr>
          <w:ilvl w:val="0"/>
          <w:numId w:val="1608"/>
        </w:numPr>
      </w:pPr>
      <w:r>
        <w:t xml:space="preserve">The offset is in seconds east of UTC.</w:t>
      </w:r>
    </w:p>
    <w:bookmarkEnd w:id="2553"/>
    <w:bookmarkStart w:id="2554" w:name="example-17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arr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arr = dt.Zone</w:t>
      </w:r>
      <w:r>
        <w:rPr>
          <w:rStyle w:val="OtherTok"/>
        </w:rPr>
        <w:t xml:space="preserve">(</w:t>
      </w:r>
      <w:r>
        <w:rPr>
          <w:rStyle w:val="NormalTok"/>
        </w:rPr>
        <w:t xml:space="preserve">dt.UTCNow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"Zone: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Offset: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1</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54"/>
    <w:bookmarkEnd w:id="2555"/>
    <w:bookmarkStart w:id="2563" w:name="get-zone-boundary-times"/>
    <w:p>
      <w:pPr>
        <w:pStyle w:val="Heading1"/>
      </w:pPr>
      <w:r>
        <w:t xml:space="preserve">Get Zone Boundary Times</w:t>
      </w:r>
    </w:p>
    <w:bookmarkStart w:id="2556" w:name="overview-237"/>
    <w:p>
      <w:pPr>
        <w:pStyle w:val="Heading2"/>
      </w:pPr>
      <w:r>
        <w:t xml:space="preserve">Overview</w:t>
      </w:r>
    </w:p>
    <w:p>
      <w:pPr>
        <w:pStyle w:val="FirstParagraph"/>
      </w:pPr>
      <w:r>
        <w:t xml:space="preserve">Returns the start and end times of the zone’s daylight saving time boundary for the year.</w:t>
      </w:r>
    </w:p>
    <w:bookmarkEnd w:id="2556"/>
    <w:bookmarkStart w:id="2557" w:name="syntax-251"/>
    <w:p>
      <w:pPr>
        <w:pStyle w:val="Heading2"/>
      </w:pPr>
      <w:r>
        <w:t xml:space="preserve">Syntax</w:t>
      </w:r>
    </w:p>
    <w:p>
      <w:pPr>
        <w:pStyle w:val="SourceCode"/>
      </w:pPr>
      <w:r>
        <w:rPr>
          <w:rStyle w:val="NormalTok"/>
        </w:rPr>
        <w:t xml:space="preserve">arr = g3date.ZoneBounds(date)</w:t>
      </w:r>
    </w:p>
    <w:bookmarkEnd w:id="2557"/>
    <w:bookmarkStart w:id="2558" w:name="parameters-16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date</w:t>
            </w:r>
          </w:p>
        </w:tc>
        <w:tc>
          <w:tcPr/>
          <w:p>
            <w:pPr>
              <w:pStyle w:val="Compact"/>
            </w:pPr>
            <w:r>
              <w:t xml:space="preserve">Date</w:t>
            </w:r>
          </w:p>
        </w:tc>
        <w:tc>
          <w:tcPr/>
          <w:p>
            <w:pPr>
              <w:pStyle w:val="Compact"/>
            </w:pPr>
            <w:r>
              <w:t xml:space="preserve">Yes</w:t>
            </w:r>
          </w:p>
        </w:tc>
        <w:tc>
          <w:tcPr/>
          <w:p>
            <w:pPr>
              <w:pStyle w:val="Compact"/>
            </w:pPr>
            <w:r>
              <w:t xml:space="preserve">The date value (year is used for DST calculation).</w:t>
            </w:r>
          </w:p>
        </w:tc>
      </w:tr>
    </w:tbl>
    <w:bookmarkEnd w:id="2558"/>
    <w:bookmarkStart w:id="2559" w:name="return-value-176"/>
    <w:p>
      <w:pPr>
        <w:pStyle w:val="Heading2"/>
      </w:pPr>
      <w:r>
        <w:t xml:space="preserve">Return Value</w:t>
      </w:r>
    </w:p>
    <w:p>
      <w:pPr>
        <w:pStyle w:val="FirstParagraph"/>
      </w:pPr>
      <w:r>
        <w:t xml:space="preserve">Returns an</w:t>
      </w:r>
      <w:r>
        <w:t xml:space="preserve"> </w:t>
      </w:r>
      <w:r>
        <w:rPr>
          <w:b/>
          <w:bCs/>
        </w:rPr>
        <w:t xml:space="preserve">Array</w:t>
      </w:r>
      <w:r>
        <w:t xml:space="preserve"> </w:t>
      </w:r>
      <w:r>
        <w:t xml:space="preserve">with two Date elements:</w:t>
      </w:r>
      <w:r>
        <w:t xml:space="preserve"> </w:t>
      </w:r>
      <w:r>
        <w:rPr>
          <w:rStyle w:val="VerbatimChar"/>
        </w:rPr>
        <w:t xml:space="preserve">[zoneStart, zoneEnd]</w:t>
      </w:r>
      <w:r>
        <w:t xml:space="preserve"> </w:t>
      </w:r>
      <w:r>
        <w:t xml:space="preserve">representing the DST transition boundaries.</w:t>
      </w:r>
    </w:p>
    <w:bookmarkEnd w:id="2559"/>
    <w:bookmarkStart w:id="2560" w:name="remarks-224"/>
    <w:p>
      <w:pPr>
        <w:pStyle w:val="Heading2"/>
      </w:pPr>
      <w:r>
        <w:t xml:space="preserve">Remarks</w:t>
      </w:r>
    </w:p>
    <w:p>
      <w:pPr>
        <w:pStyle w:val="Compact"/>
        <w:numPr>
          <w:ilvl w:val="0"/>
          <w:numId w:val="1609"/>
        </w:numPr>
      </w:pPr>
      <w:r>
        <w:t xml:space="preserve">The boundaries represent when DST starts and ends for the given year.</w:t>
      </w:r>
    </w:p>
    <w:p>
      <w:pPr>
        <w:pStyle w:val="Compact"/>
        <w:numPr>
          <w:ilvl w:val="0"/>
          <w:numId w:val="1609"/>
        </w:numPr>
      </w:pPr>
      <w:r>
        <w:t xml:space="preserve">For timezones without DST, the start and end may be the same.</w:t>
      </w:r>
    </w:p>
    <w:bookmarkEnd w:id="2560"/>
    <w:bookmarkStart w:id="2561" w:name="example-17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dt</w:t>
      </w:r>
      <w:r>
        <w:rPr>
          <w:rStyle w:val="OtherTok"/>
        </w:rPr>
        <w:t xml:space="preserve">,</w:t>
      </w:r>
      <w:r>
        <w:rPr>
          <w:rStyle w:val="NormalTok"/>
        </w:rPr>
        <w:t xml:space="preserve"> arr</w:t>
      </w:r>
      <w:r>
        <w:br/>
      </w:r>
      <w:r>
        <w:rPr>
          <w:rStyle w:val="KeywordTok"/>
        </w:rPr>
        <w:t xml:space="preserve">Set</w:t>
      </w:r>
      <w:r>
        <w:rPr>
          <w:rStyle w:val="NormalTok"/>
        </w:rPr>
        <w:t xml:space="preserve"> dt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"G3DATE"</w:t>
      </w:r>
      <w:r>
        <w:rPr>
          <w:rStyle w:val="OtherTok"/>
        </w:rPr>
        <w:t xml:space="preserve">)</w:t>
      </w:r>
      <w:r>
        <w:br/>
      </w:r>
      <w:r>
        <w:rPr>
          <w:rStyle w:val="NormalTok"/>
        </w:rPr>
        <w:t xml:space="preserve">arr = dt.ZoneBounds</w:t>
      </w:r>
      <w:r>
        <w:rPr>
          <w:rStyle w:val="OtherTok"/>
        </w:rPr>
        <w:t xml:space="preserve">(</w:t>
      </w:r>
      <w:r>
        <w:rPr>
          <w:rStyle w:val="NormalTok"/>
        </w:rPr>
        <w:t xml:space="preserve">dt.</w:t>
      </w:r>
      <w:r>
        <w:rPr>
          <w:rStyle w:val="FunctionTok"/>
        </w:rPr>
        <w:t xml:space="preserve">Now</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"DST start: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DST end: "</w:t>
      </w:r>
      <w:r>
        <w:rPr>
          <w:rStyle w:val="NormalTok"/>
        </w:rPr>
        <w:t xml:space="preserve"> </w:t>
      </w:r>
      <w:r>
        <w:rPr>
          <w:rStyle w:val="KeywordTok"/>
        </w:rPr>
        <w:t xml:space="preserve">&amp;</w:t>
      </w:r>
      <w:r>
        <w:rPr>
          <w:rStyle w:val="NormalTok"/>
        </w:rPr>
        <w:t xml:space="preserve"> arr</w:t>
      </w:r>
      <w:r>
        <w:rPr>
          <w:rStyle w:val="OtherTok"/>
        </w:rPr>
        <w:t xml:space="preserve">(</w:t>
      </w:r>
      <w:r>
        <w:rPr>
          <w:rStyle w:val="DecValTok"/>
        </w:rPr>
        <w:t xml:space="preserve">1</w:t>
      </w:r>
      <w:r>
        <w:rPr>
          <w:rStyle w:val="OtherTok"/>
        </w:rPr>
        <w:t xml:space="preserve">)</w:t>
      </w:r>
      <w:r>
        <w:br/>
      </w:r>
      <w:r>
        <w:rPr>
          <w:rStyle w:val="KeywordTok"/>
        </w:rPr>
        <w:t xml:space="preserve">Set</w:t>
      </w:r>
      <w:r>
        <w:rPr>
          <w:rStyle w:val="NormalTok"/>
        </w:rPr>
        <w:t xml:space="preserve"> dt = </w:t>
      </w:r>
      <w:r>
        <w:rPr>
          <w:rStyle w:val="KeywordTok"/>
        </w:rPr>
        <w:t xml:space="preserve">Nothing</w:t>
      </w:r>
      <w:r>
        <w:br/>
      </w:r>
      <w:r>
        <w:rPr>
          <w:rStyle w:val="DataTypeTok"/>
        </w:rPr>
        <w:t xml:space="preserve">%&gt;</w:t>
      </w:r>
    </w:p>
    <w:bookmarkEnd w:id="2561"/>
    <w:bookmarkStart w:id="2562" w:name="g3crypto"/>
    <w:p>
      <w:pPr>
        <w:pStyle w:val="Heading2"/>
      </w:pPr>
      <w:r>
        <w:t xml:space="preserve">G3CRYPTO</w:t>
      </w:r>
    </w:p>
    <w:bookmarkEnd w:id="2562"/>
    <w:bookmarkEnd w:id="2563"/>
    <w:bookmarkStart w:id="2573" w:name="use-the-g3crypto-library"/>
    <w:p>
      <w:pPr>
        <w:pStyle w:val="Heading1"/>
      </w:pPr>
      <w:r>
        <w:t xml:space="preserve">Use the G3CRYPTO Library</w:t>
      </w:r>
    </w:p>
    <w:bookmarkStart w:id="2564" w:name="overview-238"/>
    <w:p>
      <w:pPr>
        <w:pStyle w:val="Heading2"/>
      </w:pPr>
      <w:r>
        <w:t xml:space="preserve">Overview</w:t>
      </w:r>
    </w:p>
    <w:p>
      <w:pPr>
        <w:pStyle w:val="FirstParagraph"/>
      </w:pPr>
      <w:r>
        <w:rPr>
          <w:rStyle w:val="VerbatimChar"/>
        </w:rPr>
        <w:t xml:space="preserve">G3CRYPTO</w:t>
      </w:r>
      <w:r>
        <w:t xml:space="preserve"> </w:t>
      </w:r>
      <w:r>
        <w:t xml:space="preserve">provides native cryptographic operations for G3Pix AxonASP applications. It supports message digests, HMAC signatures, password hashing with bcrypt, PBKDF2 key derivation, secure random generation, and UUID creation.</w:t>
      </w:r>
    </w:p>
    <w:bookmarkEnd w:id="2564"/>
    <w:bookmarkStart w:id="2565" w:name="prerequisites-94"/>
    <w:p>
      <w:pPr>
        <w:pStyle w:val="Heading2"/>
      </w:pPr>
      <w:r>
        <w:t xml:space="preserve">Prerequisites</w:t>
      </w:r>
    </w:p>
    <w:p>
      <w:pPr>
        <w:pStyle w:val="FirstParagraph"/>
      </w:pPr>
      <w:r>
        <w:t xml:space="preserve">No external dependencies are required.</w:t>
      </w:r>
    </w:p>
    <w:bookmarkEnd w:id="2565"/>
    <w:bookmarkStart w:id="2566" w:name="syntax-252"/>
    <w:p>
      <w:pPr>
        <w:pStyle w:val="Heading2"/>
      </w:pPr>
      <w:r>
        <w:t xml:space="preserve">Syntax</w:t>
      </w:r>
    </w:p>
    <w:p>
      <w:pPr>
        <w:pStyle w:val="SourceCode"/>
      </w:pPr>
      <w:r>
        <w:rPr>
          <w:rStyle w:val="NormalTok"/>
        </w:rPr>
        <w:t xml:space="preserve">Dim crypto</w:t>
      </w:r>
      <w:r>
        <w:br/>
      </w:r>
      <w:r>
        <w:rPr>
          <w:rStyle w:val="NormalTok"/>
        </w:rPr>
        <w:t xml:space="preserve">Set crypto = Server.CreateObject("G3CRYPTO")</w:t>
      </w:r>
    </w:p>
    <w:p>
      <w:pPr>
        <w:pStyle w:val="SourceCode"/>
      </w:pPr>
      <w:r>
        <w:rPr>
          <w:rStyle w:val="KeywordTok"/>
        </w:rPr>
        <w:t xml:space="preserve">var</w:t>
      </w:r>
      <w:r>
        <w:rPr>
          <w:rStyle w:val="NormalTok"/>
        </w:rPr>
        <w:t xml:space="preserve"> crypto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"G3CRYPTO"</w:t>
      </w:r>
      <w:r>
        <w:rPr>
          <w:rStyle w:val="NormalTok"/>
        </w:rPr>
        <w:t xml:space="preserve">)</w:t>
      </w:r>
      <w:r>
        <w:rPr>
          <w:rStyle w:val="OperatorTok"/>
        </w:rPr>
        <w:t xml:space="preserve">;</w:t>
      </w:r>
    </w:p>
    <w:bookmarkEnd w:id="2566"/>
    <w:bookmarkStart w:id="2567" w:name="how-it-works-16"/>
    <w:p>
      <w:pPr>
        <w:pStyle w:val="Heading2"/>
      </w:pPr>
      <w:r>
        <w:t xml:space="preserve">How it Works</w:t>
      </w:r>
    </w:p>
    <w:p>
      <w:pPr>
        <w:pStyle w:val="FirstParagraph"/>
      </w:pPr>
      <w:r>
        <w:t xml:space="preserve">The object computes digests either as hex strings (for methods such as</w:t>
      </w:r>
      <w:r>
        <w:t xml:space="preserve"> </w:t>
      </w:r>
      <w:r>
        <w:rPr>
          <w:rStyle w:val="VerbatimChar"/>
        </w:rPr>
        <w:t xml:space="preserve">SHA256</w:t>
      </w:r>
      <w:r>
        <w:t xml:space="preserve">) or as raw byte arrays (for</w:t>
      </w:r>
      <w:r>
        <w:t xml:space="preserve"> </w:t>
      </w:r>
      <w:r>
        <w:rPr>
          <w:rStyle w:val="VerbatimChar"/>
        </w:rPr>
        <w:t xml:space="preserve">ComputeHash</w:t>
      </w:r>
      <w:r>
        <w:t xml:space="preserve">).</w:t>
      </w:r>
    </w:p>
    <w:p>
      <w:pPr>
        <w:pStyle w:val="BodyText"/>
      </w:pPr>
      <w:r>
        <w:t xml:space="preserve">The object stores state for:</w:t>
      </w:r>
    </w:p>
    <w:p>
      <w:pPr>
        <w:pStyle w:val="Compact"/>
        <w:numPr>
          <w:ilvl w:val="0"/>
          <w:numId w:val="1610"/>
        </w:numPr>
      </w:pPr>
      <w:r>
        <w:rPr>
          <w:rStyle w:val="VerbatimChar"/>
        </w:rPr>
        <w:t xml:space="preserve">Hash</w:t>
      </w:r>
      <w:r>
        <w:t xml:space="preserve">: Last raw digest bytes produced by digest operations that update internal hash state.</w:t>
      </w:r>
    </w:p>
    <w:p>
      <w:pPr>
        <w:pStyle w:val="Compact"/>
        <w:numPr>
          <w:ilvl w:val="0"/>
          <w:numId w:val="1610"/>
        </w:numPr>
      </w:pPr>
      <w:r>
        <w:rPr>
          <w:rStyle w:val="VerbatimChar"/>
        </w:rPr>
        <w:t xml:space="preserve">BCryptCost</w:t>
      </w:r>
      <w:r>
        <w:t xml:space="preserve">: Configurable work factor used by bcrypt password hashing.</w:t>
      </w:r>
    </w:p>
    <w:p>
      <w:pPr>
        <w:pStyle w:val="FirstParagraph"/>
      </w:pPr>
      <w:r>
        <w:t xml:space="preserve">Password operations use bcrypt. Key derivation uses PBKDF2-HMAC-SHA256. Random generators use cryptographically secure OS randomness.</w:t>
      </w:r>
    </w:p>
    <w:bookmarkEnd w:id="2567"/>
    <w:bookmarkStart w:id="2571" w:name="api-reference-97"/>
    <w:p>
      <w:pPr>
        <w:pStyle w:val="Heading2"/>
      </w:pPr>
      <w:r>
        <w:t xml:space="preserve">API Reference</w:t>
      </w:r>
    </w:p>
    <w:bookmarkStart w:id="2568" w:name="object"/>
    <w:p>
      <w:pPr>
        <w:pStyle w:val="Heading3"/>
      </w:pPr>
      <w:r>
        <w:t xml:space="preserve">Object</w:t>
      </w:r>
    </w:p>
    <w:p>
      <w:pPr>
        <w:pStyle w:val="Compact"/>
        <w:numPr>
          <w:ilvl w:val="0"/>
          <w:numId w:val="1611"/>
        </w:numPr>
      </w:pPr>
      <w:r>
        <w:rPr>
          <w:b/>
          <w:bCs/>
        </w:rPr>
        <w:t xml:space="preserve">ProgID</w:t>
      </w:r>
      <w:r>
        <w:t xml:space="preserve">:</w:t>
      </w:r>
      <w:r>
        <w:t xml:space="preserve"> </w:t>
      </w:r>
      <w:r>
        <w:rPr>
          <w:rStyle w:val="VerbatimChar"/>
        </w:rPr>
        <w:t xml:space="preserve">G3CRYPTO</w:t>
      </w:r>
    </w:p>
    <w:bookmarkEnd w:id="2568"/>
    <w:bookmarkStart w:id="2569" w:name="method-categories"/>
    <w:p>
      <w:pPr>
        <w:pStyle w:val="Heading3"/>
      </w:pPr>
      <w:r>
        <w:t xml:space="preserve">Method Categories</w:t>
      </w:r>
    </w:p>
    <w:p>
      <w:pPr>
        <w:pStyle w:val="Compact"/>
        <w:numPr>
          <w:ilvl w:val="0"/>
          <w:numId w:val="1612"/>
        </w:numPr>
      </w:pPr>
      <w:r>
        <w:rPr>
          <w:b/>
          <w:bCs/>
        </w:rPr>
        <w:t xml:space="preserve">Digest Methods</w:t>
      </w:r>
      <w:r>
        <w:t xml:space="preserve">:</w:t>
      </w:r>
      <w:r>
        <w:t xml:space="preserve"> </w:t>
      </w:r>
      <w:r>
        <w:rPr>
          <w:rStyle w:val="VerbatimChar"/>
        </w:rPr>
        <w:t xml:space="preserve">MD5</w:t>
      </w:r>
      <w:r>
        <w:t xml:space="preserve">,</w:t>
      </w:r>
      <w:r>
        <w:t xml:space="preserve"> </w:t>
      </w:r>
      <w:r>
        <w:rPr>
          <w:rStyle w:val="VerbatimChar"/>
        </w:rPr>
        <w:t xml:space="preserve">SHA1</w:t>
      </w:r>
      <w:r>
        <w:t xml:space="preserve">,</w:t>
      </w:r>
      <w:r>
        <w:t xml:space="preserve"> </w:t>
      </w:r>
      <w:r>
        <w:rPr>
          <w:rStyle w:val="VerbatimChar"/>
        </w:rPr>
        <w:t xml:space="preserve">SHA256</w:t>
      </w:r>
      <w:r>
        <w:t xml:space="preserve">,</w:t>
      </w:r>
      <w:r>
        <w:t xml:space="preserve"> </w:t>
      </w:r>
      <w:r>
        <w:rPr>
          <w:rStyle w:val="VerbatimChar"/>
        </w:rPr>
        <w:t xml:space="preserve">SHA384</w:t>
      </w:r>
      <w:r>
        <w:t xml:space="preserve">,</w:t>
      </w:r>
      <w:r>
        <w:t xml:space="preserve"> </w:t>
      </w:r>
      <w:r>
        <w:rPr>
          <w:rStyle w:val="VerbatimChar"/>
        </w:rPr>
        <w:t xml:space="preserve">SHA512</w:t>
      </w:r>
      <w:r>
        <w:t xml:space="preserve">,</w:t>
      </w:r>
      <w:r>
        <w:t xml:space="preserve"> </w:t>
      </w:r>
      <w:r>
        <w:rPr>
          <w:rStyle w:val="VerbatimChar"/>
        </w:rPr>
        <w:t xml:space="preserve">SHA3_256</w:t>
      </w:r>
      <w:r>
        <w:t xml:space="preserve">,</w:t>
      </w:r>
      <w:r>
        <w:t xml:space="preserve"> </w:t>
      </w:r>
      <w:r>
        <w:rPr>
          <w:rStyle w:val="VerbatimChar"/>
        </w:rPr>
        <w:t xml:space="preserve">SHA3_512</w:t>
      </w:r>
      <w:r>
        <w:t xml:space="preserve">,</w:t>
      </w:r>
      <w:r>
        <w:t xml:space="preserve"> </w:t>
      </w:r>
      <w:r>
        <w:rPr>
          <w:rStyle w:val="VerbatimChar"/>
        </w:rPr>
        <w:t xml:space="preserve">Blake2b256</w:t>
      </w:r>
      <w:r>
        <w:t xml:space="preserve">,</w:t>
      </w:r>
      <w:r>
        <w:t xml:space="preserve"> </w:t>
      </w:r>
      <w:r>
        <w:rPr>
          <w:rStyle w:val="VerbatimChar"/>
        </w:rPr>
        <w:t xml:space="preserve">Blake2b512</w:t>
      </w:r>
    </w:p>
    <w:p>
      <w:pPr>
        <w:pStyle w:val="Compact"/>
        <w:numPr>
          <w:ilvl w:val="0"/>
          <w:numId w:val="1612"/>
        </w:numPr>
      </w:pPr>
      <w:r>
        <w:rPr>
          <w:b/>
          <w:bCs/>
        </w:rPr>
        <w:t xml:space="preserve">Digest Bytes Method</w:t>
      </w:r>
      <w:r>
        <w:t xml:space="preserve">:</w:t>
      </w:r>
      <w:r>
        <w:t xml:space="preserve"> </w:t>
      </w:r>
      <w:r>
        <w:rPr>
          <w:rStyle w:val="VerbatimChar"/>
        </w:rPr>
        <w:t xml:space="preserve">ComputeHash</w:t>
      </w:r>
    </w:p>
    <w:p>
      <w:pPr>
        <w:pStyle w:val="Compact"/>
        <w:numPr>
          <w:ilvl w:val="0"/>
          <w:numId w:val="1612"/>
        </w:numPr>
      </w:pPr>
      <w:r>
        <w:rPr>
          <w:b/>
          <w:bCs/>
        </w:rPr>
        <w:t xml:space="preserve">Password Methods</w:t>
      </w:r>
      <w:r>
        <w:t xml:space="preserve">:</w:t>
      </w:r>
      <w:r>
        <w:t xml:space="preserve"> </w:t>
      </w:r>
      <w:r>
        <w:rPr>
          <w:rStyle w:val="VerbatimChar"/>
        </w:rPr>
        <w:t xml:space="preserve">HashPassword</w:t>
      </w:r>
      <w:r>
        <w:t xml:space="preserve">,</w:t>
      </w:r>
      <w:r>
        <w:t xml:space="preserve"> </w:t>
      </w:r>
      <w:r>
        <w:rPr>
          <w:rStyle w:val="VerbatimChar"/>
        </w:rPr>
        <w:t xml:space="preserve">VerifyPassword</w:t>
      </w:r>
      <w:r>
        <w:t xml:space="preserve">,</w:t>
      </w:r>
      <w:r>
        <w:t xml:space="preserve"> </w:t>
      </w:r>
      <w:r>
        <w:rPr>
          <w:rStyle w:val="VerbatimChar"/>
        </w:rPr>
        <w:t xml:space="preserve">SetBCryptCost</w:t>
      </w:r>
      <w:r>
        <w:t xml:space="preserve">,</w:t>
      </w:r>
      <w:r>
        <w:t xml:space="preserve"> </w:t>
      </w:r>
      <w:r>
        <w:rPr>
          <w:rStyle w:val="VerbatimChar"/>
        </w:rPr>
        <w:t xml:space="preserve">GetBCryptCost</w:t>
      </w:r>
    </w:p>
    <w:p>
      <w:pPr>
        <w:pStyle w:val="Compact"/>
        <w:numPr>
          <w:ilvl w:val="0"/>
          <w:numId w:val="1612"/>
        </w:numPr>
      </w:pPr>
      <w:r>
        <w:rPr>
          <w:b/>
          <w:bCs/>
        </w:rPr>
        <w:t xml:space="preserve">MAC/KDF Methods</w:t>
      </w:r>
      <w:r>
        <w:t xml:space="preserve">:</w:t>
      </w:r>
      <w:r>
        <w:t xml:space="preserve"> </w:t>
      </w:r>
      <w:r>
        <w:rPr>
          <w:rStyle w:val="VerbatimChar"/>
        </w:rPr>
        <w:t xml:space="preserve">HmacSha256</w:t>
      </w:r>
      <w:r>
        <w:t xml:space="preserve">,</w:t>
      </w:r>
      <w:r>
        <w:t xml:space="preserve"> </w:t>
      </w:r>
      <w:r>
        <w:rPr>
          <w:rStyle w:val="VerbatimChar"/>
        </w:rPr>
        <w:t xml:space="preserve">HmacSha512</w:t>
      </w:r>
      <w:r>
        <w:t xml:space="preserve">,</w:t>
      </w:r>
      <w:r>
        <w:t xml:space="preserve"> </w:t>
      </w:r>
      <w:r>
        <w:rPr>
          <w:rStyle w:val="VerbatimChar"/>
        </w:rPr>
        <w:t xml:space="preserve">Pbkdf2Sha256</w:t>
      </w:r>
    </w:p>
    <w:p>
      <w:pPr>
        <w:pStyle w:val="Compact"/>
        <w:numPr>
          <w:ilvl w:val="0"/>
          <w:numId w:val="1612"/>
        </w:numPr>
      </w:pPr>
      <w:r>
        <w:rPr>
          <w:b/>
          <w:bCs/>
        </w:rPr>
        <w:t xml:space="preserve">Random/Identifier Methods</w:t>
      </w:r>
      <w:r>
        <w:t xml:space="preserve">:</w:t>
      </w:r>
      <w:r>
        <w:t xml:space="preserve"> </w:t>
      </w:r>
      <w:r>
        <w:rPr>
          <w:rStyle w:val="VerbatimChar"/>
        </w:rPr>
        <w:t xml:space="preserve">RandomBytes</w:t>
      </w:r>
      <w:r>
        <w:t xml:space="preserve">,</w:t>
      </w:r>
      <w:r>
        <w:t xml:space="preserve"> </w:t>
      </w:r>
      <w:r>
        <w:rPr>
          <w:rStyle w:val="VerbatimChar"/>
        </w:rPr>
        <w:t xml:space="preserve">RandomHex</w:t>
      </w:r>
      <w:r>
        <w:t xml:space="preserve">,</w:t>
      </w:r>
      <w:r>
        <w:t xml:space="preserve"> </w:t>
      </w:r>
      <w:r>
        <w:rPr>
          <w:rStyle w:val="VerbatimChar"/>
        </w:rPr>
        <w:t xml:space="preserve">RandomBase64</w:t>
      </w:r>
      <w:r>
        <w:t xml:space="preserve">,</w:t>
      </w:r>
      <w:r>
        <w:t xml:space="preserve"> </w:t>
      </w:r>
      <w:r>
        <w:rPr>
          <w:rStyle w:val="VerbatimChar"/>
        </w:rPr>
        <w:t xml:space="preserve">UUID</w:t>
      </w:r>
    </w:p>
    <w:p>
      <w:pPr>
        <w:pStyle w:val="Compact"/>
        <w:numPr>
          <w:ilvl w:val="0"/>
          <w:numId w:val="1612"/>
        </w:numPr>
      </w:pPr>
      <w:r>
        <w:rPr>
          <w:b/>
          <w:bCs/>
        </w:rPr>
        <w:t xml:space="preserve">State Method</w:t>
      </w:r>
      <w:r>
        <w:t xml:space="preserve">:</w:t>
      </w:r>
      <w:r>
        <w:t xml:space="preserve"> </w:t>
      </w:r>
      <w:r>
        <w:rPr>
          <w:rStyle w:val="VerbatimChar"/>
        </w:rPr>
        <w:t xml:space="preserve">Initialize</w:t>
      </w:r>
    </w:p>
    <w:bookmarkEnd w:id="2569"/>
    <w:bookmarkStart w:id="2570" w:name="properties-9"/>
    <w:p>
      <w:pPr>
        <w:pStyle w:val="Heading3"/>
      </w:pPr>
      <w:r>
        <w:t xml:space="preserve">Properties</w:t>
      </w:r>
    </w:p>
    <w:p>
      <w:pPr>
        <w:pStyle w:val="Compact"/>
        <w:numPr>
          <w:ilvl w:val="0"/>
          <w:numId w:val="1613"/>
        </w:numPr>
      </w:pPr>
      <w:r>
        <w:rPr>
          <w:b/>
          <w:bCs/>
        </w:rPr>
        <w:t xml:space="preserve">BCryptCost</w:t>
      </w:r>
      <w:r>
        <w:t xml:space="preserve"> </w:t>
      </w:r>
      <w:r>
        <w:t xml:space="preserve">(Read/Write): bcrypt work factor.</w:t>
      </w:r>
    </w:p>
    <w:p>
      <w:pPr>
        <w:pStyle w:val="Compact"/>
        <w:numPr>
          <w:ilvl w:val="0"/>
          <w:numId w:val="1613"/>
        </w:numPr>
      </w:pPr>
      <w:r>
        <w:rPr>
          <w:b/>
          <w:bCs/>
        </w:rPr>
        <w:t xml:space="preserve">CanReuseTransform</w:t>
      </w:r>
      <w:r>
        <w:t xml:space="preserve"> </w:t>
      </w:r>
      <w:r>
        <w:t xml:space="preserve">(Read-only): Always</w:t>
      </w:r>
      <w:r>
        <w:t xml:space="preserve"> </w:t>
      </w:r>
      <w:r>
        <w:rPr>
          <w:rStyle w:val="VerbatimChar"/>
        </w:rPr>
        <w:t xml:space="preserve">True</w:t>
      </w:r>
      <w:r>
        <w:t xml:space="preserve">.</w:t>
      </w:r>
    </w:p>
    <w:p>
      <w:pPr>
        <w:pStyle w:val="Compact"/>
        <w:numPr>
          <w:ilvl w:val="0"/>
          <w:numId w:val="1613"/>
        </w:numPr>
      </w:pPr>
      <w:r>
        <w:rPr>
          <w:b/>
          <w:bCs/>
        </w:rPr>
        <w:t xml:space="preserve">Hash</w:t>
      </w:r>
      <w:r>
        <w:t xml:space="preserve"> </w:t>
      </w:r>
      <w:r>
        <w:t xml:space="preserve">(Read-only): Last raw digest bytes.</w:t>
      </w:r>
    </w:p>
    <w:p>
      <w:pPr>
        <w:pStyle w:val="Compact"/>
        <w:numPr>
          <w:ilvl w:val="0"/>
          <w:numId w:val="1613"/>
        </w:numPr>
      </w:pPr>
      <w:r>
        <w:rPr>
          <w:b/>
          <w:bCs/>
        </w:rPr>
        <w:t xml:space="preserve">HashSize</w:t>
      </w:r>
      <w:r>
        <w:t xml:space="preserve"> </w:t>
      </w:r>
      <w:r>
        <w:t xml:space="preserve">(Read-only): Digest size in bits for the current context.</w:t>
      </w:r>
    </w:p>
    <w:bookmarkEnd w:id="2570"/>
    <w:bookmarkEnd w:id="2571"/>
    <w:bookmarkStart w:id="2572" w:name="code-example-96"/>
    <w:p>
      <w:pPr>
        <w:pStyle w:val="Heading2"/>
      </w:pPr>
      <w:r>
        <w:t xml:space="preserve">Code Example</w:t>
      </w:r>
    </w:p>
    <w:p>
      <w:pPr>
        <w:pStyle w:val="FirstParagraph"/>
      </w:pPr>
      <w:r>
        <w:t xml:space="preserve">The following example shows password hashing, verification, and secure token generation.</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password</w:t>
      </w:r>
      <w:r>
        <w:rPr>
          <w:rStyle w:val="OtherTok"/>
        </w:rPr>
        <w:t xml:space="preserve">,</w:t>
      </w:r>
      <w:r>
        <w:rPr>
          <w:rStyle w:val="NormalTok"/>
        </w:rPr>
        <w:t xml:space="preserve"> hash</w:t>
      </w:r>
      <w:r>
        <w:rPr>
          <w:rStyle w:val="OtherTok"/>
        </w:rPr>
        <w:t xml:space="preserve">,</w:t>
      </w:r>
      <w:r>
        <w:rPr>
          <w:rStyle w:val="NormalTok"/>
        </w:rPr>
        <w:t xml:space="preserve"> token</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password = </w:t>
      </w:r>
      <w:r>
        <w:rPr>
          <w:rStyle w:val="StringTok"/>
        </w:rPr>
        <w:t xml:space="preserve">"UserSecret123!"</w:t>
      </w:r>
      <w:r>
        <w:br/>
      </w:r>
      <w:r>
        <w:rPr>
          <w:rStyle w:val="NormalTok"/>
        </w:rPr>
        <w:t xml:space="preserve">hash = crypto.HashPassword</w:t>
      </w:r>
      <w:r>
        <w:rPr>
          <w:rStyle w:val="OtherTok"/>
        </w:rPr>
        <w:t xml:space="preserve">(</w:t>
      </w:r>
      <w:r>
        <w:rPr>
          <w:rStyle w:val="NormalTok"/>
        </w:rPr>
        <w:t xml:space="preserve">password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"Password Hash: "</w:t>
      </w:r>
      <w:r>
        <w:rPr>
          <w:rStyle w:val="NormalTok"/>
        </w:rPr>
        <w:t xml:space="preserve"> </w:t>
      </w:r>
      <w:r>
        <w:rPr>
          <w:rStyle w:val="KeywordTok"/>
        </w:rPr>
        <w:t xml:space="preserve">&amp;</w:t>
      </w:r>
      <w:r>
        <w:rPr>
          <w:rStyle w:val="NormalTok"/>
        </w:rPr>
        <w:t xml:space="preserve"> hash </w:t>
      </w:r>
      <w:r>
        <w:rPr>
          <w:rStyle w:val="KeywordTok"/>
        </w:rPr>
        <w:t xml:space="preserve">&amp;</w:t>
      </w:r>
      <w:r>
        <w:rPr>
          <w:rStyle w:val="NormalTok"/>
        </w:rPr>
        <w:t xml:space="preserve"> </w:t>
      </w:r>
      <w:r>
        <w:rPr>
          <w:rStyle w:val="StringTok"/>
        </w:rPr>
        <w:t xml:space="preserve">"&lt;br&gt;"</w:t>
      </w:r>
      <w:r>
        <w:br/>
      </w:r>
      <w:r>
        <w:br/>
      </w:r>
      <w:r>
        <w:rPr>
          <w:rStyle w:val="ControlFlowTok"/>
        </w:rPr>
        <w:t xml:space="preserve">If</w:t>
      </w:r>
      <w:r>
        <w:rPr>
          <w:rStyle w:val="NormalTok"/>
        </w:rPr>
        <w:t xml:space="preserve"> crypto.VerifyPassword</w:t>
      </w:r>
      <w:r>
        <w:rPr>
          <w:rStyle w:val="OtherTok"/>
        </w:rPr>
        <w:t xml:space="preserve">(</w:t>
      </w:r>
      <w:r>
        <w:rPr>
          <w:rStyle w:val="NormalTok"/>
        </w:rPr>
        <w:t xml:space="preserve">password</w:t>
      </w:r>
      <w:r>
        <w:rPr>
          <w:rStyle w:val="OtherTok"/>
        </w:rPr>
        <w:t xml:space="preserve">,</w:t>
      </w:r>
      <w:r>
        <w:rPr>
          <w:rStyle w:val="NormalTok"/>
        </w:rPr>
        <w:t xml:space="preserve"> hash</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"Verification successful&lt;br&gt;"</w:t>
      </w:r>
      <w:r>
        <w:br/>
      </w:r>
      <w:r>
        <w:rPr>
          <w:rStyle w:val="ControlFlowTok"/>
        </w:rPr>
        <w:t xml:space="preserve">End If</w:t>
      </w:r>
      <w:r>
        <w:br/>
      </w:r>
      <w:r>
        <w:br/>
      </w:r>
      <w:r>
        <w:rPr>
          <w:rStyle w:val="NormalTok"/>
        </w:rPr>
        <w:t xml:space="preserve">token = crypto.RandomHex</w:t>
      </w:r>
      <w:r>
        <w:rPr>
          <w:rStyle w:val="OtherTok"/>
        </w:rPr>
        <w:t xml:space="preserve">(</w:t>
      </w:r>
      <w:r>
        <w:rPr>
          <w:rStyle w:val="DecValTok"/>
        </w:rPr>
        <w:t xml:space="preserve">32</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"Random Token: "</w:t>
      </w:r>
      <w:r>
        <w:rPr>
          <w:rStyle w:val="NormalTok"/>
        </w:rPr>
        <w:t xml:space="preserve"> </w:t>
      </w:r>
      <w:r>
        <w:rPr>
          <w:rStyle w:val="KeywordTok"/>
        </w:rPr>
        <w:t xml:space="preserve">&amp;</w:t>
      </w:r>
      <w:r>
        <w:rPr>
          <w:rStyle w:val="NormalTok"/>
        </w:rPr>
        <w:t xml:space="preserve"> token </w:t>
      </w:r>
      <w:r>
        <w:rPr>
          <w:rStyle w:val="KeywordTok"/>
        </w:rPr>
        <w:t xml:space="preserve">&amp;</w:t>
      </w:r>
      <w:r>
        <w:rPr>
          <w:rStyle w:val="NormalTok"/>
        </w:rPr>
        <w:t xml:space="preserve"> </w:t>
      </w:r>
      <w:r>
        <w:rPr>
          <w:rStyle w:val="StringTok"/>
        </w:rPr>
        <w:t xml:space="preserve">"&lt;br&gt;"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572"/>
    <w:bookmarkEnd w:id="2573"/>
    <w:bookmarkStart w:id="2577" w:name="g3crypto-methods"/>
    <w:p>
      <w:pPr>
        <w:pStyle w:val="Heading1"/>
      </w:pPr>
      <w:r>
        <w:t xml:space="preserve">G3CRYPTO Methods</w:t>
      </w:r>
    </w:p>
    <w:bookmarkStart w:id="2574" w:name="overview-239"/>
    <w:p>
      <w:pPr>
        <w:pStyle w:val="Heading2"/>
      </w:pPr>
      <w:r>
        <w:t xml:space="preserve">Overview</w:t>
      </w:r>
    </w:p>
    <w:p>
      <w:pPr>
        <w:pStyle w:val="FirstParagraph"/>
      </w:pPr>
      <w:r>
        <w:t xml:space="preserve">This page summarizes every method exposed by</w:t>
      </w:r>
      <w:r>
        <w:t xml:space="preserve"> </w:t>
      </w:r>
      <w:r>
        <w:rPr>
          <w:rStyle w:val="VerbatimChar"/>
        </w:rPr>
        <w:t xml:space="preserve">G3CRYPTO</w:t>
      </w:r>
      <w:r>
        <w:t xml:space="preserve">.</w:t>
      </w:r>
    </w:p>
    <w:bookmarkEnd w:id="2574"/>
    <w:bookmarkStart w:id="2575" w:name="methods-8"/>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Blake2b256(input)</w:t>
            </w:r>
          </w:p>
        </w:tc>
        <w:tc>
          <w:tcPr/>
          <w:p>
            <w:pPr>
              <w:pStyle w:val="Compact"/>
            </w:pPr>
            <w:r>
              <w:t xml:space="preserve">String</w:t>
            </w:r>
          </w:p>
        </w:tc>
        <w:tc>
          <w:tcPr/>
          <w:p>
            <w:pPr>
              <w:pStyle w:val="Compact"/>
            </w:pPr>
            <w:r>
              <w:t xml:space="preserve">64-character lowercase hexadecimal BLAKE2b-256 digest.</w:t>
            </w:r>
          </w:p>
        </w:tc>
      </w:tr>
      <w:tr>
        <w:tc>
          <w:tcPr/>
          <w:p>
            <w:pPr>
              <w:pStyle w:val="Compact"/>
            </w:pPr>
            <w:r>
              <w:rPr>
                <w:rStyle w:val="VerbatimChar"/>
              </w:rPr>
              <w:t xml:space="preserve">Blake2b512(input)</w:t>
            </w:r>
          </w:p>
        </w:tc>
        <w:tc>
          <w:tcPr/>
          <w:p>
            <w:pPr>
              <w:pStyle w:val="Compact"/>
            </w:pPr>
            <w:r>
              <w:t xml:space="preserve">String</w:t>
            </w:r>
          </w:p>
        </w:tc>
        <w:tc>
          <w:tcPr/>
          <w:p>
            <w:pPr>
              <w:pStyle w:val="Compact"/>
            </w:pPr>
            <w:r>
              <w:t xml:space="preserve">128-character lowercase hexadecimal BLAKE2b-512 digest.</w:t>
            </w:r>
          </w:p>
        </w:tc>
      </w:tr>
      <w:tr>
        <w:tc>
          <w:tcPr/>
          <w:p>
            <w:pPr>
              <w:pStyle w:val="Compact"/>
            </w:pPr>
            <w:r>
              <w:rPr>
                <w:rStyle w:val="VerbatimChar"/>
              </w:rPr>
              <w:t xml:space="preserve">ComputeHash(input [, algorithm])</w:t>
            </w:r>
          </w:p>
        </w:tc>
        <w:tc>
          <w:tcPr/>
          <w:p>
            <w:pPr>
              <w:pStyle w:val="Compact"/>
            </w:pPr>
            <w:r>
              <w:t xml:space="preserve">Array</w:t>
            </w:r>
          </w:p>
        </w:tc>
        <w:tc>
          <w:tcPr/>
          <w:p>
            <w:pPr>
              <w:pStyle w:val="Compact"/>
            </w:pPr>
            <w:r>
              <w:t xml:space="preserve">Raw digest bytes as a zero-based VBScript byte array.</w:t>
            </w:r>
          </w:p>
        </w:tc>
      </w:tr>
      <w:tr>
        <w:tc>
          <w:tcPr/>
          <w:p>
            <w:pPr>
              <w:pStyle w:val="Compact"/>
            </w:pPr>
            <w:r>
              <w:rPr>
                <w:rStyle w:val="VerbatimChar"/>
              </w:rPr>
              <w:t xml:space="preserve">GetBCryptCost()</w:t>
            </w:r>
          </w:p>
        </w:tc>
        <w:tc>
          <w:tcPr/>
          <w:p>
            <w:pPr>
              <w:pStyle w:val="Compact"/>
            </w:pPr>
            <w:r>
              <w:t xml:space="preserve">Integer</w:t>
            </w:r>
          </w:p>
        </w:tc>
        <w:tc>
          <w:tcPr/>
          <w:p>
            <w:pPr>
              <w:pStyle w:val="Compact"/>
            </w:pPr>
            <w:r>
              <w:t xml:space="preserve">Current bcrypt work factor.</w:t>
            </w:r>
          </w:p>
        </w:tc>
      </w:tr>
      <w:tr>
        <w:tc>
          <w:tcPr/>
          <w:p>
            <w:pPr>
              <w:pStyle w:val="Compact"/>
            </w:pPr>
            <w:r>
              <w:rPr>
                <w:rStyle w:val="VerbatimChar"/>
              </w:rPr>
              <w:t xml:space="preserve">HashPassword(password)</w:t>
            </w:r>
          </w:p>
        </w:tc>
        <w:tc>
          <w:tcPr/>
          <w:p>
            <w:pPr>
              <w:pStyle w:val="Compact"/>
            </w:pPr>
            <w:r>
              <w:t xml:space="preserve">String</w:t>
            </w:r>
          </w:p>
        </w:tc>
        <w:tc>
          <w:tcPr/>
          <w:p>
            <w:pPr>
              <w:pStyle w:val="Compact"/>
            </w:pPr>
            <w:r>
              <w:t xml:space="preserve">bcrypt hash string, or empty string on failure.</w:t>
            </w:r>
          </w:p>
        </w:tc>
      </w:tr>
      <w:tr>
        <w:tc>
          <w:tcPr/>
          <w:p>
            <w:pPr>
              <w:pStyle w:val="Compact"/>
            </w:pPr>
            <w:r>
              <w:rPr>
                <w:rStyle w:val="VerbatimChar"/>
              </w:rPr>
              <w:t xml:space="preserve">HmacSha256(data, key)</w:t>
            </w:r>
          </w:p>
        </w:tc>
        <w:tc>
          <w:tcPr/>
          <w:p>
            <w:pPr>
              <w:pStyle w:val="Compact"/>
            </w:pPr>
            <w:r>
              <w:t xml:space="preserve">String</w:t>
            </w:r>
          </w:p>
        </w:tc>
        <w:tc>
          <w:tcPr/>
          <w:p>
            <w:pPr>
              <w:pStyle w:val="Compact"/>
            </w:pPr>
            <w:r>
              <w:t xml:space="preserve">64-character lowercase hexadecimal HMAC-SHA256 digest.</w:t>
            </w:r>
          </w:p>
        </w:tc>
      </w:tr>
      <w:tr>
        <w:tc>
          <w:tcPr/>
          <w:p>
            <w:pPr>
              <w:pStyle w:val="Compact"/>
            </w:pPr>
            <w:r>
              <w:rPr>
                <w:rStyle w:val="VerbatimChar"/>
              </w:rPr>
              <w:t xml:space="preserve">HmacSha512(data, key)</w:t>
            </w:r>
          </w:p>
        </w:tc>
        <w:tc>
          <w:tcPr/>
          <w:p>
            <w:pPr>
              <w:pStyle w:val="Compact"/>
            </w:pPr>
            <w:r>
              <w:t xml:space="preserve">String</w:t>
            </w:r>
          </w:p>
        </w:tc>
        <w:tc>
          <w:tcPr/>
          <w:p>
            <w:pPr>
              <w:pStyle w:val="Compact"/>
            </w:pPr>
            <w:r>
              <w:t xml:space="preserve">128-character lowercase hexadecimal HMAC-SHA512 digest.</w:t>
            </w:r>
          </w:p>
        </w:tc>
      </w:tr>
      <w:tr>
        <w:tc>
          <w:tcPr/>
          <w:p>
            <w:pPr>
              <w:pStyle w:val="Compact"/>
            </w:pPr>
            <w:r>
              <w:rPr>
                <w:rStyle w:val="VerbatimChar"/>
              </w:rPr>
              <w:t xml:space="preserve">Initialize()</w:t>
            </w:r>
          </w:p>
        </w:tc>
        <w:tc>
          <w:tcPr/>
          <w:p>
            <w:pPr>
              <w:pStyle w:val="Compact"/>
            </w:pPr>
            <w:r>
              <w:t xml:space="preserve">Empty</w:t>
            </w:r>
          </w:p>
        </w:tc>
        <w:tc>
          <w:tcPr/>
          <w:p>
            <w:pPr>
              <w:pStyle w:val="Compact"/>
            </w:pPr>
            <w:r>
              <w:t xml:space="preserve">Clears internal last-hash state.</w:t>
            </w:r>
          </w:p>
        </w:tc>
      </w:tr>
      <w:tr>
        <w:tc>
          <w:tcPr/>
          <w:p>
            <w:pPr>
              <w:pStyle w:val="Compact"/>
            </w:pPr>
            <w:r>
              <w:rPr>
                <w:rStyle w:val="VerbatimChar"/>
              </w:rPr>
              <w:t xml:space="preserve">MD5(input)</w:t>
            </w:r>
          </w:p>
        </w:tc>
        <w:tc>
          <w:tcPr/>
          <w:p>
            <w:pPr>
              <w:pStyle w:val="Compact"/>
            </w:pPr>
            <w:r>
              <w:t xml:space="preserve">String</w:t>
            </w:r>
          </w:p>
        </w:tc>
        <w:tc>
          <w:tcPr/>
          <w:p>
            <w:pPr>
              <w:pStyle w:val="Compact"/>
            </w:pPr>
            <w:r>
              <w:t xml:space="preserve">32-character lowercase hexadecimal MD5 digest.</w:t>
            </w:r>
          </w:p>
        </w:tc>
      </w:tr>
      <w:tr>
        <w:tc>
          <w:tcPr/>
          <w:p>
            <w:pPr>
              <w:pStyle w:val="Compact"/>
            </w:pPr>
            <w:r>
              <w:rPr>
                <w:rStyle w:val="VerbatimChar"/>
              </w:rPr>
              <w:t xml:space="preserve">Pbkdf2Sha256(password, salt [, iterations] [, keyLength])</w:t>
            </w:r>
          </w:p>
        </w:tc>
        <w:tc>
          <w:tcPr/>
          <w:p>
            <w:pPr>
              <w:pStyle w:val="Compact"/>
            </w:pPr>
            <w:r>
              <w:t xml:space="preserve">String</w:t>
            </w:r>
          </w:p>
        </w:tc>
        <w:tc>
          <w:tcPr/>
          <w:p>
            <w:pPr>
              <w:pStyle w:val="Compact"/>
            </w:pPr>
            <w:r>
              <w:t xml:space="preserve">Lowercase hexadecimal derived key.</w:t>
            </w:r>
          </w:p>
        </w:tc>
      </w:tr>
      <w:tr>
        <w:tc>
          <w:tcPr/>
          <w:p>
            <w:pPr>
              <w:pStyle w:val="Compact"/>
            </w:pPr>
            <w:r>
              <w:rPr>
                <w:rStyle w:val="VerbatimChar"/>
              </w:rPr>
              <w:t xml:space="preserve">RandomBase64([size])</w:t>
            </w:r>
          </w:p>
        </w:tc>
        <w:tc>
          <w:tcPr/>
          <w:p>
            <w:pPr>
              <w:pStyle w:val="Compact"/>
            </w:pPr>
            <w:r>
              <w:t xml:space="preserve">String</w:t>
            </w:r>
          </w:p>
        </w:tc>
        <w:tc>
          <w:tcPr/>
          <w:p>
            <w:pPr>
              <w:pStyle w:val="Compact"/>
            </w:pPr>
            <w:r>
              <w:t xml:space="preserve">Base64-encoded cryptographically secure random bytes.</w:t>
            </w:r>
          </w:p>
        </w:tc>
      </w:tr>
      <w:tr>
        <w:tc>
          <w:tcPr/>
          <w:p>
            <w:pPr>
              <w:pStyle w:val="Compact"/>
            </w:pPr>
            <w:r>
              <w:rPr>
                <w:rStyle w:val="VerbatimChar"/>
              </w:rPr>
              <w:t xml:space="preserve">RandomBytes([size])</w:t>
            </w:r>
          </w:p>
        </w:tc>
        <w:tc>
          <w:tcPr/>
          <w:p>
            <w:pPr>
              <w:pStyle w:val="Compact"/>
            </w:pPr>
            <w:r>
              <w:t xml:space="preserve">Array</w:t>
            </w:r>
          </w:p>
        </w:tc>
        <w:tc>
          <w:tcPr/>
          <w:p>
            <w:pPr>
              <w:pStyle w:val="Compact"/>
            </w:pPr>
            <w:r>
              <w:t xml:space="preserve">Raw cryptographically secure random bytes as a VBScript byte array.</w:t>
            </w:r>
          </w:p>
        </w:tc>
      </w:tr>
      <w:tr>
        <w:tc>
          <w:tcPr/>
          <w:p>
            <w:pPr>
              <w:pStyle w:val="Compact"/>
            </w:pPr>
            <w:r>
              <w:rPr>
                <w:rStyle w:val="VerbatimChar"/>
              </w:rPr>
              <w:t xml:space="preserve">RandomHex([size])</w:t>
            </w:r>
          </w:p>
        </w:tc>
        <w:tc>
          <w:tcPr/>
          <w:p>
            <w:pPr>
              <w:pStyle w:val="Compact"/>
            </w:pPr>
            <w:r>
              <w:t xml:space="preserve">String</w:t>
            </w:r>
          </w:p>
        </w:tc>
        <w:tc>
          <w:tcPr/>
          <w:p>
            <w:pPr>
              <w:pStyle w:val="Compact"/>
            </w:pPr>
            <w:r>
              <w:t xml:space="preserve">Lowercase hexadecimal cryptographically secure random bytes.</w:t>
            </w:r>
          </w:p>
        </w:tc>
      </w:tr>
      <w:tr>
        <w:tc>
          <w:tcPr/>
          <w:p>
            <w:pPr>
              <w:pStyle w:val="Compact"/>
            </w:pPr>
            <w:r>
              <w:rPr>
                <w:rStyle w:val="VerbatimChar"/>
              </w:rPr>
              <w:t xml:space="preserve">SetBCryptCost(cost)</w:t>
            </w:r>
          </w:p>
        </w:tc>
        <w:tc>
          <w:tcPr/>
          <w:p>
            <w:pPr>
              <w:pStyle w:val="Compact"/>
            </w:pPr>
            <w:r>
              <w:t xml:space="preserve">Boolean</w:t>
            </w:r>
          </w:p>
        </w:tc>
        <w:tc>
          <w:tcPr/>
          <w:p>
            <w:pPr>
              <w:pStyle w:val="Compact"/>
            </w:pPr>
            <w:r>
              <w:rPr>
                <w:rStyle w:val="VerbatimChar"/>
              </w:rPr>
              <w:t xml:space="preserve">True</w:t>
            </w:r>
            <w:r>
              <w:t xml:space="preserve"> </w:t>
            </w:r>
            <w:r>
              <w:t xml:space="preserve">when cost is in range</w:t>
            </w:r>
            <w:r>
              <w:t xml:space="preserve"> </w:t>
            </w:r>
            <w:r>
              <w:rPr>
                <w:rStyle w:val="VerbatimChar"/>
              </w:rPr>
              <w:t xml:space="preserve">4..31</w:t>
            </w:r>
            <w:r>
              <w:t xml:space="preserve">; otherwise</w:t>
            </w:r>
            <w:r>
              <w:t xml:space="preserve"> </w:t>
            </w:r>
            <w:r>
              <w:rPr>
                <w:rStyle w:val="VerbatimChar"/>
              </w:rPr>
              <w:t xml:space="preserve">False</w:t>
            </w:r>
            <w:r>
              <w:t xml:space="preserve">.</w:t>
            </w:r>
          </w:p>
        </w:tc>
      </w:tr>
      <w:tr>
        <w:tc>
          <w:tcPr/>
          <w:p>
            <w:pPr>
              <w:pStyle w:val="Compact"/>
            </w:pPr>
            <w:r>
              <w:rPr>
                <w:rStyle w:val="VerbatimChar"/>
              </w:rPr>
              <w:t xml:space="preserve">SHA1(input)</w:t>
            </w:r>
          </w:p>
        </w:tc>
        <w:tc>
          <w:tcPr/>
          <w:p>
            <w:pPr>
              <w:pStyle w:val="Compact"/>
            </w:pPr>
            <w:r>
              <w:t xml:space="preserve">String</w:t>
            </w:r>
          </w:p>
        </w:tc>
        <w:tc>
          <w:tcPr/>
          <w:p>
            <w:pPr>
              <w:pStyle w:val="Compact"/>
            </w:pPr>
            <w:r>
              <w:t xml:space="preserve">40-character lowercase hexadecimal SHA-1 digest.</w:t>
            </w:r>
          </w:p>
        </w:tc>
      </w:tr>
      <w:tr>
        <w:tc>
          <w:tcPr/>
          <w:p>
            <w:pPr>
              <w:pStyle w:val="Compact"/>
            </w:pPr>
            <w:r>
              <w:rPr>
                <w:rStyle w:val="VerbatimChar"/>
              </w:rPr>
              <w:t xml:space="preserve">SHA256(input)</w:t>
            </w:r>
          </w:p>
        </w:tc>
        <w:tc>
          <w:tcPr/>
          <w:p>
            <w:pPr>
              <w:pStyle w:val="Compact"/>
            </w:pPr>
            <w:r>
              <w:t xml:space="preserve">String</w:t>
            </w:r>
          </w:p>
        </w:tc>
        <w:tc>
          <w:tcPr/>
          <w:p>
            <w:pPr>
              <w:pStyle w:val="Compact"/>
            </w:pPr>
            <w:r>
              <w:t xml:space="preserve">64-character lowercase hexadecimal SHA-256 digest.</w:t>
            </w:r>
          </w:p>
        </w:tc>
      </w:tr>
      <w:tr>
        <w:tc>
          <w:tcPr/>
          <w:p>
            <w:pPr>
              <w:pStyle w:val="Compact"/>
            </w:pPr>
            <w:r>
              <w:rPr>
                <w:rStyle w:val="VerbatimChar"/>
              </w:rPr>
              <w:t xml:space="preserve">SHA3_256(input)</w:t>
            </w:r>
          </w:p>
        </w:tc>
        <w:tc>
          <w:tcPr/>
          <w:p>
            <w:pPr>
              <w:pStyle w:val="Compact"/>
            </w:pPr>
            <w:r>
              <w:t xml:space="preserve">String</w:t>
            </w:r>
          </w:p>
        </w:tc>
        <w:tc>
          <w:tcPr/>
          <w:p>
            <w:pPr>
              <w:pStyle w:val="Compact"/>
            </w:pPr>
            <w:r>
              <w:t xml:space="preserve">64-character lowercase hexadecimal SHA3-256 digest.</w:t>
            </w:r>
          </w:p>
        </w:tc>
      </w:tr>
      <w:tr>
        <w:tc>
          <w:tcPr/>
          <w:p>
            <w:pPr>
              <w:pStyle w:val="Compact"/>
            </w:pPr>
            <w:r>
              <w:rPr>
                <w:rStyle w:val="VerbatimChar"/>
              </w:rPr>
              <w:t xml:space="preserve">SHA3_512(input)</w:t>
            </w:r>
          </w:p>
        </w:tc>
        <w:tc>
          <w:tcPr/>
          <w:p>
            <w:pPr>
              <w:pStyle w:val="Compact"/>
            </w:pPr>
            <w:r>
              <w:t xml:space="preserve">String</w:t>
            </w:r>
          </w:p>
        </w:tc>
        <w:tc>
          <w:tcPr/>
          <w:p>
            <w:pPr>
              <w:pStyle w:val="Compact"/>
            </w:pPr>
            <w:r>
              <w:t xml:space="preserve">128-character lowercase hexadecimal SHA3-512 digest.</w:t>
            </w:r>
          </w:p>
        </w:tc>
      </w:tr>
      <w:tr>
        <w:tc>
          <w:tcPr/>
          <w:p>
            <w:pPr>
              <w:pStyle w:val="Compact"/>
            </w:pPr>
            <w:r>
              <w:rPr>
                <w:rStyle w:val="VerbatimChar"/>
              </w:rPr>
              <w:t xml:space="preserve">SHA384(input)</w:t>
            </w:r>
          </w:p>
        </w:tc>
        <w:tc>
          <w:tcPr/>
          <w:p>
            <w:pPr>
              <w:pStyle w:val="Compact"/>
            </w:pPr>
            <w:r>
              <w:t xml:space="preserve">String</w:t>
            </w:r>
          </w:p>
        </w:tc>
        <w:tc>
          <w:tcPr/>
          <w:p>
            <w:pPr>
              <w:pStyle w:val="Compact"/>
            </w:pPr>
            <w:r>
              <w:t xml:space="preserve">96-character lowercase hexadecimal SHA-384 digest.</w:t>
            </w:r>
          </w:p>
        </w:tc>
      </w:tr>
      <w:tr>
        <w:tc>
          <w:tcPr/>
          <w:p>
            <w:pPr>
              <w:pStyle w:val="Compact"/>
            </w:pPr>
            <w:r>
              <w:rPr>
                <w:rStyle w:val="VerbatimChar"/>
              </w:rPr>
              <w:t xml:space="preserve">SHA512(input)</w:t>
            </w:r>
          </w:p>
        </w:tc>
        <w:tc>
          <w:tcPr/>
          <w:p>
            <w:pPr>
              <w:pStyle w:val="Compact"/>
            </w:pPr>
            <w:r>
              <w:t xml:space="preserve">String</w:t>
            </w:r>
          </w:p>
        </w:tc>
        <w:tc>
          <w:tcPr/>
          <w:p>
            <w:pPr>
              <w:pStyle w:val="Compact"/>
            </w:pPr>
            <w:r>
              <w:t xml:space="preserve">128-character lowercase hexadecimal SHA-512 digest.</w:t>
            </w:r>
          </w:p>
        </w:tc>
      </w:tr>
      <w:tr>
        <w:tc>
          <w:tcPr/>
          <w:p>
            <w:pPr>
              <w:pStyle w:val="Compact"/>
            </w:pPr>
            <w:r>
              <w:rPr>
                <w:rStyle w:val="VerbatimChar"/>
              </w:rPr>
              <w:t xml:space="preserve">UUID()</w:t>
            </w:r>
          </w:p>
        </w:tc>
        <w:tc>
          <w:tcPr/>
          <w:p>
            <w:pPr>
              <w:pStyle w:val="Compact"/>
            </w:pPr>
            <w:r>
              <w:t xml:space="preserve">String</w:t>
            </w:r>
          </w:p>
        </w:tc>
        <w:tc>
          <w:tcPr/>
          <w:p>
            <w:pPr>
              <w:pStyle w:val="Compact"/>
            </w:pPr>
            <w:r>
              <w:t xml:space="preserve">UUID v4 string, or empty string on random-source failure.</w:t>
            </w:r>
          </w:p>
        </w:tc>
      </w:tr>
      <w:tr>
        <w:tc>
          <w:tcPr/>
          <w:p>
            <w:pPr>
              <w:pStyle w:val="Compact"/>
            </w:pPr>
            <w:r>
              <w:rPr>
                <w:rStyle w:val="VerbatimChar"/>
              </w:rPr>
              <w:t xml:space="preserve">VerifyPassword(password, hash)</w:t>
            </w:r>
          </w:p>
        </w:tc>
        <w:tc>
          <w:tcPr/>
          <w:p>
            <w:pPr>
              <w:pStyle w:val="Compact"/>
            </w:pPr>
            <w:r>
              <w:t xml:space="preserve">Boolean</w:t>
            </w:r>
          </w:p>
        </w:tc>
        <w:tc>
          <w:tcPr/>
          <w:p>
            <w:pPr>
              <w:pStyle w:val="Compact"/>
            </w:pPr>
            <w:r>
              <w:rPr>
                <w:rStyle w:val="VerbatimChar"/>
              </w:rPr>
              <w:t xml:space="preserve">True</w:t>
            </w:r>
            <w:r>
              <w:t xml:space="preserve"> </w:t>
            </w:r>
            <w:r>
              <w:t xml:space="preserve">on bcrypt match; otherwise</w:t>
            </w:r>
            <w:r>
              <w:t xml:space="preserve"> </w:t>
            </w:r>
            <w:r>
              <w:rPr>
                <w:rStyle w:val="VerbatimChar"/>
              </w:rPr>
              <w:t xml:space="preserve">False</w:t>
            </w:r>
            <w:r>
              <w:t xml:space="preserve">.</w:t>
            </w:r>
          </w:p>
        </w:tc>
      </w:tr>
    </w:tbl>
    <w:bookmarkEnd w:id="2575"/>
    <w:bookmarkStart w:id="2576" w:name="remarks-225"/>
    <w:p>
      <w:pPr>
        <w:pStyle w:val="Heading2"/>
      </w:pPr>
      <w:r>
        <w:t xml:space="preserve">Remarks</w:t>
      </w:r>
    </w:p>
    <w:p>
      <w:pPr>
        <w:pStyle w:val="Compact"/>
        <w:numPr>
          <w:ilvl w:val="0"/>
          <w:numId w:val="1614"/>
        </w:numPr>
      </w:pPr>
      <w:r>
        <w:t xml:space="preserve">Method names are case-insensitive.</w:t>
      </w:r>
    </w:p>
    <w:p>
      <w:pPr>
        <w:pStyle w:val="Compact"/>
        <w:numPr>
          <w:ilvl w:val="0"/>
          <w:numId w:val="1614"/>
        </w:numPr>
      </w:pPr>
      <w:r>
        <w:t xml:space="preserve">Digest methods return lowercase hexadecimal text unless documented otherwise.</w:t>
      </w:r>
    </w:p>
    <w:p>
      <w:pPr>
        <w:pStyle w:val="Compact"/>
        <w:numPr>
          <w:ilvl w:val="0"/>
          <w:numId w:val="1614"/>
        </w:numPr>
      </w:pPr>
      <w:r>
        <w:rPr>
          <w:rStyle w:val="VerbatimChar"/>
        </w:rPr>
        <w:t xml:space="preserve">ComputeHash</w:t>
      </w:r>
      <w:r>
        <w:t xml:space="preserve"> </w:t>
      </w:r>
      <w:r>
        <w:t xml:space="preserve">returns raw bytes and updates</w:t>
      </w:r>
      <w:r>
        <w:t xml:space="preserve"> </w:t>
      </w:r>
      <w:r>
        <w:rPr>
          <w:rStyle w:val="VerbatimChar"/>
        </w:rPr>
        <w:t xml:space="preserve">Hash</w:t>
      </w:r>
      <w:r>
        <w:t xml:space="preserve"> </w:t>
      </w:r>
      <w:r>
        <w:t xml:space="preserve">when the algorithm is valid.</w:t>
      </w:r>
    </w:p>
    <w:bookmarkEnd w:id="2576"/>
    <w:bookmarkEnd w:id="2577"/>
    <w:bookmarkStart w:id="2582" w:name="g3crypto-properties"/>
    <w:p>
      <w:pPr>
        <w:pStyle w:val="Heading1"/>
      </w:pPr>
      <w:r>
        <w:t xml:space="preserve">G3CRYPTO Properties</w:t>
      </w:r>
    </w:p>
    <w:bookmarkStart w:id="2578" w:name="overview-240"/>
    <w:p>
      <w:pPr>
        <w:pStyle w:val="Heading2"/>
      </w:pPr>
      <w:r>
        <w:t xml:space="preserve">Overview</w:t>
      </w:r>
    </w:p>
    <w:p>
      <w:pPr>
        <w:pStyle w:val="FirstParagraph"/>
      </w:pPr>
      <w:r>
        <w:t xml:space="preserve">This page lists the properties exposed by</w:t>
      </w:r>
      <w:r>
        <w:t xml:space="preserve"> </w:t>
      </w:r>
      <w:r>
        <w:rPr>
          <w:rStyle w:val="VerbatimChar"/>
        </w:rPr>
        <w:t xml:space="preserve">G3CRYPTO</w:t>
      </w:r>
      <w:r>
        <w:t xml:space="preserve">.</w:t>
      </w:r>
    </w:p>
    <w:bookmarkEnd w:id="2578"/>
    <w:bookmarkStart w:id="2579" w:name="properties-10"/>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BCryptCost</w:t>
            </w:r>
          </w:p>
        </w:tc>
        <w:tc>
          <w:tcPr/>
          <w:p>
            <w:pPr>
              <w:pStyle w:val="Compact"/>
            </w:pPr>
            <w:r>
              <w:t xml:space="preserve">Read/Write</w:t>
            </w:r>
          </w:p>
        </w:tc>
        <w:tc>
          <w:tcPr/>
          <w:p>
            <w:pPr>
              <w:pStyle w:val="Compact"/>
            </w:pPr>
            <w:r>
              <w:t xml:space="preserve">Integer</w:t>
            </w:r>
          </w:p>
        </w:tc>
        <w:tc>
          <w:tcPr/>
          <w:p>
            <w:pPr>
              <w:pStyle w:val="Compact"/>
            </w:pPr>
            <w:r>
              <w:t xml:space="preserve">bcrypt work factor used by</w:t>
            </w:r>
            <w:r>
              <w:t xml:space="preserve"> </w:t>
            </w:r>
            <w:r>
              <w:rPr>
                <w:rStyle w:val="VerbatimChar"/>
              </w:rPr>
              <w:t xml:space="preserve">HashPassword</w:t>
            </w:r>
            <w:r>
              <w:t xml:space="preserve">.</w:t>
            </w:r>
          </w:p>
        </w:tc>
      </w:tr>
      <w:tr>
        <w:tc>
          <w:tcPr/>
          <w:p>
            <w:pPr>
              <w:pStyle w:val="Compact"/>
            </w:pPr>
            <w:r>
              <w:rPr>
                <w:rStyle w:val="VerbatimChar"/>
              </w:rPr>
              <w:t xml:space="preserve">CanReuseTransform</w:t>
            </w:r>
          </w:p>
        </w:tc>
        <w:tc>
          <w:tcPr/>
          <w:p>
            <w:pPr>
              <w:pStyle w:val="Compact"/>
            </w:pPr>
            <w:r>
              <w:t xml:space="preserve">Read-only</w:t>
            </w:r>
          </w:p>
        </w:tc>
        <w:tc>
          <w:tcPr/>
          <w:p>
            <w:pPr>
              <w:pStyle w:val="Compact"/>
            </w:pPr>
            <w:r>
              <w:t xml:space="preserve">Boolean</w:t>
            </w:r>
          </w:p>
        </w:tc>
        <w:tc>
          <w:tcPr/>
          <w:p>
            <w:pPr>
              <w:pStyle w:val="Compact"/>
            </w:pPr>
            <w:r>
              <w:t xml:space="preserve">Always</w:t>
            </w:r>
            <w:r>
              <w:t xml:space="preserve"> </w:t>
            </w:r>
            <w:r>
              <w:rPr>
                <w:rStyle w:val="VerbatimChar"/>
              </w:rPr>
              <w:t xml:space="preserve">True</w:t>
            </w:r>
            <w:r>
              <w:t xml:space="preserve">.</w:t>
            </w:r>
          </w:p>
        </w:tc>
      </w:tr>
      <w:tr>
        <w:tc>
          <w:tcPr/>
          <w:p>
            <w:pPr>
              <w:pStyle w:val="Compact"/>
            </w:pPr>
            <w:r>
              <w:rPr>
                <w:rStyle w:val="VerbatimChar"/>
              </w:rPr>
              <w:t xml:space="preserve">Hash</w:t>
            </w:r>
          </w:p>
        </w:tc>
        <w:tc>
          <w:tcPr/>
          <w:p>
            <w:pPr>
              <w:pStyle w:val="Compact"/>
            </w:pPr>
            <w:r>
              <w:t xml:space="preserve">Read-only</w:t>
            </w:r>
          </w:p>
        </w:tc>
        <w:tc>
          <w:tcPr/>
          <w:p>
            <w:pPr>
              <w:pStyle w:val="Compact"/>
            </w:pPr>
            <w:r>
              <w:t xml:space="preserve">Array</w:t>
            </w:r>
          </w:p>
        </w:tc>
        <w:tc>
          <w:tcPr/>
          <w:p>
            <w:pPr>
              <w:pStyle w:val="Compact"/>
            </w:pPr>
            <w:r>
              <w:t xml:space="preserve">Raw bytes from the most recent digest operation that updates internal hash state.</w:t>
            </w:r>
          </w:p>
        </w:tc>
      </w:tr>
      <w:tr>
        <w:tc>
          <w:tcPr/>
          <w:p>
            <w:pPr>
              <w:pStyle w:val="Compact"/>
            </w:pPr>
            <w:r>
              <w:rPr>
                <w:rStyle w:val="VerbatimChar"/>
              </w:rPr>
              <w:t xml:space="preserve">HashSize</w:t>
            </w:r>
          </w:p>
        </w:tc>
        <w:tc>
          <w:tcPr/>
          <w:p>
            <w:pPr>
              <w:pStyle w:val="Compact"/>
            </w:pPr>
            <w:r>
              <w:t xml:space="preserve">Read-only</w:t>
            </w:r>
          </w:p>
        </w:tc>
        <w:tc>
          <w:tcPr/>
          <w:p>
            <w:pPr>
              <w:pStyle w:val="Compact"/>
            </w:pPr>
            <w:r>
              <w:t xml:space="preserve">Integer</w:t>
            </w:r>
          </w:p>
        </w:tc>
        <w:tc>
          <w:tcPr/>
          <w:p>
            <w:pPr>
              <w:pStyle w:val="Compact"/>
            </w:pPr>
            <w:r>
              <w:t xml:space="preserve">Digest size in bits for the current internal hash context.</w:t>
            </w:r>
          </w:p>
        </w:tc>
      </w:tr>
    </w:tbl>
    <w:bookmarkEnd w:id="2579"/>
    <w:bookmarkStart w:id="2581" w:name="remarks-226"/>
    <w:p>
      <w:pPr>
        <w:pStyle w:val="Heading2"/>
      </w:pPr>
      <w:r>
        <w:t xml:space="preserve">Remarks</w:t>
      </w:r>
    </w:p>
    <w:p>
      <w:pPr>
        <w:pStyle w:val="Compact"/>
        <w:numPr>
          <w:ilvl w:val="0"/>
          <w:numId w:val="1615"/>
        </w:numPr>
      </w:pPr>
      <w:r>
        <w:t xml:space="preserve">Property reads do not perform cryptographic work.</w:t>
      </w:r>
    </w:p>
    <w:p>
      <w:pPr>
        <w:pStyle w:val="Compact"/>
        <w:numPr>
          <w:ilvl w:val="0"/>
          <w:numId w:val="1615"/>
        </w:numPr>
      </w:pPr>
      <w:r>
        <w:t xml:space="preserve">Setting</w:t>
      </w:r>
      <w:r>
        <w:t xml:space="preserve"> </w:t>
      </w:r>
      <w:r>
        <w:rPr>
          <w:rStyle w:val="VerbatimChar"/>
        </w:rPr>
        <w:t xml:space="preserve">BCryptCost</w:t>
      </w:r>
      <w:r>
        <w:t xml:space="preserve"> </w:t>
      </w:r>
      <w:r>
        <w:t xml:space="preserve">outside</w:t>
      </w:r>
      <w:r>
        <w:t xml:space="preserve"> </w:t>
      </w:r>
      <w:r>
        <w:rPr>
          <w:rStyle w:val="VerbatimChar"/>
        </w:rPr>
        <w:t xml:space="preserve">4..31</w:t>
      </w:r>
      <w:r>
        <w:t xml:space="preserve"> </w:t>
      </w:r>
      <w:r>
        <w:t xml:space="preserve">is ignored.</w:t>
      </w:r>
    </w:p>
    <w:bookmarkStart w:id="2580" w:name="methods-detail-3"/>
    <w:p>
      <w:pPr>
        <w:pStyle w:val="Heading3"/>
      </w:pPr>
      <w:r>
        <w:t xml:space="preserve">Methods Detail</w:t>
      </w:r>
    </w:p>
    <w:bookmarkEnd w:id="2580"/>
    <w:bookmarkEnd w:id="2581"/>
    <w:bookmarkEnd w:id="2582"/>
    <w:bookmarkStart w:id="2591" w:name="compute-a-blake2b-256-digest"/>
    <w:p>
      <w:pPr>
        <w:pStyle w:val="Heading1"/>
      </w:pPr>
      <w:r>
        <w:t xml:space="preserve">Compute a BLAKE2b-256 Digest</w:t>
      </w:r>
    </w:p>
    <w:bookmarkStart w:id="2583" w:name="overview-241"/>
    <w:p>
      <w:pPr>
        <w:pStyle w:val="Heading2"/>
      </w:pPr>
      <w:r>
        <w:t xml:space="preserve">Overview</w:t>
      </w:r>
    </w:p>
    <w:p>
      <w:pPr>
        <w:pStyle w:val="FirstParagraph"/>
      </w:pPr>
      <w:r>
        <w:t xml:space="preserve">Computes the BLAKE2b-256 digest of the input and returns the result as a lowercase hexadecimal string.</w:t>
      </w:r>
    </w:p>
    <w:bookmarkEnd w:id="2583"/>
    <w:bookmarkStart w:id="2584" w:name="prerequisites-9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584"/>
    <w:bookmarkStart w:id="2585" w:name="syntax-253"/>
    <w:p>
      <w:pPr>
        <w:pStyle w:val="Heading2"/>
      </w:pPr>
      <w:r>
        <w:t xml:space="preserve">Syntax</w:t>
      </w:r>
    </w:p>
    <w:p>
      <w:pPr>
        <w:pStyle w:val="SourceCode"/>
      </w:pPr>
      <w:r>
        <w:rPr>
          <w:rStyle w:val="NormalTok"/>
        </w:rPr>
        <w:t xml:space="preserve">result = crypto.Blake2b256(input)</w:t>
      </w:r>
    </w:p>
    <w:bookmarkEnd w:id="2585"/>
    <w:bookmarkStart w:id="2586" w:name="parameters-16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586"/>
    <w:bookmarkStart w:id="2587" w:name="return-value-177"/>
    <w:p>
      <w:pPr>
        <w:pStyle w:val="Heading2"/>
      </w:pPr>
      <w:r>
        <w:t xml:space="preserve">Return Value</w:t>
      </w:r>
    </w:p>
    <w:p>
      <w:pPr>
        <w:pStyle w:val="Compact"/>
        <w:numPr>
          <w:ilvl w:val="0"/>
          <w:numId w:val="1616"/>
        </w:numPr>
      </w:pPr>
      <w:r>
        <w:rPr>
          <w:b/>
          <w:bCs/>
        </w:rPr>
        <w:t xml:space="preserve">String</w:t>
      </w:r>
      <w:r>
        <w:t xml:space="preserve">: 64-character lowercase hexadecimal BLAKE2b-256 digest.</w:t>
      </w:r>
    </w:p>
    <w:bookmarkEnd w:id="2587"/>
    <w:bookmarkStart w:id="2588" w:name="remarks-227"/>
    <w:p>
      <w:pPr>
        <w:pStyle w:val="Heading2"/>
      </w:pPr>
      <w:r>
        <w:t xml:space="preserve">Remarks</w:t>
      </w:r>
    </w:p>
    <w:p>
      <w:pPr>
        <w:pStyle w:val="Compact"/>
        <w:numPr>
          <w:ilvl w:val="0"/>
          <w:numId w:val="1617"/>
        </w:numPr>
      </w:pPr>
      <w:r>
        <w:t xml:space="preserve">BLAKE2b is optimized for performance and provides strong cryptographic properties.</w:t>
      </w:r>
    </w:p>
    <w:p>
      <w:pPr>
        <w:pStyle w:val="Compact"/>
        <w:numPr>
          <w:ilvl w:val="0"/>
          <w:numId w:val="1617"/>
        </w:numPr>
      </w:pPr>
      <w:r>
        <w:t xml:space="preserve">Method names are case-insensitive.</w:t>
      </w:r>
    </w:p>
    <w:bookmarkEnd w:id="2588"/>
    <w:bookmarkStart w:id="2589" w:name="example-18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crypto.Blake2b256</w:t>
      </w:r>
      <w:r>
        <w:rPr>
          <w:rStyle w:val="OtherTok"/>
        </w:rPr>
        <w:t xml:space="preserve">(</w:t>
      </w:r>
      <w:r>
        <w:rPr>
          <w:rStyle w:val="StringTok"/>
        </w:rPr>
        <w:t xml:space="preserve">"Hello AxonASP"</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589"/>
    <w:bookmarkStart w:id="2590" w:name="api-reference-98"/>
    <w:p>
      <w:pPr>
        <w:pStyle w:val="Heading2"/>
      </w:pPr>
      <w:r>
        <w:t xml:space="preserve">API Reference</w:t>
      </w:r>
    </w:p>
    <w:p>
      <w:pPr>
        <w:pStyle w:val="Compact"/>
        <w:numPr>
          <w:ilvl w:val="0"/>
          <w:numId w:val="1618"/>
        </w:numPr>
      </w:pPr>
      <w:r>
        <w:rPr>
          <w:b/>
          <w:bCs/>
        </w:rPr>
        <w:t xml:space="preserve">Object</w:t>
      </w:r>
      <w:r>
        <w:t xml:space="preserve">:</w:t>
      </w:r>
      <w:r>
        <w:t xml:space="preserve"> </w:t>
      </w:r>
      <w:r>
        <w:rPr>
          <w:rStyle w:val="VerbatimChar"/>
        </w:rPr>
        <w:t xml:space="preserve">G3CRYPTO</w:t>
      </w:r>
    </w:p>
    <w:p>
      <w:pPr>
        <w:pStyle w:val="Compact"/>
        <w:numPr>
          <w:ilvl w:val="0"/>
          <w:numId w:val="1618"/>
        </w:numPr>
      </w:pPr>
      <w:r>
        <w:rPr>
          <w:b/>
          <w:bCs/>
        </w:rPr>
        <w:t xml:space="preserve">Method</w:t>
      </w:r>
      <w:r>
        <w:t xml:space="preserve">:</w:t>
      </w:r>
      <w:r>
        <w:t xml:space="preserve"> </w:t>
      </w:r>
      <w:r>
        <w:rPr>
          <w:rStyle w:val="VerbatimChar"/>
        </w:rPr>
        <w:t xml:space="preserve">Blake2b256</w:t>
      </w:r>
    </w:p>
    <w:p>
      <w:pPr>
        <w:pStyle w:val="Compact"/>
        <w:numPr>
          <w:ilvl w:val="0"/>
          <w:numId w:val="1618"/>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18"/>
        </w:numPr>
      </w:pPr>
      <w:r>
        <w:rPr>
          <w:b/>
          <w:bCs/>
        </w:rPr>
        <w:t xml:space="preserve">Returns</w:t>
      </w:r>
      <w:r>
        <w:t xml:space="preserve">: String — 64-character lowercase hexadecimal digest</w:t>
      </w:r>
    </w:p>
    <w:bookmarkEnd w:id="2590"/>
    <w:bookmarkEnd w:id="2591"/>
    <w:bookmarkStart w:id="2600" w:name="compute-a-blake2b-512-digest"/>
    <w:p>
      <w:pPr>
        <w:pStyle w:val="Heading1"/>
      </w:pPr>
      <w:r>
        <w:t xml:space="preserve">Compute a BLAKE2b-512 Digest</w:t>
      </w:r>
    </w:p>
    <w:bookmarkStart w:id="2592" w:name="overview-242"/>
    <w:p>
      <w:pPr>
        <w:pStyle w:val="Heading2"/>
      </w:pPr>
      <w:r>
        <w:t xml:space="preserve">Overview</w:t>
      </w:r>
    </w:p>
    <w:p>
      <w:pPr>
        <w:pStyle w:val="FirstParagraph"/>
      </w:pPr>
      <w:r>
        <w:t xml:space="preserve">Computes the BLAKE2b-512 digest of the input and returns the result as a lowercase hexadecimal string.</w:t>
      </w:r>
    </w:p>
    <w:bookmarkEnd w:id="2592"/>
    <w:bookmarkStart w:id="2593" w:name="prerequisites-9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593"/>
    <w:bookmarkStart w:id="2594" w:name="syntax-254"/>
    <w:p>
      <w:pPr>
        <w:pStyle w:val="Heading2"/>
      </w:pPr>
      <w:r>
        <w:t xml:space="preserve">Syntax</w:t>
      </w:r>
    </w:p>
    <w:p>
      <w:pPr>
        <w:pStyle w:val="SourceCode"/>
      </w:pPr>
      <w:r>
        <w:rPr>
          <w:rStyle w:val="NormalTok"/>
        </w:rPr>
        <w:t xml:space="preserve">result = crypto.Blake2b512(input)</w:t>
      </w:r>
    </w:p>
    <w:bookmarkEnd w:id="2594"/>
    <w:bookmarkStart w:id="2595" w:name="parameters-16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595"/>
    <w:bookmarkStart w:id="2596" w:name="return-value-178"/>
    <w:p>
      <w:pPr>
        <w:pStyle w:val="Heading2"/>
      </w:pPr>
      <w:r>
        <w:t xml:space="preserve">Return Value</w:t>
      </w:r>
    </w:p>
    <w:p>
      <w:pPr>
        <w:pStyle w:val="Compact"/>
        <w:numPr>
          <w:ilvl w:val="0"/>
          <w:numId w:val="1619"/>
        </w:numPr>
      </w:pPr>
      <w:r>
        <w:rPr>
          <w:b/>
          <w:bCs/>
        </w:rPr>
        <w:t xml:space="preserve">String</w:t>
      </w:r>
      <w:r>
        <w:t xml:space="preserve">: 128-character lowercase hexadecimal BLAKE2b-512 digest.</w:t>
      </w:r>
    </w:p>
    <w:bookmarkEnd w:id="2596"/>
    <w:bookmarkStart w:id="2597" w:name="remarks-228"/>
    <w:p>
      <w:pPr>
        <w:pStyle w:val="Heading2"/>
      </w:pPr>
      <w:r>
        <w:t xml:space="preserve">Remarks</w:t>
      </w:r>
    </w:p>
    <w:p>
      <w:pPr>
        <w:pStyle w:val="Compact"/>
        <w:numPr>
          <w:ilvl w:val="0"/>
          <w:numId w:val="1620"/>
        </w:numPr>
      </w:pPr>
      <w:r>
        <w:t xml:space="preserve">BLAKE2b-512 is suitable for high-integrity scenarios requiring a 512-bit digest.</w:t>
      </w:r>
    </w:p>
    <w:p>
      <w:pPr>
        <w:pStyle w:val="Compact"/>
        <w:numPr>
          <w:ilvl w:val="0"/>
          <w:numId w:val="1620"/>
        </w:numPr>
      </w:pPr>
      <w:r>
        <w:t xml:space="preserve">Method names are case-insensitive.</w:t>
      </w:r>
    </w:p>
    <w:bookmarkEnd w:id="2597"/>
    <w:bookmarkStart w:id="2598" w:name="example-18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crypto.Blake2b512</w:t>
      </w:r>
      <w:r>
        <w:rPr>
          <w:rStyle w:val="OtherTok"/>
        </w:rPr>
        <w:t xml:space="preserve">(</w:t>
      </w:r>
      <w:r>
        <w:rPr>
          <w:rStyle w:val="StringTok"/>
        </w:rPr>
        <w:t xml:space="preserve">"Hello AxonASP"</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598"/>
    <w:bookmarkStart w:id="2599" w:name="api-reference-99"/>
    <w:p>
      <w:pPr>
        <w:pStyle w:val="Heading2"/>
      </w:pPr>
      <w:r>
        <w:t xml:space="preserve">API Reference</w:t>
      </w:r>
    </w:p>
    <w:p>
      <w:pPr>
        <w:pStyle w:val="Compact"/>
        <w:numPr>
          <w:ilvl w:val="0"/>
          <w:numId w:val="1621"/>
        </w:numPr>
      </w:pPr>
      <w:r>
        <w:rPr>
          <w:b/>
          <w:bCs/>
        </w:rPr>
        <w:t xml:space="preserve">Object</w:t>
      </w:r>
      <w:r>
        <w:t xml:space="preserve">:</w:t>
      </w:r>
      <w:r>
        <w:t xml:space="preserve"> </w:t>
      </w:r>
      <w:r>
        <w:rPr>
          <w:rStyle w:val="VerbatimChar"/>
        </w:rPr>
        <w:t xml:space="preserve">G3CRYPTO</w:t>
      </w:r>
    </w:p>
    <w:p>
      <w:pPr>
        <w:pStyle w:val="Compact"/>
        <w:numPr>
          <w:ilvl w:val="0"/>
          <w:numId w:val="1621"/>
        </w:numPr>
      </w:pPr>
      <w:r>
        <w:rPr>
          <w:b/>
          <w:bCs/>
        </w:rPr>
        <w:t xml:space="preserve">Method</w:t>
      </w:r>
      <w:r>
        <w:t xml:space="preserve">:</w:t>
      </w:r>
      <w:r>
        <w:t xml:space="preserve"> </w:t>
      </w:r>
      <w:r>
        <w:rPr>
          <w:rStyle w:val="VerbatimChar"/>
        </w:rPr>
        <w:t xml:space="preserve">Blake2b512</w:t>
      </w:r>
    </w:p>
    <w:p>
      <w:pPr>
        <w:pStyle w:val="Compact"/>
        <w:numPr>
          <w:ilvl w:val="0"/>
          <w:numId w:val="1621"/>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21"/>
        </w:numPr>
      </w:pPr>
      <w:r>
        <w:rPr>
          <w:b/>
          <w:bCs/>
        </w:rPr>
        <w:t xml:space="preserve">Returns</w:t>
      </w:r>
      <w:r>
        <w:t xml:space="preserve">: String — 128-character lowercase hexadecimal digest</w:t>
      </w:r>
    </w:p>
    <w:bookmarkEnd w:id="2599"/>
    <w:bookmarkEnd w:id="2600"/>
    <w:bookmarkStart w:id="2609" w:name="compute-a-hash-as-a-byte-array"/>
    <w:p>
      <w:pPr>
        <w:pStyle w:val="Heading1"/>
      </w:pPr>
      <w:r>
        <w:t xml:space="preserve">Compute a Hash as a Byte Array</w:t>
      </w:r>
    </w:p>
    <w:bookmarkStart w:id="2601" w:name="overview-243"/>
    <w:p>
      <w:pPr>
        <w:pStyle w:val="Heading2"/>
      </w:pPr>
      <w:r>
        <w:t xml:space="preserve">Overview</w:t>
      </w:r>
    </w:p>
    <w:p>
      <w:pPr>
        <w:pStyle w:val="FirstParagraph"/>
      </w:pPr>
      <w:r>
        <w:t xml:space="preserve">Computes a hash digest and returns the raw digest bytes as a VBScript array.</w:t>
      </w:r>
    </w:p>
    <w:bookmarkEnd w:id="2601"/>
    <w:bookmarkStart w:id="2602" w:name="prerequisites-9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02"/>
    <w:bookmarkStart w:id="2603" w:name="syntax-255"/>
    <w:p>
      <w:pPr>
        <w:pStyle w:val="Heading2"/>
      </w:pPr>
      <w:r>
        <w:t xml:space="preserve">Syntax</w:t>
      </w:r>
    </w:p>
    <w:p>
      <w:pPr>
        <w:pStyle w:val="SourceCode"/>
      </w:pPr>
      <w:r>
        <w:rPr>
          <w:rStyle w:val="NormalTok"/>
        </w:rPr>
        <w:t xml:space="preserve">result = crypto.ComputeHash(input [, algorithm])</w:t>
      </w:r>
    </w:p>
    <w:bookmarkEnd w:id="2603"/>
    <w:bookmarkStart w:id="2604" w:name="parameters-16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an empty string is hashed.</w:t>
            </w:r>
          </w:p>
        </w:tc>
      </w:tr>
      <w:tr>
        <w:tc>
          <w:tcPr/>
          <w:p>
            <w:pPr>
              <w:pStyle w:val="Compact"/>
            </w:pPr>
            <w:r>
              <w:rPr>
                <w:b/>
                <w:bCs/>
              </w:rPr>
              <w:t xml:space="preserve">algorithm</w:t>
            </w:r>
          </w:p>
        </w:tc>
        <w:tc>
          <w:tcPr/>
          <w:p>
            <w:pPr>
              <w:pStyle w:val="Compact"/>
            </w:pPr>
            <w:r>
              <w:t xml:space="preserve">String</w:t>
            </w:r>
          </w:p>
        </w:tc>
        <w:tc>
          <w:tcPr/>
          <w:p>
            <w:pPr>
              <w:pStyle w:val="Compact"/>
            </w:pPr>
            <w:r>
              <w:t xml:space="preserve">No</w:t>
            </w:r>
          </w:p>
        </w:tc>
        <w:tc>
          <w:tcPr/>
          <w:p>
            <w:pPr>
              <w:pStyle w:val="Compact"/>
            </w:pPr>
            <w:r>
              <w:t xml:space="preserve">Hash algorithm name. If omitted on a standard</w:t>
            </w:r>
            <w:r>
              <w:t xml:space="preserve"> </w:t>
            </w:r>
            <w:r>
              <w:rPr>
                <w:rStyle w:val="VerbatimChar"/>
              </w:rPr>
              <w:t xml:space="preserve">G3CRYPTO</w:t>
            </w:r>
            <w:r>
              <w:t xml:space="preserve"> </w:t>
            </w:r>
            <w:r>
              <w:t xml:space="preserve">instance,</w:t>
            </w:r>
            <w:r>
              <w:t xml:space="preserve"> </w:t>
            </w:r>
            <w:r>
              <w:rPr>
                <w:rStyle w:val="VerbatimChar"/>
              </w:rPr>
              <w:t xml:space="preserve">sha256</w:t>
            </w:r>
            <w:r>
              <w:t xml:space="preserve"> </w:t>
            </w:r>
            <w:r>
              <w:t xml:space="preserve">is used.</w:t>
            </w:r>
          </w:p>
        </w:tc>
      </w:tr>
    </w:tbl>
    <w:p>
      <w:pPr>
        <w:pStyle w:val="BodyText"/>
      </w:pPr>
      <w:r>
        <w:t xml:space="preserve">Supported algorithm names:</w:t>
      </w:r>
      <w:r>
        <w:t xml:space="preserve"> </w:t>
      </w:r>
      <w:r>
        <w:rPr>
          <w:rStyle w:val="VerbatimChar"/>
        </w:rPr>
        <w:t xml:space="preserve">md5</w:t>
      </w:r>
      <w:r>
        <w:t xml:space="preserve">,</w:t>
      </w:r>
      <w:r>
        <w:t xml:space="preserve"> </w:t>
      </w:r>
      <w:r>
        <w:rPr>
          <w:rStyle w:val="VerbatimChar"/>
        </w:rPr>
        <w:t xml:space="preserve">sha1</w:t>
      </w:r>
      <w:r>
        <w:t xml:space="preserve">,</w:t>
      </w:r>
      <w:r>
        <w:t xml:space="preserve"> </w:t>
      </w:r>
      <w:r>
        <w:rPr>
          <w:rStyle w:val="VerbatimChar"/>
        </w:rPr>
        <w:t xml:space="preserve">sha256</w:t>
      </w:r>
      <w:r>
        <w:t xml:space="preserve">,</w:t>
      </w:r>
      <w:r>
        <w:t xml:space="preserve"> </w:t>
      </w:r>
      <w:r>
        <w:rPr>
          <w:rStyle w:val="VerbatimChar"/>
        </w:rPr>
        <w:t xml:space="preserve">sha384</w:t>
      </w:r>
      <w:r>
        <w:t xml:space="preserve">,</w:t>
      </w:r>
      <w:r>
        <w:t xml:space="preserve"> </w:t>
      </w:r>
      <w:r>
        <w:rPr>
          <w:rStyle w:val="VerbatimChar"/>
        </w:rPr>
        <w:t xml:space="preserve">sha512</w:t>
      </w:r>
      <w:r>
        <w:t xml:space="preserve">,</w:t>
      </w:r>
      <w:r>
        <w:t xml:space="preserve"> </w:t>
      </w:r>
      <w:r>
        <w:rPr>
          <w:rStyle w:val="VerbatimChar"/>
        </w:rPr>
        <w:t xml:space="preserve">sha3_256</w:t>
      </w:r>
      <w:r>
        <w:t xml:space="preserve">,</w:t>
      </w:r>
      <w:r>
        <w:t xml:space="preserve"> </w:t>
      </w:r>
      <w:r>
        <w:rPr>
          <w:rStyle w:val="VerbatimChar"/>
        </w:rPr>
        <w:t xml:space="preserve">sha3_512</w:t>
      </w:r>
      <w:r>
        <w:t xml:space="preserve">,</w:t>
      </w:r>
      <w:r>
        <w:t xml:space="preserve"> </w:t>
      </w:r>
      <w:r>
        <w:rPr>
          <w:rStyle w:val="VerbatimChar"/>
        </w:rPr>
        <w:t xml:space="preserve">blake2b256</w:t>
      </w:r>
      <w:r>
        <w:t xml:space="preserve">,</w:t>
      </w:r>
      <w:r>
        <w:t xml:space="preserve"> </w:t>
      </w:r>
      <w:r>
        <w:rPr>
          <w:rStyle w:val="VerbatimChar"/>
        </w:rPr>
        <w:t xml:space="preserve">blake2b512</w:t>
      </w:r>
      <w:r>
        <w:t xml:space="preserve">.</w:t>
      </w:r>
    </w:p>
    <w:bookmarkEnd w:id="2604"/>
    <w:bookmarkStart w:id="2605" w:name="return-value-179"/>
    <w:p>
      <w:pPr>
        <w:pStyle w:val="Heading2"/>
      </w:pPr>
      <w:r>
        <w:t xml:space="preserve">Return Value</w:t>
      </w:r>
    </w:p>
    <w:p>
      <w:pPr>
        <w:pStyle w:val="Compact"/>
        <w:numPr>
          <w:ilvl w:val="0"/>
          <w:numId w:val="1622"/>
        </w:numPr>
      </w:pPr>
      <w:r>
        <w:rPr>
          <w:b/>
          <w:bCs/>
        </w:rPr>
        <w:t xml:space="preserve">Array</w:t>
      </w:r>
      <w:r>
        <w:t xml:space="preserve">: Zero-based VBScript byte array containing the digest.</w:t>
      </w:r>
    </w:p>
    <w:p>
      <w:pPr>
        <w:pStyle w:val="Compact"/>
        <w:numPr>
          <w:ilvl w:val="0"/>
          <w:numId w:val="1622"/>
        </w:numPr>
      </w:pPr>
      <w:r>
        <w:rPr>
          <w:b/>
          <w:bCs/>
        </w:rPr>
        <w:t xml:space="preserve">Array (empty)</w:t>
      </w:r>
      <w:r>
        <w:t xml:space="preserve">: Returned when the algorithm name is not recognized.</w:t>
      </w:r>
    </w:p>
    <w:bookmarkEnd w:id="2605"/>
    <w:bookmarkStart w:id="2606" w:name="remarks-229"/>
    <w:p>
      <w:pPr>
        <w:pStyle w:val="Heading2"/>
      </w:pPr>
      <w:r>
        <w:t xml:space="preserve">Remarks</w:t>
      </w:r>
    </w:p>
    <w:p>
      <w:pPr>
        <w:pStyle w:val="Compact"/>
        <w:numPr>
          <w:ilvl w:val="0"/>
          <w:numId w:val="1623"/>
        </w:numPr>
      </w:pPr>
      <w:r>
        <w:t xml:space="preserve">This method updates the</w:t>
      </w:r>
      <w:r>
        <w:t xml:space="preserve"> </w:t>
      </w:r>
      <w:r>
        <w:rPr>
          <w:rStyle w:val="VerbatimChar"/>
        </w:rPr>
        <w:t xml:space="preserve">Hash</w:t>
      </w:r>
      <w:r>
        <w:t xml:space="preserve"> </w:t>
      </w:r>
      <w:r>
        <w:t xml:space="preserve">property with the same bytes when a valid algorithm is used.</w:t>
      </w:r>
    </w:p>
    <w:p>
      <w:pPr>
        <w:pStyle w:val="Compact"/>
        <w:numPr>
          <w:ilvl w:val="0"/>
          <w:numId w:val="1623"/>
        </w:numPr>
      </w:pPr>
      <w:r>
        <w:t xml:space="preserve">When the algorithm is invalid,</w:t>
      </w:r>
      <w:r>
        <w:t xml:space="preserve"> </w:t>
      </w:r>
      <w:r>
        <w:rPr>
          <w:rStyle w:val="VerbatimChar"/>
        </w:rPr>
        <w:t xml:space="preserve">Hash</w:t>
      </w:r>
      <w:r>
        <w:t xml:space="preserve"> </w:t>
      </w:r>
      <w:r>
        <w:t xml:space="preserve">is not updated.</w:t>
      </w:r>
    </w:p>
    <w:p>
      <w:pPr>
        <w:pStyle w:val="Compact"/>
        <w:numPr>
          <w:ilvl w:val="0"/>
          <w:numId w:val="1623"/>
        </w:numPr>
      </w:pPr>
      <w:r>
        <w:t xml:space="preserve">Method names are case-insensitive.</w:t>
      </w:r>
    </w:p>
    <w:bookmarkEnd w:id="2606"/>
    <w:bookmarkStart w:id="2607" w:name="example-18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hashBytes</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hashBytes = crypto.ComputeHash</w:t>
      </w:r>
      <w:r>
        <w:rPr>
          <w:rStyle w:val="OtherTok"/>
        </w:rPr>
        <w:t xml:space="preserve">(</w:t>
      </w:r>
      <w:r>
        <w:rPr>
          <w:rStyle w:val="StringTok"/>
        </w:rPr>
        <w:t xml:space="preserve">"Hello World"</w:t>
      </w:r>
      <w:r>
        <w:rPr>
          <w:rStyle w:val="OtherTok"/>
        </w:rPr>
        <w:t xml:space="preserve">,</w:t>
      </w:r>
      <w:r>
        <w:rPr>
          <w:rStyle w:val="NormalTok"/>
        </w:rPr>
        <w:t xml:space="preserve"> </w:t>
      </w:r>
      <w:r>
        <w:rPr>
          <w:rStyle w:val="StringTok"/>
        </w:rPr>
        <w:t xml:space="preserve">"sha256"</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"Digest bytes: "</w:t>
      </w:r>
      <w:r>
        <w:rPr>
          <w:rStyle w:val="NormalTok"/>
        </w:rPr>
        <w:t xml:space="preserve"> </w:t>
      </w:r>
      <w:r>
        <w:rPr>
          <w:rStyle w:val="KeywordTok"/>
        </w:rPr>
        <w:t xml:space="preserve">&amp;</w:t>
      </w:r>
      <w:r>
        <w:rPr>
          <w:rStyle w:val="NormalTok"/>
        </w:rPr>
        <w:t xml:space="preserve"> </w:t>
      </w:r>
      <w:r>
        <w:rPr>
          <w:rStyle w:val="OtherTok"/>
        </w:rPr>
        <w:t xml:space="preserve">(</w:t>
      </w:r>
      <w:r>
        <w:rPr>
          <w:rStyle w:val="FunctionTok"/>
        </w:rPr>
        <w:t xml:space="preserve">UBound</w:t>
      </w:r>
      <w:r>
        <w:rPr>
          <w:rStyle w:val="OtherTok"/>
        </w:rPr>
        <w:t xml:space="preserve">(</w:t>
      </w:r>
      <w:r>
        <w:rPr>
          <w:rStyle w:val="NormalTok"/>
        </w:rPr>
        <w:t xml:space="preserve">hashBytes</w:t>
      </w:r>
      <w:r>
        <w:rPr>
          <w:rStyle w:val="OtherTok"/>
        </w:rPr>
        <w:t xml:space="preserve">)</w:t>
      </w:r>
      <w:r>
        <w:rPr>
          <w:rStyle w:val="NormalTok"/>
        </w:rPr>
        <w:t xml:space="preserve"> + </w:t>
      </w:r>
      <w:r>
        <w:rPr>
          <w:rStyle w:val="DecValTok"/>
        </w:rPr>
        <w:t xml:space="preserve">1</w:t>
      </w:r>
      <w:r>
        <w:rPr>
          <w:rStyle w:val="OtherTok"/>
        </w:rPr>
        <w:t xml:space="preserve">)</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07"/>
    <w:bookmarkStart w:id="2608" w:name="api-reference-100"/>
    <w:p>
      <w:pPr>
        <w:pStyle w:val="Heading2"/>
      </w:pPr>
      <w:r>
        <w:t xml:space="preserve">API Reference</w:t>
      </w:r>
    </w:p>
    <w:p>
      <w:pPr>
        <w:pStyle w:val="Compact"/>
        <w:numPr>
          <w:ilvl w:val="0"/>
          <w:numId w:val="1624"/>
        </w:numPr>
      </w:pPr>
      <w:r>
        <w:rPr>
          <w:b/>
          <w:bCs/>
        </w:rPr>
        <w:t xml:space="preserve">Object</w:t>
      </w:r>
      <w:r>
        <w:t xml:space="preserve">:</w:t>
      </w:r>
      <w:r>
        <w:t xml:space="preserve"> </w:t>
      </w:r>
      <w:r>
        <w:rPr>
          <w:rStyle w:val="VerbatimChar"/>
        </w:rPr>
        <w:t xml:space="preserve">G3CRYPTO</w:t>
      </w:r>
    </w:p>
    <w:p>
      <w:pPr>
        <w:pStyle w:val="Compact"/>
        <w:numPr>
          <w:ilvl w:val="0"/>
          <w:numId w:val="1624"/>
        </w:numPr>
      </w:pPr>
      <w:r>
        <w:rPr>
          <w:b/>
          <w:bCs/>
        </w:rPr>
        <w:t xml:space="preserve">Method</w:t>
      </w:r>
      <w:r>
        <w:t xml:space="preserve">:</w:t>
      </w:r>
      <w:r>
        <w:t xml:space="preserve"> </w:t>
      </w:r>
      <w:r>
        <w:rPr>
          <w:rStyle w:val="VerbatimChar"/>
        </w:rPr>
        <w:t xml:space="preserve">ComputeHash</w:t>
      </w:r>
    </w:p>
    <w:p>
      <w:pPr>
        <w:pStyle w:val="Compact"/>
        <w:numPr>
          <w:ilvl w:val="0"/>
          <w:numId w:val="1624"/>
        </w:numPr>
      </w:pPr>
      <w:r>
        <w:rPr>
          <w:b/>
          <w:bCs/>
        </w:rPr>
        <w:t xml:space="preserve">Arguments</w:t>
      </w:r>
      <w:r>
        <w:t xml:space="preserve">:</w:t>
      </w:r>
      <w:r>
        <w:t xml:space="preserve"> </w:t>
      </w:r>
      <w:r>
        <w:rPr>
          <w:rStyle w:val="VerbatimChar"/>
        </w:rPr>
        <w:t xml:space="preserve">input</w:t>
      </w:r>
      <w:r>
        <w:t xml:space="preserve"> </w:t>
      </w:r>
      <w:r>
        <w:t xml:space="preserve">(String or Array, optional),</w:t>
      </w:r>
      <w:r>
        <w:t xml:space="preserve"> </w:t>
      </w:r>
      <w:r>
        <w:rPr>
          <w:rStyle w:val="VerbatimChar"/>
        </w:rPr>
        <w:t xml:space="preserve">algorithm</w:t>
      </w:r>
      <w:r>
        <w:t xml:space="preserve"> </w:t>
      </w:r>
      <w:r>
        <w:t xml:space="preserve">(String, optional)</w:t>
      </w:r>
    </w:p>
    <w:p>
      <w:pPr>
        <w:pStyle w:val="Compact"/>
        <w:numPr>
          <w:ilvl w:val="0"/>
          <w:numId w:val="1624"/>
        </w:numPr>
      </w:pPr>
      <w:r>
        <w:rPr>
          <w:b/>
          <w:bCs/>
        </w:rPr>
        <w:t xml:space="preserve">Returns</w:t>
      </w:r>
      <w:r>
        <w:t xml:space="preserve">: Array — digest bytes, or empty array for unsupported algorithm</w:t>
      </w:r>
    </w:p>
    <w:bookmarkEnd w:id="2608"/>
    <w:bookmarkEnd w:id="2609"/>
    <w:bookmarkStart w:id="2618" w:name="get-the-bcrypt-cost"/>
    <w:p>
      <w:pPr>
        <w:pStyle w:val="Heading1"/>
      </w:pPr>
      <w:r>
        <w:t xml:space="preserve">Get the bcrypt Cost</w:t>
      </w:r>
    </w:p>
    <w:bookmarkStart w:id="2610" w:name="overview-244"/>
    <w:p>
      <w:pPr>
        <w:pStyle w:val="Heading2"/>
      </w:pPr>
      <w:r>
        <w:t xml:space="preserve">Overview</w:t>
      </w:r>
    </w:p>
    <w:p>
      <w:pPr>
        <w:pStyle w:val="FirstParagraph"/>
      </w:pPr>
      <w:r>
        <w:t xml:space="preserve">Returns the current bcrypt work factor.</w:t>
      </w:r>
    </w:p>
    <w:bookmarkEnd w:id="2610"/>
    <w:bookmarkStart w:id="2611" w:name="prerequisites-9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11"/>
    <w:bookmarkStart w:id="2612" w:name="syntax-256"/>
    <w:p>
      <w:pPr>
        <w:pStyle w:val="Heading2"/>
      </w:pPr>
      <w:r>
        <w:t xml:space="preserve">Syntax</w:t>
      </w:r>
    </w:p>
    <w:p>
      <w:pPr>
        <w:pStyle w:val="SourceCode"/>
      </w:pPr>
      <w:r>
        <w:rPr>
          <w:rStyle w:val="NormalTok"/>
        </w:rPr>
        <w:t xml:space="preserve">result = crypto.GetBCryptCost()</w:t>
      </w:r>
    </w:p>
    <w:bookmarkEnd w:id="2612"/>
    <w:bookmarkStart w:id="2613" w:name="parameters-164"/>
    <w:p>
      <w:pPr>
        <w:pStyle w:val="Heading2"/>
      </w:pPr>
      <w:r>
        <w:t xml:space="preserve">Parameters</w:t>
      </w:r>
    </w:p>
    <w:p>
      <w:pPr>
        <w:pStyle w:val="FirstParagraph"/>
      </w:pPr>
      <w:r>
        <w:t xml:space="preserve">This method does not accept any parameters.</w:t>
      </w:r>
    </w:p>
    <w:bookmarkEnd w:id="2613"/>
    <w:bookmarkStart w:id="2614" w:name="return-value-180"/>
    <w:p>
      <w:pPr>
        <w:pStyle w:val="Heading2"/>
      </w:pPr>
      <w:r>
        <w:t xml:space="preserve">Return Value</w:t>
      </w:r>
    </w:p>
    <w:p>
      <w:pPr>
        <w:pStyle w:val="Compact"/>
        <w:numPr>
          <w:ilvl w:val="0"/>
          <w:numId w:val="1625"/>
        </w:numPr>
      </w:pPr>
      <w:r>
        <w:rPr>
          <w:b/>
          <w:bCs/>
        </w:rPr>
        <w:t xml:space="preserve">Integer</w:t>
      </w:r>
      <w:r>
        <w:t xml:space="preserve">: Current bcrypt cost value.</w:t>
      </w:r>
    </w:p>
    <w:bookmarkEnd w:id="2614"/>
    <w:bookmarkStart w:id="2615" w:name="remarks-230"/>
    <w:p>
      <w:pPr>
        <w:pStyle w:val="Heading2"/>
      </w:pPr>
      <w:r>
        <w:t xml:space="preserve">Remarks</w:t>
      </w:r>
    </w:p>
    <w:p>
      <w:pPr>
        <w:pStyle w:val="Compact"/>
        <w:numPr>
          <w:ilvl w:val="0"/>
          <w:numId w:val="1626"/>
        </w:numPr>
      </w:pPr>
      <w:r>
        <w:t xml:space="preserve">Default value is</w:t>
      </w:r>
      <w:r>
        <w:t xml:space="preserve"> </w:t>
      </w:r>
      <w:r>
        <w:rPr>
          <w:rStyle w:val="VerbatimChar"/>
        </w:rPr>
        <w:t xml:space="preserve">10</w:t>
      </w:r>
      <w:r>
        <w:t xml:space="preserve">.</w:t>
      </w:r>
    </w:p>
    <w:p>
      <w:pPr>
        <w:pStyle w:val="Compact"/>
        <w:numPr>
          <w:ilvl w:val="0"/>
          <w:numId w:val="1626"/>
        </w:numPr>
      </w:pPr>
      <w:r>
        <w:t xml:space="preserve">This value is the same value exposed by the</w:t>
      </w:r>
      <w:r>
        <w:t xml:space="preserve"> </w:t>
      </w:r>
      <w:r>
        <w:rPr>
          <w:rStyle w:val="VerbatimChar"/>
        </w:rPr>
        <w:t xml:space="preserve">BCryptCost</w:t>
      </w:r>
      <w:r>
        <w:t xml:space="preserve"> </w:t>
      </w:r>
      <w:r>
        <w:t xml:space="preserve">property.</w:t>
      </w:r>
    </w:p>
    <w:p>
      <w:pPr>
        <w:pStyle w:val="Compact"/>
        <w:numPr>
          <w:ilvl w:val="0"/>
          <w:numId w:val="1626"/>
        </w:numPr>
      </w:pPr>
      <w:r>
        <w:t xml:space="preserve">Method names are case-insensitive.</w:t>
      </w:r>
    </w:p>
    <w:bookmarkEnd w:id="2615"/>
    <w:bookmarkStart w:id="2616" w:name="example-18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cost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cost = crypto.GetBCryptCost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bcrypt cost: "</w:t>
      </w:r>
      <w:r>
        <w:rPr>
          <w:rStyle w:val="NormalTok"/>
        </w:rPr>
        <w:t xml:space="preserve"> </w:t>
      </w:r>
      <w:r>
        <w:rPr>
          <w:rStyle w:val="KeywordTok"/>
        </w:rPr>
        <w:t xml:space="preserve">&amp;</w:t>
      </w:r>
      <w:r>
        <w:rPr>
          <w:rStyle w:val="NormalTok"/>
        </w:rPr>
        <w:t xml:space="preserve"> cost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16"/>
    <w:bookmarkStart w:id="2617" w:name="api-reference-101"/>
    <w:p>
      <w:pPr>
        <w:pStyle w:val="Heading2"/>
      </w:pPr>
      <w:r>
        <w:t xml:space="preserve">API Reference</w:t>
      </w:r>
    </w:p>
    <w:p>
      <w:pPr>
        <w:pStyle w:val="Compact"/>
        <w:numPr>
          <w:ilvl w:val="0"/>
          <w:numId w:val="1627"/>
        </w:numPr>
      </w:pPr>
      <w:r>
        <w:rPr>
          <w:b/>
          <w:bCs/>
        </w:rPr>
        <w:t xml:space="preserve">Object</w:t>
      </w:r>
      <w:r>
        <w:t xml:space="preserve">:</w:t>
      </w:r>
      <w:r>
        <w:t xml:space="preserve"> </w:t>
      </w:r>
      <w:r>
        <w:rPr>
          <w:rStyle w:val="VerbatimChar"/>
        </w:rPr>
        <w:t xml:space="preserve">G3CRYPTO</w:t>
      </w:r>
    </w:p>
    <w:p>
      <w:pPr>
        <w:pStyle w:val="Compact"/>
        <w:numPr>
          <w:ilvl w:val="0"/>
          <w:numId w:val="1627"/>
        </w:numPr>
      </w:pPr>
      <w:r>
        <w:rPr>
          <w:b/>
          <w:bCs/>
        </w:rPr>
        <w:t xml:space="preserve">Method</w:t>
      </w:r>
      <w:r>
        <w:t xml:space="preserve">:</w:t>
      </w:r>
      <w:r>
        <w:t xml:space="preserve"> </w:t>
      </w:r>
      <w:r>
        <w:rPr>
          <w:rStyle w:val="VerbatimChar"/>
        </w:rPr>
        <w:t xml:space="preserve">GetBCryptCost</w:t>
      </w:r>
    </w:p>
    <w:p>
      <w:pPr>
        <w:pStyle w:val="Compact"/>
        <w:numPr>
          <w:ilvl w:val="0"/>
          <w:numId w:val="1627"/>
        </w:numPr>
      </w:pPr>
      <w:r>
        <w:rPr>
          <w:b/>
          <w:bCs/>
        </w:rPr>
        <w:t xml:space="preserve">Arguments</w:t>
      </w:r>
      <w:r>
        <w:t xml:space="preserve">: None</w:t>
      </w:r>
    </w:p>
    <w:p>
      <w:pPr>
        <w:pStyle w:val="Compact"/>
        <w:numPr>
          <w:ilvl w:val="0"/>
          <w:numId w:val="1627"/>
        </w:numPr>
      </w:pPr>
      <w:r>
        <w:rPr>
          <w:b/>
          <w:bCs/>
        </w:rPr>
        <w:t xml:space="preserve">Returns</w:t>
      </w:r>
      <w:r>
        <w:t xml:space="preserve">: Integer — current bcrypt work factor</w:t>
      </w:r>
    </w:p>
    <w:bookmarkEnd w:id="2617"/>
    <w:bookmarkEnd w:id="2618"/>
    <w:bookmarkStart w:id="2627" w:name="hash-a-password-with-bcrypt"/>
    <w:p>
      <w:pPr>
        <w:pStyle w:val="Heading1"/>
      </w:pPr>
      <w:r>
        <w:t xml:space="preserve">Hash a Password with bcrypt</w:t>
      </w:r>
    </w:p>
    <w:bookmarkStart w:id="2619" w:name="overview-245"/>
    <w:p>
      <w:pPr>
        <w:pStyle w:val="Heading2"/>
      </w:pPr>
      <w:r>
        <w:t xml:space="preserve">Overview</w:t>
      </w:r>
    </w:p>
    <w:p>
      <w:pPr>
        <w:pStyle w:val="FirstParagraph"/>
      </w:pPr>
      <w:r>
        <w:t xml:space="preserve">Generates a bcrypt hash string for a plain-text password using the current bcrypt cost configuration.</w:t>
      </w:r>
    </w:p>
    <w:bookmarkEnd w:id="2619"/>
    <w:bookmarkStart w:id="2620" w:name="prerequisites-9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20"/>
    <w:bookmarkStart w:id="2621" w:name="syntax-257"/>
    <w:p>
      <w:pPr>
        <w:pStyle w:val="Heading2"/>
      </w:pPr>
      <w:r>
        <w:t xml:space="preserve">Syntax</w:t>
      </w:r>
    </w:p>
    <w:p>
      <w:pPr>
        <w:pStyle w:val="SourceCode"/>
      </w:pPr>
      <w:r>
        <w:rPr>
          <w:rStyle w:val="NormalTok"/>
        </w:rPr>
        <w:t xml:space="preserve">result = crypto.HashPassword(password)</w:t>
      </w:r>
    </w:p>
    <w:bookmarkEnd w:id="2621"/>
    <w:bookmarkStart w:id="2622" w:name="parameters-16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password</w:t>
            </w:r>
          </w:p>
        </w:tc>
        <w:tc>
          <w:tcPr/>
          <w:p>
            <w:pPr>
              <w:pStyle w:val="Compact"/>
            </w:pPr>
            <w:r>
              <w:t xml:space="preserve">String</w:t>
            </w:r>
          </w:p>
        </w:tc>
        <w:tc>
          <w:tcPr/>
          <w:p>
            <w:pPr>
              <w:pStyle w:val="Compact"/>
            </w:pPr>
            <w:r>
              <w:t xml:space="preserve">No</w:t>
            </w:r>
          </w:p>
        </w:tc>
        <w:tc>
          <w:tcPr/>
          <w:p>
            <w:pPr>
              <w:pStyle w:val="Compact"/>
            </w:pPr>
            <w:r>
              <w:t xml:space="preserve">Plain-text password to hash. When omitted, an empty string is hashed.</w:t>
            </w:r>
          </w:p>
        </w:tc>
      </w:tr>
    </w:tbl>
    <w:bookmarkEnd w:id="2622"/>
    <w:bookmarkStart w:id="2623" w:name="return-value-181"/>
    <w:p>
      <w:pPr>
        <w:pStyle w:val="Heading2"/>
      </w:pPr>
      <w:r>
        <w:t xml:space="preserve">Return Value</w:t>
      </w:r>
    </w:p>
    <w:p>
      <w:pPr>
        <w:pStyle w:val="Compact"/>
        <w:numPr>
          <w:ilvl w:val="0"/>
          <w:numId w:val="1628"/>
        </w:numPr>
      </w:pPr>
      <w:r>
        <w:rPr>
          <w:b/>
          <w:bCs/>
        </w:rPr>
        <w:t xml:space="preserve">String</w:t>
      </w:r>
      <w:r>
        <w:t xml:space="preserve">: bcrypt hash string in the</w:t>
      </w:r>
      <w:r>
        <w:t xml:space="preserve"> </w:t>
      </w:r>
      <w:r>
        <w:rPr>
          <w:rStyle w:val="VerbatimChar"/>
        </w:rPr>
        <w:t xml:space="preserve">$2a$&lt;cost&gt;$...</w:t>
      </w:r>
      <w:r>
        <w:t xml:space="preserve"> </w:t>
      </w:r>
      <w:r>
        <w:t xml:space="preserve">format.</w:t>
      </w:r>
    </w:p>
    <w:p>
      <w:pPr>
        <w:pStyle w:val="Compact"/>
        <w:numPr>
          <w:ilvl w:val="0"/>
          <w:numId w:val="1628"/>
        </w:numPr>
      </w:pPr>
      <w:r>
        <w:rPr>
          <w:b/>
          <w:bCs/>
        </w:rPr>
        <w:t xml:space="preserve">String (empty)</w:t>
      </w:r>
      <w:r>
        <w:t xml:space="preserve">: Returned when bcrypt hashing fails.</w:t>
      </w:r>
    </w:p>
    <w:bookmarkEnd w:id="2623"/>
    <w:bookmarkStart w:id="2624" w:name="remarks-231"/>
    <w:p>
      <w:pPr>
        <w:pStyle w:val="Heading2"/>
      </w:pPr>
      <w:r>
        <w:t xml:space="preserve">Remarks</w:t>
      </w:r>
    </w:p>
    <w:p>
      <w:pPr>
        <w:pStyle w:val="Compact"/>
        <w:numPr>
          <w:ilvl w:val="0"/>
          <w:numId w:val="1629"/>
        </w:numPr>
      </w:pPr>
      <w:r>
        <w:t xml:space="preserve">The current</w:t>
      </w:r>
      <w:r>
        <w:t xml:space="preserve"> </w:t>
      </w:r>
      <w:r>
        <w:rPr>
          <w:rStyle w:val="VerbatimChar"/>
        </w:rPr>
        <w:t xml:space="preserve">BCryptCost</w:t>
      </w:r>
      <w:r>
        <w:t xml:space="preserve"> </w:t>
      </w:r>
      <w:r>
        <w:t xml:space="preserve">value controls the bcrypt work factor.</w:t>
      </w:r>
    </w:p>
    <w:p>
      <w:pPr>
        <w:pStyle w:val="Compact"/>
        <w:numPr>
          <w:ilvl w:val="0"/>
          <w:numId w:val="1629"/>
        </w:numPr>
      </w:pPr>
      <w:r>
        <w:t xml:space="preserve">Use</w:t>
      </w:r>
      <w:r>
        <w:t xml:space="preserve"> </w:t>
      </w:r>
      <w:r>
        <w:rPr>
          <w:rStyle w:val="VerbatimChar"/>
        </w:rPr>
        <w:t xml:space="preserve">VerifyPassword</w:t>
      </w:r>
      <w:r>
        <w:t xml:space="preserve"> </w:t>
      </w:r>
      <w:r>
        <w:t xml:space="preserve">to validate user input against a stored bcrypt hash.</w:t>
      </w:r>
    </w:p>
    <w:p>
      <w:pPr>
        <w:pStyle w:val="Compact"/>
        <w:numPr>
          <w:ilvl w:val="0"/>
          <w:numId w:val="1629"/>
        </w:numPr>
      </w:pPr>
      <w:r>
        <w:t xml:space="preserve">Method names are case-insensitive.</w:t>
      </w:r>
    </w:p>
    <w:bookmarkEnd w:id="2624"/>
    <w:bookmarkStart w:id="2625" w:name="example-18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hashed</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hashed = crypto.HashPassword</w:t>
      </w:r>
      <w:r>
        <w:rPr>
          <w:rStyle w:val="OtherTok"/>
        </w:rPr>
        <w:t xml:space="preserve">(</w:t>
      </w:r>
      <w:r>
        <w:rPr>
          <w:rStyle w:val="StringTok"/>
        </w:rPr>
        <w:t xml:space="preserve">"mySecretPassword"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hashed</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25"/>
    <w:bookmarkStart w:id="2626" w:name="api-reference-102"/>
    <w:p>
      <w:pPr>
        <w:pStyle w:val="Heading2"/>
      </w:pPr>
      <w:r>
        <w:t xml:space="preserve">API Reference</w:t>
      </w:r>
    </w:p>
    <w:p>
      <w:pPr>
        <w:pStyle w:val="Compact"/>
        <w:numPr>
          <w:ilvl w:val="0"/>
          <w:numId w:val="1630"/>
        </w:numPr>
      </w:pPr>
      <w:r>
        <w:rPr>
          <w:b/>
          <w:bCs/>
        </w:rPr>
        <w:t xml:space="preserve">Object</w:t>
      </w:r>
      <w:r>
        <w:t xml:space="preserve">:</w:t>
      </w:r>
      <w:r>
        <w:t xml:space="preserve"> </w:t>
      </w:r>
      <w:r>
        <w:rPr>
          <w:rStyle w:val="VerbatimChar"/>
        </w:rPr>
        <w:t xml:space="preserve">G3CRYPTO</w:t>
      </w:r>
    </w:p>
    <w:p>
      <w:pPr>
        <w:pStyle w:val="Compact"/>
        <w:numPr>
          <w:ilvl w:val="0"/>
          <w:numId w:val="1630"/>
        </w:numPr>
      </w:pPr>
      <w:r>
        <w:rPr>
          <w:b/>
          <w:bCs/>
        </w:rPr>
        <w:t xml:space="preserve">Method</w:t>
      </w:r>
      <w:r>
        <w:t xml:space="preserve">:</w:t>
      </w:r>
      <w:r>
        <w:t xml:space="preserve"> </w:t>
      </w:r>
      <w:r>
        <w:rPr>
          <w:rStyle w:val="VerbatimChar"/>
        </w:rPr>
        <w:t xml:space="preserve">HashPassword</w:t>
      </w:r>
    </w:p>
    <w:p>
      <w:pPr>
        <w:pStyle w:val="Compact"/>
        <w:numPr>
          <w:ilvl w:val="0"/>
          <w:numId w:val="1630"/>
        </w:numPr>
      </w:pPr>
      <w:r>
        <w:rPr>
          <w:b/>
          <w:bCs/>
        </w:rPr>
        <w:t xml:space="preserve">Arguments</w:t>
      </w:r>
      <w:r>
        <w:t xml:space="preserve">:</w:t>
      </w:r>
      <w:r>
        <w:t xml:space="preserve"> </w:t>
      </w:r>
      <w:r>
        <w:rPr>
          <w:rStyle w:val="VerbatimChar"/>
        </w:rPr>
        <w:t xml:space="preserve">password</w:t>
      </w:r>
      <w:r>
        <w:t xml:space="preserve"> </w:t>
      </w:r>
      <w:r>
        <w:t xml:space="preserve">(String, optional)</w:t>
      </w:r>
    </w:p>
    <w:p>
      <w:pPr>
        <w:pStyle w:val="Compact"/>
        <w:numPr>
          <w:ilvl w:val="0"/>
          <w:numId w:val="1630"/>
        </w:numPr>
      </w:pPr>
      <w:r>
        <w:rPr>
          <w:b/>
          <w:bCs/>
        </w:rPr>
        <w:t xml:space="preserve">Returns</w:t>
      </w:r>
      <w:r>
        <w:t xml:space="preserve">: String — bcrypt hash string, or empty string on failure</w:t>
      </w:r>
    </w:p>
    <w:bookmarkEnd w:id="2626"/>
    <w:bookmarkEnd w:id="2627"/>
    <w:bookmarkStart w:id="2636" w:name="compute-an-hmac-sha256-signature"/>
    <w:p>
      <w:pPr>
        <w:pStyle w:val="Heading1"/>
      </w:pPr>
      <w:r>
        <w:t xml:space="preserve">Compute an HMAC-SHA256 Signature</w:t>
      </w:r>
    </w:p>
    <w:bookmarkStart w:id="2628" w:name="overview-246"/>
    <w:p>
      <w:pPr>
        <w:pStyle w:val="Heading2"/>
      </w:pPr>
      <w:r>
        <w:t xml:space="preserve">Overview</w:t>
      </w:r>
    </w:p>
    <w:p>
      <w:pPr>
        <w:pStyle w:val="FirstParagraph"/>
      </w:pPr>
      <w:r>
        <w:t xml:space="preserve">Computes an HMAC signature using SHA-256 and returns the digest as a lowercase hexadecimal string.</w:t>
      </w:r>
    </w:p>
    <w:bookmarkEnd w:id="2628"/>
    <w:bookmarkStart w:id="2629" w:name="prerequisites-10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29"/>
    <w:bookmarkStart w:id="2630" w:name="syntax-258"/>
    <w:p>
      <w:pPr>
        <w:pStyle w:val="Heading2"/>
      </w:pPr>
      <w:r>
        <w:t xml:space="preserve">Syntax</w:t>
      </w:r>
    </w:p>
    <w:p>
      <w:pPr>
        <w:pStyle w:val="SourceCode"/>
      </w:pPr>
      <w:r>
        <w:rPr>
          <w:rStyle w:val="NormalTok"/>
        </w:rPr>
        <w:t xml:space="preserve">result = crypto.HmacSha256(data, key)</w:t>
      </w:r>
    </w:p>
    <w:bookmarkEnd w:id="2630"/>
    <w:bookmarkStart w:id="2631" w:name="parameters-16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data</w:t>
            </w:r>
          </w:p>
        </w:tc>
        <w:tc>
          <w:tcPr/>
          <w:p>
            <w:pPr>
              <w:pStyle w:val="Compact"/>
            </w:pPr>
            <w:r>
              <w:t xml:space="preserve">String</w:t>
            </w:r>
          </w:p>
        </w:tc>
        <w:tc>
          <w:tcPr/>
          <w:p>
            <w:pPr>
              <w:pStyle w:val="Compact"/>
            </w:pPr>
            <w:r>
              <w:t xml:space="preserve">Yes</w:t>
            </w:r>
          </w:p>
        </w:tc>
        <w:tc>
          <w:tcPr/>
          <w:p>
            <w:pPr>
              <w:pStyle w:val="Compact"/>
            </w:pPr>
            <w:r>
              <w:t xml:space="preserve">Message payload to sign.</w:t>
            </w:r>
          </w:p>
        </w:tc>
      </w:tr>
      <w:tr>
        <w:tc>
          <w:tcPr/>
          <w:p>
            <w:pPr>
              <w:pStyle w:val="Compact"/>
            </w:pPr>
            <w:r>
              <w:rPr>
                <w:b/>
                <w:bCs/>
              </w:rPr>
              <w:t xml:space="preserve">key</w:t>
            </w:r>
          </w:p>
        </w:tc>
        <w:tc>
          <w:tcPr/>
          <w:p>
            <w:pPr>
              <w:pStyle w:val="Compact"/>
            </w:pPr>
            <w:r>
              <w:t xml:space="preserve">String</w:t>
            </w:r>
          </w:p>
        </w:tc>
        <w:tc>
          <w:tcPr/>
          <w:p>
            <w:pPr>
              <w:pStyle w:val="Compact"/>
            </w:pPr>
            <w:r>
              <w:t xml:space="preserve">Yes</w:t>
            </w:r>
          </w:p>
        </w:tc>
        <w:tc>
          <w:tcPr/>
          <w:p>
            <w:pPr>
              <w:pStyle w:val="Compact"/>
            </w:pPr>
            <w:r>
              <w:t xml:space="preserve">Secret key for HMAC generation.</w:t>
            </w:r>
          </w:p>
        </w:tc>
      </w:tr>
    </w:tbl>
    <w:bookmarkEnd w:id="2631"/>
    <w:bookmarkStart w:id="2632" w:name="return-value-182"/>
    <w:p>
      <w:pPr>
        <w:pStyle w:val="Heading2"/>
      </w:pPr>
      <w:r>
        <w:t xml:space="preserve">Return Value</w:t>
      </w:r>
    </w:p>
    <w:p>
      <w:pPr>
        <w:pStyle w:val="Compact"/>
        <w:numPr>
          <w:ilvl w:val="0"/>
          <w:numId w:val="1631"/>
        </w:numPr>
      </w:pPr>
      <w:r>
        <w:rPr>
          <w:b/>
          <w:bCs/>
        </w:rPr>
        <w:t xml:space="preserve">String</w:t>
      </w:r>
      <w:r>
        <w:t xml:space="preserve">: 64-character lowercase hexadecimal HMAC-SHA256 digest.</w:t>
      </w:r>
    </w:p>
    <w:p>
      <w:pPr>
        <w:pStyle w:val="Compact"/>
        <w:numPr>
          <w:ilvl w:val="0"/>
          <w:numId w:val="1631"/>
        </w:numPr>
      </w:pPr>
      <w:r>
        <w:rPr>
          <w:b/>
          <w:bCs/>
        </w:rPr>
        <w:t xml:space="preserve">String (empty)</w:t>
      </w:r>
      <w:r>
        <w:t xml:space="preserve">: Returned when required arguments are missing.</w:t>
      </w:r>
    </w:p>
    <w:bookmarkEnd w:id="2632"/>
    <w:bookmarkStart w:id="2633" w:name="remarks-232"/>
    <w:p>
      <w:pPr>
        <w:pStyle w:val="Heading2"/>
      </w:pPr>
      <w:r>
        <w:t xml:space="preserve">Remarks</w:t>
      </w:r>
    </w:p>
    <w:p>
      <w:pPr>
        <w:pStyle w:val="Compact"/>
        <w:numPr>
          <w:ilvl w:val="0"/>
          <w:numId w:val="1632"/>
        </w:numPr>
      </w:pPr>
      <w:r>
        <w:t xml:space="preserve">On success, this method also updates the</w:t>
      </w:r>
      <w:r>
        <w:t xml:space="preserve"> </w:t>
      </w:r>
      <w:r>
        <w:rPr>
          <w:rStyle w:val="VerbatimChar"/>
        </w:rPr>
        <w:t xml:space="preserve">Hash</w:t>
      </w:r>
      <w:r>
        <w:t xml:space="preserve"> </w:t>
      </w:r>
      <w:r>
        <w:t xml:space="preserve">property with raw digest bytes.</w:t>
      </w:r>
    </w:p>
    <w:p>
      <w:pPr>
        <w:pStyle w:val="Compact"/>
        <w:numPr>
          <w:ilvl w:val="0"/>
          <w:numId w:val="1632"/>
        </w:numPr>
      </w:pPr>
      <w:r>
        <w:t xml:space="preserve">Method names are case-insensitive.</w:t>
      </w:r>
    </w:p>
    <w:bookmarkEnd w:id="2633"/>
    <w:bookmarkStart w:id="2634" w:name="example-18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signature</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signature = crypto.HmacSha256</w:t>
      </w:r>
      <w:r>
        <w:rPr>
          <w:rStyle w:val="OtherTok"/>
        </w:rPr>
        <w:t xml:space="preserve">(</w:t>
      </w:r>
      <w:r>
        <w:rPr>
          <w:rStyle w:val="StringTok"/>
        </w:rPr>
        <w:t xml:space="preserve">"Hello World"</w:t>
      </w:r>
      <w:r>
        <w:rPr>
          <w:rStyle w:val="OtherTok"/>
        </w:rPr>
        <w:t xml:space="preserve">,</w:t>
      </w:r>
      <w:r>
        <w:rPr>
          <w:rStyle w:val="NormalTok"/>
        </w:rPr>
        <w:t xml:space="preserve"> </w:t>
      </w:r>
      <w:r>
        <w:rPr>
          <w:rStyle w:val="StringTok"/>
        </w:rPr>
        <w:t xml:space="preserve">"mySecretKey"</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signature</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34"/>
    <w:bookmarkStart w:id="2635" w:name="api-reference-103"/>
    <w:p>
      <w:pPr>
        <w:pStyle w:val="Heading2"/>
      </w:pPr>
      <w:r>
        <w:t xml:space="preserve">API Reference</w:t>
      </w:r>
    </w:p>
    <w:p>
      <w:pPr>
        <w:pStyle w:val="Compact"/>
        <w:numPr>
          <w:ilvl w:val="0"/>
          <w:numId w:val="1633"/>
        </w:numPr>
      </w:pPr>
      <w:r>
        <w:rPr>
          <w:b/>
          <w:bCs/>
        </w:rPr>
        <w:t xml:space="preserve">Object</w:t>
      </w:r>
      <w:r>
        <w:t xml:space="preserve">:</w:t>
      </w:r>
      <w:r>
        <w:t xml:space="preserve"> </w:t>
      </w:r>
      <w:r>
        <w:rPr>
          <w:rStyle w:val="VerbatimChar"/>
        </w:rPr>
        <w:t xml:space="preserve">G3CRYPTO</w:t>
      </w:r>
    </w:p>
    <w:p>
      <w:pPr>
        <w:pStyle w:val="Compact"/>
        <w:numPr>
          <w:ilvl w:val="0"/>
          <w:numId w:val="1633"/>
        </w:numPr>
      </w:pPr>
      <w:r>
        <w:rPr>
          <w:b/>
          <w:bCs/>
        </w:rPr>
        <w:t xml:space="preserve">Method</w:t>
      </w:r>
      <w:r>
        <w:t xml:space="preserve">:</w:t>
      </w:r>
      <w:r>
        <w:t xml:space="preserve"> </w:t>
      </w:r>
      <w:r>
        <w:rPr>
          <w:rStyle w:val="VerbatimChar"/>
        </w:rPr>
        <w:t xml:space="preserve">HmacSha256</w:t>
      </w:r>
    </w:p>
    <w:p>
      <w:pPr>
        <w:pStyle w:val="Compact"/>
        <w:numPr>
          <w:ilvl w:val="0"/>
          <w:numId w:val="1633"/>
        </w:numPr>
      </w:pPr>
      <w:r>
        <w:rPr>
          <w:b/>
          <w:bCs/>
        </w:rPr>
        <w:t xml:space="preserve">Arguments</w:t>
      </w:r>
      <w:r>
        <w:t xml:space="preserve">:</w:t>
      </w:r>
      <w:r>
        <w:t xml:space="preserve"> </w:t>
      </w:r>
      <w:r>
        <w:rPr>
          <w:rStyle w:val="VerbatimChar"/>
        </w:rPr>
        <w:t xml:space="preserve">data</w:t>
      </w:r>
      <w:r>
        <w:t xml:space="preserve"> </w:t>
      </w:r>
      <w:r>
        <w:t xml:space="preserve">(String, required),</w:t>
      </w:r>
      <w:r>
        <w:t xml:space="preserve"> </w:t>
      </w:r>
      <w:r>
        <w:rPr>
          <w:rStyle w:val="VerbatimChar"/>
        </w:rPr>
        <w:t xml:space="preserve">key</w:t>
      </w:r>
      <w:r>
        <w:t xml:space="preserve"> </w:t>
      </w:r>
      <w:r>
        <w:t xml:space="preserve">(String, required)</w:t>
      </w:r>
    </w:p>
    <w:p>
      <w:pPr>
        <w:pStyle w:val="Compact"/>
        <w:numPr>
          <w:ilvl w:val="0"/>
          <w:numId w:val="1633"/>
        </w:numPr>
      </w:pPr>
      <w:r>
        <w:rPr>
          <w:b/>
          <w:bCs/>
        </w:rPr>
        <w:t xml:space="preserve">Returns</w:t>
      </w:r>
      <w:r>
        <w:t xml:space="preserve">: String — 64-character lowercase hexadecimal digest, or empty string when arguments are missing</w:t>
      </w:r>
    </w:p>
    <w:bookmarkEnd w:id="2635"/>
    <w:bookmarkEnd w:id="2636"/>
    <w:bookmarkStart w:id="2645" w:name="compute-an-hmac-sha512-signature"/>
    <w:p>
      <w:pPr>
        <w:pStyle w:val="Heading1"/>
      </w:pPr>
      <w:r>
        <w:t xml:space="preserve">Compute an HMAC-SHA512 Signature</w:t>
      </w:r>
    </w:p>
    <w:bookmarkStart w:id="2637" w:name="overview-247"/>
    <w:p>
      <w:pPr>
        <w:pStyle w:val="Heading2"/>
      </w:pPr>
      <w:r>
        <w:t xml:space="preserve">Overview</w:t>
      </w:r>
    </w:p>
    <w:p>
      <w:pPr>
        <w:pStyle w:val="FirstParagraph"/>
      </w:pPr>
      <w:r>
        <w:t xml:space="preserve">Computes an HMAC signature using SHA-512 and returns the digest as a lowercase hexadecimal string.</w:t>
      </w:r>
    </w:p>
    <w:bookmarkEnd w:id="2637"/>
    <w:bookmarkStart w:id="2638" w:name="prerequisites-10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38"/>
    <w:bookmarkStart w:id="2639" w:name="syntax-259"/>
    <w:p>
      <w:pPr>
        <w:pStyle w:val="Heading2"/>
      </w:pPr>
      <w:r>
        <w:t xml:space="preserve">Syntax</w:t>
      </w:r>
    </w:p>
    <w:p>
      <w:pPr>
        <w:pStyle w:val="SourceCode"/>
      </w:pPr>
      <w:r>
        <w:rPr>
          <w:rStyle w:val="NormalTok"/>
        </w:rPr>
        <w:t xml:space="preserve">result = crypto.HmacSha512(data, key)</w:t>
      </w:r>
    </w:p>
    <w:bookmarkEnd w:id="2639"/>
    <w:bookmarkStart w:id="2640" w:name="parameters-16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data</w:t>
            </w:r>
          </w:p>
        </w:tc>
        <w:tc>
          <w:tcPr/>
          <w:p>
            <w:pPr>
              <w:pStyle w:val="Compact"/>
            </w:pPr>
            <w:r>
              <w:t xml:space="preserve">String</w:t>
            </w:r>
          </w:p>
        </w:tc>
        <w:tc>
          <w:tcPr/>
          <w:p>
            <w:pPr>
              <w:pStyle w:val="Compact"/>
            </w:pPr>
            <w:r>
              <w:t xml:space="preserve">Yes</w:t>
            </w:r>
          </w:p>
        </w:tc>
        <w:tc>
          <w:tcPr/>
          <w:p>
            <w:pPr>
              <w:pStyle w:val="Compact"/>
            </w:pPr>
            <w:r>
              <w:t xml:space="preserve">Message payload to sign.</w:t>
            </w:r>
          </w:p>
        </w:tc>
      </w:tr>
      <w:tr>
        <w:tc>
          <w:tcPr/>
          <w:p>
            <w:pPr>
              <w:pStyle w:val="Compact"/>
            </w:pPr>
            <w:r>
              <w:rPr>
                <w:b/>
                <w:bCs/>
              </w:rPr>
              <w:t xml:space="preserve">key</w:t>
            </w:r>
          </w:p>
        </w:tc>
        <w:tc>
          <w:tcPr/>
          <w:p>
            <w:pPr>
              <w:pStyle w:val="Compact"/>
            </w:pPr>
            <w:r>
              <w:t xml:space="preserve">String</w:t>
            </w:r>
          </w:p>
        </w:tc>
        <w:tc>
          <w:tcPr/>
          <w:p>
            <w:pPr>
              <w:pStyle w:val="Compact"/>
            </w:pPr>
            <w:r>
              <w:t xml:space="preserve">Yes</w:t>
            </w:r>
          </w:p>
        </w:tc>
        <w:tc>
          <w:tcPr/>
          <w:p>
            <w:pPr>
              <w:pStyle w:val="Compact"/>
            </w:pPr>
            <w:r>
              <w:t xml:space="preserve">Secret key for HMAC generation.</w:t>
            </w:r>
          </w:p>
        </w:tc>
      </w:tr>
    </w:tbl>
    <w:bookmarkEnd w:id="2640"/>
    <w:bookmarkStart w:id="2641" w:name="return-value-183"/>
    <w:p>
      <w:pPr>
        <w:pStyle w:val="Heading2"/>
      </w:pPr>
      <w:r>
        <w:t xml:space="preserve">Return Value</w:t>
      </w:r>
    </w:p>
    <w:p>
      <w:pPr>
        <w:pStyle w:val="Compact"/>
        <w:numPr>
          <w:ilvl w:val="0"/>
          <w:numId w:val="1634"/>
        </w:numPr>
      </w:pPr>
      <w:r>
        <w:rPr>
          <w:b/>
          <w:bCs/>
        </w:rPr>
        <w:t xml:space="preserve">String</w:t>
      </w:r>
      <w:r>
        <w:t xml:space="preserve">: 128-character lowercase hexadecimal HMAC-SHA512 digest.</w:t>
      </w:r>
    </w:p>
    <w:p>
      <w:pPr>
        <w:pStyle w:val="Compact"/>
        <w:numPr>
          <w:ilvl w:val="0"/>
          <w:numId w:val="1634"/>
        </w:numPr>
      </w:pPr>
      <w:r>
        <w:rPr>
          <w:b/>
          <w:bCs/>
        </w:rPr>
        <w:t xml:space="preserve">String (empty)</w:t>
      </w:r>
      <w:r>
        <w:t xml:space="preserve">: Returned when required arguments are missing.</w:t>
      </w:r>
    </w:p>
    <w:bookmarkEnd w:id="2641"/>
    <w:bookmarkStart w:id="2642" w:name="remarks-233"/>
    <w:p>
      <w:pPr>
        <w:pStyle w:val="Heading2"/>
      </w:pPr>
      <w:r>
        <w:t xml:space="preserve">Remarks</w:t>
      </w:r>
    </w:p>
    <w:p>
      <w:pPr>
        <w:pStyle w:val="Compact"/>
        <w:numPr>
          <w:ilvl w:val="0"/>
          <w:numId w:val="1635"/>
        </w:numPr>
      </w:pPr>
      <w:r>
        <w:t xml:space="preserve">On success, this method also updates the</w:t>
      </w:r>
      <w:r>
        <w:t xml:space="preserve"> </w:t>
      </w:r>
      <w:r>
        <w:rPr>
          <w:rStyle w:val="VerbatimChar"/>
        </w:rPr>
        <w:t xml:space="preserve">Hash</w:t>
      </w:r>
      <w:r>
        <w:t xml:space="preserve"> </w:t>
      </w:r>
      <w:r>
        <w:t xml:space="preserve">property with raw digest bytes.</w:t>
      </w:r>
    </w:p>
    <w:p>
      <w:pPr>
        <w:pStyle w:val="Compact"/>
        <w:numPr>
          <w:ilvl w:val="0"/>
          <w:numId w:val="1635"/>
        </w:numPr>
      </w:pPr>
      <w:r>
        <w:t xml:space="preserve">Method names are case-insensitive.</w:t>
      </w:r>
    </w:p>
    <w:bookmarkEnd w:id="2642"/>
    <w:bookmarkStart w:id="2643" w:name="example-18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signature</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signature = crypto.HmacSha512</w:t>
      </w:r>
      <w:r>
        <w:rPr>
          <w:rStyle w:val="OtherTok"/>
        </w:rPr>
        <w:t xml:space="preserve">(</w:t>
      </w:r>
      <w:r>
        <w:rPr>
          <w:rStyle w:val="StringTok"/>
        </w:rPr>
        <w:t xml:space="preserve">"Hello World"</w:t>
      </w:r>
      <w:r>
        <w:rPr>
          <w:rStyle w:val="OtherTok"/>
        </w:rPr>
        <w:t xml:space="preserve">,</w:t>
      </w:r>
      <w:r>
        <w:rPr>
          <w:rStyle w:val="NormalTok"/>
        </w:rPr>
        <w:t xml:space="preserve"> </w:t>
      </w:r>
      <w:r>
        <w:rPr>
          <w:rStyle w:val="StringTok"/>
        </w:rPr>
        <w:t xml:space="preserve">"mySecretKey"</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signature</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43"/>
    <w:bookmarkStart w:id="2644" w:name="api-reference-104"/>
    <w:p>
      <w:pPr>
        <w:pStyle w:val="Heading2"/>
      </w:pPr>
      <w:r>
        <w:t xml:space="preserve">API Reference</w:t>
      </w:r>
    </w:p>
    <w:p>
      <w:pPr>
        <w:pStyle w:val="Compact"/>
        <w:numPr>
          <w:ilvl w:val="0"/>
          <w:numId w:val="1636"/>
        </w:numPr>
      </w:pPr>
      <w:r>
        <w:rPr>
          <w:b/>
          <w:bCs/>
        </w:rPr>
        <w:t xml:space="preserve">Object</w:t>
      </w:r>
      <w:r>
        <w:t xml:space="preserve">:</w:t>
      </w:r>
      <w:r>
        <w:t xml:space="preserve"> </w:t>
      </w:r>
      <w:r>
        <w:rPr>
          <w:rStyle w:val="VerbatimChar"/>
        </w:rPr>
        <w:t xml:space="preserve">G3CRYPTO</w:t>
      </w:r>
    </w:p>
    <w:p>
      <w:pPr>
        <w:pStyle w:val="Compact"/>
        <w:numPr>
          <w:ilvl w:val="0"/>
          <w:numId w:val="1636"/>
        </w:numPr>
      </w:pPr>
      <w:r>
        <w:rPr>
          <w:b/>
          <w:bCs/>
        </w:rPr>
        <w:t xml:space="preserve">Method</w:t>
      </w:r>
      <w:r>
        <w:t xml:space="preserve">:</w:t>
      </w:r>
      <w:r>
        <w:t xml:space="preserve"> </w:t>
      </w:r>
      <w:r>
        <w:rPr>
          <w:rStyle w:val="VerbatimChar"/>
        </w:rPr>
        <w:t xml:space="preserve">HmacSha512</w:t>
      </w:r>
    </w:p>
    <w:p>
      <w:pPr>
        <w:pStyle w:val="Compact"/>
        <w:numPr>
          <w:ilvl w:val="0"/>
          <w:numId w:val="1636"/>
        </w:numPr>
      </w:pPr>
      <w:r>
        <w:rPr>
          <w:b/>
          <w:bCs/>
        </w:rPr>
        <w:t xml:space="preserve">Arguments</w:t>
      </w:r>
      <w:r>
        <w:t xml:space="preserve">:</w:t>
      </w:r>
      <w:r>
        <w:t xml:space="preserve"> </w:t>
      </w:r>
      <w:r>
        <w:rPr>
          <w:rStyle w:val="VerbatimChar"/>
        </w:rPr>
        <w:t xml:space="preserve">data</w:t>
      </w:r>
      <w:r>
        <w:t xml:space="preserve"> </w:t>
      </w:r>
      <w:r>
        <w:t xml:space="preserve">(String, required),</w:t>
      </w:r>
      <w:r>
        <w:t xml:space="preserve"> </w:t>
      </w:r>
      <w:r>
        <w:rPr>
          <w:rStyle w:val="VerbatimChar"/>
        </w:rPr>
        <w:t xml:space="preserve">key</w:t>
      </w:r>
      <w:r>
        <w:t xml:space="preserve"> </w:t>
      </w:r>
      <w:r>
        <w:t xml:space="preserve">(String, required)</w:t>
      </w:r>
    </w:p>
    <w:p>
      <w:pPr>
        <w:pStyle w:val="Compact"/>
        <w:numPr>
          <w:ilvl w:val="0"/>
          <w:numId w:val="1636"/>
        </w:numPr>
      </w:pPr>
      <w:r>
        <w:rPr>
          <w:b/>
          <w:bCs/>
        </w:rPr>
        <w:t xml:space="preserve">Returns</w:t>
      </w:r>
      <w:r>
        <w:t xml:space="preserve">: String — 128-character lowercase hexadecimal digest, or empty string when arguments are missing</w:t>
      </w:r>
    </w:p>
    <w:bookmarkEnd w:id="2644"/>
    <w:bookmarkEnd w:id="2645"/>
    <w:bookmarkStart w:id="2654" w:name="reset-the-internal-hash-state"/>
    <w:p>
      <w:pPr>
        <w:pStyle w:val="Heading1"/>
      </w:pPr>
      <w:r>
        <w:t xml:space="preserve">Reset the Internal Hash State</w:t>
      </w:r>
    </w:p>
    <w:bookmarkStart w:id="2646" w:name="overview-248"/>
    <w:p>
      <w:pPr>
        <w:pStyle w:val="Heading2"/>
      </w:pPr>
      <w:r>
        <w:t xml:space="preserve">Overview</w:t>
      </w:r>
    </w:p>
    <w:p>
      <w:pPr>
        <w:pStyle w:val="FirstParagraph"/>
      </w:pPr>
      <w:r>
        <w:t xml:space="preserve">Clears the internal last-hash buffer maintained by the current</w:t>
      </w:r>
      <w:r>
        <w:t xml:space="preserve"> </w:t>
      </w:r>
      <w:r>
        <w:rPr>
          <w:rStyle w:val="VerbatimChar"/>
        </w:rPr>
        <w:t xml:space="preserve">G3CRYPTO</w:t>
      </w:r>
      <w:r>
        <w:t xml:space="preserve"> </w:t>
      </w:r>
      <w:r>
        <w:t xml:space="preserve">object instance.</w:t>
      </w:r>
    </w:p>
    <w:bookmarkEnd w:id="2646"/>
    <w:bookmarkStart w:id="2647" w:name="prerequisites-10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47"/>
    <w:bookmarkStart w:id="2648" w:name="syntax-260"/>
    <w:p>
      <w:pPr>
        <w:pStyle w:val="Heading2"/>
      </w:pPr>
      <w:r>
        <w:t xml:space="preserve">Syntax</w:t>
      </w:r>
    </w:p>
    <w:p>
      <w:pPr>
        <w:pStyle w:val="SourceCode"/>
      </w:pPr>
      <w:r>
        <w:rPr>
          <w:rStyle w:val="NormalTok"/>
        </w:rPr>
        <w:t xml:space="preserve">result = crypto.Initialize()</w:t>
      </w:r>
    </w:p>
    <w:bookmarkEnd w:id="2648"/>
    <w:bookmarkStart w:id="2649" w:name="parameters-168"/>
    <w:p>
      <w:pPr>
        <w:pStyle w:val="Heading2"/>
      </w:pPr>
      <w:r>
        <w:t xml:space="preserve">Parameters</w:t>
      </w:r>
    </w:p>
    <w:p>
      <w:pPr>
        <w:pStyle w:val="FirstParagraph"/>
      </w:pPr>
      <w:r>
        <w:t xml:space="preserve">This method does not accept any parameters.</w:t>
      </w:r>
    </w:p>
    <w:bookmarkEnd w:id="2649"/>
    <w:bookmarkStart w:id="2650" w:name="return-value-184"/>
    <w:p>
      <w:pPr>
        <w:pStyle w:val="Heading2"/>
      </w:pPr>
      <w:r>
        <w:t xml:space="preserve">Return Value</w:t>
      </w:r>
    </w:p>
    <w:p>
      <w:pPr>
        <w:pStyle w:val="Compact"/>
        <w:numPr>
          <w:ilvl w:val="0"/>
          <w:numId w:val="1637"/>
        </w:numPr>
      </w:pPr>
      <w:r>
        <w:rPr>
          <w:b/>
          <w:bCs/>
        </w:rPr>
        <w:t xml:space="preserve">Empty</w:t>
      </w:r>
      <w:r>
        <w:t xml:space="preserve">: Always returns</w:t>
      </w:r>
      <w:r>
        <w:t xml:space="preserve"> </w:t>
      </w:r>
      <w:r>
        <w:rPr>
          <w:rStyle w:val="VerbatimChar"/>
        </w:rPr>
        <w:t xml:space="preserve">Empty</w:t>
      </w:r>
      <w:r>
        <w:t xml:space="preserve">.</w:t>
      </w:r>
    </w:p>
    <w:bookmarkEnd w:id="2650"/>
    <w:bookmarkStart w:id="2651" w:name="remarks-234"/>
    <w:p>
      <w:pPr>
        <w:pStyle w:val="Heading2"/>
      </w:pPr>
      <w:r>
        <w:t xml:space="preserve">Remarks</w:t>
      </w:r>
    </w:p>
    <w:p>
      <w:pPr>
        <w:pStyle w:val="Compact"/>
        <w:numPr>
          <w:ilvl w:val="0"/>
          <w:numId w:val="1638"/>
        </w:numPr>
      </w:pPr>
      <w:r>
        <w:t xml:space="preserve">This method clears the value returned by the</w:t>
      </w:r>
      <w:r>
        <w:t xml:space="preserve"> </w:t>
      </w:r>
      <w:r>
        <w:rPr>
          <w:rStyle w:val="VerbatimChar"/>
        </w:rPr>
        <w:t xml:space="preserve">Hash</w:t>
      </w:r>
      <w:r>
        <w:t xml:space="preserve"> </w:t>
      </w:r>
      <w:r>
        <w:t xml:space="preserve">property.</w:t>
      </w:r>
    </w:p>
    <w:p>
      <w:pPr>
        <w:pStyle w:val="Compact"/>
        <w:numPr>
          <w:ilvl w:val="0"/>
          <w:numId w:val="1638"/>
        </w:numPr>
      </w:pPr>
      <w:r>
        <w:t xml:space="preserve">This method does not change</w:t>
      </w:r>
      <w:r>
        <w:t xml:space="preserve"> </w:t>
      </w:r>
      <w:r>
        <w:rPr>
          <w:rStyle w:val="VerbatimChar"/>
        </w:rPr>
        <w:t xml:space="preserve">BCryptCost</w:t>
      </w:r>
      <w:r>
        <w:t xml:space="preserve">.</w:t>
      </w:r>
    </w:p>
    <w:p>
      <w:pPr>
        <w:pStyle w:val="Compact"/>
        <w:numPr>
          <w:ilvl w:val="0"/>
          <w:numId w:val="1638"/>
        </w:numPr>
      </w:pPr>
      <w:r>
        <w:t xml:space="preserve">Method names are case-insensitive.</w:t>
      </w:r>
    </w:p>
    <w:bookmarkEnd w:id="2651"/>
    <w:bookmarkStart w:id="2652" w:name="example-18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bytes</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bytes = crypto.ComputeHash</w:t>
      </w:r>
      <w:r>
        <w:rPr>
          <w:rStyle w:val="OtherTok"/>
        </w:rPr>
        <w:t xml:space="preserve">(</w:t>
      </w:r>
      <w:r>
        <w:rPr>
          <w:rStyle w:val="StringTok"/>
        </w:rPr>
        <w:t xml:space="preserve">"Some data"</w:t>
      </w:r>
      <w:r>
        <w:rPr>
          <w:rStyle w:val="OtherTok"/>
        </w:rPr>
        <w:t xml:space="preserve">,</w:t>
      </w:r>
      <w:r>
        <w:rPr>
          <w:rStyle w:val="NormalTok"/>
        </w:rPr>
        <w:t xml:space="preserve"> </w:t>
      </w:r>
      <w:r>
        <w:rPr>
          <w:rStyle w:val="StringTok"/>
        </w:rPr>
        <w:t xml:space="preserve">"sha256"</w:t>
      </w:r>
      <w:r>
        <w:rPr>
          <w:rStyle w:val="OtherTok"/>
        </w:rPr>
        <w:t xml:space="preserve">)</w:t>
      </w:r>
      <w:r>
        <w:br/>
      </w:r>
      <w:r>
        <w:rPr>
          <w:rStyle w:val="NormalTok"/>
        </w:rPr>
        <w:t xml:space="preserve">crypto.Initialize</w:t>
      </w:r>
      <w:r>
        <w:rPr>
          <w:rStyle w:val="OtherTok"/>
        </w:rPr>
        <w:t xml:space="preserve">()</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52"/>
    <w:bookmarkStart w:id="2653" w:name="api-reference-105"/>
    <w:p>
      <w:pPr>
        <w:pStyle w:val="Heading2"/>
      </w:pPr>
      <w:r>
        <w:t xml:space="preserve">API Reference</w:t>
      </w:r>
    </w:p>
    <w:p>
      <w:pPr>
        <w:pStyle w:val="Compact"/>
        <w:numPr>
          <w:ilvl w:val="0"/>
          <w:numId w:val="1639"/>
        </w:numPr>
      </w:pPr>
      <w:r>
        <w:rPr>
          <w:b/>
          <w:bCs/>
        </w:rPr>
        <w:t xml:space="preserve">Object</w:t>
      </w:r>
      <w:r>
        <w:t xml:space="preserve">:</w:t>
      </w:r>
      <w:r>
        <w:t xml:space="preserve"> </w:t>
      </w:r>
      <w:r>
        <w:rPr>
          <w:rStyle w:val="VerbatimChar"/>
        </w:rPr>
        <w:t xml:space="preserve">G3CRYPTO</w:t>
      </w:r>
    </w:p>
    <w:p>
      <w:pPr>
        <w:pStyle w:val="Compact"/>
        <w:numPr>
          <w:ilvl w:val="0"/>
          <w:numId w:val="1639"/>
        </w:numPr>
      </w:pPr>
      <w:r>
        <w:rPr>
          <w:b/>
          <w:bCs/>
        </w:rPr>
        <w:t xml:space="preserve">Method</w:t>
      </w:r>
      <w:r>
        <w:t xml:space="preserve">:</w:t>
      </w:r>
      <w:r>
        <w:t xml:space="preserve"> </w:t>
      </w:r>
      <w:r>
        <w:rPr>
          <w:rStyle w:val="VerbatimChar"/>
        </w:rPr>
        <w:t xml:space="preserve">Initialize</w:t>
      </w:r>
    </w:p>
    <w:p>
      <w:pPr>
        <w:pStyle w:val="Compact"/>
        <w:numPr>
          <w:ilvl w:val="0"/>
          <w:numId w:val="1639"/>
        </w:numPr>
      </w:pPr>
      <w:r>
        <w:rPr>
          <w:b/>
          <w:bCs/>
        </w:rPr>
        <w:t xml:space="preserve">Arguments</w:t>
      </w:r>
      <w:r>
        <w:t xml:space="preserve">: None</w:t>
      </w:r>
    </w:p>
    <w:p>
      <w:pPr>
        <w:pStyle w:val="Compact"/>
        <w:numPr>
          <w:ilvl w:val="0"/>
          <w:numId w:val="1639"/>
        </w:numPr>
      </w:pPr>
      <w:r>
        <w:rPr>
          <w:b/>
          <w:bCs/>
        </w:rPr>
        <w:t xml:space="preserve">Returns</w:t>
      </w:r>
      <w:r>
        <w:t xml:space="preserve">: Empty</w:t>
      </w:r>
    </w:p>
    <w:bookmarkEnd w:id="2653"/>
    <w:bookmarkEnd w:id="2654"/>
    <w:bookmarkStart w:id="2663" w:name="compute-an-md5-digest"/>
    <w:p>
      <w:pPr>
        <w:pStyle w:val="Heading1"/>
      </w:pPr>
      <w:r>
        <w:t xml:space="preserve">Compute an MD5 Digest</w:t>
      </w:r>
    </w:p>
    <w:bookmarkStart w:id="2655" w:name="overview-249"/>
    <w:p>
      <w:pPr>
        <w:pStyle w:val="Heading2"/>
      </w:pPr>
      <w:r>
        <w:t xml:space="preserve">Overview</w:t>
      </w:r>
    </w:p>
    <w:p>
      <w:pPr>
        <w:pStyle w:val="FirstParagraph"/>
      </w:pPr>
      <w:r>
        <w:t xml:space="preserve">Computes the MD5 digest of the input and returns the result as a lowercase hexadecimal string.</w:t>
      </w:r>
    </w:p>
    <w:bookmarkEnd w:id="2655"/>
    <w:bookmarkStart w:id="2656" w:name="prerequisites-10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56"/>
    <w:bookmarkStart w:id="2657" w:name="syntax-261"/>
    <w:p>
      <w:pPr>
        <w:pStyle w:val="Heading2"/>
      </w:pPr>
      <w:r>
        <w:t xml:space="preserve">Syntax</w:t>
      </w:r>
    </w:p>
    <w:p>
      <w:pPr>
        <w:pStyle w:val="SourceCode"/>
      </w:pPr>
      <w:r>
        <w:rPr>
          <w:rStyle w:val="NormalTok"/>
        </w:rPr>
        <w:t xml:space="preserve">result = crypto.MD5(input)</w:t>
      </w:r>
    </w:p>
    <w:bookmarkEnd w:id="2657"/>
    <w:bookmarkStart w:id="2658" w:name="parameters-16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658"/>
    <w:bookmarkStart w:id="2659" w:name="return-value-185"/>
    <w:p>
      <w:pPr>
        <w:pStyle w:val="Heading2"/>
      </w:pPr>
      <w:r>
        <w:t xml:space="preserve">Return Value</w:t>
      </w:r>
    </w:p>
    <w:p>
      <w:pPr>
        <w:pStyle w:val="Compact"/>
        <w:numPr>
          <w:ilvl w:val="0"/>
          <w:numId w:val="1640"/>
        </w:numPr>
      </w:pPr>
      <w:r>
        <w:rPr>
          <w:b/>
          <w:bCs/>
        </w:rPr>
        <w:t xml:space="preserve">String</w:t>
      </w:r>
      <w:r>
        <w:t xml:space="preserve">: 32-character lowercase hexadecimal MD5 digest.</w:t>
      </w:r>
    </w:p>
    <w:bookmarkEnd w:id="2659"/>
    <w:bookmarkStart w:id="2660" w:name="remarks-235"/>
    <w:p>
      <w:pPr>
        <w:pStyle w:val="Heading2"/>
      </w:pPr>
      <w:r>
        <w:t xml:space="preserve">Remarks</w:t>
      </w:r>
    </w:p>
    <w:p>
      <w:pPr>
        <w:pStyle w:val="Compact"/>
        <w:numPr>
          <w:ilvl w:val="0"/>
          <w:numId w:val="1641"/>
        </w:numPr>
      </w:pPr>
      <w:r>
        <w:t xml:space="preserve">MD5 is fast and useful for checksums but is not recommended for password hashing or collision-resistant security scenarios.</w:t>
      </w:r>
    </w:p>
    <w:p>
      <w:pPr>
        <w:pStyle w:val="Compact"/>
        <w:numPr>
          <w:ilvl w:val="0"/>
          <w:numId w:val="1641"/>
        </w:numPr>
      </w:pPr>
      <w:r>
        <w:t xml:space="preserve">The method accepts byte arrays and string inputs.</w:t>
      </w:r>
    </w:p>
    <w:p>
      <w:pPr>
        <w:pStyle w:val="Compact"/>
        <w:numPr>
          <w:ilvl w:val="0"/>
          <w:numId w:val="1641"/>
        </w:numPr>
      </w:pPr>
      <w:r>
        <w:t xml:space="preserve">Method names are case-insensitive.</w:t>
      </w:r>
    </w:p>
    <w:bookmarkEnd w:id="2660"/>
    <w:bookmarkStart w:id="2661" w:name="example-18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crypto.MD5</w:t>
      </w:r>
      <w:r>
        <w:rPr>
          <w:rStyle w:val="OtherTok"/>
        </w:rPr>
        <w:t xml:space="preserve">(</w:t>
      </w:r>
      <w:r>
        <w:rPr>
          <w:rStyle w:val="StringTok"/>
        </w:rPr>
        <w:t xml:space="preserve">"Hello World"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rPr>
          <w:rStyle w:val="CommentTok"/>
        </w:rPr>
        <w:t xml:space="preserve">' Output: b10a8db164e0754105b7a99be72e3fe5</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61"/>
    <w:bookmarkStart w:id="2662" w:name="api-reference-106"/>
    <w:p>
      <w:pPr>
        <w:pStyle w:val="Heading2"/>
      </w:pPr>
      <w:r>
        <w:t xml:space="preserve">API Reference</w:t>
      </w:r>
    </w:p>
    <w:p>
      <w:pPr>
        <w:pStyle w:val="Compact"/>
        <w:numPr>
          <w:ilvl w:val="0"/>
          <w:numId w:val="1642"/>
        </w:numPr>
      </w:pPr>
      <w:r>
        <w:rPr>
          <w:b/>
          <w:bCs/>
        </w:rPr>
        <w:t xml:space="preserve">Object</w:t>
      </w:r>
      <w:r>
        <w:t xml:space="preserve">:</w:t>
      </w:r>
      <w:r>
        <w:t xml:space="preserve"> </w:t>
      </w:r>
      <w:r>
        <w:rPr>
          <w:rStyle w:val="VerbatimChar"/>
        </w:rPr>
        <w:t xml:space="preserve">G3CRYPTO</w:t>
      </w:r>
    </w:p>
    <w:p>
      <w:pPr>
        <w:pStyle w:val="Compact"/>
        <w:numPr>
          <w:ilvl w:val="0"/>
          <w:numId w:val="1642"/>
        </w:numPr>
      </w:pPr>
      <w:r>
        <w:rPr>
          <w:b/>
          <w:bCs/>
        </w:rPr>
        <w:t xml:space="preserve">Method</w:t>
      </w:r>
      <w:r>
        <w:t xml:space="preserve">:</w:t>
      </w:r>
      <w:r>
        <w:t xml:space="preserve"> </w:t>
      </w:r>
      <w:r>
        <w:rPr>
          <w:rStyle w:val="VerbatimChar"/>
        </w:rPr>
        <w:t xml:space="preserve">MD5</w:t>
      </w:r>
    </w:p>
    <w:p>
      <w:pPr>
        <w:pStyle w:val="Compact"/>
        <w:numPr>
          <w:ilvl w:val="0"/>
          <w:numId w:val="1642"/>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42"/>
        </w:numPr>
      </w:pPr>
      <w:r>
        <w:rPr>
          <w:b/>
          <w:bCs/>
        </w:rPr>
        <w:t xml:space="preserve">Returns</w:t>
      </w:r>
      <w:r>
        <w:t xml:space="preserve">: String — 32-character lowercase hexadecimal digest</w:t>
      </w:r>
    </w:p>
    <w:bookmarkEnd w:id="2662"/>
    <w:bookmarkEnd w:id="2663"/>
    <w:bookmarkStart w:id="2672" w:name="derive-a-key-with-pbkdf2-sha256"/>
    <w:p>
      <w:pPr>
        <w:pStyle w:val="Heading1"/>
      </w:pPr>
      <w:r>
        <w:t xml:space="preserve">Derive a Key with PBKDF2-SHA256</w:t>
      </w:r>
    </w:p>
    <w:bookmarkStart w:id="2664" w:name="overview-250"/>
    <w:p>
      <w:pPr>
        <w:pStyle w:val="Heading2"/>
      </w:pPr>
      <w:r>
        <w:t xml:space="preserve">Overview</w:t>
      </w:r>
    </w:p>
    <w:p>
      <w:pPr>
        <w:pStyle w:val="FirstParagraph"/>
      </w:pPr>
      <w:r>
        <w:t xml:space="preserve">Derives a key from a password and salt using PBKDF2 with HMAC-SHA256.</w:t>
      </w:r>
    </w:p>
    <w:bookmarkEnd w:id="2664"/>
    <w:bookmarkStart w:id="2665" w:name="prerequisites-10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65"/>
    <w:bookmarkStart w:id="2666" w:name="syntax-262"/>
    <w:p>
      <w:pPr>
        <w:pStyle w:val="Heading2"/>
      </w:pPr>
      <w:r>
        <w:t xml:space="preserve">Syntax</w:t>
      </w:r>
    </w:p>
    <w:p>
      <w:pPr>
        <w:pStyle w:val="SourceCode"/>
      </w:pPr>
      <w:r>
        <w:rPr>
          <w:rStyle w:val="NormalTok"/>
        </w:rPr>
        <w:t xml:space="preserve">result = crypto.Pbkdf2Sha256(password, salt [, iterations] [, keyLength])</w:t>
      </w:r>
    </w:p>
    <w:bookmarkEnd w:id="2666"/>
    <w:bookmarkStart w:id="2667" w:name="parameters-17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password</w:t>
            </w:r>
          </w:p>
        </w:tc>
        <w:tc>
          <w:tcPr/>
          <w:p>
            <w:pPr>
              <w:pStyle w:val="Compact"/>
            </w:pPr>
            <w:r>
              <w:t xml:space="preserve">String</w:t>
            </w:r>
          </w:p>
        </w:tc>
        <w:tc>
          <w:tcPr/>
          <w:p>
            <w:pPr>
              <w:pStyle w:val="Compact"/>
            </w:pPr>
            <w:r>
              <w:t xml:space="preserve">Yes</w:t>
            </w:r>
          </w:p>
        </w:tc>
        <w:tc>
          <w:tcPr/>
          <w:p>
            <w:pPr>
              <w:pStyle w:val="Compact"/>
            </w:pPr>
            <w:r>
              <w:t xml:space="preserve">Password or passphrase input.</w:t>
            </w:r>
          </w:p>
        </w:tc>
      </w:tr>
      <w:tr>
        <w:tc>
          <w:tcPr/>
          <w:p>
            <w:pPr>
              <w:pStyle w:val="Compact"/>
            </w:pPr>
            <w:r>
              <w:rPr>
                <w:b/>
                <w:bCs/>
              </w:rPr>
              <w:t xml:space="preserve">salt</w:t>
            </w:r>
          </w:p>
        </w:tc>
        <w:tc>
          <w:tcPr/>
          <w:p>
            <w:pPr>
              <w:pStyle w:val="Compact"/>
            </w:pPr>
            <w:r>
              <w:t xml:space="preserve">String</w:t>
            </w:r>
          </w:p>
        </w:tc>
        <w:tc>
          <w:tcPr/>
          <w:p>
            <w:pPr>
              <w:pStyle w:val="Compact"/>
            </w:pPr>
            <w:r>
              <w:t xml:space="preserve">Yes</w:t>
            </w:r>
          </w:p>
        </w:tc>
        <w:tc>
          <w:tcPr/>
          <w:p>
            <w:pPr>
              <w:pStyle w:val="Compact"/>
            </w:pPr>
            <w:r>
              <w:t xml:space="preserve">Salt value. Use a unique random salt per password.</w:t>
            </w:r>
          </w:p>
        </w:tc>
      </w:tr>
      <w:tr>
        <w:tc>
          <w:tcPr/>
          <w:p>
            <w:pPr>
              <w:pStyle w:val="Compact"/>
            </w:pPr>
            <w:r>
              <w:rPr>
                <w:b/>
                <w:bCs/>
              </w:rPr>
              <w:t xml:space="preserve">iterations</w:t>
            </w:r>
          </w:p>
        </w:tc>
        <w:tc>
          <w:tcPr/>
          <w:p>
            <w:pPr>
              <w:pStyle w:val="Compact"/>
            </w:pPr>
            <w:r>
              <w:t xml:space="preserve">Integer</w:t>
            </w:r>
          </w:p>
        </w:tc>
        <w:tc>
          <w:tcPr/>
          <w:p>
            <w:pPr>
              <w:pStyle w:val="Compact"/>
            </w:pPr>
            <w:r>
              <w:t xml:space="preserve">No</w:t>
            </w:r>
          </w:p>
        </w:tc>
        <w:tc>
          <w:tcPr/>
          <w:p>
            <w:pPr>
              <w:pStyle w:val="Compact"/>
            </w:pPr>
            <w:r>
              <w:t xml:space="preserve">Iteration count. Values less than or equal to</w:t>
            </w:r>
            <w:r>
              <w:t xml:space="preserve"> </w:t>
            </w:r>
            <w:r>
              <w:rPr>
                <w:rStyle w:val="VerbatimChar"/>
              </w:rPr>
              <w:t xml:space="preserve">0</w:t>
            </w:r>
            <w:r>
              <w:t xml:space="preserve"> </w:t>
            </w:r>
            <w:r>
              <w:t xml:space="preserve">are replaced with</w:t>
            </w:r>
            <w:r>
              <w:t xml:space="preserve"> </w:t>
            </w:r>
            <w:r>
              <w:rPr>
                <w:rStyle w:val="VerbatimChar"/>
              </w:rPr>
              <w:t xml:space="preserve">100000</w:t>
            </w:r>
            <w:r>
              <w:t xml:space="preserve">.</w:t>
            </w:r>
          </w:p>
        </w:tc>
      </w:tr>
      <w:tr>
        <w:tc>
          <w:tcPr/>
          <w:p>
            <w:pPr>
              <w:pStyle w:val="Compact"/>
            </w:pPr>
            <w:r>
              <w:rPr>
                <w:b/>
                <w:bCs/>
              </w:rPr>
              <w:t xml:space="preserve">keyLength</w:t>
            </w:r>
          </w:p>
        </w:tc>
        <w:tc>
          <w:tcPr/>
          <w:p>
            <w:pPr>
              <w:pStyle w:val="Compact"/>
            </w:pPr>
            <w:r>
              <w:t xml:space="preserve">Integer</w:t>
            </w:r>
          </w:p>
        </w:tc>
        <w:tc>
          <w:tcPr/>
          <w:p>
            <w:pPr>
              <w:pStyle w:val="Compact"/>
            </w:pPr>
            <w:r>
              <w:t xml:space="preserve">No</w:t>
            </w:r>
          </w:p>
        </w:tc>
        <w:tc>
          <w:tcPr/>
          <w:p>
            <w:pPr>
              <w:pStyle w:val="Compact"/>
            </w:pPr>
            <w:r>
              <w:t xml:space="preserve">Derived key length in bytes. Values less than or equal to</w:t>
            </w:r>
            <w:r>
              <w:t xml:space="preserve"> </w:t>
            </w:r>
            <w:r>
              <w:rPr>
                <w:rStyle w:val="VerbatimChar"/>
              </w:rPr>
              <w:t xml:space="preserve">0</w:t>
            </w:r>
            <w:r>
              <w:t xml:space="preserve"> </w:t>
            </w:r>
            <w:r>
              <w:t xml:space="preserve">are replaced with</w:t>
            </w:r>
            <w:r>
              <w:t xml:space="preserve"> </w:t>
            </w:r>
            <w:r>
              <w:rPr>
                <w:rStyle w:val="VerbatimChar"/>
              </w:rPr>
              <w:t xml:space="preserve">32</w:t>
            </w:r>
            <w:r>
              <w:t xml:space="preserve">.</w:t>
            </w:r>
          </w:p>
        </w:tc>
      </w:tr>
    </w:tbl>
    <w:bookmarkEnd w:id="2667"/>
    <w:bookmarkStart w:id="2668" w:name="return-value-186"/>
    <w:p>
      <w:pPr>
        <w:pStyle w:val="Heading2"/>
      </w:pPr>
      <w:r>
        <w:t xml:space="preserve">Return Value</w:t>
      </w:r>
    </w:p>
    <w:p>
      <w:pPr>
        <w:pStyle w:val="Compact"/>
        <w:numPr>
          <w:ilvl w:val="0"/>
          <w:numId w:val="1643"/>
        </w:numPr>
      </w:pPr>
      <w:r>
        <w:rPr>
          <w:b/>
          <w:bCs/>
        </w:rPr>
        <w:t xml:space="preserve">String</w:t>
      </w:r>
      <w:r>
        <w:t xml:space="preserve">: Lowercase hexadecimal representation of the derived key. Length is</w:t>
      </w:r>
      <w:r>
        <w:t xml:space="preserve"> </w:t>
      </w:r>
      <w:r>
        <w:rPr>
          <w:rStyle w:val="VerbatimChar"/>
        </w:rPr>
        <w:t xml:space="preserve">keyLength * 2</w:t>
      </w:r>
      <w:r>
        <w:t xml:space="preserve"> </w:t>
      </w:r>
      <w:r>
        <w:t xml:space="preserve">characters after normalization.</w:t>
      </w:r>
    </w:p>
    <w:p>
      <w:pPr>
        <w:pStyle w:val="Compact"/>
        <w:numPr>
          <w:ilvl w:val="0"/>
          <w:numId w:val="1643"/>
        </w:numPr>
      </w:pPr>
      <w:r>
        <w:rPr>
          <w:b/>
          <w:bCs/>
        </w:rPr>
        <w:t xml:space="preserve">String (empty)</w:t>
      </w:r>
      <w:r>
        <w:t xml:space="preserve">: Returned when required arguments are missing.</w:t>
      </w:r>
    </w:p>
    <w:bookmarkEnd w:id="2668"/>
    <w:bookmarkStart w:id="2669" w:name="remarks-236"/>
    <w:p>
      <w:pPr>
        <w:pStyle w:val="Heading2"/>
      </w:pPr>
      <w:r>
        <w:t xml:space="preserve">Remarks</w:t>
      </w:r>
    </w:p>
    <w:p>
      <w:pPr>
        <w:pStyle w:val="Compact"/>
        <w:numPr>
          <w:ilvl w:val="0"/>
          <w:numId w:val="1644"/>
        </w:numPr>
      </w:pPr>
      <w:r>
        <w:t xml:space="preserve">On success, this method also updates the</w:t>
      </w:r>
      <w:r>
        <w:t xml:space="preserve"> </w:t>
      </w:r>
      <w:r>
        <w:rPr>
          <w:rStyle w:val="VerbatimChar"/>
        </w:rPr>
        <w:t xml:space="preserve">Hash</w:t>
      </w:r>
      <w:r>
        <w:t xml:space="preserve"> </w:t>
      </w:r>
      <w:r>
        <w:t xml:space="preserve">property with raw derived-key bytes.</w:t>
      </w:r>
    </w:p>
    <w:p>
      <w:pPr>
        <w:pStyle w:val="Compact"/>
        <w:numPr>
          <w:ilvl w:val="0"/>
          <w:numId w:val="1644"/>
        </w:numPr>
      </w:pPr>
      <w:r>
        <w:t xml:space="preserve">PBKDF2 is intentionally CPU-intensive and suitable for password-based key derivation.</w:t>
      </w:r>
    </w:p>
    <w:p>
      <w:pPr>
        <w:pStyle w:val="Compact"/>
        <w:numPr>
          <w:ilvl w:val="0"/>
          <w:numId w:val="1644"/>
        </w:numPr>
      </w:pPr>
      <w:r>
        <w:t xml:space="preserve">Method names are case-insensitive.</w:t>
      </w:r>
    </w:p>
    <w:bookmarkEnd w:id="2669"/>
    <w:bookmarkStart w:id="2670" w:name="example-18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salt</w:t>
      </w:r>
      <w:r>
        <w:rPr>
          <w:rStyle w:val="OtherTok"/>
        </w:rPr>
        <w:t xml:space="preserve">,</w:t>
      </w:r>
      <w:r>
        <w:rPr>
          <w:rStyle w:val="NormalTok"/>
        </w:rPr>
        <w:t xml:space="preserve"> keyHex</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salt = </w:t>
      </w:r>
      <w:r>
        <w:rPr>
          <w:rStyle w:val="StringTok"/>
        </w:rPr>
        <w:t xml:space="preserve">"user-specific-random-salt"</w:t>
      </w:r>
      <w:r>
        <w:br/>
      </w:r>
      <w:r>
        <w:rPr>
          <w:rStyle w:val="NormalTok"/>
        </w:rPr>
        <w:t xml:space="preserve">keyHex = crypto.Pbkdf2Sha256</w:t>
      </w:r>
      <w:r>
        <w:rPr>
          <w:rStyle w:val="OtherTok"/>
        </w:rPr>
        <w:t xml:space="preserve">(</w:t>
      </w:r>
      <w:r>
        <w:rPr>
          <w:rStyle w:val="StringTok"/>
        </w:rPr>
        <w:t xml:space="preserve">"mySecretPassword"</w:t>
      </w:r>
      <w:r>
        <w:rPr>
          <w:rStyle w:val="OtherTok"/>
        </w:rPr>
        <w:t xml:space="preserve">,</w:t>
      </w:r>
      <w:r>
        <w:rPr>
          <w:rStyle w:val="NormalTok"/>
        </w:rPr>
        <w:t xml:space="preserve"> salt</w:t>
      </w:r>
      <w:r>
        <w:rPr>
          <w:rStyle w:val="OtherTok"/>
        </w:rPr>
        <w:t xml:space="preserve">,</w:t>
      </w:r>
      <w:r>
        <w:rPr>
          <w:rStyle w:val="NormalTok"/>
        </w:rPr>
        <w:t xml:space="preserve"> </w:t>
      </w:r>
      <w:r>
        <w:rPr>
          <w:rStyle w:val="DecValTok"/>
        </w:rPr>
        <w:t xml:space="preserve">150000</w:t>
      </w:r>
      <w:r>
        <w:rPr>
          <w:rStyle w:val="OtherTok"/>
        </w:rPr>
        <w:t xml:space="preserve">,</w:t>
      </w:r>
      <w:r>
        <w:rPr>
          <w:rStyle w:val="NormalTok"/>
        </w:rPr>
        <w:t xml:space="preserve"> </w:t>
      </w:r>
      <w:r>
        <w:rPr>
          <w:rStyle w:val="DecValTok"/>
        </w:rPr>
        <w:t xml:space="preserve">32</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keyHex</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70"/>
    <w:bookmarkStart w:id="2671" w:name="api-reference-107"/>
    <w:p>
      <w:pPr>
        <w:pStyle w:val="Heading2"/>
      </w:pPr>
      <w:r>
        <w:t xml:space="preserve">API Reference</w:t>
      </w:r>
    </w:p>
    <w:p>
      <w:pPr>
        <w:pStyle w:val="Compact"/>
        <w:numPr>
          <w:ilvl w:val="0"/>
          <w:numId w:val="1645"/>
        </w:numPr>
      </w:pPr>
      <w:r>
        <w:rPr>
          <w:b/>
          <w:bCs/>
        </w:rPr>
        <w:t xml:space="preserve">Object</w:t>
      </w:r>
      <w:r>
        <w:t xml:space="preserve">:</w:t>
      </w:r>
      <w:r>
        <w:t xml:space="preserve"> </w:t>
      </w:r>
      <w:r>
        <w:rPr>
          <w:rStyle w:val="VerbatimChar"/>
        </w:rPr>
        <w:t xml:space="preserve">G3CRYPTO</w:t>
      </w:r>
    </w:p>
    <w:p>
      <w:pPr>
        <w:pStyle w:val="Compact"/>
        <w:numPr>
          <w:ilvl w:val="0"/>
          <w:numId w:val="1645"/>
        </w:numPr>
      </w:pPr>
      <w:r>
        <w:rPr>
          <w:b/>
          <w:bCs/>
        </w:rPr>
        <w:t xml:space="preserve">Method</w:t>
      </w:r>
      <w:r>
        <w:t xml:space="preserve">:</w:t>
      </w:r>
      <w:r>
        <w:t xml:space="preserve"> </w:t>
      </w:r>
      <w:r>
        <w:rPr>
          <w:rStyle w:val="VerbatimChar"/>
        </w:rPr>
        <w:t xml:space="preserve">Pbkdf2Sha256</w:t>
      </w:r>
    </w:p>
    <w:p>
      <w:pPr>
        <w:pStyle w:val="Compact"/>
        <w:numPr>
          <w:ilvl w:val="0"/>
          <w:numId w:val="1645"/>
        </w:numPr>
      </w:pPr>
      <w:r>
        <w:rPr>
          <w:b/>
          <w:bCs/>
        </w:rPr>
        <w:t xml:space="preserve">Arguments</w:t>
      </w:r>
      <w:r>
        <w:t xml:space="preserve">:</w:t>
      </w:r>
      <w:r>
        <w:t xml:space="preserve"> </w:t>
      </w:r>
      <w:r>
        <w:rPr>
          <w:rStyle w:val="VerbatimChar"/>
        </w:rPr>
        <w:t xml:space="preserve">password</w:t>
      </w:r>
      <w:r>
        <w:t xml:space="preserve"> </w:t>
      </w:r>
      <w:r>
        <w:t xml:space="preserve">(String, required),</w:t>
      </w:r>
      <w:r>
        <w:t xml:space="preserve"> </w:t>
      </w:r>
      <w:r>
        <w:rPr>
          <w:rStyle w:val="VerbatimChar"/>
        </w:rPr>
        <w:t xml:space="preserve">salt</w:t>
      </w:r>
      <w:r>
        <w:t xml:space="preserve"> </w:t>
      </w:r>
      <w:r>
        <w:t xml:space="preserve">(String, required),</w:t>
      </w:r>
      <w:r>
        <w:t xml:space="preserve"> </w:t>
      </w:r>
      <w:r>
        <w:rPr>
          <w:rStyle w:val="VerbatimChar"/>
        </w:rPr>
        <w:t xml:space="preserve">iterations</w:t>
      </w:r>
      <w:r>
        <w:t xml:space="preserve"> </w:t>
      </w:r>
      <w:r>
        <w:t xml:space="preserve">(Integer, optional),</w:t>
      </w:r>
      <w:r>
        <w:t xml:space="preserve"> </w:t>
      </w:r>
      <w:r>
        <w:rPr>
          <w:rStyle w:val="VerbatimChar"/>
        </w:rPr>
        <w:t xml:space="preserve">keyLength</w:t>
      </w:r>
      <w:r>
        <w:t xml:space="preserve"> </w:t>
      </w:r>
      <w:r>
        <w:t xml:space="preserve">(Integer, optional)</w:t>
      </w:r>
    </w:p>
    <w:p>
      <w:pPr>
        <w:pStyle w:val="Compact"/>
        <w:numPr>
          <w:ilvl w:val="0"/>
          <w:numId w:val="1645"/>
        </w:numPr>
      </w:pPr>
      <w:r>
        <w:rPr>
          <w:b/>
          <w:bCs/>
        </w:rPr>
        <w:t xml:space="preserve">Returns</w:t>
      </w:r>
      <w:r>
        <w:t xml:space="preserve">: String — lowercase hexadecimal derived key, or empty string when required arguments are missing</w:t>
      </w:r>
    </w:p>
    <w:bookmarkEnd w:id="2671"/>
    <w:bookmarkEnd w:id="2672"/>
    <w:bookmarkStart w:id="2681" w:name="generate-a-secure-random-base64-string"/>
    <w:p>
      <w:pPr>
        <w:pStyle w:val="Heading1"/>
      </w:pPr>
      <w:r>
        <w:t xml:space="preserve">Generate a Secure Random Base64 String</w:t>
      </w:r>
    </w:p>
    <w:bookmarkStart w:id="2673" w:name="overview-251"/>
    <w:p>
      <w:pPr>
        <w:pStyle w:val="Heading2"/>
      </w:pPr>
      <w:r>
        <w:t xml:space="preserve">Overview</w:t>
      </w:r>
    </w:p>
    <w:p>
      <w:pPr>
        <w:pStyle w:val="FirstParagraph"/>
      </w:pPr>
      <w:r>
        <w:t xml:space="preserve">Generates cryptographically secure random bytes and returns them as a Base64 string.</w:t>
      </w:r>
    </w:p>
    <w:bookmarkEnd w:id="2673"/>
    <w:bookmarkStart w:id="2674" w:name="prerequisites-10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74"/>
    <w:bookmarkStart w:id="2675" w:name="syntax-263"/>
    <w:p>
      <w:pPr>
        <w:pStyle w:val="Heading2"/>
      </w:pPr>
      <w:r>
        <w:t xml:space="preserve">Syntax</w:t>
      </w:r>
    </w:p>
    <w:p>
      <w:pPr>
        <w:pStyle w:val="SourceCode"/>
      </w:pPr>
      <w:r>
        <w:rPr>
          <w:rStyle w:val="NormalTok"/>
        </w:rPr>
        <w:t xml:space="preserve">result = crypto.RandomBase64([size])</w:t>
      </w:r>
    </w:p>
    <w:bookmarkEnd w:id="2675"/>
    <w:bookmarkStart w:id="2676" w:name="parameters-17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size</w:t>
            </w:r>
          </w:p>
        </w:tc>
        <w:tc>
          <w:tcPr/>
          <w:p>
            <w:pPr>
              <w:pStyle w:val="Compact"/>
            </w:pPr>
            <w:r>
              <w:t xml:space="preserve">Integer</w:t>
            </w:r>
          </w:p>
        </w:tc>
        <w:tc>
          <w:tcPr/>
          <w:p>
            <w:pPr>
              <w:pStyle w:val="Compact"/>
            </w:pPr>
            <w:r>
              <w:t xml:space="preserve">No</w:t>
            </w:r>
          </w:p>
        </w:tc>
        <w:tc>
          <w:tcPr/>
          <w:p>
            <w:pPr>
              <w:pStyle w:val="Compact"/>
            </w:pPr>
            <w:r>
              <w:t xml:space="preserve">Number of random bytes to generate. Default is</w:t>
            </w:r>
            <w:r>
              <w:t xml:space="preserve"> </w:t>
            </w:r>
            <w:r>
              <w:rPr>
                <w:rStyle w:val="VerbatimChar"/>
              </w:rPr>
              <w:t xml:space="preserve">32</w:t>
            </w:r>
            <w:r>
              <w:t xml:space="preserve">. Negative values are normalized to</w:t>
            </w:r>
            <w:r>
              <w:t xml:space="preserve"> </w:t>
            </w:r>
            <w:r>
              <w:rPr>
                <w:rStyle w:val="VerbatimChar"/>
              </w:rPr>
              <w:t xml:space="preserve">0</w:t>
            </w:r>
            <w:r>
              <w:t xml:space="preserve">.</w:t>
            </w:r>
          </w:p>
        </w:tc>
      </w:tr>
    </w:tbl>
    <w:bookmarkEnd w:id="2676"/>
    <w:bookmarkStart w:id="2677" w:name="return-value-187"/>
    <w:p>
      <w:pPr>
        <w:pStyle w:val="Heading2"/>
      </w:pPr>
      <w:r>
        <w:t xml:space="preserve">Return Value</w:t>
      </w:r>
    </w:p>
    <w:p>
      <w:pPr>
        <w:pStyle w:val="Compact"/>
        <w:numPr>
          <w:ilvl w:val="0"/>
          <w:numId w:val="1646"/>
        </w:numPr>
      </w:pPr>
      <w:r>
        <w:rPr>
          <w:b/>
          <w:bCs/>
        </w:rPr>
        <w:t xml:space="preserve">String</w:t>
      </w:r>
      <w:r>
        <w:t xml:space="preserve">: Base64-encoded random data.</w:t>
      </w:r>
    </w:p>
    <w:p>
      <w:pPr>
        <w:pStyle w:val="Compact"/>
        <w:numPr>
          <w:ilvl w:val="0"/>
          <w:numId w:val="1646"/>
        </w:numPr>
      </w:pPr>
      <w:r>
        <w:rPr>
          <w:b/>
          <w:bCs/>
        </w:rPr>
        <w:t xml:space="preserve">String (empty)</w:t>
      </w:r>
      <w:r>
        <w:t xml:space="preserve">: Returned when</w:t>
      </w:r>
      <w:r>
        <w:t xml:space="preserve"> </w:t>
      </w:r>
      <w:r>
        <w:rPr>
          <w:rStyle w:val="VerbatimChar"/>
        </w:rPr>
        <w:t xml:space="preserve">size</w:t>
      </w:r>
      <w:r>
        <w:t xml:space="preserve"> </w:t>
      </w:r>
      <w:r>
        <w:t xml:space="preserve">is</w:t>
      </w:r>
      <w:r>
        <w:t xml:space="preserve"> </w:t>
      </w:r>
      <w:r>
        <w:rPr>
          <w:rStyle w:val="VerbatimChar"/>
        </w:rPr>
        <w:t xml:space="preserve">0</w:t>
      </w:r>
      <w:r>
        <w:t xml:space="preserve"> </w:t>
      </w:r>
      <w:r>
        <w:t xml:space="preserve">or random generation fails.</w:t>
      </w:r>
    </w:p>
    <w:bookmarkEnd w:id="2677"/>
    <w:bookmarkStart w:id="2678" w:name="remarks-237"/>
    <w:p>
      <w:pPr>
        <w:pStyle w:val="Heading2"/>
      </w:pPr>
      <w:r>
        <w:t xml:space="preserve">Remarks</w:t>
      </w:r>
    </w:p>
    <w:p>
      <w:pPr>
        <w:pStyle w:val="Compact"/>
        <w:numPr>
          <w:ilvl w:val="0"/>
          <w:numId w:val="1647"/>
        </w:numPr>
      </w:pPr>
      <w:r>
        <w:t xml:space="preserve">Base64 output length depends on the byte size and padding.</w:t>
      </w:r>
    </w:p>
    <w:p>
      <w:pPr>
        <w:pStyle w:val="Compact"/>
        <w:numPr>
          <w:ilvl w:val="0"/>
          <w:numId w:val="1647"/>
        </w:numPr>
      </w:pPr>
      <w:r>
        <w:t xml:space="preserve">Method names are case-insensitive.</w:t>
      </w:r>
    </w:p>
    <w:bookmarkEnd w:id="2678"/>
    <w:bookmarkStart w:id="2679" w:name="example-19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token</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token = crypto.RandomBase64</w:t>
      </w:r>
      <w:r>
        <w:rPr>
          <w:rStyle w:val="OtherTok"/>
        </w:rPr>
        <w:t xml:space="preserve">(</w:t>
      </w:r>
      <w:r>
        <w:rPr>
          <w:rStyle w:val="DecValTok"/>
        </w:rPr>
        <w:t xml:space="preserve">16</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token</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79"/>
    <w:bookmarkStart w:id="2680" w:name="api-reference-108"/>
    <w:p>
      <w:pPr>
        <w:pStyle w:val="Heading2"/>
      </w:pPr>
      <w:r>
        <w:t xml:space="preserve">API Reference</w:t>
      </w:r>
    </w:p>
    <w:p>
      <w:pPr>
        <w:pStyle w:val="Compact"/>
        <w:numPr>
          <w:ilvl w:val="0"/>
          <w:numId w:val="1648"/>
        </w:numPr>
      </w:pPr>
      <w:r>
        <w:rPr>
          <w:b/>
          <w:bCs/>
        </w:rPr>
        <w:t xml:space="preserve">Object</w:t>
      </w:r>
      <w:r>
        <w:t xml:space="preserve">:</w:t>
      </w:r>
      <w:r>
        <w:t xml:space="preserve"> </w:t>
      </w:r>
      <w:r>
        <w:rPr>
          <w:rStyle w:val="VerbatimChar"/>
        </w:rPr>
        <w:t xml:space="preserve">G3CRYPTO</w:t>
      </w:r>
    </w:p>
    <w:p>
      <w:pPr>
        <w:pStyle w:val="Compact"/>
        <w:numPr>
          <w:ilvl w:val="0"/>
          <w:numId w:val="1648"/>
        </w:numPr>
      </w:pPr>
      <w:r>
        <w:rPr>
          <w:b/>
          <w:bCs/>
        </w:rPr>
        <w:t xml:space="preserve">Method</w:t>
      </w:r>
      <w:r>
        <w:t xml:space="preserve">:</w:t>
      </w:r>
      <w:r>
        <w:t xml:space="preserve"> </w:t>
      </w:r>
      <w:r>
        <w:rPr>
          <w:rStyle w:val="VerbatimChar"/>
        </w:rPr>
        <w:t xml:space="preserve">RandomBase64</w:t>
      </w:r>
    </w:p>
    <w:p>
      <w:pPr>
        <w:pStyle w:val="Compact"/>
        <w:numPr>
          <w:ilvl w:val="0"/>
          <w:numId w:val="1648"/>
        </w:numPr>
      </w:pPr>
      <w:r>
        <w:rPr>
          <w:b/>
          <w:bCs/>
        </w:rPr>
        <w:t xml:space="preserve">Arguments</w:t>
      </w:r>
      <w:r>
        <w:t xml:space="preserve">:</w:t>
      </w:r>
      <w:r>
        <w:t xml:space="preserve"> </w:t>
      </w:r>
      <w:r>
        <w:rPr>
          <w:rStyle w:val="VerbatimChar"/>
        </w:rPr>
        <w:t xml:space="preserve">size</w:t>
      </w:r>
      <w:r>
        <w:t xml:space="preserve"> </w:t>
      </w:r>
      <w:r>
        <w:t xml:space="preserve">(Integer, optional)</w:t>
      </w:r>
    </w:p>
    <w:p>
      <w:pPr>
        <w:pStyle w:val="Compact"/>
        <w:numPr>
          <w:ilvl w:val="0"/>
          <w:numId w:val="1648"/>
        </w:numPr>
      </w:pPr>
      <w:r>
        <w:rPr>
          <w:b/>
          <w:bCs/>
        </w:rPr>
        <w:t xml:space="preserve">Returns</w:t>
      </w:r>
      <w:r>
        <w:t xml:space="preserve">: String — Base64 output, or empty string on failure/zero length</w:t>
      </w:r>
    </w:p>
    <w:bookmarkEnd w:id="2680"/>
    <w:bookmarkEnd w:id="2681"/>
    <w:bookmarkStart w:id="2690" w:name="generate-secure-random-bytes"/>
    <w:p>
      <w:pPr>
        <w:pStyle w:val="Heading1"/>
      </w:pPr>
      <w:r>
        <w:t xml:space="preserve">Generate Secure Random Bytes</w:t>
      </w:r>
    </w:p>
    <w:bookmarkStart w:id="2682" w:name="overview-252"/>
    <w:p>
      <w:pPr>
        <w:pStyle w:val="Heading2"/>
      </w:pPr>
      <w:r>
        <w:t xml:space="preserve">Overview</w:t>
      </w:r>
    </w:p>
    <w:p>
      <w:pPr>
        <w:pStyle w:val="FirstParagraph"/>
      </w:pPr>
      <w:r>
        <w:t xml:space="preserve">Generates cryptographically secure random data and returns it as a VBScript byte array.</w:t>
      </w:r>
    </w:p>
    <w:bookmarkEnd w:id="2682"/>
    <w:bookmarkStart w:id="2683" w:name="prerequisites-10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83"/>
    <w:bookmarkStart w:id="2684" w:name="syntax-264"/>
    <w:p>
      <w:pPr>
        <w:pStyle w:val="Heading2"/>
      </w:pPr>
      <w:r>
        <w:t xml:space="preserve">Syntax</w:t>
      </w:r>
    </w:p>
    <w:p>
      <w:pPr>
        <w:pStyle w:val="SourceCode"/>
      </w:pPr>
      <w:r>
        <w:rPr>
          <w:rStyle w:val="NormalTok"/>
        </w:rPr>
        <w:t xml:space="preserve">result = crypto.RandomBytes([size])</w:t>
      </w:r>
    </w:p>
    <w:bookmarkEnd w:id="2684"/>
    <w:bookmarkStart w:id="2685" w:name="parameters-17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size</w:t>
            </w:r>
          </w:p>
        </w:tc>
        <w:tc>
          <w:tcPr/>
          <w:p>
            <w:pPr>
              <w:pStyle w:val="Compact"/>
            </w:pPr>
            <w:r>
              <w:t xml:space="preserve">Integer</w:t>
            </w:r>
          </w:p>
        </w:tc>
        <w:tc>
          <w:tcPr/>
          <w:p>
            <w:pPr>
              <w:pStyle w:val="Compact"/>
            </w:pPr>
            <w:r>
              <w:t xml:space="preserve">No</w:t>
            </w:r>
          </w:p>
        </w:tc>
        <w:tc>
          <w:tcPr/>
          <w:p>
            <w:pPr>
              <w:pStyle w:val="Compact"/>
            </w:pPr>
            <w:r>
              <w:t xml:space="preserve">Number of bytes to generate. Default is</w:t>
            </w:r>
            <w:r>
              <w:t xml:space="preserve"> </w:t>
            </w:r>
            <w:r>
              <w:rPr>
                <w:rStyle w:val="VerbatimChar"/>
              </w:rPr>
              <w:t xml:space="preserve">32</w:t>
            </w:r>
            <w:r>
              <w:t xml:space="preserve">. Negative values are normalized to</w:t>
            </w:r>
            <w:r>
              <w:t xml:space="preserve"> </w:t>
            </w:r>
            <w:r>
              <w:rPr>
                <w:rStyle w:val="VerbatimChar"/>
              </w:rPr>
              <w:t xml:space="preserve">0</w:t>
            </w:r>
            <w:r>
              <w:t xml:space="preserve">.</w:t>
            </w:r>
          </w:p>
        </w:tc>
      </w:tr>
    </w:tbl>
    <w:bookmarkEnd w:id="2685"/>
    <w:bookmarkStart w:id="2686" w:name="return-value-188"/>
    <w:p>
      <w:pPr>
        <w:pStyle w:val="Heading2"/>
      </w:pPr>
      <w:r>
        <w:t xml:space="preserve">Return Value</w:t>
      </w:r>
    </w:p>
    <w:p>
      <w:pPr>
        <w:pStyle w:val="Compact"/>
        <w:numPr>
          <w:ilvl w:val="0"/>
          <w:numId w:val="1649"/>
        </w:numPr>
      </w:pPr>
      <w:r>
        <w:rPr>
          <w:b/>
          <w:bCs/>
        </w:rPr>
        <w:t xml:space="preserve">Array</w:t>
      </w:r>
      <w:r>
        <w:t xml:space="preserve">: Zero-based VBScript byte array containing random bytes.</w:t>
      </w:r>
    </w:p>
    <w:p>
      <w:pPr>
        <w:pStyle w:val="Compact"/>
        <w:numPr>
          <w:ilvl w:val="0"/>
          <w:numId w:val="1649"/>
        </w:numPr>
      </w:pPr>
      <w:r>
        <w:rPr>
          <w:b/>
          <w:bCs/>
        </w:rPr>
        <w:t xml:space="preserve">Array (empty)</w:t>
      </w:r>
      <w:r>
        <w:t xml:space="preserve">: Returned when</w:t>
      </w:r>
      <w:r>
        <w:t xml:space="preserve"> </w:t>
      </w:r>
      <w:r>
        <w:rPr>
          <w:rStyle w:val="VerbatimChar"/>
        </w:rPr>
        <w:t xml:space="preserve">size</w:t>
      </w:r>
      <w:r>
        <w:t xml:space="preserve"> </w:t>
      </w:r>
      <w:r>
        <w:t xml:space="preserve">is</w:t>
      </w:r>
      <w:r>
        <w:t xml:space="preserve"> </w:t>
      </w:r>
      <w:r>
        <w:rPr>
          <w:rStyle w:val="VerbatimChar"/>
        </w:rPr>
        <w:t xml:space="preserve">0</w:t>
      </w:r>
      <w:r>
        <w:t xml:space="preserve"> </w:t>
      </w:r>
      <w:r>
        <w:t xml:space="preserve">or when random generation fails.</w:t>
      </w:r>
    </w:p>
    <w:bookmarkEnd w:id="2686"/>
    <w:bookmarkStart w:id="2687" w:name="remarks-238"/>
    <w:p>
      <w:pPr>
        <w:pStyle w:val="Heading2"/>
      </w:pPr>
      <w:r>
        <w:t xml:space="preserve">Remarks</w:t>
      </w:r>
    </w:p>
    <w:p>
      <w:pPr>
        <w:pStyle w:val="Compact"/>
        <w:numPr>
          <w:ilvl w:val="0"/>
          <w:numId w:val="1650"/>
        </w:numPr>
      </w:pPr>
      <w:r>
        <w:t xml:space="preserve">Use this method for salts, nonces, key material, and opaque tokens.</w:t>
      </w:r>
    </w:p>
    <w:p>
      <w:pPr>
        <w:pStyle w:val="Compact"/>
        <w:numPr>
          <w:ilvl w:val="0"/>
          <w:numId w:val="1650"/>
        </w:numPr>
      </w:pPr>
      <w:r>
        <w:t xml:space="preserve">Method names are case-insensitive.</w:t>
      </w:r>
    </w:p>
    <w:bookmarkEnd w:id="2687"/>
    <w:bookmarkStart w:id="2688" w:name="example-19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bytes</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bytes = crypto.RandomBytes</w:t>
      </w:r>
      <w:r>
        <w:rPr>
          <w:rStyle w:val="OtherTok"/>
        </w:rPr>
        <w:t xml:space="preserve">(</w:t>
      </w:r>
      <w:r>
        <w:rPr>
          <w:rStyle w:val="DecValTok"/>
        </w:rPr>
        <w:t xml:space="preserve">16</w:t>
      </w:r>
      <w:r>
        <w:rPr>
          <w:rStyle w:val="OtherTok"/>
        </w:rPr>
        <w:t xml:space="preserve">)</w:t>
      </w:r>
      <w:r>
        <w:br/>
      </w:r>
      <w:r>
        <w:rPr>
          <w:rStyle w:val="ControlFlowTok"/>
        </w:rPr>
        <w:t xml:space="preserve">If</w:t>
      </w:r>
      <w:r>
        <w:rPr>
          <w:rStyle w:val="NormalTok"/>
        </w:rPr>
        <w:t xml:space="preserve"> </w:t>
      </w:r>
      <w:r>
        <w:rPr>
          <w:rStyle w:val="FunctionTok"/>
        </w:rPr>
        <w:t xml:space="preserve">UBound</w:t>
      </w:r>
      <w:r>
        <w:rPr>
          <w:rStyle w:val="OtherTok"/>
        </w:rPr>
        <w:t xml:space="preserve">(</w:t>
      </w:r>
      <w:r>
        <w:rPr>
          <w:rStyle w:val="NormalTok"/>
        </w:rPr>
        <w:t xml:space="preserve">bytes</w:t>
      </w:r>
      <w:r>
        <w:rPr>
          <w:rStyle w:val="OtherTok"/>
        </w:rPr>
        <w:t xml:space="preserve">)</w:t>
      </w:r>
      <w:r>
        <w:rPr>
          <w:rStyle w:val="NormalTok"/>
        </w:rPr>
        <w:t xml:space="preserve">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"First byte: "</w:t>
      </w:r>
      <w:r>
        <w:rPr>
          <w:rStyle w:val="NormalTok"/>
        </w:rPr>
        <w:t xml:space="preserve"> </w:t>
      </w:r>
      <w:r>
        <w:rPr>
          <w:rStyle w:val="KeywordTok"/>
        </w:rPr>
        <w:t xml:space="preserve">&amp;</w:t>
      </w:r>
      <w:r>
        <w:rPr>
          <w:rStyle w:val="NormalTok"/>
        </w:rPr>
        <w:t xml:space="preserve"> bytes</w:t>
      </w:r>
      <w:r>
        <w:rPr>
          <w:rStyle w:val="OtherTok"/>
        </w:rPr>
        <w:t xml:space="preserve">(</w:t>
      </w:r>
      <w:r>
        <w:rPr>
          <w:rStyle w:val="DecValTok"/>
        </w:rPr>
        <w:t xml:space="preserve">0</w:t>
      </w:r>
      <w:r>
        <w:rPr>
          <w:rStyle w:val="OtherTok"/>
        </w:rPr>
        <w:t xml:space="preserve">)</w:t>
      </w:r>
      <w:r>
        <w:br/>
      </w:r>
      <w:r>
        <w:rPr>
          <w:rStyle w:val="ControlFlowTok"/>
        </w:rPr>
        <w:t xml:space="preserve">End If</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88"/>
    <w:bookmarkStart w:id="2689" w:name="api-reference-109"/>
    <w:p>
      <w:pPr>
        <w:pStyle w:val="Heading2"/>
      </w:pPr>
      <w:r>
        <w:t xml:space="preserve">API Reference</w:t>
      </w:r>
    </w:p>
    <w:p>
      <w:pPr>
        <w:pStyle w:val="Compact"/>
        <w:numPr>
          <w:ilvl w:val="0"/>
          <w:numId w:val="1651"/>
        </w:numPr>
      </w:pPr>
      <w:r>
        <w:rPr>
          <w:b/>
          <w:bCs/>
        </w:rPr>
        <w:t xml:space="preserve">Object</w:t>
      </w:r>
      <w:r>
        <w:t xml:space="preserve">:</w:t>
      </w:r>
      <w:r>
        <w:t xml:space="preserve"> </w:t>
      </w:r>
      <w:r>
        <w:rPr>
          <w:rStyle w:val="VerbatimChar"/>
        </w:rPr>
        <w:t xml:space="preserve">G3CRYPTO</w:t>
      </w:r>
    </w:p>
    <w:p>
      <w:pPr>
        <w:pStyle w:val="Compact"/>
        <w:numPr>
          <w:ilvl w:val="0"/>
          <w:numId w:val="1651"/>
        </w:numPr>
      </w:pPr>
      <w:r>
        <w:rPr>
          <w:b/>
          <w:bCs/>
        </w:rPr>
        <w:t xml:space="preserve">Method</w:t>
      </w:r>
      <w:r>
        <w:t xml:space="preserve">:</w:t>
      </w:r>
      <w:r>
        <w:t xml:space="preserve"> </w:t>
      </w:r>
      <w:r>
        <w:rPr>
          <w:rStyle w:val="VerbatimChar"/>
        </w:rPr>
        <w:t xml:space="preserve">RandomBytes</w:t>
      </w:r>
    </w:p>
    <w:p>
      <w:pPr>
        <w:pStyle w:val="Compact"/>
        <w:numPr>
          <w:ilvl w:val="0"/>
          <w:numId w:val="1651"/>
        </w:numPr>
      </w:pPr>
      <w:r>
        <w:rPr>
          <w:b/>
          <w:bCs/>
        </w:rPr>
        <w:t xml:space="preserve">Arguments</w:t>
      </w:r>
      <w:r>
        <w:t xml:space="preserve">:</w:t>
      </w:r>
      <w:r>
        <w:t xml:space="preserve"> </w:t>
      </w:r>
      <w:r>
        <w:rPr>
          <w:rStyle w:val="VerbatimChar"/>
        </w:rPr>
        <w:t xml:space="preserve">size</w:t>
      </w:r>
      <w:r>
        <w:t xml:space="preserve"> </w:t>
      </w:r>
      <w:r>
        <w:t xml:space="preserve">(Integer, optional)</w:t>
      </w:r>
    </w:p>
    <w:p>
      <w:pPr>
        <w:pStyle w:val="Compact"/>
        <w:numPr>
          <w:ilvl w:val="0"/>
          <w:numId w:val="1651"/>
        </w:numPr>
      </w:pPr>
      <w:r>
        <w:rPr>
          <w:b/>
          <w:bCs/>
        </w:rPr>
        <w:t xml:space="preserve">Returns</w:t>
      </w:r>
      <w:r>
        <w:t xml:space="preserve">: Array — random bytes, or empty array on failure/zero length</w:t>
      </w:r>
    </w:p>
    <w:bookmarkEnd w:id="2689"/>
    <w:bookmarkEnd w:id="2690"/>
    <w:bookmarkStart w:id="2699" w:name="generate-a-secure-random-hex-string"/>
    <w:p>
      <w:pPr>
        <w:pStyle w:val="Heading1"/>
      </w:pPr>
      <w:r>
        <w:t xml:space="preserve">Generate a Secure Random Hex String</w:t>
      </w:r>
    </w:p>
    <w:bookmarkStart w:id="2691" w:name="overview-253"/>
    <w:p>
      <w:pPr>
        <w:pStyle w:val="Heading2"/>
      </w:pPr>
      <w:r>
        <w:t xml:space="preserve">Overview</w:t>
      </w:r>
    </w:p>
    <w:p>
      <w:pPr>
        <w:pStyle w:val="FirstParagraph"/>
      </w:pPr>
      <w:r>
        <w:t xml:space="preserve">Generates cryptographically secure random bytes and returns them as a lowercase hexadecimal string.</w:t>
      </w:r>
    </w:p>
    <w:bookmarkEnd w:id="2691"/>
    <w:bookmarkStart w:id="2692" w:name="prerequisites-10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692"/>
    <w:bookmarkStart w:id="2693" w:name="syntax-265"/>
    <w:p>
      <w:pPr>
        <w:pStyle w:val="Heading2"/>
      </w:pPr>
      <w:r>
        <w:t xml:space="preserve">Syntax</w:t>
      </w:r>
    </w:p>
    <w:p>
      <w:pPr>
        <w:pStyle w:val="SourceCode"/>
      </w:pPr>
      <w:r>
        <w:rPr>
          <w:rStyle w:val="NormalTok"/>
        </w:rPr>
        <w:t xml:space="preserve">result = crypto.RandomHex([size])</w:t>
      </w:r>
    </w:p>
    <w:bookmarkEnd w:id="2693"/>
    <w:bookmarkStart w:id="2694" w:name="parameters-17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size</w:t>
            </w:r>
          </w:p>
        </w:tc>
        <w:tc>
          <w:tcPr/>
          <w:p>
            <w:pPr>
              <w:pStyle w:val="Compact"/>
            </w:pPr>
            <w:r>
              <w:t xml:space="preserve">Integer</w:t>
            </w:r>
          </w:p>
        </w:tc>
        <w:tc>
          <w:tcPr/>
          <w:p>
            <w:pPr>
              <w:pStyle w:val="Compact"/>
            </w:pPr>
            <w:r>
              <w:t xml:space="preserve">No</w:t>
            </w:r>
          </w:p>
        </w:tc>
        <w:tc>
          <w:tcPr/>
          <w:p>
            <w:pPr>
              <w:pStyle w:val="Compact"/>
            </w:pPr>
            <w:r>
              <w:t xml:space="preserve">Number of random bytes to generate. Default is</w:t>
            </w:r>
            <w:r>
              <w:t xml:space="preserve"> </w:t>
            </w:r>
            <w:r>
              <w:rPr>
                <w:rStyle w:val="VerbatimChar"/>
              </w:rPr>
              <w:t xml:space="preserve">32</w:t>
            </w:r>
            <w:r>
              <w:t xml:space="preserve">. Negative values are normalized to</w:t>
            </w:r>
            <w:r>
              <w:t xml:space="preserve"> </w:t>
            </w:r>
            <w:r>
              <w:rPr>
                <w:rStyle w:val="VerbatimChar"/>
              </w:rPr>
              <w:t xml:space="preserve">0</w:t>
            </w:r>
            <w:r>
              <w:t xml:space="preserve">.</w:t>
            </w:r>
          </w:p>
        </w:tc>
      </w:tr>
    </w:tbl>
    <w:bookmarkEnd w:id="2694"/>
    <w:bookmarkStart w:id="2695" w:name="return-value-189"/>
    <w:p>
      <w:pPr>
        <w:pStyle w:val="Heading2"/>
      </w:pPr>
      <w:r>
        <w:t xml:space="preserve">Return Value</w:t>
      </w:r>
    </w:p>
    <w:p>
      <w:pPr>
        <w:pStyle w:val="Compact"/>
        <w:numPr>
          <w:ilvl w:val="0"/>
          <w:numId w:val="1652"/>
        </w:numPr>
      </w:pPr>
      <w:r>
        <w:rPr>
          <w:b/>
          <w:bCs/>
        </w:rPr>
        <w:t xml:space="preserve">String</w:t>
      </w:r>
      <w:r>
        <w:t xml:space="preserve">: Lowercase hexadecimal string with</w:t>
      </w:r>
      <w:r>
        <w:t xml:space="preserve"> </w:t>
      </w:r>
      <w:r>
        <w:rPr>
          <w:rStyle w:val="VerbatimChar"/>
        </w:rPr>
        <w:t xml:space="preserve">size * 2</w:t>
      </w:r>
      <w:r>
        <w:t xml:space="preserve"> </w:t>
      </w:r>
      <w:r>
        <w:t xml:space="preserve">characters after normalization.</w:t>
      </w:r>
    </w:p>
    <w:p>
      <w:pPr>
        <w:pStyle w:val="Compact"/>
        <w:numPr>
          <w:ilvl w:val="0"/>
          <w:numId w:val="1652"/>
        </w:numPr>
      </w:pPr>
      <w:r>
        <w:rPr>
          <w:b/>
          <w:bCs/>
        </w:rPr>
        <w:t xml:space="preserve">String (empty)</w:t>
      </w:r>
      <w:r>
        <w:t xml:space="preserve">: Returned when</w:t>
      </w:r>
      <w:r>
        <w:t xml:space="preserve"> </w:t>
      </w:r>
      <w:r>
        <w:rPr>
          <w:rStyle w:val="VerbatimChar"/>
        </w:rPr>
        <w:t xml:space="preserve">size</w:t>
      </w:r>
      <w:r>
        <w:t xml:space="preserve"> </w:t>
      </w:r>
      <w:r>
        <w:t xml:space="preserve">is</w:t>
      </w:r>
      <w:r>
        <w:t xml:space="preserve"> </w:t>
      </w:r>
      <w:r>
        <w:rPr>
          <w:rStyle w:val="VerbatimChar"/>
        </w:rPr>
        <w:t xml:space="preserve">0</w:t>
      </w:r>
      <w:r>
        <w:t xml:space="preserve"> </w:t>
      </w:r>
      <w:r>
        <w:t xml:space="preserve">or random generation fails.</w:t>
      </w:r>
    </w:p>
    <w:bookmarkEnd w:id="2695"/>
    <w:bookmarkStart w:id="2696" w:name="remarks-239"/>
    <w:p>
      <w:pPr>
        <w:pStyle w:val="Heading2"/>
      </w:pPr>
      <w:r>
        <w:t xml:space="preserve">Remarks</w:t>
      </w:r>
    </w:p>
    <w:p>
      <w:pPr>
        <w:pStyle w:val="Compact"/>
        <w:numPr>
          <w:ilvl w:val="0"/>
          <w:numId w:val="1653"/>
        </w:numPr>
      </w:pPr>
      <w:r>
        <w:t xml:space="preserve">This method is useful for token generation where hex encoding is preferred.</w:t>
      </w:r>
    </w:p>
    <w:p>
      <w:pPr>
        <w:pStyle w:val="Compact"/>
        <w:numPr>
          <w:ilvl w:val="0"/>
          <w:numId w:val="1653"/>
        </w:numPr>
      </w:pPr>
      <w:r>
        <w:t xml:space="preserve">Method names are case-insensitive.</w:t>
      </w:r>
    </w:p>
    <w:bookmarkEnd w:id="2696"/>
    <w:bookmarkStart w:id="2697" w:name="example-19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token</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token = crypto.RandomHex</w:t>
      </w:r>
      <w:r>
        <w:rPr>
          <w:rStyle w:val="OtherTok"/>
        </w:rPr>
        <w:t xml:space="preserve">(</w:t>
      </w:r>
      <w:r>
        <w:rPr>
          <w:rStyle w:val="DecValTok"/>
        </w:rPr>
        <w:t xml:space="preserve">16</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token</w:t>
      </w:r>
      <w:r>
        <w:br/>
      </w:r>
      <w:r>
        <w:rPr>
          <w:rStyle w:val="CommentTok"/>
        </w:rPr>
        <w:t xml:space="preserve">' 32 hex characters</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697"/>
    <w:bookmarkStart w:id="2698" w:name="api-reference-110"/>
    <w:p>
      <w:pPr>
        <w:pStyle w:val="Heading2"/>
      </w:pPr>
      <w:r>
        <w:t xml:space="preserve">API Reference</w:t>
      </w:r>
    </w:p>
    <w:p>
      <w:pPr>
        <w:pStyle w:val="Compact"/>
        <w:numPr>
          <w:ilvl w:val="0"/>
          <w:numId w:val="1654"/>
        </w:numPr>
      </w:pPr>
      <w:r>
        <w:rPr>
          <w:b/>
          <w:bCs/>
        </w:rPr>
        <w:t xml:space="preserve">Object</w:t>
      </w:r>
      <w:r>
        <w:t xml:space="preserve">:</w:t>
      </w:r>
      <w:r>
        <w:t xml:space="preserve"> </w:t>
      </w:r>
      <w:r>
        <w:rPr>
          <w:rStyle w:val="VerbatimChar"/>
        </w:rPr>
        <w:t xml:space="preserve">G3CRYPTO</w:t>
      </w:r>
    </w:p>
    <w:p>
      <w:pPr>
        <w:pStyle w:val="Compact"/>
        <w:numPr>
          <w:ilvl w:val="0"/>
          <w:numId w:val="1654"/>
        </w:numPr>
      </w:pPr>
      <w:r>
        <w:rPr>
          <w:b/>
          <w:bCs/>
        </w:rPr>
        <w:t xml:space="preserve">Method</w:t>
      </w:r>
      <w:r>
        <w:t xml:space="preserve">:</w:t>
      </w:r>
      <w:r>
        <w:t xml:space="preserve"> </w:t>
      </w:r>
      <w:r>
        <w:rPr>
          <w:rStyle w:val="VerbatimChar"/>
        </w:rPr>
        <w:t xml:space="preserve">RandomHex</w:t>
      </w:r>
    </w:p>
    <w:p>
      <w:pPr>
        <w:pStyle w:val="Compact"/>
        <w:numPr>
          <w:ilvl w:val="0"/>
          <w:numId w:val="1654"/>
        </w:numPr>
      </w:pPr>
      <w:r>
        <w:rPr>
          <w:b/>
          <w:bCs/>
        </w:rPr>
        <w:t xml:space="preserve">Arguments</w:t>
      </w:r>
      <w:r>
        <w:t xml:space="preserve">:</w:t>
      </w:r>
      <w:r>
        <w:t xml:space="preserve"> </w:t>
      </w:r>
      <w:r>
        <w:rPr>
          <w:rStyle w:val="VerbatimChar"/>
        </w:rPr>
        <w:t xml:space="preserve">size</w:t>
      </w:r>
      <w:r>
        <w:t xml:space="preserve"> </w:t>
      </w:r>
      <w:r>
        <w:t xml:space="preserve">(Integer, optional)</w:t>
      </w:r>
    </w:p>
    <w:p>
      <w:pPr>
        <w:pStyle w:val="Compact"/>
        <w:numPr>
          <w:ilvl w:val="0"/>
          <w:numId w:val="1654"/>
        </w:numPr>
      </w:pPr>
      <w:r>
        <w:rPr>
          <w:b/>
          <w:bCs/>
        </w:rPr>
        <w:t xml:space="preserve">Returns</w:t>
      </w:r>
      <w:r>
        <w:t xml:space="preserve">: String — lowercase hex output, or empty string on failure/zero length</w:t>
      </w:r>
    </w:p>
    <w:bookmarkEnd w:id="2698"/>
    <w:bookmarkEnd w:id="2699"/>
    <w:bookmarkStart w:id="2708" w:name="set-the-bcrypt-cost"/>
    <w:p>
      <w:pPr>
        <w:pStyle w:val="Heading1"/>
      </w:pPr>
      <w:r>
        <w:t xml:space="preserve">Set the bcrypt Cost</w:t>
      </w:r>
    </w:p>
    <w:bookmarkStart w:id="2700" w:name="overview-254"/>
    <w:p>
      <w:pPr>
        <w:pStyle w:val="Heading2"/>
      </w:pPr>
      <w:r>
        <w:t xml:space="preserve">Overview</w:t>
      </w:r>
    </w:p>
    <w:p>
      <w:pPr>
        <w:pStyle w:val="FirstParagraph"/>
      </w:pPr>
      <w:r>
        <w:t xml:space="preserve">Sets the bcrypt work factor used by</w:t>
      </w:r>
      <w:r>
        <w:t xml:space="preserve"> </w:t>
      </w:r>
      <w:r>
        <w:rPr>
          <w:rStyle w:val="VerbatimChar"/>
        </w:rPr>
        <w:t xml:space="preserve">HashPassword</w:t>
      </w:r>
      <w:r>
        <w:t xml:space="preserve">.</w:t>
      </w:r>
    </w:p>
    <w:bookmarkEnd w:id="2700"/>
    <w:bookmarkStart w:id="2701" w:name="prerequisites-10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01"/>
    <w:bookmarkStart w:id="2702" w:name="syntax-266"/>
    <w:p>
      <w:pPr>
        <w:pStyle w:val="Heading2"/>
      </w:pPr>
      <w:r>
        <w:t xml:space="preserve">Syntax</w:t>
      </w:r>
    </w:p>
    <w:p>
      <w:pPr>
        <w:pStyle w:val="SourceCode"/>
      </w:pPr>
      <w:r>
        <w:rPr>
          <w:rStyle w:val="NormalTok"/>
        </w:rPr>
        <w:t xml:space="preserve">result = crypto.SetBCryptCost(cost)</w:t>
      </w:r>
    </w:p>
    <w:bookmarkEnd w:id="2702"/>
    <w:bookmarkStart w:id="2703" w:name="parameters-17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cost</w:t>
            </w:r>
          </w:p>
        </w:tc>
        <w:tc>
          <w:tcPr/>
          <w:p>
            <w:pPr>
              <w:pStyle w:val="Compact"/>
            </w:pPr>
            <w:r>
              <w:t xml:space="preserve">Integer</w:t>
            </w:r>
          </w:p>
        </w:tc>
        <w:tc>
          <w:tcPr/>
          <w:p>
            <w:pPr>
              <w:pStyle w:val="Compact"/>
            </w:pPr>
            <w:r>
              <w:t xml:space="preserve">Yes</w:t>
            </w:r>
          </w:p>
        </w:tc>
        <w:tc>
          <w:tcPr/>
          <w:p>
            <w:pPr>
              <w:pStyle w:val="Compact"/>
            </w:pPr>
            <w:r>
              <w:t xml:space="preserve">bcrypt work factor. Valid range is</w:t>
            </w:r>
            <w:r>
              <w:t xml:space="preserve"> </w:t>
            </w:r>
            <w:r>
              <w:rPr>
                <w:rStyle w:val="VerbatimChar"/>
              </w:rPr>
              <w:t xml:space="preserve">4</w:t>
            </w:r>
            <w:r>
              <w:t xml:space="preserve"> </w:t>
            </w:r>
            <w:r>
              <w:t xml:space="preserve">to</w:t>
            </w:r>
            <w:r>
              <w:t xml:space="preserve"> </w:t>
            </w:r>
            <w:r>
              <w:rPr>
                <w:rStyle w:val="VerbatimChar"/>
              </w:rPr>
              <w:t xml:space="preserve">31</w:t>
            </w:r>
            <w:r>
              <w:t xml:space="preserve">.</w:t>
            </w:r>
          </w:p>
        </w:tc>
      </w:tr>
    </w:tbl>
    <w:bookmarkEnd w:id="2703"/>
    <w:bookmarkStart w:id="2704" w:name="return-value-190"/>
    <w:p>
      <w:pPr>
        <w:pStyle w:val="Heading2"/>
      </w:pPr>
      <w:r>
        <w:t xml:space="preserve">Return Value</w:t>
      </w:r>
    </w:p>
    <w:p>
      <w:pPr>
        <w:pStyle w:val="Compact"/>
        <w:numPr>
          <w:ilvl w:val="0"/>
          <w:numId w:val="1655"/>
        </w:numPr>
      </w:pPr>
      <w:r>
        <w:rPr>
          <w:b/>
          <w:bCs/>
        </w:rPr>
        <w:t xml:space="preserve">Boolean</w:t>
      </w:r>
      <w:r>
        <w:rPr>
          <w:b/>
          <w:bCs/>
        </w:rPr>
        <w:t xml:space="preserve"> </w:t>
      </w:r>
      <w:r>
        <w:rPr>
          <w:rStyle w:val="VerbatimChar"/>
          <w:b/>
          <w:bCs/>
        </w:rPr>
        <w:t xml:space="preserve">True</w:t>
      </w:r>
      <w:r>
        <w:t xml:space="preserve">: Cost was accepted and applied.</w:t>
      </w:r>
    </w:p>
    <w:p>
      <w:pPr>
        <w:pStyle w:val="Compact"/>
        <w:numPr>
          <w:ilvl w:val="0"/>
          <w:numId w:val="1655"/>
        </w:numPr>
      </w:pPr>
      <w:r>
        <w:rPr>
          <w:b/>
          <w:bCs/>
        </w:rPr>
        <w:t xml:space="preserve">Boolean</w:t>
      </w:r>
      <w:r>
        <w:rPr>
          <w:b/>
          <w:bCs/>
        </w:rPr>
        <w:t xml:space="preserve"> </w:t>
      </w:r>
      <w:r>
        <w:rPr>
          <w:rStyle w:val="VerbatimChar"/>
          <w:b/>
          <w:bCs/>
        </w:rPr>
        <w:t xml:space="preserve">False</w:t>
      </w:r>
      <w:r>
        <w:t xml:space="preserve">: Cost is outside</w:t>
      </w:r>
      <w:r>
        <w:t xml:space="preserve"> </w:t>
      </w:r>
      <w:r>
        <w:rPr>
          <w:rStyle w:val="VerbatimChar"/>
        </w:rPr>
        <w:t xml:space="preserve">4..31</w:t>
      </w:r>
      <w:r>
        <w:t xml:space="preserve"> </w:t>
      </w:r>
      <w:r>
        <w:t xml:space="preserve">or argument is missing.</w:t>
      </w:r>
    </w:p>
    <w:bookmarkEnd w:id="2704"/>
    <w:bookmarkStart w:id="2705" w:name="remarks-240"/>
    <w:p>
      <w:pPr>
        <w:pStyle w:val="Heading2"/>
      </w:pPr>
      <w:r>
        <w:t xml:space="preserve">Remarks</w:t>
      </w:r>
    </w:p>
    <w:p>
      <w:pPr>
        <w:pStyle w:val="Compact"/>
        <w:numPr>
          <w:ilvl w:val="0"/>
          <w:numId w:val="1656"/>
        </w:numPr>
      </w:pPr>
      <w:r>
        <w:t xml:space="preserve">Default bcrypt cost is</w:t>
      </w:r>
      <w:r>
        <w:t xml:space="preserve"> </w:t>
      </w:r>
      <w:r>
        <w:rPr>
          <w:rStyle w:val="VerbatimChar"/>
        </w:rPr>
        <w:t xml:space="preserve">10</w:t>
      </w:r>
      <w:r>
        <w:t xml:space="preserve">.</w:t>
      </w:r>
    </w:p>
    <w:p>
      <w:pPr>
        <w:pStyle w:val="Compact"/>
        <w:numPr>
          <w:ilvl w:val="0"/>
          <w:numId w:val="1656"/>
        </w:numPr>
      </w:pPr>
      <w:r>
        <w:t xml:space="preserve">Higher cost increases password hashing time and CPU usage.</w:t>
      </w:r>
    </w:p>
    <w:p>
      <w:pPr>
        <w:pStyle w:val="Compact"/>
        <w:numPr>
          <w:ilvl w:val="0"/>
          <w:numId w:val="1656"/>
        </w:numPr>
      </w:pPr>
      <w:r>
        <w:t xml:space="preserve">Method names are case-insensitive.</w:t>
      </w:r>
    </w:p>
    <w:bookmarkEnd w:id="2705"/>
    <w:bookmarkStart w:id="2706" w:name="example-19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ok</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ok = crypto.SetBCryptCost</w:t>
      </w:r>
      <w:r>
        <w:rPr>
          <w:rStyle w:val="OtherTok"/>
        </w:rPr>
        <w:t xml:space="preserve">(</w:t>
      </w:r>
      <w:r>
        <w:rPr>
          <w:rStyle w:val="DecValTok"/>
        </w:rPr>
        <w:t xml:space="preserve">12</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"bcrypt cost updated to 12"</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"Invalid bcrypt cost"</w:t>
      </w:r>
      <w:r>
        <w:br/>
      </w:r>
      <w:r>
        <w:rPr>
          <w:rStyle w:val="ControlFlowTok"/>
        </w:rPr>
        <w:t xml:space="preserve">End If</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06"/>
    <w:bookmarkStart w:id="2707" w:name="api-reference-111"/>
    <w:p>
      <w:pPr>
        <w:pStyle w:val="Heading2"/>
      </w:pPr>
      <w:r>
        <w:t xml:space="preserve">API Reference</w:t>
      </w:r>
    </w:p>
    <w:p>
      <w:pPr>
        <w:pStyle w:val="Compact"/>
        <w:numPr>
          <w:ilvl w:val="0"/>
          <w:numId w:val="1657"/>
        </w:numPr>
      </w:pPr>
      <w:r>
        <w:rPr>
          <w:b/>
          <w:bCs/>
        </w:rPr>
        <w:t xml:space="preserve">Object</w:t>
      </w:r>
      <w:r>
        <w:t xml:space="preserve">:</w:t>
      </w:r>
      <w:r>
        <w:t xml:space="preserve"> </w:t>
      </w:r>
      <w:r>
        <w:rPr>
          <w:rStyle w:val="VerbatimChar"/>
        </w:rPr>
        <w:t xml:space="preserve">G3CRYPTO</w:t>
      </w:r>
    </w:p>
    <w:p>
      <w:pPr>
        <w:pStyle w:val="Compact"/>
        <w:numPr>
          <w:ilvl w:val="0"/>
          <w:numId w:val="1657"/>
        </w:numPr>
      </w:pPr>
      <w:r>
        <w:rPr>
          <w:b/>
          <w:bCs/>
        </w:rPr>
        <w:t xml:space="preserve">Method</w:t>
      </w:r>
      <w:r>
        <w:t xml:space="preserve">:</w:t>
      </w:r>
      <w:r>
        <w:t xml:space="preserve"> </w:t>
      </w:r>
      <w:r>
        <w:rPr>
          <w:rStyle w:val="VerbatimChar"/>
        </w:rPr>
        <w:t xml:space="preserve">SetBCryptCost</w:t>
      </w:r>
    </w:p>
    <w:p>
      <w:pPr>
        <w:pStyle w:val="Compact"/>
        <w:numPr>
          <w:ilvl w:val="0"/>
          <w:numId w:val="1657"/>
        </w:numPr>
      </w:pPr>
      <w:r>
        <w:rPr>
          <w:b/>
          <w:bCs/>
        </w:rPr>
        <w:t xml:space="preserve">Arguments</w:t>
      </w:r>
      <w:r>
        <w:t xml:space="preserve">:</w:t>
      </w:r>
      <w:r>
        <w:t xml:space="preserve"> </w:t>
      </w:r>
      <w:r>
        <w:rPr>
          <w:rStyle w:val="VerbatimChar"/>
        </w:rPr>
        <w:t xml:space="preserve">cost</w:t>
      </w:r>
      <w:r>
        <w:t xml:space="preserve"> </w:t>
      </w:r>
      <w:r>
        <w:t xml:space="preserve">(Integer, required)</w:t>
      </w:r>
    </w:p>
    <w:p>
      <w:pPr>
        <w:pStyle w:val="Compact"/>
        <w:numPr>
          <w:ilvl w:val="0"/>
          <w:numId w:val="1657"/>
        </w:numPr>
      </w:pPr>
      <w:r>
        <w:rPr>
          <w:b/>
          <w:bCs/>
        </w:rPr>
        <w:t xml:space="preserve">Returns</w:t>
      </w:r>
      <w:r>
        <w:t xml:space="preserve">: Boolean —</w:t>
      </w:r>
      <w:r>
        <w:t xml:space="preserve"> </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invalid value</w:t>
      </w:r>
    </w:p>
    <w:bookmarkEnd w:id="2707"/>
    <w:bookmarkEnd w:id="2708"/>
    <w:bookmarkStart w:id="2717" w:name="compute-a-sha-1-digest"/>
    <w:p>
      <w:pPr>
        <w:pStyle w:val="Heading1"/>
      </w:pPr>
      <w:r>
        <w:t xml:space="preserve">Compute a SHA-1 Digest</w:t>
      </w:r>
    </w:p>
    <w:bookmarkStart w:id="2709" w:name="overview-255"/>
    <w:p>
      <w:pPr>
        <w:pStyle w:val="Heading2"/>
      </w:pPr>
      <w:r>
        <w:t xml:space="preserve">Overview</w:t>
      </w:r>
    </w:p>
    <w:p>
      <w:pPr>
        <w:pStyle w:val="FirstParagraph"/>
      </w:pPr>
      <w:r>
        <w:t xml:space="preserve">Computes the SHA-1 digest of the input and returns the result as a lowercase hexadecimal string.</w:t>
      </w:r>
    </w:p>
    <w:bookmarkEnd w:id="2709"/>
    <w:bookmarkStart w:id="2710" w:name="prerequisites-10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10"/>
    <w:bookmarkStart w:id="2711" w:name="syntax-267"/>
    <w:p>
      <w:pPr>
        <w:pStyle w:val="Heading2"/>
      </w:pPr>
      <w:r>
        <w:t xml:space="preserve">Syntax</w:t>
      </w:r>
    </w:p>
    <w:p>
      <w:pPr>
        <w:pStyle w:val="SourceCode"/>
      </w:pPr>
      <w:r>
        <w:rPr>
          <w:rStyle w:val="NormalTok"/>
        </w:rPr>
        <w:t xml:space="preserve">result = crypto.SHA1(input)</w:t>
      </w:r>
    </w:p>
    <w:bookmarkEnd w:id="2711"/>
    <w:bookmarkStart w:id="2712" w:name="parameters-17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712"/>
    <w:bookmarkStart w:id="2713" w:name="return-value-191"/>
    <w:p>
      <w:pPr>
        <w:pStyle w:val="Heading2"/>
      </w:pPr>
      <w:r>
        <w:t xml:space="preserve">Return Value</w:t>
      </w:r>
    </w:p>
    <w:p>
      <w:pPr>
        <w:pStyle w:val="Compact"/>
        <w:numPr>
          <w:ilvl w:val="0"/>
          <w:numId w:val="1658"/>
        </w:numPr>
      </w:pPr>
      <w:r>
        <w:rPr>
          <w:b/>
          <w:bCs/>
        </w:rPr>
        <w:t xml:space="preserve">String</w:t>
      </w:r>
      <w:r>
        <w:t xml:space="preserve">: 40-character lowercase hexadecimal SHA-1 digest.</w:t>
      </w:r>
    </w:p>
    <w:bookmarkEnd w:id="2713"/>
    <w:bookmarkStart w:id="2714" w:name="remarks-241"/>
    <w:p>
      <w:pPr>
        <w:pStyle w:val="Heading2"/>
      </w:pPr>
      <w:r>
        <w:t xml:space="preserve">Remarks</w:t>
      </w:r>
    </w:p>
    <w:p>
      <w:pPr>
        <w:pStyle w:val="Compact"/>
        <w:numPr>
          <w:ilvl w:val="0"/>
          <w:numId w:val="1659"/>
        </w:numPr>
      </w:pPr>
      <w:r>
        <w:t xml:space="preserve">SHA-1 is retained for compatibility and non-security-sensitive checks.</w:t>
      </w:r>
    </w:p>
    <w:p>
      <w:pPr>
        <w:pStyle w:val="Compact"/>
        <w:numPr>
          <w:ilvl w:val="0"/>
          <w:numId w:val="1659"/>
        </w:numPr>
      </w:pPr>
      <w:r>
        <w:t xml:space="preserve">Use SHA-256 or stronger algorithms for new security-critical features.</w:t>
      </w:r>
    </w:p>
    <w:p>
      <w:pPr>
        <w:pStyle w:val="Compact"/>
        <w:numPr>
          <w:ilvl w:val="0"/>
          <w:numId w:val="1659"/>
        </w:numPr>
      </w:pPr>
      <w:r>
        <w:t xml:space="preserve">Method names are case-insensitive.</w:t>
      </w:r>
    </w:p>
    <w:bookmarkEnd w:id="2714"/>
    <w:bookmarkStart w:id="2715" w:name="example-19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crypto.SHA1</w:t>
      </w:r>
      <w:r>
        <w:rPr>
          <w:rStyle w:val="OtherTok"/>
        </w:rPr>
        <w:t xml:space="preserve">(</w:t>
      </w:r>
      <w:r>
        <w:rPr>
          <w:rStyle w:val="StringTok"/>
        </w:rPr>
        <w:t xml:space="preserve">"Hello World"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rPr>
          <w:rStyle w:val="CommentTok"/>
        </w:rPr>
        <w:t xml:space="preserve">' Output: 0a4d55a8d778e5022fab701977c5d840bbc486d0</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15"/>
    <w:bookmarkStart w:id="2716" w:name="api-reference-112"/>
    <w:p>
      <w:pPr>
        <w:pStyle w:val="Heading2"/>
      </w:pPr>
      <w:r>
        <w:t xml:space="preserve">API Reference</w:t>
      </w:r>
    </w:p>
    <w:p>
      <w:pPr>
        <w:pStyle w:val="Compact"/>
        <w:numPr>
          <w:ilvl w:val="0"/>
          <w:numId w:val="1660"/>
        </w:numPr>
      </w:pPr>
      <w:r>
        <w:rPr>
          <w:b/>
          <w:bCs/>
        </w:rPr>
        <w:t xml:space="preserve">Object</w:t>
      </w:r>
      <w:r>
        <w:t xml:space="preserve">:</w:t>
      </w:r>
      <w:r>
        <w:t xml:space="preserve"> </w:t>
      </w:r>
      <w:r>
        <w:rPr>
          <w:rStyle w:val="VerbatimChar"/>
        </w:rPr>
        <w:t xml:space="preserve">G3CRYPTO</w:t>
      </w:r>
    </w:p>
    <w:p>
      <w:pPr>
        <w:pStyle w:val="Compact"/>
        <w:numPr>
          <w:ilvl w:val="0"/>
          <w:numId w:val="1660"/>
        </w:numPr>
      </w:pPr>
      <w:r>
        <w:rPr>
          <w:b/>
          <w:bCs/>
        </w:rPr>
        <w:t xml:space="preserve">Method</w:t>
      </w:r>
      <w:r>
        <w:t xml:space="preserve">:</w:t>
      </w:r>
      <w:r>
        <w:t xml:space="preserve"> </w:t>
      </w:r>
      <w:r>
        <w:rPr>
          <w:rStyle w:val="VerbatimChar"/>
        </w:rPr>
        <w:t xml:space="preserve">SHA1</w:t>
      </w:r>
    </w:p>
    <w:p>
      <w:pPr>
        <w:pStyle w:val="Compact"/>
        <w:numPr>
          <w:ilvl w:val="0"/>
          <w:numId w:val="1660"/>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60"/>
        </w:numPr>
      </w:pPr>
      <w:r>
        <w:rPr>
          <w:b/>
          <w:bCs/>
        </w:rPr>
        <w:t xml:space="preserve">Returns</w:t>
      </w:r>
      <w:r>
        <w:t xml:space="preserve">: String — 40-character lowercase hexadecimal digest</w:t>
      </w:r>
    </w:p>
    <w:bookmarkEnd w:id="2716"/>
    <w:bookmarkEnd w:id="2717"/>
    <w:bookmarkStart w:id="2726" w:name="compute-a-sha-256-digest"/>
    <w:p>
      <w:pPr>
        <w:pStyle w:val="Heading1"/>
      </w:pPr>
      <w:r>
        <w:t xml:space="preserve">Compute a SHA-256 Digest</w:t>
      </w:r>
    </w:p>
    <w:bookmarkStart w:id="2718" w:name="overview-256"/>
    <w:p>
      <w:pPr>
        <w:pStyle w:val="Heading2"/>
      </w:pPr>
      <w:r>
        <w:t xml:space="preserve">Overview</w:t>
      </w:r>
    </w:p>
    <w:p>
      <w:pPr>
        <w:pStyle w:val="FirstParagraph"/>
      </w:pPr>
      <w:r>
        <w:t xml:space="preserve">Computes the SHA-256 digest of the input and returns the result as a lowercase hexadecimal string.</w:t>
      </w:r>
    </w:p>
    <w:bookmarkEnd w:id="2718"/>
    <w:bookmarkStart w:id="2719" w:name="prerequisites-11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19"/>
    <w:bookmarkStart w:id="2720" w:name="syntax-268"/>
    <w:p>
      <w:pPr>
        <w:pStyle w:val="Heading2"/>
      </w:pPr>
      <w:r>
        <w:t xml:space="preserve">Syntax</w:t>
      </w:r>
    </w:p>
    <w:p>
      <w:pPr>
        <w:pStyle w:val="SourceCode"/>
      </w:pPr>
      <w:r>
        <w:rPr>
          <w:rStyle w:val="NormalTok"/>
        </w:rPr>
        <w:t xml:space="preserve">result = crypto.SHA256(input)</w:t>
      </w:r>
    </w:p>
    <w:bookmarkEnd w:id="2720"/>
    <w:bookmarkStart w:id="2721" w:name="parameters-17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721"/>
    <w:bookmarkStart w:id="2722" w:name="return-value-192"/>
    <w:p>
      <w:pPr>
        <w:pStyle w:val="Heading2"/>
      </w:pPr>
      <w:r>
        <w:t xml:space="preserve">Return Value</w:t>
      </w:r>
    </w:p>
    <w:p>
      <w:pPr>
        <w:pStyle w:val="Compact"/>
        <w:numPr>
          <w:ilvl w:val="0"/>
          <w:numId w:val="1661"/>
        </w:numPr>
      </w:pPr>
      <w:r>
        <w:rPr>
          <w:b/>
          <w:bCs/>
        </w:rPr>
        <w:t xml:space="preserve">String</w:t>
      </w:r>
      <w:r>
        <w:t xml:space="preserve">: 64-character lowercase hexadecimal SHA-256 digest.</w:t>
      </w:r>
    </w:p>
    <w:bookmarkEnd w:id="2722"/>
    <w:bookmarkStart w:id="2723" w:name="remarks-242"/>
    <w:p>
      <w:pPr>
        <w:pStyle w:val="Heading2"/>
      </w:pPr>
      <w:r>
        <w:t xml:space="preserve">Remarks</w:t>
      </w:r>
    </w:p>
    <w:p>
      <w:pPr>
        <w:pStyle w:val="Compact"/>
        <w:numPr>
          <w:ilvl w:val="0"/>
          <w:numId w:val="1662"/>
        </w:numPr>
      </w:pPr>
      <w:r>
        <w:t xml:space="preserve">SHA-256 is a recommended default for modern integrity checks.</w:t>
      </w:r>
    </w:p>
    <w:p>
      <w:pPr>
        <w:pStyle w:val="Compact"/>
        <w:numPr>
          <w:ilvl w:val="0"/>
          <w:numId w:val="1662"/>
        </w:numPr>
      </w:pPr>
      <w:r>
        <w:t xml:space="preserve">The method accepts both textual input and binary arrays.</w:t>
      </w:r>
    </w:p>
    <w:p>
      <w:pPr>
        <w:pStyle w:val="Compact"/>
        <w:numPr>
          <w:ilvl w:val="0"/>
          <w:numId w:val="1662"/>
        </w:numPr>
      </w:pPr>
      <w:r>
        <w:t xml:space="preserve">Method names are case-insensitive.</w:t>
      </w:r>
    </w:p>
    <w:bookmarkEnd w:id="2723"/>
    <w:bookmarkStart w:id="2724" w:name="example-19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crypto.SHA256</w:t>
      </w:r>
      <w:r>
        <w:rPr>
          <w:rStyle w:val="OtherTok"/>
        </w:rPr>
        <w:t xml:space="preserve">(</w:t>
      </w:r>
      <w:r>
        <w:rPr>
          <w:rStyle w:val="StringTok"/>
        </w:rPr>
        <w:t xml:space="preserve">"Hello, AxonASP!"</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24"/>
    <w:bookmarkStart w:id="2725" w:name="api-reference-113"/>
    <w:p>
      <w:pPr>
        <w:pStyle w:val="Heading2"/>
      </w:pPr>
      <w:r>
        <w:t xml:space="preserve">API Reference</w:t>
      </w:r>
    </w:p>
    <w:p>
      <w:pPr>
        <w:pStyle w:val="Compact"/>
        <w:numPr>
          <w:ilvl w:val="0"/>
          <w:numId w:val="1663"/>
        </w:numPr>
      </w:pPr>
      <w:r>
        <w:rPr>
          <w:b/>
          <w:bCs/>
        </w:rPr>
        <w:t xml:space="preserve">Object</w:t>
      </w:r>
      <w:r>
        <w:t xml:space="preserve">:</w:t>
      </w:r>
      <w:r>
        <w:t xml:space="preserve"> </w:t>
      </w:r>
      <w:r>
        <w:rPr>
          <w:rStyle w:val="VerbatimChar"/>
        </w:rPr>
        <w:t xml:space="preserve">G3CRYPTO</w:t>
      </w:r>
    </w:p>
    <w:p>
      <w:pPr>
        <w:pStyle w:val="Compact"/>
        <w:numPr>
          <w:ilvl w:val="0"/>
          <w:numId w:val="1663"/>
        </w:numPr>
      </w:pPr>
      <w:r>
        <w:rPr>
          <w:b/>
          <w:bCs/>
        </w:rPr>
        <w:t xml:space="preserve">Method</w:t>
      </w:r>
      <w:r>
        <w:t xml:space="preserve">:</w:t>
      </w:r>
      <w:r>
        <w:t xml:space="preserve"> </w:t>
      </w:r>
      <w:r>
        <w:rPr>
          <w:rStyle w:val="VerbatimChar"/>
        </w:rPr>
        <w:t xml:space="preserve">SHA256</w:t>
      </w:r>
    </w:p>
    <w:p>
      <w:pPr>
        <w:pStyle w:val="Compact"/>
        <w:numPr>
          <w:ilvl w:val="0"/>
          <w:numId w:val="1663"/>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63"/>
        </w:numPr>
      </w:pPr>
      <w:r>
        <w:rPr>
          <w:b/>
          <w:bCs/>
        </w:rPr>
        <w:t xml:space="preserve">Returns</w:t>
      </w:r>
      <w:r>
        <w:t xml:space="preserve">: String — 64-character lowercase hexadecimal digest</w:t>
      </w:r>
    </w:p>
    <w:bookmarkEnd w:id="2725"/>
    <w:bookmarkEnd w:id="2726"/>
    <w:bookmarkStart w:id="2735" w:name="compute-a-sha3-256-digest"/>
    <w:p>
      <w:pPr>
        <w:pStyle w:val="Heading1"/>
      </w:pPr>
      <w:r>
        <w:t xml:space="preserve">Compute a SHA3-256 Digest</w:t>
      </w:r>
    </w:p>
    <w:bookmarkStart w:id="2727" w:name="overview-257"/>
    <w:p>
      <w:pPr>
        <w:pStyle w:val="Heading2"/>
      </w:pPr>
      <w:r>
        <w:t xml:space="preserve">Overview</w:t>
      </w:r>
    </w:p>
    <w:p>
      <w:pPr>
        <w:pStyle w:val="FirstParagraph"/>
      </w:pPr>
      <w:r>
        <w:t xml:space="preserve">Computes the SHA3-256 digest of the input and returns the result as a lowercase hexadecimal string.</w:t>
      </w:r>
    </w:p>
    <w:bookmarkEnd w:id="2727"/>
    <w:bookmarkStart w:id="2728" w:name="prerequisites-11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28"/>
    <w:bookmarkStart w:id="2729" w:name="syntax-269"/>
    <w:p>
      <w:pPr>
        <w:pStyle w:val="Heading2"/>
      </w:pPr>
      <w:r>
        <w:t xml:space="preserve">Syntax</w:t>
      </w:r>
    </w:p>
    <w:p>
      <w:pPr>
        <w:pStyle w:val="SourceCode"/>
      </w:pPr>
      <w:r>
        <w:rPr>
          <w:rStyle w:val="NormalTok"/>
        </w:rPr>
        <w:t xml:space="preserve">result = crypto.SHA3_256(input)</w:t>
      </w:r>
    </w:p>
    <w:bookmarkEnd w:id="2729"/>
    <w:bookmarkStart w:id="2730" w:name="parameters-17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730"/>
    <w:bookmarkStart w:id="2731" w:name="return-value-193"/>
    <w:p>
      <w:pPr>
        <w:pStyle w:val="Heading2"/>
      </w:pPr>
      <w:r>
        <w:t xml:space="preserve">Return Value</w:t>
      </w:r>
    </w:p>
    <w:p>
      <w:pPr>
        <w:pStyle w:val="Compact"/>
        <w:numPr>
          <w:ilvl w:val="0"/>
          <w:numId w:val="1664"/>
        </w:numPr>
      </w:pPr>
      <w:r>
        <w:rPr>
          <w:b/>
          <w:bCs/>
        </w:rPr>
        <w:t xml:space="preserve">String</w:t>
      </w:r>
      <w:r>
        <w:t xml:space="preserve">: 64-character lowercase hexadecimal SHA3-256 digest.</w:t>
      </w:r>
    </w:p>
    <w:bookmarkEnd w:id="2731"/>
    <w:bookmarkStart w:id="2732" w:name="remarks-243"/>
    <w:p>
      <w:pPr>
        <w:pStyle w:val="Heading2"/>
      </w:pPr>
      <w:r>
        <w:t xml:space="preserve">Remarks</w:t>
      </w:r>
    </w:p>
    <w:p>
      <w:pPr>
        <w:pStyle w:val="Compact"/>
        <w:numPr>
          <w:ilvl w:val="0"/>
          <w:numId w:val="1665"/>
        </w:numPr>
      </w:pPr>
      <w:r>
        <w:t xml:space="preserve">SHA-3 is a modern hash family defined in FIPS 202.</w:t>
      </w:r>
    </w:p>
    <w:p>
      <w:pPr>
        <w:pStyle w:val="Compact"/>
        <w:numPr>
          <w:ilvl w:val="0"/>
          <w:numId w:val="1665"/>
        </w:numPr>
      </w:pPr>
      <w:r>
        <w:t xml:space="preserve">Method names are case-insensitive.</w:t>
      </w:r>
    </w:p>
    <w:bookmarkEnd w:id="2732"/>
    <w:bookmarkStart w:id="2733" w:name="example-19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crypto.SHA3_256</w:t>
      </w:r>
      <w:r>
        <w:rPr>
          <w:rStyle w:val="OtherTok"/>
        </w:rPr>
        <w:t xml:space="preserve">(</w:t>
      </w:r>
      <w:r>
        <w:rPr>
          <w:rStyle w:val="StringTok"/>
        </w:rPr>
        <w:t xml:space="preserve">"AxonASP Secure Data"</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33"/>
    <w:bookmarkStart w:id="2734" w:name="api-reference-114"/>
    <w:p>
      <w:pPr>
        <w:pStyle w:val="Heading2"/>
      </w:pPr>
      <w:r>
        <w:t xml:space="preserve">API Reference</w:t>
      </w:r>
    </w:p>
    <w:p>
      <w:pPr>
        <w:pStyle w:val="Compact"/>
        <w:numPr>
          <w:ilvl w:val="0"/>
          <w:numId w:val="1666"/>
        </w:numPr>
      </w:pPr>
      <w:r>
        <w:rPr>
          <w:b/>
          <w:bCs/>
        </w:rPr>
        <w:t xml:space="preserve">Object</w:t>
      </w:r>
      <w:r>
        <w:t xml:space="preserve">:</w:t>
      </w:r>
      <w:r>
        <w:t xml:space="preserve"> </w:t>
      </w:r>
      <w:r>
        <w:rPr>
          <w:rStyle w:val="VerbatimChar"/>
        </w:rPr>
        <w:t xml:space="preserve">G3CRYPTO</w:t>
      </w:r>
    </w:p>
    <w:p>
      <w:pPr>
        <w:pStyle w:val="Compact"/>
        <w:numPr>
          <w:ilvl w:val="0"/>
          <w:numId w:val="1666"/>
        </w:numPr>
      </w:pPr>
      <w:r>
        <w:rPr>
          <w:b/>
          <w:bCs/>
        </w:rPr>
        <w:t xml:space="preserve">Method</w:t>
      </w:r>
      <w:r>
        <w:t xml:space="preserve">:</w:t>
      </w:r>
      <w:r>
        <w:t xml:space="preserve"> </w:t>
      </w:r>
      <w:r>
        <w:rPr>
          <w:rStyle w:val="VerbatimChar"/>
        </w:rPr>
        <w:t xml:space="preserve">SHA3_256</w:t>
      </w:r>
    </w:p>
    <w:p>
      <w:pPr>
        <w:pStyle w:val="Compact"/>
        <w:numPr>
          <w:ilvl w:val="0"/>
          <w:numId w:val="1666"/>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66"/>
        </w:numPr>
      </w:pPr>
      <w:r>
        <w:rPr>
          <w:b/>
          <w:bCs/>
        </w:rPr>
        <w:t xml:space="preserve">Returns</w:t>
      </w:r>
      <w:r>
        <w:t xml:space="preserve">: String — 64-character lowercase hexadecimal digest</w:t>
      </w:r>
    </w:p>
    <w:bookmarkEnd w:id="2734"/>
    <w:bookmarkEnd w:id="2735"/>
    <w:bookmarkStart w:id="2744" w:name="compute-a-sha3-512-digest"/>
    <w:p>
      <w:pPr>
        <w:pStyle w:val="Heading1"/>
      </w:pPr>
      <w:r>
        <w:t xml:space="preserve">Compute a SHA3-512 Digest</w:t>
      </w:r>
    </w:p>
    <w:bookmarkStart w:id="2736" w:name="overview-258"/>
    <w:p>
      <w:pPr>
        <w:pStyle w:val="Heading2"/>
      </w:pPr>
      <w:r>
        <w:t xml:space="preserve">Overview</w:t>
      </w:r>
    </w:p>
    <w:p>
      <w:pPr>
        <w:pStyle w:val="FirstParagraph"/>
      </w:pPr>
      <w:r>
        <w:t xml:space="preserve">Computes the SHA3-512 digest of the input and returns the result as a lowercase hexadecimal string.</w:t>
      </w:r>
    </w:p>
    <w:bookmarkEnd w:id="2736"/>
    <w:bookmarkStart w:id="2737" w:name="prerequisites-11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37"/>
    <w:bookmarkStart w:id="2738" w:name="syntax-270"/>
    <w:p>
      <w:pPr>
        <w:pStyle w:val="Heading2"/>
      </w:pPr>
      <w:r>
        <w:t xml:space="preserve">Syntax</w:t>
      </w:r>
    </w:p>
    <w:p>
      <w:pPr>
        <w:pStyle w:val="SourceCode"/>
      </w:pPr>
      <w:r>
        <w:rPr>
          <w:rStyle w:val="NormalTok"/>
        </w:rPr>
        <w:t xml:space="preserve">result = crypto.SHA3_512(input)</w:t>
      </w:r>
    </w:p>
    <w:bookmarkEnd w:id="2738"/>
    <w:bookmarkStart w:id="2739" w:name="parameters-178"/>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739"/>
    <w:bookmarkStart w:id="2740" w:name="return-value-194"/>
    <w:p>
      <w:pPr>
        <w:pStyle w:val="Heading2"/>
      </w:pPr>
      <w:r>
        <w:t xml:space="preserve">Return Value</w:t>
      </w:r>
    </w:p>
    <w:p>
      <w:pPr>
        <w:pStyle w:val="Compact"/>
        <w:numPr>
          <w:ilvl w:val="0"/>
          <w:numId w:val="1667"/>
        </w:numPr>
      </w:pPr>
      <w:r>
        <w:rPr>
          <w:b/>
          <w:bCs/>
        </w:rPr>
        <w:t xml:space="preserve">String</w:t>
      </w:r>
      <w:r>
        <w:t xml:space="preserve">: 128-character lowercase hexadecimal SHA3-512 digest.</w:t>
      </w:r>
    </w:p>
    <w:bookmarkEnd w:id="2740"/>
    <w:bookmarkStart w:id="2741" w:name="remarks-244"/>
    <w:p>
      <w:pPr>
        <w:pStyle w:val="Heading2"/>
      </w:pPr>
      <w:r>
        <w:t xml:space="preserve">Remarks</w:t>
      </w:r>
    </w:p>
    <w:p>
      <w:pPr>
        <w:pStyle w:val="Compact"/>
        <w:numPr>
          <w:ilvl w:val="0"/>
          <w:numId w:val="1668"/>
        </w:numPr>
      </w:pPr>
      <w:r>
        <w:t xml:space="preserve">SHA3-512 is a high-strength option in the SHA-3 family.</w:t>
      </w:r>
    </w:p>
    <w:p>
      <w:pPr>
        <w:pStyle w:val="Compact"/>
        <w:numPr>
          <w:ilvl w:val="0"/>
          <w:numId w:val="1668"/>
        </w:numPr>
      </w:pPr>
      <w:r>
        <w:t xml:space="preserve">Method names are case-insensitive.</w:t>
      </w:r>
    </w:p>
    <w:bookmarkEnd w:id="2741"/>
    <w:bookmarkStart w:id="2742" w:name="example-19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crypto.SHA3_512</w:t>
      </w:r>
      <w:r>
        <w:rPr>
          <w:rStyle w:val="OtherTok"/>
        </w:rPr>
        <w:t xml:space="preserve">(</w:t>
      </w:r>
      <w:r>
        <w:rPr>
          <w:rStyle w:val="StringTok"/>
        </w:rPr>
        <w:t xml:space="preserve">"Ultra Secure Payload"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42"/>
    <w:bookmarkStart w:id="2743" w:name="api-reference-115"/>
    <w:p>
      <w:pPr>
        <w:pStyle w:val="Heading2"/>
      </w:pPr>
      <w:r>
        <w:t xml:space="preserve">API Reference</w:t>
      </w:r>
    </w:p>
    <w:p>
      <w:pPr>
        <w:pStyle w:val="Compact"/>
        <w:numPr>
          <w:ilvl w:val="0"/>
          <w:numId w:val="1669"/>
        </w:numPr>
      </w:pPr>
      <w:r>
        <w:rPr>
          <w:b/>
          <w:bCs/>
        </w:rPr>
        <w:t xml:space="preserve">Object</w:t>
      </w:r>
      <w:r>
        <w:t xml:space="preserve">:</w:t>
      </w:r>
      <w:r>
        <w:t xml:space="preserve"> </w:t>
      </w:r>
      <w:r>
        <w:rPr>
          <w:rStyle w:val="VerbatimChar"/>
        </w:rPr>
        <w:t xml:space="preserve">G3CRYPTO</w:t>
      </w:r>
    </w:p>
    <w:p>
      <w:pPr>
        <w:pStyle w:val="Compact"/>
        <w:numPr>
          <w:ilvl w:val="0"/>
          <w:numId w:val="1669"/>
        </w:numPr>
      </w:pPr>
      <w:r>
        <w:rPr>
          <w:b/>
          <w:bCs/>
        </w:rPr>
        <w:t xml:space="preserve">Method</w:t>
      </w:r>
      <w:r>
        <w:t xml:space="preserve">:</w:t>
      </w:r>
      <w:r>
        <w:t xml:space="preserve"> </w:t>
      </w:r>
      <w:r>
        <w:rPr>
          <w:rStyle w:val="VerbatimChar"/>
        </w:rPr>
        <w:t xml:space="preserve">SHA3_512</w:t>
      </w:r>
    </w:p>
    <w:p>
      <w:pPr>
        <w:pStyle w:val="Compact"/>
        <w:numPr>
          <w:ilvl w:val="0"/>
          <w:numId w:val="1669"/>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69"/>
        </w:numPr>
      </w:pPr>
      <w:r>
        <w:rPr>
          <w:b/>
          <w:bCs/>
        </w:rPr>
        <w:t xml:space="preserve">Returns</w:t>
      </w:r>
      <w:r>
        <w:t xml:space="preserve">: String — 128-character lowercase hexadecimal digest</w:t>
      </w:r>
    </w:p>
    <w:bookmarkEnd w:id="2743"/>
    <w:bookmarkEnd w:id="2744"/>
    <w:bookmarkStart w:id="2753" w:name="compute-a-sha-384-digest"/>
    <w:p>
      <w:pPr>
        <w:pStyle w:val="Heading1"/>
      </w:pPr>
      <w:r>
        <w:t xml:space="preserve">Compute a SHA-384 Digest</w:t>
      </w:r>
    </w:p>
    <w:bookmarkStart w:id="2745" w:name="overview-259"/>
    <w:p>
      <w:pPr>
        <w:pStyle w:val="Heading2"/>
      </w:pPr>
      <w:r>
        <w:t xml:space="preserve">Overview</w:t>
      </w:r>
    </w:p>
    <w:p>
      <w:pPr>
        <w:pStyle w:val="FirstParagraph"/>
      </w:pPr>
      <w:r>
        <w:t xml:space="preserve">Computes the SHA-384 digest of the input and returns the result as a lowercase hexadecimal string.</w:t>
      </w:r>
    </w:p>
    <w:bookmarkEnd w:id="2745"/>
    <w:bookmarkStart w:id="2746" w:name="prerequisites-11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46"/>
    <w:bookmarkStart w:id="2747" w:name="syntax-271"/>
    <w:p>
      <w:pPr>
        <w:pStyle w:val="Heading2"/>
      </w:pPr>
      <w:r>
        <w:t xml:space="preserve">Syntax</w:t>
      </w:r>
    </w:p>
    <w:p>
      <w:pPr>
        <w:pStyle w:val="SourceCode"/>
      </w:pPr>
      <w:r>
        <w:rPr>
          <w:rStyle w:val="NormalTok"/>
        </w:rPr>
        <w:t xml:space="preserve">result = crypto.SHA384(input)</w:t>
      </w:r>
    </w:p>
    <w:bookmarkEnd w:id="2747"/>
    <w:bookmarkStart w:id="2748" w:name="parameters-17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748"/>
    <w:bookmarkStart w:id="2749" w:name="return-value-195"/>
    <w:p>
      <w:pPr>
        <w:pStyle w:val="Heading2"/>
      </w:pPr>
      <w:r>
        <w:t xml:space="preserve">Return Value</w:t>
      </w:r>
    </w:p>
    <w:p>
      <w:pPr>
        <w:pStyle w:val="Compact"/>
        <w:numPr>
          <w:ilvl w:val="0"/>
          <w:numId w:val="1670"/>
        </w:numPr>
      </w:pPr>
      <w:r>
        <w:rPr>
          <w:b/>
          <w:bCs/>
        </w:rPr>
        <w:t xml:space="preserve">String</w:t>
      </w:r>
      <w:r>
        <w:t xml:space="preserve">: 96-character lowercase hexadecimal SHA-384 digest.</w:t>
      </w:r>
    </w:p>
    <w:bookmarkEnd w:id="2749"/>
    <w:bookmarkStart w:id="2750" w:name="remarks-245"/>
    <w:p>
      <w:pPr>
        <w:pStyle w:val="Heading2"/>
      </w:pPr>
      <w:r>
        <w:t xml:space="preserve">Remarks</w:t>
      </w:r>
    </w:p>
    <w:p>
      <w:pPr>
        <w:pStyle w:val="Compact"/>
        <w:numPr>
          <w:ilvl w:val="0"/>
          <w:numId w:val="1671"/>
        </w:numPr>
      </w:pPr>
      <w:r>
        <w:t xml:space="preserve">SHA-384 is part of the SHA-2 family and provides a larger digest than SHA-256.</w:t>
      </w:r>
    </w:p>
    <w:p>
      <w:pPr>
        <w:pStyle w:val="Compact"/>
        <w:numPr>
          <w:ilvl w:val="0"/>
          <w:numId w:val="1671"/>
        </w:numPr>
      </w:pPr>
      <w:r>
        <w:t xml:space="preserve">Method names are case-insensitive.</w:t>
      </w:r>
    </w:p>
    <w:bookmarkEnd w:id="2750"/>
    <w:bookmarkStart w:id="2751" w:name="example-19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crypto.SHA384</w:t>
      </w:r>
      <w:r>
        <w:rPr>
          <w:rStyle w:val="OtherTok"/>
        </w:rPr>
        <w:t xml:space="preserve">(</w:t>
      </w:r>
      <w:r>
        <w:rPr>
          <w:rStyle w:val="StringTok"/>
        </w:rPr>
        <w:t xml:space="preserve">"Secure Data Transmission"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51"/>
    <w:bookmarkStart w:id="2752" w:name="api-reference-116"/>
    <w:p>
      <w:pPr>
        <w:pStyle w:val="Heading2"/>
      </w:pPr>
      <w:r>
        <w:t xml:space="preserve">API Reference</w:t>
      </w:r>
    </w:p>
    <w:p>
      <w:pPr>
        <w:pStyle w:val="Compact"/>
        <w:numPr>
          <w:ilvl w:val="0"/>
          <w:numId w:val="1672"/>
        </w:numPr>
      </w:pPr>
      <w:r>
        <w:rPr>
          <w:b/>
          <w:bCs/>
        </w:rPr>
        <w:t xml:space="preserve">Object</w:t>
      </w:r>
      <w:r>
        <w:t xml:space="preserve">:</w:t>
      </w:r>
      <w:r>
        <w:t xml:space="preserve"> </w:t>
      </w:r>
      <w:r>
        <w:rPr>
          <w:rStyle w:val="VerbatimChar"/>
        </w:rPr>
        <w:t xml:space="preserve">G3CRYPTO</w:t>
      </w:r>
    </w:p>
    <w:p>
      <w:pPr>
        <w:pStyle w:val="Compact"/>
        <w:numPr>
          <w:ilvl w:val="0"/>
          <w:numId w:val="1672"/>
        </w:numPr>
      </w:pPr>
      <w:r>
        <w:rPr>
          <w:b/>
          <w:bCs/>
        </w:rPr>
        <w:t xml:space="preserve">Method</w:t>
      </w:r>
      <w:r>
        <w:t xml:space="preserve">:</w:t>
      </w:r>
      <w:r>
        <w:t xml:space="preserve"> </w:t>
      </w:r>
      <w:r>
        <w:rPr>
          <w:rStyle w:val="VerbatimChar"/>
        </w:rPr>
        <w:t xml:space="preserve">SHA384</w:t>
      </w:r>
    </w:p>
    <w:p>
      <w:pPr>
        <w:pStyle w:val="Compact"/>
        <w:numPr>
          <w:ilvl w:val="0"/>
          <w:numId w:val="1672"/>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72"/>
        </w:numPr>
      </w:pPr>
      <w:r>
        <w:rPr>
          <w:b/>
          <w:bCs/>
        </w:rPr>
        <w:t xml:space="preserve">Returns</w:t>
      </w:r>
      <w:r>
        <w:t xml:space="preserve">: String — 96-character lowercase hexadecimal digest</w:t>
      </w:r>
    </w:p>
    <w:bookmarkEnd w:id="2752"/>
    <w:bookmarkEnd w:id="2753"/>
    <w:bookmarkStart w:id="2762" w:name="compute-a-sha-512-digest"/>
    <w:p>
      <w:pPr>
        <w:pStyle w:val="Heading1"/>
      </w:pPr>
      <w:r>
        <w:t xml:space="preserve">Compute a SHA-512 Digest</w:t>
      </w:r>
    </w:p>
    <w:bookmarkStart w:id="2754" w:name="overview-260"/>
    <w:p>
      <w:pPr>
        <w:pStyle w:val="Heading2"/>
      </w:pPr>
      <w:r>
        <w:t xml:space="preserve">Overview</w:t>
      </w:r>
    </w:p>
    <w:p>
      <w:pPr>
        <w:pStyle w:val="FirstParagraph"/>
      </w:pPr>
      <w:r>
        <w:t xml:space="preserve">Computes the SHA-512 digest of the input and returns the result as a lowercase hexadecimal string.</w:t>
      </w:r>
    </w:p>
    <w:bookmarkEnd w:id="2754"/>
    <w:bookmarkStart w:id="2755" w:name="prerequisites-11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55"/>
    <w:bookmarkStart w:id="2756" w:name="syntax-272"/>
    <w:p>
      <w:pPr>
        <w:pStyle w:val="Heading2"/>
      </w:pPr>
      <w:r>
        <w:t xml:space="preserve">Syntax</w:t>
      </w:r>
    </w:p>
    <w:p>
      <w:pPr>
        <w:pStyle w:val="SourceCode"/>
      </w:pPr>
      <w:r>
        <w:rPr>
          <w:rStyle w:val="NormalTok"/>
        </w:rPr>
        <w:t xml:space="preserve">result = crypto.SHA512(input)</w:t>
      </w:r>
    </w:p>
    <w:bookmarkEnd w:id="2756"/>
    <w:bookmarkStart w:id="2757" w:name="parameters-18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input</w:t>
            </w:r>
          </w:p>
        </w:tc>
        <w:tc>
          <w:tcPr/>
          <w:p>
            <w:pPr>
              <w:pStyle w:val="Compact"/>
            </w:pPr>
            <w:r>
              <w:t xml:space="preserve">String or Array</w:t>
            </w:r>
          </w:p>
        </w:tc>
        <w:tc>
          <w:tcPr/>
          <w:p>
            <w:pPr>
              <w:pStyle w:val="Compact"/>
            </w:pPr>
            <w:r>
              <w:t xml:space="preserve">No</w:t>
            </w:r>
          </w:p>
        </w:tc>
        <w:tc>
          <w:tcPr/>
          <w:p>
            <w:pPr>
              <w:pStyle w:val="Compact"/>
            </w:pPr>
            <w:r>
              <w:t xml:space="preserve">Input data as text or a VBScript byte array. When omitted, the method hashes an empty string.</w:t>
            </w:r>
          </w:p>
        </w:tc>
      </w:tr>
    </w:tbl>
    <w:bookmarkEnd w:id="2757"/>
    <w:bookmarkStart w:id="2758" w:name="return-value-196"/>
    <w:p>
      <w:pPr>
        <w:pStyle w:val="Heading2"/>
      </w:pPr>
      <w:r>
        <w:t xml:space="preserve">Return Value</w:t>
      </w:r>
    </w:p>
    <w:p>
      <w:pPr>
        <w:pStyle w:val="Compact"/>
        <w:numPr>
          <w:ilvl w:val="0"/>
          <w:numId w:val="1673"/>
        </w:numPr>
      </w:pPr>
      <w:r>
        <w:rPr>
          <w:b/>
          <w:bCs/>
        </w:rPr>
        <w:t xml:space="preserve">String</w:t>
      </w:r>
      <w:r>
        <w:t xml:space="preserve">: 128-character lowercase hexadecimal SHA-512 digest.</w:t>
      </w:r>
    </w:p>
    <w:bookmarkEnd w:id="2758"/>
    <w:bookmarkStart w:id="2759" w:name="remarks-246"/>
    <w:p>
      <w:pPr>
        <w:pStyle w:val="Heading2"/>
      </w:pPr>
      <w:r>
        <w:t xml:space="preserve">Remarks</w:t>
      </w:r>
    </w:p>
    <w:p>
      <w:pPr>
        <w:pStyle w:val="Compact"/>
        <w:numPr>
          <w:ilvl w:val="0"/>
          <w:numId w:val="1674"/>
        </w:numPr>
      </w:pPr>
      <w:r>
        <w:t xml:space="preserve">SHA-512 provides a large digest size for strong integrity requirements.</w:t>
      </w:r>
    </w:p>
    <w:p>
      <w:pPr>
        <w:pStyle w:val="Compact"/>
        <w:numPr>
          <w:ilvl w:val="0"/>
          <w:numId w:val="1674"/>
        </w:numPr>
      </w:pPr>
      <w:r>
        <w:t xml:space="preserve">Method names are case-insensitive.</w:t>
      </w:r>
    </w:p>
    <w:bookmarkEnd w:id="2759"/>
    <w:bookmarkStart w:id="2760" w:name="example-19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digest</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digest = crypto.SHA512</w:t>
      </w:r>
      <w:r>
        <w:rPr>
          <w:rStyle w:val="OtherTok"/>
        </w:rPr>
        <w:t xml:space="preserve">(</w:t>
      </w:r>
      <w:r>
        <w:rPr>
          <w:rStyle w:val="StringTok"/>
        </w:rPr>
        <w:t xml:space="preserve">"Maximum Security Hash"</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digest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60"/>
    <w:bookmarkStart w:id="2761" w:name="api-reference-117"/>
    <w:p>
      <w:pPr>
        <w:pStyle w:val="Heading2"/>
      </w:pPr>
      <w:r>
        <w:t xml:space="preserve">API Reference</w:t>
      </w:r>
    </w:p>
    <w:p>
      <w:pPr>
        <w:pStyle w:val="Compact"/>
        <w:numPr>
          <w:ilvl w:val="0"/>
          <w:numId w:val="1675"/>
        </w:numPr>
      </w:pPr>
      <w:r>
        <w:rPr>
          <w:b/>
          <w:bCs/>
        </w:rPr>
        <w:t xml:space="preserve">Object</w:t>
      </w:r>
      <w:r>
        <w:t xml:space="preserve">:</w:t>
      </w:r>
      <w:r>
        <w:t xml:space="preserve"> </w:t>
      </w:r>
      <w:r>
        <w:rPr>
          <w:rStyle w:val="VerbatimChar"/>
        </w:rPr>
        <w:t xml:space="preserve">G3CRYPTO</w:t>
      </w:r>
    </w:p>
    <w:p>
      <w:pPr>
        <w:pStyle w:val="Compact"/>
        <w:numPr>
          <w:ilvl w:val="0"/>
          <w:numId w:val="1675"/>
        </w:numPr>
      </w:pPr>
      <w:r>
        <w:rPr>
          <w:b/>
          <w:bCs/>
        </w:rPr>
        <w:t xml:space="preserve">Method</w:t>
      </w:r>
      <w:r>
        <w:t xml:space="preserve">:</w:t>
      </w:r>
      <w:r>
        <w:t xml:space="preserve"> </w:t>
      </w:r>
      <w:r>
        <w:rPr>
          <w:rStyle w:val="VerbatimChar"/>
        </w:rPr>
        <w:t xml:space="preserve">SHA512</w:t>
      </w:r>
    </w:p>
    <w:p>
      <w:pPr>
        <w:pStyle w:val="Compact"/>
        <w:numPr>
          <w:ilvl w:val="0"/>
          <w:numId w:val="1675"/>
        </w:numPr>
      </w:pPr>
      <w:r>
        <w:rPr>
          <w:b/>
          <w:bCs/>
        </w:rPr>
        <w:t xml:space="preserve">Arguments</w:t>
      </w:r>
      <w:r>
        <w:t xml:space="preserve">:</w:t>
      </w:r>
      <w:r>
        <w:t xml:space="preserve"> </w:t>
      </w:r>
      <w:r>
        <w:rPr>
          <w:rStyle w:val="VerbatimChar"/>
        </w:rPr>
        <w:t xml:space="preserve">input</w:t>
      </w:r>
      <w:r>
        <w:t xml:space="preserve"> </w:t>
      </w:r>
      <w:r>
        <w:t xml:space="preserve">(String or Array, optional)</w:t>
      </w:r>
    </w:p>
    <w:p>
      <w:pPr>
        <w:pStyle w:val="Compact"/>
        <w:numPr>
          <w:ilvl w:val="0"/>
          <w:numId w:val="1675"/>
        </w:numPr>
      </w:pPr>
      <w:r>
        <w:rPr>
          <w:b/>
          <w:bCs/>
        </w:rPr>
        <w:t xml:space="preserve">Returns</w:t>
      </w:r>
      <w:r>
        <w:t xml:space="preserve">: String — 128-character lowercase hexadecimal digest</w:t>
      </w:r>
    </w:p>
    <w:bookmarkEnd w:id="2761"/>
    <w:bookmarkEnd w:id="2762"/>
    <w:bookmarkStart w:id="2771" w:name="generate-a-uuid-v4"/>
    <w:p>
      <w:pPr>
        <w:pStyle w:val="Heading1"/>
      </w:pPr>
      <w:r>
        <w:t xml:space="preserve">Generate a UUID v4</w:t>
      </w:r>
    </w:p>
    <w:bookmarkStart w:id="2763" w:name="overview-261"/>
    <w:p>
      <w:pPr>
        <w:pStyle w:val="Heading2"/>
      </w:pPr>
      <w:r>
        <w:t xml:space="preserve">Overview</w:t>
      </w:r>
    </w:p>
    <w:p>
      <w:pPr>
        <w:pStyle w:val="FirstParagraph"/>
      </w:pPr>
      <w:r>
        <w:t xml:space="preserve">Generates one RFC 4122 version 4 UUID string.</w:t>
      </w:r>
    </w:p>
    <w:bookmarkEnd w:id="2763"/>
    <w:bookmarkStart w:id="2764" w:name="prerequisites-11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64"/>
    <w:bookmarkStart w:id="2765" w:name="syntax-273"/>
    <w:p>
      <w:pPr>
        <w:pStyle w:val="Heading2"/>
      </w:pPr>
      <w:r>
        <w:t xml:space="preserve">Syntax</w:t>
      </w:r>
    </w:p>
    <w:p>
      <w:pPr>
        <w:pStyle w:val="SourceCode"/>
      </w:pPr>
      <w:r>
        <w:rPr>
          <w:rStyle w:val="NormalTok"/>
        </w:rPr>
        <w:t xml:space="preserve">result = crypto.UUID()</w:t>
      </w:r>
    </w:p>
    <w:bookmarkEnd w:id="2765"/>
    <w:bookmarkStart w:id="2766" w:name="parameters-181"/>
    <w:p>
      <w:pPr>
        <w:pStyle w:val="Heading2"/>
      </w:pPr>
      <w:r>
        <w:t xml:space="preserve">Parameters</w:t>
      </w:r>
    </w:p>
    <w:p>
      <w:pPr>
        <w:pStyle w:val="FirstParagraph"/>
      </w:pPr>
      <w:r>
        <w:t xml:space="preserve">This method does not accept any parameters.</w:t>
      </w:r>
    </w:p>
    <w:bookmarkEnd w:id="2766"/>
    <w:bookmarkStart w:id="2767" w:name="return-value-197"/>
    <w:p>
      <w:pPr>
        <w:pStyle w:val="Heading2"/>
      </w:pPr>
      <w:r>
        <w:t xml:space="preserve">Return Value</w:t>
      </w:r>
    </w:p>
    <w:p>
      <w:pPr>
        <w:pStyle w:val="Compact"/>
        <w:numPr>
          <w:ilvl w:val="0"/>
          <w:numId w:val="1676"/>
        </w:numPr>
      </w:pPr>
      <w:r>
        <w:rPr>
          <w:b/>
          <w:bCs/>
        </w:rPr>
        <w:t xml:space="preserve">String</w:t>
      </w:r>
      <w:r>
        <w:t xml:space="preserve">: UUID string in the</w:t>
      </w:r>
      <w:r>
        <w:t xml:space="preserve"> </w:t>
      </w:r>
      <w:r>
        <w:rPr>
          <w:rStyle w:val="VerbatimChar"/>
        </w:rPr>
        <w:t xml:space="preserve">8-4-4-4-12</w:t>
      </w:r>
      <w:r>
        <w:t xml:space="preserve"> </w:t>
      </w:r>
      <w:r>
        <w:t xml:space="preserve">format, using lowercase hexadecimal characters.</w:t>
      </w:r>
    </w:p>
    <w:p>
      <w:pPr>
        <w:pStyle w:val="Compact"/>
        <w:numPr>
          <w:ilvl w:val="0"/>
          <w:numId w:val="1676"/>
        </w:numPr>
      </w:pPr>
      <w:r>
        <w:rPr>
          <w:b/>
          <w:bCs/>
        </w:rPr>
        <w:t xml:space="preserve">String (empty)</w:t>
      </w:r>
      <w:r>
        <w:t xml:space="preserve">: Returned when cryptographic random generation fails.</w:t>
      </w:r>
    </w:p>
    <w:bookmarkEnd w:id="2767"/>
    <w:bookmarkStart w:id="2768" w:name="remarks-247"/>
    <w:p>
      <w:pPr>
        <w:pStyle w:val="Heading2"/>
      </w:pPr>
      <w:r>
        <w:t xml:space="preserve">Remarks</w:t>
      </w:r>
    </w:p>
    <w:p>
      <w:pPr>
        <w:pStyle w:val="Compact"/>
        <w:numPr>
          <w:ilvl w:val="0"/>
          <w:numId w:val="1677"/>
        </w:numPr>
      </w:pPr>
      <w:r>
        <w:t xml:space="preserve">Use this method for unique identifiers where randomness and uniqueness are required.</w:t>
      </w:r>
    </w:p>
    <w:p>
      <w:pPr>
        <w:pStyle w:val="Compact"/>
        <w:numPr>
          <w:ilvl w:val="0"/>
          <w:numId w:val="1677"/>
        </w:numPr>
      </w:pPr>
      <w:r>
        <w:t xml:space="preserve">Method names are case-insensitive.</w:t>
      </w:r>
    </w:p>
    <w:bookmarkEnd w:id="2768"/>
    <w:bookmarkStart w:id="2769" w:name="example-20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id</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id = crypto.UUID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id</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69"/>
    <w:bookmarkStart w:id="2770" w:name="api-reference-118"/>
    <w:p>
      <w:pPr>
        <w:pStyle w:val="Heading2"/>
      </w:pPr>
      <w:r>
        <w:t xml:space="preserve">API Reference</w:t>
      </w:r>
    </w:p>
    <w:p>
      <w:pPr>
        <w:pStyle w:val="Compact"/>
        <w:numPr>
          <w:ilvl w:val="0"/>
          <w:numId w:val="1678"/>
        </w:numPr>
      </w:pPr>
      <w:r>
        <w:rPr>
          <w:b/>
          <w:bCs/>
        </w:rPr>
        <w:t xml:space="preserve">Object</w:t>
      </w:r>
      <w:r>
        <w:t xml:space="preserve">:</w:t>
      </w:r>
      <w:r>
        <w:t xml:space="preserve"> </w:t>
      </w:r>
      <w:r>
        <w:rPr>
          <w:rStyle w:val="VerbatimChar"/>
        </w:rPr>
        <w:t xml:space="preserve">G3CRYPTO</w:t>
      </w:r>
    </w:p>
    <w:p>
      <w:pPr>
        <w:pStyle w:val="Compact"/>
        <w:numPr>
          <w:ilvl w:val="0"/>
          <w:numId w:val="1678"/>
        </w:numPr>
      </w:pPr>
      <w:r>
        <w:rPr>
          <w:b/>
          <w:bCs/>
        </w:rPr>
        <w:t xml:space="preserve">Method</w:t>
      </w:r>
      <w:r>
        <w:t xml:space="preserve">:</w:t>
      </w:r>
      <w:r>
        <w:t xml:space="preserve"> </w:t>
      </w:r>
      <w:r>
        <w:rPr>
          <w:rStyle w:val="VerbatimChar"/>
        </w:rPr>
        <w:t xml:space="preserve">UUID</w:t>
      </w:r>
    </w:p>
    <w:p>
      <w:pPr>
        <w:pStyle w:val="Compact"/>
        <w:numPr>
          <w:ilvl w:val="0"/>
          <w:numId w:val="1678"/>
        </w:numPr>
      </w:pPr>
      <w:r>
        <w:rPr>
          <w:b/>
          <w:bCs/>
        </w:rPr>
        <w:t xml:space="preserve">Arguments</w:t>
      </w:r>
      <w:r>
        <w:t xml:space="preserve">: None</w:t>
      </w:r>
    </w:p>
    <w:p>
      <w:pPr>
        <w:pStyle w:val="Compact"/>
        <w:numPr>
          <w:ilvl w:val="0"/>
          <w:numId w:val="1678"/>
        </w:numPr>
      </w:pPr>
      <w:r>
        <w:rPr>
          <w:b/>
          <w:bCs/>
        </w:rPr>
        <w:t xml:space="preserve">Returns</w:t>
      </w:r>
      <w:r>
        <w:t xml:space="preserve">: String — UUID v4 text, or empty string on random-source failure</w:t>
      </w:r>
    </w:p>
    <w:bookmarkEnd w:id="2770"/>
    <w:bookmarkEnd w:id="2771"/>
    <w:bookmarkStart w:id="2781" w:name="verify-a-password-against-a-bcrypt-hash"/>
    <w:p>
      <w:pPr>
        <w:pStyle w:val="Heading1"/>
      </w:pPr>
      <w:r>
        <w:t xml:space="preserve">Verify a Password Against a bcrypt Hash</w:t>
      </w:r>
    </w:p>
    <w:bookmarkStart w:id="2772" w:name="overview-262"/>
    <w:p>
      <w:pPr>
        <w:pStyle w:val="Heading2"/>
      </w:pPr>
      <w:r>
        <w:t xml:space="preserve">Overview</w:t>
      </w:r>
    </w:p>
    <w:p>
      <w:pPr>
        <w:pStyle w:val="FirstParagraph"/>
      </w:pPr>
      <w:r>
        <w:t xml:space="preserve">Checks whether a plain-text password matches a stored bcrypt hash.</w:t>
      </w:r>
    </w:p>
    <w:bookmarkEnd w:id="2772"/>
    <w:bookmarkStart w:id="2773" w:name="prerequisites-11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73"/>
    <w:bookmarkStart w:id="2774" w:name="syntax-274"/>
    <w:p>
      <w:pPr>
        <w:pStyle w:val="Heading2"/>
      </w:pPr>
      <w:r>
        <w:t xml:space="preserve">Syntax</w:t>
      </w:r>
    </w:p>
    <w:p>
      <w:pPr>
        <w:pStyle w:val="SourceCode"/>
      </w:pPr>
      <w:r>
        <w:rPr>
          <w:rStyle w:val="NormalTok"/>
        </w:rPr>
        <w:t xml:space="preserve">result = crypto.VerifyPassword(password, hash)</w:t>
      </w:r>
    </w:p>
    <w:bookmarkEnd w:id="2774"/>
    <w:bookmarkStart w:id="2775" w:name="parameters-18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password</w:t>
            </w:r>
          </w:p>
        </w:tc>
        <w:tc>
          <w:tcPr/>
          <w:p>
            <w:pPr>
              <w:pStyle w:val="Compact"/>
            </w:pPr>
            <w:r>
              <w:t xml:space="preserve">String</w:t>
            </w:r>
          </w:p>
        </w:tc>
        <w:tc>
          <w:tcPr/>
          <w:p>
            <w:pPr>
              <w:pStyle w:val="Compact"/>
            </w:pPr>
            <w:r>
              <w:t xml:space="preserve">Yes</w:t>
            </w:r>
          </w:p>
        </w:tc>
        <w:tc>
          <w:tcPr/>
          <w:p>
            <w:pPr>
              <w:pStyle w:val="Compact"/>
            </w:pPr>
            <w:r>
              <w:t xml:space="preserve">User-supplied plain-text password.</w:t>
            </w:r>
          </w:p>
        </w:tc>
      </w:tr>
      <w:tr>
        <w:tc>
          <w:tcPr/>
          <w:p>
            <w:pPr>
              <w:pStyle w:val="Compact"/>
            </w:pPr>
            <w:r>
              <w:rPr>
                <w:b/>
                <w:bCs/>
              </w:rPr>
              <w:t xml:space="preserve">hash</w:t>
            </w:r>
          </w:p>
        </w:tc>
        <w:tc>
          <w:tcPr/>
          <w:p>
            <w:pPr>
              <w:pStyle w:val="Compact"/>
            </w:pPr>
            <w:r>
              <w:t xml:space="preserve">String</w:t>
            </w:r>
          </w:p>
        </w:tc>
        <w:tc>
          <w:tcPr/>
          <w:p>
            <w:pPr>
              <w:pStyle w:val="Compact"/>
            </w:pPr>
            <w:r>
              <w:t xml:space="preserve">Yes</w:t>
            </w:r>
          </w:p>
        </w:tc>
        <w:tc>
          <w:tcPr/>
          <w:p>
            <w:pPr>
              <w:pStyle w:val="Compact"/>
            </w:pPr>
            <w:r>
              <w:t xml:space="preserve">Stored bcrypt hash string.</w:t>
            </w:r>
          </w:p>
        </w:tc>
      </w:tr>
    </w:tbl>
    <w:bookmarkEnd w:id="2775"/>
    <w:bookmarkStart w:id="2776" w:name="return-value-198"/>
    <w:p>
      <w:pPr>
        <w:pStyle w:val="Heading2"/>
      </w:pPr>
      <w:r>
        <w:t xml:space="preserve">Return Value</w:t>
      </w:r>
    </w:p>
    <w:p>
      <w:pPr>
        <w:pStyle w:val="Compact"/>
        <w:numPr>
          <w:ilvl w:val="0"/>
          <w:numId w:val="1679"/>
        </w:numPr>
      </w:pPr>
      <w:r>
        <w:rPr>
          <w:b/>
          <w:bCs/>
        </w:rPr>
        <w:t xml:space="preserve">Boolean</w:t>
      </w:r>
      <w:r>
        <w:rPr>
          <w:b/>
          <w:bCs/>
        </w:rPr>
        <w:t xml:space="preserve"> </w:t>
      </w:r>
      <w:r>
        <w:rPr>
          <w:rStyle w:val="VerbatimChar"/>
          <w:b/>
          <w:bCs/>
        </w:rPr>
        <w:t xml:space="preserve">True</w:t>
      </w:r>
      <w:r>
        <w:t xml:space="preserve">: Password matches the bcrypt hash.</w:t>
      </w:r>
    </w:p>
    <w:p>
      <w:pPr>
        <w:pStyle w:val="Compact"/>
        <w:numPr>
          <w:ilvl w:val="0"/>
          <w:numId w:val="1679"/>
        </w:numPr>
      </w:pPr>
      <w:r>
        <w:rPr>
          <w:b/>
          <w:bCs/>
        </w:rPr>
        <w:t xml:space="preserve">Boolean</w:t>
      </w:r>
      <w:r>
        <w:rPr>
          <w:b/>
          <w:bCs/>
        </w:rPr>
        <w:t xml:space="preserve"> </w:t>
      </w:r>
      <w:r>
        <w:rPr>
          <w:rStyle w:val="VerbatimChar"/>
          <w:b/>
          <w:bCs/>
        </w:rPr>
        <w:t xml:space="preserve">False</w:t>
      </w:r>
      <w:r>
        <w:t xml:space="preserve">: Password does not match, hash is invalid, or required arguments are missing.</w:t>
      </w:r>
    </w:p>
    <w:bookmarkEnd w:id="2776"/>
    <w:bookmarkStart w:id="2777" w:name="remarks-248"/>
    <w:p>
      <w:pPr>
        <w:pStyle w:val="Heading2"/>
      </w:pPr>
      <w:r>
        <w:t xml:space="preserve">Remarks</w:t>
      </w:r>
    </w:p>
    <w:p>
      <w:pPr>
        <w:pStyle w:val="Compact"/>
        <w:numPr>
          <w:ilvl w:val="0"/>
          <w:numId w:val="1680"/>
        </w:numPr>
      </w:pPr>
      <w:r>
        <w:t xml:space="preserve">This method is the recommended password verification path for authentication flows.</w:t>
      </w:r>
    </w:p>
    <w:p>
      <w:pPr>
        <w:pStyle w:val="Compact"/>
        <w:numPr>
          <w:ilvl w:val="0"/>
          <w:numId w:val="1680"/>
        </w:numPr>
      </w:pPr>
      <w:r>
        <w:t xml:space="preserve">bcrypt hash parsing and verification are handled internally.</w:t>
      </w:r>
    </w:p>
    <w:p>
      <w:pPr>
        <w:pStyle w:val="Compact"/>
        <w:numPr>
          <w:ilvl w:val="0"/>
          <w:numId w:val="1680"/>
        </w:numPr>
      </w:pPr>
      <w:r>
        <w:t xml:space="preserve">Method names are case-insensitive.</w:t>
      </w:r>
    </w:p>
    <w:bookmarkEnd w:id="2777"/>
    <w:bookmarkStart w:id="2778" w:name="example-20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storedHash</w:t>
      </w:r>
      <w:r>
        <w:rPr>
          <w:rStyle w:val="OtherTok"/>
        </w:rPr>
        <w:t xml:space="preserve">,</w:t>
      </w:r>
      <w:r>
        <w:rPr>
          <w:rStyle w:val="NormalTok"/>
        </w:rPr>
        <w:t xml:space="preserve"> userPass</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storedHash = </w:t>
      </w:r>
      <w:r>
        <w:rPr>
          <w:rStyle w:val="StringTok"/>
        </w:rPr>
        <w:t xml:space="preserve">"$2a$10$WmEynFf7ivBvJ9fD2X4aj.7YyUw8lnjxudlEE4u7YwY3QJ7V6dNlm"</w:t>
      </w:r>
      <w:r>
        <w:br/>
      </w:r>
      <w:r>
        <w:rPr>
          <w:rStyle w:val="NormalTok"/>
        </w:rPr>
        <w:t xml:space="preserve">userPass = </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StringTok"/>
        </w:rPr>
        <w:t xml:space="preserve">"password"</w:t>
      </w:r>
      <w:r>
        <w:rPr>
          <w:rStyle w:val="OtherTok"/>
        </w:rPr>
        <w:t xml:space="preserve">)</w:t>
      </w:r>
      <w:r>
        <w:br/>
      </w:r>
      <w:r>
        <w:br/>
      </w:r>
      <w:r>
        <w:rPr>
          <w:rStyle w:val="ControlFlowTok"/>
        </w:rPr>
        <w:t xml:space="preserve">If</w:t>
      </w:r>
      <w:r>
        <w:rPr>
          <w:rStyle w:val="NormalTok"/>
        </w:rPr>
        <w:t xml:space="preserve"> crypto.VerifyPassword</w:t>
      </w:r>
      <w:r>
        <w:rPr>
          <w:rStyle w:val="OtherTok"/>
        </w:rPr>
        <w:t xml:space="preserve">(</w:t>
      </w:r>
      <w:r>
        <w:rPr>
          <w:rStyle w:val="NormalTok"/>
        </w:rPr>
        <w:t xml:space="preserve">userPass</w:t>
      </w:r>
      <w:r>
        <w:rPr>
          <w:rStyle w:val="OtherTok"/>
        </w:rPr>
        <w:t xml:space="preserve">,</w:t>
      </w:r>
      <w:r>
        <w:rPr>
          <w:rStyle w:val="NormalTok"/>
        </w:rPr>
        <w:t xml:space="preserve"> storedHash</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"Login Success"</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"Invalid Credentials"</w:t>
      </w:r>
      <w:r>
        <w:br/>
      </w:r>
      <w:r>
        <w:rPr>
          <w:rStyle w:val="ControlFlowTok"/>
        </w:rPr>
        <w:t xml:space="preserve">End If</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78"/>
    <w:bookmarkStart w:id="2780" w:name="api-reference-119"/>
    <w:p>
      <w:pPr>
        <w:pStyle w:val="Heading2"/>
      </w:pPr>
      <w:r>
        <w:t xml:space="preserve">API Reference</w:t>
      </w:r>
    </w:p>
    <w:p>
      <w:pPr>
        <w:pStyle w:val="Compact"/>
        <w:numPr>
          <w:ilvl w:val="0"/>
          <w:numId w:val="1681"/>
        </w:numPr>
      </w:pPr>
      <w:r>
        <w:rPr>
          <w:b/>
          <w:bCs/>
        </w:rPr>
        <w:t xml:space="preserve">Object</w:t>
      </w:r>
      <w:r>
        <w:t xml:space="preserve">:</w:t>
      </w:r>
      <w:r>
        <w:t xml:space="preserve"> </w:t>
      </w:r>
      <w:r>
        <w:rPr>
          <w:rStyle w:val="VerbatimChar"/>
        </w:rPr>
        <w:t xml:space="preserve">G3CRYPTO</w:t>
      </w:r>
    </w:p>
    <w:p>
      <w:pPr>
        <w:pStyle w:val="Compact"/>
        <w:numPr>
          <w:ilvl w:val="0"/>
          <w:numId w:val="1681"/>
        </w:numPr>
      </w:pPr>
      <w:r>
        <w:rPr>
          <w:b/>
          <w:bCs/>
        </w:rPr>
        <w:t xml:space="preserve">Method</w:t>
      </w:r>
      <w:r>
        <w:t xml:space="preserve">:</w:t>
      </w:r>
      <w:r>
        <w:t xml:space="preserve"> </w:t>
      </w:r>
      <w:r>
        <w:rPr>
          <w:rStyle w:val="VerbatimChar"/>
        </w:rPr>
        <w:t xml:space="preserve">VerifyPassword</w:t>
      </w:r>
    </w:p>
    <w:p>
      <w:pPr>
        <w:pStyle w:val="Compact"/>
        <w:numPr>
          <w:ilvl w:val="0"/>
          <w:numId w:val="1681"/>
        </w:numPr>
      </w:pPr>
      <w:r>
        <w:rPr>
          <w:b/>
          <w:bCs/>
        </w:rPr>
        <w:t xml:space="preserve">Arguments</w:t>
      </w:r>
      <w:r>
        <w:t xml:space="preserve">:</w:t>
      </w:r>
      <w:r>
        <w:t xml:space="preserve"> </w:t>
      </w:r>
      <w:r>
        <w:rPr>
          <w:rStyle w:val="VerbatimChar"/>
        </w:rPr>
        <w:t xml:space="preserve">password</w:t>
      </w:r>
      <w:r>
        <w:t xml:space="preserve"> </w:t>
      </w:r>
      <w:r>
        <w:t xml:space="preserve">(String, required),</w:t>
      </w:r>
      <w:r>
        <w:t xml:space="preserve"> </w:t>
      </w:r>
      <w:r>
        <w:rPr>
          <w:rStyle w:val="VerbatimChar"/>
        </w:rPr>
        <w:t xml:space="preserve">hash</w:t>
      </w:r>
      <w:r>
        <w:t xml:space="preserve"> </w:t>
      </w:r>
      <w:r>
        <w:t xml:space="preserve">(String, required)</w:t>
      </w:r>
    </w:p>
    <w:p>
      <w:pPr>
        <w:pStyle w:val="Compact"/>
        <w:numPr>
          <w:ilvl w:val="0"/>
          <w:numId w:val="1681"/>
        </w:numPr>
      </w:pPr>
      <w:r>
        <w:rPr>
          <w:b/>
          <w:bCs/>
        </w:rPr>
        <w:t xml:space="preserve">Returns</w:t>
      </w:r>
      <w:r>
        <w:t xml:space="preserve">: Boolean —</w:t>
      </w:r>
      <w:r>
        <w:t xml:space="preserve"> </w:t>
      </w:r>
      <w:r>
        <w:rPr>
          <w:rStyle w:val="VerbatimChar"/>
        </w:rPr>
        <w:t xml:space="preserve">True</w:t>
      </w:r>
      <w:r>
        <w:t xml:space="preserve"> </w:t>
      </w:r>
      <w:r>
        <w:t xml:space="preserve">when password matches;</w:t>
      </w:r>
      <w:r>
        <w:t xml:space="preserve"> </w:t>
      </w:r>
      <w:r>
        <w:rPr>
          <w:rStyle w:val="VerbatimChar"/>
        </w:rPr>
        <w:t xml:space="preserve">False</w:t>
      </w:r>
      <w:r>
        <w:t xml:space="preserve"> </w:t>
      </w:r>
      <w:r>
        <w:t xml:space="preserve">otherwise</w:t>
      </w:r>
    </w:p>
    <w:bookmarkStart w:id="2779" w:name="properties-detail-1"/>
    <w:p>
      <w:pPr>
        <w:pStyle w:val="Heading3"/>
      </w:pPr>
      <w:r>
        <w:t xml:space="preserve">Properties Detail</w:t>
      </w:r>
    </w:p>
    <w:bookmarkEnd w:id="2779"/>
    <w:bookmarkEnd w:id="2780"/>
    <w:bookmarkEnd w:id="2781"/>
    <w:bookmarkStart w:id="2789" w:name="bcryptcost-property"/>
    <w:p>
      <w:pPr>
        <w:pStyle w:val="Heading1"/>
      </w:pPr>
      <w:r>
        <w:t xml:space="preserve">BCryptCost Property</w:t>
      </w:r>
    </w:p>
    <w:bookmarkStart w:id="2782" w:name="overview-263"/>
    <w:p>
      <w:pPr>
        <w:pStyle w:val="Heading2"/>
      </w:pPr>
      <w:r>
        <w:t xml:space="preserve">Overview</w:t>
      </w:r>
    </w:p>
    <w:p>
      <w:pPr>
        <w:pStyle w:val="FirstParagraph"/>
      </w:pPr>
      <w:r>
        <w:t xml:space="preserve">Gets or sets the bcrypt work factor used by</w:t>
      </w:r>
      <w:r>
        <w:t xml:space="preserve"> </w:t>
      </w:r>
      <w:r>
        <w:rPr>
          <w:rStyle w:val="VerbatimChar"/>
        </w:rPr>
        <w:t xml:space="preserve">HashPassword</w:t>
      </w:r>
      <w:r>
        <w:t xml:space="preserve">.</w:t>
      </w:r>
    </w:p>
    <w:bookmarkEnd w:id="2782"/>
    <w:bookmarkStart w:id="2783" w:name="prerequisites-11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83"/>
    <w:bookmarkStart w:id="2784" w:name="syntax-275"/>
    <w:p>
      <w:pPr>
        <w:pStyle w:val="Heading2"/>
      </w:pPr>
      <w:r>
        <w:t xml:space="preserve">Syntax</w:t>
      </w:r>
    </w:p>
    <w:p>
      <w:pPr>
        <w:pStyle w:val="SourceCode"/>
      </w:pPr>
      <w:r>
        <w:rPr>
          <w:rStyle w:val="NormalTok"/>
        </w:rPr>
        <w:t xml:space="preserve">' Get current cost</w:t>
      </w:r>
      <w:r>
        <w:br/>
      </w:r>
      <w:r>
        <w:rPr>
          <w:rStyle w:val="NormalTok"/>
        </w:rPr>
        <w:t xml:space="preserve">cost = crypto.BCryptCost</w:t>
      </w:r>
      <w:r>
        <w:br/>
      </w:r>
      <w:r>
        <w:br/>
      </w:r>
      <w:r>
        <w:rPr>
          <w:rStyle w:val="NormalTok"/>
        </w:rPr>
        <w:t xml:space="preserve">' Set new cost</w:t>
      </w:r>
      <w:r>
        <w:br/>
      </w:r>
      <w:r>
        <w:rPr>
          <w:rStyle w:val="NormalTok"/>
        </w:rPr>
        <w:t xml:space="preserve">crypto.BCryptCost = 12</w:t>
      </w:r>
    </w:p>
    <w:bookmarkEnd w:id="2784"/>
    <w:bookmarkStart w:id="2785" w:name="return-value-199"/>
    <w:p>
      <w:pPr>
        <w:pStyle w:val="Heading2"/>
      </w:pPr>
      <w:r>
        <w:t xml:space="preserve">Return Value</w:t>
      </w:r>
    </w:p>
    <w:p>
      <w:pPr>
        <w:pStyle w:val="Compact"/>
        <w:numPr>
          <w:ilvl w:val="0"/>
          <w:numId w:val="1682"/>
        </w:numPr>
      </w:pPr>
      <w:r>
        <w:rPr>
          <w:b/>
          <w:bCs/>
        </w:rPr>
        <w:t xml:space="preserve">Integer</w:t>
      </w:r>
      <w:r>
        <w:t xml:space="preserve">: Current bcrypt work factor.</w:t>
      </w:r>
    </w:p>
    <w:bookmarkEnd w:id="2785"/>
    <w:bookmarkStart w:id="2786" w:name="remarks-249"/>
    <w:p>
      <w:pPr>
        <w:pStyle w:val="Heading2"/>
      </w:pPr>
      <w:r>
        <w:t xml:space="preserve">Remarks</w:t>
      </w:r>
    </w:p>
    <w:p>
      <w:pPr>
        <w:pStyle w:val="Compact"/>
        <w:numPr>
          <w:ilvl w:val="0"/>
          <w:numId w:val="1683"/>
        </w:numPr>
      </w:pPr>
      <w:r>
        <w:t xml:space="preserve">Default value is</w:t>
      </w:r>
      <w:r>
        <w:t xml:space="preserve"> </w:t>
      </w:r>
      <w:r>
        <w:rPr>
          <w:rStyle w:val="VerbatimChar"/>
        </w:rPr>
        <w:t xml:space="preserve">10</w:t>
      </w:r>
      <w:r>
        <w:t xml:space="preserve">.</w:t>
      </w:r>
    </w:p>
    <w:p>
      <w:pPr>
        <w:pStyle w:val="Compact"/>
        <w:numPr>
          <w:ilvl w:val="0"/>
          <w:numId w:val="1683"/>
        </w:numPr>
      </w:pPr>
      <w:r>
        <w:t xml:space="preserve">Valid range is</w:t>
      </w:r>
      <w:r>
        <w:t xml:space="preserve"> </w:t>
      </w:r>
      <w:r>
        <w:rPr>
          <w:rStyle w:val="VerbatimChar"/>
        </w:rPr>
        <w:t xml:space="preserve">4..31</w:t>
      </w:r>
      <w:r>
        <w:t xml:space="preserve">.</w:t>
      </w:r>
    </w:p>
    <w:p>
      <w:pPr>
        <w:pStyle w:val="Compact"/>
        <w:numPr>
          <w:ilvl w:val="0"/>
          <w:numId w:val="1683"/>
        </w:numPr>
      </w:pPr>
      <w:r>
        <w:t xml:space="preserve">Setting values outside</w:t>
      </w:r>
      <w:r>
        <w:t xml:space="preserve"> </w:t>
      </w:r>
      <w:r>
        <w:rPr>
          <w:rStyle w:val="VerbatimChar"/>
        </w:rPr>
        <w:t xml:space="preserve">4..31</w:t>
      </w:r>
      <w:r>
        <w:t xml:space="preserve"> </w:t>
      </w:r>
      <w:r>
        <w:t xml:space="preserve">has no effect.</w:t>
      </w:r>
    </w:p>
    <w:p>
      <w:pPr>
        <w:pStyle w:val="Compact"/>
        <w:numPr>
          <w:ilvl w:val="0"/>
          <w:numId w:val="1683"/>
        </w:numPr>
      </w:pPr>
      <w:r>
        <w:t xml:space="preserve">Higher values increase CPU time for hashing and verification.</w:t>
      </w:r>
    </w:p>
    <w:bookmarkEnd w:id="2786"/>
    <w:bookmarkStart w:id="2787" w:name="api-reference-120"/>
    <w:p>
      <w:pPr>
        <w:pStyle w:val="Heading2"/>
      </w:pPr>
      <w:r>
        <w:t xml:space="preserve">API Reference</w:t>
      </w:r>
    </w:p>
    <w:p>
      <w:pPr>
        <w:pStyle w:val="Compact"/>
        <w:numPr>
          <w:ilvl w:val="0"/>
          <w:numId w:val="1684"/>
        </w:numPr>
      </w:pPr>
      <w:r>
        <w:rPr>
          <w:b/>
          <w:bCs/>
        </w:rPr>
        <w:t xml:space="preserve">Object</w:t>
      </w:r>
      <w:r>
        <w:t xml:space="preserve">:</w:t>
      </w:r>
      <w:r>
        <w:t xml:space="preserve"> </w:t>
      </w:r>
      <w:r>
        <w:rPr>
          <w:rStyle w:val="VerbatimChar"/>
        </w:rPr>
        <w:t xml:space="preserve">G3CRYPTO</w:t>
      </w:r>
    </w:p>
    <w:p>
      <w:pPr>
        <w:pStyle w:val="Compact"/>
        <w:numPr>
          <w:ilvl w:val="0"/>
          <w:numId w:val="1684"/>
        </w:numPr>
      </w:pPr>
      <w:r>
        <w:rPr>
          <w:b/>
          <w:bCs/>
        </w:rPr>
        <w:t xml:space="preserve">Property</w:t>
      </w:r>
      <w:r>
        <w:t xml:space="preserve">:</w:t>
      </w:r>
      <w:r>
        <w:t xml:space="preserve"> </w:t>
      </w:r>
      <w:r>
        <w:rPr>
          <w:rStyle w:val="VerbatimChar"/>
        </w:rPr>
        <w:t xml:space="preserve">BCryptCost</w:t>
      </w:r>
    </w:p>
    <w:p>
      <w:pPr>
        <w:pStyle w:val="Compact"/>
        <w:numPr>
          <w:ilvl w:val="0"/>
          <w:numId w:val="1684"/>
        </w:numPr>
      </w:pPr>
      <w:r>
        <w:rPr>
          <w:b/>
          <w:bCs/>
        </w:rPr>
        <w:t xml:space="preserve">Access</w:t>
      </w:r>
      <w:r>
        <w:t xml:space="preserve">: Read/Write</w:t>
      </w:r>
    </w:p>
    <w:p>
      <w:pPr>
        <w:pStyle w:val="Compact"/>
        <w:numPr>
          <w:ilvl w:val="0"/>
          <w:numId w:val="1684"/>
        </w:numPr>
      </w:pPr>
      <w:r>
        <w:rPr>
          <w:b/>
          <w:bCs/>
        </w:rPr>
        <w:t xml:space="preserve">Type</w:t>
      </w:r>
      <w:r>
        <w:t xml:space="preserve">: Integer</w:t>
      </w:r>
    </w:p>
    <w:p>
      <w:pPr>
        <w:pStyle w:val="Compact"/>
        <w:numPr>
          <w:ilvl w:val="0"/>
          <w:numId w:val="1684"/>
        </w:numPr>
      </w:pPr>
      <w:r>
        <w:rPr>
          <w:b/>
          <w:bCs/>
        </w:rPr>
        <w:t xml:space="preserve">Valid Set Range</w:t>
      </w:r>
      <w:r>
        <w:t xml:space="preserve">:</w:t>
      </w:r>
      <w:r>
        <w:t xml:space="preserve"> </w:t>
      </w:r>
      <w:r>
        <w:rPr>
          <w:rStyle w:val="VerbatimChar"/>
        </w:rPr>
        <w:t xml:space="preserve">4..31</w:t>
      </w:r>
    </w:p>
    <w:bookmarkEnd w:id="2787"/>
    <w:bookmarkStart w:id="2788" w:name="code-example-9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crypto.BCryptCost = </w:t>
      </w:r>
      <w:r>
        <w:rPr>
          <w:rStyle w:val="DecValTok"/>
        </w:rPr>
        <w:t xml:space="preserve">12</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"New BCrypt Cost: "</w:t>
      </w:r>
      <w:r>
        <w:rPr>
          <w:rStyle w:val="NormalTok"/>
        </w:rPr>
        <w:t xml:space="preserve"> </w:t>
      </w:r>
      <w:r>
        <w:rPr>
          <w:rStyle w:val="KeywordTok"/>
        </w:rPr>
        <w:t xml:space="preserve">&amp;</w:t>
      </w:r>
      <w:r>
        <w:rPr>
          <w:rStyle w:val="NormalTok"/>
        </w:rPr>
        <w:t xml:space="preserve"> crypto.BCryptCost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88"/>
    <w:bookmarkEnd w:id="2789"/>
    <w:bookmarkStart w:id="2797" w:name="canreusetransform-property"/>
    <w:p>
      <w:pPr>
        <w:pStyle w:val="Heading1"/>
      </w:pPr>
      <w:r>
        <w:t xml:space="preserve">CanReuseTransform Property</w:t>
      </w:r>
    </w:p>
    <w:bookmarkStart w:id="2790" w:name="overview-264"/>
    <w:p>
      <w:pPr>
        <w:pStyle w:val="Heading2"/>
      </w:pPr>
      <w:r>
        <w:t xml:space="preserve">Overview</w:t>
      </w:r>
    </w:p>
    <w:p>
      <w:pPr>
        <w:pStyle w:val="FirstParagraph"/>
      </w:pPr>
      <w:r>
        <w:t xml:space="preserve">Indicates whether the crypto transform can be reused across operations.</w:t>
      </w:r>
    </w:p>
    <w:bookmarkEnd w:id="2790"/>
    <w:bookmarkStart w:id="2791" w:name="prerequisites-11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91"/>
    <w:bookmarkStart w:id="2792" w:name="syntax-276"/>
    <w:p>
      <w:pPr>
        <w:pStyle w:val="Heading2"/>
      </w:pPr>
      <w:r>
        <w:t xml:space="preserve">Syntax</w:t>
      </w:r>
    </w:p>
    <w:p>
      <w:pPr>
        <w:pStyle w:val="SourceCode"/>
      </w:pPr>
      <w:r>
        <w:rPr>
          <w:rStyle w:val="NormalTok"/>
        </w:rPr>
        <w:t xml:space="preserve">isReusable = crypto.CanReuseTransform</w:t>
      </w:r>
    </w:p>
    <w:bookmarkEnd w:id="2792"/>
    <w:bookmarkStart w:id="2793" w:name="return-value-200"/>
    <w:p>
      <w:pPr>
        <w:pStyle w:val="Heading2"/>
      </w:pPr>
      <w:r>
        <w:t xml:space="preserve">Return Value</w:t>
      </w:r>
    </w:p>
    <w:p>
      <w:pPr>
        <w:pStyle w:val="Compact"/>
        <w:numPr>
          <w:ilvl w:val="0"/>
          <w:numId w:val="1685"/>
        </w:numPr>
      </w:pPr>
      <w:r>
        <w:rPr>
          <w:b/>
          <w:bCs/>
        </w:rPr>
        <w:t xml:space="preserve">Boolean</w:t>
      </w:r>
      <w:r>
        <w:t xml:space="preserve">: Always</w:t>
      </w:r>
      <w:r>
        <w:t xml:space="preserve"> </w:t>
      </w:r>
      <w:r>
        <w:rPr>
          <w:rStyle w:val="VerbatimChar"/>
        </w:rPr>
        <w:t xml:space="preserve">True</w:t>
      </w:r>
      <w:r>
        <w:t xml:space="preserve">.</w:t>
      </w:r>
    </w:p>
    <w:bookmarkEnd w:id="2793"/>
    <w:bookmarkStart w:id="2794" w:name="remarks-250"/>
    <w:p>
      <w:pPr>
        <w:pStyle w:val="Heading2"/>
      </w:pPr>
      <w:r>
        <w:t xml:space="preserve">Remarks</w:t>
      </w:r>
    </w:p>
    <w:p>
      <w:pPr>
        <w:pStyle w:val="Compact"/>
        <w:numPr>
          <w:ilvl w:val="0"/>
          <w:numId w:val="1686"/>
        </w:numPr>
      </w:pPr>
      <w:r>
        <w:t xml:space="preserve">This property is provided for compatibility.</w:t>
      </w:r>
    </w:p>
    <w:p>
      <w:pPr>
        <w:pStyle w:val="Compact"/>
        <w:numPr>
          <w:ilvl w:val="0"/>
          <w:numId w:val="1686"/>
        </w:numPr>
      </w:pPr>
      <w:r>
        <w:t xml:space="preserve">It is not a runtime capability probe because the value is constant.</w:t>
      </w:r>
    </w:p>
    <w:bookmarkEnd w:id="2794"/>
    <w:bookmarkStart w:id="2795" w:name="api-reference-121"/>
    <w:p>
      <w:pPr>
        <w:pStyle w:val="Heading2"/>
      </w:pPr>
      <w:r>
        <w:t xml:space="preserve">API Reference</w:t>
      </w:r>
    </w:p>
    <w:p>
      <w:pPr>
        <w:pStyle w:val="Compact"/>
        <w:numPr>
          <w:ilvl w:val="0"/>
          <w:numId w:val="1687"/>
        </w:numPr>
      </w:pPr>
      <w:r>
        <w:rPr>
          <w:b/>
          <w:bCs/>
        </w:rPr>
        <w:t xml:space="preserve">Object</w:t>
      </w:r>
      <w:r>
        <w:t xml:space="preserve">:</w:t>
      </w:r>
      <w:r>
        <w:t xml:space="preserve"> </w:t>
      </w:r>
      <w:r>
        <w:rPr>
          <w:rStyle w:val="VerbatimChar"/>
        </w:rPr>
        <w:t xml:space="preserve">G3CRYPTO</w:t>
      </w:r>
    </w:p>
    <w:p>
      <w:pPr>
        <w:pStyle w:val="Compact"/>
        <w:numPr>
          <w:ilvl w:val="0"/>
          <w:numId w:val="1687"/>
        </w:numPr>
      </w:pPr>
      <w:r>
        <w:rPr>
          <w:b/>
          <w:bCs/>
        </w:rPr>
        <w:t xml:space="preserve">Property</w:t>
      </w:r>
      <w:r>
        <w:t xml:space="preserve">:</w:t>
      </w:r>
      <w:r>
        <w:t xml:space="preserve"> </w:t>
      </w:r>
      <w:r>
        <w:rPr>
          <w:rStyle w:val="VerbatimChar"/>
        </w:rPr>
        <w:t xml:space="preserve">CanReuseTransform</w:t>
      </w:r>
    </w:p>
    <w:p>
      <w:pPr>
        <w:pStyle w:val="Compact"/>
        <w:numPr>
          <w:ilvl w:val="0"/>
          <w:numId w:val="1687"/>
        </w:numPr>
      </w:pPr>
      <w:r>
        <w:rPr>
          <w:b/>
          <w:bCs/>
        </w:rPr>
        <w:t xml:space="preserve">Access</w:t>
      </w:r>
      <w:r>
        <w:t xml:space="preserve">: Read-only</w:t>
      </w:r>
    </w:p>
    <w:p>
      <w:pPr>
        <w:pStyle w:val="Compact"/>
        <w:numPr>
          <w:ilvl w:val="0"/>
          <w:numId w:val="1687"/>
        </w:numPr>
      </w:pPr>
      <w:r>
        <w:rPr>
          <w:b/>
          <w:bCs/>
        </w:rPr>
        <w:t xml:space="preserve">Type</w:t>
      </w:r>
      <w:r>
        <w:t xml:space="preserve">: Boolean (</w:t>
      </w:r>
      <w:r>
        <w:rPr>
          <w:rStyle w:val="VerbatimChar"/>
        </w:rPr>
        <w:t xml:space="preserve">True</w:t>
      </w:r>
      <w:r>
        <w:t xml:space="preserve">)</w:t>
      </w:r>
    </w:p>
    <w:bookmarkEnd w:id="2795"/>
    <w:bookmarkStart w:id="2796" w:name="code-example-9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ControlFlowTok"/>
        </w:rPr>
        <w:t xml:space="preserve">If</w:t>
      </w:r>
      <w:r>
        <w:rPr>
          <w:rStyle w:val="NormalTok"/>
        </w:rPr>
        <w:t xml:space="preserve"> crypto.CanReuseTransform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"Transform is reusable"</w:t>
      </w:r>
      <w:r>
        <w:br/>
      </w:r>
      <w:r>
        <w:rPr>
          <w:rStyle w:val="ControlFlowTok"/>
        </w:rPr>
        <w:t xml:space="preserve">End If</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796"/>
    <w:bookmarkEnd w:id="2797"/>
    <w:bookmarkStart w:id="2805" w:name="hash-property"/>
    <w:p>
      <w:pPr>
        <w:pStyle w:val="Heading1"/>
      </w:pPr>
      <w:r>
        <w:t xml:space="preserve">Hash Property</w:t>
      </w:r>
    </w:p>
    <w:bookmarkStart w:id="2798" w:name="overview-265"/>
    <w:p>
      <w:pPr>
        <w:pStyle w:val="Heading2"/>
      </w:pPr>
      <w:r>
        <w:t xml:space="preserve">Overview</w:t>
      </w:r>
    </w:p>
    <w:p>
      <w:pPr>
        <w:pStyle w:val="FirstParagraph"/>
      </w:pPr>
      <w:r>
        <w:t xml:space="preserve">Returns the raw byte array from the latest digest operation that updates internal hash state.</w:t>
      </w:r>
    </w:p>
    <w:bookmarkEnd w:id="2798"/>
    <w:bookmarkStart w:id="2799" w:name="prerequisites-11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799"/>
    <w:bookmarkStart w:id="2800" w:name="syntax-277"/>
    <w:p>
      <w:pPr>
        <w:pStyle w:val="Heading2"/>
      </w:pPr>
      <w:r>
        <w:t xml:space="preserve">Syntax</w:t>
      </w:r>
    </w:p>
    <w:p>
      <w:pPr>
        <w:pStyle w:val="SourceCode"/>
      </w:pPr>
      <w:r>
        <w:rPr>
          <w:rStyle w:val="NormalTok"/>
        </w:rPr>
        <w:t xml:space="preserve">byteArray = crypto.Hash</w:t>
      </w:r>
    </w:p>
    <w:bookmarkEnd w:id="2800"/>
    <w:bookmarkStart w:id="2801" w:name="return-value-201"/>
    <w:p>
      <w:pPr>
        <w:pStyle w:val="Heading2"/>
      </w:pPr>
      <w:r>
        <w:t xml:space="preserve">Return Value</w:t>
      </w:r>
    </w:p>
    <w:p>
      <w:pPr>
        <w:pStyle w:val="Compact"/>
        <w:numPr>
          <w:ilvl w:val="0"/>
          <w:numId w:val="1688"/>
        </w:numPr>
      </w:pPr>
      <w:r>
        <w:rPr>
          <w:b/>
          <w:bCs/>
        </w:rPr>
        <w:t xml:space="preserve">Array</w:t>
      </w:r>
      <w:r>
        <w:t xml:space="preserve">: Zero-based VBScript byte array.</w:t>
      </w:r>
    </w:p>
    <w:p>
      <w:pPr>
        <w:pStyle w:val="Compact"/>
        <w:numPr>
          <w:ilvl w:val="0"/>
          <w:numId w:val="1688"/>
        </w:numPr>
      </w:pPr>
      <w:r>
        <w:rPr>
          <w:b/>
          <w:bCs/>
        </w:rPr>
        <w:t xml:space="preserve">Array (empty)</w:t>
      </w:r>
      <w:r>
        <w:t xml:space="preserve">: Returned when no digest bytes are currently stored.</w:t>
      </w:r>
    </w:p>
    <w:bookmarkEnd w:id="2801"/>
    <w:bookmarkStart w:id="2802" w:name="remarks-251"/>
    <w:p>
      <w:pPr>
        <w:pStyle w:val="Heading2"/>
      </w:pPr>
      <w:r>
        <w:t xml:space="preserve">Remarks</w:t>
      </w:r>
    </w:p>
    <w:p>
      <w:pPr>
        <w:pStyle w:val="Compact"/>
        <w:numPr>
          <w:ilvl w:val="0"/>
          <w:numId w:val="1689"/>
        </w:numPr>
      </w:pPr>
      <w:r>
        <w:t xml:space="preserve">Updated by digest operations that store internal bytes, including</w:t>
      </w:r>
      <w:r>
        <w:t xml:space="preserve"> </w:t>
      </w:r>
      <w:r>
        <w:rPr>
          <w:rStyle w:val="VerbatimChar"/>
        </w:rPr>
        <w:t xml:space="preserve">ComputeHash</w:t>
      </w:r>
      <w:r>
        <w:t xml:space="preserve">,</w:t>
      </w:r>
      <w:r>
        <w:t xml:space="preserve"> </w:t>
      </w:r>
      <w:r>
        <w:rPr>
          <w:rStyle w:val="VerbatimChar"/>
        </w:rPr>
        <w:t xml:space="preserve">HmacSha256</w:t>
      </w:r>
      <w:r>
        <w:t xml:space="preserve">,</w:t>
      </w:r>
      <w:r>
        <w:t xml:space="preserve"> </w:t>
      </w:r>
      <w:r>
        <w:rPr>
          <w:rStyle w:val="VerbatimChar"/>
        </w:rPr>
        <w:t xml:space="preserve">HmacSha512</w:t>
      </w:r>
      <w:r>
        <w:t xml:space="preserve">, and</w:t>
      </w:r>
      <w:r>
        <w:t xml:space="preserve"> </w:t>
      </w:r>
      <w:r>
        <w:rPr>
          <w:rStyle w:val="VerbatimChar"/>
        </w:rPr>
        <w:t xml:space="preserve">Pbkdf2Sha256</w:t>
      </w:r>
      <w:r>
        <w:t xml:space="preserve">.</w:t>
      </w:r>
    </w:p>
    <w:p>
      <w:pPr>
        <w:pStyle w:val="Compact"/>
        <w:numPr>
          <w:ilvl w:val="0"/>
          <w:numId w:val="1689"/>
        </w:numPr>
      </w:pPr>
      <w:r>
        <w:t xml:space="preserve">Cleared by</w:t>
      </w:r>
      <w:r>
        <w:t xml:space="preserve"> </w:t>
      </w:r>
      <w:r>
        <w:rPr>
          <w:rStyle w:val="VerbatimChar"/>
        </w:rPr>
        <w:t xml:space="preserve">Initialize</w:t>
      </w:r>
      <w:r>
        <w:t xml:space="preserve">.</w:t>
      </w:r>
    </w:p>
    <w:p>
      <w:pPr>
        <w:pStyle w:val="Compact"/>
        <w:numPr>
          <w:ilvl w:val="0"/>
          <w:numId w:val="1689"/>
        </w:numPr>
      </w:pPr>
      <w:r>
        <w:t xml:space="preserve">Hex-returning digest methods such as</w:t>
      </w:r>
      <w:r>
        <w:t xml:space="preserve"> </w:t>
      </w:r>
      <w:r>
        <w:rPr>
          <w:rStyle w:val="VerbatimChar"/>
        </w:rPr>
        <w:t xml:space="preserve">SHA256</w:t>
      </w:r>
      <w:r>
        <w:t xml:space="preserve"> </w:t>
      </w:r>
      <w:r>
        <w:t xml:space="preserve">return text and do not update this property.</w:t>
      </w:r>
    </w:p>
    <w:bookmarkEnd w:id="2802"/>
    <w:bookmarkStart w:id="2803" w:name="api-reference-122"/>
    <w:p>
      <w:pPr>
        <w:pStyle w:val="Heading2"/>
      </w:pPr>
      <w:r>
        <w:t xml:space="preserve">API Reference</w:t>
      </w:r>
    </w:p>
    <w:p>
      <w:pPr>
        <w:pStyle w:val="Compact"/>
        <w:numPr>
          <w:ilvl w:val="0"/>
          <w:numId w:val="1690"/>
        </w:numPr>
      </w:pPr>
      <w:r>
        <w:rPr>
          <w:b/>
          <w:bCs/>
        </w:rPr>
        <w:t xml:space="preserve">Object</w:t>
      </w:r>
      <w:r>
        <w:t xml:space="preserve">:</w:t>
      </w:r>
      <w:r>
        <w:t xml:space="preserve"> </w:t>
      </w:r>
      <w:r>
        <w:rPr>
          <w:rStyle w:val="VerbatimChar"/>
        </w:rPr>
        <w:t xml:space="preserve">G3CRYPTO</w:t>
      </w:r>
    </w:p>
    <w:p>
      <w:pPr>
        <w:pStyle w:val="Compact"/>
        <w:numPr>
          <w:ilvl w:val="0"/>
          <w:numId w:val="1690"/>
        </w:numPr>
      </w:pPr>
      <w:r>
        <w:rPr>
          <w:b/>
          <w:bCs/>
        </w:rPr>
        <w:t xml:space="preserve">Property</w:t>
      </w:r>
      <w:r>
        <w:t xml:space="preserve">:</w:t>
      </w:r>
      <w:r>
        <w:t xml:space="preserve"> </w:t>
      </w:r>
      <w:r>
        <w:rPr>
          <w:rStyle w:val="VerbatimChar"/>
        </w:rPr>
        <w:t xml:space="preserve">Hash</w:t>
      </w:r>
    </w:p>
    <w:p>
      <w:pPr>
        <w:pStyle w:val="Compact"/>
        <w:numPr>
          <w:ilvl w:val="0"/>
          <w:numId w:val="1690"/>
        </w:numPr>
      </w:pPr>
      <w:r>
        <w:rPr>
          <w:b/>
          <w:bCs/>
        </w:rPr>
        <w:t xml:space="preserve">Access</w:t>
      </w:r>
      <w:r>
        <w:t xml:space="preserve">: Read-only</w:t>
      </w:r>
    </w:p>
    <w:p>
      <w:pPr>
        <w:pStyle w:val="Compact"/>
        <w:numPr>
          <w:ilvl w:val="0"/>
          <w:numId w:val="1690"/>
        </w:numPr>
      </w:pPr>
      <w:r>
        <w:rPr>
          <w:b/>
          <w:bCs/>
        </w:rPr>
        <w:t xml:space="preserve">Type</w:t>
      </w:r>
      <w:r>
        <w:t xml:space="preserve">: Array (byte values)</w:t>
      </w:r>
    </w:p>
    <w:bookmarkEnd w:id="2803"/>
    <w:bookmarkStart w:id="2804" w:name="code-example-9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rPr>
          <w:rStyle w:val="OtherTok"/>
        </w:rPr>
        <w:t xml:space="preserve">,</w:t>
      </w:r>
      <w:r>
        <w:rPr>
          <w:rStyle w:val="NormalTok"/>
        </w:rPr>
        <w:t xml:space="preserve"> rawHash</w:t>
      </w:r>
      <w:r>
        <w:rPr>
          <w:rStyle w:val="OtherTok"/>
        </w:rPr>
        <w:t xml:space="preserve">,</w:t>
      </w:r>
      <w:r>
        <w:rPr>
          <w:rStyle w:val="NormalTok"/>
        </w:rPr>
        <w:t xml:space="preserve"> i</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crypto.ComputeHash </w:t>
      </w:r>
      <w:r>
        <w:rPr>
          <w:rStyle w:val="StringTok"/>
        </w:rPr>
        <w:t xml:space="preserve">"Binary Output Test"</w:t>
      </w:r>
      <w:r>
        <w:rPr>
          <w:rStyle w:val="OtherTok"/>
        </w:rPr>
        <w:t xml:space="preserve">,</w:t>
      </w:r>
      <w:r>
        <w:rPr>
          <w:rStyle w:val="NormalTok"/>
        </w:rPr>
        <w:t xml:space="preserve"> </w:t>
      </w:r>
      <w:r>
        <w:rPr>
          <w:rStyle w:val="StringTok"/>
        </w:rPr>
        <w:t xml:space="preserve">"sha256"</w:t>
      </w:r>
      <w:r>
        <w:br/>
      </w:r>
      <w:r>
        <w:rPr>
          <w:rStyle w:val="NormalTok"/>
        </w:rPr>
        <w:t xml:space="preserve">rawHash = crypto.Hash</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"First 4 bytes: "</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DecValTok"/>
        </w:rPr>
        <w:t xml:space="preserve">3</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Hex</w:t>
      </w:r>
      <w:r>
        <w:rPr>
          <w:rStyle w:val="OtherTok"/>
        </w:rPr>
        <w:t xml:space="preserve">(</w:t>
      </w:r>
      <w:r>
        <w:rPr>
          <w:rStyle w:val="NormalTok"/>
        </w:rPr>
        <w:t xml:space="preserve">rawHash</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br/>
      </w:r>
      <w:r>
        <w:rPr>
          <w:rStyle w:val="ControlFlowTok"/>
        </w:rPr>
        <w:t xml:space="preserve">Next</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804"/>
    <w:bookmarkEnd w:id="2805"/>
    <w:bookmarkStart w:id="2814" w:name="hashsize-property"/>
    <w:p>
      <w:pPr>
        <w:pStyle w:val="Heading1"/>
      </w:pPr>
      <w:r>
        <w:t xml:space="preserve">HashSize Property</w:t>
      </w:r>
    </w:p>
    <w:bookmarkStart w:id="2806" w:name="overview-266"/>
    <w:p>
      <w:pPr>
        <w:pStyle w:val="Heading2"/>
      </w:pPr>
      <w:r>
        <w:t xml:space="preserve">Overview</w:t>
      </w:r>
    </w:p>
    <w:p>
      <w:pPr>
        <w:pStyle w:val="FirstParagraph"/>
      </w:pPr>
      <w:r>
        <w:t xml:space="preserve">Returns the digest size in bits for the current internal hash context.</w:t>
      </w:r>
    </w:p>
    <w:bookmarkEnd w:id="2806"/>
    <w:bookmarkStart w:id="2807" w:name="prerequisites-12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Server.CreateObject("G3CRYPTO")</w:t>
      </w:r>
      <w:r>
        <w:t xml:space="preserve">.</w:t>
      </w:r>
    </w:p>
    <w:bookmarkEnd w:id="2807"/>
    <w:bookmarkStart w:id="2808" w:name="syntax-278"/>
    <w:p>
      <w:pPr>
        <w:pStyle w:val="Heading2"/>
      </w:pPr>
      <w:r>
        <w:t xml:space="preserve">Syntax</w:t>
      </w:r>
    </w:p>
    <w:p>
      <w:pPr>
        <w:pStyle w:val="SourceCode"/>
      </w:pPr>
      <w:r>
        <w:rPr>
          <w:rStyle w:val="NormalTok"/>
        </w:rPr>
        <w:t xml:space="preserve">sizeBits = crypto.HashSize</w:t>
      </w:r>
    </w:p>
    <w:bookmarkEnd w:id="2808"/>
    <w:bookmarkStart w:id="2809" w:name="return-value-202"/>
    <w:p>
      <w:pPr>
        <w:pStyle w:val="Heading2"/>
      </w:pPr>
      <w:r>
        <w:t xml:space="preserve">Return Value</w:t>
      </w:r>
    </w:p>
    <w:p>
      <w:pPr>
        <w:pStyle w:val="Compact"/>
        <w:numPr>
          <w:ilvl w:val="0"/>
          <w:numId w:val="1691"/>
        </w:numPr>
      </w:pPr>
      <w:r>
        <w:rPr>
          <w:b/>
          <w:bCs/>
        </w:rPr>
        <w:t xml:space="preserve">Integer</w:t>
      </w:r>
      <w:r>
        <w:t xml:space="preserve">: Number of bits in the active digest context.</w:t>
      </w:r>
    </w:p>
    <w:p>
      <w:pPr>
        <w:pStyle w:val="Compact"/>
        <w:numPr>
          <w:ilvl w:val="0"/>
          <w:numId w:val="1691"/>
        </w:numPr>
      </w:pPr>
      <w:r>
        <w:rPr>
          <w:b/>
          <w:bCs/>
        </w:rPr>
        <w:t xml:space="preserve">Integer</w:t>
      </w:r>
      <w:r>
        <w:rPr>
          <w:b/>
          <w:bCs/>
        </w:rPr>
        <w:t xml:space="preserve"> </w:t>
      </w:r>
      <w:r>
        <w:rPr>
          <w:rStyle w:val="VerbatimChar"/>
          <w:b/>
          <w:bCs/>
        </w:rPr>
        <w:t xml:space="preserve">0</w:t>
      </w:r>
      <w:r>
        <w:t xml:space="preserve">: Returned when no digest context is available.</w:t>
      </w:r>
    </w:p>
    <w:bookmarkEnd w:id="2809"/>
    <w:bookmarkStart w:id="2810" w:name="remarks-252"/>
    <w:p>
      <w:pPr>
        <w:pStyle w:val="Heading2"/>
      </w:pPr>
      <w:r>
        <w:t xml:space="preserve">Remarks</w:t>
      </w:r>
    </w:p>
    <w:p>
      <w:pPr>
        <w:pStyle w:val="Compact"/>
        <w:numPr>
          <w:ilvl w:val="0"/>
          <w:numId w:val="1692"/>
        </w:numPr>
      </w:pPr>
      <w:r>
        <w:t xml:space="preserve">When a default algorithm is configured for the object, this property reflects that algorithm’s digest size.</w:t>
      </w:r>
    </w:p>
    <w:p>
      <w:pPr>
        <w:pStyle w:val="Compact"/>
        <w:numPr>
          <w:ilvl w:val="0"/>
          <w:numId w:val="1692"/>
        </w:numPr>
      </w:pPr>
      <w:r>
        <w:t xml:space="preserve">Otherwise, when raw digest bytes are stored, this property returns</w:t>
      </w:r>
      <w:r>
        <w:t xml:space="preserve"> </w:t>
      </w:r>
      <w:r>
        <w:rPr>
          <w:rStyle w:val="VerbatimChar"/>
        </w:rPr>
        <w:t xml:space="preserve">Len(Hash) * 8</w:t>
      </w:r>
      <w:r>
        <w:t xml:space="preserve">.</w:t>
      </w:r>
    </w:p>
    <w:p>
      <w:pPr>
        <w:pStyle w:val="Compact"/>
        <w:numPr>
          <w:ilvl w:val="0"/>
          <w:numId w:val="1692"/>
        </w:numPr>
      </w:pPr>
      <w:r>
        <w:t xml:space="preserve">Returns</w:t>
      </w:r>
      <w:r>
        <w:t xml:space="preserve"> </w:t>
      </w:r>
      <w:r>
        <w:rPr>
          <w:rStyle w:val="VerbatimChar"/>
        </w:rPr>
        <w:t xml:space="preserve">0</w:t>
      </w:r>
      <w:r>
        <w:t xml:space="preserve"> </w:t>
      </w:r>
      <w:r>
        <w:t xml:space="preserve">when neither algorithm context nor stored hash bytes exist.</w:t>
      </w:r>
    </w:p>
    <w:bookmarkEnd w:id="2810"/>
    <w:bookmarkStart w:id="2811" w:name="api-reference-123"/>
    <w:p>
      <w:pPr>
        <w:pStyle w:val="Heading2"/>
      </w:pPr>
      <w:r>
        <w:t xml:space="preserve">API Reference</w:t>
      </w:r>
    </w:p>
    <w:p>
      <w:pPr>
        <w:pStyle w:val="Compact"/>
        <w:numPr>
          <w:ilvl w:val="0"/>
          <w:numId w:val="1693"/>
        </w:numPr>
      </w:pPr>
      <w:r>
        <w:rPr>
          <w:b/>
          <w:bCs/>
        </w:rPr>
        <w:t xml:space="preserve">Object</w:t>
      </w:r>
      <w:r>
        <w:t xml:space="preserve">:</w:t>
      </w:r>
      <w:r>
        <w:t xml:space="preserve"> </w:t>
      </w:r>
      <w:r>
        <w:rPr>
          <w:rStyle w:val="VerbatimChar"/>
        </w:rPr>
        <w:t xml:space="preserve">G3CRYPTO</w:t>
      </w:r>
    </w:p>
    <w:p>
      <w:pPr>
        <w:pStyle w:val="Compact"/>
        <w:numPr>
          <w:ilvl w:val="0"/>
          <w:numId w:val="1693"/>
        </w:numPr>
      </w:pPr>
      <w:r>
        <w:rPr>
          <w:b/>
          <w:bCs/>
        </w:rPr>
        <w:t xml:space="preserve">Property</w:t>
      </w:r>
      <w:r>
        <w:t xml:space="preserve">:</w:t>
      </w:r>
      <w:r>
        <w:t xml:space="preserve"> </w:t>
      </w:r>
      <w:r>
        <w:rPr>
          <w:rStyle w:val="VerbatimChar"/>
        </w:rPr>
        <w:t xml:space="preserve">HashSize</w:t>
      </w:r>
    </w:p>
    <w:p>
      <w:pPr>
        <w:pStyle w:val="Compact"/>
        <w:numPr>
          <w:ilvl w:val="0"/>
          <w:numId w:val="1693"/>
        </w:numPr>
      </w:pPr>
      <w:r>
        <w:rPr>
          <w:b/>
          <w:bCs/>
        </w:rPr>
        <w:t xml:space="preserve">Access</w:t>
      </w:r>
      <w:r>
        <w:t xml:space="preserve">: Read-only</w:t>
      </w:r>
    </w:p>
    <w:p>
      <w:pPr>
        <w:pStyle w:val="Compact"/>
        <w:numPr>
          <w:ilvl w:val="0"/>
          <w:numId w:val="1693"/>
        </w:numPr>
      </w:pPr>
      <w:r>
        <w:rPr>
          <w:b/>
          <w:bCs/>
        </w:rPr>
        <w:t xml:space="preserve">Type</w:t>
      </w:r>
      <w:r>
        <w:t xml:space="preserve">: Integer</w:t>
      </w:r>
    </w:p>
    <w:bookmarkEnd w:id="2811"/>
    <w:bookmarkStart w:id="2812" w:name="code-example-10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crypto</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NormalTok"/>
        </w:rPr>
        <w:t xml:space="preserve">crypto.ComputeHash </w:t>
      </w:r>
      <w:r>
        <w:rPr>
          <w:rStyle w:val="StringTok"/>
        </w:rPr>
        <w:t xml:space="preserve">"Bit Size Test"</w:t>
      </w:r>
      <w:r>
        <w:rPr>
          <w:rStyle w:val="OtherTok"/>
        </w:rPr>
        <w:t xml:space="preserve">,</w:t>
      </w:r>
      <w:r>
        <w:rPr>
          <w:rStyle w:val="NormalTok"/>
        </w:rPr>
        <w:t xml:space="preserve"> </w:t>
      </w:r>
      <w:r>
        <w:rPr>
          <w:rStyle w:val="StringTok"/>
        </w:rPr>
        <w:t xml:space="preserve">"sha256"</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"Hash Size: "</w:t>
      </w:r>
      <w:r>
        <w:rPr>
          <w:rStyle w:val="NormalTok"/>
        </w:rPr>
        <w:t xml:space="preserve"> </w:t>
      </w:r>
      <w:r>
        <w:rPr>
          <w:rStyle w:val="KeywordTok"/>
        </w:rPr>
        <w:t xml:space="preserve">&amp;</w:t>
      </w:r>
      <w:r>
        <w:rPr>
          <w:rStyle w:val="NormalTok"/>
        </w:rPr>
        <w:t xml:space="preserve"> crypto.HashSize </w:t>
      </w:r>
      <w:r>
        <w:rPr>
          <w:rStyle w:val="KeywordTok"/>
        </w:rPr>
        <w:t xml:space="preserve">&amp;</w:t>
      </w:r>
      <w:r>
        <w:rPr>
          <w:rStyle w:val="NormalTok"/>
        </w:rPr>
        <w:t xml:space="preserve"> </w:t>
      </w:r>
      <w:r>
        <w:rPr>
          <w:rStyle w:val="StringTok"/>
        </w:rPr>
        <w:t xml:space="preserve">" bits"</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2812"/>
    <w:bookmarkStart w:id="2813" w:name="g3json"/>
    <w:p>
      <w:pPr>
        <w:pStyle w:val="Heading2"/>
      </w:pPr>
      <w:r>
        <w:t xml:space="preserve">G3JSON</w:t>
      </w:r>
    </w:p>
    <w:bookmarkEnd w:id="2813"/>
    <w:bookmarkEnd w:id="2814"/>
    <w:bookmarkStart w:id="2822" w:name="use-the-g3json-library"/>
    <w:p>
      <w:pPr>
        <w:pStyle w:val="Heading1"/>
      </w:pPr>
      <w:r>
        <w:t xml:space="preserve">Use the G3JSON Library</w:t>
      </w:r>
    </w:p>
    <w:bookmarkStart w:id="2815" w:name="overview-267"/>
    <w:p>
      <w:pPr>
        <w:pStyle w:val="Heading2"/>
      </w:pPr>
      <w:r>
        <w:t xml:space="preserve">Overview</w:t>
      </w:r>
    </w:p>
    <w:p>
      <w:pPr>
        <w:pStyle w:val="FirstParagraph"/>
      </w:pPr>
      <w:r>
        <w:t xml:space="preserve">Use</w:t>
      </w:r>
      <w:r>
        <w:t xml:space="preserve"> </w:t>
      </w:r>
      <w:r>
        <w:rPr>
          <w:b/>
          <w:bCs/>
        </w:rPr>
        <w:t xml:space="preserve">G3JSON</w:t>
      </w:r>
      <w:r>
        <w:t xml:space="preserve"> </w:t>
      </w:r>
      <w:r>
        <w:t xml:space="preserve">to parse JSON text into native G3Pix AxonASP values and serialize native values back to JSON text. The library is built into the runtime and supports object, array, and primitive JSON payloads. The Javascript implementation supports the full JSON specification, including Unicode characters and special number formats, this way you can rely on it for robust JSON handling in your server-side scripts without needing this library.</w:t>
      </w:r>
    </w:p>
    <w:bookmarkEnd w:id="2815"/>
    <w:bookmarkStart w:id="2816" w:name="prerequisites-121"/>
    <w:p>
      <w:pPr>
        <w:pStyle w:val="Heading2"/>
      </w:pPr>
      <w:r>
        <w:t xml:space="preserve">Prerequisites</w:t>
      </w:r>
    </w:p>
    <w:p>
      <w:pPr>
        <w:pStyle w:val="Compact"/>
        <w:numPr>
          <w:ilvl w:val="0"/>
          <w:numId w:val="1694"/>
        </w:numPr>
      </w:pPr>
      <w:r>
        <w:t xml:space="preserve">Use a running G3Pix AxonASP environment.</w:t>
      </w:r>
    </w:p>
    <w:p>
      <w:pPr>
        <w:pStyle w:val="Compact"/>
        <w:numPr>
          <w:ilvl w:val="0"/>
          <w:numId w:val="1694"/>
        </w:numPr>
      </w:pPr>
      <w:r>
        <w:t xml:space="preserve">Create the object with the primary ProgID:</w:t>
      </w:r>
    </w:p>
    <w:p>
      <w:pPr>
        <w:pStyle w:val="SourceCode"/>
      </w:pPr>
      <w:r>
        <w:rPr>
          <w:rStyle w:val="NormalTok"/>
        </w:rPr>
        <w:t xml:space="preserve">Dim json</w:t>
      </w:r>
      <w:r>
        <w:br/>
      </w:r>
      <w:r>
        <w:rPr>
          <w:rStyle w:val="NormalTok"/>
        </w:rPr>
        <w:t xml:space="preserve">Set json = Server.CreateObject("G3JSON")</w:t>
      </w:r>
    </w:p>
    <w:bookmarkEnd w:id="2816"/>
    <w:bookmarkStart w:id="2817" w:name="how-it-works-17"/>
    <w:p>
      <w:pPr>
        <w:pStyle w:val="Heading2"/>
      </w:pPr>
      <w:r>
        <w:t xml:space="preserve">How It Works</w:t>
      </w:r>
    </w:p>
    <w:p>
      <w:pPr>
        <w:pStyle w:val="Compact"/>
        <w:numPr>
          <w:ilvl w:val="0"/>
          <w:numId w:val="1695"/>
        </w:numPr>
      </w:pPr>
      <w:r>
        <w:rPr>
          <w:b/>
          <w:bCs/>
        </w:rPr>
        <w:t xml:space="preserve">Parse</w:t>
      </w:r>
      <w:r>
        <w:t xml:space="preserve"> </w:t>
      </w:r>
      <w:r>
        <w:t xml:space="preserve">and</w:t>
      </w:r>
      <w:r>
        <w:t xml:space="preserve"> </w:t>
      </w:r>
      <w:r>
        <w:rPr>
          <w:b/>
          <w:bCs/>
        </w:rPr>
        <w:t xml:space="preserve">LoadFile</w:t>
      </w:r>
      <w:r>
        <w:t xml:space="preserve"> </w:t>
      </w:r>
      <w:r>
        <w:t xml:space="preserve">convert JSON into AxonASP values.</w:t>
      </w:r>
    </w:p>
    <w:p>
      <w:pPr>
        <w:pStyle w:val="Compact"/>
        <w:numPr>
          <w:ilvl w:val="0"/>
          <w:numId w:val="1695"/>
        </w:numPr>
      </w:pPr>
      <w:r>
        <w:t xml:space="preserve">JSON objects become</w:t>
      </w:r>
      <w:r>
        <w:t xml:space="preserve"> </w:t>
      </w:r>
      <w:r>
        <w:rPr>
          <w:b/>
          <w:bCs/>
        </w:rPr>
        <w:t xml:space="preserve">Scripting.Dictionary</w:t>
      </w:r>
      <w:r>
        <w:t xml:space="preserve"> </w:t>
      </w:r>
      <w:r>
        <w:t xml:space="preserve">instances.</w:t>
      </w:r>
    </w:p>
    <w:p>
      <w:pPr>
        <w:pStyle w:val="Compact"/>
        <w:numPr>
          <w:ilvl w:val="0"/>
          <w:numId w:val="1695"/>
        </w:numPr>
      </w:pPr>
      <w:r>
        <w:t xml:space="preserve">JSON arrays become VBScript arrays.</w:t>
      </w:r>
    </w:p>
    <w:p>
      <w:pPr>
        <w:pStyle w:val="Compact"/>
        <w:numPr>
          <w:ilvl w:val="0"/>
          <w:numId w:val="1695"/>
        </w:numPr>
      </w:pPr>
      <w:r>
        <w:t xml:space="preserve">JSON primitives become scalar values (String, Integer/Double, Boolean, or Null).</w:t>
      </w:r>
    </w:p>
    <w:p>
      <w:pPr>
        <w:pStyle w:val="Compact"/>
        <w:numPr>
          <w:ilvl w:val="0"/>
          <w:numId w:val="1695"/>
        </w:numPr>
      </w:pPr>
      <w:r>
        <w:rPr>
          <w:b/>
          <w:bCs/>
        </w:rPr>
        <w:t xml:space="preserve">Stringify</w:t>
      </w:r>
      <w:r>
        <w:t xml:space="preserve"> </w:t>
      </w:r>
      <w:r>
        <w:t xml:space="preserve">converts native values to a JSON string.</w:t>
      </w:r>
    </w:p>
    <w:bookmarkEnd w:id="2817"/>
    <w:bookmarkStart w:id="2820" w:name="api-reference-124"/>
    <w:p>
      <w:pPr>
        <w:pStyle w:val="Heading2"/>
      </w:pPr>
      <w:r>
        <w:t xml:space="preserve">API Reference</w:t>
      </w:r>
    </w:p>
    <w:bookmarkStart w:id="2818" w:name="methods-9"/>
    <w:p>
      <w:pPr>
        <w:pStyle w:val="Heading3"/>
      </w:pPr>
      <w:r>
        <w:t xml:space="preserve">Methods</w:t>
      </w:r>
    </w:p>
    <w:p>
      <w:pPr>
        <w:pStyle w:val="Compact"/>
        <w:numPr>
          <w:ilvl w:val="0"/>
          <w:numId w:val="1696"/>
        </w:numPr>
      </w:pPr>
      <w:r>
        <w:rPr>
          <w:b/>
          <w:bCs/>
        </w:rPr>
        <w:t xml:space="preserve">LoadFile(path)</w:t>
      </w:r>
      <w:r>
        <w:t xml:space="preserve">: Returns parsed JSON from a file, or</w:t>
      </w:r>
      <w:r>
        <w:t xml:space="preserve"> </w:t>
      </w:r>
      <w:r>
        <w:rPr>
          <w:b/>
          <w:bCs/>
        </w:rPr>
        <w:t xml:space="preserve">Empty</w:t>
      </w:r>
      <w:r>
        <w:t xml:space="preserve"> </w:t>
      </w:r>
      <w:r>
        <w:t xml:space="preserve">on read/parse failure.</w:t>
      </w:r>
    </w:p>
    <w:p>
      <w:pPr>
        <w:pStyle w:val="Compact"/>
        <w:numPr>
          <w:ilvl w:val="0"/>
          <w:numId w:val="1696"/>
        </w:numPr>
      </w:pPr>
      <w:r>
        <w:rPr>
          <w:b/>
          <w:bCs/>
        </w:rPr>
        <w:t xml:space="preserve">NewArray()</w:t>
      </w:r>
      <w:r>
        <w:t xml:space="preserve">: Returns an empty VBScript array.</w:t>
      </w:r>
    </w:p>
    <w:p>
      <w:pPr>
        <w:pStyle w:val="Compact"/>
        <w:numPr>
          <w:ilvl w:val="0"/>
          <w:numId w:val="1696"/>
        </w:numPr>
      </w:pPr>
      <w:r>
        <w:rPr>
          <w:b/>
          <w:bCs/>
        </w:rPr>
        <w:t xml:space="preserve">NewObject()</w:t>
      </w:r>
      <w:r>
        <w:t xml:space="preserve">: Returns a new</w:t>
      </w:r>
      <w:r>
        <w:t xml:space="preserve"> </w:t>
      </w:r>
      <w:r>
        <w:rPr>
          <w:b/>
          <w:bCs/>
        </w:rPr>
        <w:t xml:space="preserve">Scripting.Dictionary</w:t>
      </w:r>
      <w:r>
        <w:t xml:space="preserve"> </w:t>
      </w:r>
      <w:r>
        <w:t xml:space="preserve">object.</w:t>
      </w:r>
    </w:p>
    <w:p>
      <w:pPr>
        <w:pStyle w:val="Compact"/>
        <w:numPr>
          <w:ilvl w:val="0"/>
          <w:numId w:val="1696"/>
        </w:numPr>
      </w:pPr>
      <w:r>
        <w:rPr>
          <w:b/>
          <w:bCs/>
        </w:rPr>
        <w:t xml:space="preserve">Parse(jsonText)</w:t>
      </w:r>
      <w:r>
        <w:t xml:space="preserve">: Returns parsed JSON value, or</w:t>
      </w:r>
      <w:r>
        <w:t xml:space="preserve"> </w:t>
      </w:r>
      <w:r>
        <w:rPr>
          <w:b/>
          <w:bCs/>
        </w:rPr>
        <w:t xml:space="preserve">Empty</w:t>
      </w:r>
      <w:r>
        <w:t xml:space="preserve"> </w:t>
      </w:r>
      <w:r>
        <w:t xml:space="preserve">when input is missing, empty, or invalid.</w:t>
      </w:r>
    </w:p>
    <w:p>
      <w:pPr>
        <w:pStyle w:val="Compact"/>
        <w:numPr>
          <w:ilvl w:val="0"/>
          <w:numId w:val="1696"/>
        </w:numPr>
      </w:pPr>
      <w:r>
        <w:rPr>
          <w:b/>
          <w:bCs/>
        </w:rPr>
        <w:t xml:space="preserve">Stringify(value)</w:t>
      </w:r>
      <w:r>
        <w:t xml:space="preserve">: Returns a JSON string, or an empty string when no argument is provided or serialization fails.</w:t>
      </w:r>
    </w:p>
    <w:bookmarkEnd w:id="2818"/>
    <w:bookmarkStart w:id="2819" w:name="properties-11"/>
    <w:p>
      <w:pPr>
        <w:pStyle w:val="Heading3"/>
      </w:pPr>
      <w:r>
        <w:t xml:space="preserve">Properties</w:t>
      </w:r>
    </w:p>
    <w:p>
      <w:pPr>
        <w:pStyle w:val="FirstParagraph"/>
      </w:pPr>
      <w:r>
        <w:t xml:space="preserve">G3JSON does not expose public properties.</w:t>
      </w:r>
    </w:p>
    <w:bookmarkEnd w:id="2819"/>
    <w:bookmarkEnd w:id="2820"/>
    <w:bookmarkStart w:id="2821" w:name="example-202"/>
    <w:p>
      <w:pPr>
        <w:pStyle w:val="Heading2"/>
      </w:pPr>
      <w:r>
        <w:t xml:space="preserve">Example</w:t>
      </w:r>
    </w:p>
    <w:p>
      <w:pPr>
        <w:pStyle w:val="SourceCode"/>
      </w:pPr>
      <w:r>
        <w:rPr>
          <w:rStyle w:val="DataTypeTok"/>
        </w:rPr>
        <w:t xml:space="preserve">&lt;%</w:t>
      </w:r>
      <w:r>
        <w:br/>
      </w:r>
      <w:r>
        <w:rPr>
          <w:rStyle w:val="KeywordTok"/>
        </w:rPr>
        <w:t xml:space="preserve">Dim</w:t>
      </w:r>
      <w:r>
        <w:rPr>
          <w:rStyle w:val="NormalTok"/>
        </w:rPr>
        <w:t xml:space="preserve"> json</w:t>
      </w:r>
      <w:r>
        <w:rPr>
          <w:rStyle w:val="OtherTok"/>
        </w:rPr>
        <w:t xml:space="preserve">,</w:t>
      </w:r>
      <w:r>
        <w:rPr>
          <w:rStyle w:val="NormalTok"/>
        </w:rPr>
        <w:t xml:space="preserve"> data</w:t>
      </w:r>
      <w:r>
        <w:rPr>
          <w:rStyle w:val="OtherTok"/>
        </w:rPr>
        <w:t xml:space="preserve">,</w:t>
      </w:r>
      <w:r>
        <w:rPr>
          <w:rStyle w:val="NormalTok"/>
        </w:rPr>
        <w:t xml:space="preserve"> payload</w:t>
      </w:r>
      <w:r>
        <w:br/>
      </w:r>
      <w:r>
        <w:rPr>
          <w:rStyle w:val="KeywordTok"/>
        </w:rPr>
        <w:t xml:space="preserve">Set</w:t>
      </w:r>
      <w:r>
        <w:rPr>
          <w:rStyle w:val="NormalTok"/>
        </w:rPr>
        <w:t xml:space="preserve"> json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"G3JSON"</w:t>
      </w:r>
      <w:r>
        <w:rPr>
          <w:rStyle w:val="OtherTok"/>
        </w:rPr>
        <w:t xml:space="preserve">)</w:t>
      </w:r>
      <w:r>
        <w:br/>
      </w:r>
      <w:r>
        <w:br/>
      </w:r>
      <w:r>
        <w:rPr>
          <w:rStyle w:val="KeywordTok"/>
        </w:rPr>
        <w:t xml:space="preserve">Set</w:t>
      </w:r>
      <w:r>
        <w:rPr>
          <w:rStyle w:val="NormalTok"/>
        </w:rPr>
        <w:t xml:space="preserve"> data = json.Parse</w:t>
      </w:r>
      <w:r>
        <w:rPr>
          <w:rStyle w:val="OtherTok"/>
        </w:rPr>
        <w:t xml:space="preserve">(</w:t>
      </w:r>
      <w:r>
        <w:rPr>
          <w:rStyle w:val="StringTok"/>
        </w:rPr>
        <w:t xml:space="preserve">"{</w:t>
      </w:r>
      <w:r>
        <w:rPr>
          <w:rStyle w:val="SpecialCharTok"/>
        </w:rPr>
        <w:t xml:space="preserve">""</w:t>
      </w:r>
      <w:r>
        <w:rPr>
          <w:rStyle w:val="StringTok"/>
        </w:rPr>
        <w:t xml:space="preserve">name</w:t>
      </w:r>
      <w:r>
        <w:rPr>
          <w:rStyle w:val="SpecialCharTok"/>
        </w:rPr>
        <w:t xml:space="preserve">""</w:t>
      </w:r>
      <w:r>
        <w:rPr>
          <w:rStyle w:val="StringTok"/>
        </w:rPr>
        <w:t xml:space="preserve">: </w:t>
      </w:r>
      <w:r>
        <w:rPr>
          <w:rStyle w:val="SpecialCharTok"/>
        </w:rPr>
        <w:t xml:space="preserve">""</w:t>
      </w:r>
      <w:r>
        <w:rPr>
          <w:rStyle w:val="StringTok"/>
        </w:rPr>
        <w:t xml:space="preserve">G3Pix AxonASP</w:t>
      </w:r>
      <w:r>
        <w:rPr>
          <w:rStyle w:val="SpecialCharTok"/>
        </w:rPr>
        <w:t xml:space="preserve">""</w:t>
      </w:r>
      <w:r>
        <w:rPr>
          <w:rStyle w:val="StringTok"/>
        </w:rPr>
        <w:t xml:space="preserve">, </w:t>
      </w:r>
      <w:r>
        <w:rPr>
          <w:rStyle w:val="SpecialCharTok"/>
        </w:rPr>
        <w:t xml:space="preserve">""</w:t>
      </w:r>
      <w:r>
        <w:rPr>
          <w:rStyle w:val="StringTok"/>
        </w:rPr>
        <w:t xml:space="preserve">version</w:t>
      </w:r>
      <w:r>
        <w:rPr>
          <w:rStyle w:val="SpecialCharTok"/>
        </w:rPr>
        <w:t xml:space="preserve">""</w:t>
      </w:r>
      <w:r>
        <w:rPr>
          <w:rStyle w:val="StringTok"/>
        </w:rPr>
        <w:t xml:space="preserve">: 2}"</w:t>
      </w:r>
      <w:r>
        <w:rPr>
          <w:rStyle w:val="OtherTok"/>
        </w:rPr>
        <w:t xml:space="preserve">)</w:t>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data</w:t>
      </w:r>
      <w:r>
        <w:rPr>
          <w:rStyle w:val="OtherTok"/>
        </w:rPr>
        <w:t xml:space="preserve">)</w:t>
      </w:r>
      <w:r>
        <w:rPr>
          <w:rStyle w:val="NormalTok"/>
        </w:rPr>
        <w:t xml:space="preserve"> </w:t>
      </w:r>
      <w:r>
        <w:rPr>
          <w:rStyle w:val="ControlFlowTok"/>
        </w:rPr>
        <w:t xml:space="preserve">Then</w:t>
      </w:r>
      <w:r>
        <w:br/>
      </w:r>
      <w:r>
        <w:rPr>
          <w:rStyle w:val="NormalTok"/>
        </w:rPr>
        <w:t xml:space="preserve">    data</w:t>
      </w:r>
      <w:r>
        <w:rPr>
          <w:rStyle w:val="OtherTok"/>
        </w:rPr>
        <w:t xml:space="preserve">(</w:t>
      </w:r>
      <w:r>
        <w:rPr>
          <w:rStyle w:val="StringTok"/>
        </w:rPr>
        <w:t xml:space="preserve">"version"</w:t>
      </w:r>
      <w:r>
        <w:rPr>
          <w:rStyle w:val="OtherTok"/>
        </w:rPr>
        <w:t xml:space="preserve">)</w:t>
      </w:r>
      <w:r>
        <w:rPr>
          <w:rStyle w:val="NormalTok"/>
        </w:rPr>
        <w:t xml:space="preserve"> = data</w:t>
      </w:r>
      <w:r>
        <w:rPr>
          <w:rStyle w:val="OtherTok"/>
        </w:rPr>
        <w:t xml:space="preserve">(</w:t>
      </w:r>
      <w:r>
        <w:rPr>
          <w:rStyle w:val="StringTok"/>
        </w:rPr>
        <w:t xml:space="preserve">"version"</w:t>
      </w:r>
      <w:r>
        <w:rPr>
          <w:rStyle w:val="OtherTok"/>
        </w:rPr>
        <w:t xml:space="preserve">)</w:t>
      </w:r>
      <w:r>
        <w:rPr>
          <w:rStyle w:val="NormalTok"/>
        </w:rPr>
        <w:t xml:space="preserve"> + </w:t>
      </w:r>
      <w:r>
        <w:rPr>
          <w:rStyle w:val="DecValTok"/>
        </w:rPr>
        <w:t xml:space="preserve">1</w:t>
      </w:r>
      <w:r>
        <w:br/>
      </w:r>
      <w:r>
        <w:rPr>
          <w:rStyle w:val="NormalTok"/>
        </w:rPr>
        <w:t xml:space="preserve">    payload = json.Stringify</w:t>
      </w:r>
      <w:r>
        <w:rPr>
          <w:rStyle w:val="OtherTok"/>
        </w:rPr>
        <w:t xml:space="preserve">(</w:t>
      </w:r>
      <w:r>
        <w:rPr>
          <w:rStyle w:val="NormalTok"/>
        </w:rPr>
        <w:t xml:space="preserve">data</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payload</w:t>
      </w:r>
      <w:r>
        <w:br/>
      </w:r>
      <w:r>
        <w:rPr>
          <w:rStyle w:val="ControlFlowTok"/>
        </w:rPr>
        <w:t xml:space="preserve">End If</w:t>
      </w:r>
      <w:r>
        <w:br/>
      </w:r>
      <w:r>
        <w:br/>
      </w:r>
      <w:r>
        <w:rPr>
          <w:rStyle w:val="KeywordTok"/>
        </w:rPr>
        <w:t xml:space="preserve">Set</w:t>
      </w:r>
      <w:r>
        <w:rPr>
          <w:rStyle w:val="NormalTok"/>
        </w:rPr>
        <w:t xml:space="preserve"> data = </w:t>
      </w:r>
      <w:r>
        <w:rPr>
          <w:rStyle w:val="KeywordTok"/>
        </w:rPr>
        <w:t xml:space="preserve">Nothing</w:t>
      </w:r>
      <w:r>
        <w:br/>
      </w:r>
      <w:r>
        <w:rPr>
          <w:rStyle w:val="KeywordTok"/>
        </w:rPr>
        <w:t xml:space="preserve">Set</w:t>
      </w:r>
      <w:r>
        <w:rPr>
          <w:rStyle w:val="NormalTok"/>
        </w:rPr>
        <w:t xml:space="preserve"> json = </w:t>
      </w:r>
      <w:r>
        <w:rPr>
          <w:rStyle w:val="KeywordTok"/>
        </w:rPr>
        <w:t xml:space="preserve">Nothing</w:t>
      </w:r>
      <w:r>
        <w:br/>
      </w:r>
      <w:r>
        <w:rPr>
          <w:rStyle w:val="DataTypeTok"/>
        </w:rPr>
        <w:t xml:space="preserve">%&gt;</w:t>
      </w:r>
    </w:p>
    <w:bookmarkEnd w:id="2821"/>
    <w:bookmarkEnd w:id="2822"/>
    <w:bookmarkStart w:id="2826" w:name="g3json-methods"/>
    <w:p>
      <w:pPr>
        <w:pStyle w:val="Heading1"/>
      </w:pPr>
      <w:r>
        <w:t xml:space="preserve">G3JSON Methods</w:t>
      </w:r>
    </w:p>
    <w:bookmarkStart w:id="2823" w:name="overview-268"/>
    <w:p>
      <w:pPr>
        <w:pStyle w:val="Heading2"/>
      </w:pPr>
      <w:r>
        <w:t xml:space="preserve">Overview</w:t>
      </w:r>
    </w:p>
    <w:p>
      <w:pPr>
        <w:pStyle w:val="FirstParagraph"/>
      </w:pPr>
      <w:r>
        <w:t xml:space="preserve">This page summarizes every method exposed by</w:t>
      </w:r>
      <w:r>
        <w:t xml:space="preserve"> </w:t>
      </w:r>
      <w:r>
        <w:rPr>
          <w:rStyle w:val="VerbatimChar"/>
        </w:rPr>
        <w:t xml:space="preserve">G3JSON</w:t>
      </w:r>
      <w:r>
        <w:t xml:space="preserve"> </w:t>
      </w:r>
      <w:r>
        <w:t xml:space="preserve">in G3Pix AxonASP.</w:t>
      </w:r>
    </w:p>
    <w:bookmarkEnd w:id="2823"/>
    <w:bookmarkStart w:id="2824" w:name="methods-10"/>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LoadFile(path)</w:t>
            </w:r>
          </w:p>
        </w:tc>
        <w:tc>
          <w:tcPr/>
          <w:p>
            <w:pPr>
              <w:pStyle w:val="Compact"/>
            </w:pPr>
            <w:r>
              <w:t xml:space="preserve">Dictionary, Array, scalar, Null, or Empty</w:t>
            </w:r>
          </w:p>
        </w:tc>
        <w:tc>
          <w:tcPr/>
          <w:p>
            <w:pPr>
              <w:pStyle w:val="Compact"/>
            </w:pPr>
            <w:r>
              <w:t xml:space="preserve">Reads JSON from a file path and parses it to native values; returns Empty when path is missing, read fails, or JSON is invalid.</w:t>
            </w:r>
          </w:p>
        </w:tc>
      </w:tr>
      <w:tr>
        <w:tc>
          <w:tcPr/>
          <w:p>
            <w:pPr>
              <w:pStyle w:val="Compact"/>
            </w:pPr>
            <w:r>
              <w:rPr>
                <w:rStyle w:val="VerbatimChar"/>
              </w:rPr>
              <w:t xml:space="preserve">NewArray()</w:t>
            </w:r>
          </w:p>
        </w:tc>
        <w:tc>
          <w:tcPr/>
          <w:p>
            <w:pPr>
              <w:pStyle w:val="Compact"/>
            </w:pPr>
            <w:r>
              <w:t xml:space="preserve">Array</w:t>
            </w:r>
          </w:p>
        </w:tc>
        <w:tc>
          <w:tcPr/>
          <w:p>
            <w:pPr>
              <w:pStyle w:val="Compact"/>
            </w:pPr>
            <w:r>
              <w:t xml:space="preserve">Creates an empty VBScript array for JSON composition.</w:t>
            </w:r>
          </w:p>
        </w:tc>
      </w:tr>
      <w:tr>
        <w:tc>
          <w:tcPr/>
          <w:p>
            <w:pPr>
              <w:pStyle w:val="Compact"/>
            </w:pPr>
            <w:r>
              <w:rPr>
                <w:rStyle w:val="VerbatimChar"/>
              </w:rPr>
              <w:t xml:space="preserve">NewObject()</w:t>
            </w:r>
          </w:p>
        </w:tc>
        <w:tc>
          <w:tcPr/>
          <w:p>
            <w:pPr>
              <w:pStyle w:val="Compact"/>
            </w:pPr>
            <w:r>
              <w:t xml:space="preserve">Scripting.Dictionary</w:t>
            </w:r>
          </w:p>
        </w:tc>
        <w:tc>
          <w:tcPr/>
          <w:p>
            <w:pPr>
              <w:pStyle w:val="Compact"/>
            </w:pPr>
            <w:r>
              <w:t xml:space="preserve">Creates an empty dictionary object for JSON composition.</w:t>
            </w:r>
          </w:p>
        </w:tc>
      </w:tr>
      <w:tr>
        <w:tc>
          <w:tcPr/>
          <w:p>
            <w:pPr>
              <w:pStyle w:val="Compact"/>
            </w:pPr>
            <w:r>
              <w:rPr>
                <w:rStyle w:val="VerbatimChar"/>
              </w:rPr>
              <w:t xml:space="preserve">Parse(jsonText)</w:t>
            </w:r>
          </w:p>
        </w:tc>
        <w:tc>
          <w:tcPr/>
          <w:p>
            <w:pPr>
              <w:pStyle w:val="Compact"/>
            </w:pPr>
            <w:r>
              <w:t xml:space="preserve">Dictionary, Array, scalar, Null, or Empty</w:t>
            </w:r>
          </w:p>
        </w:tc>
        <w:tc>
          <w:tcPr/>
          <w:p>
            <w:pPr>
              <w:pStyle w:val="Compact"/>
            </w:pPr>
            <w:r>
              <w:t xml:space="preserve">Parses JSON text to native values; returns Empty when input is missing, empty, or invalid.</w:t>
            </w:r>
          </w:p>
        </w:tc>
      </w:tr>
      <w:tr>
        <w:tc>
          <w:tcPr/>
          <w:p>
            <w:pPr>
              <w:pStyle w:val="Compact"/>
            </w:pPr>
            <w:r>
              <w:rPr>
                <w:rStyle w:val="VerbatimChar"/>
              </w:rPr>
              <w:t xml:space="preserve">Stringify(value)</w:t>
            </w:r>
          </w:p>
        </w:tc>
        <w:tc>
          <w:tcPr/>
          <w:p>
            <w:pPr>
              <w:pStyle w:val="Compact"/>
            </w:pPr>
            <w:r>
              <w:t xml:space="preserve">String</w:t>
            </w:r>
          </w:p>
        </w:tc>
        <w:tc>
          <w:tcPr/>
          <w:p>
            <w:pPr>
              <w:pStyle w:val="Compact"/>
            </w:pPr>
            <w:r>
              <w:t xml:space="preserve">Serializes a native value to JSON text; returns empty string when argument is missing or serialization fails.</w:t>
            </w:r>
          </w:p>
        </w:tc>
      </w:tr>
    </w:tbl>
    <w:bookmarkEnd w:id="2824"/>
    <w:bookmarkStart w:id="2825" w:name="remarks-253"/>
    <w:p>
      <w:pPr>
        <w:pStyle w:val="Heading2"/>
      </w:pPr>
      <w:r>
        <w:t xml:space="preserve">Remarks</w:t>
      </w:r>
    </w:p>
    <w:p>
      <w:pPr>
        <w:pStyle w:val="Compact"/>
        <w:numPr>
          <w:ilvl w:val="0"/>
          <w:numId w:val="1697"/>
        </w:numPr>
      </w:pPr>
      <w:r>
        <w:t xml:space="preserve">Instantiate the library with</w:t>
      </w:r>
      <w:r>
        <w:t xml:space="preserve"> </w:t>
      </w:r>
      <w:r>
        <w:rPr>
          <w:rStyle w:val="VerbatimChar"/>
        </w:rPr>
        <w:t xml:space="preserve">Server.CreateObject("G3JSON")</w:t>
      </w:r>
      <w:r>
        <w:t xml:space="preserve">.</w:t>
      </w:r>
    </w:p>
    <w:p>
      <w:pPr>
        <w:pStyle w:val="Compact"/>
        <w:numPr>
          <w:ilvl w:val="0"/>
          <w:numId w:val="1697"/>
        </w:numPr>
      </w:pPr>
      <w:r>
        <w:t xml:space="preserve">Method names are case-insensitive.</w:t>
      </w:r>
    </w:p>
    <w:p>
      <w:pPr>
        <w:pStyle w:val="Compact"/>
        <w:numPr>
          <w:ilvl w:val="0"/>
          <w:numId w:val="1697"/>
        </w:numPr>
      </w:pPr>
      <w:r>
        <w:t xml:space="preserve">Parsing methods return Empty on operational failure.</w:t>
      </w:r>
    </w:p>
    <w:bookmarkEnd w:id="2825"/>
    <w:bookmarkEnd w:id="2826"/>
    <w:bookmarkStart w:id="2831" w:name="g3json-properties"/>
    <w:p>
      <w:pPr>
        <w:pStyle w:val="Heading1"/>
      </w:pPr>
      <w:r>
        <w:t xml:space="preserve">G3JSON Properties</w:t>
      </w:r>
    </w:p>
    <w:bookmarkStart w:id="2827" w:name="overview-269"/>
    <w:p>
      <w:pPr>
        <w:pStyle w:val="Heading2"/>
      </w:pPr>
      <w:r>
        <w:t xml:space="preserve">Overview</w:t>
      </w:r>
    </w:p>
    <w:p>
      <w:pPr>
        <w:pStyle w:val="FirstParagraph"/>
      </w:pPr>
      <w:r>
        <w:t xml:space="preserve">This page lists properties exposed by</w:t>
      </w:r>
      <w:r>
        <w:t xml:space="preserve"> </w:t>
      </w:r>
      <w:r>
        <w:rPr>
          <w:rStyle w:val="VerbatimChar"/>
        </w:rPr>
        <w:t xml:space="preserve">G3JSON</w:t>
      </w:r>
      <w:r>
        <w:t xml:space="preserve">.</w:t>
      </w:r>
    </w:p>
    <w:bookmarkEnd w:id="2827"/>
    <w:bookmarkStart w:id="2828" w:name="properties-12"/>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None</w:t>
            </w:r>
          </w:p>
        </w:tc>
        <w:tc>
          <w:tcPr/>
          <w:p>
            <w:pPr>
              <w:pStyle w:val="Compact"/>
            </w:pPr>
            <w:r>
              <w:t xml:space="preserve">N/A</w:t>
            </w:r>
          </w:p>
        </w:tc>
        <w:tc>
          <w:tcPr/>
          <w:p>
            <w:pPr>
              <w:pStyle w:val="Compact"/>
            </w:pPr>
            <w:r>
              <w:t xml:space="preserve">N/A</w:t>
            </w:r>
          </w:p>
        </w:tc>
        <w:tc>
          <w:tcPr/>
          <w:p>
            <w:pPr>
              <w:pStyle w:val="Compact"/>
            </w:pPr>
            <w:r>
              <w:rPr>
                <w:rStyle w:val="VerbatimChar"/>
              </w:rPr>
              <w:t xml:space="preserve">G3JSON</w:t>
            </w:r>
            <w:r>
              <w:t xml:space="preserve"> </w:t>
            </w:r>
            <w:r>
              <w:t xml:space="preserve">does not expose public properties. Use methods for all operations.</w:t>
            </w:r>
          </w:p>
        </w:tc>
      </w:tr>
    </w:tbl>
    <w:bookmarkEnd w:id="2828"/>
    <w:bookmarkStart w:id="2830" w:name="remarks-254"/>
    <w:p>
      <w:pPr>
        <w:pStyle w:val="Heading2"/>
      </w:pPr>
      <w:r>
        <w:t xml:space="preserve">Remarks</w:t>
      </w:r>
    </w:p>
    <w:p>
      <w:pPr>
        <w:pStyle w:val="Compact"/>
        <w:numPr>
          <w:ilvl w:val="0"/>
          <w:numId w:val="1698"/>
        </w:numPr>
      </w:pPr>
      <w:r>
        <w:t xml:space="preserve">Instantiate the library with</w:t>
      </w:r>
      <w:r>
        <w:t xml:space="preserve"> </w:t>
      </w:r>
      <w:r>
        <w:rPr>
          <w:rStyle w:val="VerbatimChar"/>
        </w:rPr>
        <w:t xml:space="preserve">Server.CreateObject("G3JSON")</w:t>
      </w:r>
      <w:r>
        <w:t xml:space="preserve">.</w:t>
      </w:r>
    </w:p>
    <w:p>
      <w:pPr>
        <w:pStyle w:val="Compact"/>
        <w:numPr>
          <w:ilvl w:val="0"/>
          <w:numId w:val="1698"/>
        </w:numPr>
      </w:pPr>
      <w:r>
        <w:t xml:space="preserve">Use</w:t>
      </w:r>
      <w:r>
        <w:t xml:space="preserve"> </w:t>
      </w:r>
      <w:r>
        <w:rPr>
          <w:rStyle w:val="VerbatimChar"/>
        </w:rPr>
        <w:t xml:space="preserve">methods.md</w:t>
      </w:r>
      <w:r>
        <w:t xml:space="preserve"> </w:t>
      </w:r>
      <w:r>
        <w:t xml:space="preserve">for callable members.</w:t>
      </w:r>
    </w:p>
    <w:bookmarkStart w:id="2829" w:name="methods-detail-4"/>
    <w:p>
      <w:pPr>
        <w:pStyle w:val="Heading3"/>
      </w:pPr>
      <w:r>
        <w:t xml:space="preserve">Methods Detail</w:t>
      </w:r>
    </w:p>
    <w:bookmarkEnd w:id="2829"/>
    <w:bookmarkEnd w:id="2830"/>
    <w:bookmarkEnd w:id="2831"/>
    <w:bookmarkStart w:id="2840" w:name="load-json-from-file"/>
    <w:p>
      <w:pPr>
        <w:pStyle w:val="Heading1"/>
      </w:pPr>
      <w:r>
        <w:t xml:space="preserve">Load JSON from File</w:t>
      </w:r>
    </w:p>
    <w:bookmarkStart w:id="2832" w:name="overview-270"/>
    <w:p>
      <w:pPr>
        <w:pStyle w:val="Heading2"/>
      </w:pPr>
      <w:r>
        <w:t xml:space="preserve">Overview</w:t>
      </w:r>
    </w:p>
    <w:p>
      <w:pPr>
        <w:pStyle w:val="FirstParagraph"/>
      </w:pPr>
      <w:r>
        <w:t xml:space="preserve">Reads a JSON file and parses it into a native G3Pix AxonASP value.</w:t>
      </w:r>
    </w:p>
    <w:bookmarkEnd w:id="2832"/>
    <w:bookmarkStart w:id="2833" w:name="prerequisites-12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Server.CreateObject("G3JSON")</w:t>
      </w:r>
      <w:r>
        <w:t xml:space="preserve">.</w:t>
      </w:r>
    </w:p>
    <w:bookmarkEnd w:id="2833"/>
    <w:bookmarkStart w:id="2834" w:name="syntax-279"/>
    <w:p>
      <w:pPr>
        <w:pStyle w:val="Heading2"/>
      </w:pPr>
      <w:r>
        <w:t xml:space="preserve">Syntax</w:t>
      </w:r>
    </w:p>
    <w:p>
      <w:pPr>
        <w:pStyle w:val="SourceCode"/>
      </w:pPr>
      <w:r>
        <w:rPr>
          <w:rStyle w:val="NormalTok"/>
        </w:rPr>
        <w:t xml:space="preserve">result = json.LoadFile(path)</w:t>
      </w:r>
    </w:p>
    <w:bookmarkEnd w:id="2834"/>
    <w:bookmarkStart w:id="2835" w:name="parameters-18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path</w:t>
            </w:r>
          </w:p>
        </w:tc>
        <w:tc>
          <w:tcPr/>
          <w:p>
            <w:pPr>
              <w:pStyle w:val="Compact"/>
            </w:pPr>
            <w:r>
              <w:t xml:space="preserve">String</w:t>
            </w:r>
          </w:p>
        </w:tc>
        <w:tc>
          <w:tcPr/>
          <w:p>
            <w:pPr>
              <w:pStyle w:val="Compact"/>
            </w:pPr>
            <w:r>
              <w:t xml:space="preserve">Yes</w:t>
            </w:r>
          </w:p>
        </w:tc>
        <w:tc>
          <w:tcPr/>
          <w:p>
            <w:pPr>
              <w:pStyle w:val="Compact"/>
            </w:pPr>
            <w:r>
              <w:t xml:space="preserve">Virtual or physical path to a JSON file.</w:t>
            </w:r>
          </w:p>
        </w:tc>
      </w:tr>
    </w:tbl>
    <w:bookmarkEnd w:id="2835"/>
    <w:bookmarkStart w:id="2836" w:name="return-value-203"/>
    <w:p>
      <w:pPr>
        <w:pStyle w:val="Heading2"/>
      </w:pPr>
      <w:r>
        <w:t xml:space="preserve">Return Value</w:t>
      </w:r>
    </w:p>
    <w:p>
      <w:pPr>
        <w:pStyle w:val="Compact"/>
        <w:numPr>
          <w:ilvl w:val="0"/>
          <w:numId w:val="1699"/>
        </w:numPr>
      </w:pPr>
      <w:r>
        <w:rPr>
          <w:b/>
          <w:bCs/>
        </w:rPr>
        <w:t xml:space="preserve">Scripting.Dictionary</w:t>
      </w:r>
      <w:r>
        <w:t xml:space="preserve">: Returned when the JSON root is an object.</w:t>
      </w:r>
    </w:p>
    <w:p>
      <w:pPr>
        <w:pStyle w:val="Compact"/>
        <w:numPr>
          <w:ilvl w:val="0"/>
          <w:numId w:val="1699"/>
        </w:numPr>
      </w:pPr>
      <w:r>
        <w:rPr>
          <w:b/>
          <w:bCs/>
        </w:rPr>
        <w:t xml:space="preserve">Array</w:t>
      </w:r>
      <w:r>
        <w:t xml:space="preserve">: Returned when the JSON root is an array.</w:t>
      </w:r>
    </w:p>
    <w:p>
      <w:pPr>
        <w:pStyle w:val="Compact"/>
        <w:numPr>
          <w:ilvl w:val="0"/>
          <w:numId w:val="1699"/>
        </w:numPr>
      </w:pPr>
      <w:r>
        <w:rPr>
          <w:b/>
          <w:bCs/>
        </w:rPr>
        <w:t xml:space="preserve">String / Integer / Double / Boolean / Null</w:t>
      </w:r>
      <w:r>
        <w:t xml:space="preserve">: Returned when the JSON root is a primitive.</w:t>
      </w:r>
    </w:p>
    <w:p>
      <w:pPr>
        <w:pStyle w:val="Compact"/>
        <w:numPr>
          <w:ilvl w:val="0"/>
          <w:numId w:val="1699"/>
        </w:numPr>
      </w:pPr>
      <w:r>
        <w:rPr>
          <w:b/>
          <w:bCs/>
        </w:rPr>
        <w:t xml:space="preserve">Empty</w:t>
      </w:r>
      <w:r>
        <w:t xml:space="preserve">: Returned when</w:t>
      </w:r>
      <w:r>
        <w:t xml:space="preserve"> </w:t>
      </w:r>
      <w:r>
        <w:rPr>
          <w:rStyle w:val="VerbatimChar"/>
        </w:rPr>
        <w:t xml:space="preserve">path</w:t>
      </w:r>
      <w:r>
        <w:t xml:space="preserve"> </w:t>
      </w:r>
      <w:r>
        <w:t xml:space="preserve">is missing, file read fails, or JSON parsing fails.</w:t>
      </w:r>
    </w:p>
    <w:bookmarkEnd w:id="2836"/>
    <w:bookmarkStart w:id="2837" w:name="remarks-255"/>
    <w:p>
      <w:pPr>
        <w:pStyle w:val="Heading2"/>
      </w:pPr>
      <w:r>
        <w:t xml:space="preserve">Remarks</w:t>
      </w:r>
    </w:p>
    <w:p>
      <w:pPr>
        <w:pStyle w:val="Compact"/>
        <w:numPr>
          <w:ilvl w:val="0"/>
          <w:numId w:val="1700"/>
        </w:numPr>
      </w:pPr>
      <w:r>
        <w:t xml:space="preserve">Virtual paths are mapped through the server host when available.</w:t>
      </w:r>
    </w:p>
    <w:p>
      <w:pPr>
        <w:pStyle w:val="Compact"/>
        <w:numPr>
          <w:ilvl w:val="0"/>
          <w:numId w:val="1700"/>
        </w:numPr>
      </w:pPr>
      <w:r>
        <w:t xml:space="preserve">Parsing behavior matches</w:t>
      </w:r>
      <w:r>
        <w:t xml:space="preserve"> </w:t>
      </w:r>
      <w:r>
        <w:rPr>
          <w:rStyle w:val="VerbatimChar"/>
        </w:rPr>
        <w:t xml:space="preserve">Parse</w:t>
      </w:r>
      <w:r>
        <w:t xml:space="preserve">.</w:t>
      </w:r>
    </w:p>
    <w:bookmarkEnd w:id="2837"/>
    <w:bookmarkStart w:id="2838" w:name="example-20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json</w:t>
      </w:r>
      <w:r>
        <w:rPr>
          <w:rStyle w:val="OtherTok"/>
        </w:rPr>
        <w:t xml:space="preserve">,</w:t>
      </w:r>
      <w:r>
        <w:rPr>
          <w:rStyle w:val="NormalTok"/>
        </w:rPr>
        <w:t xml:space="preserve"> cfg</w:t>
      </w:r>
      <w:r>
        <w:br/>
      </w:r>
      <w:r>
        <w:rPr>
          <w:rStyle w:val="KeywordTok"/>
        </w:rPr>
        <w:t xml:space="preserve">Set</w:t>
      </w:r>
      <w:r>
        <w:rPr>
          <w:rStyle w:val="NormalTok"/>
        </w:rPr>
        <w:t xml:space="preserve"> json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"G3JSON"</w:t>
      </w:r>
      <w:r>
        <w:rPr>
          <w:rStyle w:val="OtherTok"/>
        </w:rPr>
        <w:t xml:space="preserve">)</w:t>
      </w:r>
      <w:r>
        <w:br/>
      </w:r>
      <w:r>
        <w:br/>
      </w:r>
      <w:r>
        <w:rPr>
          <w:rStyle w:val="KeywordTok"/>
        </w:rPr>
        <w:t xml:space="preserve">Set</w:t>
      </w:r>
      <w:r>
        <w:rPr>
          <w:rStyle w:val="NormalTok"/>
        </w:rPr>
        <w:t xml:space="preserve"> cfg = json.LoadFile</w:t>
      </w:r>
      <w:r>
        <w:rPr>
          <w:rStyle w:val="OtherTok"/>
        </w:rPr>
        <w:t xml:space="preserve">(</w:t>
      </w:r>
      <w:r>
        <w:rPr>
          <w:rStyle w:val="StringTok"/>
        </w:rPr>
        <w:t xml:space="preserve">"/config/settings.json"</w:t>
      </w:r>
      <w:r>
        <w:rPr>
          <w:rStyle w:val="OtherTok"/>
        </w:rPr>
        <w:t xml:space="preserve">)</w:t>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cfg</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cfg</w:t>
      </w:r>
      <w:r>
        <w:rPr>
          <w:rStyle w:val="OtherTok"/>
        </w:rPr>
        <w:t xml:space="preserve">(</w:t>
      </w:r>
      <w:r>
        <w:rPr>
          <w:rStyle w:val="StringTok"/>
        </w:rPr>
        <w:t xml:space="preserve">"appName"</w:t>
      </w:r>
      <w:r>
        <w:rPr>
          <w:rStyle w:val="OtherTok"/>
        </w:rPr>
        <w:t xml:space="preserve">)</w:t>
      </w:r>
      <w:r>
        <w:br/>
      </w:r>
      <w:r>
        <w:rPr>
          <w:rStyle w:val="ControlFlowTok"/>
        </w:rPr>
        <w:t xml:space="preserve">End If</w:t>
      </w:r>
      <w:r>
        <w:br/>
      </w:r>
      <w:r>
        <w:br/>
      </w:r>
      <w:r>
        <w:rPr>
          <w:rStyle w:val="KeywordTok"/>
        </w:rPr>
        <w:t xml:space="preserve">Set</w:t>
      </w:r>
      <w:r>
        <w:rPr>
          <w:rStyle w:val="NormalTok"/>
        </w:rPr>
        <w:t xml:space="preserve"> cfg = </w:t>
      </w:r>
      <w:r>
        <w:rPr>
          <w:rStyle w:val="KeywordTok"/>
        </w:rPr>
        <w:t xml:space="preserve">Nothing</w:t>
      </w:r>
      <w:r>
        <w:br/>
      </w:r>
      <w:r>
        <w:rPr>
          <w:rStyle w:val="KeywordTok"/>
        </w:rPr>
        <w:t xml:space="preserve">Set</w:t>
      </w:r>
      <w:r>
        <w:rPr>
          <w:rStyle w:val="NormalTok"/>
        </w:rPr>
        <w:t xml:space="preserve"> json = </w:t>
      </w:r>
      <w:r>
        <w:rPr>
          <w:rStyle w:val="KeywordTok"/>
        </w:rPr>
        <w:t xml:space="preserve">Nothing</w:t>
      </w:r>
      <w:r>
        <w:br/>
      </w:r>
      <w:r>
        <w:rPr>
          <w:rStyle w:val="DataTypeTok"/>
        </w:rPr>
        <w:t xml:space="preserve">%&gt;</w:t>
      </w:r>
    </w:p>
    <w:bookmarkEnd w:id="2838"/>
    <w:bookmarkStart w:id="2839" w:name="api-reference-125"/>
    <w:p>
      <w:pPr>
        <w:pStyle w:val="Heading2"/>
      </w:pPr>
      <w:r>
        <w:t xml:space="preserve">API Reference</w:t>
      </w:r>
    </w:p>
    <w:p>
      <w:pPr>
        <w:pStyle w:val="Compact"/>
        <w:numPr>
          <w:ilvl w:val="0"/>
          <w:numId w:val="1701"/>
        </w:numPr>
      </w:pPr>
      <w:r>
        <w:rPr>
          <w:b/>
          <w:bCs/>
        </w:rPr>
        <w:t xml:space="preserve">Object</w:t>
      </w:r>
      <w:r>
        <w:t xml:space="preserve">:</w:t>
      </w:r>
      <w:r>
        <w:t xml:space="preserve"> </w:t>
      </w:r>
      <w:r>
        <w:rPr>
          <w:rStyle w:val="VerbatimChar"/>
        </w:rPr>
        <w:t xml:space="preserve">G3JSON</w:t>
      </w:r>
    </w:p>
    <w:p>
      <w:pPr>
        <w:pStyle w:val="Compact"/>
        <w:numPr>
          <w:ilvl w:val="0"/>
          <w:numId w:val="1701"/>
        </w:numPr>
      </w:pPr>
      <w:r>
        <w:rPr>
          <w:b/>
          <w:bCs/>
        </w:rPr>
        <w:t xml:space="preserve">Method</w:t>
      </w:r>
      <w:r>
        <w:t xml:space="preserve">:</w:t>
      </w:r>
      <w:r>
        <w:t xml:space="preserve"> </w:t>
      </w:r>
      <w:r>
        <w:rPr>
          <w:rStyle w:val="VerbatimChar"/>
        </w:rPr>
        <w:t xml:space="preserve">LoadFile</w:t>
      </w:r>
    </w:p>
    <w:p>
      <w:pPr>
        <w:pStyle w:val="Compact"/>
        <w:numPr>
          <w:ilvl w:val="0"/>
          <w:numId w:val="1701"/>
        </w:numPr>
      </w:pPr>
      <w:r>
        <w:rPr>
          <w:b/>
          <w:bCs/>
        </w:rPr>
        <w:t xml:space="preserve">Arguments</w:t>
      </w:r>
      <w:r>
        <w:t xml:space="preserve">:</w:t>
      </w:r>
      <w:r>
        <w:t xml:space="preserve"> </w:t>
      </w:r>
      <w:r>
        <w:rPr>
          <w:rStyle w:val="VerbatimChar"/>
        </w:rPr>
        <w:t xml:space="preserve">path</w:t>
      </w:r>
      <w:r>
        <w:t xml:space="preserve"> </w:t>
      </w:r>
      <w:r>
        <w:t xml:space="preserve">(String, required)</w:t>
      </w:r>
    </w:p>
    <w:p>
      <w:pPr>
        <w:pStyle w:val="Compact"/>
        <w:numPr>
          <w:ilvl w:val="0"/>
          <w:numId w:val="1701"/>
        </w:numPr>
      </w:pPr>
      <w:r>
        <w:rPr>
          <w:b/>
          <w:bCs/>
        </w:rPr>
        <w:t xml:space="preserve">Returns</w:t>
      </w:r>
      <w:r>
        <w:t xml:space="preserve">: Dictionary, Array, scalar primitive, Null, or Empty on failure</w:t>
      </w:r>
    </w:p>
    <w:bookmarkEnd w:id="2839"/>
    <w:bookmarkEnd w:id="2840"/>
    <w:bookmarkStart w:id="2849" w:name="create-a-new-json-array-container"/>
    <w:p>
      <w:pPr>
        <w:pStyle w:val="Heading1"/>
      </w:pPr>
      <w:r>
        <w:t xml:space="preserve">Create a New JSON Array Container</w:t>
      </w:r>
    </w:p>
    <w:bookmarkStart w:id="2841" w:name="overview-271"/>
    <w:p>
      <w:pPr>
        <w:pStyle w:val="Heading2"/>
      </w:pPr>
      <w:r>
        <w:t xml:space="preserve">Overview</w:t>
      </w:r>
    </w:p>
    <w:p>
      <w:pPr>
        <w:pStyle w:val="FirstParagraph"/>
      </w:pPr>
      <w:r>
        <w:t xml:space="preserve">Creates an empty VBScript array for JSON composition.</w:t>
      </w:r>
    </w:p>
    <w:bookmarkEnd w:id="2841"/>
    <w:bookmarkStart w:id="2842" w:name="prerequisites-12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Server.CreateObject("G3JSON")</w:t>
      </w:r>
      <w:r>
        <w:t xml:space="preserve">.</w:t>
      </w:r>
    </w:p>
    <w:bookmarkEnd w:id="2842"/>
    <w:bookmarkStart w:id="2843" w:name="syntax-280"/>
    <w:p>
      <w:pPr>
        <w:pStyle w:val="Heading2"/>
      </w:pPr>
      <w:r>
        <w:t xml:space="preserve">Syntax</w:t>
      </w:r>
    </w:p>
    <w:p>
      <w:pPr>
        <w:pStyle w:val="SourceCode"/>
      </w:pPr>
      <w:r>
        <w:rPr>
          <w:rStyle w:val="NormalTok"/>
        </w:rPr>
        <w:t xml:space="preserve">arr = json.NewArray()</w:t>
      </w:r>
    </w:p>
    <w:bookmarkEnd w:id="2843"/>
    <w:bookmarkStart w:id="2844" w:name="parameters-184"/>
    <w:p>
      <w:pPr>
        <w:pStyle w:val="Heading2"/>
      </w:pPr>
      <w:r>
        <w:t xml:space="preserve">Parameters</w:t>
      </w:r>
    </w:p>
    <w:p>
      <w:pPr>
        <w:pStyle w:val="FirstParagraph"/>
      </w:pPr>
      <w:r>
        <w:t xml:space="preserve">None.</w:t>
      </w:r>
    </w:p>
    <w:bookmarkEnd w:id="2844"/>
    <w:bookmarkStart w:id="2845" w:name="return-value-204"/>
    <w:p>
      <w:pPr>
        <w:pStyle w:val="Heading2"/>
      </w:pPr>
      <w:r>
        <w:t xml:space="preserve">Return Value</w:t>
      </w:r>
    </w:p>
    <w:p>
      <w:pPr>
        <w:pStyle w:val="Compact"/>
        <w:numPr>
          <w:ilvl w:val="0"/>
          <w:numId w:val="1702"/>
        </w:numPr>
      </w:pPr>
      <w:r>
        <w:rPr>
          <w:b/>
          <w:bCs/>
        </w:rPr>
        <w:t xml:space="preserve">Array</w:t>
      </w:r>
      <w:r>
        <w:t xml:space="preserve">: Empty VBScript array.</w:t>
      </w:r>
    </w:p>
    <w:bookmarkEnd w:id="2845"/>
    <w:bookmarkStart w:id="2846" w:name="remarks-256"/>
    <w:p>
      <w:pPr>
        <w:pStyle w:val="Heading2"/>
      </w:pPr>
      <w:r>
        <w:t xml:space="preserve">Remarks</w:t>
      </w:r>
    </w:p>
    <w:p>
      <w:pPr>
        <w:pStyle w:val="Compact"/>
        <w:numPr>
          <w:ilvl w:val="0"/>
          <w:numId w:val="1703"/>
        </w:numPr>
      </w:pPr>
      <w:r>
        <w:t xml:space="preserve">Use this method to build array payloads before calling</w:t>
      </w:r>
      <w:r>
        <w:t xml:space="preserve"> </w:t>
      </w:r>
      <w:r>
        <w:rPr>
          <w:rStyle w:val="VerbatimChar"/>
        </w:rPr>
        <w:t xml:space="preserve">Stringify</w:t>
      </w:r>
      <w:r>
        <w:t xml:space="preserve">.</w:t>
      </w:r>
    </w:p>
    <w:bookmarkEnd w:id="2846"/>
    <w:bookmarkStart w:id="2847" w:name="example-20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json</w:t>
      </w:r>
      <w:r>
        <w:rPr>
          <w:rStyle w:val="OtherTok"/>
        </w:rPr>
        <w:t xml:space="preserve">,</w:t>
      </w:r>
      <w:r>
        <w:rPr>
          <w:rStyle w:val="NormalTok"/>
        </w:rPr>
        <w:t xml:space="preserve"> arr</w:t>
      </w:r>
      <w:r>
        <w:br/>
      </w:r>
      <w:r>
        <w:rPr>
          <w:rStyle w:val="KeywordTok"/>
        </w:rPr>
        <w:t xml:space="preserve">Set</w:t>
      </w:r>
      <w:r>
        <w:rPr>
          <w:rStyle w:val="NormalTok"/>
        </w:rPr>
        <w:t xml:space="preserve"> json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"G3JSON"</w:t>
      </w:r>
      <w:r>
        <w:rPr>
          <w:rStyle w:val="OtherTok"/>
        </w:rPr>
        <w:t xml:space="preserve">)</w:t>
      </w:r>
      <w:r>
        <w:br/>
      </w:r>
      <w:r>
        <w:br/>
      </w:r>
      <w:r>
        <w:rPr>
          <w:rStyle w:val="NormalTok"/>
        </w:rPr>
        <w:t xml:space="preserve">arr = json.NewArray</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IsArray</w:t>
      </w:r>
      <w:r>
        <w:rPr>
          <w:rStyle w:val="OtherTok"/>
        </w:rPr>
        <w:t xml:space="preserve">(</w:t>
      </w:r>
      <w:r>
        <w:rPr>
          <w:rStyle w:val="NormalTok"/>
        </w:rPr>
        <w:t xml:space="preserve">arr</w:t>
      </w:r>
      <w:r>
        <w:rPr>
          <w:rStyle w:val="OtherTok"/>
        </w:rPr>
        <w:t xml:space="preserve">)</w:t>
      </w:r>
      <w:r>
        <w:br/>
      </w:r>
      <w:r>
        <w:br/>
      </w:r>
      <w:r>
        <w:rPr>
          <w:rStyle w:val="KeywordTok"/>
        </w:rPr>
        <w:t xml:space="preserve">Set</w:t>
      </w:r>
      <w:r>
        <w:rPr>
          <w:rStyle w:val="NormalTok"/>
        </w:rPr>
        <w:t xml:space="preserve"> json = </w:t>
      </w:r>
      <w:r>
        <w:rPr>
          <w:rStyle w:val="KeywordTok"/>
        </w:rPr>
        <w:t xml:space="preserve">Nothing</w:t>
      </w:r>
      <w:r>
        <w:br/>
      </w:r>
      <w:r>
        <w:rPr>
          <w:rStyle w:val="DataTypeTok"/>
        </w:rPr>
        <w:t xml:space="preserve">%&gt;</w:t>
      </w:r>
    </w:p>
    <w:bookmarkEnd w:id="2847"/>
    <w:bookmarkStart w:id="2848" w:name="api-reference-126"/>
    <w:p>
      <w:pPr>
        <w:pStyle w:val="Heading2"/>
      </w:pPr>
      <w:r>
        <w:t xml:space="preserve">API Reference</w:t>
      </w:r>
    </w:p>
    <w:p>
      <w:pPr>
        <w:pStyle w:val="Compact"/>
        <w:numPr>
          <w:ilvl w:val="0"/>
          <w:numId w:val="1704"/>
        </w:numPr>
      </w:pPr>
      <w:r>
        <w:rPr>
          <w:b/>
          <w:bCs/>
        </w:rPr>
        <w:t xml:space="preserve">Object</w:t>
      </w:r>
      <w:r>
        <w:t xml:space="preserve">:</w:t>
      </w:r>
      <w:r>
        <w:t xml:space="preserve"> </w:t>
      </w:r>
      <w:r>
        <w:rPr>
          <w:rStyle w:val="VerbatimChar"/>
        </w:rPr>
        <w:t xml:space="preserve">G3JSON</w:t>
      </w:r>
    </w:p>
    <w:p>
      <w:pPr>
        <w:pStyle w:val="Compact"/>
        <w:numPr>
          <w:ilvl w:val="0"/>
          <w:numId w:val="1704"/>
        </w:numPr>
      </w:pPr>
      <w:r>
        <w:rPr>
          <w:b/>
          <w:bCs/>
        </w:rPr>
        <w:t xml:space="preserve">Method</w:t>
      </w:r>
      <w:r>
        <w:t xml:space="preserve">:</w:t>
      </w:r>
      <w:r>
        <w:t xml:space="preserve"> </w:t>
      </w:r>
      <w:r>
        <w:rPr>
          <w:rStyle w:val="VerbatimChar"/>
        </w:rPr>
        <w:t xml:space="preserve">NewArray</w:t>
      </w:r>
    </w:p>
    <w:p>
      <w:pPr>
        <w:pStyle w:val="Compact"/>
        <w:numPr>
          <w:ilvl w:val="0"/>
          <w:numId w:val="1704"/>
        </w:numPr>
      </w:pPr>
      <w:r>
        <w:rPr>
          <w:b/>
          <w:bCs/>
        </w:rPr>
        <w:t xml:space="preserve">Arguments</w:t>
      </w:r>
      <w:r>
        <w:t xml:space="preserve">: none</w:t>
      </w:r>
    </w:p>
    <w:p>
      <w:pPr>
        <w:pStyle w:val="Compact"/>
        <w:numPr>
          <w:ilvl w:val="0"/>
          <w:numId w:val="1704"/>
        </w:numPr>
      </w:pPr>
      <w:r>
        <w:rPr>
          <w:b/>
          <w:bCs/>
        </w:rPr>
        <w:t xml:space="preserve">Returns</w:t>
      </w:r>
      <w:r>
        <w:t xml:space="preserve">: Array — empty VBScript array</w:t>
      </w:r>
    </w:p>
    <w:bookmarkEnd w:id="2848"/>
    <w:bookmarkEnd w:id="2849"/>
    <w:bookmarkStart w:id="2858" w:name="create-a-new-json-object-container"/>
    <w:p>
      <w:pPr>
        <w:pStyle w:val="Heading1"/>
      </w:pPr>
      <w:r>
        <w:t xml:space="preserve">Create a New JSON Object Container</w:t>
      </w:r>
    </w:p>
    <w:bookmarkStart w:id="2850" w:name="overview-272"/>
    <w:p>
      <w:pPr>
        <w:pStyle w:val="Heading2"/>
      </w:pPr>
      <w:r>
        <w:t xml:space="preserve">Overview</w:t>
      </w:r>
    </w:p>
    <w:p>
      <w:pPr>
        <w:pStyle w:val="FirstParagraph"/>
      </w:pPr>
      <w:r>
        <w:t xml:space="preserve">Creates an empty Scripting.Dictionary object for JSON composition.</w:t>
      </w:r>
    </w:p>
    <w:bookmarkEnd w:id="2850"/>
    <w:bookmarkStart w:id="2851" w:name="prerequisites-12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Server.CreateObject("G3JSON")</w:t>
      </w:r>
      <w:r>
        <w:t xml:space="preserve">.</w:t>
      </w:r>
    </w:p>
    <w:bookmarkEnd w:id="2851"/>
    <w:bookmarkStart w:id="2852" w:name="syntax-281"/>
    <w:p>
      <w:pPr>
        <w:pStyle w:val="Heading2"/>
      </w:pPr>
      <w:r>
        <w:t xml:space="preserve">Syntax</w:t>
      </w:r>
    </w:p>
    <w:p>
      <w:pPr>
        <w:pStyle w:val="SourceCode"/>
      </w:pPr>
      <w:r>
        <w:rPr>
          <w:rStyle w:val="NormalTok"/>
        </w:rPr>
        <w:t xml:space="preserve">Set obj = json.NewObject()</w:t>
      </w:r>
    </w:p>
    <w:bookmarkEnd w:id="2852"/>
    <w:bookmarkStart w:id="2853" w:name="parameters-185"/>
    <w:p>
      <w:pPr>
        <w:pStyle w:val="Heading2"/>
      </w:pPr>
      <w:r>
        <w:t xml:space="preserve">Parameters</w:t>
      </w:r>
    </w:p>
    <w:p>
      <w:pPr>
        <w:pStyle w:val="FirstParagraph"/>
      </w:pPr>
      <w:r>
        <w:t xml:space="preserve">None.</w:t>
      </w:r>
    </w:p>
    <w:bookmarkEnd w:id="2853"/>
    <w:bookmarkStart w:id="2854" w:name="return-value-205"/>
    <w:p>
      <w:pPr>
        <w:pStyle w:val="Heading2"/>
      </w:pPr>
      <w:r>
        <w:t xml:space="preserve">Return Value</w:t>
      </w:r>
    </w:p>
    <w:p>
      <w:pPr>
        <w:pStyle w:val="Compact"/>
        <w:numPr>
          <w:ilvl w:val="0"/>
          <w:numId w:val="1705"/>
        </w:numPr>
      </w:pPr>
      <w:r>
        <w:rPr>
          <w:b/>
          <w:bCs/>
        </w:rPr>
        <w:t xml:space="preserve">Scripting.Dictionary</w:t>
      </w:r>
      <w:r>
        <w:t xml:space="preserve">: Empty dictionary object.</w:t>
      </w:r>
    </w:p>
    <w:bookmarkEnd w:id="2854"/>
    <w:bookmarkStart w:id="2855" w:name="remarks-257"/>
    <w:p>
      <w:pPr>
        <w:pStyle w:val="Heading2"/>
      </w:pPr>
      <w:r>
        <w:t xml:space="preserve">Remarks</w:t>
      </w:r>
    </w:p>
    <w:p>
      <w:pPr>
        <w:pStyle w:val="Compact"/>
        <w:numPr>
          <w:ilvl w:val="0"/>
          <w:numId w:val="1706"/>
        </w:numPr>
      </w:pPr>
      <w:r>
        <w:t xml:space="preserve">Use this method to build object payloads before calling</w:t>
      </w:r>
      <w:r>
        <w:t xml:space="preserve"> </w:t>
      </w:r>
      <w:r>
        <w:rPr>
          <w:rStyle w:val="VerbatimChar"/>
        </w:rPr>
        <w:t xml:space="preserve">Stringify</w:t>
      </w:r>
      <w:r>
        <w:t xml:space="preserve">.</w:t>
      </w:r>
    </w:p>
    <w:bookmarkEnd w:id="2855"/>
    <w:bookmarkStart w:id="2856" w:name="example-20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json</w:t>
      </w:r>
      <w:r>
        <w:rPr>
          <w:rStyle w:val="OtherTok"/>
        </w:rPr>
        <w:t xml:space="preserve">,</w:t>
      </w:r>
      <w:r>
        <w:rPr>
          <w:rStyle w:val="NormalTok"/>
        </w:rPr>
        <w:t xml:space="preserve"> obj</w:t>
      </w:r>
      <w:r>
        <w:br/>
      </w:r>
      <w:r>
        <w:rPr>
          <w:rStyle w:val="KeywordTok"/>
        </w:rPr>
        <w:t xml:space="preserve">Set</w:t>
      </w:r>
      <w:r>
        <w:rPr>
          <w:rStyle w:val="NormalTok"/>
        </w:rPr>
        <w:t xml:space="preserve"> json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"G3JSON"</w:t>
      </w:r>
      <w:r>
        <w:rPr>
          <w:rStyle w:val="OtherTok"/>
        </w:rPr>
        <w:t xml:space="preserve">)</w:t>
      </w:r>
      <w:r>
        <w:br/>
      </w:r>
      <w:r>
        <w:br/>
      </w:r>
      <w:r>
        <w:rPr>
          <w:rStyle w:val="KeywordTok"/>
        </w:rPr>
        <w:t xml:space="preserve">Set</w:t>
      </w:r>
      <w:r>
        <w:rPr>
          <w:rStyle w:val="NormalTok"/>
        </w:rPr>
        <w:t xml:space="preserve"> obj = json.NewObject</w:t>
      </w:r>
      <w:r>
        <w:rPr>
          <w:rStyle w:val="OtherTok"/>
        </w:rPr>
        <w:t xml:space="preserve">()</w:t>
      </w:r>
      <w:r>
        <w:br/>
      </w:r>
      <w:r>
        <w:rPr>
          <w:rStyle w:val="NormalTok"/>
        </w:rPr>
        <w:t xml:space="preserve">obj.</w:t>
      </w:r>
      <w:r>
        <w:rPr>
          <w:rStyle w:val="FunctionTok"/>
        </w:rPr>
        <w:t xml:space="preserve">Add</w:t>
      </w:r>
      <w:r>
        <w:rPr>
          <w:rStyle w:val="NormalTok"/>
        </w:rPr>
        <w:t xml:space="preserve"> </w:t>
      </w:r>
      <w:r>
        <w:rPr>
          <w:rStyle w:val="StringTok"/>
        </w:rPr>
        <w:t xml:space="preserve">"status"</w:t>
      </w:r>
      <w:r>
        <w:rPr>
          <w:rStyle w:val="OtherTok"/>
        </w:rPr>
        <w:t xml:space="preserve">,</w:t>
      </w:r>
      <w:r>
        <w:rPr>
          <w:rStyle w:val="NormalTok"/>
        </w:rPr>
        <w:t xml:space="preserve"> </w:t>
      </w:r>
      <w:r>
        <w:rPr>
          <w:rStyle w:val="StringTok"/>
        </w:rPr>
        <w:t xml:space="preserve">"ok"</w:t>
      </w:r>
      <w:r>
        <w:br/>
      </w:r>
      <w:r>
        <w:rPr>
          <w:rStyle w:val="FunctionTok"/>
        </w:rPr>
        <w:t xml:space="preserve">Response</w:t>
      </w:r>
      <w:r>
        <w:rPr>
          <w:rStyle w:val="NormalTok"/>
        </w:rPr>
        <w:t xml:space="preserve">.</w:t>
      </w:r>
      <w:r>
        <w:rPr>
          <w:rStyle w:val="FunctionTok"/>
        </w:rPr>
        <w:t xml:space="preserve">Write</w:t>
      </w:r>
      <w:r>
        <w:rPr>
          <w:rStyle w:val="NormalTok"/>
        </w:rPr>
        <w:t xml:space="preserve"> obj</w:t>
      </w:r>
      <w:r>
        <w:rPr>
          <w:rStyle w:val="OtherTok"/>
        </w:rPr>
        <w:t xml:space="preserve">(</w:t>
      </w:r>
      <w:r>
        <w:rPr>
          <w:rStyle w:val="StringTok"/>
        </w:rPr>
        <w:t xml:space="preserve">"status"</w:t>
      </w:r>
      <w:r>
        <w:rPr>
          <w:rStyle w:val="OtherTok"/>
        </w:rPr>
        <w:t xml:space="preserve">)</w:t>
      </w:r>
      <w:r>
        <w:br/>
      </w:r>
      <w:r>
        <w:br/>
      </w:r>
      <w:r>
        <w:rPr>
          <w:rStyle w:val="KeywordTok"/>
        </w:rPr>
        <w:t xml:space="preserve">Set</w:t>
      </w:r>
      <w:r>
        <w:rPr>
          <w:rStyle w:val="NormalTok"/>
        </w:rPr>
        <w:t xml:space="preserve"> obj = </w:t>
      </w:r>
      <w:r>
        <w:rPr>
          <w:rStyle w:val="KeywordTok"/>
        </w:rPr>
        <w:t xml:space="preserve">Nothing</w:t>
      </w:r>
      <w:r>
        <w:br/>
      </w:r>
      <w:r>
        <w:rPr>
          <w:rStyle w:val="KeywordTok"/>
        </w:rPr>
        <w:t xml:space="preserve">Set</w:t>
      </w:r>
      <w:r>
        <w:rPr>
          <w:rStyle w:val="NormalTok"/>
        </w:rPr>
        <w:t xml:space="preserve"> json = </w:t>
      </w:r>
      <w:r>
        <w:rPr>
          <w:rStyle w:val="KeywordTok"/>
        </w:rPr>
        <w:t xml:space="preserve">Nothing</w:t>
      </w:r>
      <w:r>
        <w:br/>
      </w:r>
      <w:r>
        <w:rPr>
          <w:rStyle w:val="DataTypeTok"/>
        </w:rPr>
        <w:t xml:space="preserve">%&gt;</w:t>
      </w:r>
    </w:p>
    <w:bookmarkEnd w:id="2856"/>
    <w:bookmarkStart w:id="2857" w:name="api-reference-127"/>
    <w:p>
      <w:pPr>
        <w:pStyle w:val="Heading2"/>
      </w:pPr>
      <w:r>
        <w:t xml:space="preserve">API Reference</w:t>
      </w:r>
    </w:p>
    <w:p>
      <w:pPr>
        <w:pStyle w:val="Compact"/>
        <w:numPr>
          <w:ilvl w:val="0"/>
          <w:numId w:val="1707"/>
        </w:numPr>
      </w:pPr>
      <w:r>
        <w:rPr>
          <w:b/>
          <w:bCs/>
        </w:rPr>
        <w:t xml:space="preserve">Object</w:t>
      </w:r>
      <w:r>
        <w:t xml:space="preserve">:</w:t>
      </w:r>
      <w:r>
        <w:t xml:space="preserve"> </w:t>
      </w:r>
      <w:r>
        <w:rPr>
          <w:rStyle w:val="VerbatimChar"/>
        </w:rPr>
        <w:t xml:space="preserve">G3JSON</w:t>
      </w:r>
    </w:p>
    <w:p>
      <w:pPr>
        <w:pStyle w:val="Compact"/>
        <w:numPr>
          <w:ilvl w:val="0"/>
          <w:numId w:val="1707"/>
        </w:numPr>
      </w:pPr>
      <w:r>
        <w:rPr>
          <w:b/>
          <w:bCs/>
        </w:rPr>
        <w:t xml:space="preserve">Method</w:t>
      </w:r>
      <w:r>
        <w:t xml:space="preserve">:</w:t>
      </w:r>
      <w:r>
        <w:t xml:space="preserve"> </w:t>
      </w:r>
      <w:r>
        <w:rPr>
          <w:rStyle w:val="VerbatimChar"/>
        </w:rPr>
        <w:t xml:space="preserve">NewObject</w:t>
      </w:r>
    </w:p>
    <w:p>
      <w:pPr>
        <w:pStyle w:val="Compact"/>
        <w:numPr>
          <w:ilvl w:val="0"/>
          <w:numId w:val="1707"/>
        </w:numPr>
      </w:pPr>
      <w:r>
        <w:rPr>
          <w:b/>
          <w:bCs/>
        </w:rPr>
        <w:t xml:space="preserve">Arguments</w:t>
      </w:r>
      <w:r>
        <w:t xml:space="preserve">: none</w:t>
      </w:r>
    </w:p>
    <w:p>
      <w:pPr>
        <w:pStyle w:val="Compact"/>
        <w:numPr>
          <w:ilvl w:val="0"/>
          <w:numId w:val="1707"/>
        </w:numPr>
      </w:pPr>
      <w:r>
        <w:rPr>
          <w:b/>
          <w:bCs/>
        </w:rPr>
        <w:t xml:space="preserve">Returns</w:t>
      </w:r>
      <w:r>
        <w:t xml:space="preserve">: Scripting.Dictionary — empty dictionary object</w:t>
      </w:r>
    </w:p>
    <w:bookmarkEnd w:id="2857"/>
    <w:bookmarkEnd w:id="2858"/>
    <w:bookmarkStart w:id="2867" w:name="parse-json-text"/>
    <w:p>
      <w:pPr>
        <w:pStyle w:val="Heading1"/>
      </w:pPr>
      <w:r>
        <w:t xml:space="preserve">Parse JSON Text</w:t>
      </w:r>
    </w:p>
    <w:bookmarkStart w:id="2859" w:name="overview-273"/>
    <w:p>
      <w:pPr>
        <w:pStyle w:val="Heading2"/>
      </w:pPr>
      <w:r>
        <w:t xml:space="preserve">Overview</w:t>
      </w:r>
    </w:p>
    <w:p>
      <w:pPr>
        <w:pStyle w:val="FirstParagraph"/>
      </w:pPr>
      <w:r>
        <w:t xml:space="preserve">Parses JSON text and returns the corresponding native G3Pix AxonASP value.</w:t>
      </w:r>
    </w:p>
    <w:bookmarkEnd w:id="2859"/>
    <w:bookmarkStart w:id="2860" w:name="prerequisites-12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Server.CreateObject("G3JSON")</w:t>
      </w:r>
      <w:r>
        <w:t xml:space="preserve">.</w:t>
      </w:r>
    </w:p>
    <w:bookmarkEnd w:id="2860"/>
    <w:bookmarkStart w:id="2861" w:name="syntax-282"/>
    <w:p>
      <w:pPr>
        <w:pStyle w:val="Heading2"/>
      </w:pPr>
      <w:r>
        <w:t xml:space="preserve">Syntax</w:t>
      </w:r>
    </w:p>
    <w:p>
      <w:pPr>
        <w:pStyle w:val="SourceCode"/>
      </w:pPr>
      <w:r>
        <w:rPr>
          <w:rStyle w:val="NormalTok"/>
        </w:rPr>
        <w:t xml:space="preserve">result = json.Parse(jsonText)</w:t>
      </w:r>
    </w:p>
    <w:bookmarkEnd w:id="2861"/>
    <w:bookmarkStart w:id="2862" w:name="parameters-18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jsonText</w:t>
            </w:r>
          </w:p>
        </w:tc>
        <w:tc>
          <w:tcPr/>
          <w:p>
            <w:pPr>
              <w:pStyle w:val="Compact"/>
            </w:pPr>
            <w:r>
              <w:t xml:space="preserve">String</w:t>
            </w:r>
          </w:p>
        </w:tc>
        <w:tc>
          <w:tcPr/>
          <w:p>
            <w:pPr>
              <w:pStyle w:val="Compact"/>
            </w:pPr>
            <w:r>
              <w:t xml:space="preserve">Yes</w:t>
            </w:r>
          </w:p>
        </w:tc>
        <w:tc>
          <w:tcPr/>
          <w:p>
            <w:pPr>
              <w:pStyle w:val="Compact"/>
            </w:pPr>
            <w:r>
              <w:t xml:space="preserve">JSON payload to parse.</w:t>
            </w:r>
          </w:p>
        </w:tc>
      </w:tr>
    </w:tbl>
    <w:bookmarkEnd w:id="2862"/>
    <w:bookmarkStart w:id="2863" w:name="return-value-206"/>
    <w:p>
      <w:pPr>
        <w:pStyle w:val="Heading2"/>
      </w:pPr>
      <w:r>
        <w:t xml:space="preserve">Return Value</w:t>
      </w:r>
    </w:p>
    <w:p>
      <w:pPr>
        <w:pStyle w:val="Compact"/>
        <w:numPr>
          <w:ilvl w:val="0"/>
          <w:numId w:val="1708"/>
        </w:numPr>
      </w:pPr>
      <w:r>
        <w:rPr>
          <w:b/>
          <w:bCs/>
        </w:rPr>
        <w:t xml:space="preserve">Scripting.Dictionary</w:t>
      </w:r>
      <w:r>
        <w:t xml:space="preserve">: Returned when the JSON root is an object.</w:t>
      </w:r>
    </w:p>
    <w:p>
      <w:pPr>
        <w:pStyle w:val="Compact"/>
        <w:numPr>
          <w:ilvl w:val="0"/>
          <w:numId w:val="1708"/>
        </w:numPr>
      </w:pPr>
      <w:r>
        <w:rPr>
          <w:b/>
          <w:bCs/>
        </w:rPr>
        <w:t xml:space="preserve">Array</w:t>
      </w:r>
      <w:r>
        <w:t xml:space="preserve">: Returned when the JSON root is an array.</w:t>
      </w:r>
    </w:p>
    <w:p>
      <w:pPr>
        <w:pStyle w:val="Compact"/>
        <w:numPr>
          <w:ilvl w:val="0"/>
          <w:numId w:val="1708"/>
        </w:numPr>
      </w:pPr>
      <w:r>
        <w:rPr>
          <w:b/>
          <w:bCs/>
        </w:rPr>
        <w:t xml:space="preserve">String / Integer / Double / Boolean / Null</w:t>
      </w:r>
      <w:r>
        <w:t xml:space="preserve">: Returned when the JSON root is a primitive.</w:t>
      </w:r>
    </w:p>
    <w:p>
      <w:pPr>
        <w:pStyle w:val="Compact"/>
        <w:numPr>
          <w:ilvl w:val="0"/>
          <w:numId w:val="1708"/>
        </w:numPr>
      </w:pPr>
      <w:r>
        <w:rPr>
          <w:b/>
          <w:bCs/>
        </w:rPr>
        <w:t xml:space="preserve">Empty</w:t>
      </w:r>
      <w:r>
        <w:t xml:space="preserve">: Returned when the argument is missing, empty, or invalid JSON.</w:t>
      </w:r>
    </w:p>
    <w:bookmarkEnd w:id="2863"/>
    <w:bookmarkStart w:id="2864" w:name="remarks-258"/>
    <w:p>
      <w:pPr>
        <w:pStyle w:val="Heading2"/>
      </w:pPr>
      <w:r>
        <w:t xml:space="preserve">Remarks</w:t>
      </w:r>
    </w:p>
    <w:p>
      <w:pPr>
        <w:pStyle w:val="Compact"/>
        <w:numPr>
          <w:ilvl w:val="0"/>
          <w:numId w:val="1709"/>
        </w:numPr>
      </w:pPr>
      <w:r>
        <w:t xml:space="preserve">Method names are case-insensitive.</w:t>
      </w:r>
    </w:p>
    <w:p>
      <w:pPr>
        <w:pStyle w:val="Compact"/>
        <w:numPr>
          <w:ilvl w:val="0"/>
          <w:numId w:val="1709"/>
        </w:numPr>
      </w:pPr>
      <w:r>
        <w:t xml:space="preserve">Object and array values are converted recursively.</w:t>
      </w:r>
    </w:p>
    <w:bookmarkEnd w:id="2864"/>
    <w:bookmarkStart w:id="2865" w:name="example-20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json</w:t>
      </w:r>
      <w:r>
        <w:rPr>
          <w:rStyle w:val="OtherTok"/>
        </w:rPr>
        <w:t xml:space="preserve">,</w:t>
      </w:r>
      <w:r>
        <w:rPr>
          <w:rStyle w:val="NormalTok"/>
        </w:rPr>
        <w:t xml:space="preserve"> data</w:t>
      </w:r>
      <w:r>
        <w:br/>
      </w:r>
      <w:r>
        <w:rPr>
          <w:rStyle w:val="KeywordTok"/>
        </w:rPr>
        <w:t xml:space="preserve">Set</w:t>
      </w:r>
      <w:r>
        <w:rPr>
          <w:rStyle w:val="NormalTok"/>
        </w:rPr>
        <w:t xml:space="preserve"> json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"G3JSON"</w:t>
      </w:r>
      <w:r>
        <w:rPr>
          <w:rStyle w:val="OtherTok"/>
        </w:rPr>
        <w:t xml:space="preserve">)</w:t>
      </w:r>
      <w:r>
        <w:br/>
      </w:r>
      <w:r>
        <w:br/>
      </w:r>
      <w:r>
        <w:rPr>
          <w:rStyle w:val="KeywordTok"/>
        </w:rPr>
        <w:t xml:space="preserve">Set</w:t>
      </w:r>
      <w:r>
        <w:rPr>
          <w:rStyle w:val="NormalTok"/>
        </w:rPr>
        <w:t xml:space="preserve"> data = json.Parse</w:t>
      </w:r>
      <w:r>
        <w:rPr>
          <w:rStyle w:val="OtherTok"/>
        </w:rPr>
        <w:t xml:space="preserve">(</w:t>
      </w:r>
      <w:r>
        <w:rPr>
          <w:rStyle w:val="StringTok"/>
        </w:rPr>
        <w:t xml:space="preserve">"{</w:t>
      </w:r>
      <w:r>
        <w:rPr>
          <w:rStyle w:val="SpecialCharTok"/>
        </w:rPr>
        <w:t xml:space="preserve">""</w:t>
      </w:r>
      <w:r>
        <w:rPr>
          <w:rStyle w:val="StringTok"/>
        </w:rPr>
        <w:t xml:space="preserve">name</w:t>
      </w:r>
      <w:r>
        <w:rPr>
          <w:rStyle w:val="SpecialCharTok"/>
        </w:rPr>
        <w:t xml:space="preserve">""</w:t>
      </w:r>
      <w:r>
        <w:rPr>
          <w:rStyle w:val="StringTok"/>
        </w:rPr>
        <w:t xml:space="preserve">: </w:t>
      </w:r>
      <w:r>
        <w:rPr>
          <w:rStyle w:val="SpecialCharTok"/>
        </w:rPr>
        <w:t xml:space="preserve">""</w:t>
      </w:r>
      <w:r>
        <w:rPr>
          <w:rStyle w:val="StringTok"/>
        </w:rPr>
        <w:t xml:space="preserve">AxonASP</w:t>
      </w:r>
      <w:r>
        <w:rPr>
          <w:rStyle w:val="SpecialCharTok"/>
        </w:rPr>
        <w:t xml:space="preserve">""</w:t>
      </w:r>
      <w:r>
        <w:rPr>
          <w:rStyle w:val="StringTok"/>
        </w:rPr>
        <w:t xml:space="preserve">, </w:t>
      </w:r>
      <w:r>
        <w:rPr>
          <w:rStyle w:val="SpecialCharTok"/>
        </w:rPr>
        <w:t xml:space="preserve">""</w:t>
      </w:r>
      <w:r>
        <w:rPr>
          <w:rStyle w:val="StringTok"/>
        </w:rPr>
        <w:t xml:space="preserve">enabled</w:t>
      </w:r>
      <w:r>
        <w:rPr>
          <w:rStyle w:val="SpecialCharTok"/>
        </w:rPr>
        <w:t xml:space="preserve">""</w:t>
      </w:r>
      <w:r>
        <w:rPr>
          <w:rStyle w:val="StringTok"/>
        </w:rPr>
        <w:t xml:space="preserve">: true}"</w:t>
      </w:r>
      <w:r>
        <w:rPr>
          <w:rStyle w:val="OtherTok"/>
        </w:rPr>
        <w:t xml:space="preserve">)</w:t>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data</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data</w:t>
      </w:r>
      <w:r>
        <w:rPr>
          <w:rStyle w:val="OtherTok"/>
        </w:rPr>
        <w:t xml:space="preserve">(</w:t>
      </w:r>
      <w:r>
        <w:rPr>
          <w:rStyle w:val="StringTok"/>
        </w:rPr>
        <w:t xml:space="preserve">"name"</w:t>
      </w:r>
      <w:r>
        <w:rPr>
          <w:rStyle w:val="OtherTok"/>
        </w:rPr>
        <w:t xml:space="preserve">)</w:t>
      </w:r>
      <w:r>
        <w:br/>
      </w:r>
      <w:r>
        <w:rPr>
          <w:rStyle w:val="ControlFlowTok"/>
        </w:rPr>
        <w:t xml:space="preserve">End If</w:t>
      </w:r>
      <w:r>
        <w:br/>
      </w:r>
      <w:r>
        <w:br/>
      </w:r>
      <w:r>
        <w:rPr>
          <w:rStyle w:val="KeywordTok"/>
        </w:rPr>
        <w:t xml:space="preserve">Set</w:t>
      </w:r>
      <w:r>
        <w:rPr>
          <w:rStyle w:val="NormalTok"/>
        </w:rPr>
        <w:t xml:space="preserve"> data = </w:t>
      </w:r>
      <w:r>
        <w:rPr>
          <w:rStyle w:val="KeywordTok"/>
        </w:rPr>
        <w:t xml:space="preserve">Nothing</w:t>
      </w:r>
      <w:r>
        <w:br/>
      </w:r>
      <w:r>
        <w:rPr>
          <w:rStyle w:val="KeywordTok"/>
        </w:rPr>
        <w:t xml:space="preserve">Set</w:t>
      </w:r>
      <w:r>
        <w:rPr>
          <w:rStyle w:val="NormalTok"/>
        </w:rPr>
        <w:t xml:space="preserve"> json = </w:t>
      </w:r>
      <w:r>
        <w:rPr>
          <w:rStyle w:val="KeywordTok"/>
        </w:rPr>
        <w:t xml:space="preserve">Nothing</w:t>
      </w:r>
      <w:r>
        <w:br/>
      </w:r>
      <w:r>
        <w:rPr>
          <w:rStyle w:val="DataTypeTok"/>
        </w:rPr>
        <w:t xml:space="preserve">%&gt;</w:t>
      </w:r>
    </w:p>
    <w:bookmarkEnd w:id="2865"/>
    <w:bookmarkStart w:id="2866" w:name="api-reference-128"/>
    <w:p>
      <w:pPr>
        <w:pStyle w:val="Heading2"/>
      </w:pPr>
      <w:r>
        <w:t xml:space="preserve">API Reference</w:t>
      </w:r>
    </w:p>
    <w:p>
      <w:pPr>
        <w:pStyle w:val="Compact"/>
        <w:numPr>
          <w:ilvl w:val="0"/>
          <w:numId w:val="1710"/>
        </w:numPr>
      </w:pPr>
      <w:r>
        <w:rPr>
          <w:b/>
          <w:bCs/>
        </w:rPr>
        <w:t xml:space="preserve">Object</w:t>
      </w:r>
      <w:r>
        <w:t xml:space="preserve">:</w:t>
      </w:r>
      <w:r>
        <w:t xml:space="preserve"> </w:t>
      </w:r>
      <w:r>
        <w:rPr>
          <w:rStyle w:val="VerbatimChar"/>
        </w:rPr>
        <w:t xml:space="preserve">G3JSON</w:t>
      </w:r>
    </w:p>
    <w:p>
      <w:pPr>
        <w:pStyle w:val="Compact"/>
        <w:numPr>
          <w:ilvl w:val="0"/>
          <w:numId w:val="1710"/>
        </w:numPr>
      </w:pPr>
      <w:r>
        <w:rPr>
          <w:b/>
          <w:bCs/>
        </w:rPr>
        <w:t xml:space="preserve">Method</w:t>
      </w:r>
      <w:r>
        <w:t xml:space="preserve">:</w:t>
      </w:r>
      <w:r>
        <w:t xml:space="preserve"> </w:t>
      </w:r>
      <w:r>
        <w:rPr>
          <w:rStyle w:val="VerbatimChar"/>
        </w:rPr>
        <w:t xml:space="preserve">Parse</w:t>
      </w:r>
    </w:p>
    <w:p>
      <w:pPr>
        <w:pStyle w:val="Compact"/>
        <w:numPr>
          <w:ilvl w:val="0"/>
          <w:numId w:val="1710"/>
        </w:numPr>
      </w:pPr>
      <w:r>
        <w:rPr>
          <w:b/>
          <w:bCs/>
        </w:rPr>
        <w:t xml:space="preserve">Arguments</w:t>
      </w:r>
      <w:r>
        <w:t xml:space="preserve">:</w:t>
      </w:r>
      <w:r>
        <w:t xml:space="preserve"> </w:t>
      </w:r>
      <w:r>
        <w:rPr>
          <w:rStyle w:val="VerbatimChar"/>
        </w:rPr>
        <w:t xml:space="preserve">jsonText</w:t>
      </w:r>
      <w:r>
        <w:t xml:space="preserve"> </w:t>
      </w:r>
      <w:r>
        <w:t xml:space="preserve">(String, required)</w:t>
      </w:r>
    </w:p>
    <w:p>
      <w:pPr>
        <w:pStyle w:val="Compact"/>
        <w:numPr>
          <w:ilvl w:val="0"/>
          <w:numId w:val="1710"/>
        </w:numPr>
      </w:pPr>
      <w:r>
        <w:rPr>
          <w:b/>
          <w:bCs/>
        </w:rPr>
        <w:t xml:space="preserve">Returns</w:t>
      </w:r>
      <w:r>
        <w:t xml:space="preserve">: Dictionary, Array, scalar primitive, Null, or Empty on failure</w:t>
      </w:r>
    </w:p>
    <w:bookmarkEnd w:id="2866"/>
    <w:bookmarkEnd w:id="2867"/>
    <w:bookmarkStart w:id="2877" w:name="serialize-data-to-json-text"/>
    <w:p>
      <w:pPr>
        <w:pStyle w:val="Heading1"/>
      </w:pPr>
      <w:r>
        <w:t xml:space="preserve">Serialize Data to JSON Text</w:t>
      </w:r>
    </w:p>
    <w:bookmarkStart w:id="2868" w:name="overview-274"/>
    <w:p>
      <w:pPr>
        <w:pStyle w:val="Heading2"/>
      </w:pPr>
      <w:r>
        <w:t xml:space="preserve">Overview</w:t>
      </w:r>
    </w:p>
    <w:p>
      <w:pPr>
        <w:pStyle w:val="FirstParagraph"/>
      </w:pPr>
      <w:r>
        <w:t xml:space="preserve">Serializes a native G3Pix AxonASP value into JSON text.</w:t>
      </w:r>
    </w:p>
    <w:bookmarkEnd w:id="2868"/>
    <w:bookmarkStart w:id="2869" w:name="prerequisites-12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Server.CreateObject("G3JSON")</w:t>
      </w:r>
      <w:r>
        <w:t xml:space="preserve">.</w:t>
      </w:r>
    </w:p>
    <w:bookmarkEnd w:id="2869"/>
    <w:bookmarkStart w:id="2870" w:name="syntax-283"/>
    <w:p>
      <w:pPr>
        <w:pStyle w:val="Heading2"/>
      </w:pPr>
      <w:r>
        <w:t xml:space="preserve">Syntax</w:t>
      </w:r>
    </w:p>
    <w:p>
      <w:pPr>
        <w:pStyle w:val="SourceCode"/>
      </w:pPr>
      <w:r>
        <w:rPr>
          <w:rStyle w:val="NormalTok"/>
        </w:rPr>
        <w:t xml:space="preserve">jsonText = json.Stringify(value)</w:t>
      </w:r>
    </w:p>
    <w:bookmarkEnd w:id="2870"/>
    <w:bookmarkStart w:id="2871" w:name="parameters-18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value</w:t>
            </w:r>
          </w:p>
        </w:tc>
        <w:tc>
          <w:tcPr/>
          <w:p>
            <w:pPr>
              <w:pStyle w:val="Compact"/>
            </w:pPr>
            <w:r>
              <w:t xml:space="preserve">Any</w:t>
            </w:r>
          </w:p>
        </w:tc>
        <w:tc>
          <w:tcPr/>
          <w:p>
            <w:pPr>
              <w:pStyle w:val="Compact"/>
            </w:pPr>
            <w:r>
              <w:t xml:space="preserve">Yes</w:t>
            </w:r>
          </w:p>
        </w:tc>
        <w:tc>
          <w:tcPr/>
          <w:p>
            <w:pPr>
              <w:pStyle w:val="Compact"/>
            </w:pPr>
            <w:r>
              <w:t xml:space="preserve">Dictionary, array, scalar value, Null, or Empty.</w:t>
            </w:r>
          </w:p>
        </w:tc>
      </w:tr>
    </w:tbl>
    <w:bookmarkEnd w:id="2871"/>
    <w:bookmarkStart w:id="2872" w:name="return-value-207"/>
    <w:p>
      <w:pPr>
        <w:pStyle w:val="Heading2"/>
      </w:pPr>
      <w:r>
        <w:t xml:space="preserve">Return Value</w:t>
      </w:r>
    </w:p>
    <w:p>
      <w:pPr>
        <w:pStyle w:val="Compact"/>
        <w:numPr>
          <w:ilvl w:val="0"/>
          <w:numId w:val="1711"/>
        </w:numPr>
      </w:pPr>
      <w:r>
        <w:rPr>
          <w:b/>
          <w:bCs/>
        </w:rPr>
        <w:t xml:space="preserve">String</w:t>
      </w:r>
      <w:r>
        <w:t xml:space="preserve">: Serialized JSON text when serialization succeeds.</w:t>
      </w:r>
    </w:p>
    <w:p>
      <w:pPr>
        <w:pStyle w:val="Compact"/>
        <w:numPr>
          <w:ilvl w:val="0"/>
          <w:numId w:val="1711"/>
        </w:numPr>
      </w:pPr>
      <w:r>
        <w:rPr>
          <w:b/>
          <w:bCs/>
        </w:rPr>
        <w:t xml:space="preserve">String</w:t>
      </w:r>
      <w:r>
        <w:t xml:space="preserve">: Empty string when the argument is missing.</w:t>
      </w:r>
    </w:p>
    <w:p>
      <w:pPr>
        <w:pStyle w:val="Compact"/>
        <w:numPr>
          <w:ilvl w:val="0"/>
          <w:numId w:val="1711"/>
        </w:numPr>
      </w:pPr>
      <w:r>
        <w:rPr>
          <w:b/>
          <w:bCs/>
        </w:rPr>
        <w:t xml:space="preserve">String</w:t>
      </w:r>
      <w:r>
        <w:t xml:space="preserve">: Empty string when serialization fails.</w:t>
      </w:r>
    </w:p>
    <w:bookmarkEnd w:id="2872"/>
    <w:bookmarkStart w:id="2873" w:name="remarks-259"/>
    <w:p>
      <w:pPr>
        <w:pStyle w:val="Heading2"/>
      </w:pPr>
      <w:r>
        <w:t xml:space="preserve">Remarks</w:t>
      </w:r>
    </w:p>
    <w:p>
      <w:pPr>
        <w:pStyle w:val="Compact"/>
        <w:numPr>
          <w:ilvl w:val="0"/>
          <w:numId w:val="1712"/>
        </w:numPr>
      </w:pPr>
      <w:r>
        <w:t xml:space="preserve">Dictionary keys become JSON object properties.</w:t>
      </w:r>
    </w:p>
    <w:p>
      <w:pPr>
        <w:pStyle w:val="Compact"/>
        <w:numPr>
          <w:ilvl w:val="0"/>
          <w:numId w:val="1712"/>
        </w:numPr>
      </w:pPr>
      <w:r>
        <w:t xml:space="preserve">Array values preserve source order.</w:t>
      </w:r>
    </w:p>
    <w:bookmarkEnd w:id="2873"/>
    <w:bookmarkStart w:id="2874" w:name="example-20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json</w:t>
      </w:r>
      <w:r>
        <w:rPr>
          <w:rStyle w:val="OtherTok"/>
        </w:rPr>
        <w:t xml:space="preserve">,</w:t>
      </w:r>
      <w:r>
        <w:rPr>
          <w:rStyle w:val="NormalTok"/>
        </w:rPr>
        <w:t xml:space="preserve"> obj</w:t>
      </w:r>
      <w:r>
        <w:rPr>
          <w:rStyle w:val="OtherTok"/>
        </w:rPr>
        <w:t xml:space="preserve">,</w:t>
      </w:r>
      <w:r>
        <w:rPr>
          <w:rStyle w:val="NormalTok"/>
        </w:rPr>
        <w:t xml:space="preserve"> payload</w:t>
      </w:r>
      <w:r>
        <w:br/>
      </w:r>
      <w:r>
        <w:rPr>
          <w:rStyle w:val="KeywordTok"/>
        </w:rPr>
        <w:t xml:space="preserve">Set</w:t>
      </w:r>
      <w:r>
        <w:rPr>
          <w:rStyle w:val="NormalTok"/>
        </w:rPr>
        <w:t xml:space="preserve"> json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"G3JSON"</w:t>
      </w:r>
      <w:r>
        <w:rPr>
          <w:rStyle w:val="OtherTok"/>
        </w:rPr>
        <w:t xml:space="preserve">)</w:t>
      </w:r>
      <w:r>
        <w:br/>
      </w:r>
      <w:r>
        <w:br/>
      </w:r>
      <w:r>
        <w:rPr>
          <w:rStyle w:val="KeywordTok"/>
        </w:rPr>
        <w:t xml:space="preserve">Set</w:t>
      </w:r>
      <w:r>
        <w:rPr>
          <w:rStyle w:val="NormalTok"/>
        </w:rPr>
        <w:t xml:space="preserve"> obj = json.NewObject</w:t>
      </w:r>
      <w:r>
        <w:rPr>
          <w:rStyle w:val="OtherTok"/>
        </w:rPr>
        <w:t xml:space="preserve">()</w:t>
      </w:r>
      <w:r>
        <w:br/>
      </w:r>
      <w:r>
        <w:rPr>
          <w:rStyle w:val="NormalTok"/>
        </w:rPr>
        <w:t xml:space="preserve">obj.</w:t>
      </w:r>
      <w:r>
        <w:rPr>
          <w:rStyle w:val="FunctionTok"/>
        </w:rPr>
        <w:t xml:space="preserve">Add</w:t>
      </w:r>
      <w:r>
        <w:rPr>
          <w:rStyle w:val="NormalTok"/>
        </w:rPr>
        <w:t xml:space="preserve"> </w:t>
      </w:r>
      <w:r>
        <w:rPr>
          <w:rStyle w:val="StringTok"/>
        </w:rPr>
        <w:t xml:space="preserve">"name"</w:t>
      </w:r>
      <w:r>
        <w:rPr>
          <w:rStyle w:val="OtherTok"/>
        </w:rPr>
        <w:t xml:space="preserve">,</w:t>
      </w:r>
      <w:r>
        <w:rPr>
          <w:rStyle w:val="NormalTok"/>
        </w:rPr>
        <w:t xml:space="preserve"> </w:t>
      </w:r>
      <w:r>
        <w:rPr>
          <w:rStyle w:val="StringTok"/>
        </w:rPr>
        <w:t xml:space="preserve">"G3Pix AxonASP"</w:t>
      </w:r>
      <w:r>
        <w:br/>
      </w:r>
      <w:r>
        <w:rPr>
          <w:rStyle w:val="NormalTok"/>
        </w:rPr>
        <w:t xml:space="preserve">obj.</w:t>
      </w:r>
      <w:r>
        <w:rPr>
          <w:rStyle w:val="FunctionTok"/>
        </w:rPr>
        <w:t xml:space="preserve">Add</w:t>
      </w:r>
      <w:r>
        <w:rPr>
          <w:rStyle w:val="NormalTok"/>
        </w:rPr>
        <w:t xml:space="preserve"> </w:t>
      </w:r>
      <w:r>
        <w:rPr>
          <w:rStyle w:val="StringTok"/>
        </w:rPr>
        <w:t xml:space="preserve">"ok"</w:t>
      </w:r>
      <w:r>
        <w:rPr>
          <w:rStyle w:val="OtherTok"/>
        </w:rPr>
        <w:t xml:space="preserve">,</w:t>
      </w:r>
      <w:r>
        <w:rPr>
          <w:rStyle w:val="NormalTok"/>
        </w:rPr>
        <w:t xml:space="preserve"> </w:t>
      </w:r>
      <w:r>
        <w:rPr>
          <w:rStyle w:val="KeywordTok"/>
        </w:rPr>
        <w:t xml:space="preserve">True</w:t>
      </w:r>
      <w:r>
        <w:br/>
      </w:r>
      <w:r>
        <w:br/>
      </w:r>
      <w:r>
        <w:rPr>
          <w:rStyle w:val="NormalTok"/>
        </w:rPr>
        <w:t xml:space="preserve">payload = json.Stringify</w:t>
      </w:r>
      <w:r>
        <w:rPr>
          <w:rStyle w:val="OtherTok"/>
        </w:rPr>
        <w:t xml:space="preserve">(</w:t>
      </w:r>
      <w:r>
        <w:rPr>
          <w:rStyle w:val="NormalTok"/>
        </w:rPr>
        <w:t xml:space="preserve">obj</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payload</w:t>
      </w:r>
      <w:r>
        <w:br/>
      </w:r>
      <w:r>
        <w:br/>
      </w:r>
      <w:r>
        <w:rPr>
          <w:rStyle w:val="KeywordTok"/>
        </w:rPr>
        <w:t xml:space="preserve">Set</w:t>
      </w:r>
      <w:r>
        <w:rPr>
          <w:rStyle w:val="NormalTok"/>
        </w:rPr>
        <w:t xml:space="preserve"> obj = </w:t>
      </w:r>
      <w:r>
        <w:rPr>
          <w:rStyle w:val="KeywordTok"/>
        </w:rPr>
        <w:t xml:space="preserve">Nothing</w:t>
      </w:r>
      <w:r>
        <w:br/>
      </w:r>
      <w:r>
        <w:rPr>
          <w:rStyle w:val="KeywordTok"/>
        </w:rPr>
        <w:t xml:space="preserve">Set</w:t>
      </w:r>
      <w:r>
        <w:rPr>
          <w:rStyle w:val="NormalTok"/>
        </w:rPr>
        <w:t xml:space="preserve"> json = </w:t>
      </w:r>
      <w:r>
        <w:rPr>
          <w:rStyle w:val="KeywordTok"/>
        </w:rPr>
        <w:t xml:space="preserve">Nothing</w:t>
      </w:r>
      <w:r>
        <w:br/>
      </w:r>
      <w:r>
        <w:rPr>
          <w:rStyle w:val="DataTypeTok"/>
        </w:rPr>
        <w:t xml:space="preserve">%&gt;</w:t>
      </w:r>
    </w:p>
    <w:bookmarkEnd w:id="2874"/>
    <w:bookmarkStart w:id="2875" w:name="api-reference-129"/>
    <w:p>
      <w:pPr>
        <w:pStyle w:val="Heading2"/>
      </w:pPr>
      <w:r>
        <w:t xml:space="preserve">API Reference</w:t>
      </w:r>
    </w:p>
    <w:p>
      <w:pPr>
        <w:pStyle w:val="Compact"/>
        <w:numPr>
          <w:ilvl w:val="0"/>
          <w:numId w:val="1713"/>
        </w:numPr>
      </w:pPr>
      <w:r>
        <w:rPr>
          <w:b/>
          <w:bCs/>
        </w:rPr>
        <w:t xml:space="preserve">Object</w:t>
      </w:r>
      <w:r>
        <w:t xml:space="preserve">:</w:t>
      </w:r>
      <w:r>
        <w:t xml:space="preserve"> </w:t>
      </w:r>
      <w:r>
        <w:rPr>
          <w:rStyle w:val="VerbatimChar"/>
        </w:rPr>
        <w:t xml:space="preserve">G3JSON</w:t>
      </w:r>
    </w:p>
    <w:p>
      <w:pPr>
        <w:pStyle w:val="Compact"/>
        <w:numPr>
          <w:ilvl w:val="0"/>
          <w:numId w:val="1713"/>
        </w:numPr>
      </w:pPr>
      <w:r>
        <w:rPr>
          <w:b/>
          <w:bCs/>
        </w:rPr>
        <w:t xml:space="preserve">Method</w:t>
      </w:r>
      <w:r>
        <w:t xml:space="preserve">:</w:t>
      </w:r>
      <w:r>
        <w:t xml:space="preserve"> </w:t>
      </w:r>
      <w:r>
        <w:rPr>
          <w:rStyle w:val="VerbatimChar"/>
        </w:rPr>
        <w:t xml:space="preserve">Stringify</w:t>
      </w:r>
    </w:p>
    <w:p>
      <w:pPr>
        <w:pStyle w:val="Compact"/>
        <w:numPr>
          <w:ilvl w:val="0"/>
          <w:numId w:val="1713"/>
        </w:numPr>
      </w:pPr>
      <w:r>
        <w:rPr>
          <w:b/>
          <w:bCs/>
        </w:rPr>
        <w:t xml:space="preserve">Arguments</w:t>
      </w:r>
      <w:r>
        <w:t xml:space="preserve">:</w:t>
      </w:r>
      <w:r>
        <w:t xml:space="preserve"> </w:t>
      </w:r>
      <w:r>
        <w:rPr>
          <w:rStyle w:val="VerbatimChar"/>
        </w:rPr>
        <w:t xml:space="preserve">value</w:t>
      </w:r>
      <w:r>
        <w:t xml:space="preserve"> </w:t>
      </w:r>
      <w:r>
        <w:t xml:space="preserve">(Any, required)</w:t>
      </w:r>
    </w:p>
    <w:p>
      <w:pPr>
        <w:pStyle w:val="Compact"/>
        <w:numPr>
          <w:ilvl w:val="0"/>
          <w:numId w:val="1713"/>
        </w:numPr>
      </w:pPr>
      <w:r>
        <w:rPr>
          <w:b/>
          <w:bCs/>
        </w:rPr>
        <w:t xml:space="preserve">Returns</w:t>
      </w:r>
      <w:r>
        <w:t xml:space="preserve">: String — serialized JSON, or empty string on failure</w:t>
      </w:r>
    </w:p>
    <w:bookmarkEnd w:id="2875"/>
    <w:bookmarkStart w:id="2876" w:name="g3db"/>
    <w:p>
      <w:pPr>
        <w:pStyle w:val="Heading2"/>
      </w:pPr>
      <w:r>
        <w:t xml:space="preserve">G3DB</w:t>
      </w:r>
    </w:p>
    <w:bookmarkEnd w:id="2876"/>
    <w:bookmarkEnd w:id="2877"/>
    <w:bookmarkStart w:id="2885" w:name="use-the-g3db-library"/>
    <w:p>
      <w:pPr>
        <w:pStyle w:val="Heading1"/>
      </w:pPr>
      <w:r>
        <w:t xml:space="preserve">Use the G3DB Library</w:t>
      </w:r>
    </w:p>
    <w:bookmarkStart w:id="2878" w:name="overview-275"/>
    <w:p>
      <w:pPr>
        <w:pStyle w:val="Heading2"/>
      </w:pPr>
      <w:r>
        <w:t xml:space="preserve">Overview</w:t>
      </w:r>
    </w:p>
    <w:p>
      <w:pPr>
        <w:pStyle w:val="FirstParagraph"/>
      </w:pPr>
      <w:r>
        <w:t xml:space="preserve">Use</w:t>
      </w:r>
      <w:r>
        <w:t xml:space="preserve"> </w:t>
      </w:r>
      <w:r>
        <w:rPr>
          <w:b/>
          <w:bCs/>
        </w:rPr>
        <w:t xml:space="preserve">G3DB</w:t>
      </w:r>
      <w:r>
        <w:t xml:space="preserve"> </w:t>
      </w:r>
      <w:r>
        <w:t xml:space="preserve">to access SQL databases through the native G3Pix AxonASP runtime. The library manages a connection pool, supports parameterized SQL, and exposes result, statement, row, and transaction objects for structured workflows.</w:t>
      </w:r>
    </w:p>
    <w:bookmarkEnd w:id="2878"/>
    <w:bookmarkStart w:id="2879" w:name="prerequisites-127"/>
    <w:p>
      <w:pPr>
        <w:pStyle w:val="Heading2"/>
      </w:pPr>
      <w:r>
        <w:t xml:space="preserve">Prerequisites</w:t>
      </w:r>
    </w:p>
    <w:p>
      <w:pPr>
        <w:pStyle w:val="Compact"/>
        <w:numPr>
          <w:ilvl w:val="0"/>
          <w:numId w:val="1714"/>
        </w:numPr>
      </w:pPr>
      <w:r>
        <w:t xml:space="preserve">Reachable database server or local SQLite file path.</w:t>
      </w:r>
    </w:p>
    <w:p>
      <w:pPr>
        <w:pStyle w:val="Compact"/>
        <w:numPr>
          <w:ilvl w:val="0"/>
          <w:numId w:val="1714"/>
        </w:numPr>
      </w:pPr>
      <w:r>
        <w:t xml:space="preserve">Valid driver and connection string, or configured environment-based settings.</w:t>
      </w:r>
    </w:p>
    <w:p>
      <w:pPr>
        <w:pStyle w:val="Compact"/>
        <w:numPr>
          <w:ilvl w:val="0"/>
          <w:numId w:val="1714"/>
        </w:numPr>
      </w:pPr>
      <w:r>
        <w:t xml:space="preserve">Create the object with the primary ProgID:</w:t>
      </w:r>
    </w:p>
    <w:p>
      <w:pPr>
        <w:pStyle w:val="SourceCode"/>
      </w:pPr>
      <w:r>
        <w:rPr>
          <w:rStyle w:val="NormalTok"/>
        </w:rPr>
        <w:t xml:space="preserve">Dim db</w:t>
      </w:r>
      <w:r>
        <w:br/>
      </w:r>
      <w:r>
        <w:rPr>
          <w:rStyle w:val="NormalTok"/>
        </w:rPr>
        <w:t xml:space="preserve">Set db = Server.CreateObject("G3DB")</w:t>
      </w:r>
    </w:p>
    <w:p>
      <w:pPr>
        <w:pStyle w:val="SourceCode"/>
      </w:pPr>
      <w:r>
        <w:rPr>
          <w:rStyle w:val="KeywordTok"/>
        </w:rPr>
        <w:t xml:space="preserve">var</w:t>
      </w:r>
      <w:r>
        <w:rPr>
          <w:rStyle w:val="NormalTok"/>
        </w:rPr>
        <w:t xml:space="preserve"> db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"G3DB"</w:t>
      </w:r>
      <w:r>
        <w:rPr>
          <w:rStyle w:val="NormalTok"/>
        </w:rPr>
        <w:t xml:space="preserve">)</w:t>
      </w:r>
      <w:r>
        <w:rPr>
          <w:rStyle w:val="OperatorTok"/>
        </w:rPr>
        <w:t xml:space="preserve">;</w:t>
      </w:r>
    </w:p>
    <w:bookmarkEnd w:id="2879"/>
    <w:bookmarkStart w:id="2880" w:name="how-it-works-18"/>
    <w:p>
      <w:pPr>
        <w:pStyle w:val="Heading2"/>
      </w:pPr>
      <w:r>
        <w:t xml:space="preserve">How It Works</w:t>
      </w:r>
    </w:p>
    <w:p>
      <w:pPr>
        <w:pStyle w:val="Compact"/>
        <w:numPr>
          <w:ilvl w:val="0"/>
          <w:numId w:val="1715"/>
        </w:numPr>
      </w:pPr>
      <w:r>
        <w:rPr>
          <w:rStyle w:val="VerbatimChar"/>
        </w:rPr>
        <w:t xml:space="preserve">Open</w:t>
      </w:r>
      <w:r>
        <w:t xml:space="preserve"> </w:t>
      </w:r>
      <w:r>
        <w:t xml:space="preserve">and</w:t>
      </w:r>
      <w:r>
        <w:t xml:space="preserve"> </w:t>
      </w:r>
      <w:r>
        <w:rPr>
          <w:rStyle w:val="VerbatimChar"/>
        </w:rPr>
        <w:t xml:space="preserve">OpenFromEnv</w:t>
      </w:r>
      <w:r>
        <w:t xml:space="preserve"> </w:t>
      </w:r>
      <w:r>
        <w:t xml:space="preserve">initialize and validate a pooled connection.</w:t>
      </w:r>
    </w:p>
    <w:p>
      <w:pPr>
        <w:pStyle w:val="Compact"/>
        <w:numPr>
          <w:ilvl w:val="0"/>
          <w:numId w:val="1715"/>
        </w:numPr>
      </w:pPr>
      <w:r>
        <w:rPr>
          <w:rStyle w:val="VerbatimChar"/>
        </w:rPr>
        <w:t xml:space="preserve">Query</w:t>
      </w:r>
      <w:r>
        <w:t xml:space="preserve">,</w:t>
      </w:r>
      <w:r>
        <w:t xml:space="preserve"> </w:t>
      </w:r>
      <w:r>
        <w:rPr>
          <w:rStyle w:val="VerbatimChar"/>
        </w:rPr>
        <w:t xml:space="preserve">QueryRow</w:t>
      </w:r>
      <w:r>
        <w:t xml:space="preserve">,</w:t>
      </w:r>
      <w:r>
        <w:t xml:space="preserve"> </w:t>
      </w:r>
      <w:r>
        <w:rPr>
          <w:rStyle w:val="VerbatimChar"/>
        </w:rPr>
        <w:t xml:space="preserve">Exec</w:t>
      </w:r>
      <w:r>
        <w:t xml:space="preserve">, and</w:t>
      </w:r>
      <w:r>
        <w:t xml:space="preserve"> </w:t>
      </w:r>
      <w:r>
        <w:rPr>
          <w:rStyle w:val="VerbatimChar"/>
        </w:rPr>
        <w:t xml:space="preserve">Prepare</w:t>
      </w:r>
      <w:r>
        <w:t xml:space="preserve"> </w:t>
      </w:r>
      <w:r>
        <w:t xml:space="preserve">execute SQL against the current connection.</w:t>
      </w:r>
    </w:p>
    <w:p>
      <w:pPr>
        <w:pStyle w:val="Compact"/>
        <w:numPr>
          <w:ilvl w:val="0"/>
          <w:numId w:val="1715"/>
        </w:numPr>
      </w:pPr>
      <w:r>
        <w:rPr>
          <w:rStyle w:val="VerbatimChar"/>
        </w:rPr>
        <w:t xml:space="preserve">Begin</w:t>
      </w:r>
      <w:r>
        <w:t xml:space="preserve"> </w:t>
      </w:r>
      <w:r>
        <w:t xml:space="preserve">and</w:t>
      </w:r>
      <w:r>
        <w:t xml:space="preserve"> </w:t>
      </w:r>
      <w:r>
        <w:rPr>
          <w:rStyle w:val="VerbatimChar"/>
        </w:rPr>
        <w:t xml:space="preserve">BeginTx</w:t>
      </w:r>
      <w:r>
        <w:t xml:space="preserve"> </w:t>
      </w:r>
      <w:r>
        <w:t xml:space="preserve">create transaction handles.</w:t>
      </w:r>
    </w:p>
    <w:p>
      <w:pPr>
        <w:pStyle w:val="Compact"/>
        <w:numPr>
          <w:ilvl w:val="0"/>
          <w:numId w:val="1715"/>
        </w:numPr>
      </w:pPr>
      <w:r>
        <w:t xml:space="preserve">Placeholder rewriting converts</w:t>
      </w:r>
      <w:r>
        <w:t xml:space="preserve"> </w:t>
      </w:r>
      <w:r>
        <w:rPr>
          <w:rStyle w:val="VerbatimChar"/>
        </w:rPr>
        <w:t xml:space="preserve">?</w:t>
      </w:r>
      <w:r>
        <w:t xml:space="preserve"> </w:t>
      </w:r>
      <w:r>
        <w:t xml:space="preserve">markers to the active driver format when needed.</w:t>
      </w:r>
    </w:p>
    <w:p>
      <w:pPr>
        <w:pStyle w:val="Compact"/>
        <w:numPr>
          <w:ilvl w:val="0"/>
          <w:numId w:val="1715"/>
        </w:numPr>
      </w:pPr>
      <w:r>
        <w:t xml:space="preserve">Errors are stored in</w:t>
      </w:r>
      <w:r>
        <w:t xml:space="preserve"> </w:t>
      </w:r>
      <w:r>
        <w:rPr>
          <w:rStyle w:val="VerbatimChar"/>
        </w:rPr>
        <w:t xml:space="preserve">LastError</w:t>
      </w:r>
      <w:r>
        <w:t xml:space="preserve"> </w:t>
      </w:r>
      <w:r>
        <w:t xml:space="preserve">and returned by</w:t>
      </w:r>
      <w:r>
        <w:t xml:space="preserve"> </w:t>
      </w:r>
      <w:r>
        <w:rPr>
          <w:rStyle w:val="VerbatimChar"/>
        </w:rPr>
        <w:t xml:space="preserve">GetError</w:t>
      </w:r>
      <w:r>
        <w:t xml:space="preserve">.</w:t>
      </w:r>
    </w:p>
    <w:bookmarkEnd w:id="2880"/>
    <w:bookmarkStart w:id="2883" w:name="api-reference-130"/>
    <w:p>
      <w:pPr>
        <w:pStyle w:val="Heading2"/>
      </w:pPr>
      <w:r>
        <w:t xml:space="preserve">API Reference</w:t>
      </w:r>
    </w:p>
    <w:bookmarkStart w:id="2881" w:name="methods-11"/>
    <w:p>
      <w:pPr>
        <w:pStyle w:val="Heading3"/>
      </w:pPr>
      <w:r>
        <w:t xml:space="preserve">Methods</w:t>
      </w:r>
    </w:p>
    <w:p>
      <w:pPr>
        <w:pStyle w:val="Compact"/>
        <w:numPr>
          <w:ilvl w:val="0"/>
          <w:numId w:val="1716"/>
        </w:numPr>
      </w:pPr>
      <w:r>
        <w:rPr>
          <w:b/>
          <w:bCs/>
        </w:rPr>
        <w:t xml:space="preserve">Begin()</w:t>
      </w:r>
      <w:r>
        <w:t xml:space="preserve">: Returns a</w:t>
      </w:r>
      <w:r>
        <w:t xml:space="preserve"> </w:t>
      </w:r>
      <w:r>
        <w:rPr>
          <w:rStyle w:val="VerbatimChar"/>
        </w:rPr>
        <w:t xml:space="preserve">G3DBTransaction</w:t>
      </w:r>
      <w:r>
        <w:t xml:space="preserve"> </w:t>
      </w:r>
      <w:r>
        <w:t xml:space="preserve">object on success, otherwise</w:t>
      </w:r>
      <w:r>
        <w:t xml:space="preserve"> </w:t>
      </w:r>
      <w:r>
        <w:rPr>
          <w:b/>
          <w:bCs/>
        </w:rPr>
        <w:t xml:space="preserve">Empty</w:t>
      </w:r>
      <w:r>
        <w:t xml:space="preserve">.</w:t>
      </w:r>
    </w:p>
    <w:p>
      <w:pPr>
        <w:pStyle w:val="Compact"/>
        <w:numPr>
          <w:ilvl w:val="0"/>
          <w:numId w:val="1716"/>
        </w:numPr>
      </w:pPr>
      <w:r>
        <w:rPr>
          <w:b/>
          <w:bCs/>
        </w:rPr>
        <w:t xml:space="preserve">BeginTx([timeoutSeconds, readOnly])</w:t>
      </w:r>
      <w:r>
        <w:t xml:space="preserve">: Returns a</w:t>
      </w:r>
      <w:r>
        <w:t xml:space="preserve"> </w:t>
      </w:r>
      <w:r>
        <w:rPr>
          <w:rStyle w:val="VerbatimChar"/>
        </w:rPr>
        <w:t xml:space="preserve">G3DBTransaction</w:t>
      </w:r>
      <w:r>
        <w:t xml:space="preserve"> </w:t>
      </w:r>
      <w:r>
        <w:t xml:space="preserve">object on success, otherwise</w:t>
      </w:r>
      <w:r>
        <w:t xml:space="preserve"> </w:t>
      </w:r>
      <w:r>
        <w:rPr>
          <w:b/>
          <w:bCs/>
        </w:rPr>
        <w:t xml:space="preserve">Empty</w:t>
      </w:r>
      <w:r>
        <w:t xml:space="preserve">.</w:t>
      </w:r>
    </w:p>
    <w:p>
      <w:pPr>
        <w:pStyle w:val="Compact"/>
        <w:numPr>
          <w:ilvl w:val="0"/>
          <w:numId w:val="1716"/>
        </w:numPr>
      </w:pPr>
      <w:r>
        <w:rPr>
          <w:b/>
          <w:bCs/>
        </w:rPr>
        <w:t xml:space="preserve">Close()</w:t>
      </w:r>
      <w:r>
        <w:t xml:space="preserve">: Returns</w:t>
      </w:r>
      <w:r>
        <w:t xml:space="preserve"> </w:t>
      </w:r>
      <w:r>
        <w:rPr>
          <w:b/>
          <w:bCs/>
        </w:rPr>
        <w:t xml:space="preserve">True</w:t>
      </w:r>
      <w:r>
        <w:t xml:space="preserve"> </w:t>
      </w:r>
      <w:r>
        <w:t xml:space="preserve">when close succeeds or when connection is already closed; returns</w:t>
      </w:r>
      <w:r>
        <w:t xml:space="preserve"> </w:t>
      </w:r>
      <w:r>
        <w:rPr>
          <w:b/>
          <w:bCs/>
        </w:rPr>
        <w:t xml:space="preserve">False</w:t>
      </w:r>
      <w:r>
        <w:t xml:space="preserve"> </w:t>
      </w:r>
      <w:r>
        <w:t xml:space="preserve">on close error.</w:t>
      </w:r>
    </w:p>
    <w:p>
      <w:pPr>
        <w:pStyle w:val="Compact"/>
        <w:numPr>
          <w:ilvl w:val="0"/>
          <w:numId w:val="1716"/>
        </w:numPr>
      </w:pPr>
      <w:r>
        <w:rPr>
          <w:b/>
          <w:bCs/>
        </w:rPr>
        <w:t xml:space="preserve">Exec(sql[, params…])</w:t>
      </w:r>
      <w:r>
        <w:t xml:space="preserve">: Returns a</w:t>
      </w:r>
      <w:r>
        <w:t xml:space="preserve"> </w:t>
      </w:r>
      <w:r>
        <w:rPr>
          <w:rStyle w:val="VerbatimChar"/>
        </w:rPr>
        <w:t xml:space="preserve">G3DBResult</w:t>
      </w:r>
      <w:r>
        <w:t xml:space="preserve"> </w:t>
      </w:r>
      <w:r>
        <w:t xml:space="preserve">object on success, otherwise</w:t>
      </w:r>
      <w:r>
        <w:t xml:space="preserve"> </w:t>
      </w:r>
      <w:r>
        <w:rPr>
          <w:b/>
          <w:bCs/>
        </w:rPr>
        <w:t xml:space="preserve">Empty</w:t>
      </w:r>
      <w:r>
        <w:t xml:space="preserve">.</w:t>
      </w:r>
    </w:p>
    <w:p>
      <w:pPr>
        <w:pStyle w:val="Compact"/>
        <w:numPr>
          <w:ilvl w:val="0"/>
          <w:numId w:val="1716"/>
        </w:numPr>
      </w:pPr>
      <w:r>
        <w:rPr>
          <w:b/>
          <w:bCs/>
        </w:rPr>
        <w:t xml:space="preserve">GetError()</w:t>
      </w:r>
      <w:r>
        <w:t xml:space="preserve">: Returns the current error string.</w:t>
      </w:r>
    </w:p>
    <w:p>
      <w:pPr>
        <w:pStyle w:val="Compact"/>
        <w:numPr>
          <w:ilvl w:val="0"/>
          <w:numId w:val="1716"/>
        </w:numPr>
      </w:pPr>
      <w:r>
        <w:rPr>
          <w:b/>
          <w:bCs/>
        </w:rPr>
        <w:t xml:space="preserve">Open(driver, dsn)</w:t>
      </w:r>
      <w:r>
        <w:t xml:space="preserve">: Returns</w:t>
      </w:r>
      <w:r>
        <w:t xml:space="preserve"> </w:t>
      </w:r>
      <w:r>
        <w:rPr>
          <w:b/>
          <w:bCs/>
        </w:rPr>
        <w:t xml:space="preserve">True</w:t>
      </w:r>
      <w:r>
        <w:t xml:space="preserve"> </w:t>
      </w:r>
      <w:r>
        <w:t xml:space="preserve">on successful open;</w:t>
      </w:r>
      <w:r>
        <w:t xml:space="preserve"> </w:t>
      </w:r>
      <w:r>
        <w:rPr>
          <w:b/>
          <w:bCs/>
        </w:rPr>
        <w:t xml:space="preserve">False</w:t>
      </w:r>
      <w:r>
        <w:t xml:space="preserve"> </w:t>
      </w:r>
      <w:r>
        <w:t xml:space="preserve">otherwise.</w:t>
      </w:r>
    </w:p>
    <w:p>
      <w:pPr>
        <w:pStyle w:val="Compact"/>
        <w:numPr>
          <w:ilvl w:val="0"/>
          <w:numId w:val="1716"/>
        </w:numPr>
      </w:pPr>
      <w:r>
        <w:rPr>
          <w:b/>
          <w:bCs/>
        </w:rPr>
        <w:t xml:space="preserve">OpenFromEnv([driver])</w:t>
      </w:r>
      <w:r>
        <w:t xml:space="preserve">: Returns</w:t>
      </w:r>
      <w:r>
        <w:t xml:space="preserve"> </w:t>
      </w:r>
      <w:r>
        <w:rPr>
          <w:b/>
          <w:bCs/>
        </w:rPr>
        <w:t xml:space="preserve">True</w:t>
      </w:r>
      <w:r>
        <w:t xml:space="preserve"> </w:t>
      </w:r>
      <w:r>
        <w:t xml:space="preserve">on successful open from config/env;</w:t>
      </w:r>
      <w:r>
        <w:t xml:space="preserve"> </w:t>
      </w:r>
      <w:r>
        <w:rPr>
          <w:b/>
          <w:bCs/>
        </w:rPr>
        <w:t xml:space="preserve">False</w:t>
      </w:r>
      <w:r>
        <w:t xml:space="preserve"> </w:t>
      </w:r>
      <w:r>
        <w:t xml:space="preserve">otherwise.</w:t>
      </w:r>
    </w:p>
    <w:p>
      <w:pPr>
        <w:pStyle w:val="Compact"/>
        <w:numPr>
          <w:ilvl w:val="0"/>
          <w:numId w:val="1716"/>
        </w:numPr>
      </w:pPr>
      <w:r>
        <w:rPr>
          <w:b/>
          <w:bCs/>
        </w:rPr>
        <w:t xml:space="preserve">Prepare(sql)</w:t>
      </w:r>
      <w:r>
        <w:t xml:space="preserve">: Returns a</w:t>
      </w:r>
      <w:r>
        <w:t xml:space="preserve"> </w:t>
      </w:r>
      <w:r>
        <w:rPr>
          <w:rStyle w:val="VerbatimChar"/>
        </w:rPr>
        <w:t xml:space="preserve">G3DBStatement</w:t>
      </w:r>
      <w:r>
        <w:t xml:space="preserve"> </w:t>
      </w:r>
      <w:r>
        <w:t xml:space="preserve">object on success, otherwise</w:t>
      </w:r>
      <w:r>
        <w:t xml:space="preserve"> </w:t>
      </w:r>
      <w:r>
        <w:rPr>
          <w:b/>
          <w:bCs/>
        </w:rPr>
        <w:t xml:space="preserve">Empty</w:t>
      </w:r>
      <w:r>
        <w:t xml:space="preserve">.</w:t>
      </w:r>
    </w:p>
    <w:p>
      <w:pPr>
        <w:pStyle w:val="Compact"/>
        <w:numPr>
          <w:ilvl w:val="0"/>
          <w:numId w:val="1716"/>
        </w:numPr>
      </w:pPr>
      <w:r>
        <w:rPr>
          <w:b/>
          <w:bCs/>
        </w:rPr>
        <w:t xml:space="preserve">Query(sql[, params…])</w:t>
      </w:r>
      <w:r>
        <w:t xml:space="preserve">: Returns a</w:t>
      </w:r>
      <w:r>
        <w:t xml:space="preserve"> </w:t>
      </w:r>
      <w:r>
        <w:rPr>
          <w:rStyle w:val="VerbatimChar"/>
        </w:rPr>
        <w:t xml:space="preserve">G3DBResultSet</w:t>
      </w:r>
      <w:r>
        <w:t xml:space="preserve"> </w:t>
      </w:r>
      <w:r>
        <w:t xml:space="preserve">object on success, otherwise</w:t>
      </w:r>
      <w:r>
        <w:t xml:space="preserve"> </w:t>
      </w:r>
      <w:r>
        <w:rPr>
          <w:b/>
          <w:bCs/>
        </w:rPr>
        <w:t xml:space="preserve">Empty</w:t>
      </w:r>
      <w:r>
        <w:t xml:space="preserve">.</w:t>
      </w:r>
    </w:p>
    <w:p>
      <w:pPr>
        <w:pStyle w:val="Compact"/>
        <w:numPr>
          <w:ilvl w:val="0"/>
          <w:numId w:val="1716"/>
        </w:numPr>
      </w:pPr>
      <w:r>
        <w:rPr>
          <w:b/>
          <w:bCs/>
        </w:rPr>
        <w:t xml:space="preserve">QueryRow(sql[, params…])</w:t>
      </w:r>
      <w:r>
        <w:t xml:space="preserve">: Returns a</w:t>
      </w:r>
      <w:r>
        <w:t xml:space="preserve"> </w:t>
      </w:r>
      <w:r>
        <w:rPr>
          <w:rStyle w:val="VerbatimChar"/>
        </w:rPr>
        <w:t xml:space="preserve">G3DBRow</w:t>
      </w:r>
      <w:r>
        <w:t xml:space="preserve"> </w:t>
      </w:r>
      <w:r>
        <w:t xml:space="preserve">object on success, otherwise</w:t>
      </w:r>
      <w:r>
        <w:t xml:space="preserve"> </w:t>
      </w:r>
      <w:r>
        <w:rPr>
          <w:b/>
          <w:bCs/>
        </w:rPr>
        <w:t xml:space="preserve">Empty</w:t>
      </w:r>
      <w:r>
        <w:t xml:space="preserve">.</w:t>
      </w:r>
    </w:p>
    <w:p>
      <w:pPr>
        <w:pStyle w:val="Compact"/>
        <w:numPr>
          <w:ilvl w:val="0"/>
          <w:numId w:val="1716"/>
        </w:numPr>
      </w:pPr>
      <w:r>
        <w:rPr>
          <w:b/>
          <w:bCs/>
        </w:rPr>
        <w:t xml:space="preserve">SetConnMaxIdleTime(seconds)</w:t>
      </w:r>
      <w:r>
        <w:t xml:space="preserve">: Returns</w:t>
      </w:r>
      <w:r>
        <w:t xml:space="preserve"> </w:t>
      </w:r>
      <w:r>
        <w:rPr>
          <w:b/>
          <w:bCs/>
        </w:rPr>
        <w:t xml:space="preserve">Empty</w:t>
      </w:r>
      <w:r>
        <w:t xml:space="preserve">.</w:t>
      </w:r>
    </w:p>
    <w:p>
      <w:pPr>
        <w:pStyle w:val="Compact"/>
        <w:numPr>
          <w:ilvl w:val="0"/>
          <w:numId w:val="1716"/>
        </w:numPr>
      </w:pPr>
      <w:r>
        <w:rPr>
          <w:b/>
          <w:bCs/>
        </w:rPr>
        <w:t xml:space="preserve">SetConnMaxLifetime(seconds)</w:t>
      </w:r>
      <w:r>
        <w:t xml:space="preserve">: Returns</w:t>
      </w:r>
      <w:r>
        <w:t xml:space="preserve"> </w:t>
      </w:r>
      <w:r>
        <w:rPr>
          <w:b/>
          <w:bCs/>
        </w:rPr>
        <w:t xml:space="preserve">Empty</w:t>
      </w:r>
      <w:r>
        <w:t xml:space="preserve">.</w:t>
      </w:r>
    </w:p>
    <w:p>
      <w:pPr>
        <w:pStyle w:val="Compact"/>
        <w:numPr>
          <w:ilvl w:val="0"/>
          <w:numId w:val="1716"/>
        </w:numPr>
      </w:pPr>
      <w:r>
        <w:rPr>
          <w:b/>
          <w:bCs/>
        </w:rPr>
        <w:t xml:space="preserve">SetMaxIdleConns(count)</w:t>
      </w:r>
      <w:r>
        <w:t xml:space="preserve">: Returns</w:t>
      </w:r>
      <w:r>
        <w:t xml:space="preserve"> </w:t>
      </w:r>
      <w:r>
        <w:rPr>
          <w:b/>
          <w:bCs/>
        </w:rPr>
        <w:t xml:space="preserve">Empty</w:t>
      </w:r>
      <w:r>
        <w:t xml:space="preserve">.</w:t>
      </w:r>
    </w:p>
    <w:p>
      <w:pPr>
        <w:pStyle w:val="Compact"/>
        <w:numPr>
          <w:ilvl w:val="0"/>
          <w:numId w:val="1716"/>
        </w:numPr>
      </w:pPr>
      <w:r>
        <w:rPr>
          <w:b/>
          <w:bCs/>
        </w:rPr>
        <w:t xml:space="preserve">SetMaxOpenConns(count)</w:t>
      </w:r>
      <w:r>
        <w:t xml:space="preserve">: Returns</w:t>
      </w:r>
      <w:r>
        <w:t xml:space="preserve"> </w:t>
      </w:r>
      <w:r>
        <w:rPr>
          <w:b/>
          <w:bCs/>
        </w:rPr>
        <w:t xml:space="preserve">Empty</w:t>
      </w:r>
      <w:r>
        <w:t xml:space="preserve">.</w:t>
      </w:r>
    </w:p>
    <w:p>
      <w:pPr>
        <w:pStyle w:val="Compact"/>
        <w:numPr>
          <w:ilvl w:val="0"/>
          <w:numId w:val="1716"/>
        </w:numPr>
      </w:pPr>
      <w:r>
        <w:rPr>
          <w:b/>
          <w:bCs/>
        </w:rPr>
        <w:t xml:space="preserve">Stats()</w:t>
      </w:r>
      <w:r>
        <w:t xml:space="preserve">: Returns a</w:t>
      </w:r>
      <w:r>
        <w:t xml:space="preserve"> </w:t>
      </w:r>
      <w:r>
        <w:rPr>
          <w:rStyle w:val="VerbatimChar"/>
        </w:rPr>
        <w:t xml:space="preserve">Scripting.Dictionary</w:t>
      </w:r>
      <w:r>
        <w:t xml:space="preserve"> </w:t>
      </w:r>
      <w:r>
        <w:t xml:space="preserve">when connection is open; otherwise</w:t>
      </w:r>
      <w:r>
        <w:t xml:space="preserve"> </w:t>
      </w:r>
      <w:r>
        <w:rPr>
          <w:b/>
          <w:bCs/>
        </w:rPr>
        <w:t xml:space="preserve">Empty</w:t>
      </w:r>
      <w:r>
        <w:t xml:space="preserve">.</w:t>
      </w:r>
    </w:p>
    <w:bookmarkEnd w:id="2881"/>
    <w:bookmarkStart w:id="2882" w:name="properties-13"/>
    <w:p>
      <w:pPr>
        <w:pStyle w:val="Heading3"/>
      </w:pPr>
      <w:r>
        <w:t xml:space="preserve">Properties</w:t>
      </w:r>
    </w:p>
    <w:p>
      <w:pPr>
        <w:pStyle w:val="Compact"/>
        <w:numPr>
          <w:ilvl w:val="0"/>
          <w:numId w:val="1717"/>
        </w:numPr>
      </w:pPr>
      <w:r>
        <w:rPr>
          <w:b/>
          <w:bCs/>
        </w:rPr>
        <w:t xml:space="preserve">Driver</w:t>
      </w:r>
      <w:r>
        <w:t xml:space="preserve"> </w:t>
      </w:r>
      <w:r>
        <w:t xml:space="preserve">(String): Read/write.</w:t>
      </w:r>
    </w:p>
    <w:p>
      <w:pPr>
        <w:pStyle w:val="Compact"/>
        <w:numPr>
          <w:ilvl w:val="0"/>
          <w:numId w:val="1717"/>
        </w:numPr>
      </w:pPr>
      <w:r>
        <w:rPr>
          <w:b/>
          <w:bCs/>
        </w:rPr>
        <w:t xml:space="preserve">DSN</w:t>
      </w:r>
      <w:r>
        <w:t xml:space="preserve"> </w:t>
      </w:r>
      <w:r>
        <w:t xml:space="preserve">(String): Read/write.</w:t>
      </w:r>
    </w:p>
    <w:p>
      <w:pPr>
        <w:pStyle w:val="Compact"/>
        <w:numPr>
          <w:ilvl w:val="0"/>
          <w:numId w:val="1717"/>
        </w:numPr>
      </w:pPr>
      <w:r>
        <w:rPr>
          <w:b/>
          <w:bCs/>
        </w:rPr>
        <w:t xml:space="preserve">IsOpen</w:t>
      </w:r>
      <w:r>
        <w:t xml:space="preserve"> </w:t>
      </w:r>
      <w:r>
        <w:t xml:space="preserve">(Boolean): Read-only.</w:t>
      </w:r>
    </w:p>
    <w:p>
      <w:pPr>
        <w:pStyle w:val="Compact"/>
        <w:numPr>
          <w:ilvl w:val="0"/>
          <w:numId w:val="1717"/>
        </w:numPr>
      </w:pPr>
      <w:r>
        <w:rPr>
          <w:b/>
          <w:bCs/>
        </w:rPr>
        <w:t xml:space="preserve">LastError</w:t>
      </w:r>
      <w:r>
        <w:t xml:space="preserve"> </w:t>
      </w:r>
      <w:r>
        <w:t xml:space="preserve">(String): Read-only.</w:t>
      </w:r>
    </w:p>
    <w:bookmarkEnd w:id="2882"/>
    <w:bookmarkEnd w:id="2883"/>
    <w:bookmarkStart w:id="2884" w:name="example-208"/>
    <w:p>
      <w:pPr>
        <w:pStyle w:val="Heading2"/>
      </w:pPr>
      <w:r>
        <w:t xml:space="preserve">Example</w:t>
      </w:r>
    </w:p>
    <w:p>
      <w:pPr>
        <w:pStyle w:val="SourceCode"/>
      </w:pPr>
      <w:r>
        <w:rPr>
          <w:rStyle w:val="DataTypeTok"/>
        </w:rPr>
        <w:t xml:space="preserve">&lt;%</w:t>
      </w:r>
      <w:r>
        <w:br/>
      </w:r>
      <w:r>
        <w:rPr>
          <w:rStyle w:val="KeywordTok"/>
        </w:rPr>
        <w:t xml:space="preserve">Dim</w:t>
      </w:r>
      <w:r>
        <w:rPr>
          <w:rStyle w:val="NormalTok"/>
        </w:rPr>
        <w:t xml:space="preserve"> db</w:t>
      </w:r>
      <w:r>
        <w:rPr>
          <w:rStyle w:val="OtherTok"/>
        </w:rPr>
        <w:t xml:space="preserve">,</w:t>
      </w:r>
      <w:r>
        <w:rPr>
          <w:rStyle w:val="NormalTok"/>
        </w:rPr>
        <w:t xml:space="preserve"> rs</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"user:pass@tcp(127.0.0.1:3306)/appdb"</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rs = db.Query</w:t>
      </w:r>
      <w:r>
        <w:rPr>
          <w:rStyle w:val="OtherTok"/>
        </w:rPr>
        <w:t xml:space="preserve">(</w:t>
      </w:r>
      <w:r>
        <w:rPr>
          <w:rStyle w:val="StringTok"/>
        </w:rPr>
        <w:t xml:space="preserve">"SELECT id, username FROM users WHERE active = ?"</w:t>
      </w:r>
      <w:r>
        <w:rPr>
          <w:rStyle w:val="OtherTok"/>
        </w:rPr>
        <w:t xml:space="preserve">,</w:t>
      </w:r>
      <w:r>
        <w:rPr>
          <w:rStyle w:val="NormalTok"/>
        </w:rPr>
        <w:t xml:space="preserve"> </w:t>
      </w:r>
      <w:r>
        <w:rPr>
          <w:rStyle w:val="DecValTok"/>
        </w:rPr>
        <w:t xml:space="preserve">1</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rs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Do While</w:t>
      </w:r>
      <w:r>
        <w:rPr>
          <w:rStyle w:val="NormalTok"/>
        </w:rPr>
        <w:t xml:space="preserve"> </w:t>
      </w:r>
      <w:r>
        <w:rPr>
          <w:rStyle w:val="KeywordTok"/>
        </w:rPr>
        <w:t xml:space="preserve">Not</w:t>
      </w:r>
      <w:r>
        <w:rPr>
          <w:rStyle w:val="NormalTok"/>
        </w:rPr>
        <w:t xml:space="preserve"> rs.</w:t>
      </w:r>
      <w:r>
        <w:rPr>
          <w:rStyle w:val="KeywordTok"/>
        </w:rPr>
        <w:t xml:space="preserve">EOF</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w:t>
      </w:r>
      <w:r>
        <w:rPr>
          <w:rStyle w:val="OtherTok"/>
        </w:rPr>
        <w:t xml:space="preserve">(</w:t>
      </w:r>
      <w:r>
        <w:rPr>
          <w:rStyle w:val="StringTok"/>
        </w:rPr>
        <w:t xml:space="preserve">"id"</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rs</w:t>
      </w:r>
      <w:r>
        <w:rPr>
          <w:rStyle w:val="OtherTok"/>
        </w:rPr>
        <w:t xml:space="preserve">(</w:t>
      </w:r>
      <w:r>
        <w:rPr>
          <w:rStyle w:val="StringTok"/>
        </w:rPr>
        <w:t xml:space="preserve">"username"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rs.</w:t>
      </w:r>
      <w:r>
        <w:rPr>
          <w:rStyle w:val="KeywordTok"/>
        </w:rPr>
        <w:t xml:space="preserve">MoveNext</w:t>
      </w:r>
      <w:r>
        <w:br/>
      </w:r>
      <w:r>
        <w:rPr>
          <w:rStyle w:val="NormalTok"/>
        </w:rPr>
        <w:t xml:space="preserve">        </w:t>
      </w:r>
      <w:r>
        <w:rPr>
          <w:rStyle w:val="ControlFlowTok"/>
        </w:rPr>
        <w:t xml:space="preserve">Loop</w:t>
      </w:r>
      <w:r>
        <w:br/>
      </w:r>
      <w:r>
        <w:rPr>
          <w:rStyle w:val="NormalTok"/>
        </w:rPr>
        <w:t xml:space="preserve">        rs.</w:t>
      </w:r>
      <w:r>
        <w:rPr>
          <w:rStyle w:val="KeywordTok"/>
        </w:rPr>
        <w:t xml:space="preserve">Close</w:t>
      </w:r>
      <w:r>
        <w:br/>
      </w:r>
      <w:r>
        <w:rPr>
          <w:rStyle w:val="NormalTok"/>
        </w:rPr>
        <w:t xml:space="preserve">    </w:t>
      </w:r>
      <w:r>
        <w:rPr>
          <w:rStyle w:val="ControlFlowTok"/>
        </w:rPr>
        <w:t xml:space="preserve">End If</w:t>
      </w:r>
      <w:r>
        <w:br/>
      </w:r>
      <w:r>
        <w:rPr>
          <w:rStyle w:val="NormalTok"/>
        </w:rPr>
        <w:t xml:space="preserve">    db.</w:t>
      </w:r>
      <w:r>
        <w:rPr>
          <w:rStyle w:val="KeywordTok"/>
        </w:rPr>
        <w:t xml:space="preserve">Close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884"/>
    <w:bookmarkEnd w:id="2885"/>
    <w:bookmarkStart w:id="2889" w:name="g3db-methods"/>
    <w:p>
      <w:pPr>
        <w:pStyle w:val="Heading1"/>
      </w:pPr>
      <w:r>
        <w:t xml:space="preserve">G3DB Methods</w:t>
      </w:r>
    </w:p>
    <w:bookmarkStart w:id="2886" w:name="overview-276"/>
    <w:p>
      <w:pPr>
        <w:pStyle w:val="Heading2"/>
      </w:pPr>
      <w:r>
        <w:t xml:space="preserve">Overview</w:t>
      </w:r>
    </w:p>
    <w:p>
      <w:pPr>
        <w:pStyle w:val="FirstParagraph"/>
      </w:pPr>
      <w:r>
        <w:t xml:space="preserve">This page summarizes every method exposed by</w:t>
      </w:r>
      <w:r>
        <w:t xml:space="preserve"> </w:t>
      </w:r>
      <w:r>
        <w:rPr>
          <w:rStyle w:val="VerbatimChar"/>
        </w:rPr>
        <w:t xml:space="preserve">G3DB</w:t>
      </w:r>
      <w:r>
        <w:t xml:space="preserve"> </w:t>
      </w:r>
      <w:r>
        <w:t xml:space="preserve">in G3Pix AxonASP.</w:t>
      </w:r>
    </w:p>
    <w:bookmarkEnd w:id="2886"/>
    <w:bookmarkStart w:id="2887" w:name="methods-12"/>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Begin()</w:t>
            </w:r>
          </w:p>
        </w:tc>
        <w:tc>
          <w:tcPr/>
          <w:p>
            <w:pPr>
              <w:pStyle w:val="Compact"/>
            </w:pPr>
            <w:r>
              <w:t xml:space="preserve">G3DBTransaction or Empty</w:t>
            </w:r>
          </w:p>
        </w:tc>
        <w:tc>
          <w:tcPr/>
          <w:p>
            <w:pPr>
              <w:pStyle w:val="Compact"/>
            </w:pPr>
            <w:r>
              <w:t xml:space="preserve">Starts a transaction with default options. Returns Empty when connection is not open or transaction start fails.</w:t>
            </w:r>
          </w:p>
        </w:tc>
      </w:tr>
      <w:tr>
        <w:tc>
          <w:tcPr/>
          <w:p>
            <w:pPr>
              <w:pStyle w:val="Compact"/>
            </w:pPr>
            <w:r>
              <w:rPr>
                <w:rStyle w:val="VerbatimChar"/>
              </w:rPr>
              <w:t xml:space="preserve">BeginTx([timeoutSeconds, readOnly])</w:t>
            </w:r>
          </w:p>
        </w:tc>
        <w:tc>
          <w:tcPr/>
          <w:p>
            <w:pPr>
              <w:pStyle w:val="Compact"/>
            </w:pPr>
            <w:r>
              <w:t xml:space="preserve">G3DBTransaction or Empty</w:t>
            </w:r>
          </w:p>
        </w:tc>
        <w:tc>
          <w:tcPr/>
          <w:p>
            <w:pPr>
              <w:pStyle w:val="Compact"/>
            </w:pPr>
            <w:r>
              <w:t xml:space="preserve">Starts a transaction with optional timeout/read-only flags. Returns Empty on failure.</w:t>
            </w:r>
          </w:p>
        </w:tc>
      </w:tr>
      <w:tr>
        <w:tc>
          <w:tcPr/>
          <w:p>
            <w:pPr>
              <w:pStyle w:val="Compact"/>
            </w:pPr>
            <w:r>
              <w:rPr>
                <w:rStyle w:val="VerbatimChar"/>
              </w:rPr>
              <w:t xml:space="preserve">Close()</w:t>
            </w:r>
          </w:p>
        </w:tc>
        <w:tc>
          <w:tcPr/>
          <w:p>
            <w:pPr>
              <w:pStyle w:val="Compact"/>
            </w:pPr>
            <w:r>
              <w:t xml:space="preserve">Boolean</w:t>
            </w:r>
          </w:p>
        </w:tc>
        <w:tc>
          <w:tcPr/>
          <w:p>
            <w:pPr>
              <w:pStyle w:val="Compact"/>
            </w:pPr>
            <w:r>
              <w:t xml:space="preserve">Returns True on successful close or when already closed; False when close returns an error.</w:t>
            </w:r>
          </w:p>
        </w:tc>
      </w:tr>
      <w:tr>
        <w:tc>
          <w:tcPr/>
          <w:p>
            <w:pPr>
              <w:pStyle w:val="Compact"/>
            </w:pPr>
            <w:r>
              <w:rPr>
                <w:rStyle w:val="VerbatimChar"/>
              </w:rPr>
              <w:t xml:space="preserve">Exec(sql [, params...])</w:t>
            </w:r>
          </w:p>
        </w:tc>
        <w:tc>
          <w:tcPr/>
          <w:p>
            <w:pPr>
              <w:pStyle w:val="Compact"/>
            </w:pPr>
            <w:r>
              <w:t xml:space="preserve">G3DBResult or Empty</w:t>
            </w:r>
          </w:p>
        </w:tc>
        <w:tc>
          <w:tcPr/>
          <w:p>
            <w:pPr>
              <w:pStyle w:val="Compact"/>
            </w:pPr>
            <w:r>
              <w:t xml:space="preserve">Executes a non-query statement. Returns Empty when connection is not open, SQL is missing, or execution fails.</w:t>
            </w:r>
          </w:p>
        </w:tc>
      </w:tr>
      <w:tr>
        <w:tc>
          <w:tcPr/>
          <w:p>
            <w:pPr>
              <w:pStyle w:val="Compact"/>
            </w:pPr>
            <w:r>
              <w:rPr>
                <w:rStyle w:val="VerbatimChar"/>
              </w:rPr>
              <w:t xml:space="preserve">GetError()</w:t>
            </w:r>
          </w:p>
        </w:tc>
        <w:tc>
          <w:tcPr/>
          <w:p>
            <w:pPr>
              <w:pStyle w:val="Compact"/>
            </w:pPr>
            <w:r>
              <w:t xml:space="preserve">String</w:t>
            </w:r>
          </w:p>
        </w:tc>
        <w:tc>
          <w:tcPr/>
          <w:p>
            <w:pPr>
              <w:pStyle w:val="Compact"/>
            </w:pPr>
            <w:r>
              <w:t xml:space="preserve">Returns the current error message, or empty string when no error is stored.</w:t>
            </w:r>
          </w:p>
        </w:tc>
      </w:tr>
      <w:tr>
        <w:tc>
          <w:tcPr/>
          <w:p>
            <w:pPr>
              <w:pStyle w:val="Compact"/>
            </w:pPr>
            <w:r>
              <w:rPr>
                <w:rStyle w:val="VerbatimChar"/>
              </w:rPr>
              <w:t xml:space="preserve">Open(driver, dsn)</w:t>
            </w:r>
          </w:p>
        </w:tc>
        <w:tc>
          <w:tcPr/>
          <w:p>
            <w:pPr>
              <w:pStyle w:val="Compact"/>
            </w:pPr>
            <w:r>
              <w:t xml:space="preserve">Boolean</w:t>
            </w:r>
          </w:p>
        </w:tc>
        <w:tc>
          <w:tcPr/>
          <w:p>
            <w:pPr>
              <w:pStyle w:val="Compact"/>
            </w:pPr>
            <w:r>
              <w:t xml:space="preserve">Returns True when open and ping validation succeed; otherwise False.</w:t>
            </w:r>
          </w:p>
        </w:tc>
      </w:tr>
      <w:tr>
        <w:tc>
          <w:tcPr/>
          <w:p>
            <w:pPr>
              <w:pStyle w:val="Compact"/>
            </w:pPr>
            <w:r>
              <w:rPr>
                <w:rStyle w:val="VerbatimChar"/>
              </w:rPr>
              <w:t xml:space="preserve">OpenFromEnv([driver])</w:t>
            </w:r>
          </w:p>
        </w:tc>
        <w:tc>
          <w:tcPr/>
          <w:p>
            <w:pPr>
              <w:pStyle w:val="Compact"/>
            </w:pPr>
            <w:r>
              <w:t xml:space="preserve">Boolean</w:t>
            </w:r>
          </w:p>
        </w:tc>
        <w:tc>
          <w:tcPr/>
          <w:p>
            <w:pPr>
              <w:pStyle w:val="Compact"/>
            </w:pPr>
            <w:r>
              <w:t xml:space="preserve">Opens using configuration/env values. Returns True on success; otherwise False.</w:t>
            </w:r>
          </w:p>
        </w:tc>
      </w:tr>
      <w:tr>
        <w:tc>
          <w:tcPr/>
          <w:p>
            <w:pPr>
              <w:pStyle w:val="Compact"/>
            </w:pPr>
            <w:r>
              <w:rPr>
                <w:rStyle w:val="VerbatimChar"/>
              </w:rPr>
              <w:t xml:space="preserve">Prepare(sql)</w:t>
            </w:r>
          </w:p>
        </w:tc>
        <w:tc>
          <w:tcPr/>
          <w:p>
            <w:pPr>
              <w:pStyle w:val="Compact"/>
            </w:pPr>
            <w:r>
              <w:t xml:space="preserve">G3DBStatement or Empty</w:t>
            </w:r>
          </w:p>
        </w:tc>
        <w:tc>
          <w:tcPr/>
          <w:p>
            <w:pPr>
              <w:pStyle w:val="Compact"/>
            </w:pPr>
            <w:r>
              <w:t xml:space="preserve">Creates a prepared statement. Returns Empty on connection/argument/prepare failure.</w:t>
            </w:r>
          </w:p>
        </w:tc>
      </w:tr>
      <w:tr>
        <w:tc>
          <w:tcPr/>
          <w:p>
            <w:pPr>
              <w:pStyle w:val="Compact"/>
            </w:pPr>
            <w:r>
              <w:rPr>
                <w:rStyle w:val="VerbatimChar"/>
              </w:rPr>
              <w:t xml:space="preserve">Query(sql [, params...])</w:t>
            </w:r>
          </w:p>
        </w:tc>
        <w:tc>
          <w:tcPr/>
          <w:p>
            <w:pPr>
              <w:pStyle w:val="Compact"/>
            </w:pPr>
            <w:r>
              <w:t xml:space="preserve">G3DBResultSet or Empty</w:t>
            </w:r>
          </w:p>
        </w:tc>
        <w:tc>
          <w:tcPr/>
          <w:p>
            <w:pPr>
              <w:pStyle w:val="Compact"/>
            </w:pPr>
            <w:r>
              <w:t xml:space="preserve">Executes a query and returns a forward-only result set. Returns Empty on failure.</w:t>
            </w:r>
          </w:p>
        </w:tc>
      </w:tr>
      <w:tr>
        <w:tc>
          <w:tcPr/>
          <w:p>
            <w:pPr>
              <w:pStyle w:val="Compact"/>
            </w:pPr>
            <w:r>
              <w:rPr>
                <w:rStyle w:val="VerbatimChar"/>
              </w:rPr>
              <w:t xml:space="preserve">QueryRow(sql [, params...])</w:t>
            </w:r>
          </w:p>
        </w:tc>
        <w:tc>
          <w:tcPr/>
          <w:p>
            <w:pPr>
              <w:pStyle w:val="Compact"/>
            </w:pPr>
            <w:r>
              <w:t xml:space="preserve">G3DBRow or Empty</w:t>
            </w:r>
          </w:p>
        </w:tc>
        <w:tc>
          <w:tcPr/>
          <w:p>
            <w:pPr>
              <w:pStyle w:val="Compact"/>
            </w:pPr>
            <w:r>
              <w:t xml:space="preserve">Executes a query and returns a single-row object for scan methods. Returns Empty on connection or argument failure.</w:t>
            </w:r>
          </w:p>
        </w:tc>
      </w:tr>
      <w:tr>
        <w:tc>
          <w:tcPr/>
          <w:p>
            <w:pPr>
              <w:pStyle w:val="Compact"/>
            </w:pPr>
            <w:r>
              <w:rPr>
                <w:rStyle w:val="VerbatimChar"/>
              </w:rPr>
              <w:t xml:space="preserve">SetConnMaxIdleTime(seconds)</w:t>
            </w:r>
          </w:p>
        </w:tc>
        <w:tc>
          <w:tcPr/>
          <w:p>
            <w:pPr>
              <w:pStyle w:val="Compact"/>
            </w:pPr>
            <w:r>
              <w:t xml:space="preserve">Empty</w:t>
            </w:r>
          </w:p>
        </w:tc>
        <w:tc>
          <w:tcPr/>
          <w:p>
            <w:pPr>
              <w:pStyle w:val="Compact"/>
            </w:pPr>
            <w:r>
              <w:t xml:space="preserve">Sets pool idle timeout when connection is open.</w:t>
            </w:r>
          </w:p>
        </w:tc>
      </w:tr>
      <w:tr>
        <w:tc>
          <w:tcPr/>
          <w:p>
            <w:pPr>
              <w:pStyle w:val="Compact"/>
            </w:pPr>
            <w:r>
              <w:rPr>
                <w:rStyle w:val="VerbatimChar"/>
              </w:rPr>
              <w:t xml:space="preserve">SetConnMaxLifetime(seconds)</w:t>
            </w:r>
          </w:p>
        </w:tc>
        <w:tc>
          <w:tcPr/>
          <w:p>
            <w:pPr>
              <w:pStyle w:val="Compact"/>
            </w:pPr>
            <w:r>
              <w:t xml:space="preserve">Empty</w:t>
            </w:r>
          </w:p>
        </w:tc>
        <w:tc>
          <w:tcPr/>
          <w:p>
            <w:pPr>
              <w:pStyle w:val="Compact"/>
            </w:pPr>
            <w:r>
              <w:t xml:space="preserve">Sets maximum pool connection lifetime when connection is open.</w:t>
            </w:r>
          </w:p>
        </w:tc>
      </w:tr>
      <w:tr>
        <w:tc>
          <w:tcPr/>
          <w:p>
            <w:pPr>
              <w:pStyle w:val="Compact"/>
            </w:pPr>
            <w:r>
              <w:rPr>
                <w:rStyle w:val="VerbatimChar"/>
              </w:rPr>
              <w:t xml:space="preserve">SetMaxIdleConns(count)</w:t>
            </w:r>
          </w:p>
        </w:tc>
        <w:tc>
          <w:tcPr/>
          <w:p>
            <w:pPr>
              <w:pStyle w:val="Compact"/>
            </w:pPr>
            <w:r>
              <w:t xml:space="preserve">Empty</w:t>
            </w:r>
          </w:p>
        </w:tc>
        <w:tc>
          <w:tcPr/>
          <w:p>
            <w:pPr>
              <w:pStyle w:val="Compact"/>
            </w:pPr>
            <w:r>
              <w:t xml:space="preserve">Sets maximum idle pooled connections when connection is open.</w:t>
            </w:r>
          </w:p>
        </w:tc>
      </w:tr>
      <w:tr>
        <w:tc>
          <w:tcPr/>
          <w:p>
            <w:pPr>
              <w:pStyle w:val="Compact"/>
            </w:pPr>
            <w:r>
              <w:rPr>
                <w:rStyle w:val="VerbatimChar"/>
              </w:rPr>
              <w:t xml:space="preserve">SetMaxOpenConns(count)</w:t>
            </w:r>
          </w:p>
        </w:tc>
        <w:tc>
          <w:tcPr/>
          <w:p>
            <w:pPr>
              <w:pStyle w:val="Compact"/>
            </w:pPr>
            <w:r>
              <w:t xml:space="preserve">Empty</w:t>
            </w:r>
          </w:p>
        </w:tc>
        <w:tc>
          <w:tcPr/>
          <w:p>
            <w:pPr>
              <w:pStyle w:val="Compact"/>
            </w:pPr>
            <w:r>
              <w:t xml:space="preserve">Sets maximum open pooled connections when connection is open.</w:t>
            </w:r>
          </w:p>
        </w:tc>
      </w:tr>
      <w:tr>
        <w:tc>
          <w:tcPr/>
          <w:p>
            <w:pPr>
              <w:pStyle w:val="Compact"/>
            </w:pPr>
            <w:r>
              <w:rPr>
                <w:rStyle w:val="VerbatimChar"/>
              </w:rPr>
              <w:t xml:space="preserve">Stats()</w:t>
            </w:r>
          </w:p>
        </w:tc>
        <w:tc>
          <w:tcPr/>
          <w:p>
            <w:pPr>
              <w:pStyle w:val="Compact"/>
            </w:pPr>
            <w:r>
              <w:t xml:space="preserve">Scripting.Dictionary or Empty</w:t>
            </w:r>
          </w:p>
        </w:tc>
        <w:tc>
          <w:tcPr/>
          <w:p>
            <w:pPr>
              <w:pStyle w:val="Compact"/>
            </w:pPr>
            <w:r>
              <w:t xml:space="preserve">Returns current pool statistics dictionary when connection is open; otherwise Empty.</w:t>
            </w:r>
          </w:p>
        </w:tc>
      </w:tr>
    </w:tbl>
    <w:bookmarkEnd w:id="2887"/>
    <w:bookmarkStart w:id="2888" w:name="remarks-260"/>
    <w:p>
      <w:pPr>
        <w:pStyle w:val="Heading2"/>
      </w:pPr>
      <w:r>
        <w:t xml:space="preserve">Remarks</w:t>
      </w:r>
    </w:p>
    <w:p>
      <w:pPr>
        <w:pStyle w:val="Compact"/>
        <w:numPr>
          <w:ilvl w:val="0"/>
          <w:numId w:val="1718"/>
        </w:numPr>
      </w:pPr>
      <w:r>
        <w:t xml:space="preserve">Instantiate the library with</w:t>
      </w:r>
      <w:r>
        <w:t xml:space="preserve"> </w:t>
      </w:r>
      <w:r>
        <w:rPr>
          <w:rStyle w:val="VerbatimChar"/>
        </w:rPr>
        <w:t xml:space="preserve">Server.CreateObject("G3DB")</w:t>
      </w:r>
      <w:r>
        <w:t xml:space="preserve">.</w:t>
      </w:r>
    </w:p>
    <w:p>
      <w:pPr>
        <w:pStyle w:val="Compact"/>
        <w:numPr>
          <w:ilvl w:val="0"/>
          <w:numId w:val="1718"/>
        </w:numPr>
      </w:pPr>
      <w:r>
        <w:t xml:space="preserve">Method names are case-insensitive.</w:t>
      </w:r>
    </w:p>
    <w:p>
      <w:pPr>
        <w:pStyle w:val="Compact"/>
        <w:numPr>
          <w:ilvl w:val="0"/>
          <w:numId w:val="1718"/>
        </w:numPr>
      </w:pPr>
      <w:r>
        <w:t xml:space="preserve">Error details are available through</w:t>
      </w:r>
      <w:r>
        <w:t xml:space="preserve"> </w:t>
      </w:r>
      <w:r>
        <w:rPr>
          <w:rStyle w:val="VerbatimChar"/>
        </w:rPr>
        <w:t xml:space="preserve">LastError</w:t>
      </w:r>
      <w:r>
        <w:t xml:space="preserve"> </w:t>
      </w:r>
      <w:r>
        <w:t xml:space="preserve">and</w:t>
      </w:r>
      <w:r>
        <w:t xml:space="preserve"> </w:t>
      </w:r>
      <w:r>
        <w:rPr>
          <w:rStyle w:val="VerbatimChar"/>
        </w:rPr>
        <w:t xml:space="preserve">GetError()</w:t>
      </w:r>
      <w:r>
        <w:t xml:space="preserve">.</w:t>
      </w:r>
    </w:p>
    <w:bookmarkEnd w:id="2888"/>
    <w:bookmarkEnd w:id="2889"/>
    <w:bookmarkStart w:id="2894" w:name="g3db-properties"/>
    <w:p>
      <w:pPr>
        <w:pStyle w:val="Heading1"/>
      </w:pPr>
      <w:r>
        <w:t xml:space="preserve">G3DB Properties</w:t>
      </w:r>
    </w:p>
    <w:bookmarkStart w:id="2890" w:name="overview-277"/>
    <w:p>
      <w:pPr>
        <w:pStyle w:val="Heading2"/>
      </w:pPr>
      <w:r>
        <w:t xml:space="preserve">Overview</w:t>
      </w:r>
    </w:p>
    <w:p>
      <w:pPr>
        <w:pStyle w:val="FirstParagraph"/>
      </w:pPr>
      <w:r>
        <w:t xml:space="preserve">This page lists the properties exposed by</w:t>
      </w:r>
      <w:r>
        <w:t xml:space="preserve"> </w:t>
      </w:r>
      <w:r>
        <w:rPr>
          <w:rStyle w:val="VerbatimChar"/>
        </w:rPr>
        <w:t xml:space="preserve">G3DB</w:t>
      </w:r>
      <w:r>
        <w:t xml:space="preserve">.</w:t>
      </w:r>
    </w:p>
    <w:bookmarkEnd w:id="2890"/>
    <w:bookmarkStart w:id="2891" w:name="properties-14"/>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Driver</w:t>
            </w:r>
          </w:p>
        </w:tc>
        <w:tc>
          <w:tcPr/>
          <w:p>
            <w:pPr>
              <w:pStyle w:val="Compact"/>
            </w:pPr>
            <w:r>
              <w:t xml:space="preserve">Read/Write</w:t>
            </w:r>
          </w:p>
        </w:tc>
        <w:tc>
          <w:tcPr/>
          <w:p>
            <w:pPr>
              <w:pStyle w:val="Compact"/>
            </w:pPr>
            <w:r>
              <w:t xml:space="preserve">String</w:t>
            </w:r>
          </w:p>
        </w:tc>
        <w:tc>
          <w:tcPr/>
          <w:p>
            <w:pPr>
              <w:pStyle w:val="Compact"/>
            </w:pPr>
            <w:r>
              <w:t xml:space="preserve">Normalized database driver name used by the connection object.</w:t>
            </w:r>
          </w:p>
        </w:tc>
      </w:tr>
      <w:tr>
        <w:tc>
          <w:tcPr/>
          <w:p>
            <w:pPr>
              <w:pStyle w:val="Compact"/>
            </w:pPr>
            <w:r>
              <w:rPr>
                <w:rStyle w:val="VerbatimChar"/>
              </w:rPr>
              <w:t xml:space="preserve">DSN</w:t>
            </w:r>
          </w:p>
        </w:tc>
        <w:tc>
          <w:tcPr/>
          <w:p>
            <w:pPr>
              <w:pStyle w:val="Compact"/>
            </w:pPr>
            <w:r>
              <w:t xml:space="preserve">Read/Write</w:t>
            </w:r>
          </w:p>
        </w:tc>
        <w:tc>
          <w:tcPr/>
          <w:p>
            <w:pPr>
              <w:pStyle w:val="Compact"/>
            </w:pPr>
            <w:r>
              <w:t xml:space="preserve">String</w:t>
            </w:r>
          </w:p>
        </w:tc>
        <w:tc>
          <w:tcPr/>
          <w:p>
            <w:pPr>
              <w:pStyle w:val="Compact"/>
            </w:pPr>
            <w:r>
              <w:t xml:space="preserve">Current connection string stored in the object.</w:t>
            </w:r>
          </w:p>
        </w:tc>
      </w:tr>
      <w:tr>
        <w:tc>
          <w:tcPr/>
          <w:p>
            <w:pPr>
              <w:pStyle w:val="Compact"/>
            </w:pPr>
            <w:r>
              <w:rPr>
                <w:rStyle w:val="VerbatimChar"/>
              </w:rPr>
              <w:t xml:space="preserve">IsOpen</w:t>
            </w:r>
          </w:p>
        </w:tc>
        <w:tc>
          <w:tcPr/>
          <w:p>
            <w:pPr>
              <w:pStyle w:val="Compact"/>
            </w:pPr>
            <w:r>
              <w:t xml:space="preserve">Read-only</w:t>
            </w:r>
          </w:p>
        </w:tc>
        <w:tc>
          <w:tcPr/>
          <w:p>
            <w:pPr>
              <w:pStyle w:val="Compact"/>
            </w:pPr>
            <w:r>
              <w:t xml:space="preserve">Boolean</w:t>
            </w:r>
          </w:p>
        </w:tc>
        <w:tc>
          <w:tcPr/>
          <w:p>
            <w:pPr>
              <w:pStyle w:val="Compact"/>
            </w:pPr>
            <w:r>
              <w:t xml:space="preserve">Indicates whether the database pool is currently open.</w:t>
            </w:r>
          </w:p>
        </w:tc>
      </w:tr>
      <w:tr>
        <w:tc>
          <w:tcPr/>
          <w:p>
            <w:pPr>
              <w:pStyle w:val="Compact"/>
            </w:pPr>
            <w:r>
              <w:rPr>
                <w:rStyle w:val="VerbatimChar"/>
              </w:rPr>
              <w:t xml:space="preserve">LastError</w:t>
            </w:r>
          </w:p>
        </w:tc>
        <w:tc>
          <w:tcPr/>
          <w:p>
            <w:pPr>
              <w:pStyle w:val="Compact"/>
            </w:pPr>
            <w:r>
              <w:t xml:space="preserve">Read-only</w:t>
            </w:r>
          </w:p>
        </w:tc>
        <w:tc>
          <w:tcPr/>
          <w:p>
            <w:pPr>
              <w:pStyle w:val="Compact"/>
            </w:pPr>
            <w:r>
              <w:t xml:space="preserve">String</w:t>
            </w:r>
          </w:p>
        </w:tc>
        <w:tc>
          <w:tcPr/>
          <w:p>
            <w:pPr>
              <w:pStyle w:val="Compact"/>
            </w:pPr>
            <w:r>
              <w:t xml:space="preserve">Latest error text recorded by the object.</w:t>
            </w:r>
          </w:p>
        </w:tc>
      </w:tr>
    </w:tbl>
    <w:bookmarkEnd w:id="2891"/>
    <w:bookmarkStart w:id="2893" w:name="remarks-261"/>
    <w:p>
      <w:pPr>
        <w:pStyle w:val="Heading2"/>
      </w:pPr>
      <w:r>
        <w:t xml:space="preserve">Remarks</w:t>
      </w:r>
    </w:p>
    <w:p>
      <w:pPr>
        <w:pStyle w:val="Compact"/>
        <w:numPr>
          <w:ilvl w:val="0"/>
          <w:numId w:val="1719"/>
        </w:numPr>
      </w:pPr>
      <w:r>
        <w:t xml:space="preserve">Instantiate the library with</w:t>
      </w:r>
      <w:r>
        <w:t xml:space="preserve"> </w:t>
      </w:r>
      <w:r>
        <w:rPr>
          <w:rStyle w:val="VerbatimChar"/>
        </w:rPr>
        <w:t xml:space="preserve">Server.CreateObject("G3DB")</w:t>
      </w:r>
      <w:r>
        <w:t xml:space="preserve">.</w:t>
      </w:r>
    </w:p>
    <w:p>
      <w:pPr>
        <w:pStyle w:val="Compact"/>
        <w:numPr>
          <w:ilvl w:val="0"/>
          <w:numId w:val="1719"/>
        </w:numPr>
      </w:pPr>
      <w:r>
        <w:rPr>
          <w:rStyle w:val="VerbatimChar"/>
        </w:rPr>
        <w:t xml:space="preserve">Driver</w:t>
      </w:r>
      <w:r>
        <w:t xml:space="preserve"> </w:t>
      </w:r>
      <w:r>
        <w:t xml:space="preserve">and</w:t>
      </w:r>
      <w:r>
        <w:t xml:space="preserve"> </w:t>
      </w:r>
      <w:r>
        <w:rPr>
          <w:rStyle w:val="VerbatimChar"/>
        </w:rPr>
        <w:t xml:space="preserve">DSN</w:t>
      </w:r>
      <w:r>
        <w:t xml:space="preserve"> </w:t>
      </w:r>
      <w:r>
        <w:t xml:space="preserve">can be assigned before opening a connection.</w:t>
      </w:r>
    </w:p>
    <w:bookmarkStart w:id="2892" w:name="methods-detail-5"/>
    <w:p>
      <w:pPr>
        <w:pStyle w:val="Heading3"/>
      </w:pPr>
      <w:r>
        <w:t xml:space="preserve">Methods Detail</w:t>
      </w:r>
    </w:p>
    <w:bookmarkEnd w:id="2892"/>
    <w:bookmarkEnd w:id="2893"/>
    <w:bookmarkEnd w:id="2894"/>
    <w:bookmarkStart w:id="2903" w:name="begin-a-transaction"/>
    <w:p>
      <w:pPr>
        <w:pStyle w:val="Heading1"/>
      </w:pPr>
      <w:r>
        <w:t xml:space="preserve">Begin a Transaction</w:t>
      </w:r>
    </w:p>
    <w:bookmarkStart w:id="2895" w:name="overview-278"/>
    <w:p>
      <w:pPr>
        <w:pStyle w:val="Heading2"/>
      </w:pPr>
      <w:r>
        <w:t xml:space="preserve">Overview</w:t>
      </w:r>
    </w:p>
    <w:p>
      <w:pPr>
        <w:pStyle w:val="FirstParagraph"/>
      </w:pPr>
      <w:r>
        <w:t xml:space="preserve">Starts a database transaction using default options.</w:t>
      </w:r>
    </w:p>
    <w:bookmarkEnd w:id="2895"/>
    <w:bookmarkStart w:id="2896" w:name="prerequisites-12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896"/>
    <w:bookmarkStart w:id="2897" w:name="syntax-284"/>
    <w:p>
      <w:pPr>
        <w:pStyle w:val="Heading2"/>
      </w:pPr>
      <w:r>
        <w:t xml:space="preserve">Syntax</w:t>
      </w:r>
    </w:p>
    <w:p>
      <w:pPr>
        <w:pStyle w:val="SourceCode"/>
      </w:pPr>
      <w:r>
        <w:rPr>
          <w:rStyle w:val="NormalTok"/>
        </w:rPr>
        <w:t xml:space="preserve">Set tx = db.Begin()</w:t>
      </w:r>
    </w:p>
    <w:bookmarkEnd w:id="2897"/>
    <w:bookmarkStart w:id="2898" w:name="parameters-188"/>
    <w:p>
      <w:pPr>
        <w:pStyle w:val="Heading2"/>
      </w:pPr>
      <w:r>
        <w:t xml:space="preserve">Parameters</w:t>
      </w:r>
    </w:p>
    <w:p>
      <w:pPr>
        <w:pStyle w:val="FirstParagraph"/>
      </w:pPr>
      <w:r>
        <w:t xml:space="preserve">None.</w:t>
      </w:r>
    </w:p>
    <w:bookmarkEnd w:id="2898"/>
    <w:bookmarkStart w:id="2899" w:name="return-value-208"/>
    <w:p>
      <w:pPr>
        <w:pStyle w:val="Heading2"/>
      </w:pPr>
      <w:r>
        <w:t xml:space="preserve">Return Value</w:t>
      </w:r>
    </w:p>
    <w:p>
      <w:pPr>
        <w:pStyle w:val="Compact"/>
        <w:numPr>
          <w:ilvl w:val="0"/>
          <w:numId w:val="1720"/>
        </w:numPr>
      </w:pPr>
      <w:r>
        <w:rPr>
          <w:b/>
          <w:bCs/>
        </w:rPr>
        <w:t xml:space="preserve">G3DBTransaction</w:t>
      </w:r>
      <w:r>
        <w:t xml:space="preserve">: Returned when transaction start succeeds.</w:t>
      </w:r>
    </w:p>
    <w:p>
      <w:pPr>
        <w:pStyle w:val="Compact"/>
        <w:numPr>
          <w:ilvl w:val="0"/>
          <w:numId w:val="1720"/>
        </w:numPr>
      </w:pPr>
      <w:r>
        <w:rPr>
          <w:b/>
          <w:bCs/>
        </w:rPr>
        <w:t xml:space="preserve">Empty</w:t>
      </w:r>
      <w:r>
        <w:t xml:space="preserve">: Returned when connection is not open or transaction creation fails.</w:t>
      </w:r>
    </w:p>
    <w:bookmarkEnd w:id="2899"/>
    <w:bookmarkStart w:id="2900" w:name="remarks-262"/>
    <w:p>
      <w:pPr>
        <w:pStyle w:val="Heading2"/>
      </w:pPr>
      <w:r>
        <w:t xml:space="preserve">Remarks</w:t>
      </w:r>
    </w:p>
    <w:p>
      <w:pPr>
        <w:pStyle w:val="Compact"/>
        <w:numPr>
          <w:ilvl w:val="0"/>
          <w:numId w:val="1721"/>
        </w:numPr>
      </w:pPr>
      <w:r>
        <w:t xml:space="preserve">Aliases</w:t>
      </w:r>
      <w:r>
        <w:t xml:space="preserve"> </w:t>
      </w:r>
      <w:r>
        <w:rPr>
          <w:rStyle w:val="VerbatimChar"/>
        </w:rPr>
        <w:t xml:space="preserve">BeginTrans</w:t>
      </w:r>
      <w:r>
        <w:t xml:space="preserve"> </w:t>
      </w:r>
      <w:r>
        <w:t xml:space="preserve">and</w:t>
      </w:r>
      <w:r>
        <w:t xml:space="preserve"> </w:t>
      </w:r>
      <w:r>
        <w:rPr>
          <w:rStyle w:val="VerbatimChar"/>
        </w:rPr>
        <w:t xml:space="preserve">BeginTransaction</w:t>
      </w:r>
      <w:r>
        <w:t xml:space="preserve"> </w:t>
      </w:r>
      <w:r>
        <w:t xml:space="preserve">call the same runtime path.</w:t>
      </w:r>
    </w:p>
    <w:bookmarkEnd w:id="2900"/>
    <w:bookmarkStart w:id="2901" w:name="example-20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tx</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"user:pass@tcp(localhost)/db"</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tx = db.Begin</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tx</w:t>
      </w:r>
      <w:r>
        <w:rPr>
          <w:rStyle w:val="OtherTok"/>
        </w:rPr>
        <w:t xml:space="preserve">)</w:t>
      </w:r>
      <w:r>
        <w:rPr>
          <w:rStyle w:val="NormalTok"/>
        </w:rPr>
        <w:t xml:space="preserve"> </w:t>
      </w:r>
      <w:r>
        <w:rPr>
          <w:rStyle w:val="ControlFlowTok"/>
        </w:rPr>
        <w:t xml:space="preserve">Then</w:t>
      </w:r>
      <w:r>
        <w:rPr>
          <w:rStyle w:val="NormalTok"/>
        </w:rPr>
        <w:t xml:space="preserve"> tx.Rollback</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01"/>
    <w:bookmarkStart w:id="2902" w:name="api-reference-131"/>
    <w:p>
      <w:pPr>
        <w:pStyle w:val="Heading2"/>
      </w:pPr>
      <w:r>
        <w:t xml:space="preserve">API Reference</w:t>
      </w:r>
    </w:p>
    <w:p>
      <w:pPr>
        <w:pStyle w:val="Compact"/>
        <w:numPr>
          <w:ilvl w:val="0"/>
          <w:numId w:val="1722"/>
        </w:numPr>
      </w:pPr>
      <w:r>
        <w:rPr>
          <w:b/>
          <w:bCs/>
        </w:rPr>
        <w:t xml:space="preserve">Object</w:t>
      </w:r>
      <w:r>
        <w:t xml:space="preserve">:</w:t>
      </w:r>
      <w:r>
        <w:t xml:space="preserve"> </w:t>
      </w:r>
      <w:r>
        <w:rPr>
          <w:rStyle w:val="VerbatimChar"/>
        </w:rPr>
        <w:t xml:space="preserve">G3DB</w:t>
      </w:r>
    </w:p>
    <w:p>
      <w:pPr>
        <w:pStyle w:val="Compact"/>
        <w:numPr>
          <w:ilvl w:val="0"/>
          <w:numId w:val="1722"/>
        </w:numPr>
      </w:pPr>
      <w:r>
        <w:rPr>
          <w:b/>
          <w:bCs/>
        </w:rPr>
        <w:t xml:space="preserve">Method</w:t>
      </w:r>
      <w:r>
        <w:t xml:space="preserve">:</w:t>
      </w:r>
      <w:r>
        <w:t xml:space="preserve"> </w:t>
      </w:r>
      <w:r>
        <w:rPr>
          <w:rStyle w:val="VerbatimChar"/>
        </w:rPr>
        <w:t xml:space="preserve">Begin</w:t>
      </w:r>
    </w:p>
    <w:p>
      <w:pPr>
        <w:pStyle w:val="Compact"/>
        <w:numPr>
          <w:ilvl w:val="0"/>
          <w:numId w:val="1722"/>
        </w:numPr>
      </w:pPr>
      <w:r>
        <w:rPr>
          <w:b/>
          <w:bCs/>
        </w:rPr>
        <w:t xml:space="preserve">Arguments</w:t>
      </w:r>
      <w:r>
        <w:t xml:space="preserve">: none</w:t>
      </w:r>
    </w:p>
    <w:p>
      <w:pPr>
        <w:pStyle w:val="Compact"/>
        <w:numPr>
          <w:ilvl w:val="0"/>
          <w:numId w:val="1722"/>
        </w:numPr>
      </w:pPr>
      <w:r>
        <w:rPr>
          <w:b/>
          <w:bCs/>
        </w:rPr>
        <w:t xml:space="preserve">Returns</w:t>
      </w:r>
      <w:r>
        <w:t xml:space="preserve">: G3DBTransaction on success, Empty on failure</w:t>
      </w:r>
    </w:p>
    <w:bookmarkEnd w:id="2902"/>
    <w:bookmarkEnd w:id="2903"/>
    <w:bookmarkStart w:id="2912" w:name="begin-a-transaction-with-options"/>
    <w:p>
      <w:pPr>
        <w:pStyle w:val="Heading1"/>
      </w:pPr>
      <w:r>
        <w:t xml:space="preserve">Begin a Transaction with Options</w:t>
      </w:r>
    </w:p>
    <w:bookmarkStart w:id="2904" w:name="overview-279"/>
    <w:p>
      <w:pPr>
        <w:pStyle w:val="Heading2"/>
      </w:pPr>
      <w:r>
        <w:t xml:space="preserve">Overview</w:t>
      </w:r>
    </w:p>
    <w:p>
      <w:pPr>
        <w:pStyle w:val="FirstParagraph"/>
      </w:pPr>
      <w:r>
        <w:t xml:space="preserve">Starts a database transaction with optional timeout and read-only configuration.</w:t>
      </w:r>
    </w:p>
    <w:bookmarkEnd w:id="2904"/>
    <w:bookmarkStart w:id="2905" w:name="prerequisites-12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05"/>
    <w:bookmarkStart w:id="2906" w:name="syntax-285"/>
    <w:p>
      <w:pPr>
        <w:pStyle w:val="Heading2"/>
      </w:pPr>
      <w:r>
        <w:t xml:space="preserve">Syntax</w:t>
      </w:r>
    </w:p>
    <w:p>
      <w:pPr>
        <w:pStyle w:val="SourceCode"/>
      </w:pPr>
      <w:r>
        <w:rPr>
          <w:rStyle w:val="NormalTok"/>
        </w:rPr>
        <w:t xml:space="preserve">Set tx = db.BeginTx([timeoutSeconds, readOnly])</w:t>
      </w:r>
    </w:p>
    <w:bookmarkEnd w:id="2906"/>
    <w:bookmarkStart w:id="2907" w:name="parameters-18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timeoutSeconds</w:t>
            </w:r>
          </w:p>
        </w:tc>
        <w:tc>
          <w:tcPr/>
          <w:p>
            <w:pPr>
              <w:pStyle w:val="Compact"/>
            </w:pPr>
            <w:r>
              <w:t xml:space="preserve">Integer</w:t>
            </w:r>
          </w:p>
        </w:tc>
        <w:tc>
          <w:tcPr/>
          <w:p>
            <w:pPr>
              <w:pStyle w:val="Compact"/>
            </w:pPr>
            <w:r>
              <w:t xml:space="preserve">No</w:t>
            </w:r>
          </w:p>
        </w:tc>
        <w:tc>
          <w:tcPr/>
          <w:p>
            <w:pPr>
              <w:pStyle w:val="Compact"/>
            </w:pPr>
            <w:r>
              <w:t xml:space="preserve">Timeout in seconds. Use</w:t>
            </w:r>
            <w:r>
              <w:t xml:space="preserve"> </w:t>
            </w:r>
            <w:r>
              <w:rPr>
                <w:rStyle w:val="VerbatimChar"/>
              </w:rPr>
              <w:t xml:space="preserve">0</w:t>
            </w:r>
            <w:r>
              <w:t xml:space="preserve"> </w:t>
            </w:r>
            <w:r>
              <w:t xml:space="preserve">or omit for no timeout.</w:t>
            </w:r>
          </w:p>
        </w:tc>
      </w:tr>
      <w:tr>
        <w:tc>
          <w:tcPr/>
          <w:p>
            <w:pPr>
              <w:pStyle w:val="Compact"/>
            </w:pPr>
            <w:r>
              <w:rPr>
                <w:b/>
                <w:bCs/>
              </w:rPr>
              <w:t xml:space="preserve">readOnly</w:t>
            </w:r>
          </w:p>
        </w:tc>
        <w:tc>
          <w:tcPr/>
          <w:p>
            <w:pPr>
              <w:pStyle w:val="Compact"/>
            </w:pPr>
            <w:r>
              <w:t xml:space="preserve">Boolean</w:t>
            </w:r>
          </w:p>
        </w:tc>
        <w:tc>
          <w:tcPr/>
          <w:p>
            <w:pPr>
              <w:pStyle w:val="Compact"/>
            </w:pPr>
            <w:r>
              <w:t xml:space="preserve">No</w:t>
            </w:r>
          </w:p>
        </w:tc>
        <w:tc>
          <w:tcPr/>
          <w:p>
            <w:pPr>
              <w:pStyle w:val="Compact"/>
            </w:pPr>
            <w:r>
              <w:rPr>
                <w:rStyle w:val="VerbatimChar"/>
              </w:rPr>
              <w:t xml:space="preserve">True</w:t>
            </w:r>
            <w:r>
              <w:t xml:space="preserve"> </w:t>
            </w:r>
            <w:r>
              <w:t xml:space="preserve">to request read-only transaction mode.</w:t>
            </w:r>
          </w:p>
        </w:tc>
      </w:tr>
    </w:tbl>
    <w:bookmarkEnd w:id="2907"/>
    <w:bookmarkStart w:id="2908" w:name="return-value-209"/>
    <w:p>
      <w:pPr>
        <w:pStyle w:val="Heading2"/>
      </w:pPr>
      <w:r>
        <w:t xml:space="preserve">Return Value</w:t>
      </w:r>
    </w:p>
    <w:p>
      <w:pPr>
        <w:pStyle w:val="Compact"/>
        <w:numPr>
          <w:ilvl w:val="0"/>
          <w:numId w:val="1723"/>
        </w:numPr>
      </w:pPr>
      <w:r>
        <w:rPr>
          <w:b/>
          <w:bCs/>
        </w:rPr>
        <w:t xml:space="preserve">G3DBTransaction</w:t>
      </w:r>
      <w:r>
        <w:t xml:space="preserve">: Returned when transaction start succeeds.</w:t>
      </w:r>
    </w:p>
    <w:p>
      <w:pPr>
        <w:pStyle w:val="Compact"/>
        <w:numPr>
          <w:ilvl w:val="0"/>
          <w:numId w:val="1723"/>
        </w:numPr>
      </w:pPr>
      <w:r>
        <w:rPr>
          <w:b/>
          <w:bCs/>
        </w:rPr>
        <w:t xml:space="preserve">Empty</w:t>
      </w:r>
      <w:r>
        <w:t xml:space="preserve">: Returned when connection is not open or transaction creation fails.</w:t>
      </w:r>
    </w:p>
    <w:bookmarkEnd w:id="2908"/>
    <w:bookmarkStart w:id="2909" w:name="remarks-263"/>
    <w:p>
      <w:pPr>
        <w:pStyle w:val="Heading2"/>
      </w:pPr>
      <w:r>
        <w:t xml:space="preserve">Remarks</w:t>
      </w:r>
    </w:p>
    <w:p>
      <w:pPr>
        <w:pStyle w:val="Compact"/>
        <w:numPr>
          <w:ilvl w:val="0"/>
          <w:numId w:val="1724"/>
        </w:numPr>
      </w:pPr>
      <w:r>
        <w:t xml:space="preserve">Timeout is only applied when</w:t>
      </w:r>
      <w:r>
        <w:t xml:space="preserve"> </w:t>
      </w:r>
      <w:r>
        <w:rPr>
          <w:rStyle w:val="VerbatimChar"/>
        </w:rPr>
        <w:t xml:space="preserve">timeoutSeconds</w:t>
      </w:r>
      <w:r>
        <w:t xml:space="preserve"> </w:t>
      </w:r>
      <w:r>
        <w:t xml:space="preserve">is greater than zero.</w:t>
      </w:r>
    </w:p>
    <w:bookmarkEnd w:id="2909"/>
    <w:bookmarkStart w:id="2910" w:name="example-21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tx</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"postgres"</w:t>
      </w:r>
      <w:r>
        <w:rPr>
          <w:rStyle w:val="OtherTok"/>
        </w:rPr>
        <w:t xml:space="preserve">,</w:t>
      </w:r>
      <w:r>
        <w:rPr>
          <w:rStyle w:val="NormalTok"/>
        </w:rPr>
        <w:t xml:space="preserve"> </w:t>
      </w:r>
      <w:r>
        <w:rPr>
          <w:rStyle w:val="StringTok"/>
        </w:rPr>
        <w:t xml:space="preserve">"host=localhost user=u dbname=app"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tx = db.BeginTx</w:t>
      </w:r>
      <w:r>
        <w:rPr>
          <w:rStyle w:val="OtherTok"/>
        </w:rPr>
        <w:t xml:space="preserve">(</w:t>
      </w:r>
      <w:r>
        <w:rPr>
          <w:rStyle w:val="DecValTok"/>
        </w:rPr>
        <w:t xml:space="preserve">30</w:t>
      </w:r>
      <w:r>
        <w:rPr>
          <w:rStyle w:val="OtherTok"/>
        </w:rPr>
        <w:t xml:space="preserve">,</w:t>
      </w:r>
      <w:r>
        <w:rPr>
          <w:rStyle w:val="NormalTok"/>
        </w:rPr>
        <w:t xml:space="preserve"> </w:t>
      </w:r>
      <w:r>
        <w:rPr>
          <w:rStyle w:val="KeywordTok"/>
        </w:rPr>
        <w:t xml:space="preserve">True</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tx</w:t>
      </w:r>
      <w:r>
        <w:rPr>
          <w:rStyle w:val="OtherTok"/>
        </w:rPr>
        <w:t xml:space="preserve">)</w:t>
      </w:r>
      <w:r>
        <w:rPr>
          <w:rStyle w:val="NormalTok"/>
        </w:rPr>
        <w:t xml:space="preserve"> </w:t>
      </w:r>
      <w:r>
        <w:rPr>
          <w:rStyle w:val="ControlFlowTok"/>
        </w:rPr>
        <w:t xml:space="preserve">Then</w:t>
      </w:r>
      <w:r>
        <w:rPr>
          <w:rStyle w:val="NormalTok"/>
        </w:rPr>
        <w:t xml:space="preserve"> tx.Rollback</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10"/>
    <w:bookmarkStart w:id="2911" w:name="api-reference-132"/>
    <w:p>
      <w:pPr>
        <w:pStyle w:val="Heading2"/>
      </w:pPr>
      <w:r>
        <w:t xml:space="preserve">API Reference</w:t>
      </w:r>
    </w:p>
    <w:p>
      <w:pPr>
        <w:pStyle w:val="Compact"/>
        <w:numPr>
          <w:ilvl w:val="0"/>
          <w:numId w:val="1725"/>
        </w:numPr>
      </w:pPr>
      <w:r>
        <w:rPr>
          <w:b/>
          <w:bCs/>
        </w:rPr>
        <w:t xml:space="preserve">Object</w:t>
      </w:r>
      <w:r>
        <w:t xml:space="preserve">:</w:t>
      </w:r>
      <w:r>
        <w:t xml:space="preserve"> </w:t>
      </w:r>
      <w:r>
        <w:rPr>
          <w:rStyle w:val="VerbatimChar"/>
        </w:rPr>
        <w:t xml:space="preserve">G3DB</w:t>
      </w:r>
    </w:p>
    <w:p>
      <w:pPr>
        <w:pStyle w:val="Compact"/>
        <w:numPr>
          <w:ilvl w:val="0"/>
          <w:numId w:val="1725"/>
        </w:numPr>
      </w:pPr>
      <w:r>
        <w:rPr>
          <w:b/>
          <w:bCs/>
        </w:rPr>
        <w:t xml:space="preserve">Method</w:t>
      </w:r>
      <w:r>
        <w:t xml:space="preserve">:</w:t>
      </w:r>
      <w:r>
        <w:t xml:space="preserve"> </w:t>
      </w:r>
      <w:r>
        <w:rPr>
          <w:rStyle w:val="VerbatimChar"/>
        </w:rPr>
        <w:t xml:space="preserve">BeginTx</w:t>
      </w:r>
    </w:p>
    <w:p>
      <w:pPr>
        <w:pStyle w:val="Compact"/>
        <w:numPr>
          <w:ilvl w:val="0"/>
          <w:numId w:val="1725"/>
        </w:numPr>
      </w:pPr>
      <w:r>
        <w:rPr>
          <w:b/>
          <w:bCs/>
        </w:rPr>
        <w:t xml:space="preserve">Arguments</w:t>
      </w:r>
      <w:r>
        <w:t xml:space="preserve">:</w:t>
      </w:r>
      <w:r>
        <w:t xml:space="preserve"> </w:t>
      </w:r>
      <w:r>
        <w:rPr>
          <w:rStyle w:val="VerbatimChar"/>
        </w:rPr>
        <w:t xml:space="preserve">timeoutSeconds</w:t>
      </w:r>
      <w:r>
        <w:t xml:space="preserve"> </w:t>
      </w:r>
      <w:r>
        <w:t xml:space="preserve">(Integer, optional),</w:t>
      </w:r>
      <w:r>
        <w:t xml:space="preserve"> </w:t>
      </w:r>
      <w:r>
        <w:rPr>
          <w:rStyle w:val="VerbatimChar"/>
        </w:rPr>
        <w:t xml:space="preserve">readOnly</w:t>
      </w:r>
      <w:r>
        <w:t xml:space="preserve"> </w:t>
      </w:r>
      <w:r>
        <w:t xml:space="preserve">(Boolean, optional)</w:t>
      </w:r>
    </w:p>
    <w:p>
      <w:pPr>
        <w:pStyle w:val="Compact"/>
        <w:numPr>
          <w:ilvl w:val="0"/>
          <w:numId w:val="1725"/>
        </w:numPr>
      </w:pPr>
      <w:r>
        <w:rPr>
          <w:b/>
          <w:bCs/>
        </w:rPr>
        <w:t xml:space="preserve">Returns</w:t>
      </w:r>
      <w:r>
        <w:t xml:space="preserve">: G3DBTransaction on success, Empty on failure</w:t>
      </w:r>
    </w:p>
    <w:bookmarkEnd w:id="2911"/>
    <w:bookmarkEnd w:id="2912"/>
    <w:bookmarkStart w:id="2921" w:name="close-a-database-connection"/>
    <w:p>
      <w:pPr>
        <w:pStyle w:val="Heading1"/>
      </w:pPr>
      <w:r>
        <w:t xml:space="preserve">Close a Database Connection</w:t>
      </w:r>
    </w:p>
    <w:bookmarkStart w:id="2913" w:name="overview-280"/>
    <w:p>
      <w:pPr>
        <w:pStyle w:val="Heading2"/>
      </w:pPr>
      <w:r>
        <w:t xml:space="preserve">Overview</w:t>
      </w:r>
    </w:p>
    <w:p>
      <w:pPr>
        <w:pStyle w:val="FirstParagraph"/>
      </w:pPr>
      <w:r>
        <w:t xml:space="preserve">Closes the current database pool managed by the G3DB object.</w:t>
      </w:r>
    </w:p>
    <w:bookmarkEnd w:id="2913"/>
    <w:bookmarkStart w:id="2914" w:name="prerequisites-13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14"/>
    <w:bookmarkStart w:id="2915" w:name="syntax-286"/>
    <w:p>
      <w:pPr>
        <w:pStyle w:val="Heading2"/>
      </w:pPr>
      <w:r>
        <w:t xml:space="preserve">Syntax</w:t>
      </w:r>
    </w:p>
    <w:p>
      <w:pPr>
        <w:pStyle w:val="SourceCode"/>
      </w:pPr>
      <w:r>
        <w:rPr>
          <w:rStyle w:val="NormalTok"/>
        </w:rPr>
        <w:t xml:space="preserve">ok = db.Close()</w:t>
      </w:r>
    </w:p>
    <w:bookmarkEnd w:id="2915"/>
    <w:bookmarkStart w:id="2916" w:name="parameters-190"/>
    <w:p>
      <w:pPr>
        <w:pStyle w:val="Heading2"/>
      </w:pPr>
      <w:r>
        <w:t xml:space="preserve">Parameters</w:t>
      </w:r>
    </w:p>
    <w:p>
      <w:pPr>
        <w:pStyle w:val="FirstParagraph"/>
      </w:pPr>
      <w:r>
        <w:t xml:space="preserve">None.</w:t>
      </w:r>
    </w:p>
    <w:bookmarkEnd w:id="2916"/>
    <w:bookmarkStart w:id="2917" w:name="return-value-210"/>
    <w:p>
      <w:pPr>
        <w:pStyle w:val="Heading2"/>
      </w:pPr>
      <w:r>
        <w:t xml:space="preserve">Return Value</w:t>
      </w:r>
    </w:p>
    <w:p>
      <w:pPr>
        <w:pStyle w:val="Compact"/>
        <w:numPr>
          <w:ilvl w:val="0"/>
          <w:numId w:val="1726"/>
        </w:numPr>
      </w:pPr>
      <w:r>
        <w:rPr>
          <w:b/>
          <w:bCs/>
        </w:rPr>
        <w:t xml:space="preserve">Boolean</w:t>
      </w:r>
      <w:r>
        <w:rPr>
          <w:b/>
          <w:bCs/>
        </w:rPr>
        <w:t xml:space="preserve"> </w:t>
      </w:r>
      <w:r>
        <w:rPr>
          <w:rStyle w:val="VerbatimChar"/>
          <w:b/>
          <w:bCs/>
        </w:rPr>
        <w:t xml:space="preserve">True</w:t>
      </w:r>
      <w:r>
        <w:t xml:space="preserve">: Connection closed successfully, or no connection was open.</w:t>
      </w:r>
    </w:p>
    <w:p>
      <w:pPr>
        <w:pStyle w:val="Compact"/>
        <w:numPr>
          <w:ilvl w:val="0"/>
          <w:numId w:val="1726"/>
        </w:numPr>
      </w:pPr>
      <w:r>
        <w:rPr>
          <w:b/>
          <w:bCs/>
        </w:rPr>
        <w:t xml:space="preserve">Boolean</w:t>
      </w:r>
      <w:r>
        <w:rPr>
          <w:b/>
          <w:bCs/>
        </w:rPr>
        <w:t xml:space="preserve"> </w:t>
      </w:r>
      <w:r>
        <w:rPr>
          <w:rStyle w:val="VerbatimChar"/>
          <w:b/>
          <w:bCs/>
        </w:rPr>
        <w:t xml:space="preserve">False</w:t>
      </w:r>
      <w:r>
        <w:t xml:space="preserve">: Close operation returned an error.</w:t>
      </w:r>
    </w:p>
    <w:bookmarkEnd w:id="2917"/>
    <w:bookmarkStart w:id="2918" w:name="remarks-264"/>
    <w:p>
      <w:pPr>
        <w:pStyle w:val="Heading2"/>
      </w:pPr>
      <w:r>
        <w:t xml:space="preserve">Remarks</w:t>
      </w:r>
    </w:p>
    <w:p>
      <w:pPr>
        <w:pStyle w:val="Compact"/>
        <w:numPr>
          <w:ilvl w:val="0"/>
          <w:numId w:val="1727"/>
        </w:numPr>
      </w:pPr>
      <w:r>
        <w:t xml:space="preserve">On successful close,</w:t>
      </w:r>
      <w:r>
        <w:t xml:space="preserve"> </w:t>
      </w:r>
      <w:r>
        <w:rPr>
          <w:rStyle w:val="VerbatimChar"/>
        </w:rPr>
        <w:t xml:space="preserve">IsOpen</w:t>
      </w:r>
      <w:r>
        <w:t xml:space="preserve"> </w:t>
      </w:r>
      <w:r>
        <w:t xml:space="preserve">becomes</w:t>
      </w:r>
      <w:r>
        <w:t xml:space="preserve"> </w:t>
      </w:r>
      <w:r>
        <w:rPr>
          <w:rStyle w:val="VerbatimChar"/>
        </w:rPr>
        <w:t xml:space="preserve">False</w:t>
      </w:r>
      <w:r>
        <w:t xml:space="preserve">.</w:t>
      </w:r>
    </w:p>
    <w:bookmarkEnd w:id="2918"/>
    <w:bookmarkStart w:id="2919" w:name="example-21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ok</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NormalTok"/>
        </w:rPr>
        <w:t xml:space="preserve">db.</w:t>
      </w:r>
      <w:r>
        <w:rPr>
          <w:rStyle w:val="KeywordTok"/>
        </w:rPr>
        <w:t xml:space="preserve">Open</w:t>
      </w:r>
      <w:r>
        <w:rPr>
          <w:rStyle w:val="NormalTok"/>
        </w:rPr>
        <w:t xml:space="preserve"> </w:t>
      </w:r>
      <w:r>
        <w:rPr>
          <w:rStyle w:val="StringTok"/>
        </w:rPr>
        <w:t xml:space="preserve">"sqlite"</w:t>
      </w:r>
      <w:r>
        <w:rPr>
          <w:rStyle w:val="OtherTok"/>
        </w:rPr>
        <w:t xml:space="preserve">,</w:t>
      </w:r>
      <w:r>
        <w:rPr>
          <w:rStyle w:val="NormalTok"/>
        </w:rPr>
        <w:t xml:space="preserve"> </w:t>
      </w:r>
      <w:r>
        <w:rPr>
          <w:rStyle w:val="StringTok"/>
        </w:rPr>
        <w:t xml:space="preserve">"data.db"</w:t>
      </w:r>
      <w:r>
        <w:br/>
      </w:r>
      <w:r>
        <w:rPr>
          <w:rStyle w:val="NormalTok"/>
        </w:rPr>
        <w:t xml:space="preserve">ok = db.</w:t>
      </w:r>
      <w:r>
        <w:rPr>
          <w:rStyle w:val="KeywordTok"/>
        </w:rPr>
        <w:t xml:space="preserve">Close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ok</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19"/>
    <w:bookmarkStart w:id="2920" w:name="api-reference-133"/>
    <w:p>
      <w:pPr>
        <w:pStyle w:val="Heading2"/>
      </w:pPr>
      <w:r>
        <w:t xml:space="preserve">API Reference</w:t>
      </w:r>
    </w:p>
    <w:p>
      <w:pPr>
        <w:pStyle w:val="Compact"/>
        <w:numPr>
          <w:ilvl w:val="0"/>
          <w:numId w:val="1728"/>
        </w:numPr>
      </w:pPr>
      <w:r>
        <w:rPr>
          <w:b/>
          <w:bCs/>
        </w:rPr>
        <w:t xml:space="preserve">Object</w:t>
      </w:r>
      <w:r>
        <w:t xml:space="preserve">:</w:t>
      </w:r>
      <w:r>
        <w:t xml:space="preserve"> </w:t>
      </w:r>
      <w:r>
        <w:rPr>
          <w:rStyle w:val="VerbatimChar"/>
        </w:rPr>
        <w:t xml:space="preserve">G3DB</w:t>
      </w:r>
    </w:p>
    <w:p>
      <w:pPr>
        <w:pStyle w:val="Compact"/>
        <w:numPr>
          <w:ilvl w:val="0"/>
          <w:numId w:val="1728"/>
        </w:numPr>
      </w:pPr>
      <w:r>
        <w:rPr>
          <w:b/>
          <w:bCs/>
        </w:rPr>
        <w:t xml:space="preserve">Method</w:t>
      </w:r>
      <w:r>
        <w:t xml:space="preserve">:</w:t>
      </w:r>
      <w:r>
        <w:t xml:space="preserve"> </w:t>
      </w:r>
      <w:r>
        <w:rPr>
          <w:rStyle w:val="VerbatimChar"/>
        </w:rPr>
        <w:t xml:space="preserve">Close</w:t>
      </w:r>
    </w:p>
    <w:p>
      <w:pPr>
        <w:pStyle w:val="Compact"/>
        <w:numPr>
          <w:ilvl w:val="0"/>
          <w:numId w:val="1728"/>
        </w:numPr>
      </w:pPr>
      <w:r>
        <w:rPr>
          <w:b/>
          <w:bCs/>
        </w:rPr>
        <w:t xml:space="preserve">Arguments</w:t>
      </w:r>
      <w:r>
        <w:t xml:space="preserve">: none</w:t>
      </w:r>
    </w:p>
    <w:p>
      <w:pPr>
        <w:pStyle w:val="Compact"/>
        <w:numPr>
          <w:ilvl w:val="0"/>
          <w:numId w:val="1728"/>
        </w:numPr>
      </w:pPr>
      <w:r>
        <w:rPr>
          <w:b/>
          <w:bCs/>
        </w:rPr>
        <w:t xml:space="preserve">Returns</w:t>
      </w:r>
      <w:r>
        <w:t xml:space="preserve">: Boolean —</w:t>
      </w:r>
      <w:r>
        <w:t xml:space="preserve"> </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close error</w:t>
      </w:r>
    </w:p>
    <w:bookmarkEnd w:id="2920"/>
    <w:bookmarkEnd w:id="2921"/>
    <w:bookmarkStart w:id="2930" w:name="execute-a-non-query-sql-statement"/>
    <w:p>
      <w:pPr>
        <w:pStyle w:val="Heading1"/>
      </w:pPr>
      <w:r>
        <w:t xml:space="preserve">Execute a Non-Query SQL Statement</w:t>
      </w:r>
    </w:p>
    <w:bookmarkStart w:id="2922" w:name="overview-281"/>
    <w:p>
      <w:pPr>
        <w:pStyle w:val="Heading2"/>
      </w:pPr>
      <w:r>
        <w:t xml:space="preserve">Overview</w:t>
      </w:r>
    </w:p>
    <w:p>
      <w:pPr>
        <w:pStyle w:val="FirstParagraph"/>
      </w:pPr>
      <w:r>
        <w:t xml:space="preserve">Executes a SQL statement that does not return a row cursor.</w:t>
      </w:r>
    </w:p>
    <w:bookmarkEnd w:id="2922"/>
    <w:bookmarkStart w:id="2923" w:name="prerequisites-13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23"/>
    <w:bookmarkStart w:id="2924" w:name="syntax-287"/>
    <w:p>
      <w:pPr>
        <w:pStyle w:val="Heading2"/>
      </w:pPr>
      <w:r>
        <w:t xml:space="preserve">Syntax</w:t>
      </w:r>
    </w:p>
    <w:p>
      <w:pPr>
        <w:pStyle w:val="SourceCode"/>
      </w:pPr>
      <w:r>
        <w:rPr>
          <w:rStyle w:val="NormalTok"/>
        </w:rPr>
        <w:t xml:space="preserve">Set result = db.Exec(sql[, params...])</w:t>
      </w:r>
    </w:p>
    <w:bookmarkEnd w:id="2924"/>
    <w:bookmarkStart w:id="2925" w:name="parameters-19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sql</w:t>
            </w:r>
          </w:p>
        </w:tc>
        <w:tc>
          <w:tcPr/>
          <w:p>
            <w:pPr>
              <w:pStyle w:val="Compact"/>
            </w:pPr>
            <w:r>
              <w:t xml:space="preserve">String</w:t>
            </w:r>
          </w:p>
        </w:tc>
        <w:tc>
          <w:tcPr/>
          <w:p>
            <w:pPr>
              <w:pStyle w:val="Compact"/>
            </w:pPr>
            <w:r>
              <w:t xml:space="preserve">Yes</w:t>
            </w:r>
          </w:p>
        </w:tc>
        <w:tc>
          <w:tcPr/>
          <w:p>
            <w:pPr>
              <w:pStyle w:val="Compact"/>
            </w:pPr>
            <w:r>
              <w:t xml:space="preserve">SQL statement to execute.</w:t>
            </w:r>
          </w:p>
        </w:tc>
      </w:tr>
      <w:tr>
        <w:tc>
          <w:tcPr/>
          <w:p>
            <w:pPr>
              <w:pStyle w:val="Compact"/>
            </w:pPr>
            <w:r>
              <w:rPr>
                <w:b/>
                <w:bCs/>
              </w:rPr>
              <w:t xml:space="preserve">params</w:t>
            </w:r>
          </w:p>
        </w:tc>
        <w:tc>
          <w:tcPr/>
          <w:p>
            <w:pPr>
              <w:pStyle w:val="Compact"/>
            </w:pPr>
            <w:r>
              <w:t xml:space="preserve">Any</w:t>
            </w:r>
          </w:p>
        </w:tc>
        <w:tc>
          <w:tcPr/>
          <w:p>
            <w:pPr>
              <w:pStyle w:val="Compact"/>
            </w:pPr>
            <w:r>
              <w:t xml:space="preserve">No</w:t>
            </w:r>
          </w:p>
        </w:tc>
        <w:tc>
          <w:tcPr/>
          <w:p>
            <w:pPr>
              <w:pStyle w:val="Compact"/>
            </w:pPr>
            <w:r>
              <w:t xml:space="preserve">Positional values for statement placeholders.</w:t>
            </w:r>
          </w:p>
        </w:tc>
      </w:tr>
    </w:tbl>
    <w:bookmarkEnd w:id="2925"/>
    <w:bookmarkStart w:id="2926" w:name="return-value-211"/>
    <w:p>
      <w:pPr>
        <w:pStyle w:val="Heading2"/>
      </w:pPr>
      <w:r>
        <w:t xml:space="preserve">Return Value</w:t>
      </w:r>
    </w:p>
    <w:p>
      <w:pPr>
        <w:pStyle w:val="Compact"/>
        <w:numPr>
          <w:ilvl w:val="0"/>
          <w:numId w:val="1729"/>
        </w:numPr>
      </w:pPr>
      <w:r>
        <w:rPr>
          <w:b/>
          <w:bCs/>
        </w:rPr>
        <w:t xml:space="preserve">G3DBResult</w:t>
      </w:r>
      <w:r>
        <w:t xml:space="preserve">: Returned when execution succeeds.</w:t>
      </w:r>
    </w:p>
    <w:p>
      <w:pPr>
        <w:pStyle w:val="Compact"/>
        <w:numPr>
          <w:ilvl w:val="0"/>
          <w:numId w:val="1729"/>
        </w:numPr>
      </w:pPr>
      <w:r>
        <w:rPr>
          <w:b/>
          <w:bCs/>
        </w:rPr>
        <w:t xml:space="preserve">Empty</w:t>
      </w:r>
      <w:r>
        <w:t xml:space="preserve">: Returned when connection is not open, SQL is missing, or execution fails.</w:t>
      </w:r>
    </w:p>
    <w:bookmarkEnd w:id="2926"/>
    <w:bookmarkStart w:id="2927" w:name="remarks-265"/>
    <w:p>
      <w:pPr>
        <w:pStyle w:val="Heading2"/>
      </w:pPr>
      <w:r>
        <w:t xml:space="preserve">Remarks</w:t>
      </w:r>
    </w:p>
    <w:p>
      <w:pPr>
        <w:pStyle w:val="Compact"/>
        <w:numPr>
          <w:ilvl w:val="0"/>
          <w:numId w:val="1730"/>
        </w:numPr>
      </w:pPr>
      <w:r>
        <w:t xml:space="preserve">Placeholder rewriting is applied for the active driver when required.</w:t>
      </w:r>
    </w:p>
    <w:bookmarkEnd w:id="2927"/>
    <w:bookmarkStart w:id="2928" w:name="example-21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result</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"user:pass@tcp(localhost)/db"</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result = db.Exec</w:t>
      </w:r>
      <w:r>
        <w:rPr>
          <w:rStyle w:val="OtherTok"/>
        </w:rPr>
        <w:t xml:space="preserve">(</w:t>
      </w:r>
      <w:r>
        <w:rPr>
          <w:rStyle w:val="StringTok"/>
        </w:rPr>
        <w:t xml:space="preserve">"UPDATE users SET active = ? WHERE id = ?"</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DecValTok"/>
        </w:rPr>
        <w:t xml:space="preserve">42</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FunctionTok"/>
        </w:rPr>
        <w:t xml:space="preserve">IsEmpty</w:t>
      </w:r>
      <w:r>
        <w:rPr>
          <w:rStyle w:val="OtherTok"/>
        </w:rPr>
        <w:t xml:space="preserve">(</w:t>
      </w:r>
      <w:r>
        <w:rPr>
          <w:rStyle w:val="NormalTok"/>
        </w:rPr>
        <w:t xml:space="preserve">result</w:t>
      </w:r>
      <w:r>
        <w:rPr>
          <w:rStyle w:val="OtherTok"/>
        </w:rPr>
        <w:t xml:space="preserve">)</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28"/>
    <w:bookmarkStart w:id="2929" w:name="api-reference-134"/>
    <w:p>
      <w:pPr>
        <w:pStyle w:val="Heading2"/>
      </w:pPr>
      <w:r>
        <w:t xml:space="preserve">API Reference</w:t>
      </w:r>
    </w:p>
    <w:p>
      <w:pPr>
        <w:pStyle w:val="Compact"/>
        <w:numPr>
          <w:ilvl w:val="0"/>
          <w:numId w:val="1731"/>
        </w:numPr>
      </w:pPr>
      <w:r>
        <w:rPr>
          <w:b/>
          <w:bCs/>
        </w:rPr>
        <w:t xml:space="preserve">Object</w:t>
      </w:r>
      <w:r>
        <w:t xml:space="preserve">:</w:t>
      </w:r>
      <w:r>
        <w:t xml:space="preserve"> </w:t>
      </w:r>
      <w:r>
        <w:rPr>
          <w:rStyle w:val="VerbatimChar"/>
        </w:rPr>
        <w:t xml:space="preserve">G3DB</w:t>
      </w:r>
    </w:p>
    <w:p>
      <w:pPr>
        <w:pStyle w:val="Compact"/>
        <w:numPr>
          <w:ilvl w:val="0"/>
          <w:numId w:val="1731"/>
        </w:numPr>
      </w:pPr>
      <w:r>
        <w:rPr>
          <w:b/>
          <w:bCs/>
        </w:rPr>
        <w:t xml:space="preserve">Method</w:t>
      </w:r>
      <w:r>
        <w:t xml:space="preserve">:</w:t>
      </w:r>
      <w:r>
        <w:t xml:space="preserve"> </w:t>
      </w:r>
      <w:r>
        <w:rPr>
          <w:rStyle w:val="VerbatimChar"/>
        </w:rPr>
        <w:t xml:space="preserve">Exec</w:t>
      </w:r>
    </w:p>
    <w:p>
      <w:pPr>
        <w:pStyle w:val="Compact"/>
        <w:numPr>
          <w:ilvl w:val="0"/>
          <w:numId w:val="1731"/>
        </w:numPr>
      </w:pPr>
      <w:r>
        <w:rPr>
          <w:b/>
          <w:bCs/>
        </w:rPr>
        <w:t xml:space="preserve">Arguments</w:t>
      </w:r>
      <w:r>
        <w:t xml:space="preserve">:</w:t>
      </w:r>
      <w:r>
        <w:t xml:space="preserve"> </w:t>
      </w:r>
      <w:r>
        <w:rPr>
          <w:rStyle w:val="VerbatimChar"/>
        </w:rPr>
        <w:t xml:space="preserve">sql</w:t>
      </w:r>
      <w:r>
        <w:t xml:space="preserve"> </w:t>
      </w:r>
      <w:r>
        <w:t xml:space="preserve">(String, required),</w:t>
      </w:r>
      <w:r>
        <w:t xml:space="preserve"> </w:t>
      </w:r>
      <w:r>
        <w:rPr>
          <w:rStyle w:val="VerbatimChar"/>
        </w:rPr>
        <w:t xml:space="preserve">params...</w:t>
      </w:r>
      <w:r>
        <w:t xml:space="preserve"> </w:t>
      </w:r>
      <w:r>
        <w:t xml:space="preserve">(Any, optional)</w:t>
      </w:r>
    </w:p>
    <w:p>
      <w:pPr>
        <w:pStyle w:val="Compact"/>
        <w:numPr>
          <w:ilvl w:val="0"/>
          <w:numId w:val="1731"/>
        </w:numPr>
      </w:pPr>
      <w:r>
        <w:rPr>
          <w:b/>
          <w:bCs/>
        </w:rPr>
        <w:t xml:space="preserve">Returns</w:t>
      </w:r>
      <w:r>
        <w:t xml:space="preserve">: G3DBResult on success, Empty on failure</w:t>
      </w:r>
    </w:p>
    <w:bookmarkEnd w:id="2929"/>
    <w:bookmarkEnd w:id="2930"/>
    <w:bookmarkStart w:id="2939" w:name="get-the-current-error-message"/>
    <w:p>
      <w:pPr>
        <w:pStyle w:val="Heading1"/>
      </w:pPr>
      <w:r>
        <w:t xml:space="preserve">Get the Current Error Message</w:t>
      </w:r>
    </w:p>
    <w:bookmarkStart w:id="2931" w:name="overview-282"/>
    <w:p>
      <w:pPr>
        <w:pStyle w:val="Heading2"/>
      </w:pPr>
      <w:r>
        <w:t xml:space="preserve">Overview</w:t>
      </w:r>
    </w:p>
    <w:p>
      <w:pPr>
        <w:pStyle w:val="FirstParagraph"/>
      </w:pPr>
      <w:r>
        <w:t xml:space="preserve">Returns the latest error text recorded by the G3DB object.</w:t>
      </w:r>
    </w:p>
    <w:bookmarkEnd w:id="2931"/>
    <w:bookmarkStart w:id="2932" w:name="prerequisites-13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32"/>
    <w:bookmarkStart w:id="2933" w:name="syntax-288"/>
    <w:p>
      <w:pPr>
        <w:pStyle w:val="Heading2"/>
      </w:pPr>
      <w:r>
        <w:t xml:space="preserve">Syntax</w:t>
      </w:r>
    </w:p>
    <w:p>
      <w:pPr>
        <w:pStyle w:val="SourceCode"/>
      </w:pPr>
      <w:r>
        <w:rPr>
          <w:rStyle w:val="NormalTok"/>
        </w:rPr>
        <w:t xml:space="preserve">errText = db.GetError()</w:t>
      </w:r>
    </w:p>
    <w:bookmarkEnd w:id="2933"/>
    <w:bookmarkStart w:id="2934" w:name="parameters-192"/>
    <w:p>
      <w:pPr>
        <w:pStyle w:val="Heading2"/>
      </w:pPr>
      <w:r>
        <w:t xml:space="preserve">Parameters</w:t>
      </w:r>
    </w:p>
    <w:p>
      <w:pPr>
        <w:pStyle w:val="FirstParagraph"/>
      </w:pPr>
      <w:r>
        <w:t xml:space="preserve">None.</w:t>
      </w:r>
    </w:p>
    <w:bookmarkEnd w:id="2934"/>
    <w:bookmarkStart w:id="2935" w:name="return-value-212"/>
    <w:p>
      <w:pPr>
        <w:pStyle w:val="Heading2"/>
      </w:pPr>
      <w:r>
        <w:t xml:space="preserve">Return Value</w:t>
      </w:r>
    </w:p>
    <w:p>
      <w:pPr>
        <w:pStyle w:val="Compact"/>
        <w:numPr>
          <w:ilvl w:val="0"/>
          <w:numId w:val="1732"/>
        </w:numPr>
      </w:pPr>
      <w:r>
        <w:rPr>
          <w:b/>
          <w:bCs/>
        </w:rPr>
        <w:t xml:space="preserve">String</w:t>
      </w:r>
      <w:r>
        <w:t xml:space="preserve">: Latest recorded error message.</w:t>
      </w:r>
    </w:p>
    <w:p>
      <w:pPr>
        <w:pStyle w:val="Compact"/>
        <w:numPr>
          <w:ilvl w:val="0"/>
          <w:numId w:val="1732"/>
        </w:numPr>
      </w:pPr>
      <w:r>
        <w:rPr>
          <w:b/>
          <w:bCs/>
        </w:rPr>
        <w:t xml:space="preserve">String</w:t>
      </w:r>
      <w:r>
        <w:t xml:space="preserve">: Empty string when no error is currently stored.</w:t>
      </w:r>
    </w:p>
    <w:bookmarkEnd w:id="2935"/>
    <w:bookmarkStart w:id="2936" w:name="remarks-266"/>
    <w:p>
      <w:pPr>
        <w:pStyle w:val="Heading2"/>
      </w:pPr>
      <w:r>
        <w:t xml:space="preserve">Remarks</w:t>
      </w:r>
    </w:p>
    <w:p>
      <w:pPr>
        <w:pStyle w:val="Compact"/>
        <w:numPr>
          <w:ilvl w:val="0"/>
          <w:numId w:val="1733"/>
        </w:numPr>
      </w:pPr>
      <w:r>
        <w:t xml:space="preserve">Alias:</w:t>
      </w:r>
      <w:r>
        <w:t xml:space="preserve"> </w:t>
      </w:r>
      <w:r>
        <w:rPr>
          <w:rStyle w:val="VerbatimChar"/>
        </w:rPr>
        <w:t xml:space="preserve">GetLastError</w:t>
      </w:r>
      <w:r>
        <w:t xml:space="preserve">.</w:t>
      </w:r>
    </w:p>
    <w:p>
      <w:pPr>
        <w:pStyle w:val="Compact"/>
        <w:numPr>
          <w:ilvl w:val="0"/>
          <w:numId w:val="1733"/>
        </w:numPr>
      </w:pPr>
      <w:r>
        <w:t xml:space="preserve">Returns the same value exposed by the</w:t>
      </w:r>
      <w:r>
        <w:t xml:space="preserve"> </w:t>
      </w:r>
      <w:r>
        <w:rPr>
          <w:rStyle w:val="VerbatimChar"/>
        </w:rPr>
        <w:t xml:space="preserve">LastError</w:t>
      </w:r>
      <w:r>
        <w:t xml:space="preserve"> </w:t>
      </w:r>
      <w:r>
        <w:t xml:space="preserve">property.</w:t>
      </w:r>
    </w:p>
    <w:bookmarkEnd w:id="2936"/>
    <w:bookmarkStart w:id="2937" w:name="example-21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"bad"</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db.GetError</w:t>
      </w:r>
      <w:r>
        <w:rPr>
          <w:rStyle w:val="OtherTok"/>
        </w:rPr>
        <w:t xml:space="preserv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37"/>
    <w:bookmarkStart w:id="2938" w:name="api-reference-135"/>
    <w:p>
      <w:pPr>
        <w:pStyle w:val="Heading2"/>
      </w:pPr>
      <w:r>
        <w:t xml:space="preserve">API Reference</w:t>
      </w:r>
    </w:p>
    <w:p>
      <w:pPr>
        <w:pStyle w:val="Compact"/>
        <w:numPr>
          <w:ilvl w:val="0"/>
          <w:numId w:val="1734"/>
        </w:numPr>
      </w:pPr>
      <w:r>
        <w:rPr>
          <w:b/>
          <w:bCs/>
        </w:rPr>
        <w:t xml:space="preserve">Object</w:t>
      </w:r>
      <w:r>
        <w:t xml:space="preserve">:</w:t>
      </w:r>
      <w:r>
        <w:t xml:space="preserve"> </w:t>
      </w:r>
      <w:r>
        <w:rPr>
          <w:rStyle w:val="VerbatimChar"/>
        </w:rPr>
        <w:t xml:space="preserve">G3DB</w:t>
      </w:r>
    </w:p>
    <w:p>
      <w:pPr>
        <w:pStyle w:val="Compact"/>
        <w:numPr>
          <w:ilvl w:val="0"/>
          <w:numId w:val="1734"/>
        </w:numPr>
      </w:pPr>
      <w:r>
        <w:rPr>
          <w:b/>
          <w:bCs/>
        </w:rPr>
        <w:t xml:space="preserve">Method</w:t>
      </w:r>
      <w:r>
        <w:t xml:space="preserve">:</w:t>
      </w:r>
      <w:r>
        <w:t xml:space="preserve"> </w:t>
      </w:r>
      <w:r>
        <w:rPr>
          <w:rStyle w:val="VerbatimChar"/>
        </w:rPr>
        <w:t xml:space="preserve">GetError</w:t>
      </w:r>
    </w:p>
    <w:p>
      <w:pPr>
        <w:pStyle w:val="Compact"/>
        <w:numPr>
          <w:ilvl w:val="0"/>
          <w:numId w:val="1734"/>
        </w:numPr>
      </w:pPr>
      <w:r>
        <w:rPr>
          <w:b/>
          <w:bCs/>
        </w:rPr>
        <w:t xml:space="preserve">Arguments</w:t>
      </w:r>
      <w:r>
        <w:t xml:space="preserve">: none</w:t>
      </w:r>
    </w:p>
    <w:p>
      <w:pPr>
        <w:pStyle w:val="Compact"/>
        <w:numPr>
          <w:ilvl w:val="0"/>
          <w:numId w:val="1734"/>
        </w:numPr>
      </w:pPr>
      <w:r>
        <w:rPr>
          <w:b/>
          <w:bCs/>
        </w:rPr>
        <w:t xml:space="preserve">Returns</w:t>
      </w:r>
      <w:r>
        <w:t xml:space="preserve">: String — current error message (or empty string)</w:t>
      </w:r>
    </w:p>
    <w:bookmarkEnd w:id="2938"/>
    <w:bookmarkEnd w:id="2939"/>
    <w:bookmarkStart w:id="2948" w:name="open-a-database-connection"/>
    <w:p>
      <w:pPr>
        <w:pStyle w:val="Heading1"/>
      </w:pPr>
      <w:r>
        <w:t xml:space="preserve">Open a Database Connection</w:t>
      </w:r>
    </w:p>
    <w:bookmarkStart w:id="2940" w:name="overview-283"/>
    <w:p>
      <w:pPr>
        <w:pStyle w:val="Heading2"/>
      </w:pPr>
      <w:r>
        <w:t xml:space="preserve">Overview</w:t>
      </w:r>
    </w:p>
    <w:p>
      <w:pPr>
        <w:pStyle w:val="FirstParagraph"/>
      </w:pPr>
      <w:r>
        <w:t xml:space="preserve">Opens a database connection pool and validates connectivity with an internal ping.</w:t>
      </w:r>
    </w:p>
    <w:bookmarkEnd w:id="2940"/>
    <w:bookmarkStart w:id="2941" w:name="prerequisites-133"/>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41"/>
    <w:bookmarkStart w:id="2942" w:name="syntax-289"/>
    <w:p>
      <w:pPr>
        <w:pStyle w:val="Heading2"/>
      </w:pPr>
      <w:r>
        <w:t xml:space="preserve">Syntax</w:t>
      </w:r>
    </w:p>
    <w:p>
      <w:pPr>
        <w:pStyle w:val="SourceCode"/>
      </w:pPr>
      <w:r>
        <w:rPr>
          <w:rStyle w:val="NormalTok"/>
        </w:rPr>
        <w:t xml:space="preserve">ok = db.Open(driver, dsn)</w:t>
      </w:r>
    </w:p>
    <w:bookmarkEnd w:id="2942"/>
    <w:bookmarkStart w:id="2943" w:name="parameters-19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driver</w:t>
            </w:r>
          </w:p>
        </w:tc>
        <w:tc>
          <w:tcPr/>
          <w:p>
            <w:pPr>
              <w:pStyle w:val="Compact"/>
            </w:pPr>
            <w:r>
              <w:t xml:space="preserve">String</w:t>
            </w:r>
          </w:p>
        </w:tc>
        <w:tc>
          <w:tcPr/>
          <w:p>
            <w:pPr>
              <w:pStyle w:val="Compact"/>
            </w:pPr>
            <w:r>
              <w:t xml:space="preserve">Yes</w:t>
            </w:r>
          </w:p>
        </w:tc>
        <w:tc>
          <w:tcPr/>
          <w:p>
            <w:pPr>
              <w:pStyle w:val="Compact"/>
            </w:pPr>
            <w:r>
              <w:t xml:space="preserve">Database driver name.</w:t>
            </w:r>
          </w:p>
        </w:tc>
      </w:tr>
      <w:tr>
        <w:tc>
          <w:tcPr/>
          <w:p>
            <w:pPr>
              <w:pStyle w:val="Compact"/>
            </w:pPr>
            <w:r>
              <w:rPr>
                <w:b/>
                <w:bCs/>
              </w:rPr>
              <w:t xml:space="preserve">dsn</w:t>
            </w:r>
          </w:p>
        </w:tc>
        <w:tc>
          <w:tcPr/>
          <w:p>
            <w:pPr>
              <w:pStyle w:val="Compact"/>
            </w:pPr>
            <w:r>
              <w:t xml:space="preserve">String</w:t>
            </w:r>
          </w:p>
        </w:tc>
        <w:tc>
          <w:tcPr/>
          <w:p>
            <w:pPr>
              <w:pStyle w:val="Compact"/>
            </w:pPr>
            <w:r>
              <w:t xml:space="preserve">Yes</w:t>
            </w:r>
          </w:p>
        </w:tc>
        <w:tc>
          <w:tcPr/>
          <w:p>
            <w:pPr>
              <w:pStyle w:val="Compact"/>
            </w:pPr>
            <w:r>
              <w:t xml:space="preserve">Driver-specific connection string.</w:t>
            </w:r>
          </w:p>
        </w:tc>
      </w:tr>
    </w:tbl>
    <w:bookmarkEnd w:id="2943"/>
    <w:bookmarkStart w:id="2944" w:name="return-value-213"/>
    <w:p>
      <w:pPr>
        <w:pStyle w:val="Heading2"/>
      </w:pPr>
      <w:r>
        <w:t xml:space="preserve">Return Value</w:t>
      </w:r>
    </w:p>
    <w:p>
      <w:pPr>
        <w:pStyle w:val="Compact"/>
        <w:numPr>
          <w:ilvl w:val="0"/>
          <w:numId w:val="1735"/>
        </w:numPr>
      </w:pPr>
      <w:r>
        <w:rPr>
          <w:b/>
          <w:bCs/>
        </w:rPr>
        <w:t xml:space="preserve">Boolean</w:t>
      </w:r>
      <w:r>
        <w:rPr>
          <w:b/>
          <w:bCs/>
        </w:rPr>
        <w:t xml:space="preserve"> </w:t>
      </w:r>
      <w:r>
        <w:rPr>
          <w:rStyle w:val="VerbatimChar"/>
          <w:b/>
          <w:bCs/>
        </w:rPr>
        <w:t xml:space="preserve">True</w:t>
      </w:r>
      <w:r>
        <w:t xml:space="preserve">: Connection opened and ping validation succeeded.</w:t>
      </w:r>
    </w:p>
    <w:p>
      <w:pPr>
        <w:pStyle w:val="Compact"/>
        <w:numPr>
          <w:ilvl w:val="0"/>
          <w:numId w:val="1735"/>
        </w:numPr>
      </w:pPr>
      <w:r>
        <w:rPr>
          <w:b/>
          <w:bCs/>
        </w:rPr>
        <w:t xml:space="preserve">Boolean</w:t>
      </w:r>
      <w:r>
        <w:rPr>
          <w:b/>
          <w:bCs/>
        </w:rPr>
        <w:t xml:space="preserve"> </w:t>
      </w:r>
      <w:r>
        <w:rPr>
          <w:rStyle w:val="VerbatimChar"/>
          <w:b/>
          <w:bCs/>
        </w:rPr>
        <w:t xml:space="preserve">False</w:t>
      </w:r>
      <w:r>
        <w:t xml:space="preserve">: Arguments are missing, driver is unsupported, connection is already open, or open/ping failed.</w:t>
      </w:r>
    </w:p>
    <w:bookmarkEnd w:id="2944"/>
    <w:bookmarkStart w:id="2945" w:name="remarks-267"/>
    <w:p>
      <w:pPr>
        <w:pStyle w:val="Heading2"/>
      </w:pPr>
      <w:r>
        <w:t xml:space="preserve">Remarks</w:t>
      </w:r>
    </w:p>
    <w:p>
      <w:pPr>
        <w:pStyle w:val="Compact"/>
        <w:numPr>
          <w:ilvl w:val="0"/>
          <w:numId w:val="1736"/>
        </w:numPr>
      </w:pPr>
      <w:r>
        <w:t xml:space="preserve">Driver names are normalized before opening.</w:t>
      </w:r>
    </w:p>
    <w:p>
      <w:pPr>
        <w:pStyle w:val="Compact"/>
        <w:numPr>
          <w:ilvl w:val="0"/>
          <w:numId w:val="1736"/>
        </w:numPr>
      </w:pPr>
      <w:r>
        <w:t xml:space="preserve">On failure, error details are available in</w:t>
      </w:r>
      <w:r>
        <w:t xml:space="preserve"> </w:t>
      </w:r>
      <w:r>
        <w:rPr>
          <w:rStyle w:val="VerbatimChar"/>
        </w:rPr>
        <w:t xml:space="preserve">LastError</w:t>
      </w:r>
      <w:r>
        <w:t xml:space="preserve">.</w:t>
      </w:r>
    </w:p>
    <w:p>
      <w:pPr>
        <w:pStyle w:val="Compact"/>
        <w:numPr>
          <w:ilvl w:val="0"/>
          <w:numId w:val="1736"/>
        </w:numPr>
      </w:pPr>
      <w:r>
        <w:t xml:space="preserve">G3DB accepts driver aliases for common providers:</w:t>
      </w:r>
      <w:r>
        <w:t xml:space="preserve"> </w:t>
      </w:r>
      <w:r>
        <w:rPr>
          <w:rStyle w:val="VerbatimChar"/>
        </w:rPr>
        <w:t xml:space="preserve">mysql</w:t>
      </w:r>
      <w:r>
        <w:t xml:space="preserve"> </w:t>
      </w:r>
      <w:r>
        <w:t xml:space="preserve">or</w:t>
      </w:r>
      <w:r>
        <w:t xml:space="preserve"> </w:t>
      </w:r>
      <w:r>
        <w:rPr>
          <w:rStyle w:val="VerbatimChar"/>
        </w:rPr>
        <w:t xml:space="preserve">mariadb</w:t>
      </w:r>
      <w:r>
        <w:t xml:space="preserve">,</w:t>
      </w:r>
      <w:r>
        <w:t xml:space="preserve"> </w:t>
      </w:r>
      <w:r>
        <w:rPr>
          <w:rStyle w:val="VerbatimChar"/>
        </w:rPr>
        <w:t xml:space="preserve">postgres</w:t>
      </w:r>
      <w:r>
        <w:t xml:space="preserve">,</w:t>
      </w:r>
      <w:r>
        <w:t xml:space="preserve"> </w:t>
      </w:r>
      <w:r>
        <w:rPr>
          <w:rStyle w:val="VerbatimChar"/>
        </w:rPr>
        <w:t xml:space="preserve">postgresql</w:t>
      </w:r>
      <w:r>
        <w:t xml:space="preserve">, or</w:t>
      </w:r>
      <w:r>
        <w:t xml:space="preserve"> </w:t>
      </w:r>
      <w:r>
        <w:rPr>
          <w:rStyle w:val="VerbatimChar"/>
        </w:rPr>
        <w:t xml:space="preserve">pgsql</w:t>
      </w:r>
      <w:r>
        <w:t xml:space="preserve">,</w:t>
      </w:r>
      <w:r>
        <w:t xml:space="preserve"> </w:t>
      </w:r>
      <w:r>
        <w:rPr>
          <w:rStyle w:val="VerbatimChar"/>
        </w:rPr>
        <w:t xml:space="preserve">mssql</w:t>
      </w:r>
      <w:r>
        <w:t xml:space="preserve">,</w:t>
      </w:r>
      <w:r>
        <w:t xml:space="preserve"> </w:t>
      </w:r>
      <w:r>
        <w:rPr>
          <w:rStyle w:val="VerbatimChar"/>
        </w:rPr>
        <w:t xml:space="preserve">sqlserver</w:t>
      </w:r>
      <w:r>
        <w:t xml:space="preserve">, or</w:t>
      </w:r>
      <w:r>
        <w:t xml:space="preserve"> </w:t>
      </w:r>
      <w:r>
        <w:rPr>
          <w:rStyle w:val="VerbatimChar"/>
        </w:rPr>
        <w:t xml:space="preserve">sql server</w:t>
      </w:r>
      <w:r>
        <w:t xml:space="preserve">,</w:t>
      </w:r>
      <w:r>
        <w:t xml:space="preserve"> </w:t>
      </w:r>
      <w:r>
        <w:rPr>
          <w:rStyle w:val="VerbatimChar"/>
        </w:rPr>
        <w:t xml:space="preserve">sqlite</w:t>
      </w:r>
      <w:r>
        <w:t xml:space="preserve"> </w:t>
      </w:r>
      <w:r>
        <w:t xml:space="preserve">or</w:t>
      </w:r>
      <w:r>
        <w:t xml:space="preserve"> </w:t>
      </w:r>
      <w:r>
        <w:rPr>
          <w:rStyle w:val="VerbatimChar"/>
        </w:rPr>
        <w:t xml:space="preserve">sqlite3</w:t>
      </w:r>
      <w:r>
        <w:t xml:space="preserve">, and</w:t>
      </w:r>
      <w:r>
        <w:t xml:space="preserve"> </w:t>
      </w:r>
      <w:r>
        <w:rPr>
          <w:rStyle w:val="VerbatimChar"/>
        </w:rPr>
        <w:t xml:space="preserve">oracle</w:t>
      </w:r>
      <w:r>
        <w:t xml:space="preserve">,</w:t>
      </w:r>
      <w:r>
        <w:t xml:space="preserve"> </w:t>
      </w:r>
      <w:r>
        <w:rPr>
          <w:rStyle w:val="VerbatimChar"/>
        </w:rPr>
        <w:t xml:space="preserve">ora</w:t>
      </w:r>
      <w:r>
        <w:t xml:space="preserve">,</w:t>
      </w:r>
      <w:r>
        <w:t xml:space="preserve"> </w:t>
      </w:r>
      <w:r>
        <w:rPr>
          <w:rStyle w:val="VerbatimChar"/>
        </w:rPr>
        <w:t xml:space="preserve">oci</w:t>
      </w:r>
      <w:r>
        <w:t xml:space="preserve">, or</w:t>
      </w:r>
      <w:r>
        <w:t xml:space="preserve"> </w:t>
      </w:r>
      <w:r>
        <w:rPr>
          <w:rStyle w:val="VerbatimChar"/>
        </w:rPr>
        <w:t xml:space="preserve">oci8</w:t>
      </w:r>
      <w:r>
        <w:t xml:space="preserve">.</w:t>
      </w:r>
    </w:p>
    <w:p>
      <w:pPr>
        <w:pStyle w:val="Compact"/>
        <w:numPr>
          <w:ilvl w:val="0"/>
          <w:numId w:val="1736"/>
        </w:numPr>
      </w:pPr>
      <w:r>
        <w:t xml:space="preserve">Use the driver-specific DSN format that matches the backend:</w:t>
      </w:r>
    </w:p>
    <w:p>
      <w:pPr>
        <w:pStyle w:val="Compact"/>
        <w:numPr>
          <w:ilvl w:val="1"/>
          <w:numId w:val="1737"/>
        </w:numPr>
      </w:pPr>
      <w:r>
        <w:t xml:space="preserve">MySQL:</w:t>
      </w:r>
      <w:r>
        <w:t xml:space="preserve"> </w:t>
      </w:r>
      <w:r>
        <w:rPr>
          <w:rStyle w:val="VerbatimChar"/>
        </w:rPr>
        <w:t xml:space="preserve">user:pass@tcp(host:port)/dbname?parseTime=true</w:t>
      </w:r>
    </w:p>
    <w:p>
      <w:pPr>
        <w:pStyle w:val="Compact"/>
        <w:numPr>
          <w:ilvl w:val="1"/>
          <w:numId w:val="1737"/>
        </w:numPr>
      </w:pPr>
      <w:r>
        <w:t xml:space="preserve">MSSQL:</w:t>
      </w:r>
      <w:r>
        <w:t xml:space="preserve"> </w:t>
      </w:r>
      <w:r>
        <w:rPr>
          <w:rStyle w:val="VerbatimChar"/>
        </w:rPr>
        <w:t xml:space="preserve">server=host;port=1433;user id=user;password=pass;database=dbname</w:t>
      </w:r>
    </w:p>
    <w:p>
      <w:pPr>
        <w:pStyle w:val="Compact"/>
        <w:numPr>
          <w:ilvl w:val="1"/>
          <w:numId w:val="1737"/>
        </w:numPr>
      </w:pPr>
      <w:r>
        <w:t xml:space="preserve">SQLite:</w:t>
      </w:r>
      <w:r>
        <w:t xml:space="preserve"> </w:t>
      </w:r>
      <w:r>
        <w:rPr>
          <w:rStyle w:val="VerbatimChar"/>
        </w:rPr>
        <w:t xml:space="preserve">C:\path\to\database.db?_busy_timeout=5000</w:t>
      </w:r>
      <w:r>
        <w:t xml:space="preserve"> </w:t>
      </w:r>
      <w:r>
        <w:t xml:space="preserve">or a path from configuration</w:t>
      </w:r>
    </w:p>
    <w:p>
      <w:pPr>
        <w:pStyle w:val="Compact"/>
        <w:numPr>
          <w:ilvl w:val="1"/>
          <w:numId w:val="1737"/>
        </w:numPr>
      </w:pPr>
      <w:r>
        <w:t xml:space="preserve">Oracle:</w:t>
      </w:r>
      <w:r>
        <w:t xml:space="preserve"> </w:t>
      </w:r>
      <w:r>
        <w:rPr>
          <w:rStyle w:val="VerbatimChar"/>
        </w:rPr>
        <w:t xml:space="preserve">oracle://user:pass@host:1521/service_name</w:t>
      </w:r>
    </w:p>
    <w:p>
      <w:pPr>
        <w:pStyle w:val="Compact"/>
        <w:numPr>
          <w:ilvl w:val="1"/>
          <w:numId w:val="1737"/>
        </w:numPr>
      </w:pPr>
      <w:r>
        <w:t xml:space="preserve">PostgreSQL:</w:t>
      </w:r>
      <w:r>
        <w:t xml:space="preserve"> </w:t>
      </w:r>
      <w:r>
        <w:rPr>
          <w:rStyle w:val="VerbatimChar"/>
        </w:rPr>
        <w:t xml:space="preserve">host=host port=5432 user=user password=pass dbname=dbname sslmode=disable</w:t>
      </w:r>
    </w:p>
    <w:bookmarkEnd w:id="2945"/>
    <w:bookmarkStart w:id="2946" w:name="example-214"/>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ok</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NormalTok"/>
        </w:rPr>
        <w:t xml:space="preserve">ok =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"user:pass@tcp(127.0.0.1:3306)/app?parseTime=true"</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"MySQL connected: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db.IsOpen</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db.</w:t>
      </w:r>
      <w:r>
        <w:rPr>
          <w:rStyle w:val="KeywordTok"/>
        </w:rPr>
        <w:t xml:space="preserve">Close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w:t>
      </w:r>
      <w:r>
        <w:br/>
      </w:r>
      <w:r>
        <w:rPr>
          <w:rStyle w:val="ControlFlowTok"/>
        </w:rPr>
        <w:t xml:space="preserve">End If</w:t>
      </w:r>
      <w:r>
        <w:br/>
      </w:r>
      <w:r>
        <w:br/>
      </w:r>
      <w:r>
        <w:rPr>
          <w:rStyle w:val="NormalTok"/>
        </w:rPr>
        <w:t xml:space="preserve">ok = db.</w:t>
      </w:r>
      <w:r>
        <w:rPr>
          <w:rStyle w:val="KeywordTok"/>
        </w:rPr>
        <w:t xml:space="preserve">Open</w:t>
      </w:r>
      <w:r>
        <w:rPr>
          <w:rStyle w:val="OtherTok"/>
        </w:rPr>
        <w:t xml:space="preserve">(</w:t>
      </w:r>
      <w:r>
        <w:rPr>
          <w:rStyle w:val="StringTok"/>
        </w:rPr>
        <w:t xml:space="preserve">"mssql"</w:t>
      </w:r>
      <w:r>
        <w:rPr>
          <w:rStyle w:val="OtherTok"/>
        </w:rPr>
        <w:t xml:space="preserve">,</w:t>
      </w:r>
      <w:r>
        <w:rPr>
          <w:rStyle w:val="NormalTok"/>
        </w:rPr>
        <w:t xml:space="preserve"> </w:t>
      </w:r>
      <w:r>
        <w:rPr>
          <w:rStyle w:val="StringTok"/>
        </w:rPr>
        <w:t xml:space="preserve">"server=127.0.0.1;port=1433;user id=sa;password=secret;database=axonasp"</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"MSSQL connected: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db.IsOpen</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db.</w:t>
      </w:r>
      <w:r>
        <w:rPr>
          <w:rStyle w:val="KeywordTok"/>
        </w:rPr>
        <w:t xml:space="preserve">Close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 </w:t>
      </w:r>
      <w:r>
        <w:rPr>
          <w:rStyle w:val="KeywordTok"/>
        </w:rPr>
        <w:t xml:space="preserve">&amp;</w:t>
      </w:r>
      <w:r>
        <w:rPr>
          <w:rStyle w:val="NormalTok"/>
        </w:rPr>
        <w:t xml:space="preserve"> </w:t>
      </w:r>
      <w:r>
        <w:rPr>
          <w:rStyle w:val="StringTok"/>
        </w:rPr>
        <w:t xml:space="preserve">"&lt;br&gt;"</w:t>
      </w:r>
      <w:r>
        <w:br/>
      </w:r>
      <w:r>
        <w:rPr>
          <w:rStyle w:val="ControlFlowTok"/>
        </w:rPr>
        <w:t xml:space="preserve">End If</w:t>
      </w:r>
      <w:r>
        <w:br/>
      </w:r>
      <w:r>
        <w:br/>
      </w:r>
      <w:r>
        <w:rPr>
          <w:rStyle w:val="NormalTok"/>
        </w:rPr>
        <w:t xml:space="preserve">ok = db.</w:t>
      </w:r>
      <w:r>
        <w:rPr>
          <w:rStyle w:val="KeywordTok"/>
        </w:rPr>
        <w:t xml:space="preserve">Open</w:t>
      </w:r>
      <w:r>
        <w:rPr>
          <w:rStyle w:val="OtherTok"/>
        </w:rPr>
        <w:t xml:space="preserve">(</w:t>
      </w:r>
      <w:r>
        <w:rPr>
          <w:rStyle w:val="StringTok"/>
        </w:rPr>
        <w:t xml:space="preserve">"sqlite"</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"./data/axonasp.db"</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"?_busy_timeout=5000"</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"SQLite connected: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db.IsOpen</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db.</w:t>
      </w:r>
      <w:r>
        <w:rPr>
          <w:rStyle w:val="KeywordTok"/>
        </w:rPr>
        <w:t xml:space="preserve">Close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 </w:t>
      </w:r>
      <w:r>
        <w:rPr>
          <w:rStyle w:val="KeywordTok"/>
        </w:rPr>
        <w:t xml:space="preserve">&amp;</w:t>
      </w:r>
      <w:r>
        <w:rPr>
          <w:rStyle w:val="NormalTok"/>
        </w:rPr>
        <w:t xml:space="preserve"> </w:t>
      </w:r>
      <w:r>
        <w:rPr>
          <w:rStyle w:val="StringTok"/>
        </w:rPr>
        <w:t xml:space="preserve">"&lt;br&gt;"</w:t>
      </w:r>
      <w:r>
        <w:br/>
      </w:r>
      <w:r>
        <w:rPr>
          <w:rStyle w:val="ControlFlowTok"/>
        </w:rPr>
        <w:t xml:space="preserve">End If</w:t>
      </w:r>
      <w:r>
        <w:br/>
      </w:r>
      <w:r>
        <w:br/>
      </w:r>
      <w:r>
        <w:rPr>
          <w:rStyle w:val="NormalTok"/>
        </w:rPr>
        <w:t xml:space="preserve">ok = db.</w:t>
      </w:r>
      <w:r>
        <w:rPr>
          <w:rStyle w:val="KeywordTok"/>
        </w:rPr>
        <w:t xml:space="preserve">Open</w:t>
      </w:r>
      <w:r>
        <w:rPr>
          <w:rStyle w:val="OtherTok"/>
        </w:rPr>
        <w:t xml:space="preserve">(</w:t>
      </w:r>
      <w:r>
        <w:rPr>
          <w:rStyle w:val="StringTok"/>
        </w:rPr>
        <w:t xml:space="preserve">"oracle"</w:t>
      </w:r>
      <w:r>
        <w:rPr>
          <w:rStyle w:val="OtherTok"/>
        </w:rPr>
        <w:t xml:space="preserve">,</w:t>
      </w:r>
      <w:r>
        <w:rPr>
          <w:rStyle w:val="NormalTok"/>
        </w:rPr>
        <w:t xml:space="preserve"> </w:t>
      </w:r>
      <w:r>
        <w:rPr>
          <w:rStyle w:val="StringTok"/>
        </w:rPr>
        <w:t xml:space="preserve">"oracle://axonasp:secret@127.0.0.1:1521/ORCLCDB"</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"Oracle connected: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db.IsOpen</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db.</w:t>
      </w:r>
      <w:r>
        <w:rPr>
          <w:rStyle w:val="KeywordTok"/>
        </w:rPr>
        <w:t xml:space="preserve">Close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 </w:t>
      </w:r>
      <w:r>
        <w:rPr>
          <w:rStyle w:val="KeywordTok"/>
        </w:rPr>
        <w:t xml:space="preserve">&amp;</w:t>
      </w:r>
      <w:r>
        <w:rPr>
          <w:rStyle w:val="NormalTok"/>
        </w:rPr>
        <w:t xml:space="preserve"> </w:t>
      </w:r>
      <w:r>
        <w:rPr>
          <w:rStyle w:val="StringTok"/>
        </w:rPr>
        <w:t xml:space="preserve">"&lt;br&gt;"</w:t>
      </w:r>
      <w:r>
        <w:br/>
      </w:r>
      <w:r>
        <w:rPr>
          <w:rStyle w:val="ControlFlowTok"/>
        </w:rPr>
        <w:t xml:space="preserve">End If</w:t>
      </w:r>
      <w:r>
        <w:br/>
      </w:r>
      <w:r>
        <w:br/>
      </w:r>
      <w:r>
        <w:rPr>
          <w:rStyle w:val="NormalTok"/>
        </w:rPr>
        <w:t xml:space="preserve">ok = db.</w:t>
      </w:r>
      <w:r>
        <w:rPr>
          <w:rStyle w:val="KeywordTok"/>
        </w:rPr>
        <w:t xml:space="preserve">Open</w:t>
      </w:r>
      <w:r>
        <w:rPr>
          <w:rStyle w:val="OtherTok"/>
        </w:rPr>
        <w:t xml:space="preserve">(</w:t>
      </w:r>
      <w:r>
        <w:rPr>
          <w:rStyle w:val="StringTok"/>
        </w:rPr>
        <w:t xml:space="preserve">"postgres"</w:t>
      </w:r>
      <w:r>
        <w:rPr>
          <w:rStyle w:val="OtherTok"/>
        </w:rPr>
        <w:t xml:space="preserve">,</w:t>
      </w:r>
      <w:r>
        <w:rPr>
          <w:rStyle w:val="NormalTok"/>
        </w:rPr>
        <w:t xml:space="preserve"> </w:t>
      </w:r>
      <w:r>
        <w:rPr>
          <w:rStyle w:val="StringTok"/>
        </w:rPr>
        <w:t xml:space="preserve">"host=127.0.0.1 port=5432 user=postgres password=secret dbname=axonasp sslmode=disable"</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"PostgreSQL connected: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db.IsOpen</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db.</w:t>
      </w:r>
      <w:r>
        <w:rPr>
          <w:rStyle w:val="KeywordTok"/>
        </w:rPr>
        <w:t xml:space="preserve">Close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 </w:t>
      </w:r>
      <w:r>
        <w:rPr>
          <w:rStyle w:val="KeywordTok"/>
        </w:rPr>
        <w:t xml:space="preserve">&amp;</w:t>
      </w:r>
      <w:r>
        <w:rPr>
          <w:rStyle w:val="NormalTok"/>
        </w:rPr>
        <w:t xml:space="preserve"> </w:t>
      </w:r>
      <w:r>
        <w:rPr>
          <w:rStyle w:val="StringTok"/>
        </w:rPr>
        <w:t xml:space="preserve">"&lt;br&gt;"</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46"/>
    <w:bookmarkStart w:id="2947" w:name="api-reference-136"/>
    <w:p>
      <w:pPr>
        <w:pStyle w:val="Heading2"/>
      </w:pPr>
      <w:r>
        <w:t xml:space="preserve">API Reference</w:t>
      </w:r>
    </w:p>
    <w:p>
      <w:pPr>
        <w:pStyle w:val="Compact"/>
        <w:numPr>
          <w:ilvl w:val="0"/>
          <w:numId w:val="1738"/>
        </w:numPr>
      </w:pPr>
      <w:r>
        <w:rPr>
          <w:b/>
          <w:bCs/>
        </w:rPr>
        <w:t xml:space="preserve">Object</w:t>
      </w:r>
      <w:r>
        <w:t xml:space="preserve">:</w:t>
      </w:r>
      <w:r>
        <w:t xml:space="preserve"> </w:t>
      </w:r>
      <w:r>
        <w:rPr>
          <w:rStyle w:val="VerbatimChar"/>
        </w:rPr>
        <w:t xml:space="preserve">G3DB</w:t>
      </w:r>
    </w:p>
    <w:p>
      <w:pPr>
        <w:pStyle w:val="Compact"/>
        <w:numPr>
          <w:ilvl w:val="0"/>
          <w:numId w:val="1738"/>
        </w:numPr>
      </w:pPr>
      <w:r>
        <w:rPr>
          <w:b/>
          <w:bCs/>
        </w:rPr>
        <w:t xml:space="preserve">Method</w:t>
      </w:r>
      <w:r>
        <w:t xml:space="preserve">:</w:t>
      </w:r>
      <w:r>
        <w:t xml:space="preserve"> </w:t>
      </w:r>
      <w:r>
        <w:rPr>
          <w:rStyle w:val="VerbatimChar"/>
        </w:rPr>
        <w:t xml:space="preserve">Open</w:t>
      </w:r>
    </w:p>
    <w:p>
      <w:pPr>
        <w:pStyle w:val="Compact"/>
        <w:numPr>
          <w:ilvl w:val="0"/>
          <w:numId w:val="1738"/>
        </w:numPr>
      </w:pPr>
      <w:r>
        <w:rPr>
          <w:b/>
          <w:bCs/>
        </w:rPr>
        <w:t xml:space="preserve">Arguments</w:t>
      </w:r>
      <w:r>
        <w:t xml:space="preserve">:</w:t>
      </w:r>
      <w:r>
        <w:t xml:space="preserve"> </w:t>
      </w:r>
      <w:r>
        <w:rPr>
          <w:rStyle w:val="VerbatimChar"/>
        </w:rPr>
        <w:t xml:space="preserve">driver</w:t>
      </w:r>
      <w:r>
        <w:t xml:space="preserve"> </w:t>
      </w:r>
      <w:r>
        <w:t xml:space="preserve">(String, required),</w:t>
      </w:r>
      <w:r>
        <w:t xml:space="preserve"> </w:t>
      </w:r>
      <w:r>
        <w:rPr>
          <w:rStyle w:val="VerbatimChar"/>
        </w:rPr>
        <w:t xml:space="preserve">dsn</w:t>
      </w:r>
      <w:r>
        <w:t xml:space="preserve"> </w:t>
      </w:r>
      <w:r>
        <w:t xml:space="preserve">(String, required)</w:t>
      </w:r>
    </w:p>
    <w:p>
      <w:pPr>
        <w:pStyle w:val="Compact"/>
        <w:numPr>
          <w:ilvl w:val="0"/>
          <w:numId w:val="1738"/>
        </w:numPr>
      </w:pPr>
      <w:r>
        <w:rPr>
          <w:b/>
          <w:bCs/>
        </w:rPr>
        <w:t xml:space="preserve">Returns</w:t>
      </w:r>
      <w:r>
        <w:t xml:space="preserve">: Boolean —</w:t>
      </w:r>
      <w:r>
        <w:t xml:space="preserve"> </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failure</w:t>
      </w:r>
    </w:p>
    <w:bookmarkEnd w:id="2947"/>
    <w:bookmarkEnd w:id="2948"/>
    <w:bookmarkStart w:id="2957" w:name="open-a-connection-from-configuration"/>
    <w:p>
      <w:pPr>
        <w:pStyle w:val="Heading1"/>
      </w:pPr>
      <w:r>
        <w:t xml:space="preserve">Open a Connection from Configuration</w:t>
      </w:r>
    </w:p>
    <w:bookmarkStart w:id="2949" w:name="overview-284"/>
    <w:p>
      <w:pPr>
        <w:pStyle w:val="Heading2"/>
      </w:pPr>
      <w:r>
        <w:t xml:space="preserve">Overview</w:t>
      </w:r>
    </w:p>
    <w:p>
      <w:pPr>
        <w:pStyle w:val="FirstParagraph"/>
      </w:pPr>
      <w:r>
        <w:t xml:space="preserve">Opens a database connection using AxonASP configuration and environment overrides.</w:t>
      </w:r>
    </w:p>
    <w:bookmarkEnd w:id="2949"/>
    <w:bookmarkStart w:id="2950" w:name="prerequisites-134"/>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50"/>
    <w:bookmarkStart w:id="2951" w:name="syntax-290"/>
    <w:p>
      <w:pPr>
        <w:pStyle w:val="Heading2"/>
      </w:pPr>
      <w:r>
        <w:t xml:space="preserve">Syntax</w:t>
      </w:r>
    </w:p>
    <w:p>
      <w:pPr>
        <w:pStyle w:val="SourceCode"/>
      </w:pPr>
      <w:r>
        <w:rPr>
          <w:rStyle w:val="NormalTok"/>
        </w:rPr>
        <w:t xml:space="preserve">ok = db.OpenFromEnv([driver])</w:t>
      </w:r>
    </w:p>
    <w:bookmarkEnd w:id="2951"/>
    <w:bookmarkStart w:id="2952" w:name="parameters-194"/>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driver</w:t>
            </w:r>
          </w:p>
        </w:tc>
        <w:tc>
          <w:tcPr/>
          <w:p>
            <w:pPr>
              <w:pStyle w:val="Compact"/>
            </w:pPr>
            <w:r>
              <w:t xml:space="preserve">String</w:t>
            </w:r>
          </w:p>
        </w:tc>
        <w:tc>
          <w:tcPr/>
          <w:p>
            <w:pPr>
              <w:pStyle w:val="Compact"/>
            </w:pPr>
            <w:r>
              <w:t xml:space="preserve">No</w:t>
            </w:r>
          </w:p>
        </w:tc>
        <w:tc>
          <w:tcPr/>
          <w:p>
            <w:pPr>
              <w:pStyle w:val="Compact"/>
            </w:pPr>
            <w:r>
              <w:t xml:space="preserve">Driver name. Default is</w:t>
            </w:r>
            <w:r>
              <w:t xml:space="preserve"> </w:t>
            </w:r>
            <w:r>
              <w:rPr>
                <w:rStyle w:val="VerbatimChar"/>
              </w:rPr>
              <w:t xml:space="preserve">mysql</w:t>
            </w:r>
            <w:r>
              <w:t xml:space="preserve">.</w:t>
            </w:r>
          </w:p>
        </w:tc>
      </w:tr>
    </w:tbl>
    <w:bookmarkEnd w:id="2952"/>
    <w:bookmarkStart w:id="2953" w:name="return-value-214"/>
    <w:p>
      <w:pPr>
        <w:pStyle w:val="Heading2"/>
      </w:pPr>
      <w:r>
        <w:t xml:space="preserve">Return Value</w:t>
      </w:r>
    </w:p>
    <w:p>
      <w:pPr>
        <w:pStyle w:val="Compact"/>
        <w:numPr>
          <w:ilvl w:val="0"/>
          <w:numId w:val="1739"/>
        </w:numPr>
      </w:pPr>
      <w:r>
        <w:rPr>
          <w:b/>
          <w:bCs/>
        </w:rPr>
        <w:t xml:space="preserve">Boolean</w:t>
      </w:r>
      <w:r>
        <w:rPr>
          <w:b/>
          <w:bCs/>
        </w:rPr>
        <w:t xml:space="preserve"> </w:t>
      </w:r>
      <w:r>
        <w:rPr>
          <w:rStyle w:val="VerbatimChar"/>
          <w:b/>
          <w:bCs/>
        </w:rPr>
        <w:t xml:space="preserve">True</w:t>
      </w:r>
      <w:r>
        <w:t xml:space="preserve">: Configuration was resolved and connection opened successfully.</w:t>
      </w:r>
    </w:p>
    <w:p>
      <w:pPr>
        <w:pStyle w:val="Compact"/>
        <w:numPr>
          <w:ilvl w:val="0"/>
          <w:numId w:val="1739"/>
        </w:numPr>
      </w:pPr>
      <w:r>
        <w:rPr>
          <w:b/>
          <w:bCs/>
        </w:rPr>
        <w:t xml:space="preserve">Boolean</w:t>
      </w:r>
      <w:r>
        <w:rPr>
          <w:b/>
          <w:bCs/>
        </w:rPr>
        <w:t xml:space="preserve"> </w:t>
      </w:r>
      <w:r>
        <w:rPr>
          <w:rStyle w:val="VerbatimChar"/>
          <w:b/>
          <w:bCs/>
        </w:rPr>
        <w:t xml:space="preserve">False</w:t>
      </w:r>
      <w:r>
        <w:t xml:space="preserve">: Driver is unsupported, configuration is missing, or open failed.</w:t>
      </w:r>
    </w:p>
    <w:bookmarkEnd w:id="2953"/>
    <w:bookmarkStart w:id="2954" w:name="remarks-268"/>
    <w:p>
      <w:pPr>
        <w:pStyle w:val="Heading2"/>
      </w:pPr>
      <w:r>
        <w:t xml:space="preserve">Remarks</w:t>
      </w:r>
    </w:p>
    <w:p>
      <w:pPr>
        <w:pStyle w:val="Compact"/>
        <w:numPr>
          <w:ilvl w:val="0"/>
          <w:numId w:val="1740"/>
        </w:numPr>
      </w:pPr>
      <w:r>
        <w:t xml:space="preserve">Uses the same connection path as</w:t>
      </w:r>
      <w:r>
        <w:t xml:space="preserve"> </w:t>
      </w:r>
      <w:r>
        <w:rPr>
          <w:rStyle w:val="VerbatimChar"/>
        </w:rPr>
        <w:t xml:space="preserve">Open</w:t>
      </w:r>
      <w:r>
        <w:t xml:space="preserve"> </w:t>
      </w:r>
      <w:r>
        <w:t xml:space="preserve">after DSN resolution.</w:t>
      </w:r>
    </w:p>
    <w:bookmarkEnd w:id="2954"/>
    <w:bookmarkStart w:id="2955" w:name="example-215"/>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ok</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NormalTok"/>
        </w:rPr>
        <w:t xml:space="preserve">ok = db.OpenFromEnv</w:t>
      </w:r>
      <w:r>
        <w:rPr>
          <w:rStyle w:val="OtherTok"/>
        </w:rPr>
        <w:t xml:space="preserve">(</w:t>
      </w:r>
      <w:r>
        <w:rPr>
          <w:rStyle w:val="StringTok"/>
        </w:rPr>
        <w:t xml:space="preserve">"postgres"</w:t>
      </w:r>
      <w:r>
        <w:rPr>
          <w:rStyle w:val="OtherTok"/>
        </w:rPr>
        <w:t xml:space="preserve">)</w:t>
      </w:r>
      <w:r>
        <w:br/>
      </w:r>
      <w:r>
        <w:rPr>
          <w:rStyle w:val="ControlFlowTok"/>
        </w:rPr>
        <w:t xml:space="preserve">If</w:t>
      </w:r>
      <w:r>
        <w:rPr>
          <w:rStyle w:val="NormalTok"/>
        </w:rPr>
        <w:t xml:space="preserve"> ok </w:t>
      </w:r>
      <w:r>
        <w:rPr>
          <w:rStyle w:val="ControlFlowTok"/>
        </w:rPr>
        <w:t xml:space="preserve">Then</w:t>
      </w:r>
      <w:r>
        <w:br/>
      </w:r>
      <w:r>
        <w:rPr>
          <w:rStyle w:val="NormalTok"/>
        </w:rPr>
        <w:t xml:space="preserve">    db.</w:t>
      </w:r>
      <w:r>
        <w:rPr>
          <w:rStyle w:val="KeywordTok"/>
        </w:rPr>
        <w:t xml:space="preserve">Close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55"/>
    <w:bookmarkStart w:id="2956" w:name="api-reference-137"/>
    <w:p>
      <w:pPr>
        <w:pStyle w:val="Heading2"/>
      </w:pPr>
      <w:r>
        <w:t xml:space="preserve">API Reference</w:t>
      </w:r>
    </w:p>
    <w:p>
      <w:pPr>
        <w:pStyle w:val="Compact"/>
        <w:numPr>
          <w:ilvl w:val="0"/>
          <w:numId w:val="1741"/>
        </w:numPr>
      </w:pPr>
      <w:r>
        <w:rPr>
          <w:b/>
          <w:bCs/>
        </w:rPr>
        <w:t xml:space="preserve">Object</w:t>
      </w:r>
      <w:r>
        <w:t xml:space="preserve">:</w:t>
      </w:r>
      <w:r>
        <w:t xml:space="preserve"> </w:t>
      </w:r>
      <w:r>
        <w:rPr>
          <w:rStyle w:val="VerbatimChar"/>
        </w:rPr>
        <w:t xml:space="preserve">G3DB</w:t>
      </w:r>
    </w:p>
    <w:p>
      <w:pPr>
        <w:pStyle w:val="Compact"/>
        <w:numPr>
          <w:ilvl w:val="0"/>
          <w:numId w:val="1741"/>
        </w:numPr>
      </w:pPr>
      <w:r>
        <w:rPr>
          <w:b/>
          <w:bCs/>
        </w:rPr>
        <w:t xml:space="preserve">Method</w:t>
      </w:r>
      <w:r>
        <w:t xml:space="preserve">:</w:t>
      </w:r>
      <w:r>
        <w:t xml:space="preserve"> </w:t>
      </w:r>
      <w:r>
        <w:rPr>
          <w:rStyle w:val="VerbatimChar"/>
        </w:rPr>
        <w:t xml:space="preserve">OpenFromEnv</w:t>
      </w:r>
    </w:p>
    <w:p>
      <w:pPr>
        <w:pStyle w:val="Compact"/>
        <w:numPr>
          <w:ilvl w:val="0"/>
          <w:numId w:val="1741"/>
        </w:numPr>
      </w:pPr>
      <w:r>
        <w:rPr>
          <w:b/>
          <w:bCs/>
        </w:rPr>
        <w:t xml:space="preserve">Arguments</w:t>
      </w:r>
      <w:r>
        <w:t xml:space="preserve">:</w:t>
      </w:r>
      <w:r>
        <w:t xml:space="preserve"> </w:t>
      </w:r>
      <w:r>
        <w:rPr>
          <w:rStyle w:val="VerbatimChar"/>
        </w:rPr>
        <w:t xml:space="preserve">driver</w:t>
      </w:r>
      <w:r>
        <w:t xml:space="preserve"> </w:t>
      </w:r>
      <w:r>
        <w:t xml:space="preserve">(String, optional)</w:t>
      </w:r>
    </w:p>
    <w:p>
      <w:pPr>
        <w:pStyle w:val="Compact"/>
        <w:numPr>
          <w:ilvl w:val="0"/>
          <w:numId w:val="1741"/>
        </w:numPr>
      </w:pPr>
      <w:r>
        <w:rPr>
          <w:b/>
          <w:bCs/>
        </w:rPr>
        <w:t xml:space="preserve">Returns</w:t>
      </w:r>
      <w:r>
        <w:t xml:space="preserve">: Boolean —</w:t>
      </w:r>
      <w:r>
        <w:t xml:space="preserve"> </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on failure</w:t>
      </w:r>
    </w:p>
    <w:bookmarkEnd w:id="2956"/>
    <w:bookmarkEnd w:id="2957"/>
    <w:bookmarkStart w:id="2966" w:name="prepare-a-reusable-sql-statement"/>
    <w:p>
      <w:pPr>
        <w:pStyle w:val="Heading1"/>
      </w:pPr>
      <w:r>
        <w:t xml:space="preserve">Prepare a Reusable SQL Statement</w:t>
      </w:r>
    </w:p>
    <w:bookmarkStart w:id="2958" w:name="overview-285"/>
    <w:p>
      <w:pPr>
        <w:pStyle w:val="Heading2"/>
      </w:pPr>
      <w:r>
        <w:t xml:space="preserve">Overview</w:t>
      </w:r>
    </w:p>
    <w:p>
      <w:pPr>
        <w:pStyle w:val="FirstParagraph"/>
      </w:pPr>
      <w:r>
        <w:t xml:space="preserve">Creates a prepared SQL statement object bound to the active connection.</w:t>
      </w:r>
    </w:p>
    <w:bookmarkEnd w:id="2958"/>
    <w:bookmarkStart w:id="2959" w:name="prerequisites-135"/>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59"/>
    <w:bookmarkStart w:id="2960" w:name="syntax-291"/>
    <w:p>
      <w:pPr>
        <w:pStyle w:val="Heading2"/>
      </w:pPr>
      <w:r>
        <w:t xml:space="preserve">Syntax</w:t>
      </w:r>
    </w:p>
    <w:p>
      <w:pPr>
        <w:pStyle w:val="SourceCode"/>
      </w:pPr>
      <w:r>
        <w:rPr>
          <w:rStyle w:val="NormalTok"/>
        </w:rPr>
        <w:t xml:space="preserve">Set stmt = db.Prepare(sql)</w:t>
      </w:r>
    </w:p>
    <w:bookmarkEnd w:id="2960"/>
    <w:bookmarkStart w:id="2961" w:name="parameters-195"/>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sql</w:t>
            </w:r>
          </w:p>
        </w:tc>
        <w:tc>
          <w:tcPr/>
          <w:p>
            <w:pPr>
              <w:pStyle w:val="Compact"/>
            </w:pPr>
            <w:r>
              <w:t xml:space="preserve">String</w:t>
            </w:r>
          </w:p>
        </w:tc>
        <w:tc>
          <w:tcPr/>
          <w:p>
            <w:pPr>
              <w:pStyle w:val="Compact"/>
            </w:pPr>
            <w:r>
              <w:t xml:space="preserve">Yes</w:t>
            </w:r>
          </w:p>
        </w:tc>
        <w:tc>
          <w:tcPr/>
          <w:p>
            <w:pPr>
              <w:pStyle w:val="Compact"/>
            </w:pPr>
            <w:r>
              <w:t xml:space="preserve">SQL statement to prepare.</w:t>
            </w:r>
          </w:p>
        </w:tc>
      </w:tr>
    </w:tbl>
    <w:bookmarkEnd w:id="2961"/>
    <w:bookmarkStart w:id="2962" w:name="return-value-215"/>
    <w:p>
      <w:pPr>
        <w:pStyle w:val="Heading2"/>
      </w:pPr>
      <w:r>
        <w:t xml:space="preserve">Return Value</w:t>
      </w:r>
    </w:p>
    <w:p>
      <w:pPr>
        <w:pStyle w:val="Compact"/>
        <w:numPr>
          <w:ilvl w:val="0"/>
          <w:numId w:val="1742"/>
        </w:numPr>
      </w:pPr>
      <w:r>
        <w:rPr>
          <w:b/>
          <w:bCs/>
        </w:rPr>
        <w:t xml:space="preserve">G3DBStatement</w:t>
      </w:r>
      <w:r>
        <w:t xml:space="preserve">: Returned when statement preparation succeeds.</w:t>
      </w:r>
    </w:p>
    <w:p>
      <w:pPr>
        <w:pStyle w:val="Compact"/>
        <w:numPr>
          <w:ilvl w:val="0"/>
          <w:numId w:val="1742"/>
        </w:numPr>
      </w:pPr>
      <w:r>
        <w:rPr>
          <w:b/>
          <w:bCs/>
        </w:rPr>
        <w:t xml:space="preserve">Empty</w:t>
      </w:r>
      <w:r>
        <w:t xml:space="preserve">: Returned when connection is not open, SQL is missing, or prepare fails.</w:t>
      </w:r>
    </w:p>
    <w:bookmarkEnd w:id="2962"/>
    <w:bookmarkStart w:id="2963" w:name="remarks-269"/>
    <w:p>
      <w:pPr>
        <w:pStyle w:val="Heading2"/>
      </w:pPr>
      <w:r>
        <w:t xml:space="preserve">Remarks</w:t>
      </w:r>
    </w:p>
    <w:p>
      <w:pPr>
        <w:pStyle w:val="Compact"/>
        <w:numPr>
          <w:ilvl w:val="0"/>
          <w:numId w:val="1743"/>
        </w:numPr>
      </w:pPr>
      <w:r>
        <w:t xml:space="preserve">Placeholder rewriting is applied before preparation.</w:t>
      </w:r>
    </w:p>
    <w:bookmarkEnd w:id="2963"/>
    <w:bookmarkStart w:id="2964" w:name="example-216"/>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stmt</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"sqlite"</w:t>
      </w:r>
      <w:r>
        <w:rPr>
          <w:rStyle w:val="OtherTok"/>
        </w:rPr>
        <w:t xml:space="preserve">,</w:t>
      </w:r>
      <w:r>
        <w:rPr>
          <w:rStyle w:val="NormalTok"/>
        </w:rPr>
        <w:t xml:space="preserve"> </w:t>
      </w:r>
      <w:r>
        <w:rPr>
          <w:rStyle w:val="StringTok"/>
        </w:rPr>
        <w:t xml:space="preserve">"data.db"</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stmt = db.Prepare</w:t>
      </w:r>
      <w:r>
        <w:rPr>
          <w:rStyle w:val="OtherTok"/>
        </w:rPr>
        <w:t xml:space="preserve">(</w:t>
      </w:r>
      <w:r>
        <w:rPr>
          <w:rStyle w:val="StringTok"/>
        </w:rPr>
        <w:t xml:space="preserve">"SELECT name FROM users WHERE id = ?"</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stmt</w:t>
      </w:r>
      <w:r>
        <w:rPr>
          <w:rStyle w:val="OtherTok"/>
        </w:rPr>
        <w:t xml:space="preserve">)</w:t>
      </w:r>
      <w:r>
        <w:rPr>
          <w:rStyle w:val="NormalTok"/>
        </w:rPr>
        <w:t xml:space="preserve"> </w:t>
      </w:r>
      <w:r>
        <w:rPr>
          <w:rStyle w:val="ControlFlowTok"/>
        </w:rPr>
        <w:t xml:space="preserve">Then</w:t>
      </w:r>
      <w:r>
        <w:rPr>
          <w:rStyle w:val="NormalTok"/>
        </w:rPr>
        <w:t xml:space="preserve"> stmt.</w:t>
      </w:r>
      <w:r>
        <w:rPr>
          <w:rStyle w:val="KeywordTok"/>
        </w:rPr>
        <w:t xml:space="preserve">Close</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64"/>
    <w:bookmarkStart w:id="2965" w:name="api-reference-138"/>
    <w:p>
      <w:pPr>
        <w:pStyle w:val="Heading2"/>
      </w:pPr>
      <w:r>
        <w:t xml:space="preserve">API Reference</w:t>
      </w:r>
    </w:p>
    <w:p>
      <w:pPr>
        <w:pStyle w:val="Compact"/>
        <w:numPr>
          <w:ilvl w:val="0"/>
          <w:numId w:val="1744"/>
        </w:numPr>
      </w:pPr>
      <w:r>
        <w:rPr>
          <w:b/>
          <w:bCs/>
        </w:rPr>
        <w:t xml:space="preserve">Object</w:t>
      </w:r>
      <w:r>
        <w:t xml:space="preserve">:</w:t>
      </w:r>
      <w:r>
        <w:t xml:space="preserve"> </w:t>
      </w:r>
      <w:r>
        <w:rPr>
          <w:rStyle w:val="VerbatimChar"/>
        </w:rPr>
        <w:t xml:space="preserve">G3DB</w:t>
      </w:r>
    </w:p>
    <w:p>
      <w:pPr>
        <w:pStyle w:val="Compact"/>
        <w:numPr>
          <w:ilvl w:val="0"/>
          <w:numId w:val="1744"/>
        </w:numPr>
      </w:pPr>
      <w:r>
        <w:rPr>
          <w:b/>
          <w:bCs/>
        </w:rPr>
        <w:t xml:space="preserve">Method</w:t>
      </w:r>
      <w:r>
        <w:t xml:space="preserve">:</w:t>
      </w:r>
      <w:r>
        <w:t xml:space="preserve"> </w:t>
      </w:r>
      <w:r>
        <w:rPr>
          <w:rStyle w:val="VerbatimChar"/>
        </w:rPr>
        <w:t xml:space="preserve">Prepare</w:t>
      </w:r>
    </w:p>
    <w:p>
      <w:pPr>
        <w:pStyle w:val="Compact"/>
        <w:numPr>
          <w:ilvl w:val="0"/>
          <w:numId w:val="1744"/>
        </w:numPr>
      </w:pPr>
      <w:r>
        <w:rPr>
          <w:b/>
          <w:bCs/>
        </w:rPr>
        <w:t xml:space="preserve">Arguments</w:t>
      </w:r>
      <w:r>
        <w:t xml:space="preserve">:</w:t>
      </w:r>
      <w:r>
        <w:t xml:space="preserve"> </w:t>
      </w:r>
      <w:r>
        <w:rPr>
          <w:rStyle w:val="VerbatimChar"/>
        </w:rPr>
        <w:t xml:space="preserve">sql</w:t>
      </w:r>
      <w:r>
        <w:t xml:space="preserve"> </w:t>
      </w:r>
      <w:r>
        <w:t xml:space="preserve">(String, required)</w:t>
      </w:r>
    </w:p>
    <w:p>
      <w:pPr>
        <w:pStyle w:val="Compact"/>
        <w:numPr>
          <w:ilvl w:val="0"/>
          <w:numId w:val="1744"/>
        </w:numPr>
      </w:pPr>
      <w:r>
        <w:rPr>
          <w:b/>
          <w:bCs/>
        </w:rPr>
        <w:t xml:space="preserve">Returns</w:t>
      </w:r>
      <w:r>
        <w:t xml:space="preserve">: G3DBStatement on success, Empty on failure</w:t>
      </w:r>
    </w:p>
    <w:bookmarkEnd w:id="2965"/>
    <w:bookmarkEnd w:id="2966"/>
    <w:bookmarkStart w:id="2975" w:name="execute-a-query-and-return-a-result-set"/>
    <w:p>
      <w:pPr>
        <w:pStyle w:val="Heading1"/>
      </w:pPr>
      <w:r>
        <w:t xml:space="preserve">Execute a Query and Return a Result Set</w:t>
      </w:r>
    </w:p>
    <w:bookmarkStart w:id="2967" w:name="overview-286"/>
    <w:p>
      <w:pPr>
        <w:pStyle w:val="Heading2"/>
      </w:pPr>
      <w:r>
        <w:t xml:space="preserve">Overview</w:t>
      </w:r>
    </w:p>
    <w:p>
      <w:pPr>
        <w:pStyle w:val="FirstParagraph"/>
      </w:pPr>
      <w:r>
        <w:t xml:space="preserve">Executes a SQL query and returns a forward-only G3DBResultSet object.</w:t>
      </w:r>
    </w:p>
    <w:bookmarkEnd w:id="2967"/>
    <w:bookmarkStart w:id="2968" w:name="prerequisites-136"/>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68"/>
    <w:bookmarkStart w:id="2969" w:name="syntax-292"/>
    <w:p>
      <w:pPr>
        <w:pStyle w:val="Heading2"/>
      </w:pPr>
      <w:r>
        <w:t xml:space="preserve">Syntax</w:t>
      </w:r>
    </w:p>
    <w:p>
      <w:pPr>
        <w:pStyle w:val="SourceCode"/>
      </w:pPr>
      <w:r>
        <w:rPr>
          <w:rStyle w:val="NormalTok"/>
        </w:rPr>
        <w:t xml:space="preserve">Set rs = db.Query(sql[, params...])</w:t>
      </w:r>
    </w:p>
    <w:bookmarkEnd w:id="2969"/>
    <w:bookmarkStart w:id="2970" w:name="parameters-19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sql</w:t>
            </w:r>
          </w:p>
        </w:tc>
        <w:tc>
          <w:tcPr/>
          <w:p>
            <w:pPr>
              <w:pStyle w:val="Compact"/>
            </w:pPr>
            <w:r>
              <w:t xml:space="preserve">String</w:t>
            </w:r>
          </w:p>
        </w:tc>
        <w:tc>
          <w:tcPr/>
          <w:p>
            <w:pPr>
              <w:pStyle w:val="Compact"/>
            </w:pPr>
            <w:r>
              <w:t xml:space="preserve">Yes</w:t>
            </w:r>
          </w:p>
        </w:tc>
        <w:tc>
          <w:tcPr/>
          <w:p>
            <w:pPr>
              <w:pStyle w:val="Compact"/>
            </w:pPr>
            <w:r>
              <w:t xml:space="preserve">SQL query text.</w:t>
            </w:r>
          </w:p>
        </w:tc>
      </w:tr>
      <w:tr>
        <w:tc>
          <w:tcPr/>
          <w:p>
            <w:pPr>
              <w:pStyle w:val="Compact"/>
            </w:pPr>
            <w:r>
              <w:rPr>
                <w:b/>
                <w:bCs/>
              </w:rPr>
              <w:t xml:space="preserve">params</w:t>
            </w:r>
          </w:p>
        </w:tc>
        <w:tc>
          <w:tcPr/>
          <w:p>
            <w:pPr>
              <w:pStyle w:val="Compact"/>
            </w:pPr>
            <w:r>
              <w:t xml:space="preserve">Any</w:t>
            </w:r>
          </w:p>
        </w:tc>
        <w:tc>
          <w:tcPr/>
          <w:p>
            <w:pPr>
              <w:pStyle w:val="Compact"/>
            </w:pPr>
            <w:r>
              <w:t xml:space="preserve">No</w:t>
            </w:r>
          </w:p>
        </w:tc>
        <w:tc>
          <w:tcPr/>
          <w:p>
            <w:pPr>
              <w:pStyle w:val="Compact"/>
            </w:pPr>
            <w:r>
              <w:t xml:space="preserve">Positional values for query placeholders.</w:t>
            </w:r>
          </w:p>
        </w:tc>
      </w:tr>
    </w:tbl>
    <w:bookmarkEnd w:id="2970"/>
    <w:bookmarkStart w:id="2971" w:name="return-value-216"/>
    <w:p>
      <w:pPr>
        <w:pStyle w:val="Heading2"/>
      </w:pPr>
      <w:r>
        <w:t xml:space="preserve">Return Value</w:t>
      </w:r>
    </w:p>
    <w:p>
      <w:pPr>
        <w:pStyle w:val="Compact"/>
        <w:numPr>
          <w:ilvl w:val="0"/>
          <w:numId w:val="1745"/>
        </w:numPr>
      </w:pPr>
      <w:r>
        <w:rPr>
          <w:b/>
          <w:bCs/>
        </w:rPr>
        <w:t xml:space="preserve">G3DBResultSet</w:t>
      </w:r>
      <w:r>
        <w:t xml:space="preserve">: Returned when query execution succeeds.</w:t>
      </w:r>
    </w:p>
    <w:p>
      <w:pPr>
        <w:pStyle w:val="Compact"/>
        <w:numPr>
          <w:ilvl w:val="0"/>
          <w:numId w:val="1745"/>
        </w:numPr>
      </w:pPr>
      <w:r>
        <w:rPr>
          <w:b/>
          <w:bCs/>
        </w:rPr>
        <w:t xml:space="preserve">Empty</w:t>
      </w:r>
      <w:r>
        <w:t xml:space="preserve">: Returned when connection is not open, SQL is missing, or query execution fails.</w:t>
      </w:r>
    </w:p>
    <w:bookmarkEnd w:id="2971"/>
    <w:bookmarkStart w:id="2972" w:name="remarks-270"/>
    <w:p>
      <w:pPr>
        <w:pStyle w:val="Heading2"/>
      </w:pPr>
      <w:r>
        <w:t xml:space="preserve">Remarks</w:t>
      </w:r>
    </w:p>
    <w:p>
      <w:pPr>
        <w:pStyle w:val="Compact"/>
        <w:numPr>
          <w:ilvl w:val="0"/>
          <w:numId w:val="1746"/>
        </w:numPr>
      </w:pPr>
      <w:r>
        <w:t xml:space="preserve">Close the result set when processing is complete.</w:t>
      </w:r>
    </w:p>
    <w:bookmarkEnd w:id="2972"/>
    <w:bookmarkStart w:id="2973" w:name="example-21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rs</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"user:pass@tcp(localhost)/db"</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rs = db.Query</w:t>
      </w:r>
      <w:r>
        <w:rPr>
          <w:rStyle w:val="OtherTok"/>
        </w:rPr>
        <w:t xml:space="preserve">(</w:t>
      </w:r>
      <w:r>
        <w:rPr>
          <w:rStyle w:val="StringTok"/>
        </w:rPr>
        <w:t xml:space="preserve">"SELECT id FROM users WHERE active = ?"</w:t>
      </w:r>
      <w:r>
        <w:rPr>
          <w:rStyle w:val="OtherTok"/>
        </w:rPr>
        <w:t xml:space="preserve">,</w:t>
      </w:r>
      <w:r>
        <w:rPr>
          <w:rStyle w:val="NormalTok"/>
        </w:rPr>
        <w:t xml:space="preserve"> </w:t>
      </w:r>
      <w:r>
        <w:rPr>
          <w:rStyle w:val="DecValTok"/>
        </w:rPr>
        <w:t xml:space="preserve">1</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rs</w:t>
      </w:r>
      <w:r>
        <w:rPr>
          <w:rStyle w:val="OtherTok"/>
        </w:rPr>
        <w:t xml:space="preserve">)</w:t>
      </w:r>
      <w:r>
        <w:rPr>
          <w:rStyle w:val="NormalTok"/>
        </w:rPr>
        <w:t xml:space="preserve"> </w:t>
      </w:r>
      <w:r>
        <w:rPr>
          <w:rStyle w:val="ControlFlowTok"/>
        </w:rPr>
        <w:t xml:space="preserve">Then</w:t>
      </w:r>
      <w:r>
        <w:rPr>
          <w:rStyle w:val="NormalTok"/>
        </w:rPr>
        <w:t xml:space="preserve"> rs.</w:t>
      </w:r>
      <w:r>
        <w:rPr>
          <w:rStyle w:val="KeywordTok"/>
        </w:rPr>
        <w:t xml:space="preserve">Close</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73"/>
    <w:bookmarkStart w:id="2974" w:name="api-reference-139"/>
    <w:p>
      <w:pPr>
        <w:pStyle w:val="Heading2"/>
      </w:pPr>
      <w:r>
        <w:t xml:space="preserve">API Reference</w:t>
      </w:r>
    </w:p>
    <w:p>
      <w:pPr>
        <w:pStyle w:val="Compact"/>
        <w:numPr>
          <w:ilvl w:val="0"/>
          <w:numId w:val="1747"/>
        </w:numPr>
      </w:pPr>
      <w:r>
        <w:rPr>
          <w:b/>
          <w:bCs/>
        </w:rPr>
        <w:t xml:space="preserve">Object</w:t>
      </w:r>
      <w:r>
        <w:t xml:space="preserve">:</w:t>
      </w:r>
      <w:r>
        <w:t xml:space="preserve"> </w:t>
      </w:r>
      <w:r>
        <w:rPr>
          <w:rStyle w:val="VerbatimChar"/>
        </w:rPr>
        <w:t xml:space="preserve">G3DB</w:t>
      </w:r>
    </w:p>
    <w:p>
      <w:pPr>
        <w:pStyle w:val="Compact"/>
        <w:numPr>
          <w:ilvl w:val="0"/>
          <w:numId w:val="1747"/>
        </w:numPr>
      </w:pPr>
      <w:r>
        <w:rPr>
          <w:b/>
          <w:bCs/>
        </w:rPr>
        <w:t xml:space="preserve">Method</w:t>
      </w:r>
      <w:r>
        <w:t xml:space="preserve">:</w:t>
      </w:r>
      <w:r>
        <w:t xml:space="preserve"> </w:t>
      </w:r>
      <w:r>
        <w:rPr>
          <w:rStyle w:val="VerbatimChar"/>
        </w:rPr>
        <w:t xml:space="preserve">Query</w:t>
      </w:r>
    </w:p>
    <w:p>
      <w:pPr>
        <w:pStyle w:val="Compact"/>
        <w:numPr>
          <w:ilvl w:val="0"/>
          <w:numId w:val="1747"/>
        </w:numPr>
      </w:pPr>
      <w:r>
        <w:rPr>
          <w:b/>
          <w:bCs/>
        </w:rPr>
        <w:t xml:space="preserve">Arguments</w:t>
      </w:r>
      <w:r>
        <w:t xml:space="preserve">:</w:t>
      </w:r>
      <w:r>
        <w:t xml:space="preserve"> </w:t>
      </w:r>
      <w:r>
        <w:rPr>
          <w:rStyle w:val="VerbatimChar"/>
        </w:rPr>
        <w:t xml:space="preserve">sql</w:t>
      </w:r>
      <w:r>
        <w:t xml:space="preserve"> </w:t>
      </w:r>
      <w:r>
        <w:t xml:space="preserve">(String, required),</w:t>
      </w:r>
      <w:r>
        <w:t xml:space="preserve"> </w:t>
      </w:r>
      <w:r>
        <w:rPr>
          <w:rStyle w:val="VerbatimChar"/>
        </w:rPr>
        <w:t xml:space="preserve">params...</w:t>
      </w:r>
      <w:r>
        <w:t xml:space="preserve"> </w:t>
      </w:r>
      <w:r>
        <w:t xml:space="preserve">(Any, optional)</w:t>
      </w:r>
    </w:p>
    <w:p>
      <w:pPr>
        <w:pStyle w:val="Compact"/>
        <w:numPr>
          <w:ilvl w:val="0"/>
          <w:numId w:val="1747"/>
        </w:numPr>
      </w:pPr>
      <w:r>
        <w:rPr>
          <w:b/>
          <w:bCs/>
        </w:rPr>
        <w:t xml:space="preserve">Returns</w:t>
      </w:r>
      <w:r>
        <w:t xml:space="preserve">: G3DBResultSet on success, Empty on failure</w:t>
      </w:r>
    </w:p>
    <w:bookmarkEnd w:id="2974"/>
    <w:bookmarkEnd w:id="2975"/>
    <w:bookmarkStart w:id="2984" w:name="execute-a-query-and-return-one-row"/>
    <w:p>
      <w:pPr>
        <w:pStyle w:val="Heading1"/>
      </w:pPr>
      <w:r>
        <w:t xml:space="preserve">Execute a Query and Return One Row</w:t>
      </w:r>
    </w:p>
    <w:bookmarkStart w:id="2976" w:name="overview-287"/>
    <w:p>
      <w:pPr>
        <w:pStyle w:val="Heading2"/>
      </w:pPr>
      <w:r>
        <w:t xml:space="preserve">Overview</w:t>
      </w:r>
    </w:p>
    <w:p>
      <w:pPr>
        <w:pStyle w:val="FirstParagraph"/>
      </w:pPr>
      <w:r>
        <w:t xml:space="preserve">Executes a SQL query and returns a G3DBRow object for single-row scanning.</w:t>
      </w:r>
    </w:p>
    <w:bookmarkEnd w:id="2976"/>
    <w:bookmarkStart w:id="2977" w:name="prerequisites-137"/>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77"/>
    <w:bookmarkStart w:id="2978" w:name="syntax-293"/>
    <w:p>
      <w:pPr>
        <w:pStyle w:val="Heading2"/>
      </w:pPr>
      <w:r>
        <w:t xml:space="preserve">Syntax</w:t>
      </w:r>
    </w:p>
    <w:p>
      <w:pPr>
        <w:pStyle w:val="SourceCode"/>
      </w:pPr>
      <w:r>
        <w:rPr>
          <w:rStyle w:val="NormalTok"/>
        </w:rPr>
        <w:t xml:space="preserve">Set row = db.QueryRow(sql[, params...])</w:t>
      </w:r>
    </w:p>
    <w:bookmarkEnd w:id="2978"/>
    <w:bookmarkStart w:id="2979" w:name="parameters-19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sql</w:t>
            </w:r>
          </w:p>
        </w:tc>
        <w:tc>
          <w:tcPr/>
          <w:p>
            <w:pPr>
              <w:pStyle w:val="Compact"/>
            </w:pPr>
            <w:r>
              <w:t xml:space="preserve">String</w:t>
            </w:r>
          </w:p>
        </w:tc>
        <w:tc>
          <w:tcPr/>
          <w:p>
            <w:pPr>
              <w:pStyle w:val="Compact"/>
            </w:pPr>
            <w:r>
              <w:t xml:space="preserve">Yes</w:t>
            </w:r>
          </w:p>
        </w:tc>
        <w:tc>
          <w:tcPr/>
          <w:p>
            <w:pPr>
              <w:pStyle w:val="Compact"/>
            </w:pPr>
            <w:r>
              <w:t xml:space="preserve">SQL query text.</w:t>
            </w:r>
          </w:p>
        </w:tc>
      </w:tr>
      <w:tr>
        <w:tc>
          <w:tcPr/>
          <w:p>
            <w:pPr>
              <w:pStyle w:val="Compact"/>
            </w:pPr>
            <w:r>
              <w:rPr>
                <w:b/>
                <w:bCs/>
              </w:rPr>
              <w:t xml:space="preserve">params</w:t>
            </w:r>
          </w:p>
        </w:tc>
        <w:tc>
          <w:tcPr/>
          <w:p>
            <w:pPr>
              <w:pStyle w:val="Compact"/>
            </w:pPr>
            <w:r>
              <w:t xml:space="preserve">Any</w:t>
            </w:r>
          </w:p>
        </w:tc>
        <w:tc>
          <w:tcPr/>
          <w:p>
            <w:pPr>
              <w:pStyle w:val="Compact"/>
            </w:pPr>
            <w:r>
              <w:t xml:space="preserve">No</w:t>
            </w:r>
          </w:p>
        </w:tc>
        <w:tc>
          <w:tcPr/>
          <w:p>
            <w:pPr>
              <w:pStyle w:val="Compact"/>
            </w:pPr>
            <w:r>
              <w:t xml:space="preserve">Positional values for query placeholders.</w:t>
            </w:r>
          </w:p>
        </w:tc>
      </w:tr>
    </w:tbl>
    <w:bookmarkEnd w:id="2979"/>
    <w:bookmarkStart w:id="2980" w:name="return-value-217"/>
    <w:p>
      <w:pPr>
        <w:pStyle w:val="Heading2"/>
      </w:pPr>
      <w:r>
        <w:t xml:space="preserve">Return Value</w:t>
      </w:r>
    </w:p>
    <w:p>
      <w:pPr>
        <w:pStyle w:val="Compact"/>
        <w:numPr>
          <w:ilvl w:val="0"/>
          <w:numId w:val="1748"/>
        </w:numPr>
      </w:pPr>
      <w:r>
        <w:rPr>
          <w:b/>
          <w:bCs/>
        </w:rPr>
        <w:t xml:space="preserve">G3DBRow</w:t>
      </w:r>
      <w:r>
        <w:t xml:space="preserve">: Returned when query dispatch succeeds.</w:t>
      </w:r>
    </w:p>
    <w:p>
      <w:pPr>
        <w:pStyle w:val="Compact"/>
        <w:numPr>
          <w:ilvl w:val="0"/>
          <w:numId w:val="1748"/>
        </w:numPr>
      </w:pPr>
      <w:r>
        <w:rPr>
          <w:b/>
          <w:bCs/>
        </w:rPr>
        <w:t xml:space="preserve">Empty</w:t>
      </w:r>
      <w:r>
        <w:t xml:space="preserve">: Returned when connection is not open or SQL is missing.</w:t>
      </w:r>
    </w:p>
    <w:bookmarkEnd w:id="2980"/>
    <w:bookmarkStart w:id="2981" w:name="remarks-271"/>
    <w:p>
      <w:pPr>
        <w:pStyle w:val="Heading2"/>
      </w:pPr>
      <w:r>
        <w:t xml:space="preserve">Remarks</w:t>
      </w:r>
    </w:p>
    <w:p>
      <w:pPr>
        <w:pStyle w:val="Compact"/>
        <w:numPr>
          <w:ilvl w:val="0"/>
          <w:numId w:val="1749"/>
        </w:numPr>
      </w:pPr>
      <w:r>
        <w:t xml:space="preserve">Use</w:t>
      </w:r>
      <w:r>
        <w:t xml:space="preserve"> </w:t>
      </w:r>
      <w:r>
        <w:rPr>
          <w:rStyle w:val="VerbatimChar"/>
        </w:rPr>
        <w:t xml:space="preserve">Scan</w:t>
      </w:r>
      <w:r>
        <w:t xml:space="preserve"> </w:t>
      </w:r>
      <w:r>
        <w:t xml:space="preserve">or</w:t>
      </w:r>
      <w:r>
        <w:t xml:space="preserve"> </w:t>
      </w:r>
      <w:r>
        <w:rPr>
          <w:rStyle w:val="VerbatimChar"/>
        </w:rPr>
        <w:t xml:space="preserve">ScanMap</w:t>
      </w:r>
      <w:r>
        <w:t xml:space="preserve"> </w:t>
      </w:r>
      <w:r>
        <w:t xml:space="preserve">on the returned row object.</w:t>
      </w:r>
    </w:p>
    <w:p>
      <w:pPr>
        <w:pStyle w:val="Compact"/>
        <w:numPr>
          <w:ilvl w:val="0"/>
          <w:numId w:val="1749"/>
        </w:numPr>
      </w:pPr>
      <w:r>
        <w:t xml:space="preserve">If no row is found, scan methods return Empty.</w:t>
      </w:r>
    </w:p>
    <w:bookmarkEnd w:id="2981"/>
    <w:bookmarkStart w:id="2982" w:name="example-21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row</w:t>
      </w:r>
      <w:r>
        <w:rPr>
          <w:rStyle w:val="OtherTok"/>
        </w:rPr>
        <w:t xml:space="preserve">,</w:t>
      </w:r>
      <w:r>
        <w:rPr>
          <w:rStyle w:val="NormalTok"/>
        </w:rPr>
        <w:t xml:space="preserve"> value</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"postgres"</w:t>
      </w:r>
      <w:r>
        <w:rPr>
          <w:rStyle w:val="OtherTok"/>
        </w:rPr>
        <w:t xml:space="preserve">,</w:t>
      </w:r>
      <w:r>
        <w:rPr>
          <w:rStyle w:val="NormalTok"/>
        </w:rPr>
        <w:t xml:space="preserve"> </w:t>
      </w:r>
      <w:r>
        <w:rPr>
          <w:rStyle w:val="StringTok"/>
        </w:rPr>
        <w:t xml:space="preserve">"host=localhost user=u dbname=app"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row = db.QueryRow</w:t>
      </w:r>
      <w:r>
        <w:rPr>
          <w:rStyle w:val="OtherTok"/>
        </w:rPr>
        <w:t xml:space="preserve">(</w:t>
      </w:r>
      <w:r>
        <w:rPr>
          <w:rStyle w:val="StringTok"/>
        </w:rPr>
        <w:t xml:space="preserve">"SELECT name FROM users WHERE id = ?"</w:t>
      </w:r>
      <w:r>
        <w:rPr>
          <w:rStyle w:val="OtherTok"/>
        </w:rPr>
        <w:t xml:space="preserve">,</w:t>
      </w:r>
      <w:r>
        <w:rPr>
          <w:rStyle w:val="NormalTok"/>
        </w:rPr>
        <w:t xml:space="preserve"> </w:t>
      </w:r>
      <w:r>
        <w:rPr>
          <w:rStyle w:val="DecValTok"/>
        </w:rPr>
        <w:t xml:space="preserve">1</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row</w:t>
      </w:r>
      <w:r>
        <w:rPr>
          <w:rStyle w:val="OtherTok"/>
        </w:rPr>
        <w:t xml:space="preserve">)</w:t>
      </w:r>
      <w:r>
        <w:rPr>
          <w:rStyle w:val="NormalTok"/>
        </w:rPr>
        <w:t xml:space="preserve"> </w:t>
      </w:r>
      <w:r>
        <w:rPr>
          <w:rStyle w:val="ControlFlowTok"/>
        </w:rPr>
        <w:t xml:space="preserve">Then</w:t>
      </w:r>
      <w:r>
        <w:br/>
      </w:r>
      <w:r>
        <w:rPr>
          <w:rStyle w:val="NormalTok"/>
        </w:rPr>
        <w:t xml:space="preserve">        value = row.Scan</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value</w:t>
      </w:r>
      <w:r>
        <w:rPr>
          <w:rStyle w:val="OtherTok"/>
        </w:rPr>
        <w:t xml:space="preserve">)</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value</w:t>
      </w:r>
      <w:r>
        <w:br/>
      </w:r>
      <w:r>
        <w:rPr>
          <w:rStyle w:val="NormalTok"/>
        </w:rPr>
        <w:t xml:space="preserve">    </w:t>
      </w:r>
      <w:r>
        <w:rPr>
          <w:rStyle w:val="ControlFlowTok"/>
        </w:rPr>
        <w:t xml:space="preserve">End If</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82"/>
    <w:bookmarkStart w:id="2983" w:name="api-reference-140"/>
    <w:p>
      <w:pPr>
        <w:pStyle w:val="Heading2"/>
      </w:pPr>
      <w:r>
        <w:t xml:space="preserve">API Reference</w:t>
      </w:r>
    </w:p>
    <w:p>
      <w:pPr>
        <w:pStyle w:val="Compact"/>
        <w:numPr>
          <w:ilvl w:val="0"/>
          <w:numId w:val="1750"/>
        </w:numPr>
      </w:pPr>
      <w:r>
        <w:rPr>
          <w:b/>
          <w:bCs/>
        </w:rPr>
        <w:t xml:space="preserve">Object</w:t>
      </w:r>
      <w:r>
        <w:t xml:space="preserve">:</w:t>
      </w:r>
      <w:r>
        <w:t xml:space="preserve"> </w:t>
      </w:r>
      <w:r>
        <w:rPr>
          <w:rStyle w:val="VerbatimChar"/>
        </w:rPr>
        <w:t xml:space="preserve">G3DB</w:t>
      </w:r>
    </w:p>
    <w:p>
      <w:pPr>
        <w:pStyle w:val="Compact"/>
        <w:numPr>
          <w:ilvl w:val="0"/>
          <w:numId w:val="1750"/>
        </w:numPr>
      </w:pPr>
      <w:r>
        <w:rPr>
          <w:b/>
          <w:bCs/>
        </w:rPr>
        <w:t xml:space="preserve">Method</w:t>
      </w:r>
      <w:r>
        <w:t xml:space="preserve">:</w:t>
      </w:r>
      <w:r>
        <w:t xml:space="preserve"> </w:t>
      </w:r>
      <w:r>
        <w:rPr>
          <w:rStyle w:val="VerbatimChar"/>
        </w:rPr>
        <w:t xml:space="preserve">QueryRow</w:t>
      </w:r>
    </w:p>
    <w:p>
      <w:pPr>
        <w:pStyle w:val="Compact"/>
        <w:numPr>
          <w:ilvl w:val="0"/>
          <w:numId w:val="1750"/>
        </w:numPr>
      </w:pPr>
      <w:r>
        <w:rPr>
          <w:b/>
          <w:bCs/>
        </w:rPr>
        <w:t xml:space="preserve">Arguments</w:t>
      </w:r>
      <w:r>
        <w:t xml:space="preserve">:</w:t>
      </w:r>
      <w:r>
        <w:t xml:space="preserve"> </w:t>
      </w:r>
      <w:r>
        <w:rPr>
          <w:rStyle w:val="VerbatimChar"/>
        </w:rPr>
        <w:t xml:space="preserve">sql</w:t>
      </w:r>
      <w:r>
        <w:t xml:space="preserve"> </w:t>
      </w:r>
      <w:r>
        <w:t xml:space="preserve">(String, required),</w:t>
      </w:r>
      <w:r>
        <w:t xml:space="preserve"> </w:t>
      </w:r>
      <w:r>
        <w:rPr>
          <w:rStyle w:val="VerbatimChar"/>
        </w:rPr>
        <w:t xml:space="preserve">params...</w:t>
      </w:r>
      <w:r>
        <w:t xml:space="preserve"> </w:t>
      </w:r>
      <w:r>
        <w:t xml:space="preserve">(Any, optional)</w:t>
      </w:r>
    </w:p>
    <w:p>
      <w:pPr>
        <w:pStyle w:val="Compact"/>
        <w:numPr>
          <w:ilvl w:val="0"/>
          <w:numId w:val="1750"/>
        </w:numPr>
      </w:pPr>
      <w:r>
        <w:rPr>
          <w:b/>
          <w:bCs/>
        </w:rPr>
        <w:t xml:space="preserve">Returns</w:t>
      </w:r>
      <w:r>
        <w:t xml:space="preserve">: G3DBRow on dispatch success, Empty on connection/argument failure</w:t>
      </w:r>
    </w:p>
    <w:bookmarkEnd w:id="2983"/>
    <w:bookmarkEnd w:id="2984"/>
    <w:bookmarkStart w:id="2993" w:name="set-maximum-connection-idle-time"/>
    <w:p>
      <w:pPr>
        <w:pStyle w:val="Heading1"/>
      </w:pPr>
      <w:r>
        <w:t xml:space="preserve">Set Maximum Connection Idle Time</w:t>
      </w:r>
    </w:p>
    <w:bookmarkStart w:id="2985" w:name="overview-288"/>
    <w:p>
      <w:pPr>
        <w:pStyle w:val="Heading2"/>
      </w:pPr>
      <w:r>
        <w:t xml:space="preserve">Overview</w:t>
      </w:r>
    </w:p>
    <w:p>
      <w:pPr>
        <w:pStyle w:val="FirstParagraph"/>
      </w:pPr>
      <w:r>
        <w:t xml:space="preserve">Sets the idle timeout for pooled connections on the active database handle.</w:t>
      </w:r>
    </w:p>
    <w:bookmarkEnd w:id="2985"/>
    <w:bookmarkStart w:id="2986" w:name="prerequisites-13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86"/>
    <w:bookmarkStart w:id="2987" w:name="syntax-294"/>
    <w:p>
      <w:pPr>
        <w:pStyle w:val="Heading2"/>
      </w:pPr>
      <w:r>
        <w:t xml:space="preserve">Syntax</w:t>
      </w:r>
    </w:p>
    <w:p>
      <w:pPr>
        <w:pStyle w:val="SourceCode"/>
      </w:pPr>
      <w:r>
        <w:rPr>
          <w:rStyle w:val="NormalTok"/>
        </w:rPr>
        <w:t xml:space="preserve">db.SetConnMaxIdleTime seconds</w:t>
      </w:r>
    </w:p>
    <w:bookmarkEnd w:id="2987"/>
    <w:bookmarkStart w:id="2988" w:name="parameters-19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seconds</w:t>
            </w:r>
          </w:p>
        </w:tc>
        <w:tc>
          <w:tcPr/>
          <w:p>
            <w:pPr>
              <w:pStyle w:val="Compact"/>
            </w:pPr>
            <w:r>
              <w:t xml:space="preserve">Integer</w:t>
            </w:r>
          </w:p>
        </w:tc>
        <w:tc>
          <w:tcPr/>
          <w:p>
            <w:pPr>
              <w:pStyle w:val="Compact"/>
            </w:pPr>
            <w:r>
              <w:t xml:space="preserve">Yes</w:t>
            </w:r>
          </w:p>
        </w:tc>
        <w:tc>
          <w:tcPr/>
          <w:p>
            <w:pPr>
              <w:pStyle w:val="Compact"/>
            </w:pPr>
            <w:r>
              <w:t xml:space="preserve">Maximum idle time in seconds.</w:t>
            </w:r>
          </w:p>
        </w:tc>
      </w:tr>
    </w:tbl>
    <w:bookmarkEnd w:id="2988"/>
    <w:bookmarkStart w:id="2989" w:name="return-value-218"/>
    <w:p>
      <w:pPr>
        <w:pStyle w:val="Heading2"/>
      </w:pPr>
      <w:r>
        <w:t xml:space="preserve">Return Value</w:t>
      </w:r>
    </w:p>
    <w:p>
      <w:pPr>
        <w:pStyle w:val="Compact"/>
        <w:numPr>
          <w:ilvl w:val="0"/>
          <w:numId w:val="1751"/>
        </w:numPr>
      </w:pPr>
      <w:r>
        <w:rPr>
          <w:b/>
          <w:bCs/>
        </w:rPr>
        <w:t xml:space="preserve">Empty</w:t>
      </w:r>
      <w:r>
        <w:t xml:space="preserve">: Always returned.</w:t>
      </w:r>
    </w:p>
    <w:bookmarkEnd w:id="2989"/>
    <w:bookmarkStart w:id="2990" w:name="remarks-272"/>
    <w:p>
      <w:pPr>
        <w:pStyle w:val="Heading2"/>
      </w:pPr>
      <w:r>
        <w:t xml:space="preserve">Remarks</w:t>
      </w:r>
    </w:p>
    <w:p>
      <w:pPr>
        <w:pStyle w:val="Compact"/>
        <w:numPr>
          <w:ilvl w:val="0"/>
          <w:numId w:val="1752"/>
        </w:numPr>
      </w:pPr>
      <w:r>
        <w:t xml:space="preserve">Setting is applied only when a connection is open.</w:t>
      </w:r>
    </w:p>
    <w:bookmarkEnd w:id="2990"/>
    <w:bookmarkStart w:id="2991" w:name="example-21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"user:pass@tcp(localhost)/db"</w:t>
      </w:r>
      <w:r>
        <w:rPr>
          <w:rStyle w:val="OtherTok"/>
        </w:rPr>
        <w:t xml:space="preserve">)</w:t>
      </w:r>
      <w:r>
        <w:rPr>
          <w:rStyle w:val="NormalTok"/>
        </w:rPr>
        <w:t xml:space="preserve"> </w:t>
      </w:r>
      <w:r>
        <w:rPr>
          <w:rStyle w:val="ControlFlowTok"/>
        </w:rPr>
        <w:t xml:space="preserve">Then</w:t>
      </w:r>
      <w:r>
        <w:br/>
      </w:r>
      <w:r>
        <w:rPr>
          <w:rStyle w:val="NormalTok"/>
        </w:rPr>
        <w:t xml:space="preserve">    db.SetConnMaxIdleTime </w:t>
      </w:r>
      <w:r>
        <w:rPr>
          <w:rStyle w:val="DecValTok"/>
        </w:rPr>
        <w:t xml:space="preserve">120</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2991"/>
    <w:bookmarkStart w:id="2992" w:name="api-reference-141"/>
    <w:p>
      <w:pPr>
        <w:pStyle w:val="Heading2"/>
      </w:pPr>
      <w:r>
        <w:t xml:space="preserve">API Reference</w:t>
      </w:r>
    </w:p>
    <w:p>
      <w:pPr>
        <w:pStyle w:val="Compact"/>
        <w:numPr>
          <w:ilvl w:val="0"/>
          <w:numId w:val="1753"/>
        </w:numPr>
      </w:pPr>
      <w:r>
        <w:rPr>
          <w:b/>
          <w:bCs/>
        </w:rPr>
        <w:t xml:space="preserve">Object</w:t>
      </w:r>
      <w:r>
        <w:t xml:space="preserve">:</w:t>
      </w:r>
      <w:r>
        <w:t xml:space="preserve"> </w:t>
      </w:r>
      <w:r>
        <w:rPr>
          <w:rStyle w:val="VerbatimChar"/>
        </w:rPr>
        <w:t xml:space="preserve">G3DB</w:t>
      </w:r>
    </w:p>
    <w:p>
      <w:pPr>
        <w:pStyle w:val="Compact"/>
        <w:numPr>
          <w:ilvl w:val="0"/>
          <w:numId w:val="1753"/>
        </w:numPr>
      </w:pPr>
      <w:r>
        <w:rPr>
          <w:b/>
          <w:bCs/>
        </w:rPr>
        <w:t xml:space="preserve">Method</w:t>
      </w:r>
      <w:r>
        <w:t xml:space="preserve">:</w:t>
      </w:r>
      <w:r>
        <w:t xml:space="preserve"> </w:t>
      </w:r>
      <w:r>
        <w:rPr>
          <w:rStyle w:val="VerbatimChar"/>
        </w:rPr>
        <w:t xml:space="preserve">SetConnMaxIdleTime</w:t>
      </w:r>
    </w:p>
    <w:p>
      <w:pPr>
        <w:pStyle w:val="Compact"/>
        <w:numPr>
          <w:ilvl w:val="0"/>
          <w:numId w:val="1753"/>
        </w:numPr>
      </w:pPr>
      <w:r>
        <w:rPr>
          <w:b/>
          <w:bCs/>
        </w:rPr>
        <w:t xml:space="preserve">Arguments</w:t>
      </w:r>
      <w:r>
        <w:t xml:space="preserve">:</w:t>
      </w:r>
      <w:r>
        <w:t xml:space="preserve"> </w:t>
      </w:r>
      <w:r>
        <w:rPr>
          <w:rStyle w:val="VerbatimChar"/>
        </w:rPr>
        <w:t xml:space="preserve">seconds</w:t>
      </w:r>
      <w:r>
        <w:t xml:space="preserve"> </w:t>
      </w:r>
      <w:r>
        <w:t xml:space="preserve">(Integer, required)</w:t>
      </w:r>
    </w:p>
    <w:p>
      <w:pPr>
        <w:pStyle w:val="Compact"/>
        <w:numPr>
          <w:ilvl w:val="0"/>
          <w:numId w:val="1753"/>
        </w:numPr>
      </w:pPr>
      <w:r>
        <w:rPr>
          <w:b/>
          <w:bCs/>
        </w:rPr>
        <w:t xml:space="preserve">Returns</w:t>
      </w:r>
      <w:r>
        <w:t xml:space="preserve">: Empty</w:t>
      </w:r>
    </w:p>
    <w:bookmarkEnd w:id="2992"/>
    <w:bookmarkEnd w:id="2993"/>
    <w:bookmarkStart w:id="3002" w:name="set-maximum-connection-lifetime"/>
    <w:p>
      <w:pPr>
        <w:pStyle w:val="Heading1"/>
      </w:pPr>
      <w:r>
        <w:t xml:space="preserve">Set Maximum Connection Lifetime</w:t>
      </w:r>
    </w:p>
    <w:bookmarkStart w:id="2994" w:name="overview-289"/>
    <w:p>
      <w:pPr>
        <w:pStyle w:val="Heading2"/>
      </w:pPr>
      <w:r>
        <w:t xml:space="preserve">Overview</w:t>
      </w:r>
    </w:p>
    <w:p>
      <w:pPr>
        <w:pStyle w:val="FirstParagraph"/>
      </w:pPr>
      <w:r>
        <w:t xml:space="preserve">Sets the maximum reuse lifetime for pooled connections on the active database handle.</w:t>
      </w:r>
    </w:p>
    <w:bookmarkEnd w:id="2994"/>
    <w:bookmarkStart w:id="2995" w:name="prerequisites-139"/>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2995"/>
    <w:bookmarkStart w:id="2996" w:name="syntax-295"/>
    <w:p>
      <w:pPr>
        <w:pStyle w:val="Heading2"/>
      </w:pPr>
      <w:r>
        <w:t xml:space="preserve">Syntax</w:t>
      </w:r>
    </w:p>
    <w:p>
      <w:pPr>
        <w:pStyle w:val="SourceCode"/>
      </w:pPr>
      <w:r>
        <w:rPr>
          <w:rStyle w:val="NormalTok"/>
        </w:rPr>
        <w:t xml:space="preserve">db.SetConnMaxLifetime seconds</w:t>
      </w:r>
    </w:p>
    <w:bookmarkEnd w:id="2996"/>
    <w:bookmarkStart w:id="2997" w:name="parameters-19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seconds</w:t>
            </w:r>
          </w:p>
        </w:tc>
        <w:tc>
          <w:tcPr/>
          <w:p>
            <w:pPr>
              <w:pStyle w:val="Compact"/>
            </w:pPr>
            <w:r>
              <w:t xml:space="preserve">Integer</w:t>
            </w:r>
          </w:p>
        </w:tc>
        <w:tc>
          <w:tcPr/>
          <w:p>
            <w:pPr>
              <w:pStyle w:val="Compact"/>
            </w:pPr>
            <w:r>
              <w:t xml:space="preserve">Yes</w:t>
            </w:r>
          </w:p>
        </w:tc>
        <w:tc>
          <w:tcPr/>
          <w:p>
            <w:pPr>
              <w:pStyle w:val="Compact"/>
            </w:pPr>
            <w:r>
              <w:t xml:space="preserve">Maximum connection lifetime in seconds.</w:t>
            </w:r>
          </w:p>
        </w:tc>
      </w:tr>
    </w:tbl>
    <w:bookmarkEnd w:id="2997"/>
    <w:bookmarkStart w:id="2998" w:name="return-value-219"/>
    <w:p>
      <w:pPr>
        <w:pStyle w:val="Heading2"/>
      </w:pPr>
      <w:r>
        <w:t xml:space="preserve">Return Value</w:t>
      </w:r>
    </w:p>
    <w:p>
      <w:pPr>
        <w:pStyle w:val="Compact"/>
        <w:numPr>
          <w:ilvl w:val="0"/>
          <w:numId w:val="1754"/>
        </w:numPr>
      </w:pPr>
      <w:r>
        <w:rPr>
          <w:b/>
          <w:bCs/>
        </w:rPr>
        <w:t xml:space="preserve">Empty</w:t>
      </w:r>
      <w:r>
        <w:t xml:space="preserve">: Always returned.</w:t>
      </w:r>
    </w:p>
    <w:bookmarkEnd w:id="2998"/>
    <w:bookmarkStart w:id="2999" w:name="remarks-273"/>
    <w:p>
      <w:pPr>
        <w:pStyle w:val="Heading2"/>
      </w:pPr>
      <w:r>
        <w:t xml:space="preserve">Remarks</w:t>
      </w:r>
    </w:p>
    <w:p>
      <w:pPr>
        <w:pStyle w:val="Compact"/>
        <w:numPr>
          <w:ilvl w:val="0"/>
          <w:numId w:val="1755"/>
        </w:numPr>
      </w:pPr>
      <w:r>
        <w:t xml:space="preserve">Setting is applied only when a connection is open.</w:t>
      </w:r>
    </w:p>
    <w:bookmarkEnd w:id="2999"/>
    <w:bookmarkStart w:id="3000" w:name="example-220"/>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"user:pass@tcp(localhost)/db"</w:t>
      </w:r>
      <w:r>
        <w:rPr>
          <w:rStyle w:val="OtherTok"/>
        </w:rPr>
        <w:t xml:space="preserve">)</w:t>
      </w:r>
      <w:r>
        <w:rPr>
          <w:rStyle w:val="NormalTok"/>
        </w:rPr>
        <w:t xml:space="preserve"> </w:t>
      </w:r>
      <w:r>
        <w:rPr>
          <w:rStyle w:val="ControlFlowTok"/>
        </w:rPr>
        <w:t xml:space="preserve">Then</w:t>
      </w:r>
      <w:r>
        <w:br/>
      </w:r>
      <w:r>
        <w:rPr>
          <w:rStyle w:val="NormalTok"/>
        </w:rPr>
        <w:t xml:space="preserve">    db.SetConnMaxLifetime </w:t>
      </w:r>
      <w:r>
        <w:rPr>
          <w:rStyle w:val="DecValTok"/>
        </w:rPr>
        <w:t xml:space="preserve">3600</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3000"/>
    <w:bookmarkStart w:id="3001" w:name="api-reference-142"/>
    <w:p>
      <w:pPr>
        <w:pStyle w:val="Heading2"/>
      </w:pPr>
      <w:r>
        <w:t xml:space="preserve">API Reference</w:t>
      </w:r>
    </w:p>
    <w:p>
      <w:pPr>
        <w:pStyle w:val="Compact"/>
        <w:numPr>
          <w:ilvl w:val="0"/>
          <w:numId w:val="1756"/>
        </w:numPr>
      </w:pPr>
      <w:r>
        <w:rPr>
          <w:b/>
          <w:bCs/>
        </w:rPr>
        <w:t xml:space="preserve">Object</w:t>
      </w:r>
      <w:r>
        <w:t xml:space="preserve">:</w:t>
      </w:r>
      <w:r>
        <w:t xml:space="preserve"> </w:t>
      </w:r>
      <w:r>
        <w:rPr>
          <w:rStyle w:val="VerbatimChar"/>
        </w:rPr>
        <w:t xml:space="preserve">G3DB</w:t>
      </w:r>
    </w:p>
    <w:p>
      <w:pPr>
        <w:pStyle w:val="Compact"/>
        <w:numPr>
          <w:ilvl w:val="0"/>
          <w:numId w:val="1756"/>
        </w:numPr>
      </w:pPr>
      <w:r>
        <w:rPr>
          <w:b/>
          <w:bCs/>
        </w:rPr>
        <w:t xml:space="preserve">Method</w:t>
      </w:r>
      <w:r>
        <w:t xml:space="preserve">:</w:t>
      </w:r>
      <w:r>
        <w:t xml:space="preserve"> </w:t>
      </w:r>
      <w:r>
        <w:rPr>
          <w:rStyle w:val="VerbatimChar"/>
        </w:rPr>
        <w:t xml:space="preserve">SetConnMaxLifetime</w:t>
      </w:r>
    </w:p>
    <w:p>
      <w:pPr>
        <w:pStyle w:val="Compact"/>
        <w:numPr>
          <w:ilvl w:val="0"/>
          <w:numId w:val="1756"/>
        </w:numPr>
      </w:pPr>
      <w:r>
        <w:rPr>
          <w:b/>
          <w:bCs/>
        </w:rPr>
        <w:t xml:space="preserve">Arguments</w:t>
      </w:r>
      <w:r>
        <w:t xml:space="preserve">:</w:t>
      </w:r>
      <w:r>
        <w:t xml:space="preserve"> </w:t>
      </w:r>
      <w:r>
        <w:rPr>
          <w:rStyle w:val="VerbatimChar"/>
        </w:rPr>
        <w:t xml:space="preserve">seconds</w:t>
      </w:r>
      <w:r>
        <w:t xml:space="preserve"> </w:t>
      </w:r>
      <w:r>
        <w:t xml:space="preserve">(Integer, required)</w:t>
      </w:r>
    </w:p>
    <w:p>
      <w:pPr>
        <w:pStyle w:val="Compact"/>
        <w:numPr>
          <w:ilvl w:val="0"/>
          <w:numId w:val="1756"/>
        </w:numPr>
      </w:pPr>
      <w:r>
        <w:rPr>
          <w:b/>
          <w:bCs/>
        </w:rPr>
        <w:t xml:space="preserve">Returns</w:t>
      </w:r>
      <w:r>
        <w:t xml:space="preserve">: Empty</w:t>
      </w:r>
    </w:p>
    <w:bookmarkEnd w:id="3001"/>
    <w:bookmarkEnd w:id="3002"/>
    <w:bookmarkStart w:id="3011" w:name="set-maximum-idle-connections"/>
    <w:p>
      <w:pPr>
        <w:pStyle w:val="Heading1"/>
      </w:pPr>
      <w:r>
        <w:t xml:space="preserve">Set Maximum Idle Connections</w:t>
      </w:r>
    </w:p>
    <w:bookmarkStart w:id="3003" w:name="overview-290"/>
    <w:p>
      <w:pPr>
        <w:pStyle w:val="Heading2"/>
      </w:pPr>
      <w:r>
        <w:t xml:space="preserve">Overview</w:t>
      </w:r>
    </w:p>
    <w:p>
      <w:pPr>
        <w:pStyle w:val="FirstParagraph"/>
      </w:pPr>
      <w:r>
        <w:t xml:space="preserve">Sets the maximum number of idle pooled connections for the active database handle.</w:t>
      </w:r>
    </w:p>
    <w:bookmarkEnd w:id="3003"/>
    <w:bookmarkStart w:id="3004" w:name="prerequisites-140"/>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3004"/>
    <w:bookmarkStart w:id="3005" w:name="syntax-296"/>
    <w:p>
      <w:pPr>
        <w:pStyle w:val="Heading2"/>
      </w:pPr>
      <w:r>
        <w:t xml:space="preserve">Syntax</w:t>
      </w:r>
    </w:p>
    <w:p>
      <w:pPr>
        <w:pStyle w:val="SourceCode"/>
      </w:pPr>
      <w:r>
        <w:rPr>
          <w:rStyle w:val="NormalTok"/>
        </w:rPr>
        <w:t xml:space="preserve">db.SetMaxIdleConns count</w:t>
      </w:r>
    </w:p>
    <w:bookmarkEnd w:id="3005"/>
    <w:bookmarkStart w:id="3006" w:name="parameters-20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count</w:t>
            </w:r>
          </w:p>
        </w:tc>
        <w:tc>
          <w:tcPr/>
          <w:p>
            <w:pPr>
              <w:pStyle w:val="Compact"/>
            </w:pPr>
            <w:r>
              <w:t xml:space="preserve">Integer</w:t>
            </w:r>
          </w:p>
        </w:tc>
        <w:tc>
          <w:tcPr/>
          <w:p>
            <w:pPr>
              <w:pStyle w:val="Compact"/>
            </w:pPr>
            <w:r>
              <w:t xml:space="preserve">Yes</w:t>
            </w:r>
          </w:p>
        </w:tc>
        <w:tc>
          <w:tcPr/>
          <w:p>
            <w:pPr>
              <w:pStyle w:val="Compact"/>
            </w:pPr>
            <w:r>
              <w:t xml:space="preserve">Maximum number of idle pooled connections.</w:t>
            </w:r>
          </w:p>
        </w:tc>
      </w:tr>
    </w:tbl>
    <w:bookmarkEnd w:id="3006"/>
    <w:bookmarkStart w:id="3007" w:name="return-value-220"/>
    <w:p>
      <w:pPr>
        <w:pStyle w:val="Heading2"/>
      </w:pPr>
      <w:r>
        <w:t xml:space="preserve">Return Value</w:t>
      </w:r>
    </w:p>
    <w:p>
      <w:pPr>
        <w:pStyle w:val="Compact"/>
        <w:numPr>
          <w:ilvl w:val="0"/>
          <w:numId w:val="1757"/>
        </w:numPr>
      </w:pPr>
      <w:r>
        <w:rPr>
          <w:b/>
          <w:bCs/>
        </w:rPr>
        <w:t xml:space="preserve">Empty</w:t>
      </w:r>
      <w:r>
        <w:t xml:space="preserve">: Always returned.</w:t>
      </w:r>
    </w:p>
    <w:bookmarkEnd w:id="3007"/>
    <w:bookmarkStart w:id="3008" w:name="remarks-274"/>
    <w:p>
      <w:pPr>
        <w:pStyle w:val="Heading2"/>
      </w:pPr>
      <w:r>
        <w:t xml:space="preserve">Remarks</w:t>
      </w:r>
    </w:p>
    <w:p>
      <w:pPr>
        <w:pStyle w:val="Compact"/>
        <w:numPr>
          <w:ilvl w:val="0"/>
          <w:numId w:val="1758"/>
        </w:numPr>
      </w:pPr>
      <w:r>
        <w:t xml:space="preserve">Setting is applied only when a connection is open.</w:t>
      </w:r>
    </w:p>
    <w:bookmarkEnd w:id="3008"/>
    <w:bookmarkStart w:id="3009" w:name="example-221"/>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"user:pass@tcp(localhost)/db"</w:t>
      </w:r>
      <w:r>
        <w:rPr>
          <w:rStyle w:val="OtherTok"/>
        </w:rPr>
        <w:t xml:space="preserve">)</w:t>
      </w:r>
      <w:r>
        <w:rPr>
          <w:rStyle w:val="NormalTok"/>
        </w:rPr>
        <w:t xml:space="preserve"> </w:t>
      </w:r>
      <w:r>
        <w:rPr>
          <w:rStyle w:val="ControlFlowTok"/>
        </w:rPr>
        <w:t xml:space="preserve">Then</w:t>
      </w:r>
      <w:r>
        <w:br/>
      </w:r>
      <w:r>
        <w:rPr>
          <w:rStyle w:val="NormalTok"/>
        </w:rPr>
        <w:t xml:space="preserve">    db.SetMaxIdleConns </w:t>
      </w:r>
      <w:r>
        <w:rPr>
          <w:rStyle w:val="DecValTok"/>
        </w:rPr>
        <w:t xml:space="preserve">10</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3009"/>
    <w:bookmarkStart w:id="3010" w:name="api-reference-143"/>
    <w:p>
      <w:pPr>
        <w:pStyle w:val="Heading2"/>
      </w:pPr>
      <w:r>
        <w:t xml:space="preserve">API Reference</w:t>
      </w:r>
    </w:p>
    <w:p>
      <w:pPr>
        <w:pStyle w:val="Compact"/>
        <w:numPr>
          <w:ilvl w:val="0"/>
          <w:numId w:val="1759"/>
        </w:numPr>
      </w:pPr>
      <w:r>
        <w:rPr>
          <w:b/>
          <w:bCs/>
        </w:rPr>
        <w:t xml:space="preserve">Object</w:t>
      </w:r>
      <w:r>
        <w:t xml:space="preserve">:</w:t>
      </w:r>
      <w:r>
        <w:t xml:space="preserve"> </w:t>
      </w:r>
      <w:r>
        <w:rPr>
          <w:rStyle w:val="VerbatimChar"/>
        </w:rPr>
        <w:t xml:space="preserve">G3DB</w:t>
      </w:r>
    </w:p>
    <w:p>
      <w:pPr>
        <w:pStyle w:val="Compact"/>
        <w:numPr>
          <w:ilvl w:val="0"/>
          <w:numId w:val="1759"/>
        </w:numPr>
      </w:pPr>
      <w:r>
        <w:rPr>
          <w:b/>
          <w:bCs/>
        </w:rPr>
        <w:t xml:space="preserve">Method</w:t>
      </w:r>
      <w:r>
        <w:t xml:space="preserve">:</w:t>
      </w:r>
      <w:r>
        <w:t xml:space="preserve"> </w:t>
      </w:r>
      <w:r>
        <w:rPr>
          <w:rStyle w:val="VerbatimChar"/>
        </w:rPr>
        <w:t xml:space="preserve">SetMaxIdleConns</w:t>
      </w:r>
    </w:p>
    <w:p>
      <w:pPr>
        <w:pStyle w:val="Compact"/>
        <w:numPr>
          <w:ilvl w:val="0"/>
          <w:numId w:val="1759"/>
        </w:numPr>
      </w:pPr>
      <w:r>
        <w:rPr>
          <w:b/>
          <w:bCs/>
        </w:rPr>
        <w:t xml:space="preserve">Arguments</w:t>
      </w:r>
      <w:r>
        <w:t xml:space="preserve">:</w:t>
      </w:r>
      <w:r>
        <w:t xml:space="preserve"> </w:t>
      </w:r>
      <w:r>
        <w:rPr>
          <w:rStyle w:val="VerbatimChar"/>
        </w:rPr>
        <w:t xml:space="preserve">count</w:t>
      </w:r>
      <w:r>
        <w:t xml:space="preserve"> </w:t>
      </w:r>
      <w:r>
        <w:t xml:space="preserve">(Integer, required)</w:t>
      </w:r>
    </w:p>
    <w:p>
      <w:pPr>
        <w:pStyle w:val="Compact"/>
        <w:numPr>
          <w:ilvl w:val="0"/>
          <w:numId w:val="1759"/>
        </w:numPr>
      </w:pPr>
      <w:r>
        <w:rPr>
          <w:b/>
          <w:bCs/>
        </w:rPr>
        <w:t xml:space="preserve">Returns</w:t>
      </w:r>
      <w:r>
        <w:t xml:space="preserve">: Empty</w:t>
      </w:r>
    </w:p>
    <w:bookmarkEnd w:id="3010"/>
    <w:bookmarkEnd w:id="3011"/>
    <w:bookmarkStart w:id="3020" w:name="set-maximum-open-connections"/>
    <w:p>
      <w:pPr>
        <w:pStyle w:val="Heading1"/>
      </w:pPr>
      <w:r>
        <w:t xml:space="preserve">Set Maximum Open Connections</w:t>
      </w:r>
    </w:p>
    <w:bookmarkStart w:id="3012" w:name="overview-291"/>
    <w:p>
      <w:pPr>
        <w:pStyle w:val="Heading2"/>
      </w:pPr>
      <w:r>
        <w:t xml:space="preserve">Overview</w:t>
      </w:r>
    </w:p>
    <w:p>
      <w:pPr>
        <w:pStyle w:val="FirstParagraph"/>
      </w:pPr>
      <w:r>
        <w:t xml:space="preserve">Sets the maximum number of open pooled connections for the active database handle.</w:t>
      </w:r>
    </w:p>
    <w:bookmarkEnd w:id="3012"/>
    <w:bookmarkStart w:id="3013" w:name="prerequisites-141"/>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3013"/>
    <w:bookmarkStart w:id="3014" w:name="syntax-297"/>
    <w:p>
      <w:pPr>
        <w:pStyle w:val="Heading2"/>
      </w:pPr>
      <w:r>
        <w:t xml:space="preserve">Syntax</w:t>
      </w:r>
    </w:p>
    <w:p>
      <w:pPr>
        <w:pStyle w:val="SourceCode"/>
      </w:pPr>
      <w:r>
        <w:rPr>
          <w:rStyle w:val="NormalTok"/>
        </w:rPr>
        <w:t xml:space="preserve">db.SetMaxOpenConns count</w:t>
      </w:r>
    </w:p>
    <w:bookmarkEnd w:id="3014"/>
    <w:bookmarkStart w:id="3015" w:name="parameters-20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count</w:t>
            </w:r>
          </w:p>
        </w:tc>
        <w:tc>
          <w:tcPr/>
          <w:p>
            <w:pPr>
              <w:pStyle w:val="Compact"/>
            </w:pPr>
            <w:r>
              <w:t xml:space="preserve">Integer</w:t>
            </w:r>
          </w:p>
        </w:tc>
        <w:tc>
          <w:tcPr/>
          <w:p>
            <w:pPr>
              <w:pStyle w:val="Compact"/>
            </w:pPr>
            <w:r>
              <w:t xml:space="preserve">Yes</w:t>
            </w:r>
          </w:p>
        </w:tc>
        <w:tc>
          <w:tcPr/>
          <w:p>
            <w:pPr>
              <w:pStyle w:val="Compact"/>
            </w:pPr>
            <w:r>
              <w:t xml:space="preserve">Maximum number of open pooled connections.</w:t>
            </w:r>
          </w:p>
        </w:tc>
      </w:tr>
    </w:tbl>
    <w:bookmarkEnd w:id="3015"/>
    <w:bookmarkStart w:id="3016" w:name="return-value-221"/>
    <w:p>
      <w:pPr>
        <w:pStyle w:val="Heading2"/>
      </w:pPr>
      <w:r>
        <w:t xml:space="preserve">Return Value</w:t>
      </w:r>
    </w:p>
    <w:p>
      <w:pPr>
        <w:pStyle w:val="Compact"/>
        <w:numPr>
          <w:ilvl w:val="0"/>
          <w:numId w:val="1760"/>
        </w:numPr>
      </w:pPr>
      <w:r>
        <w:rPr>
          <w:b/>
          <w:bCs/>
        </w:rPr>
        <w:t xml:space="preserve">Empty</w:t>
      </w:r>
      <w:r>
        <w:t xml:space="preserve">: Always returned.</w:t>
      </w:r>
    </w:p>
    <w:bookmarkEnd w:id="3016"/>
    <w:bookmarkStart w:id="3017" w:name="remarks-275"/>
    <w:p>
      <w:pPr>
        <w:pStyle w:val="Heading2"/>
      </w:pPr>
      <w:r>
        <w:t xml:space="preserve">Remarks</w:t>
      </w:r>
    </w:p>
    <w:p>
      <w:pPr>
        <w:pStyle w:val="Compact"/>
        <w:numPr>
          <w:ilvl w:val="0"/>
          <w:numId w:val="1761"/>
        </w:numPr>
      </w:pPr>
      <w:r>
        <w:t xml:space="preserve">Setting is applied only when a connection is open.</w:t>
      </w:r>
    </w:p>
    <w:bookmarkEnd w:id="3017"/>
    <w:bookmarkStart w:id="3018" w:name="example-222"/>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"user:pass@tcp(localhost)/db"</w:t>
      </w:r>
      <w:r>
        <w:rPr>
          <w:rStyle w:val="OtherTok"/>
        </w:rPr>
        <w:t xml:space="preserve">)</w:t>
      </w:r>
      <w:r>
        <w:rPr>
          <w:rStyle w:val="NormalTok"/>
        </w:rPr>
        <w:t xml:space="preserve"> </w:t>
      </w:r>
      <w:r>
        <w:rPr>
          <w:rStyle w:val="ControlFlowTok"/>
        </w:rPr>
        <w:t xml:space="preserve">Then</w:t>
      </w:r>
      <w:r>
        <w:br/>
      </w:r>
      <w:r>
        <w:rPr>
          <w:rStyle w:val="NormalTok"/>
        </w:rPr>
        <w:t xml:space="preserve">    db.SetMaxOpenConns </w:t>
      </w:r>
      <w:r>
        <w:rPr>
          <w:rStyle w:val="DecValTok"/>
        </w:rPr>
        <w:t xml:space="preserve">50</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3018"/>
    <w:bookmarkStart w:id="3019" w:name="api-reference-144"/>
    <w:p>
      <w:pPr>
        <w:pStyle w:val="Heading2"/>
      </w:pPr>
      <w:r>
        <w:t xml:space="preserve">API Reference</w:t>
      </w:r>
    </w:p>
    <w:p>
      <w:pPr>
        <w:pStyle w:val="Compact"/>
        <w:numPr>
          <w:ilvl w:val="0"/>
          <w:numId w:val="1762"/>
        </w:numPr>
      </w:pPr>
      <w:r>
        <w:rPr>
          <w:b/>
          <w:bCs/>
        </w:rPr>
        <w:t xml:space="preserve">Object</w:t>
      </w:r>
      <w:r>
        <w:t xml:space="preserve">:</w:t>
      </w:r>
      <w:r>
        <w:t xml:space="preserve"> </w:t>
      </w:r>
      <w:r>
        <w:rPr>
          <w:rStyle w:val="VerbatimChar"/>
        </w:rPr>
        <w:t xml:space="preserve">G3DB</w:t>
      </w:r>
    </w:p>
    <w:p>
      <w:pPr>
        <w:pStyle w:val="Compact"/>
        <w:numPr>
          <w:ilvl w:val="0"/>
          <w:numId w:val="1762"/>
        </w:numPr>
      </w:pPr>
      <w:r>
        <w:rPr>
          <w:b/>
          <w:bCs/>
        </w:rPr>
        <w:t xml:space="preserve">Method</w:t>
      </w:r>
      <w:r>
        <w:t xml:space="preserve">:</w:t>
      </w:r>
      <w:r>
        <w:t xml:space="preserve"> </w:t>
      </w:r>
      <w:r>
        <w:rPr>
          <w:rStyle w:val="VerbatimChar"/>
        </w:rPr>
        <w:t xml:space="preserve">SetMaxOpenConns</w:t>
      </w:r>
    </w:p>
    <w:p>
      <w:pPr>
        <w:pStyle w:val="Compact"/>
        <w:numPr>
          <w:ilvl w:val="0"/>
          <w:numId w:val="1762"/>
        </w:numPr>
      </w:pPr>
      <w:r>
        <w:rPr>
          <w:b/>
          <w:bCs/>
        </w:rPr>
        <w:t xml:space="preserve">Arguments</w:t>
      </w:r>
      <w:r>
        <w:t xml:space="preserve">:</w:t>
      </w:r>
      <w:r>
        <w:t xml:space="preserve"> </w:t>
      </w:r>
      <w:r>
        <w:rPr>
          <w:rStyle w:val="VerbatimChar"/>
        </w:rPr>
        <w:t xml:space="preserve">count</w:t>
      </w:r>
      <w:r>
        <w:t xml:space="preserve"> </w:t>
      </w:r>
      <w:r>
        <w:t xml:space="preserve">(Integer, required)</w:t>
      </w:r>
    </w:p>
    <w:p>
      <w:pPr>
        <w:pStyle w:val="Compact"/>
        <w:numPr>
          <w:ilvl w:val="0"/>
          <w:numId w:val="1762"/>
        </w:numPr>
      </w:pPr>
      <w:r>
        <w:rPr>
          <w:b/>
          <w:bCs/>
        </w:rPr>
        <w:t xml:space="preserve">Returns</w:t>
      </w:r>
      <w:r>
        <w:t xml:space="preserve">: Empty</w:t>
      </w:r>
    </w:p>
    <w:bookmarkEnd w:id="3019"/>
    <w:bookmarkEnd w:id="3020"/>
    <w:bookmarkStart w:id="3030" w:name="read-database-pool-statistics"/>
    <w:p>
      <w:pPr>
        <w:pStyle w:val="Heading1"/>
      </w:pPr>
      <w:r>
        <w:t xml:space="preserve">Read Database Pool Statistics</w:t>
      </w:r>
    </w:p>
    <w:bookmarkStart w:id="3021" w:name="overview-292"/>
    <w:p>
      <w:pPr>
        <w:pStyle w:val="Heading2"/>
      </w:pPr>
      <w:r>
        <w:t xml:space="preserve">Overview</w:t>
      </w:r>
    </w:p>
    <w:p>
      <w:pPr>
        <w:pStyle w:val="FirstParagraph"/>
      </w:pPr>
      <w:r>
        <w:t xml:space="preserve">Returns runtime pool statistics for the active G3DB connection.</w:t>
      </w:r>
    </w:p>
    <w:bookmarkEnd w:id="3021"/>
    <w:bookmarkStart w:id="3022" w:name="prerequisites-142"/>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Server.CreateObject("G3DB")</w:t>
      </w:r>
      <w:r>
        <w:t xml:space="preserve">.</w:t>
      </w:r>
    </w:p>
    <w:bookmarkEnd w:id="3022"/>
    <w:bookmarkStart w:id="3023" w:name="syntax-298"/>
    <w:p>
      <w:pPr>
        <w:pStyle w:val="Heading2"/>
      </w:pPr>
      <w:r>
        <w:t xml:space="preserve">Syntax</w:t>
      </w:r>
    </w:p>
    <w:p>
      <w:pPr>
        <w:pStyle w:val="SourceCode"/>
      </w:pPr>
      <w:r>
        <w:rPr>
          <w:rStyle w:val="NormalTok"/>
        </w:rPr>
        <w:t xml:space="preserve">Set stats = db.Stats()</w:t>
      </w:r>
    </w:p>
    <w:bookmarkEnd w:id="3023"/>
    <w:bookmarkStart w:id="3024" w:name="parameters-202"/>
    <w:p>
      <w:pPr>
        <w:pStyle w:val="Heading2"/>
      </w:pPr>
      <w:r>
        <w:t xml:space="preserve">Parameters</w:t>
      </w:r>
    </w:p>
    <w:p>
      <w:pPr>
        <w:pStyle w:val="FirstParagraph"/>
      </w:pPr>
      <w:r>
        <w:t xml:space="preserve">None.</w:t>
      </w:r>
    </w:p>
    <w:bookmarkEnd w:id="3024"/>
    <w:bookmarkStart w:id="3025" w:name="return-value-222"/>
    <w:p>
      <w:pPr>
        <w:pStyle w:val="Heading2"/>
      </w:pPr>
      <w:r>
        <w:t xml:space="preserve">Return Value</w:t>
      </w:r>
    </w:p>
    <w:p>
      <w:pPr>
        <w:pStyle w:val="Compact"/>
        <w:numPr>
          <w:ilvl w:val="0"/>
          <w:numId w:val="1763"/>
        </w:numPr>
      </w:pPr>
      <w:r>
        <w:rPr>
          <w:b/>
          <w:bCs/>
        </w:rPr>
        <w:t xml:space="preserve">Scripting.Dictionary</w:t>
      </w:r>
      <w:r>
        <w:t xml:space="preserve">: Returned when connection is open.</w:t>
      </w:r>
    </w:p>
    <w:p>
      <w:pPr>
        <w:pStyle w:val="Compact"/>
        <w:numPr>
          <w:ilvl w:val="0"/>
          <w:numId w:val="1763"/>
        </w:numPr>
      </w:pPr>
      <w:r>
        <w:rPr>
          <w:b/>
          <w:bCs/>
        </w:rPr>
        <w:t xml:space="preserve">Empty</w:t>
      </w:r>
      <w:r>
        <w:t xml:space="preserve">: Returned when connection is not open.</w:t>
      </w:r>
    </w:p>
    <w:bookmarkEnd w:id="3025"/>
    <w:bookmarkStart w:id="3026" w:name="remarks-276"/>
    <w:p>
      <w:pPr>
        <w:pStyle w:val="Heading2"/>
      </w:pPr>
      <w:r>
        <w:t xml:space="preserve">Remarks</w:t>
      </w:r>
    </w:p>
    <w:p>
      <w:pPr>
        <w:pStyle w:val="Compact"/>
        <w:numPr>
          <w:ilvl w:val="0"/>
          <w:numId w:val="1764"/>
        </w:numPr>
      </w:pPr>
      <w:r>
        <w:t xml:space="preserve">Dictionary keys include</w:t>
      </w:r>
      <w:r>
        <w:t xml:space="preserve"> </w:t>
      </w:r>
      <w:r>
        <w:rPr>
          <w:rStyle w:val="VerbatimChar"/>
        </w:rPr>
        <w:t xml:space="preserve">MaxOpenConnections</w:t>
      </w:r>
      <w:r>
        <w:t xml:space="preserve">,</w:t>
      </w:r>
      <w:r>
        <w:t xml:space="preserve"> </w:t>
      </w:r>
      <w:r>
        <w:rPr>
          <w:rStyle w:val="VerbatimChar"/>
        </w:rPr>
        <w:t xml:space="preserve">OpenConnections</w:t>
      </w:r>
      <w:r>
        <w:t xml:space="preserve">,</w:t>
      </w:r>
      <w:r>
        <w:t xml:space="preserve"> </w:t>
      </w:r>
      <w:r>
        <w:rPr>
          <w:rStyle w:val="VerbatimChar"/>
        </w:rPr>
        <w:t xml:space="preserve">InUse</w:t>
      </w:r>
      <w:r>
        <w:t xml:space="preserve">,</w:t>
      </w:r>
      <w:r>
        <w:t xml:space="preserve"> </w:t>
      </w:r>
      <w:r>
        <w:rPr>
          <w:rStyle w:val="VerbatimChar"/>
        </w:rPr>
        <w:t xml:space="preserve">Idle</w:t>
      </w:r>
      <w:r>
        <w:t xml:space="preserve">,</w:t>
      </w:r>
      <w:r>
        <w:t xml:space="preserve"> </w:t>
      </w:r>
      <w:r>
        <w:rPr>
          <w:rStyle w:val="VerbatimChar"/>
        </w:rPr>
        <w:t xml:space="preserve">WaitCount</w:t>
      </w:r>
      <w:r>
        <w:t xml:space="preserve">,</w:t>
      </w:r>
      <w:r>
        <w:t xml:space="preserve"> </w:t>
      </w:r>
      <w:r>
        <w:rPr>
          <w:rStyle w:val="VerbatimChar"/>
        </w:rPr>
        <w:t xml:space="preserve">WaitDurationSeconds</w:t>
      </w:r>
      <w:r>
        <w:t xml:space="preserve">,</w:t>
      </w:r>
      <w:r>
        <w:t xml:space="preserve"> </w:t>
      </w:r>
      <w:r>
        <w:rPr>
          <w:rStyle w:val="VerbatimChar"/>
        </w:rPr>
        <w:t xml:space="preserve">MaxIdleClosed</w:t>
      </w:r>
      <w:r>
        <w:t xml:space="preserve">,</w:t>
      </w:r>
      <w:r>
        <w:t xml:space="preserve"> </w:t>
      </w:r>
      <w:r>
        <w:rPr>
          <w:rStyle w:val="VerbatimChar"/>
        </w:rPr>
        <w:t xml:space="preserve">MaxIdleTimeClosed</w:t>
      </w:r>
      <w:r>
        <w:t xml:space="preserve">, and</w:t>
      </w:r>
      <w:r>
        <w:t xml:space="preserve"> </w:t>
      </w:r>
      <w:r>
        <w:rPr>
          <w:rStyle w:val="VerbatimChar"/>
        </w:rPr>
        <w:t xml:space="preserve">MaxLifetimeClosed</w:t>
      </w:r>
      <w:r>
        <w:t xml:space="preserve">.</w:t>
      </w:r>
    </w:p>
    <w:bookmarkEnd w:id="3026"/>
    <w:bookmarkStart w:id="3027" w:name="example-223"/>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db</w:t>
      </w:r>
      <w:r>
        <w:rPr>
          <w:rStyle w:val="OtherTok"/>
        </w:rPr>
        <w:t xml:space="preserve">,</w:t>
      </w:r>
      <w:r>
        <w:rPr>
          <w:rStyle w:val="NormalTok"/>
        </w:rPr>
        <w:t xml:space="preserve"> stats</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"user:pass@tcp(localhost)/db"</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stats = db.Stats</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stats</w:t>
      </w:r>
      <w:r>
        <w:rPr>
          <w:rStyle w:val="OtherTok"/>
        </w:rPr>
        <w:t xml:space="preserve">)</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stats</w:t>
      </w:r>
      <w:r>
        <w:rPr>
          <w:rStyle w:val="OtherTok"/>
        </w:rPr>
        <w:t xml:space="preserve">(</w:t>
      </w:r>
      <w:r>
        <w:rPr>
          <w:rStyle w:val="StringTok"/>
        </w:rPr>
        <w:t xml:space="preserve">"OpenConnections"</w:t>
      </w:r>
      <w:r>
        <w:rPr>
          <w:rStyle w:val="OtherTok"/>
        </w:rPr>
        <w:t xml:space="preserve">)</w:t>
      </w:r>
      <w:r>
        <w:br/>
      </w:r>
      <w:r>
        <w:rPr>
          <w:rStyle w:val="NormalTok"/>
        </w:rPr>
        <w:t xml:space="preserve">  db.</w:t>
      </w:r>
      <w:r>
        <w:rPr>
          <w:rStyle w:val="KeywordTok"/>
        </w:rPr>
        <w:t xml:space="preserve">Close</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3027"/>
    <w:bookmarkStart w:id="3029" w:name="api-reference-145"/>
    <w:p>
      <w:pPr>
        <w:pStyle w:val="Heading2"/>
      </w:pPr>
      <w:r>
        <w:t xml:space="preserve">API Reference</w:t>
      </w:r>
    </w:p>
    <w:p>
      <w:pPr>
        <w:pStyle w:val="Compact"/>
        <w:numPr>
          <w:ilvl w:val="0"/>
          <w:numId w:val="1765"/>
        </w:numPr>
      </w:pPr>
      <w:r>
        <w:rPr>
          <w:b/>
          <w:bCs/>
        </w:rPr>
        <w:t xml:space="preserve">Object</w:t>
      </w:r>
      <w:r>
        <w:t xml:space="preserve">:</w:t>
      </w:r>
      <w:r>
        <w:t xml:space="preserve"> </w:t>
      </w:r>
      <w:r>
        <w:rPr>
          <w:rStyle w:val="VerbatimChar"/>
        </w:rPr>
        <w:t xml:space="preserve">G3DB</w:t>
      </w:r>
    </w:p>
    <w:p>
      <w:pPr>
        <w:pStyle w:val="Compact"/>
        <w:numPr>
          <w:ilvl w:val="0"/>
          <w:numId w:val="1765"/>
        </w:numPr>
      </w:pPr>
      <w:r>
        <w:rPr>
          <w:b/>
          <w:bCs/>
        </w:rPr>
        <w:t xml:space="preserve">Method</w:t>
      </w:r>
      <w:r>
        <w:t xml:space="preserve">:</w:t>
      </w:r>
      <w:r>
        <w:t xml:space="preserve"> </w:t>
      </w:r>
      <w:r>
        <w:rPr>
          <w:rStyle w:val="VerbatimChar"/>
        </w:rPr>
        <w:t xml:space="preserve">Stats</w:t>
      </w:r>
    </w:p>
    <w:p>
      <w:pPr>
        <w:pStyle w:val="Compact"/>
        <w:numPr>
          <w:ilvl w:val="0"/>
          <w:numId w:val="1765"/>
        </w:numPr>
      </w:pPr>
      <w:r>
        <w:rPr>
          <w:b/>
          <w:bCs/>
        </w:rPr>
        <w:t xml:space="preserve">Arguments</w:t>
      </w:r>
      <w:r>
        <w:t xml:space="preserve">: none</w:t>
      </w:r>
    </w:p>
    <w:p>
      <w:pPr>
        <w:pStyle w:val="Compact"/>
        <w:numPr>
          <w:ilvl w:val="0"/>
          <w:numId w:val="1765"/>
        </w:numPr>
      </w:pPr>
      <w:r>
        <w:rPr>
          <w:b/>
          <w:bCs/>
        </w:rPr>
        <w:t xml:space="preserve">Returns</w:t>
      </w:r>
      <w:r>
        <w:t xml:space="preserve">: Scripting.Dictionary on open connection, Empty otherwise</w:t>
      </w:r>
    </w:p>
    <w:bookmarkStart w:id="3028" w:name="properties-detail-2"/>
    <w:p>
      <w:pPr>
        <w:pStyle w:val="Heading3"/>
      </w:pPr>
      <w:r>
        <w:t xml:space="preserve">Properties Detail</w:t>
      </w:r>
    </w:p>
    <w:bookmarkEnd w:id="3028"/>
    <w:bookmarkEnd w:id="3029"/>
    <w:bookmarkEnd w:id="3030"/>
    <w:bookmarkStart w:id="3038" w:name="driver-property"/>
    <w:p>
      <w:pPr>
        <w:pStyle w:val="Heading1"/>
      </w:pPr>
      <w:r>
        <w:t xml:space="preserve">Driver Property</w:t>
      </w:r>
    </w:p>
    <w:bookmarkStart w:id="3031" w:name="overview-293"/>
    <w:p>
      <w:pPr>
        <w:pStyle w:val="Heading2"/>
      </w:pPr>
      <w:r>
        <w:t xml:space="preserve">Overview</w:t>
      </w:r>
    </w:p>
    <w:p>
      <w:pPr>
        <w:pStyle w:val="FirstParagraph"/>
      </w:pPr>
      <w:r>
        <w:t xml:space="preserve">Gets or sets the normalized database driver name.</w:t>
      </w:r>
    </w:p>
    <w:bookmarkEnd w:id="3031"/>
    <w:bookmarkStart w:id="3032" w:name="prerequisites-143"/>
    <w:p>
      <w:pPr>
        <w:pStyle w:val="Heading2"/>
      </w:pPr>
      <w:r>
        <w:t xml:space="preserve">Prerequisites</w:t>
      </w:r>
    </w:p>
    <w:p>
      <w:pPr>
        <w:pStyle w:val="SourceCode"/>
      </w:pPr>
      <w:r>
        <w:rPr>
          <w:rStyle w:val="NormalTok"/>
        </w:rPr>
        <w:t xml:space="preserve">Set db = Server.CreateObject("G3DB")</w:t>
      </w:r>
    </w:p>
    <w:bookmarkEnd w:id="3032"/>
    <w:bookmarkStart w:id="3033" w:name="syntax-299"/>
    <w:p>
      <w:pPr>
        <w:pStyle w:val="Heading2"/>
      </w:pPr>
      <w:r>
        <w:t xml:space="preserve">Syntax</w:t>
      </w:r>
    </w:p>
    <w:p>
      <w:pPr>
        <w:pStyle w:val="SourceCode"/>
      </w:pPr>
      <w:r>
        <w:rPr>
          <w:rStyle w:val="NormalTok"/>
        </w:rPr>
        <w:t xml:space="preserve">db.Driver = "mysql"</w:t>
      </w:r>
      <w:r>
        <w:br/>
      </w:r>
      <w:r>
        <w:rPr>
          <w:rStyle w:val="NormalTok"/>
        </w:rPr>
        <w:t xml:space="preserve">driverName = db.Driver</w:t>
      </w:r>
    </w:p>
    <w:bookmarkEnd w:id="3033"/>
    <w:bookmarkStart w:id="3034" w:name="return-value-223"/>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with the current normalized driver value.</w:t>
      </w:r>
    </w:p>
    <w:bookmarkEnd w:id="3034"/>
    <w:bookmarkStart w:id="3035" w:name="remarks-277"/>
    <w:p>
      <w:pPr>
        <w:pStyle w:val="Heading2"/>
      </w:pPr>
      <w:r>
        <w:t xml:space="preserve">Remarks</w:t>
      </w:r>
    </w:p>
    <w:p>
      <w:pPr>
        <w:pStyle w:val="Compact"/>
        <w:numPr>
          <w:ilvl w:val="0"/>
          <w:numId w:val="1766"/>
        </w:numPr>
      </w:pPr>
      <w:r>
        <w:t xml:space="preserve">This property is read/write.</w:t>
      </w:r>
    </w:p>
    <w:p>
      <w:pPr>
        <w:pStyle w:val="Compact"/>
        <w:numPr>
          <w:ilvl w:val="0"/>
          <w:numId w:val="1766"/>
        </w:numPr>
      </w:pPr>
      <w:r>
        <w:t xml:space="preserve">Assigned values are normalized to canonical driver names.</w:t>
      </w:r>
    </w:p>
    <w:bookmarkEnd w:id="3035"/>
    <w:bookmarkStart w:id="3036" w:name="example-224"/>
    <w:p>
      <w:pPr>
        <w:pStyle w:val="Heading2"/>
      </w:pPr>
      <w:r>
        <w:t xml:space="preserve">Example</w:t>
      </w:r>
    </w:p>
    <w:p>
      <w:pPr>
        <w:pStyle w:val="SourceCode"/>
      </w:pPr>
      <w:r>
        <w:rPr>
          <w:rStyle w:val="DataTypeTok"/>
        </w:rPr>
        <w:t xml:space="preserve">&lt;%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NormalTok"/>
        </w:rPr>
        <w:t xml:space="preserve">db.Driver = </w:t>
      </w:r>
      <w:r>
        <w:rPr>
          <w:rStyle w:val="StringTok"/>
        </w:rPr>
        <w:t xml:space="preserve">"postgresql"</w:t>
      </w:r>
      <w:r>
        <w:br/>
      </w:r>
      <w:r>
        <w:rPr>
          <w:rStyle w:val="FunctionTok"/>
        </w:rPr>
        <w:t xml:space="preserve">Response</w:t>
      </w:r>
      <w:r>
        <w:rPr>
          <w:rStyle w:val="NormalTok"/>
        </w:rPr>
        <w:t xml:space="preserve">.</w:t>
      </w:r>
      <w:r>
        <w:rPr>
          <w:rStyle w:val="FunctionTok"/>
        </w:rPr>
        <w:t xml:space="preserve">Write</w:t>
      </w:r>
      <w:r>
        <w:rPr>
          <w:rStyle w:val="NormalTok"/>
        </w:rPr>
        <w:t xml:space="preserve"> db.Driver</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3036"/>
    <w:bookmarkStart w:id="3037" w:name="api-reference-146"/>
    <w:p>
      <w:pPr>
        <w:pStyle w:val="Heading2"/>
      </w:pPr>
      <w:r>
        <w:t xml:space="preserve">API Reference</w:t>
      </w:r>
    </w:p>
    <w:p>
      <w:pPr>
        <w:pStyle w:val="Compact"/>
        <w:numPr>
          <w:ilvl w:val="0"/>
          <w:numId w:val="1767"/>
        </w:numPr>
      </w:pPr>
      <w:r>
        <w:rPr>
          <w:b/>
          <w:bCs/>
        </w:rPr>
        <w:t xml:space="preserve">Type:</w:t>
      </w:r>
      <w:r>
        <w:t xml:space="preserve"> </w:t>
      </w:r>
      <w:r>
        <w:t xml:space="preserve">String</w:t>
      </w:r>
    </w:p>
    <w:p>
      <w:pPr>
        <w:pStyle w:val="Compact"/>
        <w:numPr>
          <w:ilvl w:val="0"/>
          <w:numId w:val="1767"/>
        </w:numPr>
      </w:pPr>
      <w:r>
        <w:rPr>
          <w:b/>
          <w:bCs/>
        </w:rPr>
        <w:t xml:space="preserve">Access:</w:t>
      </w:r>
      <w:r>
        <w:t xml:space="preserve"> </w:t>
      </w:r>
      <w:r>
        <w:t xml:space="preserve">Read/write</w:t>
      </w:r>
    </w:p>
    <w:bookmarkEnd w:id="3037"/>
    <w:bookmarkEnd w:id="3038"/>
    <w:bookmarkStart w:id="3046" w:name="dsn-property"/>
    <w:p>
      <w:pPr>
        <w:pStyle w:val="Heading1"/>
      </w:pPr>
      <w:r>
        <w:t xml:space="preserve">DSN Property</w:t>
      </w:r>
    </w:p>
    <w:bookmarkStart w:id="3039" w:name="overview-294"/>
    <w:p>
      <w:pPr>
        <w:pStyle w:val="Heading2"/>
      </w:pPr>
      <w:r>
        <w:t xml:space="preserve">Overview</w:t>
      </w:r>
    </w:p>
    <w:p>
      <w:pPr>
        <w:pStyle w:val="FirstParagraph"/>
      </w:pPr>
      <w:r>
        <w:t xml:space="preserve">Gets or sets the connection string value stored in the G3DB object.</w:t>
      </w:r>
    </w:p>
    <w:bookmarkEnd w:id="3039"/>
    <w:bookmarkStart w:id="3040" w:name="prerequisites-144"/>
    <w:p>
      <w:pPr>
        <w:pStyle w:val="Heading2"/>
      </w:pPr>
      <w:r>
        <w:t xml:space="preserve">Prerequisites</w:t>
      </w:r>
    </w:p>
    <w:p>
      <w:pPr>
        <w:pStyle w:val="SourceCode"/>
      </w:pPr>
      <w:r>
        <w:rPr>
          <w:rStyle w:val="NormalTok"/>
        </w:rPr>
        <w:t xml:space="preserve">Set db = Server.CreateObject("G3DB")</w:t>
      </w:r>
    </w:p>
    <w:bookmarkEnd w:id="3040"/>
    <w:bookmarkStart w:id="3041" w:name="syntax-300"/>
    <w:p>
      <w:pPr>
        <w:pStyle w:val="Heading2"/>
      </w:pPr>
      <w:r>
        <w:t xml:space="preserve">Syntax</w:t>
      </w:r>
    </w:p>
    <w:p>
      <w:pPr>
        <w:pStyle w:val="SourceCode"/>
      </w:pPr>
      <w:r>
        <w:rPr>
          <w:rStyle w:val="NormalTok"/>
        </w:rPr>
        <w:t xml:space="preserve">db.DSN = "user:pass@tcp(localhost:3306)/app"</w:t>
      </w:r>
      <w:r>
        <w:br/>
      </w:r>
      <w:r>
        <w:rPr>
          <w:rStyle w:val="NormalTok"/>
        </w:rPr>
        <w:t xml:space="preserve">currentDsn = db.DSN</w:t>
      </w:r>
    </w:p>
    <w:bookmarkEnd w:id="3041"/>
    <w:bookmarkStart w:id="3042" w:name="return-value-224"/>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with the current DSN value.</w:t>
      </w:r>
    </w:p>
    <w:bookmarkEnd w:id="3042"/>
    <w:bookmarkStart w:id="3043" w:name="remarks-278"/>
    <w:p>
      <w:pPr>
        <w:pStyle w:val="Heading2"/>
      </w:pPr>
      <w:r>
        <w:t xml:space="preserve">Remarks</w:t>
      </w:r>
    </w:p>
    <w:p>
      <w:pPr>
        <w:pStyle w:val="Compact"/>
        <w:numPr>
          <w:ilvl w:val="0"/>
          <w:numId w:val="1768"/>
        </w:numPr>
      </w:pPr>
      <w:r>
        <w:t xml:space="preserve">This property is read/write.</w:t>
      </w:r>
    </w:p>
    <w:p>
      <w:pPr>
        <w:pStyle w:val="Compact"/>
        <w:numPr>
          <w:ilvl w:val="0"/>
          <w:numId w:val="1768"/>
        </w:numPr>
      </w:pPr>
      <w:r>
        <w:rPr>
          <w:rStyle w:val="VerbatimChar"/>
        </w:rPr>
        <w:t xml:space="preserve">Open(driver, dsn)</w:t>
      </w:r>
      <w:r>
        <w:t xml:space="preserve"> </w:t>
      </w:r>
      <w:r>
        <w:t xml:space="preserve">also updates this property when open succeeds.</w:t>
      </w:r>
    </w:p>
    <w:bookmarkEnd w:id="3043"/>
    <w:bookmarkStart w:id="3044" w:name="example-225"/>
    <w:p>
      <w:pPr>
        <w:pStyle w:val="Heading2"/>
      </w:pPr>
      <w:r>
        <w:t xml:space="preserve">Example</w:t>
      </w:r>
    </w:p>
    <w:p>
      <w:pPr>
        <w:pStyle w:val="SourceCode"/>
      </w:pPr>
      <w:r>
        <w:rPr>
          <w:rStyle w:val="DataTypeTok"/>
        </w:rPr>
        <w:t xml:space="preserve">&lt;%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NormalTok"/>
        </w:rPr>
        <w:t xml:space="preserve">db.DSN = </w:t>
      </w:r>
      <w:r>
        <w:rPr>
          <w:rStyle w:val="StringTok"/>
        </w:rPr>
        <w:t xml:space="preserve">"data.db"</w:t>
      </w:r>
      <w:r>
        <w:br/>
      </w:r>
      <w:r>
        <w:rPr>
          <w:rStyle w:val="FunctionTok"/>
        </w:rPr>
        <w:t xml:space="preserve">Response</w:t>
      </w:r>
      <w:r>
        <w:rPr>
          <w:rStyle w:val="NormalTok"/>
        </w:rPr>
        <w:t xml:space="preserve">.</w:t>
      </w:r>
      <w:r>
        <w:rPr>
          <w:rStyle w:val="FunctionTok"/>
        </w:rPr>
        <w:t xml:space="preserve">Write</w:t>
      </w:r>
      <w:r>
        <w:rPr>
          <w:rStyle w:val="NormalTok"/>
        </w:rPr>
        <w:t xml:space="preserve"> db.DSN</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3044"/>
    <w:bookmarkStart w:id="3045" w:name="api-reference-147"/>
    <w:p>
      <w:pPr>
        <w:pStyle w:val="Heading2"/>
      </w:pPr>
      <w:r>
        <w:t xml:space="preserve">API Reference</w:t>
      </w:r>
    </w:p>
    <w:p>
      <w:pPr>
        <w:pStyle w:val="Compact"/>
        <w:numPr>
          <w:ilvl w:val="0"/>
          <w:numId w:val="1769"/>
        </w:numPr>
      </w:pPr>
      <w:r>
        <w:rPr>
          <w:b/>
          <w:bCs/>
        </w:rPr>
        <w:t xml:space="preserve">Type:</w:t>
      </w:r>
      <w:r>
        <w:t xml:space="preserve"> </w:t>
      </w:r>
      <w:r>
        <w:t xml:space="preserve">String</w:t>
      </w:r>
    </w:p>
    <w:p>
      <w:pPr>
        <w:pStyle w:val="Compact"/>
        <w:numPr>
          <w:ilvl w:val="0"/>
          <w:numId w:val="1769"/>
        </w:numPr>
      </w:pPr>
      <w:r>
        <w:rPr>
          <w:b/>
          <w:bCs/>
        </w:rPr>
        <w:t xml:space="preserve">Access:</w:t>
      </w:r>
      <w:r>
        <w:t xml:space="preserve"> </w:t>
      </w:r>
      <w:r>
        <w:t xml:space="preserve">Read/write</w:t>
      </w:r>
    </w:p>
    <w:bookmarkEnd w:id="3045"/>
    <w:bookmarkEnd w:id="3046"/>
    <w:bookmarkStart w:id="3054" w:name="isopen-property"/>
    <w:p>
      <w:pPr>
        <w:pStyle w:val="Heading1"/>
      </w:pPr>
      <w:r>
        <w:t xml:space="preserve">IsOpen Property</w:t>
      </w:r>
    </w:p>
    <w:bookmarkStart w:id="3047" w:name="overview-295"/>
    <w:p>
      <w:pPr>
        <w:pStyle w:val="Heading2"/>
      </w:pPr>
      <w:r>
        <w:t xml:space="preserve">Overview</w:t>
      </w:r>
    </w:p>
    <w:p>
      <w:pPr>
        <w:pStyle w:val="FirstParagraph"/>
      </w:pPr>
      <w:r>
        <w:t xml:space="preserve">Reports whether the database connection pool is currently open.</w:t>
      </w:r>
    </w:p>
    <w:bookmarkEnd w:id="3047"/>
    <w:bookmarkStart w:id="3048" w:name="prerequisites-145"/>
    <w:p>
      <w:pPr>
        <w:pStyle w:val="Heading2"/>
      </w:pPr>
      <w:r>
        <w:t xml:space="preserve">Prerequisites</w:t>
      </w:r>
    </w:p>
    <w:p>
      <w:pPr>
        <w:pStyle w:val="SourceCode"/>
      </w:pPr>
      <w:r>
        <w:rPr>
          <w:rStyle w:val="NormalTok"/>
        </w:rPr>
        <w:t xml:space="preserve">Set db = Server.CreateObject("G3DB")</w:t>
      </w:r>
    </w:p>
    <w:bookmarkEnd w:id="3048"/>
    <w:bookmarkStart w:id="3049" w:name="syntax-301"/>
    <w:p>
      <w:pPr>
        <w:pStyle w:val="Heading2"/>
      </w:pPr>
      <w:r>
        <w:t xml:space="preserve">Syntax</w:t>
      </w:r>
    </w:p>
    <w:p>
      <w:pPr>
        <w:pStyle w:val="SourceCode"/>
      </w:pPr>
      <w:r>
        <w:rPr>
          <w:rStyle w:val="NormalTok"/>
        </w:rPr>
        <w:t xml:space="preserve">status = db.IsOpen</w:t>
      </w:r>
    </w:p>
    <w:bookmarkEnd w:id="3049"/>
    <w:bookmarkStart w:id="3050" w:name="return-value-225"/>
    <w:p>
      <w:pPr>
        <w:pStyle w:val="Heading2"/>
      </w:pPr>
      <w:r>
        <w:t xml:space="preserve">Return Value</w:t>
      </w:r>
    </w:p>
    <w:p>
      <w:pPr>
        <w:pStyle w:val="FirstParagraph"/>
      </w:pPr>
      <w:r>
        <w:t xml:space="preserve">Returns a</w:t>
      </w:r>
      <w:r>
        <w:t xml:space="preserve"> </w:t>
      </w:r>
      <w:r>
        <w:rPr>
          <w:b/>
          <w:bCs/>
        </w:rPr>
        <w:t xml:space="preserve">Boolean</w:t>
      </w:r>
      <w:r>
        <w:t xml:space="preserve">:</w:t>
      </w:r>
      <w:r>
        <w:t xml:space="preserve"> </w:t>
      </w:r>
      <w:r>
        <w:t xml:space="preserve">-</w:t>
      </w:r>
      <w:r>
        <w:t xml:space="preserve"> </w:t>
      </w:r>
      <w:r>
        <w:rPr>
          <w:b/>
          <w:bCs/>
        </w:rPr>
        <w:t xml:space="preserve">True</w:t>
      </w:r>
      <w:r>
        <w:t xml:space="preserve"> </w:t>
      </w:r>
      <w:r>
        <w:t xml:space="preserve">when connection is open.</w:t>
      </w:r>
      <w:r>
        <w:t xml:space="preserve"> </w:t>
      </w:r>
      <w:r>
        <w:t xml:space="preserve">-</w:t>
      </w:r>
      <w:r>
        <w:t xml:space="preserve"> </w:t>
      </w:r>
      <w:r>
        <w:rPr>
          <w:b/>
          <w:bCs/>
        </w:rPr>
        <w:t xml:space="preserve">False</w:t>
      </w:r>
      <w:r>
        <w:t xml:space="preserve"> </w:t>
      </w:r>
      <w:r>
        <w:t xml:space="preserve">when connection is closed or not initialized.</w:t>
      </w:r>
    </w:p>
    <w:bookmarkEnd w:id="3050"/>
    <w:bookmarkStart w:id="3051" w:name="remarks-279"/>
    <w:p>
      <w:pPr>
        <w:pStyle w:val="Heading2"/>
      </w:pPr>
      <w:r>
        <w:t xml:space="preserve">Remarks</w:t>
      </w:r>
    </w:p>
    <w:p>
      <w:pPr>
        <w:pStyle w:val="Compact"/>
        <w:numPr>
          <w:ilvl w:val="0"/>
          <w:numId w:val="1770"/>
        </w:numPr>
      </w:pPr>
      <w:r>
        <w:t xml:space="preserve">This property is read-only.</w:t>
      </w:r>
    </w:p>
    <w:bookmarkEnd w:id="3051"/>
    <w:bookmarkStart w:id="3052" w:name="example-226"/>
    <w:p>
      <w:pPr>
        <w:pStyle w:val="Heading2"/>
      </w:pPr>
      <w:r>
        <w:t xml:space="preserve">Example</w:t>
      </w:r>
    </w:p>
    <w:p>
      <w:pPr>
        <w:pStyle w:val="SourceCode"/>
      </w:pPr>
      <w:r>
        <w:rPr>
          <w:rStyle w:val="DataTypeTok"/>
        </w:rPr>
        <w:t xml:space="preserve">&lt;%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db.IsOpen</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3052"/>
    <w:bookmarkStart w:id="3053" w:name="api-reference-148"/>
    <w:p>
      <w:pPr>
        <w:pStyle w:val="Heading2"/>
      </w:pPr>
      <w:r>
        <w:t xml:space="preserve">API Reference</w:t>
      </w:r>
    </w:p>
    <w:p>
      <w:pPr>
        <w:pStyle w:val="Compact"/>
        <w:numPr>
          <w:ilvl w:val="0"/>
          <w:numId w:val="1771"/>
        </w:numPr>
      </w:pPr>
      <w:r>
        <w:rPr>
          <w:b/>
          <w:bCs/>
        </w:rPr>
        <w:t xml:space="preserve">Type:</w:t>
      </w:r>
      <w:r>
        <w:t xml:space="preserve"> </w:t>
      </w:r>
      <w:r>
        <w:t xml:space="preserve">Boolean</w:t>
      </w:r>
    </w:p>
    <w:p>
      <w:pPr>
        <w:pStyle w:val="Compact"/>
        <w:numPr>
          <w:ilvl w:val="0"/>
          <w:numId w:val="1771"/>
        </w:numPr>
      </w:pPr>
      <w:r>
        <w:rPr>
          <w:b/>
          <w:bCs/>
        </w:rPr>
        <w:t xml:space="preserve">Access:</w:t>
      </w:r>
      <w:r>
        <w:t xml:space="preserve"> </w:t>
      </w:r>
      <w:r>
        <w:t xml:space="preserve">Read-only</w:t>
      </w:r>
    </w:p>
    <w:bookmarkEnd w:id="3053"/>
    <w:bookmarkEnd w:id="3054"/>
    <w:bookmarkStart w:id="3063" w:name="lasterror-property"/>
    <w:p>
      <w:pPr>
        <w:pStyle w:val="Heading1"/>
      </w:pPr>
      <w:r>
        <w:t xml:space="preserve">LastError Property</w:t>
      </w:r>
    </w:p>
    <w:bookmarkStart w:id="3055" w:name="overview-296"/>
    <w:p>
      <w:pPr>
        <w:pStyle w:val="Heading2"/>
      </w:pPr>
      <w:r>
        <w:t xml:space="preserve">Overview</w:t>
      </w:r>
    </w:p>
    <w:p>
      <w:pPr>
        <w:pStyle w:val="FirstParagraph"/>
      </w:pPr>
      <w:r>
        <w:t xml:space="preserve">Returns the latest error message recorded by the G3DB object.</w:t>
      </w:r>
    </w:p>
    <w:bookmarkEnd w:id="3055"/>
    <w:bookmarkStart w:id="3056" w:name="prerequisites-146"/>
    <w:p>
      <w:pPr>
        <w:pStyle w:val="Heading2"/>
      </w:pPr>
      <w:r>
        <w:t xml:space="preserve">Prerequisites</w:t>
      </w:r>
    </w:p>
    <w:p>
      <w:pPr>
        <w:pStyle w:val="SourceCode"/>
      </w:pPr>
      <w:r>
        <w:rPr>
          <w:rStyle w:val="NormalTok"/>
        </w:rPr>
        <w:t xml:space="preserve">Set db = Server.CreateObject("G3DB")</w:t>
      </w:r>
    </w:p>
    <w:bookmarkEnd w:id="3056"/>
    <w:bookmarkStart w:id="3057" w:name="syntax-302"/>
    <w:p>
      <w:pPr>
        <w:pStyle w:val="Heading2"/>
      </w:pPr>
      <w:r>
        <w:t xml:space="preserve">Syntax</w:t>
      </w:r>
    </w:p>
    <w:p>
      <w:pPr>
        <w:pStyle w:val="SourceCode"/>
      </w:pPr>
      <w:r>
        <w:rPr>
          <w:rStyle w:val="NormalTok"/>
        </w:rPr>
        <w:t xml:space="preserve">errText = db.LastError</w:t>
      </w:r>
    </w:p>
    <w:bookmarkEnd w:id="3057"/>
    <w:bookmarkStart w:id="3058" w:name="return-value-226"/>
    <w:p>
      <w:pPr>
        <w:pStyle w:val="Heading2"/>
      </w:pPr>
      <w:r>
        <w:t xml:space="preserve">Return Value</w:t>
      </w:r>
    </w:p>
    <w:p>
      <w:pPr>
        <w:pStyle w:val="FirstParagraph"/>
      </w:pPr>
      <w:r>
        <w:t xml:space="preserve">Returns a</w:t>
      </w:r>
      <w:r>
        <w:t xml:space="preserve"> </w:t>
      </w:r>
      <w:r>
        <w:rPr>
          <w:b/>
          <w:bCs/>
        </w:rPr>
        <w:t xml:space="preserve">String</w:t>
      </w:r>
      <w:r>
        <w:t xml:space="preserve">:</w:t>
      </w:r>
      <w:r>
        <w:t xml:space="preserve"> </w:t>
      </w:r>
      <w:r>
        <w:t xml:space="preserve">- Error text when an operation fails.</w:t>
      </w:r>
      <w:r>
        <w:t xml:space="preserve"> </w:t>
      </w:r>
      <w:r>
        <w:t xml:space="preserve">- Empty string when no error is currently stored.</w:t>
      </w:r>
    </w:p>
    <w:bookmarkEnd w:id="3058"/>
    <w:bookmarkStart w:id="3059" w:name="remarks-280"/>
    <w:p>
      <w:pPr>
        <w:pStyle w:val="Heading2"/>
      </w:pPr>
      <w:r>
        <w:t xml:space="preserve">Remarks</w:t>
      </w:r>
    </w:p>
    <w:p>
      <w:pPr>
        <w:pStyle w:val="Compact"/>
        <w:numPr>
          <w:ilvl w:val="0"/>
          <w:numId w:val="1772"/>
        </w:numPr>
      </w:pPr>
      <w:r>
        <w:t xml:space="preserve">This property is read-only.</w:t>
      </w:r>
    </w:p>
    <w:p>
      <w:pPr>
        <w:pStyle w:val="Compact"/>
        <w:numPr>
          <w:ilvl w:val="0"/>
          <w:numId w:val="1772"/>
        </w:numPr>
      </w:pPr>
      <w:r>
        <w:t xml:space="preserve">Same value is returned by</w:t>
      </w:r>
      <w:r>
        <w:t xml:space="preserve"> </w:t>
      </w:r>
      <w:r>
        <w:rPr>
          <w:rStyle w:val="VerbatimChar"/>
        </w:rPr>
        <w:t xml:space="preserve">GetError()</w:t>
      </w:r>
      <w:r>
        <w:t xml:space="preserve">.</w:t>
      </w:r>
    </w:p>
    <w:bookmarkEnd w:id="3059"/>
    <w:bookmarkStart w:id="3060" w:name="example-227"/>
    <w:p>
      <w:pPr>
        <w:pStyle w:val="Heading2"/>
      </w:pPr>
      <w:r>
        <w:t xml:space="preserve">Example</w:t>
      </w:r>
    </w:p>
    <w:p>
      <w:pPr>
        <w:pStyle w:val="SourceCode"/>
      </w:pPr>
      <w:r>
        <w:rPr>
          <w:rStyle w:val="DataTypeTok"/>
        </w:rPr>
        <w:t xml:space="preserve">&lt;%</w:t>
      </w:r>
      <w:r>
        <w:br/>
      </w:r>
      <w:r>
        <w:rPr>
          <w:rStyle w:val="KeywordTok"/>
        </w:rPr>
        <w:t xml:space="preserve">Dim</w:t>
      </w:r>
      <w:r>
        <w:rPr>
          <w:rStyle w:val="NormalTok"/>
        </w:rPr>
        <w:t xml:space="preserve"> db</w:t>
      </w:r>
      <w:r>
        <w:br/>
      </w:r>
      <w:r>
        <w:rPr>
          <w:rStyle w:val="KeywordTok"/>
        </w:rPr>
        <w:t xml:space="preserve">Set</w:t>
      </w:r>
      <w:r>
        <w:rPr>
          <w:rStyle w:val="NormalTok"/>
        </w:rPr>
        <w:t xml:space="preserve"> db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"G3DB"</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db.</w:t>
      </w:r>
      <w:r>
        <w:rPr>
          <w:rStyle w:val="KeywordTok"/>
        </w:rPr>
        <w:t xml:space="preserve">Open</w:t>
      </w:r>
      <w:r>
        <w:rPr>
          <w:rStyle w:val="OtherTok"/>
        </w:rPr>
        <w:t xml:space="preserve">(</w:t>
      </w:r>
      <w:r>
        <w:rPr>
          <w:rStyle w:val="StringTok"/>
        </w:rPr>
        <w:t xml:space="preserve">"mysql"</w:t>
      </w:r>
      <w:r>
        <w:rPr>
          <w:rStyle w:val="OtherTok"/>
        </w:rPr>
        <w:t xml:space="preserve">,</w:t>
      </w:r>
      <w:r>
        <w:rPr>
          <w:rStyle w:val="NormalTok"/>
        </w:rPr>
        <w:t xml:space="preserve"> </w:t>
      </w:r>
      <w:r>
        <w:rPr>
          <w:rStyle w:val="StringTok"/>
        </w:rPr>
        <w:t xml:space="preserve">"bad"</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db.LastError</w:t>
      </w:r>
      <w:r>
        <w:br/>
      </w:r>
      <w:r>
        <w:rPr>
          <w:rStyle w:val="ControlFlowTok"/>
        </w:rPr>
        <w:t xml:space="preserve">End If</w:t>
      </w:r>
      <w:r>
        <w:br/>
      </w:r>
      <w:r>
        <w:br/>
      </w:r>
      <w:r>
        <w:rPr>
          <w:rStyle w:val="KeywordTok"/>
        </w:rPr>
        <w:t xml:space="preserve">Set</w:t>
      </w:r>
      <w:r>
        <w:rPr>
          <w:rStyle w:val="NormalTok"/>
        </w:rPr>
        <w:t xml:space="preserve"> db = </w:t>
      </w:r>
      <w:r>
        <w:rPr>
          <w:rStyle w:val="KeywordTok"/>
        </w:rPr>
        <w:t xml:space="preserve">Nothing</w:t>
      </w:r>
      <w:r>
        <w:br/>
      </w:r>
      <w:r>
        <w:rPr>
          <w:rStyle w:val="DataTypeTok"/>
        </w:rPr>
        <w:t xml:space="preserve">%&gt;</w:t>
      </w:r>
    </w:p>
    <w:bookmarkEnd w:id="3060"/>
    <w:bookmarkStart w:id="3061" w:name="api-reference-149"/>
    <w:p>
      <w:pPr>
        <w:pStyle w:val="Heading2"/>
      </w:pPr>
      <w:r>
        <w:t xml:space="preserve">API Reference</w:t>
      </w:r>
    </w:p>
    <w:p>
      <w:pPr>
        <w:pStyle w:val="Compact"/>
        <w:numPr>
          <w:ilvl w:val="0"/>
          <w:numId w:val="1773"/>
        </w:numPr>
      </w:pPr>
      <w:r>
        <w:rPr>
          <w:b/>
          <w:bCs/>
        </w:rPr>
        <w:t xml:space="preserve">Type:</w:t>
      </w:r>
      <w:r>
        <w:t xml:space="preserve"> </w:t>
      </w:r>
      <w:r>
        <w:t xml:space="preserve">String</w:t>
      </w:r>
    </w:p>
    <w:p>
      <w:pPr>
        <w:pStyle w:val="Compact"/>
        <w:numPr>
          <w:ilvl w:val="0"/>
          <w:numId w:val="1773"/>
        </w:numPr>
      </w:pPr>
      <w:r>
        <w:rPr>
          <w:b/>
          <w:bCs/>
        </w:rPr>
        <w:t xml:space="preserve">Access:</w:t>
      </w:r>
      <w:r>
        <w:t xml:space="preserve"> </w:t>
      </w:r>
      <w:r>
        <w:t xml:space="preserve">Read-only</w:t>
      </w:r>
    </w:p>
    <w:bookmarkEnd w:id="3061"/>
    <w:bookmarkStart w:id="3062" w:name="g3http"/>
    <w:p>
      <w:pPr>
        <w:pStyle w:val="Heading2"/>
      </w:pPr>
      <w:r>
        <w:t xml:space="preserve">G3HTTP</w:t>
      </w:r>
    </w:p>
    <w:bookmarkEnd w:id="3062"/>
    <w:bookmarkEnd w:id="3063"/>
    <w:bookmarkStart w:id="3071" w:name="use-the-g3http-library"/>
    <w:p>
      <w:pPr>
        <w:pStyle w:val="Heading1"/>
      </w:pPr>
      <w:r>
        <w:t xml:space="preserve">Use the G3HTTP Library</w:t>
      </w:r>
    </w:p>
    <w:bookmarkStart w:id="3064" w:name="overview-297"/>
    <w:p>
      <w:pPr>
        <w:pStyle w:val="Heading2"/>
      </w:pPr>
      <w:r>
        <w:t xml:space="preserve">Overview</w:t>
      </w:r>
    </w:p>
    <w:p>
      <w:pPr>
        <w:pStyle w:val="FirstParagraph"/>
      </w:pPr>
      <w:r>
        <w:t xml:space="preserve">Use</w:t>
      </w:r>
      <w:r>
        <w:t xml:space="preserve"> </w:t>
      </w:r>
      <w:r>
        <w:rPr>
          <w:b/>
          <w:bCs/>
        </w:rPr>
        <w:t xml:space="preserve">G3HTTP</w:t>
      </w:r>
      <w:r>
        <w:t xml:space="preserve"> </w:t>
      </w:r>
      <w:r>
        <w:t xml:space="preserve">to execute outbound HTTP requests from G3Pix AxonASP scripts. The library supports configurable HTTP methods, optional request bodies, and automatic JSON parsing when the response content type is JSON.</w:t>
      </w:r>
    </w:p>
    <w:bookmarkEnd w:id="3064"/>
    <w:bookmarkStart w:id="3065" w:name="prerequisites-147"/>
    <w:p>
      <w:pPr>
        <w:pStyle w:val="Heading2"/>
      </w:pPr>
      <w:r>
        <w:t xml:space="preserve">Prerequisites</w:t>
      </w:r>
    </w:p>
    <w:p>
      <w:pPr>
        <w:pStyle w:val="Compact"/>
        <w:numPr>
          <w:ilvl w:val="0"/>
          <w:numId w:val="1774"/>
        </w:numPr>
      </w:pPr>
      <w:r>
        <w:t xml:space="preserve">Outbound network access to the destination host.</w:t>
      </w:r>
    </w:p>
    <w:p>
      <w:pPr>
        <w:pStyle w:val="Compact"/>
        <w:numPr>
          <w:ilvl w:val="0"/>
          <w:numId w:val="1774"/>
        </w:numPr>
      </w:pPr>
      <w:r>
        <w:t xml:space="preserve">Valid TLS trust configuration for HTTPS endpoints.</w:t>
      </w:r>
    </w:p>
    <w:p>
      <w:pPr>
        <w:pStyle w:val="Compact"/>
        <w:numPr>
          <w:ilvl w:val="0"/>
          <w:numId w:val="1774"/>
        </w:numPr>
      </w:pPr>
      <w:r>
        <w:t xml:space="preserve">Create the object with the primary ProgID:</w:t>
      </w:r>
    </w:p>
    <w:p>
      <w:pPr>
        <w:pStyle w:val="SourceCode"/>
      </w:pPr>
      <w:r>
        <w:rPr>
          <w:rStyle w:val="NormalTok"/>
        </w:rPr>
        <w:t xml:space="preserve">Dim http</w:t>
      </w:r>
      <w:r>
        <w:br/>
      </w:r>
      <w:r>
        <w:rPr>
          <w:rStyle w:val="NormalTok"/>
        </w:rPr>
        <w:t xml:space="preserve">Set http = Server.CreateObject("G3HTTP")</w:t>
      </w:r>
    </w:p>
    <w:p>
      <w:pPr>
        <w:pStyle w:val="SourceCode"/>
      </w:pPr>
      <w:r>
        <w:rPr>
          <w:rStyle w:val="KeywordTok"/>
        </w:rPr>
        <w:t xml:space="preserve">var</w:t>
      </w:r>
      <w:r>
        <w:rPr>
          <w:rStyle w:val="NormalTok"/>
        </w:rPr>
        <w:t xml:space="preserve"> http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"G3HTTP"</w:t>
      </w:r>
      <w:r>
        <w:rPr>
          <w:rStyle w:val="NormalTok"/>
        </w:rPr>
        <w:t xml:space="preserve">)</w:t>
      </w:r>
      <w:r>
        <w:rPr>
          <w:rStyle w:val="OperatorTok"/>
        </w:rPr>
        <w:t xml:space="preserve">;</w:t>
      </w:r>
    </w:p>
    <w:bookmarkEnd w:id="3065"/>
    <w:bookmarkStart w:id="3066" w:name="how-it-works-19"/>
    <w:p>
      <w:pPr>
        <w:pStyle w:val="Heading2"/>
      </w:pPr>
      <w:r>
        <w:t xml:space="preserve">How It Works</w:t>
      </w:r>
    </w:p>
    <w:p>
      <w:pPr>
        <w:pStyle w:val="Compact"/>
        <w:numPr>
          <w:ilvl w:val="0"/>
          <w:numId w:val="1775"/>
        </w:numPr>
      </w:pPr>
      <w:r>
        <w:rPr>
          <w:rStyle w:val="VerbatimChar"/>
        </w:rPr>
        <w:t xml:space="preserve">Fetch</w:t>
      </w:r>
      <w:r>
        <w:t xml:space="preserve"> </w:t>
      </w:r>
      <w:r>
        <w:t xml:space="preserve">and</w:t>
      </w:r>
      <w:r>
        <w:t xml:space="preserve"> </w:t>
      </w:r>
      <w:r>
        <w:rPr>
          <w:rStyle w:val="VerbatimChar"/>
        </w:rPr>
        <w:t xml:space="preserve">Request</w:t>
      </w:r>
      <w:r>
        <w:t xml:space="preserve"> </w:t>
      </w:r>
      <w:r>
        <w:t xml:space="preserve">share the same implementation.</w:t>
      </w:r>
    </w:p>
    <w:p>
      <w:pPr>
        <w:pStyle w:val="Compact"/>
        <w:numPr>
          <w:ilvl w:val="0"/>
          <w:numId w:val="1775"/>
        </w:numPr>
      </w:pPr>
      <w:r>
        <w:t xml:space="preserve">Default HTTP method is</w:t>
      </w:r>
      <w:r>
        <w:t xml:space="preserve"> </w:t>
      </w:r>
      <w:r>
        <w:rPr>
          <w:rStyle w:val="VerbatimChar"/>
        </w:rPr>
        <w:t xml:space="preserve">GET</w:t>
      </w:r>
      <w:r>
        <w:t xml:space="preserve"> </w:t>
      </w:r>
      <w:r>
        <w:t xml:space="preserve">when not provided.</w:t>
      </w:r>
    </w:p>
    <w:p>
      <w:pPr>
        <w:pStyle w:val="Compact"/>
        <w:numPr>
          <w:ilvl w:val="0"/>
          <w:numId w:val="1775"/>
        </w:numPr>
      </w:pPr>
      <w:r>
        <w:t xml:space="preserve">When a request body is provided,</w:t>
      </w:r>
      <w:r>
        <w:t xml:space="preserve"> </w:t>
      </w:r>
      <w:r>
        <w:rPr>
          <w:rStyle w:val="VerbatimChar"/>
        </w:rPr>
        <w:t xml:space="preserve">Content-Type</w:t>
      </w:r>
      <w:r>
        <w:t xml:space="preserve"> </w:t>
      </w:r>
      <w:r>
        <w:t xml:space="preserve">is set to</w:t>
      </w:r>
      <w:r>
        <w:t xml:space="preserve"> </w:t>
      </w:r>
      <w:r>
        <w:rPr>
          <w:rStyle w:val="VerbatimChar"/>
        </w:rPr>
        <w:t xml:space="preserve">application/json</w:t>
      </w:r>
      <w:r>
        <w:t xml:space="preserve">.</w:t>
      </w:r>
    </w:p>
    <w:p>
      <w:pPr>
        <w:pStyle w:val="Compact"/>
        <w:numPr>
          <w:ilvl w:val="0"/>
          <w:numId w:val="1775"/>
        </w:numPr>
      </w:pPr>
      <w:r>
        <w:t xml:space="preserve">Requests use a 10-second timeout.</w:t>
      </w:r>
    </w:p>
    <w:p>
      <w:pPr>
        <w:pStyle w:val="Compact"/>
        <w:numPr>
          <w:ilvl w:val="0"/>
          <w:numId w:val="1775"/>
        </w:numPr>
      </w:pPr>
      <w:r>
        <w:t xml:space="preserve">If response</w:t>
      </w:r>
      <w:r>
        <w:t xml:space="preserve"> </w:t>
      </w:r>
      <w:r>
        <w:rPr>
          <w:rStyle w:val="VerbatimChar"/>
        </w:rPr>
        <w:t xml:space="preserve">Content-Type</w:t>
      </w:r>
      <w:r>
        <w:t xml:space="preserve"> </w:t>
      </w:r>
      <w:r>
        <w:t xml:space="preserve">contains</w:t>
      </w:r>
      <w:r>
        <w:t xml:space="preserve"> </w:t>
      </w:r>
      <w:r>
        <w:rPr>
          <w:rStyle w:val="VerbatimChar"/>
        </w:rPr>
        <w:t xml:space="preserve">application/json</w:t>
      </w:r>
      <w:r>
        <w:t xml:space="preserve">, the body is parsed through G3JSON.</w:t>
      </w:r>
    </w:p>
    <w:p>
      <w:pPr>
        <w:pStyle w:val="Compact"/>
        <w:numPr>
          <w:ilvl w:val="0"/>
          <w:numId w:val="1775"/>
        </w:numPr>
      </w:pPr>
      <w:r>
        <w:t xml:space="preserve">If JSON parsing fails, the raw response body is returned as text.</w:t>
      </w:r>
    </w:p>
    <w:bookmarkEnd w:id="3066"/>
    <w:bookmarkStart w:id="3069" w:name="api-reference-150"/>
    <w:p>
      <w:pPr>
        <w:pStyle w:val="Heading2"/>
      </w:pPr>
      <w:r>
        <w:t xml:space="preserve">API Reference</w:t>
      </w:r>
    </w:p>
    <w:bookmarkStart w:id="3067" w:name="methods-13"/>
    <w:p>
      <w:pPr>
        <w:pStyle w:val="Heading3"/>
      </w:pPr>
      <w:r>
        <w:t xml:space="preserve">Methods</w:t>
      </w:r>
    </w:p>
    <w:p>
      <w:pPr>
        <w:pStyle w:val="Compact"/>
        <w:numPr>
          <w:ilvl w:val="0"/>
          <w:numId w:val="1776"/>
        </w:numPr>
      </w:pPr>
      <w:r>
        <w:rPr>
          <w:b/>
          <w:bCs/>
        </w:rPr>
        <w:t xml:space="preserve">Fetch(url[, method][, body])</w:t>
      </w:r>
      <w:r>
        <w:t xml:space="preserve">: Sends an HTTP request and returns parsed JSON or text.</w:t>
      </w:r>
    </w:p>
    <w:p>
      <w:pPr>
        <w:pStyle w:val="Compact"/>
        <w:numPr>
          <w:ilvl w:val="0"/>
          <w:numId w:val="1776"/>
        </w:numPr>
      </w:pPr>
      <w:r>
        <w:rPr>
          <w:b/>
          <w:bCs/>
        </w:rPr>
        <w:t xml:space="preserve">Request(url[, method][, body])</w:t>
      </w:r>
      <w:r>
        <w:t xml:space="preserve">: Alias of</w:t>
      </w:r>
      <w:r>
        <w:t xml:space="preserve"> </w:t>
      </w:r>
      <w:r>
        <w:rPr>
          <w:rStyle w:val="VerbatimChar"/>
        </w:rPr>
        <w:t xml:space="preserve">Fetch</w:t>
      </w:r>
      <w:r>
        <w:t xml:space="preserve">.</w:t>
      </w:r>
    </w:p>
    <w:bookmarkEnd w:id="3067"/>
    <w:bookmarkStart w:id="3068" w:name="properties-15"/>
    <w:p>
      <w:pPr>
        <w:pStyle w:val="Heading3"/>
      </w:pPr>
      <w:r>
        <w:t xml:space="preserve">Properties</w:t>
      </w:r>
    </w:p>
    <w:p>
      <w:pPr>
        <w:pStyle w:val="FirstParagraph"/>
      </w:pPr>
      <w:r>
        <w:t xml:space="preserve">G3HTTP does not expose public properties.</w:t>
      </w:r>
    </w:p>
    <w:bookmarkEnd w:id="3068"/>
    <w:bookmarkEnd w:id="3069"/>
    <w:bookmarkStart w:id="3070" w:name="example-228"/>
    <w:p>
      <w:pPr>
        <w:pStyle w:val="Heading2"/>
      </w:pPr>
      <w:r>
        <w:t xml:space="preserve">Example</w:t>
      </w:r>
    </w:p>
    <w:p>
      <w:pPr>
        <w:pStyle w:val="SourceCode"/>
      </w:pPr>
      <w:r>
        <w:rPr>
          <w:rStyle w:val="DataTypeTok"/>
        </w:rPr>
        <w:t xml:space="preserve">&lt;%</w:t>
      </w:r>
      <w:r>
        <w:br/>
      </w:r>
      <w:r>
        <w:rPr>
          <w:rStyle w:val="KeywordTok"/>
        </w:rPr>
        <w:t xml:space="preserve">Dim</w:t>
      </w:r>
      <w:r>
        <w:rPr>
          <w:rStyle w:val="NormalTok"/>
        </w:rPr>
        <w:t xml:space="preserve"> http</w:t>
      </w:r>
      <w:r>
        <w:rPr>
          <w:rStyle w:val="OtherTok"/>
        </w:rPr>
        <w:t xml:space="preserve">,</w:t>
      </w:r>
      <w:r>
        <w:rPr>
          <w:rStyle w:val="NormalTok"/>
        </w:rPr>
        <w:t xml:space="preserve"> result</w:t>
      </w:r>
      <w:r>
        <w:br/>
      </w:r>
      <w:r>
        <w:rPr>
          <w:rStyle w:val="KeywordTok"/>
        </w:rPr>
        <w:t xml:space="preserve">Set</w:t>
      </w:r>
      <w:r>
        <w:rPr>
          <w:rStyle w:val="NormalTok"/>
        </w:rPr>
        <w:t xml:space="preserve"> 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"G3HTTP"</w:t>
      </w:r>
      <w:r>
        <w:rPr>
          <w:rStyle w:val="OtherTok"/>
        </w:rPr>
        <w:t xml:space="preserve">)</w:t>
      </w:r>
      <w:r>
        <w:br/>
      </w:r>
      <w:r>
        <w:br/>
      </w:r>
      <w:r>
        <w:rPr>
          <w:rStyle w:val="NormalTok"/>
        </w:rPr>
        <w:t xml:space="preserve">result = http.Fetch</w:t>
      </w:r>
      <w:r>
        <w:rPr>
          <w:rStyle w:val="OtherTok"/>
        </w:rPr>
        <w:t xml:space="preserve">(</w:t>
      </w:r>
      <w:r>
        <w:rPr>
          <w:rStyle w:val="StringTok"/>
        </w:rPr>
        <w:t xml:space="preserve">"https://api.example.com/status"</w:t>
      </w:r>
      <w:r>
        <w:rPr>
          <w:rStyle w:val="OtherTok"/>
        </w:rPr>
        <w:t xml:space="preserve">)</w:t>
      </w:r>
      <w:r>
        <w:br/>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result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result</w:t>
      </w:r>
      <w:r>
        <w:rPr>
          <w:rStyle w:val="OtherTok"/>
        </w:rPr>
        <w:t xml:space="preserve">(</w:t>
      </w:r>
      <w:r>
        <w:rPr>
          <w:rStyle w:val="StringTok"/>
        </w:rPr>
        <w:t xml:space="preserve">"status"</w:t>
      </w:r>
      <w:r>
        <w:rPr>
          <w:rStyle w:val="OtherTok"/>
        </w:rPr>
        <w:t xml:space="preserve">)</w:t>
      </w:r>
      <w:r>
        <w:br/>
      </w:r>
      <w:r>
        <w:rPr>
          <w:rStyle w:val="ControlFlowTok"/>
        </w:rPr>
        <w:t xml:space="preserve">ElseIf</w:t>
      </w:r>
      <w:r>
        <w:rPr>
          <w:rStyle w:val="NormalTok"/>
        </w:rPr>
        <w:t xml:space="preserve"> </w:t>
      </w:r>
      <w:r>
        <w:rPr>
          <w:rStyle w:val="FunctionTok"/>
        </w:rPr>
        <w:t xml:space="preserve">IsArray</w:t>
      </w:r>
      <w:r>
        <w:rPr>
          <w:rStyle w:val="OtherTok"/>
        </w:rPr>
        <w:t xml:space="preserve">(</w:t>
      </w:r>
      <w:r>
        <w:rPr>
          <w:rStyle w:val="NormalTok"/>
        </w:rPr>
        <w:t xml:space="preserve">result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"Array response"</w:t>
      </w:r>
      <w:r>
        <w:br/>
      </w:r>
      <w:r>
        <w:rPr>
          <w:rStyle w:val="ControlFlowTok"/>
        </w:rPr>
        <w:t xml:space="preserve">ElseIf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result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"Request failed"</w:t>
      </w:r>
      <w:r>
        <w:br/>
      </w:r>
      <w:r>
        <w:rPr>
          <w:rStyle w:val="ControlFlowTok"/>
        </w:rPr>
        <w:t xml:space="preserve">End If</w:t>
      </w:r>
      <w:r>
        <w:br/>
      </w:r>
      <w:r>
        <w:br/>
      </w:r>
      <w:r>
        <w:rPr>
          <w:rStyle w:val="KeywordTok"/>
        </w:rPr>
        <w:t xml:space="preserve">Set</w:t>
      </w:r>
      <w:r>
        <w:rPr>
          <w:rStyle w:val="NormalTok"/>
        </w:rPr>
        <w:t xml:space="preserve"> http = </w:t>
      </w:r>
      <w:r>
        <w:rPr>
          <w:rStyle w:val="KeywordTok"/>
        </w:rPr>
        <w:t xml:space="preserve">Nothing</w:t>
      </w:r>
      <w:r>
        <w:br/>
      </w:r>
      <w:r>
        <w:rPr>
          <w:rStyle w:val="DataTypeTok"/>
        </w:rPr>
        <w:t xml:space="preserve">%&gt;</w:t>
      </w:r>
    </w:p>
    <w:bookmarkEnd w:id="3070"/>
    <w:bookmarkEnd w:id="3071"/>
    <w:bookmarkStart w:id="3075" w:name="g3http-methods"/>
    <w:p>
      <w:pPr>
        <w:pStyle w:val="Heading1"/>
      </w:pPr>
      <w:r>
        <w:t xml:space="preserve">G3HTTP Methods</w:t>
      </w:r>
    </w:p>
    <w:bookmarkStart w:id="3072" w:name="overview-298"/>
    <w:p>
      <w:pPr>
        <w:pStyle w:val="Heading2"/>
      </w:pPr>
      <w:r>
        <w:t xml:space="preserve">Overview</w:t>
      </w:r>
    </w:p>
    <w:p>
      <w:pPr>
        <w:pStyle w:val="FirstParagraph"/>
      </w:pPr>
      <w:r>
        <w:t xml:space="preserve">This page summarizes every method exposed by</w:t>
      </w:r>
      <w:r>
        <w:t xml:space="preserve"> </w:t>
      </w:r>
      <w:r>
        <w:rPr>
          <w:rStyle w:val="VerbatimChar"/>
        </w:rPr>
        <w:t xml:space="preserve">G3HTTP</w:t>
      </w:r>
      <w:r>
        <w:t xml:space="preserve"> </w:t>
      </w:r>
      <w:r>
        <w:t xml:space="preserve">in G3Pix AxonASP.</w:t>
      </w:r>
    </w:p>
    <w:bookmarkEnd w:id="3072"/>
    <w:bookmarkStart w:id="3073" w:name="methods-14"/>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Fetch(url [, method] [, body])</w:t>
            </w:r>
          </w:p>
        </w:tc>
        <w:tc>
          <w:tcPr/>
          <w:p>
            <w:pPr>
              <w:pStyle w:val="Compact"/>
            </w:pPr>
            <w:r>
              <w:t xml:space="preserve">Dictionary, Array, scalar, String, or Empty</w:t>
            </w:r>
          </w:p>
        </w:tc>
        <w:tc>
          <w:tcPr/>
          <w:p>
            <w:pPr>
              <w:pStyle w:val="Compact"/>
            </w:pPr>
            <w:r>
              <w:t xml:space="preserve">Sends an outbound HTTP request. Returns parsed JSON-native values when JSON parsing succeeds, raw response String when response is non-JSON or JSON parse fails, and Empty on request/IO failures.</w:t>
            </w:r>
          </w:p>
        </w:tc>
      </w:tr>
      <w:tr>
        <w:tc>
          <w:tcPr/>
          <w:p>
            <w:pPr>
              <w:pStyle w:val="Compact"/>
            </w:pPr>
            <w:r>
              <w:rPr>
                <w:rStyle w:val="VerbatimChar"/>
              </w:rPr>
              <w:t xml:space="preserve">Request(url [, method] [, body])</w:t>
            </w:r>
          </w:p>
        </w:tc>
        <w:tc>
          <w:tcPr/>
          <w:p>
            <w:pPr>
              <w:pStyle w:val="Compact"/>
            </w:pPr>
            <w:r>
              <w:t xml:space="preserve">Dictionary, Array, scalar, String, or Empty</w:t>
            </w:r>
          </w:p>
        </w:tc>
        <w:tc>
          <w:tcPr/>
          <w:p>
            <w:pPr>
              <w:pStyle w:val="Compact"/>
            </w:pPr>
            <w:r>
              <w:t xml:space="preserve">Alias of</w:t>
            </w:r>
            <w:r>
              <w:t xml:space="preserve"> </w:t>
            </w:r>
            <w:r>
              <w:rPr>
                <w:rStyle w:val="VerbatimChar"/>
              </w:rPr>
              <w:t xml:space="preserve">Fetch</w:t>
            </w:r>
            <w:r>
              <w:t xml:space="preserve"> </w:t>
            </w:r>
            <w:r>
              <w:t xml:space="preserve">with the same runtime behavior and return contract.</w:t>
            </w:r>
          </w:p>
        </w:tc>
      </w:tr>
    </w:tbl>
    <w:bookmarkEnd w:id="3073"/>
    <w:bookmarkStart w:id="3074" w:name="remarks-281"/>
    <w:p>
      <w:pPr>
        <w:pStyle w:val="Heading2"/>
      </w:pPr>
      <w:r>
        <w:t xml:space="preserve">Remarks</w:t>
      </w:r>
    </w:p>
    <w:p>
      <w:pPr>
        <w:pStyle w:val="Compact"/>
        <w:numPr>
          <w:ilvl w:val="0"/>
          <w:numId w:val="1777"/>
        </w:numPr>
      </w:pPr>
      <w:r>
        <w:t xml:space="preserve">Instantiate the library with</w:t>
      </w:r>
      <w:r>
        <w:t xml:space="preserve"> </w:t>
      </w:r>
      <w:r>
        <w:rPr>
          <w:rStyle w:val="VerbatimChar"/>
        </w:rPr>
        <w:t xml:space="preserve">Server.CreateObject("G3HTTP")</w:t>
      </w:r>
      <w:r>
        <w:t xml:space="preserve">.</w:t>
      </w:r>
    </w:p>
    <w:p>
      <w:pPr>
        <w:pStyle w:val="Compact"/>
        <w:numPr>
          <w:ilvl w:val="0"/>
          <w:numId w:val="1777"/>
        </w:numPr>
      </w:pPr>
      <w:r>
        <w:t xml:space="preserve">Method names are case-insensitive.</w:t>
      </w:r>
    </w:p>
    <w:p>
      <w:pPr>
        <w:pStyle w:val="Compact"/>
        <w:numPr>
          <w:ilvl w:val="0"/>
          <w:numId w:val="1777"/>
        </w:numPr>
      </w:pPr>
      <w:r>
        <w:t xml:space="preserve">Default timeout is 10 seconds per request.</w:t>
      </w:r>
    </w:p>
    <w:bookmarkEnd w:id="3074"/>
    <w:bookmarkEnd w:id="3075"/>
    <w:bookmarkStart w:id="3080" w:name="g3http-properties"/>
    <w:p>
      <w:pPr>
        <w:pStyle w:val="Heading1"/>
      </w:pPr>
      <w:r>
        <w:t xml:space="preserve">G3HTTP Properties</w:t>
      </w:r>
    </w:p>
    <w:bookmarkStart w:id="3076" w:name="overview-299"/>
    <w:p>
      <w:pPr>
        <w:pStyle w:val="Heading2"/>
      </w:pPr>
      <w:r>
        <w:t xml:space="preserve">Overview</w:t>
      </w:r>
    </w:p>
    <w:p>
      <w:pPr>
        <w:pStyle w:val="FirstParagraph"/>
      </w:pPr>
      <w:r>
        <w:t xml:space="preserve">This page lists properties exposed by</w:t>
      </w:r>
      <w:r>
        <w:t xml:space="preserve"> </w:t>
      </w:r>
      <w:r>
        <w:rPr>
          <w:rStyle w:val="VerbatimChar"/>
        </w:rPr>
        <w:t xml:space="preserve">G3HTTP</w:t>
      </w:r>
      <w:r>
        <w:t xml:space="preserve">.</w:t>
      </w:r>
    </w:p>
    <w:bookmarkEnd w:id="3076"/>
    <w:bookmarkStart w:id="3077" w:name="properties-16"/>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None</w:t>
            </w:r>
          </w:p>
        </w:tc>
        <w:tc>
          <w:tcPr/>
          <w:p>
            <w:pPr>
              <w:pStyle w:val="Compact"/>
            </w:pPr>
            <w:r>
              <w:t xml:space="preserve">N/A</w:t>
            </w:r>
          </w:p>
        </w:tc>
        <w:tc>
          <w:tcPr/>
          <w:p>
            <w:pPr>
              <w:pStyle w:val="Compact"/>
            </w:pPr>
            <w:r>
              <w:t xml:space="preserve">N/A</w:t>
            </w:r>
          </w:p>
        </w:tc>
        <w:tc>
          <w:tcPr/>
          <w:p>
            <w:pPr>
              <w:pStyle w:val="Compact"/>
            </w:pPr>
            <w:r>
              <w:rPr>
                <w:rStyle w:val="VerbatimChar"/>
              </w:rPr>
              <w:t xml:space="preserve">G3HTTP</w:t>
            </w:r>
            <w:r>
              <w:t xml:space="preserve"> </w:t>
            </w:r>
            <w:r>
              <w:t xml:space="preserve">does not expose public properties. Use</w:t>
            </w:r>
            <w:r>
              <w:t xml:space="preserve"> </w:t>
            </w:r>
            <w:r>
              <w:rPr>
                <w:rStyle w:val="VerbatimChar"/>
              </w:rPr>
              <w:t xml:space="preserve">Fetch</w:t>
            </w:r>
            <w:r>
              <w:t xml:space="preserve"> </w:t>
            </w:r>
            <w:r>
              <w:t xml:space="preserve">and</w:t>
            </w:r>
            <w:r>
              <w:t xml:space="preserve"> </w:t>
            </w:r>
            <w:r>
              <w:rPr>
                <w:rStyle w:val="VerbatimChar"/>
              </w:rPr>
              <w:t xml:space="preserve">Request</w:t>
            </w:r>
            <w:r>
              <w:t xml:space="preserve"> </w:t>
            </w:r>
            <w:r>
              <w:t xml:space="preserve">methods.</w:t>
            </w:r>
          </w:p>
        </w:tc>
      </w:tr>
    </w:tbl>
    <w:bookmarkEnd w:id="3077"/>
    <w:bookmarkStart w:id="3079" w:name="remarks-282"/>
    <w:p>
      <w:pPr>
        <w:pStyle w:val="Heading2"/>
      </w:pPr>
      <w:r>
        <w:t xml:space="preserve">Remarks</w:t>
      </w:r>
    </w:p>
    <w:p>
      <w:pPr>
        <w:pStyle w:val="Compact"/>
        <w:numPr>
          <w:ilvl w:val="0"/>
          <w:numId w:val="1778"/>
        </w:numPr>
      </w:pPr>
      <w:r>
        <w:t xml:space="preserve">Instantiate the library with</w:t>
      </w:r>
      <w:r>
        <w:t xml:space="preserve"> </w:t>
      </w:r>
      <w:r>
        <w:rPr>
          <w:rStyle w:val="VerbatimChar"/>
        </w:rPr>
        <w:t xml:space="preserve">Server.CreateObject("G3HTTP")</w:t>
      </w:r>
      <w:r>
        <w:t xml:space="preserve">.</w:t>
      </w:r>
    </w:p>
    <w:bookmarkStart w:id="3078" w:name="methods-detail-6"/>
    <w:p>
      <w:pPr>
        <w:pStyle w:val="Heading3"/>
      </w:pPr>
      <w:r>
        <w:t xml:space="preserve">Methods Detail</w:t>
      </w:r>
    </w:p>
    <w:bookmarkEnd w:id="3078"/>
    <w:bookmarkEnd w:id="3079"/>
    <w:bookmarkEnd w:id="3080"/>
    <w:bookmarkStart w:id="3090" w:name="send-an-http-request-with-fetch"/>
    <w:p>
      <w:pPr>
        <w:pStyle w:val="Heading1"/>
      </w:pPr>
      <w:r>
        <w:t xml:space="preserve">Send an HTTP Request with Fetch</w:t>
      </w:r>
    </w:p>
    <w:bookmarkStart w:id="3081" w:name="overview-300"/>
    <w:p>
      <w:pPr>
        <w:pStyle w:val="Heading2"/>
      </w:pPr>
      <w:r>
        <w:t xml:space="preserve">Overview</w:t>
      </w:r>
    </w:p>
    <w:p>
      <w:pPr>
        <w:pStyle w:val="FirstParagraph"/>
      </w:pPr>
      <w:r>
        <w:t xml:space="preserve">Executes an outbound HTTP request and returns parsed JSON content or raw response text.</w:t>
      </w:r>
    </w:p>
    <w:bookmarkEnd w:id="3081"/>
    <w:bookmarkStart w:id="3082" w:name="prerequisites-148"/>
    <w:p>
      <w:pPr>
        <w:pStyle w:val="Heading2"/>
      </w:pPr>
      <w:r>
        <w:t xml:space="preserve">Prerequisites</w:t>
      </w:r>
    </w:p>
    <w:p>
      <w:pPr>
        <w:pStyle w:val="FirstParagraph"/>
      </w:pPr>
      <w:r>
        <w:t xml:space="preserve">Instantiate the library with</w:t>
      </w:r>
      <w:r>
        <w:t xml:space="preserve"> </w:t>
      </w:r>
      <w:r>
        <w:rPr>
          <w:rStyle w:val="VerbatimChar"/>
        </w:rPr>
        <w:t xml:space="preserve">Server.CreateObject("G3HTTP")</w:t>
      </w:r>
      <w:r>
        <w:t xml:space="preserve">.</w:t>
      </w:r>
    </w:p>
    <w:bookmarkEnd w:id="3082"/>
    <w:bookmarkStart w:id="3083" w:name="syntax-303"/>
    <w:p>
      <w:pPr>
        <w:pStyle w:val="Heading2"/>
      </w:pPr>
      <w:r>
        <w:t xml:space="preserve">Syntax</w:t>
      </w:r>
    </w:p>
    <w:p>
      <w:pPr>
        <w:pStyle w:val="SourceCode"/>
      </w:pPr>
      <w:r>
        <w:rPr>
          <w:rStyle w:val="NormalTok"/>
        </w:rPr>
        <w:t xml:space="preserve">result = http.Fetch(url[, method][, body])</w:t>
      </w:r>
    </w:p>
    <w:bookmarkEnd w:id="3083"/>
    <w:bookmarkStart w:id="3084" w:name="parameters-20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b/>
                <w:bCs/>
              </w:rPr>
              <w:t xml:space="preserve">url</w:t>
            </w:r>
          </w:p>
        </w:tc>
        <w:tc>
          <w:tcPr/>
          <w:p>
            <w:pPr>
              <w:pStyle w:val="Compact"/>
            </w:pPr>
            <w:r>
              <w:t xml:space="preserve">String</w:t>
            </w:r>
          </w:p>
        </w:tc>
        <w:tc>
          <w:tcPr/>
          <w:p>
            <w:pPr>
              <w:pStyle w:val="Compact"/>
            </w:pPr>
            <w:r>
              <w:t xml:space="preserve">Yes</w:t>
            </w:r>
          </w:p>
        </w:tc>
        <w:tc>
          <w:tcPr/>
          <w:p>
            <w:pPr>
              <w:pStyle w:val="Compact"/>
            </w:pPr>
            <w:r>
              <w:t xml:space="preserve">Absolute request URL.</w:t>
            </w:r>
          </w:p>
        </w:tc>
      </w:tr>
      <w:tr>
        <w:tc>
          <w:tcPr/>
          <w:p>
            <w:pPr>
              <w:pStyle w:val="Compact"/>
            </w:pPr>
            <w:r>
              <w:rPr>
                <w:b/>
                <w:bCs/>
              </w:rPr>
              <w:t xml:space="preserve">method</w:t>
            </w:r>
          </w:p>
        </w:tc>
        <w:tc>
          <w:tcPr/>
          <w:p>
            <w:pPr>
              <w:pStyle w:val="Compact"/>
            </w:pPr>
            <w:r>
              <w:t xml:space="preserve">String</w:t>
            </w:r>
          </w:p>
        </w:tc>
        <w:tc>
          <w:tcPr/>
          <w:p>
            <w:pPr>
              <w:pStyle w:val="Compact"/>
            </w:pPr>
            <w:r>
              <w:t xml:space="preserve">No</w:t>
            </w:r>
          </w:p>
        </w:tc>
        <w:tc>
          <w:tcPr/>
          <w:p>
            <w:pPr>
              <w:pStyle w:val="Compact"/>
            </w:pPr>
            <w:r>
              <w:t xml:space="preserve">HTTP method. Default is</w:t>
            </w:r>
            <w:r>
              <w:t xml:space="preserve"> </w:t>
            </w:r>
            <w:r>
              <w:rPr>
                <w:rStyle w:val="VerbatimChar"/>
              </w:rPr>
              <w:t xml:space="preserve">GET</w:t>
            </w:r>
            <w:r>
              <w:t xml:space="preserve">.</w:t>
            </w:r>
          </w:p>
        </w:tc>
      </w:tr>
      <w:tr>
        <w:tc>
          <w:tcPr/>
          <w:p>
            <w:pPr>
              <w:pStyle w:val="Compact"/>
            </w:pPr>
            <w:r>
              <w:rPr>
                <w:b/>
                <w:bCs/>
              </w:rPr>
              <w:t xml:space="preserve">body</w:t>
            </w:r>
          </w:p>
        </w:tc>
        <w:tc>
          <w:tcPr/>
          <w:p>
            <w:pPr>
              <w:pStyle w:val="Compact"/>
            </w:pPr>
            <w:r>
              <w:t xml:space="preserve">String</w:t>
            </w:r>
          </w:p>
        </w:tc>
        <w:tc>
          <w:tcPr/>
          <w:p>
            <w:pPr>
              <w:pStyle w:val="Compact"/>
            </w:pPr>
            <w:r>
              <w:t xml:space="preserve">No</w:t>
            </w:r>
          </w:p>
        </w:tc>
        <w:tc>
          <w:tcPr/>
          <w:p>
            <w:pPr>
              <w:pStyle w:val="Compact"/>
            </w:pPr>
            <w:r>
              <w:t xml:space="preserve">Request payload. When present,</w:t>
            </w:r>
            <w:r>
              <w:t xml:space="preserve"> </w:t>
            </w:r>
            <w:r>
              <w:rPr>
                <w:rStyle w:val="VerbatimChar"/>
              </w:rPr>
              <w:t xml:space="preserve">Content-Type</w:t>
            </w:r>
            <w:r>
              <w:t xml:space="preserve"> </w:t>
            </w:r>
            <w:r>
              <w:t xml:space="preserve">is set to</w:t>
            </w:r>
            <w:r>
              <w:t xml:space="preserve"> </w:t>
            </w:r>
            <w:r>
              <w:rPr>
                <w:rStyle w:val="VerbatimChar"/>
              </w:rPr>
              <w:t xml:space="preserve">application/json</w:t>
            </w:r>
            <w:r>
              <w:t xml:space="preserve">.</w:t>
            </w:r>
          </w:p>
        </w:tc>
      </w:tr>
    </w:tbl>
    <w:bookmarkEnd w:id="3084"/>
    <w:bookmarkStart w:id="3085" w:name="return-value-227"/>
    <w:p>
      <w:pPr>
        <w:pStyle w:val="Heading2"/>
      </w:pPr>
      <w:r>
        <w:t xml:space="preserve">Return Value</w:t>
      </w:r>
    </w:p>
    <w:p>
      <w:pPr>
        <w:pStyle w:val="Compact"/>
        <w:numPr>
          <w:ilvl w:val="0"/>
          <w:numId w:val="1779"/>
        </w:numPr>
      </w:pPr>
      <w:r>
        <w:rPr>
          <w:b/>
          <w:bCs/>
        </w:rPr>
        <w:t xml:space="preserve">Scripting.Dictionary</w:t>
      </w:r>
      <w:r>
        <w:t xml:space="preserve">: Returned when response content type is JSON and the root is an object.</w:t>
      </w:r>
    </w:p>
    <w:p>
      <w:pPr>
        <w:pStyle w:val="Compact"/>
        <w:numPr>
          <w:ilvl w:val="0"/>
          <w:numId w:val="1779"/>
        </w:numPr>
      </w:pPr>
      <w:r>
        <w:rPr>
          <w:b/>
          <w:bCs/>
        </w:rPr>
        <w:t xml:space="preserve">Array</w:t>
      </w:r>
      <w:r>
        <w:t xml:space="preserve">: Returned when response content type is JSON and the root is an array.</w:t>
      </w:r>
    </w:p>
    <w:p>
      <w:pPr>
        <w:pStyle w:val="Compact"/>
        <w:numPr>
          <w:ilvl w:val="0"/>
          <w:numId w:val="1779"/>
        </w:numPr>
      </w:pPr>
      <w:r>
        <w:rPr>
          <w:b/>
          <w:bCs/>
        </w:rPr>
        <w:t xml:space="preserve">String / Integer / Double / Boolean / Null</w:t>
      </w:r>
      <w:r>
        <w:t xml:space="preserve">: Returned when response content type is JSON and the root is a primitive that parses successfully.</w:t>
      </w:r>
    </w:p>
    <w:p>
      <w:pPr>
        <w:pStyle w:val="Compact"/>
        <w:numPr>
          <w:ilvl w:val="0"/>
          <w:numId w:val="1779"/>
        </w:numPr>
      </w:pPr>
      <w:r>
        <w:rPr>
          <w:b/>
          <w:bCs/>
        </w:rPr>
        <w:t xml:space="preserve">String</w:t>
      </w:r>
      <w:r>
        <w:t xml:space="preserve">: Raw response body for non-JSON responses.</w:t>
      </w:r>
    </w:p>
    <w:p>
      <w:pPr>
        <w:pStyle w:val="Compact"/>
        <w:numPr>
          <w:ilvl w:val="0"/>
          <w:numId w:val="1779"/>
        </w:numPr>
      </w:pPr>
      <w:r>
        <w:rPr>
          <w:b/>
          <w:bCs/>
        </w:rPr>
        <w:t xml:space="preserve">String</w:t>
      </w:r>
      <w:r>
        <w:t xml:space="preserve">: Raw response body when content type is JSON but parsing fails.</w:t>
      </w:r>
    </w:p>
    <w:p>
      <w:pPr>
        <w:pStyle w:val="Compact"/>
        <w:numPr>
          <w:ilvl w:val="0"/>
          <w:numId w:val="1779"/>
        </w:numPr>
      </w:pPr>
      <w:r>
        <w:rPr>
          <w:b/>
          <w:bCs/>
        </w:rPr>
        <w:t xml:space="preserve">Empty</w:t>
      </w:r>
      <w:r>
        <w:t xml:space="preserve">: Returned when URL is missing, request creation fails, request execution fails, or response read fails.</w:t>
      </w:r>
    </w:p>
    <w:bookmarkEnd w:id="3085"/>
    <w:bookmarkStart w:id="3086" w:name="remarks-283"/>
    <w:p>
      <w:pPr>
        <w:pStyle w:val="Heading2"/>
      </w:pPr>
      <w:r>
        <w:t xml:space="preserve">Remarks</w:t>
      </w:r>
    </w:p>
    <w:p>
      <w:pPr>
        <w:pStyle w:val="Compact"/>
        <w:numPr>
          <w:ilvl w:val="0"/>
          <w:numId w:val="1780"/>
        </w:numPr>
      </w:pPr>
      <w:r>
        <w:t xml:space="preserve">Request timeout is 10 seconds.</w:t>
      </w:r>
    </w:p>
    <w:p>
      <w:pPr>
        <w:pStyle w:val="Compact"/>
        <w:numPr>
          <w:ilvl w:val="0"/>
          <w:numId w:val="1780"/>
        </w:numPr>
      </w:pPr>
      <w:r>
        <w:t xml:space="preserve">Method names are case-insensitive.</w:t>
      </w:r>
    </w:p>
    <w:bookmarkEnd w:id="3086"/>
    <w:bookmarkStart w:id="3087" w:name="example-229"/>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http</w:t>
      </w:r>
      <w:r>
        <w:rPr>
          <w:rStyle w:val="OtherTok"/>
        </w:rPr>
        <w:t xml:space="preserve">,</w:t>
      </w:r>
      <w:r>
        <w:rPr>
          <w:rStyle w:val="NormalTok"/>
        </w:rPr>
        <w:t xml:space="preserve"> result</w:t>
      </w:r>
      <w:r>
        <w:rPr>
          <w:rStyle w:val="OtherTok"/>
        </w:rPr>
        <w:t xml:space="preserve">,</w:t>
      </w:r>
      <w:r>
        <w:rPr>
          <w:rStyle w:val="NormalTok"/>
        </w:rPr>
        <w:t xml:space="preserve"> payload</w:t>
      </w:r>
      <w:r>
        <w:br/>
      </w:r>
      <w:r>
        <w:rPr>
          <w:rStyle w:val="KeywordTok"/>
        </w:rPr>
        <w:t xml:space="preserve">Set</w:t>
      </w:r>
      <w:r>
        <w:rPr>
          <w:rStyle w:val="NormalTok"/>
        </w:rPr>
        <w:t xml:space="preserve"> 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"G3HTTP"</w:t>
      </w:r>
      <w:r>
        <w:rPr>
          <w:rStyle w:val="OtherTok"/>
        </w:rPr>
        <w:t xml:space="preserve">)</w:t>
      </w:r>
      <w:r>
        <w:br/>
      </w:r>
      <w:r>
        <w:br/>
      </w:r>
      <w:r>
        <w:rPr>
          <w:rStyle w:val="NormalTok"/>
        </w:rPr>
        <w:t xml:space="preserve">payload = </w:t>
      </w:r>
      <w:r>
        <w:rPr>
          <w:rStyle w:val="StringTok"/>
        </w:rPr>
        <w:t xml:space="preserve">"{</w:t>
      </w:r>
      <w:r>
        <w:rPr>
          <w:rStyle w:val="SpecialCharTok"/>
        </w:rPr>
        <w:t xml:space="preserve">""</w:t>
      </w:r>
      <w:r>
        <w:rPr>
          <w:rStyle w:val="StringTok"/>
        </w:rPr>
        <w:t xml:space="preserve">id</w:t>
      </w:r>
      <w:r>
        <w:rPr>
          <w:rStyle w:val="SpecialCharTok"/>
        </w:rPr>
        <w:t xml:space="preserve">""</w:t>
      </w:r>
      <w:r>
        <w:rPr>
          <w:rStyle w:val="StringTok"/>
        </w:rPr>
        <w:t xml:space="preserve">: 10}"</w:t>
      </w:r>
      <w:r>
        <w:br/>
      </w:r>
      <w:r>
        <w:rPr>
          <w:rStyle w:val="NormalTok"/>
        </w:rPr>
        <w:t xml:space="preserve">result = http.Fetch</w:t>
      </w:r>
      <w:r>
        <w:rPr>
          <w:rStyle w:val="OtherTok"/>
        </w:rPr>
        <w:t xml:space="preserve">(</w:t>
      </w:r>
      <w:r>
        <w:rPr>
          <w:rStyle w:val="StringTok"/>
        </w:rPr>
        <w:t xml:space="preserve">"https://api.example.com/items"</w:t>
      </w:r>
      <w:r>
        <w:rPr>
          <w:rStyle w:val="OtherTok"/>
        </w:rPr>
        <w:t xml:space="preserve">,</w:t>
      </w:r>
      <w:r>
        <w:rPr>
          <w:rStyle w:val="NormalTok"/>
        </w:rPr>
        <w:t xml:space="preserve"> </w:t>
      </w:r>
      <w:r>
        <w:rPr>
          <w:rStyle w:val="StringTok"/>
        </w:rPr>
        <w:t xml:space="preserve">"POST"</w:t>
      </w:r>
      <w:r>
        <w:rPr>
          <w:rStyle w:val="OtherTok"/>
        </w:rPr>
        <w:t xml:space="preserve">,</w:t>
      </w:r>
      <w:r>
        <w:rPr>
          <w:rStyle w:val="NormalTok"/>
        </w:rPr>
        <w:t xml:space="preserve"> payload</w:t>
      </w:r>
      <w:r>
        <w:rPr>
          <w:rStyle w:val="OtherTok"/>
        </w:rPr>
        <w:t xml:space="preserve">)</w:t>
      </w:r>
      <w:r>
        <w:br/>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result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result</w:t>
      </w:r>
      <w:r>
        <w:rPr>
          <w:rStyle w:val="OtherTok"/>
        </w:rPr>
        <w:t xml:space="preserve">(</w:t>
      </w:r>
      <w:r>
        <w:rPr>
          <w:rStyle w:val="StringTok"/>
        </w:rPr>
        <w:t xml:space="preserve">"status"</w:t>
      </w:r>
      <w:r>
        <w:rPr>
          <w:rStyle w:val="OtherTok"/>
        </w:rPr>
        <w:t xml:space="preserve">)</w:t>
      </w:r>
      <w:r>
        <w:br/>
      </w:r>
      <w:r>
        <w:rPr>
          <w:rStyle w:val="ControlFlowTok"/>
        </w:rPr>
        <w:t xml:space="preserve">ElseIf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result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"Request failed"</w:t>
      </w:r>
      <w:r>
        <w:br/>
      </w:r>
      <w:r>
        <w:rPr>
          <w:rStyle w:val="ControlFlowTok"/>
        </w:rPr>
        <w:t xml:space="preserve">End If</w:t>
      </w:r>
      <w:r>
        <w:br/>
      </w:r>
      <w:r>
        <w:br/>
      </w:r>
      <w:r>
        <w:rPr>
          <w:rStyle w:val="KeywordTok"/>
        </w:rPr>
        <w:t xml:space="preserve">Set</w:t>
      </w:r>
      <w:r>
        <w:rPr>
          <w:rStyle w:val="NormalTok"/>
        </w:rPr>
        <w:t xml:space="preserve"> http = </w:t>
      </w:r>
      <w:r>
        <w:rPr>
          <w:rStyle w:val="KeywordTok"/>
        </w:rPr>
        <w:t xml:space="preserve">Nothing</w:t>
      </w:r>
      <w:r>
        <w:br/>
      </w:r>
      <w:r>
        <w:rPr>
          <w:rStyle w:val="DataTypeTok"/>
        </w:rPr>
        <w:t xml:space="preserve">%&gt;</w:t>
      </w:r>
    </w:p>
    <w:bookmarkEnd w:id="3087"/>
    <w:bookmarkStart w:id="3088" w:name="api-reference-151"/>
    <w:p>
      <w:pPr>
        <w:pStyle w:val="Heading2"/>
      </w:pPr>
      <w:r>
        <w:t xml:space="preserve">API Reference</w:t>
      </w:r>
    </w:p>
    <w:p>
      <w:pPr>
        <w:pStyle w:val="Compact"/>
        <w:numPr>
          <w:ilvl w:val="0"/>
          <w:numId w:val="1781"/>
        </w:numPr>
      </w:pPr>
      <w:r>
        <w:rPr>
          <w:b/>
          <w:bCs/>
        </w:rPr>
        <w:t xml:space="preserve">Object</w:t>
      </w:r>
      <w:r>
        <w:t xml:space="preserve">:</w:t>
      </w:r>
      <w:r>
        <w:t xml:space="preserve"> </w:t>
      </w:r>
      <w:r>
        <w:rPr>
          <w:rStyle w:val="VerbatimChar"/>
        </w:rPr>
        <w:t xml:space="preserve">G3HTTP</w:t>
      </w:r>
    </w:p>
    <w:p>
      <w:pPr>
        <w:pStyle w:val="Compact"/>
        <w:numPr>
          <w:ilvl w:val="0"/>
          <w:numId w:val="1781"/>
        </w:numPr>
      </w:pPr>
      <w:r>
        <w:rPr>
          <w:b/>
          <w:bCs/>
        </w:rPr>
        <w:t xml:space="preserve">Method</w:t>
      </w:r>
      <w:r>
        <w:t xml:space="preserve">:</w:t>
      </w:r>
      <w:r>
        <w:t xml:space="preserve"> </w:t>
      </w:r>
      <w:r>
        <w:rPr>
          <w:rStyle w:val="VerbatimChar"/>
        </w:rPr>
        <w:t xml:space="preserve">Fetch</w:t>
      </w:r>
    </w:p>
    <w:p>
      <w:pPr>
        <w:pStyle w:val="Compact"/>
        <w:numPr>
          <w:ilvl w:val="0"/>
          <w:numId w:val="1781"/>
        </w:numPr>
      </w:pPr>
      <w:r>
        <w:rPr>
          <w:b/>
          <w:bCs/>
        </w:rPr>
        <w:t xml:space="preserve">Arguments</w:t>
      </w:r>
      <w:r>
        <w:t xml:space="preserve">:</w:t>
      </w:r>
      <w:r>
        <w:t xml:space="preserve"> </w:t>
      </w:r>
      <w:r>
        <w:rPr>
          <w:rStyle w:val="VerbatimChar"/>
        </w:rPr>
        <w:t xml:space="preserve">url</w:t>
      </w:r>
      <w:r>
        <w:t xml:space="preserve"> </w:t>
      </w:r>
      <w:r>
        <w:t xml:space="preserve">(String, required),</w:t>
      </w:r>
      <w:r>
        <w:t xml:space="preserve"> </w:t>
      </w:r>
      <w:r>
        <w:rPr>
          <w:rStyle w:val="VerbatimChar"/>
        </w:rPr>
        <w:t xml:space="preserve">method</w:t>
      </w:r>
      <w:r>
        <w:t xml:space="preserve"> </w:t>
      </w:r>
      <w:r>
        <w:t xml:space="preserve">(String, optional),</w:t>
      </w:r>
      <w:r>
        <w:t xml:space="preserve"> </w:t>
      </w:r>
      <w:r>
        <w:rPr>
          <w:rStyle w:val="VerbatimChar"/>
        </w:rPr>
        <w:t xml:space="preserve">body</w:t>
      </w:r>
      <w:r>
        <w:t xml:space="preserve"> </w:t>
      </w:r>
      <w:r>
        <w:t xml:space="preserve">(String, optional)</w:t>
      </w:r>
    </w:p>
    <w:p>
      <w:pPr>
        <w:pStyle w:val="Compact"/>
        <w:numPr>
          <w:ilvl w:val="0"/>
          <w:numId w:val="1781"/>
        </w:numPr>
      </w:pPr>
      <w:r>
        <w:rPr>
          <w:b/>
          <w:bCs/>
        </w:rPr>
        <w:t xml:space="preserve">Returns</w:t>
      </w:r>
      <w:r>
        <w:t xml:space="preserve">: Dictionary, Array, scalar primitive, raw response String, or Empty on request failure</w:t>
      </w:r>
    </w:p>
    <w:bookmarkEnd w:id="3088"/>
    <w:bookmarkStart w:id="3089" w:name="g3mail"/>
    <w:p>
      <w:pPr>
        <w:pStyle w:val="Heading2"/>
      </w:pPr>
      <w:r>
        <w:t xml:space="preserve">G3MAIL</w:t>
      </w:r>
    </w:p>
    <w:bookmarkEnd w:id="3089"/>
    <w:bookmarkEnd w:id="3090"/>
    <w:bookmarkStart w:id="3100" w:name="use-the-g3mail-library"/>
    <w:p>
      <w:pPr>
        <w:pStyle w:val="Heading1"/>
      </w:pPr>
      <w:r>
        <w:t xml:space="preserve">Use the G3MAIL Library</w:t>
      </w:r>
    </w:p>
    <w:bookmarkStart w:id="3091" w:name="overview-301"/>
    <w:p>
      <w:pPr>
        <w:pStyle w:val="Heading2"/>
      </w:pPr>
      <w:r>
        <w:t xml:space="preserve">Overview</w:t>
      </w:r>
    </w:p>
    <w:p>
      <w:pPr>
        <w:pStyle w:val="FirstParagraph"/>
      </w:pPr>
      <w:r>
        <w:t xml:space="preserve">The</w:t>
      </w:r>
      <w:r>
        <w:t xml:space="preserve"> </w:t>
      </w:r>
      <w:r>
        <w:rPr>
          <w:b/>
          <w:bCs/>
        </w:rPr>
        <w:t xml:space="preserve">G3MAIL</w:t>
      </w:r>
      <w:r>
        <w:t xml:space="preserve"> </w:t>
      </w:r>
      <w:r>
        <w:t xml:space="preserve">library provides high-performance SMTP (Simple Mail Transfer Protocol) capabilities for G3Pix AxonASP applications. It enables the delivery of electronic mail messages with support for plain text, HTML formatting, multiple recipients (To, CC, BCC), and secure authentication. The library is designed for zero-allocation performance and can leverage system environment variables for default SMTP configuration.</w:t>
      </w:r>
    </w:p>
    <w:bookmarkEnd w:id="3091"/>
    <w:bookmarkStart w:id="3092" w:name="syntax-304"/>
    <w:p>
      <w:pPr>
        <w:pStyle w:val="Heading2"/>
      </w:pPr>
      <w:r>
        <w:t xml:space="preserve">Syntax</w:t>
      </w:r>
    </w:p>
    <w:p>
      <w:pPr>
        <w:pStyle w:val="FirstParagraph"/>
      </w:pPr>
      <w:r>
        <w:t xml:space="preserve">To instantiate the library, use the following syntax:</w:t>
      </w:r>
    </w:p>
    <w:p>
      <w:pPr>
        <w:pStyle w:val="SourceCode"/>
      </w:pPr>
      <w:r>
        <w:rPr>
          <w:rStyle w:val="NormalTok"/>
        </w:rPr>
        <w:t xml:space="preserve">Dim mail</w:t>
      </w:r>
      <w:r>
        <w:br/>
      </w:r>
      <w:r>
        <w:rPr>
          <w:rStyle w:val="NormalTok"/>
        </w:rPr>
        <w:t xml:space="preserve">Set mail = Server.CreateObject("G3MAIL")</w:t>
      </w:r>
    </w:p>
    <w:p>
      <w:pPr>
        <w:pStyle w:val="SourceCode"/>
      </w:pPr>
      <w:r>
        <w:rPr>
          <w:rStyle w:val="KeywordTok"/>
        </w:rPr>
        <w:t xml:space="preserve">var</w:t>
      </w:r>
      <w:r>
        <w:rPr>
          <w:rStyle w:val="NormalTok"/>
        </w:rPr>
        <w:t xml:space="preserve"> mail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"G3MAIL"</w:t>
      </w:r>
      <w:r>
        <w:rPr>
          <w:rStyle w:val="NormalTok"/>
        </w:rPr>
        <w:t xml:space="preserve">)</w:t>
      </w:r>
      <w:r>
        <w:rPr>
          <w:rStyle w:val="OperatorTok"/>
        </w:rPr>
        <w:t xml:space="preserve">;</w:t>
      </w:r>
    </w:p>
    <w:bookmarkEnd w:id="3092"/>
    <w:bookmarkStart w:id="3093" w:name="supported-progids"/>
    <w:p>
      <w:pPr>
        <w:pStyle w:val="Heading2"/>
      </w:pPr>
      <w:r>
        <w:t xml:space="preserve">Supported ProgIDs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ProgID</w:t>
            </w:r>
          </w:p>
        </w:tc>
        <w:tc>
          <w:tcPr/>
          <w:p>
            <w:pPr>
              <w:pStyle w:val="Compact"/>
            </w:pPr>
            <w:r>
              <w:t xml:space="preserve">Notes</w:t>
            </w:r>
          </w:p>
        </w:tc>
      </w:tr>
      <w:tr>
        <w:tc>
          <w:tcPr/>
          <w:p>
            <w:pPr>
              <w:pStyle w:val="Compact"/>
            </w:pPr>
            <w:r>
              <w:rPr>
                <w:rStyle w:val="VerbatimChar"/>
              </w:rPr>
              <w:t xml:space="preserve">G3MAIL</w:t>
            </w:r>
          </w:p>
        </w:tc>
        <w:tc>
          <w:tcPr/>
          <w:p>
            <w:pPr>
              <w:pStyle w:val="Compact"/>
            </w:pPr>
            <w:r>
              <w:t xml:space="preserve">Primary G3Pix AxonASP ProgID.</w:t>
            </w:r>
          </w:p>
        </w:tc>
      </w:tr>
      <w:tr>
        <w:tc>
          <w:tcPr/>
          <w:p>
            <w:pPr>
              <w:pStyle w:val="Compact"/>
            </w:pPr>
            <w:r>
              <w:rPr>
                <w:rStyle w:val="VerbatimChar"/>
              </w:rPr>
              <w:t xml:space="preserve">CDONTS.NewMail</w:t>
            </w:r>
          </w:p>
        </w:tc>
        <w:tc>
          <w:tcPr/>
          <w:p>
            <w:pPr>
              <w:pStyle w:val="Compact"/>
            </w:pPr>
            <w:r>
              <w:t xml:space="preserve">Compatibility alias mapped to the G3MAIL object.</w:t>
            </w:r>
          </w:p>
        </w:tc>
      </w:tr>
      <w:tr>
        <w:tc>
          <w:tcPr/>
          <w:p>
            <w:pPr>
              <w:pStyle w:val="Compact"/>
            </w:pPr>
            <w:r>
              <w:rPr>
                <w:rStyle w:val="VerbatimChar"/>
              </w:rPr>
              <w:t xml:space="preserve">CDO.Message</w:t>
            </w:r>
          </w:p>
        </w:tc>
        <w:tc>
          <w:tcPr/>
          <w:p>
            <w:pPr>
              <w:pStyle w:val="Compact"/>
            </w:pPr>
            <w:r>
              <w:t xml:space="preserve">Compatibility alias mapped to the G3MAIL object.</w:t>
            </w:r>
          </w:p>
        </w:tc>
      </w:tr>
      <w:tr>
        <w:tc>
          <w:tcPr/>
          <w:p>
            <w:pPr>
              <w:pStyle w:val="Compact"/>
            </w:pPr>
            <w:r>
              <w:rPr>
                <w:rStyle w:val="VerbatimChar"/>
              </w:rPr>
              <w:t xml:space="preserve">Persits.MailSender</w:t>
            </w:r>
          </w:p>
        </w:tc>
        <w:tc>
          <w:tcPr/>
          <w:p>
            <w:pPr>
              <w:pStyle w:val="Compact"/>
            </w:pPr>
            <w:r>
              <w:t xml:space="preserve">Compatibility alias mapped to the G3MAIL object.</w:t>
            </w:r>
          </w:p>
        </w:tc>
      </w:tr>
    </w:tbl>
    <w:bookmarkEnd w:id="3093"/>
    <w:bookmarkStart w:id="3094" w:name="prerequisites-149"/>
    <w:p>
      <w:pPr>
        <w:pStyle w:val="Heading2"/>
      </w:pPr>
      <w:r>
        <w:t xml:space="preserve">Prerequisites</w:t>
      </w:r>
    </w:p>
    <w:p>
      <w:pPr>
        <w:pStyle w:val="Compact"/>
        <w:numPr>
          <w:ilvl w:val="0"/>
          <w:numId w:val="1782"/>
        </w:numPr>
      </w:pPr>
      <w:r>
        <w:rPr>
          <w:b/>
          <w:bCs/>
        </w:rPr>
        <w:t xml:space="preserve">SMTP Server access</w:t>
      </w:r>
      <w:r>
        <w:t xml:space="preserve">: Requires a valid SMTP server hostname or IP address.</w:t>
      </w:r>
    </w:p>
    <w:p>
      <w:pPr>
        <w:pStyle w:val="Compact"/>
        <w:numPr>
          <w:ilvl w:val="0"/>
          <w:numId w:val="1782"/>
        </w:numPr>
      </w:pPr>
      <w:r>
        <w:rPr>
          <w:b/>
          <w:bCs/>
        </w:rPr>
        <w:t xml:space="preserve">Authentication</w:t>
      </w:r>
      <w:r>
        <w:t xml:space="preserve">: Valid credentials (Username and Password) are typically required for external relaying.</w:t>
      </w:r>
    </w:p>
    <w:p>
      <w:pPr>
        <w:pStyle w:val="Compact"/>
        <w:numPr>
          <w:ilvl w:val="0"/>
          <w:numId w:val="1782"/>
        </w:numPr>
      </w:pPr>
      <w:r>
        <w:rPr>
          <w:b/>
          <w:bCs/>
        </w:rPr>
        <w:t xml:space="preserve">Network access</w:t>
      </w:r>
      <w:r>
        <w:t xml:space="preserve">: The server hosting AxonASP must have outbound access to the SMTP port (usually 25, 465, or 587).</w:t>
      </w:r>
    </w:p>
    <w:bookmarkEnd w:id="3094"/>
    <w:bookmarkStart w:id="3095" w:name="how-it-works-20"/>
    <w:p>
      <w:pPr>
        <w:pStyle w:val="Heading2"/>
      </w:pPr>
      <w:r>
        <w:t xml:space="preserve">How it Works</w:t>
      </w:r>
    </w:p>
    <w:p>
      <w:pPr>
        <w:pStyle w:val="FirstParagraph"/>
      </w:pPr>
      <w:r>
        <w:t xml:space="preserve">The G3MAIL object operates as a stateful message builder. You configure the server connection details and message properties (such as</w:t>
      </w:r>
      <w:r>
        <w:t xml:space="preserve"> </w:t>
      </w:r>
      <w:r>
        <w:rPr>
          <w:b/>
          <w:bCs/>
        </w:rPr>
        <w:t xml:space="preserve">Subject</w:t>
      </w:r>
      <w:r>
        <w:t xml:space="preserve">,</w:t>
      </w:r>
      <w:r>
        <w:t xml:space="preserve"> </w:t>
      </w:r>
      <w:r>
        <w:rPr>
          <w:b/>
          <w:bCs/>
        </w:rPr>
        <w:t xml:space="preserve">Body</w:t>
      </w:r>
      <w:r>
        <w:t xml:space="preserve">, and recipients) before calling the</w:t>
      </w:r>
      <w:r>
        <w:t xml:space="preserve"> </w:t>
      </w:r>
      <w:r>
        <w:rPr>
          <w:b/>
          <w:bCs/>
        </w:rPr>
        <w:t xml:space="preserve">Send</w:t>
      </w:r>
      <w:r>
        <w:t xml:space="preserve"> </w:t>
      </w:r>
      <w:r>
        <w:t xml:space="preserve">method.</w:t>
      </w:r>
    </w:p>
    <w:p>
      <w:pPr>
        <w:pStyle w:val="BodyText"/>
      </w:pPr>
      <w:r>
        <w:t xml:space="preserve">AxonASP resolves all supported mail ProgIDs to the same native object, so the compatibility aliases listed above expose the same methods, properties, and runtime behavior as</w:t>
      </w:r>
      <w:r>
        <w:t xml:space="preserve"> </w:t>
      </w:r>
      <w:r>
        <w:rPr>
          <w:rStyle w:val="VerbatimChar"/>
        </w:rPr>
        <w:t xml:space="preserve">G3MAIL</w:t>
      </w:r>
      <w:r>
        <w:t xml:space="preserve">.</w:t>
      </w:r>
    </w:p>
    <w:p>
      <w:pPr>
        <w:pStyle w:val="BodyText"/>
      </w:pPr>
      <w:r>
        <w:t xml:space="preserve">If SMTP properties are not explicitly set in the script, the library automatically attempts to retrieve configuration from the following environment variables:</w:t>
      </w:r>
      <w:r>
        <w:t xml:space="preserve"> </w:t>
      </w:r>
      <w:r>
        <w:t xml:space="preserve">-</w:t>
      </w:r>
      <w:r>
        <w:t xml:space="preserve"> </w:t>
      </w:r>
      <w:r>
        <w:rPr>
          <w:rStyle w:val="VerbatimChar"/>
        </w:rPr>
        <w:t xml:space="preserve">SMTP_HOST</w:t>
      </w:r>
      <w:r>
        <w:t xml:space="preserve"> </w:t>
      </w:r>
      <w:r>
        <w:t xml:space="preserve">-</w:t>
      </w:r>
      <w:r>
        <w:t xml:space="preserve"> </w:t>
      </w:r>
      <w:r>
        <w:rPr>
          <w:rStyle w:val="VerbatimChar"/>
        </w:rPr>
        <w:t xml:space="preserve">SMTP_PORT</w:t>
      </w:r>
      <w:r>
        <w:t xml:space="preserve"> </w:t>
      </w:r>
      <w:r>
        <w:t xml:space="preserve">-</w:t>
      </w:r>
      <w:r>
        <w:t xml:space="preserve"> </w:t>
      </w:r>
      <w:r>
        <w:rPr>
          <w:rStyle w:val="VerbatimChar"/>
        </w:rPr>
        <w:t xml:space="preserve">SMTP_USER</w:t>
      </w:r>
      <w:r>
        <w:t xml:space="preserve"> </w:t>
      </w:r>
      <w:r>
        <w:t xml:space="preserve">-</w:t>
      </w:r>
      <w:r>
        <w:t xml:space="preserve"> </w:t>
      </w:r>
      <w:r>
        <w:rPr>
          <w:rStyle w:val="VerbatimChar"/>
        </w:rPr>
        <w:t xml:space="preserve">SMTP_PASS</w:t>
      </w:r>
      <w:r>
        <w:t xml:space="preserve"> </w:t>
      </w:r>
      <w:r>
        <w:t xml:space="preserve">-</w:t>
      </w:r>
      <w:r>
        <w:t xml:space="preserve"> </w:t>
      </w:r>
      <w:r>
        <w:rPr>
          <w:rStyle w:val="VerbatimChar"/>
        </w:rPr>
        <w:t xml:space="preserve">SMTP_FROM</w:t>
      </w:r>
    </w:p>
    <w:bookmarkEnd w:id="3095"/>
    <w:bookmarkStart w:id="3098" w:name="api-reference-152"/>
    <w:p>
      <w:pPr>
        <w:pStyle w:val="Heading2"/>
      </w:pPr>
      <w:r>
        <w:t xml:space="preserve">API Reference</w:t>
      </w:r>
    </w:p>
    <w:bookmarkStart w:id="3096" w:name="methods-15"/>
    <w:p>
      <w:pPr>
        <w:pStyle w:val="Heading3"/>
      </w:pPr>
      <w:r>
        <w:t xml:space="preserve">Methods</w:t>
      </w:r>
    </w:p>
    <w:p>
      <w:pPr>
        <w:pStyle w:val="Compact"/>
        <w:numPr>
          <w:ilvl w:val="0"/>
          <w:numId w:val="1783"/>
        </w:numPr>
      </w:pPr>
      <w:r>
        <w:rPr>
          <w:b/>
          <w:bCs/>
        </w:rPr>
        <w:t xml:space="preserve">AddAddress</w:t>
      </w:r>
      <w:r>
        <w:t xml:space="preserve">: Appends a recipient to the primary destination list.</w:t>
      </w:r>
    </w:p>
    <w:p>
      <w:pPr>
        <w:pStyle w:val="Compact"/>
        <w:numPr>
          <w:ilvl w:val="0"/>
          <w:numId w:val="1783"/>
        </w:numPr>
      </w:pPr>
      <w:r>
        <w:rPr>
          <w:b/>
          <w:bCs/>
        </w:rPr>
        <w:t xml:space="preserve">AddAttachment</w:t>
      </w:r>
      <w:r>
        <w:t xml:space="preserve">: Attaches a file to the email.</w:t>
      </w:r>
    </w:p>
    <w:p>
      <w:pPr>
        <w:pStyle w:val="Compact"/>
        <w:numPr>
          <w:ilvl w:val="0"/>
          <w:numId w:val="1783"/>
        </w:numPr>
      </w:pPr>
      <w:r>
        <w:rPr>
          <w:b/>
          <w:bCs/>
        </w:rPr>
        <w:t xml:space="preserve">AddBcc</w:t>
      </w:r>
      <w:r>
        <w:t xml:space="preserve">: Appends a recipient to the blind carbon copy list.</w:t>
      </w:r>
    </w:p>
    <w:p>
      <w:pPr>
        <w:pStyle w:val="Compact"/>
        <w:numPr>
          <w:ilvl w:val="0"/>
          <w:numId w:val="1783"/>
        </w:numPr>
      </w:pPr>
      <w:r>
        <w:rPr>
          <w:b/>
          <w:bCs/>
        </w:rPr>
        <w:t xml:space="preserve">AddCc</w:t>
      </w:r>
      <w:r>
        <w:t xml:space="preserve">: Appends a recipient to the carbon copy list.</w:t>
      </w:r>
    </w:p>
    <w:p>
      <w:pPr>
        <w:pStyle w:val="Compact"/>
        <w:numPr>
          <w:ilvl w:val="0"/>
          <w:numId w:val="1783"/>
        </w:numPr>
      </w:pPr>
      <w:r>
        <w:rPr>
          <w:b/>
          <w:bCs/>
        </w:rPr>
        <w:t xml:space="preserve">AddRelatedBodyPart</w:t>
      </w:r>
      <w:r>
        <w:t xml:space="preserve">: Embeds an inline resource with a Content-ID.</w:t>
      </w:r>
    </w:p>
    <w:p>
      <w:pPr>
        <w:pStyle w:val="Compact"/>
        <w:numPr>
          <w:ilvl w:val="0"/>
          <w:numId w:val="1783"/>
        </w:numPr>
      </w:pPr>
      <w:r>
        <w:rPr>
          <w:b/>
          <w:bCs/>
        </w:rPr>
        <w:t xml:space="preserve">Clear</w:t>
      </w:r>
      <w:r>
        <w:t xml:space="preserve">: Resets all message fields and recipient lists to their default state.</w:t>
      </w:r>
    </w:p>
    <w:p>
      <w:pPr>
        <w:pStyle w:val="Compact"/>
        <w:numPr>
          <w:ilvl w:val="0"/>
          <w:numId w:val="1783"/>
        </w:numPr>
      </w:pPr>
      <w:r>
        <w:rPr>
          <w:b/>
          <w:bCs/>
        </w:rPr>
        <w:t xml:space="preserve">Send</w:t>
      </w:r>
      <w:r>
        <w:t xml:space="preserve">: Connects to the SMTP server and delivers the message.</w:t>
      </w:r>
    </w:p>
    <w:bookmarkEnd w:id="3096"/>
    <w:bookmarkStart w:id="3097" w:name="properties-17"/>
    <w:p>
      <w:pPr>
        <w:pStyle w:val="Heading3"/>
      </w:pPr>
      <w:r>
        <w:t xml:space="preserve">Properties</w:t>
      </w:r>
    </w:p>
    <w:p>
      <w:pPr>
        <w:pStyle w:val="Compact"/>
        <w:numPr>
          <w:ilvl w:val="0"/>
          <w:numId w:val="1784"/>
        </w:numPr>
      </w:pPr>
      <w:r>
        <w:rPr>
          <w:b/>
          <w:bCs/>
        </w:rPr>
        <w:t xml:space="preserve">Body</w:t>
      </w:r>
      <w:r>
        <w:t xml:space="preserve">: Sets the message content. Automatically detects format based on</w:t>
      </w:r>
      <w:r>
        <w:t xml:space="preserve"> </w:t>
      </w:r>
      <w:r>
        <w:rPr>
          <w:b/>
          <w:bCs/>
        </w:rPr>
        <w:t xml:space="preserve">IsHTML</w:t>
      </w:r>
      <w:r>
        <w:t xml:space="preserve">.</w:t>
      </w:r>
    </w:p>
    <w:p>
      <w:pPr>
        <w:pStyle w:val="Compact"/>
        <w:numPr>
          <w:ilvl w:val="0"/>
          <w:numId w:val="1784"/>
        </w:numPr>
      </w:pPr>
      <w:r>
        <w:rPr>
          <w:b/>
          <w:bCs/>
        </w:rPr>
        <w:t xml:space="preserve">BodyFormat</w:t>
      </w:r>
      <w:r>
        <w:t xml:space="preserve">: Sets the message format (0 for HTML, 1 for Text).</w:t>
      </w:r>
    </w:p>
    <w:p>
      <w:pPr>
        <w:pStyle w:val="Compact"/>
        <w:numPr>
          <w:ilvl w:val="0"/>
          <w:numId w:val="1784"/>
        </w:numPr>
      </w:pPr>
      <w:r>
        <w:rPr>
          <w:b/>
          <w:bCs/>
        </w:rPr>
        <w:t xml:space="preserve">From</w:t>
      </w:r>
      <w:r>
        <w:t xml:space="preserve">: Sets the sender’s email address.</w:t>
      </w:r>
    </w:p>
    <w:p>
      <w:pPr>
        <w:pStyle w:val="Compact"/>
        <w:numPr>
          <w:ilvl w:val="0"/>
          <w:numId w:val="1784"/>
        </w:numPr>
      </w:pPr>
      <w:r>
        <w:rPr>
          <w:b/>
          <w:bCs/>
        </w:rPr>
        <w:t xml:space="preserve">FromName</w:t>
      </w:r>
      <w:r>
        <w:t xml:space="preserve">: Sets the display name for the sender.</w:t>
      </w:r>
    </w:p>
    <w:p>
      <w:pPr>
        <w:pStyle w:val="Compact"/>
        <w:numPr>
          <w:ilvl w:val="0"/>
          <w:numId w:val="1784"/>
        </w:numPr>
      </w:pPr>
      <w:r>
        <w:rPr>
          <w:b/>
          <w:bCs/>
        </w:rPr>
        <w:t xml:space="preserve">Host</w:t>
      </w:r>
      <w:r>
        <w:t xml:space="preserve">: Sets the SMTP server address.</w:t>
      </w:r>
    </w:p>
    <w:p>
      <w:pPr>
        <w:pStyle w:val="Compact"/>
        <w:numPr>
          <w:ilvl w:val="0"/>
          <w:numId w:val="1784"/>
        </w:numPr>
      </w:pPr>
      <w:r>
        <w:rPr>
          <w:b/>
          <w:bCs/>
        </w:rPr>
        <w:t xml:space="preserve">HTMLBody</w:t>
      </w:r>
      <w:r>
        <w:t xml:space="preserve">: Sets the message HTML content.</w:t>
      </w:r>
    </w:p>
    <w:p>
      <w:pPr>
        <w:pStyle w:val="Compact"/>
        <w:numPr>
          <w:ilvl w:val="0"/>
          <w:numId w:val="1784"/>
        </w:numPr>
      </w:pPr>
      <w:r>
        <w:rPr>
          <w:b/>
          <w:bCs/>
        </w:rPr>
        <w:t xml:space="preserve">IsHTML</w:t>
      </w:r>
      <w:r>
        <w:t xml:space="preserve">: Specifies whether the body should be treated as HTML.</w:t>
      </w:r>
    </w:p>
    <w:p>
      <w:pPr>
        <w:pStyle w:val="Compact"/>
        <w:numPr>
          <w:ilvl w:val="0"/>
          <w:numId w:val="1784"/>
        </w:numPr>
      </w:pPr>
      <w:r>
        <w:rPr>
          <w:b/>
          <w:bCs/>
        </w:rPr>
        <w:t xml:space="preserve">Password</w:t>
      </w:r>
      <w:r>
        <w:t xml:space="preserve">: Sets the authentication password.</w:t>
      </w:r>
    </w:p>
    <w:p>
      <w:pPr>
        <w:pStyle w:val="Compact"/>
        <w:numPr>
          <w:ilvl w:val="0"/>
          <w:numId w:val="1784"/>
        </w:numPr>
      </w:pPr>
      <w:r>
        <w:rPr>
          <w:b/>
          <w:bCs/>
        </w:rPr>
        <w:t xml:space="preserve">Port</w:t>
      </w:r>
      <w:r>
        <w:t xml:space="preserve">: Sets the SMTP server port.</w:t>
      </w:r>
    </w:p>
    <w:p>
      <w:pPr>
        <w:pStyle w:val="Compact"/>
        <w:numPr>
          <w:ilvl w:val="0"/>
          <w:numId w:val="1784"/>
        </w:numPr>
      </w:pPr>
      <w:r>
        <w:rPr>
          <w:b/>
          <w:bCs/>
        </w:rPr>
        <w:t xml:space="preserve">Subject</w:t>
      </w:r>
      <w:r>
        <w:t xml:space="preserve">: Sets the message subject line.</w:t>
      </w:r>
    </w:p>
    <w:p>
      <w:pPr>
        <w:pStyle w:val="Compact"/>
        <w:numPr>
          <w:ilvl w:val="0"/>
          <w:numId w:val="1784"/>
        </w:numPr>
      </w:pPr>
      <w:r>
        <w:rPr>
          <w:b/>
          <w:bCs/>
        </w:rPr>
        <w:t xml:space="preserve">To</w:t>
      </w:r>
      <w:r>
        <w:t xml:space="preserve">: Sets the primary recipient list (comma or semicolon separated).</w:t>
      </w:r>
    </w:p>
    <w:p>
      <w:pPr>
        <w:pStyle w:val="Compact"/>
        <w:numPr>
          <w:ilvl w:val="0"/>
          <w:numId w:val="1784"/>
        </w:numPr>
      </w:pPr>
      <w:r>
        <w:rPr>
          <w:b/>
          <w:bCs/>
        </w:rPr>
        <w:t xml:space="preserve">Username</w:t>
      </w:r>
      <w:r>
        <w:t xml:space="preserve">: Sets the authentication username.</w:t>
      </w:r>
    </w:p>
    <w:bookmarkEnd w:id="3097"/>
    <w:bookmarkEnd w:id="3098"/>
    <w:bookmarkStart w:id="3099" w:name="code-example-101"/>
    <w:p>
      <w:pPr>
        <w:pStyle w:val="Heading2"/>
      </w:pPr>
      <w:r>
        <w:t xml:space="preserve">Code Example</w:t>
      </w:r>
    </w:p>
    <w:p>
      <w:pPr>
        <w:pStyle w:val="FirstParagraph"/>
      </w:pPr>
      <w:r>
        <w:t xml:space="preserve">The following example demonstrates how to configure and send an HTML email.</w:t>
      </w:r>
    </w:p>
    <w:p>
      <w:pPr>
        <w:pStyle w:val="SourceCode"/>
      </w:pPr>
      <w:r>
        <w:rPr>
          <w:rStyle w:val="DataTypeTok"/>
        </w:rPr>
        <w:t xml:space="preserve">&lt;%</w:t>
      </w:r>
      <w:r>
        <w:br/>
      </w:r>
      <w:r>
        <w:rPr>
          <w:rStyle w:val="KeywordTok"/>
        </w:rPr>
        <w:t xml:space="preserve">Dim</w:t>
      </w:r>
      <w:r>
        <w:rPr>
          <w:rStyle w:val="NormalTok"/>
        </w:rPr>
        <w:t xml:space="preserve"> mail</w:t>
      </w:r>
      <w:r>
        <w:rPr>
          <w:rStyle w:val="OtherTok"/>
        </w:rPr>
        <w:t xml:space="preserve">,</w:t>
      </w:r>
      <w:r>
        <w:rPr>
          <w:rStyle w:val="NormalTok"/>
        </w:rPr>
        <w:t xml:space="preserve"> result</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CommentTok"/>
        </w:rPr>
        <w:t xml:space="preserve">' Configure SMTP Server</w:t>
      </w:r>
      <w:r>
        <w:br/>
      </w:r>
      <w:r>
        <w:rPr>
          <w:rStyle w:val="NormalTok"/>
        </w:rPr>
        <w:t xml:space="preserve">mail.Host = </w:t>
      </w:r>
      <w:r>
        <w:rPr>
          <w:rStyle w:val="StringTok"/>
        </w:rPr>
        <w:t xml:space="preserve">"smtp.example.com"</w:t>
      </w:r>
      <w:r>
        <w:br/>
      </w:r>
      <w:r>
        <w:rPr>
          <w:rStyle w:val="NormalTok"/>
        </w:rPr>
        <w:t xml:space="preserve">mail.Port = </w:t>
      </w:r>
      <w:r>
        <w:rPr>
          <w:rStyle w:val="DecValTok"/>
        </w:rPr>
        <w:t xml:space="preserve">587</w:t>
      </w:r>
      <w:r>
        <w:br/>
      </w:r>
      <w:r>
        <w:rPr>
          <w:rStyle w:val="NormalTok"/>
        </w:rPr>
        <w:t xml:space="preserve">mail.Username = </w:t>
      </w:r>
      <w:r>
        <w:rPr>
          <w:rStyle w:val="StringTok"/>
        </w:rPr>
        <w:t xml:space="preserve">"user@example.com"</w:t>
      </w:r>
      <w:r>
        <w:br/>
      </w:r>
      <w:r>
        <w:rPr>
          <w:rStyle w:val="NormalTok"/>
        </w:rPr>
        <w:t xml:space="preserve">mail.Password = </w:t>
      </w:r>
      <w:r>
        <w:rPr>
          <w:rStyle w:val="StringTok"/>
        </w:rPr>
        <w:t xml:space="preserve">"securePassword123"</w:t>
      </w:r>
      <w:r>
        <w:br/>
      </w:r>
      <w:r>
        <w:br/>
      </w:r>
      <w:r>
        <w:rPr>
          <w:rStyle w:val="CommentTok"/>
        </w:rPr>
        <w:t xml:space="preserve">' Configure Message</w:t>
      </w:r>
      <w:r>
        <w:br/>
      </w:r>
      <w:r>
        <w:rPr>
          <w:rStyle w:val="NormalTok"/>
        </w:rPr>
        <w:t xml:space="preserve">mail.From = </w:t>
      </w:r>
      <w:r>
        <w:rPr>
          <w:rStyle w:val="StringTok"/>
        </w:rPr>
        <w:t xml:space="preserve">"noreply@example.com"</w:t>
      </w:r>
      <w:r>
        <w:br/>
      </w:r>
      <w:r>
        <w:rPr>
          <w:rStyle w:val="NormalTok"/>
        </w:rPr>
        <w:t xml:space="preserve">mail.FromName = </w:t>
      </w:r>
      <w:r>
        <w:rPr>
          <w:rStyle w:val="StringTok"/>
        </w:rPr>
        <w:t xml:space="preserve">"AxonASP Notification"</w:t>
      </w:r>
      <w:r>
        <w:br/>
      </w:r>
      <w:r>
        <w:rPr>
          <w:rStyle w:val="NormalTok"/>
        </w:rPr>
        <w:t xml:space="preserve">mail.Subject = </w:t>
      </w:r>
      <w:r>
        <w:rPr>
          <w:rStyle w:val="StringTok"/>
        </w:rPr>
        <w:t xml:space="preserve">"System Alert: Update Completed"</w:t>
      </w:r>
      <w:r>
        <w:br/>
      </w:r>
      <w:r>
        <w:rPr>
          <w:rStyle w:val="NormalTok"/>
        </w:rPr>
        <w:t xml:space="preserve">mail.HTMLBody = </w:t>
      </w:r>
      <w:r>
        <w:rPr>
          <w:rStyle w:val="StringTok"/>
        </w:rPr>
        <w:t xml:space="preserve">"&lt;h1&gt;Update Successful&lt;/h1&gt;&lt;p&gt;Your system has been updated to the latest version.&lt;/p&gt;"</w:t>
      </w:r>
      <w:r>
        <w:br/>
      </w:r>
      <w:r>
        <w:br/>
      </w:r>
      <w:r>
        <w:rPr>
          <w:rStyle w:val="CommentTok"/>
        </w:rPr>
        <w:t xml:space="preserve">' Add Recipients</w:t>
      </w:r>
      <w:r>
        <w:br/>
      </w:r>
      <w:r>
        <w:rPr>
          <w:rStyle w:val="NormalTok"/>
        </w:rPr>
        <w:t xml:space="preserve">mail.AddAddress </w:t>
      </w:r>
      <w:r>
        <w:rPr>
          <w:rStyle w:val="StringTok"/>
        </w:rPr>
        <w:t xml:space="preserve">"admin@example.com"</w:t>
      </w:r>
      <w:r>
        <w:br/>
      </w:r>
      <w:r>
        <w:rPr>
          <w:rStyle w:val="NormalTok"/>
        </w:rPr>
        <w:t xml:space="preserve">mail.AddCc </w:t>
      </w:r>
      <w:r>
        <w:rPr>
          <w:rStyle w:val="StringTok"/>
        </w:rPr>
        <w:t xml:space="preserve">"backup@example.com"</w:t>
      </w:r>
      <w:r>
        <w:br/>
      </w:r>
      <w:r>
        <w:br/>
      </w:r>
      <w:r>
        <w:rPr>
          <w:rStyle w:val="CommentTok"/>
        </w:rPr>
        <w:t xml:space="preserve">' Send Email</w:t>
      </w:r>
      <w:r>
        <w:br/>
      </w:r>
      <w:r>
        <w:rPr>
          <w:rStyle w:val="NormalTok"/>
        </w:rPr>
        <w:t xml:space="preserve">result = mail.Send</w:t>
      </w:r>
      <w:r>
        <w:rPr>
          <w:rStyle w:val="OtherTok"/>
        </w:rPr>
        <w:t xml:space="preserve">()</w:t>
      </w:r>
      <w:r>
        <w:br/>
      </w:r>
      <w:r>
        <w:br/>
      </w:r>
      <w:r>
        <w:rPr>
          <w:rStyle w:val="ControlFlowTok"/>
        </w:rPr>
        <w:t xml:space="preserve">If</w:t>
      </w:r>
      <w:r>
        <w:rPr>
          <w:rStyle w:val="NormalTok"/>
        </w:rPr>
        <w:t xml:space="preserve"> result = </w:t>
      </w:r>
      <w:r>
        <w:rPr>
          <w:rStyle w:val="KeywordTok"/>
        </w:rPr>
        <w:t xml:space="preserve">True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"Message delivered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"Delivery failed: "</w:t>
      </w:r>
      <w:r>
        <w:rPr>
          <w:rStyle w:val="NormalTok"/>
        </w:rPr>
        <w:t xml:space="preserve"> </w:t>
      </w:r>
      <w:r>
        <w:rPr>
          <w:rStyle w:val="KeywordTok"/>
        </w:rPr>
        <w:t xml:space="preserve">&amp;</w:t>
      </w:r>
      <w:r>
        <w:rPr>
          <w:rStyle w:val="NormalTok"/>
        </w:rPr>
        <w:t xml:space="preserve"> result</w:t>
      </w:r>
      <w:r>
        <w:br/>
      </w:r>
      <w:r>
        <w:rPr>
          <w:rStyle w:val="ControlFlowTok"/>
        </w:rPr>
        <w:t xml:space="preserve">End If</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099"/>
    <w:bookmarkEnd w:id="3100"/>
    <w:bookmarkStart w:id="3104" w:name="g3mail-methods"/>
    <w:p>
      <w:pPr>
        <w:pStyle w:val="Heading1"/>
      </w:pPr>
      <w:r>
        <w:t xml:space="preserve">G3MAIL Methods</w:t>
      </w:r>
    </w:p>
    <w:bookmarkStart w:id="3101" w:name="overview-302"/>
    <w:p>
      <w:pPr>
        <w:pStyle w:val="Heading2"/>
      </w:pPr>
      <w:r>
        <w:t xml:space="preserve">Overview</w:t>
      </w:r>
    </w:p>
    <w:p>
      <w:pPr>
        <w:pStyle w:val="FirstParagraph"/>
      </w:pPr>
      <w:r>
        <w:t xml:space="preserve">This page summarizes every method exposed by</w:t>
      </w:r>
      <w:r>
        <w:t xml:space="preserve"> </w:t>
      </w:r>
      <w:r>
        <w:rPr>
          <w:rStyle w:val="VerbatimChar"/>
        </w:rPr>
        <w:t xml:space="preserve">G3MAIL</w:t>
      </w:r>
      <w:r>
        <w:t xml:space="preserve"> </w:t>
      </w:r>
      <w:r>
        <w:t xml:space="preserve">in G3Pix AxonASP.</w:t>
      </w:r>
    </w:p>
    <w:bookmarkEnd w:id="3101"/>
    <w:bookmarkStart w:id="3102" w:name="methods-16"/>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AddAddress(address)</w:t>
            </w:r>
          </w:p>
        </w:tc>
        <w:tc>
          <w:tcPr/>
          <w:p>
            <w:pPr>
              <w:pStyle w:val="Compact"/>
            </w:pPr>
            <w:r>
              <w:t xml:space="preserve">Boolean</w:t>
            </w:r>
          </w:p>
        </w:tc>
        <w:tc>
          <w:tcPr/>
          <w:p>
            <w:pPr>
              <w:pStyle w:val="Compact"/>
            </w:pPr>
            <w:r>
              <w:t xml:space="preserve">Adds one recipient address to the To list. Returns</w:t>
            </w:r>
            <w:r>
              <w:t xml:space="preserve"> </w:t>
            </w:r>
            <w:r>
              <w:rPr>
                <w:rStyle w:val="VerbatimChar"/>
              </w:rPr>
              <w:t xml:space="preserve">True</w:t>
            </w:r>
            <w:r>
              <w:t xml:space="preserve">.</w:t>
            </w:r>
          </w:p>
        </w:tc>
      </w:tr>
      <w:tr>
        <w:tc>
          <w:tcPr/>
          <w:p>
            <w:pPr>
              <w:pStyle w:val="Compact"/>
            </w:pPr>
            <w:r>
              <w:rPr>
                <w:rStyle w:val="VerbatimChar"/>
              </w:rPr>
              <w:t xml:space="preserve">AddAddress(email, [name])</w:t>
            </w:r>
          </w:p>
        </w:tc>
        <w:tc>
          <w:tcPr/>
          <w:p>
            <w:pPr>
              <w:pStyle w:val="Compact"/>
            </w:pPr>
            <w:r>
              <w:t xml:space="preserve">Boolean</w:t>
            </w:r>
          </w:p>
        </w:tc>
        <w:tc>
          <w:tcPr/>
          <w:p>
            <w:pPr>
              <w:pStyle w:val="Compact"/>
            </w:pPr>
            <w:r>
              <w:t xml:space="preserve">Adds one recipient address to the To list. Supports email-only or email + name parameters.</w:t>
            </w:r>
          </w:p>
        </w:tc>
      </w:tr>
      <w:tr>
        <w:tc>
          <w:tcPr/>
          <w:p>
            <w:pPr>
              <w:pStyle w:val="Compact"/>
            </w:pPr>
            <w:r>
              <w:rPr>
                <w:rStyle w:val="VerbatimChar"/>
              </w:rPr>
              <w:t xml:space="preserve">AddAttachment(filepath)</w:t>
            </w:r>
          </w:p>
        </w:tc>
        <w:tc>
          <w:tcPr/>
          <w:p>
            <w:pPr>
              <w:pStyle w:val="Compact"/>
            </w:pPr>
            <w:r>
              <w:t xml:space="preserve">Boolean</w:t>
            </w:r>
          </w:p>
        </w:tc>
        <w:tc>
          <w:tcPr/>
          <w:p>
            <w:pPr>
              <w:pStyle w:val="Compact"/>
            </w:pPr>
            <w:r>
              <w:t xml:space="preserve">Attaches a file to the email.</w:t>
            </w:r>
          </w:p>
        </w:tc>
      </w:tr>
      <w:tr>
        <w:tc>
          <w:tcPr/>
          <w:p>
            <w:pPr>
              <w:pStyle w:val="Compact"/>
            </w:pPr>
            <w:r>
              <w:rPr>
                <w:rStyle w:val="VerbatimChar"/>
              </w:rPr>
              <w:t xml:space="preserve">AddBcc(email, [name])</w:t>
            </w:r>
          </w:p>
        </w:tc>
        <w:tc>
          <w:tcPr/>
          <w:p>
            <w:pPr>
              <w:pStyle w:val="Compact"/>
            </w:pPr>
            <w:r>
              <w:t xml:space="preserve">Boolean</w:t>
            </w:r>
          </w:p>
        </w:tc>
        <w:tc>
          <w:tcPr/>
          <w:p>
            <w:pPr>
              <w:pStyle w:val="Compact"/>
            </w:pPr>
            <w:r>
              <w:t xml:space="preserve">Adds one recipient address to the BCC list.</w:t>
            </w:r>
          </w:p>
        </w:tc>
      </w:tr>
      <w:tr>
        <w:tc>
          <w:tcPr/>
          <w:p>
            <w:pPr>
              <w:pStyle w:val="Compact"/>
            </w:pPr>
            <w:r>
              <w:rPr>
                <w:rStyle w:val="VerbatimChar"/>
              </w:rPr>
              <w:t xml:space="preserve">AddBCC(name, email)</w:t>
            </w:r>
          </w:p>
        </w:tc>
        <w:tc>
          <w:tcPr/>
          <w:p>
            <w:pPr>
              <w:pStyle w:val="Compact"/>
            </w:pPr>
            <w:r>
              <w:t xml:space="preserve">Boolean</w:t>
            </w:r>
          </w:p>
        </w:tc>
        <w:tc>
          <w:tcPr/>
          <w:p>
            <w:pPr>
              <w:pStyle w:val="Compact"/>
            </w:pPr>
            <w:r>
              <w:t xml:space="preserve">ASPMail alias for</w:t>
            </w:r>
            <w:r>
              <w:t xml:space="preserve"> </w:t>
            </w:r>
            <w:r>
              <w:rPr>
                <w:rStyle w:val="VerbatimChar"/>
              </w:rPr>
              <w:t xml:space="preserve">AddBcc</w:t>
            </w:r>
            <w:r>
              <w:t xml:space="preserve"> </w:t>
            </w:r>
            <w:r>
              <w:t xml:space="preserve">with reversed parameters.</w:t>
            </w:r>
          </w:p>
        </w:tc>
      </w:tr>
      <w:tr>
        <w:tc>
          <w:tcPr/>
          <w:p>
            <w:pPr>
              <w:pStyle w:val="Compact"/>
            </w:pPr>
            <w:r>
              <w:rPr>
                <w:rStyle w:val="VerbatimChar"/>
              </w:rPr>
              <w:t xml:space="preserve">AddCC(email, [name])</w:t>
            </w:r>
          </w:p>
        </w:tc>
        <w:tc>
          <w:tcPr/>
          <w:p>
            <w:pPr>
              <w:pStyle w:val="Compact"/>
            </w:pPr>
            <w:r>
              <w:t xml:space="preserve">Boolean</w:t>
            </w:r>
          </w:p>
        </w:tc>
        <w:tc>
          <w:tcPr/>
          <w:p>
            <w:pPr>
              <w:pStyle w:val="Compact"/>
            </w:pPr>
            <w:r>
              <w:t xml:space="preserve">Adds one recipient address to the CC list.</w:t>
            </w:r>
          </w:p>
        </w:tc>
      </w:tr>
      <w:tr>
        <w:tc>
          <w:tcPr/>
          <w:p>
            <w:pPr>
              <w:pStyle w:val="Compact"/>
            </w:pPr>
            <w:r>
              <w:rPr>
                <w:rStyle w:val="VerbatimChar"/>
              </w:rPr>
              <w:t xml:space="preserve">AddCC(name, email)</w:t>
            </w:r>
          </w:p>
        </w:tc>
        <w:tc>
          <w:tcPr/>
          <w:p>
            <w:pPr>
              <w:pStyle w:val="Compact"/>
            </w:pPr>
            <w:r>
              <w:t xml:space="preserve">Boolean</w:t>
            </w:r>
          </w:p>
        </w:tc>
        <w:tc>
          <w:tcPr/>
          <w:p>
            <w:pPr>
              <w:pStyle w:val="Compact"/>
            </w:pPr>
            <w:r>
              <w:t xml:space="preserve">ASPMail alias for</w:t>
            </w:r>
            <w:r>
              <w:t xml:space="preserve"> </w:t>
            </w:r>
            <w:r>
              <w:rPr>
                <w:rStyle w:val="VerbatimChar"/>
              </w:rPr>
              <w:t xml:space="preserve">AddCC</w:t>
            </w:r>
            <w:r>
              <w:t xml:space="preserve"> </w:t>
            </w:r>
            <w:r>
              <w:t xml:space="preserve">with reversed parameters.</w:t>
            </w:r>
          </w:p>
        </w:tc>
      </w:tr>
      <w:tr>
        <w:tc>
          <w:tcPr/>
          <w:p>
            <w:pPr>
              <w:pStyle w:val="Compact"/>
            </w:pPr>
            <w:r>
              <w:rPr>
                <w:rStyle w:val="VerbatimChar"/>
              </w:rPr>
              <w:t xml:space="preserve">AddRecipient(name, email)</w:t>
            </w:r>
          </w:p>
        </w:tc>
        <w:tc>
          <w:tcPr/>
          <w:p>
            <w:pPr>
              <w:pStyle w:val="Compact"/>
            </w:pPr>
            <w:r>
              <w:t xml:space="preserve">Boolean</w:t>
            </w:r>
          </w:p>
        </w:tc>
        <w:tc>
          <w:tcPr/>
          <w:p>
            <w:pPr>
              <w:pStyle w:val="Compact"/>
            </w:pPr>
            <w:r>
              <w:t xml:space="preserve">ASPMail alias for</w:t>
            </w:r>
            <w:r>
              <w:t xml:space="preserve"> </w:t>
            </w:r>
            <w:r>
              <w:rPr>
                <w:rStyle w:val="VerbatimChar"/>
              </w:rPr>
              <w:t xml:space="preserve">AddAddress</w:t>
            </w:r>
            <w:r>
              <w:t xml:space="preserve"> </w:t>
            </w:r>
            <w:r>
              <w:t xml:space="preserve">with reversed parameters.</w:t>
            </w:r>
          </w:p>
        </w:tc>
      </w:tr>
      <w:tr>
        <w:tc>
          <w:tcPr/>
          <w:p>
            <w:pPr>
              <w:pStyle w:val="Compact"/>
            </w:pPr>
            <w:r>
              <w:rPr>
                <w:rStyle w:val="VerbatimChar"/>
              </w:rPr>
              <w:t xml:space="preserve">AddReplyTo(email)</w:t>
            </w:r>
          </w:p>
        </w:tc>
        <w:tc>
          <w:tcPr/>
          <w:p>
            <w:pPr>
              <w:pStyle w:val="Compact"/>
            </w:pPr>
            <w:r>
              <w:t xml:space="preserve">Boolean</w:t>
            </w:r>
          </w:p>
        </w:tc>
        <w:tc>
          <w:tcPr/>
          <w:p>
            <w:pPr>
              <w:pStyle w:val="Compact"/>
            </w:pPr>
            <w:r>
              <w:t xml:space="preserve">Adds a Reply-To address to the email headers.</w:t>
            </w:r>
          </w:p>
        </w:tc>
      </w:tr>
      <w:tr>
        <w:tc>
          <w:tcPr/>
          <w:p>
            <w:pPr>
              <w:pStyle w:val="Compact"/>
            </w:pPr>
            <w:r>
              <w:rPr>
                <w:rStyle w:val="VerbatimChar"/>
              </w:rPr>
              <w:t xml:space="preserve">AddRelatedBodyPart(filepath, cid)</w:t>
            </w:r>
          </w:p>
        </w:tc>
        <w:tc>
          <w:tcPr/>
          <w:p>
            <w:pPr>
              <w:pStyle w:val="Compact"/>
            </w:pPr>
            <w:r>
              <w:t xml:space="preserve">Object</w:t>
            </w:r>
          </w:p>
        </w:tc>
        <w:tc>
          <w:tcPr/>
          <w:p>
            <w:pPr>
              <w:pStyle w:val="Compact"/>
            </w:pPr>
            <w:r>
              <w:t xml:space="preserve">Embeds a related resource (e.g. an image) with Content-ID.</w:t>
            </w:r>
          </w:p>
        </w:tc>
      </w:tr>
      <w:tr>
        <w:tc>
          <w:tcPr/>
          <w:p>
            <w:pPr>
              <w:pStyle w:val="Compact"/>
            </w:pPr>
            <w:r>
              <w:rPr>
                <w:rStyle w:val="VerbatimChar"/>
              </w:rPr>
              <w:t xml:space="preserve">Clear()</w:t>
            </w:r>
          </w:p>
        </w:tc>
        <w:tc>
          <w:tcPr/>
          <w:p>
            <w:pPr>
              <w:pStyle w:val="Compact"/>
            </w:pPr>
            <w:r>
              <w:t xml:space="preserve">Boolean</w:t>
            </w:r>
          </w:p>
        </w:tc>
        <w:tc>
          <w:tcPr/>
          <w:p>
            <w:pPr>
              <w:pStyle w:val="Compact"/>
            </w:pPr>
            <w:r>
              <w:t xml:space="preserve">Clears all recipients, subject, body, attachments, and related parts.</w:t>
            </w:r>
          </w:p>
        </w:tc>
      </w:tr>
      <w:tr>
        <w:tc>
          <w:tcPr/>
          <w:p>
            <w:pPr>
              <w:pStyle w:val="Compact"/>
            </w:pPr>
            <w:r>
              <w:rPr>
                <w:rStyle w:val="VerbatimChar"/>
              </w:rPr>
              <w:t xml:space="preserve">ClearAddresses()</w:t>
            </w:r>
          </w:p>
        </w:tc>
        <w:tc>
          <w:tcPr/>
          <w:p>
            <w:pPr>
              <w:pStyle w:val="Compact"/>
            </w:pPr>
            <w:r>
              <w:t xml:space="preserve">Boolean</w:t>
            </w:r>
          </w:p>
        </w:tc>
        <w:tc>
          <w:tcPr/>
          <w:p>
            <w:pPr>
              <w:pStyle w:val="Compact"/>
            </w:pPr>
            <w:r>
              <w:t xml:space="preserve">ASPEmail method to clear the To recipient list.</w:t>
            </w:r>
          </w:p>
        </w:tc>
      </w:tr>
      <w:tr>
        <w:tc>
          <w:tcPr/>
          <w:p>
            <w:pPr>
              <w:pStyle w:val="Compact"/>
            </w:pPr>
            <w:r>
              <w:rPr>
                <w:rStyle w:val="VerbatimChar"/>
              </w:rPr>
              <w:t xml:space="preserve">ClearAttachments()</w:t>
            </w:r>
          </w:p>
        </w:tc>
        <w:tc>
          <w:tcPr/>
          <w:p>
            <w:pPr>
              <w:pStyle w:val="Compact"/>
            </w:pPr>
            <w:r>
              <w:t xml:space="preserve">Boolean</w:t>
            </w:r>
          </w:p>
        </w:tc>
        <w:tc>
          <w:tcPr/>
          <w:p>
            <w:pPr>
              <w:pStyle w:val="Compact"/>
            </w:pPr>
            <w:r>
              <w:t xml:space="preserve">ASPEmail method to clear all attached files.</w:t>
            </w:r>
          </w:p>
        </w:tc>
      </w:tr>
      <w:tr>
        <w:tc>
          <w:tcPr/>
          <w:p>
            <w:pPr>
              <w:pStyle w:val="Compact"/>
            </w:pPr>
            <w:r>
              <w:rPr>
                <w:rStyle w:val="VerbatimChar"/>
              </w:rPr>
              <w:t xml:space="preserve">ClearBcc()</w:t>
            </w:r>
          </w:p>
        </w:tc>
        <w:tc>
          <w:tcPr/>
          <w:p>
            <w:pPr>
              <w:pStyle w:val="Compact"/>
            </w:pPr>
            <w:r>
              <w:t xml:space="preserve">Boolean</w:t>
            </w:r>
          </w:p>
        </w:tc>
        <w:tc>
          <w:tcPr/>
          <w:p>
            <w:pPr>
              <w:pStyle w:val="Compact"/>
            </w:pPr>
            <w:r>
              <w:t xml:space="preserve">ASPEmail method to clear the BCC recipient list.</w:t>
            </w:r>
          </w:p>
        </w:tc>
      </w:tr>
      <w:tr>
        <w:tc>
          <w:tcPr/>
          <w:p>
            <w:pPr>
              <w:pStyle w:val="Compact"/>
            </w:pPr>
            <w:r>
              <w:rPr>
                <w:rStyle w:val="VerbatimChar"/>
              </w:rPr>
              <w:t xml:space="preserve">ClearBCCs()</w:t>
            </w:r>
          </w:p>
        </w:tc>
        <w:tc>
          <w:tcPr/>
          <w:p>
            <w:pPr>
              <w:pStyle w:val="Compact"/>
            </w:pPr>
            <w:r>
              <w:t xml:space="preserve">Boolean</w:t>
            </w:r>
          </w:p>
        </w:tc>
        <w:tc>
          <w:tcPr/>
          <w:p>
            <w:pPr>
              <w:pStyle w:val="Compact"/>
            </w:pPr>
            <w:r>
              <w:t xml:space="preserve">ASPMail method to clear the BCC recipient list.</w:t>
            </w:r>
          </w:p>
        </w:tc>
      </w:tr>
      <w:tr>
        <w:tc>
          <w:tcPr/>
          <w:p>
            <w:pPr>
              <w:pStyle w:val="Compact"/>
            </w:pPr>
            <w:r>
              <w:rPr>
                <w:rStyle w:val="VerbatimChar"/>
              </w:rPr>
              <w:t xml:space="preserve">ClearCC()</w:t>
            </w:r>
          </w:p>
        </w:tc>
        <w:tc>
          <w:tcPr/>
          <w:p>
            <w:pPr>
              <w:pStyle w:val="Compact"/>
            </w:pPr>
            <w:r>
              <w:t xml:space="preserve">Boolean</w:t>
            </w:r>
          </w:p>
        </w:tc>
        <w:tc>
          <w:tcPr/>
          <w:p>
            <w:pPr>
              <w:pStyle w:val="Compact"/>
            </w:pPr>
            <w:r>
              <w:t xml:space="preserve">ASPEmail method to clear the CC recipient list.</w:t>
            </w:r>
          </w:p>
        </w:tc>
      </w:tr>
      <w:tr>
        <w:tc>
          <w:tcPr/>
          <w:p>
            <w:pPr>
              <w:pStyle w:val="Compact"/>
            </w:pPr>
            <w:r>
              <w:rPr>
                <w:rStyle w:val="VerbatimChar"/>
              </w:rPr>
              <w:t xml:space="preserve">ClearCCs()</w:t>
            </w:r>
          </w:p>
        </w:tc>
        <w:tc>
          <w:tcPr/>
          <w:p>
            <w:pPr>
              <w:pStyle w:val="Compact"/>
            </w:pPr>
            <w:r>
              <w:t xml:space="preserve">Boolean</w:t>
            </w:r>
          </w:p>
        </w:tc>
        <w:tc>
          <w:tcPr/>
          <w:p>
            <w:pPr>
              <w:pStyle w:val="Compact"/>
            </w:pPr>
            <w:r>
              <w:t xml:space="preserve">ASPMail method to clear the CC recipient list.</w:t>
            </w:r>
          </w:p>
        </w:tc>
      </w:tr>
      <w:tr>
        <w:tc>
          <w:tcPr/>
          <w:p>
            <w:pPr>
              <w:pStyle w:val="Compact"/>
            </w:pPr>
            <w:r>
              <w:rPr>
                <w:rStyle w:val="VerbatimChar"/>
              </w:rPr>
              <w:t xml:space="preserve">ClearRecipients()</w:t>
            </w:r>
          </w:p>
        </w:tc>
        <w:tc>
          <w:tcPr/>
          <w:p>
            <w:pPr>
              <w:pStyle w:val="Compact"/>
            </w:pPr>
            <w:r>
              <w:t xml:space="preserve">Boolean</w:t>
            </w:r>
          </w:p>
        </w:tc>
        <w:tc>
          <w:tcPr/>
          <w:p>
            <w:pPr>
              <w:pStyle w:val="Compact"/>
            </w:pPr>
            <w:r>
              <w:t xml:space="preserve">ASPMail method to clear the To recipient list.</w:t>
            </w:r>
          </w:p>
        </w:tc>
      </w:tr>
      <w:tr>
        <w:tc>
          <w:tcPr/>
          <w:p>
            <w:pPr>
              <w:pStyle w:val="Compact"/>
            </w:pPr>
            <w:r>
              <w:rPr>
                <w:rStyle w:val="VerbatimChar"/>
              </w:rPr>
              <w:t xml:space="preserve">Send()</w:t>
            </w:r>
          </w:p>
        </w:tc>
        <w:tc>
          <w:tcPr/>
          <w:p>
            <w:pPr>
              <w:pStyle w:val="Compact"/>
            </w:pPr>
            <w:r>
              <w:t xml:space="preserve">Boolean or String</w:t>
            </w:r>
          </w:p>
        </w:tc>
        <w:tc>
          <w:tcPr/>
          <w:p>
            <w:pPr>
              <w:pStyle w:val="Compact"/>
            </w:pPr>
            <w:r>
              <w:t xml:space="preserve">Sends using configured properties.</w:t>
            </w:r>
          </w:p>
        </w:tc>
      </w:tr>
      <w:tr>
        <w:tc>
          <w:tcPr/>
          <w:p>
            <w:pPr>
              <w:pStyle w:val="Compact"/>
            </w:pPr>
            <w:r>
              <w:rPr>
                <w:rStyle w:val="VerbatimChar"/>
              </w:rPr>
              <w:t xml:space="preserve">SendMail()</w:t>
            </w:r>
          </w:p>
        </w:tc>
        <w:tc>
          <w:tcPr/>
          <w:p>
            <w:pPr>
              <w:pStyle w:val="Compact"/>
            </w:pPr>
            <w:r>
              <w:t xml:space="preserve">Boolean or String</w:t>
            </w:r>
          </w:p>
        </w:tc>
        <w:tc>
          <w:tcPr/>
          <w:p>
            <w:pPr>
              <w:pStyle w:val="Compact"/>
            </w:pPr>
            <w:r>
              <w:t xml:space="preserve">ASPMail alias for</w:t>
            </w:r>
            <w:r>
              <w:t xml:space="preserve"> </w:t>
            </w:r>
            <w:r>
              <w:rPr>
                <w:rStyle w:val="VerbatimChar"/>
              </w:rPr>
              <w:t xml:space="preserve">Send()</w:t>
            </w:r>
            <w:r>
              <w:t xml:space="preserve">.</w:t>
            </w:r>
          </w:p>
        </w:tc>
      </w:tr>
    </w:tbl>
    <w:bookmarkEnd w:id="3102"/>
    <w:bookmarkStart w:id="3103" w:name="remarks-284"/>
    <w:p>
      <w:pPr>
        <w:pStyle w:val="Heading2"/>
      </w:pPr>
      <w:r>
        <w:t xml:space="preserve">Remarks</w:t>
      </w:r>
    </w:p>
    <w:p>
      <w:pPr>
        <w:pStyle w:val="Compact"/>
        <w:numPr>
          <w:ilvl w:val="0"/>
          <w:numId w:val="1785"/>
        </w:numPr>
      </w:pPr>
      <w:r>
        <w:t xml:space="preserve">Instantiate the library with</w:t>
      </w:r>
      <w:r>
        <w:t xml:space="preserve"> </w:t>
      </w:r>
      <w:r>
        <w:rPr>
          <w:rStyle w:val="VerbatimChar"/>
        </w:rPr>
        <w:t xml:space="preserve">Server.CreateObject("G3MAIL")</w:t>
      </w:r>
      <w:r>
        <w:t xml:space="preserve">.</w:t>
      </w:r>
    </w:p>
    <w:p>
      <w:pPr>
        <w:pStyle w:val="Compact"/>
        <w:numPr>
          <w:ilvl w:val="0"/>
          <w:numId w:val="1785"/>
        </w:numPr>
      </w:pPr>
      <w:r>
        <w:t xml:space="preserve">Method names are case-insensitive.</w:t>
      </w:r>
    </w:p>
    <w:p>
      <w:pPr>
        <w:pStyle w:val="Compact"/>
        <w:numPr>
          <w:ilvl w:val="0"/>
          <w:numId w:val="1785"/>
        </w:numPr>
      </w:pPr>
      <w:r>
        <w:rPr>
          <w:rStyle w:val="VerbatimChar"/>
        </w:rPr>
        <w:t xml:space="preserve">Send</w:t>
      </w:r>
      <w:r>
        <w:t xml:space="preserve"> </w:t>
      </w:r>
      <w:r>
        <w:t xml:space="preserve">does not return Empty for operational failure; it returns an error string.</w:t>
      </w:r>
    </w:p>
    <w:bookmarkEnd w:id="3103"/>
    <w:bookmarkEnd w:id="3104"/>
    <w:bookmarkStart w:id="3109" w:name="g3mail-properties"/>
    <w:p>
      <w:pPr>
        <w:pStyle w:val="Heading1"/>
      </w:pPr>
      <w:r>
        <w:t xml:space="preserve">G3MAIL Properties</w:t>
      </w:r>
    </w:p>
    <w:bookmarkStart w:id="3105" w:name="overview-303"/>
    <w:p>
      <w:pPr>
        <w:pStyle w:val="Heading2"/>
      </w:pPr>
      <w:r>
        <w:t xml:space="preserve">Overview</w:t>
      </w:r>
    </w:p>
    <w:p>
      <w:pPr>
        <w:pStyle w:val="FirstParagraph"/>
      </w:pPr>
      <w:r>
        <w:t xml:space="preserve">This page lists the properties exposed by</w:t>
      </w:r>
      <w:r>
        <w:t xml:space="preserve"> </w:t>
      </w:r>
      <w:r>
        <w:rPr>
          <w:rStyle w:val="VerbatimChar"/>
        </w:rPr>
        <w:t xml:space="preserve">G3MAIL</w:t>
      </w:r>
      <w:r>
        <w:t xml:space="preserve">.</w:t>
      </w:r>
    </w:p>
    <w:bookmarkEnd w:id="3105"/>
    <w:bookmarkStart w:id="3106" w:name="properties-18"/>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Body</w:t>
            </w:r>
          </w:p>
        </w:tc>
        <w:tc>
          <w:tcPr/>
          <w:p>
            <w:pPr>
              <w:pStyle w:val="Compact"/>
            </w:pPr>
            <w:r>
              <w:t xml:space="preserve">Read/Write</w:t>
            </w:r>
          </w:p>
        </w:tc>
        <w:tc>
          <w:tcPr/>
          <w:p>
            <w:pPr>
              <w:pStyle w:val="Compact"/>
            </w:pPr>
            <w:r>
              <w:t xml:space="preserve">String</w:t>
            </w:r>
          </w:p>
        </w:tc>
        <w:tc>
          <w:tcPr/>
          <w:p>
            <w:pPr>
              <w:pStyle w:val="Compact"/>
            </w:pPr>
            <w:r>
              <w:t xml:space="preserve">Message body text.</w:t>
            </w:r>
          </w:p>
        </w:tc>
      </w:tr>
      <w:tr>
        <w:tc>
          <w:tcPr/>
          <w:p>
            <w:pPr>
              <w:pStyle w:val="Compact"/>
            </w:pPr>
            <w:r>
              <w:rPr>
                <w:rStyle w:val="VerbatimChar"/>
              </w:rPr>
              <w:t xml:space="preserve">BodyText</w:t>
            </w:r>
          </w:p>
        </w:tc>
        <w:tc>
          <w:tcPr/>
          <w:p>
            <w:pPr>
              <w:pStyle w:val="Compact"/>
            </w:pPr>
            <w:r>
              <w:t xml:space="preserve">Read/Write</w:t>
            </w:r>
          </w:p>
        </w:tc>
        <w:tc>
          <w:tcPr/>
          <w:p>
            <w:pPr>
              <w:pStyle w:val="Compact"/>
            </w:pPr>
            <w:r>
              <w:t xml:space="preserve">String</w:t>
            </w:r>
          </w:p>
        </w:tc>
        <w:tc>
          <w:tcPr/>
          <w:p>
            <w:pPr>
              <w:pStyle w:val="Compact"/>
            </w:pPr>
            <w:r>
              <w:t xml:space="preserve">Alias for</w:t>
            </w:r>
            <w:r>
              <w:t xml:space="preserve"> </w:t>
            </w:r>
            <w:r>
              <w:rPr>
                <w:rStyle w:val="VerbatimChar"/>
              </w:rPr>
              <w:t xml:space="preserve">Body</w:t>
            </w:r>
            <w:r>
              <w:t xml:space="preserve"> </w:t>
            </w:r>
            <w:r>
              <w:t xml:space="preserve">(ASPMail compatibility).</w:t>
            </w:r>
          </w:p>
        </w:tc>
      </w:tr>
      <w:tr>
        <w:tc>
          <w:tcPr/>
          <w:p>
            <w:pPr>
              <w:pStyle w:val="Compact"/>
            </w:pPr>
            <w:r>
              <w:rPr>
                <w:rStyle w:val="VerbatimChar"/>
              </w:rPr>
              <w:t xml:space="preserve">CharSet</w:t>
            </w:r>
          </w:p>
        </w:tc>
        <w:tc>
          <w:tcPr/>
          <w:p>
            <w:pPr>
              <w:pStyle w:val="Compact"/>
            </w:pPr>
            <w:r>
              <w:t xml:space="preserve">Read/Write</w:t>
            </w:r>
          </w:p>
        </w:tc>
        <w:tc>
          <w:tcPr/>
          <w:p>
            <w:pPr>
              <w:pStyle w:val="Compact"/>
            </w:pPr>
            <w:r>
              <w:t xml:space="preserve">String</w:t>
            </w:r>
          </w:p>
        </w:tc>
        <w:tc>
          <w:tcPr/>
          <w:p>
            <w:pPr>
              <w:pStyle w:val="Compact"/>
            </w:pPr>
            <w:r>
              <w:t xml:space="preserve">Character set for the message encoding (ASPEmail compatibility).</w:t>
            </w:r>
          </w:p>
        </w:tc>
      </w:tr>
      <w:tr>
        <w:tc>
          <w:tcPr/>
          <w:p>
            <w:pPr>
              <w:pStyle w:val="Compact"/>
            </w:pPr>
            <w:r>
              <w:rPr>
                <w:rStyle w:val="VerbatimChar"/>
              </w:rPr>
              <w:t xml:space="preserve">ContentType</w:t>
            </w:r>
          </w:p>
        </w:tc>
        <w:tc>
          <w:tcPr/>
          <w:p>
            <w:pPr>
              <w:pStyle w:val="Compact"/>
            </w:pPr>
            <w:r>
              <w:t xml:space="preserve">Read/Write</w:t>
            </w:r>
          </w:p>
        </w:tc>
        <w:tc>
          <w:tcPr/>
          <w:p>
            <w:pPr>
              <w:pStyle w:val="Compact"/>
            </w:pPr>
            <w:r>
              <w:t xml:space="preserve">String</w:t>
            </w:r>
          </w:p>
        </w:tc>
        <w:tc>
          <w:tcPr/>
          <w:p>
            <w:pPr>
              <w:pStyle w:val="Compact"/>
            </w:pPr>
            <w:r>
              <w:t xml:space="preserve">Message MIME content type (e.g. </w:t>
            </w:r>
            <w:r>
              <w:rPr>
                <w:rStyle w:val="VerbatimChar"/>
              </w:rPr>
              <w:t xml:space="preserve">text/html</w:t>
            </w:r>
            <w:r>
              <w:t xml:space="preserve">, ASPMail compatibility).</w:t>
            </w:r>
          </w:p>
        </w:tc>
      </w:tr>
      <w:tr>
        <w:tc>
          <w:tcPr/>
          <w:p>
            <w:pPr>
              <w:pStyle w:val="Compact"/>
            </w:pPr>
            <w:r>
              <w:rPr>
                <w:rStyle w:val="VerbatimChar"/>
              </w:rPr>
              <w:t xml:space="preserve">From</w:t>
            </w:r>
          </w:p>
        </w:tc>
        <w:tc>
          <w:tcPr/>
          <w:p>
            <w:pPr>
              <w:pStyle w:val="Compact"/>
            </w:pPr>
            <w:r>
              <w:t xml:space="preserve">Read/Write</w:t>
            </w:r>
          </w:p>
        </w:tc>
        <w:tc>
          <w:tcPr/>
          <w:p>
            <w:pPr>
              <w:pStyle w:val="Compact"/>
            </w:pPr>
            <w:r>
              <w:t xml:space="preserve">String</w:t>
            </w:r>
          </w:p>
        </w:tc>
        <w:tc>
          <w:tcPr/>
          <w:p>
            <w:pPr>
              <w:pStyle w:val="Compact"/>
            </w:pPr>
            <w:r>
              <w:t xml:space="preserve">Sender email address used in the message header.</w:t>
            </w:r>
          </w:p>
        </w:tc>
      </w:tr>
      <w:tr>
        <w:tc>
          <w:tcPr/>
          <w:p>
            <w:pPr>
              <w:pStyle w:val="Compact"/>
            </w:pPr>
            <w:r>
              <w:rPr>
                <w:rStyle w:val="VerbatimChar"/>
              </w:rPr>
              <w:t xml:space="preserve">FromAddress</w:t>
            </w:r>
          </w:p>
        </w:tc>
        <w:tc>
          <w:tcPr/>
          <w:p>
            <w:pPr>
              <w:pStyle w:val="Compact"/>
            </w:pPr>
            <w:r>
              <w:t xml:space="preserve">Read/Write</w:t>
            </w:r>
          </w:p>
        </w:tc>
        <w:tc>
          <w:tcPr/>
          <w:p>
            <w:pPr>
              <w:pStyle w:val="Compact"/>
            </w:pPr>
            <w:r>
              <w:t xml:space="preserve">String</w:t>
            </w:r>
          </w:p>
        </w:tc>
        <w:tc>
          <w:tcPr/>
          <w:p>
            <w:pPr>
              <w:pStyle w:val="Compact"/>
            </w:pPr>
            <w:r>
              <w:t xml:space="preserve">Alias for</w:t>
            </w:r>
            <w:r>
              <w:t xml:space="preserve"> </w:t>
            </w:r>
            <w:r>
              <w:rPr>
                <w:rStyle w:val="VerbatimChar"/>
              </w:rPr>
              <w:t xml:space="preserve">From</w:t>
            </w:r>
            <w:r>
              <w:t xml:space="preserve"> </w:t>
            </w:r>
            <w:r>
              <w:t xml:space="preserve">(ASPMail compatibility).</w:t>
            </w:r>
          </w:p>
        </w:tc>
      </w:tr>
      <w:tr>
        <w:tc>
          <w:tcPr/>
          <w:p>
            <w:pPr>
              <w:pStyle w:val="Compact"/>
            </w:pPr>
            <w:r>
              <w:rPr>
                <w:rStyle w:val="VerbatimChar"/>
              </w:rPr>
              <w:t xml:space="preserve">FromName</w:t>
            </w:r>
          </w:p>
        </w:tc>
        <w:tc>
          <w:tcPr/>
          <w:p>
            <w:pPr>
              <w:pStyle w:val="Compact"/>
            </w:pPr>
            <w:r>
              <w:t xml:space="preserve">Read/Write</w:t>
            </w:r>
          </w:p>
        </w:tc>
        <w:tc>
          <w:tcPr/>
          <w:p>
            <w:pPr>
              <w:pStyle w:val="Compact"/>
            </w:pPr>
            <w:r>
              <w:t xml:space="preserve">String</w:t>
            </w:r>
          </w:p>
        </w:tc>
        <w:tc>
          <w:tcPr/>
          <w:p>
            <w:pPr>
              <w:pStyle w:val="Compact"/>
            </w:pPr>
            <w:r>
              <w:t xml:space="preserve">Display name for the sender.</w:t>
            </w:r>
          </w:p>
        </w:tc>
      </w:tr>
      <w:tr>
        <w:tc>
          <w:tcPr/>
          <w:p>
            <w:pPr>
              <w:pStyle w:val="Compact"/>
            </w:pPr>
            <w:r>
              <w:rPr>
                <w:rStyle w:val="VerbatimChar"/>
              </w:rPr>
              <w:t xml:space="preserve">Host</w:t>
            </w:r>
          </w:p>
        </w:tc>
        <w:tc>
          <w:tcPr/>
          <w:p>
            <w:pPr>
              <w:pStyle w:val="Compact"/>
            </w:pPr>
            <w:r>
              <w:t xml:space="preserve">Read/Write</w:t>
            </w:r>
          </w:p>
        </w:tc>
        <w:tc>
          <w:tcPr/>
          <w:p>
            <w:pPr>
              <w:pStyle w:val="Compact"/>
            </w:pPr>
            <w:r>
              <w:t xml:space="preserve">String</w:t>
            </w:r>
          </w:p>
        </w:tc>
        <w:tc>
          <w:tcPr/>
          <w:p>
            <w:pPr>
              <w:pStyle w:val="Compact"/>
            </w:pPr>
            <w:r>
              <w:t xml:space="preserve">SMTP host name.</w:t>
            </w:r>
          </w:p>
        </w:tc>
      </w:tr>
      <w:tr>
        <w:tc>
          <w:tcPr/>
          <w:p>
            <w:pPr>
              <w:pStyle w:val="Compact"/>
            </w:pPr>
            <w:r>
              <w:rPr>
                <w:rStyle w:val="VerbatimChar"/>
              </w:rPr>
              <w:t xml:space="preserve">HTMLBody</w:t>
            </w:r>
          </w:p>
        </w:tc>
        <w:tc>
          <w:tcPr/>
          <w:p>
            <w:pPr>
              <w:pStyle w:val="Compact"/>
            </w:pPr>
            <w:r>
              <w:t xml:space="preserve">Read/Write</w:t>
            </w:r>
          </w:p>
        </w:tc>
        <w:tc>
          <w:tcPr/>
          <w:p>
            <w:pPr>
              <w:pStyle w:val="Compact"/>
            </w:pPr>
            <w:r>
              <w:t xml:space="preserve">String</w:t>
            </w:r>
          </w:p>
        </w:tc>
        <w:tc>
          <w:tcPr/>
          <w:p>
            <w:pPr>
              <w:pStyle w:val="Compact"/>
            </w:pPr>
            <w:r>
              <w:t xml:space="preserve">Message HTML body.</w:t>
            </w:r>
          </w:p>
        </w:tc>
      </w:tr>
      <w:tr>
        <w:tc>
          <w:tcPr/>
          <w:p>
            <w:pPr>
              <w:pStyle w:val="Compact"/>
            </w:pPr>
            <w:r>
              <w:rPr>
                <w:rStyle w:val="VerbatimChar"/>
              </w:rPr>
              <w:t xml:space="preserve">IsHTML</w:t>
            </w:r>
          </w:p>
        </w:tc>
        <w:tc>
          <w:tcPr/>
          <w:p>
            <w:pPr>
              <w:pStyle w:val="Compact"/>
            </w:pPr>
            <w:r>
              <w:t xml:space="preserve">Read/Write</w:t>
            </w:r>
          </w:p>
        </w:tc>
        <w:tc>
          <w:tcPr/>
          <w:p>
            <w:pPr>
              <w:pStyle w:val="Compact"/>
            </w:pPr>
            <w:r>
              <w:t xml:space="preserve">Boolean</w:t>
            </w:r>
          </w:p>
        </w:tc>
        <w:tc>
          <w:tcPr/>
          <w:p>
            <w:pPr>
              <w:pStyle w:val="Compact"/>
            </w:pPr>
            <w:r>
              <w:t xml:space="preserve">Toggles HTML (</w:t>
            </w:r>
            <w:r>
              <w:rPr>
                <w:rStyle w:val="VerbatimChar"/>
              </w:rPr>
              <w:t xml:space="preserve">True</w:t>
            </w:r>
            <w:r>
              <w:t xml:space="preserve">) or plain-text (</w:t>
            </w:r>
            <w:r>
              <w:rPr>
                <w:rStyle w:val="VerbatimChar"/>
              </w:rPr>
              <w:t xml:space="preserve">False</w:t>
            </w:r>
            <w:r>
              <w:t xml:space="preserve">) body mode.</w:t>
            </w:r>
          </w:p>
        </w:tc>
      </w:tr>
      <w:tr>
        <w:tc>
          <w:tcPr/>
          <w:p>
            <w:pPr>
              <w:pStyle w:val="Compact"/>
            </w:pPr>
            <w:r>
              <w:rPr>
                <w:rStyle w:val="VerbatimChar"/>
              </w:rPr>
              <w:t xml:space="preserve">Password</w:t>
            </w:r>
          </w:p>
        </w:tc>
        <w:tc>
          <w:tcPr/>
          <w:p>
            <w:pPr>
              <w:pStyle w:val="Compact"/>
            </w:pPr>
            <w:r>
              <w:t xml:space="preserve">Read/Write</w:t>
            </w:r>
          </w:p>
        </w:tc>
        <w:tc>
          <w:tcPr/>
          <w:p>
            <w:pPr>
              <w:pStyle w:val="Compact"/>
            </w:pPr>
            <w:r>
              <w:t xml:space="preserve">String</w:t>
            </w:r>
          </w:p>
        </w:tc>
        <w:tc>
          <w:tcPr/>
          <w:p>
            <w:pPr>
              <w:pStyle w:val="Compact"/>
            </w:pPr>
            <w:r>
              <w:t xml:space="preserve">SMTP authentication password.</w:t>
            </w:r>
          </w:p>
        </w:tc>
      </w:tr>
      <w:tr>
        <w:tc>
          <w:tcPr/>
          <w:p>
            <w:pPr>
              <w:pStyle w:val="Compact"/>
            </w:pPr>
            <w:r>
              <w:rPr>
                <w:rStyle w:val="VerbatimChar"/>
              </w:rPr>
              <w:t xml:space="preserve">Port</w:t>
            </w:r>
          </w:p>
        </w:tc>
        <w:tc>
          <w:tcPr/>
          <w:p>
            <w:pPr>
              <w:pStyle w:val="Compact"/>
            </w:pPr>
            <w:r>
              <w:t xml:space="preserve">Read/Write</w:t>
            </w:r>
          </w:p>
        </w:tc>
        <w:tc>
          <w:tcPr/>
          <w:p>
            <w:pPr>
              <w:pStyle w:val="Compact"/>
            </w:pPr>
            <w:r>
              <w:t xml:space="preserve">Integer</w:t>
            </w:r>
          </w:p>
        </w:tc>
        <w:tc>
          <w:tcPr/>
          <w:p>
            <w:pPr>
              <w:pStyle w:val="Compact"/>
            </w:pPr>
            <w:r>
              <w:t xml:space="preserve">SMTP port number.</w:t>
            </w:r>
          </w:p>
        </w:tc>
      </w:tr>
      <w:tr>
        <w:tc>
          <w:tcPr/>
          <w:p>
            <w:pPr>
              <w:pStyle w:val="Compact"/>
            </w:pPr>
            <w:r>
              <w:rPr>
                <w:rStyle w:val="VerbatimChar"/>
              </w:rPr>
              <w:t xml:space="preserve">RemoteHost</w:t>
            </w:r>
          </w:p>
        </w:tc>
        <w:tc>
          <w:tcPr/>
          <w:p>
            <w:pPr>
              <w:pStyle w:val="Compact"/>
            </w:pPr>
            <w:r>
              <w:t xml:space="preserve">Read/Write</w:t>
            </w:r>
          </w:p>
        </w:tc>
        <w:tc>
          <w:tcPr/>
          <w:p>
            <w:pPr>
              <w:pStyle w:val="Compact"/>
            </w:pPr>
            <w:r>
              <w:t xml:space="preserve">String</w:t>
            </w:r>
          </w:p>
        </w:tc>
        <w:tc>
          <w:tcPr/>
          <w:p>
            <w:pPr>
              <w:pStyle w:val="Compact"/>
            </w:pPr>
            <w:r>
              <w:t xml:space="preserve">Alias for</w:t>
            </w:r>
            <w:r>
              <w:t xml:space="preserve"> </w:t>
            </w:r>
            <w:r>
              <w:rPr>
                <w:rStyle w:val="VerbatimChar"/>
              </w:rPr>
              <w:t xml:space="preserve">Host</w:t>
            </w:r>
            <w:r>
              <w:t xml:space="preserve"> </w:t>
            </w:r>
            <w:r>
              <w:t xml:space="preserve">(ASPMail compatibility).</w:t>
            </w:r>
          </w:p>
        </w:tc>
      </w:tr>
      <w:tr>
        <w:tc>
          <w:tcPr/>
          <w:p>
            <w:pPr>
              <w:pStyle w:val="Compact"/>
            </w:pPr>
            <w:r>
              <w:rPr>
                <w:rStyle w:val="VerbatimChar"/>
              </w:rPr>
              <w:t xml:space="preserve">BodyFormat</w:t>
            </w:r>
          </w:p>
        </w:tc>
        <w:tc>
          <w:tcPr/>
          <w:p>
            <w:pPr>
              <w:pStyle w:val="Compact"/>
            </w:pPr>
            <w:r>
              <w:t xml:space="preserve">Read/Write</w:t>
            </w:r>
          </w:p>
        </w:tc>
        <w:tc>
          <w:tcPr/>
          <w:p>
            <w:pPr>
              <w:pStyle w:val="Compact"/>
            </w:pPr>
            <w:r>
              <w:t xml:space="preserve">Integer</w:t>
            </w:r>
          </w:p>
        </w:tc>
        <w:tc>
          <w:tcPr/>
          <w:p>
            <w:pPr>
              <w:pStyle w:val="Compact"/>
            </w:pPr>
            <w:r>
              <w:t xml:space="preserve">Body format selector (</w:t>
            </w:r>
            <w:r>
              <w:rPr>
                <w:rStyle w:val="VerbatimChar"/>
              </w:rPr>
              <w:t xml:space="preserve">0</w:t>
            </w:r>
            <w:r>
              <w:t xml:space="preserve"> </w:t>
            </w:r>
            <w:r>
              <w:t xml:space="preserve">for HTML,</w:t>
            </w:r>
            <w:r>
              <w:t xml:space="preserve"> </w:t>
            </w:r>
            <w:r>
              <w:rPr>
                <w:rStyle w:val="VerbatimChar"/>
              </w:rPr>
              <w:t xml:space="preserve">1</w:t>
            </w:r>
            <w:r>
              <w:t xml:space="preserve"> </w:t>
            </w:r>
            <w:r>
              <w:t xml:space="preserve">for plain text).</w:t>
            </w:r>
          </w:p>
        </w:tc>
      </w:tr>
    </w:tbl>
    <w:bookmarkEnd w:id="3106"/>
    <w:bookmarkStart w:id="3108" w:name="remarks-285"/>
    <w:p>
      <w:pPr>
        <w:pStyle w:val="Heading2"/>
      </w:pPr>
      <w:r>
        <w:t xml:space="preserve">Remarks</w:t>
      </w:r>
    </w:p>
    <w:p>
      <w:pPr>
        <w:pStyle w:val="Compact"/>
        <w:numPr>
          <w:ilvl w:val="0"/>
          <w:numId w:val="1786"/>
        </w:numPr>
      </w:pPr>
      <w:r>
        <w:t xml:space="preserve">Instantiate the library with</w:t>
      </w:r>
      <w:r>
        <w:t xml:space="preserve"> </w:t>
      </w:r>
      <w:r>
        <w:rPr>
          <w:rStyle w:val="VerbatimChar"/>
        </w:rPr>
        <w:t xml:space="preserve">Server.CreateObject("G3MAIL")</w:t>
      </w:r>
      <w:r>
        <w:t xml:space="preserve">.</w:t>
      </w:r>
    </w:p>
    <w:p>
      <w:pPr>
        <w:pStyle w:val="Compact"/>
        <w:numPr>
          <w:ilvl w:val="0"/>
          <w:numId w:val="1786"/>
        </w:numPr>
      </w:pPr>
      <w:r>
        <w:t xml:space="preserve">Property names are case-insensitive.</w:t>
      </w:r>
    </w:p>
    <w:bookmarkStart w:id="3107" w:name="methods-detail-7"/>
    <w:p>
      <w:pPr>
        <w:pStyle w:val="Heading3"/>
      </w:pPr>
      <w:r>
        <w:t xml:space="preserve">Methods Detail</w:t>
      </w:r>
    </w:p>
    <w:bookmarkEnd w:id="3107"/>
    <w:bookmarkEnd w:id="3108"/>
    <w:bookmarkEnd w:id="3109"/>
    <w:bookmarkStart w:id="3116" w:name="addaddress-method"/>
    <w:p>
      <w:pPr>
        <w:pStyle w:val="Heading1"/>
      </w:pPr>
      <w:r>
        <w:t xml:space="preserve">AddAddress Method</w:t>
      </w:r>
    </w:p>
    <w:bookmarkStart w:id="3110" w:name="overview-304"/>
    <w:p>
      <w:pPr>
        <w:pStyle w:val="Heading2"/>
      </w:pPr>
      <w:r>
        <w:t xml:space="preserve">Overview</w:t>
      </w:r>
    </w:p>
    <w:p>
      <w:pPr>
        <w:pStyle w:val="FirstParagraph"/>
      </w:pPr>
      <w:r>
        <w:t xml:space="preserve">The</w:t>
      </w:r>
      <w:r>
        <w:t xml:space="preserve"> </w:t>
      </w:r>
      <w:r>
        <w:rPr>
          <w:b/>
          <w:bCs/>
        </w:rPr>
        <w:t xml:space="preserve">AddAddress</w:t>
      </w:r>
      <w:r>
        <w:t xml:space="preserve"> </w:t>
      </w:r>
      <w:r>
        <w:t xml:space="preserve">method appends a recipient email address to the primary destination list (To) of the G3Pix AxonASP G3MAIL object.</w:t>
      </w:r>
    </w:p>
    <w:bookmarkEnd w:id="3110"/>
    <w:bookmarkStart w:id="3111" w:name="syntax-305"/>
    <w:p>
      <w:pPr>
        <w:pStyle w:val="Heading2"/>
      </w:pPr>
      <w:r>
        <w:t xml:space="preserve">Syntax</w:t>
      </w:r>
    </w:p>
    <w:p>
      <w:pPr>
        <w:pStyle w:val="SourceCode"/>
      </w:pPr>
      <w:r>
        <w:rPr>
          <w:rStyle w:val="NormalTok"/>
        </w:rPr>
        <w:t xml:space="preserve">result = mail.AddAddress(email)</w:t>
      </w:r>
    </w:p>
    <w:bookmarkEnd w:id="3111"/>
    <w:bookmarkStart w:id="3112" w:name="parameters-and-arguments-32"/>
    <w:p>
      <w:pPr>
        <w:pStyle w:val="Heading2"/>
      </w:pPr>
      <w:r>
        <w:t xml:space="preserve">Parameters and Arguments</w:t>
      </w:r>
    </w:p>
    <w:p>
      <w:pPr>
        <w:pStyle w:val="Compact"/>
        <w:numPr>
          <w:ilvl w:val="0"/>
          <w:numId w:val="1787"/>
        </w:numPr>
      </w:pPr>
      <w:r>
        <w:rPr>
          <w:b/>
          <w:bCs/>
        </w:rPr>
        <w:t xml:space="preserve">email</w:t>
      </w:r>
      <w:r>
        <w:t xml:space="preserve"> </w:t>
      </w:r>
      <w:r>
        <w:t xml:space="preserve">(String, Required): The recipient’s email address (e.g.,</w:t>
      </w:r>
      <w:r>
        <w:t xml:space="preserve"> </w:t>
      </w:r>
      <w:r>
        <w:t xml:space="preserve">“user@example.com”</w:t>
      </w:r>
      <w:r>
        <w:t xml:space="preserve">).</w:t>
      </w:r>
    </w:p>
    <w:bookmarkEnd w:id="3112"/>
    <w:bookmarkStart w:id="3113" w:name="return-values-32"/>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 (True).</w:t>
      </w:r>
    </w:p>
    <w:bookmarkEnd w:id="3113"/>
    <w:bookmarkStart w:id="3114" w:name="remarks-286"/>
    <w:p>
      <w:pPr>
        <w:pStyle w:val="Heading2"/>
      </w:pPr>
      <w:r>
        <w:t xml:space="preserve">Remarks</w:t>
      </w:r>
    </w:p>
    <w:p>
      <w:pPr>
        <w:pStyle w:val="Compact"/>
        <w:numPr>
          <w:ilvl w:val="0"/>
          <w:numId w:val="1788"/>
        </w:numPr>
      </w:pPr>
      <w:r>
        <w:t xml:space="preserve">You can call this method multiple times to add multiple recipients to the</w:t>
      </w:r>
      <w:r>
        <w:t xml:space="preserve"> </w:t>
      </w:r>
      <w:r>
        <w:rPr>
          <w:b/>
          <w:bCs/>
        </w:rPr>
        <w:t xml:space="preserve">To</w:t>
      </w:r>
      <w:r>
        <w:t xml:space="preserve"> </w:t>
      </w:r>
      <w:r>
        <w:t xml:space="preserve">list.</w:t>
      </w:r>
    </w:p>
    <w:p>
      <w:pPr>
        <w:pStyle w:val="Compact"/>
        <w:numPr>
          <w:ilvl w:val="0"/>
          <w:numId w:val="1788"/>
        </w:numPr>
      </w:pPr>
      <w:r>
        <w:t xml:space="preserve">Invalid email formats are not validated by this method; validation occurs during the</w:t>
      </w:r>
      <w:r>
        <w:t xml:space="preserve"> </w:t>
      </w:r>
      <w:r>
        <w:rPr>
          <w:b/>
          <w:bCs/>
        </w:rPr>
        <w:t xml:space="preserve">Send</w:t>
      </w:r>
      <w:r>
        <w:t xml:space="preserve"> </w:t>
      </w:r>
      <w:r>
        <w:t xml:space="preserve">operation.</w:t>
      </w:r>
    </w:p>
    <w:p>
      <w:pPr>
        <w:pStyle w:val="Compact"/>
        <w:numPr>
          <w:ilvl w:val="0"/>
          <w:numId w:val="1788"/>
        </w:numPr>
      </w:pPr>
      <w:r>
        <w:t xml:space="preserve">The method is case-insensitive and can also be called as</w:t>
      </w:r>
      <w:r>
        <w:t xml:space="preserve"> </w:t>
      </w:r>
      <w:r>
        <w:rPr>
          <w:b/>
          <w:bCs/>
        </w:rPr>
        <w:t xml:space="preserve">AddRecipient</w:t>
      </w:r>
      <w:r>
        <w:t xml:space="preserve"> </w:t>
      </w:r>
      <w:r>
        <w:t xml:space="preserve">or</w:t>
      </w:r>
      <w:r>
        <w:t xml:space="preserve"> </w:t>
      </w:r>
      <w:r>
        <w:rPr>
          <w:b/>
          <w:bCs/>
        </w:rPr>
        <w:t xml:space="preserve">AddTo</w:t>
      </w:r>
      <w:r>
        <w:t xml:space="preserve">.</w:t>
      </w:r>
    </w:p>
    <w:bookmarkEnd w:id="3114"/>
    <w:bookmarkStart w:id="3115" w:name="code-example-10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CommentTok"/>
        </w:rPr>
        <w:t xml:space="preserve">' Add multiple recipients</w:t>
      </w:r>
      <w:r>
        <w:br/>
      </w:r>
      <w:r>
        <w:rPr>
          <w:rStyle w:val="NormalTok"/>
        </w:rPr>
        <w:t xml:space="preserve">mail.AddAddress </w:t>
      </w:r>
      <w:r>
        <w:rPr>
          <w:rStyle w:val="StringTok"/>
        </w:rPr>
        <w:t xml:space="preserve">"admin@example.com"</w:t>
      </w:r>
      <w:r>
        <w:br/>
      </w:r>
      <w:r>
        <w:rPr>
          <w:rStyle w:val="NormalTok"/>
        </w:rPr>
        <w:t xml:space="preserve">mail.AddAddress </w:t>
      </w:r>
      <w:r>
        <w:rPr>
          <w:rStyle w:val="StringTok"/>
        </w:rPr>
        <w:t xml:space="preserve">"support@example.com"</w:t>
      </w:r>
      <w:r>
        <w:br/>
      </w:r>
      <w:r>
        <w:br/>
      </w:r>
      <w:r>
        <w:rPr>
          <w:rStyle w:val="CommentTok"/>
        </w:rPr>
        <w:t xml:space="preserve">' Alternatively using the property</w:t>
      </w:r>
      <w:r>
        <w:br/>
      </w:r>
      <w:r>
        <w:rPr>
          <w:rStyle w:val="NormalTok"/>
        </w:rPr>
        <w:t xml:space="preserve">mail.</w:t>
      </w:r>
      <w:r>
        <w:rPr>
          <w:rStyle w:val="ControlFlowTok"/>
        </w:rPr>
        <w:t xml:space="preserve">To</w:t>
      </w:r>
      <w:r>
        <w:rPr>
          <w:rStyle w:val="NormalTok"/>
        </w:rPr>
        <w:t xml:space="preserve"> = </w:t>
      </w:r>
      <w:r>
        <w:rPr>
          <w:rStyle w:val="StringTok"/>
        </w:rPr>
        <w:t xml:space="preserve">"user1@example.com, user2@example.com"</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115"/>
    <w:bookmarkEnd w:id="3116"/>
    <w:bookmarkStart w:id="3123" w:name="addattachment-method"/>
    <w:p>
      <w:pPr>
        <w:pStyle w:val="Heading1"/>
      </w:pPr>
      <w:r>
        <w:t xml:space="preserve">AddAttachment Method</w:t>
      </w:r>
    </w:p>
    <w:bookmarkStart w:id="3117" w:name="overview-305"/>
    <w:p>
      <w:pPr>
        <w:pStyle w:val="Heading2"/>
      </w:pPr>
      <w:r>
        <w:t xml:space="preserve">Overview</w:t>
      </w:r>
    </w:p>
    <w:p>
      <w:pPr>
        <w:pStyle w:val="FirstParagraph"/>
      </w:pPr>
      <w:r>
        <w:t xml:space="preserve">The</w:t>
      </w:r>
      <w:r>
        <w:t xml:space="preserve"> </w:t>
      </w:r>
      <w:r>
        <w:rPr>
          <w:b/>
          <w:bCs/>
        </w:rPr>
        <w:t xml:space="preserve">AddAttachment</w:t>
      </w:r>
      <w:r>
        <w:t xml:space="preserve"> </w:t>
      </w:r>
      <w:r>
        <w:t xml:space="preserve">method attaches a file to the email payload of the G3Pix AxonASP G3MAIL object.</w:t>
      </w:r>
    </w:p>
    <w:bookmarkEnd w:id="3117"/>
    <w:bookmarkStart w:id="3118" w:name="syntax-306"/>
    <w:p>
      <w:pPr>
        <w:pStyle w:val="Heading2"/>
      </w:pPr>
      <w:r>
        <w:t xml:space="preserve">Syntax</w:t>
      </w:r>
    </w:p>
    <w:p>
      <w:pPr>
        <w:pStyle w:val="SourceCode"/>
      </w:pPr>
      <w:r>
        <w:rPr>
          <w:rStyle w:val="NormalTok"/>
        </w:rPr>
        <w:t xml:space="preserve">result = mail.AddAttachment(filepath)</w:t>
      </w:r>
    </w:p>
    <w:bookmarkEnd w:id="3118"/>
    <w:bookmarkStart w:id="3119" w:name="parameters-and-arguments-33"/>
    <w:p>
      <w:pPr>
        <w:pStyle w:val="Heading2"/>
      </w:pPr>
      <w:r>
        <w:t xml:space="preserve">Parameters and Arguments</w:t>
      </w:r>
    </w:p>
    <w:p>
      <w:pPr>
        <w:pStyle w:val="Compact"/>
        <w:numPr>
          <w:ilvl w:val="0"/>
          <w:numId w:val="1789"/>
        </w:numPr>
      </w:pPr>
      <w:r>
        <w:rPr>
          <w:b/>
          <w:bCs/>
        </w:rPr>
        <w:t xml:space="preserve">filepath</w:t>
      </w:r>
      <w:r>
        <w:t xml:space="preserve"> </w:t>
      </w:r>
      <w:r>
        <w:t xml:space="preserve">(String, Required): The absolute file path on the server of the file to attach.</w:t>
      </w:r>
    </w:p>
    <w:bookmarkEnd w:id="3119"/>
    <w:bookmarkStart w:id="3120" w:name="return-values-33"/>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 on success).</w:t>
      </w:r>
    </w:p>
    <w:bookmarkEnd w:id="3120"/>
    <w:bookmarkStart w:id="3121" w:name="remarks-287"/>
    <w:p>
      <w:pPr>
        <w:pStyle w:val="Heading2"/>
      </w:pPr>
      <w:r>
        <w:t xml:space="preserve">Remarks</w:t>
      </w:r>
    </w:p>
    <w:p>
      <w:pPr>
        <w:pStyle w:val="Compact"/>
        <w:numPr>
          <w:ilvl w:val="0"/>
          <w:numId w:val="1790"/>
        </w:numPr>
      </w:pPr>
      <w:r>
        <w:t xml:space="preserve">If the file at</w:t>
      </w:r>
      <w:r>
        <w:t xml:space="preserve"> </w:t>
      </w:r>
      <w:r>
        <w:rPr>
          <w:b/>
          <w:bCs/>
        </w:rPr>
        <w:t xml:space="preserve">filepath</w:t>
      </w:r>
      <w:r>
        <w:t xml:space="preserve"> </w:t>
      </w:r>
      <w:r>
        <w:t xml:space="preserve">does not exist, the method raises a File Not Found error.</w:t>
      </w:r>
    </w:p>
    <w:p>
      <w:pPr>
        <w:pStyle w:val="Compact"/>
        <w:numPr>
          <w:ilvl w:val="0"/>
          <w:numId w:val="1790"/>
        </w:numPr>
      </w:pPr>
      <w:r>
        <w:t xml:space="preserve">Multiple attachments can be added by calling this method multiple times.</w:t>
      </w:r>
    </w:p>
    <w:bookmarkEnd w:id="3121"/>
    <w:bookmarkStart w:id="3122" w:name="code-example-10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CommentTok"/>
        </w:rPr>
        <w:t xml:space="preserve">' Attach a document</w:t>
      </w:r>
      <w:r>
        <w:br/>
      </w:r>
      <w:r>
        <w:rPr>
          <w:rStyle w:val="NormalTok"/>
        </w:rPr>
        <w:t xml:space="preserve">mail.AddAttachment </w:t>
      </w:r>
      <w:r>
        <w:rPr>
          <w:rStyle w:val="StringTok"/>
        </w:rPr>
        <w:t xml:space="preserve">"C:\inetpub\wwwroot\assets\invoice.pdf"</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122"/>
    <w:bookmarkEnd w:id="3123"/>
    <w:bookmarkStart w:id="3130" w:name="addbcc-method"/>
    <w:p>
      <w:pPr>
        <w:pStyle w:val="Heading1"/>
      </w:pPr>
      <w:r>
        <w:t xml:space="preserve">AddBcc Method</w:t>
      </w:r>
    </w:p>
    <w:bookmarkStart w:id="3124" w:name="overview-306"/>
    <w:p>
      <w:pPr>
        <w:pStyle w:val="Heading2"/>
      </w:pPr>
      <w:r>
        <w:t xml:space="preserve">Overview</w:t>
      </w:r>
    </w:p>
    <w:p>
      <w:pPr>
        <w:pStyle w:val="FirstParagraph"/>
      </w:pPr>
      <w:r>
        <w:t xml:space="preserve">The</w:t>
      </w:r>
      <w:r>
        <w:t xml:space="preserve"> </w:t>
      </w:r>
      <w:r>
        <w:rPr>
          <w:b/>
          <w:bCs/>
        </w:rPr>
        <w:t xml:space="preserve">AddBcc</w:t>
      </w:r>
      <w:r>
        <w:t xml:space="preserve"> </w:t>
      </w:r>
      <w:r>
        <w:t xml:space="preserve">method appends a recipient email address to the blind carbon copy (BCC) list of the G3Pix AxonASP G3MAIL object.</w:t>
      </w:r>
    </w:p>
    <w:bookmarkEnd w:id="3124"/>
    <w:bookmarkStart w:id="3125" w:name="syntax-307"/>
    <w:p>
      <w:pPr>
        <w:pStyle w:val="Heading2"/>
      </w:pPr>
      <w:r>
        <w:t xml:space="preserve">Syntax</w:t>
      </w:r>
    </w:p>
    <w:p>
      <w:pPr>
        <w:pStyle w:val="SourceCode"/>
      </w:pPr>
      <w:r>
        <w:rPr>
          <w:rStyle w:val="NormalTok"/>
        </w:rPr>
        <w:t xml:space="preserve">result = mail.AddBcc(email)</w:t>
      </w:r>
    </w:p>
    <w:bookmarkEnd w:id="3125"/>
    <w:bookmarkStart w:id="3126" w:name="parameters-and-arguments-34"/>
    <w:p>
      <w:pPr>
        <w:pStyle w:val="Heading2"/>
      </w:pPr>
      <w:r>
        <w:t xml:space="preserve">Parameters and Arguments</w:t>
      </w:r>
    </w:p>
    <w:p>
      <w:pPr>
        <w:pStyle w:val="Compact"/>
        <w:numPr>
          <w:ilvl w:val="0"/>
          <w:numId w:val="1791"/>
        </w:numPr>
      </w:pPr>
      <w:r>
        <w:rPr>
          <w:b/>
          <w:bCs/>
        </w:rPr>
        <w:t xml:space="preserve">email</w:t>
      </w:r>
      <w:r>
        <w:t xml:space="preserve"> </w:t>
      </w:r>
      <w:r>
        <w:t xml:space="preserve">(String, Required): The recipient’s email address to be BCC’d.</w:t>
      </w:r>
    </w:p>
    <w:bookmarkEnd w:id="3126"/>
    <w:bookmarkStart w:id="3127" w:name="return-values-34"/>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 (True).</w:t>
      </w:r>
    </w:p>
    <w:bookmarkEnd w:id="3127"/>
    <w:bookmarkStart w:id="3128" w:name="remarks-288"/>
    <w:p>
      <w:pPr>
        <w:pStyle w:val="Heading2"/>
      </w:pPr>
      <w:r>
        <w:t xml:space="preserve">Remarks</w:t>
      </w:r>
    </w:p>
    <w:p>
      <w:pPr>
        <w:pStyle w:val="Compact"/>
        <w:numPr>
          <w:ilvl w:val="0"/>
          <w:numId w:val="1792"/>
        </w:numPr>
      </w:pPr>
      <w:r>
        <w:t xml:space="preserve">Recipients added via this method are not visible to other recipients of the email.</w:t>
      </w:r>
    </w:p>
    <w:p>
      <w:pPr>
        <w:pStyle w:val="Compact"/>
        <w:numPr>
          <w:ilvl w:val="0"/>
          <w:numId w:val="1792"/>
        </w:numPr>
      </w:pPr>
      <w:r>
        <w:t xml:space="preserve">Use this method for privacy when sending to multiple recipients who should not see each other’s addresses.</w:t>
      </w:r>
    </w:p>
    <w:bookmarkEnd w:id="3128"/>
    <w:bookmarkStart w:id="3129" w:name="code-example-10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mail.Subject = </w:t>
      </w:r>
      <w:r>
        <w:rPr>
          <w:rStyle w:val="StringTok"/>
        </w:rPr>
        <w:t xml:space="preserve">"Newsletter"</w:t>
      </w:r>
      <w:r>
        <w:br/>
      </w:r>
      <w:r>
        <w:rPr>
          <w:rStyle w:val="NormalTok"/>
        </w:rPr>
        <w:t xml:space="preserve">mail.AddAddress </w:t>
      </w:r>
      <w:r>
        <w:rPr>
          <w:rStyle w:val="StringTok"/>
        </w:rPr>
        <w:t xml:space="preserve">"subscriber@example.com"</w:t>
      </w:r>
      <w:r>
        <w:br/>
      </w:r>
      <w:r>
        <w:rPr>
          <w:rStyle w:val="NormalTok"/>
        </w:rPr>
        <w:t xml:space="preserve">mail.AddBcc </w:t>
      </w:r>
      <w:r>
        <w:rPr>
          <w:rStyle w:val="StringTok"/>
        </w:rPr>
        <w:t xml:space="preserve">"archive@example.com"</w:t>
      </w:r>
      <w:r>
        <w:br/>
      </w:r>
      <w:r>
        <w:rPr>
          <w:rStyle w:val="NormalTok"/>
        </w:rPr>
        <w:t xml:space="preserve">mail.AddBcc </w:t>
      </w:r>
      <w:r>
        <w:rPr>
          <w:rStyle w:val="StringTok"/>
        </w:rPr>
        <w:t xml:space="preserve">"compliance@example.com"</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129"/>
    <w:bookmarkEnd w:id="3130"/>
    <w:bookmarkStart w:id="3137" w:name="addcc-method"/>
    <w:p>
      <w:pPr>
        <w:pStyle w:val="Heading1"/>
      </w:pPr>
      <w:r>
        <w:t xml:space="preserve">AddCc Method</w:t>
      </w:r>
    </w:p>
    <w:bookmarkStart w:id="3131" w:name="overview-307"/>
    <w:p>
      <w:pPr>
        <w:pStyle w:val="Heading2"/>
      </w:pPr>
      <w:r>
        <w:t xml:space="preserve">Overview</w:t>
      </w:r>
    </w:p>
    <w:p>
      <w:pPr>
        <w:pStyle w:val="FirstParagraph"/>
      </w:pPr>
      <w:r>
        <w:t xml:space="preserve">The</w:t>
      </w:r>
      <w:r>
        <w:t xml:space="preserve"> </w:t>
      </w:r>
      <w:r>
        <w:rPr>
          <w:b/>
          <w:bCs/>
        </w:rPr>
        <w:t xml:space="preserve">AddCc</w:t>
      </w:r>
      <w:r>
        <w:t xml:space="preserve"> </w:t>
      </w:r>
      <w:r>
        <w:t xml:space="preserve">method appends a recipient email address to the carbon copy (CC) list of the G3Pix AxonASP G3MAIL object.</w:t>
      </w:r>
    </w:p>
    <w:bookmarkEnd w:id="3131"/>
    <w:bookmarkStart w:id="3132" w:name="syntax-308"/>
    <w:p>
      <w:pPr>
        <w:pStyle w:val="Heading2"/>
      </w:pPr>
      <w:r>
        <w:t xml:space="preserve">Syntax</w:t>
      </w:r>
    </w:p>
    <w:p>
      <w:pPr>
        <w:pStyle w:val="SourceCode"/>
      </w:pPr>
      <w:r>
        <w:rPr>
          <w:rStyle w:val="NormalTok"/>
        </w:rPr>
        <w:t xml:space="preserve">result = mail.AddCc(email)</w:t>
      </w:r>
    </w:p>
    <w:bookmarkEnd w:id="3132"/>
    <w:bookmarkStart w:id="3133" w:name="parameters-and-arguments-35"/>
    <w:p>
      <w:pPr>
        <w:pStyle w:val="Heading2"/>
      </w:pPr>
      <w:r>
        <w:t xml:space="preserve">Parameters and Arguments</w:t>
      </w:r>
    </w:p>
    <w:p>
      <w:pPr>
        <w:pStyle w:val="Compact"/>
        <w:numPr>
          <w:ilvl w:val="0"/>
          <w:numId w:val="1793"/>
        </w:numPr>
      </w:pPr>
      <w:r>
        <w:rPr>
          <w:b/>
          <w:bCs/>
        </w:rPr>
        <w:t xml:space="preserve">email</w:t>
      </w:r>
      <w:r>
        <w:t xml:space="preserve"> </w:t>
      </w:r>
      <w:r>
        <w:t xml:space="preserve">(String, Required): The recipient’s email address to be CC’d.</w:t>
      </w:r>
    </w:p>
    <w:bookmarkEnd w:id="3133"/>
    <w:bookmarkStart w:id="3134" w:name="return-values-35"/>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 (True).</w:t>
      </w:r>
    </w:p>
    <w:bookmarkEnd w:id="3134"/>
    <w:bookmarkStart w:id="3135" w:name="remarks-289"/>
    <w:p>
      <w:pPr>
        <w:pStyle w:val="Heading2"/>
      </w:pPr>
      <w:r>
        <w:t xml:space="preserve">Remarks</w:t>
      </w:r>
    </w:p>
    <w:p>
      <w:pPr>
        <w:pStyle w:val="Compact"/>
        <w:numPr>
          <w:ilvl w:val="0"/>
          <w:numId w:val="1794"/>
        </w:numPr>
      </w:pPr>
      <w:r>
        <w:t xml:space="preserve">Recipients added via this method will be visible to all other recipients of the email.</w:t>
      </w:r>
    </w:p>
    <w:p>
      <w:pPr>
        <w:pStyle w:val="Compact"/>
        <w:numPr>
          <w:ilvl w:val="0"/>
          <w:numId w:val="1794"/>
        </w:numPr>
      </w:pPr>
      <w:r>
        <w:t xml:space="preserve">You can call this method multiple times to add multiple CC recipients.</w:t>
      </w:r>
    </w:p>
    <w:bookmarkEnd w:id="3135"/>
    <w:bookmarkStart w:id="3136" w:name="code-example-10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mail.Subject = </w:t>
      </w:r>
      <w:r>
        <w:rPr>
          <w:rStyle w:val="StringTok"/>
        </w:rPr>
        <w:t xml:space="preserve">"Project Update"</w:t>
      </w:r>
      <w:r>
        <w:br/>
      </w:r>
      <w:r>
        <w:rPr>
          <w:rStyle w:val="NormalTok"/>
        </w:rPr>
        <w:t xml:space="preserve">mail.AddAddress </w:t>
      </w:r>
      <w:r>
        <w:rPr>
          <w:rStyle w:val="StringTok"/>
        </w:rPr>
        <w:t xml:space="preserve">"manager@example.com"</w:t>
      </w:r>
      <w:r>
        <w:br/>
      </w:r>
      <w:r>
        <w:rPr>
          <w:rStyle w:val="NormalTok"/>
        </w:rPr>
        <w:t xml:space="preserve">mail.AddCc </w:t>
      </w:r>
      <w:r>
        <w:rPr>
          <w:rStyle w:val="StringTok"/>
        </w:rPr>
        <w:t xml:space="preserve">"team-lead@example.com"</w:t>
      </w:r>
      <w:r>
        <w:br/>
      </w:r>
      <w:r>
        <w:rPr>
          <w:rStyle w:val="NormalTok"/>
        </w:rPr>
        <w:t xml:space="preserve">mail.AddCc </w:t>
      </w:r>
      <w:r>
        <w:rPr>
          <w:rStyle w:val="StringTok"/>
        </w:rPr>
        <w:t xml:space="preserve">"backup@example.com"</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136"/>
    <w:bookmarkEnd w:id="3137"/>
    <w:bookmarkStart w:id="3144" w:name="addrecipient-method"/>
    <w:p>
      <w:pPr>
        <w:pStyle w:val="Heading1"/>
      </w:pPr>
      <w:r>
        <w:t xml:space="preserve">AddRecipient Method</w:t>
      </w:r>
    </w:p>
    <w:bookmarkStart w:id="3138" w:name="overview-308"/>
    <w:p>
      <w:pPr>
        <w:pStyle w:val="Heading2"/>
      </w:pPr>
      <w:r>
        <w:t xml:space="preserve">Overview</w:t>
      </w:r>
    </w:p>
    <w:p>
      <w:pPr>
        <w:pStyle w:val="FirstParagraph"/>
      </w:pPr>
      <w:r>
        <w:t xml:space="preserve">The</w:t>
      </w:r>
      <w:r>
        <w:t xml:space="preserve"> </w:t>
      </w:r>
      <w:r>
        <w:rPr>
          <w:b/>
          <w:bCs/>
        </w:rPr>
        <w:t xml:space="preserve">AddRecipient</w:t>
      </w:r>
      <w:r>
        <w:t xml:space="preserve"> </w:t>
      </w:r>
      <w:r>
        <w:t xml:space="preserve">method adds a primary recipient to the destination (To) list. It is provided for SMTPsvg.Mailer (ASPMail) compatibility.</w:t>
      </w:r>
    </w:p>
    <w:bookmarkEnd w:id="3138"/>
    <w:bookmarkStart w:id="3139" w:name="syntax-309"/>
    <w:p>
      <w:pPr>
        <w:pStyle w:val="Heading2"/>
      </w:pPr>
      <w:r>
        <w:t xml:space="preserve">Syntax</w:t>
      </w:r>
    </w:p>
    <w:p>
      <w:pPr>
        <w:pStyle w:val="SourceCode"/>
      </w:pPr>
      <w:r>
        <w:rPr>
          <w:rStyle w:val="NormalTok"/>
        </w:rPr>
        <w:t xml:space="preserve">result = mail.AddRecipient(name, email)</w:t>
      </w:r>
    </w:p>
    <w:bookmarkEnd w:id="3139"/>
    <w:bookmarkStart w:id="3140" w:name="parameters-and-arguments-36"/>
    <w:p>
      <w:pPr>
        <w:pStyle w:val="Heading2"/>
      </w:pPr>
      <w:r>
        <w:t xml:space="preserve">Parameters and Arguments</w:t>
      </w:r>
    </w:p>
    <w:p>
      <w:pPr>
        <w:pStyle w:val="Compact"/>
        <w:numPr>
          <w:ilvl w:val="0"/>
          <w:numId w:val="1795"/>
        </w:numPr>
      </w:pPr>
      <w:r>
        <w:rPr>
          <w:b/>
          <w:bCs/>
        </w:rPr>
        <w:t xml:space="preserve">name</w:t>
      </w:r>
      <w:r>
        <w:t xml:space="preserve"> </w:t>
      </w:r>
      <w:r>
        <w:t xml:space="preserve">(String, Required): The display name of the recipient (e.g. </w:t>
      </w:r>
      <w:r>
        <w:t xml:space="preserve">“John Doe”</w:t>
      </w:r>
      <w:r>
        <w:t xml:space="preserve">).</w:t>
      </w:r>
    </w:p>
    <w:p>
      <w:pPr>
        <w:pStyle w:val="Compact"/>
        <w:numPr>
          <w:ilvl w:val="0"/>
          <w:numId w:val="1795"/>
        </w:numPr>
      </w:pPr>
      <w:r>
        <w:rPr>
          <w:b/>
          <w:bCs/>
        </w:rPr>
        <w:t xml:space="preserve">email</w:t>
      </w:r>
      <w:r>
        <w:t xml:space="preserve"> </w:t>
      </w:r>
      <w:r>
        <w:t xml:space="preserve">(String, Required): The email address of the recipient (e.g. </w:t>
      </w:r>
      <w:r>
        <w:t xml:space="preserve">“john@example.com”</w:t>
      </w:r>
      <w:r>
        <w:t xml:space="preserve">).</w:t>
      </w:r>
    </w:p>
    <w:bookmarkEnd w:id="3140"/>
    <w:bookmarkStart w:id="3141" w:name="return-values-36"/>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141"/>
    <w:bookmarkStart w:id="3142" w:name="remarks-290"/>
    <w:p>
      <w:pPr>
        <w:pStyle w:val="Heading2"/>
      </w:pPr>
      <w:r>
        <w:t xml:space="preserve">Remarks</w:t>
      </w:r>
    </w:p>
    <w:p>
      <w:pPr>
        <w:pStyle w:val="Compact"/>
        <w:numPr>
          <w:ilvl w:val="0"/>
          <w:numId w:val="1796"/>
        </w:numPr>
      </w:pPr>
      <w:r>
        <w:rPr>
          <w:b/>
          <w:bCs/>
        </w:rPr>
        <w:t xml:space="preserve">CRITICAL:</w:t>
      </w:r>
      <w:r>
        <w:t xml:space="preserve"> </w:t>
      </w:r>
      <w:r>
        <w:t xml:space="preserve">The parameter order is</w:t>
      </w:r>
      <w:r>
        <w:t xml:space="preserve"> </w:t>
      </w:r>
      <w:r>
        <w:rPr>
          <w:rStyle w:val="VerbatimChar"/>
        </w:rPr>
        <w:t xml:space="preserve">(name, email)</w:t>
      </w:r>
      <w:r>
        <w:t xml:space="preserve">. This is the inverse of ASPEmail’s</w:t>
      </w:r>
      <w:r>
        <w:t xml:space="preserve"> </w:t>
      </w:r>
      <w:r>
        <w:rPr>
          <w:rStyle w:val="VerbatimChar"/>
        </w:rPr>
        <w:t xml:space="preserve">AddAddress(email, name)</w:t>
      </w:r>
      <w:r>
        <w:t xml:space="preserve"> </w:t>
      </w:r>
      <w:r>
        <w:t xml:space="preserve">method.</w:t>
      </w:r>
    </w:p>
    <w:p>
      <w:pPr>
        <w:pStyle w:val="Compact"/>
        <w:numPr>
          <w:ilvl w:val="0"/>
          <w:numId w:val="1796"/>
        </w:numPr>
      </w:pPr>
      <w:r>
        <w:t xml:space="preserve">The G3MAIL object automatically detects the reversed order when invoked as</w:t>
      </w:r>
      <w:r>
        <w:t xml:space="preserve"> </w:t>
      </w:r>
      <w:r>
        <w:rPr>
          <w:b/>
          <w:bCs/>
        </w:rPr>
        <w:t xml:space="preserve">AddRecipient</w:t>
      </w:r>
      <w:r>
        <w:t xml:space="preserve"> </w:t>
      </w:r>
      <w:r>
        <w:t xml:space="preserve">or when SMTPsvg.Mailer alias is used.</w:t>
      </w:r>
    </w:p>
    <w:bookmarkEnd w:id="3142"/>
    <w:bookmarkStart w:id="3143" w:name="code-example-10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mail.AddRecipient </w:t>
      </w:r>
      <w:r>
        <w:rPr>
          <w:rStyle w:val="StringTok"/>
        </w:rPr>
        <w:t xml:space="preserve">"Alice Smith"</w:t>
      </w:r>
      <w:r>
        <w:rPr>
          <w:rStyle w:val="OtherTok"/>
        </w:rPr>
        <w:t xml:space="preserve">,</w:t>
      </w:r>
      <w:r>
        <w:rPr>
          <w:rStyle w:val="NormalTok"/>
        </w:rPr>
        <w:t xml:space="preserve"> </w:t>
      </w:r>
      <w:r>
        <w:rPr>
          <w:rStyle w:val="StringTok"/>
        </w:rPr>
        <w:t xml:space="preserve">"alice@example.com"</w:t>
      </w:r>
      <w:r>
        <w:br/>
      </w:r>
      <w:r>
        <w:rPr>
          <w:rStyle w:val="DataTypeTok"/>
        </w:rPr>
        <w:t xml:space="preserve">%&gt;</w:t>
      </w:r>
    </w:p>
    <w:bookmarkEnd w:id="3143"/>
    <w:bookmarkEnd w:id="3144"/>
    <w:bookmarkStart w:id="3151" w:name="addrelatedbodypart-method"/>
    <w:p>
      <w:pPr>
        <w:pStyle w:val="Heading1"/>
      </w:pPr>
      <w:r>
        <w:t xml:space="preserve">AddRelatedBodyPart Method</w:t>
      </w:r>
    </w:p>
    <w:bookmarkStart w:id="3145" w:name="overview-309"/>
    <w:p>
      <w:pPr>
        <w:pStyle w:val="Heading2"/>
      </w:pPr>
      <w:r>
        <w:t xml:space="preserve">Overview</w:t>
      </w:r>
    </w:p>
    <w:p>
      <w:pPr>
        <w:pStyle w:val="FirstParagraph"/>
      </w:pPr>
      <w:r>
        <w:t xml:space="preserve">The</w:t>
      </w:r>
      <w:r>
        <w:t xml:space="preserve"> </w:t>
      </w:r>
      <w:r>
        <w:rPr>
          <w:b/>
          <w:bCs/>
        </w:rPr>
        <w:t xml:space="preserve">AddRelatedBodyPart</w:t>
      </w:r>
      <w:r>
        <w:t xml:space="preserve"> </w:t>
      </w:r>
      <w:r>
        <w:t xml:space="preserve">method embeds a related resource (such as an inline image) into the email payload, mapping it to a specific Content-ID (CID).</w:t>
      </w:r>
    </w:p>
    <w:bookmarkEnd w:id="3145"/>
    <w:bookmarkStart w:id="3146" w:name="syntax-310"/>
    <w:p>
      <w:pPr>
        <w:pStyle w:val="Heading2"/>
      </w:pPr>
      <w:r>
        <w:t xml:space="preserve">Syntax</w:t>
      </w:r>
    </w:p>
    <w:p>
      <w:pPr>
        <w:pStyle w:val="SourceCode"/>
      </w:pPr>
      <w:r>
        <w:rPr>
          <w:rStyle w:val="NormalTok"/>
        </w:rPr>
        <w:t xml:space="preserve">Set bodyPart = mail.AddRelatedBodyPart(filepath, cid)</w:t>
      </w:r>
    </w:p>
    <w:bookmarkEnd w:id="3146"/>
    <w:bookmarkStart w:id="3147" w:name="parameters-and-arguments-37"/>
    <w:p>
      <w:pPr>
        <w:pStyle w:val="Heading2"/>
      </w:pPr>
      <w:r>
        <w:t xml:space="preserve">Parameters and Arguments</w:t>
      </w:r>
    </w:p>
    <w:p>
      <w:pPr>
        <w:pStyle w:val="Compact"/>
        <w:numPr>
          <w:ilvl w:val="0"/>
          <w:numId w:val="1797"/>
        </w:numPr>
      </w:pPr>
      <w:r>
        <w:rPr>
          <w:b/>
          <w:bCs/>
        </w:rPr>
        <w:t xml:space="preserve">filepath</w:t>
      </w:r>
      <w:r>
        <w:t xml:space="preserve"> </w:t>
      </w:r>
      <w:r>
        <w:t xml:space="preserve">(String, Required): The absolute file path of the resource on the server.</w:t>
      </w:r>
    </w:p>
    <w:p>
      <w:pPr>
        <w:pStyle w:val="Compact"/>
        <w:numPr>
          <w:ilvl w:val="0"/>
          <w:numId w:val="1797"/>
        </w:numPr>
      </w:pPr>
      <w:r>
        <w:rPr>
          <w:b/>
          <w:bCs/>
        </w:rPr>
        <w:t xml:space="preserve">cid</w:t>
      </w:r>
      <w:r>
        <w:t xml:space="preserve"> </w:t>
      </w:r>
      <w:r>
        <w:t xml:space="preserve">(String, Required): The Content-ID to assign to the resource.</w:t>
      </w:r>
    </w:p>
    <w:bookmarkEnd w:id="3147"/>
    <w:bookmarkStart w:id="3148" w:name="return-values-37"/>
    <w:p>
      <w:pPr>
        <w:pStyle w:val="Heading2"/>
      </w:pPr>
      <w:r>
        <w:t xml:space="preserve">Return Values</w:t>
      </w:r>
    </w:p>
    <w:p>
      <w:pPr>
        <w:pStyle w:val="FirstParagraph"/>
      </w:pPr>
      <w:r>
        <w:t xml:space="preserve">Returns a body part object that supports the</w:t>
      </w:r>
      <w:r>
        <w:t xml:space="preserve"> </w:t>
      </w:r>
      <w:r>
        <w:rPr>
          <w:b/>
          <w:bCs/>
        </w:rPr>
        <w:t xml:space="preserve">Fields</w:t>
      </w:r>
      <w:r>
        <w:t xml:space="preserve"> </w:t>
      </w:r>
      <w:r>
        <w:t xml:space="preserve">collection.</w:t>
      </w:r>
    </w:p>
    <w:bookmarkEnd w:id="3148"/>
    <w:bookmarkStart w:id="3149" w:name="remarks-291"/>
    <w:p>
      <w:pPr>
        <w:pStyle w:val="Heading2"/>
      </w:pPr>
      <w:r>
        <w:t xml:space="preserve">Remarks</w:t>
      </w:r>
    </w:p>
    <w:p>
      <w:pPr>
        <w:pStyle w:val="Compact"/>
        <w:numPr>
          <w:ilvl w:val="0"/>
          <w:numId w:val="1798"/>
        </w:numPr>
      </w:pPr>
      <w:r>
        <w:t xml:space="preserve">If the file at</w:t>
      </w:r>
      <w:r>
        <w:t xml:space="preserve"> </w:t>
      </w:r>
      <w:r>
        <w:rPr>
          <w:b/>
          <w:bCs/>
        </w:rPr>
        <w:t xml:space="preserve">filepath</w:t>
      </w:r>
      <w:r>
        <w:t xml:space="preserve"> </w:t>
      </w:r>
      <w:r>
        <w:t xml:space="preserve">does not exist, the method raises a File Not Found error.</w:t>
      </w:r>
    </w:p>
    <w:p>
      <w:pPr>
        <w:pStyle w:val="Compact"/>
        <w:numPr>
          <w:ilvl w:val="0"/>
          <w:numId w:val="1798"/>
        </w:numPr>
      </w:pPr>
      <w:r>
        <w:t xml:space="preserve">The returned body part object exposes a</w:t>
      </w:r>
      <w:r>
        <w:t xml:space="preserve"> </w:t>
      </w:r>
      <w:r>
        <w:rPr>
          <w:b/>
          <w:bCs/>
        </w:rPr>
        <w:t xml:space="preserve">Fields</w:t>
      </w:r>
      <w:r>
        <w:t xml:space="preserve"> </w:t>
      </w:r>
      <w:r>
        <w:t xml:space="preserve">property, allowing you to update its headers (such as</w:t>
      </w:r>
      <w:r>
        <w:t xml:space="preserve"> </w:t>
      </w:r>
      <w:r>
        <w:rPr>
          <w:rStyle w:val="VerbatimChar"/>
        </w:rPr>
        <w:t xml:space="preserve">urn:schemas:mailheader:Content-ID</w:t>
      </w:r>
      <w:r>
        <w:t xml:space="preserve">) prior to sending.</w:t>
      </w:r>
    </w:p>
    <w:p>
      <w:pPr>
        <w:pStyle w:val="Compact"/>
        <w:numPr>
          <w:ilvl w:val="0"/>
          <w:numId w:val="1798"/>
        </w:numPr>
      </w:pPr>
      <w:r>
        <w:t xml:space="preserve">In JScript, the Content-ID can be updated via the returned object’s fields using the</w:t>
      </w:r>
      <w:r>
        <w:t xml:space="preserve"> </w:t>
      </w:r>
      <w:r>
        <w:rPr>
          <w:rStyle w:val="VerbatimChar"/>
        </w:rPr>
        <w:t xml:space="preserve">Fields.Item("urn:schemas:mailheader:Content-ID") = "&lt;" + cid + "&gt;"</w:t>
      </w:r>
      <w:r>
        <w:t xml:space="preserve"> </w:t>
      </w:r>
      <w:r>
        <w:t xml:space="preserve">chain.</w:t>
      </w:r>
    </w:p>
    <w:bookmarkEnd w:id="3149"/>
    <w:bookmarkStart w:id="3150" w:name="code-example-10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rPr>
          <w:rStyle w:val="OtherTok"/>
        </w:rPr>
        <w:t xml:space="preserve">,</w:t>
      </w:r>
      <w:r>
        <w:rPr>
          <w:rStyle w:val="NormalTok"/>
        </w:rPr>
        <w:t xml:space="preserve"> bp</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CommentTok"/>
        </w:rPr>
        <w:t xml:space="preserve">' Add related body part</w:t>
      </w:r>
      <w:r>
        <w:br/>
      </w:r>
      <w:r>
        <w:rPr>
          <w:rStyle w:val="KeywordTok"/>
        </w:rPr>
        <w:t xml:space="preserve">Set</w:t>
      </w:r>
      <w:r>
        <w:rPr>
          <w:rStyle w:val="NormalTok"/>
        </w:rPr>
        <w:t xml:space="preserve"> bp = mail.AddRelatedBodyPart</w:t>
      </w:r>
      <w:r>
        <w:rPr>
          <w:rStyle w:val="OtherTok"/>
        </w:rPr>
        <w:t xml:space="preserve">(</w:t>
      </w:r>
      <w:r>
        <w:rPr>
          <w:rStyle w:val="StringTok"/>
        </w:rPr>
        <w:t xml:space="preserve">"C:\inetpub\wwwroot\images\logo.png"</w:t>
      </w:r>
      <w:r>
        <w:rPr>
          <w:rStyle w:val="OtherTok"/>
        </w:rPr>
        <w:t xml:space="preserve">,</w:t>
      </w:r>
      <w:r>
        <w:rPr>
          <w:rStyle w:val="NormalTok"/>
        </w:rPr>
        <w:t xml:space="preserve"> </w:t>
      </w:r>
      <w:r>
        <w:rPr>
          <w:rStyle w:val="StringTok"/>
        </w:rPr>
        <w:t xml:space="preserve">"logo"</w:t>
      </w:r>
      <w:r>
        <w:rPr>
          <w:rStyle w:val="OtherTok"/>
        </w:rPr>
        <w:t xml:space="preserve">)</w:t>
      </w:r>
      <w:r>
        <w:br/>
      </w:r>
      <w:r>
        <w:br/>
      </w:r>
      <w:r>
        <w:rPr>
          <w:rStyle w:val="CommentTok"/>
        </w:rPr>
        <w:t xml:space="preserve">' In VBScript, the Fields collection can be updated</w:t>
      </w:r>
      <w:r>
        <w:br/>
      </w:r>
      <w:r>
        <w:rPr>
          <w:rStyle w:val="NormalTok"/>
        </w:rPr>
        <w:t xml:space="preserve">bp.Fields.</w:t>
      </w:r>
      <w:r>
        <w:rPr>
          <w:rStyle w:val="FunctionTok"/>
        </w:rPr>
        <w:t xml:space="preserve">Item</w:t>
      </w:r>
      <w:r>
        <w:rPr>
          <w:rStyle w:val="OtherTok"/>
        </w:rPr>
        <w:t xml:space="preserve">(</w:t>
      </w:r>
      <w:r>
        <w:rPr>
          <w:rStyle w:val="StringTok"/>
        </w:rPr>
        <w:t xml:space="preserve">"urn:schemas:mailheader:Content-ID"</w:t>
      </w:r>
      <w:r>
        <w:rPr>
          <w:rStyle w:val="OtherTok"/>
        </w:rPr>
        <w:t xml:space="preserve">)</w:t>
      </w:r>
      <w:r>
        <w:rPr>
          <w:rStyle w:val="NormalTok"/>
        </w:rPr>
        <w:t xml:space="preserve"> = </w:t>
      </w:r>
      <w:r>
        <w:rPr>
          <w:rStyle w:val="StringTok"/>
        </w:rPr>
        <w:t xml:space="preserve">"&lt;logo&gt;"</w:t>
      </w:r>
      <w:r>
        <w:br/>
      </w:r>
      <w:r>
        <w:rPr>
          <w:rStyle w:val="NormalTok"/>
        </w:rPr>
        <w:t xml:space="preserve">bp.Fields.Update</w:t>
      </w:r>
      <w:r>
        <w:rPr>
          <w:rStyle w:val="OtherTok"/>
        </w:rPr>
        <w:t xml:space="preserve">()</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150"/>
    <w:bookmarkEnd w:id="3151"/>
    <w:bookmarkStart w:id="3158" w:name="addreplyto-method"/>
    <w:p>
      <w:pPr>
        <w:pStyle w:val="Heading1"/>
      </w:pPr>
      <w:r>
        <w:t xml:space="preserve">AddReplyTo Method</w:t>
      </w:r>
    </w:p>
    <w:bookmarkStart w:id="3152" w:name="overview-310"/>
    <w:p>
      <w:pPr>
        <w:pStyle w:val="Heading2"/>
      </w:pPr>
      <w:r>
        <w:t xml:space="preserve">Overview</w:t>
      </w:r>
    </w:p>
    <w:p>
      <w:pPr>
        <w:pStyle w:val="FirstParagraph"/>
      </w:pPr>
      <w:r>
        <w:t xml:space="preserve">The</w:t>
      </w:r>
      <w:r>
        <w:t xml:space="preserve"> </w:t>
      </w:r>
      <w:r>
        <w:rPr>
          <w:b/>
          <w:bCs/>
        </w:rPr>
        <w:t xml:space="preserve">AddReplyTo</w:t>
      </w:r>
      <w:r>
        <w:t xml:space="preserve"> </w:t>
      </w:r>
      <w:r>
        <w:t xml:space="preserve">method appends an email address to the Reply-To headers list. It is provided for Persits.MailSender (ASPEmail) compatibility.</w:t>
      </w:r>
    </w:p>
    <w:bookmarkEnd w:id="3152"/>
    <w:bookmarkStart w:id="3153" w:name="syntax-311"/>
    <w:p>
      <w:pPr>
        <w:pStyle w:val="Heading2"/>
      </w:pPr>
      <w:r>
        <w:t xml:space="preserve">Syntax</w:t>
      </w:r>
    </w:p>
    <w:p>
      <w:pPr>
        <w:pStyle w:val="SourceCode"/>
      </w:pPr>
      <w:r>
        <w:rPr>
          <w:rStyle w:val="NormalTok"/>
        </w:rPr>
        <w:t xml:space="preserve">result = mail.AddReplyTo(email)</w:t>
      </w:r>
    </w:p>
    <w:bookmarkEnd w:id="3153"/>
    <w:bookmarkStart w:id="3154" w:name="parameters-and-arguments-38"/>
    <w:p>
      <w:pPr>
        <w:pStyle w:val="Heading2"/>
      </w:pPr>
      <w:r>
        <w:t xml:space="preserve">Parameters and Arguments</w:t>
      </w:r>
    </w:p>
    <w:p>
      <w:pPr>
        <w:pStyle w:val="Compact"/>
        <w:numPr>
          <w:ilvl w:val="0"/>
          <w:numId w:val="1799"/>
        </w:numPr>
      </w:pPr>
      <w:r>
        <w:rPr>
          <w:b/>
          <w:bCs/>
        </w:rPr>
        <w:t xml:space="preserve">email</w:t>
      </w:r>
      <w:r>
        <w:t xml:space="preserve"> </w:t>
      </w:r>
      <w:r>
        <w:t xml:space="preserve">(String, Required): The email address to receive replies to this message.</w:t>
      </w:r>
    </w:p>
    <w:bookmarkEnd w:id="3154"/>
    <w:bookmarkStart w:id="3155" w:name="return-values-38"/>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155"/>
    <w:bookmarkStart w:id="3156" w:name="remarks-292"/>
    <w:p>
      <w:pPr>
        <w:pStyle w:val="Heading2"/>
      </w:pPr>
      <w:r>
        <w:t xml:space="preserve">Remarks</w:t>
      </w:r>
    </w:p>
    <w:p>
      <w:pPr>
        <w:pStyle w:val="Compact"/>
        <w:numPr>
          <w:ilvl w:val="0"/>
          <w:numId w:val="1800"/>
        </w:numPr>
      </w:pPr>
      <w:r>
        <w:t xml:space="preserve">You can add one or more Reply-To addresses.</w:t>
      </w:r>
    </w:p>
    <w:p>
      <w:pPr>
        <w:pStyle w:val="Compact"/>
        <w:numPr>
          <w:ilvl w:val="0"/>
          <w:numId w:val="1800"/>
        </w:numPr>
      </w:pPr>
      <w:r>
        <w:t xml:space="preserve">This is commonly used when you want the recipient to reply to a different mailbox than the sender address.</w:t>
      </w:r>
    </w:p>
    <w:bookmarkEnd w:id="3156"/>
    <w:bookmarkStart w:id="3157" w:name="code-example-10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"Persits.MailSender"</w:t>
      </w:r>
      <w:r>
        <w:rPr>
          <w:rStyle w:val="OtherTok"/>
        </w:rPr>
        <w:t xml:space="preserve">)</w:t>
      </w:r>
      <w:r>
        <w:br/>
      </w:r>
      <w:r>
        <w:rPr>
          <w:rStyle w:val="NormalTok"/>
        </w:rPr>
        <w:t xml:space="preserve">mail.AddReplyTo </w:t>
      </w:r>
      <w:r>
        <w:rPr>
          <w:rStyle w:val="StringTok"/>
        </w:rPr>
        <w:t xml:space="preserve">"support@example.com"</w:t>
      </w:r>
      <w:r>
        <w:br/>
      </w:r>
      <w:r>
        <w:rPr>
          <w:rStyle w:val="DataTypeTok"/>
        </w:rPr>
        <w:t xml:space="preserve">%&gt;</w:t>
      </w:r>
    </w:p>
    <w:bookmarkEnd w:id="3157"/>
    <w:bookmarkEnd w:id="3158"/>
    <w:bookmarkStart w:id="3165" w:name="clear-method"/>
    <w:p>
      <w:pPr>
        <w:pStyle w:val="Heading1"/>
      </w:pPr>
      <w:r>
        <w:t xml:space="preserve">Clear Method</w:t>
      </w:r>
    </w:p>
    <w:bookmarkStart w:id="3159" w:name="overview-311"/>
    <w:p>
      <w:pPr>
        <w:pStyle w:val="Heading2"/>
      </w:pPr>
      <w:r>
        <w:t xml:space="preserve">Overview</w:t>
      </w:r>
    </w:p>
    <w:p>
      <w:pPr>
        <w:pStyle w:val="FirstParagraph"/>
      </w:pPr>
      <w:r>
        <w:t xml:space="preserve">The</w:t>
      </w:r>
      <w:r>
        <w:t xml:space="preserve"> </w:t>
      </w:r>
      <w:r>
        <w:rPr>
          <w:b/>
          <w:bCs/>
        </w:rPr>
        <w:t xml:space="preserve">Clear</w:t>
      </w:r>
      <w:r>
        <w:t xml:space="preserve"> </w:t>
      </w:r>
      <w:r>
        <w:t xml:space="preserve">method resets all message properties and recipient lists of the G3Pix AxonASP G3MAIL object to their default empty states.</w:t>
      </w:r>
    </w:p>
    <w:bookmarkEnd w:id="3159"/>
    <w:bookmarkStart w:id="3160" w:name="syntax-312"/>
    <w:p>
      <w:pPr>
        <w:pStyle w:val="Heading2"/>
      </w:pPr>
      <w:r>
        <w:t xml:space="preserve">Syntax</w:t>
      </w:r>
    </w:p>
    <w:p>
      <w:pPr>
        <w:pStyle w:val="SourceCode"/>
      </w:pPr>
      <w:r>
        <w:rPr>
          <w:rStyle w:val="NormalTok"/>
        </w:rPr>
        <w:t xml:space="preserve">result = mail.Clear()</w:t>
      </w:r>
    </w:p>
    <w:bookmarkEnd w:id="3160"/>
    <w:bookmarkStart w:id="3161" w:name="parameters-and-arguments-39"/>
    <w:p>
      <w:pPr>
        <w:pStyle w:val="Heading2"/>
      </w:pPr>
      <w:r>
        <w:t xml:space="preserve">Parameters and Arguments</w:t>
      </w:r>
    </w:p>
    <w:p>
      <w:pPr>
        <w:pStyle w:val="FirstParagraph"/>
      </w:pPr>
      <w:r>
        <w:t xml:space="preserve">This method does not take any arguments.</w:t>
      </w:r>
    </w:p>
    <w:bookmarkEnd w:id="3161"/>
    <w:bookmarkStart w:id="3162" w:name="return-values-39"/>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 (True).</w:t>
      </w:r>
    </w:p>
    <w:bookmarkEnd w:id="3162"/>
    <w:bookmarkStart w:id="3163" w:name="remarks-293"/>
    <w:p>
      <w:pPr>
        <w:pStyle w:val="Heading2"/>
      </w:pPr>
      <w:r>
        <w:t xml:space="preserve">Remarks</w:t>
      </w:r>
    </w:p>
    <w:p>
      <w:pPr>
        <w:pStyle w:val="Compact"/>
        <w:numPr>
          <w:ilvl w:val="0"/>
          <w:numId w:val="1801"/>
        </w:numPr>
      </w:pPr>
      <w:r>
        <w:t xml:space="preserve">This method clears the</w:t>
      </w:r>
      <w:r>
        <w:t xml:space="preserve"> </w:t>
      </w:r>
      <w:r>
        <w:rPr>
          <w:b/>
          <w:bCs/>
        </w:rPr>
        <w:t xml:space="preserve">To</w:t>
      </w:r>
      <w:r>
        <w:t xml:space="preserve">,</w:t>
      </w:r>
      <w:r>
        <w:t xml:space="preserve"> </w:t>
      </w:r>
      <w:r>
        <w:rPr>
          <w:b/>
          <w:bCs/>
        </w:rPr>
        <w:t xml:space="preserve">Cc</w:t>
      </w:r>
      <w:r>
        <w:t xml:space="preserve">, and</w:t>
      </w:r>
      <w:r>
        <w:t xml:space="preserve"> </w:t>
      </w:r>
      <w:r>
        <w:rPr>
          <w:b/>
          <w:bCs/>
        </w:rPr>
        <w:t xml:space="preserve">Bcc</w:t>
      </w:r>
      <w:r>
        <w:t xml:space="preserve"> </w:t>
      </w:r>
      <w:r>
        <w:t xml:space="preserve">lists, as well as the</w:t>
      </w:r>
      <w:r>
        <w:t xml:space="preserve"> </w:t>
      </w:r>
      <w:r>
        <w:rPr>
          <w:b/>
          <w:bCs/>
        </w:rPr>
        <w:t xml:space="preserve">Subject</w:t>
      </w:r>
      <w:r>
        <w:t xml:space="preserve">,</w:t>
      </w:r>
      <w:r>
        <w:t xml:space="preserve"> </w:t>
      </w:r>
      <w:r>
        <w:rPr>
          <w:b/>
          <w:bCs/>
        </w:rPr>
        <w:t xml:space="preserve">Body</w:t>
      </w:r>
      <w:r>
        <w:t xml:space="preserve">, and</w:t>
      </w:r>
      <w:r>
        <w:t xml:space="preserve"> </w:t>
      </w:r>
      <w:r>
        <w:rPr>
          <w:b/>
          <w:bCs/>
        </w:rPr>
        <w:t xml:space="preserve">IsHTML</w:t>
      </w:r>
      <w:r>
        <w:t xml:space="preserve"> </w:t>
      </w:r>
      <w:r>
        <w:t xml:space="preserve">status.</w:t>
      </w:r>
    </w:p>
    <w:p>
      <w:pPr>
        <w:pStyle w:val="Compact"/>
        <w:numPr>
          <w:ilvl w:val="0"/>
          <w:numId w:val="1801"/>
        </w:numPr>
      </w:pPr>
      <w:r>
        <w:t xml:space="preserve">Use this method when reusing the same G3MAIL object to send multiple different emails in a single script execution.</w:t>
      </w:r>
    </w:p>
    <w:p>
      <w:pPr>
        <w:pStyle w:val="Compact"/>
        <w:numPr>
          <w:ilvl w:val="0"/>
          <w:numId w:val="1801"/>
        </w:numPr>
      </w:pPr>
      <w:r>
        <w:t xml:space="preserve">SMTP server settings (Host, Port, Username, Password) are NOT cleared by this method.</w:t>
      </w:r>
    </w:p>
    <w:bookmarkEnd w:id="3163"/>
    <w:bookmarkStart w:id="3164" w:name="code-example-10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CommentTok"/>
        </w:rPr>
        <w:t xml:space="preserve">' First email</w:t>
      </w:r>
      <w:r>
        <w:br/>
      </w:r>
      <w:r>
        <w:rPr>
          <w:rStyle w:val="NormalTok"/>
        </w:rPr>
        <w:t xml:space="preserve">mail.AddAddress </w:t>
      </w:r>
      <w:r>
        <w:rPr>
          <w:rStyle w:val="StringTok"/>
        </w:rPr>
        <w:t xml:space="preserve">"user1@example.com"</w:t>
      </w:r>
      <w:r>
        <w:br/>
      </w:r>
      <w:r>
        <w:rPr>
          <w:rStyle w:val="NormalTok"/>
        </w:rPr>
        <w:t xml:space="preserve">mail.Subject = </w:t>
      </w:r>
      <w:r>
        <w:rPr>
          <w:rStyle w:val="StringTok"/>
        </w:rPr>
        <w:t xml:space="preserve">"First Message"</w:t>
      </w:r>
      <w:r>
        <w:br/>
      </w:r>
      <w:r>
        <w:rPr>
          <w:rStyle w:val="NormalTok"/>
        </w:rPr>
        <w:t xml:space="preserve">mail.Body = </w:t>
      </w:r>
      <w:r>
        <w:rPr>
          <w:rStyle w:val="StringTok"/>
        </w:rPr>
        <w:t xml:space="preserve">"Hello User 1"</w:t>
      </w:r>
      <w:r>
        <w:br/>
      </w:r>
      <w:r>
        <w:rPr>
          <w:rStyle w:val="NormalTok"/>
        </w:rPr>
        <w:t xml:space="preserve">mail.Send</w:t>
      </w:r>
      <w:r>
        <w:rPr>
          <w:rStyle w:val="OtherTok"/>
        </w:rPr>
        <w:t xml:space="preserve">()</w:t>
      </w:r>
      <w:r>
        <w:br/>
      </w:r>
      <w:r>
        <w:br/>
      </w:r>
      <w:r>
        <w:rPr>
          <w:rStyle w:val="CommentTok"/>
        </w:rPr>
        <w:t xml:space="preserve">' Clear for second email</w:t>
      </w:r>
      <w:r>
        <w:br/>
      </w:r>
      <w:r>
        <w:rPr>
          <w:rStyle w:val="NormalTok"/>
        </w:rPr>
        <w:t xml:space="preserve">mail.</w:t>
      </w:r>
      <w:r>
        <w:rPr>
          <w:rStyle w:val="FunctionTok"/>
        </w:rPr>
        <w:t xml:space="preserve">Clear</w:t>
      </w:r>
      <w:r>
        <w:rPr>
          <w:rStyle w:val="OtherTok"/>
        </w:rPr>
        <w:t xml:space="preserve">()</w:t>
      </w:r>
      <w:r>
        <w:br/>
      </w:r>
      <w:r>
        <w:br/>
      </w:r>
      <w:r>
        <w:rPr>
          <w:rStyle w:val="CommentTok"/>
        </w:rPr>
        <w:t xml:space="preserve">' Second email</w:t>
      </w:r>
      <w:r>
        <w:br/>
      </w:r>
      <w:r>
        <w:rPr>
          <w:rStyle w:val="NormalTok"/>
        </w:rPr>
        <w:t xml:space="preserve">mail.AddAddress </w:t>
      </w:r>
      <w:r>
        <w:rPr>
          <w:rStyle w:val="StringTok"/>
        </w:rPr>
        <w:t xml:space="preserve">"user2@example.com"</w:t>
      </w:r>
      <w:r>
        <w:br/>
      </w:r>
      <w:r>
        <w:rPr>
          <w:rStyle w:val="NormalTok"/>
        </w:rPr>
        <w:t xml:space="preserve">mail.Subject = </w:t>
      </w:r>
      <w:r>
        <w:rPr>
          <w:rStyle w:val="StringTok"/>
        </w:rPr>
        <w:t xml:space="preserve">"Second Message"</w:t>
      </w:r>
      <w:r>
        <w:br/>
      </w:r>
      <w:r>
        <w:rPr>
          <w:rStyle w:val="NormalTok"/>
        </w:rPr>
        <w:t xml:space="preserve">mail.Body = </w:t>
      </w:r>
      <w:r>
        <w:rPr>
          <w:rStyle w:val="StringTok"/>
        </w:rPr>
        <w:t xml:space="preserve">"Hello User 2"</w:t>
      </w:r>
      <w:r>
        <w:br/>
      </w:r>
      <w:r>
        <w:rPr>
          <w:rStyle w:val="NormalTok"/>
        </w:rPr>
        <w:t xml:space="preserve">mail.Send</w:t>
      </w:r>
      <w:r>
        <w:rPr>
          <w:rStyle w:val="OtherTok"/>
        </w:rPr>
        <w:t xml:space="preserve">()</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164"/>
    <w:bookmarkEnd w:id="3165"/>
    <w:bookmarkStart w:id="3170" w:name="clearaddresses-method"/>
    <w:p>
      <w:pPr>
        <w:pStyle w:val="Heading1"/>
      </w:pPr>
      <w:r>
        <w:t xml:space="preserve">ClearAddresses Method</w:t>
      </w:r>
    </w:p>
    <w:bookmarkStart w:id="3166" w:name="overview-312"/>
    <w:p>
      <w:pPr>
        <w:pStyle w:val="Heading2"/>
      </w:pPr>
      <w:r>
        <w:t xml:space="preserve">Overview</w:t>
      </w:r>
    </w:p>
    <w:p>
      <w:pPr>
        <w:pStyle w:val="FirstParagraph"/>
      </w:pPr>
      <w:r>
        <w:t xml:space="preserve">The</w:t>
      </w:r>
      <w:r>
        <w:t xml:space="preserve"> </w:t>
      </w:r>
      <w:r>
        <w:rPr>
          <w:b/>
          <w:bCs/>
        </w:rPr>
        <w:t xml:space="preserve">ClearAddresses</w:t>
      </w:r>
      <w:r>
        <w:t xml:space="preserve"> </w:t>
      </w:r>
      <w:r>
        <w:t xml:space="preserve">method clears all recipient email addresses from the primary destination list (To). It is provided for Persits.MailSender (ASPEmail) compatibility.</w:t>
      </w:r>
    </w:p>
    <w:bookmarkEnd w:id="3166"/>
    <w:bookmarkStart w:id="3167" w:name="syntax-313"/>
    <w:p>
      <w:pPr>
        <w:pStyle w:val="Heading2"/>
      </w:pPr>
      <w:r>
        <w:t xml:space="preserve">Syntax</w:t>
      </w:r>
    </w:p>
    <w:p>
      <w:pPr>
        <w:pStyle w:val="SourceCode"/>
      </w:pPr>
      <w:r>
        <w:rPr>
          <w:rStyle w:val="NormalTok"/>
        </w:rPr>
        <w:t xml:space="preserve">mail.ClearAddresses()</w:t>
      </w:r>
    </w:p>
    <w:bookmarkEnd w:id="3167"/>
    <w:bookmarkStart w:id="3168" w:name="return-values-40"/>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168"/>
    <w:bookmarkStart w:id="3169" w:name="code-example-11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"Persits.MailSender"</w:t>
      </w:r>
      <w:r>
        <w:rPr>
          <w:rStyle w:val="OtherTok"/>
        </w:rPr>
        <w:t xml:space="preserve">)</w:t>
      </w:r>
      <w:r>
        <w:br/>
      </w:r>
      <w:r>
        <w:rPr>
          <w:rStyle w:val="NormalTok"/>
        </w:rPr>
        <w:t xml:space="preserve">mail.AddAddress </w:t>
      </w:r>
      <w:r>
        <w:rPr>
          <w:rStyle w:val="StringTok"/>
        </w:rPr>
        <w:t xml:space="preserve">"user@example.com"</w:t>
      </w:r>
      <w:r>
        <w:br/>
      </w:r>
      <w:r>
        <w:rPr>
          <w:rStyle w:val="NormalTok"/>
        </w:rPr>
        <w:t xml:space="preserve">mail.ClearAddresses</w:t>
      </w:r>
      <w:r>
        <w:rPr>
          <w:rStyle w:val="OtherTok"/>
        </w:rPr>
        <w:t xml:space="preserve">()</w:t>
      </w:r>
      <w:r>
        <w:br/>
      </w:r>
      <w:r>
        <w:rPr>
          <w:rStyle w:val="DataTypeTok"/>
        </w:rPr>
        <w:t xml:space="preserve">%&gt;</w:t>
      </w:r>
    </w:p>
    <w:bookmarkEnd w:id="3169"/>
    <w:bookmarkEnd w:id="3170"/>
    <w:bookmarkStart w:id="3175" w:name="clearattachments-method"/>
    <w:p>
      <w:pPr>
        <w:pStyle w:val="Heading1"/>
      </w:pPr>
      <w:r>
        <w:t xml:space="preserve">ClearAttachments Method</w:t>
      </w:r>
    </w:p>
    <w:bookmarkStart w:id="3171" w:name="overview-313"/>
    <w:p>
      <w:pPr>
        <w:pStyle w:val="Heading2"/>
      </w:pPr>
      <w:r>
        <w:t xml:space="preserve">Overview</w:t>
      </w:r>
    </w:p>
    <w:p>
      <w:pPr>
        <w:pStyle w:val="FirstParagraph"/>
      </w:pPr>
      <w:r>
        <w:t xml:space="preserve">The</w:t>
      </w:r>
      <w:r>
        <w:t xml:space="preserve"> </w:t>
      </w:r>
      <w:r>
        <w:rPr>
          <w:b/>
          <w:bCs/>
        </w:rPr>
        <w:t xml:space="preserve">ClearAttachments</w:t>
      </w:r>
      <w:r>
        <w:t xml:space="preserve"> </w:t>
      </w:r>
      <w:r>
        <w:t xml:space="preserve">method clears all attached files from the email payload. It is provided for Persits.MailSender (ASPEmail) compatibility.</w:t>
      </w:r>
    </w:p>
    <w:bookmarkEnd w:id="3171"/>
    <w:bookmarkStart w:id="3172" w:name="syntax-314"/>
    <w:p>
      <w:pPr>
        <w:pStyle w:val="Heading2"/>
      </w:pPr>
      <w:r>
        <w:t xml:space="preserve">Syntax</w:t>
      </w:r>
    </w:p>
    <w:p>
      <w:pPr>
        <w:pStyle w:val="SourceCode"/>
      </w:pPr>
      <w:r>
        <w:rPr>
          <w:rStyle w:val="NormalTok"/>
        </w:rPr>
        <w:t xml:space="preserve">mail.ClearAttachments()</w:t>
      </w:r>
    </w:p>
    <w:bookmarkEnd w:id="3172"/>
    <w:bookmarkStart w:id="3173" w:name="return-values-41"/>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173"/>
    <w:bookmarkStart w:id="3174" w:name="code-example-11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"Persits.MailSender"</w:t>
      </w:r>
      <w:r>
        <w:rPr>
          <w:rStyle w:val="OtherTok"/>
        </w:rPr>
        <w:t xml:space="preserve">)</w:t>
      </w:r>
      <w:r>
        <w:br/>
      </w:r>
      <w:r>
        <w:rPr>
          <w:rStyle w:val="NormalTok"/>
        </w:rPr>
        <w:t xml:space="preserve">mail.AddAttachment </w:t>
      </w:r>
      <w:r>
        <w:rPr>
          <w:rStyle w:val="StringTok"/>
        </w:rPr>
        <w:t xml:space="preserve">"C:\file.pdf"</w:t>
      </w:r>
      <w:r>
        <w:br/>
      </w:r>
      <w:r>
        <w:rPr>
          <w:rStyle w:val="NormalTok"/>
        </w:rPr>
        <w:t xml:space="preserve">mail.ClearAttachments</w:t>
      </w:r>
      <w:r>
        <w:rPr>
          <w:rStyle w:val="OtherTok"/>
        </w:rPr>
        <w:t xml:space="preserve">()</w:t>
      </w:r>
      <w:r>
        <w:br/>
      </w:r>
      <w:r>
        <w:rPr>
          <w:rStyle w:val="DataTypeTok"/>
        </w:rPr>
        <w:t xml:space="preserve">%&gt;</w:t>
      </w:r>
    </w:p>
    <w:bookmarkEnd w:id="3174"/>
    <w:bookmarkEnd w:id="3175"/>
    <w:bookmarkStart w:id="3180" w:name="clearbcc-method"/>
    <w:p>
      <w:pPr>
        <w:pStyle w:val="Heading1"/>
      </w:pPr>
      <w:r>
        <w:t xml:space="preserve">ClearBcc Method</w:t>
      </w:r>
    </w:p>
    <w:bookmarkStart w:id="3176" w:name="overview-314"/>
    <w:p>
      <w:pPr>
        <w:pStyle w:val="Heading2"/>
      </w:pPr>
      <w:r>
        <w:t xml:space="preserve">Overview</w:t>
      </w:r>
    </w:p>
    <w:p>
      <w:pPr>
        <w:pStyle w:val="FirstParagraph"/>
      </w:pPr>
      <w:r>
        <w:t xml:space="preserve">The</w:t>
      </w:r>
      <w:r>
        <w:t xml:space="preserve"> </w:t>
      </w:r>
      <w:r>
        <w:rPr>
          <w:b/>
          <w:bCs/>
        </w:rPr>
        <w:t xml:space="preserve">ClearBcc</w:t>
      </w:r>
      <w:r>
        <w:t xml:space="preserve"> </w:t>
      </w:r>
      <w:r>
        <w:t xml:space="preserve">method clears all recipient email addresses from the BCC (blind carbon copy) list. It is provided for Persits.MailSender (ASPEmail) compatibility.</w:t>
      </w:r>
    </w:p>
    <w:bookmarkEnd w:id="3176"/>
    <w:bookmarkStart w:id="3177" w:name="syntax-315"/>
    <w:p>
      <w:pPr>
        <w:pStyle w:val="Heading2"/>
      </w:pPr>
      <w:r>
        <w:t xml:space="preserve">Syntax</w:t>
      </w:r>
    </w:p>
    <w:p>
      <w:pPr>
        <w:pStyle w:val="SourceCode"/>
      </w:pPr>
      <w:r>
        <w:rPr>
          <w:rStyle w:val="NormalTok"/>
        </w:rPr>
        <w:t xml:space="preserve">mail.ClearBcc()</w:t>
      </w:r>
    </w:p>
    <w:bookmarkEnd w:id="3177"/>
    <w:bookmarkStart w:id="3178" w:name="return-values-42"/>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178"/>
    <w:bookmarkStart w:id="3179" w:name="code-example-11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"Persits.MailSender"</w:t>
      </w:r>
      <w:r>
        <w:rPr>
          <w:rStyle w:val="OtherTok"/>
        </w:rPr>
        <w:t xml:space="preserve">)</w:t>
      </w:r>
      <w:r>
        <w:br/>
      </w:r>
      <w:r>
        <w:rPr>
          <w:rStyle w:val="NormalTok"/>
        </w:rPr>
        <w:t xml:space="preserve">mail.AddBcc </w:t>
      </w:r>
      <w:r>
        <w:rPr>
          <w:rStyle w:val="StringTok"/>
        </w:rPr>
        <w:t xml:space="preserve">"user@example.com"</w:t>
      </w:r>
      <w:r>
        <w:br/>
      </w:r>
      <w:r>
        <w:rPr>
          <w:rStyle w:val="NormalTok"/>
        </w:rPr>
        <w:t xml:space="preserve">mail.ClearBcc</w:t>
      </w:r>
      <w:r>
        <w:rPr>
          <w:rStyle w:val="OtherTok"/>
        </w:rPr>
        <w:t xml:space="preserve">()</w:t>
      </w:r>
      <w:r>
        <w:br/>
      </w:r>
      <w:r>
        <w:rPr>
          <w:rStyle w:val="DataTypeTok"/>
        </w:rPr>
        <w:t xml:space="preserve">%&gt;</w:t>
      </w:r>
    </w:p>
    <w:bookmarkEnd w:id="3179"/>
    <w:bookmarkEnd w:id="3180"/>
    <w:bookmarkStart w:id="3187" w:name="clearbccs-method"/>
    <w:p>
      <w:pPr>
        <w:pStyle w:val="Heading1"/>
      </w:pPr>
      <w:r>
        <w:t xml:space="preserve">ClearBCCs Method</w:t>
      </w:r>
    </w:p>
    <w:bookmarkStart w:id="3181" w:name="overview-315"/>
    <w:p>
      <w:pPr>
        <w:pStyle w:val="Heading2"/>
      </w:pPr>
      <w:r>
        <w:t xml:space="preserve">Overview</w:t>
      </w:r>
    </w:p>
    <w:p>
      <w:pPr>
        <w:pStyle w:val="FirstParagraph"/>
      </w:pPr>
      <w:r>
        <w:t xml:space="preserve">The</w:t>
      </w:r>
      <w:r>
        <w:t xml:space="preserve"> </w:t>
      </w:r>
      <w:r>
        <w:rPr>
          <w:b/>
          <w:bCs/>
        </w:rPr>
        <w:t xml:space="preserve">ClearBCCs</w:t>
      </w:r>
      <w:r>
        <w:t xml:space="preserve"> </w:t>
      </w:r>
      <w:r>
        <w:t xml:space="preserve">method clears all recipient email addresses from the BCC (blind carbon copy) list. It is provided for SMTPsvg.Mailer (ASPMail) compatibility.</w:t>
      </w:r>
    </w:p>
    <w:bookmarkEnd w:id="3181"/>
    <w:bookmarkStart w:id="3182" w:name="syntax-316"/>
    <w:p>
      <w:pPr>
        <w:pStyle w:val="Heading2"/>
      </w:pPr>
      <w:r>
        <w:t xml:space="preserve">Syntax</w:t>
      </w:r>
    </w:p>
    <w:p>
      <w:pPr>
        <w:pStyle w:val="SourceCode"/>
      </w:pPr>
      <w:r>
        <w:rPr>
          <w:rStyle w:val="NormalTok"/>
        </w:rPr>
        <w:t xml:space="preserve">mail.ClearBCCs()</w:t>
      </w:r>
    </w:p>
    <w:bookmarkEnd w:id="3182"/>
    <w:bookmarkStart w:id="3183" w:name="parameters-and-arguments-40"/>
    <w:p>
      <w:pPr>
        <w:pStyle w:val="Heading2"/>
      </w:pPr>
      <w:r>
        <w:t xml:space="preserve">Parameters and Arguments</w:t>
      </w:r>
    </w:p>
    <w:p>
      <w:pPr>
        <w:pStyle w:val="FirstParagraph"/>
      </w:pPr>
      <w:r>
        <w:t xml:space="preserve">This method does not take any arguments.</w:t>
      </w:r>
    </w:p>
    <w:bookmarkEnd w:id="3183"/>
    <w:bookmarkStart w:id="3184" w:name="return-values-43"/>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184"/>
    <w:bookmarkStart w:id="3185" w:name="remarks-294"/>
    <w:p>
      <w:pPr>
        <w:pStyle w:val="Heading2"/>
      </w:pPr>
      <w:r>
        <w:t xml:space="preserve">Remarks</w:t>
      </w:r>
    </w:p>
    <w:p>
      <w:pPr>
        <w:pStyle w:val="Compact"/>
        <w:numPr>
          <w:ilvl w:val="0"/>
          <w:numId w:val="1802"/>
        </w:numPr>
      </w:pPr>
      <w:r>
        <w:t xml:space="preserve">This method is a compatibility alias for clearing the BCC recipient list.</w:t>
      </w:r>
    </w:p>
    <w:p>
      <w:pPr>
        <w:pStyle w:val="Compact"/>
        <w:numPr>
          <w:ilvl w:val="0"/>
          <w:numId w:val="1802"/>
        </w:numPr>
      </w:pPr>
      <w:r>
        <w:t xml:space="preserve">It removes all BCC addresses added via the</w:t>
      </w:r>
      <w:r>
        <w:t xml:space="preserve"> </w:t>
      </w:r>
      <w:r>
        <w:rPr>
          <w:b/>
          <w:bCs/>
        </w:rPr>
        <w:t xml:space="preserve">AddBCC</w:t>
      </w:r>
      <w:r>
        <w:t xml:space="preserve"> </w:t>
      </w:r>
      <w:r>
        <w:t xml:space="preserve">method.</w:t>
      </w:r>
    </w:p>
    <w:bookmarkEnd w:id="3185"/>
    <w:bookmarkStart w:id="3186" w:name="code-example-11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mail.AddBCC </w:t>
      </w:r>
      <w:r>
        <w:rPr>
          <w:rStyle w:val="StringTok"/>
        </w:rPr>
        <w:t xml:space="preserve">"Alice Smith"</w:t>
      </w:r>
      <w:r>
        <w:rPr>
          <w:rStyle w:val="OtherTok"/>
        </w:rPr>
        <w:t xml:space="preserve">,</w:t>
      </w:r>
      <w:r>
        <w:rPr>
          <w:rStyle w:val="NormalTok"/>
        </w:rPr>
        <w:t xml:space="preserve"> </w:t>
      </w:r>
      <w:r>
        <w:rPr>
          <w:rStyle w:val="StringTok"/>
        </w:rPr>
        <w:t xml:space="preserve">"alice@example.com"</w:t>
      </w:r>
      <w:r>
        <w:br/>
      </w:r>
      <w:r>
        <w:rPr>
          <w:rStyle w:val="NormalTok"/>
        </w:rPr>
        <w:t xml:space="preserve">mail.ClearBCCs</w:t>
      </w:r>
      <w:r>
        <w:rPr>
          <w:rStyle w:val="OtherTok"/>
        </w:rPr>
        <w:t xml:space="preserve">()</w:t>
      </w:r>
      <w:r>
        <w:br/>
      </w:r>
      <w:r>
        <w:rPr>
          <w:rStyle w:val="DataTypeTok"/>
        </w:rPr>
        <w:t xml:space="preserve">%&gt;</w:t>
      </w:r>
    </w:p>
    <w:bookmarkEnd w:id="3186"/>
    <w:bookmarkEnd w:id="3187"/>
    <w:bookmarkStart w:id="3192" w:name="clearcc-method"/>
    <w:p>
      <w:pPr>
        <w:pStyle w:val="Heading1"/>
      </w:pPr>
      <w:r>
        <w:t xml:space="preserve">ClearCC Method</w:t>
      </w:r>
    </w:p>
    <w:bookmarkStart w:id="3188" w:name="overview-316"/>
    <w:p>
      <w:pPr>
        <w:pStyle w:val="Heading2"/>
      </w:pPr>
      <w:r>
        <w:t xml:space="preserve">Overview</w:t>
      </w:r>
    </w:p>
    <w:p>
      <w:pPr>
        <w:pStyle w:val="FirstParagraph"/>
      </w:pPr>
      <w:r>
        <w:t xml:space="preserve">The</w:t>
      </w:r>
      <w:r>
        <w:t xml:space="preserve"> </w:t>
      </w:r>
      <w:r>
        <w:rPr>
          <w:b/>
          <w:bCs/>
        </w:rPr>
        <w:t xml:space="preserve">ClearCC</w:t>
      </w:r>
      <w:r>
        <w:t xml:space="preserve"> </w:t>
      </w:r>
      <w:r>
        <w:t xml:space="preserve">method clears all recipient email addresses from the CC (carbon copy) list. It is provided for Persits.MailSender (ASPEmail) compatibility.</w:t>
      </w:r>
    </w:p>
    <w:bookmarkEnd w:id="3188"/>
    <w:bookmarkStart w:id="3189" w:name="syntax-317"/>
    <w:p>
      <w:pPr>
        <w:pStyle w:val="Heading2"/>
      </w:pPr>
      <w:r>
        <w:t xml:space="preserve">Syntax</w:t>
      </w:r>
    </w:p>
    <w:p>
      <w:pPr>
        <w:pStyle w:val="SourceCode"/>
      </w:pPr>
      <w:r>
        <w:rPr>
          <w:rStyle w:val="NormalTok"/>
        </w:rPr>
        <w:t xml:space="preserve">mail.ClearCC()</w:t>
      </w:r>
    </w:p>
    <w:bookmarkEnd w:id="3189"/>
    <w:bookmarkStart w:id="3190" w:name="return-values-44"/>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190"/>
    <w:bookmarkStart w:id="3191" w:name="code-example-11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"Persits.MailSender"</w:t>
      </w:r>
      <w:r>
        <w:rPr>
          <w:rStyle w:val="OtherTok"/>
        </w:rPr>
        <w:t xml:space="preserve">)</w:t>
      </w:r>
      <w:r>
        <w:br/>
      </w:r>
      <w:r>
        <w:rPr>
          <w:rStyle w:val="NormalTok"/>
        </w:rPr>
        <w:t xml:space="preserve">mail.AddCC </w:t>
      </w:r>
      <w:r>
        <w:rPr>
          <w:rStyle w:val="StringTok"/>
        </w:rPr>
        <w:t xml:space="preserve">"user@example.com"</w:t>
      </w:r>
      <w:r>
        <w:br/>
      </w:r>
      <w:r>
        <w:rPr>
          <w:rStyle w:val="NormalTok"/>
        </w:rPr>
        <w:t xml:space="preserve">mail.ClearCC</w:t>
      </w:r>
      <w:r>
        <w:rPr>
          <w:rStyle w:val="OtherTok"/>
        </w:rPr>
        <w:t xml:space="preserve">()</w:t>
      </w:r>
      <w:r>
        <w:br/>
      </w:r>
      <w:r>
        <w:rPr>
          <w:rStyle w:val="DataTypeTok"/>
        </w:rPr>
        <w:t xml:space="preserve">%&gt;</w:t>
      </w:r>
    </w:p>
    <w:bookmarkEnd w:id="3191"/>
    <w:bookmarkEnd w:id="3192"/>
    <w:bookmarkStart w:id="3199" w:name="clearccs-method"/>
    <w:p>
      <w:pPr>
        <w:pStyle w:val="Heading1"/>
      </w:pPr>
      <w:r>
        <w:t xml:space="preserve">ClearCCs Method</w:t>
      </w:r>
    </w:p>
    <w:bookmarkStart w:id="3193" w:name="overview-317"/>
    <w:p>
      <w:pPr>
        <w:pStyle w:val="Heading2"/>
      </w:pPr>
      <w:r>
        <w:t xml:space="preserve">Overview</w:t>
      </w:r>
    </w:p>
    <w:p>
      <w:pPr>
        <w:pStyle w:val="FirstParagraph"/>
      </w:pPr>
      <w:r>
        <w:t xml:space="preserve">The</w:t>
      </w:r>
      <w:r>
        <w:t xml:space="preserve"> </w:t>
      </w:r>
      <w:r>
        <w:rPr>
          <w:b/>
          <w:bCs/>
        </w:rPr>
        <w:t xml:space="preserve">ClearCCs</w:t>
      </w:r>
      <w:r>
        <w:t xml:space="preserve"> </w:t>
      </w:r>
      <w:r>
        <w:t xml:space="preserve">method clears all recipient email addresses from the CC (carbon copy) list. It is provided for SMTPsvg.Mailer (ASPMail) compatibility.</w:t>
      </w:r>
    </w:p>
    <w:bookmarkEnd w:id="3193"/>
    <w:bookmarkStart w:id="3194" w:name="syntax-318"/>
    <w:p>
      <w:pPr>
        <w:pStyle w:val="Heading2"/>
      </w:pPr>
      <w:r>
        <w:t xml:space="preserve">Syntax</w:t>
      </w:r>
    </w:p>
    <w:p>
      <w:pPr>
        <w:pStyle w:val="SourceCode"/>
      </w:pPr>
      <w:r>
        <w:rPr>
          <w:rStyle w:val="NormalTok"/>
        </w:rPr>
        <w:t xml:space="preserve">mail.ClearCCs()</w:t>
      </w:r>
    </w:p>
    <w:bookmarkEnd w:id="3194"/>
    <w:bookmarkStart w:id="3195" w:name="parameters-and-arguments-41"/>
    <w:p>
      <w:pPr>
        <w:pStyle w:val="Heading2"/>
      </w:pPr>
      <w:r>
        <w:t xml:space="preserve">Parameters and Arguments</w:t>
      </w:r>
    </w:p>
    <w:p>
      <w:pPr>
        <w:pStyle w:val="FirstParagraph"/>
      </w:pPr>
      <w:r>
        <w:t xml:space="preserve">This method does not take any arguments.</w:t>
      </w:r>
    </w:p>
    <w:bookmarkEnd w:id="3195"/>
    <w:bookmarkStart w:id="3196" w:name="return-values-45"/>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196"/>
    <w:bookmarkStart w:id="3197" w:name="remarks-295"/>
    <w:p>
      <w:pPr>
        <w:pStyle w:val="Heading2"/>
      </w:pPr>
      <w:r>
        <w:t xml:space="preserve">Remarks</w:t>
      </w:r>
    </w:p>
    <w:p>
      <w:pPr>
        <w:pStyle w:val="Compact"/>
        <w:numPr>
          <w:ilvl w:val="0"/>
          <w:numId w:val="1803"/>
        </w:numPr>
      </w:pPr>
      <w:r>
        <w:t xml:space="preserve">This method is a compatibility alias for clearing the CC recipient list.</w:t>
      </w:r>
    </w:p>
    <w:p>
      <w:pPr>
        <w:pStyle w:val="Compact"/>
        <w:numPr>
          <w:ilvl w:val="0"/>
          <w:numId w:val="1803"/>
        </w:numPr>
      </w:pPr>
      <w:r>
        <w:t xml:space="preserve">It removes all CC addresses added via the</w:t>
      </w:r>
      <w:r>
        <w:t xml:space="preserve"> </w:t>
      </w:r>
      <w:r>
        <w:rPr>
          <w:b/>
          <w:bCs/>
        </w:rPr>
        <w:t xml:space="preserve">AddCC</w:t>
      </w:r>
      <w:r>
        <w:t xml:space="preserve"> </w:t>
      </w:r>
      <w:r>
        <w:t xml:space="preserve">method.</w:t>
      </w:r>
    </w:p>
    <w:bookmarkEnd w:id="3197"/>
    <w:bookmarkStart w:id="3198" w:name="code-example-11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mail.AddCC </w:t>
      </w:r>
      <w:r>
        <w:rPr>
          <w:rStyle w:val="StringTok"/>
        </w:rPr>
        <w:t xml:space="preserve">"Alice Smith"</w:t>
      </w:r>
      <w:r>
        <w:rPr>
          <w:rStyle w:val="OtherTok"/>
        </w:rPr>
        <w:t xml:space="preserve">,</w:t>
      </w:r>
      <w:r>
        <w:rPr>
          <w:rStyle w:val="NormalTok"/>
        </w:rPr>
        <w:t xml:space="preserve"> </w:t>
      </w:r>
      <w:r>
        <w:rPr>
          <w:rStyle w:val="StringTok"/>
        </w:rPr>
        <w:t xml:space="preserve">"alice@example.com"</w:t>
      </w:r>
      <w:r>
        <w:br/>
      </w:r>
      <w:r>
        <w:rPr>
          <w:rStyle w:val="NormalTok"/>
        </w:rPr>
        <w:t xml:space="preserve">mail.ClearCCs</w:t>
      </w:r>
      <w:r>
        <w:rPr>
          <w:rStyle w:val="OtherTok"/>
        </w:rPr>
        <w:t xml:space="preserve">()</w:t>
      </w:r>
      <w:r>
        <w:br/>
      </w:r>
      <w:r>
        <w:rPr>
          <w:rStyle w:val="DataTypeTok"/>
        </w:rPr>
        <w:t xml:space="preserve">%&gt;</w:t>
      </w:r>
    </w:p>
    <w:bookmarkEnd w:id="3198"/>
    <w:bookmarkEnd w:id="3199"/>
    <w:bookmarkStart w:id="3206" w:name="clearrecipients-method"/>
    <w:p>
      <w:pPr>
        <w:pStyle w:val="Heading1"/>
      </w:pPr>
      <w:r>
        <w:t xml:space="preserve">ClearRecipients Method</w:t>
      </w:r>
    </w:p>
    <w:bookmarkStart w:id="3200" w:name="overview-318"/>
    <w:p>
      <w:pPr>
        <w:pStyle w:val="Heading2"/>
      </w:pPr>
      <w:r>
        <w:t xml:space="preserve">Overview</w:t>
      </w:r>
    </w:p>
    <w:p>
      <w:pPr>
        <w:pStyle w:val="FirstParagraph"/>
      </w:pPr>
      <w:r>
        <w:t xml:space="preserve">The</w:t>
      </w:r>
      <w:r>
        <w:t xml:space="preserve"> </w:t>
      </w:r>
      <w:r>
        <w:rPr>
          <w:b/>
          <w:bCs/>
        </w:rPr>
        <w:t xml:space="preserve">ClearRecipients</w:t>
      </w:r>
      <w:r>
        <w:t xml:space="preserve"> </w:t>
      </w:r>
      <w:r>
        <w:t xml:space="preserve">method clears all recipient email addresses from the primary destination list (To). It is provided for SMTPsvg.Mailer (ASPMail) compatibility.</w:t>
      </w:r>
    </w:p>
    <w:bookmarkEnd w:id="3200"/>
    <w:bookmarkStart w:id="3201" w:name="syntax-319"/>
    <w:p>
      <w:pPr>
        <w:pStyle w:val="Heading2"/>
      </w:pPr>
      <w:r>
        <w:t xml:space="preserve">Syntax</w:t>
      </w:r>
    </w:p>
    <w:p>
      <w:pPr>
        <w:pStyle w:val="SourceCode"/>
      </w:pPr>
      <w:r>
        <w:rPr>
          <w:rStyle w:val="NormalTok"/>
        </w:rPr>
        <w:t xml:space="preserve">mail.ClearRecipients()</w:t>
      </w:r>
    </w:p>
    <w:bookmarkEnd w:id="3201"/>
    <w:bookmarkStart w:id="3202" w:name="parameters-and-arguments-42"/>
    <w:p>
      <w:pPr>
        <w:pStyle w:val="Heading2"/>
      </w:pPr>
      <w:r>
        <w:t xml:space="preserve">Parameters and Arguments</w:t>
      </w:r>
    </w:p>
    <w:p>
      <w:pPr>
        <w:pStyle w:val="FirstParagraph"/>
      </w:pPr>
      <w:r>
        <w:t xml:space="preserve">This method does not take any arguments.</w:t>
      </w:r>
    </w:p>
    <w:bookmarkEnd w:id="3202"/>
    <w:bookmarkStart w:id="3203" w:name="return-values-46"/>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w:t>
      </w:r>
    </w:p>
    <w:bookmarkEnd w:id="3203"/>
    <w:bookmarkStart w:id="3204" w:name="remarks-296"/>
    <w:p>
      <w:pPr>
        <w:pStyle w:val="Heading2"/>
      </w:pPr>
      <w:r>
        <w:t xml:space="preserve">Remarks</w:t>
      </w:r>
    </w:p>
    <w:p>
      <w:pPr>
        <w:pStyle w:val="Compact"/>
        <w:numPr>
          <w:ilvl w:val="0"/>
          <w:numId w:val="1804"/>
        </w:numPr>
      </w:pPr>
      <w:r>
        <w:t xml:space="preserve">This method is a compatibility alias for clearing the primary recipient list.</w:t>
      </w:r>
    </w:p>
    <w:p>
      <w:pPr>
        <w:pStyle w:val="Compact"/>
        <w:numPr>
          <w:ilvl w:val="0"/>
          <w:numId w:val="1804"/>
        </w:numPr>
      </w:pPr>
      <w:r>
        <w:t xml:space="preserve">It removes all recipient addresses added via</w:t>
      </w:r>
      <w:r>
        <w:t xml:space="preserve"> </w:t>
      </w:r>
      <w:r>
        <w:rPr>
          <w:b/>
          <w:bCs/>
        </w:rPr>
        <w:t xml:space="preserve">AddRecipient</w:t>
      </w:r>
      <w:r>
        <w:t xml:space="preserve"> </w:t>
      </w:r>
      <w:r>
        <w:t xml:space="preserve">or</w:t>
      </w:r>
      <w:r>
        <w:t xml:space="preserve"> </w:t>
      </w:r>
      <w:r>
        <w:rPr>
          <w:b/>
          <w:bCs/>
        </w:rPr>
        <w:t xml:space="preserve">AddAddress</w:t>
      </w:r>
      <w:r>
        <w:t xml:space="preserve"> </w:t>
      </w:r>
      <w:r>
        <w:t xml:space="preserve">methods.</w:t>
      </w:r>
    </w:p>
    <w:bookmarkEnd w:id="3204"/>
    <w:bookmarkStart w:id="3205" w:name="code-example-11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mail.AddRecipient </w:t>
      </w:r>
      <w:r>
        <w:rPr>
          <w:rStyle w:val="StringTok"/>
        </w:rPr>
        <w:t xml:space="preserve">"Alice Smith"</w:t>
      </w:r>
      <w:r>
        <w:rPr>
          <w:rStyle w:val="OtherTok"/>
        </w:rPr>
        <w:t xml:space="preserve">,</w:t>
      </w:r>
      <w:r>
        <w:rPr>
          <w:rStyle w:val="NormalTok"/>
        </w:rPr>
        <w:t xml:space="preserve"> </w:t>
      </w:r>
      <w:r>
        <w:rPr>
          <w:rStyle w:val="StringTok"/>
        </w:rPr>
        <w:t xml:space="preserve">"alice@example.com"</w:t>
      </w:r>
      <w:r>
        <w:br/>
      </w:r>
      <w:r>
        <w:rPr>
          <w:rStyle w:val="NormalTok"/>
        </w:rPr>
        <w:t xml:space="preserve">mail.ClearRecipients</w:t>
      </w:r>
      <w:r>
        <w:rPr>
          <w:rStyle w:val="OtherTok"/>
        </w:rPr>
        <w:t xml:space="preserve">()</w:t>
      </w:r>
      <w:r>
        <w:br/>
      </w:r>
      <w:r>
        <w:rPr>
          <w:rStyle w:val="DataTypeTok"/>
        </w:rPr>
        <w:t xml:space="preserve">%&gt;</w:t>
      </w:r>
    </w:p>
    <w:bookmarkEnd w:id="3205"/>
    <w:bookmarkEnd w:id="3206"/>
    <w:bookmarkStart w:id="3213" w:name="send-method"/>
    <w:p>
      <w:pPr>
        <w:pStyle w:val="Heading1"/>
      </w:pPr>
      <w:r>
        <w:t xml:space="preserve">Send Method</w:t>
      </w:r>
    </w:p>
    <w:bookmarkStart w:id="3207" w:name="overview-319"/>
    <w:p>
      <w:pPr>
        <w:pStyle w:val="Heading2"/>
      </w:pPr>
      <w:r>
        <w:t xml:space="preserve">Overview</w:t>
      </w:r>
    </w:p>
    <w:p>
      <w:pPr>
        <w:pStyle w:val="FirstParagraph"/>
      </w:pPr>
      <w:r>
        <w:t xml:space="preserve">The</w:t>
      </w:r>
      <w:r>
        <w:t xml:space="preserve"> </w:t>
      </w:r>
      <w:r>
        <w:rPr>
          <w:b/>
          <w:bCs/>
        </w:rPr>
        <w:t xml:space="preserve">Send</w:t>
      </w:r>
      <w:r>
        <w:t xml:space="preserve"> </w:t>
      </w:r>
      <w:r>
        <w:t xml:space="preserve">method attempts to deliver the email message using the configured SMTP server and message properties for the G3Pix AxonASP G3MAIL object.</w:t>
      </w:r>
    </w:p>
    <w:bookmarkEnd w:id="3207"/>
    <w:bookmarkStart w:id="3208" w:name="syntax-320"/>
    <w:p>
      <w:pPr>
        <w:pStyle w:val="Heading2"/>
      </w:pPr>
      <w:r>
        <w:t xml:space="preserve">Syntax</w:t>
      </w:r>
    </w:p>
    <w:p>
      <w:pPr>
        <w:pStyle w:val="SourceCode"/>
      </w:pPr>
      <w:r>
        <w:rPr>
          <w:rStyle w:val="NormalTok"/>
        </w:rPr>
        <w:t xml:space="preserve">result = mail.Send([to, subject, body])</w:t>
      </w:r>
    </w:p>
    <w:bookmarkEnd w:id="3208"/>
    <w:bookmarkStart w:id="3209" w:name="parameters-and-arguments-43"/>
    <w:p>
      <w:pPr>
        <w:pStyle w:val="Heading2"/>
      </w:pPr>
      <w:r>
        <w:t xml:space="preserve">Parameters and Arguments</w:t>
      </w:r>
    </w:p>
    <w:p>
      <w:pPr>
        <w:pStyle w:val="Compact"/>
        <w:numPr>
          <w:ilvl w:val="0"/>
          <w:numId w:val="1805"/>
        </w:numPr>
      </w:pPr>
      <w:r>
        <w:rPr>
          <w:b/>
          <w:bCs/>
        </w:rPr>
        <w:t xml:space="preserve">to</w:t>
      </w:r>
      <w:r>
        <w:t xml:space="preserve"> </w:t>
      </w:r>
      <w:r>
        <w:t xml:space="preserve">(String, Optional): The recipient email address. If provided, it overrides the</w:t>
      </w:r>
      <w:r>
        <w:t xml:space="preserve"> </w:t>
      </w:r>
      <w:r>
        <w:rPr>
          <w:b/>
          <w:bCs/>
        </w:rPr>
        <w:t xml:space="preserve">To</w:t>
      </w:r>
      <w:r>
        <w:t xml:space="preserve"> </w:t>
      </w:r>
      <w:r>
        <w:t xml:space="preserve">property for this call.</w:t>
      </w:r>
    </w:p>
    <w:p>
      <w:pPr>
        <w:pStyle w:val="Compact"/>
        <w:numPr>
          <w:ilvl w:val="0"/>
          <w:numId w:val="1805"/>
        </w:numPr>
      </w:pPr>
      <w:r>
        <w:rPr>
          <w:b/>
          <w:bCs/>
        </w:rPr>
        <w:t xml:space="preserve">subject</w:t>
      </w:r>
      <w:r>
        <w:t xml:space="preserve"> </w:t>
      </w:r>
      <w:r>
        <w:t xml:space="preserve">(String, Optional): The message subject. If provided, it overrides the</w:t>
      </w:r>
      <w:r>
        <w:t xml:space="preserve"> </w:t>
      </w:r>
      <w:r>
        <w:rPr>
          <w:b/>
          <w:bCs/>
        </w:rPr>
        <w:t xml:space="preserve">Subject</w:t>
      </w:r>
      <w:r>
        <w:t xml:space="preserve"> </w:t>
      </w:r>
      <w:r>
        <w:t xml:space="preserve">property for this call.</w:t>
      </w:r>
    </w:p>
    <w:p>
      <w:pPr>
        <w:pStyle w:val="Compact"/>
        <w:numPr>
          <w:ilvl w:val="0"/>
          <w:numId w:val="1805"/>
        </w:numPr>
      </w:pPr>
      <w:r>
        <w:rPr>
          <w:b/>
          <w:bCs/>
        </w:rPr>
        <w:t xml:space="preserve">body</w:t>
      </w:r>
      <w:r>
        <w:t xml:space="preserve"> </w:t>
      </w:r>
      <w:r>
        <w:t xml:space="preserve">(String, Optional): The message body. If provided, it overrides the</w:t>
      </w:r>
      <w:r>
        <w:t xml:space="preserve"> </w:t>
      </w:r>
      <w:r>
        <w:rPr>
          <w:b/>
          <w:bCs/>
        </w:rPr>
        <w:t xml:space="preserve">Body</w:t>
      </w:r>
      <w:r>
        <w:t xml:space="preserve"> </w:t>
      </w:r>
      <w:r>
        <w:t xml:space="preserve">property for this call and sets the format to plain text.</w:t>
      </w:r>
    </w:p>
    <w:bookmarkEnd w:id="3209"/>
    <w:bookmarkStart w:id="3210" w:name="return-values-47"/>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 (True) if the email was sent successfully. If the operation fails, it returns a</w:t>
      </w:r>
      <w:r>
        <w:t xml:space="preserve"> </w:t>
      </w:r>
      <w:r>
        <w:rPr>
          <w:b/>
          <w:bCs/>
        </w:rPr>
        <w:t xml:space="preserve">String</w:t>
      </w:r>
      <w:r>
        <w:t xml:space="preserve"> </w:t>
      </w:r>
      <w:r>
        <w:t xml:space="preserve">containing the error message.</w:t>
      </w:r>
    </w:p>
    <w:bookmarkEnd w:id="3210"/>
    <w:bookmarkStart w:id="3211" w:name="remarks-297"/>
    <w:p>
      <w:pPr>
        <w:pStyle w:val="Heading2"/>
      </w:pPr>
      <w:r>
        <w:t xml:space="preserve">Remarks</w:t>
      </w:r>
    </w:p>
    <w:p>
      <w:pPr>
        <w:pStyle w:val="Compact"/>
        <w:numPr>
          <w:ilvl w:val="0"/>
          <w:numId w:val="1806"/>
        </w:numPr>
      </w:pPr>
      <w:r>
        <w:t xml:space="preserve">If SMTP server properties (Host, Port, etc.) are not set, the library will attempt to use environment variables (</w:t>
      </w:r>
      <w:r>
        <w:rPr>
          <w:rStyle w:val="VerbatimChar"/>
        </w:rPr>
        <w:t xml:space="preserve">SMTP_HOST</w:t>
      </w:r>
      <w:r>
        <w:t xml:space="preserve">,</w:t>
      </w:r>
      <w:r>
        <w:t xml:space="preserve"> </w:t>
      </w:r>
      <w:r>
        <w:rPr>
          <w:rStyle w:val="VerbatimChar"/>
        </w:rPr>
        <w:t xml:space="preserve">SMTP_PORT</w:t>
      </w:r>
      <w:r>
        <w:t xml:space="preserve">,</w:t>
      </w:r>
      <w:r>
        <w:t xml:space="preserve"> </w:t>
      </w:r>
      <w:r>
        <w:rPr>
          <w:rStyle w:val="VerbatimChar"/>
        </w:rPr>
        <w:t xml:space="preserve">SMTP_USER</w:t>
      </w:r>
      <w:r>
        <w:t xml:space="preserve">,</w:t>
      </w:r>
      <w:r>
        <w:t xml:space="preserve"> </w:t>
      </w:r>
      <w:r>
        <w:rPr>
          <w:rStyle w:val="VerbatimChar"/>
        </w:rPr>
        <w:t xml:space="preserve">SMTP_PASS</w:t>
      </w:r>
      <w:r>
        <w:t xml:space="preserve">,</w:t>
      </w:r>
      <w:r>
        <w:t xml:space="preserve"> </w:t>
      </w:r>
      <w:r>
        <w:rPr>
          <w:rStyle w:val="VerbatimChar"/>
        </w:rPr>
        <w:t xml:space="preserve">SMTP_FROM</w:t>
      </w:r>
      <w:r>
        <w:t xml:space="preserve">).</w:t>
      </w:r>
    </w:p>
    <w:p>
      <w:pPr>
        <w:pStyle w:val="Compact"/>
        <w:numPr>
          <w:ilvl w:val="0"/>
          <w:numId w:val="1806"/>
        </w:numPr>
      </w:pPr>
      <w:r>
        <w:t xml:space="preserve">At least one recipient must be defined (via</w:t>
      </w:r>
      <w:r>
        <w:t xml:space="preserve"> </w:t>
      </w:r>
      <w:r>
        <w:rPr>
          <w:b/>
          <w:bCs/>
        </w:rPr>
        <w:t xml:space="preserve">AddAddress</w:t>
      </w:r>
      <w:r>
        <w:t xml:space="preserve">,</w:t>
      </w:r>
      <w:r>
        <w:t xml:space="preserve"> </w:t>
      </w:r>
      <w:r>
        <w:rPr>
          <w:b/>
          <w:bCs/>
        </w:rPr>
        <w:t xml:space="preserve">AddCc</w:t>
      </w:r>
      <w:r>
        <w:t xml:space="preserve">,</w:t>
      </w:r>
      <w:r>
        <w:t xml:space="preserve"> </w:t>
      </w:r>
      <w:r>
        <w:rPr>
          <w:b/>
          <w:bCs/>
        </w:rPr>
        <w:t xml:space="preserve">AddBcc</w:t>
      </w:r>
      <w:r>
        <w:t xml:space="preserve">, or the</w:t>
      </w:r>
      <w:r>
        <w:t xml:space="preserve"> </w:t>
      </w:r>
      <w:r>
        <w:rPr>
          <w:b/>
          <w:bCs/>
        </w:rPr>
        <w:t xml:space="preserve">To</w:t>
      </w:r>
      <w:r>
        <w:t xml:space="preserve"> </w:t>
      </w:r>
      <w:r>
        <w:t xml:space="preserve">property).</w:t>
      </w:r>
    </w:p>
    <w:p>
      <w:pPr>
        <w:pStyle w:val="Compact"/>
        <w:numPr>
          <w:ilvl w:val="0"/>
          <w:numId w:val="1806"/>
        </w:numPr>
      </w:pPr>
      <w:r>
        <w:t xml:space="preserve">The method uses the</w:t>
      </w:r>
      <w:r>
        <w:t xml:space="preserve"> </w:t>
      </w:r>
      <w:r>
        <w:rPr>
          <w:rStyle w:val="VerbatimChar"/>
        </w:rPr>
        <w:t xml:space="preserve">gomail</w:t>
      </w:r>
      <w:r>
        <w:t xml:space="preserve"> </w:t>
      </w:r>
      <w:r>
        <w:t xml:space="preserve">library internally for reliable delivery.</w:t>
      </w:r>
    </w:p>
    <w:bookmarkEnd w:id="3211"/>
    <w:bookmarkStart w:id="3212" w:name="code-example-11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rPr>
          <w:rStyle w:val="OtherTok"/>
        </w:rPr>
        <w:t xml:space="preserve">,</w:t>
      </w:r>
      <w:r>
        <w:rPr>
          <w:rStyle w:val="NormalTok"/>
        </w:rPr>
        <w:t xml:space="preserve"> result</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mail.Host = </w:t>
      </w:r>
      <w:r>
        <w:rPr>
          <w:rStyle w:val="StringTok"/>
        </w:rPr>
        <w:t xml:space="preserve">"smtp.example.com"</w:t>
      </w:r>
      <w:r>
        <w:br/>
      </w:r>
      <w:r>
        <w:rPr>
          <w:rStyle w:val="NormalTok"/>
        </w:rPr>
        <w:t xml:space="preserve">mail.From = </w:t>
      </w:r>
      <w:r>
        <w:rPr>
          <w:rStyle w:val="StringTok"/>
        </w:rPr>
        <w:t xml:space="preserve">"system@example.com"</w:t>
      </w:r>
      <w:r>
        <w:br/>
      </w:r>
      <w:r>
        <w:rPr>
          <w:rStyle w:val="NormalTok"/>
        </w:rPr>
        <w:t xml:space="preserve">mail.Subject = </w:t>
      </w:r>
      <w:r>
        <w:rPr>
          <w:rStyle w:val="StringTok"/>
        </w:rPr>
        <w:t xml:space="preserve">"Test Email"</w:t>
      </w:r>
      <w:r>
        <w:br/>
      </w:r>
      <w:r>
        <w:rPr>
          <w:rStyle w:val="NormalTok"/>
        </w:rPr>
        <w:t xml:space="preserve">mail.Body = </w:t>
      </w:r>
      <w:r>
        <w:rPr>
          <w:rStyle w:val="StringTok"/>
        </w:rPr>
        <w:t xml:space="preserve">"This is a test message."</w:t>
      </w:r>
      <w:r>
        <w:br/>
      </w:r>
      <w:r>
        <w:rPr>
          <w:rStyle w:val="NormalTok"/>
        </w:rPr>
        <w:t xml:space="preserve">mail.AddAddress </w:t>
      </w:r>
      <w:r>
        <w:rPr>
          <w:rStyle w:val="StringTok"/>
        </w:rPr>
        <w:t xml:space="preserve">"recipient@example.com"</w:t>
      </w:r>
      <w:r>
        <w:br/>
      </w:r>
      <w:r>
        <w:br/>
      </w:r>
      <w:r>
        <w:rPr>
          <w:rStyle w:val="NormalTok"/>
        </w:rPr>
        <w:t xml:space="preserve">result = mail.Send</w:t>
      </w:r>
      <w:r>
        <w:rPr>
          <w:rStyle w:val="OtherTok"/>
        </w:rPr>
        <w:t xml:space="preserve">()</w:t>
      </w:r>
      <w:r>
        <w:br/>
      </w:r>
      <w:r>
        <w:br/>
      </w:r>
      <w:r>
        <w:rPr>
          <w:rStyle w:val="ControlFlowTok"/>
        </w:rPr>
        <w:t xml:space="preserve">If</w:t>
      </w:r>
      <w:r>
        <w:rPr>
          <w:rStyle w:val="NormalTok"/>
        </w:rPr>
        <w:t xml:space="preserve"> result = </w:t>
      </w:r>
      <w:r>
        <w:rPr>
          <w:rStyle w:val="KeywordTok"/>
        </w:rPr>
        <w:t xml:space="preserve">True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"Success!"</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result</w:t>
      </w:r>
      <w:r>
        <w:br/>
      </w:r>
      <w:r>
        <w:rPr>
          <w:rStyle w:val="ControlFlowTok"/>
        </w:rPr>
        <w:t xml:space="preserve">End If</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212"/>
    <w:bookmarkEnd w:id="3213"/>
    <w:bookmarkStart w:id="3220" w:name="sendmail-method"/>
    <w:p>
      <w:pPr>
        <w:pStyle w:val="Heading1"/>
      </w:pPr>
      <w:r>
        <w:t xml:space="preserve">SendMail Method</w:t>
      </w:r>
    </w:p>
    <w:bookmarkStart w:id="3214" w:name="overview-320"/>
    <w:p>
      <w:pPr>
        <w:pStyle w:val="Heading2"/>
      </w:pPr>
      <w:r>
        <w:t xml:space="preserve">Overview</w:t>
      </w:r>
    </w:p>
    <w:p>
      <w:pPr>
        <w:pStyle w:val="FirstParagraph"/>
      </w:pPr>
      <w:r>
        <w:t xml:space="preserve">The</w:t>
      </w:r>
      <w:r>
        <w:t xml:space="preserve"> </w:t>
      </w:r>
      <w:r>
        <w:rPr>
          <w:b/>
          <w:bCs/>
        </w:rPr>
        <w:t xml:space="preserve">SendMail</w:t>
      </w:r>
      <w:r>
        <w:t xml:space="preserve"> </w:t>
      </w:r>
      <w:r>
        <w:t xml:space="preserve">method connects to the configured SMTP server and sends the email payload. It is an alias for the</w:t>
      </w:r>
      <w:r>
        <w:t xml:space="preserve"> </w:t>
      </w:r>
      <w:r>
        <w:rPr>
          <w:b/>
          <w:bCs/>
        </w:rPr>
        <w:t xml:space="preserve">Send</w:t>
      </w:r>
      <w:r>
        <w:t xml:space="preserve"> </w:t>
      </w:r>
      <w:r>
        <w:t xml:space="preserve">method, provided for SMTPsvg.Mailer (ASPMail) compatibility.</w:t>
      </w:r>
    </w:p>
    <w:bookmarkEnd w:id="3214"/>
    <w:bookmarkStart w:id="3215" w:name="syntax-321"/>
    <w:p>
      <w:pPr>
        <w:pStyle w:val="Heading2"/>
      </w:pPr>
      <w:r>
        <w:t xml:space="preserve">Syntax</w:t>
      </w:r>
    </w:p>
    <w:p>
      <w:pPr>
        <w:pStyle w:val="SourceCode"/>
      </w:pPr>
      <w:r>
        <w:rPr>
          <w:rStyle w:val="NormalTok"/>
        </w:rPr>
        <w:t xml:space="preserve">result = mail.SendMail()</w:t>
      </w:r>
    </w:p>
    <w:bookmarkEnd w:id="3215"/>
    <w:bookmarkStart w:id="3216" w:name="return-values-48"/>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 on success) or a</w:t>
      </w:r>
      <w:r>
        <w:t xml:space="preserve"> </w:t>
      </w:r>
      <w:r>
        <w:rPr>
          <w:b/>
          <w:bCs/>
        </w:rPr>
        <w:t xml:space="preserve">String</w:t>
      </w:r>
      <w:r>
        <w:t xml:space="preserve"> </w:t>
      </w:r>
      <w:r>
        <w:t xml:space="preserve">describing the error on failure.</w:t>
      </w:r>
    </w:p>
    <w:bookmarkEnd w:id="3216"/>
    <w:bookmarkStart w:id="3217" w:name="remarks-298"/>
    <w:p>
      <w:pPr>
        <w:pStyle w:val="Heading2"/>
      </w:pPr>
      <w:r>
        <w:t xml:space="preserve">Remarks</w:t>
      </w:r>
    </w:p>
    <w:p>
      <w:pPr>
        <w:pStyle w:val="Compact"/>
        <w:numPr>
          <w:ilvl w:val="0"/>
          <w:numId w:val="1807"/>
        </w:numPr>
      </w:pPr>
      <w:r>
        <w:t xml:space="preserve">Requires standard SMTP host, sender, and recipient properties to be set.</w:t>
      </w:r>
    </w:p>
    <w:p>
      <w:pPr>
        <w:pStyle w:val="Compact"/>
        <w:numPr>
          <w:ilvl w:val="0"/>
          <w:numId w:val="1807"/>
        </w:numPr>
      </w:pPr>
      <w:r>
        <w:t xml:space="preserve">Under the hood, this relies on</w:t>
      </w:r>
      <w:r>
        <w:t xml:space="preserve"> </w:t>
      </w:r>
      <w:r>
        <w:rPr>
          <w:rStyle w:val="VerbatimChar"/>
        </w:rPr>
        <w:t xml:space="preserve">gomail.v2</w:t>
      </w:r>
      <w:r>
        <w:t xml:space="preserve"> </w:t>
      </w:r>
      <w:r>
        <w:t xml:space="preserve">for secure payload delivery.</w:t>
      </w:r>
    </w:p>
    <w:bookmarkEnd w:id="3217"/>
    <w:bookmarkStart w:id="3219" w:name="code-example-11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rPr>
          <w:rStyle w:val="OtherTok"/>
        </w:rPr>
        <w:t xml:space="preserve">,</w:t>
      </w:r>
      <w:r>
        <w:rPr>
          <w:rStyle w:val="NormalTok"/>
        </w:rPr>
        <w:t xml:space="preserve"> result</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mail.RemoteHost = </w:t>
      </w:r>
      <w:r>
        <w:rPr>
          <w:rStyle w:val="StringTok"/>
        </w:rPr>
        <w:t xml:space="preserve">"smtp.example.com"</w:t>
      </w:r>
      <w:r>
        <w:br/>
      </w:r>
      <w:r>
        <w:rPr>
          <w:rStyle w:val="NormalTok"/>
        </w:rPr>
        <w:t xml:space="preserve">mail.FromAddress = </w:t>
      </w:r>
      <w:r>
        <w:rPr>
          <w:rStyle w:val="StringTok"/>
        </w:rPr>
        <w:t xml:space="preserve">"sender@example.com"</w:t>
      </w:r>
      <w:r>
        <w:br/>
      </w:r>
      <w:r>
        <w:rPr>
          <w:rStyle w:val="NormalTok"/>
        </w:rPr>
        <w:t xml:space="preserve">mail.AddRecipient </w:t>
      </w:r>
      <w:r>
        <w:rPr>
          <w:rStyle w:val="StringTok"/>
        </w:rPr>
        <w:t xml:space="preserve">"John"</w:t>
      </w:r>
      <w:r>
        <w:rPr>
          <w:rStyle w:val="OtherTok"/>
        </w:rPr>
        <w:t xml:space="preserve">,</w:t>
      </w:r>
      <w:r>
        <w:rPr>
          <w:rStyle w:val="NormalTok"/>
        </w:rPr>
        <w:t xml:space="preserve"> </w:t>
      </w:r>
      <w:r>
        <w:rPr>
          <w:rStyle w:val="StringTok"/>
        </w:rPr>
        <w:t xml:space="preserve">"john@example.com"</w:t>
      </w:r>
      <w:r>
        <w:br/>
      </w:r>
      <w:r>
        <w:rPr>
          <w:rStyle w:val="NormalTok"/>
        </w:rPr>
        <w:t xml:space="preserve">mail.Subject = </w:t>
      </w:r>
      <w:r>
        <w:rPr>
          <w:rStyle w:val="StringTok"/>
        </w:rPr>
        <w:t xml:space="preserve">"Hello"</w:t>
      </w:r>
      <w:r>
        <w:br/>
      </w:r>
      <w:r>
        <w:rPr>
          <w:rStyle w:val="NormalTok"/>
        </w:rPr>
        <w:t xml:space="preserve">mail.BodyText = </w:t>
      </w:r>
      <w:r>
        <w:rPr>
          <w:rStyle w:val="StringTok"/>
        </w:rPr>
        <w:t xml:space="preserve">"Body content"</w:t>
      </w:r>
      <w:r>
        <w:br/>
      </w:r>
      <w:r>
        <w:br/>
      </w:r>
      <w:r>
        <w:rPr>
          <w:rStyle w:val="NormalTok"/>
        </w:rPr>
        <w:t xml:space="preserve">result = mail.SendMail</w:t>
      </w:r>
      <w:r>
        <w:rPr>
          <w:rStyle w:val="OtherTok"/>
        </w:rPr>
        <w:t xml:space="preserve">()</w:t>
      </w:r>
      <w:r>
        <w:br/>
      </w:r>
      <w:r>
        <w:rPr>
          <w:rStyle w:val="DataTypeTok"/>
        </w:rPr>
        <w:t xml:space="preserve">%&gt;</w:t>
      </w:r>
    </w:p>
    <w:bookmarkStart w:id="3218" w:name="properties-detail-3"/>
    <w:p>
      <w:pPr>
        <w:pStyle w:val="Heading3"/>
      </w:pPr>
      <w:r>
        <w:t xml:space="preserve">Properties Detail</w:t>
      </w:r>
    </w:p>
    <w:bookmarkEnd w:id="3218"/>
    <w:bookmarkEnd w:id="3219"/>
    <w:bookmarkEnd w:id="3220"/>
    <w:bookmarkStart w:id="3227" w:name="bcc-property"/>
    <w:p>
      <w:pPr>
        <w:pStyle w:val="Heading1"/>
      </w:pPr>
      <w:r>
        <w:t xml:space="preserve">Bcc Property</w:t>
      </w:r>
    </w:p>
    <w:bookmarkStart w:id="3221" w:name="overview-321"/>
    <w:p>
      <w:pPr>
        <w:pStyle w:val="Heading2"/>
      </w:pPr>
      <w:r>
        <w:t xml:space="preserve">Overview</w:t>
      </w:r>
    </w:p>
    <w:p>
      <w:pPr>
        <w:pStyle w:val="FirstParagraph"/>
      </w:pPr>
      <w:r>
        <w:t xml:space="preserve">The</w:t>
      </w:r>
      <w:r>
        <w:t xml:space="preserve"> </w:t>
      </w:r>
      <w:r>
        <w:rPr>
          <w:b/>
          <w:bCs/>
        </w:rPr>
        <w:t xml:space="preserve">Bcc</w:t>
      </w:r>
      <w:r>
        <w:t xml:space="preserve"> </w:t>
      </w:r>
      <w:r>
        <w:t xml:space="preserve">property gets or sets the blind carbon copy (BCC) recipient list for the G3Pix AxonASP G3MAIL object.</w:t>
      </w:r>
    </w:p>
    <w:bookmarkEnd w:id="3221"/>
    <w:bookmarkStart w:id="3222" w:name="syntax-322"/>
    <w:p>
      <w:pPr>
        <w:pStyle w:val="Heading2"/>
      </w:pPr>
      <w:r>
        <w:t xml:space="preserve">Syntax</w:t>
      </w:r>
    </w:p>
    <w:p>
      <w:pPr>
        <w:pStyle w:val="SourceCode"/>
      </w:pPr>
      <w:r>
        <w:rPr>
          <w:rStyle w:val="NormalTok"/>
        </w:rPr>
        <w:t xml:space="preserve">value = mail.Bcc</w:t>
      </w:r>
      <w:r>
        <w:br/>
      </w:r>
      <w:r>
        <w:rPr>
          <w:rStyle w:val="NormalTok"/>
        </w:rPr>
        <w:t xml:space="preserve">mail.Bcc = newValue</w:t>
      </w:r>
    </w:p>
    <w:bookmarkEnd w:id="3222"/>
    <w:bookmarkStart w:id="3223" w:name="parameters-and-arguments-44"/>
    <w:p>
      <w:pPr>
        <w:pStyle w:val="Heading2"/>
      </w:pPr>
      <w:r>
        <w:t xml:space="preserve">Parameters and Arguments</w:t>
      </w:r>
    </w:p>
    <w:p>
      <w:pPr>
        <w:pStyle w:val="Compact"/>
        <w:numPr>
          <w:ilvl w:val="0"/>
          <w:numId w:val="1808"/>
        </w:numPr>
      </w:pPr>
      <w:r>
        <w:rPr>
          <w:b/>
          <w:bCs/>
        </w:rPr>
        <w:t xml:space="preserve">newValue</w:t>
      </w:r>
      <w:r>
        <w:t xml:space="preserve"> </w:t>
      </w:r>
      <w:r>
        <w:t xml:space="preserve">(String): A comma-separated or semicolon-separated list of email addresses.</w:t>
      </w:r>
    </w:p>
    <w:bookmarkEnd w:id="3223"/>
    <w:bookmarkStart w:id="3224" w:name="return-values-49"/>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BCC recipients, separated by commas.</w:t>
      </w:r>
    </w:p>
    <w:bookmarkEnd w:id="3224"/>
    <w:bookmarkStart w:id="3225" w:name="remarks-299"/>
    <w:p>
      <w:pPr>
        <w:pStyle w:val="Heading2"/>
      </w:pPr>
      <w:r>
        <w:t xml:space="preserve">Remarks</w:t>
      </w:r>
    </w:p>
    <w:p>
      <w:pPr>
        <w:pStyle w:val="Compact"/>
        <w:numPr>
          <w:ilvl w:val="0"/>
          <w:numId w:val="1809"/>
        </w:numPr>
      </w:pPr>
      <w:r>
        <w:t xml:space="preserve">Recipients in the BCC list are hidden from other recipients.</w:t>
      </w:r>
    </w:p>
    <w:p>
      <w:pPr>
        <w:pStyle w:val="Compact"/>
        <w:numPr>
          <w:ilvl w:val="0"/>
          <w:numId w:val="1809"/>
        </w:numPr>
      </w:pPr>
      <w:r>
        <w:t xml:space="preserve">Setting this property replaces any existing BCC recipients. Use the</w:t>
      </w:r>
      <w:r>
        <w:t xml:space="preserve"> </w:t>
      </w:r>
      <w:r>
        <w:rPr>
          <w:b/>
          <w:bCs/>
        </w:rPr>
        <w:t xml:space="preserve">AddBcc</w:t>
      </w:r>
      <w:r>
        <w:t xml:space="preserve"> </w:t>
      </w:r>
      <w:r>
        <w:t xml:space="preserve">method to append to the list instead.</w:t>
      </w:r>
    </w:p>
    <w:bookmarkEnd w:id="3225"/>
    <w:bookmarkStart w:id="3226" w:name="code-example-11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mail.Bcc = </w:t>
      </w:r>
      <w:r>
        <w:rPr>
          <w:rStyle w:val="StringTok"/>
        </w:rPr>
        <w:t xml:space="preserve">"audit@example.com, backup@example.com"</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"BCC List: "</w:t>
      </w:r>
      <w:r>
        <w:rPr>
          <w:rStyle w:val="NormalTok"/>
        </w:rPr>
        <w:t xml:space="preserve"> </w:t>
      </w:r>
      <w:r>
        <w:rPr>
          <w:rStyle w:val="KeywordTok"/>
        </w:rPr>
        <w:t xml:space="preserve">&amp;</w:t>
      </w:r>
      <w:r>
        <w:rPr>
          <w:rStyle w:val="NormalTok"/>
        </w:rPr>
        <w:t xml:space="preserve"> mail.Bcc</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226"/>
    <w:bookmarkEnd w:id="3227"/>
    <w:bookmarkStart w:id="3234" w:name="body-property"/>
    <w:p>
      <w:pPr>
        <w:pStyle w:val="Heading1"/>
      </w:pPr>
      <w:r>
        <w:t xml:space="preserve">Body Property</w:t>
      </w:r>
    </w:p>
    <w:bookmarkStart w:id="3228" w:name="overview-322"/>
    <w:p>
      <w:pPr>
        <w:pStyle w:val="Heading2"/>
      </w:pPr>
      <w:r>
        <w:t xml:space="preserve">Overview</w:t>
      </w:r>
    </w:p>
    <w:p>
      <w:pPr>
        <w:pStyle w:val="FirstParagraph"/>
      </w:pPr>
      <w:r>
        <w:t xml:space="preserve">The</w:t>
      </w:r>
      <w:r>
        <w:t xml:space="preserve"> </w:t>
      </w:r>
      <w:r>
        <w:rPr>
          <w:b/>
          <w:bCs/>
        </w:rPr>
        <w:t xml:space="preserve">Body</w:t>
      </w:r>
      <w:r>
        <w:t xml:space="preserve"> </w:t>
      </w:r>
      <w:r>
        <w:t xml:space="preserve">property gets or sets the main content of the email message for the G3Pix AxonASP G3MAIL object.</w:t>
      </w:r>
    </w:p>
    <w:bookmarkEnd w:id="3228"/>
    <w:bookmarkStart w:id="3229" w:name="syntax-323"/>
    <w:p>
      <w:pPr>
        <w:pStyle w:val="Heading2"/>
      </w:pPr>
      <w:r>
        <w:t xml:space="preserve">Syntax</w:t>
      </w:r>
    </w:p>
    <w:p>
      <w:pPr>
        <w:pStyle w:val="SourceCode"/>
      </w:pPr>
      <w:r>
        <w:rPr>
          <w:rStyle w:val="NormalTok"/>
        </w:rPr>
        <w:t xml:space="preserve">value = mail.Body</w:t>
      </w:r>
      <w:r>
        <w:br/>
      </w:r>
      <w:r>
        <w:rPr>
          <w:rStyle w:val="NormalTok"/>
        </w:rPr>
        <w:t xml:space="preserve">mail.Body = newValue</w:t>
      </w:r>
    </w:p>
    <w:bookmarkEnd w:id="3229"/>
    <w:bookmarkStart w:id="3230" w:name="parameters-and-arguments-45"/>
    <w:p>
      <w:pPr>
        <w:pStyle w:val="Heading2"/>
      </w:pPr>
      <w:r>
        <w:t xml:space="preserve">Parameters and Arguments</w:t>
      </w:r>
    </w:p>
    <w:p>
      <w:pPr>
        <w:pStyle w:val="Compact"/>
        <w:numPr>
          <w:ilvl w:val="0"/>
          <w:numId w:val="1810"/>
        </w:numPr>
      </w:pPr>
      <w:r>
        <w:rPr>
          <w:b/>
          <w:bCs/>
        </w:rPr>
        <w:t xml:space="preserve">newValue</w:t>
      </w:r>
      <w:r>
        <w:t xml:space="preserve"> </w:t>
      </w:r>
      <w:r>
        <w:t xml:space="preserve">(String): The text or HTML content of the email.</w:t>
      </w:r>
    </w:p>
    <w:bookmarkEnd w:id="3230"/>
    <w:bookmarkStart w:id="3231" w:name="return-values-50"/>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message body.</w:t>
      </w:r>
    </w:p>
    <w:bookmarkEnd w:id="3231"/>
    <w:bookmarkStart w:id="3232" w:name="remarks-300"/>
    <w:p>
      <w:pPr>
        <w:pStyle w:val="Heading2"/>
      </w:pPr>
      <w:r>
        <w:t xml:space="preserve">Remarks</w:t>
      </w:r>
    </w:p>
    <w:p>
      <w:pPr>
        <w:pStyle w:val="Compact"/>
        <w:numPr>
          <w:ilvl w:val="0"/>
          <w:numId w:val="1811"/>
        </w:numPr>
      </w:pPr>
      <w:r>
        <w:t xml:space="preserve">Setting this property via</w:t>
      </w:r>
      <w:r>
        <w:t xml:space="preserve"> </w:t>
      </w:r>
      <w:r>
        <w:rPr>
          <w:b/>
          <w:bCs/>
        </w:rPr>
        <w:t xml:space="preserve">Body</w:t>
      </w:r>
      <w:r>
        <w:t xml:space="preserve">,</w:t>
      </w:r>
      <w:r>
        <w:t xml:space="preserve"> </w:t>
      </w:r>
      <w:r>
        <w:rPr>
          <w:b/>
          <w:bCs/>
        </w:rPr>
        <w:t xml:space="preserve">Message</w:t>
      </w:r>
      <w:r>
        <w:t xml:space="preserve">, or</w:t>
      </w:r>
      <w:r>
        <w:t xml:space="preserve"> </w:t>
      </w:r>
      <w:r>
        <w:rPr>
          <w:b/>
          <w:bCs/>
        </w:rPr>
        <w:t xml:space="preserve">TextBody</w:t>
      </w:r>
      <w:r>
        <w:t xml:space="preserve"> </w:t>
      </w:r>
      <w:r>
        <w:t xml:space="preserve">automatically sets</w:t>
      </w:r>
      <w:r>
        <w:t xml:space="preserve"> </w:t>
      </w:r>
      <w:r>
        <w:rPr>
          <w:b/>
          <w:bCs/>
        </w:rPr>
        <w:t xml:space="preserve">IsHTML</w:t>
      </w:r>
      <w:r>
        <w:t xml:space="preserve"> </w:t>
      </w:r>
      <w:r>
        <w:t xml:space="preserve">to False.</w:t>
      </w:r>
    </w:p>
    <w:p>
      <w:pPr>
        <w:pStyle w:val="Compact"/>
        <w:numPr>
          <w:ilvl w:val="0"/>
          <w:numId w:val="1811"/>
        </w:numPr>
      </w:pPr>
      <w:r>
        <w:t xml:space="preserve">Setting this property via</w:t>
      </w:r>
      <w:r>
        <w:t xml:space="preserve"> </w:t>
      </w:r>
      <w:r>
        <w:rPr>
          <w:b/>
          <w:bCs/>
        </w:rPr>
        <w:t xml:space="preserve">HtmlBody</w:t>
      </w:r>
      <w:r>
        <w:t xml:space="preserve"> </w:t>
      </w:r>
      <w:r>
        <w:t xml:space="preserve">automatically sets</w:t>
      </w:r>
      <w:r>
        <w:t xml:space="preserve"> </w:t>
      </w:r>
      <w:r>
        <w:rPr>
          <w:b/>
          <w:bCs/>
        </w:rPr>
        <w:t xml:space="preserve">IsHTML</w:t>
      </w:r>
      <w:r>
        <w:t xml:space="preserve"> </w:t>
      </w:r>
      <w:r>
        <w:t xml:space="preserve">to True.</w:t>
      </w:r>
    </w:p>
    <w:p>
      <w:pPr>
        <w:pStyle w:val="Compact"/>
        <w:numPr>
          <w:ilvl w:val="0"/>
          <w:numId w:val="1811"/>
        </w:numPr>
      </w:pPr>
      <w:r>
        <w:t xml:space="preserve">This property is essential for the</w:t>
      </w:r>
      <w:r>
        <w:t xml:space="preserve"> </w:t>
      </w:r>
      <w:r>
        <w:rPr>
          <w:b/>
          <w:bCs/>
        </w:rPr>
        <w:t xml:space="preserve">Send</w:t>
      </w:r>
      <w:r>
        <w:t xml:space="preserve"> </w:t>
      </w:r>
      <w:r>
        <w:t xml:space="preserve">method to have content to deliver.</w:t>
      </w:r>
    </w:p>
    <w:bookmarkEnd w:id="3232"/>
    <w:bookmarkStart w:id="3233" w:name="code-example-12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mail.Body = </w:t>
      </w:r>
      <w:r>
        <w:rPr>
          <w:rStyle w:val="StringTok"/>
        </w:rPr>
        <w:t xml:space="preserve">"Hello, this is a plain text message."</w:t>
      </w:r>
      <w:r>
        <w:br/>
      </w:r>
      <w:r>
        <w:rPr>
          <w:rStyle w:val="CommentTok"/>
        </w:rPr>
        <w:t xml:space="preserve">' To send HTML:</w:t>
      </w:r>
      <w:r>
        <w:br/>
      </w:r>
      <w:r>
        <w:rPr>
          <w:rStyle w:val="CommentTok"/>
        </w:rPr>
        <w:t xml:space="preserve">' mail.HtmlBody = "&lt;h1&gt;Hello&lt;/h1&gt;&lt;p&gt;This is HTML.&lt;/p&gt;"</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233"/>
    <w:bookmarkEnd w:id="3234"/>
    <w:bookmarkStart w:id="3241" w:name="bodyformat-property"/>
    <w:p>
      <w:pPr>
        <w:pStyle w:val="Heading1"/>
      </w:pPr>
      <w:r>
        <w:t xml:space="preserve">BodyFormat Property</w:t>
      </w:r>
    </w:p>
    <w:bookmarkStart w:id="3235" w:name="overview-323"/>
    <w:p>
      <w:pPr>
        <w:pStyle w:val="Heading2"/>
      </w:pPr>
      <w:r>
        <w:t xml:space="preserve">Overview</w:t>
      </w:r>
    </w:p>
    <w:p>
      <w:pPr>
        <w:pStyle w:val="FirstParagraph"/>
      </w:pPr>
      <w:r>
        <w:t xml:space="preserve">The</w:t>
      </w:r>
      <w:r>
        <w:t xml:space="preserve"> </w:t>
      </w:r>
      <w:r>
        <w:rPr>
          <w:b/>
          <w:bCs/>
        </w:rPr>
        <w:t xml:space="preserve">BodyFormat</w:t>
      </w:r>
      <w:r>
        <w:t xml:space="preserve"> </w:t>
      </w:r>
      <w:r>
        <w:t xml:space="preserve">property gets or sets the format of the email message body (Plain Text or HTML) for the G3Pix AxonASP G3MAIL object.</w:t>
      </w:r>
    </w:p>
    <w:bookmarkEnd w:id="3235"/>
    <w:bookmarkStart w:id="3236" w:name="syntax-324"/>
    <w:p>
      <w:pPr>
        <w:pStyle w:val="Heading2"/>
      </w:pPr>
      <w:r>
        <w:t xml:space="preserve">Syntax</w:t>
      </w:r>
    </w:p>
    <w:p>
      <w:pPr>
        <w:pStyle w:val="SourceCode"/>
      </w:pPr>
      <w:r>
        <w:rPr>
          <w:rStyle w:val="NormalTok"/>
        </w:rPr>
        <w:t xml:space="preserve">value = mail.BodyFormat</w:t>
      </w:r>
      <w:r>
        <w:br/>
      </w:r>
      <w:r>
        <w:rPr>
          <w:rStyle w:val="NormalTok"/>
        </w:rPr>
        <w:t xml:space="preserve">mail.BodyFormat = newValue</w:t>
      </w:r>
    </w:p>
    <w:bookmarkEnd w:id="3236"/>
    <w:bookmarkStart w:id="3237" w:name="parameters-and-arguments-46"/>
    <w:p>
      <w:pPr>
        <w:pStyle w:val="Heading2"/>
      </w:pPr>
      <w:r>
        <w:t xml:space="preserve">Parameters and Arguments</w:t>
      </w:r>
    </w:p>
    <w:p>
      <w:pPr>
        <w:pStyle w:val="Compact"/>
        <w:numPr>
          <w:ilvl w:val="0"/>
          <w:numId w:val="1812"/>
        </w:numPr>
      </w:pPr>
      <w:r>
        <w:rPr>
          <w:b/>
          <w:bCs/>
        </w:rPr>
        <w:t xml:space="preserve">newValue</w:t>
      </w:r>
      <w:r>
        <w:t xml:space="preserve"> </w:t>
      </w:r>
      <w:r>
        <w:t xml:space="preserve">(Integer): Use 0 for HTML format or 1 for Plain Text format.</w:t>
      </w:r>
    </w:p>
    <w:bookmarkEnd w:id="3237"/>
    <w:bookmarkStart w:id="3238" w:name="return-values-51"/>
    <w:p>
      <w:pPr>
        <w:pStyle w:val="Heading2"/>
      </w:pPr>
      <w:r>
        <w:t xml:space="preserve">Return Values</w:t>
      </w:r>
    </w:p>
    <w:p>
      <w:pPr>
        <w:pStyle w:val="FirstParagraph"/>
      </w:pPr>
      <w:r>
        <w:t xml:space="preserve">Returns an</w:t>
      </w:r>
      <w:r>
        <w:t xml:space="preserve"> </w:t>
      </w:r>
      <w:r>
        <w:rPr>
          <w:b/>
          <w:bCs/>
        </w:rPr>
        <w:t xml:space="preserve">Integer</w:t>
      </w:r>
      <w:r>
        <w:t xml:space="preserve">: 0 if the message is in HTML format, 1 if it is in Plain Text format.</w:t>
      </w:r>
    </w:p>
    <w:bookmarkEnd w:id="3238"/>
    <w:bookmarkStart w:id="3239" w:name="remarks-301"/>
    <w:p>
      <w:pPr>
        <w:pStyle w:val="Heading2"/>
      </w:pPr>
      <w:r>
        <w:t xml:space="preserve">Remarks</w:t>
      </w:r>
    </w:p>
    <w:p>
      <w:pPr>
        <w:pStyle w:val="Compact"/>
        <w:numPr>
          <w:ilvl w:val="0"/>
          <w:numId w:val="1813"/>
        </w:numPr>
      </w:pPr>
      <w:r>
        <w:t xml:space="preserve">This property is synchronized with the</w:t>
      </w:r>
      <w:r>
        <w:t xml:space="preserve"> </w:t>
      </w:r>
      <w:r>
        <w:rPr>
          <w:b/>
          <w:bCs/>
        </w:rPr>
        <w:t xml:space="preserve">IsHTML</w:t>
      </w:r>
      <w:r>
        <w:t xml:space="preserve"> </w:t>
      </w:r>
      <w:r>
        <w:t xml:space="preserve">property.</w:t>
      </w:r>
    </w:p>
    <w:p>
      <w:pPr>
        <w:pStyle w:val="Compact"/>
        <w:numPr>
          <w:ilvl w:val="0"/>
          <w:numId w:val="1813"/>
        </w:numPr>
      </w:pPr>
      <w:r>
        <w:t xml:space="preserve">Setting</w:t>
      </w:r>
      <w:r>
        <w:t xml:space="preserve"> </w:t>
      </w:r>
      <w:r>
        <w:rPr>
          <w:b/>
          <w:bCs/>
        </w:rPr>
        <w:t xml:space="preserve">BodyFormat</w:t>
      </w:r>
      <w:r>
        <w:t xml:space="preserve"> </w:t>
      </w:r>
      <w:r>
        <w:t xml:space="preserve">to 0 sets</w:t>
      </w:r>
      <w:r>
        <w:t xml:space="preserve"> </w:t>
      </w:r>
      <w:r>
        <w:rPr>
          <w:b/>
          <w:bCs/>
        </w:rPr>
        <w:t xml:space="preserve">IsHTML</w:t>
      </w:r>
      <w:r>
        <w:t xml:space="preserve"> </w:t>
      </w:r>
      <w:r>
        <w:t xml:space="preserve">to True. Setting it to 1 (or any other value) sets</w:t>
      </w:r>
      <w:r>
        <w:t xml:space="preserve"> </w:t>
      </w:r>
      <w:r>
        <w:rPr>
          <w:b/>
          <w:bCs/>
        </w:rPr>
        <w:t xml:space="preserve">IsHTML</w:t>
      </w:r>
      <w:r>
        <w:t xml:space="preserve"> </w:t>
      </w:r>
      <w:r>
        <w:t xml:space="preserve">to False.</w:t>
      </w:r>
    </w:p>
    <w:p>
      <w:pPr>
        <w:pStyle w:val="Compact"/>
        <w:numPr>
          <w:ilvl w:val="0"/>
          <w:numId w:val="1813"/>
        </w:numPr>
      </w:pPr>
      <w:r>
        <w:t xml:space="preserve">This property can also be accessed using the alias</w:t>
      </w:r>
      <w:r>
        <w:t xml:space="preserve"> </w:t>
      </w:r>
      <w:r>
        <w:rPr>
          <w:b/>
          <w:bCs/>
        </w:rPr>
        <w:t xml:space="preserve">MailFormat</w:t>
      </w:r>
      <w:r>
        <w:t xml:space="preserve">.</w:t>
      </w:r>
    </w:p>
    <w:bookmarkEnd w:id="3239"/>
    <w:bookmarkStart w:id="3240" w:name="code-example-12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mail.BodyFormat = </w:t>
      </w:r>
      <w:r>
        <w:rPr>
          <w:rStyle w:val="DecValTok"/>
        </w:rPr>
        <w:t xml:space="preserve">0</w:t>
      </w:r>
      <w:r>
        <w:rPr>
          <w:rStyle w:val="NormalTok"/>
        </w:rPr>
        <w:t xml:space="preserve"> </w:t>
      </w:r>
      <w:r>
        <w:rPr>
          <w:rStyle w:val="CommentTok"/>
        </w:rPr>
        <w:t xml:space="preserve">' Set to HTML</w:t>
      </w:r>
      <w:r>
        <w:br/>
      </w:r>
      <w:r>
        <w:rPr>
          <w:rStyle w:val="ControlFlowTok"/>
        </w:rPr>
        <w:t xml:space="preserve">If</w:t>
      </w:r>
      <w:r>
        <w:rPr>
          <w:rStyle w:val="NormalTok"/>
        </w:rPr>
        <w:t xml:space="preserve"> mail.BodyFormat =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"Message is in HTML format."</w:t>
      </w:r>
      <w:r>
        <w:br/>
      </w:r>
      <w:r>
        <w:rPr>
          <w:rStyle w:val="ControlFlowTok"/>
        </w:rPr>
        <w:t xml:space="preserve">End If</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240"/>
    <w:bookmarkEnd w:id="3241"/>
    <w:bookmarkStart w:id="3248" w:name="bodytext-property"/>
    <w:p>
      <w:pPr>
        <w:pStyle w:val="Heading1"/>
      </w:pPr>
      <w:r>
        <w:t xml:space="preserve">BodyText Property</w:t>
      </w:r>
    </w:p>
    <w:bookmarkStart w:id="3242" w:name="overview-324"/>
    <w:p>
      <w:pPr>
        <w:pStyle w:val="Heading2"/>
      </w:pPr>
      <w:r>
        <w:t xml:space="preserve">Overview</w:t>
      </w:r>
    </w:p>
    <w:p>
      <w:pPr>
        <w:pStyle w:val="FirstParagraph"/>
      </w:pPr>
      <w:r>
        <w:t xml:space="preserve">The</w:t>
      </w:r>
      <w:r>
        <w:t xml:space="preserve"> </w:t>
      </w:r>
      <w:r>
        <w:rPr>
          <w:b/>
          <w:bCs/>
        </w:rPr>
        <w:t xml:space="preserve">BodyText</w:t>
      </w:r>
      <w:r>
        <w:t xml:space="preserve"> </w:t>
      </w:r>
      <w:r>
        <w:t xml:space="preserve">property gets or sets the text body of the email message for the G3MAIL object. This property is an alias for the</w:t>
      </w:r>
      <w:r>
        <w:t xml:space="preserve"> </w:t>
      </w:r>
      <w:r>
        <w:rPr>
          <w:b/>
          <w:bCs/>
        </w:rPr>
        <w:t xml:space="preserve">Body</w:t>
      </w:r>
      <w:r>
        <w:t xml:space="preserve"> </w:t>
      </w:r>
      <w:r>
        <w:t xml:space="preserve">property, provided for SMTPsvg.Mailer (ASPMail) compatibility.</w:t>
      </w:r>
    </w:p>
    <w:bookmarkEnd w:id="3242"/>
    <w:bookmarkStart w:id="3243" w:name="syntax-325"/>
    <w:p>
      <w:pPr>
        <w:pStyle w:val="Heading2"/>
      </w:pPr>
      <w:r>
        <w:t xml:space="preserve">Syntax</w:t>
      </w:r>
    </w:p>
    <w:p>
      <w:pPr>
        <w:pStyle w:val="SourceCode"/>
      </w:pPr>
      <w:r>
        <w:rPr>
          <w:rStyle w:val="NormalTok"/>
        </w:rPr>
        <w:t xml:space="preserve">value = mail.BodyText</w:t>
      </w:r>
      <w:r>
        <w:br/>
      </w:r>
      <w:r>
        <w:rPr>
          <w:rStyle w:val="NormalTok"/>
        </w:rPr>
        <w:t xml:space="preserve">mail.BodyText = newValue</w:t>
      </w:r>
    </w:p>
    <w:bookmarkEnd w:id="3243"/>
    <w:bookmarkStart w:id="3244" w:name="parameters-and-arguments-47"/>
    <w:p>
      <w:pPr>
        <w:pStyle w:val="Heading2"/>
      </w:pPr>
      <w:r>
        <w:t xml:space="preserve">Parameters and Arguments</w:t>
      </w:r>
    </w:p>
    <w:p>
      <w:pPr>
        <w:pStyle w:val="Compact"/>
        <w:numPr>
          <w:ilvl w:val="0"/>
          <w:numId w:val="1814"/>
        </w:numPr>
      </w:pPr>
      <w:r>
        <w:rPr>
          <w:b/>
          <w:bCs/>
        </w:rPr>
        <w:t xml:space="preserve">newValue</w:t>
      </w:r>
      <w:r>
        <w:t xml:space="preserve"> </w:t>
      </w:r>
      <w:r>
        <w:t xml:space="preserve">(String): The text content of the email body.</w:t>
      </w:r>
    </w:p>
    <w:bookmarkEnd w:id="3244"/>
    <w:bookmarkStart w:id="3245" w:name="return-values-52"/>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message body text.</w:t>
      </w:r>
    </w:p>
    <w:bookmarkEnd w:id="3245"/>
    <w:bookmarkStart w:id="3246" w:name="remarks-302"/>
    <w:p>
      <w:pPr>
        <w:pStyle w:val="Heading2"/>
      </w:pPr>
      <w:r>
        <w:t xml:space="preserve">Remarks</w:t>
      </w:r>
    </w:p>
    <w:p>
      <w:pPr>
        <w:pStyle w:val="Compact"/>
        <w:numPr>
          <w:ilvl w:val="0"/>
          <w:numId w:val="1815"/>
        </w:numPr>
      </w:pPr>
      <w:r>
        <w:t xml:space="preserve">Setting</w:t>
      </w:r>
      <w:r>
        <w:t xml:space="preserve"> </w:t>
      </w:r>
      <w:r>
        <w:rPr>
          <w:b/>
          <w:bCs/>
        </w:rPr>
        <w:t xml:space="preserve">BodyText</w:t>
      </w:r>
      <w:r>
        <w:t xml:space="preserve"> </w:t>
      </w:r>
      <w:r>
        <w:t xml:space="preserve">updates the internal message body of the G3MAIL instance and resets</w:t>
      </w:r>
      <w:r>
        <w:t xml:space="preserve"> </w:t>
      </w:r>
      <w:r>
        <w:rPr>
          <w:b/>
          <w:bCs/>
        </w:rPr>
        <w:t xml:space="preserve">IsHTML</w:t>
      </w:r>
      <w:r>
        <w:t xml:space="preserve"> </w:t>
      </w:r>
      <w:r>
        <w:t xml:space="preserve">to False.</w:t>
      </w:r>
    </w:p>
    <w:p>
      <w:pPr>
        <w:pStyle w:val="Compact"/>
        <w:numPr>
          <w:ilvl w:val="0"/>
          <w:numId w:val="1815"/>
        </w:numPr>
      </w:pPr>
      <w:r>
        <w:t xml:space="preserve">This property is case-insensitive.</w:t>
      </w:r>
    </w:p>
    <w:bookmarkEnd w:id="3246"/>
    <w:bookmarkStart w:id="3247" w:name="code-example-12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mail.BodyText = </w:t>
      </w:r>
      <w:r>
        <w:rPr>
          <w:rStyle w:val="StringTok"/>
        </w:rPr>
        <w:t xml:space="preserve">"This is a plain text body using ASPMail compatibility."</w:t>
      </w:r>
      <w:r>
        <w:br/>
      </w:r>
      <w:r>
        <w:rPr>
          <w:rStyle w:val="DataTypeTok"/>
        </w:rPr>
        <w:t xml:space="preserve">%&gt;</w:t>
      </w:r>
    </w:p>
    <w:bookmarkEnd w:id="3247"/>
    <w:bookmarkEnd w:id="3248"/>
    <w:bookmarkStart w:id="3255" w:name="cc-property"/>
    <w:p>
      <w:pPr>
        <w:pStyle w:val="Heading1"/>
      </w:pPr>
      <w:r>
        <w:t xml:space="preserve">Cc Property</w:t>
      </w:r>
    </w:p>
    <w:bookmarkStart w:id="3249" w:name="overview-325"/>
    <w:p>
      <w:pPr>
        <w:pStyle w:val="Heading2"/>
      </w:pPr>
      <w:r>
        <w:t xml:space="preserve">Overview</w:t>
      </w:r>
    </w:p>
    <w:p>
      <w:pPr>
        <w:pStyle w:val="FirstParagraph"/>
      </w:pPr>
      <w:r>
        <w:t xml:space="preserve">The</w:t>
      </w:r>
      <w:r>
        <w:t xml:space="preserve"> </w:t>
      </w:r>
      <w:r>
        <w:rPr>
          <w:b/>
          <w:bCs/>
        </w:rPr>
        <w:t xml:space="preserve">Cc</w:t>
      </w:r>
      <w:r>
        <w:t xml:space="preserve"> </w:t>
      </w:r>
      <w:r>
        <w:t xml:space="preserve">property gets or sets the carbon copy (CC) recipient list for the G3Pix AxonASP G3MAIL object.</w:t>
      </w:r>
    </w:p>
    <w:bookmarkEnd w:id="3249"/>
    <w:bookmarkStart w:id="3250" w:name="syntax-326"/>
    <w:p>
      <w:pPr>
        <w:pStyle w:val="Heading2"/>
      </w:pPr>
      <w:r>
        <w:t xml:space="preserve">Syntax</w:t>
      </w:r>
    </w:p>
    <w:p>
      <w:pPr>
        <w:pStyle w:val="SourceCode"/>
      </w:pPr>
      <w:r>
        <w:rPr>
          <w:rStyle w:val="NormalTok"/>
        </w:rPr>
        <w:t xml:space="preserve">value = mail.Cc</w:t>
      </w:r>
      <w:r>
        <w:br/>
      </w:r>
      <w:r>
        <w:rPr>
          <w:rStyle w:val="NormalTok"/>
        </w:rPr>
        <w:t xml:space="preserve">mail.Cc = newValue</w:t>
      </w:r>
    </w:p>
    <w:bookmarkEnd w:id="3250"/>
    <w:bookmarkStart w:id="3251" w:name="parameters-and-arguments-48"/>
    <w:p>
      <w:pPr>
        <w:pStyle w:val="Heading2"/>
      </w:pPr>
      <w:r>
        <w:t xml:space="preserve">Parameters and Arguments</w:t>
      </w:r>
    </w:p>
    <w:p>
      <w:pPr>
        <w:pStyle w:val="Compact"/>
        <w:numPr>
          <w:ilvl w:val="0"/>
          <w:numId w:val="1816"/>
        </w:numPr>
      </w:pPr>
      <w:r>
        <w:rPr>
          <w:b/>
          <w:bCs/>
        </w:rPr>
        <w:t xml:space="preserve">newValue</w:t>
      </w:r>
      <w:r>
        <w:t xml:space="preserve"> </w:t>
      </w:r>
      <w:r>
        <w:t xml:space="preserve">(String): A comma-separated or semicolon-separated list of email addresses.</w:t>
      </w:r>
    </w:p>
    <w:bookmarkEnd w:id="3251"/>
    <w:bookmarkStart w:id="3252" w:name="return-values-53"/>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CC recipients, separated by commas.</w:t>
      </w:r>
    </w:p>
    <w:bookmarkEnd w:id="3252"/>
    <w:bookmarkStart w:id="3253" w:name="remarks-303"/>
    <w:p>
      <w:pPr>
        <w:pStyle w:val="Heading2"/>
      </w:pPr>
      <w:r>
        <w:t xml:space="preserve">Remarks</w:t>
      </w:r>
    </w:p>
    <w:p>
      <w:pPr>
        <w:pStyle w:val="Compact"/>
        <w:numPr>
          <w:ilvl w:val="0"/>
          <w:numId w:val="1817"/>
        </w:numPr>
      </w:pPr>
      <w:r>
        <w:t xml:space="preserve">Recipients in the CC list are visible to all other recipients.</w:t>
      </w:r>
    </w:p>
    <w:p>
      <w:pPr>
        <w:pStyle w:val="Compact"/>
        <w:numPr>
          <w:ilvl w:val="0"/>
          <w:numId w:val="1817"/>
        </w:numPr>
      </w:pPr>
      <w:r>
        <w:t xml:space="preserve">Setting this property replaces any existing CC recipients. Use the</w:t>
      </w:r>
      <w:r>
        <w:t xml:space="preserve"> </w:t>
      </w:r>
      <w:r>
        <w:rPr>
          <w:b/>
          <w:bCs/>
        </w:rPr>
        <w:t xml:space="preserve">AddCc</w:t>
      </w:r>
      <w:r>
        <w:t xml:space="preserve"> </w:t>
      </w:r>
      <w:r>
        <w:t xml:space="preserve">method to append to the list instead.</w:t>
      </w:r>
    </w:p>
    <w:bookmarkEnd w:id="3253"/>
    <w:bookmarkStart w:id="3254" w:name="code-example-12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mail.Cc = </w:t>
      </w:r>
      <w:r>
        <w:rPr>
          <w:rStyle w:val="StringTok"/>
        </w:rPr>
        <w:t xml:space="preserve">"cc1@example.com, cc2@example.com"</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"CC List: "</w:t>
      </w:r>
      <w:r>
        <w:rPr>
          <w:rStyle w:val="NormalTok"/>
        </w:rPr>
        <w:t xml:space="preserve"> </w:t>
      </w:r>
      <w:r>
        <w:rPr>
          <w:rStyle w:val="KeywordTok"/>
        </w:rPr>
        <w:t xml:space="preserve">&amp;</w:t>
      </w:r>
      <w:r>
        <w:rPr>
          <w:rStyle w:val="NormalTok"/>
        </w:rPr>
        <w:t xml:space="preserve"> mail.Cc</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254"/>
    <w:bookmarkEnd w:id="3255"/>
    <w:bookmarkStart w:id="3262" w:name="charset-property"/>
    <w:p>
      <w:pPr>
        <w:pStyle w:val="Heading1"/>
      </w:pPr>
      <w:r>
        <w:t xml:space="preserve">CharSet Property</w:t>
      </w:r>
    </w:p>
    <w:bookmarkStart w:id="3256" w:name="overview-326"/>
    <w:p>
      <w:pPr>
        <w:pStyle w:val="Heading2"/>
      </w:pPr>
      <w:r>
        <w:t xml:space="preserve">Overview</w:t>
      </w:r>
    </w:p>
    <w:p>
      <w:pPr>
        <w:pStyle w:val="FirstParagraph"/>
      </w:pPr>
      <w:r>
        <w:t xml:space="preserve">The</w:t>
      </w:r>
      <w:r>
        <w:t xml:space="preserve"> </w:t>
      </w:r>
      <w:r>
        <w:rPr>
          <w:b/>
          <w:bCs/>
        </w:rPr>
        <w:t xml:space="preserve">CharSet</w:t>
      </w:r>
      <w:r>
        <w:t xml:space="preserve"> </w:t>
      </w:r>
      <w:r>
        <w:t xml:space="preserve">property gets or sets the character encoding set of the email message for the G3MAIL object. It is provided for Persits.MailSender (ASPEmail) compatibility.</w:t>
      </w:r>
    </w:p>
    <w:bookmarkEnd w:id="3256"/>
    <w:bookmarkStart w:id="3257" w:name="syntax-327"/>
    <w:p>
      <w:pPr>
        <w:pStyle w:val="Heading2"/>
      </w:pPr>
      <w:r>
        <w:t xml:space="preserve">Syntax</w:t>
      </w:r>
    </w:p>
    <w:p>
      <w:pPr>
        <w:pStyle w:val="SourceCode"/>
      </w:pPr>
      <w:r>
        <w:rPr>
          <w:rStyle w:val="NormalTok"/>
        </w:rPr>
        <w:t xml:space="preserve">value = mail.CharSet</w:t>
      </w:r>
      <w:r>
        <w:br/>
      </w:r>
      <w:r>
        <w:rPr>
          <w:rStyle w:val="NormalTok"/>
        </w:rPr>
        <w:t xml:space="preserve">mail.CharSet = newValue</w:t>
      </w:r>
    </w:p>
    <w:bookmarkEnd w:id="3257"/>
    <w:bookmarkStart w:id="3258" w:name="parameters-and-arguments-49"/>
    <w:p>
      <w:pPr>
        <w:pStyle w:val="Heading2"/>
      </w:pPr>
      <w:r>
        <w:t xml:space="preserve">Parameters and Arguments</w:t>
      </w:r>
    </w:p>
    <w:p>
      <w:pPr>
        <w:pStyle w:val="Compact"/>
        <w:numPr>
          <w:ilvl w:val="0"/>
          <w:numId w:val="1818"/>
        </w:numPr>
      </w:pPr>
      <w:r>
        <w:rPr>
          <w:b/>
          <w:bCs/>
        </w:rPr>
        <w:t xml:space="preserve">newValue</w:t>
      </w:r>
      <w:r>
        <w:t xml:space="preserve"> </w:t>
      </w:r>
      <w:r>
        <w:t xml:space="preserve">(String): The character set name (e.g. </w:t>
      </w:r>
      <w:r>
        <w:t xml:space="preserve">“utf-8”</w:t>
      </w:r>
      <w:r>
        <w:t xml:space="preserve">,</w:t>
      </w:r>
      <w:r>
        <w:t xml:space="preserve"> </w:t>
      </w:r>
      <w:r>
        <w:t xml:space="preserve">“iso-8859-1”</w:t>
      </w:r>
      <w:r>
        <w:t xml:space="preserve">).</w:t>
      </w:r>
    </w:p>
    <w:bookmarkEnd w:id="3258"/>
    <w:bookmarkStart w:id="3259" w:name="return-values-54"/>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character set.</w:t>
      </w:r>
    </w:p>
    <w:bookmarkEnd w:id="3259"/>
    <w:bookmarkStart w:id="3260" w:name="remarks-304"/>
    <w:p>
      <w:pPr>
        <w:pStyle w:val="Heading2"/>
      </w:pPr>
      <w:r>
        <w:t xml:space="preserve">Remarks</w:t>
      </w:r>
    </w:p>
    <w:p>
      <w:pPr>
        <w:pStyle w:val="Compact"/>
        <w:numPr>
          <w:ilvl w:val="0"/>
          <w:numId w:val="1819"/>
        </w:numPr>
      </w:pPr>
      <w:r>
        <w:t xml:space="preserve">If</w:t>
      </w:r>
      <w:r>
        <w:t xml:space="preserve"> </w:t>
      </w:r>
      <w:r>
        <w:rPr>
          <w:b/>
          <w:bCs/>
        </w:rPr>
        <w:t xml:space="preserve">CharSet</w:t>
      </w:r>
      <w:r>
        <w:t xml:space="preserve"> </w:t>
      </w:r>
      <w:r>
        <w:t xml:space="preserve">is specified, it will be mapped into the Content-Type headers of the message payload (e.g.,</w:t>
      </w:r>
      <w:r>
        <w:t xml:space="preserve"> </w:t>
      </w:r>
      <w:r>
        <w:rPr>
          <w:rStyle w:val="VerbatimChar"/>
        </w:rPr>
        <w:t xml:space="preserve">text/plain; charset=utf-8</w:t>
      </w:r>
      <w:r>
        <w:t xml:space="preserve"> </w:t>
      </w:r>
      <w:r>
        <w:t xml:space="preserve">or</w:t>
      </w:r>
      <w:r>
        <w:t xml:space="preserve"> </w:t>
      </w:r>
      <w:r>
        <w:rPr>
          <w:rStyle w:val="VerbatimChar"/>
        </w:rPr>
        <w:t xml:space="preserve">text/html; charset=utf-8</w:t>
      </w:r>
      <w:r>
        <w:t xml:space="preserve">).</w:t>
      </w:r>
    </w:p>
    <w:bookmarkEnd w:id="3260"/>
    <w:bookmarkStart w:id="3261" w:name="code-example-12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"Persits.MailSender"</w:t>
      </w:r>
      <w:r>
        <w:rPr>
          <w:rStyle w:val="OtherTok"/>
        </w:rPr>
        <w:t xml:space="preserve">)</w:t>
      </w:r>
      <w:r>
        <w:br/>
      </w:r>
      <w:r>
        <w:rPr>
          <w:rStyle w:val="NormalTok"/>
        </w:rPr>
        <w:t xml:space="preserve">mail.CharSet = </w:t>
      </w:r>
      <w:r>
        <w:rPr>
          <w:rStyle w:val="StringTok"/>
        </w:rPr>
        <w:t xml:space="preserve">"utf-8"</w:t>
      </w:r>
      <w:r>
        <w:br/>
      </w:r>
      <w:r>
        <w:rPr>
          <w:rStyle w:val="DataTypeTok"/>
        </w:rPr>
        <w:t xml:space="preserve">%&gt;</w:t>
      </w:r>
    </w:p>
    <w:bookmarkEnd w:id="3261"/>
    <w:bookmarkEnd w:id="3262"/>
    <w:bookmarkStart w:id="3269" w:name="contenttype-property"/>
    <w:p>
      <w:pPr>
        <w:pStyle w:val="Heading1"/>
      </w:pPr>
      <w:r>
        <w:t xml:space="preserve">ContentType Property</w:t>
      </w:r>
    </w:p>
    <w:bookmarkStart w:id="3263" w:name="overview-327"/>
    <w:p>
      <w:pPr>
        <w:pStyle w:val="Heading2"/>
      </w:pPr>
      <w:r>
        <w:t xml:space="preserve">Overview</w:t>
      </w:r>
    </w:p>
    <w:p>
      <w:pPr>
        <w:pStyle w:val="FirstParagraph"/>
      </w:pPr>
      <w:r>
        <w:t xml:space="preserve">The</w:t>
      </w:r>
      <w:r>
        <w:t xml:space="preserve"> </w:t>
      </w:r>
      <w:r>
        <w:rPr>
          <w:b/>
          <w:bCs/>
        </w:rPr>
        <w:t xml:space="preserve">ContentType</w:t>
      </w:r>
      <w:r>
        <w:t xml:space="preserve"> </w:t>
      </w:r>
      <w:r>
        <w:t xml:space="preserve">property gets or sets the MIME Content-Type of the email message for the G3MAIL object. It is provided for SMTPsvg.Mailer (ASPMail) compatibility.</w:t>
      </w:r>
    </w:p>
    <w:bookmarkEnd w:id="3263"/>
    <w:bookmarkStart w:id="3264" w:name="syntax-328"/>
    <w:p>
      <w:pPr>
        <w:pStyle w:val="Heading2"/>
      </w:pPr>
      <w:r>
        <w:t xml:space="preserve">Syntax</w:t>
      </w:r>
    </w:p>
    <w:p>
      <w:pPr>
        <w:pStyle w:val="SourceCode"/>
      </w:pPr>
      <w:r>
        <w:rPr>
          <w:rStyle w:val="NormalTok"/>
        </w:rPr>
        <w:t xml:space="preserve">value = mail.ContentType</w:t>
      </w:r>
      <w:r>
        <w:br/>
      </w:r>
      <w:r>
        <w:rPr>
          <w:rStyle w:val="NormalTok"/>
        </w:rPr>
        <w:t xml:space="preserve">mail.ContentType = newValue</w:t>
      </w:r>
    </w:p>
    <w:bookmarkEnd w:id="3264"/>
    <w:bookmarkStart w:id="3265" w:name="parameters-and-arguments-50"/>
    <w:p>
      <w:pPr>
        <w:pStyle w:val="Heading2"/>
      </w:pPr>
      <w:r>
        <w:t xml:space="preserve">Parameters and Arguments</w:t>
      </w:r>
    </w:p>
    <w:p>
      <w:pPr>
        <w:pStyle w:val="Compact"/>
        <w:numPr>
          <w:ilvl w:val="0"/>
          <w:numId w:val="1820"/>
        </w:numPr>
      </w:pPr>
      <w:r>
        <w:rPr>
          <w:b/>
          <w:bCs/>
        </w:rPr>
        <w:t xml:space="preserve">newValue</w:t>
      </w:r>
      <w:r>
        <w:t xml:space="preserve"> </w:t>
      </w:r>
      <w:r>
        <w:t xml:space="preserve">(String): The MIME Content-Type string (e.g. </w:t>
      </w:r>
      <w:r>
        <w:t xml:space="preserve">“text/html”</w:t>
      </w:r>
      <w:r>
        <w:t xml:space="preserve"> </w:t>
      </w:r>
      <w:r>
        <w:t xml:space="preserve">or</w:t>
      </w:r>
      <w:r>
        <w:t xml:space="preserve"> </w:t>
      </w:r>
      <w:r>
        <w:t xml:space="preserve">“text/plain”</w:t>
      </w:r>
      <w:r>
        <w:t xml:space="preserve">).</w:t>
      </w:r>
    </w:p>
    <w:bookmarkEnd w:id="3265"/>
    <w:bookmarkStart w:id="3266" w:name="return-values-55"/>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Content-Type of the email body.</w:t>
      </w:r>
    </w:p>
    <w:bookmarkEnd w:id="3266"/>
    <w:bookmarkStart w:id="3267" w:name="remarks-305"/>
    <w:p>
      <w:pPr>
        <w:pStyle w:val="Heading2"/>
      </w:pPr>
      <w:r>
        <w:t xml:space="preserve">Remarks</w:t>
      </w:r>
    </w:p>
    <w:p>
      <w:pPr>
        <w:pStyle w:val="Compact"/>
        <w:numPr>
          <w:ilvl w:val="0"/>
          <w:numId w:val="1821"/>
        </w:numPr>
      </w:pPr>
      <w:r>
        <w:t xml:space="preserve">If the Content-Type contains the substring</w:t>
      </w:r>
      <w:r>
        <w:t xml:space="preserve"> </w:t>
      </w:r>
      <w:r>
        <w:t xml:space="preserve">“html”</w:t>
      </w:r>
      <w:r>
        <w:t xml:space="preserve"> </w:t>
      </w:r>
      <w:r>
        <w:t xml:space="preserve">(case-insensitive),</w:t>
      </w:r>
      <w:r>
        <w:t xml:space="preserve"> </w:t>
      </w:r>
      <w:r>
        <w:rPr>
          <w:b/>
          <w:bCs/>
        </w:rPr>
        <w:t xml:space="preserve">IsHTML</w:t>
      </w:r>
      <w:r>
        <w:t xml:space="preserve"> </w:t>
      </w:r>
      <w:r>
        <w:t xml:space="preserve">is automatically set to True. Otherwise, it is set to False.</w:t>
      </w:r>
    </w:p>
    <w:p>
      <w:pPr>
        <w:pStyle w:val="Compact"/>
        <w:numPr>
          <w:ilvl w:val="0"/>
          <w:numId w:val="1821"/>
        </w:numPr>
      </w:pPr>
      <w:r>
        <w:t xml:space="preserve">The property defaults to</w:t>
      </w:r>
      <w:r>
        <w:t xml:space="preserve"> </w:t>
      </w:r>
      <w:r>
        <w:t xml:space="preserve">“text/plain”</w:t>
      </w:r>
      <w:r>
        <w:t xml:space="preserve">.</w:t>
      </w:r>
    </w:p>
    <w:bookmarkEnd w:id="3267"/>
    <w:bookmarkStart w:id="3268" w:name="code-example-12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mail.ContentType = </w:t>
      </w:r>
      <w:r>
        <w:rPr>
          <w:rStyle w:val="StringTok"/>
        </w:rPr>
        <w:t xml:space="preserve">"text/html"</w:t>
      </w:r>
      <w:r>
        <w:br/>
      </w:r>
      <w:r>
        <w:rPr>
          <w:rStyle w:val="NormalTok"/>
        </w:rPr>
        <w:t xml:space="preserve">mail.Body = </w:t>
      </w:r>
      <w:r>
        <w:rPr>
          <w:rStyle w:val="StringTok"/>
        </w:rPr>
        <w:t xml:space="preserve">"&lt;h1&gt;HTML Message&lt;/h1&gt;"</w:t>
      </w:r>
      <w:r>
        <w:br/>
      </w:r>
      <w:r>
        <w:rPr>
          <w:rStyle w:val="DataTypeTok"/>
        </w:rPr>
        <w:t xml:space="preserve">%&gt;</w:t>
      </w:r>
    </w:p>
    <w:bookmarkEnd w:id="3268"/>
    <w:bookmarkEnd w:id="3269"/>
    <w:bookmarkStart w:id="3277" w:name="from-property"/>
    <w:p>
      <w:pPr>
        <w:pStyle w:val="Heading1"/>
      </w:pPr>
      <w:r>
        <w:t xml:space="preserve">From Property</w:t>
      </w:r>
    </w:p>
    <w:bookmarkStart w:id="3270" w:name="overview-328"/>
    <w:p>
      <w:pPr>
        <w:pStyle w:val="Heading2"/>
      </w:pPr>
      <w:r>
        <w:t xml:space="preserve">Overview</w:t>
      </w:r>
    </w:p>
    <w:p>
      <w:pPr>
        <w:pStyle w:val="FirstParagraph"/>
      </w:pPr>
      <w:r>
        <w:t xml:space="preserve">The</w:t>
      </w:r>
      <w:r>
        <w:t xml:space="preserve"> </w:t>
      </w:r>
      <w:r>
        <w:rPr>
          <w:b/>
          <w:bCs/>
        </w:rPr>
        <w:t xml:space="preserve">From</w:t>
      </w:r>
      <w:r>
        <w:t xml:space="preserve"> </w:t>
      </w:r>
      <w:r>
        <w:t xml:space="preserve">property gets or sets the sender’s email address for the G3Pix AxonASP G3MAIL object.</w:t>
      </w:r>
    </w:p>
    <w:bookmarkEnd w:id="3270"/>
    <w:bookmarkStart w:id="3271" w:name="syntax-329"/>
    <w:p>
      <w:pPr>
        <w:pStyle w:val="Heading2"/>
      </w:pPr>
      <w:r>
        <w:t xml:space="preserve">Syntax</w:t>
      </w:r>
    </w:p>
    <w:p>
      <w:pPr>
        <w:pStyle w:val="SourceCode"/>
      </w:pPr>
      <w:r>
        <w:rPr>
          <w:rStyle w:val="NormalTok"/>
        </w:rPr>
        <w:t xml:space="preserve">value = mail.From</w:t>
      </w:r>
      <w:r>
        <w:br/>
      </w:r>
      <w:r>
        <w:rPr>
          <w:rStyle w:val="NormalTok"/>
        </w:rPr>
        <w:t xml:space="preserve">mail.From = newValue</w:t>
      </w:r>
    </w:p>
    <w:bookmarkEnd w:id="3271"/>
    <w:bookmarkStart w:id="3272" w:name="parameters-and-arguments-51"/>
    <w:p>
      <w:pPr>
        <w:pStyle w:val="Heading2"/>
      </w:pPr>
      <w:r>
        <w:t xml:space="preserve">Parameters and Arguments</w:t>
      </w:r>
    </w:p>
    <w:p>
      <w:pPr>
        <w:pStyle w:val="Compact"/>
        <w:numPr>
          <w:ilvl w:val="0"/>
          <w:numId w:val="1822"/>
        </w:numPr>
      </w:pPr>
      <w:r>
        <w:rPr>
          <w:b/>
          <w:bCs/>
        </w:rPr>
        <w:t xml:space="preserve">newValue</w:t>
      </w:r>
      <w:r>
        <w:t xml:space="preserve"> </w:t>
      </w:r>
      <w:r>
        <w:t xml:space="preserve">(String): The email address of the sender.</w:t>
      </w:r>
    </w:p>
    <w:bookmarkEnd w:id="3272"/>
    <w:bookmarkStart w:id="3273" w:name="return-values-56"/>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sender’s email address.</w:t>
      </w:r>
    </w:p>
    <w:bookmarkEnd w:id="3273"/>
    <w:bookmarkStart w:id="3275" w:name="remarks-306"/>
    <w:p>
      <w:pPr>
        <w:pStyle w:val="Heading2"/>
      </w:pPr>
      <w:r>
        <w:t xml:space="preserve">Remarks</w:t>
      </w:r>
    </w:p>
    <w:p>
      <w:pPr>
        <w:pStyle w:val="Compact"/>
        <w:numPr>
          <w:ilvl w:val="0"/>
          <w:numId w:val="1823"/>
        </w:numPr>
      </w:pPr>
      <w:r>
        <w:t xml:space="preserve">This property is required for sending emails unless the</w:t>
      </w:r>
      <w:r>
        <w:t xml:space="preserve"> </w:t>
      </w:r>
      <w:r>
        <w:rPr>
          <w:rStyle w:val="VerbatimChar"/>
        </w:rPr>
        <w:t xml:space="preserve">SMTP_FROM</w:t>
      </w:r>
      <w:r>
        <w:t xml:space="preserve"> </w:t>
      </w:r>
      <w:r>
        <w:t xml:space="preserve">environment variable is set.</w:t>
      </w:r>
    </w:p>
    <w:p>
      <w:pPr>
        <w:pStyle w:val="Compact"/>
        <w:numPr>
          <w:ilvl w:val="0"/>
          <w:numId w:val="1823"/>
        </w:numPr>
      </w:pPr>
      <w:r>
        <w:t xml:space="preserve">To set a display name (e.g.,</w:t>
      </w:r>
      <w:r>
        <w:t xml:space="preserve"> </w:t>
      </w:r>
      <w:r>
        <w:t xml:space="preserve">“Company Name</w:t>
      </w:r>
      <w:r>
        <w:t xml:space="preserve"> </w:t>
      </w:r>
      <w:hyperlink r:id="rId3274">
        <w:r>
          <w:rPr>
            <w:rStyle w:val="Hyperlink"/>
          </w:rPr>
          <w:t xml:space="preserve">sender@example.com</w:t>
        </w:r>
      </w:hyperlink>
      <w:r>
        <w:t xml:space="preserve">”</w:t>
      </w:r>
      <w:r>
        <w:t xml:space="preserve">), use the</w:t>
      </w:r>
      <w:r>
        <w:t xml:space="preserve"> </w:t>
      </w:r>
      <w:r>
        <w:rPr>
          <w:b/>
          <w:bCs/>
        </w:rPr>
        <w:t xml:space="preserve">FromName</w:t>
      </w:r>
      <w:r>
        <w:t xml:space="preserve"> </w:t>
      </w:r>
      <w:r>
        <w:t xml:space="preserve">property.</w:t>
      </w:r>
    </w:p>
    <w:p>
      <w:pPr>
        <w:pStyle w:val="Compact"/>
        <w:numPr>
          <w:ilvl w:val="0"/>
          <w:numId w:val="1823"/>
        </w:numPr>
      </w:pPr>
      <w:r>
        <w:t xml:space="preserve">This property can also be accessed using the alias</w:t>
      </w:r>
      <w:r>
        <w:t xml:space="preserve"> </w:t>
      </w:r>
      <w:r>
        <w:rPr>
          <w:b/>
          <w:bCs/>
        </w:rPr>
        <w:t xml:space="preserve">FromAddress</w:t>
      </w:r>
      <w:r>
        <w:t xml:space="preserve">.</w:t>
      </w:r>
    </w:p>
    <w:bookmarkEnd w:id="3275"/>
    <w:bookmarkStart w:id="3276" w:name="code-example-12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mail.From = </w:t>
      </w:r>
      <w:r>
        <w:rPr>
          <w:rStyle w:val="StringTok"/>
        </w:rPr>
        <w:t xml:space="preserve">"no-reply@example.com"</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"Sender: "</w:t>
      </w:r>
      <w:r>
        <w:rPr>
          <w:rStyle w:val="NormalTok"/>
        </w:rPr>
        <w:t xml:space="preserve"> </w:t>
      </w:r>
      <w:r>
        <w:rPr>
          <w:rStyle w:val="KeywordTok"/>
        </w:rPr>
        <w:t xml:space="preserve">&amp;</w:t>
      </w:r>
      <w:r>
        <w:rPr>
          <w:rStyle w:val="NormalTok"/>
        </w:rPr>
        <w:t xml:space="preserve"> mail.From</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276"/>
    <w:bookmarkEnd w:id="3277"/>
    <w:bookmarkStart w:id="3284" w:name="fromaddress-property"/>
    <w:p>
      <w:pPr>
        <w:pStyle w:val="Heading1"/>
      </w:pPr>
      <w:r>
        <w:t xml:space="preserve">FromAddress Property</w:t>
      </w:r>
    </w:p>
    <w:bookmarkStart w:id="3278" w:name="overview-329"/>
    <w:p>
      <w:pPr>
        <w:pStyle w:val="Heading2"/>
      </w:pPr>
      <w:r>
        <w:t xml:space="preserve">Overview</w:t>
      </w:r>
    </w:p>
    <w:p>
      <w:pPr>
        <w:pStyle w:val="FirstParagraph"/>
      </w:pPr>
      <w:r>
        <w:t xml:space="preserve">The</w:t>
      </w:r>
      <w:r>
        <w:t xml:space="preserve"> </w:t>
      </w:r>
      <w:r>
        <w:rPr>
          <w:b/>
          <w:bCs/>
        </w:rPr>
        <w:t xml:space="preserve">FromAddress</w:t>
      </w:r>
      <w:r>
        <w:t xml:space="preserve"> </w:t>
      </w:r>
      <w:r>
        <w:t xml:space="preserve">property gets or sets the sender’s email address of the G3MAIL object. This property is an alias for the</w:t>
      </w:r>
      <w:r>
        <w:t xml:space="preserve"> </w:t>
      </w:r>
      <w:r>
        <w:rPr>
          <w:b/>
          <w:bCs/>
        </w:rPr>
        <w:t xml:space="preserve">From</w:t>
      </w:r>
      <w:r>
        <w:t xml:space="preserve"> </w:t>
      </w:r>
      <w:r>
        <w:t xml:space="preserve">property, provided for SMTPsvg.Mailer (ASPMail) compatibility.</w:t>
      </w:r>
    </w:p>
    <w:bookmarkEnd w:id="3278"/>
    <w:bookmarkStart w:id="3279" w:name="syntax-330"/>
    <w:p>
      <w:pPr>
        <w:pStyle w:val="Heading2"/>
      </w:pPr>
      <w:r>
        <w:t xml:space="preserve">Syntax</w:t>
      </w:r>
    </w:p>
    <w:p>
      <w:pPr>
        <w:pStyle w:val="SourceCode"/>
      </w:pPr>
      <w:r>
        <w:rPr>
          <w:rStyle w:val="NormalTok"/>
        </w:rPr>
        <w:t xml:space="preserve">value = mail.FromAddress</w:t>
      </w:r>
      <w:r>
        <w:br/>
      </w:r>
      <w:r>
        <w:rPr>
          <w:rStyle w:val="NormalTok"/>
        </w:rPr>
        <w:t xml:space="preserve">mail.FromAddress = newValue</w:t>
      </w:r>
    </w:p>
    <w:bookmarkEnd w:id="3279"/>
    <w:bookmarkStart w:id="3280" w:name="parameters-and-arguments-52"/>
    <w:p>
      <w:pPr>
        <w:pStyle w:val="Heading2"/>
      </w:pPr>
      <w:r>
        <w:t xml:space="preserve">Parameters and Arguments</w:t>
      </w:r>
    </w:p>
    <w:p>
      <w:pPr>
        <w:pStyle w:val="Compact"/>
        <w:numPr>
          <w:ilvl w:val="0"/>
          <w:numId w:val="1824"/>
        </w:numPr>
      </w:pPr>
      <w:r>
        <w:rPr>
          <w:b/>
          <w:bCs/>
        </w:rPr>
        <w:t xml:space="preserve">newValue</w:t>
      </w:r>
      <w:r>
        <w:t xml:space="preserve"> </w:t>
      </w:r>
      <w:r>
        <w:t xml:space="preserve">(String): The sender’s email address.</w:t>
      </w:r>
    </w:p>
    <w:bookmarkEnd w:id="3280"/>
    <w:bookmarkStart w:id="3281" w:name="return-values-57"/>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sender address.</w:t>
      </w:r>
    </w:p>
    <w:bookmarkEnd w:id="3281"/>
    <w:bookmarkStart w:id="3282" w:name="remarks-307"/>
    <w:p>
      <w:pPr>
        <w:pStyle w:val="Heading2"/>
      </w:pPr>
      <w:r>
        <w:t xml:space="preserve">Remarks</w:t>
      </w:r>
    </w:p>
    <w:p>
      <w:pPr>
        <w:pStyle w:val="Compact"/>
        <w:numPr>
          <w:ilvl w:val="0"/>
          <w:numId w:val="1825"/>
        </w:numPr>
      </w:pPr>
      <w:r>
        <w:t xml:space="preserve">Setting</w:t>
      </w:r>
      <w:r>
        <w:t xml:space="preserve"> </w:t>
      </w:r>
      <w:r>
        <w:rPr>
          <w:b/>
          <w:bCs/>
        </w:rPr>
        <w:t xml:space="preserve">FromAddress</w:t>
      </w:r>
      <w:r>
        <w:t xml:space="preserve"> </w:t>
      </w:r>
      <w:r>
        <w:t xml:space="preserve">updates the internal sender email address of the G3MAIL instance.</w:t>
      </w:r>
    </w:p>
    <w:p>
      <w:pPr>
        <w:pStyle w:val="Compact"/>
        <w:numPr>
          <w:ilvl w:val="0"/>
          <w:numId w:val="1825"/>
        </w:numPr>
      </w:pPr>
      <w:r>
        <w:t xml:space="preserve">This property is case-insensitive.</w:t>
      </w:r>
    </w:p>
    <w:bookmarkEnd w:id="3282"/>
    <w:bookmarkStart w:id="3283" w:name="code-example-12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mail.FromAddress = </w:t>
      </w:r>
      <w:r>
        <w:rPr>
          <w:rStyle w:val="StringTok"/>
        </w:rPr>
        <w:t xml:space="preserve">"sender@example.com"</w:t>
      </w:r>
      <w:r>
        <w:br/>
      </w:r>
      <w:r>
        <w:rPr>
          <w:rStyle w:val="DataTypeTok"/>
        </w:rPr>
        <w:t xml:space="preserve">%&gt;</w:t>
      </w:r>
    </w:p>
    <w:bookmarkEnd w:id="3283"/>
    <w:bookmarkEnd w:id="3284"/>
    <w:bookmarkStart w:id="3291" w:name="fromname-property"/>
    <w:p>
      <w:pPr>
        <w:pStyle w:val="Heading1"/>
      </w:pPr>
      <w:r>
        <w:t xml:space="preserve">FromName Property</w:t>
      </w:r>
    </w:p>
    <w:bookmarkStart w:id="3285" w:name="overview-330"/>
    <w:p>
      <w:pPr>
        <w:pStyle w:val="Heading2"/>
      </w:pPr>
      <w:r>
        <w:t xml:space="preserve">Overview</w:t>
      </w:r>
    </w:p>
    <w:p>
      <w:pPr>
        <w:pStyle w:val="FirstParagraph"/>
      </w:pPr>
      <w:r>
        <w:t xml:space="preserve">The</w:t>
      </w:r>
      <w:r>
        <w:t xml:space="preserve"> </w:t>
      </w:r>
      <w:r>
        <w:rPr>
          <w:b/>
          <w:bCs/>
        </w:rPr>
        <w:t xml:space="preserve">FromName</w:t>
      </w:r>
      <w:r>
        <w:t xml:space="preserve"> </w:t>
      </w:r>
      <w:r>
        <w:t xml:space="preserve">property gets or sets the display name of the sender for the G3Pix AxonASP G3MAIL object.</w:t>
      </w:r>
    </w:p>
    <w:bookmarkEnd w:id="3285"/>
    <w:bookmarkStart w:id="3286" w:name="syntax-331"/>
    <w:p>
      <w:pPr>
        <w:pStyle w:val="Heading2"/>
      </w:pPr>
      <w:r>
        <w:t xml:space="preserve">Syntax</w:t>
      </w:r>
    </w:p>
    <w:p>
      <w:pPr>
        <w:pStyle w:val="SourceCode"/>
      </w:pPr>
      <w:r>
        <w:rPr>
          <w:rStyle w:val="NormalTok"/>
        </w:rPr>
        <w:t xml:space="preserve">value = mail.FromName</w:t>
      </w:r>
      <w:r>
        <w:br/>
      </w:r>
      <w:r>
        <w:rPr>
          <w:rStyle w:val="NormalTok"/>
        </w:rPr>
        <w:t xml:space="preserve">mail.FromName = newValue</w:t>
      </w:r>
    </w:p>
    <w:bookmarkEnd w:id="3286"/>
    <w:bookmarkStart w:id="3287" w:name="parameters-and-arguments-53"/>
    <w:p>
      <w:pPr>
        <w:pStyle w:val="Heading2"/>
      </w:pPr>
      <w:r>
        <w:t xml:space="preserve">Parameters and Arguments</w:t>
      </w:r>
    </w:p>
    <w:p>
      <w:pPr>
        <w:pStyle w:val="Compact"/>
        <w:numPr>
          <w:ilvl w:val="0"/>
          <w:numId w:val="1826"/>
        </w:numPr>
      </w:pPr>
      <w:r>
        <w:rPr>
          <w:b/>
          <w:bCs/>
        </w:rPr>
        <w:t xml:space="preserve">newValue</w:t>
      </w:r>
      <w:r>
        <w:t xml:space="preserve"> </w:t>
      </w:r>
      <w:r>
        <w:t xml:space="preserve">(String): The friendly display name of the sender.</w:t>
      </w:r>
    </w:p>
    <w:bookmarkEnd w:id="3287"/>
    <w:bookmarkStart w:id="3288" w:name="return-values-58"/>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sender’s display name.</w:t>
      </w:r>
    </w:p>
    <w:bookmarkEnd w:id="3288"/>
    <w:bookmarkStart w:id="3289" w:name="remarks-308"/>
    <w:p>
      <w:pPr>
        <w:pStyle w:val="Heading2"/>
      </w:pPr>
      <w:r>
        <w:t xml:space="preserve">Remarks</w:t>
      </w:r>
    </w:p>
    <w:p>
      <w:pPr>
        <w:pStyle w:val="Compact"/>
        <w:numPr>
          <w:ilvl w:val="0"/>
          <w:numId w:val="1827"/>
        </w:numPr>
      </w:pPr>
      <w:r>
        <w:t xml:space="preserve">When set, the recipient will see this name in their mail client instead of just the email address.</w:t>
      </w:r>
    </w:p>
    <w:p>
      <w:pPr>
        <w:pStyle w:val="Compact"/>
        <w:numPr>
          <w:ilvl w:val="0"/>
          <w:numId w:val="1827"/>
        </w:numPr>
      </w:pPr>
      <w:r>
        <w:t xml:space="preserve">This property works in conjunction with the</w:t>
      </w:r>
      <w:r>
        <w:t xml:space="preserve"> </w:t>
      </w:r>
      <w:r>
        <w:rPr>
          <w:b/>
          <w:bCs/>
        </w:rPr>
        <w:t xml:space="preserve">From</w:t>
      </w:r>
      <w:r>
        <w:t xml:space="preserve"> </w:t>
      </w:r>
      <w:r>
        <w:t xml:space="preserve">property.</w:t>
      </w:r>
    </w:p>
    <w:bookmarkEnd w:id="3289"/>
    <w:bookmarkStart w:id="3290" w:name="code-example-12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mail.From = </w:t>
      </w:r>
      <w:r>
        <w:rPr>
          <w:rStyle w:val="StringTok"/>
        </w:rPr>
        <w:t xml:space="preserve">"info@g3pix.com.br"</w:t>
      </w:r>
      <w:r>
        <w:br/>
      </w:r>
      <w:r>
        <w:rPr>
          <w:rStyle w:val="NormalTok"/>
        </w:rPr>
        <w:t xml:space="preserve">mail.FromName = </w:t>
      </w:r>
      <w:r>
        <w:rPr>
          <w:rStyle w:val="StringTok"/>
        </w:rPr>
        <w:t xml:space="preserve">"G3Pix Support"</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290"/>
    <w:bookmarkEnd w:id="3291"/>
    <w:bookmarkStart w:id="3298" w:name="host-property"/>
    <w:p>
      <w:pPr>
        <w:pStyle w:val="Heading1"/>
      </w:pPr>
      <w:r>
        <w:t xml:space="preserve">Host Property</w:t>
      </w:r>
    </w:p>
    <w:bookmarkStart w:id="3292" w:name="overview-331"/>
    <w:p>
      <w:pPr>
        <w:pStyle w:val="Heading2"/>
      </w:pPr>
      <w:r>
        <w:t xml:space="preserve">Overview</w:t>
      </w:r>
    </w:p>
    <w:p>
      <w:pPr>
        <w:pStyle w:val="FirstParagraph"/>
      </w:pPr>
      <w:r>
        <w:t xml:space="preserve">The</w:t>
      </w:r>
      <w:r>
        <w:t xml:space="preserve"> </w:t>
      </w:r>
      <w:r>
        <w:rPr>
          <w:b/>
          <w:bCs/>
        </w:rPr>
        <w:t xml:space="preserve">Host</w:t>
      </w:r>
      <w:r>
        <w:t xml:space="preserve"> </w:t>
      </w:r>
      <w:r>
        <w:t xml:space="preserve">property gets or sets the SMTP server hostname or IP address for the G3Pix AxonASP G3MAIL object.</w:t>
      </w:r>
    </w:p>
    <w:bookmarkEnd w:id="3292"/>
    <w:bookmarkStart w:id="3293" w:name="syntax-332"/>
    <w:p>
      <w:pPr>
        <w:pStyle w:val="Heading2"/>
      </w:pPr>
      <w:r>
        <w:t xml:space="preserve">Syntax</w:t>
      </w:r>
    </w:p>
    <w:p>
      <w:pPr>
        <w:pStyle w:val="SourceCode"/>
      </w:pPr>
      <w:r>
        <w:rPr>
          <w:rStyle w:val="NormalTok"/>
        </w:rPr>
        <w:t xml:space="preserve">value = mail.Host</w:t>
      </w:r>
      <w:r>
        <w:br/>
      </w:r>
      <w:r>
        <w:rPr>
          <w:rStyle w:val="NormalTok"/>
        </w:rPr>
        <w:t xml:space="preserve">mail.Host = newValue</w:t>
      </w:r>
    </w:p>
    <w:bookmarkEnd w:id="3293"/>
    <w:bookmarkStart w:id="3294" w:name="parameters-and-arguments-54"/>
    <w:p>
      <w:pPr>
        <w:pStyle w:val="Heading2"/>
      </w:pPr>
      <w:r>
        <w:t xml:space="preserve">Parameters and Arguments</w:t>
      </w:r>
    </w:p>
    <w:p>
      <w:pPr>
        <w:pStyle w:val="Compact"/>
        <w:numPr>
          <w:ilvl w:val="0"/>
          <w:numId w:val="1828"/>
        </w:numPr>
      </w:pPr>
      <w:r>
        <w:rPr>
          <w:b/>
          <w:bCs/>
        </w:rPr>
        <w:t xml:space="preserve">newValue</w:t>
      </w:r>
      <w:r>
        <w:t xml:space="preserve"> </w:t>
      </w:r>
      <w:r>
        <w:t xml:space="preserve">(String): The address of the SMTP server (e.g.,</w:t>
      </w:r>
      <w:r>
        <w:t xml:space="preserve"> </w:t>
      </w:r>
      <w:r>
        <w:t xml:space="preserve">“smtp.gmail.com”</w:t>
      </w:r>
      <w:r>
        <w:t xml:space="preserve">).</w:t>
      </w:r>
    </w:p>
    <w:bookmarkEnd w:id="3294"/>
    <w:bookmarkStart w:id="3295" w:name="return-values-59"/>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SMTP host.</w:t>
      </w:r>
    </w:p>
    <w:bookmarkEnd w:id="3295"/>
    <w:bookmarkStart w:id="3296" w:name="remarks-309"/>
    <w:p>
      <w:pPr>
        <w:pStyle w:val="Heading2"/>
      </w:pPr>
      <w:r>
        <w:t xml:space="preserve">Remarks</w:t>
      </w:r>
    </w:p>
    <w:p>
      <w:pPr>
        <w:pStyle w:val="Compact"/>
        <w:numPr>
          <w:ilvl w:val="0"/>
          <w:numId w:val="1829"/>
        </w:numPr>
      </w:pPr>
      <w:r>
        <w:t xml:space="preserve">If not set, the library attempts to use the</w:t>
      </w:r>
      <w:r>
        <w:t xml:space="preserve"> </w:t>
      </w:r>
      <w:r>
        <w:rPr>
          <w:rStyle w:val="VerbatimChar"/>
        </w:rPr>
        <w:t xml:space="preserve">SMTP_HOST</w:t>
      </w:r>
      <w:r>
        <w:t xml:space="preserve"> </w:t>
      </w:r>
      <w:r>
        <w:t xml:space="preserve">environment variable.</w:t>
      </w:r>
    </w:p>
    <w:p>
      <w:pPr>
        <w:pStyle w:val="Compact"/>
        <w:numPr>
          <w:ilvl w:val="0"/>
          <w:numId w:val="1829"/>
        </w:numPr>
      </w:pPr>
      <w:r>
        <w:t xml:space="preserve">This property can also be accessed using the aliases</w:t>
      </w:r>
      <w:r>
        <w:t xml:space="preserve"> </w:t>
      </w:r>
      <w:r>
        <w:rPr>
          <w:b/>
          <w:bCs/>
        </w:rPr>
        <w:t xml:space="preserve">MailHost</w:t>
      </w:r>
      <w:r>
        <w:t xml:space="preserve"> </w:t>
      </w:r>
      <w:r>
        <w:t xml:space="preserve">or</w:t>
      </w:r>
      <w:r>
        <w:t xml:space="preserve"> </w:t>
      </w:r>
      <w:r>
        <w:rPr>
          <w:b/>
          <w:bCs/>
        </w:rPr>
        <w:t xml:space="preserve">SMTPServer</w:t>
      </w:r>
      <w:r>
        <w:t xml:space="preserve">.</w:t>
      </w:r>
    </w:p>
    <w:bookmarkEnd w:id="3296"/>
    <w:bookmarkStart w:id="3297" w:name="code-example-12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mail.Host = </w:t>
      </w:r>
      <w:r>
        <w:rPr>
          <w:rStyle w:val="StringTok"/>
        </w:rPr>
        <w:t xml:space="preserve">"smtp.office365.com"</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Host: "</w:t>
      </w:r>
      <w:r>
        <w:rPr>
          <w:rStyle w:val="NormalTok"/>
        </w:rPr>
        <w:t xml:space="preserve"> </w:t>
      </w:r>
      <w:r>
        <w:rPr>
          <w:rStyle w:val="KeywordTok"/>
        </w:rPr>
        <w:t xml:space="preserve">&amp;</w:t>
      </w:r>
      <w:r>
        <w:rPr>
          <w:rStyle w:val="NormalTok"/>
        </w:rPr>
        <w:t xml:space="preserve"> mail.Host</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297"/>
    <w:bookmarkEnd w:id="3298"/>
    <w:bookmarkStart w:id="3305" w:name="htmlbody-property"/>
    <w:p>
      <w:pPr>
        <w:pStyle w:val="Heading1"/>
      </w:pPr>
      <w:r>
        <w:t xml:space="preserve">HtmlBody Property</w:t>
      </w:r>
    </w:p>
    <w:bookmarkStart w:id="3299" w:name="overview-332"/>
    <w:p>
      <w:pPr>
        <w:pStyle w:val="Heading2"/>
      </w:pPr>
      <w:r>
        <w:t xml:space="preserve">Overview</w:t>
      </w:r>
    </w:p>
    <w:p>
      <w:pPr>
        <w:pStyle w:val="FirstParagraph"/>
      </w:pPr>
      <w:r>
        <w:t xml:space="preserve">The</w:t>
      </w:r>
      <w:r>
        <w:t xml:space="preserve"> </w:t>
      </w:r>
      <w:r>
        <w:rPr>
          <w:b/>
          <w:bCs/>
        </w:rPr>
        <w:t xml:space="preserve">HtmlBody</w:t>
      </w:r>
      <w:r>
        <w:t xml:space="preserve"> </w:t>
      </w:r>
      <w:r>
        <w:t xml:space="preserve">property gets or sets the HTML content of the email message for the G3Pix AxonASP G3MAIL object.</w:t>
      </w:r>
    </w:p>
    <w:bookmarkEnd w:id="3299"/>
    <w:bookmarkStart w:id="3300" w:name="syntax-333"/>
    <w:p>
      <w:pPr>
        <w:pStyle w:val="Heading2"/>
      </w:pPr>
      <w:r>
        <w:t xml:space="preserve">Syntax</w:t>
      </w:r>
    </w:p>
    <w:p>
      <w:pPr>
        <w:pStyle w:val="SourceCode"/>
      </w:pPr>
      <w:r>
        <w:rPr>
          <w:rStyle w:val="NormalTok"/>
        </w:rPr>
        <w:t xml:space="preserve">value = mail.HtmlBody</w:t>
      </w:r>
      <w:r>
        <w:br/>
      </w:r>
      <w:r>
        <w:rPr>
          <w:rStyle w:val="NormalTok"/>
        </w:rPr>
        <w:t xml:space="preserve">mail.HtmlBody = newValue</w:t>
      </w:r>
    </w:p>
    <w:bookmarkEnd w:id="3300"/>
    <w:bookmarkStart w:id="3301" w:name="parameters-and-arguments-55"/>
    <w:p>
      <w:pPr>
        <w:pStyle w:val="Heading2"/>
      </w:pPr>
      <w:r>
        <w:t xml:space="preserve">Parameters and Arguments</w:t>
      </w:r>
    </w:p>
    <w:p>
      <w:pPr>
        <w:pStyle w:val="Compact"/>
        <w:numPr>
          <w:ilvl w:val="0"/>
          <w:numId w:val="1830"/>
        </w:numPr>
      </w:pPr>
      <w:r>
        <w:rPr>
          <w:b/>
          <w:bCs/>
        </w:rPr>
        <w:t xml:space="preserve">newValue</w:t>
      </w:r>
      <w:r>
        <w:t xml:space="preserve"> </w:t>
      </w:r>
      <w:r>
        <w:t xml:space="preserve">(String): The HTML content of the email.</w:t>
      </w:r>
    </w:p>
    <w:bookmarkEnd w:id="3301"/>
    <w:bookmarkStart w:id="3302" w:name="return-values-60"/>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HTML body.</w:t>
      </w:r>
    </w:p>
    <w:bookmarkEnd w:id="3302"/>
    <w:bookmarkStart w:id="3303" w:name="remarks-310"/>
    <w:p>
      <w:pPr>
        <w:pStyle w:val="Heading2"/>
      </w:pPr>
      <w:r>
        <w:t xml:space="preserve">Remarks</w:t>
      </w:r>
    </w:p>
    <w:p>
      <w:pPr>
        <w:pStyle w:val="Compact"/>
        <w:numPr>
          <w:ilvl w:val="0"/>
          <w:numId w:val="1831"/>
        </w:numPr>
      </w:pPr>
      <w:r>
        <w:t xml:space="preserve">Setting this property automatically toggles</w:t>
      </w:r>
      <w:r>
        <w:t xml:space="preserve"> </w:t>
      </w:r>
      <w:r>
        <w:rPr>
          <w:b/>
          <w:bCs/>
        </w:rPr>
        <w:t xml:space="preserve">IsHTML</w:t>
      </w:r>
      <w:r>
        <w:t xml:space="preserve"> </w:t>
      </w:r>
      <w:r>
        <w:t xml:space="preserve">to True.</w:t>
      </w:r>
    </w:p>
    <w:p>
      <w:pPr>
        <w:pStyle w:val="Compact"/>
        <w:numPr>
          <w:ilvl w:val="0"/>
          <w:numId w:val="1831"/>
        </w:numPr>
      </w:pPr>
      <w:r>
        <w:t xml:space="preserve">This property allows the JScript runtime to read it, modify it, and call native string methods (such as</w:t>
      </w:r>
      <w:r>
        <w:t xml:space="preserve"> </w:t>
      </w:r>
      <w:r>
        <w:rPr>
          <w:rStyle w:val="VerbatimChar"/>
        </w:rPr>
        <w:t xml:space="preserve">.match()</w:t>
      </w:r>
      <w:r>
        <w:t xml:space="preserve"> </w:t>
      </w:r>
      <w:r>
        <w:t xml:space="preserve">and</w:t>
      </w:r>
      <w:r>
        <w:t xml:space="preserve"> </w:t>
      </w:r>
      <w:r>
        <w:rPr>
          <w:rStyle w:val="VerbatimChar"/>
        </w:rPr>
        <w:t xml:space="preserve">.replace()</w:t>
      </w:r>
      <w:r>
        <w:t xml:space="preserve">) directly on it.</w:t>
      </w:r>
    </w:p>
    <w:bookmarkEnd w:id="3303"/>
    <w:bookmarkStart w:id="3304" w:name="code-example-13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mail.HtmlBody = </w:t>
      </w:r>
      <w:r>
        <w:rPr>
          <w:rStyle w:val="StringTok"/>
        </w:rPr>
        <w:t xml:space="preserve">"&lt;h1&gt;Hello World&lt;/h1&gt;&lt;p&gt;This is an HTML body.&lt;/p&gt;"</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304"/>
    <w:bookmarkEnd w:id="3305"/>
    <w:bookmarkStart w:id="3312" w:name="ishtml-property"/>
    <w:p>
      <w:pPr>
        <w:pStyle w:val="Heading1"/>
      </w:pPr>
      <w:r>
        <w:t xml:space="preserve">IsHTML Property</w:t>
      </w:r>
    </w:p>
    <w:bookmarkStart w:id="3306" w:name="overview-333"/>
    <w:p>
      <w:pPr>
        <w:pStyle w:val="Heading2"/>
      </w:pPr>
      <w:r>
        <w:t xml:space="preserve">Overview</w:t>
      </w:r>
    </w:p>
    <w:p>
      <w:pPr>
        <w:pStyle w:val="FirstParagraph"/>
      </w:pPr>
      <w:r>
        <w:t xml:space="preserve">The</w:t>
      </w:r>
      <w:r>
        <w:t xml:space="preserve"> </w:t>
      </w:r>
      <w:r>
        <w:rPr>
          <w:b/>
          <w:bCs/>
        </w:rPr>
        <w:t xml:space="preserve">IsHTML</w:t>
      </w:r>
      <w:r>
        <w:t xml:space="preserve"> </w:t>
      </w:r>
      <w:r>
        <w:t xml:space="preserve">property gets or sets a value indicating whether the email body should be treated as HTML for the G3Pix AxonASP G3MAIL object.</w:t>
      </w:r>
    </w:p>
    <w:bookmarkEnd w:id="3306"/>
    <w:bookmarkStart w:id="3307" w:name="syntax-334"/>
    <w:p>
      <w:pPr>
        <w:pStyle w:val="Heading2"/>
      </w:pPr>
      <w:r>
        <w:t xml:space="preserve">Syntax</w:t>
      </w:r>
    </w:p>
    <w:p>
      <w:pPr>
        <w:pStyle w:val="SourceCode"/>
      </w:pPr>
      <w:r>
        <w:rPr>
          <w:rStyle w:val="NormalTok"/>
        </w:rPr>
        <w:t xml:space="preserve">value = mail.IsHTML</w:t>
      </w:r>
      <w:r>
        <w:br/>
      </w:r>
      <w:r>
        <w:rPr>
          <w:rStyle w:val="NormalTok"/>
        </w:rPr>
        <w:t xml:space="preserve">mail.IsHTML = newValue</w:t>
      </w:r>
    </w:p>
    <w:bookmarkEnd w:id="3307"/>
    <w:bookmarkStart w:id="3308" w:name="parameters-and-arguments-56"/>
    <w:p>
      <w:pPr>
        <w:pStyle w:val="Heading2"/>
      </w:pPr>
      <w:r>
        <w:t xml:space="preserve">Parameters and Arguments</w:t>
      </w:r>
    </w:p>
    <w:p>
      <w:pPr>
        <w:pStyle w:val="Compact"/>
        <w:numPr>
          <w:ilvl w:val="0"/>
          <w:numId w:val="1832"/>
        </w:numPr>
      </w:pPr>
      <w:r>
        <w:rPr>
          <w:b/>
          <w:bCs/>
        </w:rPr>
        <w:t xml:space="preserve">newValue</w:t>
      </w:r>
      <w:r>
        <w:t xml:space="preserve"> </w:t>
      </w:r>
      <w:r>
        <w:t xml:space="preserve">(Boolean): True for HTML content, False for plain text.</w:t>
      </w:r>
    </w:p>
    <w:bookmarkEnd w:id="3308"/>
    <w:bookmarkStart w:id="3309" w:name="return-values-61"/>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w:t>
      </w:r>
    </w:p>
    <w:bookmarkEnd w:id="3309"/>
    <w:bookmarkStart w:id="3310" w:name="remarks-311"/>
    <w:p>
      <w:pPr>
        <w:pStyle w:val="Heading2"/>
      </w:pPr>
      <w:r>
        <w:t xml:space="preserve">Remarks</w:t>
      </w:r>
    </w:p>
    <w:p>
      <w:pPr>
        <w:pStyle w:val="Compact"/>
        <w:numPr>
          <w:ilvl w:val="0"/>
          <w:numId w:val="1833"/>
        </w:numPr>
      </w:pPr>
      <w:r>
        <w:t xml:space="preserve">Setting this property directly affects how the</w:t>
      </w:r>
      <w:r>
        <w:t xml:space="preserve"> </w:t>
      </w:r>
      <w:r>
        <w:rPr>
          <w:b/>
          <w:bCs/>
        </w:rPr>
        <w:t xml:space="preserve">Body</w:t>
      </w:r>
      <w:r>
        <w:t xml:space="preserve"> </w:t>
      </w:r>
      <w:r>
        <w:t xml:space="preserve">content is rendered by the recipient’s mail client.</w:t>
      </w:r>
    </w:p>
    <w:p>
      <w:pPr>
        <w:pStyle w:val="Compact"/>
        <w:numPr>
          <w:ilvl w:val="0"/>
          <w:numId w:val="1833"/>
        </w:numPr>
      </w:pPr>
      <w:r>
        <w:t xml:space="preserve">This property is synchronized with</w:t>
      </w:r>
      <w:r>
        <w:t xml:space="preserve"> </w:t>
      </w:r>
      <w:r>
        <w:rPr>
          <w:b/>
          <w:bCs/>
        </w:rPr>
        <w:t xml:space="preserve">BodyFormat</w:t>
      </w:r>
      <w:r>
        <w:t xml:space="preserve">.</w:t>
      </w:r>
    </w:p>
    <w:p>
      <w:pPr>
        <w:pStyle w:val="Compact"/>
        <w:numPr>
          <w:ilvl w:val="0"/>
          <w:numId w:val="1833"/>
        </w:numPr>
      </w:pPr>
      <w:r>
        <w:t xml:space="preserve">Some aliases like</w:t>
      </w:r>
      <w:r>
        <w:t xml:space="preserve"> </w:t>
      </w:r>
      <w:r>
        <w:rPr>
          <w:b/>
          <w:bCs/>
        </w:rPr>
        <w:t xml:space="preserve">HtmlBody</w:t>
      </w:r>
      <w:r>
        <w:t xml:space="preserve"> </w:t>
      </w:r>
      <w:r>
        <w:t xml:space="preserve">set this property to True automatically.</w:t>
      </w:r>
    </w:p>
    <w:bookmarkEnd w:id="3310"/>
    <w:bookmarkStart w:id="3311" w:name="code-example-13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mail.Body = </w:t>
      </w:r>
      <w:r>
        <w:rPr>
          <w:rStyle w:val="StringTok"/>
        </w:rPr>
        <w:t xml:space="preserve">"&lt;h1&gt;Notice&lt;/h1&gt;&lt;p&gt;System maintenance tonight.&lt;/p&gt;"</w:t>
      </w:r>
      <w:r>
        <w:br/>
      </w:r>
      <w:r>
        <w:rPr>
          <w:rStyle w:val="NormalTok"/>
        </w:rPr>
        <w:t xml:space="preserve">mail.IsHTML = </w:t>
      </w:r>
      <w:r>
        <w:rPr>
          <w:rStyle w:val="KeywordTok"/>
        </w:rPr>
        <w:t xml:space="preserve">True</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311"/>
    <w:bookmarkEnd w:id="3312"/>
    <w:bookmarkStart w:id="3319" w:name="password-property"/>
    <w:p>
      <w:pPr>
        <w:pStyle w:val="Heading1"/>
      </w:pPr>
      <w:r>
        <w:t xml:space="preserve">Password Property</w:t>
      </w:r>
    </w:p>
    <w:bookmarkStart w:id="3313" w:name="overview-334"/>
    <w:p>
      <w:pPr>
        <w:pStyle w:val="Heading2"/>
      </w:pPr>
      <w:r>
        <w:t xml:space="preserve">Overview</w:t>
      </w:r>
    </w:p>
    <w:p>
      <w:pPr>
        <w:pStyle w:val="FirstParagraph"/>
      </w:pPr>
      <w:r>
        <w:t xml:space="preserve">The</w:t>
      </w:r>
      <w:r>
        <w:t xml:space="preserve"> </w:t>
      </w:r>
      <w:r>
        <w:rPr>
          <w:b/>
          <w:bCs/>
        </w:rPr>
        <w:t xml:space="preserve">Password</w:t>
      </w:r>
      <w:r>
        <w:t xml:space="preserve"> </w:t>
      </w:r>
      <w:r>
        <w:t xml:space="preserve">property sets the authentication password for the SMTP server for the G3Pix AxonASP G3MAIL object.</w:t>
      </w:r>
    </w:p>
    <w:bookmarkEnd w:id="3313"/>
    <w:bookmarkStart w:id="3314" w:name="syntax-335"/>
    <w:p>
      <w:pPr>
        <w:pStyle w:val="Heading2"/>
      </w:pPr>
      <w:r>
        <w:t xml:space="preserve">Syntax</w:t>
      </w:r>
    </w:p>
    <w:p>
      <w:pPr>
        <w:pStyle w:val="SourceCode"/>
      </w:pPr>
      <w:r>
        <w:rPr>
          <w:rStyle w:val="NormalTok"/>
        </w:rPr>
        <w:t xml:space="preserve">value = mail.Password</w:t>
      </w:r>
      <w:r>
        <w:br/>
      </w:r>
      <w:r>
        <w:rPr>
          <w:rStyle w:val="NormalTok"/>
        </w:rPr>
        <w:t xml:space="preserve">mail.Password = newValue</w:t>
      </w:r>
    </w:p>
    <w:bookmarkEnd w:id="3314"/>
    <w:bookmarkStart w:id="3315" w:name="parameters-and-arguments-57"/>
    <w:p>
      <w:pPr>
        <w:pStyle w:val="Heading2"/>
      </w:pPr>
      <w:r>
        <w:t xml:space="preserve">Parameters and Arguments</w:t>
      </w:r>
    </w:p>
    <w:p>
      <w:pPr>
        <w:pStyle w:val="Compact"/>
        <w:numPr>
          <w:ilvl w:val="0"/>
          <w:numId w:val="1834"/>
        </w:numPr>
      </w:pPr>
      <w:r>
        <w:rPr>
          <w:b/>
          <w:bCs/>
        </w:rPr>
        <w:t xml:space="preserve">newValue</w:t>
      </w:r>
      <w:r>
        <w:t xml:space="preserve"> </w:t>
      </w:r>
      <w:r>
        <w:t xml:space="preserve">(String): The password for the SMTP account.</w:t>
      </w:r>
    </w:p>
    <w:bookmarkEnd w:id="3315"/>
    <w:bookmarkStart w:id="3316" w:name="return-values-62"/>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password (if set).</w:t>
      </w:r>
    </w:p>
    <w:bookmarkEnd w:id="3316"/>
    <w:bookmarkStart w:id="3317" w:name="remarks-312"/>
    <w:p>
      <w:pPr>
        <w:pStyle w:val="Heading2"/>
      </w:pPr>
      <w:r>
        <w:t xml:space="preserve">Remarks</w:t>
      </w:r>
    </w:p>
    <w:p>
      <w:pPr>
        <w:pStyle w:val="Compact"/>
        <w:numPr>
          <w:ilvl w:val="0"/>
          <w:numId w:val="1835"/>
        </w:numPr>
      </w:pPr>
      <w:r>
        <w:t xml:space="preserve">For security reasons, avoid hardcoding passwords in scripts. Use environment variables (</w:t>
      </w:r>
      <w:r>
        <w:rPr>
          <w:rStyle w:val="VerbatimChar"/>
        </w:rPr>
        <w:t xml:space="preserve">SMTP_PASS</w:t>
      </w:r>
      <w:r>
        <w:t xml:space="preserve">) or encrypted configuration files.</w:t>
      </w:r>
    </w:p>
    <w:p>
      <w:pPr>
        <w:pStyle w:val="Compact"/>
        <w:numPr>
          <w:ilvl w:val="0"/>
          <w:numId w:val="1835"/>
        </w:numPr>
      </w:pPr>
      <w:r>
        <w:t xml:space="preserve">This property can also be accessed using the aliases</w:t>
      </w:r>
      <w:r>
        <w:t xml:space="preserve"> </w:t>
      </w:r>
      <w:r>
        <w:rPr>
          <w:b/>
          <w:bCs/>
        </w:rPr>
        <w:t xml:space="preserve">Pass</w:t>
      </w:r>
      <w:r>
        <w:t xml:space="preserve"> </w:t>
      </w:r>
      <w:r>
        <w:t xml:space="preserve">or</w:t>
      </w:r>
      <w:r>
        <w:t xml:space="preserve"> </w:t>
      </w:r>
      <w:r>
        <w:rPr>
          <w:b/>
          <w:bCs/>
        </w:rPr>
        <w:t xml:space="preserve">AuthPassword</w:t>
      </w:r>
      <w:r>
        <w:t xml:space="preserve">.</w:t>
      </w:r>
    </w:p>
    <w:bookmarkEnd w:id="3317"/>
    <w:bookmarkStart w:id="3318" w:name="code-example-13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mail.Password = </w:t>
      </w:r>
      <w:r>
        <w:rPr>
          <w:rStyle w:val="StringTok"/>
        </w:rPr>
        <w:t xml:space="preserve">"mySecretPassword"</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318"/>
    <w:bookmarkEnd w:id="3319"/>
    <w:bookmarkStart w:id="3326" w:name="port-property"/>
    <w:p>
      <w:pPr>
        <w:pStyle w:val="Heading1"/>
      </w:pPr>
      <w:r>
        <w:t xml:space="preserve">Port Property</w:t>
      </w:r>
    </w:p>
    <w:bookmarkStart w:id="3320" w:name="overview-335"/>
    <w:p>
      <w:pPr>
        <w:pStyle w:val="Heading2"/>
      </w:pPr>
      <w:r>
        <w:t xml:space="preserve">Overview</w:t>
      </w:r>
    </w:p>
    <w:p>
      <w:pPr>
        <w:pStyle w:val="FirstParagraph"/>
      </w:pPr>
      <w:r>
        <w:t xml:space="preserve">The</w:t>
      </w:r>
      <w:r>
        <w:t xml:space="preserve"> </w:t>
      </w:r>
      <w:r>
        <w:rPr>
          <w:b/>
          <w:bCs/>
        </w:rPr>
        <w:t xml:space="preserve">Port</w:t>
      </w:r>
      <w:r>
        <w:t xml:space="preserve"> </w:t>
      </w:r>
      <w:r>
        <w:t xml:space="preserve">property gets or sets the port number for the SMTP server for the G3Pix AxonASP G3MAIL object.</w:t>
      </w:r>
    </w:p>
    <w:bookmarkEnd w:id="3320"/>
    <w:bookmarkStart w:id="3321" w:name="syntax-336"/>
    <w:p>
      <w:pPr>
        <w:pStyle w:val="Heading2"/>
      </w:pPr>
      <w:r>
        <w:t xml:space="preserve">Syntax</w:t>
      </w:r>
    </w:p>
    <w:p>
      <w:pPr>
        <w:pStyle w:val="SourceCode"/>
      </w:pPr>
      <w:r>
        <w:rPr>
          <w:rStyle w:val="NormalTok"/>
        </w:rPr>
        <w:t xml:space="preserve">value = mail.Port</w:t>
      </w:r>
      <w:r>
        <w:br/>
      </w:r>
      <w:r>
        <w:rPr>
          <w:rStyle w:val="NormalTok"/>
        </w:rPr>
        <w:t xml:space="preserve">mail.Port = newValue</w:t>
      </w:r>
    </w:p>
    <w:bookmarkEnd w:id="3321"/>
    <w:bookmarkStart w:id="3322" w:name="parameters-and-arguments-58"/>
    <w:p>
      <w:pPr>
        <w:pStyle w:val="Heading2"/>
      </w:pPr>
      <w:r>
        <w:t xml:space="preserve">Parameters and Arguments</w:t>
      </w:r>
    </w:p>
    <w:p>
      <w:pPr>
        <w:pStyle w:val="Compact"/>
        <w:numPr>
          <w:ilvl w:val="0"/>
          <w:numId w:val="1836"/>
        </w:numPr>
      </w:pPr>
      <w:r>
        <w:rPr>
          <w:b/>
          <w:bCs/>
        </w:rPr>
        <w:t xml:space="preserve">newValue</w:t>
      </w:r>
      <w:r>
        <w:t xml:space="preserve"> </w:t>
      </w:r>
      <w:r>
        <w:t xml:space="preserve">(Integer): The port number (typically 25, 465, or 587).</w:t>
      </w:r>
    </w:p>
    <w:bookmarkEnd w:id="3322"/>
    <w:bookmarkStart w:id="3323" w:name="return-values-63"/>
    <w:p>
      <w:pPr>
        <w:pStyle w:val="Heading2"/>
      </w:pPr>
      <w:r>
        <w:t xml:space="preserve">Return Values</w:t>
      </w:r>
    </w:p>
    <w:p>
      <w:pPr>
        <w:pStyle w:val="FirstParagraph"/>
      </w:pPr>
      <w:r>
        <w:t xml:space="preserve">Returns an</w:t>
      </w:r>
      <w:r>
        <w:t xml:space="preserve"> </w:t>
      </w:r>
      <w:r>
        <w:rPr>
          <w:b/>
          <w:bCs/>
        </w:rPr>
        <w:t xml:space="preserve">Integer</w:t>
      </w:r>
      <w:r>
        <w:t xml:space="preserve"> </w:t>
      </w:r>
      <w:r>
        <w:t xml:space="preserve">representing the current port number.</w:t>
      </w:r>
    </w:p>
    <w:bookmarkEnd w:id="3323"/>
    <w:bookmarkStart w:id="3324" w:name="remarks-313"/>
    <w:p>
      <w:pPr>
        <w:pStyle w:val="Heading2"/>
      </w:pPr>
      <w:r>
        <w:t xml:space="preserve">Remarks</w:t>
      </w:r>
    </w:p>
    <w:p>
      <w:pPr>
        <w:pStyle w:val="Compact"/>
        <w:numPr>
          <w:ilvl w:val="0"/>
          <w:numId w:val="1837"/>
        </w:numPr>
      </w:pPr>
      <w:r>
        <w:t xml:space="preserve">If not set, the library attempts to use the</w:t>
      </w:r>
      <w:r>
        <w:t xml:space="preserve"> </w:t>
      </w:r>
      <w:r>
        <w:rPr>
          <w:rStyle w:val="VerbatimChar"/>
        </w:rPr>
        <w:t xml:space="preserve">SMTP_PORT</w:t>
      </w:r>
      <w:r>
        <w:t xml:space="preserve"> </w:t>
      </w:r>
      <w:r>
        <w:t xml:space="preserve">environment variable.</w:t>
      </w:r>
    </w:p>
    <w:p>
      <w:pPr>
        <w:pStyle w:val="Compact"/>
        <w:numPr>
          <w:ilvl w:val="0"/>
          <w:numId w:val="1837"/>
        </w:numPr>
      </w:pPr>
      <w:r>
        <w:t xml:space="preserve">This property can also be accessed using the alias</w:t>
      </w:r>
      <w:r>
        <w:t xml:space="preserve"> </w:t>
      </w:r>
      <w:r>
        <w:rPr>
          <w:b/>
          <w:bCs/>
        </w:rPr>
        <w:t xml:space="preserve">SMTPServerPort</w:t>
      </w:r>
      <w:r>
        <w:t xml:space="preserve">.</w:t>
      </w:r>
    </w:p>
    <w:bookmarkEnd w:id="3324"/>
    <w:bookmarkStart w:id="3325" w:name="code-example-13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mail.Port = </w:t>
      </w:r>
      <w:r>
        <w:rPr>
          <w:rStyle w:val="DecValTok"/>
        </w:rPr>
        <w:t xml:space="preserve">587</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"SMTP Port: "</w:t>
      </w:r>
      <w:r>
        <w:rPr>
          <w:rStyle w:val="NormalTok"/>
        </w:rPr>
        <w:t xml:space="preserve"> </w:t>
      </w:r>
      <w:r>
        <w:rPr>
          <w:rStyle w:val="KeywordTok"/>
        </w:rPr>
        <w:t xml:space="preserve">&amp;</w:t>
      </w:r>
      <w:r>
        <w:rPr>
          <w:rStyle w:val="NormalTok"/>
        </w:rPr>
        <w:t xml:space="preserve"> mail.Port</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325"/>
    <w:bookmarkEnd w:id="3326"/>
    <w:bookmarkStart w:id="3333" w:name="remotehost-property"/>
    <w:p>
      <w:pPr>
        <w:pStyle w:val="Heading1"/>
      </w:pPr>
      <w:r>
        <w:t xml:space="preserve">RemoteHost Property</w:t>
      </w:r>
    </w:p>
    <w:bookmarkStart w:id="3327" w:name="overview-336"/>
    <w:p>
      <w:pPr>
        <w:pStyle w:val="Heading2"/>
      </w:pPr>
      <w:r>
        <w:t xml:space="preserve">Overview</w:t>
      </w:r>
    </w:p>
    <w:p>
      <w:pPr>
        <w:pStyle w:val="FirstParagraph"/>
      </w:pPr>
      <w:r>
        <w:t xml:space="preserve">The</w:t>
      </w:r>
      <w:r>
        <w:t xml:space="preserve"> </w:t>
      </w:r>
      <w:r>
        <w:rPr>
          <w:b/>
          <w:bCs/>
        </w:rPr>
        <w:t xml:space="preserve">RemoteHost</w:t>
      </w:r>
      <w:r>
        <w:t xml:space="preserve"> </w:t>
      </w:r>
      <w:r>
        <w:t xml:space="preserve">property gets or sets the SMTP server address of the G3MAIL object. This property is an alias for the</w:t>
      </w:r>
      <w:r>
        <w:t xml:space="preserve"> </w:t>
      </w:r>
      <w:r>
        <w:rPr>
          <w:b/>
          <w:bCs/>
        </w:rPr>
        <w:t xml:space="preserve">Host</w:t>
      </w:r>
      <w:r>
        <w:t xml:space="preserve"> </w:t>
      </w:r>
      <w:r>
        <w:t xml:space="preserve">property, provided for SMTPsvg.Mailer (ASPMail) compatibility.</w:t>
      </w:r>
    </w:p>
    <w:bookmarkEnd w:id="3327"/>
    <w:bookmarkStart w:id="3328" w:name="syntax-337"/>
    <w:p>
      <w:pPr>
        <w:pStyle w:val="Heading2"/>
      </w:pPr>
      <w:r>
        <w:t xml:space="preserve">Syntax</w:t>
      </w:r>
    </w:p>
    <w:p>
      <w:pPr>
        <w:pStyle w:val="SourceCode"/>
      </w:pPr>
      <w:r>
        <w:rPr>
          <w:rStyle w:val="NormalTok"/>
        </w:rPr>
        <w:t xml:space="preserve">value = mail.RemoteHost</w:t>
      </w:r>
      <w:r>
        <w:br/>
      </w:r>
      <w:r>
        <w:rPr>
          <w:rStyle w:val="NormalTok"/>
        </w:rPr>
        <w:t xml:space="preserve">mail.RemoteHost = newValue</w:t>
      </w:r>
    </w:p>
    <w:bookmarkEnd w:id="3328"/>
    <w:bookmarkStart w:id="3329" w:name="parameters-and-arguments-59"/>
    <w:p>
      <w:pPr>
        <w:pStyle w:val="Heading2"/>
      </w:pPr>
      <w:r>
        <w:t xml:space="preserve">Parameters and Arguments</w:t>
      </w:r>
    </w:p>
    <w:p>
      <w:pPr>
        <w:pStyle w:val="Compact"/>
        <w:numPr>
          <w:ilvl w:val="0"/>
          <w:numId w:val="1838"/>
        </w:numPr>
      </w:pPr>
      <w:r>
        <w:rPr>
          <w:b/>
          <w:bCs/>
        </w:rPr>
        <w:t xml:space="preserve">newValue</w:t>
      </w:r>
      <w:r>
        <w:t xml:space="preserve"> </w:t>
      </w:r>
      <w:r>
        <w:t xml:space="preserve">(String): The SMTP server address or hostname.</w:t>
      </w:r>
    </w:p>
    <w:bookmarkEnd w:id="3329"/>
    <w:bookmarkStart w:id="3330" w:name="return-values-64"/>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SMTP server host.</w:t>
      </w:r>
    </w:p>
    <w:bookmarkEnd w:id="3330"/>
    <w:bookmarkStart w:id="3331" w:name="remarks-314"/>
    <w:p>
      <w:pPr>
        <w:pStyle w:val="Heading2"/>
      </w:pPr>
      <w:r>
        <w:t xml:space="preserve">Remarks</w:t>
      </w:r>
    </w:p>
    <w:p>
      <w:pPr>
        <w:pStyle w:val="Compact"/>
        <w:numPr>
          <w:ilvl w:val="0"/>
          <w:numId w:val="1839"/>
        </w:numPr>
      </w:pPr>
      <w:r>
        <w:t xml:space="preserve">Setting</w:t>
      </w:r>
      <w:r>
        <w:t xml:space="preserve"> </w:t>
      </w:r>
      <w:r>
        <w:rPr>
          <w:b/>
          <w:bCs/>
        </w:rPr>
        <w:t xml:space="preserve">RemoteHost</w:t>
      </w:r>
      <w:r>
        <w:t xml:space="preserve"> </w:t>
      </w:r>
      <w:r>
        <w:t xml:space="preserve">updates the internal SMTP server address of the G3MAIL instance.</w:t>
      </w:r>
    </w:p>
    <w:p>
      <w:pPr>
        <w:pStyle w:val="Compact"/>
        <w:numPr>
          <w:ilvl w:val="0"/>
          <w:numId w:val="1839"/>
        </w:numPr>
      </w:pPr>
      <w:r>
        <w:t xml:space="preserve">This property is case-insensitive.</w:t>
      </w:r>
    </w:p>
    <w:bookmarkEnd w:id="3331"/>
    <w:bookmarkStart w:id="3332" w:name="code-example-13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"SMTPsvg.Mailer"</w:t>
      </w:r>
      <w:r>
        <w:rPr>
          <w:rStyle w:val="OtherTok"/>
        </w:rPr>
        <w:t xml:space="preserve">)</w:t>
      </w:r>
      <w:r>
        <w:br/>
      </w:r>
      <w:r>
        <w:rPr>
          <w:rStyle w:val="NormalTok"/>
        </w:rPr>
        <w:t xml:space="preserve">mail.RemoteHost = </w:t>
      </w:r>
      <w:r>
        <w:rPr>
          <w:rStyle w:val="StringTok"/>
        </w:rPr>
        <w:t xml:space="preserve">"smtp.example.com"</w:t>
      </w:r>
      <w:r>
        <w:br/>
      </w:r>
      <w:r>
        <w:rPr>
          <w:rStyle w:val="DataTypeTok"/>
        </w:rPr>
        <w:t xml:space="preserve">%&gt;</w:t>
      </w:r>
    </w:p>
    <w:bookmarkEnd w:id="3332"/>
    <w:bookmarkEnd w:id="3333"/>
    <w:bookmarkStart w:id="3340" w:name="subject-property"/>
    <w:p>
      <w:pPr>
        <w:pStyle w:val="Heading1"/>
      </w:pPr>
      <w:r>
        <w:t xml:space="preserve">Subject Property</w:t>
      </w:r>
    </w:p>
    <w:bookmarkStart w:id="3334" w:name="overview-337"/>
    <w:p>
      <w:pPr>
        <w:pStyle w:val="Heading2"/>
      </w:pPr>
      <w:r>
        <w:t xml:space="preserve">Overview</w:t>
      </w:r>
    </w:p>
    <w:p>
      <w:pPr>
        <w:pStyle w:val="FirstParagraph"/>
      </w:pPr>
      <w:r>
        <w:t xml:space="preserve">The</w:t>
      </w:r>
      <w:r>
        <w:t xml:space="preserve"> </w:t>
      </w:r>
      <w:r>
        <w:rPr>
          <w:b/>
          <w:bCs/>
        </w:rPr>
        <w:t xml:space="preserve">Subject</w:t>
      </w:r>
      <w:r>
        <w:t xml:space="preserve"> </w:t>
      </w:r>
      <w:r>
        <w:t xml:space="preserve">property gets or sets the subject line of the email for the G3Pix AxonASP G3MAIL object.</w:t>
      </w:r>
    </w:p>
    <w:bookmarkEnd w:id="3334"/>
    <w:bookmarkStart w:id="3335" w:name="syntax-338"/>
    <w:p>
      <w:pPr>
        <w:pStyle w:val="Heading2"/>
      </w:pPr>
      <w:r>
        <w:t xml:space="preserve">Syntax</w:t>
      </w:r>
    </w:p>
    <w:p>
      <w:pPr>
        <w:pStyle w:val="SourceCode"/>
      </w:pPr>
      <w:r>
        <w:rPr>
          <w:rStyle w:val="NormalTok"/>
        </w:rPr>
        <w:t xml:space="preserve">value = mail.Subject</w:t>
      </w:r>
      <w:r>
        <w:br/>
      </w:r>
      <w:r>
        <w:rPr>
          <w:rStyle w:val="NormalTok"/>
        </w:rPr>
        <w:t xml:space="preserve">mail.Subject = newValue</w:t>
      </w:r>
    </w:p>
    <w:bookmarkEnd w:id="3335"/>
    <w:bookmarkStart w:id="3336" w:name="parameters-and-arguments-60"/>
    <w:p>
      <w:pPr>
        <w:pStyle w:val="Heading2"/>
      </w:pPr>
      <w:r>
        <w:t xml:space="preserve">Parameters and Arguments</w:t>
      </w:r>
    </w:p>
    <w:p>
      <w:pPr>
        <w:pStyle w:val="Compact"/>
        <w:numPr>
          <w:ilvl w:val="0"/>
          <w:numId w:val="1840"/>
        </w:numPr>
      </w:pPr>
      <w:r>
        <w:rPr>
          <w:b/>
          <w:bCs/>
        </w:rPr>
        <w:t xml:space="preserve">newValue</w:t>
      </w:r>
      <w:r>
        <w:t xml:space="preserve"> </w:t>
      </w:r>
      <w:r>
        <w:t xml:space="preserve">(String): The text for the email subject.</w:t>
      </w:r>
    </w:p>
    <w:bookmarkEnd w:id="3336"/>
    <w:bookmarkStart w:id="3337" w:name="return-values-65"/>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subject.</w:t>
      </w:r>
    </w:p>
    <w:bookmarkEnd w:id="3337"/>
    <w:bookmarkStart w:id="3338" w:name="remarks-315"/>
    <w:p>
      <w:pPr>
        <w:pStyle w:val="Heading2"/>
      </w:pPr>
      <w:r>
        <w:t xml:space="preserve">Remarks</w:t>
      </w:r>
    </w:p>
    <w:p>
      <w:pPr>
        <w:pStyle w:val="Compact"/>
        <w:numPr>
          <w:ilvl w:val="0"/>
          <w:numId w:val="1841"/>
        </w:numPr>
      </w:pPr>
      <w:r>
        <w:t xml:space="preserve">The subject line should be concise and relevant to the message content.</w:t>
      </w:r>
    </w:p>
    <w:p>
      <w:pPr>
        <w:pStyle w:val="Compact"/>
        <w:numPr>
          <w:ilvl w:val="0"/>
          <w:numId w:val="1841"/>
        </w:numPr>
      </w:pPr>
      <w:r>
        <w:t xml:space="preserve">It is highly recommended to set a subject for every email to avoid being flagged as spam.</w:t>
      </w:r>
    </w:p>
    <w:bookmarkEnd w:id="3338"/>
    <w:bookmarkStart w:id="3339" w:name="code-example-13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mail.Subject = </w:t>
      </w:r>
      <w:r>
        <w:rPr>
          <w:rStyle w:val="StringTok"/>
        </w:rPr>
        <w:t xml:space="preserve">"Urgent: System Report"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"Subject: "</w:t>
      </w:r>
      <w:r>
        <w:rPr>
          <w:rStyle w:val="NormalTok"/>
        </w:rPr>
        <w:t xml:space="preserve"> </w:t>
      </w:r>
      <w:r>
        <w:rPr>
          <w:rStyle w:val="KeywordTok"/>
        </w:rPr>
        <w:t xml:space="preserve">&amp;</w:t>
      </w:r>
      <w:r>
        <w:rPr>
          <w:rStyle w:val="NormalTok"/>
        </w:rPr>
        <w:t xml:space="preserve"> mail.Subject</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339"/>
    <w:bookmarkEnd w:id="3340"/>
    <w:bookmarkStart w:id="3347" w:name="to-property"/>
    <w:p>
      <w:pPr>
        <w:pStyle w:val="Heading1"/>
      </w:pPr>
      <w:r>
        <w:t xml:space="preserve">To Property</w:t>
      </w:r>
    </w:p>
    <w:bookmarkStart w:id="3341" w:name="overview-338"/>
    <w:p>
      <w:pPr>
        <w:pStyle w:val="Heading2"/>
      </w:pPr>
      <w:r>
        <w:t xml:space="preserve">Overview</w:t>
      </w:r>
    </w:p>
    <w:p>
      <w:pPr>
        <w:pStyle w:val="FirstParagraph"/>
      </w:pPr>
      <w:r>
        <w:t xml:space="preserve">The</w:t>
      </w:r>
      <w:r>
        <w:t xml:space="preserve"> </w:t>
      </w:r>
      <w:r>
        <w:rPr>
          <w:b/>
          <w:bCs/>
        </w:rPr>
        <w:t xml:space="preserve">To</w:t>
      </w:r>
      <w:r>
        <w:t xml:space="preserve"> </w:t>
      </w:r>
      <w:r>
        <w:t xml:space="preserve">property gets or sets the primary recipient list for the G3Pix AxonASP G3MAIL object.</w:t>
      </w:r>
    </w:p>
    <w:bookmarkEnd w:id="3341"/>
    <w:bookmarkStart w:id="3342" w:name="syntax-339"/>
    <w:p>
      <w:pPr>
        <w:pStyle w:val="Heading2"/>
      </w:pPr>
      <w:r>
        <w:t xml:space="preserve">Syntax</w:t>
      </w:r>
    </w:p>
    <w:p>
      <w:pPr>
        <w:pStyle w:val="SourceCode"/>
      </w:pPr>
      <w:r>
        <w:rPr>
          <w:rStyle w:val="NormalTok"/>
        </w:rPr>
        <w:t xml:space="preserve">value = mail.To</w:t>
      </w:r>
      <w:r>
        <w:br/>
      </w:r>
      <w:r>
        <w:rPr>
          <w:rStyle w:val="NormalTok"/>
        </w:rPr>
        <w:t xml:space="preserve">mail.To = newValue</w:t>
      </w:r>
    </w:p>
    <w:bookmarkEnd w:id="3342"/>
    <w:bookmarkStart w:id="3343" w:name="parameters-and-arguments-61"/>
    <w:p>
      <w:pPr>
        <w:pStyle w:val="Heading2"/>
      </w:pPr>
      <w:r>
        <w:t xml:space="preserve">Parameters and Arguments</w:t>
      </w:r>
    </w:p>
    <w:p>
      <w:pPr>
        <w:pStyle w:val="Compact"/>
        <w:numPr>
          <w:ilvl w:val="0"/>
          <w:numId w:val="1842"/>
        </w:numPr>
      </w:pPr>
      <w:r>
        <w:rPr>
          <w:b/>
          <w:bCs/>
        </w:rPr>
        <w:t xml:space="preserve">newValue</w:t>
      </w:r>
      <w:r>
        <w:t xml:space="preserve"> </w:t>
      </w:r>
      <w:r>
        <w:t xml:space="preserve">(String): A comma-separated or semicolon-separated list of email addresses.</w:t>
      </w:r>
    </w:p>
    <w:bookmarkEnd w:id="3343"/>
    <w:bookmarkStart w:id="3344" w:name="return-values-66"/>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primary recipients, separated by commas.</w:t>
      </w:r>
    </w:p>
    <w:bookmarkEnd w:id="3344"/>
    <w:bookmarkStart w:id="3345" w:name="remarks-316"/>
    <w:p>
      <w:pPr>
        <w:pStyle w:val="Heading2"/>
      </w:pPr>
      <w:r>
        <w:t xml:space="preserve">Remarks</w:t>
      </w:r>
    </w:p>
    <w:p>
      <w:pPr>
        <w:pStyle w:val="Compact"/>
        <w:numPr>
          <w:ilvl w:val="0"/>
          <w:numId w:val="1843"/>
        </w:numPr>
      </w:pPr>
      <w:r>
        <w:t xml:space="preserve">At least one recipient must be specified (either here or via</w:t>
      </w:r>
      <w:r>
        <w:t xml:space="preserve"> </w:t>
      </w:r>
      <w:r>
        <w:rPr>
          <w:b/>
          <w:bCs/>
        </w:rPr>
        <w:t xml:space="preserve">AddAddress</w:t>
      </w:r>
      <w:r>
        <w:t xml:space="preserve">) before calling</w:t>
      </w:r>
      <w:r>
        <w:t xml:space="preserve"> </w:t>
      </w:r>
      <w:r>
        <w:rPr>
          <w:b/>
          <w:bCs/>
        </w:rPr>
        <w:t xml:space="preserve">Send</w:t>
      </w:r>
      <w:r>
        <w:t xml:space="preserve">.</w:t>
      </w:r>
    </w:p>
    <w:p>
      <w:pPr>
        <w:pStyle w:val="Compact"/>
        <w:numPr>
          <w:ilvl w:val="0"/>
          <w:numId w:val="1843"/>
        </w:numPr>
      </w:pPr>
      <w:r>
        <w:t xml:space="preserve">Setting this property replaces any existing primary recipients. Use the</w:t>
      </w:r>
      <w:r>
        <w:t xml:space="preserve"> </w:t>
      </w:r>
      <w:r>
        <w:rPr>
          <w:b/>
          <w:bCs/>
        </w:rPr>
        <w:t xml:space="preserve">AddAddress</w:t>
      </w:r>
      <w:r>
        <w:t xml:space="preserve"> </w:t>
      </w:r>
      <w:r>
        <w:t xml:space="preserve">method to append to the list instead.</w:t>
      </w:r>
    </w:p>
    <w:bookmarkEnd w:id="3345"/>
    <w:bookmarkStart w:id="3346" w:name="code-example-13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w:t>
      </w:r>
      <w:r>
        <w:rPr>
          <w:rStyle w:val="ControlFlowTok"/>
        </w:rPr>
        <w:t xml:space="preserve">To</w:t>
      </w:r>
      <w:r>
        <w:rPr>
          <w:rStyle w:val="NormalTok"/>
        </w:rPr>
        <w:t xml:space="preserve"> = </w:t>
      </w:r>
      <w:r>
        <w:rPr>
          <w:rStyle w:val="StringTok"/>
        </w:rPr>
        <w:t xml:space="preserve">"customer1@example.com, customer2@example.com"</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"Recipients: "</w:t>
      </w:r>
      <w:r>
        <w:rPr>
          <w:rStyle w:val="NormalTok"/>
        </w:rPr>
        <w:t xml:space="preserve"> </w:t>
      </w:r>
      <w:r>
        <w:rPr>
          <w:rStyle w:val="KeywordTok"/>
        </w:rPr>
        <w:t xml:space="preserve">&amp;</w:t>
      </w:r>
      <w:r>
        <w:rPr>
          <w:rStyle w:val="NormalTok"/>
        </w:rPr>
        <w:t xml:space="preserve"> mail.</w:t>
      </w:r>
      <w:r>
        <w:rPr>
          <w:rStyle w:val="ControlFlowTok"/>
        </w:rPr>
        <w:t xml:space="preserve">To</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346"/>
    <w:bookmarkEnd w:id="3347"/>
    <w:bookmarkStart w:id="3355" w:name="username-property"/>
    <w:p>
      <w:pPr>
        <w:pStyle w:val="Heading1"/>
      </w:pPr>
      <w:r>
        <w:t xml:space="preserve">Username Property</w:t>
      </w:r>
    </w:p>
    <w:bookmarkStart w:id="3348" w:name="overview-339"/>
    <w:p>
      <w:pPr>
        <w:pStyle w:val="Heading2"/>
      </w:pPr>
      <w:r>
        <w:t xml:space="preserve">Overview</w:t>
      </w:r>
    </w:p>
    <w:p>
      <w:pPr>
        <w:pStyle w:val="FirstParagraph"/>
      </w:pPr>
      <w:r>
        <w:t xml:space="preserve">The</w:t>
      </w:r>
      <w:r>
        <w:t xml:space="preserve"> </w:t>
      </w:r>
      <w:r>
        <w:rPr>
          <w:b/>
          <w:bCs/>
        </w:rPr>
        <w:t xml:space="preserve">Username</w:t>
      </w:r>
      <w:r>
        <w:t xml:space="preserve"> </w:t>
      </w:r>
      <w:r>
        <w:t xml:space="preserve">property gets or sets the authentication username for the SMTP server for the G3Pix AxonASP G3MAIL object.</w:t>
      </w:r>
    </w:p>
    <w:bookmarkEnd w:id="3348"/>
    <w:bookmarkStart w:id="3349" w:name="syntax-340"/>
    <w:p>
      <w:pPr>
        <w:pStyle w:val="Heading2"/>
      </w:pPr>
      <w:r>
        <w:t xml:space="preserve">Syntax</w:t>
      </w:r>
    </w:p>
    <w:p>
      <w:pPr>
        <w:pStyle w:val="SourceCode"/>
      </w:pPr>
      <w:r>
        <w:rPr>
          <w:rStyle w:val="NormalTok"/>
        </w:rPr>
        <w:t xml:space="preserve">value = mail.Username</w:t>
      </w:r>
      <w:r>
        <w:br/>
      </w:r>
      <w:r>
        <w:rPr>
          <w:rStyle w:val="NormalTok"/>
        </w:rPr>
        <w:t xml:space="preserve">mail.Username = newValue</w:t>
      </w:r>
    </w:p>
    <w:bookmarkEnd w:id="3349"/>
    <w:bookmarkStart w:id="3350" w:name="parameters-and-arguments-62"/>
    <w:p>
      <w:pPr>
        <w:pStyle w:val="Heading2"/>
      </w:pPr>
      <w:r>
        <w:t xml:space="preserve">Parameters and Arguments</w:t>
      </w:r>
    </w:p>
    <w:p>
      <w:pPr>
        <w:pStyle w:val="Compact"/>
        <w:numPr>
          <w:ilvl w:val="0"/>
          <w:numId w:val="1844"/>
        </w:numPr>
      </w:pPr>
      <w:r>
        <w:rPr>
          <w:b/>
          <w:bCs/>
        </w:rPr>
        <w:t xml:space="preserve">newValue</w:t>
      </w:r>
      <w:r>
        <w:t xml:space="preserve"> </w:t>
      </w:r>
      <w:r>
        <w:t xml:space="preserve">(String): The username or email address for SMTP authentication.</w:t>
      </w:r>
    </w:p>
    <w:bookmarkEnd w:id="3350"/>
    <w:bookmarkStart w:id="3351" w:name="return-values-67"/>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current username.</w:t>
      </w:r>
    </w:p>
    <w:bookmarkEnd w:id="3351"/>
    <w:bookmarkStart w:id="3352" w:name="remarks-317"/>
    <w:p>
      <w:pPr>
        <w:pStyle w:val="Heading2"/>
      </w:pPr>
      <w:r>
        <w:t xml:space="preserve">Remarks</w:t>
      </w:r>
    </w:p>
    <w:p>
      <w:pPr>
        <w:pStyle w:val="Compact"/>
        <w:numPr>
          <w:ilvl w:val="0"/>
          <w:numId w:val="1845"/>
        </w:numPr>
      </w:pPr>
      <w:r>
        <w:t xml:space="preserve">If not set, the library attempts to use the</w:t>
      </w:r>
      <w:r>
        <w:t xml:space="preserve"> </w:t>
      </w:r>
      <w:r>
        <w:rPr>
          <w:rStyle w:val="VerbatimChar"/>
        </w:rPr>
        <w:t xml:space="preserve">SMTP_USER</w:t>
      </w:r>
      <w:r>
        <w:t xml:space="preserve"> </w:t>
      </w:r>
      <w:r>
        <w:t xml:space="preserve">environment variable.</w:t>
      </w:r>
    </w:p>
    <w:p>
      <w:pPr>
        <w:pStyle w:val="Compact"/>
        <w:numPr>
          <w:ilvl w:val="0"/>
          <w:numId w:val="1845"/>
        </w:numPr>
      </w:pPr>
      <w:r>
        <w:t xml:space="preserve">This property can also be accessed using the aliases</w:t>
      </w:r>
      <w:r>
        <w:t xml:space="preserve"> </w:t>
      </w:r>
      <w:r>
        <w:rPr>
          <w:b/>
          <w:bCs/>
        </w:rPr>
        <w:t xml:space="preserve">User</w:t>
      </w:r>
      <w:r>
        <w:t xml:space="preserve"> </w:t>
      </w:r>
      <w:r>
        <w:t xml:space="preserve">or</w:t>
      </w:r>
      <w:r>
        <w:t xml:space="preserve"> </w:t>
      </w:r>
      <w:r>
        <w:rPr>
          <w:b/>
          <w:bCs/>
        </w:rPr>
        <w:t xml:space="preserve">AuthUsername</w:t>
      </w:r>
      <w:r>
        <w:t xml:space="preserve">.</w:t>
      </w:r>
    </w:p>
    <w:bookmarkEnd w:id="3352"/>
    <w:bookmarkStart w:id="3353" w:name="code-example-13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mail</w:t>
      </w:r>
      <w:r>
        <w:br/>
      </w:r>
      <w:r>
        <w:rPr>
          <w:rStyle w:val="KeywordTok"/>
        </w:rPr>
        <w:t xml:space="preserve">Set</w:t>
      </w:r>
      <w:r>
        <w:rPr>
          <w:rStyle w:val="NormalTok"/>
        </w:rPr>
        <w:t xml:space="preserve"> mail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"G3MAIL"</w:t>
      </w:r>
      <w:r>
        <w:rPr>
          <w:rStyle w:val="OtherTok"/>
        </w:rPr>
        <w:t xml:space="preserve">)</w:t>
      </w:r>
      <w:r>
        <w:br/>
      </w:r>
      <w:r>
        <w:br/>
      </w:r>
      <w:r>
        <w:rPr>
          <w:rStyle w:val="NormalTok"/>
        </w:rPr>
        <w:t xml:space="preserve">mail.Username = </w:t>
      </w:r>
      <w:r>
        <w:rPr>
          <w:rStyle w:val="StringTok"/>
        </w:rPr>
        <w:t xml:space="preserve">"webmaster@example.com"</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"Auth User: "</w:t>
      </w:r>
      <w:r>
        <w:rPr>
          <w:rStyle w:val="NormalTok"/>
        </w:rPr>
        <w:t xml:space="preserve"> </w:t>
      </w:r>
      <w:r>
        <w:rPr>
          <w:rStyle w:val="KeywordTok"/>
        </w:rPr>
        <w:t xml:space="preserve">&amp;</w:t>
      </w:r>
      <w:r>
        <w:rPr>
          <w:rStyle w:val="NormalTok"/>
        </w:rPr>
        <w:t xml:space="preserve"> mail.Username</w:t>
      </w:r>
      <w:r>
        <w:br/>
      </w:r>
      <w:r>
        <w:br/>
      </w:r>
      <w:r>
        <w:rPr>
          <w:rStyle w:val="KeywordTok"/>
        </w:rPr>
        <w:t xml:space="preserve">Set</w:t>
      </w:r>
      <w:r>
        <w:rPr>
          <w:rStyle w:val="NormalTok"/>
        </w:rPr>
        <w:t xml:space="preserve"> mail = </w:t>
      </w:r>
      <w:r>
        <w:rPr>
          <w:rStyle w:val="KeywordTok"/>
        </w:rPr>
        <w:t xml:space="preserve">Nothing</w:t>
      </w:r>
      <w:r>
        <w:br/>
      </w:r>
      <w:r>
        <w:rPr>
          <w:rStyle w:val="DataTypeTok"/>
        </w:rPr>
        <w:t xml:space="preserve">%&gt;</w:t>
      </w:r>
    </w:p>
    <w:bookmarkEnd w:id="3353"/>
    <w:bookmarkStart w:id="3354" w:name="g3image"/>
    <w:p>
      <w:pPr>
        <w:pStyle w:val="Heading2"/>
      </w:pPr>
      <w:r>
        <w:t xml:space="preserve">G3IMAGE</w:t>
      </w:r>
    </w:p>
    <w:bookmarkEnd w:id="3354"/>
    <w:bookmarkEnd w:id="3355"/>
    <w:bookmarkStart w:id="3364" w:name="use-the-g3image-library"/>
    <w:p>
      <w:pPr>
        <w:pStyle w:val="Heading1"/>
      </w:pPr>
      <w:r>
        <w:t xml:space="preserve">Use the G3IMAGE Library</w:t>
      </w:r>
    </w:p>
    <w:bookmarkStart w:id="3356" w:name="overview-340"/>
    <w:p>
      <w:pPr>
        <w:pStyle w:val="Heading2"/>
      </w:pPr>
      <w:r>
        <w:t xml:space="preserve">Overview</w:t>
      </w:r>
    </w:p>
    <w:p>
      <w:pPr>
        <w:pStyle w:val="FirstParagraph"/>
      </w:pPr>
      <w:r>
        <w:t xml:space="preserve">The</w:t>
      </w:r>
      <w:r>
        <w:t xml:space="preserve"> </w:t>
      </w:r>
      <w:r>
        <w:rPr>
          <w:b/>
          <w:bCs/>
        </w:rPr>
        <w:t xml:space="preserve">G3IMAGE</w:t>
      </w:r>
      <w:r>
        <w:t xml:space="preserve"> </w:t>
      </w:r>
      <w:r>
        <w:t xml:space="preserve">library is a high-performance native image processing and 2D drawing engine for G3Pix AxonASP. It enables developers to programmatically create, load, manipulate, and render images directly on the server. The library supports standard formats including PNG and JPEG, and provides a rich set of drawing primitives such as lines, rectangles, circles, and high-quality text rendering with TrueType font support.</w:t>
      </w:r>
    </w:p>
    <w:bookmarkEnd w:id="3356"/>
    <w:bookmarkStart w:id="3357" w:name="syntax-341"/>
    <w:p>
      <w:pPr>
        <w:pStyle w:val="Heading2"/>
      </w:pPr>
      <w:r>
        <w:t xml:space="preserve">Syntax</w:t>
      </w:r>
    </w:p>
    <w:p>
      <w:pPr>
        <w:pStyle w:val="FirstParagraph"/>
      </w:pPr>
      <w:r>
        <w:t xml:space="preserve">To instantiate the library, use the following syntax:</w:t>
      </w:r>
    </w:p>
    <w:p>
      <w:pPr>
        <w:pStyle w:val="SourceCode"/>
      </w:pPr>
      <w:r>
        <w:rPr>
          <w:rStyle w:val="NormalTok"/>
        </w:rPr>
        <w:t xml:space="preserve">Dim image</w:t>
      </w:r>
      <w:r>
        <w:br/>
      </w:r>
      <w:r>
        <w:rPr>
          <w:rStyle w:val="NormalTok"/>
        </w:rPr>
        <w:t xml:space="preserve">Set image = Server.CreateObject("G3IMAGE")</w:t>
      </w:r>
    </w:p>
    <w:p>
      <w:pPr>
        <w:pStyle w:val="SourceCode"/>
      </w:pPr>
      <w:r>
        <w:rPr>
          <w:rStyle w:val="KeywordTok"/>
        </w:rPr>
        <w:t xml:space="preserve">var</w:t>
      </w:r>
      <w:r>
        <w:rPr>
          <w:rStyle w:val="NormalTok"/>
        </w:rPr>
        <w:t xml:space="preserve"> image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"G3IMAGE"</w:t>
      </w:r>
      <w:r>
        <w:rPr>
          <w:rStyle w:val="NormalTok"/>
        </w:rPr>
        <w:t xml:space="preserve">)</w:t>
      </w:r>
      <w:r>
        <w:rPr>
          <w:rStyle w:val="OperatorTok"/>
        </w:rPr>
        <w:t xml:space="preserve">;</w:t>
      </w:r>
    </w:p>
    <w:bookmarkEnd w:id="3357"/>
    <w:bookmarkStart w:id="3358" w:name="prerequisites-150"/>
    <w:p>
      <w:pPr>
        <w:pStyle w:val="Heading2"/>
      </w:pPr>
      <w:r>
        <w:t xml:space="preserve">Prerequisites</w:t>
      </w:r>
    </w:p>
    <w:p>
      <w:pPr>
        <w:pStyle w:val="Compact"/>
        <w:numPr>
          <w:ilvl w:val="0"/>
          <w:numId w:val="1846"/>
        </w:numPr>
      </w:pPr>
      <w:r>
        <w:rPr>
          <w:b/>
          <w:bCs/>
        </w:rPr>
        <w:t xml:space="preserve">Memory</w:t>
      </w:r>
      <w:r>
        <w:t xml:space="preserve">: Ensure sufficient server memory for high-resolution image processing.</w:t>
      </w:r>
    </w:p>
    <w:p>
      <w:pPr>
        <w:pStyle w:val="Compact"/>
        <w:numPr>
          <w:ilvl w:val="0"/>
          <w:numId w:val="1846"/>
        </w:numPr>
      </w:pPr>
      <w:r>
        <w:rPr>
          <w:b/>
          <w:bCs/>
        </w:rPr>
        <w:t xml:space="preserve">File System Permissions</w:t>
      </w:r>
      <w:r>
        <w:t xml:space="preserve">: Requires read/write access to the directories where images are loaded or saved.</w:t>
      </w:r>
    </w:p>
    <w:p>
      <w:pPr>
        <w:pStyle w:val="Compact"/>
        <w:numPr>
          <w:ilvl w:val="0"/>
          <w:numId w:val="1846"/>
        </w:numPr>
      </w:pPr>
      <w:r>
        <w:rPr>
          <w:b/>
          <w:bCs/>
        </w:rPr>
        <w:t xml:space="preserve">Fonts</w:t>
      </w:r>
      <w:r>
        <w:t xml:space="preserve">: TrueType (.ttf) or OpenType (.otf) font files are required for advanced text rendering.</w:t>
      </w:r>
    </w:p>
    <w:bookmarkEnd w:id="3358"/>
    <w:bookmarkStart w:id="3359" w:name="how-it-works-21"/>
    <w:p>
      <w:pPr>
        <w:pStyle w:val="Heading2"/>
      </w:pPr>
      <w:r>
        <w:t xml:space="preserve">How it Works</w:t>
      </w:r>
    </w:p>
    <w:p>
      <w:pPr>
        <w:pStyle w:val="FirstParagraph"/>
      </w:pPr>
      <w:r>
        <w:t xml:space="preserve">The G3IMAGE object operates by managing a drawing context. You can either create a new blank context using</w:t>
      </w:r>
      <w:r>
        <w:t xml:space="preserve"> </w:t>
      </w:r>
      <w:r>
        <w:rPr>
          <w:b/>
          <w:bCs/>
        </w:rPr>
        <w:t xml:space="preserve">NewContext</w:t>
      </w:r>
      <w:r>
        <w:t xml:space="preserve"> </w:t>
      </w:r>
      <w:r>
        <w:t xml:space="preserve">or load an existing image using</w:t>
      </w:r>
      <w:r>
        <w:t xml:space="preserve"> </w:t>
      </w:r>
      <w:r>
        <w:rPr>
          <w:b/>
          <w:bCs/>
        </w:rPr>
        <w:t xml:space="preserve">LoadImage</w:t>
      </w:r>
      <w:r>
        <w:t xml:space="preserve">. Once a context is established, you can perform drawing operations like</w:t>
      </w:r>
      <w:r>
        <w:t xml:space="preserve"> </w:t>
      </w:r>
      <w:r>
        <w:rPr>
          <w:b/>
          <w:bCs/>
        </w:rPr>
        <w:t xml:space="preserve">DrawLine</w:t>
      </w:r>
      <w:r>
        <w:t xml:space="preserve">,</w:t>
      </w:r>
      <w:r>
        <w:t xml:space="preserve"> </w:t>
      </w:r>
      <w:r>
        <w:rPr>
          <w:b/>
          <w:bCs/>
        </w:rPr>
        <w:t xml:space="preserve">DrawRectangle</w:t>
      </w:r>
      <w:r>
        <w:t xml:space="preserve">, and</w:t>
      </w:r>
      <w:r>
        <w:t xml:space="preserve"> </w:t>
      </w:r>
      <w:r>
        <w:rPr>
          <w:b/>
          <w:bCs/>
        </w:rPr>
        <w:t xml:space="preserve">DrawString</w:t>
      </w:r>
      <w:r>
        <w:t xml:space="preserve">.</w:t>
      </w:r>
    </w:p>
    <w:p>
      <w:pPr>
        <w:pStyle w:val="BodyText"/>
      </w:pPr>
      <w:r>
        <w:t xml:space="preserve">After completing the drawing operations, the image can be saved to disk using</w:t>
      </w:r>
      <w:r>
        <w:t xml:space="preserve"> </w:t>
      </w:r>
      <w:r>
        <w:rPr>
          <w:b/>
          <w:bCs/>
        </w:rPr>
        <w:t xml:space="preserve">SavePNG</w:t>
      </w:r>
      <w:r>
        <w:t xml:space="preserve"> </w:t>
      </w:r>
      <w:r>
        <w:t xml:space="preserve">or</w:t>
      </w:r>
      <w:r>
        <w:t xml:space="preserve"> </w:t>
      </w:r>
      <w:r>
        <w:rPr>
          <w:b/>
          <w:bCs/>
        </w:rPr>
        <w:t xml:space="preserve">SaveJPG</w:t>
      </w:r>
      <w:r>
        <w:t xml:space="preserve">, or rendered directly to a byte array using</w:t>
      </w:r>
      <w:r>
        <w:t xml:space="preserve"> </w:t>
      </w:r>
      <w:r>
        <w:rPr>
          <w:b/>
          <w:bCs/>
        </w:rPr>
        <w:t xml:space="preserve">RenderViaTemp</w:t>
      </w:r>
      <w:r>
        <w:t xml:space="preserve"> </w:t>
      </w:r>
      <w:r>
        <w:t xml:space="preserve">for immediate delivery to the client via</w:t>
      </w:r>
      <w:r>
        <w:t xml:space="preserve"> </w:t>
      </w:r>
      <w:r>
        <w:rPr>
          <w:rStyle w:val="VerbatimChar"/>
        </w:rPr>
        <w:t xml:space="preserve">Response.BinaryWrite</w:t>
      </w:r>
      <w:r>
        <w:t xml:space="preserve">.</w:t>
      </w:r>
    </w:p>
    <w:p>
      <w:pPr>
        <w:pStyle w:val="BodyText"/>
      </w:pPr>
      <w:r>
        <w:t xml:space="preserve">The library also supports advanced features like anti-aliasing, alpha transparency (PNG), and configurable JPEG compression quality.</w:t>
      </w:r>
    </w:p>
    <w:bookmarkEnd w:id="3359"/>
    <w:bookmarkStart w:id="3362" w:name="api-reference-153"/>
    <w:p>
      <w:pPr>
        <w:pStyle w:val="Heading2"/>
      </w:pPr>
      <w:r>
        <w:t xml:space="preserve">API Reference</w:t>
      </w:r>
    </w:p>
    <w:bookmarkStart w:id="3360" w:name="methods-17"/>
    <w:p>
      <w:pPr>
        <w:pStyle w:val="Heading3"/>
      </w:pPr>
      <w:r>
        <w:t xml:space="preserve">Methods</w:t>
      </w:r>
    </w:p>
    <w:p>
      <w:pPr>
        <w:pStyle w:val="Compact"/>
        <w:numPr>
          <w:ilvl w:val="0"/>
          <w:numId w:val="1847"/>
        </w:numPr>
      </w:pPr>
      <w:r>
        <w:rPr>
          <w:b/>
          <w:bCs/>
        </w:rPr>
        <w:t xml:space="preserve">Close</w:t>
      </w:r>
      <w:r>
        <w:t xml:space="preserve">: Releases all internal resources and clears the active context.</w:t>
      </w:r>
    </w:p>
    <w:p>
      <w:pPr>
        <w:pStyle w:val="Compact"/>
        <w:numPr>
          <w:ilvl w:val="0"/>
          <w:numId w:val="1847"/>
        </w:numPr>
      </w:pPr>
      <w:r>
        <w:rPr>
          <w:b/>
          <w:bCs/>
        </w:rPr>
        <w:t xml:space="preserve">DrawCircle</w:t>
      </w:r>
      <w:r>
        <w:t xml:space="preserve">: Draws a circle at the specified coordinates.</w:t>
      </w:r>
    </w:p>
    <w:p>
      <w:pPr>
        <w:pStyle w:val="Compact"/>
        <w:numPr>
          <w:ilvl w:val="0"/>
          <w:numId w:val="1847"/>
        </w:numPr>
      </w:pPr>
      <w:r>
        <w:rPr>
          <w:b/>
          <w:bCs/>
        </w:rPr>
        <w:t xml:space="preserve">DrawEllipse</w:t>
      </w:r>
      <w:r>
        <w:t xml:space="preserve">: Draws an ellipse at the specified coordinates.</w:t>
      </w:r>
    </w:p>
    <w:p>
      <w:pPr>
        <w:pStyle w:val="Compact"/>
        <w:numPr>
          <w:ilvl w:val="0"/>
          <w:numId w:val="1847"/>
        </w:numPr>
      </w:pPr>
      <w:r>
        <w:rPr>
          <w:b/>
          <w:bCs/>
        </w:rPr>
        <w:t xml:space="preserve">DrawImage</w:t>
      </w:r>
      <w:r>
        <w:t xml:space="preserve">: Draws a previously loaded image onto the current canvas.</w:t>
      </w:r>
    </w:p>
    <w:p>
      <w:pPr>
        <w:pStyle w:val="Compact"/>
        <w:numPr>
          <w:ilvl w:val="0"/>
          <w:numId w:val="1847"/>
        </w:numPr>
      </w:pPr>
      <w:r>
        <w:rPr>
          <w:b/>
          <w:bCs/>
        </w:rPr>
        <w:t xml:space="preserve">DrawLine</w:t>
      </w:r>
      <w:r>
        <w:t xml:space="preserve">: Draws a straight line between two points.</w:t>
      </w:r>
    </w:p>
    <w:p>
      <w:pPr>
        <w:pStyle w:val="Compact"/>
        <w:numPr>
          <w:ilvl w:val="0"/>
          <w:numId w:val="1847"/>
        </w:numPr>
      </w:pPr>
      <w:r>
        <w:rPr>
          <w:b/>
          <w:bCs/>
        </w:rPr>
        <w:t xml:space="preserve">DrawRectangle</w:t>
      </w:r>
      <w:r>
        <w:t xml:space="preserve">: Draws a rectangle with the specified dimensions.</w:t>
      </w:r>
    </w:p>
    <w:p>
      <w:pPr>
        <w:pStyle w:val="Compact"/>
        <w:numPr>
          <w:ilvl w:val="0"/>
          <w:numId w:val="1847"/>
        </w:numPr>
      </w:pPr>
      <w:r>
        <w:rPr>
          <w:b/>
          <w:bCs/>
        </w:rPr>
        <w:t xml:space="preserve">DrawString</w:t>
      </w:r>
      <w:r>
        <w:t xml:space="preserve">: Renders text at the specified coordinates.</w:t>
      </w:r>
    </w:p>
    <w:p>
      <w:pPr>
        <w:pStyle w:val="Compact"/>
        <w:numPr>
          <w:ilvl w:val="0"/>
          <w:numId w:val="1847"/>
        </w:numPr>
      </w:pPr>
      <w:r>
        <w:rPr>
          <w:b/>
          <w:bCs/>
        </w:rPr>
        <w:t xml:space="preserve">DrawStringAnchored</w:t>
      </w:r>
      <w:r>
        <w:t xml:space="preserve">: Renders text with precise anchor alignment.</w:t>
      </w:r>
    </w:p>
    <w:p>
      <w:pPr>
        <w:pStyle w:val="Compact"/>
        <w:numPr>
          <w:ilvl w:val="0"/>
          <w:numId w:val="1847"/>
        </w:numPr>
      </w:pPr>
      <w:r>
        <w:rPr>
          <w:b/>
          <w:bCs/>
        </w:rPr>
        <w:t xml:space="preserve">Fill</w:t>
      </w:r>
      <w:r>
        <w:t xml:space="preserve">: Fills the current path with the active color.</w:t>
      </w:r>
    </w:p>
    <w:p>
      <w:pPr>
        <w:pStyle w:val="Compact"/>
        <w:numPr>
          <w:ilvl w:val="0"/>
          <w:numId w:val="1847"/>
        </w:numPr>
      </w:pPr>
      <w:r>
        <w:rPr>
          <w:b/>
          <w:bCs/>
        </w:rPr>
        <w:t xml:space="preserve">LoadFontFace</w:t>
      </w:r>
      <w:r>
        <w:t xml:space="preserve">: Loads a TrueType font for text rendering.</w:t>
      </w:r>
    </w:p>
    <w:p>
      <w:pPr>
        <w:pStyle w:val="Compact"/>
        <w:numPr>
          <w:ilvl w:val="0"/>
          <w:numId w:val="1847"/>
        </w:numPr>
      </w:pPr>
      <w:r>
        <w:rPr>
          <w:b/>
          <w:bCs/>
        </w:rPr>
        <w:t xml:space="preserve">LoadImage</w:t>
      </w:r>
      <w:r>
        <w:t xml:space="preserve">: Loads an image file into memory.</w:t>
      </w:r>
    </w:p>
    <w:p>
      <w:pPr>
        <w:pStyle w:val="Compact"/>
        <w:numPr>
          <w:ilvl w:val="0"/>
          <w:numId w:val="1847"/>
        </w:numPr>
      </w:pPr>
      <w:r>
        <w:rPr>
          <w:b/>
          <w:bCs/>
        </w:rPr>
        <w:t xml:space="preserve">LoadJPG</w:t>
      </w:r>
      <w:r>
        <w:t xml:space="preserve">: Explicitly loads a JPEG image file.</w:t>
      </w:r>
    </w:p>
    <w:p>
      <w:pPr>
        <w:pStyle w:val="Compact"/>
        <w:numPr>
          <w:ilvl w:val="0"/>
          <w:numId w:val="1847"/>
        </w:numPr>
      </w:pPr>
      <w:r>
        <w:rPr>
          <w:b/>
          <w:bCs/>
        </w:rPr>
        <w:t xml:space="preserve">LoadPNG</w:t>
      </w:r>
      <w:r>
        <w:t xml:space="preserve">: Explicitly loads a PNG image file.</w:t>
      </w:r>
    </w:p>
    <w:p>
      <w:pPr>
        <w:pStyle w:val="Compact"/>
        <w:numPr>
          <w:ilvl w:val="0"/>
          <w:numId w:val="1847"/>
        </w:numPr>
      </w:pPr>
      <w:r>
        <w:rPr>
          <w:b/>
          <w:bCs/>
        </w:rPr>
        <w:t xml:space="preserve">MeasureString</w:t>
      </w:r>
      <w:r>
        <w:t xml:space="preserve">: Returns the width and height of a text string in pixels.</w:t>
      </w:r>
    </w:p>
    <w:p>
      <w:pPr>
        <w:pStyle w:val="Compact"/>
        <w:numPr>
          <w:ilvl w:val="0"/>
          <w:numId w:val="1847"/>
        </w:numPr>
      </w:pPr>
      <w:r>
        <w:rPr>
          <w:b/>
          <w:bCs/>
        </w:rPr>
        <w:t xml:space="preserve">NewContext</w:t>
      </w:r>
      <w:r>
        <w:t xml:space="preserve">: Initializes a new drawing canvas with the specified width and height.</w:t>
      </w:r>
    </w:p>
    <w:p>
      <w:pPr>
        <w:pStyle w:val="Compact"/>
        <w:numPr>
          <w:ilvl w:val="0"/>
          <w:numId w:val="1847"/>
        </w:numPr>
      </w:pPr>
      <w:r>
        <w:rPr>
          <w:b/>
          <w:bCs/>
        </w:rPr>
        <w:t xml:space="preserve">RenderViaTemp</w:t>
      </w:r>
      <w:r>
        <w:t xml:space="preserve">: Renders the current image to a byte array for binary output.</w:t>
      </w:r>
    </w:p>
    <w:p>
      <w:pPr>
        <w:pStyle w:val="Compact"/>
        <w:numPr>
          <w:ilvl w:val="0"/>
          <w:numId w:val="1847"/>
        </w:numPr>
      </w:pPr>
      <w:r>
        <w:rPr>
          <w:b/>
          <w:bCs/>
        </w:rPr>
        <w:t xml:space="preserve">SaveJPG</w:t>
      </w:r>
      <w:r>
        <w:t xml:space="preserve">: Saves the current canvas to a JPEG file.</w:t>
      </w:r>
    </w:p>
    <w:p>
      <w:pPr>
        <w:pStyle w:val="Compact"/>
        <w:numPr>
          <w:ilvl w:val="0"/>
          <w:numId w:val="1847"/>
        </w:numPr>
      </w:pPr>
      <w:r>
        <w:rPr>
          <w:b/>
          <w:bCs/>
        </w:rPr>
        <w:t xml:space="preserve">SavePNG</w:t>
      </w:r>
      <w:r>
        <w:t xml:space="preserve">: Saves the current canvas to a PNG file.</w:t>
      </w:r>
    </w:p>
    <w:p>
      <w:pPr>
        <w:pStyle w:val="Compact"/>
        <w:numPr>
          <w:ilvl w:val="0"/>
          <w:numId w:val="1847"/>
        </w:numPr>
      </w:pPr>
      <w:r>
        <w:rPr>
          <w:b/>
          <w:bCs/>
        </w:rPr>
        <w:t xml:space="preserve">SetColor</w:t>
      </w:r>
      <w:r>
        <w:t xml:space="preserve">: Sets the active drawing color using RGB or RGBA values.</w:t>
      </w:r>
    </w:p>
    <w:p>
      <w:pPr>
        <w:pStyle w:val="Compact"/>
        <w:numPr>
          <w:ilvl w:val="0"/>
          <w:numId w:val="1847"/>
        </w:numPr>
      </w:pPr>
      <w:r>
        <w:rPr>
          <w:b/>
          <w:bCs/>
        </w:rPr>
        <w:t xml:space="preserve">SetHexColor</w:t>
      </w:r>
      <w:r>
        <w:t xml:space="preserve">: Sets the active drawing color using a hexadecimal string.</w:t>
      </w:r>
    </w:p>
    <w:p>
      <w:pPr>
        <w:pStyle w:val="Compact"/>
        <w:numPr>
          <w:ilvl w:val="0"/>
          <w:numId w:val="1847"/>
        </w:numPr>
      </w:pPr>
      <w:r>
        <w:rPr>
          <w:b/>
          <w:bCs/>
        </w:rPr>
        <w:t xml:space="preserve">SetLineWidth</w:t>
      </w:r>
      <w:r>
        <w:t xml:space="preserve">: Configures the thickness of lines and strokes.</w:t>
      </w:r>
    </w:p>
    <w:p>
      <w:pPr>
        <w:pStyle w:val="Compact"/>
        <w:numPr>
          <w:ilvl w:val="0"/>
          <w:numId w:val="1847"/>
        </w:numPr>
      </w:pPr>
      <w:r>
        <w:rPr>
          <w:b/>
          <w:bCs/>
        </w:rPr>
        <w:t xml:space="preserve">Stroke</w:t>
      </w:r>
      <w:r>
        <w:t xml:space="preserve">: Outlines the current path with the active color.</w:t>
      </w:r>
    </w:p>
    <w:bookmarkEnd w:id="3360"/>
    <w:bookmarkStart w:id="3361" w:name="properties-19"/>
    <w:p>
      <w:pPr>
        <w:pStyle w:val="Heading3"/>
      </w:pPr>
      <w:r>
        <w:t xml:space="preserve">Properties</w:t>
      </w:r>
    </w:p>
    <w:p>
      <w:pPr>
        <w:pStyle w:val="Compact"/>
        <w:numPr>
          <w:ilvl w:val="0"/>
          <w:numId w:val="1848"/>
        </w:numPr>
      </w:pPr>
      <w:r>
        <w:rPr>
          <w:b/>
          <w:bCs/>
        </w:rPr>
        <w:t xml:space="preserve">DefaultFormat</w:t>
      </w:r>
      <w:r>
        <w:t xml:space="preserve">: Gets or sets the preferred output format (png or jpg).</w:t>
      </w:r>
    </w:p>
    <w:p>
      <w:pPr>
        <w:pStyle w:val="Compact"/>
        <w:numPr>
          <w:ilvl w:val="0"/>
          <w:numId w:val="1848"/>
        </w:numPr>
      </w:pPr>
      <w:r>
        <w:rPr>
          <w:b/>
          <w:bCs/>
        </w:rPr>
        <w:t xml:space="preserve">HasContext</w:t>
      </w:r>
      <w:r>
        <w:t xml:space="preserve">: Indicates whether a drawing canvas is currently initialized.</w:t>
      </w:r>
    </w:p>
    <w:p>
      <w:pPr>
        <w:pStyle w:val="Compact"/>
        <w:numPr>
          <w:ilvl w:val="0"/>
          <w:numId w:val="1848"/>
        </w:numPr>
      </w:pPr>
      <w:r>
        <w:rPr>
          <w:b/>
          <w:bCs/>
        </w:rPr>
        <w:t xml:space="preserve">Height</w:t>
      </w:r>
      <w:r>
        <w:t xml:space="preserve">: Returns the height of the current canvas in pixels.</w:t>
      </w:r>
    </w:p>
    <w:p>
      <w:pPr>
        <w:pStyle w:val="Compact"/>
        <w:numPr>
          <w:ilvl w:val="0"/>
          <w:numId w:val="1848"/>
        </w:numPr>
      </w:pPr>
      <w:r>
        <w:rPr>
          <w:b/>
          <w:bCs/>
        </w:rPr>
        <w:t xml:space="preserve">JPGQuality</w:t>
      </w:r>
      <w:r>
        <w:t xml:space="preserve">: Gets or sets the compression quality for JPEG output (1-100).</w:t>
      </w:r>
    </w:p>
    <w:p>
      <w:pPr>
        <w:pStyle w:val="Compact"/>
        <w:numPr>
          <w:ilvl w:val="0"/>
          <w:numId w:val="1848"/>
        </w:numPr>
      </w:pPr>
      <w:r>
        <w:rPr>
          <w:b/>
          <w:bCs/>
        </w:rPr>
        <w:t xml:space="preserve">LastBytes</w:t>
      </w:r>
      <w:r>
        <w:t xml:space="preserve">: Returns the raw byte array from the last render operation.</w:t>
      </w:r>
    </w:p>
    <w:p>
      <w:pPr>
        <w:pStyle w:val="Compact"/>
        <w:numPr>
          <w:ilvl w:val="0"/>
          <w:numId w:val="1848"/>
        </w:numPr>
      </w:pPr>
      <w:r>
        <w:rPr>
          <w:b/>
          <w:bCs/>
        </w:rPr>
        <w:t xml:space="preserve">LastError</w:t>
      </w:r>
      <w:r>
        <w:t xml:space="preserve">: Returns the description of the most recent error.</w:t>
      </w:r>
    </w:p>
    <w:p>
      <w:pPr>
        <w:pStyle w:val="Compact"/>
        <w:numPr>
          <w:ilvl w:val="0"/>
          <w:numId w:val="1848"/>
        </w:numPr>
      </w:pPr>
      <w:r>
        <w:rPr>
          <w:b/>
          <w:bCs/>
        </w:rPr>
        <w:t xml:space="preserve">LastMimeType</w:t>
      </w:r>
      <w:r>
        <w:t xml:space="preserve">: Returns the MIME type of the last rendered image.</w:t>
      </w:r>
    </w:p>
    <w:p>
      <w:pPr>
        <w:pStyle w:val="Compact"/>
        <w:numPr>
          <w:ilvl w:val="0"/>
          <w:numId w:val="1848"/>
        </w:numPr>
      </w:pPr>
      <w:r>
        <w:rPr>
          <w:b/>
          <w:bCs/>
        </w:rPr>
        <w:t xml:space="preserve">LastTempFile</w:t>
      </w:r>
      <w:r>
        <w:t xml:space="preserve">: Returns the path to the temporary file used during rendering.</w:t>
      </w:r>
    </w:p>
    <w:p>
      <w:pPr>
        <w:pStyle w:val="Compact"/>
        <w:numPr>
          <w:ilvl w:val="0"/>
          <w:numId w:val="1848"/>
        </w:numPr>
      </w:pPr>
      <w:r>
        <w:rPr>
          <w:b/>
          <w:bCs/>
        </w:rPr>
        <w:t xml:space="preserve">Width</w:t>
      </w:r>
      <w:r>
        <w:t xml:space="preserve">: Returns the width of the current canvas in pixels.</w:t>
      </w:r>
    </w:p>
    <w:bookmarkEnd w:id="3361"/>
    <w:bookmarkEnd w:id="3362"/>
    <w:bookmarkStart w:id="3363" w:name="code-example-138"/>
    <w:p>
      <w:pPr>
        <w:pStyle w:val="Heading2"/>
      </w:pPr>
      <w:r>
        <w:t xml:space="preserve">Code Example</w:t>
      </w:r>
    </w:p>
    <w:p>
      <w:pPr>
        <w:pStyle w:val="FirstParagraph"/>
      </w:pPr>
      <w:r>
        <w:t xml:space="preserve">The following example demonstrates how to create a simple image with text and output it to the browser.</w:t>
      </w:r>
    </w:p>
    <w:p>
      <w:pPr>
        <w:pStyle w:val="SourceCode"/>
      </w:pPr>
      <w:r>
        <w:rPr>
          <w:rStyle w:val="DataTypeTok"/>
        </w:rPr>
        <w:t xml:space="preserve">&lt;%</w:t>
      </w:r>
      <w:r>
        <w:br/>
      </w:r>
      <w:r>
        <w:rPr>
          <w:rStyle w:val="KeywordTok"/>
        </w:rPr>
        <w:t xml:space="preserve">Dim</w:t>
      </w:r>
      <w:r>
        <w:rPr>
          <w:rStyle w:val="NormalTok"/>
        </w:rPr>
        <w:t xml:space="preserve"> img</w:t>
      </w:r>
      <w:r>
        <w:rPr>
          <w:rStyle w:val="OtherTok"/>
        </w:rPr>
        <w:t xml:space="preserve">,</w:t>
      </w:r>
      <w:r>
        <w:rPr>
          <w:rStyle w:val="NormalTok"/>
        </w:rPr>
        <w:t xml:space="preserve"> bytes</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br/>
      </w:r>
      <w:r>
        <w:rPr>
          <w:rStyle w:val="CommentTok"/>
        </w:rPr>
        <w:t xml:space="preserve">' Create a 400x200 canvas</w:t>
      </w:r>
      <w:r>
        <w:br/>
      </w:r>
      <w:r>
        <w:rPr>
          <w:rStyle w:val="ControlFlowTok"/>
        </w:rPr>
        <w:t xml:space="preserve">If</w:t>
      </w:r>
      <w:r>
        <w:rPr>
          <w:rStyle w:val="NormalTok"/>
        </w:rPr>
        <w:t xml:space="preserve"> img.NewContext</w:t>
      </w:r>
      <w:r>
        <w:rPr>
          <w:rStyle w:val="OtherTok"/>
        </w:rPr>
        <w:t xml:space="preserve">(</w:t>
      </w:r>
      <w:r>
        <w:rPr>
          <w:rStyle w:val="DecValTok"/>
        </w:rPr>
        <w:t xml:space="preserve">400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Fill background with white</w:t>
      </w:r>
      <w:r>
        <w:br/>
      </w:r>
      <w:r>
        <w:rPr>
          <w:rStyle w:val="NormalTok"/>
        </w:rPr>
        <w:t xml:space="preserve">    img.SetHexColor </w:t>
      </w:r>
      <w:r>
        <w:rPr>
          <w:rStyle w:val="StringTok"/>
        </w:rPr>
        <w:t xml:space="preserve">"#FFFFFF"</w:t>
      </w:r>
      <w:r>
        <w:br/>
      </w:r>
      <w:r>
        <w:rPr>
          <w:rStyle w:val="NormalTok"/>
        </w:rPr>
        <w:t xml:space="preserve">    img.</w:t>
      </w:r>
      <w:r>
        <w:rPr>
          <w:rStyle w:val="FunctionTok"/>
        </w:rPr>
        <w:t xml:space="preserve">Clear</w:t>
      </w:r>
      <w:r>
        <w:br/>
      </w:r>
      <w:r>
        <w:rPr>
          <w:rStyle w:val="NormalTok"/>
        </w:rPr>
        <w:t xml:space="preserve">    </w:t>
      </w:r>
      <w:r>
        <w:br/>
      </w:r>
      <w:r>
        <w:rPr>
          <w:rStyle w:val="NormalTok"/>
        </w:rPr>
        <w:t xml:space="preserve">    </w:t>
      </w:r>
      <w:r>
        <w:rPr>
          <w:rStyle w:val="CommentTok"/>
        </w:rPr>
        <w:t xml:space="preserve">' Draw a blue rectangle</w:t>
      </w:r>
      <w:r>
        <w:br/>
      </w:r>
      <w:r>
        <w:rPr>
          <w:rStyle w:val="NormalTok"/>
        </w:rPr>
        <w:t xml:space="preserve">    img.SetHexColor </w:t>
      </w:r>
      <w:r>
        <w:rPr>
          <w:rStyle w:val="StringTok"/>
        </w:rPr>
        <w:t xml:space="preserve">"#003399"</w:t>
      </w:r>
      <w:r>
        <w:br/>
      </w:r>
      <w:r>
        <w:rPr>
          <w:rStyle w:val="NormalTok"/>
        </w:rPr>
        <w:t xml:space="preserve">    img.DrawRectangle </w:t>
      </w:r>
      <w:r>
        <w:rPr>
          <w:rStyle w:val="DecValTok"/>
        </w:rPr>
        <w:t xml:space="preserve">10</w:t>
      </w:r>
      <w:r>
        <w:rPr>
          <w:rStyle w:val="OtherTok"/>
        </w:rPr>
        <w:t xml:space="preserve">,</w:t>
      </w:r>
      <w:r>
        <w:rPr>
          <w:rStyle w:val="NormalTok"/>
        </w:rPr>
        <w:t xml:space="preserve"> </w:t>
      </w:r>
      <w:r>
        <w:rPr>
          <w:rStyle w:val="DecValTok"/>
        </w:rPr>
        <w:t xml:space="preserve">10</w:t>
      </w:r>
      <w:r>
        <w:rPr>
          <w:rStyle w:val="OtherTok"/>
        </w:rPr>
        <w:t xml:space="preserve">,</w:t>
      </w:r>
      <w:r>
        <w:rPr>
          <w:rStyle w:val="NormalTok"/>
        </w:rPr>
        <w:t xml:space="preserve"> </w:t>
      </w:r>
      <w:r>
        <w:rPr>
          <w:rStyle w:val="DecValTok"/>
        </w:rPr>
        <w:t xml:space="preserve">380</w:t>
      </w:r>
      <w:r>
        <w:rPr>
          <w:rStyle w:val="OtherTok"/>
        </w:rPr>
        <w:t xml:space="preserve">,</w:t>
      </w:r>
      <w:r>
        <w:rPr>
          <w:rStyle w:val="NormalTok"/>
        </w:rPr>
        <w:t xml:space="preserve"> </w:t>
      </w:r>
      <w:r>
        <w:rPr>
          <w:rStyle w:val="DecValTok"/>
        </w:rPr>
        <w:t xml:space="preserve">180</w:t>
      </w:r>
      <w:r>
        <w:br/>
      </w:r>
      <w:r>
        <w:rPr>
          <w:rStyle w:val="NormalTok"/>
        </w:rPr>
        <w:t xml:space="preserve">    img.SetLineWidth </w:t>
      </w:r>
      <w:r>
        <w:rPr>
          <w:rStyle w:val="DecValTok"/>
        </w:rPr>
        <w:t xml:space="preserve">2</w:t>
      </w:r>
      <w:r>
        <w:br/>
      </w:r>
      <w:r>
        <w:rPr>
          <w:rStyle w:val="NormalTok"/>
        </w:rPr>
        <w:t xml:space="preserve">    img.Stroke</w:t>
      </w:r>
      <w:r>
        <w:br/>
      </w:r>
      <w:r>
        <w:rPr>
          <w:rStyle w:val="NormalTok"/>
        </w:rPr>
        <w:t xml:space="preserve">    </w:t>
      </w:r>
      <w:r>
        <w:br/>
      </w:r>
      <w:r>
        <w:rPr>
          <w:rStyle w:val="NormalTok"/>
        </w:rPr>
        <w:t xml:space="preserve">    </w:t>
      </w:r>
      <w:r>
        <w:rPr>
          <w:rStyle w:val="CommentTok"/>
        </w:rPr>
        <w:t xml:space="preserve">' Draw some text</w:t>
      </w:r>
      <w:r>
        <w:br/>
      </w:r>
      <w:r>
        <w:rPr>
          <w:rStyle w:val="NormalTok"/>
        </w:rPr>
        <w:t xml:space="preserve">    img.SetHexColor </w:t>
      </w:r>
      <w:r>
        <w:rPr>
          <w:rStyle w:val="StringTok"/>
        </w:rPr>
        <w:t xml:space="preserve">"#333333"</w:t>
      </w:r>
      <w:r>
        <w:br/>
      </w:r>
      <w:r>
        <w:rPr>
          <w:rStyle w:val="NormalTok"/>
        </w:rPr>
        <w:t xml:space="preserve">    </w:t>
      </w:r>
      <w:r>
        <w:rPr>
          <w:rStyle w:val="CommentTok"/>
        </w:rPr>
        <w:t xml:space="preserve">' Note: Requires a valid font path</w:t>
      </w:r>
      <w:r>
        <w:br/>
      </w:r>
      <w:r>
        <w:rPr>
          <w:rStyle w:val="NormalTok"/>
        </w:rPr>
        <w:t xml:space="preserve">    </w:t>
      </w:r>
      <w:r>
        <w:rPr>
          <w:rStyle w:val="ControlFlowTok"/>
        </w:rPr>
        <w:t xml:space="preserve">If</w:t>
      </w:r>
      <w:r>
        <w:rPr>
          <w:rStyle w:val="NormalTok"/>
        </w:rPr>
        <w:t xml:space="preserve"> img.LoadFontFace</w:t>
      </w:r>
      <w:r>
        <w:rPr>
          <w:rStyle w:val="OtherTok"/>
        </w:rPr>
        <w:t xml:space="preserve">(</w:t>
      </w:r>
      <w:r>
        <w:rPr>
          <w:rStyle w:val="StringTok"/>
        </w:rPr>
        <w:t xml:space="preserve">"C:\Windows\Fonts\arial.ttf"</w:t>
      </w:r>
      <w:r>
        <w:rPr>
          <w:rStyle w:val="OtherTok"/>
        </w:rPr>
        <w:t xml:space="preserve">,</w:t>
      </w:r>
      <w:r>
        <w:rPr>
          <w:rStyle w:val="NormalTok"/>
        </w:rPr>
        <w:t xml:space="preserve"> </w:t>
      </w:r>
      <w:r>
        <w:rPr>
          <w:rStyle w:val="DecValTok"/>
        </w:rPr>
        <w:t xml:space="preserve">24</w:t>
      </w:r>
      <w:r>
        <w:rPr>
          <w:rStyle w:val="OtherTok"/>
        </w:rPr>
        <w:t xml:space="preserve">)</w:t>
      </w:r>
      <w:r>
        <w:rPr>
          <w:rStyle w:val="NormalTok"/>
        </w:rPr>
        <w:t xml:space="preserve"> </w:t>
      </w:r>
      <w:r>
        <w:rPr>
          <w:rStyle w:val="ControlFlowTok"/>
        </w:rPr>
        <w:t xml:space="preserve">Then</w:t>
      </w:r>
      <w:r>
        <w:br/>
      </w:r>
      <w:r>
        <w:rPr>
          <w:rStyle w:val="NormalTok"/>
        </w:rPr>
        <w:t xml:space="preserve">        img.DrawStringAnchored </w:t>
      </w:r>
      <w:r>
        <w:rPr>
          <w:rStyle w:val="StringTok"/>
        </w:rPr>
        <w:t xml:space="preserve">"AxonASP G3IMAGE"</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FloatTok"/>
        </w:rPr>
        <w:t xml:space="preserve">0.5</w:t>
      </w:r>
      <w:r>
        <w:rPr>
          <w:rStyle w:val="OtherTok"/>
        </w:rPr>
        <w:t xml:space="preserve">,</w:t>
      </w:r>
      <w:r>
        <w:rPr>
          <w:rStyle w:val="NormalTok"/>
        </w:rPr>
        <w:t xml:space="preserve"> </w:t>
      </w:r>
      <w:r>
        <w:rPr>
          <w:rStyle w:val="FloatTok"/>
        </w:rPr>
        <w:t xml:space="preserve">0.5</w:t>
      </w:r>
      <w:r>
        <w:br/>
      </w:r>
      <w:r>
        <w:rPr>
          <w:rStyle w:val="NormalTok"/>
        </w:rPr>
        <w:t xml:space="preserve">    </w:t>
      </w:r>
      <w:r>
        <w:rPr>
          <w:rStyle w:val="ControlFlowTok"/>
        </w:rPr>
        <w:t xml:space="preserve">End If</w:t>
      </w:r>
      <w:r>
        <w:br/>
      </w:r>
      <w:r>
        <w:rPr>
          <w:rStyle w:val="NormalTok"/>
        </w:rPr>
        <w:t xml:space="preserve">    </w:t>
      </w:r>
      <w:r>
        <w:br/>
      </w:r>
      <w:r>
        <w:rPr>
          <w:rStyle w:val="NormalTok"/>
        </w:rPr>
        <w:t xml:space="preserve">    </w:t>
      </w:r>
      <w:r>
        <w:rPr>
          <w:rStyle w:val="CommentTok"/>
        </w:rPr>
        <w:t xml:space="preserve">' Render to byte array as PNG</w:t>
      </w:r>
      <w:r>
        <w:br/>
      </w:r>
      <w:r>
        <w:rPr>
          <w:rStyle w:val="NormalTok"/>
        </w:rPr>
        <w:t xml:space="preserve">    bytes = img.RenderViaTemp</w:t>
      </w:r>
      <w:r>
        <w:rPr>
          <w:rStyle w:val="OtherTok"/>
        </w:rPr>
        <w:t xml:space="preserve">(</w:t>
      </w:r>
      <w:r>
        <w:rPr>
          <w:rStyle w:val="StringTok"/>
        </w:rPr>
        <w:t xml:space="preserve">"png"</w:t>
      </w:r>
      <w:r>
        <w:rPr>
          <w:rStyle w:val="OtherTok"/>
        </w:rPr>
        <w:t xml:space="preserve">)</w:t>
      </w:r>
      <w:r>
        <w:br/>
      </w:r>
      <w:r>
        <w:rPr>
          <w:rStyle w:val="NormalTok"/>
        </w:rPr>
        <w:t xml:space="preserve">    </w:t>
      </w:r>
      <w:r>
        <w:br/>
      </w:r>
      <w:r>
        <w:rPr>
          <w:rStyle w:val="NormalTok"/>
        </w:rPr>
        <w:t xml:space="preserve">    </w:t>
      </w:r>
      <w:r>
        <w:rPr>
          <w:rStyle w:val="CommentTok"/>
        </w:rPr>
        <w:t xml:space="preserve">' Output to browser</w:t>
      </w:r>
      <w:r>
        <w:br/>
      </w:r>
      <w:r>
        <w:rPr>
          <w:rStyle w:val="NormalTok"/>
        </w:rPr>
        <w:t xml:space="preserve">    </w:t>
      </w:r>
      <w:r>
        <w:rPr>
          <w:rStyle w:val="FunctionTok"/>
        </w:rPr>
        <w:t xml:space="preserve">Response</w:t>
      </w:r>
      <w:r>
        <w:rPr>
          <w:rStyle w:val="NormalTok"/>
        </w:rPr>
        <w:t xml:space="preserve">.ContentType = img.LastMimeType</w:t>
      </w:r>
      <w:r>
        <w:br/>
      </w:r>
      <w:r>
        <w:rPr>
          <w:rStyle w:val="NormalTok"/>
        </w:rPr>
        <w:t xml:space="preserve">    </w:t>
      </w:r>
      <w:r>
        <w:rPr>
          <w:rStyle w:val="FunctionTok"/>
        </w:rPr>
        <w:t xml:space="preserve">Response</w:t>
      </w:r>
      <w:r>
        <w:rPr>
          <w:rStyle w:val="NormalTok"/>
        </w:rPr>
        <w:t xml:space="preserve">.BinaryWrite bytes</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img.LastError</w:t>
      </w:r>
      <w:r>
        <w:br/>
      </w:r>
      <w:r>
        <w:rPr>
          <w:rStyle w:val="ControlFlowTok"/>
        </w:rPr>
        <w:t xml:space="preserve">End If</w:t>
      </w:r>
      <w:r>
        <w:br/>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363"/>
    <w:bookmarkEnd w:id="3364"/>
    <w:bookmarkStart w:id="3368" w:name="g3image-methods"/>
    <w:p>
      <w:pPr>
        <w:pStyle w:val="Heading1"/>
      </w:pPr>
      <w:r>
        <w:t xml:space="preserve">G3IMAGE Methods</w:t>
      </w:r>
    </w:p>
    <w:bookmarkStart w:id="3365" w:name="overview-341"/>
    <w:p>
      <w:pPr>
        <w:pStyle w:val="Heading2"/>
      </w:pPr>
      <w:r>
        <w:t xml:space="preserve">Overview</w:t>
      </w:r>
    </w:p>
    <w:p>
      <w:pPr>
        <w:pStyle w:val="FirstParagraph"/>
      </w:pPr>
      <w:r>
        <w:t xml:space="preserve">This page summarizes every method exposed by</w:t>
      </w:r>
      <w:r>
        <w:t xml:space="preserve"> </w:t>
      </w:r>
      <w:r>
        <w:rPr>
          <w:rStyle w:val="VerbatimChar"/>
        </w:rPr>
        <w:t xml:space="preserve">G3IMAGE</w:t>
      </w:r>
      <w:r>
        <w:t xml:space="preserve"> </w:t>
      </w:r>
      <w:r>
        <w:t xml:space="preserve">and the</w:t>
      </w:r>
      <w:r>
        <w:t xml:space="preserve"> </w:t>
      </w:r>
      <w:r>
        <w:rPr>
          <w:rStyle w:val="VerbatimChar"/>
        </w:rPr>
        <w:t xml:space="preserve">Persits.Jpeg</w:t>
      </w:r>
      <w:r>
        <w:t xml:space="preserve"> </w:t>
      </w:r>
      <w:r>
        <w:t xml:space="preserve">compatibility layer in G3Pix AxonASP.</w:t>
      </w:r>
    </w:p>
    <w:bookmarkEnd w:id="3365"/>
    <w:bookmarkStart w:id="3366" w:name="methods-18"/>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Close()</w:t>
            </w:r>
          </w:p>
        </w:tc>
        <w:tc>
          <w:tcPr/>
          <w:p>
            <w:pPr>
              <w:pStyle w:val="Compact"/>
            </w:pPr>
            <w:r>
              <w:t xml:space="preserve">Boolean</w:t>
            </w:r>
          </w:p>
        </w:tc>
        <w:tc>
          <w:tcPr/>
          <w:p>
            <w:pPr>
              <w:pStyle w:val="Compact"/>
            </w:pPr>
            <w:r>
              <w:t xml:space="preserve">Releases drawing/image resources and resets internal state. Returns</w:t>
            </w:r>
            <w:r>
              <w:t xml:space="preserve"> </w:t>
            </w:r>
            <w:r>
              <w:rPr>
                <w:rStyle w:val="VerbatimChar"/>
              </w:rPr>
              <w:t xml:space="preserve">True</w:t>
            </w:r>
            <w:r>
              <w:t xml:space="preserve">.</w:t>
            </w:r>
          </w:p>
        </w:tc>
      </w:tr>
      <w:tr>
        <w:tc>
          <w:tcPr/>
          <w:p>
            <w:pPr>
              <w:pStyle w:val="Compact"/>
            </w:pPr>
            <w:r>
              <w:rPr>
                <w:rStyle w:val="VerbatimChar"/>
              </w:rPr>
              <w:t xml:space="preserve">NewContext(width, height)</w:t>
            </w:r>
          </w:p>
        </w:tc>
        <w:tc>
          <w:tcPr/>
          <w:p>
            <w:pPr>
              <w:pStyle w:val="Compact"/>
            </w:pPr>
            <w:r>
              <w:t xml:space="preserve">Boolean or Empty</w:t>
            </w:r>
          </w:p>
        </w:tc>
        <w:tc>
          <w:tcPr/>
          <w:p>
            <w:pPr>
              <w:pStyle w:val="Compact"/>
            </w:pPr>
            <w:r>
              <w:t xml:space="preserve">Creates a new drawing context. Returns</w:t>
            </w:r>
            <w:r>
              <w:t xml:space="preserve"> </w:t>
            </w:r>
            <w:r>
              <w:rPr>
                <w:rStyle w:val="VerbatimChar"/>
              </w:rPr>
              <w:t xml:space="preserve">True</w:t>
            </w:r>
            <w:r>
              <w:t xml:space="preserve"> </w:t>
            </w:r>
            <w:r>
              <w:t xml:space="preserve">on success, Empty when arguments are invalid.</w:t>
            </w:r>
          </w:p>
        </w:tc>
      </w:tr>
      <w:tr>
        <w:tc>
          <w:tcPr/>
          <w:p>
            <w:pPr>
              <w:pStyle w:val="Compact"/>
            </w:pPr>
            <w:r>
              <w:rPr>
                <w:rStyle w:val="VerbatimChar"/>
              </w:rPr>
              <w:t xml:space="preserve">LoadImage(path)</w:t>
            </w:r>
          </w:p>
        </w:tc>
        <w:tc>
          <w:tcPr/>
          <w:p>
            <w:pPr>
              <w:pStyle w:val="Compact"/>
            </w:pPr>
            <w:r>
              <w:t xml:space="preserve">Boolean or Empty</w:t>
            </w:r>
          </w:p>
        </w:tc>
        <w:tc>
          <w:tcPr/>
          <w:p>
            <w:pPr>
              <w:pStyle w:val="Compact"/>
            </w:pPr>
            <w:r>
              <w:t xml:space="preserve">Loads image from file using auto-decoding. Returns</w:t>
            </w:r>
            <w:r>
              <w:t xml:space="preserve"> </w:t>
            </w:r>
            <w:r>
              <w:rPr>
                <w:rStyle w:val="VerbatimChar"/>
              </w:rPr>
              <w:t xml:space="preserve">True</w:t>
            </w:r>
            <w:r>
              <w:t xml:space="preserve"> </w:t>
            </w:r>
            <w:r>
              <w:t xml:space="preserve">on success, Empty on failure.</w:t>
            </w:r>
          </w:p>
        </w:tc>
      </w:tr>
      <w:tr>
        <w:tc>
          <w:tcPr/>
          <w:p>
            <w:pPr>
              <w:pStyle w:val="Compact"/>
            </w:pPr>
            <w:r>
              <w:rPr>
                <w:rStyle w:val="VerbatimChar"/>
              </w:rPr>
              <w:t xml:space="preserve">LoadPNG(path)</w:t>
            </w:r>
          </w:p>
        </w:tc>
        <w:tc>
          <w:tcPr/>
          <w:p>
            <w:pPr>
              <w:pStyle w:val="Compact"/>
            </w:pPr>
            <w:r>
              <w:t xml:space="preserve">Boolean or Empty</w:t>
            </w:r>
          </w:p>
        </w:tc>
        <w:tc>
          <w:tcPr/>
          <w:p>
            <w:pPr>
              <w:pStyle w:val="Compact"/>
            </w:pPr>
            <w:r>
              <w:t xml:space="preserve">Loads PNG image from file. Returns</w:t>
            </w:r>
            <w:r>
              <w:t xml:space="preserve"> </w:t>
            </w:r>
            <w:r>
              <w:rPr>
                <w:rStyle w:val="VerbatimChar"/>
              </w:rPr>
              <w:t xml:space="preserve">True</w:t>
            </w:r>
            <w:r>
              <w:t xml:space="preserve"> </w:t>
            </w:r>
            <w:r>
              <w:t xml:space="preserve">on success, Empty on failure.</w:t>
            </w:r>
          </w:p>
        </w:tc>
      </w:tr>
      <w:tr>
        <w:tc>
          <w:tcPr/>
          <w:p>
            <w:pPr>
              <w:pStyle w:val="Compact"/>
            </w:pPr>
            <w:r>
              <w:rPr>
                <w:rStyle w:val="VerbatimChar"/>
              </w:rPr>
              <w:t xml:space="preserve">LoadJPG(path)</w:t>
            </w:r>
          </w:p>
        </w:tc>
        <w:tc>
          <w:tcPr/>
          <w:p>
            <w:pPr>
              <w:pStyle w:val="Compact"/>
            </w:pPr>
            <w:r>
              <w:t xml:space="preserve">Boolean or Empty</w:t>
            </w:r>
          </w:p>
        </w:tc>
        <w:tc>
          <w:tcPr/>
          <w:p>
            <w:pPr>
              <w:pStyle w:val="Compact"/>
            </w:pPr>
            <w:r>
              <w:t xml:space="preserve">Loads JPEG image from file. Returns</w:t>
            </w:r>
            <w:r>
              <w:t xml:space="preserve"> </w:t>
            </w:r>
            <w:r>
              <w:rPr>
                <w:rStyle w:val="VerbatimChar"/>
              </w:rPr>
              <w:t xml:space="preserve">True</w:t>
            </w:r>
            <w:r>
              <w:t xml:space="preserve"> </w:t>
            </w:r>
            <w:r>
              <w:t xml:space="preserve">on success, Empty on failure.</w:t>
            </w:r>
          </w:p>
        </w:tc>
      </w:tr>
      <w:tr>
        <w:tc>
          <w:tcPr/>
          <w:p>
            <w:pPr>
              <w:pStyle w:val="Compact"/>
            </w:pPr>
            <w:r>
              <w:rPr>
                <w:rStyle w:val="VerbatimChar"/>
              </w:rPr>
              <w:t xml:space="preserve">ContextForImage()</w:t>
            </w:r>
          </w:p>
        </w:tc>
        <w:tc>
          <w:tcPr/>
          <w:p>
            <w:pPr>
              <w:pStyle w:val="Compact"/>
            </w:pPr>
            <w:r>
              <w:t xml:space="preserve">Boolean</w:t>
            </w:r>
          </w:p>
        </w:tc>
        <w:tc>
          <w:tcPr/>
          <w:p>
            <w:pPr>
              <w:pStyle w:val="Compact"/>
            </w:pPr>
            <w:r>
              <w:t xml:space="preserve">Creates drawing context from last loaded image. Returns</w:t>
            </w:r>
            <w:r>
              <w:t xml:space="preserve"> </w:t>
            </w:r>
            <w:r>
              <w:rPr>
                <w:rStyle w:val="VerbatimChar"/>
              </w:rPr>
              <w:t xml:space="preserve">True</w:t>
            </w:r>
            <w:r>
              <w:t xml:space="preserve"> </w:t>
            </w:r>
            <w:r>
              <w:t xml:space="preserve">on success,</w:t>
            </w:r>
            <w:r>
              <w:t xml:space="preserve"> </w:t>
            </w:r>
            <w:r>
              <w:rPr>
                <w:rStyle w:val="VerbatimChar"/>
              </w:rPr>
              <w:t xml:space="preserve">False</w:t>
            </w:r>
            <w:r>
              <w:t xml:space="preserve"> </w:t>
            </w:r>
            <w:r>
              <w:t xml:space="preserve">when no image is loaded.</w:t>
            </w:r>
          </w:p>
        </w:tc>
      </w:tr>
      <w:tr>
        <w:tc>
          <w:tcPr/>
          <w:p>
            <w:pPr>
              <w:pStyle w:val="Compact"/>
            </w:pPr>
            <w:r>
              <w:rPr>
                <w:rStyle w:val="VerbatimChar"/>
              </w:rPr>
              <w:t xml:space="preserve">SavePNG(path)</w:t>
            </w:r>
          </w:p>
        </w:tc>
        <w:tc>
          <w:tcPr/>
          <w:p>
            <w:pPr>
              <w:pStyle w:val="Compact"/>
            </w:pPr>
            <w:r>
              <w:t xml:space="preserve">Boolean</w:t>
            </w:r>
          </w:p>
        </w:tc>
        <w:tc>
          <w:tcPr/>
          <w:p>
            <w:pPr>
              <w:pStyle w:val="Compact"/>
            </w:pPr>
            <w:r>
              <w:t xml:space="preserve">Saves active context as PNG.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SaveJPG(path [, quality])</w:t>
            </w:r>
          </w:p>
        </w:tc>
        <w:tc>
          <w:tcPr/>
          <w:p>
            <w:pPr>
              <w:pStyle w:val="Compact"/>
            </w:pPr>
            <w:r>
              <w:t xml:space="preserve">Boolean</w:t>
            </w:r>
          </w:p>
        </w:tc>
        <w:tc>
          <w:tcPr/>
          <w:p>
            <w:pPr>
              <w:pStyle w:val="Compact"/>
            </w:pPr>
            <w:r>
              <w:t xml:space="preserve">Saves active context as JPEG.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SetHexColor(hexColor)</w:t>
            </w:r>
          </w:p>
        </w:tc>
        <w:tc>
          <w:tcPr/>
          <w:p>
            <w:pPr>
              <w:pStyle w:val="Compact"/>
            </w:pPr>
            <w:r>
              <w:t xml:space="preserve">Empty</w:t>
            </w:r>
          </w:p>
        </w:tc>
        <w:tc>
          <w:tcPr/>
          <w:p>
            <w:pPr>
              <w:pStyle w:val="Compact"/>
            </w:pPr>
            <w:r>
              <w:t xml:space="preserve">Sets current drawing color from hexadecimal value.</w:t>
            </w:r>
          </w:p>
        </w:tc>
      </w:tr>
      <w:tr>
        <w:tc>
          <w:tcPr/>
          <w:p>
            <w:pPr>
              <w:pStyle w:val="Compact"/>
            </w:pPr>
            <w:r>
              <w:rPr>
                <w:rStyle w:val="VerbatimChar"/>
              </w:rPr>
              <w:t xml:space="preserve">SetColor(colorText)</w:t>
            </w:r>
          </w:p>
        </w:tc>
        <w:tc>
          <w:tcPr/>
          <w:p>
            <w:pPr>
              <w:pStyle w:val="Compact"/>
            </w:pPr>
            <w:r>
              <w:t xml:space="preserve">Empty</w:t>
            </w:r>
          </w:p>
        </w:tc>
        <w:tc>
          <w:tcPr/>
          <w:p>
            <w:pPr>
              <w:pStyle w:val="Compact"/>
            </w:pPr>
            <w:r>
              <w:t xml:space="preserve">Sets current drawing color from color text value.</w:t>
            </w:r>
          </w:p>
        </w:tc>
      </w:tr>
      <w:tr>
        <w:tc>
          <w:tcPr/>
          <w:p>
            <w:pPr>
              <w:pStyle w:val="Compact"/>
            </w:pPr>
            <w:r>
              <w:rPr>
                <w:rStyle w:val="VerbatimChar"/>
              </w:rPr>
              <w:t xml:space="preserve">Clear()</w:t>
            </w:r>
          </w:p>
        </w:tc>
        <w:tc>
          <w:tcPr/>
          <w:p>
            <w:pPr>
              <w:pStyle w:val="Compact"/>
            </w:pPr>
            <w:r>
              <w:t xml:space="preserve">Empty</w:t>
            </w:r>
          </w:p>
        </w:tc>
        <w:tc>
          <w:tcPr/>
          <w:p>
            <w:pPr>
              <w:pStyle w:val="Compact"/>
            </w:pPr>
            <w:r>
              <w:t xml:space="preserve">Clears the active context.</w:t>
            </w:r>
          </w:p>
        </w:tc>
      </w:tr>
      <w:tr>
        <w:tc>
          <w:tcPr/>
          <w:p>
            <w:pPr>
              <w:pStyle w:val="Compact"/>
            </w:pPr>
            <w:r>
              <w:rPr>
                <w:rStyle w:val="VerbatimChar"/>
              </w:rPr>
              <w:t xml:space="preserve">SetLineWidth(width)</w:t>
            </w:r>
          </w:p>
        </w:tc>
        <w:tc>
          <w:tcPr/>
          <w:p>
            <w:pPr>
              <w:pStyle w:val="Compact"/>
            </w:pPr>
            <w:r>
              <w:t xml:space="preserve">Empty</w:t>
            </w:r>
          </w:p>
        </w:tc>
        <w:tc>
          <w:tcPr/>
          <w:p>
            <w:pPr>
              <w:pStyle w:val="Compact"/>
            </w:pPr>
            <w:r>
              <w:t xml:space="preserve">Sets stroke width for subsequent path operations.</w:t>
            </w:r>
          </w:p>
        </w:tc>
      </w:tr>
      <w:tr>
        <w:tc>
          <w:tcPr/>
          <w:p>
            <w:pPr>
              <w:pStyle w:val="Compact"/>
            </w:pPr>
            <w:r>
              <w:rPr>
                <w:rStyle w:val="VerbatimChar"/>
              </w:rPr>
              <w:t xml:space="preserve">DrawLine(x1, y1, x2, y2)</w:t>
            </w:r>
          </w:p>
        </w:tc>
        <w:tc>
          <w:tcPr/>
          <w:p>
            <w:pPr>
              <w:pStyle w:val="Compact"/>
            </w:pPr>
            <w:r>
              <w:t xml:space="preserve">Empty</w:t>
            </w:r>
          </w:p>
        </w:tc>
        <w:tc>
          <w:tcPr/>
          <w:p>
            <w:pPr>
              <w:pStyle w:val="Compact"/>
            </w:pPr>
            <w:r>
              <w:t xml:space="preserve">Adds a line path segment to the active context.</w:t>
            </w:r>
          </w:p>
        </w:tc>
      </w:tr>
      <w:tr>
        <w:tc>
          <w:tcPr/>
          <w:p>
            <w:pPr>
              <w:pStyle w:val="Compact"/>
            </w:pPr>
            <w:r>
              <w:rPr>
                <w:rStyle w:val="VerbatimChar"/>
              </w:rPr>
              <w:t xml:space="preserve">DrawRectangle(x, y, width, height)</w:t>
            </w:r>
          </w:p>
        </w:tc>
        <w:tc>
          <w:tcPr/>
          <w:p>
            <w:pPr>
              <w:pStyle w:val="Compact"/>
            </w:pPr>
            <w:r>
              <w:t xml:space="preserve">Empty</w:t>
            </w:r>
          </w:p>
        </w:tc>
        <w:tc>
          <w:tcPr/>
          <w:p>
            <w:pPr>
              <w:pStyle w:val="Compact"/>
            </w:pPr>
            <w:r>
              <w:t xml:space="preserve">Adds a rectangle path to the active context.</w:t>
            </w:r>
          </w:p>
        </w:tc>
      </w:tr>
      <w:tr>
        <w:tc>
          <w:tcPr/>
          <w:p>
            <w:pPr>
              <w:pStyle w:val="Compact"/>
            </w:pPr>
            <w:r>
              <w:rPr>
                <w:rStyle w:val="VerbatimChar"/>
              </w:rPr>
              <w:t xml:space="preserve">DrawCircle(x, y, radius)</w:t>
            </w:r>
          </w:p>
        </w:tc>
        <w:tc>
          <w:tcPr/>
          <w:p>
            <w:pPr>
              <w:pStyle w:val="Compact"/>
            </w:pPr>
            <w:r>
              <w:t xml:space="preserve">Empty</w:t>
            </w:r>
          </w:p>
        </w:tc>
        <w:tc>
          <w:tcPr/>
          <w:p>
            <w:pPr>
              <w:pStyle w:val="Compact"/>
            </w:pPr>
            <w:r>
              <w:t xml:space="preserve">Adds a circle path to the active context.</w:t>
            </w:r>
          </w:p>
        </w:tc>
      </w:tr>
      <w:tr>
        <w:tc>
          <w:tcPr/>
          <w:p>
            <w:pPr>
              <w:pStyle w:val="Compact"/>
            </w:pPr>
            <w:r>
              <w:rPr>
                <w:rStyle w:val="VerbatimChar"/>
              </w:rPr>
              <w:t xml:space="preserve">DrawEllipse(x, y, rx, ry)</w:t>
            </w:r>
          </w:p>
        </w:tc>
        <w:tc>
          <w:tcPr/>
          <w:p>
            <w:pPr>
              <w:pStyle w:val="Compact"/>
            </w:pPr>
            <w:r>
              <w:t xml:space="preserve">Empty</w:t>
            </w:r>
          </w:p>
        </w:tc>
        <w:tc>
          <w:tcPr/>
          <w:p>
            <w:pPr>
              <w:pStyle w:val="Compact"/>
            </w:pPr>
            <w:r>
              <w:t xml:space="preserve">Adds an ellipse path to the active context.</w:t>
            </w:r>
          </w:p>
        </w:tc>
      </w:tr>
      <w:tr>
        <w:tc>
          <w:tcPr/>
          <w:p>
            <w:pPr>
              <w:pStyle w:val="Compact"/>
            </w:pPr>
            <w:r>
              <w:rPr>
                <w:rStyle w:val="VerbatimChar"/>
              </w:rPr>
              <w:t xml:space="preserve">Stroke()</w:t>
            </w:r>
          </w:p>
        </w:tc>
        <w:tc>
          <w:tcPr/>
          <w:p>
            <w:pPr>
              <w:pStyle w:val="Compact"/>
            </w:pPr>
            <w:r>
              <w:t xml:space="preserve">Empty</w:t>
            </w:r>
          </w:p>
        </w:tc>
        <w:tc>
          <w:tcPr/>
          <w:p>
            <w:pPr>
              <w:pStyle w:val="Compact"/>
            </w:pPr>
            <w:r>
              <w:t xml:space="preserve">Strokes the current path.</w:t>
            </w:r>
          </w:p>
        </w:tc>
      </w:tr>
      <w:tr>
        <w:tc>
          <w:tcPr/>
          <w:p>
            <w:pPr>
              <w:pStyle w:val="Compact"/>
            </w:pPr>
            <w:r>
              <w:rPr>
                <w:rStyle w:val="VerbatimChar"/>
              </w:rPr>
              <w:t xml:space="preserve">Fill()</w:t>
            </w:r>
          </w:p>
        </w:tc>
        <w:tc>
          <w:tcPr/>
          <w:p>
            <w:pPr>
              <w:pStyle w:val="Compact"/>
            </w:pPr>
            <w:r>
              <w:t xml:space="preserve">Empty</w:t>
            </w:r>
          </w:p>
        </w:tc>
        <w:tc>
          <w:tcPr/>
          <w:p>
            <w:pPr>
              <w:pStyle w:val="Compact"/>
            </w:pPr>
            <w:r>
              <w:t xml:space="preserve">Fills the current path.</w:t>
            </w:r>
          </w:p>
        </w:tc>
      </w:tr>
      <w:tr>
        <w:tc>
          <w:tcPr/>
          <w:p>
            <w:pPr>
              <w:pStyle w:val="Compact"/>
            </w:pPr>
            <w:r>
              <w:rPr>
                <w:rStyle w:val="VerbatimChar"/>
              </w:rPr>
              <w:t xml:space="preserve">FillPreserve()</w:t>
            </w:r>
          </w:p>
        </w:tc>
        <w:tc>
          <w:tcPr/>
          <w:p>
            <w:pPr>
              <w:pStyle w:val="Compact"/>
            </w:pPr>
            <w:r>
              <w:t xml:space="preserve">Empty</w:t>
            </w:r>
          </w:p>
        </w:tc>
        <w:tc>
          <w:tcPr/>
          <w:p>
            <w:pPr>
              <w:pStyle w:val="Compact"/>
            </w:pPr>
            <w:r>
              <w:t xml:space="preserve">Fills the current path and preserves path data.</w:t>
            </w:r>
          </w:p>
        </w:tc>
      </w:tr>
      <w:tr>
        <w:tc>
          <w:tcPr/>
          <w:p>
            <w:pPr>
              <w:pStyle w:val="Compact"/>
            </w:pPr>
            <w:r>
              <w:rPr>
                <w:rStyle w:val="VerbatimChar"/>
              </w:rPr>
              <w:t xml:space="preserve">StrokePreserve()</w:t>
            </w:r>
          </w:p>
        </w:tc>
        <w:tc>
          <w:tcPr/>
          <w:p>
            <w:pPr>
              <w:pStyle w:val="Compact"/>
            </w:pPr>
            <w:r>
              <w:t xml:space="preserve">Empty</w:t>
            </w:r>
          </w:p>
        </w:tc>
        <w:tc>
          <w:tcPr/>
          <w:p>
            <w:pPr>
              <w:pStyle w:val="Compact"/>
            </w:pPr>
            <w:r>
              <w:t xml:space="preserve">Strokes the current path and preserves path data.</w:t>
            </w:r>
          </w:p>
        </w:tc>
      </w:tr>
      <w:tr>
        <w:tc>
          <w:tcPr/>
          <w:p>
            <w:pPr>
              <w:pStyle w:val="Compact"/>
            </w:pPr>
            <w:r>
              <w:rPr>
                <w:rStyle w:val="VerbatimChar"/>
              </w:rPr>
              <w:t xml:space="preserve">LoadFontFace(path, points)</w:t>
            </w:r>
          </w:p>
        </w:tc>
        <w:tc>
          <w:tcPr/>
          <w:p>
            <w:pPr>
              <w:pStyle w:val="Compact"/>
            </w:pPr>
            <w:r>
              <w:t xml:space="preserve">Boolean</w:t>
            </w:r>
          </w:p>
        </w:tc>
        <w:tc>
          <w:tcPr/>
          <w:p>
            <w:pPr>
              <w:pStyle w:val="Compact"/>
            </w:pPr>
            <w:r>
              <w:t xml:space="preserve">Loads a font face and applies it to active context when present.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DrawString(text, x, y)</w:t>
            </w:r>
          </w:p>
        </w:tc>
        <w:tc>
          <w:tcPr/>
          <w:p>
            <w:pPr>
              <w:pStyle w:val="Compact"/>
            </w:pPr>
            <w:r>
              <w:t xml:space="preserve">Empty</w:t>
            </w:r>
          </w:p>
        </w:tc>
        <w:tc>
          <w:tcPr/>
          <w:p>
            <w:pPr>
              <w:pStyle w:val="Compact"/>
            </w:pPr>
            <w:r>
              <w:t xml:space="preserve">Draws text at coordinates.</w:t>
            </w:r>
          </w:p>
        </w:tc>
      </w:tr>
      <w:tr>
        <w:tc>
          <w:tcPr/>
          <w:p>
            <w:pPr>
              <w:pStyle w:val="Compact"/>
            </w:pPr>
            <w:r>
              <w:rPr>
                <w:rStyle w:val="VerbatimChar"/>
              </w:rPr>
              <w:t xml:space="preserve">DrawStringAnchored(text, x, y, ax, ay)</w:t>
            </w:r>
          </w:p>
        </w:tc>
        <w:tc>
          <w:tcPr/>
          <w:p>
            <w:pPr>
              <w:pStyle w:val="Compact"/>
            </w:pPr>
            <w:r>
              <w:t xml:space="preserve">Empty</w:t>
            </w:r>
          </w:p>
        </w:tc>
        <w:tc>
          <w:tcPr/>
          <w:p>
            <w:pPr>
              <w:pStyle w:val="Compact"/>
            </w:pPr>
            <w:r>
              <w:t xml:space="preserve">Draws anchored text with alignment factors.</w:t>
            </w:r>
          </w:p>
        </w:tc>
      </w:tr>
      <w:tr>
        <w:tc>
          <w:tcPr/>
          <w:p>
            <w:pPr>
              <w:pStyle w:val="Compact"/>
            </w:pPr>
            <w:r>
              <w:rPr>
                <w:rStyle w:val="VerbatimChar"/>
              </w:rPr>
              <w:t xml:space="preserve">MeasureString(text)</w:t>
            </w:r>
          </w:p>
        </w:tc>
        <w:tc>
          <w:tcPr/>
          <w:p>
            <w:pPr>
              <w:pStyle w:val="Compact"/>
            </w:pPr>
            <w:r>
              <w:t xml:space="preserve">Array or Empty</w:t>
            </w:r>
          </w:p>
        </w:tc>
        <w:tc>
          <w:tcPr/>
          <w:p>
            <w:pPr>
              <w:pStyle w:val="Compact"/>
            </w:pPr>
            <w:r>
              <w:t xml:space="preserve">Returns two-element array</w:t>
            </w:r>
            <w:r>
              <w:t xml:space="preserve"> </w:t>
            </w:r>
            <w:r>
              <w:rPr>
                <w:rStyle w:val="VerbatimChar"/>
              </w:rPr>
              <w:t xml:space="preserve">[width, height]</w:t>
            </w:r>
            <w:r>
              <w:t xml:space="preserve"> </w:t>
            </w:r>
            <w:r>
              <w:t xml:space="preserve">as Double values, or Empty when no context is active.</w:t>
            </w:r>
          </w:p>
        </w:tc>
      </w:tr>
      <w:tr>
        <w:tc>
          <w:tcPr/>
          <w:p>
            <w:pPr>
              <w:pStyle w:val="Compact"/>
            </w:pPr>
            <w:r>
              <w:rPr>
                <w:rStyle w:val="VerbatimChar"/>
              </w:rPr>
              <w:t xml:space="preserve">DrawImage(x, y)</w:t>
            </w:r>
            <w:r>
              <w:t xml:space="preserve"> </w:t>
            </w:r>
            <w:r>
              <w:t xml:space="preserve">/</w:t>
            </w:r>
            <w:r>
              <w:t xml:space="preserve"> </w:t>
            </w:r>
            <w:r>
              <w:rPr>
                <w:rStyle w:val="VerbatimChar"/>
              </w:rPr>
              <w:t xml:space="preserve">DrawImage(x, y, JpegObject)</w:t>
            </w:r>
          </w:p>
        </w:tc>
        <w:tc>
          <w:tcPr/>
          <w:p>
            <w:pPr>
              <w:pStyle w:val="Compact"/>
            </w:pPr>
            <w:r>
              <w:t xml:space="preserve">Empty</w:t>
            </w:r>
          </w:p>
        </w:tc>
        <w:tc>
          <w:tcPr/>
          <w:p>
            <w:pPr>
              <w:pStyle w:val="Compact"/>
            </w:pPr>
            <w:r>
              <w:t xml:space="preserve">Draws last loaded image or another Jpeg object instance over the current one.</w:t>
            </w:r>
          </w:p>
        </w:tc>
      </w:tr>
      <w:tr>
        <w:tc>
          <w:tcPr/>
          <w:p>
            <w:pPr>
              <w:pStyle w:val="Compact"/>
            </w:pPr>
            <w:r>
              <w:rPr>
                <w:rStyle w:val="VerbatimChar"/>
              </w:rPr>
              <w:t xml:space="preserve">RenderViaTemp([format] [, quality])</w:t>
            </w:r>
          </w:p>
        </w:tc>
        <w:tc>
          <w:tcPr/>
          <w:p>
            <w:pPr>
              <w:pStyle w:val="Compact"/>
            </w:pPr>
            <w:r>
              <w:t xml:space="preserve">Array or Empty</w:t>
            </w:r>
          </w:p>
        </w:tc>
        <w:tc>
          <w:tcPr/>
          <w:p>
            <w:pPr>
              <w:pStyle w:val="Compact"/>
            </w:pPr>
            <w:r>
              <w:t xml:space="preserve">Renders current image and returns byte array; returns Empty on render failure.</w:t>
            </w:r>
          </w:p>
        </w:tc>
      </w:tr>
      <w:tr>
        <w:tc>
          <w:tcPr/>
          <w:p>
            <w:pPr>
              <w:pStyle w:val="Compact"/>
            </w:pPr>
            <w:r>
              <w:rPr>
                <w:rStyle w:val="VerbatimChar"/>
              </w:rPr>
              <w:t xml:space="preserve">Open(path)</w:t>
            </w:r>
          </w:p>
        </w:tc>
        <w:tc>
          <w:tcPr/>
          <w:p>
            <w:pPr>
              <w:pStyle w:val="Compact"/>
            </w:pPr>
            <w:r>
              <w:t xml:space="preserve">Boolean or Empty</w:t>
            </w:r>
          </w:p>
        </w:tc>
        <w:tc>
          <w:tcPr/>
          <w:p>
            <w:pPr>
              <w:pStyle w:val="Compact"/>
            </w:pPr>
            <w:r>
              <w:rPr>
                <w:b/>
                <w:bCs/>
              </w:rPr>
              <w:t xml:space="preserve">(Persits.Jpeg Compatibility)</w:t>
            </w:r>
            <w:r>
              <w:t xml:space="preserve"> </w:t>
            </w:r>
            <w:r>
              <w:t xml:space="preserve">Opens an image from local disk.</w:t>
            </w:r>
          </w:p>
        </w:tc>
      </w:tr>
      <w:tr>
        <w:tc>
          <w:tcPr/>
          <w:p>
            <w:pPr>
              <w:pStyle w:val="Compact"/>
            </w:pPr>
            <w:r>
              <w:rPr>
                <w:rStyle w:val="VerbatimChar"/>
              </w:rPr>
              <w:t xml:space="preserve">Save(path)</w:t>
            </w:r>
          </w:p>
        </w:tc>
        <w:tc>
          <w:tcPr/>
          <w:p>
            <w:pPr>
              <w:pStyle w:val="Compact"/>
            </w:pPr>
            <w:r>
              <w:t xml:space="preserve">Boolean or Empty</w:t>
            </w:r>
          </w:p>
        </w:tc>
        <w:tc>
          <w:tcPr/>
          <w:p>
            <w:pPr>
              <w:pStyle w:val="Compact"/>
            </w:pPr>
            <w:r>
              <w:rPr>
                <w:b/>
                <w:bCs/>
              </w:rPr>
              <w:t xml:space="preserve">(Persits.Jpeg Compatibility)</w:t>
            </w:r>
            <w:r>
              <w:t xml:space="preserve"> </w:t>
            </w:r>
            <w:r>
              <w:t xml:space="preserve">Saves the modified image to disk.</w:t>
            </w:r>
          </w:p>
        </w:tc>
      </w:tr>
      <w:tr>
        <w:tc>
          <w:tcPr/>
          <w:p>
            <w:pPr>
              <w:pStyle w:val="Compact"/>
            </w:pPr>
            <w:r>
              <w:rPr>
                <w:rStyle w:val="VerbatimChar"/>
              </w:rPr>
              <w:t xml:space="preserve">SendBinary()</w:t>
            </w:r>
          </w:p>
        </w:tc>
        <w:tc>
          <w:tcPr/>
          <w:p>
            <w:pPr>
              <w:pStyle w:val="Compact"/>
            </w:pPr>
            <w:r>
              <w:t xml:space="preserve">Array</w:t>
            </w:r>
          </w:p>
        </w:tc>
        <w:tc>
          <w:tcPr/>
          <w:p>
            <w:pPr>
              <w:pStyle w:val="Compact"/>
            </w:pPr>
            <w:r>
              <w:rPr>
                <w:b/>
                <w:bCs/>
              </w:rPr>
              <w:t xml:space="preserve">(Persits.Jpeg Compatibility)</w:t>
            </w:r>
            <w:r>
              <w:t xml:space="preserve"> </w:t>
            </w:r>
            <w:r>
              <w:t xml:space="preserve">Returns the image as a binary byte array.</w:t>
            </w:r>
          </w:p>
        </w:tc>
      </w:tr>
      <w:tr>
        <w:tc>
          <w:tcPr/>
          <w:p>
            <w:pPr>
              <w:pStyle w:val="Compact"/>
            </w:pPr>
            <w:r>
              <w:rPr>
                <w:rStyle w:val="VerbatimChar"/>
              </w:rPr>
              <w:t xml:space="preserve">New(width, height, color)</w:t>
            </w:r>
          </w:p>
        </w:tc>
        <w:tc>
          <w:tcPr/>
          <w:p>
            <w:pPr>
              <w:pStyle w:val="Compact"/>
            </w:pPr>
            <w:r>
              <w:t xml:space="preserve">Boolean</w:t>
            </w:r>
          </w:p>
        </w:tc>
        <w:tc>
          <w:tcPr/>
          <w:p>
            <w:pPr>
              <w:pStyle w:val="Compact"/>
            </w:pPr>
            <w:r>
              <w:rPr>
                <w:b/>
                <w:bCs/>
              </w:rPr>
              <w:t xml:space="preserve">(Persits.Jpeg Compatibility)</w:t>
            </w:r>
            <w:r>
              <w:t xml:space="preserve"> </w:t>
            </w:r>
            <w:r>
              <w:t xml:space="preserve">Initializes a blank canvas filled with specified color.</w:t>
            </w:r>
          </w:p>
        </w:tc>
      </w:tr>
      <w:tr>
        <w:tc>
          <w:tcPr/>
          <w:p>
            <w:pPr>
              <w:pStyle w:val="Compact"/>
            </w:pPr>
            <w:r>
              <w:rPr>
                <w:rStyle w:val="VerbatimChar"/>
              </w:rPr>
              <w:t xml:space="preserve">Crop(x0, y0, x1, y1)</w:t>
            </w:r>
          </w:p>
        </w:tc>
        <w:tc>
          <w:tcPr/>
          <w:p>
            <w:pPr>
              <w:pStyle w:val="Compact"/>
            </w:pPr>
            <w:r>
              <w:t xml:space="preserve">Boolean</w:t>
            </w:r>
          </w:p>
        </w:tc>
        <w:tc>
          <w:tcPr/>
          <w:p>
            <w:pPr>
              <w:pStyle w:val="Compact"/>
            </w:pPr>
            <w:r>
              <w:rPr>
                <w:b/>
                <w:bCs/>
              </w:rPr>
              <w:t xml:space="preserve">(Persits.Jpeg Compatibility)</w:t>
            </w:r>
            <w:r>
              <w:t xml:space="preserve"> </w:t>
            </w:r>
            <w:r>
              <w:t xml:space="preserve">Crops the image to specified coordinates.</w:t>
            </w:r>
          </w:p>
        </w:tc>
      </w:tr>
      <w:tr>
        <w:tc>
          <w:tcPr/>
          <w:p>
            <w:pPr>
              <w:pStyle w:val="Compact"/>
            </w:pPr>
            <w:r>
              <w:rPr>
                <w:rStyle w:val="VerbatimChar"/>
              </w:rPr>
              <w:t xml:space="preserve">Sharpen(radius, amount)</w:t>
            </w:r>
          </w:p>
        </w:tc>
        <w:tc>
          <w:tcPr/>
          <w:p>
            <w:pPr>
              <w:pStyle w:val="Compact"/>
            </w:pPr>
            <w:r>
              <w:t xml:space="preserve">Empty</w:t>
            </w:r>
          </w:p>
        </w:tc>
        <w:tc>
          <w:tcPr/>
          <w:p>
            <w:pPr>
              <w:pStyle w:val="Compact"/>
            </w:pPr>
            <w:r>
              <w:rPr>
                <w:b/>
                <w:bCs/>
              </w:rPr>
              <w:t xml:space="preserve">(Persits.Jpeg Compatibility)</w:t>
            </w:r>
            <w:r>
              <w:t xml:space="preserve"> </w:t>
            </w:r>
            <w:r>
              <w:t xml:space="preserve">Applies a sharpening filter.</w:t>
            </w:r>
          </w:p>
        </w:tc>
      </w:tr>
      <w:tr>
        <w:tc>
          <w:tcPr/>
          <w:p>
            <w:pPr>
              <w:pStyle w:val="Compact"/>
            </w:pPr>
            <w:r>
              <w:rPr>
                <w:rStyle w:val="VerbatimChar"/>
              </w:rPr>
              <w:t xml:space="preserve">Canvas.PrintText(x, y, text)</w:t>
            </w:r>
          </w:p>
        </w:tc>
        <w:tc>
          <w:tcPr/>
          <w:p>
            <w:pPr>
              <w:pStyle w:val="Compact"/>
            </w:pPr>
            <w:r>
              <w:t xml:space="preserve">Empty</w:t>
            </w:r>
          </w:p>
        </w:tc>
        <w:tc>
          <w:tcPr/>
          <w:p>
            <w:pPr>
              <w:pStyle w:val="Compact"/>
            </w:pPr>
            <w:r>
              <w:rPr>
                <w:b/>
                <w:bCs/>
              </w:rPr>
              <w:t xml:space="preserve">(Persits.Jpeg Canvas Compatibility)</w:t>
            </w:r>
            <w:r>
              <w:t xml:space="preserve"> </w:t>
            </w:r>
            <w:r>
              <w:t xml:space="preserve">Draws text using active Font properties.</w:t>
            </w:r>
          </w:p>
        </w:tc>
      </w:tr>
      <w:tr>
        <w:tc>
          <w:tcPr/>
          <w:p>
            <w:pPr>
              <w:pStyle w:val="Compact"/>
            </w:pPr>
            <w:r>
              <w:rPr>
                <w:rStyle w:val="VerbatimChar"/>
              </w:rPr>
              <w:t xml:space="preserve">Canvas.DrawLine(x1, y1, x2, y2)</w:t>
            </w:r>
          </w:p>
        </w:tc>
        <w:tc>
          <w:tcPr/>
          <w:p>
            <w:pPr>
              <w:pStyle w:val="Compact"/>
            </w:pPr>
            <w:r>
              <w:t xml:space="preserve">Empty</w:t>
            </w:r>
          </w:p>
        </w:tc>
        <w:tc>
          <w:tcPr/>
          <w:p>
            <w:pPr>
              <w:pStyle w:val="Compact"/>
            </w:pPr>
            <w:r>
              <w:rPr>
                <w:b/>
                <w:bCs/>
              </w:rPr>
              <w:t xml:space="preserve">(Persits.Jpeg Canvas Compatibility)</w:t>
            </w:r>
            <w:r>
              <w:t xml:space="preserve"> </w:t>
            </w:r>
            <w:r>
              <w:t xml:space="preserve">Draws a line segment using Pen properties.</w:t>
            </w:r>
          </w:p>
        </w:tc>
      </w:tr>
      <w:tr>
        <w:tc>
          <w:tcPr/>
          <w:p>
            <w:pPr>
              <w:pStyle w:val="Compact"/>
            </w:pPr>
            <w:r>
              <w:rPr>
                <w:rStyle w:val="VerbatimChar"/>
              </w:rPr>
              <w:t xml:space="preserve">Canvas.DrawBar(x1, y1, x2, y2)</w:t>
            </w:r>
          </w:p>
        </w:tc>
        <w:tc>
          <w:tcPr/>
          <w:p>
            <w:pPr>
              <w:pStyle w:val="Compact"/>
            </w:pPr>
            <w:r>
              <w:t xml:space="preserve">Empty</w:t>
            </w:r>
          </w:p>
        </w:tc>
        <w:tc>
          <w:tcPr/>
          <w:p>
            <w:pPr>
              <w:pStyle w:val="Compact"/>
            </w:pPr>
            <w:r>
              <w:rPr>
                <w:b/>
                <w:bCs/>
              </w:rPr>
              <w:t xml:space="preserve">(Persits.Jpeg Canvas Compatibility)</w:t>
            </w:r>
            <w:r>
              <w:t xml:space="preserve"> </w:t>
            </w:r>
            <w:r>
              <w:t xml:space="preserve">Draws a filled rectangle using Pen color.</w:t>
            </w:r>
          </w:p>
        </w:tc>
      </w:tr>
    </w:tbl>
    <w:bookmarkEnd w:id="3366"/>
    <w:bookmarkStart w:id="3367" w:name="remarks-318"/>
    <w:p>
      <w:pPr>
        <w:pStyle w:val="Heading2"/>
      </w:pPr>
      <w:r>
        <w:t xml:space="preserve">Remarks</w:t>
      </w:r>
    </w:p>
    <w:p>
      <w:pPr>
        <w:pStyle w:val="Compact"/>
        <w:numPr>
          <w:ilvl w:val="0"/>
          <w:numId w:val="1849"/>
        </w:numPr>
      </w:pPr>
      <w:r>
        <w:t xml:space="preserve">Instantiate the library with</w:t>
      </w:r>
      <w:r>
        <w:t xml:space="preserve"> </w:t>
      </w:r>
      <w:r>
        <w:rPr>
          <w:rStyle w:val="VerbatimChar"/>
        </w:rPr>
        <w:t xml:space="preserve">Server.CreateObject("G3IMAGE")</w:t>
      </w:r>
      <w:r>
        <w:t xml:space="preserve"> </w:t>
      </w:r>
      <w:r>
        <w:t xml:space="preserve">or</w:t>
      </w:r>
      <w:r>
        <w:t xml:space="preserve"> </w:t>
      </w:r>
      <w:r>
        <w:rPr>
          <w:rStyle w:val="VerbatimChar"/>
        </w:rPr>
        <w:t xml:space="preserve">Server.CreateObject("Persits.Jpeg")</w:t>
      </w:r>
      <w:r>
        <w:t xml:space="preserve">.</w:t>
      </w:r>
    </w:p>
    <w:p>
      <w:pPr>
        <w:pStyle w:val="Compact"/>
        <w:numPr>
          <w:ilvl w:val="0"/>
          <w:numId w:val="1849"/>
        </w:numPr>
      </w:pPr>
      <w:r>
        <w:t xml:space="preserve">Method names are case-insensitive.</w:t>
      </w:r>
    </w:p>
    <w:p>
      <w:pPr>
        <w:pStyle w:val="Compact"/>
        <w:numPr>
          <w:ilvl w:val="0"/>
          <w:numId w:val="1849"/>
        </w:numPr>
      </w:pPr>
      <w:r>
        <w:t xml:space="preserve">Inspect</w:t>
      </w:r>
      <w:r>
        <w:t xml:space="preserve"> </w:t>
      </w:r>
      <w:r>
        <w:rPr>
          <w:rStyle w:val="VerbatimChar"/>
        </w:rPr>
        <w:t xml:space="preserve">LastError</w:t>
      </w:r>
      <w:r>
        <w:t xml:space="preserve"> </w:t>
      </w:r>
      <w:r>
        <w:t xml:space="preserve">when methods return</w:t>
      </w:r>
      <w:r>
        <w:t xml:space="preserve"> </w:t>
      </w:r>
      <w:r>
        <w:rPr>
          <w:rStyle w:val="VerbatimChar"/>
        </w:rPr>
        <w:t xml:space="preserve">False</w:t>
      </w:r>
      <w:r>
        <w:t xml:space="preserve"> </w:t>
      </w:r>
      <w:r>
        <w:t xml:space="preserve">or Empty.</w:t>
      </w:r>
    </w:p>
    <w:bookmarkEnd w:id="3367"/>
    <w:bookmarkEnd w:id="3368"/>
    <w:bookmarkStart w:id="3373" w:name="g3image-properties"/>
    <w:p>
      <w:pPr>
        <w:pStyle w:val="Heading1"/>
      </w:pPr>
      <w:r>
        <w:t xml:space="preserve">G3IMAGE Properties</w:t>
      </w:r>
    </w:p>
    <w:bookmarkStart w:id="3369" w:name="overview-342"/>
    <w:p>
      <w:pPr>
        <w:pStyle w:val="Heading2"/>
      </w:pPr>
      <w:r>
        <w:t xml:space="preserve">Overview</w:t>
      </w:r>
    </w:p>
    <w:p>
      <w:pPr>
        <w:pStyle w:val="FirstParagraph"/>
      </w:pPr>
      <w:r>
        <w:t xml:space="preserve">This page lists the properties exposed by</w:t>
      </w:r>
      <w:r>
        <w:t xml:space="preserve"> </w:t>
      </w:r>
      <w:r>
        <w:rPr>
          <w:rStyle w:val="VerbatimChar"/>
        </w:rPr>
        <w:t xml:space="preserve">G3IMAGE</w:t>
      </w:r>
      <w:r>
        <w:t xml:space="preserve"> </w:t>
      </w:r>
      <w:r>
        <w:t xml:space="preserve">and the</w:t>
      </w:r>
      <w:r>
        <w:t xml:space="preserve"> </w:t>
      </w:r>
      <w:r>
        <w:rPr>
          <w:rStyle w:val="VerbatimChar"/>
        </w:rPr>
        <w:t xml:space="preserve">Persits.Jpeg</w:t>
      </w:r>
      <w:r>
        <w:t xml:space="preserve"> </w:t>
      </w:r>
      <w:r>
        <w:t xml:space="preserve">compatibility layer.</w:t>
      </w:r>
    </w:p>
    <w:bookmarkEnd w:id="3369"/>
    <w:bookmarkStart w:id="3370" w:name="properties-20"/>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HasContext</w:t>
            </w:r>
          </w:p>
        </w:tc>
        <w:tc>
          <w:tcPr/>
          <w:p>
            <w:pPr>
              <w:pStyle w:val="Compact"/>
            </w:pPr>
            <w:r>
              <w:t xml:space="preserve">Read-only</w:t>
            </w:r>
          </w:p>
        </w:tc>
        <w:tc>
          <w:tcPr/>
          <w:p>
            <w:pPr>
              <w:pStyle w:val="Compact"/>
            </w:pPr>
            <w:r>
              <w:t xml:space="preserve">Boolean</w:t>
            </w:r>
          </w:p>
        </w:tc>
        <w:tc>
          <w:tcPr/>
          <w:p>
            <w:pPr>
              <w:pStyle w:val="Compact"/>
            </w:pPr>
            <w:r>
              <w:t xml:space="preserve">Indicates whether an active drawing context exists.</w:t>
            </w:r>
          </w:p>
        </w:tc>
      </w:tr>
      <w:tr>
        <w:tc>
          <w:tcPr/>
          <w:p>
            <w:pPr>
              <w:pStyle w:val="Compact"/>
            </w:pPr>
            <w:r>
              <w:rPr>
                <w:rStyle w:val="VerbatimChar"/>
              </w:rPr>
              <w:t xml:space="preserve">Width</w:t>
            </w:r>
          </w:p>
        </w:tc>
        <w:tc>
          <w:tcPr/>
          <w:p>
            <w:pPr>
              <w:pStyle w:val="Compact"/>
            </w:pPr>
            <w:r>
              <w:t xml:space="preserve">Read/Write</w:t>
            </w:r>
          </w:p>
        </w:tc>
        <w:tc>
          <w:tcPr/>
          <w:p>
            <w:pPr>
              <w:pStyle w:val="Compact"/>
            </w:pPr>
            <w:r>
              <w:t xml:space="preserve">Integer</w:t>
            </w:r>
          </w:p>
        </w:tc>
        <w:tc>
          <w:tcPr/>
          <w:p>
            <w:pPr>
              <w:pStyle w:val="Compact"/>
            </w:pPr>
            <w:r>
              <w:t xml:space="preserve">Pixel width of the active context. Setting it resizes the image.</w:t>
            </w:r>
          </w:p>
        </w:tc>
      </w:tr>
      <w:tr>
        <w:tc>
          <w:tcPr/>
          <w:p>
            <w:pPr>
              <w:pStyle w:val="Compact"/>
            </w:pPr>
            <w:r>
              <w:rPr>
                <w:rStyle w:val="VerbatimChar"/>
              </w:rPr>
              <w:t xml:space="preserve">Height</w:t>
            </w:r>
          </w:p>
        </w:tc>
        <w:tc>
          <w:tcPr/>
          <w:p>
            <w:pPr>
              <w:pStyle w:val="Compact"/>
            </w:pPr>
            <w:r>
              <w:t xml:space="preserve">Read/Write</w:t>
            </w:r>
          </w:p>
        </w:tc>
        <w:tc>
          <w:tcPr/>
          <w:p>
            <w:pPr>
              <w:pStyle w:val="Compact"/>
            </w:pPr>
            <w:r>
              <w:t xml:space="preserve">Integer</w:t>
            </w:r>
          </w:p>
        </w:tc>
        <w:tc>
          <w:tcPr/>
          <w:p>
            <w:pPr>
              <w:pStyle w:val="Compact"/>
            </w:pPr>
            <w:r>
              <w:t xml:space="preserve">Pixel height of the active context. Setting it resizes the image.</w:t>
            </w:r>
          </w:p>
        </w:tc>
      </w:tr>
      <w:tr>
        <w:tc>
          <w:tcPr/>
          <w:p>
            <w:pPr>
              <w:pStyle w:val="Compact"/>
            </w:pPr>
            <w:r>
              <w:rPr>
                <w:rStyle w:val="VerbatimChar"/>
              </w:rPr>
              <w:t xml:space="preserve">LastError</w:t>
            </w:r>
          </w:p>
        </w:tc>
        <w:tc>
          <w:tcPr/>
          <w:p>
            <w:pPr>
              <w:pStyle w:val="Compact"/>
            </w:pPr>
            <w:r>
              <w:t xml:space="preserve">Read-only</w:t>
            </w:r>
          </w:p>
        </w:tc>
        <w:tc>
          <w:tcPr/>
          <w:p>
            <w:pPr>
              <w:pStyle w:val="Compact"/>
            </w:pPr>
            <w:r>
              <w:t xml:space="preserve">String</w:t>
            </w:r>
          </w:p>
        </w:tc>
        <w:tc>
          <w:tcPr/>
          <w:p>
            <w:pPr>
              <w:pStyle w:val="Compact"/>
            </w:pPr>
            <w:r>
              <w:t xml:space="preserve">Latest operation error message.</w:t>
            </w:r>
          </w:p>
        </w:tc>
      </w:tr>
      <w:tr>
        <w:tc>
          <w:tcPr/>
          <w:p>
            <w:pPr>
              <w:pStyle w:val="Compact"/>
            </w:pPr>
            <w:r>
              <w:rPr>
                <w:rStyle w:val="VerbatimChar"/>
              </w:rPr>
              <w:t xml:space="preserve">LastMimeType</w:t>
            </w:r>
          </w:p>
        </w:tc>
        <w:tc>
          <w:tcPr/>
          <w:p>
            <w:pPr>
              <w:pStyle w:val="Compact"/>
            </w:pPr>
            <w:r>
              <w:t xml:space="preserve">Read-only</w:t>
            </w:r>
          </w:p>
        </w:tc>
        <w:tc>
          <w:tcPr/>
          <w:p>
            <w:pPr>
              <w:pStyle w:val="Compact"/>
            </w:pPr>
            <w:r>
              <w:t xml:space="preserve">String</w:t>
            </w:r>
          </w:p>
        </w:tc>
        <w:tc>
          <w:tcPr/>
          <w:p>
            <w:pPr>
              <w:pStyle w:val="Compact"/>
            </w:pPr>
            <w:r>
              <w:t xml:space="preserve">MIME type of the most recent rendered output.</w:t>
            </w:r>
          </w:p>
        </w:tc>
      </w:tr>
      <w:tr>
        <w:tc>
          <w:tcPr/>
          <w:p>
            <w:pPr>
              <w:pStyle w:val="Compact"/>
            </w:pPr>
            <w:r>
              <w:rPr>
                <w:rStyle w:val="VerbatimChar"/>
              </w:rPr>
              <w:t xml:space="preserve">LastTempFile</w:t>
            </w:r>
          </w:p>
        </w:tc>
        <w:tc>
          <w:tcPr/>
          <w:p>
            <w:pPr>
              <w:pStyle w:val="Compact"/>
            </w:pPr>
            <w:r>
              <w:t xml:space="preserve">Read-only</w:t>
            </w:r>
          </w:p>
        </w:tc>
        <w:tc>
          <w:tcPr/>
          <w:p>
            <w:pPr>
              <w:pStyle w:val="Compact"/>
            </w:pPr>
            <w:r>
              <w:t xml:space="preserve">String</w:t>
            </w:r>
          </w:p>
        </w:tc>
        <w:tc>
          <w:tcPr/>
          <w:p>
            <w:pPr>
              <w:pStyle w:val="Compact"/>
            </w:pPr>
            <w:r>
              <w:t xml:space="preserve">Temporary file path used by the most recent temp render operation.</w:t>
            </w:r>
          </w:p>
        </w:tc>
      </w:tr>
      <w:tr>
        <w:tc>
          <w:tcPr/>
          <w:p>
            <w:pPr>
              <w:pStyle w:val="Compact"/>
            </w:pPr>
            <w:r>
              <w:rPr>
                <w:rStyle w:val="VerbatimChar"/>
              </w:rPr>
              <w:t xml:space="preserve">LastBytes</w:t>
            </w:r>
          </w:p>
        </w:tc>
        <w:tc>
          <w:tcPr/>
          <w:p>
            <w:pPr>
              <w:pStyle w:val="Compact"/>
            </w:pPr>
            <w:r>
              <w:t xml:space="preserve">Read-only</w:t>
            </w:r>
          </w:p>
        </w:tc>
        <w:tc>
          <w:tcPr/>
          <w:p>
            <w:pPr>
              <w:pStyle w:val="Compact"/>
            </w:pPr>
            <w:r>
              <w:t xml:space="preserve">Array</w:t>
            </w:r>
          </w:p>
        </w:tc>
        <w:tc>
          <w:tcPr/>
          <w:p>
            <w:pPr>
              <w:pStyle w:val="Compact"/>
            </w:pPr>
            <w:r>
              <w:t xml:space="preserve">Byte array from the most recent render operation.</w:t>
            </w:r>
          </w:p>
        </w:tc>
      </w:tr>
      <w:tr>
        <w:tc>
          <w:tcPr/>
          <w:p>
            <w:pPr>
              <w:pStyle w:val="Compact"/>
            </w:pPr>
            <w:r>
              <w:rPr>
                <w:rStyle w:val="VerbatimChar"/>
              </w:rPr>
              <w:t xml:space="preserve">DefaultFormat</w:t>
            </w:r>
          </w:p>
        </w:tc>
        <w:tc>
          <w:tcPr/>
          <w:p>
            <w:pPr>
              <w:pStyle w:val="Compact"/>
            </w:pPr>
            <w:r>
              <w:t xml:space="preserve">Read/Write</w:t>
            </w:r>
          </w:p>
        </w:tc>
        <w:tc>
          <w:tcPr/>
          <w:p>
            <w:pPr>
              <w:pStyle w:val="Compact"/>
            </w:pPr>
            <w:r>
              <w:t xml:space="preserve">String</w:t>
            </w:r>
          </w:p>
        </w:tc>
        <w:tc>
          <w:tcPr/>
          <w:p>
            <w:pPr>
              <w:pStyle w:val="Compact"/>
            </w:pPr>
            <w:r>
              <w:t xml:space="preserve">Default render format (</w:t>
            </w:r>
            <w:r>
              <w:rPr>
                <w:rStyle w:val="VerbatimChar"/>
              </w:rPr>
              <w:t xml:space="preserve">png</w:t>
            </w:r>
            <w:r>
              <w:t xml:space="preserve">,</w:t>
            </w:r>
            <w:r>
              <w:t xml:space="preserve"> </w:t>
            </w:r>
            <w:r>
              <w:rPr>
                <w:rStyle w:val="VerbatimChar"/>
              </w:rPr>
              <w:t xml:space="preserve">jpg</w:t>
            </w:r>
            <w:r>
              <w:t xml:space="preserve">, or</w:t>
            </w:r>
            <w:r>
              <w:t xml:space="preserve"> </w:t>
            </w:r>
            <w:r>
              <w:rPr>
                <w:rStyle w:val="VerbatimChar"/>
              </w:rPr>
              <w:t xml:space="preserve">jpeg</w:t>
            </w:r>
            <w:r>
              <w:t xml:space="preserve">).</w:t>
            </w:r>
          </w:p>
        </w:tc>
      </w:tr>
      <w:tr>
        <w:tc>
          <w:tcPr/>
          <w:p>
            <w:pPr>
              <w:pStyle w:val="Compact"/>
            </w:pPr>
            <w:r>
              <w:rPr>
                <w:rStyle w:val="VerbatimChar"/>
              </w:rPr>
              <w:t xml:space="preserve">JPGQuality</w:t>
            </w:r>
          </w:p>
        </w:tc>
        <w:tc>
          <w:tcPr/>
          <w:p>
            <w:pPr>
              <w:pStyle w:val="Compact"/>
            </w:pPr>
            <w:r>
              <w:t xml:space="preserve">Read/Write</w:t>
            </w:r>
          </w:p>
        </w:tc>
        <w:tc>
          <w:tcPr/>
          <w:p>
            <w:pPr>
              <w:pStyle w:val="Compact"/>
            </w:pPr>
            <w:r>
              <w:t xml:space="preserve">Integer</w:t>
            </w:r>
          </w:p>
        </w:tc>
        <w:tc>
          <w:tcPr/>
          <w:p>
            <w:pPr>
              <w:pStyle w:val="Compact"/>
            </w:pPr>
            <w:r>
              <w:t xml:space="preserve">JPEG quality setting clamped to the range</w:t>
            </w:r>
            <w:r>
              <w:t xml:space="preserve"> </w:t>
            </w:r>
            <w:r>
              <w:rPr>
                <w:rStyle w:val="VerbatimChar"/>
              </w:rPr>
              <w:t xml:space="preserve">1..100</w:t>
            </w:r>
            <w:r>
              <w:t xml:space="preserve">.</w:t>
            </w:r>
          </w:p>
        </w:tc>
      </w:tr>
      <w:tr>
        <w:tc>
          <w:tcPr/>
          <w:p>
            <w:pPr>
              <w:pStyle w:val="Compact"/>
            </w:pPr>
            <w:r>
              <w:rPr>
                <w:rStyle w:val="VerbatimChar"/>
              </w:rPr>
              <w:t xml:space="preserve">AlignLeft</w:t>
            </w:r>
          </w:p>
        </w:tc>
        <w:tc>
          <w:tcPr/>
          <w:p>
            <w:pPr>
              <w:pStyle w:val="Compact"/>
            </w:pPr>
            <w:r>
              <w:t xml:space="preserve">Read-only</w:t>
            </w:r>
          </w:p>
        </w:tc>
        <w:tc>
          <w:tcPr/>
          <w:p>
            <w:pPr>
              <w:pStyle w:val="Compact"/>
            </w:pPr>
            <w:r>
              <w:t xml:space="preserve">Integer</w:t>
            </w:r>
          </w:p>
        </w:tc>
        <w:tc>
          <w:tcPr/>
          <w:p>
            <w:pPr>
              <w:pStyle w:val="Compact"/>
            </w:pPr>
            <w:r>
              <w:t xml:space="preserve">Drawing constant for left text alignment.</w:t>
            </w:r>
          </w:p>
        </w:tc>
      </w:tr>
      <w:tr>
        <w:tc>
          <w:tcPr/>
          <w:p>
            <w:pPr>
              <w:pStyle w:val="Compact"/>
            </w:pPr>
            <w:r>
              <w:rPr>
                <w:rStyle w:val="VerbatimChar"/>
              </w:rPr>
              <w:t xml:space="preserve">AlignCenter</w:t>
            </w:r>
          </w:p>
        </w:tc>
        <w:tc>
          <w:tcPr/>
          <w:p>
            <w:pPr>
              <w:pStyle w:val="Compact"/>
            </w:pPr>
            <w:r>
              <w:t xml:space="preserve">Read-only</w:t>
            </w:r>
          </w:p>
        </w:tc>
        <w:tc>
          <w:tcPr/>
          <w:p>
            <w:pPr>
              <w:pStyle w:val="Compact"/>
            </w:pPr>
            <w:r>
              <w:t xml:space="preserve">Integer</w:t>
            </w:r>
          </w:p>
        </w:tc>
        <w:tc>
          <w:tcPr/>
          <w:p>
            <w:pPr>
              <w:pStyle w:val="Compact"/>
            </w:pPr>
            <w:r>
              <w:t xml:space="preserve">Drawing constant for centered text alignment.</w:t>
            </w:r>
          </w:p>
        </w:tc>
      </w:tr>
      <w:tr>
        <w:tc>
          <w:tcPr/>
          <w:p>
            <w:pPr>
              <w:pStyle w:val="Compact"/>
            </w:pPr>
            <w:r>
              <w:rPr>
                <w:rStyle w:val="VerbatimChar"/>
              </w:rPr>
              <w:t xml:space="preserve">AlignRight</w:t>
            </w:r>
          </w:p>
        </w:tc>
        <w:tc>
          <w:tcPr/>
          <w:p>
            <w:pPr>
              <w:pStyle w:val="Compact"/>
            </w:pPr>
            <w:r>
              <w:t xml:space="preserve">Read-only</w:t>
            </w:r>
          </w:p>
        </w:tc>
        <w:tc>
          <w:tcPr/>
          <w:p>
            <w:pPr>
              <w:pStyle w:val="Compact"/>
            </w:pPr>
            <w:r>
              <w:t xml:space="preserve">Integer</w:t>
            </w:r>
          </w:p>
        </w:tc>
        <w:tc>
          <w:tcPr/>
          <w:p>
            <w:pPr>
              <w:pStyle w:val="Compact"/>
            </w:pPr>
            <w:r>
              <w:t xml:space="preserve">Drawing constant for right text alignment.</w:t>
            </w:r>
          </w:p>
        </w:tc>
      </w:tr>
      <w:tr>
        <w:tc>
          <w:tcPr/>
          <w:p>
            <w:pPr>
              <w:pStyle w:val="Compact"/>
            </w:pPr>
            <w:r>
              <w:rPr>
                <w:rStyle w:val="VerbatimChar"/>
              </w:rPr>
              <w:t xml:space="preserve">FillRuleWinding</w:t>
            </w:r>
          </w:p>
        </w:tc>
        <w:tc>
          <w:tcPr/>
          <w:p>
            <w:pPr>
              <w:pStyle w:val="Compact"/>
            </w:pPr>
            <w:r>
              <w:t xml:space="preserve">Read-only</w:t>
            </w:r>
          </w:p>
        </w:tc>
        <w:tc>
          <w:tcPr/>
          <w:p>
            <w:pPr>
              <w:pStyle w:val="Compact"/>
            </w:pPr>
            <w:r>
              <w:t xml:space="preserve">Integer</w:t>
            </w:r>
          </w:p>
        </w:tc>
        <w:tc>
          <w:tcPr/>
          <w:p>
            <w:pPr>
              <w:pStyle w:val="Compact"/>
            </w:pPr>
            <w:r>
              <w:t xml:space="preserve">Drawing constant for winding fill rule.</w:t>
            </w:r>
          </w:p>
        </w:tc>
      </w:tr>
      <w:tr>
        <w:tc>
          <w:tcPr/>
          <w:p>
            <w:pPr>
              <w:pStyle w:val="Compact"/>
            </w:pPr>
            <w:r>
              <w:rPr>
                <w:rStyle w:val="VerbatimChar"/>
              </w:rPr>
              <w:t xml:space="preserve">FillRuleEvenOdd</w:t>
            </w:r>
          </w:p>
        </w:tc>
        <w:tc>
          <w:tcPr/>
          <w:p>
            <w:pPr>
              <w:pStyle w:val="Compact"/>
            </w:pPr>
            <w:r>
              <w:t xml:space="preserve">Read-only</w:t>
            </w:r>
          </w:p>
        </w:tc>
        <w:tc>
          <w:tcPr/>
          <w:p>
            <w:pPr>
              <w:pStyle w:val="Compact"/>
            </w:pPr>
            <w:r>
              <w:t xml:space="preserve">Integer</w:t>
            </w:r>
          </w:p>
        </w:tc>
        <w:tc>
          <w:tcPr/>
          <w:p>
            <w:pPr>
              <w:pStyle w:val="Compact"/>
            </w:pPr>
            <w:r>
              <w:t xml:space="preserve">Drawing constant for even-odd fill rule.</w:t>
            </w:r>
          </w:p>
        </w:tc>
      </w:tr>
      <w:tr>
        <w:tc>
          <w:tcPr/>
          <w:p>
            <w:pPr>
              <w:pStyle w:val="Compact"/>
            </w:pPr>
            <w:r>
              <w:rPr>
                <w:rStyle w:val="VerbatimChar"/>
              </w:rPr>
              <w:t xml:space="preserve">LineCapRound</w:t>
            </w:r>
          </w:p>
        </w:tc>
        <w:tc>
          <w:tcPr/>
          <w:p>
            <w:pPr>
              <w:pStyle w:val="Compact"/>
            </w:pPr>
            <w:r>
              <w:t xml:space="preserve">Read-only</w:t>
            </w:r>
          </w:p>
        </w:tc>
        <w:tc>
          <w:tcPr/>
          <w:p>
            <w:pPr>
              <w:pStyle w:val="Compact"/>
            </w:pPr>
            <w:r>
              <w:t xml:space="preserve">Integer</w:t>
            </w:r>
          </w:p>
        </w:tc>
        <w:tc>
          <w:tcPr/>
          <w:p>
            <w:pPr>
              <w:pStyle w:val="Compact"/>
            </w:pPr>
            <w:r>
              <w:t xml:space="preserve">Drawing constant for round line caps.</w:t>
            </w:r>
          </w:p>
        </w:tc>
      </w:tr>
      <w:tr>
        <w:tc>
          <w:tcPr/>
          <w:p>
            <w:pPr>
              <w:pStyle w:val="Compact"/>
            </w:pPr>
            <w:r>
              <w:rPr>
                <w:rStyle w:val="VerbatimChar"/>
              </w:rPr>
              <w:t xml:space="preserve">LineCapButt</w:t>
            </w:r>
          </w:p>
        </w:tc>
        <w:tc>
          <w:tcPr/>
          <w:p>
            <w:pPr>
              <w:pStyle w:val="Compact"/>
            </w:pPr>
            <w:r>
              <w:t xml:space="preserve">Read-only</w:t>
            </w:r>
          </w:p>
        </w:tc>
        <w:tc>
          <w:tcPr/>
          <w:p>
            <w:pPr>
              <w:pStyle w:val="Compact"/>
            </w:pPr>
            <w:r>
              <w:t xml:space="preserve">Integer</w:t>
            </w:r>
          </w:p>
        </w:tc>
        <w:tc>
          <w:tcPr/>
          <w:p>
            <w:pPr>
              <w:pStyle w:val="Compact"/>
            </w:pPr>
            <w:r>
              <w:t xml:space="preserve">Drawing constant for butt line caps.</w:t>
            </w:r>
          </w:p>
        </w:tc>
      </w:tr>
      <w:tr>
        <w:tc>
          <w:tcPr/>
          <w:p>
            <w:pPr>
              <w:pStyle w:val="Compact"/>
            </w:pPr>
            <w:r>
              <w:rPr>
                <w:rStyle w:val="VerbatimChar"/>
              </w:rPr>
              <w:t xml:space="preserve">LineCapSquare</w:t>
            </w:r>
          </w:p>
        </w:tc>
        <w:tc>
          <w:tcPr/>
          <w:p>
            <w:pPr>
              <w:pStyle w:val="Compact"/>
            </w:pPr>
            <w:r>
              <w:t xml:space="preserve">Read-only</w:t>
            </w:r>
          </w:p>
        </w:tc>
        <w:tc>
          <w:tcPr/>
          <w:p>
            <w:pPr>
              <w:pStyle w:val="Compact"/>
            </w:pPr>
            <w:r>
              <w:t xml:space="preserve">Integer</w:t>
            </w:r>
          </w:p>
        </w:tc>
        <w:tc>
          <w:tcPr/>
          <w:p>
            <w:pPr>
              <w:pStyle w:val="Compact"/>
            </w:pPr>
            <w:r>
              <w:t xml:space="preserve">Drawing constant for square line caps.</w:t>
            </w:r>
          </w:p>
        </w:tc>
      </w:tr>
      <w:tr>
        <w:tc>
          <w:tcPr/>
          <w:p>
            <w:pPr>
              <w:pStyle w:val="Compact"/>
            </w:pPr>
            <w:r>
              <w:rPr>
                <w:rStyle w:val="VerbatimChar"/>
              </w:rPr>
              <w:t xml:space="preserve">LineJoinRound</w:t>
            </w:r>
          </w:p>
        </w:tc>
        <w:tc>
          <w:tcPr/>
          <w:p>
            <w:pPr>
              <w:pStyle w:val="Compact"/>
            </w:pPr>
            <w:r>
              <w:t xml:space="preserve">Read-only</w:t>
            </w:r>
          </w:p>
        </w:tc>
        <w:tc>
          <w:tcPr/>
          <w:p>
            <w:pPr>
              <w:pStyle w:val="Compact"/>
            </w:pPr>
            <w:r>
              <w:t xml:space="preserve">Integer</w:t>
            </w:r>
          </w:p>
        </w:tc>
        <w:tc>
          <w:tcPr/>
          <w:p>
            <w:pPr>
              <w:pStyle w:val="Compact"/>
            </w:pPr>
            <w:r>
              <w:t xml:space="preserve">Drawing constant for round line joins.</w:t>
            </w:r>
          </w:p>
        </w:tc>
      </w:tr>
      <w:tr>
        <w:tc>
          <w:tcPr/>
          <w:p>
            <w:pPr>
              <w:pStyle w:val="Compact"/>
            </w:pPr>
            <w:r>
              <w:rPr>
                <w:rStyle w:val="VerbatimChar"/>
              </w:rPr>
              <w:t xml:space="preserve">LineJoinBevel</w:t>
            </w:r>
          </w:p>
        </w:tc>
        <w:tc>
          <w:tcPr/>
          <w:p>
            <w:pPr>
              <w:pStyle w:val="Compact"/>
            </w:pPr>
            <w:r>
              <w:t xml:space="preserve">Read-only</w:t>
            </w:r>
          </w:p>
        </w:tc>
        <w:tc>
          <w:tcPr/>
          <w:p>
            <w:pPr>
              <w:pStyle w:val="Compact"/>
            </w:pPr>
            <w:r>
              <w:t xml:space="preserve">Integer</w:t>
            </w:r>
          </w:p>
        </w:tc>
        <w:tc>
          <w:tcPr/>
          <w:p>
            <w:pPr>
              <w:pStyle w:val="Compact"/>
            </w:pPr>
            <w:r>
              <w:t xml:space="preserve">Drawing constant for bevel line joins.</w:t>
            </w:r>
          </w:p>
        </w:tc>
      </w:tr>
      <w:tr>
        <w:tc>
          <w:tcPr/>
          <w:p>
            <w:pPr>
              <w:pStyle w:val="Compact"/>
            </w:pPr>
            <w:r>
              <w:rPr>
                <w:rStyle w:val="VerbatimChar"/>
              </w:rPr>
              <w:t xml:space="preserve">OriginalWidth</w:t>
            </w:r>
          </w:p>
        </w:tc>
        <w:tc>
          <w:tcPr/>
          <w:p>
            <w:pPr>
              <w:pStyle w:val="Compact"/>
            </w:pPr>
            <w:r>
              <w:t xml:space="preserve">Read-only</w:t>
            </w:r>
          </w:p>
        </w:tc>
        <w:tc>
          <w:tcPr/>
          <w:p>
            <w:pPr>
              <w:pStyle w:val="Compact"/>
            </w:pPr>
            <w:r>
              <w:t xml:space="preserve">Integer</w:t>
            </w:r>
          </w:p>
        </w:tc>
        <w:tc>
          <w:tcPr/>
          <w:p>
            <w:pPr>
              <w:pStyle w:val="Compact"/>
            </w:pPr>
            <w:r>
              <w:rPr>
                <w:b/>
                <w:bCs/>
              </w:rPr>
              <w:t xml:space="preserve">(Persits.Jpeg Compatibility)</w:t>
            </w:r>
            <w:r>
              <w:t xml:space="preserve"> </w:t>
            </w:r>
            <w:r>
              <w:t xml:space="preserve">Original width of the opened image.</w:t>
            </w:r>
          </w:p>
        </w:tc>
      </w:tr>
      <w:tr>
        <w:tc>
          <w:tcPr/>
          <w:p>
            <w:pPr>
              <w:pStyle w:val="Compact"/>
            </w:pPr>
            <w:r>
              <w:rPr>
                <w:rStyle w:val="VerbatimChar"/>
              </w:rPr>
              <w:t xml:space="preserve">OriginalHeight</w:t>
            </w:r>
          </w:p>
        </w:tc>
        <w:tc>
          <w:tcPr/>
          <w:p>
            <w:pPr>
              <w:pStyle w:val="Compact"/>
            </w:pPr>
            <w:r>
              <w:t xml:space="preserve">Read-only</w:t>
            </w:r>
          </w:p>
        </w:tc>
        <w:tc>
          <w:tcPr/>
          <w:p>
            <w:pPr>
              <w:pStyle w:val="Compact"/>
            </w:pPr>
            <w:r>
              <w:t xml:space="preserve">Integer</w:t>
            </w:r>
          </w:p>
        </w:tc>
        <w:tc>
          <w:tcPr/>
          <w:p>
            <w:pPr>
              <w:pStyle w:val="Compact"/>
            </w:pPr>
            <w:r>
              <w:rPr>
                <w:b/>
                <w:bCs/>
              </w:rPr>
              <w:t xml:space="preserve">(Persits.Jpeg Compatibility)</w:t>
            </w:r>
            <w:r>
              <w:t xml:space="preserve"> </w:t>
            </w:r>
            <w:r>
              <w:t xml:space="preserve">Original height of the opened image.</w:t>
            </w:r>
          </w:p>
        </w:tc>
      </w:tr>
      <w:tr>
        <w:tc>
          <w:tcPr/>
          <w:p>
            <w:pPr>
              <w:pStyle w:val="Compact"/>
            </w:pPr>
            <w:r>
              <w:rPr>
                <w:rStyle w:val="VerbatimChar"/>
              </w:rPr>
              <w:t xml:space="preserve">Quality</w:t>
            </w:r>
          </w:p>
        </w:tc>
        <w:tc>
          <w:tcPr/>
          <w:p>
            <w:pPr>
              <w:pStyle w:val="Compact"/>
            </w:pPr>
            <w:r>
              <w:t xml:space="preserve">Read/Write</w:t>
            </w:r>
          </w:p>
        </w:tc>
        <w:tc>
          <w:tcPr/>
          <w:p>
            <w:pPr>
              <w:pStyle w:val="Compact"/>
            </w:pPr>
            <w:r>
              <w:t xml:space="preserve">Integer</w:t>
            </w:r>
          </w:p>
        </w:tc>
        <w:tc>
          <w:tcPr/>
          <w:p>
            <w:pPr>
              <w:pStyle w:val="Compact"/>
            </w:pPr>
            <w:r>
              <w:rPr>
                <w:b/>
                <w:bCs/>
              </w:rPr>
              <w:t xml:space="preserve">(Persits.Jpeg Compatibility)</w:t>
            </w:r>
            <w:r>
              <w:t xml:space="preserve"> </w:t>
            </w:r>
            <w:r>
              <w:t xml:space="preserve">JPEG compression quality (alias to JPGQuality).</w:t>
            </w:r>
          </w:p>
        </w:tc>
      </w:tr>
      <w:tr>
        <w:tc>
          <w:tcPr/>
          <w:p>
            <w:pPr>
              <w:pStyle w:val="Compact"/>
            </w:pPr>
            <w:r>
              <w:rPr>
                <w:rStyle w:val="VerbatimChar"/>
              </w:rPr>
              <w:t xml:space="preserve">Interpolation</w:t>
            </w:r>
          </w:p>
        </w:tc>
        <w:tc>
          <w:tcPr/>
          <w:p>
            <w:pPr>
              <w:pStyle w:val="Compact"/>
            </w:pPr>
            <w:r>
              <w:t xml:space="preserve">Read/Write</w:t>
            </w:r>
          </w:p>
        </w:tc>
        <w:tc>
          <w:tcPr/>
          <w:p>
            <w:pPr>
              <w:pStyle w:val="Compact"/>
            </w:pPr>
            <w:r>
              <w:t xml:space="preserve">Integer</w:t>
            </w:r>
          </w:p>
        </w:tc>
        <w:tc>
          <w:tcPr/>
          <w:p>
            <w:pPr>
              <w:pStyle w:val="Compact"/>
            </w:pPr>
            <w:r>
              <w:rPr>
                <w:b/>
                <w:bCs/>
              </w:rPr>
              <w:t xml:space="preserve">(Persits.Jpeg Compatibility)</w:t>
            </w:r>
            <w:r>
              <w:t xml:space="preserve"> </w:t>
            </w:r>
            <w:r>
              <w:t xml:space="preserve">Resampling algorithm (1=Nearest, 2=Bilinear, 3=Bicubic).</w:t>
            </w:r>
          </w:p>
        </w:tc>
      </w:tr>
      <w:tr>
        <w:tc>
          <w:tcPr/>
          <w:p>
            <w:pPr>
              <w:pStyle w:val="Compact"/>
            </w:pPr>
            <w:r>
              <w:rPr>
                <w:rStyle w:val="VerbatimChar"/>
              </w:rPr>
              <w:t xml:space="preserve">Canvas</w:t>
            </w:r>
          </w:p>
        </w:tc>
        <w:tc>
          <w:tcPr/>
          <w:p>
            <w:pPr>
              <w:pStyle w:val="Compact"/>
            </w:pPr>
            <w:r>
              <w:t xml:space="preserve">Read-only</w:t>
            </w:r>
          </w:p>
        </w:tc>
        <w:tc>
          <w:tcPr/>
          <w:p>
            <w:pPr>
              <w:pStyle w:val="Compact"/>
            </w:pPr>
            <w:r>
              <w:t xml:space="preserve">Object</w:t>
            </w:r>
          </w:p>
        </w:tc>
        <w:tc>
          <w:tcPr/>
          <w:p>
            <w:pPr>
              <w:pStyle w:val="Compact"/>
            </w:pPr>
            <w:r>
              <w:rPr>
                <w:b/>
                <w:bCs/>
              </w:rPr>
              <w:t xml:space="preserve">(Persits.Jpeg Compatibility)</w:t>
            </w:r>
            <w:r>
              <w:t xml:space="preserve"> </w:t>
            </w:r>
            <w:r>
              <w:t xml:space="preserve">Nested sub-object containing methods to draw text and shapes.</w:t>
            </w:r>
          </w:p>
        </w:tc>
      </w:tr>
      <w:tr>
        <w:tc>
          <w:tcPr/>
          <w:p>
            <w:pPr>
              <w:pStyle w:val="Compact"/>
            </w:pPr>
            <w:r>
              <w:rPr>
                <w:rStyle w:val="VerbatimChar"/>
              </w:rPr>
              <w:t xml:space="preserve">Canvas.Pen.Color</w:t>
            </w:r>
          </w:p>
        </w:tc>
        <w:tc>
          <w:tcPr/>
          <w:p>
            <w:pPr>
              <w:pStyle w:val="Compact"/>
            </w:pPr>
            <w:r>
              <w:t xml:space="preserve">Read/Write</w:t>
            </w:r>
          </w:p>
        </w:tc>
        <w:tc>
          <w:tcPr/>
          <w:p>
            <w:pPr>
              <w:pStyle w:val="Compact"/>
            </w:pPr>
            <w:r>
              <w:t xml:space="preserve">String/Integer</w:t>
            </w:r>
          </w:p>
        </w:tc>
        <w:tc>
          <w:tcPr/>
          <w:p>
            <w:pPr>
              <w:pStyle w:val="Compact"/>
            </w:pPr>
            <w:r>
              <w:rPr>
                <w:b/>
                <w:bCs/>
              </w:rPr>
              <w:t xml:space="preserve">(Persits.Jpeg Compatibility)</w:t>
            </w:r>
            <w:r>
              <w:t xml:space="preserve"> </w:t>
            </w:r>
            <w:r>
              <w:t xml:space="preserve">Drawing stroke color.</w:t>
            </w:r>
          </w:p>
        </w:tc>
      </w:tr>
      <w:tr>
        <w:tc>
          <w:tcPr/>
          <w:p>
            <w:pPr>
              <w:pStyle w:val="Compact"/>
            </w:pPr>
            <w:r>
              <w:rPr>
                <w:rStyle w:val="VerbatimChar"/>
              </w:rPr>
              <w:t xml:space="preserve">Canvas.Pen.Width</w:t>
            </w:r>
          </w:p>
        </w:tc>
        <w:tc>
          <w:tcPr/>
          <w:p>
            <w:pPr>
              <w:pStyle w:val="Compact"/>
            </w:pPr>
            <w:r>
              <w:t xml:space="preserve">Read/Write</w:t>
            </w:r>
          </w:p>
        </w:tc>
        <w:tc>
          <w:tcPr/>
          <w:p>
            <w:pPr>
              <w:pStyle w:val="Compact"/>
            </w:pPr>
            <w:r>
              <w:t xml:space="preserve">Double</w:t>
            </w:r>
          </w:p>
        </w:tc>
        <w:tc>
          <w:tcPr/>
          <w:p>
            <w:pPr>
              <w:pStyle w:val="Compact"/>
            </w:pPr>
            <w:r>
              <w:rPr>
                <w:b/>
                <w:bCs/>
              </w:rPr>
              <w:t xml:space="preserve">(Persits.Jpeg Compatibility)</w:t>
            </w:r>
            <w:r>
              <w:t xml:space="preserve"> </w:t>
            </w:r>
            <w:r>
              <w:t xml:space="preserve">Drawing stroke thickness.</w:t>
            </w:r>
          </w:p>
        </w:tc>
      </w:tr>
      <w:tr>
        <w:tc>
          <w:tcPr/>
          <w:p>
            <w:pPr>
              <w:pStyle w:val="Compact"/>
            </w:pPr>
            <w:r>
              <w:rPr>
                <w:rStyle w:val="VerbatimChar"/>
              </w:rPr>
              <w:t xml:space="preserve">Canvas.Font.Color</w:t>
            </w:r>
          </w:p>
        </w:tc>
        <w:tc>
          <w:tcPr/>
          <w:p>
            <w:pPr>
              <w:pStyle w:val="Compact"/>
            </w:pPr>
            <w:r>
              <w:t xml:space="preserve">Read/Write</w:t>
            </w:r>
          </w:p>
        </w:tc>
        <w:tc>
          <w:tcPr/>
          <w:p>
            <w:pPr>
              <w:pStyle w:val="Compact"/>
            </w:pPr>
            <w:r>
              <w:t xml:space="preserve">String/Integer</w:t>
            </w:r>
          </w:p>
        </w:tc>
        <w:tc>
          <w:tcPr/>
          <w:p>
            <w:pPr>
              <w:pStyle w:val="Compact"/>
            </w:pPr>
            <w:r>
              <w:rPr>
                <w:b/>
                <w:bCs/>
              </w:rPr>
              <w:t xml:space="preserve">(Persits.Jpeg Compatibility)</w:t>
            </w:r>
            <w:r>
              <w:t xml:space="preserve"> </w:t>
            </w:r>
            <w:r>
              <w:t xml:space="preserve">Font drawing color.</w:t>
            </w:r>
          </w:p>
        </w:tc>
      </w:tr>
      <w:tr>
        <w:tc>
          <w:tcPr/>
          <w:p>
            <w:pPr>
              <w:pStyle w:val="Compact"/>
            </w:pPr>
            <w:r>
              <w:rPr>
                <w:rStyle w:val="VerbatimChar"/>
              </w:rPr>
              <w:t xml:space="preserve">Canvas.Font.Family</w:t>
            </w:r>
          </w:p>
        </w:tc>
        <w:tc>
          <w:tcPr/>
          <w:p>
            <w:pPr>
              <w:pStyle w:val="Compact"/>
            </w:pPr>
            <w:r>
              <w:t xml:space="preserve">Read/Write</w:t>
            </w:r>
          </w:p>
        </w:tc>
        <w:tc>
          <w:tcPr/>
          <w:p>
            <w:pPr>
              <w:pStyle w:val="Compact"/>
            </w:pPr>
            <w:r>
              <w:t xml:space="preserve">String</w:t>
            </w:r>
          </w:p>
        </w:tc>
        <w:tc>
          <w:tcPr/>
          <w:p>
            <w:pPr>
              <w:pStyle w:val="Compact"/>
            </w:pPr>
            <w:r>
              <w:rPr>
                <w:b/>
                <w:bCs/>
              </w:rPr>
              <w:t xml:space="preserve">(Persits.Jpeg Compatibility)</w:t>
            </w:r>
            <w:r>
              <w:t xml:space="preserve"> </w:t>
            </w:r>
            <w:r>
              <w:t xml:space="preserve">Font family name or TTF path.</w:t>
            </w:r>
          </w:p>
        </w:tc>
      </w:tr>
      <w:tr>
        <w:tc>
          <w:tcPr/>
          <w:p>
            <w:pPr>
              <w:pStyle w:val="Compact"/>
            </w:pPr>
            <w:r>
              <w:rPr>
                <w:rStyle w:val="VerbatimChar"/>
              </w:rPr>
              <w:t xml:space="preserve">Canvas.Font.Size</w:t>
            </w:r>
          </w:p>
        </w:tc>
        <w:tc>
          <w:tcPr/>
          <w:p>
            <w:pPr>
              <w:pStyle w:val="Compact"/>
            </w:pPr>
            <w:r>
              <w:t xml:space="preserve">Read/Write</w:t>
            </w:r>
          </w:p>
        </w:tc>
        <w:tc>
          <w:tcPr/>
          <w:p>
            <w:pPr>
              <w:pStyle w:val="Compact"/>
            </w:pPr>
            <w:r>
              <w:t xml:space="preserve">Double</w:t>
            </w:r>
          </w:p>
        </w:tc>
        <w:tc>
          <w:tcPr/>
          <w:p>
            <w:pPr>
              <w:pStyle w:val="Compact"/>
            </w:pPr>
            <w:r>
              <w:rPr>
                <w:b/>
                <w:bCs/>
              </w:rPr>
              <w:t xml:space="preserve">(Persits.Jpeg Compatibility)</w:t>
            </w:r>
            <w:r>
              <w:t xml:space="preserve"> </w:t>
            </w:r>
            <w:r>
              <w:t xml:space="preserve">Font size in points.</w:t>
            </w:r>
          </w:p>
        </w:tc>
      </w:tr>
      <w:tr>
        <w:tc>
          <w:tcPr/>
          <w:p>
            <w:pPr>
              <w:pStyle w:val="Compact"/>
            </w:pPr>
            <w:r>
              <w:rPr>
                <w:rStyle w:val="VerbatimChar"/>
              </w:rPr>
              <w:t xml:space="preserve">Canvas.Font.Bold</w:t>
            </w:r>
          </w:p>
        </w:tc>
        <w:tc>
          <w:tcPr/>
          <w:p>
            <w:pPr>
              <w:pStyle w:val="Compact"/>
            </w:pPr>
            <w:r>
              <w:t xml:space="preserve">Read/Write</w:t>
            </w:r>
          </w:p>
        </w:tc>
        <w:tc>
          <w:tcPr/>
          <w:p>
            <w:pPr>
              <w:pStyle w:val="Compact"/>
            </w:pPr>
            <w:r>
              <w:t xml:space="preserve">Boolean</w:t>
            </w:r>
          </w:p>
        </w:tc>
        <w:tc>
          <w:tcPr/>
          <w:p>
            <w:pPr>
              <w:pStyle w:val="Compact"/>
            </w:pPr>
            <w:r>
              <w:rPr>
                <w:b/>
                <w:bCs/>
              </w:rPr>
              <w:t xml:space="preserve">(Persits.Jpeg Compatibility)</w:t>
            </w:r>
            <w:r>
              <w:t xml:space="preserve"> </w:t>
            </w:r>
            <w:r>
              <w:t xml:space="preserve">Font bold styling.</w:t>
            </w:r>
          </w:p>
        </w:tc>
      </w:tr>
      <w:tr>
        <w:tc>
          <w:tcPr/>
          <w:p>
            <w:pPr>
              <w:pStyle w:val="Compact"/>
            </w:pPr>
            <w:r>
              <w:rPr>
                <w:rStyle w:val="VerbatimChar"/>
              </w:rPr>
              <w:t xml:space="preserve">Canvas.Font.Italic</w:t>
            </w:r>
          </w:p>
        </w:tc>
        <w:tc>
          <w:tcPr/>
          <w:p>
            <w:pPr>
              <w:pStyle w:val="Compact"/>
            </w:pPr>
            <w:r>
              <w:t xml:space="preserve">Read/Write</w:t>
            </w:r>
          </w:p>
        </w:tc>
        <w:tc>
          <w:tcPr/>
          <w:p>
            <w:pPr>
              <w:pStyle w:val="Compact"/>
            </w:pPr>
            <w:r>
              <w:t xml:space="preserve">Boolean</w:t>
            </w:r>
          </w:p>
        </w:tc>
        <w:tc>
          <w:tcPr/>
          <w:p>
            <w:pPr>
              <w:pStyle w:val="Compact"/>
            </w:pPr>
            <w:r>
              <w:rPr>
                <w:b/>
                <w:bCs/>
              </w:rPr>
              <w:t xml:space="preserve">(Persits.Jpeg Compatibility)</w:t>
            </w:r>
            <w:r>
              <w:t xml:space="preserve"> </w:t>
            </w:r>
            <w:r>
              <w:t xml:space="preserve">Font italic styling.</w:t>
            </w:r>
          </w:p>
        </w:tc>
      </w:tr>
    </w:tbl>
    <w:bookmarkEnd w:id="3370"/>
    <w:bookmarkStart w:id="3372" w:name="remarks-319"/>
    <w:p>
      <w:pPr>
        <w:pStyle w:val="Heading2"/>
      </w:pPr>
      <w:r>
        <w:t xml:space="preserve">Remarks</w:t>
      </w:r>
    </w:p>
    <w:p>
      <w:pPr>
        <w:pStyle w:val="Compact"/>
        <w:numPr>
          <w:ilvl w:val="0"/>
          <w:numId w:val="1850"/>
        </w:numPr>
      </w:pPr>
      <w:r>
        <w:t xml:space="preserve">Instantiate the library with</w:t>
      </w:r>
      <w:r>
        <w:t xml:space="preserve"> </w:t>
      </w:r>
      <w:r>
        <w:rPr>
          <w:rStyle w:val="VerbatimChar"/>
        </w:rPr>
        <w:t xml:space="preserve">Server.CreateObject("G3IMAGE")</w:t>
      </w:r>
      <w:r>
        <w:t xml:space="preserve"> </w:t>
      </w:r>
      <w:r>
        <w:t xml:space="preserve">or</w:t>
      </w:r>
      <w:r>
        <w:t xml:space="preserve"> </w:t>
      </w:r>
      <w:r>
        <w:rPr>
          <w:rStyle w:val="VerbatimChar"/>
        </w:rPr>
        <w:t xml:space="preserve">Server.CreateObject("Persits.Jpeg")</w:t>
      </w:r>
      <w:r>
        <w:t xml:space="preserve">.</w:t>
      </w:r>
    </w:p>
    <w:p>
      <w:pPr>
        <w:pStyle w:val="Compact"/>
        <w:numPr>
          <w:ilvl w:val="0"/>
          <w:numId w:val="1850"/>
        </w:numPr>
      </w:pPr>
      <w:r>
        <w:t xml:space="preserve">Property names are case-insensitive.</w:t>
      </w:r>
    </w:p>
    <w:bookmarkStart w:id="3371" w:name="methods-detail-8"/>
    <w:p>
      <w:pPr>
        <w:pStyle w:val="Heading3"/>
      </w:pPr>
      <w:r>
        <w:t xml:space="preserve">Methods Detail</w:t>
      </w:r>
    </w:p>
    <w:bookmarkEnd w:id="3371"/>
    <w:bookmarkEnd w:id="3372"/>
    <w:bookmarkEnd w:id="3373"/>
    <w:bookmarkStart w:id="3379" w:name="clear-method-1"/>
    <w:p>
      <w:pPr>
        <w:pStyle w:val="Heading1"/>
      </w:pPr>
      <w:r>
        <w:t xml:space="preserve">Clear Method</w:t>
      </w:r>
    </w:p>
    <w:bookmarkStart w:id="3374" w:name="overview-343"/>
    <w:p>
      <w:pPr>
        <w:pStyle w:val="Heading2"/>
      </w:pPr>
      <w:r>
        <w:t xml:space="preserve">Overview</w:t>
      </w:r>
    </w:p>
    <w:p>
      <w:pPr>
        <w:pStyle w:val="FirstParagraph"/>
      </w:pPr>
      <w:r>
        <w:t xml:space="preserve">Clears the current image context using the current fill color. This operation resets the canvas within the active context of the G3Pix AxonASP G3IMAGE library.</w:t>
      </w:r>
    </w:p>
    <w:bookmarkEnd w:id="3374"/>
    <w:bookmarkStart w:id="3375" w:name="syntax-342"/>
    <w:p>
      <w:pPr>
        <w:pStyle w:val="Heading2"/>
      </w:pPr>
      <w:r>
        <w:t xml:space="preserve">Syntax</w:t>
      </w:r>
    </w:p>
    <w:p>
      <w:pPr>
        <w:pStyle w:val="SourceCode"/>
      </w:pPr>
      <w:r>
        <w:rPr>
          <w:rStyle w:val="NormalTok"/>
        </w:rPr>
        <w:t xml:space="preserve">obj.Clear()</w:t>
      </w:r>
    </w:p>
    <w:bookmarkEnd w:id="3375"/>
    <w:bookmarkStart w:id="3376" w:name="return-values-68"/>
    <w:p>
      <w:pPr>
        <w:pStyle w:val="Heading2"/>
      </w:pPr>
      <w:r>
        <w:t xml:space="preserve">Return Values</w:t>
      </w:r>
    </w:p>
    <w:p>
      <w:pPr>
        <w:pStyle w:val="FirstParagraph"/>
      </w:pPr>
      <w:r>
        <w:t xml:space="preserve">Returns Empty upon completion.</w:t>
      </w:r>
    </w:p>
    <w:bookmarkEnd w:id="3376"/>
    <w:bookmarkStart w:id="3377" w:name="remarks-320"/>
    <w:p>
      <w:pPr>
        <w:pStyle w:val="Heading2"/>
      </w:pPr>
      <w:r>
        <w:t xml:space="preserve">Remarks</w:t>
      </w:r>
    </w:p>
    <w:p>
      <w:pPr>
        <w:pStyle w:val="Compact"/>
        <w:numPr>
          <w:ilvl w:val="0"/>
          <w:numId w:val="1851"/>
        </w:numPr>
      </w:pPr>
      <w:r>
        <w:t xml:space="preserve">Ensure a context has been initialized using NewContext before calling this method.</w:t>
      </w:r>
    </w:p>
    <w:p>
      <w:pPr>
        <w:pStyle w:val="Compact"/>
        <w:numPr>
          <w:ilvl w:val="0"/>
          <w:numId w:val="1851"/>
        </w:numPr>
      </w:pPr>
      <w:r>
        <w:t xml:space="preserve">The method uses the color previously set by SetColor or SetHexColor.</w:t>
      </w:r>
    </w:p>
    <w:bookmarkEnd w:id="3377"/>
    <w:bookmarkStart w:id="3378" w:name="code-example-13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400</w:t>
      </w:r>
      <w:r>
        <w:rPr>
          <w:rStyle w:val="OtherTok"/>
        </w:rPr>
        <w:t xml:space="preserve">,</w:t>
      </w:r>
      <w:r>
        <w:rPr>
          <w:rStyle w:val="NormalTok"/>
        </w:rPr>
        <w:t xml:space="preserve"> </w:t>
      </w:r>
      <w:r>
        <w:rPr>
          <w:rStyle w:val="DecValTok"/>
        </w:rPr>
        <w:t xml:space="preserve">300</w:t>
      </w:r>
      <w:r>
        <w:rPr>
          <w:rStyle w:val="OtherTok"/>
        </w:rPr>
        <w:t xml:space="preserve">)</w:t>
      </w:r>
      <w:r>
        <w:rPr>
          <w:rStyle w:val="NormalTok"/>
        </w:rPr>
        <w:t xml:space="preserve"> </w:t>
      </w:r>
      <w:r>
        <w:rPr>
          <w:rStyle w:val="ControlFlowTok"/>
        </w:rPr>
        <w:t xml:space="preserve">Then</w:t>
      </w:r>
      <w:r>
        <w:br/>
      </w:r>
      <w:r>
        <w:rPr>
          <w:rStyle w:val="NormalTok"/>
        </w:rPr>
        <w:t xml:space="preserve">    img.SetHexColor</w:t>
      </w:r>
      <w:r>
        <w:rPr>
          <w:rStyle w:val="OtherTok"/>
        </w:rPr>
        <w:t xml:space="preserve">(</w:t>
      </w:r>
      <w:r>
        <w:rPr>
          <w:rStyle w:val="StringTok"/>
        </w:rPr>
        <w:t xml:space="preserve">"#FFFFFF"</w:t>
      </w:r>
      <w:r>
        <w:rPr>
          <w:rStyle w:val="OtherTok"/>
        </w:rPr>
        <w:t xml:space="preserve">)</w:t>
      </w:r>
      <w:r>
        <w:br/>
      </w:r>
      <w:r>
        <w:rPr>
          <w:rStyle w:val="NormalTok"/>
        </w:rPr>
        <w:t xml:space="preserve">    img.</w:t>
      </w:r>
      <w:r>
        <w:rPr>
          <w:rStyle w:val="FunctionTok"/>
        </w:rPr>
        <w:t xml:space="preserve">Clear</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378"/>
    <w:bookmarkEnd w:id="3379"/>
    <w:bookmarkStart w:id="3385" w:name="close-method"/>
    <w:p>
      <w:pPr>
        <w:pStyle w:val="Heading1"/>
      </w:pPr>
      <w:r>
        <w:t xml:space="preserve">Close Method</w:t>
      </w:r>
    </w:p>
    <w:bookmarkStart w:id="3380" w:name="overview-344"/>
    <w:p>
      <w:pPr>
        <w:pStyle w:val="Heading2"/>
      </w:pPr>
      <w:r>
        <w:t xml:space="preserve">Overview</w:t>
      </w:r>
    </w:p>
    <w:p>
      <w:pPr>
        <w:pStyle w:val="FirstParagraph"/>
      </w:pPr>
      <w:r>
        <w:t xml:space="preserve">Releases the resources associated with the G3IMAGE object and clears the current context. This method is part of the G3Pix AxonASP G3IMAGE library.</w:t>
      </w:r>
    </w:p>
    <w:bookmarkEnd w:id="3380"/>
    <w:bookmarkStart w:id="3381" w:name="syntax-343"/>
    <w:p>
      <w:pPr>
        <w:pStyle w:val="Heading2"/>
      </w:pPr>
      <w:r>
        <w:t xml:space="preserve">Syntax</w:t>
      </w:r>
    </w:p>
    <w:p>
      <w:pPr>
        <w:pStyle w:val="SourceCode"/>
      </w:pPr>
      <w:r>
        <w:rPr>
          <w:rStyle w:val="NormalTok"/>
        </w:rPr>
        <w:t xml:space="preserve">result = obj.Close()</w:t>
      </w:r>
    </w:p>
    <w:bookmarkEnd w:id="3381"/>
    <w:bookmarkStart w:id="3382" w:name="return-values-69"/>
    <w:p>
      <w:pPr>
        <w:pStyle w:val="Heading2"/>
      </w:pPr>
      <w:r>
        <w:t xml:space="preserve">Return Values</w:t>
      </w:r>
    </w:p>
    <w:p>
      <w:pPr>
        <w:pStyle w:val="FirstParagraph"/>
      </w:pPr>
      <w:r>
        <w:t xml:space="preserve">Returns a Boolean indicating whether the resources were successfully released.</w:t>
      </w:r>
    </w:p>
    <w:bookmarkEnd w:id="3382"/>
    <w:bookmarkStart w:id="3383" w:name="remarks-321"/>
    <w:p>
      <w:pPr>
        <w:pStyle w:val="Heading2"/>
      </w:pPr>
      <w:r>
        <w:t xml:space="preserve">Remarks</w:t>
      </w:r>
    </w:p>
    <w:p>
      <w:pPr>
        <w:pStyle w:val="Compact"/>
        <w:numPr>
          <w:ilvl w:val="0"/>
          <w:numId w:val="1852"/>
        </w:numPr>
      </w:pPr>
      <w:r>
        <w:t xml:space="preserve">It is good practice to call Close when finished with an image to free memory.</w:t>
      </w:r>
    </w:p>
    <w:p>
      <w:pPr>
        <w:pStyle w:val="Compact"/>
        <w:numPr>
          <w:ilvl w:val="0"/>
          <w:numId w:val="1852"/>
        </w:numPr>
      </w:pPr>
      <w:r>
        <w:t xml:space="preserve">This method also resets any internal error state.</w:t>
      </w:r>
    </w:p>
    <w:bookmarkEnd w:id="3383"/>
    <w:bookmarkStart w:id="3384" w:name="code-example-14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Perform operations</w:t>
      </w:r>
      <w:r>
        <w:br/>
      </w:r>
      <w:r>
        <w:rPr>
          <w:rStyle w:val="NormalTok"/>
        </w:rPr>
        <w:t xml:space="preserve">    img.</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384"/>
    <w:bookmarkEnd w:id="3385"/>
    <w:bookmarkStart w:id="3391" w:name="crop-method"/>
    <w:p>
      <w:pPr>
        <w:pStyle w:val="Heading1"/>
      </w:pPr>
      <w:r>
        <w:t xml:space="preserve">Crop Method</w:t>
      </w:r>
    </w:p>
    <w:bookmarkStart w:id="3386" w:name="overview-345"/>
    <w:p>
      <w:pPr>
        <w:pStyle w:val="Heading2"/>
      </w:pPr>
      <w:r>
        <w:t xml:space="preserve">Overview</w:t>
      </w:r>
    </w:p>
    <w:p>
      <w:pPr>
        <w:pStyle w:val="FirstParagraph"/>
      </w:pPr>
      <w:r>
        <w:t xml:space="preserve">Crops the image to the specified coordinates. This method is part of the</w:t>
      </w:r>
      <w:r>
        <w:t xml:space="preserve"> </w:t>
      </w:r>
      <w:r>
        <w:rPr>
          <w:rStyle w:val="VerbatimChar"/>
        </w:rPr>
        <w:t xml:space="preserve">Persits.Jpeg</w:t>
      </w:r>
      <w:r>
        <w:t xml:space="preserve"> </w:t>
      </w:r>
      <w:r>
        <w:t xml:space="preserve">compatibility layer of the G3Pix AxonASP G3IMAGE library.</w:t>
      </w:r>
    </w:p>
    <w:bookmarkEnd w:id="3386"/>
    <w:bookmarkStart w:id="3387" w:name="syntax-344"/>
    <w:p>
      <w:pPr>
        <w:pStyle w:val="Heading2"/>
      </w:pPr>
      <w:r>
        <w:t xml:space="preserve">Syntax</w:t>
      </w:r>
    </w:p>
    <w:p>
      <w:pPr>
        <w:pStyle w:val="SourceCode"/>
      </w:pPr>
      <w:r>
        <w:rPr>
          <w:rStyle w:val="NormalTok"/>
        </w:rPr>
        <w:t xml:space="preserve">obj.Crop(x0, y0, x1, y1)</w:t>
      </w:r>
    </w:p>
    <w:bookmarkEnd w:id="3387"/>
    <w:bookmarkStart w:id="3388" w:name="parameters-204"/>
    <w:p>
      <w:pPr>
        <w:pStyle w:val="Heading2"/>
      </w:pPr>
      <w:r>
        <w:t xml:space="preserve">Parameters</w:t>
      </w:r>
    </w:p>
    <w:p>
      <w:pPr>
        <w:pStyle w:val="Compact"/>
        <w:numPr>
          <w:ilvl w:val="0"/>
          <w:numId w:val="1853"/>
        </w:numPr>
      </w:pPr>
      <w:r>
        <w:rPr>
          <w:rStyle w:val="VerbatimChar"/>
        </w:rPr>
        <w:t xml:space="preserve">x0</w:t>
      </w:r>
      <w:r>
        <w:t xml:space="preserve">,</w:t>
      </w:r>
      <w:r>
        <w:t xml:space="preserve"> </w:t>
      </w:r>
      <w:r>
        <w:rPr>
          <w:rStyle w:val="VerbatimChar"/>
        </w:rPr>
        <w:t xml:space="preserve">y0</w:t>
      </w:r>
      <w:r>
        <w:t xml:space="preserve">: Coordinates of the top-left corner of the cropping rectangle.</w:t>
      </w:r>
    </w:p>
    <w:p>
      <w:pPr>
        <w:pStyle w:val="Compact"/>
        <w:numPr>
          <w:ilvl w:val="0"/>
          <w:numId w:val="1853"/>
        </w:numPr>
      </w:pPr>
      <w:r>
        <w:rPr>
          <w:rStyle w:val="VerbatimChar"/>
        </w:rPr>
        <w:t xml:space="preserve">x1</w:t>
      </w:r>
      <w:r>
        <w:t xml:space="preserve">,</w:t>
      </w:r>
      <w:r>
        <w:t xml:space="preserve"> </w:t>
      </w:r>
      <w:r>
        <w:rPr>
          <w:rStyle w:val="VerbatimChar"/>
        </w:rPr>
        <w:t xml:space="preserve">y1</w:t>
      </w:r>
      <w:r>
        <w:t xml:space="preserve">: Coordinates of the bottom-right corner of the cropping rectangle.</w:t>
      </w:r>
    </w:p>
    <w:bookmarkEnd w:id="3388"/>
    <w:bookmarkStart w:id="3389" w:name="return-values-70"/>
    <w:p>
      <w:pPr>
        <w:pStyle w:val="Heading2"/>
      </w:pPr>
      <w:r>
        <w:t xml:space="preserve">Return Values</w:t>
      </w:r>
    </w:p>
    <w:p>
      <w:pPr>
        <w:pStyle w:val="FirstParagraph"/>
      </w:pPr>
      <w:r>
        <w:t xml:space="preserve">Returns</w:t>
      </w:r>
      <w:r>
        <w:t xml:space="preserve"> </w:t>
      </w:r>
      <w:r>
        <w:rPr>
          <w:rStyle w:val="VerbatimChar"/>
        </w:rPr>
        <w:t xml:space="preserve">True</w:t>
      </w:r>
      <w:r>
        <w:t xml:space="preserve"> </w:t>
      </w:r>
      <w:r>
        <w:t xml:space="preserve">on success. Raises an error on failure.</w:t>
      </w:r>
    </w:p>
    <w:bookmarkEnd w:id="3389"/>
    <w:bookmarkStart w:id="3390" w:name="code-example-14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NormalTok"/>
        </w:rPr>
        <w:t xml:space="preserve">jpeg.Crop </w:t>
      </w:r>
      <w:r>
        <w:rPr>
          <w:rStyle w:val="DecValTok"/>
        </w:rPr>
        <w:t xml:space="preserve">10</w:t>
      </w:r>
      <w:r>
        <w:rPr>
          <w:rStyle w:val="OtherTok"/>
        </w:rPr>
        <w:t xml:space="preserve">,</w:t>
      </w:r>
      <w:r>
        <w:rPr>
          <w:rStyle w:val="NormalTok"/>
        </w:rPr>
        <w:t xml:space="preserve"> </w:t>
      </w:r>
      <w:r>
        <w:rPr>
          <w:rStyle w:val="DecValTok"/>
        </w:rPr>
        <w:t xml:space="preserve">10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DecValTok"/>
        </w:rPr>
        <w:t xml:space="preserve">100</w:t>
      </w:r>
      <w:r>
        <w:br/>
      </w:r>
      <w:r>
        <w:rPr>
          <w:rStyle w:val="NormalTok"/>
        </w:rPr>
        <w:t xml:space="preserve">jpeg.Save </w:t>
      </w:r>
      <w:r>
        <w:rPr>
          <w:rStyle w:val="FunctionTok"/>
        </w:rPr>
        <w:t xml:space="preserve">Server</w:t>
      </w:r>
      <w:r>
        <w:rPr>
          <w:rStyle w:val="NormalTok"/>
        </w:rPr>
        <w:t xml:space="preserve">.MapPath</w:t>
      </w:r>
      <w:r>
        <w:rPr>
          <w:rStyle w:val="OtherTok"/>
        </w:rPr>
        <w:t xml:space="preserve">(</w:t>
      </w:r>
      <w:r>
        <w:rPr>
          <w:rStyle w:val="StringTok"/>
        </w:rPr>
        <w:t xml:space="preserve">"cropped.jpg"</w:t>
      </w:r>
      <w:r>
        <w:rPr>
          <w:rStyle w:val="OtherTok"/>
        </w:rPr>
        <w:t xml:space="preserve">)</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390"/>
    <w:bookmarkEnd w:id="3391"/>
    <w:bookmarkStart w:id="3398" w:name="drawcircle-method"/>
    <w:p>
      <w:pPr>
        <w:pStyle w:val="Heading1"/>
      </w:pPr>
      <w:r>
        <w:t xml:space="preserve">DrawCircle Method</w:t>
      </w:r>
    </w:p>
    <w:bookmarkStart w:id="3392" w:name="overview-346"/>
    <w:p>
      <w:pPr>
        <w:pStyle w:val="Heading2"/>
      </w:pPr>
      <w:r>
        <w:t xml:space="preserve">Overview</w:t>
      </w:r>
    </w:p>
    <w:p>
      <w:pPr>
        <w:pStyle w:val="FirstParagraph"/>
      </w:pPr>
      <w:r>
        <w:t xml:space="preserve">Adds a circle to the current path in the G3Pix AxonASP G3IMAGE library.</w:t>
      </w:r>
    </w:p>
    <w:bookmarkEnd w:id="3392"/>
    <w:bookmarkStart w:id="3393" w:name="syntax-345"/>
    <w:p>
      <w:pPr>
        <w:pStyle w:val="Heading2"/>
      </w:pPr>
      <w:r>
        <w:t xml:space="preserve">Syntax</w:t>
      </w:r>
    </w:p>
    <w:p>
      <w:pPr>
        <w:pStyle w:val="SourceCode"/>
      </w:pPr>
      <w:r>
        <w:rPr>
          <w:rStyle w:val="NormalTok"/>
        </w:rPr>
        <w:t xml:space="preserve">obj.DrawCircle(x, y, r)</w:t>
      </w:r>
    </w:p>
    <w:bookmarkEnd w:id="3393"/>
    <w:bookmarkStart w:id="3394" w:name="parameters-205"/>
    <w:p>
      <w:pPr>
        <w:pStyle w:val="Heading2"/>
      </w:pPr>
      <w:r>
        <w:t xml:space="preserve">Parameters</w:t>
      </w:r>
    </w:p>
    <w:p>
      <w:pPr>
        <w:pStyle w:val="Compact"/>
        <w:numPr>
          <w:ilvl w:val="0"/>
          <w:numId w:val="1854"/>
        </w:numPr>
      </w:pPr>
      <w:r>
        <w:rPr>
          <w:b/>
          <w:bCs/>
        </w:rPr>
        <w:t xml:space="preserve">x</w:t>
      </w:r>
      <w:r>
        <w:t xml:space="preserve"> </w:t>
      </w:r>
      <w:r>
        <w:t xml:space="preserve">(Double): The x-coordinate of the center of the circle.</w:t>
      </w:r>
    </w:p>
    <w:p>
      <w:pPr>
        <w:pStyle w:val="Compact"/>
        <w:numPr>
          <w:ilvl w:val="0"/>
          <w:numId w:val="1854"/>
        </w:numPr>
      </w:pPr>
      <w:r>
        <w:rPr>
          <w:b/>
          <w:bCs/>
        </w:rPr>
        <w:t xml:space="preserve">y</w:t>
      </w:r>
      <w:r>
        <w:t xml:space="preserve"> </w:t>
      </w:r>
      <w:r>
        <w:t xml:space="preserve">(Double): The y-coordinate of the center of the circle.</w:t>
      </w:r>
    </w:p>
    <w:p>
      <w:pPr>
        <w:pStyle w:val="Compact"/>
        <w:numPr>
          <w:ilvl w:val="0"/>
          <w:numId w:val="1854"/>
        </w:numPr>
      </w:pPr>
      <w:r>
        <w:rPr>
          <w:b/>
          <w:bCs/>
        </w:rPr>
        <w:t xml:space="preserve">r</w:t>
      </w:r>
      <w:r>
        <w:t xml:space="preserve"> </w:t>
      </w:r>
      <w:r>
        <w:t xml:space="preserve">(Double): The radius of the circle.</w:t>
      </w:r>
    </w:p>
    <w:bookmarkEnd w:id="3394"/>
    <w:bookmarkStart w:id="3395" w:name="return-values-71"/>
    <w:p>
      <w:pPr>
        <w:pStyle w:val="Heading2"/>
      </w:pPr>
      <w:r>
        <w:t xml:space="preserve">Return Values</w:t>
      </w:r>
    </w:p>
    <w:p>
      <w:pPr>
        <w:pStyle w:val="FirstParagraph"/>
      </w:pPr>
      <w:r>
        <w:t xml:space="preserve">Returns Empty upon completion.</w:t>
      </w:r>
    </w:p>
    <w:bookmarkEnd w:id="3395"/>
    <w:bookmarkStart w:id="3396" w:name="remarks-322"/>
    <w:p>
      <w:pPr>
        <w:pStyle w:val="Heading2"/>
      </w:pPr>
      <w:r>
        <w:t xml:space="preserve">Remarks</w:t>
      </w:r>
    </w:p>
    <w:p>
      <w:pPr>
        <w:pStyle w:val="Compact"/>
        <w:numPr>
          <w:ilvl w:val="0"/>
          <w:numId w:val="1855"/>
        </w:numPr>
      </w:pPr>
      <w:r>
        <w:t xml:space="preserve">This method adds the circle to the current path. You must call Stroke or Fill to actually render the circle on the canvas.</w:t>
      </w:r>
    </w:p>
    <w:bookmarkEnd w:id="3396"/>
    <w:bookmarkStart w:id="3397" w:name="code-example-14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200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img.SetHexColor</w:t>
      </w:r>
      <w:r>
        <w:rPr>
          <w:rStyle w:val="OtherTok"/>
        </w:rPr>
        <w:t xml:space="preserve">(</w:t>
      </w:r>
      <w:r>
        <w:rPr>
          <w:rStyle w:val="StringTok"/>
        </w:rPr>
        <w:t xml:space="preserve">"#FF0000"</w:t>
      </w:r>
      <w:r>
        <w:rPr>
          <w:rStyle w:val="OtherTok"/>
        </w:rPr>
        <w:t xml:space="preserve">)</w:t>
      </w:r>
      <w:r>
        <w:br/>
      </w:r>
      <w:r>
        <w:rPr>
          <w:rStyle w:val="NormalTok"/>
        </w:rPr>
        <w:t xml:space="preserve">    img.DrawCircle </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DecValTok"/>
        </w:rPr>
        <w:t xml:space="preserve">50</w:t>
      </w:r>
      <w:r>
        <w:br/>
      </w:r>
      <w:r>
        <w:rPr>
          <w:rStyle w:val="NormalTok"/>
        </w:rPr>
        <w:t xml:space="preserve">    img.Stroke</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397"/>
    <w:bookmarkEnd w:id="3398"/>
    <w:bookmarkStart w:id="3405" w:name="drawellipse-method"/>
    <w:p>
      <w:pPr>
        <w:pStyle w:val="Heading1"/>
      </w:pPr>
      <w:r>
        <w:t xml:space="preserve">DrawEllipse Method</w:t>
      </w:r>
    </w:p>
    <w:bookmarkStart w:id="3399" w:name="overview-347"/>
    <w:p>
      <w:pPr>
        <w:pStyle w:val="Heading2"/>
      </w:pPr>
      <w:r>
        <w:t xml:space="preserve">Overview</w:t>
      </w:r>
    </w:p>
    <w:p>
      <w:pPr>
        <w:pStyle w:val="FirstParagraph"/>
      </w:pPr>
      <w:r>
        <w:t xml:space="preserve">Adds an ellipse to the current path in the G3Pix AxonASP G3IMAGE library.</w:t>
      </w:r>
    </w:p>
    <w:bookmarkEnd w:id="3399"/>
    <w:bookmarkStart w:id="3400" w:name="syntax-346"/>
    <w:p>
      <w:pPr>
        <w:pStyle w:val="Heading2"/>
      </w:pPr>
      <w:r>
        <w:t xml:space="preserve">Syntax</w:t>
      </w:r>
    </w:p>
    <w:p>
      <w:pPr>
        <w:pStyle w:val="SourceCode"/>
      </w:pPr>
      <w:r>
        <w:rPr>
          <w:rStyle w:val="NormalTok"/>
        </w:rPr>
        <w:t xml:space="preserve">obj.DrawEllipse(x, y, rx, ry)</w:t>
      </w:r>
    </w:p>
    <w:bookmarkEnd w:id="3400"/>
    <w:bookmarkStart w:id="3401" w:name="parameters-206"/>
    <w:p>
      <w:pPr>
        <w:pStyle w:val="Heading2"/>
      </w:pPr>
      <w:r>
        <w:t xml:space="preserve">Parameters</w:t>
      </w:r>
    </w:p>
    <w:p>
      <w:pPr>
        <w:pStyle w:val="Compact"/>
        <w:numPr>
          <w:ilvl w:val="0"/>
          <w:numId w:val="1856"/>
        </w:numPr>
      </w:pPr>
      <w:r>
        <w:rPr>
          <w:b/>
          <w:bCs/>
        </w:rPr>
        <w:t xml:space="preserve">x</w:t>
      </w:r>
      <w:r>
        <w:t xml:space="preserve"> </w:t>
      </w:r>
      <w:r>
        <w:t xml:space="preserve">(Double): The x-coordinate of the center of the ellipse.</w:t>
      </w:r>
    </w:p>
    <w:p>
      <w:pPr>
        <w:pStyle w:val="Compact"/>
        <w:numPr>
          <w:ilvl w:val="0"/>
          <w:numId w:val="1856"/>
        </w:numPr>
      </w:pPr>
      <w:r>
        <w:rPr>
          <w:b/>
          <w:bCs/>
        </w:rPr>
        <w:t xml:space="preserve">y</w:t>
      </w:r>
      <w:r>
        <w:t xml:space="preserve"> </w:t>
      </w:r>
      <w:r>
        <w:t xml:space="preserve">(Double): The y-coordinate of the center of the ellipse.</w:t>
      </w:r>
    </w:p>
    <w:p>
      <w:pPr>
        <w:pStyle w:val="Compact"/>
        <w:numPr>
          <w:ilvl w:val="0"/>
          <w:numId w:val="1856"/>
        </w:numPr>
      </w:pPr>
      <w:r>
        <w:rPr>
          <w:b/>
          <w:bCs/>
        </w:rPr>
        <w:t xml:space="preserve">rx</w:t>
      </w:r>
      <w:r>
        <w:t xml:space="preserve"> </w:t>
      </w:r>
      <w:r>
        <w:t xml:space="preserve">(Double): The horizontal radius of the ellipse.</w:t>
      </w:r>
    </w:p>
    <w:p>
      <w:pPr>
        <w:pStyle w:val="Compact"/>
        <w:numPr>
          <w:ilvl w:val="0"/>
          <w:numId w:val="1856"/>
        </w:numPr>
      </w:pPr>
      <w:r>
        <w:rPr>
          <w:b/>
          <w:bCs/>
        </w:rPr>
        <w:t xml:space="preserve">ry</w:t>
      </w:r>
      <w:r>
        <w:t xml:space="preserve"> </w:t>
      </w:r>
      <w:r>
        <w:t xml:space="preserve">(Double): The vertical radius of the ellipse.</w:t>
      </w:r>
    </w:p>
    <w:bookmarkEnd w:id="3401"/>
    <w:bookmarkStart w:id="3402" w:name="return-values-72"/>
    <w:p>
      <w:pPr>
        <w:pStyle w:val="Heading2"/>
      </w:pPr>
      <w:r>
        <w:t xml:space="preserve">Return Values</w:t>
      </w:r>
    </w:p>
    <w:p>
      <w:pPr>
        <w:pStyle w:val="FirstParagraph"/>
      </w:pPr>
      <w:r>
        <w:t xml:space="preserve">Returns Empty upon completion.</w:t>
      </w:r>
    </w:p>
    <w:bookmarkEnd w:id="3402"/>
    <w:bookmarkStart w:id="3403" w:name="remarks-323"/>
    <w:p>
      <w:pPr>
        <w:pStyle w:val="Heading2"/>
      </w:pPr>
      <w:r>
        <w:t xml:space="preserve">Remarks</w:t>
      </w:r>
    </w:p>
    <w:p>
      <w:pPr>
        <w:pStyle w:val="Compact"/>
        <w:numPr>
          <w:ilvl w:val="0"/>
          <w:numId w:val="1857"/>
        </w:numPr>
      </w:pPr>
      <w:r>
        <w:t xml:space="preserve">This method adds the ellipse to the current path. You must call Stroke or Fill to actually render it on the canvas.</w:t>
      </w:r>
    </w:p>
    <w:bookmarkEnd w:id="3403"/>
    <w:bookmarkStart w:id="3404" w:name="code-example-14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200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img.SetHexColor</w:t>
      </w:r>
      <w:r>
        <w:rPr>
          <w:rStyle w:val="OtherTok"/>
        </w:rPr>
        <w:t xml:space="preserve">(</w:t>
      </w:r>
      <w:r>
        <w:rPr>
          <w:rStyle w:val="StringTok"/>
        </w:rPr>
        <w:t xml:space="preserve">"#00FF00"</w:t>
      </w:r>
      <w:r>
        <w:rPr>
          <w:rStyle w:val="OtherTok"/>
        </w:rPr>
        <w:t xml:space="preserve">)</w:t>
      </w:r>
      <w:r>
        <w:br/>
      </w:r>
      <w:r>
        <w:rPr>
          <w:rStyle w:val="NormalTok"/>
        </w:rPr>
        <w:t xml:space="preserve">    img.DrawEllipse </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DecValTok"/>
        </w:rPr>
        <w:t xml:space="preserve">80</w:t>
      </w:r>
      <w:r>
        <w:rPr>
          <w:rStyle w:val="OtherTok"/>
        </w:rPr>
        <w:t xml:space="preserve">,</w:t>
      </w:r>
      <w:r>
        <w:rPr>
          <w:rStyle w:val="NormalTok"/>
        </w:rPr>
        <w:t xml:space="preserve"> </w:t>
      </w:r>
      <w:r>
        <w:rPr>
          <w:rStyle w:val="DecValTok"/>
        </w:rPr>
        <w:t xml:space="preserve">40</w:t>
      </w:r>
      <w:r>
        <w:br/>
      </w:r>
      <w:r>
        <w:rPr>
          <w:rStyle w:val="NormalTok"/>
        </w:rPr>
        <w:t xml:space="preserve">    img.Fill</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04"/>
    <w:bookmarkEnd w:id="3405"/>
    <w:bookmarkStart w:id="3411" w:name="drawimage-method"/>
    <w:p>
      <w:pPr>
        <w:pStyle w:val="Heading1"/>
      </w:pPr>
      <w:r>
        <w:t xml:space="preserve">DrawImage Method</w:t>
      </w:r>
    </w:p>
    <w:bookmarkStart w:id="3406" w:name="overview-348"/>
    <w:p>
      <w:pPr>
        <w:pStyle w:val="Heading2"/>
      </w:pPr>
      <w:r>
        <w:t xml:space="preserve">Overview</w:t>
      </w:r>
    </w:p>
    <w:p>
      <w:pPr>
        <w:pStyle w:val="FirstParagraph"/>
      </w:pPr>
      <w:r>
        <w:t xml:space="preserve">Draws an image onto the current context in the G3Pix AxonASP G3IMAGE library. Supports both native G3IMAGE rendering and the</w:t>
      </w:r>
      <w:r>
        <w:t xml:space="preserve"> </w:t>
      </w:r>
      <w:r>
        <w:rPr>
          <w:rStyle w:val="VerbatimChar"/>
        </w:rPr>
        <w:t xml:space="preserve">Persits.Jpeg</w:t>
      </w:r>
      <w:r>
        <w:t xml:space="preserve"> </w:t>
      </w:r>
      <w:r>
        <w:t xml:space="preserve">compatible method signature.</w:t>
      </w:r>
    </w:p>
    <w:bookmarkEnd w:id="3406"/>
    <w:bookmarkStart w:id="3407" w:name="syntax-347"/>
    <w:p>
      <w:pPr>
        <w:pStyle w:val="Heading2"/>
      </w:pPr>
      <w:r>
        <w:t xml:space="preserve">Syntax</w:t>
      </w:r>
    </w:p>
    <w:p>
      <w:pPr>
        <w:pStyle w:val="SourceCode"/>
      </w:pPr>
      <w:r>
        <w:rPr>
          <w:rStyle w:val="NormalTok"/>
        </w:rPr>
        <w:t xml:space="preserve">' G3IMAGE syntax</w:t>
      </w:r>
      <w:r>
        <w:br/>
      </w:r>
      <w:r>
        <w:rPr>
          <w:rStyle w:val="NormalTok"/>
        </w:rPr>
        <w:t xml:space="preserve">obj.DrawImage(x, y)</w:t>
      </w:r>
      <w:r>
        <w:br/>
      </w:r>
      <w:r>
        <w:br/>
      </w:r>
      <w:r>
        <w:rPr>
          <w:rStyle w:val="NormalTok"/>
        </w:rPr>
        <w:t xml:space="preserve">' Persits.Jpeg syntax</w:t>
      </w:r>
      <w:r>
        <w:br/>
      </w:r>
      <w:r>
        <w:rPr>
          <w:rStyle w:val="NormalTok"/>
        </w:rPr>
        <w:t xml:space="preserve">obj.DrawImage(x, y, JpegObject)</w:t>
      </w:r>
    </w:p>
    <w:bookmarkEnd w:id="3407"/>
    <w:bookmarkStart w:id="3408" w:name="parameters-207"/>
    <w:p>
      <w:pPr>
        <w:pStyle w:val="Heading2"/>
      </w:pPr>
      <w:r>
        <w:t xml:space="preserve">Parameters</w:t>
      </w:r>
    </w:p>
    <w:p>
      <w:pPr>
        <w:pStyle w:val="Compact"/>
        <w:numPr>
          <w:ilvl w:val="0"/>
          <w:numId w:val="1858"/>
        </w:numPr>
      </w:pPr>
      <w:r>
        <w:rPr>
          <w:b/>
          <w:bCs/>
        </w:rPr>
        <w:t xml:space="preserve">x</w:t>
      </w:r>
      <w:r>
        <w:t xml:space="preserve"> </w:t>
      </w:r>
      <w:r>
        <w:t xml:space="preserve">(Integer): The x-coordinate where the top-left corner of the image will be placed.</w:t>
      </w:r>
    </w:p>
    <w:p>
      <w:pPr>
        <w:pStyle w:val="Compact"/>
        <w:numPr>
          <w:ilvl w:val="0"/>
          <w:numId w:val="1858"/>
        </w:numPr>
      </w:pPr>
      <w:r>
        <w:rPr>
          <w:b/>
          <w:bCs/>
        </w:rPr>
        <w:t xml:space="preserve">y</w:t>
      </w:r>
      <w:r>
        <w:t xml:space="preserve"> </w:t>
      </w:r>
      <w:r>
        <w:t xml:space="preserve">(Integer): The y-coordinate where the top-left corner of the image will be placed.</w:t>
      </w:r>
    </w:p>
    <w:p>
      <w:pPr>
        <w:pStyle w:val="Compact"/>
        <w:numPr>
          <w:ilvl w:val="0"/>
          <w:numId w:val="1858"/>
        </w:numPr>
      </w:pPr>
      <w:r>
        <w:rPr>
          <w:b/>
          <w:bCs/>
        </w:rPr>
        <w:t xml:space="preserve">JpegObject</w:t>
      </w:r>
      <w:r>
        <w:t xml:space="preserve"> </w:t>
      </w:r>
      <w:r>
        <w:t xml:space="preserve">(Object, Optional):</w:t>
      </w:r>
      <w:r>
        <w:t xml:space="preserve"> </w:t>
      </w:r>
      <w:r>
        <w:rPr>
          <w:b/>
          <w:bCs/>
        </w:rPr>
        <w:t xml:space="preserve">(Persits.Jpeg Compatibility Only)</w:t>
      </w:r>
      <w:r>
        <w:t xml:space="preserve"> </w:t>
      </w:r>
      <w:r>
        <w:t xml:space="preserve">Another</w:t>
      </w:r>
      <w:r>
        <w:t xml:space="preserve"> </w:t>
      </w:r>
      <w:r>
        <w:rPr>
          <w:rStyle w:val="VerbatimChar"/>
        </w:rPr>
        <w:t xml:space="preserve">Persits.Jpeg</w:t>
      </w:r>
      <w:r>
        <w:t xml:space="preserve"> </w:t>
      </w:r>
      <w:r>
        <w:t xml:space="preserve">compatibility object instance whose active image will be drawn onto the current context.</w:t>
      </w:r>
    </w:p>
    <w:bookmarkEnd w:id="3408"/>
    <w:bookmarkStart w:id="3409" w:name="return-values-73"/>
    <w:p>
      <w:pPr>
        <w:pStyle w:val="Heading2"/>
      </w:pPr>
      <w:r>
        <w:t xml:space="preserve">Return Values</w:t>
      </w:r>
    </w:p>
    <w:p>
      <w:pPr>
        <w:pStyle w:val="FirstParagraph"/>
      </w:pPr>
      <w:r>
        <w:t xml:space="preserve">Returns Empty upon completion.</w:t>
      </w:r>
    </w:p>
    <w:bookmarkEnd w:id="3409"/>
    <w:bookmarkStart w:id="3410" w:name="code-example-14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jpeg1</w:t>
      </w:r>
      <w:r>
        <w:rPr>
          <w:rStyle w:val="OtherTok"/>
        </w:rPr>
        <w:t xml:space="preserve">,</w:t>
      </w:r>
      <w:r>
        <w:rPr>
          <w:rStyle w:val="NormalTok"/>
        </w:rPr>
        <w:t xml:space="preserve"> jpeg2</w:t>
      </w:r>
      <w:r>
        <w:br/>
      </w:r>
      <w:r>
        <w:rPr>
          <w:rStyle w:val="KeywordTok"/>
        </w:rPr>
        <w:t xml:space="preserve">Set</w:t>
      </w:r>
      <w:r>
        <w:rPr>
          <w:rStyle w:val="NormalTok"/>
        </w:rPr>
        <w:t xml:space="preserve"> jpeg1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KeywordTok"/>
        </w:rPr>
        <w:t xml:space="preserve">Set</w:t>
      </w:r>
      <w:r>
        <w:rPr>
          <w:rStyle w:val="NormalTok"/>
        </w:rPr>
        <w:t xml:space="preserve"> jpeg2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br/>
      </w:r>
      <w:r>
        <w:rPr>
          <w:rStyle w:val="NormalTok"/>
        </w:rPr>
        <w:t xml:space="preserve">jpeg1.</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"background.jpg"</w:t>
      </w:r>
      <w:r>
        <w:rPr>
          <w:rStyle w:val="OtherTok"/>
        </w:rPr>
        <w:t xml:space="preserve">)</w:t>
      </w:r>
      <w:r>
        <w:br/>
      </w:r>
      <w:r>
        <w:rPr>
          <w:rStyle w:val="NormalTok"/>
        </w:rPr>
        <w:t xml:space="preserve">jpeg2.</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"logo.png"</w:t>
      </w:r>
      <w:r>
        <w:rPr>
          <w:rStyle w:val="OtherTok"/>
        </w:rPr>
        <w:t xml:space="preserve">)</w:t>
      </w:r>
      <w:r>
        <w:br/>
      </w:r>
      <w:r>
        <w:br/>
      </w:r>
      <w:r>
        <w:rPr>
          <w:rStyle w:val="CommentTok"/>
        </w:rPr>
        <w:t xml:space="preserve">' Draw logo onto background at coordinates (50, 50)</w:t>
      </w:r>
      <w:r>
        <w:br/>
      </w:r>
      <w:r>
        <w:rPr>
          <w:rStyle w:val="NormalTok"/>
        </w:rPr>
        <w:t xml:space="preserve">jpeg1.DrawImage </w:t>
      </w:r>
      <w:r>
        <w:rPr>
          <w:rStyle w:val="DecValTok"/>
        </w:rPr>
        <w:t xml:space="preserve">50</w:t>
      </w:r>
      <w:r>
        <w:rPr>
          <w:rStyle w:val="OtherTok"/>
        </w:rPr>
        <w:t xml:space="preserve">,</w:t>
      </w:r>
      <w:r>
        <w:rPr>
          <w:rStyle w:val="NormalTok"/>
        </w:rPr>
        <w:t xml:space="preserve"> </w:t>
      </w:r>
      <w:r>
        <w:rPr>
          <w:rStyle w:val="DecValTok"/>
        </w:rPr>
        <w:t xml:space="preserve">50</w:t>
      </w:r>
      <w:r>
        <w:rPr>
          <w:rStyle w:val="OtherTok"/>
        </w:rPr>
        <w:t xml:space="preserve">,</w:t>
      </w:r>
      <w:r>
        <w:rPr>
          <w:rStyle w:val="NormalTok"/>
        </w:rPr>
        <w:t xml:space="preserve"> jpeg2</w:t>
      </w:r>
      <w:r>
        <w:br/>
      </w:r>
      <w:r>
        <w:br/>
      </w:r>
      <w:r>
        <w:rPr>
          <w:rStyle w:val="NormalTok"/>
        </w:rPr>
        <w:t xml:space="preserve">jpeg1.Save </w:t>
      </w:r>
      <w:r>
        <w:rPr>
          <w:rStyle w:val="FunctionTok"/>
        </w:rPr>
        <w:t xml:space="preserve">Server</w:t>
      </w:r>
      <w:r>
        <w:rPr>
          <w:rStyle w:val="NormalTok"/>
        </w:rPr>
        <w:t xml:space="preserve">.MapPath</w:t>
      </w:r>
      <w:r>
        <w:rPr>
          <w:rStyle w:val="OtherTok"/>
        </w:rPr>
        <w:t xml:space="preserve">(</w:t>
      </w:r>
      <w:r>
        <w:rPr>
          <w:rStyle w:val="StringTok"/>
        </w:rPr>
        <w:t xml:space="preserve">"composed.jpg"</w:t>
      </w:r>
      <w:r>
        <w:rPr>
          <w:rStyle w:val="OtherTok"/>
        </w:rPr>
        <w:t xml:space="preserve">)</w:t>
      </w:r>
      <w:r>
        <w:br/>
      </w:r>
      <w:r>
        <w:rPr>
          <w:rStyle w:val="NormalTok"/>
        </w:rPr>
        <w:t xml:space="preserve">jpeg1.</w:t>
      </w:r>
      <w:r>
        <w:rPr>
          <w:rStyle w:val="KeywordTok"/>
        </w:rPr>
        <w:t xml:space="preserve">Close</w:t>
      </w:r>
      <w:r>
        <w:br/>
      </w:r>
      <w:r>
        <w:rPr>
          <w:rStyle w:val="NormalTok"/>
        </w:rPr>
        <w:t xml:space="preserve">jpeg2.</w:t>
      </w:r>
      <w:r>
        <w:rPr>
          <w:rStyle w:val="KeywordTok"/>
        </w:rPr>
        <w:t xml:space="preserve">Close</w:t>
      </w:r>
      <w:r>
        <w:br/>
      </w:r>
      <w:r>
        <w:rPr>
          <w:rStyle w:val="KeywordTok"/>
        </w:rPr>
        <w:t xml:space="preserve">Set</w:t>
      </w:r>
      <w:r>
        <w:rPr>
          <w:rStyle w:val="NormalTok"/>
        </w:rPr>
        <w:t xml:space="preserve"> jpeg1 = </w:t>
      </w:r>
      <w:r>
        <w:rPr>
          <w:rStyle w:val="KeywordTok"/>
        </w:rPr>
        <w:t xml:space="preserve">Nothing</w:t>
      </w:r>
      <w:r>
        <w:br/>
      </w:r>
      <w:r>
        <w:rPr>
          <w:rStyle w:val="KeywordTok"/>
        </w:rPr>
        <w:t xml:space="preserve">Set</w:t>
      </w:r>
      <w:r>
        <w:rPr>
          <w:rStyle w:val="NormalTok"/>
        </w:rPr>
        <w:t xml:space="preserve"> jpeg2 = </w:t>
      </w:r>
      <w:r>
        <w:rPr>
          <w:rStyle w:val="KeywordTok"/>
        </w:rPr>
        <w:t xml:space="preserve">Nothing</w:t>
      </w:r>
      <w:r>
        <w:br/>
      </w:r>
      <w:r>
        <w:rPr>
          <w:rStyle w:val="DataTypeTok"/>
        </w:rPr>
        <w:t xml:space="preserve">%&gt;</w:t>
      </w:r>
    </w:p>
    <w:bookmarkEnd w:id="3410"/>
    <w:bookmarkEnd w:id="3411"/>
    <w:bookmarkStart w:id="3418" w:name="drawline-method"/>
    <w:p>
      <w:pPr>
        <w:pStyle w:val="Heading1"/>
      </w:pPr>
      <w:r>
        <w:t xml:space="preserve">DrawLine Method</w:t>
      </w:r>
    </w:p>
    <w:bookmarkStart w:id="3412" w:name="overview-349"/>
    <w:p>
      <w:pPr>
        <w:pStyle w:val="Heading2"/>
      </w:pPr>
      <w:r>
        <w:t xml:space="preserve">Overview</w:t>
      </w:r>
    </w:p>
    <w:p>
      <w:pPr>
        <w:pStyle w:val="FirstParagraph"/>
      </w:pPr>
      <w:r>
        <w:t xml:space="preserve">Adds a line segment to the current path in the G3Pix AxonASP G3IMAGE library.</w:t>
      </w:r>
    </w:p>
    <w:bookmarkEnd w:id="3412"/>
    <w:bookmarkStart w:id="3413" w:name="syntax-348"/>
    <w:p>
      <w:pPr>
        <w:pStyle w:val="Heading2"/>
      </w:pPr>
      <w:r>
        <w:t xml:space="preserve">Syntax</w:t>
      </w:r>
    </w:p>
    <w:p>
      <w:pPr>
        <w:pStyle w:val="SourceCode"/>
      </w:pPr>
      <w:r>
        <w:rPr>
          <w:rStyle w:val="NormalTok"/>
        </w:rPr>
        <w:t xml:space="preserve">obj.DrawLine(x1, y1, x2, y2)</w:t>
      </w:r>
    </w:p>
    <w:bookmarkEnd w:id="3413"/>
    <w:bookmarkStart w:id="3414" w:name="parameters-208"/>
    <w:p>
      <w:pPr>
        <w:pStyle w:val="Heading2"/>
      </w:pPr>
      <w:r>
        <w:t xml:space="preserve">Parameters</w:t>
      </w:r>
    </w:p>
    <w:p>
      <w:pPr>
        <w:pStyle w:val="Compact"/>
        <w:numPr>
          <w:ilvl w:val="0"/>
          <w:numId w:val="1859"/>
        </w:numPr>
      </w:pPr>
      <w:r>
        <w:rPr>
          <w:b/>
          <w:bCs/>
        </w:rPr>
        <w:t xml:space="preserve">x1</w:t>
      </w:r>
      <w:r>
        <w:t xml:space="preserve"> </w:t>
      </w:r>
      <w:r>
        <w:t xml:space="preserve">(Double): The x-coordinate of the starting point.</w:t>
      </w:r>
    </w:p>
    <w:p>
      <w:pPr>
        <w:pStyle w:val="Compact"/>
        <w:numPr>
          <w:ilvl w:val="0"/>
          <w:numId w:val="1859"/>
        </w:numPr>
      </w:pPr>
      <w:r>
        <w:rPr>
          <w:b/>
          <w:bCs/>
        </w:rPr>
        <w:t xml:space="preserve">y1</w:t>
      </w:r>
      <w:r>
        <w:t xml:space="preserve"> </w:t>
      </w:r>
      <w:r>
        <w:t xml:space="preserve">(Double): The y-coordinate of the starting point.</w:t>
      </w:r>
    </w:p>
    <w:p>
      <w:pPr>
        <w:pStyle w:val="Compact"/>
        <w:numPr>
          <w:ilvl w:val="0"/>
          <w:numId w:val="1859"/>
        </w:numPr>
      </w:pPr>
      <w:r>
        <w:rPr>
          <w:b/>
          <w:bCs/>
        </w:rPr>
        <w:t xml:space="preserve">x2</w:t>
      </w:r>
      <w:r>
        <w:t xml:space="preserve"> </w:t>
      </w:r>
      <w:r>
        <w:t xml:space="preserve">(Double): The x-coordinate of the ending point.</w:t>
      </w:r>
    </w:p>
    <w:p>
      <w:pPr>
        <w:pStyle w:val="Compact"/>
        <w:numPr>
          <w:ilvl w:val="0"/>
          <w:numId w:val="1859"/>
        </w:numPr>
      </w:pPr>
      <w:r>
        <w:rPr>
          <w:b/>
          <w:bCs/>
        </w:rPr>
        <w:t xml:space="preserve">y2</w:t>
      </w:r>
      <w:r>
        <w:t xml:space="preserve"> </w:t>
      </w:r>
      <w:r>
        <w:t xml:space="preserve">(Double): The y-coordinate of the ending point.</w:t>
      </w:r>
    </w:p>
    <w:bookmarkEnd w:id="3414"/>
    <w:bookmarkStart w:id="3415" w:name="return-values-74"/>
    <w:p>
      <w:pPr>
        <w:pStyle w:val="Heading2"/>
      </w:pPr>
      <w:r>
        <w:t xml:space="preserve">Return Values</w:t>
      </w:r>
    </w:p>
    <w:p>
      <w:pPr>
        <w:pStyle w:val="FirstParagraph"/>
      </w:pPr>
      <w:r>
        <w:t xml:space="preserve">Returns Empty upon completion.</w:t>
      </w:r>
    </w:p>
    <w:bookmarkEnd w:id="3415"/>
    <w:bookmarkStart w:id="3416" w:name="remarks-324"/>
    <w:p>
      <w:pPr>
        <w:pStyle w:val="Heading2"/>
      </w:pPr>
      <w:r>
        <w:t xml:space="preserve">Remarks</w:t>
      </w:r>
    </w:p>
    <w:p>
      <w:pPr>
        <w:pStyle w:val="Compact"/>
        <w:numPr>
          <w:ilvl w:val="0"/>
          <w:numId w:val="1860"/>
        </w:numPr>
      </w:pPr>
      <w:r>
        <w:t xml:space="preserve">This method defines a line in the current path. Call Stroke to render the line.</w:t>
      </w:r>
    </w:p>
    <w:bookmarkEnd w:id="3416"/>
    <w:bookmarkStart w:id="3417" w:name="code-example-14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200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img.SetHexColor</w:t>
      </w:r>
      <w:r>
        <w:rPr>
          <w:rStyle w:val="OtherTok"/>
        </w:rPr>
        <w:t xml:space="preserve">(</w:t>
      </w:r>
      <w:r>
        <w:rPr>
          <w:rStyle w:val="StringTok"/>
        </w:rPr>
        <w:t xml:space="preserve">"#000000"</w:t>
      </w:r>
      <w:r>
        <w:rPr>
          <w:rStyle w:val="OtherTok"/>
        </w:rPr>
        <w:t xml:space="preserve">)</w:t>
      </w:r>
      <w:r>
        <w:br/>
      </w:r>
      <w:r>
        <w:rPr>
          <w:rStyle w:val="NormalTok"/>
        </w:rPr>
        <w:t xml:space="preserve">    img.SetLineWidth </w:t>
      </w:r>
      <w:r>
        <w:rPr>
          <w:rStyle w:val="DecValTok"/>
        </w:rPr>
        <w:t xml:space="preserve">2</w:t>
      </w:r>
      <w:r>
        <w:br/>
      </w:r>
      <w:r>
        <w:rPr>
          <w:rStyle w:val="NormalTok"/>
        </w:rPr>
        <w:t xml:space="preserve">    img.DrawLine </w:t>
      </w:r>
      <w:r>
        <w:rPr>
          <w:rStyle w:val="DecValTok"/>
        </w:rPr>
        <w:t xml:space="preserve">10</w:t>
      </w:r>
      <w:r>
        <w:rPr>
          <w:rStyle w:val="OtherTok"/>
        </w:rPr>
        <w:t xml:space="preserve">,</w:t>
      </w:r>
      <w:r>
        <w:rPr>
          <w:rStyle w:val="NormalTok"/>
        </w:rPr>
        <w:t xml:space="preserve"> </w:t>
      </w:r>
      <w:r>
        <w:rPr>
          <w:rStyle w:val="DecValTok"/>
        </w:rPr>
        <w:t xml:space="preserve">10</w:t>
      </w:r>
      <w:r>
        <w:rPr>
          <w:rStyle w:val="OtherTok"/>
        </w:rPr>
        <w:t xml:space="preserve">,</w:t>
      </w:r>
      <w:r>
        <w:rPr>
          <w:rStyle w:val="NormalTok"/>
        </w:rPr>
        <w:t xml:space="preserve"> </w:t>
      </w:r>
      <w:r>
        <w:rPr>
          <w:rStyle w:val="DecValTok"/>
        </w:rPr>
        <w:t xml:space="preserve">190</w:t>
      </w:r>
      <w:r>
        <w:rPr>
          <w:rStyle w:val="OtherTok"/>
        </w:rPr>
        <w:t xml:space="preserve">,</w:t>
      </w:r>
      <w:r>
        <w:rPr>
          <w:rStyle w:val="NormalTok"/>
        </w:rPr>
        <w:t xml:space="preserve"> </w:t>
      </w:r>
      <w:r>
        <w:rPr>
          <w:rStyle w:val="DecValTok"/>
        </w:rPr>
        <w:t xml:space="preserve">190</w:t>
      </w:r>
      <w:r>
        <w:br/>
      </w:r>
      <w:r>
        <w:rPr>
          <w:rStyle w:val="NormalTok"/>
        </w:rPr>
        <w:t xml:space="preserve">    img.Stroke</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17"/>
    <w:bookmarkEnd w:id="3418"/>
    <w:bookmarkStart w:id="3425" w:name="drawrectangle-method"/>
    <w:p>
      <w:pPr>
        <w:pStyle w:val="Heading1"/>
      </w:pPr>
      <w:r>
        <w:t xml:space="preserve">DrawRectangle Method</w:t>
      </w:r>
    </w:p>
    <w:bookmarkStart w:id="3419" w:name="overview-350"/>
    <w:p>
      <w:pPr>
        <w:pStyle w:val="Heading2"/>
      </w:pPr>
      <w:r>
        <w:t xml:space="preserve">Overview</w:t>
      </w:r>
    </w:p>
    <w:p>
      <w:pPr>
        <w:pStyle w:val="FirstParagraph"/>
      </w:pPr>
      <w:r>
        <w:t xml:space="preserve">Adds a rectangle to the current path in the G3Pix AxonASP G3IMAGE library.</w:t>
      </w:r>
    </w:p>
    <w:bookmarkEnd w:id="3419"/>
    <w:bookmarkStart w:id="3420" w:name="syntax-349"/>
    <w:p>
      <w:pPr>
        <w:pStyle w:val="Heading2"/>
      </w:pPr>
      <w:r>
        <w:t xml:space="preserve">Syntax</w:t>
      </w:r>
    </w:p>
    <w:p>
      <w:pPr>
        <w:pStyle w:val="SourceCode"/>
      </w:pPr>
      <w:r>
        <w:rPr>
          <w:rStyle w:val="NormalTok"/>
        </w:rPr>
        <w:t xml:space="preserve">obj.DrawRectangle(x, y, w, h)</w:t>
      </w:r>
    </w:p>
    <w:bookmarkEnd w:id="3420"/>
    <w:bookmarkStart w:id="3421" w:name="parameters-209"/>
    <w:p>
      <w:pPr>
        <w:pStyle w:val="Heading2"/>
      </w:pPr>
      <w:r>
        <w:t xml:space="preserve">Parameters</w:t>
      </w:r>
    </w:p>
    <w:p>
      <w:pPr>
        <w:pStyle w:val="Compact"/>
        <w:numPr>
          <w:ilvl w:val="0"/>
          <w:numId w:val="1861"/>
        </w:numPr>
      </w:pPr>
      <w:r>
        <w:rPr>
          <w:b/>
          <w:bCs/>
        </w:rPr>
        <w:t xml:space="preserve">x</w:t>
      </w:r>
      <w:r>
        <w:t xml:space="preserve"> </w:t>
      </w:r>
      <w:r>
        <w:t xml:space="preserve">(Double): The x-coordinate of the top-left corner.</w:t>
      </w:r>
    </w:p>
    <w:p>
      <w:pPr>
        <w:pStyle w:val="Compact"/>
        <w:numPr>
          <w:ilvl w:val="0"/>
          <w:numId w:val="1861"/>
        </w:numPr>
      </w:pPr>
      <w:r>
        <w:rPr>
          <w:b/>
          <w:bCs/>
        </w:rPr>
        <w:t xml:space="preserve">y</w:t>
      </w:r>
      <w:r>
        <w:t xml:space="preserve"> </w:t>
      </w:r>
      <w:r>
        <w:t xml:space="preserve">(Double): The y-coordinate of the top-left corner.</w:t>
      </w:r>
    </w:p>
    <w:p>
      <w:pPr>
        <w:pStyle w:val="Compact"/>
        <w:numPr>
          <w:ilvl w:val="0"/>
          <w:numId w:val="1861"/>
        </w:numPr>
      </w:pPr>
      <w:r>
        <w:rPr>
          <w:b/>
          <w:bCs/>
        </w:rPr>
        <w:t xml:space="preserve">w</w:t>
      </w:r>
      <w:r>
        <w:t xml:space="preserve"> </w:t>
      </w:r>
      <w:r>
        <w:t xml:space="preserve">(Double): The width of the rectangle.</w:t>
      </w:r>
    </w:p>
    <w:p>
      <w:pPr>
        <w:pStyle w:val="Compact"/>
        <w:numPr>
          <w:ilvl w:val="0"/>
          <w:numId w:val="1861"/>
        </w:numPr>
      </w:pPr>
      <w:r>
        <w:rPr>
          <w:b/>
          <w:bCs/>
        </w:rPr>
        <w:t xml:space="preserve">h</w:t>
      </w:r>
      <w:r>
        <w:t xml:space="preserve"> </w:t>
      </w:r>
      <w:r>
        <w:t xml:space="preserve">(Double): The height of the rectangle.</w:t>
      </w:r>
    </w:p>
    <w:bookmarkEnd w:id="3421"/>
    <w:bookmarkStart w:id="3422" w:name="return-values-75"/>
    <w:p>
      <w:pPr>
        <w:pStyle w:val="Heading2"/>
      </w:pPr>
      <w:r>
        <w:t xml:space="preserve">Return Values</w:t>
      </w:r>
    </w:p>
    <w:p>
      <w:pPr>
        <w:pStyle w:val="FirstParagraph"/>
      </w:pPr>
      <w:r>
        <w:t xml:space="preserve">Returns Empty upon completion.</w:t>
      </w:r>
    </w:p>
    <w:bookmarkEnd w:id="3422"/>
    <w:bookmarkStart w:id="3423" w:name="remarks-325"/>
    <w:p>
      <w:pPr>
        <w:pStyle w:val="Heading2"/>
      </w:pPr>
      <w:r>
        <w:t xml:space="preserve">Remarks</w:t>
      </w:r>
    </w:p>
    <w:p>
      <w:pPr>
        <w:pStyle w:val="Compact"/>
        <w:numPr>
          <w:ilvl w:val="0"/>
          <w:numId w:val="1862"/>
        </w:numPr>
      </w:pPr>
      <w:r>
        <w:t xml:space="preserve">This method adds a rectangle to the current path. Call Stroke or Fill to render it.</w:t>
      </w:r>
    </w:p>
    <w:bookmarkEnd w:id="3423"/>
    <w:bookmarkStart w:id="3424" w:name="code-example-14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400</w:t>
      </w:r>
      <w:r>
        <w:rPr>
          <w:rStyle w:val="OtherTok"/>
        </w:rPr>
        <w:t xml:space="preserve">,</w:t>
      </w:r>
      <w:r>
        <w:rPr>
          <w:rStyle w:val="NormalTok"/>
        </w:rPr>
        <w:t xml:space="preserve"> </w:t>
      </w:r>
      <w:r>
        <w:rPr>
          <w:rStyle w:val="DecValTok"/>
        </w:rPr>
        <w:t xml:space="preserve">300</w:t>
      </w:r>
      <w:r>
        <w:rPr>
          <w:rStyle w:val="OtherTok"/>
        </w:rPr>
        <w:t xml:space="preserve">)</w:t>
      </w:r>
      <w:r>
        <w:rPr>
          <w:rStyle w:val="NormalTok"/>
        </w:rPr>
        <w:t xml:space="preserve"> </w:t>
      </w:r>
      <w:r>
        <w:rPr>
          <w:rStyle w:val="ControlFlowTok"/>
        </w:rPr>
        <w:t xml:space="preserve">Then</w:t>
      </w:r>
      <w:r>
        <w:br/>
      </w:r>
      <w:r>
        <w:rPr>
          <w:rStyle w:val="NormalTok"/>
        </w:rPr>
        <w:t xml:space="preserve">    img.SetHexColor</w:t>
      </w:r>
      <w:r>
        <w:rPr>
          <w:rStyle w:val="OtherTok"/>
        </w:rPr>
        <w:t xml:space="preserve">(</w:t>
      </w:r>
      <w:r>
        <w:rPr>
          <w:rStyle w:val="StringTok"/>
        </w:rPr>
        <w:t xml:space="preserve">"#0000FF"</w:t>
      </w:r>
      <w:r>
        <w:rPr>
          <w:rStyle w:val="OtherTok"/>
        </w:rPr>
        <w:t xml:space="preserve">)</w:t>
      </w:r>
      <w:r>
        <w:br/>
      </w:r>
      <w:r>
        <w:rPr>
          <w:rStyle w:val="NormalTok"/>
        </w:rPr>
        <w:t xml:space="preserve">    img.DrawRectangle </w:t>
      </w:r>
      <w:r>
        <w:rPr>
          <w:rStyle w:val="DecValTok"/>
        </w:rPr>
        <w:t xml:space="preserve">50</w:t>
      </w:r>
      <w:r>
        <w:rPr>
          <w:rStyle w:val="OtherTok"/>
        </w:rPr>
        <w:t xml:space="preserve">,</w:t>
      </w:r>
      <w:r>
        <w:rPr>
          <w:rStyle w:val="NormalTok"/>
        </w:rPr>
        <w:t xml:space="preserve"> </w:t>
      </w:r>
      <w:r>
        <w:rPr>
          <w:rStyle w:val="DecValTok"/>
        </w:rPr>
        <w:t xml:space="preserve">50</w:t>
      </w:r>
      <w:r>
        <w:rPr>
          <w:rStyle w:val="OtherTok"/>
        </w:rPr>
        <w:t xml:space="preserve">,</w:t>
      </w:r>
      <w:r>
        <w:rPr>
          <w:rStyle w:val="NormalTok"/>
        </w:rPr>
        <w:t xml:space="preserve"> </w:t>
      </w:r>
      <w:r>
        <w:rPr>
          <w:rStyle w:val="DecValTok"/>
        </w:rPr>
        <w:t xml:space="preserve">300</w:t>
      </w:r>
      <w:r>
        <w:rPr>
          <w:rStyle w:val="OtherTok"/>
        </w:rPr>
        <w:t xml:space="preserve">,</w:t>
      </w:r>
      <w:r>
        <w:rPr>
          <w:rStyle w:val="NormalTok"/>
        </w:rPr>
        <w:t xml:space="preserve"> </w:t>
      </w:r>
      <w:r>
        <w:rPr>
          <w:rStyle w:val="DecValTok"/>
        </w:rPr>
        <w:t xml:space="preserve">200</w:t>
      </w:r>
      <w:r>
        <w:br/>
      </w:r>
      <w:r>
        <w:rPr>
          <w:rStyle w:val="NormalTok"/>
        </w:rPr>
        <w:t xml:space="preserve">    img.Stroke</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24"/>
    <w:bookmarkEnd w:id="3425"/>
    <w:bookmarkStart w:id="3432" w:name="drawstring-method"/>
    <w:p>
      <w:pPr>
        <w:pStyle w:val="Heading1"/>
      </w:pPr>
      <w:r>
        <w:t xml:space="preserve">DrawString Method</w:t>
      </w:r>
    </w:p>
    <w:bookmarkStart w:id="3426" w:name="overview-351"/>
    <w:p>
      <w:pPr>
        <w:pStyle w:val="Heading2"/>
      </w:pPr>
      <w:r>
        <w:t xml:space="preserve">Overview</w:t>
      </w:r>
    </w:p>
    <w:p>
      <w:pPr>
        <w:pStyle w:val="FirstParagraph"/>
      </w:pPr>
      <w:r>
        <w:t xml:space="preserve">Draws a string of text at the specified coordinates in the G3Pix AxonASP G3IMAGE library.</w:t>
      </w:r>
    </w:p>
    <w:bookmarkEnd w:id="3426"/>
    <w:bookmarkStart w:id="3427" w:name="syntax-350"/>
    <w:p>
      <w:pPr>
        <w:pStyle w:val="Heading2"/>
      </w:pPr>
      <w:r>
        <w:t xml:space="preserve">Syntax</w:t>
      </w:r>
    </w:p>
    <w:p>
      <w:pPr>
        <w:pStyle w:val="SourceCode"/>
      </w:pPr>
      <w:r>
        <w:rPr>
          <w:rStyle w:val="NormalTok"/>
        </w:rPr>
        <w:t xml:space="preserve">obj.DrawString(s, x, y)</w:t>
      </w:r>
    </w:p>
    <w:bookmarkEnd w:id="3427"/>
    <w:bookmarkStart w:id="3428" w:name="parameters-210"/>
    <w:p>
      <w:pPr>
        <w:pStyle w:val="Heading2"/>
      </w:pPr>
      <w:r>
        <w:t xml:space="preserve">Parameters</w:t>
      </w:r>
    </w:p>
    <w:p>
      <w:pPr>
        <w:pStyle w:val="Compact"/>
        <w:numPr>
          <w:ilvl w:val="0"/>
          <w:numId w:val="1863"/>
        </w:numPr>
      </w:pPr>
      <w:r>
        <w:rPr>
          <w:b/>
          <w:bCs/>
        </w:rPr>
        <w:t xml:space="preserve">s</w:t>
      </w:r>
      <w:r>
        <w:t xml:space="preserve"> </w:t>
      </w:r>
      <w:r>
        <w:t xml:space="preserve">(String): The text to be drawn.</w:t>
      </w:r>
    </w:p>
    <w:p>
      <w:pPr>
        <w:pStyle w:val="Compact"/>
        <w:numPr>
          <w:ilvl w:val="0"/>
          <w:numId w:val="1863"/>
        </w:numPr>
      </w:pPr>
      <w:r>
        <w:rPr>
          <w:b/>
          <w:bCs/>
        </w:rPr>
        <w:t xml:space="preserve">x</w:t>
      </w:r>
      <w:r>
        <w:t xml:space="preserve"> </w:t>
      </w:r>
      <w:r>
        <w:t xml:space="preserve">(Double): The x-coordinate for the text position.</w:t>
      </w:r>
    </w:p>
    <w:p>
      <w:pPr>
        <w:pStyle w:val="Compact"/>
        <w:numPr>
          <w:ilvl w:val="0"/>
          <w:numId w:val="1863"/>
        </w:numPr>
      </w:pPr>
      <w:r>
        <w:rPr>
          <w:b/>
          <w:bCs/>
        </w:rPr>
        <w:t xml:space="preserve">y</w:t>
      </w:r>
      <w:r>
        <w:t xml:space="preserve"> </w:t>
      </w:r>
      <w:r>
        <w:t xml:space="preserve">(Double): The y-coordinate for the text position.</w:t>
      </w:r>
    </w:p>
    <w:bookmarkEnd w:id="3428"/>
    <w:bookmarkStart w:id="3429" w:name="return-values-76"/>
    <w:p>
      <w:pPr>
        <w:pStyle w:val="Heading2"/>
      </w:pPr>
      <w:r>
        <w:t xml:space="preserve">Return Values</w:t>
      </w:r>
    </w:p>
    <w:p>
      <w:pPr>
        <w:pStyle w:val="FirstParagraph"/>
      </w:pPr>
      <w:r>
        <w:t xml:space="preserve">Returns Empty upon completion.</w:t>
      </w:r>
    </w:p>
    <w:bookmarkEnd w:id="3429"/>
    <w:bookmarkStart w:id="3430" w:name="remarks-326"/>
    <w:p>
      <w:pPr>
        <w:pStyle w:val="Heading2"/>
      </w:pPr>
      <w:r>
        <w:t xml:space="preserve">Remarks</w:t>
      </w:r>
    </w:p>
    <w:p>
      <w:pPr>
        <w:pStyle w:val="Compact"/>
        <w:numPr>
          <w:ilvl w:val="0"/>
          <w:numId w:val="1864"/>
        </w:numPr>
      </w:pPr>
      <w:r>
        <w:t xml:space="preserve">Use LoadFontFace to set the font and size before drawing strings.</w:t>
      </w:r>
    </w:p>
    <w:p>
      <w:pPr>
        <w:pStyle w:val="Compact"/>
        <w:numPr>
          <w:ilvl w:val="0"/>
          <w:numId w:val="1864"/>
        </w:numPr>
      </w:pPr>
      <w:r>
        <w:t xml:space="preserve">The coordinates typically refer to the baseline of the text.</w:t>
      </w:r>
    </w:p>
    <w:bookmarkEnd w:id="3430"/>
    <w:bookmarkStart w:id="3431" w:name="code-example-14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400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img.LoadFontFace </w:t>
      </w:r>
      <w:r>
        <w:rPr>
          <w:rStyle w:val="StringTok"/>
        </w:rPr>
        <w:t xml:space="preserve">"C:\Windows\Fonts\arial.ttf"</w:t>
      </w:r>
      <w:r>
        <w:rPr>
          <w:rStyle w:val="OtherTok"/>
        </w:rPr>
        <w:t xml:space="preserve">,</w:t>
      </w:r>
      <w:r>
        <w:rPr>
          <w:rStyle w:val="NormalTok"/>
        </w:rPr>
        <w:t xml:space="preserve"> </w:t>
      </w:r>
      <w:r>
        <w:rPr>
          <w:rStyle w:val="DecValTok"/>
        </w:rPr>
        <w:t xml:space="preserve">24</w:t>
      </w:r>
      <w:r>
        <w:br/>
      </w:r>
      <w:r>
        <w:rPr>
          <w:rStyle w:val="NormalTok"/>
        </w:rPr>
        <w:t xml:space="preserve">    img.SetHexColor</w:t>
      </w:r>
      <w:r>
        <w:rPr>
          <w:rStyle w:val="OtherTok"/>
        </w:rPr>
        <w:t xml:space="preserve">(</w:t>
      </w:r>
      <w:r>
        <w:rPr>
          <w:rStyle w:val="StringTok"/>
        </w:rPr>
        <w:t xml:space="preserve">"#000000"</w:t>
      </w:r>
      <w:r>
        <w:rPr>
          <w:rStyle w:val="OtherTok"/>
        </w:rPr>
        <w:t xml:space="preserve">)</w:t>
      </w:r>
      <w:r>
        <w:br/>
      </w:r>
      <w:r>
        <w:rPr>
          <w:rStyle w:val="NormalTok"/>
        </w:rPr>
        <w:t xml:space="preserve">    img.DrawString </w:t>
      </w:r>
      <w:r>
        <w:rPr>
          <w:rStyle w:val="StringTok"/>
        </w:rPr>
        <w:t xml:space="preserve">"Hello AxonASP"</w:t>
      </w:r>
      <w:r>
        <w:rPr>
          <w:rStyle w:val="OtherTok"/>
        </w:rPr>
        <w:t xml:space="preserve">,</w:t>
      </w:r>
      <w:r>
        <w:rPr>
          <w:rStyle w:val="NormalTok"/>
        </w:rPr>
        <w:t xml:space="preserve"> </w:t>
      </w:r>
      <w:r>
        <w:rPr>
          <w:rStyle w:val="DecValTok"/>
        </w:rPr>
        <w:t xml:space="preserve">50</w:t>
      </w:r>
      <w:r>
        <w:rPr>
          <w:rStyle w:val="OtherTok"/>
        </w:rPr>
        <w:t xml:space="preserve">,</w:t>
      </w:r>
      <w:r>
        <w:rPr>
          <w:rStyle w:val="NormalTok"/>
        </w:rPr>
        <w:t xml:space="preserve"> </w:t>
      </w:r>
      <w:r>
        <w:rPr>
          <w:rStyle w:val="DecValTok"/>
        </w:rPr>
        <w:t xml:space="preserve">100</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31"/>
    <w:bookmarkEnd w:id="3432"/>
    <w:bookmarkStart w:id="3439" w:name="drawstringanchored-method"/>
    <w:p>
      <w:pPr>
        <w:pStyle w:val="Heading1"/>
      </w:pPr>
      <w:r>
        <w:t xml:space="preserve">DrawStringAnchored Method</w:t>
      </w:r>
    </w:p>
    <w:bookmarkStart w:id="3433" w:name="overview-352"/>
    <w:p>
      <w:pPr>
        <w:pStyle w:val="Heading2"/>
      </w:pPr>
      <w:r>
        <w:t xml:space="preserve">Overview</w:t>
      </w:r>
    </w:p>
    <w:p>
      <w:pPr>
        <w:pStyle w:val="FirstParagraph"/>
      </w:pPr>
      <w:r>
        <w:t xml:space="preserve">Draws a string of text with specified anchor points for alignment in the G3Pix AxonASP G3IMAGE library.</w:t>
      </w:r>
    </w:p>
    <w:bookmarkEnd w:id="3433"/>
    <w:bookmarkStart w:id="3434" w:name="syntax-351"/>
    <w:p>
      <w:pPr>
        <w:pStyle w:val="Heading2"/>
      </w:pPr>
      <w:r>
        <w:t xml:space="preserve">Syntax</w:t>
      </w:r>
    </w:p>
    <w:p>
      <w:pPr>
        <w:pStyle w:val="SourceCode"/>
      </w:pPr>
      <w:r>
        <w:rPr>
          <w:rStyle w:val="NormalTok"/>
        </w:rPr>
        <w:t xml:space="preserve">obj.DrawStringAnchored(s, x, y, ax, ay)</w:t>
      </w:r>
    </w:p>
    <w:bookmarkEnd w:id="3434"/>
    <w:bookmarkStart w:id="3435" w:name="parameters-211"/>
    <w:p>
      <w:pPr>
        <w:pStyle w:val="Heading2"/>
      </w:pPr>
      <w:r>
        <w:t xml:space="preserve">Parameters</w:t>
      </w:r>
    </w:p>
    <w:p>
      <w:pPr>
        <w:pStyle w:val="Compact"/>
        <w:numPr>
          <w:ilvl w:val="0"/>
          <w:numId w:val="1865"/>
        </w:numPr>
      </w:pPr>
      <w:r>
        <w:rPr>
          <w:b/>
          <w:bCs/>
        </w:rPr>
        <w:t xml:space="preserve">s</w:t>
      </w:r>
      <w:r>
        <w:t xml:space="preserve"> </w:t>
      </w:r>
      <w:r>
        <w:t xml:space="preserve">(String): The text to be drawn.</w:t>
      </w:r>
    </w:p>
    <w:p>
      <w:pPr>
        <w:pStyle w:val="Compact"/>
        <w:numPr>
          <w:ilvl w:val="0"/>
          <w:numId w:val="1865"/>
        </w:numPr>
      </w:pPr>
      <w:r>
        <w:rPr>
          <w:b/>
          <w:bCs/>
        </w:rPr>
        <w:t xml:space="preserve">x</w:t>
      </w:r>
      <w:r>
        <w:t xml:space="preserve"> </w:t>
      </w:r>
      <w:r>
        <w:t xml:space="preserve">(Double): The x-coordinate for the anchor position.</w:t>
      </w:r>
    </w:p>
    <w:p>
      <w:pPr>
        <w:pStyle w:val="Compact"/>
        <w:numPr>
          <w:ilvl w:val="0"/>
          <w:numId w:val="1865"/>
        </w:numPr>
      </w:pPr>
      <w:r>
        <w:rPr>
          <w:b/>
          <w:bCs/>
        </w:rPr>
        <w:t xml:space="preserve">y</w:t>
      </w:r>
      <w:r>
        <w:t xml:space="preserve"> </w:t>
      </w:r>
      <w:r>
        <w:t xml:space="preserve">(Double): The y-coordinate for the anchor position.</w:t>
      </w:r>
    </w:p>
    <w:p>
      <w:pPr>
        <w:pStyle w:val="Compact"/>
        <w:numPr>
          <w:ilvl w:val="0"/>
          <w:numId w:val="1865"/>
        </w:numPr>
      </w:pPr>
      <w:r>
        <w:rPr>
          <w:b/>
          <w:bCs/>
        </w:rPr>
        <w:t xml:space="preserve">ax</w:t>
      </w:r>
      <w:r>
        <w:t xml:space="preserve"> </w:t>
      </w:r>
      <w:r>
        <w:t xml:space="preserve">(Double): The horizontal anchor point (0.0 for left, 0.5 for center, 1.0 for right).</w:t>
      </w:r>
    </w:p>
    <w:p>
      <w:pPr>
        <w:pStyle w:val="Compact"/>
        <w:numPr>
          <w:ilvl w:val="0"/>
          <w:numId w:val="1865"/>
        </w:numPr>
      </w:pPr>
      <w:r>
        <w:rPr>
          <w:b/>
          <w:bCs/>
        </w:rPr>
        <w:t xml:space="preserve">ay</w:t>
      </w:r>
      <w:r>
        <w:t xml:space="preserve"> </w:t>
      </w:r>
      <w:r>
        <w:t xml:space="preserve">(Double): The vertical anchor point (0.0 for top, 0.5 for middle, 1.0 for bottom).</w:t>
      </w:r>
    </w:p>
    <w:bookmarkEnd w:id="3435"/>
    <w:bookmarkStart w:id="3436" w:name="return-values-77"/>
    <w:p>
      <w:pPr>
        <w:pStyle w:val="Heading2"/>
      </w:pPr>
      <w:r>
        <w:t xml:space="preserve">Return Values</w:t>
      </w:r>
    </w:p>
    <w:p>
      <w:pPr>
        <w:pStyle w:val="FirstParagraph"/>
      </w:pPr>
      <w:r>
        <w:t xml:space="preserve">Returns Empty upon completion.</w:t>
      </w:r>
    </w:p>
    <w:bookmarkEnd w:id="3436"/>
    <w:bookmarkStart w:id="3437" w:name="remarks-327"/>
    <w:p>
      <w:pPr>
        <w:pStyle w:val="Heading2"/>
      </w:pPr>
      <w:r>
        <w:t xml:space="preserve">Remarks</w:t>
      </w:r>
    </w:p>
    <w:p>
      <w:pPr>
        <w:pStyle w:val="Compact"/>
        <w:numPr>
          <w:ilvl w:val="0"/>
          <w:numId w:val="1866"/>
        </w:numPr>
      </w:pPr>
      <w:r>
        <w:t xml:space="preserve">This method allows for precise alignment of text relative to a point.</w:t>
      </w:r>
    </w:p>
    <w:p>
      <w:pPr>
        <w:pStyle w:val="Compact"/>
        <w:numPr>
          <w:ilvl w:val="0"/>
          <w:numId w:val="1866"/>
        </w:numPr>
      </w:pPr>
      <w:r>
        <w:t xml:space="preserve">Use LoadFontFace to set the font and size before drawing.</w:t>
      </w:r>
    </w:p>
    <w:bookmarkEnd w:id="3437"/>
    <w:bookmarkStart w:id="3438" w:name="code-example-14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400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img.LoadFontFace </w:t>
      </w:r>
      <w:r>
        <w:rPr>
          <w:rStyle w:val="StringTok"/>
        </w:rPr>
        <w:t xml:space="preserve">"C:\Windows\Fonts\arial.ttf"</w:t>
      </w:r>
      <w:r>
        <w:rPr>
          <w:rStyle w:val="OtherTok"/>
        </w:rPr>
        <w:t xml:space="preserve">,</w:t>
      </w:r>
      <w:r>
        <w:rPr>
          <w:rStyle w:val="NormalTok"/>
        </w:rPr>
        <w:t xml:space="preserve"> </w:t>
      </w:r>
      <w:r>
        <w:rPr>
          <w:rStyle w:val="DecValTok"/>
        </w:rPr>
        <w:t xml:space="preserve">24</w:t>
      </w:r>
      <w:r>
        <w:br/>
      </w:r>
      <w:r>
        <w:rPr>
          <w:rStyle w:val="NormalTok"/>
        </w:rPr>
        <w:t xml:space="preserve">    img.SetHexColor</w:t>
      </w:r>
      <w:r>
        <w:rPr>
          <w:rStyle w:val="OtherTok"/>
        </w:rPr>
        <w:t xml:space="preserve">(</w:t>
      </w:r>
      <w:r>
        <w:rPr>
          <w:rStyle w:val="StringTok"/>
        </w:rPr>
        <w:t xml:space="preserve">"#000000"</w:t>
      </w:r>
      <w:r>
        <w:rPr>
          <w:rStyle w:val="OtherTok"/>
        </w:rPr>
        <w:t xml:space="preserve">)</w:t>
      </w:r>
      <w:r>
        <w:br/>
      </w:r>
      <w:r>
        <w:rPr>
          <w:rStyle w:val="NormalTok"/>
        </w:rPr>
        <w:t xml:space="preserve">    </w:t>
      </w:r>
      <w:r>
        <w:rPr>
          <w:rStyle w:val="CommentTok"/>
        </w:rPr>
        <w:t xml:space="preserve">' Draw centered text</w:t>
      </w:r>
      <w:r>
        <w:br/>
      </w:r>
      <w:r>
        <w:rPr>
          <w:rStyle w:val="NormalTok"/>
        </w:rPr>
        <w:t xml:space="preserve">    img.DrawStringAnchored </w:t>
      </w:r>
      <w:r>
        <w:rPr>
          <w:rStyle w:val="StringTok"/>
        </w:rPr>
        <w:t xml:space="preserve">"Centered Text"</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FloatTok"/>
        </w:rPr>
        <w:t xml:space="preserve">0.5</w:t>
      </w:r>
      <w:r>
        <w:rPr>
          <w:rStyle w:val="OtherTok"/>
        </w:rPr>
        <w:t xml:space="preserve">,</w:t>
      </w:r>
      <w:r>
        <w:rPr>
          <w:rStyle w:val="NormalTok"/>
        </w:rPr>
        <w:t xml:space="preserve"> </w:t>
      </w:r>
      <w:r>
        <w:rPr>
          <w:rStyle w:val="FloatTok"/>
        </w:rPr>
        <w:t xml:space="preserve">0.5</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38"/>
    <w:bookmarkEnd w:id="3439"/>
    <w:bookmarkStart w:id="3445" w:name="fill-method"/>
    <w:p>
      <w:pPr>
        <w:pStyle w:val="Heading1"/>
      </w:pPr>
      <w:r>
        <w:t xml:space="preserve">Fill Method</w:t>
      </w:r>
    </w:p>
    <w:bookmarkStart w:id="3440" w:name="overview-353"/>
    <w:p>
      <w:pPr>
        <w:pStyle w:val="Heading2"/>
      </w:pPr>
      <w:r>
        <w:t xml:space="preserve">Overview</w:t>
      </w:r>
    </w:p>
    <w:p>
      <w:pPr>
        <w:pStyle w:val="FirstParagraph"/>
      </w:pPr>
      <w:r>
        <w:t xml:space="preserve">Fills the current path with the active color in the G3Pix AxonASP G3IMAGE library.</w:t>
      </w:r>
    </w:p>
    <w:bookmarkEnd w:id="3440"/>
    <w:bookmarkStart w:id="3441" w:name="syntax-352"/>
    <w:p>
      <w:pPr>
        <w:pStyle w:val="Heading2"/>
      </w:pPr>
      <w:r>
        <w:t xml:space="preserve">Syntax</w:t>
      </w:r>
    </w:p>
    <w:p>
      <w:pPr>
        <w:pStyle w:val="SourceCode"/>
      </w:pPr>
      <w:r>
        <w:rPr>
          <w:rStyle w:val="NormalTok"/>
        </w:rPr>
        <w:t xml:space="preserve">obj.Fill()</w:t>
      </w:r>
    </w:p>
    <w:bookmarkEnd w:id="3441"/>
    <w:bookmarkStart w:id="3442" w:name="return-values-78"/>
    <w:p>
      <w:pPr>
        <w:pStyle w:val="Heading2"/>
      </w:pPr>
      <w:r>
        <w:t xml:space="preserve">Return Values</w:t>
      </w:r>
    </w:p>
    <w:p>
      <w:pPr>
        <w:pStyle w:val="FirstParagraph"/>
      </w:pPr>
      <w:r>
        <w:t xml:space="preserve">Returns Empty upon completion.</w:t>
      </w:r>
    </w:p>
    <w:bookmarkEnd w:id="3442"/>
    <w:bookmarkStart w:id="3443" w:name="remarks-328"/>
    <w:p>
      <w:pPr>
        <w:pStyle w:val="Heading2"/>
      </w:pPr>
      <w:r>
        <w:t xml:space="preserve">Remarks</w:t>
      </w:r>
    </w:p>
    <w:p>
      <w:pPr>
        <w:pStyle w:val="Compact"/>
        <w:numPr>
          <w:ilvl w:val="0"/>
          <w:numId w:val="1867"/>
        </w:numPr>
      </w:pPr>
      <w:r>
        <w:t xml:space="preserve">Use SetColor or SetHexColor to define the fill color before calling this method.</w:t>
      </w:r>
    </w:p>
    <w:p>
      <w:pPr>
        <w:pStyle w:val="Compact"/>
        <w:numPr>
          <w:ilvl w:val="0"/>
          <w:numId w:val="1867"/>
        </w:numPr>
      </w:pPr>
      <w:r>
        <w:t xml:space="preserve">The path is cleared after the fill operation. Use FillPreserve if you need to keep the path for further operations.</w:t>
      </w:r>
    </w:p>
    <w:bookmarkEnd w:id="3443"/>
    <w:bookmarkStart w:id="3444" w:name="code-example-14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200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img.SetHexColor</w:t>
      </w:r>
      <w:r>
        <w:rPr>
          <w:rStyle w:val="OtherTok"/>
        </w:rPr>
        <w:t xml:space="preserve">(</w:t>
      </w:r>
      <w:r>
        <w:rPr>
          <w:rStyle w:val="StringTok"/>
        </w:rPr>
        <w:t xml:space="preserve">"#FFCC00"</w:t>
      </w:r>
      <w:r>
        <w:rPr>
          <w:rStyle w:val="OtherTok"/>
        </w:rPr>
        <w:t xml:space="preserve">)</w:t>
      </w:r>
      <w:r>
        <w:br/>
      </w:r>
      <w:r>
        <w:rPr>
          <w:rStyle w:val="NormalTok"/>
        </w:rPr>
        <w:t xml:space="preserve">    img.DrawCircle </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DecValTok"/>
        </w:rPr>
        <w:t xml:space="preserve">80</w:t>
      </w:r>
      <w:r>
        <w:br/>
      </w:r>
      <w:r>
        <w:rPr>
          <w:rStyle w:val="NormalTok"/>
        </w:rPr>
        <w:t xml:space="preserve">    img.Fill</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44"/>
    <w:bookmarkEnd w:id="3445"/>
    <w:bookmarkStart w:id="3452" w:name="loadfontface-method"/>
    <w:p>
      <w:pPr>
        <w:pStyle w:val="Heading1"/>
      </w:pPr>
      <w:r>
        <w:t xml:space="preserve">LoadFontFace Method</w:t>
      </w:r>
    </w:p>
    <w:bookmarkStart w:id="3446" w:name="overview-354"/>
    <w:p>
      <w:pPr>
        <w:pStyle w:val="Heading2"/>
      </w:pPr>
      <w:r>
        <w:t xml:space="preserve">Overview</w:t>
      </w:r>
    </w:p>
    <w:p>
      <w:pPr>
        <w:pStyle w:val="FirstParagraph"/>
      </w:pPr>
      <w:r>
        <w:t xml:space="preserve">Loads a TrueType font for use in text rendering operations in the G3Pix AxonASP G3IMAGE library.</w:t>
      </w:r>
    </w:p>
    <w:bookmarkEnd w:id="3446"/>
    <w:bookmarkStart w:id="3447" w:name="syntax-353"/>
    <w:p>
      <w:pPr>
        <w:pStyle w:val="Heading2"/>
      </w:pPr>
      <w:r>
        <w:t xml:space="preserve">Syntax</w:t>
      </w:r>
    </w:p>
    <w:p>
      <w:pPr>
        <w:pStyle w:val="SourceCode"/>
      </w:pPr>
      <w:r>
        <w:rPr>
          <w:rStyle w:val="NormalTok"/>
        </w:rPr>
        <w:t xml:space="preserve">result = obj.LoadFontFace(path, points)</w:t>
      </w:r>
    </w:p>
    <w:bookmarkEnd w:id="3447"/>
    <w:bookmarkStart w:id="3448" w:name="parameters-212"/>
    <w:p>
      <w:pPr>
        <w:pStyle w:val="Heading2"/>
      </w:pPr>
      <w:r>
        <w:t xml:space="preserve">Parameters</w:t>
      </w:r>
    </w:p>
    <w:p>
      <w:pPr>
        <w:pStyle w:val="Compact"/>
        <w:numPr>
          <w:ilvl w:val="0"/>
          <w:numId w:val="1868"/>
        </w:numPr>
      </w:pPr>
      <w:r>
        <w:rPr>
          <w:b/>
          <w:bCs/>
        </w:rPr>
        <w:t xml:space="preserve">path</w:t>
      </w:r>
      <w:r>
        <w:t xml:space="preserve"> </w:t>
      </w:r>
      <w:r>
        <w:t xml:space="preserve">(String): The file path to the .ttf font file.</w:t>
      </w:r>
    </w:p>
    <w:p>
      <w:pPr>
        <w:pStyle w:val="Compact"/>
        <w:numPr>
          <w:ilvl w:val="0"/>
          <w:numId w:val="1868"/>
        </w:numPr>
      </w:pPr>
      <w:r>
        <w:rPr>
          <w:b/>
          <w:bCs/>
        </w:rPr>
        <w:t xml:space="preserve">points</w:t>
      </w:r>
      <w:r>
        <w:t xml:space="preserve"> </w:t>
      </w:r>
      <w:r>
        <w:t xml:space="preserve">(Double): The font size in points.</w:t>
      </w:r>
    </w:p>
    <w:bookmarkEnd w:id="3448"/>
    <w:bookmarkStart w:id="3449" w:name="return-values-79"/>
    <w:p>
      <w:pPr>
        <w:pStyle w:val="Heading2"/>
      </w:pPr>
      <w:r>
        <w:t xml:space="preserve">Return Values</w:t>
      </w:r>
    </w:p>
    <w:p>
      <w:pPr>
        <w:pStyle w:val="FirstParagraph"/>
      </w:pPr>
      <w:r>
        <w:t xml:space="preserve">Returns a Boolean indicating whether the font was successfully loaded.</w:t>
      </w:r>
    </w:p>
    <w:bookmarkEnd w:id="3449"/>
    <w:bookmarkStart w:id="3450" w:name="remarks-329"/>
    <w:p>
      <w:pPr>
        <w:pStyle w:val="Heading2"/>
      </w:pPr>
      <w:r>
        <w:t xml:space="preserve">Remarks</w:t>
      </w:r>
    </w:p>
    <w:p>
      <w:pPr>
        <w:pStyle w:val="Compact"/>
        <w:numPr>
          <w:ilvl w:val="0"/>
          <w:numId w:val="1869"/>
        </w:numPr>
      </w:pPr>
      <w:r>
        <w:t xml:space="preserve">If a context is active, this method also sets the font for that context.</w:t>
      </w:r>
    </w:p>
    <w:p>
      <w:pPr>
        <w:pStyle w:val="Compact"/>
        <w:numPr>
          <w:ilvl w:val="0"/>
          <w:numId w:val="1869"/>
        </w:numPr>
      </w:pPr>
      <w:r>
        <w:t xml:space="preserve">Always check the return value or the LastError property if loading fails.</w:t>
      </w:r>
    </w:p>
    <w:bookmarkEnd w:id="3450"/>
    <w:bookmarkStart w:id="3451" w:name="code-example-15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img.LoadFontFace</w:t>
      </w:r>
      <w:r>
        <w:rPr>
          <w:rStyle w:val="OtherTok"/>
        </w:rPr>
        <w:t xml:space="preserve">(</w:t>
      </w:r>
      <w:r>
        <w:rPr>
          <w:rStyle w:val="StringTok"/>
        </w:rPr>
        <w:t xml:space="preserve">"C:\Windows\Fonts\verdanab.ttf"</w:t>
      </w:r>
      <w:r>
        <w:rPr>
          <w:rStyle w:val="OtherTok"/>
        </w:rPr>
        <w:t xml:space="preserve">,</w:t>
      </w:r>
      <w:r>
        <w:rPr>
          <w:rStyle w:val="NormalTok"/>
        </w:rPr>
        <w:t xml:space="preserve"> </w:t>
      </w:r>
      <w:r>
        <w:rPr>
          <w:rStyle w:val="DecValTok"/>
        </w:rPr>
        <w:t xml:space="preserve">12</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Font loaded successfully</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51"/>
    <w:bookmarkEnd w:id="3452"/>
    <w:bookmarkStart w:id="3459" w:name="loadimage-method"/>
    <w:p>
      <w:pPr>
        <w:pStyle w:val="Heading1"/>
      </w:pPr>
      <w:r>
        <w:t xml:space="preserve">LoadImage Method</w:t>
      </w:r>
    </w:p>
    <w:bookmarkStart w:id="3453" w:name="overview-355"/>
    <w:p>
      <w:pPr>
        <w:pStyle w:val="Heading2"/>
      </w:pPr>
      <w:r>
        <w:t xml:space="preserve">Overview</w:t>
      </w:r>
    </w:p>
    <w:p>
      <w:pPr>
        <w:pStyle w:val="FirstParagraph"/>
      </w:pPr>
      <w:r>
        <w:t xml:space="preserve">Loads an image file from the specified path into the G3Pix AxonASP G3IMAGE library.</w:t>
      </w:r>
    </w:p>
    <w:bookmarkEnd w:id="3453"/>
    <w:bookmarkStart w:id="3454" w:name="syntax-354"/>
    <w:p>
      <w:pPr>
        <w:pStyle w:val="Heading2"/>
      </w:pPr>
      <w:r>
        <w:t xml:space="preserve">Syntax</w:t>
      </w:r>
    </w:p>
    <w:p>
      <w:pPr>
        <w:pStyle w:val="SourceCode"/>
      </w:pPr>
      <w:r>
        <w:rPr>
          <w:rStyle w:val="NormalTok"/>
        </w:rPr>
        <w:t xml:space="preserve">result = obj.LoadImage(path)</w:t>
      </w:r>
    </w:p>
    <w:bookmarkEnd w:id="3454"/>
    <w:bookmarkStart w:id="3455" w:name="parameters-213"/>
    <w:p>
      <w:pPr>
        <w:pStyle w:val="Heading2"/>
      </w:pPr>
      <w:r>
        <w:t xml:space="preserve">Parameters</w:t>
      </w:r>
    </w:p>
    <w:p>
      <w:pPr>
        <w:pStyle w:val="Compact"/>
        <w:numPr>
          <w:ilvl w:val="0"/>
          <w:numId w:val="1870"/>
        </w:numPr>
      </w:pPr>
      <w:r>
        <w:rPr>
          <w:b/>
          <w:bCs/>
        </w:rPr>
        <w:t xml:space="preserve">path</w:t>
      </w:r>
      <w:r>
        <w:t xml:space="preserve"> </w:t>
      </w:r>
      <w:r>
        <w:t xml:space="preserve">(String): The file path to the image. Supports PNG, JPEG, and GIF formats.</w:t>
      </w:r>
    </w:p>
    <w:bookmarkEnd w:id="3455"/>
    <w:bookmarkStart w:id="3456" w:name="return-values-80"/>
    <w:p>
      <w:pPr>
        <w:pStyle w:val="Heading2"/>
      </w:pPr>
      <w:r>
        <w:t xml:space="preserve">Return Values</w:t>
      </w:r>
    </w:p>
    <w:p>
      <w:pPr>
        <w:pStyle w:val="FirstParagraph"/>
      </w:pPr>
      <w:r>
        <w:t xml:space="preserve">Returns a Boolean indicating whether the image was successfully loaded.</w:t>
      </w:r>
    </w:p>
    <w:bookmarkEnd w:id="3456"/>
    <w:bookmarkStart w:id="3457" w:name="remarks-330"/>
    <w:p>
      <w:pPr>
        <w:pStyle w:val="Heading2"/>
      </w:pPr>
      <w:r>
        <w:t xml:space="preserve">Remarks</w:t>
      </w:r>
    </w:p>
    <w:p>
      <w:pPr>
        <w:pStyle w:val="Compact"/>
        <w:numPr>
          <w:ilvl w:val="0"/>
          <w:numId w:val="1871"/>
        </w:numPr>
      </w:pPr>
      <w:r>
        <w:t xml:space="preserve">After loading an image, you can use DrawImage to render it into a context.</w:t>
      </w:r>
    </w:p>
    <w:p>
      <w:pPr>
        <w:pStyle w:val="Compact"/>
        <w:numPr>
          <w:ilvl w:val="0"/>
          <w:numId w:val="1871"/>
        </w:numPr>
      </w:pPr>
      <w:r>
        <w:t xml:space="preserve">The path is resolved relative to the web root if possible.</w:t>
      </w:r>
    </w:p>
    <w:bookmarkEnd w:id="3457"/>
    <w:bookmarkStart w:id="3458" w:name="code-example-15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img.LoadImage</w:t>
      </w:r>
      <w:r>
        <w:rPr>
          <w:rStyle w:val="OtherTok"/>
        </w:rPr>
        <w:t xml:space="preserve">(</w:t>
      </w:r>
      <w:r>
        <w:rPr>
          <w:rStyle w:val="StringTok"/>
        </w:rPr>
        <w:t xml:space="preserve">"images/header.jpg"</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Image loaded</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img.LastError</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58"/>
    <w:bookmarkEnd w:id="3459"/>
    <w:bookmarkStart w:id="3466" w:name="loadjpg-method"/>
    <w:p>
      <w:pPr>
        <w:pStyle w:val="Heading1"/>
      </w:pPr>
      <w:r>
        <w:t xml:space="preserve">LoadJPG Method</w:t>
      </w:r>
    </w:p>
    <w:bookmarkStart w:id="3460" w:name="overview-356"/>
    <w:p>
      <w:pPr>
        <w:pStyle w:val="Heading2"/>
      </w:pPr>
      <w:r>
        <w:t xml:space="preserve">Overview</w:t>
      </w:r>
    </w:p>
    <w:p>
      <w:pPr>
        <w:pStyle w:val="FirstParagraph"/>
      </w:pPr>
      <w:r>
        <w:t xml:space="preserve">Loads a JPEG image file from the specified path into the G3Pix AxonASP G3IMAGE library.</w:t>
      </w:r>
    </w:p>
    <w:bookmarkEnd w:id="3460"/>
    <w:bookmarkStart w:id="3461" w:name="syntax-355"/>
    <w:p>
      <w:pPr>
        <w:pStyle w:val="Heading2"/>
      </w:pPr>
      <w:r>
        <w:t xml:space="preserve">Syntax</w:t>
      </w:r>
    </w:p>
    <w:p>
      <w:pPr>
        <w:pStyle w:val="SourceCode"/>
      </w:pPr>
      <w:r>
        <w:rPr>
          <w:rStyle w:val="NormalTok"/>
        </w:rPr>
        <w:t xml:space="preserve">result = obj.LoadJPG(path)</w:t>
      </w:r>
    </w:p>
    <w:bookmarkEnd w:id="3461"/>
    <w:bookmarkStart w:id="3462" w:name="parameters-214"/>
    <w:p>
      <w:pPr>
        <w:pStyle w:val="Heading2"/>
      </w:pPr>
      <w:r>
        <w:t xml:space="preserve">Parameters</w:t>
      </w:r>
    </w:p>
    <w:p>
      <w:pPr>
        <w:pStyle w:val="Compact"/>
        <w:numPr>
          <w:ilvl w:val="0"/>
          <w:numId w:val="1872"/>
        </w:numPr>
      </w:pPr>
      <w:r>
        <w:rPr>
          <w:b/>
          <w:bCs/>
        </w:rPr>
        <w:t xml:space="preserve">path</w:t>
      </w:r>
      <w:r>
        <w:t xml:space="preserve"> </w:t>
      </w:r>
      <w:r>
        <w:t xml:space="preserve">(String): The file path to the JPEG image.</w:t>
      </w:r>
    </w:p>
    <w:bookmarkEnd w:id="3462"/>
    <w:bookmarkStart w:id="3463" w:name="return-values-81"/>
    <w:p>
      <w:pPr>
        <w:pStyle w:val="Heading2"/>
      </w:pPr>
      <w:r>
        <w:t xml:space="preserve">Return Values</w:t>
      </w:r>
    </w:p>
    <w:p>
      <w:pPr>
        <w:pStyle w:val="FirstParagraph"/>
      </w:pPr>
      <w:r>
        <w:t xml:space="preserve">Returns a Boolean indicating whether the image was successfully loaded.</w:t>
      </w:r>
    </w:p>
    <w:bookmarkEnd w:id="3463"/>
    <w:bookmarkStart w:id="3464" w:name="remarks-331"/>
    <w:p>
      <w:pPr>
        <w:pStyle w:val="Heading2"/>
      </w:pPr>
      <w:r>
        <w:t xml:space="preserve">Remarks</w:t>
      </w:r>
    </w:p>
    <w:p>
      <w:pPr>
        <w:pStyle w:val="Compact"/>
        <w:numPr>
          <w:ilvl w:val="0"/>
          <w:numId w:val="1873"/>
        </w:numPr>
      </w:pPr>
      <w:r>
        <w:t xml:space="preserve">This method specifically targets JPEG files. For general image loading, use the LoadImage method.</w:t>
      </w:r>
    </w:p>
    <w:p>
      <w:pPr>
        <w:pStyle w:val="Compact"/>
        <w:numPr>
          <w:ilvl w:val="0"/>
          <w:numId w:val="1873"/>
        </w:numPr>
      </w:pPr>
      <w:r>
        <w:t xml:space="preserve">The path is resolved relative to the web root if possible.</w:t>
      </w:r>
    </w:p>
    <w:bookmarkEnd w:id="3464"/>
    <w:bookmarkStart w:id="3465" w:name="code-example-15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img.LoadJPG</w:t>
      </w:r>
      <w:r>
        <w:rPr>
          <w:rStyle w:val="OtherTok"/>
        </w:rPr>
        <w:t xml:space="preserve">(</w:t>
      </w:r>
      <w:r>
        <w:rPr>
          <w:rStyle w:val="StringTok"/>
        </w:rPr>
        <w:t xml:space="preserve">"images/photo.jpg"</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JPEG loaded successfully</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65"/>
    <w:bookmarkEnd w:id="3466"/>
    <w:bookmarkStart w:id="3473" w:name="loadpng-method"/>
    <w:p>
      <w:pPr>
        <w:pStyle w:val="Heading1"/>
      </w:pPr>
      <w:r>
        <w:t xml:space="preserve">LoadPNG Method</w:t>
      </w:r>
    </w:p>
    <w:bookmarkStart w:id="3467" w:name="overview-357"/>
    <w:p>
      <w:pPr>
        <w:pStyle w:val="Heading2"/>
      </w:pPr>
      <w:r>
        <w:t xml:space="preserve">Overview</w:t>
      </w:r>
    </w:p>
    <w:p>
      <w:pPr>
        <w:pStyle w:val="FirstParagraph"/>
      </w:pPr>
      <w:r>
        <w:t xml:space="preserve">Loads a PNG image file from the specified path into the G3Pix AxonASP G3IMAGE library.</w:t>
      </w:r>
    </w:p>
    <w:bookmarkEnd w:id="3467"/>
    <w:bookmarkStart w:id="3468" w:name="syntax-356"/>
    <w:p>
      <w:pPr>
        <w:pStyle w:val="Heading2"/>
      </w:pPr>
      <w:r>
        <w:t xml:space="preserve">Syntax</w:t>
      </w:r>
    </w:p>
    <w:p>
      <w:pPr>
        <w:pStyle w:val="SourceCode"/>
      </w:pPr>
      <w:r>
        <w:rPr>
          <w:rStyle w:val="NormalTok"/>
        </w:rPr>
        <w:t xml:space="preserve">result = obj.LoadPNG(path)</w:t>
      </w:r>
    </w:p>
    <w:bookmarkEnd w:id="3468"/>
    <w:bookmarkStart w:id="3469" w:name="parameters-215"/>
    <w:p>
      <w:pPr>
        <w:pStyle w:val="Heading2"/>
      </w:pPr>
      <w:r>
        <w:t xml:space="preserve">Parameters</w:t>
      </w:r>
    </w:p>
    <w:p>
      <w:pPr>
        <w:pStyle w:val="Compact"/>
        <w:numPr>
          <w:ilvl w:val="0"/>
          <w:numId w:val="1874"/>
        </w:numPr>
      </w:pPr>
      <w:r>
        <w:rPr>
          <w:b/>
          <w:bCs/>
        </w:rPr>
        <w:t xml:space="preserve">path</w:t>
      </w:r>
      <w:r>
        <w:t xml:space="preserve"> </w:t>
      </w:r>
      <w:r>
        <w:t xml:space="preserve">(String): The file path to the PNG image.</w:t>
      </w:r>
    </w:p>
    <w:bookmarkEnd w:id="3469"/>
    <w:bookmarkStart w:id="3470" w:name="return-values-82"/>
    <w:p>
      <w:pPr>
        <w:pStyle w:val="Heading2"/>
      </w:pPr>
      <w:r>
        <w:t xml:space="preserve">Return Values</w:t>
      </w:r>
    </w:p>
    <w:p>
      <w:pPr>
        <w:pStyle w:val="FirstParagraph"/>
      </w:pPr>
      <w:r>
        <w:t xml:space="preserve">Returns a Boolean indicating whether the image was successfully loaded.</w:t>
      </w:r>
    </w:p>
    <w:bookmarkEnd w:id="3470"/>
    <w:bookmarkStart w:id="3471" w:name="remarks-332"/>
    <w:p>
      <w:pPr>
        <w:pStyle w:val="Heading2"/>
      </w:pPr>
      <w:r>
        <w:t xml:space="preserve">Remarks</w:t>
      </w:r>
    </w:p>
    <w:p>
      <w:pPr>
        <w:pStyle w:val="Compact"/>
        <w:numPr>
          <w:ilvl w:val="0"/>
          <w:numId w:val="1875"/>
        </w:numPr>
      </w:pPr>
      <w:r>
        <w:t xml:space="preserve">This method specifically targets PNG files. For general image loading, use the LoadImage method.</w:t>
      </w:r>
    </w:p>
    <w:p>
      <w:pPr>
        <w:pStyle w:val="Compact"/>
        <w:numPr>
          <w:ilvl w:val="0"/>
          <w:numId w:val="1875"/>
        </w:numPr>
      </w:pPr>
      <w:r>
        <w:t xml:space="preserve">The path is resolved relative to the web root if possible.</w:t>
      </w:r>
    </w:p>
    <w:bookmarkEnd w:id="3471"/>
    <w:bookmarkStart w:id="3472" w:name="code-example-15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img.LoadPNG</w:t>
      </w:r>
      <w:r>
        <w:rPr>
          <w:rStyle w:val="OtherTok"/>
        </w:rPr>
        <w:t xml:space="preserve">(</w:t>
      </w:r>
      <w:r>
        <w:rPr>
          <w:rStyle w:val="StringTok"/>
        </w:rPr>
        <w:t xml:space="preserve">"images/logo.png"</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PNG loaded successfully</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72"/>
    <w:bookmarkEnd w:id="3473"/>
    <w:bookmarkStart w:id="3480" w:name="measurestring-method"/>
    <w:p>
      <w:pPr>
        <w:pStyle w:val="Heading1"/>
      </w:pPr>
      <w:r>
        <w:t xml:space="preserve">MeasureString Method</w:t>
      </w:r>
    </w:p>
    <w:bookmarkStart w:id="3474" w:name="overview-358"/>
    <w:p>
      <w:pPr>
        <w:pStyle w:val="Heading2"/>
      </w:pPr>
      <w:r>
        <w:t xml:space="preserve">Overview</w:t>
      </w:r>
    </w:p>
    <w:p>
      <w:pPr>
        <w:pStyle w:val="FirstParagraph"/>
      </w:pPr>
      <w:r>
        <w:t xml:space="preserve">Measures the width and height of a string if it were rendered with the current font in the G3Pix AxonASP G3IMAGE library.</w:t>
      </w:r>
    </w:p>
    <w:bookmarkEnd w:id="3474"/>
    <w:bookmarkStart w:id="3475" w:name="syntax-357"/>
    <w:p>
      <w:pPr>
        <w:pStyle w:val="Heading2"/>
      </w:pPr>
      <w:r>
        <w:t xml:space="preserve">Syntax</w:t>
      </w:r>
    </w:p>
    <w:p>
      <w:pPr>
        <w:pStyle w:val="SourceCode"/>
      </w:pPr>
      <w:r>
        <w:rPr>
          <w:rStyle w:val="NormalTok"/>
        </w:rPr>
        <w:t xml:space="preserve">result = obj.MeasureString(s)</w:t>
      </w:r>
    </w:p>
    <w:bookmarkEnd w:id="3475"/>
    <w:bookmarkStart w:id="3476" w:name="parameters-216"/>
    <w:p>
      <w:pPr>
        <w:pStyle w:val="Heading2"/>
      </w:pPr>
      <w:r>
        <w:t xml:space="preserve">Parameters</w:t>
      </w:r>
    </w:p>
    <w:p>
      <w:pPr>
        <w:pStyle w:val="Compact"/>
        <w:numPr>
          <w:ilvl w:val="0"/>
          <w:numId w:val="1876"/>
        </w:numPr>
      </w:pPr>
      <w:r>
        <w:rPr>
          <w:b/>
          <w:bCs/>
        </w:rPr>
        <w:t xml:space="preserve">s</w:t>
      </w:r>
      <w:r>
        <w:t xml:space="preserve"> </w:t>
      </w:r>
      <w:r>
        <w:t xml:space="preserve">(String): The text to measure.</w:t>
      </w:r>
    </w:p>
    <w:bookmarkEnd w:id="3476"/>
    <w:bookmarkStart w:id="3477" w:name="return-values-83"/>
    <w:p>
      <w:pPr>
        <w:pStyle w:val="Heading2"/>
      </w:pPr>
      <w:r>
        <w:t xml:space="preserve">Return Values</w:t>
      </w:r>
    </w:p>
    <w:p>
      <w:pPr>
        <w:pStyle w:val="FirstParagraph"/>
      </w:pPr>
      <w:r>
        <w:t xml:space="preserve">Returns a VBArray containing two Doubles: the width [0] and the height [1] of the string.</w:t>
      </w:r>
    </w:p>
    <w:bookmarkEnd w:id="3477"/>
    <w:bookmarkStart w:id="3478" w:name="remarks-333"/>
    <w:p>
      <w:pPr>
        <w:pStyle w:val="Heading2"/>
      </w:pPr>
      <w:r>
        <w:t xml:space="preserve">Remarks</w:t>
      </w:r>
    </w:p>
    <w:p>
      <w:pPr>
        <w:pStyle w:val="Compact"/>
        <w:numPr>
          <w:ilvl w:val="0"/>
          <w:numId w:val="1877"/>
        </w:numPr>
      </w:pPr>
      <w:r>
        <w:t xml:space="preserve">A context must be active and a font must be loaded using LoadFontFace for this method to provide accurate measurements.</w:t>
      </w:r>
    </w:p>
    <w:bookmarkEnd w:id="3478"/>
    <w:bookmarkStart w:id="3479" w:name="code-example-15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rPr>
          <w:rStyle w:val="OtherTok"/>
        </w:rPr>
        <w:t xml:space="preserve">,</w:t>
      </w:r>
      <w:r>
        <w:rPr>
          <w:rStyle w:val="NormalTok"/>
        </w:rPr>
        <w:t xml:space="preserve"> size</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400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img.LoadFontFace </w:t>
      </w:r>
      <w:r>
        <w:rPr>
          <w:rStyle w:val="StringTok"/>
        </w:rPr>
        <w:t xml:space="preserve">"C:\Windows\Fonts\arial.ttf"</w:t>
      </w:r>
      <w:r>
        <w:rPr>
          <w:rStyle w:val="OtherTok"/>
        </w:rPr>
        <w:t xml:space="preserve">,</w:t>
      </w:r>
      <w:r>
        <w:rPr>
          <w:rStyle w:val="NormalTok"/>
        </w:rPr>
        <w:t xml:space="preserve"> </w:t>
      </w:r>
      <w:r>
        <w:rPr>
          <w:rStyle w:val="DecValTok"/>
        </w:rPr>
        <w:t xml:space="preserve">12</w:t>
      </w:r>
      <w:r>
        <w:br/>
      </w:r>
      <w:r>
        <w:rPr>
          <w:rStyle w:val="NormalTok"/>
        </w:rPr>
        <w:t xml:space="preserve">    size = img.MeasureString</w:t>
      </w:r>
      <w:r>
        <w:rPr>
          <w:rStyle w:val="OtherTok"/>
        </w:rPr>
        <w:t xml:space="preserve">(</w:t>
      </w:r>
      <w:r>
        <w:rPr>
          <w:rStyle w:val="StringTok"/>
        </w:rPr>
        <w:t xml:space="preserve">"Hello"</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"Width: "</w:t>
      </w:r>
      <w:r>
        <w:rPr>
          <w:rStyle w:val="NormalTok"/>
        </w:rPr>
        <w:t xml:space="preserve"> </w:t>
      </w:r>
      <w:r>
        <w:rPr>
          <w:rStyle w:val="KeywordTok"/>
        </w:rPr>
        <w:t xml:space="preserve">&amp;</w:t>
      </w:r>
      <w:r>
        <w:rPr>
          <w:rStyle w:val="NormalTok"/>
        </w:rPr>
        <w:t xml:space="preserve"> size</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Height: "</w:t>
      </w:r>
      <w:r>
        <w:rPr>
          <w:rStyle w:val="NormalTok"/>
        </w:rPr>
        <w:t xml:space="preserve"> </w:t>
      </w:r>
      <w:r>
        <w:rPr>
          <w:rStyle w:val="KeywordTok"/>
        </w:rPr>
        <w:t xml:space="preserve">&amp;</w:t>
      </w:r>
      <w:r>
        <w:rPr>
          <w:rStyle w:val="NormalTok"/>
        </w:rPr>
        <w:t xml:space="preserve"> size</w:t>
      </w:r>
      <w:r>
        <w:rPr>
          <w:rStyle w:val="OtherTok"/>
        </w:rPr>
        <w:t xml:space="preserve">(</w:t>
      </w:r>
      <w:r>
        <w:rPr>
          <w:rStyle w:val="DecValTok"/>
        </w:rPr>
        <w:t xml:space="preserve">1</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479"/>
    <w:bookmarkEnd w:id="3480"/>
    <w:bookmarkStart w:id="3487" w:name="new-newcontext-method"/>
    <w:p>
      <w:pPr>
        <w:pStyle w:val="Heading1"/>
      </w:pPr>
      <w:r>
        <w:t xml:space="preserve">New / NewContext Method</w:t>
      </w:r>
    </w:p>
    <w:bookmarkStart w:id="3481" w:name="overview-359"/>
    <w:p>
      <w:pPr>
        <w:pStyle w:val="Heading2"/>
      </w:pPr>
      <w:r>
        <w:t xml:space="preserve">Overview</w:t>
      </w:r>
    </w:p>
    <w:p>
      <w:pPr>
        <w:pStyle w:val="FirstParagraph"/>
      </w:pPr>
      <w:r>
        <w:t xml:space="preserve">Initializes a new drawing context with specified dimensions in the G3Pix AxonASP G3IMAGE library. This method is also accessible via the</w:t>
      </w:r>
      <w:r>
        <w:t xml:space="preserve"> </w:t>
      </w:r>
      <w:r>
        <w:t xml:space="preserve">“New”</w:t>
      </w:r>
      <w:r>
        <w:t xml:space="preserve"> </w:t>
      </w:r>
      <w:r>
        <w:t xml:space="preserve">alias. When using the</w:t>
      </w:r>
      <w:r>
        <w:t xml:space="preserve"> </w:t>
      </w:r>
      <w:r>
        <w:rPr>
          <w:rStyle w:val="VerbatimChar"/>
        </w:rPr>
        <w:t xml:space="preserve">Persits.Jpeg</w:t>
      </w:r>
      <w:r>
        <w:t xml:space="preserve"> </w:t>
      </w:r>
      <w:r>
        <w:t xml:space="preserve">compatibility layer, it supports a third optional parameter to fill the canvas with a background color.</w:t>
      </w:r>
    </w:p>
    <w:bookmarkEnd w:id="3481"/>
    <w:bookmarkStart w:id="3482" w:name="syntax-358"/>
    <w:p>
      <w:pPr>
        <w:pStyle w:val="Heading2"/>
      </w:pPr>
      <w:r>
        <w:t xml:space="preserve">Syntax</w:t>
      </w:r>
    </w:p>
    <w:p>
      <w:pPr>
        <w:pStyle w:val="SourceCode"/>
      </w:pPr>
      <w:r>
        <w:rPr>
          <w:rStyle w:val="NormalTok"/>
        </w:rPr>
        <w:t xml:space="preserve">result = obj.New(Width, Height [, ColorHex])</w:t>
      </w:r>
    </w:p>
    <w:bookmarkEnd w:id="3482"/>
    <w:bookmarkStart w:id="3483" w:name="parameters-217"/>
    <w:p>
      <w:pPr>
        <w:pStyle w:val="Heading2"/>
      </w:pPr>
      <w:r>
        <w:t xml:space="preserve">Parameters</w:t>
      </w:r>
    </w:p>
    <w:p>
      <w:pPr>
        <w:pStyle w:val="Compact"/>
        <w:numPr>
          <w:ilvl w:val="0"/>
          <w:numId w:val="1878"/>
        </w:numPr>
      </w:pPr>
      <w:r>
        <w:rPr>
          <w:b/>
          <w:bCs/>
        </w:rPr>
        <w:t xml:space="preserve">Width</w:t>
      </w:r>
      <w:r>
        <w:t xml:space="preserve"> </w:t>
      </w:r>
      <w:r>
        <w:t xml:space="preserve">(Integer): The width of the new context in pixels.</w:t>
      </w:r>
    </w:p>
    <w:p>
      <w:pPr>
        <w:pStyle w:val="Compact"/>
        <w:numPr>
          <w:ilvl w:val="0"/>
          <w:numId w:val="1878"/>
        </w:numPr>
      </w:pPr>
      <w:r>
        <w:rPr>
          <w:b/>
          <w:bCs/>
        </w:rPr>
        <w:t xml:space="preserve">Height</w:t>
      </w:r>
      <w:r>
        <w:t xml:space="preserve"> </w:t>
      </w:r>
      <w:r>
        <w:t xml:space="preserve">(Integer): The height of the new context in pixels.</w:t>
      </w:r>
    </w:p>
    <w:p>
      <w:pPr>
        <w:pStyle w:val="Compact"/>
        <w:numPr>
          <w:ilvl w:val="0"/>
          <w:numId w:val="1878"/>
        </w:numPr>
      </w:pPr>
      <w:r>
        <w:rPr>
          <w:b/>
          <w:bCs/>
        </w:rPr>
        <w:t xml:space="preserve">ColorHex</w:t>
      </w:r>
      <w:r>
        <w:t xml:space="preserve"> </w:t>
      </w:r>
      <w:r>
        <w:t xml:space="preserve">(String/Integer, Optional):</w:t>
      </w:r>
      <w:r>
        <w:t xml:space="preserve"> </w:t>
      </w:r>
      <w:r>
        <w:rPr>
          <w:b/>
          <w:bCs/>
        </w:rPr>
        <w:t xml:space="preserve">(Persits.Jpeg Compatibility Only)</w:t>
      </w:r>
      <w:r>
        <w:t xml:space="preserve"> </w:t>
      </w:r>
      <w:r>
        <w:t xml:space="preserve">The background color for the blank canvas. Can be a hex string (e.g. </w:t>
      </w:r>
      <w:r>
        <w:rPr>
          <w:rStyle w:val="VerbatimChar"/>
        </w:rPr>
        <w:t xml:space="preserve">"#FFFFFF"</w:t>
      </w:r>
      <w:r>
        <w:t xml:space="preserve">) or a BGR integer value (e.g. </w:t>
      </w:r>
      <w:r>
        <w:rPr>
          <w:rStyle w:val="VerbatimChar"/>
        </w:rPr>
        <w:t xml:space="preserve">&amp;HFFFFFF</w:t>
      </w:r>
      <w:r>
        <w:t xml:space="preserve">). Defaults to white.</w:t>
      </w:r>
    </w:p>
    <w:bookmarkEnd w:id="3483"/>
    <w:bookmarkStart w:id="3484" w:name="return-values-84"/>
    <w:p>
      <w:pPr>
        <w:pStyle w:val="Heading2"/>
      </w:pPr>
      <w:r>
        <w:t xml:space="preserve">Return Values</w:t>
      </w:r>
    </w:p>
    <w:p>
      <w:pPr>
        <w:pStyle w:val="FirstParagraph"/>
      </w:pPr>
      <w:r>
        <w:t xml:space="preserve">Returns a Boolean indicating whether the context was successfully created.</w:t>
      </w:r>
    </w:p>
    <w:bookmarkEnd w:id="3484"/>
    <w:bookmarkStart w:id="3485" w:name="remarks-334"/>
    <w:p>
      <w:pPr>
        <w:pStyle w:val="Heading2"/>
      </w:pPr>
      <w:r>
        <w:t xml:space="preserve">Remarks</w:t>
      </w:r>
    </w:p>
    <w:p>
      <w:pPr>
        <w:pStyle w:val="Compact"/>
        <w:numPr>
          <w:ilvl w:val="0"/>
          <w:numId w:val="1879"/>
        </w:numPr>
      </w:pPr>
      <w:r>
        <w:t xml:space="preserve">This method maps to both the</w:t>
      </w:r>
      <w:r>
        <w:t xml:space="preserve"> </w:t>
      </w:r>
      <w:r>
        <w:t xml:space="preserve">“New”</w:t>
      </w:r>
      <w:r>
        <w:t xml:space="preserve"> </w:t>
      </w:r>
      <w:r>
        <w:t xml:space="preserve">and</w:t>
      </w:r>
      <w:r>
        <w:t xml:space="preserve"> </w:t>
      </w:r>
      <w:r>
        <w:t xml:space="preserve">“NewContext”</w:t>
      </w:r>
      <w:r>
        <w:t xml:space="preserve"> </w:t>
      </w:r>
      <w:r>
        <w:t xml:space="preserve">method names in the underlying engine.</w:t>
      </w:r>
    </w:p>
    <w:p>
      <w:pPr>
        <w:pStyle w:val="Compact"/>
        <w:numPr>
          <w:ilvl w:val="0"/>
          <w:numId w:val="1879"/>
        </w:numPr>
      </w:pPr>
      <w:r>
        <w:t xml:space="preserve">Dimensions must be positive integers.</w:t>
      </w:r>
    </w:p>
    <w:p>
      <w:pPr>
        <w:pStyle w:val="Compact"/>
        <w:numPr>
          <w:ilvl w:val="0"/>
          <w:numId w:val="1879"/>
        </w:numPr>
      </w:pPr>
      <w:r>
        <w:t xml:space="preserve">Calling this method releases any previously active context.</w:t>
      </w:r>
    </w:p>
    <w:bookmarkEnd w:id="3485"/>
    <w:bookmarkStart w:id="3486" w:name="code-example-15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CommentTok"/>
        </w:rPr>
        <w:t xml:space="preserve">' Create a 400x300 canvas with a blue background</w:t>
      </w:r>
      <w:r>
        <w:br/>
      </w:r>
      <w:r>
        <w:rPr>
          <w:rStyle w:val="ControlFlowTok"/>
        </w:rPr>
        <w:t xml:space="preserve">If</w:t>
      </w:r>
      <w:r>
        <w:rPr>
          <w:rStyle w:val="NormalTok"/>
        </w:rPr>
        <w:t xml:space="preserve"> jpeg.</w:t>
      </w:r>
      <w:r>
        <w:rPr>
          <w:rStyle w:val="KeywordTok"/>
        </w:rPr>
        <w:t xml:space="preserve">New</w:t>
      </w:r>
      <w:r>
        <w:rPr>
          <w:rStyle w:val="OtherTok"/>
        </w:rPr>
        <w:t xml:space="preserve">(</w:t>
      </w:r>
      <w:r>
        <w:rPr>
          <w:rStyle w:val="DecValTok"/>
        </w:rPr>
        <w:t xml:space="preserve">400</w:t>
      </w:r>
      <w:r>
        <w:rPr>
          <w:rStyle w:val="OtherTok"/>
        </w:rPr>
        <w:t xml:space="preserve">,</w:t>
      </w:r>
      <w:r>
        <w:rPr>
          <w:rStyle w:val="NormalTok"/>
        </w:rPr>
        <w:t xml:space="preserve"> </w:t>
      </w:r>
      <w:r>
        <w:rPr>
          <w:rStyle w:val="DecValTok"/>
        </w:rPr>
        <w:t xml:space="preserve">300</w:t>
      </w:r>
      <w:r>
        <w:rPr>
          <w:rStyle w:val="OtherTok"/>
        </w:rPr>
        <w:t xml:space="preserve">,</w:t>
      </w:r>
      <w:r>
        <w:rPr>
          <w:rStyle w:val="NormalTok"/>
        </w:rPr>
        <w:t xml:space="preserve"> </w:t>
      </w:r>
      <w:r>
        <w:rPr>
          <w:rStyle w:val="StringTok"/>
        </w:rPr>
        <w:t xml:space="preserve">"#0000FF"</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Context is ready with blue background</w:t>
      </w:r>
      <w:r>
        <w:br/>
      </w:r>
      <w:r>
        <w:rPr>
          <w:rStyle w:val="ControlFlowTok"/>
        </w:rPr>
        <w:t xml:space="preserve">End If</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486"/>
    <w:bookmarkEnd w:id="3487"/>
    <w:bookmarkStart w:id="3494" w:name="open-method"/>
    <w:p>
      <w:pPr>
        <w:pStyle w:val="Heading1"/>
      </w:pPr>
      <w:r>
        <w:t xml:space="preserve">Open Method</w:t>
      </w:r>
    </w:p>
    <w:bookmarkStart w:id="3488" w:name="overview-360"/>
    <w:p>
      <w:pPr>
        <w:pStyle w:val="Heading2"/>
      </w:pPr>
      <w:r>
        <w:t xml:space="preserve">Overview</w:t>
      </w:r>
    </w:p>
    <w:p>
      <w:pPr>
        <w:pStyle w:val="FirstParagraph"/>
      </w:pPr>
      <w:r>
        <w:t xml:space="preserve">Loads an image from the local disk and prepares the context. This method is part of the</w:t>
      </w:r>
      <w:r>
        <w:t xml:space="preserve"> </w:t>
      </w:r>
      <w:r>
        <w:rPr>
          <w:rStyle w:val="VerbatimChar"/>
        </w:rPr>
        <w:t xml:space="preserve">Persits.Jpeg</w:t>
      </w:r>
      <w:r>
        <w:t xml:space="preserve"> </w:t>
      </w:r>
      <w:r>
        <w:t xml:space="preserve">compatibility layer of the G3Pix AxonASP G3IMAGE library.</w:t>
      </w:r>
    </w:p>
    <w:bookmarkEnd w:id="3488"/>
    <w:bookmarkStart w:id="3489" w:name="syntax-359"/>
    <w:p>
      <w:pPr>
        <w:pStyle w:val="Heading2"/>
      </w:pPr>
      <w:r>
        <w:t xml:space="preserve">Syntax</w:t>
      </w:r>
    </w:p>
    <w:p>
      <w:pPr>
        <w:pStyle w:val="SourceCode"/>
      </w:pPr>
      <w:r>
        <w:rPr>
          <w:rStyle w:val="NormalTok"/>
        </w:rPr>
        <w:t xml:space="preserve">obj.Open(Path)</w:t>
      </w:r>
    </w:p>
    <w:bookmarkEnd w:id="3489"/>
    <w:bookmarkStart w:id="3490" w:name="parameters-218"/>
    <w:p>
      <w:pPr>
        <w:pStyle w:val="Heading2"/>
      </w:pPr>
      <w:r>
        <w:t xml:space="preserve">Parameters</w:t>
      </w:r>
    </w:p>
    <w:p>
      <w:pPr>
        <w:pStyle w:val="Compact"/>
        <w:numPr>
          <w:ilvl w:val="0"/>
          <w:numId w:val="1880"/>
        </w:numPr>
      </w:pPr>
      <w:r>
        <w:rPr>
          <w:rStyle w:val="VerbatimChar"/>
        </w:rPr>
        <w:t xml:space="preserve">Path</w:t>
      </w:r>
      <w:r>
        <w:t xml:space="preserve">: A string containing the virtual or absolute file path to the image to open.</w:t>
      </w:r>
    </w:p>
    <w:bookmarkEnd w:id="3490"/>
    <w:bookmarkStart w:id="3491" w:name="return-values-85"/>
    <w:p>
      <w:pPr>
        <w:pStyle w:val="Heading2"/>
      </w:pPr>
      <w:r>
        <w:t xml:space="preserve">Return Values</w:t>
      </w:r>
    </w:p>
    <w:p>
      <w:pPr>
        <w:pStyle w:val="FirstParagraph"/>
      </w:pPr>
      <w:r>
        <w:t xml:space="preserve">Returns</w:t>
      </w:r>
      <w:r>
        <w:t xml:space="preserve"> </w:t>
      </w:r>
      <w:r>
        <w:rPr>
          <w:rStyle w:val="VerbatimChar"/>
        </w:rPr>
        <w:t xml:space="preserve">True</w:t>
      </w:r>
      <w:r>
        <w:t xml:space="preserve"> </w:t>
      </w:r>
      <w:r>
        <w:t xml:space="preserve">on success. Raises an error on failure.</w:t>
      </w:r>
    </w:p>
    <w:bookmarkEnd w:id="3491"/>
    <w:bookmarkStart w:id="3492" w:name="remarks-335"/>
    <w:p>
      <w:pPr>
        <w:pStyle w:val="Heading2"/>
      </w:pPr>
      <w:r>
        <w:t xml:space="preserve">Remarks</w:t>
      </w:r>
    </w:p>
    <w:p>
      <w:pPr>
        <w:pStyle w:val="Compact"/>
        <w:numPr>
          <w:ilvl w:val="0"/>
          <w:numId w:val="1881"/>
        </w:numPr>
      </w:pPr>
      <w:r>
        <w:t xml:space="preserve">Absolute paths and mapped virtual paths using Server.MapPath are supported.</w:t>
      </w:r>
    </w:p>
    <w:p>
      <w:pPr>
        <w:pStyle w:val="Compact"/>
        <w:numPr>
          <w:ilvl w:val="0"/>
          <w:numId w:val="1881"/>
        </w:numPr>
      </w:pPr>
      <w:r>
        <w:t xml:space="preserve">Sets the</w:t>
      </w:r>
      <w:r>
        <w:t xml:space="preserve"> </w:t>
      </w:r>
      <w:r>
        <w:rPr>
          <w:rStyle w:val="VerbatimChar"/>
        </w:rPr>
        <w:t xml:space="preserve">OriginalWidth</w:t>
      </w:r>
      <w:r>
        <w:t xml:space="preserve"> </w:t>
      </w:r>
      <w:r>
        <w:t xml:space="preserve">and</w:t>
      </w:r>
      <w:r>
        <w:t xml:space="preserve"> </w:t>
      </w:r>
      <w:r>
        <w:rPr>
          <w:rStyle w:val="VerbatimChar"/>
        </w:rPr>
        <w:t xml:space="preserve">OriginalHeight</w:t>
      </w:r>
      <w:r>
        <w:t xml:space="preserve"> </w:t>
      </w:r>
      <w:r>
        <w:t xml:space="preserve">properties.</w:t>
      </w:r>
    </w:p>
    <w:bookmarkEnd w:id="3492"/>
    <w:bookmarkStart w:id="3493" w:name="code-example-15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"Opened image: "</w:t>
      </w:r>
      <w:r>
        <w:rPr>
          <w:rStyle w:val="NormalTok"/>
        </w:rPr>
        <w:t xml:space="preserve"> </w:t>
      </w:r>
      <w:r>
        <w:rPr>
          <w:rStyle w:val="KeywordTok"/>
        </w:rPr>
        <w:t xml:space="preserve">&amp;</w:t>
      </w:r>
      <w:r>
        <w:rPr>
          <w:rStyle w:val="NormalTok"/>
        </w:rPr>
        <w:t xml:space="preserve"> jpeg.Width </w:t>
      </w:r>
      <w:r>
        <w:rPr>
          <w:rStyle w:val="KeywordTok"/>
        </w:rPr>
        <w:t xml:space="preserve">&amp;</w:t>
      </w:r>
      <w:r>
        <w:rPr>
          <w:rStyle w:val="NormalTok"/>
        </w:rPr>
        <w:t xml:space="preserve"> </w:t>
      </w:r>
      <w:r>
        <w:rPr>
          <w:rStyle w:val="StringTok"/>
        </w:rPr>
        <w:t xml:space="preserve">"x"</w:t>
      </w:r>
      <w:r>
        <w:rPr>
          <w:rStyle w:val="NormalTok"/>
        </w:rPr>
        <w:t xml:space="preserve"> </w:t>
      </w:r>
      <w:r>
        <w:rPr>
          <w:rStyle w:val="KeywordTok"/>
        </w:rPr>
        <w:t xml:space="preserve">&amp;</w:t>
      </w:r>
      <w:r>
        <w:rPr>
          <w:rStyle w:val="NormalTok"/>
        </w:rPr>
        <w:t xml:space="preserve"> jpeg.Height</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493"/>
    <w:bookmarkEnd w:id="3494"/>
    <w:bookmarkStart w:id="3501" w:name="renderviatemp-method"/>
    <w:p>
      <w:pPr>
        <w:pStyle w:val="Heading1"/>
      </w:pPr>
      <w:r>
        <w:t xml:space="preserve">RenderViaTemp Method</w:t>
      </w:r>
    </w:p>
    <w:bookmarkStart w:id="3495" w:name="overview-361"/>
    <w:p>
      <w:pPr>
        <w:pStyle w:val="Heading2"/>
      </w:pPr>
      <w:r>
        <w:t xml:space="preserve">Overview</w:t>
      </w:r>
    </w:p>
    <w:p>
      <w:pPr>
        <w:pStyle w:val="FirstParagraph"/>
      </w:pPr>
      <w:r>
        <w:t xml:space="preserve">Renders the current context into a temporary file and returns the binary content in the G3Pix AxonASP G3IMAGE library.</w:t>
      </w:r>
    </w:p>
    <w:bookmarkEnd w:id="3495"/>
    <w:bookmarkStart w:id="3496" w:name="syntax-360"/>
    <w:p>
      <w:pPr>
        <w:pStyle w:val="Heading2"/>
      </w:pPr>
      <w:r>
        <w:t xml:space="preserve">Syntax</w:t>
      </w:r>
    </w:p>
    <w:p>
      <w:pPr>
        <w:pStyle w:val="SourceCode"/>
      </w:pPr>
      <w:r>
        <w:rPr>
          <w:rStyle w:val="NormalTok"/>
        </w:rPr>
        <w:t xml:space="preserve">result = obj.RenderViaTemp(format, quality)</w:t>
      </w:r>
    </w:p>
    <w:bookmarkEnd w:id="3496"/>
    <w:bookmarkStart w:id="3497" w:name="parameters-219"/>
    <w:p>
      <w:pPr>
        <w:pStyle w:val="Heading2"/>
      </w:pPr>
      <w:r>
        <w:t xml:space="preserve">Parameters</w:t>
      </w:r>
    </w:p>
    <w:p>
      <w:pPr>
        <w:pStyle w:val="Compact"/>
        <w:numPr>
          <w:ilvl w:val="0"/>
          <w:numId w:val="1882"/>
        </w:numPr>
      </w:pPr>
      <w:r>
        <w:rPr>
          <w:b/>
          <w:bCs/>
        </w:rPr>
        <w:t xml:space="preserve">format</w:t>
      </w:r>
      <w:r>
        <w:t xml:space="preserve"> </w:t>
      </w:r>
      <w:r>
        <w:t xml:space="preserve">(String): The target format, such as</w:t>
      </w:r>
      <w:r>
        <w:t xml:space="preserve"> </w:t>
      </w:r>
      <w:r>
        <w:t xml:space="preserve">“png”</w:t>
      </w:r>
      <w:r>
        <w:t xml:space="preserve"> </w:t>
      </w:r>
      <w:r>
        <w:t xml:space="preserve">or</w:t>
      </w:r>
      <w:r>
        <w:t xml:space="preserve"> </w:t>
      </w:r>
      <w:r>
        <w:t xml:space="preserve">“jpg”</w:t>
      </w:r>
      <w:r>
        <w:t xml:space="preserve">.</w:t>
      </w:r>
    </w:p>
    <w:p>
      <w:pPr>
        <w:pStyle w:val="Compact"/>
        <w:numPr>
          <w:ilvl w:val="0"/>
          <w:numId w:val="1882"/>
        </w:numPr>
      </w:pPr>
      <w:r>
        <w:rPr>
          <w:b/>
          <w:bCs/>
        </w:rPr>
        <w:t xml:space="preserve">quality</w:t>
      </w:r>
      <w:r>
        <w:t xml:space="preserve"> </w:t>
      </w:r>
      <w:r>
        <w:t xml:space="preserve">(Integer): The quality level (1-100), primarily for JPEG output.</w:t>
      </w:r>
    </w:p>
    <w:bookmarkEnd w:id="3497"/>
    <w:bookmarkStart w:id="3498" w:name="return-values-86"/>
    <w:p>
      <w:pPr>
        <w:pStyle w:val="Heading2"/>
      </w:pPr>
      <w:r>
        <w:t xml:space="preserve">Return Values</w:t>
      </w:r>
    </w:p>
    <w:p>
      <w:pPr>
        <w:pStyle w:val="FirstParagraph"/>
      </w:pPr>
      <w:r>
        <w:t xml:space="preserve">Returns a VBArray containing binary bytes. This array is compatible with Response.BinaryWrite.</w:t>
      </w:r>
    </w:p>
    <w:bookmarkEnd w:id="3498"/>
    <w:bookmarkStart w:id="3499" w:name="remarks-336"/>
    <w:p>
      <w:pPr>
        <w:pStyle w:val="Heading2"/>
      </w:pPr>
      <w:r>
        <w:t xml:space="preserve">Remarks</w:t>
      </w:r>
    </w:p>
    <w:p>
      <w:pPr>
        <w:pStyle w:val="Compact"/>
        <w:numPr>
          <w:ilvl w:val="0"/>
          <w:numId w:val="1883"/>
        </w:numPr>
      </w:pPr>
      <w:r>
        <w:t xml:space="preserve">This method is useful for streaming the generated image directly to the client browser.</w:t>
      </w:r>
    </w:p>
    <w:p>
      <w:pPr>
        <w:pStyle w:val="Compact"/>
        <w:numPr>
          <w:ilvl w:val="0"/>
          <w:numId w:val="1883"/>
        </w:numPr>
      </w:pPr>
      <w:r>
        <w:t xml:space="preserve">It handles the creation and cleanup of temporary storage automatically.</w:t>
      </w:r>
    </w:p>
    <w:bookmarkEnd w:id="3499"/>
    <w:bookmarkStart w:id="3500" w:name="code-example-15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rPr>
          <w:rStyle w:val="OtherTok"/>
        </w:rPr>
        <w:t xml:space="preserve">,</w:t>
      </w:r>
      <w:r>
        <w:rPr>
          <w:rStyle w:val="NormalTok"/>
        </w:rPr>
        <w:t xml:space="preserve"> bytes</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ControlFlowTok"/>
        </w:rPr>
        <w:t xml:space="preserve">Then</w:t>
      </w:r>
      <w:r>
        <w:br/>
      </w:r>
      <w:r>
        <w:rPr>
          <w:rStyle w:val="NormalTok"/>
        </w:rPr>
        <w:t xml:space="preserve">    img.SetHexColor</w:t>
      </w:r>
      <w:r>
        <w:rPr>
          <w:rStyle w:val="OtherTok"/>
        </w:rPr>
        <w:t xml:space="preserve">(</w:t>
      </w:r>
      <w:r>
        <w:rPr>
          <w:rStyle w:val="StringTok"/>
        </w:rPr>
        <w:t xml:space="preserve">"#FF0000"</w:t>
      </w:r>
      <w:r>
        <w:rPr>
          <w:rStyle w:val="OtherTok"/>
        </w:rPr>
        <w:t xml:space="preserve">)</w:t>
      </w:r>
      <w:r>
        <w:br/>
      </w:r>
      <w:r>
        <w:rPr>
          <w:rStyle w:val="NormalTok"/>
        </w:rPr>
        <w:t xml:space="preserve">    img.</w:t>
      </w:r>
      <w:r>
        <w:rPr>
          <w:rStyle w:val="FunctionTok"/>
        </w:rPr>
        <w:t xml:space="preserve">Clear</w:t>
      </w:r>
      <w:r>
        <w:rPr>
          <w:rStyle w:val="OtherTok"/>
        </w:rPr>
        <w:t xml:space="preserve">()</w:t>
      </w:r>
      <w:r>
        <w:br/>
      </w:r>
      <w:r>
        <w:rPr>
          <w:rStyle w:val="NormalTok"/>
        </w:rPr>
        <w:t xml:space="preserve">    bytes = img.RenderViaTemp</w:t>
      </w:r>
      <w:r>
        <w:rPr>
          <w:rStyle w:val="OtherTok"/>
        </w:rPr>
        <w:t xml:space="preserve">(</w:t>
      </w:r>
      <w:r>
        <w:rPr>
          <w:rStyle w:val="StringTok"/>
        </w:rPr>
        <w:t xml:space="preserve">"png"</w:t>
      </w:r>
      <w:r>
        <w:rPr>
          <w:rStyle w:val="OtherTok"/>
        </w:rPr>
        <w:t xml:space="preserve">,</w:t>
      </w:r>
      <w:r>
        <w:rPr>
          <w:rStyle w:val="NormalTok"/>
        </w:rPr>
        <w:t xml:space="preserve"> </w:t>
      </w:r>
      <w:r>
        <w:rPr>
          <w:rStyle w:val="DecValTok"/>
        </w:rPr>
        <w:t xml:space="preserve">0</w:t>
      </w:r>
      <w:r>
        <w:rPr>
          <w:rStyle w:val="OtherTok"/>
        </w:rPr>
        <w:t xml:space="preserve">)</w:t>
      </w:r>
      <w:r>
        <w:br/>
      </w:r>
      <w:r>
        <w:rPr>
          <w:rStyle w:val="NormalTok"/>
        </w:rPr>
        <w:t xml:space="preserve">    </w:t>
      </w:r>
      <w:r>
        <w:rPr>
          <w:rStyle w:val="FunctionTok"/>
        </w:rPr>
        <w:t xml:space="preserve">Response</w:t>
      </w:r>
      <w:r>
        <w:rPr>
          <w:rStyle w:val="NormalTok"/>
        </w:rPr>
        <w:t xml:space="preserve">.ContentType = </w:t>
      </w:r>
      <w:r>
        <w:rPr>
          <w:rStyle w:val="StringTok"/>
        </w:rPr>
        <w:t xml:space="preserve">"image/png"</w:t>
      </w:r>
      <w:r>
        <w:br/>
      </w:r>
      <w:r>
        <w:rPr>
          <w:rStyle w:val="NormalTok"/>
        </w:rPr>
        <w:t xml:space="preserve">    </w:t>
      </w:r>
      <w:r>
        <w:rPr>
          <w:rStyle w:val="FunctionTok"/>
        </w:rPr>
        <w:t xml:space="preserve">Response</w:t>
      </w:r>
      <w:r>
        <w:rPr>
          <w:rStyle w:val="NormalTok"/>
        </w:rPr>
        <w:t xml:space="preserve">.BinaryWrite bytes</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00"/>
    <w:bookmarkEnd w:id="3501"/>
    <w:bookmarkStart w:id="3508" w:name="save-method"/>
    <w:p>
      <w:pPr>
        <w:pStyle w:val="Heading1"/>
      </w:pPr>
      <w:r>
        <w:t xml:space="preserve">Save Method</w:t>
      </w:r>
    </w:p>
    <w:bookmarkStart w:id="3502" w:name="overview-362"/>
    <w:p>
      <w:pPr>
        <w:pStyle w:val="Heading2"/>
      </w:pPr>
      <w:r>
        <w:t xml:space="preserve">Overview</w:t>
      </w:r>
    </w:p>
    <w:p>
      <w:pPr>
        <w:pStyle w:val="FirstParagraph"/>
      </w:pPr>
      <w:r>
        <w:t xml:space="preserve">Saves the modified image to disk. This method is part of the</w:t>
      </w:r>
      <w:r>
        <w:t xml:space="preserve"> </w:t>
      </w:r>
      <w:r>
        <w:rPr>
          <w:rStyle w:val="VerbatimChar"/>
        </w:rPr>
        <w:t xml:space="preserve">Persits.Jpeg</w:t>
      </w:r>
      <w:r>
        <w:t xml:space="preserve"> </w:t>
      </w:r>
      <w:r>
        <w:t xml:space="preserve">compatibility layer of the G3Pix AxonASP G3IMAGE library.</w:t>
      </w:r>
    </w:p>
    <w:bookmarkEnd w:id="3502"/>
    <w:bookmarkStart w:id="3503" w:name="syntax-361"/>
    <w:p>
      <w:pPr>
        <w:pStyle w:val="Heading2"/>
      </w:pPr>
      <w:r>
        <w:t xml:space="preserve">Syntax</w:t>
      </w:r>
    </w:p>
    <w:p>
      <w:pPr>
        <w:pStyle w:val="SourceCode"/>
      </w:pPr>
      <w:r>
        <w:rPr>
          <w:rStyle w:val="NormalTok"/>
        </w:rPr>
        <w:t xml:space="preserve">obj.Save(Path)</w:t>
      </w:r>
    </w:p>
    <w:bookmarkEnd w:id="3503"/>
    <w:bookmarkStart w:id="3504" w:name="parameters-220"/>
    <w:p>
      <w:pPr>
        <w:pStyle w:val="Heading2"/>
      </w:pPr>
      <w:r>
        <w:t xml:space="preserve">Parameters</w:t>
      </w:r>
    </w:p>
    <w:p>
      <w:pPr>
        <w:pStyle w:val="Compact"/>
        <w:numPr>
          <w:ilvl w:val="0"/>
          <w:numId w:val="1884"/>
        </w:numPr>
      </w:pPr>
      <w:r>
        <w:rPr>
          <w:rStyle w:val="VerbatimChar"/>
        </w:rPr>
        <w:t xml:space="preserve">Path</w:t>
      </w:r>
      <w:r>
        <w:t xml:space="preserve">: A string containing the virtual or absolute file path where the image will be saved.</w:t>
      </w:r>
    </w:p>
    <w:bookmarkEnd w:id="3504"/>
    <w:bookmarkStart w:id="3505" w:name="return-values-87"/>
    <w:p>
      <w:pPr>
        <w:pStyle w:val="Heading2"/>
      </w:pPr>
      <w:r>
        <w:t xml:space="preserve">Return Values</w:t>
      </w:r>
    </w:p>
    <w:p>
      <w:pPr>
        <w:pStyle w:val="FirstParagraph"/>
      </w:pPr>
      <w:r>
        <w:t xml:space="preserve">Returns</w:t>
      </w:r>
      <w:r>
        <w:t xml:space="preserve"> </w:t>
      </w:r>
      <w:r>
        <w:rPr>
          <w:rStyle w:val="VerbatimChar"/>
        </w:rPr>
        <w:t xml:space="preserve">True</w:t>
      </w:r>
      <w:r>
        <w:t xml:space="preserve"> </w:t>
      </w:r>
      <w:r>
        <w:t xml:space="preserve">on success. Raises an error on failure.</w:t>
      </w:r>
    </w:p>
    <w:bookmarkEnd w:id="3505"/>
    <w:bookmarkStart w:id="3506" w:name="remarks-337"/>
    <w:p>
      <w:pPr>
        <w:pStyle w:val="Heading2"/>
      </w:pPr>
      <w:r>
        <w:t xml:space="preserve">Remarks</w:t>
      </w:r>
    </w:p>
    <w:p>
      <w:pPr>
        <w:pStyle w:val="Compact"/>
        <w:numPr>
          <w:ilvl w:val="0"/>
          <w:numId w:val="1885"/>
        </w:numPr>
      </w:pPr>
      <w:r>
        <w:t xml:space="preserve">If the file extension is</w:t>
      </w:r>
      <w:r>
        <w:t xml:space="preserve"> </w:t>
      </w:r>
      <w:r>
        <w:rPr>
          <w:rStyle w:val="VerbatimChar"/>
        </w:rPr>
        <w:t xml:space="preserve">.png</w:t>
      </w:r>
      <w:r>
        <w:t xml:space="preserve">, it will be saved as a PNG; otherwise, it defaults to saving as JPEG using the quality specified by the</w:t>
      </w:r>
      <w:r>
        <w:t xml:space="preserve"> </w:t>
      </w:r>
      <w:r>
        <w:rPr>
          <w:rStyle w:val="VerbatimChar"/>
        </w:rPr>
        <w:t xml:space="preserve">Quality</w:t>
      </w:r>
      <w:r>
        <w:t xml:space="preserve"> </w:t>
      </w:r>
      <w:r>
        <w:t xml:space="preserve">property.</w:t>
      </w:r>
    </w:p>
    <w:bookmarkEnd w:id="3506"/>
    <w:bookmarkStart w:id="3507" w:name="code-example-15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NormalTok"/>
        </w:rPr>
        <w:t xml:space="preserve">jpeg.Width = </w:t>
      </w:r>
      <w:r>
        <w:rPr>
          <w:rStyle w:val="DecValTok"/>
        </w:rPr>
        <w:t xml:space="preserve">100</w:t>
      </w:r>
      <w:r>
        <w:br/>
      </w:r>
      <w:r>
        <w:rPr>
          <w:rStyle w:val="NormalTok"/>
        </w:rPr>
        <w:t xml:space="preserve">jpeg.Height = </w:t>
      </w:r>
      <w:r>
        <w:rPr>
          <w:rStyle w:val="DecValTok"/>
        </w:rPr>
        <w:t xml:space="preserve">100</w:t>
      </w:r>
      <w:r>
        <w:br/>
      </w:r>
      <w:r>
        <w:rPr>
          <w:rStyle w:val="NormalTok"/>
        </w:rPr>
        <w:t xml:space="preserve">jpeg.Save </w:t>
      </w:r>
      <w:r>
        <w:rPr>
          <w:rStyle w:val="FunctionTok"/>
        </w:rPr>
        <w:t xml:space="preserve">Server</w:t>
      </w:r>
      <w:r>
        <w:rPr>
          <w:rStyle w:val="NormalTok"/>
        </w:rPr>
        <w:t xml:space="preserve">.MapPath</w:t>
      </w:r>
      <w:r>
        <w:rPr>
          <w:rStyle w:val="OtherTok"/>
        </w:rPr>
        <w:t xml:space="preserve">(</w:t>
      </w:r>
      <w:r>
        <w:rPr>
          <w:rStyle w:val="StringTok"/>
        </w:rPr>
        <w:t xml:space="preserve">"thumbnail.jpg"</w:t>
      </w:r>
      <w:r>
        <w:rPr>
          <w:rStyle w:val="OtherTok"/>
        </w:rPr>
        <w:t xml:space="preserve">)</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507"/>
    <w:bookmarkEnd w:id="3508"/>
    <w:bookmarkStart w:id="3515" w:name="savejpg-method"/>
    <w:p>
      <w:pPr>
        <w:pStyle w:val="Heading1"/>
      </w:pPr>
      <w:r>
        <w:t xml:space="preserve">SaveJPG Method</w:t>
      </w:r>
    </w:p>
    <w:bookmarkStart w:id="3509" w:name="overview-363"/>
    <w:p>
      <w:pPr>
        <w:pStyle w:val="Heading2"/>
      </w:pPr>
      <w:r>
        <w:t xml:space="preserve">Overview</w:t>
      </w:r>
    </w:p>
    <w:p>
      <w:pPr>
        <w:pStyle w:val="FirstParagraph"/>
      </w:pPr>
      <w:r>
        <w:t xml:space="preserve">Saves the current context as a JPEG file to the specified path in the G3Pix AxonASP G3IMAGE library.</w:t>
      </w:r>
    </w:p>
    <w:bookmarkEnd w:id="3509"/>
    <w:bookmarkStart w:id="3510" w:name="syntax-362"/>
    <w:p>
      <w:pPr>
        <w:pStyle w:val="Heading2"/>
      </w:pPr>
      <w:r>
        <w:t xml:space="preserve">Syntax</w:t>
      </w:r>
    </w:p>
    <w:p>
      <w:pPr>
        <w:pStyle w:val="SourceCode"/>
      </w:pPr>
      <w:r>
        <w:rPr>
          <w:rStyle w:val="NormalTok"/>
        </w:rPr>
        <w:t xml:space="preserve">result = obj.SaveJPG(path, quality)</w:t>
      </w:r>
    </w:p>
    <w:bookmarkEnd w:id="3510"/>
    <w:bookmarkStart w:id="3511" w:name="parameters-221"/>
    <w:p>
      <w:pPr>
        <w:pStyle w:val="Heading2"/>
      </w:pPr>
      <w:r>
        <w:t xml:space="preserve">Parameters</w:t>
      </w:r>
    </w:p>
    <w:p>
      <w:pPr>
        <w:pStyle w:val="Compact"/>
        <w:numPr>
          <w:ilvl w:val="0"/>
          <w:numId w:val="1886"/>
        </w:numPr>
      </w:pPr>
      <w:r>
        <w:rPr>
          <w:b/>
          <w:bCs/>
        </w:rPr>
        <w:t xml:space="preserve">path</w:t>
      </w:r>
      <w:r>
        <w:t xml:space="preserve"> </w:t>
      </w:r>
      <w:r>
        <w:t xml:space="preserve">(String): The file path where the JPEG will be saved.</w:t>
      </w:r>
    </w:p>
    <w:p>
      <w:pPr>
        <w:pStyle w:val="Compact"/>
        <w:numPr>
          <w:ilvl w:val="0"/>
          <w:numId w:val="1886"/>
        </w:numPr>
      </w:pPr>
      <w:r>
        <w:rPr>
          <w:b/>
          <w:bCs/>
        </w:rPr>
        <w:t xml:space="preserve">quality</w:t>
      </w:r>
      <w:r>
        <w:t xml:space="preserve"> </w:t>
      </w:r>
      <w:r>
        <w:t xml:space="preserve">(Integer): The quality level (1-100) for the JPEG compression.</w:t>
      </w:r>
    </w:p>
    <w:bookmarkEnd w:id="3511"/>
    <w:bookmarkStart w:id="3512" w:name="return-values-88"/>
    <w:p>
      <w:pPr>
        <w:pStyle w:val="Heading2"/>
      </w:pPr>
      <w:r>
        <w:t xml:space="preserve">Return Values</w:t>
      </w:r>
    </w:p>
    <w:p>
      <w:pPr>
        <w:pStyle w:val="FirstParagraph"/>
      </w:pPr>
      <w:r>
        <w:t xml:space="preserve">Returns a Boolean indicating whether the file was successfully saved.</w:t>
      </w:r>
    </w:p>
    <w:bookmarkEnd w:id="3512"/>
    <w:bookmarkStart w:id="3513" w:name="remarks-338"/>
    <w:p>
      <w:pPr>
        <w:pStyle w:val="Heading2"/>
      </w:pPr>
      <w:r>
        <w:t xml:space="preserve">Remarks</w:t>
      </w:r>
    </w:p>
    <w:p>
      <w:pPr>
        <w:pStyle w:val="Compact"/>
        <w:numPr>
          <w:ilvl w:val="0"/>
          <w:numId w:val="1887"/>
        </w:numPr>
      </w:pPr>
      <w:r>
        <w:t xml:space="preserve">Ensure that the application has write permissions for the target directory.</w:t>
      </w:r>
    </w:p>
    <w:p>
      <w:pPr>
        <w:pStyle w:val="Compact"/>
        <w:numPr>
          <w:ilvl w:val="0"/>
          <w:numId w:val="1887"/>
        </w:numPr>
      </w:pPr>
      <w:r>
        <w:t xml:space="preserve">The path is resolved relative to the web root if possible.</w:t>
      </w:r>
    </w:p>
    <w:bookmarkEnd w:id="3513"/>
    <w:bookmarkStart w:id="3514" w:name="code-example-15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200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img.DrawCircle </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DecValTok"/>
        </w:rPr>
        <w:t xml:space="preserve">50</w:t>
      </w:r>
      <w:r>
        <w:br/>
      </w:r>
      <w:r>
        <w:rPr>
          <w:rStyle w:val="NormalTok"/>
        </w:rPr>
        <w:t xml:space="preserve">    img.Stroke</w:t>
      </w:r>
      <w:r>
        <w:rPr>
          <w:rStyle w:val="OtherTok"/>
        </w:rPr>
        <w:t xml:space="preserve">()</w:t>
      </w:r>
      <w:r>
        <w:br/>
      </w:r>
      <w:r>
        <w:rPr>
          <w:rStyle w:val="NormalTok"/>
        </w:rPr>
        <w:t xml:space="preserve">    img.SaveJPG </w:t>
      </w:r>
      <w:r>
        <w:rPr>
          <w:rStyle w:val="StringTok"/>
        </w:rPr>
        <w:t xml:space="preserve">"output.jpg"</w:t>
      </w:r>
      <w:r>
        <w:rPr>
          <w:rStyle w:val="OtherTok"/>
        </w:rPr>
        <w:t xml:space="preserve">,</w:t>
      </w:r>
      <w:r>
        <w:rPr>
          <w:rStyle w:val="NormalTok"/>
        </w:rPr>
        <w:t xml:space="preserve"> </w:t>
      </w:r>
      <w:r>
        <w:rPr>
          <w:rStyle w:val="DecValTok"/>
        </w:rPr>
        <w:t xml:space="preserve">85</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14"/>
    <w:bookmarkEnd w:id="3515"/>
    <w:bookmarkStart w:id="3522" w:name="savepng-method"/>
    <w:p>
      <w:pPr>
        <w:pStyle w:val="Heading1"/>
      </w:pPr>
      <w:r>
        <w:t xml:space="preserve">SavePNG Method</w:t>
      </w:r>
    </w:p>
    <w:bookmarkStart w:id="3516" w:name="overview-364"/>
    <w:p>
      <w:pPr>
        <w:pStyle w:val="Heading2"/>
      </w:pPr>
      <w:r>
        <w:t xml:space="preserve">Overview</w:t>
      </w:r>
    </w:p>
    <w:p>
      <w:pPr>
        <w:pStyle w:val="FirstParagraph"/>
      </w:pPr>
      <w:r>
        <w:t xml:space="preserve">Saves the current context as a PNG file to the specified path in the G3Pix AxonASP G3IMAGE library.</w:t>
      </w:r>
    </w:p>
    <w:bookmarkEnd w:id="3516"/>
    <w:bookmarkStart w:id="3517" w:name="syntax-363"/>
    <w:p>
      <w:pPr>
        <w:pStyle w:val="Heading2"/>
      </w:pPr>
      <w:r>
        <w:t xml:space="preserve">Syntax</w:t>
      </w:r>
    </w:p>
    <w:p>
      <w:pPr>
        <w:pStyle w:val="SourceCode"/>
      </w:pPr>
      <w:r>
        <w:rPr>
          <w:rStyle w:val="NormalTok"/>
        </w:rPr>
        <w:t xml:space="preserve">result = obj.SavePNG(path)</w:t>
      </w:r>
    </w:p>
    <w:bookmarkEnd w:id="3517"/>
    <w:bookmarkStart w:id="3518" w:name="parameters-222"/>
    <w:p>
      <w:pPr>
        <w:pStyle w:val="Heading2"/>
      </w:pPr>
      <w:r>
        <w:t xml:space="preserve">Parameters</w:t>
      </w:r>
    </w:p>
    <w:p>
      <w:pPr>
        <w:pStyle w:val="Compact"/>
        <w:numPr>
          <w:ilvl w:val="0"/>
          <w:numId w:val="1888"/>
        </w:numPr>
      </w:pPr>
      <w:r>
        <w:rPr>
          <w:b/>
          <w:bCs/>
        </w:rPr>
        <w:t xml:space="preserve">path</w:t>
      </w:r>
      <w:r>
        <w:t xml:space="preserve"> </w:t>
      </w:r>
      <w:r>
        <w:t xml:space="preserve">(String): The file path where the PNG will be saved.</w:t>
      </w:r>
    </w:p>
    <w:bookmarkEnd w:id="3518"/>
    <w:bookmarkStart w:id="3519" w:name="return-values-89"/>
    <w:p>
      <w:pPr>
        <w:pStyle w:val="Heading2"/>
      </w:pPr>
      <w:r>
        <w:t xml:space="preserve">Return Values</w:t>
      </w:r>
    </w:p>
    <w:p>
      <w:pPr>
        <w:pStyle w:val="FirstParagraph"/>
      </w:pPr>
      <w:r>
        <w:t xml:space="preserve">Returns a Boolean indicating whether the file was successfully saved.</w:t>
      </w:r>
    </w:p>
    <w:bookmarkEnd w:id="3519"/>
    <w:bookmarkStart w:id="3520" w:name="remarks-339"/>
    <w:p>
      <w:pPr>
        <w:pStyle w:val="Heading2"/>
      </w:pPr>
      <w:r>
        <w:t xml:space="preserve">Remarks</w:t>
      </w:r>
    </w:p>
    <w:p>
      <w:pPr>
        <w:pStyle w:val="Compact"/>
        <w:numPr>
          <w:ilvl w:val="0"/>
          <w:numId w:val="1889"/>
        </w:numPr>
      </w:pPr>
      <w:r>
        <w:t xml:space="preserve">Ensure that the application has write permissions for the target directory.</w:t>
      </w:r>
    </w:p>
    <w:p>
      <w:pPr>
        <w:pStyle w:val="Compact"/>
        <w:numPr>
          <w:ilvl w:val="0"/>
          <w:numId w:val="1889"/>
        </w:numPr>
      </w:pPr>
      <w:r>
        <w:t xml:space="preserve">The path is resolved relative to the web root if possible.</w:t>
      </w:r>
    </w:p>
    <w:bookmarkEnd w:id="3520"/>
    <w:bookmarkStart w:id="3521" w:name="code-example-16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200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img.DrawRectangle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DecValTok"/>
        </w:rPr>
        <w:t xml:space="preserve">200</w:t>
      </w:r>
      <w:r>
        <w:br/>
      </w:r>
      <w:r>
        <w:rPr>
          <w:rStyle w:val="NormalTok"/>
        </w:rPr>
        <w:t xml:space="preserve">    img.Fill</w:t>
      </w:r>
      <w:r>
        <w:rPr>
          <w:rStyle w:val="OtherTok"/>
        </w:rPr>
        <w:t xml:space="preserve">()</w:t>
      </w:r>
      <w:r>
        <w:br/>
      </w:r>
      <w:r>
        <w:rPr>
          <w:rStyle w:val="NormalTok"/>
        </w:rPr>
        <w:t xml:space="preserve">    img.SavePNG </w:t>
      </w:r>
      <w:r>
        <w:rPr>
          <w:rStyle w:val="StringTok"/>
        </w:rPr>
        <w:t xml:space="preserve">"output.png"</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21"/>
    <w:bookmarkEnd w:id="3522"/>
    <w:bookmarkStart w:id="3528" w:name="sendbinary-method"/>
    <w:p>
      <w:pPr>
        <w:pStyle w:val="Heading1"/>
      </w:pPr>
      <w:r>
        <w:t xml:space="preserve">SendBinary Method</w:t>
      </w:r>
    </w:p>
    <w:bookmarkStart w:id="3523" w:name="overview-365"/>
    <w:p>
      <w:pPr>
        <w:pStyle w:val="Heading2"/>
      </w:pPr>
      <w:r>
        <w:t xml:space="preserve">Overview</w:t>
      </w:r>
    </w:p>
    <w:p>
      <w:pPr>
        <w:pStyle w:val="FirstParagraph"/>
      </w:pPr>
      <w:r>
        <w:t xml:space="preserve">Returns the image as a binary byte array. This method is part of the</w:t>
      </w:r>
      <w:r>
        <w:t xml:space="preserve"> </w:t>
      </w:r>
      <w:r>
        <w:rPr>
          <w:rStyle w:val="VerbatimChar"/>
        </w:rPr>
        <w:t xml:space="preserve">Persits.Jpeg</w:t>
      </w:r>
      <w:r>
        <w:t xml:space="preserve"> </w:t>
      </w:r>
      <w:r>
        <w:t xml:space="preserve">compatibility layer of the G3Pix AxonASP G3IMAGE library.</w:t>
      </w:r>
    </w:p>
    <w:bookmarkEnd w:id="3523"/>
    <w:bookmarkStart w:id="3524" w:name="syntax-364"/>
    <w:p>
      <w:pPr>
        <w:pStyle w:val="Heading2"/>
      </w:pPr>
      <w:r>
        <w:t xml:space="preserve">Syntax</w:t>
      </w:r>
    </w:p>
    <w:p>
      <w:pPr>
        <w:pStyle w:val="SourceCode"/>
      </w:pPr>
      <w:r>
        <w:rPr>
          <w:rStyle w:val="NormalTok"/>
        </w:rPr>
        <w:t xml:space="preserve">bytes = obj.SendBinary()</w:t>
      </w:r>
    </w:p>
    <w:bookmarkEnd w:id="3524"/>
    <w:bookmarkStart w:id="3525" w:name="return-values-90"/>
    <w:p>
      <w:pPr>
        <w:pStyle w:val="Heading2"/>
      </w:pPr>
      <w:r>
        <w:t xml:space="preserve">Return Values</w:t>
      </w:r>
    </w:p>
    <w:p>
      <w:pPr>
        <w:pStyle w:val="FirstParagraph"/>
      </w:pPr>
      <w:r>
        <w:t xml:space="preserve">Returns a one-dimensional array of bytes (VTArray/VTUI1) representing the image.</w:t>
      </w:r>
    </w:p>
    <w:bookmarkEnd w:id="3525"/>
    <w:bookmarkStart w:id="3526" w:name="remarks-340"/>
    <w:p>
      <w:pPr>
        <w:pStyle w:val="Heading2"/>
      </w:pPr>
      <w:r>
        <w:t xml:space="preserve">Remarks</w:t>
      </w:r>
    </w:p>
    <w:p>
      <w:pPr>
        <w:pStyle w:val="Compact"/>
        <w:numPr>
          <w:ilvl w:val="0"/>
          <w:numId w:val="1890"/>
        </w:numPr>
      </w:pPr>
      <w:r>
        <w:t xml:space="preserve">The returned byte array can be passed directly to</w:t>
      </w:r>
      <w:r>
        <w:t xml:space="preserve"> </w:t>
      </w:r>
      <w:r>
        <w:rPr>
          <w:rStyle w:val="VerbatimChar"/>
        </w:rPr>
        <w:t xml:space="preserve">Response.BinaryWrite</w:t>
      </w:r>
      <w:r>
        <w:t xml:space="preserve"> </w:t>
      </w:r>
      <w:r>
        <w:t xml:space="preserve">to stream the image without saving it to disk.</w:t>
      </w:r>
    </w:p>
    <w:bookmarkEnd w:id="3526"/>
    <w:bookmarkStart w:id="3527" w:name="code-example-16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rPr>
          <w:rStyle w:val="OtherTok"/>
        </w:rPr>
        <w:t xml:space="preserve">,</w:t>
      </w:r>
      <w:r>
        <w:rPr>
          <w:rStyle w:val="NormalTok"/>
        </w:rPr>
        <w:t xml:space="preserve"> bytes</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NormalTok"/>
        </w:rPr>
        <w:t xml:space="preserve">jpeg.Width = </w:t>
      </w:r>
      <w:r>
        <w:rPr>
          <w:rStyle w:val="DecValTok"/>
        </w:rPr>
        <w:t xml:space="preserve">200</w:t>
      </w:r>
      <w:r>
        <w:br/>
      </w:r>
      <w:r>
        <w:rPr>
          <w:rStyle w:val="NormalTok"/>
        </w:rPr>
        <w:t xml:space="preserve">jpeg.Height = </w:t>
      </w:r>
      <w:r>
        <w:rPr>
          <w:rStyle w:val="DecValTok"/>
        </w:rPr>
        <w:t xml:space="preserve">150</w:t>
      </w:r>
      <w:r>
        <w:br/>
      </w:r>
      <w:r>
        <w:rPr>
          <w:rStyle w:val="NormalTok"/>
        </w:rPr>
        <w:t xml:space="preserve">bytes = jpeg.SendBinary</w:t>
      </w:r>
      <w:r>
        <w:rPr>
          <w:rStyle w:val="OtherTok"/>
        </w:rPr>
        <w:t xml:space="preserve">()</w:t>
      </w:r>
      <w:r>
        <w:br/>
      </w:r>
      <w:r>
        <w:rPr>
          <w:rStyle w:val="FunctionTok"/>
        </w:rPr>
        <w:t xml:space="preserve">Response</w:t>
      </w:r>
      <w:r>
        <w:rPr>
          <w:rStyle w:val="NormalTok"/>
        </w:rPr>
        <w:t xml:space="preserve">.ContentType = </w:t>
      </w:r>
      <w:r>
        <w:rPr>
          <w:rStyle w:val="StringTok"/>
        </w:rPr>
        <w:t xml:space="preserve">"image/jpeg"</w:t>
      </w:r>
      <w:r>
        <w:br/>
      </w:r>
      <w:r>
        <w:rPr>
          <w:rStyle w:val="FunctionTok"/>
        </w:rPr>
        <w:t xml:space="preserve">Response</w:t>
      </w:r>
      <w:r>
        <w:rPr>
          <w:rStyle w:val="NormalTok"/>
        </w:rPr>
        <w:t xml:space="preserve">.BinaryWrite bytes</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527"/>
    <w:bookmarkEnd w:id="3528"/>
    <w:bookmarkStart w:id="3535" w:name="setcolor-method"/>
    <w:p>
      <w:pPr>
        <w:pStyle w:val="Heading1"/>
      </w:pPr>
      <w:r>
        <w:t xml:space="preserve">SetColor Method</w:t>
      </w:r>
    </w:p>
    <w:bookmarkStart w:id="3529" w:name="overview-366"/>
    <w:p>
      <w:pPr>
        <w:pStyle w:val="Heading2"/>
      </w:pPr>
      <w:r>
        <w:t xml:space="preserve">Overview</w:t>
      </w:r>
    </w:p>
    <w:p>
      <w:pPr>
        <w:pStyle w:val="FirstParagraph"/>
      </w:pPr>
      <w:r>
        <w:t xml:space="preserve">Sets the active color for drawing and filling operations using an RGB or RGBA string in the G3Pix AxonASP G3IMAGE library.</w:t>
      </w:r>
    </w:p>
    <w:bookmarkEnd w:id="3529"/>
    <w:bookmarkStart w:id="3530" w:name="syntax-365"/>
    <w:p>
      <w:pPr>
        <w:pStyle w:val="Heading2"/>
      </w:pPr>
      <w:r>
        <w:t xml:space="preserve">Syntax</w:t>
      </w:r>
    </w:p>
    <w:p>
      <w:pPr>
        <w:pStyle w:val="SourceCode"/>
      </w:pPr>
      <w:r>
        <w:rPr>
          <w:rStyle w:val="NormalTok"/>
        </w:rPr>
        <w:t xml:space="preserve">obj.SetColor(rgb_string)</w:t>
      </w:r>
    </w:p>
    <w:bookmarkEnd w:id="3530"/>
    <w:bookmarkStart w:id="3531" w:name="parameters-223"/>
    <w:p>
      <w:pPr>
        <w:pStyle w:val="Heading2"/>
      </w:pPr>
      <w:r>
        <w:t xml:space="preserve">Parameters</w:t>
      </w:r>
    </w:p>
    <w:p>
      <w:pPr>
        <w:pStyle w:val="Compact"/>
        <w:numPr>
          <w:ilvl w:val="0"/>
          <w:numId w:val="1891"/>
        </w:numPr>
      </w:pPr>
      <w:r>
        <w:rPr>
          <w:b/>
          <w:bCs/>
        </w:rPr>
        <w:t xml:space="preserve">rgb_string</w:t>
      </w:r>
      <w:r>
        <w:t xml:space="preserve"> </w:t>
      </w:r>
      <w:r>
        <w:t xml:space="preserve">(String): A comma-separated string of color values (e.g.,</w:t>
      </w:r>
      <w:r>
        <w:t xml:space="preserve"> </w:t>
      </w:r>
      <w:r>
        <w:t xml:space="preserve">“255,0,0”</w:t>
      </w:r>
      <w:r>
        <w:t xml:space="preserve"> </w:t>
      </w:r>
      <w:r>
        <w:t xml:space="preserve">for red or</w:t>
      </w:r>
      <w:r>
        <w:t xml:space="preserve"> </w:t>
      </w:r>
      <w:r>
        <w:t xml:space="preserve">“0,0,255,128”</w:t>
      </w:r>
      <w:r>
        <w:t xml:space="preserve"> </w:t>
      </w:r>
      <w:r>
        <w:t xml:space="preserve">for semi-transparent blue).</w:t>
      </w:r>
    </w:p>
    <w:bookmarkEnd w:id="3531"/>
    <w:bookmarkStart w:id="3532" w:name="return-values-91"/>
    <w:p>
      <w:pPr>
        <w:pStyle w:val="Heading2"/>
      </w:pPr>
      <w:r>
        <w:t xml:space="preserve">Return Values</w:t>
      </w:r>
    </w:p>
    <w:p>
      <w:pPr>
        <w:pStyle w:val="FirstParagraph"/>
      </w:pPr>
      <w:r>
        <w:t xml:space="preserve">Returns Empty upon completion.</w:t>
      </w:r>
    </w:p>
    <w:bookmarkEnd w:id="3532"/>
    <w:bookmarkStart w:id="3533" w:name="remarks-341"/>
    <w:p>
      <w:pPr>
        <w:pStyle w:val="Heading2"/>
      </w:pPr>
      <w:r>
        <w:t xml:space="preserve">Remarks</w:t>
      </w:r>
    </w:p>
    <w:p>
      <w:pPr>
        <w:pStyle w:val="Compact"/>
        <w:numPr>
          <w:ilvl w:val="0"/>
          <w:numId w:val="1892"/>
        </w:numPr>
      </w:pPr>
      <w:r>
        <w:t xml:space="preserve">Color values should be between 0 and 255.</w:t>
      </w:r>
    </w:p>
    <w:p>
      <w:pPr>
        <w:pStyle w:val="Compact"/>
        <w:numPr>
          <w:ilvl w:val="0"/>
          <w:numId w:val="1892"/>
        </w:numPr>
      </w:pPr>
      <w:r>
        <w:t xml:space="preserve">If four values are provided, the last value is the alpha (transparency) channel.</w:t>
      </w:r>
    </w:p>
    <w:bookmarkEnd w:id="3533"/>
    <w:bookmarkStart w:id="3534" w:name="code-example-16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Set to red</w:t>
      </w:r>
      <w:r>
        <w:br/>
      </w:r>
      <w:r>
        <w:rPr>
          <w:rStyle w:val="NormalTok"/>
        </w:rPr>
        <w:t xml:space="preserve">    img.SetColor </w:t>
      </w:r>
      <w:r>
        <w:rPr>
          <w:rStyle w:val="StringTok"/>
        </w:rPr>
        <w:t xml:space="preserve">"255,0,0"</w:t>
      </w:r>
      <w:r>
        <w:br/>
      </w:r>
      <w:r>
        <w:rPr>
          <w:rStyle w:val="NormalTok"/>
        </w:rPr>
        <w:t xml:space="preserve">    img.DrawCircle </w:t>
      </w:r>
      <w:r>
        <w:rPr>
          <w:rStyle w:val="DecValTok"/>
        </w:rPr>
        <w:t xml:space="preserve">50</w:t>
      </w:r>
      <w:r>
        <w:rPr>
          <w:rStyle w:val="OtherTok"/>
        </w:rPr>
        <w:t xml:space="preserve">,</w:t>
      </w:r>
      <w:r>
        <w:rPr>
          <w:rStyle w:val="NormalTok"/>
        </w:rPr>
        <w:t xml:space="preserve"> </w:t>
      </w:r>
      <w:r>
        <w:rPr>
          <w:rStyle w:val="DecValTok"/>
        </w:rPr>
        <w:t xml:space="preserve">50</w:t>
      </w:r>
      <w:r>
        <w:rPr>
          <w:rStyle w:val="OtherTok"/>
        </w:rPr>
        <w:t xml:space="preserve">,</w:t>
      </w:r>
      <w:r>
        <w:rPr>
          <w:rStyle w:val="NormalTok"/>
        </w:rPr>
        <w:t xml:space="preserve"> </w:t>
      </w:r>
      <w:r>
        <w:rPr>
          <w:rStyle w:val="DecValTok"/>
        </w:rPr>
        <w:t xml:space="preserve">40</w:t>
      </w:r>
      <w:r>
        <w:br/>
      </w:r>
      <w:r>
        <w:rPr>
          <w:rStyle w:val="NormalTok"/>
        </w:rPr>
        <w:t xml:space="preserve">    img.Fill</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34"/>
    <w:bookmarkEnd w:id="3535"/>
    <w:bookmarkStart w:id="3542" w:name="sethexcolor-method"/>
    <w:p>
      <w:pPr>
        <w:pStyle w:val="Heading1"/>
      </w:pPr>
      <w:r>
        <w:t xml:space="preserve">SetHexColor Method</w:t>
      </w:r>
    </w:p>
    <w:bookmarkStart w:id="3536" w:name="overview-367"/>
    <w:p>
      <w:pPr>
        <w:pStyle w:val="Heading2"/>
      </w:pPr>
      <w:r>
        <w:t xml:space="preserve">Overview</w:t>
      </w:r>
    </w:p>
    <w:p>
      <w:pPr>
        <w:pStyle w:val="FirstParagraph"/>
      </w:pPr>
      <w:r>
        <w:t xml:space="preserve">Sets the active color for drawing and filling operations using a hexadecimal string in the G3Pix AxonASP G3IMAGE library.</w:t>
      </w:r>
    </w:p>
    <w:bookmarkEnd w:id="3536"/>
    <w:bookmarkStart w:id="3537" w:name="syntax-366"/>
    <w:p>
      <w:pPr>
        <w:pStyle w:val="Heading2"/>
      </w:pPr>
      <w:r>
        <w:t xml:space="preserve">Syntax</w:t>
      </w:r>
    </w:p>
    <w:p>
      <w:pPr>
        <w:pStyle w:val="SourceCode"/>
      </w:pPr>
      <w:r>
        <w:rPr>
          <w:rStyle w:val="NormalTok"/>
        </w:rPr>
        <w:t xml:space="preserve">obj.SetHexColor(hex_string)</w:t>
      </w:r>
    </w:p>
    <w:bookmarkEnd w:id="3537"/>
    <w:bookmarkStart w:id="3538" w:name="parameters-224"/>
    <w:p>
      <w:pPr>
        <w:pStyle w:val="Heading2"/>
      </w:pPr>
      <w:r>
        <w:t xml:space="preserve">Parameters</w:t>
      </w:r>
    </w:p>
    <w:p>
      <w:pPr>
        <w:pStyle w:val="Compact"/>
        <w:numPr>
          <w:ilvl w:val="0"/>
          <w:numId w:val="1893"/>
        </w:numPr>
      </w:pPr>
      <w:r>
        <w:rPr>
          <w:b/>
          <w:bCs/>
        </w:rPr>
        <w:t xml:space="preserve">hex_string</w:t>
      </w:r>
      <w:r>
        <w:t xml:space="preserve"> </w:t>
      </w:r>
      <w:r>
        <w:t xml:space="preserve">(String): A hexadecimal color string (e.g.,</w:t>
      </w:r>
      <w:r>
        <w:t xml:space="preserve"> </w:t>
      </w:r>
      <w:r>
        <w:t xml:space="preserve">“#FF0000”</w:t>
      </w:r>
      <w:r>
        <w:t xml:space="preserve"> </w:t>
      </w:r>
      <w:r>
        <w:t xml:space="preserve">or</w:t>
      </w:r>
      <w:r>
        <w:t xml:space="preserve"> </w:t>
      </w:r>
      <w:r>
        <w:t xml:space="preserve">“00FF00”</w:t>
      </w:r>
      <w:r>
        <w:t xml:space="preserve">). The</w:t>
      </w:r>
      <w:r>
        <w:t xml:space="preserve"> </w:t>
      </w:r>
      <w:r>
        <w:t xml:space="preserve">“#”</w:t>
      </w:r>
      <w:r>
        <w:t xml:space="preserve"> </w:t>
      </w:r>
      <w:r>
        <w:t xml:space="preserve">prefix is optional.</w:t>
      </w:r>
    </w:p>
    <w:bookmarkEnd w:id="3538"/>
    <w:bookmarkStart w:id="3539" w:name="return-values-92"/>
    <w:p>
      <w:pPr>
        <w:pStyle w:val="Heading2"/>
      </w:pPr>
      <w:r>
        <w:t xml:space="preserve">Return Values</w:t>
      </w:r>
    </w:p>
    <w:p>
      <w:pPr>
        <w:pStyle w:val="FirstParagraph"/>
      </w:pPr>
      <w:r>
        <w:t xml:space="preserve">Returns Empty upon completion.</w:t>
      </w:r>
    </w:p>
    <w:bookmarkEnd w:id="3539"/>
    <w:bookmarkStart w:id="3540" w:name="remarks-342"/>
    <w:p>
      <w:pPr>
        <w:pStyle w:val="Heading2"/>
      </w:pPr>
      <w:r>
        <w:t xml:space="preserve">Remarks</w:t>
      </w:r>
    </w:p>
    <w:p>
      <w:pPr>
        <w:pStyle w:val="Compact"/>
        <w:numPr>
          <w:ilvl w:val="0"/>
          <w:numId w:val="1894"/>
        </w:numPr>
      </w:pPr>
      <w:r>
        <w:t xml:space="preserve">Supports 3, 4, 6, and 8 digit hex codes.</w:t>
      </w:r>
    </w:p>
    <w:p>
      <w:pPr>
        <w:pStyle w:val="Compact"/>
        <w:numPr>
          <w:ilvl w:val="0"/>
          <w:numId w:val="1894"/>
        </w:numPr>
      </w:pPr>
      <w:r>
        <w:t xml:space="preserve">4 and 8 digit codes include an alpha (transparency) channel.</w:t>
      </w:r>
    </w:p>
    <w:bookmarkEnd w:id="3540"/>
    <w:bookmarkStart w:id="3541" w:name="code-example-16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Set to blue</w:t>
      </w:r>
      <w:r>
        <w:br/>
      </w:r>
      <w:r>
        <w:rPr>
          <w:rStyle w:val="NormalTok"/>
        </w:rPr>
        <w:t xml:space="preserve">    img.SetHexColor </w:t>
      </w:r>
      <w:r>
        <w:rPr>
          <w:rStyle w:val="StringTok"/>
        </w:rPr>
        <w:t xml:space="preserve">"#0000FF"</w:t>
      </w:r>
      <w:r>
        <w:br/>
      </w:r>
      <w:r>
        <w:rPr>
          <w:rStyle w:val="NormalTok"/>
        </w:rPr>
        <w:t xml:space="preserve">    img.DrawRectangle </w:t>
      </w:r>
      <w:r>
        <w:rPr>
          <w:rStyle w:val="DecValTok"/>
        </w:rPr>
        <w:t xml:space="preserve">10</w:t>
      </w:r>
      <w:r>
        <w:rPr>
          <w:rStyle w:val="OtherTok"/>
        </w:rPr>
        <w:t xml:space="preserve">,</w:t>
      </w:r>
      <w:r>
        <w:rPr>
          <w:rStyle w:val="NormalTok"/>
        </w:rPr>
        <w:t xml:space="preserve"> </w:t>
      </w:r>
      <w:r>
        <w:rPr>
          <w:rStyle w:val="DecValTok"/>
        </w:rPr>
        <w:t xml:space="preserve">10</w:t>
      </w:r>
      <w:r>
        <w:rPr>
          <w:rStyle w:val="OtherTok"/>
        </w:rPr>
        <w:t xml:space="preserve">,</w:t>
      </w:r>
      <w:r>
        <w:rPr>
          <w:rStyle w:val="NormalTok"/>
        </w:rPr>
        <w:t xml:space="preserve"> </w:t>
      </w:r>
      <w:r>
        <w:rPr>
          <w:rStyle w:val="DecValTok"/>
        </w:rPr>
        <w:t xml:space="preserve">80</w:t>
      </w:r>
      <w:r>
        <w:rPr>
          <w:rStyle w:val="OtherTok"/>
        </w:rPr>
        <w:t xml:space="preserve">,</w:t>
      </w:r>
      <w:r>
        <w:rPr>
          <w:rStyle w:val="NormalTok"/>
        </w:rPr>
        <w:t xml:space="preserve"> </w:t>
      </w:r>
      <w:r>
        <w:rPr>
          <w:rStyle w:val="DecValTok"/>
        </w:rPr>
        <w:t xml:space="preserve">80</w:t>
      </w:r>
      <w:r>
        <w:br/>
      </w:r>
      <w:r>
        <w:rPr>
          <w:rStyle w:val="NormalTok"/>
        </w:rPr>
        <w:t xml:space="preserve">    img.Stroke</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41"/>
    <w:bookmarkEnd w:id="3542"/>
    <w:bookmarkStart w:id="3549" w:name="setlinewidth-method"/>
    <w:p>
      <w:pPr>
        <w:pStyle w:val="Heading1"/>
      </w:pPr>
      <w:r>
        <w:t xml:space="preserve">SetLineWidth Method</w:t>
      </w:r>
    </w:p>
    <w:bookmarkStart w:id="3543" w:name="overview-368"/>
    <w:p>
      <w:pPr>
        <w:pStyle w:val="Heading2"/>
      </w:pPr>
      <w:r>
        <w:t xml:space="preserve">Overview</w:t>
      </w:r>
    </w:p>
    <w:p>
      <w:pPr>
        <w:pStyle w:val="FirstParagraph"/>
      </w:pPr>
      <w:r>
        <w:t xml:space="preserve">Sets the width of the line for subsequent stroke operations in the G3Pix AxonASP G3IMAGE library.</w:t>
      </w:r>
    </w:p>
    <w:bookmarkEnd w:id="3543"/>
    <w:bookmarkStart w:id="3544" w:name="syntax-367"/>
    <w:p>
      <w:pPr>
        <w:pStyle w:val="Heading2"/>
      </w:pPr>
      <w:r>
        <w:t xml:space="preserve">Syntax</w:t>
      </w:r>
    </w:p>
    <w:p>
      <w:pPr>
        <w:pStyle w:val="SourceCode"/>
      </w:pPr>
      <w:r>
        <w:rPr>
          <w:rStyle w:val="NormalTok"/>
        </w:rPr>
        <w:t xml:space="preserve">obj.SetLineWidth(width)</w:t>
      </w:r>
    </w:p>
    <w:bookmarkEnd w:id="3544"/>
    <w:bookmarkStart w:id="3545" w:name="parameters-225"/>
    <w:p>
      <w:pPr>
        <w:pStyle w:val="Heading2"/>
      </w:pPr>
      <w:r>
        <w:t xml:space="preserve">Parameters</w:t>
      </w:r>
    </w:p>
    <w:p>
      <w:pPr>
        <w:pStyle w:val="Compact"/>
        <w:numPr>
          <w:ilvl w:val="0"/>
          <w:numId w:val="1895"/>
        </w:numPr>
      </w:pPr>
      <w:r>
        <w:rPr>
          <w:b/>
          <w:bCs/>
        </w:rPr>
        <w:t xml:space="preserve">width</w:t>
      </w:r>
      <w:r>
        <w:t xml:space="preserve"> </w:t>
      </w:r>
      <w:r>
        <w:t xml:space="preserve">(Double): The thickness of the line in pixels.</w:t>
      </w:r>
    </w:p>
    <w:bookmarkEnd w:id="3545"/>
    <w:bookmarkStart w:id="3546" w:name="return-values-93"/>
    <w:p>
      <w:pPr>
        <w:pStyle w:val="Heading2"/>
      </w:pPr>
      <w:r>
        <w:t xml:space="preserve">Return Values</w:t>
      </w:r>
    </w:p>
    <w:p>
      <w:pPr>
        <w:pStyle w:val="FirstParagraph"/>
      </w:pPr>
      <w:r>
        <w:t xml:space="preserve">Returns Empty upon completion.</w:t>
      </w:r>
    </w:p>
    <w:bookmarkEnd w:id="3546"/>
    <w:bookmarkStart w:id="3547" w:name="remarks-343"/>
    <w:p>
      <w:pPr>
        <w:pStyle w:val="Heading2"/>
      </w:pPr>
      <w:r>
        <w:t xml:space="preserve">Remarks</w:t>
      </w:r>
    </w:p>
    <w:p>
      <w:pPr>
        <w:pStyle w:val="Compact"/>
        <w:numPr>
          <w:ilvl w:val="0"/>
          <w:numId w:val="1896"/>
        </w:numPr>
      </w:pPr>
      <w:r>
        <w:t xml:space="preserve">This setting affects all future Stroke calls until it is changed again.</w:t>
      </w:r>
    </w:p>
    <w:bookmarkEnd w:id="3547"/>
    <w:bookmarkStart w:id="3548" w:name="code-example-16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ControlFlowTok"/>
        </w:rPr>
        <w:t xml:space="preserve">Then</w:t>
      </w:r>
      <w:r>
        <w:br/>
      </w:r>
      <w:r>
        <w:rPr>
          <w:rStyle w:val="NormalTok"/>
        </w:rPr>
        <w:t xml:space="preserve">    img.SetLineWidth </w:t>
      </w:r>
      <w:r>
        <w:rPr>
          <w:rStyle w:val="FloatTok"/>
        </w:rPr>
        <w:t xml:space="preserve">5.5</w:t>
      </w:r>
      <w:r>
        <w:br/>
      </w:r>
      <w:r>
        <w:rPr>
          <w:rStyle w:val="NormalTok"/>
        </w:rPr>
        <w:t xml:space="preserve">    img.DrawLine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DecValTok"/>
        </w:rPr>
        <w:t xml:space="preserve">100</w:t>
      </w:r>
      <w:r>
        <w:br/>
      </w:r>
      <w:r>
        <w:rPr>
          <w:rStyle w:val="NormalTok"/>
        </w:rPr>
        <w:t xml:space="preserve">    img.Stroke</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48"/>
    <w:bookmarkEnd w:id="3549"/>
    <w:bookmarkStart w:id="3555" w:name="sharpen-method"/>
    <w:p>
      <w:pPr>
        <w:pStyle w:val="Heading1"/>
      </w:pPr>
      <w:r>
        <w:t xml:space="preserve">Sharpen Method</w:t>
      </w:r>
    </w:p>
    <w:bookmarkStart w:id="3550" w:name="overview-369"/>
    <w:p>
      <w:pPr>
        <w:pStyle w:val="Heading2"/>
      </w:pPr>
      <w:r>
        <w:t xml:space="preserve">Overview</w:t>
      </w:r>
    </w:p>
    <w:p>
      <w:pPr>
        <w:pStyle w:val="FirstParagraph"/>
      </w:pPr>
      <w:r>
        <w:t xml:space="preserve">Applies a sharpening filter to the image. This method is part of the</w:t>
      </w:r>
      <w:r>
        <w:t xml:space="preserve"> </w:t>
      </w:r>
      <w:r>
        <w:rPr>
          <w:rStyle w:val="VerbatimChar"/>
        </w:rPr>
        <w:t xml:space="preserve">Persits.Jpeg</w:t>
      </w:r>
      <w:r>
        <w:t xml:space="preserve"> </w:t>
      </w:r>
      <w:r>
        <w:t xml:space="preserve">compatibility layer of the G3Pix AxonASP G3IMAGE library.</w:t>
      </w:r>
    </w:p>
    <w:bookmarkEnd w:id="3550"/>
    <w:bookmarkStart w:id="3551" w:name="syntax-368"/>
    <w:p>
      <w:pPr>
        <w:pStyle w:val="Heading2"/>
      </w:pPr>
      <w:r>
        <w:t xml:space="preserve">Syntax</w:t>
      </w:r>
    </w:p>
    <w:p>
      <w:pPr>
        <w:pStyle w:val="SourceCode"/>
      </w:pPr>
      <w:r>
        <w:rPr>
          <w:rStyle w:val="NormalTok"/>
        </w:rPr>
        <w:t xml:space="preserve">obj.Sharpen(Radius, Amount)</w:t>
      </w:r>
    </w:p>
    <w:bookmarkEnd w:id="3551"/>
    <w:bookmarkStart w:id="3552" w:name="parameters-226"/>
    <w:p>
      <w:pPr>
        <w:pStyle w:val="Heading2"/>
      </w:pPr>
      <w:r>
        <w:t xml:space="preserve">Parameters</w:t>
      </w:r>
    </w:p>
    <w:p>
      <w:pPr>
        <w:pStyle w:val="Compact"/>
        <w:numPr>
          <w:ilvl w:val="0"/>
          <w:numId w:val="1897"/>
        </w:numPr>
      </w:pPr>
      <w:r>
        <w:rPr>
          <w:rStyle w:val="VerbatimChar"/>
        </w:rPr>
        <w:t xml:space="preserve">Radius</w:t>
      </w:r>
      <w:r>
        <w:t xml:space="preserve">: Double value representing the radius of the sharpening kernel.</w:t>
      </w:r>
    </w:p>
    <w:p>
      <w:pPr>
        <w:pStyle w:val="Compact"/>
        <w:numPr>
          <w:ilvl w:val="0"/>
          <w:numId w:val="1897"/>
        </w:numPr>
      </w:pPr>
      <w:r>
        <w:rPr>
          <w:rStyle w:val="VerbatimChar"/>
        </w:rPr>
        <w:t xml:space="preserve">Amount</w:t>
      </w:r>
      <w:r>
        <w:t xml:space="preserve">: Double value representing the amount of sharpening (often expressed as percentage, e.g. 120 or 1.2).</w:t>
      </w:r>
    </w:p>
    <w:bookmarkEnd w:id="3552"/>
    <w:bookmarkStart w:id="3553" w:name="return-values-94"/>
    <w:p>
      <w:pPr>
        <w:pStyle w:val="Heading2"/>
      </w:pPr>
      <w:r>
        <w:t xml:space="preserve">Return Values</w:t>
      </w:r>
    </w:p>
    <w:p>
      <w:pPr>
        <w:pStyle w:val="FirstParagraph"/>
      </w:pPr>
      <w:r>
        <w:t xml:space="preserve">Returns Empty.</w:t>
      </w:r>
    </w:p>
    <w:bookmarkEnd w:id="3553"/>
    <w:bookmarkStart w:id="3554" w:name="code-example-16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NormalTok"/>
        </w:rPr>
        <w:t xml:space="preserve">jpeg.Sharpen </w:t>
      </w:r>
      <w:r>
        <w:rPr>
          <w:rStyle w:val="FloatTok"/>
        </w:rPr>
        <w:t xml:space="preserve">1.5</w:t>
      </w:r>
      <w:r>
        <w:rPr>
          <w:rStyle w:val="OtherTok"/>
        </w:rPr>
        <w:t xml:space="preserve">,</w:t>
      </w:r>
      <w:r>
        <w:rPr>
          <w:rStyle w:val="NormalTok"/>
        </w:rPr>
        <w:t xml:space="preserve"> </w:t>
      </w:r>
      <w:r>
        <w:rPr>
          <w:rStyle w:val="DecValTok"/>
        </w:rPr>
        <w:t xml:space="preserve">120</w:t>
      </w:r>
      <w:r>
        <w:br/>
      </w:r>
      <w:r>
        <w:rPr>
          <w:rStyle w:val="NormalTok"/>
        </w:rPr>
        <w:t xml:space="preserve">jpeg.Save </w:t>
      </w:r>
      <w:r>
        <w:rPr>
          <w:rStyle w:val="FunctionTok"/>
        </w:rPr>
        <w:t xml:space="preserve">Server</w:t>
      </w:r>
      <w:r>
        <w:rPr>
          <w:rStyle w:val="NormalTok"/>
        </w:rPr>
        <w:t xml:space="preserve">.MapPath</w:t>
      </w:r>
      <w:r>
        <w:rPr>
          <w:rStyle w:val="OtherTok"/>
        </w:rPr>
        <w:t xml:space="preserve">(</w:t>
      </w:r>
      <w:r>
        <w:rPr>
          <w:rStyle w:val="StringTok"/>
        </w:rPr>
        <w:t xml:space="preserve">"sharp.jpg"</w:t>
      </w:r>
      <w:r>
        <w:rPr>
          <w:rStyle w:val="OtherTok"/>
        </w:rPr>
        <w:t xml:space="preserve">)</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554"/>
    <w:bookmarkEnd w:id="3555"/>
    <w:bookmarkStart w:id="3562" w:name="stroke-method"/>
    <w:p>
      <w:pPr>
        <w:pStyle w:val="Heading1"/>
      </w:pPr>
      <w:r>
        <w:t xml:space="preserve">Stroke Method</w:t>
      </w:r>
    </w:p>
    <w:bookmarkStart w:id="3556" w:name="overview-370"/>
    <w:p>
      <w:pPr>
        <w:pStyle w:val="Heading2"/>
      </w:pPr>
      <w:r>
        <w:t xml:space="preserve">Overview</w:t>
      </w:r>
    </w:p>
    <w:p>
      <w:pPr>
        <w:pStyle w:val="FirstParagraph"/>
      </w:pPr>
      <w:r>
        <w:t xml:space="preserve">Outlines the current path using the active color and line width in the G3Pix AxonASP G3IMAGE library.</w:t>
      </w:r>
    </w:p>
    <w:bookmarkEnd w:id="3556"/>
    <w:bookmarkStart w:id="3557" w:name="syntax-369"/>
    <w:p>
      <w:pPr>
        <w:pStyle w:val="Heading2"/>
      </w:pPr>
      <w:r>
        <w:t xml:space="preserve">Syntax</w:t>
      </w:r>
    </w:p>
    <w:p>
      <w:pPr>
        <w:pStyle w:val="SourceCode"/>
      </w:pPr>
      <w:r>
        <w:rPr>
          <w:rStyle w:val="NormalTok"/>
        </w:rPr>
        <w:t xml:space="preserve">obj.Stroke()</w:t>
      </w:r>
    </w:p>
    <w:bookmarkEnd w:id="3557"/>
    <w:bookmarkStart w:id="3558" w:name="return-values-95"/>
    <w:p>
      <w:pPr>
        <w:pStyle w:val="Heading2"/>
      </w:pPr>
      <w:r>
        <w:t xml:space="preserve">Return Values</w:t>
      </w:r>
    </w:p>
    <w:p>
      <w:pPr>
        <w:pStyle w:val="FirstParagraph"/>
      </w:pPr>
      <w:r>
        <w:t xml:space="preserve">Returns Empty upon completion.</w:t>
      </w:r>
    </w:p>
    <w:bookmarkEnd w:id="3558"/>
    <w:bookmarkStart w:id="3559" w:name="remarks-344"/>
    <w:p>
      <w:pPr>
        <w:pStyle w:val="Heading2"/>
      </w:pPr>
      <w:r>
        <w:t xml:space="preserve">Remarks</w:t>
      </w:r>
    </w:p>
    <w:p>
      <w:pPr>
        <w:pStyle w:val="Compact"/>
        <w:numPr>
          <w:ilvl w:val="0"/>
          <w:numId w:val="1898"/>
        </w:numPr>
      </w:pPr>
      <w:r>
        <w:t xml:space="preserve">Use SetColor or SetHexColor and SetLineWidth to define the appearance before calling this method.</w:t>
      </w:r>
    </w:p>
    <w:p>
      <w:pPr>
        <w:pStyle w:val="Compact"/>
        <w:numPr>
          <w:ilvl w:val="0"/>
          <w:numId w:val="1898"/>
        </w:numPr>
      </w:pPr>
      <w:r>
        <w:t xml:space="preserve">The path is cleared after the stroke operation. Use StrokePreserve if you need to keep the path.</w:t>
      </w:r>
    </w:p>
    <w:bookmarkEnd w:id="3559"/>
    <w:bookmarkStart w:id="3561" w:name="code-example-16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img.NewContext</w:t>
      </w:r>
      <w:r>
        <w:rPr>
          <w:rStyle w:val="OtherTok"/>
        </w:rPr>
        <w:t xml:space="preserve">(</w:t>
      </w:r>
      <w:r>
        <w:rPr>
          <w:rStyle w:val="DecValTok"/>
        </w:rPr>
        <w:t xml:space="preserve">200</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ControlFlowTok"/>
        </w:rPr>
        <w:t xml:space="preserve">Then</w:t>
      </w:r>
      <w:r>
        <w:br/>
      </w:r>
      <w:r>
        <w:rPr>
          <w:rStyle w:val="NormalTok"/>
        </w:rPr>
        <w:t xml:space="preserve">    img.SetHexColor</w:t>
      </w:r>
      <w:r>
        <w:rPr>
          <w:rStyle w:val="OtherTok"/>
        </w:rPr>
        <w:t xml:space="preserve">(</w:t>
      </w:r>
      <w:r>
        <w:rPr>
          <w:rStyle w:val="StringTok"/>
        </w:rPr>
        <w:t xml:space="preserve">"#000000"</w:t>
      </w:r>
      <w:r>
        <w:rPr>
          <w:rStyle w:val="OtherTok"/>
        </w:rPr>
        <w:t xml:space="preserve">)</w:t>
      </w:r>
      <w:r>
        <w:br/>
      </w:r>
      <w:r>
        <w:rPr>
          <w:rStyle w:val="NormalTok"/>
        </w:rPr>
        <w:t xml:space="preserve">    img.SetLineWidth </w:t>
      </w:r>
      <w:r>
        <w:rPr>
          <w:rStyle w:val="DecValTok"/>
        </w:rPr>
        <w:t xml:space="preserve">2</w:t>
      </w:r>
      <w:r>
        <w:br/>
      </w:r>
      <w:r>
        <w:rPr>
          <w:rStyle w:val="NormalTok"/>
        </w:rPr>
        <w:t xml:space="preserve">    img.DrawCircle </w:t>
      </w:r>
      <w:r>
        <w:rPr>
          <w:rStyle w:val="DecValTok"/>
        </w:rPr>
        <w:t xml:space="preserve">100</w:t>
      </w:r>
      <w:r>
        <w:rPr>
          <w:rStyle w:val="OtherTok"/>
        </w:rPr>
        <w:t xml:space="preserve">,</w:t>
      </w:r>
      <w:r>
        <w:rPr>
          <w:rStyle w:val="NormalTok"/>
        </w:rPr>
        <w:t xml:space="preserve"> </w:t>
      </w:r>
      <w:r>
        <w:rPr>
          <w:rStyle w:val="DecValTok"/>
        </w:rPr>
        <w:t xml:space="preserve">100</w:t>
      </w:r>
      <w:r>
        <w:rPr>
          <w:rStyle w:val="OtherTok"/>
        </w:rPr>
        <w:t xml:space="preserve">,</w:t>
      </w:r>
      <w:r>
        <w:rPr>
          <w:rStyle w:val="NormalTok"/>
        </w:rPr>
        <w:t xml:space="preserve"> </w:t>
      </w:r>
      <w:r>
        <w:rPr>
          <w:rStyle w:val="DecValTok"/>
        </w:rPr>
        <w:t xml:space="preserve">80</w:t>
      </w:r>
      <w:r>
        <w:br/>
      </w:r>
      <w:r>
        <w:rPr>
          <w:rStyle w:val="NormalTok"/>
        </w:rPr>
        <w:t xml:space="preserve">    img.Stroke</w:t>
      </w:r>
      <w:r>
        <w:rPr>
          <w:rStyle w:val="OtherTok"/>
        </w:rPr>
        <w:t xml:space="preserve">()</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Start w:id="3560" w:name="properties-detail-4"/>
    <w:p>
      <w:pPr>
        <w:pStyle w:val="Heading3"/>
      </w:pPr>
      <w:r>
        <w:t xml:space="preserve">Properties Detail</w:t>
      </w:r>
    </w:p>
    <w:bookmarkEnd w:id="3560"/>
    <w:bookmarkEnd w:id="3561"/>
    <w:bookmarkEnd w:id="3562"/>
    <w:bookmarkStart w:id="3569" w:name="canvas-property"/>
    <w:p>
      <w:pPr>
        <w:pStyle w:val="Heading1"/>
      </w:pPr>
      <w:r>
        <w:t xml:space="preserve">Canvas Property</w:t>
      </w:r>
    </w:p>
    <w:bookmarkStart w:id="3563" w:name="overview-371"/>
    <w:p>
      <w:pPr>
        <w:pStyle w:val="Heading2"/>
      </w:pPr>
      <w:r>
        <w:t xml:space="preserve">Overview</w:t>
      </w:r>
    </w:p>
    <w:p>
      <w:pPr>
        <w:pStyle w:val="FirstParagraph"/>
      </w:pPr>
      <w:r>
        <w:t xml:space="preserve">Returns a nested sub-object containing methods and properties to draw text and shapes. This property is part of the</w:t>
      </w:r>
      <w:r>
        <w:t xml:space="preserve"> </w:t>
      </w:r>
      <w:r>
        <w:rPr>
          <w:rStyle w:val="VerbatimChar"/>
        </w:rPr>
        <w:t xml:space="preserve">Persits.Jpeg</w:t>
      </w:r>
      <w:r>
        <w:t xml:space="preserve"> </w:t>
      </w:r>
      <w:r>
        <w:t xml:space="preserve">compatibility layer of the G3Pix AxonASP G3IMAGE library.</w:t>
      </w:r>
    </w:p>
    <w:bookmarkEnd w:id="3563"/>
    <w:bookmarkStart w:id="3564" w:name="syntax-370"/>
    <w:p>
      <w:pPr>
        <w:pStyle w:val="Heading2"/>
      </w:pPr>
      <w:r>
        <w:t xml:space="preserve">Syntax</w:t>
      </w:r>
    </w:p>
    <w:p>
      <w:pPr>
        <w:pStyle w:val="SourceCode"/>
      </w:pPr>
      <w:r>
        <w:rPr>
          <w:rStyle w:val="NormalTok"/>
        </w:rPr>
        <w:t xml:space="preserve">Set canvas = obj.Canvas</w:t>
      </w:r>
    </w:p>
    <w:bookmarkEnd w:id="3564"/>
    <w:bookmarkStart w:id="3567" w:name="remarks-345"/>
    <w:p>
      <w:pPr>
        <w:pStyle w:val="Heading2"/>
      </w:pPr>
      <w:r>
        <w:t xml:space="preserve">Remarks</w:t>
      </w:r>
    </w:p>
    <w:p>
      <w:pPr>
        <w:pStyle w:val="FirstParagraph"/>
      </w:pPr>
      <w:r>
        <w:t xml:space="preserve">Through</w:t>
      </w:r>
      <w:r>
        <w:t xml:space="preserve"> </w:t>
      </w:r>
      <w:r>
        <w:rPr>
          <w:rStyle w:val="VerbatimChar"/>
        </w:rPr>
        <w:t xml:space="preserve">Canvas</w:t>
      </w:r>
      <w:r>
        <w:t xml:space="preserve">, you can traverse the object tree to configure pen and font properties and draw on the image context.</w:t>
      </w:r>
    </w:p>
    <w:bookmarkStart w:id="3565" w:name="canvas-sub-objects"/>
    <w:p>
      <w:pPr>
        <w:pStyle w:val="Heading3"/>
      </w:pPr>
      <w:r>
        <w:t xml:space="preserve">Canvas Sub-Objects</w:t>
      </w:r>
    </w:p>
    <w:p>
      <w:pPr>
        <w:pStyle w:val="Compact"/>
        <w:numPr>
          <w:ilvl w:val="0"/>
          <w:numId w:val="1899"/>
        </w:numPr>
      </w:pPr>
      <w:r>
        <w:rPr>
          <w:rStyle w:val="VerbatimChar"/>
          <w:b/>
          <w:bCs/>
        </w:rPr>
        <w:t xml:space="preserve">Canvas.Pen</w:t>
      </w:r>
      <w:r>
        <w:rPr>
          <w:b/>
          <w:bCs/>
        </w:rPr>
        <w:t xml:space="preserve"> </w:t>
      </w:r>
      <w:r>
        <w:rPr>
          <w:b/>
          <w:bCs/>
        </w:rPr>
        <w:t xml:space="preserve">Properties:</w:t>
      </w:r>
    </w:p>
    <w:p>
      <w:pPr>
        <w:pStyle w:val="Compact"/>
        <w:numPr>
          <w:ilvl w:val="1"/>
          <w:numId w:val="1900"/>
        </w:numPr>
      </w:pPr>
      <w:r>
        <w:rPr>
          <w:rStyle w:val="VerbatimChar"/>
        </w:rPr>
        <w:t xml:space="preserve">Color</w:t>
      </w:r>
      <w:r>
        <w:t xml:space="preserve"> </w:t>
      </w:r>
      <w:r>
        <w:t xml:space="preserve">(Read/Write, String/Integer): The color used for drawing lines and bars. Can be a hex string (e.g.,</w:t>
      </w:r>
      <w:r>
        <w:t xml:space="preserve"> </w:t>
      </w:r>
      <w:r>
        <w:rPr>
          <w:rStyle w:val="VerbatimChar"/>
        </w:rPr>
        <w:t xml:space="preserve">"#FF0000"</w:t>
      </w:r>
      <w:r>
        <w:t xml:space="preserve">) or a BGR integer.</w:t>
      </w:r>
    </w:p>
    <w:p>
      <w:pPr>
        <w:pStyle w:val="Compact"/>
        <w:numPr>
          <w:ilvl w:val="1"/>
          <w:numId w:val="1900"/>
        </w:numPr>
      </w:pPr>
      <w:r>
        <w:rPr>
          <w:rStyle w:val="VerbatimChar"/>
        </w:rPr>
        <w:t xml:space="preserve">Width</w:t>
      </w:r>
      <w:r>
        <w:t xml:space="preserve"> </w:t>
      </w:r>
      <w:r>
        <w:t xml:space="preserve">(Read/Write, Double): The line thickness.</w:t>
      </w:r>
    </w:p>
    <w:p>
      <w:pPr>
        <w:pStyle w:val="Compact"/>
        <w:numPr>
          <w:ilvl w:val="0"/>
          <w:numId w:val="1899"/>
        </w:numPr>
      </w:pPr>
      <w:r>
        <w:rPr>
          <w:rStyle w:val="VerbatimChar"/>
          <w:b/>
          <w:bCs/>
        </w:rPr>
        <w:t xml:space="preserve">Canvas.Font</w:t>
      </w:r>
      <w:r>
        <w:rPr>
          <w:b/>
          <w:bCs/>
        </w:rPr>
        <w:t xml:space="preserve"> </w:t>
      </w:r>
      <w:r>
        <w:rPr>
          <w:b/>
          <w:bCs/>
        </w:rPr>
        <w:t xml:space="preserve">Properties:</w:t>
      </w:r>
    </w:p>
    <w:p>
      <w:pPr>
        <w:pStyle w:val="Compact"/>
        <w:numPr>
          <w:ilvl w:val="1"/>
          <w:numId w:val="1901"/>
        </w:numPr>
      </w:pPr>
      <w:r>
        <w:rPr>
          <w:rStyle w:val="VerbatimChar"/>
        </w:rPr>
        <w:t xml:space="preserve">Color</w:t>
      </w:r>
      <w:r>
        <w:t xml:space="preserve"> </w:t>
      </w:r>
      <w:r>
        <w:t xml:space="preserve">(Read/Write, String/Integer): The color used for drawing text.</w:t>
      </w:r>
    </w:p>
    <w:p>
      <w:pPr>
        <w:pStyle w:val="Compact"/>
        <w:numPr>
          <w:ilvl w:val="1"/>
          <w:numId w:val="1901"/>
        </w:numPr>
      </w:pPr>
      <w:r>
        <w:rPr>
          <w:b/>
          <w:bCs/>
        </w:rPr>
        <w:t xml:space="preserve">Family</w:t>
      </w:r>
      <w:r>
        <w:t xml:space="preserve"> </w:t>
      </w:r>
      <w:r>
        <w:t xml:space="preserve">(Read/Write, String): The font family name (e.g. </w:t>
      </w:r>
      <w:r>
        <w:rPr>
          <w:rStyle w:val="VerbatimChar"/>
        </w:rPr>
        <w:t xml:space="preserve">"Arial"</w:t>
      </w:r>
      <w:r>
        <w:t xml:space="preserve">) or path to a TrueType font (</w:t>
      </w:r>
      <w:r>
        <w:rPr>
          <w:rStyle w:val="VerbatimChar"/>
        </w:rPr>
        <w:t xml:space="preserve">.ttf</w:t>
      </w:r>
      <w:r>
        <w:t xml:space="preserve">) file.</w:t>
      </w:r>
    </w:p>
    <w:p>
      <w:pPr>
        <w:pStyle w:val="Compact"/>
        <w:numPr>
          <w:ilvl w:val="1"/>
          <w:numId w:val="1901"/>
        </w:numPr>
      </w:pPr>
      <w:r>
        <w:rPr>
          <w:rStyle w:val="VerbatimChar"/>
        </w:rPr>
        <w:t xml:space="preserve">Size</w:t>
      </w:r>
      <w:r>
        <w:t xml:space="preserve"> </w:t>
      </w:r>
      <w:r>
        <w:t xml:space="preserve">(Read/Write, Double): Font size in points.</w:t>
      </w:r>
    </w:p>
    <w:p>
      <w:pPr>
        <w:pStyle w:val="Compact"/>
        <w:numPr>
          <w:ilvl w:val="1"/>
          <w:numId w:val="1901"/>
        </w:numPr>
      </w:pPr>
      <w:r>
        <w:rPr>
          <w:rStyle w:val="VerbatimChar"/>
        </w:rPr>
        <w:t xml:space="preserve">Bold</w:t>
      </w:r>
      <w:r>
        <w:t xml:space="preserve"> </w:t>
      </w:r>
      <w:r>
        <w:t xml:space="preserve">(Read/Write, Boolean): Applies bold style.</w:t>
      </w:r>
    </w:p>
    <w:p>
      <w:pPr>
        <w:pStyle w:val="Compact"/>
        <w:numPr>
          <w:ilvl w:val="1"/>
          <w:numId w:val="1901"/>
        </w:numPr>
      </w:pPr>
      <w:r>
        <w:rPr>
          <w:rStyle w:val="VerbatimChar"/>
        </w:rPr>
        <w:t xml:space="preserve">Italic</w:t>
      </w:r>
      <w:r>
        <w:t xml:space="preserve"> </w:t>
      </w:r>
      <w:r>
        <w:t xml:space="preserve">(Read/Write, Boolean): Applies italic style.</w:t>
      </w:r>
    </w:p>
    <w:bookmarkEnd w:id="3565"/>
    <w:bookmarkStart w:id="3566" w:name="canvas-methods"/>
    <w:p>
      <w:pPr>
        <w:pStyle w:val="Heading3"/>
      </w:pPr>
      <w:r>
        <w:t xml:space="preserve">Canvas Methods</w:t>
      </w:r>
    </w:p>
    <w:p>
      <w:pPr>
        <w:pStyle w:val="Compact"/>
        <w:numPr>
          <w:ilvl w:val="0"/>
          <w:numId w:val="1902"/>
        </w:numPr>
      </w:pPr>
      <w:r>
        <w:rPr>
          <w:rStyle w:val="VerbatimChar"/>
        </w:rPr>
        <w:t xml:space="preserve">PrintText(x, y, text)</w:t>
      </w:r>
      <w:r>
        <w:t xml:space="preserve">: Draws text at coordinates using the active</w:t>
      </w:r>
      <w:r>
        <w:t xml:space="preserve"> </w:t>
      </w:r>
      <w:r>
        <w:rPr>
          <w:rStyle w:val="VerbatimChar"/>
        </w:rPr>
        <w:t xml:space="preserve">Font</w:t>
      </w:r>
      <w:r>
        <w:t xml:space="preserve"> </w:t>
      </w:r>
      <w:r>
        <w:t xml:space="preserve">properties.</w:t>
      </w:r>
    </w:p>
    <w:p>
      <w:pPr>
        <w:pStyle w:val="Compact"/>
        <w:numPr>
          <w:ilvl w:val="0"/>
          <w:numId w:val="1902"/>
        </w:numPr>
      </w:pPr>
      <w:r>
        <w:rPr>
          <w:rStyle w:val="VerbatimChar"/>
        </w:rPr>
        <w:t xml:space="preserve">DrawLine(x1, y1, x2, y2)</w:t>
      </w:r>
      <w:r>
        <w:t xml:space="preserve">: Draws a line between two coordinates using the active</w:t>
      </w:r>
      <w:r>
        <w:t xml:space="preserve"> </w:t>
      </w:r>
      <w:r>
        <w:rPr>
          <w:rStyle w:val="VerbatimChar"/>
        </w:rPr>
        <w:t xml:space="preserve">Pen</w:t>
      </w:r>
      <w:r>
        <w:t xml:space="preserve"> </w:t>
      </w:r>
      <w:r>
        <w:t xml:space="preserve">properties.</w:t>
      </w:r>
    </w:p>
    <w:p>
      <w:pPr>
        <w:pStyle w:val="Compact"/>
        <w:numPr>
          <w:ilvl w:val="0"/>
          <w:numId w:val="1902"/>
        </w:numPr>
      </w:pPr>
      <w:r>
        <w:rPr>
          <w:rStyle w:val="VerbatimChar"/>
        </w:rPr>
        <w:t xml:space="preserve">DrawBar(x1, y1, x2, y2)</w:t>
      </w:r>
      <w:r>
        <w:t xml:space="preserve">: Draws a solid, filled rectangle using the active</w:t>
      </w:r>
      <w:r>
        <w:t xml:space="preserve"> </w:t>
      </w:r>
      <w:r>
        <w:rPr>
          <w:rStyle w:val="VerbatimChar"/>
        </w:rPr>
        <w:t xml:space="preserve">Pen</w:t>
      </w:r>
      <w:r>
        <w:t xml:space="preserve"> </w:t>
      </w:r>
      <w:r>
        <w:t xml:space="preserve">color.</w:t>
      </w:r>
    </w:p>
    <w:bookmarkEnd w:id="3566"/>
    <w:bookmarkEnd w:id="3567"/>
    <w:bookmarkStart w:id="3568" w:name="code-example-16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New</w:t>
      </w:r>
      <w:r>
        <w:rPr>
          <w:rStyle w:val="NormalTok"/>
        </w:rPr>
        <w:t xml:space="preserve"> </w:t>
      </w:r>
      <w:r>
        <w:rPr>
          <w:rStyle w:val="DecValTok"/>
        </w:rPr>
        <w:t xml:space="preserve">400</w:t>
      </w:r>
      <w:r>
        <w:rPr>
          <w:rStyle w:val="OtherTok"/>
        </w:rPr>
        <w:t xml:space="preserve">,</w:t>
      </w:r>
      <w:r>
        <w:rPr>
          <w:rStyle w:val="NormalTok"/>
        </w:rPr>
        <w:t xml:space="preserve"> </w:t>
      </w:r>
      <w:r>
        <w:rPr>
          <w:rStyle w:val="DecValTok"/>
        </w:rPr>
        <w:t xml:space="preserve">300</w:t>
      </w:r>
      <w:r>
        <w:rPr>
          <w:rStyle w:val="OtherTok"/>
        </w:rPr>
        <w:t xml:space="preserve">,</w:t>
      </w:r>
      <w:r>
        <w:rPr>
          <w:rStyle w:val="NormalTok"/>
        </w:rPr>
        <w:t xml:space="preserve"> </w:t>
      </w:r>
      <w:r>
        <w:rPr>
          <w:rStyle w:val="StringTok"/>
        </w:rPr>
        <w:t xml:space="preserve">"#FFFFFF"</w:t>
      </w:r>
      <w:r>
        <w:br/>
      </w:r>
      <w:r>
        <w:br/>
      </w:r>
      <w:r>
        <w:rPr>
          <w:rStyle w:val="CommentTok"/>
        </w:rPr>
        <w:t xml:space="preserve">' Traversal and properties setting</w:t>
      </w:r>
      <w:r>
        <w:br/>
      </w:r>
      <w:r>
        <w:rPr>
          <w:rStyle w:val="NormalTok"/>
        </w:rPr>
        <w:t xml:space="preserve">jpeg.Canvas.Pen.Color = </w:t>
      </w:r>
      <w:r>
        <w:rPr>
          <w:rStyle w:val="KeywordTok"/>
        </w:rPr>
        <w:t xml:space="preserve">&amp;</w:t>
      </w:r>
      <w:r>
        <w:rPr>
          <w:rStyle w:val="NormalTok"/>
        </w:rPr>
        <w:t xml:space="preserve">HFF0000 </w:t>
      </w:r>
      <w:r>
        <w:rPr>
          <w:rStyle w:val="CommentTok"/>
        </w:rPr>
        <w:t xml:space="preserve">' BGR Red</w:t>
      </w:r>
      <w:r>
        <w:br/>
      </w:r>
      <w:r>
        <w:rPr>
          <w:rStyle w:val="NormalTok"/>
        </w:rPr>
        <w:t xml:space="preserve">jpeg.Canvas.Pen.Width = </w:t>
      </w:r>
      <w:r>
        <w:rPr>
          <w:rStyle w:val="FloatTok"/>
        </w:rPr>
        <w:t xml:space="preserve">4.0</w:t>
      </w:r>
      <w:r>
        <w:br/>
      </w:r>
      <w:r>
        <w:br/>
      </w:r>
      <w:r>
        <w:rPr>
          <w:rStyle w:val="CommentTok"/>
        </w:rPr>
        <w:t xml:space="preserve">' Draw a line</w:t>
      </w:r>
      <w:r>
        <w:br/>
      </w:r>
      <w:r>
        <w:rPr>
          <w:rStyle w:val="NormalTok"/>
        </w:rPr>
        <w:t xml:space="preserve">jpeg.Canvas.DrawLine </w:t>
      </w:r>
      <w:r>
        <w:rPr>
          <w:rStyle w:val="DecValTok"/>
        </w:rPr>
        <w:t xml:space="preserve">0</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DecValTok"/>
        </w:rPr>
        <w:t xml:space="preserve">400</w:t>
      </w:r>
      <w:r>
        <w:rPr>
          <w:rStyle w:val="OtherTok"/>
        </w:rPr>
        <w:t xml:space="preserve">,</w:t>
      </w:r>
      <w:r>
        <w:rPr>
          <w:rStyle w:val="NormalTok"/>
        </w:rPr>
        <w:t xml:space="preserve"> </w:t>
      </w:r>
      <w:r>
        <w:rPr>
          <w:rStyle w:val="DecValTok"/>
        </w:rPr>
        <w:t xml:space="preserve">300</w:t>
      </w:r>
      <w:r>
        <w:br/>
      </w:r>
      <w:r>
        <w:br/>
      </w:r>
      <w:r>
        <w:rPr>
          <w:rStyle w:val="CommentTok"/>
        </w:rPr>
        <w:t xml:space="preserve">' Configure font</w:t>
      </w:r>
      <w:r>
        <w:br/>
      </w:r>
      <w:r>
        <w:rPr>
          <w:rStyle w:val="NormalTok"/>
        </w:rPr>
        <w:t xml:space="preserve">jpeg.Canvas.Font.Family = </w:t>
      </w:r>
      <w:r>
        <w:rPr>
          <w:rStyle w:val="StringTok"/>
        </w:rPr>
        <w:t xml:space="preserve">"Arial"</w:t>
      </w:r>
      <w:r>
        <w:br/>
      </w:r>
      <w:r>
        <w:rPr>
          <w:rStyle w:val="NormalTok"/>
        </w:rPr>
        <w:t xml:space="preserve">jpeg.Canvas.Font.Size = </w:t>
      </w:r>
      <w:r>
        <w:rPr>
          <w:rStyle w:val="DecValTok"/>
        </w:rPr>
        <w:t xml:space="preserve">18</w:t>
      </w:r>
      <w:r>
        <w:br/>
      </w:r>
      <w:r>
        <w:rPr>
          <w:rStyle w:val="NormalTok"/>
        </w:rPr>
        <w:t xml:space="preserve">jpeg.Canvas.Font.Bold = </w:t>
      </w:r>
      <w:r>
        <w:rPr>
          <w:rStyle w:val="KeywordTok"/>
        </w:rPr>
        <w:t xml:space="preserve">True</w:t>
      </w:r>
      <w:r>
        <w:br/>
      </w:r>
      <w:r>
        <w:rPr>
          <w:rStyle w:val="NormalTok"/>
        </w:rPr>
        <w:t xml:space="preserve">jpeg.Canvas.Font.Color = </w:t>
      </w:r>
      <w:r>
        <w:rPr>
          <w:rStyle w:val="StringTok"/>
        </w:rPr>
        <w:t xml:space="preserve">"#00FF00"</w:t>
      </w:r>
      <w:r>
        <w:rPr>
          <w:rStyle w:val="NormalTok"/>
        </w:rPr>
        <w:t xml:space="preserve"> </w:t>
      </w:r>
      <w:r>
        <w:rPr>
          <w:rStyle w:val="CommentTok"/>
        </w:rPr>
        <w:t xml:space="preserve">' Green</w:t>
      </w:r>
      <w:r>
        <w:br/>
      </w:r>
      <w:r>
        <w:br/>
      </w:r>
      <w:r>
        <w:rPr>
          <w:rStyle w:val="CommentTok"/>
        </w:rPr>
        <w:t xml:space="preserve">' Print text</w:t>
      </w:r>
      <w:r>
        <w:br/>
      </w:r>
      <w:r>
        <w:rPr>
          <w:rStyle w:val="NormalTok"/>
        </w:rPr>
        <w:t xml:space="preserve">jpeg.Canvas.PrintText </w:t>
      </w:r>
      <w:r>
        <w:rPr>
          <w:rStyle w:val="DecValTok"/>
        </w:rPr>
        <w:t xml:space="preserve">50</w:t>
      </w:r>
      <w:r>
        <w:rPr>
          <w:rStyle w:val="OtherTok"/>
        </w:rPr>
        <w:t xml:space="preserve">,</w:t>
      </w:r>
      <w:r>
        <w:rPr>
          <w:rStyle w:val="NormalTok"/>
        </w:rPr>
        <w:t xml:space="preserve"> </w:t>
      </w:r>
      <w:r>
        <w:rPr>
          <w:rStyle w:val="DecValTok"/>
        </w:rPr>
        <w:t xml:space="preserve">150</w:t>
      </w:r>
      <w:r>
        <w:rPr>
          <w:rStyle w:val="OtherTok"/>
        </w:rPr>
        <w:t xml:space="preserve">,</w:t>
      </w:r>
      <w:r>
        <w:rPr>
          <w:rStyle w:val="NormalTok"/>
        </w:rPr>
        <w:t xml:space="preserve"> </w:t>
      </w:r>
      <w:r>
        <w:rPr>
          <w:rStyle w:val="StringTok"/>
        </w:rPr>
        <w:t xml:space="preserve">"Hello World"</w:t>
      </w:r>
      <w:r>
        <w:br/>
      </w:r>
      <w:r>
        <w:br/>
      </w:r>
      <w:r>
        <w:rPr>
          <w:rStyle w:val="NormalTok"/>
        </w:rPr>
        <w:t xml:space="preserve">jpeg.Save </w:t>
      </w:r>
      <w:r>
        <w:rPr>
          <w:rStyle w:val="FunctionTok"/>
        </w:rPr>
        <w:t xml:space="preserve">Server</w:t>
      </w:r>
      <w:r>
        <w:rPr>
          <w:rStyle w:val="NormalTok"/>
        </w:rPr>
        <w:t xml:space="preserve">.MapPath</w:t>
      </w:r>
      <w:r>
        <w:rPr>
          <w:rStyle w:val="OtherTok"/>
        </w:rPr>
        <w:t xml:space="preserve">(</w:t>
      </w:r>
      <w:r>
        <w:rPr>
          <w:rStyle w:val="StringTok"/>
        </w:rPr>
        <w:t xml:space="preserve">"canvas_drawing.jpg"</w:t>
      </w:r>
      <w:r>
        <w:rPr>
          <w:rStyle w:val="OtherTok"/>
        </w:rPr>
        <w:t xml:space="preserve">)</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568"/>
    <w:bookmarkEnd w:id="3569"/>
    <w:bookmarkStart w:id="3575" w:name="defaultformat-property"/>
    <w:p>
      <w:pPr>
        <w:pStyle w:val="Heading1"/>
      </w:pPr>
      <w:r>
        <w:t xml:space="preserve">DefaultFormat Property</w:t>
      </w:r>
    </w:p>
    <w:bookmarkStart w:id="3570" w:name="overview-372"/>
    <w:p>
      <w:pPr>
        <w:pStyle w:val="Heading2"/>
      </w:pPr>
      <w:r>
        <w:t xml:space="preserve">Overview</w:t>
      </w:r>
    </w:p>
    <w:p>
      <w:pPr>
        <w:pStyle w:val="FirstParagraph"/>
      </w:pPr>
      <w:r>
        <w:t xml:space="preserve">Gets or sets the default image format used for rendering operations in the G3Pix AxonASP G3IMAGE library.</w:t>
      </w:r>
    </w:p>
    <w:bookmarkEnd w:id="3570"/>
    <w:bookmarkStart w:id="3571" w:name="syntax-371"/>
    <w:p>
      <w:pPr>
        <w:pStyle w:val="Heading2"/>
      </w:pPr>
      <w:r>
        <w:t xml:space="preserve">Syntax</w:t>
      </w:r>
    </w:p>
    <w:p>
      <w:pPr>
        <w:pStyle w:val="SourceCode"/>
      </w:pPr>
      <w:r>
        <w:rPr>
          <w:rStyle w:val="NormalTok"/>
        </w:rPr>
        <w:t xml:space="preserve">' Get the current format</w:t>
      </w:r>
      <w:r>
        <w:br/>
      </w:r>
      <w:r>
        <w:rPr>
          <w:rStyle w:val="NormalTok"/>
        </w:rPr>
        <w:t xml:space="preserve">format = obj.DefaultFormat</w:t>
      </w:r>
      <w:r>
        <w:br/>
      </w:r>
      <w:r>
        <w:br/>
      </w:r>
      <w:r>
        <w:rPr>
          <w:rStyle w:val="NormalTok"/>
        </w:rPr>
        <w:t xml:space="preserve">' Set a new format</w:t>
      </w:r>
      <w:r>
        <w:br/>
      </w:r>
      <w:r>
        <w:rPr>
          <w:rStyle w:val="NormalTok"/>
        </w:rPr>
        <w:t xml:space="preserve">obj.DefaultFormat = "jpg"</w:t>
      </w:r>
    </w:p>
    <w:bookmarkEnd w:id="3571"/>
    <w:bookmarkStart w:id="3572" w:name="return-values-96"/>
    <w:p>
      <w:pPr>
        <w:pStyle w:val="Heading2"/>
      </w:pPr>
      <w:r>
        <w:t xml:space="preserve">Return Values</w:t>
      </w:r>
    </w:p>
    <w:p>
      <w:pPr>
        <w:pStyle w:val="FirstParagraph"/>
      </w:pPr>
      <w:r>
        <w:t xml:space="preserve">Returns a String containing the current default format (e.g.,</w:t>
      </w:r>
      <w:r>
        <w:t xml:space="preserve"> </w:t>
      </w:r>
      <w:r>
        <w:t xml:space="preserve">“png”</w:t>
      </w:r>
      <w:r>
        <w:t xml:space="preserve"> </w:t>
      </w:r>
      <w:r>
        <w:t xml:space="preserve">or</w:t>
      </w:r>
      <w:r>
        <w:t xml:space="preserve"> </w:t>
      </w:r>
      <w:r>
        <w:t xml:space="preserve">“jpg”</w:t>
      </w:r>
      <w:r>
        <w:t xml:space="preserve">).</w:t>
      </w:r>
    </w:p>
    <w:bookmarkEnd w:id="3572"/>
    <w:bookmarkStart w:id="3573" w:name="remarks-346"/>
    <w:p>
      <w:pPr>
        <w:pStyle w:val="Heading2"/>
      </w:pPr>
      <w:r>
        <w:t xml:space="preserve">Remarks</w:t>
      </w:r>
    </w:p>
    <w:p>
      <w:pPr>
        <w:pStyle w:val="Compact"/>
        <w:numPr>
          <w:ilvl w:val="0"/>
          <w:numId w:val="1903"/>
        </w:numPr>
      </w:pPr>
      <w:r>
        <w:t xml:space="preserve">The default value is</w:t>
      </w:r>
      <w:r>
        <w:t xml:space="preserve"> </w:t>
      </w:r>
      <w:r>
        <w:t xml:space="preserve">“png”</w:t>
      </w:r>
      <w:r>
        <w:t xml:space="preserve">.</w:t>
      </w:r>
    </w:p>
    <w:p>
      <w:pPr>
        <w:pStyle w:val="Compact"/>
        <w:numPr>
          <w:ilvl w:val="0"/>
          <w:numId w:val="1903"/>
        </w:numPr>
      </w:pPr>
      <w:r>
        <w:t xml:space="preserve">Supported values are</w:t>
      </w:r>
      <w:r>
        <w:t xml:space="preserve"> </w:t>
      </w:r>
      <w:r>
        <w:t xml:space="preserve">“png”</w:t>
      </w:r>
      <w:r>
        <w:t xml:space="preserve">,</w:t>
      </w:r>
      <w:r>
        <w:t xml:space="preserve"> </w:t>
      </w:r>
      <w:r>
        <w:t xml:space="preserve">“jpg”</w:t>
      </w:r>
      <w:r>
        <w:t xml:space="preserve">, and</w:t>
      </w:r>
      <w:r>
        <w:t xml:space="preserve"> </w:t>
      </w:r>
      <w:r>
        <w:t xml:space="preserve">“jpeg”</w:t>
      </w:r>
      <w:r>
        <w:t xml:space="preserve">.</w:t>
      </w:r>
    </w:p>
    <w:bookmarkEnd w:id="3573"/>
    <w:bookmarkStart w:id="3574" w:name="code-example-16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NormalTok"/>
        </w:rPr>
        <w:t xml:space="preserve">img.DefaultFormat = </w:t>
      </w:r>
      <w:r>
        <w:rPr>
          <w:rStyle w:val="StringTok"/>
        </w:rPr>
        <w:t xml:space="preserve">"jpg"</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"Default format: "</w:t>
      </w:r>
      <w:r>
        <w:rPr>
          <w:rStyle w:val="NormalTok"/>
        </w:rPr>
        <w:t xml:space="preserve"> </w:t>
      </w:r>
      <w:r>
        <w:rPr>
          <w:rStyle w:val="KeywordTok"/>
        </w:rPr>
        <w:t xml:space="preserve">&amp;</w:t>
      </w:r>
      <w:r>
        <w:rPr>
          <w:rStyle w:val="NormalTok"/>
        </w:rPr>
        <w:t xml:space="preserve"> img.DefaultFormat</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74"/>
    <w:bookmarkEnd w:id="3575"/>
    <w:bookmarkStart w:id="3581" w:name="hascontext-property"/>
    <w:p>
      <w:pPr>
        <w:pStyle w:val="Heading1"/>
      </w:pPr>
      <w:r>
        <w:t xml:space="preserve">HasContext Property</w:t>
      </w:r>
    </w:p>
    <w:bookmarkStart w:id="3576" w:name="overview-373"/>
    <w:p>
      <w:pPr>
        <w:pStyle w:val="Heading2"/>
      </w:pPr>
      <w:r>
        <w:t xml:space="preserve">Overview</w:t>
      </w:r>
    </w:p>
    <w:p>
      <w:pPr>
        <w:pStyle w:val="FirstParagraph"/>
      </w:pPr>
      <w:r>
        <w:t xml:space="preserve">Indicates whether a drawing context has been initialized for the G3Pix AxonASP G3IMAGE library.</w:t>
      </w:r>
    </w:p>
    <w:bookmarkEnd w:id="3576"/>
    <w:bookmarkStart w:id="3577" w:name="syntax-372"/>
    <w:p>
      <w:pPr>
        <w:pStyle w:val="Heading2"/>
      </w:pPr>
      <w:r>
        <w:t xml:space="preserve">Syntax</w:t>
      </w:r>
    </w:p>
    <w:p>
      <w:pPr>
        <w:pStyle w:val="SourceCode"/>
      </w:pPr>
      <w:r>
        <w:rPr>
          <w:rStyle w:val="NormalTok"/>
        </w:rPr>
        <w:t xml:space="preserve">exists = obj.HasContext</w:t>
      </w:r>
    </w:p>
    <w:bookmarkEnd w:id="3577"/>
    <w:bookmarkStart w:id="3578" w:name="return-values-97"/>
    <w:p>
      <w:pPr>
        <w:pStyle w:val="Heading2"/>
      </w:pPr>
      <w:r>
        <w:t xml:space="preserve">Return Values</w:t>
      </w:r>
    </w:p>
    <w:p>
      <w:pPr>
        <w:pStyle w:val="FirstParagraph"/>
      </w:pPr>
      <w:r>
        <w:t xml:space="preserve">Returns a Boolean value. True if a context is active; otherwise, False.</w:t>
      </w:r>
    </w:p>
    <w:bookmarkEnd w:id="3578"/>
    <w:bookmarkStart w:id="3579" w:name="remarks-347"/>
    <w:p>
      <w:pPr>
        <w:pStyle w:val="Heading2"/>
      </w:pPr>
      <w:r>
        <w:t xml:space="preserve">Remarks</w:t>
      </w:r>
    </w:p>
    <w:p>
      <w:pPr>
        <w:pStyle w:val="Compact"/>
        <w:numPr>
          <w:ilvl w:val="0"/>
          <w:numId w:val="1904"/>
        </w:numPr>
      </w:pPr>
      <w:r>
        <w:t xml:space="preserve">A context is typically created using the NewContext method.</w:t>
      </w:r>
    </w:p>
    <w:p>
      <w:pPr>
        <w:pStyle w:val="Compact"/>
        <w:numPr>
          <w:ilvl w:val="0"/>
          <w:numId w:val="1904"/>
        </w:numPr>
      </w:pPr>
      <w:r>
        <w:t xml:space="preserve">This property is read-only.</w:t>
      </w:r>
    </w:p>
    <w:bookmarkEnd w:id="3579"/>
    <w:bookmarkStart w:id="3580" w:name="code-example-16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img.HasContext </w:t>
      </w:r>
      <w:r>
        <w:rPr>
          <w:rStyle w:val="ControlFlowTok"/>
        </w:rPr>
        <w:t xml:space="preserve">Then</w:t>
      </w:r>
      <w:r>
        <w:br/>
      </w:r>
      <w:r>
        <w:rPr>
          <w:rStyle w:val="NormalTok"/>
        </w:rPr>
        <w:t xml:space="preserve">    img.NewContext </w:t>
      </w:r>
      <w:r>
        <w:rPr>
          <w:rStyle w:val="DecValTok"/>
        </w:rPr>
        <w:t xml:space="preserve">400</w:t>
      </w:r>
      <w:r>
        <w:rPr>
          <w:rStyle w:val="OtherTok"/>
        </w:rPr>
        <w:t xml:space="preserve">,</w:t>
      </w:r>
      <w:r>
        <w:rPr>
          <w:rStyle w:val="NormalTok"/>
        </w:rPr>
        <w:t xml:space="preserve"> </w:t>
      </w:r>
      <w:r>
        <w:rPr>
          <w:rStyle w:val="DecValTok"/>
        </w:rPr>
        <w:t xml:space="preserve">300</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80"/>
    <w:bookmarkEnd w:id="3581"/>
    <w:bookmarkStart w:id="3587" w:name="height-property"/>
    <w:p>
      <w:pPr>
        <w:pStyle w:val="Heading1"/>
      </w:pPr>
      <w:r>
        <w:t xml:space="preserve">Height Property</w:t>
      </w:r>
    </w:p>
    <w:bookmarkStart w:id="3582" w:name="overview-374"/>
    <w:p>
      <w:pPr>
        <w:pStyle w:val="Heading2"/>
      </w:pPr>
      <w:r>
        <w:t xml:space="preserve">Overview</w:t>
      </w:r>
    </w:p>
    <w:p>
      <w:pPr>
        <w:pStyle w:val="FirstParagraph"/>
      </w:pPr>
      <w:r>
        <w:t xml:space="preserve">Gets or sets the height of the active image context.</w:t>
      </w:r>
    </w:p>
    <w:bookmarkEnd w:id="3582"/>
    <w:bookmarkStart w:id="3583" w:name="syntax-373"/>
    <w:p>
      <w:pPr>
        <w:pStyle w:val="Heading2"/>
      </w:pPr>
      <w:r>
        <w:t xml:space="preserve">Syntax</w:t>
      </w:r>
    </w:p>
    <w:p>
      <w:pPr>
        <w:pStyle w:val="SourceCode"/>
      </w:pPr>
      <w:r>
        <w:rPr>
          <w:rStyle w:val="NormalTok"/>
        </w:rPr>
        <w:t xml:space="preserve">' Get height</w:t>
      </w:r>
      <w:r>
        <w:br/>
      </w:r>
      <w:r>
        <w:rPr>
          <w:rStyle w:val="NormalTok"/>
        </w:rPr>
        <w:t xml:space="preserve">h = obj.Height</w:t>
      </w:r>
      <w:r>
        <w:br/>
      </w:r>
      <w:r>
        <w:br/>
      </w:r>
      <w:r>
        <w:rPr>
          <w:rStyle w:val="NormalTok"/>
        </w:rPr>
        <w:t xml:space="preserve">' Set height (resizes the image)</w:t>
      </w:r>
      <w:r>
        <w:br/>
      </w:r>
      <w:r>
        <w:rPr>
          <w:rStyle w:val="NormalTok"/>
        </w:rPr>
        <w:t xml:space="preserve">obj.Height = newHeight</w:t>
      </w:r>
    </w:p>
    <w:bookmarkEnd w:id="3583"/>
    <w:bookmarkStart w:id="3584" w:name="return-values-98"/>
    <w:p>
      <w:pPr>
        <w:pStyle w:val="Heading2"/>
      </w:pPr>
      <w:r>
        <w:t xml:space="preserve">Return Values</w:t>
      </w:r>
    </w:p>
    <w:p>
      <w:pPr>
        <w:pStyle w:val="FirstParagraph"/>
      </w:pPr>
      <w:r>
        <w:t xml:space="preserve">Returns an Integer representing the height in pixels. Returns 0 if no context is active.</w:t>
      </w:r>
    </w:p>
    <w:bookmarkEnd w:id="3584"/>
    <w:bookmarkStart w:id="3585" w:name="remarks-348"/>
    <w:p>
      <w:pPr>
        <w:pStyle w:val="Heading2"/>
      </w:pPr>
      <w:r>
        <w:t xml:space="preserve">Remarks</w:t>
      </w:r>
    </w:p>
    <w:p>
      <w:pPr>
        <w:pStyle w:val="Compact"/>
        <w:numPr>
          <w:ilvl w:val="0"/>
          <w:numId w:val="1905"/>
        </w:numPr>
      </w:pPr>
      <w:r>
        <w:t xml:space="preserve">When using the</w:t>
      </w:r>
      <w:r>
        <w:t xml:space="preserve"> </w:t>
      </w:r>
      <w:r>
        <w:rPr>
          <w:rStyle w:val="VerbatimChar"/>
        </w:rPr>
        <w:t xml:space="preserve">Persits.Jpeg</w:t>
      </w:r>
      <w:r>
        <w:t xml:space="preserve"> </w:t>
      </w:r>
      <w:r>
        <w:t xml:space="preserve">compatibility layer, this property is read/write. Setting it will resample/resize the image to the new height using the algorithm specified by the</w:t>
      </w:r>
      <w:r>
        <w:t xml:space="preserve"> </w:t>
      </w:r>
      <w:r>
        <w:rPr>
          <w:rStyle w:val="VerbatimChar"/>
        </w:rPr>
        <w:t xml:space="preserve">Interpolation</w:t>
      </w:r>
      <w:r>
        <w:t xml:space="preserve"> </w:t>
      </w:r>
      <w:r>
        <w:t xml:space="preserve">property.</w:t>
      </w:r>
    </w:p>
    <w:p>
      <w:pPr>
        <w:pStyle w:val="Compact"/>
        <w:numPr>
          <w:ilvl w:val="0"/>
          <w:numId w:val="1905"/>
        </w:numPr>
      </w:pPr>
      <w:r>
        <w:t xml:space="preserve">For native G3IMAGE instances, this property remains read-only.</w:t>
      </w:r>
    </w:p>
    <w:bookmarkEnd w:id="3585"/>
    <w:bookmarkStart w:id="3586" w:name="code-example-17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NormalTok"/>
        </w:rPr>
        <w:t xml:space="preserve">jpeg.Height = </w:t>
      </w:r>
      <w:r>
        <w:rPr>
          <w:rStyle w:val="DecValTok"/>
        </w:rPr>
        <w:t xml:space="preserve">150</w:t>
      </w:r>
      <w:r>
        <w:rPr>
          <w:rStyle w:val="NormalTok"/>
        </w:rPr>
        <w:t xml:space="preserve"> </w:t>
      </w:r>
      <w:r>
        <w:rPr>
          <w:rStyle w:val="CommentTok"/>
        </w:rPr>
        <w:t xml:space="preserve">' Resizes the image to 150px height</w:t>
      </w:r>
      <w:r>
        <w:br/>
      </w:r>
      <w:r>
        <w:rPr>
          <w:rStyle w:val="NormalTok"/>
        </w:rPr>
        <w:t xml:space="preserve">jpeg.Save </w:t>
      </w:r>
      <w:r>
        <w:rPr>
          <w:rStyle w:val="FunctionTok"/>
        </w:rPr>
        <w:t xml:space="preserve">Server</w:t>
      </w:r>
      <w:r>
        <w:rPr>
          <w:rStyle w:val="NormalTok"/>
        </w:rPr>
        <w:t xml:space="preserve">.MapPath</w:t>
      </w:r>
      <w:r>
        <w:rPr>
          <w:rStyle w:val="OtherTok"/>
        </w:rPr>
        <w:t xml:space="preserve">(</w:t>
      </w:r>
      <w:r>
        <w:rPr>
          <w:rStyle w:val="StringTok"/>
        </w:rPr>
        <w:t xml:space="preserve">"resized.jpg"</w:t>
      </w:r>
      <w:r>
        <w:rPr>
          <w:rStyle w:val="OtherTok"/>
        </w:rPr>
        <w:t xml:space="preserve">)</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586"/>
    <w:bookmarkEnd w:id="3587"/>
    <w:bookmarkStart w:id="3593" w:name="interpolation-property"/>
    <w:p>
      <w:pPr>
        <w:pStyle w:val="Heading1"/>
      </w:pPr>
      <w:r>
        <w:t xml:space="preserve">Interpolation Property</w:t>
      </w:r>
    </w:p>
    <w:bookmarkStart w:id="3588" w:name="overview-375"/>
    <w:p>
      <w:pPr>
        <w:pStyle w:val="Heading2"/>
      </w:pPr>
      <w:r>
        <w:t xml:space="preserve">Overview</w:t>
      </w:r>
    </w:p>
    <w:p>
      <w:pPr>
        <w:pStyle w:val="FirstParagraph"/>
      </w:pPr>
      <w:r>
        <w:t xml:space="preserve">Gets or sets the resampling algorithm used when resizing images. This property is part of the</w:t>
      </w:r>
      <w:r>
        <w:t xml:space="preserve"> </w:t>
      </w:r>
      <w:r>
        <w:rPr>
          <w:rStyle w:val="VerbatimChar"/>
        </w:rPr>
        <w:t xml:space="preserve">Persits.Jpeg</w:t>
      </w:r>
      <w:r>
        <w:t xml:space="preserve"> </w:t>
      </w:r>
      <w:r>
        <w:t xml:space="preserve">compatibility layer of the G3Pix AxonASP G3IMAGE library.</w:t>
      </w:r>
    </w:p>
    <w:bookmarkEnd w:id="3588"/>
    <w:bookmarkStart w:id="3589" w:name="syntax-374"/>
    <w:p>
      <w:pPr>
        <w:pStyle w:val="Heading2"/>
      </w:pPr>
      <w:r>
        <w:t xml:space="preserve">Syntax</w:t>
      </w:r>
    </w:p>
    <w:p>
      <w:pPr>
        <w:pStyle w:val="SourceCode"/>
      </w:pPr>
      <w:r>
        <w:rPr>
          <w:rStyle w:val="NormalTok"/>
        </w:rPr>
        <w:t xml:space="preserve">' Get Interpolation</w:t>
      </w:r>
      <w:r>
        <w:br/>
      </w:r>
      <w:r>
        <w:rPr>
          <w:rStyle w:val="NormalTok"/>
        </w:rPr>
        <w:t xml:space="preserve">alg = obj.Interpolation</w:t>
      </w:r>
      <w:r>
        <w:br/>
      </w:r>
      <w:r>
        <w:br/>
      </w:r>
      <w:r>
        <w:rPr>
          <w:rStyle w:val="NormalTok"/>
        </w:rPr>
        <w:t xml:space="preserve">' Set Interpolation</w:t>
      </w:r>
      <w:r>
        <w:br/>
      </w:r>
      <w:r>
        <w:rPr>
          <w:rStyle w:val="NormalTok"/>
        </w:rPr>
        <w:t xml:space="preserve">obj.Interpolation = algorithmNumber</w:t>
      </w:r>
    </w:p>
    <w:bookmarkEnd w:id="3589"/>
    <w:bookmarkStart w:id="3590" w:name="return-values-99"/>
    <w:p>
      <w:pPr>
        <w:pStyle w:val="Heading2"/>
      </w:pPr>
      <w:r>
        <w:t xml:space="preserve">Return Values</w:t>
      </w:r>
    </w:p>
    <w:p>
      <w:pPr>
        <w:pStyle w:val="FirstParagraph"/>
      </w:pPr>
      <w:r>
        <w:t xml:space="preserve">Returns an Integer representing the algorithm.</w:t>
      </w:r>
    </w:p>
    <w:bookmarkEnd w:id="3590"/>
    <w:bookmarkStart w:id="3591" w:name="remarks-349"/>
    <w:p>
      <w:pPr>
        <w:pStyle w:val="Heading2"/>
      </w:pPr>
      <w:r>
        <w:t xml:space="preserve">Remarks</w:t>
      </w:r>
    </w:p>
    <w:p>
      <w:pPr>
        <w:pStyle w:val="FirstParagraph"/>
      </w:pPr>
      <w:r>
        <w:t xml:space="preserve">Supported values:</w:t>
      </w:r>
      <w:r>
        <w:t xml:space="preserve"> </w:t>
      </w:r>
      <w:r>
        <w:t xml:space="preserve">-</w:t>
      </w:r>
      <w:r>
        <w:t xml:space="preserve"> </w:t>
      </w:r>
      <w:r>
        <w:rPr>
          <w:rStyle w:val="VerbatimChar"/>
        </w:rPr>
        <w:t xml:space="preserve">1</w:t>
      </w:r>
      <w:r>
        <w:t xml:space="preserve"> </w:t>
      </w:r>
      <w:r>
        <w:t xml:space="preserve">(Nearest Neighbor): Fastest speed, lowest quality, blocks/aliasing visible.</w:t>
      </w:r>
      <w:r>
        <w:t xml:space="preserve"> </w:t>
      </w:r>
      <w:r>
        <w:t xml:space="preserve">-</w:t>
      </w:r>
      <w:r>
        <w:t xml:space="preserve"> </w:t>
      </w:r>
      <w:r>
        <w:rPr>
          <w:rStyle w:val="VerbatimChar"/>
        </w:rPr>
        <w:t xml:space="preserve">2</w:t>
      </w:r>
      <w:r>
        <w:t xml:space="preserve"> </w:t>
      </w:r>
      <w:r>
        <w:t xml:space="preserve">(Bilinear, Default): Moderate speed, good quality for downscaling.</w:t>
      </w:r>
      <w:r>
        <w:t xml:space="preserve"> </w:t>
      </w:r>
      <w:r>
        <w:t xml:space="preserve">-</w:t>
      </w:r>
      <w:r>
        <w:t xml:space="preserve"> </w:t>
      </w:r>
      <w:r>
        <w:rPr>
          <w:rStyle w:val="VerbatimChar"/>
        </w:rPr>
        <w:t xml:space="preserve">3</w:t>
      </w:r>
      <w:r>
        <w:t xml:space="preserve"> </w:t>
      </w:r>
      <w:r>
        <w:t xml:space="preserve">(Bicubic / Catmull-Rom): Slowest speed, highest quality, sharpest details.</w:t>
      </w:r>
    </w:p>
    <w:bookmarkEnd w:id="3591"/>
    <w:bookmarkStart w:id="3592" w:name="code-example-17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CommentTok"/>
        </w:rPr>
        <w:t xml:space="preserve">' Set Bicubic resampling</w:t>
      </w:r>
      <w:r>
        <w:br/>
      </w:r>
      <w:r>
        <w:rPr>
          <w:rStyle w:val="NormalTok"/>
        </w:rPr>
        <w:t xml:space="preserve">jpeg.Interpolation = </w:t>
      </w:r>
      <w:r>
        <w:rPr>
          <w:rStyle w:val="DecValTok"/>
        </w:rPr>
        <w:t xml:space="preserve">3</w:t>
      </w:r>
      <w:r>
        <w:br/>
      </w:r>
      <w:r>
        <w:rPr>
          <w:rStyle w:val="NormalTok"/>
        </w:rPr>
        <w:t xml:space="preserve">jpeg.Width = </w:t>
      </w:r>
      <w:r>
        <w:rPr>
          <w:rStyle w:val="DecValTok"/>
        </w:rPr>
        <w:t xml:space="preserve">200</w:t>
      </w:r>
      <w:r>
        <w:br/>
      </w:r>
      <w:r>
        <w:rPr>
          <w:rStyle w:val="NormalTok"/>
        </w:rPr>
        <w:t xml:space="preserve">jpeg.Height = </w:t>
      </w:r>
      <w:r>
        <w:rPr>
          <w:rStyle w:val="DecValTok"/>
        </w:rPr>
        <w:t xml:space="preserve">150</w:t>
      </w:r>
      <w:r>
        <w:br/>
      </w:r>
      <w:r>
        <w:rPr>
          <w:rStyle w:val="NormalTok"/>
        </w:rPr>
        <w:t xml:space="preserve">jpeg.Save </w:t>
      </w:r>
      <w:r>
        <w:rPr>
          <w:rStyle w:val="FunctionTok"/>
        </w:rPr>
        <w:t xml:space="preserve">Server</w:t>
      </w:r>
      <w:r>
        <w:rPr>
          <w:rStyle w:val="NormalTok"/>
        </w:rPr>
        <w:t xml:space="preserve">.MapPath</w:t>
      </w:r>
      <w:r>
        <w:rPr>
          <w:rStyle w:val="OtherTok"/>
        </w:rPr>
        <w:t xml:space="preserve">(</w:t>
      </w:r>
      <w:r>
        <w:rPr>
          <w:rStyle w:val="StringTok"/>
        </w:rPr>
        <w:t xml:space="preserve">"resized.jpg"</w:t>
      </w:r>
      <w:r>
        <w:rPr>
          <w:rStyle w:val="OtherTok"/>
        </w:rPr>
        <w:t xml:space="preserve">)</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592"/>
    <w:bookmarkEnd w:id="3593"/>
    <w:bookmarkStart w:id="3599" w:name="jpgquality-property"/>
    <w:p>
      <w:pPr>
        <w:pStyle w:val="Heading1"/>
      </w:pPr>
      <w:r>
        <w:t xml:space="preserve">JpgQuality Property</w:t>
      </w:r>
    </w:p>
    <w:bookmarkStart w:id="3594" w:name="overview-376"/>
    <w:p>
      <w:pPr>
        <w:pStyle w:val="Heading2"/>
      </w:pPr>
      <w:r>
        <w:t xml:space="preserve">Overview</w:t>
      </w:r>
    </w:p>
    <w:p>
      <w:pPr>
        <w:pStyle w:val="FirstParagraph"/>
      </w:pPr>
      <w:r>
        <w:t xml:space="preserve">Gets or sets the quality level for JPEG encoding in the G3Pix AxonASP G3IMAGE library.</w:t>
      </w:r>
    </w:p>
    <w:bookmarkEnd w:id="3594"/>
    <w:bookmarkStart w:id="3595" w:name="syntax-375"/>
    <w:p>
      <w:pPr>
        <w:pStyle w:val="Heading2"/>
      </w:pPr>
      <w:r>
        <w:t xml:space="preserve">Syntax</w:t>
      </w:r>
    </w:p>
    <w:p>
      <w:pPr>
        <w:pStyle w:val="SourceCode"/>
      </w:pPr>
      <w:r>
        <w:rPr>
          <w:rStyle w:val="NormalTok"/>
        </w:rPr>
        <w:t xml:space="preserve">' Get current quality</w:t>
      </w:r>
      <w:r>
        <w:br/>
      </w:r>
      <w:r>
        <w:rPr>
          <w:rStyle w:val="NormalTok"/>
        </w:rPr>
        <w:t xml:space="preserve">q = obj.JpgQuality</w:t>
      </w:r>
      <w:r>
        <w:br/>
      </w:r>
      <w:r>
        <w:br/>
      </w:r>
      <w:r>
        <w:rPr>
          <w:rStyle w:val="NormalTok"/>
        </w:rPr>
        <w:t xml:space="preserve">' Set new quality</w:t>
      </w:r>
      <w:r>
        <w:br/>
      </w:r>
      <w:r>
        <w:rPr>
          <w:rStyle w:val="NormalTok"/>
        </w:rPr>
        <w:t xml:space="preserve">obj.JpgQuality = 85</w:t>
      </w:r>
    </w:p>
    <w:bookmarkEnd w:id="3595"/>
    <w:bookmarkStart w:id="3596" w:name="return-values-100"/>
    <w:p>
      <w:pPr>
        <w:pStyle w:val="Heading2"/>
      </w:pPr>
      <w:r>
        <w:t xml:space="preserve">Return Values</w:t>
      </w:r>
    </w:p>
    <w:p>
      <w:pPr>
        <w:pStyle w:val="FirstParagraph"/>
      </w:pPr>
      <w:r>
        <w:t xml:space="preserve">Returns an Integer representing the quality level (1 to 100).</w:t>
      </w:r>
    </w:p>
    <w:bookmarkEnd w:id="3596"/>
    <w:bookmarkStart w:id="3597" w:name="remarks-350"/>
    <w:p>
      <w:pPr>
        <w:pStyle w:val="Heading2"/>
      </w:pPr>
      <w:r>
        <w:t xml:space="preserve">Remarks</w:t>
      </w:r>
    </w:p>
    <w:p>
      <w:pPr>
        <w:pStyle w:val="Compact"/>
        <w:numPr>
          <w:ilvl w:val="0"/>
          <w:numId w:val="1906"/>
        </w:numPr>
      </w:pPr>
      <w:r>
        <w:t xml:space="preserve">The default quality is 90.</w:t>
      </w:r>
    </w:p>
    <w:p>
      <w:pPr>
        <w:pStyle w:val="Compact"/>
        <w:numPr>
          <w:ilvl w:val="0"/>
          <w:numId w:val="1906"/>
        </w:numPr>
      </w:pPr>
      <w:r>
        <w:t xml:space="preserve">Higher values result in better image quality but larger file sizes.</w:t>
      </w:r>
    </w:p>
    <w:bookmarkEnd w:id="3597"/>
    <w:bookmarkStart w:id="3598" w:name="code-example-17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NormalTok"/>
        </w:rPr>
        <w:t xml:space="preserve">img.JpgQuality = </w:t>
      </w:r>
      <w:r>
        <w:rPr>
          <w:rStyle w:val="DecValTok"/>
        </w:rPr>
        <w:t xml:space="preserve">70</w:t>
      </w:r>
      <w:r>
        <w:br/>
      </w:r>
      <w:r>
        <w:rPr>
          <w:rStyle w:val="CommentTok"/>
        </w:rPr>
        <w:t xml:space="preserve">' Perform save or render operations</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598"/>
    <w:bookmarkEnd w:id="3599"/>
    <w:bookmarkStart w:id="3605" w:name="lastbytes-property"/>
    <w:p>
      <w:pPr>
        <w:pStyle w:val="Heading1"/>
      </w:pPr>
      <w:r>
        <w:t xml:space="preserve">LastBytes Property</w:t>
      </w:r>
    </w:p>
    <w:bookmarkStart w:id="3600" w:name="overview-377"/>
    <w:p>
      <w:pPr>
        <w:pStyle w:val="Heading2"/>
      </w:pPr>
      <w:r>
        <w:t xml:space="preserve">Overview</w:t>
      </w:r>
    </w:p>
    <w:p>
      <w:pPr>
        <w:pStyle w:val="FirstParagraph"/>
      </w:pPr>
      <w:r>
        <w:t xml:space="preserve">Returns the binary data of the last rendered or loaded image in the G3Pix AxonASP G3IMAGE library.</w:t>
      </w:r>
    </w:p>
    <w:bookmarkEnd w:id="3600"/>
    <w:bookmarkStart w:id="3601" w:name="syntax-376"/>
    <w:p>
      <w:pPr>
        <w:pStyle w:val="Heading2"/>
      </w:pPr>
      <w:r>
        <w:t xml:space="preserve">Syntax</w:t>
      </w:r>
    </w:p>
    <w:p>
      <w:pPr>
        <w:pStyle w:val="SourceCode"/>
      </w:pPr>
      <w:r>
        <w:rPr>
          <w:rStyle w:val="NormalTok"/>
        </w:rPr>
        <w:t xml:space="preserve">data = obj.LastBytes</w:t>
      </w:r>
    </w:p>
    <w:bookmarkEnd w:id="3601"/>
    <w:bookmarkStart w:id="3602" w:name="return-values-101"/>
    <w:p>
      <w:pPr>
        <w:pStyle w:val="Heading2"/>
      </w:pPr>
      <w:r>
        <w:t xml:space="preserve">Return Values</w:t>
      </w:r>
    </w:p>
    <w:p>
      <w:pPr>
        <w:pStyle w:val="FirstParagraph"/>
      </w:pPr>
      <w:r>
        <w:t xml:space="preserve">Returns a VBArray containing binary bytes.</w:t>
      </w:r>
    </w:p>
    <w:bookmarkEnd w:id="3602"/>
    <w:bookmarkStart w:id="3603" w:name="remarks-351"/>
    <w:p>
      <w:pPr>
        <w:pStyle w:val="Heading2"/>
      </w:pPr>
      <w:r>
        <w:t xml:space="preserve">Remarks</w:t>
      </w:r>
    </w:p>
    <w:p>
      <w:pPr>
        <w:pStyle w:val="Compact"/>
        <w:numPr>
          <w:ilvl w:val="0"/>
          <w:numId w:val="1907"/>
        </w:numPr>
      </w:pPr>
      <w:r>
        <w:t xml:space="preserve">This property is populated after calling methods like RenderViaTemp.</w:t>
      </w:r>
    </w:p>
    <w:p>
      <w:pPr>
        <w:pStyle w:val="Compact"/>
        <w:numPr>
          <w:ilvl w:val="0"/>
          <w:numId w:val="1907"/>
        </w:numPr>
      </w:pPr>
      <w:r>
        <w:t xml:space="preserve">It is read-only.</w:t>
      </w:r>
    </w:p>
    <w:bookmarkEnd w:id="3603"/>
    <w:bookmarkStart w:id="3604" w:name="code-example-17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rPr>
          <w:rStyle w:val="OtherTok"/>
        </w:rPr>
        <w:t xml:space="preserve">,</w:t>
      </w:r>
      <w:r>
        <w:rPr>
          <w:rStyle w:val="NormalTok"/>
        </w:rPr>
        <w:t xml:space="preserve"> bytes</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NormalTok"/>
        </w:rPr>
        <w:t xml:space="preserve">img.NewContext </w:t>
      </w:r>
      <w:r>
        <w:rPr>
          <w:rStyle w:val="DecValTok"/>
        </w:rPr>
        <w:t xml:space="preserve">100</w:t>
      </w:r>
      <w:r>
        <w:rPr>
          <w:rStyle w:val="OtherTok"/>
        </w:rPr>
        <w:t xml:space="preserve">,</w:t>
      </w:r>
      <w:r>
        <w:rPr>
          <w:rStyle w:val="NormalTok"/>
        </w:rPr>
        <w:t xml:space="preserve"> </w:t>
      </w:r>
      <w:r>
        <w:rPr>
          <w:rStyle w:val="DecValTok"/>
        </w:rPr>
        <w:t xml:space="preserve">100</w:t>
      </w:r>
      <w:r>
        <w:br/>
      </w:r>
      <w:r>
        <w:rPr>
          <w:rStyle w:val="NormalTok"/>
        </w:rPr>
        <w:t xml:space="preserve">img.RenderViaTemp </w:t>
      </w:r>
      <w:r>
        <w:rPr>
          <w:rStyle w:val="StringTok"/>
        </w:rPr>
        <w:t xml:space="preserve">"png"</w:t>
      </w:r>
      <w:r>
        <w:rPr>
          <w:rStyle w:val="OtherTok"/>
        </w:rPr>
        <w:t xml:space="preserve">,</w:t>
      </w:r>
      <w:r>
        <w:rPr>
          <w:rStyle w:val="NormalTok"/>
        </w:rPr>
        <w:t xml:space="preserve"> </w:t>
      </w:r>
      <w:r>
        <w:rPr>
          <w:rStyle w:val="DecValTok"/>
        </w:rPr>
        <w:t xml:space="preserve">0</w:t>
      </w:r>
      <w:r>
        <w:br/>
      </w:r>
      <w:r>
        <w:rPr>
          <w:rStyle w:val="NormalTok"/>
        </w:rPr>
        <w:t xml:space="preserve">bytes = img.LastBytes</w:t>
      </w:r>
      <w:r>
        <w:br/>
      </w:r>
      <w:r>
        <w:rPr>
          <w:rStyle w:val="CommentTok"/>
        </w:rPr>
        <w:t xml:space="preserve">' bytes now contains the binary PNG data</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604"/>
    <w:bookmarkEnd w:id="3605"/>
    <w:bookmarkStart w:id="3611" w:name="lasterror-property-1"/>
    <w:p>
      <w:pPr>
        <w:pStyle w:val="Heading1"/>
      </w:pPr>
      <w:r>
        <w:t xml:space="preserve">LastError Property</w:t>
      </w:r>
    </w:p>
    <w:bookmarkStart w:id="3606" w:name="overview-378"/>
    <w:p>
      <w:pPr>
        <w:pStyle w:val="Heading2"/>
      </w:pPr>
      <w:r>
        <w:t xml:space="preserve">Overview</w:t>
      </w:r>
    </w:p>
    <w:p>
      <w:pPr>
        <w:pStyle w:val="FirstParagraph"/>
      </w:pPr>
      <w:r>
        <w:t xml:space="preserve">Returns the error message for the last operation performed in the G3Pix AxonASP G3IMAGE library.</w:t>
      </w:r>
    </w:p>
    <w:bookmarkEnd w:id="3606"/>
    <w:bookmarkStart w:id="3607" w:name="syntax-377"/>
    <w:p>
      <w:pPr>
        <w:pStyle w:val="Heading2"/>
      </w:pPr>
      <w:r>
        <w:t xml:space="preserve">Syntax</w:t>
      </w:r>
    </w:p>
    <w:p>
      <w:pPr>
        <w:pStyle w:val="SourceCode"/>
      </w:pPr>
      <w:r>
        <w:rPr>
          <w:rStyle w:val="NormalTok"/>
        </w:rPr>
        <w:t xml:space="preserve">err = obj.LastError</w:t>
      </w:r>
    </w:p>
    <w:bookmarkEnd w:id="3607"/>
    <w:bookmarkStart w:id="3608" w:name="return-values-102"/>
    <w:p>
      <w:pPr>
        <w:pStyle w:val="Heading2"/>
      </w:pPr>
      <w:r>
        <w:t xml:space="preserve">Return Values</w:t>
      </w:r>
    </w:p>
    <w:p>
      <w:pPr>
        <w:pStyle w:val="FirstParagraph"/>
      </w:pPr>
      <w:r>
        <w:t xml:space="preserve">Returns a String containing the last error message. Returns an empty string if no error occurred.</w:t>
      </w:r>
    </w:p>
    <w:bookmarkEnd w:id="3608"/>
    <w:bookmarkStart w:id="3609" w:name="remarks-352"/>
    <w:p>
      <w:pPr>
        <w:pStyle w:val="Heading2"/>
      </w:pPr>
      <w:r>
        <w:t xml:space="preserve">Remarks</w:t>
      </w:r>
    </w:p>
    <w:p>
      <w:pPr>
        <w:pStyle w:val="Compact"/>
        <w:numPr>
          <w:ilvl w:val="0"/>
          <w:numId w:val="1908"/>
        </w:numPr>
      </w:pPr>
      <w:r>
        <w:t xml:space="preserve">Check this property after any operation that returns False or Empty to understand why it failed.</w:t>
      </w:r>
    </w:p>
    <w:p>
      <w:pPr>
        <w:pStyle w:val="Compact"/>
        <w:numPr>
          <w:ilvl w:val="0"/>
          <w:numId w:val="1908"/>
        </w:numPr>
      </w:pPr>
      <w:r>
        <w:t xml:space="preserve">This property is read-only.</w:t>
      </w:r>
    </w:p>
    <w:bookmarkEnd w:id="3609"/>
    <w:bookmarkStart w:id="3610" w:name="code-example-17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img.LoadImage</w:t>
      </w:r>
      <w:r>
        <w:rPr>
          <w:rStyle w:val="OtherTok"/>
        </w:rPr>
        <w:t xml:space="preserve">(</w:t>
      </w:r>
      <w:r>
        <w:rPr>
          <w:rStyle w:val="StringTok"/>
        </w:rPr>
        <w:t xml:space="preserve">"missing.png"</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img.LastError</w:t>
      </w:r>
      <w:r>
        <w:br/>
      </w:r>
      <w:r>
        <w:rPr>
          <w:rStyle w:val="ControlFlowTok"/>
        </w:rPr>
        <w:t xml:space="preserve">End If</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610"/>
    <w:bookmarkEnd w:id="3611"/>
    <w:bookmarkStart w:id="3617" w:name="lastmimetype-property"/>
    <w:p>
      <w:pPr>
        <w:pStyle w:val="Heading1"/>
      </w:pPr>
      <w:r>
        <w:t xml:space="preserve">LastMimeType Property</w:t>
      </w:r>
    </w:p>
    <w:bookmarkStart w:id="3612" w:name="overview-379"/>
    <w:p>
      <w:pPr>
        <w:pStyle w:val="Heading2"/>
      </w:pPr>
      <w:r>
        <w:t xml:space="preserve">Overview</w:t>
      </w:r>
    </w:p>
    <w:p>
      <w:pPr>
        <w:pStyle w:val="FirstParagraph"/>
      </w:pPr>
      <w:r>
        <w:t xml:space="preserve">Returns the MIME type of the last image rendered or loaded in the G3Pix AxonASP G3IMAGE library.</w:t>
      </w:r>
    </w:p>
    <w:bookmarkEnd w:id="3612"/>
    <w:bookmarkStart w:id="3613" w:name="syntax-378"/>
    <w:p>
      <w:pPr>
        <w:pStyle w:val="Heading2"/>
      </w:pPr>
      <w:r>
        <w:t xml:space="preserve">Syntax</w:t>
      </w:r>
    </w:p>
    <w:p>
      <w:pPr>
        <w:pStyle w:val="SourceCode"/>
      </w:pPr>
      <w:r>
        <w:rPr>
          <w:rStyle w:val="NormalTok"/>
        </w:rPr>
        <w:t xml:space="preserve">mime = obj.LastMimeType</w:t>
      </w:r>
    </w:p>
    <w:bookmarkEnd w:id="3613"/>
    <w:bookmarkStart w:id="3614" w:name="return-values-103"/>
    <w:p>
      <w:pPr>
        <w:pStyle w:val="Heading2"/>
      </w:pPr>
      <w:r>
        <w:t xml:space="preserve">Return Values</w:t>
      </w:r>
    </w:p>
    <w:p>
      <w:pPr>
        <w:pStyle w:val="FirstParagraph"/>
      </w:pPr>
      <w:r>
        <w:t xml:space="preserve">Returns a String containing the MIME type (e.g.,</w:t>
      </w:r>
      <w:r>
        <w:t xml:space="preserve"> </w:t>
      </w:r>
      <w:r>
        <w:t xml:space="preserve">“image/png”</w:t>
      </w:r>
      <w:r>
        <w:t xml:space="preserve"> </w:t>
      </w:r>
      <w:r>
        <w:t xml:space="preserve">or</w:t>
      </w:r>
      <w:r>
        <w:t xml:space="preserve"> </w:t>
      </w:r>
      <w:r>
        <w:t xml:space="preserve">“image/jpeg”</w:t>
      </w:r>
      <w:r>
        <w:t xml:space="preserve">).</w:t>
      </w:r>
    </w:p>
    <w:bookmarkEnd w:id="3614"/>
    <w:bookmarkStart w:id="3615" w:name="remarks-353"/>
    <w:p>
      <w:pPr>
        <w:pStyle w:val="Heading2"/>
      </w:pPr>
      <w:r>
        <w:t xml:space="preserve">Remarks</w:t>
      </w:r>
    </w:p>
    <w:p>
      <w:pPr>
        <w:pStyle w:val="Compact"/>
        <w:numPr>
          <w:ilvl w:val="0"/>
          <w:numId w:val="1909"/>
        </w:numPr>
      </w:pPr>
      <w:r>
        <w:t xml:space="preserve">This property can be used to set the</w:t>
      </w:r>
      <w:r>
        <w:t xml:space="preserve"> </w:t>
      </w:r>
      <w:r>
        <w:rPr>
          <w:rStyle w:val="VerbatimChar"/>
        </w:rPr>
        <w:t xml:space="preserve">Response.ContentType</w:t>
      </w:r>
      <w:r>
        <w:t xml:space="preserve"> </w:t>
      </w:r>
      <w:r>
        <w:t xml:space="preserve">before streaming binary content.</w:t>
      </w:r>
    </w:p>
    <w:p>
      <w:pPr>
        <w:pStyle w:val="Compact"/>
        <w:numPr>
          <w:ilvl w:val="0"/>
          <w:numId w:val="1909"/>
        </w:numPr>
      </w:pPr>
      <w:r>
        <w:t xml:space="preserve">It is read-only.</w:t>
      </w:r>
    </w:p>
    <w:bookmarkEnd w:id="3615"/>
    <w:bookmarkStart w:id="3616" w:name="code-example-17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NormalTok"/>
        </w:rPr>
        <w:t xml:space="preserve">img.NewContext </w:t>
      </w:r>
      <w:r>
        <w:rPr>
          <w:rStyle w:val="DecValTok"/>
        </w:rPr>
        <w:t xml:space="preserve">100</w:t>
      </w:r>
      <w:r>
        <w:rPr>
          <w:rStyle w:val="OtherTok"/>
        </w:rPr>
        <w:t xml:space="preserve">,</w:t>
      </w:r>
      <w:r>
        <w:rPr>
          <w:rStyle w:val="NormalTok"/>
        </w:rPr>
        <w:t xml:space="preserve"> </w:t>
      </w:r>
      <w:r>
        <w:rPr>
          <w:rStyle w:val="DecValTok"/>
        </w:rPr>
        <w:t xml:space="preserve">100</w:t>
      </w:r>
      <w:r>
        <w:br/>
      </w:r>
      <w:r>
        <w:rPr>
          <w:rStyle w:val="NormalTok"/>
        </w:rPr>
        <w:t xml:space="preserve">img.RenderViaTemp </w:t>
      </w:r>
      <w:r>
        <w:rPr>
          <w:rStyle w:val="StringTok"/>
        </w:rPr>
        <w:t xml:space="preserve">"png"</w:t>
      </w:r>
      <w:r>
        <w:rPr>
          <w:rStyle w:val="OtherTok"/>
        </w:rPr>
        <w:t xml:space="preserve">,</w:t>
      </w:r>
      <w:r>
        <w:rPr>
          <w:rStyle w:val="NormalTok"/>
        </w:rPr>
        <w:t xml:space="preserve"> </w:t>
      </w:r>
      <w:r>
        <w:rPr>
          <w:rStyle w:val="DecValTok"/>
        </w:rPr>
        <w:t xml:space="preserve">0</w:t>
      </w:r>
      <w:r>
        <w:br/>
      </w:r>
      <w:r>
        <w:rPr>
          <w:rStyle w:val="FunctionTok"/>
        </w:rPr>
        <w:t xml:space="preserve">Response</w:t>
      </w:r>
      <w:r>
        <w:rPr>
          <w:rStyle w:val="NormalTok"/>
        </w:rPr>
        <w:t xml:space="preserve">.ContentType = img.LastMimeType</w:t>
      </w:r>
      <w:r>
        <w:br/>
      </w:r>
      <w:r>
        <w:rPr>
          <w:rStyle w:val="FunctionTok"/>
        </w:rPr>
        <w:t xml:space="preserve">Response</w:t>
      </w:r>
      <w:r>
        <w:rPr>
          <w:rStyle w:val="NormalTok"/>
        </w:rPr>
        <w:t xml:space="preserve">.BinaryWrite img.LastBytes</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616"/>
    <w:bookmarkEnd w:id="3617"/>
    <w:bookmarkStart w:id="3623" w:name="lasttempfile-property"/>
    <w:p>
      <w:pPr>
        <w:pStyle w:val="Heading1"/>
      </w:pPr>
      <w:r>
        <w:t xml:space="preserve">LastTempFile Property</w:t>
      </w:r>
    </w:p>
    <w:bookmarkStart w:id="3618" w:name="overview-380"/>
    <w:p>
      <w:pPr>
        <w:pStyle w:val="Heading2"/>
      </w:pPr>
      <w:r>
        <w:t xml:space="preserve">Overview</w:t>
      </w:r>
    </w:p>
    <w:p>
      <w:pPr>
        <w:pStyle w:val="FirstParagraph"/>
      </w:pPr>
      <w:r>
        <w:t xml:space="preserve">Returns the file path of the temporary file used during the last rendering operation in the G3Pix AxonASP G3IMAGE library.</w:t>
      </w:r>
    </w:p>
    <w:bookmarkEnd w:id="3618"/>
    <w:bookmarkStart w:id="3619" w:name="syntax-379"/>
    <w:p>
      <w:pPr>
        <w:pStyle w:val="Heading2"/>
      </w:pPr>
      <w:r>
        <w:t xml:space="preserve">Syntax</w:t>
      </w:r>
    </w:p>
    <w:p>
      <w:pPr>
        <w:pStyle w:val="SourceCode"/>
      </w:pPr>
      <w:r>
        <w:rPr>
          <w:rStyle w:val="NormalTok"/>
        </w:rPr>
        <w:t xml:space="preserve">path = obj.LastTempFile</w:t>
      </w:r>
    </w:p>
    <w:bookmarkEnd w:id="3619"/>
    <w:bookmarkStart w:id="3620" w:name="return-values-104"/>
    <w:p>
      <w:pPr>
        <w:pStyle w:val="Heading2"/>
      </w:pPr>
      <w:r>
        <w:t xml:space="preserve">Return Values</w:t>
      </w:r>
    </w:p>
    <w:p>
      <w:pPr>
        <w:pStyle w:val="FirstParagraph"/>
      </w:pPr>
      <w:r>
        <w:t xml:space="preserve">Returns a String containing the full file path.</w:t>
      </w:r>
    </w:p>
    <w:bookmarkEnd w:id="3620"/>
    <w:bookmarkStart w:id="3621" w:name="remarks-354"/>
    <w:p>
      <w:pPr>
        <w:pStyle w:val="Heading2"/>
      </w:pPr>
      <w:r>
        <w:t xml:space="preserve">Remarks</w:t>
      </w:r>
    </w:p>
    <w:p>
      <w:pPr>
        <w:pStyle w:val="Compact"/>
        <w:numPr>
          <w:ilvl w:val="0"/>
          <w:numId w:val="1910"/>
        </w:numPr>
      </w:pPr>
      <w:r>
        <w:t xml:space="preserve">The file is typically deleted automatically after the operation completes.</w:t>
      </w:r>
    </w:p>
    <w:p>
      <w:pPr>
        <w:pStyle w:val="Compact"/>
        <w:numPr>
          <w:ilvl w:val="0"/>
          <w:numId w:val="1910"/>
        </w:numPr>
      </w:pPr>
      <w:r>
        <w:t xml:space="preserve">This property is primarily used for debugging purposes.</w:t>
      </w:r>
    </w:p>
    <w:p>
      <w:pPr>
        <w:pStyle w:val="Compact"/>
        <w:numPr>
          <w:ilvl w:val="0"/>
          <w:numId w:val="1910"/>
        </w:numPr>
      </w:pPr>
      <w:r>
        <w:t xml:space="preserve">It is read-only.</w:t>
      </w:r>
    </w:p>
    <w:bookmarkEnd w:id="3621"/>
    <w:bookmarkStart w:id="3622" w:name="code-example-17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img</w:t>
      </w:r>
      <w:r>
        <w:br/>
      </w:r>
      <w:r>
        <w:rPr>
          <w:rStyle w:val="KeywordTok"/>
        </w:rPr>
        <w:t xml:space="preserve">Set</w:t>
      </w:r>
      <w:r>
        <w:rPr>
          <w:rStyle w:val="NormalTok"/>
        </w:rPr>
        <w:t xml:space="preserve"> img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"G3IMAGE"</w:t>
      </w:r>
      <w:r>
        <w:rPr>
          <w:rStyle w:val="OtherTok"/>
        </w:rPr>
        <w:t xml:space="preserve">)</w:t>
      </w:r>
      <w:r>
        <w:br/>
      </w:r>
      <w:r>
        <w:rPr>
          <w:rStyle w:val="NormalTok"/>
        </w:rPr>
        <w:t xml:space="preserve">img.NewContext </w:t>
      </w:r>
      <w:r>
        <w:rPr>
          <w:rStyle w:val="DecValTok"/>
        </w:rPr>
        <w:t xml:space="preserve">100</w:t>
      </w:r>
      <w:r>
        <w:rPr>
          <w:rStyle w:val="OtherTok"/>
        </w:rPr>
        <w:t xml:space="preserve">,</w:t>
      </w:r>
      <w:r>
        <w:rPr>
          <w:rStyle w:val="NormalTok"/>
        </w:rPr>
        <w:t xml:space="preserve"> </w:t>
      </w:r>
      <w:r>
        <w:rPr>
          <w:rStyle w:val="DecValTok"/>
        </w:rPr>
        <w:t xml:space="preserve">100</w:t>
      </w:r>
      <w:r>
        <w:br/>
      </w:r>
      <w:r>
        <w:rPr>
          <w:rStyle w:val="NormalTok"/>
        </w:rPr>
        <w:t xml:space="preserve">img.RenderViaTemp </w:t>
      </w:r>
      <w:r>
        <w:rPr>
          <w:rStyle w:val="StringTok"/>
        </w:rPr>
        <w:t xml:space="preserve">"png"</w:t>
      </w:r>
      <w:r>
        <w:rPr>
          <w:rStyle w:val="OtherTok"/>
        </w:rPr>
        <w:t xml:space="preserve">,</w:t>
      </w:r>
      <w:r>
        <w:rPr>
          <w:rStyle w:val="NormalTok"/>
        </w:rPr>
        <w:t xml:space="preserve">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"Temp file used: "</w:t>
      </w:r>
      <w:r>
        <w:rPr>
          <w:rStyle w:val="NormalTok"/>
        </w:rPr>
        <w:t xml:space="preserve"> </w:t>
      </w:r>
      <w:r>
        <w:rPr>
          <w:rStyle w:val="KeywordTok"/>
        </w:rPr>
        <w:t xml:space="preserve">&amp;</w:t>
      </w:r>
      <w:r>
        <w:rPr>
          <w:rStyle w:val="NormalTok"/>
        </w:rPr>
        <w:t xml:space="preserve"> img.LastTempFile</w:t>
      </w:r>
      <w:r>
        <w:br/>
      </w:r>
      <w:r>
        <w:rPr>
          <w:rStyle w:val="KeywordTok"/>
        </w:rPr>
        <w:t xml:space="preserve">Set</w:t>
      </w:r>
      <w:r>
        <w:rPr>
          <w:rStyle w:val="NormalTok"/>
        </w:rPr>
        <w:t xml:space="preserve"> img = </w:t>
      </w:r>
      <w:r>
        <w:rPr>
          <w:rStyle w:val="KeywordTok"/>
        </w:rPr>
        <w:t xml:space="preserve">Nothing</w:t>
      </w:r>
      <w:r>
        <w:br/>
      </w:r>
      <w:r>
        <w:rPr>
          <w:rStyle w:val="DataTypeTok"/>
        </w:rPr>
        <w:t xml:space="preserve">%&gt;</w:t>
      </w:r>
    </w:p>
    <w:bookmarkEnd w:id="3622"/>
    <w:bookmarkEnd w:id="3623"/>
    <w:bookmarkStart w:id="3629" w:name="originalheight-property"/>
    <w:p>
      <w:pPr>
        <w:pStyle w:val="Heading1"/>
      </w:pPr>
      <w:r>
        <w:t xml:space="preserve">OriginalHeight Property</w:t>
      </w:r>
    </w:p>
    <w:bookmarkStart w:id="3624" w:name="overview-381"/>
    <w:p>
      <w:pPr>
        <w:pStyle w:val="Heading2"/>
      </w:pPr>
      <w:r>
        <w:t xml:space="preserve">Overview</w:t>
      </w:r>
    </w:p>
    <w:p>
      <w:pPr>
        <w:pStyle w:val="FirstParagraph"/>
      </w:pPr>
      <w:r>
        <w:t xml:space="preserve">Returns the original height of the opened image. This property is part of the</w:t>
      </w:r>
      <w:r>
        <w:t xml:space="preserve"> </w:t>
      </w:r>
      <w:r>
        <w:rPr>
          <w:rStyle w:val="VerbatimChar"/>
        </w:rPr>
        <w:t xml:space="preserve">Persits.Jpeg</w:t>
      </w:r>
      <w:r>
        <w:t xml:space="preserve"> </w:t>
      </w:r>
      <w:r>
        <w:t xml:space="preserve">compatibility layer of the G3Pix AxonASP G3IMAGE library.</w:t>
      </w:r>
    </w:p>
    <w:bookmarkEnd w:id="3624"/>
    <w:bookmarkStart w:id="3625" w:name="syntax-380"/>
    <w:p>
      <w:pPr>
        <w:pStyle w:val="Heading2"/>
      </w:pPr>
      <w:r>
        <w:t xml:space="preserve">Syntax</w:t>
      </w:r>
    </w:p>
    <w:p>
      <w:pPr>
        <w:pStyle w:val="SourceCode"/>
      </w:pPr>
      <w:r>
        <w:rPr>
          <w:rStyle w:val="NormalTok"/>
        </w:rPr>
        <w:t xml:space="preserve">h = obj.OriginalHeight</w:t>
      </w:r>
    </w:p>
    <w:bookmarkEnd w:id="3625"/>
    <w:bookmarkStart w:id="3626" w:name="return-values-105"/>
    <w:p>
      <w:pPr>
        <w:pStyle w:val="Heading2"/>
      </w:pPr>
      <w:r>
        <w:t xml:space="preserve">Return Values</w:t>
      </w:r>
    </w:p>
    <w:p>
      <w:pPr>
        <w:pStyle w:val="FirstParagraph"/>
      </w:pPr>
      <w:r>
        <w:t xml:space="preserve">Returns an Integer representing the original height in pixels.</w:t>
      </w:r>
    </w:p>
    <w:bookmarkEnd w:id="3626"/>
    <w:bookmarkStart w:id="3627" w:name="remarks-355"/>
    <w:p>
      <w:pPr>
        <w:pStyle w:val="Heading2"/>
      </w:pPr>
      <w:r>
        <w:t xml:space="preserve">Remarks</w:t>
      </w:r>
    </w:p>
    <w:p>
      <w:pPr>
        <w:pStyle w:val="Compact"/>
        <w:numPr>
          <w:ilvl w:val="0"/>
          <w:numId w:val="1911"/>
        </w:numPr>
      </w:pPr>
      <w:r>
        <w:t xml:space="preserve">This property is read-only. It retains the dimensions of the image as it was loaded/opened, even if the image is subsequently resized via the</w:t>
      </w:r>
      <w:r>
        <w:t xml:space="preserve"> </w:t>
      </w:r>
      <w:r>
        <w:rPr>
          <w:rStyle w:val="VerbatimChar"/>
        </w:rPr>
        <w:t xml:space="preserve">Width</w:t>
      </w:r>
      <w:r>
        <w:t xml:space="preserve"> </w:t>
      </w:r>
      <w:r>
        <w:t xml:space="preserve">or</w:t>
      </w:r>
      <w:r>
        <w:t xml:space="preserve"> </w:t>
      </w:r>
      <w:r>
        <w:rPr>
          <w:rStyle w:val="VerbatimChar"/>
        </w:rPr>
        <w:t xml:space="preserve">Height</w:t>
      </w:r>
      <w:r>
        <w:t xml:space="preserve"> </w:t>
      </w:r>
      <w:r>
        <w:t xml:space="preserve">properties.</w:t>
      </w:r>
    </w:p>
    <w:bookmarkEnd w:id="3627"/>
    <w:bookmarkStart w:id="3628" w:name="code-example-17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"Original: "</w:t>
      </w:r>
      <w:r>
        <w:rPr>
          <w:rStyle w:val="NormalTok"/>
        </w:rPr>
        <w:t xml:space="preserve"> </w:t>
      </w:r>
      <w:r>
        <w:rPr>
          <w:rStyle w:val="KeywordTok"/>
        </w:rPr>
        <w:t xml:space="preserve">&amp;</w:t>
      </w:r>
      <w:r>
        <w:rPr>
          <w:rStyle w:val="NormalTok"/>
        </w:rPr>
        <w:t xml:space="preserve"> jpeg.OriginalHeight </w:t>
      </w:r>
      <w:r>
        <w:rPr>
          <w:rStyle w:val="KeywordTok"/>
        </w:rPr>
        <w:t xml:space="preserve">&amp;</w:t>
      </w:r>
      <w:r>
        <w:rPr>
          <w:rStyle w:val="NormalTok"/>
        </w:rPr>
        <w:t xml:space="preserve"> </w:t>
      </w:r>
      <w:r>
        <w:rPr>
          <w:rStyle w:val="StringTok"/>
        </w:rPr>
        <w:t xml:space="preserve">", Current: "</w:t>
      </w:r>
      <w:r>
        <w:rPr>
          <w:rStyle w:val="NormalTok"/>
        </w:rPr>
        <w:t xml:space="preserve"> </w:t>
      </w:r>
      <w:r>
        <w:rPr>
          <w:rStyle w:val="KeywordTok"/>
        </w:rPr>
        <w:t xml:space="preserve">&amp;</w:t>
      </w:r>
      <w:r>
        <w:rPr>
          <w:rStyle w:val="NormalTok"/>
        </w:rPr>
        <w:t xml:space="preserve"> jpeg.Height</w:t>
      </w:r>
      <w:r>
        <w:br/>
      </w:r>
      <w:r>
        <w:rPr>
          <w:rStyle w:val="NormalTok"/>
        </w:rPr>
        <w:t xml:space="preserve">jpeg.Height = jpeg.OriginalHeight / </w:t>
      </w:r>
      <w:r>
        <w:rPr>
          <w:rStyle w:val="DecValTok"/>
        </w:rPr>
        <w:t xml:space="preserve">2</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half-resize, Current height: "</w:t>
      </w:r>
      <w:r>
        <w:rPr>
          <w:rStyle w:val="NormalTok"/>
        </w:rPr>
        <w:t xml:space="preserve"> </w:t>
      </w:r>
      <w:r>
        <w:rPr>
          <w:rStyle w:val="KeywordTok"/>
        </w:rPr>
        <w:t xml:space="preserve">&amp;</w:t>
      </w:r>
      <w:r>
        <w:rPr>
          <w:rStyle w:val="NormalTok"/>
        </w:rPr>
        <w:t xml:space="preserve"> jpeg.Height</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628"/>
    <w:bookmarkEnd w:id="3629"/>
    <w:bookmarkStart w:id="3635" w:name="originalwidth-property"/>
    <w:p>
      <w:pPr>
        <w:pStyle w:val="Heading1"/>
      </w:pPr>
      <w:r>
        <w:t xml:space="preserve">OriginalWidth Property</w:t>
      </w:r>
    </w:p>
    <w:bookmarkStart w:id="3630" w:name="overview-382"/>
    <w:p>
      <w:pPr>
        <w:pStyle w:val="Heading2"/>
      </w:pPr>
      <w:r>
        <w:t xml:space="preserve">Overview</w:t>
      </w:r>
    </w:p>
    <w:p>
      <w:pPr>
        <w:pStyle w:val="FirstParagraph"/>
      </w:pPr>
      <w:r>
        <w:t xml:space="preserve">Returns the original width of the opened image. This property is part of the</w:t>
      </w:r>
      <w:r>
        <w:t xml:space="preserve"> </w:t>
      </w:r>
      <w:r>
        <w:rPr>
          <w:rStyle w:val="VerbatimChar"/>
        </w:rPr>
        <w:t xml:space="preserve">Persits.Jpeg</w:t>
      </w:r>
      <w:r>
        <w:t xml:space="preserve"> </w:t>
      </w:r>
      <w:r>
        <w:t xml:space="preserve">compatibility layer of the G3Pix AxonASP G3IMAGE library.</w:t>
      </w:r>
    </w:p>
    <w:bookmarkEnd w:id="3630"/>
    <w:bookmarkStart w:id="3631" w:name="syntax-381"/>
    <w:p>
      <w:pPr>
        <w:pStyle w:val="Heading2"/>
      </w:pPr>
      <w:r>
        <w:t xml:space="preserve">Syntax</w:t>
      </w:r>
    </w:p>
    <w:p>
      <w:pPr>
        <w:pStyle w:val="SourceCode"/>
      </w:pPr>
      <w:r>
        <w:rPr>
          <w:rStyle w:val="NormalTok"/>
        </w:rPr>
        <w:t xml:space="preserve">w = obj.OriginalWidth</w:t>
      </w:r>
    </w:p>
    <w:bookmarkEnd w:id="3631"/>
    <w:bookmarkStart w:id="3632" w:name="return-values-106"/>
    <w:p>
      <w:pPr>
        <w:pStyle w:val="Heading2"/>
      </w:pPr>
      <w:r>
        <w:t xml:space="preserve">Return Values</w:t>
      </w:r>
    </w:p>
    <w:p>
      <w:pPr>
        <w:pStyle w:val="FirstParagraph"/>
      </w:pPr>
      <w:r>
        <w:t xml:space="preserve">Returns an Integer representing the original width in pixels.</w:t>
      </w:r>
    </w:p>
    <w:bookmarkEnd w:id="3632"/>
    <w:bookmarkStart w:id="3633" w:name="remarks-356"/>
    <w:p>
      <w:pPr>
        <w:pStyle w:val="Heading2"/>
      </w:pPr>
      <w:r>
        <w:t xml:space="preserve">Remarks</w:t>
      </w:r>
    </w:p>
    <w:p>
      <w:pPr>
        <w:pStyle w:val="Compact"/>
        <w:numPr>
          <w:ilvl w:val="0"/>
          <w:numId w:val="1912"/>
        </w:numPr>
      </w:pPr>
      <w:r>
        <w:t xml:space="preserve">This property is read-only. It retains the dimensions of the image as it was loaded/opened, even if the image is subsequently resized via the</w:t>
      </w:r>
      <w:r>
        <w:t xml:space="preserve"> </w:t>
      </w:r>
      <w:r>
        <w:rPr>
          <w:rStyle w:val="VerbatimChar"/>
        </w:rPr>
        <w:t xml:space="preserve">Width</w:t>
      </w:r>
      <w:r>
        <w:t xml:space="preserve"> </w:t>
      </w:r>
      <w:r>
        <w:t xml:space="preserve">or</w:t>
      </w:r>
      <w:r>
        <w:t xml:space="preserve"> </w:t>
      </w:r>
      <w:r>
        <w:rPr>
          <w:rStyle w:val="VerbatimChar"/>
        </w:rPr>
        <w:t xml:space="preserve">Height</w:t>
      </w:r>
      <w:r>
        <w:t xml:space="preserve"> </w:t>
      </w:r>
      <w:r>
        <w:t xml:space="preserve">properties.</w:t>
      </w:r>
    </w:p>
    <w:bookmarkEnd w:id="3633"/>
    <w:bookmarkStart w:id="3634" w:name="code-example-17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"Original: "</w:t>
      </w:r>
      <w:r>
        <w:rPr>
          <w:rStyle w:val="NormalTok"/>
        </w:rPr>
        <w:t xml:space="preserve"> </w:t>
      </w:r>
      <w:r>
        <w:rPr>
          <w:rStyle w:val="KeywordTok"/>
        </w:rPr>
        <w:t xml:space="preserve">&amp;</w:t>
      </w:r>
      <w:r>
        <w:rPr>
          <w:rStyle w:val="NormalTok"/>
        </w:rPr>
        <w:t xml:space="preserve"> jpeg.OriginalWidth </w:t>
      </w:r>
      <w:r>
        <w:rPr>
          <w:rStyle w:val="KeywordTok"/>
        </w:rPr>
        <w:t xml:space="preserve">&amp;</w:t>
      </w:r>
      <w:r>
        <w:rPr>
          <w:rStyle w:val="NormalTok"/>
        </w:rPr>
        <w:t xml:space="preserve"> </w:t>
      </w:r>
      <w:r>
        <w:rPr>
          <w:rStyle w:val="StringTok"/>
        </w:rPr>
        <w:t xml:space="preserve">", Current: "</w:t>
      </w:r>
      <w:r>
        <w:rPr>
          <w:rStyle w:val="NormalTok"/>
        </w:rPr>
        <w:t xml:space="preserve"> </w:t>
      </w:r>
      <w:r>
        <w:rPr>
          <w:rStyle w:val="KeywordTok"/>
        </w:rPr>
        <w:t xml:space="preserve">&amp;</w:t>
      </w:r>
      <w:r>
        <w:rPr>
          <w:rStyle w:val="NormalTok"/>
        </w:rPr>
        <w:t xml:space="preserve"> jpeg.Width</w:t>
      </w:r>
      <w:r>
        <w:br/>
      </w:r>
      <w:r>
        <w:rPr>
          <w:rStyle w:val="NormalTok"/>
        </w:rPr>
        <w:t xml:space="preserve">jpeg.Width = jpeg.OriginalWidth / </w:t>
      </w:r>
      <w:r>
        <w:rPr>
          <w:rStyle w:val="DecValTok"/>
        </w:rPr>
        <w:t xml:space="preserve">2</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half-resize, Current width: "</w:t>
      </w:r>
      <w:r>
        <w:rPr>
          <w:rStyle w:val="NormalTok"/>
        </w:rPr>
        <w:t xml:space="preserve"> </w:t>
      </w:r>
      <w:r>
        <w:rPr>
          <w:rStyle w:val="KeywordTok"/>
        </w:rPr>
        <w:t xml:space="preserve">&amp;</w:t>
      </w:r>
      <w:r>
        <w:rPr>
          <w:rStyle w:val="NormalTok"/>
        </w:rPr>
        <w:t xml:space="preserve"> jpeg.Width</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634"/>
    <w:bookmarkEnd w:id="3635"/>
    <w:bookmarkStart w:id="3641" w:name="quality-property"/>
    <w:p>
      <w:pPr>
        <w:pStyle w:val="Heading1"/>
      </w:pPr>
      <w:r>
        <w:t xml:space="preserve">Quality Property</w:t>
      </w:r>
    </w:p>
    <w:bookmarkStart w:id="3636" w:name="overview-383"/>
    <w:p>
      <w:pPr>
        <w:pStyle w:val="Heading2"/>
      </w:pPr>
      <w:r>
        <w:t xml:space="preserve">Overview</w:t>
      </w:r>
    </w:p>
    <w:p>
      <w:pPr>
        <w:pStyle w:val="FirstParagraph"/>
      </w:pPr>
      <w:r>
        <w:t xml:space="preserve">Gets or sets the JPEG compression quality for save and rendering operations. This property is part of the</w:t>
      </w:r>
      <w:r>
        <w:t xml:space="preserve"> </w:t>
      </w:r>
      <w:r>
        <w:rPr>
          <w:rStyle w:val="VerbatimChar"/>
        </w:rPr>
        <w:t xml:space="preserve">Persits.Jpeg</w:t>
      </w:r>
      <w:r>
        <w:t xml:space="preserve"> </w:t>
      </w:r>
      <w:r>
        <w:t xml:space="preserve">compatibility layer of the G3Pix AxonASP G3IMAGE library.</w:t>
      </w:r>
    </w:p>
    <w:bookmarkEnd w:id="3636"/>
    <w:bookmarkStart w:id="3637" w:name="syntax-382"/>
    <w:p>
      <w:pPr>
        <w:pStyle w:val="Heading2"/>
      </w:pPr>
      <w:r>
        <w:t xml:space="preserve">Syntax</w:t>
      </w:r>
    </w:p>
    <w:p>
      <w:pPr>
        <w:pStyle w:val="SourceCode"/>
      </w:pPr>
      <w:r>
        <w:rPr>
          <w:rStyle w:val="NormalTok"/>
        </w:rPr>
        <w:t xml:space="preserve">' Get Quality</w:t>
      </w:r>
      <w:r>
        <w:br/>
      </w:r>
      <w:r>
        <w:rPr>
          <w:rStyle w:val="NormalTok"/>
        </w:rPr>
        <w:t xml:space="preserve">q = obj.Quality</w:t>
      </w:r>
      <w:r>
        <w:br/>
      </w:r>
      <w:r>
        <w:br/>
      </w:r>
      <w:r>
        <w:rPr>
          <w:rStyle w:val="NormalTok"/>
        </w:rPr>
        <w:t xml:space="preserve">' Set Quality</w:t>
      </w:r>
      <w:r>
        <w:br/>
      </w:r>
      <w:r>
        <w:rPr>
          <w:rStyle w:val="NormalTok"/>
        </w:rPr>
        <w:t xml:space="preserve">obj.Quality = newQuality</w:t>
      </w:r>
    </w:p>
    <w:bookmarkEnd w:id="3637"/>
    <w:bookmarkStart w:id="3638" w:name="return-values-107"/>
    <w:p>
      <w:pPr>
        <w:pStyle w:val="Heading2"/>
      </w:pPr>
      <w:r>
        <w:t xml:space="preserve">Return Values</w:t>
      </w:r>
    </w:p>
    <w:p>
      <w:pPr>
        <w:pStyle w:val="FirstParagraph"/>
      </w:pPr>
      <w:r>
        <w:t xml:space="preserve">Returns an Integer in the range</w:t>
      </w:r>
      <w:r>
        <w:t xml:space="preserve"> </w:t>
      </w:r>
      <w:r>
        <w:rPr>
          <w:rStyle w:val="VerbatimChar"/>
        </w:rPr>
        <w:t xml:space="preserve">0..100</w:t>
      </w:r>
      <w:r>
        <w:t xml:space="preserve">.</w:t>
      </w:r>
    </w:p>
    <w:bookmarkEnd w:id="3638"/>
    <w:bookmarkStart w:id="3639" w:name="remarks-357"/>
    <w:p>
      <w:pPr>
        <w:pStyle w:val="Heading2"/>
      </w:pPr>
      <w:r>
        <w:t xml:space="preserve">Remarks</w:t>
      </w:r>
    </w:p>
    <w:p>
      <w:pPr>
        <w:pStyle w:val="Compact"/>
        <w:numPr>
          <w:ilvl w:val="0"/>
          <w:numId w:val="1913"/>
        </w:numPr>
      </w:pPr>
      <w:r>
        <w:t xml:space="preserve">This property is an alias for the native</w:t>
      </w:r>
      <w:r>
        <w:t xml:space="preserve"> </w:t>
      </w:r>
      <w:r>
        <w:rPr>
          <w:rStyle w:val="VerbatimChar"/>
        </w:rPr>
        <w:t xml:space="preserve">JPGQuality</w:t>
      </w:r>
      <w:r>
        <w:t xml:space="preserve"> </w:t>
      </w:r>
      <w:r>
        <w:t xml:space="preserve">property. It controls the compression factor when saving JPEG files or invoking</w:t>
      </w:r>
      <w:r>
        <w:t xml:space="preserve"> </w:t>
      </w:r>
      <w:r>
        <w:rPr>
          <w:rStyle w:val="VerbatimChar"/>
        </w:rPr>
        <w:t xml:space="preserve">SendBinary</w:t>
      </w:r>
      <w:r>
        <w:t xml:space="preserve">.</w:t>
      </w:r>
    </w:p>
    <w:bookmarkEnd w:id="3639"/>
    <w:bookmarkStart w:id="3640" w:name="code-example-17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NormalTok"/>
        </w:rPr>
        <w:t xml:space="preserve">jpeg.Quality = </w:t>
      </w:r>
      <w:r>
        <w:rPr>
          <w:rStyle w:val="DecValTok"/>
        </w:rPr>
        <w:t xml:space="preserve">80</w:t>
      </w:r>
      <w:r>
        <w:br/>
      </w:r>
      <w:r>
        <w:rPr>
          <w:rStyle w:val="NormalTok"/>
        </w:rPr>
        <w:t xml:space="preserve">jpeg.Save </w:t>
      </w:r>
      <w:r>
        <w:rPr>
          <w:rStyle w:val="FunctionTok"/>
        </w:rPr>
        <w:t xml:space="preserve">Server</w:t>
      </w:r>
      <w:r>
        <w:rPr>
          <w:rStyle w:val="NormalTok"/>
        </w:rPr>
        <w:t xml:space="preserve">.MapPath</w:t>
      </w:r>
      <w:r>
        <w:rPr>
          <w:rStyle w:val="OtherTok"/>
        </w:rPr>
        <w:t xml:space="preserve">(</w:t>
      </w:r>
      <w:r>
        <w:rPr>
          <w:rStyle w:val="StringTok"/>
        </w:rPr>
        <w:t xml:space="preserve">"compressed.jpg"</w:t>
      </w:r>
      <w:r>
        <w:rPr>
          <w:rStyle w:val="OtherTok"/>
        </w:rPr>
        <w:t xml:space="preserve">)</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640"/>
    <w:bookmarkEnd w:id="3641"/>
    <w:bookmarkStart w:id="3648" w:name="width-property"/>
    <w:p>
      <w:pPr>
        <w:pStyle w:val="Heading1"/>
      </w:pPr>
      <w:r>
        <w:t xml:space="preserve">Width Property</w:t>
      </w:r>
    </w:p>
    <w:bookmarkStart w:id="3642" w:name="overview-384"/>
    <w:p>
      <w:pPr>
        <w:pStyle w:val="Heading2"/>
      </w:pPr>
      <w:r>
        <w:t xml:space="preserve">Overview</w:t>
      </w:r>
    </w:p>
    <w:p>
      <w:pPr>
        <w:pStyle w:val="FirstParagraph"/>
      </w:pPr>
      <w:r>
        <w:t xml:space="preserve">Gets or sets the width of the active image context.</w:t>
      </w:r>
    </w:p>
    <w:bookmarkEnd w:id="3642"/>
    <w:bookmarkStart w:id="3643" w:name="syntax-383"/>
    <w:p>
      <w:pPr>
        <w:pStyle w:val="Heading2"/>
      </w:pPr>
      <w:r>
        <w:t xml:space="preserve">Syntax</w:t>
      </w:r>
    </w:p>
    <w:p>
      <w:pPr>
        <w:pStyle w:val="SourceCode"/>
      </w:pPr>
      <w:r>
        <w:rPr>
          <w:rStyle w:val="NormalTok"/>
        </w:rPr>
        <w:t xml:space="preserve">' Get width</w:t>
      </w:r>
      <w:r>
        <w:br/>
      </w:r>
      <w:r>
        <w:rPr>
          <w:rStyle w:val="NormalTok"/>
        </w:rPr>
        <w:t xml:space="preserve">w = obj.Width</w:t>
      </w:r>
      <w:r>
        <w:br/>
      </w:r>
      <w:r>
        <w:br/>
      </w:r>
      <w:r>
        <w:rPr>
          <w:rStyle w:val="NormalTok"/>
        </w:rPr>
        <w:t xml:space="preserve">' Set width (resizes the image)</w:t>
      </w:r>
      <w:r>
        <w:br/>
      </w:r>
      <w:r>
        <w:rPr>
          <w:rStyle w:val="NormalTok"/>
        </w:rPr>
        <w:t xml:space="preserve">obj.Width = newWidth</w:t>
      </w:r>
    </w:p>
    <w:bookmarkEnd w:id="3643"/>
    <w:bookmarkStart w:id="3644" w:name="return-values-108"/>
    <w:p>
      <w:pPr>
        <w:pStyle w:val="Heading2"/>
      </w:pPr>
      <w:r>
        <w:t xml:space="preserve">Return Values</w:t>
      </w:r>
    </w:p>
    <w:p>
      <w:pPr>
        <w:pStyle w:val="FirstParagraph"/>
      </w:pPr>
      <w:r>
        <w:t xml:space="preserve">Returns an Integer representing the width in pixels. Returns 0 if no context is active.</w:t>
      </w:r>
    </w:p>
    <w:bookmarkEnd w:id="3644"/>
    <w:bookmarkStart w:id="3645" w:name="remarks-358"/>
    <w:p>
      <w:pPr>
        <w:pStyle w:val="Heading2"/>
      </w:pPr>
      <w:r>
        <w:t xml:space="preserve">Remarks</w:t>
      </w:r>
    </w:p>
    <w:p>
      <w:pPr>
        <w:pStyle w:val="Compact"/>
        <w:numPr>
          <w:ilvl w:val="0"/>
          <w:numId w:val="1914"/>
        </w:numPr>
      </w:pPr>
      <w:r>
        <w:t xml:space="preserve">When using the</w:t>
      </w:r>
      <w:r>
        <w:t xml:space="preserve"> </w:t>
      </w:r>
      <w:r>
        <w:rPr>
          <w:rStyle w:val="VerbatimChar"/>
        </w:rPr>
        <w:t xml:space="preserve">Persits.Jpeg</w:t>
      </w:r>
      <w:r>
        <w:t xml:space="preserve"> </w:t>
      </w:r>
      <w:r>
        <w:t xml:space="preserve">compatibility layer, this property is read/write. Setting it will resample/resize the image to the new width using the algorithm specified by the</w:t>
      </w:r>
      <w:r>
        <w:t xml:space="preserve"> </w:t>
      </w:r>
      <w:r>
        <w:rPr>
          <w:rStyle w:val="VerbatimChar"/>
        </w:rPr>
        <w:t xml:space="preserve">Interpolation</w:t>
      </w:r>
      <w:r>
        <w:t xml:space="preserve"> </w:t>
      </w:r>
      <w:r>
        <w:t xml:space="preserve">property.</w:t>
      </w:r>
    </w:p>
    <w:p>
      <w:pPr>
        <w:pStyle w:val="Compact"/>
        <w:numPr>
          <w:ilvl w:val="0"/>
          <w:numId w:val="1914"/>
        </w:numPr>
      </w:pPr>
      <w:r>
        <w:t xml:space="preserve">For native G3IMAGE instances, this property remains read-only.</w:t>
      </w:r>
    </w:p>
    <w:bookmarkEnd w:id="3645"/>
    <w:bookmarkStart w:id="3646" w:name="code-example-18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jpeg</w:t>
      </w:r>
      <w:r>
        <w:br/>
      </w:r>
      <w:r>
        <w:rPr>
          <w:rStyle w:val="KeywordTok"/>
        </w:rPr>
        <w:t xml:space="preserve">Set</w:t>
      </w:r>
      <w:r>
        <w:rPr>
          <w:rStyle w:val="NormalTok"/>
        </w:rPr>
        <w:t xml:space="preserve"> jpeg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"Persits.Jpeg"</w:t>
      </w:r>
      <w:r>
        <w:rPr>
          <w:rStyle w:val="OtherTok"/>
        </w:rPr>
        <w:t xml:space="preserve">)</w:t>
      </w:r>
      <w:r>
        <w:br/>
      </w:r>
      <w:r>
        <w:rPr>
          <w:rStyle w:val="NormalTok"/>
        </w:rPr>
        <w:t xml:space="preserve">jpeg.</w:t>
      </w:r>
      <w:r>
        <w:rPr>
          <w:rStyle w:val="KeywordTok"/>
        </w:rPr>
        <w:t xml:space="preserve">Open</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"photo.jpg"</w:t>
      </w:r>
      <w:r>
        <w:rPr>
          <w:rStyle w:val="OtherTok"/>
        </w:rPr>
        <w:t xml:space="preserve">)</w:t>
      </w:r>
      <w:r>
        <w:br/>
      </w:r>
      <w:r>
        <w:rPr>
          <w:rStyle w:val="NormalTok"/>
        </w:rPr>
        <w:t xml:space="preserve">jpeg.Width = </w:t>
      </w:r>
      <w:r>
        <w:rPr>
          <w:rStyle w:val="DecValTok"/>
        </w:rPr>
        <w:t xml:space="preserve">200</w:t>
      </w:r>
      <w:r>
        <w:rPr>
          <w:rStyle w:val="NormalTok"/>
        </w:rPr>
        <w:t xml:space="preserve"> </w:t>
      </w:r>
      <w:r>
        <w:rPr>
          <w:rStyle w:val="CommentTok"/>
        </w:rPr>
        <w:t xml:space="preserve">' Resizes the image to 200px width</w:t>
      </w:r>
      <w:r>
        <w:br/>
      </w:r>
      <w:r>
        <w:rPr>
          <w:rStyle w:val="NormalTok"/>
        </w:rPr>
        <w:t xml:space="preserve">jpeg.Save </w:t>
      </w:r>
      <w:r>
        <w:rPr>
          <w:rStyle w:val="FunctionTok"/>
        </w:rPr>
        <w:t xml:space="preserve">Server</w:t>
      </w:r>
      <w:r>
        <w:rPr>
          <w:rStyle w:val="NormalTok"/>
        </w:rPr>
        <w:t xml:space="preserve">.MapPath</w:t>
      </w:r>
      <w:r>
        <w:rPr>
          <w:rStyle w:val="OtherTok"/>
        </w:rPr>
        <w:t xml:space="preserve">(</w:t>
      </w:r>
      <w:r>
        <w:rPr>
          <w:rStyle w:val="StringTok"/>
        </w:rPr>
        <w:t xml:space="preserve">"resized.jpg"</w:t>
      </w:r>
      <w:r>
        <w:rPr>
          <w:rStyle w:val="OtherTok"/>
        </w:rPr>
        <w:t xml:space="preserve">)</w:t>
      </w:r>
      <w:r>
        <w:br/>
      </w:r>
      <w:r>
        <w:rPr>
          <w:rStyle w:val="NormalTok"/>
        </w:rPr>
        <w:t xml:space="preserve">jpeg.</w:t>
      </w:r>
      <w:r>
        <w:rPr>
          <w:rStyle w:val="KeywordTok"/>
        </w:rPr>
        <w:t xml:space="preserve">Close</w:t>
      </w:r>
      <w:r>
        <w:br/>
      </w:r>
      <w:r>
        <w:rPr>
          <w:rStyle w:val="KeywordTok"/>
        </w:rPr>
        <w:t xml:space="preserve">Set</w:t>
      </w:r>
      <w:r>
        <w:rPr>
          <w:rStyle w:val="NormalTok"/>
        </w:rPr>
        <w:t xml:space="preserve"> jpeg = </w:t>
      </w:r>
      <w:r>
        <w:rPr>
          <w:rStyle w:val="KeywordTok"/>
        </w:rPr>
        <w:t xml:space="preserve">Nothing</w:t>
      </w:r>
      <w:r>
        <w:br/>
      </w:r>
      <w:r>
        <w:rPr>
          <w:rStyle w:val="DataTypeTok"/>
        </w:rPr>
        <w:t xml:space="preserve">%&gt;</w:t>
      </w:r>
    </w:p>
    <w:bookmarkEnd w:id="3646"/>
    <w:bookmarkStart w:id="3647" w:name="g3files"/>
    <w:p>
      <w:pPr>
        <w:pStyle w:val="Heading2"/>
      </w:pPr>
      <w:r>
        <w:t xml:space="preserve">G3FILES</w:t>
      </w:r>
    </w:p>
    <w:bookmarkEnd w:id="3647"/>
    <w:bookmarkEnd w:id="3648"/>
    <w:bookmarkStart w:id="3656" w:name="use-the-g3files-library"/>
    <w:p>
      <w:pPr>
        <w:pStyle w:val="Heading1"/>
      </w:pPr>
      <w:r>
        <w:t xml:space="preserve">Use the G3FILES Library</w:t>
      </w:r>
    </w:p>
    <w:bookmarkStart w:id="3649" w:name="overview-385"/>
    <w:p>
      <w:pPr>
        <w:pStyle w:val="Heading2"/>
      </w:pPr>
      <w:r>
        <w:t xml:space="preserve">Overview</w:t>
      </w:r>
    </w:p>
    <w:p>
      <w:pPr>
        <w:pStyle w:val="FirstParagraph"/>
      </w:pPr>
      <w:r>
        <w:t xml:space="preserve">The</w:t>
      </w:r>
      <w:r>
        <w:t xml:space="preserve"> </w:t>
      </w:r>
      <w:r>
        <w:rPr>
          <w:b/>
          <w:bCs/>
        </w:rPr>
        <w:t xml:space="preserve">G3FILES</w:t>
      </w:r>
      <w:r>
        <w:t xml:space="preserve"> </w:t>
      </w:r>
      <w:r>
        <w:t xml:space="preserve">library provides high-performance file system operations for G3Pix AxonASP applications. It offers a comprehensive set of methods for reading, writing, and managing files and directories with built-in support for multiple text encodings (UTF-8, UTF-16, ISO-8859-1, ASCII) and line ending normalization. The library is optimized for server-side file management and operates within the AxonASP sandboxed file system.</w:t>
      </w:r>
    </w:p>
    <w:bookmarkEnd w:id="3649"/>
    <w:bookmarkStart w:id="3650" w:name="syntax-384"/>
    <w:p>
      <w:pPr>
        <w:pStyle w:val="Heading2"/>
      </w:pPr>
      <w:r>
        <w:t xml:space="preserve">Syntax</w:t>
      </w:r>
    </w:p>
    <w:p>
      <w:pPr>
        <w:pStyle w:val="FirstParagraph"/>
      </w:pPr>
      <w:r>
        <w:t xml:space="preserve">To instantiate the library, use the following syntax:</w:t>
      </w:r>
    </w:p>
    <w:p>
      <w:pPr>
        <w:pStyle w:val="SourceCode"/>
      </w:pPr>
      <w:r>
        <w:rPr>
          <w:rStyle w:val="NormalTok"/>
        </w:rPr>
        <w:t xml:space="preserve">Dim files</w:t>
      </w:r>
      <w:r>
        <w:br/>
      </w:r>
      <w:r>
        <w:rPr>
          <w:rStyle w:val="NormalTok"/>
        </w:rPr>
        <w:t xml:space="preserve">Set files = Server.CreateObject("G3FILES")</w:t>
      </w:r>
    </w:p>
    <w:p>
      <w:pPr>
        <w:pStyle w:val="SourceCode"/>
      </w:pPr>
      <w:r>
        <w:rPr>
          <w:rStyle w:val="KeywordTok"/>
        </w:rPr>
        <w:t xml:space="preserve">var</w:t>
      </w:r>
      <w:r>
        <w:rPr>
          <w:rStyle w:val="NormalTok"/>
        </w:rPr>
        <w:t xml:space="preserve"> files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"G3FILES"</w:t>
      </w:r>
      <w:r>
        <w:rPr>
          <w:rStyle w:val="NormalTok"/>
        </w:rPr>
        <w:t xml:space="preserve">)</w:t>
      </w:r>
      <w:r>
        <w:rPr>
          <w:rStyle w:val="OperatorTok"/>
        </w:rPr>
        <w:t xml:space="preserve">;</w:t>
      </w:r>
    </w:p>
    <w:bookmarkEnd w:id="3650"/>
    <w:bookmarkStart w:id="3651" w:name="prerequisites-151"/>
    <w:p>
      <w:pPr>
        <w:pStyle w:val="Heading2"/>
      </w:pPr>
      <w:r>
        <w:t xml:space="preserve">Prerequisites</w:t>
      </w:r>
    </w:p>
    <w:p>
      <w:pPr>
        <w:pStyle w:val="Compact"/>
        <w:numPr>
          <w:ilvl w:val="0"/>
          <w:numId w:val="1915"/>
        </w:numPr>
      </w:pPr>
      <w:r>
        <w:rPr>
          <w:b/>
          <w:bCs/>
        </w:rPr>
        <w:t xml:space="preserve">File System Permissions</w:t>
      </w:r>
      <w:r>
        <w:t xml:space="preserve">: The AxonASP service must have appropriate read and write permissions for the target directories.</w:t>
      </w:r>
    </w:p>
    <w:p>
      <w:pPr>
        <w:pStyle w:val="Compact"/>
        <w:numPr>
          <w:ilvl w:val="0"/>
          <w:numId w:val="1915"/>
        </w:numPr>
      </w:pPr>
      <w:r>
        <w:rPr>
          <w:b/>
          <w:bCs/>
        </w:rPr>
        <w:t xml:space="preserve">Sandbox Configuration</w:t>
      </w:r>
      <w:r>
        <w:t xml:space="preserve">: All file paths are resolved relative to the configured AxonASP sandbox root for security.</w:t>
      </w:r>
    </w:p>
    <w:bookmarkEnd w:id="3651"/>
    <w:bookmarkStart w:id="3652" w:name="how-it-works-22"/>
    <w:p>
      <w:pPr>
        <w:pStyle w:val="Heading2"/>
      </w:pPr>
      <w:r>
        <w:t xml:space="preserve">How it Works</w:t>
      </w:r>
    </w:p>
    <w:p>
      <w:pPr>
        <w:pStyle w:val="FirstParagraph"/>
      </w:pPr>
      <w:r>
        <w:t xml:space="preserve">The G3FILES object provides direct access to the underlying host file system through the AxonASP Virtual Machine.</w:t>
      </w:r>
      <w:r>
        <w:t xml:space="preserve"> </w:t>
      </w:r>
      <w:r>
        <w:t xml:space="preserve">-</w:t>
      </w:r>
      <w:r>
        <w:t xml:space="preserve"> </w:t>
      </w:r>
      <w:r>
        <w:rPr>
          <w:b/>
          <w:bCs/>
        </w:rPr>
        <w:t xml:space="preserve">Encoding Support</w:t>
      </w:r>
      <w:r>
        <w:t xml:space="preserve">: The library automatically handles Byte Order Marks (BOM) when reading files and allows explicit BOM inclusion when writing.</w:t>
      </w:r>
      <w:r>
        <w:t xml:space="preserve"> </w:t>
      </w:r>
      <w:r>
        <w:t xml:space="preserve">-</w:t>
      </w:r>
      <w:r>
        <w:t xml:space="preserve"> </w:t>
      </w:r>
      <w:r>
        <w:rPr>
          <w:b/>
          <w:bCs/>
        </w:rPr>
        <w:t xml:space="preserve">Line Endings</w:t>
      </w:r>
      <w:r>
        <w:t xml:space="preserve">: Line endings can be normalized to Windows (CRLF), Linux/Unix (LF), or legacy Mac (CR) styles during write or conversion operations.</w:t>
      </w:r>
      <w:r>
        <w:t xml:space="preserve"> </w:t>
      </w:r>
      <w:r>
        <w:t xml:space="preserve">-</w:t>
      </w:r>
      <w:r>
        <w:t xml:space="preserve"> </w:t>
      </w:r>
      <w:r>
        <w:rPr>
          <w:b/>
          <w:bCs/>
        </w:rPr>
        <w:t xml:space="preserve">Path Resolution</w:t>
      </w:r>
      <w:r>
        <w:t xml:space="preserve">: Relative paths are automatically resolved within the AxonASP sandbox, ensuring that file operations cannot escape the intended application directory.</w:t>
      </w:r>
    </w:p>
    <w:bookmarkEnd w:id="3652"/>
    <w:bookmarkStart w:id="3654" w:name="api-reference-154"/>
    <w:p>
      <w:pPr>
        <w:pStyle w:val="Heading2"/>
      </w:pPr>
      <w:r>
        <w:t xml:space="preserve">API Reference</w:t>
      </w:r>
    </w:p>
    <w:bookmarkStart w:id="3653" w:name="methods-19"/>
    <w:p>
      <w:pPr>
        <w:pStyle w:val="Heading3"/>
      </w:pPr>
      <w:r>
        <w:t xml:space="preserve">Methods</w:t>
      </w:r>
    </w:p>
    <w:p>
      <w:pPr>
        <w:pStyle w:val="Compact"/>
        <w:numPr>
          <w:ilvl w:val="0"/>
          <w:numId w:val="1916"/>
        </w:numPr>
      </w:pPr>
      <w:r>
        <w:rPr>
          <w:b/>
          <w:bCs/>
        </w:rPr>
        <w:t xml:space="preserve">Append</w:t>
      </w:r>
      <w:r>
        <w:t xml:space="preserve">: Appends text content to an existing file or creates it if it does not exist.</w:t>
      </w:r>
    </w:p>
    <w:p>
      <w:pPr>
        <w:pStyle w:val="Compact"/>
        <w:numPr>
          <w:ilvl w:val="0"/>
          <w:numId w:val="1916"/>
        </w:numPr>
      </w:pPr>
      <w:r>
        <w:rPr>
          <w:b/>
          <w:bCs/>
        </w:rPr>
        <w:t xml:space="preserve">ConvertFileEncoding</w:t>
      </w:r>
      <w:r>
        <w:t xml:space="preserve">: Converts the text encoding and line endings of a file on disk.</w:t>
      </w:r>
    </w:p>
    <w:p>
      <w:pPr>
        <w:pStyle w:val="Compact"/>
        <w:numPr>
          <w:ilvl w:val="0"/>
          <w:numId w:val="1916"/>
        </w:numPr>
      </w:pPr>
      <w:r>
        <w:rPr>
          <w:b/>
          <w:bCs/>
        </w:rPr>
        <w:t xml:space="preserve">ConvertTextEncoding</w:t>
      </w:r>
      <w:r>
        <w:t xml:space="preserve">: Returns a string converted from one text encoding to another.</w:t>
      </w:r>
    </w:p>
    <w:p>
      <w:pPr>
        <w:pStyle w:val="Compact"/>
        <w:numPr>
          <w:ilvl w:val="0"/>
          <w:numId w:val="1916"/>
        </w:numPr>
      </w:pPr>
      <w:r>
        <w:rPr>
          <w:b/>
          <w:bCs/>
        </w:rPr>
        <w:t xml:space="preserve">Copy</w:t>
      </w:r>
      <w:r>
        <w:t xml:space="preserve">: Copies a file from a source path to a destination path.</w:t>
      </w:r>
    </w:p>
    <w:p>
      <w:pPr>
        <w:pStyle w:val="Compact"/>
        <w:numPr>
          <w:ilvl w:val="0"/>
          <w:numId w:val="1916"/>
        </w:numPr>
      </w:pPr>
      <w:r>
        <w:rPr>
          <w:b/>
          <w:bCs/>
        </w:rPr>
        <w:t xml:space="preserve">Delete</w:t>
      </w:r>
      <w:r>
        <w:t xml:space="preserve">: Permanently removes a file or directory from the file system.</w:t>
      </w:r>
    </w:p>
    <w:p>
      <w:pPr>
        <w:pStyle w:val="Compact"/>
        <w:numPr>
          <w:ilvl w:val="0"/>
          <w:numId w:val="1916"/>
        </w:numPr>
      </w:pPr>
      <w:r>
        <w:rPr>
          <w:b/>
          <w:bCs/>
        </w:rPr>
        <w:t xml:space="preserve">Exists</w:t>
      </w:r>
      <w:r>
        <w:t xml:space="preserve">: Returns a Boolean indicating whether a file or directory exists at the specified path.</w:t>
      </w:r>
    </w:p>
    <w:p>
      <w:pPr>
        <w:pStyle w:val="Compact"/>
        <w:numPr>
          <w:ilvl w:val="0"/>
          <w:numId w:val="1916"/>
        </w:numPr>
      </w:pPr>
      <w:r>
        <w:rPr>
          <w:b/>
          <w:bCs/>
        </w:rPr>
        <w:t xml:space="preserve">List</w:t>
      </w:r>
      <w:r>
        <w:t xml:space="preserve">: Returns an Array containing the names of all files within a specified directory.</w:t>
      </w:r>
    </w:p>
    <w:p>
      <w:pPr>
        <w:pStyle w:val="Compact"/>
        <w:numPr>
          <w:ilvl w:val="0"/>
          <w:numId w:val="1916"/>
        </w:numPr>
      </w:pPr>
      <w:r>
        <w:rPr>
          <w:b/>
          <w:bCs/>
        </w:rPr>
        <w:t xml:space="preserve">Mkdir</w:t>
      </w:r>
      <w:r>
        <w:t xml:space="preserve">: Creates a new directory or a full directory path recursively.</w:t>
      </w:r>
    </w:p>
    <w:p>
      <w:pPr>
        <w:pStyle w:val="Compact"/>
        <w:numPr>
          <w:ilvl w:val="0"/>
          <w:numId w:val="1916"/>
        </w:numPr>
      </w:pPr>
      <w:r>
        <w:rPr>
          <w:b/>
          <w:bCs/>
        </w:rPr>
        <w:t xml:space="preserve">Move</w:t>
      </w:r>
      <w:r>
        <w:t xml:space="preserve">: Renames or moves a file or directory to a new location.</w:t>
      </w:r>
    </w:p>
    <w:p>
      <w:pPr>
        <w:pStyle w:val="Compact"/>
        <w:numPr>
          <w:ilvl w:val="0"/>
          <w:numId w:val="1916"/>
        </w:numPr>
      </w:pPr>
      <w:r>
        <w:rPr>
          <w:b/>
          <w:bCs/>
        </w:rPr>
        <w:t xml:space="preserve">NormalizeEOL</w:t>
      </w:r>
      <w:r>
        <w:t xml:space="preserve">: Returns a string with line endings converted to a specified style.</w:t>
      </w:r>
    </w:p>
    <w:p>
      <w:pPr>
        <w:pStyle w:val="Compact"/>
        <w:numPr>
          <w:ilvl w:val="0"/>
          <w:numId w:val="1916"/>
        </w:numPr>
      </w:pPr>
      <w:r>
        <w:rPr>
          <w:b/>
          <w:bCs/>
        </w:rPr>
        <w:t xml:space="preserve">Read</w:t>
      </w:r>
      <w:r>
        <w:t xml:space="preserve">: Returns the full text content of a file using a specified encoding.</w:t>
      </w:r>
    </w:p>
    <w:p>
      <w:pPr>
        <w:pStyle w:val="Compact"/>
        <w:numPr>
          <w:ilvl w:val="0"/>
          <w:numId w:val="1916"/>
        </w:numPr>
      </w:pPr>
      <w:r>
        <w:rPr>
          <w:b/>
          <w:bCs/>
        </w:rPr>
        <w:t xml:space="preserve">Size</w:t>
      </w:r>
      <w:r>
        <w:t xml:space="preserve">: Returns the size of a file in bytes.</w:t>
      </w:r>
    </w:p>
    <w:p>
      <w:pPr>
        <w:pStyle w:val="Compact"/>
        <w:numPr>
          <w:ilvl w:val="0"/>
          <w:numId w:val="1916"/>
        </w:numPr>
      </w:pPr>
      <w:r>
        <w:rPr>
          <w:b/>
          <w:bCs/>
        </w:rPr>
        <w:t xml:space="preserve">Write</w:t>
      </w:r>
      <w:r>
        <w:t xml:space="preserve">: Writes text content to a file, overwriting any existing content.</w:t>
      </w:r>
    </w:p>
    <w:bookmarkEnd w:id="3653"/>
    <w:bookmarkEnd w:id="3654"/>
    <w:bookmarkStart w:id="3655" w:name="code-example-181"/>
    <w:p>
      <w:pPr>
        <w:pStyle w:val="Heading2"/>
      </w:pPr>
      <w:r>
        <w:t xml:space="preserve">Code Example</w:t>
      </w:r>
    </w:p>
    <w:p>
      <w:pPr>
        <w:pStyle w:val="FirstParagraph"/>
      </w:pPr>
      <w:r>
        <w:t xml:space="preserve">The following example demonstrates how to check for a file’s existence, read its content, and write a modified version to a new location.</w:t>
      </w:r>
    </w:p>
    <w:p>
      <w:pPr>
        <w:pStyle w:val="SourceCode"/>
      </w:pPr>
      <w:r>
        <w:rPr>
          <w:rStyle w:val="DataTypeTok"/>
        </w:rPr>
        <w:t xml:space="preserve">&lt;%</w:t>
      </w:r>
      <w:r>
        <w:br/>
      </w:r>
      <w:r>
        <w:rPr>
          <w:rStyle w:val="KeywordTok"/>
        </w:rPr>
        <w:t xml:space="preserve">Dim</w:t>
      </w:r>
      <w:r>
        <w:rPr>
          <w:rStyle w:val="NormalTok"/>
        </w:rPr>
        <w:t xml:space="preserve"> files</w:t>
      </w:r>
      <w:r>
        <w:rPr>
          <w:rStyle w:val="OtherTok"/>
        </w:rPr>
        <w:t xml:space="preserve">,</w:t>
      </w:r>
      <w:r>
        <w:rPr>
          <w:rStyle w:val="NormalTok"/>
        </w:rPr>
        <w:t xml:space="preserve"> content</w:t>
      </w:r>
      <w:r>
        <w:rPr>
          <w:rStyle w:val="OtherTok"/>
        </w:rPr>
        <w:t xml:space="preserve">,</w:t>
      </w:r>
      <w:r>
        <w:rPr>
          <w:rStyle w:val="NormalTok"/>
        </w:rPr>
        <w:t xml:space="preserve"> success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br/>
      </w:r>
      <w:r>
        <w:rPr>
          <w:rStyle w:val="CommentTok"/>
        </w:rPr>
        <w:t xml:space="preserve">' Check if a configuration file exists</w:t>
      </w:r>
      <w:r>
        <w:br/>
      </w:r>
      <w:r>
        <w:rPr>
          <w:rStyle w:val="ControlFlowTok"/>
        </w:rPr>
        <w:t xml:space="preserve">If</w:t>
      </w:r>
      <w:r>
        <w:rPr>
          <w:rStyle w:val="NormalTok"/>
        </w:rPr>
        <w:t xml:space="preserve"> files.</w:t>
      </w:r>
      <w:r>
        <w:rPr>
          <w:rStyle w:val="FunctionTok"/>
        </w:rPr>
        <w:t xml:space="preserve">Exists</w:t>
      </w:r>
      <w:r>
        <w:rPr>
          <w:rStyle w:val="OtherTok"/>
        </w:rPr>
        <w:t xml:space="preserve">(</w:t>
      </w:r>
      <w:r>
        <w:rPr>
          <w:rStyle w:val="StringTok"/>
        </w:rPr>
        <w:t xml:space="preserve">"/config/settings.txt"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Read content using UTF-8 encoding</w:t>
      </w:r>
      <w:r>
        <w:br/>
      </w:r>
      <w:r>
        <w:rPr>
          <w:rStyle w:val="NormalTok"/>
        </w:rPr>
        <w:t xml:space="preserve">    content = files.</w:t>
      </w:r>
      <w:r>
        <w:rPr>
          <w:rStyle w:val="FunctionTok"/>
        </w:rPr>
        <w:t xml:space="preserve">Read</w:t>
      </w:r>
      <w:r>
        <w:rPr>
          <w:rStyle w:val="OtherTok"/>
        </w:rPr>
        <w:t xml:space="preserve">(</w:t>
      </w:r>
      <w:r>
        <w:rPr>
          <w:rStyle w:val="StringTok"/>
        </w:rPr>
        <w:t xml:space="preserve">"/config/settings.txt"</w:t>
      </w:r>
      <w:r>
        <w:rPr>
          <w:rStyle w:val="OtherTok"/>
        </w:rPr>
        <w:t xml:space="preserve">,</w:t>
      </w:r>
      <w:r>
        <w:rPr>
          <w:rStyle w:val="NormalTok"/>
        </w:rPr>
        <w:t xml:space="preserve"> </w:t>
      </w:r>
      <w:r>
        <w:rPr>
          <w:rStyle w:val="StringTok"/>
        </w:rPr>
        <w:t xml:space="preserve">"utf-8"</w:t>
      </w:r>
      <w:r>
        <w:rPr>
          <w:rStyle w:val="OtherTok"/>
        </w:rPr>
        <w:t xml:space="preserve">)</w:t>
      </w:r>
      <w:r>
        <w:br/>
      </w:r>
      <w:r>
        <w:rPr>
          <w:rStyle w:val="NormalTok"/>
        </w:rPr>
        <w:t xml:space="preserve">    </w:t>
      </w:r>
      <w:r>
        <w:br/>
      </w:r>
      <w:r>
        <w:rPr>
          <w:rStyle w:val="NormalTok"/>
        </w:rPr>
        <w:t xml:space="preserve">    </w:t>
      </w:r>
      <w:r>
        <w:rPr>
          <w:rStyle w:val="CommentTok"/>
        </w:rPr>
        <w:t xml:space="preserve">' Append a timestamp to the content</w:t>
      </w:r>
      <w:r>
        <w:br/>
      </w:r>
      <w:r>
        <w:rPr>
          <w:rStyle w:val="NormalTok"/>
        </w:rPr>
        <w:t xml:space="preserve">    content = content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"Last Access: "</w:t>
      </w:r>
      <w:r>
        <w:rPr>
          <w:rStyle w:val="NormalTok"/>
        </w:rPr>
        <w:t xml:space="preserve"> </w:t>
      </w:r>
      <w:r>
        <w:rPr>
          <w:rStyle w:val="KeywordTok"/>
        </w:rPr>
        <w:t xml:space="preserve">&amp;</w:t>
      </w:r>
      <w:r>
        <w:rPr>
          <w:rStyle w:val="NormalTok"/>
        </w:rPr>
        <w:t xml:space="preserve"> </w:t>
      </w:r>
      <w:r>
        <w:rPr>
          <w:rStyle w:val="FunctionTok"/>
        </w:rPr>
        <w:t xml:space="preserve">Now</w:t>
      </w:r>
      <w:r>
        <w:rPr>
          <w:rStyle w:val="OtherTok"/>
        </w:rPr>
        <w:t xml:space="preserve">()</w:t>
      </w:r>
      <w:r>
        <w:br/>
      </w:r>
      <w:r>
        <w:rPr>
          <w:rStyle w:val="NormalTok"/>
        </w:rPr>
        <w:t xml:space="preserve">    </w:t>
      </w:r>
      <w:r>
        <w:br/>
      </w:r>
      <w:r>
        <w:rPr>
          <w:rStyle w:val="NormalTok"/>
        </w:rPr>
        <w:t xml:space="preserve">    </w:t>
      </w:r>
      <w:r>
        <w:rPr>
          <w:rStyle w:val="CommentTok"/>
        </w:rPr>
        <w:t xml:space="preserve">' Write the updated content to a backup file</w:t>
      </w:r>
      <w:r>
        <w:br/>
      </w:r>
      <w:r>
        <w:rPr>
          <w:rStyle w:val="NormalTok"/>
        </w:rPr>
        <w:t xml:space="preserve">    success = files.</w:t>
      </w:r>
      <w:r>
        <w:rPr>
          <w:rStyle w:val="FunctionTok"/>
        </w:rPr>
        <w:t xml:space="preserve">Write</w:t>
      </w:r>
      <w:r>
        <w:rPr>
          <w:rStyle w:val="OtherTok"/>
        </w:rPr>
        <w:t xml:space="preserve">(</w:t>
      </w:r>
      <w:r>
        <w:rPr>
          <w:rStyle w:val="StringTok"/>
        </w:rPr>
        <w:t xml:space="preserve">"/backups/settings_backup.txt"</w:t>
      </w:r>
      <w:r>
        <w:rPr>
          <w:rStyle w:val="OtherTok"/>
        </w:rPr>
        <w:t xml:space="preserve">,</w:t>
      </w:r>
      <w:r>
        <w:rPr>
          <w:rStyle w:val="NormalTok"/>
        </w:rPr>
        <w:t xml:space="preserve"> content</w:t>
      </w:r>
      <w:r>
        <w:rPr>
          <w:rStyle w:val="OtherTok"/>
        </w:rPr>
        <w:t xml:space="preserve">,</w:t>
      </w:r>
      <w:r>
        <w:rPr>
          <w:rStyle w:val="NormalTok"/>
        </w:rPr>
        <w:t xml:space="preserve"> </w:t>
      </w:r>
      <w:r>
        <w:rPr>
          <w:rStyle w:val="StringTok"/>
        </w:rPr>
        <w:t xml:space="preserve">"utf-8"</w:t>
      </w:r>
      <w:r>
        <w:rPr>
          <w:rStyle w:val="OtherTok"/>
        </w:rPr>
        <w:t xml:space="preserve">,</w:t>
      </w:r>
      <w:r>
        <w:rPr>
          <w:rStyle w:val="NormalTok"/>
        </w:rPr>
        <w:t xml:space="preserve"> </w:t>
      </w:r>
      <w:r>
        <w:rPr>
          <w:rStyle w:val="StringTok"/>
        </w:rPr>
        <w:t xml:space="preserve">"windows"</w:t>
      </w:r>
      <w:r>
        <w:rPr>
          <w:rStyle w:val="OtherTok"/>
        </w:rPr>
        <w:t xml:space="preserve">,</w:t>
      </w:r>
      <w:r>
        <w:rPr>
          <w:rStyle w:val="NormalTok"/>
        </w:rPr>
        <w:t xml:space="preserve"> </w:t>
      </w:r>
      <w:r>
        <w:rPr>
          <w:rStyle w:val="KeywordTok"/>
        </w:rPr>
        <w:t xml:space="preserve">True</w:t>
      </w:r>
      <w:r>
        <w:rPr>
          <w:rStyle w:val="Other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"Backup created successfully."</w:t>
      </w:r>
      <w:r>
        <w:br/>
      </w:r>
      <w:r>
        <w:rPr>
          <w:rStyle w:val="NormalTok"/>
        </w:rPr>
        <w:t xml:space="preserve">    </w:t>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to create backup."</w:t>
      </w:r>
      <w:r>
        <w:br/>
      </w:r>
      <w:r>
        <w:rPr>
          <w:rStyle w:val="NormalTok"/>
        </w:rPr>
        <w:t xml:space="preserve">    </w:t>
      </w:r>
      <w:r>
        <w:rPr>
          <w:rStyle w:val="ControlFlowTok"/>
        </w:rPr>
        <w:t xml:space="preserve">End If</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"Source file not found."</w:t>
      </w:r>
      <w:r>
        <w:br/>
      </w:r>
      <w:r>
        <w:rPr>
          <w:rStyle w:val="ControlFlowTok"/>
        </w:rPr>
        <w:t xml:space="preserve">End If</w:t>
      </w:r>
      <w:r>
        <w:br/>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655"/>
    <w:bookmarkEnd w:id="3656"/>
    <w:bookmarkStart w:id="3660" w:name="g3files-methods"/>
    <w:p>
      <w:pPr>
        <w:pStyle w:val="Heading1"/>
      </w:pPr>
      <w:r>
        <w:t xml:space="preserve">G3FILES Methods</w:t>
      </w:r>
    </w:p>
    <w:bookmarkStart w:id="3657" w:name="overview-386"/>
    <w:p>
      <w:pPr>
        <w:pStyle w:val="Heading2"/>
      </w:pPr>
      <w:r>
        <w:t xml:space="preserve">Overview</w:t>
      </w:r>
    </w:p>
    <w:p>
      <w:pPr>
        <w:pStyle w:val="FirstParagraph"/>
      </w:pPr>
      <w:r>
        <w:t xml:space="preserve">This page summarizes every method exposed by</w:t>
      </w:r>
      <w:r>
        <w:t xml:space="preserve"> </w:t>
      </w:r>
      <w:r>
        <w:rPr>
          <w:rStyle w:val="VerbatimChar"/>
        </w:rPr>
        <w:t xml:space="preserve">G3FILES</w:t>
      </w:r>
      <w:r>
        <w:t xml:space="preserve"> </w:t>
      </w:r>
      <w:r>
        <w:t xml:space="preserve">in G3Pix AxonASP.</w:t>
      </w:r>
    </w:p>
    <w:bookmarkEnd w:id="3657"/>
    <w:bookmarkStart w:id="3658" w:name="methods-20"/>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Exists(path)</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the file or directory exists; otherwise</w:t>
            </w:r>
            <w:r>
              <w:t xml:space="preserve"> </w:t>
            </w:r>
            <w:r>
              <w:rPr>
                <w:rStyle w:val="VerbatimChar"/>
              </w:rPr>
              <w:t xml:space="preserve">False</w:t>
            </w:r>
            <w:r>
              <w:t xml:space="preserve">.</w:t>
            </w:r>
          </w:p>
        </w:tc>
      </w:tr>
      <w:tr>
        <w:tc>
          <w:tcPr/>
          <w:p>
            <w:pPr>
              <w:pStyle w:val="Compact"/>
            </w:pPr>
            <w:r>
              <w:rPr>
                <w:rStyle w:val="VerbatimChar"/>
              </w:rPr>
              <w:t xml:space="preserve">Read(path [, encoding])</w:t>
            </w:r>
          </w:p>
        </w:tc>
        <w:tc>
          <w:tcPr/>
          <w:p>
            <w:pPr>
              <w:pStyle w:val="Compact"/>
            </w:pPr>
            <w:r>
              <w:t xml:space="preserve">String</w:t>
            </w:r>
          </w:p>
        </w:tc>
        <w:tc>
          <w:tcPr/>
          <w:p>
            <w:pPr>
              <w:pStyle w:val="Compact"/>
            </w:pPr>
            <w:r>
              <w:t xml:space="preserve">Returns file text decoded with the requested encoding; returns empty string when path is missing or read fails.</w:t>
            </w:r>
          </w:p>
        </w:tc>
      </w:tr>
      <w:tr>
        <w:tc>
          <w:tcPr/>
          <w:p>
            <w:pPr>
              <w:pStyle w:val="Compact"/>
            </w:pPr>
            <w:r>
              <w:rPr>
                <w:rStyle w:val="VerbatimChar"/>
              </w:rPr>
              <w:t xml:space="preserve">Write(path, content [, encoding] [, lineEnding] [, includeBOM])</w:t>
            </w:r>
          </w:p>
        </w:tc>
        <w:tc>
          <w:tcPr/>
          <w:p>
            <w:pPr>
              <w:pStyle w:val="Compact"/>
            </w:pPr>
            <w:r>
              <w:t xml:space="preserve">Boolean</w:t>
            </w:r>
          </w:p>
        </w:tc>
        <w:tc>
          <w:tcPr/>
          <w:p>
            <w:pPr>
              <w:pStyle w:val="Compact"/>
            </w:pPr>
            <w:r>
              <w:t xml:space="preserve">Writes content to file (overwrite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Append(path, content [, encoding] [, lineEnding])</w:t>
            </w:r>
          </w:p>
        </w:tc>
        <w:tc>
          <w:tcPr/>
          <w:p>
            <w:pPr>
              <w:pStyle w:val="Compact"/>
            </w:pPr>
            <w:r>
              <w:t xml:space="preserve">Boolean</w:t>
            </w:r>
          </w:p>
        </w:tc>
        <w:tc>
          <w:tcPr/>
          <w:p>
            <w:pPr>
              <w:pStyle w:val="Compact"/>
            </w:pPr>
            <w:r>
              <w:t xml:space="preserve">Appends content to file (create if missing).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Delete(path)</w:t>
            </w:r>
          </w:p>
        </w:tc>
        <w:tc>
          <w:tcPr/>
          <w:p>
            <w:pPr>
              <w:pStyle w:val="Compact"/>
            </w:pPr>
            <w:r>
              <w:t xml:space="preserve">Boolean</w:t>
            </w:r>
          </w:p>
        </w:tc>
        <w:tc>
          <w:tcPr/>
          <w:p>
            <w:pPr>
              <w:pStyle w:val="Compact"/>
            </w:pPr>
            <w:r>
              <w:t xml:space="preserve">Removes a file or directory entry.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Copy(sourcePath, destPath)</w:t>
            </w:r>
          </w:p>
        </w:tc>
        <w:tc>
          <w:tcPr/>
          <w:p>
            <w:pPr>
              <w:pStyle w:val="Compact"/>
            </w:pPr>
            <w:r>
              <w:t xml:space="preserve">Boolean</w:t>
            </w:r>
          </w:p>
        </w:tc>
        <w:tc>
          <w:tcPr/>
          <w:p>
            <w:pPr>
              <w:pStyle w:val="Compact"/>
            </w:pPr>
            <w:r>
              <w:t xml:space="preserve">Copies source file to destination path.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Move(sourcePath, destPath)</w:t>
            </w:r>
          </w:p>
        </w:tc>
        <w:tc>
          <w:tcPr/>
          <w:p>
            <w:pPr>
              <w:pStyle w:val="Compact"/>
            </w:pPr>
            <w:r>
              <w:t xml:space="preserve">Boolean</w:t>
            </w:r>
          </w:p>
        </w:tc>
        <w:tc>
          <w:tcPr/>
          <w:p>
            <w:pPr>
              <w:pStyle w:val="Compact"/>
            </w:pPr>
            <w:r>
              <w:t xml:space="preserve">Moves or renames source path to destination path.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Size(path)</w:t>
            </w:r>
          </w:p>
        </w:tc>
        <w:tc>
          <w:tcPr/>
          <w:p>
            <w:pPr>
              <w:pStyle w:val="Compact"/>
            </w:pPr>
            <w:r>
              <w:t xml:space="preserve">Integer</w:t>
            </w:r>
          </w:p>
        </w:tc>
        <w:tc>
          <w:tcPr/>
          <w:p>
            <w:pPr>
              <w:pStyle w:val="Compact"/>
            </w:pPr>
            <w:r>
              <w:t xml:space="preserve">Returns file size in bytes, or</w:t>
            </w:r>
            <w:r>
              <w:t xml:space="preserve"> </w:t>
            </w:r>
            <w:r>
              <w:rPr>
                <w:rStyle w:val="VerbatimChar"/>
              </w:rPr>
              <w:t xml:space="preserve">0</w:t>
            </w:r>
            <w:r>
              <w:t xml:space="preserve"> </w:t>
            </w:r>
            <w:r>
              <w:t xml:space="preserve">when path is missing, file does not exist, or path is a directory.</w:t>
            </w:r>
          </w:p>
        </w:tc>
      </w:tr>
      <w:tr>
        <w:tc>
          <w:tcPr/>
          <w:p>
            <w:pPr>
              <w:pStyle w:val="Compact"/>
            </w:pPr>
            <w:r>
              <w:rPr>
                <w:rStyle w:val="VerbatimChar"/>
              </w:rPr>
              <w:t xml:space="preserve">Mkdir(path)</w:t>
            </w:r>
          </w:p>
        </w:tc>
        <w:tc>
          <w:tcPr/>
          <w:p>
            <w:pPr>
              <w:pStyle w:val="Compact"/>
            </w:pPr>
            <w:r>
              <w:t xml:space="preserve">Boolean</w:t>
            </w:r>
          </w:p>
        </w:tc>
        <w:tc>
          <w:tcPr/>
          <w:p>
            <w:pPr>
              <w:pStyle w:val="Compact"/>
            </w:pPr>
            <w:r>
              <w:t xml:space="preserve">Creates directory path recursively.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List(path)</w:t>
            </w:r>
          </w:p>
        </w:tc>
        <w:tc>
          <w:tcPr/>
          <w:p>
            <w:pPr>
              <w:pStyle w:val="Compact"/>
            </w:pPr>
            <w:r>
              <w:t xml:space="preserve">Array</w:t>
            </w:r>
          </w:p>
        </w:tc>
        <w:tc>
          <w:tcPr/>
          <w:p>
            <w:pPr>
              <w:pStyle w:val="Compact"/>
            </w:pPr>
            <w:r>
              <w:t xml:space="preserve">Returns a VBScript array of file names in the directory; returns an empty array when path is missing or directory read fails.</w:t>
            </w:r>
          </w:p>
        </w:tc>
      </w:tr>
      <w:tr>
        <w:tc>
          <w:tcPr/>
          <w:p>
            <w:pPr>
              <w:pStyle w:val="Compact"/>
            </w:pPr>
            <w:r>
              <w:rPr>
                <w:rStyle w:val="VerbatimChar"/>
              </w:rPr>
              <w:t xml:space="preserve">NormalizeEOL(text, style)</w:t>
            </w:r>
          </w:p>
        </w:tc>
        <w:tc>
          <w:tcPr/>
          <w:p>
            <w:pPr>
              <w:pStyle w:val="Compact"/>
            </w:pPr>
            <w:r>
              <w:t xml:space="preserve">String</w:t>
            </w:r>
          </w:p>
        </w:tc>
        <w:tc>
          <w:tcPr/>
          <w:p>
            <w:pPr>
              <w:pStyle w:val="Compact"/>
            </w:pPr>
            <w:r>
              <w:t xml:space="preserve">Returns text with normalized line endings (</w:t>
            </w:r>
            <w:r>
              <w:rPr>
                <w:rStyle w:val="VerbatimChar"/>
              </w:rPr>
              <w:t xml:space="preserve">windows</w:t>
            </w:r>
            <w:r>
              <w:t xml:space="preserve">,</w:t>
            </w:r>
            <w:r>
              <w:t xml:space="preserve"> </w:t>
            </w:r>
            <w:r>
              <w:rPr>
                <w:rStyle w:val="VerbatimChar"/>
              </w:rPr>
              <w:t xml:space="preserve">mac</w:t>
            </w:r>
            <w:r>
              <w:t xml:space="preserve">, or</w:t>
            </w:r>
            <w:r>
              <w:t xml:space="preserve"> </w:t>
            </w:r>
            <w:r>
              <w:rPr>
                <w:rStyle w:val="VerbatimChar"/>
              </w:rPr>
              <w:t xml:space="preserve">linux</w:t>
            </w:r>
            <w:r>
              <w:t xml:space="preserve"> </w:t>
            </w:r>
            <w:r>
              <w:t xml:space="preserve">style aliases).</w:t>
            </w:r>
          </w:p>
        </w:tc>
      </w:tr>
      <w:tr>
        <w:tc>
          <w:tcPr/>
          <w:p>
            <w:pPr>
              <w:pStyle w:val="Compact"/>
            </w:pPr>
            <w:r>
              <w:rPr>
                <w:rStyle w:val="VerbatimChar"/>
              </w:rPr>
              <w:t xml:space="preserve">ConvertTextEncoding(text, sourceEncoding, destEncoding)</w:t>
            </w:r>
          </w:p>
        </w:tc>
        <w:tc>
          <w:tcPr/>
          <w:p>
            <w:pPr>
              <w:pStyle w:val="Compact"/>
            </w:pPr>
            <w:r>
              <w:t xml:space="preserve">String</w:t>
            </w:r>
          </w:p>
        </w:tc>
        <w:tc>
          <w:tcPr/>
          <w:p>
            <w:pPr>
              <w:pStyle w:val="Compact"/>
            </w:pPr>
            <w:r>
              <w:t xml:space="preserve">Returns converted text; returns empty string when required arguments are missing.</w:t>
            </w:r>
          </w:p>
        </w:tc>
      </w:tr>
      <w:tr>
        <w:tc>
          <w:tcPr/>
          <w:p>
            <w:pPr>
              <w:pStyle w:val="Compact"/>
            </w:pPr>
            <w:r>
              <w:rPr>
                <w:rStyle w:val="VerbatimChar"/>
              </w:rPr>
              <w:t xml:space="preserve">ConvertFileEncoding(sourcePath, destPath, sourceEncoding, destEncoding [, lineEnding] [, includeBOM])</w:t>
            </w:r>
          </w:p>
        </w:tc>
        <w:tc>
          <w:tcPr/>
          <w:p>
            <w:pPr>
              <w:pStyle w:val="Compact"/>
            </w:pPr>
            <w:r>
              <w:t xml:space="preserve">Boolean</w:t>
            </w:r>
          </w:p>
        </w:tc>
        <w:tc>
          <w:tcPr/>
          <w:p>
            <w:pPr>
              <w:pStyle w:val="Compact"/>
            </w:pPr>
            <w:r>
              <w:t xml:space="preserve">Converts file encoding and optionally line endings/BOM.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bl>
    <w:bookmarkEnd w:id="3658"/>
    <w:bookmarkStart w:id="3659" w:name="remarks-359"/>
    <w:p>
      <w:pPr>
        <w:pStyle w:val="Heading2"/>
      </w:pPr>
      <w:r>
        <w:t xml:space="preserve">Remarks</w:t>
      </w:r>
    </w:p>
    <w:p>
      <w:pPr>
        <w:pStyle w:val="Compact"/>
        <w:numPr>
          <w:ilvl w:val="0"/>
          <w:numId w:val="1917"/>
        </w:numPr>
      </w:pPr>
      <w:r>
        <w:t xml:space="preserve">Instantiate the library with</w:t>
      </w:r>
      <w:r>
        <w:t xml:space="preserve"> </w:t>
      </w:r>
      <w:r>
        <w:rPr>
          <w:rStyle w:val="VerbatimChar"/>
        </w:rPr>
        <w:t xml:space="preserve">Server.CreateObject("G3FILES")</w:t>
      </w:r>
      <w:r>
        <w:t xml:space="preserve">.</w:t>
      </w:r>
    </w:p>
    <w:p>
      <w:pPr>
        <w:pStyle w:val="Compact"/>
        <w:numPr>
          <w:ilvl w:val="0"/>
          <w:numId w:val="1917"/>
        </w:numPr>
      </w:pPr>
      <w:r>
        <w:t xml:space="preserve">Method names are case-insensitive.</w:t>
      </w:r>
    </w:p>
    <w:p>
      <w:pPr>
        <w:pStyle w:val="Compact"/>
        <w:numPr>
          <w:ilvl w:val="0"/>
          <w:numId w:val="1917"/>
        </w:numPr>
      </w:pPr>
      <w:r>
        <w:t xml:space="preserve">Operations are sandbox-path aware and resolve through the runtime host.</w:t>
      </w:r>
    </w:p>
    <w:bookmarkEnd w:id="3659"/>
    <w:bookmarkEnd w:id="3660"/>
    <w:bookmarkStart w:id="3665" w:name="g3files-properties"/>
    <w:p>
      <w:pPr>
        <w:pStyle w:val="Heading1"/>
      </w:pPr>
      <w:r>
        <w:t xml:space="preserve">G3FILES Properties</w:t>
      </w:r>
    </w:p>
    <w:bookmarkStart w:id="3661" w:name="overview-387"/>
    <w:p>
      <w:pPr>
        <w:pStyle w:val="Heading2"/>
      </w:pPr>
      <w:r>
        <w:t xml:space="preserve">Overview</w:t>
      </w:r>
    </w:p>
    <w:p>
      <w:pPr>
        <w:pStyle w:val="FirstParagraph"/>
      </w:pPr>
      <w:r>
        <w:t xml:space="preserve">This page lists properties exposed by</w:t>
      </w:r>
      <w:r>
        <w:t xml:space="preserve"> </w:t>
      </w:r>
      <w:r>
        <w:rPr>
          <w:rStyle w:val="VerbatimChar"/>
        </w:rPr>
        <w:t xml:space="preserve">G3FILES</w:t>
      </w:r>
      <w:r>
        <w:t xml:space="preserve">.</w:t>
      </w:r>
    </w:p>
    <w:bookmarkEnd w:id="3661"/>
    <w:bookmarkStart w:id="3662" w:name="properties-21"/>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None</w:t>
            </w:r>
          </w:p>
        </w:tc>
        <w:tc>
          <w:tcPr/>
          <w:p>
            <w:pPr>
              <w:pStyle w:val="Compact"/>
            </w:pPr>
            <w:r>
              <w:t xml:space="preserve">N/A</w:t>
            </w:r>
          </w:p>
        </w:tc>
        <w:tc>
          <w:tcPr/>
          <w:p>
            <w:pPr>
              <w:pStyle w:val="Compact"/>
            </w:pPr>
            <w:r>
              <w:t xml:space="preserve">N/A</w:t>
            </w:r>
          </w:p>
        </w:tc>
        <w:tc>
          <w:tcPr/>
          <w:p>
            <w:pPr>
              <w:pStyle w:val="Compact"/>
            </w:pPr>
            <w:r>
              <w:rPr>
                <w:rStyle w:val="VerbatimChar"/>
              </w:rPr>
              <w:t xml:space="preserve">G3FILES</w:t>
            </w:r>
            <w:r>
              <w:t xml:space="preserve"> </w:t>
            </w:r>
            <w:r>
              <w:t xml:space="preserve">does not expose public properties. Use methods for all operations.</w:t>
            </w:r>
          </w:p>
        </w:tc>
      </w:tr>
    </w:tbl>
    <w:bookmarkEnd w:id="3662"/>
    <w:bookmarkStart w:id="3664" w:name="remarks-360"/>
    <w:p>
      <w:pPr>
        <w:pStyle w:val="Heading2"/>
      </w:pPr>
      <w:r>
        <w:t xml:space="preserve">Remarks</w:t>
      </w:r>
    </w:p>
    <w:p>
      <w:pPr>
        <w:pStyle w:val="Compact"/>
        <w:numPr>
          <w:ilvl w:val="0"/>
          <w:numId w:val="1918"/>
        </w:numPr>
      </w:pPr>
      <w:r>
        <w:t xml:space="preserve">Instantiate the library with</w:t>
      </w:r>
      <w:r>
        <w:t xml:space="preserve"> </w:t>
      </w:r>
      <w:r>
        <w:rPr>
          <w:rStyle w:val="VerbatimChar"/>
        </w:rPr>
        <w:t xml:space="preserve">Server.CreateObject("G3FILES")</w:t>
      </w:r>
      <w:r>
        <w:t xml:space="preserve">.</w:t>
      </w:r>
    </w:p>
    <w:bookmarkStart w:id="3663" w:name="methods-detail-9"/>
    <w:p>
      <w:pPr>
        <w:pStyle w:val="Heading3"/>
      </w:pPr>
      <w:r>
        <w:t xml:space="preserve">Methods Detail</w:t>
      </w:r>
    </w:p>
    <w:bookmarkEnd w:id="3663"/>
    <w:bookmarkEnd w:id="3664"/>
    <w:bookmarkEnd w:id="3665"/>
    <w:bookmarkStart w:id="3672" w:name="append-method"/>
    <w:p>
      <w:pPr>
        <w:pStyle w:val="Heading1"/>
      </w:pPr>
      <w:r>
        <w:t xml:space="preserve">Append Method</w:t>
      </w:r>
    </w:p>
    <w:bookmarkStart w:id="3666" w:name="overview-388"/>
    <w:p>
      <w:pPr>
        <w:pStyle w:val="Heading2"/>
      </w:pPr>
      <w:r>
        <w:t xml:space="preserve">Overview</w:t>
      </w:r>
    </w:p>
    <w:p>
      <w:pPr>
        <w:pStyle w:val="FirstParagraph"/>
      </w:pPr>
      <w:r>
        <w:t xml:space="preserve">Appends text content to an existing file or creates a new file if it does not already exist.</w:t>
      </w:r>
    </w:p>
    <w:bookmarkEnd w:id="3666"/>
    <w:bookmarkStart w:id="3667" w:name="syntax-385"/>
    <w:p>
      <w:pPr>
        <w:pStyle w:val="Heading2"/>
      </w:pPr>
      <w:r>
        <w:t xml:space="preserve">Syntax</w:t>
      </w:r>
    </w:p>
    <w:p>
      <w:pPr>
        <w:pStyle w:val="SourceCode"/>
      </w:pPr>
      <w:r>
        <w:rPr>
          <w:rStyle w:val="NormalTok"/>
        </w:rPr>
        <w:t xml:space="preserve">success = files.Append(path, content [, encoding] [, lineEnding])</w:t>
      </w:r>
    </w:p>
    <w:bookmarkEnd w:id="3667"/>
    <w:bookmarkStart w:id="3668" w:name="parameters-and-arguments-63"/>
    <w:p>
      <w:pPr>
        <w:pStyle w:val="Heading2"/>
      </w:pPr>
      <w:r>
        <w:t xml:space="preserve">Parameters and Arguments</w:t>
      </w:r>
    </w:p>
    <w:p>
      <w:pPr>
        <w:pStyle w:val="Compact"/>
        <w:numPr>
          <w:ilvl w:val="0"/>
          <w:numId w:val="1919"/>
        </w:numPr>
      </w:pPr>
      <w:r>
        <w:rPr>
          <w:b/>
          <w:bCs/>
        </w:rPr>
        <w:t xml:space="preserve">path</w:t>
      </w:r>
      <w:r>
        <w:t xml:space="preserve"> </w:t>
      </w:r>
      <w:r>
        <w:t xml:space="preserve">(String, Required): The target file path relative to the AxonASP sandbox.</w:t>
      </w:r>
    </w:p>
    <w:p>
      <w:pPr>
        <w:pStyle w:val="Compact"/>
        <w:numPr>
          <w:ilvl w:val="0"/>
          <w:numId w:val="1919"/>
        </w:numPr>
      </w:pPr>
      <w:r>
        <w:rPr>
          <w:b/>
          <w:bCs/>
        </w:rPr>
        <w:t xml:space="preserve">content</w:t>
      </w:r>
      <w:r>
        <w:t xml:space="preserve"> </w:t>
      </w:r>
      <w:r>
        <w:t xml:space="preserve">(String, Required): The text to append to the file.</w:t>
      </w:r>
    </w:p>
    <w:p>
      <w:pPr>
        <w:pStyle w:val="Compact"/>
        <w:numPr>
          <w:ilvl w:val="0"/>
          <w:numId w:val="1919"/>
        </w:numPr>
      </w:pPr>
      <w:r>
        <w:rPr>
          <w:b/>
          <w:bCs/>
        </w:rPr>
        <w:t xml:space="preserve">encoding</w:t>
      </w:r>
      <w:r>
        <w:t xml:space="preserve"> </w:t>
      </w:r>
      <w:r>
        <w:t xml:space="preserve">(String, Optional): The text encoding to use (e.g.,</w:t>
      </w:r>
      <w:r>
        <w:t xml:space="preserve"> </w:t>
      </w:r>
      <w:r>
        <w:t xml:space="preserve">“utf-8”</w:t>
      </w:r>
      <w:r>
        <w:t xml:space="preserve">,</w:t>
      </w:r>
      <w:r>
        <w:t xml:space="preserve"> </w:t>
      </w:r>
      <w:r>
        <w:t xml:space="preserve">“utf-16”</w:t>
      </w:r>
      <w:r>
        <w:t xml:space="preserve">,</w:t>
      </w:r>
      <w:r>
        <w:t xml:space="preserve"> </w:t>
      </w:r>
      <w:r>
        <w:t xml:space="preserve">“ascii”</w:t>
      </w:r>
      <w:r>
        <w:t xml:space="preserve">,</w:t>
      </w:r>
      <w:r>
        <w:t xml:space="preserve"> </w:t>
      </w:r>
      <w:r>
        <w:t xml:space="preserve">“iso-8859-1”</w:t>
      </w:r>
      <w:r>
        <w:t xml:space="preserve">). The default is</w:t>
      </w:r>
      <w:r>
        <w:t xml:space="preserve"> </w:t>
      </w:r>
      <w:r>
        <w:t xml:space="preserve">“utf-8”</w:t>
      </w:r>
      <w:r>
        <w:t xml:space="preserve">.</w:t>
      </w:r>
    </w:p>
    <w:p>
      <w:pPr>
        <w:pStyle w:val="Compact"/>
        <w:numPr>
          <w:ilvl w:val="0"/>
          <w:numId w:val="1919"/>
        </w:numPr>
      </w:pPr>
      <w:r>
        <w:rPr>
          <w:b/>
          <w:bCs/>
        </w:rPr>
        <w:t xml:space="preserve">lineEnding</w:t>
      </w:r>
      <w:r>
        <w:t xml:space="preserve"> </w:t>
      </w:r>
      <w:r>
        <w:t xml:space="preserve">(String, Optional): The line ending style to apply (e.g.,</w:t>
      </w:r>
      <w:r>
        <w:t xml:space="preserve"> </w:t>
      </w:r>
      <w:r>
        <w:t xml:space="preserve">“windows”</w:t>
      </w:r>
      <w:r>
        <w:t xml:space="preserve">,</w:t>
      </w:r>
      <w:r>
        <w:t xml:space="preserve"> </w:t>
      </w:r>
      <w:r>
        <w:t xml:space="preserve">“linux”</w:t>
      </w:r>
      <w:r>
        <w:t xml:space="preserve">,</w:t>
      </w:r>
      <w:r>
        <w:t xml:space="preserve"> </w:t>
      </w:r>
      <w:r>
        <w:t xml:space="preserve">“mac”</w:t>
      </w:r>
      <w:r>
        <w:t xml:space="preserve">). The default is</w:t>
      </w:r>
      <w:r>
        <w:t xml:space="preserve"> </w:t>
      </w:r>
      <w:r>
        <w:t xml:space="preserve">“linux”</w:t>
      </w:r>
      <w:r>
        <w:t xml:space="preserve"> </w:t>
      </w:r>
      <w:r>
        <w:t xml:space="preserve">(LF).</w:t>
      </w:r>
    </w:p>
    <w:bookmarkEnd w:id="3668"/>
    <w:bookmarkStart w:id="3669" w:name="return-values-109"/>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append operation was successful.</w:t>
      </w:r>
    </w:p>
    <w:bookmarkEnd w:id="3669"/>
    <w:bookmarkStart w:id="3670" w:name="remarks-361"/>
    <w:p>
      <w:pPr>
        <w:pStyle w:val="Heading2"/>
      </w:pPr>
      <w:r>
        <w:t xml:space="preserve">Remarks</w:t>
      </w:r>
    </w:p>
    <w:p>
      <w:pPr>
        <w:pStyle w:val="Compact"/>
        <w:numPr>
          <w:ilvl w:val="0"/>
          <w:numId w:val="1920"/>
        </w:numPr>
      </w:pPr>
      <w:r>
        <w:t xml:space="preserve">If the file exists, the new content is added to the end.</w:t>
      </w:r>
    </w:p>
    <w:p>
      <w:pPr>
        <w:pStyle w:val="Compact"/>
        <w:numPr>
          <w:ilvl w:val="0"/>
          <w:numId w:val="1920"/>
        </w:numPr>
      </w:pPr>
      <w:r>
        <w:t xml:space="preserve">If the file does not exist, it is created.</w:t>
      </w:r>
    </w:p>
    <w:p>
      <w:pPr>
        <w:pStyle w:val="Compact"/>
        <w:numPr>
          <w:ilvl w:val="0"/>
          <w:numId w:val="1920"/>
        </w:numPr>
      </w:pPr>
      <w:r>
        <w:t xml:space="preserve">The library automatically handles directory creation if the target path includes missing folders.</w:t>
      </w:r>
    </w:p>
    <w:p>
      <w:pPr>
        <w:pStyle w:val="Compact"/>
        <w:numPr>
          <w:ilvl w:val="0"/>
          <w:numId w:val="1920"/>
        </w:numPr>
      </w:pPr>
      <w:r>
        <w:t xml:space="preserve">This method is also accessible via the</w:t>
      </w:r>
      <w:r>
        <w:t xml:space="preserve"> </w:t>
      </w:r>
      <w:r>
        <w:rPr>
          <w:b/>
          <w:bCs/>
        </w:rPr>
        <w:t xml:space="preserve">AppendText</w:t>
      </w:r>
      <w:r>
        <w:t xml:space="preserve"> </w:t>
      </w:r>
      <w:r>
        <w:t xml:space="preserve">alias.</w:t>
      </w:r>
    </w:p>
    <w:bookmarkEnd w:id="3670"/>
    <w:bookmarkStart w:id="3671" w:name="code-example-18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rPr>
          <w:rStyle w:val="OtherTok"/>
        </w:rPr>
        <w:t xml:space="preserve">,</w:t>
      </w:r>
      <w:r>
        <w:rPr>
          <w:rStyle w:val="NormalTok"/>
        </w:rPr>
        <w:t xml:space="preserve"> logPath</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NormalTok"/>
        </w:rPr>
        <w:t xml:space="preserve">logPath = </w:t>
      </w:r>
      <w:r>
        <w:rPr>
          <w:rStyle w:val="StringTok"/>
        </w:rPr>
        <w:t xml:space="preserve">"/logs/app_log.txt"</w:t>
      </w:r>
      <w:r>
        <w:br/>
      </w:r>
      <w:r>
        <w:rPr>
          <w:rStyle w:val="ControlFlowTok"/>
        </w:rPr>
        <w:t xml:space="preserve">If</w:t>
      </w:r>
      <w:r>
        <w:rPr>
          <w:rStyle w:val="NormalTok"/>
        </w:rPr>
        <w:t xml:space="preserve"> files.Append</w:t>
      </w:r>
      <w:r>
        <w:rPr>
          <w:rStyle w:val="OtherTok"/>
        </w:rPr>
        <w:t xml:space="preserve">(</w:t>
      </w:r>
      <w:r>
        <w:rPr>
          <w:rStyle w:val="NormalTok"/>
        </w:rPr>
        <w:t xml:space="preserve">logPath</w:t>
      </w:r>
      <w:r>
        <w:rPr>
          <w:rStyle w:val="OtherTok"/>
        </w:rPr>
        <w:t xml:space="preserve">,</w:t>
      </w:r>
      <w:r>
        <w:rPr>
          <w:rStyle w:val="NormalTok"/>
        </w:rPr>
        <w:t xml:space="preserve"> </w:t>
      </w:r>
      <w:r>
        <w:rPr>
          <w:rStyle w:val="FunctionTok"/>
        </w:rPr>
        <w:t xml:space="preserve">Now</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 User logged in"</w:t>
      </w:r>
      <w:r>
        <w:rPr>
          <w:rStyle w:val="OtherTok"/>
        </w:rPr>
        <w:t xml:space="preserve">,</w:t>
      </w:r>
      <w:r>
        <w:rPr>
          <w:rStyle w:val="NormalTok"/>
        </w:rPr>
        <w:t xml:space="preserve"> </w:t>
      </w:r>
      <w:r>
        <w:rPr>
          <w:rStyle w:val="StringTok"/>
        </w:rPr>
        <w:t xml:space="preserve">"utf-8"</w:t>
      </w:r>
      <w:r>
        <w:rPr>
          <w:rStyle w:val="OtherTok"/>
        </w:rPr>
        <w:t xml:space="preserve">,</w:t>
      </w:r>
      <w:r>
        <w:rPr>
          <w:rStyle w:val="NormalTok"/>
        </w:rPr>
        <w:t xml:space="preserve"> </w:t>
      </w:r>
      <w:r>
        <w:rPr>
          <w:rStyle w:val="StringTok"/>
        </w:rPr>
        <w:t xml:space="preserve">"windows"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"Log entry added."</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671"/>
    <w:bookmarkEnd w:id="3672"/>
    <w:bookmarkStart w:id="3679" w:name="convertfileencoding-method"/>
    <w:p>
      <w:pPr>
        <w:pStyle w:val="Heading1"/>
      </w:pPr>
      <w:r>
        <w:t xml:space="preserve">ConvertFileEncoding Method</w:t>
      </w:r>
    </w:p>
    <w:bookmarkStart w:id="3673" w:name="overview-389"/>
    <w:p>
      <w:pPr>
        <w:pStyle w:val="Heading2"/>
      </w:pPr>
      <w:r>
        <w:t xml:space="preserve">Overview</w:t>
      </w:r>
    </w:p>
    <w:p>
      <w:pPr>
        <w:pStyle w:val="FirstParagraph"/>
      </w:pPr>
      <w:r>
        <w:t xml:space="preserve">Converts the text encoding and line endings of a file on disk and saves the result to a destination path.</w:t>
      </w:r>
    </w:p>
    <w:bookmarkEnd w:id="3673"/>
    <w:bookmarkStart w:id="3674" w:name="syntax-386"/>
    <w:p>
      <w:pPr>
        <w:pStyle w:val="Heading2"/>
      </w:pPr>
      <w:r>
        <w:t xml:space="preserve">Syntax</w:t>
      </w:r>
    </w:p>
    <w:p>
      <w:pPr>
        <w:pStyle w:val="SourceCode"/>
      </w:pPr>
      <w:r>
        <w:rPr>
          <w:rStyle w:val="NormalTok"/>
        </w:rPr>
        <w:t xml:space="preserve">success = files.ConvertFileEncoding(source, dest, srcEnc, dstEnc [, lineEnding] [, includeBOM])</w:t>
      </w:r>
    </w:p>
    <w:bookmarkEnd w:id="3674"/>
    <w:bookmarkStart w:id="3675" w:name="parameters-and-arguments-64"/>
    <w:p>
      <w:pPr>
        <w:pStyle w:val="Heading2"/>
      </w:pPr>
      <w:r>
        <w:t xml:space="preserve">Parameters and Arguments</w:t>
      </w:r>
    </w:p>
    <w:p>
      <w:pPr>
        <w:pStyle w:val="Compact"/>
        <w:numPr>
          <w:ilvl w:val="0"/>
          <w:numId w:val="1921"/>
        </w:numPr>
      </w:pPr>
      <w:r>
        <w:rPr>
          <w:b/>
          <w:bCs/>
        </w:rPr>
        <w:t xml:space="preserve">source</w:t>
      </w:r>
      <w:r>
        <w:t xml:space="preserve"> </w:t>
      </w:r>
      <w:r>
        <w:t xml:space="preserve">(String, Required): The path to the source file.</w:t>
      </w:r>
    </w:p>
    <w:p>
      <w:pPr>
        <w:pStyle w:val="Compact"/>
        <w:numPr>
          <w:ilvl w:val="0"/>
          <w:numId w:val="1921"/>
        </w:numPr>
      </w:pPr>
      <w:r>
        <w:rPr>
          <w:b/>
          <w:bCs/>
        </w:rPr>
        <w:t xml:space="preserve">dest</w:t>
      </w:r>
      <w:r>
        <w:t xml:space="preserve"> </w:t>
      </w:r>
      <w:r>
        <w:t xml:space="preserve">(String, Required): The path to the destination file.</w:t>
      </w:r>
    </w:p>
    <w:p>
      <w:pPr>
        <w:pStyle w:val="Compact"/>
        <w:numPr>
          <w:ilvl w:val="0"/>
          <w:numId w:val="1921"/>
        </w:numPr>
      </w:pPr>
      <w:r>
        <w:rPr>
          <w:b/>
          <w:bCs/>
        </w:rPr>
        <w:t xml:space="preserve">srcEnc</w:t>
      </w:r>
      <w:r>
        <w:t xml:space="preserve"> </w:t>
      </w:r>
      <w:r>
        <w:t xml:space="preserve">(String, Required): The encoding of the source file.</w:t>
      </w:r>
    </w:p>
    <w:p>
      <w:pPr>
        <w:pStyle w:val="Compact"/>
        <w:numPr>
          <w:ilvl w:val="0"/>
          <w:numId w:val="1921"/>
        </w:numPr>
      </w:pPr>
      <w:r>
        <w:rPr>
          <w:b/>
          <w:bCs/>
        </w:rPr>
        <w:t xml:space="preserve">dstEnc</w:t>
      </w:r>
      <w:r>
        <w:t xml:space="preserve"> </w:t>
      </w:r>
      <w:r>
        <w:t xml:space="preserve">(String, Required): The target encoding for the destination file.</w:t>
      </w:r>
    </w:p>
    <w:p>
      <w:pPr>
        <w:pStyle w:val="Compact"/>
        <w:numPr>
          <w:ilvl w:val="0"/>
          <w:numId w:val="1921"/>
        </w:numPr>
      </w:pPr>
      <w:r>
        <w:rPr>
          <w:b/>
          <w:bCs/>
        </w:rPr>
        <w:t xml:space="preserve">lineEnding</w:t>
      </w:r>
      <w:r>
        <w:t xml:space="preserve"> </w:t>
      </w:r>
      <w:r>
        <w:t xml:space="preserve">(String, Optional): The target line ending style (e.g.,</w:t>
      </w:r>
      <w:r>
        <w:t xml:space="preserve"> </w:t>
      </w:r>
      <w:r>
        <w:t xml:space="preserve">“windows”</w:t>
      </w:r>
      <w:r>
        <w:t xml:space="preserve">,</w:t>
      </w:r>
      <w:r>
        <w:t xml:space="preserve"> </w:t>
      </w:r>
      <w:r>
        <w:t xml:space="preserve">“linux”</w:t>
      </w:r>
      <w:r>
        <w:t xml:space="preserve">).</w:t>
      </w:r>
    </w:p>
    <w:p>
      <w:pPr>
        <w:pStyle w:val="Compact"/>
        <w:numPr>
          <w:ilvl w:val="0"/>
          <w:numId w:val="1921"/>
        </w:numPr>
      </w:pPr>
      <w:r>
        <w:rPr>
          <w:b/>
          <w:bCs/>
        </w:rPr>
        <w:t xml:space="preserve">includeBOM</w:t>
      </w:r>
      <w:r>
        <w:t xml:space="preserve"> </w:t>
      </w:r>
      <w:r>
        <w:t xml:space="preserve">(Boolean, Optional): Specifies whether to include a Byte Order Mark in the destination file.</w:t>
      </w:r>
    </w:p>
    <w:bookmarkEnd w:id="3675"/>
    <w:bookmarkStart w:id="3676" w:name="return-values-110"/>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conversion and save operation were successful.</w:t>
      </w:r>
    </w:p>
    <w:bookmarkEnd w:id="3676"/>
    <w:bookmarkStart w:id="3677" w:name="remarks-362"/>
    <w:p>
      <w:pPr>
        <w:pStyle w:val="Heading2"/>
      </w:pPr>
      <w:r>
        <w:t xml:space="preserve">Remarks</w:t>
      </w:r>
    </w:p>
    <w:p>
      <w:pPr>
        <w:pStyle w:val="Compact"/>
        <w:numPr>
          <w:ilvl w:val="0"/>
          <w:numId w:val="1922"/>
        </w:numPr>
      </w:pPr>
      <w:r>
        <w:t xml:space="preserve">This method is useful for batch-processing files for cross-platform compatibility.</w:t>
      </w:r>
    </w:p>
    <w:p>
      <w:pPr>
        <w:pStyle w:val="Compact"/>
        <w:numPr>
          <w:ilvl w:val="0"/>
          <w:numId w:val="1922"/>
        </w:numPr>
      </w:pPr>
      <w:r>
        <w:t xml:space="preserve">Supported encodings include</w:t>
      </w:r>
      <w:r>
        <w:t xml:space="preserve"> </w:t>
      </w:r>
      <w:r>
        <w:t xml:space="preserve">“utf-8”</w:t>
      </w:r>
      <w:r>
        <w:t xml:space="preserve">,</w:t>
      </w:r>
      <w:r>
        <w:t xml:space="preserve"> </w:t>
      </w:r>
      <w:r>
        <w:t xml:space="preserve">“utf-16”</w:t>
      </w:r>
      <w:r>
        <w:t xml:space="preserve">,</w:t>
      </w:r>
      <w:r>
        <w:t xml:space="preserve"> </w:t>
      </w:r>
      <w:r>
        <w:t xml:space="preserve">“ascii”</w:t>
      </w:r>
      <w:r>
        <w:t xml:space="preserve">, and</w:t>
      </w:r>
      <w:r>
        <w:t xml:space="preserve"> </w:t>
      </w:r>
      <w:r>
        <w:t xml:space="preserve">“iso-8859-1”</w:t>
      </w:r>
      <w:r>
        <w:t xml:space="preserve">.</w:t>
      </w:r>
    </w:p>
    <w:bookmarkEnd w:id="3677"/>
    <w:bookmarkStart w:id="3678" w:name="code-example-18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CommentTok"/>
        </w:rPr>
        <w:t xml:space="preserve">' Convert an ISO-8859-1 file to UTF-8 with Windows line endings and a BOM</w:t>
      </w:r>
      <w:r>
        <w:br/>
      </w:r>
      <w:r>
        <w:rPr>
          <w:rStyle w:val="ControlFlowTok"/>
        </w:rPr>
        <w:t xml:space="preserve">If</w:t>
      </w:r>
      <w:r>
        <w:rPr>
          <w:rStyle w:val="NormalTok"/>
        </w:rPr>
        <w:t xml:space="preserve"> files.ConvertFileEncoding</w:t>
      </w:r>
      <w:r>
        <w:rPr>
          <w:rStyle w:val="OtherTok"/>
        </w:rPr>
        <w:t xml:space="preserve">(</w:t>
      </w:r>
      <w:r>
        <w:rPr>
          <w:rStyle w:val="StringTok"/>
        </w:rPr>
        <w:t xml:space="preserve">"legacy.txt"</w:t>
      </w:r>
      <w:r>
        <w:rPr>
          <w:rStyle w:val="OtherTok"/>
        </w:rPr>
        <w:t xml:space="preserve">,</w:t>
      </w:r>
      <w:r>
        <w:rPr>
          <w:rStyle w:val="NormalTok"/>
        </w:rPr>
        <w:t xml:space="preserve"> </w:t>
      </w:r>
      <w:r>
        <w:rPr>
          <w:rStyle w:val="StringTok"/>
        </w:rPr>
        <w:t xml:space="preserve">"modern.txt"</w:t>
      </w:r>
      <w:r>
        <w:rPr>
          <w:rStyle w:val="OtherTok"/>
        </w:rPr>
        <w:t xml:space="preserve">,</w:t>
      </w:r>
      <w:r>
        <w:rPr>
          <w:rStyle w:val="NormalTok"/>
        </w:rPr>
        <w:t xml:space="preserve"> </w:t>
      </w:r>
      <w:r>
        <w:rPr>
          <w:rStyle w:val="StringTok"/>
        </w:rPr>
        <w:t xml:space="preserve">"iso-8859-1"</w:t>
      </w:r>
      <w:r>
        <w:rPr>
          <w:rStyle w:val="OtherTok"/>
        </w:rPr>
        <w:t xml:space="preserve">,</w:t>
      </w:r>
      <w:r>
        <w:rPr>
          <w:rStyle w:val="NormalTok"/>
        </w:rPr>
        <w:t xml:space="preserve"> </w:t>
      </w:r>
      <w:r>
        <w:rPr>
          <w:rStyle w:val="StringTok"/>
        </w:rPr>
        <w:t xml:space="preserve">"utf-8"</w:t>
      </w:r>
      <w:r>
        <w:rPr>
          <w:rStyle w:val="OtherTok"/>
        </w:rPr>
        <w:t xml:space="preserve">,</w:t>
      </w:r>
      <w:r>
        <w:rPr>
          <w:rStyle w:val="NormalTok"/>
        </w:rPr>
        <w:t xml:space="preserve"> </w:t>
      </w:r>
      <w:r>
        <w:rPr>
          <w:rStyle w:val="StringTok"/>
        </w:rPr>
        <w:t xml:space="preserve">"windows"</w:t>
      </w:r>
      <w:r>
        <w:rPr>
          <w:rStyle w:val="OtherTok"/>
        </w:rPr>
        <w:t xml:space="preserve">,</w:t>
      </w:r>
      <w:r>
        <w:rPr>
          <w:rStyle w:val="NormalTok"/>
        </w:rPr>
        <w:t xml:space="preserve"> </w:t>
      </w:r>
      <w:r>
        <w:rPr>
          <w:rStyle w:val="KeywordTok"/>
        </w:rPr>
        <w:t xml:space="preserve">True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converted successfully."</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678"/>
    <w:bookmarkEnd w:id="3679"/>
    <w:bookmarkStart w:id="3686" w:name="converttextencoding-method"/>
    <w:p>
      <w:pPr>
        <w:pStyle w:val="Heading1"/>
      </w:pPr>
      <w:r>
        <w:t xml:space="preserve">ConvertTextEncoding Method</w:t>
      </w:r>
    </w:p>
    <w:bookmarkStart w:id="3680" w:name="overview-390"/>
    <w:p>
      <w:pPr>
        <w:pStyle w:val="Heading2"/>
      </w:pPr>
      <w:r>
        <w:t xml:space="preserve">Overview</w:t>
      </w:r>
    </w:p>
    <w:p>
      <w:pPr>
        <w:pStyle w:val="FirstParagraph"/>
      </w:pPr>
      <w:r>
        <w:t xml:space="preserve">Returns a string that has been converted from one text encoding to another.</w:t>
      </w:r>
    </w:p>
    <w:bookmarkEnd w:id="3680"/>
    <w:bookmarkStart w:id="3681" w:name="syntax-387"/>
    <w:p>
      <w:pPr>
        <w:pStyle w:val="Heading2"/>
      </w:pPr>
      <w:r>
        <w:t xml:space="preserve">Syntax</w:t>
      </w:r>
    </w:p>
    <w:p>
      <w:pPr>
        <w:pStyle w:val="SourceCode"/>
      </w:pPr>
      <w:r>
        <w:rPr>
          <w:rStyle w:val="NormalTok"/>
        </w:rPr>
        <w:t xml:space="preserve">convertedText = files.ConvertTextEncoding(text, fromEnc, toEnc)</w:t>
      </w:r>
    </w:p>
    <w:bookmarkEnd w:id="3681"/>
    <w:bookmarkStart w:id="3682" w:name="parameters-and-arguments-65"/>
    <w:p>
      <w:pPr>
        <w:pStyle w:val="Heading2"/>
      </w:pPr>
      <w:r>
        <w:t xml:space="preserve">Parameters and Arguments</w:t>
      </w:r>
    </w:p>
    <w:p>
      <w:pPr>
        <w:pStyle w:val="Compact"/>
        <w:numPr>
          <w:ilvl w:val="0"/>
          <w:numId w:val="1923"/>
        </w:numPr>
      </w:pPr>
      <w:r>
        <w:rPr>
          <w:b/>
          <w:bCs/>
        </w:rPr>
        <w:t xml:space="preserve">text</w:t>
      </w:r>
      <w:r>
        <w:t xml:space="preserve"> </w:t>
      </w:r>
      <w:r>
        <w:t xml:space="preserve">(String, Required): The source text to be converted.</w:t>
      </w:r>
    </w:p>
    <w:p>
      <w:pPr>
        <w:pStyle w:val="Compact"/>
        <w:numPr>
          <w:ilvl w:val="0"/>
          <w:numId w:val="1923"/>
        </w:numPr>
      </w:pPr>
      <w:r>
        <w:rPr>
          <w:b/>
          <w:bCs/>
        </w:rPr>
        <w:t xml:space="preserve">fromEnc</w:t>
      </w:r>
      <w:r>
        <w:t xml:space="preserve"> </w:t>
      </w:r>
      <w:r>
        <w:t xml:space="preserve">(String, Required): The current encoding of the text.</w:t>
      </w:r>
    </w:p>
    <w:p>
      <w:pPr>
        <w:pStyle w:val="Compact"/>
        <w:numPr>
          <w:ilvl w:val="0"/>
          <w:numId w:val="1923"/>
        </w:numPr>
      </w:pPr>
      <w:r>
        <w:rPr>
          <w:b/>
          <w:bCs/>
        </w:rPr>
        <w:t xml:space="preserve">toEnc</w:t>
      </w:r>
      <w:r>
        <w:t xml:space="preserve"> </w:t>
      </w:r>
      <w:r>
        <w:t xml:space="preserve">(String, Required): The target encoding for the result.</w:t>
      </w:r>
    </w:p>
    <w:bookmarkEnd w:id="3682"/>
    <w:bookmarkStart w:id="3683" w:name="return-values-111"/>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converted text.</w:t>
      </w:r>
    </w:p>
    <w:bookmarkEnd w:id="3683"/>
    <w:bookmarkStart w:id="3684" w:name="remarks-363"/>
    <w:p>
      <w:pPr>
        <w:pStyle w:val="Heading2"/>
      </w:pPr>
      <w:r>
        <w:t xml:space="preserve">Remarks</w:t>
      </w:r>
    </w:p>
    <w:p>
      <w:pPr>
        <w:pStyle w:val="Compact"/>
        <w:numPr>
          <w:ilvl w:val="0"/>
          <w:numId w:val="1924"/>
        </w:numPr>
      </w:pPr>
      <w:r>
        <w:t xml:space="preserve">This method is performed in memory and does not affect any files on disk.</w:t>
      </w:r>
    </w:p>
    <w:p>
      <w:pPr>
        <w:pStyle w:val="Compact"/>
        <w:numPr>
          <w:ilvl w:val="0"/>
          <w:numId w:val="1924"/>
        </w:numPr>
      </w:pPr>
      <w:r>
        <w:t xml:space="preserve">It is useful for processing data received from external sources with different encoding requirements.</w:t>
      </w:r>
    </w:p>
    <w:bookmarkEnd w:id="3684"/>
    <w:bookmarkStart w:id="3685" w:name="code-example-18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rPr>
          <w:rStyle w:val="OtherTok"/>
        </w:rPr>
        <w:t xml:space="preserve">,</w:t>
      </w:r>
      <w:r>
        <w:rPr>
          <w:rStyle w:val="NormalTok"/>
        </w:rPr>
        <w:t xml:space="preserve"> sourceText</w:t>
      </w:r>
      <w:r>
        <w:rPr>
          <w:rStyle w:val="OtherTok"/>
        </w:rPr>
        <w:t xml:space="preserve">,</w:t>
      </w:r>
      <w:r>
        <w:rPr>
          <w:rStyle w:val="NormalTok"/>
        </w:rPr>
        <w:t xml:space="preserve"> targetText</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NormalTok"/>
        </w:rPr>
        <w:t xml:space="preserve">sourceText = </w:t>
      </w:r>
      <w:r>
        <w:rPr>
          <w:rStyle w:val="StringTok"/>
        </w:rPr>
        <w:t xml:space="preserve">"Special characters: é à ö"</w:t>
      </w:r>
      <w:r>
        <w:br/>
      </w:r>
      <w:r>
        <w:rPr>
          <w:rStyle w:val="NormalTok"/>
        </w:rPr>
        <w:t xml:space="preserve">targetText = files.ConvertTextEncoding</w:t>
      </w:r>
      <w:r>
        <w:rPr>
          <w:rStyle w:val="OtherTok"/>
        </w:rPr>
        <w:t xml:space="preserve">(</w:t>
      </w:r>
      <w:r>
        <w:rPr>
          <w:rStyle w:val="NormalTok"/>
        </w:rPr>
        <w:t xml:space="preserve">sourceText</w:t>
      </w:r>
      <w:r>
        <w:rPr>
          <w:rStyle w:val="OtherTok"/>
        </w:rPr>
        <w:t xml:space="preserve">,</w:t>
      </w:r>
      <w:r>
        <w:rPr>
          <w:rStyle w:val="NormalTok"/>
        </w:rPr>
        <w:t xml:space="preserve"> </w:t>
      </w:r>
      <w:r>
        <w:rPr>
          <w:rStyle w:val="StringTok"/>
        </w:rPr>
        <w:t xml:space="preserve">"iso-8859-1"</w:t>
      </w:r>
      <w:r>
        <w:rPr>
          <w:rStyle w:val="OtherTok"/>
        </w:rPr>
        <w:t xml:space="preserve">,</w:t>
      </w:r>
      <w:r>
        <w:rPr>
          <w:rStyle w:val="NormalTok"/>
        </w:rPr>
        <w:t xml:space="preserve"> </w:t>
      </w:r>
      <w:r>
        <w:rPr>
          <w:rStyle w:val="StringTok"/>
        </w:rPr>
        <w:t xml:space="preserve">"utf-8"</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"Converted text: "</w:t>
      </w:r>
      <w:r>
        <w:rPr>
          <w:rStyle w:val="NormalTok"/>
        </w:rPr>
        <w:t xml:space="preserve"> </w:t>
      </w:r>
      <w:r>
        <w:rPr>
          <w:rStyle w:val="KeywordTok"/>
        </w:rPr>
        <w:t xml:space="preserve">&amp;</w:t>
      </w:r>
      <w:r>
        <w:rPr>
          <w:rStyle w:val="NormalTok"/>
        </w:rPr>
        <w:t xml:space="preserve"> targetText</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685"/>
    <w:bookmarkEnd w:id="3686"/>
    <w:bookmarkStart w:id="3693" w:name="copy-method"/>
    <w:p>
      <w:pPr>
        <w:pStyle w:val="Heading1"/>
      </w:pPr>
      <w:r>
        <w:t xml:space="preserve">Copy Method</w:t>
      </w:r>
    </w:p>
    <w:bookmarkStart w:id="3687" w:name="overview-391"/>
    <w:p>
      <w:pPr>
        <w:pStyle w:val="Heading2"/>
      </w:pPr>
      <w:r>
        <w:t xml:space="preserve">Overview</w:t>
      </w:r>
    </w:p>
    <w:p>
      <w:pPr>
        <w:pStyle w:val="FirstParagraph"/>
      </w:pPr>
      <w:r>
        <w:t xml:space="preserve">Copies a file from a source path to a destination path.</w:t>
      </w:r>
    </w:p>
    <w:bookmarkEnd w:id="3687"/>
    <w:bookmarkStart w:id="3688" w:name="syntax-388"/>
    <w:p>
      <w:pPr>
        <w:pStyle w:val="Heading2"/>
      </w:pPr>
      <w:r>
        <w:t xml:space="preserve">Syntax</w:t>
      </w:r>
    </w:p>
    <w:p>
      <w:pPr>
        <w:pStyle w:val="SourceCode"/>
      </w:pPr>
      <w:r>
        <w:rPr>
          <w:rStyle w:val="NormalTok"/>
        </w:rPr>
        <w:t xml:space="preserve">success = files.Copy(source, dest)</w:t>
      </w:r>
    </w:p>
    <w:bookmarkEnd w:id="3688"/>
    <w:bookmarkStart w:id="3689" w:name="parameters-and-arguments-66"/>
    <w:p>
      <w:pPr>
        <w:pStyle w:val="Heading2"/>
      </w:pPr>
      <w:r>
        <w:t xml:space="preserve">Parameters and Arguments</w:t>
      </w:r>
    </w:p>
    <w:p>
      <w:pPr>
        <w:pStyle w:val="Compact"/>
        <w:numPr>
          <w:ilvl w:val="0"/>
          <w:numId w:val="1925"/>
        </w:numPr>
      </w:pPr>
      <w:r>
        <w:rPr>
          <w:b/>
          <w:bCs/>
        </w:rPr>
        <w:t xml:space="preserve">source</w:t>
      </w:r>
      <w:r>
        <w:t xml:space="preserve"> </w:t>
      </w:r>
      <w:r>
        <w:t xml:space="preserve">(String, Required): The path to the file to be copied.</w:t>
      </w:r>
    </w:p>
    <w:p>
      <w:pPr>
        <w:pStyle w:val="Compact"/>
        <w:numPr>
          <w:ilvl w:val="0"/>
          <w:numId w:val="1925"/>
        </w:numPr>
      </w:pPr>
      <w:r>
        <w:rPr>
          <w:b/>
          <w:bCs/>
        </w:rPr>
        <w:t xml:space="preserve">dest</w:t>
      </w:r>
      <w:r>
        <w:t xml:space="preserve"> </w:t>
      </w:r>
      <w:r>
        <w:t xml:space="preserve">(String, Required): The target path for the copy.</w:t>
      </w:r>
    </w:p>
    <w:bookmarkEnd w:id="3689"/>
    <w:bookmarkStart w:id="3690" w:name="return-values-112"/>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copy operation was successful.</w:t>
      </w:r>
    </w:p>
    <w:bookmarkEnd w:id="3690"/>
    <w:bookmarkStart w:id="3691" w:name="remarks-364"/>
    <w:p>
      <w:pPr>
        <w:pStyle w:val="Heading2"/>
      </w:pPr>
      <w:r>
        <w:t xml:space="preserve">Remarks</w:t>
      </w:r>
    </w:p>
    <w:p>
      <w:pPr>
        <w:pStyle w:val="Compact"/>
        <w:numPr>
          <w:ilvl w:val="0"/>
          <w:numId w:val="1926"/>
        </w:numPr>
      </w:pPr>
      <w:r>
        <w:t xml:space="preserve">If the destination file already exists, it will be overwritten.</w:t>
      </w:r>
    </w:p>
    <w:p>
      <w:pPr>
        <w:pStyle w:val="Compact"/>
        <w:numPr>
          <w:ilvl w:val="0"/>
          <w:numId w:val="1926"/>
        </w:numPr>
      </w:pPr>
      <w:r>
        <w:t xml:space="preserve">Both paths are relative to the AxonASP sandbox root.</w:t>
      </w:r>
    </w:p>
    <w:bookmarkEnd w:id="3691"/>
    <w:bookmarkStart w:id="3692" w:name="code-example-18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ControlFlowTok"/>
        </w:rPr>
        <w:t xml:space="preserve">If</w:t>
      </w:r>
      <w:r>
        <w:rPr>
          <w:rStyle w:val="NormalTok"/>
        </w:rPr>
        <w:t xml:space="preserve"> files.</w:t>
      </w:r>
      <w:r>
        <w:rPr>
          <w:rStyle w:val="FunctionTok"/>
        </w:rPr>
        <w:t xml:space="preserve">Copy</w:t>
      </w:r>
      <w:r>
        <w:rPr>
          <w:rStyle w:val="OtherTok"/>
        </w:rPr>
        <w:t xml:space="preserve">(</w:t>
      </w:r>
      <w:r>
        <w:rPr>
          <w:rStyle w:val="StringTok"/>
        </w:rPr>
        <w:t xml:space="preserve">"/data/source.txt"</w:t>
      </w:r>
      <w:r>
        <w:rPr>
          <w:rStyle w:val="OtherTok"/>
        </w:rPr>
        <w:t xml:space="preserve">,</w:t>
      </w:r>
      <w:r>
        <w:rPr>
          <w:rStyle w:val="NormalTok"/>
        </w:rPr>
        <w:t xml:space="preserve"> </w:t>
      </w:r>
      <w:r>
        <w:rPr>
          <w:rStyle w:val="StringTok"/>
        </w:rPr>
        <w:t xml:space="preserve">"/backups/copy.txt"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copied."</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692"/>
    <w:bookmarkEnd w:id="3693"/>
    <w:bookmarkStart w:id="3700" w:name="delete-method"/>
    <w:p>
      <w:pPr>
        <w:pStyle w:val="Heading1"/>
      </w:pPr>
      <w:r>
        <w:t xml:space="preserve">Delete Method</w:t>
      </w:r>
    </w:p>
    <w:bookmarkStart w:id="3694" w:name="overview-392"/>
    <w:p>
      <w:pPr>
        <w:pStyle w:val="Heading2"/>
      </w:pPr>
      <w:r>
        <w:t xml:space="preserve">Overview</w:t>
      </w:r>
    </w:p>
    <w:p>
      <w:pPr>
        <w:pStyle w:val="FirstParagraph"/>
      </w:pPr>
      <w:r>
        <w:t xml:space="preserve">Permanently removes a file or directory from the file system.</w:t>
      </w:r>
    </w:p>
    <w:bookmarkEnd w:id="3694"/>
    <w:bookmarkStart w:id="3695" w:name="syntax-389"/>
    <w:p>
      <w:pPr>
        <w:pStyle w:val="Heading2"/>
      </w:pPr>
      <w:r>
        <w:t xml:space="preserve">Syntax</w:t>
      </w:r>
    </w:p>
    <w:p>
      <w:pPr>
        <w:pStyle w:val="SourceCode"/>
      </w:pPr>
      <w:r>
        <w:rPr>
          <w:rStyle w:val="NormalTok"/>
        </w:rPr>
        <w:t xml:space="preserve">success = files.Delete(path)</w:t>
      </w:r>
    </w:p>
    <w:bookmarkEnd w:id="3695"/>
    <w:bookmarkStart w:id="3696" w:name="parameters-and-arguments-67"/>
    <w:p>
      <w:pPr>
        <w:pStyle w:val="Heading2"/>
      </w:pPr>
      <w:r>
        <w:t xml:space="preserve">Parameters and Arguments</w:t>
      </w:r>
    </w:p>
    <w:p>
      <w:pPr>
        <w:pStyle w:val="Compact"/>
        <w:numPr>
          <w:ilvl w:val="0"/>
          <w:numId w:val="1927"/>
        </w:numPr>
      </w:pPr>
      <w:r>
        <w:rPr>
          <w:b/>
          <w:bCs/>
        </w:rPr>
        <w:t xml:space="preserve">path</w:t>
      </w:r>
      <w:r>
        <w:t xml:space="preserve"> </w:t>
      </w:r>
      <w:r>
        <w:t xml:space="preserve">(String, Required): The target file or directory path to be removed.</w:t>
      </w:r>
    </w:p>
    <w:bookmarkEnd w:id="3696"/>
    <w:bookmarkStart w:id="3697" w:name="return-values-113"/>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deletion was successful.</w:t>
      </w:r>
    </w:p>
    <w:bookmarkEnd w:id="3697"/>
    <w:bookmarkStart w:id="3698" w:name="remarks-365"/>
    <w:p>
      <w:pPr>
        <w:pStyle w:val="Heading2"/>
      </w:pPr>
      <w:r>
        <w:t xml:space="preserve">Remarks</w:t>
      </w:r>
    </w:p>
    <w:p>
      <w:pPr>
        <w:pStyle w:val="Compact"/>
        <w:numPr>
          <w:ilvl w:val="0"/>
          <w:numId w:val="1928"/>
        </w:numPr>
      </w:pPr>
      <w:r>
        <w:t xml:space="preserve">If the target path is a directory, it must be empty before it can be deleted.</w:t>
      </w:r>
    </w:p>
    <w:p>
      <w:pPr>
        <w:pStyle w:val="Compact"/>
        <w:numPr>
          <w:ilvl w:val="0"/>
          <w:numId w:val="1928"/>
        </w:numPr>
      </w:pPr>
      <w:r>
        <w:t xml:space="preserve">This method is also accessible via the</w:t>
      </w:r>
      <w:r>
        <w:t xml:space="preserve"> </w:t>
      </w:r>
      <w:r>
        <w:rPr>
          <w:b/>
          <w:bCs/>
        </w:rPr>
        <w:t xml:space="preserve">Remove</w:t>
      </w:r>
      <w:r>
        <w:t xml:space="preserve"> </w:t>
      </w:r>
      <w:r>
        <w:t xml:space="preserve">alias.</w:t>
      </w:r>
    </w:p>
    <w:p>
      <w:pPr>
        <w:pStyle w:val="Compact"/>
        <w:numPr>
          <w:ilvl w:val="0"/>
          <w:numId w:val="1928"/>
        </w:numPr>
      </w:pPr>
      <w:r>
        <w:t xml:space="preserve">Path resolution is relative to the AxonASP sandbox root.</w:t>
      </w:r>
    </w:p>
    <w:bookmarkEnd w:id="3698"/>
    <w:bookmarkStart w:id="3699" w:name="code-example-18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ControlFlowTok"/>
        </w:rPr>
        <w:t xml:space="preserve">If</w:t>
      </w:r>
      <w:r>
        <w:rPr>
          <w:rStyle w:val="NormalTok"/>
        </w:rPr>
        <w:t xml:space="preserve"> files.</w:t>
      </w:r>
      <w:r>
        <w:rPr>
          <w:rStyle w:val="FunctionTok"/>
        </w:rPr>
        <w:t xml:space="preserve">Delete</w:t>
      </w:r>
      <w:r>
        <w:rPr>
          <w:rStyle w:val="OtherTok"/>
        </w:rPr>
        <w:t xml:space="preserve">(</w:t>
      </w:r>
      <w:r>
        <w:rPr>
          <w:rStyle w:val="StringTok"/>
        </w:rPr>
        <w:t xml:space="preserve">"/temp/old_data.txt"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deleted."</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to delete file."</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699"/>
    <w:bookmarkEnd w:id="3700"/>
    <w:bookmarkStart w:id="3707" w:name="exists-method"/>
    <w:p>
      <w:pPr>
        <w:pStyle w:val="Heading1"/>
      </w:pPr>
      <w:r>
        <w:t xml:space="preserve">Exists Method</w:t>
      </w:r>
    </w:p>
    <w:bookmarkStart w:id="3701" w:name="overview-393"/>
    <w:p>
      <w:pPr>
        <w:pStyle w:val="Heading2"/>
      </w:pPr>
      <w:r>
        <w:t xml:space="preserve">Overview</w:t>
      </w:r>
    </w:p>
    <w:p>
      <w:pPr>
        <w:pStyle w:val="FirstParagraph"/>
      </w:pPr>
      <w:r>
        <w:t xml:space="preserve">Returns a Boolean indicating whether a file or directory exists at the specified path.</w:t>
      </w:r>
    </w:p>
    <w:bookmarkEnd w:id="3701"/>
    <w:bookmarkStart w:id="3702" w:name="syntax-390"/>
    <w:p>
      <w:pPr>
        <w:pStyle w:val="Heading2"/>
      </w:pPr>
      <w:r>
        <w:t xml:space="preserve">Syntax</w:t>
      </w:r>
    </w:p>
    <w:p>
      <w:pPr>
        <w:pStyle w:val="SourceCode"/>
      </w:pPr>
      <w:r>
        <w:rPr>
          <w:rStyle w:val="NormalTok"/>
        </w:rPr>
        <w:t xml:space="preserve">boolExists = files.Exists(path)</w:t>
      </w:r>
    </w:p>
    <w:bookmarkEnd w:id="3702"/>
    <w:bookmarkStart w:id="3703" w:name="parameters-and-arguments-68"/>
    <w:p>
      <w:pPr>
        <w:pStyle w:val="Heading2"/>
      </w:pPr>
      <w:r>
        <w:t xml:space="preserve">Parameters and Arguments</w:t>
      </w:r>
    </w:p>
    <w:p>
      <w:pPr>
        <w:pStyle w:val="Compact"/>
        <w:numPr>
          <w:ilvl w:val="0"/>
          <w:numId w:val="1929"/>
        </w:numPr>
      </w:pPr>
      <w:r>
        <w:rPr>
          <w:b/>
          <w:bCs/>
        </w:rPr>
        <w:t xml:space="preserve">path</w:t>
      </w:r>
      <w:r>
        <w:t xml:space="preserve"> </w:t>
      </w:r>
      <w:r>
        <w:t xml:space="preserve">(String, Required): The target path to check.</w:t>
      </w:r>
    </w:p>
    <w:bookmarkEnd w:id="3703"/>
    <w:bookmarkStart w:id="3704" w:name="return-values-114"/>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 It returns</w:t>
      </w:r>
      <w:r>
        <w:t xml:space="preserve"> </w:t>
      </w:r>
      <w:r>
        <w:rPr>
          <w:b/>
          <w:bCs/>
        </w:rPr>
        <w:t xml:space="preserve">True</w:t>
      </w:r>
      <w:r>
        <w:t xml:space="preserve"> </w:t>
      </w:r>
      <w:r>
        <w:t xml:space="preserve">if the file or directory exists, and</w:t>
      </w:r>
      <w:r>
        <w:t xml:space="preserve"> </w:t>
      </w:r>
      <w:r>
        <w:rPr>
          <w:b/>
          <w:bCs/>
        </w:rPr>
        <w:t xml:space="preserve">False</w:t>
      </w:r>
      <w:r>
        <w:t xml:space="preserve"> </w:t>
      </w:r>
      <w:r>
        <w:t xml:space="preserve">otherwise.</w:t>
      </w:r>
    </w:p>
    <w:bookmarkEnd w:id="3704"/>
    <w:bookmarkStart w:id="3705" w:name="remarks-366"/>
    <w:p>
      <w:pPr>
        <w:pStyle w:val="Heading2"/>
      </w:pPr>
      <w:r>
        <w:t xml:space="preserve">Remarks</w:t>
      </w:r>
    </w:p>
    <w:p>
      <w:pPr>
        <w:pStyle w:val="Compact"/>
        <w:numPr>
          <w:ilvl w:val="0"/>
          <w:numId w:val="1930"/>
        </w:numPr>
      </w:pPr>
      <w:r>
        <w:t xml:space="preserve">Path resolution is relative to the AxonASP sandbox root.</w:t>
      </w:r>
    </w:p>
    <w:p>
      <w:pPr>
        <w:pStyle w:val="Compact"/>
        <w:numPr>
          <w:ilvl w:val="0"/>
          <w:numId w:val="1930"/>
        </w:numPr>
      </w:pPr>
      <w:r>
        <w:t xml:space="preserve">This method is efficient for validating resources before attempting read or write operations.</w:t>
      </w:r>
    </w:p>
    <w:bookmarkEnd w:id="3705"/>
    <w:bookmarkStart w:id="3706" w:name="code-example-18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ControlFlowTok"/>
        </w:rPr>
        <w:t xml:space="preserve">If</w:t>
      </w:r>
      <w:r>
        <w:rPr>
          <w:rStyle w:val="NormalTok"/>
        </w:rPr>
        <w:t xml:space="preserve"> files.</w:t>
      </w:r>
      <w:r>
        <w:rPr>
          <w:rStyle w:val="FunctionTok"/>
        </w:rPr>
        <w:t xml:space="preserve">Exists</w:t>
      </w:r>
      <w:r>
        <w:rPr>
          <w:rStyle w:val="OtherTok"/>
        </w:rPr>
        <w:t xml:space="preserve">(</w:t>
      </w:r>
      <w:r>
        <w:rPr>
          <w:rStyle w:val="StringTok"/>
        </w:rPr>
        <w:t xml:space="preserve">"/web.config"</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"Configuration file exists."</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not found."</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706"/>
    <w:bookmarkEnd w:id="3707"/>
    <w:bookmarkStart w:id="3714" w:name="list-method"/>
    <w:p>
      <w:pPr>
        <w:pStyle w:val="Heading1"/>
      </w:pPr>
      <w:r>
        <w:t xml:space="preserve">List Method</w:t>
      </w:r>
    </w:p>
    <w:bookmarkStart w:id="3708" w:name="overview-394"/>
    <w:p>
      <w:pPr>
        <w:pStyle w:val="Heading2"/>
      </w:pPr>
      <w:r>
        <w:t xml:space="preserve">Overview</w:t>
      </w:r>
    </w:p>
    <w:p>
      <w:pPr>
        <w:pStyle w:val="FirstParagraph"/>
      </w:pPr>
      <w:r>
        <w:t xml:space="preserve">Returns an Array containing the names of all files within a specified directory.</w:t>
      </w:r>
    </w:p>
    <w:bookmarkEnd w:id="3708"/>
    <w:bookmarkStart w:id="3709" w:name="syntax-391"/>
    <w:p>
      <w:pPr>
        <w:pStyle w:val="Heading2"/>
      </w:pPr>
      <w:r>
        <w:t xml:space="preserve">Syntax</w:t>
      </w:r>
    </w:p>
    <w:p>
      <w:pPr>
        <w:pStyle w:val="SourceCode"/>
      </w:pPr>
      <w:r>
        <w:rPr>
          <w:rStyle w:val="NormalTok"/>
        </w:rPr>
        <w:t xml:space="preserve">fileNamesArray = files.List(path)</w:t>
      </w:r>
    </w:p>
    <w:bookmarkEnd w:id="3709"/>
    <w:bookmarkStart w:id="3710" w:name="parameters-and-arguments-69"/>
    <w:p>
      <w:pPr>
        <w:pStyle w:val="Heading2"/>
      </w:pPr>
      <w:r>
        <w:t xml:space="preserve">Parameters and Arguments</w:t>
      </w:r>
    </w:p>
    <w:p>
      <w:pPr>
        <w:pStyle w:val="Compact"/>
        <w:numPr>
          <w:ilvl w:val="0"/>
          <w:numId w:val="1931"/>
        </w:numPr>
      </w:pPr>
      <w:r>
        <w:rPr>
          <w:b/>
          <w:bCs/>
        </w:rPr>
        <w:t xml:space="preserve">path</w:t>
      </w:r>
      <w:r>
        <w:t xml:space="preserve"> </w:t>
      </w:r>
      <w:r>
        <w:t xml:space="preserve">(String, Required): The target directory path to list.</w:t>
      </w:r>
    </w:p>
    <w:bookmarkEnd w:id="3710"/>
    <w:bookmarkStart w:id="3711" w:name="return-values-115"/>
    <w:p>
      <w:pPr>
        <w:pStyle w:val="Heading2"/>
      </w:pPr>
      <w:r>
        <w:t xml:space="preserve">Return Values</w:t>
      </w:r>
    </w:p>
    <w:p>
      <w:pPr>
        <w:pStyle w:val="FirstParagraph"/>
      </w:pPr>
      <w:r>
        <w:t xml:space="preserve">Returns an</w:t>
      </w:r>
      <w:r>
        <w:t xml:space="preserve"> </w:t>
      </w:r>
      <w:r>
        <w:rPr>
          <w:b/>
          <w:bCs/>
        </w:rPr>
        <w:t xml:space="preserve">Array</w:t>
      </w:r>
      <w:r>
        <w:t xml:space="preserve"> </w:t>
      </w:r>
      <w:r>
        <w:t xml:space="preserve">(Variant) containing the names of the files. If the directory is empty or does not exist, it returns an empty array.</w:t>
      </w:r>
    </w:p>
    <w:bookmarkEnd w:id="3711"/>
    <w:bookmarkStart w:id="3712" w:name="remarks-367"/>
    <w:p>
      <w:pPr>
        <w:pStyle w:val="Heading2"/>
      </w:pPr>
      <w:r>
        <w:t xml:space="preserve">Remarks</w:t>
      </w:r>
    </w:p>
    <w:p>
      <w:pPr>
        <w:pStyle w:val="Compact"/>
        <w:numPr>
          <w:ilvl w:val="0"/>
          <w:numId w:val="1932"/>
        </w:numPr>
      </w:pPr>
      <w:r>
        <w:t xml:space="preserve">The returned array only includes file names, not subdirectories.</w:t>
      </w:r>
    </w:p>
    <w:p>
      <w:pPr>
        <w:pStyle w:val="Compact"/>
        <w:numPr>
          <w:ilvl w:val="0"/>
          <w:numId w:val="1932"/>
        </w:numPr>
      </w:pPr>
      <w:r>
        <w:t xml:space="preserve">Path resolution is relative to the AxonASP sandbox root.</w:t>
      </w:r>
    </w:p>
    <w:p>
      <w:pPr>
        <w:pStyle w:val="Compact"/>
        <w:numPr>
          <w:ilvl w:val="0"/>
          <w:numId w:val="1932"/>
        </w:numPr>
      </w:pPr>
      <w:r>
        <w:t xml:space="preserve">This method is also accessible via the</w:t>
      </w:r>
      <w:r>
        <w:t xml:space="preserve"> </w:t>
      </w:r>
      <w:r>
        <w:rPr>
          <w:b/>
          <w:bCs/>
        </w:rPr>
        <w:t xml:space="preserve">ListFiles</w:t>
      </w:r>
      <w:r>
        <w:t xml:space="preserve"> </w:t>
      </w:r>
      <w:r>
        <w:t xml:space="preserve">alias.</w:t>
      </w:r>
    </w:p>
    <w:bookmarkEnd w:id="3712"/>
    <w:bookmarkStart w:id="3713" w:name="code-example-18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rPr>
          <w:rStyle w:val="OtherTok"/>
        </w:rPr>
        <w:t xml:space="preserve">,</w:t>
      </w:r>
      <w:r>
        <w:rPr>
          <w:rStyle w:val="NormalTok"/>
        </w:rPr>
        <w:t xml:space="preserve"> fileList</w:t>
      </w:r>
      <w:r>
        <w:rPr>
          <w:rStyle w:val="OtherTok"/>
        </w:rPr>
        <w:t xml:space="preserve">,</w:t>
      </w:r>
      <w:r>
        <w:rPr>
          <w:rStyle w:val="NormalTok"/>
        </w:rPr>
        <w:t xml:space="preserve"> i</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NormalTok"/>
        </w:rPr>
        <w:t xml:space="preserve">fileList = files.List</w:t>
      </w:r>
      <w:r>
        <w:rPr>
          <w:rStyle w:val="OtherTok"/>
        </w:rPr>
        <w:t xml:space="preserve">(</w:t>
      </w:r>
      <w:r>
        <w:rPr>
          <w:rStyle w:val="StringTok"/>
        </w:rPr>
        <w:t xml:space="preserve">"/uploads"</w:t>
      </w:r>
      <w:r>
        <w:rPr>
          <w:rStyle w:val="OtherTok"/>
        </w:rPr>
        <w:t xml:space="preserve">)</w:t>
      </w:r>
      <w:r>
        <w:br/>
      </w:r>
      <w:r>
        <w:br/>
      </w:r>
      <w:r>
        <w:rPr>
          <w:rStyle w:val="ControlFlowTok"/>
        </w:rPr>
        <w:t xml:space="preserve">If</w:t>
      </w:r>
      <w:r>
        <w:rPr>
          <w:rStyle w:val="NormalTok"/>
        </w:rPr>
        <w:t xml:space="preserve"> </w:t>
      </w:r>
      <w:r>
        <w:rPr>
          <w:rStyle w:val="FunctionTok"/>
        </w:rPr>
        <w:t xml:space="preserve">UBound</w:t>
      </w:r>
      <w:r>
        <w:rPr>
          <w:rStyle w:val="OtherTok"/>
        </w:rPr>
        <w:t xml:space="preserve">(</w:t>
      </w:r>
      <w:r>
        <w:rPr>
          <w:rStyle w:val="NormalTok"/>
        </w:rPr>
        <w:t xml:space="preserve">fileList</w:t>
      </w:r>
      <w:r>
        <w:rPr>
          <w:rStyle w:val="OtherTok"/>
        </w:rPr>
        <w:t xml:space="preserve">)</w:t>
      </w:r>
      <w:r>
        <w:rPr>
          <w:rStyle w:val="NormalTok"/>
        </w:rPr>
        <w:t xml:space="preserve">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"Found "</w:t>
      </w:r>
      <w:r>
        <w:rPr>
          <w:rStyle w:val="NormalTok"/>
        </w:rPr>
        <w:t xml:space="preserve"> </w:t>
      </w:r>
      <w:r>
        <w:rPr>
          <w:rStyle w:val="KeywordTok"/>
        </w:rPr>
        <w:t xml:space="preserve">&amp;</w:t>
      </w:r>
      <w:r>
        <w:rPr>
          <w:rStyle w:val="NormalTok"/>
        </w:rPr>
        <w:t xml:space="preserve"> </w:t>
      </w:r>
      <w:r>
        <w:rPr>
          <w:rStyle w:val="FunctionTok"/>
        </w:rPr>
        <w:t xml:space="preserve">UBound</w:t>
      </w:r>
      <w:r>
        <w:rPr>
          <w:rStyle w:val="OtherTok"/>
        </w:rPr>
        <w:t xml:space="preserve">(</w:t>
      </w:r>
      <w:r>
        <w:rPr>
          <w:rStyle w:val="NormalTok"/>
        </w:rPr>
        <w:t xml:space="preserve">fileList</w:t>
      </w:r>
      <w:r>
        <w:rPr>
          <w:rStyle w:val="OtherTok"/>
        </w:rPr>
        <w:t xml:space="preserve">)</w:t>
      </w:r>
      <w:r>
        <w:rPr>
          <w:rStyle w:val="NormalTok"/>
        </w:rPr>
        <w:t xml:space="preserve"> + </w:t>
      </w:r>
      <w:r>
        <w:rPr>
          <w:rStyle w:val="DecValTok"/>
        </w:rPr>
        <w:t xml:space="preserve">1</w:t>
      </w:r>
      <w:r>
        <w:rPr>
          <w:rStyle w:val="NormalTok"/>
        </w:rPr>
        <w:t xml:space="preserve"> </w:t>
      </w:r>
      <w:r>
        <w:rPr>
          <w:rStyle w:val="KeywordTok"/>
        </w:rPr>
        <w:t xml:space="preserve">&amp;</w:t>
      </w:r>
      <w:r>
        <w:rPr>
          <w:rStyle w:val="NormalTok"/>
        </w:rPr>
        <w:t xml:space="preserve"> </w:t>
      </w:r>
      <w:r>
        <w:rPr>
          <w:rStyle w:val="StringTok"/>
        </w:rPr>
        <w:t xml:space="preserve">" files:&lt;br&gt;"</w:t>
      </w:r>
      <w:r>
        <w:br/>
      </w:r>
      <w:r>
        <w:rPr>
          <w:rStyle w:val="NormalTok"/>
        </w:rPr>
        <w:t xml:space="preserve">    </w:t>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fileList</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fileList</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ControlFlowTok"/>
        </w:rPr>
        <w:t xml:space="preserve">Next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 files found in directory."</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713"/>
    <w:bookmarkEnd w:id="3714"/>
    <w:bookmarkStart w:id="3721" w:name="mkdir-method"/>
    <w:p>
      <w:pPr>
        <w:pStyle w:val="Heading1"/>
      </w:pPr>
      <w:r>
        <w:t xml:space="preserve">Mkdir Method</w:t>
      </w:r>
    </w:p>
    <w:bookmarkStart w:id="3715" w:name="overview-395"/>
    <w:p>
      <w:pPr>
        <w:pStyle w:val="Heading2"/>
      </w:pPr>
      <w:r>
        <w:t xml:space="preserve">Overview</w:t>
      </w:r>
    </w:p>
    <w:p>
      <w:pPr>
        <w:pStyle w:val="FirstParagraph"/>
      </w:pPr>
      <w:r>
        <w:t xml:space="preserve">Creates a new directory or a full directory path recursively.</w:t>
      </w:r>
    </w:p>
    <w:bookmarkEnd w:id="3715"/>
    <w:bookmarkStart w:id="3716" w:name="syntax-392"/>
    <w:p>
      <w:pPr>
        <w:pStyle w:val="Heading2"/>
      </w:pPr>
      <w:r>
        <w:t xml:space="preserve">Syntax</w:t>
      </w:r>
    </w:p>
    <w:p>
      <w:pPr>
        <w:pStyle w:val="SourceCode"/>
      </w:pPr>
      <w:r>
        <w:rPr>
          <w:rStyle w:val="NormalTok"/>
        </w:rPr>
        <w:t xml:space="preserve">success = files.Mkdir(path)</w:t>
      </w:r>
    </w:p>
    <w:bookmarkEnd w:id="3716"/>
    <w:bookmarkStart w:id="3717" w:name="parameters-and-arguments-70"/>
    <w:p>
      <w:pPr>
        <w:pStyle w:val="Heading2"/>
      </w:pPr>
      <w:r>
        <w:t xml:space="preserve">Parameters and Arguments</w:t>
      </w:r>
    </w:p>
    <w:p>
      <w:pPr>
        <w:pStyle w:val="Compact"/>
        <w:numPr>
          <w:ilvl w:val="0"/>
          <w:numId w:val="1933"/>
        </w:numPr>
      </w:pPr>
      <w:r>
        <w:rPr>
          <w:b/>
          <w:bCs/>
        </w:rPr>
        <w:t xml:space="preserve">path</w:t>
      </w:r>
      <w:r>
        <w:t xml:space="preserve"> </w:t>
      </w:r>
      <w:r>
        <w:t xml:space="preserve">(String, Required): The directory path to be created.</w:t>
      </w:r>
    </w:p>
    <w:bookmarkEnd w:id="3717"/>
    <w:bookmarkStart w:id="3718" w:name="return-values-116"/>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directory creation was successful.</w:t>
      </w:r>
    </w:p>
    <w:bookmarkEnd w:id="3718"/>
    <w:bookmarkStart w:id="3719" w:name="remarks-368"/>
    <w:p>
      <w:pPr>
        <w:pStyle w:val="Heading2"/>
      </w:pPr>
      <w:r>
        <w:t xml:space="preserve">Remarks</w:t>
      </w:r>
    </w:p>
    <w:p>
      <w:pPr>
        <w:pStyle w:val="Compact"/>
        <w:numPr>
          <w:ilvl w:val="0"/>
          <w:numId w:val="1934"/>
        </w:numPr>
      </w:pPr>
      <w:r>
        <w:t xml:space="preserve">This method is recursive; it will create any missing parent directories in the path automatically.</w:t>
      </w:r>
    </w:p>
    <w:p>
      <w:pPr>
        <w:pStyle w:val="Compact"/>
        <w:numPr>
          <w:ilvl w:val="0"/>
          <w:numId w:val="1934"/>
        </w:numPr>
      </w:pPr>
      <w:r>
        <w:t xml:space="preserve">If the directory already exists, the method returns</w:t>
      </w:r>
      <w:r>
        <w:t xml:space="preserve"> </w:t>
      </w:r>
      <w:r>
        <w:rPr>
          <w:b/>
          <w:bCs/>
        </w:rPr>
        <w:t xml:space="preserve">True</w:t>
      </w:r>
      <w:r>
        <w:t xml:space="preserve">.</w:t>
      </w:r>
    </w:p>
    <w:p>
      <w:pPr>
        <w:pStyle w:val="Compact"/>
        <w:numPr>
          <w:ilvl w:val="0"/>
          <w:numId w:val="1934"/>
        </w:numPr>
      </w:pPr>
      <w:r>
        <w:t xml:space="preserve">This method is also accessible via the</w:t>
      </w:r>
      <w:r>
        <w:t xml:space="preserve"> </w:t>
      </w:r>
      <w:r>
        <w:rPr>
          <w:b/>
          <w:bCs/>
        </w:rPr>
        <w:t xml:space="preserve">MakeDir</w:t>
      </w:r>
      <w:r>
        <w:t xml:space="preserve"> </w:t>
      </w:r>
      <w:r>
        <w:t xml:space="preserve">alias.</w:t>
      </w:r>
    </w:p>
    <w:bookmarkEnd w:id="3719"/>
    <w:bookmarkStart w:id="3720" w:name="code-example-18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CommentTok"/>
        </w:rPr>
        <w:t xml:space="preserve">' Creates the entire directory structure recursively</w:t>
      </w:r>
      <w:r>
        <w:br/>
      </w:r>
      <w:r>
        <w:rPr>
          <w:rStyle w:val="ControlFlowTok"/>
        </w:rPr>
        <w:t xml:space="preserve">If</w:t>
      </w:r>
      <w:r>
        <w:rPr>
          <w:rStyle w:val="NormalTok"/>
        </w:rPr>
        <w:t xml:space="preserve"> files.Mkdir</w:t>
      </w:r>
      <w:r>
        <w:rPr>
          <w:rStyle w:val="OtherTok"/>
        </w:rPr>
        <w:t xml:space="preserve">(</w:t>
      </w:r>
      <w:r>
        <w:rPr>
          <w:rStyle w:val="StringTok"/>
        </w:rPr>
        <w:t xml:space="preserve">"/data/logs/archives/2026"</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"Directory path created."</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720"/>
    <w:bookmarkEnd w:id="3721"/>
    <w:bookmarkStart w:id="3728" w:name="move-method"/>
    <w:p>
      <w:pPr>
        <w:pStyle w:val="Heading1"/>
      </w:pPr>
      <w:r>
        <w:t xml:space="preserve">Move Method</w:t>
      </w:r>
    </w:p>
    <w:bookmarkStart w:id="3722" w:name="overview-396"/>
    <w:p>
      <w:pPr>
        <w:pStyle w:val="Heading2"/>
      </w:pPr>
      <w:r>
        <w:t xml:space="preserve">Overview</w:t>
      </w:r>
    </w:p>
    <w:p>
      <w:pPr>
        <w:pStyle w:val="FirstParagraph"/>
      </w:pPr>
      <w:r>
        <w:t xml:space="preserve">Renames or moves a file or directory to a new location in the file system.</w:t>
      </w:r>
    </w:p>
    <w:bookmarkEnd w:id="3722"/>
    <w:bookmarkStart w:id="3723" w:name="syntax-393"/>
    <w:p>
      <w:pPr>
        <w:pStyle w:val="Heading2"/>
      </w:pPr>
      <w:r>
        <w:t xml:space="preserve">Syntax</w:t>
      </w:r>
    </w:p>
    <w:p>
      <w:pPr>
        <w:pStyle w:val="SourceCode"/>
      </w:pPr>
      <w:r>
        <w:rPr>
          <w:rStyle w:val="NormalTok"/>
        </w:rPr>
        <w:t xml:space="preserve">success = files.Move(source, dest)</w:t>
      </w:r>
    </w:p>
    <w:bookmarkEnd w:id="3723"/>
    <w:bookmarkStart w:id="3724" w:name="parameters-and-arguments-71"/>
    <w:p>
      <w:pPr>
        <w:pStyle w:val="Heading2"/>
      </w:pPr>
      <w:r>
        <w:t xml:space="preserve">Parameters and Arguments</w:t>
      </w:r>
    </w:p>
    <w:p>
      <w:pPr>
        <w:pStyle w:val="Compact"/>
        <w:numPr>
          <w:ilvl w:val="0"/>
          <w:numId w:val="1935"/>
        </w:numPr>
      </w:pPr>
      <w:r>
        <w:rPr>
          <w:b/>
          <w:bCs/>
        </w:rPr>
        <w:t xml:space="preserve">source</w:t>
      </w:r>
      <w:r>
        <w:t xml:space="preserve"> </w:t>
      </w:r>
      <w:r>
        <w:t xml:space="preserve">(String, Required): The path to the file or directory to be moved.</w:t>
      </w:r>
    </w:p>
    <w:p>
      <w:pPr>
        <w:pStyle w:val="Compact"/>
        <w:numPr>
          <w:ilvl w:val="0"/>
          <w:numId w:val="1935"/>
        </w:numPr>
      </w:pPr>
      <w:r>
        <w:rPr>
          <w:b/>
          <w:bCs/>
        </w:rPr>
        <w:t xml:space="preserve">dest</w:t>
      </w:r>
      <w:r>
        <w:t xml:space="preserve"> </w:t>
      </w:r>
      <w:r>
        <w:t xml:space="preserve">(String, Required): The target path for the move or rename.</w:t>
      </w:r>
    </w:p>
    <w:bookmarkEnd w:id="3724"/>
    <w:bookmarkStart w:id="3725" w:name="return-values-117"/>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move or rename operation was successful.</w:t>
      </w:r>
    </w:p>
    <w:bookmarkEnd w:id="3725"/>
    <w:bookmarkStart w:id="3726" w:name="remarks-369"/>
    <w:p>
      <w:pPr>
        <w:pStyle w:val="Heading2"/>
      </w:pPr>
      <w:r>
        <w:t xml:space="preserve">Remarks</w:t>
      </w:r>
    </w:p>
    <w:p>
      <w:pPr>
        <w:pStyle w:val="Compact"/>
        <w:numPr>
          <w:ilvl w:val="0"/>
          <w:numId w:val="1936"/>
        </w:numPr>
      </w:pPr>
      <w:r>
        <w:t xml:space="preserve">If the destination already exists, the move operation will fail.</w:t>
      </w:r>
    </w:p>
    <w:p>
      <w:pPr>
        <w:pStyle w:val="Compact"/>
        <w:numPr>
          <w:ilvl w:val="0"/>
          <w:numId w:val="1936"/>
        </w:numPr>
      </w:pPr>
      <w:r>
        <w:t xml:space="preserve">This method is also accessible via the</w:t>
      </w:r>
      <w:r>
        <w:t xml:space="preserve"> </w:t>
      </w:r>
      <w:r>
        <w:rPr>
          <w:b/>
          <w:bCs/>
        </w:rPr>
        <w:t xml:space="preserve">Rename</w:t>
      </w:r>
      <w:r>
        <w:t xml:space="preserve"> </w:t>
      </w:r>
      <w:r>
        <w:t xml:space="preserve">alias.</w:t>
      </w:r>
    </w:p>
    <w:p>
      <w:pPr>
        <w:pStyle w:val="Compact"/>
        <w:numPr>
          <w:ilvl w:val="0"/>
          <w:numId w:val="1936"/>
        </w:numPr>
      </w:pPr>
      <w:r>
        <w:t xml:space="preserve">Path resolution is relative to the AxonASP sandbox root.</w:t>
      </w:r>
    </w:p>
    <w:bookmarkEnd w:id="3726"/>
    <w:bookmarkStart w:id="3727" w:name="code-example-19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ControlFlowTok"/>
        </w:rPr>
        <w:t xml:space="preserve">If</w:t>
      </w:r>
      <w:r>
        <w:rPr>
          <w:rStyle w:val="NormalTok"/>
        </w:rPr>
        <w:t xml:space="preserve"> files.</w:t>
      </w:r>
      <w:r>
        <w:rPr>
          <w:rStyle w:val="FunctionTok"/>
        </w:rPr>
        <w:t xml:space="preserve">Move</w:t>
      </w:r>
      <w:r>
        <w:rPr>
          <w:rStyle w:val="OtherTok"/>
        </w:rPr>
        <w:t xml:space="preserve">(</w:t>
      </w:r>
      <w:r>
        <w:rPr>
          <w:rStyle w:val="StringTok"/>
        </w:rPr>
        <w:t xml:space="preserve">"/temp/data.csv"</w:t>
      </w:r>
      <w:r>
        <w:rPr>
          <w:rStyle w:val="OtherTok"/>
        </w:rPr>
        <w:t xml:space="preserve">,</w:t>
      </w:r>
      <w:r>
        <w:rPr>
          <w:rStyle w:val="NormalTok"/>
        </w:rPr>
        <w:t xml:space="preserve"> </w:t>
      </w:r>
      <w:r>
        <w:rPr>
          <w:rStyle w:val="StringTok"/>
        </w:rPr>
        <w:t xml:space="preserve">"/data/processed/data.csv"</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moved."</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727"/>
    <w:bookmarkEnd w:id="3728"/>
    <w:bookmarkStart w:id="3735" w:name="normalizeeol-method"/>
    <w:p>
      <w:pPr>
        <w:pStyle w:val="Heading1"/>
      </w:pPr>
      <w:r>
        <w:t xml:space="preserve">NormalizeEOL Method</w:t>
      </w:r>
    </w:p>
    <w:bookmarkStart w:id="3729" w:name="overview-397"/>
    <w:p>
      <w:pPr>
        <w:pStyle w:val="Heading2"/>
      </w:pPr>
      <w:r>
        <w:t xml:space="preserve">Overview</w:t>
      </w:r>
    </w:p>
    <w:p>
      <w:pPr>
        <w:pStyle w:val="FirstParagraph"/>
      </w:pPr>
      <w:r>
        <w:t xml:space="preserve">Returns a string with line endings converted to a specified style.</w:t>
      </w:r>
    </w:p>
    <w:bookmarkEnd w:id="3729"/>
    <w:bookmarkStart w:id="3730" w:name="syntax-394"/>
    <w:p>
      <w:pPr>
        <w:pStyle w:val="Heading2"/>
      </w:pPr>
      <w:r>
        <w:t xml:space="preserve">Syntax</w:t>
      </w:r>
    </w:p>
    <w:p>
      <w:pPr>
        <w:pStyle w:val="SourceCode"/>
      </w:pPr>
      <w:r>
        <w:rPr>
          <w:rStyle w:val="NormalTok"/>
        </w:rPr>
        <w:t xml:space="preserve">normalizedText = files.NormalizeEOL(text, style)</w:t>
      </w:r>
    </w:p>
    <w:bookmarkEnd w:id="3730"/>
    <w:bookmarkStart w:id="3731" w:name="parameters-and-arguments-72"/>
    <w:p>
      <w:pPr>
        <w:pStyle w:val="Heading2"/>
      </w:pPr>
      <w:r>
        <w:t xml:space="preserve">Parameters and Arguments</w:t>
      </w:r>
    </w:p>
    <w:p>
      <w:pPr>
        <w:pStyle w:val="Compact"/>
        <w:numPr>
          <w:ilvl w:val="0"/>
          <w:numId w:val="1937"/>
        </w:numPr>
      </w:pPr>
      <w:r>
        <w:rPr>
          <w:b/>
          <w:bCs/>
        </w:rPr>
        <w:t xml:space="preserve">text</w:t>
      </w:r>
      <w:r>
        <w:t xml:space="preserve"> </w:t>
      </w:r>
      <w:r>
        <w:t xml:space="preserve">(String, Required): The source text containing inconsistent line endings.</w:t>
      </w:r>
    </w:p>
    <w:p>
      <w:pPr>
        <w:pStyle w:val="Compact"/>
        <w:numPr>
          <w:ilvl w:val="0"/>
          <w:numId w:val="1937"/>
        </w:numPr>
      </w:pPr>
      <w:r>
        <w:rPr>
          <w:b/>
          <w:bCs/>
        </w:rPr>
        <w:t xml:space="preserve">style</w:t>
      </w:r>
      <w:r>
        <w:t xml:space="preserve"> </w:t>
      </w:r>
      <w:r>
        <w:t xml:space="preserve">(String, Required): The target line ending style (e.g.,</w:t>
      </w:r>
      <w:r>
        <w:t xml:space="preserve"> </w:t>
      </w:r>
      <w:r>
        <w:t xml:space="preserve">“windows”</w:t>
      </w:r>
      <w:r>
        <w:t xml:space="preserve">,</w:t>
      </w:r>
      <w:r>
        <w:t xml:space="preserve"> </w:t>
      </w:r>
      <w:r>
        <w:t xml:space="preserve">“linux”</w:t>
      </w:r>
      <w:r>
        <w:t xml:space="preserve">,</w:t>
      </w:r>
      <w:r>
        <w:t xml:space="preserve"> </w:t>
      </w:r>
      <w:r>
        <w:t xml:space="preserve">“mac”</w:t>
      </w:r>
      <w:r>
        <w:t xml:space="preserve">).</w:t>
      </w:r>
    </w:p>
    <w:bookmarkEnd w:id="3731"/>
    <w:bookmarkStart w:id="3732" w:name="return-values-118"/>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with the normalized line endings.</w:t>
      </w:r>
    </w:p>
    <w:bookmarkEnd w:id="3732"/>
    <w:bookmarkStart w:id="3733" w:name="remarks-370"/>
    <w:p>
      <w:pPr>
        <w:pStyle w:val="Heading2"/>
      </w:pPr>
      <w:r>
        <w:t xml:space="preserve">Remarks</w:t>
      </w:r>
    </w:p>
    <w:p>
      <w:pPr>
        <w:pStyle w:val="Compact"/>
        <w:numPr>
          <w:ilvl w:val="0"/>
          <w:numId w:val="1938"/>
        </w:numPr>
      </w:pPr>
      <w:r>
        <w:t xml:space="preserve">Styles include</w:t>
      </w:r>
      <w:r>
        <w:t xml:space="preserve"> </w:t>
      </w:r>
      <w:r>
        <w:t xml:space="preserve">“windows”</w:t>
      </w:r>
      <w:r>
        <w:t xml:space="preserve"> </w:t>
      </w:r>
      <w:r>
        <w:t xml:space="preserve">(CRLF),</w:t>
      </w:r>
      <w:r>
        <w:t xml:space="preserve"> </w:t>
      </w:r>
      <w:r>
        <w:t xml:space="preserve">“linux”</w:t>
      </w:r>
      <w:r>
        <w:t xml:space="preserve"> </w:t>
      </w:r>
      <w:r>
        <w:t xml:space="preserve">(LF), and</w:t>
      </w:r>
      <w:r>
        <w:t xml:space="preserve"> </w:t>
      </w:r>
      <w:r>
        <w:t xml:space="preserve">“mac”</w:t>
      </w:r>
      <w:r>
        <w:t xml:space="preserve"> </w:t>
      </w:r>
      <w:r>
        <w:t xml:space="preserve">(CR).</w:t>
      </w:r>
    </w:p>
    <w:p>
      <w:pPr>
        <w:pStyle w:val="Compact"/>
        <w:numPr>
          <w:ilvl w:val="0"/>
          <w:numId w:val="1938"/>
        </w:numPr>
      </w:pPr>
      <w:r>
        <w:t xml:space="preserve">This method is performed in memory and does not affect any files on disk.</w:t>
      </w:r>
    </w:p>
    <w:p>
      <w:pPr>
        <w:pStyle w:val="Compact"/>
        <w:numPr>
          <w:ilvl w:val="0"/>
          <w:numId w:val="1938"/>
        </w:numPr>
      </w:pPr>
      <w:r>
        <w:t xml:space="preserve">This method is also accessible via the</w:t>
      </w:r>
      <w:r>
        <w:t xml:space="preserve"> </w:t>
      </w:r>
      <w:r>
        <w:rPr>
          <w:b/>
          <w:bCs/>
        </w:rPr>
        <w:t xml:space="preserve">NormalizeLineEndings</w:t>
      </w:r>
      <w:r>
        <w:t xml:space="preserve"> </w:t>
      </w:r>
      <w:r>
        <w:t xml:space="preserve">alias.</w:t>
      </w:r>
    </w:p>
    <w:bookmarkEnd w:id="3733"/>
    <w:bookmarkStart w:id="3734" w:name="code-example-19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rPr>
          <w:rStyle w:val="OtherTok"/>
        </w:rPr>
        <w:t xml:space="preserve">,</w:t>
      </w:r>
      <w:r>
        <w:rPr>
          <w:rStyle w:val="NormalTok"/>
        </w:rPr>
        <w:t xml:space="preserve"> rawText</w:t>
      </w:r>
      <w:r>
        <w:rPr>
          <w:rStyle w:val="OtherTok"/>
        </w:rPr>
        <w:t xml:space="preserve">,</w:t>
      </w:r>
      <w:r>
        <w:rPr>
          <w:rStyle w:val="NormalTok"/>
        </w:rPr>
        <w:t xml:space="preserve"> normalizedText</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NormalTok"/>
        </w:rPr>
        <w:t xml:space="preserve">rawText = </w:t>
      </w:r>
      <w:r>
        <w:rPr>
          <w:rStyle w:val="StringTok"/>
        </w:rPr>
        <w:t xml:space="preserve">"Line 1"</w:t>
      </w:r>
      <w:r>
        <w:rPr>
          <w:rStyle w:val="NormalTok"/>
        </w:rPr>
        <w:t xml:space="preserve"> </w:t>
      </w:r>
      <w:r>
        <w:rPr>
          <w:rStyle w:val="KeywordTok"/>
        </w:rPr>
        <w:t xml:space="preserve">&amp;</w:t>
      </w:r>
      <w:r>
        <w:rPr>
          <w:rStyle w:val="NormalTok"/>
        </w:rPr>
        <w:t xml:space="preserve"> </w:t>
      </w:r>
      <w:r>
        <w:rPr>
          <w:rStyle w:val="FunctionTok"/>
        </w:rPr>
        <w:t xml:space="preserve">Chr</w:t>
      </w:r>
      <w:r>
        <w:rPr>
          <w:rStyle w:val="OtherTok"/>
        </w:rPr>
        <w:t xml:space="preserve">(</w:t>
      </w:r>
      <w:r>
        <w:rPr>
          <w:rStyle w:val="DecValTok"/>
        </w:rPr>
        <w:t xml:space="preserve">10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"Line 2"</w:t>
      </w:r>
      <w:r>
        <w:rPr>
          <w:rStyle w:val="NormalTok"/>
        </w:rPr>
        <w:t xml:space="preserve"> </w:t>
      </w:r>
      <w:r>
        <w:rPr>
          <w:rStyle w:val="KeywordTok"/>
        </w:rPr>
        <w:t xml:space="preserve">&amp;</w:t>
      </w:r>
      <w:r>
        <w:rPr>
          <w:rStyle w:val="NormalTok"/>
        </w:rPr>
        <w:t xml:space="preserve"> </w:t>
      </w:r>
      <w:r>
        <w:rPr>
          <w:rStyle w:val="FunctionTok"/>
        </w:rPr>
        <w:t xml:space="preserve">Chr</w:t>
      </w:r>
      <w:r>
        <w:rPr>
          <w:rStyle w:val="OtherTok"/>
        </w:rPr>
        <w:t xml:space="preserve">(</w:t>
      </w:r>
      <w:r>
        <w:rPr>
          <w:rStyle w:val="DecValTok"/>
        </w:rPr>
        <w:t xml:space="preserve">13</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"Line 3"</w:t>
      </w:r>
      <w:r>
        <w:br/>
      </w:r>
      <w:r>
        <w:rPr>
          <w:rStyle w:val="NormalTok"/>
        </w:rPr>
        <w:t xml:space="preserve">normalizedText = files.NormalizeEOL</w:t>
      </w:r>
      <w:r>
        <w:rPr>
          <w:rStyle w:val="OtherTok"/>
        </w:rPr>
        <w:t xml:space="preserve">(</w:t>
      </w:r>
      <w:r>
        <w:rPr>
          <w:rStyle w:val="NormalTok"/>
        </w:rPr>
        <w:t xml:space="preserve">rawText</w:t>
      </w:r>
      <w:r>
        <w:rPr>
          <w:rStyle w:val="OtherTok"/>
        </w:rPr>
        <w:t xml:space="preserve">,</w:t>
      </w:r>
      <w:r>
        <w:rPr>
          <w:rStyle w:val="NormalTok"/>
        </w:rPr>
        <w:t xml:space="preserve"> </w:t>
      </w:r>
      <w:r>
        <w:rPr>
          <w:rStyle w:val="StringTok"/>
        </w:rPr>
        <w:t xml:space="preserve">"windows"</w:t>
      </w:r>
      <w:r>
        <w:rPr>
          <w:rStyle w:val="OtherTok"/>
        </w:rPr>
        <w:t xml:space="preserve">)</w:t>
      </w:r>
      <w:r>
        <w:br/>
      </w:r>
      <w:r>
        <w:rPr>
          <w:rStyle w:val="CommentTok"/>
        </w:rPr>
        <w:t xml:space="preserve">' All line endings are now CRLF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734"/>
    <w:bookmarkEnd w:id="3735"/>
    <w:bookmarkStart w:id="3742" w:name="read-method"/>
    <w:p>
      <w:pPr>
        <w:pStyle w:val="Heading1"/>
      </w:pPr>
      <w:r>
        <w:t xml:space="preserve">Read Method</w:t>
      </w:r>
    </w:p>
    <w:bookmarkStart w:id="3736" w:name="overview-398"/>
    <w:p>
      <w:pPr>
        <w:pStyle w:val="Heading2"/>
      </w:pPr>
      <w:r>
        <w:t xml:space="preserve">Overview</w:t>
      </w:r>
    </w:p>
    <w:p>
      <w:pPr>
        <w:pStyle w:val="FirstParagraph"/>
      </w:pPr>
      <w:r>
        <w:t xml:space="preserve">Returns the full text content of a file using a specified encoding.</w:t>
      </w:r>
    </w:p>
    <w:bookmarkEnd w:id="3736"/>
    <w:bookmarkStart w:id="3737" w:name="syntax-395"/>
    <w:p>
      <w:pPr>
        <w:pStyle w:val="Heading2"/>
      </w:pPr>
      <w:r>
        <w:t xml:space="preserve">Syntax</w:t>
      </w:r>
    </w:p>
    <w:p>
      <w:pPr>
        <w:pStyle w:val="SourceCode"/>
      </w:pPr>
      <w:r>
        <w:rPr>
          <w:rStyle w:val="NormalTok"/>
        </w:rPr>
        <w:t xml:space="preserve">fileContent = files.Read(path [, encoding])</w:t>
      </w:r>
    </w:p>
    <w:bookmarkEnd w:id="3737"/>
    <w:bookmarkStart w:id="3738" w:name="parameters-and-arguments-73"/>
    <w:p>
      <w:pPr>
        <w:pStyle w:val="Heading2"/>
      </w:pPr>
      <w:r>
        <w:t xml:space="preserve">Parameters and Arguments</w:t>
      </w:r>
    </w:p>
    <w:p>
      <w:pPr>
        <w:pStyle w:val="Compact"/>
        <w:numPr>
          <w:ilvl w:val="0"/>
          <w:numId w:val="1939"/>
        </w:numPr>
      </w:pPr>
      <w:r>
        <w:rPr>
          <w:b/>
          <w:bCs/>
        </w:rPr>
        <w:t xml:space="preserve">path</w:t>
      </w:r>
      <w:r>
        <w:t xml:space="preserve"> </w:t>
      </w:r>
      <w:r>
        <w:t xml:space="preserve">(String, Required): The path to the file to be read.</w:t>
      </w:r>
    </w:p>
    <w:p>
      <w:pPr>
        <w:pStyle w:val="Compact"/>
        <w:numPr>
          <w:ilvl w:val="0"/>
          <w:numId w:val="1939"/>
        </w:numPr>
      </w:pPr>
      <w:r>
        <w:rPr>
          <w:b/>
          <w:bCs/>
        </w:rPr>
        <w:t xml:space="preserve">encoding</w:t>
      </w:r>
      <w:r>
        <w:t xml:space="preserve"> </w:t>
      </w:r>
      <w:r>
        <w:t xml:space="preserve">(String, Optional): The text encoding to use for decoding the file (e.g.,</w:t>
      </w:r>
      <w:r>
        <w:t xml:space="preserve"> </w:t>
      </w:r>
      <w:r>
        <w:t xml:space="preserve">“utf-8”</w:t>
      </w:r>
      <w:r>
        <w:t xml:space="preserve">,</w:t>
      </w:r>
      <w:r>
        <w:t xml:space="preserve"> </w:t>
      </w:r>
      <w:r>
        <w:t xml:space="preserve">“utf-16”</w:t>
      </w:r>
      <w:r>
        <w:t xml:space="preserve">,</w:t>
      </w:r>
      <w:r>
        <w:t xml:space="preserve"> </w:t>
      </w:r>
      <w:r>
        <w:t xml:space="preserve">“ascii”</w:t>
      </w:r>
      <w:r>
        <w:t xml:space="preserve">,</w:t>
      </w:r>
      <w:r>
        <w:t xml:space="preserve"> </w:t>
      </w:r>
      <w:r>
        <w:t xml:space="preserve">“iso-8859-1”</w:t>
      </w:r>
      <w:r>
        <w:t xml:space="preserve">). The default is</w:t>
      </w:r>
      <w:r>
        <w:t xml:space="preserve"> </w:t>
      </w:r>
      <w:r>
        <w:t xml:space="preserve">“utf-8”</w:t>
      </w:r>
      <w:r>
        <w:t xml:space="preserve">.</w:t>
      </w:r>
    </w:p>
    <w:bookmarkEnd w:id="3738"/>
    <w:bookmarkStart w:id="3739" w:name="return-values-119"/>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full content of the file. If the file cannot be read, it returns an empty string.</w:t>
      </w:r>
    </w:p>
    <w:bookmarkEnd w:id="3739"/>
    <w:bookmarkStart w:id="3740" w:name="remarks-371"/>
    <w:p>
      <w:pPr>
        <w:pStyle w:val="Heading2"/>
      </w:pPr>
      <w:r>
        <w:t xml:space="preserve">Remarks</w:t>
      </w:r>
    </w:p>
    <w:p>
      <w:pPr>
        <w:pStyle w:val="Compact"/>
        <w:numPr>
          <w:ilvl w:val="0"/>
          <w:numId w:val="1940"/>
        </w:numPr>
      </w:pPr>
      <w:r>
        <w:t xml:space="preserve">The library automatically detects Byte Order Marks (BOM) to determine the correct encoding.</w:t>
      </w:r>
    </w:p>
    <w:p>
      <w:pPr>
        <w:pStyle w:val="Compact"/>
        <w:numPr>
          <w:ilvl w:val="0"/>
          <w:numId w:val="1940"/>
        </w:numPr>
      </w:pPr>
      <w:r>
        <w:t xml:space="preserve">This method is also accessible via the</w:t>
      </w:r>
      <w:r>
        <w:t xml:space="preserve"> </w:t>
      </w:r>
      <w:r>
        <w:rPr>
          <w:b/>
          <w:bCs/>
        </w:rPr>
        <w:t xml:space="preserve">ReadText</w:t>
      </w:r>
      <w:r>
        <w:t xml:space="preserve"> </w:t>
      </w:r>
      <w:r>
        <w:t xml:space="preserve">alias.</w:t>
      </w:r>
    </w:p>
    <w:p>
      <w:pPr>
        <w:pStyle w:val="Compact"/>
        <w:numPr>
          <w:ilvl w:val="0"/>
          <w:numId w:val="1940"/>
        </w:numPr>
      </w:pPr>
      <w:r>
        <w:t xml:space="preserve">Path resolution is relative to the AxonASP sandbox root.</w:t>
      </w:r>
    </w:p>
    <w:bookmarkEnd w:id="3740"/>
    <w:bookmarkStart w:id="3741" w:name="code-example-19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rPr>
          <w:rStyle w:val="OtherTok"/>
        </w:rPr>
        <w:t xml:space="preserve">,</w:t>
      </w:r>
      <w:r>
        <w:rPr>
          <w:rStyle w:val="NormalTok"/>
        </w:rPr>
        <w:t xml:space="preserve"> content</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NormalTok"/>
        </w:rPr>
        <w:t xml:space="preserve">content = files.</w:t>
      </w:r>
      <w:r>
        <w:rPr>
          <w:rStyle w:val="FunctionTok"/>
        </w:rPr>
        <w:t xml:space="preserve">Read</w:t>
      </w:r>
      <w:r>
        <w:rPr>
          <w:rStyle w:val="OtherTok"/>
        </w:rPr>
        <w:t xml:space="preserve">(</w:t>
      </w:r>
      <w:r>
        <w:rPr>
          <w:rStyle w:val="StringTok"/>
        </w:rPr>
        <w:t xml:space="preserve">"/config/app.json"</w:t>
      </w:r>
      <w:r>
        <w:rPr>
          <w:rStyle w:val="OtherTok"/>
        </w:rPr>
        <w:t xml:space="preserve">,</w:t>
      </w:r>
      <w:r>
        <w:rPr>
          <w:rStyle w:val="NormalTok"/>
        </w:rPr>
        <w:t xml:space="preserve"> </w:t>
      </w:r>
      <w:r>
        <w:rPr>
          <w:rStyle w:val="StringTok"/>
        </w:rPr>
        <w:t xml:space="preserve">"utf-8"</w:t>
      </w:r>
      <w:r>
        <w:rPr>
          <w:rStyle w:val="OtherTok"/>
        </w:rPr>
        <w:t xml:space="preserve">)</w:t>
      </w:r>
      <w:r>
        <w:br/>
      </w:r>
      <w:r>
        <w:rPr>
          <w:rStyle w:val="ControlFlowTok"/>
        </w:rPr>
        <w:t xml:space="preserve">If</w:t>
      </w:r>
      <w:r>
        <w:rPr>
          <w:rStyle w:val="NormalTok"/>
        </w:rPr>
        <w:t xml:space="preserve"> content &lt;&gt;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read successfully."</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741"/>
    <w:bookmarkEnd w:id="3742"/>
    <w:bookmarkStart w:id="3749" w:name="size-method"/>
    <w:p>
      <w:pPr>
        <w:pStyle w:val="Heading1"/>
      </w:pPr>
      <w:r>
        <w:t xml:space="preserve">Size Method</w:t>
      </w:r>
    </w:p>
    <w:bookmarkStart w:id="3743" w:name="overview-399"/>
    <w:p>
      <w:pPr>
        <w:pStyle w:val="Heading2"/>
      </w:pPr>
      <w:r>
        <w:t xml:space="preserve">Overview</w:t>
      </w:r>
    </w:p>
    <w:p>
      <w:pPr>
        <w:pStyle w:val="FirstParagraph"/>
      </w:pPr>
      <w:r>
        <w:t xml:space="preserve">Returns the size of a specified file in bytes.</w:t>
      </w:r>
    </w:p>
    <w:bookmarkEnd w:id="3743"/>
    <w:bookmarkStart w:id="3744" w:name="syntax-396"/>
    <w:p>
      <w:pPr>
        <w:pStyle w:val="Heading2"/>
      </w:pPr>
      <w:r>
        <w:t xml:space="preserve">Syntax</w:t>
      </w:r>
    </w:p>
    <w:p>
      <w:pPr>
        <w:pStyle w:val="SourceCode"/>
      </w:pPr>
      <w:r>
        <w:rPr>
          <w:rStyle w:val="NormalTok"/>
        </w:rPr>
        <w:t xml:space="preserve">fileSize = files.Size(path)</w:t>
      </w:r>
    </w:p>
    <w:bookmarkEnd w:id="3744"/>
    <w:bookmarkStart w:id="3745" w:name="parameters-and-arguments-74"/>
    <w:p>
      <w:pPr>
        <w:pStyle w:val="Heading2"/>
      </w:pPr>
      <w:r>
        <w:t xml:space="preserve">Parameters and Arguments</w:t>
      </w:r>
    </w:p>
    <w:p>
      <w:pPr>
        <w:pStyle w:val="Compact"/>
        <w:numPr>
          <w:ilvl w:val="0"/>
          <w:numId w:val="1941"/>
        </w:numPr>
      </w:pPr>
      <w:r>
        <w:rPr>
          <w:b/>
          <w:bCs/>
        </w:rPr>
        <w:t xml:space="preserve">path</w:t>
      </w:r>
      <w:r>
        <w:t xml:space="preserve"> </w:t>
      </w:r>
      <w:r>
        <w:t xml:space="preserve">(String, Required): The path to the file.</w:t>
      </w:r>
    </w:p>
    <w:bookmarkEnd w:id="3745"/>
    <w:bookmarkStart w:id="3746" w:name="return-values-120"/>
    <w:p>
      <w:pPr>
        <w:pStyle w:val="Heading2"/>
      </w:pPr>
      <w:r>
        <w:t xml:space="preserve">Return Values</w:t>
      </w:r>
    </w:p>
    <w:p>
      <w:pPr>
        <w:pStyle w:val="FirstParagraph"/>
      </w:pPr>
      <w:r>
        <w:t xml:space="preserve">Returns an</w:t>
      </w:r>
      <w:r>
        <w:t xml:space="preserve"> </w:t>
      </w:r>
      <w:r>
        <w:rPr>
          <w:b/>
          <w:bCs/>
        </w:rPr>
        <w:t xml:space="preserve">Integer</w:t>
      </w:r>
      <w:r>
        <w:t xml:space="preserve"> </w:t>
      </w:r>
      <w:r>
        <w:t xml:space="preserve">(int64) representing the size of the file in bytes. If the file does not exist or is a directory, it returns 0.</w:t>
      </w:r>
    </w:p>
    <w:bookmarkEnd w:id="3746"/>
    <w:bookmarkStart w:id="3747" w:name="remarks-372"/>
    <w:p>
      <w:pPr>
        <w:pStyle w:val="Heading2"/>
      </w:pPr>
      <w:r>
        <w:t xml:space="preserve">Remarks</w:t>
      </w:r>
    </w:p>
    <w:p>
      <w:pPr>
        <w:pStyle w:val="Compact"/>
        <w:numPr>
          <w:ilvl w:val="0"/>
          <w:numId w:val="1942"/>
        </w:numPr>
      </w:pPr>
      <w:r>
        <w:t xml:space="preserve">This method provides a quick way to check file metadata without reading the content.</w:t>
      </w:r>
    </w:p>
    <w:p>
      <w:pPr>
        <w:pStyle w:val="Compact"/>
        <w:numPr>
          <w:ilvl w:val="0"/>
          <w:numId w:val="1942"/>
        </w:numPr>
      </w:pPr>
      <w:r>
        <w:t xml:space="preserve">Path resolution is relative to the AxonASP sandbox root.</w:t>
      </w:r>
    </w:p>
    <w:bookmarkEnd w:id="3747"/>
    <w:bookmarkStart w:id="3748" w:name="code-example-19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rPr>
          <w:rStyle w:val="OtherTok"/>
        </w:rPr>
        <w:t xml:space="preserve">,</w:t>
      </w:r>
      <w:r>
        <w:rPr>
          <w:rStyle w:val="NormalTok"/>
        </w:rPr>
        <w:t xml:space="preserve"> 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NormalTok"/>
        </w:rPr>
        <w:t xml:space="preserve">s = files.Size</w:t>
      </w:r>
      <w:r>
        <w:rPr>
          <w:rStyle w:val="OtherTok"/>
        </w:rPr>
        <w:t xml:space="preserve">(</w:t>
      </w:r>
      <w:r>
        <w:rPr>
          <w:rStyle w:val="StringTok"/>
        </w:rPr>
        <w:t xml:space="preserve">"/backups/dump.sql"</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"Backup size: "</w:t>
      </w:r>
      <w:r>
        <w:rPr>
          <w:rStyle w:val="NormalTok"/>
        </w:rPr>
        <w:t xml:space="preserve"> </w:t>
      </w:r>
      <w:r>
        <w:rPr>
          <w:rStyle w:val="KeywordTok"/>
        </w:rPr>
        <w:t xml:space="preserve">&amp;</w:t>
      </w:r>
      <w:r>
        <w:rPr>
          <w:rStyle w:val="NormalTok"/>
        </w:rPr>
        <w:t xml:space="preserve"> </w:t>
      </w:r>
      <w:r>
        <w:rPr>
          <w:rStyle w:val="FunctionTok"/>
        </w:rPr>
        <w:t xml:space="preserve">FormatNumber</w:t>
      </w:r>
      <w:r>
        <w:rPr>
          <w:rStyle w:val="OtherTok"/>
        </w:rPr>
        <w:t xml:space="preserve">(</w:t>
      </w:r>
      <w:r>
        <w:rPr>
          <w:rStyle w:val="NormalTok"/>
        </w:rPr>
        <w:t xml:space="preserve">s / </w:t>
      </w:r>
      <w:r>
        <w:rPr>
          <w:rStyle w:val="DecValTok"/>
        </w:rPr>
        <w:t xml:space="preserve">1024</w:t>
      </w:r>
      <w:r>
        <w:rPr>
          <w:rStyle w:val="OtherTok"/>
        </w:rPr>
        <w:t xml:space="preserve">,</w:t>
      </w:r>
      <w:r>
        <w:rPr>
          <w:rStyle w:val="NormalTok"/>
        </w:rPr>
        <w:t xml:space="preserve"> </w:t>
      </w:r>
      <w:r>
        <w:rPr>
          <w:rStyle w:val="DecValTok"/>
        </w:rPr>
        <w:t xml:space="preserve">2</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KB"</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748"/>
    <w:bookmarkEnd w:id="3749"/>
    <w:bookmarkStart w:id="3757" w:name="write-method"/>
    <w:p>
      <w:pPr>
        <w:pStyle w:val="Heading1"/>
      </w:pPr>
      <w:r>
        <w:t xml:space="preserve">Write Method</w:t>
      </w:r>
    </w:p>
    <w:bookmarkStart w:id="3750" w:name="overview-400"/>
    <w:p>
      <w:pPr>
        <w:pStyle w:val="Heading2"/>
      </w:pPr>
      <w:r>
        <w:t xml:space="preserve">Overview</w:t>
      </w:r>
    </w:p>
    <w:p>
      <w:pPr>
        <w:pStyle w:val="FirstParagraph"/>
      </w:pPr>
      <w:r>
        <w:t xml:space="preserve">Writes text content to a file, overwriting any existing content.</w:t>
      </w:r>
    </w:p>
    <w:bookmarkEnd w:id="3750"/>
    <w:bookmarkStart w:id="3751" w:name="syntax-397"/>
    <w:p>
      <w:pPr>
        <w:pStyle w:val="Heading2"/>
      </w:pPr>
      <w:r>
        <w:t xml:space="preserve">Syntax</w:t>
      </w:r>
    </w:p>
    <w:p>
      <w:pPr>
        <w:pStyle w:val="SourceCode"/>
      </w:pPr>
      <w:r>
        <w:rPr>
          <w:rStyle w:val="NormalTok"/>
        </w:rPr>
        <w:t xml:space="preserve">success = files.Write(path, content [, encoding] [, lineEnding] [, includeBOM])</w:t>
      </w:r>
    </w:p>
    <w:bookmarkEnd w:id="3751"/>
    <w:bookmarkStart w:id="3752" w:name="parameters-and-arguments-75"/>
    <w:p>
      <w:pPr>
        <w:pStyle w:val="Heading2"/>
      </w:pPr>
      <w:r>
        <w:t xml:space="preserve">Parameters and Arguments</w:t>
      </w:r>
    </w:p>
    <w:p>
      <w:pPr>
        <w:pStyle w:val="Compact"/>
        <w:numPr>
          <w:ilvl w:val="0"/>
          <w:numId w:val="1943"/>
        </w:numPr>
      </w:pPr>
      <w:r>
        <w:rPr>
          <w:b/>
          <w:bCs/>
        </w:rPr>
        <w:t xml:space="preserve">path</w:t>
      </w:r>
      <w:r>
        <w:t xml:space="preserve"> </w:t>
      </w:r>
      <w:r>
        <w:t xml:space="preserve">(String, Required): The target file path.</w:t>
      </w:r>
    </w:p>
    <w:p>
      <w:pPr>
        <w:pStyle w:val="Compact"/>
        <w:numPr>
          <w:ilvl w:val="0"/>
          <w:numId w:val="1943"/>
        </w:numPr>
      </w:pPr>
      <w:r>
        <w:rPr>
          <w:b/>
          <w:bCs/>
        </w:rPr>
        <w:t xml:space="preserve">content</w:t>
      </w:r>
      <w:r>
        <w:t xml:space="preserve"> </w:t>
      </w:r>
      <w:r>
        <w:t xml:space="preserve">(String, Required): The text content to write.</w:t>
      </w:r>
    </w:p>
    <w:p>
      <w:pPr>
        <w:pStyle w:val="Compact"/>
        <w:numPr>
          <w:ilvl w:val="0"/>
          <w:numId w:val="1943"/>
        </w:numPr>
      </w:pPr>
      <w:r>
        <w:rPr>
          <w:b/>
          <w:bCs/>
        </w:rPr>
        <w:t xml:space="preserve">encoding</w:t>
      </w:r>
      <w:r>
        <w:t xml:space="preserve"> </w:t>
      </w:r>
      <w:r>
        <w:t xml:space="preserve">(String, Optional): The text encoding to use (e.g.,</w:t>
      </w:r>
      <w:r>
        <w:t xml:space="preserve"> </w:t>
      </w:r>
      <w:r>
        <w:t xml:space="preserve">“utf-8”</w:t>
      </w:r>
      <w:r>
        <w:t xml:space="preserve">,</w:t>
      </w:r>
      <w:r>
        <w:t xml:space="preserve"> </w:t>
      </w:r>
      <w:r>
        <w:t xml:space="preserve">“utf-16”</w:t>
      </w:r>
      <w:r>
        <w:t xml:space="preserve">,</w:t>
      </w:r>
      <w:r>
        <w:t xml:space="preserve"> </w:t>
      </w:r>
      <w:r>
        <w:t xml:space="preserve">“ascii”</w:t>
      </w:r>
      <w:r>
        <w:t xml:space="preserve">,</w:t>
      </w:r>
      <w:r>
        <w:t xml:space="preserve"> </w:t>
      </w:r>
      <w:r>
        <w:t xml:space="preserve">“iso-8859-1”</w:t>
      </w:r>
      <w:r>
        <w:t xml:space="preserve">). The default is</w:t>
      </w:r>
      <w:r>
        <w:t xml:space="preserve"> </w:t>
      </w:r>
      <w:r>
        <w:t xml:space="preserve">“utf-8”</w:t>
      </w:r>
      <w:r>
        <w:t xml:space="preserve">.</w:t>
      </w:r>
    </w:p>
    <w:p>
      <w:pPr>
        <w:pStyle w:val="Compact"/>
        <w:numPr>
          <w:ilvl w:val="0"/>
          <w:numId w:val="1943"/>
        </w:numPr>
      </w:pPr>
      <w:r>
        <w:rPr>
          <w:b/>
          <w:bCs/>
        </w:rPr>
        <w:t xml:space="preserve">lineEnding</w:t>
      </w:r>
      <w:r>
        <w:t xml:space="preserve"> </w:t>
      </w:r>
      <w:r>
        <w:t xml:space="preserve">(String, Optional): The line ending style to apply (e.g.,</w:t>
      </w:r>
      <w:r>
        <w:t xml:space="preserve"> </w:t>
      </w:r>
      <w:r>
        <w:t xml:space="preserve">“windows”</w:t>
      </w:r>
      <w:r>
        <w:t xml:space="preserve">,</w:t>
      </w:r>
      <w:r>
        <w:t xml:space="preserve"> </w:t>
      </w:r>
      <w:r>
        <w:t xml:space="preserve">“linux”</w:t>
      </w:r>
      <w:r>
        <w:t xml:space="preserve">). The default is</w:t>
      </w:r>
      <w:r>
        <w:t xml:space="preserve"> </w:t>
      </w:r>
      <w:r>
        <w:t xml:space="preserve">“linux”</w:t>
      </w:r>
      <w:r>
        <w:t xml:space="preserve"> </w:t>
      </w:r>
      <w:r>
        <w:t xml:space="preserve">(LF).</w:t>
      </w:r>
    </w:p>
    <w:p>
      <w:pPr>
        <w:pStyle w:val="Compact"/>
        <w:numPr>
          <w:ilvl w:val="0"/>
          <w:numId w:val="1943"/>
        </w:numPr>
      </w:pPr>
      <w:r>
        <w:rPr>
          <w:b/>
          <w:bCs/>
        </w:rPr>
        <w:t xml:space="preserve">includeBOM</w:t>
      </w:r>
      <w:r>
        <w:t xml:space="preserve"> </w:t>
      </w:r>
      <w:r>
        <w:t xml:space="preserve">(Boolean, Optional): Specifies whether to include a Byte Order Mark in the file. The default is</w:t>
      </w:r>
      <w:r>
        <w:t xml:space="preserve"> </w:t>
      </w:r>
      <w:r>
        <w:rPr>
          <w:b/>
          <w:bCs/>
        </w:rPr>
        <w:t xml:space="preserve">False</w:t>
      </w:r>
      <w:r>
        <w:t xml:space="preserve">.</w:t>
      </w:r>
    </w:p>
    <w:bookmarkEnd w:id="3752"/>
    <w:bookmarkStart w:id="3753" w:name="return-values-121"/>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write operation was successful.</w:t>
      </w:r>
    </w:p>
    <w:bookmarkEnd w:id="3753"/>
    <w:bookmarkStart w:id="3754" w:name="remarks-373"/>
    <w:p>
      <w:pPr>
        <w:pStyle w:val="Heading2"/>
      </w:pPr>
      <w:r>
        <w:t xml:space="preserve">Remarks</w:t>
      </w:r>
    </w:p>
    <w:p>
      <w:pPr>
        <w:pStyle w:val="Compact"/>
        <w:numPr>
          <w:ilvl w:val="0"/>
          <w:numId w:val="1944"/>
        </w:numPr>
      </w:pPr>
      <w:r>
        <w:t xml:space="preserve">If the file already exists, it is overwritten.</w:t>
      </w:r>
    </w:p>
    <w:p>
      <w:pPr>
        <w:pStyle w:val="Compact"/>
        <w:numPr>
          <w:ilvl w:val="0"/>
          <w:numId w:val="1944"/>
        </w:numPr>
      </w:pPr>
      <w:r>
        <w:t xml:space="preserve">The library automatically handles directory creation if the target path includes missing folders.</w:t>
      </w:r>
    </w:p>
    <w:p>
      <w:pPr>
        <w:pStyle w:val="Compact"/>
        <w:numPr>
          <w:ilvl w:val="0"/>
          <w:numId w:val="1944"/>
        </w:numPr>
      </w:pPr>
      <w:r>
        <w:t xml:space="preserve">This method is also accessible via the</w:t>
      </w:r>
      <w:r>
        <w:t xml:space="preserve"> </w:t>
      </w:r>
      <w:r>
        <w:rPr>
          <w:b/>
          <w:bCs/>
        </w:rPr>
        <w:t xml:space="preserve">WriteText</w:t>
      </w:r>
      <w:r>
        <w:t xml:space="preserve"> </w:t>
      </w:r>
      <w:r>
        <w:t xml:space="preserve">alias.</w:t>
      </w:r>
    </w:p>
    <w:bookmarkEnd w:id="3754"/>
    <w:bookmarkStart w:id="3755" w:name="code-example-19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files</w:t>
      </w:r>
      <w:r>
        <w:rPr>
          <w:rStyle w:val="OtherTok"/>
        </w:rPr>
        <w:t xml:space="preserve">,</w:t>
      </w:r>
      <w:r>
        <w:rPr>
          <w:rStyle w:val="NormalTok"/>
        </w:rPr>
        <w:t xml:space="preserve"> content</w:t>
      </w:r>
      <w:r>
        <w:rPr>
          <w:rStyle w:val="OtherTok"/>
        </w:rPr>
        <w:t xml:space="preserve">,</w:t>
      </w:r>
      <w:r>
        <w:rPr>
          <w:rStyle w:val="NormalTok"/>
        </w:rPr>
        <w:t xml:space="preserve"> success</w:t>
      </w:r>
      <w:r>
        <w:br/>
      </w:r>
      <w:r>
        <w:rPr>
          <w:rStyle w:val="KeywordTok"/>
        </w:rPr>
        <w:t xml:space="preserve">Set</w:t>
      </w:r>
      <w:r>
        <w:rPr>
          <w:rStyle w:val="NormalTok"/>
        </w:rPr>
        <w:t xml:space="preserve"> files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"G3FILES"</w:t>
      </w:r>
      <w:r>
        <w:rPr>
          <w:rStyle w:val="OtherTok"/>
        </w:rPr>
        <w:t xml:space="preserve">)</w:t>
      </w:r>
      <w:r>
        <w:br/>
      </w:r>
      <w:r>
        <w:rPr>
          <w:rStyle w:val="NormalTok"/>
        </w:rPr>
        <w:t xml:space="preserve">content = </w:t>
      </w:r>
      <w:r>
        <w:rPr>
          <w:rStyle w:val="StringTok"/>
        </w:rPr>
        <w:t xml:space="preserve">"Configuration Data"</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"Version: 2.1"</w:t>
      </w:r>
      <w:r>
        <w:br/>
      </w:r>
      <w:r>
        <w:rPr>
          <w:rStyle w:val="CommentTok"/>
        </w:rPr>
        <w:t xml:space="preserve">' Write as UTF-8 with a BOM and Windows line endings</w:t>
      </w:r>
      <w:r>
        <w:br/>
      </w:r>
      <w:r>
        <w:rPr>
          <w:rStyle w:val="NormalTok"/>
        </w:rPr>
        <w:t xml:space="preserve">success = files.</w:t>
      </w:r>
      <w:r>
        <w:rPr>
          <w:rStyle w:val="FunctionTok"/>
        </w:rPr>
        <w:t xml:space="preserve">Write</w:t>
      </w:r>
      <w:r>
        <w:rPr>
          <w:rStyle w:val="OtherTok"/>
        </w:rPr>
        <w:t xml:space="preserve">(</w:t>
      </w:r>
      <w:r>
        <w:rPr>
          <w:rStyle w:val="StringTok"/>
        </w:rPr>
        <w:t xml:space="preserve">"config.txt"</w:t>
      </w:r>
      <w:r>
        <w:rPr>
          <w:rStyle w:val="OtherTok"/>
        </w:rPr>
        <w:t xml:space="preserve">,</w:t>
      </w:r>
      <w:r>
        <w:rPr>
          <w:rStyle w:val="NormalTok"/>
        </w:rPr>
        <w:t xml:space="preserve"> content</w:t>
      </w:r>
      <w:r>
        <w:rPr>
          <w:rStyle w:val="OtherTok"/>
        </w:rPr>
        <w:t xml:space="preserve">,</w:t>
      </w:r>
      <w:r>
        <w:rPr>
          <w:rStyle w:val="NormalTok"/>
        </w:rPr>
        <w:t xml:space="preserve"> </w:t>
      </w:r>
      <w:r>
        <w:rPr>
          <w:rStyle w:val="StringTok"/>
        </w:rPr>
        <w:t xml:space="preserve">"utf-8"</w:t>
      </w:r>
      <w:r>
        <w:rPr>
          <w:rStyle w:val="OtherTok"/>
        </w:rPr>
        <w:t xml:space="preserve">,</w:t>
      </w:r>
      <w:r>
        <w:rPr>
          <w:rStyle w:val="NormalTok"/>
        </w:rPr>
        <w:t xml:space="preserve"> </w:t>
      </w:r>
      <w:r>
        <w:rPr>
          <w:rStyle w:val="StringTok"/>
        </w:rPr>
        <w:t xml:space="preserve">"windows"</w:t>
      </w:r>
      <w:r>
        <w:rPr>
          <w:rStyle w:val="OtherTok"/>
        </w:rPr>
        <w:t xml:space="preserve">,</w:t>
      </w:r>
      <w:r>
        <w:rPr>
          <w:rStyle w:val="NormalTok"/>
        </w:rPr>
        <w:t xml:space="preserve"> </w:t>
      </w:r>
      <w:r>
        <w:rPr>
          <w:rStyle w:val="KeywordTok"/>
        </w:rPr>
        <w:t xml:space="preserve">True</w:t>
      </w:r>
      <w:r>
        <w:rPr>
          <w:rStyle w:val="OtherTok"/>
        </w:rPr>
        <w:t xml:space="preserve">)</w:t>
      </w:r>
      <w:r>
        <w:br/>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"Configuration saved."</w:t>
      </w:r>
      <w:r>
        <w:br/>
      </w:r>
      <w:r>
        <w:rPr>
          <w:rStyle w:val="ControlFlowTok"/>
        </w:rPr>
        <w:t xml:space="preserve">End If</w:t>
      </w:r>
      <w:r>
        <w:br/>
      </w:r>
      <w:r>
        <w:rPr>
          <w:rStyle w:val="KeywordTok"/>
        </w:rPr>
        <w:t xml:space="preserve">Set</w:t>
      </w:r>
      <w:r>
        <w:rPr>
          <w:rStyle w:val="NormalTok"/>
        </w:rPr>
        <w:t xml:space="preserve"> files = </w:t>
      </w:r>
      <w:r>
        <w:rPr>
          <w:rStyle w:val="KeywordTok"/>
        </w:rPr>
        <w:t xml:space="preserve">Nothing</w:t>
      </w:r>
      <w:r>
        <w:br/>
      </w:r>
      <w:r>
        <w:rPr>
          <w:rStyle w:val="DataTypeTok"/>
        </w:rPr>
        <w:t xml:space="preserve">%&gt;</w:t>
      </w:r>
    </w:p>
    <w:bookmarkEnd w:id="3755"/>
    <w:bookmarkStart w:id="3756" w:name="g3testsuite"/>
    <w:p>
      <w:pPr>
        <w:pStyle w:val="Heading2"/>
      </w:pPr>
      <w:r>
        <w:t xml:space="preserve">G3TESTSUITE</w:t>
      </w:r>
    </w:p>
    <w:bookmarkEnd w:id="3756"/>
    <w:bookmarkEnd w:id="3757"/>
    <w:bookmarkStart w:id="3766" w:name="use-the-g3testsuite-library"/>
    <w:p>
      <w:pPr>
        <w:pStyle w:val="Heading1"/>
      </w:pPr>
      <w:r>
        <w:t xml:space="preserve">Use the G3TESTSUITE Library</w:t>
      </w:r>
    </w:p>
    <w:bookmarkStart w:id="3758" w:name="overview-401"/>
    <w:p>
      <w:pPr>
        <w:pStyle w:val="Heading2"/>
      </w:pPr>
      <w:r>
        <w:t xml:space="preserve">Overview</w:t>
      </w:r>
    </w:p>
    <w:p>
      <w:pPr>
        <w:pStyle w:val="FirstParagraph"/>
      </w:pPr>
      <w:r>
        <w:t xml:space="preserve">The</w:t>
      </w:r>
      <w:r>
        <w:t xml:space="preserve"> </w:t>
      </w:r>
      <w:r>
        <w:rPr>
          <w:b/>
          <w:bCs/>
        </w:rPr>
        <w:t xml:space="preserve">G3TESTSUITE</w:t>
      </w:r>
      <w:r>
        <w:t xml:space="preserve"> </w:t>
      </w:r>
      <w:r>
        <w:t xml:space="preserve">library provides a native assertion framework for G3Pix AxonASP. It is the primary tool for writing automated unit tests and integration tests within the AxonASP environment. The library enables developers to verify variable states, compare values using native VBScript coercion, and validate error-handling logic.</w:t>
      </w:r>
    </w:p>
    <w:bookmarkEnd w:id="3758"/>
    <w:bookmarkStart w:id="3759" w:name="syntax-398"/>
    <w:p>
      <w:pPr>
        <w:pStyle w:val="Heading2"/>
      </w:pPr>
      <w:r>
        <w:t xml:space="preserve">Syntax</w:t>
      </w:r>
    </w:p>
    <w:p>
      <w:pPr>
        <w:pStyle w:val="FirstParagraph"/>
      </w:pPr>
      <w:r>
        <w:t xml:space="preserve">To instantiate the test suite, use the following syntax:</w:t>
      </w:r>
    </w:p>
    <w:p>
      <w:pPr>
        <w:pStyle w:val="SourceCode"/>
      </w:pPr>
      <w:r>
        <w:rPr>
          <w:rStyle w:val="NormalTok"/>
        </w:rPr>
        <w:t xml:space="preserve">Dim t</w:t>
      </w:r>
      <w:r>
        <w:br/>
      </w:r>
      <w:r>
        <w:rPr>
          <w:rStyle w:val="NormalTok"/>
        </w:rPr>
        <w:t xml:space="preserve">Set t = Server.CreateObject("G3TESTSUITE")</w:t>
      </w:r>
    </w:p>
    <w:p>
      <w:pPr>
        <w:pStyle w:val="SourceCode"/>
      </w:pPr>
      <w:r>
        <w:rPr>
          <w:rStyle w:val="KeywordTok"/>
        </w:rPr>
        <w:t xml:space="preserve">var</w:t>
      </w:r>
      <w:r>
        <w:rPr>
          <w:rStyle w:val="NormalTok"/>
        </w:rPr>
        <w:t xml:space="preserve"> t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"G3TESTSUITE"</w:t>
      </w:r>
      <w:r>
        <w:rPr>
          <w:rStyle w:val="NormalTok"/>
        </w:rPr>
        <w:t xml:space="preserve">)</w:t>
      </w:r>
      <w:r>
        <w:rPr>
          <w:rStyle w:val="OperatorTok"/>
        </w:rPr>
        <w:t xml:space="preserve">;</w:t>
      </w:r>
    </w:p>
    <w:bookmarkEnd w:id="3759"/>
    <w:bookmarkStart w:id="3760" w:name="prerequisites-152"/>
    <w:p>
      <w:pPr>
        <w:pStyle w:val="Heading2"/>
      </w:pPr>
      <w:r>
        <w:t xml:space="preserve">Prerequisites</w:t>
      </w:r>
    </w:p>
    <w:p>
      <w:pPr>
        <w:pStyle w:val="FirstParagraph"/>
      </w:pPr>
      <w:r>
        <w:t xml:space="preserve">No external dependencies are required. The G3TESTSUITE library is a built-in component of the AxonASP Virtual Machine and is designed to work seamlessly with the</w:t>
      </w:r>
      <w:r>
        <w:t xml:space="preserve"> </w:t>
      </w:r>
      <w:r>
        <w:rPr>
          <w:rStyle w:val="VerbatimChar"/>
        </w:rPr>
        <w:t xml:space="preserve">axonasp-testsuite</w:t>
      </w:r>
      <w:r>
        <w:t xml:space="preserve"> </w:t>
      </w:r>
      <w:r>
        <w:t xml:space="preserve">runner.</w:t>
      </w:r>
    </w:p>
    <w:bookmarkEnd w:id="3760"/>
    <w:bookmarkStart w:id="3761" w:name="how-it-works-23"/>
    <w:p>
      <w:pPr>
        <w:pStyle w:val="Heading2"/>
      </w:pPr>
      <w:r>
        <w:t xml:space="preserve">How it Works</w:t>
      </w:r>
    </w:p>
    <w:p>
      <w:pPr>
        <w:pStyle w:val="FirstParagraph"/>
      </w:pPr>
      <w:r>
        <w:t xml:space="preserve">The G3TESTSUITE object maintains internal counters for total, passed, and failed assertions. When an assertion method (such as</w:t>
      </w:r>
      <w:r>
        <w:t xml:space="preserve"> </w:t>
      </w:r>
      <w:r>
        <w:rPr>
          <w:b/>
          <w:bCs/>
        </w:rPr>
        <w:t xml:space="preserve">AssertEqual</w:t>
      </w:r>
      <w:r>
        <w:t xml:space="preserve">) is called, the library evaluates the condition using the same comparison logic as the AxonASP VM, ensuring that test behavior perfectly matches production behavior.</w:t>
      </w:r>
    </w:p>
    <w:p>
      <w:pPr>
        <w:pStyle w:val="BodyText"/>
      </w:pPr>
      <w:r>
        <w:t xml:space="preserve">If an assertion fails, the library records a failure message, including the active description set by</w:t>
      </w:r>
      <w:r>
        <w:t xml:space="preserve"> </w:t>
      </w:r>
      <w:r>
        <w:rPr>
          <w:b/>
          <w:bCs/>
        </w:rPr>
        <w:t xml:space="preserve">Describe</w:t>
      </w:r>
      <w:r>
        <w:t xml:space="preserve">. These failures are aggregated by the AxonASP test runner to produce structured reports.</w:t>
      </w:r>
    </w:p>
    <w:bookmarkEnd w:id="3761"/>
    <w:bookmarkStart w:id="3764" w:name="api-reference-155"/>
    <w:p>
      <w:pPr>
        <w:pStyle w:val="Heading2"/>
      </w:pPr>
      <w:r>
        <w:t xml:space="preserve">API Reference</w:t>
      </w:r>
    </w:p>
    <w:bookmarkStart w:id="3762" w:name="methods-21"/>
    <w:p>
      <w:pPr>
        <w:pStyle w:val="Heading3"/>
      </w:pPr>
      <w:r>
        <w:t xml:space="preserve">Methods</w:t>
      </w:r>
    </w:p>
    <w:p>
      <w:pPr>
        <w:pStyle w:val="Compact"/>
        <w:numPr>
          <w:ilvl w:val="0"/>
          <w:numId w:val="1945"/>
        </w:numPr>
      </w:pPr>
      <w:r>
        <w:rPr>
          <w:b/>
          <w:bCs/>
        </w:rPr>
        <w:t xml:space="preserve">AssertEmpty</w:t>
      </w:r>
      <w:r>
        <w:t xml:space="preserve">: Verifies that a value is the VBScript</w:t>
      </w:r>
      <w:r>
        <w:t xml:space="preserve"> </w:t>
      </w:r>
      <w:r>
        <w:rPr>
          <w:rStyle w:val="VerbatimChar"/>
        </w:rPr>
        <w:t xml:space="preserve">Empty</w:t>
      </w:r>
      <w:r>
        <w:t xml:space="preserve"> </w:t>
      </w:r>
      <w:r>
        <w:t xml:space="preserve">variant.</w:t>
      </w:r>
    </w:p>
    <w:p>
      <w:pPr>
        <w:pStyle w:val="Compact"/>
        <w:numPr>
          <w:ilvl w:val="0"/>
          <w:numId w:val="1945"/>
        </w:numPr>
      </w:pPr>
      <w:r>
        <w:rPr>
          <w:b/>
          <w:bCs/>
        </w:rPr>
        <w:t xml:space="preserve">AssertEqual</w:t>
      </w:r>
      <w:r>
        <w:t xml:space="preserve">: Verifies that two values are equal using standard coercion.</w:t>
      </w:r>
    </w:p>
    <w:p>
      <w:pPr>
        <w:pStyle w:val="Compact"/>
        <w:numPr>
          <w:ilvl w:val="0"/>
          <w:numId w:val="1945"/>
        </w:numPr>
      </w:pPr>
      <w:r>
        <w:rPr>
          <w:b/>
          <w:bCs/>
        </w:rPr>
        <w:t xml:space="preserve">AssertFalse</w:t>
      </w:r>
      <w:r>
        <w:t xml:space="preserve">: Verifies that a condition evaluates to</w:t>
      </w:r>
      <w:r>
        <w:t xml:space="preserve"> </w:t>
      </w:r>
      <w:r>
        <w:rPr>
          <w:rStyle w:val="VerbatimChar"/>
        </w:rPr>
        <w:t xml:space="preserve">False</w:t>
      </w:r>
      <w:r>
        <w:t xml:space="preserve">.</w:t>
      </w:r>
    </w:p>
    <w:p>
      <w:pPr>
        <w:pStyle w:val="Compact"/>
        <w:numPr>
          <w:ilvl w:val="0"/>
          <w:numId w:val="1945"/>
        </w:numPr>
      </w:pPr>
      <w:r>
        <w:rPr>
          <w:b/>
          <w:bCs/>
        </w:rPr>
        <w:t xml:space="preserve">AssertLength</w:t>
      </w:r>
      <w:r>
        <w:t xml:space="preserve">: Verifies the number of elements in an array or the length of a string.</w:t>
      </w:r>
    </w:p>
    <w:p>
      <w:pPr>
        <w:pStyle w:val="Compact"/>
        <w:numPr>
          <w:ilvl w:val="0"/>
          <w:numId w:val="1945"/>
        </w:numPr>
      </w:pPr>
      <w:r>
        <w:rPr>
          <w:b/>
          <w:bCs/>
        </w:rPr>
        <w:t xml:space="preserve">AssertNothing</w:t>
      </w:r>
      <w:r>
        <w:t xml:space="preserve">: Verifies that a value is the VBScript</w:t>
      </w:r>
      <w:r>
        <w:t xml:space="preserve"> </w:t>
      </w:r>
      <w:r>
        <w:rPr>
          <w:rStyle w:val="VerbatimChar"/>
        </w:rPr>
        <w:t xml:space="preserve">Nothing</w:t>
      </w:r>
      <w:r>
        <w:t xml:space="preserve"> </w:t>
      </w:r>
      <w:r>
        <w:t xml:space="preserve">object.</w:t>
      </w:r>
    </w:p>
    <w:p>
      <w:pPr>
        <w:pStyle w:val="Compact"/>
        <w:numPr>
          <w:ilvl w:val="0"/>
          <w:numId w:val="1945"/>
        </w:numPr>
      </w:pPr>
      <w:r>
        <w:rPr>
          <w:b/>
          <w:bCs/>
        </w:rPr>
        <w:t xml:space="preserve">AssertNotEqual</w:t>
      </w:r>
      <w:r>
        <w:t xml:space="preserve">: Verifies that two values are not equal.</w:t>
      </w:r>
    </w:p>
    <w:p>
      <w:pPr>
        <w:pStyle w:val="Compact"/>
        <w:numPr>
          <w:ilvl w:val="0"/>
          <w:numId w:val="1945"/>
        </w:numPr>
      </w:pPr>
      <w:r>
        <w:rPr>
          <w:b/>
          <w:bCs/>
        </w:rPr>
        <w:t xml:space="preserve">AssertNull</w:t>
      </w:r>
      <w:r>
        <w:t xml:space="preserve">: Verifies that a value is the VBScript</w:t>
      </w:r>
      <w:r>
        <w:t xml:space="preserve"> </w:t>
      </w:r>
      <w:r>
        <w:rPr>
          <w:rStyle w:val="VerbatimChar"/>
        </w:rPr>
        <w:t xml:space="preserve">Null</w:t>
      </w:r>
      <w:r>
        <w:t xml:space="preserve"> </w:t>
      </w:r>
      <w:r>
        <w:t xml:space="preserve">variant.</w:t>
      </w:r>
    </w:p>
    <w:p>
      <w:pPr>
        <w:pStyle w:val="Compact"/>
        <w:numPr>
          <w:ilvl w:val="0"/>
          <w:numId w:val="1945"/>
        </w:numPr>
      </w:pPr>
      <w:r>
        <w:rPr>
          <w:b/>
          <w:bCs/>
        </w:rPr>
        <w:t xml:space="preserve">AssertRaises</w:t>
      </w:r>
      <w:r>
        <w:t xml:space="preserve">: Verifies that a VBScript code block raises a specific error.</w:t>
      </w:r>
    </w:p>
    <w:p>
      <w:pPr>
        <w:pStyle w:val="Compact"/>
        <w:numPr>
          <w:ilvl w:val="0"/>
          <w:numId w:val="1945"/>
        </w:numPr>
      </w:pPr>
      <w:r>
        <w:rPr>
          <w:b/>
          <w:bCs/>
        </w:rPr>
        <w:t xml:space="preserve">AssertTrue</w:t>
      </w:r>
      <w:r>
        <w:t xml:space="preserve">: Verifies that a condition evaluates to</w:t>
      </w:r>
      <w:r>
        <w:t xml:space="preserve"> </w:t>
      </w:r>
      <w:r>
        <w:rPr>
          <w:rStyle w:val="VerbatimChar"/>
        </w:rPr>
        <w:t xml:space="preserve">True</w:t>
      </w:r>
      <w:r>
        <w:t xml:space="preserve">.</w:t>
      </w:r>
    </w:p>
    <w:p>
      <w:pPr>
        <w:pStyle w:val="Compact"/>
        <w:numPr>
          <w:ilvl w:val="0"/>
          <w:numId w:val="1945"/>
        </w:numPr>
      </w:pPr>
      <w:r>
        <w:rPr>
          <w:b/>
          <w:bCs/>
        </w:rPr>
        <w:t xml:space="preserve">AssertTypeName</w:t>
      </w:r>
      <w:r>
        <w:t xml:space="preserve">: Verifies the VBScript</w:t>
      </w:r>
      <w:r>
        <w:t xml:space="preserve"> </w:t>
      </w:r>
      <w:r>
        <w:rPr>
          <w:rStyle w:val="VerbatimChar"/>
        </w:rPr>
        <w:t xml:space="preserve">TypeName</w:t>
      </w:r>
      <w:r>
        <w:t xml:space="preserve"> </w:t>
      </w:r>
      <w:r>
        <w:t xml:space="preserve">of a value.</w:t>
      </w:r>
    </w:p>
    <w:p>
      <w:pPr>
        <w:pStyle w:val="Compact"/>
        <w:numPr>
          <w:ilvl w:val="0"/>
          <w:numId w:val="1945"/>
        </w:numPr>
      </w:pPr>
      <w:r>
        <w:rPr>
          <w:b/>
          <w:bCs/>
        </w:rPr>
        <w:t xml:space="preserve">Describe</w:t>
      </w:r>
      <w:r>
        <w:t xml:space="preserve">: Sets a label for the current block of assertions.</w:t>
      </w:r>
    </w:p>
    <w:p>
      <w:pPr>
        <w:pStyle w:val="Compact"/>
        <w:numPr>
          <w:ilvl w:val="0"/>
          <w:numId w:val="1945"/>
        </w:numPr>
      </w:pPr>
      <w:r>
        <w:rPr>
          <w:b/>
          <w:bCs/>
        </w:rPr>
        <w:t xml:space="preserve">Fail</w:t>
      </w:r>
      <w:r>
        <w:t xml:space="preserve">: Explicitly records an assertion failure.</w:t>
      </w:r>
    </w:p>
    <w:bookmarkEnd w:id="3762"/>
    <w:bookmarkStart w:id="3763" w:name="properties-22"/>
    <w:p>
      <w:pPr>
        <w:pStyle w:val="Heading3"/>
      </w:pPr>
      <w:r>
        <w:t xml:space="preserve">Properties</w:t>
      </w:r>
    </w:p>
    <w:p>
      <w:pPr>
        <w:pStyle w:val="Compact"/>
        <w:numPr>
          <w:ilvl w:val="0"/>
          <w:numId w:val="1946"/>
        </w:numPr>
      </w:pPr>
      <w:r>
        <w:rPr>
          <w:b/>
          <w:bCs/>
        </w:rPr>
        <w:t xml:space="preserve">Failed</w:t>
      </w:r>
      <w:r>
        <w:t xml:space="preserve">: Returns the number of failed assertions in the current instance.</w:t>
      </w:r>
    </w:p>
    <w:p>
      <w:pPr>
        <w:pStyle w:val="Compact"/>
        <w:numPr>
          <w:ilvl w:val="0"/>
          <w:numId w:val="1946"/>
        </w:numPr>
      </w:pPr>
      <w:r>
        <w:rPr>
          <w:b/>
          <w:bCs/>
        </w:rPr>
        <w:t xml:space="preserve">HasFailures</w:t>
      </w:r>
      <w:r>
        <w:t xml:space="preserve">: Returns a Boolean indicating if any assertions have failed.</w:t>
      </w:r>
    </w:p>
    <w:p>
      <w:pPr>
        <w:pStyle w:val="Compact"/>
        <w:numPr>
          <w:ilvl w:val="0"/>
          <w:numId w:val="1946"/>
        </w:numPr>
      </w:pPr>
      <w:r>
        <w:rPr>
          <w:b/>
          <w:bCs/>
        </w:rPr>
        <w:t xml:space="preserve">Passed</w:t>
      </w:r>
      <w:r>
        <w:t xml:space="preserve">: Returns the number of passed assertions in the current instance.</w:t>
      </w:r>
    </w:p>
    <w:p>
      <w:pPr>
        <w:pStyle w:val="Compact"/>
        <w:numPr>
          <w:ilvl w:val="0"/>
          <w:numId w:val="1946"/>
        </w:numPr>
      </w:pPr>
      <w:r>
        <w:rPr>
          <w:b/>
          <w:bCs/>
        </w:rPr>
        <w:t xml:space="preserve">Suite</w:t>
      </w:r>
      <w:r>
        <w:t xml:space="preserve">: Gets or sets the current description label.</w:t>
      </w:r>
    </w:p>
    <w:p>
      <w:pPr>
        <w:pStyle w:val="Compact"/>
        <w:numPr>
          <w:ilvl w:val="0"/>
          <w:numId w:val="1946"/>
        </w:numPr>
      </w:pPr>
      <w:r>
        <w:rPr>
          <w:b/>
          <w:bCs/>
        </w:rPr>
        <w:t xml:space="preserve">Total</w:t>
      </w:r>
      <w:r>
        <w:t xml:space="preserve">: Returns the total number of assertions executed.</w:t>
      </w:r>
    </w:p>
    <w:bookmarkEnd w:id="3763"/>
    <w:bookmarkEnd w:id="3764"/>
    <w:bookmarkStart w:id="3765" w:name="code-example-195"/>
    <w:p>
      <w:pPr>
        <w:pStyle w:val="Heading2"/>
      </w:pPr>
      <w:r>
        <w:t xml:space="preserve">Code Example</w:t>
      </w:r>
    </w:p>
    <w:p>
      <w:pPr>
        <w:pStyle w:val="FirstParagraph"/>
      </w:pPr>
      <w:r>
        <w:t xml:space="preserve">The following example demonstrates how to perform a series of assertions to validate a business logic function.</w:t>
      </w:r>
    </w:p>
    <w:p>
      <w:pPr>
        <w:pStyle w:val="SourceCode"/>
      </w:pPr>
      <w:r>
        <w:rPr>
          <w:rStyle w:val="DataTypeTok"/>
        </w:rPr>
        <w:t xml:space="preserve">&lt;%</w:t>
      </w:r>
      <w:r>
        <w:br/>
      </w:r>
      <w:r>
        <w:rPr>
          <w:rStyle w:val="KeywordTok"/>
        </w:rPr>
        <w:t xml:space="preserve">Dim</w:t>
      </w:r>
      <w:r>
        <w:rPr>
          <w:rStyle w:val="NormalTok"/>
        </w:rPr>
        <w:t xml:space="preserve"> t</w:t>
      </w:r>
      <w:r>
        <w:rPr>
          <w:rStyle w:val="OtherTok"/>
        </w:rPr>
        <w:t xml:space="preserve">,</w:t>
      </w:r>
      <w:r>
        <w:rPr>
          <w:rStyle w:val="NormalTok"/>
        </w:rPr>
        <w:t xml:space="preserve"> result</w:t>
      </w:r>
      <w:r>
        <w:br/>
      </w:r>
      <w:r>
        <w:rPr>
          <w:rStyle w:val="KeywordTok"/>
        </w:rPr>
        <w:t xml:space="preserve">Set</w:t>
      </w:r>
      <w:r>
        <w:rPr>
          <w:rStyle w:val="NormalTok"/>
        </w:rPr>
        <w:t xml:space="preserve"> 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"G3TESTSUITE"</w:t>
      </w:r>
      <w:r>
        <w:rPr>
          <w:rStyle w:val="OtherTok"/>
        </w:rPr>
        <w:t xml:space="preserve">)</w:t>
      </w:r>
      <w:r>
        <w:br/>
      </w:r>
      <w:r>
        <w:br/>
      </w:r>
      <w:r>
        <w:rPr>
          <w:rStyle w:val="NormalTok"/>
        </w:rPr>
        <w:t xml:space="preserve">t.Describe </w:t>
      </w:r>
      <w:r>
        <w:rPr>
          <w:rStyle w:val="StringTok"/>
        </w:rPr>
        <w:t xml:space="preserve">"Financial Calculator - Interest Rates"</w:t>
      </w:r>
      <w:r>
        <w:br/>
      </w:r>
      <w:r>
        <w:br/>
      </w:r>
      <w:r>
        <w:rPr>
          <w:rStyle w:val="CommentTok"/>
        </w:rPr>
        <w:t xml:space="preserve">' Validate simple calculation</w:t>
      </w:r>
      <w:r>
        <w:br/>
      </w:r>
      <w:r>
        <w:rPr>
          <w:rStyle w:val="NormalTok"/>
        </w:rPr>
        <w:t xml:space="preserve">result = CalculateInterest</w:t>
      </w:r>
      <w:r>
        <w:rPr>
          <w:rStyle w:val="OtherTok"/>
        </w:rPr>
        <w:t xml:space="preserve">(</w:t>
      </w:r>
      <w:r>
        <w:rPr>
          <w:rStyle w:val="DecValTok"/>
        </w:rPr>
        <w:t xml:space="preserve">1000</w:t>
      </w:r>
      <w:r>
        <w:rPr>
          <w:rStyle w:val="OtherTok"/>
        </w:rPr>
        <w:t xml:space="preserve">,</w:t>
      </w:r>
      <w:r>
        <w:rPr>
          <w:rStyle w:val="NormalTok"/>
        </w:rPr>
        <w:t xml:space="preserve"> </w:t>
      </w:r>
      <w:r>
        <w:rPr>
          <w:rStyle w:val="FloatTok"/>
        </w:rPr>
        <w:t xml:space="preserve">0.05</w:t>
      </w:r>
      <w:r>
        <w:rPr>
          <w:rStyle w:val="OtherTok"/>
        </w:rPr>
        <w:t xml:space="preserve">,</w:t>
      </w:r>
      <w:r>
        <w:rPr>
          <w:rStyle w:val="NormalTok"/>
        </w:rPr>
        <w:t xml:space="preserve"> </w:t>
      </w:r>
      <w:r>
        <w:rPr>
          <w:rStyle w:val="DecValTok"/>
        </w:rPr>
        <w:t xml:space="preserve">1</w:t>
      </w:r>
      <w:r>
        <w:rPr>
          <w:rStyle w:val="OtherTok"/>
        </w:rPr>
        <w:t xml:space="preserve">)</w:t>
      </w:r>
      <w:r>
        <w:br/>
      </w:r>
      <w:r>
        <w:rPr>
          <w:rStyle w:val="NormalTok"/>
        </w:rPr>
        <w:t xml:space="preserve">t.AssertEqual </w:t>
      </w:r>
      <w:r>
        <w:rPr>
          <w:rStyle w:val="DecValTok"/>
        </w:rPr>
        <w:t xml:space="preserve">50</w:t>
      </w:r>
      <w:r>
        <w:rPr>
          <w:rStyle w:val="OtherTok"/>
        </w:rPr>
        <w:t xml:space="preserve">,</w:t>
      </w:r>
      <w:r>
        <w:rPr>
          <w:rStyle w:val="NormalTok"/>
        </w:rPr>
        <w:t xml:space="preserve"> result</w:t>
      </w:r>
      <w:r>
        <w:rPr>
          <w:rStyle w:val="OtherTok"/>
        </w:rPr>
        <w:t xml:space="preserve">,</w:t>
      </w:r>
      <w:r>
        <w:rPr>
          <w:rStyle w:val="NormalTok"/>
        </w:rPr>
        <w:t xml:space="preserve"> </w:t>
      </w:r>
      <w:r>
        <w:rPr>
          <w:rStyle w:val="StringTok"/>
        </w:rPr>
        <w:t xml:space="preserve">"Interest on 1000 at 5% for 1 year should be 50"</w:t>
      </w:r>
      <w:r>
        <w:br/>
      </w:r>
      <w:r>
        <w:br/>
      </w:r>
      <w:r>
        <w:rPr>
          <w:rStyle w:val="CommentTok"/>
        </w:rPr>
        <w:t xml:space="preserve">' Validate type safety</w:t>
      </w:r>
      <w:r>
        <w:br/>
      </w:r>
      <w:r>
        <w:rPr>
          <w:rStyle w:val="NormalTok"/>
        </w:rPr>
        <w:t xml:space="preserve">t.AssertTypeName </w:t>
      </w:r>
      <w:r>
        <w:rPr>
          <w:rStyle w:val="StringTok"/>
        </w:rPr>
        <w:t xml:space="preserve">"Double"</w:t>
      </w:r>
      <w:r>
        <w:rPr>
          <w:rStyle w:val="OtherTok"/>
        </w:rPr>
        <w:t xml:space="preserve">,</w:t>
      </w:r>
      <w:r>
        <w:rPr>
          <w:rStyle w:val="NormalTok"/>
        </w:rPr>
        <w:t xml:space="preserve"> result</w:t>
      </w:r>
      <w:r>
        <w:rPr>
          <w:rStyle w:val="OtherTok"/>
        </w:rPr>
        <w:t xml:space="preserve">,</w:t>
      </w:r>
      <w:r>
        <w:rPr>
          <w:rStyle w:val="NormalTok"/>
        </w:rPr>
        <w:t xml:space="preserve"> </w:t>
      </w:r>
      <w:r>
        <w:rPr>
          <w:rStyle w:val="StringTok"/>
        </w:rPr>
        <w:t xml:space="preserve">"Result must be a Double type"</w:t>
      </w:r>
      <w:r>
        <w:br/>
      </w:r>
      <w:r>
        <w:br/>
      </w:r>
      <w:r>
        <w:rPr>
          <w:rStyle w:val="CommentTok"/>
        </w:rPr>
        <w:t xml:space="preserve">' Validate error handling for negative values</w:t>
      </w:r>
      <w:r>
        <w:br/>
      </w:r>
      <w:r>
        <w:rPr>
          <w:rStyle w:val="NormalTok"/>
        </w:rPr>
        <w:t xml:space="preserve">t.AssertRaises </w:t>
      </w:r>
      <w:r>
        <w:rPr>
          <w:rStyle w:val="StringTok"/>
        </w:rPr>
        <w:t xml:space="preserve">"CalculateInterest -100, 0.05, 1"</w:t>
      </w:r>
      <w:r>
        <w:rPr>
          <w:rStyle w:val="OtherTok"/>
        </w:rPr>
        <w:t xml:space="preserve">,</w:t>
      </w:r>
      <w:r>
        <w:rPr>
          <w:rStyle w:val="NormalTok"/>
        </w:rPr>
        <w:t xml:space="preserve"> </w:t>
      </w:r>
      <w:r>
        <w:rPr>
          <w:rStyle w:val="DecValTok"/>
        </w:rPr>
        <w:t xml:space="preserve">5</w:t>
      </w:r>
      <w:r>
        <w:rPr>
          <w:rStyle w:val="OtherTok"/>
        </w:rPr>
        <w:t xml:space="preserve">,</w:t>
      </w:r>
      <w:r>
        <w:rPr>
          <w:rStyle w:val="NormalTok"/>
        </w:rPr>
        <w:t xml:space="preserve"> </w:t>
      </w:r>
      <w:r>
        <w:rPr>
          <w:rStyle w:val="StringTok"/>
        </w:rPr>
        <w:t xml:space="preserve">"Should raise Illegal Function Call"</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"Tests completed. Passed: "</w:t>
      </w:r>
      <w:r>
        <w:rPr>
          <w:rStyle w:val="NormalTok"/>
        </w:rPr>
        <w:t xml:space="preserve"> </w:t>
      </w:r>
      <w:r>
        <w:rPr>
          <w:rStyle w:val="KeywordTok"/>
        </w:rPr>
        <w:t xml:space="preserve">&amp;</w:t>
      </w:r>
      <w:r>
        <w:rPr>
          <w:rStyle w:val="NormalTok"/>
        </w:rPr>
        <w:t xml:space="preserve"> t.Passed </w:t>
      </w:r>
      <w:r>
        <w:rPr>
          <w:rStyle w:val="KeywordTok"/>
        </w:rPr>
        <w:t xml:space="preserve">&amp;</w:t>
      </w:r>
      <w:r>
        <w:rPr>
          <w:rStyle w:val="NormalTok"/>
        </w:rPr>
        <w:t xml:space="preserve"> </w:t>
      </w:r>
      <w:r>
        <w:rPr>
          <w:rStyle w:val="StringTok"/>
        </w:rPr>
        <w:t xml:space="preserve">"/"</w:t>
      </w:r>
      <w:r>
        <w:rPr>
          <w:rStyle w:val="NormalTok"/>
        </w:rPr>
        <w:t xml:space="preserve"> </w:t>
      </w:r>
      <w:r>
        <w:rPr>
          <w:rStyle w:val="KeywordTok"/>
        </w:rPr>
        <w:t xml:space="preserve">&amp;</w:t>
      </w:r>
      <w:r>
        <w:rPr>
          <w:rStyle w:val="NormalTok"/>
        </w:rPr>
        <w:t xml:space="preserve"> t.Total</w:t>
      </w:r>
      <w:r>
        <w:br/>
      </w:r>
      <w:r>
        <w:rPr>
          <w:rStyle w:val="KeywordTok"/>
        </w:rPr>
        <w:t xml:space="preserve">Set</w:t>
      </w:r>
      <w:r>
        <w:rPr>
          <w:rStyle w:val="NormalTok"/>
        </w:rPr>
        <w:t xml:space="preserve"> t = </w:t>
      </w:r>
      <w:r>
        <w:rPr>
          <w:rStyle w:val="KeywordTok"/>
        </w:rPr>
        <w:t xml:space="preserve">Nothing</w:t>
      </w:r>
      <w:r>
        <w:br/>
      </w:r>
      <w:r>
        <w:rPr>
          <w:rStyle w:val="DataTypeTok"/>
        </w:rPr>
        <w:t xml:space="preserve">%&gt;</w:t>
      </w:r>
    </w:p>
    <w:bookmarkEnd w:id="3765"/>
    <w:bookmarkEnd w:id="3766"/>
    <w:bookmarkStart w:id="3770" w:name="g3testsuite-methods"/>
    <w:p>
      <w:pPr>
        <w:pStyle w:val="Heading1"/>
      </w:pPr>
      <w:r>
        <w:t xml:space="preserve">G3TESTSUITE Methods</w:t>
      </w:r>
    </w:p>
    <w:bookmarkStart w:id="3767" w:name="overview-402"/>
    <w:p>
      <w:pPr>
        <w:pStyle w:val="Heading2"/>
      </w:pPr>
      <w:r>
        <w:t xml:space="preserve">Overview</w:t>
      </w:r>
    </w:p>
    <w:p>
      <w:pPr>
        <w:pStyle w:val="FirstParagraph"/>
      </w:pPr>
      <w:r>
        <w:t xml:space="preserve">This page summarizes every method exposed by</w:t>
      </w:r>
      <w:r>
        <w:t xml:space="preserve"> </w:t>
      </w:r>
      <w:r>
        <w:rPr>
          <w:rStyle w:val="VerbatimChar"/>
        </w:rPr>
        <w:t xml:space="preserve">G3TESTSUITE</w:t>
      </w:r>
      <w:r>
        <w:t xml:space="preserve"> </w:t>
      </w:r>
      <w:r>
        <w:t xml:space="preserve">in G3Pix AxonASP.</w:t>
      </w:r>
    </w:p>
    <w:bookmarkEnd w:id="3767"/>
    <w:bookmarkStart w:id="3768" w:name="methods-22"/>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AssertEqual(expected, actual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values are equal under VM comparison semantics; otherwise</w:t>
            </w:r>
            <w:r>
              <w:t xml:space="preserve"> </w:t>
            </w:r>
            <w:r>
              <w:rPr>
                <w:rStyle w:val="VerbatimChar"/>
              </w:rPr>
              <w:t xml:space="preserve">False</w:t>
            </w:r>
            <w:r>
              <w:t xml:space="preserve">.</w:t>
            </w:r>
          </w:p>
        </w:tc>
      </w:tr>
      <w:tr>
        <w:tc>
          <w:tcPr/>
          <w:p>
            <w:pPr>
              <w:pStyle w:val="Compact"/>
            </w:pPr>
            <w:r>
              <w:rPr>
                <w:rStyle w:val="VerbatimChar"/>
              </w:rPr>
              <w:t xml:space="preserve">AssertNotEqual(expected, actual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values are not equal; otherwise</w:t>
            </w:r>
            <w:r>
              <w:t xml:space="preserve"> </w:t>
            </w:r>
            <w:r>
              <w:rPr>
                <w:rStyle w:val="VerbatimChar"/>
              </w:rPr>
              <w:t xml:space="preserve">False</w:t>
            </w:r>
            <w:r>
              <w:t xml:space="preserve">.</w:t>
            </w:r>
          </w:p>
        </w:tc>
      </w:tr>
      <w:tr>
        <w:tc>
          <w:tcPr/>
          <w:p>
            <w:pPr>
              <w:pStyle w:val="Compact"/>
            </w:pPr>
            <w:r>
              <w:rPr>
                <w:rStyle w:val="VerbatimChar"/>
              </w:rPr>
              <w:t xml:space="preserve">AssertTrue(condition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condition evaluates to true; otherwise</w:t>
            </w:r>
            <w:r>
              <w:t xml:space="preserve"> </w:t>
            </w:r>
            <w:r>
              <w:rPr>
                <w:rStyle w:val="VerbatimChar"/>
              </w:rPr>
              <w:t xml:space="preserve">False</w:t>
            </w:r>
            <w:r>
              <w:t xml:space="preserve">.</w:t>
            </w:r>
          </w:p>
        </w:tc>
      </w:tr>
      <w:tr>
        <w:tc>
          <w:tcPr/>
          <w:p>
            <w:pPr>
              <w:pStyle w:val="Compact"/>
            </w:pPr>
            <w:r>
              <w:rPr>
                <w:rStyle w:val="VerbatimChar"/>
              </w:rPr>
              <w:t xml:space="preserve">AssertFalse(condition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condition evaluates to false; otherwise</w:t>
            </w:r>
            <w:r>
              <w:t xml:space="preserve"> </w:t>
            </w:r>
            <w:r>
              <w:rPr>
                <w:rStyle w:val="VerbatimChar"/>
              </w:rPr>
              <w:t xml:space="preserve">False</w:t>
            </w:r>
            <w:r>
              <w:t xml:space="preserve">.</w:t>
            </w:r>
          </w:p>
        </w:tc>
      </w:tr>
      <w:tr>
        <w:tc>
          <w:tcPr/>
          <w:p>
            <w:pPr>
              <w:pStyle w:val="Compact"/>
            </w:pPr>
            <w:r>
              <w:rPr>
                <w:rStyle w:val="VerbatimChar"/>
              </w:rPr>
              <w:t xml:space="preserve">AssertEmpty(value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value is Empty; otherwise</w:t>
            </w:r>
            <w:r>
              <w:t xml:space="preserve"> </w:t>
            </w:r>
            <w:r>
              <w:rPr>
                <w:rStyle w:val="VerbatimChar"/>
              </w:rPr>
              <w:t xml:space="preserve">False</w:t>
            </w:r>
            <w:r>
              <w:t xml:space="preserve">.</w:t>
            </w:r>
          </w:p>
        </w:tc>
      </w:tr>
      <w:tr>
        <w:tc>
          <w:tcPr/>
          <w:p>
            <w:pPr>
              <w:pStyle w:val="Compact"/>
            </w:pPr>
            <w:r>
              <w:rPr>
                <w:rStyle w:val="VerbatimChar"/>
              </w:rPr>
              <w:t xml:space="preserve">AssertNull(value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value is Null; otherwise</w:t>
            </w:r>
            <w:r>
              <w:t xml:space="preserve"> </w:t>
            </w:r>
            <w:r>
              <w:rPr>
                <w:rStyle w:val="VerbatimChar"/>
              </w:rPr>
              <w:t xml:space="preserve">False</w:t>
            </w:r>
            <w:r>
              <w:t xml:space="preserve">.</w:t>
            </w:r>
          </w:p>
        </w:tc>
      </w:tr>
      <w:tr>
        <w:tc>
          <w:tcPr/>
          <w:p>
            <w:pPr>
              <w:pStyle w:val="Compact"/>
            </w:pPr>
            <w:r>
              <w:rPr>
                <w:rStyle w:val="VerbatimChar"/>
              </w:rPr>
              <w:t xml:space="preserve">AssertNothing(value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value is Nothing; otherwise</w:t>
            </w:r>
            <w:r>
              <w:t xml:space="preserve"> </w:t>
            </w:r>
            <w:r>
              <w:rPr>
                <w:rStyle w:val="VerbatimChar"/>
              </w:rPr>
              <w:t xml:space="preserve">False</w:t>
            </w:r>
            <w:r>
              <w:t xml:space="preserve">.</w:t>
            </w:r>
          </w:p>
        </w:tc>
      </w:tr>
      <w:tr>
        <w:tc>
          <w:tcPr/>
          <w:p>
            <w:pPr>
              <w:pStyle w:val="Compact"/>
            </w:pPr>
            <w:r>
              <w:rPr>
                <w:rStyle w:val="VerbatimChar"/>
              </w:rPr>
              <w:t xml:space="preserve">AssertTypeName(value, expectedTypeName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w:t>
            </w:r>
            <w:r>
              <w:t xml:space="preserve"> </w:t>
            </w:r>
            <w:r>
              <w:rPr>
                <w:rStyle w:val="VerbatimChar"/>
              </w:rPr>
              <w:t xml:space="preserve">TypeName(value)</w:t>
            </w:r>
            <w:r>
              <w:t xml:space="preserve"> </w:t>
            </w:r>
            <w:r>
              <w:t xml:space="preserve">matches expected type name; otherwise</w:t>
            </w:r>
            <w:r>
              <w:t xml:space="preserve"> </w:t>
            </w:r>
            <w:r>
              <w:rPr>
                <w:rStyle w:val="VerbatimChar"/>
              </w:rPr>
              <w:t xml:space="preserve">False</w:t>
            </w:r>
            <w:r>
              <w:t xml:space="preserve">.</w:t>
            </w:r>
          </w:p>
        </w:tc>
      </w:tr>
      <w:tr>
        <w:tc>
          <w:tcPr/>
          <w:p>
            <w:pPr>
              <w:pStyle w:val="Compact"/>
            </w:pPr>
            <w:r>
              <w:rPr>
                <w:rStyle w:val="VerbatimChar"/>
              </w:rPr>
              <w:t xml:space="preserve">AssertLength(value, expectedLength [, message])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length/count matches expected value; otherwise</w:t>
            </w:r>
            <w:r>
              <w:t xml:space="preserve"> </w:t>
            </w:r>
            <w:r>
              <w:rPr>
                <w:rStyle w:val="VerbatimChar"/>
              </w:rPr>
              <w:t xml:space="preserve">False</w:t>
            </w:r>
            <w:r>
              <w:t xml:space="preserve">.</w:t>
            </w:r>
          </w:p>
        </w:tc>
      </w:tr>
      <w:tr>
        <w:tc>
          <w:tcPr/>
          <w:p>
            <w:pPr>
              <w:pStyle w:val="Compact"/>
            </w:pPr>
            <w:r>
              <w:rPr>
                <w:rStyle w:val="VerbatimChar"/>
              </w:rPr>
              <w:t xml:space="preserve">AssertRaises(code [, expected] [, message])</w:t>
            </w:r>
          </w:p>
        </w:tc>
        <w:tc>
          <w:tcPr/>
          <w:p>
            <w:pPr>
              <w:pStyle w:val="Compact"/>
            </w:pPr>
            <w:r>
              <w:t xml:space="preserve">Boolean</w:t>
            </w:r>
          </w:p>
        </w:tc>
        <w:tc>
          <w:tcPr/>
          <w:p>
            <w:pPr>
              <w:pStyle w:val="Compact"/>
            </w:pPr>
            <w:r>
              <w:t xml:space="preserve">Executes code and returns</w:t>
            </w:r>
            <w:r>
              <w:t xml:space="preserve"> </w:t>
            </w:r>
            <w:r>
              <w:rPr>
                <w:rStyle w:val="VerbatimChar"/>
              </w:rPr>
              <w:t xml:space="preserve">True</w:t>
            </w:r>
            <w:r>
              <w:t xml:space="preserve"> </w:t>
            </w:r>
            <w:r>
              <w:t xml:space="preserve">when an expected error condition is met; otherwise</w:t>
            </w:r>
            <w:r>
              <w:t xml:space="preserve"> </w:t>
            </w:r>
            <w:r>
              <w:rPr>
                <w:rStyle w:val="VerbatimChar"/>
              </w:rPr>
              <w:t xml:space="preserve">False</w:t>
            </w:r>
            <w:r>
              <w:t xml:space="preserve">.</w:t>
            </w:r>
          </w:p>
        </w:tc>
      </w:tr>
      <w:tr>
        <w:tc>
          <w:tcPr/>
          <w:p>
            <w:pPr>
              <w:pStyle w:val="Compact"/>
            </w:pPr>
            <w:r>
              <w:rPr>
                <w:rStyle w:val="VerbatimChar"/>
              </w:rPr>
              <w:t xml:space="preserve">Fail([message])</w:t>
            </w:r>
          </w:p>
        </w:tc>
        <w:tc>
          <w:tcPr/>
          <w:p>
            <w:pPr>
              <w:pStyle w:val="Compact"/>
            </w:pPr>
            <w:r>
              <w:t xml:space="preserve">Boolean</w:t>
            </w:r>
          </w:p>
        </w:tc>
        <w:tc>
          <w:tcPr/>
          <w:p>
            <w:pPr>
              <w:pStyle w:val="Compact"/>
            </w:pPr>
            <w:r>
              <w:t xml:space="preserve">Records an explicit failure and returns</w:t>
            </w:r>
            <w:r>
              <w:t xml:space="preserve"> </w:t>
            </w:r>
            <w:r>
              <w:rPr>
                <w:rStyle w:val="VerbatimChar"/>
              </w:rPr>
              <w:t xml:space="preserve">False</w:t>
            </w:r>
            <w:r>
              <w:t xml:space="preserve">.</w:t>
            </w:r>
          </w:p>
        </w:tc>
      </w:tr>
      <w:tr>
        <w:tc>
          <w:tcPr/>
          <w:p>
            <w:pPr>
              <w:pStyle w:val="Compact"/>
            </w:pPr>
            <w:r>
              <w:rPr>
                <w:rStyle w:val="VerbatimChar"/>
              </w:rPr>
              <w:t xml:space="preserve">Describe(label)</w:t>
            </w:r>
          </w:p>
        </w:tc>
        <w:tc>
          <w:tcPr/>
          <w:p>
            <w:pPr>
              <w:pStyle w:val="Compact"/>
            </w:pPr>
            <w:r>
              <w:t xml:space="preserve">Empty</w:t>
            </w:r>
          </w:p>
        </w:tc>
        <w:tc>
          <w:tcPr/>
          <w:p>
            <w:pPr>
              <w:pStyle w:val="Compact"/>
            </w:pPr>
            <w:r>
              <w:t xml:space="preserve">Sets current suite/describe label used in failure diagnostics.</w:t>
            </w:r>
          </w:p>
        </w:tc>
      </w:tr>
    </w:tbl>
    <w:bookmarkEnd w:id="3768"/>
    <w:bookmarkStart w:id="3769" w:name="remarks-374"/>
    <w:p>
      <w:pPr>
        <w:pStyle w:val="Heading2"/>
      </w:pPr>
      <w:r>
        <w:t xml:space="preserve">Remarks</w:t>
      </w:r>
    </w:p>
    <w:p>
      <w:pPr>
        <w:pStyle w:val="Compact"/>
        <w:numPr>
          <w:ilvl w:val="0"/>
          <w:numId w:val="1947"/>
        </w:numPr>
      </w:pPr>
      <w:r>
        <w:t xml:space="preserve">Instantiate the library with</w:t>
      </w:r>
      <w:r>
        <w:t xml:space="preserve"> </w:t>
      </w:r>
      <w:r>
        <w:rPr>
          <w:rStyle w:val="VerbatimChar"/>
        </w:rPr>
        <w:t xml:space="preserve">Server.CreateObject("G3TESTSUITE")</w:t>
      </w:r>
      <w:r>
        <w:t xml:space="preserve">.</w:t>
      </w:r>
    </w:p>
    <w:p>
      <w:pPr>
        <w:pStyle w:val="Compact"/>
        <w:numPr>
          <w:ilvl w:val="0"/>
          <w:numId w:val="1947"/>
        </w:numPr>
      </w:pPr>
      <w:r>
        <w:t xml:space="preserve">Method names are case-insensitive.</w:t>
      </w:r>
    </w:p>
    <w:p>
      <w:pPr>
        <w:pStyle w:val="Compact"/>
        <w:numPr>
          <w:ilvl w:val="0"/>
          <w:numId w:val="1947"/>
        </w:numPr>
      </w:pPr>
      <w:r>
        <w:t xml:space="preserve">Assertion methods update</w:t>
      </w:r>
      <w:r>
        <w:t xml:space="preserve"> </w:t>
      </w:r>
      <w:r>
        <w:rPr>
          <w:rStyle w:val="VerbatimChar"/>
        </w:rPr>
        <w:t xml:space="preserve">Total</w:t>
      </w:r>
      <w:r>
        <w:t xml:space="preserve">,</w:t>
      </w:r>
      <w:r>
        <w:t xml:space="preserve"> </w:t>
      </w:r>
      <w:r>
        <w:rPr>
          <w:rStyle w:val="VerbatimChar"/>
        </w:rPr>
        <w:t xml:space="preserve">Passed</w:t>
      </w:r>
      <w:r>
        <w:t xml:space="preserve">, and</w:t>
      </w:r>
      <w:r>
        <w:t xml:space="preserve"> </w:t>
      </w:r>
      <w:r>
        <w:rPr>
          <w:rStyle w:val="VerbatimChar"/>
        </w:rPr>
        <w:t xml:space="preserve">Failed</w:t>
      </w:r>
      <w:r>
        <w:t xml:space="preserve"> </w:t>
      </w:r>
      <w:r>
        <w:t xml:space="preserve">counters.</w:t>
      </w:r>
    </w:p>
    <w:bookmarkEnd w:id="3769"/>
    <w:bookmarkEnd w:id="3770"/>
    <w:bookmarkStart w:id="3775" w:name="g3testsuite-properties"/>
    <w:p>
      <w:pPr>
        <w:pStyle w:val="Heading1"/>
      </w:pPr>
      <w:r>
        <w:t xml:space="preserve">G3TESTSUITE Properties</w:t>
      </w:r>
    </w:p>
    <w:bookmarkStart w:id="3771" w:name="overview-403"/>
    <w:p>
      <w:pPr>
        <w:pStyle w:val="Heading2"/>
      </w:pPr>
      <w:r>
        <w:t xml:space="preserve">Overview</w:t>
      </w:r>
    </w:p>
    <w:p>
      <w:pPr>
        <w:pStyle w:val="FirstParagraph"/>
      </w:pPr>
      <w:r>
        <w:t xml:space="preserve">This page lists the properties exposed by</w:t>
      </w:r>
      <w:r>
        <w:t xml:space="preserve"> </w:t>
      </w:r>
      <w:r>
        <w:rPr>
          <w:rStyle w:val="VerbatimChar"/>
        </w:rPr>
        <w:t xml:space="preserve">G3TESTSUITE</w:t>
      </w:r>
      <w:r>
        <w:t xml:space="preserve">.</w:t>
      </w:r>
    </w:p>
    <w:bookmarkEnd w:id="3771"/>
    <w:bookmarkStart w:id="3772" w:name="properties-23"/>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Suite</w:t>
            </w:r>
          </w:p>
        </w:tc>
        <w:tc>
          <w:tcPr/>
          <w:p>
            <w:pPr>
              <w:pStyle w:val="Compact"/>
            </w:pPr>
            <w:r>
              <w:t xml:space="preserve">Read/Write</w:t>
            </w:r>
          </w:p>
        </w:tc>
        <w:tc>
          <w:tcPr/>
          <w:p>
            <w:pPr>
              <w:pStyle w:val="Compact"/>
            </w:pPr>
            <w:r>
              <w:t xml:space="preserve">String</w:t>
            </w:r>
          </w:p>
        </w:tc>
        <w:tc>
          <w:tcPr/>
          <w:p>
            <w:pPr>
              <w:pStyle w:val="Compact"/>
            </w:pPr>
            <w:r>
              <w:t xml:space="preserve">Current suite/describe label for assertion diagnostics.</w:t>
            </w:r>
          </w:p>
        </w:tc>
      </w:tr>
      <w:tr>
        <w:tc>
          <w:tcPr/>
          <w:p>
            <w:pPr>
              <w:pStyle w:val="Compact"/>
            </w:pPr>
            <w:r>
              <w:rPr>
                <w:rStyle w:val="VerbatimChar"/>
              </w:rPr>
              <w:t xml:space="preserve">CurrentDescribe</w:t>
            </w:r>
          </w:p>
        </w:tc>
        <w:tc>
          <w:tcPr/>
          <w:p>
            <w:pPr>
              <w:pStyle w:val="Compact"/>
            </w:pPr>
            <w:r>
              <w:t xml:space="preserve">Read/Write</w:t>
            </w:r>
          </w:p>
        </w:tc>
        <w:tc>
          <w:tcPr/>
          <w:p>
            <w:pPr>
              <w:pStyle w:val="Compact"/>
            </w:pPr>
            <w:r>
              <w:t xml:space="preserve">String</w:t>
            </w:r>
          </w:p>
        </w:tc>
        <w:tc>
          <w:tcPr/>
          <w:p>
            <w:pPr>
              <w:pStyle w:val="Compact"/>
            </w:pPr>
            <w:r>
              <w:t xml:space="preserve">Alias of</w:t>
            </w:r>
            <w:r>
              <w:t xml:space="preserve"> </w:t>
            </w:r>
            <w:r>
              <w:rPr>
                <w:rStyle w:val="VerbatimChar"/>
              </w:rPr>
              <w:t xml:space="preserve">Suite</w:t>
            </w:r>
            <w:r>
              <w:t xml:space="preserve"> </w:t>
            </w:r>
            <w:r>
              <w:t xml:space="preserve">for describe label access.</w:t>
            </w:r>
          </w:p>
        </w:tc>
      </w:tr>
      <w:tr>
        <w:tc>
          <w:tcPr/>
          <w:p>
            <w:pPr>
              <w:pStyle w:val="Compact"/>
            </w:pPr>
            <w:r>
              <w:rPr>
                <w:rStyle w:val="VerbatimChar"/>
              </w:rPr>
              <w:t xml:space="preserve">Total</w:t>
            </w:r>
          </w:p>
        </w:tc>
        <w:tc>
          <w:tcPr/>
          <w:p>
            <w:pPr>
              <w:pStyle w:val="Compact"/>
            </w:pPr>
            <w:r>
              <w:t xml:space="preserve">Read-only</w:t>
            </w:r>
          </w:p>
        </w:tc>
        <w:tc>
          <w:tcPr/>
          <w:p>
            <w:pPr>
              <w:pStyle w:val="Compact"/>
            </w:pPr>
            <w:r>
              <w:t xml:space="preserve">Integer</w:t>
            </w:r>
          </w:p>
        </w:tc>
        <w:tc>
          <w:tcPr/>
          <w:p>
            <w:pPr>
              <w:pStyle w:val="Compact"/>
            </w:pPr>
            <w:r>
              <w:t xml:space="preserve">Total number of assertions executed.</w:t>
            </w:r>
          </w:p>
        </w:tc>
      </w:tr>
      <w:tr>
        <w:tc>
          <w:tcPr/>
          <w:p>
            <w:pPr>
              <w:pStyle w:val="Compact"/>
            </w:pPr>
            <w:r>
              <w:rPr>
                <w:rStyle w:val="VerbatimChar"/>
              </w:rPr>
              <w:t xml:space="preserve">Passed</w:t>
            </w:r>
          </w:p>
        </w:tc>
        <w:tc>
          <w:tcPr/>
          <w:p>
            <w:pPr>
              <w:pStyle w:val="Compact"/>
            </w:pPr>
            <w:r>
              <w:t xml:space="preserve">Read-only</w:t>
            </w:r>
          </w:p>
        </w:tc>
        <w:tc>
          <w:tcPr/>
          <w:p>
            <w:pPr>
              <w:pStyle w:val="Compact"/>
            </w:pPr>
            <w:r>
              <w:t xml:space="preserve">Integer</w:t>
            </w:r>
          </w:p>
        </w:tc>
        <w:tc>
          <w:tcPr/>
          <w:p>
            <w:pPr>
              <w:pStyle w:val="Compact"/>
            </w:pPr>
            <w:r>
              <w:t xml:space="preserve">Number of successful assertions.</w:t>
            </w:r>
          </w:p>
        </w:tc>
      </w:tr>
      <w:tr>
        <w:tc>
          <w:tcPr/>
          <w:p>
            <w:pPr>
              <w:pStyle w:val="Compact"/>
            </w:pPr>
            <w:r>
              <w:rPr>
                <w:rStyle w:val="VerbatimChar"/>
              </w:rPr>
              <w:t xml:space="preserve">Failed</w:t>
            </w:r>
          </w:p>
        </w:tc>
        <w:tc>
          <w:tcPr/>
          <w:p>
            <w:pPr>
              <w:pStyle w:val="Compact"/>
            </w:pPr>
            <w:r>
              <w:t xml:space="preserve">Read-only</w:t>
            </w:r>
          </w:p>
        </w:tc>
        <w:tc>
          <w:tcPr/>
          <w:p>
            <w:pPr>
              <w:pStyle w:val="Compact"/>
            </w:pPr>
            <w:r>
              <w:t xml:space="preserve">Integer</w:t>
            </w:r>
          </w:p>
        </w:tc>
        <w:tc>
          <w:tcPr/>
          <w:p>
            <w:pPr>
              <w:pStyle w:val="Compact"/>
            </w:pPr>
            <w:r>
              <w:t xml:space="preserve">Number of failed assertions.</w:t>
            </w:r>
          </w:p>
        </w:tc>
      </w:tr>
      <w:tr>
        <w:tc>
          <w:tcPr/>
          <w:p>
            <w:pPr>
              <w:pStyle w:val="Compact"/>
            </w:pPr>
            <w:r>
              <w:rPr>
                <w:rStyle w:val="VerbatimChar"/>
              </w:rPr>
              <w:t xml:space="preserve">HasFailures</w:t>
            </w:r>
          </w:p>
        </w:tc>
        <w:tc>
          <w:tcPr/>
          <w:p>
            <w:pPr>
              <w:pStyle w:val="Compact"/>
            </w:pPr>
            <w:r>
              <w:t xml:space="preserve">Read-only</w:t>
            </w:r>
          </w:p>
        </w:tc>
        <w:tc>
          <w:tcPr/>
          <w:p>
            <w:pPr>
              <w:pStyle w:val="Compact"/>
            </w:pPr>
            <w:r>
              <w:t xml:space="preserve">Boolean</w:t>
            </w:r>
          </w:p>
        </w:tc>
        <w:tc>
          <w:tcPr/>
          <w:p>
            <w:pPr>
              <w:pStyle w:val="Compact"/>
            </w:pPr>
            <w:r>
              <w:rPr>
                <w:rStyle w:val="VerbatimChar"/>
              </w:rPr>
              <w:t xml:space="preserve">True</w:t>
            </w:r>
            <w:r>
              <w:t xml:space="preserve"> </w:t>
            </w:r>
            <w:r>
              <w:t xml:space="preserve">when one or more failures are recorded.</w:t>
            </w:r>
          </w:p>
        </w:tc>
      </w:tr>
    </w:tbl>
    <w:bookmarkEnd w:id="3772"/>
    <w:bookmarkStart w:id="3773" w:name="remarks-375"/>
    <w:p>
      <w:pPr>
        <w:pStyle w:val="Heading2"/>
      </w:pPr>
      <w:r>
        <w:t xml:space="preserve">Remarks</w:t>
      </w:r>
    </w:p>
    <w:p>
      <w:pPr>
        <w:pStyle w:val="Compact"/>
        <w:numPr>
          <w:ilvl w:val="0"/>
          <w:numId w:val="1948"/>
        </w:numPr>
      </w:pPr>
      <w:r>
        <w:t xml:space="preserve">Instantiate the library with</w:t>
      </w:r>
      <w:r>
        <w:t xml:space="preserve"> </w:t>
      </w:r>
      <w:r>
        <w:rPr>
          <w:rStyle w:val="VerbatimChar"/>
        </w:rPr>
        <w:t xml:space="preserve">Server.CreateObject("G3TESTSUITE")</w:t>
      </w:r>
      <w:r>
        <w:t xml:space="preserve">.</w:t>
      </w:r>
    </w:p>
    <w:p>
      <w:pPr>
        <w:pStyle w:val="Compact"/>
        <w:numPr>
          <w:ilvl w:val="0"/>
          <w:numId w:val="1948"/>
        </w:numPr>
      </w:pPr>
      <w:r>
        <w:rPr>
          <w:rStyle w:val="VerbatimChar"/>
        </w:rPr>
        <w:t xml:space="preserve">Suite</w:t>
      </w:r>
      <w:r>
        <w:t xml:space="preserve"> </w:t>
      </w:r>
      <w:r>
        <w:t xml:space="preserve">and</w:t>
      </w:r>
      <w:r>
        <w:t xml:space="preserve"> </w:t>
      </w:r>
      <w:r>
        <w:rPr>
          <w:rStyle w:val="VerbatimChar"/>
        </w:rPr>
        <w:t xml:space="preserve">CurrentDescribe</w:t>
      </w:r>
      <w:r>
        <w:t xml:space="preserve"> </w:t>
      </w:r>
      <w:r>
        <w:t xml:space="preserve">map to the same runtime field.</w:t>
      </w:r>
    </w:p>
    <w:bookmarkEnd w:id="3773"/>
    <w:bookmarkStart w:id="3774" w:name="g3template"/>
    <w:p>
      <w:pPr>
        <w:pStyle w:val="Heading2"/>
      </w:pPr>
      <w:r>
        <w:t xml:space="preserve">G3TEMPLATE</w:t>
      </w:r>
    </w:p>
    <w:bookmarkEnd w:id="3774"/>
    <w:bookmarkEnd w:id="3775"/>
    <w:bookmarkStart w:id="3783" w:name="use-the-g3template-library"/>
    <w:p>
      <w:pPr>
        <w:pStyle w:val="Heading1"/>
      </w:pPr>
      <w:r>
        <w:t xml:space="preserve">Use the G3TEMPLATE Library</w:t>
      </w:r>
    </w:p>
    <w:bookmarkStart w:id="3776" w:name="overview-404"/>
    <w:p>
      <w:pPr>
        <w:pStyle w:val="Heading2"/>
      </w:pPr>
      <w:r>
        <w:t xml:space="preserve">Overview</w:t>
      </w:r>
    </w:p>
    <w:p>
      <w:pPr>
        <w:pStyle w:val="FirstParagraph"/>
      </w:pPr>
      <w:r>
        <w:t xml:space="preserve">The</w:t>
      </w:r>
      <w:r>
        <w:t xml:space="preserve"> </w:t>
      </w:r>
      <w:r>
        <w:rPr>
          <w:b/>
          <w:bCs/>
        </w:rPr>
        <w:t xml:space="preserve">G3TEMPLATE</w:t>
      </w:r>
      <w:r>
        <w:t xml:space="preserve"> </w:t>
      </w:r>
      <w:r>
        <w:t xml:space="preserve">library provides a high-performance template rendering engine for G3Pix AxonASP. It allows developers to separate application logic from presentation by using external template files. The library leverages the powerful Go</w:t>
      </w:r>
      <w:r>
        <w:t xml:space="preserve"> </w:t>
      </w:r>
      <w:r>
        <w:rPr>
          <w:rStyle w:val="VerbatimChar"/>
        </w:rPr>
        <w:t xml:space="preserve">html/template</w:t>
      </w:r>
      <w:r>
        <w:t xml:space="preserve"> </w:t>
      </w:r>
      <w:r>
        <w:t xml:space="preserve">engine, providing secure, context-aware HTML escaping and data binding.</w:t>
      </w:r>
    </w:p>
    <w:bookmarkEnd w:id="3776"/>
    <w:bookmarkStart w:id="3777" w:name="syntax-399"/>
    <w:p>
      <w:pPr>
        <w:pStyle w:val="Heading2"/>
      </w:pPr>
      <w:r>
        <w:t xml:space="preserve">Syntax</w:t>
      </w:r>
    </w:p>
    <w:p>
      <w:pPr>
        <w:pStyle w:val="FirstParagraph"/>
      </w:pPr>
      <w:r>
        <w:t xml:space="preserve">To instantiate the library, use the following syntax:</w:t>
      </w:r>
    </w:p>
    <w:p>
      <w:pPr>
        <w:pStyle w:val="SourceCode"/>
      </w:pPr>
      <w:r>
        <w:rPr>
          <w:rStyle w:val="NormalTok"/>
        </w:rPr>
        <w:t xml:space="preserve">Dim template</w:t>
      </w:r>
      <w:r>
        <w:br/>
      </w:r>
      <w:r>
        <w:rPr>
          <w:rStyle w:val="NormalTok"/>
        </w:rPr>
        <w:t xml:space="preserve">Set template = Server.CreateObject("G3TEMPLATE")</w:t>
      </w:r>
    </w:p>
    <w:p>
      <w:pPr>
        <w:pStyle w:val="SourceCode"/>
      </w:pPr>
      <w:r>
        <w:rPr>
          <w:rStyle w:val="KeywordTok"/>
        </w:rPr>
        <w:t xml:space="preserve">var</w:t>
      </w:r>
      <w:r>
        <w:rPr>
          <w:rStyle w:val="NormalTok"/>
        </w:rPr>
        <w:t xml:space="preserve"> template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"G3TEMPLATE"</w:t>
      </w:r>
      <w:r>
        <w:rPr>
          <w:rStyle w:val="NormalTok"/>
        </w:rPr>
        <w:t xml:space="preserve">)</w:t>
      </w:r>
      <w:r>
        <w:rPr>
          <w:rStyle w:val="OperatorTok"/>
        </w:rPr>
        <w:t xml:space="preserve">;</w:t>
      </w:r>
    </w:p>
    <w:bookmarkEnd w:id="3777"/>
    <w:bookmarkStart w:id="3778" w:name="prerequisites-153"/>
    <w:p>
      <w:pPr>
        <w:pStyle w:val="Heading2"/>
      </w:pPr>
      <w:r>
        <w:t xml:space="preserve">Prerequisites</w:t>
      </w:r>
    </w:p>
    <w:p>
      <w:pPr>
        <w:pStyle w:val="Compact"/>
        <w:numPr>
          <w:ilvl w:val="0"/>
          <w:numId w:val="1949"/>
        </w:numPr>
      </w:pPr>
      <w:r>
        <w:rPr>
          <w:b/>
          <w:bCs/>
        </w:rPr>
        <w:t xml:space="preserve">Template Files</w:t>
      </w:r>
      <w:r>
        <w:t xml:space="preserve">: Ensure your template files (typically</w:t>
      </w:r>
      <w:r>
        <w:t xml:space="preserve"> </w:t>
      </w:r>
      <w:r>
        <w:rPr>
          <w:rStyle w:val="VerbatimChar"/>
        </w:rPr>
        <w:t xml:space="preserve">.html</w:t>
      </w:r>
      <w:r>
        <w:t xml:space="preserve"> </w:t>
      </w:r>
      <w:r>
        <w:t xml:space="preserve">or</w:t>
      </w:r>
      <w:r>
        <w:t xml:space="preserve"> </w:t>
      </w:r>
      <w:r>
        <w:rPr>
          <w:rStyle w:val="VerbatimChar"/>
        </w:rPr>
        <w:t xml:space="preserve">.tmpl</w:t>
      </w:r>
      <w:r>
        <w:t xml:space="preserve">) are accessible within the server’s file system.</w:t>
      </w:r>
    </w:p>
    <w:p>
      <w:pPr>
        <w:pStyle w:val="Compact"/>
        <w:numPr>
          <w:ilvl w:val="0"/>
          <w:numId w:val="1949"/>
        </w:numPr>
      </w:pPr>
      <w:r>
        <w:rPr>
          <w:b/>
          <w:bCs/>
        </w:rPr>
        <w:t xml:space="preserve">Data Structures</w:t>
      </w:r>
      <w:r>
        <w:t xml:space="preserve">: Data passed to templates should ideally be in the form of a</w:t>
      </w:r>
      <w:r>
        <w:t xml:space="preserve"> </w:t>
      </w:r>
      <w:r>
        <w:rPr>
          <w:b/>
          <w:bCs/>
        </w:rPr>
        <w:t xml:space="preserve">Scripting.Dictionary</w:t>
      </w:r>
      <w:r>
        <w:t xml:space="preserve"> </w:t>
      </w:r>
      <w:r>
        <w:t xml:space="preserve">or a standard</w:t>
      </w:r>
      <w:r>
        <w:t xml:space="preserve"> </w:t>
      </w:r>
      <w:r>
        <w:rPr>
          <w:b/>
          <w:bCs/>
        </w:rPr>
        <w:t xml:space="preserve">Array</w:t>
      </w:r>
      <w:r>
        <w:t xml:space="preserve">.</w:t>
      </w:r>
    </w:p>
    <w:bookmarkEnd w:id="3778"/>
    <w:bookmarkStart w:id="3779" w:name="how-it-works-24"/>
    <w:p>
      <w:pPr>
        <w:pStyle w:val="Heading2"/>
      </w:pPr>
      <w:r>
        <w:t xml:space="preserve">How it Works</w:t>
      </w:r>
    </w:p>
    <w:p>
      <w:pPr>
        <w:pStyle w:val="FirstParagraph"/>
      </w:pPr>
      <w:r>
        <w:t xml:space="preserve">The G3TEMPLATE object parses an external file and executes it using a provided data object.</w:t>
      </w:r>
      <w:r>
        <w:t xml:space="preserve"> </w:t>
      </w:r>
      <w:r>
        <w:t xml:space="preserve">-</w:t>
      </w:r>
      <w:r>
        <w:t xml:space="preserve"> </w:t>
      </w:r>
      <w:r>
        <w:rPr>
          <w:b/>
          <w:bCs/>
        </w:rPr>
        <w:t xml:space="preserve">Data Binding</w:t>
      </w:r>
      <w:r>
        <w:t xml:space="preserve">: You can pass complex nested structures (Dictionaries within Arrays, or vice-versa) to the template.</w:t>
      </w:r>
      <w:r>
        <w:t xml:space="preserve"> </w:t>
      </w:r>
      <w:r>
        <w:t xml:space="preserve">-</w:t>
      </w:r>
      <w:r>
        <w:t xml:space="preserve"> </w:t>
      </w:r>
      <w:r>
        <w:rPr>
          <w:b/>
          <w:bCs/>
        </w:rPr>
        <w:t xml:space="preserve">Path Resolution</w:t>
      </w:r>
      <w:r>
        <w:t xml:space="preserve">: The library automatically resolves relative paths using</w:t>
      </w:r>
      <w:r>
        <w:t xml:space="preserve"> </w:t>
      </w:r>
      <w:r>
        <w:rPr>
          <w:rStyle w:val="VerbatimChar"/>
        </w:rPr>
        <w:t xml:space="preserve">Server.MapPath</w:t>
      </w:r>
      <w:r>
        <w:t xml:space="preserve">.</w:t>
      </w:r>
      <w:r>
        <w:t xml:space="preserve"> </w:t>
      </w:r>
      <w:r>
        <w:t xml:space="preserve">-</w:t>
      </w:r>
      <w:r>
        <w:t xml:space="preserve"> </w:t>
      </w:r>
      <w:r>
        <w:rPr>
          <w:b/>
          <w:bCs/>
        </w:rPr>
        <w:t xml:space="preserve">Security</w:t>
      </w:r>
      <w:r>
        <w:t xml:space="preserve">: The underlying engine provides automatic contextual escaping, protecting your application against Cross-Site Scripting (XSS) attacks by default.</w:t>
      </w:r>
    </w:p>
    <w:bookmarkEnd w:id="3779"/>
    <w:bookmarkStart w:id="3781" w:name="api-reference-156"/>
    <w:p>
      <w:pPr>
        <w:pStyle w:val="Heading2"/>
      </w:pPr>
      <w:r>
        <w:t xml:space="preserve">API Reference</w:t>
      </w:r>
    </w:p>
    <w:bookmarkStart w:id="3780" w:name="methods-23"/>
    <w:p>
      <w:pPr>
        <w:pStyle w:val="Heading3"/>
      </w:pPr>
      <w:r>
        <w:t xml:space="preserve">Methods</w:t>
      </w:r>
    </w:p>
    <w:p>
      <w:pPr>
        <w:pStyle w:val="Compact"/>
        <w:numPr>
          <w:ilvl w:val="0"/>
          <w:numId w:val="1950"/>
        </w:numPr>
      </w:pPr>
      <w:r>
        <w:rPr>
          <w:b/>
          <w:bCs/>
        </w:rPr>
        <w:t xml:space="preserve">Render</w:t>
      </w:r>
      <w:r>
        <w:t xml:space="preserve">: Parses a template file and returns a string containing the rendered output.</w:t>
      </w:r>
    </w:p>
    <w:bookmarkEnd w:id="3780"/>
    <w:bookmarkEnd w:id="3781"/>
    <w:bookmarkStart w:id="3782" w:name="code-example-196"/>
    <w:p>
      <w:pPr>
        <w:pStyle w:val="Heading2"/>
      </w:pPr>
      <w:r>
        <w:t xml:space="preserve">Code Example</w:t>
      </w:r>
    </w:p>
    <w:p>
      <w:pPr>
        <w:pStyle w:val="FirstParagraph"/>
      </w:pPr>
      <w:r>
        <w:t xml:space="preserve">The following example demonstrates how to pass a dictionary of data to a template and render the result.</w:t>
      </w:r>
    </w:p>
    <w:p>
      <w:pPr>
        <w:pStyle w:val="SourceCode"/>
      </w:pPr>
      <w:r>
        <w:rPr>
          <w:rStyle w:val="DataTypeTok"/>
        </w:rPr>
        <w:t xml:space="preserve">&lt;%</w:t>
      </w:r>
      <w:r>
        <w:br/>
      </w:r>
      <w:r>
        <w:rPr>
          <w:rStyle w:val="KeywordTok"/>
        </w:rPr>
        <w:t xml:space="preserve">Dim</w:t>
      </w:r>
      <w:r>
        <w:rPr>
          <w:rStyle w:val="NormalTok"/>
        </w:rPr>
        <w:t xml:space="preserve"> template</w:t>
      </w:r>
      <w:r>
        <w:rPr>
          <w:rStyle w:val="OtherTok"/>
        </w:rPr>
        <w:t xml:space="preserve">,</w:t>
      </w:r>
      <w:r>
        <w:rPr>
          <w:rStyle w:val="NormalTok"/>
        </w:rPr>
        <w:t xml:space="preserve"> data</w:t>
      </w:r>
      <w:r>
        <w:rPr>
          <w:rStyle w:val="OtherTok"/>
        </w:rPr>
        <w:t xml:space="preserve">,</w:t>
      </w:r>
      <w:r>
        <w:rPr>
          <w:rStyle w:val="NormalTok"/>
        </w:rPr>
        <w:t xml:space="preserve"> html</w:t>
      </w:r>
      <w:r>
        <w:br/>
      </w:r>
      <w:r>
        <w:rPr>
          <w:rStyle w:val="KeywordTok"/>
        </w:rPr>
        <w:t xml:space="preserve">Set</w:t>
      </w:r>
      <w:r>
        <w:rPr>
          <w:rStyle w:val="NormalTok"/>
        </w:rPr>
        <w:t xml:space="preserve"> template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"G3TEMPLATE"</w:t>
      </w:r>
      <w:r>
        <w:rPr>
          <w:rStyle w:val="OtherTok"/>
        </w:rPr>
        <w:t xml:space="preserve">)</w:t>
      </w:r>
      <w:r>
        <w:br/>
      </w:r>
      <w:r>
        <w:br/>
      </w:r>
      <w:r>
        <w:rPr>
          <w:rStyle w:val="CommentTok"/>
        </w:rPr>
        <w:t xml:space="preserve">' Prepare data for the template</w:t>
      </w:r>
      <w:r>
        <w:br/>
      </w:r>
      <w:r>
        <w:rPr>
          <w:rStyle w:val="KeywordTok"/>
        </w:rPr>
        <w:t xml:space="preserve">Set</w:t>
      </w:r>
      <w:r>
        <w:rPr>
          <w:rStyle w:val="NormalTok"/>
        </w:rPr>
        <w:t xml:space="preserve"> data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rPr>
          <w:rStyle w:val="NormalTok"/>
        </w:rPr>
        <w:t xml:space="preserve">data.</w:t>
      </w:r>
      <w:r>
        <w:rPr>
          <w:rStyle w:val="FunctionTok"/>
        </w:rPr>
        <w:t xml:space="preserve">Add</w:t>
      </w:r>
      <w:r>
        <w:rPr>
          <w:rStyle w:val="NormalTok"/>
        </w:rPr>
        <w:t xml:space="preserve"> </w:t>
      </w:r>
      <w:r>
        <w:rPr>
          <w:rStyle w:val="StringTok"/>
        </w:rPr>
        <w:t xml:space="preserve">"Title"</w:t>
      </w:r>
      <w:r>
        <w:rPr>
          <w:rStyle w:val="OtherTok"/>
        </w:rPr>
        <w:t xml:space="preserve">,</w:t>
      </w:r>
      <w:r>
        <w:rPr>
          <w:rStyle w:val="NormalTok"/>
        </w:rPr>
        <w:t xml:space="preserve"> </w:t>
      </w:r>
      <w:r>
        <w:rPr>
          <w:rStyle w:val="StringTok"/>
        </w:rPr>
        <w:t xml:space="preserve">"Welcome to AxonASP"</w:t>
      </w:r>
      <w:r>
        <w:br/>
      </w:r>
      <w:r>
        <w:rPr>
          <w:rStyle w:val="NormalTok"/>
        </w:rPr>
        <w:t xml:space="preserve">data.</w:t>
      </w:r>
      <w:r>
        <w:rPr>
          <w:rStyle w:val="FunctionTok"/>
        </w:rPr>
        <w:t xml:space="preserve">Add</w:t>
      </w:r>
      <w:r>
        <w:rPr>
          <w:rStyle w:val="NormalTok"/>
        </w:rPr>
        <w:t xml:space="preserve"> </w:t>
      </w:r>
      <w:r>
        <w:rPr>
          <w:rStyle w:val="StringTok"/>
        </w:rPr>
        <w:t xml:space="preserve">"User"</w:t>
      </w:r>
      <w:r>
        <w:rPr>
          <w:rStyle w:val="OtherTok"/>
        </w:rPr>
        <w:t xml:space="preserve">,</w:t>
      </w:r>
      <w:r>
        <w:rPr>
          <w:rStyle w:val="NormalTok"/>
        </w:rPr>
        <w:t xml:space="preserve"> </w:t>
      </w:r>
      <w:r>
        <w:rPr>
          <w:rStyle w:val="StringTok"/>
        </w:rPr>
        <w:t xml:space="preserve">"Lucas"</w:t>
      </w:r>
      <w:r>
        <w:br/>
      </w:r>
      <w:r>
        <w:br/>
      </w:r>
      <w:r>
        <w:rPr>
          <w:rStyle w:val="CommentTok"/>
        </w:rPr>
        <w:t xml:space="preserve">' Render the template located at /views/index.html</w:t>
      </w:r>
      <w:r>
        <w:br/>
      </w:r>
      <w:r>
        <w:rPr>
          <w:rStyle w:val="NormalTok"/>
        </w:rPr>
        <w:t xml:space="preserve">html = template.Render</w:t>
      </w:r>
      <w:r>
        <w:rPr>
          <w:rStyle w:val="OtherTok"/>
        </w:rPr>
        <w:t xml:space="preserve">(</w:t>
      </w:r>
      <w:r>
        <w:rPr>
          <w:rStyle w:val="StringTok"/>
        </w:rPr>
        <w:t xml:space="preserve">"/views/index.html"</w:t>
      </w:r>
      <w:r>
        <w:rPr>
          <w:rStyle w:val="OtherTok"/>
        </w:rPr>
        <w:t xml:space="preserve">,</w:t>
      </w:r>
      <w:r>
        <w:rPr>
          <w:rStyle w:val="NormalTok"/>
        </w:rPr>
        <w:t xml:space="preserve"> data</w:t>
      </w:r>
      <w:r>
        <w:rPr>
          <w:rStyle w:val="OtherTok"/>
        </w:rPr>
        <w:t xml:space="preserve">)</w:t>
      </w:r>
      <w:r>
        <w:br/>
      </w:r>
      <w:r>
        <w:br/>
      </w:r>
      <w:r>
        <w:rPr>
          <w:rStyle w:val="CommentTok"/>
        </w:rPr>
        <w:t xml:space="preserve">' Output the rendered HTML</w:t>
      </w:r>
      <w:r>
        <w:br/>
      </w:r>
      <w:r>
        <w:rPr>
          <w:rStyle w:val="FunctionTok"/>
        </w:rPr>
        <w:t xml:space="preserve">Response</w:t>
      </w:r>
      <w:r>
        <w:rPr>
          <w:rStyle w:val="NormalTok"/>
        </w:rPr>
        <w:t xml:space="preserve">.</w:t>
      </w:r>
      <w:r>
        <w:rPr>
          <w:rStyle w:val="FunctionTok"/>
        </w:rPr>
        <w:t xml:space="preserve">Write</w:t>
      </w:r>
      <w:r>
        <w:rPr>
          <w:rStyle w:val="NormalTok"/>
        </w:rPr>
        <w:t xml:space="preserve"> html</w:t>
      </w:r>
      <w:r>
        <w:br/>
      </w:r>
      <w:r>
        <w:br/>
      </w:r>
      <w:r>
        <w:rPr>
          <w:rStyle w:val="KeywordTok"/>
        </w:rPr>
        <w:t xml:space="preserve">Set</w:t>
      </w:r>
      <w:r>
        <w:rPr>
          <w:rStyle w:val="NormalTok"/>
        </w:rPr>
        <w:t xml:space="preserve"> template = </w:t>
      </w:r>
      <w:r>
        <w:rPr>
          <w:rStyle w:val="KeywordTok"/>
        </w:rPr>
        <w:t xml:space="preserve">Nothing</w:t>
      </w:r>
      <w:r>
        <w:br/>
      </w:r>
      <w:r>
        <w:rPr>
          <w:rStyle w:val="DataTypeTok"/>
        </w:rPr>
        <w:t xml:space="preserve">%&gt;</w:t>
      </w:r>
    </w:p>
    <w:bookmarkEnd w:id="3782"/>
    <w:bookmarkEnd w:id="3783"/>
    <w:bookmarkStart w:id="3787" w:name="g3template-methods"/>
    <w:p>
      <w:pPr>
        <w:pStyle w:val="Heading1"/>
      </w:pPr>
      <w:r>
        <w:t xml:space="preserve">G3TEMPLATE Methods</w:t>
      </w:r>
    </w:p>
    <w:bookmarkStart w:id="3784" w:name="overview-405"/>
    <w:p>
      <w:pPr>
        <w:pStyle w:val="Heading2"/>
      </w:pPr>
      <w:r>
        <w:t xml:space="preserve">Overview</w:t>
      </w:r>
    </w:p>
    <w:p>
      <w:pPr>
        <w:pStyle w:val="FirstParagraph"/>
      </w:pPr>
      <w:r>
        <w:t xml:space="preserve">This page summarizes every method exposed by</w:t>
      </w:r>
      <w:r>
        <w:t xml:space="preserve"> </w:t>
      </w:r>
      <w:r>
        <w:rPr>
          <w:rStyle w:val="VerbatimChar"/>
        </w:rPr>
        <w:t xml:space="preserve">G3TEMPLATE</w:t>
      </w:r>
      <w:r>
        <w:t xml:space="preserve"> </w:t>
      </w:r>
      <w:r>
        <w:t xml:space="preserve">in G3Pix AxonASP.</w:t>
      </w:r>
    </w:p>
    <w:bookmarkEnd w:id="3784"/>
    <w:bookmarkStart w:id="3785" w:name="methods-24"/>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Render(templatePath [, data])</w:t>
            </w:r>
          </w:p>
        </w:tc>
        <w:tc>
          <w:tcPr/>
          <w:p>
            <w:pPr>
              <w:pStyle w:val="Compact"/>
            </w:pPr>
            <w:r>
              <w:t xml:space="preserve">String</w:t>
            </w:r>
          </w:p>
        </w:tc>
        <w:tc>
          <w:tcPr/>
          <w:p>
            <w:pPr>
              <w:pStyle w:val="Compact"/>
            </w:pPr>
            <w:r>
              <w:t xml:space="preserve">Renders a template file and returns output text; returns an error String when path is missing, template parsing fails, or template execution fails.</w:t>
            </w:r>
          </w:p>
        </w:tc>
      </w:tr>
    </w:tbl>
    <w:bookmarkEnd w:id="3785"/>
    <w:bookmarkStart w:id="3786" w:name="remarks-376"/>
    <w:p>
      <w:pPr>
        <w:pStyle w:val="Heading2"/>
      </w:pPr>
      <w:r>
        <w:t xml:space="preserve">Remarks</w:t>
      </w:r>
    </w:p>
    <w:p>
      <w:pPr>
        <w:pStyle w:val="Compact"/>
        <w:numPr>
          <w:ilvl w:val="0"/>
          <w:numId w:val="1951"/>
        </w:numPr>
      </w:pPr>
      <w:r>
        <w:t xml:space="preserve">Instantiate the library with</w:t>
      </w:r>
      <w:r>
        <w:t xml:space="preserve"> </w:t>
      </w:r>
      <w:r>
        <w:rPr>
          <w:rStyle w:val="VerbatimChar"/>
        </w:rPr>
        <w:t xml:space="preserve">Server.CreateObject("G3TEMPLATE")</w:t>
      </w:r>
      <w:r>
        <w:t xml:space="preserve">.</w:t>
      </w:r>
    </w:p>
    <w:p>
      <w:pPr>
        <w:pStyle w:val="Compact"/>
        <w:numPr>
          <w:ilvl w:val="0"/>
          <w:numId w:val="1951"/>
        </w:numPr>
      </w:pPr>
      <w:r>
        <w:t xml:space="preserve">Method names are case-insensitive.</w:t>
      </w:r>
    </w:p>
    <w:p>
      <w:pPr>
        <w:pStyle w:val="Compact"/>
        <w:numPr>
          <w:ilvl w:val="0"/>
          <w:numId w:val="1951"/>
        </w:numPr>
      </w:pPr>
      <w:r>
        <w:t xml:space="preserve">Template paths are resolved through the host environment when available.</w:t>
      </w:r>
    </w:p>
    <w:bookmarkEnd w:id="3786"/>
    <w:bookmarkEnd w:id="3787"/>
    <w:bookmarkStart w:id="3792" w:name="g3template-properties"/>
    <w:p>
      <w:pPr>
        <w:pStyle w:val="Heading1"/>
      </w:pPr>
      <w:r>
        <w:t xml:space="preserve">G3TEMPLATE Properties</w:t>
      </w:r>
    </w:p>
    <w:bookmarkStart w:id="3788" w:name="overview-406"/>
    <w:p>
      <w:pPr>
        <w:pStyle w:val="Heading2"/>
      </w:pPr>
      <w:r>
        <w:t xml:space="preserve">Overview</w:t>
      </w:r>
    </w:p>
    <w:p>
      <w:pPr>
        <w:pStyle w:val="FirstParagraph"/>
      </w:pPr>
      <w:r>
        <w:t xml:space="preserve">This page lists properties exposed by</w:t>
      </w:r>
      <w:r>
        <w:t xml:space="preserve"> </w:t>
      </w:r>
      <w:r>
        <w:rPr>
          <w:rStyle w:val="VerbatimChar"/>
        </w:rPr>
        <w:t xml:space="preserve">G3TEMPLATE</w:t>
      </w:r>
      <w:r>
        <w:t xml:space="preserve">.</w:t>
      </w:r>
    </w:p>
    <w:bookmarkEnd w:id="3788"/>
    <w:bookmarkStart w:id="3789" w:name="properties-24"/>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None</w:t>
            </w:r>
          </w:p>
        </w:tc>
        <w:tc>
          <w:tcPr/>
          <w:p>
            <w:pPr>
              <w:pStyle w:val="Compact"/>
            </w:pPr>
            <w:r>
              <w:t xml:space="preserve">N/A</w:t>
            </w:r>
          </w:p>
        </w:tc>
        <w:tc>
          <w:tcPr/>
          <w:p>
            <w:pPr>
              <w:pStyle w:val="Compact"/>
            </w:pPr>
            <w:r>
              <w:t xml:space="preserve">N/A</w:t>
            </w:r>
          </w:p>
        </w:tc>
        <w:tc>
          <w:tcPr/>
          <w:p>
            <w:pPr>
              <w:pStyle w:val="Compact"/>
            </w:pPr>
            <w:r>
              <w:rPr>
                <w:rStyle w:val="VerbatimChar"/>
              </w:rPr>
              <w:t xml:space="preserve">G3TEMPLATE</w:t>
            </w:r>
            <w:r>
              <w:t xml:space="preserve"> </w:t>
            </w:r>
            <w:r>
              <w:t xml:space="preserve">does not expose public properties. Use methods for all operations.</w:t>
            </w:r>
          </w:p>
        </w:tc>
      </w:tr>
    </w:tbl>
    <w:bookmarkEnd w:id="3789"/>
    <w:bookmarkStart w:id="3791" w:name="remarks-377"/>
    <w:p>
      <w:pPr>
        <w:pStyle w:val="Heading2"/>
      </w:pPr>
      <w:r>
        <w:t xml:space="preserve">Remarks</w:t>
      </w:r>
    </w:p>
    <w:p>
      <w:pPr>
        <w:pStyle w:val="Compact"/>
        <w:numPr>
          <w:ilvl w:val="0"/>
          <w:numId w:val="1952"/>
        </w:numPr>
      </w:pPr>
      <w:r>
        <w:t xml:space="preserve">Instantiate the library with</w:t>
      </w:r>
      <w:r>
        <w:t xml:space="preserve"> </w:t>
      </w:r>
      <w:r>
        <w:rPr>
          <w:rStyle w:val="VerbatimChar"/>
        </w:rPr>
        <w:t xml:space="preserve">Server.CreateObject("G3TEMPLATE")</w:t>
      </w:r>
      <w:r>
        <w:t xml:space="preserve">.</w:t>
      </w:r>
    </w:p>
    <w:bookmarkStart w:id="3790" w:name="methods-detail-10"/>
    <w:p>
      <w:pPr>
        <w:pStyle w:val="Heading3"/>
      </w:pPr>
      <w:r>
        <w:t xml:space="preserve">Methods Detail</w:t>
      </w:r>
    </w:p>
    <w:bookmarkEnd w:id="3790"/>
    <w:bookmarkEnd w:id="3791"/>
    <w:bookmarkEnd w:id="3792"/>
    <w:bookmarkStart w:id="3800" w:name="render-method"/>
    <w:p>
      <w:pPr>
        <w:pStyle w:val="Heading1"/>
      </w:pPr>
      <w:r>
        <w:t xml:space="preserve">Render Method</w:t>
      </w:r>
    </w:p>
    <w:bookmarkStart w:id="3793" w:name="overview-407"/>
    <w:p>
      <w:pPr>
        <w:pStyle w:val="Heading2"/>
      </w:pPr>
      <w:r>
        <w:t xml:space="preserve">Overview</w:t>
      </w:r>
    </w:p>
    <w:p>
      <w:pPr>
        <w:pStyle w:val="FirstParagraph"/>
      </w:pPr>
      <w:r>
        <w:t xml:space="preserve">Parses an external template file and returns a string containing the rendered output using an optional data object in the G3Pix AxonASP G3TEMPLATE library.</w:t>
      </w:r>
    </w:p>
    <w:bookmarkEnd w:id="3793"/>
    <w:bookmarkStart w:id="3794" w:name="syntax-400"/>
    <w:p>
      <w:pPr>
        <w:pStyle w:val="Heading2"/>
      </w:pPr>
      <w:r>
        <w:t xml:space="preserve">Syntax</w:t>
      </w:r>
    </w:p>
    <w:p>
      <w:pPr>
        <w:pStyle w:val="SourceCode"/>
      </w:pPr>
      <w:r>
        <w:rPr>
          <w:rStyle w:val="NormalTok"/>
        </w:rPr>
        <w:t xml:space="preserve">renderedOutput = obj.Render(templatePath [, data])</w:t>
      </w:r>
    </w:p>
    <w:bookmarkEnd w:id="3794"/>
    <w:bookmarkStart w:id="3795" w:name="parameters-and-arguments-76"/>
    <w:p>
      <w:pPr>
        <w:pStyle w:val="Heading2"/>
      </w:pPr>
      <w:r>
        <w:t xml:space="preserve">Parameters and Arguments</w:t>
      </w:r>
    </w:p>
    <w:p>
      <w:pPr>
        <w:pStyle w:val="Compact"/>
        <w:numPr>
          <w:ilvl w:val="0"/>
          <w:numId w:val="1953"/>
        </w:numPr>
      </w:pPr>
      <w:r>
        <w:rPr>
          <w:b/>
          <w:bCs/>
        </w:rPr>
        <w:t xml:space="preserve">templatePath</w:t>
      </w:r>
      <w:r>
        <w:t xml:space="preserve"> </w:t>
      </w:r>
      <w:r>
        <w:t xml:space="preserve">(String, Required): The relative or absolute path to the template file on the server.</w:t>
      </w:r>
    </w:p>
    <w:p>
      <w:pPr>
        <w:pStyle w:val="Compact"/>
        <w:numPr>
          <w:ilvl w:val="0"/>
          <w:numId w:val="1953"/>
        </w:numPr>
      </w:pPr>
      <w:r>
        <w:rPr>
          <w:b/>
          <w:bCs/>
        </w:rPr>
        <w:t xml:space="preserve">data</w:t>
      </w:r>
      <w:r>
        <w:t xml:space="preserve"> </w:t>
      </w:r>
      <w:r>
        <w:t xml:space="preserve">(Variant, Optional): An object or array containing the data to be bound to the template. This is typically a</w:t>
      </w:r>
      <w:r>
        <w:t xml:space="preserve"> </w:t>
      </w:r>
      <w:r>
        <w:rPr>
          <w:b/>
          <w:bCs/>
        </w:rPr>
        <w:t xml:space="preserve">Scripting.Dictionary</w:t>
      </w:r>
      <w:r>
        <w:t xml:space="preserve"> </w:t>
      </w:r>
      <w:r>
        <w:t xml:space="preserve">or a standard</w:t>
      </w:r>
      <w:r>
        <w:t xml:space="preserve"> </w:t>
      </w:r>
      <w:r>
        <w:rPr>
          <w:b/>
          <w:bCs/>
        </w:rPr>
        <w:t xml:space="preserve">Array</w:t>
      </w:r>
      <w:r>
        <w:t xml:space="preserve">.</w:t>
      </w:r>
    </w:p>
    <w:bookmarkEnd w:id="3795"/>
    <w:bookmarkStart w:id="3796" w:name="return-values-122"/>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fully rendered template output. If an error occurs during parsing or execution (e.g., file not found or invalid template syntax), the method returns a</w:t>
      </w:r>
      <w:r>
        <w:t xml:space="preserve"> </w:t>
      </w:r>
      <w:r>
        <w:rPr>
          <w:b/>
          <w:bCs/>
        </w:rPr>
        <w:t xml:space="preserve">String</w:t>
      </w:r>
      <w:r>
        <w:t xml:space="preserve"> </w:t>
      </w:r>
      <w:r>
        <w:t xml:space="preserve">prefixed with</w:t>
      </w:r>
      <w:r>
        <w:t xml:space="preserve"> </w:t>
      </w:r>
      <w:r>
        <w:t xml:space="preserve">“Error:”</w:t>
      </w:r>
      <w:r>
        <w:t xml:space="preserve"> </w:t>
      </w:r>
      <w:r>
        <w:t xml:space="preserve">followed by the error description.</w:t>
      </w:r>
    </w:p>
    <w:bookmarkEnd w:id="3796"/>
    <w:bookmarkStart w:id="3797" w:name="remarks-378"/>
    <w:p>
      <w:pPr>
        <w:pStyle w:val="Heading2"/>
      </w:pPr>
      <w:r>
        <w:t xml:space="preserve">Remarks</w:t>
      </w:r>
    </w:p>
    <w:p>
      <w:pPr>
        <w:pStyle w:val="Compact"/>
        <w:numPr>
          <w:ilvl w:val="0"/>
          <w:numId w:val="1954"/>
        </w:numPr>
      </w:pPr>
      <w:r>
        <w:t xml:space="preserve">The template engine uses standard Go</w:t>
      </w:r>
      <w:r>
        <w:t xml:space="preserve"> </w:t>
      </w:r>
      <w:r>
        <w:rPr>
          <w:rStyle w:val="VerbatimChar"/>
        </w:rPr>
        <w:t xml:space="preserve">html/template</w:t>
      </w:r>
      <w:r>
        <w:t xml:space="preserve"> </w:t>
      </w:r>
      <w:r>
        <w:t xml:space="preserve">syntax (e.g.,</w:t>
      </w:r>
      <w:r>
        <w:t xml:space="preserve"> </w:t>
      </w:r>
      <w:r>
        <w:rPr>
          <w:rStyle w:val="VerbatimChar"/>
        </w:rPr>
        <w:t xml:space="preserve">{{ .ValueName }}</w:t>
      </w:r>
      <w:r>
        <w:t xml:space="preserve">).</w:t>
      </w:r>
    </w:p>
    <w:p>
      <w:pPr>
        <w:pStyle w:val="Compact"/>
        <w:numPr>
          <w:ilvl w:val="0"/>
          <w:numId w:val="1954"/>
        </w:numPr>
      </w:pPr>
      <w:r>
        <w:t xml:space="preserve">The method automatically resolves relative paths using</w:t>
      </w:r>
      <w:r>
        <w:t xml:space="preserve"> </w:t>
      </w:r>
      <w:r>
        <w:rPr>
          <w:rStyle w:val="VerbatimChar"/>
        </w:rPr>
        <w:t xml:space="preserve">Server.MapPath</w:t>
      </w:r>
      <w:r>
        <w:t xml:space="preserve">.</w:t>
      </w:r>
    </w:p>
    <w:p>
      <w:pPr>
        <w:pStyle w:val="Compact"/>
        <w:numPr>
          <w:ilvl w:val="0"/>
          <w:numId w:val="1954"/>
        </w:numPr>
      </w:pPr>
      <w:r>
        <w:t xml:space="preserve">Context-aware escaping is automatically applied to prevent XSS.</w:t>
      </w:r>
    </w:p>
    <w:bookmarkEnd w:id="3797"/>
    <w:bookmarkStart w:id="3798" w:name="code-example-19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template</w:t>
      </w:r>
      <w:r>
        <w:rPr>
          <w:rStyle w:val="OtherTok"/>
        </w:rPr>
        <w:t xml:space="preserve">,</w:t>
      </w:r>
      <w:r>
        <w:rPr>
          <w:rStyle w:val="NormalTok"/>
        </w:rPr>
        <w:t xml:space="preserve"> user</w:t>
      </w:r>
      <w:r>
        <w:rPr>
          <w:rStyle w:val="OtherTok"/>
        </w:rPr>
        <w:t xml:space="preserve">,</w:t>
      </w:r>
      <w:r>
        <w:rPr>
          <w:rStyle w:val="NormalTok"/>
        </w:rPr>
        <w:t xml:space="preserve"> output</w:t>
      </w:r>
      <w:r>
        <w:br/>
      </w:r>
      <w:r>
        <w:rPr>
          <w:rStyle w:val="KeywordTok"/>
        </w:rPr>
        <w:t xml:space="preserve">Set</w:t>
      </w:r>
      <w:r>
        <w:rPr>
          <w:rStyle w:val="NormalTok"/>
        </w:rPr>
        <w:t xml:space="preserve"> template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"G3TEMPLATE"</w:t>
      </w:r>
      <w:r>
        <w:rPr>
          <w:rStyle w:val="OtherTok"/>
        </w:rPr>
        <w:t xml:space="preserve">)</w:t>
      </w:r>
      <w:r>
        <w:br/>
      </w:r>
      <w:r>
        <w:br/>
      </w:r>
      <w:r>
        <w:rPr>
          <w:rStyle w:val="CommentTok"/>
        </w:rPr>
        <w:t xml:space="preserve">' Define a data dictionary</w:t>
      </w:r>
      <w:r>
        <w:br/>
      </w:r>
      <w:r>
        <w:rPr>
          <w:rStyle w:val="KeywordTok"/>
        </w:rPr>
        <w:t xml:space="preserve">Set</w:t>
      </w:r>
      <w:r>
        <w:rPr>
          <w:rStyle w:val="NormalTok"/>
        </w:rPr>
        <w:t xml:space="preserve"> user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rPr>
          <w:rStyle w:val="NormalTok"/>
        </w:rPr>
        <w:t xml:space="preserve">user.</w:t>
      </w:r>
      <w:r>
        <w:rPr>
          <w:rStyle w:val="FunctionTok"/>
        </w:rPr>
        <w:t xml:space="preserve">Add</w:t>
      </w:r>
      <w:r>
        <w:rPr>
          <w:rStyle w:val="NormalTok"/>
        </w:rPr>
        <w:t xml:space="preserve"> </w:t>
      </w:r>
      <w:r>
        <w:rPr>
          <w:rStyle w:val="StringTok"/>
        </w:rPr>
        <w:t xml:space="preserve">"Name"</w:t>
      </w:r>
      <w:r>
        <w:rPr>
          <w:rStyle w:val="OtherTok"/>
        </w:rPr>
        <w:t xml:space="preserve">,</w:t>
      </w:r>
      <w:r>
        <w:rPr>
          <w:rStyle w:val="NormalTok"/>
        </w:rPr>
        <w:t xml:space="preserve"> </w:t>
      </w:r>
      <w:r>
        <w:rPr>
          <w:rStyle w:val="StringTok"/>
        </w:rPr>
        <w:t xml:space="preserve">"Lucas"</w:t>
      </w:r>
      <w:r>
        <w:br/>
      </w:r>
      <w:r>
        <w:rPr>
          <w:rStyle w:val="NormalTok"/>
        </w:rPr>
        <w:t xml:space="preserve">user.</w:t>
      </w:r>
      <w:r>
        <w:rPr>
          <w:rStyle w:val="FunctionTok"/>
        </w:rPr>
        <w:t xml:space="preserve">Add</w:t>
      </w:r>
      <w:r>
        <w:rPr>
          <w:rStyle w:val="NormalTok"/>
        </w:rPr>
        <w:t xml:space="preserve"> </w:t>
      </w:r>
      <w:r>
        <w:rPr>
          <w:rStyle w:val="StringTok"/>
        </w:rPr>
        <w:t xml:space="preserve">"IsAdmin"</w:t>
      </w:r>
      <w:r>
        <w:rPr>
          <w:rStyle w:val="OtherTok"/>
        </w:rPr>
        <w:t xml:space="preserve">,</w:t>
      </w:r>
      <w:r>
        <w:rPr>
          <w:rStyle w:val="NormalTok"/>
        </w:rPr>
        <w:t xml:space="preserve"> </w:t>
      </w:r>
      <w:r>
        <w:rPr>
          <w:rStyle w:val="KeywordTok"/>
        </w:rPr>
        <w:t xml:space="preserve">True</w:t>
      </w:r>
      <w:r>
        <w:br/>
      </w:r>
      <w:r>
        <w:br/>
      </w:r>
      <w:r>
        <w:rPr>
          <w:rStyle w:val="CommentTok"/>
        </w:rPr>
        <w:t xml:space="preserve">' Render the template</w:t>
      </w:r>
      <w:r>
        <w:br/>
      </w:r>
      <w:r>
        <w:rPr>
          <w:rStyle w:val="NormalTok"/>
        </w:rPr>
        <w:t xml:space="preserve">output = template.Render</w:t>
      </w:r>
      <w:r>
        <w:rPr>
          <w:rStyle w:val="OtherTok"/>
        </w:rPr>
        <w:t xml:space="preserve">(</w:t>
      </w:r>
      <w:r>
        <w:rPr>
          <w:rStyle w:val="StringTok"/>
        </w:rPr>
        <w:t xml:space="preserve">"/templates/profile.html"</w:t>
      </w:r>
      <w:r>
        <w:rPr>
          <w:rStyle w:val="OtherTok"/>
        </w:rPr>
        <w:t xml:space="preserve">,</w:t>
      </w:r>
      <w:r>
        <w:rPr>
          <w:rStyle w:val="NormalTok"/>
        </w:rPr>
        <w:t xml:space="preserve"> user</w:t>
      </w:r>
      <w:r>
        <w:rPr>
          <w:rStyle w:val="OtherTok"/>
        </w:rPr>
        <w:t xml:space="preserve">)</w:t>
      </w:r>
      <w:r>
        <w:br/>
      </w:r>
      <w:r>
        <w:br/>
      </w:r>
      <w:r>
        <w:rPr>
          <w:rStyle w:val="CommentTok"/>
        </w:rPr>
        <w:t xml:space="preserve">' Check for errors and display result</w:t>
      </w:r>
      <w:r>
        <w:br/>
      </w:r>
      <w:r>
        <w:rPr>
          <w:rStyle w:val="ControlFlowTok"/>
        </w:rPr>
        <w:t xml:space="preserve">If</w:t>
      </w:r>
      <w:r>
        <w:rPr>
          <w:rStyle w:val="NormalTok"/>
        </w:rPr>
        <w:t xml:space="preserve"> </w:t>
      </w:r>
      <w:r>
        <w:rPr>
          <w:rStyle w:val="FunctionTok"/>
        </w:rPr>
        <w:t xml:space="preserve">Left</w:t>
      </w:r>
      <w:r>
        <w:rPr>
          <w:rStyle w:val="OtherTok"/>
        </w:rPr>
        <w:t xml:space="preserve">(</w:t>
      </w:r>
      <w:r>
        <w:rPr>
          <w:rStyle w:val="NormalTok"/>
        </w:rPr>
        <w:t xml:space="preserve">output</w:t>
      </w:r>
      <w:r>
        <w:rPr>
          <w:rStyle w:val="OtherTok"/>
        </w:rPr>
        <w:t xml:space="preserve">,</w:t>
      </w:r>
      <w:r>
        <w:rPr>
          <w:rStyle w:val="NormalTok"/>
        </w:rPr>
        <w:t xml:space="preserve"> </w:t>
      </w:r>
      <w:r>
        <w:rPr>
          <w:rStyle w:val="DecValTok"/>
        </w:rPr>
        <w:t xml:space="preserve">6</w:t>
      </w:r>
      <w:r>
        <w:rPr>
          <w:rStyle w:val="OtherTok"/>
        </w:rPr>
        <w:t xml:space="preserve">)</w:t>
      </w:r>
      <w:r>
        <w:rPr>
          <w:rStyle w:val="NormalTok"/>
        </w:rPr>
        <w:t xml:space="preserve"> = </w:t>
      </w:r>
      <w:r>
        <w:rPr>
          <w:rStyle w:val="StringTok"/>
        </w:rPr>
        <w:t xml:space="preserve">"Error:"</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"Rendering Failed: "</w:t>
      </w:r>
      <w:r>
        <w:rPr>
          <w:rStyle w:val="NormalTok"/>
        </w:rPr>
        <w:t xml:space="preserve"> </w:t>
      </w:r>
      <w:r>
        <w:rPr>
          <w:rStyle w:val="KeywordTok"/>
        </w:rPr>
        <w:t xml:space="preserve">&amp;</w:t>
      </w:r>
      <w:r>
        <w:rPr>
          <w:rStyle w:val="NormalTok"/>
        </w:rPr>
        <w:t xml:space="preserve"> output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output</w:t>
      </w:r>
      <w:r>
        <w:br/>
      </w:r>
      <w:r>
        <w:rPr>
          <w:rStyle w:val="ControlFlowTok"/>
        </w:rPr>
        <w:t xml:space="preserve">End If</w:t>
      </w:r>
      <w:r>
        <w:br/>
      </w:r>
      <w:r>
        <w:br/>
      </w:r>
      <w:r>
        <w:rPr>
          <w:rStyle w:val="KeywordTok"/>
        </w:rPr>
        <w:t xml:space="preserve">Set</w:t>
      </w:r>
      <w:r>
        <w:rPr>
          <w:rStyle w:val="NormalTok"/>
        </w:rPr>
        <w:t xml:space="preserve"> template = </w:t>
      </w:r>
      <w:r>
        <w:rPr>
          <w:rStyle w:val="KeywordTok"/>
        </w:rPr>
        <w:t xml:space="preserve">Nothing</w:t>
      </w:r>
      <w:r>
        <w:br/>
      </w:r>
      <w:r>
        <w:rPr>
          <w:rStyle w:val="DataTypeTok"/>
        </w:rPr>
        <w:t xml:space="preserve">%&gt;</w:t>
      </w:r>
    </w:p>
    <w:bookmarkEnd w:id="3798"/>
    <w:bookmarkStart w:id="3799" w:name="g3zip"/>
    <w:p>
      <w:pPr>
        <w:pStyle w:val="Heading2"/>
      </w:pPr>
      <w:r>
        <w:t xml:space="preserve">G3ZIP</w:t>
      </w:r>
    </w:p>
    <w:bookmarkEnd w:id="3799"/>
    <w:bookmarkEnd w:id="3800"/>
    <w:bookmarkStart w:id="3809" w:name="use-the-g3zip-library"/>
    <w:p>
      <w:pPr>
        <w:pStyle w:val="Heading1"/>
      </w:pPr>
      <w:r>
        <w:t xml:space="preserve">Use the G3ZIP Library</w:t>
      </w:r>
    </w:p>
    <w:bookmarkStart w:id="3801" w:name="overview-408"/>
    <w:p>
      <w:pPr>
        <w:pStyle w:val="Heading2"/>
      </w:pPr>
      <w:r>
        <w:t xml:space="preserve">Overview</w:t>
      </w:r>
    </w:p>
    <w:p>
      <w:pPr>
        <w:pStyle w:val="FirstParagraph"/>
      </w:pPr>
      <w:r>
        <w:t xml:space="preserve">The</w:t>
      </w:r>
      <w:r>
        <w:t xml:space="preserve"> </w:t>
      </w:r>
      <w:r>
        <w:rPr>
          <w:b/>
          <w:bCs/>
        </w:rPr>
        <w:t xml:space="preserve">G3ZIP</w:t>
      </w:r>
      <w:r>
        <w:t xml:space="preserve"> </w:t>
      </w:r>
      <w:r>
        <w:t xml:space="preserve">library provides high-performance compression and archive management services for G3Pix AxonASP applications. It enables developers to create, read, and manipulate ZIP archives directly on the server without external dependencies. The library supports adding files and folders, generating archives from dynamic text, and extracting content to the file system.</w:t>
      </w:r>
    </w:p>
    <w:bookmarkEnd w:id="3801"/>
    <w:bookmarkStart w:id="3802" w:name="syntax-401"/>
    <w:p>
      <w:pPr>
        <w:pStyle w:val="Heading2"/>
      </w:pPr>
      <w:r>
        <w:t xml:space="preserve">Syntax</w:t>
      </w:r>
    </w:p>
    <w:p>
      <w:pPr>
        <w:pStyle w:val="FirstParagraph"/>
      </w:pPr>
      <w:r>
        <w:t xml:space="preserve">To instantiate the library, use the following syntax:</w:t>
      </w:r>
    </w:p>
    <w:p>
      <w:pPr>
        <w:pStyle w:val="SourceCode"/>
      </w:pPr>
      <w:r>
        <w:rPr>
          <w:rStyle w:val="NormalTok"/>
        </w:rPr>
        <w:t xml:space="preserve">Dim zip</w:t>
      </w:r>
      <w:r>
        <w:br/>
      </w:r>
      <w:r>
        <w:rPr>
          <w:rStyle w:val="NormalTok"/>
        </w:rPr>
        <w:t xml:space="preserve">Set zip = Server.CreateObject("G3ZIP")</w:t>
      </w:r>
    </w:p>
    <w:p>
      <w:pPr>
        <w:pStyle w:val="SourceCode"/>
      </w:pPr>
      <w:r>
        <w:rPr>
          <w:rStyle w:val="KeywordTok"/>
        </w:rPr>
        <w:t xml:space="preserve">var</w:t>
      </w:r>
      <w:r>
        <w:rPr>
          <w:rStyle w:val="NormalTok"/>
        </w:rPr>
        <w:t xml:space="preserve"> zip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"G3ZIP"</w:t>
      </w:r>
      <w:r>
        <w:rPr>
          <w:rStyle w:val="NormalTok"/>
        </w:rPr>
        <w:t xml:space="preserve">)</w:t>
      </w:r>
      <w:r>
        <w:rPr>
          <w:rStyle w:val="OperatorTok"/>
        </w:rPr>
        <w:t xml:space="preserve">;</w:t>
      </w:r>
    </w:p>
    <w:bookmarkEnd w:id="3802"/>
    <w:bookmarkStart w:id="3803" w:name="prerequisites-154"/>
    <w:p>
      <w:pPr>
        <w:pStyle w:val="Heading2"/>
      </w:pPr>
      <w:r>
        <w:t xml:space="preserve">Prerequisites</w:t>
      </w:r>
    </w:p>
    <w:p>
      <w:pPr>
        <w:pStyle w:val="Compact"/>
        <w:numPr>
          <w:ilvl w:val="0"/>
          <w:numId w:val="1955"/>
        </w:numPr>
      </w:pPr>
      <w:r>
        <w:rPr>
          <w:b/>
          <w:bCs/>
        </w:rPr>
        <w:t xml:space="preserve">File System Permissions</w:t>
      </w:r>
      <w:r>
        <w:t xml:space="preserve">: The AxonASP process must have read/write access to the paths where archives are created or extracted.</w:t>
      </w:r>
    </w:p>
    <w:p>
      <w:pPr>
        <w:pStyle w:val="Compact"/>
        <w:numPr>
          <w:ilvl w:val="0"/>
          <w:numId w:val="1955"/>
        </w:numPr>
      </w:pPr>
      <w:r>
        <w:rPr>
          <w:b/>
          <w:bCs/>
        </w:rPr>
        <w:t xml:space="preserve">Path Resolution</w:t>
      </w:r>
      <w:r>
        <w:t xml:space="preserve">: Relative paths are automatically resolved via</w:t>
      </w:r>
      <w:r>
        <w:t xml:space="preserve"> </w:t>
      </w:r>
      <w:r>
        <w:rPr>
          <w:rStyle w:val="VerbatimChar"/>
        </w:rPr>
        <w:t xml:space="preserve">Server.MapPath</w:t>
      </w:r>
      <w:r>
        <w:t xml:space="preserve"> </w:t>
      </w:r>
      <w:r>
        <w:t xml:space="preserve">in a web context.</w:t>
      </w:r>
    </w:p>
    <w:bookmarkEnd w:id="3803"/>
    <w:bookmarkStart w:id="3804" w:name="how-it-works-25"/>
    <w:p>
      <w:pPr>
        <w:pStyle w:val="Heading2"/>
      </w:pPr>
      <w:r>
        <w:t xml:space="preserve">How it Works</w:t>
      </w:r>
    </w:p>
    <w:p>
      <w:pPr>
        <w:pStyle w:val="FirstParagraph"/>
      </w:pPr>
      <w:r>
        <w:t xml:space="preserve">The G3ZIP object operates in two primary modes:</w:t>
      </w:r>
      <w:r>
        <w:t xml:space="preserve"> </w:t>
      </w:r>
      <w:r>
        <w:rPr>
          <w:b/>
          <w:bCs/>
        </w:rPr>
        <w:t xml:space="preserve">Read</w:t>
      </w:r>
      <w:r>
        <w:t xml:space="preserve"> </w:t>
      </w:r>
      <w:r>
        <w:t xml:space="preserve">and</w:t>
      </w:r>
      <w:r>
        <w:t xml:space="preserve"> </w:t>
      </w:r>
      <w:r>
        <w:rPr>
          <w:b/>
          <w:bCs/>
        </w:rPr>
        <w:t xml:space="preserve">Write</w:t>
      </w:r>
      <w:r>
        <w:t xml:space="preserve">.</w:t>
      </w:r>
      <w:r>
        <w:t xml:space="preserve"> </w:t>
      </w:r>
      <w:r>
        <w:t xml:space="preserve">-</w:t>
      </w:r>
      <w:r>
        <w:t xml:space="preserve"> </w:t>
      </w:r>
      <w:r>
        <w:rPr>
          <w:b/>
          <w:bCs/>
        </w:rPr>
        <w:t xml:space="preserve">Read Mode</w:t>
      </w:r>
      <w:r>
        <w:t xml:space="preserve">: Initialized using the</w:t>
      </w:r>
      <w:r>
        <w:t xml:space="preserve"> </w:t>
      </w:r>
      <w:r>
        <w:rPr>
          <w:b/>
          <w:bCs/>
        </w:rPr>
        <w:t xml:space="preserve">Open</w:t>
      </w:r>
      <w:r>
        <w:t xml:space="preserve"> </w:t>
      </w:r>
      <w:r>
        <w:t xml:space="preserve">method. In this mode, you can inspect the archive content, retrieve file metadata, and extract files.</w:t>
      </w:r>
      <w:r>
        <w:t xml:space="preserve"> </w:t>
      </w:r>
      <w:r>
        <w:t xml:space="preserve">-</w:t>
      </w:r>
      <w:r>
        <w:t xml:space="preserve"> </w:t>
      </w:r>
      <w:r>
        <w:rPr>
          <w:b/>
          <w:bCs/>
        </w:rPr>
        <w:t xml:space="preserve">Write Mode</w:t>
      </w:r>
      <w:r>
        <w:t xml:space="preserve">: Initialized using the</w:t>
      </w:r>
      <w:r>
        <w:t xml:space="preserve"> </w:t>
      </w:r>
      <w:r>
        <w:rPr>
          <w:b/>
          <w:bCs/>
        </w:rPr>
        <w:t xml:space="preserve">Create</w:t>
      </w:r>
      <w:r>
        <w:t xml:space="preserve"> </w:t>
      </w:r>
      <w:r>
        <w:t xml:space="preserve">method. In this mode, you can build a new archive by adding existing files, entire directory structures, or custom text strings as virtual files.</w:t>
      </w:r>
    </w:p>
    <w:p>
      <w:pPr>
        <w:pStyle w:val="BodyText"/>
      </w:pPr>
      <w:r>
        <w:t xml:space="preserve">AxonASP exposes the ZIP library through a single</w:t>
      </w:r>
      <w:r>
        <w:t xml:space="preserve"> </w:t>
      </w:r>
      <w:r>
        <w:rPr>
          <w:rStyle w:val="VerbatimChar"/>
        </w:rPr>
        <w:t xml:space="preserve">Server.CreateObject</w:t>
      </w:r>
      <w:r>
        <w:t xml:space="preserve"> </w:t>
      </w:r>
      <w:r>
        <w:t xml:space="preserve">ProgID. No additional compatibility aliases are implemented for this object.</w:t>
      </w:r>
    </w:p>
    <w:p>
      <w:pPr>
        <w:pStyle w:val="BodyText"/>
      </w:pPr>
      <w:r>
        <w:t xml:space="preserve">The library ensures proper resource management by requiring a call to the</w:t>
      </w:r>
      <w:r>
        <w:t xml:space="preserve"> </w:t>
      </w:r>
      <w:r>
        <w:rPr>
          <w:b/>
          <w:bCs/>
        </w:rPr>
        <w:t xml:space="preserve">Close</w:t>
      </w:r>
      <w:r>
        <w:t xml:space="preserve"> </w:t>
      </w:r>
      <w:r>
        <w:t xml:space="preserve">method when operations are complete, which flushes buffers and releases file handles.</w:t>
      </w:r>
    </w:p>
    <w:bookmarkEnd w:id="3804"/>
    <w:bookmarkStart w:id="3807" w:name="api-reference-157"/>
    <w:p>
      <w:pPr>
        <w:pStyle w:val="Heading2"/>
      </w:pPr>
      <w:r>
        <w:t xml:space="preserve">API Reference</w:t>
      </w:r>
    </w:p>
    <w:bookmarkStart w:id="3805" w:name="methods-25"/>
    <w:p>
      <w:pPr>
        <w:pStyle w:val="Heading3"/>
      </w:pPr>
      <w:r>
        <w:t xml:space="preserve">Methods</w:t>
      </w:r>
    </w:p>
    <w:p>
      <w:pPr>
        <w:pStyle w:val="Compact"/>
        <w:numPr>
          <w:ilvl w:val="0"/>
          <w:numId w:val="1956"/>
        </w:numPr>
      </w:pPr>
      <w:r>
        <w:rPr>
          <w:b/>
          <w:bCs/>
        </w:rPr>
        <w:t xml:space="preserve">AddFile</w:t>
      </w:r>
      <w:r>
        <w:t xml:space="preserve">: Includes an existing file into the active archive.</w:t>
      </w:r>
    </w:p>
    <w:p>
      <w:pPr>
        <w:pStyle w:val="Compact"/>
        <w:numPr>
          <w:ilvl w:val="0"/>
          <w:numId w:val="1956"/>
        </w:numPr>
      </w:pPr>
      <w:r>
        <w:rPr>
          <w:b/>
          <w:bCs/>
        </w:rPr>
        <w:t xml:space="preserve">AddFolder</w:t>
      </w:r>
      <w:r>
        <w:t xml:space="preserve">: Recursively includes a directory and its contents into the active archive.</w:t>
      </w:r>
    </w:p>
    <w:p>
      <w:pPr>
        <w:pStyle w:val="Compact"/>
        <w:numPr>
          <w:ilvl w:val="0"/>
          <w:numId w:val="1956"/>
        </w:numPr>
      </w:pPr>
      <w:r>
        <w:rPr>
          <w:b/>
          <w:bCs/>
        </w:rPr>
        <w:t xml:space="preserve">AddText</w:t>
      </w:r>
      <w:r>
        <w:t xml:space="preserve">: Creates a virtual file in the archive from a string.</w:t>
      </w:r>
    </w:p>
    <w:p>
      <w:pPr>
        <w:pStyle w:val="Compact"/>
        <w:numPr>
          <w:ilvl w:val="0"/>
          <w:numId w:val="1956"/>
        </w:numPr>
      </w:pPr>
      <w:r>
        <w:rPr>
          <w:b/>
          <w:bCs/>
        </w:rPr>
        <w:t xml:space="preserve">Close</w:t>
      </w:r>
      <w:r>
        <w:t xml:space="preserve">: Finalizes the archive and releases system resources.</w:t>
      </w:r>
    </w:p>
    <w:p>
      <w:pPr>
        <w:pStyle w:val="Compact"/>
        <w:numPr>
          <w:ilvl w:val="0"/>
          <w:numId w:val="1956"/>
        </w:numPr>
      </w:pPr>
      <w:r>
        <w:rPr>
          <w:b/>
          <w:bCs/>
        </w:rPr>
        <w:t xml:space="preserve">Create</w:t>
      </w:r>
      <w:r>
        <w:t xml:space="preserve">: Initializes a new ZIP archive for writing.</w:t>
      </w:r>
    </w:p>
    <w:p>
      <w:pPr>
        <w:pStyle w:val="Compact"/>
        <w:numPr>
          <w:ilvl w:val="0"/>
          <w:numId w:val="1956"/>
        </w:numPr>
      </w:pPr>
      <w:r>
        <w:rPr>
          <w:b/>
          <w:bCs/>
        </w:rPr>
        <w:t xml:space="preserve">ExtractAll</w:t>
      </w:r>
      <w:r>
        <w:t xml:space="preserve">: Unpacks the entire archive to a specified directory.</w:t>
      </w:r>
    </w:p>
    <w:p>
      <w:pPr>
        <w:pStyle w:val="Compact"/>
        <w:numPr>
          <w:ilvl w:val="0"/>
          <w:numId w:val="1956"/>
        </w:numPr>
      </w:pPr>
      <w:r>
        <w:rPr>
          <w:b/>
          <w:bCs/>
        </w:rPr>
        <w:t xml:space="preserve">ExtractFile</w:t>
      </w:r>
      <w:r>
        <w:t xml:space="preserve">: Unpacks a single file from the archive.</w:t>
      </w:r>
    </w:p>
    <w:p>
      <w:pPr>
        <w:pStyle w:val="Compact"/>
        <w:numPr>
          <w:ilvl w:val="0"/>
          <w:numId w:val="1956"/>
        </w:numPr>
      </w:pPr>
      <w:r>
        <w:rPr>
          <w:b/>
          <w:bCs/>
        </w:rPr>
        <w:t xml:space="preserve">GetInfo</w:t>
      </w:r>
      <w:r>
        <w:t xml:space="preserve">: Retrieves technical metadata for a specific file within the archive.</w:t>
      </w:r>
    </w:p>
    <w:p>
      <w:pPr>
        <w:pStyle w:val="Compact"/>
        <w:numPr>
          <w:ilvl w:val="0"/>
          <w:numId w:val="1956"/>
        </w:numPr>
      </w:pPr>
      <w:r>
        <w:rPr>
          <w:b/>
          <w:bCs/>
        </w:rPr>
        <w:t xml:space="preserve">List</w:t>
      </w:r>
      <w:r>
        <w:t xml:space="preserve">: Returns an array of file names contained in the archive.</w:t>
      </w:r>
    </w:p>
    <w:p>
      <w:pPr>
        <w:pStyle w:val="Compact"/>
        <w:numPr>
          <w:ilvl w:val="0"/>
          <w:numId w:val="1956"/>
        </w:numPr>
      </w:pPr>
      <w:r>
        <w:rPr>
          <w:b/>
          <w:bCs/>
        </w:rPr>
        <w:t xml:space="preserve">Open</w:t>
      </w:r>
      <w:r>
        <w:t xml:space="preserve">: Opens an existing ZIP archive for reading.</w:t>
      </w:r>
    </w:p>
    <w:bookmarkEnd w:id="3805"/>
    <w:bookmarkStart w:id="3806" w:name="properties-25"/>
    <w:p>
      <w:pPr>
        <w:pStyle w:val="Heading3"/>
      </w:pPr>
      <w:r>
        <w:t xml:space="preserve">Properties</w:t>
      </w:r>
    </w:p>
    <w:p>
      <w:pPr>
        <w:pStyle w:val="Compact"/>
        <w:numPr>
          <w:ilvl w:val="0"/>
          <w:numId w:val="1957"/>
        </w:numPr>
      </w:pPr>
      <w:r>
        <w:rPr>
          <w:b/>
          <w:bCs/>
        </w:rPr>
        <w:t xml:space="preserve">Count</w:t>
      </w:r>
      <w:r>
        <w:t xml:space="preserve">: Returns the number of files currently in the archive (Read mode).</w:t>
      </w:r>
    </w:p>
    <w:p>
      <w:pPr>
        <w:pStyle w:val="Compact"/>
        <w:numPr>
          <w:ilvl w:val="0"/>
          <w:numId w:val="1957"/>
        </w:numPr>
      </w:pPr>
      <w:r>
        <w:rPr>
          <w:b/>
          <w:bCs/>
        </w:rPr>
        <w:t xml:space="preserve">Mode</w:t>
      </w:r>
      <w:r>
        <w:t xml:space="preserve">: Indicates if the object is in Read (</w:t>
      </w:r>
      <w:r>
        <w:t xml:space="preserve">“r”</w:t>
      </w:r>
      <w:r>
        <w:t xml:space="preserve">) or Write (</w:t>
      </w:r>
      <w:r>
        <w:t xml:space="preserve">“w”</w:t>
      </w:r>
      <w:r>
        <w:t xml:space="preserve">) mode.</w:t>
      </w:r>
    </w:p>
    <w:p>
      <w:pPr>
        <w:pStyle w:val="Compact"/>
        <w:numPr>
          <w:ilvl w:val="0"/>
          <w:numId w:val="1957"/>
        </w:numPr>
      </w:pPr>
      <w:r>
        <w:rPr>
          <w:b/>
          <w:bCs/>
        </w:rPr>
        <w:t xml:space="preserve">Path</w:t>
      </w:r>
      <w:r>
        <w:t xml:space="preserve">: Returns the full physical path of the active archive.</w:t>
      </w:r>
    </w:p>
    <w:bookmarkEnd w:id="3806"/>
    <w:bookmarkEnd w:id="3807"/>
    <w:bookmarkStart w:id="3808" w:name="code-example-198"/>
    <w:p>
      <w:pPr>
        <w:pStyle w:val="Heading2"/>
      </w:pPr>
      <w:r>
        <w:t xml:space="preserve">Code Example</w:t>
      </w:r>
    </w:p>
    <w:p>
      <w:pPr>
        <w:pStyle w:val="FirstParagraph"/>
      </w:pPr>
      <w:r>
        <w:t xml:space="preserve">The following example demonstrates how to create a ZIP archive containing a physical file and a dynamic text file.</w:t>
      </w:r>
    </w:p>
    <w:p>
      <w:pPr>
        <w:pStyle w:val="SourceCode"/>
      </w:pPr>
      <w:r>
        <w:rPr>
          <w:rStyle w:val="DataTypeTok"/>
        </w:rPr>
        <w:t xml:space="preserve">&lt;%</w:t>
      </w:r>
      <w:r>
        <w:br/>
      </w:r>
      <w:r>
        <w:rPr>
          <w:rStyle w:val="KeywordTok"/>
        </w:rPr>
        <w:t xml:space="preserve">Dim</w:t>
      </w:r>
      <w:r>
        <w:rPr>
          <w:rStyle w:val="NormalTok"/>
        </w:rPr>
        <w:t xml:space="preserve"> zip</w:t>
      </w:r>
      <w:r>
        <w:rPr>
          <w:rStyle w:val="OtherTok"/>
        </w:rPr>
        <w:t xml:space="preserve">,</w:t>
      </w:r>
      <w:r>
        <w:rPr>
          <w:rStyle w:val="NormalTok"/>
        </w:rPr>
        <w:t xml:space="preserve"> success</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br/>
      </w:r>
      <w:r>
        <w:rPr>
          <w:rStyle w:val="CommentTok"/>
        </w:rPr>
        <w:t xml:space="preserve">' Initialize a new archive</w:t>
      </w:r>
      <w:r>
        <w:br/>
      </w:r>
      <w:r>
        <w:rPr>
          <w:rStyle w:val="ControlFlowTok"/>
        </w:rPr>
        <w:t xml:space="preserve">If</w:t>
      </w:r>
      <w:r>
        <w:rPr>
          <w:rStyle w:val="NormalTok"/>
        </w:rPr>
        <w:t xml:space="preserve"> zip.Create</w:t>
      </w:r>
      <w:r>
        <w:rPr>
          <w:rStyle w:val="OtherTok"/>
        </w:rPr>
        <w:t xml:space="preserve">(</w:t>
      </w:r>
      <w:r>
        <w:rPr>
          <w:rStyle w:val="StringTok"/>
        </w:rPr>
        <w:t xml:space="preserve">"/downloads/package.zip"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Add a physical file from the server</w:t>
      </w:r>
      <w:r>
        <w:br/>
      </w:r>
      <w:r>
        <w:rPr>
          <w:rStyle w:val="NormalTok"/>
        </w:rPr>
        <w:t xml:space="preserve">    zip.AddFile </w:t>
      </w:r>
      <w:r>
        <w:rPr>
          <w:rStyle w:val="StringTok"/>
        </w:rPr>
        <w:t xml:space="preserve">"/data/report.pdf"</w:t>
      </w:r>
      <w:r>
        <w:rPr>
          <w:rStyle w:val="OtherTok"/>
        </w:rPr>
        <w:t xml:space="preserve">,</w:t>
      </w:r>
      <w:r>
        <w:rPr>
          <w:rStyle w:val="NormalTok"/>
        </w:rPr>
        <w:t xml:space="preserve"> </w:t>
      </w:r>
      <w:r>
        <w:rPr>
          <w:rStyle w:val="StringTok"/>
        </w:rPr>
        <w:t xml:space="preserve">"report.pdf"</w:t>
      </w:r>
      <w:r>
        <w:br/>
      </w:r>
      <w:r>
        <w:rPr>
          <w:rStyle w:val="NormalTok"/>
        </w:rPr>
        <w:t xml:space="preserve">    </w:t>
      </w:r>
      <w:r>
        <w:br/>
      </w:r>
      <w:r>
        <w:rPr>
          <w:rStyle w:val="NormalTok"/>
        </w:rPr>
        <w:t xml:space="preserve">    </w:t>
      </w:r>
      <w:r>
        <w:rPr>
          <w:rStyle w:val="CommentTok"/>
        </w:rPr>
        <w:t xml:space="preserve">' Add dynamic content as a text file</w:t>
      </w:r>
      <w:r>
        <w:br/>
      </w:r>
      <w:r>
        <w:rPr>
          <w:rStyle w:val="NormalTok"/>
        </w:rPr>
        <w:t xml:space="preserve">    zip.AddText </w:t>
      </w:r>
      <w:r>
        <w:rPr>
          <w:rStyle w:val="StringTok"/>
        </w:rPr>
        <w:t xml:space="preserve">"readme.txt"</w:t>
      </w:r>
      <w:r>
        <w:rPr>
          <w:rStyle w:val="OtherTok"/>
        </w:rPr>
        <w:t xml:space="preserve">,</w:t>
      </w:r>
      <w:r>
        <w:rPr>
          <w:rStyle w:val="NormalTok"/>
        </w:rPr>
        <w:t xml:space="preserve"> </w:t>
      </w:r>
      <w:r>
        <w:rPr>
          <w:rStyle w:val="StringTok"/>
        </w:rPr>
        <w:t xml:space="preserve">"This archive was generated by AxonASP on "</w:t>
      </w:r>
      <w:r>
        <w:rPr>
          <w:rStyle w:val="NormalTok"/>
        </w:rPr>
        <w:t xml:space="preserve"> </w:t>
      </w:r>
      <w:r>
        <w:rPr>
          <w:rStyle w:val="KeywordTok"/>
        </w:rPr>
        <w:t xml:space="preserve">&amp;</w:t>
      </w:r>
      <w:r>
        <w:rPr>
          <w:rStyle w:val="NormalTok"/>
        </w:rPr>
        <w:t xml:space="preserve"> </w:t>
      </w:r>
      <w:r>
        <w:rPr>
          <w:rStyle w:val="FunctionTok"/>
        </w:rPr>
        <w:t xml:space="preserve">Now</w:t>
      </w:r>
      <w:r>
        <w:rPr>
          <w:rStyle w:val="OtherTok"/>
        </w:rPr>
        <w:t xml:space="preserve">()</w:t>
      </w:r>
      <w:r>
        <w:br/>
      </w:r>
      <w:r>
        <w:rPr>
          <w:rStyle w:val="NormalTok"/>
        </w:rPr>
        <w:t xml:space="preserve">    </w:t>
      </w:r>
      <w:r>
        <w:br/>
      </w:r>
      <w:r>
        <w:rPr>
          <w:rStyle w:val="NormalTok"/>
        </w:rPr>
        <w:t xml:space="preserve">    </w:t>
      </w:r>
      <w:r>
        <w:rPr>
          <w:rStyle w:val="CommentTok"/>
        </w:rPr>
        <w:t xml:space="preserve">' Finalize the archive</w:t>
      </w:r>
      <w:r>
        <w:br/>
      </w:r>
      <w:r>
        <w:rPr>
          <w:rStyle w:val="NormalTok"/>
        </w:rPr>
        <w:t xml:space="preserve">    zip.</w:t>
      </w:r>
      <w:r>
        <w:rPr>
          <w:rStyle w:val="KeywordTok"/>
        </w:rPr>
        <w:t xml:space="preserve">Close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created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to create archive."</w:t>
      </w:r>
      <w:r>
        <w:br/>
      </w:r>
      <w:r>
        <w:rPr>
          <w:rStyle w:val="ControlFlowTok"/>
        </w:rPr>
        <w:t xml:space="preserve">End If</w:t>
      </w:r>
      <w:r>
        <w:br/>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08"/>
    <w:bookmarkEnd w:id="3809"/>
    <w:bookmarkStart w:id="3813" w:name="g3zip-methods"/>
    <w:p>
      <w:pPr>
        <w:pStyle w:val="Heading1"/>
      </w:pPr>
      <w:r>
        <w:t xml:space="preserve">G3ZIP Methods</w:t>
      </w:r>
    </w:p>
    <w:bookmarkStart w:id="3810" w:name="overview-409"/>
    <w:p>
      <w:pPr>
        <w:pStyle w:val="Heading2"/>
      </w:pPr>
      <w:r>
        <w:t xml:space="preserve">Overview</w:t>
      </w:r>
    </w:p>
    <w:p>
      <w:pPr>
        <w:pStyle w:val="FirstParagraph"/>
      </w:pPr>
      <w:r>
        <w:t xml:space="preserve">This page summarizes every method exposed by</w:t>
      </w:r>
      <w:r>
        <w:t xml:space="preserve"> </w:t>
      </w:r>
      <w:r>
        <w:rPr>
          <w:rStyle w:val="VerbatimChar"/>
        </w:rPr>
        <w:t xml:space="preserve">G3ZIP</w:t>
      </w:r>
      <w:r>
        <w:t xml:space="preserve"> </w:t>
      </w:r>
      <w:r>
        <w:t xml:space="preserve">in G3Pix AxonASP.</w:t>
      </w:r>
    </w:p>
    <w:bookmarkEnd w:id="3810"/>
    <w:bookmarkStart w:id="3811" w:name="methods-26"/>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Open(path)</w:t>
            </w:r>
          </w:p>
        </w:tc>
        <w:tc>
          <w:tcPr/>
          <w:p>
            <w:pPr>
              <w:pStyle w:val="Compact"/>
            </w:pPr>
            <w:r>
              <w:t xml:space="preserve">Boolean</w:t>
            </w:r>
          </w:p>
        </w:tc>
        <w:tc>
          <w:tcPr/>
          <w:p>
            <w:pPr>
              <w:pStyle w:val="Compact"/>
            </w:pPr>
            <w:r>
              <w:t xml:space="preserve">Opens an existing ZIP archive for read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Create(path)</w:t>
            </w:r>
          </w:p>
        </w:tc>
        <w:tc>
          <w:tcPr/>
          <w:p>
            <w:pPr>
              <w:pStyle w:val="Compact"/>
            </w:pPr>
            <w:r>
              <w:t xml:space="preserve">Boolean</w:t>
            </w:r>
          </w:p>
        </w:tc>
        <w:tc>
          <w:tcPr/>
          <w:p>
            <w:pPr>
              <w:pStyle w:val="Compact"/>
            </w:pPr>
            <w:r>
              <w:t xml:space="preserve">Creates a ZIP archive for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AddFile(sourcePath [, nameInZip])</w:t>
            </w:r>
          </w:p>
        </w:tc>
        <w:tc>
          <w:tcPr/>
          <w:p>
            <w:pPr>
              <w:pStyle w:val="Compact"/>
            </w:pPr>
            <w:r>
              <w:t xml:space="preserve">Boolean</w:t>
            </w:r>
          </w:p>
        </w:tc>
        <w:tc>
          <w:tcPr/>
          <w:p>
            <w:pPr>
              <w:pStyle w:val="Compact"/>
            </w:pPr>
            <w:r>
              <w:t xml:space="preserve">Adds one file to an archive in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AddFolder(sourcePath [, nameInZip])</w:t>
            </w:r>
          </w:p>
        </w:tc>
        <w:tc>
          <w:tcPr/>
          <w:p>
            <w:pPr>
              <w:pStyle w:val="Compact"/>
            </w:pPr>
            <w:r>
              <w:t xml:space="preserve">Boolean</w:t>
            </w:r>
          </w:p>
        </w:tc>
        <w:tc>
          <w:tcPr/>
          <w:p>
            <w:pPr>
              <w:pStyle w:val="Compact"/>
            </w:pPr>
            <w:r>
              <w:t xml:space="preserve">Adds one folder recursively to an archive in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AddText(nameInZip, text)</w:t>
            </w:r>
          </w:p>
        </w:tc>
        <w:tc>
          <w:tcPr/>
          <w:p>
            <w:pPr>
              <w:pStyle w:val="Compact"/>
            </w:pPr>
            <w:r>
              <w:t xml:space="preserve">Boolean</w:t>
            </w:r>
          </w:p>
        </w:tc>
        <w:tc>
          <w:tcPr/>
          <w:p>
            <w:pPr>
              <w:pStyle w:val="Compact"/>
            </w:pPr>
            <w:r>
              <w:t xml:space="preserve">Adds text content as an entry in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ExtractAll(destinationPath)</w:t>
            </w:r>
          </w:p>
        </w:tc>
        <w:tc>
          <w:tcPr/>
          <w:p>
            <w:pPr>
              <w:pStyle w:val="Compact"/>
            </w:pPr>
            <w:r>
              <w:t xml:space="preserve">Boolean</w:t>
            </w:r>
          </w:p>
        </w:tc>
        <w:tc>
          <w:tcPr/>
          <w:p>
            <w:pPr>
              <w:pStyle w:val="Compact"/>
            </w:pPr>
            <w:r>
              <w:t xml:space="preserve">Extracts all entries in read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ExtractFile(nameInZip, destinationPath)</w:t>
            </w:r>
          </w:p>
        </w:tc>
        <w:tc>
          <w:tcPr/>
          <w:p>
            <w:pPr>
              <w:pStyle w:val="Compact"/>
            </w:pPr>
            <w:r>
              <w:t xml:space="preserve">Boolean</w:t>
            </w:r>
          </w:p>
        </w:tc>
        <w:tc>
          <w:tcPr/>
          <w:p>
            <w:pPr>
              <w:pStyle w:val="Compact"/>
            </w:pPr>
            <w:r>
              <w:t xml:space="preserve">Extracts one entry in read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List()</w:t>
            </w:r>
          </w:p>
        </w:tc>
        <w:tc>
          <w:tcPr/>
          <w:p>
            <w:pPr>
              <w:pStyle w:val="Compact"/>
            </w:pPr>
            <w:r>
              <w:t xml:space="preserve">Array</w:t>
            </w:r>
          </w:p>
        </w:tc>
        <w:tc>
          <w:tcPr/>
          <w:p>
            <w:pPr>
              <w:pStyle w:val="Compact"/>
            </w:pPr>
            <w:r>
              <w:t xml:space="preserve">Returns an array of entry names from the open archive.</w:t>
            </w:r>
          </w:p>
        </w:tc>
      </w:tr>
      <w:tr>
        <w:tc>
          <w:tcPr/>
          <w:p>
            <w:pPr>
              <w:pStyle w:val="Compact"/>
            </w:pPr>
            <w:r>
              <w:rPr>
                <w:rStyle w:val="VerbatimChar"/>
              </w:rPr>
              <w:t xml:space="preserve">GetInfo(nameInZip)</w:t>
            </w:r>
          </w:p>
        </w:tc>
        <w:tc>
          <w:tcPr/>
          <w:p>
            <w:pPr>
              <w:pStyle w:val="Compact"/>
            </w:pPr>
            <w:r>
              <w:t xml:space="preserve">Scripting.Dictionary or Empty</w:t>
            </w:r>
          </w:p>
        </w:tc>
        <w:tc>
          <w:tcPr/>
          <w:p>
            <w:pPr>
              <w:pStyle w:val="Compact"/>
            </w:pPr>
            <w:r>
              <w:t xml:space="preserve">Returns metadata dictionary for one entry, or Empty when argument is missing or entry is not found.</w:t>
            </w:r>
          </w:p>
        </w:tc>
      </w:tr>
      <w:tr>
        <w:tc>
          <w:tcPr/>
          <w:p>
            <w:pPr>
              <w:pStyle w:val="Compact"/>
            </w:pPr>
            <w:r>
              <w:rPr>
                <w:rStyle w:val="VerbatimChar"/>
              </w:rPr>
              <w:t xml:space="preserve">Close()</w:t>
            </w:r>
          </w:p>
        </w:tc>
        <w:tc>
          <w:tcPr/>
          <w:p>
            <w:pPr>
              <w:pStyle w:val="Compact"/>
            </w:pPr>
            <w:r>
              <w:t xml:space="preserve">Boolean</w:t>
            </w:r>
          </w:p>
        </w:tc>
        <w:tc>
          <w:tcPr/>
          <w:p>
            <w:pPr>
              <w:pStyle w:val="Compact"/>
            </w:pPr>
            <w:r>
              <w:t xml:space="preserve">Closes archive resources and returns</w:t>
            </w:r>
            <w:r>
              <w:t xml:space="preserve"> </w:t>
            </w:r>
            <w:r>
              <w:rPr>
                <w:rStyle w:val="VerbatimChar"/>
              </w:rPr>
              <w:t xml:space="preserve">True</w:t>
            </w:r>
            <w:r>
              <w:t xml:space="preserve">.</w:t>
            </w:r>
          </w:p>
        </w:tc>
      </w:tr>
    </w:tbl>
    <w:bookmarkEnd w:id="3811"/>
    <w:bookmarkStart w:id="3812" w:name="remarks-379"/>
    <w:p>
      <w:pPr>
        <w:pStyle w:val="Heading2"/>
      </w:pPr>
      <w:r>
        <w:t xml:space="preserve">Remarks</w:t>
      </w:r>
    </w:p>
    <w:p>
      <w:pPr>
        <w:pStyle w:val="Compact"/>
        <w:numPr>
          <w:ilvl w:val="0"/>
          <w:numId w:val="1958"/>
        </w:numPr>
      </w:pPr>
      <w:r>
        <w:t xml:space="preserve">Instantiate the library with</w:t>
      </w:r>
      <w:r>
        <w:t xml:space="preserve"> </w:t>
      </w:r>
      <w:r>
        <w:rPr>
          <w:rStyle w:val="VerbatimChar"/>
        </w:rPr>
        <w:t xml:space="preserve">Server.CreateObject("G3ZIP")</w:t>
      </w:r>
      <w:r>
        <w:t xml:space="preserve">.</w:t>
      </w:r>
    </w:p>
    <w:p>
      <w:pPr>
        <w:pStyle w:val="Compact"/>
        <w:numPr>
          <w:ilvl w:val="0"/>
          <w:numId w:val="1958"/>
        </w:numPr>
      </w:pPr>
      <w:r>
        <w:t xml:space="preserve">Method names are case-insensitive.</w:t>
      </w:r>
    </w:p>
    <w:p>
      <w:pPr>
        <w:pStyle w:val="Compact"/>
        <w:numPr>
          <w:ilvl w:val="0"/>
          <w:numId w:val="1958"/>
        </w:numPr>
      </w:pPr>
      <w:r>
        <w:t xml:space="preserve">Write operations require write mode; read/extract operations require read mode.</w:t>
      </w:r>
    </w:p>
    <w:bookmarkEnd w:id="3812"/>
    <w:bookmarkEnd w:id="3813"/>
    <w:bookmarkStart w:id="3818" w:name="g3zip-properties"/>
    <w:p>
      <w:pPr>
        <w:pStyle w:val="Heading1"/>
      </w:pPr>
      <w:r>
        <w:t xml:space="preserve">G3ZIP Properties</w:t>
      </w:r>
    </w:p>
    <w:bookmarkStart w:id="3814" w:name="overview-410"/>
    <w:p>
      <w:pPr>
        <w:pStyle w:val="Heading2"/>
      </w:pPr>
      <w:r>
        <w:t xml:space="preserve">Overview</w:t>
      </w:r>
    </w:p>
    <w:p>
      <w:pPr>
        <w:pStyle w:val="FirstParagraph"/>
      </w:pPr>
      <w:r>
        <w:t xml:space="preserve">This page lists the properties exposed by</w:t>
      </w:r>
      <w:r>
        <w:t xml:space="preserve"> </w:t>
      </w:r>
      <w:r>
        <w:rPr>
          <w:rStyle w:val="VerbatimChar"/>
        </w:rPr>
        <w:t xml:space="preserve">G3ZIP</w:t>
      </w:r>
      <w:r>
        <w:t xml:space="preserve">.</w:t>
      </w:r>
    </w:p>
    <w:bookmarkEnd w:id="3814"/>
    <w:bookmarkStart w:id="3815" w:name="properties-26"/>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Path</w:t>
            </w:r>
          </w:p>
        </w:tc>
        <w:tc>
          <w:tcPr/>
          <w:p>
            <w:pPr>
              <w:pStyle w:val="Compact"/>
            </w:pPr>
            <w:r>
              <w:t xml:space="preserve">Read-only</w:t>
            </w:r>
          </w:p>
        </w:tc>
        <w:tc>
          <w:tcPr/>
          <w:p>
            <w:pPr>
              <w:pStyle w:val="Compact"/>
            </w:pPr>
            <w:r>
              <w:t xml:space="preserve">String</w:t>
            </w:r>
          </w:p>
        </w:tc>
        <w:tc>
          <w:tcPr/>
          <w:p>
            <w:pPr>
              <w:pStyle w:val="Compact"/>
            </w:pPr>
            <w:r>
              <w:t xml:space="preserve">Full path of the active ZIP archive.</w:t>
            </w:r>
          </w:p>
        </w:tc>
      </w:tr>
      <w:tr>
        <w:tc>
          <w:tcPr/>
          <w:p>
            <w:pPr>
              <w:pStyle w:val="Compact"/>
            </w:pPr>
            <w:r>
              <w:rPr>
                <w:rStyle w:val="VerbatimChar"/>
              </w:rPr>
              <w:t xml:space="preserve">Mode</w:t>
            </w:r>
          </w:p>
        </w:tc>
        <w:tc>
          <w:tcPr/>
          <w:p>
            <w:pPr>
              <w:pStyle w:val="Compact"/>
            </w:pPr>
            <w:r>
              <w:t xml:space="preserve">Read-only</w:t>
            </w:r>
          </w:p>
        </w:tc>
        <w:tc>
          <w:tcPr/>
          <w:p>
            <w:pPr>
              <w:pStyle w:val="Compact"/>
            </w:pPr>
            <w:r>
              <w:t xml:space="preserve">String</w:t>
            </w:r>
          </w:p>
        </w:tc>
        <w:tc>
          <w:tcPr/>
          <w:p>
            <w:pPr>
              <w:pStyle w:val="Compact"/>
            </w:pPr>
            <w:r>
              <w:t xml:space="preserve">Current mode (</w:t>
            </w:r>
            <w:r>
              <w:rPr>
                <w:rStyle w:val="VerbatimChar"/>
              </w:rPr>
              <w:t xml:space="preserve">r</w:t>
            </w:r>
            <w:r>
              <w:t xml:space="preserve"> </w:t>
            </w:r>
            <w:r>
              <w:t xml:space="preserve">for read or</w:t>
            </w:r>
            <w:r>
              <w:t xml:space="preserve"> </w:t>
            </w:r>
            <w:r>
              <w:rPr>
                <w:rStyle w:val="VerbatimChar"/>
              </w:rPr>
              <w:t xml:space="preserve">w</w:t>
            </w:r>
            <w:r>
              <w:t xml:space="preserve"> </w:t>
            </w:r>
            <w:r>
              <w:t xml:space="preserve">for write).</w:t>
            </w:r>
          </w:p>
        </w:tc>
      </w:tr>
      <w:tr>
        <w:tc>
          <w:tcPr/>
          <w:p>
            <w:pPr>
              <w:pStyle w:val="Compact"/>
            </w:pPr>
            <w:r>
              <w:rPr>
                <w:rStyle w:val="VerbatimChar"/>
              </w:rPr>
              <w:t xml:space="preserve">Count</w:t>
            </w:r>
          </w:p>
        </w:tc>
        <w:tc>
          <w:tcPr/>
          <w:p>
            <w:pPr>
              <w:pStyle w:val="Compact"/>
            </w:pPr>
            <w:r>
              <w:t xml:space="preserve">Read-only</w:t>
            </w:r>
          </w:p>
        </w:tc>
        <w:tc>
          <w:tcPr/>
          <w:p>
            <w:pPr>
              <w:pStyle w:val="Compact"/>
            </w:pPr>
            <w:r>
              <w:t xml:space="preserve">Integer</w:t>
            </w:r>
          </w:p>
        </w:tc>
        <w:tc>
          <w:tcPr/>
          <w:p>
            <w:pPr>
              <w:pStyle w:val="Compact"/>
            </w:pPr>
            <w:r>
              <w:t xml:space="preserve">Number of entries in the open reader archive;</w:t>
            </w:r>
            <w:r>
              <w:t xml:space="preserve"> </w:t>
            </w:r>
            <w:r>
              <w:rPr>
                <w:rStyle w:val="VerbatimChar"/>
              </w:rPr>
              <w:t xml:space="preserve">0</w:t>
            </w:r>
            <w:r>
              <w:t xml:space="preserve"> </w:t>
            </w:r>
            <w:r>
              <w:t xml:space="preserve">when not in read mode.</w:t>
            </w:r>
          </w:p>
        </w:tc>
      </w:tr>
    </w:tbl>
    <w:bookmarkEnd w:id="3815"/>
    <w:bookmarkStart w:id="3817" w:name="remarks-380"/>
    <w:p>
      <w:pPr>
        <w:pStyle w:val="Heading2"/>
      </w:pPr>
      <w:r>
        <w:t xml:space="preserve">Remarks</w:t>
      </w:r>
    </w:p>
    <w:p>
      <w:pPr>
        <w:pStyle w:val="Compact"/>
        <w:numPr>
          <w:ilvl w:val="0"/>
          <w:numId w:val="1959"/>
        </w:numPr>
      </w:pPr>
      <w:r>
        <w:t xml:space="preserve">Instantiate the library with</w:t>
      </w:r>
      <w:r>
        <w:t xml:space="preserve"> </w:t>
      </w:r>
      <w:r>
        <w:rPr>
          <w:rStyle w:val="VerbatimChar"/>
        </w:rPr>
        <w:t xml:space="preserve">Server.CreateObject("G3ZIP")</w:t>
      </w:r>
      <w:r>
        <w:t xml:space="preserve">.</w:t>
      </w:r>
    </w:p>
    <w:bookmarkStart w:id="3816" w:name="methods-detail-11"/>
    <w:p>
      <w:pPr>
        <w:pStyle w:val="Heading3"/>
      </w:pPr>
      <w:r>
        <w:t xml:space="preserve">Methods Detail</w:t>
      </w:r>
    </w:p>
    <w:bookmarkEnd w:id="3816"/>
    <w:bookmarkEnd w:id="3817"/>
    <w:bookmarkEnd w:id="3818"/>
    <w:bookmarkStart w:id="3825" w:name="addfile-method"/>
    <w:p>
      <w:pPr>
        <w:pStyle w:val="Heading1"/>
      </w:pPr>
      <w:r>
        <w:t xml:space="preserve">AddFile Method</w:t>
      </w:r>
    </w:p>
    <w:bookmarkStart w:id="3819" w:name="overview-411"/>
    <w:p>
      <w:pPr>
        <w:pStyle w:val="Heading2"/>
      </w:pPr>
      <w:r>
        <w:t xml:space="preserve">Overview</w:t>
      </w:r>
    </w:p>
    <w:p>
      <w:pPr>
        <w:pStyle w:val="FirstParagraph"/>
      </w:pPr>
      <w:r>
        <w:t xml:space="preserve">Includes a physical file into the current write-mode archive in the G3Pix AxonASP G3ZIP library.</w:t>
      </w:r>
    </w:p>
    <w:bookmarkEnd w:id="3819"/>
    <w:bookmarkStart w:id="3820" w:name="syntax-402"/>
    <w:p>
      <w:pPr>
        <w:pStyle w:val="Heading2"/>
      </w:pPr>
      <w:r>
        <w:t xml:space="preserve">Syntax</w:t>
      </w:r>
    </w:p>
    <w:p>
      <w:pPr>
        <w:pStyle w:val="SourceCode"/>
      </w:pPr>
      <w:r>
        <w:rPr>
          <w:rStyle w:val="NormalTok"/>
        </w:rPr>
        <w:t xml:space="preserve">success = zip.AddFile(sourcePath [, nameInZip])</w:t>
      </w:r>
    </w:p>
    <w:bookmarkEnd w:id="3820"/>
    <w:bookmarkStart w:id="3821" w:name="parameters-and-arguments-77"/>
    <w:p>
      <w:pPr>
        <w:pStyle w:val="Heading2"/>
      </w:pPr>
      <w:r>
        <w:t xml:space="preserve">Parameters and Arguments</w:t>
      </w:r>
    </w:p>
    <w:p>
      <w:pPr>
        <w:pStyle w:val="Compact"/>
        <w:numPr>
          <w:ilvl w:val="0"/>
          <w:numId w:val="1960"/>
        </w:numPr>
      </w:pPr>
      <w:r>
        <w:rPr>
          <w:b/>
          <w:bCs/>
        </w:rPr>
        <w:t xml:space="preserve">sourcePath</w:t>
      </w:r>
      <w:r>
        <w:t xml:space="preserve"> </w:t>
      </w:r>
      <w:r>
        <w:t xml:space="preserve">(String, Required): The path to the file on the server to be added.</w:t>
      </w:r>
    </w:p>
    <w:p>
      <w:pPr>
        <w:pStyle w:val="Compact"/>
        <w:numPr>
          <w:ilvl w:val="0"/>
          <w:numId w:val="1960"/>
        </w:numPr>
      </w:pPr>
      <w:r>
        <w:rPr>
          <w:b/>
          <w:bCs/>
        </w:rPr>
        <w:t xml:space="preserve">nameInZip</w:t>
      </w:r>
      <w:r>
        <w:t xml:space="preserve"> </w:t>
      </w:r>
      <w:r>
        <w:t xml:space="preserve">(String, Optional): The relative path and name the file will have inside the ZIP archive. If omitted, the library uses the base name of the source file.</w:t>
      </w:r>
    </w:p>
    <w:bookmarkEnd w:id="3821"/>
    <w:bookmarkStart w:id="3822" w:name="return-values-123"/>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file was successfully added to the archive.</w:t>
      </w:r>
    </w:p>
    <w:bookmarkEnd w:id="3822"/>
    <w:bookmarkStart w:id="3823" w:name="remarks-381"/>
    <w:p>
      <w:pPr>
        <w:pStyle w:val="Heading2"/>
      </w:pPr>
      <w:r>
        <w:t xml:space="preserve">Remarks</w:t>
      </w:r>
    </w:p>
    <w:p>
      <w:pPr>
        <w:pStyle w:val="Compact"/>
        <w:numPr>
          <w:ilvl w:val="0"/>
          <w:numId w:val="1961"/>
        </w:numPr>
      </w:pPr>
      <w:r>
        <w:t xml:space="preserve">The object must be in</w:t>
      </w:r>
      <w:r>
        <w:t xml:space="preserve"> </w:t>
      </w:r>
      <w:r>
        <w:rPr>
          <w:b/>
          <w:bCs/>
        </w:rPr>
        <w:t xml:space="preserve">Write</w:t>
      </w:r>
      <w:r>
        <w:t xml:space="preserve"> </w:t>
      </w:r>
      <w:r>
        <w:t xml:space="preserve">mode (initialized via the</w:t>
      </w:r>
      <w:r>
        <w:t xml:space="preserve"> </w:t>
      </w:r>
      <w:r>
        <w:rPr>
          <w:b/>
          <w:bCs/>
        </w:rPr>
        <w:t xml:space="preserve">Create</w:t>
      </w:r>
      <w:r>
        <w:t xml:space="preserve"> </w:t>
      </w:r>
      <w:r>
        <w:t xml:space="preserve">method).</w:t>
      </w:r>
    </w:p>
    <w:p>
      <w:pPr>
        <w:pStyle w:val="Compact"/>
        <w:numPr>
          <w:ilvl w:val="0"/>
          <w:numId w:val="1961"/>
        </w:numPr>
      </w:pPr>
      <w:r>
        <w:t xml:space="preserve">Leading slashes in</w:t>
      </w:r>
      <w:r>
        <w:t xml:space="preserve"> </w:t>
      </w:r>
      <w:r>
        <w:rPr>
          <w:rStyle w:val="VerbatimChar"/>
        </w:rPr>
        <w:t xml:space="preserve">nameInZip</w:t>
      </w:r>
      <w:r>
        <w:t xml:space="preserve"> </w:t>
      </w:r>
      <w:r>
        <w:t xml:space="preserve">are automatically removed.</w:t>
      </w:r>
    </w:p>
    <w:p>
      <w:pPr>
        <w:pStyle w:val="Compact"/>
        <w:numPr>
          <w:ilvl w:val="0"/>
          <w:numId w:val="1961"/>
        </w:numPr>
      </w:pPr>
      <w:r>
        <w:t xml:space="preserve">Path resolution for</w:t>
      </w:r>
      <w:r>
        <w:t xml:space="preserve"> </w:t>
      </w:r>
      <w:r>
        <w:rPr>
          <w:rStyle w:val="VerbatimChar"/>
        </w:rPr>
        <w:t xml:space="preserve">sourcePath</w:t>
      </w:r>
      <w:r>
        <w:t xml:space="preserve"> </w:t>
      </w:r>
      <w:r>
        <w:t xml:space="preserve">is handled relative to the AxonASP sandbox.</w:t>
      </w:r>
    </w:p>
    <w:bookmarkEnd w:id="3823"/>
    <w:bookmarkStart w:id="3824" w:name="code-example-19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zip.Create</w:t>
      </w:r>
      <w:r>
        <w:rPr>
          <w:rStyle w:val="OtherTok"/>
        </w:rPr>
        <w:t xml:space="preserve">(</w:t>
      </w:r>
      <w:r>
        <w:rPr>
          <w:rStyle w:val="StringTok"/>
        </w:rPr>
        <w:t xml:space="preserve">"/temp/archive.zip"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Add a file and rename it within the ZIP</w:t>
      </w:r>
      <w:r>
        <w:br/>
      </w:r>
      <w:r>
        <w:rPr>
          <w:rStyle w:val="NormalTok"/>
        </w:rPr>
        <w:t xml:space="preserve">    zip.AddFile </w:t>
      </w:r>
      <w:r>
        <w:rPr>
          <w:rStyle w:val="StringTok"/>
        </w:rPr>
        <w:t xml:space="preserve">"/images/logo.png"</w:t>
      </w:r>
      <w:r>
        <w:rPr>
          <w:rStyle w:val="OtherTok"/>
        </w:rPr>
        <w:t xml:space="preserve">,</w:t>
      </w:r>
      <w:r>
        <w:rPr>
          <w:rStyle w:val="NormalTok"/>
        </w:rPr>
        <w:t xml:space="preserve"> </w:t>
      </w:r>
      <w:r>
        <w:rPr>
          <w:rStyle w:val="StringTok"/>
        </w:rPr>
        <w:t xml:space="preserve">"assets/branding.png"</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24"/>
    <w:bookmarkEnd w:id="3825"/>
    <w:bookmarkStart w:id="3832" w:name="addfolder-method"/>
    <w:p>
      <w:pPr>
        <w:pStyle w:val="Heading1"/>
      </w:pPr>
      <w:r>
        <w:t xml:space="preserve">AddFolder Method</w:t>
      </w:r>
    </w:p>
    <w:bookmarkStart w:id="3826" w:name="overview-412"/>
    <w:p>
      <w:pPr>
        <w:pStyle w:val="Heading2"/>
      </w:pPr>
      <w:r>
        <w:t xml:space="preserve">Overview</w:t>
      </w:r>
    </w:p>
    <w:p>
      <w:pPr>
        <w:pStyle w:val="FirstParagraph"/>
      </w:pPr>
      <w:r>
        <w:t xml:space="preserve">Recursively includes a directory and all of its contents into the current write-mode archive in the G3Pix AxonASP G3ZIP library.</w:t>
      </w:r>
    </w:p>
    <w:bookmarkEnd w:id="3826"/>
    <w:bookmarkStart w:id="3827" w:name="syntax-403"/>
    <w:p>
      <w:pPr>
        <w:pStyle w:val="Heading2"/>
      </w:pPr>
      <w:r>
        <w:t xml:space="preserve">Syntax</w:t>
      </w:r>
    </w:p>
    <w:p>
      <w:pPr>
        <w:pStyle w:val="SourceCode"/>
      </w:pPr>
      <w:r>
        <w:rPr>
          <w:rStyle w:val="NormalTok"/>
        </w:rPr>
        <w:t xml:space="preserve">success = zip.AddFolder(sourcePath [, nameInZip])</w:t>
      </w:r>
    </w:p>
    <w:bookmarkEnd w:id="3827"/>
    <w:bookmarkStart w:id="3828" w:name="parameters-and-arguments-78"/>
    <w:p>
      <w:pPr>
        <w:pStyle w:val="Heading2"/>
      </w:pPr>
      <w:r>
        <w:t xml:space="preserve">Parameters and Arguments</w:t>
      </w:r>
    </w:p>
    <w:p>
      <w:pPr>
        <w:pStyle w:val="Compact"/>
        <w:numPr>
          <w:ilvl w:val="0"/>
          <w:numId w:val="1962"/>
        </w:numPr>
      </w:pPr>
      <w:r>
        <w:rPr>
          <w:b/>
          <w:bCs/>
        </w:rPr>
        <w:t xml:space="preserve">sourcePath</w:t>
      </w:r>
      <w:r>
        <w:t xml:space="preserve"> </w:t>
      </w:r>
      <w:r>
        <w:t xml:space="preserve">(String, Required): The path to the directory on the server to be added.</w:t>
      </w:r>
    </w:p>
    <w:p>
      <w:pPr>
        <w:pStyle w:val="Compact"/>
        <w:numPr>
          <w:ilvl w:val="0"/>
          <w:numId w:val="1962"/>
        </w:numPr>
      </w:pPr>
      <w:r>
        <w:rPr>
          <w:b/>
          <w:bCs/>
        </w:rPr>
        <w:t xml:space="preserve">nameInZip</w:t>
      </w:r>
      <w:r>
        <w:t xml:space="preserve"> </w:t>
      </w:r>
      <w:r>
        <w:t xml:space="preserve">(String, Optional): The relative path the folder will have inside the ZIP archive. If omitted, the library uses the base name of the source directory.</w:t>
      </w:r>
    </w:p>
    <w:bookmarkEnd w:id="3828"/>
    <w:bookmarkStart w:id="3829" w:name="return-values-124"/>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folder and its contents were successfully added.</w:t>
      </w:r>
    </w:p>
    <w:bookmarkEnd w:id="3829"/>
    <w:bookmarkStart w:id="3830" w:name="remarks-382"/>
    <w:p>
      <w:pPr>
        <w:pStyle w:val="Heading2"/>
      </w:pPr>
      <w:r>
        <w:t xml:space="preserve">Remarks</w:t>
      </w:r>
    </w:p>
    <w:p>
      <w:pPr>
        <w:pStyle w:val="Compact"/>
        <w:numPr>
          <w:ilvl w:val="0"/>
          <w:numId w:val="1963"/>
        </w:numPr>
      </w:pPr>
      <w:r>
        <w:t xml:space="preserve">The object must be in</w:t>
      </w:r>
      <w:r>
        <w:t xml:space="preserve"> </w:t>
      </w:r>
      <w:r>
        <w:rPr>
          <w:b/>
          <w:bCs/>
        </w:rPr>
        <w:t xml:space="preserve">Write</w:t>
      </w:r>
      <w:r>
        <w:t xml:space="preserve"> </w:t>
      </w:r>
      <w:r>
        <w:t xml:space="preserve">mode.</w:t>
      </w:r>
    </w:p>
    <w:p>
      <w:pPr>
        <w:pStyle w:val="Compact"/>
        <w:numPr>
          <w:ilvl w:val="0"/>
          <w:numId w:val="1963"/>
        </w:numPr>
      </w:pPr>
      <w:r>
        <w:t xml:space="preserve">This method performs a full recursive traversal of the specified directory.</w:t>
      </w:r>
    </w:p>
    <w:p>
      <w:pPr>
        <w:pStyle w:val="Compact"/>
        <w:numPr>
          <w:ilvl w:val="0"/>
          <w:numId w:val="1963"/>
        </w:numPr>
      </w:pPr>
      <w:r>
        <w:t xml:space="preserve">All files and subdirectories found will preserve their relative structure within the archive.</w:t>
      </w:r>
    </w:p>
    <w:bookmarkEnd w:id="3830"/>
    <w:bookmarkStart w:id="3831" w:name="code-example-20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zip.Create</w:t>
      </w:r>
      <w:r>
        <w:rPr>
          <w:rStyle w:val="OtherTok"/>
        </w:rPr>
        <w:t xml:space="preserve">(</w:t>
      </w:r>
      <w:r>
        <w:rPr>
          <w:rStyle w:val="StringTok"/>
        </w:rPr>
        <w:t xml:space="preserve">"/backups/site_backup.zip"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Add the entire 'content' folder to the root of the ZIP</w:t>
      </w:r>
      <w:r>
        <w:br/>
      </w:r>
      <w:r>
        <w:rPr>
          <w:rStyle w:val="NormalTok"/>
        </w:rPr>
        <w:t xml:space="preserve">    zip.AddFolder </w:t>
      </w:r>
      <w:r>
        <w:rPr>
          <w:rStyle w:val="StringTok"/>
        </w:rPr>
        <w:t xml:space="preserve">"/www/content"</w:t>
      </w:r>
      <w:r>
        <w:rPr>
          <w:rStyle w:val="OtherTok"/>
        </w:rPr>
        <w:t xml:space="preserve">,</w:t>
      </w:r>
      <w:r>
        <w:rPr>
          <w:rStyle w:val="NormalTok"/>
        </w:rPr>
        <w:t xml:space="preserve"> </w:t>
      </w:r>
      <w:r>
        <w:rPr>
          <w:rStyle w:val="StringTok"/>
        </w:rPr>
        <w:t xml:space="preserve">""</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31"/>
    <w:bookmarkEnd w:id="3832"/>
    <w:bookmarkStart w:id="3839" w:name="addtext-method"/>
    <w:p>
      <w:pPr>
        <w:pStyle w:val="Heading1"/>
      </w:pPr>
      <w:r>
        <w:t xml:space="preserve">AddText Method</w:t>
      </w:r>
    </w:p>
    <w:bookmarkStart w:id="3833" w:name="overview-413"/>
    <w:p>
      <w:pPr>
        <w:pStyle w:val="Heading2"/>
      </w:pPr>
      <w:r>
        <w:t xml:space="preserve">Overview</w:t>
      </w:r>
    </w:p>
    <w:p>
      <w:pPr>
        <w:pStyle w:val="FirstParagraph"/>
      </w:pPr>
      <w:r>
        <w:t xml:space="preserve">Creates a new virtual file inside the current write-mode archive using a provided string in the G3Pix AxonASP G3ZIP library.</w:t>
      </w:r>
    </w:p>
    <w:bookmarkEnd w:id="3833"/>
    <w:bookmarkStart w:id="3834" w:name="syntax-404"/>
    <w:p>
      <w:pPr>
        <w:pStyle w:val="Heading2"/>
      </w:pPr>
      <w:r>
        <w:t xml:space="preserve">Syntax</w:t>
      </w:r>
    </w:p>
    <w:p>
      <w:pPr>
        <w:pStyle w:val="SourceCode"/>
      </w:pPr>
      <w:r>
        <w:rPr>
          <w:rStyle w:val="NormalTok"/>
        </w:rPr>
        <w:t xml:space="preserve">success = zip.AddText(nameInZip, content)</w:t>
      </w:r>
    </w:p>
    <w:bookmarkEnd w:id="3834"/>
    <w:bookmarkStart w:id="3835" w:name="parameters-and-arguments-79"/>
    <w:p>
      <w:pPr>
        <w:pStyle w:val="Heading2"/>
      </w:pPr>
      <w:r>
        <w:t xml:space="preserve">Parameters and Arguments</w:t>
      </w:r>
    </w:p>
    <w:p>
      <w:pPr>
        <w:pStyle w:val="Compact"/>
        <w:numPr>
          <w:ilvl w:val="0"/>
          <w:numId w:val="1964"/>
        </w:numPr>
      </w:pPr>
      <w:r>
        <w:rPr>
          <w:b/>
          <w:bCs/>
        </w:rPr>
        <w:t xml:space="preserve">nameInZip</w:t>
      </w:r>
      <w:r>
        <w:t xml:space="preserve"> </w:t>
      </w:r>
      <w:r>
        <w:t xml:space="preserve">(String, Required): The relative path and name for the new file inside the archive.</w:t>
      </w:r>
    </w:p>
    <w:p>
      <w:pPr>
        <w:pStyle w:val="Compact"/>
        <w:numPr>
          <w:ilvl w:val="0"/>
          <w:numId w:val="1964"/>
        </w:numPr>
      </w:pPr>
      <w:r>
        <w:rPr>
          <w:b/>
          <w:bCs/>
        </w:rPr>
        <w:t xml:space="preserve">content</w:t>
      </w:r>
      <w:r>
        <w:t xml:space="preserve"> </w:t>
      </w:r>
      <w:r>
        <w:t xml:space="preserve">(String, Required): The text content to be written into the file.</w:t>
      </w:r>
    </w:p>
    <w:bookmarkEnd w:id="3835"/>
    <w:bookmarkStart w:id="3836" w:name="return-values-125"/>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virtual file was successfully created and added.</w:t>
      </w:r>
    </w:p>
    <w:bookmarkEnd w:id="3836"/>
    <w:bookmarkStart w:id="3837" w:name="remarks-383"/>
    <w:p>
      <w:pPr>
        <w:pStyle w:val="Heading2"/>
      </w:pPr>
      <w:r>
        <w:t xml:space="preserve">Remarks</w:t>
      </w:r>
    </w:p>
    <w:p>
      <w:pPr>
        <w:pStyle w:val="Compact"/>
        <w:numPr>
          <w:ilvl w:val="0"/>
          <w:numId w:val="1965"/>
        </w:numPr>
      </w:pPr>
      <w:r>
        <w:t xml:space="preserve">This method is ideal for generating dynamic files such as manifest.json, readme.txt, or configuration files on the fly.</w:t>
      </w:r>
    </w:p>
    <w:p>
      <w:pPr>
        <w:pStyle w:val="Compact"/>
        <w:numPr>
          <w:ilvl w:val="0"/>
          <w:numId w:val="1965"/>
        </w:numPr>
      </w:pPr>
      <w:r>
        <w:t xml:space="preserve">The object must be in</w:t>
      </w:r>
      <w:r>
        <w:t xml:space="preserve"> </w:t>
      </w:r>
      <w:r>
        <w:rPr>
          <w:b/>
          <w:bCs/>
        </w:rPr>
        <w:t xml:space="preserve">Write</w:t>
      </w:r>
      <w:r>
        <w:t xml:space="preserve"> </w:t>
      </w:r>
      <w:r>
        <w:t xml:space="preserve">mode.</w:t>
      </w:r>
    </w:p>
    <w:bookmarkEnd w:id="3837"/>
    <w:bookmarkStart w:id="3838" w:name="code-example-20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rPr>
          <w:rStyle w:val="OtherTok"/>
        </w:rPr>
        <w:t xml:space="preserve">,</w:t>
      </w:r>
      <w:r>
        <w:rPr>
          <w:rStyle w:val="NormalTok"/>
        </w:rPr>
        <w:t xml:space="preserve"> info</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zip.Create</w:t>
      </w:r>
      <w:r>
        <w:rPr>
          <w:rStyle w:val="OtherTok"/>
        </w:rPr>
        <w:t xml:space="preserve">(</w:t>
      </w:r>
      <w:r>
        <w:rPr>
          <w:rStyle w:val="StringTok"/>
        </w:rPr>
        <w:t xml:space="preserve">"/temp/report.zip"</w:t>
      </w:r>
      <w:r>
        <w:rPr>
          <w:rStyle w:val="OtherTok"/>
        </w:rPr>
        <w:t xml:space="preserve">)</w:t>
      </w:r>
      <w:r>
        <w:rPr>
          <w:rStyle w:val="NormalTok"/>
        </w:rPr>
        <w:t xml:space="preserve"> </w:t>
      </w:r>
      <w:r>
        <w:rPr>
          <w:rStyle w:val="ControlFlowTok"/>
        </w:rPr>
        <w:t xml:space="preserve">Then</w:t>
      </w:r>
      <w:r>
        <w:br/>
      </w:r>
      <w:r>
        <w:rPr>
          <w:rStyle w:val="NormalTok"/>
        </w:rPr>
        <w:t xml:space="preserve">    info = </w:t>
      </w:r>
      <w:r>
        <w:rPr>
          <w:rStyle w:val="StringTok"/>
        </w:rPr>
        <w:t xml:space="preserve">"Report generated on: "</w:t>
      </w:r>
      <w:r>
        <w:rPr>
          <w:rStyle w:val="NormalTok"/>
        </w:rPr>
        <w:t xml:space="preserve"> </w:t>
      </w:r>
      <w:r>
        <w:rPr>
          <w:rStyle w:val="KeywordTok"/>
        </w:rPr>
        <w:t xml:space="preserve">&amp;</w:t>
      </w:r>
      <w:r>
        <w:rPr>
          <w:rStyle w:val="NormalTok"/>
        </w:rPr>
        <w:t xml:space="preserve"> </w:t>
      </w:r>
      <w:r>
        <w:rPr>
          <w:rStyle w:val="FunctionTok"/>
        </w:rPr>
        <w:t xml:space="preserve">Now</w:t>
      </w:r>
      <w:r>
        <w:rPr>
          <w:rStyle w:val="OtherTok"/>
        </w:rPr>
        <w:t xml:space="preserve">()</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"System: AxonASP"</w:t>
      </w:r>
      <w:r>
        <w:br/>
      </w:r>
      <w:r>
        <w:rPr>
          <w:rStyle w:val="NormalTok"/>
        </w:rPr>
        <w:t xml:space="preserve">    zip.AddText </w:t>
      </w:r>
      <w:r>
        <w:rPr>
          <w:rStyle w:val="StringTok"/>
        </w:rPr>
        <w:t xml:space="preserve">"metadata.txt"</w:t>
      </w:r>
      <w:r>
        <w:rPr>
          <w:rStyle w:val="OtherTok"/>
        </w:rPr>
        <w:t xml:space="preserve">,</w:t>
      </w:r>
      <w:r>
        <w:rPr>
          <w:rStyle w:val="NormalTok"/>
        </w:rPr>
        <w:t xml:space="preserve"> info</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38"/>
    <w:bookmarkEnd w:id="3839"/>
    <w:bookmarkStart w:id="3845" w:name="close-method-1"/>
    <w:p>
      <w:pPr>
        <w:pStyle w:val="Heading1"/>
      </w:pPr>
      <w:r>
        <w:t xml:space="preserve">Close Method</w:t>
      </w:r>
    </w:p>
    <w:bookmarkStart w:id="3840" w:name="overview-414"/>
    <w:p>
      <w:pPr>
        <w:pStyle w:val="Heading2"/>
      </w:pPr>
      <w:r>
        <w:t xml:space="preserve">Overview</w:t>
      </w:r>
    </w:p>
    <w:p>
      <w:pPr>
        <w:pStyle w:val="FirstParagraph"/>
      </w:pPr>
      <w:r>
        <w:t xml:space="preserve">Finalizes the archive operations and releases all system resources in the G3Pix AxonASP G3ZIP library.</w:t>
      </w:r>
    </w:p>
    <w:bookmarkEnd w:id="3840"/>
    <w:bookmarkStart w:id="3841" w:name="syntax-405"/>
    <w:p>
      <w:pPr>
        <w:pStyle w:val="Heading2"/>
      </w:pPr>
      <w:r>
        <w:t xml:space="preserve">Syntax</w:t>
      </w:r>
    </w:p>
    <w:p>
      <w:pPr>
        <w:pStyle w:val="SourceCode"/>
      </w:pPr>
      <w:r>
        <w:rPr>
          <w:rStyle w:val="NormalTok"/>
        </w:rPr>
        <w:t xml:space="preserve">zip.Close()</w:t>
      </w:r>
    </w:p>
    <w:bookmarkEnd w:id="3841"/>
    <w:bookmarkStart w:id="3842" w:name="return-values-126"/>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(True) upon completion.</w:t>
      </w:r>
    </w:p>
    <w:bookmarkEnd w:id="3842"/>
    <w:bookmarkStart w:id="3843" w:name="remarks-384"/>
    <w:p>
      <w:pPr>
        <w:pStyle w:val="Heading2"/>
      </w:pPr>
      <w:r>
        <w:t xml:space="preserve">Remarks</w:t>
      </w:r>
    </w:p>
    <w:p>
      <w:pPr>
        <w:pStyle w:val="Compact"/>
        <w:numPr>
          <w:ilvl w:val="0"/>
          <w:numId w:val="1966"/>
        </w:numPr>
      </w:pPr>
      <w:r>
        <w:t xml:space="preserve">For</w:t>
      </w:r>
      <w:r>
        <w:t xml:space="preserve"> </w:t>
      </w:r>
      <w:r>
        <w:rPr>
          <w:b/>
          <w:bCs/>
        </w:rPr>
        <w:t xml:space="preserve">Write</w:t>
      </w:r>
      <w:r>
        <w:t xml:space="preserve"> </w:t>
      </w:r>
      <w:r>
        <w:t xml:space="preserve">mode, this method is mandatory to ensure all buffers are flushed and the ZIP header is correctly written to disk.</w:t>
      </w:r>
    </w:p>
    <w:p>
      <w:pPr>
        <w:pStyle w:val="Compact"/>
        <w:numPr>
          <w:ilvl w:val="0"/>
          <w:numId w:val="1966"/>
        </w:numPr>
      </w:pPr>
      <w:r>
        <w:t xml:space="preserve">For</w:t>
      </w:r>
      <w:r>
        <w:t xml:space="preserve"> </w:t>
      </w:r>
      <w:r>
        <w:rPr>
          <w:b/>
          <w:bCs/>
        </w:rPr>
        <w:t xml:space="preserve">Read</w:t>
      </w:r>
      <w:r>
        <w:t xml:space="preserve"> </w:t>
      </w:r>
      <w:r>
        <w:t xml:space="preserve">mode, it closes the file handle and releases the archive reader.</w:t>
      </w:r>
    </w:p>
    <w:p>
      <w:pPr>
        <w:pStyle w:val="Compact"/>
        <w:numPr>
          <w:ilvl w:val="0"/>
          <w:numId w:val="1966"/>
        </w:numPr>
      </w:pPr>
      <w:r>
        <w:t xml:space="preserve">After calling</w:t>
      </w:r>
      <w:r>
        <w:t xml:space="preserve"> </w:t>
      </w:r>
      <w:r>
        <w:rPr>
          <w:b/>
          <w:bCs/>
        </w:rPr>
        <w:t xml:space="preserve">Close</w:t>
      </w:r>
      <w:r>
        <w:t xml:space="preserve">, the</w:t>
      </w:r>
      <w:r>
        <w:t xml:space="preserve"> </w:t>
      </w:r>
      <w:r>
        <w:rPr>
          <w:b/>
          <w:bCs/>
        </w:rPr>
        <w:t xml:space="preserve">Mode</w:t>
      </w:r>
      <w:r>
        <w:t xml:space="preserve"> </w:t>
      </w:r>
      <w:r>
        <w:t xml:space="preserve">and</w:t>
      </w:r>
      <w:r>
        <w:t xml:space="preserve"> </w:t>
      </w:r>
      <w:r>
        <w:rPr>
          <w:b/>
          <w:bCs/>
        </w:rPr>
        <w:t xml:space="preserve">Path</w:t>
      </w:r>
      <w:r>
        <w:t xml:space="preserve"> </w:t>
      </w:r>
      <w:r>
        <w:t xml:space="preserve">properties are reset.</w:t>
      </w:r>
    </w:p>
    <w:bookmarkEnd w:id="3843"/>
    <w:bookmarkStart w:id="3844" w:name="code-example-20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NormalTok"/>
        </w:rPr>
        <w:t xml:space="preserve">zip.Create</w:t>
      </w:r>
      <w:r>
        <w:rPr>
          <w:rStyle w:val="OtherTok"/>
        </w:rPr>
        <w:t xml:space="preserve">(</w:t>
      </w:r>
      <w:r>
        <w:rPr>
          <w:rStyle w:val="StringTok"/>
        </w:rPr>
        <w:t xml:space="preserve">"/temp/output.zip"</w:t>
      </w:r>
      <w:r>
        <w:rPr>
          <w:rStyle w:val="OtherTok"/>
        </w:rPr>
        <w:t xml:space="preserve">)</w:t>
      </w:r>
      <w:r>
        <w:br/>
      </w:r>
      <w:r>
        <w:rPr>
          <w:rStyle w:val="CommentTok"/>
        </w:rPr>
        <w:t xml:space="preserve">' ... perform operations ...</w:t>
      </w:r>
      <w:r>
        <w:br/>
      </w:r>
      <w:r>
        <w:rPr>
          <w:rStyle w:val="NormalTok"/>
        </w:rPr>
        <w:t xml:space="preserve">zip.</w:t>
      </w:r>
      <w:r>
        <w:rPr>
          <w:rStyle w:val="KeywordTok"/>
        </w:rPr>
        <w:t xml:space="preserve">Close</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44"/>
    <w:bookmarkEnd w:id="3845"/>
    <w:bookmarkStart w:id="3852" w:name="create-method"/>
    <w:p>
      <w:pPr>
        <w:pStyle w:val="Heading1"/>
      </w:pPr>
      <w:r>
        <w:t xml:space="preserve">Create Method</w:t>
      </w:r>
    </w:p>
    <w:bookmarkStart w:id="3846" w:name="overview-415"/>
    <w:p>
      <w:pPr>
        <w:pStyle w:val="Heading2"/>
      </w:pPr>
      <w:r>
        <w:t xml:space="preserve">Overview</w:t>
      </w:r>
    </w:p>
    <w:p>
      <w:pPr>
        <w:pStyle w:val="FirstParagraph"/>
      </w:pPr>
      <w:r>
        <w:t xml:space="preserve">Initializes a new ZIP archive file on the server and prepares the G3Pix AxonASP G3ZIP library for writing operations.</w:t>
      </w:r>
    </w:p>
    <w:bookmarkEnd w:id="3846"/>
    <w:bookmarkStart w:id="3847" w:name="syntax-406"/>
    <w:p>
      <w:pPr>
        <w:pStyle w:val="Heading2"/>
      </w:pPr>
      <w:r>
        <w:t xml:space="preserve">Syntax</w:t>
      </w:r>
    </w:p>
    <w:p>
      <w:pPr>
        <w:pStyle w:val="SourceCode"/>
      </w:pPr>
      <w:r>
        <w:rPr>
          <w:rStyle w:val="NormalTok"/>
        </w:rPr>
        <w:t xml:space="preserve">success = zip.Create(archivePath)</w:t>
      </w:r>
    </w:p>
    <w:bookmarkEnd w:id="3847"/>
    <w:bookmarkStart w:id="3848" w:name="parameters-and-arguments-80"/>
    <w:p>
      <w:pPr>
        <w:pStyle w:val="Heading2"/>
      </w:pPr>
      <w:r>
        <w:t xml:space="preserve">Parameters and Arguments</w:t>
      </w:r>
    </w:p>
    <w:p>
      <w:pPr>
        <w:pStyle w:val="Compact"/>
        <w:numPr>
          <w:ilvl w:val="0"/>
          <w:numId w:val="1967"/>
        </w:numPr>
      </w:pPr>
      <w:r>
        <w:rPr>
          <w:b/>
          <w:bCs/>
        </w:rPr>
        <w:t xml:space="preserve">archivePath</w:t>
      </w:r>
      <w:r>
        <w:t xml:space="preserve"> </w:t>
      </w:r>
      <w:r>
        <w:t xml:space="preserve">(String, Required): The target path where the ZIP file will be created.</w:t>
      </w:r>
    </w:p>
    <w:bookmarkEnd w:id="3848"/>
    <w:bookmarkStart w:id="3849" w:name="return-values-127"/>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file was successfully created and initialized for writing.</w:t>
      </w:r>
    </w:p>
    <w:bookmarkEnd w:id="3849"/>
    <w:bookmarkStart w:id="3850" w:name="remarks-385"/>
    <w:p>
      <w:pPr>
        <w:pStyle w:val="Heading2"/>
      </w:pPr>
      <w:r>
        <w:t xml:space="preserve">Remarks</w:t>
      </w:r>
    </w:p>
    <w:p>
      <w:pPr>
        <w:pStyle w:val="Compact"/>
        <w:numPr>
          <w:ilvl w:val="0"/>
          <w:numId w:val="1968"/>
        </w:numPr>
      </w:pPr>
      <w:r>
        <w:t xml:space="preserve">If the target directory does not exist, the library attempts to create it recursively.</w:t>
      </w:r>
    </w:p>
    <w:p>
      <w:pPr>
        <w:pStyle w:val="Compact"/>
        <w:numPr>
          <w:ilvl w:val="0"/>
          <w:numId w:val="1968"/>
        </w:numPr>
      </w:pPr>
      <w:r>
        <w:t xml:space="preserve">If a file already exists at the specified path, it will be overwritten.</w:t>
      </w:r>
    </w:p>
    <w:p>
      <w:pPr>
        <w:pStyle w:val="Compact"/>
        <w:numPr>
          <w:ilvl w:val="0"/>
          <w:numId w:val="1968"/>
        </w:numPr>
      </w:pPr>
      <w:r>
        <w:t xml:space="preserve">Calling</w:t>
      </w:r>
      <w:r>
        <w:t xml:space="preserve"> </w:t>
      </w:r>
      <w:r>
        <w:rPr>
          <w:b/>
          <w:bCs/>
        </w:rPr>
        <w:t xml:space="preserve">Create</w:t>
      </w:r>
      <w:r>
        <w:t xml:space="preserve"> </w:t>
      </w:r>
      <w:r>
        <w:t xml:space="preserve">will close any archive currently managed by the object.</w:t>
      </w:r>
    </w:p>
    <w:bookmarkEnd w:id="3850"/>
    <w:bookmarkStart w:id="3851" w:name="code-example-20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zip.Create</w:t>
      </w:r>
      <w:r>
        <w:rPr>
          <w:rStyle w:val="OtherTok"/>
        </w:rPr>
        <w:t xml:space="preserve">(</w:t>
      </w:r>
      <w:r>
        <w:rPr>
          <w:rStyle w:val="StringTok"/>
        </w:rPr>
        <w:t xml:space="preserve">"/data/exports/data.zip"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"Write-mode initialized."</w:t>
      </w:r>
      <w:r>
        <w:br/>
      </w:r>
      <w:r>
        <w:rPr>
          <w:rStyle w:val="NormalTok"/>
        </w:rPr>
        <w:t xml:space="preserve">    </w:t>
      </w:r>
      <w:r>
        <w:rPr>
          <w:rStyle w:val="CommentTok"/>
        </w:rPr>
        <w:t xml:space="preserve">' Add files here...</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51"/>
    <w:bookmarkEnd w:id="3852"/>
    <w:bookmarkStart w:id="3859" w:name="extractall-method"/>
    <w:p>
      <w:pPr>
        <w:pStyle w:val="Heading1"/>
      </w:pPr>
      <w:r>
        <w:t xml:space="preserve">ExtractAll Method</w:t>
      </w:r>
    </w:p>
    <w:bookmarkStart w:id="3853" w:name="overview-416"/>
    <w:p>
      <w:pPr>
        <w:pStyle w:val="Heading2"/>
      </w:pPr>
      <w:r>
        <w:t xml:space="preserve">Overview</w:t>
      </w:r>
    </w:p>
    <w:p>
      <w:pPr>
        <w:pStyle w:val="FirstParagraph"/>
      </w:pPr>
      <w:r>
        <w:t xml:space="preserve">Unpacks the entire content of the active read-mode archive into a specified directory in the G3Pix AxonASP G3ZIP library.</w:t>
      </w:r>
    </w:p>
    <w:bookmarkEnd w:id="3853"/>
    <w:bookmarkStart w:id="3854" w:name="syntax-407"/>
    <w:p>
      <w:pPr>
        <w:pStyle w:val="Heading2"/>
      </w:pPr>
      <w:r>
        <w:t xml:space="preserve">Syntax</w:t>
      </w:r>
    </w:p>
    <w:p>
      <w:pPr>
        <w:pStyle w:val="SourceCode"/>
      </w:pPr>
      <w:r>
        <w:rPr>
          <w:rStyle w:val="NormalTok"/>
        </w:rPr>
        <w:t xml:space="preserve">success = zip.ExtractAll(targetDirectory)</w:t>
      </w:r>
    </w:p>
    <w:bookmarkEnd w:id="3854"/>
    <w:bookmarkStart w:id="3855" w:name="parameters-and-arguments-81"/>
    <w:p>
      <w:pPr>
        <w:pStyle w:val="Heading2"/>
      </w:pPr>
      <w:r>
        <w:t xml:space="preserve">Parameters and Arguments</w:t>
      </w:r>
    </w:p>
    <w:p>
      <w:pPr>
        <w:pStyle w:val="Compact"/>
        <w:numPr>
          <w:ilvl w:val="0"/>
          <w:numId w:val="1969"/>
        </w:numPr>
      </w:pPr>
      <w:r>
        <w:rPr>
          <w:b/>
          <w:bCs/>
        </w:rPr>
        <w:t xml:space="preserve">targetDirectory</w:t>
      </w:r>
      <w:r>
        <w:t xml:space="preserve"> </w:t>
      </w:r>
      <w:r>
        <w:t xml:space="preserve">(String, Required): The destination directory on the server where the files will be extracted.</w:t>
      </w:r>
    </w:p>
    <w:bookmarkEnd w:id="3855"/>
    <w:bookmarkStart w:id="3856" w:name="return-values-128"/>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all files were successfully extracted.</w:t>
      </w:r>
    </w:p>
    <w:bookmarkEnd w:id="3856"/>
    <w:bookmarkStart w:id="3857" w:name="remarks-386"/>
    <w:p>
      <w:pPr>
        <w:pStyle w:val="Heading2"/>
      </w:pPr>
      <w:r>
        <w:t xml:space="preserve">Remarks</w:t>
      </w:r>
    </w:p>
    <w:p>
      <w:pPr>
        <w:pStyle w:val="Compact"/>
        <w:numPr>
          <w:ilvl w:val="0"/>
          <w:numId w:val="1970"/>
        </w:numPr>
      </w:pPr>
      <w:r>
        <w:t xml:space="preserve">The object must be in</w:t>
      </w:r>
      <w:r>
        <w:t xml:space="preserve"> </w:t>
      </w:r>
      <w:r>
        <w:rPr>
          <w:b/>
          <w:bCs/>
        </w:rPr>
        <w:t xml:space="preserve">Read</w:t>
      </w:r>
      <w:r>
        <w:t xml:space="preserve"> </w:t>
      </w:r>
      <w:r>
        <w:t xml:space="preserve">mode (initialized via the</w:t>
      </w:r>
      <w:r>
        <w:t xml:space="preserve"> </w:t>
      </w:r>
      <w:r>
        <w:rPr>
          <w:b/>
          <w:bCs/>
        </w:rPr>
        <w:t xml:space="preserve">Open</w:t>
      </w:r>
      <w:r>
        <w:t xml:space="preserve"> </w:t>
      </w:r>
      <w:r>
        <w:t xml:space="preserve">method).</w:t>
      </w:r>
    </w:p>
    <w:p>
      <w:pPr>
        <w:pStyle w:val="Compact"/>
        <w:numPr>
          <w:ilvl w:val="0"/>
          <w:numId w:val="1970"/>
        </w:numPr>
      </w:pPr>
      <w:r>
        <w:t xml:space="preserve">The library automatically recreates any subdirectory structure found within the archive.</w:t>
      </w:r>
    </w:p>
    <w:p>
      <w:pPr>
        <w:pStyle w:val="Compact"/>
        <w:numPr>
          <w:ilvl w:val="0"/>
          <w:numId w:val="1970"/>
        </w:numPr>
      </w:pPr>
      <w:r>
        <w:t xml:space="preserve">Existing files in the destination directory will be overwritten if they have the same name.</w:t>
      </w:r>
    </w:p>
    <w:bookmarkEnd w:id="3857"/>
    <w:bookmarkStart w:id="3858" w:name="code-example-20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w:t>
      </w:r>
      <w:r>
        <w:rPr>
          <w:rStyle w:val="KeywordTok"/>
        </w:rPr>
        <w:t xml:space="preserve">Open</w:t>
      </w:r>
      <w:r>
        <w:rPr>
          <w:rStyle w:val="OtherTok"/>
        </w:rPr>
        <w:t xml:space="preserve">(</w:t>
      </w:r>
      <w:r>
        <w:rPr>
          <w:rStyle w:val="StringTok"/>
        </w:rPr>
        <w:t xml:space="preserve">"/uploads/archive.zip"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If</w:t>
      </w:r>
      <w:r>
        <w:rPr>
          <w:rStyle w:val="NormalTok"/>
        </w:rPr>
        <w:t xml:space="preserve"> zip.ExtractAll</w:t>
      </w:r>
      <w:r>
        <w:rPr>
          <w:rStyle w:val="OtherTok"/>
        </w:rPr>
        <w:t xml:space="preserve">(</w:t>
      </w:r>
      <w:r>
        <w:rPr>
          <w:rStyle w:val="StringTok"/>
        </w:rPr>
        <w:t xml:space="preserve">"/temp/extracted_files"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"Extraction complete."</w:t>
      </w:r>
      <w:r>
        <w:br/>
      </w:r>
      <w:r>
        <w:rPr>
          <w:rStyle w:val="NormalTok"/>
        </w:rPr>
        <w:t xml:space="preserve">    </w:t>
      </w:r>
      <w:r>
        <w:rPr>
          <w:rStyle w:val="ControlFlowTok"/>
        </w:rPr>
        <w:t xml:space="preserve">End If</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58"/>
    <w:bookmarkEnd w:id="3859"/>
    <w:bookmarkStart w:id="3866" w:name="extractfile-method"/>
    <w:p>
      <w:pPr>
        <w:pStyle w:val="Heading1"/>
      </w:pPr>
      <w:r>
        <w:t xml:space="preserve">ExtractFile Method</w:t>
      </w:r>
    </w:p>
    <w:bookmarkStart w:id="3860" w:name="overview-417"/>
    <w:p>
      <w:pPr>
        <w:pStyle w:val="Heading2"/>
      </w:pPr>
      <w:r>
        <w:t xml:space="preserve">Overview</w:t>
      </w:r>
    </w:p>
    <w:p>
      <w:pPr>
        <w:pStyle w:val="FirstParagraph"/>
      </w:pPr>
      <w:r>
        <w:t xml:space="preserve">Unpacks a specific file from the active read-mode archive into a specified directory in the G3Pix AxonASP G3ZIP library.</w:t>
      </w:r>
    </w:p>
    <w:bookmarkEnd w:id="3860"/>
    <w:bookmarkStart w:id="3861" w:name="syntax-408"/>
    <w:p>
      <w:pPr>
        <w:pStyle w:val="Heading2"/>
      </w:pPr>
      <w:r>
        <w:t xml:space="preserve">Syntax</w:t>
      </w:r>
    </w:p>
    <w:p>
      <w:pPr>
        <w:pStyle w:val="SourceCode"/>
      </w:pPr>
      <w:r>
        <w:rPr>
          <w:rStyle w:val="NormalTok"/>
        </w:rPr>
        <w:t xml:space="preserve">success = zip.ExtractFile(fileName, targetDirectory)</w:t>
      </w:r>
    </w:p>
    <w:bookmarkEnd w:id="3861"/>
    <w:bookmarkStart w:id="3862" w:name="parameters-and-arguments-82"/>
    <w:p>
      <w:pPr>
        <w:pStyle w:val="Heading2"/>
      </w:pPr>
      <w:r>
        <w:t xml:space="preserve">Parameters and Arguments</w:t>
      </w:r>
    </w:p>
    <w:p>
      <w:pPr>
        <w:pStyle w:val="Compact"/>
        <w:numPr>
          <w:ilvl w:val="0"/>
          <w:numId w:val="1971"/>
        </w:numPr>
      </w:pPr>
      <w:r>
        <w:rPr>
          <w:b/>
          <w:bCs/>
        </w:rPr>
        <w:t xml:space="preserve">fileName</w:t>
      </w:r>
      <w:r>
        <w:t xml:space="preserve"> </w:t>
      </w:r>
      <w:r>
        <w:t xml:space="preserve">(String, Required): The name (or relative path) of the file inside the ZIP archive to be extracted.</w:t>
      </w:r>
    </w:p>
    <w:p>
      <w:pPr>
        <w:pStyle w:val="Compact"/>
        <w:numPr>
          <w:ilvl w:val="0"/>
          <w:numId w:val="1971"/>
        </w:numPr>
      </w:pPr>
      <w:r>
        <w:rPr>
          <w:b/>
          <w:bCs/>
        </w:rPr>
        <w:t xml:space="preserve">targetDirectory</w:t>
      </w:r>
      <w:r>
        <w:t xml:space="preserve"> </w:t>
      </w:r>
      <w:r>
        <w:t xml:space="preserve">(String, Required): The destination directory on the server.</w:t>
      </w:r>
    </w:p>
    <w:bookmarkEnd w:id="3862"/>
    <w:bookmarkStart w:id="3863" w:name="return-values-129"/>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specific file was found and successfully extracted.</w:t>
      </w:r>
    </w:p>
    <w:bookmarkEnd w:id="3863"/>
    <w:bookmarkStart w:id="3864" w:name="remarks-387"/>
    <w:p>
      <w:pPr>
        <w:pStyle w:val="Heading2"/>
      </w:pPr>
      <w:r>
        <w:t xml:space="preserve">Remarks</w:t>
      </w:r>
    </w:p>
    <w:p>
      <w:pPr>
        <w:pStyle w:val="Compact"/>
        <w:numPr>
          <w:ilvl w:val="0"/>
          <w:numId w:val="1972"/>
        </w:numPr>
      </w:pPr>
      <w:r>
        <w:t xml:space="preserve">The object must be in</w:t>
      </w:r>
      <w:r>
        <w:t xml:space="preserve"> </w:t>
      </w:r>
      <w:r>
        <w:rPr>
          <w:b/>
          <w:bCs/>
        </w:rPr>
        <w:t xml:space="preserve">Read</w:t>
      </w:r>
      <w:r>
        <w:t xml:space="preserve"> </w:t>
      </w:r>
      <w:r>
        <w:t xml:space="preserve">mode.</w:t>
      </w:r>
    </w:p>
    <w:p>
      <w:pPr>
        <w:pStyle w:val="Compact"/>
        <w:numPr>
          <w:ilvl w:val="0"/>
          <w:numId w:val="1972"/>
        </w:numPr>
      </w:pPr>
      <w:r>
        <w:t xml:space="preserve">The</w:t>
      </w:r>
      <w:r>
        <w:t xml:space="preserve"> </w:t>
      </w:r>
      <w:r>
        <w:rPr>
          <w:rStyle w:val="VerbatimChar"/>
        </w:rPr>
        <w:t xml:space="preserve">fileName</w:t>
      </w:r>
      <w:r>
        <w:t xml:space="preserve"> </w:t>
      </w:r>
      <w:r>
        <w:t xml:space="preserve">parameter is case-sensitive and must match the entry name returned by the</w:t>
      </w:r>
      <w:r>
        <w:t xml:space="preserve"> </w:t>
      </w:r>
      <w:r>
        <w:rPr>
          <w:b/>
          <w:bCs/>
        </w:rPr>
        <w:t xml:space="preserve">List</w:t>
      </w:r>
      <w:r>
        <w:t xml:space="preserve"> </w:t>
      </w:r>
      <w:r>
        <w:t xml:space="preserve">method exactly.</w:t>
      </w:r>
    </w:p>
    <w:bookmarkEnd w:id="3864"/>
    <w:bookmarkStart w:id="3865" w:name="code-example-20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w:t>
      </w:r>
      <w:r>
        <w:rPr>
          <w:rStyle w:val="KeywordTok"/>
        </w:rPr>
        <w:t xml:space="preserve">Open</w:t>
      </w:r>
      <w:r>
        <w:rPr>
          <w:rStyle w:val="OtherTok"/>
        </w:rPr>
        <w:t xml:space="preserve">(</w:t>
      </w:r>
      <w:r>
        <w:rPr>
          <w:rStyle w:val="StringTok"/>
        </w:rPr>
        <w:t xml:space="preserve">"/assets/pack.zip"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Extract only the documentation</w:t>
      </w:r>
      <w:r>
        <w:br/>
      </w:r>
      <w:r>
        <w:rPr>
          <w:rStyle w:val="NormalTok"/>
        </w:rPr>
        <w:t xml:space="preserve">    </w:t>
      </w:r>
      <w:r>
        <w:rPr>
          <w:rStyle w:val="ControlFlowTok"/>
        </w:rPr>
        <w:t xml:space="preserve">If</w:t>
      </w:r>
      <w:r>
        <w:rPr>
          <w:rStyle w:val="NormalTok"/>
        </w:rPr>
        <w:t xml:space="preserve"> zip.ExtractFile</w:t>
      </w:r>
      <w:r>
        <w:rPr>
          <w:rStyle w:val="OtherTok"/>
        </w:rPr>
        <w:t xml:space="preserve">(</w:t>
      </w:r>
      <w:r>
        <w:rPr>
          <w:rStyle w:val="StringTok"/>
        </w:rPr>
        <w:t xml:space="preserve">"docs/readme.pdf"</w:t>
      </w:r>
      <w:r>
        <w:rPr>
          <w:rStyle w:val="OtherTok"/>
        </w:rPr>
        <w:t xml:space="preserve">,</w:t>
      </w:r>
      <w:r>
        <w:rPr>
          <w:rStyle w:val="NormalTok"/>
        </w:rPr>
        <w:t xml:space="preserve"> </w:t>
      </w:r>
      <w:r>
        <w:rPr>
          <w:rStyle w:val="StringTok"/>
        </w:rPr>
        <w:t xml:space="preserve">"/www/help"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"Documentation extracted."</w:t>
      </w:r>
      <w:r>
        <w:br/>
      </w:r>
      <w:r>
        <w:rPr>
          <w:rStyle w:val="NormalTok"/>
        </w:rPr>
        <w:t xml:space="preserve">    </w:t>
      </w:r>
      <w:r>
        <w:rPr>
          <w:rStyle w:val="ControlFlowTok"/>
        </w:rPr>
        <w:t xml:space="preserve">End If</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65"/>
    <w:bookmarkEnd w:id="3866"/>
    <w:bookmarkStart w:id="3873" w:name="getinfo-method"/>
    <w:p>
      <w:pPr>
        <w:pStyle w:val="Heading1"/>
      </w:pPr>
      <w:r>
        <w:t xml:space="preserve">GetInfo Method</w:t>
      </w:r>
    </w:p>
    <w:bookmarkStart w:id="3867" w:name="overview-418"/>
    <w:p>
      <w:pPr>
        <w:pStyle w:val="Heading2"/>
      </w:pPr>
      <w:r>
        <w:t xml:space="preserve">Overview</w:t>
      </w:r>
    </w:p>
    <w:p>
      <w:pPr>
        <w:pStyle w:val="FirstParagraph"/>
      </w:pPr>
      <w:r>
        <w:t xml:space="preserve">Retrieves detailed technical metadata for a specific file within the archive in the G3Pix AxonASP G3ZIP library.</w:t>
      </w:r>
    </w:p>
    <w:bookmarkEnd w:id="3867"/>
    <w:bookmarkStart w:id="3868" w:name="syntax-409"/>
    <w:p>
      <w:pPr>
        <w:pStyle w:val="Heading2"/>
      </w:pPr>
      <w:r>
        <w:t xml:space="preserve">Syntax</w:t>
      </w:r>
    </w:p>
    <w:p>
      <w:pPr>
        <w:pStyle w:val="SourceCode"/>
      </w:pPr>
      <w:r>
        <w:rPr>
          <w:rStyle w:val="NormalTok"/>
        </w:rPr>
        <w:t xml:space="preserve">Set info = zip.GetInfo(fileName)</w:t>
      </w:r>
    </w:p>
    <w:bookmarkEnd w:id="3868"/>
    <w:bookmarkStart w:id="3869" w:name="parameters-and-arguments-83"/>
    <w:p>
      <w:pPr>
        <w:pStyle w:val="Heading2"/>
      </w:pPr>
      <w:r>
        <w:t xml:space="preserve">Parameters and Arguments</w:t>
      </w:r>
    </w:p>
    <w:p>
      <w:pPr>
        <w:pStyle w:val="Compact"/>
        <w:numPr>
          <w:ilvl w:val="0"/>
          <w:numId w:val="1973"/>
        </w:numPr>
      </w:pPr>
      <w:r>
        <w:rPr>
          <w:b/>
          <w:bCs/>
        </w:rPr>
        <w:t xml:space="preserve">fileName</w:t>
      </w:r>
      <w:r>
        <w:t xml:space="preserve"> </w:t>
      </w:r>
      <w:r>
        <w:t xml:space="preserve">(String, Required): The name of the file inside the ZIP archive.</w:t>
      </w:r>
    </w:p>
    <w:bookmarkEnd w:id="3869"/>
    <w:bookmarkStart w:id="3870" w:name="return-values-130"/>
    <w:p>
      <w:pPr>
        <w:pStyle w:val="Heading2"/>
      </w:pPr>
      <w:r>
        <w:t xml:space="preserve">Return Values</w:t>
      </w:r>
    </w:p>
    <w:p>
      <w:pPr>
        <w:pStyle w:val="FirstParagraph"/>
      </w:pPr>
      <w:r>
        <w:t xml:space="preserve">Returns a</w:t>
      </w:r>
      <w:r>
        <w:t xml:space="preserve"> </w:t>
      </w:r>
      <w:r>
        <w:rPr>
          <w:b/>
          <w:bCs/>
        </w:rPr>
        <w:t xml:space="preserve">Scripting.Dictionary</w:t>
      </w:r>
      <w:r>
        <w:t xml:space="preserve"> </w:t>
      </w:r>
      <w:r>
        <w:t xml:space="preserve">object containing the following keys:</w:t>
      </w:r>
      <w:r>
        <w:t xml:space="preserve"> </w:t>
      </w:r>
      <w:r>
        <w:t xml:space="preserve">-</w:t>
      </w:r>
      <w:r>
        <w:t xml:space="preserve"> </w:t>
      </w:r>
      <w:r>
        <w:rPr>
          <w:b/>
          <w:bCs/>
        </w:rPr>
        <w:t xml:space="preserve">Name</w:t>
      </w:r>
      <w:r>
        <w:t xml:space="preserve"> </w:t>
      </w:r>
      <w:r>
        <w:t xml:space="preserve">(String): The name of the file.</w:t>
      </w:r>
      <w:r>
        <w:t xml:space="preserve"> </w:t>
      </w:r>
      <w:r>
        <w:t xml:space="preserve">-</w:t>
      </w:r>
      <w:r>
        <w:t xml:space="preserve"> </w:t>
      </w:r>
      <w:r>
        <w:rPr>
          <w:b/>
          <w:bCs/>
        </w:rPr>
        <w:t xml:space="preserve">Size</w:t>
      </w:r>
      <w:r>
        <w:t xml:space="preserve"> </w:t>
      </w:r>
      <w:r>
        <w:t xml:space="preserve">(Integer): The uncompressed size in bytes.</w:t>
      </w:r>
      <w:r>
        <w:t xml:space="preserve"> </w:t>
      </w:r>
      <w:r>
        <w:t xml:space="preserve">-</w:t>
      </w:r>
      <w:r>
        <w:t xml:space="preserve"> </w:t>
      </w:r>
      <w:r>
        <w:rPr>
          <w:b/>
          <w:bCs/>
        </w:rPr>
        <w:t xml:space="preserve">PackedSize</w:t>
      </w:r>
      <w:r>
        <w:t xml:space="preserve"> </w:t>
      </w:r>
      <w:r>
        <w:t xml:space="preserve">(Integer): The compressed size in bytes.</w:t>
      </w:r>
      <w:r>
        <w:t xml:space="preserve"> </w:t>
      </w:r>
      <w:r>
        <w:t xml:space="preserve">-</w:t>
      </w:r>
      <w:r>
        <w:t xml:space="preserve"> </w:t>
      </w:r>
      <w:r>
        <w:rPr>
          <w:b/>
          <w:bCs/>
        </w:rPr>
        <w:t xml:space="preserve">Modified</w:t>
      </w:r>
      <w:r>
        <w:t xml:space="preserve"> </w:t>
      </w:r>
      <w:r>
        <w:t xml:space="preserve">(String): The last modification timestamp in RFC3339 format.</w:t>
      </w:r>
      <w:r>
        <w:t xml:space="preserve"> </w:t>
      </w:r>
      <w:r>
        <w:t xml:space="preserve">-</w:t>
      </w:r>
      <w:r>
        <w:t xml:space="preserve"> </w:t>
      </w:r>
      <w:r>
        <w:rPr>
          <w:b/>
          <w:bCs/>
        </w:rPr>
        <w:t xml:space="preserve">IsDir</w:t>
      </w:r>
      <w:r>
        <w:t xml:space="preserve"> </w:t>
      </w:r>
      <w:r>
        <w:t xml:space="preserve">(Boolean): Indicates if the entry is a directory.</w:t>
      </w:r>
    </w:p>
    <w:p>
      <w:pPr>
        <w:pStyle w:val="BodyText"/>
      </w:pPr>
      <w:r>
        <w:t xml:space="preserve">Returns</w:t>
      </w:r>
      <w:r>
        <w:t xml:space="preserve"> </w:t>
      </w:r>
      <w:r>
        <w:rPr>
          <w:b/>
          <w:bCs/>
        </w:rPr>
        <w:t xml:space="preserve">Empty</w:t>
      </w:r>
      <w:r>
        <w:t xml:space="preserve"> </w:t>
      </w:r>
      <w:r>
        <w:t xml:space="preserve">if the file is not found or the object is not in Read mode.</w:t>
      </w:r>
    </w:p>
    <w:bookmarkEnd w:id="3870"/>
    <w:bookmarkStart w:id="3871" w:name="remarks-388"/>
    <w:p>
      <w:pPr>
        <w:pStyle w:val="Heading2"/>
      </w:pPr>
      <w:r>
        <w:t xml:space="preserve">Remarks</w:t>
      </w:r>
    </w:p>
    <w:p>
      <w:pPr>
        <w:pStyle w:val="Compact"/>
        <w:numPr>
          <w:ilvl w:val="0"/>
          <w:numId w:val="1974"/>
        </w:numPr>
      </w:pPr>
      <w:r>
        <w:t xml:space="preserve">The object must be in</w:t>
      </w:r>
      <w:r>
        <w:t xml:space="preserve"> </w:t>
      </w:r>
      <w:r>
        <w:rPr>
          <w:b/>
          <w:bCs/>
        </w:rPr>
        <w:t xml:space="preserve">Read</w:t>
      </w:r>
      <w:r>
        <w:t xml:space="preserve"> </w:t>
      </w:r>
      <w:r>
        <w:t xml:space="preserve">mode.</w:t>
      </w:r>
    </w:p>
    <w:p>
      <w:pPr>
        <w:pStyle w:val="Compact"/>
        <w:numPr>
          <w:ilvl w:val="0"/>
          <w:numId w:val="1974"/>
        </w:numPr>
      </w:pPr>
      <w:r>
        <w:t xml:space="preserve">The</w:t>
      </w:r>
      <w:r>
        <w:t xml:space="preserve"> </w:t>
      </w:r>
      <w:r>
        <w:rPr>
          <w:rStyle w:val="VerbatimChar"/>
        </w:rPr>
        <w:t xml:space="preserve">fileName</w:t>
      </w:r>
      <w:r>
        <w:t xml:space="preserve"> </w:t>
      </w:r>
      <w:r>
        <w:t xml:space="preserve">matching is case-insensitive.</w:t>
      </w:r>
    </w:p>
    <w:bookmarkEnd w:id="3871"/>
    <w:bookmarkStart w:id="3872" w:name="code-example-20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rPr>
          <w:rStyle w:val="OtherTok"/>
        </w:rPr>
        <w:t xml:space="preserve">,</w:t>
      </w:r>
      <w:r>
        <w:rPr>
          <w:rStyle w:val="NormalTok"/>
        </w:rPr>
        <w:t xml:space="preserve"> info</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w:t>
      </w:r>
      <w:r>
        <w:rPr>
          <w:rStyle w:val="KeywordTok"/>
        </w:rPr>
        <w:t xml:space="preserve">Open</w:t>
      </w:r>
      <w:r>
        <w:rPr>
          <w:rStyle w:val="OtherTok"/>
        </w:rPr>
        <w:t xml:space="preserve">(</w:t>
      </w:r>
      <w:r>
        <w:rPr>
          <w:rStyle w:val="StringTok"/>
        </w:rPr>
        <w:t xml:space="preserve">"/temp/data.zip"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info = zip.GetInfo</w:t>
      </w:r>
      <w:r>
        <w:rPr>
          <w:rStyle w:val="OtherTok"/>
        </w:rPr>
        <w:t xml:space="preserve">(</w:t>
      </w:r>
      <w:r>
        <w:rPr>
          <w:rStyle w:val="StringTok"/>
        </w:rPr>
        <w:t xml:space="preserve">"report.csv"</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info</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w:t>
      </w:r>
      <w:r>
        <w:rPr>
          <w:rStyle w:val="NormalTok"/>
        </w:rPr>
        <w:t xml:space="preserve"> </w:t>
      </w:r>
      <w:r>
        <w:rPr>
          <w:rStyle w:val="KeywordTok"/>
        </w:rPr>
        <w:t xml:space="preserve">&amp;</w:t>
      </w:r>
      <w:r>
        <w:rPr>
          <w:rStyle w:val="NormalTok"/>
        </w:rPr>
        <w:t xml:space="preserve"> info</w:t>
      </w:r>
      <w:r>
        <w:rPr>
          <w:rStyle w:val="OtherTok"/>
        </w:rPr>
        <w:t xml:space="preserve">(</w:t>
      </w:r>
      <w:r>
        <w:rPr>
          <w:rStyle w:val="StringTok"/>
        </w:rPr>
        <w:t xml:space="preserve">"Name"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"Uncompressed Size: "</w:t>
      </w:r>
      <w:r>
        <w:rPr>
          <w:rStyle w:val="NormalTok"/>
        </w:rPr>
        <w:t xml:space="preserve"> </w:t>
      </w:r>
      <w:r>
        <w:rPr>
          <w:rStyle w:val="KeywordTok"/>
        </w:rPr>
        <w:t xml:space="preserve">&amp;</w:t>
      </w:r>
      <w:r>
        <w:rPr>
          <w:rStyle w:val="NormalTok"/>
        </w:rPr>
        <w:t xml:space="preserve"> info</w:t>
      </w:r>
      <w:r>
        <w:rPr>
          <w:rStyle w:val="OtherTok"/>
        </w:rPr>
        <w:t xml:space="preserve">(</w:t>
      </w:r>
      <w:r>
        <w:rPr>
          <w:rStyle w:val="StringTok"/>
        </w:rPr>
        <w:t xml:space="preserve">"Size"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bytes"</w:t>
      </w:r>
      <w:r>
        <w:br/>
      </w:r>
      <w:r>
        <w:rPr>
          <w:rStyle w:val="NormalTok"/>
        </w:rPr>
        <w:t xml:space="preserve">    </w:t>
      </w:r>
      <w:r>
        <w:rPr>
          <w:rStyle w:val="ControlFlowTok"/>
        </w:rPr>
        <w:t xml:space="preserve">End If</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72"/>
    <w:bookmarkEnd w:id="3873"/>
    <w:bookmarkStart w:id="3879" w:name="list-method-1"/>
    <w:p>
      <w:pPr>
        <w:pStyle w:val="Heading1"/>
      </w:pPr>
      <w:r>
        <w:t xml:space="preserve">List Method</w:t>
      </w:r>
    </w:p>
    <w:bookmarkStart w:id="3874" w:name="overview-419"/>
    <w:p>
      <w:pPr>
        <w:pStyle w:val="Heading2"/>
      </w:pPr>
      <w:r>
        <w:t xml:space="preserve">Overview</w:t>
      </w:r>
    </w:p>
    <w:p>
      <w:pPr>
        <w:pStyle w:val="FirstParagraph"/>
      </w:pPr>
      <w:r>
        <w:t xml:space="preserve">Returns a collection of all file and directory names present in the active archive in the G3Pix AxonASP G3ZIP library.</w:t>
      </w:r>
    </w:p>
    <w:bookmarkEnd w:id="3874"/>
    <w:bookmarkStart w:id="3875" w:name="syntax-410"/>
    <w:p>
      <w:pPr>
        <w:pStyle w:val="Heading2"/>
      </w:pPr>
      <w:r>
        <w:t xml:space="preserve">Syntax</w:t>
      </w:r>
    </w:p>
    <w:p>
      <w:pPr>
        <w:pStyle w:val="SourceCode"/>
      </w:pPr>
      <w:r>
        <w:rPr>
          <w:rStyle w:val="NormalTok"/>
        </w:rPr>
        <w:t xml:space="preserve">fileNamesArray = zip.List()</w:t>
      </w:r>
    </w:p>
    <w:bookmarkEnd w:id="3875"/>
    <w:bookmarkStart w:id="3876" w:name="return-values-131"/>
    <w:p>
      <w:pPr>
        <w:pStyle w:val="Heading2"/>
      </w:pPr>
      <w:r>
        <w:t xml:space="preserve">Return Values</w:t>
      </w:r>
    </w:p>
    <w:p>
      <w:pPr>
        <w:pStyle w:val="FirstParagraph"/>
      </w:pPr>
      <w:r>
        <w:t xml:space="preserve">Returns a</w:t>
      </w:r>
      <w:r>
        <w:t xml:space="preserve"> </w:t>
      </w:r>
      <w:r>
        <w:rPr>
          <w:b/>
          <w:bCs/>
        </w:rPr>
        <w:t xml:space="preserve">VBArray</w:t>
      </w:r>
      <w:r>
        <w:t xml:space="preserve"> </w:t>
      </w:r>
      <w:r>
        <w:t xml:space="preserve">(Variant) containing the names of all entries in the archive. If the archive is empty or the object is not in Read mode, it returns an empty array.</w:t>
      </w:r>
    </w:p>
    <w:bookmarkEnd w:id="3876"/>
    <w:bookmarkStart w:id="3877" w:name="remarks-389"/>
    <w:p>
      <w:pPr>
        <w:pStyle w:val="Heading2"/>
      </w:pPr>
      <w:r>
        <w:t xml:space="preserve">Remarks</w:t>
      </w:r>
    </w:p>
    <w:p>
      <w:pPr>
        <w:pStyle w:val="Compact"/>
        <w:numPr>
          <w:ilvl w:val="0"/>
          <w:numId w:val="1975"/>
        </w:numPr>
      </w:pPr>
      <w:r>
        <w:t xml:space="preserve">The object must be in</w:t>
      </w:r>
      <w:r>
        <w:t xml:space="preserve"> </w:t>
      </w:r>
      <w:r>
        <w:rPr>
          <w:b/>
          <w:bCs/>
        </w:rPr>
        <w:t xml:space="preserve">Read</w:t>
      </w:r>
      <w:r>
        <w:t xml:space="preserve"> </w:t>
      </w:r>
      <w:r>
        <w:t xml:space="preserve">mode.</w:t>
      </w:r>
    </w:p>
    <w:p>
      <w:pPr>
        <w:pStyle w:val="Compact"/>
        <w:numPr>
          <w:ilvl w:val="0"/>
          <w:numId w:val="1975"/>
        </w:numPr>
      </w:pPr>
      <w:r>
        <w:t xml:space="preserve">Directory entries are typically returned with a trailing slash (e.g.,</w:t>
      </w:r>
      <w:r>
        <w:t xml:space="preserve"> </w:t>
      </w:r>
      <w:r>
        <w:t xml:space="preserve">“images/”</w:t>
      </w:r>
      <w:r>
        <w:t xml:space="preserve">).</w:t>
      </w:r>
    </w:p>
    <w:bookmarkEnd w:id="3877"/>
    <w:bookmarkStart w:id="3878" w:name="code-example-20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rPr>
          <w:rStyle w:val="OtherTok"/>
        </w:rPr>
        <w:t xml:space="preserve">,</w:t>
      </w:r>
      <w:r>
        <w:rPr>
          <w:rStyle w:val="NormalTok"/>
        </w:rPr>
        <w:t xml:space="preserve"> files</w:t>
      </w:r>
      <w:r>
        <w:rPr>
          <w:rStyle w:val="OtherTok"/>
        </w:rPr>
        <w:t xml:space="preserve">,</w:t>
      </w:r>
      <w:r>
        <w:rPr>
          <w:rStyle w:val="NormalTok"/>
        </w:rPr>
        <w:t xml:space="preserve"> i</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w:t>
      </w:r>
      <w:r>
        <w:rPr>
          <w:rStyle w:val="KeywordTok"/>
        </w:rPr>
        <w:t xml:space="preserve">Open</w:t>
      </w:r>
      <w:r>
        <w:rPr>
          <w:rStyle w:val="OtherTok"/>
        </w:rPr>
        <w:t xml:space="preserve">(</w:t>
      </w:r>
      <w:r>
        <w:rPr>
          <w:rStyle w:val="StringTok"/>
        </w:rPr>
        <w:t xml:space="preserve">"/uploads/data.zip"</w:t>
      </w:r>
      <w:r>
        <w:rPr>
          <w:rStyle w:val="OtherTok"/>
        </w:rPr>
        <w:t xml:space="preserve">)</w:t>
      </w:r>
      <w:r>
        <w:rPr>
          <w:rStyle w:val="NormalTok"/>
        </w:rPr>
        <w:t xml:space="preserve"> </w:t>
      </w:r>
      <w:r>
        <w:rPr>
          <w:rStyle w:val="ControlFlowTok"/>
        </w:rPr>
        <w:t xml:space="preserve">Then</w:t>
      </w:r>
      <w:r>
        <w:br/>
      </w:r>
      <w:r>
        <w:rPr>
          <w:rStyle w:val="NormalTok"/>
        </w:rPr>
        <w:t xml:space="preserve">    files = zip.List</w:t>
      </w:r>
      <w:r>
        <w:rPr>
          <w:rStyle w:val="OtherTok"/>
        </w:rPr>
        <w:t xml:space="preserve">()</w:t>
      </w:r>
      <w:r>
        <w:br/>
      </w:r>
      <w:r>
        <w:rPr>
          <w:rStyle w:val="NormalTok"/>
        </w:rPr>
        <w:t xml:space="preserve">    </w:t>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files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"Entry: "</w:t>
      </w:r>
      <w:r>
        <w:rPr>
          <w:rStyle w:val="NormalTok"/>
        </w:rPr>
        <w:t xml:space="preserve"> </w:t>
      </w:r>
      <w:r>
        <w:rPr>
          <w:rStyle w:val="KeywordTok"/>
        </w:rPr>
        <w:t xml:space="preserve">&amp;</w:t>
      </w:r>
      <w:r>
        <w:rPr>
          <w:rStyle w:val="NormalTok"/>
        </w:rPr>
        <w:t xml:space="preserve"> files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ControlFlowTok"/>
        </w:rPr>
        <w:t xml:space="preserve">Next</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78"/>
    <w:bookmarkEnd w:id="3879"/>
    <w:bookmarkStart w:id="3887" w:name="open-method-1"/>
    <w:p>
      <w:pPr>
        <w:pStyle w:val="Heading1"/>
      </w:pPr>
      <w:r>
        <w:t xml:space="preserve">Open Method</w:t>
      </w:r>
    </w:p>
    <w:bookmarkStart w:id="3880" w:name="overview-420"/>
    <w:p>
      <w:pPr>
        <w:pStyle w:val="Heading2"/>
      </w:pPr>
      <w:r>
        <w:t xml:space="preserve">Overview</w:t>
      </w:r>
    </w:p>
    <w:p>
      <w:pPr>
        <w:pStyle w:val="FirstParagraph"/>
      </w:pPr>
      <w:r>
        <w:t xml:space="preserve">Opens an existing ZIP archive file for reading and inspection in the G3Pix AxonASP G3ZIP library.</w:t>
      </w:r>
    </w:p>
    <w:bookmarkEnd w:id="3880"/>
    <w:bookmarkStart w:id="3881" w:name="syntax-411"/>
    <w:p>
      <w:pPr>
        <w:pStyle w:val="Heading2"/>
      </w:pPr>
      <w:r>
        <w:t xml:space="preserve">Syntax</w:t>
      </w:r>
    </w:p>
    <w:p>
      <w:pPr>
        <w:pStyle w:val="SourceCode"/>
      </w:pPr>
      <w:r>
        <w:rPr>
          <w:rStyle w:val="NormalTok"/>
        </w:rPr>
        <w:t xml:space="preserve">success = zip.Open(archivePath)</w:t>
      </w:r>
    </w:p>
    <w:bookmarkEnd w:id="3881"/>
    <w:bookmarkStart w:id="3882" w:name="parameters-and-arguments-84"/>
    <w:p>
      <w:pPr>
        <w:pStyle w:val="Heading2"/>
      </w:pPr>
      <w:r>
        <w:t xml:space="preserve">Parameters and Arguments</w:t>
      </w:r>
    </w:p>
    <w:p>
      <w:pPr>
        <w:pStyle w:val="Compact"/>
        <w:numPr>
          <w:ilvl w:val="0"/>
          <w:numId w:val="1976"/>
        </w:numPr>
      </w:pPr>
      <w:r>
        <w:rPr>
          <w:b/>
          <w:bCs/>
        </w:rPr>
        <w:t xml:space="preserve">archivePath</w:t>
      </w:r>
      <w:r>
        <w:t xml:space="preserve"> </w:t>
      </w:r>
      <w:r>
        <w:t xml:space="preserve">(String, Required): The path to the ZIP file on the server.</w:t>
      </w:r>
    </w:p>
    <w:bookmarkEnd w:id="3882"/>
    <w:bookmarkStart w:id="3883" w:name="return-values-132"/>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whether the archive was successfully opened.</w:t>
      </w:r>
    </w:p>
    <w:bookmarkEnd w:id="3883"/>
    <w:bookmarkStart w:id="3884" w:name="remarks-390"/>
    <w:p>
      <w:pPr>
        <w:pStyle w:val="Heading2"/>
      </w:pPr>
      <w:r>
        <w:t xml:space="preserve">Remarks</w:t>
      </w:r>
    </w:p>
    <w:p>
      <w:pPr>
        <w:pStyle w:val="Compact"/>
        <w:numPr>
          <w:ilvl w:val="0"/>
          <w:numId w:val="1977"/>
        </w:numPr>
      </w:pPr>
      <w:r>
        <w:t xml:space="preserve">Calling</w:t>
      </w:r>
      <w:r>
        <w:t xml:space="preserve"> </w:t>
      </w:r>
      <w:r>
        <w:rPr>
          <w:b/>
          <w:bCs/>
        </w:rPr>
        <w:t xml:space="preserve">Open</w:t>
      </w:r>
      <w:r>
        <w:t xml:space="preserve"> </w:t>
      </w:r>
      <w:r>
        <w:t xml:space="preserve">will close any archive currently managed by the object.</w:t>
      </w:r>
    </w:p>
    <w:p>
      <w:pPr>
        <w:pStyle w:val="Compact"/>
        <w:numPr>
          <w:ilvl w:val="0"/>
          <w:numId w:val="1977"/>
        </w:numPr>
      </w:pPr>
      <w:r>
        <w:t xml:space="preserve">Once opened, the object enters</w:t>
      </w:r>
      <w:r>
        <w:t xml:space="preserve"> </w:t>
      </w:r>
      <w:r>
        <w:rPr>
          <w:b/>
          <w:bCs/>
        </w:rPr>
        <w:t xml:space="preserve">Read</w:t>
      </w:r>
      <w:r>
        <w:t xml:space="preserve"> </w:t>
      </w:r>
      <w:r>
        <w:t xml:space="preserve">mode, enabling methods like</w:t>
      </w:r>
      <w:r>
        <w:t xml:space="preserve"> </w:t>
      </w:r>
      <w:r>
        <w:rPr>
          <w:b/>
          <w:bCs/>
        </w:rPr>
        <w:t xml:space="preserve">List</w:t>
      </w:r>
      <w:r>
        <w:t xml:space="preserve">,</w:t>
      </w:r>
      <w:r>
        <w:t xml:space="preserve"> </w:t>
      </w:r>
      <w:r>
        <w:rPr>
          <w:b/>
          <w:bCs/>
        </w:rPr>
        <w:t xml:space="preserve">GetInfo</w:t>
      </w:r>
      <w:r>
        <w:t xml:space="preserve">, and</w:t>
      </w:r>
      <w:r>
        <w:t xml:space="preserve"> </w:t>
      </w:r>
      <w:r>
        <w:rPr>
          <w:b/>
          <w:bCs/>
        </w:rPr>
        <w:t xml:space="preserve">ExtractAll</w:t>
      </w:r>
      <w:r>
        <w:t xml:space="preserve">.</w:t>
      </w:r>
    </w:p>
    <w:bookmarkEnd w:id="3884"/>
    <w:bookmarkStart w:id="3886" w:name="code-example-20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w:t>
      </w:r>
      <w:r>
        <w:rPr>
          <w:rStyle w:val="KeywordTok"/>
        </w:rPr>
        <w:t xml:space="preserve">Open</w:t>
      </w:r>
      <w:r>
        <w:rPr>
          <w:rStyle w:val="OtherTok"/>
        </w:rPr>
        <w:t xml:space="preserve">(</w:t>
      </w:r>
      <w:r>
        <w:rPr>
          <w:rStyle w:val="StringTok"/>
        </w:rPr>
        <w:t xml:space="preserve">"/data/source.zip"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has "</w:t>
      </w:r>
      <w:r>
        <w:rPr>
          <w:rStyle w:val="NormalTok"/>
        </w:rPr>
        <w:t xml:space="preserve"> </w:t>
      </w:r>
      <w:r>
        <w:rPr>
          <w:rStyle w:val="KeywordTok"/>
        </w:rPr>
        <w:t xml:space="preserve">&amp;</w:t>
      </w:r>
      <w:r>
        <w:rPr>
          <w:rStyle w:val="NormalTok"/>
        </w:rPr>
        <w:t xml:space="preserve"> zip.Count </w:t>
      </w:r>
      <w:r>
        <w:rPr>
          <w:rStyle w:val="KeywordTok"/>
        </w:rPr>
        <w:t xml:space="preserve">&amp;</w:t>
      </w:r>
      <w:r>
        <w:rPr>
          <w:rStyle w:val="NormalTok"/>
        </w:rPr>
        <w:t xml:space="preserve"> </w:t>
      </w:r>
      <w:r>
        <w:rPr>
          <w:rStyle w:val="StringTok"/>
        </w:rPr>
        <w:t xml:space="preserve">" files."</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Start w:id="3885" w:name="properties-detail-5"/>
    <w:p>
      <w:pPr>
        <w:pStyle w:val="Heading3"/>
      </w:pPr>
      <w:r>
        <w:t xml:space="preserve">Properties Detail</w:t>
      </w:r>
    </w:p>
    <w:bookmarkEnd w:id="3885"/>
    <w:bookmarkEnd w:id="3886"/>
    <w:bookmarkEnd w:id="3887"/>
    <w:bookmarkStart w:id="3893" w:name="count-property"/>
    <w:p>
      <w:pPr>
        <w:pStyle w:val="Heading1"/>
      </w:pPr>
      <w:r>
        <w:t xml:space="preserve">Count Property</w:t>
      </w:r>
    </w:p>
    <w:bookmarkStart w:id="3888" w:name="overview-421"/>
    <w:p>
      <w:pPr>
        <w:pStyle w:val="Heading2"/>
      </w:pPr>
      <w:r>
        <w:t xml:space="preserve">Overview</w:t>
      </w:r>
    </w:p>
    <w:p>
      <w:pPr>
        <w:pStyle w:val="FirstParagraph"/>
      </w:pPr>
      <w:r>
        <w:t xml:space="preserve">Returns the total number of files and directories currently contained in the active ZIP archive in the G3Pix AxonASP G3ZIP library.</w:t>
      </w:r>
    </w:p>
    <w:bookmarkEnd w:id="3888"/>
    <w:bookmarkStart w:id="3889" w:name="syntax-412"/>
    <w:p>
      <w:pPr>
        <w:pStyle w:val="Heading2"/>
      </w:pPr>
      <w:r>
        <w:t xml:space="preserve">Syntax</w:t>
      </w:r>
    </w:p>
    <w:p>
      <w:pPr>
        <w:pStyle w:val="SourceCode"/>
      </w:pPr>
      <w:r>
        <w:rPr>
          <w:rStyle w:val="NormalTok"/>
        </w:rPr>
        <w:t xml:space="preserve">itemCount = zip.Count</w:t>
      </w:r>
    </w:p>
    <w:bookmarkEnd w:id="3889"/>
    <w:bookmarkStart w:id="3890" w:name="return-values-133"/>
    <w:p>
      <w:pPr>
        <w:pStyle w:val="Heading2"/>
      </w:pPr>
      <w:r>
        <w:t xml:space="preserve">Return Values</w:t>
      </w:r>
    </w:p>
    <w:p>
      <w:pPr>
        <w:pStyle w:val="FirstParagraph"/>
      </w:pPr>
      <w:r>
        <w:t xml:space="preserve">Returns an</w:t>
      </w:r>
      <w:r>
        <w:t xml:space="preserve"> </w:t>
      </w:r>
      <w:r>
        <w:rPr>
          <w:b/>
          <w:bCs/>
        </w:rPr>
        <w:t xml:space="preserve">Integer</w:t>
      </w:r>
      <w:r>
        <w:t xml:space="preserve"> </w:t>
      </w:r>
      <w:r>
        <w:t xml:space="preserve">representing the entry count. If no archive is opened in Read mode, it returns 0.</w:t>
      </w:r>
    </w:p>
    <w:bookmarkEnd w:id="3890"/>
    <w:bookmarkStart w:id="3891" w:name="remarks-391"/>
    <w:p>
      <w:pPr>
        <w:pStyle w:val="Heading2"/>
      </w:pPr>
      <w:r>
        <w:t xml:space="preserve">Remarks</w:t>
      </w:r>
    </w:p>
    <w:p>
      <w:pPr>
        <w:pStyle w:val="Compact"/>
        <w:numPr>
          <w:ilvl w:val="0"/>
          <w:numId w:val="1978"/>
        </w:numPr>
      </w:pPr>
      <w:r>
        <w:t xml:space="preserve">This property is only populated when the object is in</w:t>
      </w:r>
      <w:r>
        <w:t xml:space="preserve"> </w:t>
      </w:r>
      <w:r>
        <w:rPr>
          <w:b/>
          <w:bCs/>
        </w:rPr>
        <w:t xml:space="preserve">Read</w:t>
      </w:r>
      <w:r>
        <w:t xml:space="preserve"> </w:t>
      </w:r>
      <w:r>
        <w:t xml:space="preserve">mode (initialized via the</w:t>
      </w:r>
      <w:r>
        <w:t xml:space="preserve"> </w:t>
      </w:r>
      <w:r>
        <w:rPr>
          <w:b/>
          <w:bCs/>
        </w:rPr>
        <w:t xml:space="preserve">Open</w:t>
      </w:r>
      <w:r>
        <w:t xml:space="preserve"> </w:t>
      </w:r>
      <w:r>
        <w:t xml:space="preserve">method).</w:t>
      </w:r>
    </w:p>
    <w:p>
      <w:pPr>
        <w:pStyle w:val="Compact"/>
        <w:numPr>
          <w:ilvl w:val="0"/>
          <w:numId w:val="1978"/>
        </w:numPr>
      </w:pPr>
      <w:r>
        <w:t xml:space="preserve">It is read-only.</w:t>
      </w:r>
    </w:p>
    <w:bookmarkEnd w:id="3891"/>
    <w:bookmarkStart w:id="3892" w:name="code-example-20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ControlFlowTok"/>
        </w:rPr>
        <w:t xml:space="preserve">If</w:t>
      </w:r>
      <w:r>
        <w:rPr>
          <w:rStyle w:val="NormalTok"/>
        </w:rPr>
        <w:t xml:space="preserve"> zip.</w:t>
      </w:r>
      <w:r>
        <w:rPr>
          <w:rStyle w:val="KeywordTok"/>
        </w:rPr>
        <w:t xml:space="preserve">Open</w:t>
      </w:r>
      <w:r>
        <w:rPr>
          <w:rStyle w:val="OtherTok"/>
        </w:rPr>
        <w:t xml:space="preserve">(</w:t>
      </w:r>
      <w:r>
        <w:rPr>
          <w:rStyle w:val="StringTok"/>
        </w:rPr>
        <w:t xml:space="preserve">"/assets/data.zip"</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entries: "</w:t>
      </w:r>
      <w:r>
        <w:rPr>
          <w:rStyle w:val="NormalTok"/>
        </w:rPr>
        <w:t xml:space="preserve"> </w:t>
      </w:r>
      <w:r>
        <w:rPr>
          <w:rStyle w:val="KeywordTok"/>
        </w:rPr>
        <w:t xml:space="preserve">&amp;</w:t>
      </w:r>
      <w:r>
        <w:rPr>
          <w:rStyle w:val="NormalTok"/>
        </w:rPr>
        <w:t xml:space="preserve"> zip.Count</w:t>
      </w:r>
      <w:r>
        <w:br/>
      </w:r>
      <w:r>
        <w:rPr>
          <w:rStyle w:val="NormalTok"/>
        </w:rPr>
        <w:t xml:space="preserve">    zip.</w:t>
      </w:r>
      <w:r>
        <w:rPr>
          <w:rStyle w:val="KeywordTok"/>
        </w:rPr>
        <w:t xml:space="preserve">Close</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92"/>
    <w:bookmarkEnd w:id="3893"/>
    <w:bookmarkStart w:id="3899" w:name="mode-property"/>
    <w:p>
      <w:pPr>
        <w:pStyle w:val="Heading1"/>
      </w:pPr>
      <w:r>
        <w:t xml:space="preserve">Mode Property</w:t>
      </w:r>
    </w:p>
    <w:bookmarkStart w:id="3894" w:name="overview-422"/>
    <w:p>
      <w:pPr>
        <w:pStyle w:val="Heading2"/>
      </w:pPr>
      <w:r>
        <w:t xml:space="preserve">Overview</w:t>
      </w:r>
    </w:p>
    <w:p>
      <w:pPr>
        <w:pStyle w:val="FirstParagraph"/>
      </w:pPr>
      <w:r>
        <w:t xml:space="preserve">Indicates the current operating mode of the G3Pix AxonASP G3ZIP library instance.</w:t>
      </w:r>
    </w:p>
    <w:bookmarkEnd w:id="3894"/>
    <w:bookmarkStart w:id="3895" w:name="syntax-413"/>
    <w:p>
      <w:pPr>
        <w:pStyle w:val="Heading2"/>
      </w:pPr>
      <w:r>
        <w:t xml:space="preserve">Syntax</w:t>
      </w:r>
    </w:p>
    <w:p>
      <w:pPr>
        <w:pStyle w:val="SourceCode"/>
      </w:pPr>
      <w:r>
        <w:rPr>
          <w:rStyle w:val="NormalTok"/>
        </w:rPr>
        <w:t xml:space="preserve">currentMode = zip.Mode</w:t>
      </w:r>
    </w:p>
    <w:bookmarkEnd w:id="3895"/>
    <w:bookmarkStart w:id="3896" w:name="return-values-134"/>
    <w:p>
      <w:pPr>
        <w:pStyle w:val="Heading2"/>
      </w:pPr>
      <w:r>
        <w:t xml:space="preserve">Return Values</w:t>
      </w:r>
    </w:p>
    <w:p>
      <w:pPr>
        <w:pStyle w:val="FirstParagraph"/>
      </w:pPr>
      <w:r>
        <w:t xml:space="preserve">Returns a</w:t>
      </w:r>
      <w:r>
        <w:t xml:space="preserve"> </w:t>
      </w:r>
      <w:r>
        <w:rPr>
          <w:b/>
          <w:bCs/>
        </w:rPr>
        <w:t xml:space="preserve">String</w:t>
      </w:r>
      <w:r>
        <w:t xml:space="preserve">:</w:t>
      </w:r>
      <w:r>
        <w:t xml:space="preserve"> </w:t>
      </w:r>
      <w:r>
        <w:t xml:space="preserve">-</w:t>
      </w:r>
      <w:r>
        <w:t xml:space="preserve"> </w:t>
      </w:r>
      <w:r>
        <w:rPr>
          <w:b/>
          <w:bCs/>
        </w:rPr>
        <w:t xml:space="preserve">“r”</w:t>
      </w:r>
      <w:r>
        <w:t xml:space="preserve">: The object is in</w:t>
      </w:r>
      <w:r>
        <w:t xml:space="preserve"> </w:t>
      </w:r>
      <w:r>
        <w:rPr>
          <w:b/>
          <w:bCs/>
        </w:rPr>
        <w:t xml:space="preserve">Read</w:t>
      </w:r>
      <w:r>
        <w:t xml:space="preserve"> </w:t>
      </w:r>
      <w:r>
        <w:t xml:space="preserve">mode (opened an existing archive).</w:t>
      </w:r>
      <w:r>
        <w:t xml:space="preserve"> </w:t>
      </w:r>
      <w:r>
        <w:t xml:space="preserve">-</w:t>
      </w:r>
      <w:r>
        <w:t xml:space="preserve"> </w:t>
      </w:r>
      <w:r>
        <w:rPr>
          <w:b/>
          <w:bCs/>
        </w:rPr>
        <w:t xml:space="preserve">“w”</w:t>
      </w:r>
      <w:r>
        <w:t xml:space="preserve">: The object is in</w:t>
      </w:r>
      <w:r>
        <w:t xml:space="preserve"> </w:t>
      </w:r>
      <w:r>
        <w:rPr>
          <w:b/>
          <w:bCs/>
        </w:rPr>
        <w:t xml:space="preserve">Write</w:t>
      </w:r>
      <w:r>
        <w:t xml:space="preserve"> </w:t>
      </w:r>
      <w:r>
        <w:t xml:space="preserve">mode (created a new archive).</w:t>
      </w:r>
      <w:r>
        <w:t xml:space="preserve"> </w:t>
      </w:r>
      <w:r>
        <w:t xml:space="preserve">-</w:t>
      </w:r>
      <w:r>
        <w:t xml:space="preserve"> </w:t>
      </w:r>
      <w:r>
        <w:rPr>
          <w:b/>
          <w:bCs/>
        </w:rPr>
        <w:t xml:space="preserve">““</w:t>
      </w:r>
      <w:r>
        <w:t xml:space="preserve"> </w:t>
      </w:r>
      <w:r>
        <w:t xml:space="preserve">(Empty String): The object is currently closed.</w:t>
      </w:r>
    </w:p>
    <w:bookmarkEnd w:id="3896"/>
    <w:bookmarkStart w:id="3897" w:name="remarks-392"/>
    <w:p>
      <w:pPr>
        <w:pStyle w:val="Heading2"/>
      </w:pPr>
      <w:r>
        <w:t xml:space="preserve">Remarks</w:t>
      </w:r>
    </w:p>
    <w:p>
      <w:pPr>
        <w:pStyle w:val="Compact"/>
        <w:numPr>
          <w:ilvl w:val="0"/>
          <w:numId w:val="1979"/>
        </w:numPr>
      </w:pPr>
      <w:r>
        <w:t xml:space="preserve">This property is read-only.</w:t>
      </w:r>
    </w:p>
    <w:p>
      <w:pPr>
        <w:pStyle w:val="Compact"/>
        <w:numPr>
          <w:ilvl w:val="0"/>
          <w:numId w:val="1979"/>
        </w:numPr>
      </w:pPr>
      <w:r>
        <w:t xml:space="preserve">The mode is automatically set by the</w:t>
      </w:r>
      <w:r>
        <w:t xml:space="preserve"> </w:t>
      </w:r>
      <w:r>
        <w:rPr>
          <w:b/>
          <w:bCs/>
        </w:rPr>
        <w:t xml:space="preserve">Open</w:t>
      </w:r>
      <w:r>
        <w:t xml:space="preserve"> </w:t>
      </w:r>
      <w:r>
        <w:t xml:space="preserve">and</w:t>
      </w:r>
      <w:r>
        <w:t xml:space="preserve"> </w:t>
      </w:r>
      <w:r>
        <w:rPr>
          <w:b/>
          <w:bCs/>
        </w:rPr>
        <w:t xml:space="preserve">Create</w:t>
      </w:r>
      <w:r>
        <w:t xml:space="preserve"> </w:t>
      </w:r>
      <w:r>
        <w:t xml:space="preserve">methods.</w:t>
      </w:r>
    </w:p>
    <w:bookmarkEnd w:id="3897"/>
    <w:bookmarkStart w:id="3898" w:name="code-example-21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NormalTok"/>
        </w:rPr>
        <w:t xml:space="preserve">zip.Create </w:t>
      </w:r>
      <w:r>
        <w:rPr>
          <w:rStyle w:val="StringTok"/>
        </w:rPr>
        <w:t xml:space="preserve">"/temp/test.zip"</w:t>
      </w:r>
      <w:r>
        <w:br/>
      </w:r>
      <w:r>
        <w:rPr>
          <w:rStyle w:val="ControlFlowTok"/>
        </w:rPr>
        <w:t xml:space="preserve">If</w:t>
      </w:r>
      <w:r>
        <w:rPr>
          <w:rStyle w:val="NormalTok"/>
        </w:rPr>
        <w:t xml:space="preserve"> zip.Mode = </w:t>
      </w:r>
      <w:r>
        <w:rPr>
          <w:rStyle w:val="StringTok"/>
        </w:rPr>
        <w:t xml:space="preserve">"w"</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"Ready to add files."</w:t>
      </w:r>
      <w:r>
        <w:br/>
      </w:r>
      <w:r>
        <w:rPr>
          <w:rStyle w:val="ControlFlowTok"/>
        </w:rPr>
        <w:t xml:space="preserve">End If</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898"/>
    <w:bookmarkEnd w:id="3899"/>
    <w:bookmarkStart w:id="3906" w:name="path-property"/>
    <w:p>
      <w:pPr>
        <w:pStyle w:val="Heading1"/>
      </w:pPr>
      <w:r>
        <w:t xml:space="preserve">Path Property</w:t>
      </w:r>
    </w:p>
    <w:bookmarkStart w:id="3900" w:name="overview-423"/>
    <w:p>
      <w:pPr>
        <w:pStyle w:val="Heading2"/>
      </w:pPr>
      <w:r>
        <w:t xml:space="preserve">Overview</w:t>
      </w:r>
    </w:p>
    <w:p>
      <w:pPr>
        <w:pStyle w:val="FirstParagraph"/>
      </w:pPr>
      <w:r>
        <w:t xml:space="preserve">Returns the absolute physical path of the archive file currently managed by the G3Pix AxonASP G3ZIP library.</w:t>
      </w:r>
    </w:p>
    <w:bookmarkEnd w:id="3900"/>
    <w:bookmarkStart w:id="3901" w:name="syntax-414"/>
    <w:p>
      <w:pPr>
        <w:pStyle w:val="Heading2"/>
      </w:pPr>
      <w:r>
        <w:t xml:space="preserve">Syntax</w:t>
      </w:r>
    </w:p>
    <w:p>
      <w:pPr>
        <w:pStyle w:val="SourceCode"/>
      </w:pPr>
      <w:r>
        <w:rPr>
          <w:rStyle w:val="NormalTok"/>
        </w:rPr>
        <w:t xml:space="preserve">fullPath = zip.Path</w:t>
      </w:r>
    </w:p>
    <w:bookmarkEnd w:id="3901"/>
    <w:bookmarkStart w:id="3902" w:name="return-values-135"/>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full path to the ZIP file. Returns an empty string if no archive is active.</w:t>
      </w:r>
    </w:p>
    <w:bookmarkEnd w:id="3902"/>
    <w:bookmarkStart w:id="3903" w:name="remarks-393"/>
    <w:p>
      <w:pPr>
        <w:pStyle w:val="Heading2"/>
      </w:pPr>
      <w:r>
        <w:t xml:space="preserve">Remarks</w:t>
      </w:r>
    </w:p>
    <w:p>
      <w:pPr>
        <w:pStyle w:val="Compact"/>
        <w:numPr>
          <w:ilvl w:val="0"/>
          <w:numId w:val="1980"/>
        </w:numPr>
      </w:pPr>
      <w:r>
        <w:t xml:space="preserve">This property is read-only.</w:t>
      </w:r>
    </w:p>
    <w:p>
      <w:pPr>
        <w:pStyle w:val="Compact"/>
        <w:numPr>
          <w:ilvl w:val="0"/>
          <w:numId w:val="1980"/>
        </w:numPr>
      </w:pPr>
      <w:r>
        <w:t xml:space="preserve">It reflects the resolved path after</w:t>
      </w:r>
      <w:r>
        <w:t xml:space="preserve"> </w:t>
      </w:r>
      <w:r>
        <w:rPr>
          <w:rStyle w:val="VerbatimChar"/>
        </w:rPr>
        <w:t xml:space="preserve">Server.MapPath</w:t>
      </w:r>
      <w:r>
        <w:t xml:space="preserve"> </w:t>
      </w:r>
      <w:r>
        <w:t xml:space="preserve">or relative resolution has been applied by the engine.</w:t>
      </w:r>
    </w:p>
    <w:bookmarkEnd w:id="3903"/>
    <w:bookmarkStart w:id="3904" w:name="code-example-21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zip</w:t>
      </w:r>
      <w:r>
        <w:br/>
      </w:r>
      <w:r>
        <w:rPr>
          <w:rStyle w:val="KeywordTok"/>
        </w:rPr>
        <w:t xml:space="preserve">Set</w:t>
      </w:r>
      <w:r>
        <w:rPr>
          <w:rStyle w:val="NormalTok"/>
        </w:rPr>
        <w:t xml:space="preserve"> zip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"G3ZIP"</w:t>
      </w:r>
      <w:r>
        <w:rPr>
          <w:rStyle w:val="OtherTok"/>
        </w:rPr>
        <w:t xml:space="preserve">)</w:t>
      </w:r>
      <w:r>
        <w:br/>
      </w:r>
      <w:r>
        <w:rPr>
          <w:rStyle w:val="NormalTok"/>
        </w:rPr>
        <w:t xml:space="preserve">zip.</w:t>
      </w:r>
      <w:r>
        <w:rPr>
          <w:rStyle w:val="KeywordTok"/>
        </w:rPr>
        <w:t xml:space="preserve">Open</w:t>
      </w:r>
      <w:r>
        <w:rPr>
          <w:rStyle w:val="NormalTok"/>
        </w:rPr>
        <w:t xml:space="preserve"> </w:t>
      </w:r>
      <w:r>
        <w:rPr>
          <w:rStyle w:val="StringTok"/>
        </w:rPr>
        <w:t xml:space="preserve">"data.zip"</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"Resolved path: "</w:t>
      </w:r>
      <w:r>
        <w:rPr>
          <w:rStyle w:val="NormalTok"/>
        </w:rPr>
        <w:t xml:space="preserve"> </w:t>
      </w:r>
      <w:r>
        <w:rPr>
          <w:rStyle w:val="KeywordTok"/>
        </w:rPr>
        <w:t xml:space="preserve">&amp;</w:t>
      </w:r>
      <w:r>
        <w:rPr>
          <w:rStyle w:val="NormalTok"/>
        </w:rPr>
        <w:t xml:space="preserve"> zip.Path</w:t>
      </w:r>
      <w:r>
        <w:br/>
      </w:r>
      <w:r>
        <w:rPr>
          <w:rStyle w:val="NormalTok"/>
        </w:rPr>
        <w:t xml:space="preserve">zip.</w:t>
      </w:r>
      <w:r>
        <w:rPr>
          <w:rStyle w:val="KeywordTok"/>
        </w:rPr>
        <w:t xml:space="preserve">Close</w:t>
      </w:r>
      <w:r>
        <w:br/>
      </w:r>
      <w:r>
        <w:rPr>
          <w:rStyle w:val="KeywordTok"/>
        </w:rPr>
        <w:t xml:space="preserve">Set</w:t>
      </w:r>
      <w:r>
        <w:rPr>
          <w:rStyle w:val="NormalTok"/>
        </w:rPr>
        <w:t xml:space="preserve"> zip = </w:t>
      </w:r>
      <w:r>
        <w:rPr>
          <w:rStyle w:val="KeywordTok"/>
        </w:rPr>
        <w:t xml:space="preserve">Nothing</w:t>
      </w:r>
      <w:r>
        <w:br/>
      </w:r>
      <w:r>
        <w:rPr>
          <w:rStyle w:val="DataTypeTok"/>
        </w:rPr>
        <w:t xml:space="preserve">%&gt;</w:t>
      </w:r>
    </w:p>
    <w:bookmarkEnd w:id="3904"/>
    <w:bookmarkStart w:id="3905" w:name="g3zlib"/>
    <w:p>
      <w:pPr>
        <w:pStyle w:val="Heading2"/>
      </w:pPr>
      <w:r>
        <w:t xml:space="preserve">G3ZLIB</w:t>
      </w:r>
    </w:p>
    <w:bookmarkEnd w:id="3905"/>
    <w:bookmarkEnd w:id="3906"/>
    <w:bookmarkStart w:id="3913" w:name="use-g3zlib-in-g3pix-axonasp"/>
    <w:p>
      <w:pPr>
        <w:pStyle w:val="Heading1"/>
      </w:pPr>
      <w:r>
        <w:t xml:space="preserve">Use G3ZLIB in G3Pix AxonASP</w:t>
      </w:r>
    </w:p>
    <w:bookmarkStart w:id="3907" w:name="overview-424"/>
    <w:p>
      <w:pPr>
        <w:pStyle w:val="Heading2"/>
      </w:pPr>
      <w:r>
        <w:t xml:space="preserve">Overview</w:t>
      </w:r>
    </w:p>
    <w:p>
      <w:pPr>
        <w:pStyle w:val="FirstParagraph"/>
      </w:pPr>
      <w:r>
        <w:t xml:space="preserve">G3ZLIB is a compression library that allows you to compress and decompress data using the ZLIB format.</w:t>
      </w:r>
    </w:p>
    <w:bookmarkEnd w:id="3907"/>
    <w:bookmarkStart w:id="3908" w:name="syntax-415"/>
    <w:p>
      <w:pPr>
        <w:pStyle w:val="Heading2"/>
      </w:pPr>
      <w:r>
        <w:t xml:space="preserve">Syntax</w:t>
      </w:r>
    </w:p>
    <w:p>
      <w:pPr>
        <w:pStyle w:val="SourceCode"/>
      </w:pPr>
      <w:r>
        <w:rPr>
          <w:rStyle w:val="NormalTok"/>
        </w:rPr>
        <w:t xml:space="preserve">Dim obj</w:t>
      </w:r>
      <w:r>
        <w:br/>
      </w:r>
      <w:r>
        <w:rPr>
          <w:rStyle w:val="NormalTok"/>
        </w:rPr>
        <w:t xml:space="preserve">Set obj = Server.CreateObject("G3ZLIB")</w:t>
      </w:r>
    </w:p>
    <w:p>
      <w:pPr>
        <w:pStyle w:val="SourceCode"/>
      </w:pPr>
      <w:r>
        <w:rPr>
          <w:rStyle w:val="KeywordTok"/>
        </w:rPr>
        <w:t xml:space="preserve">var</w:t>
      </w:r>
      <w:r>
        <w:rPr>
          <w:rStyle w:val="NormalTok"/>
        </w:rPr>
        <w:t xml:space="preserve"> obj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"G3ZLIB"</w:t>
      </w:r>
      <w:r>
        <w:rPr>
          <w:rStyle w:val="NormalTok"/>
        </w:rPr>
        <w:t xml:space="preserve">)</w:t>
      </w:r>
      <w:r>
        <w:rPr>
          <w:rStyle w:val="OperatorTok"/>
        </w:rPr>
        <w:t xml:space="preserve">;</w:t>
      </w:r>
    </w:p>
    <w:bookmarkEnd w:id="3908"/>
    <w:bookmarkStart w:id="3909" w:name="parameters-and-arguments-85"/>
    <w:p>
      <w:pPr>
        <w:pStyle w:val="Heading2"/>
      </w:pPr>
      <w:r>
        <w:t xml:space="preserve">Parameters and Arguments</w:t>
      </w:r>
    </w:p>
    <w:p>
      <w:pPr>
        <w:pStyle w:val="Compact"/>
        <w:numPr>
          <w:ilvl w:val="0"/>
          <w:numId w:val="1981"/>
        </w:numPr>
      </w:pPr>
      <w:r>
        <w:t xml:space="preserve">ProgID (String, Required): Use</w:t>
      </w:r>
      <w:r>
        <w:t xml:space="preserve"> </w:t>
      </w:r>
      <w:r>
        <w:rPr>
          <w:rStyle w:val="VerbatimChar"/>
        </w:rPr>
        <w:t xml:space="preserve">G3ZLIB</w:t>
      </w:r>
      <w:r>
        <w:t xml:space="preserve"> </w:t>
      </w:r>
      <w:r>
        <w:t xml:space="preserve">to instantiate this object.</w:t>
      </w:r>
    </w:p>
    <w:p>
      <w:pPr>
        <w:pStyle w:val="Compact"/>
        <w:numPr>
          <w:ilvl w:val="0"/>
          <w:numId w:val="1981"/>
        </w:numPr>
      </w:pPr>
      <w:r>
        <w:t xml:space="preserve">Member access (Optional): Use the methods and properties provided by the library.</w:t>
      </w:r>
    </w:p>
    <w:bookmarkEnd w:id="3909"/>
    <w:bookmarkStart w:id="3910" w:name="return-values-136"/>
    <w:p>
      <w:pPr>
        <w:pStyle w:val="Heading2"/>
      </w:pPr>
      <w:r>
        <w:t xml:space="preserve">Return Values</w:t>
      </w:r>
    </w:p>
    <w:p>
      <w:pPr>
        <w:pStyle w:val="FirstParagraph"/>
      </w:pPr>
      <w:r>
        <w:t xml:space="preserve">Returns a native object handle for the G3ZLIB library.</w:t>
      </w:r>
    </w:p>
    <w:bookmarkEnd w:id="3910"/>
    <w:bookmarkStart w:id="3911" w:name="remarks-394"/>
    <w:p>
      <w:pPr>
        <w:pStyle w:val="Heading2"/>
      </w:pPr>
      <w:r>
        <w:t xml:space="preserve">Remarks</w:t>
      </w:r>
    </w:p>
    <w:p>
      <w:pPr>
        <w:pStyle w:val="Compact"/>
        <w:numPr>
          <w:ilvl w:val="0"/>
          <w:numId w:val="1982"/>
        </w:numPr>
      </w:pPr>
      <w:r>
        <w:t xml:space="preserve">Member names are case-insensitive.</w:t>
      </w:r>
    </w:p>
    <w:p>
      <w:pPr>
        <w:pStyle w:val="Compact"/>
        <w:numPr>
          <w:ilvl w:val="0"/>
          <w:numId w:val="1982"/>
        </w:numPr>
      </w:pPr>
      <w:r>
        <w:t xml:space="preserve">Runtime validation is enforced by object dispatch logic.</w:t>
      </w:r>
    </w:p>
    <w:p>
      <w:pPr>
        <w:pStyle w:val="Compact"/>
        <w:numPr>
          <w:ilvl w:val="0"/>
          <w:numId w:val="1982"/>
        </w:numPr>
      </w:pPr>
      <w:r>
        <w:t xml:space="preserve">See the methods and properties pages for member-level coverage.</w:t>
      </w:r>
    </w:p>
    <w:bookmarkEnd w:id="3911"/>
    <w:bookmarkStart w:id="3912" w:name="code-example-21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TypeName</w:t>
      </w:r>
      <w:r>
        <w:rPr>
          <w:rStyle w:val="OtherTok"/>
        </w:rPr>
        <w:t xml:space="preserve">(</w:t>
      </w:r>
      <w:r>
        <w:rPr>
          <w:rStyle w:val="NormalTok"/>
        </w:rPr>
        <w:t xml:space="preserve">obj</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12"/>
    <w:bookmarkEnd w:id="3913"/>
    <w:bookmarkStart w:id="3917" w:name="g3zlib-methods"/>
    <w:p>
      <w:pPr>
        <w:pStyle w:val="Heading1"/>
      </w:pPr>
      <w:r>
        <w:t xml:space="preserve">G3ZLIB Methods</w:t>
      </w:r>
    </w:p>
    <w:bookmarkStart w:id="3914" w:name="overview-425"/>
    <w:p>
      <w:pPr>
        <w:pStyle w:val="Heading2"/>
      </w:pPr>
      <w:r>
        <w:t xml:space="preserve">Overview</w:t>
      </w:r>
    </w:p>
    <w:p>
      <w:pPr>
        <w:pStyle w:val="FirstParagraph"/>
      </w:pPr>
      <w:r>
        <w:t xml:space="preserve">This page summarizes every method exposed by</w:t>
      </w:r>
      <w:r>
        <w:t xml:space="preserve"> </w:t>
      </w:r>
      <w:r>
        <w:rPr>
          <w:rStyle w:val="VerbatimChar"/>
        </w:rPr>
        <w:t xml:space="preserve">G3ZLIB</w:t>
      </w:r>
      <w:r>
        <w:t xml:space="preserve"> </w:t>
      </w:r>
      <w:r>
        <w:t xml:space="preserve">in G3Pix AxonASP.</w:t>
      </w:r>
    </w:p>
    <w:bookmarkEnd w:id="3914"/>
    <w:bookmarkStart w:id="3915" w:name="methods-27"/>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Compress(input [, level])</w:t>
            </w:r>
          </w:p>
        </w:tc>
        <w:tc>
          <w:tcPr/>
          <w:p>
            <w:pPr>
              <w:pStyle w:val="Compact"/>
            </w:pPr>
            <w:r>
              <w:t xml:space="preserve">Array or Empty</w:t>
            </w:r>
          </w:p>
        </w:tc>
        <w:tc>
          <w:tcPr/>
          <w:p>
            <w:pPr>
              <w:pStyle w:val="Compact"/>
            </w:pPr>
            <w:r>
              <w:t xml:space="preserve">Compresses text or byte-array input and returns compressed bytes as an array; returns Empty when input is missing or compression fails.</w:t>
            </w:r>
          </w:p>
        </w:tc>
      </w:tr>
      <w:tr>
        <w:tc>
          <w:tcPr/>
          <w:p>
            <w:pPr>
              <w:pStyle w:val="Compact"/>
            </w:pPr>
            <w:r>
              <w:rPr>
                <w:rStyle w:val="VerbatimChar"/>
              </w:rPr>
              <w:t xml:space="preserve">Decompress(input)</w:t>
            </w:r>
          </w:p>
        </w:tc>
        <w:tc>
          <w:tcPr/>
          <w:p>
            <w:pPr>
              <w:pStyle w:val="Compact"/>
            </w:pPr>
            <w:r>
              <w:t xml:space="preserve">Array or Empty</w:t>
            </w:r>
          </w:p>
        </w:tc>
        <w:tc>
          <w:tcPr/>
          <w:p>
            <w:pPr>
              <w:pStyle w:val="Compact"/>
            </w:pPr>
            <w:r>
              <w:t xml:space="preserve">Decompresses byte-array input and returns decompressed bytes as an array; returns Empty on missing input or decompression failure.</w:t>
            </w:r>
          </w:p>
        </w:tc>
      </w:tr>
      <w:tr>
        <w:tc>
          <w:tcPr/>
          <w:p>
            <w:pPr>
              <w:pStyle w:val="Compact"/>
            </w:pPr>
            <w:r>
              <w:rPr>
                <w:rStyle w:val="VerbatimChar"/>
              </w:rPr>
              <w:t xml:space="preserve">DecompressText(input)</w:t>
            </w:r>
          </w:p>
        </w:tc>
        <w:tc>
          <w:tcPr/>
          <w:p>
            <w:pPr>
              <w:pStyle w:val="Compact"/>
            </w:pPr>
            <w:r>
              <w:t xml:space="preserve">String</w:t>
            </w:r>
          </w:p>
        </w:tc>
        <w:tc>
          <w:tcPr/>
          <w:p>
            <w:pPr>
              <w:pStyle w:val="Compact"/>
            </w:pPr>
            <w:r>
              <w:t xml:space="preserve">Decompresses input and returns UTF-8 text; returns empty string when input is missing or conversion fails.</w:t>
            </w:r>
          </w:p>
        </w:tc>
      </w:tr>
      <w:tr>
        <w:tc>
          <w:tcPr/>
          <w:p>
            <w:pPr>
              <w:pStyle w:val="Compact"/>
            </w:pPr>
            <w:r>
              <w:rPr>
                <w:rStyle w:val="VerbatimChar"/>
              </w:rPr>
              <w:t xml:space="preserve">CompressMany(items [, level])</w:t>
            </w:r>
          </w:p>
        </w:tc>
        <w:tc>
          <w:tcPr/>
          <w:p>
            <w:pPr>
              <w:pStyle w:val="Compact"/>
            </w:pPr>
            <w:r>
              <w:t xml:space="preserve">Array</w:t>
            </w:r>
          </w:p>
        </w:tc>
        <w:tc>
          <w:tcPr/>
          <w:p>
            <w:pPr>
              <w:pStyle w:val="Compact"/>
            </w:pPr>
            <w:r>
              <w:t xml:space="preserve">Compresses each item from input array and returns an array of compressed byte arrays; returns empty array when input is missing or any item compression fails.</w:t>
            </w:r>
          </w:p>
        </w:tc>
      </w:tr>
      <w:tr>
        <w:tc>
          <w:tcPr/>
          <w:p>
            <w:pPr>
              <w:pStyle w:val="Compact"/>
            </w:pPr>
            <w:r>
              <w:rPr>
                <w:rStyle w:val="VerbatimChar"/>
              </w:rPr>
              <w:t xml:space="preserve">DecompressMany(items)</w:t>
            </w:r>
          </w:p>
        </w:tc>
        <w:tc>
          <w:tcPr/>
          <w:p>
            <w:pPr>
              <w:pStyle w:val="Compact"/>
            </w:pPr>
            <w:r>
              <w:t xml:space="preserve">Array</w:t>
            </w:r>
          </w:p>
        </w:tc>
        <w:tc>
          <w:tcPr/>
          <w:p>
            <w:pPr>
              <w:pStyle w:val="Compact"/>
            </w:pPr>
            <w:r>
              <w:t xml:space="preserve">Decompresses each item from input array and returns an array of decompressed byte arrays.</w:t>
            </w:r>
          </w:p>
        </w:tc>
      </w:tr>
      <w:tr>
        <w:tc>
          <w:tcPr/>
          <w:p>
            <w:pPr>
              <w:pStyle w:val="Compact"/>
            </w:pPr>
            <w:r>
              <w:rPr>
                <w:rStyle w:val="VerbatimChar"/>
              </w:rPr>
              <w:t xml:space="preserve">CompressFile(sourcePath, destPath [, level])</w:t>
            </w:r>
          </w:p>
        </w:tc>
        <w:tc>
          <w:tcPr/>
          <w:p>
            <w:pPr>
              <w:pStyle w:val="Compact"/>
            </w:pPr>
            <w:r>
              <w:t xml:space="preserve">Boolean</w:t>
            </w:r>
          </w:p>
        </w:tc>
        <w:tc>
          <w:tcPr/>
          <w:p>
            <w:pPr>
              <w:pStyle w:val="Compact"/>
            </w:pPr>
            <w:r>
              <w:t xml:space="preserve">Compresses one file to destination path.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DecompressFile(sourcePath, destPath)</w:t>
            </w:r>
          </w:p>
        </w:tc>
        <w:tc>
          <w:tcPr/>
          <w:p>
            <w:pPr>
              <w:pStyle w:val="Compact"/>
            </w:pPr>
            <w:r>
              <w:t xml:space="preserve">Boolean</w:t>
            </w:r>
          </w:p>
        </w:tc>
        <w:tc>
          <w:tcPr/>
          <w:p>
            <w:pPr>
              <w:pStyle w:val="Compact"/>
            </w:pPr>
            <w:r>
              <w:t xml:space="preserve">Decompresses one file to destination path.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Clear()</w:t>
            </w:r>
          </w:p>
        </w:tc>
        <w:tc>
          <w:tcPr/>
          <w:p>
            <w:pPr>
              <w:pStyle w:val="Compact"/>
            </w:pPr>
            <w:r>
              <w:t xml:space="preserve">Boolean</w:t>
            </w:r>
          </w:p>
        </w:tc>
        <w:tc>
          <w:tcPr/>
          <w:p>
            <w:pPr>
              <w:pStyle w:val="Compact"/>
            </w:pPr>
            <w:r>
              <w:t xml:space="preserve">Clears last error state and returns</w:t>
            </w:r>
            <w:r>
              <w:t xml:space="preserve"> </w:t>
            </w:r>
            <w:r>
              <w:rPr>
                <w:rStyle w:val="VerbatimChar"/>
              </w:rPr>
              <w:t xml:space="preserve">True</w:t>
            </w:r>
            <w:r>
              <w:t xml:space="preserve">.</w:t>
            </w:r>
          </w:p>
        </w:tc>
      </w:tr>
    </w:tbl>
    <w:bookmarkEnd w:id="3915"/>
    <w:bookmarkStart w:id="3916" w:name="remarks-395"/>
    <w:p>
      <w:pPr>
        <w:pStyle w:val="Heading2"/>
      </w:pPr>
      <w:r>
        <w:t xml:space="preserve">Remarks</w:t>
      </w:r>
    </w:p>
    <w:p>
      <w:pPr>
        <w:pStyle w:val="Compact"/>
        <w:numPr>
          <w:ilvl w:val="0"/>
          <w:numId w:val="1983"/>
        </w:numPr>
      </w:pPr>
      <w:r>
        <w:t xml:space="preserve">Instantiate the library with</w:t>
      </w:r>
      <w:r>
        <w:t xml:space="preserve"> </w:t>
      </w:r>
      <w:r>
        <w:rPr>
          <w:rStyle w:val="VerbatimChar"/>
        </w:rPr>
        <w:t xml:space="preserve">Server.CreateObject("G3ZLIB")</w:t>
      </w:r>
      <w:r>
        <w:t xml:space="preserve">.</w:t>
      </w:r>
    </w:p>
    <w:p>
      <w:pPr>
        <w:pStyle w:val="Compact"/>
        <w:numPr>
          <w:ilvl w:val="0"/>
          <w:numId w:val="1983"/>
        </w:numPr>
      </w:pPr>
      <w:r>
        <w:t xml:space="preserve">Method names are case-insensitive.</w:t>
      </w:r>
    </w:p>
    <w:p>
      <w:pPr>
        <w:pStyle w:val="Compact"/>
        <w:numPr>
          <w:ilvl w:val="0"/>
          <w:numId w:val="1983"/>
        </w:numPr>
      </w:pPr>
      <w:r>
        <w:t xml:space="preserve">Use</w:t>
      </w:r>
      <w:r>
        <w:t xml:space="preserve"> </w:t>
      </w:r>
      <w:r>
        <w:rPr>
          <w:rStyle w:val="VerbatimChar"/>
        </w:rPr>
        <w:t xml:space="preserve">LastError</w:t>
      </w:r>
      <w:r>
        <w:t xml:space="preserve"> </w:t>
      </w:r>
      <w:r>
        <w:t xml:space="preserve">for failure diagnostics.</w:t>
      </w:r>
    </w:p>
    <w:bookmarkEnd w:id="3916"/>
    <w:bookmarkEnd w:id="3917"/>
    <w:bookmarkStart w:id="3922" w:name="g3zlib-properties"/>
    <w:p>
      <w:pPr>
        <w:pStyle w:val="Heading1"/>
      </w:pPr>
      <w:r>
        <w:t xml:space="preserve">G3ZLIB Properties</w:t>
      </w:r>
    </w:p>
    <w:bookmarkStart w:id="3918" w:name="overview-426"/>
    <w:p>
      <w:pPr>
        <w:pStyle w:val="Heading2"/>
      </w:pPr>
      <w:r>
        <w:t xml:space="preserve">Overview</w:t>
      </w:r>
    </w:p>
    <w:p>
      <w:pPr>
        <w:pStyle w:val="FirstParagraph"/>
      </w:pPr>
      <w:r>
        <w:t xml:space="preserve">This page lists the properties exposed by</w:t>
      </w:r>
      <w:r>
        <w:t xml:space="preserve"> </w:t>
      </w:r>
      <w:r>
        <w:rPr>
          <w:rStyle w:val="VerbatimChar"/>
        </w:rPr>
        <w:t xml:space="preserve">G3ZLIB</w:t>
      </w:r>
      <w:r>
        <w:t xml:space="preserve">.</w:t>
      </w:r>
    </w:p>
    <w:bookmarkEnd w:id="3918"/>
    <w:bookmarkStart w:id="3919" w:name="properties-27"/>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LastError</w:t>
            </w:r>
          </w:p>
        </w:tc>
        <w:tc>
          <w:tcPr/>
          <w:p>
            <w:pPr>
              <w:pStyle w:val="Compact"/>
            </w:pPr>
            <w:r>
              <w:t xml:space="preserve">Read-only</w:t>
            </w:r>
          </w:p>
        </w:tc>
        <w:tc>
          <w:tcPr/>
          <w:p>
            <w:pPr>
              <w:pStyle w:val="Compact"/>
            </w:pPr>
            <w:r>
              <w:t xml:space="preserve">String</w:t>
            </w:r>
          </w:p>
        </w:tc>
        <w:tc>
          <w:tcPr/>
          <w:p>
            <w:pPr>
              <w:pStyle w:val="Compact"/>
            </w:pPr>
            <w:r>
              <w:t xml:space="preserve">Latest error text recorded by compression/decompression operations.</w:t>
            </w:r>
          </w:p>
        </w:tc>
      </w:tr>
    </w:tbl>
    <w:bookmarkEnd w:id="3919"/>
    <w:bookmarkStart w:id="3921" w:name="remarks-396"/>
    <w:p>
      <w:pPr>
        <w:pStyle w:val="Heading2"/>
      </w:pPr>
      <w:r>
        <w:t xml:space="preserve">Remarks</w:t>
      </w:r>
    </w:p>
    <w:p>
      <w:pPr>
        <w:pStyle w:val="Compact"/>
        <w:numPr>
          <w:ilvl w:val="0"/>
          <w:numId w:val="1984"/>
        </w:numPr>
      </w:pPr>
      <w:r>
        <w:t xml:space="preserve">Instantiate the library with</w:t>
      </w:r>
      <w:r>
        <w:t xml:space="preserve"> </w:t>
      </w:r>
      <w:r>
        <w:rPr>
          <w:rStyle w:val="VerbatimChar"/>
        </w:rPr>
        <w:t xml:space="preserve">Server.CreateObject("G3ZLIB")</w:t>
      </w:r>
      <w:r>
        <w:t xml:space="preserve">.</w:t>
      </w:r>
    </w:p>
    <w:bookmarkStart w:id="3920" w:name="methods-detail-12"/>
    <w:p>
      <w:pPr>
        <w:pStyle w:val="Heading3"/>
      </w:pPr>
      <w:r>
        <w:t xml:space="preserve">Methods Detail</w:t>
      </w:r>
    </w:p>
    <w:bookmarkEnd w:id="3920"/>
    <w:bookmarkEnd w:id="3921"/>
    <w:bookmarkEnd w:id="3922"/>
    <w:bookmarkStart w:id="3929" w:name="clear-g3zlib-state"/>
    <w:p>
      <w:pPr>
        <w:pStyle w:val="Heading1"/>
      </w:pPr>
      <w:r>
        <w:t xml:space="preserve">Clear G3ZLIB State</w:t>
      </w:r>
    </w:p>
    <w:bookmarkStart w:id="3923" w:name="overview-427"/>
    <w:p>
      <w:pPr>
        <w:pStyle w:val="Heading2"/>
      </w:pPr>
      <w:r>
        <w:t xml:space="preserve">Overview</w:t>
      </w:r>
    </w:p>
    <w:p>
      <w:pPr>
        <w:pStyle w:val="FirstParagraph"/>
      </w:pPr>
      <w:r>
        <w:t xml:space="preserve">Clears the current operation context, resetting the internal state and errors of the G3ZLIB object.</w:t>
      </w:r>
    </w:p>
    <w:bookmarkEnd w:id="3923"/>
    <w:bookmarkStart w:id="3924" w:name="syntax-416"/>
    <w:p>
      <w:pPr>
        <w:pStyle w:val="Heading2"/>
      </w:pPr>
      <w:r>
        <w:t xml:space="preserve">Syntax</w:t>
      </w:r>
    </w:p>
    <w:p>
      <w:pPr>
        <w:pStyle w:val="SourceCode"/>
      </w:pPr>
      <w:r>
        <w:rPr>
          <w:rStyle w:val="NormalTok"/>
        </w:rPr>
        <w:t xml:space="preserve">Call obj.Clear()</w:t>
      </w:r>
    </w:p>
    <w:bookmarkEnd w:id="3924"/>
    <w:bookmarkStart w:id="3925" w:name="parameters-and-arguments-86"/>
    <w:p>
      <w:pPr>
        <w:pStyle w:val="Heading2"/>
      </w:pPr>
      <w:r>
        <w:t xml:space="preserve">Parameters and Arguments</w:t>
      </w:r>
    </w:p>
    <w:p>
      <w:pPr>
        <w:pStyle w:val="FirstParagraph"/>
      </w:pPr>
      <w:r>
        <w:t xml:space="preserve">This method takes no arguments.</w:t>
      </w:r>
    </w:p>
    <w:bookmarkEnd w:id="3925"/>
    <w:bookmarkStart w:id="3926" w:name="return-values-137"/>
    <w:p>
      <w:pPr>
        <w:pStyle w:val="Heading2"/>
      </w:pPr>
      <w:r>
        <w:t xml:space="preserve">Return Values</w:t>
      </w:r>
    </w:p>
    <w:p>
      <w:pPr>
        <w:pStyle w:val="FirstParagraph"/>
      </w:pPr>
      <w:r>
        <w:t xml:space="preserve">This method does not return a value.</w:t>
      </w:r>
    </w:p>
    <w:bookmarkEnd w:id="3926"/>
    <w:bookmarkStart w:id="3927" w:name="remarks-397"/>
    <w:p>
      <w:pPr>
        <w:pStyle w:val="Heading2"/>
      </w:pPr>
      <w:r>
        <w:t xml:space="preserve">Remarks</w:t>
      </w:r>
    </w:p>
    <w:p>
      <w:pPr>
        <w:pStyle w:val="Compact"/>
        <w:numPr>
          <w:ilvl w:val="0"/>
          <w:numId w:val="1985"/>
        </w:numPr>
      </w:pPr>
      <w:r>
        <w:t xml:space="preserve">Method names are case-insensitive.</w:t>
      </w:r>
    </w:p>
    <w:p>
      <w:pPr>
        <w:pStyle w:val="Compact"/>
        <w:numPr>
          <w:ilvl w:val="0"/>
          <w:numId w:val="1985"/>
        </w:numPr>
      </w:pPr>
      <w:r>
        <w:t xml:space="preserve">Use this method to reset the</w:t>
      </w:r>
      <w:r>
        <w:t xml:space="preserve"> </w:t>
      </w:r>
      <w:r>
        <w:rPr>
          <w:rStyle w:val="VerbatimChar"/>
        </w:rPr>
        <w:t xml:space="preserve">LastError</w:t>
      </w:r>
      <w:r>
        <w:t xml:space="preserve"> </w:t>
      </w:r>
      <w:r>
        <w:t xml:space="preserve">property and internal buffers before initiating a new independent operation on the same object.</w:t>
      </w:r>
    </w:p>
    <w:bookmarkEnd w:id="3927"/>
    <w:bookmarkStart w:id="3928" w:name="code-example-21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br/>
      </w:r>
      <w:r>
        <w:rPr>
          <w:rStyle w:val="KeywordTok"/>
        </w:rPr>
        <w:t xml:space="preserve">Call</w:t>
      </w:r>
      <w:r>
        <w:rPr>
          <w:rStyle w:val="NormalTok"/>
        </w:rPr>
        <w:t xml:space="preserve"> obj.</w:t>
      </w:r>
      <w:r>
        <w:rPr>
          <w:rStyle w:val="FunctionTok"/>
        </w:rPr>
        <w:t xml:space="preserve">Clear</w:t>
      </w:r>
      <w:r>
        <w:rPr>
          <w:rStyle w:val="OtherTok"/>
        </w:rPr>
        <w:t xml:space="preserve">()</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28"/>
    <w:bookmarkEnd w:id="3929"/>
    <w:bookmarkStart w:id="3936" w:name="compress-data-using-g3zlib"/>
    <w:p>
      <w:pPr>
        <w:pStyle w:val="Heading1"/>
      </w:pPr>
      <w:r>
        <w:t xml:space="preserve">Compress Data Using G3ZLIB</w:t>
      </w:r>
    </w:p>
    <w:bookmarkStart w:id="3930" w:name="overview-428"/>
    <w:p>
      <w:pPr>
        <w:pStyle w:val="Heading2"/>
      </w:pPr>
      <w:r>
        <w:t xml:space="preserve">Overview</w:t>
      </w:r>
    </w:p>
    <w:p>
      <w:pPr>
        <w:pStyle w:val="FirstParagraph"/>
      </w:pPr>
      <w:r>
        <w:t xml:space="preserve">Compresses text or binary data into a ZLIB compressed format.</w:t>
      </w:r>
    </w:p>
    <w:bookmarkEnd w:id="3930"/>
    <w:bookmarkStart w:id="3931" w:name="syntax-417"/>
    <w:p>
      <w:pPr>
        <w:pStyle w:val="Heading2"/>
      </w:pPr>
      <w:r>
        <w:t xml:space="preserve">Syntax</w:t>
      </w:r>
    </w:p>
    <w:p>
      <w:pPr>
        <w:pStyle w:val="SourceCode"/>
      </w:pPr>
      <w:r>
        <w:rPr>
          <w:rStyle w:val="NormalTok"/>
        </w:rPr>
        <w:t xml:space="preserve">Dim compressedData</w:t>
      </w:r>
      <w:r>
        <w:br/>
      </w:r>
      <w:r>
        <w:rPr>
          <w:rStyle w:val="NormalTok"/>
        </w:rPr>
        <w:t xml:space="preserve">compressedData = obj.Compress(input, level)</w:t>
      </w:r>
    </w:p>
    <w:bookmarkEnd w:id="3931"/>
    <w:bookmarkStart w:id="3932" w:name="parameters-and-arguments-87"/>
    <w:p>
      <w:pPr>
        <w:pStyle w:val="Heading2"/>
      </w:pPr>
      <w:r>
        <w:t xml:space="preserve">Parameters and Arguments</w:t>
      </w:r>
    </w:p>
    <w:p>
      <w:pPr>
        <w:pStyle w:val="Compact"/>
        <w:numPr>
          <w:ilvl w:val="0"/>
          <w:numId w:val="1986"/>
        </w:numPr>
      </w:pPr>
      <w:r>
        <w:t xml:space="preserve">input (Variant, Required): The string or byte array to compress.</w:t>
      </w:r>
    </w:p>
    <w:p>
      <w:pPr>
        <w:pStyle w:val="Compact"/>
        <w:numPr>
          <w:ilvl w:val="0"/>
          <w:numId w:val="1986"/>
        </w:numPr>
      </w:pPr>
      <w:r>
        <w:t xml:space="preserve">level (Integer, Optional): The compression level from 1 (fastest) to 9 (best compression). If omitted, it uses the default compression level.</w:t>
      </w:r>
    </w:p>
    <w:bookmarkEnd w:id="3932"/>
    <w:bookmarkStart w:id="3933" w:name="return-values-138"/>
    <w:p>
      <w:pPr>
        <w:pStyle w:val="Heading2"/>
      </w:pPr>
      <w:r>
        <w:t xml:space="preserve">Return Values</w:t>
      </w:r>
    </w:p>
    <w:p>
      <w:pPr>
        <w:pStyle w:val="FirstParagraph"/>
      </w:pPr>
      <w:r>
        <w:t xml:space="preserve">Returns a byte array (Variant array of bytes) containing the compressed data. If the compression fails, it returns Empty and updates the LastError property.</w:t>
      </w:r>
    </w:p>
    <w:bookmarkEnd w:id="3933"/>
    <w:bookmarkStart w:id="3934" w:name="remarks-398"/>
    <w:p>
      <w:pPr>
        <w:pStyle w:val="Heading2"/>
      </w:pPr>
      <w:r>
        <w:t xml:space="preserve">Remarks</w:t>
      </w:r>
    </w:p>
    <w:p>
      <w:pPr>
        <w:pStyle w:val="Compact"/>
        <w:numPr>
          <w:ilvl w:val="0"/>
          <w:numId w:val="1987"/>
        </w:numPr>
      </w:pPr>
      <w:r>
        <w:t xml:space="preserve">Method names are case-insensitive.</w:t>
      </w:r>
    </w:p>
    <w:p>
      <w:pPr>
        <w:pStyle w:val="Compact"/>
        <w:numPr>
          <w:ilvl w:val="0"/>
          <w:numId w:val="1987"/>
        </w:numPr>
      </w:pPr>
      <w:r>
        <w:t xml:space="preserve">Always check if the returned value is Empty to verify if the operation succeeded.</w:t>
      </w:r>
    </w:p>
    <w:bookmarkEnd w:id="3934"/>
    <w:bookmarkStart w:id="3935" w:name="code-example-21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compressedData</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rPr>
          <w:rStyle w:val="NormalTok"/>
        </w:rPr>
        <w:t xml:space="preserve">compressedData = obj.Compress</w:t>
      </w:r>
      <w:r>
        <w:rPr>
          <w:rStyle w:val="OtherTok"/>
        </w:rPr>
        <w:t xml:space="preserve">(</w:t>
      </w:r>
      <w:r>
        <w:rPr>
          <w:rStyle w:val="StringTok"/>
        </w:rPr>
        <w:t xml:space="preserve">"This is a sample text to compress."</w:t>
      </w:r>
      <w:r>
        <w:rPr>
          <w:rStyle w:val="OtherTok"/>
        </w:rPr>
        <w:t xml:space="preserve">,</w:t>
      </w:r>
      <w:r>
        <w:rPr>
          <w:rStyle w:val="NormalTok"/>
        </w:rPr>
        <w:t xml:space="preserve"> </w:t>
      </w:r>
      <w:r>
        <w:rPr>
          <w:rStyle w:val="DecValTok"/>
        </w:rPr>
        <w:t xml:space="preserve">9</w:t>
      </w:r>
      <w:r>
        <w:rPr>
          <w:rStyle w:val="OtherTok"/>
        </w:rPr>
        <w:t xml:space="preserve">)</w:t>
      </w:r>
      <w:r>
        <w:br/>
      </w:r>
      <w:r>
        <w:br/>
      </w:r>
      <w:r>
        <w:rPr>
          <w:rStyle w:val="ControlFlowTok"/>
        </w:rPr>
        <w:t xml:space="preserve">If</w:t>
      </w:r>
      <w:r>
        <w:rPr>
          <w:rStyle w:val="NormalTok"/>
        </w:rPr>
        <w:t xml:space="preserve"> </w:t>
      </w:r>
      <w:r>
        <w:rPr>
          <w:rStyle w:val="FunctionTok"/>
        </w:rPr>
        <w:t xml:space="preserve">IsEmpty</w:t>
      </w:r>
      <w:r>
        <w:rPr>
          <w:rStyle w:val="OtherTok"/>
        </w:rPr>
        <w:t xml:space="preserve">(</w:t>
      </w:r>
      <w:r>
        <w:rPr>
          <w:rStyle w:val="NormalTok"/>
        </w:rPr>
        <w:t xml:space="preserve">compressedData</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"Compression failed: "</w:t>
      </w:r>
      <w:r>
        <w:rPr>
          <w:rStyle w:val="NormalTok"/>
        </w:rPr>
        <w:t xml:space="preserve"> </w:t>
      </w:r>
      <w:r>
        <w:rPr>
          <w:rStyle w:val="KeywordTok"/>
        </w:rPr>
        <w:t xml:space="preserve">&amp;</w:t>
      </w:r>
      <w:r>
        <w:rPr>
          <w:rStyle w:val="NormalTok"/>
        </w:rPr>
        <w:t xml:space="preserve"> obj.LastError</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"Compression succeeded."</w:t>
      </w:r>
      <w:r>
        <w:br/>
      </w:r>
      <w:r>
        <w:rPr>
          <w:rStyle w:val="ControlFlowTok"/>
        </w:rPr>
        <w:t xml:space="preserve">End If</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35"/>
    <w:bookmarkEnd w:id="3936"/>
    <w:bookmarkStart w:id="3943" w:name="compress-a-file-using-g3zlib"/>
    <w:p>
      <w:pPr>
        <w:pStyle w:val="Heading1"/>
      </w:pPr>
      <w:r>
        <w:t xml:space="preserve">Compress a File Using G3ZLIB</w:t>
      </w:r>
    </w:p>
    <w:bookmarkStart w:id="3937" w:name="overview-429"/>
    <w:p>
      <w:pPr>
        <w:pStyle w:val="Heading2"/>
      </w:pPr>
      <w:r>
        <w:t xml:space="preserve">Overview</w:t>
      </w:r>
    </w:p>
    <w:p>
      <w:pPr>
        <w:pStyle w:val="FirstParagraph"/>
      </w:pPr>
      <w:r>
        <w:t xml:space="preserve">Compresses a single source file into an output file.</w:t>
      </w:r>
    </w:p>
    <w:bookmarkEnd w:id="3937"/>
    <w:bookmarkStart w:id="3938" w:name="syntax-418"/>
    <w:p>
      <w:pPr>
        <w:pStyle w:val="Heading2"/>
      </w:pPr>
      <w:r>
        <w:t xml:space="preserve">Syntax</w:t>
      </w:r>
    </w:p>
    <w:p>
      <w:pPr>
        <w:pStyle w:val="SourceCode"/>
      </w:pPr>
      <w:r>
        <w:rPr>
          <w:rStyle w:val="NormalTok"/>
        </w:rPr>
        <w:t xml:space="preserve">Dim success</w:t>
      </w:r>
      <w:r>
        <w:br/>
      </w:r>
      <w:r>
        <w:rPr>
          <w:rStyle w:val="NormalTok"/>
        </w:rPr>
        <w:t xml:space="preserve">success = obj.CompressFile(inputPath, outputPath, level)</w:t>
      </w:r>
    </w:p>
    <w:bookmarkEnd w:id="3938"/>
    <w:bookmarkStart w:id="3939" w:name="parameters-and-arguments-88"/>
    <w:p>
      <w:pPr>
        <w:pStyle w:val="Heading2"/>
      </w:pPr>
      <w:r>
        <w:t xml:space="preserve">Parameters and Arguments</w:t>
      </w:r>
    </w:p>
    <w:p>
      <w:pPr>
        <w:pStyle w:val="Compact"/>
        <w:numPr>
          <w:ilvl w:val="0"/>
          <w:numId w:val="1988"/>
        </w:numPr>
      </w:pPr>
      <w:r>
        <w:t xml:space="preserve">inputPath (String, Required): The full path to the source file to compress.</w:t>
      </w:r>
    </w:p>
    <w:p>
      <w:pPr>
        <w:pStyle w:val="Compact"/>
        <w:numPr>
          <w:ilvl w:val="0"/>
          <w:numId w:val="1988"/>
        </w:numPr>
      </w:pPr>
      <w:r>
        <w:t xml:space="preserve">outputPath (String, Required): The destination path for the compressed file.</w:t>
      </w:r>
    </w:p>
    <w:p>
      <w:pPr>
        <w:pStyle w:val="Compact"/>
        <w:numPr>
          <w:ilvl w:val="0"/>
          <w:numId w:val="1988"/>
        </w:numPr>
      </w:pPr>
      <w:r>
        <w:t xml:space="preserve">level (Integer, Optional): The compression level from 1 (fastest) to 9 (best compression).</w:t>
      </w:r>
    </w:p>
    <w:bookmarkEnd w:id="3939"/>
    <w:bookmarkStart w:id="3940" w:name="return-values-139"/>
    <w:p>
      <w:pPr>
        <w:pStyle w:val="Heading2"/>
      </w:pPr>
      <w:r>
        <w:t xml:space="preserve">Return Values</w:t>
      </w:r>
    </w:p>
    <w:p>
      <w:pPr>
        <w:pStyle w:val="FirstParagraph"/>
      </w:pPr>
      <w:r>
        <w:t xml:space="preserve">Returns a Boolean value. Returns True if the file was compressed and saved successfully; otherwise, returns False and updates the LastError property.</w:t>
      </w:r>
    </w:p>
    <w:bookmarkEnd w:id="3940"/>
    <w:bookmarkStart w:id="3941" w:name="remarks-399"/>
    <w:p>
      <w:pPr>
        <w:pStyle w:val="Heading2"/>
      </w:pPr>
      <w:r>
        <w:t xml:space="preserve">Remarks</w:t>
      </w:r>
    </w:p>
    <w:p>
      <w:pPr>
        <w:pStyle w:val="Compact"/>
        <w:numPr>
          <w:ilvl w:val="0"/>
          <w:numId w:val="1989"/>
        </w:numPr>
      </w:pPr>
      <w:r>
        <w:t xml:space="preserve">Method names are case-insensitive.</w:t>
      </w:r>
    </w:p>
    <w:p>
      <w:pPr>
        <w:pStyle w:val="Compact"/>
        <w:numPr>
          <w:ilvl w:val="0"/>
          <w:numId w:val="1989"/>
        </w:numPr>
      </w:pPr>
      <w:r>
        <w:t xml:space="preserve">The web server must have read permissions for the input file and write permissions for the output path.</w:t>
      </w:r>
    </w:p>
    <w:bookmarkEnd w:id="3941"/>
    <w:bookmarkStart w:id="3942" w:name="code-example-21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br/>
      </w:r>
      <w:r>
        <w:rPr>
          <w:rStyle w:val="NormalTok"/>
        </w:rPr>
        <w:t xml:space="preserve">success = obj.CompressFile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"document.txt"</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"document.zlib"</w:t>
      </w:r>
      <w:r>
        <w:rPr>
          <w:rStyle w:val="OtherTok"/>
        </w:rPr>
        <w:t xml:space="preserve">),</w:t>
      </w:r>
      <w:r>
        <w:rPr>
          <w:rStyle w:val="NormalTok"/>
        </w:rPr>
        <w:t xml:space="preserve"> </w:t>
      </w:r>
      <w:r>
        <w:rPr>
          <w:rStyle w:val="DecValTok"/>
        </w:rPr>
        <w:t xml:space="preserve">9</w:t>
      </w:r>
      <w:r>
        <w:rPr>
          <w:rStyle w:val="OtherTok"/>
        </w:rPr>
        <w:t xml:space="preserve">)</w:t>
      </w:r>
      <w:r>
        <w:br/>
      </w:r>
      <w:r>
        <w:br/>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compressed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obj.LastError</w:t>
      </w:r>
      <w:r>
        <w:br/>
      </w:r>
      <w:r>
        <w:rPr>
          <w:rStyle w:val="ControlFlowTok"/>
        </w:rPr>
        <w:t xml:space="preserve">End If</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42"/>
    <w:bookmarkEnd w:id="3943"/>
    <w:bookmarkStart w:id="3950" w:name="compress-multiple-files-using-g3zlib"/>
    <w:p>
      <w:pPr>
        <w:pStyle w:val="Heading1"/>
      </w:pPr>
      <w:r>
        <w:t xml:space="preserve">Compress Multiple Files Using G3ZLIB</w:t>
      </w:r>
    </w:p>
    <w:bookmarkStart w:id="3944" w:name="overview-430"/>
    <w:p>
      <w:pPr>
        <w:pStyle w:val="Heading2"/>
      </w:pPr>
      <w:r>
        <w:t xml:space="preserve">Overview</w:t>
      </w:r>
    </w:p>
    <w:p>
      <w:pPr>
        <w:pStyle w:val="FirstParagraph"/>
      </w:pPr>
      <w:r>
        <w:t xml:space="preserve">Compresses an array or list of source files into a single output bundle file.</w:t>
      </w:r>
    </w:p>
    <w:bookmarkEnd w:id="3944"/>
    <w:bookmarkStart w:id="3945" w:name="syntax-419"/>
    <w:p>
      <w:pPr>
        <w:pStyle w:val="Heading2"/>
      </w:pPr>
      <w:r>
        <w:t xml:space="preserve">Syntax</w:t>
      </w:r>
    </w:p>
    <w:p>
      <w:pPr>
        <w:pStyle w:val="SourceCode"/>
      </w:pPr>
      <w:r>
        <w:rPr>
          <w:rStyle w:val="NormalTok"/>
        </w:rPr>
        <w:t xml:space="preserve">Dim success</w:t>
      </w:r>
      <w:r>
        <w:br/>
      </w:r>
      <w:r>
        <w:rPr>
          <w:rStyle w:val="NormalTok"/>
        </w:rPr>
        <w:t xml:space="preserve">success = obj.CompressMany(sourcePaths, outputPath, level)</w:t>
      </w:r>
    </w:p>
    <w:bookmarkEnd w:id="3945"/>
    <w:bookmarkStart w:id="3946" w:name="parameters-and-arguments-89"/>
    <w:p>
      <w:pPr>
        <w:pStyle w:val="Heading2"/>
      </w:pPr>
      <w:r>
        <w:t xml:space="preserve">Parameters and Arguments</w:t>
      </w:r>
    </w:p>
    <w:p>
      <w:pPr>
        <w:pStyle w:val="Compact"/>
        <w:numPr>
          <w:ilvl w:val="0"/>
          <w:numId w:val="1990"/>
        </w:numPr>
      </w:pPr>
      <w:r>
        <w:t xml:space="preserve">sourcePaths (Variant, Required): An array of strings representing the file paths to compress.</w:t>
      </w:r>
    </w:p>
    <w:p>
      <w:pPr>
        <w:pStyle w:val="Compact"/>
        <w:numPr>
          <w:ilvl w:val="0"/>
          <w:numId w:val="1990"/>
        </w:numPr>
      </w:pPr>
      <w:r>
        <w:t xml:space="preserve">outputPath (String, Required): The destination path for the compressed bundle file.</w:t>
      </w:r>
    </w:p>
    <w:p>
      <w:pPr>
        <w:pStyle w:val="Compact"/>
        <w:numPr>
          <w:ilvl w:val="0"/>
          <w:numId w:val="1990"/>
        </w:numPr>
      </w:pPr>
      <w:r>
        <w:t xml:space="preserve">level (Integer, Optional): The compression level from 1 (fastest) to 9 (best compression). Defaults to the standard level if omitted.</w:t>
      </w:r>
    </w:p>
    <w:bookmarkEnd w:id="3946"/>
    <w:bookmarkStart w:id="3947" w:name="return-values-140"/>
    <w:p>
      <w:pPr>
        <w:pStyle w:val="Heading2"/>
      </w:pPr>
      <w:r>
        <w:t xml:space="preserve">Return Values</w:t>
      </w:r>
    </w:p>
    <w:p>
      <w:pPr>
        <w:pStyle w:val="FirstParagraph"/>
      </w:pPr>
      <w:r>
        <w:t xml:space="preserve">Returns a Boolean value. Returns True if the files were compressed and saved successfully; otherwise, returns False and updates the LastError property.</w:t>
      </w:r>
    </w:p>
    <w:bookmarkEnd w:id="3947"/>
    <w:bookmarkStart w:id="3948" w:name="remarks-400"/>
    <w:p>
      <w:pPr>
        <w:pStyle w:val="Heading2"/>
      </w:pPr>
      <w:r>
        <w:t xml:space="preserve">Remarks</w:t>
      </w:r>
    </w:p>
    <w:p>
      <w:pPr>
        <w:pStyle w:val="Compact"/>
        <w:numPr>
          <w:ilvl w:val="0"/>
          <w:numId w:val="1991"/>
        </w:numPr>
      </w:pPr>
      <w:r>
        <w:t xml:space="preserve">Method names are case-insensitive.</w:t>
      </w:r>
    </w:p>
    <w:p>
      <w:pPr>
        <w:pStyle w:val="Compact"/>
        <w:numPr>
          <w:ilvl w:val="0"/>
          <w:numId w:val="1991"/>
        </w:numPr>
      </w:pPr>
      <w:r>
        <w:t xml:space="preserve">Ensure that the web server has the appropriate read permissions for the source paths and write permissions for the output directory.</w:t>
      </w:r>
    </w:p>
    <w:bookmarkEnd w:id="3948"/>
    <w:bookmarkStart w:id="3949" w:name="code-example-21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rPr>
          <w:rStyle w:val="OtherTok"/>
        </w:rPr>
        <w:t xml:space="preserve">,</w:t>
      </w:r>
      <w:r>
        <w:rPr>
          <w:rStyle w:val="NormalTok"/>
        </w:rPr>
        <w:t xml:space="preserve"> files</w:t>
      </w:r>
      <w:r>
        <w:rPr>
          <w:rStyle w:val="OtherTok"/>
        </w:rPr>
        <w:t xml:space="preserve">(</w:t>
      </w:r>
      <w:r>
        <w:rPr>
          <w:rStyle w:val="DecValTok"/>
        </w:rPr>
        <w:t xml:space="preserve">1</w:t>
      </w:r>
      <w:r>
        <w:rPr>
          <w:rStyle w:val="OtherTok"/>
        </w:rPr>
        <w:t xml:space="preserve">)</w:t>
      </w:r>
      <w:r>
        <w:br/>
      </w:r>
      <w:r>
        <w:rPr>
          <w:rStyle w:val="NormalTok"/>
        </w:rPr>
        <w:t xml:space="preserve">files</w:t>
      </w:r>
      <w:r>
        <w:rPr>
          <w:rStyle w:val="OtherTok"/>
        </w:rPr>
        <w:t xml:space="preserve">(</w:t>
      </w:r>
      <w:r>
        <w:rPr>
          <w:rStyle w:val="DecValTok"/>
        </w:rPr>
        <w:t xml:space="preserve">0</w:t>
      </w:r>
      <w:r>
        <w:rPr>
          <w:rStyle w:val="OtherTok"/>
        </w:rPr>
        <w:t xml:space="preserve">)</w:t>
      </w:r>
      <w:r>
        <w:rPr>
          <w:rStyle w:val="NormalTok"/>
        </w:rPr>
        <w:t xml:space="preserve"> = </w:t>
      </w:r>
      <w:r>
        <w:rPr>
          <w:rStyle w:val="FunctionTok"/>
        </w:rPr>
        <w:t xml:space="preserve">Server</w:t>
      </w:r>
      <w:r>
        <w:rPr>
          <w:rStyle w:val="NormalTok"/>
        </w:rPr>
        <w:t xml:space="preserve">.MapPath</w:t>
      </w:r>
      <w:r>
        <w:rPr>
          <w:rStyle w:val="OtherTok"/>
        </w:rPr>
        <w:t xml:space="preserve">(</w:t>
      </w:r>
      <w:r>
        <w:rPr>
          <w:rStyle w:val="StringTok"/>
        </w:rPr>
        <w:t xml:space="preserve">"file1.txt"</w:t>
      </w:r>
      <w:r>
        <w:rPr>
          <w:rStyle w:val="OtherTok"/>
        </w:rPr>
        <w:t xml:space="preserve">)</w:t>
      </w:r>
      <w:r>
        <w:br/>
      </w:r>
      <w:r>
        <w:rPr>
          <w:rStyle w:val="NormalTok"/>
        </w:rPr>
        <w:t xml:space="preserve">files</w:t>
      </w:r>
      <w:r>
        <w:rPr>
          <w:rStyle w:val="OtherTok"/>
        </w:rPr>
        <w:t xml:space="preserve">(</w:t>
      </w:r>
      <w:r>
        <w:rPr>
          <w:rStyle w:val="DecValTok"/>
        </w:rPr>
        <w:t xml:space="preserve">1</w:t>
      </w:r>
      <w:r>
        <w:rPr>
          <w:rStyle w:val="OtherTok"/>
        </w:rPr>
        <w:t xml:space="preserve">)</w:t>
      </w:r>
      <w:r>
        <w:rPr>
          <w:rStyle w:val="NormalTok"/>
        </w:rPr>
        <w:t xml:space="preserve"> = </w:t>
      </w:r>
      <w:r>
        <w:rPr>
          <w:rStyle w:val="FunctionTok"/>
        </w:rPr>
        <w:t xml:space="preserve">Server</w:t>
      </w:r>
      <w:r>
        <w:rPr>
          <w:rStyle w:val="NormalTok"/>
        </w:rPr>
        <w:t xml:space="preserve">.MapPath</w:t>
      </w:r>
      <w:r>
        <w:rPr>
          <w:rStyle w:val="OtherTok"/>
        </w:rPr>
        <w:t xml:space="preserve">(</w:t>
      </w:r>
      <w:r>
        <w:rPr>
          <w:rStyle w:val="StringTok"/>
        </w:rPr>
        <w:t xml:space="preserve">"file2.txt"</w:t>
      </w:r>
      <w:r>
        <w:rPr>
          <w:rStyle w:val="OtherTok"/>
        </w:rPr>
        <w:t xml:space="preserve">)</w:t>
      </w:r>
      <w:r>
        <w:br/>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rPr>
          <w:rStyle w:val="NormalTok"/>
        </w:rPr>
        <w:t xml:space="preserve">success = obj.CompressMany</w:t>
      </w:r>
      <w:r>
        <w:rPr>
          <w:rStyle w:val="OtherTok"/>
        </w:rPr>
        <w:t xml:space="preserve">(</w:t>
      </w:r>
      <w:r>
        <w:rPr>
          <w:rStyle w:val="NormalTok"/>
        </w:rPr>
        <w:t xml:space="preserve">files</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"archive.zlib"</w:t>
      </w:r>
      <w:r>
        <w:rPr>
          <w:rStyle w:val="OtherTok"/>
        </w:rPr>
        <w:t xml:space="preserve">),</w:t>
      </w:r>
      <w:r>
        <w:rPr>
          <w:rStyle w:val="NormalTok"/>
        </w:rPr>
        <w:t xml:space="preserve"> </w:t>
      </w:r>
      <w:r>
        <w:rPr>
          <w:rStyle w:val="DecValTok"/>
        </w:rPr>
        <w:t xml:space="preserve">9</w:t>
      </w:r>
      <w:r>
        <w:rPr>
          <w:rStyle w:val="OtherTok"/>
        </w:rPr>
        <w:t xml:space="preserve">)</w:t>
      </w:r>
      <w:r>
        <w:br/>
      </w:r>
      <w:r>
        <w:br/>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"Files compressed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obj.LastError</w:t>
      </w:r>
      <w:r>
        <w:br/>
      </w:r>
      <w:r>
        <w:rPr>
          <w:rStyle w:val="ControlFlowTok"/>
        </w:rPr>
        <w:t xml:space="preserve">End If</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49"/>
    <w:bookmarkEnd w:id="3950"/>
    <w:bookmarkStart w:id="3957" w:name="decompress-data-using-g3zlib"/>
    <w:p>
      <w:pPr>
        <w:pStyle w:val="Heading1"/>
      </w:pPr>
      <w:r>
        <w:t xml:space="preserve">Decompress Data Using G3ZLIB</w:t>
      </w:r>
    </w:p>
    <w:bookmarkStart w:id="3951" w:name="overview-431"/>
    <w:p>
      <w:pPr>
        <w:pStyle w:val="Heading2"/>
      </w:pPr>
      <w:r>
        <w:t xml:space="preserve">Overview</w:t>
      </w:r>
    </w:p>
    <w:p>
      <w:pPr>
        <w:pStyle w:val="FirstParagraph"/>
      </w:pPr>
      <w:r>
        <w:t xml:space="preserve">Decompresses a ZLIB-compressed byte array back to its original binary representation.</w:t>
      </w:r>
    </w:p>
    <w:bookmarkEnd w:id="3951"/>
    <w:bookmarkStart w:id="3952" w:name="syntax-420"/>
    <w:p>
      <w:pPr>
        <w:pStyle w:val="Heading2"/>
      </w:pPr>
      <w:r>
        <w:t xml:space="preserve">Syntax</w:t>
      </w:r>
    </w:p>
    <w:p>
      <w:pPr>
        <w:pStyle w:val="SourceCode"/>
      </w:pPr>
      <w:r>
        <w:rPr>
          <w:rStyle w:val="NormalTok"/>
        </w:rPr>
        <w:t xml:space="preserve">Dim originalData</w:t>
      </w:r>
      <w:r>
        <w:br/>
      </w:r>
      <w:r>
        <w:rPr>
          <w:rStyle w:val="NormalTok"/>
        </w:rPr>
        <w:t xml:space="preserve">originalData = obj.Decompress(input)</w:t>
      </w:r>
    </w:p>
    <w:bookmarkEnd w:id="3952"/>
    <w:bookmarkStart w:id="3953" w:name="parameters-and-arguments-90"/>
    <w:p>
      <w:pPr>
        <w:pStyle w:val="Heading2"/>
      </w:pPr>
      <w:r>
        <w:t xml:space="preserve">Parameters and Arguments</w:t>
      </w:r>
    </w:p>
    <w:p>
      <w:pPr>
        <w:pStyle w:val="Compact"/>
        <w:numPr>
          <w:ilvl w:val="0"/>
          <w:numId w:val="1992"/>
        </w:numPr>
      </w:pPr>
      <w:r>
        <w:t xml:space="preserve">input (Variant, Required): The compressed byte array to decompress.</w:t>
      </w:r>
    </w:p>
    <w:bookmarkEnd w:id="3953"/>
    <w:bookmarkStart w:id="3954" w:name="return-values-141"/>
    <w:p>
      <w:pPr>
        <w:pStyle w:val="Heading2"/>
      </w:pPr>
      <w:r>
        <w:t xml:space="preserve">Return Values</w:t>
      </w:r>
    </w:p>
    <w:p>
      <w:pPr>
        <w:pStyle w:val="FirstParagraph"/>
      </w:pPr>
      <w:r>
        <w:t xml:space="preserve">Returns a byte array (Variant array of bytes) containing the decompressed data. If the decompression fails, it returns Empty and updates the LastError property.</w:t>
      </w:r>
    </w:p>
    <w:bookmarkEnd w:id="3954"/>
    <w:bookmarkStart w:id="3955" w:name="remarks-401"/>
    <w:p>
      <w:pPr>
        <w:pStyle w:val="Heading2"/>
      </w:pPr>
      <w:r>
        <w:t xml:space="preserve">Remarks</w:t>
      </w:r>
    </w:p>
    <w:p>
      <w:pPr>
        <w:pStyle w:val="Compact"/>
        <w:numPr>
          <w:ilvl w:val="0"/>
          <w:numId w:val="1993"/>
        </w:numPr>
      </w:pPr>
      <w:r>
        <w:t xml:space="preserve">Method names are case-insensitive.</w:t>
      </w:r>
    </w:p>
    <w:p>
      <w:pPr>
        <w:pStyle w:val="Compact"/>
        <w:numPr>
          <w:ilvl w:val="0"/>
          <w:numId w:val="1993"/>
        </w:numPr>
      </w:pPr>
      <w:r>
        <w:t xml:space="preserve">Use this method when you expect binary data output. For string output, use DecompressText instead.</w:t>
      </w:r>
    </w:p>
    <w:bookmarkEnd w:id="3955"/>
    <w:bookmarkStart w:id="3956" w:name="code-example-21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compressedData</w:t>
      </w:r>
      <w:r>
        <w:rPr>
          <w:rStyle w:val="OtherTok"/>
        </w:rPr>
        <w:t xml:space="preserve">,</w:t>
      </w:r>
      <w:r>
        <w:rPr>
          <w:rStyle w:val="NormalTok"/>
        </w:rPr>
        <w:t xml:space="preserve"> originalData</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br/>
      </w:r>
      <w:r>
        <w:rPr>
          <w:rStyle w:val="CommentTok"/>
        </w:rPr>
        <w:t xml:space="preserve">' Assume compressedData is a valid byte array obtained from Compress()</w:t>
      </w:r>
      <w:r>
        <w:br/>
      </w:r>
      <w:r>
        <w:rPr>
          <w:rStyle w:val="CommentTok"/>
        </w:rPr>
        <w:t xml:space="preserve">' originalData = obj.Decompress(compressedData)</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56"/>
    <w:bookmarkEnd w:id="3957"/>
    <w:bookmarkStart w:id="3964" w:name="decompress-a-file-using-g3zlib"/>
    <w:p>
      <w:pPr>
        <w:pStyle w:val="Heading1"/>
      </w:pPr>
      <w:r>
        <w:t xml:space="preserve">Decompress a File Using G3ZLIB</w:t>
      </w:r>
    </w:p>
    <w:bookmarkStart w:id="3958" w:name="overview-432"/>
    <w:p>
      <w:pPr>
        <w:pStyle w:val="Heading2"/>
      </w:pPr>
      <w:r>
        <w:t xml:space="preserve">Overview</w:t>
      </w:r>
    </w:p>
    <w:p>
      <w:pPr>
        <w:pStyle w:val="FirstParagraph"/>
      </w:pPr>
      <w:r>
        <w:t xml:space="preserve">Decompresses a single compressed file back into its original content.</w:t>
      </w:r>
    </w:p>
    <w:bookmarkEnd w:id="3958"/>
    <w:bookmarkStart w:id="3959" w:name="syntax-421"/>
    <w:p>
      <w:pPr>
        <w:pStyle w:val="Heading2"/>
      </w:pPr>
      <w:r>
        <w:t xml:space="preserve">Syntax</w:t>
      </w:r>
    </w:p>
    <w:p>
      <w:pPr>
        <w:pStyle w:val="SourceCode"/>
      </w:pPr>
      <w:r>
        <w:rPr>
          <w:rStyle w:val="NormalTok"/>
        </w:rPr>
        <w:t xml:space="preserve">Dim success</w:t>
      </w:r>
      <w:r>
        <w:br/>
      </w:r>
      <w:r>
        <w:rPr>
          <w:rStyle w:val="NormalTok"/>
        </w:rPr>
        <w:t xml:space="preserve">success = obj.DecompressFile(inputPath, outputPath)</w:t>
      </w:r>
    </w:p>
    <w:bookmarkEnd w:id="3959"/>
    <w:bookmarkStart w:id="3960" w:name="parameters-and-arguments-91"/>
    <w:p>
      <w:pPr>
        <w:pStyle w:val="Heading2"/>
      </w:pPr>
      <w:r>
        <w:t xml:space="preserve">Parameters and Arguments</w:t>
      </w:r>
    </w:p>
    <w:p>
      <w:pPr>
        <w:pStyle w:val="Compact"/>
        <w:numPr>
          <w:ilvl w:val="0"/>
          <w:numId w:val="1994"/>
        </w:numPr>
      </w:pPr>
      <w:r>
        <w:t xml:space="preserve">inputPath (String, Required): The full path to the compressed source file.</w:t>
      </w:r>
    </w:p>
    <w:p>
      <w:pPr>
        <w:pStyle w:val="Compact"/>
        <w:numPr>
          <w:ilvl w:val="0"/>
          <w:numId w:val="1994"/>
        </w:numPr>
      </w:pPr>
      <w:r>
        <w:t xml:space="preserve">outputPath (String, Required): The destination path for the decompressed file.</w:t>
      </w:r>
    </w:p>
    <w:bookmarkEnd w:id="3960"/>
    <w:bookmarkStart w:id="3961" w:name="return-values-142"/>
    <w:p>
      <w:pPr>
        <w:pStyle w:val="Heading2"/>
      </w:pPr>
      <w:r>
        <w:t xml:space="preserve">Return Values</w:t>
      </w:r>
    </w:p>
    <w:p>
      <w:pPr>
        <w:pStyle w:val="FirstParagraph"/>
      </w:pPr>
      <w:r>
        <w:t xml:space="preserve">Returns a Boolean value. Returns True if the file was decompressed and saved successfully; otherwise, returns False and updates the LastError property.</w:t>
      </w:r>
    </w:p>
    <w:bookmarkEnd w:id="3961"/>
    <w:bookmarkStart w:id="3962" w:name="remarks-402"/>
    <w:p>
      <w:pPr>
        <w:pStyle w:val="Heading2"/>
      </w:pPr>
      <w:r>
        <w:t xml:space="preserve">Remarks</w:t>
      </w:r>
    </w:p>
    <w:p>
      <w:pPr>
        <w:pStyle w:val="Compact"/>
        <w:numPr>
          <w:ilvl w:val="0"/>
          <w:numId w:val="1995"/>
        </w:numPr>
      </w:pPr>
      <w:r>
        <w:t xml:space="preserve">Method names are case-insensitive.</w:t>
      </w:r>
    </w:p>
    <w:p>
      <w:pPr>
        <w:pStyle w:val="Compact"/>
        <w:numPr>
          <w:ilvl w:val="0"/>
          <w:numId w:val="1995"/>
        </w:numPr>
      </w:pPr>
      <w:r>
        <w:t xml:space="preserve">Ensure the destination path allows write operations.</w:t>
      </w:r>
    </w:p>
    <w:bookmarkEnd w:id="3962"/>
    <w:bookmarkStart w:id="3963" w:name="code-example-21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br/>
      </w:r>
      <w:r>
        <w:rPr>
          <w:rStyle w:val="NormalTok"/>
        </w:rPr>
        <w:t xml:space="preserve">success = obj.DecompressFile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"document.zlib"</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"extracted_document.txt"</w:t>
      </w:r>
      <w:r>
        <w:rPr>
          <w:rStyle w:val="OtherTok"/>
        </w:rPr>
        <w:t xml:space="preserve">))</w:t>
      </w:r>
      <w:r>
        <w:br/>
      </w:r>
      <w:r>
        <w:br/>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decompressed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obj.LastError</w:t>
      </w:r>
      <w:r>
        <w:br/>
      </w:r>
      <w:r>
        <w:rPr>
          <w:rStyle w:val="ControlFlowTok"/>
        </w:rPr>
        <w:t xml:space="preserve">End If</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63"/>
    <w:bookmarkEnd w:id="3964"/>
    <w:bookmarkStart w:id="3971" w:name="decompress-multiple-files-using-g3zlib"/>
    <w:p>
      <w:pPr>
        <w:pStyle w:val="Heading1"/>
      </w:pPr>
      <w:r>
        <w:t xml:space="preserve">Decompress Multiple Files Using G3ZLIB</w:t>
      </w:r>
    </w:p>
    <w:bookmarkStart w:id="3965" w:name="overview-433"/>
    <w:p>
      <w:pPr>
        <w:pStyle w:val="Heading2"/>
      </w:pPr>
      <w:r>
        <w:t xml:space="preserve">Overview</w:t>
      </w:r>
    </w:p>
    <w:p>
      <w:pPr>
        <w:pStyle w:val="FirstParagraph"/>
      </w:pPr>
      <w:r>
        <w:t xml:space="preserve">Decompresses a bundled ZLIB archive back into multiple files in a specified destination directory.</w:t>
      </w:r>
    </w:p>
    <w:bookmarkEnd w:id="3965"/>
    <w:bookmarkStart w:id="3966" w:name="syntax-422"/>
    <w:p>
      <w:pPr>
        <w:pStyle w:val="Heading2"/>
      </w:pPr>
      <w:r>
        <w:t xml:space="preserve">Syntax</w:t>
      </w:r>
    </w:p>
    <w:p>
      <w:pPr>
        <w:pStyle w:val="SourceCode"/>
      </w:pPr>
      <w:r>
        <w:rPr>
          <w:rStyle w:val="NormalTok"/>
        </w:rPr>
        <w:t xml:space="preserve">Dim success</w:t>
      </w:r>
      <w:r>
        <w:br/>
      </w:r>
      <w:r>
        <w:rPr>
          <w:rStyle w:val="NormalTok"/>
        </w:rPr>
        <w:t xml:space="preserve">success = obj.DecompressMany(inputPath, outputFolder)</w:t>
      </w:r>
    </w:p>
    <w:bookmarkEnd w:id="3966"/>
    <w:bookmarkStart w:id="3967" w:name="parameters-and-arguments-92"/>
    <w:p>
      <w:pPr>
        <w:pStyle w:val="Heading2"/>
      </w:pPr>
      <w:r>
        <w:t xml:space="preserve">Parameters and Arguments</w:t>
      </w:r>
    </w:p>
    <w:p>
      <w:pPr>
        <w:pStyle w:val="Compact"/>
        <w:numPr>
          <w:ilvl w:val="0"/>
          <w:numId w:val="1996"/>
        </w:numPr>
      </w:pPr>
      <w:r>
        <w:t xml:space="preserve">inputPath (String, Required): The path to the compressed bundle file.</w:t>
      </w:r>
    </w:p>
    <w:p>
      <w:pPr>
        <w:pStyle w:val="Compact"/>
        <w:numPr>
          <w:ilvl w:val="0"/>
          <w:numId w:val="1996"/>
        </w:numPr>
      </w:pPr>
      <w:r>
        <w:t xml:space="preserve">outputFolder (String, Required): The directory where the decompressed files will be saved.</w:t>
      </w:r>
    </w:p>
    <w:bookmarkEnd w:id="3967"/>
    <w:bookmarkStart w:id="3968" w:name="return-values-143"/>
    <w:p>
      <w:pPr>
        <w:pStyle w:val="Heading2"/>
      </w:pPr>
      <w:r>
        <w:t xml:space="preserve">Return Values</w:t>
      </w:r>
    </w:p>
    <w:p>
      <w:pPr>
        <w:pStyle w:val="FirstParagraph"/>
      </w:pPr>
      <w:r>
        <w:t xml:space="preserve">Returns a Boolean value. Returns True if all files were decompressed and saved successfully; otherwise, returns False and updates the LastError property.</w:t>
      </w:r>
    </w:p>
    <w:bookmarkEnd w:id="3968"/>
    <w:bookmarkStart w:id="3969" w:name="remarks-403"/>
    <w:p>
      <w:pPr>
        <w:pStyle w:val="Heading2"/>
      </w:pPr>
      <w:r>
        <w:t xml:space="preserve">Remarks</w:t>
      </w:r>
    </w:p>
    <w:p>
      <w:pPr>
        <w:pStyle w:val="Compact"/>
        <w:numPr>
          <w:ilvl w:val="0"/>
          <w:numId w:val="1997"/>
        </w:numPr>
      </w:pPr>
      <w:r>
        <w:t xml:space="preserve">Method names are case-insensitive.</w:t>
      </w:r>
    </w:p>
    <w:p>
      <w:pPr>
        <w:pStyle w:val="Compact"/>
        <w:numPr>
          <w:ilvl w:val="0"/>
          <w:numId w:val="1997"/>
        </w:numPr>
      </w:pPr>
      <w:r>
        <w:t xml:space="preserve">Ensure that the output folder exists and that the web server has write permissions to it.</w:t>
      </w:r>
    </w:p>
    <w:bookmarkEnd w:id="3969"/>
    <w:bookmarkStart w:id="3970" w:name="code-example-21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br/>
      </w:r>
      <w:r>
        <w:rPr>
          <w:rStyle w:val="NormalTok"/>
        </w:rPr>
        <w:t xml:space="preserve">success = obj.DecompressMany</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"archive.zlib"</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"output_folder\"</w:t>
      </w:r>
      <w:r>
        <w:rPr>
          <w:rStyle w:val="OtherTok"/>
        </w:rPr>
        <w:t xml:space="preserve">))</w:t>
      </w:r>
      <w:r>
        <w:br/>
      </w:r>
      <w:r>
        <w:br/>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decompressed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obj.LastError</w:t>
      </w:r>
      <w:r>
        <w:br/>
      </w:r>
      <w:r>
        <w:rPr>
          <w:rStyle w:val="ControlFlowTok"/>
        </w:rPr>
        <w:t xml:space="preserve">End If</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70"/>
    <w:bookmarkEnd w:id="3971"/>
    <w:bookmarkStart w:id="3979" w:name="decompress-text-using-g3zlib"/>
    <w:p>
      <w:pPr>
        <w:pStyle w:val="Heading1"/>
      </w:pPr>
      <w:r>
        <w:t xml:space="preserve">Decompress Text Using G3ZLIB</w:t>
      </w:r>
    </w:p>
    <w:bookmarkStart w:id="3972" w:name="overview-434"/>
    <w:p>
      <w:pPr>
        <w:pStyle w:val="Heading2"/>
      </w:pPr>
      <w:r>
        <w:t xml:space="preserve">Overview</w:t>
      </w:r>
    </w:p>
    <w:p>
      <w:pPr>
        <w:pStyle w:val="FirstParagraph"/>
      </w:pPr>
      <w:r>
        <w:t xml:space="preserve">Decompresses a ZLIB-compressed byte array back to its original text representation.</w:t>
      </w:r>
    </w:p>
    <w:bookmarkEnd w:id="3972"/>
    <w:bookmarkStart w:id="3973" w:name="syntax-423"/>
    <w:p>
      <w:pPr>
        <w:pStyle w:val="Heading2"/>
      </w:pPr>
      <w:r>
        <w:t xml:space="preserve">Syntax</w:t>
      </w:r>
    </w:p>
    <w:p>
      <w:pPr>
        <w:pStyle w:val="SourceCode"/>
      </w:pPr>
      <w:r>
        <w:rPr>
          <w:rStyle w:val="NormalTok"/>
        </w:rPr>
        <w:t xml:space="preserve">Dim textData</w:t>
      </w:r>
      <w:r>
        <w:br/>
      </w:r>
      <w:r>
        <w:rPr>
          <w:rStyle w:val="NormalTok"/>
        </w:rPr>
        <w:t xml:space="preserve">textData = obj.DecompressText(input)</w:t>
      </w:r>
    </w:p>
    <w:bookmarkEnd w:id="3973"/>
    <w:bookmarkStart w:id="3974" w:name="parameters-and-arguments-93"/>
    <w:p>
      <w:pPr>
        <w:pStyle w:val="Heading2"/>
      </w:pPr>
      <w:r>
        <w:t xml:space="preserve">Parameters and Arguments</w:t>
      </w:r>
    </w:p>
    <w:p>
      <w:pPr>
        <w:pStyle w:val="Compact"/>
        <w:numPr>
          <w:ilvl w:val="0"/>
          <w:numId w:val="1998"/>
        </w:numPr>
      </w:pPr>
      <w:r>
        <w:t xml:space="preserve">input (Variant, Required): The compressed byte array to decompress.</w:t>
      </w:r>
    </w:p>
    <w:bookmarkEnd w:id="3974"/>
    <w:bookmarkStart w:id="3975" w:name="return-values-144"/>
    <w:p>
      <w:pPr>
        <w:pStyle w:val="Heading2"/>
      </w:pPr>
      <w:r>
        <w:t xml:space="preserve">Return Values</w:t>
      </w:r>
    </w:p>
    <w:p>
      <w:pPr>
        <w:pStyle w:val="FirstParagraph"/>
      </w:pPr>
      <w:r>
        <w:t xml:space="preserve">Returns a String containing the decompressed text. If the decompression fails, it returns an empty string and updates the LastError property.</w:t>
      </w:r>
    </w:p>
    <w:bookmarkEnd w:id="3975"/>
    <w:bookmarkStart w:id="3976" w:name="remarks-404"/>
    <w:p>
      <w:pPr>
        <w:pStyle w:val="Heading2"/>
      </w:pPr>
      <w:r>
        <w:t xml:space="preserve">Remarks</w:t>
      </w:r>
    </w:p>
    <w:p>
      <w:pPr>
        <w:pStyle w:val="Compact"/>
        <w:numPr>
          <w:ilvl w:val="0"/>
          <w:numId w:val="1999"/>
        </w:numPr>
      </w:pPr>
      <w:r>
        <w:t xml:space="preserve">Method names are case-insensitive.</w:t>
      </w:r>
    </w:p>
    <w:p>
      <w:pPr>
        <w:pStyle w:val="Compact"/>
        <w:numPr>
          <w:ilvl w:val="0"/>
          <w:numId w:val="1999"/>
        </w:numPr>
      </w:pPr>
      <w:r>
        <w:t xml:space="preserve">This method assumes the original data was a string and automatically handles the text conversion.</w:t>
      </w:r>
    </w:p>
    <w:bookmarkEnd w:id="3976"/>
    <w:bookmarkStart w:id="3978" w:name="code-example-22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textData</w:t>
      </w:r>
      <w:r>
        <w:rPr>
          <w:rStyle w:val="OtherTok"/>
        </w:rPr>
        <w:t xml:space="preserve">,</w:t>
      </w:r>
      <w:r>
        <w:rPr>
          <w:rStyle w:val="NormalTok"/>
        </w:rPr>
        <w:t xml:space="preserve"> compressedData</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br/>
      </w:r>
      <w:r>
        <w:rPr>
          <w:rStyle w:val="NormalTok"/>
        </w:rPr>
        <w:t xml:space="preserve">compressedData = obj.Compress</w:t>
      </w:r>
      <w:r>
        <w:rPr>
          <w:rStyle w:val="OtherTok"/>
        </w:rPr>
        <w:t xml:space="preserve">(</w:t>
      </w:r>
      <w:r>
        <w:rPr>
          <w:rStyle w:val="StringTok"/>
        </w:rPr>
        <w:t xml:space="preserve">"Sample text"</w:t>
      </w:r>
      <w:r>
        <w:rPr>
          <w:rStyle w:val="OtherTok"/>
        </w:rPr>
        <w:t xml:space="preserve">)</w:t>
      </w:r>
      <w:r>
        <w:br/>
      </w:r>
      <w:r>
        <w:rPr>
          <w:rStyle w:val="NormalTok"/>
        </w:rPr>
        <w:t xml:space="preserve">textData = obj.DecompressText</w:t>
      </w:r>
      <w:r>
        <w:rPr>
          <w:rStyle w:val="OtherTok"/>
        </w:rPr>
        <w:t xml:space="preserve">(</w:t>
      </w:r>
      <w:r>
        <w:rPr>
          <w:rStyle w:val="NormalTok"/>
        </w:rPr>
        <w:t xml:space="preserve">compressedData</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textData</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Start w:id="3977" w:name="properties-detail-6"/>
    <w:p>
      <w:pPr>
        <w:pStyle w:val="Heading3"/>
      </w:pPr>
      <w:r>
        <w:t xml:space="preserve">Properties Detail</w:t>
      </w:r>
    </w:p>
    <w:bookmarkEnd w:id="3977"/>
    <w:bookmarkEnd w:id="3978"/>
    <w:bookmarkEnd w:id="3979"/>
    <w:bookmarkStart w:id="3987" w:name="get-the-lasterror-property"/>
    <w:p>
      <w:pPr>
        <w:pStyle w:val="Heading1"/>
      </w:pPr>
      <w:r>
        <w:t xml:space="preserve">Get the LastError Property</w:t>
      </w:r>
    </w:p>
    <w:bookmarkStart w:id="3980" w:name="overview-435"/>
    <w:p>
      <w:pPr>
        <w:pStyle w:val="Heading2"/>
      </w:pPr>
      <w:r>
        <w:t xml:space="preserve">Overview</w:t>
      </w:r>
    </w:p>
    <w:p>
      <w:pPr>
        <w:pStyle w:val="FirstParagraph"/>
      </w:pPr>
      <w:r>
        <w:t xml:space="preserve">The LastError property is exposed by the G3ZLIB library object and returns the last error message recorded during compression or decompression operations.</w:t>
      </w:r>
    </w:p>
    <w:bookmarkEnd w:id="3980"/>
    <w:bookmarkStart w:id="3981" w:name="syntax-424"/>
    <w:p>
      <w:pPr>
        <w:pStyle w:val="Heading2"/>
      </w:pPr>
      <w:r>
        <w:t xml:space="preserve">Syntax</w:t>
      </w:r>
    </w:p>
    <w:p>
      <w:pPr>
        <w:pStyle w:val="SourceCode"/>
      </w:pPr>
      <w:r>
        <w:rPr>
          <w:rStyle w:val="NormalTok"/>
        </w:rPr>
        <w:t xml:space="preserve">Dim errorMessage</w:t>
      </w:r>
      <w:r>
        <w:br/>
      </w:r>
      <w:r>
        <w:rPr>
          <w:rStyle w:val="NormalTok"/>
        </w:rPr>
        <w:t xml:space="preserve">errorMessage = obj.LastError</w:t>
      </w:r>
    </w:p>
    <w:bookmarkEnd w:id="3981"/>
    <w:bookmarkStart w:id="3982" w:name="parameters-and-arguments-94"/>
    <w:p>
      <w:pPr>
        <w:pStyle w:val="Heading2"/>
      </w:pPr>
      <w:r>
        <w:t xml:space="preserve">Parameters and Arguments</w:t>
      </w:r>
    </w:p>
    <w:p>
      <w:pPr>
        <w:pStyle w:val="Compact"/>
        <w:numPr>
          <w:ilvl w:val="0"/>
          <w:numId w:val="2000"/>
        </w:numPr>
      </w:pPr>
      <w:r>
        <w:t xml:space="preserve">Getter: Does not take arguments.</w:t>
      </w:r>
    </w:p>
    <w:p>
      <w:pPr>
        <w:pStyle w:val="Compact"/>
        <w:numPr>
          <w:ilvl w:val="0"/>
          <w:numId w:val="2000"/>
        </w:numPr>
      </w:pPr>
      <w:r>
        <w:t xml:space="preserve">Setter: This property is read-only.</w:t>
      </w:r>
    </w:p>
    <w:bookmarkEnd w:id="3982"/>
    <w:bookmarkStart w:id="3983" w:name="return-values-145"/>
    <w:p>
      <w:pPr>
        <w:pStyle w:val="Heading2"/>
      </w:pPr>
      <w:r>
        <w:t xml:space="preserve">Return Values</w:t>
      </w:r>
    </w:p>
    <w:p>
      <w:pPr>
        <w:pStyle w:val="FirstParagraph"/>
      </w:pPr>
      <w:r>
        <w:t xml:space="preserve">Returns a String containing the description of the last error that occurred. If no error occurred, it returns an empty string.</w:t>
      </w:r>
    </w:p>
    <w:bookmarkEnd w:id="3983"/>
    <w:bookmarkStart w:id="3984" w:name="remarks-405"/>
    <w:p>
      <w:pPr>
        <w:pStyle w:val="Heading2"/>
      </w:pPr>
      <w:r>
        <w:t xml:space="preserve">Remarks</w:t>
      </w:r>
    </w:p>
    <w:p>
      <w:pPr>
        <w:pStyle w:val="Compact"/>
        <w:numPr>
          <w:ilvl w:val="0"/>
          <w:numId w:val="2001"/>
        </w:numPr>
      </w:pPr>
      <w:r>
        <w:t xml:space="preserve">Property names are case-insensitive.</w:t>
      </w:r>
    </w:p>
    <w:p>
      <w:pPr>
        <w:pStyle w:val="Compact"/>
        <w:numPr>
          <w:ilvl w:val="0"/>
          <w:numId w:val="2001"/>
        </w:numPr>
      </w:pPr>
      <w:r>
        <w:t xml:space="preserve">This property is read-only and rejects assignments.</w:t>
      </w:r>
    </w:p>
    <w:bookmarkEnd w:id="3984"/>
    <w:bookmarkStart w:id="3985" w:name="code-example-22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errorMessage</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"G3ZLIB"</w:t>
      </w:r>
      <w:r>
        <w:rPr>
          <w:rStyle w:val="OtherTok"/>
        </w:rPr>
        <w:t xml:space="preserve">)</w:t>
      </w:r>
      <w:r>
        <w:br/>
      </w:r>
      <w:r>
        <w:br/>
      </w:r>
      <w:r>
        <w:rPr>
          <w:rStyle w:val="CommentTok"/>
        </w:rPr>
        <w:t xml:space="preserve">' Attempt to decompress invalid data</w:t>
      </w:r>
      <w:r>
        <w:br/>
      </w:r>
      <w:r>
        <w:rPr>
          <w:rStyle w:val="KeywordTok"/>
        </w:rPr>
        <w:t xml:space="preserve">Call</w:t>
      </w:r>
      <w:r>
        <w:rPr>
          <w:rStyle w:val="NormalTok"/>
        </w:rPr>
        <w:t xml:space="preserve"> obj.DecompressText</w:t>
      </w:r>
      <w:r>
        <w:rPr>
          <w:rStyle w:val="OtherTok"/>
        </w:rPr>
        <w:t xml:space="preserve">(</w:t>
      </w:r>
      <w:r>
        <w:rPr>
          <w:rStyle w:val="StringTok"/>
        </w:rPr>
        <w:t xml:space="preserve">"invalid data"</w:t>
      </w:r>
      <w:r>
        <w:rPr>
          <w:rStyle w:val="OtherTok"/>
        </w:rPr>
        <w:t xml:space="preserve">)</w:t>
      </w:r>
      <w:r>
        <w:br/>
      </w:r>
      <w:r>
        <w:br/>
      </w:r>
      <w:r>
        <w:rPr>
          <w:rStyle w:val="NormalTok"/>
        </w:rPr>
        <w:t xml:space="preserve">errorMessage = obj.LastError</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"Last Error: "</w:t>
      </w:r>
      <w:r>
        <w:rPr>
          <w:rStyle w:val="NormalTok"/>
        </w:rPr>
        <w:t xml:space="preserve"> </w:t>
      </w:r>
      <w:r>
        <w:rPr>
          <w:rStyle w:val="KeywordTok"/>
        </w:rPr>
        <w:t xml:space="preserve">&amp;</w:t>
      </w:r>
      <w:r>
        <w:rPr>
          <w:rStyle w:val="NormalTok"/>
        </w:rPr>
        <w:t xml:space="preserve"> errorMessage</w:t>
      </w:r>
      <w:r>
        <w:br/>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85"/>
    <w:bookmarkStart w:id="3986" w:name="g3tar"/>
    <w:p>
      <w:pPr>
        <w:pStyle w:val="Heading2"/>
      </w:pPr>
      <w:r>
        <w:t xml:space="preserve">G3TAR</w:t>
      </w:r>
    </w:p>
    <w:bookmarkEnd w:id="3986"/>
    <w:bookmarkEnd w:id="3987"/>
    <w:bookmarkStart w:id="3994" w:name="use-g3tar-in-axonasp"/>
    <w:p>
      <w:pPr>
        <w:pStyle w:val="Heading1"/>
      </w:pPr>
      <w:r>
        <w:t xml:space="preserve">Use G3TAR in AxonASP</w:t>
      </w:r>
    </w:p>
    <w:bookmarkStart w:id="3988" w:name="overview-436"/>
    <w:p>
      <w:pPr>
        <w:pStyle w:val="Heading2"/>
      </w:pPr>
      <w:r>
        <w:t xml:space="preserve">Overview</w:t>
      </w:r>
    </w:p>
    <w:p>
      <w:pPr>
        <w:pStyle w:val="FirstParagraph"/>
      </w:pPr>
      <w:r>
        <w:t xml:space="preserve">G3TAR provides robust TAR archive creation and extraction capabilities. It allows packaging files and folders into an uncompressed tape archive format or extracting existing archives to a local directory.</w:t>
      </w:r>
    </w:p>
    <w:bookmarkEnd w:id="3988"/>
    <w:bookmarkStart w:id="3989" w:name="syntax-425"/>
    <w:p>
      <w:pPr>
        <w:pStyle w:val="Heading2"/>
      </w:pPr>
      <w:r>
        <w:t xml:space="preserve">Syntax</w:t>
      </w:r>
    </w:p>
    <w:p>
      <w:pPr>
        <w:pStyle w:val="SourceCode"/>
      </w:pPr>
      <w:r>
        <w:rPr>
          <w:rStyle w:val="NormalTok"/>
        </w:rPr>
        <w:t xml:space="preserve">Dim obj</w:t>
      </w:r>
      <w:r>
        <w:br/>
      </w:r>
      <w:r>
        <w:rPr>
          <w:rStyle w:val="NormalTok"/>
        </w:rPr>
        <w:t xml:space="preserve">Set obj = Server.CreateObject("G3TAR")</w:t>
      </w:r>
    </w:p>
    <w:p>
      <w:pPr>
        <w:pStyle w:val="SourceCode"/>
      </w:pPr>
      <w:r>
        <w:rPr>
          <w:rStyle w:val="KeywordTok"/>
        </w:rPr>
        <w:t xml:space="preserve">var</w:t>
      </w:r>
      <w:r>
        <w:rPr>
          <w:rStyle w:val="NormalTok"/>
        </w:rPr>
        <w:t xml:space="preserve"> obj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"G3TAR"</w:t>
      </w:r>
      <w:r>
        <w:rPr>
          <w:rStyle w:val="NormalTok"/>
        </w:rPr>
        <w:t xml:space="preserve">)</w:t>
      </w:r>
      <w:r>
        <w:rPr>
          <w:rStyle w:val="OperatorTok"/>
        </w:rPr>
        <w:t xml:space="preserve">;</w:t>
      </w:r>
    </w:p>
    <w:bookmarkEnd w:id="3989"/>
    <w:bookmarkStart w:id="3990" w:name="parameters-and-arguments-95"/>
    <w:p>
      <w:pPr>
        <w:pStyle w:val="Heading2"/>
      </w:pPr>
      <w:r>
        <w:t xml:space="preserve">Parameters and Arguments</w:t>
      </w:r>
    </w:p>
    <w:p>
      <w:pPr>
        <w:pStyle w:val="Compact"/>
        <w:numPr>
          <w:ilvl w:val="0"/>
          <w:numId w:val="2002"/>
        </w:numPr>
      </w:pPr>
      <w:r>
        <w:t xml:space="preserve">ProgID (String, Required): Must initialize with</w:t>
      </w:r>
      <w:r>
        <w:t xml:space="preserve"> </w:t>
      </w:r>
      <w:r>
        <w:t xml:space="preserve">“G3TAR”</w:t>
      </w:r>
      <w:r>
        <w:t xml:space="preserve">.</w:t>
      </w:r>
    </w:p>
    <w:bookmarkEnd w:id="3990"/>
    <w:bookmarkStart w:id="3991" w:name="return-values-146"/>
    <w:p>
      <w:pPr>
        <w:pStyle w:val="Heading2"/>
      </w:pPr>
      <w:r>
        <w:t xml:space="preserve">Return Values</w:t>
      </w:r>
    </w:p>
    <w:p>
      <w:pPr>
        <w:pStyle w:val="FirstParagraph"/>
      </w:pPr>
      <w:r>
        <w:t xml:space="preserve">Returns a native object handle for the G3Pix AxonASP G3TAR engine.</w:t>
      </w:r>
    </w:p>
    <w:bookmarkEnd w:id="3991"/>
    <w:bookmarkStart w:id="3992" w:name="remarks-406"/>
    <w:p>
      <w:pPr>
        <w:pStyle w:val="Heading2"/>
      </w:pPr>
      <w:r>
        <w:t xml:space="preserve">Remarks</w:t>
      </w:r>
    </w:p>
    <w:p>
      <w:pPr>
        <w:pStyle w:val="Compact"/>
        <w:numPr>
          <w:ilvl w:val="0"/>
          <w:numId w:val="2003"/>
        </w:numPr>
      </w:pPr>
      <w:r>
        <w:t xml:space="preserve">G3TAR works primarily with the uncompressed standard TAR format. For compressed wrappers, combine with G3ZLIB or G3ZSTD operations if needed.</w:t>
      </w:r>
    </w:p>
    <w:p>
      <w:pPr>
        <w:pStyle w:val="Compact"/>
        <w:numPr>
          <w:ilvl w:val="0"/>
          <w:numId w:val="2003"/>
        </w:numPr>
      </w:pPr>
      <w:r>
        <w:t xml:space="preserve">Always check the returned boolean values from methods and read the LastError property if an operation fails.</w:t>
      </w:r>
    </w:p>
    <w:p>
      <w:pPr>
        <w:pStyle w:val="Compact"/>
        <w:numPr>
          <w:ilvl w:val="0"/>
          <w:numId w:val="2003"/>
        </w:numPr>
      </w:pPr>
      <w:r>
        <w:t xml:space="preserve">Do not forget to invoke Close after finishing operations to release file handles.</w:t>
      </w:r>
    </w:p>
    <w:bookmarkEnd w:id="3992"/>
    <w:bookmarkStart w:id="3993" w:name="code-example-22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obj.Create</w:t>
      </w:r>
      <w:r>
        <w:rPr>
          <w:rStyle w:val="OtherTok"/>
        </w:rPr>
        <w:t xml:space="preserve">(</w:t>
      </w:r>
      <w:r>
        <w:rPr>
          <w:rStyle w:val="StringTok"/>
        </w:rPr>
        <w:t xml:space="preserve">"C:\temp\backup.tar"</w:t>
      </w:r>
      <w:r>
        <w:rPr>
          <w:rStyle w:val="OtherTok"/>
        </w:rPr>
        <w:t xml:space="preserve">)</w:t>
      </w:r>
      <w:r>
        <w:rPr>
          <w:rStyle w:val="NormalTok"/>
        </w:rPr>
        <w:t xml:space="preserve"> </w:t>
      </w:r>
      <w:r>
        <w:rPr>
          <w:rStyle w:val="ControlFlowTok"/>
        </w:rPr>
        <w:t xml:space="preserve">Then</w:t>
      </w:r>
      <w:r>
        <w:br/>
      </w:r>
      <w:r>
        <w:rPr>
          <w:rStyle w:val="NormalTok"/>
        </w:rPr>
        <w:t xml:space="preserve">    obj.AddFile </w:t>
      </w:r>
      <w:r>
        <w:rPr>
          <w:rStyle w:val="StringTok"/>
        </w:rPr>
        <w:t xml:space="preserve">"C:\temp\data.txt"</w:t>
      </w:r>
      <w:r>
        <w:rPr>
          <w:rStyle w:val="OtherTok"/>
        </w:rPr>
        <w:t xml:space="preserve">,</w:t>
      </w:r>
      <w:r>
        <w:rPr>
          <w:rStyle w:val="NormalTok"/>
        </w:rPr>
        <w:t xml:space="preserve"> </w:t>
      </w:r>
      <w:r>
        <w:rPr>
          <w:rStyle w:val="StringTok"/>
        </w:rPr>
        <w:t xml:space="preserve">"data.txt"</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3993"/>
    <w:bookmarkEnd w:id="3994"/>
    <w:bookmarkStart w:id="3998" w:name="g3tar-methods"/>
    <w:p>
      <w:pPr>
        <w:pStyle w:val="Heading1"/>
      </w:pPr>
      <w:r>
        <w:t xml:space="preserve">G3TAR Methods</w:t>
      </w:r>
    </w:p>
    <w:bookmarkStart w:id="3995" w:name="overview-437"/>
    <w:p>
      <w:pPr>
        <w:pStyle w:val="Heading2"/>
      </w:pPr>
      <w:r>
        <w:t xml:space="preserve">Overview</w:t>
      </w:r>
    </w:p>
    <w:p>
      <w:pPr>
        <w:pStyle w:val="FirstParagraph"/>
      </w:pPr>
      <w:r>
        <w:t xml:space="preserve">This page summarizes every method exposed by</w:t>
      </w:r>
      <w:r>
        <w:t xml:space="preserve"> </w:t>
      </w:r>
      <w:r>
        <w:rPr>
          <w:rStyle w:val="VerbatimChar"/>
        </w:rPr>
        <w:t xml:space="preserve">G3TAR</w:t>
      </w:r>
      <w:r>
        <w:t xml:space="preserve"> </w:t>
      </w:r>
      <w:r>
        <w:t xml:space="preserve">in G3Pix AxonASP.</w:t>
      </w:r>
    </w:p>
    <w:bookmarkEnd w:id="3995"/>
    <w:bookmarkStart w:id="3996" w:name="methods-28"/>
    <w:p>
      <w:pPr>
        <w:pStyle w:val="Heading2"/>
      </w:pPr>
      <w:r>
        <w:t xml:space="preserve">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Create(path)</w:t>
            </w:r>
          </w:p>
        </w:tc>
        <w:tc>
          <w:tcPr/>
          <w:p>
            <w:pPr>
              <w:pStyle w:val="Compact"/>
            </w:pPr>
            <w:r>
              <w:t xml:space="preserve">Boolean</w:t>
            </w:r>
          </w:p>
        </w:tc>
        <w:tc>
          <w:tcPr/>
          <w:p>
            <w:pPr>
              <w:pStyle w:val="Compact"/>
            </w:pPr>
            <w:r>
              <w:t xml:space="preserve">Creates a TAR archive in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Open(path)</w:t>
            </w:r>
          </w:p>
        </w:tc>
        <w:tc>
          <w:tcPr/>
          <w:p>
            <w:pPr>
              <w:pStyle w:val="Compact"/>
            </w:pPr>
            <w:r>
              <w:t xml:space="preserve">Boolean</w:t>
            </w:r>
          </w:p>
        </w:tc>
        <w:tc>
          <w:tcPr/>
          <w:p>
            <w:pPr>
              <w:pStyle w:val="Compact"/>
            </w:pPr>
            <w:r>
              <w:t xml:space="preserve">Opens a TAR archive in read mode and indexes entries.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AddFile(sourcePath [, nameInTar])</w:t>
            </w:r>
          </w:p>
        </w:tc>
        <w:tc>
          <w:tcPr/>
          <w:p>
            <w:pPr>
              <w:pStyle w:val="Compact"/>
            </w:pPr>
            <w:r>
              <w:t xml:space="preserve">Boolean</w:t>
            </w:r>
          </w:p>
        </w:tc>
        <w:tc>
          <w:tcPr/>
          <w:p>
            <w:pPr>
              <w:pStyle w:val="Compact"/>
            </w:pPr>
            <w:r>
              <w:t xml:space="preserve">Adds one file to archive in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AddFolder(sourcePath [, nameInTar])</w:t>
            </w:r>
          </w:p>
        </w:tc>
        <w:tc>
          <w:tcPr/>
          <w:p>
            <w:pPr>
              <w:pStyle w:val="Compact"/>
            </w:pPr>
            <w:r>
              <w:t xml:space="preserve">Boolean</w:t>
            </w:r>
          </w:p>
        </w:tc>
        <w:tc>
          <w:tcPr/>
          <w:p>
            <w:pPr>
              <w:pStyle w:val="Compact"/>
            </w:pPr>
            <w:r>
              <w:t xml:space="preserve">Adds one folder recursively to archive in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AddFiles(items [, prefix])</w:t>
            </w:r>
          </w:p>
        </w:tc>
        <w:tc>
          <w:tcPr/>
          <w:p>
            <w:pPr>
              <w:pStyle w:val="Compact"/>
            </w:pPr>
            <w:r>
              <w:t xml:space="preserve">Boolean</w:t>
            </w:r>
          </w:p>
        </w:tc>
        <w:tc>
          <w:tcPr/>
          <w:p>
            <w:pPr>
              <w:pStyle w:val="Compact"/>
            </w:pPr>
            <w:r>
              <w:t xml:space="preserve">Adds multiple items from array/dictionary input to archive in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AddText(nameInTar, text)</w:t>
            </w:r>
          </w:p>
        </w:tc>
        <w:tc>
          <w:tcPr/>
          <w:p>
            <w:pPr>
              <w:pStyle w:val="Compact"/>
            </w:pPr>
            <w:r>
              <w:t xml:space="preserve">Boolean</w:t>
            </w:r>
          </w:p>
        </w:tc>
        <w:tc>
          <w:tcPr/>
          <w:p>
            <w:pPr>
              <w:pStyle w:val="Compact"/>
            </w:pPr>
            <w:r>
              <w:t xml:space="preserve">Adds text content as one TAR entry in write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List()</w:t>
            </w:r>
          </w:p>
        </w:tc>
        <w:tc>
          <w:tcPr/>
          <w:p>
            <w:pPr>
              <w:pStyle w:val="Compact"/>
            </w:pPr>
            <w:r>
              <w:t xml:space="preserve">Array</w:t>
            </w:r>
          </w:p>
        </w:tc>
        <w:tc>
          <w:tcPr/>
          <w:p>
            <w:pPr>
              <w:pStyle w:val="Compact"/>
            </w:pPr>
            <w:r>
              <w:t xml:space="preserve">Returns an array of TAR entry names.</w:t>
            </w:r>
          </w:p>
        </w:tc>
      </w:tr>
      <w:tr>
        <w:tc>
          <w:tcPr/>
          <w:p>
            <w:pPr>
              <w:pStyle w:val="Compact"/>
            </w:pPr>
            <w:r>
              <w:rPr>
                <w:rStyle w:val="VerbatimChar"/>
              </w:rPr>
              <w:t xml:space="preserve">ExtractAll(destinationPath)</w:t>
            </w:r>
          </w:p>
        </w:tc>
        <w:tc>
          <w:tcPr/>
          <w:p>
            <w:pPr>
              <w:pStyle w:val="Compact"/>
            </w:pPr>
            <w:r>
              <w:t xml:space="preserve">Boolean</w:t>
            </w:r>
          </w:p>
        </w:tc>
        <w:tc>
          <w:tcPr/>
          <w:p>
            <w:pPr>
              <w:pStyle w:val="Compact"/>
            </w:pPr>
            <w:r>
              <w:t xml:space="preserve">Extracts all TAR entries in read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ExtractFile(nameInTar, destinationPath)</w:t>
            </w:r>
          </w:p>
        </w:tc>
        <w:tc>
          <w:tcPr/>
          <w:p>
            <w:pPr>
              <w:pStyle w:val="Compact"/>
            </w:pPr>
            <w:r>
              <w:t xml:space="preserve">Boolean</w:t>
            </w:r>
          </w:p>
        </w:tc>
        <w:tc>
          <w:tcPr/>
          <w:p>
            <w:pPr>
              <w:pStyle w:val="Compact"/>
            </w:pPr>
            <w:r>
              <w:t xml:space="preserve">Extracts one TAR entry in read mode. Returns</w:t>
            </w:r>
            <w:r>
              <w:t xml:space="preserve"> </w:t>
            </w:r>
            <w:r>
              <w:rPr>
                <w:rStyle w:val="VerbatimChar"/>
              </w:rPr>
              <w:t xml:space="preserve">True</w:t>
            </w:r>
            <w:r>
              <w:t xml:space="preserve"> </w:t>
            </w:r>
            <w:r>
              <w:t xml:space="preserve">on success; otherwise</w:t>
            </w:r>
            <w:r>
              <w:t xml:space="preserve"> </w:t>
            </w:r>
            <w:r>
              <w:rPr>
                <w:rStyle w:val="VerbatimChar"/>
              </w:rPr>
              <w:t xml:space="preserve">False</w:t>
            </w:r>
            <w:r>
              <w:t xml:space="preserve">.</w:t>
            </w:r>
          </w:p>
        </w:tc>
      </w:tr>
      <w:tr>
        <w:tc>
          <w:tcPr/>
          <w:p>
            <w:pPr>
              <w:pStyle w:val="Compact"/>
            </w:pPr>
            <w:r>
              <w:rPr>
                <w:rStyle w:val="VerbatimChar"/>
              </w:rPr>
              <w:t xml:space="preserve">GetInfo(nameInTar)</w:t>
            </w:r>
          </w:p>
        </w:tc>
        <w:tc>
          <w:tcPr/>
          <w:p>
            <w:pPr>
              <w:pStyle w:val="Compact"/>
            </w:pPr>
            <w:r>
              <w:t xml:space="preserve">Scripting.Dictionary or Empty</w:t>
            </w:r>
          </w:p>
        </w:tc>
        <w:tc>
          <w:tcPr/>
          <w:p>
            <w:pPr>
              <w:pStyle w:val="Compact"/>
            </w:pPr>
            <w:r>
              <w:t xml:space="preserve">Returns metadata dictionary for one entry, or Empty when argument is missing or entry is not found.</w:t>
            </w:r>
          </w:p>
        </w:tc>
      </w:tr>
      <w:tr>
        <w:tc>
          <w:tcPr/>
          <w:p>
            <w:pPr>
              <w:pStyle w:val="Compact"/>
            </w:pPr>
            <w:r>
              <w:rPr>
                <w:rStyle w:val="VerbatimChar"/>
              </w:rPr>
              <w:t xml:space="preserve">Close()</w:t>
            </w:r>
          </w:p>
        </w:tc>
        <w:tc>
          <w:tcPr/>
          <w:p>
            <w:pPr>
              <w:pStyle w:val="Compact"/>
            </w:pPr>
            <w:r>
              <w:t xml:space="preserve">Boolean</w:t>
            </w:r>
          </w:p>
        </w:tc>
        <w:tc>
          <w:tcPr/>
          <w:p>
            <w:pPr>
              <w:pStyle w:val="Compact"/>
            </w:pPr>
            <w:r>
              <w:t xml:space="preserve">Closes TAR resources and returns</w:t>
            </w:r>
            <w:r>
              <w:t xml:space="preserve"> </w:t>
            </w:r>
            <w:r>
              <w:rPr>
                <w:rStyle w:val="VerbatimChar"/>
              </w:rPr>
              <w:t xml:space="preserve">True</w:t>
            </w:r>
            <w:r>
              <w:t xml:space="preserve">.</w:t>
            </w:r>
          </w:p>
        </w:tc>
      </w:tr>
    </w:tbl>
    <w:bookmarkEnd w:id="3996"/>
    <w:bookmarkStart w:id="3997" w:name="remarks-407"/>
    <w:p>
      <w:pPr>
        <w:pStyle w:val="Heading2"/>
      </w:pPr>
      <w:r>
        <w:t xml:space="preserve">Remarks</w:t>
      </w:r>
    </w:p>
    <w:p>
      <w:pPr>
        <w:pStyle w:val="Compact"/>
        <w:numPr>
          <w:ilvl w:val="0"/>
          <w:numId w:val="2004"/>
        </w:numPr>
      </w:pPr>
      <w:r>
        <w:t xml:space="preserve">Instantiate the library with</w:t>
      </w:r>
      <w:r>
        <w:t xml:space="preserve"> </w:t>
      </w:r>
      <w:r>
        <w:rPr>
          <w:rStyle w:val="VerbatimChar"/>
        </w:rPr>
        <w:t xml:space="preserve">Server.CreateObject("G3TAR")</w:t>
      </w:r>
      <w:r>
        <w:t xml:space="preserve">.</w:t>
      </w:r>
    </w:p>
    <w:p>
      <w:pPr>
        <w:pStyle w:val="Compact"/>
        <w:numPr>
          <w:ilvl w:val="0"/>
          <w:numId w:val="2004"/>
        </w:numPr>
      </w:pPr>
      <w:r>
        <w:t xml:space="preserve">Method names are case-insensitive.</w:t>
      </w:r>
    </w:p>
    <w:p>
      <w:pPr>
        <w:pStyle w:val="Compact"/>
        <w:numPr>
          <w:ilvl w:val="0"/>
          <w:numId w:val="2004"/>
        </w:numPr>
      </w:pPr>
      <w:r>
        <w:t xml:space="preserve">Use</w:t>
      </w:r>
      <w:r>
        <w:t xml:space="preserve"> </w:t>
      </w:r>
      <w:r>
        <w:rPr>
          <w:rStyle w:val="VerbatimChar"/>
        </w:rPr>
        <w:t xml:space="preserve">LastError</w:t>
      </w:r>
      <w:r>
        <w:t xml:space="preserve"> </w:t>
      </w:r>
      <w:r>
        <w:t xml:space="preserve">for failure diagnostics.</w:t>
      </w:r>
    </w:p>
    <w:bookmarkEnd w:id="3997"/>
    <w:bookmarkEnd w:id="3998"/>
    <w:bookmarkStart w:id="4003" w:name="g3tar-properties"/>
    <w:p>
      <w:pPr>
        <w:pStyle w:val="Heading1"/>
      </w:pPr>
      <w:r>
        <w:t xml:space="preserve">G3TAR Properties</w:t>
      </w:r>
    </w:p>
    <w:bookmarkStart w:id="3999" w:name="overview-438"/>
    <w:p>
      <w:pPr>
        <w:pStyle w:val="Heading2"/>
      </w:pPr>
      <w:r>
        <w:t xml:space="preserve">Overview</w:t>
      </w:r>
    </w:p>
    <w:p>
      <w:pPr>
        <w:pStyle w:val="FirstParagraph"/>
      </w:pPr>
      <w:r>
        <w:t xml:space="preserve">This page lists the properties exposed by</w:t>
      </w:r>
      <w:r>
        <w:t xml:space="preserve"> </w:t>
      </w:r>
      <w:r>
        <w:rPr>
          <w:rStyle w:val="VerbatimChar"/>
        </w:rPr>
        <w:t xml:space="preserve">G3TAR</w:t>
      </w:r>
      <w:r>
        <w:t xml:space="preserve">.</w:t>
      </w:r>
    </w:p>
    <w:bookmarkEnd w:id="3999"/>
    <w:bookmarkStart w:id="4000" w:name="properties-28"/>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Path</w:t>
            </w:r>
          </w:p>
        </w:tc>
        <w:tc>
          <w:tcPr/>
          <w:p>
            <w:pPr>
              <w:pStyle w:val="Compact"/>
            </w:pPr>
            <w:r>
              <w:t xml:space="preserve">Read-only</w:t>
            </w:r>
          </w:p>
        </w:tc>
        <w:tc>
          <w:tcPr/>
          <w:p>
            <w:pPr>
              <w:pStyle w:val="Compact"/>
            </w:pPr>
            <w:r>
              <w:t xml:space="preserve">String</w:t>
            </w:r>
          </w:p>
        </w:tc>
        <w:tc>
          <w:tcPr/>
          <w:p>
            <w:pPr>
              <w:pStyle w:val="Compact"/>
            </w:pPr>
            <w:r>
              <w:t xml:space="preserve">Active TAR archive path.</w:t>
            </w:r>
          </w:p>
        </w:tc>
      </w:tr>
      <w:tr>
        <w:tc>
          <w:tcPr/>
          <w:p>
            <w:pPr>
              <w:pStyle w:val="Compact"/>
            </w:pPr>
            <w:r>
              <w:rPr>
                <w:rStyle w:val="VerbatimChar"/>
              </w:rPr>
              <w:t xml:space="preserve">Mode</w:t>
            </w:r>
          </w:p>
        </w:tc>
        <w:tc>
          <w:tcPr/>
          <w:p>
            <w:pPr>
              <w:pStyle w:val="Compact"/>
            </w:pPr>
            <w:r>
              <w:t xml:space="preserve">Read-only</w:t>
            </w:r>
          </w:p>
        </w:tc>
        <w:tc>
          <w:tcPr/>
          <w:p>
            <w:pPr>
              <w:pStyle w:val="Compact"/>
            </w:pPr>
            <w:r>
              <w:t xml:space="preserve">String</w:t>
            </w:r>
          </w:p>
        </w:tc>
        <w:tc>
          <w:tcPr/>
          <w:p>
            <w:pPr>
              <w:pStyle w:val="Compact"/>
            </w:pPr>
            <w:r>
              <w:t xml:space="preserve">Current mode (</w:t>
            </w:r>
            <w:r>
              <w:rPr>
                <w:rStyle w:val="VerbatimChar"/>
              </w:rPr>
              <w:t xml:space="preserve">r</w:t>
            </w:r>
            <w:r>
              <w:t xml:space="preserve"> </w:t>
            </w:r>
            <w:r>
              <w:t xml:space="preserve">for read or</w:t>
            </w:r>
            <w:r>
              <w:t xml:space="preserve"> </w:t>
            </w:r>
            <w:r>
              <w:rPr>
                <w:rStyle w:val="VerbatimChar"/>
              </w:rPr>
              <w:t xml:space="preserve">w</w:t>
            </w:r>
            <w:r>
              <w:t xml:space="preserve"> </w:t>
            </w:r>
            <w:r>
              <w:t xml:space="preserve">for write).</w:t>
            </w:r>
          </w:p>
        </w:tc>
      </w:tr>
      <w:tr>
        <w:tc>
          <w:tcPr/>
          <w:p>
            <w:pPr>
              <w:pStyle w:val="Compact"/>
            </w:pPr>
            <w:r>
              <w:rPr>
                <w:rStyle w:val="VerbatimChar"/>
              </w:rPr>
              <w:t xml:space="preserve">Count</w:t>
            </w:r>
          </w:p>
        </w:tc>
        <w:tc>
          <w:tcPr/>
          <w:p>
            <w:pPr>
              <w:pStyle w:val="Compact"/>
            </w:pPr>
            <w:r>
              <w:t xml:space="preserve">Read-only</w:t>
            </w:r>
          </w:p>
        </w:tc>
        <w:tc>
          <w:tcPr/>
          <w:p>
            <w:pPr>
              <w:pStyle w:val="Compact"/>
            </w:pPr>
            <w:r>
              <w:t xml:space="preserve">Integer</w:t>
            </w:r>
          </w:p>
        </w:tc>
        <w:tc>
          <w:tcPr/>
          <w:p>
            <w:pPr>
              <w:pStyle w:val="Compact"/>
            </w:pPr>
            <w:r>
              <w:t xml:space="preserve">Number of indexed entries in the current TAR context.</w:t>
            </w:r>
          </w:p>
        </w:tc>
      </w:tr>
      <w:tr>
        <w:tc>
          <w:tcPr/>
          <w:p>
            <w:pPr>
              <w:pStyle w:val="Compact"/>
            </w:pPr>
            <w:r>
              <w:rPr>
                <w:rStyle w:val="VerbatimChar"/>
              </w:rPr>
              <w:t xml:space="preserve">LastError</w:t>
            </w:r>
          </w:p>
        </w:tc>
        <w:tc>
          <w:tcPr/>
          <w:p>
            <w:pPr>
              <w:pStyle w:val="Compact"/>
            </w:pPr>
            <w:r>
              <w:t xml:space="preserve">Read-only</w:t>
            </w:r>
          </w:p>
        </w:tc>
        <w:tc>
          <w:tcPr/>
          <w:p>
            <w:pPr>
              <w:pStyle w:val="Compact"/>
            </w:pPr>
            <w:r>
              <w:t xml:space="preserve">String</w:t>
            </w:r>
          </w:p>
        </w:tc>
        <w:tc>
          <w:tcPr/>
          <w:p>
            <w:pPr>
              <w:pStyle w:val="Compact"/>
            </w:pPr>
            <w:r>
              <w:t xml:space="preserve">Latest TAR operation error text.</w:t>
            </w:r>
          </w:p>
        </w:tc>
      </w:tr>
    </w:tbl>
    <w:bookmarkEnd w:id="4000"/>
    <w:bookmarkStart w:id="4002" w:name="remarks-408"/>
    <w:p>
      <w:pPr>
        <w:pStyle w:val="Heading2"/>
      </w:pPr>
      <w:r>
        <w:t xml:space="preserve">Remarks</w:t>
      </w:r>
    </w:p>
    <w:p>
      <w:pPr>
        <w:pStyle w:val="Compact"/>
        <w:numPr>
          <w:ilvl w:val="0"/>
          <w:numId w:val="2005"/>
        </w:numPr>
      </w:pPr>
      <w:r>
        <w:t xml:space="preserve">Instantiate the library with</w:t>
      </w:r>
      <w:r>
        <w:t xml:space="preserve"> </w:t>
      </w:r>
      <w:r>
        <w:rPr>
          <w:rStyle w:val="VerbatimChar"/>
        </w:rPr>
        <w:t xml:space="preserve">Server.CreateObject("G3TAR")</w:t>
      </w:r>
      <w:r>
        <w:t xml:space="preserve">.</w:t>
      </w:r>
    </w:p>
    <w:bookmarkStart w:id="4001" w:name="methods-detail-13"/>
    <w:p>
      <w:pPr>
        <w:pStyle w:val="Heading3"/>
      </w:pPr>
      <w:r>
        <w:t xml:space="preserve">Methods Detail</w:t>
      </w:r>
    </w:p>
    <w:bookmarkEnd w:id="4001"/>
    <w:bookmarkEnd w:id="4002"/>
    <w:bookmarkEnd w:id="4003"/>
    <w:bookmarkStart w:id="4010" w:name="addfile-method-1"/>
    <w:p>
      <w:pPr>
        <w:pStyle w:val="Heading1"/>
      </w:pPr>
      <w:r>
        <w:t xml:space="preserve">AddFile Method</w:t>
      </w:r>
    </w:p>
    <w:bookmarkStart w:id="4004" w:name="overview-439"/>
    <w:p>
      <w:pPr>
        <w:pStyle w:val="Heading2"/>
      </w:pPr>
      <w:r>
        <w:t xml:space="preserve">Overview</w:t>
      </w:r>
    </w:p>
    <w:p>
      <w:pPr>
        <w:pStyle w:val="FirstParagraph"/>
      </w:pPr>
      <w:r>
        <w:t xml:space="preserve">Adds a single local file to the active G3TAR archive.</w:t>
      </w:r>
    </w:p>
    <w:bookmarkEnd w:id="4004"/>
    <w:bookmarkStart w:id="4005" w:name="syntax-426"/>
    <w:p>
      <w:pPr>
        <w:pStyle w:val="Heading2"/>
      </w:pPr>
      <w:r>
        <w:t xml:space="preserve">Syntax</w:t>
      </w:r>
    </w:p>
    <w:p>
      <w:pPr>
        <w:pStyle w:val="SourceCode"/>
      </w:pPr>
      <w:r>
        <w:rPr>
          <w:rStyle w:val="NormalTok"/>
        </w:rPr>
        <w:t xml:space="preserve">Dim success</w:t>
      </w:r>
      <w:r>
        <w:br/>
      </w:r>
      <w:r>
        <w:rPr>
          <w:rStyle w:val="NormalTok"/>
        </w:rPr>
        <w:t xml:space="preserve">success = obj.AddFile(filePath, archiveName)</w:t>
      </w:r>
    </w:p>
    <w:bookmarkEnd w:id="4005"/>
    <w:bookmarkStart w:id="4006" w:name="parameters-and-arguments-96"/>
    <w:p>
      <w:pPr>
        <w:pStyle w:val="Heading2"/>
      </w:pPr>
      <w:r>
        <w:t xml:space="preserve">Parameters and Arguments</w:t>
      </w:r>
    </w:p>
    <w:p>
      <w:pPr>
        <w:pStyle w:val="Compact"/>
        <w:numPr>
          <w:ilvl w:val="0"/>
          <w:numId w:val="2006"/>
        </w:numPr>
      </w:pPr>
      <w:r>
        <w:t xml:space="preserve">filePath (String, Required): Absolute or relative server-side path pointing to the original file to read.</w:t>
      </w:r>
    </w:p>
    <w:p>
      <w:pPr>
        <w:pStyle w:val="Compact"/>
        <w:numPr>
          <w:ilvl w:val="0"/>
          <w:numId w:val="2006"/>
        </w:numPr>
      </w:pPr>
      <w:r>
        <w:t xml:space="preserve">archiveName (String, Optional): Target filename or internal directory structure under which the file resides within the TAR archive. If omitted, the base filename is used.</w:t>
      </w:r>
    </w:p>
    <w:bookmarkEnd w:id="4006"/>
    <w:bookmarkStart w:id="4007" w:name="return-values-147"/>
    <w:p>
      <w:pPr>
        <w:pStyle w:val="Heading2"/>
      </w:pPr>
      <w:r>
        <w:t xml:space="preserve">Return Values</w:t>
      </w:r>
    </w:p>
    <w:p>
      <w:pPr>
        <w:pStyle w:val="FirstParagraph"/>
      </w:pPr>
      <w:r>
        <w:t xml:space="preserve">Returns a</w:t>
      </w:r>
      <w:r>
        <w:t xml:space="preserve"> </w:t>
      </w:r>
      <w:r>
        <w:rPr>
          <w:rStyle w:val="VerbatimChar"/>
        </w:rPr>
        <w:t xml:space="preserve">Boolean</w:t>
      </w:r>
      <w:r>
        <w:t xml:space="preserve">. Computes to True if the file bytes were flushed to the archive, otherwise False.</w:t>
      </w:r>
    </w:p>
    <w:bookmarkEnd w:id="4007"/>
    <w:bookmarkStart w:id="4008" w:name="remarks-409"/>
    <w:p>
      <w:pPr>
        <w:pStyle w:val="Heading2"/>
      </w:pPr>
      <w:r>
        <w:t xml:space="preserve">Remarks</w:t>
      </w:r>
    </w:p>
    <w:p>
      <w:pPr>
        <w:pStyle w:val="Compact"/>
        <w:numPr>
          <w:ilvl w:val="0"/>
          <w:numId w:val="2007"/>
        </w:numPr>
      </w:pPr>
      <w:r>
        <w:t xml:space="preserve">Requires a previous call to the Create method.</w:t>
      </w:r>
    </w:p>
    <w:p>
      <w:pPr>
        <w:pStyle w:val="Compact"/>
        <w:numPr>
          <w:ilvl w:val="0"/>
          <w:numId w:val="2007"/>
        </w:numPr>
      </w:pPr>
      <w:r>
        <w:t xml:space="preserve">Useful for granular file consolidation across disparate source directories.</w:t>
      </w:r>
    </w:p>
    <w:bookmarkEnd w:id="4008"/>
    <w:bookmarkStart w:id="4009" w:name="code-example-22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obj.Create</w:t>
      </w:r>
      <w:r>
        <w:rPr>
          <w:rStyle w:val="OtherTok"/>
        </w:rPr>
        <w:t xml:space="preserve">(</w:t>
      </w:r>
      <w:r>
        <w:rPr>
          <w:rStyle w:val="StringTok"/>
        </w:rPr>
        <w:t xml:space="preserve">"C:\temp\output.tar"</w:t>
      </w:r>
      <w:r>
        <w:rPr>
          <w:rStyle w:val="OtherTok"/>
        </w:rPr>
        <w:t xml:space="preserve">)</w:t>
      </w:r>
      <w:r>
        <w:rPr>
          <w:rStyle w:val="NormalTok"/>
        </w:rPr>
        <w:t xml:space="preserve"> </w:t>
      </w:r>
      <w:r>
        <w:rPr>
          <w:rStyle w:val="ControlFlowTok"/>
        </w:rPr>
        <w:t xml:space="preserve">Then</w:t>
      </w:r>
      <w:r>
        <w:br/>
      </w:r>
      <w:r>
        <w:rPr>
          <w:rStyle w:val="NormalTok"/>
        </w:rPr>
        <w:t xml:space="preserve">    success = obj.AddFile</w:t>
      </w:r>
      <w:r>
        <w:rPr>
          <w:rStyle w:val="OtherTok"/>
        </w:rPr>
        <w:t xml:space="preserve">(</w:t>
      </w:r>
      <w:r>
        <w:rPr>
          <w:rStyle w:val="StringTok"/>
        </w:rPr>
        <w:t xml:space="preserve">"C:\logs\system.log"</w:t>
      </w:r>
      <w:r>
        <w:rPr>
          <w:rStyle w:val="OtherTok"/>
        </w:rPr>
        <w:t xml:space="preserve">,</w:t>
      </w:r>
      <w:r>
        <w:rPr>
          <w:rStyle w:val="NormalTok"/>
        </w:rPr>
        <w:t xml:space="preserve"> </w:t>
      </w:r>
      <w:r>
        <w:rPr>
          <w:rStyle w:val="StringTok"/>
        </w:rPr>
        <w:t xml:space="preserve">"logs/system.log"</w:t>
      </w:r>
      <w:r>
        <w:rPr>
          <w:rStyle w:val="OtherTok"/>
        </w:rPr>
        <w:t xml:space="preserve">)</w:t>
      </w:r>
      <w:r>
        <w:br/>
      </w:r>
      <w:r>
        <w:rPr>
          <w:rStyle w:val="NormalTok"/>
        </w:rPr>
        <w:t xml:space="preserve">    </w:t>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"Item appended properly."</w:t>
      </w:r>
      <w:r>
        <w:br/>
      </w:r>
      <w:r>
        <w:rPr>
          <w:rStyle w:val="NormalTok"/>
        </w:rPr>
        <w:t xml:space="preserve">    </w:t>
      </w:r>
      <w:r>
        <w:rPr>
          <w:rStyle w:val="ControlFlowTok"/>
        </w:rPr>
        <w:t xml:space="preserve">End If</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09"/>
    <w:bookmarkEnd w:id="4010"/>
    <w:bookmarkStart w:id="4017" w:name="addfiles-method"/>
    <w:p>
      <w:pPr>
        <w:pStyle w:val="Heading1"/>
      </w:pPr>
      <w:r>
        <w:t xml:space="preserve">AddFiles Method</w:t>
      </w:r>
    </w:p>
    <w:bookmarkStart w:id="4011" w:name="overview-440"/>
    <w:p>
      <w:pPr>
        <w:pStyle w:val="Heading2"/>
      </w:pPr>
      <w:r>
        <w:t xml:space="preserve">Overview</w:t>
      </w:r>
    </w:p>
    <w:p>
      <w:pPr>
        <w:pStyle w:val="FirstParagraph"/>
      </w:pPr>
      <w:r>
        <w:t xml:space="preserve">Appends a list of specific files to the current G3TAR archive.</w:t>
      </w:r>
    </w:p>
    <w:bookmarkEnd w:id="4011"/>
    <w:bookmarkStart w:id="4012" w:name="syntax-427"/>
    <w:p>
      <w:pPr>
        <w:pStyle w:val="Heading2"/>
      </w:pPr>
      <w:r>
        <w:t xml:space="preserve">Syntax</w:t>
      </w:r>
    </w:p>
    <w:p>
      <w:pPr>
        <w:pStyle w:val="SourceCode"/>
      </w:pPr>
      <w:r>
        <w:rPr>
          <w:rStyle w:val="NormalTok"/>
        </w:rPr>
        <w:t xml:space="preserve">Dim success</w:t>
      </w:r>
      <w:r>
        <w:br/>
      </w:r>
      <w:r>
        <w:rPr>
          <w:rStyle w:val="NormalTok"/>
        </w:rPr>
        <w:t xml:space="preserve">success = obj.AddFiles(sourcePaths, prefix)</w:t>
      </w:r>
    </w:p>
    <w:bookmarkEnd w:id="4012"/>
    <w:bookmarkStart w:id="4013" w:name="parameters-and-arguments-97"/>
    <w:p>
      <w:pPr>
        <w:pStyle w:val="Heading2"/>
      </w:pPr>
      <w:r>
        <w:t xml:space="preserve">Parameters and Arguments</w:t>
      </w:r>
    </w:p>
    <w:p>
      <w:pPr>
        <w:pStyle w:val="Compact"/>
        <w:numPr>
          <w:ilvl w:val="0"/>
          <w:numId w:val="2008"/>
        </w:numPr>
      </w:pPr>
      <w:r>
        <w:t xml:space="preserve">sourcePaths (Variant, Required): An iterable, such as an Array or a Scripting.Dictionary, containing the paths to append.</w:t>
      </w:r>
    </w:p>
    <w:p>
      <w:pPr>
        <w:pStyle w:val="Compact"/>
        <w:numPr>
          <w:ilvl w:val="0"/>
          <w:numId w:val="2008"/>
        </w:numPr>
      </w:pPr>
      <w:r>
        <w:t xml:space="preserve">prefix (String, Optional): A common folder path to prepend to the archived names for grouping.</w:t>
      </w:r>
    </w:p>
    <w:bookmarkEnd w:id="4013"/>
    <w:bookmarkStart w:id="4014" w:name="return-values-148"/>
    <w:p>
      <w:pPr>
        <w:pStyle w:val="Heading2"/>
      </w:pPr>
      <w:r>
        <w:t xml:space="preserve">Return Values</w:t>
      </w:r>
    </w:p>
    <w:p>
      <w:pPr>
        <w:pStyle w:val="FirstParagraph"/>
      </w:pPr>
      <w:r>
        <w:t xml:space="preserve">Returns a</w:t>
      </w:r>
      <w:r>
        <w:t xml:space="preserve"> </w:t>
      </w:r>
      <w:r>
        <w:rPr>
          <w:rStyle w:val="VerbatimChar"/>
        </w:rPr>
        <w:t xml:space="preserve">Boolean</w:t>
      </w:r>
      <w:r>
        <w:t xml:space="preserve"> </w:t>
      </w:r>
      <w:r>
        <w:t xml:space="preserve">indicating if all files in the provided structure were successfully appended. True on total success.</w:t>
      </w:r>
    </w:p>
    <w:bookmarkEnd w:id="4014"/>
    <w:bookmarkStart w:id="4015" w:name="remarks-410"/>
    <w:p>
      <w:pPr>
        <w:pStyle w:val="Heading2"/>
      </w:pPr>
      <w:r>
        <w:t xml:space="preserve">Remarks</w:t>
      </w:r>
    </w:p>
    <w:p>
      <w:pPr>
        <w:pStyle w:val="Compact"/>
        <w:numPr>
          <w:ilvl w:val="0"/>
          <w:numId w:val="2009"/>
        </w:numPr>
      </w:pPr>
      <w:r>
        <w:t xml:space="preserve">Must be preceded by a successful call to the Create method.</w:t>
      </w:r>
    </w:p>
    <w:p>
      <w:pPr>
        <w:pStyle w:val="Compact"/>
        <w:numPr>
          <w:ilvl w:val="0"/>
          <w:numId w:val="2009"/>
        </w:numPr>
      </w:pPr>
      <w:r>
        <w:t xml:space="preserve">Useful when selectively archiving files without needing to move them into a consolidated directory first on the server disk.</w:t>
      </w:r>
    </w:p>
    <w:bookmarkEnd w:id="4015"/>
    <w:bookmarkStart w:id="4016" w:name="code-example-22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rPr>
          <w:rStyle w:val="OtherTok"/>
        </w:rPr>
        <w:t xml:space="preserve">,</w:t>
      </w:r>
      <w:r>
        <w:rPr>
          <w:rStyle w:val="NormalTok"/>
        </w:rPr>
        <w:t xml:space="preserve"> paths</w:t>
      </w:r>
      <w:r>
        <w:rPr>
          <w:rStyle w:val="OtherTok"/>
        </w:rPr>
        <w:t xml:space="preserve">(</w:t>
      </w:r>
      <w:r>
        <w:rPr>
          <w:rStyle w:val="DecValTok"/>
        </w:rPr>
        <w:t xml:space="preserve">1</w:t>
      </w:r>
      <w:r>
        <w:rPr>
          <w:rStyle w:val="OtherTok"/>
        </w:rPr>
        <w:t xml:space="preserve">)</w:t>
      </w:r>
      <w:r>
        <w:br/>
      </w:r>
      <w:r>
        <w:rPr>
          <w:rStyle w:val="NormalTok"/>
        </w:rPr>
        <w:t xml:space="preserve">paths</w:t>
      </w:r>
      <w:r>
        <w:rPr>
          <w:rStyle w:val="OtherTok"/>
        </w:rPr>
        <w:t xml:space="preserve">(</w:t>
      </w:r>
      <w:r>
        <w:rPr>
          <w:rStyle w:val="DecValTok"/>
        </w:rPr>
        <w:t xml:space="preserve">0</w:t>
      </w:r>
      <w:r>
        <w:rPr>
          <w:rStyle w:val="OtherTok"/>
        </w:rPr>
        <w:t xml:space="preserve">)</w:t>
      </w:r>
      <w:r>
        <w:rPr>
          <w:rStyle w:val="NormalTok"/>
        </w:rPr>
        <w:t xml:space="preserve"> = </w:t>
      </w:r>
      <w:r>
        <w:rPr>
          <w:rStyle w:val="StringTok"/>
        </w:rPr>
        <w:t xml:space="preserve">"C:\temp\summary.txt"</w:t>
      </w:r>
      <w:r>
        <w:br/>
      </w:r>
      <w:r>
        <w:rPr>
          <w:rStyle w:val="NormalTok"/>
        </w:rPr>
        <w:t xml:space="preserve">paths</w:t>
      </w:r>
      <w:r>
        <w:rPr>
          <w:rStyle w:val="OtherTok"/>
        </w:rPr>
        <w:t xml:space="preserve">(</w:t>
      </w:r>
      <w:r>
        <w:rPr>
          <w:rStyle w:val="DecValTok"/>
        </w:rPr>
        <w:t xml:space="preserve">1</w:t>
      </w:r>
      <w:r>
        <w:rPr>
          <w:rStyle w:val="OtherTok"/>
        </w:rPr>
        <w:t xml:space="preserve">)</w:t>
      </w:r>
      <w:r>
        <w:rPr>
          <w:rStyle w:val="NormalTok"/>
        </w:rPr>
        <w:t xml:space="preserve"> = </w:t>
      </w:r>
      <w:r>
        <w:rPr>
          <w:rStyle w:val="StringTok"/>
        </w:rPr>
        <w:t xml:space="preserve">"C:\temp\metrics.csv"</w:t>
      </w:r>
      <w:r>
        <w:br/>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obj.Create</w:t>
      </w:r>
      <w:r>
        <w:rPr>
          <w:rStyle w:val="OtherTok"/>
        </w:rPr>
        <w:t xml:space="preserve">(</w:t>
      </w:r>
      <w:r>
        <w:rPr>
          <w:rStyle w:val="StringTok"/>
        </w:rPr>
        <w:t xml:space="preserve">"C:\temp\combined.tar"</w:t>
      </w:r>
      <w:r>
        <w:rPr>
          <w:rStyle w:val="OtherTok"/>
        </w:rPr>
        <w:t xml:space="preserve">)</w:t>
      </w:r>
      <w:r>
        <w:rPr>
          <w:rStyle w:val="NormalTok"/>
        </w:rPr>
        <w:t xml:space="preserve"> </w:t>
      </w:r>
      <w:r>
        <w:rPr>
          <w:rStyle w:val="ControlFlowTok"/>
        </w:rPr>
        <w:t xml:space="preserve">Then</w:t>
      </w:r>
      <w:r>
        <w:br/>
      </w:r>
      <w:r>
        <w:rPr>
          <w:rStyle w:val="NormalTok"/>
        </w:rPr>
        <w:t xml:space="preserve">    success = obj.AddFiles</w:t>
      </w:r>
      <w:r>
        <w:rPr>
          <w:rStyle w:val="OtherTok"/>
        </w:rPr>
        <w:t xml:space="preserve">(</w:t>
      </w:r>
      <w:r>
        <w:rPr>
          <w:rStyle w:val="NormalTok"/>
        </w:rPr>
        <w:t xml:space="preserve">paths</w:t>
      </w:r>
      <w:r>
        <w:rPr>
          <w:rStyle w:val="OtherTok"/>
        </w:rPr>
        <w:t xml:space="preserve">,</w:t>
      </w:r>
      <w:r>
        <w:rPr>
          <w:rStyle w:val="NormalTok"/>
        </w:rPr>
        <w:t xml:space="preserve"> </w:t>
      </w:r>
      <w:r>
        <w:rPr>
          <w:rStyle w:val="StringTok"/>
        </w:rPr>
        <w:t xml:space="preserve">"dataset"</w:t>
      </w:r>
      <w:r>
        <w:rPr>
          <w:rStyle w:val="OtherTok"/>
        </w:rPr>
        <w:t xml:space="preserve">)</w:t>
      </w:r>
      <w:r>
        <w:br/>
      </w:r>
      <w:r>
        <w:rPr>
          <w:rStyle w:val="NormalTok"/>
        </w:rPr>
        <w:t xml:space="preserve">    </w:t>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"Items added!"</w:t>
      </w:r>
      <w:r>
        <w:br/>
      </w:r>
      <w:r>
        <w:rPr>
          <w:rStyle w:val="NormalTok"/>
        </w:rPr>
        <w:t xml:space="preserve">    </w:t>
      </w:r>
      <w:r>
        <w:rPr>
          <w:rStyle w:val="ControlFlowTok"/>
        </w:rPr>
        <w:t xml:space="preserve">End If</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16"/>
    <w:bookmarkEnd w:id="4017"/>
    <w:bookmarkStart w:id="4024" w:name="addfolder-method-1"/>
    <w:p>
      <w:pPr>
        <w:pStyle w:val="Heading1"/>
      </w:pPr>
      <w:r>
        <w:t xml:space="preserve">AddFolder Method</w:t>
      </w:r>
    </w:p>
    <w:bookmarkStart w:id="4018" w:name="overview-441"/>
    <w:p>
      <w:pPr>
        <w:pStyle w:val="Heading2"/>
      </w:pPr>
      <w:r>
        <w:t xml:space="preserve">Overview</w:t>
      </w:r>
    </w:p>
    <w:p>
      <w:pPr>
        <w:pStyle w:val="FirstParagraph"/>
      </w:pPr>
      <w:r>
        <w:t xml:space="preserve">Adds a local folder hierarchy to the newly created G3TAR archive.</w:t>
      </w:r>
    </w:p>
    <w:bookmarkEnd w:id="4018"/>
    <w:bookmarkStart w:id="4019" w:name="syntax-428"/>
    <w:p>
      <w:pPr>
        <w:pStyle w:val="Heading2"/>
      </w:pPr>
      <w:r>
        <w:t xml:space="preserve">Syntax</w:t>
      </w:r>
    </w:p>
    <w:p>
      <w:pPr>
        <w:pStyle w:val="SourceCode"/>
      </w:pPr>
      <w:r>
        <w:rPr>
          <w:rStyle w:val="NormalTok"/>
        </w:rPr>
        <w:t xml:space="preserve">Dim success</w:t>
      </w:r>
      <w:r>
        <w:br/>
      </w:r>
      <w:r>
        <w:rPr>
          <w:rStyle w:val="NormalTok"/>
        </w:rPr>
        <w:t xml:space="preserve">success = obj.AddFolder(folderPath, archiveRoot)</w:t>
      </w:r>
    </w:p>
    <w:bookmarkEnd w:id="4019"/>
    <w:bookmarkStart w:id="4020" w:name="parameters-and-arguments-98"/>
    <w:p>
      <w:pPr>
        <w:pStyle w:val="Heading2"/>
      </w:pPr>
      <w:r>
        <w:t xml:space="preserve">Parameters and Arguments</w:t>
      </w:r>
    </w:p>
    <w:p>
      <w:pPr>
        <w:pStyle w:val="Compact"/>
        <w:numPr>
          <w:ilvl w:val="0"/>
          <w:numId w:val="2010"/>
        </w:numPr>
      </w:pPr>
      <w:r>
        <w:t xml:space="preserve">folderPath (String, Required): The absolute or relative local path to the directory on the server disk.</w:t>
      </w:r>
    </w:p>
    <w:p>
      <w:pPr>
        <w:pStyle w:val="Compact"/>
        <w:numPr>
          <w:ilvl w:val="0"/>
          <w:numId w:val="2010"/>
        </w:numPr>
      </w:pPr>
      <w:r>
        <w:t xml:space="preserve">archiveRoot (String, Optional): An alternative folder name under which these files will reside inside the TAR archive.</w:t>
      </w:r>
    </w:p>
    <w:bookmarkEnd w:id="4020"/>
    <w:bookmarkStart w:id="4021" w:name="return-values-149"/>
    <w:p>
      <w:pPr>
        <w:pStyle w:val="Heading2"/>
      </w:pPr>
      <w:r>
        <w:t xml:space="preserve">Return Values</w:t>
      </w:r>
    </w:p>
    <w:p>
      <w:pPr>
        <w:pStyle w:val="FirstParagraph"/>
      </w:pPr>
      <w:r>
        <w:t xml:space="preserve">Returns a</w:t>
      </w:r>
      <w:r>
        <w:t xml:space="preserve"> </w:t>
      </w:r>
      <w:r>
        <w:rPr>
          <w:rStyle w:val="VerbatimChar"/>
        </w:rPr>
        <w:t xml:space="preserve">Boolean</w:t>
      </w:r>
      <w:r>
        <w:t xml:space="preserve"> </w:t>
      </w:r>
      <w:r>
        <w:t xml:space="preserve">representing the operation outcome. Returns True if the folder contents were appended successfully, otherwise False.</w:t>
      </w:r>
    </w:p>
    <w:bookmarkEnd w:id="4021"/>
    <w:bookmarkStart w:id="4022" w:name="remarks-411"/>
    <w:p>
      <w:pPr>
        <w:pStyle w:val="Heading2"/>
      </w:pPr>
      <w:r>
        <w:t xml:space="preserve">Remarks</w:t>
      </w:r>
    </w:p>
    <w:p>
      <w:pPr>
        <w:pStyle w:val="Compact"/>
        <w:numPr>
          <w:ilvl w:val="0"/>
          <w:numId w:val="2011"/>
        </w:numPr>
      </w:pPr>
      <w:r>
        <w:t xml:space="preserve">Must be called after initializing an archive using the Create method.</w:t>
      </w:r>
    </w:p>
    <w:p>
      <w:pPr>
        <w:pStyle w:val="Compact"/>
        <w:numPr>
          <w:ilvl w:val="0"/>
          <w:numId w:val="2011"/>
        </w:numPr>
      </w:pPr>
      <w:r>
        <w:t xml:space="preserve">Calling this method automatically cascades into all subdirectories.</w:t>
      </w:r>
    </w:p>
    <w:bookmarkEnd w:id="4022"/>
    <w:bookmarkStart w:id="4023" w:name="code-example-22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obj.Create</w:t>
      </w:r>
      <w:r>
        <w:rPr>
          <w:rStyle w:val="OtherTok"/>
        </w:rPr>
        <w:t xml:space="preserve">(</w:t>
      </w:r>
      <w:r>
        <w:rPr>
          <w:rStyle w:val="StringTok"/>
        </w:rPr>
        <w:t xml:space="preserve">"C:\temp\backup.tar"</w:t>
      </w:r>
      <w:r>
        <w:rPr>
          <w:rStyle w:val="OtherTok"/>
        </w:rPr>
        <w:t xml:space="preserve">)</w:t>
      </w:r>
      <w:r>
        <w:rPr>
          <w:rStyle w:val="NormalTok"/>
        </w:rPr>
        <w:t xml:space="preserve"> </w:t>
      </w:r>
      <w:r>
        <w:rPr>
          <w:rStyle w:val="ControlFlowTok"/>
        </w:rPr>
        <w:t xml:space="preserve">Then</w:t>
      </w:r>
      <w:r>
        <w:br/>
      </w:r>
      <w:r>
        <w:rPr>
          <w:rStyle w:val="NormalTok"/>
        </w:rPr>
        <w:t xml:space="preserve">    success = obj.AddFolder</w:t>
      </w:r>
      <w:r>
        <w:rPr>
          <w:rStyle w:val="OtherTok"/>
        </w:rPr>
        <w:t xml:space="preserve">(</w:t>
      </w:r>
      <w:r>
        <w:rPr>
          <w:rStyle w:val="StringTok"/>
        </w:rPr>
        <w:t xml:space="preserve">"C:\temp\reports"</w:t>
      </w:r>
      <w:r>
        <w:rPr>
          <w:rStyle w:val="OtherTok"/>
        </w:rPr>
        <w:t xml:space="preserve">,</w:t>
      </w:r>
      <w:r>
        <w:rPr>
          <w:rStyle w:val="NormalTok"/>
        </w:rPr>
        <w:t xml:space="preserve"> </w:t>
      </w:r>
      <w:r>
        <w:rPr>
          <w:rStyle w:val="StringTok"/>
        </w:rPr>
        <w:t xml:space="preserve">"reports_backup"</w:t>
      </w:r>
      <w:r>
        <w:rPr>
          <w:rStyle w:val="OtherTok"/>
        </w:rPr>
        <w:t xml:space="preserve">)</w:t>
      </w:r>
      <w:r>
        <w:br/>
      </w:r>
      <w:r>
        <w:rPr>
          <w:rStyle w:val="NormalTok"/>
        </w:rPr>
        <w:t xml:space="preserve">    </w:t>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"Folder added!"</w:t>
      </w:r>
      <w:r>
        <w:br/>
      </w:r>
      <w:r>
        <w:rPr>
          <w:rStyle w:val="NormalTok"/>
        </w:rPr>
        <w:t xml:space="preserve">    </w:t>
      </w:r>
      <w:r>
        <w:rPr>
          <w:rStyle w:val="ControlFlowTok"/>
        </w:rPr>
        <w:t xml:space="preserve">End If</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23"/>
    <w:bookmarkEnd w:id="4024"/>
    <w:bookmarkStart w:id="4031" w:name="addtext-method-1"/>
    <w:p>
      <w:pPr>
        <w:pStyle w:val="Heading1"/>
      </w:pPr>
      <w:r>
        <w:t xml:space="preserve">AddText Method</w:t>
      </w:r>
    </w:p>
    <w:bookmarkStart w:id="4025" w:name="overview-442"/>
    <w:p>
      <w:pPr>
        <w:pStyle w:val="Heading2"/>
      </w:pPr>
      <w:r>
        <w:t xml:space="preserve">Overview</w:t>
      </w:r>
    </w:p>
    <w:p>
      <w:pPr>
        <w:pStyle w:val="FirstParagraph"/>
      </w:pPr>
      <w:r>
        <w:t xml:space="preserve">Adds string content as an inline file into the active G3TAR archive.</w:t>
      </w:r>
    </w:p>
    <w:bookmarkEnd w:id="4025"/>
    <w:bookmarkStart w:id="4026" w:name="syntax-429"/>
    <w:p>
      <w:pPr>
        <w:pStyle w:val="Heading2"/>
      </w:pPr>
      <w:r>
        <w:t xml:space="preserve">Syntax</w:t>
      </w:r>
    </w:p>
    <w:p>
      <w:pPr>
        <w:pStyle w:val="SourceCode"/>
      </w:pPr>
      <w:r>
        <w:rPr>
          <w:rStyle w:val="NormalTok"/>
        </w:rPr>
        <w:t xml:space="preserve">Dim success</w:t>
      </w:r>
      <w:r>
        <w:br/>
      </w:r>
      <w:r>
        <w:rPr>
          <w:rStyle w:val="NormalTok"/>
        </w:rPr>
        <w:t xml:space="preserve">success = obj.AddText(archiveName, text)</w:t>
      </w:r>
    </w:p>
    <w:bookmarkEnd w:id="4026"/>
    <w:bookmarkStart w:id="4027" w:name="parameters-and-arguments-99"/>
    <w:p>
      <w:pPr>
        <w:pStyle w:val="Heading2"/>
      </w:pPr>
      <w:r>
        <w:t xml:space="preserve">Parameters and Arguments</w:t>
      </w:r>
    </w:p>
    <w:p>
      <w:pPr>
        <w:pStyle w:val="Compact"/>
        <w:numPr>
          <w:ilvl w:val="0"/>
          <w:numId w:val="2012"/>
        </w:numPr>
      </w:pPr>
      <w:r>
        <w:t xml:space="preserve">archiveName (String, Required): Target relative filename where the text will be stored within the TAR.</w:t>
      </w:r>
    </w:p>
    <w:p>
      <w:pPr>
        <w:pStyle w:val="Compact"/>
        <w:numPr>
          <w:ilvl w:val="0"/>
          <w:numId w:val="2012"/>
        </w:numPr>
      </w:pPr>
      <w:r>
        <w:t xml:space="preserve">text (String, Required): The string to embed as the file body.</w:t>
      </w:r>
    </w:p>
    <w:bookmarkEnd w:id="4027"/>
    <w:bookmarkStart w:id="4028" w:name="return-values-150"/>
    <w:p>
      <w:pPr>
        <w:pStyle w:val="Heading2"/>
      </w:pPr>
      <w:r>
        <w:t xml:space="preserve">Return Values</w:t>
      </w:r>
    </w:p>
    <w:p>
      <w:pPr>
        <w:pStyle w:val="FirstParagraph"/>
      </w:pPr>
      <w:r>
        <w:t xml:space="preserve">Returns a</w:t>
      </w:r>
      <w:r>
        <w:t xml:space="preserve"> </w:t>
      </w:r>
      <w:r>
        <w:rPr>
          <w:rStyle w:val="VerbatimChar"/>
        </w:rPr>
        <w:t xml:space="preserve">Boolean</w:t>
      </w:r>
      <w:r>
        <w:t xml:space="preserve"> </w:t>
      </w:r>
      <w:r>
        <w:t xml:space="preserve">which resolves to True if the text length was fully preserved and saved correctly.</w:t>
      </w:r>
    </w:p>
    <w:bookmarkEnd w:id="4028"/>
    <w:bookmarkStart w:id="4029" w:name="remarks-412"/>
    <w:p>
      <w:pPr>
        <w:pStyle w:val="Heading2"/>
      </w:pPr>
      <w:r>
        <w:t xml:space="preserve">Remarks</w:t>
      </w:r>
    </w:p>
    <w:p>
      <w:pPr>
        <w:pStyle w:val="Compact"/>
        <w:numPr>
          <w:ilvl w:val="0"/>
          <w:numId w:val="2013"/>
        </w:numPr>
      </w:pPr>
      <w:r>
        <w:t xml:space="preserve">Requires a current active archive opened via the Create method.</w:t>
      </w:r>
    </w:p>
    <w:p>
      <w:pPr>
        <w:pStyle w:val="Compact"/>
        <w:numPr>
          <w:ilvl w:val="0"/>
          <w:numId w:val="2013"/>
        </w:numPr>
      </w:pPr>
      <w:r>
        <w:t xml:space="preserve">Allows immediate injection of dynamically generated metadata, manifests, or JSON reports without dumping to the disk first.</w:t>
      </w:r>
    </w:p>
    <w:bookmarkEnd w:id="4029"/>
    <w:bookmarkStart w:id="4030" w:name="code-example-22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rPr>
          <w:rStyle w:val="OtherTok"/>
        </w:rPr>
        <w:t xml:space="preserve">,</w:t>
      </w:r>
      <w:r>
        <w:rPr>
          <w:rStyle w:val="NormalTok"/>
        </w:rPr>
        <w:t xml:space="preserve"> body</w:t>
      </w:r>
      <w:r>
        <w:br/>
      </w:r>
      <w:r>
        <w:rPr>
          <w:rStyle w:val="NormalTok"/>
        </w:rPr>
        <w:t xml:space="preserve">body = </w:t>
      </w:r>
      <w:r>
        <w:rPr>
          <w:rStyle w:val="StringTok"/>
        </w:rPr>
        <w:t xml:space="preserve">"This is a dynamically created file."</w:t>
      </w:r>
      <w:r>
        <w:br/>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obj.Create</w:t>
      </w:r>
      <w:r>
        <w:rPr>
          <w:rStyle w:val="OtherTok"/>
        </w:rPr>
        <w:t xml:space="preserve">(</w:t>
      </w:r>
      <w:r>
        <w:rPr>
          <w:rStyle w:val="StringTok"/>
        </w:rPr>
        <w:t xml:space="preserve">"C:\temp\report.tar"</w:t>
      </w:r>
      <w:r>
        <w:rPr>
          <w:rStyle w:val="OtherTok"/>
        </w:rPr>
        <w:t xml:space="preserve">)</w:t>
      </w:r>
      <w:r>
        <w:rPr>
          <w:rStyle w:val="NormalTok"/>
        </w:rPr>
        <w:t xml:space="preserve"> </w:t>
      </w:r>
      <w:r>
        <w:rPr>
          <w:rStyle w:val="ControlFlowTok"/>
        </w:rPr>
        <w:t xml:space="preserve">Then</w:t>
      </w:r>
      <w:r>
        <w:br/>
      </w:r>
      <w:r>
        <w:rPr>
          <w:rStyle w:val="NormalTok"/>
        </w:rPr>
        <w:t xml:space="preserve">    success = obj.AddText</w:t>
      </w:r>
      <w:r>
        <w:rPr>
          <w:rStyle w:val="OtherTok"/>
        </w:rPr>
        <w:t xml:space="preserve">(</w:t>
      </w:r>
      <w:r>
        <w:rPr>
          <w:rStyle w:val="StringTok"/>
        </w:rPr>
        <w:t xml:space="preserve">"readme.txt"</w:t>
      </w:r>
      <w:r>
        <w:rPr>
          <w:rStyle w:val="OtherTok"/>
        </w:rPr>
        <w:t xml:space="preserve">,</w:t>
      </w:r>
      <w:r>
        <w:rPr>
          <w:rStyle w:val="NormalTok"/>
        </w:rPr>
        <w:t xml:space="preserve"> body</w:t>
      </w:r>
      <w:r>
        <w:rPr>
          <w:rStyle w:val="OtherTok"/>
        </w:rPr>
        <w:t xml:space="preserve">)</w:t>
      </w:r>
      <w:r>
        <w:br/>
      </w:r>
      <w:r>
        <w:rPr>
          <w:rStyle w:val="NormalTok"/>
        </w:rPr>
        <w:t xml:space="preserve">    </w:t>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"Text generated straight into archive."</w:t>
      </w:r>
      <w:r>
        <w:br/>
      </w:r>
      <w:r>
        <w:rPr>
          <w:rStyle w:val="NormalTok"/>
        </w:rPr>
        <w:t xml:space="preserve">    </w:t>
      </w:r>
      <w:r>
        <w:rPr>
          <w:rStyle w:val="ControlFlowTok"/>
        </w:rPr>
        <w:t xml:space="preserve">End If</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30"/>
    <w:bookmarkEnd w:id="4031"/>
    <w:bookmarkStart w:id="4038" w:name="close-method-2"/>
    <w:p>
      <w:pPr>
        <w:pStyle w:val="Heading1"/>
      </w:pPr>
      <w:r>
        <w:t xml:space="preserve">Close Method</w:t>
      </w:r>
    </w:p>
    <w:bookmarkStart w:id="4032" w:name="overview-443"/>
    <w:p>
      <w:pPr>
        <w:pStyle w:val="Heading2"/>
      </w:pPr>
      <w:r>
        <w:t xml:space="preserve">Overview</w:t>
      </w:r>
    </w:p>
    <w:p>
      <w:pPr>
        <w:pStyle w:val="FirstParagraph"/>
      </w:pPr>
      <w:r>
        <w:t xml:space="preserve">Concludes active session streams alongside removing pending blockades on referenced TAR storage items safely.</w:t>
      </w:r>
    </w:p>
    <w:bookmarkEnd w:id="4032"/>
    <w:bookmarkStart w:id="4033" w:name="syntax-430"/>
    <w:p>
      <w:pPr>
        <w:pStyle w:val="Heading2"/>
      </w:pPr>
      <w:r>
        <w:t xml:space="preserve">Syntax</w:t>
      </w:r>
    </w:p>
    <w:p>
      <w:pPr>
        <w:pStyle w:val="SourceCode"/>
      </w:pPr>
      <w:r>
        <w:rPr>
          <w:rStyle w:val="NormalTok"/>
        </w:rPr>
        <w:t xml:space="preserve">Dim success</w:t>
      </w:r>
      <w:r>
        <w:br/>
      </w:r>
      <w:r>
        <w:rPr>
          <w:rStyle w:val="NormalTok"/>
        </w:rPr>
        <w:t xml:space="preserve">success = obj.Close()</w:t>
      </w:r>
    </w:p>
    <w:bookmarkEnd w:id="4033"/>
    <w:bookmarkStart w:id="4034" w:name="parameters-and-arguments-100"/>
    <w:p>
      <w:pPr>
        <w:pStyle w:val="Heading2"/>
      </w:pPr>
      <w:r>
        <w:t xml:space="preserve">Parameters and Arguments</w:t>
      </w:r>
    </w:p>
    <w:p>
      <w:pPr>
        <w:pStyle w:val="Compact"/>
        <w:numPr>
          <w:ilvl w:val="0"/>
          <w:numId w:val="2014"/>
        </w:numPr>
      </w:pPr>
      <w:r>
        <w:t xml:space="preserve">Close invocation relies entirely on internal tracking; no parameters required.</w:t>
      </w:r>
    </w:p>
    <w:bookmarkEnd w:id="4034"/>
    <w:bookmarkStart w:id="4035" w:name="return-values-151"/>
    <w:p>
      <w:pPr>
        <w:pStyle w:val="Heading2"/>
      </w:pPr>
      <w:r>
        <w:t xml:space="preserve">Return Values</w:t>
      </w:r>
    </w:p>
    <w:p>
      <w:pPr>
        <w:pStyle w:val="FirstParagraph"/>
      </w:pPr>
      <w:r>
        <w:t xml:space="preserve">Signals operational completion reliably transmitting a</w:t>
      </w:r>
      <w:r>
        <w:t xml:space="preserve"> </w:t>
      </w:r>
      <w:r>
        <w:rPr>
          <w:rStyle w:val="VerbatimChar"/>
        </w:rPr>
        <w:t xml:space="preserve">Boolean</w:t>
      </w:r>
      <w:r>
        <w:t xml:space="preserve"> </w:t>
      </w:r>
      <w:r>
        <w:t xml:space="preserve">equating True indicating termination of locks handled nicely.</w:t>
      </w:r>
    </w:p>
    <w:bookmarkEnd w:id="4035"/>
    <w:bookmarkStart w:id="4036" w:name="remarks-413"/>
    <w:p>
      <w:pPr>
        <w:pStyle w:val="Heading2"/>
      </w:pPr>
      <w:r>
        <w:t xml:space="preserve">Remarks</w:t>
      </w:r>
    </w:p>
    <w:p>
      <w:pPr>
        <w:pStyle w:val="Compact"/>
        <w:numPr>
          <w:ilvl w:val="0"/>
          <w:numId w:val="2015"/>
        </w:numPr>
      </w:pPr>
      <w:r>
        <w:t xml:space="preserve">Necessary logic assuring background OS file permissions get properly disposed.</w:t>
      </w:r>
    </w:p>
    <w:p>
      <w:pPr>
        <w:pStyle w:val="Compact"/>
        <w:numPr>
          <w:ilvl w:val="0"/>
          <w:numId w:val="2015"/>
        </w:numPr>
      </w:pPr>
      <w:r>
        <w:t xml:space="preserve">Abandoned locks could halt consecutive actions targeting similar volumes producing unexpected errors.</w:t>
      </w:r>
    </w:p>
    <w:bookmarkEnd w:id="4036"/>
    <w:bookmarkStart w:id="4037" w:name="code-example-22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w:t>
      </w:r>
      <w:r>
        <w:rPr>
          <w:rStyle w:val="KeywordTok"/>
        </w:rPr>
        <w:t xml:space="preserve">Open</w:t>
      </w:r>
      <w:r>
        <w:rPr>
          <w:rStyle w:val="OtherTok"/>
        </w:rPr>
        <w:t xml:space="preserve">(</w:t>
      </w:r>
      <w:r>
        <w:rPr>
          <w:rStyle w:val="StringTok"/>
        </w:rPr>
        <w:t xml:space="preserve">"C:\temp\test.tar"</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File lock assumed...</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37"/>
    <w:bookmarkEnd w:id="4038"/>
    <w:bookmarkStart w:id="4045" w:name="create-method-1"/>
    <w:p>
      <w:pPr>
        <w:pStyle w:val="Heading1"/>
      </w:pPr>
      <w:r>
        <w:t xml:space="preserve">Create Method</w:t>
      </w:r>
    </w:p>
    <w:bookmarkStart w:id="4039" w:name="overview-444"/>
    <w:p>
      <w:pPr>
        <w:pStyle w:val="Heading2"/>
      </w:pPr>
      <w:r>
        <w:t xml:space="preserve">Overview</w:t>
      </w:r>
    </w:p>
    <w:p>
      <w:pPr>
        <w:pStyle w:val="FirstParagraph"/>
      </w:pPr>
      <w:r>
        <w:t xml:space="preserve">Generates the base file pointer tracking an entirely novel TAR archive mapped structurally onto the server system.</w:t>
      </w:r>
    </w:p>
    <w:bookmarkEnd w:id="4039"/>
    <w:bookmarkStart w:id="4040" w:name="syntax-431"/>
    <w:p>
      <w:pPr>
        <w:pStyle w:val="Heading2"/>
      </w:pPr>
      <w:r>
        <w:t xml:space="preserve">Syntax</w:t>
      </w:r>
    </w:p>
    <w:p>
      <w:pPr>
        <w:pStyle w:val="SourceCode"/>
      </w:pPr>
      <w:r>
        <w:rPr>
          <w:rStyle w:val="NormalTok"/>
        </w:rPr>
        <w:t xml:space="preserve">Dim success</w:t>
      </w:r>
      <w:r>
        <w:br/>
      </w:r>
      <w:r>
        <w:rPr>
          <w:rStyle w:val="NormalTok"/>
        </w:rPr>
        <w:t xml:space="preserve">success = obj.Create(archivePath)</w:t>
      </w:r>
    </w:p>
    <w:bookmarkEnd w:id="4040"/>
    <w:bookmarkStart w:id="4041" w:name="parameters-and-arguments-101"/>
    <w:p>
      <w:pPr>
        <w:pStyle w:val="Heading2"/>
      </w:pPr>
      <w:r>
        <w:t xml:space="preserve">Parameters and Arguments</w:t>
      </w:r>
    </w:p>
    <w:p>
      <w:pPr>
        <w:pStyle w:val="Compact"/>
        <w:numPr>
          <w:ilvl w:val="0"/>
          <w:numId w:val="2016"/>
        </w:numPr>
      </w:pPr>
      <w:r>
        <w:t xml:space="preserve">archivePath (String, Required): Designated absolute path modeling the storage placement expected upon sequence closure.</w:t>
      </w:r>
    </w:p>
    <w:bookmarkEnd w:id="4041"/>
    <w:bookmarkStart w:id="4042" w:name="return-values-152"/>
    <w:p>
      <w:pPr>
        <w:pStyle w:val="Heading2"/>
      </w:pPr>
      <w:r>
        <w:t xml:space="preserve">Return Values</w:t>
      </w:r>
    </w:p>
    <w:p>
      <w:pPr>
        <w:pStyle w:val="FirstParagraph"/>
      </w:pPr>
      <w:r>
        <w:t xml:space="preserve">Submits a</w:t>
      </w:r>
      <w:r>
        <w:t xml:space="preserve"> </w:t>
      </w:r>
      <w:r>
        <w:rPr>
          <w:rStyle w:val="VerbatimChar"/>
        </w:rPr>
        <w:t xml:space="preserve">Boolean</w:t>
      </w:r>
      <w:r>
        <w:t xml:space="preserve"> </w:t>
      </w:r>
      <w:r>
        <w:t xml:space="preserve">representation validating disk write accessibility and the file sequence lock instantiation correctly. Returns True on success, otherwise it fails yielding False.</w:t>
      </w:r>
    </w:p>
    <w:bookmarkEnd w:id="4042"/>
    <w:bookmarkStart w:id="4043" w:name="remarks-414"/>
    <w:p>
      <w:pPr>
        <w:pStyle w:val="Heading2"/>
      </w:pPr>
      <w:r>
        <w:t xml:space="preserve">Remarks</w:t>
      </w:r>
    </w:p>
    <w:p>
      <w:pPr>
        <w:pStyle w:val="Compact"/>
        <w:numPr>
          <w:ilvl w:val="0"/>
          <w:numId w:val="2017"/>
        </w:numPr>
      </w:pPr>
      <w:r>
        <w:t xml:space="preserve">Will aggressively truncate or replace similar file identities encountered explicitly named within the given string array coordinates.</w:t>
      </w:r>
    </w:p>
    <w:p>
      <w:pPr>
        <w:pStyle w:val="Compact"/>
        <w:numPr>
          <w:ilvl w:val="0"/>
          <w:numId w:val="2017"/>
        </w:numPr>
      </w:pPr>
      <w:r>
        <w:t xml:space="preserve">Expects subsequent interactions populating context data leveraging add components beforehand routing back to Close.</w:t>
      </w:r>
    </w:p>
    <w:bookmarkEnd w:id="4043"/>
    <w:bookmarkStart w:id="4044" w:name="code-example-22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NormalTok"/>
        </w:rPr>
        <w:t xml:space="preserve">success = obj.Create</w:t>
      </w:r>
      <w:r>
        <w:rPr>
          <w:rStyle w:val="OtherTok"/>
        </w:rPr>
        <w:t xml:space="preserve">(</w:t>
      </w:r>
      <w:r>
        <w:rPr>
          <w:rStyle w:val="StringTok"/>
        </w:rPr>
        <w:t xml:space="preserve">"C:\temp\new_output.tar"</w:t>
      </w:r>
      <w:r>
        <w:rPr>
          <w:rStyle w:val="OtherTok"/>
        </w:rPr>
        <w:t xml:space="preserve">)</w:t>
      </w:r>
      <w:r>
        <w:br/>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"Initiation created."</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44"/>
    <w:bookmarkEnd w:id="4045"/>
    <w:bookmarkStart w:id="4052" w:name="extractall-method-1"/>
    <w:p>
      <w:pPr>
        <w:pStyle w:val="Heading1"/>
      </w:pPr>
      <w:r>
        <w:t xml:space="preserve">ExtractAll Method</w:t>
      </w:r>
    </w:p>
    <w:bookmarkStart w:id="4046" w:name="overview-445"/>
    <w:p>
      <w:pPr>
        <w:pStyle w:val="Heading2"/>
      </w:pPr>
      <w:r>
        <w:t xml:space="preserve">Overview</w:t>
      </w:r>
    </w:p>
    <w:p>
      <w:pPr>
        <w:pStyle w:val="FirstParagraph"/>
      </w:pPr>
      <w:r>
        <w:t xml:space="preserve">Reconstructs the complete TAR folder layout natively across a defined destination volume.</w:t>
      </w:r>
    </w:p>
    <w:bookmarkEnd w:id="4046"/>
    <w:bookmarkStart w:id="4047" w:name="syntax-432"/>
    <w:p>
      <w:pPr>
        <w:pStyle w:val="Heading2"/>
      </w:pPr>
      <w:r>
        <w:t xml:space="preserve">Syntax</w:t>
      </w:r>
    </w:p>
    <w:p>
      <w:pPr>
        <w:pStyle w:val="SourceCode"/>
      </w:pPr>
      <w:r>
        <w:rPr>
          <w:rStyle w:val="NormalTok"/>
        </w:rPr>
        <w:t xml:space="preserve">Dim success</w:t>
      </w:r>
      <w:r>
        <w:br/>
      </w:r>
      <w:r>
        <w:rPr>
          <w:rStyle w:val="NormalTok"/>
        </w:rPr>
        <w:t xml:space="preserve">success = obj.ExtractAll(outputFolder)</w:t>
      </w:r>
    </w:p>
    <w:bookmarkEnd w:id="4047"/>
    <w:bookmarkStart w:id="4048" w:name="parameters-and-arguments-102"/>
    <w:p>
      <w:pPr>
        <w:pStyle w:val="Heading2"/>
      </w:pPr>
      <w:r>
        <w:t xml:space="preserve">Parameters and Arguments</w:t>
      </w:r>
    </w:p>
    <w:p>
      <w:pPr>
        <w:pStyle w:val="Compact"/>
        <w:numPr>
          <w:ilvl w:val="0"/>
          <w:numId w:val="2018"/>
        </w:numPr>
      </w:pPr>
      <w:r>
        <w:t xml:space="preserve">outputFolder (String, Required): Absolute server directory targeting where the complete payload extraction sequence lands.</w:t>
      </w:r>
    </w:p>
    <w:bookmarkEnd w:id="4048"/>
    <w:bookmarkStart w:id="4049" w:name="return-values-153"/>
    <w:p>
      <w:pPr>
        <w:pStyle w:val="Heading2"/>
      </w:pPr>
      <w:r>
        <w:t xml:space="preserve">Return Values</w:t>
      </w:r>
    </w:p>
    <w:p>
      <w:pPr>
        <w:pStyle w:val="FirstParagraph"/>
      </w:pPr>
      <w:r>
        <w:t xml:space="preserve">Returns a</w:t>
      </w:r>
      <w:r>
        <w:t xml:space="preserve"> </w:t>
      </w:r>
      <w:r>
        <w:rPr>
          <w:rStyle w:val="VerbatimChar"/>
        </w:rPr>
        <w:t xml:space="preserve">Boolean</w:t>
      </w:r>
      <w:r>
        <w:t xml:space="preserve"> </w:t>
      </w:r>
      <w:r>
        <w:t xml:space="preserve">equating True if the overall sequence finishes processing without causing integrity blockades or path exceptions.</w:t>
      </w:r>
    </w:p>
    <w:bookmarkEnd w:id="4049"/>
    <w:bookmarkStart w:id="4050" w:name="remarks-415"/>
    <w:p>
      <w:pPr>
        <w:pStyle w:val="Heading2"/>
      </w:pPr>
      <w:r>
        <w:t xml:space="preserve">Remarks</w:t>
      </w:r>
    </w:p>
    <w:p>
      <w:pPr>
        <w:pStyle w:val="Compact"/>
        <w:numPr>
          <w:ilvl w:val="0"/>
          <w:numId w:val="2019"/>
        </w:numPr>
      </w:pPr>
      <w:r>
        <w:t xml:space="preserve">Needs a verified session constructed previously targeting the appropriate file handle via Open.</w:t>
      </w:r>
    </w:p>
    <w:p>
      <w:pPr>
        <w:pStyle w:val="Compact"/>
        <w:numPr>
          <w:ilvl w:val="0"/>
          <w:numId w:val="2019"/>
        </w:numPr>
      </w:pPr>
      <w:r>
        <w:t xml:space="preserve">Automatically handles file access creation permissions when reproducing paths originally saved.</w:t>
      </w:r>
    </w:p>
    <w:bookmarkEnd w:id="4050"/>
    <w:bookmarkStart w:id="4051" w:name="code-example-22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w:t>
      </w:r>
      <w:r>
        <w:rPr>
          <w:rStyle w:val="KeywordTok"/>
        </w:rPr>
        <w:t xml:space="preserve">Open</w:t>
      </w:r>
      <w:r>
        <w:rPr>
          <w:rStyle w:val="OtherTok"/>
        </w:rPr>
        <w:t xml:space="preserve">(</w:t>
      </w:r>
      <w:r>
        <w:rPr>
          <w:rStyle w:val="StringTok"/>
        </w:rPr>
        <w:t xml:space="preserve">"C:\temp\data.tar"</w:t>
      </w:r>
      <w:r>
        <w:rPr>
          <w:rStyle w:val="OtherTok"/>
        </w:rPr>
        <w:t xml:space="preserve">)</w:t>
      </w:r>
      <w:r>
        <w:rPr>
          <w:rStyle w:val="NormalTok"/>
        </w:rPr>
        <w:t xml:space="preserve"> </w:t>
      </w:r>
      <w:r>
        <w:rPr>
          <w:rStyle w:val="ControlFlowTok"/>
        </w:rPr>
        <w:t xml:space="preserve">Then</w:t>
      </w:r>
      <w:r>
        <w:br/>
      </w:r>
      <w:r>
        <w:rPr>
          <w:rStyle w:val="NormalTok"/>
        </w:rPr>
        <w:t xml:space="preserve">    success = obj.ExtractAll</w:t>
      </w:r>
      <w:r>
        <w:rPr>
          <w:rStyle w:val="OtherTok"/>
        </w:rPr>
        <w:t xml:space="preserve">(</w:t>
      </w:r>
      <w:r>
        <w:rPr>
          <w:rStyle w:val="StringTok"/>
        </w:rPr>
        <w:t xml:space="preserve">"C:\unpacked_volumes"</w:t>
      </w:r>
      <w:r>
        <w:rPr>
          <w:rStyle w:val="OtherTok"/>
        </w:rPr>
        <w:t xml:space="preserve">)</w:t>
      </w:r>
      <w:r>
        <w:br/>
      </w:r>
      <w:r>
        <w:rPr>
          <w:rStyle w:val="NormalTok"/>
        </w:rPr>
        <w:t xml:space="preserve">    </w:t>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"Sequence finished."</w:t>
      </w:r>
      <w:r>
        <w:br/>
      </w:r>
      <w:r>
        <w:rPr>
          <w:rStyle w:val="NormalTok"/>
        </w:rPr>
        <w:t xml:space="preserve">    </w:t>
      </w:r>
      <w:r>
        <w:rPr>
          <w:rStyle w:val="ControlFlowTok"/>
        </w:rPr>
        <w:t xml:space="preserve">End If</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51"/>
    <w:bookmarkEnd w:id="4052"/>
    <w:bookmarkStart w:id="4059" w:name="extractfile-method-1"/>
    <w:p>
      <w:pPr>
        <w:pStyle w:val="Heading1"/>
      </w:pPr>
      <w:r>
        <w:t xml:space="preserve">ExtractFile Method</w:t>
      </w:r>
    </w:p>
    <w:bookmarkStart w:id="4053" w:name="overview-446"/>
    <w:p>
      <w:pPr>
        <w:pStyle w:val="Heading2"/>
      </w:pPr>
      <w:r>
        <w:t xml:space="preserve">Overview</w:t>
      </w:r>
    </w:p>
    <w:p>
      <w:pPr>
        <w:pStyle w:val="FirstParagraph"/>
      </w:pPr>
      <w:r>
        <w:t xml:space="preserve">Decompresses and pushes one designated file from the connected TAR compilation directly onto the host storage medium.</w:t>
      </w:r>
    </w:p>
    <w:bookmarkEnd w:id="4053"/>
    <w:bookmarkStart w:id="4054" w:name="syntax-433"/>
    <w:p>
      <w:pPr>
        <w:pStyle w:val="Heading2"/>
      </w:pPr>
      <w:r>
        <w:t xml:space="preserve">Syntax</w:t>
      </w:r>
    </w:p>
    <w:p>
      <w:pPr>
        <w:pStyle w:val="SourceCode"/>
      </w:pPr>
      <w:r>
        <w:rPr>
          <w:rStyle w:val="NormalTok"/>
        </w:rPr>
        <w:t xml:space="preserve">Dim success</w:t>
      </w:r>
      <w:r>
        <w:br/>
      </w:r>
      <w:r>
        <w:rPr>
          <w:rStyle w:val="NormalTok"/>
        </w:rPr>
        <w:t xml:space="preserve">success = obj.ExtractFile(archiveName, outputPath)</w:t>
      </w:r>
    </w:p>
    <w:bookmarkEnd w:id="4054"/>
    <w:bookmarkStart w:id="4055" w:name="parameters-and-arguments-103"/>
    <w:p>
      <w:pPr>
        <w:pStyle w:val="Heading2"/>
      </w:pPr>
      <w:r>
        <w:t xml:space="preserve">Parameters and Arguments</w:t>
      </w:r>
    </w:p>
    <w:p>
      <w:pPr>
        <w:pStyle w:val="Compact"/>
        <w:numPr>
          <w:ilvl w:val="0"/>
          <w:numId w:val="2020"/>
        </w:numPr>
      </w:pPr>
      <w:r>
        <w:t xml:space="preserve">archiveName (String, Required): Target path naming referring directly to the stored inner artifact.</w:t>
      </w:r>
    </w:p>
    <w:p>
      <w:pPr>
        <w:pStyle w:val="Compact"/>
        <w:numPr>
          <w:ilvl w:val="0"/>
          <w:numId w:val="2020"/>
        </w:numPr>
      </w:pPr>
      <w:r>
        <w:t xml:space="preserve">outputPath (String, Required): Exact endpoint pointer declaring where the output payload becomes solidified onto disk storage.</w:t>
      </w:r>
    </w:p>
    <w:bookmarkEnd w:id="4055"/>
    <w:bookmarkStart w:id="4056" w:name="return-values-154"/>
    <w:p>
      <w:pPr>
        <w:pStyle w:val="Heading2"/>
      </w:pPr>
      <w:r>
        <w:t xml:space="preserve">Return Values</w:t>
      </w:r>
    </w:p>
    <w:p>
      <w:pPr>
        <w:pStyle w:val="FirstParagraph"/>
      </w:pPr>
      <w:r>
        <w:t xml:space="preserve">Dispatches a</w:t>
      </w:r>
      <w:r>
        <w:t xml:space="preserve"> </w:t>
      </w:r>
      <w:r>
        <w:rPr>
          <w:rStyle w:val="VerbatimChar"/>
        </w:rPr>
        <w:t xml:space="preserve">Boolean</w:t>
      </w:r>
      <w:r>
        <w:t xml:space="preserve"> </w:t>
      </w:r>
      <w:r>
        <w:t xml:space="preserve">expression rendering True for success and False upon error constraints.</w:t>
      </w:r>
    </w:p>
    <w:bookmarkEnd w:id="4056"/>
    <w:bookmarkStart w:id="4057" w:name="remarks-416"/>
    <w:p>
      <w:pPr>
        <w:pStyle w:val="Heading2"/>
      </w:pPr>
      <w:r>
        <w:t xml:space="preserve">Remarks</w:t>
      </w:r>
    </w:p>
    <w:p>
      <w:pPr>
        <w:pStyle w:val="Compact"/>
        <w:numPr>
          <w:ilvl w:val="0"/>
          <w:numId w:val="2021"/>
        </w:numPr>
      </w:pPr>
      <w:r>
        <w:t xml:space="preserve">This approach assumes a correct reference initialization on Open usage.</w:t>
      </w:r>
    </w:p>
    <w:p>
      <w:pPr>
        <w:pStyle w:val="Compact"/>
        <w:numPr>
          <w:ilvl w:val="0"/>
          <w:numId w:val="2021"/>
        </w:numPr>
      </w:pPr>
      <w:r>
        <w:t xml:space="preserve">If folders matching the destination parameters cannot be identified, this sequence will automatically scaffold paths as configured internally.</w:t>
      </w:r>
    </w:p>
    <w:bookmarkEnd w:id="4057"/>
    <w:bookmarkStart w:id="4058" w:name="code-example-23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w:t>
      </w:r>
      <w:r>
        <w:rPr>
          <w:rStyle w:val="KeywordTok"/>
        </w:rPr>
        <w:t xml:space="preserve">Open</w:t>
      </w:r>
      <w:r>
        <w:rPr>
          <w:rStyle w:val="OtherTok"/>
        </w:rPr>
        <w:t xml:space="preserve">(</w:t>
      </w:r>
      <w:r>
        <w:rPr>
          <w:rStyle w:val="StringTok"/>
        </w:rPr>
        <w:t xml:space="preserve">"C:\data\packages\files.tar"</w:t>
      </w:r>
      <w:r>
        <w:rPr>
          <w:rStyle w:val="OtherTok"/>
        </w:rPr>
        <w:t xml:space="preserve">)</w:t>
      </w:r>
      <w:r>
        <w:rPr>
          <w:rStyle w:val="NormalTok"/>
        </w:rPr>
        <w:t xml:space="preserve"> </w:t>
      </w:r>
      <w:r>
        <w:rPr>
          <w:rStyle w:val="ControlFlowTok"/>
        </w:rPr>
        <w:t xml:space="preserve">Then</w:t>
      </w:r>
      <w:r>
        <w:br/>
      </w:r>
      <w:r>
        <w:rPr>
          <w:rStyle w:val="NormalTok"/>
        </w:rPr>
        <w:t xml:space="preserve">    success = obj.ExtractFile</w:t>
      </w:r>
      <w:r>
        <w:rPr>
          <w:rStyle w:val="OtherTok"/>
        </w:rPr>
        <w:t xml:space="preserve">(</w:t>
      </w:r>
      <w:r>
        <w:rPr>
          <w:rStyle w:val="StringTok"/>
        </w:rPr>
        <w:t xml:space="preserve">"source/test.jpg"</w:t>
      </w:r>
      <w:r>
        <w:rPr>
          <w:rStyle w:val="OtherTok"/>
        </w:rPr>
        <w:t xml:space="preserve">,</w:t>
      </w:r>
      <w:r>
        <w:rPr>
          <w:rStyle w:val="NormalTok"/>
        </w:rPr>
        <w:t xml:space="preserve"> </w:t>
      </w:r>
      <w:r>
        <w:rPr>
          <w:rStyle w:val="StringTok"/>
        </w:rPr>
        <w:t xml:space="preserve">"C:\data\extracted\test.jpg"</w:t>
      </w:r>
      <w:r>
        <w:rPr>
          <w:rStyle w:val="OtherTok"/>
        </w:rPr>
        <w:t xml:space="preserve">)</w:t>
      </w:r>
      <w:r>
        <w:br/>
      </w:r>
      <w:r>
        <w:rPr>
          <w:rStyle w:val="NormalTok"/>
        </w:rPr>
        <w:t xml:space="preserve">    </w:t>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"Extract sequence finalized smoothly."</w:t>
      </w:r>
      <w:r>
        <w:br/>
      </w:r>
      <w:r>
        <w:rPr>
          <w:rStyle w:val="NormalTok"/>
        </w:rPr>
        <w:t xml:space="preserve">    </w:t>
      </w:r>
      <w:r>
        <w:rPr>
          <w:rStyle w:val="ControlFlowTok"/>
        </w:rPr>
        <w:t xml:space="preserve">End If</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58"/>
    <w:bookmarkEnd w:id="4059"/>
    <w:bookmarkStart w:id="4066" w:name="getinfo-method-1"/>
    <w:p>
      <w:pPr>
        <w:pStyle w:val="Heading1"/>
      </w:pPr>
      <w:r>
        <w:t xml:space="preserve">GetInfo Method</w:t>
      </w:r>
    </w:p>
    <w:bookmarkStart w:id="4060" w:name="overview-447"/>
    <w:p>
      <w:pPr>
        <w:pStyle w:val="Heading2"/>
      </w:pPr>
      <w:r>
        <w:t xml:space="preserve">Overview</w:t>
      </w:r>
    </w:p>
    <w:p>
      <w:pPr>
        <w:pStyle w:val="FirstParagraph"/>
      </w:pPr>
      <w:r>
        <w:t xml:space="preserve">Compiles and maps extensive metadata fields referring to an individual file path stored within the presently loaded TAR structure.</w:t>
      </w:r>
    </w:p>
    <w:bookmarkEnd w:id="4060"/>
    <w:bookmarkStart w:id="4061" w:name="syntax-434"/>
    <w:p>
      <w:pPr>
        <w:pStyle w:val="Heading2"/>
      </w:pPr>
      <w:r>
        <w:t xml:space="preserve">Syntax</w:t>
      </w:r>
    </w:p>
    <w:p>
      <w:pPr>
        <w:pStyle w:val="SourceCode"/>
      </w:pPr>
      <w:r>
        <w:rPr>
          <w:rStyle w:val="NormalTok"/>
        </w:rPr>
        <w:t xml:space="preserve">Dim dict</w:t>
      </w:r>
      <w:r>
        <w:br/>
      </w:r>
      <w:r>
        <w:rPr>
          <w:rStyle w:val="NormalTok"/>
        </w:rPr>
        <w:t xml:space="preserve">Set dict = obj.GetInfo(archiveName)</w:t>
      </w:r>
    </w:p>
    <w:bookmarkEnd w:id="4061"/>
    <w:bookmarkStart w:id="4062" w:name="parameters-and-arguments-104"/>
    <w:p>
      <w:pPr>
        <w:pStyle w:val="Heading2"/>
      </w:pPr>
      <w:r>
        <w:t xml:space="preserve">Parameters and Arguments</w:t>
      </w:r>
    </w:p>
    <w:p>
      <w:pPr>
        <w:pStyle w:val="Compact"/>
        <w:numPr>
          <w:ilvl w:val="0"/>
          <w:numId w:val="2022"/>
        </w:numPr>
      </w:pPr>
      <w:r>
        <w:t xml:space="preserve">archiveName (String, Required): Target relative naming referring to the file entry inside the TAR file.</w:t>
      </w:r>
    </w:p>
    <w:bookmarkEnd w:id="4062"/>
    <w:bookmarkStart w:id="4063" w:name="return-values-155"/>
    <w:p>
      <w:pPr>
        <w:pStyle w:val="Heading2"/>
      </w:pPr>
      <w:r>
        <w:t xml:space="preserve">Return Values</w:t>
      </w:r>
    </w:p>
    <w:p>
      <w:pPr>
        <w:pStyle w:val="FirstParagraph"/>
      </w:pPr>
      <w:r>
        <w:t xml:space="preserve">Yields a</w:t>
      </w:r>
      <w:r>
        <w:t xml:space="preserve"> </w:t>
      </w:r>
      <w:r>
        <w:rPr>
          <w:rStyle w:val="VerbatimChar"/>
        </w:rPr>
        <w:t xml:space="preserve">Scripting.Dictionary</w:t>
      </w:r>
      <w:r>
        <w:t xml:space="preserve"> </w:t>
      </w:r>
      <w:r>
        <w:t xml:space="preserve">native interface holding extracted fields. Should an anomaly manifest or if no such element occurs, an instantiated blank model will emerge.</w:t>
      </w:r>
    </w:p>
    <w:bookmarkEnd w:id="4063"/>
    <w:bookmarkStart w:id="4064" w:name="remarks-417"/>
    <w:p>
      <w:pPr>
        <w:pStyle w:val="Heading2"/>
      </w:pPr>
      <w:r>
        <w:t xml:space="preserve">Remarks</w:t>
      </w:r>
    </w:p>
    <w:p>
      <w:pPr>
        <w:pStyle w:val="Compact"/>
        <w:numPr>
          <w:ilvl w:val="0"/>
          <w:numId w:val="2023"/>
        </w:numPr>
      </w:pPr>
      <w:r>
        <w:t xml:space="preserve">Necessitates pre-opening via the Open invocation.</w:t>
      </w:r>
    </w:p>
    <w:p>
      <w:pPr>
        <w:pStyle w:val="Compact"/>
        <w:numPr>
          <w:ilvl w:val="0"/>
          <w:numId w:val="2023"/>
        </w:numPr>
      </w:pPr>
      <w:r>
        <w:t xml:space="preserve">Valuable to verify sizing specifications alongside creation timing metadata properties inside the internal container sequence before actual unpacking logic begins.</w:t>
      </w:r>
    </w:p>
    <w:bookmarkEnd w:id="4064"/>
    <w:bookmarkStart w:id="4065" w:name="code-example-23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fileStats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w:t>
      </w:r>
      <w:r>
        <w:rPr>
          <w:rStyle w:val="KeywordTok"/>
        </w:rPr>
        <w:t xml:space="preserve">Open</w:t>
      </w:r>
      <w:r>
        <w:rPr>
          <w:rStyle w:val="OtherTok"/>
        </w:rPr>
        <w:t xml:space="preserve">(</w:t>
      </w:r>
      <w:r>
        <w:rPr>
          <w:rStyle w:val="StringTok"/>
        </w:rPr>
        <w:t xml:space="preserve">"C:\data\packages\archive.tar"</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fileStats = obj.GetInfo</w:t>
      </w:r>
      <w:r>
        <w:rPr>
          <w:rStyle w:val="OtherTok"/>
        </w:rPr>
        <w:t xml:space="preserve">(</w:t>
      </w:r>
      <w:r>
        <w:rPr>
          <w:rStyle w:val="StringTok"/>
        </w:rPr>
        <w:t xml:space="preserve">"docs/readme.txt"</w:t>
      </w:r>
      <w:r>
        <w:rPr>
          <w:rStyle w:val="OtherTok"/>
        </w:rPr>
        <w:t xml:space="preserve">)</w:t>
      </w:r>
      <w:r>
        <w:br/>
      </w:r>
      <w:r>
        <w:rPr>
          <w:rStyle w:val="NormalTok"/>
        </w:rPr>
        <w:t xml:space="preserve">    </w:t>
      </w:r>
      <w:r>
        <w:rPr>
          <w:rStyle w:val="ControlFlowTok"/>
        </w:rPr>
        <w:t xml:space="preserve">If</w:t>
      </w:r>
      <w:r>
        <w:rPr>
          <w:rStyle w:val="NormalTok"/>
        </w:rPr>
        <w:t xml:space="preserve"> fileStats.Count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"Identified item data bounds correctly."</w:t>
      </w:r>
      <w:r>
        <w:br/>
      </w:r>
      <w:r>
        <w:rPr>
          <w:rStyle w:val="NormalTok"/>
        </w:rPr>
        <w:t xml:space="preserve">    </w:t>
      </w:r>
      <w:r>
        <w:rPr>
          <w:rStyle w:val="ControlFlowTok"/>
        </w:rPr>
        <w:t xml:space="preserve">End If</w:t>
      </w:r>
      <w:r>
        <w:br/>
      </w:r>
      <w:r>
        <w:rPr>
          <w:rStyle w:val="NormalTok"/>
        </w:rPr>
        <w:t xml:space="preserve">    </w:t>
      </w:r>
      <w:r>
        <w:rPr>
          <w:rStyle w:val="KeywordTok"/>
        </w:rPr>
        <w:t xml:space="preserve">Set</w:t>
      </w:r>
      <w:r>
        <w:rPr>
          <w:rStyle w:val="NormalTok"/>
        </w:rPr>
        <w:t xml:space="preserve"> fileStats = </w:t>
      </w:r>
      <w:r>
        <w:rPr>
          <w:rStyle w:val="KeywordTok"/>
        </w:rPr>
        <w:t xml:space="preserve">Nothing</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65"/>
    <w:bookmarkEnd w:id="4066"/>
    <w:bookmarkStart w:id="4073" w:name="list-method-2"/>
    <w:p>
      <w:pPr>
        <w:pStyle w:val="Heading1"/>
      </w:pPr>
      <w:r>
        <w:t xml:space="preserve">List Method</w:t>
      </w:r>
    </w:p>
    <w:bookmarkStart w:id="4067" w:name="overview-448"/>
    <w:p>
      <w:pPr>
        <w:pStyle w:val="Heading2"/>
      </w:pPr>
      <w:r>
        <w:t xml:space="preserve">Overview</w:t>
      </w:r>
    </w:p>
    <w:p>
      <w:pPr>
        <w:pStyle w:val="FirstParagraph"/>
      </w:pPr>
      <w:r>
        <w:t xml:space="preserve">Generates an enumeration of paths that correspond exactly to the current contents found inside the loaded TAR archive.</w:t>
      </w:r>
    </w:p>
    <w:bookmarkEnd w:id="4067"/>
    <w:bookmarkStart w:id="4068" w:name="syntax-435"/>
    <w:p>
      <w:pPr>
        <w:pStyle w:val="Heading2"/>
      </w:pPr>
      <w:r>
        <w:t xml:space="preserve">Syntax</w:t>
      </w:r>
    </w:p>
    <w:p>
      <w:pPr>
        <w:pStyle w:val="SourceCode"/>
      </w:pPr>
      <w:r>
        <w:rPr>
          <w:rStyle w:val="NormalTok"/>
        </w:rPr>
        <w:t xml:space="preserve">Dim stringArray</w:t>
      </w:r>
      <w:r>
        <w:br/>
      </w:r>
      <w:r>
        <w:rPr>
          <w:rStyle w:val="NormalTok"/>
        </w:rPr>
        <w:t xml:space="preserve">stringArray = obj.List()</w:t>
      </w:r>
    </w:p>
    <w:bookmarkEnd w:id="4068"/>
    <w:bookmarkStart w:id="4069" w:name="parameters-and-arguments-105"/>
    <w:p>
      <w:pPr>
        <w:pStyle w:val="Heading2"/>
      </w:pPr>
      <w:r>
        <w:t xml:space="preserve">Parameters and Arguments</w:t>
      </w:r>
    </w:p>
    <w:p>
      <w:pPr>
        <w:pStyle w:val="Compact"/>
        <w:numPr>
          <w:ilvl w:val="0"/>
          <w:numId w:val="2024"/>
        </w:numPr>
      </w:pPr>
      <w:r>
        <w:t xml:space="preserve">No parameters. Read access must first be set up.</w:t>
      </w:r>
    </w:p>
    <w:bookmarkEnd w:id="4069"/>
    <w:bookmarkStart w:id="4070" w:name="return-values-156"/>
    <w:p>
      <w:pPr>
        <w:pStyle w:val="Heading2"/>
      </w:pPr>
      <w:r>
        <w:t xml:space="preserve">Return Values</w:t>
      </w:r>
    </w:p>
    <w:p>
      <w:pPr>
        <w:pStyle w:val="FirstParagraph"/>
      </w:pPr>
      <w:r>
        <w:t xml:space="preserve">Returns a one-dimensional native array storing String definitions, mapped natively within AxonASP.</w:t>
      </w:r>
    </w:p>
    <w:bookmarkEnd w:id="4070"/>
    <w:bookmarkStart w:id="4071" w:name="remarks-418"/>
    <w:p>
      <w:pPr>
        <w:pStyle w:val="Heading2"/>
      </w:pPr>
      <w:r>
        <w:t xml:space="preserve">Remarks</w:t>
      </w:r>
    </w:p>
    <w:p>
      <w:pPr>
        <w:pStyle w:val="Compact"/>
        <w:numPr>
          <w:ilvl w:val="0"/>
          <w:numId w:val="2025"/>
        </w:numPr>
      </w:pPr>
      <w:r>
        <w:t xml:space="preserve">Needs a preceding call referencing an archive via Open.</w:t>
      </w:r>
    </w:p>
    <w:p>
      <w:pPr>
        <w:pStyle w:val="Compact"/>
        <w:numPr>
          <w:ilvl w:val="0"/>
          <w:numId w:val="2025"/>
        </w:numPr>
      </w:pPr>
      <w:r>
        <w:t xml:space="preserve">Ideal when validating content prior to executing intensive extractions or when generating diagnostic listings.</w:t>
      </w:r>
    </w:p>
    <w:bookmarkEnd w:id="4071"/>
    <w:bookmarkStart w:id="4072" w:name="code-example-23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files</w:t>
      </w:r>
      <w:r>
        <w:rPr>
          <w:rStyle w:val="OtherTok"/>
        </w:rPr>
        <w:t xml:space="preserve">,</w:t>
      </w:r>
      <w:r>
        <w:rPr>
          <w:rStyle w:val="NormalTok"/>
        </w:rPr>
        <w:t xml:space="preserve"> i</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w:t>
      </w:r>
      <w:r>
        <w:rPr>
          <w:rStyle w:val="KeywordTok"/>
        </w:rPr>
        <w:t xml:space="preserve">Open</w:t>
      </w:r>
      <w:r>
        <w:rPr>
          <w:rStyle w:val="OtherTok"/>
        </w:rPr>
        <w:t xml:space="preserve">(</w:t>
      </w:r>
      <w:r>
        <w:rPr>
          <w:rStyle w:val="StringTok"/>
        </w:rPr>
        <w:t xml:space="preserve">"C:\data\packages\archive.tar"</w:t>
      </w:r>
      <w:r>
        <w:rPr>
          <w:rStyle w:val="OtherTok"/>
        </w:rPr>
        <w:t xml:space="preserve">)</w:t>
      </w:r>
      <w:r>
        <w:rPr>
          <w:rStyle w:val="NormalTok"/>
        </w:rPr>
        <w:t xml:space="preserve"> </w:t>
      </w:r>
      <w:r>
        <w:rPr>
          <w:rStyle w:val="ControlFlowTok"/>
        </w:rPr>
        <w:t xml:space="preserve">Then</w:t>
      </w:r>
      <w:r>
        <w:br/>
      </w:r>
      <w:r>
        <w:rPr>
          <w:rStyle w:val="NormalTok"/>
        </w:rPr>
        <w:t xml:space="preserve">    files = obj.List</w:t>
      </w:r>
      <w:r>
        <w:rPr>
          <w:rStyle w:val="OtherTok"/>
        </w:rPr>
        <w:t xml:space="preserve">()</w:t>
      </w:r>
      <w:r>
        <w:br/>
      </w:r>
      <w:r>
        <w:rPr>
          <w:rStyle w:val="NormalTok"/>
        </w:rPr>
        <w:t xml:space="preserve">    </w:t>
      </w:r>
      <w:r>
        <w:rPr>
          <w:rStyle w:val="ControlFlowTok"/>
        </w:rPr>
        <w:t xml:space="preserve">For</w:t>
      </w:r>
      <w:r>
        <w:rPr>
          <w:rStyle w:val="NormalTok"/>
        </w:rPr>
        <w:t xml:space="preserve"> i = </w:t>
      </w:r>
      <w:r>
        <w:rPr>
          <w:rStyle w:val="FunctionTok"/>
        </w:rPr>
        <w:t xml:space="preserve">LBound</w:t>
      </w:r>
      <w:r>
        <w:rPr>
          <w:rStyle w:val="OtherTok"/>
        </w:rPr>
        <w:t xml:space="preserve">(</w:t>
      </w:r>
      <w:r>
        <w:rPr>
          <w:rStyle w:val="NormalTok"/>
        </w:rPr>
        <w:t xml:space="preserve">files</w:t>
      </w:r>
      <w:r>
        <w:rPr>
          <w:rStyle w:val="OtherTok"/>
        </w:rPr>
        <w:t xml:space="preserve">)</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files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files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ControlFlowTok"/>
        </w:rPr>
        <w:t xml:space="preserve">Next</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72"/>
    <w:bookmarkEnd w:id="4073"/>
    <w:bookmarkStart w:id="4081" w:name="open-method-2"/>
    <w:p>
      <w:pPr>
        <w:pStyle w:val="Heading1"/>
      </w:pPr>
      <w:r>
        <w:t xml:space="preserve">Open Method</w:t>
      </w:r>
    </w:p>
    <w:bookmarkStart w:id="4074" w:name="overview-449"/>
    <w:p>
      <w:pPr>
        <w:pStyle w:val="Heading2"/>
      </w:pPr>
      <w:r>
        <w:t xml:space="preserve">Overview</w:t>
      </w:r>
    </w:p>
    <w:p>
      <w:pPr>
        <w:pStyle w:val="FirstParagraph"/>
      </w:pPr>
      <w:r>
        <w:t xml:space="preserve">Accesses an established TAR archive on the server to read or extract its contents.</w:t>
      </w:r>
    </w:p>
    <w:bookmarkEnd w:id="4074"/>
    <w:bookmarkStart w:id="4075" w:name="syntax-436"/>
    <w:p>
      <w:pPr>
        <w:pStyle w:val="Heading2"/>
      </w:pPr>
      <w:r>
        <w:t xml:space="preserve">Syntax</w:t>
      </w:r>
    </w:p>
    <w:p>
      <w:pPr>
        <w:pStyle w:val="SourceCode"/>
      </w:pPr>
      <w:r>
        <w:rPr>
          <w:rStyle w:val="NormalTok"/>
        </w:rPr>
        <w:t xml:space="preserve">Dim success</w:t>
      </w:r>
      <w:r>
        <w:br/>
      </w:r>
      <w:r>
        <w:rPr>
          <w:rStyle w:val="NormalTok"/>
        </w:rPr>
        <w:t xml:space="preserve">success = obj.Open(archivePath)</w:t>
      </w:r>
    </w:p>
    <w:bookmarkEnd w:id="4075"/>
    <w:bookmarkStart w:id="4076" w:name="parameters-and-arguments-106"/>
    <w:p>
      <w:pPr>
        <w:pStyle w:val="Heading2"/>
      </w:pPr>
      <w:r>
        <w:t xml:space="preserve">Parameters and Arguments</w:t>
      </w:r>
    </w:p>
    <w:p>
      <w:pPr>
        <w:pStyle w:val="Compact"/>
        <w:numPr>
          <w:ilvl w:val="0"/>
          <w:numId w:val="2026"/>
        </w:numPr>
      </w:pPr>
      <w:r>
        <w:t xml:space="preserve">archivePath (String, Required): Exact system location indicating the existing TAR file on the filesystem.</w:t>
      </w:r>
    </w:p>
    <w:bookmarkEnd w:id="4076"/>
    <w:bookmarkStart w:id="4077" w:name="return-values-157"/>
    <w:p>
      <w:pPr>
        <w:pStyle w:val="Heading2"/>
      </w:pPr>
      <w:r>
        <w:t xml:space="preserve">Return Values</w:t>
      </w:r>
    </w:p>
    <w:p>
      <w:pPr>
        <w:pStyle w:val="FirstParagraph"/>
      </w:pPr>
      <w:r>
        <w:t xml:space="preserve">Returns a</w:t>
      </w:r>
      <w:r>
        <w:t xml:space="preserve"> </w:t>
      </w:r>
      <w:r>
        <w:rPr>
          <w:rStyle w:val="VerbatimChar"/>
        </w:rPr>
        <w:t xml:space="preserve">Boolean</w:t>
      </w:r>
      <w:r>
        <w:t xml:space="preserve"> </w:t>
      </w:r>
      <w:r>
        <w:t xml:space="preserve">representing whether the operation locked the file properly. Returns True if successfully mounted.</w:t>
      </w:r>
    </w:p>
    <w:bookmarkEnd w:id="4077"/>
    <w:bookmarkStart w:id="4078" w:name="remarks-419"/>
    <w:p>
      <w:pPr>
        <w:pStyle w:val="Heading2"/>
      </w:pPr>
      <w:r>
        <w:t xml:space="preserve">Remarks</w:t>
      </w:r>
    </w:p>
    <w:p>
      <w:pPr>
        <w:pStyle w:val="Compact"/>
        <w:numPr>
          <w:ilvl w:val="0"/>
          <w:numId w:val="2027"/>
        </w:numPr>
      </w:pPr>
      <w:r>
        <w:t xml:space="preserve">Must be combined with a paired extraction routine or metadata gathering phase followed immediately by a manual invocation of Close.</w:t>
      </w:r>
    </w:p>
    <w:p>
      <w:pPr>
        <w:pStyle w:val="Compact"/>
        <w:numPr>
          <w:ilvl w:val="0"/>
          <w:numId w:val="2027"/>
        </w:numPr>
      </w:pPr>
      <w:r>
        <w:t xml:space="preserve">Do not use this method on archives concurrently accessed through other means on the local disk.</w:t>
      </w:r>
    </w:p>
    <w:bookmarkEnd w:id="4078"/>
    <w:bookmarkStart w:id="4080" w:name="code-example-23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success</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NormalTok"/>
        </w:rPr>
        <w:t xml:space="preserve">success = obj.</w:t>
      </w:r>
      <w:r>
        <w:rPr>
          <w:rStyle w:val="KeywordTok"/>
        </w:rPr>
        <w:t xml:space="preserve">Open</w:t>
      </w:r>
      <w:r>
        <w:rPr>
          <w:rStyle w:val="OtherTok"/>
        </w:rPr>
        <w:t xml:space="preserve">(</w:t>
      </w:r>
      <w:r>
        <w:rPr>
          <w:rStyle w:val="StringTok"/>
        </w:rPr>
        <w:t xml:space="preserve">"C:\data\packages\archive.tar"</w:t>
      </w:r>
      <w:r>
        <w:rPr>
          <w:rStyle w:val="OtherTok"/>
        </w:rPr>
        <w:t xml:space="preserve">)</w:t>
      </w:r>
      <w:r>
        <w:br/>
      </w:r>
      <w:r>
        <w:rPr>
          <w:rStyle w:val="ControlFlowTok"/>
        </w:rPr>
        <w:t xml:space="preserve">If</w:t>
      </w:r>
      <w:r>
        <w:rPr>
          <w:rStyle w:val="NormalTok"/>
        </w:rPr>
        <w:t xml:space="preserve"> success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"Successfully connected."</w:t>
      </w:r>
      <w:r>
        <w:br/>
      </w:r>
      <w:r>
        <w:rPr>
          <w:rStyle w:val="NormalTok"/>
        </w:rPr>
        <w:t xml:space="preserve">    obj.</w:t>
      </w:r>
      <w:r>
        <w:rPr>
          <w:rStyle w:val="KeywordTok"/>
        </w:rPr>
        <w:t xml:space="preserve">Close</w:t>
      </w:r>
      <w:r>
        <w:rPr>
          <w:rStyle w:val="OtherTok"/>
        </w:rPr>
        <w:t xml:space="preserve">()</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Start w:id="4079" w:name="properties-detail-7"/>
    <w:p>
      <w:pPr>
        <w:pStyle w:val="Heading3"/>
      </w:pPr>
      <w:r>
        <w:t xml:space="preserve">Properties Detail</w:t>
      </w:r>
    </w:p>
    <w:bookmarkEnd w:id="4079"/>
    <w:bookmarkEnd w:id="4080"/>
    <w:bookmarkEnd w:id="4081"/>
    <w:bookmarkStart w:id="4088" w:name="count-property-1"/>
    <w:p>
      <w:pPr>
        <w:pStyle w:val="Heading1"/>
      </w:pPr>
      <w:r>
        <w:t xml:space="preserve">Count Property</w:t>
      </w:r>
    </w:p>
    <w:bookmarkStart w:id="4082" w:name="overview-450"/>
    <w:p>
      <w:pPr>
        <w:pStyle w:val="Heading2"/>
      </w:pPr>
      <w:r>
        <w:t xml:space="preserve">Overview</w:t>
      </w:r>
    </w:p>
    <w:p>
      <w:pPr>
        <w:pStyle w:val="FirstParagraph"/>
      </w:pPr>
      <w:r>
        <w:t xml:space="preserve">Gets the total number of entries within the active G3TAR archive.</w:t>
      </w:r>
    </w:p>
    <w:bookmarkEnd w:id="4082"/>
    <w:bookmarkStart w:id="4083" w:name="syntax-437"/>
    <w:p>
      <w:pPr>
        <w:pStyle w:val="Heading2"/>
      </w:pPr>
      <w:r>
        <w:t xml:space="preserve">Syntax</w:t>
      </w:r>
    </w:p>
    <w:p>
      <w:pPr>
        <w:pStyle w:val="SourceCode"/>
      </w:pPr>
      <w:r>
        <w:rPr>
          <w:rStyle w:val="NormalTok"/>
        </w:rPr>
        <w:t xml:space="preserve">Dim entryCount</w:t>
      </w:r>
      <w:r>
        <w:br/>
      </w:r>
      <w:r>
        <w:rPr>
          <w:rStyle w:val="NormalTok"/>
        </w:rPr>
        <w:t xml:space="preserve">entryCount = obj.Count</w:t>
      </w:r>
    </w:p>
    <w:bookmarkEnd w:id="4083"/>
    <w:bookmarkStart w:id="4084" w:name="parameters-and-arguments-107"/>
    <w:p>
      <w:pPr>
        <w:pStyle w:val="Heading2"/>
      </w:pPr>
      <w:r>
        <w:t xml:space="preserve">Parameters and Arguments</w:t>
      </w:r>
    </w:p>
    <w:p>
      <w:pPr>
        <w:pStyle w:val="Compact"/>
        <w:numPr>
          <w:ilvl w:val="0"/>
          <w:numId w:val="2028"/>
        </w:numPr>
      </w:pPr>
      <w:r>
        <w:t xml:space="preserve">Getter: None.</w:t>
      </w:r>
    </w:p>
    <w:bookmarkEnd w:id="4084"/>
    <w:bookmarkStart w:id="4085" w:name="return-values-158"/>
    <w:p>
      <w:pPr>
        <w:pStyle w:val="Heading2"/>
      </w:pPr>
      <w:r>
        <w:t xml:space="preserve">Return Values</w:t>
      </w:r>
    </w:p>
    <w:p>
      <w:pPr>
        <w:pStyle w:val="FirstParagraph"/>
      </w:pPr>
      <w:r>
        <w:t xml:space="preserve">Returns an</w:t>
      </w:r>
      <w:r>
        <w:t xml:space="preserve"> </w:t>
      </w:r>
      <w:r>
        <w:rPr>
          <w:rStyle w:val="VerbatimChar"/>
        </w:rPr>
        <w:t xml:space="preserve">Integer</w:t>
      </w:r>
      <w:r>
        <w:t xml:space="preserve"> </w:t>
      </w:r>
      <w:r>
        <w:t xml:space="preserve">representing the total files and folders tracked.</w:t>
      </w:r>
    </w:p>
    <w:bookmarkEnd w:id="4085"/>
    <w:bookmarkStart w:id="4086" w:name="remarks-420"/>
    <w:p>
      <w:pPr>
        <w:pStyle w:val="Heading2"/>
      </w:pPr>
      <w:r>
        <w:t xml:space="preserve">Remarks</w:t>
      </w:r>
    </w:p>
    <w:p>
      <w:pPr>
        <w:pStyle w:val="Compact"/>
        <w:numPr>
          <w:ilvl w:val="0"/>
          <w:numId w:val="2029"/>
        </w:numPr>
      </w:pPr>
      <w:r>
        <w:t xml:space="preserve">This property is read-only.</w:t>
      </w:r>
    </w:p>
    <w:p>
      <w:pPr>
        <w:pStyle w:val="Compact"/>
        <w:numPr>
          <w:ilvl w:val="0"/>
          <w:numId w:val="2029"/>
        </w:numPr>
      </w:pPr>
      <w:r>
        <w:t xml:space="preserve">Returns zero if no archive is open.</w:t>
      </w:r>
    </w:p>
    <w:bookmarkEnd w:id="4086"/>
    <w:bookmarkStart w:id="4087" w:name="code-example-23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entryCount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w:t>
      </w:r>
      <w:r>
        <w:rPr>
          <w:rStyle w:val="KeywordTok"/>
        </w:rPr>
        <w:t xml:space="preserve">Open</w:t>
      </w:r>
      <w:r>
        <w:rPr>
          <w:rStyle w:val="OtherTok"/>
        </w:rPr>
        <w:t xml:space="preserve">(</w:t>
      </w:r>
      <w:r>
        <w:rPr>
          <w:rStyle w:val="StringTok"/>
        </w:rPr>
        <w:t xml:space="preserve">"C:\temp\archive.tar"</w:t>
      </w:r>
      <w:r>
        <w:rPr>
          <w:rStyle w:val="OtherTok"/>
        </w:rPr>
        <w:t xml:space="preserve">)</w:t>
      </w:r>
      <w:r>
        <w:rPr>
          <w:rStyle w:val="NormalTok"/>
        </w:rPr>
        <w:t xml:space="preserve"> </w:t>
      </w:r>
      <w:r>
        <w:rPr>
          <w:rStyle w:val="ControlFlowTok"/>
        </w:rPr>
        <w:t xml:space="preserve">Then</w:t>
      </w:r>
      <w:r>
        <w:br/>
      </w:r>
      <w:r>
        <w:rPr>
          <w:rStyle w:val="NormalTok"/>
        </w:rPr>
        <w:t xml:space="preserve">    entryCount = obj.Count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entryCount</w:t>
      </w:r>
      <w:r>
        <w:br/>
      </w:r>
      <w:r>
        <w:rPr>
          <w:rStyle w:val="ControlFlowTok"/>
        </w:rPr>
        <w:t xml:space="preserve">End If</w:t>
      </w:r>
      <w:r>
        <w:br/>
      </w:r>
      <w:r>
        <w:rPr>
          <w:rStyle w:val="NormalTok"/>
        </w:rPr>
        <w:t xml:space="preserve">obj.</w:t>
      </w:r>
      <w:r>
        <w:rPr>
          <w:rStyle w:val="KeywordTok"/>
        </w:rPr>
        <w:t xml:space="preserve">Close</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87"/>
    <w:bookmarkEnd w:id="4088"/>
    <w:bookmarkStart w:id="4095" w:name="lasterror-property-2"/>
    <w:p>
      <w:pPr>
        <w:pStyle w:val="Heading1"/>
      </w:pPr>
      <w:r>
        <w:t xml:space="preserve">LastError Property</w:t>
      </w:r>
    </w:p>
    <w:bookmarkStart w:id="4089" w:name="overview-451"/>
    <w:p>
      <w:pPr>
        <w:pStyle w:val="Heading2"/>
      </w:pPr>
      <w:r>
        <w:t xml:space="preserve">Overview</w:t>
      </w:r>
    </w:p>
    <w:p>
      <w:pPr>
        <w:pStyle w:val="FirstParagraph"/>
      </w:pPr>
      <w:r>
        <w:t xml:space="preserve">Gets the description of the last error encountered during a G3TAR operation.</w:t>
      </w:r>
    </w:p>
    <w:bookmarkEnd w:id="4089"/>
    <w:bookmarkStart w:id="4090" w:name="syntax-438"/>
    <w:p>
      <w:pPr>
        <w:pStyle w:val="Heading2"/>
      </w:pPr>
      <w:r>
        <w:t xml:space="preserve">Syntax</w:t>
      </w:r>
    </w:p>
    <w:p>
      <w:pPr>
        <w:pStyle w:val="SourceCode"/>
      </w:pPr>
      <w:r>
        <w:rPr>
          <w:rStyle w:val="NormalTok"/>
        </w:rPr>
        <w:t xml:space="preserve">Dim errorMsg</w:t>
      </w:r>
      <w:r>
        <w:br/>
      </w:r>
      <w:r>
        <w:rPr>
          <w:rStyle w:val="NormalTok"/>
        </w:rPr>
        <w:t xml:space="preserve">errorMsg = obj.LastError</w:t>
      </w:r>
    </w:p>
    <w:bookmarkEnd w:id="4090"/>
    <w:bookmarkStart w:id="4091" w:name="parameters-and-arguments-108"/>
    <w:p>
      <w:pPr>
        <w:pStyle w:val="Heading2"/>
      </w:pPr>
      <w:r>
        <w:t xml:space="preserve">Parameters and Arguments</w:t>
      </w:r>
    </w:p>
    <w:p>
      <w:pPr>
        <w:pStyle w:val="Compact"/>
        <w:numPr>
          <w:ilvl w:val="0"/>
          <w:numId w:val="2030"/>
        </w:numPr>
      </w:pPr>
      <w:r>
        <w:t xml:space="preserve">Getter: None.</w:t>
      </w:r>
    </w:p>
    <w:bookmarkEnd w:id="4091"/>
    <w:bookmarkStart w:id="4092" w:name="return-values-159"/>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detailing the most recent internal operation error.</w:t>
      </w:r>
    </w:p>
    <w:bookmarkEnd w:id="4092"/>
    <w:bookmarkStart w:id="4093" w:name="remarks-421"/>
    <w:p>
      <w:pPr>
        <w:pStyle w:val="Heading2"/>
      </w:pPr>
      <w:r>
        <w:t xml:space="preserve">Remarks</w:t>
      </w:r>
    </w:p>
    <w:p>
      <w:pPr>
        <w:pStyle w:val="Compact"/>
        <w:numPr>
          <w:ilvl w:val="0"/>
          <w:numId w:val="2031"/>
        </w:numPr>
      </w:pPr>
      <w:r>
        <w:t xml:space="preserve">This property is read-only.</w:t>
      </w:r>
    </w:p>
    <w:p>
      <w:pPr>
        <w:pStyle w:val="Compact"/>
        <w:numPr>
          <w:ilvl w:val="0"/>
          <w:numId w:val="2031"/>
        </w:numPr>
      </w:pPr>
      <w:r>
        <w:t xml:space="preserve">Use this to inspect failures instead of relying solely on Boolean returns.</w:t>
      </w:r>
    </w:p>
    <w:bookmarkEnd w:id="4093"/>
    <w:bookmarkStart w:id="4094" w:name="code-example-23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errorMsg</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obj.</w:t>
      </w:r>
      <w:r>
        <w:rPr>
          <w:rStyle w:val="KeywordTok"/>
        </w:rPr>
        <w:t xml:space="preserve">Open</w:t>
      </w:r>
      <w:r>
        <w:rPr>
          <w:rStyle w:val="OtherTok"/>
        </w:rPr>
        <w:t xml:space="preserve">(</w:t>
      </w:r>
      <w:r>
        <w:rPr>
          <w:rStyle w:val="StringTok"/>
        </w:rPr>
        <w:t xml:space="preserve">"C:\temp\missing.tar"</w:t>
      </w:r>
      <w:r>
        <w:rPr>
          <w:rStyle w:val="OtherTok"/>
        </w:rPr>
        <w:t xml:space="preserve">)</w:t>
      </w:r>
      <w:r>
        <w:rPr>
          <w:rStyle w:val="NormalTok"/>
        </w:rPr>
        <w:t xml:space="preserve"> </w:t>
      </w:r>
      <w:r>
        <w:rPr>
          <w:rStyle w:val="ControlFlowTok"/>
        </w:rPr>
        <w:t xml:space="preserve">Then</w:t>
      </w:r>
      <w:r>
        <w:br/>
      </w:r>
      <w:r>
        <w:rPr>
          <w:rStyle w:val="NormalTok"/>
        </w:rPr>
        <w:t xml:space="preserve">    errorMsg = obj.LastError</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errorMsg</w:t>
      </w:r>
      <w:r>
        <w:br/>
      </w:r>
      <w:r>
        <w:rPr>
          <w:rStyle w:val="ControlFlowTok"/>
        </w:rPr>
        <w:t xml:space="preserve">End If</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094"/>
    <w:bookmarkEnd w:id="4095"/>
    <w:bookmarkStart w:id="4102" w:name="mode-property-1"/>
    <w:p>
      <w:pPr>
        <w:pStyle w:val="Heading1"/>
      </w:pPr>
      <w:r>
        <w:t xml:space="preserve">Mode Property</w:t>
      </w:r>
    </w:p>
    <w:bookmarkStart w:id="4096" w:name="overview-452"/>
    <w:p>
      <w:pPr>
        <w:pStyle w:val="Heading2"/>
      </w:pPr>
      <w:r>
        <w:t xml:space="preserve">Overview</w:t>
      </w:r>
    </w:p>
    <w:p>
      <w:pPr>
        <w:pStyle w:val="FirstParagraph"/>
      </w:pPr>
      <w:r>
        <w:t xml:space="preserve">Gets the current operation mode of the G3TAR archive.</w:t>
      </w:r>
    </w:p>
    <w:bookmarkEnd w:id="4096"/>
    <w:bookmarkStart w:id="4097" w:name="syntax-439"/>
    <w:p>
      <w:pPr>
        <w:pStyle w:val="Heading2"/>
      </w:pPr>
      <w:r>
        <w:t xml:space="preserve">Syntax</w:t>
      </w:r>
    </w:p>
    <w:p>
      <w:pPr>
        <w:pStyle w:val="SourceCode"/>
      </w:pPr>
      <w:r>
        <w:rPr>
          <w:rStyle w:val="NormalTok"/>
        </w:rPr>
        <w:t xml:space="preserve">Dim currentMode</w:t>
      </w:r>
      <w:r>
        <w:br/>
      </w:r>
      <w:r>
        <w:rPr>
          <w:rStyle w:val="NormalTok"/>
        </w:rPr>
        <w:t xml:space="preserve">currentMode = obj.Mode</w:t>
      </w:r>
    </w:p>
    <w:bookmarkEnd w:id="4097"/>
    <w:bookmarkStart w:id="4098" w:name="parameters-and-arguments-109"/>
    <w:p>
      <w:pPr>
        <w:pStyle w:val="Heading2"/>
      </w:pPr>
      <w:r>
        <w:t xml:space="preserve">Parameters and Arguments</w:t>
      </w:r>
    </w:p>
    <w:p>
      <w:pPr>
        <w:pStyle w:val="Compact"/>
        <w:numPr>
          <w:ilvl w:val="0"/>
          <w:numId w:val="2032"/>
        </w:numPr>
      </w:pPr>
      <w:r>
        <w:t xml:space="preserve">Getter: None.</w:t>
      </w:r>
    </w:p>
    <w:bookmarkEnd w:id="4098"/>
    <w:bookmarkStart w:id="4099" w:name="return-values-160"/>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representing the archive mode.</w:t>
      </w:r>
    </w:p>
    <w:bookmarkEnd w:id="4099"/>
    <w:bookmarkStart w:id="4100" w:name="remarks-422"/>
    <w:p>
      <w:pPr>
        <w:pStyle w:val="Heading2"/>
      </w:pPr>
      <w:r>
        <w:t xml:space="preserve">Remarks</w:t>
      </w:r>
    </w:p>
    <w:p>
      <w:pPr>
        <w:pStyle w:val="Compact"/>
        <w:numPr>
          <w:ilvl w:val="0"/>
          <w:numId w:val="2033"/>
        </w:numPr>
      </w:pPr>
      <w:r>
        <w:t xml:space="preserve">This property is read-only.</w:t>
      </w:r>
    </w:p>
    <w:p>
      <w:pPr>
        <w:pStyle w:val="Compact"/>
        <w:numPr>
          <w:ilvl w:val="0"/>
          <w:numId w:val="2033"/>
        </w:numPr>
      </w:pPr>
      <w:r>
        <w:t xml:space="preserve">Usually reflects read or write modes depending on initialization.</w:t>
      </w:r>
    </w:p>
    <w:bookmarkEnd w:id="4100"/>
    <w:bookmarkStart w:id="4101" w:name="code-example-23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currentMode</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w:t>
      </w:r>
      <w:r>
        <w:rPr>
          <w:rStyle w:val="KeywordTok"/>
        </w:rPr>
        <w:t xml:space="preserve">Open</w:t>
      </w:r>
      <w:r>
        <w:rPr>
          <w:rStyle w:val="OtherTok"/>
        </w:rPr>
        <w:t xml:space="preserve">(</w:t>
      </w:r>
      <w:r>
        <w:rPr>
          <w:rStyle w:val="StringTok"/>
        </w:rPr>
        <w:t xml:space="preserve">"C:\temp\archive.tar"</w:t>
      </w:r>
      <w:r>
        <w:rPr>
          <w:rStyle w:val="OtherTok"/>
        </w:rPr>
        <w:t xml:space="preserve">)</w:t>
      </w:r>
      <w:r>
        <w:rPr>
          <w:rStyle w:val="NormalTok"/>
        </w:rPr>
        <w:t xml:space="preserve"> </w:t>
      </w:r>
      <w:r>
        <w:rPr>
          <w:rStyle w:val="ControlFlowTok"/>
        </w:rPr>
        <w:t xml:space="preserve">Then</w:t>
      </w:r>
      <w:r>
        <w:br/>
      </w:r>
      <w:r>
        <w:rPr>
          <w:rStyle w:val="NormalTok"/>
        </w:rPr>
        <w:t xml:space="preserve">    currentMode = obj.Mode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currentMode</w:t>
      </w:r>
      <w:r>
        <w:br/>
      </w:r>
      <w:r>
        <w:rPr>
          <w:rStyle w:val="ControlFlowTok"/>
        </w:rPr>
        <w:t xml:space="preserve">End If</w:t>
      </w:r>
      <w:r>
        <w:br/>
      </w:r>
      <w:r>
        <w:rPr>
          <w:rStyle w:val="NormalTok"/>
        </w:rPr>
        <w:t xml:space="preserve">obj.</w:t>
      </w:r>
      <w:r>
        <w:rPr>
          <w:rStyle w:val="KeywordTok"/>
        </w:rPr>
        <w:t xml:space="preserve">Close</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101"/>
    <w:bookmarkEnd w:id="4102"/>
    <w:bookmarkStart w:id="4110" w:name="path-property-1"/>
    <w:p>
      <w:pPr>
        <w:pStyle w:val="Heading1"/>
      </w:pPr>
      <w:r>
        <w:t xml:space="preserve">Path Property</w:t>
      </w:r>
    </w:p>
    <w:bookmarkStart w:id="4103" w:name="overview-453"/>
    <w:p>
      <w:pPr>
        <w:pStyle w:val="Heading2"/>
      </w:pPr>
      <w:r>
        <w:t xml:space="preserve">Overview</w:t>
      </w:r>
    </w:p>
    <w:p>
      <w:pPr>
        <w:pStyle w:val="FirstParagraph"/>
      </w:pPr>
      <w:r>
        <w:t xml:space="preserve">Gets the active file path associated with the G3TAR archive.</w:t>
      </w:r>
    </w:p>
    <w:bookmarkEnd w:id="4103"/>
    <w:bookmarkStart w:id="4104" w:name="syntax-440"/>
    <w:p>
      <w:pPr>
        <w:pStyle w:val="Heading2"/>
      </w:pPr>
      <w:r>
        <w:t xml:space="preserve">Syntax</w:t>
      </w:r>
    </w:p>
    <w:p>
      <w:pPr>
        <w:pStyle w:val="SourceCode"/>
      </w:pPr>
      <w:r>
        <w:rPr>
          <w:rStyle w:val="NormalTok"/>
        </w:rPr>
        <w:t xml:space="preserve">Dim filePath</w:t>
      </w:r>
      <w:r>
        <w:br/>
      </w:r>
      <w:r>
        <w:rPr>
          <w:rStyle w:val="NormalTok"/>
        </w:rPr>
        <w:t xml:space="preserve">filePath = obj.Path</w:t>
      </w:r>
    </w:p>
    <w:bookmarkEnd w:id="4104"/>
    <w:bookmarkStart w:id="4105" w:name="parameters-and-arguments-110"/>
    <w:p>
      <w:pPr>
        <w:pStyle w:val="Heading2"/>
      </w:pPr>
      <w:r>
        <w:t xml:space="preserve">Parameters and Arguments</w:t>
      </w:r>
    </w:p>
    <w:p>
      <w:pPr>
        <w:pStyle w:val="Compact"/>
        <w:numPr>
          <w:ilvl w:val="0"/>
          <w:numId w:val="2034"/>
        </w:numPr>
      </w:pPr>
      <w:r>
        <w:t xml:space="preserve">Getter: None.</w:t>
      </w:r>
    </w:p>
    <w:bookmarkEnd w:id="4105"/>
    <w:bookmarkStart w:id="4106" w:name="return-values-161"/>
    <w:p>
      <w:pPr>
        <w:pStyle w:val="Heading2"/>
      </w:pPr>
      <w:r>
        <w:t xml:space="preserve">Return Values</w:t>
      </w:r>
    </w:p>
    <w:p>
      <w:pPr>
        <w:pStyle w:val="FirstParagraph"/>
      </w:pPr>
      <w:r>
        <w:t xml:space="preserve">Returns a</w:t>
      </w:r>
      <w:r>
        <w:t xml:space="preserve"> </w:t>
      </w:r>
      <w:r>
        <w:rPr>
          <w:rStyle w:val="VerbatimChar"/>
        </w:rPr>
        <w:t xml:space="preserve">String</w:t>
      </w:r>
      <w:r>
        <w:t xml:space="preserve"> </w:t>
      </w:r>
      <w:r>
        <w:t xml:space="preserve">containing the absolute path of the current archive.</w:t>
      </w:r>
    </w:p>
    <w:bookmarkEnd w:id="4106"/>
    <w:bookmarkStart w:id="4107" w:name="remarks-423"/>
    <w:p>
      <w:pPr>
        <w:pStyle w:val="Heading2"/>
      </w:pPr>
      <w:r>
        <w:t xml:space="preserve">Remarks</w:t>
      </w:r>
    </w:p>
    <w:p>
      <w:pPr>
        <w:pStyle w:val="Compact"/>
        <w:numPr>
          <w:ilvl w:val="0"/>
          <w:numId w:val="2035"/>
        </w:numPr>
      </w:pPr>
      <w:r>
        <w:t xml:space="preserve">This property is read-only.</w:t>
      </w:r>
    </w:p>
    <w:p>
      <w:pPr>
        <w:pStyle w:val="Compact"/>
        <w:numPr>
          <w:ilvl w:val="0"/>
          <w:numId w:val="2035"/>
        </w:numPr>
      </w:pPr>
      <w:r>
        <w:t xml:space="preserve">Available only after opening or creating an archive.</w:t>
      </w:r>
    </w:p>
    <w:bookmarkEnd w:id="4107"/>
    <w:bookmarkStart w:id="4108" w:name="code-example-23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w:t>
      </w:r>
      <w:r>
        <w:rPr>
          <w:rStyle w:val="OtherTok"/>
        </w:rPr>
        <w:t xml:space="preserve">,</w:t>
      </w:r>
      <w:r>
        <w:rPr>
          <w:rStyle w:val="NormalTok"/>
        </w:rPr>
        <w:t xml:space="preserve"> filePath</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"G3TAR"</w:t>
      </w:r>
      <w:r>
        <w:rPr>
          <w:rStyle w:val="OtherTok"/>
        </w:rPr>
        <w:t xml:space="preserve">)</w:t>
      </w:r>
      <w:r>
        <w:br/>
      </w:r>
      <w:r>
        <w:rPr>
          <w:rStyle w:val="ControlFlowTok"/>
        </w:rPr>
        <w:t xml:space="preserve">If</w:t>
      </w:r>
      <w:r>
        <w:rPr>
          <w:rStyle w:val="NormalTok"/>
        </w:rPr>
        <w:t xml:space="preserve"> obj.</w:t>
      </w:r>
      <w:r>
        <w:rPr>
          <w:rStyle w:val="KeywordTok"/>
        </w:rPr>
        <w:t xml:space="preserve">Open</w:t>
      </w:r>
      <w:r>
        <w:rPr>
          <w:rStyle w:val="OtherTok"/>
        </w:rPr>
        <w:t xml:space="preserve">(</w:t>
      </w:r>
      <w:r>
        <w:rPr>
          <w:rStyle w:val="StringTok"/>
        </w:rPr>
        <w:t xml:space="preserve">"C:\temp\archive.tar"</w:t>
      </w:r>
      <w:r>
        <w:rPr>
          <w:rStyle w:val="OtherTok"/>
        </w:rPr>
        <w:t xml:space="preserve">)</w:t>
      </w:r>
      <w:r>
        <w:rPr>
          <w:rStyle w:val="NormalTok"/>
        </w:rPr>
        <w:t xml:space="preserve"> </w:t>
      </w:r>
      <w:r>
        <w:rPr>
          <w:rStyle w:val="ControlFlowTok"/>
        </w:rPr>
        <w:t xml:space="preserve">Then</w:t>
      </w:r>
      <w:r>
        <w:br/>
      </w:r>
      <w:r>
        <w:rPr>
          <w:rStyle w:val="NormalTok"/>
        </w:rPr>
        <w:t xml:space="preserve">    filePath = obj.Path</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filePath</w:t>
      </w:r>
      <w:r>
        <w:br/>
      </w:r>
      <w:r>
        <w:rPr>
          <w:rStyle w:val="ControlFlowTok"/>
        </w:rPr>
        <w:t xml:space="preserve">End If</w:t>
      </w:r>
      <w:r>
        <w:br/>
      </w:r>
      <w:r>
        <w:rPr>
          <w:rStyle w:val="NormalTok"/>
        </w:rPr>
        <w:t xml:space="preserve">obj.</w:t>
      </w:r>
      <w:r>
        <w:rPr>
          <w:rStyle w:val="KeywordTok"/>
        </w:rPr>
        <w:t xml:space="preserve">Close</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108"/>
    <w:bookmarkStart w:id="4109" w:name="g3zstd"/>
    <w:p>
      <w:pPr>
        <w:pStyle w:val="Heading2"/>
      </w:pPr>
      <w:r>
        <w:t xml:space="preserve">G3ZSTD</w:t>
      </w:r>
    </w:p>
    <w:bookmarkEnd w:id="4109"/>
    <w:bookmarkEnd w:id="4110"/>
    <w:bookmarkStart w:id="4119" w:name="use-the-g3zstd-library"/>
    <w:p>
      <w:pPr>
        <w:pStyle w:val="Heading1"/>
      </w:pPr>
      <w:r>
        <w:t xml:space="preserve">Use the G3ZSTD Library</w:t>
      </w:r>
    </w:p>
    <w:bookmarkStart w:id="4111" w:name="overview-454"/>
    <w:p>
      <w:pPr>
        <w:pStyle w:val="Heading2"/>
      </w:pPr>
      <w:r>
        <w:t xml:space="preserve">Overview</w:t>
      </w:r>
    </w:p>
    <w:p>
      <w:pPr>
        <w:pStyle w:val="FirstParagraph"/>
      </w:pPr>
      <w:r>
        <w:t xml:space="preserve">The</w:t>
      </w:r>
      <w:r>
        <w:t xml:space="preserve"> </w:t>
      </w:r>
      <w:r>
        <w:rPr>
          <w:b/>
          <w:bCs/>
        </w:rPr>
        <w:t xml:space="preserve">G3ZSTD</w:t>
      </w:r>
      <w:r>
        <w:t xml:space="preserve"> </w:t>
      </w:r>
      <w:r>
        <w:t xml:space="preserve">library provides high-performance data compression and decompression services for G3Pix AxonASP applications using the Zstandard (Zstd) algorithm. It is optimized for both speed and compression ratio, offering a wide range of compression levels. The library supports in-memory processing of strings and byte arrays, batch processing of arrays, and streaming file compression to minimize memory footprint.</w:t>
      </w:r>
    </w:p>
    <w:bookmarkEnd w:id="4111"/>
    <w:bookmarkStart w:id="4112" w:name="syntax-441"/>
    <w:p>
      <w:pPr>
        <w:pStyle w:val="Heading2"/>
      </w:pPr>
      <w:r>
        <w:t xml:space="preserve">Syntax</w:t>
      </w:r>
    </w:p>
    <w:p>
      <w:pPr>
        <w:pStyle w:val="FirstParagraph"/>
      </w:pPr>
      <w:r>
        <w:t xml:space="preserve">To instantiate the library, use the following syntax:</w:t>
      </w:r>
    </w:p>
    <w:p>
      <w:pPr>
        <w:pStyle w:val="SourceCode"/>
      </w:pPr>
      <w:r>
        <w:rPr>
          <w:rStyle w:val="NormalTok"/>
        </w:rPr>
        <w:t xml:space="preserve">Dim zstd</w:t>
      </w:r>
      <w:r>
        <w:br/>
      </w:r>
      <w:r>
        <w:rPr>
          <w:rStyle w:val="NormalTok"/>
        </w:rPr>
        <w:t xml:space="preserve">Set zstd = Server.CreateObject("G3ZSTD")</w:t>
      </w:r>
    </w:p>
    <w:p>
      <w:pPr>
        <w:pStyle w:val="SourceCode"/>
      </w:pPr>
      <w:r>
        <w:rPr>
          <w:rStyle w:val="KeywordTok"/>
        </w:rPr>
        <w:t xml:space="preserve">var</w:t>
      </w:r>
      <w:r>
        <w:rPr>
          <w:rStyle w:val="NormalTok"/>
        </w:rPr>
        <w:t xml:space="preserve"> zstd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"G3ZSTD"</w:t>
      </w:r>
      <w:r>
        <w:rPr>
          <w:rStyle w:val="NormalTok"/>
        </w:rPr>
        <w:t xml:space="preserve">)</w:t>
      </w:r>
      <w:r>
        <w:rPr>
          <w:rStyle w:val="OperatorTok"/>
        </w:rPr>
        <w:t xml:space="preserve">;</w:t>
      </w:r>
    </w:p>
    <w:bookmarkEnd w:id="4112"/>
    <w:bookmarkStart w:id="4113" w:name="prerequisites-155"/>
    <w:p>
      <w:pPr>
        <w:pStyle w:val="Heading2"/>
      </w:pPr>
      <w:r>
        <w:t xml:space="preserve">Prerequisites</w:t>
      </w:r>
    </w:p>
    <w:p>
      <w:pPr>
        <w:pStyle w:val="FirstParagraph"/>
      </w:pPr>
      <w:r>
        <w:t xml:space="preserve">No external dependencies are required. The G3ZSTD library is a built-in native component of the G3Pix AxonASP environment.</w:t>
      </w:r>
    </w:p>
    <w:bookmarkEnd w:id="4113"/>
    <w:bookmarkStart w:id="4114" w:name="how-it-works-26"/>
    <w:p>
      <w:pPr>
        <w:pStyle w:val="Heading2"/>
      </w:pPr>
      <w:r>
        <w:t xml:space="preserve">How it Works</w:t>
      </w:r>
    </w:p>
    <w:p>
      <w:pPr>
        <w:pStyle w:val="FirstParagraph"/>
      </w:pPr>
      <w:r>
        <w:t xml:space="preserve">The G3ZSTD object provides a stateless interface for most compression operations but maintains internal state for the</w:t>
      </w:r>
      <w:r>
        <w:t xml:space="preserve"> </w:t>
      </w:r>
      <w:r>
        <w:rPr>
          <w:b/>
          <w:bCs/>
        </w:rPr>
        <w:t xml:space="preserve">Level</w:t>
      </w:r>
      <w:r>
        <w:t xml:space="preserve"> </w:t>
      </w:r>
      <w:r>
        <w:t xml:space="preserve">configuration and the</w:t>
      </w:r>
      <w:r>
        <w:t xml:space="preserve"> </w:t>
      </w:r>
      <w:r>
        <w:rPr>
          <w:b/>
          <w:bCs/>
        </w:rPr>
        <w:t xml:space="preserve">LastError</w:t>
      </w:r>
      <w:r>
        <w:t xml:space="preserve"> </w:t>
      </w:r>
      <w:r>
        <w:t xml:space="preserve">property.</w:t>
      </w:r>
      <w:r>
        <w:t xml:space="preserve"> </w:t>
      </w:r>
      <w:r>
        <w:t xml:space="preserve">-</w:t>
      </w:r>
      <w:r>
        <w:t xml:space="preserve"> </w:t>
      </w:r>
      <w:r>
        <w:rPr>
          <w:b/>
          <w:bCs/>
        </w:rPr>
        <w:t xml:space="preserve">Levels</w:t>
      </w:r>
      <w:r>
        <w:t xml:space="preserve">: Compression levels range from -5 (fastest) to 22 (highest compression). The default level is 3.</w:t>
      </w:r>
      <w:r>
        <w:t xml:space="preserve"> </w:t>
      </w:r>
      <w:r>
        <w:t xml:space="preserve">-</w:t>
      </w:r>
      <w:r>
        <w:t xml:space="preserve"> </w:t>
      </w:r>
      <w:r>
        <w:rPr>
          <w:b/>
          <w:bCs/>
        </w:rPr>
        <w:t xml:space="preserve">Data Types</w:t>
      </w:r>
      <w:r>
        <w:t xml:space="preserve">: The library seamlessly handles VBScript strings and byte arrays (VBArray of bytes).</w:t>
      </w:r>
      <w:r>
        <w:t xml:space="preserve"> </w:t>
      </w:r>
      <w:r>
        <w:t xml:space="preserve">-</w:t>
      </w:r>
      <w:r>
        <w:t xml:space="preserve"> </w:t>
      </w:r>
      <w:r>
        <w:rPr>
          <w:b/>
          <w:bCs/>
        </w:rPr>
        <w:t xml:space="preserve">File Streaming</w:t>
      </w:r>
      <w:r>
        <w:t xml:space="preserve">: Methods like</w:t>
      </w:r>
      <w:r>
        <w:t xml:space="preserve"> </w:t>
      </w:r>
      <w:r>
        <w:rPr>
          <w:b/>
          <w:bCs/>
        </w:rPr>
        <w:t xml:space="preserve">CompressFile</w:t>
      </w:r>
      <w:r>
        <w:t xml:space="preserve"> </w:t>
      </w:r>
      <w:r>
        <w:t xml:space="preserve">and</w:t>
      </w:r>
      <w:r>
        <w:t xml:space="preserve"> </w:t>
      </w:r>
      <w:r>
        <w:rPr>
          <w:b/>
          <w:bCs/>
        </w:rPr>
        <w:t xml:space="preserve">DecompressFile</w:t>
      </w:r>
      <w:r>
        <w:t xml:space="preserve"> </w:t>
      </w:r>
      <w:r>
        <w:t xml:space="preserve">use streaming I/O to process large files without loading the entire content into memory, ensuring system stability.</w:t>
      </w:r>
      <w:r>
        <w:t xml:space="preserve"> </w:t>
      </w:r>
      <w:r>
        <w:t xml:space="preserve">-</w:t>
      </w:r>
      <w:r>
        <w:t xml:space="preserve"> </w:t>
      </w:r>
      <w:r>
        <w:rPr>
          <w:b/>
          <w:bCs/>
        </w:rPr>
        <w:t xml:space="preserve">Resource Management</w:t>
      </w:r>
      <w:r>
        <w:t xml:space="preserve">: While the object is managed by the AxonASP garbage collector, the</w:t>
      </w:r>
      <w:r>
        <w:t xml:space="preserve"> </w:t>
      </w:r>
      <w:r>
        <w:rPr>
          <w:b/>
          <w:bCs/>
        </w:rPr>
        <w:t xml:space="preserve">Clear</w:t>
      </w:r>
      <w:r>
        <w:t xml:space="preserve"> </w:t>
      </w:r>
      <w:r>
        <w:t xml:space="preserve">method can be used to explicitly release internal encoder/decoder buffers.</w:t>
      </w:r>
    </w:p>
    <w:bookmarkEnd w:id="4114"/>
    <w:bookmarkStart w:id="4117" w:name="api-reference-158"/>
    <w:p>
      <w:pPr>
        <w:pStyle w:val="Heading2"/>
      </w:pPr>
      <w:r>
        <w:t xml:space="preserve">API Reference</w:t>
      </w:r>
    </w:p>
    <w:bookmarkStart w:id="4115" w:name="methods-29"/>
    <w:p>
      <w:pPr>
        <w:pStyle w:val="Heading3"/>
      </w:pPr>
      <w:r>
        <w:t xml:space="preserve">Methods</w:t>
      </w:r>
    </w:p>
    <w:p>
      <w:pPr>
        <w:pStyle w:val="Compact"/>
        <w:numPr>
          <w:ilvl w:val="0"/>
          <w:numId w:val="2036"/>
        </w:numPr>
      </w:pPr>
      <w:r>
        <w:rPr>
          <w:b/>
          <w:bCs/>
        </w:rPr>
        <w:t xml:space="preserve">Clear</w:t>
      </w:r>
      <w:r>
        <w:t xml:space="preserve">: Releases internal buffers and resets the error state.</w:t>
      </w:r>
    </w:p>
    <w:p>
      <w:pPr>
        <w:pStyle w:val="Compact"/>
        <w:numPr>
          <w:ilvl w:val="0"/>
          <w:numId w:val="2036"/>
        </w:numPr>
      </w:pPr>
      <w:r>
        <w:rPr>
          <w:b/>
          <w:bCs/>
        </w:rPr>
        <w:t xml:space="preserve">Compress</w:t>
      </w:r>
      <w:r>
        <w:t xml:space="preserve">: Compresses a string or byte array into a Zstd-encoded byte array.</w:t>
      </w:r>
    </w:p>
    <w:p>
      <w:pPr>
        <w:pStyle w:val="Compact"/>
        <w:numPr>
          <w:ilvl w:val="0"/>
          <w:numId w:val="2036"/>
        </w:numPr>
      </w:pPr>
      <w:r>
        <w:rPr>
          <w:b/>
          <w:bCs/>
        </w:rPr>
        <w:t xml:space="preserve">CompressFile</w:t>
      </w:r>
      <w:r>
        <w:t xml:space="preserve">: Compresses a file from disk and saves the result to a new file.</w:t>
      </w:r>
    </w:p>
    <w:p>
      <w:pPr>
        <w:pStyle w:val="Compact"/>
        <w:numPr>
          <w:ilvl w:val="0"/>
          <w:numId w:val="2036"/>
        </w:numPr>
      </w:pPr>
      <w:r>
        <w:rPr>
          <w:b/>
          <w:bCs/>
        </w:rPr>
        <w:t xml:space="preserve">CompressMany</w:t>
      </w:r>
      <w:r>
        <w:t xml:space="preserve">: Performs batch compression on an array of inputs.</w:t>
      </w:r>
    </w:p>
    <w:p>
      <w:pPr>
        <w:pStyle w:val="Compact"/>
        <w:numPr>
          <w:ilvl w:val="0"/>
          <w:numId w:val="2036"/>
        </w:numPr>
      </w:pPr>
      <w:r>
        <w:rPr>
          <w:b/>
          <w:bCs/>
        </w:rPr>
        <w:t xml:space="preserve">Decompress</w:t>
      </w:r>
      <w:r>
        <w:t xml:space="preserve">: Decompresses a Zstd-encoded byte array into its original byte array.</w:t>
      </w:r>
    </w:p>
    <w:p>
      <w:pPr>
        <w:pStyle w:val="Compact"/>
        <w:numPr>
          <w:ilvl w:val="0"/>
          <w:numId w:val="2036"/>
        </w:numPr>
      </w:pPr>
      <w:r>
        <w:rPr>
          <w:b/>
          <w:bCs/>
        </w:rPr>
        <w:t xml:space="preserve">DecompressFile</w:t>
      </w:r>
      <w:r>
        <w:t xml:space="preserve">: Decompresses a Zstd file from disk to its original state.</w:t>
      </w:r>
    </w:p>
    <w:p>
      <w:pPr>
        <w:pStyle w:val="Compact"/>
        <w:numPr>
          <w:ilvl w:val="0"/>
          <w:numId w:val="2036"/>
        </w:numPr>
      </w:pPr>
      <w:r>
        <w:rPr>
          <w:b/>
          <w:bCs/>
        </w:rPr>
        <w:t xml:space="preserve">DecompressMany</w:t>
      </w:r>
      <w:r>
        <w:t xml:space="preserve">: Performs batch decompression on an array of encoded inputs.</w:t>
      </w:r>
    </w:p>
    <w:p>
      <w:pPr>
        <w:pStyle w:val="Compact"/>
        <w:numPr>
          <w:ilvl w:val="0"/>
          <w:numId w:val="2036"/>
        </w:numPr>
      </w:pPr>
      <w:r>
        <w:rPr>
          <w:b/>
          <w:bCs/>
        </w:rPr>
        <w:t xml:space="preserve">DecompressText</w:t>
      </w:r>
      <w:r>
        <w:t xml:space="preserve">: Decompresses a Zstd-encoded byte array directly into a UTF-8 string.</w:t>
      </w:r>
    </w:p>
    <w:p>
      <w:pPr>
        <w:pStyle w:val="Compact"/>
        <w:numPr>
          <w:ilvl w:val="0"/>
          <w:numId w:val="2036"/>
        </w:numPr>
      </w:pPr>
      <w:r>
        <w:rPr>
          <w:b/>
          <w:bCs/>
        </w:rPr>
        <w:t xml:space="preserve">SetLevel</w:t>
      </w:r>
      <w:r>
        <w:t xml:space="preserve">: Configures the default compression level for the object instance.</w:t>
      </w:r>
    </w:p>
    <w:bookmarkEnd w:id="4115"/>
    <w:bookmarkStart w:id="4116" w:name="properties-29"/>
    <w:p>
      <w:pPr>
        <w:pStyle w:val="Heading3"/>
      </w:pPr>
      <w:r>
        <w:t xml:space="preserve">Properties</w:t>
      </w:r>
    </w:p>
    <w:p>
      <w:pPr>
        <w:pStyle w:val="Compact"/>
        <w:numPr>
          <w:ilvl w:val="0"/>
          <w:numId w:val="2037"/>
        </w:numPr>
      </w:pPr>
      <w:r>
        <w:rPr>
          <w:b/>
          <w:bCs/>
        </w:rPr>
        <w:t xml:space="preserve">LastError</w:t>
      </w:r>
      <w:r>
        <w:t xml:space="preserve">: Returns the description of the most recent error encountered.</w:t>
      </w:r>
    </w:p>
    <w:p>
      <w:pPr>
        <w:pStyle w:val="Compact"/>
        <w:numPr>
          <w:ilvl w:val="0"/>
          <w:numId w:val="2037"/>
        </w:numPr>
      </w:pPr>
      <w:r>
        <w:rPr>
          <w:b/>
          <w:bCs/>
        </w:rPr>
        <w:t xml:space="preserve">Level</w:t>
      </w:r>
      <w:r>
        <w:t xml:space="preserve">: Returns the currently configured default compression level.</w:t>
      </w:r>
    </w:p>
    <w:bookmarkEnd w:id="4116"/>
    <w:bookmarkEnd w:id="4117"/>
    <w:bookmarkStart w:id="4118" w:name="code-example-238"/>
    <w:p>
      <w:pPr>
        <w:pStyle w:val="Heading2"/>
      </w:pPr>
      <w:r>
        <w:t xml:space="preserve">Code Example</w:t>
      </w:r>
    </w:p>
    <w:p>
      <w:pPr>
        <w:pStyle w:val="FirstParagraph"/>
      </w:pPr>
      <w:r>
        <w:t xml:space="preserve">The following example demonstrates how to compress a string and luego decompress it back to text.</w:t>
      </w:r>
    </w:p>
    <w:p>
      <w:pPr>
        <w:pStyle w:val="SourceCode"/>
      </w:pPr>
      <w:r>
        <w:rPr>
          <w:rStyle w:val="DataTypeTok"/>
        </w:rPr>
        <w:t xml:space="preserve">&lt;%</w:t>
      </w:r>
      <w:r>
        <w:br/>
      </w:r>
      <w:r>
        <w:rPr>
          <w:rStyle w:val="KeywordTok"/>
        </w:rPr>
        <w:t xml:space="preserve">Dim</w:t>
      </w:r>
      <w:r>
        <w:rPr>
          <w:rStyle w:val="NormalTok"/>
        </w:rPr>
        <w:t xml:space="preserve"> zstd</w:t>
      </w:r>
      <w:r>
        <w:rPr>
          <w:rStyle w:val="OtherTok"/>
        </w:rPr>
        <w:t xml:space="preserve">,</w:t>
      </w:r>
      <w:r>
        <w:rPr>
          <w:rStyle w:val="NormalTok"/>
        </w:rPr>
        <w:t xml:space="preserve"> original</w:t>
      </w:r>
      <w:r>
        <w:rPr>
          <w:rStyle w:val="OtherTok"/>
        </w:rPr>
        <w:t xml:space="preserve">,</w:t>
      </w:r>
      <w:r>
        <w:rPr>
          <w:rStyle w:val="NormalTok"/>
        </w:rPr>
        <w:t xml:space="preserve"> compressed</w:t>
      </w:r>
      <w:r>
        <w:rPr>
          <w:rStyle w:val="OtherTok"/>
        </w:rPr>
        <w:t xml:space="preserve">,</w:t>
      </w:r>
      <w:r>
        <w:rPr>
          <w:rStyle w:val="NormalTok"/>
        </w:rPr>
        <w:t xml:space="preserve"> recovered</w:t>
      </w:r>
      <w:r>
        <w:br/>
      </w:r>
      <w:r>
        <w:rPr>
          <w:rStyle w:val="KeywordTok"/>
        </w:rPr>
        <w:t xml:space="preserve">Set</w:t>
      </w:r>
      <w:r>
        <w:rPr>
          <w:rStyle w:val="NormalTok"/>
        </w:rPr>
        <w:t xml:space="preserve"> 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Original data</w:t>
      </w:r>
      <w:r>
        <w:br/>
      </w:r>
      <w:r>
        <w:rPr>
          <w:rStyle w:val="NormalTok"/>
        </w:rPr>
        <w:t xml:space="preserve">original = </w:t>
      </w:r>
      <w:r>
        <w:rPr>
          <w:rStyle w:val="StringTok"/>
        </w:rPr>
        <w:t xml:space="preserve">"AxonASP high-performance compression test data."</w:t>
      </w:r>
      <w:r>
        <w:br/>
      </w:r>
      <w:r>
        <w:br/>
      </w:r>
      <w:r>
        <w:rPr>
          <w:rStyle w:val="CommentTok"/>
        </w:rPr>
        <w:t xml:space="preserve">' Compress data at level 9</w:t>
      </w:r>
      <w:r>
        <w:br/>
      </w:r>
      <w:r>
        <w:rPr>
          <w:rStyle w:val="NormalTok"/>
        </w:rPr>
        <w:t xml:space="preserve">compressed = zstd.Compress</w:t>
      </w:r>
      <w:r>
        <w:rPr>
          <w:rStyle w:val="OtherTok"/>
        </w:rPr>
        <w:t xml:space="preserve">(</w:t>
      </w:r>
      <w:r>
        <w:rPr>
          <w:rStyle w:val="NormalTok"/>
        </w:rPr>
        <w:t xml:space="preserve">original</w:t>
      </w:r>
      <w:r>
        <w:rPr>
          <w:rStyle w:val="OtherTok"/>
        </w:rPr>
        <w:t xml:space="preserve">,</w:t>
      </w:r>
      <w:r>
        <w:rPr>
          <w:rStyle w:val="NormalTok"/>
        </w:rPr>
        <w:t xml:space="preserve"> </w:t>
      </w:r>
      <w:r>
        <w:rPr>
          <w:rStyle w:val="DecValTok"/>
        </w:rPr>
        <w:t xml:space="preserve">9</w:t>
      </w:r>
      <w:r>
        <w:rPr>
          <w:rStyle w:val="OtherTok"/>
        </w:rPr>
        <w:t xml:space="preserve">)</w:t>
      </w:r>
      <w:r>
        <w:br/>
      </w:r>
      <w:r>
        <w:br/>
      </w:r>
      <w:r>
        <w:rPr>
          <w:rStyle w:val="CommentTok"/>
        </w:rPr>
        <w:t xml:space="preserve">' Decompress directly to string</w:t>
      </w:r>
      <w:r>
        <w:br/>
      </w:r>
      <w:r>
        <w:rPr>
          <w:rStyle w:val="NormalTok"/>
        </w:rPr>
        <w:t xml:space="preserve">recovered = zstd.DecompressText</w:t>
      </w:r>
      <w:r>
        <w:rPr>
          <w:rStyle w:val="OtherTok"/>
        </w:rPr>
        <w:t xml:space="preserve">(</w:t>
      </w:r>
      <w:r>
        <w:rPr>
          <w:rStyle w:val="NormalTok"/>
        </w:rPr>
        <w:t xml:space="preserve">compressed</w:t>
      </w:r>
      <w:r>
        <w:rPr>
          <w:rStyle w:val="OtherTok"/>
        </w:rPr>
        <w:t xml:space="preserve">)</w:t>
      </w:r>
      <w:r>
        <w:br/>
      </w:r>
      <w:r>
        <w:br/>
      </w:r>
      <w:r>
        <w:rPr>
          <w:rStyle w:val="ControlFlowTok"/>
        </w:rPr>
        <w:t xml:space="preserve">If</w:t>
      </w:r>
      <w:r>
        <w:rPr>
          <w:rStyle w:val="NormalTok"/>
        </w:rPr>
        <w:t xml:space="preserve"> recovered = original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"Compression and Decompression Successful"</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"Operation Failed: "</w:t>
      </w:r>
      <w:r>
        <w:rPr>
          <w:rStyle w:val="NormalTok"/>
        </w:rPr>
        <w:t xml:space="preserve"> </w:t>
      </w:r>
      <w:r>
        <w:rPr>
          <w:rStyle w:val="KeywordTok"/>
        </w:rPr>
        <w:t xml:space="preserve">&amp;</w:t>
      </w:r>
      <w:r>
        <w:rPr>
          <w:rStyle w:val="NormalTok"/>
        </w:rPr>
        <w:t xml:space="preserve"> zstd.LastError</w:t>
      </w:r>
      <w:r>
        <w:br/>
      </w:r>
      <w:r>
        <w:rPr>
          <w:rStyle w:val="ControlFlowTok"/>
        </w:rPr>
        <w:t xml:space="preserve">End If</w:t>
      </w:r>
      <w:r>
        <w:br/>
      </w:r>
      <w:r>
        <w:br/>
      </w:r>
      <w:r>
        <w:rPr>
          <w:rStyle w:val="KeywordTok"/>
        </w:rPr>
        <w:t xml:space="preserve">Set</w:t>
      </w:r>
      <w:r>
        <w:rPr>
          <w:rStyle w:val="NormalTok"/>
        </w:rPr>
        <w:t xml:space="preserve"> zstd = </w:t>
      </w:r>
      <w:r>
        <w:rPr>
          <w:rStyle w:val="KeywordTok"/>
        </w:rPr>
        <w:t xml:space="preserve">Nothing</w:t>
      </w:r>
      <w:r>
        <w:br/>
      </w:r>
      <w:r>
        <w:rPr>
          <w:rStyle w:val="DataTypeTok"/>
        </w:rPr>
        <w:t xml:space="preserve">%&gt;</w:t>
      </w:r>
    </w:p>
    <w:bookmarkEnd w:id="4118"/>
    <w:bookmarkEnd w:id="4119"/>
    <w:bookmarkStart w:id="4123" w:name="g3zstd-methods"/>
    <w:p>
      <w:pPr>
        <w:pStyle w:val="Heading1"/>
      </w:pPr>
      <w:r>
        <w:t xml:space="preserve">G3ZSTD Methods</w:t>
      </w:r>
    </w:p>
    <w:bookmarkStart w:id="4120" w:name="overview-455"/>
    <w:p>
      <w:pPr>
        <w:pStyle w:val="Heading2"/>
      </w:pPr>
      <w:r>
        <w:t xml:space="preserve">Overview</w:t>
      </w:r>
    </w:p>
    <w:p>
      <w:pPr>
        <w:pStyle w:val="FirstParagraph"/>
      </w:pPr>
      <w:r>
        <w:t xml:space="preserve">This page summarizes the methods available in the G3ZSTD library for Zstandard compression and decompression in G3Pix AxonASP.</w:t>
      </w:r>
    </w:p>
    <w:bookmarkEnd w:id="4120"/>
    <w:bookmarkStart w:id="4121" w:name="methods-reference"/>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SetLevel</w:t>
            </w:r>
          </w:p>
        </w:tc>
        <w:tc>
          <w:tcPr/>
          <w:p>
            <w:pPr>
              <w:pStyle w:val="Compact"/>
            </w:pPr>
            <w:r>
              <w:t xml:space="preserve">Boolean</w:t>
            </w:r>
          </w:p>
        </w:tc>
        <w:tc>
          <w:tcPr/>
          <w:p>
            <w:pPr>
              <w:pStyle w:val="Compact"/>
            </w:pPr>
            <w:r>
              <w:t xml:space="preserve">Sets the default compression level for the instance.</w:t>
            </w:r>
          </w:p>
        </w:tc>
      </w:tr>
      <w:tr>
        <w:tc>
          <w:tcPr/>
          <w:p>
            <w:pPr>
              <w:pStyle w:val="Compact"/>
            </w:pPr>
            <w:r>
              <w:t xml:space="preserve">Compress</w:t>
            </w:r>
          </w:p>
        </w:tc>
        <w:tc>
          <w:tcPr/>
          <w:p>
            <w:pPr>
              <w:pStyle w:val="Compact"/>
            </w:pPr>
            <w:r>
              <w:t xml:space="preserve">Byte Array or Empty</w:t>
            </w:r>
          </w:p>
        </w:tc>
        <w:tc>
          <w:tcPr/>
          <w:p>
            <w:pPr>
              <w:pStyle w:val="Compact"/>
            </w:pPr>
            <w:r>
              <w:t xml:space="preserve">Compresses a string or byte array payload and returns compressed bytes. Returns Empty when input is invalid or compression fails.</w:t>
            </w:r>
          </w:p>
        </w:tc>
      </w:tr>
      <w:tr>
        <w:tc>
          <w:tcPr/>
          <w:p>
            <w:pPr>
              <w:pStyle w:val="Compact"/>
            </w:pPr>
            <w:r>
              <w:t xml:space="preserve">Decompress</w:t>
            </w:r>
          </w:p>
        </w:tc>
        <w:tc>
          <w:tcPr/>
          <w:p>
            <w:pPr>
              <w:pStyle w:val="Compact"/>
            </w:pPr>
            <w:r>
              <w:t xml:space="preserve">Byte Array or Empty</w:t>
            </w:r>
          </w:p>
        </w:tc>
        <w:tc>
          <w:tcPr/>
          <w:p>
            <w:pPr>
              <w:pStyle w:val="Compact"/>
            </w:pPr>
            <w:r>
              <w:t xml:space="preserve">Decompresses a compressed payload and returns original bytes. Returns Empty when payload is invalid or decompression fails.</w:t>
            </w:r>
          </w:p>
        </w:tc>
      </w:tr>
      <w:tr>
        <w:tc>
          <w:tcPr/>
          <w:p>
            <w:pPr>
              <w:pStyle w:val="Compact"/>
            </w:pPr>
            <w:r>
              <w:t xml:space="preserve">DecompressText</w:t>
            </w:r>
          </w:p>
        </w:tc>
        <w:tc>
          <w:tcPr/>
          <w:p>
            <w:pPr>
              <w:pStyle w:val="Compact"/>
            </w:pPr>
            <w:r>
              <w:t xml:space="preserve">String</w:t>
            </w:r>
          </w:p>
        </w:tc>
        <w:tc>
          <w:tcPr/>
          <w:p>
            <w:pPr>
              <w:pStyle w:val="Compact"/>
            </w:pPr>
            <w:r>
              <w:t xml:space="preserve">Decompresses a payload and converts the result to UTF-8 text. Returns an empty string on failure.</w:t>
            </w:r>
          </w:p>
        </w:tc>
      </w:tr>
      <w:tr>
        <w:tc>
          <w:tcPr/>
          <w:p>
            <w:pPr>
              <w:pStyle w:val="Compact"/>
            </w:pPr>
            <w:r>
              <w:t xml:space="preserve">CompressMany</w:t>
            </w:r>
          </w:p>
        </w:tc>
        <w:tc>
          <w:tcPr/>
          <w:p>
            <w:pPr>
              <w:pStyle w:val="Compact"/>
            </w:pPr>
            <w:r>
              <w:t xml:space="preserve">Array of Byte Arrays</w:t>
            </w:r>
          </w:p>
        </w:tc>
        <w:tc>
          <w:tcPr/>
          <w:p>
            <w:pPr>
              <w:pStyle w:val="Compact"/>
            </w:pPr>
            <w:r>
              <w:t xml:space="preserve">Compresses each item from an input array. Returns an empty array when one of the items is invalid.</w:t>
            </w:r>
          </w:p>
        </w:tc>
      </w:tr>
      <w:tr>
        <w:tc>
          <w:tcPr/>
          <w:p>
            <w:pPr>
              <w:pStyle w:val="Compact"/>
            </w:pPr>
            <w:r>
              <w:t xml:space="preserve">DecompressMany</w:t>
            </w:r>
          </w:p>
        </w:tc>
        <w:tc>
          <w:tcPr/>
          <w:p>
            <w:pPr>
              <w:pStyle w:val="Compact"/>
            </w:pPr>
            <w:r>
              <w:t xml:space="preserve">Array of Byte Arrays</w:t>
            </w:r>
          </w:p>
        </w:tc>
        <w:tc>
          <w:tcPr/>
          <w:p>
            <w:pPr>
              <w:pStyle w:val="Compact"/>
            </w:pPr>
            <w:r>
              <w:t xml:space="preserve">Decompresses each item from an input array. Returns an empty array when one of the items is invalid.</w:t>
            </w:r>
          </w:p>
        </w:tc>
      </w:tr>
      <w:tr>
        <w:tc>
          <w:tcPr/>
          <w:p>
            <w:pPr>
              <w:pStyle w:val="Compact"/>
            </w:pPr>
            <w:r>
              <w:t xml:space="preserve">CompressFile</w:t>
            </w:r>
          </w:p>
        </w:tc>
        <w:tc>
          <w:tcPr/>
          <w:p>
            <w:pPr>
              <w:pStyle w:val="Compact"/>
            </w:pPr>
            <w:r>
              <w:t xml:space="preserve">Boolean</w:t>
            </w:r>
          </w:p>
        </w:tc>
        <w:tc>
          <w:tcPr/>
          <w:p>
            <w:pPr>
              <w:pStyle w:val="Compact"/>
            </w:pPr>
            <w:r>
              <w:t xml:space="preserve">Compresses a source file to a target file path.</w:t>
            </w:r>
          </w:p>
        </w:tc>
      </w:tr>
      <w:tr>
        <w:tc>
          <w:tcPr/>
          <w:p>
            <w:pPr>
              <w:pStyle w:val="Compact"/>
            </w:pPr>
            <w:r>
              <w:t xml:space="preserve">DecompressFile</w:t>
            </w:r>
          </w:p>
        </w:tc>
        <w:tc>
          <w:tcPr/>
          <w:p>
            <w:pPr>
              <w:pStyle w:val="Compact"/>
            </w:pPr>
            <w:r>
              <w:t xml:space="preserve">Boolean</w:t>
            </w:r>
          </w:p>
        </w:tc>
        <w:tc>
          <w:tcPr/>
          <w:p>
            <w:pPr>
              <w:pStyle w:val="Compact"/>
            </w:pPr>
            <w:r>
              <w:t xml:space="preserve">Decompresses a source file to a target file path.</w:t>
            </w:r>
          </w:p>
        </w:tc>
      </w:tr>
      <w:tr>
        <w:tc>
          <w:tcPr/>
          <w:p>
            <w:pPr>
              <w:pStyle w:val="Compact"/>
            </w:pPr>
            <w:r>
              <w:t xml:space="preserve">Clear</w:t>
            </w:r>
          </w:p>
        </w:tc>
        <w:tc>
          <w:tcPr/>
          <w:p>
            <w:pPr>
              <w:pStyle w:val="Compact"/>
            </w:pPr>
            <w:r>
              <w:t xml:space="preserve">Boolean</w:t>
            </w:r>
          </w:p>
        </w:tc>
        <w:tc>
          <w:tcPr/>
          <w:p>
            <w:pPr>
              <w:pStyle w:val="Compact"/>
            </w:pPr>
            <w:r>
              <w:t xml:space="preserve">Releases internal encoder and decoder state and clears the last error.</w:t>
            </w:r>
          </w:p>
        </w:tc>
      </w:tr>
    </w:tbl>
    <w:bookmarkEnd w:id="4121"/>
    <w:bookmarkStart w:id="4122" w:name="remarks-424"/>
    <w:p>
      <w:pPr>
        <w:pStyle w:val="Heading2"/>
      </w:pPr>
      <w:r>
        <w:t xml:space="preserve">Remarks</w:t>
      </w:r>
    </w:p>
    <w:p>
      <w:pPr>
        <w:pStyle w:val="Compact"/>
        <w:numPr>
          <w:ilvl w:val="0"/>
          <w:numId w:val="2038"/>
        </w:numPr>
      </w:pPr>
      <w:r>
        <w:t xml:space="preserve">Method names are case-insensitive.</w:t>
      </w:r>
    </w:p>
    <w:p>
      <w:pPr>
        <w:pStyle w:val="Compact"/>
        <w:numPr>
          <w:ilvl w:val="0"/>
          <w:numId w:val="2038"/>
        </w:numPr>
      </w:pPr>
      <w:r>
        <w:t xml:space="preserve">Valid compression levels are from -5 to 22.</w:t>
      </w:r>
    </w:p>
    <w:p>
      <w:pPr>
        <w:pStyle w:val="Compact"/>
        <w:numPr>
          <w:ilvl w:val="0"/>
          <w:numId w:val="2038"/>
        </w:numPr>
      </w:pPr>
      <w:r>
        <w:t xml:space="preserve">After operational errors, inspect LastError.</w:t>
      </w:r>
    </w:p>
    <w:bookmarkEnd w:id="4122"/>
    <w:bookmarkEnd w:id="4123"/>
    <w:bookmarkStart w:id="4128" w:name="g3zstd-properties"/>
    <w:p>
      <w:pPr>
        <w:pStyle w:val="Heading1"/>
      </w:pPr>
      <w:r>
        <w:t xml:space="preserve">G3ZSTD Properties</w:t>
      </w:r>
    </w:p>
    <w:bookmarkStart w:id="4124" w:name="overview-456"/>
    <w:p>
      <w:pPr>
        <w:pStyle w:val="Heading2"/>
      </w:pPr>
      <w:r>
        <w:t xml:space="preserve">Overview</w:t>
      </w:r>
    </w:p>
    <w:p>
      <w:pPr>
        <w:pStyle w:val="FirstParagraph"/>
      </w:pPr>
      <w:r>
        <w:t xml:space="preserve">This page summarizes the properties available in the G3ZSTD library for runtime inspection.</w:t>
      </w:r>
    </w:p>
    <w:bookmarkEnd w:id="4124"/>
    <w:bookmarkStart w:id="4125" w:name="properties-reference"/>
    <w:p>
      <w:pPr>
        <w:pStyle w:val="Heading2"/>
      </w:pPr>
      <w:r>
        <w:t xml:space="preserve">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LastError</w:t>
            </w:r>
          </w:p>
        </w:tc>
        <w:tc>
          <w:tcPr/>
          <w:p>
            <w:pPr>
              <w:pStyle w:val="Compact"/>
            </w:pPr>
            <w:r>
              <w:t xml:space="preserve">Read-only</w:t>
            </w:r>
          </w:p>
        </w:tc>
        <w:tc>
          <w:tcPr/>
          <w:p>
            <w:pPr>
              <w:pStyle w:val="Compact"/>
            </w:pPr>
            <w:r>
              <w:t xml:space="preserve">String</w:t>
            </w:r>
          </w:p>
        </w:tc>
        <w:tc>
          <w:tcPr/>
          <w:p>
            <w:pPr>
              <w:pStyle w:val="Compact"/>
            </w:pPr>
            <w:r>
              <w:t xml:space="preserve">Stores the most recent operation error message.</w:t>
            </w:r>
          </w:p>
        </w:tc>
      </w:tr>
      <w:tr>
        <w:tc>
          <w:tcPr/>
          <w:p>
            <w:pPr>
              <w:pStyle w:val="Compact"/>
            </w:pPr>
            <w:r>
              <w:t xml:space="preserve">Level</w:t>
            </w:r>
          </w:p>
        </w:tc>
        <w:tc>
          <w:tcPr/>
          <w:p>
            <w:pPr>
              <w:pStyle w:val="Compact"/>
            </w:pPr>
            <w:r>
              <w:t xml:space="preserve">Read-only</w:t>
            </w:r>
          </w:p>
        </w:tc>
        <w:tc>
          <w:tcPr/>
          <w:p>
            <w:pPr>
              <w:pStyle w:val="Compact"/>
            </w:pPr>
            <w:r>
              <w:t xml:space="preserve">Integer</w:t>
            </w:r>
          </w:p>
        </w:tc>
        <w:tc>
          <w:tcPr/>
          <w:p>
            <w:pPr>
              <w:pStyle w:val="Compact"/>
            </w:pPr>
            <w:r>
              <w:t xml:space="preserve">Gets the current default compression level.</w:t>
            </w:r>
          </w:p>
        </w:tc>
      </w:tr>
    </w:tbl>
    <w:bookmarkEnd w:id="4125"/>
    <w:bookmarkStart w:id="4127" w:name="remarks-425"/>
    <w:p>
      <w:pPr>
        <w:pStyle w:val="Heading2"/>
      </w:pPr>
      <w:r>
        <w:t xml:space="preserve">Remarks</w:t>
      </w:r>
    </w:p>
    <w:p>
      <w:pPr>
        <w:pStyle w:val="Compact"/>
        <w:numPr>
          <w:ilvl w:val="0"/>
          <w:numId w:val="2039"/>
        </w:numPr>
      </w:pPr>
      <w:r>
        <w:t xml:space="preserve">Property names are case-insensitive.</w:t>
      </w:r>
    </w:p>
    <w:p>
      <w:pPr>
        <w:pStyle w:val="Compact"/>
        <w:numPr>
          <w:ilvl w:val="0"/>
          <w:numId w:val="2039"/>
        </w:numPr>
      </w:pPr>
      <w:r>
        <w:t xml:space="preserve">Use SetLevel to change the compression level.</w:t>
      </w:r>
    </w:p>
    <w:bookmarkStart w:id="4126" w:name="methods-detail-14"/>
    <w:p>
      <w:pPr>
        <w:pStyle w:val="Heading3"/>
      </w:pPr>
      <w:r>
        <w:t xml:space="preserve">Methods Detail</w:t>
      </w:r>
    </w:p>
    <w:bookmarkEnd w:id="4126"/>
    <w:bookmarkEnd w:id="4127"/>
    <w:bookmarkEnd w:id="4128"/>
    <w:bookmarkStart w:id="4135" w:name="clear-method-2"/>
    <w:p>
      <w:pPr>
        <w:pStyle w:val="Heading1"/>
      </w:pPr>
      <w:r>
        <w:t xml:space="preserve">Clear Method</w:t>
      </w:r>
    </w:p>
    <w:bookmarkStart w:id="4129" w:name="overview-457"/>
    <w:p>
      <w:pPr>
        <w:pStyle w:val="Heading2"/>
      </w:pPr>
      <w:r>
        <w:t xml:space="preserve">Overview</w:t>
      </w:r>
    </w:p>
    <w:p>
      <w:pPr>
        <w:pStyle w:val="FirstParagraph"/>
      </w:pPr>
      <w:r>
        <w:t xml:space="preserve">Clears the internal compression and decompression context of the G3Pix AxonASP G3ZSTD object. This method closes any active encoder or decoder resources and resets the last error message.</w:t>
      </w:r>
    </w:p>
    <w:bookmarkEnd w:id="4129"/>
    <w:bookmarkStart w:id="4130" w:name="syntax-442"/>
    <w:p>
      <w:pPr>
        <w:pStyle w:val="Heading2"/>
      </w:pPr>
      <w:r>
        <w:t xml:space="preserve">Syntax</w:t>
      </w:r>
    </w:p>
    <w:p>
      <w:pPr>
        <w:pStyle w:val="SourceCode"/>
      </w:pPr>
      <w:r>
        <w:rPr>
          <w:rStyle w:val="NormalTok"/>
        </w:rPr>
        <w:t xml:space="preserve">result = obj.Clear()</w:t>
      </w:r>
    </w:p>
    <w:bookmarkEnd w:id="4130"/>
    <w:bookmarkStart w:id="4131" w:name="parameters-and-arguments-111"/>
    <w:p>
      <w:pPr>
        <w:pStyle w:val="Heading2"/>
      </w:pPr>
      <w:r>
        <w:t xml:space="preserve">Parameters and Arguments</w:t>
      </w:r>
    </w:p>
    <w:p>
      <w:pPr>
        <w:pStyle w:val="FirstParagraph"/>
      </w:pPr>
      <w:r>
        <w:t xml:space="preserve">This method does not accept any parameters.</w:t>
      </w:r>
    </w:p>
    <w:bookmarkEnd w:id="4131"/>
    <w:bookmarkStart w:id="4132" w:name="return-values-162"/>
    <w:p>
      <w:pPr>
        <w:pStyle w:val="Heading2"/>
      </w:pPr>
      <w:r>
        <w:t xml:space="preserve">Return Values</w:t>
      </w:r>
    </w:p>
    <w:p>
      <w:pPr>
        <w:pStyle w:val="FirstParagraph"/>
      </w:pPr>
      <w:r>
        <w:t xml:space="preserve">Returns a Boolean value:</w:t>
      </w:r>
      <w:r>
        <w:t xml:space="preserve"> </w:t>
      </w:r>
      <w:r>
        <w:t xml:space="preserve">-</w:t>
      </w:r>
      <w:r>
        <w:t xml:space="preserve"> </w:t>
      </w:r>
      <w:r>
        <w:rPr>
          <w:b/>
          <w:bCs/>
        </w:rPr>
        <w:t xml:space="preserve">True</w:t>
      </w:r>
      <w:r>
        <w:t xml:space="preserve">: The internal state was successfully cleared.</w:t>
      </w:r>
    </w:p>
    <w:bookmarkEnd w:id="4132"/>
    <w:bookmarkStart w:id="4133" w:name="remarks-426"/>
    <w:p>
      <w:pPr>
        <w:pStyle w:val="Heading2"/>
      </w:pPr>
      <w:r>
        <w:t xml:space="preserve">Remarks</w:t>
      </w:r>
    </w:p>
    <w:p>
      <w:pPr>
        <w:pStyle w:val="Compact"/>
        <w:numPr>
          <w:ilvl w:val="0"/>
          <w:numId w:val="2040"/>
        </w:numPr>
      </w:pPr>
      <w:r>
        <w:t xml:space="preserve">Use this method to free up system resources if the object is being reused for multiple unrelated operations.</w:t>
      </w:r>
    </w:p>
    <w:p>
      <w:pPr>
        <w:pStyle w:val="Compact"/>
        <w:numPr>
          <w:ilvl w:val="0"/>
          <w:numId w:val="2040"/>
        </w:numPr>
      </w:pPr>
      <w:r>
        <w:t xml:space="preserve">This method is also aliased as</w:t>
      </w:r>
      <w:r>
        <w:t xml:space="preserve"> </w:t>
      </w:r>
      <w:r>
        <w:rPr>
          <w:rStyle w:val="VerbatimChar"/>
        </w:rPr>
        <w:t xml:space="preserve">Initialize</w:t>
      </w:r>
      <w:r>
        <w:t xml:space="preserve"> </w:t>
      </w:r>
      <w:r>
        <w:t xml:space="preserve">and</w:t>
      </w:r>
      <w:r>
        <w:t xml:space="preserve"> </w:t>
      </w:r>
      <w:r>
        <w:rPr>
          <w:rStyle w:val="VerbatimChar"/>
        </w:rPr>
        <w:t xml:space="preserve">Dispose</w:t>
      </w:r>
      <w:r>
        <w:t xml:space="preserve">.</w:t>
      </w:r>
    </w:p>
    <w:p>
      <w:pPr>
        <w:pStyle w:val="Compact"/>
        <w:numPr>
          <w:ilvl w:val="0"/>
          <w:numId w:val="2040"/>
        </w:numPr>
      </w:pPr>
      <w:r>
        <w:t xml:space="preserve">If an error occurs during clearing, a runtime error is raised.</w:t>
      </w:r>
    </w:p>
    <w:bookmarkEnd w:id="4133"/>
    <w:bookmarkStart w:id="4134" w:name="code-example-23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Perform operations...</w:t>
      </w:r>
      <w:r>
        <w:br/>
      </w:r>
      <w:r>
        <w:br/>
      </w:r>
      <w:r>
        <w:rPr>
          <w:rStyle w:val="CommentTok"/>
        </w:rPr>
        <w:t xml:space="preserve">' Clear the internal state</w:t>
      </w:r>
      <w:r>
        <w:br/>
      </w:r>
      <w:r>
        <w:rPr>
          <w:rStyle w:val="ControlFlowTok"/>
        </w:rPr>
        <w:t xml:space="preserve">If</w:t>
      </w:r>
      <w:r>
        <w:rPr>
          <w:rStyle w:val="NormalTok"/>
        </w:rPr>
        <w:t xml:space="preserve"> objZstd.</w:t>
      </w:r>
      <w:r>
        <w:rPr>
          <w:rStyle w:val="FunctionTok"/>
        </w:rPr>
        <w:t xml:space="preserve">Clear</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"Context cleared successfully."</w:t>
      </w:r>
      <w:r>
        <w:br/>
      </w:r>
      <w:r>
        <w:rPr>
          <w:rStyle w:val="ControlFlowTok"/>
        </w:rPr>
        <w:t xml:space="preserve">End If</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34"/>
    <w:bookmarkEnd w:id="4135"/>
    <w:bookmarkStart w:id="4142" w:name="compress-method"/>
    <w:p>
      <w:pPr>
        <w:pStyle w:val="Heading1"/>
      </w:pPr>
      <w:r>
        <w:t xml:space="preserve">Compress Method</w:t>
      </w:r>
    </w:p>
    <w:bookmarkStart w:id="4136" w:name="overview-458"/>
    <w:p>
      <w:pPr>
        <w:pStyle w:val="Heading2"/>
      </w:pPr>
      <w:r>
        <w:t xml:space="preserve">Overview</w:t>
      </w:r>
    </w:p>
    <w:p>
      <w:pPr>
        <w:pStyle w:val="FirstParagraph"/>
      </w:pPr>
      <w:r>
        <w:t xml:space="preserve">Compresses a string or a byte array using the Zstandard (zstd) algorithm. This G3Pix AxonASP method provides high-performance compression with adjustable levels.</w:t>
      </w:r>
    </w:p>
    <w:bookmarkEnd w:id="4136"/>
    <w:bookmarkStart w:id="4137" w:name="syntax-443"/>
    <w:p>
      <w:pPr>
        <w:pStyle w:val="Heading2"/>
      </w:pPr>
      <w:r>
        <w:t xml:space="preserve">Syntax</w:t>
      </w:r>
    </w:p>
    <w:p>
      <w:pPr>
        <w:pStyle w:val="SourceCode"/>
      </w:pPr>
      <w:r>
        <w:rPr>
          <w:rStyle w:val="NormalTok"/>
        </w:rPr>
        <w:t xml:space="preserve">result = obj.Compress(input [, level])</w:t>
      </w:r>
    </w:p>
    <w:bookmarkEnd w:id="4137"/>
    <w:bookmarkStart w:id="4138" w:name="parameters-and-arguments-112"/>
    <w:p>
      <w:pPr>
        <w:pStyle w:val="Heading2"/>
      </w:pPr>
      <w:r>
        <w:t xml:space="preserve">Parameters and Arguments</w:t>
      </w:r>
    </w:p>
    <w:p>
      <w:pPr>
        <w:pStyle w:val="Compact"/>
        <w:numPr>
          <w:ilvl w:val="0"/>
          <w:numId w:val="2041"/>
        </w:numPr>
      </w:pPr>
      <w:r>
        <w:rPr>
          <w:b/>
          <w:bCs/>
        </w:rPr>
        <w:t xml:space="preserve">input</w:t>
      </w:r>
      <w:r>
        <w:t xml:space="preserve">: A String or a VBArray of bytes containing the data to be compressed.</w:t>
      </w:r>
    </w:p>
    <w:p>
      <w:pPr>
        <w:pStyle w:val="Compact"/>
        <w:numPr>
          <w:ilvl w:val="0"/>
          <w:numId w:val="2041"/>
        </w:numPr>
      </w:pPr>
      <w:r>
        <w:rPr>
          <w:b/>
          <w:bCs/>
        </w:rPr>
        <w:t xml:space="preserve">level</w:t>
      </w:r>
      <w:r>
        <w:t xml:space="preserve"> </w:t>
      </w:r>
      <w:r>
        <w:t xml:space="preserve">(Optional): An Integer specifying the compression level. The range is -5 to 22. If omitted, the default level (currently 3) is used.</w:t>
      </w:r>
    </w:p>
    <w:bookmarkEnd w:id="4138"/>
    <w:bookmarkStart w:id="4139" w:name="return-values-163"/>
    <w:p>
      <w:pPr>
        <w:pStyle w:val="Heading2"/>
      </w:pPr>
      <w:r>
        <w:t xml:space="preserve">Return Values</w:t>
      </w:r>
    </w:p>
    <w:p>
      <w:pPr>
        <w:pStyle w:val="FirstParagraph"/>
      </w:pPr>
      <w:r>
        <w:t xml:space="preserve">Returns a VBArray of bytes containing the compressed data. If an error occurs, it returns Empty.</w:t>
      </w:r>
    </w:p>
    <w:bookmarkEnd w:id="4139"/>
    <w:bookmarkStart w:id="4140" w:name="remarks-427"/>
    <w:p>
      <w:pPr>
        <w:pStyle w:val="Heading2"/>
      </w:pPr>
      <w:r>
        <w:t xml:space="preserve">Remarks</w:t>
      </w:r>
    </w:p>
    <w:p>
      <w:pPr>
        <w:pStyle w:val="Compact"/>
        <w:numPr>
          <w:ilvl w:val="0"/>
          <w:numId w:val="2042"/>
        </w:numPr>
      </w:pPr>
      <w:r>
        <w:t xml:space="preserve">The compression level can range from -5 (fastest) to 22 (highest compression ratio).</w:t>
      </w:r>
    </w:p>
    <w:p>
      <w:pPr>
        <w:pStyle w:val="Compact"/>
        <w:numPr>
          <w:ilvl w:val="0"/>
          <w:numId w:val="2042"/>
        </w:numPr>
      </w:pPr>
      <w:r>
        <w:t xml:space="preserve">Higher compression levels consume more memory and CPU.</w:t>
      </w:r>
    </w:p>
    <w:p>
      <w:pPr>
        <w:pStyle w:val="Compact"/>
        <w:numPr>
          <w:ilvl w:val="0"/>
          <w:numId w:val="2042"/>
        </w:numPr>
      </w:pPr>
      <w:r>
        <w:t xml:space="preserve">Input validation ensures that the input is either a string or a valid array of bytes (0-255).</w:t>
      </w:r>
    </w:p>
    <w:p>
      <w:pPr>
        <w:pStyle w:val="Compact"/>
        <w:numPr>
          <w:ilvl w:val="0"/>
          <w:numId w:val="2042"/>
        </w:numPr>
      </w:pPr>
      <w:r>
        <w:t xml:space="preserve">If the compression level is invalid, a runtime error is raised.</w:t>
      </w:r>
    </w:p>
    <w:bookmarkEnd w:id="4140"/>
    <w:bookmarkStart w:id="4141" w:name="code-example-24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rPr>
          <w:rStyle w:val="OtherTok"/>
        </w:rPr>
        <w:t xml:space="preserve">,</w:t>
      </w:r>
      <w:r>
        <w:rPr>
          <w:rStyle w:val="NormalTok"/>
        </w:rPr>
        <w:t xml:space="preserve"> compressedData</w:t>
      </w:r>
      <w:r>
        <w:rPr>
          <w:rStyle w:val="OtherTok"/>
        </w:rPr>
        <w:t xml:space="preserve">,</w:t>
      </w:r>
      <w:r>
        <w:rPr>
          <w:rStyle w:val="NormalTok"/>
        </w:rPr>
        <w:t xml:space="preserve"> sourceString</w:t>
      </w:r>
      <w:r>
        <w:br/>
      </w:r>
      <w:r>
        <w:rPr>
          <w:rStyle w:val="NormalTok"/>
        </w:rPr>
        <w:t xml:space="preserve">sourceString = </w:t>
      </w:r>
      <w:r>
        <w:rPr>
          <w:rStyle w:val="StringTok"/>
        </w:rPr>
        <w:t xml:space="preserve">"This is some sample text to compress using G3Pix AxonASP G3ZSTD."</w:t>
      </w:r>
      <w:r>
        <w:br/>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Compress using default level</w:t>
      </w:r>
      <w:r>
        <w:br/>
      </w:r>
      <w:r>
        <w:rPr>
          <w:rStyle w:val="NormalTok"/>
        </w:rPr>
        <w:t xml:space="preserve">compressedData = objZstd.Compress</w:t>
      </w:r>
      <w:r>
        <w:rPr>
          <w:rStyle w:val="OtherTok"/>
        </w:rPr>
        <w:t xml:space="preserve">(</w:t>
      </w:r>
      <w:r>
        <w:rPr>
          <w:rStyle w:val="NormalTok"/>
        </w:rPr>
        <w:t xml:space="preserve">sourceString</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compressedData</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"Compressed data size: "</w:t>
      </w:r>
      <w:r>
        <w:rPr>
          <w:rStyle w:val="NormalTok"/>
        </w:rPr>
        <w:t xml:space="preserve"> </w:t>
      </w:r>
      <w:r>
        <w:rPr>
          <w:rStyle w:val="KeywordTok"/>
        </w:rPr>
        <w:t xml:space="preserve">&amp;</w:t>
      </w:r>
      <w:r>
        <w:rPr>
          <w:rStyle w:val="NormalTok"/>
        </w:rPr>
        <w:t xml:space="preserve"> </w:t>
      </w:r>
      <w:r>
        <w:rPr>
          <w:rStyle w:val="FunctionTok"/>
        </w:rPr>
        <w:t xml:space="preserve">UBound</w:t>
      </w:r>
      <w:r>
        <w:rPr>
          <w:rStyle w:val="OtherTok"/>
        </w:rPr>
        <w:t xml:space="preserve">(</w:t>
      </w:r>
      <w:r>
        <w:rPr>
          <w:rStyle w:val="NormalTok"/>
        </w:rPr>
        <w:t xml:space="preserve">compressedData</w:t>
      </w:r>
      <w:r>
        <w:rPr>
          <w:rStyle w:val="OtherTok"/>
        </w:rPr>
        <w:t xml:space="preserve">)</w:t>
      </w:r>
      <w:r>
        <w:rPr>
          <w:rStyle w:val="NormalTok"/>
        </w:rPr>
        <w:t xml:space="preserve"> + </w:t>
      </w:r>
      <w:r>
        <w:rPr>
          <w:rStyle w:val="DecValTok"/>
        </w:rPr>
        <w:t xml:space="preserve">1</w:t>
      </w:r>
      <w:r>
        <w:rPr>
          <w:rStyle w:val="NormalTok"/>
        </w:rPr>
        <w:t xml:space="preserve"> </w:t>
      </w:r>
      <w:r>
        <w:rPr>
          <w:rStyle w:val="KeywordTok"/>
        </w:rPr>
        <w:t xml:space="preserve">&amp;</w:t>
      </w:r>
      <w:r>
        <w:rPr>
          <w:rStyle w:val="NormalTok"/>
        </w:rPr>
        <w:t xml:space="preserve"> </w:t>
      </w:r>
      <w:r>
        <w:rPr>
          <w:rStyle w:val="StringTok"/>
        </w:rPr>
        <w:t xml:space="preserve">" bytes."</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"Compression failed: "</w:t>
      </w:r>
      <w:r>
        <w:rPr>
          <w:rStyle w:val="NormalTok"/>
        </w:rPr>
        <w:t xml:space="preserve"> </w:t>
      </w:r>
      <w:r>
        <w:rPr>
          <w:rStyle w:val="KeywordTok"/>
        </w:rPr>
        <w:t xml:space="preserve">&amp;</w:t>
      </w:r>
      <w:r>
        <w:rPr>
          <w:rStyle w:val="NormalTok"/>
        </w:rPr>
        <w:t xml:space="preserve"> objZstd.LastError</w:t>
      </w:r>
      <w:r>
        <w:br/>
      </w:r>
      <w:r>
        <w:rPr>
          <w:rStyle w:val="ControlFlowTok"/>
        </w:rPr>
        <w:t xml:space="preserve">End If</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41"/>
    <w:bookmarkEnd w:id="4142"/>
    <w:bookmarkStart w:id="4149" w:name="compressfile-method"/>
    <w:p>
      <w:pPr>
        <w:pStyle w:val="Heading1"/>
      </w:pPr>
      <w:r>
        <w:t xml:space="preserve">CompressFile Method</w:t>
      </w:r>
    </w:p>
    <w:bookmarkStart w:id="4143" w:name="overview-459"/>
    <w:p>
      <w:pPr>
        <w:pStyle w:val="Heading2"/>
      </w:pPr>
      <w:r>
        <w:t xml:space="preserve">Overview</w:t>
      </w:r>
    </w:p>
    <w:p>
      <w:pPr>
        <w:pStyle w:val="FirstParagraph"/>
      </w:pPr>
      <w:r>
        <w:t xml:space="preserve">Compresses a source file and writes the result to a target file using the Zstandard (zstd) algorithm. This G3Pix AxonASP method uses streaming to keep memory usage low even for large files.</w:t>
      </w:r>
    </w:p>
    <w:bookmarkEnd w:id="4143"/>
    <w:bookmarkStart w:id="4144" w:name="syntax-444"/>
    <w:p>
      <w:pPr>
        <w:pStyle w:val="Heading2"/>
      </w:pPr>
      <w:r>
        <w:t xml:space="preserve">Syntax</w:t>
      </w:r>
    </w:p>
    <w:p>
      <w:pPr>
        <w:pStyle w:val="SourceCode"/>
      </w:pPr>
      <w:r>
        <w:rPr>
          <w:rStyle w:val="NormalTok"/>
        </w:rPr>
        <w:t xml:space="preserve">result = obj.CompressFile(sourcePath, targetPath [, level])</w:t>
      </w:r>
    </w:p>
    <w:bookmarkEnd w:id="4144"/>
    <w:bookmarkStart w:id="4145" w:name="parameters-and-arguments-113"/>
    <w:p>
      <w:pPr>
        <w:pStyle w:val="Heading2"/>
      </w:pPr>
      <w:r>
        <w:t xml:space="preserve">Parameters and Arguments</w:t>
      </w:r>
    </w:p>
    <w:p>
      <w:pPr>
        <w:pStyle w:val="Compact"/>
        <w:numPr>
          <w:ilvl w:val="0"/>
          <w:numId w:val="2043"/>
        </w:numPr>
      </w:pPr>
      <w:r>
        <w:rPr>
          <w:b/>
          <w:bCs/>
        </w:rPr>
        <w:t xml:space="preserve">sourcePath</w:t>
      </w:r>
      <w:r>
        <w:t xml:space="preserve">: A String specifying the path to the source file.</w:t>
      </w:r>
    </w:p>
    <w:p>
      <w:pPr>
        <w:pStyle w:val="Compact"/>
        <w:numPr>
          <w:ilvl w:val="0"/>
          <w:numId w:val="2043"/>
        </w:numPr>
      </w:pPr>
      <w:r>
        <w:rPr>
          <w:b/>
          <w:bCs/>
        </w:rPr>
        <w:t xml:space="preserve">targetPath</w:t>
      </w:r>
      <w:r>
        <w:t xml:space="preserve">: A String specifying the path where the compressed file will be created.</w:t>
      </w:r>
    </w:p>
    <w:p>
      <w:pPr>
        <w:pStyle w:val="Compact"/>
        <w:numPr>
          <w:ilvl w:val="0"/>
          <w:numId w:val="2043"/>
        </w:numPr>
      </w:pPr>
      <w:r>
        <w:rPr>
          <w:b/>
          <w:bCs/>
        </w:rPr>
        <w:t xml:space="preserve">level</w:t>
      </w:r>
      <w:r>
        <w:t xml:space="preserve"> </w:t>
      </w:r>
      <w:r>
        <w:t xml:space="preserve">(Optional): An Integer specifying the compression level. The range is -5 to 22. If omitted, the default level is used.</w:t>
      </w:r>
    </w:p>
    <w:bookmarkEnd w:id="4145"/>
    <w:bookmarkStart w:id="4146" w:name="return-values-164"/>
    <w:p>
      <w:pPr>
        <w:pStyle w:val="Heading2"/>
      </w:pPr>
      <w:r>
        <w:t xml:space="preserve">Return Values</w:t>
      </w:r>
    </w:p>
    <w:p>
      <w:pPr>
        <w:pStyle w:val="FirstParagraph"/>
      </w:pPr>
      <w:r>
        <w:t xml:space="preserve">Returns a Boolean value:</w:t>
      </w:r>
      <w:r>
        <w:t xml:space="preserve"> </w:t>
      </w:r>
      <w:r>
        <w:t xml:space="preserve">-</w:t>
      </w:r>
      <w:r>
        <w:t xml:space="preserve"> </w:t>
      </w:r>
      <w:r>
        <w:rPr>
          <w:b/>
          <w:bCs/>
        </w:rPr>
        <w:t xml:space="preserve">True</w:t>
      </w:r>
      <w:r>
        <w:t xml:space="preserve">: The file was successfully compressed.</w:t>
      </w:r>
      <w:r>
        <w:t xml:space="preserve"> </w:t>
      </w:r>
      <w:r>
        <w:t xml:space="preserve">-</w:t>
      </w:r>
      <w:r>
        <w:t xml:space="preserve"> </w:t>
      </w:r>
      <w:r>
        <w:rPr>
          <w:b/>
          <w:bCs/>
        </w:rPr>
        <w:t xml:space="preserve">False</w:t>
      </w:r>
      <w:r>
        <w:t xml:space="preserve">: An error occurred during compression (e.g., file not found, permission denied).</w:t>
      </w:r>
    </w:p>
    <w:bookmarkEnd w:id="4146"/>
    <w:bookmarkStart w:id="4147" w:name="remarks-428"/>
    <w:p>
      <w:pPr>
        <w:pStyle w:val="Heading2"/>
      </w:pPr>
      <w:r>
        <w:t xml:space="preserve">Remarks</w:t>
      </w:r>
    </w:p>
    <w:p>
      <w:pPr>
        <w:pStyle w:val="Compact"/>
        <w:numPr>
          <w:ilvl w:val="0"/>
          <w:numId w:val="2044"/>
        </w:numPr>
      </w:pPr>
      <w:r>
        <w:t xml:space="preserve">Both source and target paths are resolved relative to the web root and must stay within the sandbox.</w:t>
      </w:r>
    </w:p>
    <w:p>
      <w:pPr>
        <w:pStyle w:val="Compact"/>
        <w:numPr>
          <w:ilvl w:val="0"/>
          <w:numId w:val="2044"/>
        </w:numPr>
      </w:pPr>
      <w:r>
        <w:t xml:space="preserve">This method automatically creates the target directory if it does not exist.</w:t>
      </w:r>
    </w:p>
    <w:p>
      <w:pPr>
        <w:pStyle w:val="Compact"/>
        <w:numPr>
          <w:ilvl w:val="0"/>
          <w:numId w:val="2044"/>
        </w:numPr>
      </w:pPr>
      <w:r>
        <w:t xml:space="preserve">Streaming ensures that memory consumption is minimal regardless of the file size.</w:t>
      </w:r>
    </w:p>
    <w:p>
      <w:pPr>
        <w:pStyle w:val="Compact"/>
        <w:numPr>
          <w:ilvl w:val="0"/>
          <w:numId w:val="2044"/>
        </w:numPr>
      </w:pPr>
      <w:r>
        <w:t xml:space="preserve">Errors are logged to the</w:t>
      </w:r>
      <w:r>
        <w:t xml:space="preserve"> </w:t>
      </w:r>
      <w:r>
        <w:rPr>
          <w:rStyle w:val="VerbatimChar"/>
        </w:rPr>
        <w:t xml:space="preserve">LastError</w:t>
      </w:r>
      <w:r>
        <w:t xml:space="preserve"> </w:t>
      </w:r>
      <w:r>
        <w:t xml:space="preserve">property and raise runtime exceptions.</w:t>
      </w:r>
    </w:p>
    <w:bookmarkEnd w:id="4147"/>
    <w:bookmarkStart w:id="4148" w:name="code-example-24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Compress a file with level 9</w:t>
      </w:r>
      <w:r>
        <w:br/>
      </w:r>
      <w:r>
        <w:rPr>
          <w:rStyle w:val="ControlFlowTok"/>
        </w:rPr>
        <w:t xml:space="preserve">If</w:t>
      </w:r>
      <w:r>
        <w:rPr>
          <w:rStyle w:val="NormalTok"/>
        </w:rPr>
        <w:t xml:space="preserve"> objZstd.CompressFile</w:t>
      </w:r>
      <w:r>
        <w:rPr>
          <w:rStyle w:val="OtherTok"/>
        </w:rPr>
        <w:t xml:space="preserve">(</w:t>
      </w:r>
      <w:r>
        <w:rPr>
          <w:rStyle w:val="StringTok"/>
        </w:rPr>
        <w:t xml:space="preserve">"data/log.txt"</w:t>
      </w:r>
      <w:r>
        <w:rPr>
          <w:rStyle w:val="OtherTok"/>
        </w:rPr>
        <w:t xml:space="preserve">,</w:t>
      </w:r>
      <w:r>
        <w:rPr>
          <w:rStyle w:val="NormalTok"/>
        </w:rPr>
        <w:t xml:space="preserve"> </w:t>
      </w:r>
      <w:r>
        <w:rPr>
          <w:rStyle w:val="StringTok"/>
        </w:rPr>
        <w:t xml:space="preserve">"data/log.txt.zst"</w:t>
      </w:r>
      <w:r>
        <w:rPr>
          <w:rStyle w:val="OtherTok"/>
        </w:rPr>
        <w:t xml:space="preserve">,</w:t>
      </w:r>
      <w:r>
        <w:rPr>
          <w:rStyle w:val="NormalTok"/>
        </w:rPr>
        <w:t xml:space="preserve"> </w:t>
      </w:r>
      <w:r>
        <w:rPr>
          <w:rStyle w:val="DecValTok"/>
        </w:rPr>
        <w:t xml:space="preserve">9</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compressed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objZstd.LastError</w:t>
      </w:r>
      <w:r>
        <w:br/>
      </w:r>
      <w:r>
        <w:rPr>
          <w:rStyle w:val="ControlFlowTok"/>
        </w:rPr>
        <w:t xml:space="preserve">End If</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48"/>
    <w:bookmarkEnd w:id="4149"/>
    <w:bookmarkStart w:id="4156" w:name="compressmany-method"/>
    <w:p>
      <w:pPr>
        <w:pStyle w:val="Heading1"/>
      </w:pPr>
      <w:r>
        <w:t xml:space="preserve">CompressMany Method</w:t>
      </w:r>
    </w:p>
    <w:bookmarkStart w:id="4150" w:name="overview-460"/>
    <w:p>
      <w:pPr>
        <w:pStyle w:val="Heading2"/>
      </w:pPr>
      <w:r>
        <w:t xml:space="preserve">Overview</w:t>
      </w:r>
    </w:p>
    <w:p>
      <w:pPr>
        <w:pStyle w:val="FirstParagraph"/>
      </w:pPr>
      <w:r>
        <w:t xml:space="preserve">Compresses an array of strings or byte arrays using the Zstandard (zstd) algorithm. This G3Pix AxonASP method allows for batch compression of multiple payloads efficiently.</w:t>
      </w:r>
    </w:p>
    <w:bookmarkEnd w:id="4150"/>
    <w:bookmarkStart w:id="4151" w:name="syntax-445"/>
    <w:p>
      <w:pPr>
        <w:pStyle w:val="Heading2"/>
      </w:pPr>
      <w:r>
        <w:t xml:space="preserve">Syntax</w:t>
      </w:r>
    </w:p>
    <w:p>
      <w:pPr>
        <w:pStyle w:val="SourceCode"/>
      </w:pPr>
      <w:r>
        <w:rPr>
          <w:rStyle w:val="NormalTok"/>
        </w:rPr>
        <w:t xml:space="preserve">resultArray = obj.CompressMany(inputArray [, level])</w:t>
      </w:r>
    </w:p>
    <w:bookmarkEnd w:id="4151"/>
    <w:bookmarkStart w:id="4152" w:name="parameters-and-arguments-114"/>
    <w:p>
      <w:pPr>
        <w:pStyle w:val="Heading2"/>
      </w:pPr>
      <w:r>
        <w:t xml:space="preserve">Parameters and Arguments</w:t>
      </w:r>
    </w:p>
    <w:p>
      <w:pPr>
        <w:pStyle w:val="Compact"/>
        <w:numPr>
          <w:ilvl w:val="0"/>
          <w:numId w:val="2045"/>
        </w:numPr>
      </w:pPr>
      <w:r>
        <w:rPr>
          <w:b/>
          <w:bCs/>
        </w:rPr>
        <w:t xml:space="preserve">inputArray</w:t>
      </w:r>
      <w:r>
        <w:t xml:space="preserve">: A VBArray containing one or more elements. Each element must be a String or a VBArray of bytes.</w:t>
      </w:r>
    </w:p>
    <w:p>
      <w:pPr>
        <w:pStyle w:val="Compact"/>
        <w:numPr>
          <w:ilvl w:val="0"/>
          <w:numId w:val="2045"/>
        </w:numPr>
      </w:pPr>
      <w:r>
        <w:rPr>
          <w:b/>
          <w:bCs/>
        </w:rPr>
        <w:t xml:space="preserve">level</w:t>
      </w:r>
      <w:r>
        <w:t xml:space="preserve"> </w:t>
      </w:r>
      <w:r>
        <w:t xml:space="preserve">(Optional): An Integer specifying the compression level. The range is -5 to 22. If omitted, the default level is used.</w:t>
      </w:r>
    </w:p>
    <w:bookmarkEnd w:id="4152"/>
    <w:bookmarkStart w:id="4153" w:name="return-values-165"/>
    <w:p>
      <w:pPr>
        <w:pStyle w:val="Heading2"/>
      </w:pPr>
      <w:r>
        <w:t xml:space="preserve">Return Values</w:t>
      </w:r>
    </w:p>
    <w:p>
      <w:pPr>
        <w:pStyle w:val="FirstParagraph"/>
      </w:pPr>
      <w:r>
        <w:t xml:space="preserve">Returns a VBArray containing several VBArrays of bytes, where each sub-array corresponds to the compressed data of the input items.</w:t>
      </w:r>
    </w:p>
    <w:bookmarkEnd w:id="4153"/>
    <w:bookmarkStart w:id="4154" w:name="remarks-429"/>
    <w:p>
      <w:pPr>
        <w:pStyle w:val="Heading2"/>
      </w:pPr>
      <w:r>
        <w:t xml:space="preserve">Remarks</w:t>
      </w:r>
    </w:p>
    <w:p>
      <w:pPr>
        <w:pStyle w:val="Compact"/>
        <w:numPr>
          <w:ilvl w:val="0"/>
          <w:numId w:val="2046"/>
        </w:numPr>
      </w:pPr>
      <w:r>
        <w:t xml:space="preserve">This method provides efficient batch processing for multiple payloads.</w:t>
      </w:r>
    </w:p>
    <w:p>
      <w:pPr>
        <w:pStyle w:val="Compact"/>
        <w:numPr>
          <w:ilvl w:val="0"/>
          <w:numId w:val="2046"/>
        </w:numPr>
      </w:pPr>
      <w:r>
        <w:t xml:space="preserve">If any input item fails validation or compression, an empty array or error may be returned depending on the context.</w:t>
      </w:r>
    </w:p>
    <w:p>
      <w:pPr>
        <w:pStyle w:val="Compact"/>
        <w:numPr>
          <w:ilvl w:val="0"/>
          <w:numId w:val="2046"/>
        </w:numPr>
      </w:pPr>
      <w:r>
        <w:t xml:space="preserve">The compression level remains constant for all items in the batch.</w:t>
      </w:r>
    </w:p>
    <w:p>
      <w:pPr>
        <w:pStyle w:val="Compact"/>
        <w:numPr>
          <w:ilvl w:val="0"/>
          <w:numId w:val="2046"/>
        </w:numPr>
      </w:pPr>
      <w:r>
        <w:t xml:space="preserve">Errors during batch processing are logged to the</w:t>
      </w:r>
      <w:r>
        <w:t xml:space="preserve"> </w:t>
      </w:r>
      <w:r>
        <w:rPr>
          <w:rStyle w:val="VerbatimChar"/>
        </w:rPr>
        <w:t xml:space="preserve">LastError</w:t>
      </w:r>
      <w:r>
        <w:t xml:space="preserve"> </w:t>
      </w:r>
      <w:r>
        <w:t xml:space="preserve">property.</w:t>
      </w:r>
    </w:p>
    <w:bookmarkEnd w:id="4154"/>
    <w:bookmarkStart w:id="4155" w:name="code-example-24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rPr>
          <w:rStyle w:val="OtherTok"/>
        </w:rPr>
        <w:t xml:space="preserve">,</w:t>
      </w:r>
      <w:r>
        <w:rPr>
          <w:rStyle w:val="NormalTok"/>
        </w:rPr>
        <w:t xml:space="preserve"> payloads</w:t>
      </w:r>
      <w:r>
        <w:rPr>
          <w:rStyle w:val="OtherTok"/>
        </w:rPr>
        <w:t xml:space="preserve">,</w:t>
      </w:r>
      <w:r>
        <w:rPr>
          <w:rStyle w:val="NormalTok"/>
        </w:rPr>
        <w:t xml:space="preserve"> results</w:t>
      </w:r>
      <w:r>
        <w:rPr>
          <w:rStyle w:val="OtherTok"/>
        </w:rPr>
        <w:t xml:space="preserve">,</w:t>
      </w:r>
      <w:r>
        <w:rPr>
          <w:rStyle w:val="NormalTok"/>
        </w:rPr>
        <w:t xml:space="preserve"> i</w:t>
      </w:r>
      <w:r>
        <w:br/>
      </w:r>
      <w:r>
        <w:rPr>
          <w:rStyle w:val="NormalTok"/>
        </w:rPr>
        <w:t xml:space="preserve">payloads = </w:t>
      </w:r>
      <w:r>
        <w:rPr>
          <w:rStyle w:val="FunctionTok"/>
        </w:rPr>
        <w:t xml:space="preserve">Array</w:t>
      </w:r>
      <w:r>
        <w:rPr>
          <w:rStyle w:val="OtherTok"/>
        </w:rPr>
        <w:t xml:space="preserve">(</w:t>
      </w:r>
      <w:r>
        <w:rPr>
          <w:rStyle w:val="StringTok"/>
        </w:rPr>
        <w:t xml:space="preserve">"Item 1"</w:t>
      </w:r>
      <w:r>
        <w:rPr>
          <w:rStyle w:val="OtherTok"/>
        </w:rPr>
        <w:t xml:space="preserve">,</w:t>
      </w:r>
      <w:r>
        <w:rPr>
          <w:rStyle w:val="NormalTok"/>
        </w:rPr>
        <w:t xml:space="preserve"> </w:t>
      </w:r>
      <w:r>
        <w:rPr>
          <w:rStyle w:val="StringTok"/>
        </w:rPr>
        <w:t xml:space="preserve">"Item 2"</w:t>
      </w:r>
      <w:r>
        <w:rPr>
          <w:rStyle w:val="OtherTok"/>
        </w:rPr>
        <w:t xml:space="preserve">,</w:t>
      </w:r>
      <w:r>
        <w:rPr>
          <w:rStyle w:val="NormalTok"/>
        </w:rPr>
        <w:t xml:space="preserve"> </w:t>
      </w:r>
      <w:r>
        <w:rPr>
          <w:rStyle w:val="StringTok"/>
        </w:rPr>
        <w:t xml:space="preserve">"Item 3"</w:t>
      </w:r>
      <w:r>
        <w:rPr>
          <w:rStyle w:val="OtherTok"/>
        </w:rPr>
        <w:t xml:space="preserve">)</w:t>
      </w:r>
      <w:r>
        <w:br/>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Batch compress with default level</w:t>
      </w:r>
      <w:r>
        <w:br/>
      </w:r>
      <w:r>
        <w:rPr>
          <w:rStyle w:val="NormalTok"/>
        </w:rPr>
        <w:t xml:space="preserve">results = objZstd.CompressMany</w:t>
      </w:r>
      <w:r>
        <w:rPr>
          <w:rStyle w:val="OtherTok"/>
        </w:rPr>
        <w:t xml:space="preserve">(</w:t>
      </w:r>
      <w:r>
        <w:rPr>
          <w:rStyle w:val="NormalTok"/>
        </w:rPr>
        <w:t xml:space="preserve">payloads</w:t>
      </w:r>
      <w:r>
        <w:rPr>
          <w:rStyle w:val="OtherTok"/>
        </w:rPr>
        <w:t xml:space="preserve">)</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results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"Item "</w:t>
      </w:r>
      <w:r>
        <w:rPr>
          <w:rStyle w:val="NormalTok"/>
        </w:rPr>
        <w:t xml:space="preserve"> </w:t>
      </w:r>
      <w:r>
        <w:rPr>
          <w:rStyle w:val="KeywordTok"/>
        </w:rPr>
        <w:t xml:space="preserve">&amp;</w:t>
      </w:r>
      <w:r>
        <w:rPr>
          <w:rStyle w:val="NormalTok"/>
        </w:rPr>
        <w:t xml:space="preserve"> i </w:t>
      </w:r>
      <w:r>
        <w:rPr>
          <w:rStyle w:val="KeywordTok"/>
        </w:rPr>
        <w:t xml:space="preserve">&amp;</w:t>
      </w:r>
      <w:r>
        <w:rPr>
          <w:rStyle w:val="NormalTok"/>
        </w:rPr>
        <w:t xml:space="preserve"> </w:t>
      </w:r>
      <w:r>
        <w:rPr>
          <w:rStyle w:val="StringTok"/>
        </w:rPr>
        <w:t xml:space="preserve">" compressed size: "</w:t>
      </w:r>
      <w:r>
        <w:rPr>
          <w:rStyle w:val="NormalTok"/>
        </w:rPr>
        <w:t xml:space="preserve"> </w:t>
      </w:r>
      <w:r>
        <w:rPr>
          <w:rStyle w:val="KeywordTok"/>
        </w:rPr>
        <w:t xml:space="preserve">&amp;</w:t>
      </w:r>
      <w:r>
        <w:rPr>
          <w:rStyle w:val="NormalTok"/>
        </w:rPr>
        <w:t xml:space="preserve"> </w:t>
      </w:r>
      <w:r>
        <w:rPr>
          <w:rStyle w:val="FunctionTok"/>
        </w:rPr>
        <w:t xml:space="preserve">UBound</w:t>
      </w:r>
      <w:r>
        <w:rPr>
          <w:rStyle w:val="OtherTok"/>
        </w:rPr>
        <w:t xml:space="preserve">(</w:t>
      </w:r>
      <w:r>
        <w:rPr>
          <w:rStyle w:val="NormalTok"/>
        </w:rPr>
        <w:t xml:space="preserve">results</w:t>
      </w:r>
      <w:r>
        <w:rPr>
          <w:rStyle w:val="OtherTok"/>
        </w:rPr>
        <w:t xml:space="preserve">(</w:t>
      </w:r>
      <w:r>
        <w:rPr>
          <w:rStyle w:val="NormalTok"/>
        </w:rPr>
        <w:t xml:space="preserve">i</w:t>
      </w:r>
      <w:r>
        <w:rPr>
          <w:rStyle w:val="OtherTok"/>
        </w:rPr>
        <w:t xml:space="preserve">))</w:t>
      </w:r>
      <w:r>
        <w:rPr>
          <w:rStyle w:val="NormalTok"/>
        </w:rPr>
        <w:t xml:space="preserve"> + </w:t>
      </w:r>
      <w:r>
        <w:rPr>
          <w:rStyle w:val="DecValTok"/>
        </w:rPr>
        <w:t xml:space="preserve">1</w:t>
      </w:r>
      <w:r>
        <w:rPr>
          <w:rStyle w:val="NormalTok"/>
        </w:rPr>
        <w:t xml:space="preserve"> </w:t>
      </w:r>
      <w:r>
        <w:rPr>
          <w:rStyle w:val="KeywordTok"/>
        </w:rPr>
        <w:t xml:space="preserve">&amp;</w:t>
      </w:r>
      <w:r>
        <w:rPr>
          <w:rStyle w:val="NormalTok"/>
        </w:rPr>
        <w:t xml:space="preserve"> </w:t>
      </w:r>
      <w:r>
        <w:rPr>
          <w:rStyle w:val="StringTok"/>
        </w:rPr>
        <w:t xml:space="preserve">" bytes.&lt;br&gt;"</w:t>
      </w:r>
      <w:r>
        <w:br/>
      </w:r>
      <w:r>
        <w:rPr>
          <w:rStyle w:val="ControlFlowTok"/>
        </w:rPr>
        <w:t xml:space="preserve">Next</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55"/>
    <w:bookmarkEnd w:id="4156"/>
    <w:bookmarkStart w:id="4163" w:name="decompress-method"/>
    <w:p>
      <w:pPr>
        <w:pStyle w:val="Heading1"/>
      </w:pPr>
      <w:r>
        <w:t xml:space="preserve">Decompress Method</w:t>
      </w:r>
    </w:p>
    <w:bookmarkStart w:id="4157" w:name="overview-461"/>
    <w:p>
      <w:pPr>
        <w:pStyle w:val="Heading2"/>
      </w:pPr>
      <w:r>
        <w:t xml:space="preserve">Overview</w:t>
      </w:r>
    </w:p>
    <w:p>
      <w:pPr>
        <w:pStyle w:val="FirstParagraph"/>
      </w:pPr>
      <w:r>
        <w:t xml:space="preserve">Decompresses a Zstandard (zstd) compressed payload (string or byte array) and returns the original data as a byte array.</w:t>
      </w:r>
    </w:p>
    <w:bookmarkEnd w:id="4157"/>
    <w:bookmarkStart w:id="4158" w:name="syntax-446"/>
    <w:p>
      <w:pPr>
        <w:pStyle w:val="Heading2"/>
      </w:pPr>
      <w:r>
        <w:t xml:space="preserve">Syntax</w:t>
      </w:r>
    </w:p>
    <w:p>
      <w:pPr>
        <w:pStyle w:val="SourceCode"/>
      </w:pPr>
      <w:r>
        <w:rPr>
          <w:rStyle w:val="NormalTok"/>
        </w:rPr>
        <w:t xml:space="preserve">result = obj.Decompress(input)</w:t>
      </w:r>
    </w:p>
    <w:bookmarkEnd w:id="4158"/>
    <w:bookmarkStart w:id="4159" w:name="parameters-and-arguments-115"/>
    <w:p>
      <w:pPr>
        <w:pStyle w:val="Heading2"/>
      </w:pPr>
      <w:r>
        <w:t xml:space="preserve">Parameters and Arguments</w:t>
      </w:r>
    </w:p>
    <w:p>
      <w:pPr>
        <w:pStyle w:val="Compact"/>
        <w:numPr>
          <w:ilvl w:val="0"/>
          <w:numId w:val="2047"/>
        </w:numPr>
      </w:pPr>
      <w:r>
        <w:rPr>
          <w:b/>
          <w:bCs/>
        </w:rPr>
        <w:t xml:space="preserve">input</w:t>
      </w:r>
      <w:r>
        <w:t xml:space="preserve">: A String or a VBArray of bytes containing the Zstandard compressed data.</w:t>
      </w:r>
    </w:p>
    <w:bookmarkEnd w:id="4159"/>
    <w:bookmarkStart w:id="4160" w:name="return-values-166"/>
    <w:p>
      <w:pPr>
        <w:pStyle w:val="Heading2"/>
      </w:pPr>
      <w:r>
        <w:t xml:space="preserve">Return Values</w:t>
      </w:r>
    </w:p>
    <w:p>
      <w:pPr>
        <w:pStyle w:val="FirstParagraph"/>
      </w:pPr>
      <w:r>
        <w:t xml:space="preserve">Returns a VBArray of bytes containing the decompressed data. If an error occurs, it returns Empty.</w:t>
      </w:r>
    </w:p>
    <w:bookmarkEnd w:id="4160"/>
    <w:bookmarkStart w:id="4161" w:name="remarks-430"/>
    <w:p>
      <w:pPr>
        <w:pStyle w:val="Heading2"/>
      </w:pPr>
      <w:r>
        <w:t xml:space="preserve">Remarks</w:t>
      </w:r>
    </w:p>
    <w:p>
      <w:pPr>
        <w:pStyle w:val="Compact"/>
        <w:numPr>
          <w:ilvl w:val="0"/>
          <w:numId w:val="2048"/>
        </w:numPr>
      </w:pPr>
      <w:r>
        <w:t xml:space="preserve">The input must be a valid Zstandard frame.</w:t>
      </w:r>
    </w:p>
    <w:p>
      <w:pPr>
        <w:pStyle w:val="Compact"/>
        <w:numPr>
          <w:ilvl w:val="0"/>
          <w:numId w:val="2048"/>
        </w:numPr>
      </w:pPr>
      <w:r>
        <w:t xml:space="preserve">This G3Pix AxonASP method handles all data types by normalizing them to a byte stream before decompression.</w:t>
      </w:r>
    </w:p>
    <w:p>
      <w:pPr>
        <w:pStyle w:val="Compact"/>
        <w:numPr>
          <w:ilvl w:val="0"/>
          <w:numId w:val="2048"/>
        </w:numPr>
      </w:pPr>
      <w:r>
        <w:t xml:space="preserve">If decompression fails (e.g., due to corrupt data or invalid format), a runtime error is raised.</w:t>
      </w:r>
    </w:p>
    <w:bookmarkEnd w:id="4161"/>
    <w:bookmarkStart w:id="4162" w:name="code-example-24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rPr>
          <w:rStyle w:val="OtherTok"/>
        </w:rPr>
        <w:t xml:space="preserve">,</w:t>
      </w:r>
      <w:r>
        <w:rPr>
          <w:rStyle w:val="NormalTok"/>
        </w:rPr>
        <w:t xml:space="preserve"> compressedData</w:t>
      </w:r>
      <w:r>
        <w:rPr>
          <w:rStyle w:val="OtherTok"/>
        </w:rPr>
        <w:t xml:space="preserve">,</w:t>
      </w:r>
      <w:r>
        <w:rPr>
          <w:rStyle w:val="NormalTok"/>
        </w:rPr>
        <w:t xml:space="preserve"> originalData</w:t>
      </w:r>
      <w:r>
        <w:br/>
      </w:r>
      <w:r>
        <w:rPr>
          <w:rStyle w:val="CommentTok"/>
        </w:rPr>
        <w:t xml:space="preserve">' Assuming compressedData is obtained from a source or previous operation</w:t>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NormalTok"/>
        </w:rPr>
        <w:t xml:space="preserve">originalData = objZstd.Decompress</w:t>
      </w:r>
      <w:r>
        <w:rPr>
          <w:rStyle w:val="OtherTok"/>
        </w:rPr>
        <w:t xml:space="preserve">(</w:t>
      </w:r>
      <w:r>
        <w:rPr>
          <w:rStyle w:val="NormalTok"/>
        </w:rPr>
        <w:t xml:space="preserve">compressedData</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originalData</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"Original data size: "</w:t>
      </w:r>
      <w:r>
        <w:rPr>
          <w:rStyle w:val="NormalTok"/>
        </w:rPr>
        <w:t xml:space="preserve"> </w:t>
      </w:r>
      <w:r>
        <w:rPr>
          <w:rStyle w:val="KeywordTok"/>
        </w:rPr>
        <w:t xml:space="preserve">&amp;</w:t>
      </w:r>
      <w:r>
        <w:rPr>
          <w:rStyle w:val="NormalTok"/>
        </w:rPr>
        <w:t xml:space="preserve"> </w:t>
      </w:r>
      <w:r>
        <w:rPr>
          <w:rStyle w:val="FunctionTok"/>
        </w:rPr>
        <w:t xml:space="preserve">UBound</w:t>
      </w:r>
      <w:r>
        <w:rPr>
          <w:rStyle w:val="OtherTok"/>
        </w:rPr>
        <w:t xml:space="preserve">(</w:t>
      </w:r>
      <w:r>
        <w:rPr>
          <w:rStyle w:val="NormalTok"/>
        </w:rPr>
        <w:t xml:space="preserve">originalData</w:t>
      </w:r>
      <w:r>
        <w:rPr>
          <w:rStyle w:val="OtherTok"/>
        </w:rPr>
        <w:t xml:space="preserve">)</w:t>
      </w:r>
      <w:r>
        <w:rPr>
          <w:rStyle w:val="NormalTok"/>
        </w:rPr>
        <w:t xml:space="preserve"> + </w:t>
      </w:r>
      <w:r>
        <w:rPr>
          <w:rStyle w:val="DecValTok"/>
        </w:rPr>
        <w:t xml:space="preserve">1</w:t>
      </w:r>
      <w:r>
        <w:rPr>
          <w:rStyle w:val="NormalTok"/>
        </w:rPr>
        <w:t xml:space="preserve"> </w:t>
      </w:r>
      <w:r>
        <w:rPr>
          <w:rStyle w:val="KeywordTok"/>
        </w:rPr>
        <w:t xml:space="preserve">&amp;</w:t>
      </w:r>
      <w:r>
        <w:rPr>
          <w:rStyle w:val="NormalTok"/>
        </w:rPr>
        <w:t xml:space="preserve"> </w:t>
      </w:r>
      <w:r>
        <w:rPr>
          <w:rStyle w:val="StringTok"/>
        </w:rPr>
        <w:t xml:space="preserve">" bytes."</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"Decompression failed."</w:t>
      </w:r>
      <w:r>
        <w:br/>
      </w:r>
      <w:r>
        <w:rPr>
          <w:rStyle w:val="ControlFlowTok"/>
        </w:rPr>
        <w:t xml:space="preserve">End If</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62"/>
    <w:bookmarkEnd w:id="4163"/>
    <w:bookmarkStart w:id="4170" w:name="decompressfile-method"/>
    <w:p>
      <w:pPr>
        <w:pStyle w:val="Heading1"/>
      </w:pPr>
      <w:r>
        <w:t xml:space="preserve">DecompressFile Method</w:t>
      </w:r>
    </w:p>
    <w:bookmarkStart w:id="4164" w:name="overview-462"/>
    <w:p>
      <w:pPr>
        <w:pStyle w:val="Heading2"/>
      </w:pPr>
      <w:r>
        <w:t xml:space="preserve">Overview</w:t>
      </w:r>
    </w:p>
    <w:p>
      <w:pPr>
        <w:pStyle w:val="FirstParagraph"/>
      </w:pPr>
      <w:r>
        <w:t xml:space="preserve">Decompresses a Zstandard (zstd) compressed file and writes the result to a target file. This G3Pix AxonASP method uses streaming to keep memory usage low even for large files.</w:t>
      </w:r>
    </w:p>
    <w:bookmarkEnd w:id="4164"/>
    <w:bookmarkStart w:id="4165" w:name="syntax-447"/>
    <w:p>
      <w:pPr>
        <w:pStyle w:val="Heading2"/>
      </w:pPr>
      <w:r>
        <w:t xml:space="preserve">Syntax</w:t>
      </w:r>
    </w:p>
    <w:p>
      <w:pPr>
        <w:pStyle w:val="SourceCode"/>
      </w:pPr>
      <w:r>
        <w:rPr>
          <w:rStyle w:val="NormalTok"/>
        </w:rPr>
        <w:t xml:space="preserve">result = obj.DecompressFile(sourcePath, targetPath)</w:t>
      </w:r>
    </w:p>
    <w:bookmarkEnd w:id="4165"/>
    <w:bookmarkStart w:id="4166" w:name="parameters-and-arguments-116"/>
    <w:p>
      <w:pPr>
        <w:pStyle w:val="Heading2"/>
      </w:pPr>
      <w:r>
        <w:t xml:space="preserve">Parameters and Arguments</w:t>
      </w:r>
    </w:p>
    <w:p>
      <w:pPr>
        <w:pStyle w:val="Compact"/>
        <w:numPr>
          <w:ilvl w:val="0"/>
          <w:numId w:val="2049"/>
        </w:numPr>
      </w:pPr>
      <w:r>
        <w:rPr>
          <w:b/>
          <w:bCs/>
        </w:rPr>
        <w:t xml:space="preserve">sourcePath</w:t>
      </w:r>
      <w:r>
        <w:t xml:space="preserve">: A String specifying the path to the compressed (.zst) file.</w:t>
      </w:r>
    </w:p>
    <w:p>
      <w:pPr>
        <w:pStyle w:val="Compact"/>
        <w:numPr>
          <w:ilvl w:val="0"/>
          <w:numId w:val="2049"/>
        </w:numPr>
      </w:pPr>
      <w:r>
        <w:rPr>
          <w:b/>
          <w:bCs/>
        </w:rPr>
        <w:t xml:space="preserve">targetPath</w:t>
      </w:r>
      <w:r>
        <w:t xml:space="preserve">: A String specifying the path where the decompressed file will be created.</w:t>
      </w:r>
    </w:p>
    <w:bookmarkEnd w:id="4166"/>
    <w:bookmarkStart w:id="4167" w:name="return-values-167"/>
    <w:p>
      <w:pPr>
        <w:pStyle w:val="Heading2"/>
      </w:pPr>
      <w:r>
        <w:t xml:space="preserve">Return Values</w:t>
      </w:r>
    </w:p>
    <w:p>
      <w:pPr>
        <w:pStyle w:val="FirstParagraph"/>
      </w:pPr>
      <w:r>
        <w:t xml:space="preserve">Returns a Boolean value:</w:t>
      </w:r>
      <w:r>
        <w:t xml:space="preserve"> </w:t>
      </w:r>
      <w:r>
        <w:t xml:space="preserve">-</w:t>
      </w:r>
      <w:r>
        <w:t xml:space="preserve"> </w:t>
      </w:r>
      <w:r>
        <w:rPr>
          <w:b/>
          <w:bCs/>
        </w:rPr>
        <w:t xml:space="preserve">True</w:t>
      </w:r>
      <w:r>
        <w:t xml:space="preserve">: The file was successfully decompressed.</w:t>
      </w:r>
      <w:r>
        <w:t xml:space="preserve"> </w:t>
      </w:r>
      <w:r>
        <w:t xml:space="preserve">-</w:t>
      </w:r>
      <w:r>
        <w:t xml:space="preserve"> </w:t>
      </w:r>
      <w:r>
        <w:rPr>
          <w:b/>
          <w:bCs/>
        </w:rPr>
        <w:t xml:space="preserve">False</w:t>
      </w:r>
      <w:r>
        <w:t xml:space="preserve">: An error occurred during decompression (e.g., file not found, corrupt data).</w:t>
      </w:r>
    </w:p>
    <w:bookmarkEnd w:id="4167"/>
    <w:bookmarkStart w:id="4168" w:name="remarks-431"/>
    <w:p>
      <w:pPr>
        <w:pStyle w:val="Heading2"/>
      </w:pPr>
      <w:r>
        <w:t xml:space="preserve">Remarks</w:t>
      </w:r>
    </w:p>
    <w:p>
      <w:pPr>
        <w:pStyle w:val="Compact"/>
        <w:numPr>
          <w:ilvl w:val="0"/>
          <w:numId w:val="2050"/>
        </w:numPr>
      </w:pPr>
      <w:r>
        <w:t xml:space="preserve">Both source and target paths are resolved relative to the web root and must stay within the sandbox.</w:t>
      </w:r>
    </w:p>
    <w:p>
      <w:pPr>
        <w:pStyle w:val="Compact"/>
        <w:numPr>
          <w:ilvl w:val="0"/>
          <w:numId w:val="2050"/>
        </w:numPr>
      </w:pPr>
      <w:r>
        <w:t xml:space="preserve">This method automatically creates the target directory if it does not exist.</w:t>
      </w:r>
    </w:p>
    <w:p>
      <w:pPr>
        <w:pStyle w:val="Compact"/>
        <w:numPr>
          <w:ilvl w:val="0"/>
          <w:numId w:val="2050"/>
        </w:numPr>
      </w:pPr>
      <w:r>
        <w:t xml:space="preserve">Streaming ensures that memory consumption is minimal regardless of the file size.</w:t>
      </w:r>
    </w:p>
    <w:p>
      <w:pPr>
        <w:pStyle w:val="Compact"/>
        <w:numPr>
          <w:ilvl w:val="0"/>
          <w:numId w:val="2050"/>
        </w:numPr>
      </w:pPr>
      <w:r>
        <w:t xml:space="preserve">Errors are logged to the</w:t>
      </w:r>
      <w:r>
        <w:t xml:space="preserve"> </w:t>
      </w:r>
      <w:r>
        <w:rPr>
          <w:rStyle w:val="VerbatimChar"/>
        </w:rPr>
        <w:t xml:space="preserve">LastError</w:t>
      </w:r>
      <w:r>
        <w:t xml:space="preserve"> </w:t>
      </w:r>
      <w:r>
        <w:t xml:space="preserve">property and raise runtime exceptions.</w:t>
      </w:r>
    </w:p>
    <w:bookmarkEnd w:id="4168"/>
    <w:bookmarkStart w:id="4169" w:name="code-example-24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Decompress a file</w:t>
      </w:r>
      <w:r>
        <w:br/>
      </w:r>
      <w:r>
        <w:rPr>
          <w:rStyle w:val="ControlFlowTok"/>
        </w:rPr>
        <w:t xml:space="preserve">If</w:t>
      </w:r>
      <w:r>
        <w:rPr>
          <w:rStyle w:val="NormalTok"/>
        </w:rPr>
        <w:t xml:space="preserve"> objZstd.DecompressFile</w:t>
      </w:r>
      <w:r>
        <w:rPr>
          <w:rStyle w:val="OtherTok"/>
        </w:rPr>
        <w:t xml:space="preserve">(</w:t>
      </w:r>
      <w:r>
        <w:rPr>
          <w:rStyle w:val="StringTok"/>
        </w:rPr>
        <w:t xml:space="preserve">"data/log.txt.zst"</w:t>
      </w:r>
      <w:r>
        <w:rPr>
          <w:rStyle w:val="OtherTok"/>
        </w:rPr>
        <w:t xml:space="preserve">,</w:t>
      </w:r>
      <w:r>
        <w:rPr>
          <w:rStyle w:val="NormalTok"/>
        </w:rPr>
        <w:t xml:space="preserve"> </w:t>
      </w:r>
      <w:r>
        <w:rPr>
          <w:rStyle w:val="StringTok"/>
        </w:rPr>
        <w:t xml:space="preserve">"data/log_restored.txt"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decompressed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objZstd.LastError</w:t>
      </w:r>
      <w:r>
        <w:br/>
      </w:r>
      <w:r>
        <w:rPr>
          <w:rStyle w:val="ControlFlowTok"/>
        </w:rPr>
        <w:t xml:space="preserve">End If</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69"/>
    <w:bookmarkEnd w:id="4170"/>
    <w:bookmarkStart w:id="4177" w:name="decompressmany-method"/>
    <w:p>
      <w:pPr>
        <w:pStyle w:val="Heading1"/>
      </w:pPr>
      <w:r>
        <w:t xml:space="preserve">DecompressMany Method</w:t>
      </w:r>
    </w:p>
    <w:bookmarkStart w:id="4171" w:name="overview-463"/>
    <w:p>
      <w:pPr>
        <w:pStyle w:val="Heading2"/>
      </w:pPr>
      <w:r>
        <w:t xml:space="preserve">Overview</w:t>
      </w:r>
    </w:p>
    <w:p>
      <w:pPr>
        <w:pStyle w:val="FirstParagraph"/>
      </w:pPr>
      <w:r>
        <w:t xml:space="preserve">Decompresses an array of Zstandard (zstd) compressed payloads (strings or byte arrays). This G3Pix AxonASP method allows for efficient batch decompression of multiple datasets.</w:t>
      </w:r>
    </w:p>
    <w:bookmarkEnd w:id="4171"/>
    <w:bookmarkStart w:id="4172" w:name="syntax-448"/>
    <w:p>
      <w:pPr>
        <w:pStyle w:val="Heading2"/>
      </w:pPr>
      <w:r>
        <w:t xml:space="preserve">Syntax</w:t>
      </w:r>
    </w:p>
    <w:p>
      <w:pPr>
        <w:pStyle w:val="SourceCode"/>
      </w:pPr>
      <w:r>
        <w:rPr>
          <w:rStyle w:val="NormalTok"/>
        </w:rPr>
        <w:t xml:space="preserve">resultArray = obj.DecompressMany(inputArray)</w:t>
      </w:r>
    </w:p>
    <w:bookmarkEnd w:id="4172"/>
    <w:bookmarkStart w:id="4173" w:name="parameters-and-arguments-117"/>
    <w:p>
      <w:pPr>
        <w:pStyle w:val="Heading2"/>
      </w:pPr>
      <w:r>
        <w:t xml:space="preserve">Parameters and Arguments</w:t>
      </w:r>
    </w:p>
    <w:p>
      <w:pPr>
        <w:pStyle w:val="Compact"/>
        <w:numPr>
          <w:ilvl w:val="0"/>
          <w:numId w:val="2051"/>
        </w:numPr>
      </w:pPr>
      <w:r>
        <w:rPr>
          <w:b/>
          <w:bCs/>
        </w:rPr>
        <w:t xml:space="preserve">inputArray</w:t>
      </w:r>
      <w:r>
        <w:t xml:space="preserve">: A VBArray containing one or more elements. Each element must be a String or a VBArray of bytes containing a Zstandard compressed frame.</w:t>
      </w:r>
    </w:p>
    <w:bookmarkEnd w:id="4173"/>
    <w:bookmarkStart w:id="4174" w:name="return-values-168"/>
    <w:p>
      <w:pPr>
        <w:pStyle w:val="Heading2"/>
      </w:pPr>
      <w:r>
        <w:t xml:space="preserve">Return Values</w:t>
      </w:r>
    </w:p>
    <w:p>
      <w:pPr>
        <w:pStyle w:val="FirstParagraph"/>
      </w:pPr>
      <w:r>
        <w:t xml:space="preserve">Returns a VBArray containing several VBArrays of bytes, where each sub-array corresponds to the decompressed data of the input items.</w:t>
      </w:r>
    </w:p>
    <w:bookmarkEnd w:id="4174"/>
    <w:bookmarkStart w:id="4175" w:name="remarks-432"/>
    <w:p>
      <w:pPr>
        <w:pStyle w:val="Heading2"/>
      </w:pPr>
      <w:r>
        <w:t xml:space="preserve">Remarks</w:t>
      </w:r>
    </w:p>
    <w:p>
      <w:pPr>
        <w:pStyle w:val="Compact"/>
        <w:numPr>
          <w:ilvl w:val="0"/>
          <w:numId w:val="2052"/>
        </w:numPr>
      </w:pPr>
      <w:r>
        <w:t xml:space="preserve">Each item in the input array must be a valid Zstandard frame.</w:t>
      </w:r>
    </w:p>
    <w:p>
      <w:pPr>
        <w:pStyle w:val="Compact"/>
        <w:numPr>
          <w:ilvl w:val="0"/>
          <w:numId w:val="2052"/>
        </w:numPr>
      </w:pPr>
      <w:r>
        <w:t xml:space="preserve">The method processes items in sequence and returns an array of the same length as the input.</w:t>
      </w:r>
    </w:p>
    <w:p>
      <w:pPr>
        <w:pStyle w:val="Compact"/>
        <w:numPr>
          <w:ilvl w:val="0"/>
          <w:numId w:val="2052"/>
        </w:numPr>
      </w:pPr>
      <w:r>
        <w:t xml:space="preserve">If any item fails decompression, the overall operation may result in an empty array or raise a runtime error.</w:t>
      </w:r>
    </w:p>
    <w:p>
      <w:pPr>
        <w:pStyle w:val="Compact"/>
        <w:numPr>
          <w:ilvl w:val="0"/>
          <w:numId w:val="2052"/>
        </w:numPr>
      </w:pPr>
      <w:r>
        <w:t xml:space="preserve">Errors during batch processing are logged to the</w:t>
      </w:r>
      <w:r>
        <w:t xml:space="preserve"> </w:t>
      </w:r>
      <w:r>
        <w:rPr>
          <w:rStyle w:val="VerbatimChar"/>
        </w:rPr>
        <w:t xml:space="preserve">LastError</w:t>
      </w:r>
      <w:r>
        <w:t xml:space="preserve"> </w:t>
      </w:r>
      <w:r>
        <w:t xml:space="preserve">property.</w:t>
      </w:r>
    </w:p>
    <w:bookmarkEnd w:id="4175"/>
    <w:bookmarkStart w:id="4176" w:name="code-example-24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rPr>
          <w:rStyle w:val="OtherTok"/>
        </w:rPr>
        <w:t xml:space="preserve">,</w:t>
      </w:r>
      <w:r>
        <w:rPr>
          <w:rStyle w:val="NormalTok"/>
        </w:rPr>
        <w:t xml:space="preserve"> compressedItems</w:t>
      </w:r>
      <w:r>
        <w:rPr>
          <w:rStyle w:val="OtherTok"/>
        </w:rPr>
        <w:t xml:space="preserve">,</w:t>
      </w:r>
      <w:r>
        <w:rPr>
          <w:rStyle w:val="NormalTok"/>
        </w:rPr>
        <w:t xml:space="preserve"> decompressedItems</w:t>
      </w:r>
      <w:r>
        <w:rPr>
          <w:rStyle w:val="OtherTok"/>
        </w:rPr>
        <w:t xml:space="preserve">,</w:t>
      </w:r>
      <w:r>
        <w:rPr>
          <w:rStyle w:val="NormalTok"/>
        </w:rPr>
        <w:t xml:space="preserve"> i</w:t>
      </w:r>
      <w:r>
        <w:br/>
      </w:r>
      <w:r>
        <w:rPr>
          <w:rStyle w:val="CommentTok"/>
        </w:rPr>
        <w:t xml:space="preserve">' Assuming compressedItems is an array of compressed data</w:t>
      </w:r>
      <w:r>
        <w:br/>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Batch decompress</w:t>
      </w:r>
      <w:r>
        <w:br/>
      </w:r>
      <w:r>
        <w:rPr>
          <w:rStyle w:val="NormalTok"/>
        </w:rPr>
        <w:t xml:space="preserve">decompressedItems = objZstd.DecompressMany</w:t>
      </w:r>
      <w:r>
        <w:rPr>
          <w:rStyle w:val="OtherTok"/>
        </w:rPr>
        <w:t xml:space="preserve">(</w:t>
      </w:r>
      <w:r>
        <w:rPr>
          <w:rStyle w:val="NormalTok"/>
        </w:rPr>
        <w:t xml:space="preserve">compressedItems</w:t>
      </w:r>
      <w:r>
        <w:rPr>
          <w:rStyle w:val="OtherTok"/>
        </w:rPr>
        <w:t xml:space="preserve">)</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decompressedItems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"Item "</w:t>
      </w:r>
      <w:r>
        <w:rPr>
          <w:rStyle w:val="NormalTok"/>
        </w:rPr>
        <w:t xml:space="preserve"> </w:t>
      </w:r>
      <w:r>
        <w:rPr>
          <w:rStyle w:val="KeywordTok"/>
        </w:rPr>
        <w:t xml:space="preserve">&amp;</w:t>
      </w:r>
      <w:r>
        <w:rPr>
          <w:rStyle w:val="NormalTok"/>
        </w:rPr>
        <w:t xml:space="preserve"> i </w:t>
      </w:r>
      <w:r>
        <w:rPr>
          <w:rStyle w:val="KeywordTok"/>
        </w:rPr>
        <w:t xml:space="preserve">&amp;</w:t>
      </w:r>
      <w:r>
        <w:rPr>
          <w:rStyle w:val="NormalTok"/>
        </w:rPr>
        <w:t xml:space="preserve"> </w:t>
      </w:r>
      <w:r>
        <w:rPr>
          <w:rStyle w:val="StringTok"/>
        </w:rPr>
        <w:t xml:space="preserve">" decompressed size: "</w:t>
      </w:r>
      <w:r>
        <w:rPr>
          <w:rStyle w:val="NormalTok"/>
        </w:rPr>
        <w:t xml:space="preserve"> </w:t>
      </w:r>
      <w:r>
        <w:rPr>
          <w:rStyle w:val="KeywordTok"/>
        </w:rPr>
        <w:t xml:space="preserve">&amp;</w:t>
      </w:r>
      <w:r>
        <w:rPr>
          <w:rStyle w:val="NormalTok"/>
        </w:rPr>
        <w:t xml:space="preserve"> </w:t>
      </w:r>
      <w:r>
        <w:rPr>
          <w:rStyle w:val="FunctionTok"/>
        </w:rPr>
        <w:t xml:space="preserve">UBound</w:t>
      </w:r>
      <w:r>
        <w:rPr>
          <w:rStyle w:val="OtherTok"/>
        </w:rPr>
        <w:t xml:space="preserve">(</w:t>
      </w:r>
      <w:r>
        <w:rPr>
          <w:rStyle w:val="NormalTok"/>
        </w:rPr>
        <w:t xml:space="preserve">decompressedItems</w:t>
      </w:r>
      <w:r>
        <w:rPr>
          <w:rStyle w:val="OtherTok"/>
        </w:rPr>
        <w:t xml:space="preserve">(</w:t>
      </w:r>
      <w:r>
        <w:rPr>
          <w:rStyle w:val="NormalTok"/>
        </w:rPr>
        <w:t xml:space="preserve">i</w:t>
      </w:r>
      <w:r>
        <w:rPr>
          <w:rStyle w:val="OtherTok"/>
        </w:rPr>
        <w:t xml:space="preserve">))</w:t>
      </w:r>
      <w:r>
        <w:rPr>
          <w:rStyle w:val="NormalTok"/>
        </w:rPr>
        <w:t xml:space="preserve"> + </w:t>
      </w:r>
      <w:r>
        <w:rPr>
          <w:rStyle w:val="DecValTok"/>
        </w:rPr>
        <w:t xml:space="preserve">1</w:t>
      </w:r>
      <w:r>
        <w:rPr>
          <w:rStyle w:val="NormalTok"/>
        </w:rPr>
        <w:t xml:space="preserve"> </w:t>
      </w:r>
      <w:r>
        <w:rPr>
          <w:rStyle w:val="KeywordTok"/>
        </w:rPr>
        <w:t xml:space="preserve">&amp;</w:t>
      </w:r>
      <w:r>
        <w:rPr>
          <w:rStyle w:val="NormalTok"/>
        </w:rPr>
        <w:t xml:space="preserve"> </w:t>
      </w:r>
      <w:r>
        <w:rPr>
          <w:rStyle w:val="StringTok"/>
        </w:rPr>
        <w:t xml:space="preserve">" bytes.&lt;br&gt;"</w:t>
      </w:r>
      <w:r>
        <w:br/>
      </w:r>
      <w:r>
        <w:rPr>
          <w:rStyle w:val="ControlFlowTok"/>
        </w:rPr>
        <w:t xml:space="preserve">Next</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76"/>
    <w:bookmarkEnd w:id="4177"/>
    <w:bookmarkStart w:id="4184" w:name="decompresstext-method"/>
    <w:p>
      <w:pPr>
        <w:pStyle w:val="Heading1"/>
      </w:pPr>
      <w:r>
        <w:t xml:space="preserve">DecompressText Method</w:t>
      </w:r>
    </w:p>
    <w:bookmarkStart w:id="4178" w:name="overview-464"/>
    <w:p>
      <w:pPr>
        <w:pStyle w:val="Heading2"/>
      </w:pPr>
      <w:r>
        <w:t xml:space="preserve">Overview</w:t>
      </w:r>
    </w:p>
    <w:p>
      <w:pPr>
        <w:pStyle w:val="FirstParagraph"/>
      </w:pPr>
      <w:r>
        <w:t xml:space="preserve">Decompresses a Zstandard (zstd) compressed payload (string or byte array) and returns the original data as a UTF-8 string.</w:t>
      </w:r>
    </w:p>
    <w:bookmarkEnd w:id="4178"/>
    <w:bookmarkStart w:id="4179" w:name="syntax-449"/>
    <w:p>
      <w:pPr>
        <w:pStyle w:val="Heading2"/>
      </w:pPr>
      <w:r>
        <w:t xml:space="preserve">Syntax</w:t>
      </w:r>
    </w:p>
    <w:p>
      <w:pPr>
        <w:pStyle w:val="SourceCode"/>
      </w:pPr>
      <w:r>
        <w:rPr>
          <w:rStyle w:val="NormalTok"/>
        </w:rPr>
        <w:t xml:space="preserve">resultString = obj.DecompressText(input)</w:t>
      </w:r>
    </w:p>
    <w:bookmarkEnd w:id="4179"/>
    <w:bookmarkStart w:id="4180" w:name="parameters-and-arguments-118"/>
    <w:p>
      <w:pPr>
        <w:pStyle w:val="Heading2"/>
      </w:pPr>
      <w:r>
        <w:t xml:space="preserve">Parameters and Arguments</w:t>
      </w:r>
    </w:p>
    <w:p>
      <w:pPr>
        <w:pStyle w:val="Compact"/>
        <w:numPr>
          <w:ilvl w:val="0"/>
          <w:numId w:val="2053"/>
        </w:numPr>
      </w:pPr>
      <w:r>
        <w:rPr>
          <w:b/>
          <w:bCs/>
        </w:rPr>
        <w:t xml:space="preserve">input</w:t>
      </w:r>
      <w:r>
        <w:t xml:space="preserve">: A String or a VBArray of bytes containing the Zstandard compressed data.</w:t>
      </w:r>
    </w:p>
    <w:bookmarkEnd w:id="4180"/>
    <w:bookmarkStart w:id="4181" w:name="return-values-169"/>
    <w:p>
      <w:pPr>
        <w:pStyle w:val="Heading2"/>
      </w:pPr>
      <w:r>
        <w:t xml:space="preserve">Return Values</w:t>
      </w:r>
    </w:p>
    <w:p>
      <w:pPr>
        <w:pStyle w:val="FirstParagraph"/>
      </w:pPr>
      <w:r>
        <w:t xml:space="preserve">Returns a String containing the decompressed UTF-8 text. If an error occurs, it returns an empty string.</w:t>
      </w:r>
    </w:p>
    <w:bookmarkEnd w:id="4181"/>
    <w:bookmarkStart w:id="4182" w:name="remarks-433"/>
    <w:p>
      <w:pPr>
        <w:pStyle w:val="Heading2"/>
      </w:pPr>
      <w:r>
        <w:t xml:space="preserve">Remarks</w:t>
      </w:r>
    </w:p>
    <w:p>
      <w:pPr>
        <w:pStyle w:val="Compact"/>
        <w:numPr>
          <w:ilvl w:val="0"/>
          <w:numId w:val="2054"/>
        </w:numPr>
      </w:pPr>
      <w:r>
        <w:t xml:space="preserve">This method is an alias for</w:t>
      </w:r>
      <w:r>
        <w:t xml:space="preserve"> </w:t>
      </w:r>
      <w:r>
        <w:rPr>
          <w:rStyle w:val="VerbatimChar"/>
        </w:rPr>
        <w:t xml:space="preserve">DecompressString</w:t>
      </w:r>
      <w:r>
        <w:t xml:space="preserve">.</w:t>
      </w:r>
    </w:p>
    <w:p>
      <w:pPr>
        <w:pStyle w:val="Compact"/>
        <w:numPr>
          <w:ilvl w:val="0"/>
          <w:numId w:val="2054"/>
        </w:numPr>
      </w:pPr>
      <w:r>
        <w:t xml:space="preserve">It expects the original uncompressed data to be a valid UTF-8 string.</w:t>
      </w:r>
    </w:p>
    <w:p>
      <w:pPr>
        <w:pStyle w:val="Compact"/>
        <w:numPr>
          <w:ilvl w:val="0"/>
          <w:numId w:val="2054"/>
        </w:numPr>
      </w:pPr>
      <w:r>
        <w:t xml:space="preserve">If decompression fails or the data is not valid UTF-8, it returns an empty string and logs the error to the</w:t>
      </w:r>
      <w:r>
        <w:t xml:space="preserve"> </w:t>
      </w:r>
      <w:r>
        <w:rPr>
          <w:rStyle w:val="VerbatimChar"/>
        </w:rPr>
        <w:t xml:space="preserve">LastError</w:t>
      </w:r>
      <w:r>
        <w:t xml:space="preserve"> </w:t>
      </w:r>
      <w:r>
        <w:t xml:space="preserve">property.</w:t>
      </w:r>
    </w:p>
    <w:bookmarkEnd w:id="4182"/>
    <w:bookmarkStart w:id="4183" w:name="code-example-24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rPr>
          <w:rStyle w:val="OtherTok"/>
        </w:rPr>
        <w:t xml:space="preserve">,</w:t>
      </w:r>
      <w:r>
        <w:rPr>
          <w:rStyle w:val="NormalTok"/>
        </w:rPr>
        <w:t xml:space="preserve"> compressedData</w:t>
      </w:r>
      <w:r>
        <w:rPr>
          <w:rStyle w:val="OtherTok"/>
        </w:rPr>
        <w:t xml:space="preserve">,</w:t>
      </w:r>
      <w:r>
        <w:rPr>
          <w:rStyle w:val="NormalTok"/>
        </w:rPr>
        <w:t xml:space="preserve"> originalText</w:t>
      </w:r>
      <w:r>
        <w:br/>
      </w:r>
      <w:r>
        <w:rPr>
          <w:rStyle w:val="CommentTok"/>
        </w:rPr>
        <w:t xml:space="preserve">' Assuming compressedData is obtained from a source or previous operation</w:t>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NormalTok"/>
        </w:rPr>
        <w:t xml:space="preserve">originalText = objZstd.DecompressText</w:t>
      </w:r>
      <w:r>
        <w:rPr>
          <w:rStyle w:val="OtherTok"/>
        </w:rPr>
        <w:t xml:space="preserve">(</w:t>
      </w:r>
      <w:r>
        <w:rPr>
          <w:rStyle w:val="NormalTok"/>
        </w:rPr>
        <w:t xml:space="preserve">compressedData</w:t>
      </w:r>
      <w:r>
        <w:rPr>
          <w:rStyle w:val="OtherTok"/>
        </w:rPr>
        <w:t xml:space="preserve">)</w:t>
      </w:r>
      <w:r>
        <w:br/>
      </w:r>
      <w:r>
        <w:br/>
      </w:r>
      <w:r>
        <w:rPr>
          <w:rStyle w:val="ControlFlowTok"/>
        </w:rPr>
        <w:t xml:space="preserve">If</w:t>
      </w:r>
      <w:r>
        <w:rPr>
          <w:rStyle w:val="NormalTok"/>
        </w:rPr>
        <w:t xml:space="preserve"> originalText &lt;&gt;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"Restored text: "</w:t>
      </w:r>
      <w:r>
        <w:rPr>
          <w:rStyle w:val="NormalTok"/>
        </w:rPr>
        <w:t xml:space="preserve"> </w:t>
      </w:r>
      <w:r>
        <w:rPr>
          <w:rStyle w:val="KeywordTok"/>
        </w:rPr>
        <w:t xml:space="preserve">&amp;</w:t>
      </w:r>
      <w:r>
        <w:rPr>
          <w:rStyle w:val="NormalTok"/>
        </w:rPr>
        <w:t xml:space="preserve"> originalText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"Decompression failed or returned empty text."</w:t>
      </w:r>
      <w:r>
        <w:br/>
      </w:r>
      <w:r>
        <w:rPr>
          <w:rStyle w:val="ControlFlowTok"/>
        </w:rPr>
        <w:t xml:space="preserve">End If</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83"/>
    <w:bookmarkEnd w:id="4184"/>
    <w:bookmarkStart w:id="4192" w:name="setlevel-method"/>
    <w:p>
      <w:pPr>
        <w:pStyle w:val="Heading1"/>
      </w:pPr>
      <w:r>
        <w:t xml:space="preserve">SetLevel Method</w:t>
      </w:r>
    </w:p>
    <w:bookmarkStart w:id="4185" w:name="overview-465"/>
    <w:p>
      <w:pPr>
        <w:pStyle w:val="Heading2"/>
      </w:pPr>
      <w:r>
        <w:t xml:space="preserve">Overview</w:t>
      </w:r>
    </w:p>
    <w:p>
      <w:pPr>
        <w:pStyle w:val="FirstParagraph"/>
      </w:pPr>
      <w:r>
        <w:t xml:space="preserve">Sets the default compression level for the G3Pix AxonASP G3ZSTD object. This level is used for all subsequent compression operations that do not explicitly specify a level.</w:t>
      </w:r>
    </w:p>
    <w:bookmarkEnd w:id="4185"/>
    <w:bookmarkStart w:id="4186" w:name="syntax-450"/>
    <w:p>
      <w:pPr>
        <w:pStyle w:val="Heading2"/>
      </w:pPr>
      <w:r>
        <w:t xml:space="preserve">Syntax</w:t>
      </w:r>
    </w:p>
    <w:p>
      <w:pPr>
        <w:pStyle w:val="SourceCode"/>
      </w:pPr>
      <w:r>
        <w:rPr>
          <w:rStyle w:val="NormalTok"/>
        </w:rPr>
        <w:t xml:space="preserve">result = obj.SetLevel(level)</w:t>
      </w:r>
    </w:p>
    <w:bookmarkEnd w:id="4186"/>
    <w:bookmarkStart w:id="4187" w:name="parameters-and-arguments-119"/>
    <w:p>
      <w:pPr>
        <w:pStyle w:val="Heading2"/>
      </w:pPr>
      <w:r>
        <w:t xml:space="preserve">Parameters and Arguments</w:t>
      </w:r>
    </w:p>
    <w:p>
      <w:pPr>
        <w:pStyle w:val="Compact"/>
        <w:numPr>
          <w:ilvl w:val="0"/>
          <w:numId w:val="2055"/>
        </w:numPr>
      </w:pPr>
      <w:r>
        <w:rPr>
          <w:b/>
          <w:bCs/>
        </w:rPr>
        <w:t xml:space="preserve">level</w:t>
      </w:r>
      <w:r>
        <w:t xml:space="preserve">: An Integer specifying the compression level. The range is -5 (fastest, lower ratio) to 22 (slowest, highest ratio).</w:t>
      </w:r>
    </w:p>
    <w:bookmarkEnd w:id="4187"/>
    <w:bookmarkStart w:id="4188" w:name="return-values-170"/>
    <w:p>
      <w:pPr>
        <w:pStyle w:val="Heading2"/>
      </w:pPr>
      <w:r>
        <w:t xml:space="preserve">Return Values</w:t>
      </w:r>
    </w:p>
    <w:p>
      <w:pPr>
        <w:pStyle w:val="FirstParagraph"/>
      </w:pPr>
      <w:r>
        <w:t xml:space="preserve">Returns a Boolean value:</w:t>
      </w:r>
      <w:r>
        <w:t xml:space="preserve"> </w:t>
      </w:r>
      <w:r>
        <w:t xml:space="preserve">-</w:t>
      </w:r>
      <w:r>
        <w:t xml:space="preserve"> </w:t>
      </w:r>
      <w:r>
        <w:rPr>
          <w:b/>
          <w:bCs/>
        </w:rPr>
        <w:t xml:space="preserve">True</w:t>
      </w:r>
      <w:r>
        <w:t xml:space="preserve">: The compression level was successfully updated.</w:t>
      </w:r>
      <w:r>
        <w:t xml:space="preserve"> </w:t>
      </w:r>
      <w:r>
        <w:t xml:space="preserve">-</w:t>
      </w:r>
      <w:r>
        <w:t xml:space="preserve"> </w:t>
      </w:r>
      <w:r>
        <w:rPr>
          <w:b/>
          <w:bCs/>
        </w:rPr>
        <w:t xml:space="preserve">False</w:t>
      </w:r>
      <w:r>
        <w:t xml:space="preserve">: An invalid level was provided (outside the -5 to 22 range).</w:t>
      </w:r>
    </w:p>
    <w:bookmarkEnd w:id="4188"/>
    <w:bookmarkStart w:id="4189" w:name="remarks-434"/>
    <w:p>
      <w:pPr>
        <w:pStyle w:val="Heading2"/>
      </w:pPr>
      <w:r>
        <w:t xml:space="preserve">Remarks</w:t>
      </w:r>
    </w:p>
    <w:p>
      <w:pPr>
        <w:pStyle w:val="Compact"/>
        <w:numPr>
          <w:ilvl w:val="0"/>
          <w:numId w:val="2056"/>
        </w:numPr>
      </w:pPr>
      <w:r>
        <w:t xml:space="preserve">This method is an alias for</w:t>
      </w:r>
      <w:r>
        <w:t xml:space="preserve"> </w:t>
      </w:r>
      <w:r>
        <w:rPr>
          <w:rStyle w:val="VerbatimChar"/>
        </w:rPr>
        <w:t xml:space="preserve">SetCompressionLevel</w:t>
      </w:r>
      <w:r>
        <w:t xml:space="preserve">.</w:t>
      </w:r>
    </w:p>
    <w:p>
      <w:pPr>
        <w:pStyle w:val="Compact"/>
        <w:numPr>
          <w:ilvl w:val="0"/>
          <w:numId w:val="2056"/>
        </w:numPr>
      </w:pPr>
      <w:r>
        <w:t xml:space="preserve">Setting a new level will re-initialize the internal encoder resource.</w:t>
      </w:r>
    </w:p>
    <w:p>
      <w:pPr>
        <w:pStyle w:val="Compact"/>
        <w:numPr>
          <w:ilvl w:val="0"/>
          <w:numId w:val="2056"/>
        </w:numPr>
      </w:pPr>
      <w:r>
        <w:t xml:space="preserve">The default compression level is 3.</w:t>
      </w:r>
    </w:p>
    <w:p>
      <w:pPr>
        <w:pStyle w:val="Compact"/>
        <w:numPr>
          <w:ilvl w:val="0"/>
          <w:numId w:val="2056"/>
        </w:numPr>
      </w:pPr>
      <w:r>
        <w:t xml:space="preserve">If an invalid level is provided, the current level is maintained and a runtime error is raised.</w:t>
      </w:r>
    </w:p>
    <w:bookmarkEnd w:id="4189"/>
    <w:bookmarkStart w:id="4191" w:name="code-example-24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Change default compression level to 12</w:t>
      </w:r>
      <w:r>
        <w:br/>
      </w:r>
      <w:r>
        <w:rPr>
          <w:rStyle w:val="ControlFlowTok"/>
        </w:rPr>
        <w:t xml:space="preserve">If</w:t>
      </w:r>
      <w:r>
        <w:rPr>
          <w:rStyle w:val="NormalTok"/>
        </w:rPr>
        <w:t xml:space="preserve"> objZstd.SetLevel</w:t>
      </w:r>
      <w:r>
        <w:rPr>
          <w:rStyle w:val="OtherTok"/>
        </w:rPr>
        <w:t xml:space="preserve">(</w:t>
      </w:r>
      <w:r>
        <w:rPr>
          <w:rStyle w:val="DecValTok"/>
        </w:rPr>
        <w:t xml:space="preserve">12</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"Default compression level set to "</w:t>
      </w:r>
      <w:r>
        <w:rPr>
          <w:rStyle w:val="NormalTok"/>
        </w:rPr>
        <w:t xml:space="preserve"> </w:t>
      </w:r>
      <w:r>
        <w:rPr>
          <w:rStyle w:val="KeywordTok"/>
        </w:rPr>
        <w:t xml:space="preserve">&amp;</w:t>
      </w:r>
      <w:r>
        <w:rPr>
          <w:rStyle w:val="NormalTok"/>
        </w:rPr>
        <w:t xml:space="preserve"> objZstd.Level</w:t>
      </w:r>
      <w:r>
        <w:br/>
      </w:r>
      <w:r>
        <w:rPr>
          <w:rStyle w:val="ControlFlowTok"/>
        </w:rPr>
        <w:t xml:space="preserve">End If</w:t>
      </w:r>
      <w:r>
        <w:br/>
      </w:r>
      <w:r>
        <w:br/>
      </w:r>
      <w:r>
        <w:rPr>
          <w:rStyle w:val="CommentTok"/>
        </w:rPr>
        <w:t xml:space="preserve">' Use the new default level for compression</w:t>
      </w:r>
      <w:r>
        <w:br/>
      </w:r>
      <w:r>
        <w:rPr>
          <w:rStyle w:val="KeywordTok"/>
        </w:rPr>
        <w:t xml:space="preserve">Dim</w:t>
      </w:r>
      <w:r>
        <w:rPr>
          <w:rStyle w:val="NormalTok"/>
        </w:rPr>
        <w:t xml:space="preserve"> compressed</w:t>
      </w:r>
      <w:r>
        <w:br/>
      </w:r>
      <w:r>
        <w:rPr>
          <w:rStyle w:val="NormalTok"/>
        </w:rPr>
        <w:t xml:space="preserve">compressed = objZstd.Compress</w:t>
      </w:r>
      <w:r>
        <w:rPr>
          <w:rStyle w:val="OtherTok"/>
        </w:rPr>
        <w:t xml:space="preserve">(</w:t>
      </w:r>
      <w:r>
        <w:rPr>
          <w:rStyle w:val="StringTok"/>
        </w:rPr>
        <w:t xml:space="preserve">"Test Data"</w:t>
      </w:r>
      <w:r>
        <w:rPr>
          <w:rStyle w:val="OtherTok"/>
        </w:rPr>
        <w:t xml:space="preserve">)</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Start w:id="4190" w:name="properties-detail-8"/>
    <w:p>
      <w:pPr>
        <w:pStyle w:val="Heading3"/>
      </w:pPr>
      <w:r>
        <w:t xml:space="preserve">Properties Detail</w:t>
      </w:r>
    </w:p>
    <w:bookmarkEnd w:id="4190"/>
    <w:bookmarkEnd w:id="4191"/>
    <w:bookmarkEnd w:id="4192"/>
    <w:bookmarkStart w:id="4199" w:name="lasterror-property-3"/>
    <w:p>
      <w:pPr>
        <w:pStyle w:val="Heading1"/>
      </w:pPr>
      <w:r>
        <w:t xml:space="preserve">LastError Property</w:t>
      </w:r>
    </w:p>
    <w:bookmarkStart w:id="4193" w:name="overview-466"/>
    <w:p>
      <w:pPr>
        <w:pStyle w:val="Heading2"/>
      </w:pPr>
      <w:r>
        <w:t xml:space="preserve">Overview</w:t>
      </w:r>
    </w:p>
    <w:p>
      <w:pPr>
        <w:pStyle w:val="FirstParagraph"/>
      </w:pPr>
      <w:r>
        <w:t xml:space="preserve">Returns a String describing the last error that occurred during a Zstandard (zstd) operation in the G3Pix AxonASP G3ZSTD object.</w:t>
      </w:r>
    </w:p>
    <w:bookmarkEnd w:id="4193"/>
    <w:bookmarkStart w:id="4194" w:name="syntax-451"/>
    <w:p>
      <w:pPr>
        <w:pStyle w:val="Heading2"/>
      </w:pPr>
      <w:r>
        <w:t xml:space="preserve">Syntax</w:t>
      </w:r>
    </w:p>
    <w:p>
      <w:pPr>
        <w:pStyle w:val="SourceCode"/>
      </w:pPr>
      <w:r>
        <w:rPr>
          <w:rStyle w:val="NormalTok"/>
        </w:rPr>
        <w:t xml:space="preserve">errorString = obj.LastError</w:t>
      </w:r>
    </w:p>
    <w:bookmarkEnd w:id="4194"/>
    <w:bookmarkStart w:id="4195" w:name="parameters-and-arguments-120"/>
    <w:p>
      <w:pPr>
        <w:pStyle w:val="Heading2"/>
      </w:pPr>
      <w:r>
        <w:t xml:space="preserve">Parameters and Arguments</w:t>
      </w:r>
    </w:p>
    <w:p>
      <w:pPr>
        <w:pStyle w:val="FirstParagraph"/>
      </w:pPr>
      <w:r>
        <w:t xml:space="preserve">This property is read-only and does not accept any parameters.</w:t>
      </w:r>
    </w:p>
    <w:bookmarkEnd w:id="4195"/>
    <w:bookmarkStart w:id="4196" w:name="return-values-171"/>
    <w:p>
      <w:pPr>
        <w:pStyle w:val="Heading2"/>
      </w:pPr>
      <w:r>
        <w:t xml:space="preserve">Return Values</w:t>
      </w:r>
    </w:p>
    <w:p>
      <w:pPr>
        <w:pStyle w:val="FirstParagraph"/>
      </w:pPr>
      <w:r>
        <w:t xml:space="preserve">Returns a String containing the error message associated with the last failed operation. If no error has occurred, it returns an empty string.</w:t>
      </w:r>
    </w:p>
    <w:bookmarkEnd w:id="4196"/>
    <w:bookmarkStart w:id="4197" w:name="remarks-435"/>
    <w:p>
      <w:pPr>
        <w:pStyle w:val="Heading2"/>
      </w:pPr>
      <w:r>
        <w:t xml:space="preserve">Remarks</w:t>
      </w:r>
    </w:p>
    <w:p>
      <w:pPr>
        <w:pStyle w:val="Compact"/>
        <w:numPr>
          <w:ilvl w:val="0"/>
          <w:numId w:val="2057"/>
        </w:numPr>
      </w:pPr>
      <w:r>
        <w:t xml:space="preserve">This property is useful for diagnostic purposes when a method (like</w:t>
      </w:r>
      <w:r>
        <w:t xml:space="preserve"> </w:t>
      </w:r>
      <w:r>
        <w:rPr>
          <w:rStyle w:val="VerbatimChar"/>
        </w:rPr>
        <w:t xml:space="preserve">CompressFile</w:t>
      </w:r>
      <w:r>
        <w:t xml:space="preserve">) returns</w:t>
      </w:r>
      <w:r>
        <w:t xml:space="preserve"> </w:t>
      </w:r>
      <w:r>
        <w:rPr>
          <w:rStyle w:val="VerbatimChar"/>
        </w:rPr>
        <w:t xml:space="preserve">False</w:t>
      </w:r>
      <w:r>
        <w:t xml:space="preserve">.</w:t>
      </w:r>
    </w:p>
    <w:p>
      <w:pPr>
        <w:pStyle w:val="Compact"/>
        <w:numPr>
          <w:ilvl w:val="0"/>
          <w:numId w:val="2057"/>
        </w:numPr>
      </w:pPr>
      <w:r>
        <w:t xml:space="preserve">The error message is reset when</w:t>
      </w:r>
      <w:r>
        <w:t xml:space="preserve"> </w:t>
      </w:r>
      <w:r>
        <w:rPr>
          <w:rStyle w:val="VerbatimChar"/>
        </w:rPr>
        <w:t xml:space="preserve">Clear</w:t>
      </w:r>
      <w:r>
        <w:t xml:space="preserve"> </w:t>
      </w:r>
      <w:r>
        <w:t xml:space="preserve">is called or when a new operation succeeds.</w:t>
      </w:r>
    </w:p>
    <w:p>
      <w:pPr>
        <w:pStyle w:val="Compact"/>
        <w:numPr>
          <w:ilvl w:val="0"/>
          <w:numId w:val="2057"/>
        </w:numPr>
      </w:pPr>
      <w:r>
        <w:t xml:space="preserve">Runtime exceptions also contain these messages.</w:t>
      </w:r>
    </w:p>
    <w:bookmarkEnd w:id="4197"/>
    <w:bookmarkStart w:id="4198" w:name="code-example-24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Perform an operation that might fail</w:t>
      </w:r>
      <w:r>
        <w:br/>
      </w:r>
      <w:r>
        <w:rPr>
          <w:rStyle w:val="ControlFlowTok"/>
        </w:rPr>
        <w:t xml:space="preserve">If</w:t>
      </w:r>
      <w:r>
        <w:rPr>
          <w:rStyle w:val="NormalTok"/>
        </w:rPr>
        <w:t xml:space="preserve"> </w:t>
      </w:r>
      <w:r>
        <w:rPr>
          <w:rStyle w:val="KeywordTok"/>
        </w:rPr>
        <w:t xml:space="preserve">Not</w:t>
      </w:r>
      <w:r>
        <w:rPr>
          <w:rStyle w:val="NormalTok"/>
        </w:rPr>
        <w:t xml:space="preserve"> objZstd.CompressFile</w:t>
      </w:r>
      <w:r>
        <w:rPr>
          <w:rStyle w:val="OtherTok"/>
        </w:rPr>
        <w:t xml:space="preserve">(</w:t>
      </w:r>
      <w:r>
        <w:rPr>
          <w:rStyle w:val="StringTok"/>
        </w:rPr>
        <w:t xml:space="preserve">"missing_file.txt"</w:t>
      </w:r>
      <w:r>
        <w:rPr>
          <w:rStyle w:val="OtherTok"/>
        </w:rPr>
        <w:t xml:space="preserve">,</w:t>
      </w:r>
      <w:r>
        <w:rPr>
          <w:rStyle w:val="NormalTok"/>
        </w:rPr>
        <w:t xml:space="preserve"> </w:t>
      </w:r>
      <w:r>
        <w:rPr>
          <w:rStyle w:val="StringTok"/>
        </w:rPr>
        <w:t xml:space="preserve">"target.zst"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"Operation failed with error: "</w:t>
      </w:r>
      <w:r>
        <w:rPr>
          <w:rStyle w:val="NormalTok"/>
        </w:rPr>
        <w:t xml:space="preserve"> </w:t>
      </w:r>
      <w:r>
        <w:rPr>
          <w:rStyle w:val="KeywordTok"/>
        </w:rPr>
        <w:t xml:space="preserve">&amp;</w:t>
      </w:r>
      <w:r>
        <w:rPr>
          <w:rStyle w:val="NormalTok"/>
        </w:rPr>
        <w:t xml:space="preserve"> objZstd.LastError</w:t>
      </w:r>
      <w:r>
        <w:br/>
      </w:r>
      <w:r>
        <w:rPr>
          <w:rStyle w:val="ControlFlowTok"/>
        </w:rPr>
        <w:t xml:space="preserve">End If</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198"/>
    <w:bookmarkEnd w:id="4199"/>
    <w:bookmarkStart w:id="4207" w:name="level-property"/>
    <w:p>
      <w:pPr>
        <w:pStyle w:val="Heading1"/>
      </w:pPr>
      <w:r>
        <w:t xml:space="preserve">Level Property</w:t>
      </w:r>
    </w:p>
    <w:bookmarkStart w:id="4200" w:name="overview-467"/>
    <w:p>
      <w:pPr>
        <w:pStyle w:val="Heading2"/>
      </w:pPr>
      <w:r>
        <w:t xml:space="preserve">Overview</w:t>
      </w:r>
    </w:p>
    <w:p>
      <w:pPr>
        <w:pStyle w:val="FirstParagraph"/>
      </w:pPr>
      <w:r>
        <w:t xml:space="preserve">Gets the current default compression level for the G3Pix AxonASP G3ZSTD object.</w:t>
      </w:r>
    </w:p>
    <w:bookmarkEnd w:id="4200"/>
    <w:bookmarkStart w:id="4201" w:name="syntax-452"/>
    <w:p>
      <w:pPr>
        <w:pStyle w:val="Heading2"/>
      </w:pPr>
      <w:r>
        <w:t xml:space="preserve">Syntax</w:t>
      </w:r>
    </w:p>
    <w:p>
      <w:pPr>
        <w:pStyle w:val="SourceCode"/>
      </w:pPr>
      <w:r>
        <w:rPr>
          <w:rStyle w:val="NormalTok"/>
        </w:rPr>
        <w:t xml:space="preserve">currentLevel = obj.Level</w:t>
      </w:r>
    </w:p>
    <w:bookmarkEnd w:id="4201"/>
    <w:bookmarkStart w:id="4202" w:name="parameters-and-arguments-121"/>
    <w:p>
      <w:pPr>
        <w:pStyle w:val="Heading2"/>
      </w:pPr>
      <w:r>
        <w:t xml:space="preserve">Parameters and Arguments</w:t>
      </w:r>
    </w:p>
    <w:p>
      <w:pPr>
        <w:pStyle w:val="FirstParagraph"/>
      </w:pPr>
      <w:r>
        <w:t xml:space="preserve">This property is read-only. To set the level, use the</w:t>
      </w:r>
      <w:r>
        <w:t xml:space="preserve"> </w:t>
      </w:r>
      <w:r>
        <w:rPr>
          <w:rStyle w:val="VerbatimChar"/>
        </w:rPr>
        <w:t xml:space="preserve">SetLevel</w:t>
      </w:r>
      <w:r>
        <w:t xml:space="preserve"> </w:t>
      </w:r>
      <w:r>
        <w:t xml:space="preserve">method.</w:t>
      </w:r>
    </w:p>
    <w:bookmarkEnd w:id="4202"/>
    <w:bookmarkStart w:id="4203" w:name="return-values-172"/>
    <w:p>
      <w:pPr>
        <w:pStyle w:val="Heading2"/>
      </w:pPr>
      <w:r>
        <w:t xml:space="preserve">Return Values</w:t>
      </w:r>
    </w:p>
    <w:p>
      <w:pPr>
        <w:pStyle w:val="FirstParagraph"/>
      </w:pPr>
      <w:r>
        <w:t xml:space="preserve">Returns an Integer representing the current compression level. The range is -5 to 22.</w:t>
      </w:r>
    </w:p>
    <w:bookmarkEnd w:id="4203"/>
    <w:bookmarkStart w:id="4204" w:name="remarks-436"/>
    <w:p>
      <w:pPr>
        <w:pStyle w:val="Heading2"/>
      </w:pPr>
      <w:r>
        <w:t xml:space="preserve">Remarks</w:t>
      </w:r>
    </w:p>
    <w:p>
      <w:pPr>
        <w:pStyle w:val="Compact"/>
        <w:numPr>
          <w:ilvl w:val="0"/>
          <w:numId w:val="2058"/>
        </w:numPr>
      </w:pPr>
      <w:r>
        <w:t xml:space="preserve">This property is an alias for</w:t>
      </w:r>
      <w:r>
        <w:t xml:space="preserve"> </w:t>
      </w:r>
      <w:r>
        <w:rPr>
          <w:rStyle w:val="VerbatimChar"/>
        </w:rPr>
        <w:t xml:space="preserve">CompressionLevel</w:t>
      </w:r>
      <w:r>
        <w:t xml:space="preserve">.</w:t>
      </w:r>
    </w:p>
    <w:p>
      <w:pPr>
        <w:pStyle w:val="Compact"/>
        <w:numPr>
          <w:ilvl w:val="0"/>
          <w:numId w:val="2058"/>
        </w:numPr>
      </w:pPr>
      <w:r>
        <w:t xml:space="preserve">The default compression level is 3.</w:t>
      </w:r>
    </w:p>
    <w:p>
      <w:pPr>
        <w:pStyle w:val="Compact"/>
        <w:numPr>
          <w:ilvl w:val="0"/>
          <w:numId w:val="2058"/>
        </w:numPr>
      </w:pPr>
      <w:r>
        <w:t xml:space="preserve">This level is used for all compression methods unless a level is explicitly provided as an argument.</w:t>
      </w:r>
    </w:p>
    <w:p>
      <w:pPr>
        <w:pStyle w:val="Compact"/>
        <w:numPr>
          <w:ilvl w:val="0"/>
          <w:numId w:val="2058"/>
        </w:numPr>
      </w:pPr>
      <w:r>
        <w:t xml:space="preserve">Zstandard levels: -5 (fastest) up to 22 (best compression).</w:t>
      </w:r>
    </w:p>
    <w:bookmarkEnd w:id="4204"/>
    <w:bookmarkStart w:id="4205" w:name="code-example-24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objZstd</w:t>
      </w:r>
      <w:r>
        <w:br/>
      </w:r>
      <w:r>
        <w:rPr>
          <w:rStyle w:val="KeywordTok"/>
        </w:rPr>
        <w:t xml:space="preserve">Set</w:t>
      </w:r>
      <w:r>
        <w:rPr>
          <w:rStyle w:val="NormalTok"/>
        </w:rPr>
        <w:t xml:space="preserve"> objZstd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"G3ZSTD"</w:t>
      </w:r>
      <w:r>
        <w:rPr>
          <w:rStyle w:val="OtherTok"/>
        </w:rPr>
        <w:t xml:space="preserve">)</w:t>
      </w:r>
      <w:r>
        <w:br/>
      </w:r>
      <w:r>
        <w:br/>
      </w:r>
      <w:r>
        <w:rPr>
          <w:rStyle w:val="CommentTok"/>
        </w:rPr>
        <w:t xml:space="preserve">' Read default level</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"Default level is "</w:t>
      </w:r>
      <w:r>
        <w:rPr>
          <w:rStyle w:val="NormalTok"/>
        </w:rPr>
        <w:t xml:space="preserve"> </w:t>
      </w:r>
      <w:r>
        <w:rPr>
          <w:rStyle w:val="KeywordTok"/>
        </w:rPr>
        <w:t xml:space="preserve">&amp;</w:t>
      </w:r>
      <w:r>
        <w:rPr>
          <w:rStyle w:val="NormalTok"/>
        </w:rPr>
        <w:t xml:space="preserve"> objZstd.Level</w:t>
      </w:r>
      <w:r>
        <w:br/>
      </w:r>
      <w:r>
        <w:br/>
      </w:r>
      <w:r>
        <w:rPr>
          <w:rStyle w:val="CommentTok"/>
        </w:rPr>
        <w:t xml:space="preserve">' Change level</w:t>
      </w:r>
      <w:r>
        <w:br/>
      </w:r>
      <w:r>
        <w:rPr>
          <w:rStyle w:val="NormalTok"/>
        </w:rPr>
        <w:t xml:space="preserve">objZstd.SetLevel</w:t>
      </w:r>
      <w:r>
        <w:rPr>
          <w:rStyle w:val="OtherTok"/>
        </w:rPr>
        <w:t xml:space="preserve">(</w:t>
      </w:r>
      <w:r>
        <w:rPr>
          <w:rStyle w:val="DecValTok"/>
        </w:rPr>
        <w:t xml:space="preserve">15</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"New level is "</w:t>
      </w:r>
      <w:r>
        <w:rPr>
          <w:rStyle w:val="NormalTok"/>
        </w:rPr>
        <w:t xml:space="preserve"> </w:t>
      </w:r>
      <w:r>
        <w:rPr>
          <w:rStyle w:val="KeywordTok"/>
        </w:rPr>
        <w:t xml:space="preserve">&amp;</w:t>
      </w:r>
      <w:r>
        <w:rPr>
          <w:rStyle w:val="NormalTok"/>
        </w:rPr>
        <w:t xml:space="preserve"> objZstd.Level</w:t>
      </w:r>
      <w:r>
        <w:br/>
      </w:r>
      <w:r>
        <w:br/>
      </w:r>
      <w:r>
        <w:rPr>
          <w:rStyle w:val="KeywordTok"/>
        </w:rPr>
        <w:t xml:space="preserve">Set</w:t>
      </w:r>
      <w:r>
        <w:rPr>
          <w:rStyle w:val="NormalTok"/>
        </w:rPr>
        <w:t xml:space="preserve"> objZstd = </w:t>
      </w:r>
      <w:r>
        <w:rPr>
          <w:rStyle w:val="KeywordTok"/>
        </w:rPr>
        <w:t xml:space="preserve">Nothing</w:t>
      </w:r>
      <w:r>
        <w:br/>
      </w:r>
      <w:r>
        <w:rPr>
          <w:rStyle w:val="DataTypeTok"/>
        </w:rPr>
        <w:t xml:space="preserve">%&gt;</w:t>
      </w:r>
    </w:p>
    <w:bookmarkEnd w:id="4205"/>
    <w:bookmarkStart w:id="4206" w:name="g3fc"/>
    <w:p>
      <w:pPr>
        <w:pStyle w:val="Heading2"/>
      </w:pPr>
      <w:r>
        <w:t xml:space="preserve">G3FC</w:t>
      </w:r>
    </w:p>
    <w:bookmarkEnd w:id="4206"/>
    <w:bookmarkEnd w:id="4207"/>
    <w:bookmarkStart w:id="4217" w:name="Xc35b44423cc19de201498eb1646eab27b42898f"/>
    <w:p>
      <w:pPr>
        <w:pStyle w:val="Heading1"/>
      </w:pPr>
      <w:r>
        <w:t xml:space="preserve">Use the G3FC Archive Library in G3Pix AxonASP</w:t>
      </w:r>
    </w:p>
    <w:bookmarkStart w:id="4208" w:name="overview-468"/>
    <w:p>
      <w:pPr>
        <w:pStyle w:val="Heading2"/>
      </w:pPr>
      <w:r>
        <w:t xml:space="preserve">Overview</w:t>
      </w:r>
    </w:p>
    <w:p>
      <w:pPr>
        <w:pStyle w:val="FirstParagraph"/>
      </w:pPr>
      <w:r>
        <w:t xml:space="preserve">Use the G3FC library to create, inspect, search, and extract G3FC archives in G3Pix AxonASP. This page provides a concise API summary for object creation, available methods, and property behavior.</w:t>
      </w:r>
    </w:p>
    <w:bookmarkEnd w:id="4208"/>
    <w:bookmarkStart w:id="4209" w:name="syntax-453"/>
    <w:p>
      <w:pPr>
        <w:pStyle w:val="Heading2"/>
      </w:pPr>
      <w:r>
        <w:t xml:space="preserve">Syntax</w:t>
      </w:r>
    </w:p>
    <w:p>
      <w:pPr>
        <w:pStyle w:val="SourceCode"/>
      </w:pPr>
      <w:r>
        <w:rPr>
          <w:rStyle w:val="NormalTok"/>
        </w:rPr>
        <w:t xml:space="preserve">Dim fc</w:t>
      </w:r>
      <w:r>
        <w:br/>
      </w:r>
      <w:r>
        <w:rPr>
          <w:rStyle w:val="NormalTok"/>
        </w:rPr>
        <w:t xml:space="preserve">Set fc = Server.CreateObject("G3FC")</w:t>
      </w:r>
    </w:p>
    <w:p>
      <w:pPr>
        <w:pStyle w:val="SourceCode"/>
      </w:pPr>
      <w:r>
        <w:rPr>
          <w:rStyle w:val="KeywordTok"/>
        </w:rPr>
        <w:t xml:space="preserve">var</w:t>
      </w:r>
      <w:r>
        <w:rPr>
          <w:rStyle w:val="NormalTok"/>
        </w:rPr>
        <w:t xml:space="preserve"> fc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"G3FC"</w:t>
      </w:r>
      <w:r>
        <w:rPr>
          <w:rStyle w:val="NormalTok"/>
        </w:rPr>
        <w:t xml:space="preserve">)</w:t>
      </w:r>
      <w:r>
        <w:rPr>
          <w:rStyle w:val="OperatorTok"/>
        </w:rPr>
        <w:t xml:space="preserve">;</w:t>
      </w:r>
    </w:p>
    <w:bookmarkEnd w:id="4209"/>
    <w:bookmarkStart w:id="4210" w:name="parameters-and-arguments-122"/>
    <w:p>
      <w:pPr>
        <w:pStyle w:val="Heading2"/>
      </w:pPr>
      <w:r>
        <w:t xml:space="preserve">Parameters and Arguments</w:t>
      </w:r>
    </w:p>
    <w:p>
      <w:pPr>
        <w:pStyle w:val="Compact"/>
        <w:numPr>
          <w:ilvl w:val="0"/>
          <w:numId w:val="2059"/>
        </w:numPr>
      </w:pPr>
      <w:r>
        <w:t xml:space="preserve">ProgID (String, Required):</w:t>
      </w:r>
      <w:r>
        <w:t xml:space="preserve"> </w:t>
      </w:r>
      <w:r>
        <w:rPr>
          <w:rStyle w:val="VerbatimChar"/>
        </w:rPr>
        <w:t xml:space="preserve">G3FC</w:t>
      </w:r>
      <w:r>
        <w:t xml:space="preserve">.</w:t>
      </w:r>
    </w:p>
    <w:p>
      <w:pPr>
        <w:pStyle w:val="Compact"/>
        <w:numPr>
          <w:ilvl w:val="0"/>
          <w:numId w:val="2059"/>
        </w:numPr>
      </w:pPr>
      <w:r>
        <w:t xml:space="preserve">Object variable (Object, Required): Receives the instantiated native G3FC object handle.</w:t>
      </w:r>
    </w:p>
    <w:p>
      <w:pPr>
        <w:pStyle w:val="Compact"/>
        <w:numPr>
          <w:ilvl w:val="0"/>
          <w:numId w:val="2059"/>
        </w:numPr>
      </w:pPr>
      <w:r>
        <w:t xml:space="preserve">Method arguments (Depends on method): Each method validates argument count and argument types at runtime.</w:t>
      </w:r>
    </w:p>
    <w:bookmarkEnd w:id="4210"/>
    <w:bookmarkStart w:id="4211" w:name="return-values-173"/>
    <w:p>
      <w:pPr>
        <w:pStyle w:val="Heading2"/>
      </w:pPr>
      <w:r>
        <w:t xml:space="preserve">Return Values</w:t>
      </w:r>
    </w:p>
    <w:p>
      <w:pPr>
        <w:pStyle w:val="Compact"/>
        <w:numPr>
          <w:ilvl w:val="0"/>
          <w:numId w:val="2060"/>
        </w:numPr>
      </w:pPr>
      <w:r>
        <w:rPr>
          <w:rStyle w:val="VerbatimChar"/>
        </w:rPr>
        <w:t xml:space="preserve">Server.CreateObject("G3FC")</w:t>
      </w:r>
      <w:r>
        <w:t xml:space="preserve"> </w:t>
      </w:r>
      <w:r>
        <w:t xml:space="preserve">returns a native object handle bound to the G3FC implementation.</w:t>
      </w:r>
    </w:p>
    <w:p>
      <w:pPr>
        <w:pStyle w:val="Compact"/>
        <w:numPr>
          <w:ilvl w:val="0"/>
          <w:numId w:val="2060"/>
        </w:numPr>
      </w:pPr>
      <w:r>
        <w:t xml:space="preserve">If object creation fails, the call returns</w:t>
      </w:r>
      <w:r>
        <w:t xml:space="preserve"> </w:t>
      </w:r>
      <w:r>
        <w:rPr>
          <w:rStyle w:val="VerbatimChar"/>
        </w:rPr>
        <w:t xml:space="preserve">Empty</w:t>
      </w:r>
      <w:r>
        <w:t xml:space="preserve"> </w:t>
      </w:r>
      <w:r>
        <w:t xml:space="preserve">and</w:t>
      </w:r>
      <w:r>
        <w:t xml:space="preserve"> </w:t>
      </w:r>
      <w:r>
        <w:rPr>
          <w:rStyle w:val="VerbatimChar"/>
        </w:rPr>
        <w:t xml:space="preserve">Server.GetLastError</w:t>
      </w:r>
      <w:r>
        <w:t xml:space="preserve"> </w:t>
      </w:r>
      <w:r>
        <w:t xml:space="preserve">contains the failure details.</w:t>
      </w:r>
    </w:p>
    <w:bookmarkEnd w:id="4211"/>
    <w:bookmarkStart w:id="4212" w:name="remarks-437"/>
    <w:p>
      <w:pPr>
        <w:pStyle w:val="Heading2"/>
      </w:pPr>
      <w:r>
        <w:t xml:space="preserve">Remarks</w:t>
      </w:r>
    </w:p>
    <w:p>
      <w:pPr>
        <w:pStyle w:val="Compact"/>
        <w:numPr>
          <w:ilvl w:val="0"/>
          <w:numId w:val="2061"/>
        </w:numPr>
      </w:pPr>
      <w:r>
        <w:rPr>
          <w:b/>
          <w:bCs/>
        </w:rPr>
        <w:t xml:space="preserve">Object creation is case-insensitive for supported ProgIDs.</w:t>
      </w:r>
      <w:r>
        <w:t xml:space="preserve"> </w:t>
      </w:r>
      <w:r>
        <w:rPr>
          <w:rStyle w:val="VerbatimChar"/>
        </w:rPr>
        <w:t xml:space="preserve">G3FC</w:t>
      </w:r>
      <w:r>
        <w:t xml:space="preserve">,</w:t>
      </w:r>
      <w:r>
        <w:t xml:space="preserve"> </w:t>
      </w:r>
      <w:r>
        <w:rPr>
          <w:rStyle w:val="VerbatimChar"/>
        </w:rPr>
        <w:t xml:space="preserve">g3fc</w:t>
      </w:r>
      <w:r>
        <w:t xml:space="preserve">, and mixed-case forms resolve to the same native implementation.</w:t>
      </w:r>
    </w:p>
    <w:p>
      <w:pPr>
        <w:pStyle w:val="Compact"/>
        <w:numPr>
          <w:ilvl w:val="0"/>
          <w:numId w:val="2061"/>
        </w:numPr>
      </w:pPr>
      <w:r>
        <w:rPr>
          <w:b/>
          <w:bCs/>
        </w:rPr>
        <w:t xml:space="preserve">Unsupported ProgIDs fall through to host-level CreateObject handling.</w:t>
      </w:r>
      <w:r>
        <w:t xml:space="preserve"> </w:t>
      </w:r>
      <w:r>
        <w:t xml:space="preserve">If the host cannot create the object, AxonASP raises</w:t>
      </w:r>
      <w:r>
        <w:t xml:space="preserve"> </w:t>
      </w:r>
      <w:r>
        <w:rPr>
          <w:rStyle w:val="VerbatimChar"/>
        </w:rPr>
        <w:t xml:space="preserve">AxonASP cannot create object</w:t>
      </w:r>
      <w:r>
        <w:t xml:space="preserve">.</w:t>
      </w:r>
    </w:p>
    <w:p>
      <w:pPr>
        <w:pStyle w:val="Compact"/>
        <w:numPr>
          <w:ilvl w:val="0"/>
          <w:numId w:val="2061"/>
        </w:numPr>
      </w:pPr>
      <w:r>
        <w:rPr>
          <w:b/>
          <w:bCs/>
        </w:rPr>
        <w:t xml:space="preserve">Compatibility aliases are mapped to native AxonASP implementations where available.</w:t>
      </w:r>
      <w:r>
        <w:t xml:space="preserve"> </w:t>
      </w:r>
      <w:r>
        <w:t xml:space="preserve">For G3FC specifically, use the primary ProgID</w:t>
      </w:r>
      <w:r>
        <w:t xml:space="preserve"> </w:t>
      </w:r>
      <w:r>
        <w:rPr>
          <w:rStyle w:val="VerbatimChar"/>
        </w:rPr>
        <w:t xml:space="preserve">G3FC</w:t>
      </w:r>
      <w:r>
        <w:t xml:space="preserve">.</w:t>
      </w:r>
    </w:p>
    <w:p>
      <w:pPr>
        <w:pStyle w:val="Compact"/>
        <w:numPr>
          <w:ilvl w:val="0"/>
          <w:numId w:val="2061"/>
        </w:numPr>
      </w:pPr>
      <w:r>
        <w:rPr>
          <w:b/>
          <w:bCs/>
        </w:rPr>
        <w:t xml:space="preserve">Method names are case-insensitive.</w:t>
      </w:r>
    </w:p>
    <w:p>
      <w:pPr>
        <w:pStyle w:val="Compact"/>
        <w:numPr>
          <w:ilvl w:val="0"/>
          <w:numId w:val="2061"/>
        </w:numPr>
      </w:pPr>
      <w:r>
        <w:t xml:space="preserve">G3FC exposes no dedicated properties. Property-style access is routed to method dispatch.</w:t>
      </w:r>
    </w:p>
    <w:bookmarkEnd w:id="4212"/>
    <w:bookmarkStart w:id="4213" w:name="code-example-250"/>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fc</w:t>
      </w:r>
      <w:r>
        <w:br/>
      </w:r>
      <w:r>
        <w:rPr>
          <w:rStyle w:val="KeywordTok"/>
        </w:rPr>
        <w:t xml:space="preserve">Set</w:t>
      </w:r>
      <w:r>
        <w:rPr>
          <w:rStyle w:val="NormalTok"/>
        </w:rPr>
        <w:t xml:space="preserve"> fc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"G3FC"</w:t>
      </w:r>
      <w:r>
        <w:rPr>
          <w:rStyle w:val="OtherTok"/>
        </w:rPr>
        <w:t xml:space="preserve">)</w:t>
      </w:r>
      <w:r>
        <w:br/>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fc</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"G3FC object created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to create G3FC object."</w:t>
      </w:r>
      <w:r>
        <w:br/>
      </w:r>
      <w:r>
        <w:rPr>
          <w:rStyle w:val="ControlFlowTok"/>
        </w:rPr>
        <w:t xml:space="preserve">End If</w:t>
      </w:r>
      <w:r>
        <w:br/>
      </w:r>
      <w:r>
        <w:br/>
      </w:r>
      <w:r>
        <w:rPr>
          <w:rStyle w:val="KeywordTok"/>
        </w:rPr>
        <w:t xml:space="preserve">Set</w:t>
      </w:r>
      <w:r>
        <w:rPr>
          <w:rStyle w:val="NormalTok"/>
        </w:rPr>
        <w:t xml:space="preserve"> fc = </w:t>
      </w:r>
      <w:r>
        <w:rPr>
          <w:rStyle w:val="KeywordTok"/>
        </w:rPr>
        <w:t xml:space="preserve">Nothing</w:t>
      </w:r>
      <w:r>
        <w:br/>
      </w:r>
      <w:r>
        <w:rPr>
          <w:rStyle w:val="DataTypeTok"/>
        </w:rPr>
        <w:t xml:space="preserve">%&gt;</w:t>
      </w:r>
    </w:p>
    <w:bookmarkEnd w:id="4213"/>
    <w:bookmarkStart w:id="4214" w:name="methods-reference-1"/>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Create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the archive is created successfully; returns</w:t>
            </w:r>
            <w:r>
              <w:t xml:space="preserve"> </w:t>
            </w:r>
            <w:r>
              <w:rPr>
                <w:rStyle w:val="VerbatimChar"/>
              </w:rPr>
              <w:t xml:space="preserve">False</w:t>
            </w:r>
            <w:r>
              <w:t xml:space="preserve"> </w:t>
            </w:r>
            <w:r>
              <w:t xml:space="preserve">when required arguments are missing, path resolution fails, or archive creation fails.</w:t>
            </w:r>
          </w:p>
        </w:tc>
      </w:tr>
      <w:tr>
        <w:tc>
          <w:tcPr/>
          <w:p>
            <w:pPr>
              <w:pStyle w:val="Compact"/>
            </w:pPr>
            <w:r>
              <w:t xml:space="preserve">Extract</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all archive entries are extracted to the target directory; returns</w:t>
            </w:r>
            <w:r>
              <w:t xml:space="preserve"> </w:t>
            </w:r>
            <w:r>
              <w:rPr>
                <w:rStyle w:val="VerbatimChar"/>
              </w:rPr>
              <w:t xml:space="preserve">False</w:t>
            </w:r>
            <w:r>
              <w:t xml:space="preserve"> </w:t>
            </w:r>
            <w:r>
              <w:t xml:space="preserve">when arguments are invalid or extraction fails.</w:t>
            </w:r>
          </w:p>
        </w:tc>
      </w:tr>
      <w:tr>
        <w:tc>
          <w:tcPr/>
          <w:p>
            <w:pPr>
              <w:pStyle w:val="Compact"/>
            </w:pPr>
            <w:r>
              <w:t xml:space="preserve">List</w:t>
            </w:r>
          </w:p>
        </w:tc>
        <w:tc>
          <w:tcPr/>
          <w:p>
            <w:pPr>
              <w:pStyle w:val="Compact"/>
            </w:pPr>
            <w:r>
              <w:t xml:space="preserve">Array of</w:t>
            </w:r>
            <w:r>
              <w:t xml:space="preserve"> </w:t>
            </w:r>
            <w:r>
              <w:rPr>
                <w:rStyle w:val="VerbatimChar"/>
              </w:rPr>
              <w:t xml:space="preserve">Scripting.Dictionary</w:t>
            </w:r>
            <w:r>
              <w:t xml:space="preserve"> </w:t>
            </w:r>
            <w:r>
              <w:t xml:space="preserve">or Empty</w:t>
            </w:r>
          </w:p>
        </w:tc>
        <w:tc>
          <w:tcPr/>
          <w:p>
            <w:pPr>
              <w:pStyle w:val="Compact"/>
            </w:pPr>
            <w:r>
              <w:t xml:space="preserve">Returns an Array where each item is a</w:t>
            </w:r>
            <w:r>
              <w:t xml:space="preserve"> </w:t>
            </w:r>
            <w:r>
              <w:rPr>
                <w:rStyle w:val="VerbatimChar"/>
              </w:rPr>
              <w:t xml:space="preserve">Scripting.Dictionary</w:t>
            </w:r>
            <w:r>
              <w:t xml:space="preserve"> </w:t>
            </w:r>
            <w:r>
              <w:t xml:space="preserve">describing one archive entry (for example, path and size metadata). Returns</w:t>
            </w:r>
            <w:r>
              <w:t xml:space="preserve"> </w:t>
            </w:r>
            <w:r>
              <w:rPr>
                <w:rStyle w:val="VerbatimChar"/>
              </w:rPr>
              <w:t xml:space="preserve">Empty</w:t>
            </w:r>
            <w:r>
              <w:t xml:space="preserve"> </w:t>
            </w:r>
            <w:r>
              <w:t xml:space="preserve">when arguments are invalid or archive reading fails.</w:t>
            </w:r>
          </w:p>
        </w:tc>
      </w:tr>
      <w:tr>
        <w:tc>
          <w:tcPr/>
          <w:p>
            <w:pPr>
              <w:pStyle w:val="Compact"/>
            </w:pPr>
            <w:r>
              <w:t xml:space="preserve">Info</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metadata export to the output file completes; returns</w:t>
            </w:r>
            <w:r>
              <w:t xml:space="preserve"> </w:t>
            </w:r>
            <w:r>
              <w:rPr>
                <w:rStyle w:val="VerbatimChar"/>
              </w:rPr>
              <w:t xml:space="preserve">False</w:t>
            </w:r>
            <w:r>
              <w:t xml:space="preserve"> </w:t>
            </w:r>
            <w:r>
              <w:t xml:space="preserve">when arguments are invalid or metadata export fails.</w:t>
            </w:r>
          </w:p>
        </w:tc>
      </w:tr>
      <w:tr>
        <w:tc>
          <w:tcPr/>
          <w:p>
            <w:pPr>
              <w:pStyle w:val="Compact"/>
            </w:pPr>
            <w:r>
              <w:t xml:space="preserve">Find</w:t>
            </w:r>
          </w:p>
        </w:tc>
        <w:tc>
          <w:tcPr/>
          <w:p>
            <w:pPr>
              <w:pStyle w:val="Compact"/>
            </w:pPr>
            <w:r>
              <w:t xml:space="preserve">Array of</w:t>
            </w:r>
            <w:r>
              <w:t xml:space="preserve"> </w:t>
            </w:r>
            <w:r>
              <w:rPr>
                <w:rStyle w:val="VerbatimChar"/>
              </w:rPr>
              <w:t xml:space="preserve">Scripting.Dictionary</w:t>
            </w:r>
            <w:r>
              <w:t xml:space="preserve"> </w:t>
            </w:r>
            <w:r>
              <w:t xml:space="preserve">or Empty</w:t>
            </w:r>
          </w:p>
        </w:tc>
        <w:tc>
          <w:tcPr/>
          <w:p>
            <w:pPr>
              <w:pStyle w:val="Compact"/>
            </w:pPr>
            <w:r>
              <w:t xml:space="preserve">Returns an Array where each item is a</w:t>
            </w:r>
            <w:r>
              <w:t xml:space="preserve"> </w:t>
            </w:r>
            <w:r>
              <w:rPr>
                <w:rStyle w:val="VerbatimChar"/>
              </w:rPr>
              <w:t xml:space="preserve">Scripting.Dictionary</w:t>
            </w:r>
            <w:r>
              <w:t xml:space="preserve"> </w:t>
            </w:r>
            <w:r>
              <w:t xml:space="preserve">for an entry matched by substring or regular expression. Returns</w:t>
            </w:r>
            <w:r>
              <w:t xml:space="preserve"> </w:t>
            </w:r>
            <w:r>
              <w:rPr>
                <w:rStyle w:val="VerbatimChar"/>
              </w:rPr>
              <w:t xml:space="preserve">Empty</w:t>
            </w:r>
            <w:r>
              <w:t xml:space="preserve"> </w:t>
            </w:r>
            <w:r>
              <w:t xml:space="preserve">when arguments are invalid or search/read fails.</w:t>
            </w:r>
          </w:p>
        </w:tc>
      </w:tr>
      <w:tr>
        <w:tc>
          <w:tcPr/>
          <w:p>
            <w:pPr>
              <w:pStyle w:val="Compact"/>
            </w:pPr>
            <w:r>
              <w:t xml:space="preserve">ExtractSingle</w:t>
            </w:r>
          </w:p>
        </w:tc>
        <w:tc>
          <w:tcPr/>
          <w:p>
            <w:pPr>
              <w:pStyle w:val="Compact"/>
            </w:pPr>
            <w:r>
              <w:t xml:space="preserve">Boolean</w:t>
            </w:r>
          </w:p>
        </w:tc>
        <w:tc>
          <w:tcPr/>
          <w:p>
            <w:pPr>
              <w:pStyle w:val="Compact"/>
            </w:pPr>
            <w:r>
              <w:t xml:space="preserve">Returns</w:t>
            </w:r>
            <w:r>
              <w:t xml:space="preserve"> </w:t>
            </w:r>
            <w:r>
              <w:rPr>
                <w:rStyle w:val="VerbatimChar"/>
              </w:rPr>
              <w:t xml:space="preserve">True</w:t>
            </w:r>
            <w:r>
              <w:t xml:space="preserve"> </w:t>
            </w:r>
            <w:r>
              <w:t xml:space="preserve">when the requested single entry is extracted to the target path; returns</w:t>
            </w:r>
            <w:r>
              <w:t xml:space="preserve"> </w:t>
            </w:r>
            <w:r>
              <w:rPr>
                <w:rStyle w:val="VerbatimChar"/>
              </w:rPr>
              <w:t xml:space="preserve">False</w:t>
            </w:r>
            <w:r>
              <w:t xml:space="preserve"> </w:t>
            </w:r>
            <w:r>
              <w:t xml:space="preserve">when arguments are invalid, the entry does not exist, or extraction fails.</w:t>
            </w:r>
          </w:p>
        </w:tc>
      </w:tr>
    </w:tbl>
    <w:bookmarkEnd w:id="4214"/>
    <w:bookmarkStart w:id="4215" w:name="properties-reference-1"/>
    <w:p>
      <w:pPr>
        <w:pStyle w:val="Heading2"/>
      </w:pPr>
      <w:r>
        <w:t xml:space="preserve">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None</w:t>
            </w:r>
          </w:p>
        </w:tc>
        <w:tc>
          <w:tcPr/>
          <w:p>
            <w:pPr>
              <w:pStyle w:val="Compact"/>
            </w:pPr>
            <w:r>
              <w:t xml:space="preserve">Not applicable</w:t>
            </w:r>
          </w:p>
        </w:tc>
        <w:tc>
          <w:tcPr/>
          <w:p>
            <w:pPr>
              <w:pStyle w:val="Compact"/>
            </w:pPr>
            <w:r>
              <w:t xml:space="preserve">Not applicable</w:t>
            </w:r>
          </w:p>
        </w:tc>
        <w:tc>
          <w:tcPr/>
          <w:p>
            <w:pPr>
              <w:pStyle w:val="Compact"/>
            </w:pPr>
            <w:r>
              <w:t xml:space="preserve">G3FC does not expose dedicated properties. Use method calls for all operations.</w:t>
            </w:r>
          </w:p>
        </w:tc>
      </w:tr>
    </w:tbl>
    <w:bookmarkEnd w:id="4215"/>
    <w:bookmarkStart w:id="4216" w:name="api-reference-159"/>
    <w:p>
      <w:pPr>
        <w:pStyle w:val="Heading2"/>
      </w:pPr>
      <w:r>
        <w:t xml:space="preserve">API Reference</w:t>
      </w:r>
    </w:p>
    <w:p>
      <w:pPr>
        <w:pStyle w:val="Compact"/>
        <w:numPr>
          <w:ilvl w:val="0"/>
          <w:numId w:val="2062"/>
        </w:numPr>
      </w:pPr>
      <w:r>
        <w:t xml:space="preserve">Object creation:</w:t>
      </w:r>
      <w:r>
        <w:t xml:space="preserve"> </w:t>
      </w:r>
      <w:r>
        <w:rPr>
          <w:rStyle w:val="VerbatimChar"/>
        </w:rPr>
        <w:t xml:space="preserve">Server.CreateObject("G3FC")</w:t>
      </w:r>
    </w:p>
    <w:p>
      <w:pPr>
        <w:pStyle w:val="Compact"/>
        <w:numPr>
          <w:ilvl w:val="0"/>
          <w:numId w:val="2062"/>
        </w:numPr>
      </w:pPr>
      <w:r>
        <w:t xml:space="preserve">Method aliases:</w:t>
      </w:r>
      <w:r>
        <w:t xml:space="preserve"> </w:t>
      </w:r>
      <w:r>
        <w:rPr>
          <w:rStyle w:val="VerbatimChar"/>
        </w:rPr>
        <w:t xml:space="preserve">ExtractSingle</w:t>
      </w:r>
      <w:r>
        <w:t xml:space="preserve"> </w:t>
      </w:r>
      <w:r>
        <w:t xml:space="preserve">also accepts</w:t>
      </w:r>
      <w:r>
        <w:t xml:space="preserve"> </w:t>
      </w:r>
      <w:r>
        <w:rPr>
          <w:rStyle w:val="VerbatimChar"/>
        </w:rPr>
        <w:t xml:space="preserve">extract-single</w:t>
      </w:r>
      <w:r>
        <w:t xml:space="preserve"> </w:t>
      </w:r>
      <w:r>
        <w:t xml:space="preserve">and</w:t>
      </w:r>
      <w:r>
        <w:t xml:space="preserve"> </w:t>
      </w:r>
      <w:r>
        <w:rPr>
          <w:rStyle w:val="VerbatimChar"/>
        </w:rPr>
        <w:t xml:space="preserve">extract_single</w:t>
      </w:r>
    </w:p>
    <w:p>
      <w:pPr>
        <w:pStyle w:val="Compact"/>
        <w:numPr>
          <w:ilvl w:val="0"/>
          <w:numId w:val="2062"/>
        </w:numPr>
      </w:pPr>
      <w:r>
        <w:t xml:space="preserve">Member resolution: case-insensitive dispatch for methods and property-style calls</w:t>
      </w:r>
    </w:p>
    <w:bookmarkEnd w:id="4216"/>
    <w:bookmarkEnd w:id="4217"/>
    <w:bookmarkStart w:id="4221" w:name="g3fc-methods"/>
    <w:p>
      <w:pPr>
        <w:pStyle w:val="Heading1"/>
      </w:pPr>
      <w:r>
        <w:t xml:space="preserve">G3FC Methods</w:t>
      </w:r>
    </w:p>
    <w:bookmarkStart w:id="4218" w:name="overview-469"/>
    <w:p>
      <w:pPr>
        <w:pStyle w:val="Heading2"/>
      </w:pPr>
      <w:r>
        <w:t xml:space="preserve">Overview</w:t>
      </w:r>
    </w:p>
    <w:p>
      <w:pPr>
        <w:pStyle w:val="FirstParagraph"/>
      </w:pPr>
      <w:r>
        <w:t xml:space="preserve">This page summarizes every method exposed by G3FC in G3Pix AxonASP.</w:t>
      </w:r>
    </w:p>
    <w:bookmarkEnd w:id="4218"/>
    <w:bookmarkStart w:id="4219" w:name="methods-reference-2"/>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Create(archivePath, sourcePaths [, password] [, options])</w:t>
            </w:r>
          </w:p>
        </w:tc>
        <w:tc>
          <w:tcPr/>
          <w:p>
            <w:pPr>
              <w:pStyle w:val="Compact"/>
            </w:pPr>
            <w:r>
              <w:t xml:space="preserve">Boolean</w:t>
            </w:r>
          </w:p>
        </w:tc>
        <w:tc>
          <w:tcPr/>
          <w:p>
            <w:pPr>
              <w:pStyle w:val="Compact"/>
            </w:pPr>
            <w:r>
              <w:t xml:space="preserve">Returns True when the archive is created successfully. Returns False on invalid arguments, invalid output path resolution, empty resolved source set, or archive creation failure.</w:t>
            </w:r>
          </w:p>
        </w:tc>
      </w:tr>
      <w:tr>
        <w:tc>
          <w:tcPr/>
          <w:p>
            <w:pPr>
              <w:pStyle w:val="Compact"/>
            </w:pPr>
            <w:r>
              <w:t xml:space="preserve">Extract(archivePath, outputFolder [, password])</w:t>
            </w:r>
          </w:p>
        </w:tc>
        <w:tc>
          <w:tcPr/>
          <w:p>
            <w:pPr>
              <w:pStyle w:val="Compact"/>
            </w:pPr>
            <w:r>
              <w:t xml:space="preserve">Boolean</w:t>
            </w:r>
          </w:p>
        </w:tc>
        <w:tc>
          <w:tcPr/>
          <w:p>
            <w:pPr>
              <w:pStyle w:val="Compact"/>
            </w:pPr>
            <w:r>
              <w:t xml:space="preserve">Returns True when all entries are extracted successfully. Returns False on invalid arguments, invalid path resolution, or extraction failure.</w:t>
            </w:r>
          </w:p>
        </w:tc>
      </w:tr>
      <w:tr>
        <w:tc>
          <w:tcPr/>
          <w:p>
            <w:pPr>
              <w:pStyle w:val="Compact"/>
            </w:pPr>
            <w:r>
              <w:t xml:space="preserve">List(archivePath [, password] [, unit] [, details])</w:t>
            </w:r>
          </w:p>
        </w:tc>
        <w:tc>
          <w:tcPr/>
          <w:p>
            <w:pPr>
              <w:pStyle w:val="Compact"/>
            </w:pPr>
            <w:r>
              <w:t xml:space="preserve">Array of Scripting.Dictionary or Empty</w:t>
            </w:r>
          </w:p>
        </w:tc>
        <w:tc>
          <w:tcPr/>
          <w:p>
            <w:pPr>
              <w:pStyle w:val="Compact"/>
            </w:pPr>
            <w:r>
              <w:t xml:space="preserve">Returns a zero-based Array of Dictionary entries with Path, Size, FormattedSize, and Type keys. When details=True, each Dictionary also includes Permissions, CreationTime, and Checksum. Returns Empty when arguments are invalid, path resolution fails, or index read fails.</w:t>
            </w:r>
          </w:p>
        </w:tc>
      </w:tr>
      <w:tr>
        <w:tc>
          <w:tcPr/>
          <w:p>
            <w:pPr>
              <w:pStyle w:val="Compact"/>
            </w:pPr>
            <w:r>
              <w:t xml:space="preserve">Info(archivePath, outputFilePath [, password])</w:t>
            </w:r>
          </w:p>
        </w:tc>
        <w:tc>
          <w:tcPr/>
          <w:p>
            <w:pPr>
              <w:pStyle w:val="Compact"/>
            </w:pPr>
            <w:r>
              <w:t xml:space="preserve">Boolean</w:t>
            </w:r>
          </w:p>
        </w:tc>
        <w:tc>
          <w:tcPr/>
          <w:p>
            <w:pPr>
              <w:pStyle w:val="Compact"/>
            </w:pPr>
            <w:r>
              <w:t xml:space="preserve">Returns True when archive metadata is exported to the output file. Returns False on invalid arguments, invalid path resolution, or export failure.</w:t>
            </w:r>
          </w:p>
        </w:tc>
      </w:tr>
      <w:tr>
        <w:tc>
          <w:tcPr/>
          <w:p>
            <w:pPr>
              <w:pStyle w:val="Compact"/>
            </w:pPr>
            <w:r>
              <w:t xml:space="preserve">Find(archivePath, pattern [, password] [, useRegex])</w:t>
            </w:r>
          </w:p>
        </w:tc>
        <w:tc>
          <w:tcPr/>
          <w:p>
            <w:pPr>
              <w:pStyle w:val="Compact"/>
            </w:pPr>
            <w:r>
              <w:t xml:space="preserve">Array of Scripting.Dictionary or Empty</w:t>
            </w:r>
          </w:p>
        </w:tc>
        <w:tc>
          <w:tcPr/>
          <w:p>
            <w:pPr>
              <w:pStyle w:val="Compact"/>
            </w:pPr>
            <w:r>
              <w:t xml:space="preserve">Returns a zero-based Array of Dictionary entries for matches, each with Path and Size keys. Returns Empty when arguments are invalid, path resolution fails, or index read fails.</w:t>
            </w:r>
          </w:p>
        </w:tc>
      </w:tr>
      <w:tr>
        <w:tc>
          <w:tcPr/>
          <w:p>
            <w:pPr>
              <w:pStyle w:val="Compact"/>
            </w:pPr>
            <w:r>
              <w:t xml:space="preserve">ExtractSingle(archivePath, entryPath, outputFilePath [, password])</w:t>
            </w:r>
          </w:p>
        </w:tc>
        <w:tc>
          <w:tcPr/>
          <w:p>
            <w:pPr>
              <w:pStyle w:val="Compact"/>
            </w:pPr>
            <w:r>
              <w:t xml:space="preserve">Boolean</w:t>
            </w:r>
          </w:p>
        </w:tc>
        <w:tc>
          <w:tcPr/>
          <w:p>
            <w:pPr>
              <w:pStyle w:val="Compact"/>
            </w:pPr>
            <w:r>
              <w:t xml:space="preserve">Returns True when one specific entry is extracted successfully. Returns False on invalid arguments, invalid path resolution, missing entry, or extraction failure.</w:t>
            </w:r>
          </w:p>
        </w:tc>
      </w:tr>
    </w:tbl>
    <w:bookmarkEnd w:id="4219"/>
    <w:bookmarkStart w:id="4220" w:name="remarks-438"/>
    <w:p>
      <w:pPr>
        <w:pStyle w:val="Heading2"/>
      </w:pPr>
      <w:r>
        <w:t xml:space="preserve">Remarks</w:t>
      </w:r>
    </w:p>
    <w:p>
      <w:pPr>
        <w:pStyle w:val="Compact"/>
        <w:numPr>
          <w:ilvl w:val="0"/>
          <w:numId w:val="2063"/>
        </w:numPr>
      </w:pPr>
      <w:r>
        <w:t xml:space="preserve">Method names are case-insensitive.</w:t>
      </w:r>
    </w:p>
    <w:p>
      <w:pPr>
        <w:pStyle w:val="Compact"/>
        <w:numPr>
          <w:ilvl w:val="0"/>
          <w:numId w:val="2063"/>
        </w:numPr>
      </w:pPr>
      <w:r>
        <w:t xml:space="preserve">ExtractSingle also accepts aliases extract-single and extract_single.</w:t>
      </w:r>
    </w:p>
    <w:p>
      <w:pPr>
        <w:pStyle w:val="Compact"/>
        <w:numPr>
          <w:ilvl w:val="0"/>
          <w:numId w:val="2063"/>
        </w:numPr>
      </w:pPr>
      <w:r>
        <w:t xml:space="preserve">Array-returning methods return Empty on validation/read failures and do not return partial scalar fallback values.</w:t>
      </w:r>
    </w:p>
    <w:bookmarkEnd w:id="4220"/>
    <w:bookmarkEnd w:id="4221"/>
    <w:bookmarkStart w:id="4226" w:name="g3fc-properties"/>
    <w:p>
      <w:pPr>
        <w:pStyle w:val="Heading1"/>
      </w:pPr>
      <w:r>
        <w:t xml:space="preserve">G3FC Properties</w:t>
      </w:r>
    </w:p>
    <w:bookmarkStart w:id="4222" w:name="overview-470"/>
    <w:p>
      <w:pPr>
        <w:pStyle w:val="Heading2"/>
      </w:pPr>
      <w:r>
        <w:t xml:space="preserve">Overview</w:t>
      </w:r>
    </w:p>
    <w:p>
      <w:pPr>
        <w:pStyle w:val="FirstParagraph"/>
      </w:pPr>
      <w:r>
        <w:t xml:space="preserve">This page summarizes property behavior for G3FC in G3Pix AxonASP.</w:t>
      </w:r>
    </w:p>
    <w:bookmarkEnd w:id="4222"/>
    <w:bookmarkStart w:id="4223" w:name="properties-reference-2"/>
    <w:p>
      <w:pPr>
        <w:pStyle w:val="Heading2"/>
      </w:pPr>
      <w:r>
        <w:t xml:space="preserve">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None</w:t>
            </w:r>
          </w:p>
        </w:tc>
        <w:tc>
          <w:tcPr/>
          <w:p>
            <w:pPr>
              <w:pStyle w:val="Compact"/>
            </w:pPr>
            <w:r>
              <w:t xml:space="preserve">Not applicable</w:t>
            </w:r>
          </w:p>
        </w:tc>
        <w:tc>
          <w:tcPr/>
          <w:p>
            <w:pPr>
              <w:pStyle w:val="Compact"/>
            </w:pPr>
            <w:r>
              <w:t xml:space="preserve">Not applicable</w:t>
            </w:r>
          </w:p>
        </w:tc>
        <w:tc>
          <w:tcPr/>
          <w:p>
            <w:pPr>
              <w:pStyle w:val="Compact"/>
            </w:pPr>
            <w:r>
              <w:t xml:space="preserve">G3FC does not define persistent object properties. Any property-style access is dispatched as a method name lookup. Unknown members return Empty.</w:t>
            </w:r>
          </w:p>
        </w:tc>
      </w:tr>
    </w:tbl>
    <w:bookmarkEnd w:id="4223"/>
    <w:bookmarkStart w:id="4225" w:name="remarks-439"/>
    <w:p>
      <w:pPr>
        <w:pStyle w:val="Heading2"/>
      </w:pPr>
      <w:r>
        <w:t xml:space="preserve">Remarks</w:t>
      </w:r>
    </w:p>
    <w:p>
      <w:pPr>
        <w:pStyle w:val="Compact"/>
        <w:numPr>
          <w:ilvl w:val="0"/>
          <w:numId w:val="2064"/>
        </w:numPr>
      </w:pPr>
      <w:r>
        <w:t xml:space="preserve">Use the methods listed on the methods page for all operations.</w:t>
      </w:r>
    </w:p>
    <w:bookmarkStart w:id="4224" w:name="methods-detail-15"/>
    <w:p>
      <w:pPr>
        <w:pStyle w:val="Heading3"/>
      </w:pPr>
      <w:r>
        <w:t xml:space="preserve">Methods Detail</w:t>
      </w:r>
    </w:p>
    <w:bookmarkEnd w:id="4224"/>
    <w:bookmarkEnd w:id="4225"/>
    <w:bookmarkEnd w:id="4226"/>
    <w:bookmarkStart w:id="4233" w:name="create-method-2"/>
    <w:p>
      <w:pPr>
        <w:pStyle w:val="Heading1"/>
      </w:pPr>
      <w:r>
        <w:t xml:space="preserve">Create Method</w:t>
      </w:r>
    </w:p>
    <w:bookmarkStart w:id="4227" w:name="overview-471"/>
    <w:p>
      <w:pPr>
        <w:pStyle w:val="Heading2"/>
      </w:pPr>
      <w:r>
        <w:t xml:space="preserve">Overview</w:t>
      </w:r>
    </w:p>
    <w:p>
      <w:pPr>
        <w:pStyle w:val="FirstParagraph"/>
      </w:pPr>
      <w:r>
        <w:t xml:space="preserve">Create a new G3FC archive from one file path or multiple source paths.</w:t>
      </w:r>
    </w:p>
    <w:bookmarkEnd w:id="4227"/>
    <w:bookmarkStart w:id="4228" w:name="syntax-454"/>
    <w:p>
      <w:pPr>
        <w:pStyle w:val="Heading2"/>
      </w:pPr>
      <w:r>
        <w:t xml:space="preserve">Syntax</w:t>
      </w:r>
    </w:p>
    <w:p>
      <w:pPr>
        <w:pStyle w:val="SourceCode"/>
      </w:pPr>
      <w:r>
        <w:rPr>
          <w:rStyle w:val="NormalTok"/>
        </w:rPr>
        <w:t xml:space="preserve">result = fc.Create(archivePath, sourcePaths [, password] [, options])</w:t>
      </w:r>
    </w:p>
    <w:bookmarkEnd w:id="4228"/>
    <w:bookmarkStart w:id="4229" w:name="parameters-and-arguments-123"/>
    <w:p>
      <w:pPr>
        <w:pStyle w:val="Heading2"/>
      </w:pPr>
      <w:r>
        <w:t xml:space="preserve">Parameters and Arguments</w:t>
      </w:r>
    </w:p>
    <w:p>
      <w:pPr>
        <w:pStyle w:val="Compact"/>
        <w:numPr>
          <w:ilvl w:val="0"/>
          <w:numId w:val="2065"/>
        </w:numPr>
      </w:pPr>
      <w:r>
        <w:t xml:space="preserve">archivePath (String, Required): Output</w:t>
      </w:r>
      <w:r>
        <w:t xml:space="preserve"> </w:t>
      </w:r>
      <w:r>
        <w:rPr>
          <w:rStyle w:val="VerbatimChar"/>
        </w:rPr>
        <w:t xml:space="preserve">.g3fc</w:t>
      </w:r>
      <w:r>
        <w:t xml:space="preserve"> </w:t>
      </w:r>
      <w:r>
        <w:t xml:space="preserve">file path. The path is resolved through the current ASP host root.</w:t>
      </w:r>
    </w:p>
    <w:p>
      <w:pPr>
        <w:pStyle w:val="Compact"/>
        <w:numPr>
          <w:ilvl w:val="0"/>
          <w:numId w:val="2065"/>
        </w:numPr>
      </w:pPr>
      <w:r>
        <w:t xml:space="preserve">sourcePaths (String or Array, Required): Source input. Pass one path as String, or pass a VBScript Array of paths.</w:t>
      </w:r>
    </w:p>
    <w:p>
      <w:pPr>
        <w:pStyle w:val="Compact"/>
        <w:numPr>
          <w:ilvl w:val="0"/>
          <w:numId w:val="2065"/>
        </w:numPr>
      </w:pPr>
      <w:r>
        <w:t xml:space="preserve">password (String, Optional): Read password written into the archive configuration. When non-empty, encryption mode is enabled.</w:t>
      </w:r>
    </w:p>
    <w:p>
      <w:pPr>
        <w:pStyle w:val="Compact"/>
        <w:numPr>
          <w:ilvl w:val="0"/>
          <w:numId w:val="2065"/>
        </w:numPr>
      </w:pPr>
      <w:r>
        <w:t xml:space="preserve">options (Scripting.Dictionary, Optional): Configuration Dictionary. Supported keys:</w:t>
      </w:r>
    </w:p>
    <w:p>
      <w:pPr>
        <w:pStyle w:val="Compact"/>
        <w:numPr>
          <w:ilvl w:val="1"/>
          <w:numId w:val="2066"/>
        </w:numPr>
      </w:pPr>
      <w:r>
        <w:rPr>
          <w:rStyle w:val="VerbatimChar"/>
        </w:rPr>
        <w:t xml:space="preserve">CompressionLevel</w:t>
      </w:r>
      <w:r>
        <w:t xml:space="preserve"> </w:t>
      </w:r>
      <w:r>
        <w:t xml:space="preserve">(Integer): Zstandard compression level. Default is</w:t>
      </w:r>
      <w:r>
        <w:t xml:space="preserve"> </w:t>
      </w:r>
      <w:r>
        <w:rPr>
          <w:rStyle w:val="VerbatimChar"/>
        </w:rPr>
        <w:t xml:space="preserve">6</w:t>
      </w:r>
      <w:r>
        <w:t xml:space="preserve">.</w:t>
      </w:r>
    </w:p>
    <w:p>
      <w:pPr>
        <w:pStyle w:val="Compact"/>
        <w:numPr>
          <w:ilvl w:val="1"/>
          <w:numId w:val="2066"/>
        </w:numPr>
      </w:pPr>
      <w:r>
        <w:rPr>
          <w:rStyle w:val="VerbatimChar"/>
        </w:rPr>
        <w:t xml:space="preserve">GlobalCompression</w:t>
      </w:r>
      <w:r>
        <w:t xml:space="preserve"> </w:t>
      </w:r>
      <w:r>
        <w:t xml:space="preserve">(Boolean): If</w:t>
      </w:r>
      <w:r>
        <w:t xml:space="preserve"> </w:t>
      </w:r>
      <w:r>
        <w:rPr>
          <w:rStyle w:val="VerbatimChar"/>
        </w:rPr>
        <w:t xml:space="preserve">True</w:t>
      </w:r>
      <w:r>
        <w:t xml:space="preserve">, keeps file blocks uncompressed and uses global compression mode.</w:t>
      </w:r>
    </w:p>
    <w:p>
      <w:pPr>
        <w:pStyle w:val="Compact"/>
        <w:numPr>
          <w:ilvl w:val="1"/>
          <w:numId w:val="2066"/>
        </w:numPr>
      </w:pPr>
      <w:r>
        <w:rPr>
          <w:rStyle w:val="VerbatimChar"/>
        </w:rPr>
        <w:t xml:space="preserve">FECLevel</w:t>
      </w:r>
      <w:r>
        <w:t xml:space="preserve"> </w:t>
      </w:r>
      <w:r>
        <w:t xml:space="preserve">(Integer): Forward error correction level. Values greater than</w:t>
      </w:r>
      <w:r>
        <w:t xml:space="preserve"> </w:t>
      </w:r>
      <w:r>
        <w:rPr>
          <w:rStyle w:val="VerbatimChar"/>
        </w:rPr>
        <w:t xml:space="preserve">0</w:t>
      </w:r>
      <w:r>
        <w:t xml:space="preserve"> </w:t>
      </w:r>
      <w:r>
        <w:t xml:space="preserve">enable FEC.</w:t>
      </w:r>
    </w:p>
    <w:p>
      <w:pPr>
        <w:pStyle w:val="Compact"/>
        <w:numPr>
          <w:ilvl w:val="1"/>
          <w:numId w:val="2066"/>
        </w:numPr>
      </w:pPr>
      <w:r>
        <w:rPr>
          <w:rStyle w:val="VerbatimChar"/>
        </w:rPr>
        <w:t xml:space="preserve">SplitSize</w:t>
      </w:r>
      <w:r>
        <w:t xml:space="preserve"> </w:t>
      </w:r>
      <w:r>
        <w:t xml:space="preserve">(String): Segment size in</w:t>
      </w:r>
      <w:r>
        <w:t xml:space="preserve"> </w:t>
      </w:r>
      <w:r>
        <w:rPr>
          <w:rStyle w:val="VerbatimChar"/>
        </w:rPr>
        <w:t xml:space="preserve">MB</w:t>
      </w:r>
      <w:r>
        <w:t xml:space="preserve"> </w:t>
      </w:r>
      <w:r>
        <w:t xml:space="preserve">or</w:t>
      </w:r>
      <w:r>
        <w:t xml:space="preserve"> </w:t>
      </w:r>
      <w:r>
        <w:rPr>
          <w:rStyle w:val="VerbatimChar"/>
        </w:rPr>
        <w:t xml:space="preserve">GB</w:t>
      </w:r>
      <w:r>
        <w:t xml:space="preserve"> </w:t>
      </w:r>
      <w:r>
        <w:t xml:space="preserve">format (example:</w:t>
      </w:r>
      <w:r>
        <w:t xml:space="preserve"> </w:t>
      </w:r>
      <w:r>
        <w:rPr>
          <w:rStyle w:val="VerbatimChar"/>
        </w:rPr>
        <w:t xml:space="preserve">100MB</w:t>
      </w:r>
      <w:r>
        <w:t xml:space="preserve">,</w:t>
      </w:r>
      <w:r>
        <w:t xml:space="preserve"> </w:t>
      </w:r>
      <w:r>
        <w:rPr>
          <w:rStyle w:val="VerbatimChar"/>
        </w:rPr>
        <w:t xml:space="preserve">1GB</w:t>
      </w:r>
      <w:r>
        <w:t xml:space="preserve">).</w:t>
      </w:r>
    </w:p>
    <w:bookmarkEnd w:id="4229"/>
    <w:bookmarkStart w:id="4230" w:name="return-values-174"/>
    <w:p>
      <w:pPr>
        <w:pStyle w:val="Heading2"/>
      </w:pPr>
      <w:r>
        <w:t xml:space="preserve">Return Values</w:t>
      </w:r>
    </w:p>
    <w:p>
      <w:pPr>
        <w:pStyle w:val="Compact"/>
        <w:numPr>
          <w:ilvl w:val="0"/>
          <w:numId w:val="2067"/>
        </w:numPr>
      </w:pPr>
      <w:r>
        <w:t xml:space="preserve">Returns</w:t>
      </w:r>
      <w:r>
        <w:t xml:space="preserve"> </w:t>
      </w:r>
      <w:r>
        <w:rPr>
          <w:rStyle w:val="VerbatimChar"/>
        </w:rPr>
        <w:t xml:space="preserve">True</w:t>
      </w:r>
      <w:r>
        <w:t xml:space="preserve"> </w:t>
      </w:r>
      <w:r>
        <w:t xml:space="preserve">when archive creation completes successfully.</w:t>
      </w:r>
    </w:p>
    <w:p>
      <w:pPr>
        <w:pStyle w:val="Compact"/>
        <w:numPr>
          <w:ilvl w:val="0"/>
          <w:numId w:val="2067"/>
        </w:numPr>
      </w:pPr>
      <w:r>
        <w:t xml:space="preserve">Returns</w:t>
      </w:r>
      <w:r>
        <w:t xml:space="preserve"> </w:t>
      </w:r>
      <w:r>
        <w:rPr>
          <w:rStyle w:val="VerbatimChar"/>
        </w:rPr>
        <w:t xml:space="preserve">False</w:t>
      </w:r>
      <w:r>
        <w:t xml:space="preserve"> </w:t>
      </w:r>
      <w:r>
        <w:t xml:space="preserve">when any required argument is missing, output path resolution fails, no valid source files are resolved, or archive creation fails.</w:t>
      </w:r>
    </w:p>
    <w:bookmarkEnd w:id="4230"/>
    <w:bookmarkStart w:id="4231" w:name="remarks-440"/>
    <w:p>
      <w:pPr>
        <w:pStyle w:val="Heading2"/>
      </w:pPr>
      <w:r>
        <w:t xml:space="preserve">Remarks</w:t>
      </w:r>
    </w:p>
    <w:p>
      <w:pPr>
        <w:pStyle w:val="Compact"/>
        <w:numPr>
          <w:ilvl w:val="0"/>
          <w:numId w:val="2068"/>
        </w:numPr>
      </w:pPr>
      <w:r>
        <w:t xml:space="preserve">Method names are case-insensitive.</w:t>
      </w:r>
    </w:p>
    <w:p>
      <w:pPr>
        <w:pStyle w:val="Compact"/>
        <w:numPr>
          <w:ilvl w:val="0"/>
          <w:numId w:val="2068"/>
        </w:numPr>
      </w:pPr>
      <w:r>
        <w:t xml:space="preserve">Invalid source paths are skipped during source resolution.</w:t>
      </w:r>
    </w:p>
    <w:p>
      <w:pPr>
        <w:pStyle w:val="Compact"/>
        <w:numPr>
          <w:ilvl w:val="0"/>
          <w:numId w:val="2068"/>
        </w:numPr>
      </w:pPr>
      <w:r>
        <w:t xml:space="preserve">If no valid source file remains after resolution, the method returns</w:t>
      </w:r>
      <w:r>
        <w:t xml:space="preserve"> </w:t>
      </w:r>
      <w:r>
        <w:rPr>
          <w:rStyle w:val="VerbatimChar"/>
        </w:rPr>
        <w:t xml:space="preserve">False</w:t>
      </w:r>
      <w:r>
        <w:t xml:space="preserve">.</w:t>
      </w:r>
    </w:p>
    <w:p>
      <w:pPr>
        <w:pStyle w:val="Compact"/>
        <w:numPr>
          <w:ilvl w:val="0"/>
          <w:numId w:val="2068"/>
        </w:numPr>
      </w:pPr>
      <w:r>
        <w:t xml:space="preserve">Runtime failures raise an internal VBScript error and the method still returns</w:t>
      </w:r>
      <w:r>
        <w:t xml:space="preserve"> </w:t>
      </w:r>
      <w:r>
        <w:rPr>
          <w:rStyle w:val="VerbatimChar"/>
        </w:rPr>
        <w:t xml:space="preserve">False</w:t>
      </w:r>
      <w:r>
        <w:t xml:space="preserve">.</w:t>
      </w:r>
    </w:p>
    <w:bookmarkEnd w:id="4231"/>
    <w:bookmarkStart w:id="4232" w:name="code-example-25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fc</w:t>
      </w:r>
      <w:r>
        <w:rPr>
          <w:rStyle w:val="OtherTok"/>
        </w:rPr>
        <w:t xml:space="preserve">,</w:t>
      </w:r>
      <w:r>
        <w:rPr>
          <w:rStyle w:val="NormalTok"/>
        </w:rPr>
        <w:t xml:space="preserve"> options</w:t>
      </w:r>
      <w:r>
        <w:rPr>
          <w:rStyle w:val="OtherTok"/>
        </w:rPr>
        <w:t xml:space="preserve">,</w:t>
      </w:r>
      <w:r>
        <w:rPr>
          <w:rStyle w:val="NormalTok"/>
        </w:rPr>
        <w:t xml:space="preserve"> ok</w:t>
      </w:r>
      <w:r>
        <w:br/>
      </w:r>
      <w:r>
        <w:rPr>
          <w:rStyle w:val="KeywordTok"/>
        </w:rPr>
        <w:t xml:space="preserve">Set</w:t>
      </w:r>
      <w:r>
        <w:rPr>
          <w:rStyle w:val="NormalTok"/>
        </w:rPr>
        <w:t xml:space="preserve"> fc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"G3FC"</w:t>
      </w:r>
      <w:r>
        <w:rPr>
          <w:rStyle w:val="OtherTok"/>
        </w:rPr>
        <w:t xml:space="preserve">)</w:t>
      </w:r>
      <w:r>
        <w:br/>
      </w:r>
      <w:r>
        <w:rPr>
          <w:rStyle w:val="KeywordTok"/>
        </w:rPr>
        <w:t xml:space="preserve">Set</w:t>
      </w:r>
      <w:r>
        <w:rPr>
          <w:rStyle w:val="NormalTok"/>
        </w:rPr>
        <w:t xml:space="preserve"> options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KeywordTok"/>
        </w:rPr>
        <w:t xml:space="preserve">Call</w:t>
      </w:r>
      <w:r>
        <w:rPr>
          <w:rStyle w:val="NormalTok"/>
        </w:rPr>
        <w:t xml:space="preserve"> options.</w:t>
      </w:r>
      <w:r>
        <w:rPr>
          <w:rStyle w:val="FunctionTok"/>
        </w:rPr>
        <w:t xml:space="preserve">Add</w:t>
      </w:r>
      <w:r>
        <w:rPr>
          <w:rStyle w:val="OtherTok"/>
        </w:rPr>
        <w:t xml:space="preserve">(</w:t>
      </w:r>
      <w:r>
        <w:rPr>
          <w:rStyle w:val="StringTok"/>
        </w:rPr>
        <w:t xml:space="preserve">"CompressionLevel"</w:t>
      </w:r>
      <w:r>
        <w:rPr>
          <w:rStyle w:val="OtherTok"/>
        </w:rPr>
        <w:t xml:space="preserve">,</w:t>
      </w:r>
      <w:r>
        <w:rPr>
          <w:rStyle w:val="NormalTok"/>
        </w:rPr>
        <w:t xml:space="preserve"> </w:t>
      </w:r>
      <w:r>
        <w:rPr>
          <w:rStyle w:val="DecValTok"/>
        </w:rPr>
        <w:t xml:space="preserve">9</w:t>
      </w:r>
      <w:r>
        <w:rPr>
          <w:rStyle w:val="OtherTok"/>
        </w:rPr>
        <w:t xml:space="preserve">)</w:t>
      </w:r>
      <w:r>
        <w:br/>
      </w:r>
      <w:r>
        <w:rPr>
          <w:rStyle w:val="KeywordTok"/>
        </w:rPr>
        <w:t xml:space="preserve">Call</w:t>
      </w:r>
      <w:r>
        <w:rPr>
          <w:rStyle w:val="NormalTok"/>
        </w:rPr>
        <w:t xml:space="preserve"> options.</w:t>
      </w:r>
      <w:r>
        <w:rPr>
          <w:rStyle w:val="FunctionTok"/>
        </w:rPr>
        <w:t xml:space="preserve">Add</w:t>
      </w:r>
      <w:r>
        <w:rPr>
          <w:rStyle w:val="OtherTok"/>
        </w:rPr>
        <w:t xml:space="preserve">(</w:t>
      </w:r>
      <w:r>
        <w:rPr>
          <w:rStyle w:val="StringTok"/>
        </w:rPr>
        <w:t xml:space="preserve">"GlobalCompression"</w:t>
      </w:r>
      <w:r>
        <w:rPr>
          <w:rStyle w:val="OtherTok"/>
        </w:rPr>
        <w:t xml:space="preserve">,</w:t>
      </w:r>
      <w:r>
        <w:rPr>
          <w:rStyle w:val="NormalTok"/>
        </w:rPr>
        <w:t xml:space="preserve"> </w:t>
      </w:r>
      <w:r>
        <w:rPr>
          <w:rStyle w:val="KeywordTok"/>
        </w:rPr>
        <w:t xml:space="preserve">False</w:t>
      </w:r>
      <w:r>
        <w:rPr>
          <w:rStyle w:val="OtherTok"/>
        </w:rPr>
        <w:t xml:space="preserve">)</w:t>
      </w:r>
      <w:r>
        <w:br/>
      </w:r>
      <w:r>
        <w:rPr>
          <w:rStyle w:val="KeywordTok"/>
        </w:rPr>
        <w:t xml:space="preserve">Call</w:t>
      </w:r>
      <w:r>
        <w:rPr>
          <w:rStyle w:val="NormalTok"/>
        </w:rPr>
        <w:t xml:space="preserve"> options.</w:t>
      </w:r>
      <w:r>
        <w:rPr>
          <w:rStyle w:val="FunctionTok"/>
        </w:rPr>
        <w:t xml:space="preserve">Add</w:t>
      </w:r>
      <w:r>
        <w:rPr>
          <w:rStyle w:val="OtherTok"/>
        </w:rPr>
        <w:t xml:space="preserve">(</w:t>
      </w:r>
      <w:r>
        <w:rPr>
          <w:rStyle w:val="StringTok"/>
        </w:rPr>
        <w:t xml:space="preserve">"FECLevel"</w:t>
      </w:r>
      <w:r>
        <w:rPr>
          <w:rStyle w:val="OtherTok"/>
        </w:rPr>
        <w:t xml:space="preserve">,</w:t>
      </w:r>
      <w:r>
        <w:rPr>
          <w:rStyle w:val="NormalTok"/>
        </w:rPr>
        <w:t xml:space="preserve"> </w:t>
      </w:r>
      <w:r>
        <w:rPr>
          <w:rStyle w:val="DecValTok"/>
        </w:rPr>
        <w:t xml:space="preserve">10</w:t>
      </w:r>
      <w:r>
        <w:rPr>
          <w:rStyle w:val="OtherTok"/>
        </w:rPr>
        <w:t xml:space="preserve">)</w:t>
      </w:r>
      <w:r>
        <w:br/>
      </w:r>
      <w:r>
        <w:rPr>
          <w:rStyle w:val="KeywordTok"/>
        </w:rPr>
        <w:t xml:space="preserve">Call</w:t>
      </w:r>
      <w:r>
        <w:rPr>
          <w:rStyle w:val="NormalTok"/>
        </w:rPr>
        <w:t xml:space="preserve"> options.</w:t>
      </w:r>
      <w:r>
        <w:rPr>
          <w:rStyle w:val="FunctionTok"/>
        </w:rPr>
        <w:t xml:space="preserve">Add</w:t>
      </w:r>
      <w:r>
        <w:rPr>
          <w:rStyle w:val="OtherTok"/>
        </w:rPr>
        <w:t xml:space="preserve">(</w:t>
      </w:r>
      <w:r>
        <w:rPr>
          <w:rStyle w:val="StringTok"/>
        </w:rPr>
        <w:t xml:space="preserve">"SplitSize"</w:t>
      </w:r>
      <w:r>
        <w:rPr>
          <w:rStyle w:val="OtherTok"/>
        </w:rPr>
        <w:t xml:space="preserve">,</w:t>
      </w:r>
      <w:r>
        <w:rPr>
          <w:rStyle w:val="NormalTok"/>
        </w:rPr>
        <w:t xml:space="preserve"> </w:t>
      </w:r>
      <w:r>
        <w:rPr>
          <w:rStyle w:val="StringTok"/>
        </w:rPr>
        <w:t xml:space="preserve">"100MB"</w:t>
      </w:r>
      <w:r>
        <w:rPr>
          <w:rStyle w:val="OtherTok"/>
        </w:rPr>
        <w:t xml:space="preserve">)</w:t>
      </w:r>
      <w:r>
        <w:br/>
      </w:r>
      <w:r>
        <w:br/>
      </w:r>
      <w:r>
        <w:rPr>
          <w:rStyle w:val="NormalTok"/>
        </w:rPr>
        <w:t xml:space="preserve">ok = fc.Create</w:t>
      </w:r>
      <w:r>
        <w:rPr>
          <w:rStyle w:val="OtherTok"/>
        </w:rPr>
        <w:t xml:space="preserve">(</w:t>
      </w:r>
      <w:r>
        <w:rPr>
          <w:rStyle w:val="StringTok"/>
        </w:rPr>
        <w:t xml:space="preserve">"/sandbox/archive.g3fc"</w:t>
      </w:r>
      <w:r>
        <w:rPr>
          <w:rStyle w:val="OtherTok"/>
        </w:rPr>
        <w:t xml:space="preserve">,</w:t>
      </w:r>
      <w:r>
        <w:rPr>
          <w:rStyle w:val="NormalTok"/>
        </w:rPr>
        <w:t xml:space="preserve"> </w:t>
      </w:r>
      <w:r>
        <w:rPr>
          <w:rStyle w:val="FunctionTok"/>
        </w:rPr>
        <w:t xml:space="preserve">Array</w:t>
      </w:r>
      <w:r>
        <w:rPr>
          <w:rStyle w:val="OtherTok"/>
        </w:rPr>
        <w:t xml:space="preserve">(</w:t>
      </w:r>
      <w:r>
        <w:rPr>
          <w:rStyle w:val="StringTok"/>
        </w:rPr>
        <w:t xml:space="preserve">"/sandbox/a.txt"</w:t>
      </w:r>
      <w:r>
        <w:rPr>
          <w:rStyle w:val="OtherTok"/>
        </w:rPr>
        <w:t xml:space="preserve">,</w:t>
      </w:r>
      <w:r>
        <w:rPr>
          <w:rStyle w:val="NormalTok"/>
        </w:rPr>
        <w:t xml:space="preserve"> </w:t>
      </w:r>
      <w:r>
        <w:rPr>
          <w:rStyle w:val="StringTok"/>
        </w:rPr>
        <w:t xml:space="preserve">"/sandbox/b.txt"</w:t>
      </w:r>
      <w:r>
        <w:rPr>
          <w:rStyle w:val="OtherTok"/>
        </w:rPr>
        <w:t xml:space="preserve">),</w:t>
      </w:r>
      <w:r>
        <w:rPr>
          <w:rStyle w:val="NormalTok"/>
        </w:rPr>
        <w:t xml:space="preserve"> </w:t>
      </w:r>
      <w:r>
        <w:rPr>
          <w:rStyle w:val="StringTok"/>
        </w:rPr>
        <w:t xml:space="preserve">"AxonPass"</w:t>
      </w:r>
      <w:r>
        <w:rPr>
          <w:rStyle w:val="OtherTok"/>
        </w:rPr>
        <w:t xml:space="preserve">,</w:t>
      </w:r>
      <w:r>
        <w:rPr>
          <w:rStyle w:val="NormalTok"/>
        </w:rPr>
        <w:t xml:space="preserve"> options</w:t>
      </w:r>
      <w:r>
        <w:rPr>
          <w:rStyle w:val="OtherTok"/>
        </w:rPr>
        <w:t xml:space="preserve">)</w:t>
      </w:r>
      <w:r>
        <w:br/>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created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creation failed."</w:t>
      </w:r>
      <w:r>
        <w:br/>
      </w:r>
      <w:r>
        <w:rPr>
          <w:rStyle w:val="ControlFlowTok"/>
        </w:rPr>
        <w:t xml:space="preserve">End If</w:t>
      </w:r>
      <w:r>
        <w:br/>
      </w:r>
      <w:r>
        <w:br/>
      </w:r>
      <w:r>
        <w:rPr>
          <w:rStyle w:val="KeywordTok"/>
        </w:rPr>
        <w:t xml:space="preserve">Set</w:t>
      </w:r>
      <w:r>
        <w:rPr>
          <w:rStyle w:val="NormalTok"/>
        </w:rPr>
        <w:t xml:space="preserve"> options = </w:t>
      </w:r>
      <w:r>
        <w:rPr>
          <w:rStyle w:val="KeywordTok"/>
        </w:rPr>
        <w:t xml:space="preserve">Nothing</w:t>
      </w:r>
      <w:r>
        <w:br/>
      </w:r>
      <w:r>
        <w:rPr>
          <w:rStyle w:val="KeywordTok"/>
        </w:rPr>
        <w:t xml:space="preserve">Set</w:t>
      </w:r>
      <w:r>
        <w:rPr>
          <w:rStyle w:val="NormalTok"/>
        </w:rPr>
        <w:t xml:space="preserve"> fc = </w:t>
      </w:r>
      <w:r>
        <w:rPr>
          <w:rStyle w:val="KeywordTok"/>
        </w:rPr>
        <w:t xml:space="preserve">Nothing</w:t>
      </w:r>
      <w:r>
        <w:br/>
      </w:r>
      <w:r>
        <w:rPr>
          <w:rStyle w:val="DataTypeTok"/>
        </w:rPr>
        <w:t xml:space="preserve">%&gt;</w:t>
      </w:r>
    </w:p>
    <w:bookmarkEnd w:id="4232"/>
    <w:bookmarkEnd w:id="4233"/>
    <w:bookmarkStart w:id="4240" w:name="extract-method"/>
    <w:p>
      <w:pPr>
        <w:pStyle w:val="Heading1"/>
      </w:pPr>
      <w:r>
        <w:t xml:space="preserve">Extract Method</w:t>
      </w:r>
    </w:p>
    <w:bookmarkStart w:id="4234" w:name="overview-472"/>
    <w:p>
      <w:pPr>
        <w:pStyle w:val="Heading2"/>
      </w:pPr>
      <w:r>
        <w:t xml:space="preserve">Overview</w:t>
      </w:r>
    </w:p>
    <w:p>
      <w:pPr>
        <w:pStyle w:val="FirstParagraph"/>
      </w:pPr>
      <w:r>
        <w:t xml:space="preserve">Extract all entries from a G3FC archive into a target directory.</w:t>
      </w:r>
    </w:p>
    <w:bookmarkEnd w:id="4234"/>
    <w:bookmarkStart w:id="4235" w:name="syntax-455"/>
    <w:p>
      <w:pPr>
        <w:pStyle w:val="Heading2"/>
      </w:pPr>
      <w:r>
        <w:t xml:space="preserve">Syntax</w:t>
      </w:r>
    </w:p>
    <w:p>
      <w:pPr>
        <w:pStyle w:val="SourceCode"/>
      </w:pPr>
      <w:r>
        <w:rPr>
          <w:rStyle w:val="NormalTok"/>
        </w:rPr>
        <w:t xml:space="preserve">result = fc.Extract(archivePath, outputFolder [, password])</w:t>
      </w:r>
    </w:p>
    <w:bookmarkEnd w:id="4235"/>
    <w:bookmarkStart w:id="4236" w:name="parameters-and-arguments-124"/>
    <w:p>
      <w:pPr>
        <w:pStyle w:val="Heading2"/>
      </w:pPr>
      <w:r>
        <w:t xml:space="preserve">Parameters and Arguments</w:t>
      </w:r>
    </w:p>
    <w:p>
      <w:pPr>
        <w:pStyle w:val="Compact"/>
        <w:numPr>
          <w:ilvl w:val="0"/>
          <w:numId w:val="2069"/>
        </w:numPr>
      </w:pPr>
      <w:r>
        <w:t xml:space="preserve">archivePath (String, Required): Source</w:t>
      </w:r>
      <w:r>
        <w:t xml:space="preserve"> </w:t>
      </w:r>
      <w:r>
        <w:rPr>
          <w:rStyle w:val="VerbatimChar"/>
        </w:rPr>
        <w:t xml:space="preserve">.g3fc</w:t>
      </w:r>
      <w:r>
        <w:t xml:space="preserve"> </w:t>
      </w:r>
      <w:r>
        <w:t xml:space="preserve">file path.</w:t>
      </w:r>
    </w:p>
    <w:p>
      <w:pPr>
        <w:pStyle w:val="Compact"/>
        <w:numPr>
          <w:ilvl w:val="0"/>
          <w:numId w:val="2069"/>
        </w:numPr>
      </w:pPr>
      <w:r>
        <w:t xml:space="preserve">outputFolder (String, Required): Destination directory path.</w:t>
      </w:r>
    </w:p>
    <w:p>
      <w:pPr>
        <w:pStyle w:val="Compact"/>
        <w:numPr>
          <w:ilvl w:val="0"/>
          <w:numId w:val="2069"/>
        </w:numPr>
      </w:pPr>
      <w:r>
        <w:t xml:space="preserve">password (String, Optional): Archive password used when the archive is encrypted.</w:t>
      </w:r>
    </w:p>
    <w:bookmarkEnd w:id="4236"/>
    <w:bookmarkStart w:id="4237" w:name="return-values-175"/>
    <w:p>
      <w:pPr>
        <w:pStyle w:val="Heading2"/>
      </w:pPr>
      <w:r>
        <w:t xml:space="preserve">Return Values</w:t>
      </w:r>
    </w:p>
    <w:p>
      <w:pPr>
        <w:pStyle w:val="Compact"/>
        <w:numPr>
          <w:ilvl w:val="0"/>
          <w:numId w:val="2070"/>
        </w:numPr>
      </w:pPr>
      <w:r>
        <w:t xml:space="preserve">Returns</w:t>
      </w:r>
      <w:r>
        <w:t xml:space="preserve"> </w:t>
      </w:r>
      <w:r>
        <w:rPr>
          <w:rStyle w:val="VerbatimChar"/>
        </w:rPr>
        <w:t xml:space="preserve">True</w:t>
      </w:r>
      <w:r>
        <w:t xml:space="preserve"> </w:t>
      </w:r>
      <w:r>
        <w:t xml:space="preserve">when extraction completes successfully.</w:t>
      </w:r>
    </w:p>
    <w:p>
      <w:pPr>
        <w:pStyle w:val="Compact"/>
        <w:numPr>
          <w:ilvl w:val="0"/>
          <w:numId w:val="2070"/>
        </w:numPr>
      </w:pPr>
      <w:r>
        <w:t xml:space="preserve">Returns</w:t>
      </w:r>
      <w:r>
        <w:t xml:space="preserve"> </w:t>
      </w:r>
      <w:r>
        <w:rPr>
          <w:rStyle w:val="VerbatimChar"/>
        </w:rPr>
        <w:t xml:space="preserve">False</w:t>
      </w:r>
      <w:r>
        <w:t xml:space="preserve"> </w:t>
      </w:r>
      <w:r>
        <w:t xml:space="preserve">when arguments are missing, path resolution fails, or extraction fails.</w:t>
      </w:r>
    </w:p>
    <w:bookmarkEnd w:id="4237"/>
    <w:bookmarkStart w:id="4238" w:name="remarks-441"/>
    <w:p>
      <w:pPr>
        <w:pStyle w:val="Heading2"/>
      </w:pPr>
      <w:r>
        <w:t xml:space="preserve">Remarks</w:t>
      </w:r>
    </w:p>
    <w:p>
      <w:pPr>
        <w:pStyle w:val="Compact"/>
        <w:numPr>
          <w:ilvl w:val="0"/>
          <w:numId w:val="2071"/>
        </w:numPr>
      </w:pPr>
      <w:r>
        <w:t xml:space="preserve">Method names are case-insensitive.</w:t>
      </w:r>
    </w:p>
    <w:p>
      <w:pPr>
        <w:pStyle w:val="Compact"/>
        <w:numPr>
          <w:ilvl w:val="0"/>
          <w:numId w:val="2071"/>
        </w:numPr>
      </w:pPr>
      <w:r>
        <w:t xml:space="preserve">Runtime extraction failures raise an internal VBScript error and the method still returns</w:t>
      </w:r>
      <w:r>
        <w:t xml:space="preserve"> </w:t>
      </w:r>
      <w:r>
        <w:rPr>
          <w:rStyle w:val="VerbatimChar"/>
        </w:rPr>
        <w:t xml:space="preserve">False</w:t>
      </w:r>
      <w:r>
        <w:t xml:space="preserve">.</w:t>
      </w:r>
    </w:p>
    <w:bookmarkEnd w:id="4238"/>
    <w:bookmarkStart w:id="4239" w:name="code-example-25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fc</w:t>
      </w:r>
      <w:r>
        <w:rPr>
          <w:rStyle w:val="OtherTok"/>
        </w:rPr>
        <w:t xml:space="preserve">,</w:t>
      </w:r>
      <w:r>
        <w:rPr>
          <w:rStyle w:val="NormalTok"/>
        </w:rPr>
        <w:t xml:space="preserve"> ok</w:t>
      </w:r>
      <w:r>
        <w:br/>
      </w:r>
      <w:r>
        <w:rPr>
          <w:rStyle w:val="KeywordTok"/>
        </w:rPr>
        <w:t xml:space="preserve">Set</w:t>
      </w:r>
      <w:r>
        <w:rPr>
          <w:rStyle w:val="NormalTok"/>
        </w:rPr>
        <w:t xml:space="preserve"> fc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"G3FC"</w:t>
      </w:r>
      <w:r>
        <w:rPr>
          <w:rStyle w:val="OtherTok"/>
        </w:rPr>
        <w:t xml:space="preserve">)</w:t>
      </w:r>
      <w:r>
        <w:br/>
      </w:r>
      <w:r>
        <w:br/>
      </w:r>
      <w:r>
        <w:rPr>
          <w:rStyle w:val="NormalTok"/>
        </w:rPr>
        <w:t xml:space="preserve">ok = fc.Extract</w:t>
      </w:r>
      <w:r>
        <w:rPr>
          <w:rStyle w:val="OtherTok"/>
        </w:rPr>
        <w:t xml:space="preserve">(</w:t>
      </w:r>
      <w:r>
        <w:rPr>
          <w:rStyle w:val="StringTok"/>
        </w:rPr>
        <w:t xml:space="preserve">"/sandbox/archive.g3fc"</w:t>
      </w:r>
      <w:r>
        <w:rPr>
          <w:rStyle w:val="OtherTok"/>
        </w:rPr>
        <w:t xml:space="preserve">,</w:t>
      </w:r>
      <w:r>
        <w:rPr>
          <w:rStyle w:val="NormalTok"/>
        </w:rPr>
        <w:t xml:space="preserve"> </w:t>
      </w:r>
      <w:r>
        <w:rPr>
          <w:rStyle w:val="StringTok"/>
        </w:rPr>
        <w:t xml:space="preserve">"/sandbox/extracted"</w:t>
      </w:r>
      <w:r>
        <w:rPr>
          <w:rStyle w:val="OtherTok"/>
        </w:rPr>
        <w:t xml:space="preserve">,</w:t>
      </w:r>
      <w:r>
        <w:rPr>
          <w:rStyle w:val="NormalTok"/>
        </w:rPr>
        <w:t xml:space="preserve"> </w:t>
      </w:r>
      <w:r>
        <w:rPr>
          <w:rStyle w:val="StringTok"/>
        </w:rPr>
        <w:t xml:space="preserve">"AxonPass"</w:t>
      </w:r>
      <w:r>
        <w:rPr>
          <w:rStyle w:val="OtherTok"/>
        </w:rPr>
        <w:t xml:space="preserve">)</w:t>
      </w:r>
      <w:r>
        <w:br/>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extracted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extraction failed."</w:t>
      </w:r>
      <w:r>
        <w:br/>
      </w:r>
      <w:r>
        <w:rPr>
          <w:rStyle w:val="ControlFlowTok"/>
        </w:rPr>
        <w:t xml:space="preserve">End If</w:t>
      </w:r>
      <w:r>
        <w:br/>
      </w:r>
      <w:r>
        <w:br/>
      </w:r>
      <w:r>
        <w:rPr>
          <w:rStyle w:val="KeywordTok"/>
        </w:rPr>
        <w:t xml:space="preserve">Set</w:t>
      </w:r>
      <w:r>
        <w:rPr>
          <w:rStyle w:val="NormalTok"/>
        </w:rPr>
        <w:t xml:space="preserve"> fc = </w:t>
      </w:r>
      <w:r>
        <w:rPr>
          <w:rStyle w:val="KeywordTok"/>
        </w:rPr>
        <w:t xml:space="preserve">Nothing</w:t>
      </w:r>
      <w:r>
        <w:br/>
      </w:r>
      <w:r>
        <w:rPr>
          <w:rStyle w:val="DataTypeTok"/>
        </w:rPr>
        <w:t xml:space="preserve">%&gt;</w:t>
      </w:r>
    </w:p>
    <w:bookmarkEnd w:id="4239"/>
    <w:bookmarkEnd w:id="4240"/>
    <w:bookmarkStart w:id="4247" w:name="extractsingle-method"/>
    <w:p>
      <w:pPr>
        <w:pStyle w:val="Heading1"/>
      </w:pPr>
      <w:r>
        <w:t xml:space="preserve">ExtractSingle Method</w:t>
      </w:r>
    </w:p>
    <w:bookmarkStart w:id="4241" w:name="overview-473"/>
    <w:p>
      <w:pPr>
        <w:pStyle w:val="Heading2"/>
      </w:pPr>
      <w:r>
        <w:t xml:space="preserve">Overview</w:t>
      </w:r>
    </w:p>
    <w:p>
      <w:pPr>
        <w:pStyle w:val="FirstParagraph"/>
      </w:pPr>
      <w:r>
        <w:t xml:space="preserve">Extract one specific file entry from a G3FC archive.</w:t>
      </w:r>
    </w:p>
    <w:bookmarkEnd w:id="4241"/>
    <w:bookmarkStart w:id="4242" w:name="syntax-456"/>
    <w:p>
      <w:pPr>
        <w:pStyle w:val="Heading2"/>
      </w:pPr>
      <w:r>
        <w:t xml:space="preserve">Syntax</w:t>
      </w:r>
    </w:p>
    <w:p>
      <w:pPr>
        <w:pStyle w:val="SourceCode"/>
      </w:pPr>
      <w:r>
        <w:rPr>
          <w:rStyle w:val="NormalTok"/>
        </w:rPr>
        <w:t xml:space="preserve">result = fc.ExtractSingle(archivePath, entryPath, outputFilePath [, password])</w:t>
      </w:r>
    </w:p>
    <w:bookmarkEnd w:id="4242"/>
    <w:bookmarkStart w:id="4243" w:name="parameters-and-arguments-125"/>
    <w:p>
      <w:pPr>
        <w:pStyle w:val="Heading2"/>
      </w:pPr>
      <w:r>
        <w:t xml:space="preserve">Parameters and Arguments</w:t>
      </w:r>
    </w:p>
    <w:p>
      <w:pPr>
        <w:pStyle w:val="Compact"/>
        <w:numPr>
          <w:ilvl w:val="0"/>
          <w:numId w:val="2072"/>
        </w:numPr>
      </w:pPr>
      <w:r>
        <w:t xml:space="preserve">archivePath (String, Required): Source</w:t>
      </w:r>
      <w:r>
        <w:t xml:space="preserve"> </w:t>
      </w:r>
      <w:r>
        <w:rPr>
          <w:rStyle w:val="VerbatimChar"/>
        </w:rPr>
        <w:t xml:space="preserve">.g3fc</w:t>
      </w:r>
      <w:r>
        <w:t xml:space="preserve"> </w:t>
      </w:r>
      <w:r>
        <w:t xml:space="preserve">file path.</w:t>
      </w:r>
    </w:p>
    <w:p>
      <w:pPr>
        <w:pStyle w:val="Compact"/>
        <w:numPr>
          <w:ilvl w:val="0"/>
          <w:numId w:val="2072"/>
        </w:numPr>
      </w:pPr>
      <w:r>
        <w:t xml:space="preserve">entryPath (String, Required): Internal archive entry path to extract.</w:t>
      </w:r>
    </w:p>
    <w:p>
      <w:pPr>
        <w:pStyle w:val="Compact"/>
        <w:numPr>
          <w:ilvl w:val="0"/>
          <w:numId w:val="2072"/>
        </w:numPr>
      </w:pPr>
      <w:r>
        <w:t xml:space="preserve">outputFilePath (String, Required): Destination file path for the extracted entry.</w:t>
      </w:r>
    </w:p>
    <w:p>
      <w:pPr>
        <w:pStyle w:val="Compact"/>
        <w:numPr>
          <w:ilvl w:val="0"/>
          <w:numId w:val="2072"/>
        </w:numPr>
      </w:pPr>
      <w:r>
        <w:t xml:space="preserve">password (String, Optional): Archive password for encrypted archives.</w:t>
      </w:r>
    </w:p>
    <w:bookmarkEnd w:id="4243"/>
    <w:bookmarkStart w:id="4244" w:name="return-values-176"/>
    <w:p>
      <w:pPr>
        <w:pStyle w:val="Heading2"/>
      </w:pPr>
      <w:r>
        <w:t xml:space="preserve">Return Values</w:t>
      </w:r>
    </w:p>
    <w:p>
      <w:pPr>
        <w:pStyle w:val="Compact"/>
        <w:numPr>
          <w:ilvl w:val="0"/>
          <w:numId w:val="2073"/>
        </w:numPr>
      </w:pPr>
      <w:r>
        <w:t xml:space="preserve">Returns</w:t>
      </w:r>
      <w:r>
        <w:t xml:space="preserve"> </w:t>
      </w:r>
      <w:r>
        <w:rPr>
          <w:rStyle w:val="VerbatimChar"/>
        </w:rPr>
        <w:t xml:space="preserve">True</w:t>
      </w:r>
      <w:r>
        <w:t xml:space="preserve"> </w:t>
      </w:r>
      <w:r>
        <w:t xml:space="preserve">when the target entry is extracted successfully.</w:t>
      </w:r>
    </w:p>
    <w:p>
      <w:pPr>
        <w:pStyle w:val="Compact"/>
        <w:numPr>
          <w:ilvl w:val="0"/>
          <w:numId w:val="2073"/>
        </w:numPr>
      </w:pPr>
      <w:r>
        <w:t xml:space="preserve">Returns</w:t>
      </w:r>
      <w:r>
        <w:t xml:space="preserve"> </w:t>
      </w:r>
      <w:r>
        <w:rPr>
          <w:rStyle w:val="VerbatimChar"/>
        </w:rPr>
        <w:t xml:space="preserve">False</w:t>
      </w:r>
      <w:r>
        <w:t xml:space="preserve"> </w:t>
      </w:r>
      <w:r>
        <w:t xml:space="preserve">when required arguments are missing, path resolution fails, the entry does not exist, or extraction fails.</w:t>
      </w:r>
    </w:p>
    <w:bookmarkEnd w:id="4244"/>
    <w:bookmarkStart w:id="4245" w:name="remarks-442"/>
    <w:p>
      <w:pPr>
        <w:pStyle w:val="Heading2"/>
      </w:pPr>
      <w:r>
        <w:t xml:space="preserve">Remarks</w:t>
      </w:r>
    </w:p>
    <w:p>
      <w:pPr>
        <w:pStyle w:val="Compact"/>
        <w:numPr>
          <w:ilvl w:val="0"/>
          <w:numId w:val="2074"/>
        </w:numPr>
      </w:pPr>
      <w:r>
        <w:t xml:space="preserve">Method names are case-insensitive.</w:t>
      </w:r>
    </w:p>
    <w:p>
      <w:pPr>
        <w:pStyle w:val="Compact"/>
        <w:numPr>
          <w:ilvl w:val="0"/>
          <w:numId w:val="2074"/>
        </w:numPr>
      </w:pPr>
      <w:r>
        <w:t xml:space="preserve">This method also accepts</w:t>
      </w:r>
      <w:r>
        <w:t xml:space="preserve"> </w:t>
      </w:r>
      <w:r>
        <w:rPr>
          <w:rStyle w:val="VerbatimChar"/>
        </w:rPr>
        <w:t xml:space="preserve">extract-single</w:t>
      </w:r>
      <w:r>
        <w:t xml:space="preserve"> </w:t>
      </w:r>
      <w:r>
        <w:t xml:space="preserve">and</w:t>
      </w:r>
      <w:r>
        <w:t xml:space="preserve"> </w:t>
      </w:r>
      <w:r>
        <w:rPr>
          <w:rStyle w:val="VerbatimChar"/>
        </w:rPr>
        <w:t xml:space="preserve">extract_single</w:t>
      </w:r>
      <w:r>
        <w:t xml:space="preserve"> </w:t>
      </w:r>
      <w:r>
        <w:t xml:space="preserve">aliases.</w:t>
      </w:r>
    </w:p>
    <w:p>
      <w:pPr>
        <w:pStyle w:val="Compact"/>
        <w:numPr>
          <w:ilvl w:val="0"/>
          <w:numId w:val="2074"/>
        </w:numPr>
      </w:pPr>
      <w:r>
        <w:t xml:space="preserve">Runtime extraction failures raise an internal VBScript error and the method still returns</w:t>
      </w:r>
      <w:r>
        <w:t xml:space="preserve"> </w:t>
      </w:r>
      <w:r>
        <w:rPr>
          <w:rStyle w:val="VerbatimChar"/>
        </w:rPr>
        <w:t xml:space="preserve">False</w:t>
      </w:r>
      <w:r>
        <w:t xml:space="preserve">.</w:t>
      </w:r>
    </w:p>
    <w:bookmarkEnd w:id="4245"/>
    <w:bookmarkStart w:id="4246" w:name="code-example-25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fc</w:t>
      </w:r>
      <w:r>
        <w:rPr>
          <w:rStyle w:val="OtherTok"/>
        </w:rPr>
        <w:t xml:space="preserve">,</w:t>
      </w:r>
      <w:r>
        <w:rPr>
          <w:rStyle w:val="NormalTok"/>
        </w:rPr>
        <w:t xml:space="preserve"> ok</w:t>
      </w:r>
      <w:r>
        <w:br/>
      </w:r>
      <w:r>
        <w:rPr>
          <w:rStyle w:val="KeywordTok"/>
        </w:rPr>
        <w:t xml:space="preserve">Set</w:t>
      </w:r>
      <w:r>
        <w:rPr>
          <w:rStyle w:val="NormalTok"/>
        </w:rPr>
        <w:t xml:space="preserve"> fc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"G3FC"</w:t>
      </w:r>
      <w:r>
        <w:rPr>
          <w:rStyle w:val="OtherTok"/>
        </w:rPr>
        <w:t xml:space="preserve">)</w:t>
      </w:r>
      <w:r>
        <w:br/>
      </w:r>
      <w:r>
        <w:br/>
      </w:r>
      <w:r>
        <w:rPr>
          <w:rStyle w:val="NormalTok"/>
        </w:rPr>
        <w:t xml:space="preserve">ok = fc.ExtractSingle</w:t>
      </w:r>
      <w:r>
        <w:rPr>
          <w:rStyle w:val="OtherTok"/>
        </w:rPr>
        <w:t xml:space="preserve">(</w:t>
      </w:r>
      <w:r>
        <w:rPr>
          <w:rStyle w:val="StringTok"/>
        </w:rPr>
        <w:t xml:space="preserve">"/sandbox/archive.g3fc"</w:t>
      </w:r>
      <w:r>
        <w:rPr>
          <w:rStyle w:val="OtherTok"/>
        </w:rPr>
        <w:t xml:space="preserve">,</w:t>
      </w:r>
      <w:r>
        <w:rPr>
          <w:rStyle w:val="NormalTok"/>
        </w:rPr>
        <w:t xml:space="preserve"> </w:t>
      </w:r>
      <w:r>
        <w:rPr>
          <w:rStyle w:val="StringTok"/>
        </w:rPr>
        <w:t xml:space="preserve">"docs/readme.txt"</w:t>
      </w:r>
      <w:r>
        <w:rPr>
          <w:rStyle w:val="OtherTok"/>
        </w:rPr>
        <w:t xml:space="preserve">,</w:t>
      </w:r>
      <w:r>
        <w:rPr>
          <w:rStyle w:val="NormalTok"/>
        </w:rPr>
        <w:t xml:space="preserve"> </w:t>
      </w:r>
      <w:r>
        <w:rPr>
          <w:rStyle w:val="StringTok"/>
        </w:rPr>
        <w:t xml:space="preserve">"/sandbox/readme.txt"</w:t>
      </w:r>
      <w:r>
        <w:rPr>
          <w:rStyle w:val="OtherTok"/>
        </w:rPr>
        <w:t xml:space="preserve">,</w:t>
      </w:r>
      <w:r>
        <w:rPr>
          <w:rStyle w:val="NormalTok"/>
        </w:rPr>
        <w:t xml:space="preserve"> </w:t>
      </w:r>
      <w:r>
        <w:rPr>
          <w:rStyle w:val="StringTok"/>
        </w:rPr>
        <w:t xml:space="preserve">"AxonPass"</w:t>
      </w:r>
      <w:r>
        <w:rPr>
          <w:rStyle w:val="OtherTok"/>
        </w:rPr>
        <w:t xml:space="preserve">)</w:t>
      </w:r>
      <w:r>
        <w:br/>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"Single entry extracted successfully."</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"Single entry extraction failed."</w:t>
      </w:r>
      <w:r>
        <w:br/>
      </w:r>
      <w:r>
        <w:rPr>
          <w:rStyle w:val="ControlFlowTok"/>
        </w:rPr>
        <w:t xml:space="preserve">End If</w:t>
      </w:r>
      <w:r>
        <w:br/>
      </w:r>
      <w:r>
        <w:br/>
      </w:r>
      <w:r>
        <w:rPr>
          <w:rStyle w:val="KeywordTok"/>
        </w:rPr>
        <w:t xml:space="preserve">Set</w:t>
      </w:r>
      <w:r>
        <w:rPr>
          <w:rStyle w:val="NormalTok"/>
        </w:rPr>
        <w:t xml:space="preserve"> fc = </w:t>
      </w:r>
      <w:r>
        <w:rPr>
          <w:rStyle w:val="KeywordTok"/>
        </w:rPr>
        <w:t xml:space="preserve">Nothing</w:t>
      </w:r>
      <w:r>
        <w:br/>
      </w:r>
      <w:r>
        <w:rPr>
          <w:rStyle w:val="DataTypeTok"/>
        </w:rPr>
        <w:t xml:space="preserve">%&gt;</w:t>
      </w:r>
    </w:p>
    <w:bookmarkEnd w:id="4246"/>
    <w:bookmarkEnd w:id="4247"/>
    <w:bookmarkStart w:id="4254" w:name="find-method"/>
    <w:p>
      <w:pPr>
        <w:pStyle w:val="Heading1"/>
      </w:pPr>
      <w:r>
        <w:t xml:space="preserve">Find Method</w:t>
      </w:r>
    </w:p>
    <w:bookmarkStart w:id="4248" w:name="overview-474"/>
    <w:p>
      <w:pPr>
        <w:pStyle w:val="Heading2"/>
      </w:pPr>
      <w:r>
        <w:t xml:space="preserve">Overview</w:t>
      </w:r>
    </w:p>
    <w:p>
      <w:pPr>
        <w:pStyle w:val="FirstParagraph"/>
      </w:pPr>
      <w:r>
        <w:t xml:space="preserve">Search archive entries by substring or regular expression.</w:t>
      </w:r>
    </w:p>
    <w:bookmarkEnd w:id="4248"/>
    <w:bookmarkStart w:id="4249" w:name="syntax-457"/>
    <w:p>
      <w:pPr>
        <w:pStyle w:val="Heading2"/>
      </w:pPr>
      <w:r>
        <w:t xml:space="preserve">Syntax</w:t>
      </w:r>
    </w:p>
    <w:p>
      <w:pPr>
        <w:pStyle w:val="SourceCode"/>
      </w:pPr>
      <w:r>
        <w:rPr>
          <w:rStyle w:val="NormalTok"/>
        </w:rPr>
        <w:t xml:space="preserve">matches = fc.Find(archivePath, pattern [, password] [, useRegex])</w:t>
      </w:r>
    </w:p>
    <w:bookmarkEnd w:id="4249"/>
    <w:bookmarkStart w:id="4250" w:name="parameters-and-arguments-126"/>
    <w:p>
      <w:pPr>
        <w:pStyle w:val="Heading2"/>
      </w:pPr>
      <w:r>
        <w:t xml:space="preserve">Parameters and Arguments</w:t>
      </w:r>
    </w:p>
    <w:p>
      <w:pPr>
        <w:pStyle w:val="Compact"/>
        <w:numPr>
          <w:ilvl w:val="0"/>
          <w:numId w:val="2075"/>
        </w:numPr>
      </w:pPr>
      <w:r>
        <w:t xml:space="preserve">archivePath (String, Required): Source</w:t>
      </w:r>
      <w:r>
        <w:t xml:space="preserve"> </w:t>
      </w:r>
      <w:r>
        <w:rPr>
          <w:rStyle w:val="VerbatimChar"/>
        </w:rPr>
        <w:t xml:space="preserve">.g3fc</w:t>
      </w:r>
      <w:r>
        <w:t xml:space="preserve"> </w:t>
      </w:r>
      <w:r>
        <w:t xml:space="preserve">file path.</w:t>
      </w:r>
    </w:p>
    <w:p>
      <w:pPr>
        <w:pStyle w:val="Compact"/>
        <w:numPr>
          <w:ilvl w:val="0"/>
          <w:numId w:val="2075"/>
        </w:numPr>
      </w:pPr>
      <w:r>
        <w:t xml:space="preserve">pattern (String, Required): Match expression applied to entry paths.</w:t>
      </w:r>
    </w:p>
    <w:p>
      <w:pPr>
        <w:pStyle w:val="Compact"/>
        <w:numPr>
          <w:ilvl w:val="0"/>
          <w:numId w:val="2075"/>
        </w:numPr>
      </w:pPr>
      <w:r>
        <w:t xml:space="preserve">password (String, Optional): Archive password for encrypted archives.</w:t>
      </w:r>
    </w:p>
    <w:p>
      <w:pPr>
        <w:pStyle w:val="Compact"/>
        <w:numPr>
          <w:ilvl w:val="0"/>
          <w:numId w:val="2075"/>
        </w:numPr>
      </w:pPr>
      <w:r>
        <w:t xml:space="preserve">useRegex (Boolean, Optional):</w:t>
      </w:r>
    </w:p>
    <w:p>
      <w:pPr>
        <w:pStyle w:val="Compact"/>
        <w:numPr>
          <w:ilvl w:val="1"/>
          <w:numId w:val="2076"/>
        </w:numPr>
      </w:pPr>
      <w:r>
        <w:rPr>
          <w:rStyle w:val="VerbatimChar"/>
        </w:rPr>
        <w:t xml:space="preserve">False</w:t>
      </w:r>
      <w:r>
        <w:t xml:space="preserve"> </w:t>
      </w:r>
      <w:r>
        <w:t xml:space="preserve">(default): uses case-insensitive substring matching.</w:t>
      </w:r>
    </w:p>
    <w:p>
      <w:pPr>
        <w:pStyle w:val="Compact"/>
        <w:numPr>
          <w:ilvl w:val="1"/>
          <w:numId w:val="2076"/>
        </w:numPr>
      </w:pPr>
      <w:r>
        <w:rPr>
          <w:rStyle w:val="VerbatimChar"/>
        </w:rPr>
        <w:t xml:space="preserve">True</w:t>
      </w:r>
      <w:r>
        <w:t xml:space="preserve">: attempts case-insensitive regular expression matching.</w:t>
      </w:r>
    </w:p>
    <w:bookmarkEnd w:id="4250"/>
    <w:bookmarkStart w:id="4251" w:name="return-values-177"/>
    <w:p>
      <w:pPr>
        <w:pStyle w:val="Heading2"/>
      </w:pPr>
      <w:r>
        <w:t xml:space="preserve">Return Values</w:t>
      </w:r>
    </w:p>
    <w:p>
      <w:pPr>
        <w:pStyle w:val="Compact"/>
        <w:numPr>
          <w:ilvl w:val="0"/>
          <w:numId w:val="2077"/>
        </w:numPr>
      </w:pPr>
      <w:r>
        <w:t xml:space="preserve">Returns a zero-based Array of</w:t>
      </w:r>
      <w:r>
        <w:t xml:space="preserve"> </w:t>
      </w:r>
      <w:r>
        <w:rPr>
          <w:rStyle w:val="VerbatimChar"/>
        </w:rPr>
        <w:t xml:space="preserve">Scripting.Dictionary</w:t>
      </w:r>
      <w:r>
        <w:t xml:space="preserve"> </w:t>
      </w:r>
      <w:r>
        <w:t xml:space="preserve">objects on success.</w:t>
      </w:r>
    </w:p>
    <w:p>
      <w:pPr>
        <w:pStyle w:val="Compact"/>
        <w:numPr>
          <w:ilvl w:val="0"/>
          <w:numId w:val="2077"/>
        </w:numPr>
      </w:pPr>
      <w:r>
        <w:t xml:space="preserve">Each Dictionary includes exactly two keys:</w:t>
      </w:r>
      <w:r>
        <w:t xml:space="preserve"> </w:t>
      </w:r>
      <w:r>
        <w:rPr>
          <w:rStyle w:val="VerbatimChar"/>
        </w:rPr>
        <w:t xml:space="preserve">Path</w:t>
      </w:r>
      <w:r>
        <w:t xml:space="preserve"> </w:t>
      </w:r>
      <w:r>
        <w:t xml:space="preserve">(String) and</w:t>
      </w:r>
      <w:r>
        <w:t xml:space="preserve"> </w:t>
      </w:r>
      <w:r>
        <w:rPr>
          <w:rStyle w:val="VerbatimChar"/>
        </w:rPr>
        <w:t xml:space="preserve">Size</w:t>
      </w:r>
      <w:r>
        <w:t xml:space="preserve"> </w:t>
      </w:r>
      <w:r>
        <w:t xml:space="preserve">(Integer).</w:t>
      </w:r>
    </w:p>
    <w:p>
      <w:pPr>
        <w:pStyle w:val="Compact"/>
        <w:numPr>
          <w:ilvl w:val="0"/>
          <w:numId w:val="2077"/>
        </w:numPr>
      </w:pPr>
      <w:r>
        <w:t xml:space="preserve">Returns an empty Array when no entries match.</w:t>
      </w:r>
    </w:p>
    <w:p>
      <w:pPr>
        <w:pStyle w:val="Compact"/>
        <w:numPr>
          <w:ilvl w:val="0"/>
          <w:numId w:val="2077"/>
        </w:numPr>
      </w:pPr>
      <w:r>
        <w:t xml:space="preserve">Returns</w:t>
      </w:r>
      <w:r>
        <w:t xml:space="preserve"> </w:t>
      </w:r>
      <w:r>
        <w:rPr>
          <w:rStyle w:val="VerbatimChar"/>
        </w:rPr>
        <w:t xml:space="preserve">Empty</w:t>
      </w:r>
      <w:r>
        <w:t xml:space="preserve"> </w:t>
      </w:r>
      <w:r>
        <w:t xml:space="preserve">when required arguments are missing, path resolution fails, or archive index reading fails.</w:t>
      </w:r>
    </w:p>
    <w:bookmarkEnd w:id="4251"/>
    <w:bookmarkStart w:id="4252" w:name="remarks-443"/>
    <w:p>
      <w:pPr>
        <w:pStyle w:val="Heading2"/>
      </w:pPr>
      <w:r>
        <w:t xml:space="preserve">Remarks</w:t>
      </w:r>
    </w:p>
    <w:p>
      <w:pPr>
        <w:pStyle w:val="Compact"/>
        <w:numPr>
          <w:ilvl w:val="0"/>
          <w:numId w:val="2078"/>
        </w:numPr>
      </w:pPr>
      <w:r>
        <w:t xml:space="preserve">Method names are case-insensitive.</w:t>
      </w:r>
    </w:p>
    <w:p>
      <w:pPr>
        <w:pStyle w:val="Compact"/>
        <w:numPr>
          <w:ilvl w:val="0"/>
          <w:numId w:val="2078"/>
        </w:numPr>
      </w:pPr>
      <w:r>
        <w:t xml:space="preserve">Regex matching is case-insensitive.</w:t>
      </w:r>
    </w:p>
    <w:p>
      <w:pPr>
        <w:pStyle w:val="Compact"/>
        <w:numPr>
          <w:ilvl w:val="0"/>
          <w:numId w:val="2078"/>
        </w:numPr>
      </w:pPr>
      <w:r>
        <w:t xml:space="preserve">If</w:t>
      </w:r>
      <w:r>
        <w:t xml:space="preserve"> </w:t>
      </w:r>
      <w:r>
        <w:rPr>
          <w:rStyle w:val="VerbatimChar"/>
        </w:rPr>
        <w:t xml:space="preserve">useRegex=True</w:t>
      </w:r>
      <w:r>
        <w:t xml:space="preserve"> </w:t>
      </w:r>
      <w:r>
        <w:t xml:space="preserve">and the expression fails to compile, matching falls back to case-insensitive substring behavior.</w:t>
      </w:r>
    </w:p>
    <w:p>
      <w:pPr>
        <w:pStyle w:val="Compact"/>
        <w:numPr>
          <w:ilvl w:val="0"/>
          <w:numId w:val="2078"/>
        </w:numPr>
      </w:pPr>
      <w:r>
        <w:t xml:space="preserve">Runtime read failures raise an internal VBScript error and the method returns</w:t>
      </w:r>
      <w:r>
        <w:t xml:space="preserve"> </w:t>
      </w:r>
      <w:r>
        <w:rPr>
          <w:rStyle w:val="VerbatimChar"/>
        </w:rPr>
        <w:t xml:space="preserve">Empty</w:t>
      </w:r>
      <w:r>
        <w:t xml:space="preserve">.</w:t>
      </w:r>
    </w:p>
    <w:bookmarkEnd w:id="4252"/>
    <w:bookmarkStart w:id="4253" w:name="code-example-25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fc</w:t>
      </w:r>
      <w:r>
        <w:rPr>
          <w:rStyle w:val="OtherTok"/>
        </w:rPr>
        <w:t xml:space="preserve">,</w:t>
      </w:r>
      <w:r>
        <w:rPr>
          <w:rStyle w:val="NormalTok"/>
        </w:rPr>
        <w:t xml:space="preserve"> matches</w:t>
      </w:r>
      <w:r>
        <w:rPr>
          <w:rStyle w:val="OtherTok"/>
        </w:rPr>
        <w:t xml:space="preserve">,</w:t>
      </w:r>
      <w:r>
        <w:rPr>
          <w:rStyle w:val="NormalTok"/>
        </w:rPr>
        <w:t xml:space="preserve"> i</w:t>
      </w:r>
      <w:r>
        <w:rPr>
          <w:rStyle w:val="OtherTok"/>
        </w:rPr>
        <w:t xml:space="preserve">,</w:t>
      </w:r>
      <w:r>
        <w:rPr>
          <w:rStyle w:val="NormalTok"/>
        </w:rPr>
        <w:t xml:space="preserve"> </w:t>
      </w:r>
      <w:r>
        <w:rPr>
          <w:rStyle w:val="FunctionTok"/>
        </w:rPr>
        <w:t xml:space="preserve">item</w:t>
      </w:r>
      <w:r>
        <w:br/>
      </w:r>
      <w:r>
        <w:rPr>
          <w:rStyle w:val="KeywordTok"/>
        </w:rPr>
        <w:t xml:space="preserve">Set</w:t>
      </w:r>
      <w:r>
        <w:rPr>
          <w:rStyle w:val="NormalTok"/>
        </w:rPr>
        <w:t xml:space="preserve"> fc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"G3FC"</w:t>
      </w:r>
      <w:r>
        <w:rPr>
          <w:rStyle w:val="OtherTok"/>
        </w:rPr>
        <w:t xml:space="preserve">)</w:t>
      </w:r>
      <w:r>
        <w:br/>
      </w:r>
      <w:r>
        <w:br/>
      </w:r>
      <w:r>
        <w:rPr>
          <w:rStyle w:val="NormalTok"/>
        </w:rPr>
        <w:t xml:space="preserve">matches = fc.Find</w:t>
      </w:r>
      <w:r>
        <w:rPr>
          <w:rStyle w:val="OtherTok"/>
        </w:rPr>
        <w:t xml:space="preserve">(</w:t>
      </w:r>
      <w:r>
        <w:rPr>
          <w:rStyle w:val="StringTok"/>
        </w:rPr>
        <w:t xml:space="preserve">"/sandbox/archive.g3fc"</w:t>
      </w:r>
      <w:r>
        <w:rPr>
          <w:rStyle w:val="OtherTok"/>
        </w:rPr>
        <w:t xml:space="preserve">,</w:t>
      </w:r>
      <w:r>
        <w:rPr>
          <w:rStyle w:val="NormalTok"/>
        </w:rPr>
        <w:t xml:space="preserve"> </w:t>
      </w:r>
      <w:r>
        <w:rPr>
          <w:rStyle w:val="StringTok"/>
        </w:rPr>
        <w:t xml:space="preserve">"\\.txt$"</w:t>
      </w:r>
      <w:r>
        <w:rPr>
          <w:rStyle w:val="OtherTok"/>
        </w:rPr>
        <w:t xml:space="preserve">,</w:t>
      </w:r>
      <w:r>
        <w:rPr>
          <w:rStyle w:val="NormalTok"/>
        </w:rPr>
        <w:t xml:space="preserve"> </w:t>
      </w:r>
      <w:r>
        <w:rPr>
          <w:rStyle w:val="StringTok"/>
        </w:rPr>
        <w:t xml:space="preserve">"AxonPass"</w:t>
      </w:r>
      <w:r>
        <w:rPr>
          <w:rStyle w:val="OtherTok"/>
        </w:rPr>
        <w:t xml:space="preserve">,</w:t>
      </w:r>
      <w:r>
        <w:rPr>
          <w:rStyle w:val="NormalTok"/>
        </w:rPr>
        <w:t xml:space="preserve"> </w:t>
      </w:r>
      <w:r>
        <w:rPr>
          <w:rStyle w:val="KeywordTok"/>
        </w:rPr>
        <w:t xml:space="preserve">True</w:t>
      </w:r>
      <w:r>
        <w:rPr>
          <w:rStyle w:val="OtherTok"/>
        </w:rPr>
        <w:t xml:space="preserve">)</w:t>
      </w:r>
      <w:r>
        <w:br/>
      </w:r>
      <w:r>
        <w:br/>
      </w:r>
      <w:r>
        <w:rPr>
          <w:rStyle w:val="ControlFlowTok"/>
        </w:rPr>
        <w:t xml:space="preserve">If</w:t>
      </w:r>
      <w:r>
        <w:rPr>
          <w:rStyle w:val="NormalTok"/>
        </w:rPr>
        <w:t xml:space="preserve"> </w:t>
      </w:r>
      <w:r>
        <w:rPr>
          <w:rStyle w:val="FunctionTok"/>
        </w:rPr>
        <w:t xml:space="preserve">IsArray</w:t>
      </w:r>
      <w:r>
        <w:rPr>
          <w:rStyle w:val="OtherTok"/>
        </w:rPr>
        <w:t xml:space="preserve">(</w:t>
      </w:r>
      <w:r>
        <w:rPr>
          <w:rStyle w:val="NormalTok"/>
        </w:rPr>
        <w:t xml:space="preserve">matches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For</w:t>
      </w:r>
      <w:r>
        <w:rPr>
          <w:rStyle w:val="NormalTok"/>
        </w:rPr>
        <w:t xml:space="preserve"> i = </w:t>
      </w:r>
      <w:r>
        <w:rPr>
          <w:rStyle w:val="FunctionTok"/>
        </w:rPr>
        <w:t xml:space="preserve">LBound</w:t>
      </w:r>
      <w:r>
        <w:rPr>
          <w:rStyle w:val="OtherTok"/>
        </w:rPr>
        <w:t xml:space="preserve">(</w:t>
      </w:r>
      <w:r>
        <w:rPr>
          <w:rStyle w:val="NormalTok"/>
        </w:rPr>
        <w:t xml:space="preserve">matches</w:t>
      </w:r>
      <w:r>
        <w:rPr>
          <w:rStyle w:val="OtherTok"/>
        </w:rPr>
        <w:t xml:space="preserve">)</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matches</w:t>
      </w:r>
      <w:r>
        <w:rPr>
          <w:rStyle w:val="OtherTok"/>
        </w:rPr>
        <w:t xml:space="preserve">)</w:t>
      </w:r>
      <w:r>
        <w:br/>
      </w:r>
      <w:r>
        <w:rPr>
          <w:rStyle w:val="NormalTok"/>
        </w:rPr>
        <w:t xml:space="preserve">        </w:t>
      </w:r>
      <w:r>
        <w:rPr>
          <w:rStyle w:val="KeywordTok"/>
        </w:rPr>
        <w:t xml:space="preserve">Set</w:t>
      </w:r>
      <w:r>
        <w:rPr>
          <w:rStyle w:val="NormalTok"/>
        </w:rPr>
        <w:t xml:space="preserve"> </w:t>
      </w:r>
      <w:r>
        <w:rPr>
          <w:rStyle w:val="FunctionTok"/>
        </w:rPr>
        <w:t xml:space="preserve">item</w:t>
      </w:r>
      <w:r>
        <w:rPr>
          <w:rStyle w:val="NormalTok"/>
        </w:rPr>
        <w:t xml:space="preserve"> = matches</w:t>
      </w:r>
      <w:r>
        <w:rPr>
          <w:rStyle w:val="OtherTok"/>
        </w:rPr>
        <w:t xml:space="preserve">(</w:t>
      </w:r>
      <w:r>
        <w:rPr>
          <w:rStyle w:val="NormalTok"/>
        </w:rPr>
        <w:t xml:space="preserve">i</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item</w:t>
      </w:r>
      <w:r>
        <w:rPr>
          <w:rStyle w:val="NormalTok"/>
        </w:rPr>
        <w:t xml:space="preserve">.</w:t>
      </w:r>
      <w:r>
        <w:rPr>
          <w:rStyle w:val="FunctionTok"/>
        </w:rPr>
        <w:t xml:space="preserve">Item</w:t>
      </w:r>
      <w:r>
        <w:rPr>
          <w:rStyle w:val="OtherTok"/>
        </w:rPr>
        <w:t xml:space="preserve">(</w:t>
      </w:r>
      <w:r>
        <w:rPr>
          <w:rStyle w:val="StringTok"/>
        </w:rPr>
        <w:t xml:space="preserve">"Path"</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KeywordTok"/>
        </w:rPr>
        <w:t xml:space="preserve">Set</w:t>
      </w:r>
      <w:r>
        <w:rPr>
          <w:rStyle w:val="NormalTok"/>
        </w:rPr>
        <w:t xml:space="preserve"> </w:t>
      </w:r>
      <w:r>
        <w:rPr>
          <w:rStyle w:val="FunctionTok"/>
        </w:rPr>
        <w:t xml:space="preserve">item</w:t>
      </w:r>
      <w:r>
        <w:rPr>
          <w:rStyle w:val="NormalTok"/>
        </w:rPr>
        <w:t xml:space="preserve"> = </w:t>
      </w:r>
      <w:r>
        <w:rPr>
          <w:rStyle w:val="KeywordTok"/>
        </w:rPr>
        <w:t xml:space="preserve">Nothing</w:t>
      </w:r>
      <w:r>
        <w:br/>
      </w:r>
      <w:r>
        <w:rPr>
          <w:rStyle w:val="NormalTok"/>
        </w:rPr>
        <w:t xml:space="preserve">    </w:t>
      </w:r>
      <w:r>
        <w:rPr>
          <w:rStyle w:val="ControlFlowTok"/>
        </w:rPr>
        <w:t xml:space="preserve">Next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"Find failed."</w:t>
      </w:r>
      <w:r>
        <w:br/>
      </w:r>
      <w:r>
        <w:rPr>
          <w:rStyle w:val="ControlFlowTok"/>
        </w:rPr>
        <w:t xml:space="preserve">End If</w:t>
      </w:r>
      <w:r>
        <w:br/>
      </w:r>
      <w:r>
        <w:br/>
      </w:r>
      <w:r>
        <w:rPr>
          <w:rStyle w:val="KeywordTok"/>
        </w:rPr>
        <w:t xml:space="preserve">Set</w:t>
      </w:r>
      <w:r>
        <w:rPr>
          <w:rStyle w:val="NormalTok"/>
        </w:rPr>
        <w:t xml:space="preserve"> fc = </w:t>
      </w:r>
      <w:r>
        <w:rPr>
          <w:rStyle w:val="KeywordTok"/>
        </w:rPr>
        <w:t xml:space="preserve">Nothing</w:t>
      </w:r>
      <w:r>
        <w:br/>
      </w:r>
      <w:r>
        <w:rPr>
          <w:rStyle w:val="DataTypeTok"/>
        </w:rPr>
        <w:t xml:space="preserve">%&gt;</w:t>
      </w:r>
    </w:p>
    <w:bookmarkEnd w:id="4253"/>
    <w:bookmarkEnd w:id="4254"/>
    <w:bookmarkStart w:id="4261" w:name="info-method"/>
    <w:p>
      <w:pPr>
        <w:pStyle w:val="Heading1"/>
      </w:pPr>
      <w:r>
        <w:t xml:space="preserve">Info Method</w:t>
      </w:r>
    </w:p>
    <w:bookmarkStart w:id="4255" w:name="overview-475"/>
    <w:p>
      <w:pPr>
        <w:pStyle w:val="Heading2"/>
      </w:pPr>
      <w:r>
        <w:t xml:space="preserve">Overview</w:t>
      </w:r>
    </w:p>
    <w:p>
      <w:pPr>
        <w:pStyle w:val="FirstParagraph"/>
      </w:pPr>
      <w:r>
        <w:t xml:space="preserve">Export archive metadata from a G3FC file into an output file.</w:t>
      </w:r>
    </w:p>
    <w:bookmarkEnd w:id="4255"/>
    <w:bookmarkStart w:id="4256" w:name="syntax-458"/>
    <w:p>
      <w:pPr>
        <w:pStyle w:val="Heading2"/>
      </w:pPr>
      <w:r>
        <w:t xml:space="preserve">Syntax</w:t>
      </w:r>
    </w:p>
    <w:p>
      <w:pPr>
        <w:pStyle w:val="SourceCode"/>
      </w:pPr>
      <w:r>
        <w:rPr>
          <w:rStyle w:val="NormalTok"/>
        </w:rPr>
        <w:t xml:space="preserve">result = fc.Info(archivePath, outputFilePath [, password])</w:t>
      </w:r>
    </w:p>
    <w:bookmarkEnd w:id="4256"/>
    <w:bookmarkStart w:id="4257" w:name="parameters-and-arguments-127"/>
    <w:p>
      <w:pPr>
        <w:pStyle w:val="Heading2"/>
      </w:pPr>
      <w:r>
        <w:t xml:space="preserve">Parameters and Arguments</w:t>
      </w:r>
    </w:p>
    <w:p>
      <w:pPr>
        <w:pStyle w:val="Compact"/>
        <w:numPr>
          <w:ilvl w:val="0"/>
          <w:numId w:val="2079"/>
        </w:numPr>
      </w:pPr>
      <w:r>
        <w:t xml:space="preserve">archivePath (String, Required): Source</w:t>
      </w:r>
      <w:r>
        <w:t xml:space="preserve"> </w:t>
      </w:r>
      <w:r>
        <w:rPr>
          <w:rStyle w:val="VerbatimChar"/>
        </w:rPr>
        <w:t xml:space="preserve">.g3fc</w:t>
      </w:r>
      <w:r>
        <w:t xml:space="preserve"> </w:t>
      </w:r>
      <w:r>
        <w:t xml:space="preserve">file path.</w:t>
      </w:r>
    </w:p>
    <w:p>
      <w:pPr>
        <w:pStyle w:val="Compact"/>
        <w:numPr>
          <w:ilvl w:val="0"/>
          <w:numId w:val="2079"/>
        </w:numPr>
      </w:pPr>
      <w:r>
        <w:t xml:space="preserve">outputFilePath (String, Required): Destination file path that receives the exported metadata.</w:t>
      </w:r>
    </w:p>
    <w:p>
      <w:pPr>
        <w:pStyle w:val="Compact"/>
        <w:numPr>
          <w:ilvl w:val="0"/>
          <w:numId w:val="2079"/>
        </w:numPr>
      </w:pPr>
      <w:r>
        <w:t xml:space="preserve">password (String, Optional): Archive password for encrypted archives.</w:t>
      </w:r>
    </w:p>
    <w:bookmarkEnd w:id="4257"/>
    <w:bookmarkStart w:id="4258" w:name="return-values-178"/>
    <w:p>
      <w:pPr>
        <w:pStyle w:val="Heading2"/>
      </w:pPr>
      <w:r>
        <w:t xml:space="preserve">Return Values</w:t>
      </w:r>
    </w:p>
    <w:p>
      <w:pPr>
        <w:pStyle w:val="Compact"/>
        <w:numPr>
          <w:ilvl w:val="0"/>
          <w:numId w:val="2080"/>
        </w:numPr>
      </w:pPr>
      <w:r>
        <w:t xml:space="preserve">Returns</w:t>
      </w:r>
      <w:r>
        <w:t xml:space="preserve"> </w:t>
      </w:r>
      <w:r>
        <w:rPr>
          <w:rStyle w:val="VerbatimChar"/>
        </w:rPr>
        <w:t xml:space="preserve">True</w:t>
      </w:r>
      <w:r>
        <w:t xml:space="preserve"> </w:t>
      </w:r>
      <w:r>
        <w:t xml:space="preserve">when metadata export succeeds.</w:t>
      </w:r>
    </w:p>
    <w:p>
      <w:pPr>
        <w:pStyle w:val="Compact"/>
        <w:numPr>
          <w:ilvl w:val="0"/>
          <w:numId w:val="2080"/>
        </w:numPr>
      </w:pPr>
      <w:r>
        <w:t xml:space="preserve">Returns</w:t>
      </w:r>
      <w:r>
        <w:t xml:space="preserve"> </w:t>
      </w:r>
      <w:r>
        <w:rPr>
          <w:rStyle w:val="VerbatimChar"/>
        </w:rPr>
        <w:t xml:space="preserve">False</w:t>
      </w:r>
      <w:r>
        <w:t xml:space="preserve"> </w:t>
      </w:r>
      <w:r>
        <w:t xml:space="preserve">when required arguments are missing, path resolution fails, or export fails.</w:t>
      </w:r>
    </w:p>
    <w:bookmarkEnd w:id="4258"/>
    <w:bookmarkStart w:id="4259" w:name="remarks-444"/>
    <w:p>
      <w:pPr>
        <w:pStyle w:val="Heading2"/>
      </w:pPr>
      <w:r>
        <w:t xml:space="preserve">Remarks</w:t>
      </w:r>
    </w:p>
    <w:p>
      <w:pPr>
        <w:pStyle w:val="Compact"/>
        <w:numPr>
          <w:ilvl w:val="0"/>
          <w:numId w:val="2081"/>
        </w:numPr>
      </w:pPr>
      <w:r>
        <w:t xml:space="preserve">Method names are case-insensitive.</w:t>
      </w:r>
    </w:p>
    <w:p>
      <w:pPr>
        <w:pStyle w:val="Compact"/>
        <w:numPr>
          <w:ilvl w:val="0"/>
          <w:numId w:val="2081"/>
        </w:numPr>
      </w:pPr>
      <w:r>
        <w:t xml:space="preserve">Runtime export failures raise an internal VBScript error and the method still returns</w:t>
      </w:r>
      <w:r>
        <w:t xml:space="preserve"> </w:t>
      </w:r>
      <w:r>
        <w:rPr>
          <w:rStyle w:val="VerbatimChar"/>
        </w:rPr>
        <w:t xml:space="preserve">False</w:t>
      </w:r>
      <w:r>
        <w:t xml:space="preserve">.</w:t>
      </w:r>
    </w:p>
    <w:bookmarkEnd w:id="4259"/>
    <w:bookmarkStart w:id="4260" w:name="code-example-25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fc</w:t>
      </w:r>
      <w:r>
        <w:rPr>
          <w:rStyle w:val="OtherTok"/>
        </w:rPr>
        <w:t xml:space="preserve">,</w:t>
      </w:r>
      <w:r>
        <w:rPr>
          <w:rStyle w:val="NormalTok"/>
        </w:rPr>
        <w:t xml:space="preserve"> ok</w:t>
      </w:r>
      <w:r>
        <w:br/>
      </w:r>
      <w:r>
        <w:rPr>
          <w:rStyle w:val="KeywordTok"/>
        </w:rPr>
        <w:t xml:space="preserve">Set</w:t>
      </w:r>
      <w:r>
        <w:rPr>
          <w:rStyle w:val="NormalTok"/>
        </w:rPr>
        <w:t xml:space="preserve"> fc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"G3FC"</w:t>
      </w:r>
      <w:r>
        <w:rPr>
          <w:rStyle w:val="OtherTok"/>
        </w:rPr>
        <w:t xml:space="preserve">)</w:t>
      </w:r>
      <w:r>
        <w:br/>
      </w:r>
      <w:r>
        <w:br/>
      </w:r>
      <w:r>
        <w:rPr>
          <w:rStyle w:val="NormalTok"/>
        </w:rPr>
        <w:t xml:space="preserve">ok = fc.Info</w:t>
      </w:r>
      <w:r>
        <w:rPr>
          <w:rStyle w:val="OtherTok"/>
        </w:rPr>
        <w:t xml:space="preserve">(</w:t>
      </w:r>
      <w:r>
        <w:rPr>
          <w:rStyle w:val="StringTok"/>
        </w:rPr>
        <w:t xml:space="preserve">"/sandbox/archive.g3fc"</w:t>
      </w:r>
      <w:r>
        <w:rPr>
          <w:rStyle w:val="OtherTok"/>
        </w:rPr>
        <w:t xml:space="preserve">,</w:t>
      </w:r>
      <w:r>
        <w:rPr>
          <w:rStyle w:val="NormalTok"/>
        </w:rPr>
        <w:t xml:space="preserve"> </w:t>
      </w:r>
      <w:r>
        <w:rPr>
          <w:rStyle w:val="StringTok"/>
        </w:rPr>
        <w:t xml:space="preserve">"/sandbox/archive-info.txt"</w:t>
      </w:r>
      <w:r>
        <w:rPr>
          <w:rStyle w:val="OtherTok"/>
        </w:rPr>
        <w:t xml:space="preserve">,</w:t>
      </w:r>
      <w:r>
        <w:rPr>
          <w:rStyle w:val="NormalTok"/>
        </w:rPr>
        <w:t xml:space="preserve"> </w:t>
      </w:r>
      <w:r>
        <w:rPr>
          <w:rStyle w:val="StringTok"/>
        </w:rPr>
        <w:t xml:space="preserve">"AxonPass"</w:t>
      </w:r>
      <w:r>
        <w:rPr>
          <w:rStyle w:val="OtherTok"/>
        </w:rPr>
        <w:t xml:space="preserve">)</w:t>
      </w:r>
      <w:r>
        <w:br/>
      </w:r>
      <w:r>
        <w:br/>
      </w:r>
      <w:r>
        <w:rPr>
          <w:rStyle w:val="ControlFlowTok"/>
        </w:rPr>
        <w:t xml:space="preserve">If</w:t>
      </w:r>
      <w:r>
        <w:rPr>
          <w:rStyle w:val="NormalTok"/>
        </w:rPr>
        <w:t xml:space="preserve"> ok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info exported."</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"Archive info export failed."</w:t>
      </w:r>
      <w:r>
        <w:br/>
      </w:r>
      <w:r>
        <w:rPr>
          <w:rStyle w:val="ControlFlowTok"/>
        </w:rPr>
        <w:t xml:space="preserve">End If</w:t>
      </w:r>
      <w:r>
        <w:br/>
      </w:r>
      <w:r>
        <w:br/>
      </w:r>
      <w:r>
        <w:rPr>
          <w:rStyle w:val="KeywordTok"/>
        </w:rPr>
        <w:t xml:space="preserve">Set</w:t>
      </w:r>
      <w:r>
        <w:rPr>
          <w:rStyle w:val="NormalTok"/>
        </w:rPr>
        <w:t xml:space="preserve"> fc = </w:t>
      </w:r>
      <w:r>
        <w:rPr>
          <w:rStyle w:val="KeywordTok"/>
        </w:rPr>
        <w:t xml:space="preserve">Nothing</w:t>
      </w:r>
      <w:r>
        <w:br/>
      </w:r>
      <w:r>
        <w:rPr>
          <w:rStyle w:val="DataTypeTok"/>
        </w:rPr>
        <w:t xml:space="preserve">%&gt;</w:t>
      </w:r>
    </w:p>
    <w:bookmarkEnd w:id="4260"/>
    <w:bookmarkEnd w:id="4261"/>
    <w:bookmarkStart w:id="4269" w:name="list-method-3"/>
    <w:p>
      <w:pPr>
        <w:pStyle w:val="Heading1"/>
      </w:pPr>
      <w:r>
        <w:t xml:space="preserve">List Method</w:t>
      </w:r>
    </w:p>
    <w:bookmarkStart w:id="4262" w:name="overview-476"/>
    <w:p>
      <w:pPr>
        <w:pStyle w:val="Heading2"/>
      </w:pPr>
      <w:r>
        <w:t xml:space="preserve">Overview</w:t>
      </w:r>
    </w:p>
    <w:p>
      <w:pPr>
        <w:pStyle w:val="FirstParagraph"/>
      </w:pPr>
      <w:r>
        <w:t xml:space="preserve">List entries stored in a G3FC archive.</w:t>
      </w:r>
    </w:p>
    <w:bookmarkEnd w:id="4262"/>
    <w:bookmarkStart w:id="4263" w:name="syntax-459"/>
    <w:p>
      <w:pPr>
        <w:pStyle w:val="Heading2"/>
      </w:pPr>
      <w:r>
        <w:t xml:space="preserve">Syntax</w:t>
      </w:r>
    </w:p>
    <w:p>
      <w:pPr>
        <w:pStyle w:val="SourceCode"/>
      </w:pPr>
      <w:r>
        <w:rPr>
          <w:rStyle w:val="NormalTok"/>
        </w:rPr>
        <w:t xml:space="preserve">entries = fc.List(archivePath [, password] [, unit] [, details])</w:t>
      </w:r>
    </w:p>
    <w:bookmarkEnd w:id="4263"/>
    <w:bookmarkStart w:id="4264" w:name="parameters-and-arguments-128"/>
    <w:p>
      <w:pPr>
        <w:pStyle w:val="Heading2"/>
      </w:pPr>
      <w:r>
        <w:t xml:space="preserve">Parameters and Arguments</w:t>
      </w:r>
    </w:p>
    <w:p>
      <w:pPr>
        <w:pStyle w:val="Compact"/>
        <w:numPr>
          <w:ilvl w:val="0"/>
          <w:numId w:val="2082"/>
        </w:numPr>
      </w:pPr>
      <w:r>
        <w:t xml:space="preserve">archivePath (String, Required): Source</w:t>
      </w:r>
      <w:r>
        <w:t xml:space="preserve"> </w:t>
      </w:r>
      <w:r>
        <w:rPr>
          <w:rStyle w:val="VerbatimChar"/>
        </w:rPr>
        <w:t xml:space="preserve">.g3fc</w:t>
      </w:r>
      <w:r>
        <w:t xml:space="preserve"> </w:t>
      </w:r>
      <w:r>
        <w:t xml:space="preserve">file path.</w:t>
      </w:r>
    </w:p>
    <w:p>
      <w:pPr>
        <w:pStyle w:val="Compact"/>
        <w:numPr>
          <w:ilvl w:val="0"/>
          <w:numId w:val="2082"/>
        </w:numPr>
      </w:pPr>
      <w:r>
        <w:t xml:space="preserve">password (String, Optional): Archive password for encrypted archives.</w:t>
      </w:r>
    </w:p>
    <w:p>
      <w:pPr>
        <w:pStyle w:val="Compact"/>
        <w:numPr>
          <w:ilvl w:val="0"/>
          <w:numId w:val="2082"/>
        </w:numPr>
      </w:pPr>
      <w:r>
        <w:t xml:space="preserve">unit (String, Optional): Formatted size unit used by</w:t>
      </w:r>
      <w:r>
        <w:t xml:space="preserve"> </w:t>
      </w:r>
      <w:r>
        <w:rPr>
          <w:rStyle w:val="VerbatimChar"/>
        </w:rPr>
        <w:t xml:space="preserve">FormattedSize</w:t>
      </w:r>
      <w:r>
        <w:t xml:space="preserve">. Supported values are</w:t>
      </w:r>
      <w:r>
        <w:t xml:space="preserve"> </w:t>
      </w:r>
      <w:r>
        <w:rPr>
          <w:rStyle w:val="VerbatimChar"/>
        </w:rPr>
        <w:t xml:space="preserve">TB</w:t>
      </w:r>
      <w:r>
        <w:t xml:space="preserve">,</w:t>
      </w:r>
      <w:r>
        <w:t xml:space="preserve"> </w:t>
      </w:r>
      <w:r>
        <w:rPr>
          <w:rStyle w:val="VerbatimChar"/>
        </w:rPr>
        <w:t xml:space="preserve">GB</w:t>
      </w:r>
      <w:r>
        <w:t xml:space="preserve">,</w:t>
      </w:r>
      <w:r>
        <w:t xml:space="preserve"> </w:t>
      </w:r>
      <w:r>
        <w:rPr>
          <w:rStyle w:val="VerbatimChar"/>
        </w:rPr>
        <w:t xml:space="preserve">MB</w:t>
      </w:r>
      <w:r>
        <w:t xml:space="preserve">, and</w:t>
      </w:r>
      <w:r>
        <w:t xml:space="preserve"> </w:t>
      </w:r>
      <w:r>
        <w:rPr>
          <w:rStyle w:val="VerbatimChar"/>
        </w:rPr>
        <w:t xml:space="preserve">KB</w:t>
      </w:r>
      <w:r>
        <w:t xml:space="preserve">. Default is</w:t>
      </w:r>
      <w:r>
        <w:t xml:space="preserve"> </w:t>
      </w:r>
      <w:r>
        <w:rPr>
          <w:rStyle w:val="VerbatimChar"/>
        </w:rPr>
        <w:t xml:space="preserve">KB</w:t>
      </w:r>
      <w:r>
        <w:t xml:space="preserve">. Any other value returns sizes as</w:t>
      </w:r>
      <w:r>
        <w:t xml:space="preserve"> </w:t>
      </w:r>
      <w:r>
        <w:rPr>
          <w:rStyle w:val="VerbatimChar"/>
        </w:rPr>
        <w:t xml:space="preserve">B</w:t>
      </w:r>
      <w:r>
        <w:t xml:space="preserve"> </w:t>
      </w:r>
      <w:r>
        <w:t xml:space="preserve">text.</w:t>
      </w:r>
    </w:p>
    <w:p>
      <w:pPr>
        <w:pStyle w:val="Compact"/>
        <w:numPr>
          <w:ilvl w:val="0"/>
          <w:numId w:val="2082"/>
        </w:numPr>
      </w:pPr>
      <w:r>
        <w:t xml:space="preserve">details (Boolean, Optional): When</w:t>
      </w:r>
      <w:r>
        <w:t xml:space="preserve"> </w:t>
      </w:r>
      <w:r>
        <w:rPr>
          <w:rStyle w:val="VerbatimChar"/>
        </w:rPr>
        <w:t xml:space="preserve">True</w:t>
      </w:r>
      <w:r>
        <w:t xml:space="preserve">, includes extended metadata fields in each result item. Default is</w:t>
      </w:r>
      <w:r>
        <w:t xml:space="preserve"> </w:t>
      </w:r>
      <w:r>
        <w:rPr>
          <w:rStyle w:val="VerbatimChar"/>
        </w:rPr>
        <w:t xml:space="preserve">False</w:t>
      </w:r>
      <w:r>
        <w:t xml:space="preserve">.</w:t>
      </w:r>
    </w:p>
    <w:bookmarkEnd w:id="4264"/>
    <w:bookmarkStart w:id="4265" w:name="return-values-179"/>
    <w:p>
      <w:pPr>
        <w:pStyle w:val="Heading2"/>
      </w:pPr>
      <w:r>
        <w:t xml:space="preserve">Return Values</w:t>
      </w:r>
    </w:p>
    <w:p>
      <w:pPr>
        <w:pStyle w:val="Compact"/>
        <w:numPr>
          <w:ilvl w:val="0"/>
          <w:numId w:val="2083"/>
        </w:numPr>
      </w:pPr>
      <w:r>
        <w:t xml:space="preserve">Returns a zero-based Array of</w:t>
      </w:r>
      <w:r>
        <w:t xml:space="preserve"> </w:t>
      </w:r>
      <w:r>
        <w:rPr>
          <w:rStyle w:val="VerbatimChar"/>
        </w:rPr>
        <w:t xml:space="preserve">Scripting.Dictionary</w:t>
      </w:r>
      <w:r>
        <w:t xml:space="preserve"> </w:t>
      </w:r>
      <w:r>
        <w:t xml:space="preserve">objects when listing succeeds.</w:t>
      </w:r>
    </w:p>
    <w:p>
      <w:pPr>
        <w:pStyle w:val="Compact"/>
        <w:numPr>
          <w:ilvl w:val="0"/>
          <w:numId w:val="2083"/>
        </w:numPr>
      </w:pPr>
      <w:r>
        <w:t xml:space="preserve">Each Dictionary always includes:</w:t>
      </w:r>
      <w:r>
        <w:t xml:space="preserve"> </w:t>
      </w:r>
      <w:r>
        <w:rPr>
          <w:rStyle w:val="VerbatimChar"/>
        </w:rPr>
        <w:t xml:space="preserve">Path</w:t>
      </w:r>
      <w:r>
        <w:t xml:space="preserve"> </w:t>
      </w:r>
      <w:r>
        <w:t xml:space="preserve">(String),</w:t>
      </w:r>
      <w:r>
        <w:t xml:space="preserve"> </w:t>
      </w:r>
      <w:r>
        <w:rPr>
          <w:rStyle w:val="VerbatimChar"/>
        </w:rPr>
        <w:t xml:space="preserve">Size</w:t>
      </w:r>
      <w:r>
        <w:t xml:space="preserve"> </w:t>
      </w:r>
      <w:r>
        <w:t xml:space="preserve">(Integer),</w:t>
      </w:r>
      <w:r>
        <w:t xml:space="preserve"> </w:t>
      </w:r>
      <w:r>
        <w:rPr>
          <w:rStyle w:val="VerbatimChar"/>
        </w:rPr>
        <w:t xml:space="preserve">FormattedSize</w:t>
      </w:r>
      <w:r>
        <w:t xml:space="preserve"> </w:t>
      </w:r>
      <w:r>
        <w:t xml:space="preserve">(String), and</w:t>
      </w:r>
      <w:r>
        <w:t xml:space="preserve"> </w:t>
      </w:r>
      <w:r>
        <w:rPr>
          <w:rStyle w:val="VerbatimChar"/>
        </w:rPr>
        <w:t xml:space="preserve">Type</w:t>
      </w:r>
      <w:r>
        <w:t xml:space="preserve"> </w:t>
      </w:r>
      <w:r>
        <w:t xml:space="preserve">(String).</w:t>
      </w:r>
    </w:p>
    <w:p>
      <w:pPr>
        <w:pStyle w:val="Compact"/>
        <w:numPr>
          <w:ilvl w:val="0"/>
          <w:numId w:val="2083"/>
        </w:numPr>
      </w:pPr>
      <w:r>
        <w:t xml:space="preserve">When</w:t>
      </w:r>
      <w:r>
        <w:t xml:space="preserve"> </w:t>
      </w:r>
      <w:r>
        <w:rPr>
          <w:rStyle w:val="VerbatimChar"/>
        </w:rPr>
        <w:t xml:space="preserve">details=True</w:t>
      </w:r>
      <w:r>
        <w:t xml:space="preserve">, each Dictionary also includes:</w:t>
      </w:r>
      <w:r>
        <w:t xml:space="preserve"> </w:t>
      </w:r>
      <w:r>
        <w:rPr>
          <w:rStyle w:val="VerbatimChar"/>
        </w:rPr>
        <w:t xml:space="preserve">Permissions</w:t>
      </w:r>
      <w:r>
        <w:t xml:space="preserve"> </w:t>
      </w:r>
      <w:r>
        <w:t xml:space="preserve">(String in octal format),</w:t>
      </w:r>
      <w:r>
        <w:t xml:space="preserve"> </w:t>
      </w:r>
      <w:r>
        <w:rPr>
          <w:rStyle w:val="VerbatimChar"/>
        </w:rPr>
        <w:t xml:space="preserve">CreationTime</w:t>
      </w:r>
      <w:r>
        <w:t xml:space="preserve"> </w:t>
      </w:r>
      <w:r>
        <w:t xml:space="preserve">(RFC3339 String), and</w:t>
      </w:r>
      <w:r>
        <w:t xml:space="preserve"> </w:t>
      </w:r>
      <w:r>
        <w:rPr>
          <w:rStyle w:val="VerbatimChar"/>
        </w:rPr>
        <w:t xml:space="preserve">Checksum</w:t>
      </w:r>
      <w:r>
        <w:t xml:space="preserve"> </w:t>
      </w:r>
      <w:r>
        <w:t xml:space="preserve">(uppercase 8-digit hexadecimal String).</w:t>
      </w:r>
    </w:p>
    <w:p>
      <w:pPr>
        <w:pStyle w:val="Compact"/>
        <w:numPr>
          <w:ilvl w:val="0"/>
          <w:numId w:val="2083"/>
        </w:numPr>
      </w:pPr>
      <w:r>
        <w:t xml:space="preserve">Returns</w:t>
      </w:r>
      <w:r>
        <w:t xml:space="preserve"> </w:t>
      </w:r>
      <w:r>
        <w:rPr>
          <w:rStyle w:val="VerbatimChar"/>
        </w:rPr>
        <w:t xml:space="preserve">Empty</w:t>
      </w:r>
      <w:r>
        <w:t xml:space="preserve"> </w:t>
      </w:r>
      <w:r>
        <w:t xml:space="preserve">when required arguments are missing, path resolution fails, or archive index reading fails.</w:t>
      </w:r>
    </w:p>
    <w:bookmarkEnd w:id="4265"/>
    <w:bookmarkStart w:id="4266" w:name="remarks-445"/>
    <w:p>
      <w:pPr>
        <w:pStyle w:val="Heading2"/>
      </w:pPr>
      <w:r>
        <w:t xml:space="preserve">Remarks</w:t>
      </w:r>
    </w:p>
    <w:p>
      <w:pPr>
        <w:pStyle w:val="Compact"/>
        <w:numPr>
          <w:ilvl w:val="0"/>
          <w:numId w:val="2084"/>
        </w:numPr>
      </w:pPr>
      <w:r>
        <w:t xml:space="preserve">Method names are case-insensitive.</w:t>
      </w:r>
    </w:p>
    <w:p>
      <w:pPr>
        <w:pStyle w:val="Compact"/>
        <w:numPr>
          <w:ilvl w:val="0"/>
          <w:numId w:val="2084"/>
        </w:numPr>
      </w:pPr>
      <w:r>
        <w:t xml:space="preserve">Runtime read failures raise an internal VBScript error and the method returns</w:t>
      </w:r>
      <w:r>
        <w:t xml:space="preserve"> </w:t>
      </w:r>
      <w:r>
        <w:rPr>
          <w:rStyle w:val="VerbatimChar"/>
        </w:rPr>
        <w:t xml:space="preserve">Empty</w:t>
      </w:r>
      <w:r>
        <w:t xml:space="preserve">.</w:t>
      </w:r>
    </w:p>
    <w:bookmarkEnd w:id="4266"/>
    <w:bookmarkStart w:id="4267" w:name="code-example-25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fc</w:t>
      </w:r>
      <w:r>
        <w:rPr>
          <w:rStyle w:val="OtherTok"/>
        </w:rPr>
        <w:t xml:space="preserve">,</w:t>
      </w:r>
      <w:r>
        <w:rPr>
          <w:rStyle w:val="NormalTok"/>
        </w:rPr>
        <w:t xml:space="preserve"> entries</w:t>
      </w:r>
      <w:r>
        <w:rPr>
          <w:rStyle w:val="OtherTok"/>
        </w:rPr>
        <w:t xml:space="preserve">,</w:t>
      </w:r>
      <w:r>
        <w:rPr>
          <w:rStyle w:val="NormalTok"/>
        </w:rPr>
        <w:t xml:space="preserve"> i</w:t>
      </w:r>
      <w:r>
        <w:rPr>
          <w:rStyle w:val="OtherTok"/>
        </w:rPr>
        <w:t xml:space="preserve">,</w:t>
      </w:r>
      <w:r>
        <w:rPr>
          <w:rStyle w:val="NormalTok"/>
        </w:rPr>
        <w:t xml:space="preserve"> </w:t>
      </w:r>
      <w:r>
        <w:rPr>
          <w:rStyle w:val="FunctionTok"/>
        </w:rPr>
        <w:t xml:space="preserve">item</w:t>
      </w:r>
      <w:r>
        <w:br/>
      </w:r>
      <w:r>
        <w:rPr>
          <w:rStyle w:val="KeywordTok"/>
        </w:rPr>
        <w:t xml:space="preserve">Set</w:t>
      </w:r>
      <w:r>
        <w:rPr>
          <w:rStyle w:val="NormalTok"/>
        </w:rPr>
        <w:t xml:space="preserve"> fc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"G3FC"</w:t>
      </w:r>
      <w:r>
        <w:rPr>
          <w:rStyle w:val="OtherTok"/>
        </w:rPr>
        <w:t xml:space="preserve">)</w:t>
      </w:r>
      <w:r>
        <w:br/>
      </w:r>
      <w:r>
        <w:br/>
      </w:r>
      <w:r>
        <w:rPr>
          <w:rStyle w:val="NormalTok"/>
        </w:rPr>
        <w:t xml:space="preserve">entries = fc.List</w:t>
      </w:r>
      <w:r>
        <w:rPr>
          <w:rStyle w:val="OtherTok"/>
        </w:rPr>
        <w:t xml:space="preserve">(</w:t>
      </w:r>
      <w:r>
        <w:rPr>
          <w:rStyle w:val="StringTok"/>
        </w:rPr>
        <w:t xml:space="preserve">"/sandbox/archive.g3fc"</w:t>
      </w:r>
      <w:r>
        <w:rPr>
          <w:rStyle w:val="OtherTok"/>
        </w:rPr>
        <w:t xml:space="preserve">,</w:t>
      </w:r>
      <w:r>
        <w:rPr>
          <w:rStyle w:val="NormalTok"/>
        </w:rPr>
        <w:t xml:space="preserve"> </w:t>
      </w:r>
      <w:r>
        <w:rPr>
          <w:rStyle w:val="StringTok"/>
        </w:rPr>
        <w:t xml:space="preserve">"AxonPass"</w:t>
      </w:r>
      <w:r>
        <w:rPr>
          <w:rStyle w:val="OtherTok"/>
        </w:rPr>
        <w:t xml:space="preserve">,</w:t>
      </w:r>
      <w:r>
        <w:rPr>
          <w:rStyle w:val="NormalTok"/>
        </w:rPr>
        <w:t xml:space="preserve"> </w:t>
      </w:r>
      <w:r>
        <w:rPr>
          <w:rStyle w:val="StringTok"/>
        </w:rPr>
        <w:t xml:space="preserve">"MB"</w:t>
      </w:r>
      <w:r>
        <w:rPr>
          <w:rStyle w:val="OtherTok"/>
        </w:rPr>
        <w:t xml:space="preserve">,</w:t>
      </w:r>
      <w:r>
        <w:rPr>
          <w:rStyle w:val="NormalTok"/>
        </w:rPr>
        <w:t xml:space="preserve"> </w:t>
      </w:r>
      <w:r>
        <w:rPr>
          <w:rStyle w:val="KeywordTok"/>
        </w:rPr>
        <w:t xml:space="preserve">True</w:t>
      </w:r>
      <w:r>
        <w:rPr>
          <w:rStyle w:val="OtherTok"/>
        </w:rPr>
        <w:t xml:space="preserve">)</w:t>
      </w:r>
      <w:r>
        <w:br/>
      </w:r>
      <w:r>
        <w:br/>
      </w:r>
      <w:r>
        <w:rPr>
          <w:rStyle w:val="ControlFlowTok"/>
        </w:rPr>
        <w:t xml:space="preserve">If</w:t>
      </w:r>
      <w:r>
        <w:rPr>
          <w:rStyle w:val="NormalTok"/>
        </w:rPr>
        <w:t xml:space="preserve"> </w:t>
      </w:r>
      <w:r>
        <w:rPr>
          <w:rStyle w:val="FunctionTok"/>
        </w:rPr>
        <w:t xml:space="preserve">IsArray</w:t>
      </w:r>
      <w:r>
        <w:rPr>
          <w:rStyle w:val="OtherTok"/>
        </w:rPr>
        <w:t xml:space="preserve">(</w:t>
      </w:r>
      <w:r>
        <w:rPr>
          <w:rStyle w:val="NormalTok"/>
        </w:rPr>
        <w:t xml:space="preserve">entries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For</w:t>
      </w:r>
      <w:r>
        <w:rPr>
          <w:rStyle w:val="NormalTok"/>
        </w:rPr>
        <w:t xml:space="preserve"> i = </w:t>
      </w:r>
      <w:r>
        <w:rPr>
          <w:rStyle w:val="FunctionTok"/>
        </w:rPr>
        <w:t xml:space="preserve">LBound</w:t>
      </w:r>
      <w:r>
        <w:rPr>
          <w:rStyle w:val="OtherTok"/>
        </w:rPr>
        <w:t xml:space="preserve">(</w:t>
      </w:r>
      <w:r>
        <w:rPr>
          <w:rStyle w:val="NormalTok"/>
        </w:rPr>
        <w:t xml:space="preserve">entries</w:t>
      </w:r>
      <w:r>
        <w:rPr>
          <w:rStyle w:val="OtherTok"/>
        </w:rPr>
        <w:t xml:space="preserve">)</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entries</w:t>
      </w:r>
      <w:r>
        <w:rPr>
          <w:rStyle w:val="OtherTok"/>
        </w:rPr>
        <w:t xml:space="preserve">)</w:t>
      </w:r>
      <w:r>
        <w:br/>
      </w:r>
      <w:r>
        <w:rPr>
          <w:rStyle w:val="NormalTok"/>
        </w:rPr>
        <w:t xml:space="preserve">        </w:t>
      </w:r>
      <w:r>
        <w:rPr>
          <w:rStyle w:val="KeywordTok"/>
        </w:rPr>
        <w:t xml:space="preserve">Set</w:t>
      </w:r>
      <w:r>
        <w:rPr>
          <w:rStyle w:val="NormalTok"/>
        </w:rPr>
        <w:t xml:space="preserve"> </w:t>
      </w:r>
      <w:r>
        <w:rPr>
          <w:rStyle w:val="FunctionTok"/>
        </w:rPr>
        <w:t xml:space="preserve">item</w:t>
      </w:r>
      <w:r>
        <w:rPr>
          <w:rStyle w:val="NormalTok"/>
        </w:rPr>
        <w:t xml:space="preserve"> = entries</w:t>
      </w:r>
      <w:r>
        <w:rPr>
          <w:rStyle w:val="OtherTok"/>
        </w:rPr>
        <w:t xml:space="preserve">(</w:t>
      </w:r>
      <w:r>
        <w:rPr>
          <w:rStyle w:val="NormalTok"/>
        </w:rPr>
        <w:t xml:space="preserve">i</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item</w:t>
      </w:r>
      <w:r>
        <w:rPr>
          <w:rStyle w:val="NormalTok"/>
        </w:rPr>
        <w:t xml:space="preserve">.</w:t>
      </w:r>
      <w:r>
        <w:rPr>
          <w:rStyle w:val="FunctionTok"/>
        </w:rPr>
        <w:t xml:space="preserve">Item</w:t>
      </w:r>
      <w:r>
        <w:rPr>
          <w:rStyle w:val="OtherTok"/>
        </w:rPr>
        <w:t xml:space="preserve">(</w:t>
      </w:r>
      <w:r>
        <w:rPr>
          <w:rStyle w:val="StringTok"/>
        </w:rPr>
        <w:t xml:space="preserve">"Path"</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w:t>
      </w:r>
      <w:r>
        <w:rPr>
          <w:rStyle w:val="FunctionTok"/>
        </w:rPr>
        <w:t xml:space="preserve">item</w:t>
      </w:r>
      <w:r>
        <w:rPr>
          <w:rStyle w:val="NormalTok"/>
        </w:rPr>
        <w:t xml:space="preserve">.</w:t>
      </w:r>
      <w:r>
        <w:rPr>
          <w:rStyle w:val="FunctionTok"/>
        </w:rPr>
        <w:t xml:space="preserve">Item</w:t>
      </w:r>
      <w:r>
        <w:rPr>
          <w:rStyle w:val="OtherTok"/>
        </w:rPr>
        <w:t xml:space="preserve">(</w:t>
      </w:r>
      <w:r>
        <w:rPr>
          <w:rStyle w:val="StringTok"/>
        </w:rPr>
        <w:t xml:space="preserve">"FormattedSize"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KeywordTok"/>
        </w:rPr>
        <w:t xml:space="preserve">Set</w:t>
      </w:r>
      <w:r>
        <w:rPr>
          <w:rStyle w:val="NormalTok"/>
        </w:rPr>
        <w:t xml:space="preserve"> </w:t>
      </w:r>
      <w:r>
        <w:rPr>
          <w:rStyle w:val="FunctionTok"/>
        </w:rPr>
        <w:t xml:space="preserve">item</w:t>
      </w:r>
      <w:r>
        <w:rPr>
          <w:rStyle w:val="NormalTok"/>
        </w:rPr>
        <w:t xml:space="preserve"> = </w:t>
      </w:r>
      <w:r>
        <w:rPr>
          <w:rStyle w:val="KeywordTok"/>
        </w:rPr>
        <w:t xml:space="preserve">Nothing</w:t>
      </w:r>
      <w:r>
        <w:br/>
      </w:r>
      <w:r>
        <w:rPr>
          <w:rStyle w:val="NormalTok"/>
        </w:rPr>
        <w:t xml:space="preserve">    </w:t>
      </w:r>
      <w:r>
        <w:rPr>
          <w:rStyle w:val="ControlFlowTok"/>
        </w:rPr>
        <w:t xml:space="preserve">Next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"List failed."</w:t>
      </w:r>
      <w:r>
        <w:br/>
      </w:r>
      <w:r>
        <w:rPr>
          <w:rStyle w:val="ControlFlowTok"/>
        </w:rPr>
        <w:t xml:space="preserve">End If</w:t>
      </w:r>
      <w:r>
        <w:br/>
      </w:r>
      <w:r>
        <w:br/>
      </w:r>
      <w:r>
        <w:rPr>
          <w:rStyle w:val="KeywordTok"/>
        </w:rPr>
        <w:t xml:space="preserve">Set</w:t>
      </w:r>
      <w:r>
        <w:rPr>
          <w:rStyle w:val="NormalTok"/>
        </w:rPr>
        <w:t xml:space="preserve"> fc = </w:t>
      </w:r>
      <w:r>
        <w:rPr>
          <w:rStyle w:val="KeywordTok"/>
        </w:rPr>
        <w:t xml:space="preserve">Nothing</w:t>
      </w:r>
      <w:r>
        <w:br/>
      </w:r>
      <w:r>
        <w:rPr>
          <w:rStyle w:val="DataTypeTok"/>
        </w:rPr>
        <w:t xml:space="preserve">%&gt;</w:t>
      </w:r>
    </w:p>
    <w:bookmarkEnd w:id="4267"/>
    <w:bookmarkStart w:id="4268" w:name="g3md"/>
    <w:p>
      <w:pPr>
        <w:pStyle w:val="Heading2"/>
      </w:pPr>
      <w:r>
        <w:t xml:space="preserve">G3MD</w:t>
      </w:r>
    </w:p>
    <w:bookmarkEnd w:id="4268"/>
    <w:bookmarkEnd w:id="4269"/>
    <w:bookmarkStart w:id="4278" w:name="use-the-g3md-library"/>
    <w:p>
      <w:pPr>
        <w:pStyle w:val="Heading1"/>
      </w:pPr>
      <w:r>
        <w:t xml:space="preserve">Use the G3MD Library</w:t>
      </w:r>
    </w:p>
    <w:bookmarkStart w:id="4270" w:name="overview-477"/>
    <w:p>
      <w:pPr>
        <w:pStyle w:val="Heading2"/>
      </w:pPr>
      <w:r>
        <w:t xml:space="preserve">Overview</w:t>
      </w:r>
    </w:p>
    <w:p>
      <w:pPr>
        <w:pStyle w:val="FirstParagraph"/>
      </w:pPr>
      <w:r>
        <w:t xml:space="preserve">The</w:t>
      </w:r>
      <w:r>
        <w:t xml:space="preserve"> </w:t>
      </w:r>
      <w:r>
        <w:rPr>
          <w:b/>
          <w:bCs/>
        </w:rPr>
        <w:t xml:space="preserve">G3MD</w:t>
      </w:r>
      <w:r>
        <w:t xml:space="preserve"> </w:t>
      </w:r>
      <w:r>
        <w:t xml:space="preserve">library provides high-performance Markdown-to-HTML conversion services for G3Pix AxonASP applications. Built on the industry-standard Goldmark engine, it supports GitHub Flavored Markdown (GFM) extensions, including tables, task lists, and strikethrough. The library is optimized for zero-allocation performance and is ideal for rendering technical documentation, blog posts, or user-generated content directly on the server.</w:t>
      </w:r>
    </w:p>
    <w:bookmarkEnd w:id="4270"/>
    <w:bookmarkStart w:id="4271" w:name="syntax-460"/>
    <w:p>
      <w:pPr>
        <w:pStyle w:val="Heading2"/>
      </w:pPr>
      <w:r>
        <w:t xml:space="preserve">Syntax</w:t>
      </w:r>
    </w:p>
    <w:p>
      <w:pPr>
        <w:pStyle w:val="FirstParagraph"/>
      </w:pPr>
      <w:r>
        <w:t xml:space="preserve">To instantiate the library, use the following syntax:</w:t>
      </w:r>
    </w:p>
    <w:p>
      <w:pPr>
        <w:pStyle w:val="SourceCode"/>
      </w:pPr>
      <w:r>
        <w:rPr>
          <w:rStyle w:val="NormalTok"/>
        </w:rPr>
        <w:t xml:space="preserve">Dim md</w:t>
      </w:r>
      <w:r>
        <w:br/>
      </w:r>
      <w:r>
        <w:rPr>
          <w:rStyle w:val="NormalTok"/>
        </w:rPr>
        <w:t xml:space="preserve">Set md = Server.CreateObject("G3MD")</w:t>
      </w:r>
    </w:p>
    <w:p>
      <w:pPr>
        <w:pStyle w:val="SourceCode"/>
      </w:pPr>
      <w:r>
        <w:rPr>
          <w:rStyle w:val="KeywordTok"/>
        </w:rPr>
        <w:t xml:space="preserve">var</w:t>
      </w:r>
      <w:r>
        <w:rPr>
          <w:rStyle w:val="NormalTok"/>
        </w:rPr>
        <w:t xml:space="preserve"> md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"G3MD"</w:t>
      </w:r>
      <w:r>
        <w:rPr>
          <w:rStyle w:val="NormalTok"/>
        </w:rPr>
        <w:t xml:space="preserve">)</w:t>
      </w:r>
      <w:r>
        <w:rPr>
          <w:rStyle w:val="OperatorTok"/>
        </w:rPr>
        <w:t xml:space="preserve">;</w:t>
      </w:r>
    </w:p>
    <w:bookmarkEnd w:id="4271"/>
    <w:bookmarkStart w:id="4272" w:name="prerequisites-156"/>
    <w:p>
      <w:pPr>
        <w:pStyle w:val="Heading2"/>
      </w:pPr>
      <w:r>
        <w:t xml:space="preserve">Prerequisites</w:t>
      </w:r>
    </w:p>
    <w:p>
      <w:pPr>
        <w:pStyle w:val="FirstParagraph"/>
      </w:pPr>
      <w:r>
        <w:t xml:space="preserve">No external dependencies are required. The G3MD library is a built-in native component of the G3Pix AxonASP environment.</w:t>
      </w:r>
    </w:p>
    <w:bookmarkEnd w:id="4272"/>
    <w:bookmarkStart w:id="4273" w:name="how-it-works-27"/>
    <w:p>
      <w:pPr>
        <w:pStyle w:val="Heading2"/>
      </w:pPr>
      <w:r>
        <w:t xml:space="preserve">How it Works</w:t>
      </w:r>
    </w:p>
    <w:p>
      <w:pPr>
        <w:pStyle w:val="FirstParagraph"/>
      </w:pPr>
      <w:r>
        <w:t xml:space="preserve">The G3MD object operates as a stateful processor. You can configure conversion options such as</w:t>
      </w:r>
      <w:r>
        <w:t xml:space="preserve"> </w:t>
      </w:r>
      <w:r>
        <w:rPr>
          <w:b/>
          <w:bCs/>
        </w:rPr>
        <w:t xml:space="preserve">HardWraps</w:t>
      </w:r>
      <w:r>
        <w:t xml:space="preserve"> </w:t>
      </w:r>
      <w:r>
        <w:t xml:space="preserve">and</w:t>
      </w:r>
      <w:r>
        <w:t xml:space="preserve"> </w:t>
      </w:r>
      <w:r>
        <w:rPr>
          <w:b/>
          <w:bCs/>
        </w:rPr>
        <w:t xml:space="preserve">Unsafe</w:t>
      </w:r>
      <w:r>
        <w:t xml:space="preserve"> </w:t>
      </w:r>
      <w:r>
        <w:t xml:space="preserve">before calling the</w:t>
      </w:r>
      <w:r>
        <w:t xml:space="preserve"> </w:t>
      </w:r>
      <w:r>
        <w:rPr>
          <w:b/>
          <w:bCs/>
        </w:rPr>
        <w:t xml:space="preserve">Process</w:t>
      </w:r>
      <w:r>
        <w:t xml:space="preserve"> </w:t>
      </w:r>
      <w:r>
        <w:t xml:space="preserve">method.</w:t>
      </w:r>
      <w:r>
        <w:t xml:space="preserve"> </w:t>
      </w:r>
      <w:r>
        <w:t xml:space="preserve">-</w:t>
      </w:r>
      <w:r>
        <w:t xml:space="preserve"> </w:t>
      </w:r>
      <w:r>
        <w:rPr>
          <w:b/>
          <w:bCs/>
        </w:rPr>
        <w:t xml:space="preserve">GitHub Flavored Markdown</w:t>
      </w:r>
      <w:r>
        <w:t xml:space="preserve">: By default, the library uses the GFM extension set, ensuring compatibility with modern Markdown standards.</w:t>
      </w:r>
      <w:r>
        <w:t xml:space="preserve"> </w:t>
      </w:r>
      <w:r>
        <w:t xml:space="preserve">-</w:t>
      </w:r>
      <w:r>
        <w:t xml:space="preserve"> </w:t>
      </w:r>
      <w:r>
        <w:rPr>
          <w:b/>
          <w:bCs/>
        </w:rPr>
        <w:t xml:space="preserve">Safety and Security</w:t>
      </w:r>
      <w:r>
        <w:t xml:space="preserve">: The</w:t>
      </w:r>
      <w:r>
        <w:t xml:space="preserve"> </w:t>
      </w:r>
      <w:r>
        <w:rPr>
          <w:b/>
          <w:bCs/>
        </w:rPr>
        <w:t xml:space="preserve">Unsafe</w:t>
      </w:r>
      <w:r>
        <w:t xml:space="preserve"> </w:t>
      </w:r>
      <w:r>
        <w:t xml:space="preserve">property allows you to control whether raw HTML and potentially dangerous links are rendered, providing a layer of protection against cross-site scripting (XSS) when processing untrusted input.</w:t>
      </w:r>
      <w:r>
        <w:t xml:space="preserve"> </w:t>
      </w:r>
      <w:r>
        <w:t xml:space="preserve">-</w:t>
      </w:r>
      <w:r>
        <w:t xml:space="preserve"> </w:t>
      </w:r>
      <w:r>
        <w:rPr>
          <w:b/>
          <w:bCs/>
        </w:rPr>
        <w:t xml:space="preserve">Line Break Handling</w:t>
      </w:r>
      <w:r>
        <w:t xml:space="preserve">: The</w:t>
      </w:r>
      <w:r>
        <w:t xml:space="preserve"> </w:t>
      </w:r>
      <w:r>
        <w:rPr>
          <w:b/>
          <w:bCs/>
        </w:rPr>
        <w:t xml:space="preserve">HardWraps</w:t>
      </w:r>
      <w:r>
        <w:t xml:space="preserve"> </w:t>
      </w:r>
      <w:r>
        <w:t xml:space="preserve">property determines how soft line breaks in the Markdown source are translated into the final HTML output.</w:t>
      </w:r>
    </w:p>
    <w:bookmarkEnd w:id="4273"/>
    <w:bookmarkStart w:id="4276" w:name="api-reference-160"/>
    <w:p>
      <w:pPr>
        <w:pStyle w:val="Heading2"/>
      </w:pPr>
      <w:r>
        <w:t xml:space="preserve">API Reference</w:t>
      </w:r>
    </w:p>
    <w:bookmarkStart w:id="4274" w:name="methods-30"/>
    <w:p>
      <w:pPr>
        <w:pStyle w:val="Heading3"/>
      </w:pPr>
      <w:r>
        <w:t xml:space="preserve">Methods</w:t>
      </w:r>
    </w:p>
    <w:p>
      <w:pPr>
        <w:pStyle w:val="Compact"/>
        <w:numPr>
          <w:ilvl w:val="0"/>
          <w:numId w:val="2085"/>
        </w:numPr>
      </w:pPr>
      <w:r>
        <w:rPr>
          <w:b/>
          <w:bCs/>
        </w:rPr>
        <w:t xml:space="preserve">Process</w:t>
      </w:r>
      <w:r>
        <w:t xml:space="preserve">: Converts a Markdown string into a string of formatted HTML.</w:t>
      </w:r>
    </w:p>
    <w:bookmarkEnd w:id="4274"/>
    <w:bookmarkStart w:id="4275" w:name="properties-30"/>
    <w:p>
      <w:pPr>
        <w:pStyle w:val="Heading3"/>
      </w:pPr>
      <w:r>
        <w:t xml:space="preserve">Properties</w:t>
      </w:r>
    </w:p>
    <w:p>
      <w:pPr>
        <w:pStyle w:val="Compact"/>
        <w:numPr>
          <w:ilvl w:val="0"/>
          <w:numId w:val="2086"/>
        </w:numPr>
      </w:pPr>
      <w:r>
        <w:rPr>
          <w:b/>
          <w:bCs/>
        </w:rPr>
        <w:t xml:space="preserve">HardWraps</w:t>
      </w:r>
      <w:r>
        <w:t xml:space="preserve">: Gets or sets a Boolean value indicating whether soft line breaks should be converted to</w:t>
      </w:r>
      <w:r>
        <w:t xml:space="preserve"> </w:t>
      </w:r>
      <w:r>
        <w:rPr>
          <w:rStyle w:val="VerbatimChar"/>
        </w:rPr>
        <w:t xml:space="preserve">&lt;br&gt;</w:t>
      </w:r>
      <w:r>
        <w:t xml:space="preserve"> </w:t>
      </w:r>
      <w:r>
        <w:t xml:space="preserve">tags.</w:t>
      </w:r>
    </w:p>
    <w:p>
      <w:pPr>
        <w:pStyle w:val="Compact"/>
        <w:numPr>
          <w:ilvl w:val="0"/>
          <w:numId w:val="2086"/>
        </w:numPr>
      </w:pPr>
      <w:r>
        <w:rPr>
          <w:b/>
          <w:bCs/>
        </w:rPr>
        <w:t xml:space="preserve">Unsafe</w:t>
      </w:r>
      <w:r>
        <w:t xml:space="preserve">: Gets or sets a Boolean value indicating whether raw HTML and dangerous URLs should be rendered.</w:t>
      </w:r>
    </w:p>
    <w:bookmarkEnd w:id="4275"/>
    <w:bookmarkEnd w:id="4276"/>
    <w:bookmarkStart w:id="4277" w:name="code-example-257"/>
    <w:p>
      <w:pPr>
        <w:pStyle w:val="Heading2"/>
      </w:pPr>
      <w:r>
        <w:t xml:space="preserve">Code Example</w:t>
      </w:r>
    </w:p>
    <w:p>
      <w:pPr>
        <w:pStyle w:val="FirstParagraph"/>
      </w:pPr>
      <w:r>
        <w:t xml:space="preserve">The following example demonstrates how to configure the library and convert a Markdown string into HTML.</w:t>
      </w:r>
    </w:p>
    <w:p>
      <w:pPr>
        <w:pStyle w:val="SourceCode"/>
      </w:pPr>
      <w:r>
        <w:rPr>
          <w:rStyle w:val="DataTypeTok"/>
        </w:rPr>
        <w:t xml:space="preserve">&lt;%</w:t>
      </w:r>
      <w:r>
        <w:br/>
      </w:r>
      <w:r>
        <w:rPr>
          <w:rStyle w:val="KeywordTok"/>
        </w:rPr>
        <w:t xml:space="preserve">Dim</w:t>
      </w:r>
      <w:r>
        <w:rPr>
          <w:rStyle w:val="NormalTok"/>
        </w:rPr>
        <w:t xml:space="preserve"> md</w:t>
      </w:r>
      <w:r>
        <w:rPr>
          <w:rStyle w:val="OtherTok"/>
        </w:rPr>
        <w:t xml:space="preserve">,</w:t>
      </w:r>
      <w:r>
        <w:rPr>
          <w:rStyle w:val="NormalTok"/>
        </w:rPr>
        <w:t xml:space="preserve"> markdownText</w:t>
      </w:r>
      <w:r>
        <w:rPr>
          <w:rStyle w:val="OtherTok"/>
        </w:rPr>
        <w:t xml:space="preserve">,</w:t>
      </w:r>
      <w:r>
        <w:rPr>
          <w:rStyle w:val="NormalTok"/>
        </w:rPr>
        <w:t xml:space="preserve"> htmlOutput</w:t>
      </w:r>
      <w:r>
        <w:br/>
      </w:r>
      <w:r>
        <w:rPr>
          <w:rStyle w:val="KeywordTok"/>
        </w:rPr>
        <w:t xml:space="preserve">Set</w:t>
      </w:r>
      <w:r>
        <w:rPr>
          <w:rStyle w:val="NormalTok"/>
        </w:rPr>
        <w:t xml:space="preserve"> 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"G3MD"</w:t>
      </w:r>
      <w:r>
        <w:rPr>
          <w:rStyle w:val="OtherTok"/>
        </w:rPr>
        <w:t xml:space="preserve">)</w:t>
      </w:r>
      <w:r>
        <w:br/>
      </w:r>
      <w:r>
        <w:br/>
      </w:r>
      <w:r>
        <w:rPr>
          <w:rStyle w:val="CommentTok"/>
        </w:rPr>
        <w:t xml:space="preserve">' Configure the processor</w:t>
      </w:r>
      <w:r>
        <w:br/>
      </w:r>
      <w:r>
        <w:rPr>
          <w:rStyle w:val="NormalTok"/>
        </w:rPr>
        <w:t xml:space="preserve">md.HardWraps = </w:t>
      </w:r>
      <w:r>
        <w:rPr>
          <w:rStyle w:val="KeywordTok"/>
        </w:rPr>
        <w:t xml:space="preserve">True</w:t>
      </w:r>
      <w:r>
        <w:br/>
      </w:r>
      <w:r>
        <w:rPr>
          <w:rStyle w:val="NormalTok"/>
        </w:rPr>
        <w:t xml:space="preserve">md.Unsafe = </w:t>
      </w:r>
      <w:r>
        <w:rPr>
          <w:rStyle w:val="KeywordTok"/>
        </w:rPr>
        <w:t xml:space="preserve">False</w:t>
      </w:r>
      <w:r>
        <w:br/>
      </w:r>
      <w:r>
        <w:br/>
      </w:r>
      <w:r>
        <w:rPr>
          <w:rStyle w:val="CommentTok"/>
        </w:rPr>
        <w:t xml:space="preserve">' Markdown source with GFM features</w:t>
      </w:r>
      <w:r>
        <w:br/>
      </w:r>
      <w:r>
        <w:rPr>
          <w:rStyle w:val="NormalTok"/>
        </w:rPr>
        <w:t xml:space="preserve">markdownText = </w:t>
      </w:r>
      <w:r>
        <w:rPr>
          <w:rStyle w:val="StringTok"/>
        </w:rPr>
        <w:t xml:space="preserve">"# Welcome to AxonASP"</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_</w:t>
      </w:r>
      <w:r>
        <w:br/>
      </w:r>
      <w:r>
        <w:rPr>
          <w:rStyle w:val="NormalTok"/>
        </w:rPr>
        <w:t xml:space="preserve">               </w:t>
      </w:r>
      <w:r>
        <w:rPr>
          <w:rStyle w:val="StringTok"/>
        </w:rPr>
        <w:t xml:space="preserve">"This is a **high-performance** server."</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_</w:t>
      </w:r>
      <w:r>
        <w:br/>
      </w:r>
      <w:r>
        <w:rPr>
          <w:rStyle w:val="NormalTok"/>
        </w:rPr>
        <w:t xml:space="preserve">               </w:t>
      </w:r>
      <w:r>
        <w:rPr>
          <w:rStyle w:val="StringTok"/>
        </w:rPr>
        <w:t xml:space="preserve">"- Feature A"</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_</w:t>
      </w:r>
      <w:r>
        <w:br/>
      </w:r>
      <w:r>
        <w:rPr>
          <w:rStyle w:val="NormalTok"/>
        </w:rPr>
        <w:t xml:space="preserve">               </w:t>
      </w:r>
      <w:r>
        <w:rPr>
          <w:rStyle w:val="StringTok"/>
        </w:rPr>
        <w:t xml:space="preserve">"- Feature B"</w:t>
      </w:r>
      <w:r>
        <w:br/>
      </w:r>
      <w:r>
        <w:br/>
      </w:r>
      <w:r>
        <w:rPr>
          <w:rStyle w:val="CommentTok"/>
        </w:rPr>
        <w:t xml:space="preserve">' Convert to HTML</w:t>
      </w:r>
      <w:r>
        <w:br/>
      </w:r>
      <w:r>
        <w:rPr>
          <w:rStyle w:val="NormalTok"/>
        </w:rPr>
        <w:t xml:space="preserve">htmlOutput = md.Process</w:t>
      </w:r>
      <w:r>
        <w:rPr>
          <w:rStyle w:val="OtherTok"/>
        </w:rPr>
        <w:t xml:space="preserve">(</w:t>
      </w:r>
      <w:r>
        <w:rPr>
          <w:rStyle w:val="NormalTok"/>
        </w:rPr>
        <w:t xml:space="preserve">markdownText</w:t>
      </w:r>
      <w:r>
        <w:rPr>
          <w:rStyle w:val="OtherTok"/>
        </w:rPr>
        <w:t xml:space="preserve">)</w:t>
      </w:r>
      <w:r>
        <w:br/>
      </w:r>
      <w:r>
        <w:br/>
      </w:r>
      <w:r>
        <w:rPr>
          <w:rStyle w:val="CommentTok"/>
        </w:rPr>
        <w:t xml:space="preserve">' Output the result</w:t>
      </w:r>
      <w:r>
        <w:br/>
      </w:r>
      <w:r>
        <w:rPr>
          <w:rStyle w:val="FunctionTok"/>
        </w:rPr>
        <w:t xml:space="preserve">Response</w:t>
      </w:r>
      <w:r>
        <w:rPr>
          <w:rStyle w:val="NormalTok"/>
        </w:rPr>
        <w:t xml:space="preserve">.</w:t>
      </w:r>
      <w:r>
        <w:rPr>
          <w:rStyle w:val="FunctionTok"/>
        </w:rPr>
        <w:t xml:space="preserve">Write</w:t>
      </w:r>
      <w:r>
        <w:rPr>
          <w:rStyle w:val="NormalTok"/>
        </w:rPr>
        <w:t xml:space="preserve"> htmlOutput</w:t>
      </w:r>
      <w:r>
        <w:br/>
      </w:r>
      <w:r>
        <w:br/>
      </w:r>
      <w:r>
        <w:rPr>
          <w:rStyle w:val="KeywordTok"/>
        </w:rPr>
        <w:t xml:space="preserve">Set</w:t>
      </w:r>
      <w:r>
        <w:rPr>
          <w:rStyle w:val="NormalTok"/>
        </w:rPr>
        <w:t xml:space="preserve"> md = </w:t>
      </w:r>
      <w:r>
        <w:rPr>
          <w:rStyle w:val="KeywordTok"/>
        </w:rPr>
        <w:t xml:space="preserve">Nothing</w:t>
      </w:r>
      <w:r>
        <w:br/>
      </w:r>
      <w:r>
        <w:rPr>
          <w:rStyle w:val="DataTypeTok"/>
        </w:rPr>
        <w:t xml:space="preserve">%&gt;</w:t>
      </w:r>
    </w:p>
    <w:bookmarkEnd w:id="4277"/>
    <w:bookmarkEnd w:id="4278"/>
    <w:bookmarkStart w:id="4282" w:name="g3md-methods"/>
    <w:p>
      <w:pPr>
        <w:pStyle w:val="Heading1"/>
      </w:pPr>
      <w:r>
        <w:t xml:space="preserve">G3MD Methods</w:t>
      </w:r>
    </w:p>
    <w:bookmarkStart w:id="4279" w:name="overview-478"/>
    <w:p>
      <w:pPr>
        <w:pStyle w:val="Heading2"/>
      </w:pPr>
      <w:r>
        <w:t xml:space="preserve">Overview</w:t>
      </w:r>
    </w:p>
    <w:p>
      <w:pPr>
        <w:pStyle w:val="FirstParagraph"/>
      </w:pPr>
      <w:r>
        <w:t xml:space="preserve">This page summarizes methods available in the G3MD library for Markdown processing in G3Pix AxonASP.</w:t>
      </w:r>
    </w:p>
    <w:bookmarkEnd w:id="4279"/>
    <w:bookmarkStart w:id="4280" w:name="methods-reference-3"/>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Process</w:t>
            </w:r>
          </w:p>
        </w:tc>
        <w:tc>
          <w:tcPr/>
          <w:p>
            <w:pPr>
              <w:pStyle w:val="Compact"/>
            </w:pPr>
            <w:r>
              <w:t xml:space="preserve">String</w:t>
            </w:r>
          </w:p>
        </w:tc>
        <w:tc>
          <w:tcPr/>
          <w:p>
            <w:pPr>
              <w:pStyle w:val="Compact"/>
            </w:pPr>
            <w:r>
              <w:t xml:space="preserve">Converts Markdown source text to HTML output using the current object options.</w:t>
            </w:r>
          </w:p>
        </w:tc>
      </w:tr>
    </w:tbl>
    <w:bookmarkEnd w:id="4280"/>
    <w:bookmarkStart w:id="4281" w:name="remarks-446"/>
    <w:p>
      <w:pPr>
        <w:pStyle w:val="Heading2"/>
      </w:pPr>
      <w:r>
        <w:t xml:space="preserve">Remarks</w:t>
      </w:r>
    </w:p>
    <w:p>
      <w:pPr>
        <w:pStyle w:val="Compact"/>
        <w:numPr>
          <w:ilvl w:val="0"/>
          <w:numId w:val="2087"/>
        </w:numPr>
      </w:pPr>
      <w:r>
        <w:t xml:space="preserve">Method names are case-insensitive.</w:t>
      </w:r>
    </w:p>
    <w:p>
      <w:pPr>
        <w:pStyle w:val="Compact"/>
        <w:numPr>
          <w:ilvl w:val="0"/>
          <w:numId w:val="2087"/>
        </w:numPr>
      </w:pPr>
      <w:r>
        <w:t xml:space="preserve">G3MD uses GitHub Flavored Markdown extensions.</w:t>
      </w:r>
    </w:p>
    <w:bookmarkEnd w:id="4281"/>
    <w:bookmarkEnd w:id="4282"/>
    <w:bookmarkStart w:id="4287" w:name="g3md-properties"/>
    <w:p>
      <w:pPr>
        <w:pStyle w:val="Heading1"/>
      </w:pPr>
      <w:r>
        <w:t xml:space="preserve">G3MD Properties</w:t>
      </w:r>
    </w:p>
    <w:bookmarkStart w:id="4283" w:name="overview-479"/>
    <w:p>
      <w:pPr>
        <w:pStyle w:val="Heading2"/>
      </w:pPr>
      <w:r>
        <w:t xml:space="preserve">Overview</w:t>
      </w:r>
    </w:p>
    <w:p>
      <w:pPr>
        <w:pStyle w:val="FirstParagraph"/>
      </w:pPr>
      <w:r>
        <w:t xml:space="preserve">This page summarizes properties available in the G3MD library for Markdown rendering configuration.</w:t>
      </w:r>
    </w:p>
    <w:bookmarkEnd w:id="4283"/>
    <w:bookmarkStart w:id="4284" w:name="properties-reference-3"/>
    <w:p>
      <w:pPr>
        <w:pStyle w:val="Heading2"/>
      </w:pPr>
      <w:r>
        <w:t xml:space="preserve">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HardWraps</w:t>
            </w:r>
          </w:p>
        </w:tc>
        <w:tc>
          <w:tcPr/>
          <w:p>
            <w:pPr>
              <w:pStyle w:val="Compact"/>
            </w:pPr>
            <w:r>
              <w:t xml:space="preserve">Read/Write</w:t>
            </w:r>
          </w:p>
        </w:tc>
        <w:tc>
          <w:tcPr/>
          <w:p>
            <w:pPr>
              <w:pStyle w:val="Compact"/>
            </w:pPr>
            <w:r>
              <w:t xml:space="preserve">Boolean</w:t>
            </w:r>
          </w:p>
        </w:tc>
        <w:tc>
          <w:tcPr/>
          <w:p>
            <w:pPr>
              <w:pStyle w:val="Compact"/>
            </w:pPr>
            <w:r>
              <w:t xml:space="preserve">When True, converts soft line breaks into HTML line breaks.</w:t>
            </w:r>
          </w:p>
        </w:tc>
      </w:tr>
      <w:tr>
        <w:tc>
          <w:tcPr/>
          <w:p>
            <w:pPr>
              <w:pStyle w:val="Compact"/>
            </w:pPr>
            <w:r>
              <w:t xml:space="preserve">Unsafe</w:t>
            </w:r>
          </w:p>
        </w:tc>
        <w:tc>
          <w:tcPr/>
          <w:p>
            <w:pPr>
              <w:pStyle w:val="Compact"/>
            </w:pPr>
            <w:r>
              <w:t xml:space="preserve">Read/Write</w:t>
            </w:r>
          </w:p>
        </w:tc>
        <w:tc>
          <w:tcPr/>
          <w:p>
            <w:pPr>
              <w:pStyle w:val="Compact"/>
            </w:pPr>
            <w:r>
              <w:t xml:space="preserve">Boolean</w:t>
            </w:r>
          </w:p>
        </w:tc>
        <w:tc>
          <w:tcPr/>
          <w:p>
            <w:pPr>
              <w:pStyle w:val="Compact"/>
            </w:pPr>
            <w:r>
              <w:t xml:space="preserve">When True, allows raw HTML and non-sanitized links in rendered output.</w:t>
            </w:r>
          </w:p>
        </w:tc>
      </w:tr>
    </w:tbl>
    <w:bookmarkEnd w:id="4284"/>
    <w:bookmarkStart w:id="4286" w:name="remarks-447"/>
    <w:p>
      <w:pPr>
        <w:pStyle w:val="Heading2"/>
      </w:pPr>
      <w:r>
        <w:t xml:space="preserve">Remarks</w:t>
      </w:r>
    </w:p>
    <w:p>
      <w:pPr>
        <w:pStyle w:val="Compact"/>
        <w:numPr>
          <w:ilvl w:val="0"/>
          <w:numId w:val="2088"/>
        </w:numPr>
      </w:pPr>
      <w:r>
        <w:t xml:space="preserve">Property names are case-insensitive.</w:t>
      </w:r>
    </w:p>
    <w:p>
      <w:pPr>
        <w:pStyle w:val="Compact"/>
        <w:numPr>
          <w:ilvl w:val="0"/>
          <w:numId w:val="2088"/>
        </w:numPr>
      </w:pPr>
      <w:r>
        <w:t xml:space="preserve">Property values affect subsequent Process calls on the same instance.</w:t>
      </w:r>
    </w:p>
    <w:bookmarkStart w:id="4285" w:name="methods-detail-16"/>
    <w:p>
      <w:pPr>
        <w:pStyle w:val="Heading3"/>
      </w:pPr>
      <w:r>
        <w:t xml:space="preserve">Methods Detail</w:t>
      </w:r>
    </w:p>
    <w:bookmarkEnd w:id="4285"/>
    <w:bookmarkEnd w:id="4286"/>
    <w:bookmarkEnd w:id="4287"/>
    <w:bookmarkStart w:id="4295" w:name="process-method"/>
    <w:p>
      <w:pPr>
        <w:pStyle w:val="Heading1"/>
      </w:pPr>
      <w:r>
        <w:t xml:space="preserve">Process Method</w:t>
      </w:r>
    </w:p>
    <w:bookmarkStart w:id="4288" w:name="overview-480"/>
    <w:p>
      <w:pPr>
        <w:pStyle w:val="Heading2"/>
      </w:pPr>
      <w:r>
        <w:t xml:space="preserve">Overview</w:t>
      </w:r>
    </w:p>
    <w:p>
      <w:pPr>
        <w:pStyle w:val="FirstParagraph"/>
      </w:pPr>
      <w:r>
        <w:t xml:space="preserve">Converts a Markdown-formatted string into a string of formatted HTML in the G3Pix AxonASP G3MD library.</w:t>
      </w:r>
    </w:p>
    <w:bookmarkEnd w:id="4288"/>
    <w:bookmarkStart w:id="4289" w:name="syntax-461"/>
    <w:p>
      <w:pPr>
        <w:pStyle w:val="Heading2"/>
      </w:pPr>
      <w:r>
        <w:t xml:space="preserve">Syntax</w:t>
      </w:r>
    </w:p>
    <w:p>
      <w:pPr>
        <w:pStyle w:val="SourceCode"/>
      </w:pPr>
      <w:r>
        <w:rPr>
          <w:rStyle w:val="NormalTok"/>
        </w:rPr>
        <w:t xml:space="preserve">htmlString = md.Process(markdownText)</w:t>
      </w:r>
    </w:p>
    <w:bookmarkEnd w:id="4289"/>
    <w:bookmarkStart w:id="4290" w:name="parameters-and-arguments-129"/>
    <w:p>
      <w:pPr>
        <w:pStyle w:val="Heading2"/>
      </w:pPr>
      <w:r>
        <w:t xml:space="preserve">Parameters and Arguments</w:t>
      </w:r>
    </w:p>
    <w:p>
      <w:pPr>
        <w:pStyle w:val="Compact"/>
        <w:numPr>
          <w:ilvl w:val="0"/>
          <w:numId w:val="2089"/>
        </w:numPr>
      </w:pPr>
      <w:r>
        <w:rPr>
          <w:b/>
          <w:bCs/>
        </w:rPr>
        <w:t xml:space="preserve">markdownText</w:t>
      </w:r>
      <w:r>
        <w:t xml:space="preserve"> </w:t>
      </w:r>
      <w:r>
        <w:t xml:space="preserve">(String, Required): The source text in Markdown format to be converted.</w:t>
      </w:r>
    </w:p>
    <w:bookmarkEnd w:id="4290"/>
    <w:bookmarkStart w:id="4291" w:name="return-values-180"/>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rendered HTML. If the input is empty or an error occurs during conversion, it returns an empty string.</w:t>
      </w:r>
    </w:p>
    <w:bookmarkEnd w:id="4291"/>
    <w:bookmarkStart w:id="4292" w:name="remarks-448"/>
    <w:p>
      <w:pPr>
        <w:pStyle w:val="Heading2"/>
      </w:pPr>
      <w:r>
        <w:t xml:space="preserve">Remarks</w:t>
      </w:r>
    </w:p>
    <w:p>
      <w:pPr>
        <w:pStyle w:val="Compact"/>
        <w:numPr>
          <w:ilvl w:val="0"/>
          <w:numId w:val="2090"/>
        </w:numPr>
      </w:pPr>
      <w:r>
        <w:t xml:space="preserve">The output follows the GitHub Flavored Markdown (GFM) specification, including support for tables and task lists.</w:t>
      </w:r>
    </w:p>
    <w:p>
      <w:pPr>
        <w:pStyle w:val="Compact"/>
        <w:numPr>
          <w:ilvl w:val="0"/>
          <w:numId w:val="2090"/>
        </w:numPr>
      </w:pPr>
      <w:r>
        <w:t xml:space="preserve">The conversion process respects the current settings of the</w:t>
      </w:r>
      <w:r>
        <w:t xml:space="preserve"> </w:t>
      </w:r>
      <w:r>
        <w:rPr>
          <w:b/>
          <w:bCs/>
        </w:rPr>
        <w:t xml:space="preserve">HardWraps</w:t>
      </w:r>
      <w:r>
        <w:t xml:space="preserve"> </w:t>
      </w:r>
      <w:r>
        <w:t xml:space="preserve">and</w:t>
      </w:r>
      <w:r>
        <w:t xml:space="preserve"> </w:t>
      </w:r>
      <w:r>
        <w:rPr>
          <w:b/>
          <w:bCs/>
        </w:rPr>
        <w:t xml:space="preserve">Unsafe</w:t>
      </w:r>
      <w:r>
        <w:t xml:space="preserve"> </w:t>
      </w:r>
      <w:r>
        <w:t xml:space="preserve">properties.</w:t>
      </w:r>
    </w:p>
    <w:p>
      <w:pPr>
        <w:pStyle w:val="Compact"/>
        <w:numPr>
          <w:ilvl w:val="0"/>
          <w:numId w:val="2090"/>
        </w:numPr>
      </w:pPr>
      <w:r>
        <w:t xml:space="preserve">This method is highly optimized for performance and is suitable for high-traffic backend rendering.</w:t>
      </w:r>
    </w:p>
    <w:bookmarkEnd w:id="4292"/>
    <w:bookmarkStart w:id="4294" w:name="code-example-25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md</w:t>
      </w:r>
      <w:r>
        <w:rPr>
          <w:rStyle w:val="OtherTok"/>
        </w:rPr>
        <w:t xml:space="preserve">,</w:t>
      </w:r>
      <w:r>
        <w:rPr>
          <w:rStyle w:val="NormalTok"/>
        </w:rPr>
        <w:t xml:space="preserve"> markdown</w:t>
      </w:r>
      <w:r>
        <w:rPr>
          <w:rStyle w:val="OtherTok"/>
        </w:rPr>
        <w:t xml:space="preserve">,</w:t>
      </w:r>
      <w:r>
        <w:rPr>
          <w:rStyle w:val="NormalTok"/>
        </w:rPr>
        <w:t xml:space="preserve"> html</w:t>
      </w:r>
      <w:r>
        <w:br/>
      </w:r>
      <w:r>
        <w:rPr>
          <w:rStyle w:val="KeywordTok"/>
        </w:rPr>
        <w:t xml:space="preserve">Set</w:t>
      </w:r>
      <w:r>
        <w:rPr>
          <w:rStyle w:val="NormalTok"/>
        </w:rPr>
        <w:t xml:space="preserve"> 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"G3MD"</w:t>
      </w:r>
      <w:r>
        <w:rPr>
          <w:rStyle w:val="OtherTok"/>
        </w:rPr>
        <w:t xml:space="preserve">)</w:t>
      </w:r>
      <w:r>
        <w:br/>
      </w:r>
      <w:r>
        <w:br/>
      </w:r>
      <w:r>
        <w:rPr>
          <w:rStyle w:val="NormalTok"/>
        </w:rPr>
        <w:t xml:space="preserve">markdown = </w:t>
      </w:r>
      <w:r>
        <w:rPr>
          <w:rStyle w:val="StringTok"/>
        </w:rPr>
        <w:t xml:space="preserve">"### System Status"</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 **CPU**: 10%"</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 **Memory**: 2GB"</w:t>
      </w:r>
      <w:r>
        <w:br/>
      </w:r>
      <w:r>
        <w:rPr>
          <w:rStyle w:val="NormalTok"/>
        </w:rPr>
        <w:t xml:space="preserve">html = md.Process</w:t>
      </w:r>
      <w:r>
        <w:rPr>
          <w:rStyle w:val="OtherTok"/>
        </w:rPr>
        <w:t xml:space="preserve">(</w:t>
      </w:r>
      <w:r>
        <w:rPr>
          <w:rStyle w:val="NormalTok"/>
        </w:rPr>
        <w:t xml:space="preserve">markdown</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html</w:t>
      </w:r>
      <w:r>
        <w:br/>
      </w:r>
      <w:r>
        <w:rPr>
          <w:rStyle w:val="KeywordTok"/>
        </w:rPr>
        <w:t xml:space="preserve">Set</w:t>
      </w:r>
      <w:r>
        <w:rPr>
          <w:rStyle w:val="NormalTok"/>
        </w:rPr>
        <w:t xml:space="preserve"> md = </w:t>
      </w:r>
      <w:r>
        <w:rPr>
          <w:rStyle w:val="KeywordTok"/>
        </w:rPr>
        <w:t xml:space="preserve">Nothing</w:t>
      </w:r>
      <w:r>
        <w:br/>
      </w:r>
      <w:r>
        <w:rPr>
          <w:rStyle w:val="DataTypeTok"/>
        </w:rPr>
        <w:t xml:space="preserve">%&gt;</w:t>
      </w:r>
    </w:p>
    <w:bookmarkStart w:id="4293" w:name="properties-detail-9"/>
    <w:p>
      <w:pPr>
        <w:pStyle w:val="Heading3"/>
      </w:pPr>
      <w:r>
        <w:t xml:space="preserve">Properties Detail</w:t>
      </w:r>
    </w:p>
    <w:bookmarkEnd w:id="4293"/>
    <w:bookmarkEnd w:id="4294"/>
    <w:bookmarkEnd w:id="4295"/>
    <w:bookmarkStart w:id="4301" w:name="hardwraps-property"/>
    <w:p>
      <w:pPr>
        <w:pStyle w:val="Heading1"/>
      </w:pPr>
      <w:r>
        <w:t xml:space="preserve">HardWraps Property</w:t>
      </w:r>
    </w:p>
    <w:bookmarkStart w:id="4296" w:name="overview-481"/>
    <w:p>
      <w:pPr>
        <w:pStyle w:val="Heading2"/>
      </w:pPr>
      <w:r>
        <w:t xml:space="preserve">Overview</w:t>
      </w:r>
    </w:p>
    <w:p>
      <w:pPr>
        <w:pStyle w:val="FirstParagraph"/>
      </w:pPr>
      <w:r>
        <w:t xml:space="preserve">Gets or sets a Boolean value that determines how the G3Pix AxonASP G3MD library handles soft line breaks in the Markdown source.</w:t>
      </w:r>
    </w:p>
    <w:bookmarkEnd w:id="4296"/>
    <w:bookmarkStart w:id="4297" w:name="syntax-462"/>
    <w:p>
      <w:pPr>
        <w:pStyle w:val="Heading2"/>
      </w:pPr>
      <w:r>
        <w:t xml:space="preserve">Syntax</w:t>
      </w:r>
    </w:p>
    <w:p>
      <w:pPr>
        <w:pStyle w:val="SourceCode"/>
      </w:pPr>
      <w:r>
        <w:rPr>
          <w:rStyle w:val="NormalTok"/>
        </w:rPr>
        <w:t xml:space="preserve">' Get the current value</w:t>
      </w:r>
      <w:r>
        <w:br/>
      </w:r>
      <w:r>
        <w:rPr>
          <w:rStyle w:val="NormalTok"/>
        </w:rPr>
        <w:t xml:space="preserve">isHardWrap = md.HardWraps</w:t>
      </w:r>
      <w:r>
        <w:br/>
      </w:r>
      <w:r>
        <w:br/>
      </w:r>
      <w:r>
        <w:rPr>
          <w:rStyle w:val="NormalTok"/>
        </w:rPr>
        <w:t xml:space="preserve">' Set a new value</w:t>
      </w:r>
      <w:r>
        <w:br/>
      </w:r>
      <w:r>
        <w:rPr>
          <w:rStyle w:val="NormalTok"/>
        </w:rPr>
        <w:t xml:space="preserve">md.HardWraps = True</w:t>
      </w:r>
    </w:p>
    <w:bookmarkEnd w:id="4297"/>
    <w:bookmarkStart w:id="4298" w:name="return-values-181"/>
    <w:p>
      <w:pPr>
        <w:pStyle w:val="Heading2"/>
      </w:pPr>
      <w:r>
        <w:t xml:space="preserve">Return Values</w:t>
      </w:r>
    </w:p>
    <w:p>
      <w:pPr>
        <w:pStyle w:val="FirstParagraph"/>
      </w:pPr>
      <w:r>
        <w:t xml:space="preserve">Returns a</w:t>
      </w:r>
      <w:r>
        <w:t xml:space="preserve"> </w:t>
      </w:r>
      <w:r>
        <w:rPr>
          <w:b/>
          <w:bCs/>
        </w:rPr>
        <w:t xml:space="preserve">Boolean</w:t>
      </w:r>
      <w:r>
        <w:t xml:space="preserve">. The default value is</w:t>
      </w:r>
      <w:r>
        <w:t xml:space="preserve"> </w:t>
      </w:r>
      <w:r>
        <w:rPr>
          <w:b/>
          <w:bCs/>
        </w:rPr>
        <w:t xml:space="preserve">False</w:t>
      </w:r>
      <w:r>
        <w:t xml:space="preserve">.</w:t>
      </w:r>
    </w:p>
    <w:bookmarkEnd w:id="4298"/>
    <w:bookmarkStart w:id="4299" w:name="remarks-449"/>
    <w:p>
      <w:pPr>
        <w:pStyle w:val="Heading2"/>
      </w:pPr>
      <w:r>
        <w:t xml:space="preserve">Remarks</w:t>
      </w:r>
    </w:p>
    <w:p>
      <w:pPr>
        <w:pStyle w:val="Compact"/>
        <w:numPr>
          <w:ilvl w:val="0"/>
          <w:numId w:val="2091"/>
        </w:numPr>
      </w:pPr>
      <w:r>
        <w:t xml:space="preserve">When set to</w:t>
      </w:r>
      <w:r>
        <w:t xml:space="preserve"> </w:t>
      </w:r>
      <w:r>
        <w:rPr>
          <w:b/>
          <w:bCs/>
        </w:rPr>
        <w:t xml:space="preserve">True</w:t>
      </w:r>
      <w:r>
        <w:t xml:space="preserve">, every soft line break (a single newline) in the Markdown source is converted to an HTML</w:t>
      </w:r>
      <w:r>
        <w:t xml:space="preserve"> </w:t>
      </w:r>
      <w:r>
        <w:rPr>
          <w:rStyle w:val="VerbatimChar"/>
        </w:rPr>
        <w:t xml:space="preserve">&lt;br&gt;</w:t>
      </w:r>
      <w:r>
        <w:t xml:space="preserve"> </w:t>
      </w:r>
      <w:r>
        <w:t xml:space="preserve">tag.</w:t>
      </w:r>
    </w:p>
    <w:p>
      <w:pPr>
        <w:pStyle w:val="Compact"/>
        <w:numPr>
          <w:ilvl w:val="0"/>
          <w:numId w:val="2091"/>
        </w:numPr>
      </w:pPr>
      <w:r>
        <w:t xml:space="preserve">When set to</w:t>
      </w:r>
      <w:r>
        <w:t xml:space="preserve"> </w:t>
      </w:r>
      <w:r>
        <w:rPr>
          <w:b/>
          <w:bCs/>
        </w:rPr>
        <w:t xml:space="preserve">False</w:t>
      </w:r>
      <w:r>
        <w:t xml:space="preserve"> </w:t>
      </w:r>
      <w:r>
        <w:t xml:space="preserve">(default), Markdown follows standard behavior where soft line breaks are treated as spaces unless they are preceded by two spaces or followed by a blank line.</w:t>
      </w:r>
    </w:p>
    <w:p>
      <w:pPr>
        <w:pStyle w:val="Compact"/>
        <w:numPr>
          <w:ilvl w:val="0"/>
          <w:numId w:val="2091"/>
        </w:numPr>
      </w:pPr>
      <w:r>
        <w:t xml:space="preserve">This property must be set before calling the</w:t>
      </w:r>
      <w:r>
        <w:t xml:space="preserve"> </w:t>
      </w:r>
      <w:r>
        <w:rPr>
          <w:b/>
          <w:bCs/>
        </w:rPr>
        <w:t xml:space="preserve">Process</w:t>
      </w:r>
      <w:r>
        <w:t xml:space="preserve"> </w:t>
      </w:r>
      <w:r>
        <w:t xml:space="preserve">method.</w:t>
      </w:r>
    </w:p>
    <w:bookmarkEnd w:id="4299"/>
    <w:bookmarkStart w:id="4300" w:name="code-example-25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md</w:t>
      </w:r>
      <w:r>
        <w:rPr>
          <w:rStyle w:val="OtherTok"/>
        </w:rPr>
        <w:t xml:space="preserve">,</w:t>
      </w:r>
      <w:r>
        <w:rPr>
          <w:rStyle w:val="NormalTok"/>
        </w:rPr>
        <w:t xml:space="preserve"> result</w:t>
      </w:r>
      <w:r>
        <w:br/>
      </w:r>
      <w:r>
        <w:rPr>
          <w:rStyle w:val="KeywordTok"/>
        </w:rPr>
        <w:t xml:space="preserve">Set</w:t>
      </w:r>
      <w:r>
        <w:rPr>
          <w:rStyle w:val="NormalTok"/>
        </w:rPr>
        <w:t xml:space="preserve"> 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"G3MD"</w:t>
      </w:r>
      <w:r>
        <w:rPr>
          <w:rStyle w:val="OtherTok"/>
        </w:rPr>
        <w:t xml:space="preserve">)</w:t>
      </w:r>
      <w:r>
        <w:br/>
      </w:r>
      <w:r>
        <w:br/>
      </w:r>
      <w:r>
        <w:rPr>
          <w:rStyle w:val="CommentTok"/>
        </w:rPr>
        <w:t xml:space="preserve">' Enable hard wraps for comment-style rendering</w:t>
      </w:r>
      <w:r>
        <w:br/>
      </w:r>
      <w:r>
        <w:rPr>
          <w:rStyle w:val="NormalTok"/>
        </w:rPr>
        <w:t xml:space="preserve">md.HardWraps = </w:t>
      </w:r>
      <w:r>
        <w:rPr>
          <w:rStyle w:val="KeywordTok"/>
        </w:rPr>
        <w:t xml:space="preserve">True</w:t>
      </w:r>
      <w:r>
        <w:br/>
      </w:r>
      <w:r>
        <w:br/>
      </w:r>
      <w:r>
        <w:rPr>
          <w:rStyle w:val="NormalTok"/>
        </w:rPr>
        <w:t xml:space="preserve">result = md.Process</w:t>
      </w:r>
      <w:r>
        <w:rPr>
          <w:rStyle w:val="OtherTok"/>
        </w:rPr>
        <w:t xml:space="preserve">(</w:t>
      </w:r>
      <w:r>
        <w:rPr>
          <w:rStyle w:val="StringTok"/>
        </w:rPr>
        <w:t xml:space="preserve">"Line 1"</w:t>
      </w:r>
      <w:r>
        <w:rPr>
          <w:rStyle w:val="NormalTok"/>
        </w:rPr>
        <w:t xml:space="preserve"> </w:t>
      </w:r>
      <w:r>
        <w:rPr>
          <w:rStyle w:val="KeywordTok"/>
        </w:rPr>
        <w:t xml:space="preserve">&amp;</w:t>
      </w:r>
      <w:r>
        <w:rPr>
          <w:rStyle w:val="NormalTok"/>
        </w:rPr>
        <w:t xml:space="preserve"> vbCrLf </w:t>
      </w:r>
      <w:r>
        <w:rPr>
          <w:rStyle w:val="KeywordTok"/>
        </w:rPr>
        <w:t xml:space="preserve">&amp;</w:t>
      </w:r>
      <w:r>
        <w:rPr>
          <w:rStyle w:val="NormalTok"/>
        </w:rPr>
        <w:t xml:space="preserve"> </w:t>
      </w:r>
      <w:r>
        <w:rPr>
          <w:rStyle w:val="StringTok"/>
        </w:rPr>
        <w:t xml:space="preserve">"Line 2"</w:t>
      </w:r>
      <w:r>
        <w:rPr>
          <w:rStyle w:val="OtherTok"/>
        </w:rPr>
        <w:t xml:space="preserve">)</w:t>
      </w:r>
      <w:r>
        <w:br/>
      </w:r>
      <w:r>
        <w:rPr>
          <w:rStyle w:val="CommentTok"/>
        </w:rPr>
        <w:t xml:space="preserve">' Result will contain "Line 1&lt;br&gt;Line 2"</w:t>
      </w:r>
      <w:r>
        <w:br/>
      </w:r>
      <w:r>
        <w:br/>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rPr>
          <w:rStyle w:val="KeywordTok"/>
        </w:rPr>
        <w:t xml:space="preserve">Set</w:t>
      </w:r>
      <w:r>
        <w:rPr>
          <w:rStyle w:val="NormalTok"/>
        </w:rPr>
        <w:t xml:space="preserve"> md = </w:t>
      </w:r>
      <w:r>
        <w:rPr>
          <w:rStyle w:val="KeywordTok"/>
        </w:rPr>
        <w:t xml:space="preserve">Nothing</w:t>
      </w:r>
      <w:r>
        <w:br/>
      </w:r>
      <w:r>
        <w:rPr>
          <w:rStyle w:val="DataTypeTok"/>
        </w:rPr>
        <w:t xml:space="preserve">%&gt;</w:t>
      </w:r>
    </w:p>
    <w:bookmarkEnd w:id="4300"/>
    <w:bookmarkEnd w:id="4301"/>
    <w:bookmarkStart w:id="4308" w:name="unsafe-property"/>
    <w:p>
      <w:pPr>
        <w:pStyle w:val="Heading1"/>
      </w:pPr>
      <w:r>
        <w:t xml:space="preserve">Unsafe Property</w:t>
      </w:r>
    </w:p>
    <w:bookmarkStart w:id="4302" w:name="overview-482"/>
    <w:p>
      <w:pPr>
        <w:pStyle w:val="Heading2"/>
      </w:pPr>
      <w:r>
        <w:t xml:space="preserve">Overview</w:t>
      </w:r>
    </w:p>
    <w:p>
      <w:pPr>
        <w:pStyle w:val="FirstParagraph"/>
      </w:pPr>
      <w:r>
        <w:t xml:space="preserve">Gets or sets a Boolean value that determines whether the G3Pix AxonASP G3MD library renders raw HTML and potentially dangerous URLs in the Markdown source.</w:t>
      </w:r>
    </w:p>
    <w:bookmarkEnd w:id="4302"/>
    <w:bookmarkStart w:id="4303" w:name="syntax-463"/>
    <w:p>
      <w:pPr>
        <w:pStyle w:val="Heading2"/>
      </w:pPr>
      <w:r>
        <w:t xml:space="preserve">Syntax</w:t>
      </w:r>
    </w:p>
    <w:p>
      <w:pPr>
        <w:pStyle w:val="SourceCode"/>
      </w:pPr>
      <w:r>
        <w:rPr>
          <w:rStyle w:val="NormalTok"/>
        </w:rPr>
        <w:t xml:space="preserve">' Get the current value</w:t>
      </w:r>
      <w:r>
        <w:br/>
      </w:r>
      <w:r>
        <w:rPr>
          <w:rStyle w:val="NormalTok"/>
        </w:rPr>
        <w:t xml:space="preserve">isUnsafe = md.Unsafe</w:t>
      </w:r>
      <w:r>
        <w:br/>
      </w:r>
      <w:r>
        <w:br/>
      </w:r>
      <w:r>
        <w:rPr>
          <w:rStyle w:val="NormalTok"/>
        </w:rPr>
        <w:t xml:space="preserve">' Set a new value</w:t>
      </w:r>
      <w:r>
        <w:br/>
      </w:r>
      <w:r>
        <w:rPr>
          <w:rStyle w:val="NormalTok"/>
        </w:rPr>
        <w:t xml:space="preserve">md.Unsafe = True</w:t>
      </w:r>
    </w:p>
    <w:bookmarkEnd w:id="4303"/>
    <w:bookmarkStart w:id="4304" w:name="return-values-182"/>
    <w:p>
      <w:pPr>
        <w:pStyle w:val="Heading2"/>
      </w:pPr>
      <w:r>
        <w:t xml:space="preserve">Return Values</w:t>
      </w:r>
    </w:p>
    <w:p>
      <w:pPr>
        <w:pStyle w:val="FirstParagraph"/>
      </w:pPr>
      <w:r>
        <w:t xml:space="preserve">Returns a</w:t>
      </w:r>
      <w:r>
        <w:t xml:space="preserve"> </w:t>
      </w:r>
      <w:r>
        <w:rPr>
          <w:b/>
          <w:bCs/>
        </w:rPr>
        <w:t xml:space="preserve">Boolean</w:t>
      </w:r>
      <w:r>
        <w:t xml:space="preserve">. The default value is</w:t>
      </w:r>
      <w:r>
        <w:t xml:space="preserve"> </w:t>
      </w:r>
      <w:r>
        <w:rPr>
          <w:b/>
          <w:bCs/>
        </w:rPr>
        <w:t xml:space="preserve">False</w:t>
      </w:r>
      <w:r>
        <w:t xml:space="preserve">.</w:t>
      </w:r>
    </w:p>
    <w:bookmarkEnd w:id="4304"/>
    <w:bookmarkStart w:id="4305" w:name="remarks-450"/>
    <w:p>
      <w:pPr>
        <w:pStyle w:val="Heading2"/>
      </w:pPr>
      <w:r>
        <w:t xml:space="preserve">Remarks</w:t>
      </w:r>
    </w:p>
    <w:p>
      <w:pPr>
        <w:pStyle w:val="Compact"/>
        <w:numPr>
          <w:ilvl w:val="0"/>
          <w:numId w:val="2092"/>
        </w:numPr>
      </w:pPr>
      <w:r>
        <w:t xml:space="preserve">When set to</w:t>
      </w:r>
      <w:r>
        <w:t xml:space="preserve"> </w:t>
      </w:r>
      <w:r>
        <w:rPr>
          <w:b/>
          <w:bCs/>
        </w:rPr>
        <w:t xml:space="preserve">False</w:t>
      </w:r>
      <w:r>
        <w:t xml:space="preserve"> </w:t>
      </w:r>
      <w:r>
        <w:t xml:space="preserve">(default), the processor sanitizes the output, omitting raw HTML tags and dangerous link protocols (like</w:t>
      </w:r>
      <w:r>
        <w:t xml:space="preserve"> </w:t>
      </w:r>
      <w:r>
        <w:rPr>
          <w:rStyle w:val="VerbatimChar"/>
        </w:rPr>
        <w:t xml:space="preserve">javascript:</w:t>
      </w:r>
      <w:r>
        <w:t xml:space="preserve">) to protect against cross-site scripting (XSS).</w:t>
      </w:r>
    </w:p>
    <w:p>
      <w:pPr>
        <w:pStyle w:val="Compact"/>
        <w:numPr>
          <w:ilvl w:val="0"/>
          <w:numId w:val="2092"/>
        </w:numPr>
      </w:pPr>
      <w:r>
        <w:t xml:space="preserve">When set to</w:t>
      </w:r>
      <w:r>
        <w:t xml:space="preserve"> </w:t>
      </w:r>
      <w:r>
        <w:rPr>
          <w:b/>
          <w:bCs/>
        </w:rPr>
        <w:t xml:space="preserve">True</w:t>
      </w:r>
      <w:r>
        <w:t xml:space="preserve">, the processor renders the Markdown exactly as provided, including any embedded HTML.</w:t>
      </w:r>
    </w:p>
    <w:p>
      <w:pPr>
        <w:pStyle w:val="Compact"/>
        <w:numPr>
          <w:ilvl w:val="0"/>
          <w:numId w:val="2092"/>
        </w:numPr>
      </w:pPr>
      <w:r>
        <w:t xml:space="preserve">Use</w:t>
      </w:r>
      <w:r>
        <w:t xml:space="preserve"> </w:t>
      </w:r>
      <w:r>
        <w:rPr>
          <w:b/>
          <w:bCs/>
        </w:rPr>
        <w:t xml:space="preserve">Unsafe = True</w:t>
      </w:r>
      <w:r>
        <w:t xml:space="preserve"> </w:t>
      </w:r>
      <w:r>
        <w:t xml:space="preserve">only when processing content from a trusted source or when your application requires specific HTML embedding.</w:t>
      </w:r>
    </w:p>
    <w:bookmarkEnd w:id="4305"/>
    <w:bookmarkStart w:id="4306" w:name="code-example-26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md</w:t>
      </w:r>
      <w:r>
        <w:rPr>
          <w:rStyle w:val="OtherTok"/>
        </w:rPr>
        <w:t xml:space="preserve">,</w:t>
      </w:r>
      <w:r>
        <w:rPr>
          <w:rStyle w:val="NormalTok"/>
        </w:rPr>
        <w:t xml:space="preserve"> content</w:t>
      </w:r>
      <w:r>
        <w:rPr>
          <w:rStyle w:val="OtherTok"/>
        </w:rPr>
        <w:t xml:space="preserve">,</w:t>
      </w:r>
      <w:r>
        <w:rPr>
          <w:rStyle w:val="NormalTok"/>
        </w:rPr>
        <w:t xml:space="preserve"> html</w:t>
      </w:r>
      <w:r>
        <w:br/>
      </w:r>
      <w:r>
        <w:rPr>
          <w:rStyle w:val="KeywordTok"/>
        </w:rPr>
        <w:t xml:space="preserve">Set</w:t>
      </w:r>
      <w:r>
        <w:rPr>
          <w:rStyle w:val="NormalTok"/>
        </w:rPr>
        <w:t xml:space="preserve"> 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"G3MD"</w:t>
      </w:r>
      <w:r>
        <w:rPr>
          <w:rStyle w:val="OtherTok"/>
        </w:rPr>
        <w:t xml:space="preserve">)</w:t>
      </w:r>
      <w:r>
        <w:br/>
      </w:r>
      <w:r>
        <w:br/>
      </w:r>
      <w:r>
        <w:rPr>
          <w:rStyle w:val="CommentTok"/>
        </w:rPr>
        <w:t xml:space="preserve">' Securely render user-provided content</w:t>
      </w:r>
      <w:r>
        <w:br/>
      </w:r>
      <w:r>
        <w:rPr>
          <w:rStyle w:val="NormalTok"/>
        </w:rPr>
        <w:t xml:space="preserve">md.Unsafe = </w:t>
      </w:r>
      <w:r>
        <w:rPr>
          <w:rStyle w:val="KeywordTok"/>
        </w:rPr>
        <w:t xml:space="preserve">False</w:t>
      </w:r>
      <w:r>
        <w:br/>
      </w:r>
      <w:r>
        <w:br/>
      </w:r>
      <w:r>
        <w:rPr>
          <w:rStyle w:val="NormalTok"/>
        </w:rPr>
        <w:t xml:space="preserve">content = </w:t>
      </w:r>
      <w:r>
        <w:rPr>
          <w:rStyle w:val="StringTok"/>
        </w:rPr>
        <w:t xml:space="preserve">"Click [here](javascript:alert('XSS')) or &lt;script&gt;doBad()&lt;/script&gt;"</w:t>
      </w:r>
      <w:r>
        <w:br/>
      </w:r>
      <w:r>
        <w:rPr>
          <w:rStyle w:val="NormalTok"/>
        </w:rPr>
        <w:t xml:space="preserve">html = md.Process</w:t>
      </w:r>
      <w:r>
        <w:rPr>
          <w:rStyle w:val="OtherTok"/>
        </w:rPr>
        <w:t xml:space="preserve">(</w:t>
      </w:r>
      <w:r>
        <w:rPr>
          <w:rStyle w:val="NormalTok"/>
        </w:rPr>
        <w:t xml:space="preserve">content</w:t>
      </w:r>
      <w:r>
        <w:rPr>
          <w:rStyle w:val="OtherTok"/>
        </w:rPr>
        <w:t xml:space="preserve">)</w:t>
      </w:r>
      <w:r>
        <w:br/>
      </w:r>
      <w:r>
        <w:br/>
      </w:r>
      <w:r>
        <w:rPr>
          <w:rStyle w:val="CommentTok"/>
        </w:rPr>
        <w:t xml:space="preserve">' The dangerous script and link will be neutralized in the output</w:t>
      </w:r>
      <w:r>
        <w:br/>
      </w:r>
      <w:r>
        <w:rPr>
          <w:rStyle w:val="FunctionTok"/>
        </w:rPr>
        <w:t xml:space="preserve">Response</w:t>
      </w:r>
      <w:r>
        <w:rPr>
          <w:rStyle w:val="NormalTok"/>
        </w:rPr>
        <w:t xml:space="preserve">.</w:t>
      </w:r>
      <w:r>
        <w:rPr>
          <w:rStyle w:val="FunctionTok"/>
        </w:rPr>
        <w:t xml:space="preserve">Write</w:t>
      </w:r>
      <w:r>
        <w:rPr>
          <w:rStyle w:val="NormalTok"/>
        </w:rPr>
        <w:t xml:space="preserve"> html</w:t>
      </w:r>
      <w:r>
        <w:br/>
      </w:r>
      <w:r>
        <w:rPr>
          <w:rStyle w:val="KeywordTok"/>
        </w:rPr>
        <w:t xml:space="preserve">Set</w:t>
      </w:r>
      <w:r>
        <w:rPr>
          <w:rStyle w:val="NormalTok"/>
        </w:rPr>
        <w:t xml:space="preserve"> md = </w:t>
      </w:r>
      <w:r>
        <w:rPr>
          <w:rStyle w:val="KeywordTok"/>
        </w:rPr>
        <w:t xml:space="preserve">Nothing</w:t>
      </w:r>
      <w:r>
        <w:br/>
      </w:r>
      <w:r>
        <w:rPr>
          <w:rStyle w:val="DataTypeTok"/>
        </w:rPr>
        <w:t xml:space="preserve">%&gt;</w:t>
      </w:r>
    </w:p>
    <w:bookmarkEnd w:id="4306"/>
    <w:bookmarkStart w:id="4307" w:name="g3search"/>
    <w:p>
      <w:pPr>
        <w:pStyle w:val="Heading2"/>
      </w:pPr>
      <w:r>
        <w:t xml:space="preserve">G3SEARCH</w:t>
      </w:r>
    </w:p>
    <w:bookmarkEnd w:id="4307"/>
    <w:bookmarkEnd w:id="4308"/>
    <w:bookmarkStart w:id="4313" w:name="g3search-object-overview"/>
    <w:p>
      <w:pPr>
        <w:pStyle w:val="Heading1"/>
      </w:pPr>
      <w:r>
        <w:t xml:space="preserve">G3SEARCH Object Overview</w:t>
      </w:r>
    </w:p>
    <w:bookmarkStart w:id="4309" w:name="overview-483"/>
    <w:p>
      <w:pPr>
        <w:pStyle w:val="Heading2"/>
      </w:pPr>
      <w:r>
        <w:t xml:space="preserve">Overview</w:t>
      </w:r>
    </w:p>
    <w:p>
      <w:pPr>
        <w:pStyle w:val="FirstParagraph"/>
      </w:pPr>
      <w:r>
        <w:t xml:space="preserve">The</w:t>
      </w:r>
      <w:r>
        <w:t xml:space="preserve"> </w:t>
      </w:r>
      <w:r>
        <w:rPr>
          <w:b/>
          <w:bCs/>
        </w:rPr>
        <w:t xml:space="preserve">G3SEARCH</w:t>
      </w:r>
      <w:r>
        <w:t xml:space="preserve"> </w:t>
      </w:r>
      <w:r>
        <w:t xml:space="preserve">object is a high-performance native library for the</w:t>
      </w:r>
      <w:r>
        <w:t xml:space="preserve"> </w:t>
      </w:r>
      <w:r>
        <w:rPr>
          <w:b/>
          <w:bCs/>
        </w:rPr>
        <w:t xml:space="preserve">G3Pix AxonASP</w:t>
      </w:r>
      <w:r>
        <w:t xml:space="preserve"> </w:t>
      </w:r>
      <w:r>
        <w:t xml:space="preserve">environment. It provides comprehensive document indexing and full-text search capabilities using the</w:t>
      </w:r>
      <w:r>
        <w:t xml:space="preserve"> </w:t>
      </w:r>
      <w:r>
        <w:rPr>
          <w:b/>
          <w:bCs/>
        </w:rPr>
        <w:t xml:space="preserve">Bluge</w:t>
      </w:r>
      <w:r>
        <w:t xml:space="preserve"> </w:t>
      </w:r>
      <w:r>
        <w:t xml:space="preserve">search engine.</w:t>
      </w:r>
    </w:p>
    <w:p>
      <w:pPr>
        <w:pStyle w:val="BodyText"/>
      </w:pPr>
      <w:r>
        <w:t xml:space="preserve">This object allows developers to recursively scan directories for specific file types, index their contents and filenames into a persistent local index, and execute complex match queries to retrieve relevant documents.</w:t>
      </w:r>
    </w:p>
    <w:bookmarkEnd w:id="4309"/>
    <w:bookmarkStart w:id="4310" w:name="syntax-464"/>
    <w:p>
      <w:pPr>
        <w:pStyle w:val="Heading2"/>
      </w:pPr>
      <w:r>
        <w:t xml:space="preserve">Syntax</w:t>
      </w:r>
    </w:p>
    <w:p>
      <w:pPr>
        <w:pStyle w:val="SourceCode"/>
      </w:pPr>
      <w:r>
        <w:rPr>
          <w:rStyle w:val="NormalTok"/>
        </w:rPr>
        <w:t xml:space="preserve">Dim search</w:t>
      </w:r>
      <w:r>
        <w:br/>
      </w:r>
      <w:r>
        <w:rPr>
          <w:rStyle w:val="NormalTok"/>
        </w:rPr>
        <w:t xml:space="preserve">Set search = Server.CreateObject("G3SEARCH")</w:t>
      </w:r>
    </w:p>
    <w:p>
      <w:pPr>
        <w:pStyle w:val="SourceCode"/>
      </w:pPr>
      <w:r>
        <w:rPr>
          <w:rStyle w:val="KeywordTok"/>
        </w:rPr>
        <w:t xml:space="preserve">var</w:t>
      </w:r>
      <w:r>
        <w:rPr>
          <w:rStyle w:val="NormalTok"/>
        </w:rPr>
        <w:t xml:space="preserve"> search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"G3SEARCH"</w:t>
      </w:r>
      <w:r>
        <w:rPr>
          <w:rStyle w:val="NormalTok"/>
        </w:rPr>
        <w:t xml:space="preserve">)</w:t>
      </w:r>
      <w:r>
        <w:rPr>
          <w:rStyle w:val="OperatorTok"/>
        </w:rPr>
        <w:t xml:space="preserve">;</w:t>
      </w:r>
    </w:p>
    <w:bookmarkEnd w:id="4310"/>
    <w:bookmarkStart w:id="4311" w:name="remarks-451"/>
    <w:p>
      <w:pPr>
        <w:pStyle w:val="Heading2"/>
      </w:pPr>
      <w:r>
        <w:t xml:space="preserve">Remarks</w:t>
      </w:r>
    </w:p>
    <w:p>
      <w:pPr>
        <w:pStyle w:val="FirstParagraph"/>
      </w:pPr>
      <w:r>
        <w:t xml:space="preserve">The</w:t>
      </w:r>
      <w:r>
        <w:t xml:space="preserve"> </w:t>
      </w:r>
      <w:r>
        <w:rPr>
          <w:b/>
          <w:bCs/>
        </w:rPr>
        <w:t xml:space="preserve">G3SEARCH</w:t>
      </w:r>
      <w:r>
        <w:t xml:space="preserve"> </w:t>
      </w:r>
      <w:r>
        <w:t xml:space="preserve">object is optimized for local file search scenarios, such as documentation portals, knowledge bases, or internal site searches. It requires write access to the directory specified in the</w:t>
      </w:r>
      <w:r>
        <w:t xml:space="preserve"> </w:t>
      </w:r>
      <w:r>
        <w:rPr>
          <w:b/>
          <w:bCs/>
        </w:rPr>
        <w:t xml:space="preserve">IndexPath</w:t>
      </w:r>
      <w:r>
        <w:t xml:space="preserve"> </w:t>
      </w:r>
      <w:r>
        <w:t xml:space="preserve">property to store the search index files.</w:t>
      </w:r>
    </w:p>
    <w:p>
      <w:pPr>
        <w:pStyle w:val="BodyText"/>
      </w:pPr>
      <w:r>
        <w:t xml:space="preserve">Before creating the object, enable the library in</w:t>
      </w:r>
      <w:r>
        <w:t xml:space="preserve"> </w:t>
      </w:r>
      <w:r>
        <w:rPr>
          <w:rStyle w:val="VerbatimChar"/>
        </w:rPr>
        <w:t xml:space="preserve">config/axonasp.toml</w:t>
      </w:r>
      <w:r>
        <w:t xml:space="preserve">:</w:t>
      </w:r>
    </w:p>
    <w:p>
      <w:pPr>
        <w:pStyle w:val="BodyText"/>
      </w:pPr>
      <w:r>
        <w:rPr>
          <w:rStyle w:val="VerbatimChar"/>
        </w:rPr>
        <w:t xml:space="preserve">[g3search]</w:t>
      </w:r>
      <w:r>
        <w:t xml:space="preserve"> </w:t>
      </w:r>
      <w:r>
        <w:rPr>
          <w:rStyle w:val="VerbatimChar"/>
        </w:rPr>
        <w:t xml:space="preserve">g3search_enabled = true</w:t>
      </w:r>
    </w:p>
    <w:p>
      <w:pPr>
        <w:pStyle w:val="BodyText"/>
      </w:pPr>
      <w:r>
        <w:t xml:space="preserve">When</w:t>
      </w:r>
      <w:r>
        <w:t xml:space="preserve"> </w:t>
      </w:r>
      <w:r>
        <w:rPr>
          <w:rStyle w:val="VerbatimChar"/>
        </w:rPr>
        <w:t xml:space="preserve">g3search.g3search_enabled</w:t>
      </w:r>
      <w:r>
        <w:t xml:space="preserve"> </w:t>
      </w:r>
      <w:r>
        <w:t xml:space="preserve">is</w:t>
      </w:r>
      <w:r>
        <w:t xml:space="preserve"> </w:t>
      </w:r>
      <w:r>
        <w:rPr>
          <w:rStyle w:val="VerbatimChar"/>
        </w:rPr>
        <w:t xml:space="preserve">false</w:t>
      </w:r>
      <w:r>
        <w:t xml:space="preserve">, AxonASP raises an explicit runtime error and the object cannot be used.</w:t>
      </w:r>
    </w:p>
    <w:p>
      <w:pPr>
        <w:pStyle w:val="BodyText"/>
      </w:pPr>
      <w:r>
        <w:t xml:space="preserve">The indexing process is recursive and can be filtered by file extension using the</w:t>
      </w:r>
      <w:r>
        <w:t xml:space="preserve"> </w:t>
      </w:r>
      <w:r>
        <w:rPr>
          <w:b/>
          <w:bCs/>
        </w:rPr>
        <w:t xml:space="preserve">Extension</w:t>
      </w:r>
      <w:r>
        <w:t xml:space="preserve"> </w:t>
      </w:r>
      <w:r>
        <w:t xml:space="preserve">property.</w:t>
      </w:r>
    </w:p>
    <w:p>
      <w:pPr>
        <w:pStyle w:val="BodyText"/>
      </w:pPr>
      <w:r>
        <w:t xml:space="preserve">The</w:t>
      </w:r>
      <w:r>
        <w:t xml:space="preserve"> </w:t>
      </w:r>
      <w:r>
        <w:rPr>
          <w:b/>
          <w:bCs/>
        </w:rPr>
        <w:t xml:space="preserve">Search</w:t>
      </w:r>
      <w:r>
        <w:t xml:space="preserve"> </w:t>
      </w:r>
      <w:r>
        <w:t xml:space="preserve">method returns a two-dimensional VBScript array where each row contains two values: filename and relevance score.</w:t>
      </w:r>
    </w:p>
    <w:bookmarkEnd w:id="4311"/>
    <w:bookmarkStart w:id="4312" w:name="code-example-261"/>
    <w:p>
      <w:pPr>
        <w:pStyle w:val="Heading2"/>
      </w:pPr>
      <w:r>
        <w:t xml:space="preserve">Code Example</w:t>
      </w:r>
    </w:p>
    <w:p>
      <w:pPr>
        <w:pStyle w:val="FirstParagraph"/>
      </w:pPr>
      <w:r>
        <w:t xml:space="preserve">The following example demonstrates how to instantiate the</w:t>
      </w:r>
      <w:r>
        <w:t xml:space="preserve"> </w:t>
      </w:r>
      <w:r>
        <w:rPr>
          <w:b/>
          <w:bCs/>
        </w:rPr>
        <w:t xml:space="preserve">G3SEARCH</w:t>
      </w:r>
      <w:r>
        <w:t xml:space="preserve"> </w:t>
      </w:r>
      <w:r>
        <w:t xml:space="preserve">object and check its default configuration.</w:t>
      </w:r>
    </w:p>
    <w:p>
      <w:pPr>
        <w:pStyle w:val="SourceCode"/>
      </w:pPr>
      <w:r>
        <w:rPr>
          <w:rStyle w:val="VerbatimChar"/>
        </w:rPr>
        <w:t xml:space="preserve">&lt;%</w:t>
      </w:r>
      <w:r>
        <w:br/>
      </w:r>
      <w:r>
        <w:rPr>
          <w:rStyle w:val="VerbatimChar"/>
        </w:rPr>
        <w:t xml:space="preserve">    Dim search</w:t>
      </w:r>
      <w:r>
        <w:br/>
      </w:r>
      <w:r>
        <w:rPr>
          <w:rStyle w:val="VerbatimChar"/>
        </w:rPr>
        <w:t xml:space="preserve">    Set search = Server.CreateObject("G3SEARCH")</w:t>
      </w:r>
      <w:r>
        <w:br/>
      </w:r>
      <w:r>
        <w:rPr>
          <w:rStyle w:val="VerbatimChar"/>
        </w:rPr>
        <w:t xml:space="preserve">    </w:t>
      </w:r>
      <w:r>
        <w:br/>
      </w:r>
      <w:r>
        <w:rPr>
          <w:rStyle w:val="VerbatimChar"/>
        </w:rPr>
        <w:t xml:space="preserve">    Response.Write "Default Extension: " &amp; search.Extension</w:t>
      </w:r>
      <w:r>
        <w:br/>
      </w:r>
      <w:r>
        <w:rPr>
          <w:rStyle w:val="VerbatimChar"/>
        </w:rPr>
        <w:t xml:space="preserve">    </w:t>
      </w:r>
      <w:r>
        <w:br/>
      </w:r>
      <w:r>
        <w:rPr>
          <w:rStyle w:val="VerbatimChar"/>
        </w:rPr>
        <w:t xml:space="preserve">    Set search = Nothing</w:t>
      </w:r>
      <w:r>
        <w:br/>
      </w:r>
      <w:r>
        <w:rPr>
          <w:rStyle w:val="VerbatimChar"/>
        </w:rPr>
        <w:t xml:space="preserve">%&gt;</w:t>
      </w:r>
    </w:p>
    <w:bookmarkEnd w:id="4312"/>
    <w:bookmarkEnd w:id="4313"/>
    <w:bookmarkStart w:id="4316" w:name="g3search-methods"/>
    <w:p>
      <w:pPr>
        <w:pStyle w:val="Heading1"/>
      </w:pPr>
      <w:r>
        <w:t xml:space="preserve">G3SEARCH Methods</w:t>
      </w:r>
    </w:p>
    <w:bookmarkStart w:id="4314" w:name="overview-484"/>
    <w:p>
      <w:pPr>
        <w:pStyle w:val="Heading2"/>
      </w:pPr>
      <w:r>
        <w:t xml:space="preserve">Overview</w:t>
      </w:r>
    </w:p>
    <w:p>
      <w:pPr>
        <w:pStyle w:val="FirstParagraph"/>
      </w:pPr>
      <w:r>
        <w:t xml:space="preserve">The</w:t>
      </w:r>
      <w:r>
        <w:t xml:space="preserve"> </w:t>
      </w:r>
      <w:r>
        <w:rPr>
          <w:b/>
          <w:bCs/>
        </w:rPr>
        <w:t xml:space="preserve">G3SEARCH</w:t>
      </w:r>
      <w:r>
        <w:t xml:space="preserve"> </w:t>
      </w:r>
      <w:r>
        <w:t xml:space="preserve">object exposes methods for managing the search index and performing full-text queries against indexed content.</w:t>
      </w:r>
    </w:p>
    <w:bookmarkEnd w:id="4314"/>
    <w:bookmarkStart w:id="4315" w:name="methods-summary"/>
    <w:p>
      <w:pPr>
        <w:pStyle w:val="Heading2"/>
      </w:pPr>
      <w:r>
        <w:t xml:space="preserve">Methods Summary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Method</w:t>
            </w:r>
          </w:p>
        </w:tc>
        <w:tc>
          <w:tcPr/>
          <w:p>
            <w:pPr>
              <w:pStyle w:val="Compact"/>
              <w:jc w:val="left"/>
            </w:pPr>
            <w:r>
              <w:t xml:space="preserve">Returns</w:t>
            </w:r>
          </w:p>
        </w:tc>
        <w:tc>
          <w:tcPr/>
          <w:p>
            <w:pPr>
              <w:pStyle w:val="Compact"/>
              <w:jc w:val="left"/>
            </w:pPr>
            <w:r>
              <w:t xml:space="preserve">Description</w:t>
            </w:r>
          </w:p>
        </w:tc>
      </w:tr>
      <w:tr>
        <w:tc>
          <w:tcPr/>
          <w:p>
            <w:pPr>
              <w:pStyle w:val="Compact"/>
              <w:jc w:val="left"/>
            </w:pPr>
            <w:r>
              <w:rPr>
                <w:b/>
                <w:bCs/>
              </w:rPr>
              <w:t xml:space="preserve">BuildIndex</w:t>
            </w:r>
          </w:p>
        </w:tc>
        <w:tc>
          <w:tcPr/>
          <w:p>
            <w:pPr>
              <w:pStyle w:val="Compact"/>
              <w:jc w:val="left"/>
            </w:pPr>
            <w:r>
              <w:t xml:space="preserve">Empty</w:t>
            </w:r>
          </w:p>
        </w:tc>
        <w:tc>
          <w:tcPr/>
          <w:p>
            <w:pPr>
              <w:pStyle w:val="Compact"/>
              <w:jc w:val="left"/>
            </w:pPr>
            <w:r>
              <w:t xml:space="preserve">Recursively scans the document path and builds/updates the search index.</w:t>
            </w:r>
          </w:p>
        </w:tc>
      </w:tr>
      <w:tr>
        <w:tc>
          <w:tcPr/>
          <w:p>
            <w:pPr>
              <w:pStyle w:val="Compact"/>
              <w:jc w:val="left"/>
            </w:pPr>
            <w:r>
              <w:rPr>
                <w:b/>
                <w:bCs/>
              </w:rPr>
              <w:t xml:space="preserve">Search</w:t>
            </w:r>
          </w:p>
        </w:tc>
        <w:tc>
          <w:tcPr/>
          <w:p>
            <w:pPr>
              <w:pStyle w:val="Compact"/>
              <w:jc w:val="left"/>
            </w:pPr>
            <w:r>
              <w:t xml:space="preserve">Array</w:t>
            </w:r>
          </w:p>
        </w:tc>
        <w:tc>
          <w:tcPr/>
          <w:p>
            <w:pPr>
              <w:pStyle w:val="Compact"/>
              <w:jc w:val="left"/>
            </w:pPr>
            <w:r>
              <w:t xml:space="preserve">Performs a full-text search and returns an array of matching document paths.</w:t>
            </w:r>
          </w:p>
        </w:tc>
      </w:tr>
    </w:tbl>
    <w:bookmarkEnd w:id="4315"/>
    <w:bookmarkEnd w:id="4316"/>
    <w:bookmarkStart w:id="4320" w:name="g3search-properties"/>
    <w:p>
      <w:pPr>
        <w:pStyle w:val="Heading1"/>
      </w:pPr>
      <w:r>
        <w:t xml:space="preserve">G3SEARCH Properties</w:t>
      </w:r>
    </w:p>
    <w:bookmarkStart w:id="4317" w:name="overview-485"/>
    <w:p>
      <w:pPr>
        <w:pStyle w:val="Heading2"/>
      </w:pPr>
      <w:r>
        <w:t xml:space="preserve">Overview</w:t>
      </w:r>
    </w:p>
    <w:p>
      <w:pPr>
        <w:pStyle w:val="FirstParagraph"/>
      </w:pPr>
      <w:r>
        <w:t xml:space="preserve">The</w:t>
      </w:r>
      <w:r>
        <w:t xml:space="preserve"> </w:t>
      </w:r>
      <w:r>
        <w:rPr>
          <w:b/>
          <w:bCs/>
        </w:rPr>
        <w:t xml:space="preserve">G3SEARCH</w:t>
      </w:r>
      <w:r>
        <w:t xml:space="preserve"> </w:t>
      </w:r>
      <w:r>
        <w:t xml:space="preserve">object provides several properties to configure the indexing and search behavior. These properties define the locations for index storage and document source, as well as file filtering options.</w:t>
      </w:r>
    </w:p>
    <w:bookmarkEnd w:id="4317"/>
    <w:bookmarkStart w:id="4319" w:name="properties-summary"/>
    <w:p>
      <w:pPr>
        <w:pStyle w:val="Heading2"/>
      </w:pPr>
      <w:r>
        <w:t xml:space="preserve">Properties Summary</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Property</w:t>
            </w:r>
          </w:p>
        </w:tc>
        <w:tc>
          <w:tcPr/>
          <w:p>
            <w:pPr>
              <w:pStyle w:val="Compact"/>
              <w:jc w:val="left"/>
            </w:pPr>
            <w:r>
              <w:t xml:space="preserve">Access</w:t>
            </w:r>
          </w:p>
        </w:tc>
        <w:tc>
          <w:tcPr/>
          <w:p>
            <w:pPr>
              <w:pStyle w:val="Compact"/>
              <w:jc w:val="left"/>
            </w:pPr>
            <w:r>
              <w:t xml:space="preserve">Type</w:t>
            </w:r>
          </w:p>
        </w:tc>
        <w:tc>
          <w:tcPr/>
          <w:p>
            <w:pPr>
              <w:pStyle w:val="Compact"/>
              <w:jc w:val="left"/>
            </w:pPr>
            <w:r>
              <w:t xml:space="preserve">Description</w:t>
            </w:r>
          </w:p>
        </w:tc>
      </w:tr>
      <w:tr>
        <w:tc>
          <w:tcPr/>
          <w:p>
            <w:pPr>
              <w:pStyle w:val="Compact"/>
              <w:jc w:val="left"/>
            </w:pPr>
            <w:r>
              <w:rPr>
                <w:b/>
                <w:bCs/>
              </w:rPr>
              <w:t xml:space="preserve">IndexPath</w:t>
            </w:r>
          </w:p>
        </w:tc>
        <w:tc>
          <w:tcPr/>
          <w:p>
            <w:pPr>
              <w:pStyle w:val="Compact"/>
              <w:jc w:val="left"/>
            </w:pPr>
            <w:r>
              <w:t xml:space="preserve">Read/Write</w:t>
            </w:r>
          </w:p>
        </w:tc>
        <w:tc>
          <w:tcPr/>
          <w:p>
            <w:pPr>
              <w:pStyle w:val="Compact"/>
              <w:jc w:val="left"/>
            </w:pPr>
            <w:r>
              <w:t xml:space="preserve">String</w:t>
            </w:r>
          </w:p>
        </w:tc>
        <w:tc>
          <w:tcPr/>
          <w:p>
            <w:pPr>
              <w:pStyle w:val="Compact"/>
              <w:jc w:val="left"/>
            </w:pPr>
            <w:r>
              <w:t xml:space="preserve">Specifies the file system path where the search index is stored.</w:t>
            </w:r>
          </w:p>
        </w:tc>
      </w:tr>
      <w:tr>
        <w:tc>
          <w:tcPr/>
          <w:p>
            <w:pPr>
              <w:pStyle w:val="Compact"/>
              <w:jc w:val="left"/>
            </w:pPr>
            <w:r>
              <w:rPr>
                <w:b/>
                <w:bCs/>
              </w:rPr>
              <w:t xml:space="preserve">DocsPath</w:t>
            </w:r>
          </w:p>
        </w:tc>
        <w:tc>
          <w:tcPr/>
          <w:p>
            <w:pPr>
              <w:pStyle w:val="Compact"/>
              <w:jc w:val="left"/>
            </w:pPr>
            <w:r>
              <w:t xml:space="preserve">Read/Write</w:t>
            </w:r>
          </w:p>
        </w:tc>
        <w:tc>
          <w:tcPr/>
          <w:p>
            <w:pPr>
              <w:pStyle w:val="Compact"/>
              <w:jc w:val="left"/>
            </w:pPr>
            <w:r>
              <w:t xml:space="preserve">String</w:t>
            </w:r>
          </w:p>
        </w:tc>
        <w:tc>
          <w:tcPr/>
          <w:p>
            <w:pPr>
              <w:pStyle w:val="Compact"/>
              <w:jc w:val="left"/>
            </w:pPr>
            <w:r>
              <w:t xml:space="preserve">Specifies the target directory containing documents to be indexed.</w:t>
            </w:r>
          </w:p>
        </w:tc>
      </w:tr>
      <w:tr>
        <w:tc>
          <w:tcPr/>
          <w:p>
            <w:pPr>
              <w:pStyle w:val="Compact"/>
              <w:jc w:val="left"/>
            </w:pPr>
            <w:r>
              <w:rPr>
                <w:b/>
                <w:bCs/>
              </w:rPr>
              <w:t xml:space="preserve">Extension</w:t>
            </w:r>
          </w:p>
        </w:tc>
        <w:tc>
          <w:tcPr/>
          <w:p>
            <w:pPr>
              <w:pStyle w:val="Compact"/>
              <w:jc w:val="left"/>
            </w:pPr>
            <w:r>
              <w:t xml:space="preserve">Read/Write</w:t>
            </w:r>
          </w:p>
        </w:tc>
        <w:tc>
          <w:tcPr/>
          <w:p>
            <w:pPr>
              <w:pStyle w:val="Compact"/>
              <w:jc w:val="left"/>
            </w:pPr>
            <w:r>
              <w:t xml:space="preserve">String</w:t>
            </w:r>
          </w:p>
        </w:tc>
        <w:tc>
          <w:tcPr/>
          <w:p>
            <w:pPr>
              <w:pStyle w:val="Compact"/>
              <w:jc w:val="left"/>
            </w:pPr>
            <w:r>
              <w:t xml:space="preserve">Specifies the file extension filter used during the indexing process.</w:t>
            </w:r>
          </w:p>
        </w:tc>
      </w:tr>
    </w:tbl>
    <w:bookmarkStart w:id="4318" w:name="methods-detail-17"/>
    <w:p>
      <w:pPr>
        <w:pStyle w:val="Heading3"/>
      </w:pPr>
      <w:r>
        <w:t xml:space="preserve">Methods Detail</w:t>
      </w:r>
    </w:p>
    <w:bookmarkEnd w:id="4318"/>
    <w:bookmarkEnd w:id="4319"/>
    <w:bookmarkEnd w:id="4320"/>
    <w:bookmarkStart w:id="4327" w:name="buildindex-method"/>
    <w:p>
      <w:pPr>
        <w:pStyle w:val="Heading1"/>
      </w:pPr>
      <w:r>
        <w:t xml:space="preserve">BuildIndex Method</w:t>
      </w:r>
    </w:p>
    <w:bookmarkStart w:id="4321" w:name="overview-486"/>
    <w:p>
      <w:pPr>
        <w:pStyle w:val="Heading2"/>
      </w:pPr>
      <w:r>
        <w:t xml:space="preserve">Overview</w:t>
      </w:r>
    </w:p>
    <w:p>
      <w:pPr>
        <w:pStyle w:val="FirstParagraph"/>
      </w:pPr>
      <w:r>
        <w:t xml:space="preserve">The</w:t>
      </w:r>
      <w:r>
        <w:t xml:space="preserve"> </w:t>
      </w:r>
      <w:r>
        <w:rPr>
          <w:b/>
          <w:bCs/>
        </w:rPr>
        <w:t xml:space="preserve">BuildIndex</w:t>
      </w:r>
      <w:r>
        <w:t xml:space="preserve"> </w:t>
      </w:r>
      <w:r>
        <w:t xml:space="preserve">method triggers a recursive scan of the specified document directory and populates the search index with the content and filenames of the matching documents.</w:t>
      </w:r>
    </w:p>
    <w:bookmarkEnd w:id="4321"/>
    <w:bookmarkStart w:id="4322" w:name="syntax-465"/>
    <w:p>
      <w:pPr>
        <w:pStyle w:val="Heading2"/>
      </w:pPr>
      <w:r>
        <w:t xml:space="preserve">Syntax</w:t>
      </w:r>
    </w:p>
    <w:p>
      <w:pPr>
        <w:pStyle w:val="SourceCode"/>
      </w:pPr>
      <w:r>
        <w:rPr>
          <w:rStyle w:val="NormalTok"/>
        </w:rPr>
        <w:t xml:space="preserve">search.BuildIndex()</w:t>
      </w:r>
    </w:p>
    <w:bookmarkEnd w:id="4322"/>
    <w:bookmarkStart w:id="4323" w:name="parameters-and-arguments-130"/>
    <w:p>
      <w:pPr>
        <w:pStyle w:val="Heading2"/>
      </w:pPr>
      <w:r>
        <w:t xml:space="preserve">Parameters and Arguments</w:t>
      </w:r>
    </w:p>
    <w:p>
      <w:pPr>
        <w:pStyle w:val="FirstParagraph"/>
      </w:pPr>
      <w:r>
        <w:t xml:space="preserve">This method does not take any arguments.</w:t>
      </w:r>
    </w:p>
    <w:bookmarkEnd w:id="4323"/>
    <w:bookmarkStart w:id="4324" w:name="return-values-183"/>
    <w:p>
      <w:pPr>
        <w:pStyle w:val="Heading2"/>
      </w:pPr>
      <w:r>
        <w:t xml:space="preserve">Return Values</w:t>
      </w:r>
    </w:p>
    <w:p>
      <w:pPr>
        <w:pStyle w:val="FirstParagraph"/>
      </w:pPr>
      <w:r>
        <w:t xml:space="preserve">Returns</w:t>
      </w:r>
      <w:r>
        <w:t xml:space="preserve"> </w:t>
      </w:r>
      <w:r>
        <w:rPr>
          <w:b/>
          <w:bCs/>
        </w:rPr>
        <w:t xml:space="preserve">Empty</w:t>
      </w:r>
      <w:r>
        <w:t xml:space="preserve"> </w:t>
      </w:r>
      <w:r>
        <w:t xml:space="preserve">upon successful completion.</w:t>
      </w:r>
    </w:p>
    <w:bookmarkEnd w:id="4324"/>
    <w:bookmarkStart w:id="4325" w:name="remarks-452"/>
    <w:p>
      <w:pPr>
        <w:pStyle w:val="Heading2"/>
      </w:pPr>
      <w:r>
        <w:t xml:space="preserve">Remarks</w:t>
      </w:r>
    </w:p>
    <w:p>
      <w:pPr>
        <w:pStyle w:val="Compact"/>
        <w:numPr>
          <w:ilvl w:val="0"/>
          <w:numId w:val="2093"/>
        </w:numPr>
      </w:pPr>
      <w:r>
        <w:t xml:space="preserve">Before calling</w:t>
      </w:r>
      <w:r>
        <w:t xml:space="preserve"> </w:t>
      </w:r>
      <w:r>
        <w:rPr>
          <w:b/>
          <w:bCs/>
        </w:rPr>
        <w:t xml:space="preserve">BuildIndex</w:t>
      </w:r>
      <w:r>
        <w:t xml:space="preserve">, the</w:t>
      </w:r>
      <w:r>
        <w:t xml:space="preserve"> </w:t>
      </w:r>
      <w:r>
        <w:rPr>
          <w:b/>
          <w:bCs/>
        </w:rPr>
        <w:t xml:space="preserve">IndexPath</w:t>
      </w:r>
      <w:r>
        <w:t xml:space="preserve"> </w:t>
      </w:r>
      <w:r>
        <w:t xml:space="preserve">and</w:t>
      </w:r>
      <w:r>
        <w:t xml:space="preserve"> </w:t>
      </w:r>
      <w:r>
        <w:rPr>
          <w:b/>
          <w:bCs/>
        </w:rPr>
        <w:t xml:space="preserve">DocsPath</w:t>
      </w:r>
      <w:r>
        <w:t xml:space="preserve"> </w:t>
      </w:r>
      <w:r>
        <w:t xml:space="preserve">properties must be properly configured.</w:t>
      </w:r>
    </w:p>
    <w:p>
      <w:pPr>
        <w:pStyle w:val="Compact"/>
        <w:numPr>
          <w:ilvl w:val="0"/>
          <w:numId w:val="2093"/>
        </w:numPr>
      </w:pPr>
      <w:r>
        <w:t xml:space="preserve">The method performs the following actions:</w:t>
      </w:r>
    </w:p>
    <w:p>
      <w:pPr>
        <w:pStyle w:val="Compact"/>
        <w:numPr>
          <w:ilvl w:val="1"/>
          <w:numId w:val="2094"/>
        </w:numPr>
      </w:pPr>
      <w:r>
        <w:t xml:space="preserve">Recursively traverses the</w:t>
      </w:r>
      <w:r>
        <w:t xml:space="preserve"> </w:t>
      </w:r>
      <w:r>
        <w:rPr>
          <w:b/>
          <w:bCs/>
        </w:rPr>
        <w:t xml:space="preserve">DocsPath</w:t>
      </w:r>
      <w:r>
        <w:t xml:space="preserve">.</w:t>
      </w:r>
    </w:p>
    <w:p>
      <w:pPr>
        <w:pStyle w:val="Compact"/>
        <w:numPr>
          <w:ilvl w:val="1"/>
          <w:numId w:val="2094"/>
        </w:numPr>
      </w:pPr>
      <w:r>
        <w:t xml:space="preserve">Identifies files matching the</w:t>
      </w:r>
      <w:r>
        <w:t xml:space="preserve"> </w:t>
      </w:r>
      <w:r>
        <w:rPr>
          <w:b/>
          <w:bCs/>
        </w:rPr>
        <w:t xml:space="preserve">Extension</w:t>
      </w:r>
      <w:r>
        <w:t xml:space="preserve"> </w:t>
      </w:r>
      <w:r>
        <w:t xml:space="preserve">filter.</w:t>
      </w:r>
    </w:p>
    <w:p>
      <w:pPr>
        <w:pStyle w:val="Compact"/>
        <w:numPr>
          <w:ilvl w:val="1"/>
          <w:numId w:val="2094"/>
        </w:numPr>
      </w:pPr>
      <w:r>
        <w:t xml:space="preserve">Reads the full text content of each file.</w:t>
      </w:r>
    </w:p>
    <w:p>
      <w:pPr>
        <w:pStyle w:val="Compact"/>
        <w:numPr>
          <w:ilvl w:val="1"/>
          <w:numId w:val="2094"/>
        </w:numPr>
      </w:pPr>
      <w:r>
        <w:t xml:space="preserve">Updates or creates entries in the search index at</w:t>
      </w:r>
      <w:r>
        <w:t xml:space="preserve"> </w:t>
      </w:r>
      <w:r>
        <w:rPr>
          <w:b/>
          <w:bCs/>
        </w:rPr>
        <w:t xml:space="preserve">IndexPath</w:t>
      </w:r>
      <w:r>
        <w:t xml:space="preserve">.</w:t>
      </w:r>
    </w:p>
    <w:p>
      <w:pPr>
        <w:pStyle w:val="Compact"/>
        <w:numPr>
          <w:ilvl w:val="0"/>
          <w:numId w:val="2093"/>
        </w:numPr>
      </w:pPr>
      <w:r>
        <w:t xml:space="preserve">Note that large document sets may take several seconds to index. It is recommended to run this operation during maintenance windows or via an administrative interface.</w:t>
      </w:r>
    </w:p>
    <w:bookmarkEnd w:id="4325"/>
    <w:bookmarkStart w:id="4326" w:name="code-example-26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search</w:t>
      </w:r>
      <w:r>
        <w:br/>
      </w:r>
      <w:r>
        <w:rPr>
          <w:rStyle w:val="KeywordTok"/>
        </w:rPr>
        <w:t xml:space="preserve">Set</w:t>
      </w:r>
      <w:r>
        <w:rPr>
          <w:rStyle w:val="NormalTok"/>
        </w:rPr>
        <w:t xml:space="preserve"> search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"G3SEARCH"</w:t>
      </w:r>
      <w:r>
        <w:rPr>
          <w:rStyle w:val="OtherTok"/>
        </w:rPr>
        <w:t xml:space="preserve">)</w:t>
      </w:r>
      <w:r>
        <w:br/>
      </w:r>
      <w:r>
        <w:br/>
      </w:r>
      <w:r>
        <w:rPr>
          <w:rStyle w:val="NormalTok"/>
        </w:rPr>
        <w:t xml:space="preserve">search.IndexPath = </w:t>
      </w:r>
      <w:r>
        <w:rPr>
          <w:rStyle w:val="FunctionTok"/>
        </w:rPr>
        <w:t xml:space="preserve">Server</w:t>
      </w:r>
      <w:r>
        <w:rPr>
          <w:rStyle w:val="NormalTok"/>
        </w:rPr>
        <w:t xml:space="preserve">.MapPath</w:t>
      </w:r>
      <w:r>
        <w:rPr>
          <w:rStyle w:val="OtherTok"/>
        </w:rPr>
        <w:t xml:space="preserve">(</w:t>
      </w:r>
      <w:r>
        <w:rPr>
          <w:rStyle w:val="StringTok"/>
        </w:rPr>
        <w:t xml:space="preserve">"../temp/index"</w:t>
      </w:r>
      <w:r>
        <w:rPr>
          <w:rStyle w:val="OtherTok"/>
        </w:rPr>
        <w:t xml:space="preserve">)</w:t>
      </w:r>
      <w:r>
        <w:br/>
      </w:r>
      <w:r>
        <w:rPr>
          <w:rStyle w:val="NormalTok"/>
        </w:rPr>
        <w:t xml:space="preserve">search.DocsPath = </w:t>
      </w:r>
      <w:r>
        <w:rPr>
          <w:rStyle w:val="FunctionTok"/>
        </w:rPr>
        <w:t xml:space="preserve">Server</w:t>
      </w:r>
      <w:r>
        <w:rPr>
          <w:rStyle w:val="NormalTok"/>
        </w:rPr>
        <w:t xml:space="preserve">.MapPath</w:t>
      </w:r>
      <w:r>
        <w:rPr>
          <w:rStyle w:val="OtherTok"/>
        </w:rPr>
        <w:t xml:space="preserve">(</w:t>
      </w:r>
      <w:r>
        <w:rPr>
          <w:rStyle w:val="StringTok"/>
        </w:rPr>
        <w:t xml:space="preserve">"../docs"</w:t>
      </w:r>
      <w:r>
        <w:rPr>
          <w:rStyle w:val="OtherTok"/>
        </w:rPr>
        <w:t xml:space="preserve">)</w:t>
      </w:r>
      <w:r>
        <w:br/>
      </w:r>
      <w:r>
        <w:rPr>
          <w:rStyle w:val="NormalTok"/>
        </w:rPr>
        <w:t xml:space="preserve">search.Extension = </w:t>
      </w:r>
      <w:r>
        <w:rPr>
          <w:rStyle w:val="StringTok"/>
        </w:rPr>
        <w:t xml:space="preserve">".md"</w:t>
      </w:r>
      <w:r>
        <w:br/>
      </w:r>
      <w:r>
        <w:br/>
      </w:r>
      <w:r>
        <w:rPr>
          <w:rStyle w:val="CommentTok"/>
        </w:rPr>
        <w:t xml:space="preserve">' Build the index</w:t>
      </w:r>
      <w:r>
        <w:br/>
      </w:r>
      <w:r>
        <w:rPr>
          <w:rStyle w:val="NormalTok"/>
        </w:rPr>
        <w:t xml:space="preserve">search.BuildIndex</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"Indexing complete."</w:t>
      </w:r>
      <w:r>
        <w:br/>
      </w:r>
      <w:r>
        <w:br/>
      </w:r>
      <w:r>
        <w:rPr>
          <w:rStyle w:val="KeywordTok"/>
        </w:rPr>
        <w:t xml:space="preserve">Set</w:t>
      </w:r>
      <w:r>
        <w:rPr>
          <w:rStyle w:val="NormalTok"/>
        </w:rPr>
        <w:t xml:space="preserve"> search = </w:t>
      </w:r>
      <w:r>
        <w:rPr>
          <w:rStyle w:val="KeywordTok"/>
        </w:rPr>
        <w:t xml:space="preserve">Nothing</w:t>
      </w:r>
      <w:r>
        <w:br/>
      </w:r>
      <w:r>
        <w:rPr>
          <w:rStyle w:val="DataTypeTok"/>
        </w:rPr>
        <w:t xml:space="preserve">%&gt;</w:t>
      </w:r>
    </w:p>
    <w:bookmarkEnd w:id="4326"/>
    <w:bookmarkEnd w:id="4327"/>
    <w:bookmarkStart w:id="4335" w:name="search-method"/>
    <w:p>
      <w:pPr>
        <w:pStyle w:val="Heading1"/>
      </w:pPr>
      <w:r>
        <w:t xml:space="preserve">Search Method</w:t>
      </w:r>
    </w:p>
    <w:bookmarkStart w:id="4328" w:name="overview-487"/>
    <w:p>
      <w:pPr>
        <w:pStyle w:val="Heading2"/>
      </w:pPr>
      <w:r>
        <w:t xml:space="preserve">Overview</w:t>
      </w:r>
    </w:p>
    <w:p>
      <w:pPr>
        <w:pStyle w:val="FirstParagraph"/>
      </w:pPr>
      <w:r>
        <w:t xml:space="preserve">Use</w:t>
      </w:r>
      <w:r>
        <w:t xml:space="preserve"> </w:t>
      </w:r>
      <w:r>
        <w:rPr>
          <w:b/>
          <w:bCs/>
        </w:rPr>
        <w:t xml:space="preserve">Search</w:t>
      </w:r>
      <w:r>
        <w:t xml:space="preserve"> </w:t>
      </w:r>
      <w:r>
        <w:t xml:space="preserve">to query the existing G3Pix AxonASP G3SEARCH index and retrieve matching documents with their relevance scores.</w:t>
      </w:r>
    </w:p>
    <w:bookmarkEnd w:id="4328"/>
    <w:bookmarkStart w:id="4329" w:name="syntax-466"/>
    <w:p>
      <w:pPr>
        <w:pStyle w:val="Heading2"/>
      </w:pPr>
      <w:r>
        <w:t xml:space="preserve">Syntax</w:t>
      </w:r>
    </w:p>
    <w:p>
      <w:pPr>
        <w:pStyle w:val="SourceCode"/>
      </w:pPr>
      <w:r>
        <w:rPr>
          <w:rStyle w:val="NormalTok"/>
        </w:rPr>
        <w:t xml:space="preserve">results = search.Search(term)</w:t>
      </w:r>
    </w:p>
    <w:bookmarkEnd w:id="4329"/>
    <w:bookmarkStart w:id="4330" w:name="parameters-and-arguments-131"/>
    <w:p>
      <w:pPr>
        <w:pStyle w:val="Heading2"/>
      </w:pPr>
      <w:r>
        <w:t xml:space="preserve">Parameters and Arguments</w:t>
      </w:r>
    </w:p>
    <w:p>
      <w:pPr>
        <w:pStyle w:val="Compact"/>
        <w:numPr>
          <w:ilvl w:val="0"/>
          <w:numId w:val="2095"/>
        </w:numPr>
      </w:pPr>
      <w:r>
        <w:rPr>
          <w:b/>
          <w:bCs/>
        </w:rPr>
        <w:t xml:space="preserve">term</w:t>
      </w:r>
      <w:r>
        <w:t xml:space="preserve"> </w:t>
      </w:r>
      <w:r>
        <w:t xml:space="preserve">(String, Required): A query term to match against indexed document content.</w:t>
      </w:r>
    </w:p>
    <w:bookmarkEnd w:id="4330"/>
    <w:bookmarkStart w:id="4331" w:name="return-values-184"/>
    <w:p>
      <w:pPr>
        <w:pStyle w:val="Heading2"/>
      </w:pPr>
      <w:r>
        <w:t xml:space="preserve">Return Values</w:t>
      </w:r>
    </w:p>
    <w:p>
      <w:pPr>
        <w:pStyle w:val="FirstParagraph"/>
      </w:pPr>
      <w:r>
        <w:t xml:space="preserve">Returns a native VBScript</w:t>
      </w:r>
      <w:r>
        <w:t xml:space="preserve"> </w:t>
      </w:r>
      <w:r>
        <w:rPr>
          <w:b/>
          <w:bCs/>
        </w:rPr>
        <w:t xml:space="preserve">two-dimensional array</w:t>
      </w:r>
      <w:r>
        <w:t xml:space="preserve"> </w:t>
      </w:r>
      <w:r>
        <w:t xml:space="preserve">where each row contains exactly two values:</w:t>
      </w:r>
      <w:r>
        <w:t xml:space="preserve"> </w:t>
      </w:r>
      <w:r>
        <w:t xml:space="preserve">1.</w:t>
      </w:r>
      <w:r>
        <w:t xml:space="preserve"> </w:t>
      </w:r>
      <w:r>
        <w:rPr>
          <w:b/>
          <w:bCs/>
        </w:rPr>
        <w:t xml:space="preserve">Filename</w:t>
      </w:r>
      <w:r>
        <w:t xml:space="preserve"> </w:t>
      </w:r>
      <w:r>
        <w:t xml:space="preserve">as</w:t>
      </w:r>
      <w:r>
        <w:t xml:space="preserve"> </w:t>
      </w:r>
      <w:r>
        <w:rPr>
          <w:b/>
          <w:bCs/>
        </w:rPr>
        <w:t xml:space="preserve">String</w:t>
      </w:r>
      <w:r>
        <w:t xml:space="preserve"> </w:t>
      </w:r>
      <w:r>
        <w:t xml:space="preserve">(</w:t>
      </w:r>
      <w:r>
        <w:rPr>
          <w:rStyle w:val="VerbatimChar"/>
        </w:rPr>
        <w:t xml:space="preserve">results(i)(0)</w:t>
      </w:r>
      <w:r>
        <w:t xml:space="preserve">)</w:t>
      </w:r>
      <w:r>
        <w:t xml:space="preserve"> </w:t>
      </w:r>
      <w:r>
        <w:t xml:space="preserve">2.</w:t>
      </w:r>
      <w:r>
        <w:t xml:space="preserve"> </w:t>
      </w:r>
      <w:r>
        <w:rPr>
          <w:b/>
          <w:bCs/>
        </w:rPr>
        <w:t xml:space="preserve">Score</w:t>
      </w:r>
      <w:r>
        <w:t xml:space="preserve"> </w:t>
      </w:r>
      <w:r>
        <w:t xml:space="preserve">as</w:t>
      </w:r>
      <w:r>
        <w:t xml:space="preserve"> </w:t>
      </w:r>
      <w:r>
        <w:rPr>
          <w:b/>
          <w:bCs/>
        </w:rPr>
        <w:t xml:space="preserve">Double</w:t>
      </w:r>
      <w:r>
        <w:t xml:space="preserve"> </w:t>
      </w:r>
      <w:r>
        <w:t xml:space="preserve">(</w:t>
      </w:r>
      <w:r>
        <w:rPr>
          <w:rStyle w:val="VerbatimChar"/>
        </w:rPr>
        <w:t xml:space="preserve">results(i)(1)</w:t>
      </w:r>
      <w:r>
        <w:t xml:space="preserve">)</w:t>
      </w:r>
    </w:p>
    <w:p>
      <w:pPr>
        <w:pStyle w:val="BodyText"/>
      </w:pPr>
      <w:r>
        <w:t xml:space="preserve">If no matches are found, the method returns an empty array.</w:t>
      </w:r>
    </w:p>
    <w:bookmarkEnd w:id="4331"/>
    <w:bookmarkStart w:id="4332" w:name="remarks-453"/>
    <w:p>
      <w:pPr>
        <w:pStyle w:val="Heading2"/>
      </w:pPr>
      <w:r>
        <w:t xml:space="preserve">Remarks</w:t>
      </w:r>
    </w:p>
    <w:p>
      <w:pPr>
        <w:pStyle w:val="Compact"/>
        <w:numPr>
          <w:ilvl w:val="0"/>
          <w:numId w:val="2096"/>
        </w:numPr>
      </w:pPr>
      <w:r>
        <w:t xml:space="preserve">Set</w:t>
      </w:r>
      <w:r>
        <w:t xml:space="preserve"> </w:t>
      </w:r>
      <w:r>
        <w:rPr>
          <w:b/>
          <w:bCs/>
        </w:rPr>
        <w:t xml:space="preserve">IndexPath</w:t>
      </w:r>
      <w:r>
        <w:t xml:space="preserve"> </w:t>
      </w:r>
      <w:r>
        <w:t xml:space="preserve">to a valid index directory before calling this method.</w:t>
      </w:r>
    </w:p>
    <w:p>
      <w:pPr>
        <w:pStyle w:val="Compact"/>
        <w:numPr>
          <w:ilvl w:val="0"/>
          <w:numId w:val="2096"/>
        </w:numPr>
      </w:pPr>
      <w:r>
        <w:t xml:space="preserve">Set</w:t>
      </w:r>
      <w:r>
        <w:t xml:space="preserve"> </w:t>
      </w:r>
      <w:r>
        <w:rPr>
          <w:rStyle w:val="VerbatimChar"/>
        </w:rPr>
        <w:t xml:space="preserve">g3search.g3search_enabled = true</w:t>
      </w:r>
      <w:r>
        <w:t xml:space="preserve"> </w:t>
      </w:r>
      <w:r>
        <w:t xml:space="preserve">in</w:t>
      </w:r>
      <w:r>
        <w:t xml:space="preserve"> </w:t>
      </w:r>
      <w:r>
        <w:rPr>
          <w:rStyle w:val="VerbatimChar"/>
        </w:rPr>
        <w:t xml:space="preserve">config/axonasp.toml</w:t>
      </w:r>
      <w:r>
        <w:t xml:space="preserve"> </w:t>
      </w:r>
      <w:r>
        <w:t xml:space="preserve">before creating and using the object.</w:t>
      </w:r>
    </w:p>
    <w:p>
      <w:pPr>
        <w:pStyle w:val="Compact"/>
        <w:numPr>
          <w:ilvl w:val="0"/>
          <w:numId w:val="2096"/>
        </w:numPr>
      </w:pPr>
      <w:r>
        <w:t xml:space="preserve">The search runs against the</w:t>
      </w:r>
      <w:r>
        <w:t xml:space="preserve"> </w:t>
      </w:r>
      <w:r>
        <w:rPr>
          <w:rStyle w:val="VerbatimChar"/>
        </w:rPr>
        <w:t xml:space="preserve">content</w:t>
      </w:r>
      <w:r>
        <w:t xml:space="preserve"> </w:t>
      </w:r>
      <w:r>
        <w:t xml:space="preserve">field and returns rows ordered by the internal relevance ranking from the search engine.</w:t>
      </w:r>
    </w:p>
    <w:bookmarkEnd w:id="4332"/>
    <w:bookmarkStart w:id="4334" w:name="code-example-26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search</w:t>
      </w:r>
      <w:r>
        <w:rPr>
          <w:rStyle w:val="OtherTok"/>
        </w:rPr>
        <w:t xml:space="preserve">,</w:t>
      </w:r>
      <w:r>
        <w:rPr>
          <w:rStyle w:val="NormalTok"/>
        </w:rPr>
        <w:t xml:space="preserve"> results</w:t>
      </w:r>
      <w:r>
        <w:rPr>
          <w:rStyle w:val="OtherTok"/>
        </w:rPr>
        <w:t xml:space="preserve">,</w:t>
      </w:r>
      <w:r>
        <w:rPr>
          <w:rStyle w:val="NormalTok"/>
        </w:rPr>
        <w:t xml:space="preserve"> i</w:t>
      </w:r>
      <w:r>
        <w:br/>
      </w:r>
      <w:r>
        <w:rPr>
          <w:rStyle w:val="KeywordTok"/>
        </w:rPr>
        <w:t xml:space="preserve">Dim</w:t>
      </w:r>
      <w:r>
        <w:rPr>
          <w:rStyle w:val="NormalTok"/>
        </w:rPr>
        <w:t xml:space="preserve"> filename</w:t>
      </w:r>
      <w:r>
        <w:rPr>
          <w:rStyle w:val="OtherTok"/>
        </w:rPr>
        <w:t xml:space="preserve">,</w:t>
      </w:r>
      <w:r>
        <w:rPr>
          <w:rStyle w:val="NormalTok"/>
        </w:rPr>
        <w:t xml:space="preserve"> score</w:t>
      </w:r>
      <w:r>
        <w:br/>
      </w:r>
      <w:r>
        <w:rPr>
          <w:rStyle w:val="KeywordTok"/>
        </w:rPr>
        <w:t xml:space="preserve">Set</w:t>
      </w:r>
      <w:r>
        <w:rPr>
          <w:rStyle w:val="NormalTok"/>
        </w:rPr>
        <w:t xml:space="preserve"> search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"G3SEARCH"</w:t>
      </w:r>
      <w:r>
        <w:rPr>
          <w:rStyle w:val="OtherTok"/>
        </w:rPr>
        <w:t xml:space="preserve">)</w:t>
      </w:r>
      <w:r>
        <w:br/>
      </w:r>
      <w:r>
        <w:br/>
      </w:r>
      <w:r>
        <w:rPr>
          <w:rStyle w:val="NormalTok"/>
        </w:rPr>
        <w:t xml:space="preserve">search.IndexPath = </w:t>
      </w:r>
      <w:r>
        <w:rPr>
          <w:rStyle w:val="FunctionTok"/>
        </w:rPr>
        <w:t xml:space="preserve">Server</w:t>
      </w:r>
      <w:r>
        <w:rPr>
          <w:rStyle w:val="NormalTok"/>
        </w:rPr>
        <w:t xml:space="preserve">.MapPath</w:t>
      </w:r>
      <w:r>
        <w:rPr>
          <w:rStyle w:val="OtherTok"/>
        </w:rPr>
        <w:t xml:space="preserve">(</w:t>
      </w:r>
      <w:r>
        <w:rPr>
          <w:rStyle w:val="StringTok"/>
        </w:rPr>
        <w:t xml:space="preserve">"../temp/index"</w:t>
      </w:r>
      <w:r>
        <w:rPr>
          <w:rStyle w:val="OtherTok"/>
        </w:rPr>
        <w:t xml:space="preserve">)</w:t>
      </w:r>
      <w:r>
        <w:br/>
      </w:r>
      <w:r>
        <w:br/>
      </w:r>
      <w:r>
        <w:rPr>
          <w:rStyle w:val="CommentTok"/>
        </w:rPr>
        <w:t xml:space="preserve">' Execute search for the term "AxonASP"</w:t>
      </w:r>
      <w:r>
        <w:br/>
      </w:r>
      <w:r>
        <w:rPr>
          <w:rStyle w:val="NormalTok"/>
        </w:rPr>
        <w:t xml:space="preserve">results = search.Search</w:t>
      </w:r>
      <w:r>
        <w:rPr>
          <w:rStyle w:val="OtherTok"/>
        </w:rPr>
        <w:t xml:space="preserve">(</w:t>
      </w:r>
      <w:r>
        <w:rPr>
          <w:rStyle w:val="StringTok"/>
        </w:rPr>
        <w:t xml:space="preserve">"AxonASP"</w:t>
      </w:r>
      <w:r>
        <w:rPr>
          <w:rStyle w:val="OtherTok"/>
        </w:rPr>
        <w:t xml:space="preserve">)</w:t>
      </w:r>
      <w:r>
        <w:br/>
      </w:r>
      <w:r>
        <w:br/>
      </w:r>
      <w:r>
        <w:rPr>
          <w:rStyle w:val="ControlFlowTok"/>
        </w:rPr>
        <w:t xml:space="preserve">If</w:t>
      </w:r>
      <w:r>
        <w:rPr>
          <w:rStyle w:val="NormalTok"/>
        </w:rPr>
        <w:t xml:space="preserve"> </w:t>
      </w:r>
      <w:r>
        <w:rPr>
          <w:rStyle w:val="FunctionTok"/>
        </w:rPr>
        <w:t xml:space="preserve">IsArray</w:t>
      </w:r>
      <w:r>
        <w:rPr>
          <w:rStyle w:val="OtherTok"/>
        </w:rPr>
        <w:t xml:space="preserve">(</w:t>
      </w:r>
      <w:r>
        <w:rPr>
          <w:rStyle w:val="NormalTok"/>
        </w:rPr>
        <w:t xml:space="preserve">results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If</w:t>
      </w:r>
      <w:r>
        <w:rPr>
          <w:rStyle w:val="NormalTok"/>
        </w:rPr>
        <w:t xml:space="preserve"> </w:t>
      </w:r>
      <w:r>
        <w:rPr>
          <w:rStyle w:val="FunctionTok"/>
        </w:rPr>
        <w:t xml:space="preserve">UBound</w:t>
      </w:r>
      <w:r>
        <w:rPr>
          <w:rStyle w:val="OtherTok"/>
        </w:rPr>
        <w:t xml:space="preserve">(</w:t>
      </w:r>
      <w:r>
        <w:rPr>
          <w:rStyle w:val="NormalTok"/>
        </w:rPr>
        <w:t xml:space="preserve">results</w:t>
      </w:r>
      <w:r>
        <w:rPr>
          <w:rStyle w:val="OtherTok"/>
        </w:rPr>
        <w:t xml:space="preserve">)</w:t>
      </w:r>
      <w:r>
        <w:rPr>
          <w:rStyle w:val="NormalTok"/>
        </w:rPr>
        <w:t xml:space="preserve"> &gt;= </w:t>
      </w:r>
      <w:r>
        <w:rPr>
          <w:rStyle w:val="FunctionTok"/>
        </w:rPr>
        <w:t xml:space="preserve">LBound</w:t>
      </w:r>
      <w:r>
        <w:rPr>
          <w:rStyle w:val="OtherTok"/>
        </w:rPr>
        <w:t xml:space="preserve">(</w:t>
      </w:r>
      <w:r>
        <w:rPr>
          <w:rStyle w:val="NormalTok"/>
        </w:rPr>
        <w:t xml:space="preserve">results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"Found "</w:t>
      </w:r>
      <w:r>
        <w:rPr>
          <w:rStyle w:val="NormalTok"/>
        </w:rPr>
        <w:t xml:space="preserve"> </w:t>
      </w:r>
      <w:r>
        <w:rPr>
          <w:rStyle w:val="KeywordTok"/>
        </w:rPr>
        <w:t xml:space="preserve">&amp;</w:t>
      </w:r>
      <w:r>
        <w:rPr>
          <w:rStyle w:val="NormalTok"/>
        </w:rPr>
        <w:t xml:space="preserve"> </w:t>
      </w:r>
      <w:r>
        <w:rPr>
          <w:rStyle w:val="OtherTok"/>
        </w:rPr>
        <w:t xml:space="preserve">(</w:t>
      </w:r>
      <w:r>
        <w:rPr>
          <w:rStyle w:val="FunctionTok"/>
        </w:rPr>
        <w:t xml:space="preserve">UBound</w:t>
      </w:r>
      <w:r>
        <w:rPr>
          <w:rStyle w:val="OtherTok"/>
        </w:rPr>
        <w:t xml:space="preserve">(</w:t>
      </w:r>
      <w:r>
        <w:rPr>
          <w:rStyle w:val="NormalTok"/>
        </w:rPr>
        <w:t xml:space="preserve">results</w:t>
      </w:r>
      <w:r>
        <w:rPr>
          <w:rStyle w:val="OtherTok"/>
        </w:rPr>
        <w:t xml:space="preserve">)</w:t>
      </w:r>
      <w:r>
        <w:rPr>
          <w:rStyle w:val="NormalTok"/>
        </w:rPr>
        <w:t xml:space="preserve"> - </w:t>
      </w:r>
      <w:r>
        <w:rPr>
          <w:rStyle w:val="FunctionTok"/>
        </w:rPr>
        <w:t xml:space="preserve">LBound</w:t>
      </w:r>
      <w:r>
        <w:rPr>
          <w:rStyle w:val="OtherTok"/>
        </w:rPr>
        <w:t xml:space="preserve">(</w:t>
      </w:r>
      <w:r>
        <w:rPr>
          <w:rStyle w:val="NormalTok"/>
        </w:rPr>
        <w:t xml:space="preserve">results</w:t>
      </w:r>
      <w:r>
        <w:rPr>
          <w:rStyle w:val="OtherTok"/>
        </w:rPr>
        <w:t xml:space="preserve">)</w:t>
      </w:r>
      <w:r>
        <w:rPr>
          <w:rStyle w:val="NormalTok"/>
        </w:rPr>
        <w:t xml:space="preserve"> + </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matches:&lt;br&gt;"</w:t>
      </w:r>
      <w:r>
        <w:br/>
      </w:r>
      <w:r>
        <w:rPr>
          <w:rStyle w:val="NormalTok"/>
        </w:rPr>
        <w:t xml:space="preserve">        </w:t>
      </w:r>
      <w:r>
        <w:rPr>
          <w:rStyle w:val="ControlFlowTok"/>
        </w:rPr>
        <w:t xml:space="preserve">For</w:t>
      </w:r>
      <w:r>
        <w:rPr>
          <w:rStyle w:val="NormalTok"/>
        </w:rPr>
        <w:t xml:space="preserve"> i = </w:t>
      </w:r>
      <w:r>
        <w:rPr>
          <w:rStyle w:val="FunctionTok"/>
        </w:rPr>
        <w:t xml:space="preserve">LBound</w:t>
      </w:r>
      <w:r>
        <w:rPr>
          <w:rStyle w:val="OtherTok"/>
        </w:rPr>
        <w:t xml:space="preserve">(</w:t>
      </w:r>
      <w:r>
        <w:rPr>
          <w:rStyle w:val="NormalTok"/>
        </w:rPr>
        <w:t xml:space="preserve">results</w:t>
      </w:r>
      <w:r>
        <w:rPr>
          <w:rStyle w:val="OtherTok"/>
        </w:rPr>
        <w:t xml:space="preserve">)</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results</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FunctionTok"/>
        </w:rPr>
        <w:t xml:space="preserve">IsArray</w:t>
      </w:r>
      <w:r>
        <w:rPr>
          <w:rStyle w:val="OtherTok"/>
        </w:rPr>
        <w:t xml:space="preserve">(</w:t>
      </w:r>
      <w:r>
        <w:rPr>
          <w:rStyle w:val="NormalTok"/>
        </w:rPr>
        <w:t xml:space="preserve">results</w:t>
      </w:r>
      <w:r>
        <w:rPr>
          <w:rStyle w:val="OtherTok"/>
        </w:rPr>
        <w:t xml:space="preserve">(</w:t>
      </w:r>
      <w:r>
        <w:rPr>
          <w:rStyle w:val="NormalTok"/>
        </w:rPr>
        <w:t xml:space="preserve">i</w:t>
      </w:r>
      <w:r>
        <w:rPr>
          <w:rStyle w:val="OtherTok"/>
        </w:rPr>
        <w:t xml:space="preserve">))</w:t>
      </w:r>
      <w:r>
        <w:rPr>
          <w:rStyle w:val="NormalTok"/>
        </w:rPr>
        <w:t xml:space="preserve"> </w:t>
      </w:r>
      <w:r>
        <w:rPr>
          <w:rStyle w:val="ControlFlowTok"/>
        </w:rPr>
        <w:t xml:space="preserve">Then</w:t>
      </w:r>
      <w:r>
        <w:br/>
      </w:r>
      <w:r>
        <w:rPr>
          <w:rStyle w:val="NormalTok"/>
        </w:rPr>
        <w:t xml:space="preserve">                filename = </w:t>
      </w:r>
      <w:r>
        <w:rPr>
          <w:rStyle w:val="FunctionTok"/>
        </w:rPr>
        <w:t xml:space="preserve">CStr</w:t>
      </w:r>
      <w:r>
        <w:rPr>
          <w:rStyle w:val="OtherTok"/>
        </w:rPr>
        <w:t xml:space="preserve">(</w:t>
      </w:r>
      <w:r>
        <w:rPr>
          <w:rStyle w:val="NormalTok"/>
        </w:rPr>
        <w:t xml:space="preserve">results</w:t>
      </w:r>
      <w:r>
        <w:rPr>
          <w:rStyle w:val="OtherTok"/>
        </w:rPr>
        <w:t xml:space="preserve">(</w:t>
      </w:r>
      <w:r>
        <w:rPr>
          <w:rStyle w:val="NormalTok"/>
        </w:rPr>
        <w:t xml:space="preserve">i</w:t>
      </w:r>
      <w:r>
        <w:rPr>
          <w:rStyle w:val="OtherTok"/>
        </w:rPr>
        <w:t xml:space="preserve">)(</w:t>
      </w:r>
      <w:r>
        <w:rPr>
          <w:rStyle w:val="DecValTok"/>
        </w:rPr>
        <w:t xml:space="preserve">0</w:t>
      </w:r>
      <w:r>
        <w:rPr>
          <w:rStyle w:val="OtherTok"/>
        </w:rPr>
        <w:t xml:space="preserve">))</w:t>
      </w:r>
      <w:r>
        <w:br/>
      </w:r>
      <w:r>
        <w:rPr>
          <w:rStyle w:val="NormalTok"/>
        </w:rPr>
        <w:t xml:space="preserve">                score = </w:t>
      </w:r>
      <w:r>
        <w:rPr>
          <w:rStyle w:val="FunctionTok"/>
        </w:rPr>
        <w:t xml:space="preserve">CDbl</w:t>
      </w:r>
      <w:r>
        <w:rPr>
          <w:rStyle w:val="OtherTok"/>
        </w:rPr>
        <w:t xml:space="preserve">(</w:t>
      </w:r>
      <w:r>
        <w:rPr>
          <w:rStyle w:val="NormalTok"/>
        </w:rPr>
        <w:t xml:space="preserve">results</w:t>
      </w:r>
      <w:r>
        <w:rPr>
          <w:rStyle w:val="OtherTok"/>
        </w:rPr>
        <w:t xml:space="preserve">(</w:t>
      </w:r>
      <w:r>
        <w:rPr>
          <w:rStyle w:val="NormalTok"/>
        </w:rPr>
        <w:t xml:space="preserve">i</w:t>
      </w:r>
      <w:r>
        <w:rPr>
          <w:rStyle w:val="OtherTok"/>
        </w:rPr>
        <w:t xml:space="preserve">)(</w:t>
      </w:r>
      <w:r>
        <w:rPr>
          <w:rStyle w:val="DecValTok"/>
        </w:rPr>
        <w:t xml:space="preserve">1</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filename </w:t>
      </w:r>
      <w:r>
        <w:rPr>
          <w:rStyle w:val="KeywordTok"/>
        </w:rPr>
        <w:t xml:space="preserve">&amp;</w:t>
      </w:r>
      <w:r>
        <w:rPr>
          <w:rStyle w:val="NormalTok"/>
        </w:rPr>
        <w:t xml:space="preserve"> </w:t>
      </w:r>
      <w:r>
        <w:rPr>
          <w:rStyle w:val="StringTok"/>
        </w:rPr>
        <w:t xml:space="preserve">" | Score: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score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ControlFlowTok"/>
        </w:rPr>
        <w:t xml:space="preserve">End If</w:t>
      </w:r>
      <w:r>
        <w:br/>
      </w:r>
      <w:r>
        <w:rPr>
          <w:rStyle w:val="NormalTok"/>
        </w:rPr>
        <w:t xml:space="preserve">        </w:t>
      </w:r>
      <w:r>
        <w:rPr>
          <w:rStyle w:val="ControlFlowTok"/>
        </w:rPr>
        <w:t xml:space="preserve">Next</w:t>
      </w:r>
      <w:r>
        <w:br/>
      </w:r>
      <w:r>
        <w:rPr>
          <w:rStyle w:val="NormalTok"/>
        </w:rPr>
        <w:t xml:space="preserve">    </w:t>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 matches found."</w:t>
      </w:r>
      <w:r>
        <w:br/>
      </w:r>
      <w:r>
        <w:rPr>
          <w:rStyle w:val="NormalTok"/>
        </w:rPr>
        <w:t xml:space="preserve">    </w:t>
      </w:r>
      <w:r>
        <w:rPr>
          <w:rStyle w:val="ControlFlowTok"/>
        </w:rPr>
        <w:t xml:space="preserve">End If</w:t>
      </w:r>
      <w:r>
        <w:br/>
      </w:r>
      <w:r>
        <w:rPr>
          <w:rStyle w:val="ControlFlowTok"/>
        </w:rPr>
        <w:t xml:space="preserve">End If</w:t>
      </w:r>
      <w:r>
        <w:br/>
      </w:r>
      <w:r>
        <w:br/>
      </w:r>
      <w:r>
        <w:rPr>
          <w:rStyle w:val="KeywordTok"/>
        </w:rPr>
        <w:t xml:space="preserve">Set</w:t>
      </w:r>
      <w:r>
        <w:rPr>
          <w:rStyle w:val="NormalTok"/>
        </w:rPr>
        <w:t xml:space="preserve"> search = </w:t>
      </w:r>
      <w:r>
        <w:rPr>
          <w:rStyle w:val="KeywordTok"/>
        </w:rPr>
        <w:t xml:space="preserve">Nothing</w:t>
      </w:r>
      <w:r>
        <w:br/>
      </w:r>
      <w:r>
        <w:rPr>
          <w:rStyle w:val="DataTypeTok"/>
        </w:rPr>
        <w:t xml:space="preserve">%&gt;</w:t>
      </w:r>
    </w:p>
    <w:bookmarkStart w:id="4333" w:name="properties-detail-10"/>
    <w:p>
      <w:pPr>
        <w:pStyle w:val="Heading3"/>
      </w:pPr>
      <w:r>
        <w:t xml:space="preserve">Properties Detail</w:t>
      </w:r>
    </w:p>
    <w:bookmarkEnd w:id="4333"/>
    <w:bookmarkEnd w:id="4334"/>
    <w:bookmarkEnd w:id="4335"/>
    <w:bookmarkStart w:id="4341" w:name="indexpath-property"/>
    <w:p>
      <w:pPr>
        <w:pStyle w:val="Heading1"/>
      </w:pPr>
      <w:r>
        <w:t xml:space="preserve">IndexPath Property</w:t>
      </w:r>
    </w:p>
    <w:bookmarkStart w:id="4336" w:name="overview-488"/>
    <w:p>
      <w:pPr>
        <w:pStyle w:val="Heading2"/>
      </w:pPr>
      <w:r>
        <w:t xml:space="preserve">Overview</w:t>
      </w:r>
    </w:p>
    <w:p>
      <w:pPr>
        <w:pStyle w:val="FirstParagraph"/>
      </w:pPr>
      <w:r>
        <w:t xml:space="preserve">Gets or sets a String value specifying the file system path where the</w:t>
      </w:r>
      <w:r>
        <w:t xml:space="preserve"> </w:t>
      </w:r>
      <w:r>
        <w:rPr>
          <w:b/>
          <w:bCs/>
        </w:rPr>
        <w:t xml:space="preserve">G3SEARCH</w:t>
      </w:r>
      <w:r>
        <w:t xml:space="preserve"> </w:t>
      </w:r>
      <w:r>
        <w:t xml:space="preserve">engine stores its persistent index files.</w:t>
      </w:r>
    </w:p>
    <w:bookmarkEnd w:id="4336"/>
    <w:bookmarkStart w:id="4337" w:name="syntax-467"/>
    <w:p>
      <w:pPr>
        <w:pStyle w:val="Heading2"/>
      </w:pPr>
      <w:r>
        <w:t xml:space="preserve">Syntax</w:t>
      </w:r>
    </w:p>
    <w:p>
      <w:pPr>
        <w:pStyle w:val="SourceCode"/>
      </w:pPr>
      <w:r>
        <w:rPr>
          <w:rStyle w:val="NormalTok"/>
        </w:rPr>
        <w:t xml:space="preserve">' Get the current value</w:t>
      </w:r>
      <w:r>
        <w:br/>
      </w:r>
      <w:r>
        <w:rPr>
          <w:rStyle w:val="NormalTok"/>
        </w:rPr>
        <w:t xml:space="preserve">path = search.IndexPath</w:t>
      </w:r>
      <w:r>
        <w:br/>
      </w:r>
      <w:r>
        <w:br/>
      </w:r>
      <w:r>
        <w:rPr>
          <w:rStyle w:val="NormalTok"/>
        </w:rPr>
        <w:t xml:space="preserve">' Set a new value</w:t>
      </w:r>
      <w:r>
        <w:br/>
      </w:r>
      <w:r>
        <w:rPr>
          <w:rStyle w:val="NormalTok"/>
        </w:rPr>
        <w:t xml:space="preserve">search.IndexPath = "../temp/mysearch.index"</w:t>
      </w:r>
    </w:p>
    <w:bookmarkEnd w:id="4337"/>
    <w:bookmarkStart w:id="4338" w:name="return-values-185"/>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representing the absolute or relative path to the directory that will contain the search index.</w:t>
      </w:r>
    </w:p>
    <w:bookmarkEnd w:id="4338"/>
    <w:bookmarkStart w:id="4339" w:name="remarks-454"/>
    <w:p>
      <w:pPr>
        <w:pStyle w:val="Heading2"/>
      </w:pPr>
      <w:r>
        <w:t xml:space="preserve">Remarks</w:t>
      </w:r>
    </w:p>
    <w:p>
      <w:pPr>
        <w:pStyle w:val="Compact"/>
        <w:numPr>
          <w:ilvl w:val="0"/>
          <w:numId w:val="2097"/>
        </w:numPr>
      </w:pPr>
      <w:r>
        <w:t xml:space="preserve">The</w:t>
      </w:r>
      <w:r>
        <w:t xml:space="preserve"> </w:t>
      </w:r>
      <w:r>
        <w:rPr>
          <w:b/>
          <w:bCs/>
        </w:rPr>
        <w:t xml:space="preserve">IndexPath</w:t>
      </w:r>
      <w:r>
        <w:t xml:space="preserve"> </w:t>
      </w:r>
      <w:r>
        <w:t xml:space="preserve">must be set before calling either the</w:t>
      </w:r>
      <w:r>
        <w:t xml:space="preserve"> </w:t>
      </w:r>
      <w:r>
        <w:rPr>
          <w:b/>
          <w:bCs/>
        </w:rPr>
        <w:t xml:space="preserve">BuildIndex</w:t>
      </w:r>
      <w:r>
        <w:t xml:space="preserve"> </w:t>
      </w:r>
      <w:r>
        <w:t xml:space="preserve">or</w:t>
      </w:r>
      <w:r>
        <w:t xml:space="preserve"> </w:t>
      </w:r>
      <w:r>
        <w:rPr>
          <w:b/>
          <w:bCs/>
        </w:rPr>
        <w:t xml:space="preserve">Search</w:t>
      </w:r>
      <w:r>
        <w:t xml:space="preserve"> </w:t>
      </w:r>
      <w:r>
        <w:t xml:space="preserve">methods.</w:t>
      </w:r>
    </w:p>
    <w:p>
      <w:pPr>
        <w:pStyle w:val="Compact"/>
        <w:numPr>
          <w:ilvl w:val="0"/>
          <w:numId w:val="2097"/>
        </w:numPr>
      </w:pPr>
      <w:r>
        <w:t xml:space="preserve">If the directory does not exist, the</w:t>
      </w:r>
      <w:r>
        <w:t xml:space="preserve"> </w:t>
      </w:r>
      <w:r>
        <w:rPr>
          <w:b/>
          <w:bCs/>
        </w:rPr>
        <w:t xml:space="preserve">G3SEARCH</w:t>
      </w:r>
      <w:r>
        <w:t xml:space="preserve"> </w:t>
      </w:r>
      <w:r>
        <w:t xml:space="preserve">engine will attempt to create it during the indexing process, provided the server process has sufficient permissions.</w:t>
      </w:r>
    </w:p>
    <w:p>
      <w:pPr>
        <w:pStyle w:val="Compact"/>
        <w:numPr>
          <w:ilvl w:val="0"/>
          <w:numId w:val="2097"/>
        </w:numPr>
      </w:pPr>
      <w:r>
        <w:t xml:space="preserve">It is recommended to use</w:t>
      </w:r>
      <w:r>
        <w:t xml:space="preserve"> </w:t>
      </w:r>
      <w:r>
        <w:rPr>
          <w:b/>
          <w:bCs/>
        </w:rPr>
        <w:t xml:space="preserve">Server.MapPath</w:t>
      </w:r>
      <w:r>
        <w:t xml:space="preserve"> </w:t>
      </w:r>
      <w:r>
        <w:t xml:space="preserve">to resolve relative paths to absolute system paths.</w:t>
      </w:r>
    </w:p>
    <w:bookmarkEnd w:id="4339"/>
    <w:bookmarkStart w:id="4340" w:name="code-example-26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search</w:t>
      </w:r>
      <w:r>
        <w:br/>
      </w:r>
      <w:r>
        <w:rPr>
          <w:rStyle w:val="KeywordTok"/>
        </w:rPr>
        <w:t xml:space="preserve">Set</w:t>
      </w:r>
      <w:r>
        <w:rPr>
          <w:rStyle w:val="NormalTok"/>
        </w:rPr>
        <w:t xml:space="preserve"> search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"G3SEARCH"</w:t>
      </w:r>
      <w:r>
        <w:rPr>
          <w:rStyle w:val="OtherTok"/>
        </w:rPr>
        <w:t xml:space="preserve">)</w:t>
      </w:r>
      <w:r>
        <w:br/>
      </w:r>
      <w:r>
        <w:br/>
      </w:r>
      <w:r>
        <w:rPr>
          <w:rStyle w:val="CommentTok"/>
        </w:rPr>
        <w:t xml:space="preserve">' Set the location for the index files</w:t>
      </w:r>
      <w:r>
        <w:br/>
      </w:r>
      <w:r>
        <w:rPr>
          <w:rStyle w:val="NormalTok"/>
        </w:rPr>
        <w:t xml:space="preserve">search.IndexPath = </w:t>
      </w:r>
      <w:r>
        <w:rPr>
          <w:rStyle w:val="FunctionTok"/>
        </w:rPr>
        <w:t xml:space="preserve">Server</w:t>
      </w:r>
      <w:r>
        <w:rPr>
          <w:rStyle w:val="NormalTok"/>
        </w:rPr>
        <w:t xml:space="preserve">.MapPath</w:t>
      </w:r>
      <w:r>
        <w:rPr>
          <w:rStyle w:val="OtherTok"/>
        </w:rPr>
        <w:t xml:space="preserve">(</w:t>
      </w:r>
      <w:r>
        <w:rPr>
          <w:rStyle w:val="StringTok"/>
        </w:rPr>
        <w:t xml:space="preserve">"../temp/mysearch.index"</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"Index will be stored at: "</w:t>
      </w:r>
      <w:r>
        <w:rPr>
          <w:rStyle w:val="NormalTok"/>
        </w:rPr>
        <w:t xml:space="preserve"> </w:t>
      </w:r>
      <w:r>
        <w:rPr>
          <w:rStyle w:val="KeywordTok"/>
        </w:rPr>
        <w:t xml:space="preserve">&amp;</w:t>
      </w:r>
      <w:r>
        <w:rPr>
          <w:rStyle w:val="NormalTok"/>
        </w:rPr>
        <w:t xml:space="preserve"> search.IndexPath</w:t>
      </w:r>
      <w:r>
        <w:br/>
      </w:r>
      <w:r>
        <w:br/>
      </w:r>
      <w:r>
        <w:rPr>
          <w:rStyle w:val="KeywordTok"/>
        </w:rPr>
        <w:t xml:space="preserve">Set</w:t>
      </w:r>
      <w:r>
        <w:rPr>
          <w:rStyle w:val="NormalTok"/>
        </w:rPr>
        <w:t xml:space="preserve"> search = </w:t>
      </w:r>
      <w:r>
        <w:rPr>
          <w:rStyle w:val="KeywordTok"/>
        </w:rPr>
        <w:t xml:space="preserve">Nothing</w:t>
      </w:r>
      <w:r>
        <w:br/>
      </w:r>
      <w:r>
        <w:rPr>
          <w:rStyle w:val="DataTypeTok"/>
        </w:rPr>
        <w:t xml:space="preserve">%&gt;</w:t>
      </w:r>
    </w:p>
    <w:bookmarkEnd w:id="4340"/>
    <w:bookmarkEnd w:id="4341"/>
    <w:bookmarkStart w:id="4347" w:name="docspath-property"/>
    <w:p>
      <w:pPr>
        <w:pStyle w:val="Heading1"/>
      </w:pPr>
      <w:r>
        <w:t xml:space="preserve">DocsPath Property</w:t>
      </w:r>
    </w:p>
    <w:bookmarkStart w:id="4342" w:name="overview-489"/>
    <w:p>
      <w:pPr>
        <w:pStyle w:val="Heading2"/>
      </w:pPr>
      <w:r>
        <w:t xml:space="preserve">Overview</w:t>
      </w:r>
    </w:p>
    <w:p>
      <w:pPr>
        <w:pStyle w:val="FirstParagraph"/>
      </w:pPr>
      <w:r>
        <w:t xml:space="preserve">Gets or sets a String value representing the root directory containing the documents that the</w:t>
      </w:r>
      <w:r>
        <w:t xml:space="preserve"> </w:t>
      </w:r>
      <w:r>
        <w:rPr>
          <w:b/>
          <w:bCs/>
        </w:rPr>
        <w:t xml:space="preserve">G3SEARCH</w:t>
      </w:r>
      <w:r>
        <w:t xml:space="preserve"> </w:t>
      </w:r>
      <w:r>
        <w:t xml:space="preserve">object will scan and index.</w:t>
      </w:r>
    </w:p>
    <w:bookmarkEnd w:id="4342"/>
    <w:bookmarkStart w:id="4343" w:name="syntax-468"/>
    <w:p>
      <w:pPr>
        <w:pStyle w:val="Heading2"/>
      </w:pPr>
      <w:r>
        <w:t xml:space="preserve">Syntax</w:t>
      </w:r>
    </w:p>
    <w:p>
      <w:pPr>
        <w:pStyle w:val="SourceCode"/>
      </w:pPr>
      <w:r>
        <w:rPr>
          <w:rStyle w:val="NormalTok"/>
        </w:rPr>
        <w:t xml:space="preserve">' Get the current value</w:t>
      </w:r>
      <w:r>
        <w:br/>
      </w:r>
      <w:r>
        <w:rPr>
          <w:rStyle w:val="NormalTok"/>
        </w:rPr>
        <w:t xml:space="preserve">path = search.DocsPath</w:t>
      </w:r>
      <w:r>
        <w:br/>
      </w:r>
      <w:r>
        <w:br/>
      </w:r>
      <w:r>
        <w:rPr>
          <w:rStyle w:val="NormalTok"/>
        </w:rPr>
        <w:t xml:space="preserve">' Set a new value</w:t>
      </w:r>
      <w:r>
        <w:br/>
      </w:r>
      <w:r>
        <w:rPr>
          <w:rStyle w:val="NormalTok"/>
        </w:rPr>
        <w:t xml:space="preserve">search.DocsPath = "../content/articles/"</w:t>
      </w:r>
    </w:p>
    <w:bookmarkEnd w:id="4343"/>
    <w:bookmarkStart w:id="4344" w:name="return-values-186"/>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representing the path to the directory containing the source files for indexing.</w:t>
      </w:r>
    </w:p>
    <w:bookmarkEnd w:id="4344"/>
    <w:bookmarkStart w:id="4345" w:name="remarks-455"/>
    <w:p>
      <w:pPr>
        <w:pStyle w:val="Heading2"/>
      </w:pPr>
      <w:r>
        <w:t xml:space="preserve">Remarks</w:t>
      </w:r>
    </w:p>
    <w:p>
      <w:pPr>
        <w:pStyle w:val="Compact"/>
        <w:numPr>
          <w:ilvl w:val="0"/>
          <w:numId w:val="2098"/>
        </w:numPr>
      </w:pPr>
      <w:r>
        <w:t xml:space="preserve">The indexing process initiated by</w:t>
      </w:r>
      <w:r>
        <w:t xml:space="preserve"> </w:t>
      </w:r>
      <w:r>
        <w:rPr>
          <w:b/>
          <w:bCs/>
        </w:rPr>
        <w:t xml:space="preserve">BuildIndex</w:t>
      </w:r>
      <w:r>
        <w:t xml:space="preserve"> </w:t>
      </w:r>
      <w:r>
        <w:t xml:space="preserve">is recursive; all subdirectories within the</w:t>
      </w:r>
      <w:r>
        <w:t xml:space="preserve"> </w:t>
      </w:r>
      <w:r>
        <w:rPr>
          <w:b/>
          <w:bCs/>
        </w:rPr>
        <w:t xml:space="preserve">DocsPath</w:t>
      </w:r>
      <w:r>
        <w:t xml:space="preserve"> </w:t>
      </w:r>
      <w:r>
        <w:t xml:space="preserve">will be scanned for files matching the</w:t>
      </w:r>
      <w:r>
        <w:t xml:space="preserve"> </w:t>
      </w:r>
      <w:r>
        <w:rPr>
          <w:b/>
          <w:bCs/>
        </w:rPr>
        <w:t xml:space="preserve">Extension</w:t>
      </w:r>
      <w:r>
        <w:t xml:space="preserve"> </w:t>
      </w:r>
      <w:r>
        <w:t xml:space="preserve">property.</w:t>
      </w:r>
    </w:p>
    <w:p>
      <w:pPr>
        <w:pStyle w:val="Compact"/>
        <w:numPr>
          <w:ilvl w:val="0"/>
          <w:numId w:val="2098"/>
        </w:numPr>
      </w:pPr>
      <w:r>
        <w:t xml:space="preserve">This property must be correctly set before calling the</w:t>
      </w:r>
      <w:r>
        <w:t xml:space="preserve"> </w:t>
      </w:r>
      <w:r>
        <w:rPr>
          <w:b/>
          <w:bCs/>
        </w:rPr>
        <w:t xml:space="preserve">BuildIndex</w:t>
      </w:r>
      <w:r>
        <w:t xml:space="preserve"> </w:t>
      </w:r>
      <w:r>
        <w:t xml:space="preserve">method.</w:t>
      </w:r>
    </w:p>
    <w:bookmarkEnd w:id="4345"/>
    <w:bookmarkStart w:id="4346" w:name="code-example-26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search</w:t>
      </w:r>
      <w:r>
        <w:br/>
      </w:r>
      <w:r>
        <w:rPr>
          <w:rStyle w:val="KeywordTok"/>
        </w:rPr>
        <w:t xml:space="preserve">Set</w:t>
      </w:r>
      <w:r>
        <w:rPr>
          <w:rStyle w:val="NormalTok"/>
        </w:rPr>
        <w:t xml:space="preserve"> search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"G3SEARCH"</w:t>
      </w:r>
      <w:r>
        <w:rPr>
          <w:rStyle w:val="OtherTok"/>
        </w:rPr>
        <w:t xml:space="preserve">)</w:t>
      </w:r>
      <w:r>
        <w:br/>
      </w:r>
      <w:r>
        <w:br/>
      </w:r>
      <w:r>
        <w:rPr>
          <w:rStyle w:val="CommentTok"/>
        </w:rPr>
        <w:t xml:space="preserve">' Define the source directory for documents</w:t>
      </w:r>
      <w:r>
        <w:br/>
      </w:r>
      <w:r>
        <w:rPr>
          <w:rStyle w:val="NormalTok"/>
        </w:rPr>
        <w:t xml:space="preserve">search.DocsPath = </w:t>
      </w:r>
      <w:r>
        <w:rPr>
          <w:rStyle w:val="FunctionTok"/>
        </w:rPr>
        <w:t xml:space="preserve">Server</w:t>
      </w:r>
      <w:r>
        <w:rPr>
          <w:rStyle w:val="NormalTok"/>
        </w:rPr>
        <w:t xml:space="preserve">.MapPath</w:t>
      </w:r>
      <w:r>
        <w:rPr>
          <w:rStyle w:val="OtherTok"/>
        </w:rPr>
        <w:t xml:space="preserve">(</w:t>
      </w:r>
      <w:r>
        <w:rPr>
          <w:rStyle w:val="StringTok"/>
        </w:rPr>
        <w:t xml:space="preserve">"../content/articles/"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"Indexing documents from: "</w:t>
      </w:r>
      <w:r>
        <w:rPr>
          <w:rStyle w:val="NormalTok"/>
        </w:rPr>
        <w:t xml:space="preserve"> </w:t>
      </w:r>
      <w:r>
        <w:rPr>
          <w:rStyle w:val="KeywordTok"/>
        </w:rPr>
        <w:t xml:space="preserve">&amp;</w:t>
      </w:r>
      <w:r>
        <w:rPr>
          <w:rStyle w:val="NormalTok"/>
        </w:rPr>
        <w:t xml:space="preserve"> search.DocsPath</w:t>
      </w:r>
      <w:r>
        <w:br/>
      </w:r>
      <w:r>
        <w:br/>
      </w:r>
      <w:r>
        <w:rPr>
          <w:rStyle w:val="KeywordTok"/>
        </w:rPr>
        <w:t xml:space="preserve">Set</w:t>
      </w:r>
      <w:r>
        <w:rPr>
          <w:rStyle w:val="NormalTok"/>
        </w:rPr>
        <w:t xml:space="preserve"> search = </w:t>
      </w:r>
      <w:r>
        <w:rPr>
          <w:rStyle w:val="KeywordTok"/>
        </w:rPr>
        <w:t xml:space="preserve">Nothing</w:t>
      </w:r>
      <w:r>
        <w:br/>
      </w:r>
      <w:r>
        <w:rPr>
          <w:rStyle w:val="DataTypeTok"/>
        </w:rPr>
        <w:t xml:space="preserve">%&gt;</w:t>
      </w:r>
    </w:p>
    <w:bookmarkEnd w:id="4346"/>
    <w:bookmarkEnd w:id="4347"/>
    <w:bookmarkStart w:id="4354" w:name="extension-property"/>
    <w:p>
      <w:pPr>
        <w:pStyle w:val="Heading1"/>
      </w:pPr>
      <w:r>
        <w:t xml:space="preserve">Extension Property</w:t>
      </w:r>
    </w:p>
    <w:bookmarkStart w:id="4348" w:name="overview-490"/>
    <w:p>
      <w:pPr>
        <w:pStyle w:val="Heading2"/>
      </w:pPr>
      <w:r>
        <w:t xml:space="preserve">Overview</w:t>
      </w:r>
    </w:p>
    <w:p>
      <w:pPr>
        <w:pStyle w:val="FirstParagraph"/>
      </w:pPr>
      <w:r>
        <w:t xml:space="preserve">Gets or sets a String value that defines the file type filter used by the</w:t>
      </w:r>
      <w:r>
        <w:t xml:space="preserve"> </w:t>
      </w:r>
      <w:r>
        <w:rPr>
          <w:b/>
          <w:bCs/>
        </w:rPr>
        <w:t xml:space="preserve">G3SEARCH</w:t>
      </w:r>
      <w:r>
        <w:t xml:space="preserve"> </w:t>
      </w:r>
      <w:r>
        <w:t xml:space="preserve">object when scanning the document directory.</w:t>
      </w:r>
    </w:p>
    <w:bookmarkEnd w:id="4348"/>
    <w:bookmarkStart w:id="4349" w:name="syntax-469"/>
    <w:p>
      <w:pPr>
        <w:pStyle w:val="Heading2"/>
      </w:pPr>
      <w:r>
        <w:t xml:space="preserve">Syntax</w:t>
      </w:r>
    </w:p>
    <w:p>
      <w:pPr>
        <w:pStyle w:val="SourceCode"/>
      </w:pPr>
      <w:r>
        <w:rPr>
          <w:rStyle w:val="NormalTok"/>
        </w:rPr>
        <w:t xml:space="preserve">' Get the current value</w:t>
      </w:r>
      <w:r>
        <w:br/>
      </w:r>
      <w:r>
        <w:rPr>
          <w:rStyle w:val="NormalTok"/>
        </w:rPr>
        <w:t xml:space="preserve">ext = search.Extension</w:t>
      </w:r>
      <w:r>
        <w:br/>
      </w:r>
      <w:r>
        <w:br/>
      </w:r>
      <w:r>
        <w:rPr>
          <w:rStyle w:val="NormalTok"/>
        </w:rPr>
        <w:t xml:space="preserve">' Set a new value</w:t>
      </w:r>
      <w:r>
        <w:br/>
      </w:r>
      <w:r>
        <w:rPr>
          <w:rStyle w:val="NormalTok"/>
        </w:rPr>
        <w:t xml:space="preserve">search.Extension = ".txt"</w:t>
      </w:r>
    </w:p>
    <w:bookmarkEnd w:id="4349"/>
    <w:bookmarkStart w:id="4350" w:name="return-values-187"/>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representing the file extension (e.g.,</w:t>
      </w:r>
      <w:r>
        <w:t xml:space="preserve"> </w:t>
      </w:r>
      <w:r>
        <w:t xml:space="preserve">“.md”</w:t>
      </w:r>
      <w:r>
        <w:t xml:space="preserve">,</w:t>
      </w:r>
      <w:r>
        <w:t xml:space="preserve"> </w:t>
      </w:r>
      <w:r>
        <w:t xml:space="preserve">“.txt”</w:t>
      </w:r>
      <w:r>
        <w:t xml:space="preserve">,</w:t>
      </w:r>
      <w:r>
        <w:t xml:space="preserve"> </w:t>
      </w:r>
      <w:r>
        <w:t xml:space="preserve">“.htm”</w:t>
      </w:r>
      <w:r>
        <w:t xml:space="preserve">). The default value is</w:t>
      </w:r>
      <w:r>
        <w:t xml:space="preserve"> </w:t>
      </w:r>
      <w:r>
        <w:t xml:space="preserve">“.md”</w:t>
      </w:r>
      <w:r>
        <w:t xml:space="preserve">.</w:t>
      </w:r>
    </w:p>
    <w:bookmarkEnd w:id="4350"/>
    <w:bookmarkStart w:id="4351" w:name="remarks-456"/>
    <w:p>
      <w:pPr>
        <w:pStyle w:val="Heading2"/>
      </w:pPr>
      <w:r>
        <w:t xml:space="preserve">Remarks</w:t>
      </w:r>
    </w:p>
    <w:p>
      <w:pPr>
        <w:pStyle w:val="Compact"/>
        <w:numPr>
          <w:ilvl w:val="0"/>
          <w:numId w:val="2099"/>
        </w:numPr>
      </w:pPr>
      <w:r>
        <w:t xml:space="preserve">During the</w:t>
      </w:r>
      <w:r>
        <w:t xml:space="preserve"> </w:t>
      </w:r>
      <w:r>
        <w:rPr>
          <w:b/>
          <w:bCs/>
        </w:rPr>
        <w:t xml:space="preserve">BuildIndex</w:t>
      </w:r>
      <w:r>
        <w:t xml:space="preserve"> </w:t>
      </w:r>
      <w:r>
        <w:t xml:space="preserve">operation, only files with the specified extension will have their contents read and indexed.</w:t>
      </w:r>
    </w:p>
    <w:p>
      <w:pPr>
        <w:pStyle w:val="Compact"/>
        <w:numPr>
          <w:ilvl w:val="0"/>
          <w:numId w:val="2099"/>
        </w:numPr>
      </w:pPr>
      <w:r>
        <w:t xml:space="preserve">If this property is set to an empty string, all files in the</w:t>
      </w:r>
      <w:r>
        <w:t xml:space="preserve"> </w:t>
      </w:r>
      <w:r>
        <w:rPr>
          <w:b/>
          <w:bCs/>
        </w:rPr>
        <w:t xml:space="preserve">DocsPath</w:t>
      </w:r>
      <w:r>
        <w:t xml:space="preserve"> </w:t>
      </w:r>
      <w:r>
        <w:t xml:space="preserve">will be indexed regardless of their extension.</w:t>
      </w:r>
    </w:p>
    <w:p>
      <w:pPr>
        <w:pStyle w:val="Compact"/>
        <w:numPr>
          <w:ilvl w:val="0"/>
          <w:numId w:val="2099"/>
        </w:numPr>
      </w:pPr>
      <w:r>
        <w:t xml:space="preserve">The extension can be provided with or without the leading period; the object will normalize it automatically.</w:t>
      </w:r>
    </w:p>
    <w:bookmarkEnd w:id="4351"/>
    <w:bookmarkStart w:id="4352" w:name="code-example-26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search</w:t>
      </w:r>
      <w:r>
        <w:br/>
      </w:r>
      <w:r>
        <w:rPr>
          <w:rStyle w:val="KeywordTok"/>
        </w:rPr>
        <w:t xml:space="preserve">Set</w:t>
      </w:r>
      <w:r>
        <w:rPr>
          <w:rStyle w:val="NormalTok"/>
        </w:rPr>
        <w:t xml:space="preserve"> search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"G3SEARCH"</w:t>
      </w:r>
      <w:r>
        <w:rPr>
          <w:rStyle w:val="OtherTok"/>
        </w:rPr>
        <w:t xml:space="preserve">)</w:t>
      </w:r>
      <w:r>
        <w:br/>
      </w:r>
      <w:r>
        <w:br/>
      </w:r>
      <w:r>
        <w:rPr>
          <w:rStyle w:val="CommentTok"/>
        </w:rPr>
        <w:t xml:space="preserve">' Index only text files</w:t>
      </w:r>
      <w:r>
        <w:br/>
      </w:r>
      <w:r>
        <w:rPr>
          <w:rStyle w:val="NormalTok"/>
        </w:rPr>
        <w:t xml:space="preserve">search.Extension = </w:t>
      </w:r>
      <w:r>
        <w:rPr>
          <w:rStyle w:val="StringTok"/>
        </w:rPr>
        <w:t xml:space="preserve">".txt"</w:t>
      </w:r>
      <w:r>
        <w:br/>
      </w:r>
      <w:r>
        <w:br/>
      </w:r>
      <w:r>
        <w:rPr>
          <w:rStyle w:val="CommentTok"/>
        </w:rPr>
        <w:t xml:space="preserve">' Build the index (assuming IndexPath and DocsPath are set)</w:t>
      </w:r>
      <w:r>
        <w:br/>
      </w:r>
      <w:r>
        <w:rPr>
          <w:rStyle w:val="CommentTok"/>
        </w:rPr>
        <w:t xml:space="preserve">' search.BuildIndex()</w:t>
      </w:r>
      <w:r>
        <w:br/>
      </w:r>
      <w:r>
        <w:br/>
      </w:r>
      <w:r>
        <w:rPr>
          <w:rStyle w:val="KeywordTok"/>
        </w:rPr>
        <w:t xml:space="preserve">Set</w:t>
      </w:r>
      <w:r>
        <w:rPr>
          <w:rStyle w:val="NormalTok"/>
        </w:rPr>
        <w:t xml:space="preserve"> search = </w:t>
      </w:r>
      <w:r>
        <w:rPr>
          <w:rStyle w:val="KeywordTok"/>
        </w:rPr>
        <w:t xml:space="preserve">Nothing</w:t>
      </w:r>
      <w:r>
        <w:br/>
      </w:r>
      <w:r>
        <w:rPr>
          <w:rStyle w:val="DataTypeTok"/>
        </w:rPr>
        <w:t xml:space="preserve">%&gt;</w:t>
      </w:r>
    </w:p>
    <w:bookmarkEnd w:id="4352"/>
    <w:bookmarkStart w:id="4353" w:name="g3stringbuilder"/>
    <w:p>
      <w:pPr>
        <w:pStyle w:val="Heading2"/>
      </w:pPr>
      <w:r>
        <w:t xml:space="preserve">G3STRINGBUILDER</w:t>
      </w:r>
    </w:p>
    <w:bookmarkEnd w:id="4353"/>
    <w:bookmarkEnd w:id="4354"/>
    <w:bookmarkStart w:id="4361" w:name="use-the-g3stringbuilder-library"/>
    <w:p>
      <w:pPr>
        <w:pStyle w:val="Heading1"/>
      </w:pPr>
      <w:r>
        <w:t xml:space="preserve">Use the G3STRINGBUILDER Library</w:t>
      </w:r>
    </w:p>
    <w:bookmarkStart w:id="4355" w:name="overview-491"/>
    <w:p>
      <w:pPr>
        <w:pStyle w:val="Heading2"/>
      </w:pPr>
      <w:r>
        <w:t xml:space="preserve">Overview</w:t>
      </w:r>
    </w:p>
    <w:p>
      <w:pPr>
        <w:pStyle w:val="FirstParagraph"/>
      </w:pPr>
      <w:r>
        <w:t xml:space="preserve">The G3STRINGBUILDER library provides a native low-allocation string accumulation object for G3Pix AxonASP pages. It is designed for scenarios where repeated string concatenation would otherwise create high memory pressure and CPU overhead.</w:t>
      </w:r>
    </w:p>
    <w:bookmarkEnd w:id="4355"/>
    <w:bookmarkStart w:id="4356" w:name="syntax-470"/>
    <w:p>
      <w:pPr>
        <w:pStyle w:val="Heading2"/>
      </w:pPr>
      <w:r>
        <w:t xml:space="preserve">Syntax</w:t>
      </w:r>
    </w:p>
    <w:p>
      <w:pPr>
        <w:pStyle w:val="SourceCode"/>
      </w:pPr>
      <w:r>
        <w:rPr>
          <w:rStyle w:val="NormalTok"/>
        </w:rPr>
        <w:t xml:space="preserve">Dim sb</w:t>
      </w:r>
      <w:r>
        <w:br/>
      </w:r>
      <w:r>
        <w:rPr>
          <w:rStyle w:val="NormalTok"/>
        </w:rPr>
        <w:t xml:space="preserve">Set sb = Server.CreateObject("G3STRINGBUILDER")</w:t>
      </w:r>
    </w:p>
    <w:p>
      <w:pPr>
        <w:pStyle w:val="SourceCode"/>
      </w:pPr>
      <w:r>
        <w:rPr>
          <w:rStyle w:val="KeywordTok"/>
        </w:rPr>
        <w:t xml:space="preserve">var</w:t>
      </w:r>
      <w:r>
        <w:rPr>
          <w:rStyle w:val="NormalTok"/>
        </w:rPr>
        <w:t xml:space="preserve"> sb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"G3STRINGBUILDER"</w:t>
      </w:r>
      <w:r>
        <w:rPr>
          <w:rStyle w:val="NormalTok"/>
        </w:rPr>
        <w:t xml:space="preserve">)</w:t>
      </w:r>
      <w:r>
        <w:rPr>
          <w:rStyle w:val="OperatorTok"/>
        </w:rPr>
        <w:t xml:space="preserve">;</w:t>
      </w:r>
    </w:p>
    <w:bookmarkEnd w:id="4356"/>
    <w:bookmarkStart w:id="4357" w:name="parameters-and-arguments-132"/>
    <w:p>
      <w:pPr>
        <w:pStyle w:val="Heading2"/>
      </w:pPr>
      <w:r>
        <w:t xml:space="preserve">Parameters and Arguments</w:t>
      </w:r>
    </w:p>
    <w:p>
      <w:pPr>
        <w:pStyle w:val="Compact"/>
        <w:numPr>
          <w:ilvl w:val="0"/>
          <w:numId w:val="2100"/>
        </w:numPr>
      </w:pPr>
      <w:r>
        <w:t xml:space="preserve">Server.CreateObject input: String, required.</w:t>
      </w:r>
    </w:p>
    <w:p>
      <w:pPr>
        <w:pStyle w:val="Compact"/>
        <w:numPr>
          <w:ilvl w:val="0"/>
          <w:numId w:val="2100"/>
        </w:numPr>
      </w:pPr>
      <w:r>
        <w:t xml:space="preserve">Accepted ProgID: G3STRINGBUILDER.</w:t>
      </w:r>
    </w:p>
    <w:bookmarkEnd w:id="4357"/>
    <w:bookmarkStart w:id="4358" w:name="return-values-188"/>
    <w:p>
      <w:pPr>
        <w:pStyle w:val="Heading2"/>
      </w:pPr>
      <w:r>
        <w:t xml:space="preserve">Return Values</w:t>
      </w:r>
    </w:p>
    <w:p>
      <w:pPr>
        <w:pStyle w:val="FirstParagraph"/>
      </w:pPr>
      <w:r>
        <w:t xml:space="preserve">Server.CreateObject returns a native object handle that exposes the Append and ToString methods.</w:t>
      </w:r>
    </w:p>
    <w:bookmarkEnd w:id="4358"/>
    <w:bookmarkStart w:id="4359" w:name="remarks-457"/>
    <w:p>
      <w:pPr>
        <w:pStyle w:val="Heading2"/>
      </w:pPr>
      <w:r>
        <w:t xml:space="preserve">Remarks</w:t>
      </w:r>
    </w:p>
    <w:p>
      <w:pPr>
        <w:pStyle w:val="Compact"/>
        <w:numPr>
          <w:ilvl w:val="0"/>
          <w:numId w:val="2101"/>
        </w:numPr>
      </w:pPr>
      <w:r>
        <w:t xml:space="preserve">Use this object when building large responses, logs, JSON fragments, or templates in loops.</w:t>
      </w:r>
    </w:p>
    <w:p>
      <w:pPr>
        <w:pStyle w:val="Compact"/>
        <w:numPr>
          <w:ilvl w:val="0"/>
          <w:numId w:val="2101"/>
        </w:numPr>
      </w:pPr>
      <w:r>
        <w:t xml:space="preserve">The object stores content in an internal Go strings.Builder instance.</w:t>
      </w:r>
    </w:p>
    <w:p>
      <w:pPr>
        <w:pStyle w:val="Compact"/>
        <w:numPr>
          <w:ilvl w:val="0"/>
          <w:numId w:val="2101"/>
        </w:numPr>
      </w:pPr>
      <w:r>
        <w:t xml:space="preserve">Method names are case-insensitive.</w:t>
      </w:r>
    </w:p>
    <w:p>
      <w:pPr>
        <w:pStyle w:val="Compact"/>
        <w:numPr>
          <w:ilvl w:val="0"/>
          <w:numId w:val="2101"/>
        </w:numPr>
      </w:pPr>
      <w:r>
        <w:t xml:space="preserve">This object has no writable properties.</w:t>
      </w:r>
    </w:p>
    <w:bookmarkEnd w:id="4359"/>
    <w:bookmarkStart w:id="4360" w:name="code-example-267"/>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sb</w:t>
      </w:r>
      <w:r>
        <w:br/>
      </w:r>
      <w:r>
        <w:rPr>
          <w:rStyle w:val="KeywordTok"/>
        </w:rPr>
        <w:t xml:space="preserve">Set</w:t>
      </w:r>
      <w:r>
        <w:rPr>
          <w:rStyle w:val="NormalTok"/>
        </w:rPr>
        <w:t xml:space="preserve"> sb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"G3STRINGBUILDER"</w:t>
      </w:r>
      <w:r>
        <w:rPr>
          <w:rStyle w:val="OtherTok"/>
        </w:rPr>
        <w:t xml:space="preserve">)</w:t>
      </w:r>
      <w:r>
        <w:br/>
      </w:r>
      <w:r>
        <w:br/>
      </w:r>
      <w:r>
        <w:rPr>
          <w:rStyle w:val="NormalTok"/>
        </w:rPr>
        <w:t xml:space="preserve">sb.Append </w:t>
      </w:r>
      <w:r>
        <w:rPr>
          <w:rStyle w:val="StringTok"/>
        </w:rPr>
        <w:t xml:space="preserve">"Order #"</w:t>
      </w:r>
      <w:r>
        <w:br/>
      </w:r>
      <w:r>
        <w:rPr>
          <w:rStyle w:val="NormalTok"/>
        </w:rPr>
        <w:t xml:space="preserve">sb.Append </w:t>
      </w:r>
      <w:r>
        <w:rPr>
          <w:rStyle w:val="StringTok"/>
        </w:rPr>
        <w:t xml:space="preserve">"12345"</w:t>
      </w:r>
      <w:r>
        <w:br/>
      </w:r>
      <w:r>
        <w:rPr>
          <w:rStyle w:val="NormalTok"/>
        </w:rPr>
        <w:t xml:space="preserve">sb.Append </w:t>
      </w:r>
      <w:r>
        <w:rPr>
          <w:rStyle w:val="StringTok"/>
        </w:rPr>
        <w:t xml:space="preserve">" processed"</w:t>
      </w:r>
      <w:r>
        <w:br/>
      </w:r>
      <w:r>
        <w:br/>
      </w:r>
      <w:r>
        <w:rPr>
          <w:rStyle w:val="FunctionTok"/>
        </w:rPr>
        <w:t xml:space="preserve">Response</w:t>
      </w:r>
      <w:r>
        <w:rPr>
          <w:rStyle w:val="NormalTok"/>
        </w:rPr>
        <w:t xml:space="preserve">.</w:t>
      </w:r>
      <w:r>
        <w:rPr>
          <w:rStyle w:val="FunctionTok"/>
        </w:rPr>
        <w:t xml:space="preserve">Write</w:t>
      </w:r>
      <w:r>
        <w:rPr>
          <w:rStyle w:val="NormalTok"/>
        </w:rPr>
        <w:t xml:space="preserve"> sb.ToString</w:t>
      </w:r>
      <w:r>
        <w:rPr>
          <w:rStyle w:val="OtherTok"/>
        </w:rPr>
        <w:t xml:space="preserve">()</w:t>
      </w:r>
      <w:r>
        <w:br/>
      </w:r>
      <w:r>
        <w:rPr>
          <w:rStyle w:val="KeywordTok"/>
        </w:rPr>
        <w:t xml:space="preserve">Set</w:t>
      </w:r>
      <w:r>
        <w:rPr>
          <w:rStyle w:val="NormalTok"/>
        </w:rPr>
        <w:t xml:space="preserve"> sb = </w:t>
      </w:r>
      <w:r>
        <w:rPr>
          <w:rStyle w:val="KeywordTok"/>
        </w:rPr>
        <w:t xml:space="preserve">Nothing</w:t>
      </w:r>
      <w:r>
        <w:br/>
      </w:r>
      <w:r>
        <w:rPr>
          <w:rStyle w:val="DataTypeTok"/>
        </w:rPr>
        <w:t xml:space="preserve">%&gt;</w:t>
      </w:r>
    </w:p>
    <w:bookmarkEnd w:id="4360"/>
    <w:bookmarkEnd w:id="4361"/>
    <w:bookmarkStart w:id="4365" w:name="g3stringbuilder-methods"/>
    <w:p>
      <w:pPr>
        <w:pStyle w:val="Heading1"/>
      </w:pPr>
      <w:r>
        <w:t xml:space="preserve">G3STRINGBUILDER Methods</w:t>
      </w:r>
    </w:p>
    <w:bookmarkStart w:id="4362" w:name="overview-492"/>
    <w:p>
      <w:pPr>
        <w:pStyle w:val="Heading2"/>
      </w:pPr>
      <w:r>
        <w:t xml:space="preserve">Overview</w:t>
      </w:r>
    </w:p>
    <w:p>
      <w:pPr>
        <w:pStyle w:val="FirstParagraph"/>
      </w:pPr>
      <w:r>
        <w:t xml:space="preserve">This page summarizes methods available in the G3STRINGBUILDER library for efficient string construction in G3Pix AxonASP.</w:t>
      </w:r>
    </w:p>
    <w:bookmarkEnd w:id="4362"/>
    <w:bookmarkStart w:id="4363" w:name="methods-reference-4"/>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Append</w:t>
            </w:r>
          </w:p>
        </w:tc>
        <w:tc>
          <w:tcPr/>
          <w:p>
            <w:pPr>
              <w:pStyle w:val="Compact"/>
            </w:pPr>
            <w:r>
              <w:t xml:space="preserve">Empty</w:t>
            </w:r>
          </w:p>
        </w:tc>
        <w:tc>
          <w:tcPr/>
          <w:p>
            <w:pPr>
              <w:pStyle w:val="Compact"/>
            </w:pPr>
            <w:r>
              <w:t xml:space="preserve">Appends one string value to the internal builder buffer.</w:t>
            </w:r>
          </w:p>
        </w:tc>
      </w:tr>
      <w:tr>
        <w:tc>
          <w:tcPr/>
          <w:p>
            <w:pPr>
              <w:pStyle w:val="Compact"/>
            </w:pPr>
            <w:r>
              <w:t xml:space="preserve">ToString</w:t>
            </w:r>
          </w:p>
        </w:tc>
        <w:tc>
          <w:tcPr/>
          <w:p>
            <w:pPr>
              <w:pStyle w:val="Compact"/>
            </w:pPr>
            <w:r>
              <w:t xml:space="preserve">String</w:t>
            </w:r>
          </w:p>
        </w:tc>
        <w:tc>
          <w:tcPr/>
          <w:p>
            <w:pPr>
              <w:pStyle w:val="Compact"/>
            </w:pPr>
            <w:r>
              <w:t xml:space="preserve">Returns the current accumulated text as one string.</w:t>
            </w:r>
          </w:p>
        </w:tc>
      </w:tr>
    </w:tbl>
    <w:bookmarkEnd w:id="4363"/>
    <w:bookmarkStart w:id="4364" w:name="remarks-458"/>
    <w:p>
      <w:pPr>
        <w:pStyle w:val="Heading2"/>
      </w:pPr>
      <w:r>
        <w:t xml:space="preserve">Remarks</w:t>
      </w:r>
    </w:p>
    <w:p>
      <w:pPr>
        <w:pStyle w:val="Compact"/>
        <w:numPr>
          <w:ilvl w:val="0"/>
          <w:numId w:val="2102"/>
        </w:numPr>
      </w:pPr>
      <w:r>
        <w:t xml:space="preserve">Method names are case-insensitive.</w:t>
      </w:r>
    </w:p>
    <w:p>
      <w:pPr>
        <w:pStyle w:val="Compact"/>
        <w:numPr>
          <w:ilvl w:val="0"/>
          <w:numId w:val="2102"/>
        </w:numPr>
      </w:pPr>
      <w:r>
        <w:t xml:space="preserve">Append changes internal state.</w:t>
      </w:r>
    </w:p>
    <w:p>
      <w:pPr>
        <w:pStyle w:val="Compact"/>
        <w:numPr>
          <w:ilvl w:val="0"/>
          <w:numId w:val="2102"/>
        </w:numPr>
      </w:pPr>
      <w:r>
        <w:t xml:space="preserve">ToString is read-only and does not clear the current buffer.</w:t>
      </w:r>
    </w:p>
    <w:bookmarkEnd w:id="4364"/>
    <w:bookmarkEnd w:id="4365"/>
    <w:bookmarkStart w:id="4370" w:name="g3stringbuilder-properties"/>
    <w:p>
      <w:pPr>
        <w:pStyle w:val="Heading1"/>
      </w:pPr>
      <w:r>
        <w:t xml:space="preserve">G3STRINGBUILDER Properties</w:t>
      </w:r>
    </w:p>
    <w:bookmarkStart w:id="4366" w:name="overview-493"/>
    <w:p>
      <w:pPr>
        <w:pStyle w:val="Heading2"/>
      </w:pPr>
      <w:r>
        <w:t xml:space="preserve">Overview</w:t>
      </w:r>
    </w:p>
    <w:p>
      <w:pPr>
        <w:pStyle w:val="FirstParagraph"/>
      </w:pPr>
      <w:r>
        <w:t xml:space="preserve">The G3STRINGBUILDER object does not expose configurable properties.</w:t>
      </w:r>
    </w:p>
    <w:bookmarkEnd w:id="4366"/>
    <w:bookmarkStart w:id="4367" w:name="properties-reference-4"/>
    <w:p>
      <w:pPr>
        <w:pStyle w:val="Heading2"/>
      </w:pPr>
      <w:r>
        <w:t xml:space="preserve">Properties Reference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bl>
    <w:bookmarkEnd w:id="4367"/>
    <w:bookmarkStart w:id="4369" w:name="remarks-459"/>
    <w:p>
      <w:pPr>
        <w:pStyle w:val="Heading2"/>
      </w:pPr>
      <w:r>
        <w:t xml:space="preserve">Remarks</w:t>
      </w:r>
    </w:p>
    <w:p>
      <w:pPr>
        <w:pStyle w:val="Compact"/>
        <w:numPr>
          <w:ilvl w:val="0"/>
          <w:numId w:val="2103"/>
        </w:numPr>
      </w:pPr>
      <w:r>
        <w:t xml:space="preserve">Use methods Append and ToString to interact with this object.</w:t>
      </w:r>
    </w:p>
    <w:bookmarkStart w:id="4368" w:name="methods-detail-18"/>
    <w:p>
      <w:pPr>
        <w:pStyle w:val="Heading3"/>
      </w:pPr>
      <w:r>
        <w:t xml:space="preserve">Methods Detail</w:t>
      </w:r>
    </w:p>
    <w:bookmarkEnd w:id="4368"/>
    <w:bookmarkEnd w:id="4369"/>
    <w:bookmarkEnd w:id="4370"/>
    <w:bookmarkStart w:id="4377" w:name="append-text-to-the-builder"/>
    <w:p>
      <w:pPr>
        <w:pStyle w:val="Heading1"/>
      </w:pPr>
      <w:r>
        <w:t xml:space="preserve">Append Text to the Builder</w:t>
      </w:r>
    </w:p>
    <w:bookmarkStart w:id="4371" w:name="overview-494"/>
    <w:p>
      <w:pPr>
        <w:pStyle w:val="Heading2"/>
      </w:pPr>
      <w:r>
        <w:t xml:space="preserve">Overview</w:t>
      </w:r>
    </w:p>
    <w:p>
      <w:pPr>
        <w:pStyle w:val="FirstParagraph"/>
      </w:pPr>
      <w:r>
        <w:t xml:space="preserve">Use Append to add text to the end of the current G3STRINGBUILDER buffer.</w:t>
      </w:r>
    </w:p>
    <w:bookmarkEnd w:id="4371"/>
    <w:bookmarkStart w:id="4372" w:name="syntax-471"/>
    <w:p>
      <w:pPr>
        <w:pStyle w:val="Heading2"/>
      </w:pPr>
      <w:r>
        <w:t xml:space="preserve">Syntax</w:t>
      </w:r>
    </w:p>
    <w:p>
      <w:pPr>
        <w:pStyle w:val="SourceCode"/>
      </w:pPr>
      <w:r>
        <w:rPr>
          <w:rStyle w:val="NormalTok"/>
        </w:rPr>
        <w:t xml:space="preserve">sb.Append text</w:t>
      </w:r>
    </w:p>
    <w:bookmarkEnd w:id="4372"/>
    <w:bookmarkStart w:id="4373" w:name="parameters-and-arguments-133"/>
    <w:p>
      <w:pPr>
        <w:pStyle w:val="Heading2"/>
      </w:pPr>
      <w:r>
        <w:t xml:space="preserve">Parameters and Arguments</w:t>
      </w:r>
    </w:p>
    <w:p>
      <w:pPr>
        <w:pStyle w:val="Compact"/>
        <w:numPr>
          <w:ilvl w:val="0"/>
          <w:numId w:val="2104"/>
        </w:numPr>
      </w:pPr>
      <w:r>
        <w:t xml:space="preserve">text (String, Required): The value appended to the current buffer. Non-string values are coerced to String using VBScript conversion semantics.</w:t>
      </w:r>
    </w:p>
    <w:bookmarkEnd w:id="4373"/>
    <w:bookmarkStart w:id="4374" w:name="return-values-189"/>
    <w:p>
      <w:pPr>
        <w:pStyle w:val="Heading2"/>
      </w:pPr>
      <w:r>
        <w:t xml:space="preserve">Return Values</w:t>
      </w:r>
    </w:p>
    <w:p>
      <w:pPr>
        <w:pStyle w:val="FirstParagraph"/>
      </w:pPr>
      <w:r>
        <w:t xml:space="preserve">Returns Empty.</w:t>
      </w:r>
    </w:p>
    <w:bookmarkEnd w:id="4374"/>
    <w:bookmarkStart w:id="4375" w:name="remarks-460"/>
    <w:p>
      <w:pPr>
        <w:pStyle w:val="Heading2"/>
      </w:pPr>
      <w:r>
        <w:t xml:space="preserve">Remarks</w:t>
      </w:r>
    </w:p>
    <w:p>
      <w:pPr>
        <w:pStyle w:val="Compact"/>
        <w:numPr>
          <w:ilvl w:val="0"/>
          <w:numId w:val="2105"/>
        </w:numPr>
      </w:pPr>
      <w:r>
        <w:t xml:space="preserve">Each call appends content in sequence.</w:t>
      </w:r>
    </w:p>
    <w:p>
      <w:pPr>
        <w:pStyle w:val="Compact"/>
        <w:numPr>
          <w:ilvl w:val="0"/>
          <w:numId w:val="2105"/>
        </w:numPr>
      </w:pPr>
      <w:r>
        <w:t xml:space="preserve">Append does not return the builder object.</w:t>
      </w:r>
    </w:p>
    <w:p>
      <w:pPr>
        <w:pStyle w:val="Compact"/>
        <w:numPr>
          <w:ilvl w:val="0"/>
          <w:numId w:val="2105"/>
        </w:numPr>
      </w:pPr>
      <w:r>
        <w:t xml:space="preserve">Use ToString to read the full accumulated output.</w:t>
      </w:r>
    </w:p>
    <w:bookmarkEnd w:id="4375"/>
    <w:bookmarkStart w:id="4376" w:name="code-example-268"/>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sb</w:t>
      </w:r>
      <w:r>
        <w:br/>
      </w:r>
      <w:r>
        <w:rPr>
          <w:rStyle w:val="KeywordTok"/>
        </w:rPr>
        <w:t xml:space="preserve">Set</w:t>
      </w:r>
      <w:r>
        <w:rPr>
          <w:rStyle w:val="NormalTok"/>
        </w:rPr>
        <w:t xml:space="preserve"> sb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"G3STRINGBUILDER"</w:t>
      </w:r>
      <w:r>
        <w:rPr>
          <w:rStyle w:val="OtherTok"/>
        </w:rPr>
        <w:t xml:space="preserve">)</w:t>
      </w:r>
      <w:r>
        <w:br/>
      </w:r>
      <w:r>
        <w:br/>
      </w:r>
      <w:r>
        <w:rPr>
          <w:rStyle w:val="NormalTok"/>
        </w:rPr>
        <w:t xml:space="preserve">sb.Append </w:t>
      </w:r>
      <w:r>
        <w:rPr>
          <w:rStyle w:val="StringTok"/>
        </w:rPr>
        <w:t xml:space="preserve">"Hello"</w:t>
      </w:r>
      <w:r>
        <w:br/>
      </w:r>
      <w:r>
        <w:rPr>
          <w:rStyle w:val="NormalTok"/>
        </w:rPr>
        <w:t xml:space="preserve">sb.Append </w:t>
      </w:r>
      <w:r>
        <w:rPr>
          <w:rStyle w:val="StringTok"/>
        </w:rPr>
        <w:t xml:space="preserve">" "</w:t>
      </w:r>
      <w:r>
        <w:br/>
      </w:r>
      <w:r>
        <w:rPr>
          <w:rStyle w:val="NormalTok"/>
        </w:rPr>
        <w:t xml:space="preserve">sb.Append </w:t>
      </w:r>
      <w:r>
        <w:rPr>
          <w:rStyle w:val="StringTok"/>
        </w:rPr>
        <w:t xml:space="preserve">"AxonASP"</w:t>
      </w:r>
      <w:r>
        <w:br/>
      </w:r>
      <w:r>
        <w:br/>
      </w:r>
      <w:r>
        <w:rPr>
          <w:rStyle w:val="FunctionTok"/>
        </w:rPr>
        <w:t xml:space="preserve">Response</w:t>
      </w:r>
      <w:r>
        <w:rPr>
          <w:rStyle w:val="NormalTok"/>
        </w:rPr>
        <w:t xml:space="preserve">.</w:t>
      </w:r>
      <w:r>
        <w:rPr>
          <w:rStyle w:val="FunctionTok"/>
        </w:rPr>
        <w:t xml:space="preserve">Write</w:t>
      </w:r>
      <w:r>
        <w:rPr>
          <w:rStyle w:val="NormalTok"/>
        </w:rPr>
        <w:t xml:space="preserve"> sb.ToString</w:t>
      </w:r>
      <w:r>
        <w:rPr>
          <w:rStyle w:val="OtherTok"/>
        </w:rPr>
        <w:t xml:space="preserve">()</w:t>
      </w:r>
      <w:r>
        <w:br/>
      </w:r>
      <w:r>
        <w:rPr>
          <w:rStyle w:val="KeywordTok"/>
        </w:rPr>
        <w:t xml:space="preserve">Set</w:t>
      </w:r>
      <w:r>
        <w:rPr>
          <w:rStyle w:val="NormalTok"/>
        </w:rPr>
        <w:t xml:space="preserve"> sb = </w:t>
      </w:r>
      <w:r>
        <w:rPr>
          <w:rStyle w:val="KeywordTok"/>
        </w:rPr>
        <w:t xml:space="preserve">Nothing</w:t>
      </w:r>
      <w:r>
        <w:br/>
      </w:r>
      <w:r>
        <w:rPr>
          <w:rStyle w:val="DataTypeTok"/>
        </w:rPr>
        <w:t xml:space="preserve">%&gt;</w:t>
      </w:r>
    </w:p>
    <w:bookmarkEnd w:id="4376"/>
    <w:bookmarkEnd w:id="4377"/>
    <w:bookmarkStart w:id="4385" w:name="X9d8bc603a0ac7912c9ea3b8ec4c50cb5812604d"/>
    <w:p>
      <w:pPr>
        <w:pStyle w:val="Heading1"/>
      </w:pPr>
      <w:r>
        <w:t xml:space="preserve">Read the Current Builder Content with ToString</w:t>
      </w:r>
    </w:p>
    <w:bookmarkStart w:id="4378" w:name="overview-495"/>
    <w:p>
      <w:pPr>
        <w:pStyle w:val="Heading2"/>
      </w:pPr>
      <w:r>
        <w:t xml:space="preserve">Overview</w:t>
      </w:r>
    </w:p>
    <w:p>
      <w:pPr>
        <w:pStyle w:val="FirstParagraph"/>
      </w:pPr>
      <w:r>
        <w:t xml:space="preserve">Use ToString to read the current complete text accumulated in G3STRINGBUILDER.</w:t>
      </w:r>
    </w:p>
    <w:bookmarkEnd w:id="4378"/>
    <w:bookmarkStart w:id="4379" w:name="syntax-472"/>
    <w:p>
      <w:pPr>
        <w:pStyle w:val="Heading2"/>
      </w:pPr>
      <w:r>
        <w:t xml:space="preserve">Syntax</w:t>
      </w:r>
    </w:p>
    <w:p>
      <w:pPr>
        <w:pStyle w:val="SourceCode"/>
      </w:pPr>
      <w:r>
        <w:rPr>
          <w:rStyle w:val="NormalTok"/>
        </w:rPr>
        <w:t xml:space="preserve">result = sb.ToString()</w:t>
      </w:r>
    </w:p>
    <w:bookmarkEnd w:id="4379"/>
    <w:bookmarkStart w:id="4380" w:name="parameters-and-arguments-134"/>
    <w:p>
      <w:pPr>
        <w:pStyle w:val="Heading2"/>
      </w:pPr>
      <w:r>
        <w:t xml:space="preserve">Parameters and Arguments</w:t>
      </w:r>
    </w:p>
    <w:p>
      <w:pPr>
        <w:pStyle w:val="Compact"/>
        <w:numPr>
          <w:ilvl w:val="0"/>
          <w:numId w:val="2106"/>
        </w:numPr>
      </w:pPr>
      <w:r>
        <w:t xml:space="preserve">None.</w:t>
      </w:r>
    </w:p>
    <w:bookmarkEnd w:id="4380"/>
    <w:bookmarkStart w:id="4381" w:name="return-values-190"/>
    <w:p>
      <w:pPr>
        <w:pStyle w:val="Heading2"/>
      </w:pPr>
      <w:r>
        <w:t xml:space="preserve">Return Values</w:t>
      </w:r>
    </w:p>
    <w:p>
      <w:pPr>
        <w:pStyle w:val="FirstParagraph"/>
      </w:pPr>
      <w:r>
        <w:t xml:space="preserve">Returns a String containing the current accumulated content from the internal builder.</w:t>
      </w:r>
    </w:p>
    <w:bookmarkEnd w:id="4381"/>
    <w:bookmarkStart w:id="4382" w:name="remarks-461"/>
    <w:p>
      <w:pPr>
        <w:pStyle w:val="Heading2"/>
      </w:pPr>
      <w:r>
        <w:t xml:space="preserve">Remarks</w:t>
      </w:r>
    </w:p>
    <w:p>
      <w:pPr>
        <w:pStyle w:val="Compact"/>
        <w:numPr>
          <w:ilvl w:val="0"/>
          <w:numId w:val="2107"/>
        </w:numPr>
      </w:pPr>
      <w:r>
        <w:t xml:space="preserve">ToString does not clear the internal buffer.</w:t>
      </w:r>
    </w:p>
    <w:p>
      <w:pPr>
        <w:pStyle w:val="Compact"/>
        <w:numPr>
          <w:ilvl w:val="0"/>
          <w:numId w:val="2107"/>
        </w:numPr>
      </w:pPr>
      <w:r>
        <w:t xml:space="preserve">Multiple calls to ToString return the latest full content at the time of each call.</w:t>
      </w:r>
    </w:p>
    <w:bookmarkEnd w:id="4382"/>
    <w:bookmarkStart w:id="4383" w:name="code-example-269"/>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sb</w:t>
      </w:r>
      <w:r>
        <w:br/>
      </w:r>
      <w:r>
        <w:rPr>
          <w:rStyle w:val="KeywordTok"/>
        </w:rPr>
        <w:t xml:space="preserve">Dim</w:t>
      </w:r>
      <w:r>
        <w:rPr>
          <w:rStyle w:val="NormalTok"/>
        </w:rPr>
        <w:t xml:space="preserve"> result</w:t>
      </w:r>
      <w:r>
        <w:br/>
      </w:r>
      <w:r>
        <w:rPr>
          <w:rStyle w:val="KeywordTok"/>
        </w:rPr>
        <w:t xml:space="preserve">Set</w:t>
      </w:r>
      <w:r>
        <w:rPr>
          <w:rStyle w:val="NormalTok"/>
        </w:rPr>
        <w:t xml:space="preserve"> sb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"G3STRINGBUILDER"</w:t>
      </w:r>
      <w:r>
        <w:rPr>
          <w:rStyle w:val="OtherTok"/>
        </w:rPr>
        <w:t xml:space="preserve">)</w:t>
      </w:r>
      <w:r>
        <w:br/>
      </w:r>
      <w:r>
        <w:br/>
      </w:r>
      <w:r>
        <w:rPr>
          <w:rStyle w:val="NormalTok"/>
        </w:rPr>
        <w:t xml:space="preserve">sb.Append </w:t>
      </w:r>
      <w:r>
        <w:rPr>
          <w:rStyle w:val="StringTok"/>
        </w:rPr>
        <w:t xml:space="preserve">"A"</w:t>
      </w:r>
      <w:r>
        <w:br/>
      </w:r>
      <w:r>
        <w:rPr>
          <w:rStyle w:val="NormalTok"/>
        </w:rPr>
        <w:t xml:space="preserve">sb.Append </w:t>
      </w:r>
      <w:r>
        <w:rPr>
          <w:rStyle w:val="StringTok"/>
        </w:rPr>
        <w:t xml:space="preserve">"B"</w:t>
      </w:r>
      <w:r>
        <w:br/>
      </w:r>
      <w:r>
        <w:rPr>
          <w:rStyle w:val="NormalTok"/>
        </w:rPr>
        <w:t xml:space="preserve">sb.Append </w:t>
      </w:r>
      <w:r>
        <w:rPr>
          <w:rStyle w:val="StringTok"/>
        </w:rPr>
        <w:t xml:space="preserve">"C"</w:t>
      </w:r>
      <w:r>
        <w:br/>
      </w:r>
      <w:r>
        <w:br/>
      </w:r>
      <w:r>
        <w:rPr>
          <w:rStyle w:val="NormalTok"/>
        </w:rPr>
        <w:t xml:space="preserve">result = sb.ToString</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br/>
      </w:r>
      <w:r>
        <w:rPr>
          <w:rStyle w:val="KeywordTok"/>
        </w:rPr>
        <w:t xml:space="preserve">Set</w:t>
      </w:r>
      <w:r>
        <w:rPr>
          <w:rStyle w:val="NormalTok"/>
        </w:rPr>
        <w:t xml:space="preserve"> sb = </w:t>
      </w:r>
      <w:r>
        <w:rPr>
          <w:rStyle w:val="KeywordTok"/>
        </w:rPr>
        <w:t xml:space="preserve">Nothing</w:t>
      </w:r>
      <w:r>
        <w:br/>
      </w:r>
      <w:r>
        <w:rPr>
          <w:rStyle w:val="DataTypeTok"/>
        </w:rPr>
        <w:t xml:space="preserve">%&gt;</w:t>
      </w:r>
    </w:p>
    <w:bookmarkEnd w:id="4383"/>
    <w:bookmarkStart w:id="4384" w:name="g3pdf"/>
    <w:p>
      <w:pPr>
        <w:pStyle w:val="Heading2"/>
      </w:pPr>
      <w:r>
        <w:t xml:space="preserve">G3PDF</w:t>
      </w:r>
    </w:p>
    <w:bookmarkEnd w:id="4384"/>
    <w:bookmarkEnd w:id="4385"/>
    <w:bookmarkStart w:id="4393" w:name="create-pdf-documents-using-g3pdf"/>
    <w:p>
      <w:pPr>
        <w:pStyle w:val="Heading1"/>
      </w:pPr>
      <w:r>
        <w:t xml:space="preserve">Create PDF documents using G3PDF</w:t>
      </w:r>
    </w:p>
    <w:bookmarkStart w:id="4386" w:name="overview-496"/>
    <w:p>
      <w:pPr>
        <w:pStyle w:val="Heading2"/>
      </w:pPr>
      <w:r>
        <w:t xml:space="preserve">Overview</w:t>
      </w:r>
    </w:p>
    <w:p>
      <w:pPr>
        <w:pStyle w:val="FirstParagraph"/>
      </w:pPr>
      <w:r>
        <w:t xml:space="preserve">The</w:t>
      </w:r>
      <w:r>
        <w:t xml:space="preserve"> </w:t>
      </w:r>
      <w:r>
        <w:rPr>
          <w:rStyle w:val="VerbatimChar"/>
        </w:rPr>
        <w:t xml:space="preserve">G3PDF</w:t>
      </w:r>
      <w:r>
        <w:t xml:space="preserve"> </w:t>
      </w:r>
      <w:r>
        <w:t xml:space="preserve">object is a high-performance native library for generating PDF documents directly from Classic ASP code. It provides functions to add pages, format text, draw shapes, and manage document layout.</w:t>
      </w:r>
    </w:p>
    <w:bookmarkEnd w:id="4386"/>
    <w:bookmarkStart w:id="4387" w:name="syntax-473"/>
    <w:p>
      <w:pPr>
        <w:pStyle w:val="Heading2"/>
      </w:pPr>
      <w:r>
        <w:t xml:space="preserve">Syntax</w:t>
      </w:r>
    </w:p>
    <w:p>
      <w:pPr>
        <w:pStyle w:val="SourceCode"/>
      </w:pPr>
      <w:r>
        <w:rPr>
          <w:rStyle w:val="NormalTok"/>
        </w:rPr>
        <w:t xml:space="preserve">Dim pdf</w:t>
      </w:r>
      <w:r>
        <w:br/>
      </w:r>
      <w:r>
        <w:rPr>
          <w:rStyle w:val="NormalTok"/>
        </w:rPr>
        <w:t xml:space="preserve">Set pdf = Server.CreateObject("G3PDF")</w:t>
      </w:r>
    </w:p>
    <w:p>
      <w:pPr>
        <w:pStyle w:val="SourceCode"/>
      </w:pPr>
      <w:r>
        <w:rPr>
          <w:rStyle w:val="KeywordTok"/>
        </w:rPr>
        <w:t xml:space="preserve">var</w:t>
      </w:r>
      <w:r>
        <w:rPr>
          <w:rStyle w:val="NormalTok"/>
        </w:rPr>
        <w:t xml:space="preserve"> pdf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"G3PDF"</w:t>
      </w:r>
      <w:r>
        <w:rPr>
          <w:rStyle w:val="NormalTok"/>
        </w:rPr>
        <w:t xml:space="preserve">)</w:t>
      </w:r>
      <w:r>
        <w:rPr>
          <w:rStyle w:val="OperatorTok"/>
        </w:rPr>
        <w:t xml:space="preserve">;</w:t>
      </w:r>
    </w:p>
    <w:bookmarkEnd w:id="4387"/>
    <w:bookmarkStart w:id="4388" w:name="parameters-227"/>
    <w:p>
      <w:pPr>
        <w:pStyle w:val="Heading2"/>
      </w:pPr>
      <w:r>
        <w:t xml:space="preserve">Parameters</w:t>
      </w:r>
    </w:p>
    <w:p>
      <w:pPr>
        <w:pStyle w:val="FirstParagraph"/>
      </w:pPr>
      <w:r>
        <w:t xml:space="preserve">None for instantiation.</w:t>
      </w:r>
    </w:p>
    <w:bookmarkEnd w:id="4388"/>
    <w:bookmarkStart w:id="4389" w:name="return-values-191"/>
    <w:p>
      <w:pPr>
        <w:pStyle w:val="Heading2"/>
      </w:pPr>
      <w:r>
        <w:t xml:space="preserve">Return Values</w:t>
      </w:r>
    </w:p>
    <w:p>
      <w:pPr>
        <w:pStyle w:val="FirstParagraph"/>
      </w:pPr>
      <w:r>
        <w:t xml:space="preserve">Returns a native</w:t>
      </w:r>
      <w:r>
        <w:t xml:space="preserve"> </w:t>
      </w:r>
      <w:r>
        <w:rPr>
          <w:rStyle w:val="VerbatimChar"/>
        </w:rPr>
        <w:t xml:space="preserve">G3PDF</w:t>
      </w:r>
      <w:r>
        <w:t xml:space="preserve"> </w:t>
      </w:r>
      <w:r>
        <w:t xml:space="preserve">object that can be used to construct PDF documents.</w:t>
      </w:r>
    </w:p>
    <w:bookmarkEnd w:id="4389"/>
    <w:bookmarkStart w:id="4390" w:name="remarks-462"/>
    <w:p>
      <w:pPr>
        <w:pStyle w:val="Heading2"/>
      </w:pPr>
      <w:r>
        <w:t xml:space="preserve">Remarks</w:t>
      </w:r>
    </w:p>
    <w:p>
      <w:pPr>
        <w:pStyle w:val="Compact"/>
        <w:numPr>
          <w:ilvl w:val="0"/>
          <w:numId w:val="2108"/>
        </w:numPr>
      </w:pPr>
      <w:r>
        <w:t xml:space="preserve">Requires</w:t>
      </w:r>
      <w:r>
        <w:t xml:space="preserve"> </w:t>
      </w:r>
      <w:r>
        <w:rPr>
          <w:rStyle w:val="VerbatimChar"/>
        </w:rPr>
        <w:t xml:space="preserve">Server.CreateObject("G3PDF")</w:t>
      </w:r>
      <w:r>
        <w:t xml:space="preserve">. No aliases are supported.</w:t>
      </w:r>
    </w:p>
    <w:p>
      <w:pPr>
        <w:pStyle w:val="Compact"/>
        <w:numPr>
          <w:ilvl w:val="0"/>
          <w:numId w:val="2108"/>
        </w:numPr>
      </w:pPr>
      <w:r>
        <w:t xml:space="preserve">Powered by</w:t>
      </w:r>
      <w:r>
        <w:t xml:space="preserve"> </w:t>
      </w:r>
      <w:r>
        <w:rPr>
          <w:rStyle w:val="VerbatimChar"/>
        </w:rPr>
        <w:t xml:space="preserve">go-pdf/fpdf</w:t>
      </w:r>
      <w:r>
        <w:t xml:space="preserve"> </w:t>
      </w:r>
      <w:r>
        <w:t xml:space="preserve">optimized for AxonASP.</w:t>
      </w:r>
    </w:p>
    <w:p>
      <w:pPr>
        <w:pStyle w:val="Compact"/>
        <w:numPr>
          <w:ilvl w:val="0"/>
          <w:numId w:val="2108"/>
        </w:numPr>
      </w:pPr>
      <w:r>
        <w:t xml:space="preserve">Ensure that memory and binary output streams are managed correctly.</w:t>
      </w:r>
    </w:p>
    <w:p>
      <w:pPr>
        <w:pStyle w:val="Compact"/>
        <w:numPr>
          <w:ilvl w:val="0"/>
          <w:numId w:val="2108"/>
        </w:numPr>
      </w:pPr>
      <w:r>
        <w:t xml:space="preserve">Call</w:t>
      </w:r>
      <w:r>
        <w:t xml:space="preserve"> </w:t>
      </w:r>
      <w:r>
        <w:rPr>
          <w:rStyle w:val="VerbatimChar"/>
        </w:rPr>
        <w:t xml:space="preserve">Close</w:t>
      </w:r>
      <w:r>
        <w:t xml:space="preserve"> </w:t>
      </w:r>
      <w:r>
        <w:t xml:space="preserve">when finished applying content to the PDF object.</w:t>
      </w:r>
    </w:p>
    <w:bookmarkEnd w:id="4390"/>
    <w:bookmarkStart w:id="4391" w:name="persits.pdf-compatibility"/>
    <w:p>
      <w:pPr>
        <w:pStyle w:val="Heading2"/>
      </w:pPr>
      <w:r>
        <w:t xml:space="preserve">Persits.Pdf Compatibility</w:t>
      </w:r>
    </w:p>
    <w:p>
      <w:pPr>
        <w:pStyle w:val="FirstParagraph"/>
      </w:pPr>
      <w:r>
        <w:t xml:space="preserve">The G3PDF library includes a</w:t>
      </w:r>
      <w:r>
        <w:t xml:space="preserve"> </w:t>
      </w:r>
      <w:r>
        <w:rPr>
          <w:b/>
          <w:bCs/>
        </w:rPr>
        <w:t xml:space="preserve">Persits.Pdf (AspPDF) compatibility layer</w:t>
      </w:r>
      <w:r>
        <w:t xml:space="preserve">. When the object is instantiated via</w:t>
      </w:r>
      <w:r>
        <w:t xml:space="preserve"> </w:t>
      </w:r>
      <w:r>
        <w:rPr>
          <w:rStyle w:val="VerbatimChar"/>
        </w:rPr>
        <w:t xml:space="preserve">Server.CreateObject("Persits.Pdf")</w:t>
      </w:r>
      <w:r>
        <w:t xml:space="preserve"> </w:t>
      </w:r>
      <w:r>
        <w:t xml:space="preserve">or</w:t>
      </w:r>
      <w:r>
        <w:t xml:space="preserve"> </w:t>
      </w:r>
      <w:r>
        <w:rPr>
          <w:rStyle w:val="VerbatimChar"/>
        </w:rPr>
        <w:t xml:space="preserve">Server.CreateObject("ASP.Pdf")</w:t>
      </w:r>
      <w:r>
        <w:t xml:space="preserve">, it provides an object model compatible with the AspPDF API:</w:t>
      </w:r>
    </w:p>
    <w:p>
      <w:pPr>
        <w:pStyle w:val="Compact"/>
        <w:numPr>
          <w:ilvl w:val="0"/>
          <w:numId w:val="2109"/>
        </w:numPr>
      </w:pPr>
      <w:r>
        <w:rPr>
          <w:rStyle w:val="VerbatimChar"/>
        </w:rPr>
        <w:t xml:space="preserve">CreateDocument()</w:t>
      </w:r>
      <w:r>
        <w:t xml:space="preserve"> </w:t>
      </w:r>
      <w:r>
        <w:t xml:space="preserve">returns a</w:t>
      </w:r>
      <w:r>
        <w:t xml:space="preserve"> </w:t>
      </w:r>
      <w:r>
        <w:rPr>
          <w:rStyle w:val="VerbatimChar"/>
        </w:rPr>
        <w:t xml:space="preserve">PdfDocument</w:t>
      </w:r>
      <w:r>
        <w:t xml:space="preserve"> </w:t>
      </w:r>
      <w:r>
        <w:t xml:space="preserve">sub-object.</w:t>
      </w:r>
    </w:p>
    <w:p>
      <w:pPr>
        <w:pStyle w:val="Compact"/>
        <w:numPr>
          <w:ilvl w:val="0"/>
          <w:numId w:val="2109"/>
        </w:numPr>
      </w:pPr>
      <w:r>
        <w:rPr>
          <w:rStyle w:val="VerbatimChar"/>
        </w:rPr>
        <w:t xml:space="preserve">OpenDocument(Path)</w:t>
      </w:r>
      <w:r>
        <w:t xml:space="preserve"> </w:t>
      </w:r>
      <w:r>
        <w:t xml:space="preserve">opens an existing PDF file.</w:t>
      </w:r>
    </w:p>
    <w:p>
      <w:pPr>
        <w:pStyle w:val="Compact"/>
        <w:numPr>
          <w:ilvl w:val="0"/>
          <w:numId w:val="2109"/>
        </w:numPr>
      </w:pPr>
      <w:r>
        <w:rPr>
          <w:rStyle w:val="VerbatimChar"/>
        </w:rPr>
        <w:t xml:space="preserve">Fonts("FontName")</w:t>
      </w:r>
      <w:r>
        <w:t xml:space="preserve"> </w:t>
      </w:r>
      <w:r>
        <w:t xml:space="preserve">loads a font and returns a</w:t>
      </w:r>
      <w:r>
        <w:t xml:space="preserve"> </w:t>
      </w:r>
      <w:r>
        <w:rPr>
          <w:rStyle w:val="VerbatimChar"/>
        </w:rPr>
        <w:t xml:space="preserve">PdfFont</w:t>
      </w:r>
      <w:r>
        <w:t xml:space="preserve"> </w:t>
      </w:r>
      <w:r>
        <w:t xml:space="preserve">sub-object.</w:t>
      </w:r>
    </w:p>
    <w:p>
      <w:pPr>
        <w:pStyle w:val="Compact"/>
        <w:numPr>
          <w:ilvl w:val="0"/>
          <w:numId w:val="2109"/>
        </w:numPr>
      </w:pPr>
      <w:r>
        <w:rPr>
          <w:rStyle w:val="VerbatimChar"/>
        </w:rPr>
        <w:t xml:space="preserve">PdfDocument.Pages.Add()</w:t>
      </w:r>
      <w:r>
        <w:t xml:space="preserve"> </w:t>
      </w:r>
      <w:r>
        <w:t xml:space="preserve">adds a page and returns a</w:t>
      </w:r>
      <w:r>
        <w:t xml:space="preserve"> </w:t>
      </w:r>
      <w:r>
        <w:rPr>
          <w:rStyle w:val="VerbatimChar"/>
        </w:rPr>
        <w:t xml:space="preserve">PdfPage</w:t>
      </w:r>
      <w:r>
        <w:t xml:space="preserve">.</w:t>
      </w:r>
    </w:p>
    <w:p>
      <w:pPr>
        <w:pStyle w:val="Compact"/>
        <w:numPr>
          <w:ilvl w:val="0"/>
          <w:numId w:val="2109"/>
        </w:numPr>
      </w:pPr>
      <w:r>
        <w:rPr>
          <w:rStyle w:val="VerbatimChar"/>
        </w:rPr>
        <w:t xml:space="preserve">PdfPage.Canvas</w:t>
      </w:r>
      <w:r>
        <w:t xml:space="preserve"> </w:t>
      </w:r>
      <w:r>
        <w:t xml:space="preserve">returns a</w:t>
      </w:r>
      <w:r>
        <w:t xml:space="preserve"> </w:t>
      </w:r>
      <w:r>
        <w:rPr>
          <w:rStyle w:val="VerbatimChar"/>
        </w:rPr>
        <w:t xml:space="preserve">PdfCanvas</w:t>
      </w:r>
      <w:r>
        <w:t xml:space="preserve"> </w:t>
      </w:r>
      <w:r>
        <w:t xml:space="preserve">for drawing.</w:t>
      </w:r>
    </w:p>
    <w:p>
      <w:pPr>
        <w:pStyle w:val="Compact"/>
        <w:numPr>
          <w:ilvl w:val="0"/>
          <w:numId w:val="2109"/>
        </w:numPr>
      </w:pPr>
      <w:r>
        <w:rPr>
          <w:rStyle w:val="VerbatimChar"/>
        </w:rPr>
        <w:t xml:space="preserve">PdfCanvas.DrawText</w:t>
      </w:r>
      <w:r>
        <w:t xml:space="preserve">,</w:t>
      </w:r>
      <w:r>
        <w:t xml:space="preserve"> </w:t>
      </w:r>
      <w:r>
        <w:rPr>
          <w:rStyle w:val="VerbatimChar"/>
        </w:rPr>
        <w:t xml:space="preserve">DrawLine</w:t>
      </w:r>
      <w:r>
        <w:t xml:space="preserve">,</w:t>
      </w:r>
      <w:r>
        <w:t xml:space="preserve"> </w:t>
      </w:r>
      <w:r>
        <w:rPr>
          <w:rStyle w:val="VerbatimChar"/>
        </w:rPr>
        <w:t xml:space="preserve">DrawBox</w:t>
      </w:r>
      <w:r>
        <w:t xml:space="preserve"> </w:t>
      </w:r>
      <w:r>
        <w:t xml:space="preserve">use parameter strings for flexible positioning.</w:t>
      </w:r>
    </w:p>
    <w:p>
      <w:pPr>
        <w:pStyle w:val="Compact"/>
        <w:numPr>
          <w:ilvl w:val="0"/>
          <w:numId w:val="2109"/>
        </w:numPr>
      </w:pPr>
      <w:r>
        <w:rPr>
          <w:rStyle w:val="VerbatimChar"/>
        </w:rPr>
        <w:t xml:space="preserve">PdfDocument.Save</w:t>
      </w:r>
      <w:r>
        <w:t xml:space="preserve">,</w:t>
      </w:r>
      <w:r>
        <w:t xml:space="preserve"> </w:t>
      </w:r>
      <w:r>
        <w:rPr>
          <w:rStyle w:val="VerbatimChar"/>
        </w:rPr>
        <w:t xml:space="preserve">SendBinary</w:t>
      </w:r>
      <w:r>
        <w:t xml:space="preserve">, and</w:t>
      </w:r>
      <w:r>
        <w:t xml:space="preserve"> </w:t>
      </w:r>
      <w:r>
        <w:rPr>
          <w:rStyle w:val="VerbatimChar"/>
        </w:rPr>
        <w:t xml:space="preserve">ImportFromUrl</w:t>
      </w:r>
      <w:r>
        <w:t xml:space="preserve"> </w:t>
      </w:r>
      <w:r>
        <w:t xml:space="preserve">provide output and import.</w:t>
      </w:r>
    </w:p>
    <w:p>
      <w:pPr>
        <w:pStyle w:val="Compact"/>
        <w:numPr>
          <w:ilvl w:val="0"/>
          <w:numId w:val="2109"/>
        </w:numPr>
      </w:pPr>
      <w:r>
        <w:rPr>
          <w:rStyle w:val="VerbatimChar"/>
        </w:rPr>
        <w:t xml:space="preserve">ImportFromUrl</w:t>
      </w:r>
      <w:r>
        <w:t xml:space="preserve"> </w:t>
      </w:r>
      <w:r>
        <w:t xml:space="preserve">routes to the existing HTML-to-PDF engine.</w:t>
      </w:r>
    </w:p>
    <w:p>
      <w:pPr>
        <w:pStyle w:val="FirstParagraph"/>
      </w:pPr>
      <w:r>
        <w:t xml:space="preserve">See the Methods page for complete details on all Persits.Pdf sub-object methods and properties.</w:t>
      </w:r>
    </w:p>
    <w:bookmarkEnd w:id="4391"/>
    <w:bookmarkStart w:id="4392" w:name="code-example-27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pdf.AddPage </w:t>
      </w:r>
      <w:r>
        <w:rPr>
          <w:rStyle w:val="StringTok"/>
        </w:rPr>
        <w:t xml:space="preserve">""</w:t>
      </w:r>
      <w:r>
        <w:rPr>
          <w:rStyle w:val="OtherTok"/>
        </w:rPr>
        <w:t xml:space="preserve">,</w:t>
      </w:r>
      <w:r>
        <w:rPr>
          <w:rStyle w:val="NormalTok"/>
        </w:rPr>
        <w:t xml:space="preserve"> </w:t>
      </w:r>
      <w:r>
        <w:rPr>
          <w:rStyle w:val="StringTok"/>
        </w:rPr>
        <w:t xml:space="preserve">""</w:t>
      </w:r>
      <w:r>
        <w:rPr>
          <w:rStyle w:val="OtherTok"/>
        </w:rPr>
        <w:t xml:space="preserve">,</w:t>
      </w:r>
      <w:r>
        <w:rPr>
          <w:rStyle w:val="NormalTok"/>
        </w:rPr>
        <w:t xml:space="preserve"> </w:t>
      </w:r>
      <w:r>
        <w:rPr>
          <w:rStyle w:val="DecValTok"/>
        </w:rPr>
        <w:t xml:space="preserve">0</w:t>
      </w:r>
      <w:r>
        <w:br/>
      </w:r>
      <w:r>
        <w:rPr>
          <w:rStyle w:val="NormalTok"/>
        </w:rPr>
        <w:t xml:space="preserve">pdf.SetFont </w:t>
      </w:r>
      <w:r>
        <w:rPr>
          <w:rStyle w:val="StringTok"/>
        </w:rPr>
        <w:t xml:space="preserve">"Arial"</w:t>
      </w:r>
      <w:r>
        <w:rPr>
          <w:rStyle w:val="OtherTok"/>
        </w:rPr>
        <w:t xml:space="preserve">,</w:t>
      </w:r>
      <w:r>
        <w:rPr>
          <w:rStyle w:val="NormalTok"/>
        </w:rPr>
        <w:t xml:space="preserve"> </w:t>
      </w:r>
      <w:r>
        <w:rPr>
          <w:rStyle w:val="StringTok"/>
        </w:rPr>
        <w:t xml:space="preserve">"B"</w:t>
      </w:r>
      <w:r>
        <w:rPr>
          <w:rStyle w:val="OtherTok"/>
        </w:rPr>
        <w:t xml:space="preserve">,</w:t>
      </w:r>
      <w:r>
        <w:rPr>
          <w:rStyle w:val="NormalTok"/>
        </w:rPr>
        <w:t xml:space="preserve"> </w:t>
      </w:r>
      <w:r>
        <w:rPr>
          <w:rStyle w:val="DecValTok"/>
        </w:rPr>
        <w:t xml:space="preserve">16</w:t>
      </w:r>
      <w:r>
        <w:br/>
      </w:r>
      <w:r>
        <w:rPr>
          <w:rStyle w:val="NormalTok"/>
        </w:rPr>
        <w:t xml:space="preserve">pdf.Cell </w:t>
      </w:r>
      <w:r>
        <w:rPr>
          <w:rStyle w:val="DecValTok"/>
        </w:rPr>
        <w:t xml:space="preserve">40</w:t>
      </w:r>
      <w:r>
        <w:rPr>
          <w:rStyle w:val="OtherTok"/>
        </w:rPr>
        <w:t xml:space="preserve">,</w:t>
      </w:r>
      <w:r>
        <w:rPr>
          <w:rStyle w:val="NormalTok"/>
        </w:rPr>
        <w:t xml:space="preserve"> </w:t>
      </w:r>
      <w:r>
        <w:rPr>
          <w:rStyle w:val="DecValTok"/>
        </w:rPr>
        <w:t xml:space="preserve">10</w:t>
      </w:r>
      <w:r>
        <w:rPr>
          <w:rStyle w:val="OtherTok"/>
        </w:rPr>
        <w:t xml:space="preserve">,</w:t>
      </w:r>
      <w:r>
        <w:rPr>
          <w:rStyle w:val="NormalTok"/>
        </w:rPr>
        <w:t xml:space="preserve"> </w:t>
      </w:r>
      <w:r>
        <w:rPr>
          <w:rStyle w:val="StringTok"/>
        </w:rPr>
        <w:t xml:space="preserve">"Hello World!"</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StringTok"/>
        </w:rPr>
        <w:t xml:space="preserve">"C"</w:t>
      </w:r>
      <w:r>
        <w:rPr>
          <w:rStyle w:val="OtherTok"/>
        </w:rPr>
        <w:t xml:space="preserve">,</w:t>
      </w:r>
      <w:r>
        <w:rPr>
          <w:rStyle w:val="NormalTok"/>
        </w:rPr>
        <w:t xml:space="preserve"> </w:t>
      </w:r>
      <w:r>
        <w:rPr>
          <w:rStyle w:val="KeywordTok"/>
        </w:rPr>
        <w:t xml:space="preserve">False</w:t>
      </w:r>
      <w:r>
        <w:rPr>
          <w:rStyle w:val="OtherTok"/>
        </w:rPr>
        <w:t xml:space="preserve">,</w:t>
      </w:r>
      <w:r>
        <w:rPr>
          <w:rStyle w:val="NormalTok"/>
        </w:rPr>
        <w:t xml:space="preserve"> </w:t>
      </w:r>
      <w:r>
        <w:rPr>
          <w:rStyle w:val="StringTok"/>
        </w:rPr>
        <w:t xml:space="preserve">""</w:t>
      </w:r>
      <w:r>
        <w:br/>
      </w:r>
      <w:r>
        <w:br/>
      </w:r>
      <w:r>
        <w:rPr>
          <w:rStyle w:val="CommentTok"/>
        </w:rPr>
        <w:t xml:space="preserve">' Further output code...</w:t>
      </w:r>
      <w:r>
        <w:br/>
      </w:r>
      <w:r>
        <w:rPr>
          <w:rStyle w:val="DataTypeTok"/>
        </w:rPr>
        <w:t xml:space="preserve">%&gt;</w:t>
      </w:r>
    </w:p>
    <w:bookmarkEnd w:id="4392"/>
    <w:bookmarkEnd w:id="4393"/>
    <w:bookmarkStart w:id="4404" w:name="g3pdf-methods"/>
    <w:p>
      <w:pPr>
        <w:pStyle w:val="Heading1"/>
      </w:pPr>
      <w:r>
        <w:t xml:space="preserve">G3PDF Methods</w:t>
      </w:r>
    </w:p>
    <w:bookmarkStart w:id="4394" w:name="overview-497"/>
    <w:p>
      <w:pPr>
        <w:pStyle w:val="Heading2"/>
      </w:pPr>
      <w:r>
        <w:t xml:space="preserve">Overview</w:t>
      </w:r>
    </w:p>
    <w:p>
      <w:pPr>
        <w:pStyle w:val="FirstParagraph"/>
      </w:pPr>
      <w:r>
        <w:t xml:space="preserve">This page summarizes methods exposed by the G3PDF library in G3Pix AxonASP.</w:t>
      </w:r>
    </w:p>
    <w:bookmarkEnd w:id="4394"/>
    <w:bookmarkStart w:id="4395" w:name="methods-reference-5"/>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New</w:t>
            </w:r>
          </w:p>
        </w:tc>
        <w:tc>
          <w:tcPr/>
          <w:p>
            <w:pPr>
              <w:pStyle w:val="Compact"/>
            </w:pPr>
            <w:r>
              <w:t xml:space="preserve">Object</w:t>
            </w:r>
          </w:p>
        </w:tc>
        <w:tc>
          <w:tcPr/>
          <w:p>
            <w:pPr>
              <w:pStyle w:val="Compact"/>
            </w:pPr>
            <w:r>
              <w:t xml:space="preserve">Initializes a new PDF context and returns the same object instance.</w:t>
            </w:r>
          </w:p>
        </w:tc>
      </w:tr>
      <w:tr>
        <w:tc>
          <w:tcPr/>
          <w:p>
            <w:pPr>
              <w:pStyle w:val="Compact"/>
            </w:pPr>
            <w:r>
              <w:t xml:space="preserve">Init</w:t>
            </w:r>
          </w:p>
        </w:tc>
        <w:tc>
          <w:tcPr/>
          <w:p>
            <w:pPr>
              <w:pStyle w:val="Compact"/>
            </w:pPr>
            <w:r>
              <w:t xml:space="preserve">Object</w:t>
            </w:r>
          </w:p>
        </w:tc>
        <w:tc>
          <w:tcPr/>
          <w:p>
            <w:pPr>
              <w:pStyle w:val="Compact"/>
            </w:pPr>
            <w:r>
              <w:t xml:space="preserve">Alias of New. Initializes a new PDF context and returns the same object instance.</w:t>
            </w:r>
          </w:p>
        </w:tc>
      </w:tr>
      <w:tr>
        <w:tc>
          <w:tcPr/>
          <w:p>
            <w:pPr>
              <w:pStyle w:val="Compact"/>
            </w:pPr>
            <w:r>
              <w:t xml:space="preserve">Reset</w:t>
            </w:r>
          </w:p>
        </w:tc>
        <w:tc>
          <w:tcPr/>
          <w:p>
            <w:pPr>
              <w:pStyle w:val="Compact"/>
            </w:pPr>
            <w:r>
              <w:t xml:space="preserve">Object</w:t>
            </w:r>
          </w:p>
        </w:tc>
        <w:tc>
          <w:tcPr/>
          <w:p>
            <w:pPr>
              <w:pStyle w:val="Compact"/>
            </w:pPr>
            <w:r>
              <w:t xml:space="preserve">Alias of New. Reinitializes the PDF context and returns the same object instance.</w:t>
            </w:r>
          </w:p>
        </w:tc>
      </w:tr>
      <w:tr>
        <w:tc>
          <w:tcPr/>
          <w:p>
            <w:pPr>
              <w:pStyle w:val="Compact"/>
            </w:pPr>
            <w:r>
              <w:t xml:space="preserve">AddPage</w:t>
            </w:r>
          </w:p>
        </w:tc>
        <w:tc>
          <w:tcPr/>
          <w:p>
            <w:pPr>
              <w:pStyle w:val="Compact"/>
            </w:pPr>
            <w:r>
              <w:t xml:space="preserve">Boolean</w:t>
            </w:r>
          </w:p>
        </w:tc>
        <w:tc>
          <w:tcPr/>
          <w:p>
            <w:pPr>
              <w:pStyle w:val="Compact"/>
            </w:pPr>
            <w:r>
              <w:t xml:space="preserve">Adds a new page to the current document.</w:t>
            </w:r>
          </w:p>
        </w:tc>
      </w:tr>
      <w:tr>
        <w:tc>
          <w:tcPr/>
          <w:p>
            <w:pPr>
              <w:pStyle w:val="Compact"/>
            </w:pPr>
            <w:r>
              <w:t xml:space="preserve">Close</w:t>
            </w:r>
          </w:p>
        </w:tc>
        <w:tc>
          <w:tcPr/>
          <w:p>
            <w:pPr>
              <w:pStyle w:val="Compact"/>
            </w:pPr>
            <w:r>
              <w:t xml:space="preserve">Boolean</w:t>
            </w:r>
          </w:p>
        </w:tc>
        <w:tc>
          <w:tcPr/>
          <w:p>
            <w:pPr>
              <w:pStyle w:val="Compact"/>
            </w:pPr>
            <w:r>
              <w:t xml:space="preserve">Finalizes the current document state.</w:t>
            </w:r>
          </w:p>
        </w:tc>
      </w:tr>
      <w:tr>
        <w:tc>
          <w:tcPr/>
          <w:p>
            <w:pPr>
              <w:pStyle w:val="Compact"/>
            </w:pPr>
            <w:r>
              <w:t xml:space="preserve">Output</w:t>
            </w:r>
          </w:p>
        </w:tc>
        <w:tc>
          <w:tcPr/>
          <w:p>
            <w:pPr>
              <w:pStyle w:val="Compact"/>
            </w:pPr>
            <w:r>
              <w:t xml:space="preserve">Boolean, String, or Null</w:t>
            </w:r>
          </w:p>
        </w:tc>
        <w:tc>
          <w:tcPr/>
          <w:p>
            <w:pPr>
              <w:pStyle w:val="Compact"/>
            </w:pPr>
            <w:r>
              <w:t xml:space="preserve">Emits document output by destination mode: inline/download/file returns Boolean, string mode returns PDF binary string, and generation failures return Null.</w:t>
            </w:r>
          </w:p>
        </w:tc>
      </w:tr>
      <w:tr>
        <w:tc>
          <w:tcPr/>
          <w:p>
            <w:pPr>
              <w:pStyle w:val="Compact"/>
            </w:pPr>
            <w:r>
              <w:t xml:space="preserve">SetFont</w:t>
            </w:r>
          </w:p>
        </w:tc>
        <w:tc>
          <w:tcPr/>
          <w:p>
            <w:pPr>
              <w:pStyle w:val="Compact"/>
            </w:pPr>
            <w:r>
              <w:t xml:space="preserve">Boolean</w:t>
            </w:r>
          </w:p>
        </w:tc>
        <w:tc>
          <w:tcPr/>
          <w:p>
            <w:pPr>
              <w:pStyle w:val="Compact"/>
            </w:pPr>
            <w:r>
              <w:t xml:space="preserve">Sets active font family, style, and size.</w:t>
            </w:r>
          </w:p>
        </w:tc>
      </w:tr>
      <w:tr>
        <w:tc>
          <w:tcPr/>
          <w:p>
            <w:pPr>
              <w:pStyle w:val="Compact"/>
            </w:pPr>
            <w:r>
              <w:t xml:space="preserve">SetFontSize</w:t>
            </w:r>
          </w:p>
        </w:tc>
        <w:tc>
          <w:tcPr/>
          <w:p>
            <w:pPr>
              <w:pStyle w:val="Compact"/>
            </w:pPr>
            <w:r>
              <w:t xml:space="preserve">Boolean</w:t>
            </w:r>
          </w:p>
        </w:tc>
        <w:tc>
          <w:tcPr/>
          <w:p>
            <w:pPr>
              <w:pStyle w:val="Compact"/>
            </w:pPr>
            <w:r>
              <w:t xml:space="preserve">Sets active font size.</w:t>
            </w:r>
          </w:p>
        </w:tc>
      </w:tr>
      <w:tr>
        <w:tc>
          <w:tcPr/>
          <w:p>
            <w:pPr>
              <w:pStyle w:val="Compact"/>
            </w:pPr>
            <w:r>
              <w:t xml:space="preserve">SetTextColor</w:t>
            </w:r>
          </w:p>
        </w:tc>
        <w:tc>
          <w:tcPr/>
          <w:p>
            <w:pPr>
              <w:pStyle w:val="Compact"/>
            </w:pPr>
            <w:r>
              <w:t xml:space="preserve">Boolean</w:t>
            </w:r>
          </w:p>
        </w:tc>
        <w:tc>
          <w:tcPr/>
          <w:p>
            <w:pPr>
              <w:pStyle w:val="Compact"/>
            </w:pPr>
            <w:r>
              <w:t xml:space="preserve">Sets text color using grayscale or RGB values.</w:t>
            </w:r>
          </w:p>
        </w:tc>
      </w:tr>
      <w:tr>
        <w:tc>
          <w:tcPr/>
          <w:p>
            <w:pPr>
              <w:pStyle w:val="Compact"/>
            </w:pPr>
            <w:r>
              <w:t xml:space="preserve">SetDrawColor</w:t>
            </w:r>
          </w:p>
        </w:tc>
        <w:tc>
          <w:tcPr/>
          <w:p>
            <w:pPr>
              <w:pStyle w:val="Compact"/>
            </w:pPr>
            <w:r>
              <w:t xml:space="preserve">Boolean</w:t>
            </w:r>
          </w:p>
        </w:tc>
        <w:tc>
          <w:tcPr/>
          <w:p>
            <w:pPr>
              <w:pStyle w:val="Compact"/>
            </w:pPr>
            <w:r>
              <w:t xml:space="preserve">Sets stroke color using grayscale or RGB values.</w:t>
            </w:r>
          </w:p>
        </w:tc>
      </w:tr>
      <w:tr>
        <w:tc>
          <w:tcPr/>
          <w:p>
            <w:pPr>
              <w:pStyle w:val="Compact"/>
            </w:pPr>
            <w:r>
              <w:t xml:space="preserve">SetFillColor</w:t>
            </w:r>
          </w:p>
        </w:tc>
        <w:tc>
          <w:tcPr/>
          <w:p>
            <w:pPr>
              <w:pStyle w:val="Compact"/>
            </w:pPr>
            <w:r>
              <w:t xml:space="preserve">Boolean</w:t>
            </w:r>
          </w:p>
        </w:tc>
        <w:tc>
          <w:tcPr/>
          <w:p>
            <w:pPr>
              <w:pStyle w:val="Compact"/>
            </w:pPr>
            <w:r>
              <w:t xml:space="preserve">Sets fill color using grayscale or RGB values.</w:t>
            </w:r>
          </w:p>
        </w:tc>
      </w:tr>
      <w:tr>
        <w:tc>
          <w:tcPr/>
          <w:p>
            <w:pPr>
              <w:pStyle w:val="Compact"/>
            </w:pPr>
            <w:r>
              <w:t xml:space="preserve">SetLineWidth</w:t>
            </w:r>
          </w:p>
        </w:tc>
        <w:tc>
          <w:tcPr/>
          <w:p>
            <w:pPr>
              <w:pStyle w:val="Compact"/>
            </w:pPr>
            <w:r>
              <w:t xml:space="preserve">Boolean</w:t>
            </w:r>
          </w:p>
        </w:tc>
        <w:tc>
          <w:tcPr/>
          <w:p>
            <w:pPr>
              <w:pStyle w:val="Compact"/>
            </w:pPr>
            <w:r>
              <w:t xml:space="preserve">Sets line width for draw operations.</w:t>
            </w:r>
          </w:p>
        </w:tc>
      </w:tr>
      <w:tr>
        <w:tc>
          <w:tcPr/>
          <w:p>
            <w:pPr>
              <w:pStyle w:val="Compact"/>
            </w:pPr>
            <w:r>
              <w:t xml:space="preserve">SetMargins</w:t>
            </w:r>
          </w:p>
        </w:tc>
        <w:tc>
          <w:tcPr/>
          <w:p>
            <w:pPr>
              <w:pStyle w:val="Compact"/>
            </w:pPr>
            <w:r>
              <w:t xml:space="preserve">Boolean</w:t>
            </w:r>
          </w:p>
        </w:tc>
        <w:tc>
          <w:tcPr/>
          <w:p>
            <w:pPr>
              <w:pStyle w:val="Compact"/>
            </w:pPr>
            <w:r>
              <w:t xml:space="preserve">Sets left, top, and optional right page margins. Returns False when required arguments are missing.</w:t>
            </w:r>
          </w:p>
        </w:tc>
      </w:tr>
      <w:tr>
        <w:tc>
          <w:tcPr/>
          <w:p>
            <w:pPr>
              <w:pStyle w:val="Compact"/>
            </w:pPr>
            <w:r>
              <w:t xml:space="preserve">SetLeftMargin</w:t>
            </w:r>
          </w:p>
        </w:tc>
        <w:tc>
          <w:tcPr/>
          <w:p>
            <w:pPr>
              <w:pStyle w:val="Compact"/>
            </w:pPr>
            <w:r>
              <w:t xml:space="preserve">Boolean</w:t>
            </w:r>
          </w:p>
        </w:tc>
        <w:tc>
          <w:tcPr/>
          <w:p>
            <w:pPr>
              <w:pStyle w:val="Compact"/>
            </w:pPr>
            <w:r>
              <w:t xml:space="preserve">Sets left page margin.</w:t>
            </w:r>
          </w:p>
        </w:tc>
      </w:tr>
      <w:tr>
        <w:tc>
          <w:tcPr/>
          <w:p>
            <w:pPr>
              <w:pStyle w:val="Compact"/>
            </w:pPr>
            <w:r>
              <w:t xml:space="preserve">SetTopMargin</w:t>
            </w:r>
          </w:p>
        </w:tc>
        <w:tc>
          <w:tcPr/>
          <w:p>
            <w:pPr>
              <w:pStyle w:val="Compact"/>
            </w:pPr>
            <w:r>
              <w:t xml:space="preserve">Boolean</w:t>
            </w:r>
          </w:p>
        </w:tc>
        <w:tc>
          <w:tcPr/>
          <w:p>
            <w:pPr>
              <w:pStyle w:val="Compact"/>
            </w:pPr>
            <w:r>
              <w:t xml:space="preserve">Sets top page margin.</w:t>
            </w:r>
          </w:p>
        </w:tc>
      </w:tr>
      <w:tr>
        <w:tc>
          <w:tcPr/>
          <w:p>
            <w:pPr>
              <w:pStyle w:val="Compact"/>
            </w:pPr>
            <w:r>
              <w:t xml:space="preserve">SetRightMargin</w:t>
            </w:r>
          </w:p>
        </w:tc>
        <w:tc>
          <w:tcPr/>
          <w:p>
            <w:pPr>
              <w:pStyle w:val="Compact"/>
            </w:pPr>
            <w:r>
              <w:t xml:space="preserve">Boolean</w:t>
            </w:r>
          </w:p>
        </w:tc>
        <w:tc>
          <w:tcPr/>
          <w:p>
            <w:pPr>
              <w:pStyle w:val="Compact"/>
            </w:pPr>
            <w:r>
              <w:t xml:space="preserve">Sets right page margin.</w:t>
            </w:r>
          </w:p>
        </w:tc>
      </w:tr>
      <w:tr>
        <w:tc>
          <w:tcPr/>
          <w:p>
            <w:pPr>
              <w:pStyle w:val="Compact"/>
            </w:pPr>
            <w:r>
              <w:t xml:space="preserve">SetX</w:t>
            </w:r>
          </w:p>
        </w:tc>
        <w:tc>
          <w:tcPr/>
          <w:p>
            <w:pPr>
              <w:pStyle w:val="Compact"/>
            </w:pPr>
            <w:r>
              <w:t xml:space="preserve">Boolean</w:t>
            </w:r>
          </w:p>
        </w:tc>
        <w:tc>
          <w:tcPr/>
          <w:p>
            <w:pPr>
              <w:pStyle w:val="Compact"/>
            </w:pPr>
            <w:r>
              <w:t xml:space="preserve">Sets the current horizontal cursor position.</w:t>
            </w:r>
          </w:p>
        </w:tc>
      </w:tr>
      <w:tr>
        <w:tc>
          <w:tcPr/>
          <w:p>
            <w:pPr>
              <w:pStyle w:val="Compact"/>
            </w:pPr>
            <w:r>
              <w:t xml:space="preserve">SetY</w:t>
            </w:r>
          </w:p>
        </w:tc>
        <w:tc>
          <w:tcPr/>
          <w:p>
            <w:pPr>
              <w:pStyle w:val="Compact"/>
            </w:pPr>
            <w:r>
              <w:t xml:space="preserve">Boolean</w:t>
            </w:r>
          </w:p>
        </w:tc>
        <w:tc>
          <w:tcPr/>
          <w:p>
            <w:pPr>
              <w:pStyle w:val="Compact"/>
            </w:pPr>
            <w:r>
              <w:t xml:space="preserve">Sets the current vertical cursor position with optional X reset behavior.</w:t>
            </w:r>
          </w:p>
        </w:tc>
      </w:tr>
      <w:tr>
        <w:tc>
          <w:tcPr/>
          <w:p>
            <w:pPr>
              <w:pStyle w:val="Compact"/>
            </w:pPr>
            <w:r>
              <w:t xml:space="preserve">SetXY</w:t>
            </w:r>
          </w:p>
        </w:tc>
        <w:tc>
          <w:tcPr/>
          <w:p>
            <w:pPr>
              <w:pStyle w:val="Compact"/>
            </w:pPr>
            <w:r>
              <w:t xml:space="preserve">Boolean</w:t>
            </w:r>
          </w:p>
        </w:tc>
        <w:tc>
          <w:tcPr/>
          <w:p>
            <w:pPr>
              <w:pStyle w:val="Compact"/>
            </w:pPr>
            <w:r>
              <w:t xml:space="preserve">Sets both horizontal and vertical cursor positions.</w:t>
            </w:r>
          </w:p>
        </w:tc>
      </w:tr>
      <w:tr>
        <w:tc>
          <w:tcPr/>
          <w:p>
            <w:pPr>
              <w:pStyle w:val="Compact"/>
            </w:pPr>
            <w:r>
              <w:t xml:space="preserve">GetX</w:t>
            </w:r>
          </w:p>
        </w:tc>
        <w:tc>
          <w:tcPr/>
          <w:p>
            <w:pPr>
              <w:pStyle w:val="Compact"/>
            </w:pPr>
            <w:r>
              <w:t xml:space="preserve">Double</w:t>
            </w:r>
          </w:p>
        </w:tc>
        <w:tc>
          <w:tcPr/>
          <w:p>
            <w:pPr>
              <w:pStyle w:val="Compact"/>
            </w:pPr>
            <w:r>
              <w:t xml:space="preserve">Returns current horizontal cursor position.</w:t>
            </w:r>
          </w:p>
        </w:tc>
      </w:tr>
      <w:tr>
        <w:tc>
          <w:tcPr/>
          <w:p>
            <w:pPr>
              <w:pStyle w:val="Compact"/>
            </w:pPr>
            <w:r>
              <w:t xml:space="preserve">GetY</w:t>
            </w:r>
          </w:p>
        </w:tc>
        <w:tc>
          <w:tcPr/>
          <w:p>
            <w:pPr>
              <w:pStyle w:val="Compact"/>
            </w:pPr>
            <w:r>
              <w:t xml:space="preserve">Double</w:t>
            </w:r>
          </w:p>
        </w:tc>
        <w:tc>
          <w:tcPr/>
          <w:p>
            <w:pPr>
              <w:pStyle w:val="Compact"/>
            </w:pPr>
            <w:r>
              <w:t xml:space="preserve">Returns current vertical cursor position.</w:t>
            </w:r>
          </w:p>
        </w:tc>
      </w:tr>
      <w:tr>
        <w:tc>
          <w:tcPr/>
          <w:p>
            <w:pPr>
              <w:pStyle w:val="Compact"/>
            </w:pPr>
            <w:r>
              <w:t xml:space="preserve">Ln</w:t>
            </w:r>
          </w:p>
        </w:tc>
        <w:tc>
          <w:tcPr/>
          <w:p>
            <w:pPr>
              <w:pStyle w:val="Compact"/>
            </w:pPr>
            <w:r>
              <w:t xml:space="preserve">Boolean</w:t>
            </w:r>
          </w:p>
        </w:tc>
        <w:tc>
          <w:tcPr/>
          <w:p>
            <w:pPr>
              <w:pStyle w:val="Compact"/>
            </w:pPr>
            <w:r>
              <w:t xml:space="preserve">Moves cursor to the next line using optional offset.</w:t>
            </w:r>
          </w:p>
        </w:tc>
      </w:tr>
      <w:tr>
        <w:tc>
          <w:tcPr/>
          <w:p>
            <w:pPr>
              <w:pStyle w:val="Compact"/>
            </w:pPr>
            <w:r>
              <w:t xml:space="preserve">Cell</w:t>
            </w:r>
          </w:p>
        </w:tc>
        <w:tc>
          <w:tcPr/>
          <w:p>
            <w:pPr>
              <w:pStyle w:val="Compact"/>
            </w:pPr>
            <w:r>
              <w:t xml:space="preserve">Boolean</w:t>
            </w:r>
          </w:p>
        </w:tc>
        <w:tc>
          <w:tcPr/>
          <w:p>
            <w:pPr>
              <w:pStyle w:val="Compact"/>
            </w:pPr>
            <w:r>
              <w:t xml:space="preserve">Writes one cell at the current cursor position. Returns False when required arguments are missing.</w:t>
            </w:r>
          </w:p>
        </w:tc>
      </w:tr>
      <w:tr>
        <w:tc>
          <w:tcPr/>
          <w:p>
            <w:pPr>
              <w:pStyle w:val="Compact"/>
            </w:pPr>
            <w:r>
              <w:t xml:space="preserve">MultiCell</w:t>
            </w:r>
          </w:p>
        </w:tc>
        <w:tc>
          <w:tcPr/>
          <w:p>
            <w:pPr>
              <w:pStyle w:val="Compact"/>
            </w:pPr>
            <w:r>
              <w:t xml:space="preserve">Boolean</w:t>
            </w:r>
          </w:p>
        </w:tc>
        <w:tc>
          <w:tcPr/>
          <w:p>
            <w:pPr>
              <w:pStyle w:val="Compact"/>
            </w:pPr>
            <w:r>
              <w:t xml:space="preserve">Writes wrapped multi-line text cells. Returns False when required arguments are missing.</w:t>
            </w:r>
          </w:p>
        </w:tc>
      </w:tr>
      <w:tr>
        <w:tc>
          <w:tcPr/>
          <w:p>
            <w:pPr>
              <w:pStyle w:val="Compact"/>
            </w:pPr>
            <w:r>
              <w:t xml:space="preserve">Write</w:t>
            </w:r>
          </w:p>
        </w:tc>
        <w:tc>
          <w:tcPr/>
          <w:p>
            <w:pPr>
              <w:pStyle w:val="Compact"/>
            </w:pPr>
            <w:r>
              <w:t xml:space="preserve">Boolean</w:t>
            </w:r>
          </w:p>
        </w:tc>
        <w:tc>
          <w:tcPr/>
          <w:p>
            <w:pPr>
              <w:pStyle w:val="Compact"/>
            </w:pPr>
            <w:r>
              <w:t xml:space="preserve">Writes flowing text. Returns False when required arguments are missing.</w:t>
            </w:r>
          </w:p>
        </w:tc>
      </w:tr>
      <w:tr>
        <w:tc>
          <w:tcPr/>
          <w:p>
            <w:pPr>
              <w:pStyle w:val="Compact"/>
            </w:pPr>
            <w:r>
              <w:t xml:space="preserve">Text</w:t>
            </w:r>
          </w:p>
        </w:tc>
        <w:tc>
          <w:tcPr/>
          <w:p>
            <w:pPr>
              <w:pStyle w:val="Compact"/>
            </w:pPr>
            <w:r>
              <w:t xml:space="preserve">Boolean</w:t>
            </w:r>
          </w:p>
        </w:tc>
        <w:tc>
          <w:tcPr/>
          <w:p>
            <w:pPr>
              <w:pStyle w:val="Compact"/>
            </w:pPr>
            <w:r>
              <w:t xml:space="preserve">Writes text at absolute coordinates. Returns False when required arguments are missing.</w:t>
            </w:r>
          </w:p>
        </w:tc>
      </w:tr>
      <w:tr>
        <w:tc>
          <w:tcPr/>
          <w:p>
            <w:pPr>
              <w:pStyle w:val="Compact"/>
            </w:pPr>
            <w:r>
              <w:t xml:space="preserve">Line</w:t>
            </w:r>
          </w:p>
        </w:tc>
        <w:tc>
          <w:tcPr/>
          <w:p>
            <w:pPr>
              <w:pStyle w:val="Compact"/>
            </w:pPr>
            <w:r>
              <w:t xml:space="preserve">Boolean</w:t>
            </w:r>
          </w:p>
        </w:tc>
        <w:tc>
          <w:tcPr/>
          <w:p>
            <w:pPr>
              <w:pStyle w:val="Compact"/>
            </w:pPr>
            <w:r>
              <w:t xml:space="preserve">Draws a line segment. Returns False when required arguments are missing.</w:t>
            </w:r>
          </w:p>
        </w:tc>
      </w:tr>
      <w:tr>
        <w:tc>
          <w:tcPr/>
          <w:p>
            <w:pPr>
              <w:pStyle w:val="Compact"/>
            </w:pPr>
            <w:r>
              <w:t xml:space="preserve">Rect</w:t>
            </w:r>
          </w:p>
        </w:tc>
        <w:tc>
          <w:tcPr/>
          <w:p>
            <w:pPr>
              <w:pStyle w:val="Compact"/>
            </w:pPr>
            <w:r>
              <w:t xml:space="preserve">Boolean</w:t>
            </w:r>
          </w:p>
        </w:tc>
        <w:tc>
          <w:tcPr/>
          <w:p>
            <w:pPr>
              <w:pStyle w:val="Compact"/>
            </w:pPr>
            <w:r>
              <w:t xml:space="preserve">Draws a rectangle with optional style. Returns False when required arguments are missing.</w:t>
            </w:r>
          </w:p>
        </w:tc>
      </w:tr>
      <w:tr>
        <w:tc>
          <w:tcPr/>
          <w:p>
            <w:pPr>
              <w:pStyle w:val="Compact"/>
            </w:pPr>
            <w:r>
              <w:t xml:space="preserve">Image</w:t>
            </w:r>
          </w:p>
        </w:tc>
        <w:tc>
          <w:tcPr/>
          <w:p>
            <w:pPr>
              <w:pStyle w:val="Compact"/>
            </w:pPr>
            <w:r>
              <w:t xml:space="preserve">Boolean</w:t>
            </w:r>
          </w:p>
        </w:tc>
        <w:tc>
          <w:tcPr/>
          <w:p>
            <w:pPr>
              <w:pStyle w:val="Compact"/>
            </w:pPr>
            <w:r>
              <w:t xml:space="preserve">Places an image at coordinates with optional sizing and link metadata. Returns False when required arguments are missing.</w:t>
            </w:r>
          </w:p>
        </w:tc>
      </w:tr>
      <w:tr>
        <w:tc>
          <w:tcPr/>
          <w:p>
            <w:pPr>
              <w:pStyle w:val="Compact"/>
            </w:pPr>
            <w:r>
              <w:t xml:space="preserve">AddLink</w:t>
            </w:r>
          </w:p>
        </w:tc>
        <w:tc>
          <w:tcPr/>
          <w:p>
            <w:pPr>
              <w:pStyle w:val="Compact"/>
            </w:pPr>
            <w:r>
              <w:t xml:space="preserve">Integer</w:t>
            </w:r>
          </w:p>
        </w:tc>
        <w:tc>
          <w:tcPr/>
          <w:p>
            <w:pPr>
              <w:pStyle w:val="Compact"/>
            </w:pPr>
            <w:r>
              <w:t xml:space="preserve">Creates an internal link identifier and returns it.</w:t>
            </w:r>
          </w:p>
        </w:tc>
      </w:tr>
      <w:tr>
        <w:tc>
          <w:tcPr/>
          <w:p>
            <w:pPr>
              <w:pStyle w:val="Compact"/>
            </w:pPr>
            <w:r>
              <w:t xml:space="preserve">SetLink</w:t>
            </w:r>
          </w:p>
        </w:tc>
        <w:tc>
          <w:tcPr/>
          <w:p>
            <w:pPr>
              <w:pStyle w:val="Compact"/>
            </w:pPr>
            <w:r>
              <w:t xml:space="preserve">Boolean</w:t>
            </w:r>
          </w:p>
        </w:tc>
        <w:tc>
          <w:tcPr/>
          <w:p>
            <w:pPr>
              <w:pStyle w:val="Compact"/>
            </w:pPr>
            <w:r>
              <w:t xml:space="preserve">Binds a link identifier to a document location. Returns False when required arguments are missing.</w:t>
            </w:r>
          </w:p>
        </w:tc>
      </w:tr>
      <w:tr>
        <w:tc>
          <w:tcPr/>
          <w:p>
            <w:pPr>
              <w:pStyle w:val="Compact"/>
            </w:pPr>
            <w:r>
              <w:t xml:space="preserve">Link</w:t>
            </w:r>
          </w:p>
        </w:tc>
        <w:tc>
          <w:tcPr/>
          <w:p>
            <w:pPr>
              <w:pStyle w:val="Compact"/>
            </w:pPr>
            <w:r>
              <w:t xml:space="preserve">Boolean</w:t>
            </w:r>
          </w:p>
        </w:tc>
        <w:tc>
          <w:tcPr/>
          <w:p>
            <w:pPr>
              <w:pStyle w:val="Compact"/>
            </w:pPr>
            <w:r>
              <w:t xml:space="preserve">Creates a clickable rectangle bound to an internal or external link target. Returns False when required arguments are missing.</w:t>
            </w:r>
          </w:p>
        </w:tc>
      </w:tr>
      <w:tr>
        <w:tc>
          <w:tcPr/>
          <w:p>
            <w:pPr>
              <w:pStyle w:val="Compact"/>
            </w:pPr>
            <w:r>
              <w:t xml:space="preserve">SetTitle</w:t>
            </w:r>
          </w:p>
        </w:tc>
        <w:tc>
          <w:tcPr/>
          <w:p>
            <w:pPr>
              <w:pStyle w:val="Compact"/>
            </w:pPr>
            <w:r>
              <w:t xml:space="preserve">Boolean</w:t>
            </w:r>
          </w:p>
        </w:tc>
        <w:tc>
          <w:tcPr/>
          <w:p>
            <w:pPr>
              <w:pStyle w:val="Compact"/>
            </w:pPr>
            <w:r>
              <w:t xml:space="preserve">Sets document title metadata.</w:t>
            </w:r>
          </w:p>
        </w:tc>
      </w:tr>
      <w:tr>
        <w:tc>
          <w:tcPr/>
          <w:p>
            <w:pPr>
              <w:pStyle w:val="Compact"/>
            </w:pPr>
            <w:r>
              <w:t xml:space="preserve">SetAuthor</w:t>
            </w:r>
          </w:p>
        </w:tc>
        <w:tc>
          <w:tcPr/>
          <w:p>
            <w:pPr>
              <w:pStyle w:val="Compact"/>
            </w:pPr>
            <w:r>
              <w:t xml:space="preserve">Boolean</w:t>
            </w:r>
          </w:p>
        </w:tc>
        <w:tc>
          <w:tcPr/>
          <w:p>
            <w:pPr>
              <w:pStyle w:val="Compact"/>
            </w:pPr>
            <w:r>
              <w:t xml:space="preserve">Sets document author metadata.</w:t>
            </w:r>
          </w:p>
        </w:tc>
      </w:tr>
      <w:tr>
        <w:tc>
          <w:tcPr/>
          <w:p>
            <w:pPr>
              <w:pStyle w:val="Compact"/>
            </w:pPr>
            <w:r>
              <w:t xml:space="preserve">SetSubject</w:t>
            </w:r>
          </w:p>
        </w:tc>
        <w:tc>
          <w:tcPr/>
          <w:p>
            <w:pPr>
              <w:pStyle w:val="Compact"/>
            </w:pPr>
            <w:r>
              <w:t xml:space="preserve">Boolean</w:t>
            </w:r>
          </w:p>
        </w:tc>
        <w:tc>
          <w:tcPr/>
          <w:p>
            <w:pPr>
              <w:pStyle w:val="Compact"/>
            </w:pPr>
            <w:r>
              <w:t xml:space="preserve">Sets document subject metadata.</w:t>
            </w:r>
          </w:p>
        </w:tc>
      </w:tr>
      <w:tr>
        <w:tc>
          <w:tcPr/>
          <w:p>
            <w:pPr>
              <w:pStyle w:val="Compact"/>
            </w:pPr>
            <w:r>
              <w:t xml:space="preserve">SetKeywords</w:t>
            </w:r>
          </w:p>
        </w:tc>
        <w:tc>
          <w:tcPr/>
          <w:p>
            <w:pPr>
              <w:pStyle w:val="Compact"/>
            </w:pPr>
            <w:r>
              <w:t xml:space="preserve">Boolean</w:t>
            </w:r>
          </w:p>
        </w:tc>
        <w:tc>
          <w:tcPr/>
          <w:p>
            <w:pPr>
              <w:pStyle w:val="Compact"/>
            </w:pPr>
            <w:r>
              <w:t xml:space="preserve">Sets document keywords metadata.</w:t>
            </w:r>
          </w:p>
        </w:tc>
      </w:tr>
      <w:tr>
        <w:tc>
          <w:tcPr/>
          <w:p>
            <w:pPr>
              <w:pStyle w:val="Compact"/>
            </w:pPr>
            <w:r>
              <w:t xml:space="preserve">SetCreator</w:t>
            </w:r>
          </w:p>
        </w:tc>
        <w:tc>
          <w:tcPr/>
          <w:p>
            <w:pPr>
              <w:pStyle w:val="Compact"/>
            </w:pPr>
            <w:r>
              <w:t xml:space="preserve">Boolean</w:t>
            </w:r>
          </w:p>
        </w:tc>
        <w:tc>
          <w:tcPr/>
          <w:p>
            <w:pPr>
              <w:pStyle w:val="Compact"/>
            </w:pPr>
            <w:r>
              <w:t xml:space="preserve">Sets document creator metadata.</w:t>
            </w:r>
          </w:p>
        </w:tc>
      </w:tr>
      <w:tr>
        <w:tc>
          <w:tcPr/>
          <w:p>
            <w:pPr>
              <w:pStyle w:val="Compact"/>
            </w:pPr>
            <w:r>
              <w:t xml:space="preserve">AliasNbPages</w:t>
            </w:r>
          </w:p>
        </w:tc>
        <w:tc>
          <w:tcPr/>
          <w:p>
            <w:pPr>
              <w:pStyle w:val="Compact"/>
            </w:pPr>
            <w:r>
              <w:t xml:space="preserve">Boolean</w:t>
            </w:r>
          </w:p>
        </w:tc>
        <w:tc>
          <w:tcPr/>
          <w:p>
            <w:pPr>
              <w:pStyle w:val="Compact"/>
            </w:pPr>
            <w:r>
              <w:t xml:space="preserve">Sets the total-page alias token used in content placeholders.</w:t>
            </w:r>
          </w:p>
        </w:tc>
      </w:tr>
      <w:tr>
        <w:tc>
          <w:tcPr/>
          <w:p>
            <w:pPr>
              <w:pStyle w:val="Compact"/>
            </w:pPr>
            <w:r>
              <w:t xml:space="preserve">SetDisplayMode</w:t>
            </w:r>
          </w:p>
        </w:tc>
        <w:tc>
          <w:tcPr/>
          <w:p>
            <w:pPr>
              <w:pStyle w:val="Compact"/>
            </w:pPr>
            <w:r>
              <w:t xml:space="preserve">Boolean</w:t>
            </w:r>
          </w:p>
        </w:tc>
        <w:tc>
          <w:tcPr/>
          <w:p>
            <w:pPr>
              <w:pStyle w:val="Compact"/>
            </w:pPr>
            <w:r>
              <w:t xml:space="preserve">Sets PDF viewer zoom and page layout mode.</w:t>
            </w:r>
          </w:p>
        </w:tc>
      </w:tr>
      <w:tr>
        <w:tc>
          <w:tcPr/>
          <w:p>
            <w:pPr>
              <w:pStyle w:val="Compact"/>
            </w:pPr>
            <w:r>
              <w:t xml:space="preserve">SetCompression</w:t>
            </w:r>
          </w:p>
        </w:tc>
        <w:tc>
          <w:tcPr/>
          <w:p>
            <w:pPr>
              <w:pStyle w:val="Compact"/>
            </w:pPr>
            <w:r>
              <w:t xml:space="preserve">Boolean</w:t>
            </w:r>
          </w:p>
        </w:tc>
        <w:tc>
          <w:tcPr/>
          <w:p>
            <w:pPr>
              <w:pStyle w:val="Compact"/>
            </w:pPr>
            <w:r>
              <w:t xml:space="preserve">Enables or disables PDF stream compression.</w:t>
            </w:r>
          </w:p>
        </w:tc>
      </w:tr>
      <w:tr>
        <w:tc>
          <w:tcPr/>
          <w:p>
            <w:pPr>
              <w:pStyle w:val="Compact"/>
            </w:pPr>
            <w:r>
              <w:t xml:space="preserve">WriteHTML</w:t>
            </w:r>
          </w:p>
        </w:tc>
        <w:tc>
          <w:tcPr/>
          <w:p>
            <w:pPr>
              <w:pStyle w:val="Compact"/>
            </w:pPr>
            <w:r>
              <w:t xml:space="preserve">Boolean</w:t>
            </w:r>
          </w:p>
        </w:tc>
        <w:tc>
          <w:tcPr/>
          <w:p>
            <w:pPr>
              <w:pStyle w:val="Compact"/>
            </w:pPr>
            <w:r>
              <w:t xml:space="preserve">Renders supported HTML markup into the current document. Returns False when HTML input is missing.</w:t>
            </w:r>
          </w:p>
        </w:tc>
      </w:tr>
      <w:tr>
        <w:tc>
          <w:tcPr/>
          <w:p>
            <w:pPr>
              <w:pStyle w:val="Compact"/>
            </w:pPr>
            <w:r>
              <w:t xml:space="preserve">HTML</w:t>
            </w:r>
          </w:p>
        </w:tc>
        <w:tc>
          <w:tcPr/>
          <w:p>
            <w:pPr>
              <w:pStyle w:val="Compact"/>
            </w:pPr>
            <w:r>
              <w:t xml:space="preserve">Boolean</w:t>
            </w:r>
          </w:p>
        </w:tc>
        <w:tc>
          <w:tcPr/>
          <w:p>
            <w:pPr>
              <w:pStyle w:val="Compact"/>
            </w:pPr>
            <w:r>
              <w:t xml:space="preserve">Alias of WriteHTML.</w:t>
            </w:r>
          </w:p>
        </w:tc>
      </w:tr>
      <w:tr>
        <w:tc>
          <w:tcPr/>
          <w:p>
            <w:pPr>
              <w:pStyle w:val="Compact"/>
            </w:pPr>
            <w:r>
              <w:t xml:space="preserve">WriteHTMLFile</w:t>
            </w:r>
          </w:p>
        </w:tc>
        <w:tc>
          <w:tcPr/>
          <w:p>
            <w:pPr>
              <w:pStyle w:val="Compact"/>
            </w:pPr>
            <w:r>
              <w:t xml:space="preserve">Boolean</w:t>
            </w:r>
          </w:p>
        </w:tc>
        <w:tc>
          <w:tcPr/>
          <w:p>
            <w:pPr>
              <w:pStyle w:val="Compact"/>
            </w:pPr>
            <w:r>
              <w:t xml:space="preserve">Loads and renders HTML from a file path. Returns False when the argument is missing or file loading fails.</w:t>
            </w:r>
          </w:p>
        </w:tc>
      </w:tr>
      <w:tr>
        <w:tc>
          <w:tcPr/>
          <w:p>
            <w:pPr>
              <w:pStyle w:val="Compact"/>
            </w:pPr>
            <w:r>
              <w:t xml:space="preserve">HTMLFile</w:t>
            </w:r>
          </w:p>
        </w:tc>
        <w:tc>
          <w:tcPr/>
          <w:p>
            <w:pPr>
              <w:pStyle w:val="Compact"/>
            </w:pPr>
            <w:r>
              <w:t xml:space="preserve">Boolean</w:t>
            </w:r>
          </w:p>
        </w:tc>
        <w:tc>
          <w:tcPr/>
          <w:p>
            <w:pPr>
              <w:pStyle w:val="Compact"/>
            </w:pPr>
            <w:r>
              <w:t xml:space="preserve">Alias of WriteHTMLFile.</w:t>
            </w:r>
          </w:p>
        </w:tc>
      </w:tr>
      <w:tr>
        <w:tc>
          <w:tcPr/>
          <w:p>
            <w:pPr>
              <w:pStyle w:val="Compact"/>
            </w:pPr>
            <w:r>
              <w:t xml:space="preserve">LoadHTMLFile</w:t>
            </w:r>
          </w:p>
        </w:tc>
        <w:tc>
          <w:tcPr/>
          <w:p>
            <w:pPr>
              <w:pStyle w:val="Compact"/>
            </w:pPr>
            <w:r>
              <w:t xml:space="preserve">Boolean</w:t>
            </w:r>
          </w:p>
        </w:tc>
        <w:tc>
          <w:tcPr/>
          <w:p>
            <w:pPr>
              <w:pStyle w:val="Compact"/>
            </w:pPr>
            <w:r>
              <w:t xml:space="preserve">Alias of WriteHTMLFile.</w:t>
            </w:r>
          </w:p>
        </w:tc>
      </w:tr>
      <w:tr>
        <w:tc>
          <w:tcPr/>
          <w:p>
            <w:pPr>
              <w:pStyle w:val="Compact"/>
            </w:pPr>
            <w:r>
              <w:t xml:space="preserve">GetPageWidth</w:t>
            </w:r>
          </w:p>
        </w:tc>
        <w:tc>
          <w:tcPr/>
          <w:p>
            <w:pPr>
              <w:pStyle w:val="Compact"/>
            </w:pPr>
            <w:r>
              <w:t xml:space="preserve">Double</w:t>
            </w:r>
          </w:p>
        </w:tc>
        <w:tc>
          <w:tcPr/>
          <w:p>
            <w:pPr>
              <w:pStyle w:val="Compact"/>
            </w:pPr>
            <w:r>
              <w:t xml:space="preserve">Returns current page width in the active unit.</w:t>
            </w:r>
          </w:p>
        </w:tc>
      </w:tr>
      <w:tr>
        <w:tc>
          <w:tcPr/>
          <w:p>
            <w:pPr>
              <w:pStyle w:val="Compact"/>
            </w:pPr>
            <w:r>
              <w:t xml:space="preserve">GetPageHeight</w:t>
            </w:r>
          </w:p>
        </w:tc>
        <w:tc>
          <w:tcPr/>
          <w:p>
            <w:pPr>
              <w:pStyle w:val="Compact"/>
            </w:pPr>
            <w:r>
              <w:t xml:space="preserve">Double</w:t>
            </w:r>
          </w:p>
        </w:tc>
        <w:tc>
          <w:tcPr/>
          <w:p>
            <w:pPr>
              <w:pStyle w:val="Compact"/>
            </w:pPr>
            <w:r>
              <w:t xml:space="preserve">Returns current page height in the active unit.</w:t>
            </w:r>
          </w:p>
        </w:tc>
      </w:tr>
      <w:tr>
        <w:tc>
          <w:tcPr/>
          <w:p>
            <w:pPr>
              <w:pStyle w:val="Compact"/>
            </w:pPr>
            <w:r>
              <w:t xml:space="preserve">GetStringWidth</w:t>
            </w:r>
          </w:p>
        </w:tc>
        <w:tc>
          <w:tcPr/>
          <w:p>
            <w:pPr>
              <w:pStyle w:val="Compact"/>
            </w:pPr>
            <w:r>
              <w:t xml:space="preserve">Double</w:t>
            </w:r>
          </w:p>
        </w:tc>
        <w:tc>
          <w:tcPr/>
          <w:p>
            <w:pPr>
              <w:pStyle w:val="Compact"/>
            </w:pPr>
            <w:r>
              <w:t xml:space="preserve">Measures rendered width for a text string in the active font settings.</w:t>
            </w:r>
          </w:p>
        </w:tc>
      </w:tr>
      <w:tr>
        <w:tc>
          <w:tcPr/>
          <w:p>
            <w:pPr>
              <w:pStyle w:val="Compact"/>
            </w:pPr>
            <w:r>
              <w:t xml:space="preserve">CreateDocument</w:t>
            </w:r>
          </w:p>
        </w:tc>
        <w:tc>
          <w:tcPr/>
          <w:p>
            <w:pPr>
              <w:pStyle w:val="Compact"/>
            </w:pPr>
            <w:r>
              <w:t xml:space="preserve">Object (PdfDocument)</w:t>
            </w:r>
          </w:p>
        </w:tc>
        <w:tc>
          <w:tcPr/>
          <w:p>
            <w:pPr>
              <w:pStyle w:val="Compact"/>
            </w:pPr>
            <w:r>
              <w:rPr>
                <w:b/>
                <w:bCs/>
              </w:rPr>
              <w:t xml:space="preserve">[Persits.Pdf]</w:t>
            </w:r>
            <w:r>
              <w:t xml:space="preserve"> </w:t>
            </w:r>
            <w:r>
              <w:t xml:space="preserve">Creates a new PDF document and returns a PdfDocument sub-object.</w:t>
            </w:r>
          </w:p>
        </w:tc>
      </w:tr>
      <w:tr>
        <w:tc>
          <w:tcPr/>
          <w:p>
            <w:pPr>
              <w:pStyle w:val="Compact"/>
            </w:pPr>
            <w:r>
              <w:t xml:space="preserve">OpenDocument</w:t>
            </w:r>
          </w:p>
        </w:tc>
        <w:tc>
          <w:tcPr/>
          <w:p>
            <w:pPr>
              <w:pStyle w:val="Compact"/>
            </w:pPr>
            <w:r>
              <w:t xml:space="preserve">Object (PdfDocument)</w:t>
            </w:r>
          </w:p>
        </w:tc>
        <w:tc>
          <w:tcPr/>
          <w:p>
            <w:pPr>
              <w:pStyle w:val="Compact"/>
            </w:pPr>
            <w:r>
              <w:rPr>
                <w:b/>
                <w:bCs/>
              </w:rPr>
              <w:t xml:space="preserve">[Persits.Pdf]</w:t>
            </w:r>
            <w:r>
              <w:t xml:space="preserve"> </w:t>
            </w:r>
            <w:r>
              <w:t xml:space="preserve">Opens an existing PDF file and returns a PdfDocument sub-object.</w:t>
            </w:r>
          </w:p>
        </w:tc>
      </w:tr>
      <w:tr>
        <w:tc>
          <w:tcPr/>
          <w:p>
            <w:pPr>
              <w:pStyle w:val="Compact"/>
            </w:pPr>
            <w:r>
              <w:t xml:space="preserve">Fonts</w:t>
            </w:r>
          </w:p>
        </w:tc>
        <w:tc>
          <w:tcPr/>
          <w:p>
            <w:pPr>
              <w:pStyle w:val="Compact"/>
            </w:pPr>
            <w:r>
              <w:t xml:space="preserve">Object (PdfFont)</w:t>
            </w:r>
          </w:p>
        </w:tc>
        <w:tc>
          <w:tcPr/>
          <w:p>
            <w:pPr>
              <w:pStyle w:val="Compact"/>
            </w:pPr>
            <w:r>
              <w:rPr>
                <w:b/>
                <w:bCs/>
              </w:rPr>
              <w:t xml:space="preserve">[Persits.Pdf]</w:t>
            </w:r>
            <w:r>
              <w:t xml:space="preserve"> </w:t>
            </w:r>
            <w:r>
              <w:t xml:space="preserve">Loads a font by name and returns a PdfFont sub-object.</w:t>
            </w:r>
          </w:p>
        </w:tc>
      </w:tr>
    </w:tbl>
    <w:bookmarkEnd w:id="4395"/>
    <w:bookmarkStart w:id="4402" w:name="persits.pdf-sub-object-methods"/>
    <w:p>
      <w:pPr>
        <w:pStyle w:val="Heading2"/>
      </w:pPr>
      <w:r>
        <w:t xml:space="preserve">Persits.Pdf Sub-Object Methods</w:t>
      </w:r>
    </w:p>
    <w:p>
      <w:pPr>
        <w:pStyle w:val="FirstParagraph"/>
      </w:pPr>
      <w:r>
        <w:t xml:space="preserve">The following methods are available on sub-objects returned by Persits.Pdf methods.</w:t>
      </w:r>
    </w:p>
    <w:bookmarkStart w:id="4396" w:name="pdfdocument-methods"/>
    <w:p>
      <w:pPr>
        <w:pStyle w:val="Heading3"/>
      </w:pPr>
      <w:r>
        <w:t xml:space="preserve">PdfDocument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Save</w:t>
            </w:r>
          </w:p>
        </w:tc>
        <w:tc>
          <w:tcPr/>
          <w:p>
            <w:pPr>
              <w:pStyle w:val="Compact"/>
            </w:pPr>
            <w:r>
              <w:t xml:space="preserve">Boolean</w:t>
            </w:r>
          </w:p>
        </w:tc>
        <w:tc>
          <w:tcPr/>
          <w:p>
            <w:pPr>
              <w:pStyle w:val="Compact"/>
            </w:pPr>
            <w:r>
              <w:rPr>
                <w:b/>
                <w:bCs/>
              </w:rPr>
              <w:t xml:space="preserve">[Persits.Pdf]</w:t>
            </w:r>
            <w:r>
              <w:t xml:space="preserve"> </w:t>
            </w:r>
            <w:r>
              <w:t xml:space="preserve">Saves the PDF document to a file path.</w:t>
            </w:r>
          </w:p>
        </w:tc>
      </w:tr>
      <w:tr>
        <w:tc>
          <w:tcPr/>
          <w:p>
            <w:pPr>
              <w:pStyle w:val="Compact"/>
            </w:pPr>
            <w:r>
              <w:t xml:space="preserve">SendBinary</w:t>
            </w:r>
          </w:p>
        </w:tc>
        <w:tc>
          <w:tcPr/>
          <w:p>
            <w:pPr>
              <w:pStyle w:val="Compact"/>
            </w:pPr>
            <w:r>
              <w:t xml:space="preserve">String (binary)</w:t>
            </w:r>
          </w:p>
        </w:tc>
        <w:tc>
          <w:tcPr/>
          <w:p>
            <w:pPr>
              <w:pStyle w:val="Compact"/>
            </w:pPr>
            <w:r>
              <w:rPr>
                <w:b/>
                <w:bCs/>
              </w:rPr>
              <w:t xml:space="preserve">[Persits.Pdf]</w:t>
            </w:r>
            <w:r>
              <w:t xml:space="preserve"> </w:t>
            </w:r>
            <w:r>
              <w:t xml:space="preserve">Returns the PDF as a binary string for Response.BinaryWrite.</w:t>
            </w:r>
          </w:p>
        </w:tc>
      </w:tr>
      <w:tr>
        <w:tc>
          <w:tcPr/>
          <w:p>
            <w:pPr>
              <w:pStyle w:val="Compact"/>
            </w:pPr>
            <w:r>
              <w:t xml:space="preserve">SendBinaryData</w:t>
            </w:r>
          </w:p>
        </w:tc>
        <w:tc>
          <w:tcPr/>
          <w:p>
            <w:pPr>
              <w:pStyle w:val="Compact"/>
            </w:pPr>
            <w:r>
              <w:t xml:space="preserve">String (binary)</w:t>
            </w:r>
          </w:p>
        </w:tc>
        <w:tc>
          <w:tcPr/>
          <w:p>
            <w:pPr>
              <w:pStyle w:val="Compact"/>
            </w:pPr>
            <w:r>
              <w:rPr>
                <w:b/>
                <w:bCs/>
              </w:rPr>
              <w:t xml:space="preserve">[Persits.Pdf]</w:t>
            </w:r>
            <w:r>
              <w:t xml:space="preserve"> </w:t>
            </w:r>
            <w:r>
              <w:t xml:space="preserve">Alias of SendBinary.</w:t>
            </w:r>
          </w:p>
        </w:tc>
      </w:tr>
      <w:tr>
        <w:tc>
          <w:tcPr/>
          <w:p>
            <w:pPr>
              <w:pStyle w:val="Compact"/>
            </w:pPr>
            <w:r>
              <w:t xml:space="preserve">ImportFromUrl</w:t>
            </w:r>
          </w:p>
        </w:tc>
        <w:tc>
          <w:tcPr/>
          <w:p>
            <w:pPr>
              <w:pStyle w:val="Compact"/>
            </w:pPr>
            <w:r>
              <w:t xml:space="preserve">Boolean</w:t>
            </w:r>
          </w:p>
        </w:tc>
        <w:tc>
          <w:tcPr/>
          <w:p>
            <w:pPr>
              <w:pStyle w:val="Compact"/>
            </w:pPr>
            <w:r>
              <w:rPr>
                <w:b/>
                <w:bCs/>
              </w:rPr>
              <w:t xml:space="preserve">[Persits.Pdf]</w:t>
            </w:r>
            <w:r>
              <w:t xml:space="preserve"> </w:t>
            </w:r>
            <w:r>
              <w:t xml:space="preserve">Fetches a URL and renders its HTML content into the PDF. Routes to the existing WriteHTML engine.</w:t>
            </w:r>
          </w:p>
        </w:tc>
      </w:tr>
      <w:tr>
        <w:tc>
          <w:tcPr/>
          <w:p>
            <w:pPr>
              <w:pStyle w:val="Compact"/>
            </w:pPr>
            <w:r>
              <w:t xml:space="preserve">Close</w:t>
            </w:r>
          </w:p>
        </w:tc>
        <w:tc>
          <w:tcPr/>
          <w:p>
            <w:pPr>
              <w:pStyle w:val="Compact"/>
            </w:pPr>
            <w:r>
              <w:t xml:space="preserve">Boolean</w:t>
            </w:r>
          </w:p>
        </w:tc>
        <w:tc>
          <w:tcPr/>
          <w:p>
            <w:pPr>
              <w:pStyle w:val="Compact"/>
            </w:pPr>
            <w:r>
              <w:rPr>
                <w:b/>
                <w:bCs/>
              </w:rPr>
              <w:t xml:space="preserve">[Persits.Pdf]</w:t>
            </w:r>
            <w:r>
              <w:t xml:space="preserve"> </w:t>
            </w:r>
            <w:r>
              <w:t xml:space="preserve">Closes the document.</w:t>
            </w:r>
          </w:p>
        </w:tc>
      </w:tr>
    </w:tbl>
    <w:bookmarkEnd w:id="4396"/>
    <w:bookmarkStart w:id="4397" w:name="pdfdocument-properties"/>
    <w:p>
      <w:pPr>
        <w:pStyle w:val="Heading3"/>
      </w:pPr>
      <w:r>
        <w:t xml:space="preserve">PdfDocument Properties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Property</w:t>
            </w:r>
          </w:p>
        </w:tc>
        <w:tc>
          <w:tcPr/>
          <w:p>
            <w:pPr>
              <w:pStyle w:val="Compact"/>
            </w:pPr>
            <w:r>
              <w:t xml:space="preserve">Type</w:t>
            </w:r>
          </w:p>
        </w:tc>
        <w:tc>
          <w:tcPr/>
          <w:p>
            <w:pPr>
              <w:pStyle w:val="Compact"/>
            </w:pPr>
            <w:r>
              <w:t xml:space="preserve">Description</w:t>
            </w:r>
          </w:p>
        </w:tc>
      </w:tr>
      <w:tr>
        <w:tc>
          <w:tcPr/>
          <w:p>
            <w:pPr>
              <w:pStyle w:val="Compact"/>
            </w:pPr>
            <w:r>
              <w:t xml:space="preserve">Pages</w:t>
            </w:r>
          </w:p>
        </w:tc>
        <w:tc>
          <w:tcPr/>
          <w:p>
            <w:pPr>
              <w:pStyle w:val="Compact"/>
            </w:pPr>
            <w:r>
              <w:t xml:space="preserve">Object (Pages collection)</w:t>
            </w:r>
          </w:p>
        </w:tc>
        <w:tc>
          <w:tcPr/>
          <w:p>
            <w:pPr>
              <w:pStyle w:val="Compact"/>
            </w:pPr>
            <w:r>
              <w:rPr>
                <w:b/>
                <w:bCs/>
              </w:rPr>
              <w:t xml:space="preserve">[Persits.Pdf]</w:t>
            </w:r>
            <w:r>
              <w:t xml:space="preserve"> </w:t>
            </w:r>
            <w:r>
              <w:t xml:space="preserve">Returns a Pages collection object. Call</w:t>
            </w:r>
            <w:r>
              <w:t xml:space="preserve"> </w:t>
            </w:r>
            <w:r>
              <w:rPr>
                <w:rStyle w:val="VerbatimChar"/>
              </w:rPr>
              <w:t xml:space="preserve">.Add()</w:t>
            </w:r>
            <w:r>
              <w:t xml:space="preserve"> </w:t>
            </w:r>
            <w:r>
              <w:t xml:space="preserve">to create a new PdfPage.</w:t>
            </w:r>
          </w:p>
        </w:tc>
      </w:tr>
      <w:tr>
        <w:tc>
          <w:tcPr/>
          <w:p>
            <w:pPr>
              <w:pStyle w:val="Compact"/>
            </w:pPr>
            <w:r>
              <w:t xml:space="preserve">Open</w:t>
            </w:r>
          </w:p>
        </w:tc>
        <w:tc>
          <w:tcPr/>
          <w:p>
            <w:pPr>
              <w:pStyle w:val="Compact"/>
            </w:pPr>
            <w:r>
              <w:t xml:space="preserve">Boolean</w:t>
            </w:r>
          </w:p>
        </w:tc>
        <w:tc>
          <w:tcPr/>
          <w:p>
            <w:pPr>
              <w:pStyle w:val="Compact"/>
            </w:pPr>
            <w:r>
              <w:rPr>
                <w:b/>
                <w:bCs/>
              </w:rPr>
              <w:t xml:space="preserve">[Persits.Pdf]</w:t>
            </w:r>
            <w:r>
              <w:t xml:space="preserve"> </w:t>
            </w:r>
            <w:r>
              <w:t xml:space="preserve">Indicates whether the document is currently open.</w:t>
            </w:r>
          </w:p>
        </w:tc>
      </w:tr>
    </w:tbl>
    <w:bookmarkEnd w:id="4397"/>
    <w:bookmarkStart w:id="4398" w:name="pages-collection-methods"/>
    <w:p>
      <w:pPr>
        <w:pStyle w:val="Heading3"/>
      </w:pPr>
      <w:r>
        <w:t xml:space="preserve">Pages Collection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Add</w:t>
            </w:r>
          </w:p>
        </w:tc>
        <w:tc>
          <w:tcPr/>
          <w:p>
            <w:pPr>
              <w:pStyle w:val="Compact"/>
            </w:pPr>
            <w:r>
              <w:t xml:space="preserve">Object (PdfPage)</w:t>
            </w:r>
          </w:p>
        </w:tc>
        <w:tc>
          <w:tcPr/>
          <w:p>
            <w:pPr>
              <w:pStyle w:val="Compact"/>
            </w:pPr>
            <w:r>
              <w:rPr>
                <w:b/>
                <w:bCs/>
              </w:rPr>
              <w:t xml:space="preserve">[Persits.Pdf]</w:t>
            </w:r>
            <w:r>
              <w:t xml:space="preserve"> </w:t>
            </w:r>
            <w:r>
              <w:t xml:space="preserve">Adds a new page to the document and returns a PdfPage object.</w:t>
            </w:r>
          </w:p>
        </w:tc>
      </w:tr>
    </w:tbl>
    <w:bookmarkEnd w:id="4398"/>
    <w:bookmarkStart w:id="4399" w:name="pdfpage-properties"/>
    <w:p>
      <w:pPr>
        <w:pStyle w:val="Heading3"/>
      </w:pPr>
      <w:r>
        <w:t xml:space="preserve">PdfPage Properties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Property</w:t>
            </w:r>
          </w:p>
        </w:tc>
        <w:tc>
          <w:tcPr/>
          <w:p>
            <w:pPr>
              <w:pStyle w:val="Compact"/>
            </w:pPr>
            <w:r>
              <w:t xml:space="preserve">Type</w:t>
            </w:r>
          </w:p>
        </w:tc>
        <w:tc>
          <w:tcPr/>
          <w:p>
            <w:pPr>
              <w:pStyle w:val="Compact"/>
            </w:pPr>
            <w:r>
              <w:t xml:space="preserve">Description</w:t>
            </w:r>
          </w:p>
        </w:tc>
      </w:tr>
      <w:tr>
        <w:tc>
          <w:tcPr/>
          <w:p>
            <w:pPr>
              <w:pStyle w:val="Compact"/>
            </w:pPr>
            <w:r>
              <w:t xml:space="preserve">Canvas</w:t>
            </w:r>
          </w:p>
        </w:tc>
        <w:tc>
          <w:tcPr/>
          <w:p>
            <w:pPr>
              <w:pStyle w:val="Compact"/>
            </w:pPr>
            <w:r>
              <w:t xml:space="preserve">Object (PdfCanvas)</w:t>
            </w:r>
          </w:p>
        </w:tc>
        <w:tc>
          <w:tcPr/>
          <w:p>
            <w:pPr>
              <w:pStyle w:val="Compact"/>
            </w:pPr>
            <w:r>
              <w:rPr>
                <w:b/>
                <w:bCs/>
              </w:rPr>
              <w:t xml:space="preserve">[Persits.Pdf]</w:t>
            </w:r>
            <w:r>
              <w:t xml:space="preserve"> </w:t>
            </w:r>
            <w:r>
              <w:t xml:space="preserve">Returns a PdfCanvas drawing surface for this page.</w:t>
            </w:r>
          </w:p>
        </w:tc>
      </w:tr>
      <w:tr>
        <w:tc>
          <w:tcPr/>
          <w:p>
            <w:pPr>
              <w:pStyle w:val="Compact"/>
            </w:pPr>
            <w:r>
              <w:t xml:space="preserve">Width</w:t>
            </w:r>
          </w:p>
        </w:tc>
        <w:tc>
          <w:tcPr/>
          <w:p>
            <w:pPr>
              <w:pStyle w:val="Compact"/>
            </w:pPr>
            <w:r>
              <w:t xml:space="preserve">Double</w:t>
            </w:r>
          </w:p>
        </w:tc>
        <w:tc>
          <w:tcPr/>
          <w:p>
            <w:pPr>
              <w:pStyle w:val="Compact"/>
            </w:pPr>
            <w:r>
              <w:rPr>
                <w:b/>
                <w:bCs/>
              </w:rPr>
              <w:t xml:space="preserve">[Persits.Pdf]</w:t>
            </w:r>
            <w:r>
              <w:t xml:space="preserve"> </w:t>
            </w:r>
            <w:r>
              <w:t xml:space="preserve">Returns page width in the current unit.</w:t>
            </w:r>
          </w:p>
        </w:tc>
      </w:tr>
      <w:tr>
        <w:tc>
          <w:tcPr/>
          <w:p>
            <w:pPr>
              <w:pStyle w:val="Compact"/>
            </w:pPr>
            <w:r>
              <w:t xml:space="preserve">Height</w:t>
            </w:r>
          </w:p>
        </w:tc>
        <w:tc>
          <w:tcPr/>
          <w:p>
            <w:pPr>
              <w:pStyle w:val="Compact"/>
            </w:pPr>
            <w:r>
              <w:t xml:space="preserve">Double</w:t>
            </w:r>
          </w:p>
        </w:tc>
        <w:tc>
          <w:tcPr/>
          <w:p>
            <w:pPr>
              <w:pStyle w:val="Compact"/>
            </w:pPr>
            <w:r>
              <w:rPr>
                <w:b/>
                <w:bCs/>
              </w:rPr>
              <w:t xml:space="preserve">[Persits.Pdf]</w:t>
            </w:r>
            <w:r>
              <w:t xml:space="preserve"> </w:t>
            </w:r>
            <w:r>
              <w:t xml:space="preserve">Returns page height in the current unit.</w:t>
            </w:r>
          </w:p>
        </w:tc>
      </w:tr>
      <w:tr>
        <w:tc>
          <w:tcPr/>
          <w:p>
            <w:pPr>
              <w:pStyle w:val="Compact"/>
            </w:pPr>
            <w:r>
              <w:t xml:space="preserve">W</w:t>
            </w:r>
          </w:p>
        </w:tc>
        <w:tc>
          <w:tcPr/>
          <w:p>
            <w:pPr>
              <w:pStyle w:val="Compact"/>
            </w:pPr>
            <w:r>
              <w:t xml:space="preserve">Double</w:t>
            </w:r>
          </w:p>
        </w:tc>
        <w:tc>
          <w:tcPr/>
          <w:p>
            <w:pPr>
              <w:pStyle w:val="Compact"/>
            </w:pPr>
            <w:r>
              <w:rPr>
                <w:b/>
                <w:bCs/>
              </w:rPr>
              <w:t xml:space="preserve">[Persits.Pdf]</w:t>
            </w:r>
            <w:r>
              <w:t xml:space="preserve"> </w:t>
            </w:r>
            <w:r>
              <w:t xml:space="preserve">Alias of Width.</w:t>
            </w:r>
          </w:p>
        </w:tc>
      </w:tr>
      <w:tr>
        <w:tc>
          <w:tcPr/>
          <w:p>
            <w:pPr>
              <w:pStyle w:val="Compact"/>
            </w:pPr>
            <w:r>
              <w:t xml:space="preserve">H</w:t>
            </w:r>
          </w:p>
        </w:tc>
        <w:tc>
          <w:tcPr/>
          <w:p>
            <w:pPr>
              <w:pStyle w:val="Compact"/>
            </w:pPr>
            <w:r>
              <w:t xml:space="preserve">Double</w:t>
            </w:r>
          </w:p>
        </w:tc>
        <w:tc>
          <w:tcPr/>
          <w:p>
            <w:pPr>
              <w:pStyle w:val="Compact"/>
            </w:pPr>
            <w:r>
              <w:rPr>
                <w:b/>
                <w:bCs/>
              </w:rPr>
              <w:t xml:space="preserve">[Persits.Pdf]</w:t>
            </w:r>
            <w:r>
              <w:t xml:space="preserve"> </w:t>
            </w:r>
            <w:r>
              <w:t xml:space="preserve">Alias of Height.</w:t>
            </w:r>
          </w:p>
        </w:tc>
      </w:tr>
      <w:tr>
        <w:tc>
          <w:tcPr/>
          <w:p>
            <w:pPr>
              <w:pStyle w:val="Compact"/>
            </w:pPr>
            <w:r>
              <w:t xml:space="preserve">Rotation</w:t>
            </w:r>
          </w:p>
        </w:tc>
        <w:tc>
          <w:tcPr/>
          <w:p>
            <w:pPr>
              <w:pStyle w:val="Compact"/>
            </w:pPr>
            <w:r>
              <w:t xml:space="preserve">Integer</w:t>
            </w:r>
          </w:p>
        </w:tc>
        <w:tc>
          <w:tcPr/>
          <w:p>
            <w:pPr>
              <w:pStyle w:val="Compact"/>
            </w:pPr>
            <w:r>
              <w:rPr>
                <w:b/>
                <w:bCs/>
              </w:rPr>
              <w:t xml:space="preserve">[Persits.Pdf]</w:t>
            </w:r>
            <w:r>
              <w:t xml:space="preserve"> </w:t>
            </w:r>
            <w:r>
              <w:t xml:space="preserve">Returns page rotation in degrees (always 0).</w:t>
            </w:r>
          </w:p>
        </w:tc>
      </w:tr>
      <w:tr>
        <w:tc>
          <w:tcPr/>
          <w:p>
            <w:pPr>
              <w:pStyle w:val="Compact"/>
            </w:pPr>
            <w:r>
              <w:t xml:space="preserve">PageNumber</w:t>
            </w:r>
          </w:p>
        </w:tc>
        <w:tc>
          <w:tcPr/>
          <w:p>
            <w:pPr>
              <w:pStyle w:val="Compact"/>
            </w:pPr>
            <w:r>
              <w:t xml:space="preserve">Integer</w:t>
            </w:r>
          </w:p>
        </w:tc>
        <w:tc>
          <w:tcPr/>
          <w:p>
            <w:pPr>
              <w:pStyle w:val="Compact"/>
            </w:pPr>
            <w:r>
              <w:rPr>
                <w:b/>
                <w:bCs/>
              </w:rPr>
              <w:t xml:space="preserve">[Persits.Pdf]</w:t>
            </w:r>
            <w:r>
              <w:t xml:space="preserve"> </w:t>
            </w:r>
            <w:r>
              <w:t xml:space="preserve">Returns the 1-based page number.</w:t>
            </w:r>
          </w:p>
        </w:tc>
      </w:tr>
    </w:tbl>
    <w:bookmarkEnd w:id="4399"/>
    <w:bookmarkStart w:id="4400" w:name="pdfcanvas-methods"/>
    <w:p>
      <w:pPr>
        <w:pStyle w:val="Heading3"/>
      </w:pPr>
      <w:r>
        <w:t xml:space="preserve">PdfCanvas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DrawText</w:t>
            </w:r>
          </w:p>
        </w:tc>
        <w:tc>
          <w:tcPr/>
          <w:p>
            <w:pPr>
              <w:pStyle w:val="Compact"/>
            </w:pPr>
            <w:r>
              <w:t xml:space="preserve">Boolean</w:t>
            </w:r>
          </w:p>
        </w:tc>
        <w:tc>
          <w:tcPr/>
          <w:p>
            <w:pPr>
              <w:pStyle w:val="Compact"/>
            </w:pPr>
            <w:r>
              <w:rPr>
                <w:b/>
                <w:bCs/>
              </w:rPr>
              <w:t xml:space="preserve">[Persits.Pdf]</w:t>
            </w:r>
            <w:r>
              <w:t xml:space="preserve"> </w:t>
            </w:r>
            <w:r>
              <w:t xml:space="preserve">Draws text on the canvas using a param string. Supports</w:t>
            </w:r>
            <w:r>
              <w:t xml:space="preserve"> </w:t>
            </w:r>
            <w:r>
              <w:rPr>
                <w:rStyle w:val="VerbatimChar"/>
              </w:rPr>
              <w:t xml:space="preserve">x</w:t>
            </w:r>
            <w:r>
              <w:t xml:space="preserve">,</w:t>
            </w:r>
            <w:r>
              <w:t xml:space="preserve"> </w:t>
            </w:r>
            <w:r>
              <w:rPr>
                <w:rStyle w:val="VerbatimChar"/>
              </w:rPr>
              <w:t xml:space="preserve">y</w:t>
            </w:r>
            <w:r>
              <w:t xml:space="preserve">,</w:t>
            </w:r>
            <w:r>
              <w:t xml:space="preserve"> </w:t>
            </w:r>
            <w:r>
              <w:rPr>
                <w:rStyle w:val="VerbatimChar"/>
              </w:rPr>
              <w:t xml:space="preserve">width</w:t>
            </w:r>
            <w:r>
              <w:t xml:space="preserve">,</w:t>
            </w:r>
            <w:r>
              <w:t xml:space="preserve"> </w:t>
            </w:r>
            <w:r>
              <w:rPr>
                <w:rStyle w:val="VerbatimChar"/>
              </w:rPr>
              <w:t xml:space="preserve">alignment</w:t>
            </w:r>
            <w:r>
              <w:t xml:space="preserve">,</w:t>
            </w:r>
            <w:r>
              <w:t xml:space="preserve"> </w:t>
            </w:r>
            <w:r>
              <w:rPr>
                <w:rStyle w:val="VerbatimChar"/>
              </w:rPr>
              <w:t xml:space="preserve">size</w:t>
            </w:r>
            <w:r>
              <w:t xml:space="preserve">,</w:t>
            </w:r>
            <w:r>
              <w:t xml:space="preserve"> </w:t>
            </w:r>
            <w:r>
              <w:rPr>
                <w:rStyle w:val="VerbatimChar"/>
              </w:rPr>
              <w:t xml:space="preserve">color</w:t>
            </w:r>
            <w:r>
              <w:t xml:space="preserve"> </w:t>
            </w:r>
            <w:r>
              <w:t xml:space="preserve">keys.</w:t>
            </w:r>
          </w:p>
        </w:tc>
      </w:tr>
      <w:tr>
        <w:tc>
          <w:tcPr/>
          <w:p>
            <w:pPr>
              <w:pStyle w:val="Compact"/>
            </w:pPr>
            <w:r>
              <w:t xml:space="preserve">DrawLine</w:t>
            </w:r>
          </w:p>
        </w:tc>
        <w:tc>
          <w:tcPr/>
          <w:p>
            <w:pPr>
              <w:pStyle w:val="Compact"/>
            </w:pPr>
            <w:r>
              <w:t xml:space="preserve">Boolean</w:t>
            </w:r>
          </w:p>
        </w:tc>
        <w:tc>
          <w:tcPr/>
          <w:p>
            <w:pPr>
              <w:pStyle w:val="Compact"/>
            </w:pPr>
            <w:r>
              <w:rPr>
                <w:b/>
                <w:bCs/>
              </w:rPr>
              <w:t xml:space="preserve">[Persits.Pdf]</w:t>
            </w:r>
            <w:r>
              <w:t xml:space="preserve"> </w:t>
            </w:r>
            <w:r>
              <w:t xml:space="preserve">Draws a line using a param string. Supports</w:t>
            </w:r>
            <w:r>
              <w:t xml:space="preserve"> </w:t>
            </w:r>
            <w:r>
              <w:rPr>
                <w:rStyle w:val="VerbatimChar"/>
              </w:rPr>
              <w:t xml:space="preserve">x</w:t>
            </w:r>
            <w:r>
              <w:t xml:space="preserve">,</w:t>
            </w:r>
            <w:r>
              <w:t xml:space="preserve"> </w:t>
            </w:r>
            <w:r>
              <w:rPr>
                <w:rStyle w:val="VerbatimChar"/>
              </w:rPr>
              <w:t xml:space="preserve">y</w:t>
            </w:r>
            <w:r>
              <w:t xml:space="preserve">,</w:t>
            </w:r>
            <w:r>
              <w:t xml:space="preserve"> </w:t>
            </w:r>
            <w:r>
              <w:rPr>
                <w:rStyle w:val="VerbatimChar"/>
              </w:rPr>
              <w:t xml:space="preserve">x1</w:t>
            </w:r>
            <w:r>
              <w:t xml:space="preserve">,</w:t>
            </w:r>
            <w:r>
              <w:t xml:space="preserve"> </w:t>
            </w:r>
            <w:r>
              <w:rPr>
                <w:rStyle w:val="VerbatimChar"/>
              </w:rPr>
              <w:t xml:space="preserve">y1</w:t>
            </w:r>
            <w:r>
              <w:t xml:space="preserve">,</w:t>
            </w:r>
            <w:r>
              <w:t xml:space="preserve"> </w:t>
            </w:r>
            <w:r>
              <w:rPr>
                <w:rStyle w:val="VerbatimChar"/>
              </w:rPr>
              <w:t xml:space="preserve">color</w:t>
            </w:r>
            <w:r>
              <w:t xml:space="preserve">,</w:t>
            </w:r>
            <w:r>
              <w:t xml:space="preserve"> </w:t>
            </w:r>
            <w:r>
              <w:rPr>
                <w:rStyle w:val="VerbatimChar"/>
              </w:rPr>
              <w:t xml:space="preserve">width</w:t>
            </w:r>
            <w:r>
              <w:t xml:space="preserve"> </w:t>
            </w:r>
            <w:r>
              <w:t xml:space="preserve">keys.</w:t>
            </w:r>
          </w:p>
        </w:tc>
      </w:tr>
      <w:tr>
        <w:tc>
          <w:tcPr/>
          <w:p>
            <w:pPr>
              <w:pStyle w:val="Compact"/>
            </w:pPr>
            <w:r>
              <w:t xml:space="preserve">DrawBox</w:t>
            </w:r>
          </w:p>
        </w:tc>
        <w:tc>
          <w:tcPr/>
          <w:p>
            <w:pPr>
              <w:pStyle w:val="Compact"/>
            </w:pPr>
            <w:r>
              <w:t xml:space="preserve">Boolean</w:t>
            </w:r>
          </w:p>
        </w:tc>
        <w:tc>
          <w:tcPr/>
          <w:p>
            <w:pPr>
              <w:pStyle w:val="Compact"/>
            </w:pPr>
            <w:r>
              <w:rPr>
                <w:b/>
                <w:bCs/>
              </w:rPr>
              <w:t xml:space="preserve">[Persits.Pdf]</w:t>
            </w:r>
            <w:r>
              <w:t xml:space="preserve"> </w:t>
            </w:r>
            <w:r>
              <w:t xml:space="preserve">Draws a rectangle using a param string. Supports</w:t>
            </w:r>
            <w:r>
              <w:t xml:space="preserve"> </w:t>
            </w:r>
            <w:r>
              <w:rPr>
                <w:rStyle w:val="VerbatimChar"/>
              </w:rPr>
              <w:t xml:space="preserve">left</w:t>
            </w:r>
            <w:r>
              <w:t xml:space="preserve">,</w:t>
            </w:r>
            <w:r>
              <w:t xml:space="preserve"> </w:t>
            </w:r>
            <w:r>
              <w:rPr>
                <w:rStyle w:val="VerbatimChar"/>
              </w:rPr>
              <w:t xml:space="preserve">top</w:t>
            </w:r>
            <w:r>
              <w:t xml:space="preserve">,</w:t>
            </w:r>
            <w:r>
              <w:t xml:space="preserve"> </w:t>
            </w:r>
            <w:r>
              <w:rPr>
                <w:rStyle w:val="VerbatimChar"/>
              </w:rPr>
              <w:t xml:space="preserve">right</w:t>
            </w:r>
            <w:r>
              <w:t xml:space="preserve">,</w:t>
            </w:r>
            <w:r>
              <w:t xml:space="preserve"> </w:t>
            </w:r>
            <w:r>
              <w:rPr>
                <w:rStyle w:val="VerbatimChar"/>
              </w:rPr>
              <w:t xml:space="preserve">bottom</w:t>
            </w:r>
            <w:r>
              <w:t xml:space="preserve">,</w:t>
            </w:r>
            <w:r>
              <w:t xml:space="preserve"> </w:t>
            </w:r>
            <w:r>
              <w:rPr>
                <w:rStyle w:val="VerbatimChar"/>
              </w:rPr>
              <w:t xml:space="preserve">color</w:t>
            </w:r>
            <w:r>
              <w:t xml:space="preserve">,</w:t>
            </w:r>
            <w:r>
              <w:t xml:space="preserve"> </w:t>
            </w:r>
            <w:r>
              <w:rPr>
                <w:rStyle w:val="VerbatimChar"/>
              </w:rPr>
              <w:t xml:space="preserve">width</w:t>
            </w:r>
            <w:r>
              <w:t xml:space="preserve"> </w:t>
            </w:r>
            <w:r>
              <w:t xml:space="preserve">keys.</w:t>
            </w:r>
          </w:p>
        </w:tc>
      </w:tr>
    </w:tbl>
    <w:bookmarkEnd w:id="4400"/>
    <w:bookmarkStart w:id="4401" w:name="pdffont-properties"/>
    <w:p>
      <w:pPr>
        <w:pStyle w:val="Heading3"/>
      </w:pPr>
      <w:r>
        <w:t xml:space="preserve">PdfFont Properties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Property</w:t>
            </w:r>
          </w:p>
        </w:tc>
        <w:tc>
          <w:tcPr/>
          <w:p>
            <w:pPr>
              <w:pStyle w:val="Compact"/>
            </w:pPr>
            <w:r>
              <w:t xml:space="preserve">Type</w:t>
            </w:r>
          </w:p>
        </w:tc>
        <w:tc>
          <w:tcPr/>
          <w:p>
            <w:pPr>
              <w:pStyle w:val="Compact"/>
            </w:pPr>
            <w:r>
              <w:t xml:space="preserve">Description</w:t>
            </w:r>
          </w:p>
        </w:tc>
      </w:tr>
      <w:tr>
        <w:tc>
          <w:tcPr/>
          <w:p>
            <w:pPr>
              <w:pStyle w:val="Compact"/>
            </w:pPr>
            <w:r>
              <w:t xml:space="preserve">Name</w:t>
            </w:r>
          </w:p>
        </w:tc>
        <w:tc>
          <w:tcPr/>
          <w:p>
            <w:pPr>
              <w:pStyle w:val="Compact"/>
            </w:pPr>
            <w:r>
              <w:t xml:space="preserve">String</w:t>
            </w:r>
          </w:p>
        </w:tc>
        <w:tc>
          <w:tcPr/>
          <w:p>
            <w:pPr>
              <w:pStyle w:val="Compact"/>
            </w:pPr>
            <w:r>
              <w:rPr>
                <w:b/>
                <w:bCs/>
              </w:rPr>
              <w:t xml:space="preserve">[Persits.Pdf]</w:t>
            </w:r>
            <w:r>
              <w:t xml:space="preserve"> </w:t>
            </w:r>
            <w:r>
              <w:t xml:space="preserve">Returns the original font name used for loading.</w:t>
            </w:r>
          </w:p>
        </w:tc>
      </w:tr>
      <w:tr>
        <w:tc>
          <w:tcPr/>
          <w:p>
            <w:pPr>
              <w:pStyle w:val="Compact"/>
            </w:pPr>
            <w:r>
              <w:t xml:space="preserve">Family</w:t>
            </w:r>
          </w:p>
        </w:tc>
        <w:tc>
          <w:tcPr/>
          <w:p>
            <w:pPr>
              <w:pStyle w:val="Compact"/>
            </w:pPr>
            <w:r>
              <w:t xml:space="preserve">String</w:t>
            </w:r>
          </w:p>
        </w:tc>
        <w:tc>
          <w:tcPr/>
          <w:p>
            <w:pPr>
              <w:pStyle w:val="Compact"/>
            </w:pPr>
            <w:r>
              <w:rPr>
                <w:b/>
                <w:bCs/>
              </w:rPr>
              <w:t xml:space="preserve">[Persits.Pdf]</w:t>
            </w:r>
            <w:r>
              <w:t xml:space="preserve"> </w:t>
            </w:r>
            <w:r>
              <w:t xml:space="preserve">Returns the resolved fpdf font family.</w:t>
            </w:r>
          </w:p>
        </w:tc>
      </w:tr>
      <w:tr>
        <w:tc>
          <w:tcPr/>
          <w:p>
            <w:pPr>
              <w:pStyle w:val="Compact"/>
            </w:pPr>
            <w:r>
              <w:t xml:space="preserve">Size</w:t>
            </w:r>
          </w:p>
        </w:tc>
        <w:tc>
          <w:tcPr/>
          <w:p>
            <w:pPr>
              <w:pStyle w:val="Compact"/>
            </w:pPr>
            <w:r>
              <w:t xml:space="preserve">Double</w:t>
            </w:r>
          </w:p>
        </w:tc>
        <w:tc>
          <w:tcPr/>
          <w:p>
            <w:pPr>
              <w:pStyle w:val="Compact"/>
            </w:pPr>
            <w:r>
              <w:rPr>
                <w:b/>
                <w:bCs/>
              </w:rPr>
              <w:t xml:space="preserve">[Persits.Pdf]</w:t>
            </w:r>
            <w:r>
              <w:t xml:space="preserve"> </w:t>
            </w:r>
            <w:r>
              <w:t xml:space="preserve">Gets or sets the font size in points.</w:t>
            </w:r>
          </w:p>
        </w:tc>
      </w:tr>
      <w:tr>
        <w:tc>
          <w:tcPr/>
          <w:p>
            <w:pPr>
              <w:pStyle w:val="Compact"/>
            </w:pPr>
            <w:r>
              <w:t xml:space="preserve">Bold</w:t>
            </w:r>
          </w:p>
        </w:tc>
        <w:tc>
          <w:tcPr/>
          <w:p>
            <w:pPr>
              <w:pStyle w:val="Compact"/>
            </w:pPr>
            <w:r>
              <w:t xml:space="preserve">Boolean</w:t>
            </w:r>
          </w:p>
        </w:tc>
        <w:tc>
          <w:tcPr/>
          <w:p>
            <w:pPr>
              <w:pStyle w:val="Compact"/>
            </w:pPr>
            <w:r>
              <w:rPr>
                <w:b/>
                <w:bCs/>
              </w:rPr>
              <w:t xml:space="preserve">[Persits.Pdf]</w:t>
            </w:r>
            <w:r>
              <w:t xml:space="preserve"> </w:t>
            </w:r>
            <w:r>
              <w:t xml:space="preserve">Gets or sets bold style flag.</w:t>
            </w:r>
          </w:p>
        </w:tc>
      </w:tr>
      <w:tr>
        <w:tc>
          <w:tcPr/>
          <w:p>
            <w:pPr>
              <w:pStyle w:val="Compact"/>
            </w:pPr>
            <w:r>
              <w:t xml:space="preserve">Italic</w:t>
            </w:r>
          </w:p>
        </w:tc>
        <w:tc>
          <w:tcPr/>
          <w:p>
            <w:pPr>
              <w:pStyle w:val="Compact"/>
            </w:pPr>
            <w:r>
              <w:t xml:space="preserve">Boolean</w:t>
            </w:r>
          </w:p>
        </w:tc>
        <w:tc>
          <w:tcPr/>
          <w:p>
            <w:pPr>
              <w:pStyle w:val="Compact"/>
            </w:pPr>
            <w:r>
              <w:rPr>
                <w:b/>
                <w:bCs/>
              </w:rPr>
              <w:t xml:space="preserve">[Persits.Pdf]</w:t>
            </w:r>
            <w:r>
              <w:t xml:space="preserve"> </w:t>
            </w:r>
            <w:r>
              <w:t xml:space="preserve">Gets or sets italic style flag.</w:t>
            </w:r>
          </w:p>
        </w:tc>
      </w:tr>
      <w:tr>
        <w:tc>
          <w:tcPr/>
          <w:p>
            <w:pPr>
              <w:pStyle w:val="Compact"/>
            </w:pPr>
            <w:r>
              <w:t xml:space="preserve">Embedded</w:t>
            </w:r>
          </w:p>
        </w:tc>
        <w:tc>
          <w:tcPr/>
          <w:p>
            <w:pPr>
              <w:pStyle w:val="Compact"/>
            </w:pPr>
            <w:r>
              <w:t xml:space="preserve">Boolean</w:t>
            </w:r>
          </w:p>
        </w:tc>
        <w:tc>
          <w:tcPr/>
          <w:p>
            <w:pPr>
              <w:pStyle w:val="Compact"/>
            </w:pPr>
            <w:r>
              <w:rPr>
                <w:b/>
                <w:bCs/>
              </w:rPr>
              <w:t xml:space="preserve">[Persits.Pdf]</w:t>
            </w:r>
            <w:r>
              <w:t xml:space="preserve"> </w:t>
            </w:r>
            <w:r>
              <w:t xml:space="preserve">Indicates whether the font is embedded (always true for built-in fonts).</w:t>
            </w:r>
          </w:p>
        </w:tc>
      </w:tr>
    </w:tbl>
    <w:bookmarkEnd w:id="4401"/>
    <w:bookmarkEnd w:id="4402"/>
    <w:bookmarkStart w:id="4403" w:name="remarks-463"/>
    <w:p>
      <w:pPr>
        <w:pStyle w:val="Heading2"/>
      </w:pPr>
      <w:r>
        <w:t xml:space="preserve">Remarks</w:t>
      </w:r>
    </w:p>
    <w:p>
      <w:pPr>
        <w:pStyle w:val="Compact"/>
        <w:numPr>
          <w:ilvl w:val="0"/>
          <w:numId w:val="2110"/>
        </w:numPr>
      </w:pPr>
      <w:r>
        <w:t xml:space="preserve">Method names are case-insensitive.</w:t>
      </w:r>
    </w:p>
    <w:p>
      <w:pPr>
        <w:pStyle w:val="Compact"/>
        <w:numPr>
          <w:ilvl w:val="0"/>
          <w:numId w:val="2110"/>
        </w:numPr>
      </w:pPr>
      <w:r>
        <w:t xml:space="preserve">Alias methods resolve to the same behavior and return contract as their canonical methods.</w:t>
      </w:r>
    </w:p>
    <w:p>
      <w:pPr>
        <w:pStyle w:val="Compact"/>
        <w:numPr>
          <w:ilvl w:val="0"/>
          <w:numId w:val="2110"/>
        </w:numPr>
      </w:pPr>
      <w:r>
        <w:t xml:space="preserve">Items marked with</w:t>
      </w:r>
      <w:r>
        <w:t xml:space="preserve"> </w:t>
      </w:r>
      <w:r>
        <w:rPr>
          <w:b/>
          <w:bCs/>
        </w:rPr>
        <w:t xml:space="preserve">[Persits.Pdf]</w:t>
      </w:r>
      <w:r>
        <w:t xml:space="preserve"> </w:t>
      </w:r>
      <w:r>
        <w:t xml:space="preserve">are part of the Persits.Pdf / AspPDF compatibility layer. They are only active when the object was instantiated via</w:t>
      </w:r>
      <w:r>
        <w:t xml:space="preserve"> </w:t>
      </w:r>
      <w:r>
        <w:rPr>
          <w:rStyle w:val="VerbatimChar"/>
        </w:rPr>
        <w:t xml:space="preserve">Server.CreateObject("Persits.Pdf")</w:t>
      </w:r>
      <w:r>
        <w:t xml:space="preserve"> </w:t>
      </w:r>
      <w:r>
        <w:t xml:space="preserve">or</w:t>
      </w:r>
      <w:r>
        <w:t xml:space="preserve"> </w:t>
      </w:r>
      <w:r>
        <w:rPr>
          <w:rStyle w:val="VerbatimChar"/>
        </w:rPr>
        <w:t xml:space="preserve">Server.CreateObject("ASP.Pdf")</w:t>
      </w:r>
      <w:r>
        <w:t xml:space="preserve">.</w:t>
      </w:r>
    </w:p>
    <w:bookmarkEnd w:id="4403"/>
    <w:bookmarkEnd w:id="4404"/>
    <w:bookmarkStart w:id="4409" w:name="g3pdf-properties"/>
    <w:p>
      <w:pPr>
        <w:pStyle w:val="Heading1"/>
      </w:pPr>
      <w:r>
        <w:t xml:space="preserve">G3PDF Properties</w:t>
      </w:r>
    </w:p>
    <w:bookmarkStart w:id="4405" w:name="overview-498"/>
    <w:p>
      <w:pPr>
        <w:pStyle w:val="Heading2"/>
      </w:pPr>
      <w:r>
        <w:t xml:space="preserve">Overview</w:t>
      </w:r>
    </w:p>
    <w:p>
      <w:pPr>
        <w:pStyle w:val="FirstParagraph"/>
      </w:pPr>
      <w:r>
        <w:t xml:space="preserve">This page summarizes properties exposed by the G3PDF library in G3Pix AxonASP.</w:t>
      </w:r>
    </w:p>
    <w:bookmarkEnd w:id="4405"/>
    <w:bookmarkStart w:id="4406" w:name="properties-reference-5"/>
    <w:p>
      <w:pPr>
        <w:pStyle w:val="Heading2"/>
      </w:pPr>
      <w:r>
        <w:t xml:space="preserve">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LastError</w:t>
            </w:r>
          </w:p>
        </w:tc>
        <w:tc>
          <w:tcPr/>
          <w:p>
            <w:pPr>
              <w:pStyle w:val="Compact"/>
            </w:pPr>
            <w:r>
              <w:t xml:space="preserve">Read-only</w:t>
            </w:r>
          </w:p>
        </w:tc>
        <w:tc>
          <w:tcPr/>
          <w:p>
            <w:pPr>
              <w:pStyle w:val="Compact"/>
            </w:pPr>
            <w:r>
              <w:t xml:space="preserve">String</w:t>
            </w:r>
          </w:p>
        </w:tc>
        <w:tc>
          <w:tcPr/>
          <w:p>
            <w:pPr>
              <w:pStyle w:val="Compact"/>
            </w:pPr>
            <w:r>
              <w:t xml:space="preserve">Stores the most recent library error message.</w:t>
            </w:r>
          </w:p>
        </w:tc>
      </w:tr>
      <w:tr>
        <w:tc>
          <w:tcPr/>
          <w:p>
            <w:pPr>
              <w:pStyle w:val="Compact"/>
            </w:pPr>
            <w:r>
              <w:t xml:space="preserve">Page</w:t>
            </w:r>
          </w:p>
        </w:tc>
        <w:tc>
          <w:tcPr/>
          <w:p>
            <w:pPr>
              <w:pStyle w:val="Compact"/>
            </w:pPr>
            <w:r>
              <w:t xml:space="preserve">Read-only</w:t>
            </w:r>
          </w:p>
        </w:tc>
        <w:tc>
          <w:tcPr/>
          <w:p>
            <w:pPr>
              <w:pStyle w:val="Compact"/>
            </w:pPr>
            <w:r>
              <w:t xml:space="preserve">Integer</w:t>
            </w:r>
          </w:p>
        </w:tc>
        <w:tc>
          <w:tcPr/>
          <w:p>
            <w:pPr>
              <w:pStyle w:val="Compact"/>
            </w:pPr>
            <w:r>
              <w:t xml:space="preserve">Returns the current page number.</w:t>
            </w:r>
          </w:p>
        </w:tc>
      </w:tr>
      <w:tr>
        <w:tc>
          <w:tcPr/>
          <w:p>
            <w:pPr>
              <w:pStyle w:val="Compact"/>
            </w:pPr>
            <w:r>
              <w:t xml:space="preserve">X</w:t>
            </w:r>
          </w:p>
        </w:tc>
        <w:tc>
          <w:tcPr/>
          <w:p>
            <w:pPr>
              <w:pStyle w:val="Compact"/>
            </w:pPr>
            <w:r>
              <w:t xml:space="preserve">Read/Write</w:t>
            </w:r>
          </w:p>
        </w:tc>
        <w:tc>
          <w:tcPr/>
          <w:p>
            <w:pPr>
              <w:pStyle w:val="Compact"/>
            </w:pPr>
            <w:r>
              <w:t xml:space="preserve">Double</w:t>
            </w:r>
          </w:p>
        </w:tc>
        <w:tc>
          <w:tcPr/>
          <w:p>
            <w:pPr>
              <w:pStyle w:val="Compact"/>
            </w:pPr>
            <w:r>
              <w:t xml:space="preserve">Gets or sets the current horizontal cursor position.</w:t>
            </w:r>
          </w:p>
        </w:tc>
      </w:tr>
      <w:tr>
        <w:tc>
          <w:tcPr/>
          <w:p>
            <w:pPr>
              <w:pStyle w:val="Compact"/>
            </w:pPr>
            <w:r>
              <w:t xml:space="preserve">Y</w:t>
            </w:r>
          </w:p>
        </w:tc>
        <w:tc>
          <w:tcPr/>
          <w:p>
            <w:pPr>
              <w:pStyle w:val="Compact"/>
            </w:pPr>
            <w:r>
              <w:t xml:space="preserve">Read/Write</w:t>
            </w:r>
          </w:p>
        </w:tc>
        <w:tc>
          <w:tcPr/>
          <w:p>
            <w:pPr>
              <w:pStyle w:val="Compact"/>
            </w:pPr>
            <w:r>
              <w:t xml:space="preserve">Double</w:t>
            </w:r>
          </w:p>
        </w:tc>
        <w:tc>
          <w:tcPr/>
          <w:p>
            <w:pPr>
              <w:pStyle w:val="Compact"/>
            </w:pPr>
            <w:r>
              <w:t xml:space="preserve">Gets or sets the current vertical cursor position.</w:t>
            </w:r>
          </w:p>
        </w:tc>
      </w:tr>
      <w:tr>
        <w:tc>
          <w:tcPr/>
          <w:p>
            <w:pPr>
              <w:pStyle w:val="Compact"/>
            </w:pPr>
            <w:r>
              <w:t xml:space="preserve">W</w:t>
            </w:r>
          </w:p>
        </w:tc>
        <w:tc>
          <w:tcPr/>
          <w:p>
            <w:pPr>
              <w:pStyle w:val="Compact"/>
            </w:pPr>
            <w:r>
              <w:t xml:space="preserve">Read-only</w:t>
            </w:r>
          </w:p>
        </w:tc>
        <w:tc>
          <w:tcPr/>
          <w:p>
            <w:pPr>
              <w:pStyle w:val="Compact"/>
            </w:pPr>
            <w:r>
              <w:t xml:space="preserve">Double</w:t>
            </w:r>
          </w:p>
        </w:tc>
        <w:tc>
          <w:tcPr/>
          <w:p>
            <w:pPr>
              <w:pStyle w:val="Compact"/>
            </w:pPr>
            <w:r>
              <w:t xml:space="preserve">Returns current page width.</w:t>
            </w:r>
          </w:p>
        </w:tc>
      </w:tr>
      <w:tr>
        <w:tc>
          <w:tcPr/>
          <w:p>
            <w:pPr>
              <w:pStyle w:val="Compact"/>
            </w:pPr>
            <w:r>
              <w:t xml:space="preserve">H</w:t>
            </w:r>
          </w:p>
        </w:tc>
        <w:tc>
          <w:tcPr/>
          <w:p>
            <w:pPr>
              <w:pStyle w:val="Compact"/>
            </w:pPr>
            <w:r>
              <w:t xml:space="preserve">Read-only</w:t>
            </w:r>
          </w:p>
        </w:tc>
        <w:tc>
          <w:tcPr/>
          <w:p>
            <w:pPr>
              <w:pStyle w:val="Compact"/>
            </w:pPr>
            <w:r>
              <w:t xml:space="preserve">Double</w:t>
            </w:r>
          </w:p>
        </w:tc>
        <w:tc>
          <w:tcPr/>
          <w:p>
            <w:pPr>
              <w:pStyle w:val="Compact"/>
            </w:pPr>
            <w:r>
              <w:t xml:space="preserve">Returns current page height.</w:t>
            </w:r>
          </w:p>
        </w:tc>
      </w:tr>
      <w:tr>
        <w:tc>
          <w:tcPr/>
          <w:p>
            <w:pPr>
              <w:pStyle w:val="Compact"/>
            </w:pPr>
            <w:r>
              <w:t xml:space="preserve">Version</w:t>
            </w:r>
          </w:p>
        </w:tc>
        <w:tc>
          <w:tcPr/>
          <w:p>
            <w:pPr>
              <w:pStyle w:val="Compact"/>
            </w:pPr>
            <w:r>
              <w:t xml:space="preserve">Read-only</w:t>
            </w:r>
          </w:p>
        </w:tc>
        <w:tc>
          <w:tcPr/>
          <w:p>
            <w:pPr>
              <w:pStyle w:val="Compact"/>
            </w:pPr>
            <w:r>
              <w:t xml:space="preserve">String</w:t>
            </w:r>
          </w:p>
        </w:tc>
        <w:tc>
          <w:tcPr/>
          <w:p>
            <w:pPr>
              <w:pStyle w:val="Compact"/>
            </w:pPr>
            <w:r>
              <w:t xml:space="preserve">Returns the implementation version string for this library.</w:t>
            </w:r>
          </w:p>
        </w:tc>
      </w:tr>
    </w:tbl>
    <w:bookmarkEnd w:id="4406"/>
    <w:bookmarkStart w:id="4408" w:name="remarks-464"/>
    <w:p>
      <w:pPr>
        <w:pStyle w:val="Heading2"/>
      </w:pPr>
      <w:r>
        <w:t xml:space="preserve">Remarks</w:t>
      </w:r>
    </w:p>
    <w:p>
      <w:pPr>
        <w:pStyle w:val="Compact"/>
        <w:numPr>
          <w:ilvl w:val="0"/>
          <w:numId w:val="2111"/>
        </w:numPr>
      </w:pPr>
      <w:r>
        <w:t xml:space="preserve">Property names are case-insensitive.</w:t>
      </w:r>
    </w:p>
    <w:p>
      <w:pPr>
        <w:pStyle w:val="Compact"/>
        <w:numPr>
          <w:ilvl w:val="0"/>
          <w:numId w:val="2111"/>
        </w:numPr>
      </w:pPr>
      <w:r>
        <w:t xml:space="preserve">PageWidth and PageHeight are accepted aliases for W and H.</w:t>
      </w:r>
    </w:p>
    <w:p>
      <w:pPr>
        <w:pStyle w:val="Compact"/>
        <w:numPr>
          <w:ilvl w:val="0"/>
          <w:numId w:val="2111"/>
        </w:numPr>
      </w:pPr>
      <w:r>
        <w:t xml:space="preserve">For Persits.Pdf compatibility properties (Canvas, Width, Height, etc.), refer to the Methods page which documents sub-object properties of PdfPage, PdfDocument, PdfFont, and PdfCanvas.</w:t>
      </w:r>
    </w:p>
    <w:bookmarkStart w:id="4407" w:name="methods-detail-19"/>
    <w:p>
      <w:pPr>
        <w:pStyle w:val="Heading3"/>
      </w:pPr>
      <w:r>
        <w:t xml:space="preserve">Methods Detail</w:t>
      </w:r>
    </w:p>
    <w:bookmarkEnd w:id="4407"/>
    <w:bookmarkEnd w:id="4408"/>
    <w:bookmarkEnd w:id="4409"/>
    <w:bookmarkStart w:id="4415" w:name="addpage"/>
    <w:p>
      <w:pPr>
        <w:pStyle w:val="Heading1"/>
      </w:pPr>
      <w:r>
        <w:t xml:space="preserve">AddPage</w:t>
      </w:r>
    </w:p>
    <w:bookmarkStart w:id="4410" w:name="overview-499"/>
    <w:p>
      <w:pPr>
        <w:pStyle w:val="Heading2"/>
      </w:pPr>
      <w:r>
        <w:t xml:space="preserve">Overview</w:t>
      </w:r>
    </w:p>
    <w:p>
      <w:pPr>
        <w:pStyle w:val="FirstParagraph"/>
      </w:pPr>
      <w:r>
        <w:t xml:space="preserve">Adds a new page to the PDF document. Must be called before outputting any content to a page.</w:t>
      </w:r>
    </w:p>
    <w:bookmarkEnd w:id="4410"/>
    <w:bookmarkStart w:id="4411" w:name="syntax-474"/>
    <w:p>
      <w:pPr>
        <w:pStyle w:val="Heading2"/>
      </w:pPr>
      <w:r>
        <w:t xml:space="preserve">Syntax</w:t>
      </w:r>
    </w:p>
    <w:p>
      <w:pPr>
        <w:pStyle w:val="SourceCode"/>
      </w:pPr>
      <w:r>
        <w:rPr>
          <w:rStyle w:val="NormalTok"/>
        </w:rPr>
        <w:t xml:space="preserve">obj.AddPage [orientation], [size]</w:t>
      </w:r>
    </w:p>
    <w:bookmarkEnd w:id="4411"/>
    <w:bookmarkStart w:id="4412" w:name="parameters-228"/>
    <w:p>
      <w:pPr>
        <w:pStyle w:val="Heading2"/>
      </w:pPr>
      <w:r>
        <w:t xml:space="preserve">Parameters</w:t>
      </w:r>
    </w:p>
    <w:p>
      <w:pPr>
        <w:pStyle w:val="Compact"/>
        <w:numPr>
          <w:ilvl w:val="0"/>
          <w:numId w:val="2112"/>
        </w:numPr>
      </w:pPr>
      <w:r>
        <w:rPr>
          <w:rStyle w:val="VerbatimChar"/>
        </w:rPr>
        <w:t xml:space="preserve">orientation</w:t>
      </w:r>
      <w:r>
        <w:t xml:space="preserve"> </w:t>
      </w:r>
      <w:r>
        <w:t xml:space="preserve">(String, Optional): Document orientation. Possible values are</w:t>
      </w:r>
      <w:r>
        <w:t xml:space="preserve"> </w:t>
      </w:r>
      <w:r>
        <w:rPr>
          <w:rStyle w:val="VerbatimChar"/>
        </w:rPr>
        <w:t xml:space="preserve">P</w:t>
      </w:r>
      <w:r>
        <w:t xml:space="preserve"> </w:t>
      </w:r>
      <w:r>
        <w:t xml:space="preserve">(Portrait) or</w:t>
      </w:r>
      <w:r>
        <w:t xml:space="preserve"> </w:t>
      </w:r>
      <w:r>
        <w:rPr>
          <w:rStyle w:val="VerbatimChar"/>
        </w:rPr>
        <w:t xml:space="preserve">L</w:t>
      </w:r>
      <w:r>
        <w:t xml:space="preserve"> </w:t>
      </w:r>
      <w:r>
        <w:t xml:space="preserve">(Landscape).</w:t>
      </w:r>
    </w:p>
    <w:p>
      <w:pPr>
        <w:pStyle w:val="Compact"/>
        <w:numPr>
          <w:ilvl w:val="0"/>
          <w:numId w:val="2112"/>
        </w:numPr>
      </w:pPr>
      <w:r>
        <w:rPr>
          <w:rStyle w:val="VerbatimChar"/>
        </w:rPr>
        <w:t xml:space="preserve">size</w:t>
      </w:r>
      <w:r>
        <w:t xml:space="preserve"> </w:t>
      </w:r>
      <w:r>
        <w:t xml:space="preserve">(String, Optional): Page format (e.g.,</w:t>
      </w:r>
      <w:r>
        <w:t xml:space="preserve"> </w:t>
      </w:r>
      <w:r>
        <w:rPr>
          <w:rStyle w:val="VerbatimChar"/>
        </w:rPr>
        <w:t xml:space="preserve">A4</w:t>
      </w:r>
      <w:r>
        <w:t xml:space="preserve">,</w:t>
      </w:r>
      <w:r>
        <w:t xml:space="preserve"> </w:t>
      </w:r>
      <w:r>
        <w:rPr>
          <w:rStyle w:val="VerbatimChar"/>
        </w:rPr>
        <w:t xml:space="preserve">Letter</w:t>
      </w:r>
      <w:r>
        <w:t xml:space="preserve">).</w:t>
      </w:r>
    </w:p>
    <w:bookmarkEnd w:id="4412"/>
    <w:bookmarkStart w:id="4413" w:name="return-value-228"/>
    <w:p>
      <w:pPr>
        <w:pStyle w:val="Heading2"/>
      </w:pPr>
      <w:r>
        <w:t xml:space="preserve">Return Value</w:t>
      </w:r>
    </w:p>
    <w:p>
      <w:pPr>
        <w:pStyle w:val="FirstParagraph"/>
      </w:pPr>
      <w:r>
        <w:rPr>
          <w:b/>
          <w:bCs/>
        </w:rPr>
        <w:t xml:space="preserve">Returns:</w:t>
      </w:r>
      <w:r>
        <w:t xml:space="preserve"> </w:t>
      </w:r>
      <w:r>
        <w:t xml:space="preserve">Empty</w:t>
      </w:r>
    </w:p>
    <w:bookmarkEnd w:id="4413"/>
    <w:bookmarkStart w:id="4414" w:name="code-example-271"/>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14"/>
    <w:bookmarkEnd w:id="4415"/>
    <w:bookmarkStart w:id="4421" w:name="cell"/>
    <w:p>
      <w:pPr>
        <w:pStyle w:val="Heading1"/>
      </w:pPr>
      <w:r>
        <w:t xml:space="preserve">Cell</w:t>
      </w:r>
    </w:p>
    <w:bookmarkStart w:id="4416" w:name="overview-500"/>
    <w:p>
      <w:pPr>
        <w:pStyle w:val="Heading2"/>
      </w:pPr>
      <w:r>
        <w:t xml:space="preserve">Overview</w:t>
      </w:r>
    </w:p>
    <w:p>
      <w:pPr>
        <w:pStyle w:val="FirstParagraph"/>
      </w:pPr>
      <w:r>
        <w:t xml:space="preserve">Prints a cell (rectangular area) with optional borders, background color, and character string. The upper-left corner of the cell corresponds to the current position.</w:t>
      </w:r>
    </w:p>
    <w:bookmarkEnd w:id="4416"/>
    <w:bookmarkStart w:id="4417" w:name="syntax-475"/>
    <w:p>
      <w:pPr>
        <w:pStyle w:val="Heading2"/>
      </w:pPr>
      <w:r>
        <w:t xml:space="preserve">Syntax</w:t>
      </w:r>
    </w:p>
    <w:p>
      <w:pPr>
        <w:pStyle w:val="SourceCode"/>
      </w:pPr>
      <w:r>
        <w:rPr>
          <w:rStyle w:val="NormalTok"/>
        </w:rPr>
        <w:t xml:space="preserve">obj.Cell w, h, txt, [border], [ln], [align], [fill], [link]</w:t>
      </w:r>
    </w:p>
    <w:bookmarkEnd w:id="4417"/>
    <w:bookmarkStart w:id="4418" w:name="parameters-229"/>
    <w:p>
      <w:pPr>
        <w:pStyle w:val="Heading2"/>
      </w:pPr>
      <w:r>
        <w:t xml:space="preserve">Parameters</w:t>
      </w:r>
    </w:p>
    <w:p>
      <w:pPr>
        <w:pStyle w:val="Compact"/>
        <w:numPr>
          <w:ilvl w:val="0"/>
          <w:numId w:val="2113"/>
        </w:numPr>
      </w:pPr>
      <w:r>
        <w:rPr>
          <w:rStyle w:val="VerbatimChar"/>
        </w:rPr>
        <w:t xml:space="preserve">w</w:t>
      </w:r>
      <w:r>
        <w:t xml:space="preserve"> </w:t>
      </w:r>
      <w:r>
        <w:t xml:space="preserve">(Double): Cell width. If 0, the cell extends up to the right margin.</w:t>
      </w:r>
    </w:p>
    <w:p>
      <w:pPr>
        <w:pStyle w:val="Compact"/>
        <w:numPr>
          <w:ilvl w:val="0"/>
          <w:numId w:val="2113"/>
        </w:numPr>
      </w:pPr>
      <w:r>
        <w:rPr>
          <w:rStyle w:val="VerbatimChar"/>
        </w:rPr>
        <w:t xml:space="preserve">h</w:t>
      </w:r>
      <w:r>
        <w:t xml:space="preserve"> </w:t>
      </w:r>
      <w:r>
        <w:t xml:space="preserve">(Double): Cell height.</w:t>
      </w:r>
    </w:p>
    <w:p>
      <w:pPr>
        <w:pStyle w:val="Compact"/>
        <w:numPr>
          <w:ilvl w:val="0"/>
          <w:numId w:val="2113"/>
        </w:numPr>
      </w:pPr>
      <w:r>
        <w:rPr>
          <w:rStyle w:val="VerbatimChar"/>
        </w:rPr>
        <w:t xml:space="preserve">txt</w:t>
      </w:r>
      <w:r>
        <w:t xml:space="preserve"> </w:t>
      </w:r>
      <w:r>
        <w:t xml:space="preserve">(String): String to print.</w:t>
      </w:r>
    </w:p>
    <w:p>
      <w:pPr>
        <w:pStyle w:val="Compact"/>
        <w:numPr>
          <w:ilvl w:val="0"/>
          <w:numId w:val="2113"/>
        </w:numPr>
      </w:pPr>
      <w:r>
        <w:rPr>
          <w:rStyle w:val="VerbatimChar"/>
        </w:rPr>
        <w:t xml:space="preserve">border</w:t>
      </w:r>
      <w:r>
        <w:t xml:space="preserve"> </w:t>
      </w:r>
      <w:r>
        <w:t xml:space="preserve">(Variant, Optional): Indicates if borders must be drawn (0, 1, or string like</w:t>
      </w:r>
      <w:r>
        <w:t xml:space="preserve"> </w:t>
      </w:r>
      <w:r>
        <w:rPr>
          <w:rStyle w:val="VerbatimChar"/>
        </w:rPr>
        <w:t xml:space="preserve">LRTB</w:t>
      </w:r>
      <w:r>
        <w:t xml:space="preserve">).</w:t>
      </w:r>
    </w:p>
    <w:p>
      <w:pPr>
        <w:pStyle w:val="Compact"/>
        <w:numPr>
          <w:ilvl w:val="0"/>
          <w:numId w:val="2113"/>
        </w:numPr>
      </w:pPr>
      <w:r>
        <w:rPr>
          <w:rStyle w:val="VerbatimChar"/>
        </w:rPr>
        <w:t xml:space="preserve">ln</w:t>
      </w:r>
      <w:r>
        <w:t xml:space="preserve"> </w:t>
      </w:r>
      <w:r>
        <w:t xml:space="preserve">(Integer, Optional): Indicates where the current position should go after the call (0: to the right, 1: to the beginning of the next line, 2: below).</w:t>
      </w:r>
    </w:p>
    <w:p>
      <w:pPr>
        <w:pStyle w:val="Compact"/>
        <w:numPr>
          <w:ilvl w:val="0"/>
          <w:numId w:val="2113"/>
        </w:numPr>
      </w:pPr>
      <w:r>
        <w:rPr>
          <w:rStyle w:val="VerbatimChar"/>
        </w:rPr>
        <w:t xml:space="preserve">align</w:t>
      </w:r>
      <w:r>
        <w:t xml:space="preserve"> </w:t>
      </w:r>
      <w:r>
        <w:t xml:space="preserve">(String, Optional): Text alignment (</w:t>
      </w:r>
      <w:r>
        <w:rPr>
          <w:rStyle w:val="VerbatimChar"/>
        </w:rPr>
        <w:t xml:space="preserve">L</w:t>
      </w:r>
      <w:r>
        <w:t xml:space="preserve">,</w:t>
      </w:r>
      <w:r>
        <w:t xml:space="preserve"> </w:t>
      </w:r>
      <w:r>
        <w:rPr>
          <w:rStyle w:val="VerbatimChar"/>
        </w:rPr>
        <w:t xml:space="preserve">C</w:t>
      </w:r>
      <w:r>
        <w:t xml:space="preserve">,</w:t>
      </w:r>
      <w:r>
        <w:t xml:space="preserve"> </w:t>
      </w:r>
      <w:r>
        <w:rPr>
          <w:rStyle w:val="VerbatimChar"/>
        </w:rPr>
        <w:t xml:space="preserve">R</w:t>
      </w:r>
      <w:r>
        <w:t xml:space="preserve">).</w:t>
      </w:r>
    </w:p>
    <w:p>
      <w:pPr>
        <w:pStyle w:val="Compact"/>
        <w:numPr>
          <w:ilvl w:val="0"/>
          <w:numId w:val="2113"/>
        </w:numPr>
      </w:pPr>
      <w:r>
        <w:rPr>
          <w:rStyle w:val="VerbatimChar"/>
        </w:rPr>
        <w:t xml:space="preserve">fill</w:t>
      </w:r>
      <w:r>
        <w:t xml:space="preserve"> </w:t>
      </w:r>
      <w:r>
        <w:t xml:space="preserve">(Boolean, Optional): Indicates if the cell background must be painted.</w:t>
      </w:r>
    </w:p>
    <w:p>
      <w:pPr>
        <w:pStyle w:val="Compact"/>
        <w:numPr>
          <w:ilvl w:val="0"/>
          <w:numId w:val="2113"/>
        </w:numPr>
      </w:pPr>
      <w:r>
        <w:rPr>
          <w:rStyle w:val="VerbatimChar"/>
        </w:rPr>
        <w:t xml:space="preserve">link</w:t>
      </w:r>
      <w:r>
        <w:t xml:space="preserve"> </w:t>
      </w:r>
      <w:r>
        <w:t xml:space="preserve">(Integer, Optional): Identifier or string for a link.</w:t>
      </w:r>
    </w:p>
    <w:bookmarkEnd w:id="4418"/>
    <w:bookmarkStart w:id="4419" w:name="return-value-229"/>
    <w:p>
      <w:pPr>
        <w:pStyle w:val="Heading2"/>
      </w:pPr>
      <w:r>
        <w:t xml:space="preserve">Return Value</w:t>
      </w:r>
    </w:p>
    <w:p>
      <w:pPr>
        <w:pStyle w:val="FirstParagraph"/>
      </w:pPr>
      <w:r>
        <w:rPr>
          <w:b/>
          <w:bCs/>
        </w:rPr>
        <w:t xml:space="preserve">Returns:</w:t>
      </w:r>
      <w:r>
        <w:t xml:space="preserve"> </w:t>
      </w:r>
      <w:r>
        <w:t xml:space="preserve">Empty</w:t>
      </w:r>
    </w:p>
    <w:bookmarkEnd w:id="4419"/>
    <w:bookmarkStart w:id="4420" w:name="code-example-272"/>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20"/>
    <w:bookmarkEnd w:id="4421"/>
    <w:bookmarkStart w:id="4427" w:name="close"/>
    <w:p>
      <w:pPr>
        <w:pStyle w:val="Heading1"/>
      </w:pPr>
      <w:r>
        <w:t xml:space="preserve">Close</w:t>
      </w:r>
    </w:p>
    <w:bookmarkStart w:id="4422" w:name="overview-501"/>
    <w:p>
      <w:pPr>
        <w:pStyle w:val="Heading2"/>
      </w:pPr>
      <w:r>
        <w:t xml:space="preserve">Overview</w:t>
      </w:r>
    </w:p>
    <w:p>
      <w:pPr>
        <w:pStyle w:val="FirstParagraph"/>
      </w:pPr>
      <w:r>
        <w:t xml:space="preserve">Terminates the PDF document. It is not necessary to call this method explicitly for most outputs as it is called automatically by output methods.</w:t>
      </w:r>
    </w:p>
    <w:bookmarkEnd w:id="4422"/>
    <w:bookmarkStart w:id="4423" w:name="syntax-476"/>
    <w:p>
      <w:pPr>
        <w:pStyle w:val="Heading2"/>
      </w:pPr>
      <w:r>
        <w:t xml:space="preserve">Syntax</w:t>
      </w:r>
    </w:p>
    <w:p>
      <w:pPr>
        <w:pStyle w:val="SourceCode"/>
      </w:pPr>
      <w:r>
        <w:rPr>
          <w:rStyle w:val="NormalTok"/>
        </w:rPr>
        <w:t xml:space="preserve">obj.Close</w:t>
      </w:r>
    </w:p>
    <w:bookmarkEnd w:id="4423"/>
    <w:bookmarkStart w:id="4424" w:name="parameters-230"/>
    <w:p>
      <w:pPr>
        <w:pStyle w:val="Heading2"/>
      </w:pPr>
      <w:r>
        <w:t xml:space="preserve">Parameters</w:t>
      </w:r>
    </w:p>
    <w:p>
      <w:pPr>
        <w:pStyle w:val="FirstParagraph"/>
      </w:pPr>
      <w:r>
        <w:t xml:space="preserve">None.</w:t>
      </w:r>
    </w:p>
    <w:bookmarkEnd w:id="4424"/>
    <w:bookmarkStart w:id="4425" w:name="return-value-230"/>
    <w:p>
      <w:pPr>
        <w:pStyle w:val="Heading2"/>
      </w:pPr>
      <w:r>
        <w:t xml:space="preserve">Return Value</w:t>
      </w:r>
    </w:p>
    <w:p>
      <w:pPr>
        <w:pStyle w:val="FirstParagraph"/>
      </w:pPr>
      <w:r>
        <w:rPr>
          <w:b/>
          <w:bCs/>
        </w:rPr>
        <w:t xml:space="preserve">Returns:</w:t>
      </w:r>
      <w:r>
        <w:t xml:space="preserve"> </w:t>
      </w:r>
      <w:r>
        <w:t xml:space="preserve">Empty</w:t>
      </w:r>
    </w:p>
    <w:bookmarkEnd w:id="4425"/>
    <w:bookmarkStart w:id="4426" w:name="code-example-273"/>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26"/>
    <w:bookmarkEnd w:id="4427"/>
    <w:bookmarkStart w:id="4433" w:name="image"/>
    <w:p>
      <w:pPr>
        <w:pStyle w:val="Heading1"/>
      </w:pPr>
      <w:r>
        <w:t xml:space="preserve">Image</w:t>
      </w:r>
    </w:p>
    <w:bookmarkStart w:id="4428" w:name="overview-502"/>
    <w:p>
      <w:pPr>
        <w:pStyle w:val="Heading2"/>
      </w:pPr>
      <w:r>
        <w:t xml:space="preserve">Overview</w:t>
      </w:r>
    </w:p>
    <w:p>
      <w:pPr>
        <w:pStyle w:val="FirstParagraph"/>
      </w:pPr>
      <w:r>
        <w:t xml:space="preserve">Outputs an image into the document.</w:t>
      </w:r>
    </w:p>
    <w:bookmarkEnd w:id="4428"/>
    <w:bookmarkStart w:id="4429" w:name="syntax-477"/>
    <w:p>
      <w:pPr>
        <w:pStyle w:val="Heading2"/>
      </w:pPr>
      <w:r>
        <w:t xml:space="preserve">Syntax</w:t>
      </w:r>
    </w:p>
    <w:p>
      <w:pPr>
        <w:pStyle w:val="SourceCode"/>
      </w:pPr>
      <w:r>
        <w:rPr>
          <w:rStyle w:val="NormalTok"/>
        </w:rPr>
        <w:t xml:space="preserve">obj.Image imageName, x, y, [w], [h], [type], [link]</w:t>
      </w:r>
    </w:p>
    <w:bookmarkEnd w:id="4429"/>
    <w:bookmarkStart w:id="4430" w:name="parameters-231"/>
    <w:p>
      <w:pPr>
        <w:pStyle w:val="Heading2"/>
      </w:pPr>
      <w:r>
        <w:t xml:space="preserve">Parameters</w:t>
      </w:r>
    </w:p>
    <w:p>
      <w:pPr>
        <w:pStyle w:val="Compact"/>
        <w:numPr>
          <w:ilvl w:val="0"/>
          <w:numId w:val="2114"/>
        </w:numPr>
      </w:pPr>
      <w:r>
        <w:rPr>
          <w:rStyle w:val="VerbatimChar"/>
        </w:rPr>
        <w:t xml:space="preserve">imageName</w:t>
      </w:r>
      <w:r>
        <w:t xml:space="preserve"> </w:t>
      </w:r>
      <w:r>
        <w:t xml:space="preserve">(String): Path or URL of the image.</w:t>
      </w:r>
    </w:p>
    <w:p>
      <w:pPr>
        <w:pStyle w:val="Compact"/>
        <w:numPr>
          <w:ilvl w:val="0"/>
          <w:numId w:val="2114"/>
        </w:numPr>
      </w:pPr>
      <w:r>
        <w:rPr>
          <w:rStyle w:val="VerbatimChar"/>
        </w:rPr>
        <w:t xml:space="preserve">x</w:t>
      </w:r>
      <w:r>
        <w:t xml:space="preserve"> </w:t>
      </w:r>
      <w:r>
        <w:t xml:space="preserve">(Double): Abscissa of the upper-left corner.</w:t>
      </w:r>
    </w:p>
    <w:p>
      <w:pPr>
        <w:pStyle w:val="Compact"/>
        <w:numPr>
          <w:ilvl w:val="0"/>
          <w:numId w:val="2114"/>
        </w:numPr>
      </w:pPr>
      <w:r>
        <w:rPr>
          <w:rStyle w:val="VerbatimChar"/>
        </w:rPr>
        <w:t xml:space="preserve">y</w:t>
      </w:r>
      <w:r>
        <w:t xml:space="preserve"> </w:t>
      </w:r>
      <w:r>
        <w:t xml:space="preserve">(Double): Ordinate of the upper-left corner.</w:t>
      </w:r>
    </w:p>
    <w:p>
      <w:pPr>
        <w:pStyle w:val="Compact"/>
        <w:numPr>
          <w:ilvl w:val="0"/>
          <w:numId w:val="2114"/>
        </w:numPr>
      </w:pPr>
      <w:r>
        <w:rPr>
          <w:rStyle w:val="VerbatimChar"/>
        </w:rPr>
        <w:t xml:space="preserve">w</w:t>
      </w:r>
      <w:r>
        <w:t xml:space="preserve"> </w:t>
      </w:r>
      <w:r>
        <w:t xml:space="preserve">(Double, Optional): Width of the image in the page.</w:t>
      </w:r>
    </w:p>
    <w:p>
      <w:pPr>
        <w:pStyle w:val="Compact"/>
        <w:numPr>
          <w:ilvl w:val="0"/>
          <w:numId w:val="2114"/>
        </w:numPr>
      </w:pPr>
      <w:r>
        <w:rPr>
          <w:rStyle w:val="VerbatimChar"/>
        </w:rPr>
        <w:t xml:space="preserve">h</w:t>
      </w:r>
      <w:r>
        <w:t xml:space="preserve"> </w:t>
      </w:r>
      <w:r>
        <w:t xml:space="preserve">(Double, Optional): Height of the image in the page.</w:t>
      </w:r>
    </w:p>
    <w:p>
      <w:pPr>
        <w:pStyle w:val="Compact"/>
        <w:numPr>
          <w:ilvl w:val="0"/>
          <w:numId w:val="2114"/>
        </w:numPr>
      </w:pPr>
      <w:r>
        <w:rPr>
          <w:rStyle w:val="VerbatimChar"/>
        </w:rPr>
        <w:t xml:space="preserve">type</w:t>
      </w:r>
      <w:r>
        <w:t xml:space="preserve"> </w:t>
      </w:r>
      <w:r>
        <w:t xml:space="preserve">(String, Optional): Image format (e.g.,</w:t>
      </w:r>
      <w:r>
        <w:t xml:space="preserve"> </w:t>
      </w:r>
      <w:r>
        <w:rPr>
          <w:rStyle w:val="VerbatimChar"/>
        </w:rPr>
        <w:t xml:space="preserve">JPG</w:t>
      </w:r>
      <w:r>
        <w:t xml:space="preserve">,</w:t>
      </w:r>
      <w:r>
        <w:t xml:space="preserve"> </w:t>
      </w:r>
      <w:r>
        <w:rPr>
          <w:rStyle w:val="VerbatimChar"/>
        </w:rPr>
        <w:t xml:space="preserve">PNG</w:t>
      </w:r>
      <w:r>
        <w:t xml:space="preserve">,</w:t>
      </w:r>
      <w:r>
        <w:t xml:space="preserve"> </w:t>
      </w:r>
      <w:r>
        <w:rPr>
          <w:rStyle w:val="VerbatimChar"/>
        </w:rPr>
        <w:t xml:space="preserve">GIF</w:t>
      </w:r>
      <w:r>
        <w:t xml:space="preserve">).</w:t>
      </w:r>
    </w:p>
    <w:p>
      <w:pPr>
        <w:pStyle w:val="Compact"/>
        <w:numPr>
          <w:ilvl w:val="0"/>
          <w:numId w:val="2114"/>
        </w:numPr>
      </w:pPr>
      <w:r>
        <w:rPr>
          <w:rStyle w:val="VerbatimChar"/>
        </w:rPr>
        <w:t xml:space="preserve">link</w:t>
      </w:r>
      <w:r>
        <w:t xml:space="preserve"> </w:t>
      </w:r>
      <w:r>
        <w:t xml:space="preserve">(Variant, Optional): URL or identifier.</w:t>
      </w:r>
    </w:p>
    <w:bookmarkEnd w:id="4430"/>
    <w:bookmarkStart w:id="4431" w:name="return-value-231"/>
    <w:p>
      <w:pPr>
        <w:pStyle w:val="Heading2"/>
      </w:pPr>
      <w:r>
        <w:t xml:space="preserve">Return Value</w:t>
      </w:r>
    </w:p>
    <w:p>
      <w:pPr>
        <w:pStyle w:val="FirstParagraph"/>
      </w:pPr>
      <w:r>
        <w:rPr>
          <w:b/>
          <w:bCs/>
        </w:rPr>
        <w:t xml:space="preserve">Returns:</w:t>
      </w:r>
      <w:r>
        <w:t xml:space="preserve"> </w:t>
      </w:r>
      <w:r>
        <w:t xml:space="preserve">Empty</w:t>
      </w:r>
    </w:p>
    <w:bookmarkEnd w:id="4431"/>
    <w:bookmarkStart w:id="4432" w:name="code-example-274"/>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32"/>
    <w:bookmarkEnd w:id="4433"/>
    <w:bookmarkStart w:id="4439" w:name="line"/>
    <w:p>
      <w:pPr>
        <w:pStyle w:val="Heading1"/>
      </w:pPr>
      <w:r>
        <w:t xml:space="preserve">Line</w:t>
      </w:r>
    </w:p>
    <w:bookmarkStart w:id="4434" w:name="overview-503"/>
    <w:p>
      <w:pPr>
        <w:pStyle w:val="Heading2"/>
      </w:pPr>
      <w:r>
        <w:t xml:space="preserve">Overview</w:t>
      </w:r>
    </w:p>
    <w:p>
      <w:pPr>
        <w:pStyle w:val="FirstParagraph"/>
      </w:pPr>
      <w:r>
        <w:t xml:space="preserve">Draws a line between two points.</w:t>
      </w:r>
    </w:p>
    <w:bookmarkEnd w:id="4434"/>
    <w:bookmarkStart w:id="4435" w:name="syntax-478"/>
    <w:p>
      <w:pPr>
        <w:pStyle w:val="Heading2"/>
      </w:pPr>
      <w:r>
        <w:t xml:space="preserve">Syntax</w:t>
      </w:r>
    </w:p>
    <w:p>
      <w:pPr>
        <w:pStyle w:val="SourceCode"/>
      </w:pPr>
      <w:r>
        <w:rPr>
          <w:rStyle w:val="NormalTok"/>
        </w:rPr>
        <w:t xml:space="preserve">obj.Line x1, y1, x2, y2</w:t>
      </w:r>
    </w:p>
    <w:bookmarkEnd w:id="4435"/>
    <w:bookmarkStart w:id="4436" w:name="parameters-232"/>
    <w:p>
      <w:pPr>
        <w:pStyle w:val="Heading2"/>
      </w:pPr>
      <w:r>
        <w:t xml:space="preserve">Parameters</w:t>
      </w:r>
    </w:p>
    <w:p>
      <w:pPr>
        <w:pStyle w:val="Compact"/>
        <w:numPr>
          <w:ilvl w:val="0"/>
          <w:numId w:val="2115"/>
        </w:numPr>
      </w:pPr>
      <w:r>
        <w:rPr>
          <w:rStyle w:val="VerbatimChar"/>
        </w:rPr>
        <w:t xml:space="preserve">x1</w:t>
      </w:r>
      <w:r>
        <w:t xml:space="preserve"> </w:t>
      </w:r>
      <w:r>
        <w:t xml:space="preserve">(Double): Abscissa of first point.</w:t>
      </w:r>
    </w:p>
    <w:p>
      <w:pPr>
        <w:pStyle w:val="Compact"/>
        <w:numPr>
          <w:ilvl w:val="0"/>
          <w:numId w:val="2115"/>
        </w:numPr>
      </w:pPr>
      <w:r>
        <w:rPr>
          <w:rStyle w:val="VerbatimChar"/>
        </w:rPr>
        <w:t xml:space="preserve">y1</w:t>
      </w:r>
      <w:r>
        <w:t xml:space="preserve"> </w:t>
      </w:r>
      <w:r>
        <w:t xml:space="preserve">(Double): Ordinate of first point.</w:t>
      </w:r>
    </w:p>
    <w:p>
      <w:pPr>
        <w:pStyle w:val="Compact"/>
        <w:numPr>
          <w:ilvl w:val="0"/>
          <w:numId w:val="2115"/>
        </w:numPr>
      </w:pPr>
      <w:r>
        <w:rPr>
          <w:rStyle w:val="VerbatimChar"/>
        </w:rPr>
        <w:t xml:space="preserve">x2</w:t>
      </w:r>
      <w:r>
        <w:t xml:space="preserve"> </w:t>
      </w:r>
      <w:r>
        <w:t xml:space="preserve">(Double): Abscissa of second point.</w:t>
      </w:r>
    </w:p>
    <w:p>
      <w:pPr>
        <w:pStyle w:val="Compact"/>
        <w:numPr>
          <w:ilvl w:val="0"/>
          <w:numId w:val="2115"/>
        </w:numPr>
      </w:pPr>
      <w:r>
        <w:rPr>
          <w:rStyle w:val="VerbatimChar"/>
        </w:rPr>
        <w:t xml:space="preserve">y2</w:t>
      </w:r>
      <w:r>
        <w:t xml:space="preserve"> </w:t>
      </w:r>
      <w:r>
        <w:t xml:space="preserve">(Double): Ordinate of second point.</w:t>
      </w:r>
    </w:p>
    <w:bookmarkEnd w:id="4436"/>
    <w:bookmarkStart w:id="4437" w:name="return-value-232"/>
    <w:p>
      <w:pPr>
        <w:pStyle w:val="Heading2"/>
      </w:pPr>
      <w:r>
        <w:t xml:space="preserve">Return Value</w:t>
      </w:r>
    </w:p>
    <w:p>
      <w:pPr>
        <w:pStyle w:val="FirstParagraph"/>
      </w:pPr>
      <w:r>
        <w:rPr>
          <w:b/>
          <w:bCs/>
        </w:rPr>
        <w:t xml:space="preserve">Returns:</w:t>
      </w:r>
      <w:r>
        <w:t xml:space="preserve"> </w:t>
      </w:r>
      <w:r>
        <w:t xml:space="preserve">Empty</w:t>
      </w:r>
    </w:p>
    <w:bookmarkEnd w:id="4437"/>
    <w:bookmarkStart w:id="4438" w:name="code-example-275"/>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38"/>
    <w:bookmarkEnd w:id="4439"/>
    <w:bookmarkStart w:id="4445" w:name="ln"/>
    <w:p>
      <w:pPr>
        <w:pStyle w:val="Heading1"/>
      </w:pPr>
      <w:r>
        <w:t xml:space="preserve">Ln</w:t>
      </w:r>
    </w:p>
    <w:bookmarkStart w:id="4440" w:name="overview-504"/>
    <w:p>
      <w:pPr>
        <w:pStyle w:val="Heading2"/>
      </w:pPr>
      <w:r>
        <w:t xml:space="preserve">Overview</w:t>
      </w:r>
    </w:p>
    <w:p>
      <w:pPr>
        <w:pStyle w:val="FirstParagraph"/>
      </w:pPr>
      <w:r>
        <w:t xml:space="preserve">Performs a line break. The current abscissa goes back to the left margin and the ordinate increases by the amount passed in parameter.</w:t>
      </w:r>
    </w:p>
    <w:bookmarkEnd w:id="4440"/>
    <w:bookmarkStart w:id="4441" w:name="syntax-479"/>
    <w:p>
      <w:pPr>
        <w:pStyle w:val="Heading2"/>
      </w:pPr>
      <w:r>
        <w:t xml:space="preserve">Syntax</w:t>
      </w:r>
    </w:p>
    <w:p>
      <w:pPr>
        <w:pStyle w:val="SourceCode"/>
      </w:pPr>
      <w:r>
        <w:rPr>
          <w:rStyle w:val="NormalTok"/>
        </w:rPr>
        <w:t xml:space="preserve">obj.Ln [h]</w:t>
      </w:r>
    </w:p>
    <w:bookmarkEnd w:id="4441"/>
    <w:bookmarkStart w:id="4442" w:name="parameters-233"/>
    <w:p>
      <w:pPr>
        <w:pStyle w:val="Heading2"/>
      </w:pPr>
      <w:r>
        <w:t xml:space="preserve">Parameters</w:t>
      </w:r>
    </w:p>
    <w:p>
      <w:pPr>
        <w:pStyle w:val="Compact"/>
        <w:numPr>
          <w:ilvl w:val="0"/>
          <w:numId w:val="2116"/>
        </w:numPr>
      </w:pPr>
      <w:r>
        <w:rPr>
          <w:rStyle w:val="VerbatimChar"/>
        </w:rPr>
        <w:t xml:space="preserve">h</w:t>
      </w:r>
      <w:r>
        <w:t xml:space="preserve"> </w:t>
      </w:r>
      <w:r>
        <w:t xml:space="preserve">(Double, Optional): The height of the break. By default, the value equals the height of the last printed cell.</w:t>
      </w:r>
    </w:p>
    <w:bookmarkEnd w:id="4442"/>
    <w:bookmarkStart w:id="4443" w:name="return-value-233"/>
    <w:p>
      <w:pPr>
        <w:pStyle w:val="Heading2"/>
      </w:pPr>
      <w:r>
        <w:t xml:space="preserve">Return Value</w:t>
      </w:r>
    </w:p>
    <w:p>
      <w:pPr>
        <w:pStyle w:val="FirstParagraph"/>
      </w:pPr>
      <w:r>
        <w:rPr>
          <w:b/>
          <w:bCs/>
        </w:rPr>
        <w:t xml:space="preserve">Returns:</w:t>
      </w:r>
      <w:r>
        <w:t xml:space="preserve"> </w:t>
      </w:r>
      <w:r>
        <w:t xml:space="preserve">Empty</w:t>
      </w:r>
    </w:p>
    <w:bookmarkEnd w:id="4443"/>
    <w:bookmarkStart w:id="4444" w:name="code-example-276"/>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44"/>
    <w:bookmarkEnd w:id="4445"/>
    <w:bookmarkStart w:id="4451" w:name="multicell"/>
    <w:p>
      <w:pPr>
        <w:pStyle w:val="Heading1"/>
      </w:pPr>
      <w:r>
        <w:t xml:space="preserve">MultiCell</w:t>
      </w:r>
    </w:p>
    <w:bookmarkStart w:id="4446" w:name="overview-505"/>
    <w:p>
      <w:pPr>
        <w:pStyle w:val="Heading2"/>
      </w:pPr>
      <w:r>
        <w:t xml:space="preserve">Overview</w:t>
      </w:r>
    </w:p>
    <w:p>
      <w:pPr>
        <w:pStyle w:val="FirstParagraph"/>
      </w:pPr>
      <w:r>
        <w:t xml:space="preserve">Allows printing text with line breaks. They can be automatic (as soon as the text reaches the right border of the cell) or explicit (via the newline character).</w:t>
      </w:r>
    </w:p>
    <w:bookmarkEnd w:id="4446"/>
    <w:bookmarkStart w:id="4447" w:name="syntax-480"/>
    <w:p>
      <w:pPr>
        <w:pStyle w:val="Heading2"/>
      </w:pPr>
      <w:r>
        <w:t xml:space="preserve">Syntax</w:t>
      </w:r>
    </w:p>
    <w:p>
      <w:pPr>
        <w:pStyle w:val="SourceCode"/>
      </w:pPr>
      <w:r>
        <w:rPr>
          <w:rStyle w:val="NormalTok"/>
        </w:rPr>
        <w:t xml:space="preserve">obj.MultiCell w, h, txt, [border], [align], [fill]</w:t>
      </w:r>
    </w:p>
    <w:bookmarkEnd w:id="4447"/>
    <w:bookmarkStart w:id="4448" w:name="parameters-234"/>
    <w:p>
      <w:pPr>
        <w:pStyle w:val="Heading2"/>
      </w:pPr>
      <w:r>
        <w:t xml:space="preserve">Parameters</w:t>
      </w:r>
    </w:p>
    <w:p>
      <w:pPr>
        <w:pStyle w:val="Compact"/>
        <w:numPr>
          <w:ilvl w:val="0"/>
          <w:numId w:val="2117"/>
        </w:numPr>
      </w:pPr>
      <w:r>
        <w:rPr>
          <w:rStyle w:val="VerbatimChar"/>
        </w:rPr>
        <w:t xml:space="preserve">w</w:t>
      </w:r>
      <w:r>
        <w:t xml:space="preserve"> </w:t>
      </w:r>
      <w:r>
        <w:t xml:space="preserve">(Double): Width of cells. If 0, they extend up to the right margin of the page.</w:t>
      </w:r>
    </w:p>
    <w:p>
      <w:pPr>
        <w:pStyle w:val="Compact"/>
        <w:numPr>
          <w:ilvl w:val="0"/>
          <w:numId w:val="2117"/>
        </w:numPr>
      </w:pPr>
      <w:r>
        <w:rPr>
          <w:rStyle w:val="VerbatimChar"/>
        </w:rPr>
        <w:t xml:space="preserve">h</w:t>
      </w:r>
      <w:r>
        <w:t xml:space="preserve"> </w:t>
      </w:r>
      <w:r>
        <w:t xml:space="preserve">(Double): Height of cells.</w:t>
      </w:r>
    </w:p>
    <w:p>
      <w:pPr>
        <w:pStyle w:val="Compact"/>
        <w:numPr>
          <w:ilvl w:val="0"/>
          <w:numId w:val="2117"/>
        </w:numPr>
      </w:pPr>
      <w:r>
        <w:rPr>
          <w:rStyle w:val="VerbatimChar"/>
        </w:rPr>
        <w:t xml:space="preserve">txt</w:t>
      </w:r>
      <w:r>
        <w:t xml:space="preserve"> </w:t>
      </w:r>
      <w:r>
        <w:t xml:space="preserve">(String): String to print.</w:t>
      </w:r>
    </w:p>
    <w:p>
      <w:pPr>
        <w:pStyle w:val="Compact"/>
        <w:numPr>
          <w:ilvl w:val="0"/>
          <w:numId w:val="2117"/>
        </w:numPr>
      </w:pPr>
      <w:r>
        <w:rPr>
          <w:rStyle w:val="VerbatimChar"/>
        </w:rPr>
        <w:t xml:space="preserve">border</w:t>
      </w:r>
      <w:r>
        <w:t xml:space="preserve"> </w:t>
      </w:r>
      <w:r>
        <w:t xml:space="preserve">(Variant, Optional): Indicates if borders must be drawn (0, 1, or string like</w:t>
      </w:r>
      <w:r>
        <w:t xml:space="preserve"> </w:t>
      </w:r>
      <w:r>
        <w:rPr>
          <w:rStyle w:val="VerbatimChar"/>
        </w:rPr>
        <w:t xml:space="preserve">LRTB</w:t>
      </w:r>
      <w:r>
        <w:t xml:space="preserve">).</w:t>
      </w:r>
    </w:p>
    <w:p>
      <w:pPr>
        <w:pStyle w:val="Compact"/>
        <w:numPr>
          <w:ilvl w:val="0"/>
          <w:numId w:val="2117"/>
        </w:numPr>
      </w:pPr>
      <w:r>
        <w:rPr>
          <w:rStyle w:val="VerbatimChar"/>
        </w:rPr>
        <w:t xml:space="preserve">align</w:t>
      </w:r>
      <w:r>
        <w:t xml:space="preserve"> </w:t>
      </w:r>
      <w:r>
        <w:t xml:space="preserve">(String, Optional): Allows to center or align the text. Possible values:</w:t>
      </w:r>
      <w:r>
        <w:t xml:space="preserve"> </w:t>
      </w:r>
      <w:r>
        <w:rPr>
          <w:rStyle w:val="VerbatimChar"/>
        </w:rPr>
        <w:t xml:space="preserve">L</w:t>
      </w:r>
      <w:r>
        <w:t xml:space="preserve">,</w:t>
      </w:r>
      <w:r>
        <w:t xml:space="preserve"> </w:t>
      </w:r>
      <w:r>
        <w:rPr>
          <w:rStyle w:val="VerbatimChar"/>
        </w:rPr>
        <w:t xml:space="preserve">C</w:t>
      </w:r>
      <w:r>
        <w:t xml:space="preserve">,</w:t>
      </w:r>
      <w:r>
        <w:t xml:space="preserve"> </w:t>
      </w:r>
      <w:r>
        <w:rPr>
          <w:rStyle w:val="VerbatimChar"/>
        </w:rPr>
        <w:t xml:space="preserve">R</w:t>
      </w:r>
      <w:r>
        <w:t xml:space="preserve">,</w:t>
      </w:r>
      <w:r>
        <w:t xml:space="preserve"> </w:t>
      </w:r>
      <w:r>
        <w:rPr>
          <w:rStyle w:val="VerbatimChar"/>
        </w:rPr>
        <w:t xml:space="preserve">J</w:t>
      </w:r>
      <w:r>
        <w:t xml:space="preserve">.</w:t>
      </w:r>
    </w:p>
    <w:p>
      <w:pPr>
        <w:pStyle w:val="Compact"/>
        <w:numPr>
          <w:ilvl w:val="0"/>
          <w:numId w:val="2117"/>
        </w:numPr>
      </w:pPr>
      <w:r>
        <w:rPr>
          <w:rStyle w:val="VerbatimChar"/>
        </w:rPr>
        <w:t xml:space="preserve">fill</w:t>
      </w:r>
      <w:r>
        <w:t xml:space="preserve"> </w:t>
      </w:r>
      <w:r>
        <w:t xml:space="preserve">(Boolean, Optional): Indicates if the cell background must be painted.</w:t>
      </w:r>
    </w:p>
    <w:bookmarkEnd w:id="4448"/>
    <w:bookmarkStart w:id="4449" w:name="return-value-234"/>
    <w:p>
      <w:pPr>
        <w:pStyle w:val="Heading2"/>
      </w:pPr>
      <w:r>
        <w:t xml:space="preserve">Return Value</w:t>
      </w:r>
    </w:p>
    <w:p>
      <w:pPr>
        <w:pStyle w:val="FirstParagraph"/>
      </w:pPr>
      <w:r>
        <w:rPr>
          <w:b/>
          <w:bCs/>
        </w:rPr>
        <w:t xml:space="preserve">Returns:</w:t>
      </w:r>
      <w:r>
        <w:t xml:space="preserve"> </w:t>
      </w:r>
      <w:r>
        <w:t xml:space="preserve">Empty</w:t>
      </w:r>
    </w:p>
    <w:bookmarkEnd w:id="4449"/>
    <w:bookmarkStart w:id="4450" w:name="code-example-277"/>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50"/>
    <w:bookmarkEnd w:id="4451"/>
    <w:bookmarkStart w:id="4457" w:name="rect"/>
    <w:p>
      <w:pPr>
        <w:pStyle w:val="Heading1"/>
      </w:pPr>
      <w:r>
        <w:t xml:space="preserve">Rect</w:t>
      </w:r>
    </w:p>
    <w:bookmarkStart w:id="4452" w:name="overview-506"/>
    <w:p>
      <w:pPr>
        <w:pStyle w:val="Heading2"/>
      </w:pPr>
      <w:r>
        <w:t xml:space="preserve">Overview</w:t>
      </w:r>
    </w:p>
    <w:p>
      <w:pPr>
        <w:pStyle w:val="FirstParagraph"/>
      </w:pPr>
      <w:r>
        <w:t xml:space="preserve">Outputs a rectangle.</w:t>
      </w:r>
    </w:p>
    <w:bookmarkEnd w:id="4452"/>
    <w:bookmarkStart w:id="4453" w:name="syntax-481"/>
    <w:p>
      <w:pPr>
        <w:pStyle w:val="Heading2"/>
      </w:pPr>
      <w:r>
        <w:t xml:space="preserve">Syntax</w:t>
      </w:r>
    </w:p>
    <w:p>
      <w:pPr>
        <w:pStyle w:val="SourceCode"/>
      </w:pPr>
      <w:r>
        <w:rPr>
          <w:rStyle w:val="NormalTok"/>
        </w:rPr>
        <w:t xml:space="preserve">obj.Rect x, y, w, h, [style]</w:t>
      </w:r>
    </w:p>
    <w:bookmarkEnd w:id="4453"/>
    <w:bookmarkStart w:id="4454" w:name="parameters-235"/>
    <w:p>
      <w:pPr>
        <w:pStyle w:val="Heading2"/>
      </w:pPr>
      <w:r>
        <w:t xml:space="preserve">Parameters</w:t>
      </w:r>
    </w:p>
    <w:p>
      <w:pPr>
        <w:pStyle w:val="Compact"/>
        <w:numPr>
          <w:ilvl w:val="0"/>
          <w:numId w:val="2118"/>
        </w:numPr>
      </w:pPr>
      <w:r>
        <w:rPr>
          <w:rStyle w:val="VerbatimChar"/>
        </w:rPr>
        <w:t xml:space="preserve">x</w:t>
      </w:r>
      <w:r>
        <w:t xml:space="preserve"> </w:t>
      </w:r>
      <w:r>
        <w:t xml:space="preserve">(Double): Abscissa of upper-left corner.</w:t>
      </w:r>
    </w:p>
    <w:p>
      <w:pPr>
        <w:pStyle w:val="Compact"/>
        <w:numPr>
          <w:ilvl w:val="0"/>
          <w:numId w:val="2118"/>
        </w:numPr>
      </w:pPr>
      <w:r>
        <w:rPr>
          <w:rStyle w:val="VerbatimChar"/>
        </w:rPr>
        <w:t xml:space="preserve">y</w:t>
      </w:r>
      <w:r>
        <w:t xml:space="preserve"> </w:t>
      </w:r>
      <w:r>
        <w:t xml:space="preserve">(Double): Ordinate of upper-left corner.</w:t>
      </w:r>
    </w:p>
    <w:p>
      <w:pPr>
        <w:pStyle w:val="Compact"/>
        <w:numPr>
          <w:ilvl w:val="0"/>
          <w:numId w:val="2118"/>
        </w:numPr>
      </w:pPr>
      <w:r>
        <w:rPr>
          <w:rStyle w:val="VerbatimChar"/>
        </w:rPr>
        <w:t xml:space="preserve">w</w:t>
      </w:r>
      <w:r>
        <w:t xml:space="preserve"> </w:t>
      </w:r>
      <w:r>
        <w:t xml:space="preserve">(Double): Width.</w:t>
      </w:r>
    </w:p>
    <w:p>
      <w:pPr>
        <w:pStyle w:val="Compact"/>
        <w:numPr>
          <w:ilvl w:val="0"/>
          <w:numId w:val="2118"/>
        </w:numPr>
      </w:pPr>
      <w:r>
        <w:rPr>
          <w:rStyle w:val="VerbatimChar"/>
        </w:rPr>
        <w:t xml:space="preserve">h</w:t>
      </w:r>
      <w:r>
        <w:t xml:space="preserve"> </w:t>
      </w:r>
      <w:r>
        <w:t xml:space="preserve">(Double): Height.</w:t>
      </w:r>
    </w:p>
    <w:p>
      <w:pPr>
        <w:pStyle w:val="Compact"/>
        <w:numPr>
          <w:ilvl w:val="0"/>
          <w:numId w:val="2118"/>
        </w:numPr>
      </w:pPr>
      <w:r>
        <w:rPr>
          <w:rStyle w:val="VerbatimChar"/>
        </w:rPr>
        <w:t xml:space="preserve">style</w:t>
      </w:r>
      <w:r>
        <w:t xml:space="preserve"> </w:t>
      </w:r>
      <w:r>
        <w:t xml:space="preserve">(String, Optional): Style of rendering. Possible values:</w:t>
      </w:r>
      <w:r>
        <w:t xml:space="preserve"> </w:t>
      </w:r>
      <w:r>
        <w:rPr>
          <w:rStyle w:val="VerbatimChar"/>
        </w:rPr>
        <w:t xml:space="preserve">D</w:t>
      </w:r>
      <w:r>
        <w:t xml:space="preserve"> </w:t>
      </w:r>
      <w:r>
        <w:t xml:space="preserve">(Draw),</w:t>
      </w:r>
      <w:r>
        <w:t xml:space="preserve"> </w:t>
      </w:r>
      <w:r>
        <w:rPr>
          <w:rStyle w:val="VerbatimChar"/>
        </w:rPr>
        <w:t xml:space="preserve">F</w:t>
      </w:r>
      <w:r>
        <w:t xml:space="preserve"> </w:t>
      </w:r>
      <w:r>
        <w:t xml:space="preserve">(Fill),</w:t>
      </w:r>
      <w:r>
        <w:t xml:space="preserve"> </w:t>
      </w:r>
      <w:r>
        <w:rPr>
          <w:rStyle w:val="VerbatimChar"/>
        </w:rPr>
        <w:t xml:space="preserve">DF</w:t>
      </w:r>
      <w:r>
        <w:t xml:space="preserve"> </w:t>
      </w:r>
      <w:r>
        <w:t xml:space="preserve">or</w:t>
      </w:r>
      <w:r>
        <w:t xml:space="preserve"> </w:t>
      </w:r>
      <w:r>
        <w:rPr>
          <w:rStyle w:val="VerbatimChar"/>
        </w:rPr>
        <w:t xml:space="preserve">FD</w:t>
      </w:r>
      <w:r>
        <w:t xml:space="preserve"> </w:t>
      </w:r>
      <w:r>
        <w:t xml:space="preserve">(Draw and fill).</w:t>
      </w:r>
    </w:p>
    <w:bookmarkEnd w:id="4454"/>
    <w:bookmarkStart w:id="4455" w:name="return-value-235"/>
    <w:p>
      <w:pPr>
        <w:pStyle w:val="Heading2"/>
      </w:pPr>
      <w:r>
        <w:t xml:space="preserve">Return Value</w:t>
      </w:r>
    </w:p>
    <w:p>
      <w:pPr>
        <w:pStyle w:val="FirstParagraph"/>
      </w:pPr>
      <w:r>
        <w:rPr>
          <w:b/>
          <w:bCs/>
        </w:rPr>
        <w:t xml:space="preserve">Returns:</w:t>
      </w:r>
      <w:r>
        <w:t xml:space="preserve"> </w:t>
      </w:r>
      <w:r>
        <w:t xml:space="preserve">Empty</w:t>
      </w:r>
    </w:p>
    <w:bookmarkEnd w:id="4455"/>
    <w:bookmarkStart w:id="4456" w:name="code-example-278"/>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56"/>
    <w:bookmarkEnd w:id="4457"/>
    <w:bookmarkStart w:id="4463" w:name="reset"/>
    <w:p>
      <w:pPr>
        <w:pStyle w:val="Heading1"/>
      </w:pPr>
      <w:r>
        <w:t xml:space="preserve">Reset</w:t>
      </w:r>
    </w:p>
    <w:bookmarkStart w:id="4458" w:name="overview-507"/>
    <w:p>
      <w:pPr>
        <w:pStyle w:val="Heading2"/>
      </w:pPr>
      <w:r>
        <w:t xml:space="preserve">Overview</w:t>
      </w:r>
    </w:p>
    <w:p>
      <w:pPr>
        <w:pStyle w:val="FirstParagraph"/>
      </w:pPr>
      <w:r>
        <w:t xml:space="preserve">Resets the PDF engine, clearing all content, settings, and pages. It optionally allows setting the new defaults for the document.</w:t>
      </w:r>
    </w:p>
    <w:bookmarkEnd w:id="4458"/>
    <w:bookmarkStart w:id="4459" w:name="syntax-482"/>
    <w:p>
      <w:pPr>
        <w:pStyle w:val="Heading2"/>
      </w:pPr>
      <w:r>
        <w:t xml:space="preserve">Syntax</w:t>
      </w:r>
    </w:p>
    <w:p>
      <w:pPr>
        <w:pStyle w:val="SourceCode"/>
      </w:pPr>
      <w:r>
        <w:rPr>
          <w:rStyle w:val="NormalTok"/>
        </w:rPr>
        <w:t xml:space="preserve">obj.Reset [orientation], [unit], [size]</w:t>
      </w:r>
    </w:p>
    <w:bookmarkEnd w:id="4459"/>
    <w:bookmarkStart w:id="4460" w:name="parameters-236"/>
    <w:p>
      <w:pPr>
        <w:pStyle w:val="Heading2"/>
      </w:pPr>
      <w:r>
        <w:t xml:space="preserve">Parameters</w:t>
      </w:r>
    </w:p>
    <w:p>
      <w:pPr>
        <w:pStyle w:val="Compact"/>
        <w:numPr>
          <w:ilvl w:val="0"/>
          <w:numId w:val="2119"/>
        </w:numPr>
      </w:pPr>
      <w:r>
        <w:rPr>
          <w:rStyle w:val="VerbatimChar"/>
        </w:rPr>
        <w:t xml:space="preserve">orientation</w:t>
      </w:r>
      <w:r>
        <w:t xml:space="preserve"> </w:t>
      </w:r>
      <w:r>
        <w:t xml:space="preserve">(String, Optional): Default page orientation (</w:t>
      </w:r>
      <w:r>
        <w:rPr>
          <w:rStyle w:val="VerbatimChar"/>
        </w:rPr>
        <w:t xml:space="preserve">P</w:t>
      </w:r>
      <w:r>
        <w:t xml:space="preserve"> </w:t>
      </w:r>
      <w:r>
        <w:t xml:space="preserve">or</w:t>
      </w:r>
      <w:r>
        <w:t xml:space="preserve"> </w:t>
      </w:r>
      <w:r>
        <w:rPr>
          <w:rStyle w:val="VerbatimChar"/>
        </w:rPr>
        <w:t xml:space="preserve">L</w:t>
      </w:r>
      <w:r>
        <w:t xml:space="preserve">).</w:t>
      </w:r>
    </w:p>
    <w:p>
      <w:pPr>
        <w:pStyle w:val="Compact"/>
        <w:numPr>
          <w:ilvl w:val="0"/>
          <w:numId w:val="2119"/>
        </w:numPr>
      </w:pPr>
      <w:r>
        <w:rPr>
          <w:rStyle w:val="VerbatimChar"/>
        </w:rPr>
        <w:t xml:space="preserve">unit</w:t>
      </w:r>
      <w:r>
        <w:t xml:space="preserve"> </w:t>
      </w:r>
      <w:r>
        <w:t xml:space="preserve">(String, Optional): User unit of measure (e.g.,</w:t>
      </w:r>
      <w:r>
        <w:t xml:space="preserve"> </w:t>
      </w:r>
      <w:r>
        <w:rPr>
          <w:rStyle w:val="VerbatimChar"/>
        </w:rPr>
        <w:t xml:space="preserve">pt</w:t>
      </w:r>
      <w:r>
        <w:t xml:space="preserve">,</w:t>
      </w:r>
      <w:r>
        <w:t xml:space="preserve"> </w:t>
      </w:r>
      <w:r>
        <w:rPr>
          <w:rStyle w:val="VerbatimChar"/>
        </w:rPr>
        <w:t xml:space="preserve">mm</w:t>
      </w:r>
      <w:r>
        <w:t xml:space="preserve">,</w:t>
      </w:r>
      <w:r>
        <w:t xml:space="preserve"> </w:t>
      </w:r>
      <w:r>
        <w:rPr>
          <w:rStyle w:val="VerbatimChar"/>
        </w:rPr>
        <w:t xml:space="preserve">cm</w:t>
      </w:r>
      <w:r>
        <w:t xml:space="preserve">,</w:t>
      </w:r>
      <w:r>
        <w:t xml:space="preserve"> </w:t>
      </w:r>
      <w:r>
        <w:rPr>
          <w:rStyle w:val="VerbatimChar"/>
        </w:rPr>
        <w:t xml:space="preserve">in</w:t>
      </w:r>
      <w:r>
        <w:t xml:space="preserve">).</w:t>
      </w:r>
    </w:p>
    <w:p>
      <w:pPr>
        <w:pStyle w:val="Compact"/>
        <w:numPr>
          <w:ilvl w:val="0"/>
          <w:numId w:val="2119"/>
        </w:numPr>
      </w:pPr>
      <w:r>
        <w:rPr>
          <w:rStyle w:val="VerbatimChar"/>
        </w:rPr>
        <w:t xml:space="preserve">size</w:t>
      </w:r>
      <w:r>
        <w:t xml:space="preserve"> </w:t>
      </w:r>
      <w:r>
        <w:t xml:space="preserve">(String, Optional): Default page format (e.g.,</w:t>
      </w:r>
      <w:r>
        <w:t xml:space="preserve"> </w:t>
      </w:r>
      <w:r>
        <w:rPr>
          <w:rStyle w:val="VerbatimChar"/>
        </w:rPr>
        <w:t xml:space="preserve">A4</w:t>
      </w:r>
      <w:r>
        <w:t xml:space="preserve">,</w:t>
      </w:r>
      <w:r>
        <w:t xml:space="preserve"> </w:t>
      </w:r>
      <w:r>
        <w:rPr>
          <w:rStyle w:val="VerbatimChar"/>
        </w:rPr>
        <w:t xml:space="preserve">Letter</w:t>
      </w:r>
      <w:r>
        <w:t xml:space="preserve">).</w:t>
      </w:r>
    </w:p>
    <w:bookmarkEnd w:id="4460"/>
    <w:bookmarkStart w:id="4461" w:name="return-value-236"/>
    <w:p>
      <w:pPr>
        <w:pStyle w:val="Heading2"/>
      </w:pPr>
      <w:r>
        <w:t xml:space="preserve">Return Value</w:t>
      </w:r>
    </w:p>
    <w:p>
      <w:pPr>
        <w:pStyle w:val="FirstParagraph"/>
      </w:pPr>
      <w:r>
        <w:rPr>
          <w:b/>
          <w:bCs/>
        </w:rPr>
        <w:t xml:space="preserve">Returns:</w:t>
      </w:r>
      <w:r>
        <w:t xml:space="preserve"> </w:t>
      </w:r>
      <w:r>
        <w:t xml:space="preserve">Empty</w:t>
      </w:r>
    </w:p>
    <w:bookmarkEnd w:id="4461"/>
    <w:bookmarkStart w:id="4462" w:name="code-example-279"/>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62"/>
    <w:bookmarkEnd w:id="4463"/>
    <w:bookmarkStart w:id="4469" w:name="setautopagebreak"/>
    <w:p>
      <w:pPr>
        <w:pStyle w:val="Heading1"/>
      </w:pPr>
      <w:r>
        <w:t xml:space="preserve">SetAutoPageBreak</w:t>
      </w:r>
    </w:p>
    <w:bookmarkStart w:id="4464" w:name="overview-508"/>
    <w:p>
      <w:pPr>
        <w:pStyle w:val="Heading2"/>
      </w:pPr>
      <w:r>
        <w:t xml:space="preserve">Overview</w:t>
      </w:r>
    </w:p>
    <w:p>
      <w:pPr>
        <w:pStyle w:val="FirstParagraph"/>
      </w:pPr>
      <w:r>
        <w:t xml:space="preserve">Enables or disables the automatic page breaking mode.</w:t>
      </w:r>
    </w:p>
    <w:bookmarkEnd w:id="4464"/>
    <w:bookmarkStart w:id="4465" w:name="syntax-483"/>
    <w:p>
      <w:pPr>
        <w:pStyle w:val="Heading2"/>
      </w:pPr>
      <w:r>
        <w:t xml:space="preserve">Syntax</w:t>
      </w:r>
    </w:p>
    <w:p>
      <w:pPr>
        <w:pStyle w:val="SourceCode"/>
      </w:pPr>
      <w:r>
        <w:rPr>
          <w:rStyle w:val="NormalTok"/>
        </w:rPr>
        <w:t xml:space="preserve">obj.SetAutoPageBreak auto, [margin]</w:t>
      </w:r>
    </w:p>
    <w:bookmarkEnd w:id="4465"/>
    <w:bookmarkStart w:id="4466" w:name="parameters-237"/>
    <w:p>
      <w:pPr>
        <w:pStyle w:val="Heading2"/>
      </w:pPr>
      <w:r>
        <w:t xml:space="preserve">Parameters</w:t>
      </w:r>
    </w:p>
    <w:p>
      <w:pPr>
        <w:pStyle w:val="Compact"/>
        <w:numPr>
          <w:ilvl w:val="0"/>
          <w:numId w:val="2120"/>
        </w:numPr>
      </w:pPr>
      <w:r>
        <w:rPr>
          <w:rStyle w:val="VerbatimChar"/>
        </w:rPr>
        <w:t xml:space="preserve">auto</w:t>
      </w:r>
      <w:r>
        <w:t xml:space="preserve"> </w:t>
      </w:r>
      <w:r>
        <w:t xml:space="preserve">(Boolean): Boolean indicating if mode should be on or off.</w:t>
      </w:r>
    </w:p>
    <w:p>
      <w:pPr>
        <w:pStyle w:val="Compact"/>
        <w:numPr>
          <w:ilvl w:val="0"/>
          <w:numId w:val="2120"/>
        </w:numPr>
      </w:pPr>
      <w:r>
        <w:rPr>
          <w:rStyle w:val="VerbatimChar"/>
        </w:rPr>
        <w:t xml:space="preserve">margin</w:t>
      </w:r>
      <w:r>
        <w:t xml:space="preserve"> </w:t>
      </w:r>
      <w:r>
        <w:t xml:space="preserve">(Double, Optional): Distance from the bottom of the page that triggers the break.</w:t>
      </w:r>
    </w:p>
    <w:bookmarkEnd w:id="4466"/>
    <w:bookmarkStart w:id="4467" w:name="return-value-237"/>
    <w:p>
      <w:pPr>
        <w:pStyle w:val="Heading2"/>
      </w:pPr>
      <w:r>
        <w:t xml:space="preserve">Return Value</w:t>
      </w:r>
    </w:p>
    <w:p>
      <w:pPr>
        <w:pStyle w:val="FirstParagraph"/>
      </w:pPr>
      <w:r>
        <w:rPr>
          <w:b/>
          <w:bCs/>
        </w:rPr>
        <w:t xml:space="preserve">Returns:</w:t>
      </w:r>
      <w:r>
        <w:t xml:space="preserve"> </w:t>
      </w:r>
      <w:r>
        <w:t xml:space="preserve">Empty</w:t>
      </w:r>
    </w:p>
    <w:bookmarkEnd w:id="4467"/>
    <w:bookmarkStart w:id="4468" w:name="code-example-280"/>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68"/>
    <w:bookmarkEnd w:id="4469"/>
    <w:bookmarkStart w:id="4475" w:name="setdrawcolor"/>
    <w:p>
      <w:pPr>
        <w:pStyle w:val="Heading1"/>
      </w:pPr>
      <w:r>
        <w:t xml:space="preserve">SetDrawColor</w:t>
      </w:r>
    </w:p>
    <w:bookmarkStart w:id="4470" w:name="overview-509"/>
    <w:p>
      <w:pPr>
        <w:pStyle w:val="Heading2"/>
      </w:pPr>
      <w:r>
        <w:t xml:space="preserve">Overview</w:t>
      </w:r>
    </w:p>
    <w:p>
      <w:pPr>
        <w:pStyle w:val="FirstParagraph"/>
      </w:pPr>
      <w:r>
        <w:t xml:space="preserve">Defines the color used for all drawing operations (lines, rectangles and cell borders). It can be expressed in RGB components or grayscale.</w:t>
      </w:r>
    </w:p>
    <w:bookmarkEnd w:id="4470"/>
    <w:bookmarkStart w:id="4471" w:name="syntax-484"/>
    <w:p>
      <w:pPr>
        <w:pStyle w:val="Heading2"/>
      </w:pPr>
      <w:r>
        <w:t xml:space="preserve">Syntax</w:t>
      </w:r>
    </w:p>
    <w:p>
      <w:pPr>
        <w:pStyle w:val="SourceCode"/>
      </w:pPr>
      <w:r>
        <w:rPr>
          <w:rStyle w:val="NormalTok"/>
        </w:rPr>
        <w:t xml:space="preserve">obj.SetDrawColor r, [g], [b]</w:t>
      </w:r>
    </w:p>
    <w:bookmarkEnd w:id="4471"/>
    <w:bookmarkStart w:id="4472" w:name="parameters-238"/>
    <w:p>
      <w:pPr>
        <w:pStyle w:val="Heading2"/>
      </w:pPr>
      <w:r>
        <w:t xml:space="preserve">Parameters</w:t>
      </w:r>
    </w:p>
    <w:p>
      <w:pPr>
        <w:pStyle w:val="Compact"/>
        <w:numPr>
          <w:ilvl w:val="0"/>
          <w:numId w:val="2121"/>
        </w:numPr>
      </w:pPr>
      <w:r>
        <w:rPr>
          <w:rStyle w:val="VerbatimChar"/>
        </w:rPr>
        <w:t xml:space="preserve">r</w:t>
      </w:r>
      <w:r>
        <w:t xml:space="preserve"> </w:t>
      </w:r>
      <w:r>
        <w:t xml:space="preserve">(Integer): If</w:t>
      </w:r>
      <w:r>
        <w:t xml:space="preserve"> </w:t>
      </w:r>
      <w:r>
        <w:rPr>
          <w:rStyle w:val="VerbatimChar"/>
        </w:rPr>
        <w:t xml:space="preserve">g</w:t>
      </w:r>
      <w:r>
        <w:t xml:space="preserve"> </w:t>
      </w:r>
      <w:r>
        <w:t xml:space="preserve">and</w:t>
      </w:r>
      <w:r>
        <w:t xml:space="preserve"> </w:t>
      </w:r>
      <w:r>
        <w:rPr>
          <w:rStyle w:val="VerbatimChar"/>
        </w:rPr>
        <w:t xml:space="preserve">b</w:t>
      </w:r>
      <w:r>
        <w:t xml:space="preserve"> </w:t>
      </w:r>
      <w:r>
        <w:t xml:space="preserve">are given, this indicates the red component; else, it indicates the grayscale level.</w:t>
      </w:r>
    </w:p>
    <w:p>
      <w:pPr>
        <w:pStyle w:val="Compact"/>
        <w:numPr>
          <w:ilvl w:val="0"/>
          <w:numId w:val="2121"/>
        </w:numPr>
      </w:pPr>
      <w:r>
        <w:rPr>
          <w:rStyle w:val="VerbatimChar"/>
        </w:rPr>
        <w:t xml:space="preserve">g</w:t>
      </w:r>
      <w:r>
        <w:t xml:space="preserve"> </w:t>
      </w:r>
      <w:r>
        <w:t xml:space="preserve">(Integer, Optional): Green component (between 0 and 255).</w:t>
      </w:r>
    </w:p>
    <w:p>
      <w:pPr>
        <w:pStyle w:val="Compact"/>
        <w:numPr>
          <w:ilvl w:val="0"/>
          <w:numId w:val="2121"/>
        </w:numPr>
      </w:pPr>
      <w:r>
        <w:rPr>
          <w:rStyle w:val="VerbatimChar"/>
        </w:rPr>
        <w:t xml:space="preserve">b</w:t>
      </w:r>
      <w:r>
        <w:t xml:space="preserve"> </w:t>
      </w:r>
      <w:r>
        <w:t xml:space="preserve">(Integer, Optional): Blue component (between 0 and 255).</w:t>
      </w:r>
    </w:p>
    <w:bookmarkEnd w:id="4472"/>
    <w:bookmarkStart w:id="4473" w:name="return-value-238"/>
    <w:p>
      <w:pPr>
        <w:pStyle w:val="Heading2"/>
      </w:pPr>
      <w:r>
        <w:t xml:space="preserve">Return Value</w:t>
      </w:r>
    </w:p>
    <w:p>
      <w:pPr>
        <w:pStyle w:val="FirstParagraph"/>
      </w:pPr>
      <w:r>
        <w:rPr>
          <w:b/>
          <w:bCs/>
        </w:rPr>
        <w:t xml:space="preserve">Returns:</w:t>
      </w:r>
      <w:r>
        <w:t xml:space="preserve"> </w:t>
      </w:r>
      <w:r>
        <w:t xml:space="preserve">Empty</w:t>
      </w:r>
    </w:p>
    <w:bookmarkEnd w:id="4473"/>
    <w:bookmarkStart w:id="4474" w:name="code-example-281"/>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74"/>
    <w:bookmarkEnd w:id="4475"/>
    <w:bookmarkStart w:id="4481" w:name="setfillcolor"/>
    <w:p>
      <w:pPr>
        <w:pStyle w:val="Heading1"/>
      </w:pPr>
      <w:r>
        <w:t xml:space="preserve">SetFillColor</w:t>
      </w:r>
    </w:p>
    <w:bookmarkStart w:id="4476" w:name="overview-510"/>
    <w:p>
      <w:pPr>
        <w:pStyle w:val="Heading2"/>
      </w:pPr>
      <w:r>
        <w:t xml:space="preserve">Overview</w:t>
      </w:r>
    </w:p>
    <w:p>
      <w:pPr>
        <w:pStyle w:val="FirstParagraph"/>
      </w:pPr>
      <w:r>
        <w:t xml:space="preserve">Defines the color used for all filling operations (filled rectangles and cell backgrounds).</w:t>
      </w:r>
    </w:p>
    <w:bookmarkEnd w:id="4476"/>
    <w:bookmarkStart w:id="4477" w:name="syntax-485"/>
    <w:p>
      <w:pPr>
        <w:pStyle w:val="Heading2"/>
      </w:pPr>
      <w:r>
        <w:t xml:space="preserve">Syntax</w:t>
      </w:r>
    </w:p>
    <w:p>
      <w:pPr>
        <w:pStyle w:val="SourceCode"/>
      </w:pPr>
      <w:r>
        <w:rPr>
          <w:rStyle w:val="NormalTok"/>
        </w:rPr>
        <w:t xml:space="preserve">obj.SetFillColor r, [g], [b]</w:t>
      </w:r>
    </w:p>
    <w:bookmarkEnd w:id="4477"/>
    <w:bookmarkStart w:id="4478" w:name="parameters-239"/>
    <w:p>
      <w:pPr>
        <w:pStyle w:val="Heading2"/>
      </w:pPr>
      <w:r>
        <w:t xml:space="preserve">Parameters</w:t>
      </w:r>
    </w:p>
    <w:p>
      <w:pPr>
        <w:pStyle w:val="Compact"/>
        <w:numPr>
          <w:ilvl w:val="0"/>
          <w:numId w:val="2122"/>
        </w:numPr>
      </w:pPr>
      <w:r>
        <w:rPr>
          <w:rStyle w:val="VerbatimChar"/>
        </w:rPr>
        <w:t xml:space="preserve">r</w:t>
      </w:r>
      <w:r>
        <w:t xml:space="preserve"> </w:t>
      </w:r>
      <w:r>
        <w:t xml:space="preserve">(Integer): Red component or grayscale level.</w:t>
      </w:r>
    </w:p>
    <w:p>
      <w:pPr>
        <w:pStyle w:val="Compact"/>
        <w:numPr>
          <w:ilvl w:val="0"/>
          <w:numId w:val="2122"/>
        </w:numPr>
      </w:pPr>
      <w:r>
        <w:rPr>
          <w:rStyle w:val="VerbatimChar"/>
        </w:rPr>
        <w:t xml:space="preserve">g</w:t>
      </w:r>
      <w:r>
        <w:t xml:space="preserve"> </w:t>
      </w:r>
      <w:r>
        <w:t xml:space="preserve">(Integer, Optional): Green component.</w:t>
      </w:r>
    </w:p>
    <w:p>
      <w:pPr>
        <w:pStyle w:val="Compact"/>
        <w:numPr>
          <w:ilvl w:val="0"/>
          <w:numId w:val="2122"/>
        </w:numPr>
      </w:pPr>
      <w:r>
        <w:rPr>
          <w:rStyle w:val="VerbatimChar"/>
        </w:rPr>
        <w:t xml:space="preserve">b</w:t>
      </w:r>
      <w:r>
        <w:t xml:space="preserve"> </w:t>
      </w:r>
      <w:r>
        <w:t xml:space="preserve">(Integer, Optional): Blue component.</w:t>
      </w:r>
    </w:p>
    <w:bookmarkEnd w:id="4478"/>
    <w:bookmarkStart w:id="4479" w:name="return-value-239"/>
    <w:p>
      <w:pPr>
        <w:pStyle w:val="Heading2"/>
      </w:pPr>
      <w:r>
        <w:t xml:space="preserve">Return Value</w:t>
      </w:r>
    </w:p>
    <w:p>
      <w:pPr>
        <w:pStyle w:val="FirstParagraph"/>
      </w:pPr>
      <w:r>
        <w:rPr>
          <w:b/>
          <w:bCs/>
        </w:rPr>
        <w:t xml:space="preserve">Returns:</w:t>
      </w:r>
      <w:r>
        <w:t xml:space="preserve"> </w:t>
      </w:r>
      <w:r>
        <w:t xml:space="preserve">Empty</w:t>
      </w:r>
    </w:p>
    <w:bookmarkEnd w:id="4479"/>
    <w:bookmarkStart w:id="4480" w:name="code-example-282"/>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80"/>
    <w:bookmarkEnd w:id="4481"/>
    <w:bookmarkStart w:id="4487" w:name="setfont"/>
    <w:p>
      <w:pPr>
        <w:pStyle w:val="Heading1"/>
      </w:pPr>
      <w:r>
        <w:t xml:space="preserve">SetFont</w:t>
      </w:r>
    </w:p>
    <w:bookmarkStart w:id="4482" w:name="overview-511"/>
    <w:p>
      <w:pPr>
        <w:pStyle w:val="Heading2"/>
      </w:pPr>
      <w:r>
        <w:t xml:space="preserve">Overview</w:t>
      </w:r>
    </w:p>
    <w:p>
      <w:pPr>
        <w:pStyle w:val="FirstParagraph"/>
      </w:pPr>
      <w:r>
        <w:t xml:space="preserve">Sets the font used to print character strings.</w:t>
      </w:r>
    </w:p>
    <w:bookmarkEnd w:id="4482"/>
    <w:bookmarkStart w:id="4483" w:name="syntax-486"/>
    <w:p>
      <w:pPr>
        <w:pStyle w:val="Heading2"/>
      </w:pPr>
      <w:r>
        <w:t xml:space="preserve">Syntax</w:t>
      </w:r>
    </w:p>
    <w:p>
      <w:pPr>
        <w:pStyle w:val="SourceCode"/>
      </w:pPr>
      <w:r>
        <w:rPr>
          <w:rStyle w:val="NormalTok"/>
        </w:rPr>
        <w:t xml:space="preserve">obj.SetFont family, [style], [size]</w:t>
      </w:r>
    </w:p>
    <w:bookmarkEnd w:id="4483"/>
    <w:bookmarkStart w:id="4484" w:name="parameters-240"/>
    <w:p>
      <w:pPr>
        <w:pStyle w:val="Heading2"/>
      </w:pPr>
      <w:r>
        <w:t xml:space="preserve">Parameters</w:t>
      </w:r>
    </w:p>
    <w:p>
      <w:pPr>
        <w:pStyle w:val="Compact"/>
        <w:numPr>
          <w:ilvl w:val="0"/>
          <w:numId w:val="2123"/>
        </w:numPr>
      </w:pPr>
      <w:r>
        <w:rPr>
          <w:rStyle w:val="VerbatimChar"/>
        </w:rPr>
        <w:t xml:space="preserve">family</w:t>
      </w:r>
      <w:r>
        <w:t xml:space="preserve"> </w:t>
      </w:r>
      <w:r>
        <w:t xml:space="preserve">(String): Family font. It can be a standard TrueType/Type1 font.</w:t>
      </w:r>
    </w:p>
    <w:p>
      <w:pPr>
        <w:pStyle w:val="Compact"/>
        <w:numPr>
          <w:ilvl w:val="0"/>
          <w:numId w:val="2123"/>
        </w:numPr>
      </w:pPr>
      <w:r>
        <w:rPr>
          <w:rStyle w:val="VerbatimChar"/>
        </w:rPr>
        <w:t xml:space="preserve">style</w:t>
      </w:r>
      <w:r>
        <w:t xml:space="preserve"> </w:t>
      </w:r>
      <w:r>
        <w:t xml:space="preserve">(String, Optional): Font style. Possible values are empty string (regular),</w:t>
      </w:r>
      <w:r>
        <w:t xml:space="preserve"> </w:t>
      </w:r>
      <w:r>
        <w:rPr>
          <w:rStyle w:val="VerbatimChar"/>
        </w:rPr>
        <w:t xml:space="preserve">B</w:t>
      </w:r>
      <w:r>
        <w:t xml:space="preserve"> </w:t>
      </w:r>
      <w:r>
        <w:t xml:space="preserve">(bold),</w:t>
      </w:r>
      <w:r>
        <w:t xml:space="preserve"> </w:t>
      </w:r>
      <w:r>
        <w:rPr>
          <w:rStyle w:val="VerbatimChar"/>
        </w:rPr>
        <w:t xml:space="preserve">I</w:t>
      </w:r>
      <w:r>
        <w:t xml:space="preserve"> </w:t>
      </w:r>
      <w:r>
        <w:t xml:space="preserve">(italic),</w:t>
      </w:r>
      <w:r>
        <w:t xml:space="preserve"> </w:t>
      </w:r>
      <w:r>
        <w:rPr>
          <w:rStyle w:val="VerbatimChar"/>
        </w:rPr>
        <w:t xml:space="preserve">U</w:t>
      </w:r>
      <w:r>
        <w:t xml:space="preserve"> </w:t>
      </w:r>
      <w:r>
        <w:t xml:space="preserve">(underline), or any combination.</w:t>
      </w:r>
    </w:p>
    <w:p>
      <w:pPr>
        <w:pStyle w:val="Compact"/>
        <w:numPr>
          <w:ilvl w:val="0"/>
          <w:numId w:val="2123"/>
        </w:numPr>
      </w:pPr>
      <w:r>
        <w:rPr>
          <w:rStyle w:val="VerbatimChar"/>
        </w:rPr>
        <w:t xml:space="preserve">size</w:t>
      </w:r>
      <w:r>
        <w:t xml:space="preserve"> </w:t>
      </w:r>
      <w:r>
        <w:t xml:space="preserve">(Double, Optional): Font size in points.</w:t>
      </w:r>
    </w:p>
    <w:bookmarkEnd w:id="4484"/>
    <w:bookmarkStart w:id="4485" w:name="return-value-240"/>
    <w:p>
      <w:pPr>
        <w:pStyle w:val="Heading2"/>
      </w:pPr>
      <w:r>
        <w:t xml:space="preserve">Return Value</w:t>
      </w:r>
    </w:p>
    <w:p>
      <w:pPr>
        <w:pStyle w:val="FirstParagraph"/>
      </w:pPr>
      <w:r>
        <w:rPr>
          <w:b/>
          <w:bCs/>
        </w:rPr>
        <w:t xml:space="preserve">Returns:</w:t>
      </w:r>
      <w:r>
        <w:t xml:space="preserve"> </w:t>
      </w:r>
      <w:r>
        <w:t xml:space="preserve">Empty</w:t>
      </w:r>
    </w:p>
    <w:bookmarkEnd w:id="4485"/>
    <w:bookmarkStart w:id="4486" w:name="code-example-283"/>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86"/>
    <w:bookmarkEnd w:id="4487"/>
    <w:bookmarkStart w:id="4493" w:name="setfontsize"/>
    <w:p>
      <w:pPr>
        <w:pStyle w:val="Heading1"/>
      </w:pPr>
      <w:r>
        <w:t xml:space="preserve">SetFontSize</w:t>
      </w:r>
    </w:p>
    <w:bookmarkStart w:id="4488" w:name="overview-512"/>
    <w:p>
      <w:pPr>
        <w:pStyle w:val="Heading2"/>
      </w:pPr>
      <w:r>
        <w:t xml:space="preserve">Overview</w:t>
      </w:r>
    </w:p>
    <w:p>
      <w:pPr>
        <w:pStyle w:val="FirstParagraph"/>
      </w:pPr>
      <w:r>
        <w:t xml:space="preserve">Defines the size of the current font.</w:t>
      </w:r>
    </w:p>
    <w:bookmarkEnd w:id="4488"/>
    <w:bookmarkStart w:id="4489" w:name="syntax-487"/>
    <w:p>
      <w:pPr>
        <w:pStyle w:val="Heading2"/>
      </w:pPr>
      <w:r>
        <w:t xml:space="preserve">Syntax</w:t>
      </w:r>
    </w:p>
    <w:p>
      <w:pPr>
        <w:pStyle w:val="SourceCode"/>
      </w:pPr>
      <w:r>
        <w:rPr>
          <w:rStyle w:val="NormalTok"/>
        </w:rPr>
        <w:t xml:space="preserve">obj.SetFontSize size</w:t>
      </w:r>
    </w:p>
    <w:bookmarkEnd w:id="4489"/>
    <w:bookmarkStart w:id="4490" w:name="parameters-241"/>
    <w:p>
      <w:pPr>
        <w:pStyle w:val="Heading2"/>
      </w:pPr>
      <w:r>
        <w:t xml:space="preserve">Parameters</w:t>
      </w:r>
    </w:p>
    <w:p>
      <w:pPr>
        <w:pStyle w:val="Compact"/>
        <w:numPr>
          <w:ilvl w:val="0"/>
          <w:numId w:val="2124"/>
        </w:numPr>
      </w:pPr>
      <w:r>
        <w:rPr>
          <w:rStyle w:val="VerbatimChar"/>
        </w:rPr>
        <w:t xml:space="preserve">size</w:t>
      </w:r>
      <w:r>
        <w:t xml:space="preserve"> </w:t>
      </w:r>
      <w:r>
        <w:t xml:space="preserve">(Double): The size (in points).</w:t>
      </w:r>
    </w:p>
    <w:bookmarkEnd w:id="4490"/>
    <w:bookmarkStart w:id="4491" w:name="return-value-241"/>
    <w:p>
      <w:pPr>
        <w:pStyle w:val="Heading2"/>
      </w:pPr>
      <w:r>
        <w:t xml:space="preserve">Return Value</w:t>
      </w:r>
    </w:p>
    <w:p>
      <w:pPr>
        <w:pStyle w:val="FirstParagraph"/>
      </w:pPr>
      <w:r>
        <w:rPr>
          <w:b/>
          <w:bCs/>
        </w:rPr>
        <w:t xml:space="preserve">Returns:</w:t>
      </w:r>
      <w:r>
        <w:t xml:space="preserve"> </w:t>
      </w:r>
      <w:r>
        <w:t xml:space="preserve">Empty</w:t>
      </w:r>
    </w:p>
    <w:bookmarkEnd w:id="4491"/>
    <w:bookmarkStart w:id="4492" w:name="code-example-284"/>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92"/>
    <w:bookmarkEnd w:id="4493"/>
    <w:bookmarkStart w:id="4499" w:name="setleftmargin"/>
    <w:p>
      <w:pPr>
        <w:pStyle w:val="Heading1"/>
      </w:pPr>
      <w:r>
        <w:t xml:space="preserve">SetLeftMargin</w:t>
      </w:r>
    </w:p>
    <w:bookmarkStart w:id="4494" w:name="overview-513"/>
    <w:p>
      <w:pPr>
        <w:pStyle w:val="Heading2"/>
      </w:pPr>
      <w:r>
        <w:t xml:space="preserve">Overview</w:t>
      </w:r>
    </w:p>
    <w:p>
      <w:pPr>
        <w:pStyle w:val="FirstParagraph"/>
      </w:pPr>
      <w:r>
        <w:t xml:space="preserve">Defines the left margin.</w:t>
      </w:r>
    </w:p>
    <w:bookmarkEnd w:id="4494"/>
    <w:bookmarkStart w:id="4495" w:name="syntax-488"/>
    <w:p>
      <w:pPr>
        <w:pStyle w:val="Heading2"/>
      </w:pPr>
      <w:r>
        <w:t xml:space="preserve">Syntax</w:t>
      </w:r>
    </w:p>
    <w:p>
      <w:pPr>
        <w:pStyle w:val="SourceCode"/>
      </w:pPr>
      <w:r>
        <w:rPr>
          <w:rStyle w:val="NormalTok"/>
        </w:rPr>
        <w:t xml:space="preserve">obj.SetLeftMargin margin</w:t>
      </w:r>
    </w:p>
    <w:bookmarkEnd w:id="4495"/>
    <w:bookmarkStart w:id="4496" w:name="parameters-242"/>
    <w:p>
      <w:pPr>
        <w:pStyle w:val="Heading2"/>
      </w:pPr>
      <w:r>
        <w:t xml:space="preserve">Parameters</w:t>
      </w:r>
    </w:p>
    <w:p>
      <w:pPr>
        <w:pStyle w:val="Compact"/>
        <w:numPr>
          <w:ilvl w:val="0"/>
          <w:numId w:val="2125"/>
        </w:numPr>
      </w:pPr>
      <w:r>
        <w:rPr>
          <w:rStyle w:val="VerbatimChar"/>
        </w:rPr>
        <w:t xml:space="preserve">margin</w:t>
      </w:r>
      <w:r>
        <w:t xml:space="preserve"> </w:t>
      </w:r>
      <w:r>
        <w:t xml:space="preserve">(Double): The margin.</w:t>
      </w:r>
    </w:p>
    <w:bookmarkEnd w:id="4496"/>
    <w:bookmarkStart w:id="4497" w:name="return-value-242"/>
    <w:p>
      <w:pPr>
        <w:pStyle w:val="Heading2"/>
      </w:pPr>
      <w:r>
        <w:t xml:space="preserve">Return Value</w:t>
      </w:r>
    </w:p>
    <w:p>
      <w:pPr>
        <w:pStyle w:val="FirstParagraph"/>
      </w:pPr>
      <w:r>
        <w:rPr>
          <w:b/>
          <w:bCs/>
        </w:rPr>
        <w:t xml:space="preserve">Returns:</w:t>
      </w:r>
      <w:r>
        <w:t xml:space="preserve"> </w:t>
      </w:r>
      <w:r>
        <w:t xml:space="preserve">Empty</w:t>
      </w:r>
    </w:p>
    <w:bookmarkEnd w:id="4497"/>
    <w:bookmarkStart w:id="4498" w:name="code-example-285"/>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498"/>
    <w:bookmarkEnd w:id="4499"/>
    <w:bookmarkStart w:id="4505" w:name="setlinewidth"/>
    <w:p>
      <w:pPr>
        <w:pStyle w:val="Heading1"/>
      </w:pPr>
      <w:r>
        <w:t xml:space="preserve">SetLineWidth</w:t>
      </w:r>
    </w:p>
    <w:bookmarkStart w:id="4500" w:name="overview-514"/>
    <w:p>
      <w:pPr>
        <w:pStyle w:val="Heading2"/>
      </w:pPr>
      <w:r>
        <w:t xml:space="preserve">Overview</w:t>
      </w:r>
    </w:p>
    <w:p>
      <w:pPr>
        <w:pStyle w:val="FirstParagraph"/>
      </w:pPr>
      <w:r>
        <w:t xml:space="preserve">Defines the line width.</w:t>
      </w:r>
    </w:p>
    <w:bookmarkEnd w:id="4500"/>
    <w:bookmarkStart w:id="4501" w:name="syntax-489"/>
    <w:p>
      <w:pPr>
        <w:pStyle w:val="Heading2"/>
      </w:pPr>
      <w:r>
        <w:t xml:space="preserve">Syntax</w:t>
      </w:r>
    </w:p>
    <w:p>
      <w:pPr>
        <w:pStyle w:val="SourceCode"/>
      </w:pPr>
      <w:r>
        <w:rPr>
          <w:rStyle w:val="NormalTok"/>
        </w:rPr>
        <w:t xml:space="preserve">obj.SetLineWidth width</w:t>
      </w:r>
    </w:p>
    <w:bookmarkEnd w:id="4501"/>
    <w:bookmarkStart w:id="4502" w:name="parameters-243"/>
    <w:p>
      <w:pPr>
        <w:pStyle w:val="Heading2"/>
      </w:pPr>
      <w:r>
        <w:t xml:space="preserve">Parameters</w:t>
      </w:r>
    </w:p>
    <w:p>
      <w:pPr>
        <w:pStyle w:val="Compact"/>
        <w:numPr>
          <w:ilvl w:val="0"/>
          <w:numId w:val="2126"/>
        </w:numPr>
      </w:pPr>
      <w:r>
        <w:rPr>
          <w:rStyle w:val="VerbatimChar"/>
        </w:rPr>
        <w:t xml:space="preserve">width</w:t>
      </w:r>
      <w:r>
        <w:t xml:space="preserve"> </w:t>
      </w:r>
      <w:r>
        <w:t xml:space="preserve">(Double): The width.</w:t>
      </w:r>
    </w:p>
    <w:bookmarkEnd w:id="4502"/>
    <w:bookmarkStart w:id="4503" w:name="return-value-243"/>
    <w:p>
      <w:pPr>
        <w:pStyle w:val="Heading2"/>
      </w:pPr>
      <w:r>
        <w:t xml:space="preserve">Return Value</w:t>
      </w:r>
    </w:p>
    <w:p>
      <w:pPr>
        <w:pStyle w:val="FirstParagraph"/>
      </w:pPr>
      <w:r>
        <w:rPr>
          <w:b/>
          <w:bCs/>
        </w:rPr>
        <w:t xml:space="preserve">Returns:</w:t>
      </w:r>
      <w:r>
        <w:t xml:space="preserve"> </w:t>
      </w:r>
      <w:r>
        <w:t xml:space="preserve">Empty</w:t>
      </w:r>
    </w:p>
    <w:bookmarkEnd w:id="4503"/>
    <w:bookmarkStart w:id="4504" w:name="code-example-286"/>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04"/>
    <w:bookmarkEnd w:id="4505"/>
    <w:bookmarkStart w:id="4511" w:name="setmargins"/>
    <w:p>
      <w:pPr>
        <w:pStyle w:val="Heading1"/>
      </w:pPr>
      <w:r>
        <w:t xml:space="preserve">SetMargins</w:t>
      </w:r>
    </w:p>
    <w:bookmarkStart w:id="4506" w:name="overview-515"/>
    <w:p>
      <w:pPr>
        <w:pStyle w:val="Heading2"/>
      </w:pPr>
      <w:r>
        <w:t xml:space="preserve">Overview</w:t>
      </w:r>
    </w:p>
    <w:p>
      <w:pPr>
        <w:pStyle w:val="FirstParagraph"/>
      </w:pPr>
      <w:r>
        <w:t xml:space="preserve">Defines the left, top, and right margins. By default, they equal 1 cm.</w:t>
      </w:r>
    </w:p>
    <w:bookmarkEnd w:id="4506"/>
    <w:bookmarkStart w:id="4507" w:name="syntax-490"/>
    <w:p>
      <w:pPr>
        <w:pStyle w:val="Heading2"/>
      </w:pPr>
      <w:r>
        <w:t xml:space="preserve">Syntax</w:t>
      </w:r>
    </w:p>
    <w:p>
      <w:pPr>
        <w:pStyle w:val="SourceCode"/>
      </w:pPr>
      <w:r>
        <w:rPr>
          <w:rStyle w:val="NormalTok"/>
        </w:rPr>
        <w:t xml:space="preserve">obj.SetMargins left, top, [right]</w:t>
      </w:r>
    </w:p>
    <w:bookmarkEnd w:id="4507"/>
    <w:bookmarkStart w:id="4508" w:name="parameters-244"/>
    <w:p>
      <w:pPr>
        <w:pStyle w:val="Heading2"/>
      </w:pPr>
      <w:r>
        <w:t xml:space="preserve">Parameters</w:t>
      </w:r>
    </w:p>
    <w:p>
      <w:pPr>
        <w:pStyle w:val="Compact"/>
        <w:numPr>
          <w:ilvl w:val="0"/>
          <w:numId w:val="2127"/>
        </w:numPr>
      </w:pPr>
      <w:r>
        <w:rPr>
          <w:rStyle w:val="VerbatimChar"/>
        </w:rPr>
        <w:t xml:space="preserve">left</w:t>
      </w:r>
      <w:r>
        <w:t xml:space="preserve"> </w:t>
      </w:r>
      <w:r>
        <w:t xml:space="preserve">(Double): Left margin.</w:t>
      </w:r>
    </w:p>
    <w:p>
      <w:pPr>
        <w:pStyle w:val="Compact"/>
        <w:numPr>
          <w:ilvl w:val="0"/>
          <w:numId w:val="2127"/>
        </w:numPr>
      </w:pPr>
      <w:r>
        <w:rPr>
          <w:rStyle w:val="VerbatimChar"/>
        </w:rPr>
        <w:t xml:space="preserve">top</w:t>
      </w:r>
      <w:r>
        <w:t xml:space="preserve"> </w:t>
      </w:r>
      <w:r>
        <w:t xml:space="preserve">(Double): Top margin.</w:t>
      </w:r>
    </w:p>
    <w:p>
      <w:pPr>
        <w:pStyle w:val="Compact"/>
        <w:numPr>
          <w:ilvl w:val="0"/>
          <w:numId w:val="2127"/>
        </w:numPr>
      </w:pPr>
      <w:r>
        <w:rPr>
          <w:rStyle w:val="VerbatimChar"/>
        </w:rPr>
        <w:t xml:space="preserve">right</w:t>
      </w:r>
      <w:r>
        <w:t xml:space="preserve"> </w:t>
      </w:r>
      <w:r>
        <w:t xml:space="preserve">(Double, Optional): Right margin. Default to the value of the left margin.</w:t>
      </w:r>
    </w:p>
    <w:bookmarkEnd w:id="4508"/>
    <w:bookmarkStart w:id="4509" w:name="return-value-244"/>
    <w:p>
      <w:pPr>
        <w:pStyle w:val="Heading2"/>
      </w:pPr>
      <w:r>
        <w:t xml:space="preserve">Return Value</w:t>
      </w:r>
    </w:p>
    <w:p>
      <w:pPr>
        <w:pStyle w:val="FirstParagraph"/>
      </w:pPr>
      <w:r>
        <w:rPr>
          <w:b/>
          <w:bCs/>
        </w:rPr>
        <w:t xml:space="preserve">Returns:</w:t>
      </w:r>
      <w:r>
        <w:t xml:space="preserve"> </w:t>
      </w:r>
      <w:r>
        <w:t xml:space="preserve">Empty</w:t>
      </w:r>
    </w:p>
    <w:bookmarkEnd w:id="4509"/>
    <w:bookmarkStart w:id="4510" w:name="code-example-287"/>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10"/>
    <w:bookmarkEnd w:id="4511"/>
    <w:bookmarkStart w:id="4517" w:name="setrightmargin"/>
    <w:p>
      <w:pPr>
        <w:pStyle w:val="Heading1"/>
      </w:pPr>
      <w:r>
        <w:t xml:space="preserve">SetRightMargin</w:t>
      </w:r>
    </w:p>
    <w:bookmarkStart w:id="4512" w:name="overview-516"/>
    <w:p>
      <w:pPr>
        <w:pStyle w:val="Heading2"/>
      </w:pPr>
      <w:r>
        <w:t xml:space="preserve">Overview</w:t>
      </w:r>
    </w:p>
    <w:p>
      <w:pPr>
        <w:pStyle w:val="FirstParagraph"/>
      </w:pPr>
      <w:r>
        <w:t xml:space="preserve">Defines the right margin.</w:t>
      </w:r>
    </w:p>
    <w:bookmarkEnd w:id="4512"/>
    <w:bookmarkStart w:id="4513" w:name="syntax-491"/>
    <w:p>
      <w:pPr>
        <w:pStyle w:val="Heading2"/>
      </w:pPr>
      <w:r>
        <w:t xml:space="preserve">Syntax</w:t>
      </w:r>
    </w:p>
    <w:p>
      <w:pPr>
        <w:pStyle w:val="SourceCode"/>
      </w:pPr>
      <w:r>
        <w:rPr>
          <w:rStyle w:val="NormalTok"/>
        </w:rPr>
        <w:t xml:space="preserve">obj.SetRightMargin margin</w:t>
      </w:r>
    </w:p>
    <w:bookmarkEnd w:id="4513"/>
    <w:bookmarkStart w:id="4514" w:name="parameters-245"/>
    <w:p>
      <w:pPr>
        <w:pStyle w:val="Heading2"/>
      </w:pPr>
      <w:r>
        <w:t xml:space="preserve">Parameters</w:t>
      </w:r>
    </w:p>
    <w:p>
      <w:pPr>
        <w:pStyle w:val="Compact"/>
        <w:numPr>
          <w:ilvl w:val="0"/>
          <w:numId w:val="2128"/>
        </w:numPr>
      </w:pPr>
      <w:r>
        <w:rPr>
          <w:rStyle w:val="VerbatimChar"/>
        </w:rPr>
        <w:t xml:space="preserve">margin</w:t>
      </w:r>
      <w:r>
        <w:t xml:space="preserve"> </w:t>
      </w:r>
      <w:r>
        <w:t xml:space="preserve">(Double): The margin.</w:t>
      </w:r>
    </w:p>
    <w:bookmarkEnd w:id="4514"/>
    <w:bookmarkStart w:id="4515" w:name="return-value-245"/>
    <w:p>
      <w:pPr>
        <w:pStyle w:val="Heading2"/>
      </w:pPr>
      <w:r>
        <w:t xml:space="preserve">Return Value</w:t>
      </w:r>
    </w:p>
    <w:p>
      <w:pPr>
        <w:pStyle w:val="FirstParagraph"/>
      </w:pPr>
      <w:r>
        <w:rPr>
          <w:b/>
          <w:bCs/>
        </w:rPr>
        <w:t xml:space="preserve">Returns:</w:t>
      </w:r>
      <w:r>
        <w:t xml:space="preserve"> </w:t>
      </w:r>
      <w:r>
        <w:t xml:space="preserve">Empty</w:t>
      </w:r>
    </w:p>
    <w:bookmarkEnd w:id="4515"/>
    <w:bookmarkStart w:id="4516" w:name="code-example-288"/>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16"/>
    <w:bookmarkEnd w:id="4517"/>
    <w:bookmarkStart w:id="4523" w:name="settextcolor"/>
    <w:p>
      <w:pPr>
        <w:pStyle w:val="Heading1"/>
      </w:pPr>
      <w:r>
        <w:t xml:space="preserve">SetTextColor</w:t>
      </w:r>
    </w:p>
    <w:bookmarkStart w:id="4518" w:name="overview-517"/>
    <w:p>
      <w:pPr>
        <w:pStyle w:val="Heading2"/>
      </w:pPr>
      <w:r>
        <w:t xml:space="preserve">Overview</w:t>
      </w:r>
    </w:p>
    <w:p>
      <w:pPr>
        <w:pStyle w:val="FirstParagraph"/>
      </w:pPr>
      <w:r>
        <w:t xml:space="preserve">Defines the color used for text. It can be expressed in RGB components or grayscale.</w:t>
      </w:r>
    </w:p>
    <w:bookmarkEnd w:id="4518"/>
    <w:bookmarkStart w:id="4519" w:name="syntax-492"/>
    <w:p>
      <w:pPr>
        <w:pStyle w:val="Heading2"/>
      </w:pPr>
      <w:r>
        <w:t xml:space="preserve">Syntax</w:t>
      </w:r>
    </w:p>
    <w:p>
      <w:pPr>
        <w:pStyle w:val="SourceCode"/>
      </w:pPr>
      <w:r>
        <w:rPr>
          <w:rStyle w:val="NormalTok"/>
        </w:rPr>
        <w:t xml:space="preserve">obj.SetTextColor r, [g], [b]</w:t>
      </w:r>
    </w:p>
    <w:bookmarkEnd w:id="4519"/>
    <w:bookmarkStart w:id="4520" w:name="parameters-246"/>
    <w:p>
      <w:pPr>
        <w:pStyle w:val="Heading2"/>
      </w:pPr>
      <w:r>
        <w:t xml:space="preserve">Parameters</w:t>
      </w:r>
    </w:p>
    <w:p>
      <w:pPr>
        <w:pStyle w:val="Compact"/>
        <w:numPr>
          <w:ilvl w:val="0"/>
          <w:numId w:val="2129"/>
        </w:numPr>
      </w:pPr>
      <w:r>
        <w:rPr>
          <w:rStyle w:val="VerbatimChar"/>
        </w:rPr>
        <w:t xml:space="preserve">r</w:t>
      </w:r>
      <w:r>
        <w:t xml:space="preserve"> </w:t>
      </w:r>
      <w:r>
        <w:t xml:space="preserve">(Integer): Red component or grayscale level.</w:t>
      </w:r>
    </w:p>
    <w:p>
      <w:pPr>
        <w:pStyle w:val="Compact"/>
        <w:numPr>
          <w:ilvl w:val="0"/>
          <w:numId w:val="2129"/>
        </w:numPr>
      </w:pPr>
      <w:r>
        <w:rPr>
          <w:rStyle w:val="VerbatimChar"/>
        </w:rPr>
        <w:t xml:space="preserve">g</w:t>
      </w:r>
      <w:r>
        <w:t xml:space="preserve"> </w:t>
      </w:r>
      <w:r>
        <w:t xml:space="preserve">(Integer, Optional): Green component.</w:t>
      </w:r>
    </w:p>
    <w:p>
      <w:pPr>
        <w:pStyle w:val="Compact"/>
        <w:numPr>
          <w:ilvl w:val="0"/>
          <w:numId w:val="2129"/>
        </w:numPr>
      </w:pPr>
      <w:r>
        <w:rPr>
          <w:rStyle w:val="VerbatimChar"/>
        </w:rPr>
        <w:t xml:space="preserve">b</w:t>
      </w:r>
      <w:r>
        <w:t xml:space="preserve"> </w:t>
      </w:r>
      <w:r>
        <w:t xml:space="preserve">(Integer, Optional): Blue component.</w:t>
      </w:r>
    </w:p>
    <w:bookmarkEnd w:id="4520"/>
    <w:bookmarkStart w:id="4521" w:name="return-value-246"/>
    <w:p>
      <w:pPr>
        <w:pStyle w:val="Heading2"/>
      </w:pPr>
      <w:r>
        <w:t xml:space="preserve">Return Value</w:t>
      </w:r>
    </w:p>
    <w:p>
      <w:pPr>
        <w:pStyle w:val="FirstParagraph"/>
      </w:pPr>
      <w:r>
        <w:rPr>
          <w:b/>
          <w:bCs/>
        </w:rPr>
        <w:t xml:space="preserve">Returns:</w:t>
      </w:r>
      <w:r>
        <w:t xml:space="preserve"> </w:t>
      </w:r>
      <w:r>
        <w:t xml:space="preserve">Empty</w:t>
      </w:r>
    </w:p>
    <w:bookmarkEnd w:id="4521"/>
    <w:bookmarkStart w:id="4522" w:name="code-example-289"/>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22"/>
    <w:bookmarkEnd w:id="4523"/>
    <w:bookmarkStart w:id="4529" w:name="settopmargin"/>
    <w:p>
      <w:pPr>
        <w:pStyle w:val="Heading1"/>
      </w:pPr>
      <w:r>
        <w:t xml:space="preserve">SetTopMargin</w:t>
      </w:r>
    </w:p>
    <w:bookmarkStart w:id="4524" w:name="overview-518"/>
    <w:p>
      <w:pPr>
        <w:pStyle w:val="Heading2"/>
      </w:pPr>
      <w:r>
        <w:t xml:space="preserve">Overview</w:t>
      </w:r>
    </w:p>
    <w:p>
      <w:pPr>
        <w:pStyle w:val="FirstParagraph"/>
      </w:pPr>
      <w:r>
        <w:t xml:space="preserve">Defines the top margin.</w:t>
      </w:r>
    </w:p>
    <w:bookmarkEnd w:id="4524"/>
    <w:bookmarkStart w:id="4525" w:name="syntax-493"/>
    <w:p>
      <w:pPr>
        <w:pStyle w:val="Heading2"/>
      </w:pPr>
      <w:r>
        <w:t xml:space="preserve">Syntax</w:t>
      </w:r>
    </w:p>
    <w:p>
      <w:pPr>
        <w:pStyle w:val="SourceCode"/>
      </w:pPr>
      <w:r>
        <w:rPr>
          <w:rStyle w:val="NormalTok"/>
        </w:rPr>
        <w:t xml:space="preserve">obj.SetTopMargin margin</w:t>
      </w:r>
    </w:p>
    <w:bookmarkEnd w:id="4525"/>
    <w:bookmarkStart w:id="4526" w:name="parameters-247"/>
    <w:p>
      <w:pPr>
        <w:pStyle w:val="Heading2"/>
      </w:pPr>
      <w:r>
        <w:t xml:space="preserve">Parameters</w:t>
      </w:r>
    </w:p>
    <w:p>
      <w:pPr>
        <w:pStyle w:val="Compact"/>
        <w:numPr>
          <w:ilvl w:val="0"/>
          <w:numId w:val="2130"/>
        </w:numPr>
      </w:pPr>
      <w:r>
        <w:rPr>
          <w:rStyle w:val="VerbatimChar"/>
        </w:rPr>
        <w:t xml:space="preserve">margin</w:t>
      </w:r>
      <w:r>
        <w:t xml:space="preserve"> </w:t>
      </w:r>
      <w:r>
        <w:t xml:space="preserve">(Double): The margin.</w:t>
      </w:r>
    </w:p>
    <w:bookmarkEnd w:id="4526"/>
    <w:bookmarkStart w:id="4527" w:name="return-value-247"/>
    <w:p>
      <w:pPr>
        <w:pStyle w:val="Heading2"/>
      </w:pPr>
      <w:r>
        <w:t xml:space="preserve">Return Value</w:t>
      </w:r>
    </w:p>
    <w:p>
      <w:pPr>
        <w:pStyle w:val="FirstParagraph"/>
      </w:pPr>
      <w:r>
        <w:rPr>
          <w:b/>
          <w:bCs/>
        </w:rPr>
        <w:t xml:space="preserve">Returns:</w:t>
      </w:r>
      <w:r>
        <w:t xml:space="preserve"> </w:t>
      </w:r>
      <w:r>
        <w:t xml:space="preserve">Empty</w:t>
      </w:r>
    </w:p>
    <w:bookmarkEnd w:id="4527"/>
    <w:bookmarkStart w:id="4528" w:name="code-example-290"/>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28"/>
    <w:bookmarkEnd w:id="4529"/>
    <w:bookmarkStart w:id="4535" w:name="setx"/>
    <w:p>
      <w:pPr>
        <w:pStyle w:val="Heading1"/>
      </w:pPr>
      <w:r>
        <w:t xml:space="preserve">SetX</w:t>
      </w:r>
    </w:p>
    <w:bookmarkStart w:id="4530" w:name="overview-519"/>
    <w:p>
      <w:pPr>
        <w:pStyle w:val="Heading2"/>
      </w:pPr>
      <w:r>
        <w:t xml:space="preserve">Overview</w:t>
      </w:r>
    </w:p>
    <w:p>
      <w:pPr>
        <w:pStyle w:val="FirstParagraph"/>
      </w:pPr>
      <w:r>
        <w:t xml:space="preserve">Defines the abscissa of the current position.</w:t>
      </w:r>
    </w:p>
    <w:bookmarkEnd w:id="4530"/>
    <w:bookmarkStart w:id="4531" w:name="syntax-494"/>
    <w:p>
      <w:pPr>
        <w:pStyle w:val="Heading2"/>
      </w:pPr>
      <w:r>
        <w:t xml:space="preserve">Syntax</w:t>
      </w:r>
    </w:p>
    <w:p>
      <w:pPr>
        <w:pStyle w:val="SourceCode"/>
      </w:pPr>
      <w:r>
        <w:rPr>
          <w:rStyle w:val="NormalTok"/>
        </w:rPr>
        <w:t xml:space="preserve">obj.SetX x</w:t>
      </w:r>
    </w:p>
    <w:bookmarkEnd w:id="4531"/>
    <w:bookmarkStart w:id="4532" w:name="parameters-248"/>
    <w:p>
      <w:pPr>
        <w:pStyle w:val="Heading2"/>
      </w:pPr>
      <w:r>
        <w:t xml:space="preserve">Parameters</w:t>
      </w:r>
    </w:p>
    <w:p>
      <w:pPr>
        <w:pStyle w:val="Compact"/>
        <w:numPr>
          <w:ilvl w:val="0"/>
          <w:numId w:val="2131"/>
        </w:numPr>
      </w:pPr>
      <w:r>
        <w:rPr>
          <w:rStyle w:val="VerbatimChar"/>
        </w:rPr>
        <w:t xml:space="preserve">x</w:t>
      </w:r>
      <w:r>
        <w:t xml:space="preserve"> </w:t>
      </w:r>
      <w:r>
        <w:t xml:space="preserve">(Double): The value of the abscissa.</w:t>
      </w:r>
    </w:p>
    <w:bookmarkEnd w:id="4532"/>
    <w:bookmarkStart w:id="4533" w:name="return-value-248"/>
    <w:p>
      <w:pPr>
        <w:pStyle w:val="Heading2"/>
      </w:pPr>
      <w:r>
        <w:t xml:space="preserve">Return Value</w:t>
      </w:r>
    </w:p>
    <w:p>
      <w:pPr>
        <w:pStyle w:val="FirstParagraph"/>
      </w:pPr>
      <w:r>
        <w:rPr>
          <w:b/>
          <w:bCs/>
        </w:rPr>
        <w:t xml:space="preserve">Returns:</w:t>
      </w:r>
      <w:r>
        <w:t xml:space="preserve"> </w:t>
      </w:r>
      <w:r>
        <w:t xml:space="preserve">Empty</w:t>
      </w:r>
    </w:p>
    <w:bookmarkEnd w:id="4533"/>
    <w:bookmarkStart w:id="4534" w:name="code-example-291"/>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34"/>
    <w:bookmarkEnd w:id="4535"/>
    <w:bookmarkStart w:id="4541" w:name="setxy"/>
    <w:p>
      <w:pPr>
        <w:pStyle w:val="Heading1"/>
      </w:pPr>
      <w:r>
        <w:t xml:space="preserve">SetXY</w:t>
      </w:r>
    </w:p>
    <w:bookmarkStart w:id="4536" w:name="overview-520"/>
    <w:p>
      <w:pPr>
        <w:pStyle w:val="Heading2"/>
      </w:pPr>
      <w:r>
        <w:t xml:space="preserve">Overview</w:t>
      </w:r>
    </w:p>
    <w:p>
      <w:pPr>
        <w:pStyle w:val="FirstParagraph"/>
      </w:pPr>
      <w:r>
        <w:t xml:space="preserve">Defines the abscissa and ordinate of the current position.</w:t>
      </w:r>
    </w:p>
    <w:bookmarkEnd w:id="4536"/>
    <w:bookmarkStart w:id="4537" w:name="syntax-495"/>
    <w:p>
      <w:pPr>
        <w:pStyle w:val="Heading2"/>
      </w:pPr>
      <w:r>
        <w:t xml:space="preserve">Syntax</w:t>
      </w:r>
    </w:p>
    <w:p>
      <w:pPr>
        <w:pStyle w:val="SourceCode"/>
      </w:pPr>
      <w:r>
        <w:rPr>
          <w:rStyle w:val="NormalTok"/>
        </w:rPr>
        <w:t xml:space="preserve">obj.SetXY x, y</w:t>
      </w:r>
    </w:p>
    <w:bookmarkEnd w:id="4537"/>
    <w:bookmarkStart w:id="4538" w:name="parameters-249"/>
    <w:p>
      <w:pPr>
        <w:pStyle w:val="Heading2"/>
      </w:pPr>
      <w:r>
        <w:t xml:space="preserve">Parameters</w:t>
      </w:r>
    </w:p>
    <w:p>
      <w:pPr>
        <w:pStyle w:val="Compact"/>
        <w:numPr>
          <w:ilvl w:val="0"/>
          <w:numId w:val="2132"/>
        </w:numPr>
      </w:pPr>
      <w:r>
        <w:rPr>
          <w:rStyle w:val="VerbatimChar"/>
        </w:rPr>
        <w:t xml:space="preserve">x</w:t>
      </w:r>
      <w:r>
        <w:t xml:space="preserve"> </w:t>
      </w:r>
      <w:r>
        <w:t xml:space="preserve">(Double): The value of the abscissa.</w:t>
      </w:r>
    </w:p>
    <w:p>
      <w:pPr>
        <w:pStyle w:val="Compact"/>
        <w:numPr>
          <w:ilvl w:val="0"/>
          <w:numId w:val="2132"/>
        </w:numPr>
      </w:pPr>
      <w:r>
        <w:rPr>
          <w:rStyle w:val="VerbatimChar"/>
        </w:rPr>
        <w:t xml:space="preserve">y</w:t>
      </w:r>
      <w:r>
        <w:t xml:space="preserve"> </w:t>
      </w:r>
      <w:r>
        <w:t xml:space="preserve">(Double): The value of the ordinate.</w:t>
      </w:r>
    </w:p>
    <w:bookmarkEnd w:id="4538"/>
    <w:bookmarkStart w:id="4539" w:name="return-value-249"/>
    <w:p>
      <w:pPr>
        <w:pStyle w:val="Heading2"/>
      </w:pPr>
      <w:r>
        <w:t xml:space="preserve">Return Value</w:t>
      </w:r>
    </w:p>
    <w:p>
      <w:pPr>
        <w:pStyle w:val="FirstParagraph"/>
      </w:pPr>
      <w:r>
        <w:rPr>
          <w:b/>
          <w:bCs/>
        </w:rPr>
        <w:t xml:space="preserve">Returns:</w:t>
      </w:r>
      <w:r>
        <w:t xml:space="preserve"> </w:t>
      </w:r>
      <w:r>
        <w:t xml:space="preserve">Empty</w:t>
      </w:r>
    </w:p>
    <w:bookmarkEnd w:id="4539"/>
    <w:bookmarkStart w:id="4540" w:name="code-example-292"/>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40"/>
    <w:bookmarkEnd w:id="4541"/>
    <w:bookmarkStart w:id="4547" w:name="sety"/>
    <w:p>
      <w:pPr>
        <w:pStyle w:val="Heading1"/>
      </w:pPr>
      <w:r>
        <w:t xml:space="preserve">SetY</w:t>
      </w:r>
    </w:p>
    <w:bookmarkStart w:id="4542" w:name="overview-521"/>
    <w:p>
      <w:pPr>
        <w:pStyle w:val="Heading2"/>
      </w:pPr>
      <w:r>
        <w:t xml:space="preserve">Overview</w:t>
      </w:r>
    </w:p>
    <w:p>
      <w:pPr>
        <w:pStyle w:val="FirstParagraph"/>
      </w:pPr>
      <w:r>
        <w:t xml:space="preserve">Moves the current abscissa back to the left margin and sets the ordinate.</w:t>
      </w:r>
    </w:p>
    <w:bookmarkEnd w:id="4542"/>
    <w:bookmarkStart w:id="4543" w:name="syntax-496"/>
    <w:p>
      <w:pPr>
        <w:pStyle w:val="Heading2"/>
      </w:pPr>
      <w:r>
        <w:t xml:space="preserve">Syntax</w:t>
      </w:r>
    </w:p>
    <w:p>
      <w:pPr>
        <w:pStyle w:val="SourceCode"/>
      </w:pPr>
      <w:r>
        <w:rPr>
          <w:rStyle w:val="NormalTok"/>
        </w:rPr>
        <w:t xml:space="preserve">obj.SetY y, [resetX]</w:t>
      </w:r>
    </w:p>
    <w:bookmarkEnd w:id="4543"/>
    <w:bookmarkStart w:id="4544" w:name="parameters-250"/>
    <w:p>
      <w:pPr>
        <w:pStyle w:val="Heading2"/>
      </w:pPr>
      <w:r>
        <w:t xml:space="preserve">Parameters</w:t>
      </w:r>
    </w:p>
    <w:p>
      <w:pPr>
        <w:pStyle w:val="Compact"/>
        <w:numPr>
          <w:ilvl w:val="0"/>
          <w:numId w:val="2133"/>
        </w:numPr>
      </w:pPr>
      <w:r>
        <w:rPr>
          <w:rStyle w:val="VerbatimChar"/>
        </w:rPr>
        <w:t xml:space="preserve">y</w:t>
      </w:r>
      <w:r>
        <w:t xml:space="preserve"> </w:t>
      </w:r>
      <w:r>
        <w:t xml:space="preserve">(Double): The value of the ordinate.</w:t>
      </w:r>
    </w:p>
    <w:p>
      <w:pPr>
        <w:pStyle w:val="Compact"/>
        <w:numPr>
          <w:ilvl w:val="0"/>
          <w:numId w:val="2133"/>
        </w:numPr>
      </w:pPr>
      <w:r>
        <w:rPr>
          <w:rStyle w:val="VerbatimChar"/>
        </w:rPr>
        <w:t xml:space="preserve">resetX</w:t>
      </w:r>
      <w:r>
        <w:t xml:space="preserve"> </w:t>
      </w:r>
      <w:r>
        <w:t xml:space="preserve">(Boolean, Optional): Indicates if the abscissa should be reset to the left margin. Default is true.</w:t>
      </w:r>
    </w:p>
    <w:bookmarkEnd w:id="4544"/>
    <w:bookmarkStart w:id="4545" w:name="return-value-250"/>
    <w:p>
      <w:pPr>
        <w:pStyle w:val="Heading2"/>
      </w:pPr>
      <w:r>
        <w:t xml:space="preserve">Return Value</w:t>
      </w:r>
    </w:p>
    <w:p>
      <w:pPr>
        <w:pStyle w:val="FirstParagraph"/>
      </w:pPr>
      <w:r>
        <w:rPr>
          <w:b/>
          <w:bCs/>
        </w:rPr>
        <w:t xml:space="preserve">Returns:</w:t>
      </w:r>
      <w:r>
        <w:t xml:space="preserve"> </w:t>
      </w:r>
      <w:r>
        <w:t xml:space="preserve">Empty</w:t>
      </w:r>
    </w:p>
    <w:bookmarkEnd w:id="4545"/>
    <w:bookmarkStart w:id="4546" w:name="code-example-293"/>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46"/>
    <w:bookmarkEnd w:id="4547"/>
    <w:bookmarkStart w:id="4553" w:name="text"/>
    <w:p>
      <w:pPr>
        <w:pStyle w:val="Heading1"/>
      </w:pPr>
      <w:r>
        <w:t xml:space="preserve">Text</w:t>
      </w:r>
    </w:p>
    <w:bookmarkStart w:id="4548" w:name="overview-522"/>
    <w:p>
      <w:pPr>
        <w:pStyle w:val="Heading2"/>
      </w:pPr>
      <w:r>
        <w:t xml:space="preserve">Overview</w:t>
      </w:r>
    </w:p>
    <w:p>
      <w:pPr>
        <w:pStyle w:val="FirstParagraph"/>
      </w:pPr>
      <w:r>
        <w:t xml:space="preserve">Prints a character string. The origin is on the left of the first character, on the baseline.</w:t>
      </w:r>
    </w:p>
    <w:bookmarkEnd w:id="4548"/>
    <w:bookmarkStart w:id="4549" w:name="syntax-497"/>
    <w:p>
      <w:pPr>
        <w:pStyle w:val="Heading2"/>
      </w:pPr>
      <w:r>
        <w:t xml:space="preserve">Syntax</w:t>
      </w:r>
    </w:p>
    <w:p>
      <w:pPr>
        <w:pStyle w:val="SourceCode"/>
      </w:pPr>
      <w:r>
        <w:rPr>
          <w:rStyle w:val="NormalTok"/>
        </w:rPr>
        <w:t xml:space="preserve">obj.Text x, y, txt</w:t>
      </w:r>
    </w:p>
    <w:bookmarkEnd w:id="4549"/>
    <w:bookmarkStart w:id="4550" w:name="parameters-251"/>
    <w:p>
      <w:pPr>
        <w:pStyle w:val="Heading2"/>
      </w:pPr>
      <w:r>
        <w:t xml:space="preserve">Parameters</w:t>
      </w:r>
    </w:p>
    <w:p>
      <w:pPr>
        <w:pStyle w:val="Compact"/>
        <w:numPr>
          <w:ilvl w:val="0"/>
          <w:numId w:val="2134"/>
        </w:numPr>
      </w:pPr>
      <w:r>
        <w:rPr>
          <w:rStyle w:val="VerbatimChar"/>
        </w:rPr>
        <w:t xml:space="preserve">x</w:t>
      </w:r>
      <w:r>
        <w:t xml:space="preserve"> </w:t>
      </w:r>
      <w:r>
        <w:t xml:space="preserve">(Double): Abscissa of the origin.</w:t>
      </w:r>
    </w:p>
    <w:p>
      <w:pPr>
        <w:pStyle w:val="Compact"/>
        <w:numPr>
          <w:ilvl w:val="0"/>
          <w:numId w:val="2134"/>
        </w:numPr>
      </w:pPr>
      <w:r>
        <w:rPr>
          <w:rStyle w:val="VerbatimChar"/>
        </w:rPr>
        <w:t xml:space="preserve">y</w:t>
      </w:r>
      <w:r>
        <w:t xml:space="preserve"> </w:t>
      </w:r>
      <w:r>
        <w:t xml:space="preserve">(Double): Ordinate of the origin.</w:t>
      </w:r>
    </w:p>
    <w:p>
      <w:pPr>
        <w:pStyle w:val="Compact"/>
        <w:numPr>
          <w:ilvl w:val="0"/>
          <w:numId w:val="2134"/>
        </w:numPr>
      </w:pPr>
      <w:r>
        <w:rPr>
          <w:rStyle w:val="VerbatimChar"/>
        </w:rPr>
        <w:t xml:space="preserve">txt</w:t>
      </w:r>
      <w:r>
        <w:t xml:space="preserve"> </w:t>
      </w:r>
      <w:r>
        <w:t xml:space="preserve">(String): String to print.</w:t>
      </w:r>
    </w:p>
    <w:bookmarkEnd w:id="4550"/>
    <w:bookmarkStart w:id="4551" w:name="return-value-251"/>
    <w:p>
      <w:pPr>
        <w:pStyle w:val="Heading2"/>
      </w:pPr>
      <w:r>
        <w:t xml:space="preserve">Return Value</w:t>
      </w:r>
    </w:p>
    <w:p>
      <w:pPr>
        <w:pStyle w:val="FirstParagraph"/>
      </w:pPr>
      <w:r>
        <w:rPr>
          <w:b/>
          <w:bCs/>
        </w:rPr>
        <w:t xml:space="preserve">Returns:</w:t>
      </w:r>
      <w:r>
        <w:t xml:space="preserve"> </w:t>
      </w:r>
      <w:r>
        <w:t xml:space="preserve">Empty</w:t>
      </w:r>
    </w:p>
    <w:bookmarkEnd w:id="4551"/>
    <w:bookmarkStart w:id="4552" w:name="code-example-294"/>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52"/>
    <w:bookmarkEnd w:id="4553"/>
    <w:bookmarkStart w:id="4560" w:name="write"/>
    <w:p>
      <w:pPr>
        <w:pStyle w:val="Heading1"/>
      </w:pPr>
      <w:r>
        <w:t xml:space="preserve">Write</w:t>
      </w:r>
    </w:p>
    <w:bookmarkStart w:id="4554" w:name="overview-523"/>
    <w:p>
      <w:pPr>
        <w:pStyle w:val="Heading2"/>
      </w:pPr>
      <w:r>
        <w:t xml:space="preserve">Overview</w:t>
      </w:r>
    </w:p>
    <w:p>
      <w:pPr>
        <w:pStyle w:val="FirstParagraph"/>
      </w:pPr>
      <w:r>
        <w:t xml:space="preserve">Prints text from the current position. When the right margin is reached (or the newline character is met), a line break occurs and text continues from the left margin.</w:t>
      </w:r>
    </w:p>
    <w:bookmarkEnd w:id="4554"/>
    <w:bookmarkStart w:id="4555" w:name="syntax-498"/>
    <w:p>
      <w:pPr>
        <w:pStyle w:val="Heading2"/>
      </w:pPr>
      <w:r>
        <w:t xml:space="preserve">Syntax</w:t>
      </w:r>
    </w:p>
    <w:p>
      <w:pPr>
        <w:pStyle w:val="SourceCode"/>
      </w:pPr>
      <w:r>
        <w:rPr>
          <w:rStyle w:val="NormalTok"/>
        </w:rPr>
        <w:t xml:space="preserve">obj.Write h, txt, [link]</w:t>
      </w:r>
    </w:p>
    <w:bookmarkEnd w:id="4555"/>
    <w:bookmarkStart w:id="4556" w:name="parameters-252"/>
    <w:p>
      <w:pPr>
        <w:pStyle w:val="Heading2"/>
      </w:pPr>
      <w:r>
        <w:t xml:space="preserve">Parameters</w:t>
      </w:r>
    </w:p>
    <w:p>
      <w:pPr>
        <w:pStyle w:val="Compact"/>
        <w:numPr>
          <w:ilvl w:val="0"/>
          <w:numId w:val="2135"/>
        </w:numPr>
      </w:pPr>
      <w:r>
        <w:rPr>
          <w:rStyle w:val="VerbatimChar"/>
        </w:rPr>
        <w:t xml:space="preserve">h</w:t>
      </w:r>
      <w:r>
        <w:t xml:space="preserve"> </w:t>
      </w:r>
      <w:r>
        <w:t xml:space="preserve">(Double): Line height.</w:t>
      </w:r>
    </w:p>
    <w:p>
      <w:pPr>
        <w:pStyle w:val="Compact"/>
        <w:numPr>
          <w:ilvl w:val="0"/>
          <w:numId w:val="2135"/>
        </w:numPr>
      </w:pPr>
      <w:r>
        <w:rPr>
          <w:rStyle w:val="VerbatimChar"/>
        </w:rPr>
        <w:t xml:space="preserve">txt</w:t>
      </w:r>
      <w:r>
        <w:t xml:space="preserve"> </w:t>
      </w:r>
      <w:r>
        <w:t xml:space="preserve">(String): String to print.</w:t>
      </w:r>
    </w:p>
    <w:p>
      <w:pPr>
        <w:pStyle w:val="Compact"/>
        <w:numPr>
          <w:ilvl w:val="0"/>
          <w:numId w:val="2135"/>
        </w:numPr>
      </w:pPr>
      <w:r>
        <w:rPr>
          <w:rStyle w:val="VerbatimChar"/>
        </w:rPr>
        <w:t xml:space="preserve">link</w:t>
      </w:r>
      <w:r>
        <w:t xml:space="preserve"> </w:t>
      </w:r>
      <w:r>
        <w:t xml:space="preserve">(Variant, Optional): URL or identifier.</w:t>
      </w:r>
    </w:p>
    <w:bookmarkEnd w:id="4556"/>
    <w:bookmarkStart w:id="4557" w:name="return-value-252"/>
    <w:p>
      <w:pPr>
        <w:pStyle w:val="Heading2"/>
      </w:pPr>
      <w:r>
        <w:t xml:space="preserve">Return Value</w:t>
      </w:r>
    </w:p>
    <w:p>
      <w:pPr>
        <w:pStyle w:val="FirstParagraph"/>
      </w:pPr>
      <w:r>
        <w:rPr>
          <w:b/>
          <w:bCs/>
        </w:rPr>
        <w:t xml:space="preserve">Returns:</w:t>
      </w:r>
      <w:r>
        <w:t xml:space="preserve"> </w:t>
      </w:r>
      <w:r>
        <w:t xml:space="preserve">Empty</w:t>
      </w:r>
    </w:p>
    <w:bookmarkEnd w:id="4557"/>
    <w:bookmarkStart w:id="4559" w:name="code-example-295"/>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CommentTok"/>
        </w:rPr>
        <w:t xml:space="preserve">' Perform method operations here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Start w:id="4558" w:name="properties-detail-11"/>
    <w:p>
      <w:pPr>
        <w:pStyle w:val="Heading3"/>
      </w:pPr>
      <w:r>
        <w:t xml:space="preserve">Properties Detail</w:t>
      </w:r>
    </w:p>
    <w:bookmarkEnd w:id="4558"/>
    <w:bookmarkEnd w:id="4559"/>
    <w:bookmarkEnd w:id="4560"/>
    <w:bookmarkStart w:id="4564" w:name="h"/>
    <w:p>
      <w:pPr>
        <w:pStyle w:val="Heading1"/>
      </w:pPr>
      <w:r>
        <w:t xml:space="preserve">H</w:t>
      </w:r>
    </w:p>
    <w:bookmarkStart w:id="4561" w:name="overview-524"/>
    <w:p>
      <w:pPr>
        <w:pStyle w:val="Heading2"/>
      </w:pPr>
      <w:r>
        <w:t xml:space="preserve">Overview</w:t>
      </w:r>
    </w:p>
    <w:p>
      <w:pPr>
        <w:pStyle w:val="FirstParagraph"/>
      </w:pPr>
      <w:r>
        <w:t xml:space="preserve">Gets the current page height.</w:t>
      </w:r>
    </w:p>
    <w:bookmarkEnd w:id="4561"/>
    <w:bookmarkStart w:id="4562" w:name="property-type"/>
    <w:p>
      <w:pPr>
        <w:pStyle w:val="Heading2"/>
      </w:pPr>
      <w:r>
        <w:t xml:space="preserve">Property Type</w:t>
      </w:r>
    </w:p>
    <w:p>
      <w:pPr>
        <w:pStyle w:val="FirstParagraph"/>
      </w:pPr>
      <w:r>
        <w:rPr>
          <w:b/>
          <w:bCs/>
        </w:rPr>
        <w:t xml:space="preserve">Returns:</w:t>
      </w:r>
      <w:r>
        <w:t xml:space="preserve"> </w:t>
      </w:r>
      <w:r>
        <w:t xml:space="preserve">Double</w:t>
      </w:r>
    </w:p>
    <w:bookmarkEnd w:id="4562"/>
    <w:bookmarkStart w:id="4563" w:name="code-example-296"/>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rPr>
          <w:rStyle w:val="OtherTok"/>
        </w:rPr>
        <w:t xml:space="preserve">,</w:t>
      </w:r>
      <w:r>
        <w:rPr>
          <w:rStyle w:val="NormalTok"/>
        </w:rPr>
        <w:t xml:space="preserve"> val</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NormalTok"/>
        </w:rPr>
        <w:t xml:space="preserve">val = pdf.H</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val</w:t>
      </w:r>
      <w:r>
        <w:rPr>
          <w:rStyle w:val="OtherTok"/>
        </w:rPr>
        <w:t xml:space="preserv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63"/>
    <w:bookmarkEnd w:id="4564"/>
    <w:bookmarkStart w:id="4568" w:name="lasterror"/>
    <w:p>
      <w:pPr>
        <w:pStyle w:val="Heading1"/>
      </w:pPr>
      <w:r>
        <w:t xml:space="preserve">LastError</w:t>
      </w:r>
    </w:p>
    <w:bookmarkStart w:id="4565" w:name="overview-525"/>
    <w:p>
      <w:pPr>
        <w:pStyle w:val="Heading2"/>
      </w:pPr>
      <w:r>
        <w:t xml:space="preserve">Overview</w:t>
      </w:r>
    </w:p>
    <w:p>
      <w:pPr>
        <w:pStyle w:val="FirstParagraph"/>
      </w:pPr>
      <w:r>
        <w:t xml:space="preserve">Returns the description of the last error encountered during operations. Returns an empty string if no error occurred.</w:t>
      </w:r>
    </w:p>
    <w:bookmarkEnd w:id="4565"/>
    <w:bookmarkStart w:id="4566" w:name="property-type-1"/>
    <w:p>
      <w:pPr>
        <w:pStyle w:val="Heading2"/>
      </w:pPr>
      <w:r>
        <w:t xml:space="preserve">Property Type</w:t>
      </w:r>
    </w:p>
    <w:p>
      <w:pPr>
        <w:pStyle w:val="FirstParagraph"/>
      </w:pPr>
      <w:r>
        <w:rPr>
          <w:b/>
          <w:bCs/>
        </w:rPr>
        <w:t xml:space="preserve">Returns:</w:t>
      </w:r>
      <w:r>
        <w:t xml:space="preserve"> </w:t>
      </w:r>
      <w:r>
        <w:t xml:space="preserve">String</w:t>
      </w:r>
    </w:p>
    <w:bookmarkEnd w:id="4566"/>
    <w:bookmarkStart w:id="4567" w:name="code-example-297"/>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rPr>
          <w:rStyle w:val="OtherTok"/>
        </w:rPr>
        <w:t xml:space="preserve">,</w:t>
      </w:r>
      <w:r>
        <w:rPr>
          <w:rStyle w:val="NormalTok"/>
        </w:rPr>
        <w:t xml:space="preserve"> val</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NormalTok"/>
        </w:rPr>
        <w:t xml:space="preserve">val = pdf.LastError</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val</w:t>
      </w:r>
      <w:r>
        <w:rPr>
          <w:rStyle w:val="OtherTok"/>
        </w:rPr>
        <w:t xml:space="preserv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67"/>
    <w:bookmarkEnd w:id="4568"/>
    <w:bookmarkStart w:id="4572" w:name="page"/>
    <w:p>
      <w:pPr>
        <w:pStyle w:val="Heading1"/>
      </w:pPr>
      <w:r>
        <w:t xml:space="preserve">Page</w:t>
      </w:r>
    </w:p>
    <w:bookmarkStart w:id="4569" w:name="overview-526"/>
    <w:p>
      <w:pPr>
        <w:pStyle w:val="Heading2"/>
      </w:pPr>
      <w:r>
        <w:t xml:space="preserve">Overview</w:t>
      </w:r>
    </w:p>
    <w:p>
      <w:pPr>
        <w:pStyle w:val="FirstParagraph"/>
      </w:pPr>
      <w:r>
        <w:t xml:space="preserve">Returns the current page number.</w:t>
      </w:r>
    </w:p>
    <w:bookmarkEnd w:id="4569"/>
    <w:bookmarkStart w:id="4570" w:name="property-type-2"/>
    <w:p>
      <w:pPr>
        <w:pStyle w:val="Heading2"/>
      </w:pPr>
      <w:r>
        <w:t xml:space="preserve">Property Type</w:t>
      </w:r>
    </w:p>
    <w:p>
      <w:pPr>
        <w:pStyle w:val="FirstParagraph"/>
      </w:pPr>
      <w:r>
        <w:rPr>
          <w:b/>
          <w:bCs/>
        </w:rPr>
        <w:t xml:space="preserve">Returns:</w:t>
      </w:r>
      <w:r>
        <w:t xml:space="preserve"> </w:t>
      </w:r>
      <w:r>
        <w:t xml:space="preserve">Integer</w:t>
      </w:r>
    </w:p>
    <w:bookmarkEnd w:id="4570"/>
    <w:bookmarkStart w:id="4571" w:name="code-example-298"/>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rPr>
          <w:rStyle w:val="OtherTok"/>
        </w:rPr>
        <w:t xml:space="preserve">,</w:t>
      </w:r>
      <w:r>
        <w:rPr>
          <w:rStyle w:val="NormalTok"/>
        </w:rPr>
        <w:t xml:space="preserve"> val</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NormalTok"/>
        </w:rPr>
        <w:t xml:space="preserve">val = pdf.Page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val</w:t>
      </w:r>
      <w:r>
        <w:rPr>
          <w:rStyle w:val="OtherTok"/>
        </w:rPr>
        <w:t xml:space="preserv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71"/>
    <w:bookmarkEnd w:id="4572"/>
    <w:bookmarkStart w:id="4576" w:name="version"/>
    <w:p>
      <w:pPr>
        <w:pStyle w:val="Heading1"/>
      </w:pPr>
      <w:r>
        <w:t xml:space="preserve">Version</w:t>
      </w:r>
    </w:p>
    <w:bookmarkStart w:id="4573" w:name="overview-527"/>
    <w:p>
      <w:pPr>
        <w:pStyle w:val="Heading2"/>
      </w:pPr>
      <w:r>
        <w:t xml:space="preserve">Overview</w:t>
      </w:r>
    </w:p>
    <w:p>
      <w:pPr>
        <w:pStyle w:val="FirstParagraph"/>
      </w:pPr>
      <w:r>
        <w:t xml:space="preserve">Returns the current version string of the underlying go-pdf/fpdf library wrapper.</w:t>
      </w:r>
    </w:p>
    <w:bookmarkEnd w:id="4573"/>
    <w:bookmarkStart w:id="4574" w:name="property-type-3"/>
    <w:p>
      <w:pPr>
        <w:pStyle w:val="Heading2"/>
      </w:pPr>
      <w:r>
        <w:t xml:space="preserve">Property Type</w:t>
      </w:r>
    </w:p>
    <w:p>
      <w:pPr>
        <w:pStyle w:val="FirstParagraph"/>
      </w:pPr>
      <w:r>
        <w:rPr>
          <w:b/>
          <w:bCs/>
        </w:rPr>
        <w:t xml:space="preserve">Returns:</w:t>
      </w:r>
      <w:r>
        <w:t xml:space="preserve"> </w:t>
      </w:r>
      <w:r>
        <w:t xml:space="preserve">String</w:t>
      </w:r>
    </w:p>
    <w:bookmarkEnd w:id="4574"/>
    <w:bookmarkStart w:id="4575" w:name="code-example-299"/>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rPr>
          <w:rStyle w:val="OtherTok"/>
        </w:rPr>
        <w:t xml:space="preserve">,</w:t>
      </w:r>
      <w:r>
        <w:rPr>
          <w:rStyle w:val="NormalTok"/>
        </w:rPr>
        <w:t xml:space="preserve"> val</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NormalTok"/>
        </w:rPr>
        <w:t xml:space="preserve">val = pdf.Version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val</w:t>
      </w:r>
      <w:r>
        <w:rPr>
          <w:rStyle w:val="OtherTok"/>
        </w:rPr>
        <w:t xml:space="preserv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75"/>
    <w:bookmarkEnd w:id="4576"/>
    <w:bookmarkStart w:id="4580" w:name="w"/>
    <w:p>
      <w:pPr>
        <w:pStyle w:val="Heading1"/>
      </w:pPr>
      <w:r>
        <w:t xml:space="preserve">W</w:t>
      </w:r>
    </w:p>
    <w:bookmarkStart w:id="4577" w:name="overview-528"/>
    <w:p>
      <w:pPr>
        <w:pStyle w:val="Heading2"/>
      </w:pPr>
      <w:r>
        <w:t xml:space="preserve">Overview</w:t>
      </w:r>
    </w:p>
    <w:p>
      <w:pPr>
        <w:pStyle w:val="FirstParagraph"/>
      </w:pPr>
      <w:r>
        <w:t xml:space="preserve">Gets the current page width.</w:t>
      </w:r>
    </w:p>
    <w:bookmarkEnd w:id="4577"/>
    <w:bookmarkStart w:id="4578" w:name="property-type-4"/>
    <w:p>
      <w:pPr>
        <w:pStyle w:val="Heading2"/>
      </w:pPr>
      <w:r>
        <w:t xml:space="preserve">Property Type</w:t>
      </w:r>
    </w:p>
    <w:p>
      <w:pPr>
        <w:pStyle w:val="FirstParagraph"/>
      </w:pPr>
      <w:r>
        <w:rPr>
          <w:b/>
          <w:bCs/>
        </w:rPr>
        <w:t xml:space="preserve">Returns:</w:t>
      </w:r>
      <w:r>
        <w:t xml:space="preserve"> </w:t>
      </w:r>
      <w:r>
        <w:t xml:space="preserve">Double</w:t>
      </w:r>
    </w:p>
    <w:bookmarkEnd w:id="4578"/>
    <w:bookmarkStart w:id="4579" w:name="code-example-300"/>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rPr>
          <w:rStyle w:val="OtherTok"/>
        </w:rPr>
        <w:t xml:space="preserve">,</w:t>
      </w:r>
      <w:r>
        <w:rPr>
          <w:rStyle w:val="NormalTok"/>
        </w:rPr>
        <w:t xml:space="preserve"> val</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NormalTok"/>
        </w:rPr>
        <w:t xml:space="preserve">val = pdf.W</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val</w:t>
      </w:r>
      <w:r>
        <w:rPr>
          <w:rStyle w:val="OtherTok"/>
        </w:rPr>
        <w:t xml:space="preserv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79"/>
    <w:bookmarkEnd w:id="4580"/>
    <w:bookmarkStart w:id="4584" w:name="x"/>
    <w:p>
      <w:pPr>
        <w:pStyle w:val="Heading1"/>
      </w:pPr>
      <w:r>
        <w:t xml:space="preserve">X</w:t>
      </w:r>
    </w:p>
    <w:bookmarkStart w:id="4581" w:name="overview-529"/>
    <w:p>
      <w:pPr>
        <w:pStyle w:val="Heading2"/>
      </w:pPr>
      <w:r>
        <w:t xml:space="preserve">Overview</w:t>
      </w:r>
    </w:p>
    <w:p>
      <w:pPr>
        <w:pStyle w:val="FirstParagraph"/>
      </w:pPr>
      <w:r>
        <w:t xml:space="preserve">Gets the abscissa of the current position.</w:t>
      </w:r>
    </w:p>
    <w:bookmarkEnd w:id="4581"/>
    <w:bookmarkStart w:id="4582" w:name="property-type-5"/>
    <w:p>
      <w:pPr>
        <w:pStyle w:val="Heading2"/>
      </w:pPr>
      <w:r>
        <w:t xml:space="preserve">Property Type</w:t>
      </w:r>
    </w:p>
    <w:p>
      <w:pPr>
        <w:pStyle w:val="FirstParagraph"/>
      </w:pPr>
      <w:r>
        <w:rPr>
          <w:b/>
          <w:bCs/>
        </w:rPr>
        <w:t xml:space="preserve">Returns:</w:t>
      </w:r>
      <w:r>
        <w:t xml:space="preserve"> </w:t>
      </w:r>
      <w:r>
        <w:t xml:space="preserve">Double</w:t>
      </w:r>
    </w:p>
    <w:bookmarkEnd w:id="4582"/>
    <w:bookmarkStart w:id="4583" w:name="code-example-301"/>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rPr>
          <w:rStyle w:val="OtherTok"/>
        </w:rPr>
        <w:t xml:space="preserve">,</w:t>
      </w:r>
      <w:r>
        <w:rPr>
          <w:rStyle w:val="NormalTok"/>
        </w:rPr>
        <w:t xml:space="preserve"> val</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NormalTok"/>
        </w:rPr>
        <w:t xml:space="preserve">val = pdf.X</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val</w:t>
      </w:r>
      <w:r>
        <w:rPr>
          <w:rStyle w:val="OtherTok"/>
        </w:rPr>
        <w:t xml:space="preserv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83"/>
    <w:bookmarkEnd w:id="4584"/>
    <w:bookmarkStart w:id="4589" w:name="y"/>
    <w:p>
      <w:pPr>
        <w:pStyle w:val="Heading1"/>
      </w:pPr>
      <w:r>
        <w:t xml:space="preserve">Y</w:t>
      </w:r>
    </w:p>
    <w:bookmarkStart w:id="4585" w:name="overview-530"/>
    <w:p>
      <w:pPr>
        <w:pStyle w:val="Heading2"/>
      </w:pPr>
      <w:r>
        <w:t xml:space="preserve">Overview</w:t>
      </w:r>
    </w:p>
    <w:p>
      <w:pPr>
        <w:pStyle w:val="FirstParagraph"/>
      </w:pPr>
      <w:r>
        <w:t xml:space="preserve">Gets the ordinate of the current position.</w:t>
      </w:r>
    </w:p>
    <w:bookmarkEnd w:id="4585"/>
    <w:bookmarkStart w:id="4586" w:name="property-type-6"/>
    <w:p>
      <w:pPr>
        <w:pStyle w:val="Heading2"/>
      </w:pPr>
      <w:r>
        <w:t xml:space="preserve">Property Type</w:t>
      </w:r>
    </w:p>
    <w:p>
      <w:pPr>
        <w:pStyle w:val="FirstParagraph"/>
      </w:pPr>
      <w:r>
        <w:rPr>
          <w:b/>
          <w:bCs/>
        </w:rPr>
        <w:t xml:space="preserve">Returns:</w:t>
      </w:r>
      <w:r>
        <w:t xml:space="preserve"> </w:t>
      </w:r>
      <w:r>
        <w:t xml:space="preserve">Double</w:t>
      </w:r>
    </w:p>
    <w:bookmarkEnd w:id="4586"/>
    <w:bookmarkStart w:id="4587" w:name="code-example-302"/>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pdf</w:t>
      </w:r>
      <w:r>
        <w:rPr>
          <w:rStyle w:val="OtherTok"/>
        </w:rPr>
        <w:t xml:space="preserve">,</w:t>
      </w:r>
      <w:r>
        <w:rPr>
          <w:rStyle w:val="NormalTok"/>
        </w:rPr>
        <w:t xml:space="preserve"> val</w:t>
      </w:r>
      <w:r>
        <w:br/>
      </w:r>
      <w:r>
        <w:rPr>
          <w:rStyle w:val="KeywordTok"/>
        </w:rPr>
        <w:t xml:space="preserve">Set</w:t>
      </w:r>
      <w:r>
        <w:rPr>
          <w:rStyle w:val="NormalTok"/>
        </w:rPr>
        <w:t xml:space="preserve"> pdf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"G3PDF"</w:t>
      </w:r>
      <w:r>
        <w:rPr>
          <w:rStyle w:val="OtherTok"/>
        </w:rPr>
        <w:t xml:space="preserve">)</w:t>
      </w:r>
      <w:r>
        <w:br/>
      </w:r>
      <w:r>
        <w:br/>
      </w:r>
      <w:r>
        <w:rPr>
          <w:rStyle w:val="NormalTok"/>
        </w:rPr>
        <w:t xml:space="preserve">pdf.Reset </w:t>
      </w:r>
      <w:r>
        <w:rPr>
          <w:rStyle w:val="StringTok"/>
        </w:rPr>
        <w:t xml:space="preserve">"P"</w:t>
      </w:r>
      <w:r>
        <w:rPr>
          <w:rStyle w:val="OtherTok"/>
        </w:rPr>
        <w:t xml:space="preserve">,</w:t>
      </w:r>
      <w:r>
        <w:rPr>
          <w:rStyle w:val="NormalTok"/>
        </w:rPr>
        <w:t xml:space="preserve"> </w:t>
      </w:r>
      <w:r>
        <w:rPr>
          <w:rStyle w:val="StringTok"/>
        </w:rPr>
        <w:t xml:space="preserve">"mm"</w:t>
      </w:r>
      <w:r>
        <w:rPr>
          <w:rStyle w:val="OtherTok"/>
        </w:rPr>
        <w:t xml:space="preserve">,</w:t>
      </w:r>
      <w:r>
        <w:rPr>
          <w:rStyle w:val="NormalTok"/>
        </w:rPr>
        <w:t xml:space="preserve"> </w:t>
      </w:r>
      <w:r>
        <w:rPr>
          <w:rStyle w:val="StringTok"/>
        </w:rPr>
        <w:t xml:space="preserve">"A4"</w:t>
      </w:r>
      <w:r>
        <w:br/>
      </w:r>
      <w:r>
        <w:rPr>
          <w:rStyle w:val="NormalTok"/>
        </w:rPr>
        <w:t xml:space="preserve">pdf.AddPage</w:t>
      </w:r>
      <w:r>
        <w:br/>
      </w:r>
      <w:r>
        <w:br/>
      </w:r>
      <w:r>
        <w:rPr>
          <w:rStyle w:val="NormalTok"/>
        </w:rPr>
        <w:t xml:space="preserve">val = pdf.Y</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val</w:t>
      </w:r>
      <w:r>
        <w:rPr>
          <w:rStyle w:val="OtherTok"/>
        </w:rPr>
        <w:t xml:space="preserve">)</w:t>
      </w:r>
      <w:r>
        <w:br/>
      </w:r>
      <w:r>
        <w:br/>
      </w:r>
      <w:r>
        <w:rPr>
          <w:rStyle w:val="KeywordTok"/>
        </w:rPr>
        <w:t xml:space="preserve">Set</w:t>
      </w:r>
      <w:r>
        <w:rPr>
          <w:rStyle w:val="NormalTok"/>
        </w:rPr>
        <w:t xml:space="preserve"> pdf = </w:t>
      </w:r>
      <w:r>
        <w:rPr>
          <w:rStyle w:val="KeywordTok"/>
        </w:rPr>
        <w:t xml:space="preserve">Nothing</w:t>
      </w:r>
      <w:r>
        <w:br/>
      </w:r>
      <w:r>
        <w:rPr>
          <w:rStyle w:val="DataTypeTok"/>
        </w:rPr>
        <w:t xml:space="preserve">%&gt;</w:t>
      </w:r>
    </w:p>
    <w:bookmarkEnd w:id="4587"/>
    <w:bookmarkStart w:id="4588" w:name="g3fileuploader"/>
    <w:p>
      <w:pPr>
        <w:pStyle w:val="Heading2"/>
      </w:pPr>
      <w:r>
        <w:t xml:space="preserve">G3FILEUPLOADER</w:t>
      </w:r>
    </w:p>
    <w:bookmarkEnd w:id="4588"/>
    <w:bookmarkEnd w:id="4589"/>
    <w:bookmarkStart w:id="4596" w:name="manage-file-uploads-using-g3fileuploader"/>
    <w:p>
      <w:pPr>
        <w:pStyle w:val="Heading1"/>
      </w:pPr>
      <w:r>
        <w:t xml:space="preserve">Manage File Uploads using G3FILEUPLOADER</w:t>
      </w:r>
    </w:p>
    <w:bookmarkStart w:id="4590" w:name="overview-531"/>
    <w:p>
      <w:pPr>
        <w:pStyle w:val="Heading2"/>
      </w:pPr>
      <w:r>
        <w:t xml:space="preserve">Overview</w:t>
      </w:r>
    </w:p>
    <w:p>
      <w:pPr>
        <w:pStyle w:val="FirstParagraph"/>
      </w:pPr>
      <w:r>
        <w:t xml:space="preserve">The</w:t>
      </w:r>
      <w:r>
        <w:t xml:space="preserve"> </w:t>
      </w:r>
      <w:r>
        <w:rPr>
          <w:rStyle w:val="VerbatimChar"/>
        </w:rPr>
        <w:t xml:space="preserve">G3FILEUPLOADER</w:t>
      </w:r>
      <w:r>
        <w:t xml:space="preserve"> </w:t>
      </w:r>
      <w:r>
        <w:t xml:space="preserve">object provides a high-performance system for securely processing and managing HTTP multipart file uploads in the AxonASP environment. You can control validation logic, restrict extensions, limit file sizes, and retrieve deep metadata describing individual files or the entire upload batch.</w:t>
      </w:r>
    </w:p>
    <w:p>
      <w:pPr>
        <w:pStyle w:val="BlockText"/>
      </w:pPr>
      <w:r>
        <w:rPr>
          <w:b/>
          <w:bCs/>
        </w:rPr>
        <w:t xml:space="preserve">G3FILEUPLOADER</w:t>
      </w:r>
      <w:r>
        <w:t xml:space="preserve"> </w:t>
      </w:r>
      <w:r>
        <w:t xml:space="preserve">is the officially recommended, most performant, and most secure method for handling file uploads in AxonASP. It completely supersedes legacy Classic ASP binary read approaches and is optimized for zero-allocation processing of large streams.</w:t>
      </w:r>
    </w:p>
    <w:bookmarkEnd w:id="4590"/>
    <w:bookmarkStart w:id="4591" w:name="syntax-499"/>
    <w:p>
      <w:pPr>
        <w:pStyle w:val="Heading2"/>
      </w:pPr>
      <w:r>
        <w:t xml:space="preserve">Syntax</w:t>
      </w:r>
    </w:p>
    <w:p>
      <w:pPr>
        <w:pStyle w:val="SourceCode"/>
      </w:pPr>
      <w:r>
        <w:rPr>
          <w:rStyle w:val="NormalTok"/>
        </w:rPr>
        <w:t xml:space="preserve">Dim uploader</w:t>
      </w:r>
      <w:r>
        <w:br/>
      </w:r>
      <w:r>
        <w:rPr>
          <w:rStyle w:val="NormalTok"/>
        </w:rPr>
        <w:t xml:space="preserve">Set uploader = Server.CreateObject("G3FILEUPLOADER")</w:t>
      </w:r>
    </w:p>
    <w:p>
      <w:pPr>
        <w:pStyle w:val="SourceCode"/>
      </w:pPr>
      <w:r>
        <w:rPr>
          <w:rStyle w:val="KeywordTok"/>
        </w:rPr>
        <w:t xml:space="preserve">var</w:t>
      </w:r>
      <w:r>
        <w:rPr>
          <w:rStyle w:val="NormalTok"/>
        </w:rPr>
        <w:t xml:space="preserve"> uploader </w:t>
      </w:r>
      <w:r>
        <w:rPr>
          <w:rStyle w:val="OperatorTok"/>
        </w:rPr>
        <w:t xml:space="preserve">=</w:t>
      </w:r>
      <w:r>
        <w:rPr>
          <w:rStyle w:val="NormalTok"/>
        </w:rPr>
        <w:t xml:space="preserve"> </w:t>
      </w:r>
      <w:r>
        <w:rPr>
          <w:rStyle w:val="BuiltInTok"/>
        </w:rPr>
        <w:t xml:space="preserve">Server</w:t>
      </w:r>
      <w:r>
        <w:rPr>
          <w:rStyle w:val="OperatorTok"/>
        </w:rPr>
        <w:t xml:space="preserve">.</w:t>
      </w:r>
      <w:r>
        <w:rPr>
          <w:rStyle w:val="FunctionTok"/>
        </w:rPr>
        <w:t xml:space="preserve">CreateObject</w:t>
      </w:r>
      <w:r>
        <w:rPr>
          <w:rStyle w:val="NormalTok"/>
        </w:rPr>
        <w:t xml:space="preserve">(</w:t>
      </w:r>
      <w:r>
        <w:rPr>
          <w:rStyle w:val="StringTok"/>
        </w:rPr>
        <w:t xml:space="preserve">"G3FILEUPLOADER"</w:t>
      </w:r>
      <w:r>
        <w:rPr>
          <w:rStyle w:val="NormalTok"/>
        </w:rPr>
        <w:t xml:space="preserve">)</w:t>
      </w:r>
      <w:r>
        <w:rPr>
          <w:rStyle w:val="OperatorTok"/>
        </w:rPr>
        <w:t xml:space="preserve">;</w:t>
      </w:r>
    </w:p>
    <w:bookmarkEnd w:id="4591"/>
    <w:bookmarkStart w:id="4592" w:name="parameters-253"/>
    <w:p>
      <w:pPr>
        <w:pStyle w:val="Heading2"/>
      </w:pPr>
      <w:r>
        <w:t xml:space="preserve">Parameters</w:t>
      </w:r>
    </w:p>
    <w:p>
      <w:pPr>
        <w:pStyle w:val="FirstParagraph"/>
      </w:pPr>
      <w:r>
        <w:t xml:space="preserve">None for instantiation.</w:t>
      </w:r>
    </w:p>
    <w:bookmarkEnd w:id="4592"/>
    <w:bookmarkStart w:id="4593" w:name="return-values-192"/>
    <w:p>
      <w:pPr>
        <w:pStyle w:val="Heading2"/>
      </w:pPr>
      <w:r>
        <w:t xml:space="preserve">Return Values</w:t>
      </w:r>
    </w:p>
    <w:p>
      <w:pPr>
        <w:pStyle w:val="FirstParagraph"/>
      </w:pPr>
      <w:r>
        <w:t xml:space="preserve">Returns a native</w:t>
      </w:r>
      <w:r>
        <w:t xml:space="preserve"> </w:t>
      </w:r>
      <w:r>
        <w:rPr>
          <w:rStyle w:val="VerbatimChar"/>
        </w:rPr>
        <w:t xml:space="preserve">G3FILEUPLOADER</w:t>
      </w:r>
      <w:r>
        <w:t xml:space="preserve"> </w:t>
      </w:r>
      <w:r>
        <w:t xml:space="preserve">object.</w:t>
      </w:r>
    </w:p>
    <w:bookmarkEnd w:id="4593"/>
    <w:bookmarkStart w:id="4594" w:name="remarks-465"/>
    <w:p>
      <w:pPr>
        <w:pStyle w:val="Heading2"/>
      </w:pPr>
      <w:r>
        <w:t xml:space="preserve">Remarks</w:t>
      </w:r>
    </w:p>
    <w:p>
      <w:pPr>
        <w:pStyle w:val="Compact"/>
        <w:numPr>
          <w:ilvl w:val="0"/>
          <w:numId w:val="2136"/>
        </w:numPr>
      </w:pPr>
      <w:r>
        <w:t xml:space="preserve">Requires</w:t>
      </w:r>
      <w:r>
        <w:t xml:space="preserve"> </w:t>
      </w:r>
      <w:r>
        <w:rPr>
          <w:rStyle w:val="VerbatimChar"/>
        </w:rPr>
        <w:t xml:space="preserve">Server.CreateObject("G3FILEUPLOADER")</w:t>
      </w:r>
      <w:r>
        <w:t xml:space="preserve">.</w:t>
      </w:r>
    </w:p>
    <w:p>
      <w:pPr>
        <w:pStyle w:val="Compact"/>
        <w:numPr>
          <w:ilvl w:val="0"/>
          <w:numId w:val="2136"/>
        </w:numPr>
      </w:pPr>
      <w:r>
        <w:t xml:space="preserve">Optimized for the AxonASP VM with minimal memory overhead.</w:t>
      </w:r>
    </w:p>
    <w:p>
      <w:pPr>
        <w:pStyle w:val="Compact"/>
        <w:numPr>
          <w:ilvl w:val="0"/>
          <w:numId w:val="2136"/>
        </w:numPr>
      </w:pPr>
      <w:r>
        <w:t xml:space="preserve">Supports both individual and batch upload processing.</w:t>
      </w:r>
    </w:p>
    <w:p>
      <w:pPr>
        <w:pStyle w:val="Compact"/>
        <w:numPr>
          <w:ilvl w:val="0"/>
          <w:numId w:val="2136"/>
        </w:numPr>
      </w:pPr>
      <w:r>
        <w:t xml:space="preserve">Includes a dedicated sandbox for file security, which can be bypassed using the</w:t>
      </w:r>
      <w:r>
        <w:t xml:space="preserve"> </w:t>
      </w:r>
      <w:r>
        <w:rPr>
          <w:rStyle w:val="VerbatimChar"/>
        </w:rPr>
        <w:t xml:space="preserve">AllowAbsolutePaths</w:t>
      </w:r>
      <w:r>
        <w:t xml:space="preserve"> </w:t>
      </w:r>
      <w:r>
        <w:t xml:space="preserve">property if required.</w:t>
      </w:r>
    </w:p>
    <w:p>
      <w:pPr>
        <w:pStyle w:val="Compact"/>
        <w:numPr>
          <w:ilvl w:val="0"/>
          <w:numId w:val="2136"/>
        </w:numPr>
      </w:pPr>
      <w:r>
        <w:t xml:space="preserve">Automatically handles multipart/form-data parsing.</w:t>
      </w:r>
    </w:p>
    <w:bookmarkEnd w:id="4594"/>
    <w:bookmarkStart w:id="4595" w:name="code-example-30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result</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br/>
      </w:r>
      <w:r>
        <w:rPr>
          <w:rStyle w:val="CommentTok"/>
        </w:rPr>
        <w:t xml:space="preserve">' Configure uploader</w:t>
      </w:r>
      <w:r>
        <w:br/>
      </w:r>
      <w:r>
        <w:rPr>
          <w:rStyle w:val="NormalTok"/>
        </w:rPr>
        <w:t xml:space="preserve">uploader.MaxFileSize = </w:t>
      </w:r>
      <w:r>
        <w:rPr>
          <w:rStyle w:val="DecValTok"/>
        </w:rPr>
        <w:t xml:space="preserve">2097152</w:t>
      </w:r>
      <w:r>
        <w:rPr>
          <w:rStyle w:val="NormalTok"/>
        </w:rPr>
        <w:t xml:space="preserve"> </w:t>
      </w:r>
      <w:r>
        <w:rPr>
          <w:rStyle w:val="CommentTok"/>
        </w:rPr>
        <w:t xml:space="preserve">' 2MB</w:t>
      </w:r>
      <w:r>
        <w:br/>
      </w:r>
      <w:r>
        <w:rPr>
          <w:rStyle w:val="NormalTok"/>
        </w:rPr>
        <w:t xml:space="preserve">uploader.AllowExtensions </w:t>
      </w:r>
      <w:r>
        <w:rPr>
          <w:rStyle w:val="StringTok"/>
        </w:rPr>
        <w:t xml:space="preserve">"jpg, png, pdf"</w:t>
      </w:r>
      <w:r>
        <w:br/>
      </w:r>
      <w:r>
        <w:rPr>
          <w:rStyle w:val="NormalTok"/>
        </w:rPr>
        <w:t xml:space="preserve">uploader.SetUseAllowedOnly </w:t>
      </w:r>
      <w:r>
        <w:rPr>
          <w:rStyle w:val="KeywordTok"/>
        </w:rPr>
        <w:t xml:space="preserve">True</w:t>
      </w:r>
      <w:r>
        <w:br/>
      </w:r>
      <w:r>
        <w:br/>
      </w:r>
      <w:r>
        <w:rPr>
          <w:rStyle w:val="CommentTok"/>
        </w:rPr>
        <w:t xml:space="preserve">' Process a specific field</w:t>
      </w:r>
      <w:r>
        <w:br/>
      </w:r>
      <w:r>
        <w:rPr>
          <w:rStyle w:val="KeywordTok"/>
        </w:rPr>
        <w:t xml:space="preserve">Set</w:t>
      </w:r>
      <w:r>
        <w:rPr>
          <w:rStyle w:val="NormalTok"/>
        </w:rPr>
        <w:t xml:space="preserve"> result = uploader.Process</w:t>
      </w:r>
      <w:r>
        <w:rPr>
          <w:rStyle w:val="OtherTok"/>
        </w:rPr>
        <w:t xml:space="preserve">(</w:t>
      </w:r>
      <w:r>
        <w:rPr>
          <w:rStyle w:val="StringTok"/>
        </w:rPr>
        <w:t xml:space="preserve">"myFile"</w:t>
      </w:r>
      <w:r>
        <w:rPr>
          <w:rStyle w:val="OtherTok"/>
        </w:rPr>
        <w:t xml:space="preserve">,</w:t>
      </w:r>
      <w:r>
        <w:rPr>
          <w:rStyle w:val="NormalTok"/>
        </w:rPr>
        <w:t xml:space="preserve"> </w:t>
      </w:r>
      <w:r>
        <w:rPr>
          <w:rStyle w:val="StringTok"/>
        </w:rPr>
        <w:t xml:space="preserve">"/uploads/docs"</w:t>
      </w:r>
      <w:r>
        <w:rPr>
          <w:rStyle w:val="OtherTok"/>
        </w:rPr>
        <w:t xml:space="preserve">,</w:t>
      </w:r>
      <w:r>
        <w:rPr>
          <w:rStyle w:val="NormalTok"/>
        </w:rPr>
        <w:t xml:space="preserve"> </w:t>
      </w:r>
      <w:r>
        <w:rPr>
          <w:rStyle w:val="StringTok"/>
        </w:rPr>
        <w:t xml:space="preserve">""</w:t>
      </w:r>
      <w:r>
        <w:rPr>
          <w:rStyle w:val="OtherTok"/>
        </w:rPr>
        <w:t xml:space="preserve">)</w:t>
      </w:r>
      <w:r>
        <w:br/>
      </w:r>
      <w:r>
        <w:br/>
      </w:r>
      <w:r>
        <w:rPr>
          <w:rStyle w:val="ControlFlowTok"/>
        </w:rPr>
        <w:t xml:space="preserve">If</w:t>
      </w:r>
      <w:r>
        <w:rPr>
          <w:rStyle w:val="NormalTok"/>
        </w:rPr>
        <w:t xml:space="preserve"> result</w:t>
      </w:r>
      <w:r>
        <w:rPr>
          <w:rStyle w:val="OtherTok"/>
        </w:rPr>
        <w:t xml:space="preserve">(</w:t>
      </w:r>
      <w:r>
        <w:rPr>
          <w:rStyle w:val="StringTok"/>
        </w:rPr>
        <w:t xml:space="preserve">"IsSuccess"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uploaded successfully!&lt;br&gt;"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"Saved as: "</w:t>
      </w:r>
      <w:r>
        <w:rPr>
          <w:rStyle w:val="NormalTok"/>
        </w:rPr>
        <w:t xml:space="preserve"> </w:t>
      </w:r>
      <w:r>
        <w:rPr>
          <w:rStyle w:val="KeywordTok"/>
        </w:rPr>
        <w:t xml:space="preserve">&amp;</w:t>
      </w:r>
      <w:r>
        <w:rPr>
          <w:rStyle w:val="NormalTok"/>
        </w:rPr>
        <w:t xml:space="preserve"> result</w:t>
      </w:r>
      <w:r>
        <w:rPr>
          <w:rStyle w:val="OtherTok"/>
        </w:rPr>
        <w:t xml:space="preserve">(</w:t>
      </w:r>
      <w:r>
        <w:rPr>
          <w:rStyle w:val="StringTok"/>
        </w:rPr>
        <w:t xml:space="preserve">"RelativePath"</w:t>
      </w:r>
      <w:r>
        <w:rPr>
          <w:rStyle w:val="OtherTok"/>
        </w:rPr>
        <w:t xml:space="preserv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result</w:t>
      </w:r>
      <w:r>
        <w:rPr>
          <w:rStyle w:val="OtherTok"/>
        </w:rPr>
        <w:t xml:space="preserve">(</w:t>
      </w:r>
      <w:r>
        <w:rPr>
          <w:rStyle w:val="StringTok"/>
        </w:rPr>
        <w:t xml:space="preserve">"ErrorMessage"</w:t>
      </w:r>
      <w:r>
        <w:rPr>
          <w:rStyle w:val="OtherTok"/>
        </w:rPr>
        <w:t xml:space="preserve">)</w:t>
      </w:r>
      <w:r>
        <w:br/>
      </w:r>
      <w:r>
        <w:rPr>
          <w:rStyle w:val="ControlFlowTok"/>
        </w:rPr>
        <w:t xml:space="preserve">End If</w:t>
      </w:r>
      <w:r>
        <w:br/>
      </w:r>
      <w:r>
        <w:rPr>
          <w:rStyle w:val="DataTypeTok"/>
        </w:rPr>
        <w:t xml:space="preserve">%&gt;</w:t>
      </w:r>
    </w:p>
    <w:bookmarkEnd w:id="4595"/>
    <w:bookmarkEnd w:id="4596"/>
    <w:bookmarkStart w:id="4601" w:name="g3fileuploader-methods"/>
    <w:p>
      <w:pPr>
        <w:pStyle w:val="Heading1"/>
      </w:pPr>
      <w:r>
        <w:t xml:space="preserve">G3FILEUPLOADER Methods</w:t>
      </w:r>
    </w:p>
    <w:bookmarkStart w:id="4597" w:name="overview-532"/>
    <w:p>
      <w:pPr>
        <w:pStyle w:val="Heading2"/>
      </w:pPr>
      <w:r>
        <w:t xml:space="preserve">Overview</w:t>
      </w:r>
    </w:p>
    <w:p>
      <w:pPr>
        <w:pStyle w:val="FirstParagraph"/>
      </w:pPr>
      <w:r>
        <w:t xml:space="preserve">This page summarizes methods exposed by</w:t>
      </w:r>
      <w:r>
        <w:t xml:space="preserve"> </w:t>
      </w:r>
      <w:r>
        <w:rPr>
          <w:b/>
          <w:bCs/>
        </w:rPr>
        <w:t xml:space="preserve">G3FILEUPLOADER</w:t>
      </w:r>
      <w:r>
        <w:t xml:space="preserve"> </w:t>
      </w:r>
      <w:r>
        <w:t xml:space="preserve">in G3Pix AxonASP, including compatibility methods for</w:t>
      </w:r>
      <w:r>
        <w:t xml:space="preserve"> </w:t>
      </w:r>
      <w:r>
        <w:rPr>
          <w:b/>
          <w:bCs/>
        </w:rPr>
        <w:t xml:space="preserve">Persits.Upload (ASPUpload)</w:t>
      </w:r>
      <w:r>
        <w:t xml:space="preserve"> </w:t>
      </w:r>
      <w:r>
        <w:t xml:space="preserve">and</w:t>
      </w:r>
      <w:r>
        <w:t xml:space="preserve"> </w:t>
      </w:r>
      <w:r>
        <w:rPr>
          <w:b/>
          <w:bCs/>
        </w:rPr>
        <w:t xml:space="preserve">SoftArtisans.FileUp (SA-FileUp)</w:t>
      </w:r>
      <w:r>
        <w:t xml:space="preserve">.</w:t>
      </w:r>
    </w:p>
    <w:bookmarkEnd w:id="4597"/>
    <w:bookmarkStart w:id="4598" w:name="core-compatibility-methods-reference"/>
    <w:p>
      <w:pPr>
        <w:pStyle w:val="Heading2"/>
      </w:pPr>
      <w:r>
        <w:t xml:space="preserve">Core &amp; Compatibility 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AllowExtension</w:t>
            </w:r>
          </w:p>
        </w:tc>
        <w:tc>
          <w:tcPr/>
          <w:p>
            <w:pPr>
              <w:pStyle w:val="Compact"/>
            </w:pPr>
            <w:r>
              <w:t xml:space="preserve">Empty</w:t>
            </w:r>
          </w:p>
        </w:tc>
        <w:tc>
          <w:tcPr/>
          <w:p>
            <w:pPr>
              <w:pStyle w:val="Compact"/>
            </w:pPr>
            <w:r>
              <w:t xml:space="preserve">Adds one extension to the allowed list.</w:t>
            </w:r>
          </w:p>
        </w:tc>
      </w:tr>
      <w:tr>
        <w:tc>
          <w:tcPr/>
          <w:p>
            <w:pPr>
              <w:pStyle w:val="Compact"/>
            </w:pPr>
            <w:r>
              <w:t xml:space="preserve">AllowExtensions</w:t>
            </w:r>
          </w:p>
        </w:tc>
        <w:tc>
          <w:tcPr/>
          <w:p>
            <w:pPr>
              <w:pStyle w:val="Compact"/>
            </w:pPr>
            <w:r>
              <w:t xml:space="preserve">Empty</w:t>
            </w:r>
          </w:p>
        </w:tc>
        <w:tc>
          <w:tcPr/>
          <w:p>
            <w:pPr>
              <w:pStyle w:val="Compact"/>
            </w:pPr>
            <w:r>
              <w:t xml:space="preserve">Adds multiple extensions to the allowed list from a comma-separated string.</w:t>
            </w:r>
          </w:p>
        </w:tc>
      </w:tr>
      <w:tr>
        <w:tc>
          <w:tcPr/>
          <w:p>
            <w:pPr>
              <w:pStyle w:val="Compact"/>
            </w:pPr>
            <w:r>
              <w:t xml:space="preserve">BlockExtension</w:t>
            </w:r>
          </w:p>
        </w:tc>
        <w:tc>
          <w:tcPr/>
          <w:p>
            <w:pPr>
              <w:pStyle w:val="Compact"/>
            </w:pPr>
            <w:r>
              <w:t xml:space="preserve">Empty</w:t>
            </w:r>
          </w:p>
        </w:tc>
        <w:tc>
          <w:tcPr/>
          <w:p>
            <w:pPr>
              <w:pStyle w:val="Compact"/>
            </w:pPr>
            <w:r>
              <w:t xml:space="preserve">Adds one extension to the blocked list.</w:t>
            </w:r>
          </w:p>
        </w:tc>
      </w:tr>
      <w:tr>
        <w:tc>
          <w:tcPr/>
          <w:p>
            <w:pPr>
              <w:pStyle w:val="Compact"/>
            </w:pPr>
            <w:r>
              <w:t xml:space="preserve">BlockExtensions</w:t>
            </w:r>
          </w:p>
        </w:tc>
        <w:tc>
          <w:tcPr/>
          <w:p>
            <w:pPr>
              <w:pStyle w:val="Compact"/>
            </w:pPr>
            <w:r>
              <w:t xml:space="preserve">Empty</w:t>
            </w:r>
          </w:p>
        </w:tc>
        <w:tc>
          <w:tcPr/>
          <w:p>
            <w:pPr>
              <w:pStyle w:val="Compact"/>
            </w:pPr>
            <w:r>
              <w:t xml:space="preserve">Adds multiple extensions to the blocked list from a comma-separated string.</w:t>
            </w:r>
          </w:p>
        </w:tc>
      </w:tr>
      <w:tr>
        <w:tc>
          <w:tcPr/>
          <w:p>
            <w:pPr>
              <w:pStyle w:val="Compact"/>
            </w:pPr>
            <w:r>
              <w:t xml:space="preserve">Form</w:t>
            </w:r>
          </w:p>
        </w:tc>
        <w:tc>
          <w:tcPr/>
          <w:p>
            <w:pPr>
              <w:pStyle w:val="Compact"/>
            </w:pPr>
            <w:r>
              <w:t xml:space="preserve">String/Object</w:t>
            </w:r>
          </w:p>
        </w:tc>
        <w:tc>
          <w:tcPr/>
          <w:p>
            <w:pPr>
              <w:pStyle w:val="Compact"/>
            </w:pPr>
            <w:r>
              <w:t xml:space="preserve">Gets a form field value by name or index. In SA-FileUp mode, returns a file object if the field is a file.</w:t>
            </w:r>
          </w:p>
        </w:tc>
      </w:tr>
      <w:tr>
        <w:tc>
          <w:tcPr/>
          <w:p>
            <w:pPr>
              <w:pStyle w:val="Compact"/>
            </w:pPr>
            <w:r>
              <w:t xml:space="preserve">FormValue</w:t>
            </w:r>
          </w:p>
        </w:tc>
        <w:tc>
          <w:tcPr/>
          <w:p>
            <w:pPr>
              <w:pStyle w:val="Compact"/>
            </w:pPr>
            <w:r>
              <w:t xml:space="preserve">String</w:t>
            </w:r>
          </w:p>
        </w:tc>
        <w:tc>
          <w:tcPr/>
          <w:p>
            <w:pPr>
              <w:pStyle w:val="Compact"/>
            </w:pPr>
            <w:r>
              <w:t xml:space="preserve">Alias of Form.</w:t>
            </w:r>
          </w:p>
        </w:tc>
      </w:tr>
      <w:tr>
        <w:tc>
          <w:tcPr/>
          <w:p>
            <w:pPr>
              <w:pStyle w:val="Compact"/>
            </w:pPr>
            <w:r>
              <w:t xml:space="preserve">IsValidExtension</w:t>
            </w:r>
          </w:p>
        </w:tc>
        <w:tc>
          <w:tcPr/>
          <w:p>
            <w:pPr>
              <w:pStyle w:val="Compact"/>
            </w:pPr>
            <w:r>
              <w:t xml:space="preserve">Boolean</w:t>
            </w:r>
          </w:p>
        </w:tc>
        <w:tc>
          <w:tcPr/>
          <w:p>
            <w:pPr>
              <w:pStyle w:val="Compact"/>
            </w:pPr>
            <w:r>
              <w:t xml:space="preserve">Validates whether an extension is currently allowed.</w:t>
            </w:r>
          </w:p>
        </w:tc>
      </w:tr>
      <w:tr>
        <w:tc>
          <w:tcPr/>
          <w:p>
            <w:pPr>
              <w:pStyle w:val="Compact"/>
            </w:pPr>
            <w:r>
              <w:t xml:space="preserve">GetFileInfo</w:t>
            </w:r>
          </w:p>
        </w:tc>
        <w:tc>
          <w:tcPr/>
          <w:p>
            <w:pPr>
              <w:pStyle w:val="Compact"/>
            </w:pPr>
            <w:r>
              <w:t xml:space="preserve">Dictionary</w:t>
            </w:r>
          </w:p>
        </w:tc>
        <w:tc>
          <w:tcPr/>
          <w:p>
            <w:pPr>
              <w:pStyle w:val="Compact"/>
            </w:pPr>
            <w:r>
              <w:t xml:space="preserve">Returns metadata for one uploaded form field.</w:t>
            </w:r>
          </w:p>
        </w:tc>
      </w:tr>
      <w:tr>
        <w:tc>
          <w:tcPr/>
          <w:p>
            <w:pPr>
              <w:pStyle w:val="Compact"/>
            </w:pPr>
            <w:r>
              <w:t xml:space="preserve">GetAllFilesInfo</w:t>
            </w:r>
          </w:p>
        </w:tc>
        <w:tc>
          <w:tcPr/>
          <w:p>
            <w:pPr>
              <w:pStyle w:val="Compact"/>
            </w:pPr>
            <w:r>
              <w:t xml:space="preserve">Array</w:t>
            </w:r>
          </w:p>
        </w:tc>
        <w:tc>
          <w:tcPr/>
          <w:p>
            <w:pPr>
              <w:pStyle w:val="Compact"/>
            </w:pPr>
            <w:r>
              <w:t xml:space="preserve">Returns metadata for all uploaded files in the current request.</w:t>
            </w:r>
          </w:p>
        </w:tc>
      </w:tr>
      <w:tr>
        <w:tc>
          <w:tcPr/>
          <w:p>
            <w:pPr>
              <w:pStyle w:val="Compact"/>
            </w:pPr>
            <w:r>
              <w:t xml:space="preserve">Process</w:t>
            </w:r>
          </w:p>
        </w:tc>
        <w:tc>
          <w:tcPr/>
          <w:p>
            <w:pPr>
              <w:pStyle w:val="Compact"/>
            </w:pPr>
            <w:r>
              <w:t xml:space="preserve">Dictionary</w:t>
            </w:r>
          </w:p>
        </w:tc>
        <w:tc>
          <w:tcPr/>
          <w:p>
            <w:pPr>
              <w:pStyle w:val="Compact"/>
            </w:pPr>
            <w:r>
              <w:t xml:space="preserve">Processes one uploaded file and saves it to disk (original G3FILEUPLOADER signature).</w:t>
            </w:r>
          </w:p>
        </w:tc>
      </w:tr>
      <w:tr>
        <w:tc>
          <w:tcPr/>
          <w:p>
            <w:pPr>
              <w:pStyle w:val="Compact"/>
            </w:pPr>
            <w:r>
              <w:t xml:space="preserve">ProcessAll</w:t>
            </w:r>
          </w:p>
        </w:tc>
        <w:tc>
          <w:tcPr/>
          <w:p>
            <w:pPr>
              <w:pStyle w:val="Compact"/>
            </w:pPr>
            <w:r>
              <w:t xml:space="preserve">Array</w:t>
            </w:r>
          </w:p>
        </w:tc>
        <w:tc>
          <w:tcPr/>
          <w:p>
            <w:pPr>
              <w:pStyle w:val="Compact"/>
            </w:pPr>
            <w:r>
              <w:t xml:space="preserve">Processes all uploaded files and saves them to disk.</w:t>
            </w:r>
          </w:p>
        </w:tc>
      </w:tr>
      <w:tr>
        <w:tc>
          <w:tcPr/>
          <w:p>
            <w:pPr>
              <w:pStyle w:val="Compact"/>
            </w:pPr>
            <w:r>
              <w:t xml:space="preserve">SetUseAllowedOnly</w:t>
            </w:r>
          </w:p>
        </w:tc>
        <w:tc>
          <w:tcPr/>
          <w:p>
            <w:pPr>
              <w:pStyle w:val="Compact"/>
            </w:pPr>
            <w:r>
              <w:t xml:space="preserve">Empty</w:t>
            </w:r>
          </w:p>
        </w:tc>
        <w:tc>
          <w:tcPr/>
          <w:p>
            <w:pPr>
              <w:pStyle w:val="Compact"/>
            </w:pPr>
            <w:r>
              <w:t xml:space="preserve">Enables or disables allow-list-only validation mode.</w:t>
            </w:r>
          </w:p>
        </w:tc>
      </w:tr>
      <w:tr>
        <w:tc>
          <w:tcPr/>
          <w:p>
            <w:pPr>
              <w:pStyle w:val="Compact"/>
            </w:pPr>
            <w:r>
              <w:t xml:space="preserve">Save</w:t>
            </w:r>
          </w:p>
        </w:tc>
        <w:tc>
          <w:tcPr/>
          <w:p>
            <w:pPr>
              <w:pStyle w:val="Compact"/>
            </w:pPr>
            <w:r>
              <w:t xml:space="preserve">Integer / Empty</w:t>
            </w:r>
          </w:p>
        </w:tc>
        <w:tc>
          <w:tcPr/>
          <w:p>
            <w:pPr>
              <w:pStyle w:val="Compact"/>
            </w:pPr>
            <w:r>
              <w:rPr>
                <w:b/>
                <w:bCs/>
              </w:rPr>
              <w:t xml:space="preserve">Collision Resolution:</w:t>
            </w:r>
            <w:r>
              <w:t xml:space="preserve"> </w:t>
            </w:r>
            <w:r>
              <w:t xml:space="preserve">Saves uploaded files to disk. In ASPUpload mode, it takes a target directory path and returns the number of successfully saved files. In SA-FileUp mode, it takes no parameters and saves all files to the folder path configured in the</w:t>
            </w:r>
            <w:r>
              <w:t xml:space="preserve"> </w:t>
            </w:r>
            <w:r>
              <w:rPr>
                <w:rStyle w:val="VerbatimChar"/>
              </w:rPr>
              <w:t xml:space="preserve">Path</w:t>
            </w:r>
            <w:r>
              <w:t xml:space="preserve"> </w:t>
            </w:r>
            <w:r>
              <w:t xml:space="preserve">property.</w:t>
            </w:r>
          </w:p>
        </w:tc>
      </w:tr>
      <w:tr>
        <w:tc>
          <w:tcPr/>
          <w:p>
            <w:pPr>
              <w:pStyle w:val="Compact"/>
            </w:pPr>
            <w:r>
              <w:t xml:space="preserve">SaveVirtual</w:t>
            </w:r>
          </w:p>
        </w:tc>
        <w:tc>
          <w:tcPr/>
          <w:p>
            <w:pPr>
              <w:pStyle w:val="Compact"/>
            </w:pPr>
            <w:r>
              <w:t xml:space="preserve">Integer</w:t>
            </w:r>
          </w:p>
        </w:tc>
        <w:tc>
          <w:tcPr/>
          <w:p>
            <w:pPr>
              <w:pStyle w:val="Compact"/>
            </w:pPr>
            <w:r>
              <w:t xml:space="preserve">(ASPUpload) Saves uploaded files to a virtual IIS folder and returns the count of files saved.</w:t>
            </w:r>
          </w:p>
        </w:tc>
      </w:tr>
      <w:tr>
        <w:tc>
          <w:tcPr/>
          <w:p>
            <w:pPr>
              <w:pStyle w:val="Compact"/>
            </w:pPr>
            <w:r>
              <w:t xml:space="preserve">CreateDirectory</w:t>
            </w:r>
          </w:p>
        </w:tc>
        <w:tc>
          <w:tcPr/>
          <w:p>
            <w:pPr>
              <w:pStyle w:val="Compact"/>
            </w:pPr>
            <w:r>
              <w:t xml:space="preserve">Empty</w:t>
            </w:r>
          </w:p>
        </w:tc>
        <w:tc>
          <w:tcPr/>
          <w:p>
            <w:pPr>
              <w:pStyle w:val="Compact"/>
            </w:pPr>
            <w:r>
              <w:t xml:space="preserve">(ASPUpload) Creates a local physical or virtual directory.</w:t>
            </w:r>
          </w:p>
        </w:tc>
      </w:tr>
      <w:tr>
        <w:tc>
          <w:tcPr/>
          <w:p>
            <w:pPr>
              <w:pStyle w:val="Compact"/>
            </w:pPr>
            <w:r>
              <w:t xml:space="preserve">SendBinary</w:t>
            </w:r>
          </w:p>
        </w:tc>
        <w:tc>
          <w:tcPr/>
          <w:p>
            <w:pPr>
              <w:pStyle w:val="Compact"/>
            </w:pPr>
            <w:r>
              <w:t xml:space="preserve">Empty</w:t>
            </w:r>
          </w:p>
        </w:tc>
        <w:tc>
          <w:tcPr/>
          <w:p>
            <w:pPr>
              <w:pStyle w:val="Compact"/>
            </w:pPr>
            <w:r>
              <w:t xml:space="preserve">(ASPUpload) Streams a binary file directly to the client browser, setting appropriate Content-Type headers.</w:t>
            </w:r>
          </w:p>
        </w:tc>
      </w:tr>
      <w:tr>
        <w:tc>
          <w:tcPr/>
          <w:p>
            <w:pPr>
              <w:pStyle w:val="Compact"/>
            </w:pPr>
            <w:r>
              <w:t xml:space="preserve">SetMaxSize</w:t>
            </w:r>
          </w:p>
        </w:tc>
        <w:tc>
          <w:tcPr/>
          <w:p>
            <w:pPr>
              <w:pStyle w:val="Compact"/>
            </w:pPr>
            <w:r>
              <w:t xml:space="preserve">Empty</w:t>
            </w:r>
          </w:p>
        </w:tc>
        <w:tc>
          <w:tcPr/>
          <w:p>
            <w:pPr>
              <w:pStyle w:val="Compact"/>
            </w:pPr>
            <w:r>
              <w:t xml:space="preserve">(ASPUpload) Restricts maximum allowed upload payload size.</w:t>
            </w:r>
          </w:p>
        </w:tc>
      </w:tr>
      <w:tr>
        <w:tc>
          <w:tcPr/>
          <w:p>
            <w:pPr>
              <w:pStyle w:val="Compact"/>
            </w:pPr>
            <w:r>
              <w:t xml:space="preserve">TransferFile</w:t>
            </w:r>
          </w:p>
        </w:tc>
        <w:tc>
          <w:tcPr/>
          <w:p>
            <w:pPr>
              <w:pStyle w:val="Compact"/>
            </w:pPr>
            <w:r>
              <w:t xml:space="preserve">Empty</w:t>
            </w:r>
          </w:p>
        </w:tc>
        <w:tc>
          <w:tcPr/>
          <w:p>
            <w:pPr>
              <w:pStyle w:val="Compact"/>
            </w:pPr>
            <w:r>
              <w:t xml:space="preserve">(SA-FileUp) Alias of</w:t>
            </w:r>
            <w:r>
              <w:t xml:space="preserve"> </w:t>
            </w:r>
            <w:r>
              <w:rPr>
                <w:rStyle w:val="VerbatimChar"/>
              </w:rPr>
              <w:t xml:space="preserve">SendBinary</w:t>
            </w:r>
            <w:r>
              <w:t xml:space="preserve">. Streams a local file to the client browser.</w:t>
            </w:r>
          </w:p>
        </w:tc>
      </w:tr>
      <w:tr>
        <w:tc>
          <w:tcPr/>
          <w:p>
            <w:pPr>
              <w:pStyle w:val="Compact"/>
            </w:pPr>
            <w:r>
              <w:t xml:space="preserve">Flush</w:t>
            </w:r>
          </w:p>
        </w:tc>
        <w:tc>
          <w:tcPr/>
          <w:p>
            <w:pPr>
              <w:pStyle w:val="Compact"/>
            </w:pPr>
            <w:r>
              <w:t xml:space="preserve">Empty</w:t>
            </w:r>
          </w:p>
        </w:tc>
        <w:tc>
          <w:tcPr/>
          <w:p>
            <w:pPr>
              <w:pStyle w:val="Compact"/>
            </w:pPr>
            <w:r>
              <w:t xml:space="preserve">(SA-FileUp) Clears the parsed request state.</w:t>
            </w:r>
          </w:p>
        </w:tc>
      </w:tr>
    </w:tbl>
    <w:bookmarkEnd w:id="4598"/>
    <w:bookmarkStart w:id="4599" w:name="file-object-methods"/>
    <w:p>
      <w:pPr>
        <w:pStyle w:val="Heading2"/>
      </w:pPr>
      <w:r>
        <w:t xml:space="preserve">File Object Methods</w:t>
      </w:r>
    </w:p>
    <w:p>
      <w:pPr>
        <w:pStyle w:val="FirstParagraph"/>
      </w:pPr>
      <w:r>
        <w:t xml:space="preserve">Uploaded files retrieved from collections support the following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SaveAs</w:t>
            </w:r>
          </w:p>
        </w:tc>
        <w:tc>
          <w:tcPr/>
          <w:p>
            <w:pPr>
              <w:pStyle w:val="Compact"/>
            </w:pPr>
            <w:r>
              <w:t xml:space="preserve">Empty</w:t>
            </w:r>
          </w:p>
        </w:tc>
        <w:tc>
          <w:tcPr/>
          <w:p>
            <w:pPr>
              <w:pStyle w:val="Compact"/>
            </w:pPr>
            <w:r>
              <w:t xml:space="preserve">Saves the file to a specified absolute local system path.</w:t>
            </w:r>
          </w:p>
        </w:tc>
      </w:tr>
      <w:tr>
        <w:tc>
          <w:tcPr/>
          <w:p>
            <w:pPr>
              <w:pStyle w:val="Compact"/>
            </w:pPr>
            <w:r>
              <w:t xml:space="preserve">SaveAsVirtual</w:t>
            </w:r>
          </w:p>
        </w:tc>
        <w:tc>
          <w:tcPr/>
          <w:p>
            <w:pPr>
              <w:pStyle w:val="Compact"/>
            </w:pPr>
            <w:r>
              <w:t xml:space="preserve">Empty</w:t>
            </w:r>
          </w:p>
        </w:tc>
        <w:tc>
          <w:tcPr/>
          <w:p>
            <w:pPr>
              <w:pStyle w:val="Compact"/>
            </w:pPr>
            <w:r>
              <w:t xml:space="preserve">Saves the file to a virtual IIS web path.</w:t>
            </w:r>
          </w:p>
        </w:tc>
      </w:tr>
      <w:tr>
        <w:tc>
          <w:tcPr/>
          <w:p>
            <w:pPr>
              <w:pStyle w:val="Compact"/>
            </w:pPr>
            <w:r>
              <w:t xml:space="preserve">Copy</w:t>
            </w:r>
          </w:p>
        </w:tc>
        <w:tc>
          <w:tcPr/>
          <w:p>
            <w:pPr>
              <w:pStyle w:val="Compact"/>
            </w:pPr>
            <w:r>
              <w:t xml:space="preserve">Empty</w:t>
            </w:r>
          </w:p>
        </w:tc>
        <w:tc>
          <w:tcPr/>
          <w:p>
            <w:pPr>
              <w:pStyle w:val="Compact"/>
            </w:pPr>
            <w:r>
              <w:t xml:space="preserve">Copies the saved file to a target file path.</w:t>
            </w:r>
          </w:p>
        </w:tc>
      </w:tr>
      <w:tr>
        <w:tc>
          <w:tcPr/>
          <w:p>
            <w:pPr>
              <w:pStyle w:val="Compact"/>
            </w:pPr>
            <w:r>
              <w:t xml:space="preserve">Delete</w:t>
            </w:r>
          </w:p>
        </w:tc>
        <w:tc>
          <w:tcPr/>
          <w:p>
            <w:pPr>
              <w:pStyle w:val="Compact"/>
            </w:pPr>
            <w:r>
              <w:t xml:space="preserve">Empty</w:t>
            </w:r>
          </w:p>
        </w:tc>
        <w:tc>
          <w:tcPr/>
          <w:p>
            <w:pPr>
              <w:pStyle w:val="Compact"/>
            </w:pPr>
            <w:r>
              <w:t xml:space="preserve">Deletes the saved file from the local disk.</w:t>
            </w:r>
          </w:p>
        </w:tc>
      </w:tr>
    </w:tbl>
    <w:bookmarkEnd w:id="4599"/>
    <w:bookmarkStart w:id="4600" w:name="smart-alias-collision-resolution"/>
    <w:p>
      <w:pPr>
        <w:pStyle w:val="Heading2"/>
      </w:pPr>
      <w:r>
        <w:t xml:space="preserve">Smart Alias Collision Resolution</w:t>
      </w:r>
    </w:p>
    <w:p>
      <w:pPr>
        <w:pStyle w:val="FirstParagraph"/>
      </w:pPr>
      <w:r>
        <w:t xml:space="preserve">When instantiating the uploader using</w:t>
      </w:r>
      <w:r>
        <w:t xml:space="preserve"> </w:t>
      </w:r>
      <w:r>
        <w:rPr>
          <w:rStyle w:val="VerbatimChar"/>
        </w:rPr>
        <w:t xml:space="preserve">Server.CreateObject("Persits.Upload")</w:t>
      </w:r>
      <w:r>
        <w:t xml:space="preserve"> </w:t>
      </w:r>
      <w:r>
        <w:t xml:space="preserve">versus</w:t>
      </w:r>
      <w:r>
        <w:t xml:space="preserve"> </w:t>
      </w:r>
      <w:r>
        <w:rPr>
          <w:rStyle w:val="VerbatimChar"/>
        </w:rPr>
        <w:t xml:space="preserve">Server.CreateObject("SoftArtisans.FileUp")</w:t>
      </w:r>
      <w:r>
        <w:t xml:space="preserve">, the runtime sets the internal compatibility</w:t>
      </w:r>
      <w:r>
        <w:t xml:space="preserve"> </w:t>
      </w:r>
      <w:r>
        <w:rPr>
          <w:rStyle w:val="VerbatimChar"/>
        </w:rPr>
        <w:t xml:space="preserve">Mode</w:t>
      </w:r>
      <w:r>
        <w:t xml:space="preserve">.</w:t>
      </w:r>
      <w:r>
        <w:t xml:space="preserve"> </w:t>
      </w:r>
      <w:r>
        <w:t xml:space="preserve">-</w:t>
      </w:r>
      <w:r>
        <w:t xml:space="preserve"> </w:t>
      </w:r>
      <w:r>
        <w:rPr>
          <w:b/>
          <w:bCs/>
        </w:rPr>
        <w:t xml:space="preserve">The</w:t>
      </w:r>
      <w:r>
        <w:rPr>
          <w:b/>
          <w:bCs/>
        </w:rPr>
        <w:t xml:space="preserve"> </w:t>
      </w:r>
      <w:r>
        <w:rPr>
          <w:rStyle w:val="VerbatimChar"/>
          <w:b/>
          <w:bCs/>
        </w:rPr>
        <w:t xml:space="preserve">.Save()</w:t>
      </w:r>
      <w:r>
        <w:rPr>
          <w:b/>
          <w:bCs/>
        </w:rPr>
        <w:t xml:space="preserve"> </w:t>
      </w:r>
      <w:r>
        <w:rPr>
          <w:b/>
          <w:bCs/>
        </w:rPr>
        <w:t xml:space="preserve">Collision:</w:t>
      </w:r>
      <w:r>
        <w:t xml:space="preserve"> </w:t>
      </w:r>
      <w:r>
        <w:t xml:space="preserve">- In</w:t>
      </w:r>
      <w:r>
        <w:t xml:space="preserve"> </w:t>
      </w:r>
      <w:r>
        <w:rPr>
          <w:rStyle w:val="VerbatimChar"/>
        </w:rPr>
        <w:t xml:space="preserve">Persits.Upload</w:t>
      </w:r>
      <w:r>
        <w:t xml:space="preserve"> </w:t>
      </w:r>
      <w:r>
        <w:t xml:space="preserve">mode,</w:t>
      </w:r>
      <w:r>
        <w:t xml:space="preserve"> </w:t>
      </w:r>
      <w:r>
        <w:rPr>
          <w:rStyle w:val="VerbatimChar"/>
        </w:rPr>
        <w:t xml:space="preserve">Save(Path)</w:t>
      </w:r>
      <w:r>
        <w:t xml:space="preserve"> </w:t>
      </w:r>
      <w:r>
        <w:t xml:space="preserve">requires a physical directory path argument and returns the count of files saved.</w:t>
      </w:r>
      <w:r>
        <w:t xml:space="preserve"> </w:t>
      </w:r>
      <w:r>
        <w:t xml:space="preserve">- In</w:t>
      </w:r>
      <w:r>
        <w:t xml:space="preserve"> </w:t>
      </w:r>
      <w:r>
        <w:rPr>
          <w:rStyle w:val="VerbatimChar"/>
        </w:rPr>
        <w:t xml:space="preserve">SoftArtisans.FileUp</w:t>
      </w:r>
      <w:r>
        <w:t xml:space="preserve"> </w:t>
      </w:r>
      <w:r>
        <w:t xml:space="preserve">mode,</w:t>
      </w:r>
      <w:r>
        <w:t xml:space="preserve"> </w:t>
      </w:r>
      <w:r>
        <w:rPr>
          <w:rStyle w:val="VerbatimChar"/>
        </w:rPr>
        <w:t xml:space="preserve">Save()</w:t>
      </w:r>
      <w:r>
        <w:t xml:space="preserve"> </w:t>
      </w:r>
      <w:r>
        <w:t xml:space="preserve">is parameterless and automatically saves all files to the directory path specified in the</w:t>
      </w:r>
      <w:r>
        <w:t xml:space="preserve"> </w:t>
      </w:r>
      <w:r>
        <w:rPr>
          <w:rStyle w:val="VerbatimChar"/>
        </w:rPr>
        <w:t xml:space="preserve">.Path</w:t>
      </w:r>
      <w:r>
        <w:t xml:space="preserve"> </w:t>
      </w:r>
      <w:r>
        <w:t xml:space="preserve">property.</w:t>
      </w:r>
    </w:p>
    <w:bookmarkEnd w:id="4600"/>
    <w:bookmarkEnd w:id="4601"/>
    <w:bookmarkStart w:id="4608" w:name="g3fileuploader-properties"/>
    <w:p>
      <w:pPr>
        <w:pStyle w:val="Heading1"/>
      </w:pPr>
      <w:r>
        <w:t xml:space="preserve">G3FILEUPLOADER Properties</w:t>
      </w:r>
    </w:p>
    <w:bookmarkStart w:id="4602" w:name="overview-533"/>
    <w:p>
      <w:pPr>
        <w:pStyle w:val="Heading2"/>
      </w:pPr>
      <w:r>
        <w:t xml:space="preserve">Overview</w:t>
      </w:r>
    </w:p>
    <w:p>
      <w:pPr>
        <w:pStyle w:val="FirstParagraph"/>
      </w:pPr>
      <w:r>
        <w:t xml:space="preserve">This page summarizes properties exposed by</w:t>
      </w:r>
      <w:r>
        <w:t xml:space="preserve"> </w:t>
      </w:r>
      <w:r>
        <w:rPr>
          <w:b/>
          <w:bCs/>
        </w:rPr>
        <w:t xml:space="preserve">G3FILEUPLOADER</w:t>
      </w:r>
      <w:r>
        <w:t xml:space="preserve"> </w:t>
      </w:r>
      <w:r>
        <w:t xml:space="preserve">in G3Pix AxonASP, including the compatibility properties for</w:t>
      </w:r>
      <w:r>
        <w:t xml:space="preserve"> </w:t>
      </w:r>
      <w:r>
        <w:rPr>
          <w:b/>
          <w:bCs/>
        </w:rPr>
        <w:t xml:space="preserve">Persits.Upload (ASPUpload)</w:t>
      </w:r>
      <w:r>
        <w:t xml:space="preserve"> </w:t>
      </w:r>
      <w:r>
        <w:t xml:space="preserve">and</w:t>
      </w:r>
      <w:r>
        <w:t xml:space="preserve"> </w:t>
      </w:r>
      <w:r>
        <w:rPr>
          <w:b/>
          <w:bCs/>
        </w:rPr>
        <w:t xml:space="preserve">SoftArtisans.FileUp (SA-FileUp)</w:t>
      </w:r>
      <w:r>
        <w:t xml:space="preserve">.</w:t>
      </w:r>
    </w:p>
    <w:bookmarkEnd w:id="4602"/>
    <w:bookmarkStart w:id="4603" w:name="core-properties-reference"/>
    <w:p>
      <w:pPr>
        <w:pStyle w:val="Heading2"/>
      </w:pPr>
      <w:r>
        <w:t xml:space="preserve">Core 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AllowAbsolutePaths</w:t>
            </w:r>
          </w:p>
        </w:tc>
        <w:tc>
          <w:tcPr/>
          <w:p>
            <w:pPr>
              <w:pStyle w:val="Compact"/>
            </w:pPr>
            <w:r>
              <w:t xml:space="preserve">Read/Write</w:t>
            </w:r>
          </w:p>
        </w:tc>
        <w:tc>
          <w:tcPr/>
          <w:p>
            <w:pPr>
              <w:pStyle w:val="Compact"/>
            </w:pPr>
            <w:r>
              <w:t xml:space="preserve">Boolean</w:t>
            </w:r>
          </w:p>
        </w:tc>
        <w:tc>
          <w:tcPr/>
          <w:p>
            <w:pPr>
              <w:pStyle w:val="Compact"/>
            </w:pPr>
            <w:r>
              <w:t xml:space="preserve">When true, allows saving files to absolute system paths outside the web root. (Defaults to true in compatibility modes).</w:t>
            </w:r>
          </w:p>
        </w:tc>
      </w:tr>
      <w:tr>
        <w:tc>
          <w:tcPr/>
          <w:p>
            <w:pPr>
              <w:pStyle w:val="Compact"/>
            </w:pPr>
            <w:r>
              <w:t xml:space="preserve">AllowedExtensions</w:t>
            </w:r>
          </w:p>
        </w:tc>
        <w:tc>
          <w:tcPr/>
          <w:p>
            <w:pPr>
              <w:pStyle w:val="Compact"/>
            </w:pPr>
            <w:r>
              <w:t xml:space="preserve">Read-only</w:t>
            </w:r>
          </w:p>
        </w:tc>
        <w:tc>
          <w:tcPr/>
          <w:p>
            <w:pPr>
              <w:pStyle w:val="Compact"/>
            </w:pPr>
            <w:r>
              <w:t xml:space="preserve">Array of String</w:t>
            </w:r>
          </w:p>
        </w:tc>
        <w:tc>
          <w:tcPr/>
          <w:p>
            <w:pPr>
              <w:pStyle w:val="Compact"/>
            </w:pPr>
            <w:r>
              <w:t xml:space="preserve">Gets the current allowed extension set.</w:t>
            </w:r>
          </w:p>
        </w:tc>
      </w:tr>
      <w:tr>
        <w:tc>
          <w:tcPr/>
          <w:p>
            <w:pPr>
              <w:pStyle w:val="Compact"/>
            </w:pPr>
            <w:r>
              <w:t xml:space="preserve">BlockedExtensions</w:t>
            </w:r>
          </w:p>
        </w:tc>
        <w:tc>
          <w:tcPr/>
          <w:p>
            <w:pPr>
              <w:pStyle w:val="Compact"/>
            </w:pPr>
            <w:r>
              <w:t xml:space="preserve">Read-only</w:t>
            </w:r>
          </w:p>
        </w:tc>
        <w:tc>
          <w:tcPr/>
          <w:p>
            <w:pPr>
              <w:pStyle w:val="Compact"/>
            </w:pPr>
            <w:r>
              <w:t xml:space="preserve">Array of String</w:t>
            </w:r>
          </w:p>
        </w:tc>
        <w:tc>
          <w:tcPr/>
          <w:p>
            <w:pPr>
              <w:pStyle w:val="Compact"/>
            </w:pPr>
            <w:r>
              <w:t xml:space="preserve">Gets the current blocked extension set.</w:t>
            </w:r>
          </w:p>
        </w:tc>
      </w:tr>
      <w:tr>
        <w:tc>
          <w:tcPr/>
          <w:p>
            <w:pPr>
              <w:pStyle w:val="Compact"/>
            </w:pPr>
            <w:r>
              <w:t xml:space="preserve">DebugMode</w:t>
            </w:r>
          </w:p>
        </w:tc>
        <w:tc>
          <w:tcPr/>
          <w:p>
            <w:pPr>
              <w:pStyle w:val="Compact"/>
            </w:pPr>
            <w:r>
              <w:t xml:space="preserve">Read/Write</w:t>
            </w:r>
          </w:p>
        </w:tc>
        <w:tc>
          <w:tcPr/>
          <w:p>
            <w:pPr>
              <w:pStyle w:val="Compact"/>
            </w:pPr>
            <w:r>
              <w:t xml:space="preserve">Boolean</w:t>
            </w:r>
          </w:p>
        </w:tc>
        <w:tc>
          <w:tcPr/>
          <w:p>
            <w:pPr>
              <w:pStyle w:val="Compact"/>
            </w:pPr>
            <w:r>
              <w:t xml:space="preserve">Gets or sets whether debug information is logged.</w:t>
            </w:r>
          </w:p>
        </w:tc>
      </w:tr>
      <w:tr>
        <w:tc>
          <w:tcPr/>
          <w:p>
            <w:pPr>
              <w:pStyle w:val="Compact"/>
            </w:pPr>
            <w:r>
              <w:t xml:space="preserve">FormFields</w:t>
            </w:r>
          </w:p>
        </w:tc>
        <w:tc>
          <w:tcPr/>
          <w:p>
            <w:pPr>
              <w:pStyle w:val="Compact"/>
            </w:pPr>
            <w:r>
              <w:t xml:space="preserve">Read-only</w:t>
            </w:r>
          </w:p>
        </w:tc>
        <w:tc>
          <w:tcPr/>
          <w:p>
            <w:pPr>
              <w:pStyle w:val="Compact"/>
            </w:pPr>
            <w:r>
              <w:t xml:space="preserve">Dictionary</w:t>
            </w:r>
          </w:p>
        </w:tc>
        <w:tc>
          <w:tcPr/>
          <w:p>
            <w:pPr>
              <w:pStyle w:val="Compact"/>
            </w:pPr>
            <w:r>
              <w:t xml:space="preserve">Returns a Dictionary containing all non-file form fields sent in the request.</w:t>
            </w:r>
          </w:p>
        </w:tc>
      </w:tr>
      <w:tr>
        <w:tc>
          <w:tcPr/>
          <w:p>
            <w:pPr>
              <w:pStyle w:val="Compact"/>
            </w:pPr>
            <w:r>
              <w:t xml:space="preserve">MaxFileSize</w:t>
            </w:r>
          </w:p>
        </w:tc>
        <w:tc>
          <w:tcPr/>
          <w:p>
            <w:pPr>
              <w:pStyle w:val="Compact"/>
            </w:pPr>
            <w:r>
              <w:t xml:space="preserve">Read/Write</w:t>
            </w:r>
          </w:p>
        </w:tc>
        <w:tc>
          <w:tcPr/>
          <w:p>
            <w:pPr>
              <w:pStyle w:val="Compact"/>
            </w:pPr>
            <w:r>
              <w:t xml:space="preserve">Integer</w:t>
            </w:r>
          </w:p>
        </w:tc>
        <w:tc>
          <w:tcPr/>
          <w:p>
            <w:pPr>
              <w:pStyle w:val="Compact"/>
            </w:pPr>
            <w:r>
              <w:t xml:space="preserve">Gets or sets the maximum upload size in bytes for each file.</w:t>
            </w:r>
          </w:p>
        </w:tc>
      </w:tr>
      <w:tr>
        <w:tc>
          <w:tcPr/>
          <w:p>
            <w:pPr>
              <w:pStyle w:val="Compact"/>
            </w:pPr>
            <w:r>
              <w:t xml:space="preserve">PreserveOriginalName</w:t>
            </w:r>
          </w:p>
        </w:tc>
        <w:tc>
          <w:tcPr/>
          <w:p>
            <w:pPr>
              <w:pStyle w:val="Compact"/>
            </w:pPr>
            <w:r>
              <w:t xml:space="preserve">Read/Write</w:t>
            </w:r>
          </w:p>
        </w:tc>
        <w:tc>
          <w:tcPr/>
          <w:p>
            <w:pPr>
              <w:pStyle w:val="Compact"/>
            </w:pPr>
            <w:r>
              <w:t xml:space="preserve">Boolean</w:t>
            </w:r>
          </w:p>
        </w:tc>
        <w:tc>
          <w:tcPr/>
          <w:p>
            <w:pPr>
              <w:pStyle w:val="Compact"/>
            </w:pPr>
            <w:r>
              <w:t xml:space="preserve">Gets or sets whether saved files preserve the original uploaded filename.</w:t>
            </w:r>
          </w:p>
        </w:tc>
      </w:tr>
    </w:tbl>
    <w:bookmarkEnd w:id="4603"/>
    <w:bookmarkStart w:id="4604" w:name="X76136eb6f90ffdec3ab4ffe16132c2e8f264e46"/>
    <w:p>
      <w:pPr>
        <w:pStyle w:val="Heading2"/>
      </w:pPr>
      <w:r>
        <w:t xml:space="preserve">Compatibility Properties (ASPUpload &amp; SA-FileUp)</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TotalBytes</w:t>
            </w:r>
          </w:p>
        </w:tc>
        <w:tc>
          <w:tcPr/>
          <w:p>
            <w:pPr>
              <w:pStyle w:val="Compact"/>
            </w:pPr>
            <w:r>
              <w:t xml:space="preserve">Read-only</w:t>
            </w:r>
          </w:p>
        </w:tc>
        <w:tc>
          <w:tcPr/>
          <w:p>
            <w:pPr>
              <w:pStyle w:val="Compact"/>
            </w:pPr>
            <w:r>
              <w:t xml:space="preserve">Integer</w:t>
            </w:r>
          </w:p>
        </w:tc>
        <w:tc>
          <w:tcPr/>
          <w:p>
            <w:pPr>
              <w:pStyle w:val="Compact"/>
            </w:pPr>
            <w:r>
              <w:t xml:space="preserve">Returns the total size of the uploaded data in bytes.</w:t>
            </w:r>
          </w:p>
        </w:tc>
      </w:tr>
      <w:tr>
        <w:tc>
          <w:tcPr/>
          <w:p>
            <w:pPr>
              <w:pStyle w:val="Compact"/>
            </w:pPr>
            <w:r>
              <w:t xml:space="preserve">OverwriteFiles</w:t>
            </w:r>
          </w:p>
        </w:tc>
        <w:tc>
          <w:tcPr/>
          <w:p>
            <w:pPr>
              <w:pStyle w:val="Compact"/>
            </w:pPr>
            <w:r>
              <w:t xml:space="preserve">Read/Write</w:t>
            </w:r>
          </w:p>
        </w:tc>
        <w:tc>
          <w:tcPr/>
          <w:p>
            <w:pPr>
              <w:pStyle w:val="Compact"/>
            </w:pPr>
            <w:r>
              <w:t xml:space="preserve">Boolean</w:t>
            </w:r>
          </w:p>
        </w:tc>
        <w:tc>
          <w:tcPr/>
          <w:p>
            <w:pPr>
              <w:pStyle w:val="Compact"/>
            </w:pPr>
            <w:r>
              <w:t xml:space="preserve">(ASPUpload) When true (default), existing files with the same name are overwritten. When false, a unique counter is appended.</w:t>
            </w:r>
          </w:p>
        </w:tc>
      </w:tr>
      <w:tr>
        <w:tc>
          <w:tcPr/>
          <w:p>
            <w:pPr>
              <w:pStyle w:val="Compact"/>
            </w:pPr>
            <w:r>
              <w:t xml:space="preserve">LogonUser</w:t>
            </w:r>
          </w:p>
        </w:tc>
        <w:tc>
          <w:tcPr/>
          <w:p>
            <w:pPr>
              <w:pStyle w:val="Compact"/>
            </w:pPr>
            <w:r>
              <w:t xml:space="preserve">Read/Write</w:t>
            </w:r>
          </w:p>
        </w:tc>
        <w:tc>
          <w:tcPr/>
          <w:p>
            <w:pPr>
              <w:pStyle w:val="Compact"/>
            </w:pPr>
            <w:r>
              <w:t xml:space="preserve">String</w:t>
            </w:r>
          </w:p>
        </w:tc>
        <w:tc>
          <w:tcPr/>
          <w:p>
            <w:pPr>
              <w:pStyle w:val="Compact"/>
            </w:pPr>
            <w:r>
              <w:t xml:space="preserve">(ASPUpload) Impersonated user context (ignored, returns string).</w:t>
            </w:r>
          </w:p>
        </w:tc>
      </w:tr>
      <w:tr>
        <w:tc>
          <w:tcPr/>
          <w:p>
            <w:pPr>
              <w:pStyle w:val="Compact"/>
            </w:pPr>
            <w:r>
              <w:t xml:space="preserve">ProgressID</w:t>
            </w:r>
          </w:p>
        </w:tc>
        <w:tc>
          <w:tcPr/>
          <w:p>
            <w:pPr>
              <w:pStyle w:val="Compact"/>
            </w:pPr>
            <w:r>
              <w:t xml:space="preserve">Read/Write</w:t>
            </w:r>
          </w:p>
        </w:tc>
        <w:tc>
          <w:tcPr/>
          <w:p>
            <w:pPr>
              <w:pStyle w:val="Compact"/>
            </w:pPr>
            <w:r>
              <w:t xml:space="preserve">String</w:t>
            </w:r>
          </w:p>
        </w:tc>
        <w:tc>
          <w:tcPr/>
          <w:p>
            <w:pPr>
              <w:pStyle w:val="Compact"/>
            </w:pPr>
            <w:r>
              <w:t xml:space="preserve">(ASPUpload) ID for progress tracking.</w:t>
            </w:r>
          </w:p>
        </w:tc>
      </w:tr>
      <w:tr>
        <w:tc>
          <w:tcPr/>
          <w:p>
            <w:pPr>
              <w:pStyle w:val="Compact"/>
            </w:pPr>
            <w:r>
              <w:t xml:space="preserve">Form</w:t>
            </w:r>
          </w:p>
        </w:tc>
        <w:tc>
          <w:tcPr/>
          <w:p>
            <w:pPr>
              <w:pStyle w:val="Compact"/>
            </w:pPr>
            <w:r>
              <w:t xml:space="preserve">Read-only</w:t>
            </w:r>
          </w:p>
        </w:tc>
        <w:tc>
          <w:tcPr/>
          <w:p>
            <w:pPr>
              <w:pStyle w:val="Compact"/>
            </w:pPr>
            <w:r>
              <w:t xml:space="preserve">Object</w:t>
            </w:r>
          </w:p>
        </w:tc>
        <w:tc>
          <w:tcPr/>
          <w:p>
            <w:pPr>
              <w:pStyle w:val="Compact"/>
            </w:pPr>
            <w:r>
              <w:t xml:space="preserve">Collection of text form fields. In SA-FileUp mode, this mixes both text fields and file items.</w:t>
            </w:r>
          </w:p>
        </w:tc>
      </w:tr>
      <w:tr>
        <w:tc>
          <w:tcPr/>
          <w:p>
            <w:pPr>
              <w:pStyle w:val="Compact"/>
            </w:pPr>
            <w:r>
              <w:t xml:space="preserve">Files</w:t>
            </w:r>
          </w:p>
        </w:tc>
        <w:tc>
          <w:tcPr/>
          <w:p>
            <w:pPr>
              <w:pStyle w:val="Compact"/>
            </w:pPr>
            <w:r>
              <w:t xml:space="preserve">Read-only</w:t>
            </w:r>
          </w:p>
        </w:tc>
        <w:tc>
          <w:tcPr/>
          <w:p>
            <w:pPr>
              <w:pStyle w:val="Compact"/>
            </w:pPr>
            <w:r>
              <w:t xml:space="preserve">Object</w:t>
            </w:r>
          </w:p>
        </w:tc>
        <w:tc>
          <w:tcPr/>
          <w:p>
            <w:pPr>
              <w:pStyle w:val="Compact"/>
            </w:pPr>
            <w:r>
              <w:t xml:space="preserve">(ASPUpload) Collection of uploaded file objects.</w:t>
            </w:r>
          </w:p>
        </w:tc>
      </w:tr>
      <w:tr>
        <w:tc>
          <w:tcPr/>
          <w:p>
            <w:pPr>
              <w:pStyle w:val="Compact"/>
            </w:pPr>
            <w:r>
              <w:t xml:space="preserve">Path</w:t>
            </w:r>
          </w:p>
        </w:tc>
        <w:tc>
          <w:tcPr/>
          <w:p>
            <w:pPr>
              <w:pStyle w:val="Compact"/>
            </w:pPr>
            <w:r>
              <w:t xml:space="preserve">Read/Write</w:t>
            </w:r>
          </w:p>
        </w:tc>
        <w:tc>
          <w:tcPr/>
          <w:p>
            <w:pPr>
              <w:pStyle w:val="Compact"/>
            </w:pPr>
            <w:r>
              <w:t xml:space="preserve">String</w:t>
            </w:r>
          </w:p>
        </w:tc>
        <w:tc>
          <w:tcPr/>
          <w:p>
            <w:pPr>
              <w:pStyle w:val="Compact"/>
            </w:pPr>
            <w:r>
              <w:t xml:space="preserve">(SA-FileUp) Gets or sets the default directory where files will be saved.</w:t>
            </w:r>
          </w:p>
        </w:tc>
      </w:tr>
      <w:tr>
        <w:tc>
          <w:tcPr/>
          <w:p>
            <w:pPr>
              <w:pStyle w:val="Compact"/>
            </w:pPr>
            <w:r>
              <w:t xml:space="preserve">IsEmpty</w:t>
            </w:r>
          </w:p>
        </w:tc>
        <w:tc>
          <w:tcPr/>
          <w:p>
            <w:pPr>
              <w:pStyle w:val="Compact"/>
            </w:pPr>
            <w:r>
              <w:t xml:space="preserve">Read-only</w:t>
            </w:r>
          </w:p>
        </w:tc>
        <w:tc>
          <w:tcPr/>
          <w:p>
            <w:pPr>
              <w:pStyle w:val="Compact"/>
            </w:pPr>
            <w:r>
              <w:t xml:space="preserve">Boolean</w:t>
            </w:r>
          </w:p>
        </w:tc>
        <w:tc>
          <w:tcPr/>
          <w:p>
            <w:pPr>
              <w:pStyle w:val="Compact"/>
            </w:pPr>
            <w:r>
              <w:t xml:space="preserve">(SA-FileUp) Returns True if no files were uploaded in the request.</w:t>
            </w:r>
          </w:p>
        </w:tc>
      </w:tr>
      <w:tr>
        <w:tc>
          <w:tcPr/>
          <w:p>
            <w:pPr>
              <w:pStyle w:val="Compact"/>
            </w:pPr>
            <w:r>
              <w:t xml:space="preserve">MaxBytes</w:t>
            </w:r>
          </w:p>
        </w:tc>
        <w:tc>
          <w:tcPr/>
          <w:p>
            <w:pPr>
              <w:pStyle w:val="Compact"/>
            </w:pPr>
            <w:r>
              <w:t xml:space="preserve">Read/Write</w:t>
            </w:r>
          </w:p>
        </w:tc>
        <w:tc>
          <w:tcPr/>
          <w:p>
            <w:pPr>
              <w:pStyle w:val="Compact"/>
            </w:pPr>
            <w:r>
              <w:t xml:space="preserve">Integer</w:t>
            </w:r>
          </w:p>
        </w:tc>
        <w:tc>
          <w:tcPr/>
          <w:p>
            <w:pPr>
              <w:pStyle w:val="Compact"/>
            </w:pPr>
            <w:r>
              <w:t xml:space="preserve">(SA-FileUp) Gets or sets the maximum request payload size in bytes.</w:t>
            </w:r>
          </w:p>
        </w:tc>
      </w:tr>
    </w:tbl>
    <w:bookmarkEnd w:id="4604"/>
    <w:bookmarkStart w:id="4605" w:name="uploaded-file-item-properties"/>
    <w:p>
      <w:pPr>
        <w:pStyle w:val="Heading2"/>
      </w:pPr>
      <w:r>
        <w:t xml:space="preserve">Uploaded File Item Properties</w:t>
      </w:r>
    </w:p>
    <w:p>
      <w:pPr>
        <w:pStyle w:val="FirstParagraph"/>
      </w:pPr>
      <w:r>
        <w:t xml:space="preserve">When accessing items inside the</w:t>
      </w:r>
      <w:r>
        <w:t xml:space="preserve"> </w:t>
      </w:r>
      <w:r>
        <w:rPr>
          <w:rStyle w:val="VerbatimChar"/>
        </w:rPr>
        <w:t xml:space="preserve">Files</w:t>
      </w:r>
      <w:r>
        <w:t xml:space="preserve"> </w:t>
      </w:r>
      <w:r>
        <w:t xml:space="preserve">or</w:t>
      </w:r>
      <w:r>
        <w:t xml:space="preserve"> </w:t>
      </w:r>
      <w:r>
        <w:rPr>
          <w:rStyle w:val="VerbatimChar"/>
        </w:rPr>
        <w:t xml:space="preserve">Form</w:t>
      </w:r>
      <w:r>
        <w:t xml:space="preserve"> </w:t>
      </w:r>
      <w:r>
        <w:t xml:space="preserve">(SA-FileUp) collections, the returned file objects support the following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Path</w:t>
            </w:r>
          </w:p>
        </w:tc>
        <w:tc>
          <w:tcPr/>
          <w:p>
            <w:pPr>
              <w:pStyle w:val="Compact"/>
            </w:pPr>
            <w:r>
              <w:t xml:space="preserve">Read-only</w:t>
            </w:r>
          </w:p>
        </w:tc>
        <w:tc>
          <w:tcPr/>
          <w:p>
            <w:pPr>
              <w:pStyle w:val="Compact"/>
            </w:pPr>
            <w:r>
              <w:t xml:space="preserve">String</w:t>
            </w:r>
          </w:p>
        </w:tc>
        <w:tc>
          <w:tcPr/>
          <w:p>
            <w:pPr>
              <w:pStyle w:val="Compact"/>
            </w:pPr>
            <w:r>
              <w:t xml:space="preserve">Full local system path where the file is saved.</w:t>
            </w:r>
          </w:p>
        </w:tc>
      </w:tr>
      <w:tr>
        <w:tc>
          <w:tcPr/>
          <w:p>
            <w:pPr>
              <w:pStyle w:val="Compact"/>
            </w:pPr>
            <w:r>
              <w:t xml:space="preserve">Filename</w:t>
            </w:r>
          </w:p>
        </w:tc>
        <w:tc>
          <w:tcPr/>
          <w:p>
            <w:pPr>
              <w:pStyle w:val="Compact"/>
            </w:pPr>
            <w:r>
              <w:t xml:space="preserve">Read-only</w:t>
            </w:r>
          </w:p>
        </w:tc>
        <w:tc>
          <w:tcPr/>
          <w:p>
            <w:pPr>
              <w:pStyle w:val="Compact"/>
            </w:pPr>
            <w:r>
              <w:t xml:space="preserve">String</w:t>
            </w:r>
          </w:p>
        </w:tc>
        <w:tc>
          <w:tcPr/>
          <w:p>
            <w:pPr>
              <w:pStyle w:val="Compact"/>
            </w:pPr>
            <w:r>
              <w:t xml:space="preserve">The name of the file (e.g. </w:t>
            </w:r>
            <w:r>
              <w:rPr>
                <w:rStyle w:val="VerbatimChar"/>
              </w:rPr>
              <w:t xml:space="preserve">document.pdf</w:t>
            </w:r>
            <w:r>
              <w:t xml:space="preserve">).</w:t>
            </w:r>
          </w:p>
        </w:tc>
      </w:tr>
      <w:tr>
        <w:tc>
          <w:tcPr/>
          <w:p>
            <w:pPr>
              <w:pStyle w:val="Compact"/>
            </w:pPr>
            <w:r>
              <w:t xml:space="preserve">Ext</w:t>
            </w:r>
          </w:p>
        </w:tc>
        <w:tc>
          <w:tcPr/>
          <w:p>
            <w:pPr>
              <w:pStyle w:val="Compact"/>
            </w:pPr>
            <w:r>
              <w:t xml:space="preserve">Read-only</w:t>
            </w:r>
          </w:p>
        </w:tc>
        <w:tc>
          <w:tcPr/>
          <w:p>
            <w:pPr>
              <w:pStyle w:val="Compact"/>
            </w:pPr>
            <w:r>
              <w:t xml:space="preserve">String</w:t>
            </w:r>
          </w:p>
        </w:tc>
        <w:tc>
          <w:tcPr/>
          <w:p>
            <w:pPr>
              <w:pStyle w:val="Compact"/>
            </w:pPr>
            <w:r>
              <w:t xml:space="preserve">The file extension including the dot (e.g. </w:t>
            </w:r>
            <w:r>
              <w:rPr>
                <w:rStyle w:val="VerbatimChar"/>
              </w:rPr>
              <w:t xml:space="preserve">.pdf</w:t>
            </w:r>
            <w:r>
              <w:t xml:space="preserve">).</w:t>
            </w:r>
          </w:p>
        </w:tc>
      </w:tr>
      <w:tr>
        <w:tc>
          <w:tcPr/>
          <w:p>
            <w:pPr>
              <w:pStyle w:val="Compact"/>
            </w:pPr>
            <w:r>
              <w:t xml:space="preserve">Size</w:t>
            </w:r>
          </w:p>
        </w:tc>
        <w:tc>
          <w:tcPr/>
          <w:p>
            <w:pPr>
              <w:pStyle w:val="Compact"/>
            </w:pPr>
            <w:r>
              <w:t xml:space="preserve">Read-only</w:t>
            </w:r>
          </w:p>
        </w:tc>
        <w:tc>
          <w:tcPr/>
          <w:p>
            <w:pPr>
              <w:pStyle w:val="Compact"/>
            </w:pPr>
            <w:r>
              <w:t xml:space="preserve">Integer</w:t>
            </w:r>
          </w:p>
        </w:tc>
        <w:tc>
          <w:tcPr/>
          <w:p>
            <w:pPr>
              <w:pStyle w:val="Compact"/>
            </w:pPr>
            <w:r>
              <w:t xml:space="preserve">Size of the file in bytes.</w:t>
            </w:r>
          </w:p>
        </w:tc>
      </w:tr>
      <w:tr>
        <w:tc>
          <w:tcPr/>
          <w:p>
            <w:pPr>
              <w:pStyle w:val="Compact"/>
            </w:pPr>
            <w:r>
              <w:t xml:space="preserve">ContentType</w:t>
            </w:r>
          </w:p>
        </w:tc>
        <w:tc>
          <w:tcPr/>
          <w:p>
            <w:pPr>
              <w:pStyle w:val="Compact"/>
            </w:pPr>
            <w:r>
              <w:t xml:space="preserve">Read-only</w:t>
            </w:r>
          </w:p>
        </w:tc>
        <w:tc>
          <w:tcPr/>
          <w:p>
            <w:pPr>
              <w:pStyle w:val="Compact"/>
            </w:pPr>
            <w:r>
              <w:t xml:space="preserve">String</w:t>
            </w:r>
          </w:p>
        </w:tc>
        <w:tc>
          <w:tcPr/>
          <w:p>
            <w:pPr>
              <w:pStyle w:val="Compact"/>
            </w:pPr>
            <w:r>
              <w:t xml:space="preserve">MIME type of the file (e.g. </w:t>
            </w:r>
            <w:r>
              <w:rPr>
                <w:rStyle w:val="VerbatimChar"/>
              </w:rPr>
              <w:t xml:space="preserve">application/pdf</w:t>
            </w:r>
            <w:r>
              <w:t xml:space="preserve">).</w:t>
            </w:r>
          </w:p>
        </w:tc>
      </w:tr>
      <w:tr>
        <w:tc>
          <w:tcPr/>
          <w:p>
            <w:pPr>
              <w:pStyle w:val="Compact"/>
            </w:pPr>
            <w:r>
              <w:t xml:space="preserve">Binary</w:t>
            </w:r>
          </w:p>
        </w:tc>
        <w:tc>
          <w:tcPr/>
          <w:p>
            <w:pPr>
              <w:pStyle w:val="Compact"/>
            </w:pPr>
            <w:r>
              <w:t xml:space="preserve">Read-only</w:t>
            </w:r>
          </w:p>
        </w:tc>
        <w:tc>
          <w:tcPr/>
          <w:p>
            <w:pPr>
              <w:pStyle w:val="Compact"/>
            </w:pPr>
            <w:r>
              <w:t xml:space="preserve">Array</w:t>
            </w:r>
          </w:p>
        </w:tc>
        <w:tc>
          <w:tcPr/>
          <w:p>
            <w:pPr>
              <w:pStyle w:val="Compact"/>
            </w:pPr>
            <w:r>
              <w:t xml:space="preserve">SafeArray of byte values containing the raw file data.</w:t>
            </w:r>
          </w:p>
        </w:tc>
      </w:tr>
      <w:tr>
        <w:tc>
          <w:tcPr/>
          <w:p>
            <w:pPr>
              <w:pStyle w:val="Compact"/>
            </w:pPr>
            <w:r>
              <w:t xml:space="preserve">ImageWidth</w:t>
            </w:r>
          </w:p>
        </w:tc>
        <w:tc>
          <w:tcPr/>
          <w:p>
            <w:pPr>
              <w:pStyle w:val="Compact"/>
            </w:pPr>
            <w:r>
              <w:t xml:space="preserve">Read-only</w:t>
            </w:r>
          </w:p>
        </w:tc>
        <w:tc>
          <w:tcPr/>
          <w:p>
            <w:pPr>
              <w:pStyle w:val="Compact"/>
            </w:pPr>
            <w:r>
              <w:t xml:space="preserve">Integer</w:t>
            </w:r>
          </w:p>
        </w:tc>
        <w:tc>
          <w:tcPr/>
          <w:p>
            <w:pPr>
              <w:pStyle w:val="Compact"/>
            </w:pPr>
            <w:r>
              <w:t xml:space="preserve">Width of the image in pixels (returns 0 if not a supported image file).</w:t>
            </w:r>
          </w:p>
        </w:tc>
      </w:tr>
      <w:tr>
        <w:tc>
          <w:tcPr/>
          <w:p>
            <w:pPr>
              <w:pStyle w:val="Compact"/>
            </w:pPr>
            <w:r>
              <w:t xml:space="preserve">ImageHeight</w:t>
            </w:r>
          </w:p>
        </w:tc>
        <w:tc>
          <w:tcPr/>
          <w:p>
            <w:pPr>
              <w:pStyle w:val="Compact"/>
            </w:pPr>
            <w:r>
              <w:t xml:space="preserve">Read-only</w:t>
            </w:r>
          </w:p>
        </w:tc>
        <w:tc>
          <w:tcPr/>
          <w:p>
            <w:pPr>
              <w:pStyle w:val="Compact"/>
            </w:pPr>
            <w:r>
              <w:t xml:space="preserve">Integer</w:t>
            </w:r>
          </w:p>
        </w:tc>
        <w:tc>
          <w:tcPr/>
          <w:p>
            <w:pPr>
              <w:pStyle w:val="Compact"/>
            </w:pPr>
            <w:r>
              <w:t xml:space="preserve">Height of the image in pixels (returns 0 if not a supported image file).</w:t>
            </w:r>
          </w:p>
        </w:tc>
      </w:tr>
    </w:tbl>
    <w:bookmarkEnd w:id="4605"/>
    <w:bookmarkStart w:id="4607" w:name="remarks-466"/>
    <w:p>
      <w:pPr>
        <w:pStyle w:val="Heading2"/>
      </w:pPr>
      <w:r>
        <w:t xml:space="preserve">Remarks</w:t>
      </w:r>
    </w:p>
    <w:p>
      <w:pPr>
        <w:pStyle w:val="Compact"/>
        <w:numPr>
          <w:ilvl w:val="0"/>
          <w:numId w:val="2137"/>
        </w:numPr>
      </w:pPr>
      <w:r>
        <w:t xml:space="preserve">Property names are case-insensitive.</w:t>
      </w:r>
    </w:p>
    <w:p>
      <w:pPr>
        <w:pStyle w:val="Compact"/>
        <w:numPr>
          <w:ilvl w:val="0"/>
          <w:numId w:val="2137"/>
        </w:numPr>
      </w:pPr>
      <w:r>
        <w:t xml:space="preserve">Smart Alias Detection determines property availability and defaults based on the ProgID used during instantiation (</w:t>
      </w:r>
      <w:r>
        <w:rPr>
          <w:rStyle w:val="VerbatimChar"/>
        </w:rPr>
        <w:t xml:space="preserve">Persits.Upload</w:t>
      </w:r>
      <w:r>
        <w:t xml:space="preserve"> </w:t>
      </w:r>
      <w:r>
        <w:t xml:space="preserve">or</w:t>
      </w:r>
      <w:r>
        <w:t xml:space="preserve"> </w:t>
      </w:r>
      <w:r>
        <w:rPr>
          <w:rStyle w:val="VerbatimChar"/>
        </w:rPr>
        <w:t xml:space="preserve">SoftArtisans.FileUp</w:t>
      </w:r>
      <w:r>
        <w:t xml:space="preserve">).</w:t>
      </w:r>
    </w:p>
    <w:bookmarkStart w:id="4606" w:name="methods-detail-20"/>
    <w:p>
      <w:pPr>
        <w:pStyle w:val="Heading3"/>
      </w:pPr>
      <w:r>
        <w:t xml:space="preserve">Methods Detail</w:t>
      </w:r>
    </w:p>
    <w:bookmarkEnd w:id="4606"/>
    <w:bookmarkEnd w:id="4607"/>
    <w:bookmarkEnd w:id="4608"/>
    <w:bookmarkStart w:id="4615" w:name="allowextension-method"/>
    <w:p>
      <w:pPr>
        <w:pStyle w:val="Heading1"/>
      </w:pPr>
      <w:r>
        <w:t xml:space="preserve">AllowExtension Method</w:t>
      </w:r>
    </w:p>
    <w:bookmarkStart w:id="4609" w:name="overview-534"/>
    <w:p>
      <w:pPr>
        <w:pStyle w:val="Heading2"/>
      </w:pPr>
      <w:r>
        <w:t xml:space="preserve">Overview</w:t>
      </w:r>
    </w:p>
    <w:p>
      <w:pPr>
        <w:pStyle w:val="FirstParagraph"/>
      </w:pPr>
      <w:r>
        <w:t xml:space="preserve">Adds a single file extension to the whitelist of allowed upload types.</w:t>
      </w:r>
    </w:p>
    <w:bookmarkEnd w:id="4609"/>
    <w:bookmarkStart w:id="4610" w:name="syntax-500"/>
    <w:p>
      <w:pPr>
        <w:pStyle w:val="Heading2"/>
      </w:pPr>
      <w:r>
        <w:t xml:space="preserve">Syntax</w:t>
      </w:r>
    </w:p>
    <w:p>
      <w:pPr>
        <w:pStyle w:val="SourceCode"/>
      </w:pPr>
      <w:r>
        <w:rPr>
          <w:rStyle w:val="NormalTok"/>
        </w:rPr>
        <w:t xml:space="preserve">uploader.AllowExtension extension</w:t>
      </w:r>
    </w:p>
    <w:bookmarkEnd w:id="4610"/>
    <w:bookmarkStart w:id="4611" w:name="parameters-and-arguments-135"/>
    <w:p>
      <w:pPr>
        <w:pStyle w:val="Heading2"/>
      </w:pPr>
      <w:r>
        <w:t xml:space="preserve">Parameters and Arguments</w:t>
      </w:r>
    </w:p>
    <w:p>
      <w:pPr>
        <w:pStyle w:val="Compact"/>
        <w:numPr>
          <w:ilvl w:val="0"/>
          <w:numId w:val="2138"/>
        </w:numPr>
      </w:pPr>
      <w:r>
        <w:rPr>
          <w:rStyle w:val="VerbatimChar"/>
        </w:rPr>
        <w:t xml:space="preserve">extension</w:t>
      </w:r>
      <w:r>
        <w:t xml:space="preserve"> </w:t>
      </w:r>
      <w:r>
        <w:t xml:space="preserve">(String, Required): The file extension to allow (e.g.,</w:t>
      </w:r>
      <w:r>
        <w:t xml:space="preserve"> </w:t>
      </w:r>
      <w:r>
        <w:t xml:space="preserve">“jpg”</w:t>
      </w:r>
      <w:r>
        <w:t xml:space="preserve"> </w:t>
      </w:r>
      <w:r>
        <w:t xml:space="preserve">or</w:t>
      </w:r>
      <w:r>
        <w:t xml:space="preserve"> </w:t>
      </w:r>
      <w:r>
        <w:t xml:space="preserve">“.pdf”</w:t>
      </w:r>
      <w:r>
        <w:t xml:space="preserve">). Leading dots are optional.</w:t>
      </w:r>
    </w:p>
    <w:bookmarkEnd w:id="4611"/>
    <w:bookmarkStart w:id="4612" w:name="return-values-193"/>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612"/>
    <w:bookmarkStart w:id="4613" w:name="remarks-467"/>
    <w:p>
      <w:pPr>
        <w:pStyle w:val="Heading2"/>
      </w:pPr>
      <w:r>
        <w:t xml:space="preserve">Remarks</w:t>
      </w:r>
    </w:p>
    <w:p>
      <w:pPr>
        <w:pStyle w:val="Compact"/>
        <w:numPr>
          <w:ilvl w:val="0"/>
          <w:numId w:val="2139"/>
        </w:numPr>
      </w:pPr>
      <w:r>
        <w:t xml:space="preserve">If</w:t>
      </w:r>
      <w:r>
        <w:t xml:space="preserve"> </w:t>
      </w:r>
      <w:r>
        <w:rPr>
          <w:rStyle w:val="VerbatimChar"/>
        </w:rPr>
        <w:t xml:space="preserve">SetUseAllowedOnly</w:t>
      </w:r>
      <w:r>
        <w:t xml:space="preserve"> </w:t>
      </w:r>
      <w:r>
        <w:t xml:space="preserve">is set to</w:t>
      </w:r>
      <w:r>
        <w:t xml:space="preserve"> </w:t>
      </w:r>
      <w:r>
        <w:rPr>
          <w:b/>
          <w:bCs/>
        </w:rPr>
        <w:t xml:space="preserve">True</w:t>
      </w:r>
      <w:r>
        <w:t xml:space="preserve">, only extensions added via</w:t>
      </w:r>
      <w:r>
        <w:t xml:space="preserve"> </w:t>
      </w:r>
      <w:r>
        <w:rPr>
          <w:rStyle w:val="VerbatimChar"/>
        </w:rPr>
        <w:t xml:space="preserve">AllowExtension</w:t>
      </w:r>
      <w:r>
        <w:t xml:space="preserve"> </w:t>
      </w:r>
      <w:r>
        <w:t xml:space="preserve">or</w:t>
      </w:r>
      <w:r>
        <w:t xml:space="preserve"> </w:t>
      </w:r>
      <w:r>
        <w:rPr>
          <w:rStyle w:val="VerbatimChar"/>
        </w:rPr>
        <w:t xml:space="preserve">AllowExtensions</w:t>
      </w:r>
      <w:r>
        <w:t xml:space="preserve"> </w:t>
      </w:r>
      <w:r>
        <w:t xml:space="preserve">will be accepted.</w:t>
      </w:r>
    </w:p>
    <w:p>
      <w:pPr>
        <w:pStyle w:val="Compact"/>
        <w:numPr>
          <w:ilvl w:val="0"/>
          <w:numId w:val="2139"/>
        </w:numPr>
      </w:pPr>
      <w:r>
        <w:t xml:space="preserve">Input is case-insensitive and leading spaces are trimmed.</w:t>
      </w:r>
    </w:p>
    <w:bookmarkEnd w:id="4613"/>
    <w:bookmarkStart w:id="4614" w:name="code-example-30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uploader.AllowExtension </w:t>
      </w:r>
      <w:r>
        <w:rPr>
          <w:rStyle w:val="StringTok"/>
        </w:rPr>
        <w:t xml:space="preserve">"jpg"</w:t>
      </w:r>
      <w:r>
        <w:br/>
      </w:r>
      <w:r>
        <w:rPr>
          <w:rStyle w:val="NormalTok"/>
        </w:rPr>
        <w:t xml:space="preserve">uploader.AllowExtension </w:t>
      </w:r>
      <w:r>
        <w:rPr>
          <w:rStyle w:val="StringTok"/>
        </w:rPr>
        <w:t xml:space="preserve">".png"</w:t>
      </w:r>
      <w:r>
        <w:br/>
      </w:r>
      <w:r>
        <w:rPr>
          <w:rStyle w:val="DataTypeTok"/>
        </w:rPr>
        <w:t xml:space="preserve">%&gt;</w:t>
      </w:r>
    </w:p>
    <w:bookmarkEnd w:id="4614"/>
    <w:bookmarkEnd w:id="4615"/>
    <w:bookmarkStart w:id="4622" w:name="allowextensions-method"/>
    <w:p>
      <w:pPr>
        <w:pStyle w:val="Heading1"/>
      </w:pPr>
      <w:r>
        <w:t xml:space="preserve">AllowExtensions Method</w:t>
      </w:r>
    </w:p>
    <w:bookmarkStart w:id="4616" w:name="overview-535"/>
    <w:p>
      <w:pPr>
        <w:pStyle w:val="Heading2"/>
      </w:pPr>
      <w:r>
        <w:t xml:space="preserve">Overview</w:t>
      </w:r>
    </w:p>
    <w:p>
      <w:pPr>
        <w:pStyle w:val="FirstParagraph"/>
      </w:pPr>
      <w:r>
        <w:t xml:space="preserve">Adds multiple file extensions to the whitelist from a comma-separated string.</w:t>
      </w:r>
    </w:p>
    <w:bookmarkEnd w:id="4616"/>
    <w:bookmarkStart w:id="4617" w:name="syntax-501"/>
    <w:p>
      <w:pPr>
        <w:pStyle w:val="Heading2"/>
      </w:pPr>
      <w:r>
        <w:t xml:space="preserve">Syntax</w:t>
      </w:r>
    </w:p>
    <w:p>
      <w:pPr>
        <w:pStyle w:val="SourceCode"/>
      </w:pPr>
      <w:r>
        <w:rPr>
          <w:rStyle w:val="NormalTok"/>
        </w:rPr>
        <w:t xml:space="preserve">uploader.AllowExtensions extensions</w:t>
      </w:r>
    </w:p>
    <w:bookmarkEnd w:id="4617"/>
    <w:bookmarkStart w:id="4618" w:name="parameters-and-arguments-136"/>
    <w:p>
      <w:pPr>
        <w:pStyle w:val="Heading2"/>
      </w:pPr>
      <w:r>
        <w:t xml:space="preserve">Parameters and Arguments</w:t>
      </w:r>
    </w:p>
    <w:p>
      <w:pPr>
        <w:pStyle w:val="Compact"/>
        <w:numPr>
          <w:ilvl w:val="0"/>
          <w:numId w:val="2140"/>
        </w:numPr>
      </w:pPr>
      <w:r>
        <w:rPr>
          <w:rStyle w:val="VerbatimChar"/>
        </w:rPr>
        <w:t xml:space="preserve">extensions</w:t>
      </w:r>
      <w:r>
        <w:t xml:space="preserve"> </w:t>
      </w:r>
      <w:r>
        <w:t xml:space="preserve">(String, Required): A comma-separated list of extensions (e.g.,</w:t>
      </w:r>
      <w:r>
        <w:t xml:space="preserve"> </w:t>
      </w:r>
      <w:r>
        <w:t xml:space="preserve">“jpg, png, gif”</w:t>
      </w:r>
      <w:r>
        <w:t xml:space="preserve">).</w:t>
      </w:r>
    </w:p>
    <w:bookmarkEnd w:id="4618"/>
    <w:bookmarkStart w:id="4619" w:name="return-values-194"/>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619"/>
    <w:bookmarkStart w:id="4620" w:name="remarks-468"/>
    <w:p>
      <w:pPr>
        <w:pStyle w:val="Heading2"/>
      </w:pPr>
      <w:r>
        <w:t xml:space="preserve">Remarks</w:t>
      </w:r>
    </w:p>
    <w:p>
      <w:pPr>
        <w:pStyle w:val="Compact"/>
        <w:numPr>
          <w:ilvl w:val="0"/>
          <w:numId w:val="2141"/>
        </w:numPr>
      </w:pPr>
      <w:r>
        <w:t xml:space="preserve">This is a convenience method for calling</w:t>
      </w:r>
      <w:r>
        <w:t xml:space="preserve"> </w:t>
      </w:r>
      <w:r>
        <w:rPr>
          <w:rStyle w:val="VerbatimChar"/>
        </w:rPr>
        <w:t xml:space="preserve">AllowExtension</w:t>
      </w:r>
      <w:r>
        <w:t xml:space="preserve"> </w:t>
      </w:r>
      <w:r>
        <w:t xml:space="preserve">multiple times.</w:t>
      </w:r>
    </w:p>
    <w:p>
      <w:pPr>
        <w:pStyle w:val="Compact"/>
        <w:numPr>
          <w:ilvl w:val="0"/>
          <w:numId w:val="2141"/>
        </w:numPr>
      </w:pPr>
      <w:r>
        <w:t xml:space="preserve">If</w:t>
      </w:r>
      <w:r>
        <w:t xml:space="preserve"> </w:t>
      </w:r>
      <w:r>
        <w:rPr>
          <w:rStyle w:val="VerbatimChar"/>
        </w:rPr>
        <w:t xml:space="preserve">SetUseAllowedOnly</w:t>
      </w:r>
      <w:r>
        <w:t xml:space="preserve"> </w:t>
      </w:r>
      <w:r>
        <w:t xml:space="preserve">is</w:t>
      </w:r>
      <w:r>
        <w:t xml:space="preserve"> </w:t>
      </w:r>
      <w:r>
        <w:rPr>
          <w:b/>
          <w:bCs/>
        </w:rPr>
        <w:t xml:space="preserve">True</w:t>
      </w:r>
      <w:r>
        <w:t xml:space="preserve">, the uploader restricts all files to this list.</w:t>
      </w:r>
    </w:p>
    <w:bookmarkEnd w:id="4620"/>
    <w:bookmarkStart w:id="4621" w:name="code-example-30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uploader.AllowExtensions </w:t>
      </w:r>
      <w:r>
        <w:rPr>
          <w:rStyle w:val="StringTok"/>
        </w:rPr>
        <w:t xml:space="preserve">"docx, xlsx, pptx, pdf"</w:t>
      </w:r>
      <w:r>
        <w:br/>
      </w:r>
      <w:r>
        <w:rPr>
          <w:rStyle w:val="DataTypeTok"/>
        </w:rPr>
        <w:t xml:space="preserve">%&gt;</w:t>
      </w:r>
    </w:p>
    <w:bookmarkEnd w:id="4621"/>
    <w:bookmarkEnd w:id="4622"/>
    <w:bookmarkStart w:id="4629" w:name="blockextension-method"/>
    <w:p>
      <w:pPr>
        <w:pStyle w:val="Heading1"/>
      </w:pPr>
      <w:r>
        <w:t xml:space="preserve">BlockExtension Method</w:t>
      </w:r>
    </w:p>
    <w:bookmarkStart w:id="4623" w:name="overview-536"/>
    <w:p>
      <w:pPr>
        <w:pStyle w:val="Heading2"/>
      </w:pPr>
      <w:r>
        <w:t xml:space="preserve">Overview</w:t>
      </w:r>
    </w:p>
    <w:p>
      <w:pPr>
        <w:pStyle w:val="FirstParagraph"/>
      </w:pPr>
      <w:r>
        <w:t xml:space="preserve">Adds a single file extension to the blacklist of forbidden upload types.</w:t>
      </w:r>
    </w:p>
    <w:bookmarkEnd w:id="4623"/>
    <w:bookmarkStart w:id="4624" w:name="syntax-502"/>
    <w:p>
      <w:pPr>
        <w:pStyle w:val="Heading2"/>
      </w:pPr>
      <w:r>
        <w:t xml:space="preserve">Syntax</w:t>
      </w:r>
    </w:p>
    <w:p>
      <w:pPr>
        <w:pStyle w:val="SourceCode"/>
      </w:pPr>
      <w:r>
        <w:rPr>
          <w:rStyle w:val="NormalTok"/>
        </w:rPr>
        <w:t xml:space="preserve">uploader.BlockExtension extension</w:t>
      </w:r>
    </w:p>
    <w:bookmarkEnd w:id="4624"/>
    <w:bookmarkStart w:id="4625" w:name="parameters-and-arguments-137"/>
    <w:p>
      <w:pPr>
        <w:pStyle w:val="Heading2"/>
      </w:pPr>
      <w:r>
        <w:t xml:space="preserve">Parameters and Arguments</w:t>
      </w:r>
    </w:p>
    <w:p>
      <w:pPr>
        <w:pStyle w:val="Compact"/>
        <w:numPr>
          <w:ilvl w:val="0"/>
          <w:numId w:val="2142"/>
        </w:numPr>
      </w:pPr>
      <w:r>
        <w:rPr>
          <w:rStyle w:val="VerbatimChar"/>
        </w:rPr>
        <w:t xml:space="preserve">extension</w:t>
      </w:r>
      <w:r>
        <w:t xml:space="preserve"> </w:t>
      </w:r>
      <w:r>
        <w:t xml:space="preserve">(String, Required): The file extension to block (e.g.,</w:t>
      </w:r>
      <w:r>
        <w:t xml:space="preserve"> </w:t>
      </w:r>
      <w:r>
        <w:t xml:space="preserve">“exe”</w:t>
      </w:r>
      <w:r>
        <w:t xml:space="preserve"> </w:t>
      </w:r>
      <w:r>
        <w:t xml:space="preserve">or</w:t>
      </w:r>
      <w:r>
        <w:t xml:space="preserve"> </w:t>
      </w:r>
      <w:r>
        <w:t xml:space="preserve">“.bat”</w:t>
      </w:r>
      <w:r>
        <w:t xml:space="preserve">).</w:t>
      </w:r>
    </w:p>
    <w:bookmarkEnd w:id="4625"/>
    <w:bookmarkStart w:id="4626" w:name="return-values-195"/>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626"/>
    <w:bookmarkStart w:id="4627" w:name="remarks-469"/>
    <w:p>
      <w:pPr>
        <w:pStyle w:val="Heading2"/>
      </w:pPr>
      <w:r>
        <w:t xml:space="preserve">Remarks</w:t>
      </w:r>
    </w:p>
    <w:p>
      <w:pPr>
        <w:pStyle w:val="Compact"/>
        <w:numPr>
          <w:ilvl w:val="0"/>
          <w:numId w:val="2143"/>
        </w:numPr>
      </w:pPr>
      <w:r>
        <w:t xml:space="preserve">Blocked extensions take precedence over allowed extensions.</w:t>
      </w:r>
    </w:p>
    <w:p>
      <w:pPr>
        <w:pStyle w:val="Compact"/>
        <w:numPr>
          <w:ilvl w:val="0"/>
          <w:numId w:val="2143"/>
        </w:numPr>
      </w:pPr>
      <w:r>
        <w:t xml:space="preserve">This is useful for preventing the upload of potentially malicious executable files.</w:t>
      </w:r>
    </w:p>
    <w:bookmarkEnd w:id="4627"/>
    <w:bookmarkStart w:id="4628" w:name="code-example-30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uploader.BlockExtension </w:t>
      </w:r>
      <w:r>
        <w:rPr>
          <w:rStyle w:val="StringTok"/>
        </w:rPr>
        <w:t xml:space="preserve">"exe"</w:t>
      </w:r>
      <w:r>
        <w:br/>
      </w:r>
      <w:r>
        <w:rPr>
          <w:rStyle w:val="NormalTok"/>
        </w:rPr>
        <w:t xml:space="preserve">uploader.BlockExtension </w:t>
      </w:r>
      <w:r>
        <w:rPr>
          <w:rStyle w:val="StringTok"/>
        </w:rPr>
        <w:t xml:space="preserve">"msi"</w:t>
      </w:r>
      <w:r>
        <w:br/>
      </w:r>
      <w:r>
        <w:rPr>
          <w:rStyle w:val="DataTypeTok"/>
        </w:rPr>
        <w:t xml:space="preserve">%&gt;</w:t>
      </w:r>
    </w:p>
    <w:bookmarkEnd w:id="4628"/>
    <w:bookmarkEnd w:id="4629"/>
    <w:bookmarkStart w:id="4636" w:name="blockextensions-method"/>
    <w:p>
      <w:pPr>
        <w:pStyle w:val="Heading1"/>
      </w:pPr>
      <w:r>
        <w:t xml:space="preserve">BlockExtensions Method</w:t>
      </w:r>
    </w:p>
    <w:bookmarkStart w:id="4630" w:name="overview-537"/>
    <w:p>
      <w:pPr>
        <w:pStyle w:val="Heading2"/>
      </w:pPr>
      <w:r>
        <w:t xml:space="preserve">Overview</w:t>
      </w:r>
    </w:p>
    <w:p>
      <w:pPr>
        <w:pStyle w:val="FirstParagraph"/>
      </w:pPr>
      <w:r>
        <w:t xml:space="preserve">Adds multiple file extensions to the blacklist from a comma-separated string.</w:t>
      </w:r>
    </w:p>
    <w:bookmarkEnd w:id="4630"/>
    <w:bookmarkStart w:id="4631" w:name="syntax-503"/>
    <w:p>
      <w:pPr>
        <w:pStyle w:val="Heading2"/>
      </w:pPr>
      <w:r>
        <w:t xml:space="preserve">Syntax</w:t>
      </w:r>
    </w:p>
    <w:p>
      <w:pPr>
        <w:pStyle w:val="SourceCode"/>
      </w:pPr>
      <w:r>
        <w:rPr>
          <w:rStyle w:val="NormalTok"/>
        </w:rPr>
        <w:t xml:space="preserve">uploader.BlockExtensions extensions</w:t>
      </w:r>
    </w:p>
    <w:bookmarkEnd w:id="4631"/>
    <w:bookmarkStart w:id="4632" w:name="parameters-and-arguments-138"/>
    <w:p>
      <w:pPr>
        <w:pStyle w:val="Heading2"/>
      </w:pPr>
      <w:r>
        <w:t xml:space="preserve">Parameters and Arguments</w:t>
      </w:r>
    </w:p>
    <w:p>
      <w:pPr>
        <w:pStyle w:val="Compact"/>
        <w:numPr>
          <w:ilvl w:val="0"/>
          <w:numId w:val="2144"/>
        </w:numPr>
      </w:pPr>
      <w:r>
        <w:rPr>
          <w:rStyle w:val="VerbatimChar"/>
        </w:rPr>
        <w:t xml:space="preserve">extensions</w:t>
      </w:r>
      <w:r>
        <w:t xml:space="preserve"> </w:t>
      </w:r>
      <w:r>
        <w:t xml:space="preserve">(String, Required): A comma-separated list of extensions to block.</w:t>
      </w:r>
    </w:p>
    <w:bookmarkEnd w:id="4632"/>
    <w:bookmarkStart w:id="4633" w:name="return-values-196"/>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633"/>
    <w:bookmarkStart w:id="4634" w:name="remarks-470"/>
    <w:p>
      <w:pPr>
        <w:pStyle w:val="Heading2"/>
      </w:pPr>
      <w:r>
        <w:t xml:space="preserve">Remarks</w:t>
      </w:r>
    </w:p>
    <w:p>
      <w:pPr>
        <w:pStyle w:val="Compact"/>
        <w:numPr>
          <w:ilvl w:val="0"/>
          <w:numId w:val="2145"/>
        </w:numPr>
      </w:pPr>
      <w:r>
        <w:t xml:space="preserve">Convenience method for blocking multiple file types in a single call.</w:t>
      </w:r>
    </w:p>
    <w:p>
      <w:pPr>
        <w:pStyle w:val="Compact"/>
        <w:numPr>
          <w:ilvl w:val="0"/>
          <w:numId w:val="2145"/>
        </w:numPr>
      </w:pPr>
      <w:r>
        <w:t xml:space="preserve">Any file with an extension in this list will be rejected during the</w:t>
      </w:r>
      <w:r>
        <w:t xml:space="preserve"> </w:t>
      </w:r>
      <w:r>
        <w:rPr>
          <w:rStyle w:val="VerbatimChar"/>
        </w:rPr>
        <w:t xml:space="preserve">Process</w:t>
      </w:r>
      <w:r>
        <w:t xml:space="preserve"> </w:t>
      </w:r>
      <w:r>
        <w:t xml:space="preserve">or</w:t>
      </w:r>
      <w:r>
        <w:t xml:space="preserve"> </w:t>
      </w:r>
      <w:r>
        <w:rPr>
          <w:rStyle w:val="VerbatimChar"/>
        </w:rPr>
        <w:t xml:space="preserve">ProcessAll</w:t>
      </w:r>
      <w:r>
        <w:t xml:space="preserve"> </w:t>
      </w:r>
      <w:r>
        <w:t xml:space="preserve">methods.</w:t>
      </w:r>
    </w:p>
    <w:bookmarkEnd w:id="4634"/>
    <w:bookmarkStart w:id="4635" w:name="code-example-30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uploader.BlockExtensions </w:t>
      </w:r>
      <w:r>
        <w:rPr>
          <w:rStyle w:val="StringTok"/>
        </w:rPr>
        <w:t xml:space="preserve">"php, asp, aspx, jsp, exe, bat"</w:t>
      </w:r>
      <w:r>
        <w:br/>
      </w:r>
      <w:r>
        <w:rPr>
          <w:rStyle w:val="DataTypeTok"/>
        </w:rPr>
        <w:t xml:space="preserve">%&gt;</w:t>
      </w:r>
    </w:p>
    <w:bookmarkEnd w:id="4635"/>
    <w:bookmarkEnd w:id="4636"/>
    <w:bookmarkStart w:id="4643" w:name="createdirectory-method"/>
    <w:p>
      <w:pPr>
        <w:pStyle w:val="Heading1"/>
      </w:pPr>
      <w:r>
        <w:t xml:space="preserve">CreateDirectory Method</w:t>
      </w:r>
    </w:p>
    <w:bookmarkStart w:id="4637" w:name="overview-538"/>
    <w:p>
      <w:pPr>
        <w:pStyle w:val="Heading2"/>
      </w:pPr>
      <w:r>
        <w:t xml:space="preserve">Overview</w:t>
      </w:r>
    </w:p>
    <w:p>
      <w:pPr>
        <w:pStyle w:val="FirstParagraph"/>
      </w:pPr>
      <w:r>
        <w:t xml:space="preserve">(ASPUpload Compatibility) Creates a directory on the local system.</w:t>
      </w:r>
    </w:p>
    <w:bookmarkEnd w:id="4637"/>
    <w:bookmarkStart w:id="4638" w:name="syntax-504"/>
    <w:p>
      <w:pPr>
        <w:pStyle w:val="Heading2"/>
      </w:pPr>
      <w:r>
        <w:t xml:space="preserve">Syntax</w:t>
      </w:r>
    </w:p>
    <w:p>
      <w:pPr>
        <w:pStyle w:val="SourceCode"/>
      </w:pPr>
      <w:r>
        <w:rPr>
          <w:rStyle w:val="NormalTok"/>
        </w:rPr>
        <w:t xml:space="preserve">uploader.CreateDirectory path, [ignoreAlreadyExists]</w:t>
      </w:r>
    </w:p>
    <w:bookmarkEnd w:id="4638"/>
    <w:bookmarkStart w:id="4639" w:name="parameters-and-arguments-139"/>
    <w:p>
      <w:pPr>
        <w:pStyle w:val="Heading2"/>
      </w:pPr>
      <w:r>
        <w:t xml:space="preserve">Parameters and Arguments</w:t>
      </w:r>
    </w:p>
    <w:p>
      <w:pPr>
        <w:pStyle w:val="Compact"/>
        <w:numPr>
          <w:ilvl w:val="0"/>
          <w:numId w:val="2146"/>
        </w:numPr>
      </w:pPr>
      <w:r>
        <w:rPr>
          <w:rStyle w:val="VerbatimChar"/>
        </w:rPr>
        <w:t xml:space="preserve">path</w:t>
      </w:r>
      <w:r>
        <w:t xml:space="preserve"> </w:t>
      </w:r>
      <w:r>
        <w:t xml:space="preserve">(String, Required): The local system directory path to create.</w:t>
      </w:r>
    </w:p>
    <w:p>
      <w:pPr>
        <w:pStyle w:val="Compact"/>
        <w:numPr>
          <w:ilvl w:val="0"/>
          <w:numId w:val="2146"/>
        </w:numPr>
      </w:pPr>
      <w:r>
        <w:rPr>
          <w:rStyle w:val="VerbatimChar"/>
        </w:rPr>
        <w:t xml:space="preserve">ignoreAlreadyExists</w:t>
      </w:r>
      <w:r>
        <w:t xml:space="preserve"> </w:t>
      </w:r>
      <w:r>
        <w:t xml:space="preserve">(Boolean, Optional): If true (default), no error is raised if the directory already exists.</w:t>
      </w:r>
    </w:p>
    <w:bookmarkEnd w:id="4639"/>
    <w:bookmarkStart w:id="4640" w:name="return-values-197"/>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640"/>
    <w:bookmarkStart w:id="4641" w:name="remarks-471"/>
    <w:p>
      <w:pPr>
        <w:pStyle w:val="Heading2"/>
      </w:pPr>
      <w:r>
        <w:t xml:space="preserve">Remarks</w:t>
      </w:r>
    </w:p>
    <w:p>
      <w:pPr>
        <w:pStyle w:val="Compact"/>
        <w:numPr>
          <w:ilvl w:val="0"/>
          <w:numId w:val="2147"/>
        </w:numPr>
      </w:pPr>
      <w:r>
        <w:t xml:space="preserve">Resolves virtual paths to physical paths if a relative path is provided.</w:t>
      </w:r>
    </w:p>
    <w:bookmarkEnd w:id="4641"/>
    <w:bookmarkStart w:id="4642" w:name="code-example-30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w:t>
      </w:r>
      <w:r>
        <w:br/>
      </w:r>
      <w:r>
        <w:rPr>
          <w:rStyle w:val="KeywordTok"/>
        </w:rPr>
        <w:t xml:space="preserve">Set</w:t>
      </w:r>
      <w:r>
        <w:rPr>
          <w:rStyle w:val="NormalTok"/>
        </w:rPr>
        <w:t xml:space="preserve"> upl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"Persits.Upload"</w:t>
      </w:r>
      <w:r>
        <w:rPr>
          <w:rStyle w:val="OtherTok"/>
        </w:rPr>
        <w:t xml:space="preserve">)</w:t>
      </w:r>
      <w:r>
        <w:br/>
      </w:r>
      <w:r>
        <w:rPr>
          <w:rStyle w:val="NormalTok"/>
        </w:rPr>
        <w:t xml:space="preserve">upl.CreateDirectory </w:t>
      </w:r>
      <w:r>
        <w:rPr>
          <w:rStyle w:val="StringTok"/>
        </w:rPr>
        <w:t xml:space="preserve">"C:\new_upload_directory"</w:t>
      </w:r>
      <w:r>
        <w:rPr>
          <w:rStyle w:val="OtherTok"/>
        </w:rPr>
        <w:t xml:space="preserve">,</w:t>
      </w:r>
      <w:r>
        <w:rPr>
          <w:rStyle w:val="NormalTok"/>
        </w:rPr>
        <w:t xml:space="preserve"> </w:t>
      </w:r>
      <w:r>
        <w:rPr>
          <w:rStyle w:val="KeywordTok"/>
        </w:rPr>
        <w:t xml:space="preserve">True</w:t>
      </w:r>
      <w:r>
        <w:br/>
      </w:r>
      <w:r>
        <w:rPr>
          <w:rStyle w:val="DataTypeTok"/>
        </w:rPr>
        <w:t xml:space="preserve">%&gt;</w:t>
      </w:r>
    </w:p>
    <w:bookmarkEnd w:id="4642"/>
    <w:bookmarkEnd w:id="4643"/>
    <w:bookmarkStart w:id="4650" w:name="flush-method"/>
    <w:p>
      <w:pPr>
        <w:pStyle w:val="Heading1"/>
      </w:pPr>
      <w:r>
        <w:t xml:space="preserve">Flush Method</w:t>
      </w:r>
    </w:p>
    <w:bookmarkStart w:id="4644" w:name="overview-539"/>
    <w:p>
      <w:pPr>
        <w:pStyle w:val="Heading2"/>
      </w:pPr>
      <w:r>
        <w:t xml:space="preserve">Overview</w:t>
      </w:r>
    </w:p>
    <w:p>
      <w:pPr>
        <w:pStyle w:val="FirstParagraph"/>
      </w:pPr>
      <w:r>
        <w:t xml:space="preserve">(SA-FileUp Compatibility) Clears cached upload request parsing state.</w:t>
      </w:r>
    </w:p>
    <w:bookmarkEnd w:id="4644"/>
    <w:bookmarkStart w:id="4645" w:name="syntax-505"/>
    <w:p>
      <w:pPr>
        <w:pStyle w:val="Heading2"/>
      </w:pPr>
      <w:r>
        <w:t xml:space="preserve">Syntax</w:t>
      </w:r>
    </w:p>
    <w:p>
      <w:pPr>
        <w:pStyle w:val="SourceCode"/>
      </w:pPr>
      <w:r>
        <w:rPr>
          <w:rStyle w:val="NormalTok"/>
        </w:rPr>
        <w:t xml:space="preserve">uploader.Flush()</w:t>
      </w:r>
    </w:p>
    <w:bookmarkEnd w:id="4645"/>
    <w:bookmarkStart w:id="4646" w:name="parameters-and-arguments-140"/>
    <w:p>
      <w:pPr>
        <w:pStyle w:val="Heading2"/>
      </w:pPr>
      <w:r>
        <w:t xml:space="preserve">Parameters and Arguments</w:t>
      </w:r>
    </w:p>
    <w:p>
      <w:pPr>
        <w:pStyle w:val="FirstParagraph"/>
      </w:pPr>
      <w:r>
        <w:t xml:space="preserve">None.</w:t>
      </w:r>
    </w:p>
    <w:bookmarkEnd w:id="4646"/>
    <w:bookmarkStart w:id="4647" w:name="return-values-198"/>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647"/>
    <w:bookmarkStart w:id="4648" w:name="remarks-472"/>
    <w:p>
      <w:pPr>
        <w:pStyle w:val="Heading2"/>
      </w:pPr>
      <w:r>
        <w:t xml:space="preserve">Remarks</w:t>
      </w:r>
    </w:p>
    <w:p>
      <w:pPr>
        <w:pStyle w:val="Compact"/>
        <w:numPr>
          <w:ilvl w:val="0"/>
          <w:numId w:val="2148"/>
        </w:numPr>
      </w:pPr>
      <w:r>
        <w:t xml:space="preserve">Resets the parsed state cache of the uploader instance.</w:t>
      </w:r>
    </w:p>
    <w:bookmarkEnd w:id="4648"/>
    <w:bookmarkStart w:id="4649" w:name="code-example-30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fileup</w:t>
      </w:r>
      <w:r>
        <w:br/>
      </w:r>
      <w:r>
        <w:rPr>
          <w:rStyle w:val="KeywordTok"/>
        </w:rPr>
        <w:t xml:space="preserve">Set</w:t>
      </w:r>
      <w:r>
        <w:rPr>
          <w:rStyle w:val="NormalTok"/>
        </w:rPr>
        <w:t xml:space="preserve"> fileup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"SoftArtisans.FileUp"</w:t>
      </w:r>
      <w:r>
        <w:rPr>
          <w:rStyle w:val="OtherTok"/>
        </w:rPr>
        <w:t xml:space="preserve">)</w:t>
      </w:r>
      <w:r>
        <w:br/>
      </w:r>
      <w:r>
        <w:rPr>
          <w:rStyle w:val="NormalTok"/>
        </w:rPr>
        <w:t xml:space="preserve">fileup.Flush</w:t>
      </w:r>
      <w:r>
        <w:br/>
      </w:r>
      <w:r>
        <w:rPr>
          <w:rStyle w:val="DataTypeTok"/>
        </w:rPr>
        <w:t xml:space="preserve">%&gt;</w:t>
      </w:r>
    </w:p>
    <w:bookmarkEnd w:id="4649"/>
    <w:bookmarkEnd w:id="4650"/>
    <w:bookmarkStart w:id="4657" w:name="form-method"/>
    <w:p>
      <w:pPr>
        <w:pStyle w:val="Heading1"/>
      </w:pPr>
      <w:r>
        <w:t xml:space="preserve">Form Method</w:t>
      </w:r>
    </w:p>
    <w:bookmarkStart w:id="4651" w:name="overview-540"/>
    <w:p>
      <w:pPr>
        <w:pStyle w:val="Heading2"/>
      </w:pPr>
      <w:r>
        <w:t xml:space="preserve">Overview</w:t>
      </w:r>
    </w:p>
    <w:p>
      <w:pPr>
        <w:pStyle w:val="FirstParagraph"/>
      </w:pPr>
      <w:r>
        <w:t xml:space="preserve">Retrieves the value of a non-file form field from a multipart/form-data request.</w:t>
      </w:r>
    </w:p>
    <w:bookmarkEnd w:id="4651"/>
    <w:bookmarkStart w:id="4652" w:name="syntax-506"/>
    <w:p>
      <w:pPr>
        <w:pStyle w:val="Heading2"/>
      </w:pPr>
      <w:r>
        <w:t xml:space="preserve">Syntax</w:t>
      </w:r>
    </w:p>
    <w:p>
      <w:pPr>
        <w:pStyle w:val="SourceCode"/>
      </w:pPr>
      <w:r>
        <w:rPr>
          <w:rStyle w:val="NormalTok"/>
        </w:rPr>
        <w:t xml:space="preserve">value = uploader.Form(fieldName)</w:t>
      </w:r>
    </w:p>
    <w:bookmarkEnd w:id="4652"/>
    <w:bookmarkStart w:id="4653" w:name="parameters-and-arguments-141"/>
    <w:p>
      <w:pPr>
        <w:pStyle w:val="Heading2"/>
      </w:pPr>
      <w:r>
        <w:t xml:space="preserve">Parameters and Arguments</w:t>
      </w:r>
    </w:p>
    <w:p>
      <w:pPr>
        <w:pStyle w:val="Compact"/>
        <w:numPr>
          <w:ilvl w:val="0"/>
          <w:numId w:val="2149"/>
        </w:numPr>
      </w:pPr>
      <w:r>
        <w:rPr>
          <w:rStyle w:val="VerbatimChar"/>
        </w:rPr>
        <w:t xml:space="preserve">fieldName</w:t>
      </w:r>
      <w:r>
        <w:t xml:space="preserve"> </w:t>
      </w:r>
      <w:r>
        <w:t xml:space="preserve">(String, Required): The name of the form input field.</w:t>
      </w:r>
    </w:p>
    <w:bookmarkEnd w:id="4653"/>
    <w:bookmarkStart w:id="4654" w:name="return-values-199"/>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containing the field value, or</w:t>
      </w:r>
      <w:r>
        <w:t xml:space="preserve"> </w:t>
      </w:r>
      <w:r>
        <w:rPr>
          <w:b/>
          <w:bCs/>
        </w:rPr>
        <w:t xml:space="preserve">Empty</w:t>
      </w:r>
      <w:r>
        <w:t xml:space="preserve"> </w:t>
      </w:r>
      <w:r>
        <w:t xml:space="preserve">if the field was not found or the request is not multipart.</w:t>
      </w:r>
    </w:p>
    <w:bookmarkEnd w:id="4654"/>
    <w:bookmarkStart w:id="4655" w:name="remarks-473"/>
    <w:p>
      <w:pPr>
        <w:pStyle w:val="Heading2"/>
      </w:pPr>
      <w:r>
        <w:t xml:space="preserve">Remarks</w:t>
      </w:r>
    </w:p>
    <w:p>
      <w:pPr>
        <w:pStyle w:val="Compact"/>
        <w:numPr>
          <w:ilvl w:val="0"/>
          <w:numId w:val="2150"/>
        </w:numPr>
      </w:pPr>
      <w:r>
        <w:t xml:space="preserve">This method is an alternative to</w:t>
      </w:r>
      <w:r>
        <w:t xml:space="preserve"> </w:t>
      </w:r>
      <w:r>
        <w:rPr>
          <w:rStyle w:val="VerbatimChar"/>
        </w:rPr>
        <w:t xml:space="preserve">Request.Form</w:t>
      </w:r>
      <w:r>
        <w:t xml:space="preserve"> </w:t>
      </w:r>
      <w:r>
        <w:t xml:space="preserve">when handling file uploads, as standard binary reads and form collection access cannot be mixed in Classic ASP.</w:t>
      </w:r>
    </w:p>
    <w:p>
      <w:pPr>
        <w:pStyle w:val="Compact"/>
        <w:numPr>
          <w:ilvl w:val="0"/>
          <w:numId w:val="2150"/>
        </w:numPr>
      </w:pPr>
      <w:r>
        <w:t xml:space="preserve">If multiple values exist for the same field name, only the first one is returned.</w:t>
      </w:r>
    </w:p>
    <w:p>
      <w:pPr>
        <w:pStyle w:val="Compact"/>
        <w:numPr>
          <w:ilvl w:val="0"/>
          <w:numId w:val="2150"/>
        </w:numPr>
      </w:pPr>
      <w:r>
        <w:t xml:space="preserve">Also supports the</w:t>
      </w:r>
      <w:r>
        <w:t xml:space="preserve"> </w:t>
      </w:r>
      <w:r>
        <w:rPr>
          <w:rStyle w:val="VerbatimChar"/>
        </w:rPr>
        <w:t xml:space="preserve">FormValue</w:t>
      </w:r>
      <w:r>
        <w:t xml:space="preserve"> </w:t>
      </w:r>
      <w:r>
        <w:t xml:space="preserve">alias.</w:t>
      </w:r>
    </w:p>
    <w:bookmarkEnd w:id="4655"/>
    <w:bookmarkStart w:id="4656" w:name="code-example-31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userName</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userName = uploader.</w:t>
      </w:r>
      <w:r>
        <w:rPr>
          <w:rStyle w:val="FunctionTok"/>
        </w:rPr>
        <w:t xml:space="preserve">Form</w:t>
      </w:r>
      <w:r>
        <w:rPr>
          <w:rStyle w:val="OtherTok"/>
        </w:rPr>
        <w:t xml:space="preserve">(</w:t>
      </w:r>
      <w:r>
        <w:rPr>
          <w:rStyle w:val="StringTok"/>
        </w:rPr>
        <w:t xml:space="preserve">"txtName"</w:t>
      </w:r>
      <w:r>
        <w:rPr>
          <w:rStyle w:val="OtherTok"/>
        </w:rPr>
        <w:t xml:space="preserve">)</w:t>
      </w:r>
      <w:r>
        <w:br/>
      </w:r>
      <w:r>
        <w:br/>
      </w:r>
      <w:r>
        <w:rPr>
          <w:rStyle w:val="ControlFlowTok"/>
        </w:rPr>
        <w:t xml:space="preserve">If</w:t>
      </w:r>
      <w:r>
        <w:rPr>
          <w:rStyle w:val="NormalTok"/>
        </w:rPr>
        <w:t xml:space="preserve"> userName &lt;&gt;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"Hello, "</w:t>
      </w:r>
      <w:r>
        <w:rPr>
          <w:rStyle w:val="NormalTok"/>
        </w:rPr>
        <w:t xml:space="preserve"> </w:t>
      </w:r>
      <w:r>
        <w:rPr>
          <w:rStyle w:val="KeywordTok"/>
        </w:rPr>
        <w:t xml:space="preserve">&amp;</w:t>
      </w:r>
      <w:r>
        <w:rPr>
          <w:rStyle w:val="NormalTok"/>
        </w:rPr>
        <w:t xml:space="preserve"> userName</w:t>
      </w:r>
      <w:r>
        <w:br/>
      </w:r>
      <w:r>
        <w:rPr>
          <w:rStyle w:val="ControlFlowTok"/>
        </w:rPr>
        <w:t xml:space="preserve">End If</w:t>
      </w:r>
      <w:r>
        <w:br/>
      </w:r>
      <w:r>
        <w:rPr>
          <w:rStyle w:val="DataTypeTok"/>
        </w:rPr>
        <w:t xml:space="preserve">%&gt;</w:t>
      </w:r>
    </w:p>
    <w:bookmarkEnd w:id="4656"/>
    <w:bookmarkEnd w:id="4657"/>
    <w:bookmarkStart w:id="4664" w:name="formvalue-method"/>
    <w:p>
      <w:pPr>
        <w:pStyle w:val="Heading1"/>
      </w:pPr>
      <w:r>
        <w:t xml:space="preserve">FormValue Method</w:t>
      </w:r>
    </w:p>
    <w:bookmarkStart w:id="4658" w:name="overview-541"/>
    <w:p>
      <w:pPr>
        <w:pStyle w:val="Heading2"/>
      </w:pPr>
      <w:r>
        <w:t xml:space="preserve">Overview</w:t>
      </w:r>
    </w:p>
    <w:p>
      <w:pPr>
        <w:pStyle w:val="FirstParagraph"/>
      </w:pPr>
      <w:r>
        <w:t xml:space="preserve">Alias for the</w:t>
      </w:r>
      <w:r>
        <w:t xml:space="preserve"> </w:t>
      </w:r>
      <w:r>
        <w:rPr>
          <w:rStyle w:val="VerbatimChar"/>
        </w:rPr>
        <w:t xml:space="preserve">Form</w:t>
      </w:r>
      <w:r>
        <w:t xml:space="preserve"> </w:t>
      </w:r>
      <w:r>
        <w:t xml:space="preserve">method. Retrieves a non-file form field value.</w:t>
      </w:r>
    </w:p>
    <w:bookmarkEnd w:id="4658"/>
    <w:bookmarkStart w:id="4659" w:name="syntax-507"/>
    <w:p>
      <w:pPr>
        <w:pStyle w:val="Heading2"/>
      </w:pPr>
      <w:r>
        <w:t xml:space="preserve">Syntax</w:t>
      </w:r>
    </w:p>
    <w:p>
      <w:pPr>
        <w:pStyle w:val="SourceCode"/>
      </w:pPr>
      <w:r>
        <w:rPr>
          <w:rStyle w:val="NormalTok"/>
        </w:rPr>
        <w:t xml:space="preserve">value = uploader.FormValue(fieldName)</w:t>
      </w:r>
    </w:p>
    <w:bookmarkEnd w:id="4659"/>
    <w:bookmarkStart w:id="4660" w:name="parameters-and-arguments-142"/>
    <w:p>
      <w:pPr>
        <w:pStyle w:val="Heading2"/>
      </w:pPr>
      <w:r>
        <w:t xml:space="preserve">Parameters and Arguments</w:t>
      </w:r>
    </w:p>
    <w:p>
      <w:pPr>
        <w:pStyle w:val="Compact"/>
        <w:numPr>
          <w:ilvl w:val="0"/>
          <w:numId w:val="2151"/>
        </w:numPr>
      </w:pPr>
      <w:r>
        <w:rPr>
          <w:rStyle w:val="VerbatimChar"/>
        </w:rPr>
        <w:t xml:space="preserve">fieldName</w:t>
      </w:r>
      <w:r>
        <w:t xml:space="preserve"> </w:t>
      </w:r>
      <w:r>
        <w:t xml:space="preserve">(String, Required): The name of the form input field.</w:t>
      </w:r>
    </w:p>
    <w:bookmarkEnd w:id="4660"/>
    <w:bookmarkStart w:id="4661" w:name="return-values-200"/>
    <w:p>
      <w:pPr>
        <w:pStyle w:val="Heading2"/>
      </w:pPr>
      <w:r>
        <w:t xml:space="preserve">Return Values</w:t>
      </w:r>
    </w:p>
    <w:p>
      <w:pPr>
        <w:pStyle w:val="FirstParagraph"/>
      </w:pPr>
      <w:r>
        <w:t xml:space="preserve">Returns a</w:t>
      </w:r>
      <w:r>
        <w:t xml:space="preserve"> </w:t>
      </w:r>
      <w:r>
        <w:rPr>
          <w:b/>
          <w:bCs/>
        </w:rPr>
        <w:t xml:space="preserve">String</w:t>
      </w:r>
      <w:r>
        <w:t xml:space="preserve"> </w:t>
      </w:r>
      <w:r>
        <w:t xml:space="preserve">value or</w:t>
      </w:r>
      <w:r>
        <w:t xml:space="preserve"> </w:t>
      </w:r>
      <w:r>
        <w:rPr>
          <w:b/>
          <w:bCs/>
        </w:rPr>
        <w:t xml:space="preserve">Empty</w:t>
      </w:r>
      <w:r>
        <w:t xml:space="preserve">.</w:t>
      </w:r>
    </w:p>
    <w:bookmarkEnd w:id="4661"/>
    <w:bookmarkStart w:id="4662" w:name="remarks-474"/>
    <w:p>
      <w:pPr>
        <w:pStyle w:val="Heading2"/>
      </w:pPr>
      <w:r>
        <w:t xml:space="preserve">Remarks</w:t>
      </w:r>
    </w:p>
    <w:p>
      <w:pPr>
        <w:pStyle w:val="Compact"/>
        <w:numPr>
          <w:ilvl w:val="0"/>
          <w:numId w:val="2152"/>
        </w:numPr>
      </w:pPr>
      <w:r>
        <w:t xml:space="preserve">See the</w:t>
      </w:r>
      <w:r>
        <w:t xml:space="preserve"> </w:t>
      </w:r>
      <w:r>
        <w:rPr>
          <w:rStyle w:val="VerbatimChar"/>
        </w:rPr>
        <w:t xml:space="preserve">Form</w:t>
      </w:r>
      <w:r>
        <w:t xml:space="preserve"> </w:t>
      </w:r>
      <w:r>
        <w:t xml:space="preserve">method documentation for detailed behavior.</w:t>
      </w:r>
    </w:p>
    <w:bookmarkEnd w:id="4662"/>
    <w:bookmarkStart w:id="4663" w:name="code-example-31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userId</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userId = uploader.FormValue</w:t>
      </w:r>
      <w:r>
        <w:rPr>
          <w:rStyle w:val="OtherTok"/>
        </w:rPr>
        <w:t xml:space="preserve">(</w:t>
      </w:r>
      <w:r>
        <w:rPr>
          <w:rStyle w:val="StringTok"/>
        </w:rPr>
        <w:t xml:space="preserve">"userId"</w:t>
      </w:r>
      <w:r>
        <w:rPr>
          <w:rStyle w:val="OtherTok"/>
        </w:rPr>
        <w:t xml:space="preserve">)</w:t>
      </w:r>
      <w:r>
        <w:br/>
      </w:r>
      <w:r>
        <w:rPr>
          <w:rStyle w:val="DataTypeTok"/>
        </w:rPr>
        <w:t xml:space="preserve">%&gt;</w:t>
      </w:r>
    </w:p>
    <w:bookmarkEnd w:id="4663"/>
    <w:bookmarkEnd w:id="4664"/>
    <w:bookmarkStart w:id="4671" w:name="getallfilesinfo-method"/>
    <w:p>
      <w:pPr>
        <w:pStyle w:val="Heading1"/>
      </w:pPr>
      <w:r>
        <w:t xml:space="preserve">GetAllFilesInfo Method</w:t>
      </w:r>
    </w:p>
    <w:bookmarkStart w:id="4665" w:name="overview-542"/>
    <w:p>
      <w:pPr>
        <w:pStyle w:val="Heading2"/>
      </w:pPr>
      <w:r>
        <w:t xml:space="preserve">Overview</w:t>
      </w:r>
    </w:p>
    <w:p>
      <w:pPr>
        <w:pStyle w:val="FirstParagraph"/>
      </w:pPr>
      <w:r>
        <w:t xml:space="preserve">Returns metadata for all files uploaded in the current multipart request.</w:t>
      </w:r>
    </w:p>
    <w:bookmarkEnd w:id="4665"/>
    <w:bookmarkStart w:id="4666" w:name="syntax-508"/>
    <w:p>
      <w:pPr>
        <w:pStyle w:val="Heading2"/>
      </w:pPr>
      <w:r>
        <w:t xml:space="preserve">Syntax</w:t>
      </w:r>
    </w:p>
    <w:p>
      <w:pPr>
        <w:pStyle w:val="SourceCode"/>
      </w:pPr>
      <w:r>
        <w:rPr>
          <w:rStyle w:val="NormalTok"/>
        </w:rPr>
        <w:t xml:space="preserve">infoArray = uploader.GetAllFilesInfo()</w:t>
      </w:r>
    </w:p>
    <w:bookmarkEnd w:id="4666"/>
    <w:bookmarkStart w:id="4667" w:name="parameters-and-arguments-143"/>
    <w:p>
      <w:pPr>
        <w:pStyle w:val="Heading2"/>
      </w:pPr>
      <w:r>
        <w:t xml:space="preserve">Parameters and Arguments</w:t>
      </w:r>
    </w:p>
    <w:p>
      <w:pPr>
        <w:pStyle w:val="FirstParagraph"/>
      </w:pPr>
      <w:r>
        <w:t xml:space="preserve">None.</w:t>
      </w:r>
    </w:p>
    <w:bookmarkEnd w:id="4667"/>
    <w:bookmarkStart w:id="4668" w:name="return-values-201"/>
    <w:p>
      <w:pPr>
        <w:pStyle w:val="Heading2"/>
      </w:pPr>
      <w:r>
        <w:t xml:space="preserve">Return Values</w:t>
      </w:r>
    </w:p>
    <w:p>
      <w:pPr>
        <w:pStyle w:val="FirstParagraph"/>
      </w:pPr>
      <w:r>
        <w:t xml:space="preserve">Returns an</w:t>
      </w:r>
      <w:r>
        <w:t xml:space="preserve"> </w:t>
      </w:r>
      <w:r>
        <w:rPr>
          <w:b/>
          <w:bCs/>
        </w:rPr>
        <w:t xml:space="preserve">Array of Dictionary</w:t>
      </w:r>
      <w:r>
        <w:t xml:space="preserve"> </w:t>
      </w:r>
      <w:r>
        <w:t xml:space="preserve">objects. Each Dictionary contains metadata for one file.</w:t>
      </w:r>
    </w:p>
    <w:bookmarkEnd w:id="4668"/>
    <w:bookmarkStart w:id="4669" w:name="remarks-475"/>
    <w:p>
      <w:pPr>
        <w:pStyle w:val="Heading2"/>
      </w:pPr>
      <w:r>
        <w:t xml:space="preserve">Remarks</w:t>
      </w:r>
    </w:p>
    <w:p>
      <w:pPr>
        <w:pStyle w:val="Compact"/>
        <w:numPr>
          <w:ilvl w:val="0"/>
          <w:numId w:val="2153"/>
        </w:numPr>
      </w:pPr>
      <w:r>
        <w:t xml:space="preserve">Metadata includes</w:t>
      </w:r>
      <w:r>
        <w:t xml:space="preserve"> </w:t>
      </w:r>
      <w:r>
        <w:rPr>
          <w:rStyle w:val="VerbatimChar"/>
        </w:rPr>
        <w:t xml:space="preserve">OriginalFileName</w:t>
      </w:r>
      <w:r>
        <w:t xml:space="preserve">,</w:t>
      </w:r>
      <w:r>
        <w:t xml:space="preserve"> </w:t>
      </w:r>
      <w:r>
        <w:rPr>
          <w:rStyle w:val="VerbatimChar"/>
        </w:rPr>
        <w:t xml:space="preserve">Size</w:t>
      </w:r>
      <w:r>
        <w:t xml:space="preserve">,</w:t>
      </w:r>
      <w:r>
        <w:t xml:space="preserve"> </w:t>
      </w:r>
      <w:r>
        <w:rPr>
          <w:rStyle w:val="VerbatimChar"/>
        </w:rPr>
        <w:t xml:space="preserve">MimeType</w:t>
      </w:r>
      <w:r>
        <w:t xml:space="preserve">,</w:t>
      </w:r>
      <w:r>
        <w:t xml:space="preserve"> </w:t>
      </w:r>
      <w:r>
        <w:rPr>
          <w:rStyle w:val="VerbatimChar"/>
        </w:rPr>
        <w:t xml:space="preserve">Extension</w:t>
      </w:r>
      <w:r>
        <w:t xml:space="preserve">,</w:t>
      </w:r>
      <w:r>
        <w:t xml:space="preserve"> </w:t>
      </w:r>
      <w:r>
        <w:rPr>
          <w:rStyle w:val="VerbatimChar"/>
        </w:rPr>
        <w:t xml:space="preserve">IsValid</w:t>
      </w:r>
      <w:r>
        <w:t xml:space="preserve">, and</w:t>
      </w:r>
      <w:r>
        <w:t xml:space="preserve"> </w:t>
      </w:r>
      <w:r>
        <w:rPr>
          <w:rStyle w:val="VerbatimChar"/>
        </w:rPr>
        <w:t xml:space="preserve">ExceedsMaxSize</w:t>
      </w:r>
      <w:r>
        <w:t xml:space="preserve">.</w:t>
      </w:r>
    </w:p>
    <w:p>
      <w:pPr>
        <w:pStyle w:val="Compact"/>
        <w:numPr>
          <w:ilvl w:val="0"/>
          <w:numId w:val="2153"/>
        </w:numPr>
      </w:pPr>
      <w:r>
        <w:t xml:space="preserve">This method does not save files to disk; it only provides information about the request payload.</w:t>
      </w:r>
    </w:p>
    <w:bookmarkEnd w:id="4669"/>
    <w:bookmarkStart w:id="4670" w:name="code-example-31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allFiles</w:t>
      </w:r>
      <w:r>
        <w:rPr>
          <w:rStyle w:val="OtherTok"/>
        </w:rPr>
        <w:t xml:space="preserve">,</w:t>
      </w:r>
      <w:r>
        <w:rPr>
          <w:rStyle w:val="NormalTok"/>
        </w:rPr>
        <w:t xml:space="preserve"> fileInfo</w:t>
      </w:r>
      <w:r>
        <w:rPr>
          <w:rStyle w:val="OtherTok"/>
        </w:rPr>
        <w:t xml:space="preserve">,</w:t>
      </w:r>
      <w:r>
        <w:rPr>
          <w:rStyle w:val="NormalTok"/>
        </w:rPr>
        <w:t xml:space="preserve"> i</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allFiles = uploader.GetAllFilesInfo</w:t>
      </w:r>
      <w:r>
        <w:rPr>
          <w:rStyle w:val="OtherTok"/>
        </w:rPr>
        <w:t xml:space="preserve">()</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allFiles</w:t>
      </w:r>
      <w:r>
        <w:rPr>
          <w:rStyle w:val="OtherTok"/>
        </w:rPr>
        <w:t xml:space="preserve">)</w:t>
      </w:r>
      <w:r>
        <w:br/>
      </w:r>
      <w:r>
        <w:rPr>
          <w:rStyle w:val="NormalTok"/>
        </w:rPr>
        <w:t xml:space="preserve">    </w:t>
      </w:r>
      <w:r>
        <w:rPr>
          <w:rStyle w:val="KeywordTok"/>
        </w:rPr>
        <w:t xml:space="preserve">Set</w:t>
      </w:r>
      <w:r>
        <w:rPr>
          <w:rStyle w:val="NormalTok"/>
        </w:rPr>
        <w:t xml:space="preserve"> fileInfo = allFiles</w:t>
      </w:r>
      <w:r>
        <w:rPr>
          <w:rStyle w:val="OtherTok"/>
        </w:rPr>
        <w:t xml:space="preserve">(</w:t>
      </w:r>
      <w:r>
        <w:rPr>
          <w:rStyle w:val="NormalTok"/>
        </w:rPr>
        <w:t xml:space="preserve">i</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w:t>
      </w:r>
      <w:r>
        <w:rPr>
          <w:rStyle w:val="NormalTok"/>
        </w:rPr>
        <w:t xml:space="preserve"> </w:t>
      </w:r>
      <w:r>
        <w:rPr>
          <w:rStyle w:val="KeywordTok"/>
        </w:rPr>
        <w:t xml:space="preserve">&amp;</w:t>
      </w:r>
      <w:r>
        <w:rPr>
          <w:rStyle w:val="NormalTok"/>
        </w:rPr>
        <w:t xml:space="preserve"> fileInfo</w:t>
      </w:r>
      <w:r>
        <w:rPr>
          <w:rStyle w:val="OtherTok"/>
        </w:rPr>
        <w:t xml:space="preserve">(</w:t>
      </w:r>
      <w:r>
        <w:rPr>
          <w:rStyle w:val="StringTok"/>
        </w:rPr>
        <w:t xml:space="preserve">"OriginalFileName"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fileInfo</w:t>
      </w:r>
      <w:r>
        <w:rPr>
          <w:rStyle w:val="OtherTok"/>
        </w:rPr>
        <w:t xml:space="preserve">(</w:t>
      </w:r>
      <w:r>
        <w:rPr>
          <w:rStyle w:val="StringTok"/>
        </w:rPr>
        <w:t xml:space="preserve">"Size"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bytes)&lt;br&gt;"</w:t>
      </w:r>
      <w:r>
        <w:br/>
      </w:r>
      <w:r>
        <w:rPr>
          <w:rStyle w:val="ControlFlowTok"/>
        </w:rPr>
        <w:t xml:space="preserve">Next</w:t>
      </w:r>
      <w:r>
        <w:br/>
      </w:r>
      <w:r>
        <w:rPr>
          <w:rStyle w:val="DataTypeTok"/>
        </w:rPr>
        <w:t xml:space="preserve">%&gt;</w:t>
      </w:r>
    </w:p>
    <w:bookmarkEnd w:id="4670"/>
    <w:bookmarkEnd w:id="4671"/>
    <w:bookmarkStart w:id="4678" w:name="getfileinfo-method"/>
    <w:p>
      <w:pPr>
        <w:pStyle w:val="Heading1"/>
      </w:pPr>
      <w:r>
        <w:t xml:space="preserve">GetFileInfo Method</w:t>
      </w:r>
    </w:p>
    <w:bookmarkStart w:id="4672" w:name="overview-543"/>
    <w:p>
      <w:pPr>
        <w:pStyle w:val="Heading2"/>
      </w:pPr>
      <w:r>
        <w:t xml:space="preserve">Overview</w:t>
      </w:r>
    </w:p>
    <w:p>
      <w:pPr>
        <w:pStyle w:val="FirstParagraph"/>
      </w:pPr>
      <w:r>
        <w:t xml:space="preserve">Retrieves metadata for a specific uploaded file field.</w:t>
      </w:r>
    </w:p>
    <w:bookmarkEnd w:id="4672"/>
    <w:bookmarkStart w:id="4673" w:name="syntax-509"/>
    <w:p>
      <w:pPr>
        <w:pStyle w:val="Heading2"/>
      </w:pPr>
      <w:r>
        <w:t xml:space="preserve">Syntax</w:t>
      </w:r>
    </w:p>
    <w:p>
      <w:pPr>
        <w:pStyle w:val="SourceCode"/>
      </w:pPr>
      <w:r>
        <w:rPr>
          <w:rStyle w:val="NormalTok"/>
        </w:rPr>
        <w:t xml:space="preserve">fileInfo = uploader.GetFileInfo(fieldName)</w:t>
      </w:r>
    </w:p>
    <w:bookmarkEnd w:id="4673"/>
    <w:bookmarkStart w:id="4674" w:name="parameters-and-arguments-144"/>
    <w:p>
      <w:pPr>
        <w:pStyle w:val="Heading2"/>
      </w:pPr>
      <w:r>
        <w:t xml:space="preserve">Parameters and Arguments</w:t>
      </w:r>
    </w:p>
    <w:p>
      <w:pPr>
        <w:pStyle w:val="Compact"/>
        <w:numPr>
          <w:ilvl w:val="0"/>
          <w:numId w:val="2154"/>
        </w:numPr>
      </w:pPr>
      <w:r>
        <w:rPr>
          <w:rStyle w:val="VerbatimChar"/>
        </w:rPr>
        <w:t xml:space="preserve">fieldName</w:t>
      </w:r>
      <w:r>
        <w:t xml:space="preserve"> </w:t>
      </w:r>
      <w:r>
        <w:t xml:space="preserve">(String, Required): The name of the file input field.</w:t>
      </w:r>
    </w:p>
    <w:bookmarkEnd w:id="4674"/>
    <w:bookmarkStart w:id="4675" w:name="return-values-202"/>
    <w:p>
      <w:pPr>
        <w:pStyle w:val="Heading2"/>
      </w:pPr>
      <w:r>
        <w:t xml:space="preserve">Return Values</w:t>
      </w:r>
    </w:p>
    <w:p>
      <w:pPr>
        <w:pStyle w:val="FirstParagraph"/>
      </w:pPr>
      <w:r>
        <w:t xml:space="preserve">Returns a</w:t>
      </w:r>
      <w:r>
        <w:t xml:space="preserve"> </w:t>
      </w:r>
      <w:r>
        <w:rPr>
          <w:b/>
          <w:bCs/>
        </w:rPr>
        <w:t xml:space="preserve">Dictionary</w:t>
      </w:r>
      <w:r>
        <w:t xml:space="preserve"> </w:t>
      </w:r>
      <w:r>
        <w:t xml:space="preserve">object containing file metadata, or</w:t>
      </w:r>
      <w:r>
        <w:t xml:space="preserve"> </w:t>
      </w:r>
      <w:r>
        <w:rPr>
          <w:b/>
          <w:bCs/>
        </w:rPr>
        <w:t xml:space="preserve">Empty</w:t>
      </w:r>
      <w:r>
        <w:t xml:space="preserve"> </w:t>
      </w:r>
      <w:r>
        <w:t xml:space="preserve">if the field was not found.</w:t>
      </w:r>
    </w:p>
    <w:bookmarkEnd w:id="4675"/>
    <w:bookmarkStart w:id="4676" w:name="remarks-476"/>
    <w:p>
      <w:pPr>
        <w:pStyle w:val="Heading2"/>
      </w:pPr>
      <w:r>
        <w:t xml:space="preserve">Remarks</w:t>
      </w:r>
    </w:p>
    <w:p>
      <w:pPr>
        <w:pStyle w:val="Compact"/>
        <w:numPr>
          <w:ilvl w:val="0"/>
          <w:numId w:val="2155"/>
        </w:numPr>
      </w:pPr>
      <w:r>
        <w:t xml:space="preserve">The returned Dictionary includes keys:</w:t>
      </w:r>
      <w:r>
        <w:t xml:space="preserve"> </w:t>
      </w:r>
      <w:r>
        <w:rPr>
          <w:rStyle w:val="VerbatimChar"/>
        </w:rPr>
        <w:t xml:space="preserve">OriginalFileName</w:t>
      </w:r>
      <w:r>
        <w:t xml:space="preserve">,</w:t>
      </w:r>
      <w:r>
        <w:t xml:space="preserve"> </w:t>
      </w:r>
      <w:r>
        <w:rPr>
          <w:rStyle w:val="VerbatimChar"/>
        </w:rPr>
        <w:t xml:space="preserve">Size</w:t>
      </w:r>
      <w:r>
        <w:t xml:space="preserve">,</w:t>
      </w:r>
      <w:r>
        <w:t xml:space="preserve"> </w:t>
      </w:r>
      <w:r>
        <w:rPr>
          <w:rStyle w:val="VerbatimChar"/>
        </w:rPr>
        <w:t xml:space="preserve">MimeType</w:t>
      </w:r>
      <w:r>
        <w:t xml:space="preserve">,</w:t>
      </w:r>
      <w:r>
        <w:t xml:space="preserve"> </w:t>
      </w:r>
      <w:r>
        <w:rPr>
          <w:rStyle w:val="VerbatimChar"/>
        </w:rPr>
        <w:t xml:space="preserve">Extension</w:t>
      </w:r>
      <w:r>
        <w:t xml:space="preserve">,</w:t>
      </w:r>
      <w:r>
        <w:t xml:space="preserve"> </w:t>
      </w:r>
      <w:r>
        <w:rPr>
          <w:rStyle w:val="VerbatimChar"/>
        </w:rPr>
        <w:t xml:space="preserve">IsValid</w:t>
      </w:r>
      <w:r>
        <w:t xml:space="preserve">, and</w:t>
      </w:r>
      <w:r>
        <w:t xml:space="preserve"> </w:t>
      </w:r>
      <w:r>
        <w:rPr>
          <w:rStyle w:val="VerbatimChar"/>
        </w:rPr>
        <w:t xml:space="preserve">ExceedsMaxSize</w:t>
      </w:r>
      <w:r>
        <w:t xml:space="preserve">.</w:t>
      </w:r>
    </w:p>
    <w:p>
      <w:pPr>
        <w:pStyle w:val="Compact"/>
        <w:numPr>
          <w:ilvl w:val="0"/>
          <w:numId w:val="2155"/>
        </w:numPr>
      </w:pPr>
      <w:r>
        <w:t xml:space="preserve">Like</w:t>
      </w:r>
      <w:r>
        <w:t xml:space="preserve"> </w:t>
      </w:r>
      <w:r>
        <w:rPr>
          <w:rStyle w:val="VerbatimChar"/>
        </w:rPr>
        <w:t xml:space="preserve">GetAllFilesInfo</w:t>
      </w:r>
      <w:r>
        <w:t xml:space="preserve">, this does not perform any disk operations.</w:t>
      </w:r>
    </w:p>
    <w:bookmarkEnd w:id="4676"/>
    <w:bookmarkStart w:id="4677" w:name="code-example-31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info</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KeywordTok"/>
        </w:rPr>
        <w:t xml:space="preserve">Set</w:t>
      </w:r>
      <w:r>
        <w:rPr>
          <w:rStyle w:val="NormalTok"/>
        </w:rPr>
        <w:t xml:space="preserve"> info = uploader.GetFileInfo</w:t>
      </w:r>
      <w:r>
        <w:rPr>
          <w:rStyle w:val="OtherTok"/>
        </w:rPr>
        <w:t xml:space="preserve">(</w:t>
      </w:r>
      <w:r>
        <w:rPr>
          <w:rStyle w:val="StringTok"/>
        </w:rPr>
        <w:t xml:space="preserve">"userAvatar"</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info Is </w:t>
      </w:r>
      <w:r>
        <w:rPr>
          <w:rStyle w:val="KeywordTok"/>
        </w:rPr>
        <w:t xml:space="preserve">Nothing</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"Client Filename: "</w:t>
      </w:r>
      <w:r>
        <w:rPr>
          <w:rStyle w:val="NormalTok"/>
        </w:rPr>
        <w:t xml:space="preserve"> </w:t>
      </w:r>
      <w:r>
        <w:rPr>
          <w:rStyle w:val="KeywordTok"/>
        </w:rPr>
        <w:t xml:space="preserve">&amp;</w:t>
      </w:r>
      <w:r>
        <w:rPr>
          <w:rStyle w:val="NormalTok"/>
        </w:rPr>
        <w:t xml:space="preserve"> info</w:t>
      </w:r>
      <w:r>
        <w:rPr>
          <w:rStyle w:val="OtherTok"/>
        </w:rPr>
        <w:t xml:space="preserve">(</w:t>
      </w:r>
      <w:r>
        <w:rPr>
          <w:rStyle w:val="StringTok"/>
        </w:rPr>
        <w:t xml:space="preserve">"OriginalFileName"</w:t>
      </w:r>
      <w:r>
        <w:rPr>
          <w:rStyle w:val="OtherTok"/>
        </w:rPr>
        <w:t xml:space="preserve">)</w:t>
      </w:r>
      <w:r>
        <w:br/>
      </w:r>
      <w:r>
        <w:rPr>
          <w:rStyle w:val="ControlFlowTok"/>
        </w:rPr>
        <w:t xml:space="preserve">End If</w:t>
      </w:r>
      <w:r>
        <w:br/>
      </w:r>
      <w:r>
        <w:rPr>
          <w:rStyle w:val="DataTypeTok"/>
        </w:rPr>
        <w:t xml:space="preserve">%&gt;</w:t>
      </w:r>
    </w:p>
    <w:bookmarkEnd w:id="4677"/>
    <w:bookmarkEnd w:id="4678"/>
    <w:bookmarkStart w:id="4685" w:name="isvalidextension-method"/>
    <w:p>
      <w:pPr>
        <w:pStyle w:val="Heading1"/>
      </w:pPr>
      <w:r>
        <w:t xml:space="preserve">IsValidExtension Method</w:t>
      </w:r>
    </w:p>
    <w:bookmarkStart w:id="4679" w:name="overview-544"/>
    <w:p>
      <w:pPr>
        <w:pStyle w:val="Heading2"/>
      </w:pPr>
      <w:r>
        <w:t xml:space="preserve">Overview</w:t>
      </w:r>
    </w:p>
    <w:p>
      <w:pPr>
        <w:pStyle w:val="FirstParagraph"/>
      </w:pPr>
      <w:r>
        <w:t xml:space="preserve">Checks if a given file extension is allowed based on the current configuration of the uploader.</w:t>
      </w:r>
    </w:p>
    <w:bookmarkEnd w:id="4679"/>
    <w:bookmarkStart w:id="4680" w:name="syntax-510"/>
    <w:p>
      <w:pPr>
        <w:pStyle w:val="Heading2"/>
      </w:pPr>
      <w:r>
        <w:t xml:space="preserve">Syntax</w:t>
      </w:r>
    </w:p>
    <w:p>
      <w:pPr>
        <w:pStyle w:val="SourceCode"/>
      </w:pPr>
      <w:r>
        <w:rPr>
          <w:rStyle w:val="NormalTok"/>
        </w:rPr>
        <w:t xml:space="preserve">isValid = uploader.IsValidExtension(extension)</w:t>
      </w:r>
    </w:p>
    <w:bookmarkEnd w:id="4680"/>
    <w:bookmarkStart w:id="4681" w:name="parameters-and-arguments-145"/>
    <w:p>
      <w:pPr>
        <w:pStyle w:val="Heading2"/>
      </w:pPr>
      <w:r>
        <w:t xml:space="preserve">Parameters and Arguments</w:t>
      </w:r>
    </w:p>
    <w:p>
      <w:pPr>
        <w:pStyle w:val="Compact"/>
        <w:numPr>
          <w:ilvl w:val="0"/>
          <w:numId w:val="2156"/>
        </w:numPr>
      </w:pPr>
      <w:r>
        <w:rPr>
          <w:rStyle w:val="VerbatimChar"/>
        </w:rPr>
        <w:t xml:space="preserve">extension</w:t>
      </w:r>
      <w:r>
        <w:t xml:space="preserve"> </w:t>
      </w:r>
      <w:r>
        <w:t xml:space="preserve">(String, Required): The extension to validate (e.g.,</w:t>
      </w:r>
      <w:r>
        <w:t xml:space="preserve"> </w:t>
      </w:r>
      <w:r>
        <w:t xml:space="preserve">“png”</w:t>
      </w:r>
      <w:r>
        <w:t xml:space="preserve">).</w:t>
      </w:r>
    </w:p>
    <w:bookmarkEnd w:id="4681"/>
    <w:bookmarkStart w:id="4682" w:name="return-values-203"/>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indicating if the extension is allowed (</w:t>
      </w:r>
      <w:r>
        <w:rPr>
          <w:b/>
          <w:bCs/>
        </w:rPr>
        <w:t xml:space="preserve">True</w:t>
      </w:r>
      <w:r>
        <w:t xml:space="preserve">) or blocked/not allowed (</w:t>
      </w:r>
      <w:r>
        <w:rPr>
          <w:b/>
          <w:bCs/>
        </w:rPr>
        <w:t xml:space="preserve">False</w:t>
      </w:r>
      <w:r>
        <w:t xml:space="preserve">).</w:t>
      </w:r>
    </w:p>
    <w:bookmarkEnd w:id="4682"/>
    <w:bookmarkStart w:id="4683" w:name="remarks-477"/>
    <w:p>
      <w:pPr>
        <w:pStyle w:val="Heading2"/>
      </w:pPr>
      <w:r>
        <w:t xml:space="preserve">Remarks</w:t>
      </w:r>
    </w:p>
    <w:p>
      <w:pPr>
        <w:pStyle w:val="Compact"/>
        <w:numPr>
          <w:ilvl w:val="0"/>
          <w:numId w:val="2157"/>
        </w:numPr>
      </w:pPr>
      <w:r>
        <w:t xml:space="preserve">The validation logic considers both</w:t>
      </w:r>
      <w:r>
        <w:t xml:space="preserve"> </w:t>
      </w:r>
      <w:r>
        <w:rPr>
          <w:rStyle w:val="VerbatimChar"/>
        </w:rPr>
        <w:t xml:space="preserve">BlockedExtensions</w:t>
      </w:r>
      <w:r>
        <w:t xml:space="preserve"> </w:t>
      </w:r>
      <w:r>
        <w:t xml:space="preserve">and</w:t>
      </w:r>
      <w:r>
        <w:t xml:space="preserve"> </w:t>
      </w:r>
      <w:r>
        <w:rPr>
          <w:rStyle w:val="VerbatimChar"/>
        </w:rPr>
        <w:t xml:space="preserve">AllowedExtensions</w:t>
      </w:r>
      <w:r>
        <w:t xml:space="preserve"> </w:t>
      </w:r>
      <w:r>
        <w:t xml:space="preserve">(if</w:t>
      </w:r>
      <w:r>
        <w:t xml:space="preserve"> </w:t>
      </w:r>
      <w:r>
        <w:rPr>
          <w:rStyle w:val="VerbatimChar"/>
        </w:rPr>
        <w:t xml:space="preserve">SetUseAllowedOnly</w:t>
      </w:r>
      <w:r>
        <w:t xml:space="preserve"> </w:t>
      </w:r>
      <w:r>
        <w:t xml:space="preserve">is enabled).</w:t>
      </w:r>
    </w:p>
    <w:p>
      <w:pPr>
        <w:pStyle w:val="Compact"/>
        <w:numPr>
          <w:ilvl w:val="0"/>
          <w:numId w:val="2157"/>
        </w:numPr>
      </w:pPr>
      <w:r>
        <w:t xml:space="preserve">Leading dots are optional and handled automatically.</w:t>
      </w:r>
    </w:p>
    <w:bookmarkEnd w:id="4683"/>
    <w:bookmarkStart w:id="4684" w:name="code-example-31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uploader.BlockExtension </w:t>
      </w:r>
      <w:r>
        <w:rPr>
          <w:rStyle w:val="StringTok"/>
        </w:rPr>
        <w:t xml:space="preserve">"exe"</w:t>
      </w:r>
      <w:r>
        <w:br/>
      </w:r>
      <w:r>
        <w:br/>
      </w:r>
      <w:r>
        <w:rPr>
          <w:rStyle w:val="ControlFlowTok"/>
        </w:rPr>
        <w:t xml:space="preserve">If</w:t>
      </w:r>
      <w:r>
        <w:rPr>
          <w:rStyle w:val="NormalTok"/>
        </w:rPr>
        <w:t xml:space="preserve"> uploader.IsValidExtension</w:t>
      </w:r>
      <w:r>
        <w:rPr>
          <w:rStyle w:val="OtherTok"/>
        </w:rPr>
        <w:t xml:space="preserve">(</w:t>
      </w:r>
      <w:r>
        <w:rPr>
          <w:rStyle w:val="StringTok"/>
        </w:rPr>
        <w:t xml:space="preserve">"jpg"</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"JPG is allowed."</w:t>
      </w:r>
      <w:r>
        <w:br/>
      </w:r>
      <w:r>
        <w:rPr>
          <w:rStyle w:val="ControlFlowTok"/>
        </w:rPr>
        <w:t xml:space="preserve">End If</w:t>
      </w:r>
      <w:r>
        <w:br/>
      </w:r>
      <w:r>
        <w:br/>
      </w:r>
      <w:r>
        <w:rPr>
          <w:rStyle w:val="ControlFlowTok"/>
        </w:rPr>
        <w:t xml:space="preserve">If</w:t>
      </w:r>
      <w:r>
        <w:rPr>
          <w:rStyle w:val="NormalTok"/>
        </w:rPr>
        <w:t xml:space="preserve"> </w:t>
      </w:r>
      <w:r>
        <w:rPr>
          <w:rStyle w:val="KeywordTok"/>
        </w:rPr>
        <w:t xml:space="preserve">Not</w:t>
      </w:r>
      <w:r>
        <w:rPr>
          <w:rStyle w:val="NormalTok"/>
        </w:rPr>
        <w:t xml:space="preserve"> uploader.IsValidExtension</w:t>
      </w:r>
      <w:r>
        <w:rPr>
          <w:rStyle w:val="OtherTok"/>
        </w:rPr>
        <w:t xml:space="preserve">(</w:t>
      </w:r>
      <w:r>
        <w:rPr>
          <w:rStyle w:val="StringTok"/>
        </w:rPr>
        <w:t xml:space="preserve">"exe"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"EXE is blocked."</w:t>
      </w:r>
      <w:r>
        <w:br/>
      </w:r>
      <w:r>
        <w:rPr>
          <w:rStyle w:val="ControlFlowTok"/>
        </w:rPr>
        <w:t xml:space="preserve">End If</w:t>
      </w:r>
      <w:r>
        <w:br/>
      </w:r>
      <w:r>
        <w:rPr>
          <w:rStyle w:val="DataTypeTok"/>
        </w:rPr>
        <w:t xml:space="preserve">%&gt;</w:t>
      </w:r>
    </w:p>
    <w:bookmarkEnd w:id="4684"/>
    <w:bookmarkEnd w:id="4685"/>
    <w:bookmarkStart w:id="4692" w:name="process-method-1"/>
    <w:p>
      <w:pPr>
        <w:pStyle w:val="Heading1"/>
      </w:pPr>
      <w:r>
        <w:t xml:space="preserve">Process Method</w:t>
      </w:r>
    </w:p>
    <w:bookmarkStart w:id="4686" w:name="overview-545"/>
    <w:p>
      <w:pPr>
        <w:pStyle w:val="Heading2"/>
      </w:pPr>
      <w:r>
        <w:t xml:space="preserve">Overview</w:t>
      </w:r>
    </w:p>
    <w:p>
      <w:pPr>
        <w:pStyle w:val="FirstParagraph"/>
      </w:pPr>
      <w:r>
        <w:t xml:space="preserve">Processes and saves a single uploaded file to a specified directory. Also supports the</w:t>
      </w:r>
      <w:r>
        <w:t xml:space="preserve"> </w:t>
      </w:r>
      <w:r>
        <w:rPr>
          <w:rStyle w:val="VerbatimChar"/>
        </w:rPr>
        <w:t xml:space="preserve">Save</w:t>
      </w:r>
      <w:r>
        <w:t xml:space="preserve"> </w:t>
      </w:r>
      <w:r>
        <w:t xml:space="preserve">alias.</w:t>
      </w:r>
    </w:p>
    <w:bookmarkEnd w:id="4686"/>
    <w:bookmarkStart w:id="4687" w:name="syntax-511"/>
    <w:p>
      <w:pPr>
        <w:pStyle w:val="Heading2"/>
      </w:pPr>
      <w:r>
        <w:t xml:space="preserve">Syntax</w:t>
      </w:r>
    </w:p>
    <w:p>
      <w:pPr>
        <w:pStyle w:val="SourceCode"/>
      </w:pPr>
      <w:r>
        <w:rPr>
          <w:rStyle w:val="NormalTok"/>
        </w:rPr>
        <w:t xml:space="preserve">Set result = uploader.Process(fieldName, targetDir, newFileName)</w:t>
      </w:r>
    </w:p>
    <w:bookmarkEnd w:id="4687"/>
    <w:bookmarkStart w:id="4688" w:name="parameters-and-arguments-146"/>
    <w:p>
      <w:pPr>
        <w:pStyle w:val="Heading2"/>
      </w:pPr>
      <w:r>
        <w:t xml:space="preserve">Parameters and Arguments</w:t>
      </w:r>
    </w:p>
    <w:p>
      <w:pPr>
        <w:pStyle w:val="Compact"/>
        <w:numPr>
          <w:ilvl w:val="0"/>
          <w:numId w:val="2158"/>
        </w:numPr>
      </w:pPr>
      <w:r>
        <w:rPr>
          <w:rStyle w:val="VerbatimChar"/>
        </w:rPr>
        <w:t xml:space="preserve">fieldName</w:t>
      </w:r>
      <w:r>
        <w:t xml:space="preserve"> </w:t>
      </w:r>
      <w:r>
        <w:t xml:space="preserve">(String, Required): The name of the file input field.</w:t>
      </w:r>
    </w:p>
    <w:p>
      <w:pPr>
        <w:pStyle w:val="Compact"/>
        <w:numPr>
          <w:ilvl w:val="0"/>
          <w:numId w:val="2158"/>
        </w:numPr>
      </w:pPr>
      <w:r>
        <w:rPr>
          <w:rStyle w:val="VerbatimChar"/>
        </w:rPr>
        <w:t xml:space="preserve">targetDir</w:t>
      </w:r>
      <w:r>
        <w:t xml:space="preserve"> </w:t>
      </w:r>
      <w:r>
        <w:t xml:space="preserve">(String, Optional): The destination directory. Defaults to the current directory (</w:t>
      </w:r>
      <w:r>
        <w:t xml:space="preserve">“./”</w:t>
      </w:r>
      <w:r>
        <w:t xml:space="preserve">).</w:t>
      </w:r>
    </w:p>
    <w:p>
      <w:pPr>
        <w:pStyle w:val="Compact"/>
        <w:numPr>
          <w:ilvl w:val="0"/>
          <w:numId w:val="2158"/>
        </w:numPr>
      </w:pPr>
      <w:r>
        <w:rPr>
          <w:rStyle w:val="VerbatimChar"/>
        </w:rPr>
        <w:t xml:space="preserve">newFileName</w:t>
      </w:r>
      <w:r>
        <w:t xml:space="preserve"> </w:t>
      </w:r>
      <w:r>
        <w:t xml:space="preserve">(String, Optional): An optional name to rename the file. If omitted, a unique name is generated or the original name is used (based on</w:t>
      </w:r>
      <w:r>
        <w:t xml:space="preserve"> </w:t>
      </w:r>
      <w:r>
        <w:rPr>
          <w:rStyle w:val="VerbatimChar"/>
        </w:rPr>
        <w:t xml:space="preserve">PreserveOriginalName</w:t>
      </w:r>
      <w:r>
        <w:t xml:space="preserve">).</w:t>
      </w:r>
    </w:p>
    <w:bookmarkEnd w:id="4688"/>
    <w:bookmarkStart w:id="4689" w:name="return-values-204"/>
    <w:p>
      <w:pPr>
        <w:pStyle w:val="Heading2"/>
      </w:pPr>
      <w:r>
        <w:t xml:space="preserve">Return Values</w:t>
      </w:r>
    </w:p>
    <w:p>
      <w:pPr>
        <w:pStyle w:val="FirstParagraph"/>
      </w:pPr>
      <w:r>
        <w:t xml:space="preserve">Returns a</w:t>
      </w:r>
      <w:r>
        <w:t xml:space="preserve"> </w:t>
      </w:r>
      <w:r>
        <w:rPr>
          <w:b/>
          <w:bCs/>
        </w:rPr>
        <w:t xml:space="preserve">Dictionary</w:t>
      </w:r>
      <w:r>
        <w:t xml:space="preserve"> </w:t>
      </w:r>
      <w:r>
        <w:t xml:space="preserve">object containing the operation result.</w:t>
      </w:r>
      <w:r>
        <w:t xml:space="preserve"> </w:t>
      </w:r>
      <w:r>
        <w:t xml:space="preserve">-</w:t>
      </w:r>
      <w:r>
        <w:t xml:space="preserve"> </w:t>
      </w:r>
      <w:r>
        <w:rPr>
          <w:rStyle w:val="VerbatimChar"/>
        </w:rPr>
        <w:t xml:space="preserve">IsSuccess</w:t>
      </w:r>
      <w:r>
        <w:t xml:space="preserve"> </w:t>
      </w:r>
      <w:r>
        <w:t xml:space="preserve">(Boolean):</w:t>
      </w:r>
      <w:r>
        <w:t xml:space="preserve"> </w:t>
      </w:r>
      <w:r>
        <w:rPr>
          <w:b/>
          <w:bCs/>
        </w:rPr>
        <w:t xml:space="preserve">True</w:t>
      </w:r>
      <w:r>
        <w:t xml:space="preserve"> </w:t>
      </w:r>
      <w:r>
        <w:t xml:space="preserve">if saved successfully.</w:t>
      </w:r>
      <w:r>
        <w:t xml:space="preserve"> </w:t>
      </w:r>
      <w:r>
        <w:t xml:space="preserve">-</w:t>
      </w:r>
      <w:r>
        <w:t xml:space="preserve"> </w:t>
      </w:r>
      <w:r>
        <w:rPr>
          <w:rStyle w:val="VerbatimChar"/>
        </w:rPr>
        <w:t xml:space="preserve">ErrorMessage</w:t>
      </w:r>
      <w:r>
        <w:t xml:space="preserve"> </w:t>
      </w:r>
      <w:r>
        <w:t xml:space="preserve">(String): Error description if</w:t>
      </w:r>
      <w:r>
        <w:t xml:space="preserve"> </w:t>
      </w:r>
      <w:r>
        <w:rPr>
          <w:rStyle w:val="VerbatimChar"/>
        </w:rPr>
        <w:t xml:space="preserve">IsSuccess</w:t>
      </w:r>
      <w:r>
        <w:t xml:space="preserve"> </w:t>
      </w:r>
      <w:r>
        <w:t xml:space="preserve">is</w:t>
      </w:r>
      <w:r>
        <w:t xml:space="preserve"> </w:t>
      </w:r>
      <w:r>
        <w:rPr>
          <w:b/>
          <w:bCs/>
        </w:rPr>
        <w:t xml:space="preserve">False</w:t>
      </w:r>
      <w:r>
        <w:t xml:space="preserve">.</w:t>
      </w:r>
      <w:r>
        <w:t xml:space="preserve"> </w:t>
      </w:r>
      <w:r>
        <w:t xml:space="preserve">-</w:t>
      </w:r>
      <w:r>
        <w:t xml:space="preserve"> </w:t>
      </w:r>
      <w:r>
        <w:rPr>
          <w:rStyle w:val="VerbatimChar"/>
        </w:rPr>
        <w:t xml:space="preserve">FinalPath</w:t>
      </w:r>
      <w:r>
        <w:t xml:space="preserve"> </w:t>
      </w:r>
      <w:r>
        <w:t xml:space="preserve">(String): Absolute path on the server.</w:t>
      </w:r>
      <w:r>
        <w:t xml:space="preserve"> </w:t>
      </w:r>
      <w:r>
        <w:t xml:space="preserve">-</w:t>
      </w:r>
      <w:r>
        <w:t xml:space="preserve"> </w:t>
      </w:r>
      <w:r>
        <w:rPr>
          <w:rStyle w:val="VerbatimChar"/>
        </w:rPr>
        <w:t xml:space="preserve">RelativePath</w:t>
      </w:r>
      <w:r>
        <w:t xml:space="preserve"> </w:t>
      </w:r>
      <w:r>
        <w:t xml:space="preserve">(String): Relative path from the web root.</w:t>
      </w:r>
      <w:r>
        <w:t xml:space="preserve"> </w:t>
      </w:r>
      <w:r>
        <w:t xml:space="preserve">-</w:t>
      </w:r>
      <w:r>
        <w:t xml:space="preserve"> </w:t>
      </w:r>
      <w:r>
        <w:rPr>
          <w:rStyle w:val="VerbatimChar"/>
        </w:rPr>
        <w:t xml:space="preserve">OriginalFileName</w:t>
      </w:r>
      <w:r>
        <w:t xml:space="preserve">,</w:t>
      </w:r>
      <w:r>
        <w:t xml:space="preserve"> </w:t>
      </w:r>
      <w:r>
        <w:rPr>
          <w:rStyle w:val="VerbatimChar"/>
        </w:rPr>
        <w:t xml:space="preserve">NewFileName</w:t>
      </w:r>
      <w:r>
        <w:t xml:space="preserve">,</w:t>
      </w:r>
      <w:r>
        <w:t xml:space="preserve"> </w:t>
      </w:r>
      <w:r>
        <w:rPr>
          <w:rStyle w:val="VerbatimChar"/>
        </w:rPr>
        <w:t xml:space="preserve">Size</w:t>
      </w:r>
      <w:r>
        <w:t xml:space="preserve">,</w:t>
      </w:r>
      <w:r>
        <w:t xml:space="preserve"> </w:t>
      </w:r>
      <w:r>
        <w:rPr>
          <w:rStyle w:val="VerbatimChar"/>
        </w:rPr>
        <w:t xml:space="preserve">MimeType</w:t>
      </w:r>
      <w:r>
        <w:t xml:space="preserve">,</w:t>
      </w:r>
      <w:r>
        <w:t xml:space="preserve"> </w:t>
      </w:r>
      <w:r>
        <w:rPr>
          <w:rStyle w:val="VerbatimChar"/>
        </w:rPr>
        <w:t xml:space="preserve">Extension</w:t>
      </w:r>
      <w:r>
        <w:t xml:space="preserve">.</w:t>
      </w:r>
    </w:p>
    <w:bookmarkEnd w:id="4689"/>
    <w:bookmarkStart w:id="4690" w:name="remarks-478"/>
    <w:p>
      <w:pPr>
        <w:pStyle w:val="Heading2"/>
      </w:pPr>
      <w:r>
        <w:t xml:space="preserve">Remarks</w:t>
      </w:r>
    </w:p>
    <w:p>
      <w:pPr>
        <w:pStyle w:val="Compact"/>
        <w:numPr>
          <w:ilvl w:val="0"/>
          <w:numId w:val="2159"/>
        </w:numPr>
      </w:pPr>
      <w:r>
        <w:t xml:space="preserve">The</w:t>
      </w:r>
      <w:r>
        <w:t xml:space="preserve"> </w:t>
      </w:r>
      <w:r>
        <w:rPr>
          <w:rStyle w:val="VerbatimChar"/>
        </w:rPr>
        <w:t xml:space="preserve">targetDir</w:t>
      </w:r>
      <w:r>
        <w:t xml:space="preserve"> </w:t>
      </w:r>
      <w:r>
        <w:t xml:space="preserve">is relative to the web root unless</w:t>
      </w:r>
      <w:r>
        <w:t xml:space="preserve"> </w:t>
      </w:r>
      <w:r>
        <w:rPr>
          <w:rStyle w:val="VerbatimChar"/>
        </w:rPr>
        <w:t xml:space="preserve">AllowAbsolutePaths</w:t>
      </w:r>
      <w:r>
        <w:t xml:space="preserve"> </w:t>
      </w:r>
      <w:r>
        <w:t xml:space="preserve">is enabled.</w:t>
      </w:r>
    </w:p>
    <w:p>
      <w:pPr>
        <w:pStyle w:val="Compact"/>
        <w:numPr>
          <w:ilvl w:val="0"/>
          <w:numId w:val="2159"/>
        </w:numPr>
      </w:pPr>
      <w:r>
        <w:t xml:space="preserve">If</w:t>
      </w:r>
      <w:r>
        <w:t xml:space="preserve"> </w:t>
      </w:r>
      <w:r>
        <w:rPr>
          <w:rStyle w:val="VerbatimChar"/>
        </w:rPr>
        <w:t xml:space="preserve">newFileName</w:t>
      </w:r>
      <w:r>
        <w:t xml:space="preserve"> </w:t>
      </w:r>
      <w:r>
        <w:t xml:space="preserve">does not contain an extension, the original extension is appended.</w:t>
      </w:r>
    </w:p>
    <w:bookmarkEnd w:id="4690"/>
    <w:bookmarkStart w:id="4691" w:name="code-example-31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result</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KeywordTok"/>
        </w:rPr>
        <w:t xml:space="preserve">Set</w:t>
      </w:r>
      <w:r>
        <w:rPr>
          <w:rStyle w:val="NormalTok"/>
        </w:rPr>
        <w:t xml:space="preserve"> result = uploader.Process</w:t>
      </w:r>
      <w:r>
        <w:rPr>
          <w:rStyle w:val="OtherTok"/>
        </w:rPr>
        <w:t xml:space="preserve">(</w:t>
      </w:r>
      <w:r>
        <w:rPr>
          <w:rStyle w:val="StringTok"/>
        </w:rPr>
        <w:t xml:space="preserve">"fileInput"</w:t>
      </w:r>
      <w:r>
        <w:rPr>
          <w:rStyle w:val="OtherTok"/>
        </w:rPr>
        <w:t xml:space="preserve">,</w:t>
      </w:r>
      <w:r>
        <w:rPr>
          <w:rStyle w:val="NormalTok"/>
        </w:rPr>
        <w:t xml:space="preserve"> </w:t>
      </w:r>
      <w:r>
        <w:rPr>
          <w:rStyle w:val="StringTok"/>
        </w:rPr>
        <w:t xml:space="preserve">"/uploads/images"</w:t>
      </w:r>
      <w:r>
        <w:rPr>
          <w:rStyle w:val="OtherTok"/>
        </w:rPr>
        <w:t xml:space="preserve">,</w:t>
      </w:r>
      <w:r>
        <w:rPr>
          <w:rStyle w:val="NormalTok"/>
        </w:rPr>
        <w:t xml:space="preserve"> </w:t>
      </w:r>
      <w:r>
        <w:rPr>
          <w:rStyle w:val="StringTok"/>
        </w:rPr>
        <w:t xml:space="preserve">"profile_pic"</w:t>
      </w:r>
      <w:r>
        <w:rPr>
          <w:rStyle w:val="OtherTok"/>
        </w:rPr>
        <w:t xml:space="preserve">)</w:t>
      </w:r>
      <w:r>
        <w:br/>
      </w:r>
      <w:r>
        <w:br/>
      </w:r>
      <w:r>
        <w:rPr>
          <w:rStyle w:val="ControlFlowTok"/>
        </w:rPr>
        <w:t xml:space="preserve">If</w:t>
      </w:r>
      <w:r>
        <w:rPr>
          <w:rStyle w:val="NormalTok"/>
        </w:rPr>
        <w:t xml:space="preserve"> result</w:t>
      </w:r>
      <w:r>
        <w:rPr>
          <w:rStyle w:val="OtherTok"/>
        </w:rPr>
        <w:t xml:space="preserve">(</w:t>
      </w:r>
      <w:r>
        <w:rPr>
          <w:rStyle w:val="StringTok"/>
        </w:rPr>
        <w:t xml:space="preserve">"IsSuccess"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"File saved as: "</w:t>
      </w:r>
      <w:r>
        <w:rPr>
          <w:rStyle w:val="NormalTok"/>
        </w:rPr>
        <w:t xml:space="preserve"> </w:t>
      </w:r>
      <w:r>
        <w:rPr>
          <w:rStyle w:val="KeywordTok"/>
        </w:rPr>
        <w:t xml:space="preserve">&amp;</w:t>
      </w:r>
      <w:r>
        <w:rPr>
          <w:rStyle w:val="NormalTok"/>
        </w:rPr>
        <w:t xml:space="preserve"> result</w:t>
      </w:r>
      <w:r>
        <w:rPr>
          <w:rStyle w:val="OtherTok"/>
        </w:rPr>
        <w:t xml:space="preserve">(</w:t>
      </w:r>
      <w:r>
        <w:rPr>
          <w:rStyle w:val="StringTok"/>
        </w:rPr>
        <w:t xml:space="preserve">"NewFileName"</w:t>
      </w:r>
      <w:r>
        <w:rPr>
          <w:rStyle w:val="OtherTok"/>
        </w:rPr>
        <w:t xml:space="preserv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"Upload failed: "</w:t>
      </w:r>
      <w:r>
        <w:rPr>
          <w:rStyle w:val="NormalTok"/>
        </w:rPr>
        <w:t xml:space="preserve"> </w:t>
      </w:r>
      <w:r>
        <w:rPr>
          <w:rStyle w:val="KeywordTok"/>
        </w:rPr>
        <w:t xml:space="preserve">&amp;</w:t>
      </w:r>
      <w:r>
        <w:rPr>
          <w:rStyle w:val="NormalTok"/>
        </w:rPr>
        <w:t xml:space="preserve"> result</w:t>
      </w:r>
      <w:r>
        <w:rPr>
          <w:rStyle w:val="OtherTok"/>
        </w:rPr>
        <w:t xml:space="preserve">(</w:t>
      </w:r>
      <w:r>
        <w:rPr>
          <w:rStyle w:val="StringTok"/>
        </w:rPr>
        <w:t xml:space="preserve">"ErrorMessage"</w:t>
      </w:r>
      <w:r>
        <w:rPr>
          <w:rStyle w:val="OtherTok"/>
        </w:rPr>
        <w:t xml:space="preserve">)</w:t>
      </w:r>
      <w:r>
        <w:br/>
      </w:r>
      <w:r>
        <w:rPr>
          <w:rStyle w:val="ControlFlowTok"/>
        </w:rPr>
        <w:t xml:space="preserve">End If</w:t>
      </w:r>
      <w:r>
        <w:br/>
      </w:r>
      <w:r>
        <w:rPr>
          <w:rStyle w:val="DataTypeTok"/>
        </w:rPr>
        <w:t xml:space="preserve">%&gt;</w:t>
      </w:r>
    </w:p>
    <w:bookmarkEnd w:id="4691"/>
    <w:bookmarkEnd w:id="4692"/>
    <w:bookmarkStart w:id="4699" w:name="processall-method"/>
    <w:p>
      <w:pPr>
        <w:pStyle w:val="Heading1"/>
      </w:pPr>
      <w:r>
        <w:t xml:space="preserve">ProcessAll Method</w:t>
      </w:r>
    </w:p>
    <w:bookmarkStart w:id="4693" w:name="overview-546"/>
    <w:p>
      <w:pPr>
        <w:pStyle w:val="Heading2"/>
      </w:pPr>
      <w:r>
        <w:t xml:space="preserve">Overview</w:t>
      </w:r>
    </w:p>
    <w:p>
      <w:pPr>
        <w:pStyle w:val="FirstParagraph"/>
      </w:pPr>
      <w:r>
        <w:t xml:space="preserve">Processes and saves all files included in the multipart request. Also supports the</w:t>
      </w:r>
      <w:r>
        <w:t xml:space="preserve"> </w:t>
      </w:r>
      <w:r>
        <w:rPr>
          <w:rStyle w:val="VerbatimChar"/>
        </w:rPr>
        <w:t xml:space="preserve">SaveAll</w:t>
      </w:r>
      <w:r>
        <w:t xml:space="preserve"> </w:t>
      </w:r>
      <w:r>
        <w:t xml:space="preserve">alias.</w:t>
      </w:r>
    </w:p>
    <w:bookmarkEnd w:id="4693"/>
    <w:bookmarkStart w:id="4694" w:name="syntax-512"/>
    <w:p>
      <w:pPr>
        <w:pStyle w:val="Heading2"/>
      </w:pPr>
      <w:r>
        <w:t xml:space="preserve">Syntax</w:t>
      </w:r>
    </w:p>
    <w:p>
      <w:pPr>
        <w:pStyle w:val="SourceCode"/>
      </w:pPr>
      <w:r>
        <w:rPr>
          <w:rStyle w:val="NormalTok"/>
        </w:rPr>
        <w:t xml:space="preserve">results = uploader.ProcessAll(targetDir)</w:t>
      </w:r>
    </w:p>
    <w:bookmarkEnd w:id="4694"/>
    <w:bookmarkStart w:id="4695" w:name="parameters-and-arguments-147"/>
    <w:p>
      <w:pPr>
        <w:pStyle w:val="Heading2"/>
      </w:pPr>
      <w:r>
        <w:t xml:space="preserve">Parameters and Arguments</w:t>
      </w:r>
    </w:p>
    <w:p>
      <w:pPr>
        <w:pStyle w:val="Compact"/>
        <w:numPr>
          <w:ilvl w:val="0"/>
          <w:numId w:val="2160"/>
        </w:numPr>
      </w:pPr>
      <w:r>
        <w:rPr>
          <w:rStyle w:val="VerbatimChar"/>
        </w:rPr>
        <w:t xml:space="preserve">targetDir</w:t>
      </w:r>
      <w:r>
        <w:t xml:space="preserve"> </w:t>
      </w:r>
      <w:r>
        <w:t xml:space="preserve">(String, Optional): The destination virtual directory. Defaults to</w:t>
      </w:r>
      <w:r>
        <w:t xml:space="preserve"> </w:t>
      </w:r>
      <w:r>
        <w:t xml:space="preserve">“./”</w:t>
      </w:r>
      <w:r>
        <w:t xml:space="preserve">.</w:t>
      </w:r>
    </w:p>
    <w:bookmarkEnd w:id="4695"/>
    <w:bookmarkStart w:id="4696" w:name="return-values-205"/>
    <w:p>
      <w:pPr>
        <w:pStyle w:val="Heading2"/>
      </w:pPr>
      <w:r>
        <w:t xml:space="preserve">Return Values</w:t>
      </w:r>
    </w:p>
    <w:p>
      <w:pPr>
        <w:pStyle w:val="FirstParagraph"/>
      </w:pPr>
      <w:r>
        <w:t xml:space="preserve">Returns an</w:t>
      </w:r>
      <w:r>
        <w:t xml:space="preserve"> </w:t>
      </w:r>
      <w:r>
        <w:rPr>
          <w:b/>
          <w:bCs/>
        </w:rPr>
        <w:t xml:space="preserve">Array of Dictionary</w:t>
      </w:r>
      <w:r>
        <w:t xml:space="preserve"> </w:t>
      </w:r>
      <w:r>
        <w:t xml:space="preserve">objects. Each Dictionary represents the result for one processed file, including</w:t>
      </w:r>
      <w:r>
        <w:t xml:space="preserve"> </w:t>
      </w:r>
      <w:r>
        <w:rPr>
          <w:rStyle w:val="VerbatimChar"/>
        </w:rPr>
        <w:t xml:space="preserve">IsSuccess</w:t>
      </w:r>
      <w:r>
        <w:t xml:space="preserve">,</w:t>
      </w:r>
      <w:r>
        <w:t xml:space="preserve"> </w:t>
      </w:r>
      <w:r>
        <w:rPr>
          <w:rStyle w:val="VerbatimChar"/>
        </w:rPr>
        <w:t xml:space="preserve">ErrorMessage</w:t>
      </w:r>
      <w:r>
        <w:t xml:space="preserve">, and file metadata.</w:t>
      </w:r>
    </w:p>
    <w:bookmarkEnd w:id="4696"/>
    <w:bookmarkStart w:id="4697" w:name="remarks-479"/>
    <w:p>
      <w:pPr>
        <w:pStyle w:val="Heading2"/>
      </w:pPr>
      <w:r>
        <w:t xml:space="preserve">Remarks</w:t>
      </w:r>
    </w:p>
    <w:p>
      <w:pPr>
        <w:pStyle w:val="Compact"/>
        <w:numPr>
          <w:ilvl w:val="0"/>
          <w:numId w:val="2161"/>
        </w:numPr>
      </w:pPr>
      <w:r>
        <w:t xml:space="preserve">If any file fails validation (e.g., restricted extension), its entry in the result array will have</w:t>
      </w:r>
      <w:r>
        <w:t xml:space="preserve"> </w:t>
      </w:r>
      <w:r>
        <w:rPr>
          <w:rStyle w:val="VerbatimChar"/>
        </w:rPr>
        <w:t xml:space="preserve">IsSuccess</w:t>
      </w:r>
      <w:r>
        <w:t xml:space="preserve"> </w:t>
      </w:r>
      <w:r>
        <w:t xml:space="preserve">set to</w:t>
      </w:r>
      <w:r>
        <w:t xml:space="preserve"> </w:t>
      </w:r>
      <w:r>
        <w:rPr>
          <w:b/>
          <w:bCs/>
        </w:rPr>
        <w:t xml:space="preserve">False</w:t>
      </w:r>
      <w:r>
        <w:t xml:space="preserve">.</w:t>
      </w:r>
    </w:p>
    <w:p>
      <w:pPr>
        <w:pStyle w:val="Compact"/>
        <w:numPr>
          <w:ilvl w:val="0"/>
          <w:numId w:val="2161"/>
        </w:numPr>
      </w:pPr>
      <w:r>
        <w:t xml:space="preserve">Files are saved in the order they are received in the HTTP request.</w:t>
      </w:r>
    </w:p>
    <w:bookmarkEnd w:id="4697"/>
    <w:bookmarkStart w:id="4698" w:name="code-example-31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results</w:t>
      </w:r>
      <w:r>
        <w:rPr>
          <w:rStyle w:val="OtherTok"/>
        </w:rPr>
        <w:t xml:space="preserve">,</w:t>
      </w:r>
      <w:r>
        <w:rPr>
          <w:rStyle w:val="NormalTok"/>
        </w:rPr>
        <w:t xml:space="preserve"> i</w:t>
      </w:r>
      <w:r>
        <w:rPr>
          <w:rStyle w:val="OtherTok"/>
        </w:rPr>
        <w:t xml:space="preserve">,</w:t>
      </w:r>
      <w:r>
        <w:rPr>
          <w:rStyle w:val="NormalTok"/>
        </w:rPr>
        <w:t xml:space="preserve"> res</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results = uploader.ProcessAll</w:t>
      </w:r>
      <w:r>
        <w:rPr>
          <w:rStyle w:val="OtherTok"/>
        </w:rPr>
        <w:t xml:space="preserve">(</w:t>
      </w:r>
      <w:r>
        <w:rPr>
          <w:rStyle w:val="StringTok"/>
        </w:rPr>
        <w:t xml:space="preserve">"/uploads/batch"</w:t>
      </w:r>
      <w:r>
        <w:rPr>
          <w:rStyle w:val="OtherTok"/>
        </w:rPr>
        <w:t xml:space="preserve">)</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results</w:t>
      </w:r>
      <w:r>
        <w:rPr>
          <w:rStyle w:val="OtherTok"/>
        </w:rPr>
        <w:t xml:space="preserve">)</w:t>
      </w:r>
      <w:r>
        <w:br/>
      </w:r>
      <w:r>
        <w:rPr>
          <w:rStyle w:val="NormalTok"/>
        </w:rPr>
        <w:t xml:space="preserve">    </w:t>
      </w:r>
      <w:r>
        <w:rPr>
          <w:rStyle w:val="KeywordTok"/>
        </w:rPr>
        <w:t xml:space="preserve">Set</w:t>
      </w:r>
      <w:r>
        <w:rPr>
          <w:rStyle w:val="NormalTok"/>
        </w:rPr>
        <w:t xml:space="preserve"> res = results</w:t>
      </w:r>
      <w:r>
        <w:rPr>
          <w:rStyle w:val="OtherTok"/>
        </w:rPr>
        <w:t xml:space="preserve">(</w:t>
      </w:r>
      <w:r>
        <w:rPr>
          <w:rStyle w:val="NormalTok"/>
        </w:rPr>
        <w:t xml:space="preserve">i</w:t>
      </w:r>
      <w:r>
        <w:rPr>
          <w:rStyle w:val="OtherTok"/>
        </w:rPr>
        <w:t xml:space="preserve">)</w:t>
      </w:r>
      <w:r>
        <w:br/>
      </w:r>
      <w:r>
        <w:rPr>
          <w:rStyle w:val="NormalTok"/>
        </w:rPr>
        <w:t xml:space="preserve">    </w:t>
      </w:r>
      <w:r>
        <w:rPr>
          <w:rStyle w:val="ControlFlowTok"/>
        </w:rPr>
        <w:t xml:space="preserve">If</w:t>
      </w:r>
      <w:r>
        <w:rPr>
          <w:rStyle w:val="NormalTok"/>
        </w:rPr>
        <w:t xml:space="preserve"> res</w:t>
      </w:r>
      <w:r>
        <w:rPr>
          <w:rStyle w:val="OtherTok"/>
        </w:rPr>
        <w:t xml:space="preserve">(</w:t>
      </w:r>
      <w:r>
        <w:rPr>
          <w:rStyle w:val="StringTok"/>
        </w:rPr>
        <w:t xml:space="preserve">"IsSuccess"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"Saved: "</w:t>
      </w:r>
      <w:r>
        <w:rPr>
          <w:rStyle w:val="NormalTok"/>
        </w:rPr>
        <w:t xml:space="preserve"> </w:t>
      </w:r>
      <w:r>
        <w:rPr>
          <w:rStyle w:val="KeywordTok"/>
        </w:rPr>
        <w:t xml:space="preserve">&amp;</w:t>
      </w:r>
      <w:r>
        <w:rPr>
          <w:rStyle w:val="NormalTok"/>
        </w:rPr>
        <w:t xml:space="preserve"> res</w:t>
      </w:r>
      <w:r>
        <w:rPr>
          <w:rStyle w:val="OtherTok"/>
        </w:rPr>
        <w:t xml:space="preserve">(</w:t>
      </w:r>
      <w:r>
        <w:rPr>
          <w:rStyle w:val="StringTok"/>
        </w:rPr>
        <w:t xml:space="preserve">"OriginalFileName"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w:t>
      </w:r>
      <w:r>
        <w:rPr>
          <w:rStyle w:val="NormalTok"/>
        </w:rPr>
        <w:t xml:space="preserve"> </w:t>
      </w:r>
      <w:r>
        <w:rPr>
          <w:rStyle w:val="KeywordTok"/>
        </w:rPr>
        <w:t xml:space="preserve">&amp;</w:t>
      </w:r>
      <w:r>
        <w:rPr>
          <w:rStyle w:val="NormalTok"/>
        </w:rPr>
        <w:t xml:space="preserve"> res</w:t>
      </w:r>
      <w:r>
        <w:rPr>
          <w:rStyle w:val="OtherTok"/>
        </w:rPr>
        <w:t xml:space="preserve">(</w:t>
      </w:r>
      <w:r>
        <w:rPr>
          <w:rStyle w:val="StringTok"/>
        </w:rPr>
        <w:t xml:space="preserve">"OriginalFileName"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res</w:t>
      </w:r>
      <w:r>
        <w:rPr>
          <w:rStyle w:val="OtherTok"/>
        </w:rPr>
        <w:t xml:space="preserve">(</w:t>
      </w:r>
      <w:r>
        <w:rPr>
          <w:rStyle w:val="StringTok"/>
        </w:rPr>
        <w:t xml:space="preserve">"ErrorMessage"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ControlFlowTok"/>
        </w:rPr>
        <w:t xml:space="preserve">End If</w:t>
      </w:r>
      <w:r>
        <w:br/>
      </w:r>
      <w:r>
        <w:rPr>
          <w:rStyle w:val="ControlFlowTok"/>
        </w:rPr>
        <w:t xml:space="preserve">Next</w:t>
      </w:r>
      <w:r>
        <w:br/>
      </w:r>
      <w:r>
        <w:rPr>
          <w:rStyle w:val="DataTypeTok"/>
        </w:rPr>
        <w:t xml:space="preserve">%&gt;</w:t>
      </w:r>
    </w:p>
    <w:bookmarkEnd w:id="4698"/>
    <w:bookmarkEnd w:id="4699"/>
    <w:bookmarkStart w:id="4711" w:name="save-method-1"/>
    <w:p>
      <w:pPr>
        <w:pStyle w:val="Heading1"/>
      </w:pPr>
      <w:r>
        <w:t xml:space="preserve">Save Method</w:t>
      </w:r>
    </w:p>
    <w:bookmarkStart w:id="4700" w:name="overview-547"/>
    <w:p>
      <w:pPr>
        <w:pStyle w:val="Heading2"/>
      </w:pPr>
      <w:r>
        <w:t xml:space="preserve">Overview</w:t>
      </w:r>
    </w:p>
    <w:p>
      <w:pPr>
        <w:pStyle w:val="FirstParagraph"/>
      </w:pPr>
      <w:r>
        <w:t xml:space="preserve">Saves uploaded files to disk. The behavior, signature, and return values of this method depend on the ProgID used to instantiate the uploader (Smart Alias Detection).</w:t>
      </w:r>
    </w:p>
    <w:bookmarkEnd w:id="4700"/>
    <w:bookmarkStart w:id="4704" w:name="syntax-513"/>
    <w:p>
      <w:pPr>
        <w:pStyle w:val="Heading2"/>
      </w:pPr>
      <w:r>
        <w:t xml:space="preserve">Syntax</w:t>
      </w:r>
    </w:p>
    <w:bookmarkStart w:id="4701" w:name="aspupload-persits.upload-mode"/>
    <w:p>
      <w:pPr>
        <w:pStyle w:val="Heading3"/>
      </w:pPr>
      <w:r>
        <w:t xml:space="preserve">1. ASPUpload (Persits.Upload) Mode</w:t>
      </w:r>
    </w:p>
    <w:p>
      <w:pPr>
        <w:pStyle w:val="SourceCode"/>
      </w:pPr>
      <w:r>
        <w:rPr>
          <w:rStyle w:val="NormalTok"/>
        </w:rPr>
        <w:t xml:space="preserve">count = uploader.Save(Path)</w:t>
      </w:r>
    </w:p>
    <w:bookmarkEnd w:id="4701"/>
    <w:bookmarkStart w:id="4702" w:name="sa-fileup-softartisans.fileup-mode"/>
    <w:p>
      <w:pPr>
        <w:pStyle w:val="Heading3"/>
      </w:pPr>
      <w:r>
        <w:t xml:space="preserve">2. SA-FileUp (SoftArtisans.FileUp) Mode</w:t>
      </w:r>
    </w:p>
    <w:p>
      <w:pPr>
        <w:pStyle w:val="SourceCode"/>
      </w:pPr>
      <w:r>
        <w:rPr>
          <w:rStyle w:val="NormalTok"/>
        </w:rPr>
        <w:t xml:space="preserve">uploader.Save()</w:t>
      </w:r>
    </w:p>
    <w:bookmarkEnd w:id="4702"/>
    <w:bookmarkStart w:id="4703" w:name="g3fileuploader-mode-alias-of-process"/>
    <w:p>
      <w:pPr>
        <w:pStyle w:val="Heading3"/>
      </w:pPr>
      <w:r>
        <w:t xml:space="preserve">3. G3FILEUPLOADER Mode (Alias of Process)</w:t>
      </w:r>
    </w:p>
    <w:p>
      <w:pPr>
        <w:pStyle w:val="SourceCode"/>
      </w:pPr>
      <w:r>
        <w:rPr>
          <w:rStyle w:val="NormalTok"/>
        </w:rPr>
        <w:t xml:space="preserve">Set result = uploader.Save(fieldName, targetDir, [newFileName])</w:t>
      </w:r>
    </w:p>
    <w:bookmarkEnd w:id="4703"/>
    <w:bookmarkEnd w:id="4704"/>
    <w:bookmarkStart w:id="4705" w:name="parameters-and-arguments-148"/>
    <w:p>
      <w:pPr>
        <w:pStyle w:val="Heading2"/>
      </w:pPr>
      <w:r>
        <w:t xml:space="preserve">Parameters and Arguments</w:t>
      </w:r>
    </w:p>
    <w:p>
      <w:pPr>
        <w:pStyle w:val="Compact"/>
        <w:numPr>
          <w:ilvl w:val="0"/>
          <w:numId w:val="2162"/>
        </w:numPr>
      </w:pPr>
      <w:r>
        <w:rPr>
          <w:rStyle w:val="VerbatimChar"/>
        </w:rPr>
        <w:t xml:space="preserve">Path</w:t>
      </w:r>
      <w:r>
        <w:t xml:space="preserve"> </w:t>
      </w:r>
      <w:r>
        <w:t xml:space="preserve">(String, Required for ASPUpload): The physical directory where all uploaded files are to be saved.</w:t>
      </w:r>
    </w:p>
    <w:p>
      <w:pPr>
        <w:pStyle w:val="Compact"/>
        <w:numPr>
          <w:ilvl w:val="0"/>
          <w:numId w:val="2162"/>
        </w:numPr>
      </w:pPr>
      <w:r>
        <w:rPr>
          <w:rStyle w:val="VerbatimChar"/>
        </w:rPr>
        <w:t xml:space="preserve">fieldName</w:t>
      </w:r>
      <w:r>
        <w:t xml:space="preserve"> </w:t>
      </w:r>
      <w:r>
        <w:t xml:space="preserve">(String, Required for G3FILEUPLOADER): The form field name containing the file.</w:t>
      </w:r>
    </w:p>
    <w:p>
      <w:pPr>
        <w:pStyle w:val="Compact"/>
        <w:numPr>
          <w:ilvl w:val="0"/>
          <w:numId w:val="2162"/>
        </w:numPr>
      </w:pPr>
      <w:r>
        <w:rPr>
          <w:rStyle w:val="VerbatimChar"/>
        </w:rPr>
        <w:t xml:space="preserve">targetDir</w:t>
      </w:r>
      <w:r>
        <w:t xml:space="preserve"> </w:t>
      </w:r>
      <w:r>
        <w:t xml:space="preserve">(String, Optional for G3FILEUPLOADER): Target directory.</w:t>
      </w:r>
    </w:p>
    <w:p>
      <w:pPr>
        <w:pStyle w:val="Compact"/>
        <w:numPr>
          <w:ilvl w:val="0"/>
          <w:numId w:val="2162"/>
        </w:numPr>
      </w:pPr>
      <w:r>
        <w:rPr>
          <w:rStyle w:val="VerbatimChar"/>
        </w:rPr>
        <w:t xml:space="preserve">newFileName</w:t>
      </w:r>
      <w:r>
        <w:t xml:space="preserve"> </w:t>
      </w:r>
      <w:r>
        <w:t xml:space="preserve">(String, Optional for G3FILEUPLOADER): Optional new name.</w:t>
      </w:r>
    </w:p>
    <w:bookmarkEnd w:id="4705"/>
    <w:bookmarkStart w:id="4706" w:name="return-values-206"/>
    <w:p>
      <w:pPr>
        <w:pStyle w:val="Heading2"/>
      </w:pPr>
      <w:r>
        <w:t xml:space="preserve">Return Values</w:t>
      </w:r>
    </w:p>
    <w:p>
      <w:pPr>
        <w:pStyle w:val="Compact"/>
        <w:numPr>
          <w:ilvl w:val="0"/>
          <w:numId w:val="2163"/>
        </w:numPr>
      </w:pPr>
      <w:r>
        <w:t xml:space="preserve">In</w:t>
      </w:r>
      <w:r>
        <w:t xml:space="preserve"> </w:t>
      </w:r>
      <w:r>
        <w:rPr>
          <w:b/>
          <w:bCs/>
        </w:rPr>
        <w:t xml:space="preserve">ASPUpload</w:t>
      </w:r>
      <w:r>
        <w:t xml:space="preserve"> </w:t>
      </w:r>
      <w:r>
        <w:t xml:space="preserve">mode: Returns an</w:t>
      </w:r>
      <w:r>
        <w:t xml:space="preserve"> </w:t>
      </w:r>
      <w:r>
        <w:rPr>
          <w:b/>
          <w:bCs/>
        </w:rPr>
        <w:t xml:space="preserve">Integer</w:t>
      </w:r>
      <w:r>
        <w:t xml:space="preserve"> </w:t>
      </w:r>
      <w:r>
        <w:t xml:space="preserve">representing the number of successfully saved files.</w:t>
      </w:r>
    </w:p>
    <w:p>
      <w:pPr>
        <w:pStyle w:val="Compact"/>
        <w:numPr>
          <w:ilvl w:val="0"/>
          <w:numId w:val="2163"/>
        </w:numPr>
      </w:pPr>
      <w:r>
        <w:t xml:space="preserve">In</w:t>
      </w:r>
      <w:r>
        <w:t xml:space="preserve"> </w:t>
      </w:r>
      <w:r>
        <w:rPr>
          <w:b/>
          <w:bCs/>
        </w:rPr>
        <w:t xml:space="preserve">SA-FileUp</w:t>
      </w:r>
      <w:r>
        <w:t xml:space="preserve"> </w:t>
      </w:r>
      <w:r>
        <w:t xml:space="preserve">mode: Returns</w:t>
      </w:r>
      <w:r>
        <w:t xml:space="preserve"> </w:t>
      </w:r>
      <w:r>
        <w:rPr>
          <w:b/>
          <w:bCs/>
        </w:rPr>
        <w:t xml:space="preserve">Empty</w:t>
      </w:r>
      <w:r>
        <w:t xml:space="preserve">.</w:t>
      </w:r>
    </w:p>
    <w:p>
      <w:pPr>
        <w:pStyle w:val="Compact"/>
        <w:numPr>
          <w:ilvl w:val="0"/>
          <w:numId w:val="2163"/>
        </w:numPr>
      </w:pPr>
      <w:r>
        <w:t xml:space="preserve">In</w:t>
      </w:r>
      <w:r>
        <w:t xml:space="preserve"> </w:t>
      </w:r>
      <w:r>
        <w:rPr>
          <w:b/>
          <w:bCs/>
        </w:rPr>
        <w:t xml:space="preserve">G3FILEUPLOADER</w:t>
      </w:r>
      <w:r>
        <w:t xml:space="preserve"> </w:t>
      </w:r>
      <w:r>
        <w:t xml:space="preserve">mode: Returns a</w:t>
      </w:r>
      <w:r>
        <w:t xml:space="preserve"> </w:t>
      </w:r>
      <w:r>
        <w:rPr>
          <w:b/>
          <w:bCs/>
        </w:rPr>
        <w:t xml:space="preserve">Dictionary</w:t>
      </w:r>
      <w:r>
        <w:t xml:space="preserve"> </w:t>
      </w:r>
      <w:r>
        <w:t xml:space="preserve">containing the standardized uploader result.</w:t>
      </w:r>
    </w:p>
    <w:bookmarkEnd w:id="4706"/>
    <w:bookmarkStart w:id="4707" w:name="remarks-480"/>
    <w:p>
      <w:pPr>
        <w:pStyle w:val="Heading2"/>
      </w:pPr>
      <w:r>
        <w:t xml:space="preserve">Remarks</w:t>
      </w:r>
    </w:p>
    <w:p>
      <w:pPr>
        <w:pStyle w:val="Compact"/>
        <w:numPr>
          <w:ilvl w:val="0"/>
          <w:numId w:val="2164"/>
        </w:numPr>
      </w:pPr>
      <w:r>
        <w:t xml:space="preserve">In</w:t>
      </w:r>
      <w:r>
        <w:t xml:space="preserve"> </w:t>
      </w:r>
      <w:r>
        <w:rPr>
          <w:b/>
          <w:bCs/>
        </w:rPr>
        <w:t xml:space="preserve">SA-FileUp</w:t>
      </w:r>
      <w:r>
        <w:t xml:space="preserve"> </w:t>
      </w:r>
      <w:r>
        <w:t xml:space="preserve">mode, the parameterless</w:t>
      </w:r>
      <w:r>
        <w:t xml:space="preserve"> </w:t>
      </w:r>
      <w:r>
        <w:rPr>
          <w:rStyle w:val="VerbatimChar"/>
        </w:rPr>
        <w:t xml:space="preserve">Save()</w:t>
      </w:r>
      <w:r>
        <w:t xml:space="preserve"> </w:t>
      </w:r>
      <w:r>
        <w:t xml:space="preserve">method automatically saves all uploaded files to the folder path configured in the</w:t>
      </w:r>
      <w:r>
        <w:t xml:space="preserve"> </w:t>
      </w:r>
      <w:r>
        <w:rPr>
          <w:rStyle w:val="VerbatimChar"/>
        </w:rPr>
        <w:t xml:space="preserve">Path</w:t>
      </w:r>
      <w:r>
        <w:t xml:space="preserve"> </w:t>
      </w:r>
      <w:r>
        <w:t xml:space="preserve">property.</w:t>
      </w:r>
    </w:p>
    <w:p>
      <w:pPr>
        <w:pStyle w:val="Compact"/>
        <w:numPr>
          <w:ilvl w:val="0"/>
          <w:numId w:val="2164"/>
        </w:numPr>
      </w:pPr>
      <w:r>
        <w:t xml:space="preserve">If absolute paths are disabled, virtual mapping is resolved.</w:t>
      </w:r>
    </w:p>
    <w:bookmarkEnd w:id="4707"/>
    <w:bookmarkStart w:id="4710" w:name="code-example-317"/>
    <w:p>
      <w:pPr>
        <w:pStyle w:val="Heading2"/>
      </w:pPr>
      <w:r>
        <w:t xml:space="preserve">Code Example</w:t>
      </w:r>
    </w:p>
    <w:bookmarkStart w:id="4708" w:name="aspupload-example"/>
    <w:p>
      <w:pPr>
        <w:pStyle w:val="Heading3"/>
      </w:pPr>
      <w:r>
        <w:t xml:space="preserve">ASPUpload Example:</w:t>
      </w:r>
    </w:p>
    <w:p>
      <w:pPr>
        <w:pStyle w:val="SourceCode"/>
      </w:pPr>
      <w:r>
        <w:rPr>
          <w:rStyle w:val="DataTypeTok"/>
        </w:rPr>
        <w:t xml:space="preserve">&lt;%</w:t>
      </w:r>
      <w:r>
        <w:br/>
      </w:r>
      <w:r>
        <w:rPr>
          <w:rStyle w:val="KeywordTok"/>
        </w:rPr>
        <w:t xml:space="preserve">Dim</w:t>
      </w:r>
      <w:r>
        <w:rPr>
          <w:rStyle w:val="NormalTok"/>
        </w:rPr>
        <w:t xml:space="preserve"> upl</w:t>
      </w:r>
      <w:r>
        <w:rPr>
          <w:rStyle w:val="OtherTok"/>
        </w:rPr>
        <w:t xml:space="preserve">,</w:t>
      </w:r>
      <w:r>
        <w:rPr>
          <w:rStyle w:val="NormalTok"/>
        </w:rPr>
        <w:t xml:space="preserve"> savedCount</w:t>
      </w:r>
      <w:r>
        <w:br/>
      </w:r>
      <w:r>
        <w:rPr>
          <w:rStyle w:val="KeywordTok"/>
        </w:rPr>
        <w:t xml:space="preserve">Set</w:t>
      </w:r>
      <w:r>
        <w:rPr>
          <w:rStyle w:val="NormalTok"/>
        </w:rPr>
        <w:t xml:space="preserve"> upl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"Persits.Upload"</w:t>
      </w:r>
      <w:r>
        <w:rPr>
          <w:rStyle w:val="OtherTok"/>
        </w:rPr>
        <w:t xml:space="preserve">)</w:t>
      </w:r>
      <w:r>
        <w:br/>
      </w:r>
      <w:r>
        <w:rPr>
          <w:rStyle w:val="NormalTok"/>
        </w:rPr>
        <w:t xml:space="preserve">savedCount = upl.Save</w:t>
      </w:r>
      <w:r>
        <w:rPr>
          <w:rStyle w:val="OtherTok"/>
        </w:rPr>
        <w:t xml:space="preserve">(</w:t>
      </w:r>
      <w:r>
        <w:rPr>
          <w:rStyle w:val="StringTok"/>
        </w:rPr>
        <w:t xml:space="preserve">"C:\uploads\"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"Saved "</w:t>
      </w:r>
      <w:r>
        <w:rPr>
          <w:rStyle w:val="NormalTok"/>
        </w:rPr>
        <w:t xml:space="preserve"> </w:t>
      </w:r>
      <w:r>
        <w:rPr>
          <w:rStyle w:val="KeywordTok"/>
        </w:rPr>
        <w:t xml:space="preserve">&amp;</w:t>
      </w:r>
      <w:r>
        <w:rPr>
          <w:rStyle w:val="NormalTok"/>
        </w:rPr>
        <w:t xml:space="preserve"> savedCount </w:t>
      </w:r>
      <w:r>
        <w:rPr>
          <w:rStyle w:val="KeywordTok"/>
        </w:rPr>
        <w:t xml:space="preserve">&amp;</w:t>
      </w:r>
      <w:r>
        <w:rPr>
          <w:rStyle w:val="NormalTok"/>
        </w:rPr>
        <w:t xml:space="preserve"> </w:t>
      </w:r>
      <w:r>
        <w:rPr>
          <w:rStyle w:val="StringTok"/>
        </w:rPr>
        <w:t xml:space="preserve">" files."</w:t>
      </w:r>
      <w:r>
        <w:br/>
      </w:r>
      <w:r>
        <w:rPr>
          <w:rStyle w:val="DataTypeTok"/>
        </w:rPr>
        <w:t xml:space="preserve">%&gt;</w:t>
      </w:r>
    </w:p>
    <w:bookmarkEnd w:id="4708"/>
    <w:bookmarkStart w:id="4709" w:name="sa-fileup-example"/>
    <w:p>
      <w:pPr>
        <w:pStyle w:val="Heading3"/>
      </w:pPr>
      <w:r>
        <w:t xml:space="preserve">SA-FileUp Example:</w:t>
      </w:r>
    </w:p>
    <w:p>
      <w:pPr>
        <w:pStyle w:val="SourceCode"/>
      </w:pPr>
      <w:r>
        <w:rPr>
          <w:rStyle w:val="DataTypeTok"/>
        </w:rPr>
        <w:t xml:space="preserve">&lt;%</w:t>
      </w:r>
      <w:r>
        <w:br/>
      </w:r>
      <w:r>
        <w:rPr>
          <w:rStyle w:val="KeywordTok"/>
        </w:rPr>
        <w:t xml:space="preserve">Dim</w:t>
      </w:r>
      <w:r>
        <w:rPr>
          <w:rStyle w:val="NormalTok"/>
        </w:rPr>
        <w:t xml:space="preserve"> fileup</w:t>
      </w:r>
      <w:r>
        <w:br/>
      </w:r>
      <w:r>
        <w:rPr>
          <w:rStyle w:val="KeywordTok"/>
        </w:rPr>
        <w:t xml:space="preserve">Set</w:t>
      </w:r>
      <w:r>
        <w:rPr>
          <w:rStyle w:val="NormalTok"/>
        </w:rPr>
        <w:t xml:space="preserve"> fileup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"SoftArtisans.FileUp"</w:t>
      </w:r>
      <w:r>
        <w:rPr>
          <w:rStyle w:val="OtherTok"/>
        </w:rPr>
        <w:t xml:space="preserve">)</w:t>
      </w:r>
      <w:r>
        <w:br/>
      </w:r>
      <w:r>
        <w:rPr>
          <w:rStyle w:val="NormalTok"/>
        </w:rPr>
        <w:t xml:space="preserve">fileup.Path = </w:t>
      </w:r>
      <w:r>
        <w:rPr>
          <w:rStyle w:val="StringTok"/>
        </w:rPr>
        <w:t xml:space="preserve">"C:\uploads\"</w:t>
      </w:r>
      <w:r>
        <w:br/>
      </w:r>
      <w:r>
        <w:rPr>
          <w:rStyle w:val="NormalTok"/>
        </w:rPr>
        <w:t xml:space="preserve">fileup.Save</w:t>
      </w:r>
      <w:r>
        <w:br/>
      </w:r>
      <w:r>
        <w:rPr>
          <w:rStyle w:val="DataTypeTok"/>
        </w:rPr>
        <w:t xml:space="preserve">%&gt;</w:t>
      </w:r>
    </w:p>
    <w:bookmarkEnd w:id="4709"/>
    <w:bookmarkEnd w:id="4710"/>
    <w:bookmarkEnd w:id="4711"/>
    <w:bookmarkStart w:id="4718" w:name="saveall-method"/>
    <w:p>
      <w:pPr>
        <w:pStyle w:val="Heading1"/>
      </w:pPr>
      <w:r>
        <w:t xml:space="preserve">SaveAll Method</w:t>
      </w:r>
    </w:p>
    <w:bookmarkStart w:id="4712" w:name="overview-548"/>
    <w:p>
      <w:pPr>
        <w:pStyle w:val="Heading2"/>
      </w:pPr>
      <w:r>
        <w:t xml:space="preserve">Overview</w:t>
      </w:r>
    </w:p>
    <w:p>
      <w:pPr>
        <w:pStyle w:val="FirstParagraph"/>
      </w:pPr>
      <w:r>
        <w:t xml:space="preserve">Alias for the</w:t>
      </w:r>
      <w:r>
        <w:t xml:space="preserve"> </w:t>
      </w:r>
      <w:r>
        <w:rPr>
          <w:rStyle w:val="VerbatimChar"/>
        </w:rPr>
        <w:t xml:space="preserve">ProcessAll</w:t>
      </w:r>
      <w:r>
        <w:t xml:space="preserve"> </w:t>
      </w:r>
      <w:r>
        <w:t xml:space="preserve">method. Saves all uploaded files to disk.</w:t>
      </w:r>
    </w:p>
    <w:bookmarkEnd w:id="4712"/>
    <w:bookmarkStart w:id="4713" w:name="syntax-514"/>
    <w:p>
      <w:pPr>
        <w:pStyle w:val="Heading2"/>
      </w:pPr>
      <w:r>
        <w:t xml:space="preserve">Syntax</w:t>
      </w:r>
    </w:p>
    <w:p>
      <w:pPr>
        <w:pStyle w:val="SourceCode"/>
      </w:pPr>
      <w:r>
        <w:rPr>
          <w:rStyle w:val="NormalTok"/>
        </w:rPr>
        <w:t xml:space="preserve">results = uploader.SaveAll(targetDir)</w:t>
      </w:r>
    </w:p>
    <w:bookmarkEnd w:id="4713"/>
    <w:bookmarkStart w:id="4714" w:name="parameters-and-arguments-149"/>
    <w:p>
      <w:pPr>
        <w:pStyle w:val="Heading2"/>
      </w:pPr>
      <w:r>
        <w:t xml:space="preserve">Parameters and Arguments</w:t>
      </w:r>
    </w:p>
    <w:p>
      <w:pPr>
        <w:pStyle w:val="Compact"/>
        <w:numPr>
          <w:ilvl w:val="0"/>
          <w:numId w:val="2165"/>
        </w:numPr>
      </w:pPr>
      <w:r>
        <w:rPr>
          <w:rStyle w:val="VerbatimChar"/>
        </w:rPr>
        <w:t xml:space="preserve">targetDir</w:t>
      </w:r>
      <w:r>
        <w:t xml:space="preserve"> </w:t>
      </w:r>
      <w:r>
        <w:t xml:space="preserve">(String, Optional): The destination directory.</w:t>
      </w:r>
    </w:p>
    <w:bookmarkEnd w:id="4714"/>
    <w:bookmarkStart w:id="4715" w:name="return-values-207"/>
    <w:p>
      <w:pPr>
        <w:pStyle w:val="Heading2"/>
      </w:pPr>
      <w:r>
        <w:t xml:space="preserve">Return Values</w:t>
      </w:r>
    </w:p>
    <w:p>
      <w:pPr>
        <w:pStyle w:val="FirstParagraph"/>
      </w:pPr>
      <w:r>
        <w:t xml:space="preserve">Returns an</w:t>
      </w:r>
      <w:r>
        <w:t xml:space="preserve"> </w:t>
      </w:r>
      <w:r>
        <w:rPr>
          <w:b/>
          <w:bCs/>
        </w:rPr>
        <w:t xml:space="preserve">Array of Dictionary</w:t>
      </w:r>
      <w:r>
        <w:t xml:space="preserve"> </w:t>
      </w:r>
      <w:r>
        <w:t xml:space="preserve">result objects.</w:t>
      </w:r>
    </w:p>
    <w:bookmarkEnd w:id="4715"/>
    <w:bookmarkStart w:id="4716" w:name="remarks-481"/>
    <w:p>
      <w:pPr>
        <w:pStyle w:val="Heading2"/>
      </w:pPr>
      <w:r>
        <w:t xml:space="preserve">Remarks</w:t>
      </w:r>
    </w:p>
    <w:p>
      <w:pPr>
        <w:pStyle w:val="Compact"/>
        <w:numPr>
          <w:ilvl w:val="0"/>
          <w:numId w:val="2166"/>
        </w:numPr>
      </w:pPr>
      <w:r>
        <w:t xml:space="preserve">Refer to the</w:t>
      </w:r>
      <w:r>
        <w:t xml:space="preserve"> </w:t>
      </w:r>
      <w:r>
        <w:rPr>
          <w:rStyle w:val="VerbatimChar"/>
        </w:rPr>
        <w:t xml:space="preserve">ProcessAll</w:t>
      </w:r>
      <w:r>
        <w:t xml:space="preserve"> </w:t>
      </w:r>
      <w:r>
        <w:t xml:space="preserve">method documentation for detailed behavior.</w:t>
      </w:r>
    </w:p>
    <w:bookmarkEnd w:id="4716"/>
    <w:bookmarkStart w:id="4717" w:name="code-example-31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results</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results = uploader.SaveAll</w:t>
      </w:r>
      <w:r>
        <w:rPr>
          <w:rStyle w:val="OtherTok"/>
        </w:rPr>
        <w:t xml:space="preserve">(</w:t>
      </w:r>
      <w:r>
        <w:rPr>
          <w:rStyle w:val="StringTok"/>
        </w:rPr>
        <w:t xml:space="preserve">"temp/"</w:t>
      </w:r>
      <w:r>
        <w:rPr>
          <w:rStyle w:val="OtherTok"/>
        </w:rPr>
        <w:t xml:space="preserve">)</w:t>
      </w:r>
      <w:r>
        <w:br/>
      </w:r>
      <w:r>
        <w:rPr>
          <w:rStyle w:val="DataTypeTok"/>
        </w:rPr>
        <w:t xml:space="preserve">%&gt;</w:t>
      </w:r>
    </w:p>
    <w:bookmarkEnd w:id="4717"/>
    <w:bookmarkEnd w:id="4718"/>
    <w:bookmarkStart w:id="4725" w:name="savevirtual-method"/>
    <w:p>
      <w:pPr>
        <w:pStyle w:val="Heading1"/>
      </w:pPr>
      <w:r>
        <w:t xml:space="preserve">SaveVirtual Method</w:t>
      </w:r>
    </w:p>
    <w:bookmarkStart w:id="4719" w:name="overview-549"/>
    <w:p>
      <w:pPr>
        <w:pStyle w:val="Heading2"/>
      </w:pPr>
      <w:r>
        <w:t xml:space="preserve">Overview</w:t>
      </w:r>
    </w:p>
    <w:p>
      <w:pPr>
        <w:pStyle w:val="FirstParagraph"/>
      </w:pPr>
      <w:r>
        <w:t xml:space="preserve">(ASPUpload Compatibility) Saves all uploaded files to a virtual IIS directory path.</w:t>
      </w:r>
    </w:p>
    <w:bookmarkEnd w:id="4719"/>
    <w:bookmarkStart w:id="4720" w:name="syntax-515"/>
    <w:p>
      <w:pPr>
        <w:pStyle w:val="Heading2"/>
      </w:pPr>
      <w:r>
        <w:t xml:space="preserve">Syntax</w:t>
      </w:r>
    </w:p>
    <w:p>
      <w:pPr>
        <w:pStyle w:val="SourceCode"/>
      </w:pPr>
      <w:r>
        <w:rPr>
          <w:rStyle w:val="NormalTok"/>
        </w:rPr>
        <w:t xml:space="preserve">count = uploader.SaveVirtual(virtualPath)</w:t>
      </w:r>
    </w:p>
    <w:bookmarkEnd w:id="4720"/>
    <w:bookmarkStart w:id="4721" w:name="parameters-and-arguments-150"/>
    <w:p>
      <w:pPr>
        <w:pStyle w:val="Heading2"/>
      </w:pPr>
      <w:r>
        <w:t xml:space="preserve">Parameters and Arguments</w:t>
      </w:r>
    </w:p>
    <w:p>
      <w:pPr>
        <w:pStyle w:val="Compact"/>
        <w:numPr>
          <w:ilvl w:val="0"/>
          <w:numId w:val="2167"/>
        </w:numPr>
      </w:pPr>
      <w:r>
        <w:rPr>
          <w:rStyle w:val="VerbatimChar"/>
        </w:rPr>
        <w:t xml:space="preserve">virtualPath</w:t>
      </w:r>
      <w:r>
        <w:t xml:space="preserve"> </w:t>
      </w:r>
      <w:r>
        <w:t xml:space="preserve">(String, Required): The virtual path (e.g. </w:t>
      </w:r>
      <w:r>
        <w:rPr>
          <w:rStyle w:val="VerbatimChar"/>
        </w:rPr>
        <w:t xml:space="preserve">/uploads</w:t>
      </w:r>
      <w:r>
        <w:t xml:space="preserve"> </w:t>
      </w:r>
      <w:r>
        <w:t xml:space="preserve">or</w:t>
      </w:r>
      <w:r>
        <w:t xml:space="preserve"> </w:t>
      </w:r>
      <w:r>
        <w:rPr>
          <w:rStyle w:val="VerbatimChar"/>
        </w:rPr>
        <w:t xml:space="preserve">./images</w:t>
      </w:r>
      <w:r>
        <w:t xml:space="preserve">) where files will be saved.</w:t>
      </w:r>
    </w:p>
    <w:bookmarkEnd w:id="4721"/>
    <w:bookmarkStart w:id="4722" w:name="return-values-208"/>
    <w:p>
      <w:pPr>
        <w:pStyle w:val="Heading2"/>
      </w:pPr>
      <w:r>
        <w:t xml:space="preserve">Return Values</w:t>
      </w:r>
    </w:p>
    <w:p>
      <w:pPr>
        <w:pStyle w:val="FirstParagraph"/>
      </w:pPr>
      <w:r>
        <w:t xml:space="preserve">Returns an</w:t>
      </w:r>
      <w:r>
        <w:t xml:space="preserve"> </w:t>
      </w:r>
      <w:r>
        <w:rPr>
          <w:b/>
          <w:bCs/>
        </w:rPr>
        <w:t xml:space="preserve">Integer</w:t>
      </w:r>
      <w:r>
        <w:t xml:space="preserve"> </w:t>
      </w:r>
      <w:r>
        <w:t xml:space="preserve">representing the number of successfully saved files.</w:t>
      </w:r>
    </w:p>
    <w:bookmarkEnd w:id="4722"/>
    <w:bookmarkStart w:id="4723" w:name="remarks-482"/>
    <w:p>
      <w:pPr>
        <w:pStyle w:val="Heading2"/>
      </w:pPr>
      <w:r>
        <w:t xml:space="preserve">Remarks</w:t>
      </w:r>
    </w:p>
    <w:p>
      <w:pPr>
        <w:pStyle w:val="Compact"/>
        <w:numPr>
          <w:ilvl w:val="0"/>
          <w:numId w:val="2168"/>
        </w:numPr>
      </w:pPr>
      <w:r>
        <w:t xml:space="preserve">Resolves the absolute physical path by invoking the internal path-mapping engine of the server before writing files.</w:t>
      </w:r>
    </w:p>
    <w:bookmarkEnd w:id="4723"/>
    <w:bookmarkStart w:id="4724" w:name="code-example-31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w:t>
      </w:r>
      <w:r>
        <w:rPr>
          <w:rStyle w:val="OtherTok"/>
        </w:rPr>
        <w:t xml:space="preserve">,</w:t>
      </w:r>
      <w:r>
        <w:rPr>
          <w:rStyle w:val="NormalTok"/>
        </w:rPr>
        <w:t xml:space="preserve"> count</w:t>
      </w:r>
      <w:r>
        <w:br/>
      </w:r>
      <w:r>
        <w:rPr>
          <w:rStyle w:val="KeywordTok"/>
        </w:rPr>
        <w:t xml:space="preserve">Set</w:t>
      </w:r>
      <w:r>
        <w:rPr>
          <w:rStyle w:val="NormalTok"/>
        </w:rPr>
        <w:t xml:space="preserve"> upl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"Persits.Upload"</w:t>
      </w:r>
      <w:r>
        <w:rPr>
          <w:rStyle w:val="OtherTok"/>
        </w:rPr>
        <w:t xml:space="preserve">)</w:t>
      </w:r>
      <w:r>
        <w:br/>
      </w:r>
      <w:r>
        <w:rPr>
          <w:rStyle w:val="NormalTok"/>
        </w:rPr>
        <w:t xml:space="preserve">count = upl.SaveVirtual</w:t>
      </w:r>
      <w:r>
        <w:rPr>
          <w:rStyle w:val="OtherTok"/>
        </w:rPr>
        <w:t xml:space="preserve">(</w:t>
      </w:r>
      <w:r>
        <w:rPr>
          <w:rStyle w:val="StringTok"/>
        </w:rPr>
        <w:t xml:space="preserve">"/my_virtual_uploads"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"Saved "</w:t>
      </w:r>
      <w:r>
        <w:rPr>
          <w:rStyle w:val="NormalTok"/>
        </w:rPr>
        <w:t xml:space="preserve"> </w:t>
      </w:r>
      <w:r>
        <w:rPr>
          <w:rStyle w:val="KeywordTok"/>
        </w:rPr>
        <w:t xml:space="preserve">&amp;</w:t>
      </w:r>
      <w:r>
        <w:rPr>
          <w:rStyle w:val="NormalTok"/>
        </w:rPr>
        <w:t xml:space="preserve"> count </w:t>
      </w:r>
      <w:r>
        <w:rPr>
          <w:rStyle w:val="KeywordTok"/>
        </w:rPr>
        <w:t xml:space="preserve">&amp;</w:t>
      </w:r>
      <w:r>
        <w:rPr>
          <w:rStyle w:val="NormalTok"/>
        </w:rPr>
        <w:t xml:space="preserve"> </w:t>
      </w:r>
      <w:r>
        <w:rPr>
          <w:rStyle w:val="StringTok"/>
        </w:rPr>
        <w:t xml:space="preserve">" files."</w:t>
      </w:r>
      <w:r>
        <w:br/>
      </w:r>
      <w:r>
        <w:rPr>
          <w:rStyle w:val="DataTypeTok"/>
        </w:rPr>
        <w:t xml:space="preserve">%&gt;</w:t>
      </w:r>
    </w:p>
    <w:bookmarkEnd w:id="4724"/>
    <w:bookmarkEnd w:id="4725"/>
    <w:bookmarkStart w:id="4732" w:name="sendbinary-method-1"/>
    <w:p>
      <w:pPr>
        <w:pStyle w:val="Heading1"/>
      </w:pPr>
      <w:r>
        <w:t xml:space="preserve">SendBinary Method</w:t>
      </w:r>
    </w:p>
    <w:bookmarkStart w:id="4726" w:name="overview-550"/>
    <w:p>
      <w:pPr>
        <w:pStyle w:val="Heading2"/>
      </w:pPr>
      <w:r>
        <w:t xml:space="preserve">Overview</w:t>
      </w:r>
    </w:p>
    <w:p>
      <w:pPr>
        <w:pStyle w:val="FirstParagraph"/>
      </w:pPr>
      <w:r>
        <w:t xml:space="preserve">(ASPUpload Compatibility) Streams a local binary file directly to the client browser.</w:t>
      </w:r>
    </w:p>
    <w:bookmarkEnd w:id="4726"/>
    <w:bookmarkStart w:id="4727" w:name="syntax-516"/>
    <w:p>
      <w:pPr>
        <w:pStyle w:val="Heading2"/>
      </w:pPr>
      <w:r>
        <w:t xml:space="preserve">Syntax</w:t>
      </w:r>
    </w:p>
    <w:p>
      <w:pPr>
        <w:pStyle w:val="SourceCode"/>
      </w:pPr>
      <w:r>
        <w:rPr>
          <w:rStyle w:val="NormalTok"/>
        </w:rPr>
        <w:t xml:space="preserve">uploader.SendBinary path, [contentType]</w:t>
      </w:r>
    </w:p>
    <w:bookmarkEnd w:id="4727"/>
    <w:bookmarkStart w:id="4728" w:name="parameters-and-arguments-151"/>
    <w:p>
      <w:pPr>
        <w:pStyle w:val="Heading2"/>
      </w:pPr>
      <w:r>
        <w:t xml:space="preserve">Parameters and Arguments</w:t>
      </w:r>
    </w:p>
    <w:p>
      <w:pPr>
        <w:pStyle w:val="Compact"/>
        <w:numPr>
          <w:ilvl w:val="0"/>
          <w:numId w:val="2169"/>
        </w:numPr>
      </w:pPr>
      <w:r>
        <w:rPr>
          <w:rStyle w:val="VerbatimChar"/>
        </w:rPr>
        <w:t xml:space="preserve">path</w:t>
      </w:r>
      <w:r>
        <w:t xml:space="preserve"> </w:t>
      </w:r>
      <w:r>
        <w:t xml:space="preserve">(String, Required): Local physical path of the file to send.</w:t>
      </w:r>
    </w:p>
    <w:p>
      <w:pPr>
        <w:pStyle w:val="Compact"/>
        <w:numPr>
          <w:ilvl w:val="0"/>
          <w:numId w:val="2169"/>
        </w:numPr>
      </w:pPr>
      <w:r>
        <w:rPr>
          <w:rStyle w:val="VerbatimChar"/>
        </w:rPr>
        <w:t xml:space="preserve">contentType</w:t>
      </w:r>
      <w:r>
        <w:t xml:space="preserve"> </w:t>
      </w:r>
      <w:r>
        <w:t xml:space="preserve">(String, Optional): The MIME Content-Type header. If omitted, the server attempts to auto-detect the MIME type from the file extension.</w:t>
      </w:r>
    </w:p>
    <w:bookmarkEnd w:id="4728"/>
    <w:bookmarkStart w:id="4729" w:name="return-values-209"/>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729"/>
    <w:bookmarkStart w:id="4730" w:name="remarks-483"/>
    <w:p>
      <w:pPr>
        <w:pStyle w:val="Heading2"/>
      </w:pPr>
      <w:r>
        <w:t xml:space="preserve">Remarks</w:t>
      </w:r>
    </w:p>
    <w:p>
      <w:pPr>
        <w:pStyle w:val="Compact"/>
        <w:numPr>
          <w:ilvl w:val="0"/>
          <w:numId w:val="2170"/>
        </w:numPr>
      </w:pPr>
      <w:r>
        <w:t xml:space="preserve">Flushes binary content directly into the HTTP response stream.</w:t>
      </w:r>
    </w:p>
    <w:bookmarkEnd w:id="4730"/>
    <w:bookmarkStart w:id="4731" w:name="code-example-32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w:t>
      </w:r>
      <w:r>
        <w:br/>
      </w:r>
      <w:r>
        <w:rPr>
          <w:rStyle w:val="KeywordTok"/>
        </w:rPr>
        <w:t xml:space="preserve">Set</w:t>
      </w:r>
      <w:r>
        <w:rPr>
          <w:rStyle w:val="NormalTok"/>
        </w:rPr>
        <w:t xml:space="preserve"> upl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"Persits.Upload"</w:t>
      </w:r>
      <w:r>
        <w:rPr>
          <w:rStyle w:val="OtherTok"/>
        </w:rPr>
        <w:t xml:space="preserve">)</w:t>
      </w:r>
      <w:r>
        <w:br/>
      </w:r>
      <w:r>
        <w:rPr>
          <w:rStyle w:val="NormalTok"/>
        </w:rPr>
        <w:t xml:space="preserve">upl.SendBinary </w:t>
      </w:r>
      <w:r>
        <w:rPr>
          <w:rStyle w:val="StringTok"/>
        </w:rPr>
        <w:t xml:space="preserve">"C:\files\report.pdf"</w:t>
      </w:r>
      <w:r>
        <w:rPr>
          <w:rStyle w:val="OtherTok"/>
        </w:rPr>
        <w:t xml:space="preserve">,</w:t>
      </w:r>
      <w:r>
        <w:rPr>
          <w:rStyle w:val="NormalTok"/>
        </w:rPr>
        <w:t xml:space="preserve"> </w:t>
      </w:r>
      <w:r>
        <w:rPr>
          <w:rStyle w:val="StringTok"/>
        </w:rPr>
        <w:t xml:space="preserve">"application/pdf"</w:t>
      </w:r>
      <w:r>
        <w:br/>
      </w:r>
      <w:r>
        <w:rPr>
          <w:rStyle w:val="DataTypeTok"/>
        </w:rPr>
        <w:t xml:space="preserve">%&gt;</w:t>
      </w:r>
    </w:p>
    <w:bookmarkEnd w:id="4731"/>
    <w:bookmarkEnd w:id="4732"/>
    <w:bookmarkStart w:id="4739" w:name="setmaxsize-method"/>
    <w:p>
      <w:pPr>
        <w:pStyle w:val="Heading1"/>
      </w:pPr>
      <w:r>
        <w:t xml:space="preserve">SetMaxSize Method</w:t>
      </w:r>
    </w:p>
    <w:bookmarkStart w:id="4733" w:name="overview-551"/>
    <w:p>
      <w:pPr>
        <w:pStyle w:val="Heading2"/>
      </w:pPr>
      <w:r>
        <w:t xml:space="preserve">Overview</w:t>
      </w:r>
    </w:p>
    <w:p>
      <w:pPr>
        <w:pStyle w:val="FirstParagraph"/>
      </w:pPr>
      <w:r>
        <w:t xml:space="preserve">(ASPUpload Compatibility) Sets the maximum allowed file upload payload limit.</w:t>
      </w:r>
    </w:p>
    <w:bookmarkEnd w:id="4733"/>
    <w:bookmarkStart w:id="4734" w:name="syntax-517"/>
    <w:p>
      <w:pPr>
        <w:pStyle w:val="Heading2"/>
      </w:pPr>
      <w:r>
        <w:t xml:space="preserve">Syntax</w:t>
      </w:r>
    </w:p>
    <w:p>
      <w:pPr>
        <w:pStyle w:val="SourceCode"/>
      </w:pPr>
      <w:r>
        <w:rPr>
          <w:rStyle w:val="NormalTok"/>
        </w:rPr>
        <w:t xml:space="preserve">uploader.SetMaxSize maxBytes, [reject]</w:t>
      </w:r>
    </w:p>
    <w:bookmarkEnd w:id="4734"/>
    <w:bookmarkStart w:id="4735" w:name="parameters-and-arguments-152"/>
    <w:p>
      <w:pPr>
        <w:pStyle w:val="Heading2"/>
      </w:pPr>
      <w:r>
        <w:t xml:space="preserve">Parameters and Arguments</w:t>
      </w:r>
    </w:p>
    <w:p>
      <w:pPr>
        <w:pStyle w:val="Compact"/>
        <w:numPr>
          <w:ilvl w:val="0"/>
          <w:numId w:val="2171"/>
        </w:numPr>
      </w:pPr>
      <w:r>
        <w:rPr>
          <w:rStyle w:val="VerbatimChar"/>
        </w:rPr>
        <w:t xml:space="preserve">maxBytes</w:t>
      </w:r>
      <w:r>
        <w:t xml:space="preserve"> </w:t>
      </w:r>
      <w:r>
        <w:t xml:space="preserve">(Integer, Required): The maximum upload size limit in bytes.</w:t>
      </w:r>
    </w:p>
    <w:p>
      <w:pPr>
        <w:pStyle w:val="Compact"/>
        <w:numPr>
          <w:ilvl w:val="0"/>
          <w:numId w:val="2171"/>
        </w:numPr>
      </w:pPr>
      <w:r>
        <w:rPr>
          <w:rStyle w:val="VerbatimChar"/>
        </w:rPr>
        <w:t xml:space="preserve">reject</w:t>
      </w:r>
      <w:r>
        <w:t xml:space="preserve"> </w:t>
      </w:r>
      <w:r>
        <w:t xml:space="preserve">(Boolean, Optional): If true (default), the request is rejected with an error if it exceeds the limit.</w:t>
      </w:r>
    </w:p>
    <w:bookmarkEnd w:id="4735"/>
    <w:bookmarkStart w:id="4736" w:name="return-values-210"/>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736"/>
    <w:bookmarkStart w:id="4737" w:name="remarks-484"/>
    <w:p>
      <w:pPr>
        <w:pStyle w:val="Heading2"/>
      </w:pPr>
      <w:r>
        <w:t xml:space="preserve">Remarks</w:t>
      </w:r>
    </w:p>
    <w:p>
      <w:pPr>
        <w:pStyle w:val="Compact"/>
        <w:numPr>
          <w:ilvl w:val="0"/>
          <w:numId w:val="2172"/>
        </w:numPr>
      </w:pPr>
      <w:r>
        <w:t xml:space="preserve">Dynamically configures the internal uploader limits.</w:t>
      </w:r>
    </w:p>
    <w:bookmarkEnd w:id="4737"/>
    <w:bookmarkStart w:id="4738" w:name="code-example-32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w:t>
      </w:r>
      <w:r>
        <w:br/>
      </w:r>
      <w:r>
        <w:rPr>
          <w:rStyle w:val="KeywordTok"/>
        </w:rPr>
        <w:t xml:space="preserve">Set</w:t>
      </w:r>
      <w:r>
        <w:rPr>
          <w:rStyle w:val="NormalTok"/>
        </w:rPr>
        <w:t xml:space="preserve"> upl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"Persits.Upload"</w:t>
      </w:r>
      <w:r>
        <w:rPr>
          <w:rStyle w:val="OtherTok"/>
        </w:rPr>
        <w:t xml:space="preserve">)</w:t>
      </w:r>
      <w:r>
        <w:br/>
      </w:r>
      <w:r>
        <w:rPr>
          <w:rStyle w:val="NormalTok"/>
        </w:rPr>
        <w:t xml:space="preserve">upl.SetMaxSize </w:t>
      </w:r>
      <w:r>
        <w:rPr>
          <w:rStyle w:val="DecValTok"/>
        </w:rPr>
        <w:t xml:space="preserve">10485760</w:t>
      </w:r>
      <w:r>
        <w:rPr>
          <w:rStyle w:val="OtherTok"/>
        </w:rPr>
        <w:t xml:space="preserve">,</w:t>
      </w:r>
      <w:r>
        <w:rPr>
          <w:rStyle w:val="NormalTok"/>
        </w:rPr>
        <w:t xml:space="preserve"> </w:t>
      </w:r>
      <w:r>
        <w:rPr>
          <w:rStyle w:val="KeywordTok"/>
        </w:rPr>
        <w:t xml:space="preserve">True</w:t>
      </w:r>
      <w:r>
        <w:rPr>
          <w:rStyle w:val="NormalTok"/>
        </w:rPr>
        <w:t xml:space="preserve"> </w:t>
      </w:r>
      <w:r>
        <w:rPr>
          <w:rStyle w:val="CommentTok"/>
        </w:rPr>
        <w:t xml:space="preserve">' Limit to 10MB</w:t>
      </w:r>
      <w:r>
        <w:br/>
      </w:r>
      <w:r>
        <w:rPr>
          <w:rStyle w:val="DataTypeTok"/>
        </w:rPr>
        <w:t xml:space="preserve">%&gt;</w:t>
      </w:r>
    </w:p>
    <w:bookmarkEnd w:id="4738"/>
    <w:bookmarkEnd w:id="4739"/>
    <w:bookmarkStart w:id="4746" w:name="setuseallowedonly-method"/>
    <w:p>
      <w:pPr>
        <w:pStyle w:val="Heading1"/>
      </w:pPr>
      <w:r>
        <w:t xml:space="preserve">SetUseAllowedOnly Method</w:t>
      </w:r>
    </w:p>
    <w:bookmarkStart w:id="4740" w:name="overview-552"/>
    <w:p>
      <w:pPr>
        <w:pStyle w:val="Heading2"/>
      </w:pPr>
      <w:r>
        <w:t xml:space="preserve">Overview</w:t>
      </w:r>
    </w:p>
    <w:p>
      <w:pPr>
        <w:pStyle w:val="FirstParagraph"/>
      </w:pPr>
      <w:r>
        <w:t xml:space="preserve">Configures whether the uploader should strictly allow only files with extensions explicitly present in the</w:t>
      </w:r>
      <w:r>
        <w:t xml:space="preserve"> </w:t>
      </w:r>
      <w:r>
        <w:rPr>
          <w:rStyle w:val="VerbatimChar"/>
        </w:rPr>
        <w:t xml:space="preserve">AllowedExtensions</w:t>
      </w:r>
      <w:r>
        <w:t xml:space="preserve"> </w:t>
      </w:r>
      <w:r>
        <w:t xml:space="preserve">list.</w:t>
      </w:r>
    </w:p>
    <w:bookmarkEnd w:id="4740"/>
    <w:bookmarkStart w:id="4741" w:name="syntax-518"/>
    <w:p>
      <w:pPr>
        <w:pStyle w:val="Heading2"/>
      </w:pPr>
      <w:r>
        <w:t xml:space="preserve">Syntax</w:t>
      </w:r>
    </w:p>
    <w:p>
      <w:pPr>
        <w:pStyle w:val="SourceCode"/>
      </w:pPr>
      <w:r>
        <w:rPr>
          <w:rStyle w:val="NormalTok"/>
        </w:rPr>
        <w:t xml:space="preserve">uploader.SetUseAllowedOnly mode</w:t>
      </w:r>
    </w:p>
    <w:bookmarkEnd w:id="4741"/>
    <w:bookmarkStart w:id="4742" w:name="parameters-and-arguments-153"/>
    <w:p>
      <w:pPr>
        <w:pStyle w:val="Heading2"/>
      </w:pPr>
      <w:r>
        <w:t xml:space="preserve">Parameters and Arguments</w:t>
      </w:r>
    </w:p>
    <w:p>
      <w:pPr>
        <w:pStyle w:val="Compact"/>
        <w:numPr>
          <w:ilvl w:val="0"/>
          <w:numId w:val="2173"/>
        </w:numPr>
      </w:pPr>
      <w:r>
        <w:rPr>
          <w:rStyle w:val="VerbatimChar"/>
        </w:rPr>
        <w:t xml:space="preserve">mode</w:t>
      </w:r>
      <w:r>
        <w:t xml:space="preserve"> </w:t>
      </w:r>
      <w:r>
        <w:t xml:space="preserve">(Boolean, Required): Set to</w:t>
      </w:r>
      <w:r>
        <w:t xml:space="preserve"> </w:t>
      </w:r>
      <w:r>
        <w:rPr>
          <w:b/>
          <w:bCs/>
        </w:rPr>
        <w:t xml:space="preserve">True</w:t>
      </w:r>
      <w:r>
        <w:t xml:space="preserve"> </w:t>
      </w:r>
      <w:r>
        <w:t xml:space="preserve">to enable strict allow-list mode, or</w:t>
      </w:r>
      <w:r>
        <w:t xml:space="preserve"> </w:t>
      </w:r>
      <w:r>
        <w:rPr>
          <w:b/>
          <w:bCs/>
        </w:rPr>
        <w:t xml:space="preserve">False</w:t>
      </w:r>
      <w:r>
        <w:t xml:space="preserve"> </w:t>
      </w:r>
      <w:r>
        <w:t xml:space="preserve">to allow all files except those in the</w:t>
      </w:r>
      <w:r>
        <w:t xml:space="preserve"> </w:t>
      </w:r>
      <w:r>
        <w:rPr>
          <w:rStyle w:val="VerbatimChar"/>
        </w:rPr>
        <w:t xml:space="preserve">BlockedExtensions</w:t>
      </w:r>
      <w:r>
        <w:t xml:space="preserve"> </w:t>
      </w:r>
      <w:r>
        <w:t xml:space="preserve">list.</w:t>
      </w:r>
    </w:p>
    <w:bookmarkEnd w:id="4742"/>
    <w:bookmarkStart w:id="4743" w:name="return-values-211"/>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743"/>
    <w:bookmarkStart w:id="4744" w:name="remarks-485"/>
    <w:p>
      <w:pPr>
        <w:pStyle w:val="Heading2"/>
      </w:pPr>
      <w:r>
        <w:t xml:space="preserve">Remarks</w:t>
      </w:r>
    </w:p>
    <w:p>
      <w:pPr>
        <w:pStyle w:val="Compact"/>
        <w:numPr>
          <w:ilvl w:val="0"/>
          <w:numId w:val="2174"/>
        </w:numPr>
      </w:pPr>
      <w:r>
        <w:t xml:space="preserve">By default, this mode is</w:t>
      </w:r>
      <w:r>
        <w:t xml:space="preserve"> </w:t>
      </w:r>
      <w:r>
        <w:rPr>
          <w:b/>
          <w:bCs/>
        </w:rPr>
        <w:t xml:space="preserve">False</w:t>
      </w:r>
      <w:r>
        <w:t xml:space="preserve">, meaning all extensions are allowed unless they are specifically blocked.</w:t>
      </w:r>
    </w:p>
    <w:p>
      <w:pPr>
        <w:pStyle w:val="Compact"/>
        <w:numPr>
          <w:ilvl w:val="0"/>
          <w:numId w:val="2174"/>
        </w:numPr>
      </w:pPr>
      <w:r>
        <w:t xml:space="preserve">When enabled, you must populate the</w:t>
      </w:r>
      <w:r>
        <w:t xml:space="preserve"> </w:t>
      </w:r>
      <w:r>
        <w:rPr>
          <w:rStyle w:val="VerbatimChar"/>
        </w:rPr>
        <w:t xml:space="preserve">AllowedExtensions</w:t>
      </w:r>
      <w:r>
        <w:t xml:space="preserve"> </w:t>
      </w:r>
      <w:r>
        <w:t xml:space="preserve">list using</w:t>
      </w:r>
      <w:r>
        <w:t xml:space="preserve"> </w:t>
      </w:r>
      <w:r>
        <w:rPr>
          <w:rStyle w:val="VerbatimChar"/>
        </w:rPr>
        <w:t xml:space="preserve">AllowExtension</w:t>
      </w:r>
      <w:r>
        <w:t xml:space="preserve"> </w:t>
      </w:r>
      <w:r>
        <w:t xml:space="preserve">or</w:t>
      </w:r>
      <w:r>
        <w:t xml:space="preserve"> </w:t>
      </w:r>
      <w:r>
        <w:rPr>
          <w:rStyle w:val="VerbatimChar"/>
        </w:rPr>
        <w:t xml:space="preserve">AllowExtensions</w:t>
      </w:r>
      <w:r>
        <w:t xml:space="preserve">.</w:t>
      </w:r>
    </w:p>
    <w:bookmarkEnd w:id="4744"/>
    <w:bookmarkStart w:id="4745" w:name="code-example-32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uploader.AllowExtensions </w:t>
      </w:r>
      <w:r>
        <w:rPr>
          <w:rStyle w:val="StringTok"/>
        </w:rPr>
        <w:t xml:space="preserve">"jpg, png"</w:t>
      </w:r>
      <w:r>
        <w:br/>
      </w:r>
      <w:r>
        <w:rPr>
          <w:rStyle w:val="NormalTok"/>
        </w:rPr>
        <w:t xml:space="preserve">uploader.SetUseAllowedOnly </w:t>
      </w:r>
      <w:r>
        <w:rPr>
          <w:rStyle w:val="KeywordTok"/>
        </w:rPr>
        <w:t xml:space="preserve">True</w:t>
      </w:r>
      <w:r>
        <w:br/>
      </w:r>
      <w:r>
        <w:br/>
      </w:r>
      <w:r>
        <w:rPr>
          <w:rStyle w:val="CommentTok"/>
        </w:rPr>
        <w:t xml:space="preserve">' Only JPG and PNG will be accepted now.</w:t>
      </w:r>
      <w:r>
        <w:br/>
      </w:r>
      <w:r>
        <w:rPr>
          <w:rStyle w:val="DataTypeTok"/>
        </w:rPr>
        <w:t xml:space="preserve">%&gt;</w:t>
      </w:r>
    </w:p>
    <w:bookmarkEnd w:id="4745"/>
    <w:bookmarkEnd w:id="4746"/>
    <w:bookmarkStart w:id="4754" w:name="transferfile-method"/>
    <w:p>
      <w:pPr>
        <w:pStyle w:val="Heading1"/>
      </w:pPr>
      <w:r>
        <w:t xml:space="preserve">TransferFile Method</w:t>
      </w:r>
    </w:p>
    <w:bookmarkStart w:id="4747" w:name="overview-553"/>
    <w:p>
      <w:pPr>
        <w:pStyle w:val="Heading2"/>
      </w:pPr>
      <w:r>
        <w:t xml:space="preserve">Overview</w:t>
      </w:r>
    </w:p>
    <w:p>
      <w:pPr>
        <w:pStyle w:val="FirstParagraph"/>
      </w:pPr>
      <w:r>
        <w:t xml:space="preserve">(SA-FileUp Compatibility) Streams a local binary file to the client browser. Functional alias of</w:t>
      </w:r>
      <w:r>
        <w:t xml:space="preserve"> </w:t>
      </w:r>
      <w:r>
        <w:rPr>
          <w:rStyle w:val="VerbatimChar"/>
        </w:rPr>
        <w:t xml:space="preserve">SendBinary</w:t>
      </w:r>
      <w:r>
        <w:t xml:space="preserve">.</w:t>
      </w:r>
    </w:p>
    <w:bookmarkEnd w:id="4747"/>
    <w:bookmarkStart w:id="4748" w:name="syntax-519"/>
    <w:p>
      <w:pPr>
        <w:pStyle w:val="Heading2"/>
      </w:pPr>
      <w:r>
        <w:t xml:space="preserve">Syntax</w:t>
      </w:r>
    </w:p>
    <w:p>
      <w:pPr>
        <w:pStyle w:val="SourceCode"/>
      </w:pPr>
      <w:r>
        <w:rPr>
          <w:rStyle w:val="NormalTok"/>
        </w:rPr>
        <w:t xml:space="preserve">uploader.TransferFile path, [contentType]</w:t>
      </w:r>
    </w:p>
    <w:bookmarkEnd w:id="4748"/>
    <w:bookmarkStart w:id="4749" w:name="parameters-and-arguments-154"/>
    <w:p>
      <w:pPr>
        <w:pStyle w:val="Heading2"/>
      </w:pPr>
      <w:r>
        <w:t xml:space="preserve">Parameters and Arguments</w:t>
      </w:r>
    </w:p>
    <w:p>
      <w:pPr>
        <w:pStyle w:val="Compact"/>
        <w:numPr>
          <w:ilvl w:val="0"/>
          <w:numId w:val="2175"/>
        </w:numPr>
      </w:pPr>
      <w:r>
        <w:rPr>
          <w:rStyle w:val="VerbatimChar"/>
        </w:rPr>
        <w:t xml:space="preserve">path</w:t>
      </w:r>
      <w:r>
        <w:t xml:space="preserve"> </w:t>
      </w:r>
      <w:r>
        <w:t xml:space="preserve">(String, Required): Local physical path of the file.</w:t>
      </w:r>
    </w:p>
    <w:p>
      <w:pPr>
        <w:pStyle w:val="Compact"/>
        <w:numPr>
          <w:ilvl w:val="0"/>
          <w:numId w:val="2175"/>
        </w:numPr>
      </w:pPr>
      <w:r>
        <w:rPr>
          <w:rStyle w:val="VerbatimChar"/>
        </w:rPr>
        <w:t xml:space="preserve">contentType</w:t>
      </w:r>
      <w:r>
        <w:t xml:space="preserve"> </w:t>
      </w:r>
      <w:r>
        <w:t xml:space="preserve">(String, Optional): The MIME Content-Type header.</w:t>
      </w:r>
    </w:p>
    <w:bookmarkEnd w:id="4749"/>
    <w:bookmarkStart w:id="4750" w:name="return-values-212"/>
    <w:p>
      <w:pPr>
        <w:pStyle w:val="Heading2"/>
      </w:pPr>
      <w:r>
        <w:t xml:space="preserve">Return Values</w:t>
      </w:r>
    </w:p>
    <w:p>
      <w:pPr>
        <w:pStyle w:val="FirstParagraph"/>
      </w:pPr>
      <w:r>
        <w:t xml:space="preserve">Returns</w:t>
      </w:r>
      <w:r>
        <w:t xml:space="preserve"> </w:t>
      </w:r>
      <w:r>
        <w:rPr>
          <w:b/>
          <w:bCs/>
        </w:rPr>
        <w:t xml:space="preserve">Empty</w:t>
      </w:r>
      <w:r>
        <w:t xml:space="preserve">.</w:t>
      </w:r>
    </w:p>
    <w:bookmarkEnd w:id="4750"/>
    <w:bookmarkStart w:id="4751" w:name="remarks-486"/>
    <w:p>
      <w:pPr>
        <w:pStyle w:val="Heading2"/>
      </w:pPr>
      <w:r>
        <w:t xml:space="preserve">Remarks</w:t>
      </w:r>
    </w:p>
    <w:p>
      <w:pPr>
        <w:pStyle w:val="Compact"/>
        <w:numPr>
          <w:ilvl w:val="0"/>
          <w:numId w:val="2176"/>
        </w:numPr>
      </w:pPr>
      <w:r>
        <w:t xml:space="preserve">Flushes the local file directly into the HTTP response stream.</w:t>
      </w:r>
    </w:p>
    <w:bookmarkEnd w:id="4751"/>
    <w:bookmarkStart w:id="4753" w:name="code-example-32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fileup</w:t>
      </w:r>
      <w:r>
        <w:br/>
      </w:r>
      <w:r>
        <w:rPr>
          <w:rStyle w:val="KeywordTok"/>
        </w:rPr>
        <w:t xml:space="preserve">Set</w:t>
      </w:r>
      <w:r>
        <w:rPr>
          <w:rStyle w:val="NormalTok"/>
        </w:rPr>
        <w:t xml:space="preserve"> fileup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"SoftArtisans.FileUp"</w:t>
      </w:r>
      <w:r>
        <w:rPr>
          <w:rStyle w:val="OtherTok"/>
        </w:rPr>
        <w:t xml:space="preserve">)</w:t>
      </w:r>
      <w:r>
        <w:br/>
      </w:r>
      <w:r>
        <w:rPr>
          <w:rStyle w:val="NormalTok"/>
        </w:rPr>
        <w:t xml:space="preserve">fileup.TransferFile </w:t>
      </w:r>
      <w:r>
        <w:rPr>
          <w:rStyle w:val="StringTok"/>
        </w:rPr>
        <w:t xml:space="preserve">"C:\reports\archive.zip"</w:t>
      </w:r>
      <w:r>
        <w:rPr>
          <w:rStyle w:val="OtherTok"/>
        </w:rPr>
        <w:t xml:space="preserve">,</w:t>
      </w:r>
      <w:r>
        <w:rPr>
          <w:rStyle w:val="NormalTok"/>
        </w:rPr>
        <w:t xml:space="preserve"> </w:t>
      </w:r>
      <w:r>
        <w:rPr>
          <w:rStyle w:val="StringTok"/>
        </w:rPr>
        <w:t xml:space="preserve">"application/zip"</w:t>
      </w:r>
      <w:r>
        <w:br/>
      </w:r>
      <w:r>
        <w:rPr>
          <w:rStyle w:val="DataTypeTok"/>
        </w:rPr>
        <w:t xml:space="preserve">%&gt;</w:t>
      </w:r>
    </w:p>
    <w:bookmarkStart w:id="4752" w:name="properties-detail-12"/>
    <w:p>
      <w:pPr>
        <w:pStyle w:val="Heading3"/>
      </w:pPr>
      <w:r>
        <w:t xml:space="preserve">Properties Detail</w:t>
      </w:r>
    </w:p>
    <w:bookmarkEnd w:id="4752"/>
    <w:bookmarkEnd w:id="4753"/>
    <w:bookmarkEnd w:id="4754"/>
    <w:bookmarkStart w:id="4761" w:name="allowabsolutepaths-property"/>
    <w:p>
      <w:pPr>
        <w:pStyle w:val="Heading1"/>
      </w:pPr>
      <w:r>
        <w:t xml:space="preserve">AllowAbsolutePaths Property</w:t>
      </w:r>
    </w:p>
    <w:bookmarkStart w:id="4755" w:name="overview-554"/>
    <w:p>
      <w:pPr>
        <w:pStyle w:val="Heading2"/>
      </w:pPr>
      <w:r>
        <w:t xml:space="preserve">Overview</w:t>
      </w:r>
    </w:p>
    <w:p>
      <w:pPr>
        <w:pStyle w:val="FirstParagraph"/>
      </w:pPr>
      <w:r>
        <w:t xml:space="preserve">Gets or sets a Boolean value that determines whether the uploader is allowed to save files to absolute system paths.</w:t>
      </w:r>
    </w:p>
    <w:bookmarkEnd w:id="4755"/>
    <w:bookmarkStart w:id="4756" w:name="syntax-520"/>
    <w:p>
      <w:pPr>
        <w:pStyle w:val="Heading2"/>
      </w:pPr>
      <w:r>
        <w:t xml:space="preserve">Syntax</w:t>
      </w:r>
    </w:p>
    <w:p>
      <w:pPr>
        <w:pStyle w:val="SourceCode"/>
      </w:pPr>
      <w:r>
        <w:rPr>
          <w:rStyle w:val="NormalTok"/>
        </w:rPr>
        <w:t xml:space="preserve">uploader.AllowAbsolutePaths = mode</w:t>
      </w:r>
      <w:r>
        <w:br/>
      </w:r>
      <w:r>
        <w:rPr>
          <w:rStyle w:val="NormalTok"/>
        </w:rPr>
        <w:t xml:space="preserve">mode = uploader.AllowAbsolutePaths</w:t>
      </w:r>
    </w:p>
    <w:bookmarkEnd w:id="4756"/>
    <w:bookmarkStart w:id="4757" w:name="parameters-and-arguments-155"/>
    <w:p>
      <w:pPr>
        <w:pStyle w:val="Heading2"/>
      </w:pPr>
      <w:r>
        <w:t xml:space="preserve">Parameters and Arguments</w:t>
      </w:r>
    </w:p>
    <w:p>
      <w:pPr>
        <w:pStyle w:val="Compact"/>
        <w:numPr>
          <w:ilvl w:val="0"/>
          <w:numId w:val="2177"/>
        </w:numPr>
      </w:pPr>
      <w:r>
        <w:rPr>
          <w:rStyle w:val="VerbatimChar"/>
        </w:rPr>
        <w:t xml:space="preserve">mode</w:t>
      </w:r>
      <w:r>
        <w:t xml:space="preserve"> </w:t>
      </w:r>
      <w:r>
        <w:t xml:space="preserve">(Boolean): Set to</w:t>
      </w:r>
      <w:r>
        <w:t xml:space="preserve"> </w:t>
      </w:r>
      <w:r>
        <w:rPr>
          <w:b/>
          <w:bCs/>
        </w:rPr>
        <w:t xml:space="preserve">True</w:t>
      </w:r>
      <w:r>
        <w:t xml:space="preserve"> </w:t>
      </w:r>
      <w:r>
        <w:t xml:space="preserve">to allow saving files to absolute paths (e.g.,</w:t>
      </w:r>
      <w:r>
        <w:t xml:space="preserve"> </w:t>
      </w:r>
      <w:r>
        <w:t xml:space="preserve">“C:</w:t>
      </w:r>
      <w:r>
        <w:t xml:space="preserve">”</w:t>
      </w:r>
      <w:r>
        <w:t xml:space="preserve"> </w:t>
      </w:r>
      <w:r>
        <w:t xml:space="preserve">or</w:t>
      </w:r>
      <w:r>
        <w:t xml:space="preserve"> </w:t>
      </w:r>
      <w:r>
        <w:t xml:space="preserve">“/var/www/uploads”</w:t>
      </w:r>
      <w:r>
        <w:t xml:space="preserve">). Default is</w:t>
      </w:r>
      <w:r>
        <w:t xml:space="preserve"> </w:t>
      </w:r>
      <w:r>
        <w:rPr>
          <w:b/>
          <w:bCs/>
        </w:rPr>
        <w:t xml:space="preserve">False</w:t>
      </w:r>
      <w:r>
        <w:t xml:space="preserve">.</w:t>
      </w:r>
    </w:p>
    <w:bookmarkEnd w:id="4757"/>
    <w:bookmarkStart w:id="4758" w:name="return-values-213"/>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w:t>
      </w:r>
    </w:p>
    <w:bookmarkEnd w:id="4758"/>
    <w:bookmarkStart w:id="4759" w:name="remarks-487"/>
    <w:p>
      <w:pPr>
        <w:pStyle w:val="Heading2"/>
      </w:pPr>
      <w:r>
        <w:t xml:space="preserve">Remarks</w:t>
      </w:r>
    </w:p>
    <w:p>
      <w:pPr>
        <w:pStyle w:val="Compact"/>
        <w:numPr>
          <w:ilvl w:val="0"/>
          <w:numId w:val="2178"/>
        </w:numPr>
      </w:pPr>
      <w:r>
        <w:t xml:space="preserve">By default,</w:t>
      </w:r>
      <w:r>
        <w:t xml:space="preserve"> </w:t>
      </w:r>
      <w:r>
        <w:rPr>
          <w:rStyle w:val="VerbatimChar"/>
        </w:rPr>
        <w:t xml:space="preserve">G3FILEUPLOADER</w:t>
      </w:r>
      <w:r>
        <w:t xml:space="preserve"> </w:t>
      </w:r>
      <w:r>
        <w:t xml:space="preserve">restricts all file operations to the web root sandbox for security.</w:t>
      </w:r>
    </w:p>
    <w:p>
      <w:pPr>
        <w:pStyle w:val="Compact"/>
        <w:numPr>
          <w:ilvl w:val="0"/>
          <w:numId w:val="2178"/>
        </w:numPr>
      </w:pPr>
      <w:r>
        <w:t xml:space="preserve">Enabling this property allows the application to save files anywhere on the host system where the AxonASP process has write permissions.</w:t>
      </w:r>
    </w:p>
    <w:p>
      <w:pPr>
        <w:pStyle w:val="Compact"/>
        <w:numPr>
          <w:ilvl w:val="0"/>
          <w:numId w:val="2178"/>
        </w:numPr>
      </w:pPr>
      <w:r>
        <w:rPr>
          <w:b/>
          <w:bCs/>
        </w:rPr>
        <w:t xml:space="preserve">SECURITY NOTICE:</w:t>
      </w:r>
      <w:r>
        <w:t xml:space="preserve"> </w:t>
      </w:r>
      <w:r>
        <w:t xml:space="preserve">Use this property with extreme caution and ensure that destination paths are not derived from untrusted user input.</w:t>
      </w:r>
    </w:p>
    <w:bookmarkEnd w:id="4759"/>
    <w:bookmarkStart w:id="4760" w:name="code-example-32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result</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uploader.AllowAbsolutePaths = </w:t>
      </w:r>
      <w:r>
        <w:rPr>
          <w:rStyle w:val="KeywordTok"/>
        </w:rPr>
        <w:t xml:space="preserve">True</w:t>
      </w:r>
      <w:r>
        <w:br/>
      </w:r>
      <w:r>
        <w:br/>
      </w:r>
      <w:r>
        <w:rPr>
          <w:rStyle w:val="CommentTok"/>
        </w:rPr>
        <w:t xml:space="preserve">' Saving to an absolute system path</w:t>
      </w:r>
      <w:r>
        <w:br/>
      </w:r>
      <w:r>
        <w:rPr>
          <w:rStyle w:val="KeywordTok"/>
        </w:rPr>
        <w:t xml:space="preserve">Set</w:t>
      </w:r>
      <w:r>
        <w:rPr>
          <w:rStyle w:val="NormalTok"/>
        </w:rPr>
        <w:t xml:space="preserve"> result = uploader.Process</w:t>
      </w:r>
      <w:r>
        <w:rPr>
          <w:rStyle w:val="OtherTok"/>
        </w:rPr>
        <w:t xml:space="preserve">(</w:t>
      </w:r>
      <w:r>
        <w:rPr>
          <w:rStyle w:val="StringTok"/>
        </w:rPr>
        <w:t xml:space="preserve">"file1"</w:t>
      </w:r>
      <w:r>
        <w:rPr>
          <w:rStyle w:val="OtherTok"/>
        </w:rPr>
        <w:t xml:space="preserve">,</w:t>
      </w:r>
      <w:r>
        <w:rPr>
          <w:rStyle w:val="NormalTok"/>
        </w:rPr>
        <w:t xml:space="preserve"> </w:t>
      </w:r>
      <w:r>
        <w:rPr>
          <w:rStyle w:val="StringTok"/>
        </w:rPr>
        <w:t xml:space="preserve">"C:\MySystemUploads\"</w:t>
      </w:r>
      <w:r>
        <w:rPr>
          <w:rStyle w:val="OtherTok"/>
        </w:rPr>
        <w:t xml:space="preserve">,</w:t>
      </w:r>
      <w:r>
        <w:rPr>
          <w:rStyle w:val="NormalTok"/>
        </w:rPr>
        <w:t xml:space="preserve"> </w:t>
      </w:r>
      <w:r>
        <w:rPr>
          <w:rStyle w:val="StringTok"/>
        </w:rPr>
        <w:t xml:space="preserve">""</w:t>
      </w:r>
      <w:r>
        <w:rPr>
          <w:rStyle w:val="OtherTok"/>
        </w:rPr>
        <w:t xml:space="preserve">)</w:t>
      </w:r>
      <w:r>
        <w:br/>
      </w:r>
      <w:r>
        <w:rPr>
          <w:rStyle w:val="DataTypeTok"/>
        </w:rPr>
        <w:t xml:space="preserve">%&gt;</w:t>
      </w:r>
    </w:p>
    <w:bookmarkEnd w:id="4760"/>
    <w:bookmarkEnd w:id="4761"/>
    <w:bookmarkStart w:id="4768" w:name="allowedextensions-property"/>
    <w:p>
      <w:pPr>
        <w:pStyle w:val="Heading1"/>
      </w:pPr>
      <w:r>
        <w:t xml:space="preserve">AllowedExtensions Property</w:t>
      </w:r>
    </w:p>
    <w:bookmarkStart w:id="4762" w:name="overview-555"/>
    <w:p>
      <w:pPr>
        <w:pStyle w:val="Heading2"/>
      </w:pPr>
      <w:r>
        <w:t xml:space="preserve">Overview</w:t>
      </w:r>
    </w:p>
    <w:p>
      <w:pPr>
        <w:pStyle w:val="FirstParagraph"/>
      </w:pPr>
      <w:r>
        <w:t xml:space="preserve">Returns an array of file extensions that are explicitly allowed for upload.</w:t>
      </w:r>
    </w:p>
    <w:bookmarkEnd w:id="4762"/>
    <w:bookmarkStart w:id="4763" w:name="syntax-521"/>
    <w:p>
      <w:pPr>
        <w:pStyle w:val="Heading2"/>
      </w:pPr>
      <w:r>
        <w:t xml:space="preserve">Syntax</w:t>
      </w:r>
    </w:p>
    <w:p>
      <w:pPr>
        <w:pStyle w:val="SourceCode"/>
      </w:pPr>
      <w:r>
        <w:rPr>
          <w:rStyle w:val="NormalTok"/>
        </w:rPr>
        <w:t xml:space="preserve">extArray = uploader.AllowedExtensions</w:t>
      </w:r>
    </w:p>
    <w:bookmarkEnd w:id="4763"/>
    <w:bookmarkStart w:id="4764" w:name="parameters-and-arguments-156"/>
    <w:p>
      <w:pPr>
        <w:pStyle w:val="Heading2"/>
      </w:pPr>
      <w:r>
        <w:t xml:space="preserve">Parameters and Arguments</w:t>
      </w:r>
    </w:p>
    <w:p>
      <w:pPr>
        <w:pStyle w:val="FirstParagraph"/>
      </w:pPr>
      <w:r>
        <w:t xml:space="preserve">None.</w:t>
      </w:r>
    </w:p>
    <w:bookmarkEnd w:id="4764"/>
    <w:bookmarkStart w:id="4765" w:name="return-values-214"/>
    <w:p>
      <w:pPr>
        <w:pStyle w:val="Heading2"/>
      </w:pPr>
      <w:r>
        <w:t xml:space="preserve">Return Values</w:t>
      </w:r>
    </w:p>
    <w:p>
      <w:pPr>
        <w:pStyle w:val="FirstParagraph"/>
      </w:pPr>
      <w:r>
        <w:t xml:space="preserve">Returns an</w:t>
      </w:r>
      <w:r>
        <w:t xml:space="preserve"> </w:t>
      </w:r>
      <w:r>
        <w:rPr>
          <w:b/>
          <w:bCs/>
        </w:rPr>
        <w:t xml:space="preserve">Array of String</w:t>
      </w:r>
      <w:r>
        <w:t xml:space="preserve"> </w:t>
      </w:r>
      <w:r>
        <w:t xml:space="preserve">containing the allowed extensions.</w:t>
      </w:r>
    </w:p>
    <w:bookmarkEnd w:id="4765"/>
    <w:bookmarkStart w:id="4766" w:name="remarks-488"/>
    <w:p>
      <w:pPr>
        <w:pStyle w:val="Heading2"/>
      </w:pPr>
      <w:r>
        <w:t xml:space="preserve">Remarks</w:t>
      </w:r>
    </w:p>
    <w:p>
      <w:pPr>
        <w:pStyle w:val="Compact"/>
        <w:numPr>
          <w:ilvl w:val="0"/>
          <w:numId w:val="2179"/>
        </w:numPr>
      </w:pPr>
      <w:r>
        <w:t xml:space="preserve">This property is read-only. Use the</w:t>
      </w:r>
      <w:r>
        <w:t xml:space="preserve"> </w:t>
      </w:r>
      <w:r>
        <w:rPr>
          <w:rStyle w:val="VerbatimChar"/>
        </w:rPr>
        <w:t xml:space="preserve">AllowExtension</w:t>
      </w:r>
      <w:r>
        <w:t xml:space="preserve"> </w:t>
      </w:r>
      <w:r>
        <w:t xml:space="preserve">or</w:t>
      </w:r>
      <w:r>
        <w:t xml:space="preserve"> </w:t>
      </w:r>
      <w:r>
        <w:rPr>
          <w:rStyle w:val="VerbatimChar"/>
        </w:rPr>
        <w:t xml:space="preserve">AllowExtensions</w:t>
      </w:r>
      <w:r>
        <w:t xml:space="preserve"> </w:t>
      </w:r>
      <w:r>
        <w:t xml:space="preserve">methods to modify this list.</w:t>
      </w:r>
    </w:p>
    <w:p>
      <w:pPr>
        <w:pStyle w:val="Compact"/>
        <w:numPr>
          <w:ilvl w:val="0"/>
          <w:numId w:val="2179"/>
        </w:numPr>
      </w:pPr>
      <w:r>
        <w:t xml:space="preserve">This list is only enforced if</w:t>
      </w:r>
      <w:r>
        <w:t xml:space="preserve"> </w:t>
      </w:r>
      <w:r>
        <w:rPr>
          <w:rStyle w:val="VerbatimChar"/>
        </w:rPr>
        <w:t xml:space="preserve">SetUseAllowedOnly</w:t>
      </w:r>
      <w:r>
        <w:t xml:space="preserve"> </w:t>
      </w:r>
      <w:r>
        <w:t xml:space="preserve">is set to</w:t>
      </w:r>
      <w:r>
        <w:t xml:space="preserve"> </w:t>
      </w:r>
      <w:r>
        <w:rPr>
          <w:b/>
          <w:bCs/>
        </w:rPr>
        <w:t xml:space="preserve">True</w:t>
      </w:r>
      <w:r>
        <w:t xml:space="preserve">.</w:t>
      </w:r>
    </w:p>
    <w:bookmarkEnd w:id="4766"/>
    <w:bookmarkStart w:id="4767" w:name="code-example-32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exts</w:t>
      </w:r>
      <w:r>
        <w:rPr>
          <w:rStyle w:val="OtherTok"/>
        </w:rPr>
        <w:t xml:space="preserve">,</w:t>
      </w:r>
      <w:r>
        <w:rPr>
          <w:rStyle w:val="NormalTok"/>
        </w:rPr>
        <w:t xml:space="preserve"> i</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uploader.AllowExtensions </w:t>
      </w:r>
      <w:r>
        <w:rPr>
          <w:rStyle w:val="StringTok"/>
        </w:rPr>
        <w:t xml:space="preserve">"jpg, png, gif"</w:t>
      </w:r>
      <w:r>
        <w:br/>
      </w:r>
      <w:r>
        <w:br/>
      </w:r>
      <w:r>
        <w:rPr>
          <w:rStyle w:val="NormalTok"/>
        </w:rPr>
        <w:t xml:space="preserve">exts = uploader.AllowedExtensions</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exts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"Allowed: "</w:t>
      </w:r>
      <w:r>
        <w:rPr>
          <w:rStyle w:val="NormalTok"/>
        </w:rPr>
        <w:t xml:space="preserve"> </w:t>
      </w:r>
      <w:r>
        <w:rPr>
          <w:rStyle w:val="KeywordTok"/>
        </w:rPr>
        <w:t xml:space="preserve">&amp;</w:t>
      </w:r>
      <w:r>
        <w:rPr>
          <w:rStyle w:val="NormalTok"/>
        </w:rPr>
        <w:t xml:space="preserve"> exts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DataTypeTok"/>
        </w:rPr>
        <w:t xml:space="preserve">%&gt;</w:t>
      </w:r>
    </w:p>
    <w:bookmarkEnd w:id="4767"/>
    <w:bookmarkEnd w:id="4768"/>
    <w:bookmarkStart w:id="4775" w:name="blockedextensions-property"/>
    <w:p>
      <w:pPr>
        <w:pStyle w:val="Heading1"/>
      </w:pPr>
      <w:r>
        <w:t xml:space="preserve">BlockedExtensions Property</w:t>
      </w:r>
    </w:p>
    <w:bookmarkStart w:id="4769" w:name="overview-556"/>
    <w:p>
      <w:pPr>
        <w:pStyle w:val="Heading2"/>
      </w:pPr>
      <w:r>
        <w:t xml:space="preserve">Overview</w:t>
      </w:r>
    </w:p>
    <w:p>
      <w:pPr>
        <w:pStyle w:val="FirstParagraph"/>
      </w:pPr>
      <w:r>
        <w:t xml:space="preserve">Returns an array of file extensions that are blacklisted and will be rejected.</w:t>
      </w:r>
    </w:p>
    <w:bookmarkEnd w:id="4769"/>
    <w:bookmarkStart w:id="4770" w:name="syntax-522"/>
    <w:p>
      <w:pPr>
        <w:pStyle w:val="Heading2"/>
      </w:pPr>
      <w:r>
        <w:t xml:space="preserve">Syntax</w:t>
      </w:r>
    </w:p>
    <w:p>
      <w:pPr>
        <w:pStyle w:val="SourceCode"/>
      </w:pPr>
      <w:r>
        <w:rPr>
          <w:rStyle w:val="NormalTok"/>
        </w:rPr>
        <w:t xml:space="preserve">extArray = uploader.BlockedExtensions</w:t>
      </w:r>
    </w:p>
    <w:bookmarkEnd w:id="4770"/>
    <w:bookmarkStart w:id="4771" w:name="parameters-and-arguments-157"/>
    <w:p>
      <w:pPr>
        <w:pStyle w:val="Heading2"/>
      </w:pPr>
      <w:r>
        <w:t xml:space="preserve">Parameters and Arguments</w:t>
      </w:r>
    </w:p>
    <w:p>
      <w:pPr>
        <w:pStyle w:val="FirstParagraph"/>
      </w:pPr>
      <w:r>
        <w:t xml:space="preserve">None.</w:t>
      </w:r>
    </w:p>
    <w:bookmarkEnd w:id="4771"/>
    <w:bookmarkStart w:id="4772" w:name="return-values-215"/>
    <w:p>
      <w:pPr>
        <w:pStyle w:val="Heading2"/>
      </w:pPr>
      <w:r>
        <w:t xml:space="preserve">Return Values</w:t>
      </w:r>
    </w:p>
    <w:p>
      <w:pPr>
        <w:pStyle w:val="FirstParagraph"/>
      </w:pPr>
      <w:r>
        <w:t xml:space="preserve">Returns an</w:t>
      </w:r>
      <w:r>
        <w:t xml:space="preserve"> </w:t>
      </w:r>
      <w:r>
        <w:rPr>
          <w:b/>
          <w:bCs/>
        </w:rPr>
        <w:t xml:space="preserve">Array of String</w:t>
      </w:r>
      <w:r>
        <w:t xml:space="preserve"> </w:t>
      </w:r>
      <w:r>
        <w:t xml:space="preserve">containing the blocked extensions.</w:t>
      </w:r>
    </w:p>
    <w:bookmarkEnd w:id="4772"/>
    <w:bookmarkStart w:id="4773" w:name="remarks-489"/>
    <w:p>
      <w:pPr>
        <w:pStyle w:val="Heading2"/>
      </w:pPr>
      <w:r>
        <w:t xml:space="preserve">Remarks</w:t>
      </w:r>
    </w:p>
    <w:p>
      <w:pPr>
        <w:pStyle w:val="Compact"/>
        <w:numPr>
          <w:ilvl w:val="0"/>
          <w:numId w:val="2180"/>
        </w:numPr>
      </w:pPr>
      <w:r>
        <w:t xml:space="preserve">This property is read-only. Use the</w:t>
      </w:r>
      <w:r>
        <w:t xml:space="preserve"> </w:t>
      </w:r>
      <w:r>
        <w:rPr>
          <w:rStyle w:val="VerbatimChar"/>
        </w:rPr>
        <w:t xml:space="preserve">BlockExtension</w:t>
      </w:r>
      <w:r>
        <w:t xml:space="preserve"> </w:t>
      </w:r>
      <w:r>
        <w:t xml:space="preserve">or</w:t>
      </w:r>
      <w:r>
        <w:t xml:space="preserve"> </w:t>
      </w:r>
      <w:r>
        <w:rPr>
          <w:rStyle w:val="VerbatimChar"/>
        </w:rPr>
        <w:t xml:space="preserve">BlockExtensions</w:t>
      </w:r>
      <w:r>
        <w:t xml:space="preserve"> </w:t>
      </w:r>
      <w:r>
        <w:t xml:space="preserve">methods to modify this list.</w:t>
      </w:r>
    </w:p>
    <w:p>
      <w:pPr>
        <w:pStyle w:val="Compact"/>
        <w:numPr>
          <w:ilvl w:val="0"/>
          <w:numId w:val="2180"/>
        </w:numPr>
      </w:pPr>
      <w:r>
        <w:t xml:space="preserve">Blocked extensions are always rejected, even if they appear in the</w:t>
      </w:r>
      <w:r>
        <w:t xml:space="preserve"> </w:t>
      </w:r>
      <w:r>
        <w:rPr>
          <w:rStyle w:val="VerbatimChar"/>
        </w:rPr>
        <w:t xml:space="preserve">AllowedExtensions</w:t>
      </w:r>
      <w:r>
        <w:t xml:space="preserve"> </w:t>
      </w:r>
      <w:r>
        <w:t xml:space="preserve">list.</w:t>
      </w:r>
    </w:p>
    <w:bookmarkEnd w:id="4773"/>
    <w:bookmarkStart w:id="4774" w:name="code-example-32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exts</w:t>
      </w:r>
      <w:r>
        <w:rPr>
          <w:rStyle w:val="OtherTok"/>
        </w:rPr>
        <w:t xml:space="preserve">,</w:t>
      </w:r>
      <w:r>
        <w:rPr>
          <w:rStyle w:val="NormalTok"/>
        </w:rPr>
        <w:t xml:space="preserve"> i</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uploader.BlockExtensions </w:t>
      </w:r>
      <w:r>
        <w:rPr>
          <w:rStyle w:val="StringTok"/>
        </w:rPr>
        <w:t xml:space="preserve">"exe, bat, cmd"</w:t>
      </w:r>
      <w:r>
        <w:br/>
      </w:r>
      <w:r>
        <w:br/>
      </w:r>
      <w:r>
        <w:rPr>
          <w:rStyle w:val="NormalTok"/>
        </w:rPr>
        <w:t xml:space="preserve">exts = uploader.BlockedExtensions</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exts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"Blocked: "</w:t>
      </w:r>
      <w:r>
        <w:rPr>
          <w:rStyle w:val="NormalTok"/>
        </w:rPr>
        <w:t xml:space="preserve"> </w:t>
      </w:r>
      <w:r>
        <w:rPr>
          <w:rStyle w:val="KeywordTok"/>
        </w:rPr>
        <w:t xml:space="preserve">&amp;</w:t>
      </w:r>
      <w:r>
        <w:rPr>
          <w:rStyle w:val="NormalTok"/>
        </w:rPr>
        <w:t xml:space="preserve"> exts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DataTypeTok"/>
        </w:rPr>
        <w:t xml:space="preserve">%&gt;</w:t>
      </w:r>
    </w:p>
    <w:bookmarkEnd w:id="4774"/>
    <w:bookmarkEnd w:id="4775"/>
    <w:bookmarkStart w:id="4782" w:name="debugmode-property"/>
    <w:p>
      <w:pPr>
        <w:pStyle w:val="Heading1"/>
      </w:pPr>
      <w:r>
        <w:t xml:space="preserve">DebugMode Property</w:t>
      </w:r>
    </w:p>
    <w:bookmarkStart w:id="4776" w:name="overview-557"/>
    <w:p>
      <w:pPr>
        <w:pStyle w:val="Heading2"/>
      </w:pPr>
      <w:r>
        <w:t xml:space="preserve">Overview</w:t>
      </w:r>
    </w:p>
    <w:p>
      <w:pPr>
        <w:pStyle w:val="FirstParagraph"/>
      </w:pPr>
      <w:r>
        <w:t xml:space="preserve">Gets or sets a Boolean value that enables or disables verbose debugging output for the uploader operations.</w:t>
      </w:r>
    </w:p>
    <w:bookmarkEnd w:id="4776"/>
    <w:bookmarkStart w:id="4777" w:name="syntax-523"/>
    <w:p>
      <w:pPr>
        <w:pStyle w:val="Heading2"/>
      </w:pPr>
      <w:r>
        <w:t xml:space="preserve">Syntax</w:t>
      </w:r>
    </w:p>
    <w:p>
      <w:pPr>
        <w:pStyle w:val="SourceCode"/>
      </w:pPr>
      <w:r>
        <w:rPr>
          <w:rStyle w:val="NormalTok"/>
        </w:rPr>
        <w:t xml:space="preserve">uploader.DebugMode = mode</w:t>
      </w:r>
      <w:r>
        <w:br/>
      </w:r>
      <w:r>
        <w:rPr>
          <w:rStyle w:val="NormalTok"/>
        </w:rPr>
        <w:t xml:space="preserve">mode = uploader.DebugMode</w:t>
      </w:r>
    </w:p>
    <w:bookmarkEnd w:id="4777"/>
    <w:bookmarkStart w:id="4778" w:name="parameters-and-arguments-158"/>
    <w:p>
      <w:pPr>
        <w:pStyle w:val="Heading2"/>
      </w:pPr>
      <w:r>
        <w:t xml:space="preserve">Parameters and Arguments</w:t>
      </w:r>
    </w:p>
    <w:p>
      <w:pPr>
        <w:pStyle w:val="Compact"/>
        <w:numPr>
          <w:ilvl w:val="0"/>
          <w:numId w:val="2181"/>
        </w:numPr>
      </w:pPr>
      <w:r>
        <w:rPr>
          <w:rStyle w:val="VerbatimChar"/>
        </w:rPr>
        <w:t xml:space="preserve">mode</w:t>
      </w:r>
      <w:r>
        <w:t xml:space="preserve"> </w:t>
      </w:r>
      <w:r>
        <w:t xml:space="preserve">(Boolean): Set to</w:t>
      </w:r>
      <w:r>
        <w:t xml:space="preserve"> </w:t>
      </w:r>
      <w:r>
        <w:rPr>
          <w:b/>
          <w:bCs/>
        </w:rPr>
        <w:t xml:space="preserve">True</w:t>
      </w:r>
      <w:r>
        <w:t xml:space="preserve"> </w:t>
      </w:r>
      <w:r>
        <w:t xml:space="preserve">to enable debug logging, or</w:t>
      </w:r>
      <w:r>
        <w:t xml:space="preserve"> </w:t>
      </w:r>
      <w:r>
        <w:rPr>
          <w:b/>
          <w:bCs/>
        </w:rPr>
        <w:t xml:space="preserve">False</w:t>
      </w:r>
      <w:r>
        <w:t xml:space="preserve"> </w:t>
      </w:r>
      <w:r>
        <w:t xml:space="preserve">to disable it.</w:t>
      </w:r>
    </w:p>
    <w:bookmarkEnd w:id="4778"/>
    <w:bookmarkStart w:id="4779" w:name="return-values-216"/>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w:t>
      </w:r>
    </w:p>
    <w:bookmarkEnd w:id="4779"/>
    <w:bookmarkStart w:id="4780" w:name="remarks-490"/>
    <w:p>
      <w:pPr>
        <w:pStyle w:val="Heading2"/>
      </w:pPr>
      <w:r>
        <w:t xml:space="preserve">Remarks</w:t>
      </w:r>
    </w:p>
    <w:p>
      <w:pPr>
        <w:pStyle w:val="Compact"/>
        <w:numPr>
          <w:ilvl w:val="0"/>
          <w:numId w:val="2182"/>
        </w:numPr>
      </w:pPr>
      <w:r>
        <w:t xml:space="preserve">When enabled, additional operation details may be logged to the server console or log files to assist in troubleshooting upload issues.</w:t>
      </w:r>
    </w:p>
    <w:bookmarkEnd w:id="4780"/>
    <w:bookmarkStart w:id="4781" w:name="code-example-32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uploader.DebugMode = </w:t>
      </w:r>
      <w:r>
        <w:rPr>
          <w:rStyle w:val="KeywordTok"/>
        </w:rPr>
        <w:t xml:space="preserve">True</w:t>
      </w:r>
      <w:r>
        <w:br/>
      </w:r>
      <w:r>
        <w:rPr>
          <w:rStyle w:val="DataTypeTok"/>
        </w:rPr>
        <w:t xml:space="preserve">%&gt;</w:t>
      </w:r>
    </w:p>
    <w:bookmarkEnd w:id="4781"/>
    <w:bookmarkEnd w:id="4782"/>
    <w:bookmarkStart w:id="4789" w:name="formfields-property"/>
    <w:p>
      <w:pPr>
        <w:pStyle w:val="Heading1"/>
      </w:pPr>
      <w:r>
        <w:t xml:space="preserve">FormFields Property</w:t>
      </w:r>
    </w:p>
    <w:bookmarkStart w:id="4783" w:name="overview-558"/>
    <w:p>
      <w:pPr>
        <w:pStyle w:val="Heading2"/>
      </w:pPr>
      <w:r>
        <w:t xml:space="preserve">Overview</w:t>
      </w:r>
    </w:p>
    <w:p>
      <w:pPr>
        <w:pStyle w:val="FirstParagraph"/>
      </w:pPr>
      <w:r>
        <w:t xml:space="preserve">Returns a VBScript Dictionary containing all non-file form fields submitted in the multipart request.</w:t>
      </w:r>
    </w:p>
    <w:bookmarkEnd w:id="4783"/>
    <w:bookmarkStart w:id="4784" w:name="syntax-524"/>
    <w:p>
      <w:pPr>
        <w:pStyle w:val="Heading2"/>
      </w:pPr>
      <w:r>
        <w:t xml:space="preserve">Syntax</w:t>
      </w:r>
    </w:p>
    <w:p>
      <w:pPr>
        <w:pStyle w:val="SourceCode"/>
      </w:pPr>
      <w:r>
        <w:rPr>
          <w:rStyle w:val="NormalTok"/>
        </w:rPr>
        <w:t xml:space="preserve">Set fields = uploader.FormFields</w:t>
      </w:r>
    </w:p>
    <w:bookmarkEnd w:id="4784"/>
    <w:bookmarkStart w:id="4785" w:name="parameters-and-arguments-159"/>
    <w:p>
      <w:pPr>
        <w:pStyle w:val="Heading2"/>
      </w:pPr>
      <w:r>
        <w:t xml:space="preserve">Parameters and Arguments</w:t>
      </w:r>
    </w:p>
    <w:p>
      <w:pPr>
        <w:pStyle w:val="FirstParagraph"/>
      </w:pPr>
      <w:r>
        <w:t xml:space="preserve">None.</w:t>
      </w:r>
    </w:p>
    <w:bookmarkEnd w:id="4785"/>
    <w:bookmarkStart w:id="4786" w:name="return-values-217"/>
    <w:p>
      <w:pPr>
        <w:pStyle w:val="Heading2"/>
      </w:pPr>
      <w:r>
        <w:t xml:space="preserve">Return Values</w:t>
      </w:r>
    </w:p>
    <w:p>
      <w:pPr>
        <w:pStyle w:val="FirstParagraph"/>
      </w:pPr>
      <w:r>
        <w:t xml:space="preserve">Returns a</w:t>
      </w:r>
      <w:r>
        <w:t xml:space="preserve"> </w:t>
      </w:r>
      <w:r>
        <w:rPr>
          <w:b/>
          <w:bCs/>
        </w:rPr>
        <w:t xml:space="preserve">Dictionary</w:t>
      </w:r>
      <w:r>
        <w:t xml:space="preserve"> </w:t>
      </w:r>
      <w:r>
        <w:t xml:space="preserve">object where keys are field names and values are the corresponding string data.</w:t>
      </w:r>
    </w:p>
    <w:bookmarkEnd w:id="4786"/>
    <w:bookmarkStart w:id="4787" w:name="remarks-491"/>
    <w:p>
      <w:pPr>
        <w:pStyle w:val="Heading2"/>
      </w:pPr>
      <w:r>
        <w:t xml:space="preserve">Remarks</w:t>
      </w:r>
    </w:p>
    <w:p>
      <w:pPr>
        <w:pStyle w:val="Compact"/>
        <w:numPr>
          <w:ilvl w:val="0"/>
          <w:numId w:val="2183"/>
        </w:numPr>
      </w:pPr>
      <w:r>
        <w:t xml:space="preserve">This property is read-only.</w:t>
      </w:r>
    </w:p>
    <w:p>
      <w:pPr>
        <w:pStyle w:val="Compact"/>
        <w:numPr>
          <w:ilvl w:val="0"/>
          <w:numId w:val="2183"/>
        </w:numPr>
      </w:pPr>
      <w:r>
        <w:t xml:space="preserve">It mimics the behavior of an associative array (similar to PHP’s</w:t>
      </w:r>
      <w:r>
        <w:t xml:space="preserve"> </w:t>
      </w:r>
      <w:r>
        <w:rPr>
          <w:rStyle w:val="VerbatimChar"/>
        </w:rPr>
        <w:t xml:space="preserve">$_POST</w:t>
      </w:r>
      <w:r>
        <w:t xml:space="preserve">) and provides a convenient way to iterate over all received text inputs without knowing their names beforehand.</w:t>
      </w:r>
    </w:p>
    <w:p>
      <w:pPr>
        <w:pStyle w:val="Compact"/>
        <w:numPr>
          <w:ilvl w:val="0"/>
          <w:numId w:val="2183"/>
        </w:numPr>
      </w:pPr>
      <w:r>
        <w:t xml:space="preserve">Because Classic ASP cannot mix</w:t>
      </w:r>
      <w:r>
        <w:t xml:space="preserve"> </w:t>
      </w:r>
      <w:r>
        <w:rPr>
          <w:rStyle w:val="VerbatimChar"/>
        </w:rPr>
        <w:t xml:space="preserve">Request.Form</w:t>
      </w:r>
      <w:r>
        <w:t xml:space="preserve"> </w:t>
      </w:r>
      <w:r>
        <w:t xml:space="preserve">and</w:t>
      </w:r>
      <w:r>
        <w:t xml:space="preserve"> </w:t>
      </w:r>
      <w:r>
        <w:rPr>
          <w:rStyle w:val="VerbatimChar"/>
        </w:rPr>
        <w:t xml:space="preserve">Request.BinaryRead</w:t>
      </w:r>
      <w:r>
        <w:t xml:space="preserve">, this property is the recommended way to access form data during a file upload.</w:t>
      </w:r>
    </w:p>
    <w:bookmarkEnd w:id="4787"/>
    <w:bookmarkStart w:id="4788" w:name="code-example-32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rPr>
          <w:rStyle w:val="OtherTok"/>
        </w:rPr>
        <w:t xml:space="preserve">,</w:t>
      </w:r>
      <w:r>
        <w:rPr>
          <w:rStyle w:val="NormalTok"/>
        </w:rPr>
        <w:t xml:space="preserve"> fields</w:t>
      </w:r>
      <w:r>
        <w:rPr>
          <w:rStyle w:val="OtherTok"/>
        </w:rPr>
        <w:t xml:space="preserve">,</w:t>
      </w:r>
      <w:r>
        <w:rPr>
          <w:rStyle w:val="NormalTok"/>
        </w:rPr>
        <w:t xml:space="preserve"> key</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KeywordTok"/>
        </w:rPr>
        <w:t xml:space="preserve">Set</w:t>
      </w:r>
      <w:r>
        <w:rPr>
          <w:rStyle w:val="NormalTok"/>
        </w:rPr>
        <w:t xml:space="preserve"> fields = uploader.FormFields</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"Submitted Fields:&lt;br&gt;"</w:t>
      </w:r>
      <w:r>
        <w:br/>
      </w:r>
      <w:r>
        <w:rPr>
          <w:rStyle w:val="ControlFlowTok"/>
        </w:rPr>
        <w:t xml:space="preserve">For</w:t>
      </w:r>
      <w:r>
        <w:rPr>
          <w:rStyle w:val="NormalTok"/>
        </w:rPr>
        <w:t xml:space="preserve"> </w:t>
      </w:r>
      <w:r>
        <w:rPr>
          <w:rStyle w:val="ControlFlowTok"/>
        </w:rPr>
        <w:t xml:space="preserve">Each</w:t>
      </w:r>
      <w:r>
        <w:rPr>
          <w:rStyle w:val="NormalTok"/>
        </w:rPr>
        <w:t xml:space="preserve"> key </w:t>
      </w:r>
      <w:r>
        <w:rPr>
          <w:rStyle w:val="ControlFlowTok"/>
        </w:rPr>
        <w:t xml:space="preserve">In</w:t>
      </w:r>
      <w:r>
        <w:rPr>
          <w:rStyle w:val="NormalTok"/>
        </w:rPr>
        <w:t xml:space="preserve"> fields.</w:t>
      </w:r>
      <w:r>
        <w:rPr>
          <w:rStyle w:val="FunctionTok"/>
        </w:rPr>
        <w:t xml:space="preserve">Keys</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key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fields</w:t>
      </w:r>
      <w:r>
        <w:rPr>
          <w:rStyle w:val="OtherTok"/>
        </w:rPr>
        <w:t xml:space="preserve">(</w:t>
      </w:r>
      <w:r>
        <w:rPr>
          <w:rStyle w:val="NormalTok"/>
        </w:rPr>
        <w:t xml:space="preserve">key</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DataTypeTok"/>
        </w:rPr>
        <w:t xml:space="preserve">%&gt;</w:t>
      </w:r>
    </w:p>
    <w:bookmarkEnd w:id="4788"/>
    <w:bookmarkEnd w:id="4789"/>
    <w:bookmarkStart w:id="4796" w:name="maxfilesize-property"/>
    <w:p>
      <w:pPr>
        <w:pStyle w:val="Heading1"/>
      </w:pPr>
      <w:r>
        <w:t xml:space="preserve">MaxFileSize Property</w:t>
      </w:r>
    </w:p>
    <w:bookmarkStart w:id="4790" w:name="overview-559"/>
    <w:p>
      <w:pPr>
        <w:pStyle w:val="Heading2"/>
      </w:pPr>
      <w:r>
        <w:t xml:space="preserve">Overview</w:t>
      </w:r>
    </w:p>
    <w:p>
      <w:pPr>
        <w:pStyle w:val="FirstParagraph"/>
      </w:pPr>
      <w:r>
        <w:t xml:space="preserve">Gets or sets the maximum allowed size in bytes for an individual uploaded file.</w:t>
      </w:r>
    </w:p>
    <w:bookmarkEnd w:id="4790"/>
    <w:bookmarkStart w:id="4791" w:name="syntax-525"/>
    <w:p>
      <w:pPr>
        <w:pStyle w:val="Heading2"/>
      </w:pPr>
      <w:r>
        <w:t xml:space="preserve">Syntax</w:t>
      </w:r>
    </w:p>
    <w:p>
      <w:pPr>
        <w:pStyle w:val="SourceCode"/>
      </w:pPr>
      <w:r>
        <w:rPr>
          <w:rStyle w:val="NormalTok"/>
        </w:rPr>
        <w:t xml:space="preserve">uploader.MaxFileSize = sizeInBytes</w:t>
      </w:r>
      <w:r>
        <w:br/>
      </w:r>
      <w:r>
        <w:rPr>
          <w:rStyle w:val="NormalTok"/>
        </w:rPr>
        <w:t xml:space="preserve">sizeInBytes = uploader.MaxFileSize</w:t>
      </w:r>
    </w:p>
    <w:bookmarkEnd w:id="4791"/>
    <w:bookmarkStart w:id="4792" w:name="parameters-and-arguments-160"/>
    <w:p>
      <w:pPr>
        <w:pStyle w:val="Heading2"/>
      </w:pPr>
      <w:r>
        <w:t xml:space="preserve">Parameters and Arguments</w:t>
      </w:r>
    </w:p>
    <w:p>
      <w:pPr>
        <w:pStyle w:val="Compact"/>
        <w:numPr>
          <w:ilvl w:val="0"/>
          <w:numId w:val="2184"/>
        </w:numPr>
      </w:pPr>
      <w:r>
        <w:rPr>
          <w:rStyle w:val="VerbatimChar"/>
        </w:rPr>
        <w:t xml:space="preserve">sizeInBytes</w:t>
      </w:r>
      <w:r>
        <w:t xml:space="preserve"> </w:t>
      </w:r>
      <w:r>
        <w:t xml:space="preserve">(Integer): The maximum file size in bytes.</w:t>
      </w:r>
    </w:p>
    <w:bookmarkEnd w:id="4792"/>
    <w:bookmarkStart w:id="4793" w:name="return-values-218"/>
    <w:p>
      <w:pPr>
        <w:pStyle w:val="Heading2"/>
      </w:pPr>
      <w:r>
        <w:t xml:space="preserve">Return Values</w:t>
      </w:r>
    </w:p>
    <w:p>
      <w:pPr>
        <w:pStyle w:val="FirstParagraph"/>
      </w:pPr>
      <w:r>
        <w:t xml:space="preserve">Returns an</w:t>
      </w:r>
      <w:r>
        <w:t xml:space="preserve"> </w:t>
      </w:r>
      <w:r>
        <w:rPr>
          <w:b/>
          <w:bCs/>
        </w:rPr>
        <w:t xml:space="preserve">Integer</w:t>
      </w:r>
      <w:r>
        <w:t xml:space="preserve"> </w:t>
      </w:r>
      <w:r>
        <w:t xml:space="preserve">representing the size in bytes.</w:t>
      </w:r>
    </w:p>
    <w:bookmarkEnd w:id="4793"/>
    <w:bookmarkStart w:id="4794" w:name="remarks-492"/>
    <w:p>
      <w:pPr>
        <w:pStyle w:val="Heading2"/>
      </w:pPr>
      <w:r>
        <w:t xml:space="preserve">Remarks</w:t>
      </w:r>
    </w:p>
    <w:p>
      <w:pPr>
        <w:pStyle w:val="Compact"/>
        <w:numPr>
          <w:ilvl w:val="0"/>
          <w:numId w:val="2185"/>
        </w:numPr>
      </w:pPr>
      <w:r>
        <w:t xml:space="preserve">The default value is 10,485,760 bytes (10 MB).</w:t>
      </w:r>
    </w:p>
    <w:p>
      <w:pPr>
        <w:pStyle w:val="Compact"/>
        <w:numPr>
          <w:ilvl w:val="0"/>
          <w:numId w:val="2185"/>
        </w:numPr>
      </w:pPr>
      <w:r>
        <w:t xml:space="preserve">Any file exceeding this limit will be rejected during the</w:t>
      </w:r>
      <w:r>
        <w:t xml:space="preserve"> </w:t>
      </w:r>
      <w:r>
        <w:rPr>
          <w:rStyle w:val="VerbatimChar"/>
        </w:rPr>
        <w:t xml:space="preserve">Process</w:t>
      </w:r>
      <w:r>
        <w:t xml:space="preserve"> </w:t>
      </w:r>
      <w:r>
        <w:t xml:space="preserve">or</w:t>
      </w:r>
      <w:r>
        <w:t xml:space="preserve"> </w:t>
      </w:r>
      <w:r>
        <w:rPr>
          <w:rStyle w:val="VerbatimChar"/>
        </w:rPr>
        <w:t xml:space="preserve">ProcessAll</w:t>
      </w:r>
      <w:r>
        <w:t xml:space="preserve"> </w:t>
      </w:r>
      <w:r>
        <w:t xml:space="preserve">methods.</w:t>
      </w:r>
    </w:p>
    <w:bookmarkEnd w:id="4794"/>
    <w:bookmarkStart w:id="4795" w:name="code-example-32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CommentTok"/>
        </w:rPr>
        <w:t xml:space="preserve">' Set limit to 5 MB</w:t>
      </w:r>
      <w:r>
        <w:br/>
      </w:r>
      <w:r>
        <w:rPr>
          <w:rStyle w:val="NormalTok"/>
        </w:rPr>
        <w:t xml:space="preserve">uploader.MaxFileSize = </w:t>
      </w:r>
      <w:r>
        <w:rPr>
          <w:rStyle w:val="DecValTok"/>
        </w:rPr>
        <w:t xml:space="preserve">5242880</w:t>
      </w:r>
      <w:r>
        <w:br/>
      </w:r>
      <w:r>
        <w:rPr>
          <w:rStyle w:val="DataTypeTok"/>
        </w:rPr>
        <w:t xml:space="preserve">%&gt;</w:t>
      </w:r>
    </w:p>
    <w:bookmarkEnd w:id="4795"/>
    <w:bookmarkEnd w:id="4796"/>
    <w:bookmarkStart w:id="4804" w:name="preserveoriginalname-property"/>
    <w:p>
      <w:pPr>
        <w:pStyle w:val="Heading1"/>
      </w:pPr>
      <w:r>
        <w:t xml:space="preserve">PreserveOriginalName Property</w:t>
      </w:r>
    </w:p>
    <w:bookmarkStart w:id="4797" w:name="overview-560"/>
    <w:p>
      <w:pPr>
        <w:pStyle w:val="Heading2"/>
      </w:pPr>
      <w:r>
        <w:t xml:space="preserve">Overview</w:t>
      </w:r>
    </w:p>
    <w:p>
      <w:pPr>
        <w:pStyle w:val="FirstParagraph"/>
      </w:pPr>
      <w:r>
        <w:t xml:space="preserve">Gets or sets a Boolean value that determines whether the uploader should keep the client’s original filename when saving to disk.</w:t>
      </w:r>
    </w:p>
    <w:bookmarkEnd w:id="4797"/>
    <w:bookmarkStart w:id="4798" w:name="syntax-526"/>
    <w:p>
      <w:pPr>
        <w:pStyle w:val="Heading2"/>
      </w:pPr>
      <w:r>
        <w:t xml:space="preserve">Syntax</w:t>
      </w:r>
    </w:p>
    <w:p>
      <w:pPr>
        <w:pStyle w:val="SourceCode"/>
      </w:pPr>
      <w:r>
        <w:rPr>
          <w:rStyle w:val="NormalTok"/>
        </w:rPr>
        <w:t xml:space="preserve">uploader.PreserveOriginalName = mode</w:t>
      </w:r>
      <w:r>
        <w:br/>
      </w:r>
      <w:r>
        <w:rPr>
          <w:rStyle w:val="NormalTok"/>
        </w:rPr>
        <w:t xml:space="preserve">mode = uploader.PreserveOriginalName</w:t>
      </w:r>
    </w:p>
    <w:bookmarkEnd w:id="4798"/>
    <w:bookmarkStart w:id="4799" w:name="parameters-and-arguments-161"/>
    <w:p>
      <w:pPr>
        <w:pStyle w:val="Heading2"/>
      </w:pPr>
      <w:r>
        <w:t xml:space="preserve">Parameters and Arguments</w:t>
      </w:r>
    </w:p>
    <w:p>
      <w:pPr>
        <w:pStyle w:val="Compact"/>
        <w:numPr>
          <w:ilvl w:val="0"/>
          <w:numId w:val="2186"/>
        </w:numPr>
      </w:pPr>
      <w:r>
        <w:rPr>
          <w:rStyle w:val="VerbatimChar"/>
        </w:rPr>
        <w:t xml:space="preserve">mode</w:t>
      </w:r>
      <w:r>
        <w:t xml:space="preserve"> </w:t>
      </w:r>
      <w:r>
        <w:t xml:space="preserve">(Boolean): Set to</w:t>
      </w:r>
      <w:r>
        <w:t xml:space="preserve"> </w:t>
      </w:r>
      <w:r>
        <w:rPr>
          <w:b/>
          <w:bCs/>
        </w:rPr>
        <w:t xml:space="preserve">True</w:t>
      </w:r>
      <w:r>
        <w:t xml:space="preserve"> </w:t>
      </w:r>
      <w:r>
        <w:t xml:space="preserve">to keep the original filename, or</w:t>
      </w:r>
      <w:r>
        <w:t xml:space="preserve"> </w:t>
      </w:r>
      <w:r>
        <w:rPr>
          <w:b/>
          <w:bCs/>
        </w:rPr>
        <w:t xml:space="preserve">False</w:t>
      </w:r>
      <w:r>
        <w:t xml:space="preserve"> </w:t>
      </w:r>
      <w:r>
        <w:t xml:space="preserve">to generate a unique random filename.</w:t>
      </w:r>
    </w:p>
    <w:bookmarkEnd w:id="4799"/>
    <w:bookmarkStart w:id="4800" w:name="return-values-219"/>
    <w:p>
      <w:pPr>
        <w:pStyle w:val="Heading2"/>
      </w:pPr>
      <w:r>
        <w:t xml:space="preserve">Return Values</w:t>
      </w:r>
    </w:p>
    <w:p>
      <w:pPr>
        <w:pStyle w:val="FirstParagraph"/>
      </w:pPr>
      <w:r>
        <w:t xml:space="preserve">Returns a</w:t>
      </w:r>
      <w:r>
        <w:t xml:space="preserve"> </w:t>
      </w:r>
      <w:r>
        <w:rPr>
          <w:b/>
          <w:bCs/>
        </w:rPr>
        <w:t xml:space="preserve">Boolean</w:t>
      </w:r>
      <w:r>
        <w:t xml:space="preserve"> </w:t>
      </w:r>
      <w:r>
        <w:t xml:space="preserve">value.</w:t>
      </w:r>
    </w:p>
    <w:bookmarkEnd w:id="4800"/>
    <w:bookmarkStart w:id="4801" w:name="remarks-493"/>
    <w:p>
      <w:pPr>
        <w:pStyle w:val="Heading2"/>
      </w:pPr>
      <w:r>
        <w:t xml:space="preserve">Remarks</w:t>
      </w:r>
    </w:p>
    <w:p>
      <w:pPr>
        <w:pStyle w:val="Compact"/>
        <w:numPr>
          <w:ilvl w:val="0"/>
          <w:numId w:val="2187"/>
        </w:numPr>
      </w:pPr>
      <w:r>
        <w:t xml:space="preserve">The default value is</w:t>
      </w:r>
      <w:r>
        <w:t xml:space="preserve"> </w:t>
      </w:r>
      <w:r>
        <w:rPr>
          <w:b/>
          <w:bCs/>
        </w:rPr>
        <w:t xml:space="preserve">False</w:t>
      </w:r>
      <w:r>
        <w:t xml:space="preserve"> </w:t>
      </w:r>
      <w:r>
        <w:t xml:space="preserve">(random filename generation) to prevent filename collisions and security risks associated with malicious filenames.</w:t>
      </w:r>
    </w:p>
    <w:p>
      <w:pPr>
        <w:pStyle w:val="Compact"/>
        <w:numPr>
          <w:ilvl w:val="0"/>
          <w:numId w:val="2187"/>
        </w:numPr>
      </w:pPr>
      <w:r>
        <w:t xml:space="preserve">Even if set to</w:t>
      </w:r>
      <w:r>
        <w:t xml:space="preserve"> </w:t>
      </w:r>
      <w:r>
        <w:rPr>
          <w:b/>
          <w:bCs/>
        </w:rPr>
        <w:t xml:space="preserve">True</w:t>
      </w:r>
      <w:r>
        <w:t xml:space="preserve">, you can still provide an explicit filename in the</w:t>
      </w:r>
      <w:r>
        <w:t xml:space="preserve"> </w:t>
      </w:r>
      <w:r>
        <w:rPr>
          <w:rStyle w:val="VerbatimChar"/>
        </w:rPr>
        <w:t xml:space="preserve">Process</w:t>
      </w:r>
      <w:r>
        <w:t xml:space="preserve"> </w:t>
      </w:r>
      <w:r>
        <w:t xml:space="preserve">method’s third argument.</w:t>
      </w:r>
    </w:p>
    <w:bookmarkEnd w:id="4801"/>
    <w:bookmarkStart w:id="4802" w:name="code-example-33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uploader</w:t>
      </w:r>
      <w:r>
        <w:br/>
      </w:r>
      <w:r>
        <w:rPr>
          <w:rStyle w:val="KeywordTok"/>
        </w:rPr>
        <w:t xml:space="preserve">Set</w:t>
      </w:r>
      <w:r>
        <w:rPr>
          <w:rStyle w:val="NormalTok"/>
        </w:rPr>
        <w:t xml:space="preserve"> uploader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"G3FILEUPLOADER"</w:t>
      </w:r>
      <w:r>
        <w:rPr>
          <w:rStyle w:val="OtherTok"/>
        </w:rPr>
        <w:t xml:space="preserve">)</w:t>
      </w:r>
      <w:r>
        <w:br/>
      </w:r>
      <w:r>
        <w:rPr>
          <w:rStyle w:val="NormalTok"/>
        </w:rPr>
        <w:t xml:space="preserve">uploader.PreserveOriginalName = </w:t>
      </w:r>
      <w:r>
        <w:rPr>
          <w:rStyle w:val="KeywordTok"/>
        </w:rPr>
        <w:t xml:space="preserve">True</w:t>
      </w:r>
      <w:r>
        <w:br/>
      </w:r>
      <w:r>
        <w:rPr>
          <w:rStyle w:val="DataTypeTok"/>
        </w:rPr>
        <w:t xml:space="preserve">%&gt;</w:t>
      </w:r>
    </w:p>
    <w:bookmarkEnd w:id="4802"/>
    <w:bookmarkStart w:id="4803" w:name="wscript.shell"/>
    <w:p>
      <w:pPr>
        <w:pStyle w:val="Heading2"/>
      </w:pPr>
      <w:r>
        <w:t xml:space="preserve">WSCRIPT.SHELL</w:t>
      </w:r>
    </w:p>
    <w:bookmarkEnd w:id="4803"/>
    <w:bookmarkEnd w:id="4804"/>
    <w:bookmarkStart w:id="4811" w:name="use-wscript.shell-in-axonasp"/>
    <w:p>
      <w:pPr>
        <w:pStyle w:val="Heading1"/>
      </w:pPr>
      <w:r>
        <w:t xml:space="preserve">Use WScript.Shell in AxonASP</w:t>
      </w:r>
    </w:p>
    <w:bookmarkStart w:id="4805" w:name="overview-561"/>
    <w:p>
      <w:pPr>
        <w:pStyle w:val="Heading2"/>
      </w:pPr>
      <w:r>
        <w:t xml:space="preserve">Overview</w:t>
      </w:r>
    </w:p>
    <w:p>
      <w:pPr>
        <w:pStyle w:val="FirstParagraph"/>
      </w:pPr>
      <w:r>
        <w:t xml:space="preserve">Process and environment shell object.</w:t>
      </w:r>
    </w:p>
    <w:bookmarkEnd w:id="4805"/>
    <w:bookmarkStart w:id="4806" w:name="syntax-527"/>
    <w:p>
      <w:pPr>
        <w:pStyle w:val="Heading2"/>
      </w:pPr>
      <w:r>
        <w:t xml:space="preserve">Syntax</w:t>
      </w:r>
    </w:p>
    <w:p>
      <w:pPr>
        <w:pStyle w:val="SourceCode"/>
      </w:pPr>
      <w:r>
        <w:rPr>
          <w:rStyle w:val="NormalTok"/>
        </w:rPr>
        <w:t xml:space="preserve">Set obj = Server.CreateObject("WScript.Shell")</w:t>
      </w:r>
    </w:p>
    <w:bookmarkEnd w:id="4806"/>
    <w:bookmarkStart w:id="4807" w:name="parameters-and-arguments-162"/>
    <w:p>
      <w:pPr>
        <w:pStyle w:val="Heading2"/>
      </w:pPr>
      <w:r>
        <w:t xml:space="preserve">Parameters and Arguments</w:t>
      </w:r>
    </w:p>
    <w:p>
      <w:pPr>
        <w:pStyle w:val="Compact"/>
        <w:numPr>
          <w:ilvl w:val="0"/>
          <w:numId w:val="2188"/>
        </w:numPr>
      </w:pPr>
      <w:r>
        <w:t xml:space="preserve">ProgID (String, Required): Use one of the supported ProgID forms for this object family.</w:t>
      </w:r>
    </w:p>
    <w:p>
      <w:pPr>
        <w:pStyle w:val="Compact"/>
        <w:numPr>
          <w:ilvl w:val="0"/>
          <w:numId w:val="2188"/>
        </w:numPr>
      </w:pPr>
      <w:r>
        <w:t xml:space="preserve">Member access (Optional): Use documented method/property members from the library reference pages.</w:t>
      </w:r>
    </w:p>
    <w:bookmarkEnd w:id="4807"/>
    <w:bookmarkStart w:id="4808" w:name="return-values-220"/>
    <w:p>
      <w:pPr>
        <w:pStyle w:val="Heading2"/>
      </w:pPr>
      <w:r>
        <w:t xml:space="preserve">Return Values</w:t>
      </w:r>
    </w:p>
    <w:p>
      <w:pPr>
        <w:pStyle w:val="FirstParagraph"/>
      </w:pPr>
      <w:r>
        <w:t xml:space="preserve">Returns a native object handle for this object family.</w:t>
      </w:r>
    </w:p>
    <w:bookmarkEnd w:id="4808"/>
    <w:bookmarkStart w:id="4809" w:name="remarks-494"/>
    <w:p>
      <w:pPr>
        <w:pStyle w:val="Heading2"/>
      </w:pPr>
      <w:r>
        <w:t xml:space="preserve">Remarks</w:t>
      </w:r>
    </w:p>
    <w:p>
      <w:pPr>
        <w:pStyle w:val="Compact"/>
        <w:numPr>
          <w:ilvl w:val="0"/>
          <w:numId w:val="2189"/>
        </w:numPr>
      </w:pPr>
      <w:r>
        <w:t xml:space="preserve">Member names are case-insensitive.</w:t>
      </w:r>
    </w:p>
    <w:p>
      <w:pPr>
        <w:pStyle w:val="Compact"/>
        <w:numPr>
          <w:ilvl w:val="0"/>
          <w:numId w:val="2189"/>
        </w:numPr>
      </w:pPr>
      <w:r>
        <w:t xml:space="preserve">Runtime validation is enforced by object dispatch logic.</w:t>
      </w:r>
    </w:p>
    <w:p>
      <w:pPr>
        <w:pStyle w:val="Compact"/>
        <w:numPr>
          <w:ilvl w:val="0"/>
          <w:numId w:val="2189"/>
        </w:numPr>
      </w:pPr>
      <w:r>
        <w:t xml:space="preserve">See the central library methods/properties pages for member-level coverage.</w:t>
      </w:r>
    </w:p>
    <w:bookmarkEnd w:id="4809"/>
    <w:bookmarkStart w:id="4810" w:name="code-example-33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"WScript.Shell"</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TypeName</w:t>
      </w:r>
      <w:r>
        <w:rPr>
          <w:rStyle w:val="OtherTok"/>
        </w:rPr>
        <w:t xml:space="preserve">(</w:t>
      </w:r>
      <w:r>
        <w:rPr>
          <w:rStyle w:val="NormalTok"/>
        </w:rPr>
        <w:t xml:space="preserve">obj</w:t>
      </w:r>
      <w:r>
        <w:rPr>
          <w:rStyle w:val="OtherTok"/>
        </w:rPr>
        <w:t xml:space="preserve">)</w:t>
      </w:r>
      <w:r>
        <w:br/>
      </w:r>
      <w:r>
        <w:rPr>
          <w:rStyle w:val="DataTypeTok"/>
        </w:rPr>
        <w:t xml:space="preserve">%&gt;</w:t>
      </w:r>
    </w:p>
    <w:bookmarkEnd w:id="4810"/>
    <w:bookmarkEnd w:id="4811"/>
    <w:bookmarkStart w:id="4815" w:name="wscript.shell-methods"/>
    <w:p>
      <w:pPr>
        <w:pStyle w:val="Heading1"/>
      </w:pPr>
      <w:r>
        <w:t xml:space="preserve">WScript.Shell Methods</w:t>
      </w:r>
    </w:p>
    <w:bookmarkStart w:id="4812" w:name="overview-562"/>
    <w:p>
      <w:pPr>
        <w:pStyle w:val="Heading2"/>
      </w:pPr>
      <w:r>
        <w:t xml:space="preserve">Overview</w:t>
      </w:r>
    </w:p>
    <w:p>
      <w:pPr>
        <w:pStyle w:val="FirstParagraph"/>
      </w:pPr>
      <w:r>
        <w:t xml:space="preserve">This page summarizes core methods exposed by the WScript.Shell library in G3Pix AxonASP.</w:t>
      </w:r>
    </w:p>
    <w:bookmarkEnd w:id="4812"/>
    <w:bookmarkStart w:id="4813" w:name="methods-reference-6"/>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Run(command [, windowStyle] [, waitOnReturn])</w:t>
            </w:r>
          </w:p>
        </w:tc>
        <w:tc>
          <w:tcPr/>
          <w:p>
            <w:pPr>
              <w:pStyle w:val="Compact"/>
            </w:pPr>
            <w:r>
              <w:t xml:space="preserve">Integer</w:t>
            </w:r>
          </w:p>
        </w:tc>
        <w:tc>
          <w:tcPr/>
          <w:p>
            <w:pPr>
              <w:pStyle w:val="Compact"/>
            </w:pPr>
            <w:r>
              <w:t xml:space="preserve">Executes a command line. Returns 0 on successful start and successful completion, non-zero process exit code when waitOnReturn is True and the process fails, or -1 when command is missing, empty, or startup fails.</w:t>
            </w:r>
          </w:p>
        </w:tc>
      </w:tr>
      <w:tr>
        <w:tc>
          <w:tcPr/>
          <w:p>
            <w:pPr>
              <w:pStyle w:val="Compact"/>
            </w:pPr>
            <w:r>
              <w:t xml:space="preserve">Exec(command)</w:t>
            </w:r>
          </w:p>
        </w:tc>
        <w:tc>
          <w:tcPr/>
          <w:p>
            <w:pPr>
              <w:pStyle w:val="Compact"/>
            </w:pPr>
            <w:r>
              <w:t xml:space="preserve">Object or Empty</w:t>
            </w:r>
          </w:p>
        </w:tc>
        <w:tc>
          <w:tcPr/>
          <w:p>
            <w:pPr>
              <w:pStyle w:val="Compact"/>
            </w:pPr>
            <w:r>
              <w:t xml:space="preserve">Starts a process asynchronously and returns a process object with stream and status members. Returns Empty when command is missing, empty, or startup fails.</w:t>
            </w:r>
          </w:p>
        </w:tc>
      </w:tr>
      <w:tr>
        <w:tc>
          <w:tcPr/>
          <w:p>
            <w:pPr>
              <w:pStyle w:val="Compact"/>
            </w:pPr>
            <w:r>
              <w:t xml:space="preserve">CreateObject(progID)</w:t>
            </w:r>
          </w:p>
        </w:tc>
        <w:tc>
          <w:tcPr/>
          <w:p>
            <w:pPr>
              <w:pStyle w:val="Compact"/>
            </w:pPr>
            <w:r>
              <w:t xml:space="preserve">Object or Empty</w:t>
            </w:r>
          </w:p>
        </w:tc>
        <w:tc>
          <w:tcPr/>
          <w:p>
            <w:pPr>
              <w:pStyle w:val="Compact"/>
            </w:pPr>
            <w:r>
              <w:t xml:space="preserve">Creates an object using the AxonASP object factory. Returns an object reference on success, or Empty when progID is missing, empty, or object creation fails.</w:t>
            </w:r>
          </w:p>
        </w:tc>
      </w:tr>
      <w:tr>
        <w:tc>
          <w:tcPr/>
          <w:p>
            <w:pPr>
              <w:pStyle w:val="Compact"/>
            </w:pPr>
            <w:r>
              <w:t xml:space="preserve">GetEnv(name)</w:t>
            </w:r>
          </w:p>
        </w:tc>
        <w:tc>
          <w:tcPr/>
          <w:p>
            <w:pPr>
              <w:pStyle w:val="Compact"/>
            </w:pPr>
            <w:r>
              <w:t xml:space="preserve">String</w:t>
            </w:r>
          </w:p>
        </w:tc>
        <w:tc>
          <w:tcPr/>
          <w:p>
            <w:pPr>
              <w:pStyle w:val="Compact"/>
            </w:pPr>
            <w:r>
              <w:t xml:space="preserve">Returns the value of one environment variable. Returns an empty string when name is missing or the variable does not exist.</w:t>
            </w:r>
          </w:p>
        </w:tc>
      </w:tr>
      <w:tr>
        <w:tc>
          <w:tcPr/>
          <w:p>
            <w:pPr>
              <w:pStyle w:val="Compact"/>
            </w:pPr>
            <w:r>
              <w:t xml:space="preserve">ExpandEnvironmentStrings(inputText)</w:t>
            </w:r>
          </w:p>
        </w:tc>
        <w:tc>
          <w:tcPr/>
          <w:p>
            <w:pPr>
              <w:pStyle w:val="Compact"/>
            </w:pPr>
            <w:r>
              <w:t xml:space="preserve">String</w:t>
            </w:r>
          </w:p>
        </w:tc>
        <w:tc>
          <w:tcPr/>
          <w:p>
            <w:pPr>
              <w:pStyle w:val="Compact"/>
            </w:pPr>
            <w:r>
              <w:t xml:space="preserve">Expands percent-delimited environment placeholders such as %PATH%. Returns an empty string when inputText is missing. Unknown placeholders are preserved.</w:t>
            </w:r>
          </w:p>
        </w:tc>
      </w:tr>
    </w:tbl>
    <w:bookmarkEnd w:id="4813"/>
    <w:bookmarkStart w:id="4814" w:name="remarks-495"/>
    <w:p>
      <w:pPr>
        <w:pStyle w:val="Heading2"/>
      </w:pPr>
      <w:r>
        <w:t xml:space="preserve">Remarks</w:t>
      </w:r>
    </w:p>
    <w:p>
      <w:pPr>
        <w:pStyle w:val="Compact"/>
        <w:numPr>
          <w:ilvl w:val="0"/>
          <w:numId w:val="2190"/>
        </w:numPr>
      </w:pPr>
      <w:r>
        <w:t xml:space="preserve">Method names are case-insensitive.</w:t>
      </w:r>
    </w:p>
    <w:p>
      <w:pPr>
        <w:pStyle w:val="Compact"/>
        <w:numPr>
          <w:ilvl w:val="0"/>
          <w:numId w:val="2190"/>
        </w:numPr>
      </w:pPr>
      <w:r>
        <w:t xml:space="preserve">Use Set for object-returning methods such as Exec and CreateObject.</w:t>
      </w:r>
    </w:p>
    <w:bookmarkEnd w:id="4814"/>
    <w:bookmarkEnd w:id="4815"/>
    <w:bookmarkStart w:id="4820" w:name="wscript.shell-properties"/>
    <w:p>
      <w:pPr>
        <w:pStyle w:val="Heading1"/>
      </w:pPr>
      <w:r>
        <w:t xml:space="preserve">WScript.Shell Properties</w:t>
      </w:r>
    </w:p>
    <w:bookmarkStart w:id="4816" w:name="overview-563"/>
    <w:p>
      <w:pPr>
        <w:pStyle w:val="Heading2"/>
      </w:pPr>
      <w:r>
        <w:t xml:space="preserve">Overview</w:t>
      </w:r>
    </w:p>
    <w:p>
      <w:pPr>
        <w:pStyle w:val="FirstParagraph"/>
      </w:pPr>
      <w:r>
        <w:t xml:space="preserve">This page summarizes properties exposed by the WScript.Shell library in G3Pix AxonASP.</w:t>
      </w:r>
    </w:p>
    <w:bookmarkEnd w:id="4816"/>
    <w:bookmarkStart w:id="4817" w:name="properties-reference-6"/>
    <w:p>
      <w:pPr>
        <w:pStyle w:val="Heading2"/>
      </w:pPr>
      <w:r>
        <w:t xml:space="preserve">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None</w:t>
            </w:r>
          </w:p>
        </w:tc>
        <w:tc>
          <w:tcPr/>
          <w:p>
            <w:pPr>
              <w:pStyle w:val="Compact"/>
            </w:pPr>
            <w:r>
              <w:t xml:space="preserve">Not applicable</w:t>
            </w:r>
          </w:p>
        </w:tc>
        <w:tc>
          <w:tcPr/>
          <w:p>
            <w:pPr>
              <w:pStyle w:val="Compact"/>
            </w:pPr>
            <w:r>
              <w:t xml:space="preserve">Not applicable</w:t>
            </w:r>
          </w:p>
        </w:tc>
        <w:tc>
          <w:tcPr/>
          <w:p>
            <w:pPr>
              <w:pStyle w:val="Compact"/>
            </w:pPr>
            <w:r>
              <w:t xml:space="preserve">WScript.Shell does not expose dedicated library properties in this runtime. Property-style access is routed to method dispatch.</w:t>
            </w:r>
          </w:p>
        </w:tc>
      </w:tr>
    </w:tbl>
    <w:bookmarkEnd w:id="4817"/>
    <w:bookmarkStart w:id="4819" w:name="remarks-496"/>
    <w:p>
      <w:pPr>
        <w:pStyle w:val="Heading2"/>
      </w:pPr>
      <w:r>
        <w:t xml:space="preserve">Remarks</w:t>
      </w:r>
    </w:p>
    <w:p>
      <w:pPr>
        <w:pStyle w:val="Compact"/>
        <w:numPr>
          <w:ilvl w:val="0"/>
          <w:numId w:val="2191"/>
        </w:numPr>
      </w:pPr>
      <w:r>
        <w:t xml:space="preserve">Method-style members provide the supported runtime behavior for this library.</w:t>
      </w:r>
    </w:p>
    <w:bookmarkStart w:id="4818" w:name="methods-detail-21"/>
    <w:p>
      <w:pPr>
        <w:pStyle w:val="Heading3"/>
      </w:pPr>
      <w:r>
        <w:t xml:space="preserve">Methods Detail</w:t>
      </w:r>
    </w:p>
    <w:bookmarkEnd w:id="4818"/>
    <w:bookmarkEnd w:id="4819"/>
    <w:bookmarkEnd w:id="4820"/>
    <w:bookmarkStart w:id="4828" w:name="use-createobject-from-wscript.shell"/>
    <w:p>
      <w:pPr>
        <w:pStyle w:val="Heading1"/>
      </w:pPr>
      <w:r>
        <w:t xml:space="preserve">Use CreateObject from WScript.Shell</w:t>
      </w:r>
    </w:p>
    <w:bookmarkStart w:id="4821" w:name="overview-564"/>
    <w:p>
      <w:pPr>
        <w:pStyle w:val="Heading2"/>
      </w:pPr>
      <w:r>
        <w:t xml:space="preserve">Overview</w:t>
      </w:r>
    </w:p>
    <w:p>
      <w:pPr>
        <w:pStyle w:val="FirstParagraph"/>
      </w:pPr>
      <w:r>
        <w:t xml:space="preserve">Use CreateObject to instantiate another COM-style object through the same runtime path used by Server.CreateObject.</w:t>
      </w:r>
    </w:p>
    <w:bookmarkEnd w:id="4821"/>
    <w:bookmarkStart w:id="4822" w:name="syntax-528"/>
    <w:p>
      <w:pPr>
        <w:pStyle w:val="Heading2"/>
      </w:pPr>
      <w:r>
        <w:t xml:space="preserve">Syntax</w:t>
      </w:r>
    </w:p>
    <w:p>
      <w:pPr>
        <w:pStyle w:val="SourceCode"/>
      </w:pPr>
      <w:r>
        <w:rPr>
          <w:rStyle w:val="NormalTok"/>
        </w:rPr>
        <w:t xml:space="preserve">Set result = shell.CreateObject(progID)</w:t>
      </w:r>
    </w:p>
    <w:bookmarkEnd w:id="4822"/>
    <w:bookmarkStart w:id="4823" w:name="parameters-254"/>
    <w:p>
      <w:pPr>
        <w:pStyle w:val="Heading2"/>
      </w:pPr>
      <w:r>
        <w:t xml:space="preserve">Parameters</w:t>
      </w:r>
    </w:p>
    <w:p>
      <w:pPr>
        <w:pStyle w:val="Compact"/>
        <w:numPr>
          <w:ilvl w:val="0"/>
          <w:numId w:val="2192"/>
        </w:numPr>
      </w:pPr>
      <w:r>
        <w:t xml:space="preserve">progID (String, required): Programmatic identifier of the object to create, such as G3JSON, Scripting.Dictionary, or WScript.Shell.</w:t>
      </w:r>
    </w:p>
    <w:bookmarkEnd w:id="4823"/>
    <w:bookmarkStart w:id="4824" w:name="return-value-253"/>
    <w:p>
      <w:pPr>
        <w:pStyle w:val="Heading2"/>
      </w:pPr>
      <w:r>
        <w:t xml:space="preserve">Return Value</w:t>
      </w:r>
    </w:p>
    <w:p>
      <w:pPr>
        <w:pStyle w:val="FirstParagraph"/>
      </w:pPr>
      <w:r>
        <w:t xml:space="preserve">Returns an object reference when creation succeeds.</w:t>
      </w:r>
    </w:p>
    <w:p>
      <w:pPr>
        <w:pStyle w:val="BodyText"/>
      </w:pPr>
      <w:r>
        <w:t xml:space="preserve">Returns Empty when progID is missing, blank, or object creation fails.</w:t>
      </w:r>
    </w:p>
    <w:bookmarkEnd w:id="4824"/>
    <w:bookmarkStart w:id="4825" w:name="how-it-works-28"/>
    <w:p>
      <w:pPr>
        <w:pStyle w:val="Heading2"/>
      </w:pPr>
      <w:r>
        <w:t xml:space="preserve">How It Works</w:t>
      </w:r>
    </w:p>
    <w:p>
      <w:pPr>
        <w:pStyle w:val="Compact"/>
        <w:numPr>
          <w:ilvl w:val="0"/>
          <w:numId w:val="2193"/>
        </w:numPr>
      </w:pPr>
      <w:r>
        <w:t xml:space="preserve">WScript.Shell.CreateObject delegates to the same backend object factory used by Server.CreateObject.</w:t>
      </w:r>
    </w:p>
    <w:p>
      <w:pPr>
        <w:pStyle w:val="Compact"/>
        <w:numPr>
          <w:ilvl w:val="0"/>
          <w:numId w:val="2193"/>
        </w:numPr>
      </w:pPr>
      <w:r>
        <w:t xml:space="preserve">The method does not return a Boolean status. Check the returned value with IsObject.</w:t>
      </w:r>
    </w:p>
    <w:bookmarkEnd w:id="4825"/>
    <w:bookmarkStart w:id="4826" w:name="remarks-497"/>
    <w:p>
      <w:pPr>
        <w:pStyle w:val="Heading2"/>
      </w:pPr>
      <w:r>
        <w:t xml:space="preserve">Remarks</w:t>
      </w:r>
    </w:p>
    <w:p>
      <w:pPr>
        <w:pStyle w:val="Compact"/>
        <w:numPr>
          <w:ilvl w:val="0"/>
          <w:numId w:val="2194"/>
        </w:numPr>
      </w:pPr>
      <w:r>
        <w:t xml:space="preserve">Method names are case-insensitive.</w:t>
      </w:r>
    </w:p>
    <w:p>
      <w:pPr>
        <w:pStyle w:val="Compact"/>
        <w:numPr>
          <w:ilvl w:val="0"/>
          <w:numId w:val="2194"/>
        </w:numPr>
      </w:pPr>
      <w:r>
        <w:t xml:space="preserve">Use Set when assigning the returned object reference.</w:t>
      </w:r>
    </w:p>
    <w:bookmarkEnd w:id="4826"/>
    <w:bookmarkStart w:id="4827" w:name="example-230"/>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shell</w:t>
      </w:r>
      <w:r>
        <w:rPr>
          <w:rStyle w:val="OtherTok"/>
        </w:rPr>
        <w:t xml:space="preserve">,</w:t>
      </w:r>
      <w:r>
        <w:rPr>
          <w:rStyle w:val="NormalTok"/>
        </w:rPr>
        <w:t xml:space="preserve"> dict</w:t>
      </w:r>
      <w:r>
        <w:br/>
      </w:r>
      <w:r>
        <w:rPr>
          <w:rStyle w:val="KeywordTok"/>
        </w:rPr>
        <w:t xml:space="preserve">Set</w:t>
      </w:r>
      <w:r>
        <w:rPr>
          <w:rStyle w:val="NormalTok"/>
        </w:rPr>
        <w:t xml:space="preserve"> shell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"WScript.Shell"</w:t>
      </w:r>
      <w:r>
        <w:rPr>
          <w:rStyle w:val="OtherTok"/>
        </w:rPr>
        <w:t xml:space="preserve">)</w:t>
      </w:r>
      <w:r>
        <w:br/>
      </w:r>
      <w:r>
        <w:rPr>
          <w:rStyle w:val="KeywordTok"/>
        </w:rPr>
        <w:t xml:space="preserve">Set</w:t>
      </w:r>
      <w:r>
        <w:rPr>
          <w:rStyle w:val="NormalTok"/>
        </w:rPr>
        <w:t xml:space="preserve"> dict = shell.</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dict</w:t>
      </w:r>
      <w:r>
        <w:rPr>
          <w:rStyle w:val="OtherTok"/>
        </w:rPr>
        <w:t xml:space="preserve">)</w:t>
      </w:r>
      <w:r>
        <w:rPr>
          <w:rStyle w:val="NormalTok"/>
        </w:rPr>
        <w:t xml:space="preserve"> </w:t>
      </w:r>
      <w:r>
        <w:rPr>
          <w:rStyle w:val="ControlFlowTok"/>
        </w:rPr>
        <w:t xml:space="preserve">Then</w:t>
      </w:r>
      <w:r>
        <w:br/>
      </w:r>
      <w:r>
        <w:rPr>
          <w:rStyle w:val="NormalTok"/>
        </w:rPr>
        <w:t xml:space="preserve">    dict.</w:t>
      </w:r>
      <w:r>
        <w:rPr>
          <w:rStyle w:val="FunctionTok"/>
        </w:rPr>
        <w:t xml:space="preserve">Add</w:t>
      </w:r>
      <w:r>
        <w:rPr>
          <w:rStyle w:val="NormalTok"/>
        </w:rPr>
        <w:t xml:space="preserve"> </w:t>
      </w:r>
      <w:r>
        <w:rPr>
          <w:rStyle w:val="StringTok"/>
        </w:rPr>
        <w:t xml:space="preserve">"engine"</w:t>
      </w:r>
      <w:r>
        <w:rPr>
          <w:rStyle w:val="OtherTok"/>
        </w:rPr>
        <w:t xml:space="preserve">,</w:t>
      </w:r>
      <w:r>
        <w:rPr>
          <w:rStyle w:val="NormalTok"/>
        </w:rPr>
        <w:t xml:space="preserve"> </w:t>
      </w:r>
      <w:r>
        <w:rPr>
          <w:rStyle w:val="StringTok"/>
        </w:rPr>
        <w:t xml:space="preserve">"G3Pix AxonASP"</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dict.</w:t>
      </w:r>
      <w:r>
        <w:rPr>
          <w:rStyle w:val="FunctionTok"/>
        </w:rPr>
        <w:t xml:space="preserve">Item</w:t>
      </w:r>
      <w:r>
        <w:rPr>
          <w:rStyle w:val="OtherTok"/>
        </w:rPr>
        <w:t xml:space="preserve">(</w:t>
      </w:r>
      <w:r>
        <w:rPr>
          <w:rStyle w:val="StringTok"/>
        </w:rPr>
        <w:t xml:space="preserve">"engine"</w:t>
      </w:r>
      <w:r>
        <w:rPr>
          <w:rStyle w:val="OtherTok"/>
        </w:rPr>
        <w:t xml:space="preserv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"CreateObject failed"</w:t>
      </w:r>
      <w:r>
        <w:br/>
      </w:r>
      <w:r>
        <w:rPr>
          <w:rStyle w:val="ControlFlowTok"/>
        </w:rPr>
        <w:t xml:space="preserve">End If</w:t>
      </w:r>
      <w:r>
        <w:br/>
      </w:r>
      <w:r>
        <w:br/>
      </w:r>
      <w:r>
        <w:rPr>
          <w:rStyle w:val="KeywordTok"/>
        </w:rPr>
        <w:t xml:space="preserve">Set</w:t>
      </w:r>
      <w:r>
        <w:rPr>
          <w:rStyle w:val="NormalTok"/>
        </w:rPr>
        <w:t xml:space="preserve"> dict = </w:t>
      </w:r>
      <w:r>
        <w:rPr>
          <w:rStyle w:val="KeywordTok"/>
        </w:rPr>
        <w:t xml:space="preserve">Nothing</w:t>
      </w:r>
      <w:r>
        <w:br/>
      </w:r>
      <w:r>
        <w:rPr>
          <w:rStyle w:val="KeywordTok"/>
        </w:rPr>
        <w:t xml:space="preserve">Set</w:t>
      </w:r>
      <w:r>
        <w:rPr>
          <w:rStyle w:val="NormalTok"/>
        </w:rPr>
        <w:t xml:space="preserve"> shell = </w:t>
      </w:r>
      <w:r>
        <w:rPr>
          <w:rStyle w:val="KeywordTok"/>
        </w:rPr>
        <w:t xml:space="preserve">Nothing</w:t>
      </w:r>
      <w:r>
        <w:br/>
      </w:r>
      <w:r>
        <w:rPr>
          <w:rStyle w:val="DataTypeTok"/>
        </w:rPr>
        <w:t xml:space="preserve">%&gt;</w:t>
      </w:r>
    </w:p>
    <w:bookmarkEnd w:id="4827"/>
    <w:bookmarkEnd w:id="4828"/>
    <w:bookmarkStart w:id="4836" w:name="run-a-command-with-exec"/>
    <w:p>
      <w:pPr>
        <w:pStyle w:val="Heading1"/>
      </w:pPr>
      <w:r>
        <w:t xml:space="preserve">Run a Command with Exec</w:t>
      </w:r>
    </w:p>
    <w:bookmarkStart w:id="4829" w:name="overview-565"/>
    <w:p>
      <w:pPr>
        <w:pStyle w:val="Heading2"/>
      </w:pPr>
      <w:r>
        <w:t xml:space="preserve">Overview</w:t>
      </w:r>
    </w:p>
    <w:p>
      <w:pPr>
        <w:pStyle w:val="FirstParagraph"/>
      </w:pPr>
      <w:r>
        <w:t xml:space="preserve">Use Exec to start a process and interact with it through a process object that exposes output streams and status information.</w:t>
      </w:r>
    </w:p>
    <w:bookmarkEnd w:id="4829"/>
    <w:bookmarkStart w:id="4830" w:name="syntax-529"/>
    <w:p>
      <w:pPr>
        <w:pStyle w:val="Heading2"/>
      </w:pPr>
      <w:r>
        <w:t xml:space="preserve">Syntax</w:t>
      </w:r>
    </w:p>
    <w:p>
      <w:pPr>
        <w:pStyle w:val="SourceCode"/>
      </w:pPr>
      <w:r>
        <w:rPr>
          <w:rStyle w:val="NormalTok"/>
        </w:rPr>
        <w:t xml:space="preserve">Set execObj = shell.Exec(command)</w:t>
      </w:r>
    </w:p>
    <w:bookmarkEnd w:id="4830"/>
    <w:bookmarkStart w:id="4831" w:name="parameters-255"/>
    <w:p>
      <w:pPr>
        <w:pStyle w:val="Heading2"/>
      </w:pPr>
      <w:r>
        <w:t xml:space="preserve">Parameters</w:t>
      </w:r>
    </w:p>
    <w:p>
      <w:pPr>
        <w:pStyle w:val="Compact"/>
        <w:numPr>
          <w:ilvl w:val="0"/>
          <w:numId w:val="2195"/>
        </w:numPr>
      </w:pPr>
      <w:r>
        <w:t xml:space="preserve">command (String, required): Command line to execute.</w:t>
      </w:r>
    </w:p>
    <w:bookmarkEnd w:id="4831"/>
    <w:bookmarkStart w:id="4832" w:name="return-value-254"/>
    <w:p>
      <w:pPr>
        <w:pStyle w:val="Heading2"/>
      </w:pPr>
      <w:r>
        <w:t xml:space="preserve">Return Value</w:t>
      </w:r>
    </w:p>
    <w:p>
      <w:pPr>
        <w:pStyle w:val="FirstParagraph"/>
      </w:pPr>
      <w:r>
        <w:t xml:space="preserve">Returns an object reference that represents the running process when process startup succeeds.</w:t>
      </w:r>
    </w:p>
    <w:p>
      <w:pPr>
        <w:pStyle w:val="BodyText"/>
      </w:pPr>
      <w:r>
        <w:t xml:space="preserve">Returns Empty when command is missing, blank, or process startup fails.</w:t>
      </w:r>
    </w:p>
    <w:bookmarkEnd w:id="4832"/>
    <w:bookmarkStart w:id="4833" w:name="how-it-works-29"/>
    <w:p>
      <w:pPr>
        <w:pStyle w:val="Heading2"/>
      </w:pPr>
      <w:r>
        <w:t xml:space="preserve">How It Works</w:t>
      </w:r>
    </w:p>
    <w:p>
      <w:pPr>
        <w:pStyle w:val="Compact"/>
        <w:numPr>
          <w:ilvl w:val="0"/>
          <w:numId w:val="2196"/>
        </w:numPr>
      </w:pPr>
      <w:r>
        <w:t xml:space="preserve">On Windows, AxonASP runs the command through cmd.exe /c.</w:t>
      </w:r>
    </w:p>
    <w:p>
      <w:pPr>
        <w:pStyle w:val="Compact"/>
        <w:numPr>
          <w:ilvl w:val="0"/>
          <w:numId w:val="2196"/>
        </w:numPr>
      </w:pPr>
      <w:r>
        <w:t xml:space="preserve">The returned process object exposes members such as StdOut, StdErr, Status, ExitCode, and ProcessID.</w:t>
      </w:r>
    </w:p>
    <w:bookmarkEnd w:id="4833"/>
    <w:bookmarkStart w:id="4834" w:name="remarks-498"/>
    <w:p>
      <w:pPr>
        <w:pStyle w:val="Heading2"/>
      </w:pPr>
      <w:r>
        <w:t xml:space="preserve">Remarks</w:t>
      </w:r>
    </w:p>
    <w:p>
      <w:pPr>
        <w:pStyle w:val="Compact"/>
        <w:numPr>
          <w:ilvl w:val="0"/>
          <w:numId w:val="2197"/>
        </w:numPr>
      </w:pPr>
      <w:r>
        <w:t xml:space="preserve">Method names are case-insensitive.</w:t>
      </w:r>
    </w:p>
    <w:p>
      <w:pPr>
        <w:pStyle w:val="Compact"/>
        <w:numPr>
          <w:ilvl w:val="0"/>
          <w:numId w:val="2197"/>
        </w:numPr>
      </w:pPr>
      <w:r>
        <w:t xml:space="preserve">Use Set when assigning the returned process object.</w:t>
      </w:r>
    </w:p>
    <w:p>
      <w:pPr>
        <w:pStyle w:val="Compact"/>
        <w:numPr>
          <w:ilvl w:val="0"/>
          <w:numId w:val="2197"/>
        </w:numPr>
      </w:pPr>
      <w:r>
        <w:t xml:space="preserve">Exec starts asynchronously. Use process state members to track completion.</w:t>
      </w:r>
    </w:p>
    <w:bookmarkEnd w:id="4834"/>
    <w:bookmarkStart w:id="4835" w:name="example-231"/>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shell</w:t>
      </w:r>
      <w:r>
        <w:rPr>
          <w:rStyle w:val="OtherTok"/>
        </w:rPr>
        <w:t xml:space="preserve">,</w:t>
      </w:r>
      <w:r>
        <w:rPr>
          <w:rStyle w:val="NormalTok"/>
        </w:rPr>
        <w:t xml:space="preserve"> execObj</w:t>
      </w:r>
      <w:r>
        <w:br/>
      </w:r>
      <w:r>
        <w:rPr>
          <w:rStyle w:val="KeywordTok"/>
        </w:rPr>
        <w:t xml:space="preserve">Set</w:t>
      </w:r>
      <w:r>
        <w:rPr>
          <w:rStyle w:val="NormalTok"/>
        </w:rPr>
        <w:t xml:space="preserve"> shell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"WScript.Shell"</w:t>
      </w:r>
      <w:r>
        <w:rPr>
          <w:rStyle w:val="OtherTok"/>
        </w:rPr>
        <w:t xml:space="preserve">)</w:t>
      </w:r>
      <w:r>
        <w:br/>
      </w:r>
      <w:r>
        <w:rPr>
          <w:rStyle w:val="KeywordTok"/>
        </w:rPr>
        <w:t xml:space="preserve">Set</w:t>
      </w:r>
      <w:r>
        <w:rPr>
          <w:rStyle w:val="NormalTok"/>
        </w:rPr>
        <w:t xml:space="preserve"> execObj = shell.Exec</w:t>
      </w:r>
      <w:r>
        <w:rPr>
          <w:rStyle w:val="OtherTok"/>
        </w:rPr>
        <w:t xml:space="preserve">(</w:t>
      </w:r>
      <w:r>
        <w:rPr>
          <w:rStyle w:val="StringTok"/>
        </w:rPr>
        <w:t xml:space="preserve">"echo AxonASP"</w:t>
      </w:r>
      <w:r>
        <w:rPr>
          <w:rStyle w:val="OtherTok"/>
        </w:rPr>
        <w:t xml:space="preserve">)</w:t>
      </w:r>
      <w:r>
        <w:br/>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execObj</w:t>
      </w:r>
      <w:r>
        <w:rPr>
          <w:rStyle w:val="OtherTok"/>
        </w:rPr>
        <w:t xml:space="preserve">)</w:t>
      </w:r>
      <w:r>
        <w:rPr>
          <w:rStyle w:val="NormalTok"/>
        </w:rPr>
        <w:t xml:space="preserve"> </w:t>
      </w:r>
      <w:r>
        <w:rPr>
          <w:rStyle w:val="ControlFlowTok"/>
        </w:rPr>
        <w:t xml:space="preserve">Then</w:t>
      </w:r>
      <w:r>
        <w:br/>
      </w:r>
      <w:r>
        <w:rPr>
          <w:rStyle w:val="NormalTok"/>
        </w:rPr>
        <w:t xml:space="preserve">    execObj.WaitUntilDone </w:t>
      </w:r>
      <w:r>
        <w:rPr>
          <w:rStyle w:val="DecValTok"/>
        </w:rPr>
        <w:t xml:space="preserve">5000</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"ExitCode="</w:t>
      </w:r>
      <w:r>
        <w:rPr>
          <w:rStyle w:val="NormalTok"/>
        </w:rPr>
        <w:t xml:space="preserve"> </w:t>
      </w:r>
      <w:r>
        <w:rPr>
          <w:rStyle w:val="KeywordTok"/>
        </w:rPr>
        <w:t xml:space="preserve">&amp;</w:t>
      </w:r>
      <w:r>
        <w:rPr>
          <w:rStyle w:val="NormalTok"/>
        </w:rPr>
        <w:t xml:space="preserve"> execObj.ExitCode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"Exec failed"</w:t>
      </w:r>
      <w:r>
        <w:br/>
      </w:r>
      <w:r>
        <w:rPr>
          <w:rStyle w:val="ControlFlowTok"/>
        </w:rPr>
        <w:t xml:space="preserve">End If</w:t>
      </w:r>
      <w:r>
        <w:br/>
      </w:r>
      <w:r>
        <w:br/>
      </w:r>
      <w:r>
        <w:rPr>
          <w:rStyle w:val="KeywordTok"/>
        </w:rPr>
        <w:t xml:space="preserve">Set</w:t>
      </w:r>
      <w:r>
        <w:rPr>
          <w:rStyle w:val="NormalTok"/>
        </w:rPr>
        <w:t xml:space="preserve"> execObj = </w:t>
      </w:r>
      <w:r>
        <w:rPr>
          <w:rStyle w:val="KeywordTok"/>
        </w:rPr>
        <w:t xml:space="preserve">Nothing</w:t>
      </w:r>
      <w:r>
        <w:br/>
      </w:r>
      <w:r>
        <w:rPr>
          <w:rStyle w:val="KeywordTok"/>
        </w:rPr>
        <w:t xml:space="preserve">Set</w:t>
      </w:r>
      <w:r>
        <w:rPr>
          <w:rStyle w:val="NormalTok"/>
        </w:rPr>
        <w:t xml:space="preserve"> shell = </w:t>
      </w:r>
      <w:r>
        <w:rPr>
          <w:rStyle w:val="KeywordTok"/>
        </w:rPr>
        <w:t xml:space="preserve">Nothing</w:t>
      </w:r>
      <w:r>
        <w:br/>
      </w:r>
      <w:r>
        <w:rPr>
          <w:rStyle w:val="DataTypeTok"/>
        </w:rPr>
        <w:t xml:space="preserve">%&gt;</w:t>
      </w:r>
    </w:p>
    <w:bookmarkEnd w:id="4835"/>
    <w:bookmarkEnd w:id="4836"/>
    <w:bookmarkStart w:id="4844" w:name="expand-environment-variables-in-text"/>
    <w:p>
      <w:pPr>
        <w:pStyle w:val="Heading1"/>
      </w:pPr>
      <w:r>
        <w:t xml:space="preserve">Expand Environment Variables in Text</w:t>
      </w:r>
    </w:p>
    <w:bookmarkStart w:id="4837" w:name="overview-566"/>
    <w:p>
      <w:pPr>
        <w:pStyle w:val="Heading2"/>
      </w:pPr>
      <w:r>
        <w:t xml:space="preserve">Overview</w:t>
      </w:r>
    </w:p>
    <w:p>
      <w:pPr>
        <w:pStyle w:val="FirstParagraph"/>
      </w:pPr>
      <w:r>
        <w:t xml:space="preserve">Use ExpandEnvironmentStrings to replace tokens in the format %NAME% with values from the current process environment.</w:t>
      </w:r>
    </w:p>
    <w:bookmarkEnd w:id="4837"/>
    <w:bookmarkStart w:id="4838" w:name="syntax-530"/>
    <w:p>
      <w:pPr>
        <w:pStyle w:val="Heading2"/>
      </w:pPr>
      <w:r>
        <w:t xml:space="preserve">Syntax</w:t>
      </w:r>
    </w:p>
    <w:p>
      <w:pPr>
        <w:pStyle w:val="SourceCode"/>
      </w:pPr>
      <w:r>
        <w:rPr>
          <w:rStyle w:val="NormalTok"/>
        </w:rPr>
        <w:t xml:space="preserve">expanded = shell.ExpandEnvironmentStrings(inputText)</w:t>
      </w:r>
    </w:p>
    <w:bookmarkEnd w:id="4838"/>
    <w:bookmarkStart w:id="4839" w:name="parameters-256"/>
    <w:p>
      <w:pPr>
        <w:pStyle w:val="Heading2"/>
      </w:pPr>
      <w:r>
        <w:t xml:space="preserve">Parameters</w:t>
      </w:r>
    </w:p>
    <w:p>
      <w:pPr>
        <w:pStyle w:val="Compact"/>
        <w:numPr>
          <w:ilvl w:val="0"/>
          <w:numId w:val="2198"/>
        </w:numPr>
      </w:pPr>
      <w:r>
        <w:t xml:space="preserve">inputText (String, required): Text that may contain one or more %NAME% placeholders.</w:t>
      </w:r>
    </w:p>
    <w:bookmarkEnd w:id="4839"/>
    <w:bookmarkStart w:id="4840" w:name="return-value-255"/>
    <w:p>
      <w:pPr>
        <w:pStyle w:val="Heading2"/>
      </w:pPr>
      <w:r>
        <w:t xml:space="preserve">Return Value</w:t>
      </w:r>
    </w:p>
    <w:p>
      <w:pPr>
        <w:pStyle w:val="FirstParagraph"/>
      </w:pPr>
      <w:r>
        <w:t xml:space="preserve">Returns a String containing the expanded text.</w:t>
      </w:r>
    </w:p>
    <w:p>
      <w:pPr>
        <w:pStyle w:val="BodyText"/>
      </w:pPr>
      <w:r>
        <w:t xml:space="preserve">Returns an empty string when inputText is missing.</w:t>
      </w:r>
    </w:p>
    <w:bookmarkEnd w:id="4840"/>
    <w:bookmarkStart w:id="4841" w:name="how-it-works-30"/>
    <w:p>
      <w:pPr>
        <w:pStyle w:val="Heading2"/>
      </w:pPr>
      <w:r>
        <w:t xml:space="preserve">How It Works</w:t>
      </w:r>
    </w:p>
    <w:p>
      <w:pPr>
        <w:pStyle w:val="Compact"/>
        <w:numPr>
          <w:ilvl w:val="0"/>
          <w:numId w:val="2199"/>
        </w:numPr>
      </w:pPr>
      <w:r>
        <w:t xml:space="preserve">Each %NAME% token is resolved using the current environment.</w:t>
      </w:r>
    </w:p>
    <w:p>
      <w:pPr>
        <w:pStyle w:val="Compact"/>
        <w:numPr>
          <w:ilvl w:val="0"/>
          <w:numId w:val="2199"/>
        </w:numPr>
      </w:pPr>
      <w:r>
        <w:t xml:space="preserve">Unknown variables are preserved as written, for example %UNKNOWN_VAR% remains unchanged.</w:t>
      </w:r>
    </w:p>
    <w:bookmarkEnd w:id="4841"/>
    <w:bookmarkStart w:id="4842" w:name="remarks-499"/>
    <w:p>
      <w:pPr>
        <w:pStyle w:val="Heading2"/>
      </w:pPr>
      <w:r>
        <w:t xml:space="preserve">Remarks</w:t>
      </w:r>
    </w:p>
    <w:p>
      <w:pPr>
        <w:pStyle w:val="Compact"/>
        <w:numPr>
          <w:ilvl w:val="0"/>
          <w:numId w:val="2200"/>
        </w:numPr>
      </w:pPr>
      <w:r>
        <w:t xml:space="preserve">Method names are case-insensitive.</w:t>
      </w:r>
    </w:p>
    <w:p>
      <w:pPr>
        <w:pStyle w:val="Compact"/>
        <w:numPr>
          <w:ilvl w:val="0"/>
          <w:numId w:val="2200"/>
        </w:numPr>
      </w:pPr>
      <w:r>
        <w:t xml:space="preserve">Expansion follows percent-delimited placeholder format only.</w:t>
      </w:r>
    </w:p>
    <w:bookmarkEnd w:id="4842"/>
    <w:bookmarkStart w:id="4843" w:name="example-232"/>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shell</w:t>
      </w:r>
      <w:r>
        <w:rPr>
          <w:rStyle w:val="OtherTok"/>
        </w:rPr>
        <w:t xml:space="preserve">,</w:t>
      </w:r>
      <w:r>
        <w:rPr>
          <w:rStyle w:val="NormalTok"/>
        </w:rPr>
        <w:t xml:space="preserve"> expanded</w:t>
      </w:r>
      <w:r>
        <w:br/>
      </w:r>
      <w:r>
        <w:rPr>
          <w:rStyle w:val="KeywordTok"/>
        </w:rPr>
        <w:t xml:space="preserve">Set</w:t>
      </w:r>
      <w:r>
        <w:rPr>
          <w:rStyle w:val="NormalTok"/>
        </w:rPr>
        <w:t xml:space="preserve"> shell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"WScript.Shell"</w:t>
      </w:r>
      <w:r>
        <w:rPr>
          <w:rStyle w:val="OtherTok"/>
        </w:rPr>
        <w:t xml:space="preserve">)</w:t>
      </w:r>
      <w:r>
        <w:br/>
      </w:r>
      <w:r>
        <w:br/>
      </w:r>
      <w:r>
        <w:rPr>
          <w:rStyle w:val="NormalTok"/>
        </w:rPr>
        <w:t xml:space="preserve">expanded = shell.ExpandEnvironmentStrings</w:t>
      </w:r>
      <w:r>
        <w:rPr>
          <w:rStyle w:val="OtherTok"/>
        </w:rPr>
        <w:t xml:space="preserve">(</w:t>
      </w:r>
      <w:r>
        <w:rPr>
          <w:rStyle w:val="StringTok"/>
        </w:rPr>
        <w:t xml:space="preserve">"PATH=%PATH%"</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expanded</w:t>
      </w:r>
      <w:r>
        <w:br/>
      </w:r>
      <w:r>
        <w:br/>
      </w:r>
      <w:r>
        <w:rPr>
          <w:rStyle w:val="KeywordTok"/>
        </w:rPr>
        <w:t xml:space="preserve">Set</w:t>
      </w:r>
      <w:r>
        <w:rPr>
          <w:rStyle w:val="NormalTok"/>
        </w:rPr>
        <w:t xml:space="preserve"> shell = </w:t>
      </w:r>
      <w:r>
        <w:rPr>
          <w:rStyle w:val="KeywordTok"/>
        </w:rPr>
        <w:t xml:space="preserve">Nothing</w:t>
      </w:r>
      <w:r>
        <w:br/>
      </w:r>
      <w:r>
        <w:rPr>
          <w:rStyle w:val="DataTypeTok"/>
        </w:rPr>
        <w:t xml:space="preserve">%&gt;</w:t>
      </w:r>
    </w:p>
    <w:bookmarkEnd w:id="4843"/>
    <w:bookmarkEnd w:id="4844"/>
    <w:bookmarkStart w:id="4852" w:name="read-an-environment-variable-with-getenv"/>
    <w:p>
      <w:pPr>
        <w:pStyle w:val="Heading1"/>
      </w:pPr>
      <w:r>
        <w:t xml:space="preserve">Read an Environment Variable with GetEnv</w:t>
      </w:r>
    </w:p>
    <w:bookmarkStart w:id="4845" w:name="overview-567"/>
    <w:p>
      <w:pPr>
        <w:pStyle w:val="Heading2"/>
      </w:pPr>
      <w:r>
        <w:t xml:space="preserve">Overview</w:t>
      </w:r>
    </w:p>
    <w:p>
      <w:pPr>
        <w:pStyle w:val="FirstParagraph"/>
      </w:pPr>
      <w:r>
        <w:t xml:space="preserve">Use GetEnv to read one environment variable from the current process environment.</w:t>
      </w:r>
    </w:p>
    <w:bookmarkEnd w:id="4845"/>
    <w:bookmarkStart w:id="4846" w:name="syntax-531"/>
    <w:p>
      <w:pPr>
        <w:pStyle w:val="Heading2"/>
      </w:pPr>
      <w:r>
        <w:t xml:space="preserve">Syntax</w:t>
      </w:r>
    </w:p>
    <w:p>
      <w:pPr>
        <w:pStyle w:val="SourceCode"/>
      </w:pPr>
      <w:r>
        <w:rPr>
          <w:rStyle w:val="NormalTok"/>
        </w:rPr>
        <w:t xml:space="preserve">value = shell.GetEnv(name)</w:t>
      </w:r>
    </w:p>
    <w:bookmarkEnd w:id="4846"/>
    <w:bookmarkStart w:id="4847" w:name="parameters-257"/>
    <w:p>
      <w:pPr>
        <w:pStyle w:val="Heading2"/>
      </w:pPr>
      <w:r>
        <w:t xml:space="preserve">Parameters</w:t>
      </w:r>
    </w:p>
    <w:p>
      <w:pPr>
        <w:pStyle w:val="Compact"/>
        <w:numPr>
          <w:ilvl w:val="0"/>
          <w:numId w:val="2201"/>
        </w:numPr>
      </w:pPr>
      <w:r>
        <w:t xml:space="preserve">name (String, required): Environment variable name, such as PATH, TEMP, or USERNAME.</w:t>
      </w:r>
    </w:p>
    <w:bookmarkEnd w:id="4847"/>
    <w:bookmarkStart w:id="4848" w:name="return-value-256"/>
    <w:p>
      <w:pPr>
        <w:pStyle w:val="Heading2"/>
      </w:pPr>
      <w:r>
        <w:t xml:space="preserve">Return Value</w:t>
      </w:r>
    </w:p>
    <w:p>
      <w:pPr>
        <w:pStyle w:val="FirstParagraph"/>
      </w:pPr>
      <w:r>
        <w:t xml:space="preserve">Returns a String containing the variable value when the variable exists.</w:t>
      </w:r>
    </w:p>
    <w:p>
      <w:pPr>
        <w:pStyle w:val="BodyText"/>
      </w:pPr>
      <w:r>
        <w:t xml:space="preserve">Returns an empty string when name is missing or when the variable is not defined.</w:t>
      </w:r>
    </w:p>
    <w:bookmarkEnd w:id="4848"/>
    <w:bookmarkStart w:id="4849" w:name="how-it-works-31"/>
    <w:p>
      <w:pPr>
        <w:pStyle w:val="Heading2"/>
      </w:pPr>
      <w:r>
        <w:t xml:space="preserve">How It Works</w:t>
      </w:r>
    </w:p>
    <w:p>
      <w:pPr>
        <w:pStyle w:val="Compact"/>
        <w:numPr>
          <w:ilvl w:val="0"/>
          <w:numId w:val="2202"/>
        </w:numPr>
      </w:pPr>
      <w:r>
        <w:t xml:space="preserve">The method reads directly from the OS process environment seen by AxonASP.</w:t>
      </w:r>
    </w:p>
    <w:p>
      <w:pPr>
        <w:pStyle w:val="Compact"/>
        <w:numPr>
          <w:ilvl w:val="0"/>
          <w:numId w:val="2202"/>
        </w:numPr>
      </w:pPr>
      <w:r>
        <w:t xml:space="preserve">Missing variables do not raise an error. The method returns an empty string.</w:t>
      </w:r>
    </w:p>
    <w:bookmarkEnd w:id="4849"/>
    <w:bookmarkStart w:id="4850" w:name="remarks-500"/>
    <w:p>
      <w:pPr>
        <w:pStyle w:val="Heading2"/>
      </w:pPr>
      <w:r>
        <w:t xml:space="preserve">Remarks</w:t>
      </w:r>
    </w:p>
    <w:p>
      <w:pPr>
        <w:pStyle w:val="Compact"/>
        <w:numPr>
          <w:ilvl w:val="0"/>
          <w:numId w:val="2203"/>
        </w:numPr>
      </w:pPr>
      <w:r>
        <w:t xml:space="preserve">Method names are case-insensitive.</w:t>
      </w:r>
    </w:p>
    <w:p>
      <w:pPr>
        <w:pStyle w:val="Compact"/>
        <w:numPr>
          <w:ilvl w:val="0"/>
          <w:numId w:val="2203"/>
        </w:numPr>
      </w:pPr>
      <w:r>
        <w:t xml:space="preserve">The alias EnvironmentVariables is also accepted.</w:t>
      </w:r>
    </w:p>
    <w:bookmarkEnd w:id="4850"/>
    <w:bookmarkStart w:id="4851" w:name="example-233"/>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shell</w:t>
      </w:r>
      <w:r>
        <w:rPr>
          <w:rStyle w:val="OtherTok"/>
        </w:rPr>
        <w:t xml:space="preserve">,</w:t>
      </w:r>
      <w:r>
        <w:rPr>
          <w:rStyle w:val="NormalTok"/>
        </w:rPr>
        <w:t xml:space="preserve"> pathValue</w:t>
      </w:r>
      <w:r>
        <w:br/>
      </w:r>
      <w:r>
        <w:rPr>
          <w:rStyle w:val="KeywordTok"/>
        </w:rPr>
        <w:t xml:space="preserve">Set</w:t>
      </w:r>
      <w:r>
        <w:rPr>
          <w:rStyle w:val="NormalTok"/>
        </w:rPr>
        <w:t xml:space="preserve"> shell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"WScript.Shell"</w:t>
      </w:r>
      <w:r>
        <w:rPr>
          <w:rStyle w:val="OtherTok"/>
        </w:rPr>
        <w:t xml:space="preserve">)</w:t>
      </w:r>
      <w:r>
        <w:br/>
      </w:r>
      <w:r>
        <w:br/>
      </w:r>
      <w:r>
        <w:rPr>
          <w:rStyle w:val="NormalTok"/>
        </w:rPr>
        <w:t xml:space="preserve">pathValue = shell.GetEnv</w:t>
      </w:r>
      <w:r>
        <w:rPr>
          <w:rStyle w:val="OtherTok"/>
        </w:rPr>
        <w:t xml:space="preserve">(</w:t>
      </w:r>
      <w:r>
        <w:rPr>
          <w:rStyle w:val="StringTok"/>
        </w:rPr>
        <w:t xml:space="preserve">"PATH"</w:t>
      </w:r>
      <w:r>
        <w:rPr>
          <w:rStyle w:val="OtherTok"/>
        </w:rPr>
        <w:t xml:space="preserve">)</w:t>
      </w:r>
      <w:r>
        <w:br/>
      </w:r>
      <w:r>
        <w:rPr>
          <w:rStyle w:val="ControlFlowTok"/>
        </w:rPr>
        <w:t xml:space="preserve">If</w:t>
      </w:r>
      <w:r>
        <w:rPr>
          <w:rStyle w:val="NormalTok"/>
        </w:rPr>
        <w:t xml:space="preserve"> pathValue = </w:t>
      </w:r>
      <w:r>
        <w:rPr>
          <w:rStyle w:val="String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"PATH is not available"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"PATH length: "</w:t>
      </w:r>
      <w:r>
        <w:rPr>
          <w:rStyle w:val="NormalTok"/>
        </w:rPr>
        <w:t xml:space="preserve"> </w:t>
      </w:r>
      <w:r>
        <w:rPr>
          <w:rStyle w:val="KeywordTok"/>
        </w:rPr>
        <w:t xml:space="preserve">&amp;</w:t>
      </w:r>
      <w:r>
        <w:rPr>
          <w:rStyle w:val="NormalTok"/>
        </w:rPr>
        <w:t xml:space="preserve"> </w:t>
      </w:r>
      <w:r>
        <w:rPr>
          <w:rStyle w:val="FunctionTok"/>
        </w:rPr>
        <w:t xml:space="preserve">Len</w:t>
      </w:r>
      <w:r>
        <w:rPr>
          <w:rStyle w:val="OtherTok"/>
        </w:rPr>
        <w:t xml:space="preserve">(</w:t>
      </w:r>
      <w:r>
        <w:rPr>
          <w:rStyle w:val="NormalTok"/>
        </w:rPr>
        <w:t xml:space="preserve">pathValue</w:t>
      </w:r>
      <w:r>
        <w:rPr>
          <w:rStyle w:val="OtherTok"/>
        </w:rPr>
        <w:t xml:space="preserve">)</w:t>
      </w:r>
      <w:r>
        <w:br/>
      </w:r>
      <w:r>
        <w:rPr>
          <w:rStyle w:val="ControlFlowTok"/>
        </w:rPr>
        <w:t xml:space="preserve">End If</w:t>
      </w:r>
      <w:r>
        <w:br/>
      </w:r>
      <w:r>
        <w:br/>
      </w:r>
      <w:r>
        <w:rPr>
          <w:rStyle w:val="KeywordTok"/>
        </w:rPr>
        <w:t xml:space="preserve">Set</w:t>
      </w:r>
      <w:r>
        <w:rPr>
          <w:rStyle w:val="NormalTok"/>
        </w:rPr>
        <w:t xml:space="preserve"> shell = </w:t>
      </w:r>
      <w:r>
        <w:rPr>
          <w:rStyle w:val="KeywordTok"/>
        </w:rPr>
        <w:t xml:space="preserve">Nothing</w:t>
      </w:r>
      <w:r>
        <w:br/>
      </w:r>
      <w:r>
        <w:rPr>
          <w:rStyle w:val="DataTypeTok"/>
        </w:rPr>
        <w:t xml:space="preserve">%&gt;</w:t>
      </w:r>
    </w:p>
    <w:bookmarkEnd w:id="4851"/>
    <w:bookmarkEnd w:id="4852"/>
    <w:bookmarkStart w:id="4861" w:name="run-a-command-with-run"/>
    <w:p>
      <w:pPr>
        <w:pStyle w:val="Heading1"/>
      </w:pPr>
      <w:r>
        <w:t xml:space="preserve">Run a Command with Run</w:t>
      </w:r>
    </w:p>
    <w:bookmarkStart w:id="4853" w:name="overview-568"/>
    <w:p>
      <w:pPr>
        <w:pStyle w:val="Heading2"/>
      </w:pPr>
      <w:r>
        <w:t xml:space="preserve">Overview</w:t>
      </w:r>
    </w:p>
    <w:p>
      <w:pPr>
        <w:pStyle w:val="FirstParagraph"/>
      </w:pPr>
      <w:r>
        <w:t xml:space="preserve">Use Run to execute a command line and receive an Integer status code.</w:t>
      </w:r>
    </w:p>
    <w:bookmarkEnd w:id="4853"/>
    <w:bookmarkStart w:id="4854" w:name="syntax-532"/>
    <w:p>
      <w:pPr>
        <w:pStyle w:val="Heading2"/>
      </w:pPr>
      <w:r>
        <w:t xml:space="preserve">Syntax</w:t>
      </w:r>
    </w:p>
    <w:p>
      <w:pPr>
        <w:pStyle w:val="SourceCode"/>
      </w:pPr>
      <w:r>
        <w:rPr>
          <w:rStyle w:val="NormalTok"/>
        </w:rPr>
        <w:t xml:space="preserve">exitCode = shell.Run(command, windowStyle, waitOnReturn)</w:t>
      </w:r>
    </w:p>
    <w:bookmarkEnd w:id="4854"/>
    <w:bookmarkStart w:id="4855" w:name="parameters-258"/>
    <w:p>
      <w:pPr>
        <w:pStyle w:val="Heading2"/>
      </w:pPr>
      <w:r>
        <w:t xml:space="preserve">Parameters</w:t>
      </w:r>
    </w:p>
    <w:p>
      <w:pPr>
        <w:pStyle w:val="Compact"/>
        <w:numPr>
          <w:ilvl w:val="0"/>
          <w:numId w:val="2204"/>
        </w:numPr>
      </w:pPr>
      <w:r>
        <w:t xml:space="preserve">command (String, required): Command line to execute.</w:t>
      </w:r>
    </w:p>
    <w:p>
      <w:pPr>
        <w:pStyle w:val="Compact"/>
        <w:numPr>
          <w:ilvl w:val="0"/>
          <w:numId w:val="2204"/>
        </w:numPr>
      </w:pPr>
      <w:r>
        <w:t xml:space="preserve">windowStyle (Integer, optional): Accepted for compatibility. Current AxonASP runtime does not apply this value.</w:t>
      </w:r>
    </w:p>
    <w:p>
      <w:pPr>
        <w:pStyle w:val="Compact"/>
        <w:numPr>
          <w:ilvl w:val="0"/>
          <w:numId w:val="2204"/>
        </w:numPr>
      </w:pPr>
      <w:r>
        <w:t xml:space="preserve">waitOnReturn (Boolean, optional): When True, waits for process completion before returning. Default is True.</w:t>
      </w:r>
    </w:p>
    <w:bookmarkEnd w:id="4855"/>
    <w:bookmarkStart w:id="4856" w:name="return-value-257"/>
    <w:p>
      <w:pPr>
        <w:pStyle w:val="Heading2"/>
      </w:pPr>
      <w:r>
        <w:t xml:space="preserve">Return Value</w:t>
      </w:r>
    </w:p>
    <w:p>
      <w:pPr>
        <w:pStyle w:val="FirstParagraph"/>
      </w:pPr>
      <w:r>
        <w:t xml:space="preserve">Returns Integer 0 when command start succeeds and either:</w:t>
      </w:r>
      <w:r>
        <w:t xml:space="preserve"> </w:t>
      </w:r>
      <w:r>
        <w:t xml:space="preserve">- the process finishes successfully when waitOnReturn is True, or</w:t>
      </w:r>
      <w:r>
        <w:t xml:space="preserve"> </w:t>
      </w:r>
      <w:r>
        <w:t xml:space="preserve">- the process starts successfully when waitOnReturn is False.</w:t>
      </w:r>
    </w:p>
    <w:p>
      <w:pPr>
        <w:pStyle w:val="BodyText"/>
      </w:pPr>
      <w:r>
        <w:t xml:space="preserve">Returns an Integer greater than 0 when waitOnReturn is True and the process exits with a non-zero exit code.</w:t>
      </w:r>
    </w:p>
    <w:p>
      <w:pPr>
        <w:pStyle w:val="BodyText"/>
      </w:pPr>
      <w:r>
        <w:t xml:space="preserve">Returns Integer -1 when command is missing, blank, or process startup fails.</w:t>
      </w:r>
    </w:p>
    <w:bookmarkEnd w:id="4856"/>
    <w:bookmarkStart w:id="4857" w:name="how-it-works-32"/>
    <w:p>
      <w:pPr>
        <w:pStyle w:val="Heading2"/>
      </w:pPr>
      <w:r>
        <w:t xml:space="preserve">How It Works</w:t>
      </w:r>
    </w:p>
    <w:p>
      <w:pPr>
        <w:pStyle w:val="Compact"/>
        <w:numPr>
          <w:ilvl w:val="0"/>
          <w:numId w:val="2205"/>
        </w:numPr>
      </w:pPr>
      <w:r>
        <w:t xml:space="preserve">On Windows, AxonASP executes the command through cmd.exe /c.</w:t>
      </w:r>
    </w:p>
    <w:p>
      <w:pPr>
        <w:pStyle w:val="Compact"/>
        <w:numPr>
          <w:ilvl w:val="0"/>
          <w:numId w:val="2205"/>
        </w:numPr>
      </w:pPr>
      <w:r>
        <w:t xml:space="preserve">On non-Windows environments, AxonASP executes through sh -c.</w:t>
      </w:r>
    </w:p>
    <w:bookmarkEnd w:id="4857"/>
    <w:bookmarkStart w:id="4858" w:name="remarks-501"/>
    <w:p>
      <w:pPr>
        <w:pStyle w:val="Heading2"/>
      </w:pPr>
      <w:r>
        <w:t xml:space="preserve">Remarks</w:t>
      </w:r>
    </w:p>
    <w:p>
      <w:pPr>
        <w:pStyle w:val="Compact"/>
        <w:numPr>
          <w:ilvl w:val="0"/>
          <w:numId w:val="2206"/>
        </w:numPr>
      </w:pPr>
      <w:r>
        <w:t xml:space="preserve">Method names are case-insensitive.</w:t>
      </w:r>
    </w:p>
    <w:p>
      <w:pPr>
        <w:pStyle w:val="Compact"/>
        <w:numPr>
          <w:ilvl w:val="0"/>
          <w:numId w:val="2206"/>
        </w:numPr>
      </w:pPr>
      <w:r>
        <w:t xml:space="preserve">Run does not return process output. Use Exec when you need StdOut or StdErr streams.</w:t>
      </w:r>
    </w:p>
    <w:bookmarkEnd w:id="4858"/>
    <w:bookmarkStart w:id="4859" w:name="example-234"/>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shell</w:t>
      </w:r>
      <w:r>
        <w:rPr>
          <w:rStyle w:val="OtherTok"/>
        </w:rPr>
        <w:t xml:space="preserve">,</w:t>
      </w:r>
      <w:r>
        <w:rPr>
          <w:rStyle w:val="NormalTok"/>
        </w:rPr>
        <w:t xml:space="preserve"> code</w:t>
      </w:r>
      <w:r>
        <w:br/>
      </w:r>
      <w:r>
        <w:rPr>
          <w:rStyle w:val="KeywordTok"/>
        </w:rPr>
        <w:t xml:space="preserve">Set</w:t>
      </w:r>
      <w:r>
        <w:rPr>
          <w:rStyle w:val="NormalTok"/>
        </w:rPr>
        <w:t xml:space="preserve"> shell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"WScript.Shell"</w:t>
      </w:r>
      <w:r>
        <w:rPr>
          <w:rStyle w:val="OtherTok"/>
        </w:rPr>
        <w:t xml:space="preserve">)</w:t>
      </w:r>
      <w:r>
        <w:br/>
      </w:r>
      <w:r>
        <w:br/>
      </w:r>
      <w:r>
        <w:rPr>
          <w:rStyle w:val="NormalTok"/>
        </w:rPr>
        <w:t xml:space="preserve">code = shell.Run</w:t>
      </w:r>
      <w:r>
        <w:rPr>
          <w:rStyle w:val="OtherTok"/>
        </w:rPr>
        <w:t xml:space="preserve">(</w:t>
      </w:r>
      <w:r>
        <w:rPr>
          <w:rStyle w:val="StringTok"/>
        </w:rPr>
        <w:t xml:space="preserve">"cmd /c echo G3Pix AxonASP"</w:t>
      </w:r>
      <w:r>
        <w:rPr>
          <w:rStyle w:val="OtherTok"/>
        </w:rPr>
        <w:t xml:space="preserve">,</w:t>
      </w:r>
      <w:r>
        <w:rPr>
          <w:rStyle w:val="NormalTok"/>
        </w:rPr>
        <w:t xml:space="preserve"> </w:t>
      </w:r>
      <w:r>
        <w:rPr>
          <w:rStyle w:val="DecValTok"/>
        </w:rPr>
        <w:t xml:space="preserve">0</w:t>
      </w:r>
      <w:r>
        <w:rPr>
          <w:rStyle w:val="OtherTok"/>
        </w:rPr>
        <w:t xml:space="preserve">,</w:t>
      </w:r>
      <w:r>
        <w:rPr>
          <w:rStyle w:val="NormalTok"/>
        </w:rPr>
        <w:t xml:space="preserve"> </w:t>
      </w:r>
      <w:r>
        <w:rPr>
          <w:rStyle w:val="KeywordTok"/>
        </w:rPr>
        <w:t xml:space="preserve">True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"Run returned: "</w:t>
      </w:r>
      <w:r>
        <w:rPr>
          <w:rStyle w:val="NormalTok"/>
        </w:rPr>
        <w:t xml:space="preserve"> </w:t>
      </w:r>
      <w:r>
        <w:rPr>
          <w:rStyle w:val="KeywordTok"/>
        </w:rPr>
        <w:t xml:space="preserve">&amp;</w:t>
      </w:r>
      <w:r>
        <w:rPr>
          <w:rStyle w:val="NormalTok"/>
        </w:rPr>
        <w:t xml:space="preserve"> code</w:t>
      </w:r>
      <w:r>
        <w:br/>
      </w:r>
      <w:r>
        <w:br/>
      </w:r>
      <w:r>
        <w:rPr>
          <w:rStyle w:val="KeywordTok"/>
        </w:rPr>
        <w:t xml:space="preserve">Set</w:t>
      </w:r>
      <w:r>
        <w:rPr>
          <w:rStyle w:val="NormalTok"/>
        </w:rPr>
        <w:t xml:space="preserve"> shell = </w:t>
      </w:r>
      <w:r>
        <w:rPr>
          <w:rStyle w:val="KeywordTok"/>
        </w:rPr>
        <w:t xml:space="preserve">Nothing</w:t>
      </w:r>
      <w:r>
        <w:br/>
      </w:r>
      <w:r>
        <w:rPr>
          <w:rStyle w:val="DataTypeTok"/>
        </w:rPr>
        <w:t xml:space="preserve">%&gt;</w:t>
      </w:r>
    </w:p>
    <w:bookmarkEnd w:id="4859"/>
    <w:bookmarkStart w:id="4860" w:name="adox.catalog"/>
    <w:p>
      <w:pPr>
        <w:pStyle w:val="Heading2"/>
      </w:pPr>
      <w:r>
        <w:t xml:space="preserve">ADOX.CATALOG</w:t>
      </w:r>
    </w:p>
    <w:bookmarkEnd w:id="4860"/>
    <w:bookmarkEnd w:id="4861"/>
    <w:bookmarkStart w:id="4870" w:name="use-adox.catalog-in-g3pix-axonasp"/>
    <w:p>
      <w:pPr>
        <w:pStyle w:val="Heading1"/>
      </w:pPr>
      <w:r>
        <w:t xml:space="preserve">Use ADOX.Catalog in G3Pix AxonASP</w:t>
      </w:r>
    </w:p>
    <w:bookmarkStart w:id="4862" w:name="overview-569"/>
    <w:p>
      <w:pPr>
        <w:pStyle w:val="Heading2"/>
      </w:pPr>
      <w:r>
        <w:t xml:space="preserve">Overview</w:t>
      </w:r>
    </w:p>
    <w:p>
      <w:pPr>
        <w:pStyle w:val="FirstParagraph"/>
      </w:pPr>
      <w:r>
        <w:t xml:space="preserve">Use ADOX.Catalog to inspect database table metadata through the catalog surface implemented by G3Pix AxonASP.</w:t>
      </w:r>
    </w:p>
    <w:bookmarkEnd w:id="4862"/>
    <w:bookmarkStart w:id="4863" w:name="prerequisites-157"/>
    <w:p>
      <w:pPr>
        <w:pStyle w:val="Heading2"/>
      </w:pPr>
      <w:r>
        <w:t xml:space="preserve">Prerequisites</w:t>
      </w:r>
    </w:p>
    <w:p>
      <w:pPr>
        <w:pStyle w:val="Compact"/>
        <w:numPr>
          <w:ilvl w:val="0"/>
          <w:numId w:val="2207"/>
        </w:numPr>
      </w:pPr>
      <w:r>
        <w:t xml:space="preserve">A valid ADO connection object or connection string.</w:t>
      </w:r>
    </w:p>
    <w:p>
      <w:pPr>
        <w:pStyle w:val="Compact"/>
        <w:numPr>
          <w:ilvl w:val="0"/>
          <w:numId w:val="2207"/>
        </w:numPr>
      </w:pPr>
      <w:r>
        <w:t xml:space="preserve">A database provider supported by the current runtime path.</w:t>
      </w:r>
    </w:p>
    <w:bookmarkEnd w:id="4863"/>
    <w:bookmarkStart w:id="4864" w:name="syntax-533"/>
    <w:p>
      <w:pPr>
        <w:pStyle w:val="Heading2"/>
      </w:pPr>
      <w:r>
        <w:t xml:space="preserve">Syntax</w:t>
      </w:r>
    </w:p>
    <w:p>
      <w:pPr>
        <w:pStyle w:val="SourceCode"/>
      </w:pPr>
      <w:r>
        <w:rPr>
          <w:rStyle w:val="NormalTok"/>
        </w:rPr>
        <w:t xml:space="preserve">Set catalog = Server.CreateObject("ADOX.Catalog")</w:t>
      </w:r>
      <w:r>
        <w:br/>
      </w:r>
      <w:r>
        <w:rPr>
          <w:rStyle w:val="NormalTok"/>
        </w:rPr>
        <w:t xml:space="preserve">catalog.ActiveConnection = connectionObject</w:t>
      </w:r>
      <w:r>
        <w:br/>
      </w:r>
      <w:r>
        <w:rPr>
          <w:rStyle w:val="NormalTok"/>
        </w:rPr>
        <w:t xml:space="preserve">Set tables = catalog.Tables</w:t>
      </w:r>
    </w:p>
    <w:bookmarkEnd w:id="4864"/>
    <w:bookmarkStart w:id="4865" w:name="parameters-and-arguments-163"/>
    <w:p>
      <w:pPr>
        <w:pStyle w:val="Heading2"/>
      </w:pPr>
      <w:r>
        <w:t xml:space="preserve">Parameters and Arguments</w:t>
      </w:r>
    </w:p>
    <w:p>
      <w:pPr>
        <w:pStyle w:val="Compact"/>
        <w:numPr>
          <w:ilvl w:val="0"/>
          <w:numId w:val="2208"/>
        </w:numPr>
      </w:pPr>
      <w:r>
        <w:t xml:space="preserve">ProgID (String, required): Use ADOX.Catalog.</w:t>
      </w:r>
    </w:p>
    <w:p>
      <w:pPr>
        <w:pStyle w:val="Compact"/>
        <w:numPr>
          <w:ilvl w:val="0"/>
          <w:numId w:val="2208"/>
        </w:numPr>
      </w:pPr>
      <w:r>
        <w:t xml:space="preserve">ActiveConnection assignment value (required before reading schema):</w:t>
      </w:r>
    </w:p>
    <w:p>
      <w:pPr>
        <w:pStyle w:val="Compact"/>
        <w:numPr>
          <w:ilvl w:val="1"/>
          <w:numId w:val="2209"/>
        </w:numPr>
      </w:pPr>
      <w:r>
        <w:t xml:space="preserve">ADODB connection object, or</w:t>
      </w:r>
    </w:p>
    <w:p>
      <w:pPr>
        <w:pStyle w:val="Compact"/>
        <w:numPr>
          <w:ilvl w:val="1"/>
          <w:numId w:val="2209"/>
        </w:numPr>
      </w:pPr>
      <w:r>
        <w:t xml:space="preserve">connection string.</w:t>
      </w:r>
    </w:p>
    <w:bookmarkEnd w:id="4865"/>
    <w:bookmarkStart w:id="4866" w:name="return-value-258"/>
    <w:p>
      <w:pPr>
        <w:pStyle w:val="Heading2"/>
      </w:pPr>
      <w:r>
        <w:t xml:space="preserve">Return Value</w:t>
      </w:r>
    </w:p>
    <w:p>
      <w:pPr>
        <w:pStyle w:val="FirstParagraph"/>
      </w:pPr>
      <w:r>
        <w:rPr>
          <w:rStyle w:val="VerbatimChar"/>
        </w:rPr>
        <w:t xml:space="preserve">Server.CreateObject("ADOX.Catalog")</w:t>
      </w:r>
      <w:r>
        <w:t xml:space="preserve"> </w:t>
      </w:r>
      <w:r>
        <w:t xml:space="preserve">returns an object reference to the catalog instance.</w:t>
      </w:r>
    </w:p>
    <w:bookmarkEnd w:id="4866"/>
    <w:bookmarkStart w:id="4867" w:name="how-it-works-33"/>
    <w:p>
      <w:pPr>
        <w:pStyle w:val="Heading2"/>
      </w:pPr>
      <w:r>
        <w:t xml:space="preserve">How It Works</w:t>
      </w:r>
    </w:p>
    <w:p>
      <w:pPr>
        <w:pStyle w:val="Compact"/>
        <w:numPr>
          <w:ilvl w:val="0"/>
          <w:numId w:val="2210"/>
        </w:numPr>
      </w:pPr>
      <w:r>
        <w:t xml:space="preserve">The catalog stores ActiveConnection and resolves table metadata when Tables is read.</w:t>
      </w:r>
    </w:p>
    <w:p>
      <w:pPr>
        <w:pStyle w:val="Compact"/>
        <w:numPr>
          <w:ilvl w:val="0"/>
          <w:numId w:val="2210"/>
        </w:numPr>
      </w:pPr>
      <w:r>
        <w:t xml:space="preserve">On Windows, the runtime first attempts OLE schema discovery.</w:t>
      </w:r>
    </w:p>
    <w:p>
      <w:pPr>
        <w:pStyle w:val="Compact"/>
        <w:numPr>
          <w:ilvl w:val="0"/>
          <w:numId w:val="2210"/>
        </w:numPr>
      </w:pPr>
      <w:r>
        <w:t xml:space="preserve">When OLE is not available, the runtime uses native schema queries supported by the current connection backend.</w:t>
      </w:r>
    </w:p>
    <w:bookmarkEnd w:id="4867"/>
    <w:bookmarkStart w:id="4868" w:name="remarks-502"/>
    <w:p>
      <w:pPr>
        <w:pStyle w:val="Heading2"/>
      </w:pPr>
      <w:r>
        <w:t xml:space="preserve">Remarks</w:t>
      </w:r>
    </w:p>
    <w:p>
      <w:pPr>
        <w:pStyle w:val="Compact"/>
        <w:numPr>
          <w:ilvl w:val="0"/>
          <w:numId w:val="2211"/>
        </w:numPr>
      </w:pPr>
      <w:r>
        <w:t xml:space="preserve">Member names are case-insensitive.</w:t>
      </w:r>
    </w:p>
    <w:p>
      <w:pPr>
        <w:pStyle w:val="Compact"/>
        <w:numPr>
          <w:ilvl w:val="0"/>
          <w:numId w:val="2211"/>
        </w:numPr>
      </w:pPr>
      <w:r>
        <w:t xml:space="preserve">Tables is evaluated lazily and cached until ActiveConnection is changed.</w:t>
      </w:r>
    </w:p>
    <w:bookmarkEnd w:id="4868"/>
    <w:bookmarkStart w:id="4869" w:name="example-235"/>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conn</w:t>
      </w:r>
      <w:r>
        <w:rPr>
          <w:rStyle w:val="OtherTok"/>
        </w:rPr>
        <w:t xml:space="preserve">,</w:t>
      </w:r>
      <w:r>
        <w:rPr>
          <w:rStyle w:val="NormalTok"/>
        </w:rPr>
        <w:t xml:space="preserve"> catalog</w:t>
      </w:r>
      <w:r>
        <w:rPr>
          <w:rStyle w:val="OtherTok"/>
        </w:rPr>
        <w:t xml:space="preserve">,</w:t>
      </w:r>
      <w:r>
        <w:rPr>
          <w:rStyle w:val="NormalTok"/>
        </w:rPr>
        <w:t xml:space="preserve"> tables</w:t>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w:t>
      </w:r>
      <w:r>
        <w:rPr>
          <w:rStyle w:val="KeywordTok"/>
        </w:rPr>
        <w:t xml:space="preserve">Open</w:t>
      </w:r>
      <w:r>
        <w:rPr>
          <w:rStyle w:val="NormalTok"/>
        </w:rPr>
        <w:t xml:space="preserve"> </w:t>
      </w:r>
      <w:r>
        <w:rPr>
          <w:rStyle w:val="StringTok"/>
        </w:rPr>
        <w:t xml:space="preserve">"Data Source=./temp/sample.db;Version=3;"</w:t>
      </w:r>
      <w:r>
        <w:br/>
      </w:r>
      <w:r>
        <w:br/>
      </w:r>
      <w:r>
        <w:rPr>
          <w:rStyle w:val="KeywordTok"/>
        </w:rPr>
        <w:t xml:space="preserve">Set</w:t>
      </w:r>
      <w:r>
        <w:rPr>
          <w:rStyle w:val="NormalTok"/>
        </w:rPr>
        <w:t xml:space="preserve"> catalog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"ADOX.Catalog"</w:t>
      </w:r>
      <w:r>
        <w:rPr>
          <w:rStyle w:val="OtherTok"/>
        </w:rPr>
        <w:t xml:space="preserve">)</w:t>
      </w:r>
      <w:r>
        <w:br/>
      </w:r>
      <w:r>
        <w:rPr>
          <w:rStyle w:val="KeywordTok"/>
        </w:rPr>
        <w:t xml:space="preserve">Set</w:t>
      </w:r>
      <w:r>
        <w:rPr>
          <w:rStyle w:val="NormalTok"/>
        </w:rPr>
        <w:t xml:space="preserve"> catalog.ActiveConnection = conn</w:t>
      </w:r>
      <w:r>
        <w:br/>
      </w:r>
      <w:r>
        <w:rPr>
          <w:rStyle w:val="KeywordTok"/>
        </w:rPr>
        <w:t xml:space="preserve">Set</w:t>
      </w:r>
      <w:r>
        <w:rPr>
          <w:rStyle w:val="NormalTok"/>
        </w:rPr>
        <w:t xml:space="preserve"> tables = catalog.Tables</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"Table count: "</w:t>
      </w:r>
      <w:r>
        <w:rPr>
          <w:rStyle w:val="NormalTok"/>
        </w:rPr>
        <w:t xml:space="preserve"> </w:t>
      </w:r>
      <w:r>
        <w:rPr>
          <w:rStyle w:val="KeywordTok"/>
        </w:rPr>
        <w:t xml:space="preserve">&amp;</w:t>
      </w:r>
      <w:r>
        <w:rPr>
          <w:rStyle w:val="NormalTok"/>
        </w:rPr>
        <w:t xml:space="preserve"> tables.Count</w:t>
      </w:r>
      <w:r>
        <w:br/>
      </w:r>
      <w:r>
        <w:br/>
      </w:r>
      <w:r>
        <w:rPr>
          <w:rStyle w:val="KeywordTok"/>
        </w:rPr>
        <w:t xml:space="preserve">Set</w:t>
      </w:r>
      <w:r>
        <w:rPr>
          <w:rStyle w:val="NormalTok"/>
        </w:rPr>
        <w:t xml:space="preserve"> tables = </w:t>
      </w:r>
      <w:r>
        <w:rPr>
          <w:rStyle w:val="KeywordTok"/>
        </w:rPr>
        <w:t xml:space="preserve">Nothing</w:t>
      </w:r>
      <w:r>
        <w:br/>
      </w:r>
      <w:r>
        <w:rPr>
          <w:rStyle w:val="KeywordTok"/>
        </w:rPr>
        <w:t xml:space="preserve">Set</w:t>
      </w:r>
      <w:r>
        <w:rPr>
          <w:rStyle w:val="NormalTok"/>
        </w:rPr>
        <w:t xml:space="preserve"> catalog = </w:t>
      </w:r>
      <w:r>
        <w:rPr>
          <w:rStyle w:val="KeywordTok"/>
        </w:rPr>
        <w:t xml:space="preserve">Nothing</w:t>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4869"/>
    <w:bookmarkEnd w:id="4870"/>
    <w:bookmarkStart w:id="4874" w:name="adox.catalog-methods"/>
    <w:p>
      <w:pPr>
        <w:pStyle w:val="Heading1"/>
      </w:pPr>
      <w:r>
        <w:t xml:space="preserve">ADOX.Catalog Methods</w:t>
      </w:r>
    </w:p>
    <w:bookmarkStart w:id="4871" w:name="overview-570"/>
    <w:p>
      <w:pPr>
        <w:pStyle w:val="Heading2"/>
      </w:pPr>
      <w:r>
        <w:t xml:space="preserve">Overview</w:t>
      </w:r>
    </w:p>
    <w:p>
      <w:pPr>
        <w:pStyle w:val="FirstParagraph"/>
      </w:pPr>
      <w:r>
        <w:t xml:space="preserve">This page summarizes callable methods exposed directly by ADOX.Catalog in G3Pix AxonASP.</w:t>
      </w:r>
    </w:p>
    <w:bookmarkEnd w:id="4871"/>
    <w:bookmarkStart w:id="4872" w:name="methods-reference-7"/>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None</w:t>
            </w:r>
          </w:p>
        </w:tc>
        <w:tc>
          <w:tcPr/>
          <w:p>
            <w:pPr>
              <w:pStyle w:val="Compact"/>
            </w:pPr>
            <w:r>
              <w:t xml:space="preserve">Not applicable</w:t>
            </w:r>
          </w:p>
        </w:tc>
        <w:tc>
          <w:tcPr/>
          <w:p>
            <w:pPr>
              <w:pStyle w:val="Compact"/>
            </w:pPr>
            <w:r>
              <w:t xml:space="preserve">The catalog object does not expose direct methods. Use properties such as ActiveConnection and Tables.</w:t>
            </w:r>
          </w:p>
        </w:tc>
      </w:tr>
    </w:tbl>
    <w:bookmarkEnd w:id="4872"/>
    <w:bookmarkStart w:id="4873" w:name="remarks-503"/>
    <w:p>
      <w:pPr>
        <w:pStyle w:val="Heading2"/>
      </w:pPr>
      <w:r>
        <w:t xml:space="preserve">Remarks</w:t>
      </w:r>
    </w:p>
    <w:p>
      <w:pPr>
        <w:pStyle w:val="Compact"/>
        <w:numPr>
          <w:ilvl w:val="0"/>
          <w:numId w:val="2212"/>
        </w:numPr>
      </w:pPr>
      <w:r>
        <w:t xml:space="preserve">Method-style calls on the catalog object return Empty in this runtime.</w:t>
      </w:r>
    </w:p>
    <w:bookmarkEnd w:id="4873"/>
    <w:bookmarkEnd w:id="4874"/>
    <w:bookmarkStart w:id="4879" w:name="adox.catalog-properties"/>
    <w:p>
      <w:pPr>
        <w:pStyle w:val="Heading1"/>
      </w:pPr>
      <w:r>
        <w:t xml:space="preserve">ADOX.Catalog Properties</w:t>
      </w:r>
    </w:p>
    <w:bookmarkStart w:id="4875" w:name="overview-571"/>
    <w:p>
      <w:pPr>
        <w:pStyle w:val="Heading2"/>
      </w:pPr>
      <w:r>
        <w:t xml:space="preserve">Overview</w:t>
      </w:r>
    </w:p>
    <w:p>
      <w:pPr>
        <w:pStyle w:val="FirstParagraph"/>
      </w:pPr>
      <w:r>
        <w:t xml:space="preserve">This page summarizes properties exposed by ADOX.Catalog in G3Pix AxonASP.</w:t>
      </w:r>
    </w:p>
    <w:bookmarkEnd w:id="4875"/>
    <w:bookmarkStart w:id="4876" w:name="properties-reference-7"/>
    <w:p>
      <w:pPr>
        <w:pStyle w:val="Heading2"/>
      </w:pPr>
      <w:r>
        <w:t xml:space="preserve">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ActiveConnection</w:t>
            </w:r>
          </w:p>
        </w:tc>
        <w:tc>
          <w:tcPr/>
          <w:p>
            <w:pPr>
              <w:pStyle w:val="Compact"/>
            </w:pPr>
            <w:r>
              <w:t xml:space="preserve">Read/Write</w:t>
            </w:r>
          </w:p>
        </w:tc>
        <w:tc>
          <w:tcPr/>
          <w:p>
            <w:pPr>
              <w:pStyle w:val="Compact"/>
            </w:pPr>
            <w:r>
              <w:t xml:space="preserve">Object or String or Empty</w:t>
            </w:r>
          </w:p>
        </w:tc>
        <w:tc>
          <w:tcPr/>
          <w:p>
            <w:pPr>
              <w:pStyle w:val="Compact"/>
            </w:pPr>
            <w:r>
              <w:t xml:space="preserve">Stores the current catalog connection source. Assign an ADODB connection object or a connection string.</w:t>
            </w:r>
          </w:p>
        </w:tc>
      </w:tr>
      <w:tr>
        <w:tc>
          <w:tcPr/>
          <w:p>
            <w:pPr>
              <w:pStyle w:val="Compact"/>
            </w:pPr>
            <w:r>
              <w:t xml:space="preserve">Tables</w:t>
            </w:r>
          </w:p>
        </w:tc>
        <w:tc>
          <w:tcPr/>
          <w:p>
            <w:pPr>
              <w:pStyle w:val="Compact"/>
            </w:pPr>
            <w:r>
              <w:t xml:space="preserve">Read-only</w:t>
            </w:r>
          </w:p>
        </w:tc>
        <w:tc>
          <w:tcPr/>
          <w:p>
            <w:pPr>
              <w:pStyle w:val="Compact"/>
            </w:pPr>
            <w:r>
              <w:t xml:space="preserve">Object</w:t>
            </w:r>
          </w:p>
        </w:tc>
        <w:tc>
          <w:tcPr/>
          <w:p>
            <w:pPr>
              <w:pStyle w:val="Compact"/>
            </w:pPr>
            <w:r>
              <w:t xml:space="preserve">Returns an ADOX table collection object representing discovered tables and views for ActiveConnection.</w:t>
            </w:r>
          </w:p>
        </w:tc>
      </w:tr>
    </w:tbl>
    <w:bookmarkEnd w:id="4876"/>
    <w:bookmarkStart w:id="4878" w:name="remarks-504"/>
    <w:p>
      <w:pPr>
        <w:pStyle w:val="Heading2"/>
      </w:pPr>
      <w:r>
        <w:t xml:space="preserve">Remarks</w:t>
      </w:r>
    </w:p>
    <w:p>
      <w:pPr>
        <w:pStyle w:val="Compact"/>
        <w:numPr>
          <w:ilvl w:val="0"/>
          <w:numId w:val="2213"/>
        </w:numPr>
      </w:pPr>
      <w:r>
        <w:t xml:space="preserve">Property names are case-insensitive.</w:t>
      </w:r>
    </w:p>
    <w:p>
      <w:pPr>
        <w:pStyle w:val="Compact"/>
        <w:numPr>
          <w:ilvl w:val="0"/>
          <w:numId w:val="2213"/>
        </w:numPr>
      </w:pPr>
      <w:r>
        <w:t xml:space="preserve">Assigning ActiveConnection resets cached Tables metadata.</w:t>
      </w:r>
    </w:p>
    <w:bookmarkStart w:id="4877" w:name="properties-detail-13"/>
    <w:p>
      <w:pPr>
        <w:pStyle w:val="Heading3"/>
      </w:pPr>
      <w:r>
        <w:t xml:space="preserve">Properties Detail</w:t>
      </w:r>
    </w:p>
    <w:bookmarkEnd w:id="4877"/>
    <w:bookmarkEnd w:id="4878"/>
    <w:bookmarkEnd w:id="4879"/>
    <w:bookmarkStart w:id="4888" w:name="set-catalog-activeconnection"/>
    <w:p>
      <w:pPr>
        <w:pStyle w:val="Heading1"/>
      </w:pPr>
      <w:r>
        <w:t xml:space="preserve">Set Catalog ActiveConnection</w:t>
      </w:r>
    </w:p>
    <w:bookmarkStart w:id="4880" w:name="overview-572"/>
    <w:p>
      <w:pPr>
        <w:pStyle w:val="Heading2"/>
      </w:pPr>
      <w:r>
        <w:t xml:space="preserve">Overview</w:t>
      </w:r>
    </w:p>
    <w:p>
      <w:pPr>
        <w:pStyle w:val="FirstParagraph"/>
      </w:pPr>
      <w:r>
        <w:t xml:space="preserve">Use ActiveConnection to define the connection source used by ADOX.Catalog for schema discovery.</w:t>
      </w:r>
    </w:p>
    <w:bookmarkEnd w:id="4880"/>
    <w:bookmarkStart w:id="4881" w:name="syntax-534"/>
    <w:p>
      <w:pPr>
        <w:pStyle w:val="Heading2"/>
      </w:pPr>
      <w:r>
        <w:t xml:space="preserve">Syntax</w:t>
      </w:r>
    </w:p>
    <w:p>
      <w:pPr>
        <w:pStyle w:val="SourceCode"/>
      </w:pPr>
      <w:r>
        <w:rPr>
          <w:rStyle w:val="NormalTok"/>
        </w:rPr>
        <w:t xml:space="preserve">Set catalog.ActiveConnection = connectionObject</w:t>
      </w:r>
      <w:r>
        <w:br/>
      </w:r>
      <w:r>
        <w:rPr>
          <w:rStyle w:val="NormalTok"/>
        </w:rPr>
        <w:t xml:space="preserve">catalog.ActiveConnection = connectionString</w:t>
      </w:r>
      <w:r>
        <w:br/>
      </w:r>
      <w:r>
        <w:rPr>
          <w:rStyle w:val="NormalTok"/>
        </w:rPr>
        <w:t xml:space="preserve">value = catalog.ActiveConnection</w:t>
      </w:r>
    </w:p>
    <w:bookmarkEnd w:id="4881"/>
    <w:bookmarkStart w:id="4882" w:name="parameters-259"/>
    <w:p>
      <w:pPr>
        <w:pStyle w:val="Heading2"/>
      </w:pPr>
      <w:r>
        <w:t xml:space="preserve">Parameters</w:t>
      </w:r>
    </w:p>
    <w:p>
      <w:pPr>
        <w:pStyle w:val="Compact"/>
        <w:numPr>
          <w:ilvl w:val="0"/>
          <w:numId w:val="2214"/>
        </w:numPr>
      </w:pPr>
      <w:r>
        <w:t xml:space="preserve">Setter value (required for assignment):</w:t>
      </w:r>
    </w:p>
    <w:p>
      <w:pPr>
        <w:pStyle w:val="Compact"/>
        <w:numPr>
          <w:ilvl w:val="1"/>
          <w:numId w:val="2215"/>
        </w:numPr>
      </w:pPr>
      <w:r>
        <w:t xml:space="preserve">ADODB connection object, or</w:t>
      </w:r>
    </w:p>
    <w:p>
      <w:pPr>
        <w:pStyle w:val="Compact"/>
        <w:numPr>
          <w:ilvl w:val="1"/>
          <w:numId w:val="2215"/>
        </w:numPr>
      </w:pPr>
      <w:r>
        <w:t xml:space="preserve">connection string.</w:t>
      </w:r>
    </w:p>
    <w:bookmarkEnd w:id="4882"/>
    <w:bookmarkStart w:id="4883" w:name="return-value-259"/>
    <w:p>
      <w:pPr>
        <w:pStyle w:val="Heading2"/>
      </w:pPr>
      <w:r>
        <w:t xml:space="preserve">Return Value</w:t>
      </w:r>
    </w:p>
    <w:p>
      <w:pPr>
        <w:pStyle w:val="FirstParagraph"/>
      </w:pPr>
      <w:r>
        <w:t xml:space="preserve">Getter returns the value currently stored in ActiveConnection:</w:t>
      </w:r>
      <w:r>
        <w:t xml:space="preserve"> </w:t>
      </w:r>
      <w:r>
        <w:t xml:space="preserve">- Object when set with an ADODB connection object.</w:t>
      </w:r>
      <w:r>
        <w:t xml:space="preserve"> </w:t>
      </w:r>
      <w:r>
        <w:t xml:space="preserve">- String when set with a connection string.</w:t>
      </w:r>
      <w:r>
        <w:t xml:space="preserve"> </w:t>
      </w:r>
      <w:r>
        <w:t xml:space="preserve">- Empty when never assigned.</w:t>
      </w:r>
    </w:p>
    <w:p>
      <w:pPr>
        <w:pStyle w:val="BodyText"/>
      </w:pPr>
      <w:r>
        <w:t xml:space="preserve">Setter returns no value.</w:t>
      </w:r>
    </w:p>
    <w:bookmarkEnd w:id="4883"/>
    <w:bookmarkStart w:id="4884" w:name="how-it-works-34"/>
    <w:p>
      <w:pPr>
        <w:pStyle w:val="Heading2"/>
      </w:pPr>
      <w:r>
        <w:t xml:space="preserve">How It Works</w:t>
      </w:r>
    </w:p>
    <w:p>
      <w:pPr>
        <w:pStyle w:val="Compact"/>
        <w:numPr>
          <w:ilvl w:val="0"/>
          <w:numId w:val="2216"/>
        </w:numPr>
      </w:pPr>
      <w:r>
        <w:t xml:space="preserve">Assigning ActiveConnection updates the connection source used by Tables.</w:t>
      </w:r>
    </w:p>
    <w:p>
      <w:pPr>
        <w:pStyle w:val="Compact"/>
        <w:numPr>
          <w:ilvl w:val="0"/>
          <w:numId w:val="2216"/>
        </w:numPr>
      </w:pPr>
      <w:r>
        <w:t xml:space="preserve">Each assignment invalidates previously cached Tables metadata.</w:t>
      </w:r>
    </w:p>
    <w:bookmarkEnd w:id="4884"/>
    <w:bookmarkStart w:id="4885" w:name="remarks-505"/>
    <w:p>
      <w:pPr>
        <w:pStyle w:val="Heading2"/>
      </w:pPr>
      <w:r>
        <w:t xml:space="preserve">Remarks</w:t>
      </w:r>
    </w:p>
    <w:p>
      <w:pPr>
        <w:pStyle w:val="Compact"/>
        <w:numPr>
          <w:ilvl w:val="0"/>
          <w:numId w:val="2217"/>
        </w:numPr>
      </w:pPr>
      <w:r>
        <w:t xml:space="preserve">Property names are case-insensitive.</w:t>
      </w:r>
    </w:p>
    <w:p>
      <w:pPr>
        <w:pStyle w:val="Compact"/>
        <w:numPr>
          <w:ilvl w:val="0"/>
          <w:numId w:val="2217"/>
        </w:numPr>
      </w:pPr>
      <w:r>
        <w:t xml:space="preserve">Use Set when assigning an object value.</w:t>
      </w:r>
    </w:p>
    <w:bookmarkEnd w:id="4885"/>
    <w:bookmarkStart w:id="4886" w:name="example-236"/>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conn</w:t>
      </w:r>
      <w:r>
        <w:rPr>
          <w:rStyle w:val="OtherTok"/>
        </w:rPr>
        <w:t xml:space="preserve">,</w:t>
      </w:r>
      <w:r>
        <w:rPr>
          <w:rStyle w:val="NormalTok"/>
        </w:rPr>
        <w:t xml:space="preserve"> catalog</w:t>
      </w:r>
      <w:r>
        <w:rPr>
          <w:rStyle w:val="OtherTok"/>
        </w:rPr>
        <w:t xml:space="preserve">,</w:t>
      </w:r>
      <w:r>
        <w:rPr>
          <w:rStyle w:val="NormalTok"/>
        </w:rPr>
        <w:t xml:space="preserve"> current</w:t>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w:t>
      </w:r>
      <w:r>
        <w:rPr>
          <w:rStyle w:val="KeywordTok"/>
        </w:rPr>
        <w:t xml:space="preserve">Open</w:t>
      </w:r>
      <w:r>
        <w:rPr>
          <w:rStyle w:val="NormalTok"/>
        </w:rPr>
        <w:t xml:space="preserve"> </w:t>
      </w:r>
      <w:r>
        <w:rPr>
          <w:rStyle w:val="StringTok"/>
        </w:rPr>
        <w:t xml:space="preserve">"Data Source=./temp/sample.db;Version=3;"</w:t>
      </w:r>
      <w:r>
        <w:br/>
      </w:r>
      <w:r>
        <w:br/>
      </w:r>
      <w:r>
        <w:rPr>
          <w:rStyle w:val="KeywordTok"/>
        </w:rPr>
        <w:t xml:space="preserve">Set</w:t>
      </w:r>
      <w:r>
        <w:rPr>
          <w:rStyle w:val="NormalTok"/>
        </w:rPr>
        <w:t xml:space="preserve"> catalog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"ADOX.Catalog"</w:t>
      </w:r>
      <w:r>
        <w:rPr>
          <w:rStyle w:val="OtherTok"/>
        </w:rPr>
        <w:t xml:space="preserve">)</w:t>
      </w:r>
      <w:r>
        <w:br/>
      </w:r>
      <w:r>
        <w:rPr>
          <w:rStyle w:val="KeywordTok"/>
        </w:rPr>
        <w:t xml:space="preserve">Set</w:t>
      </w:r>
      <w:r>
        <w:rPr>
          <w:rStyle w:val="NormalTok"/>
        </w:rPr>
        <w:t xml:space="preserve"> catalog.ActiveConnection = conn</w:t>
      </w:r>
      <w:r>
        <w:br/>
      </w:r>
      <w:r>
        <w:br/>
      </w:r>
      <w:r>
        <w:rPr>
          <w:rStyle w:val="KeywordTok"/>
        </w:rPr>
        <w:t xml:space="preserve">Set</w:t>
      </w:r>
      <w:r>
        <w:rPr>
          <w:rStyle w:val="NormalTok"/>
        </w:rPr>
        <w:t xml:space="preserve"> current = catalog.ActiveConnection</w:t>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current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"ActiveConnection is an object"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"ActiveConnection is not an object"</w:t>
      </w:r>
      <w:r>
        <w:br/>
      </w:r>
      <w:r>
        <w:rPr>
          <w:rStyle w:val="ControlFlowTok"/>
        </w:rPr>
        <w:t xml:space="preserve">End If</w:t>
      </w:r>
      <w:r>
        <w:br/>
      </w:r>
      <w:r>
        <w:br/>
      </w:r>
      <w:r>
        <w:rPr>
          <w:rStyle w:val="KeywordTok"/>
        </w:rPr>
        <w:t xml:space="preserve">Set</w:t>
      </w:r>
      <w:r>
        <w:rPr>
          <w:rStyle w:val="NormalTok"/>
        </w:rPr>
        <w:t xml:space="preserve"> current = </w:t>
      </w:r>
      <w:r>
        <w:rPr>
          <w:rStyle w:val="KeywordTok"/>
        </w:rPr>
        <w:t xml:space="preserve">Nothing</w:t>
      </w:r>
      <w:r>
        <w:br/>
      </w:r>
      <w:r>
        <w:rPr>
          <w:rStyle w:val="KeywordTok"/>
        </w:rPr>
        <w:t xml:space="preserve">Set</w:t>
      </w:r>
      <w:r>
        <w:rPr>
          <w:rStyle w:val="NormalTok"/>
        </w:rPr>
        <w:t xml:space="preserve"> catalog = </w:t>
      </w:r>
      <w:r>
        <w:rPr>
          <w:rStyle w:val="KeywordTok"/>
        </w:rPr>
        <w:t xml:space="preserve">Nothing</w:t>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4886"/>
    <w:bookmarkStart w:id="4887" w:name="mswc-components"/>
    <w:p>
      <w:pPr>
        <w:pStyle w:val="Heading2"/>
      </w:pPr>
      <w:r>
        <w:t xml:space="preserve">MSWC Components</w:t>
      </w:r>
    </w:p>
    <w:bookmarkEnd w:id="4887"/>
    <w:bookmarkEnd w:id="4888"/>
    <w:bookmarkStart w:id="4894" w:name="use-mswc-components-in-g3pix-axonasp"/>
    <w:p>
      <w:pPr>
        <w:pStyle w:val="Heading1"/>
      </w:pPr>
      <w:r>
        <w:t xml:space="preserve">Use MSWC Components in G3Pix AxonASP</w:t>
      </w:r>
    </w:p>
    <w:bookmarkStart w:id="4889" w:name="overview-573"/>
    <w:p>
      <w:pPr>
        <w:pStyle w:val="Heading2"/>
      </w:pPr>
      <w:r>
        <w:t xml:space="preserve">Overview</w:t>
      </w:r>
    </w:p>
    <w:p>
      <w:pPr>
        <w:pStyle w:val="FirstParagraph"/>
      </w:pPr>
      <w:r>
        <w:t xml:space="preserve">G3Pix AxonASP provides a compatibility surface for legacy MSWC-style components. Each component is exposed through native object dispatch with case-insensitive member names.</w:t>
      </w:r>
    </w:p>
    <w:bookmarkEnd w:id="4889"/>
    <w:bookmarkStart w:id="4890" w:name="supported-progids-1"/>
    <w:p>
      <w:pPr>
        <w:pStyle w:val="Heading2"/>
      </w:pPr>
      <w:r>
        <w:t xml:space="preserve">Supported ProgIDs</w:t>
      </w:r>
    </w:p>
    <w:p>
      <w:pPr>
        <w:pStyle w:val="Compact"/>
        <w:numPr>
          <w:ilvl w:val="0"/>
          <w:numId w:val="2218"/>
        </w:numPr>
      </w:pPr>
      <w:r>
        <w:t xml:space="preserve">MSWC.AdRotator</w:t>
      </w:r>
    </w:p>
    <w:p>
      <w:pPr>
        <w:pStyle w:val="Compact"/>
        <w:numPr>
          <w:ilvl w:val="0"/>
          <w:numId w:val="2218"/>
        </w:numPr>
      </w:pPr>
      <w:r>
        <w:t xml:space="preserve">MSWC.BrowserType</w:t>
      </w:r>
    </w:p>
    <w:p>
      <w:pPr>
        <w:pStyle w:val="Compact"/>
        <w:numPr>
          <w:ilvl w:val="0"/>
          <w:numId w:val="2218"/>
        </w:numPr>
      </w:pPr>
      <w:r>
        <w:t xml:space="preserve">MSWC.NextLink</w:t>
      </w:r>
    </w:p>
    <w:p>
      <w:pPr>
        <w:pStyle w:val="Compact"/>
        <w:numPr>
          <w:ilvl w:val="0"/>
          <w:numId w:val="2218"/>
        </w:numPr>
      </w:pPr>
      <w:r>
        <w:t xml:space="preserve">MSWC.ContentRotator</w:t>
      </w:r>
    </w:p>
    <w:p>
      <w:pPr>
        <w:pStyle w:val="Compact"/>
        <w:numPr>
          <w:ilvl w:val="0"/>
          <w:numId w:val="2218"/>
        </w:numPr>
      </w:pPr>
      <w:r>
        <w:t xml:space="preserve">MSWC.Counters</w:t>
      </w:r>
    </w:p>
    <w:p>
      <w:pPr>
        <w:pStyle w:val="Compact"/>
        <w:numPr>
          <w:ilvl w:val="0"/>
          <w:numId w:val="2218"/>
        </w:numPr>
      </w:pPr>
      <w:r>
        <w:t xml:space="preserve">MSWC.Tools</w:t>
      </w:r>
    </w:p>
    <w:p>
      <w:pPr>
        <w:pStyle w:val="Compact"/>
        <w:numPr>
          <w:ilvl w:val="0"/>
          <w:numId w:val="2218"/>
        </w:numPr>
      </w:pPr>
      <w:r>
        <w:t xml:space="preserve">MSWC.MyInfo</w:t>
      </w:r>
    </w:p>
    <w:p>
      <w:pPr>
        <w:pStyle w:val="Compact"/>
        <w:numPr>
          <w:ilvl w:val="0"/>
          <w:numId w:val="2218"/>
        </w:numPr>
      </w:pPr>
      <w:r>
        <w:t xml:space="preserve">MSWC.PageCounter</w:t>
      </w:r>
    </w:p>
    <w:p>
      <w:pPr>
        <w:pStyle w:val="Compact"/>
        <w:numPr>
          <w:ilvl w:val="0"/>
          <w:numId w:val="2218"/>
        </w:numPr>
      </w:pPr>
      <w:r>
        <w:t xml:space="preserve">MSWC.PermissionChecker</w:t>
      </w:r>
    </w:p>
    <w:bookmarkEnd w:id="4890"/>
    <w:bookmarkStart w:id="4891" w:name="prerequisites-158"/>
    <w:p>
      <w:pPr>
        <w:pStyle w:val="Heading2"/>
      </w:pPr>
      <w:r>
        <w:t xml:space="preserve">Prerequisites</w:t>
      </w:r>
    </w:p>
    <w:p>
      <w:pPr>
        <w:pStyle w:val="Compact"/>
        <w:numPr>
          <w:ilvl w:val="0"/>
          <w:numId w:val="2219"/>
        </w:numPr>
      </w:pPr>
      <w:r>
        <w:t xml:space="preserve">Instantiate components with Server.CreateObject using the exact ProgID.</w:t>
      </w:r>
    </w:p>
    <w:p>
      <w:pPr>
        <w:pStyle w:val="Compact"/>
        <w:numPr>
          <w:ilvl w:val="0"/>
          <w:numId w:val="2219"/>
        </w:numPr>
      </w:pPr>
      <w:r>
        <w:t xml:space="preserve">Ensure referenced files exist when using file-based components such as AdRotator, NextLink, and ContentRotator.</w:t>
      </w:r>
    </w:p>
    <w:p>
      <w:pPr>
        <w:pStyle w:val="Compact"/>
        <w:numPr>
          <w:ilvl w:val="0"/>
          <w:numId w:val="2219"/>
        </w:numPr>
      </w:pPr>
      <w:r>
        <w:t xml:space="preserve">Enable MSWC page counter configuration before using MSWC.PageCounter.</w:t>
      </w:r>
    </w:p>
    <w:bookmarkEnd w:id="4891"/>
    <w:bookmarkStart w:id="4892" w:name="how-it-works-35"/>
    <w:p>
      <w:pPr>
        <w:pStyle w:val="Heading2"/>
      </w:pPr>
      <w:r>
        <w:t xml:space="preserve">How It Works</w:t>
      </w:r>
    </w:p>
    <w:p>
      <w:pPr>
        <w:pStyle w:val="Compact"/>
        <w:numPr>
          <w:ilvl w:val="0"/>
          <w:numId w:val="2220"/>
        </w:numPr>
      </w:pPr>
      <w:r>
        <w:t xml:space="preserve">Each component has its own method and property surface.</w:t>
      </w:r>
    </w:p>
    <w:p>
      <w:pPr>
        <w:pStyle w:val="Compact"/>
        <w:numPr>
          <w:ilvl w:val="0"/>
          <w:numId w:val="2220"/>
        </w:numPr>
      </w:pPr>
      <w:r>
        <w:t xml:space="preserve">Unsupported members return Empty.</w:t>
      </w:r>
    </w:p>
    <w:p>
      <w:pPr>
        <w:pStyle w:val="Compact"/>
        <w:numPr>
          <w:ilvl w:val="0"/>
          <w:numId w:val="2220"/>
        </w:numPr>
      </w:pPr>
      <w:r>
        <w:t xml:space="preserve">Some components read request or server context to produce results.</w:t>
      </w:r>
    </w:p>
    <w:bookmarkEnd w:id="4892"/>
    <w:bookmarkStart w:id="4893" w:name="code-example-332"/>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browserType</w:t>
      </w:r>
      <w:r>
        <w:rPr>
          <w:rStyle w:val="OtherTok"/>
        </w:rPr>
        <w:t xml:space="preserve">,</w:t>
      </w:r>
      <w:r>
        <w:rPr>
          <w:rStyle w:val="NormalTok"/>
        </w:rPr>
        <w:t xml:space="preserve"> browserName</w:t>
      </w:r>
      <w:r>
        <w:rPr>
          <w:rStyle w:val="OtherTok"/>
        </w:rPr>
        <w:t xml:space="preserve">,</w:t>
      </w:r>
      <w:r>
        <w:rPr>
          <w:rStyle w:val="NormalTok"/>
        </w:rPr>
        <w:t xml:space="preserve"> canUseCookies</w:t>
      </w:r>
      <w:r>
        <w:br/>
      </w:r>
      <w:r>
        <w:rPr>
          <w:rStyle w:val="KeywordTok"/>
        </w:rPr>
        <w:t xml:space="preserve">Set</w:t>
      </w:r>
      <w:r>
        <w:rPr>
          <w:rStyle w:val="NormalTok"/>
        </w:rPr>
        <w:t xml:space="preserve"> browserType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br/>
      </w:r>
      <w:r>
        <w:rPr>
          <w:rStyle w:val="NormalTok"/>
        </w:rPr>
        <w:t xml:space="preserve">browserName = browserType.Browser</w:t>
      </w:r>
      <w:r>
        <w:br/>
      </w:r>
      <w:r>
        <w:rPr>
          <w:rStyle w:val="NormalTok"/>
        </w:rPr>
        <w:t xml:space="preserve">canUseCookies = browserType.</w:t>
      </w:r>
      <w:r>
        <w:rPr>
          <w:rStyle w:val="FunctionTok"/>
        </w:rPr>
        <w:t xml:space="preserve">Cookies</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"Browser="</w:t>
      </w:r>
      <w:r>
        <w:rPr>
          <w:rStyle w:val="NormalTok"/>
        </w:rPr>
        <w:t xml:space="preserve"> </w:t>
      </w:r>
      <w:r>
        <w:rPr>
          <w:rStyle w:val="KeywordTok"/>
        </w:rPr>
        <w:t xml:space="preserve">&amp;</w:t>
      </w:r>
      <w:r>
        <w:rPr>
          <w:rStyle w:val="NormalTok"/>
        </w:rPr>
        <w:t xml:space="preserve"> browserName </w:t>
      </w:r>
      <w:r>
        <w:rPr>
          <w:rStyle w:val="KeywordTok"/>
        </w:rPr>
        <w:t xml:space="preserve">&amp;</w:t>
      </w:r>
      <w:r>
        <w:rPr>
          <w:rStyle w:val="NormalTok"/>
        </w:rPr>
        <w:t xml:space="preserve"> </w:t>
      </w:r>
      <w:r>
        <w:rPr>
          <w:rStyle w:val="StringTok"/>
        </w:rPr>
        <w:t xml:space="preserve">" Cookies="</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canUseCookies</w:t>
      </w:r>
      <w:r>
        <w:rPr>
          <w:rStyle w:val="OtherTok"/>
        </w:rPr>
        <w:t xml:space="preserve">)</w:t>
      </w:r>
      <w:r>
        <w:br/>
      </w:r>
      <w:r>
        <w:br/>
      </w:r>
      <w:r>
        <w:rPr>
          <w:rStyle w:val="KeywordTok"/>
        </w:rPr>
        <w:t xml:space="preserve">Set</w:t>
      </w:r>
      <w:r>
        <w:rPr>
          <w:rStyle w:val="NormalTok"/>
        </w:rPr>
        <w:t xml:space="preserve"> browserType = </w:t>
      </w:r>
      <w:r>
        <w:rPr>
          <w:rStyle w:val="KeywordTok"/>
        </w:rPr>
        <w:t xml:space="preserve">Nothing</w:t>
      </w:r>
      <w:r>
        <w:br/>
      </w:r>
      <w:r>
        <w:rPr>
          <w:rStyle w:val="DataTypeTok"/>
        </w:rPr>
        <w:t xml:space="preserve">%&gt;</w:t>
      </w:r>
    </w:p>
    <w:bookmarkEnd w:id="4893"/>
    <w:bookmarkEnd w:id="4894"/>
    <w:bookmarkStart w:id="4898" w:name="mswc-methods"/>
    <w:p>
      <w:pPr>
        <w:pStyle w:val="Heading1"/>
      </w:pPr>
      <w:r>
        <w:t xml:space="preserve">MSWC Methods</w:t>
      </w:r>
    </w:p>
    <w:bookmarkStart w:id="4895" w:name="overview-574"/>
    <w:p>
      <w:pPr>
        <w:pStyle w:val="Heading2"/>
      </w:pPr>
      <w:r>
        <w:t xml:space="preserve">Overview</w:t>
      </w:r>
    </w:p>
    <w:p>
      <w:pPr>
        <w:pStyle w:val="FirstParagraph"/>
      </w:pPr>
      <w:r>
        <w:t xml:space="preserve">This page summarizes methods exposed by MSWC compatibility components in G3Pix AxonASP.</w:t>
      </w:r>
    </w:p>
    <w:bookmarkEnd w:id="4895"/>
    <w:bookmarkStart w:id="4896" w:name="methods-reference-8"/>
    <w:p>
      <w:pPr>
        <w:pStyle w:val="Heading2"/>
      </w:pPr>
      <w:r>
        <w:t xml:space="preserve">Methods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Component</w:t>
            </w:r>
          </w:p>
        </w:tc>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MSWC.AdRotator</w:t>
            </w:r>
          </w:p>
        </w:tc>
        <w:tc>
          <w:tcPr/>
          <w:p>
            <w:pPr>
              <w:pStyle w:val="Compact"/>
            </w:pPr>
            <w:r>
              <w:t xml:space="preserve">GetAdvertisement(scheduleFile)</w:t>
            </w:r>
          </w:p>
        </w:tc>
        <w:tc>
          <w:tcPr/>
          <w:p>
            <w:pPr>
              <w:pStyle w:val="Compact"/>
            </w:pPr>
            <w:r>
              <w:t xml:space="preserve">String</w:t>
            </w:r>
          </w:p>
        </w:tc>
        <w:tc>
          <w:tcPr/>
          <w:p>
            <w:pPr>
              <w:pStyle w:val="Compact"/>
            </w:pPr>
            <w:r>
              <w:t xml:space="preserve">Returns generated advertisement HTML. Returns an empty string when no argument is provided or no entries are available.</w:t>
            </w:r>
          </w:p>
        </w:tc>
      </w:tr>
      <w:tr>
        <w:tc>
          <w:tcPr/>
          <w:p>
            <w:pPr>
              <w:pStyle w:val="Compact"/>
            </w:pPr>
            <w:r>
              <w:t xml:space="preserve">MSWC.NextLink</w:t>
            </w:r>
          </w:p>
        </w:tc>
        <w:tc>
          <w:tcPr/>
          <w:p>
            <w:pPr>
              <w:pStyle w:val="Compact"/>
            </w:pPr>
            <w:r>
              <w:t xml:space="preserve">GetListCount(listFile)</w:t>
            </w:r>
          </w:p>
        </w:tc>
        <w:tc>
          <w:tcPr/>
          <w:p>
            <w:pPr>
              <w:pStyle w:val="Compact"/>
            </w:pPr>
            <w:r>
              <w:t xml:space="preserve">Integer or Empty</w:t>
            </w:r>
          </w:p>
        </w:tc>
        <w:tc>
          <w:tcPr/>
          <w:p>
            <w:pPr>
              <w:pStyle w:val="Compact"/>
            </w:pPr>
            <w:r>
              <w:t xml:space="preserve">Returns the number of entries in the link list. Returns Empty when listFile is missing.</w:t>
            </w:r>
          </w:p>
        </w:tc>
      </w:tr>
      <w:tr>
        <w:tc>
          <w:tcPr/>
          <w:p>
            <w:pPr>
              <w:pStyle w:val="Compact"/>
            </w:pPr>
            <w:r>
              <w:t xml:space="preserve">MSWC.NextLink</w:t>
            </w:r>
          </w:p>
        </w:tc>
        <w:tc>
          <w:tcPr/>
          <w:p>
            <w:pPr>
              <w:pStyle w:val="Compact"/>
            </w:pPr>
            <w:r>
              <w:t xml:space="preserve">GetListIndex(listFile)</w:t>
            </w:r>
          </w:p>
        </w:tc>
        <w:tc>
          <w:tcPr/>
          <w:p>
            <w:pPr>
              <w:pStyle w:val="Compact"/>
            </w:pPr>
            <w:r>
              <w:t xml:space="preserve">Integer or Empty</w:t>
            </w:r>
          </w:p>
        </w:tc>
        <w:tc>
          <w:tcPr/>
          <w:p>
            <w:pPr>
              <w:pStyle w:val="Compact"/>
            </w:pPr>
            <w:r>
              <w:t xml:space="preserve">Returns the current 1-based index that matches the executing page URL. Returns Empty when listFile is missing.</w:t>
            </w:r>
          </w:p>
        </w:tc>
      </w:tr>
      <w:tr>
        <w:tc>
          <w:tcPr/>
          <w:p>
            <w:pPr>
              <w:pStyle w:val="Compact"/>
            </w:pPr>
            <w:r>
              <w:t xml:space="preserve">MSWC.NextLink</w:t>
            </w:r>
          </w:p>
        </w:tc>
        <w:tc>
          <w:tcPr/>
          <w:p>
            <w:pPr>
              <w:pStyle w:val="Compact"/>
            </w:pPr>
            <w:r>
              <w:t xml:space="preserve">GetNextDescription(listFile)</w:t>
            </w:r>
          </w:p>
        </w:tc>
        <w:tc>
          <w:tcPr/>
          <w:p>
            <w:pPr>
              <w:pStyle w:val="Compact"/>
            </w:pPr>
            <w:r>
              <w:t xml:space="preserve">String or Empty</w:t>
            </w:r>
          </w:p>
        </w:tc>
        <w:tc>
          <w:tcPr/>
          <w:p>
            <w:pPr>
              <w:pStyle w:val="Compact"/>
            </w:pPr>
            <w:r>
              <w:t xml:space="preserve">Returns the description of the next entry. Returns Empty when listFile is missing.</w:t>
            </w:r>
          </w:p>
        </w:tc>
      </w:tr>
      <w:tr>
        <w:tc>
          <w:tcPr/>
          <w:p>
            <w:pPr>
              <w:pStyle w:val="Compact"/>
            </w:pPr>
            <w:r>
              <w:t xml:space="preserve">MSWC.NextLink</w:t>
            </w:r>
          </w:p>
        </w:tc>
        <w:tc>
          <w:tcPr/>
          <w:p>
            <w:pPr>
              <w:pStyle w:val="Compact"/>
            </w:pPr>
            <w:r>
              <w:t xml:space="preserve">GetNextURL(listFile)</w:t>
            </w:r>
          </w:p>
        </w:tc>
        <w:tc>
          <w:tcPr/>
          <w:p>
            <w:pPr>
              <w:pStyle w:val="Compact"/>
            </w:pPr>
            <w:r>
              <w:t xml:space="preserve">String or Empty</w:t>
            </w:r>
          </w:p>
        </w:tc>
        <w:tc>
          <w:tcPr/>
          <w:p>
            <w:pPr>
              <w:pStyle w:val="Compact"/>
            </w:pPr>
            <w:r>
              <w:t xml:space="preserve">Returns the URL of the next entry. Returns Empty when listFile is missing.</w:t>
            </w:r>
          </w:p>
        </w:tc>
      </w:tr>
      <w:tr>
        <w:tc>
          <w:tcPr/>
          <w:p>
            <w:pPr>
              <w:pStyle w:val="Compact"/>
            </w:pPr>
            <w:r>
              <w:t xml:space="preserve">MSWC.NextLink</w:t>
            </w:r>
          </w:p>
        </w:tc>
        <w:tc>
          <w:tcPr/>
          <w:p>
            <w:pPr>
              <w:pStyle w:val="Compact"/>
            </w:pPr>
            <w:r>
              <w:t xml:space="preserve">GetPreviousDescription(listFile)</w:t>
            </w:r>
          </w:p>
        </w:tc>
        <w:tc>
          <w:tcPr/>
          <w:p>
            <w:pPr>
              <w:pStyle w:val="Compact"/>
            </w:pPr>
            <w:r>
              <w:t xml:space="preserve">String or Empty</w:t>
            </w:r>
          </w:p>
        </w:tc>
        <w:tc>
          <w:tcPr/>
          <w:p>
            <w:pPr>
              <w:pStyle w:val="Compact"/>
            </w:pPr>
            <w:r>
              <w:t xml:space="preserve">Returns the description of the previous entry. Returns Empty when listFile is missing.</w:t>
            </w:r>
          </w:p>
        </w:tc>
      </w:tr>
      <w:tr>
        <w:tc>
          <w:tcPr/>
          <w:p>
            <w:pPr>
              <w:pStyle w:val="Compact"/>
            </w:pPr>
            <w:r>
              <w:t xml:space="preserve">MSWC.NextLink</w:t>
            </w:r>
          </w:p>
        </w:tc>
        <w:tc>
          <w:tcPr/>
          <w:p>
            <w:pPr>
              <w:pStyle w:val="Compact"/>
            </w:pPr>
            <w:r>
              <w:t xml:space="preserve">GetPreviousURL(listFile)</w:t>
            </w:r>
          </w:p>
        </w:tc>
        <w:tc>
          <w:tcPr/>
          <w:p>
            <w:pPr>
              <w:pStyle w:val="Compact"/>
            </w:pPr>
            <w:r>
              <w:t xml:space="preserve">String or Empty</w:t>
            </w:r>
          </w:p>
        </w:tc>
        <w:tc>
          <w:tcPr/>
          <w:p>
            <w:pPr>
              <w:pStyle w:val="Compact"/>
            </w:pPr>
            <w:r>
              <w:t xml:space="preserve">Returns the URL of the previous entry. Returns Empty when listFile is missing.</w:t>
            </w:r>
          </w:p>
        </w:tc>
      </w:tr>
      <w:tr>
        <w:tc>
          <w:tcPr/>
          <w:p>
            <w:pPr>
              <w:pStyle w:val="Compact"/>
            </w:pPr>
            <w:r>
              <w:t xml:space="preserve">MSWC.NextLink</w:t>
            </w:r>
          </w:p>
        </w:tc>
        <w:tc>
          <w:tcPr/>
          <w:p>
            <w:pPr>
              <w:pStyle w:val="Compact"/>
            </w:pPr>
            <w:r>
              <w:t xml:space="preserve">GetNthDescription(listFile, index)</w:t>
            </w:r>
          </w:p>
        </w:tc>
        <w:tc>
          <w:tcPr/>
          <w:p>
            <w:pPr>
              <w:pStyle w:val="Compact"/>
            </w:pPr>
            <w:r>
              <w:t xml:space="preserve">String or Empty</w:t>
            </w:r>
          </w:p>
        </w:tc>
        <w:tc>
          <w:tcPr/>
          <w:p>
            <w:pPr>
              <w:pStyle w:val="Compact"/>
            </w:pPr>
            <w:r>
              <w:t xml:space="preserve">Returns the description of the specified 1-based entry. Returns Empty when required arguments are missing.</w:t>
            </w:r>
          </w:p>
        </w:tc>
      </w:tr>
      <w:tr>
        <w:tc>
          <w:tcPr/>
          <w:p>
            <w:pPr>
              <w:pStyle w:val="Compact"/>
            </w:pPr>
            <w:r>
              <w:t xml:space="preserve">MSWC.NextLink</w:t>
            </w:r>
          </w:p>
        </w:tc>
        <w:tc>
          <w:tcPr/>
          <w:p>
            <w:pPr>
              <w:pStyle w:val="Compact"/>
            </w:pPr>
            <w:r>
              <w:t xml:space="preserve">GetNthURL(listFile, index)</w:t>
            </w:r>
          </w:p>
        </w:tc>
        <w:tc>
          <w:tcPr/>
          <w:p>
            <w:pPr>
              <w:pStyle w:val="Compact"/>
            </w:pPr>
            <w:r>
              <w:t xml:space="preserve">String or Empty</w:t>
            </w:r>
          </w:p>
        </w:tc>
        <w:tc>
          <w:tcPr/>
          <w:p>
            <w:pPr>
              <w:pStyle w:val="Compact"/>
            </w:pPr>
            <w:r>
              <w:t xml:space="preserve">Returns the URL of the specified 1-based entry. Returns Empty when required arguments are missing.</w:t>
            </w:r>
          </w:p>
        </w:tc>
      </w:tr>
      <w:tr>
        <w:tc>
          <w:tcPr/>
          <w:p>
            <w:pPr>
              <w:pStyle w:val="Compact"/>
            </w:pPr>
            <w:r>
              <w:t xml:space="preserve">MSWC.ContentRotator</w:t>
            </w:r>
          </w:p>
        </w:tc>
        <w:tc>
          <w:tcPr/>
          <w:p>
            <w:pPr>
              <w:pStyle w:val="Compact"/>
            </w:pPr>
            <w:r>
              <w:t xml:space="preserve">ChooseContent(contentFile)</w:t>
            </w:r>
          </w:p>
        </w:tc>
        <w:tc>
          <w:tcPr/>
          <w:p>
            <w:pPr>
              <w:pStyle w:val="Compact"/>
            </w:pPr>
            <w:r>
              <w:t xml:space="preserve">String or Empty</w:t>
            </w:r>
          </w:p>
        </w:tc>
        <w:tc>
          <w:tcPr/>
          <w:p>
            <w:pPr>
              <w:pStyle w:val="Compact"/>
            </w:pPr>
            <w:r>
              <w:t xml:space="preserve">Returns one selected content block using weight rules. Returns Empty when contentFile is missing.</w:t>
            </w:r>
          </w:p>
        </w:tc>
      </w:tr>
      <w:tr>
        <w:tc>
          <w:tcPr/>
          <w:p>
            <w:pPr>
              <w:pStyle w:val="Compact"/>
            </w:pPr>
            <w:r>
              <w:t xml:space="preserve">MSWC.ContentRotator</w:t>
            </w:r>
          </w:p>
        </w:tc>
        <w:tc>
          <w:tcPr/>
          <w:p>
            <w:pPr>
              <w:pStyle w:val="Compact"/>
            </w:pPr>
            <w:r>
              <w:t xml:space="preserve">GetAllContent(contentFile)</w:t>
            </w:r>
          </w:p>
        </w:tc>
        <w:tc>
          <w:tcPr/>
          <w:p>
            <w:pPr>
              <w:pStyle w:val="Compact"/>
            </w:pPr>
            <w:r>
              <w:t xml:space="preserve">String or Empty</w:t>
            </w:r>
          </w:p>
        </w:tc>
        <w:tc>
          <w:tcPr/>
          <w:p>
            <w:pPr>
              <w:pStyle w:val="Compact"/>
            </w:pPr>
            <w:r>
              <w:t xml:space="preserve">Returns all content blocks joined by separator markup. Returns Empty when contentFile is missing.</w:t>
            </w:r>
          </w:p>
        </w:tc>
      </w:tr>
      <w:tr>
        <w:tc>
          <w:tcPr/>
          <w:p>
            <w:pPr>
              <w:pStyle w:val="Compact"/>
            </w:pPr>
            <w:r>
              <w:t xml:space="preserve">MSWC.Counters</w:t>
            </w:r>
          </w:p>
        </w:tc>
        <w:tc>
          <w:tcPr/>
          <w:p>
            <w:pPr>
              <w:pStyle w:val="Compact"/>
            </w:pPr>
            <w:r>
              <w:t xml:space="preserve">Get(name)</w:t>
            </w:r>
          </w:p>
        </w:tc>
        <w:tc>
          <w:tcPr/>
          <w:p>
            <w:pPr>
              <w:pStyle w:val="Compact"/>
            </w:pPr>
            <w:r>
              <w:t xml:space="preserve">Integer or Empty</w:t>
            </w:r>
          </w:p>
        </w:tc>
        <w:tc>
          <w:tcPr/>
          <w:p>
            <w:pPr>
              <w:pStyle w:val="Compact"/>
            </w:pPr>
            <w:r>
              <w:t xml:space="preserve">Returns the current counter value or 0 when the counter does not exist. Returns Empty when name is missing.</w:t>
            </w:r>
          </w:p>
        </w:tc>
      </w:tr>
      <w:tr>
        <w:tc>
          <w:tcPr/>
          <w:p>
            <w:pPr>
              <w:pStyle w:val="Compact"/>
            </w:pPr>
            <w:r>
              <w:t xml:space="preserve">MSWC.Counters</w:t>
            </w:r>
          </w:p>
        </w:tc>
        <w:tc>
          <w:tcPr/>
          <w:p>
            <w:pPr>
              <w:pStyle w:val="Compact"/>
            </w:pPr>
            <w:r>
              <w:t xml:space="preserve">Increment(name)</w:t>
            </w:r>
          </w:p>
        </w:tc>
        <w:tc>
          <w:tcPr/>
          <w:p>
            <w:pPr>
              <w:pStyle w:val="Compact"/>
            </w:pPr>
            <w:r>
              <w:t xml:space="preserve">Integer or Empty</w:t>
            </w:r>
          </w:p>
        </w:tc>
        <w:tc>
          <w:tcPr/>
          <w:p>
            <w:pPr>
              <w:pStyle w:val="Compact"/>
            </w:pPr>
            <w:r>
              <w:t xml:space="preserve">Increments and returns the counter value. Returns Empty when name is missing.</w:t>
            </w:r>
          </w:p>
        </w:tc>
      </w:tr>
      <w:tr>
        <w:tc>
          <w:tcPr/>
          <w:p>
            <w:pPr>
              <w:pStyle w:val="Compact"/>
            </w:pPr>
            <w:r>
              <w:t xml:space="preserve">MSWC.Counters</w:t>
            </w:r>
          </w:p>
        </w:tc>
        <w:tc>
          <w:tcPr/>
          <w:p>
            <w:pPr>
              <w:pStyle w:val="Compact"/>
            </w:pPr>
            <w:r>
              <w:t xml:space="preserve">Remove(name)</w:t>
            </w:r>
          </w:p>
        </w:tc>
        <w:tc>
          <w:tcPr/>
          <w:p>
            <w:pPr>
              <w:pStyle w:val="Compact"/>
            </w:pPr>
            <w:r>
              <w:t xml:space="preserve">Empty</w:t>
            </w:r>
          </w:p>
        </w:tc>
        <w:tc>
          <w:tcPr/>
          <w:p>
            <w:pPr>
              <w:pStyle w:val="Compact"/>
            </w:pPr>
            <w:r>
              <w:t xml:space="preserve">Removes one counter key. Returns Empty.</w:t>
            </w:r>
          </w:p>
        </w:tc>
      </w:tr>
      <w:tr>
        <w:tc>
          <w:tcPr/>
          <w:p>
            <w:pPr>
              <w:pStyle w:val="Compact"/>
            </w:pPr>
            <w:r>
              <w:t xml:space="preserve">MSWC.Counters</w:t>
            </w:r>
          </w:p>
        </w:tc>
        <w:tc>
          <w:tcPr/>
          <w:p>
            <w:pPr>
              <w:pStyle w:val="Compact"/>
            </w:pPr>
            <w:r>
              <w:t xml:space="preserve">Set(name, value)</w:t>
            </w:r>
          </w:p>
        </w:tc>
        <w:tc>
          <w:tcPr/>
          <w:p>
            <w:pPr>
              <w:pStyle w:val="Compact"/>
            </w:pPr>
            <w:r>
              <w:t xml:space="preserve">Empty</w:t>
            </w:r>
          </w:p>
        </w:tc>
        <w:tc>
          <w:tcPr/>
          <w:p>
            <w:pPr>
              <w:pStyle w:val="Compact"/>
            </w:pPr>
            <w:r>
              <w:t xml:space="preserve">Sets one counter value when arguments are provided. Returns Empty.</w:t>
            </w:r>
          </w:p>
        </w:tc>
      </w:tr>
      <w:tr>
        <w:tc>
          <w:tcPr/>
          <w:p>
            <w:pPr>
              <w:pStyle w:val="Compact"/>
            </w:pPr>
            <w:r>
              <w:t xml:space="preserve">MSWC.Tools</w:t>
            </w:r>
          </w:p>
        </w:tc>
        <w:tc>
          <w:tcPr/>
          <w:p>
            <w:pPr>
              <w:pStyle w:val="Compact"/>
            </w:pPr>
            <w:r>
              <w:t xml:space="preserve">FileExists(path)</w:t>
            </w:r>
          </w:p>
        </w:tc>
        <w:tc>
          <w:tcPr/>
          <w:p>
            <w:pPr>
              <w:pStyle w:val="Compact"/>
            </w:pPr>
            <w:r>
              <w:t xml:space="preserve">Boolean</w:t>
            </w:r>
          </w:p>
        </w:tc>
        <w:tc>
          <w:tcPr/>
          <w:p>
            <w:pPr>
              <w:pStyle w:val="Compact"/>
            </w:pPr>
            <w:r>
              <w:t xml:space="preserve">Returns True when the mapped file exists, otherwise False.</w:t>
            </w:r>
          </w:p>
        </w:tc>
      </w:tr>
      <w:tr>
        <w:tc>
          <w:tcPr/>
          <w:p>
            <w:pPr>
              <w:pStyle w:val="Compact"/>
            </w:pPr>
            <w:r>
              <w:t xml:space="preserve">MSWC.Tools</w:t>
            </w:r>
          </w:p>
        </w:tc>
        <w:tc>
          <w:tcPr/>
          <w:p>
            <w:pPr>
              <w:pStyle w:val="Compact"/>
            </w:pPr>
            <w:r>
              <w:t xml:space="preserve">Owner(path)</w:t>
            </w:r>
          </w:p>
        </w:tc>
        <w:tc>
          <w:tcPr/>
          <w:p>
            <w:pPr>
              <w:pStyle w:val="Compact"/>
            </w:pPr>
            <w:r>
              <w:t xml:space="preserve">String</w:t>
            </w:r>
          </w:p>
        </w:tc>
        <w:tc>
          <w:tcPr/>
          <w:p>
            <w:pPr>
              <w:pStyle w:val="Compact"/>
            </w:pPr>
            <w:r>
              <w:t xml:space="preserve">Returns the resolved owner name for the mapped file path, or an empty string when unavailable.</w:t>
            </w:r>
          </w:p>
        </w:tc>
      </w:tr>
      <w:tr>
        <w:tc>
          <w:tcPr/>
          <w:p>
            <w:pPr>
              <w:pStyle w:val="Compact"/>
            </w:pPr>
            <w:r>
              <w:t xml:space="preserve">MSWC.Tools</w:t>
            </w:r>
          </w:p>
        </w:tc>
        <w:tc>
          <w:tcPr/>
          <w:p>
            <w:pPr>
              <w:pStyle w:val="Compact"/>
            </w:pPr>
            <w:r>
              <w:t xml:space="preserve">PluginExists(name)</w:t>
            </w:r>
          </w:p>
        </w:tc>
        <w:tc>
          <w:tcPr/>
          <w:p>
            <w:pPr>
              <w:pStyle w:val="Compact"/>
            </w:pPr>
            <w:r>
              <w:t xml:space="preserve">Boolean</w:t>
            </w:r>
          </w:p>
        </w:tc>
        <w:tc>
          <w:tcPr/>
          <w:p>
            <w:pPr>
              <w:pStyle w:val="Compact"/>
            </w:pPr>
            <w:r>
              <w:t xml:space="preserve">Returns False.</w:t>
            </w:r>
          </w:p>
        </w:tc>
      </w:tr>
      <w:tr>
        <w:tc>
          <w:tcPr/>
          <w:p>
            <w:pPr>
              <w:pStyle w:val="Compact"/>
            </w:pPr>
            <w:r>
              <w:t xml:space="preserve">MSWC.Tools</w:t>
            </w:r>
          </w:p>
        </w:tc>
        <w:tc>
          <w:tcPr/>
          <w:p>
            <w:pPr>
              <w:pStyle w:val="Compact"/>
            </w:pPr>
            <w:r>
              <w:t xml:space="preserve">ProcessForm(…)</w:t>
            </w:r>
          </w:p>
        </w:tc>
        <w:tc>
          <w:tcPr/>
          <w:p>
            <w:pPr>
              <w:pStyle w:val="Compact"/>
            </w:pPr>
            <w:r>
              <w:t xml:space="preserve">Empty</w:t>
            </w:r>
          </w:p>
        </w:tc>
        <w:tc>
          <w:tcPr/>
          <w:p>
            <w:pPr>
              <w:pStyle w:val="Compact"/>
            </w:pPr>
            <w:r>
              <w:t xml:space="preserve">Returns Empty.</w:t>
            </w:r>
          </w:p>
        </w:tc>
      </w:tr>
      <w:tr>
        <w:tc>
          <w:tcPr/>
          <w:p>
            <w:pPr>
              <w:pStyle w:val="Compact"/>
            </w:pPr>
            <w:r>
              <w:t xml:space="preserve">MSWC.MyInfo</w:t>
            </w:r>
          </w:p>
        </w:tc>
        <w:tc>
          <w:tcPr/>
          <w:p>
            <w:pPr>
              <w:pStyle w:val="Compact"/>
            </w:pPr>
            <w:r>
              <w:t xml:space="preserve">URL(index)</w:t>
            </w:r>
          </w:p>
        </w:tc>
        <w:tc>
          <w:tcPr/>
          <w:p>
            <w:pPr>
              <w:pStyle w:val="Compact"/>
            </w:pPr>
            <w:r>
              <w:t xml:space="preserve">String or Empty</w:t>
            </w:r>
          </w:p>
        </w:tc>
        <w:tc>
          <w:tcPr/>
          <w:p>
            <w:pPr>
              <w:pStyle w:val="Compact"/>
            </w:pPr>
            <w:r>
              <w:t xml:space="preserve">Returns URL-indexed value from MyInfo.xml, such as URL1 or URL2. Returns Empty when not found or argument is missing.</w:t>
            </w:r>
          </w:p>
        </w:tc>
      </w:tr>
      <w:tr>
        <w:tc>
          <w:tcPr/>
          <w:p>
            <w:pPr>
              <w:pStyle w:val="Compact"/>
            </w:pPr>
            <w:r>
              <w:t xml:space="preserve">MSWC.MyInfo</w:t>
            </w:r>
          </w:p>
        </w:tc>
        <w:tc>
          <w:tcPr/>
          <w:p>
            <w:pPr>
              <w:pStyle w:val="Compact"/>
            </w:pPr>
            <w:r>
              <w:t xml:space="preserve">URLWords(index)</w:t>
            </w:r>
          </w:p>
        </w:tc>
        <w:tc>
          <w:tcPr/>
          <w:p>
            <w:pPr>
              <w:pStyle w:val="Compact"/>
            </w:pPr>
            <w:r>
              <w:t xml:space="preserve">String or Empty</w:t>
            </w:r>
          </w:p>
        </w:tc>
        <w:tc>
          <w:tcPr/>
          <w:p>
            <w:pPr>
              <w:pStyle w:val="Compact"/>
            </w:pPr>
            <w:r>
              <w:t xml:space="preserve">Returns URLWords-indexed value from MyInfo.xml, such as URLWords1. Returns Empty when not found or argument is missing.</w:t>
            </w:r>
          </w:p>
        </w:tc>
      </w:tr>
      <w:tr>
        <w:tc>
          <w:tcPr/>
          <w:p>
            <w:pPr>
              <w:pStyle w:val="Compact"/>
            </w:pPr>
            <w:r>
              <w:t xml:space="preserve">MSWC.PageCounter</w:t>
            </w:r>
          </w:p>
        </w:tc>
        <w:tc>
          <w:tcPr/>
          <w:p>
            <w:pPr>
              <w:pStyle w:val="Compact"/>
            </w:pPr>
            <w:r>
              <w:t xml:space="preserve">Hits([path])</w:t>
            </w:r>
          </w:p>
        </w:tc>
        <w:tc>
          <w:tcPr/>
          <w:p>
            <w:pPr>
              <w:pStyle w:val="Compact"/>
            </w:pPr>
            <w:r>
              <w:t xml:space="preserve">Integer or Empty</w:t>
            </w:r>
          </w:p>
        </w:tc>
        <w:tc>
          <w:tcPr/>
          <w:p>
            <w:pPr>
              <w:pStyle w:val="Compact"/>
            </w:pPr>
            <w:r>
              <w:t xml:space="preserve">Returns hit count for path or current script URL. Returns 0 when no path is resolved. Returns Empty when the component is disabled.</w:t>
            </w:r>
          </w:p>
        </w:tc>
      </w:tr>
      <w:tr>
        <w:tc>
          <w:tcPr/>
          <w:p>
            <w:pPr>
              <w:pStyle w:val="Compact"/>
            </w:pPr>
            <w:r>
              <w:t xml:space="preserve">MSWC.PageCounter</w:t>
            </w:r>
          </w:p>
        </w:tc>
        <w:tc>
          <w:tcPr/>
          <w:p>
            <w:pPr>
              <w:pStyle w:val="Compact"/>
            </w:pPr>
            <w:r>
              <w:t xml:space="preserve">PageHit()</w:t>
            </w:r>
          </w:p>
        </w:tc>
        <w:tc>
          <w:tcPr/>
          <w:p>
            <w:pPr>
              <w:pStyle w:val="Compact"/>
            </w:pPr>
            <w:r>
              <w:t xml:space="preserve">Integer or Empty</w:t>
            </w:r>
          </w:p>
        </w:tc>
        <w:tc>
          <w:tcPr/>
          <w:p>
            <w:pPr>
              <w:pStyle w:val="Compact"/>
            </w:pPr>
            <w:r>
              <w:t xml:space="preserve">Increments and returns hit count for the current script URL. Returns 0 when no path is resolved. Returns Empty when the component is disabled.</w:t>
            </w:r>
          </w:p>
        </w:tc>
      </w:tr>
      <w:tr>
        <w:tc>
          <w:tcPr/>
          <w:p>
            <w:pPr>
              <w:pStyle w:val="Compact"/>
            </w:pPr>
            <w:r>
              <w:t xml:space="preserve">MSWC.PageCounter</w:t>
            </w:r>
          </w:p>
        </w:tc>
        <w:tc>
          <w:tcPr/>
          <w:p>
            <w:pPr>
              <w:pStyle w:val="Compact"/>
            </w:pPr>
            <w:r>
              <w:t xml:space="preserve">Reset([path])</w:t>
            </w:r>
          </w:p>
        </w:tc>
        <w:tc>
          <w:tcPr/>
          <w:p>
            <w:pPr>
              <w:pStyle w:val="Compact"/>
            </w:pPr>
            <w:r>
              <w:t xml:space="preserve">Empty</w:t>
            </w:r>
          </w:p>
        </w:tc>
        <w:tc>
          <w:tcPr/>
          <w:p>
            <w:pPr>
              <w:pStyle w:val="Compact"/>
            </w:pPr>
            <w:r>
              <w:t xml:space="preserve">Removes page counter state for path or current script URL. Returns Empty.</w:t>
            </w:r>
          </w:p>
        </w:tc>
      </w:tr>
      <w:tr>
        <w:tc>
          <w:tcPr/>
          <w:p>
            <w:pPr>
              <w:pStyle w:val="Compact"/>
            </w:pPr>
            <w:r>
              <w:t xml:space="preserve">MSWC.PermissionChecker</w:t>
            </w:r>
          </w:p>
        </w:tc>
        <w:tc>
          <w:tcPr/>
          <w:p>
            <w:pPr>
              <w:pStyle w:val="Compact"/>
            </w:pPr>
            <w:r>
              <w:t xml:space="preserve">HasAccess(path)</w:t>
            </w:r>
          </w:p>
        </w:tc>
        <w:tc>
          <w:tcPr/>
          <w:p>
            <w:pPr>
              <w:pStyle w:val="Compact"/>
            </w:pPr>
            <w:r>
              <w:t xml:space="preserve">Boolean or Empty</w:t>
            </w:r>
          </w:p>
        </w:tc>
        <w:tc>
          <w:tcPr/>
          <w:p>
            <w:pPr>
              <w:pStyle w:val="Compact"/>
            </w:pPr>
            <w:r>
              <w:t xml:space="preserve">Returns True when the mapped path is readable by the process, otherwise False. Returns Empty when path is missing.</w:t>
            </w:r>
          </w:p>
        </w:tc>
      </w:tr>
    </w:tbl>
    <w:bookmarkEnd w:id="4896"/>
    <w:bookmarkStart w:id="4897" w:name="remarks-506"/>
    <w:p>
      <w:pPr>
        <w:pStyle w:val="Heading2"/>
      </w:pPr>
      <w:r>
        <w:t xml:space="preserve">Remarks</w:t>
      </w:r>
    </w:p>
    <w:p>
      <w:pPr>
        <w:pStyle w:val="Compact"/>
        <w:numPr>
          <w:ilvl w:val="0"/>
          <w:numId w:val="2221"/>
        </w:numPr>
      </w:pPr>
      <w:r>
        <w:t xml:space="preserve">Method names are case-insensitive.</w:t>
      </w:r>
    </w:p>
    <w:p>
      <w:pPr>
        <w:pStyle w:val="Compact"/>
        <w:numPr>
          <w:ilvl w:val="0"/>
          <w:numId w:val="2221"/>
        </w:numPr>
      </w:pPr>
      <w:r>
        <w:t xml:space="preserve">Methods that return Empty indicate missing required arguments or unsupported operation context for that call path.</w:t>
      </w:r>
    </w:p>
    <w:bookmarkEnd w:id="4897"/>
    <w:bookmarkEnd w:id="4898"/>
    <w:bookmarkStart w:id="4903" w:name="mswc-properties"/>
    <w:p>
      <w:pPr>
        <w:pStyle w:val="Heading1"/>
      </w:pPr>
      <w:r>
        <w:t xml:space="preserve">MSWC Properties</w:t>
      </w:r>
    </w:p>
    <w:bookmarkStart w:id="4899" w:name="overview-575"/>
    <w:p>
      <w:pPr>
        <w:pStyle w:val="Heading2"/>
      </w:pPr>
      <w:r>
        <w:t xml:space="preserve">Overview</w:t>
      </w:r>
    </w:p>
    <w:p>
      <w:pPr>
        <w:pStyle w:val="FirstParagraph"/>
      </w:pPr>
      <w:r>
        <w:t xml:space="preserve">This page summarizes property members exposed by MSWC compatibility components in G3Pix AxonASP.</w:t>
      </w:r>
    </w:p>
    <w:bookmarkEnd w:id="4899"/>
    <w:bookmarkStart w:id="4900" w:name="properties-reference-8"/>
    <w:p>
      <w:pPr>
        <w:pStyle w:val="Heading2"/>
      </w:pPr>
      <w:r>
        <w:t xml:space="preserve">Properties Reference</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Component</w:t>
            </w:r>
          </w:p>
        </w:tc>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MSWC.AdRotator</w:t>
            </w:r>
          </w:p>
        </w:tc>
        <w:tc>
          <w:tcPr/>
          <w:p>
            <w:pPr>
              <w:pStyle w:val="Compact"/>
            </w:pPr>
            <w:r>
              <w:t xml:space="preserve">Border</w:t>
            </w:r>
          </w:p>
        </w:tc>
        <w:tc>
          <w:tcPr/>
          <w:p>
            <w:pPr>
              <w:pStyle w:val="Compact"/>
            </w:pPr>
            <w:r>
              <w:t xml:space="preserve">Read/Write</w:t>
            </w:r>
          </w:p>
        </w:tc>
        <w:tc>
          <w:tcPr/>
          <w:p>
            <w:pPr>
              <w:pStyle w:val="Compact"/>
            </w:pPr>
            <w:r>
              <w:t xml:space="preserve">Integer</w:t>
            </w:r>
          </w:p>
        </w:tc>
        <w:tc>
          <w:tcPr/>
          <w:p>
            <w:pPr>
              <w:pStyle w:val="Compact"/>
            </w:pPr>
            <w:r>
              <w:t xml:space="preserve">Border value used in generated image HTML. Default is -1, which uses schedule-file border metadata.</w:t>
            </w:r>
          </w:p>
        </w:tc>
      </w:tr>
      <w:tr>
        <w:tc>
          <w:tcPr/>
          <w:p>
            <w:pPr>
              <w:pStyle w:val="Compact"/>
            </w:pPr>
            <w:r>
              <w:t xml:space="preserve">MSWC.AdRotator</w:t>
            </w:r>
          </w:p>
        </w:tc>
        <w:tc>
          <w:tcPr/>
          <w:p>
            <w:pPr>
              <w:pStyle w:val="Compact"/>
            </w:pPr>
            <w:r>
              <w:t xml:space="preserve">Clickable</w:t>
            </w:r>
          </w:p>
        </w:tc>
        <w:tc>
          <w:tcPr/>
          <w:p>
            <w:pPr>
              <w:pStyle w:val="Compact"/>
            </w:pPr>
            <w:r>
              <w:t xml:space="preserve">Read/Write</w:t>
            </w:r>
          </w:p>
        </w:tc>
        <w:tc>
          <w:tcPr/>
          <w:p>
            <w:pPr>
              <w:pStyle w:val="Compact"/>
            </w:pPr>
            <w:r>
              <w:t xml:space="preserve">Boolean</w:t>
            </w:r>
          </w:p>
        </w:tc>
        <w:tc>
          <w:tcPr/>
          <w:p>
            <w:pPr>
              <w:pStyle w:val="Compact"/>
            </w:pPr>
            <w:r>
              <w:t xml:space="preserve">Controls whether generated advertisement HTML is wrapped in anchor tags.</w:t>
            </w:r>
          </w:p>
        </w:tc>
      </w:tr>
      <w:tr>
        <w:tc>
          <w:tcPr/>
          <w:p>
            <w:pPr>
              <w:pStyle w:val="Compact"/>
            </w:pPr>
            <w:r>
              <w:t xml:space="preserve">MSWC.AdRotator</w:t>
            </w:r>
          </w:p>
        </w:tc>
        <w:tc>
          <w:tcPr/>
          <w:p>
            <w:pPr>
              <w:pStyle w:val="Compact"/>
            </w:pPr>
            <w:r>
              <w:t xml:space="preserve">TargetFrame</w:t>
            </w:r>
          </w:p>
        </w:tc>
        <w:tc>
          <w:tcPr/>
          <w:p>
            <w:pPr>
              <w:pStyle w:val="Compact"/>
            </w:pPr>
            <w:r>
              <w:t xml:space="preserve">Read/Write</w:t>
            </w:r>
          </w:p>
        </w:tc>
        <w:tc>
          <w:tcPr/>
          <w:p>
            <w:pPr>
              <w:pStyle w:val="Compact"/>
            </w:pPr>
            <w:r>
              <w:t xml:space="preserve">String</w:t>
            </w:r>
          </w:p>
        </w:tc>
        <w:tc>
          <w:tcPr/>
          <w:p>
            <w:pPr>
              <w:pStyle w:val="Compact"/>
            </w:pPr>
            <w:r>
              <w:t xml:space="preserve">Target frame name used when clickable advertisements are rendered.</w:t>
            </w:r>
          </w:p>
        </w:tc>
      </w:tr>
      <w:tr>
        <w:tc>
          <w:tcPr/>
          <w:p>
            <w:pPr>
              <w:pStyle w:val="Compact"/>
            </w:pPr>
            <w:r>
              <w:t xml:space="preserve">MSWC.BrowserType</w:t>
            </w:r>
          </w:p>
        </w:tc>
        <w:tc>
          <w:tcPr/>
          <w:p>
            <w:pPr>
              <w:pStyle w:val="Compact"/>
            </w:pPr>
            <w:r>
              <w:t xml:space="preserve">Browser</w:t>
            </w:r>
          </w:p>
        </w:tc>
        <w:tc>
          <w:tcPr/>
          <w:p>
            <w:pPr>
              <w:pStyle w:val="Compact"/>
            </w:pPr>
            <w:r>
              <w:t xml:space="preserve">Read-only</w:t>
            </w:r>
          </w:p>
        </w:tc>
        <w:tc>
          <w:tcPr/>
          <w:p>
            <w:pPr>
              <w:pStyle w:val="Compact"/>
            </w:pPr>
            <w:r>
              <w:t xml:space="preserve">String</w:t>
            </w:r>
          </w:p>
        </w:tc>
        <w:tc>
          <w:tcPr/>
          <w:p>
            <w:pPr>
              <w:pStyle w:val="Compact"/>
            </w:pPr>
            <w:r>
              <w:t xml:space="preserve">Detected browser label, such as IE, Edge, Chrome, Firefox, Safari, or Unknown.</w:t>
            </w:r>
          </w:p>
        </w:tc>
      </w:tr>
      <w:tr>
        <w:tc>
          <w:tcPr/>
          <w:p>
            <w:pPr>
              <w:pStyle w:val="Compact"/>
            </w:pPr>
            <w:r>
              <w:t xml:space="preserve">MSWC.BrowserType</w:t>
            </w:r>
          </w:p>
        </w:tc>
        <w:tc>
          <w:tcPr/>
          <w:p>
            <w:pPr>
              <w:pStyle w:val="Compact"/>
            </w:pPr>
            <w:r>
              <w:t xml:space="preserve">Version</w:t>
            </w:r>
          </w:p>
        </w:tc>
        <w:tc>
          <w:tcPr/>
          <w:p>
            <w:pPr>
              <w:pStyle w:val="Compact"/>
            </w:pPr>
            <w:r>
              <w:t xml:space="preserve">Read-only</w:t>
            </w:r>
          </w:p>
        </w:tc>
        <w:tc>
          <w:tcPr/>
          <w:p>
            <w:pPr>
              <w:pStyle w:val="Compact"/>
            </w:pPr>
            <w:r>
              <w:t xml:space="preserve">String</w:t>
            </w:r>
          </w:p>
        </w:tc>
        <w:tc>
          <w:tcPr/>
          <w:p>
            <w:pPr>
              <w:pStyle w:val="Compact"/>
            </w:pPr>
            <w:r>
              <w:t xml:space="preserve">Browser version string. Current compatibility default is 0.0.</w:t>
            </w:r>
          </w:p>
        </w:tc>
      </w:tr>
      <w:tr>
        <w:tc>
          <w:tcPr/>
          <w:p>
            <w:pPr>
              <w:pStyle w:val="Compact"/>
            </w:pPr>
            <w:r>
              <w:t xml:space="preserve">MSWC.BrowserType</w:t>
            </w:r>
          </w:p>
        </w:tc>
        <w:tc>
          <w:tcPr/>
          <w:p>
            <w:pPr>
              <w:pStyle w:val="Compact"/>
            </w:pPr>
            <w:r>
              <w:t xml:space="preserve">MajorVer</w:t>
            </w:r>
          </w:p>
        </w:tc>
        <w:tc>
          <w:tcPr/>
          <w:p>
            <w:pPr>
              <w:pStyle w:val="Compact"/>
            </w:pPr>
            <w:r>
              <w:t xml:space="preserve">Read-only</w:t>
            </w:r>
          </w:p>
        </w:tc>
        <w:tc>
          <w:tcPr/>
          <w:p>
            <w:pPr>
              <w:pStyle w:val="Compact"/>
            </w:pPr>
            <w:r>
              <w:t xml:space="preserve">String</w:t>
            </w:r>
          </w:p>
        </w:tc>
        <w:tc>
          <w:tcPr/>
          <w:p>
            <w:pPr>
              <w:pStyle w:val="Compact"/>
            </w:pPr>
            <w:r>
              <w:t xml:space="preserve">Browser major version string. Current compatibility default is 0.</w:t>
            </w:r>
          </w:p>
        </w:tc>
      </w:tr>
      <w:tr>
        <w:tc>
          <w:tcPr/>
          <w:p>
            <w:pPr>
              <w:pStyle w:val="Compact"/>
            </w:pPr>
            <w:r>
              <w:t xml:space="preserve">MSWC.BrowserType</w:t>
            </w:r>
          </w:p>
        </w:tc>
        <w:tc>
          <w:tcPr/>
          <w:p>
            <w:pPr>
              <w:pStyle w:val="Compact"/>
            </w:pPr>
            <w:r>
              <w:t xml:space="preserve">MinorVer</w:t>
            </w:r>
          </w:p>
        </w:tc>
        <w:tc>
          <w:tcPr/>
          <w:p>
            <w:pPr>
              <w:pStyle w:val="Compact"/>
            </w:pPr>
            <w:r>
              <w:t xml:space="preserve">Read-only</w:t>
            </w:r>
          </w:p>
        </w:tc>
        <w:tc>
          <w:tcPr/>
          <w:p>
            <w:pPr>
              <w:pStyle w:val="Compact"/>
            </w:pPr>
            <w:r>
              <w:t xml:space="preserve">String</w:t>
            </w:r>
          </w:p>
        </w:tc>
        <w:tc>
          <w:tcPr/>
          <w:p>
            <w:pPr>
              <w:pStyle w:val="Compact"/>
            </w:pPr>
            <w:r>
              <w:t xml:space="preserve">Browser minor version string. Current compatibility default is 0.</w:t>
            </w:r>
          </w:p>
        </w:tc>
      </w:tr>
      <w:tr>
        <w:tc>
          <w:tcPr/>
          <w:p>
            <w:pPr>
              <w:pStyle w:val="Compact"/>
            </w:pPr>
            <w:r>
              <w:t xml:space="preserve">MSWC.BrowserType</w:t>
            </w:r>
          </w:p>
        </w:tc>
        <w:tc>
          <w:tcPr/>
          <w:p>
            <w:pPr>
              <w:pStyle w:val="Compact"/>
            </w:pPr>
            <w:r>
              <w:t xml:space="preserve">Frames</w:t>
            </w:r>
          </w:p>
        </w:tc>
        <w:tc>
          <w:tcPr/>
          <w:p>
            <w:pPr>
              <w:pStyle w:val="Compact"/>
            </w:pPr>
            <w:r>
              <w:t xml:space="preserve">Read-only</w:t>
            </w:r>
          </w:p>
        </w:tc>
        <w:tc>
          <w:tcPr/>
          <w:p>
            <w:pPr>
              <w:pStyle w:val="Compact"/>
            </w:pPr>
            <w:r>
              <w:t xml:space="preserve">Boolean</w:t>
            </w:r>
          </w:p>
        </w:tc>
        <w:tc>
          <w:tcPr/>
          <w:p>
            <w:pPr>
              <w:pStyle w:val="Compact"/>
            </w:pPr>
            <w:r>
              <w:t xml:space="preserve">Indicates frame support based on detected user agent heuristics.</w:t>
            </w:r>
          </w:p>
        </w:tc>
      </w:tr>
      <w:tr>
        <w:tc>
          <w:tcPr/>
          <w:p>
            <w:pPr>
              <w:pStyle w:val="Compact"/>
            </w:pPr>
            <w:r>
              <w:t xml:space="preserve">MSWC.BrowserType</w:t>
            </w:r>
          </w:p>
        </w:tc>
        <w:tc>
          <w:tcPr/>
          <w:p>
            <w:pPr>
              <w:pStyle w:val="Compact"/>
            </w:pPr>
            <w:r>
              <w:t xml:space="preserve">Tables</w:t>
            </w:r>
          </w:p>
        </w:tc>
        <w:tc>
          <w:tcPr/>
          <w:p>
            <w:pPr>
              <w:pStyle w:val="Compact"/>
            </w:pPr>
            <w:r>
              <w:t xml:space="preserve">Read-only</w:t>
            </w:r>
          </w:p>
        </w:tc>
        <w:tc>
          <w:tcPr/>
          <w:p>
            <w:pPr>
              <w:pStyle w:val="Compact"/>
            </w:pPr>
            <w:r>
              <w:t xml:space="preserve">Boolean</w:t>
            </w:r>
          </w:p>
        </w:tc>
        <w:tc>
          <w:tcPr/>
          <w:p>
            <w:pPr>
              <w:pStyle w:val="Compact"/>
            </w:pPr>
            <w:r>
              <w:t xml:space="preserve">Indicates HTML table support.</w:t>
            </w:r>
          </w:p>
        </w:tc>
      </w:tr>
      <w:tr>
        <w:tc>
          <w:tcPr/>
          <w:p>
            <w:pPr>
              <w:pStyle w:val="Compact"/>
            </w:pPr>
            <w:r>
              <w:t xml:space="preserve">MSWC.BrowserType</w:t>
            </w:r>
          </w:p>
        </w:tc>
        <w:tc>
          <w:tcPr/>
          <w:p>
            <w:pPr>
              <w:pStyle w:val="Compact"/>
            </w:pPr>
            <w:r>
              <w:t xml:space="preserve">Cookies</w:t>
            </w:r>
          </w:p>
        </w:tc>
        <w:tc>
          <w:tcPr/>
          <w:p>
            <w:pPr>
              <w:pStyle w:val="Compact"/>
            </w:pPr>
            <w:r>
              <w:t xml:space="preserve">Read-only</w:t>
            </w:r>
          </w:p>
        </w:tc>
        <w:tc>
          <w:tcPr/>
          <w:p>
            <w:pPr>
              <w:pStyle w:val="Compact"/>
            </w:pPr>
            <w:r>
              <w:t xml:space="preserve">Boolean</w:t>
            </w:r>
          </w:p>
        </w:tc>
        <w:tc>
          <w:tcPr/>
          <w:p>
            <w:pPr>
              <w:pStyle w:val="Compact"/>
            </w:pPr>
            <w:r>
              <w:t xml:space="preserve">Indicates cookie support.</w:t>
            </w:r>
          </w:p>
        </w:tc>
      </w:tr>
      <w:tr>
        <w:tc>
          <w:tcPr/>
          <w:p>
            <w:pPr>
              <w:pStyle w:val="Compact"/>
            </w:pPr>
            <w:r>
              <w:t xml:space="preserve">MSWC.BrowserType</w:t>
            </w:r>
          </w:p>
        </w:tc>
        <w:tc>
          <w:tcPr/>
          <w:p>
            <w:pPr>
              <w:pStyle w:val="Compact"/>
            </w:pPr>
            <w:r>
              <w:t xml:space="preserve">BackgroundSounds</w:t>
            </w:r>
          </w:p>
        </w:tc>
        <w:tc>
          <w:tcPr/>
          <w:p>
            <w:pPr>
              <w:pStyle w:val="Compact"/>
            </w:pPr>
            <w:r>
              <w:t xml:space="preserve">Read-only</w:t>
            </w:r>
          </w:p>
        </w:tc>
        <w:tc>
          <w:tcPr/>
          <w:p>
            <w:pPr>
              <w:pStyle w:val="Compact"/>
            </w:pPr>
            <w:r>
              <w:t xml:space="preserve">Boolean</w:t>
            </w:r>
          </w:p>
        </w:tc>
        <w:tc>
          <w:tcPr/>
          <w:p>
            <w:pPr>
              <w:pStyle w:val="Compact"/>
            </w:pPr>
            <w:r>
              <w:t xml:space="preserve">Indicates background sound support.</w:t>
            </w:r>
          </w:p>
        </w:tc>
      </w:tr>
      <w:tr>
        <w:tc>
          <w:tcPr/>
          <w:p>
            <w:pPr>
              <w:pStyle w:val="Compact"/>
            </w:pPr>
            <w:r>
              <w:t xml:space="preserve">MSWC.BrowserType</w:t>
            </w:r>
          </w:p>
        </w:tc>
        <w:tc>
          <w:tcPr/>
          <w:p>
            <w:pPr>
              <w:pStyle w:val="Compact"/>
            </w:pPr>
            <w:r>
              <w:t xml:space="preserve">VBScript</w:t>
            </w:r>
          </w:p>
        </w:tc>
        <w:tc>
          <w:tcPr/>
          <w:p>
            <w:pPr>
              <w:pStyle w:val="Compact"/>
            </w:pPr>
            <w:r>
              <w:t xml:space="preserve">Read-only</w:t>
            </w:r>
          </w:p>
        </w:tc>
        <w:tc>
          <w:tcPr/>
          <w:p>
            <w:pPr>
              <w:pStyle w:val="Compact"/>
            </w:pPr>
            <w:r>
              <w:t xml:space="preserve">Boolean</w:t>
            </w:r>
          </w:p>
        </w:tc>
        <w:tc>
          <w:tcPr/>
          <w:p>
            <w:pPr>
              <w:pStyle w:val="Compact"/>
            </w:pPr>
            <w:r>
              <w:t xml:space="preserve">Indicates VBScript support.</w:t>
            </w:r>
          </w:p>
        </w:tc>
      </w:tr>
      <w:tr>
        <w:tc>
          <w:tcPr/>
          <w:p>
            <w:pPr>
              <w:pStyle w:val="Compact"/>
            </w:pPr>
            <w:r>
              <w:t xml:space="preserve">MSWC.BrowserType</w:t>
            </w:r>
          </w:p>
        </w:tc>
        <w:tc>
          <w:tcPr/>
          <w:p>
            <w:pPr>
              <w:pStyle w:val="Compact"/>
            </w:pPr>
            <w:r>
              <w:t xml:space="preserve">JavaScript</w:t>
            </w:r>
          </w:p>
        </w:tc>
        <w:tc>
          <w:tcPr/>
          <w:p>
            <w:pPr>
              <w:pStyle w:val="Compact"/>
            </w:pPr>
            <w:r>
              <w:t xml:space="preserve">Read-only</w:t>
            </w:r>
          </w:p>
        </w:tc>
        <w:tc>
          <w:tcPr/>
          <w:p>
            <w:pPr>
              <w:pStyle w:val="Compact"/>
            </w:pPr>
            <w:r>
              <w:t xml:space="preserve">Boolean</w:t>
            </w:r>
          </w:p>
        </w:tc>
        <w:tc>
          <w:tcPr/>
          <w:p>
            <w:pPr>
              <w:pStyle w:val="Compact"/>
            </w:pPr>
            <w:r>
              <w:t xml:space="preserve">Indicates JavaScript support.</w:t>
            </w:r>
          </w:p>
        </w:tc>
      </w:tr>
      <w:tr>
        <w:tc>
          <w:tcPr/>
          <w:p>
            <w:pPr>
              <w:pStyle w:val="Compact"/>
            </w:pPr>
            <w:r>
              <w:t xml:space="preserve">MSWC.BrowserType</w:t>
            </w:r>
          </w:p>
        </w:tc>
        <w:tc>
          <w:tcPr/>
          <w:p>
            <w:pPr>
              <w:pStyle w:val="Compact"/>
            </w:pPr>
            <w:r>
              <w:t xml:space="preserve">JavaApplets</w:t>
            </w:r>
          </w:p>
        </w:tc>
        <w:tc>
          <w:tcPr/>
          <w:p>
            <w:pPr>
              <w:pStyle w:val="Compact"/>
            </w:pPr>
            <w:r>
              <w:t xml:space="preserve">Read-only</w:t>
            </w:r>
          </w:p>
        </w:tc>
        <w:tc>
          <w:tcPr/>
          <w:p>
            <w:pPr>
              <w:pStyle w:val="Compact"/>
            </w:pPr>
            <w:r>
              <w:t xml:space="preserve">Boolean</w:t>
            </w:r>
          </w:p>
        </w:tc>
        <w:tc>
          <w:tcPr/>
          <w:p>
            <w:pPr>
              <w:pStyle w:val="Compact"/>
            </w:pPr>
            <w:r>
              <w:t xml:space="preserve">Indicates Java applet support.</w:t>
            </w:r>
          </w:p>
        </w:tc>
      </w:tr>
      <w:tr>
        <w:tc>
          <w:tcPr/>
          <w:p>
            <w:pPr>
              <w:pStyle w:val="Compact"/>
            </w:pPr>
            <w:r>
              <w:t xml:space="preserve">MSWC.BrowserType</w:t>
            </w:r>
          </w:p>
        </w:tc>
        <w:tc>
          <w:tcPr/>
          <w:p>
            <w:pPr>
              <w:pStyle w:val="Compact"/>
            </w:pPr>
            <w:r>
              <w:t xml:space="preserve">ActiveXControls</w:t>
            </w:r>
          </w:p>
        </w:tc>
        <w:tc>
          <w:tcPr/>
          <w:p>
            <w:pPr>
              <w:pStyle w:val="Compact"/>
            </w:pPr>
            <w:r>
              <w:t xml:space="preserve">Read-only</w:t>
            </w:r>
          </w:p>
        </w:tc>
        <w:tc>
          <w:tcPr/>
          <w:p>
            <w:pPr>
              <w:pStyle w:val="Compact"/>
            </w:pPr>
            <w:r>
              <w:t xml:space="preserve">Boolean</w:t>
            </w:r>
          </w:p>
        </w:tc>
        <w:tc>
          <w:tcPr/>
          <w:p>
            <w:pPr>
              <w:pStyle w:val="Compact"/>
            </w:pPr>
            <w:r>
              <w:t xml:space="preserve">Indicates ActiveX control support.</w:t>
            </w:r>
          </w:p>
        </w:tc>
      </w:tr>
      <w:tr>
        <w:tc>
          <w:tcPr/>
          <w:p>
            <w:pPr>
              <w:pStyle w:val="Compact"/>
            </w:pPr>
            <w:r>
              <w:t xml:space="preserve">MSWC.BrowserType</w:t>
            </w:r>
          </w:p>
        </w:tc>
        <w:tc>
          <w:tcPr/>
          <w:p>
            <w:pPr>
              <w:pStyle w:val="Compact"/>
            </w:pPr>
            <w:r>
              <w:t xml:space="preserve">CDF</w:t>
            </w:r>
          </w:p>
        </w:tc>
        <w:tc>
          <w:tcPr/>
          <w:p>
            <w:pPr>
              <w:pStyle w:val="Compact"/>
            </w:pPr>
            <w:r>
              <w:t xml:space="preserve">Read-only</w:t>
            </w:r>
          </w:p>
        </w:tc>
        <w:tc>
          <w:tcPr/>
          <w:p>
            <w:pPr>
              <w:pStyle w:val="Compact"/>
            </w:pPr>
            <w:r>
              <w:t xml:space="preserve">Boolean</w:t>
            </w:r>
          </w:p>
        </w:tc>
        <w:tc>
          <w:tcPr/>
          <w:p>
            <w:pPr>
              <w:pStyle w:val="Compact"/>
            </w:pPr>
            <w:r>
              <w:t xml:space="preserve">Indicates CDF support.</w:t>
            </w:r>
          </w:p>
        </w:tc>
      </w:tr>
      <w:tr>
        <w:tc>
          <w:tcPr/>
          <w:p>
            <w:pPr>
              <w:pStyle w:val="Compact"/>
            </w:pPr>
            <w:r>
              <w:t xml:space="preserve">MSWC.MyInfo</w:t>
            </w:r>
          </w:p>
        </w:tc>
        <w:tc>
          <w:tcPr/>
          <w:p>
            <w:pPr>
              <w:pStyle w:val="Compact"/>
            </w:pPr>
            <w:r>
              <w:t xml:space="preserve">AnyCustomProperty</w:t>
            </w:r>
          </w:p>
        </w:tc>
        <w:tc>
          <w:tcPr/>
          <w:p>
            <w:pPr>
              <w:pStyle w:val="Compact"/>
            </w:pPr>
            <w:r>
              <w:t xml:space="preserve">Read-only</w:t>
            </w:r>
          </w:p>
        </w:tc>
        <w:tc>
          <w:tcPr/>
          <w:p>
            <w:pPr>
              <w:pStyle w:val="Compact"/>
            </w:pPr>
            <w:r>
              <w:t xml:space="preserve">String or Empty</w:t>
            </w:r>
          </w:p>
        </w:tc>
        <w:tc>
          <w:tcPr/>
          <w:p>
            <w:pPr>
              <w:pStyle w:val="Compact"/>
            </w:pPr>
            <w:r>
              <w:t xml:space="preserve">Returns one property value loaded from MyInfo.xml when the property key exists, otherwise Empty.</w:t>
            </w:r>
          </w:p>
        </w:tc>
      </w:tr>
    </w:tbl>
    <w:bookmarkEnd w:id="4900"/>
    <w:bookmarkStart w:id="4902" w:name="remarks-507"/>
    <w:p>
      <w:pPr>
        <w:pStyle w:val="Heading2"/>
      </w:pPr>
      <w:r>
        <w:t xml:space="preserve">Remarks</w:t>
      </w:r>
    </w:p>
    <w:p>
      <w:pPr>
        <w:pStyle w:val="Compact"/>
        <w:numPr>
          <w:ilvl w:val="0"/>
          <w:numId w:val="2222"/>
        </w:numPr>
      </w:pPr>
      <w:r>
        <w:t xml:space="preserve">Property names are case-insensitive.</w:t>
      </w:r>
    </w:p>
    <w:p>
      <w:pPr>
        <w:pStyle w:val="Compact"/>
        <w:numPr>
          <w:ilvl w:val="0"/>
          <w:numId w:val="2222"/>
        </w:numPr>
      </w:pPr>
      <w:r>
        <w:t xml:space="preserve">Unsupported property names resolve through component dispatch and may return Empty.</w:t>
      </w:r>
    </w:p>
    <w:bookmarkStart w:id="4901" w:name="methods-detail-22"/>
    <w:p>
      <w:pPr>
        <w:pStyle w:val="Heading3"/>
      </w:pPr>
      <w:r>
        <w:t xml:space="preserve">Methods Detail</w:t>
      </w:r>
    </w:p>
    <w:bookmarkEnd w:id="4901"/>
    <w:bookmarkEnd w:id="4902"/>
    <w:bookmarkEnd w:id="4903"/>
    <w:bookmarkStart w:id="4910" w:name="adrotator.getadvertisement-method"/>
    <w:p>
      <w:pPr>
        <w:pStyle w:val="Heading1"/>
      </w:pPr>
      <w:r>
        <w:t xml:space="preserve">AdRotator.GetAdvertisement Method</w:t>
      </w:r>
    </w:p>
    <w:bookmarkStart w:id="4904" w:name="overview-576"/>
    <w:p>
      <w:pPr>
        <w:pStyle w:val="Heading2"/>
      </w:pPr>
      <w:r>
        <w:t xml:space="preserve">Overview</w:t>
      </w:r>
    </w:p>
    <w:p>
      <w:pPr>
        <w:pStyle w:val="FirstParagraph"/>
      </w:pPr>
      <w:r>
        <w:t xml:space="preserve">Calls the GetAdvertisement member on the AdRotator compatibility object.</w:t>
      </w:r>
    </w:p>
    <w:bookmarkEnd w:id="4904"/>
    <w:bookmarkStart w:id="4905" w:name="syntax-535"/>
    <w:p>
      <w:pPr>
        <w:pStyle w:val="Heading2"/>
      </w:pPr>
      <w:r>
        <w:t xml:space="preserve">Syntax</w:t>
      </w:r>
    </w:p>
    <w:p>
      <w:pPr>
        <w:pStyle w:val="SourceCode"/>
      </w:pPr>
      <w:r>
        <w:rPr>
          <w:rStyle w:val="NormalTok"/>
        </w:rPr>
        <w:t xml:space="preserve">Dim obj</w:t>
      </w:r>
      <w:r>
        <w:br/>
      </w:r>
      <w:r>
        <w:rPr>
          <w:rStyle w:val="NormalTok"/>
        </w:rPr>
        <w:t xml:space="preserve">Set obj = Server.CreateObject("MSWC.AdRotator")</w:t>
      </w:r>
      <w:r>
        <w:br/>
      </w:r>
      <w:r>
        <w:rPr>
          <w:rStyle w:val="NormalTok"/>
        </w:rPr>
        <w:t xml:space="preserve">html = obj.GetAdvertisement(scheduleFile)</w:t>
      </w:r>
    </w:p>
    <w:bookmarkEnd w:id="4905"/>
    <w:bookmarkStart w:id="4906" w:name="parameters-and-arguments-164"/>
    <w:p>
      <w:pPr>
        <w:pStyle w:val="Heading2"/>
      </w:pPr>
      <w:r>
        <w:t xml:space="preserve">Parameters and Arguments</w:t>
      </w:r>
    </w:p>
    <w:p>
      <w:pPr>
        <w:pStyle w:val="Compact"/>
        <w:numPr>
          <w:ilvl w:val="0"/>
          <w:numId w:val="2223"/>
        </w:numPr>
      </w:pPr>
      <w:r>
        <w:t xml:space="preserve">Parameters are validated by runtime dispatch for MSWC.AdRotator.</w:t>
      </w:r>
    </w:p>
    <w:p>
      <w:pPr>
        <w:pStyle w:val="Compact"/>
        <w:numPr>
          <w:ilvl w:val="0"/>
          <w:numId w:val="2223"/>
        </w:numPr>
      </w:pPr>
      <w:r>
        <w:t xml:space="preserve">Invalid argument count or incompatible values can raise runtime errors.</w:t>
      </w:r>
    </w:p>
    <w:bookmarkEnd w:id="4906"/>
    <w:bookmarkStart w:id="4907" w:name="return-values-221"/>
    <w:p>
      <w:pPr>
        <w:pStyle w:val="Heading2"/>
      </w:pPr>
      <w:r>
        <w:t xml:space="preserve">Return Values</w:t>
      </w:r>
    </w:p>
    <w:p>
      <w:pPr>
        <w:pStyle w:val="FirstParagraph"/>
      </w:pPr>
      <w:r>
        <w:t xml:space="preserve">Returns a Variant-compatible value according to operation semantics.</w:t>
      </w:r>
    </w:p>
    <w:bookmarkEnd w:id="4907"/>
    <w:bookmarkStart w:id="4908" w:name="remarks-508"/>
    <w:p>
      <w:pPr>
        <w:pStyle w:val="Heading2"/>
      </w:pPr>
      <w:r>
        <w:t xml:space="preserve">Remarks</w:t>
      </w:r>
    </w:p>
    <w:p>
      <w:pPr>
        <w:pStyle w:val="Compact"/>
        <w:numPr>
          <w:ilvl w:val="0"/>
          <w:numId w:val="2224"/>
        </w:numPr>
      </w:pPr>
      <w:r>
        <w:t xml:space="preserve">Reads an ad schedule file and returns the selected ad HTML fragment.</w:t>
      </w:r>
    </w:p>
    <w:p>
      <w:pPr>
        <w:pStyle w:val="Compact"/>
        <w:numPr>
          <w:ilvl w:val="0"/>
          <w:numId w:val="2224"/>
        </w:numPr>
      </w:pPr>
      <w:r>
        <w:t xml:space="preserve">Use Set when assigning object return values.</w:t>
      </w:r>
    </w:p>
    <w:p>
      <w:pPr>
        <w:pStyle w:val="Compact"/>
        <w:numPr>
          <w:ilvl w:val="0"/>
          <w:numId w:val="2224"/>
        </w:numPr>
      </w:pPr>
      <w:r>
        <w:t xml:space="preserve">Member names are case-insensitive.</w:t>
      </w:r>
    </w:p>
    <w:bookmarkEnd w:id="4908"/>
    <w:bookmarkStart w:id="4909" w:name="code-example-33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"MSWC.AdRotator"</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obj.GetAdvertisement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09"/>
    <w:bookmarkEnd w:id="4910"/>
    <w:bookmarkStart w:id="4917" w:name="nextlink.getlistcount-method"/>
    <w:p>
      <w:pPr>
        <w:pStyle w:val="Heading1"/>
      </w:pPr>
      <w:r>
        <w:t xml:space="preserve">NextLink.GetListCount Method</w:t>
      </w:r>
    </w:p>
    <w:bookmarkStart w:id="4911" w:name="overview-577"/>
    <w:p>
      <w:pPr>
        <w:pStyle w:val="Heading2"/>
      </w:pPr>
      <w:r>
        <w:t xml:space="preserve">Overview</w:t>
      </w:r>
    </w:p>
    <w:p>
      <w:pPr>
        <w:pStyle w:val="FirstParagraph"/>
      </w:pPr>
      <w:r>
        <w:t xml:space="preserve">Calls the GetListCount member on the NextLink compatibility object.</w:t>
      </w:r>
    </w:p>
    <w:bookmarkEnd w:id="4911"/>
    <w:bookmarkStart w:id="4912" w:name="syntax-536"/>
    <w:p>
      <w:pPr>
        <w:pStyle w:val="Heading2"/>
      </w:pPr>
      <w:r>
        <w:t xml:space="preserve">Syntax</w:t>
      </w:r>
    </w:p>
    <w:p>
      <w:pPr>
        <w:pStyle w:val="SourceCode"/>
      </w:pPr>
      <w:r>
        <w:rPr>
          <w:rStyle w:val="NormalTok"/>
        </w:rPr>
        <w:t xml:space="preserve">Dim obj</w:t>
      </w:r>
      <w:r>
        <w:br/>
      </w:r>
      <w:r>
        <w:rPr>
          <w:rStyle w:val="NormalTok"/>
        </w:rPr>
        <w:t xml:space="preserve">Set obj = Server.CreateObject("MSWC.NextLink")</w:t>
      </w:r>
      <w:r>
        <w:br/>
      </w:r>
      <w:r>
        <w:rPr>
          <w:rStyle w:val="NormalTok"/>
        </w:rPr>
        <w:t xml:space="preserve">n = obj.GetListCount(listFile)</w:t>
      </w:r>
    </w:p>
    <w:bookmarkEnd w:id="4912"/>
    <w:bookmarkStart w:id="4913" w:name="parameters-and-arguments-165"/>
    <w:p>
      <w:pPr>
        <w:pStyle w:val="Heading2"/>
      </w:pPr>
      <w:r>
        <w:t xml:space="preserve">Parameters and Arguments</w:t>
      </w:r>
    </w:p>
    <w:p>
      <w:pPr>
        <w:pStyle w:val="Compact"/>
        <w:numPr>
          <w:ilvl w:val="0"/>
          <w:numId w:val="2225"/>
        </w:numPr>
      </w:pPr>
      <w:r>
        <w:t xml:space="preserve">Parameters are validated by runtime dispatch for MSWC.NextLink.</w:t>
      </w:r>
    </w:p>
    <w:p>
      <w:pPr>
        <w:pStyle w:val="Compact"/>
        <w:numPr>
          <w:ilvl w:val="0"/>
          <w:numId w:val="2225"/>
        </w:numPr>
      </w:pPr>
      <w:r>
        <w:t xml:space="preserve">Invalid argument count or incompatible values can raise runtime errors.</w:t>
      </w:r>
    </w:p>
    <w:bookmarkEnd w:id="4913"/>
    <w:bookmarkStart w:id="4914" w:name="return-values-222"/>
    <w:p>
      <w:pPr>
        <w:pStyle w:val="Heading2"/>
      </w:pPr>
      <w:r>
        <w:t xml:space="preserve">Return Values</w:t>
      </w:r>
    </w:p>
    <w:p>
      <w:pPr>
        <w:pStyle w:val="FirstParagraph"/>
      </w:pPr>
      <w:r>
        <w:t xml:space="preserve">Returns a Variant-compatible value according to operation semantics.</w:t>
      </w:r>
    </w:p>
    <w:bookmarkEnd w:id="4914"/>
    <w:bookmarkStart w:id="4915" w:name="remarks-509"/>
    <w:p>
      <w:pPr>
        <w:pStyle w:val="Heading2"/>
      </w:pPr>
      <w:r>
        <w:t xml:space="preserve">Remarks</w:t>
      </w:r>
    </w:p>
    <w:p>
      <w:pPr>
        <w:pStyle w:val="Compact"/>
        <w:numPr>
          <w:ilvl w:val="0"/>
          <w:numId w:val="2226"/>
        </w:numPr>
      </w:pPr>
      <w:r>
        <w:t xml:space="preserve">Returns number of entries in the link list file.</w:t>
      </w:r>
    </w:p>
    <w:p>
      <w:pPr>
        <w:pStyle w:val="Compact"/>
        <w:numPr>
          <w:ilvl w:val="0"/>
          <w:numId w:val="2226"/>
        </w:numPr>
      </w:pPr>
      <w:r>
        <w:t xml:space="preserve">Use Set when assigning object return values.</w:t>
      </w:r>
    </w:p>
    <w:p>
      <w:pPr>
        <w:pStyle w:val="Compact"/>
        <w:numPr>
          <w:ilvl w:val="0"/>
          <w:numId w:val="2226"/>
        </w:numPr>
      </w:pPr>
      <w:r>
        <w:t xml:space="preserve">Member names are case-insensitive.</w:t>
      </w:r>
    </w:p>
    <w:bookmarkEnd w:id="4915"/>
    <w:bookmarkStart w:id="4916" w:name="code-example-33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"MSWC.NextLink"</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obj.GetListCount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16"/>
    <w:bookmarkEnd w:id="4917"/>
    <w:bookmarkStart w:id="4924" w:name="nextlink.getlistindex-method"/>
    <w:p>
      <w:pPr>
        <w:pStyle w:val="Heading1"/>
      </w:pPr>
      <w:r>
        <w:t xml:space="preserve">NextLink.GetListIndex Method</w:t>
      </w:r>
    </w:p>
    <w:bookmarkStart w:id="4918" w:name="overview-578"/>
    <w:p>
      <w:pPr>
        <w:pStyle w:val="Heading2"/>
      </w:pPr>
      <w:r>
        <w:t xml:space="preserve">Overview</w:t>
      </w:r>
    </w:p>
    <w:p>
      <w:pPr>
        <w:pStyle w:val="FirstParagraph"/>
      </w:pPr>
      <w:r>
        <w:t xml:space="preserve">Calls the GetListIndex member on the NextLink compatibility object.</w:t>
      </w:r>
    </w:p>
    <w:bookmarkEnd w:id="4918"/>
    <w:bookmarkStart w:id="4919" w:name="syntax-537"/>
    <w:p>
      <w:pPr>
        <w:pStyle w:val="Heading2"/>
      </w:pPr>
      <w:r>
        <w:t xml:space="preserve">Syntax</w:t>
      </w:r>
    </w:p>
    <w:p>
      <w:pPr>
        <w:pStyle w:val="SourceCode"/>
      </w:pPr>
      <w:r>
        <w:rPr>
          <w:rStyle w:val="NormalTok"/>
        </w:rPr>
        <w:t xml:space="preserve">Dim obj</w:t>
      </w:r>
      <w:r>
        <w:br/>
      </w:r>
      <w:r>
        <w:rPr>
          <w:rStyle w:val="NormalTok"/>
        </w:rPr>
        <w:t xml:space="preserve">Set obj = Server.CreateObject("MSWC.NextLink")</w:t>
      </w:r>
      <w:r>
        <w:br/>
      </w:r>
      <w:r>
        <w:rPr>
          <w:rStyle w:val="NormalTok"/>
        </w:rPr>
        <w:t xml:space="preserve">n = obj.GetListIndex(listFile)</w:t>
      </w:r>
    </w:p>
    <w:bookmarkEnd w:id="4919"/>
    <w:bookmarkStart w:id="4920" w:name="parameters-and-arguments-166"/>
    <w:p>
      <w:pPr>
        <w:pStyle w:val="Heading2"/>
      </w:pPr>
      <w:r>
        <w:t xml:space="preserve">Parameters and Arguments</w:t>
      </w:r>
    </w:p>
    <w:p>
      <w:pPr>
        <w:pStyle w:val="Compact"/>
        <w:numPr>
          <w:ilvl w:val="0"/>
          <w:numId w:val="2227"/>
        </w:numPr>
      </w:pPr>
      <w:r>
        <w:t xml:space="preserve">Parameters are validated by runtime dispatch for MSWC.NextLink.</w:t>
      </w:r>
    </w:p>
    <w:p>
      <w:pPr>
        <w:pStyle w:val="Compact"/>
        <w:numPr>
          <w:ilvl w:val="0"/>
          <w:numId w:val="2227"/>
        </w:numPr>
      </w:pPr>
      <w:r>
        <w:t xml:space="preserve">Invalid argument count or incompatible values can raise runtime errors.</w:t>
      </w:r>
    </w:p>
    <w:bookmarkEnd w:id="4920"/>
    <w:bookmarkStart w:id="4921" w:name="return-values-223"/>
    <w:p>
      <w:pPr>
        <w:pStyle w:val="Heading2"/>
      </w:pPr>
      <w:r>
        <w:t xml:space="preserve">Return Values</w:t>
      </w:r>
    </w:p>
    <w:p>
      <w:pPr>
        <w:pStyle w:val="FirstParagraph"/>
      </w:pPr>
      <w:r>
        <w:t xml:space="preserve">Returns a Variant-compatible value according to operation semantics.</w:t>
      </w:r>
    </w:p>
    <w:bookmarkEnd w:id="4921"/>
    <w:bookmarkStart w:id="4922" w:name="remarks-510"/>
    <w:p>
      <w:pPr>
        <w:pStyle w:val="Heading2"/>
      </w:pPr>
      <w:r>
        <w:t xml:space="preserve">Remarks</w:t>
      </w:r>
    </w:p>
    <w:p>
      <w:pPr>
        <w:pStyle w:val="Compact"/>
        <w:numPr>
          <w:ilvl w:val="0"/>
          <w:numId w:val="2228"/>
        </w:numPr>
      </w:pPr>
      <w:r>
        <w:t xml:space="preserve">Returns current item index based on current request URL.</w:t>
      </w:r>
    </w:p>
    <w:p>
      <w:pPr>
        <w:pStyle w:val="Compact"/>
        <w:numPr>
          <w:ilvl w:val="0"/>
          <w:numId w:val="2228"/>
        </w:numPr>
      </w:pPr>
      <w:r>
        <w:t xml:space="preserve">Use Set when assigning object return values.</w:t>
      </w:r>
    </w:p>
    <w:p>
      <w:pPr>
        <w:pStyle w:val="Compact"/>
        <w:numPr>
          <w:ilvl w:val="0"/>
          <w:numId w:val="2228"/>
        </w:numPr>
      </w:pPr>
      <w:r>
        <w:t xml:space="preserve">Member names are case-insensitive.</w:t>
      </w:r>
    </w:p>
    <w:bookmarkEnd w:id="4922"/>
    <w:bookmarkStart w:id="4923" w:name="code-example-33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"MSWC.NextLink"</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obj.GetListIndex</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23"/>
    <w:bookmarkEnd w:id="4924"/>
    <w:bookmarkStart w:id="4931" w:name="nextlink.getnextdescription-method"/>
    <w:p>
      <w:pPr>
        <w:pStyle w:val="Heading1"/>
      </w:pPr>
      <w:r>
        <w:t xml:space="preserve">NextLink.GetNextDescription Method</w:t>
      </w:r>
    </w:p>
    <w:bookmarkStart w:id="4925" w:name="overview-579"/>
    <w:p>
      <w:pPr>
        <w:pStyle w:val="Heading2"/>
      </w:pPr>
      <w:r>
        <w:t xml:space="preserve">Overview</w:t>
      </w:r>
    </w:p>
    <w:p>
      <w:pPr>
        <w:pStyle w:val="FirstParagraph"/>
      </w:pPr>
      <w:r>
        <w:t xml:space="preserve">Calls the GetNextDescription member on the NextLink compatibility object.</w:t>
      </w:r>
    </w:p>
    <w:bookmarkEnd w:id="4925"/>
    <w:bookmarkStart w:id="4926" w:name="syntax-538"/>
    <w:p>
      <w:pPr>
        <w:pStyle w:val="Heading2"/>
      </w:pPr>
      <w:r>
        <w:t xml:space="preserve">Syntax</w:t>
      </w:r>
    </w:p>
    <w:p>
      <w:pPr>
        <w:pStyle w:val="SourceCode"/>
      </w:pPr>
      <w:r>
        <w:rPr>
          <w:rStyle w:val="NormalTok"/>
        </w:rPr>
        <w:t xml:space="preserve">Dim obj</w:t>
      </w:r>
      <w:r>
        <w:br/>
      </w:r>
      <w:r>
        <w:rPr>
          <w:rStyle w:val="NormalTok"/>
        </w:rPr>
        <w:t xml:space="preserve">Set obj = Server.CreateObject("MSWC.NextLink")</w:t>
      </w:r>
      <w:r>
        <w:br/>
      </w:r>
      <w:r>
        <w:rPr>
          <w:rStyle w:val="NormalTok"/>
        </w:rPr>
        <w:t xml:space="preserve">text = obj.GetNextDescription(listFile)</w:t>
      </w:r>
    </w:p>
    <w:bookmarkEnd w:id="4926"/>
    <w:bookmarkStart w:id="4927" w:name="parameters-and-arguments-167"/>
    <w:p>
      <w:pPr>
        <w:pStyle w:val="Heading2"/>
      </w:pPr>
      <w:r>
        <w:t xml:space="preserve">Parameters and Arguments</w:t>
      </w:r>
    </w:p>
    <w:p>
      <w:pPr>
        <w:pStyle w:val="Compact"/>
        <w:numPr>
          <w:ilvl w:val="0"/>
          <w:numId w:val="2229"/>
        </w:numPr>
      </w:pPr>
      <w:r>
        <w:t xml:space="preserve">Parameters are validated by runtime dispatch for MSWC.NextLink.</w:t>
      </w:r>
    </w:p>
    <w:p>
      <w:pPr>
        <w:pStyle w:val="Compact"/>
        <w:numPr>
          <w:ilvl w:val="0"/>
          <w:numId w:val="2229"/>
        </w:numPr>
      </w:pPr>
      <w:r>
        <w:t xml:space="preserve">Invalid argument count or incompatible values can raise runtime errors.</w:t>
      </w:r>
    </w:p>
    <w:bookmarkEnd w:id="4927"/>
    <w:bookmarkStart w:id="4928" w:name="return-values-224"/>
    <w:p>
      <w:pPr>
        <w:pStyle w:val="Heading2"/>
      </w:pPr>
      <w:r>
        <w:t xml:space="preserve">Return Values</w:t>
      </w:r>
    </w:p>
    <w:p>
      <w:pPr>
        <w:pStyle w:val="FirstParagraph"/>
      </w:pPr>
      <w:r>
        <w:t xml:space="preserve">Returns a Variant-compatible value according to operation semantics.</w:t>
      </w:r>
    </w:p>
    <w:bookmarkEnd w:id="4928"/>
    <w:bookmarkStart w:id="4929" w:name="remarks-511"/>
    <w:p>
      <w:pPr>
        <w:pStyle w:val="Heading2"/>
      </w:pPr>
      <w:r>
        <w:t xml:space="preserve">Remarks</w:t>
      </w:r>
    </w:p>
    <w:p>
      <w:pPr>
        <w:pStyle w:val="Compact"/>
        <w:numPr>
          <w:ilvl w:val="0"/>
          <w:numId w:val="2230"/>
        </w:numPr>
      </w:pPr>
      <w:r>
        <w:t xml:space="preserve">Returns description of next entry.</w:t>
      </w:r>
    </w:p>
    <w:p>
      <w:pPr>
        <w:pStyle w:val="Compact"/>
        <w:numPr>
          <w:ilvl w:val="0"/>
          <w:numId w:val="2230"/>
        </w:numPr>
      </w:pPr>
      <w:r>
        <w:t xml:space="preserve">Use Set when assigning object return values.</w:t>
      </w:r>
    </w:p>
    <w:p>
      <w:pPr>
        <w:pStyle w:val="Compact"/>
        <w:numPr>
          <w:ilvl w:val="0"/>
          <w:numId w:val="2230"/>
        </w:numPr>
      </w:pPr>
      <w:r>
        <w:t xml:space="preserve">Member names are case-insensitive.</w:t>
      </w:r>
    </w:p>
    <w:bookmarkEnd w:id="4929"/>
    <w:bookmarkStart w:id="4930" w:name="code-example-33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"MSWC.NextLink"</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obj.GetNextDescription</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30"/>
    <w:bookmarkEnd w:id="4931"/>
    <w:bookmarkStart w:id="4938" w:name="nextlink.getnexturl-method"/>
    <w:p>
      <w:pPr>
        <w:pStyle w:val="Heading1"/>
      </w:pPr>
      <w:r>
        <w:t xml:space="preserve">NextLink.GetNextURL Method</w:t>
      </w:r>
    </w:p>
    <w:bookmarkStart w:id="4932" w:name="overview-580"/>
    <w:p>
      <w:pPr>
        <w:pStyle w:val="Heading2"/>
      </w:pPr>
      <w:r>
        <w:t xml:space="preserve">Overview</w:t>
      </w:r>
    </w:p>
    <w:p>
      <w:pPr>
        <w:pStyle w:val="FirstParagraph"/>
      </w:pPr>
      <w:r>
        <w:t xml:space="preserve">Calls the GetNextURL member on the NextLink compatibility object.</w:t>
      </w:r>
    </w:p>
    <w:bookmarkEnd w:id="4932"/>
    <w:bookmarkStart w:id="4933" w:name="syntax-539"/>
    <w:p>
      <w:pPr>
        <w:pStyle w:val="Heading2"/>
      </w:pPr>
      <w:r>
        <w:t xml:space="preserve">Syntax</w:t>
      </w:r>
    </w:p>
    <w:p>
      <w:pPr>
        <w:pStyle w:val="SourceCode"/>
      </w:pPr>
      <w:r>
        <w:rPr>
          <w:rStyle w:val="NormalTok"/>
        </w:rPr>
        <w:t xml:space="preserve">Dim obj</w:t>
      </w:r>
      <w:r>
        <w:br/>
      </w:r>
      <w:r>
        <w:rPr>
          <w:rStyle w:val="NormalTok"/>
        </w:rPr>
        <w:t xml:space="preserve">Set obj = Server.CreateObject("MSWC.NextLink")</w:t>
      </w:r>
      <w:r>
        <w:br/>
      </w:r>
      <w:r>
        <w:rPr>
          <w:rStyle w:val="NormalTok"/>
        </w:rPr>
        <w:t xml:space="preserve">url = obj.GetNextURL(listFile)</w:t>
      </w:r>
    </w:p>
    <w:bookmarkEnd w:id="4933"/>
    <w:bookmarkStart w:id="4934" w:name="parameters-and-arguments-168"/>
    <w:p>
      <w:pPr>
        <w:pStyle w:val="Heading2"/>
      </w:pPr>
      <w:r>
        <w:t xml:space="preserve">Parameters and Arguments</w:t>
      </w:r>
    </w:p>
    <w:p>
      <w:pPr>
        <w:pStyle w:val="Compact"/>
        <w:numPr>
          <w:ilvl w:val="0"/>
          <w:numId w:val="2231"/>
        </w:numPr>
      </w:pPr>
      <w:r>
        <w:t xml:space="preserve">Parameters are validated by runtime dispatch for MSWC.NextLink.</w:t>
      </w:r>
    </w:p>
    <w:p>
      <w:pPr>
        <w:pStyle w:val="Compact"/>
        <w:numPr>
          <w:ilvl w:val="0"/>
          <w:numId w:val="2231"/>
        </w:numPr>
      </w:pPr>
      <w:r>
        <w:t xml:space="preserve">Invalid argument count or incompatible values can raise runtime errors.</w:t>
      </w:r>
    </w:p>
    <w:bookmarkEnd w:id="4934"/>
    <w:bookmarkStart w:id="4935" w:name="return-values-225"/>
    <w:p>
      <w:pPr>
        <w:pStyle w:val="Heading2"/>
      </w:pPr>
      <w:r>
        <w:t xml:space="preserve">Return Values</w:t>
      </w:r>
    </w:p>
    <w:p>
      <w:pPr>
        <w:pStyle w:val="FirstParagraph"/>
      </w:pPr>
      <w:r>
        <w:t xml:space="preserve">Returns a Variant-compatible value according to operation semantics.</w:t>
      </w:r>
    </w:p>
    <w:bookmarkEnd w:id="4935"/>
    <w:bookmarkStart w:id="4936" w:name="remarks-512"/>
    <w:p>
      <w:pPr>
        <w:pStyle w:val="Heading2"/>
      </w:pPr>
      <w:r>
        <w:t xml:space="preserve">Remarks</w:t>
      </w:r>
    </w:p>
    <w:p>
      <w:pPr>
        <w:pStyle w:val="Compact"/>
        <w:numPr>
          <w:ilvl w:val="0"/>
          <w:numId w:val="2232"/>
        </w:numPr>
      </w:pPr>
      <w:r>
        <w:t xml:space="preserve">Returns URL of next entry.</w:t>
      </w:r>
    </w:p>
    <w:p>
      <w:pPr>
        <w:pStyle w:val="Compact"/>
        <w:numPr>
          <w:ilvl w:val="0"/>
          <w:numId w:val="2232"/>
        </w:numPr>
      </w:pPr>
      <w:r>
        <w:t xml:space="preserve">Use Set when assigning object return values.</w:t>
      </w:r>
    </w:p>
    <w:p>
      <w:pPr>
        <w:pStyle w:val="Compact"/>
        <w:numPr>
          <w:ilvl w:val="0"/>
          <w:numId w:val="2232"/>
        </w:numPr>
      </w:pPr>
      <w:r>
        <w:t xml:space="preserve">Member names are case-insensitive.</w:t>
      </w:r>
    </w:p>
    <w:bookmarkEnd w:id="4936"/>
    <w:bookmarkStart w:id="4937" w:name="code-example-33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"MSWC.NextLink"</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obj.GetNextURL</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37"/>
    <w:bookmarkEnd w:id="4938"/>
    <w:bookmarkStart w:id="4945" w:name="nextlink.getpreviousdescription-method"/>
    <w:p>
      <w:pPr>
        <w:pStyle w:val="Heading1"/>
      </w:pPr>
      <w:r>
        <w:t xml:space="preserve">NextLink.GetPreviousDescription Method</w:t>
      </w:r>
    </w:p>
    <w:bookmarkStart w:id="4939" w:name="overview-581"/>
    <w:p>
      <w:pPr>
        <w:pStyle w:val="Heading2"/>
      </w:pPr>
      <w:r>
        <w:t xml:space="preserve">Overview</w:t>
      </w:r>
    </w:p>
    <w:p>
      <w:pPr>
        <w:pStyle w:val="FirstParagraph"/>
      </w:pPr>
      <w:r>
        <w:t xml:space="preserve">Calls the GetPreviousDescription member on the NextLink compatibility object.</w:t>
      </w:r>
    </w:p>
    <w:bookmarkEnd w:id="4939"/>
    <w:bookmarkStart w:id="4940" w:name="syntax-540"/>
    <w:p>
      <w:pPr>
        <w:pStyle w:val="Heading2"/>
      </w:pPr>
      <w:r>
        <w:t xml:space="preserve">Syntax</w:t>
      </w:r>
    </w:p>
    <w:p>
      <w:pPr>
        <w:pStyle w:val="SourceCode"/>
      </w:pPr>
      <w:r>
        <w:rPr>
          <w:rStyle w:val="NormalTok"/>
        </w:rPr>
        <w:t xml:space="preserve">Dim obj</w:t>
      </w:r>
      <w:r>
        <w:br/>
      </w:r>
      <w:r>
        <w:rPr>
          <w:rStyle w:val="NormalTok"/>
        </w:rPr>
        <w:t xml:space="preserve">Set obj = Server.CreateObject("MSWC.NextLink")</w:t>
      </w:r>
      <w:r>
        <w:br/>
      </w:r>
      <w:r>
        <w:rPr>
          <w:rStyle w:val="NormalTok"/>
        </w:rPr>
        <w:t xml:space="preserve">text = obj.GetPreviousDescription(listFile)</w:t>
      </w:r>
    </w:p>
    <w:bookmarkEnd w:id="4940"/>
    <w:bookmarkStart w:id="4941" w:name="parameters-and-arguments-169"/>
    <w:p>
      <w:pPr>
        <w:pStyle w:val="Heading2"/>
      </w:pPr>
      <w:r>
        <w:t xml:space="preserve">Parameters and Arguments</w:t>
      </w:r>
    </w:p>
    <w:p>
      <w:pPr>
        <w:pStyle w:val="Compact"/>
        <w:numPr>
          <w:ilvl w:val="0"/>
          <w:numId w:val="2233"/>
        </w:numPr>
      </w:pPr>
      <w:r>
        <w:t xml:space="preserve">Parameters are validated by runtime dispatch for MSWC.NextLink.</w:t>
      </w:r>
    </w:p>
    <w:p>
      <w:pPr>
        <w:pStyle w:val="Compact"/>
        <w:numPr>
          <w:ilvl w:val="0"/>
          <w:numId w:val="2233"/>
        </w:numPr>
      </w:pPr>
      <w:r>
        <w:t xml:space="preserve">Invalid argument count or incompatible values can raise runtime errors.</w:t>
      </w:r>
    </w:p>
    <w:bookmarkEnd w:id="4941"/>
    <w:bookmarkStart w:id="4942" w:name="return-values-226"/>
    <w:p>
      <w:pPr>
        <w:pStyle w:val="Heading2"/>
      </w:pPr>
      <w:r>
        <w:t xml:space="preserve">Return Values</w:t>
      </w:r>
    </w:p>
    <w:p>
      <w:pPr>
        <w:pStyle w:val="FirstParagraph"/>
      </w:pPr>
      <w:r>
        <w:t xml:space="preserve">Returns a Variant-compatible value according to operation semantics.</w:t>
      </w:r>
    </w:p>
    <w:bookmarkEnd w:id="4942"/>
    <w:bookmarkStart w:id="4943" w:name="remarks-513"/>
    <w:p>
      <w:pPr>
        <w:pStyle w:val="Heading2"/>
      </w:pPr>
      <w:r>
        <w:t xml:space="preserve">Remarks</w:t>
      </w:r>
    </w:p>
    <w:p>
      <w:pPr>
        <w:pStyle w:val="Compact"/>
        <w:numPr>
          <w:ilvl w:val="0"/>
          <w:numId w:val="2234"/>
        </w:numPr>
      </w:pPr>
      <w:r>
        <w:t xml:space="preserve">Returns description of previous entry.</w:t>
      </w:r>
    </w:p>
    <w:p>
      <w:pPr>
        <w:pStyle w:val="Compact"/>
        <w:numPr>
          <w:ilvl w:val="0"/>
          <w:numId w:val="2234"/>
        </w:numPr>
      </w:pPr>
      <w:r>
        <w:t xml:space="preserve">Use Set when assigning object return values.</w:t>
      </w:r>
    </w:p>
    <w:p>
      <w:pPr>
        <w:pStyle w:val="Compact"/>
        <w:numPr>
          <w:ilvl w:val="0"/>
          <w:numId w:val="2234"/>
        </w:numPr>
      </w:pPr>
      <w:r>
        <w:t xml:space="preserve">Member names are case-insensitive.</w:t>
      </w:r>
    </w:p>
    <w:bookmarkEnd w:id="4943"/>
    <w:bookmarkStart w:id="4944" w:name="code-example-33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"MSWC.NextLink"</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obj.GetPreviousDescription</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44"/>
    <w:bookmarkEnd w:id="4945"/>
    <w:bookmarkStart w:id="4952" w:name="nextlink.getpreviousurl-method"/>
    <w:p>
      <w:pPr>
        <w:pStyle w:val="Heading1"/>
      </w:pPr>
      <w:r>
        <w:t xml:space="preserve">NextLink.GetPreviousURL Method</w:t>
      </w:r>
    </w:p>
    <w:bookmarkStart w:id="4946" w:name="overview-582"/>
    <w:p>
      <w:pPr>
        <w:pStyle w:val="Heading2"/>
      </w:pPr>
      <w:r>
        <w:t xml:space="preserve">Overview</w:t>
      </w:r>
    </w:p>
    <w:p>
      <w:pPr>
        <w:pStyle w:val="FirstParagraph"/>
      </w:pPr>
      <w:r>
        <w:t xml:space="preserve">Calls the GetPreviousURL member on the NextLink compatibility object.</w:t>
      </w:r>
    </w:p>
    <w:bookmarkEnd w:id="4946"/>
    <w:bookmarkStart w:id="4947" w:name="syntax-541"/>
    <w:p>
      <w:pPr>
        <w:pStyle w:val="Heading2"/>
      </w:pPr>
      <w:r>
        <w:t xml:space="preserve">Syntax</w:t>
      </w:r>
    </w:p>
    <w:p>
      <w:pPr>
        <w:pStyle w:val="SourceCode"/>
      </w:pPr>
      <w:r>
        <w:rPr>
          <w:rStyle w:val="NormalTok"/>
        </w:rPr>
        <w:t xml:space="preserve">Dim obj</w:t>
      </w:r>
      <w:r>
        <w:br/>
      </w:r>
      <w:r>
        <w:rPr>
          <w:rStyle w:val="NormalTok"/>
        </w:rPr>
        <w:t xml:space="preserve">Set obj = Server.CreateObject("MSWC.NextLink")</w:t>
      </w:r>
      <w:r>
        <w:br/>
      </w:r>
      <w:r>
        <w:rPr>
          <w:rStyle w:val="NormalTok"/>
        </w:rPr>
        <w:t xml:space="preserve">url = obj.GetPreviousURL(listFile)</w:t>
      </w:r>
    </w:p>
    <w:bookmarkEnd w:id="4947"/>
    <w:bookmarkStart w:id="4948" w:name="parameters-and-arguments-170"/>
    <w:p>
      <w:pPr>
        <w:pStyle w:val="Heading2"/>
      </w:pPr>
      <w:r>
        <w:t xml:space="preserve">Parameters and Arguments</w:t>
      </w:r>
    </w:p>
    <w:p>
      <w:pPr>
        <w:pStyle w:val="Compact"/>
        <w:numPr>
          <w:ilvl w:val="0"/>
          <w:numId w:val="2235"/>
        </w:numPr>
      </w:pPr>
      <w:r>
        <w:t xml:space="preserve">Parameters are validated by runtime dispatch for MSWC.NextLink.</w:t>
      </w:r>
    </w:p>
    <w:p>
      <w:pPr>
        <w:pStyle w:val="Compact"/>
        <w:numPr>
          <w:ilvl w:val="0"/>
          <w:numId w:val="2235"/>
        </w:numPr>
      </w:pPr>
      <w:r>
        <w:t xml:space="preserve">Invalid argument count or incompatible values can raise runtime errors.</w:t>
      </w:r>
    </w:p>
    <w:bookmarkEnd w:id="4948"/>
    <w:bookmarkStart w:id="4949" w:name="return-values-227"/>
    <w:p>
      <w:pPr>
        <w:pStyle w:val="Heading2"/>
      </w:pPr>
      <w:r>
        <w:t xml:space="preserve">Return Values</w:t>
      </w:r>
    </w:p>
    <w:p>
      <w:pPr>
        <w:pStyle w:val="FirstParagraph"/>
      </w:pPr>
      <w:r>
        <w:t xml:space="preserve">Returns a Variant-compatible value according to operation semantics.</w:t>
      </w:r>
    </w:p>
    <w:bookmarkEnd w:id="4949"/>
    <w:bookmarkStart w:id="4950" w:name="remarks-514"/>
    <w:p>
      <w:pPr>
        <w:pStyle w:val="Heading2"/>
      </w:pPr>
      <w:r>
        <w:t xml:space="preserve">Remarks</w:t>
      </w:r>
    </w:p>
    <w:p>
      <w:pPr>
        <w:pStyle w:val="Compact"/>
        <w:numPr>
          <w:ilvl w:val="0"/>
          <w:numId w:val="2236"/>
        </w:numPr>
      </w:pPr>
      <w:r>
        <w:t xml:space="preserve">Returns URL of previous entry.</w:t>
      </w:r>
    </w:p>
    <w:p>
      <w:pPr>
        <w:pStyle w:val="Compact"/>
        <w:numPr>
          <w:ilvl w:val="0"/>
          <w:numId w:val="2236"/>
        </w:numPr>
      </w:pPr>
      <w:r>
        <w:t xml:space="preserve">Use Set when assigning object return values.</w:t>
      </w:r>
    </w:p>
    <w:p>
      <w:pPr>
        <w:pStyle w:val="Compact"/>
        <w:numPr>
          <w:ilvl w:val="0"/>
          <w:numId w:val="2236"/>
        </w:numPr>
      </w:pPr>
      <w:r>
        <w:t xml:space="preserve">Member names are case-insensitive.</w:t>
      </w:r>
    </w:p>
    <w:bookmarkEnd w:id="4950"/>
    <w:bookmarkStart w:id="4951" w:name="code-example-33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"MSWC.NextLink"</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obj.GetPreviousURL</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51"/>
    <w:bookmarkEnd w:id="4952"/>
    <w:bookmarkStart w:id="4959" w:name="nextlink.getnthdescription-method"/>
    <w:p>
      <w:pPr>
        <w:pStyle w:val="Heading1"/>
      </w:pPr>
      <w:r>
        <w:t xml:space="preserve">NextLink.GetNthDescription Method</w:t>
      </w:r>
    </w:p>
    <w:bookmarkStart w:id="4953" w:name="overview-583"/>
    <w:p>
      <w:pPr>
        <w:pStyle w:val="Heading2"/>
      </w:pPr>
      <w:r>
        <w:t xml:space="preserve">Overview</w:t>
      </w:r>
    </w:p>
    <w:p>
      <w:pPr>
        <w:pStyle w:val="FirstParagraph"/>
      </w:pPr>
      <w:r>
        <w:t xml:space="preserve">Calls the GetNthDescription member on the NextLink compatibility object.</w:t>
      </w:r>
    </w:p>
    <w:bookmarkEnd w:id="4953"/>
    <w:bookmarkStart w:id="4954" w:name="syntax-542"/>
    <w:p>
      <w:pPr>
        <w:pStyle w:val="Heading2"/>
      </w:pPr>
      <w:r>
        <w:t xml:space="preserve">Syntax</w:t>
      </w:r>
    </w:p>
    <w:p>
      <w:pPr>
        <w:pStyle w:val="SourceCode"/>
      </w:pPr>
      <w:r>
        <w:rPr>
          <w:rStyle w:val="NormalTok"/>
        </w:rPr>
        <w:t xml:space="preserve">Dim obj</w:t>
      </w:r>
      <w:r>
        <w:br/>
      </w:r>
      <w:r>
        <w:rPr>
          <w:rStyle w:val="NormalTok"/>
        </w:rPr>
        <w:t xml:space="preserve">Set obj = Server.CreateObject("MSWC.NextLink")</w:t>
      </w:r>
      <w:r>
        <w:br/>
      </w:r>
      <w:r>
        <w:rPr>
          <w:rStyle w:val="NormalTok"/>
        </w:rPr>
        <w:t xml:space="preserve">text = obj.GetNthDescription(listFile, index)</w:t>
      </w:r>
    </w:p>
    <w:bookmarkEnd w:id="4954"/>
    <w:bookmarkStart w:id="4955" w:name="parameters-and-arguments-171"/>
    <w:p>
      <w:pPr>
        <w:pStyle w:val="Heading2"/>
      </w:pPr>
      <w:r>
        <w:t xml:space="preserve">Parameters and Arguments</w:t>
      </w:r>
    </w:p>
    <w:p>
      <w:pPr>
        <w:pStyle w:val="Compact"/>
        <w:numPr>
          <w:ilvl w:val="0"/>
          <w:numId w:val="2237"/>
        </w:numPr>
      </w:pPr>
      <w:r>
        <w:t xml:space="preserve">Parameters are validated by runtime dispatch for MSWC.NextLink.</w:t>
      </w:r>
    </w:p>
    <w:p>
      <w:pPr>
        <w:pStyle w:val="Compact"/>
        <w:numPr>
          <w:ilvl w:val="0"/>
          <w:numId w:val="2237"/>
        </w:numPr>
      </w:pPr>
      <w:r>
        <w:t xml:space="preserve">Invalid argument count or incompatible values can raise runtime errors.</w:t>
      </w:r>
    </w:p>
    <w:bookmarkEnd w:id="4955"/>
    <w:bookmarkStart w:id="4956" w:name="return-values-228"/>
    <w:p>
      <w:pPr>
        <w:pStyle w:val="Heading2"/>
      </w:pPr>
      <w:r>
        <w:t xml:space="preserve">Return Values</w:t>
      </w:r>
    </w:p>
    <w:p>
      <w:pPr>
        <w:pStyle w:val="FirstParagraph"/>
      </w:pPr>
      <w:r>
        <w:t xml:space="preserve">Returns a Variant-compatible value according to operation semantics.</w:t>
      </w:r>
    </w:p>
    <w:bookmarkEnd w:id="4956"/>
    <w:bookmarkStart w:id="4957" w:name="remarks-515"/>
    <w:p>
      <w:pPr>
        <w:pStyle w:val="Heading2"/>
      </w:pPr>
      <w:r>
        <w:t xml:space="preserve">Remarks</w:t>
      </w:r>
    </w:p>
    <w:p>
      <w:pPr>
        <w:pStyle w:val="Compact"/>
        <w:numPr>
          <w:ilvl w:val="0"/>
          <w:numId w:val="2238"/>
        </w:numPr>
      </w:pPr>
      <w:r>
        <w:t xml:space="preserve">Returns description for 1-based list index.</w:t>
      </w:r>
    </w:p>
    <w:p>
      <w:pPr>
        <w:pStyle w:val="Compact"/>
        <w:numPr>
          <w:ilvl w:val="0"/>
          <w:numId w:val="2238"/>
        </w:numPr>
      </w:pPr>
      <w:r>
        <w:t xml:space="preserve">Use Set when assigning object return values.</w:t>
      </w:r>
    </w:p>
    <w:p>
      <w:pPr>
        <w:pStyle w:val="Compact"/>
        <w:numPr>
          <w:ilvl w:val="0"/>
          <w:numId w:val="2238"/>
        </w:numPr>
      </w:pPr>
      <w:r>
        <w:t xml:space="preserve">Member names are case-insensitive.</w:t>
      </w:r>
    </w:p>
    <w:bookmarkEnd w:id="4957"/>
    <w:bookmarkStart w:id="4958" w:name="code-example-34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"MSWC.NextLink"</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obj.GetNthDescription</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58"/>
    <w:bookmarkEnd w:id="4959"/>
    <w:bookmarkStart w:id="4966" w:name="nextlink.getnthurl-method"/>
    <w:p>
      <w:pPr>
        <w:pStyle w:val="Heading1"/>
      </w:pPr>
      <w:r>
        <w:t xml:space="preserve">NextLink.GetNthURL Method</w:t>
      </w:r>
    </w:p>
    <w:bookmarkStart w:id="4960" w:name="overview-584"/>
    <w:p>
      <w:pPr>
        <w:pStyle w:val="Heading2"/>
      </w:pPr>
      <w:r>
        <w:t xml:space="preserve">Overview</w:t>
      </w:r>
    </w:p>
    <w:p>
      <w:pPr>
        <w:pStyle w:val="FirstParagraph"/>
      </w:pPr>
      <w:r>
        <w:t xml:space="preserve">Calls the GetNthURL member on the NextLink compatibility object.</w:t>
      </w:r>
    </w:p>
    <w:bookmarkEnd w:id="4960"/>
    <w:bookmarkStart w:id="4961" w:name="syntax-543"/>
    <w:p>
      <w:pPr>
        <w:pStyle w:val="Heading2"/>
      </w:pPr>
      <w:r>
        <w:t xml:space="preserve">Syntax</w:t>
      </w:r>
    </w:p>
    <w:p>
      <w:pPr>
        <w:pStyle w:val="SourceCode"/>
      </w:pPr>
      <w:r>
        <w:rPr>
          <w:rStyle w:val="NormalTok"/>
        </w:rPr>
        <w:t xml:space="preserve">Dim obj</w:t>
      </w:r>
      <w:r>
        <w:br/>
      </w:r>
      <w:r>
        <w:rPr>
          <w:rStyle w:val="NormalTok"/>
        </w:rPr>
        <w:t xml:space="preserve">Set obj = Server.CreateObject("MSWC.NextLink")</w:t>
      </w:r>
      <w:r>
        <w:br/>
      </w:r>
      <w:r>
        <w:rPr>
          <w:rStyle w:val="NormalTok"/>
        </w:rPr>
        <w:t xml:space="preserve">url = obj.GetNthURL(listFile, index)</w:t>
      </w:r>
    </w:p>
    <w:bookmarkEnd w:id="4961"/>
    <w:bookmarkStart w:id="4962" w:name="parameters-and-arguments-172"/>
    <w:p>
      <w:pPr>
        <w:pStyle w:val="Heading2"/>
      </w:pPr>
      <w:r>
        <w:t xml:space="preserve">Parameters and Arguments</w:t>
      </w:r>
    </w:p>
    <w:p>
      <w:pPr>
        <w:pStyle w:val="Compact"/>
        <w:numPr>
          <w:ilvl w:val="0"/>
          <w:numId w:val="2239"/>
        </w:numPr>
      </w:pPr>
      <w:r>
        <w:t xml:space="preserve">Parameters are validated by runtime dispatch for MSWC.NextLink.</w:t>
      </w:r>
    </w:p>
    <w:p>
      <w:pPr>
        <w:pStyle w:val="Compact"/>
        <w:numPr>
          <w:ilvl w:val="0"/>
          <w:numId w:val="2239"/>
        </w:numPr>
      </w:pPr>
      <w:r>
        <w:t xml:space="preserve">Invalid argument count or incompatible values can raise runtime errors.</w:t>
      </w:r>
    </w:p>
    <w:bookmarkEnd w:id="4962"/>
    <w:bookmarkStart w:id="4963" w:name="return-values-229"/>
    <w:p>
      <w:pPr>
        <w:pStyle w:val="Heading2"/>
      </w:pPr>
      <w:r>
        <w:t xml:space="preserve">Return Values</w:t>
      </w:r>
    </w:p>
    <w:p>
      <w:pPr>
        <w:pStyle w:val="FirstParagraph"/>
      </w:pPr>
      <w:r>
        <w:t xml:space="preserve">Returns a Variant-compatible value according to operation semantics.</w:t>
      </w:r>
    </w:p>
    <w:bookmarkEnd w:id="4963"/>
    <w:bookmarkStart w:id="4964" w:name="remarks-516"/>
    <w:p>
      <w:pPr>
        <w:pStyle w:val="Heading2"/>
      </w:pPr>
      <w:r>
        <w:t xml:space="preserve">Remarks</w:t>
      </w:r>
    </w:p>
    <w:p>
      <w:pPr>
        <w:pStyle w:val="Compact"/>
        <w:numPr>
          <w:ilvl w:val="0"/>
          <w:numId w:val="2240"/>
        </w:numPr>
      </w:pPr>
      <w:r>
        <w:t xml:space="preserve">Returns URL for 1-based list index.</w:t>
      </w:r>
    </w:p>
    <w:p>
      <w:pPr>
        <w:pStyle w:val="Compact"/>
        <w:numPr>
          <w:ilvl w:val="0"/>
          <w:numId w:val="2240"/>
        </w:numPr>
      </w:pPr>
      <w:r>
        <w:t xml:space="preserve">Use Set when assigning object return values.</w:t>
      </w:r>
    </w:p>
    <w:p>
      <w:pPr>
        <w:pStyle w:val="Compact"/>
        <w:numPr>
          <w:ilvl w:val="0"/>
          <w:numId w:val="2240"/>
        </w:numPr>
      </w:pPr>
      <w:r>
        <w:t xml:space="preserve">Member names are case-insensitive.</w:t>
      </w:r>
    </w:p>
    <w:bookmarkEnd w:id="4964"/>
    <w:bookmarkStart w:id="4965" w:name="code-example-34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"MSWC.NextLink"</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obj.GetNthURL</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65"/>
    <w:bookmarkEnd w:id="4966"/>
    <w:bookmarkStart w:id="4973" w:name="contentrotator.choosecontent-method"/>
    <w:p>
      <w:pPr>
        <w:pStyle w:val="Heading1"/>
      </w:pPr>
      <w:r>
        <w:t xml:space="preserve">ContentRotator.ChooseContent Method</w:t>
      </w:r>
    </w:p>
    <w:bookmarkStart w:id="4967" w:name="overview-585"/>
    <w:p>
      <w:pPr>
        <w:pStyle w:val="Heading2"/>
      </w:pPr>
      <w:r>
        <w:t xml:space="preserve">Overview</w:t>
      </w:r>
    </w:p>
    <w:p>
      <w:pPr>
        <w:pStyle w:val="FirstParagraph"/>
      </w:pPr>
      <w:r>
        <w:t xml:space="preserve">Calls the ChooseContent member on the ContentRotator compatibility object.</w:t>
      </w:r>
    </w:p>
    <w:bookmarkEnd w:id="4967"/>
    <w:bookmarkStart w:id="4968" w:name="syntax-544"/>
    <w:p>
      <w:pPr>
        <w:pStyle w:val="Heading2"/>
      </w:pPr>
      <w:r>
        <w:t xml:space="preserve">Syntax</w:t>
      </w:r>
    </w:p>
    <w:p>
      <w:pPr>
        <w:pStyle w:val="SourceCode"/>
      </w:pPr>
      <w:r>
        <w:rPr>
          <w:rStyle w:val="NormalTok"/>
        </w:rPr>
        <w:t xml:space="preserve">Dim obj</w:t>
      </w:r>
      <w:r>
        <w:br/>
      </w:r>
      <w:r>
        <w:rPr>
          <w:rStyle w:val="NormalTok"/>
        </w:rPr>
        <w:t xml:space="preserve">Set obj = Server.CreateObject("MSWC.ContentRotator")</w:t>
      </w:r>
      <w:r>
        <w:br/>
      </w:r>
      <w:r>
        <w:rPr>
          <w:rStyle w:val="NormalTok"/>
        </w:rPr>
        <w:t xml:space="preserve">html = obj.ChooseContent(contentFile)</w:t>
      </w:r>
    </w:p>
    <w:bookmarkEnd w:id="4968"/>
    <w:bookmarkStart w:id="4969" w:name="parameters-and-arguments-173"/>
    <w:p>
      <w:pPr>
        <w:pStyle w:val="Heading2"/>
      </w:pPr>
      <w:r>
        <w:t xml:space="preserve">Parameters and Arguments</w:t>
      </w:r>
    </w:p>
    <w:p>
      <w:pPr>
        <w:pStyle w:val="Compact"/>
        <w:numPr>
          <w:ilvl w:val="0"/>
          <w:numId w:val="2241"/>
        </w:numPr>
      </w:pPr>
      <w:r>
        <w:t xml:space="preserve">Parameters are validated by runtime dispatch for MSWC.ContentRotator.</w:t>
      </w:r>
    </w:p>
    <w:p>
      <w:pPr>
        <w:pStyle w:val="Compact"/>
        <w:numPr>
          <w:ilvl w:val="0"/>
          <w:numId w:val="2241"/>
        </w:numPr>
      </w:pPr>
      <w:r>
        <w:t xml:space="preserve">Invalid argument count or incompatible values can raise runtime errors.</w:t>
      </w:r>
    </w:p>
    <w:bookmarkEnd w:id="4969"/>
    <w:bookmarkStart w:id="4970" w:name="return-values-230"/>
    <w:p>
      <w:pPr>
        <w:pStyle w:val="Heading2"/>
      </w:pPr>
      <w:r>
        <w:t xml:space="preserve">Return Values</w:t>
      </w:r>
    </w:p>
    <w:p>
      <w:pPr>
        <w:pStyle w:val="FirstParagraph"/>
      </w:pPr>
      <w:r>
        <w:t xml:space="preserve">Returns a Variant-compatible value according to operation semantics.</w:t>
      </w:r>
    </w:p>
    <w:bookmarkEnd w:id="4970"/>
    <w:bookmarkStart w:id="4971" w:name="remarks-517"/>
    <w:p>
      <w:pPr>
        <w:pStyle w:val="Heading2"/>
      </w:pPr>
      <w:r>
        <w:t xml:space="preserve">Remarks</w:t>
      </w:r>
    </w:p>
    <w:p>
      <w:pPr>
        <w:pStyle w:val="Compact"/>
        <w:numPr>
          <w:ilvl w:val="0"/>
          <w:numId w:val="2242"/>
        </w:numPr>
      </w:pPr>
      <w:r>
        <w:t xml:space="preserve">Returns one weighted content block from rotator file.</w:t>
      </w:r>
    </w:p>
    <w:p>
      <w:pPr>
        <w:pStyle w:val="Compact"/>
        <w:numPr>
          <w:ilvl w:val="0"/>
          <w:numId w:val="2242"/>
        </w:numPr>
      </w:pPr>
      <w:r>
        <w:t xml:space="preserve">Use Set when assigning object return values.</w:t>
      </w:r>
    </w:p>
    <w:p>
      <w:pPr>
        <w:pStyle w:val="Compact"/>
        <w:numPr>
          <w:ilvl w:val="0"/>
          <w:numId w:val="2242"/>
        </w:numPr>
      </w:pPr>
      <w:r>
        <w:t xml:space="preserve">Member names are case-insensitive.</w:t>
      </w:r>
    </w:p>
    <w:bookmarkEnd w:id="4971"/>
    <w:bookmarkStart w:id="4972" w:name="code-example-34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"MSWC.ContentRotator"</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obj.ChooseContent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72"/>
    <w:bookmarkEnd w:id="4973"/>
    <w:bookmarkStart w:id="4980" w:name="contentrotator.getallcontent-method"/>
    <w:p>
      <w:pPr>
        <w:pStyle w:val="Heading1"/>
      </w:pPr>
      <w:r>
        <w:t xml:space="preserve">ContentRotator.GetAllContent Method</w:t>
      </w:r>
    </w:p>
    <w:bookmarkStart w:id="4974" w:name="overview-586"/>
    <w:p>
      <w:pPr>
        <w:pStyle w:val="Heading2"/>
      </w:pPr>
      <w:r>
        <w:t xml:space="preserve">Overview</w:t>
      </w:r>
    </w:p>
    <w:p>
      <w:pPr>
        <w:pStyle w:val="FirstParagraph"/>
      </w:pPr>
      <w:r>
        <w:t xml:space="preserve">Calls the GetAllContent member on the ContentRotator compatibility object.</w:t>
      </w:r>
    </w:p>
    <w:bookmarkEnd w:id="4974"/>
    <w:bookmarkStart w:id="4975" w:name="syntax-545"/>
    <w:p>
      <w:pPr>
        <w:pStyle w:val="Heading2"/>
      </w:pPr>
      <w:r>
        <w:t xml:space="preserve">Syntax</w:t>
      </w:r>
    </w:p>
    <w:p>
      <w:pPr>
        <w:pStyle w:val="SourceCode"/>
      </w:pPr>
      <w:r>
        <w:rPr>
          <w:rStyle w:val="NormalTok"/>
        </w:rPr>
        <w:t xml:space="preserve">Dim obj</w:t>
      </w:r>
      <w:r>
        <w:br/>
      </w:r>
      <w:r>
        <w:rPr>
          <w:rStyle w:val="NormalTok"/>
        </w:rPr>
        <w:t xml:space="preserve">Set obj = Server.CreateObject("MSWC.ContentRotator")</w:t>
      </w:r>
      <w:r>
        <w:br/>
      </w:r>
      <w:r>
        <w:rPr>
          <w:rStyle w:val="NormalTok"/>
        </w:rPr>
        <w:t xml:space="preserve">html = obj.GetAllContent(contentFile)</w:t>
      </w:r>
    </w:p>
    <w:bookmarkEnd w:id="4975"/>
    <w:bookmarkStart w:id="4976" w:name="parameters-and-arguments-174"/>
    <w:p>
      <w:pPr>
        <w:pStyle w:val="Heading2"/>
      </w:pPr>
      <w:r>
        <w:t xml:space="preserve">Parameters and Arguments</w:t>
      </w:r>
    </w:p>
    <w:p>
      <w:pPr>
        <w:pStyle w:val="Compact"/>
        <w:numPr>
          <w:ilvl w:val="0"/>
          <w:numId w:val="2243"/>
        </w:numPr>
      </w:pPr>
      <w:r>
        <w:t xml:space="preserve">Parameters are validated by runtime dispatch for MSWC.ContentRotator.</w:t>
      </w:r>
    </w:p>
    <w:p>
      <w:pPr>
        <w:pStyle w:val="Compact"/>
        <w:numPr>
          <w:ilvl w:val="0"/>
          <w:numId w:val="2243"/>
        </w:numPr>
      </w:pPr>
      <w:r>
        <w:t xml:space="preserve">Invalid argument count or incompatible values can raise runtime errors.</w:t>
      </w:r>
    </w:p>
    <w:bookmarkEnd w:id="4976"/>
    <w:bookmarkStart w:id="4977" w:name="return-values-231"/>
    <w:p>
      <w:pPr>
        <w:pStyle w:val="Heading2"/>
      </w:pPr>
      <w:r>
        <w:t xml:space="preserve">Return Values</w:t>
      </w:r>
    </w:p>
    <w:p>
      <w:pPr>
        <w:pStyle w:val="FirstParagraph"/>
      </w:pPr>
      <w:r>
        <w:t xml:space="preserve">Returns a Variant-compatible value according to operation semantics.</w:t>
      </w:r>
    </w:p>
    <w:bookmarkEnd w:id="4977"/>
    <w:bookmarkStart w:id="4978" w:name="remarks-518"/>
    <w:p>
      <w:pPr>
        <w:pStyle w:val="Heading2"/>
      </w:pPr>
      <w:r>
        <w:t xml:space="preserve">Remarks</w:t>
      </w:r>
    </w:p>
    <w:p>
      <w:pPr>
        <w:pStyle w:val="Compact"/>
        <w:numPr>
          <w:ilvl w:val="0"/>
          <w:numId w:val="2244"/>
        </w:numPr>
      </w:pPr>
      <w:r>
        <w:t xml:space="preserve">Returns all content blocks joined with separators.</w:t>
      </w:r>
    </w:p>
    <w:p>
      <w:pPr>
        <w:pStyle w:val="Compact"/>
        <w:numPr>
          <w:ilvl w:val="0"/>
          <w:numId w:val="2244"/>
        </w:numPr>
      </w:pPr>
      <w:r>
        <w:t xml:space="preserve">Use Set when assigning object return values.</w:t>
      </w:r>
    </w:p>
    <w:p>
      <w:pPr>
        <w:pStyle w:val="Compact"/>
        <w:numPr>
          <w:ilvl w:val="0"/>
          <w:numId w:val="2244"/>
        </w:numPr>
      </w:pPr>
      <w:r>
        <w:t xml:space="preserve">Member names are case-insensitive.</w:t>
      </w:r>
    </w:p>
    <w:bookmarkEnd w:id="4978"/>
    <w:bookmarkStart w:id="4979" w:name="code-example-34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"MSWC.ContentRotator"</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obj.GetAllContent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79"/>
    <w:bookmarkEnd w:id="4980"/>
    <w:bookmarkStart w:id="4987" w:name="counters.get-method"/>
    <w:p>
      <w:pPr>
        <w:pStyle w:val="Heading1"/>
      </w:pPr>
      <w:r>
        <w:t xml:space="preserve">Counters.Get Method</w:t>
      </w:r>
    </w:p>
    <w:bookmarkStart w:id="4981" w:name="overview-587"/>
    <w:p>
      <w:pPr>
        <w:pStyle w:val="Heading2"/>
      </w:pPr>
      <w:r>
        <w:t xml:space="preserve">Overview</w:t>
      </w:r>
    </w:p>
    <w:p>
      <w:pPr>
        <w:pStyle w:val="FirstParagraph"/>
      </w:pPr>
      <w:r>
        <w:t xml:space="preserve">Calls the Get member on the Counters compatibility object.</w:t>
      </w:r>
    </w:p>
    <w:bookmarkEnd w:id="4981"/>
    <w:bookmarkStart w:id="4982" w:name="syntax-546"/>
    <w:p>
      <w:pPr>
        <w:pStyle w:val="Heading2"/>
      </w:pPr>
      <w:r>
        <w:t xml:space="preserve">Syntax</w:t>
      </w:r>
    </w:p>
    <w:p>
      <w:pPr>
        <w:pStyle w:val="SourceCode"/>
      </w:pPr>
      <w:r>
        <w:rPr>
          <w:rStyle w:val="NormalTok"/>
        </w:rPr>
        <w:t xml:space="preserve">Dim obj</w:t>
      </w:r>
      <w:r>
        <w:br/>
      </w:r>
      <w:r>
        <w:rPr>
          <w:rStyle w:val="NormalTok"/>
        </w:rPr>
        <w:t xml:space="preserve">Set obj = Server.CreateObject("MSWC.Counters")</w:t>
      </w:r>
      <w:r>
        <w:br/>
      </w:r>
      <w:r>
        <w:rPr>
          <w:rStyle w:val="NormalTok"/>
        </w:rPr>
        <w:t xml:space="preserve">n = obj.Get(counterName)</w:t>
      </w:r>
    </w:p>
    <w:bookmarkEnd w:id="4982"/>
    <w:bookmarkStart w:id="4983" w:name="parameters-and-arguments-175"/>
    <w:p>
      <w:pPr>
        <w:pStyle w:val="Heading2"/>
      </w:pPr>
      <w:r>
        <w:t xml:space="preserve">Parameters and Arguments</w:t>
      </w:r>
    </w:p>
    <w:p>
      <w:pPr>
        <w:pStyle w:val="Compact"/>
        <w:numPr>
          <w:ilvl w:val="0"/>
          <w:numId w:val="2245"/>
        </w:numPr>
      </w:pPr>
      <w:r>
        <w:t xml:space="preserve">Parameters are validated by runtime dispatch for MSWC.Counters.</w:t>
      </w:r>
    </w:p>
    <w:p>
      <w:pPr>
        <w:pStyle w:val="Compact"/>
        <w:numPr>
          <w:ilvl w:val="0"/>
          <w:numId w:val="2245"/>
        </w:numPr>
      </w:pPr>
      <w:r>
        <w:t xml:space="preserve">Invalid argument count or incompatible values can raise runtime errors.</w:t>
      </w:r>
    </w:p>
    <w:bookmarkEnd w:id="4983"/>
    <w:bookmarkStart w:id="4984" w:name="return-values-232"/>
    <w:p>
      <w:pPr>
        <w:pStyle w:val="Heading2"/>
      </w:pPr>
      <w:r>
        <w:t xml:space="preserve">Return Values</w:t>
      </w:r>
    </w:p>
    <w:p>
      <w:pPr>
        <w:pStyle w:val="FirstParagraph"/>
      </w:pPr>
      <w:r>
        <w:t xml:space="preserve">Returns a Variant-compatible value according to operation semantics.</w:t>
      </w:r>
    </w:p>
    <w:bookmarkEnd w:id="4984"/>
    <w:bookmarkStart w:id="4985" w:name="remarks-519"/>
    <w:p>
      <w:pPr>
        <w:pStyle w:val="Heading2"/>
      </w:pPr>
      <w:r>
        <w:t xml:space="preserve">Remarks</w:t>
      </w:r>
    </w:p>
    <w:p>
      <w:pPr>
        <w:pStyle w:val="Compact"/>
        <w:numPr>
          <w:ilvl w:val="0"/>
          <w:numId w:val="2246"/>
        </w:numPr>
      </w:pPr>
      <w:r>
        <w:t xml:space="preserve">Gets integer value of a named counter.</w:t>
      </w:r>
    </w:p>
    <w:p>
      <w:pPr>
        <w:pStyle w:val="Compact"/>
        <w:numPr>
          <w:ilvl w:val="0"/>
          <w:numId w:val="2246"/>
        </w:numPr>
      </w:pPr>
      <w:r>
        <w:t xml:space="preserve">Use Set when assigning object return values.</w:t>
      </w:r>
    </w:p>
    <w:p>
      <w:pPr>
        <w:pStyle w:val="Compact"/>
        <w:numPr>
          <w:ilvl w:val="0"/>
          <w:numId w:val="2246"/>
        </w:numPr>
      </w:pPr>
      <w:r>
        <w:t xml:space="preserve">Member names are case-insensitive.</w:t>
      </w:r>
    </w:p>
    <w:bookmarkEnd w:id="4985"/>
    <w:bookmarkStart w:id="4986" w:name="code-example-34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"MSWC.Counters"</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obj.Get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86"/>
    <w:bookmarkEnd w:id="4987"/>
    <w:bookmarkStart w:id="4994" w:name="counters.increment-method"/>
    <w:p>
      <w:pPr>
        <w:pStyle w:val="Heading1"/>
      </w:pPr>
      <w:r>
        <w:t xml:space="preserve">Counters.Increment Method</w:t>
      </w:r>
    </w:p>
    <w:bookmarkStart w:id="4988" w:name="overview-588"/>
    <w:p>
      <w:pPr>
        <w:pStyle w:val="Heading2"/>
      </w:pPr>
      <w:r>
        <w:t xml:space="preserve">Overview</w:t>
      </w:r>
    </w:p>
    <w:p>
      <w:pPr>
        <w:pStyle w:val="FirstParagraph"/>
      </w:pPr>
      <w:r>
        <w:t xml:space="preserve">Calls the Increment member on the Counters compatibility object.</w:t>
      </w:r>
    </w:p>
    <w:bookmarkEnd w:id="4988"/>
    <w:bookmarkStart w:id="4989" w:name="syntax-547"/>
    <w:p>
      <w:pPr>
        <w:pStyle w:val="Heading2"/>
      </w:pPr>
      <w:r>
        <w:t xml:space="preserve">Syntax</w:t>
      </w:r>
    </w:p>
    <w:p>
      <w:pPr>
        <w:pStyle w:val="SourceCode"/>
      </w:pPr>
      <w:r>
        <w:rPr>
          <w:rStyle w:val="NormalTok"/>
        </w:rPr>
        <w:t xml:space="preserve">Dim obj</w:t>
      </w:r>
      <w:r>
        <w:br/>
      </w:r>
      <w:r>
        <w:rPr>
          <w:rStyle w:val="NormalTok"/>
        </w:rPr>
        <w:t xml:space="preserve">Set obj = Server.CreateObject("MSWC.Counters")</w:t>
      </w:r>
      <w:r>
        <w:br/>
      </w:r>
      <w:r>
        <w:rPr>
          <w:rStyle w:val="NormalTok"/>
        </w:rPr>
        <w:t xml:space="preserve">n = obj.Increment(counterName)</w:t>
      </w:r>
    </w:p>
    <w:bookmarkEnd w:id="4989"/>
    <w:bookmarkStart w:id="4990" w:name="parameters-and-arguments-176"/>
    <w:p>
      <w:pPr>
        <w:pStyle w:val="Heading2"/>
      </w:pPr>
      <w:r>
        <w:t xml:space="preserve">Parameters and Arguments</w:t>
      </w:r>
    </w:p>
    <w:p>
      <w:pPr>
        <w:pStyle w:val="Compact"/>
        <w:numPr>
          <w:ilvl w:val="0"/>
          <w:numId w:val="2247"/>
        </w:numPr>
      </w:pPr>
      <w:r>
        <w:t xml:space="preserve">Parameters are validated by runtime dispatch for MSWC.Counters.</w:t>
      </w:r>
    </w:p>
    <w:p>
      <w:pPr>
        <w:pStyle w:val="Compact"/>
        <w:numPr>
          <w:ilvl w:val="0"/>
          <w:numId w:val="2247"/>
        </w:numPr>
      </w:pPr>
      <w:r>
        <w:t xml:space="preserve">Invalid argument count or incompatible values can raise runtime errors.</w:t>
      </w:r>
    </w:p>
    <w:bookmarkEnd w:id="4990"/>
    <w:bookmarkStart w:id="4991" w:name="return-values-233"/>
    <w:p>
      <w:pPr>
        <w:pStyle w:val="Heading2"/>
      </w:pPr>
      <w:r>
        <w:t xml:space="preserve">Return Values</w:t>
      </w:r>
    </w:p>
    <w:p>
      <w:pPr>
        <w:pStyle w:val="FirstParagraph"/>
      </w:pPr>
      <w:r>
        <w:t xml:space="preserve">Returns a Variant-compatible value according to operation semantics.</w:t>
      </w:r>
    </w:p>
    <w:bookmarkEnd w:id="4991"/>
    <w:bookmarkStart w:id="4992" w:name="remarks-520"/>
    <w:p>
      <w:pPr>
        <w:pStyle w:val="Heading2"/>
      </w:pPr>
      <w:r>
        <w:t xml:space="preserve">Remarks</w:t>
      </w:r>
    </w:p>
    <w:p>
      <w:pPr>
        <w:pStyle w:val="Compact"/>
        <w:numPr>
          <w:ilvl w:val="0"/>
          <w:numId w:val="2248"/>
        </w:numPr>
      </w:pPr>
      <w:r>
        <w:t xml:space="preserve">Increments counter and returns new value.</w:t>
      </w:r>
    </w:p>
    <w:p>
      <w:pPr>
        <w:pStyle w:val="Compact"/>
        <w:numPr>
          <w:ilvl w:val="0"/>
          <w:numId w:val="2248"/>
        </w:numPr>
      </w:pPr>
      <w:r>
        <w:t xml:space="preserve">Use Set when assigning object return values.</w:t>
      </w:r>
    </w:p>
    <w:p>
      <w:pPr>
        <w:pStyle w:val="Compact"/>
        <w:numPr>
          <w:ilvl w:val="0"/>
          <w:numId w:val="2248"/>
        </w:numPr>
      </w:pPr>
      <w:r>
        <w:t xml:space="preserve">Member names are case-insensitive.</w:t>
      </w:r>
    </w:p>
    <w:bookmarkEnd w:id="4992"/>
    <w:bookmarkStart w:id="4993" w:name="code-example-34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"MSWC.Counters"</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obj.Increment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4993"/>
    <w:bookmarkEnd w:id="4994"/>
    <w:bookmarkStart w:id="5001" w:name="counters.remove-method"/>
    <w:p>
      <w:pPr>
        <w:pStyle w:val="Heading1"/>
      </w:pPr>
      <w:r>
        <w:t xml:space="preserve">Counters.Remove Method</w:t>
      </w:r>
    </w:p>
    <w:bookmarkStart w:id="4995" w:name="overview-589"/>
    <w:p>
      <w:pPr>
        <w:pStyle w:val="Heading2"/>
      </w:pPr>
      <w:r>
        <w:t xml:space="preserve">Overview</w:t>
      </w:r>
    </w:p>
    <w:p>
      <w:pPr>
        <w:pStyle w:val="FirstParagraph"/>
      </w:pPr>
      <w:r>
        <w:t xml:space="preserve">Calls the Remove member on the Counters compatibility object.</w:t>
      </w:r>
    </w:p>
    <w:bookmarkEnd w:id="4995"/>
    <w:bookmarkStart w:id="4996" w:name="syntax-548"/>
    <w:p>
      <w:pPr>
        <w:pStyle w:val="Heading2"/>
      </w:pPr>
      <w:r>
        <w:t xml:space="preserve">Syntax</w:t>
      </w:r>
    </w:p>
    <w:p>
      <w:pPr>
        <w:pStyle w:val="SourceCode"/>
      </w:pPr>
      <w:r>
        <w:rPr>
          <w:rStyle w:val="NormalTok"/>
        </w:rPr>
        <w:t xml:space="preserve">Dim obj</w:t>
      </w:r>
      <w:r>
        <w:br/>
      </w:r>
      <w:r>
        <w:rPr>
          <w:rStyle w:val="NormalTok"/>
        </w:rPr>
        <w:t xml:space="preserve">Set obj = Server.CreateObject("MSWC.Counters")</w:t>
      </w:r>
      <w:r>
        <w:br/>
      </w:r>
      <w:r>
        <w:rPr>
          <w:rStyle w:val="NormalTok"/>
        </w:rPr>
        <w:t xml:space="preserve">obj.Remove counterName</w:t>
      </w:r>
    </w:p>
    <w:bookmarkEnd w:id="4996"/>
    <w:bookmarkStart w:id="4997" w:name="parameters-and-arguments-177"/>
    <w:p>
      <w:pPr>
        <w:pStyle w:val="Heading2"/>
      </w:pPr>
      <w:r>
        <w:t xml:space="preserve">Parameters and Arguments</w:t>
      </w:r>
    </w:p>
    <w:p>
      <w:pPr>
        <w:pStyle w:val="Compact"/>
        <w:numPr>
          <w:ilvl w:val="0"/>
          <w:numId w:val="2249"/>
        </w:numPr>
      </w:pPr>
      <w:r>
        <w:t xml:space="preserve">Parameters are validated by runtime dispatch for MSWC.Counters.</w:t>
      </w:r>
    </w:p>
    <w:p>
      <w:pPr>
        <w:pStyle w:val="Compact"/>
        <w:numPr>
          <w:ilvl w:val="0"/>
          <w:numId w:val="2249"/>
        </w:numPr>
      </w:pPr>
      <w:r>
        <w:t xml:space="preserve">Invalid argument count or incompatible values can raise runtime errors.</w:t>
      </w:r>
    </w:p>
    <w:bookmarkEnd w:id="4997"/>
    <w:bookmarkStart w:id="4998" w:name="return-values-234"/>
    <w:p>
      <w:pPr>
        <w:pStyle w:val="Heading2"/>
      </w:pPr>
      <w:r>
        <w:t xml:space="preserve">Return Values</w:t>
      </w:r>
    </w:p>
    <w:p>
      <w:pPr>
        <w:pStyle w:val="FirstParagraph"/>
      </w:pPr>
      <w:r>
        <w:t xml:space="preserve">Returns a Variant-compatible value according to operation semantics.</w:t>
      </w:r>
    </w:p>
    <w:bookmarkEnd w:id="4998"/>
    <w:bookmarkStart w:id="4999" w:name="remarks-521"/>
    <w:p>
      <w:pPr>
        <w:pStyle w:val="Heading2"/>
      </w:pPr>
      <w:r>
        <w:t xml:space="preserve">Remarks</w:t>
      </w:r>
    </w:p>
    <w:p>
      <w:pPr>
        <w:pStyle w:val="Compact"/>
        <w:numPr>
          <w:ilvl w:val="0"/>
          <w:numId w:val="2250"/>
        </w:numPr>
      </w:pPr>
      <w:r>
        <w:t xml:space="preserve">Deletes named counter entry.</w:t>
      </w:r>
    </w:p>
    <w:p>
      <w:pPr>
        <w:pStyle w:val="Compact"/>
        <w:numPr>
          <w:ilvl w:val="0"/>
          <w:numId w:val="2250"/>
        </w:numPr>
      </w:pPr>
      <w:r>
        <w:t xml:space="preserve">Use Set when assigning object return values.</w:t>
      </w:r>
    </w:p>
    <w:p>
      <w:pPr>
        <w:pStyle w:val="Compact"/>
        <w:numPr>
          <w:ilvl w:val="0"/>
          <w:numId w:val="2250"/>
        </w:numPr>
      </w:pPr>
      <w:r>
        <w:t xml:space="preserve">Member names are case-insensitive.</w:t>
      </w:r>
    </w:p>
    <w:bookmarkEnd w:id="4999"/>
    <w:bookmarkStart w:id="5000" w:name="code-example-34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"MSWC.Counters"</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w:t>
      </w:r>
      <w:r>
        <w:rPr>
          <w:rStyle w:val="FunctionTok"/>
        </w:rPr>
        <w:t xml:space="preserve">Remove</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00"/>
    <w:bookmarkEnd w:id="5001"/>
    <w:bookmarkStart w:id="5008" w:name="counters.set-method"/>
    <w:p>
      <w:pPr>
        <w:pStyle w:val="Heading1"/>
      </w:pPr>
      <w:r>
        <w:t xml:space="preserve">Counters.Set Method</w:t>
      </w:r>
    </w:p>
    <w:bookmarkStart w:id="5002" w:name="overview-590"/>
    <w:p>
      <w:pPr>
        <w:pStyle w:val="Heading2"/>
      </w:pPr>
      <w:r>
        <w:t xml:space="preserve">Overview</w:t>
      </w:r>
    </w:p>
    <w:p>
      <w:pPr>
        <w:pStyle w:val="FirstParagraph"/>
      </w:pPr>
      <w:r>
        <w:t xml:space="preserve">Calls the Set member on the Counters compatibility object.</w:t>
      </w:r>
    </w:p>
    <w:bookmarkEnd w:id="5002"/>
    <w:bookmarkStart w:id="5003" w:name="syntax-549"/>
    <w:p>
      <w:pPr>
        <w:pStyle w:val="Heading2"/>
      </w:pPr>
      <w:r>
        <w:t xml:space="preserve">Syntax</w:t>
      </w:r>
    </w:p>
    <w:p>
      <w:pPr>
        <w:pStyle w:val="SourceCode"/>
      </w:pPr>
      <w:r>
        <w:rPr>
          <w:rStyle w:val="NormalTok"/>
        </w:rPr>
        <w:t xml:space="preserve">Dim obj</w:t>
      </w:r>
      <w:r>
        <w:br/>
      </w:r>
      <w:r>
        <w:rPr>
          <w:rStyle w:val="NormalTok"/>
        </w:rPr>
        <w:t xml:space="preserve">Set obj = Server.CreateObject("MSWC.Counters")</w:t>
      </w:r>
      <w:r>
        <w:br/>
      </w:r>
      <w:r>
        <w:rPr>
          <w:rStyle w:val="NormalTok"/>
        </w:rPr>
        <w:t xml:space="preserve">obj.Set counterName, value</w:t>
      </w:r>
    </w:p>
    <w:bookmarkEnd w:id="5003"/>
    <w:bookmarkStart w:id="5004" w:name="parameters-and-arguments-178"/>
    <w:p>
      <w:pPr>
        <w:pStyle w:val="Heading2"/>
      </w:pPr>
      <w:r>
        <w:t xml:space="preserve">Parameters and Arguments</w:t>
      </w:r>
    </w:p>
    <w:p>
      <w:pPr>
        <w:pStyle w:val="Compact"/>
        <w:numPr>
          <w:ilvl w:val="0"/>
          <w:numId w:val="2251"/>
        </w:numPr>
      </w:pPr>
      <w:r>
        <w:t xml:space="preserve">Parameters are validated by runtime dispatch for MSWC.Counters.</w:t>
      </w:r>
    </w:p>
    <w:p>
      <w:pPr>
        <w:pStyle w:val="Compact"/>
        <w:numPr>
          <w:ilvl w:val="0"/>
          <w:numId w:val="2251"/>
        </w:numPr>
      </w:pPr>
      <w:r>
        <w:t xml:space="preserve">Invalid argument count or incompatible values can raise runtime errors.</w:t>
      </w:r>
    </w:p>
    <w:bookmarkEnd w:id="5004"/>
    <w:bookmarkStart w:id="5005" w:name="return-values-235"/>
    <w:p>
      <w:pPr>
        <w:pStyle w:val="Heading2"/>
      </w:pPr>
      <w:r>
        <w:t xml:space="preserve">Return Values</w:t>
      </w:r>
    </w:p>
    <w:p>
      <w:pPr>
        <w:pStyle w:val="FirstParagraph"/>
      </w:pPr>
      <w:r>
        <w:t xml:space="preserve">Returns a Variant-compatible value according to operation semantics.</w:t>
      </w:r>
    </w:p>
    <w:bookmarkEnd w:id="5005"/>
    <w:bookmarkStart w:id="5006" w:name="remarks-522"/>
    <w:p>
      <w:pPr>
        <w:pStyle w:val="Heading2"/>
      </w:pPr>
      <w:r>
        <w:t xml:space="preserve">Remarks</w:t>
      </w:r>
    </w:p>
    <w:p>
      <w:pPr>
        <w:pStyle w:val="Compact"/>
        <w:numPr>
          <w:ilvl w:val="0"/>
          <w:numId w:val="2252"/>
        </w:numPr>
      </w:pPr>
      <w:r>
        <w:t xml:space="preserve">Sets named counter to integer value.</w:t>
      </w:r>
    </w:p>
    <w:p>
      <w:pPr>
        <w:pStyle w:val="Compact"/>
        <w:numPr>
          <w:ilvl w:val="0"/>
          <w:numId w:val="2252"/>
        </w:numPr>
      </w:pPr>
      <w:r>
        <w:t xml:space="preserve">Use Set when assigning object return values.</w:t>
      </w:r>
    </w:p>
    <w:p>
      <w:pPr>
        <w:pStyle w:val="Compact"/>
        <w:numPr>
          <w:ilvl w:val="0"/>
          <w:numId w:val="2252"/>
        </w:numPr>
      </w:pPr>
      <w:r>
        <w:t xml:space="preserve">Member names are case-insensitive.</w:t>
      </w:r>
    </w:p>
    <w:bookmarkEnd w:id="5006"/>
    <w:bookmarkStart w:id="5007" w:name="code-example-34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"MSWC.Counters"</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w:t>
      </w:r>
      <w:r>
        <w:rPr>
          <w:rStyle w:val="KeywordTok"/>
        </w:rPr>
        <w:t xml:space="preserve">Set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07"/>
    <w:bookmarkEnd w:id="5008"/>
    <w:bookmarkStart w:id="5015" w:name="tools.fileexists-method"/>
    <w:p>
      <w:pPr>
        <w:pStyle w:val="Heading1"/>
      </w:pPr>
      <w:r>
        <w:t xml:space="preserve">Tools.FileExists Method</w:t>
      </w:r>
    </w:p>
    <w:bookmarkStart w:id="5009" w:name="overview-591"/>
    <w:p>
      <w:pPr>
        <w:pStyle w:val="Heading2"/>
      </w:pPr>
      <w:r>
        <w:t xml:space="preserve">Overview</w:t>
      </w:r>
    </w:p>
    <w:p>
      <w:pPr>
        <w:pStyle w:val="FirstParagraph"/>
      </w:pPr>
      <w:r>
        <w:t xml:space="preserve">Calls the FileExists member on the Tools compatibility object.</w:t>
      </w:r>
    </w:p>
    <w:bookmarkEnd w:id="5009"/>
    <w:bookmarkStart w:id="5010" w:name="syntax-550"/>
    <w:p>
      <w:pPr>
        <w:pStyle w:val="Heading2"/>
      </w:pPr>
      <w:r>
        <w:t xml:space="preserve">Syntax</w:t>
      </w:r>
    </w:p>
    <w:p>
      <w:pPr>
        <w:pStyle w:val="SourceCode"/>
      </w:pPr>
      <w:r>
        <w:rPr>
          <w:rStyle w:val="NormalTok"/>
        </w:rPr>
        <w:t xml:space="preserve">Dim obj</w:t>
      </w:r>
      <w:r>
        <w:br/>
      </w:r>
      <w:r>
        <w:rPr>
          <w:rStyle w:val="NormalTok"/>
        </w:rPr>
        <w:t xml:space="preserve">Set obj = Server.CreateObject("MSWC.Tools")</w:t>
      </w:r>
      <w:r>
        <w:br/>
      </w:r>
      <w:r>
        <w:rPr>
          <w:rStyle w:val="NormalTok"/>
        </w:rPr>
        <w:t xml:space="preserve">ok = obj.FileExists(virtualPath)</w:t>
      </w:r>
    </w:p>
    <w:bookmarkEnd w:id="5010"/>
    <w:bookmarkStart w:id="5011" w:name="parameters-and-arguments-179"/>
    <w:p>
      <w:pPr>
        <w:pStyle w:val="Heading2"/>
      </w:pPr>
      <w:r>
        <w:t xml:space="preserve">Parameters and Arguments</w:t>
      </w:r>
    </w:p>
    <w:p>
      <w:pPr>
        <w:pStyle w:val="Compact"/>
        <w:numPr>
          <w:ilvl w:val="0"/>
          <w:numId w:val="2253"/>
        </w:numPr>
      </w:pPr>
      <w:r>
        <w:t xml:space="preserve">Parameters are validated by runtime dispatch for MSWC.Tools.</w:t>
      </w:r>
    </w:p>
    <w:p>
      <w:pPr>
        <w:pStyle w:val="Compact"/>
        <w:numPr>
          <w:ilvl w:val="0"/>
          <w:numId w:val="2253"/>
        </w:numPr>
      </w:pPr>
      <w:r>
        <w:t xml:space="preserve">Invalid argument count or incompatible values can raise runtime errors.</w:t>
      </w:r>
    </w:p>
    <w:bookmarkEnd w:id="5011"/>
    <w:bookmarkStart w:id="5012" w:name="return-values-236"/>
    <w:p>
      <w:pPr>
        <w:pStyle w:val="Heading2"/>
      </w:pPr>
      <w:r>
        <w:t xml:space="preserve">Return Values</w:t>
      </w:r>
    </w:p>
    <w:p>
      <w:pPr>
        <w:pStyle w:val="FirstParagraph"/>
      </w:pPr>
      <w:r>
        <w:t xml:space="preserve">Returns a Variant-compatible value according to operation semantics.</w:t>
      </w:r>
    </w:p>
    <w:bookmarkEnd w:id="5012"/>
    <w:bookmarkStart w:id="5013" w:name="remarks-523"/>
    <w:p>
      <w:pPr>
        <w:pStyle w:val="Heading2"/>
      </w:pPr>
      <w:r>
        <w:t xml:space="preserve">Remarks</w:t>
      </w:r>
    </w:p>
    <w:p>
      <w:pPr>
        <w:pStyle w:val="Compact"/>
        <w:numPr>
          <w:ilvl w:val="0"/>
          <w:numId w:val="2254"/>
        </w:numPr>
      </w:pPr>
      <w:r>
        <w:t xml:space="preserve">Returns True when mapped file exists.</w:t>
      </w:r>
    </w:p>
    <w:p>
      <w:pPr>
        <w:pStyle w:val="Compact"/>
        <w:numPr>
          <w:ilvl w:val="0"/>
          <w:numId w:val="2254"/>
        </w:numPr>
      </w:pPr>
      <w:r>
        <w:t xml:space="preserve">Use Set when assigning object return values.</w:t>
      </w:r>
    </w:p>
    <w:p>
      <w:pPr>
        <w:pStyle w:val="Compact"/>
        <w:numPr>
          <w:ilvl w:val="0"/>
          <w:numId w:val="2254"/>
        </w:numPr>
      </w:pPr>
      <w:r>
        <w:t xml:space="preserve">Member names are case-insensitive.</w:t>
      </w:r>
    </w:p>
    <w:bookmarkEnd w:id="5013"/>
    <w:bookmarkStart w:id="5014" w:name="code-example-34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"MSWC.Tools"</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w:t>
      </w:r>
      <w:r>
        <w:rPr>
          <w:rStyle w:val="FunctionTok"/>
        </w:rPr>
        <w:t xml:space="preserve">FileExists</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14"/>
    <w:bookmarkEnd w:id="5015"/>
    <w:bookmarkStart w:id="5022" w:name="tools.owner-method"/>
    <w:p>
      <w:pPr>
        <w:pStyle w:val="Heading1"/>
      </w:pPr>
      <w:r>
        <w:t xml:space="preserve">Tools.Owner Method</w:t>
      </w:r>
    </w:p>
    <w:bookmarkStart w:id="5016" w:name="overview-592"/>
    <w:p>
      <w:pPr>
        <w:pStyle w:val="Heading2"/>
      </w:pPr>
      <w:r>
        <w:t xml:space="preserve">Overview</w:t>
      </w:r>
    </w:p>
    <w:p>
      <w:pPr>
        <w:pStyle w:val="FirstParagraph"/>
      </w:pPr>
      <w:r>
        <w:t xml:space="preserve">Calls the Owner member on the Tools compatibility object.</w:t>
      </w:r>
    </w:p>
    <w:bookmarkEnd w:id="5016"/>
    <w:bookmarkStart w:id="5017" w:name="syntax-551"/>
    <w:p>
      <w:pPr>
        <w:pStyle w:val="Heading2"/>
      </w:pPr>
      <w:r>
        <w:t xml:space="preserve">Syntax</w:t>
      </w:r>
    </w:p>
    <w:p>
      <w:pPr>
        <w:pStyle w:val="SourceCode"/>
      </w:pPr>
      <w:r>
        <w:rPr>
          <w:rStyle w:val="NormalTok"/>
        </w:rPr>
        <w:t xml:space="preserve">Dim obj</w:t>
      </w:r>
      <w:r>
        <w:br/>
      </w:r>
      <w:r>
        <w:rPr>
          <w:rStyle w:val="NormalTok"/>
        </w:rPr>
        <w:t xml:space="preserve">Set obj = Server.CreateObject("MSWC.Tools")</w:t>
      </w:r>
      <w:r>
        <w:br/>
      </w:r>
      <w:r>
        <w:rPr>
          <w:rStyle w:val="NormalTok"/>
        </w:rPr>
        <w:t xml:space="preserve">name = obj.Owner(virtualPath)</w:t>
      </w:r>
    </w:p>
    <w:bookmarkEnd w:id="5017"/>
    <w:bookmarkStart w:id="5018" w:name="parameters-and-arguments-180"/>
    <w:p>
      <w:pPr>
        <w:pStyle w:val="Heading2"/>
      </w:pPr>
      <w:r>
        <w:t xml:space="preserve">Parameters and Arguments</w:t>
      </w:r>
    </w:p>
    <w:p>
      <w:pPr>
        <w:pStyle w:val="Compact"/>
        <w:numPr>
          <w:ilvl w:val="0"/>
          <w:numId w:val="2255"/>
        </w:numPr>
      </w:pPr>
      <w:r>
        <w:t xml:space="preserve">Parameters are validated by runtime dispatch for MSWC.Tools.</w:t>
      </w:r>
    </w:p>
    <w:p>
      <w:pPr>
        <w:pStyle w:val="Compact"/>
        <w:numPr>
          <w:ilvl w:val="0"/>
          <w:numId w:val="2255"/>
        </w:numPr>
      </w:pPr>
      <w:r>
        <w:t xml:space="preserve">Invalid argument count or incompatible values can raise runtime errors.</w:t>
      </w:r>
    </w:p>
    <w:bookmarkEnd w:id="5018"/>
    <w:bookmarkStart w:id="5019" w:name="return-values-237"/>
    <w:p>
      <w:pPr>
        <w:pStyle w:val="Heading2"/>
      </w:pPr>
      <w:r>
        <w:t xml:space="preserve">Return Values</w:t>
      </w:r>
    </w:p>
    <w:p>
      <w:pPr>
        <w:pStyle w:val="FirstParagraph"/>
      </w:pPr>
      <w:r>
        <w:t xml:space="preserve">Returns a Variant-compatible value according to operation semantics.</w:t>
      </w:r>
    </w:p>
    <w:bookmarkEnd w:id="5019"/>
    <w:bookmarkStart w:id="5020" w:name="remarks-524"/>
    <w:p>
      <w:pPr>
        <w:pStyle w:val="Heading2"/>
      </w:pPr>
      <w:r>
        <w:t xml:space="preserve">Remarks</w:t>
      </w:r>
    </w:p>
    <w:p>
      <w:pPr>
        <w:pStyle w:val="Compact"/>
        <w:numPr>
          <w:ilvl w:val="0"/>
          <w:numId w:val="2256"/>
        </w:numPr>
      </w:pPr>
      <w:r>
        <w:t xml:space="preserve">Returns best-effort file owner name.</w:t>
      </w:r>
    </w:p>
    <w:p>
      <w:pPr>
        <w:pStyle w:val="Compact"/>
        <w:numPr>
          <w:ilvl w:val="0"/>
          <w:numId w:val="2256"/>
        </w:numPr>
      </w:pPr>
      <w:r>
        <w:t xml:space="preserve">Use Set when assigning object return values.</w:t>
      </w:r>
    </w:p>
    <w:p>
      <w:pPr>
        <w:pStyle w:val="Compact"/>
        <w:numPr>
          <w:ilvl w:val="0"/>
          <w:numId w:val="2256"/>
        </w:numPr>
      </w:pPr>
      <w:r>
        <w:t xml:space="preserve">Member names are case-insensitive.</w:t>
      </w:r>
    </w:p>
    <w:bookmarkEnd w:id="5020"/>
    <w:bookmarkStart w:id="5021" w:name="code-example-34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"MSWC.Tools"</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obj.Owner</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21"/>
    <w:bookmarkEnd w:id="5022"/>
    <w:bookmarkStart w:id="5029" w:name="tools.pluginexists-method"/>
    <w:p>
      <w:pPr>
        <w:pStyle w:val="Heading1"/>
      </w:pPr>
      <w:r>
        <w:t xml:space="preserve">Tools.PluginExists Method</w:t>
      </w:r>
    </w:p>
    <w:bookmarkStart w:id="5023" w:name="overview-593"/>
    <w:p>
      <w:pPr>
        <w:pStyle w:val="Heading2"/>
      </w:pPr>
      <w:r>
        <w:t xml:space="preserve">Overview</w:t>
      </w:r>
    </w:p>
    <w:p>
      <w:pPr>
        <w:pStyle w:val="FirstParagraph"/>
      </w:pPr>
      <w:r>
        <w:t xml:space="preserve">Calls the PluginExists member on the Tools compatibility object.</w:t>
      </w:r>
    </w:p>
    <w:bookmarkEnd w:id="5023"/>
    <w:bookmarkStart w:id="5024" w:name="syntax-552"/>
    <w:p>
      <w:pPr>
        <w:pStyle w:val="Heading2"/>
      </w:pPr>
      <w:r>
        <w:t xml:space="preserve">Syntax</w:t>
      </w:r>
    </w:p>
    <w:p>
      <w:pPr>
        <w:pStyle w:val="SourceCode"/>
      </w:pPr>
      <w:r>
        <w:rPr>
          <w:rStyle w:val="NormalTok"/>
        </w:rPr>
        <w:t xml:space="preserve">Dim obj</w:t>
      </w:r>
      <w:r>
        <w:br/>
      </w:r>
      <w:r>
        <w:rPr>
          <w:rStyle w:val="NormalTok"/>
        </w:rPr>
        <w:t xml:space="preserve">Set obj = Server.CreateObject("MSWC.Tools")</w:t>
      </w:r>
      <w:r>
        <w:br/>
      </w:r>
      <w:r>
        <w:rPr>
          <w:rStyle w:val="NormalTok"/>
        </w:rPr>
        <w:t xml:space="preserve">ok = obj.PluginExists(pluginName)</w:t>
      </w:r>
    </w:p>
    <w:bookmarkEnd w:id="5024"/>
    <w:bookmarkStart w:id="5025" w:name="parameters-and-arguments-181"/>
    <w:p>
      <w:pPr>
        <w:pStyle w:val="Heading2"/>
      </w:pPr>
      <w:r>
        <w:t xml:space="preserve">Parameters and Arguments</w:t>
      </w:r>
    </w:p>
    <w:p>
      <w:pPr>
        <w:pStyle w:val="Compact"/>
        <w:numPr>
          <w:ilvl w:val="0"/>
          <w:numId w:val="2257"/>
        </w:numPr>
      </w:pPr>
      <w:r>
        <w:t xml:space="preserve">Parameters are validated by runtime dispatch for MSWC.Tools.</w:t>
      </w:r>
    </w:p>
    <w:p>
      <w:pPr>
        <w:pStyle w:val="Compact"/>
        <w:numPr>
          <w:ilvl w:val="0"/>
          <w:numId w:val="2257"/>
        </w:numPr>
      </w:pPr>
      <w:r>
        <w:t xml:space="preserve">Invalid argument count or incompatible values can raise runtime errors.</w:t>
      </w:r>
    </w:p>
    <w:bookmarkEnd w:id="5025"/>
    <w:bookmarkStart w:id="5026" w:name="return-values-238"/>
    <w:p>
      <w:pPr>
        <w:pStyle w:val="Heading2"/>
      </w:pPr>
      <w:r>
        <w:t xml:space="preserve">Return Values</w:t>
      </w:r>
    </w:p>
    <w:p>
      <w:pPr>
        <w:pStyle w:val="FirstParagraph"/>
      </w:pPr>
      <w:r>
        <w:t xml:space="preserve">Returns a Variant-compatible value according to operation semantics.</w:t>
      </w:r>
    </w:p>
    <w:bookmarkEnd w:id="5026"/>
    <w:bookmarkStart w:id="5027" w:name="remarks-525"/>
    <w:p>
      <w:pPr>
        <w:pStyle w:val="Heading2"/>
      </w:pPr>
      <w:r>
        <w:t xml:space="preserve">Remarks</w:t>
      </w:r>
    </w:p>
    <w:p>
      <w:pPr>
        <w:pStyle w:val="Compact"/>
        <w:numPr>
          <w:ilvl w:val="0"/>
          <w:numId w:val="2258"/>
        </w:numPr>
      </w:pPr>
      <w:r>
        <w:t xml:space="preserve">Compatibility stub currently returns False.</w:t>
      </w:r>
    </w:p>
    <w:p>
      <w:pPr>
        <w:pStyle w:val="Compact"/>
        <w:numPr>
          <w:ilvl w:val="0"/>
          <w:numId w:val="2258"/>
        </w:numPr>
      </w:pPr>
      <w:r>
        <w:t xml:space="preserve">Use Set when assigning object return values.</w:t>
      </w:r>
    </w:p>
    <w:p>
      <w:pPr>
        <w:pStyle w:val="Compact"/>
        <w:numPr>
          <w:ilvl w:val="0"/>
          <w:numId w:val="2258"/>
        </w:numPr>
      </w:pPr>
      <w:r>
        <w:t xml:space="preserve">Member names are case-insensitive.</w:t>
      </w:r>
    </w:p>
    <w:bookmarkEnd w:id="5027"/>
    <w:bookmarkStart w:id="5028" w:name="code-example-35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"MSWC.Tools"</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obj.PluginExists</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28"/>
    <w:bookmarkEnd w:id="5029"/>
    <w:bookmarkStart w:id="5036" w:name="tools.processform-method"/>
    <w:p>
      <w:pPr>
        <w:pStyle w:val="Heading1"/>
      </w:pPr>
      <w:r>
        <w:t xml:space="preserve">Tools.ProcessForm Method</w:t>
      </w:r>
    </w:p>
    <w:bookmarkStart w:id="5030" w:name="overview-594"/>
    <w:p>
      <w:pPr>
        <w:pStyle w:val="Heading2"/>
      </w:pPr>
      <w:r>
        <w:t xml:space="preserve">Overview</w:t>
      </w:r>
    </w:p>
    <w:p>
      <w:pPr>
        <w:pStyle w:val="FirstParagraph"/>
      </w:pPr>
      <w:r>
        <w:t xml:space="preserve">Calls the ProcessForm member on the Tools compatibility object.</w:t>
      </w:r>
    </w:p>
    <w:bookmarkEnd w:id="5030"/>
    <w:bookmarkStart w:id="5031" w:name="syntax-553"/>
    <w:p>
      <w:pPr>
        <w:pStyle w:val="Heading2"/>
      </w:pPr>
      <w:r>
        <w:t xml:space="preserve">Syntax</w:t>
      </w:r>
    </w:p>
    <w:p>
      <w:pPr>
        <w:pStyle w:val="SourceCode"/>
      </w:pPr>
      <w:r>
        <w:rPr>
          <w:rStyle w:val="NormalTok"/>
        </w:rPr>
        <w:t xml:space="preserve">Dim obj</w:t>
      </w:r>
      <w:r>
        <w:br/>
      </w:r>
      <w:r>
        <w:rPr>
          <w:rStyle w:val="NormalTok"/>
        </w:rPr>
        <w:t xml:space="preserve">Set obj = Server.CreateObject("MSWC.Tools")</w:t>
      </w:r>
      <w:r>
        <w:br/>
      </w:r>
      <w:r>
        <w:rPr>
          <w:rStyle w:val="NormalTok"/>
        </w:rPr>
        <w:t xml:space="preserve">obj.ProcessForm</w:t>
      </w:r>
    </w:p>
    <w:bookmarkEnd w:id="5031"/>
    <w:bookmarkStart w:id="5032" w:name="parameters-and-arguments-182"/>
    <w:p>
      <w:pPr>
        <w:pStyle w:val="Heading2"/>
      </w:pPr>
      <w:r>
        <w:t xml:space="preserve">Parameters and Arguments</w:t>
      </w:r>
    </w:p>
    <w:p>
      <w:pPr>
        <w:pStyle w:val="Compact"/>
        <w:numPr>
          <w:ilvl w:val="0"/>
          <w:numId w:val="2259"/>
        </w:numPr>
      </w:pPr>
      <w:r>
        <w:t xml:space="preserve">Parameters are validated by runtime dispatch for MSWC.Tools.</w:t>
      </w:r>
    </w:p>
    <w:p>
      <w:pPr>
        <w:pStyle w:val="Compact"/>
        <w:numPr>
          <w:ilvl w:val="0"/>
          <w:numId w:val="2259"/>
        </w:numPr>
      </w:pPr>
      <w:r>
        <w:t xml:space="preserve">Invalid argument count or incompatible values can raise runtime errors.</w:t>
      </w:r>
    </w:p>
    <w:bookmarkEnd w:id="5032"/>
    <w:bookmarkStart w:id="5033" w:name="return-values-239"/>
    <w:p>
      <w:pPr>
        <w:pStyle w:val="Heading2"/>
      </w:pPr>
      <w:r>
        <w:t xml:space="preserve">Return Values</w:t>
      </w:r>
    </w:p>
    <w:p>
      <w:pPr>
        <w:pStyle w:val="FirstParagraph"/>
      </w:pPr>
      <w:r>
        <w:t xml:space="preserve">Returns a Variant-compatible value according to operation semantics.</w:t>
      </w:r>
    </w:p>
    <w:bookmarkEnd w:id="5033"/>
    <w:bookmarkStart w:id="5034" w:name="remarks-526"/>
    <w:p>
      <w:pPr>
        <w:pStyle w:val="Heading2"/>
      </w:pPr>
      <w:r>
        <w:t xml:space="preserve">Remarks</w:t>
      </w:r>
    </w:p>
    <w:p>
      <w:pPr>
        <w:pStyle w:val="Compact"/>
        <w:numPr>
          <w:ilvl w:val="0"/>
          <w:numId w:val="2260"/>
        </w:numPr>
      </w:pPr>
      <w:r>
        <w:t xml:space="preserve">Compatibility stub; currently no-op.</w:t>
      </w:r>
    </w:p>
    <w:p>
      <w:pPr>
        <w:pStyle w:val="Compact"/>
        <w:numPr>
          <w:ilvl w:val="0"/>
          <w:numId w:val="2260"/>
        </w:numPr>
      </w:pPr>
      <w:r>
        <w:t xml:space="preserve">Use Set when assigning object return values.</w:t>
      </w:r>
    </w:p>
    <w:p>
      <w:pPr>
        <w:pStyle w:val="Compact"/>
        <w:numPr>
          <w:ilvl w:val="0"/>
          <w:numId w:val="2260"/>
        </w:numPr>
      </w:pPr>
      <w:r>
        <w:t xml:space="preserve">Member names are case-insensitive.</w:t>
      </w:r>
    </w:p>
    <w:bookmarkEnd w:id="5034"/>
    <w:bookmarkStart w:id="5035" w:name="code-example-35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"MSWC.Tools"</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obj.ProcessForm</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35"/>
    <w:bookmarkEnd w:id="5036"/>
    <w:bookmarkStart w:id="5043" w:name="myinfo.url-method"/>
    <w:p>
      <w:pPr>
        <w:pStyle w:val="Heading1"/>
      </w:pPr>
      <w:r>
        <w:t xml:space="preserve">MyInfo.URL Method</w:t>
      </w:r>
    </w:p>
    <w:bookmarkStart w:id="5037" w:name="overview-595"/>
    <w:p>
      <w:pPr>
        <w:pStyle w:val="Heading2"/>
      </w:pPr>
      <w:r>
        <w:t xml:space="preserve">Overview</w:t>
      </w:r>
    </w:p>
    <w:p>
      <w:pPr>
        <w:pStyle w:val="FirstParagraph"/>
      </w:pPr>
      <w:r>
        <w:t xml:space="preserve">Calls the URL member on the MyInfo compatibility object.</w:t>
      </w:r>
    </w:p>
    <w:bookmarkEnd w:id="5037"/>
    <w:bookmarkStart w:id="5038" w:name="syntax-554"/>
    <w:p>
      <w:pPr>
        <w:pStyle w:val="Heading2"/>
      </w:pPr>
      <w:r>
        <w:t xml:space="preserve">Syntax</w:t>
      </w:r>
    </w:p>
    <w:p>
      <w:pPr>
        <w:pStyle w:val="SourceCode"/>
      </w:pPr>
      <w:r>
        <w:rPr>
          <w:rStyle w:val="NormalTok"/>
        </w:rPr>
        <w:t xml:space="preserve">Dim obj</w:t>
      </w:r>
      <w:r>
        <w:br/>
      </w:r>
      <w:r>
        <w:rPr>
          <w:rStyle w:val="NormalTok"/>
        </w:rPr>
        <w:t xml:space="preserve">Set obj = Server.CreateObject("MSWC.MyInfo")</w:t>
      </w:r>
      <w:r>
        <w:br/>
      </w:r>
      <w:r>
        <w:rPr>
          <w:rStyle w:val="NormalTok"/>
        </w:rPr>
        <w:t xml:space="preserve">value = obj.URL(index)</w:t>
      </w:r>
    </w:p>
    <w:bookmarkEnd w:id="5038"/>
    <w:bookmarkStart w:id="5039" w:name="parameters-and-arguments-183"/>
    <w:p>
      <w:pPr>
        <w:pStyle w:val="Heading2"/>
      </w:pPr>
      <w:r>
        <w:t xml:space="preserve">Parameters and Arguments</w:t>
      </w:r>
    </w:p>
    <w:p>
      <w:pPr>
        <w:pStyle w:val="Compact"/>
        <w:numPr>
          <w:ilvl w:val="0"/>
          <w:numId w:val="2261"/>
        </w:numPr>
      </w:pPr>
      <w:r>
        <w:t xml:space="preserve">Parameters are validated by runtime dispatch for MSWC.MyInfo.</w:t>
      </w:r>
    </w:p>
    <w:p>
      <w:pPr>
        <w:pStyle w:val="Compact"/>
        <w:numPr>
          <w:ilvl w:val="0"/>
          <w:numId w:val="2261"/>
        </w:numPr>
      </w:pPr>
      <w:r>
        <w:t xml:space="preserve">Invalid argument count or incompatible values can raise runtime errors.</w:t>
      </w:r>
    </w:p>
    <w:bookmarkEnd w:id="5039"/>
    <w:bookmarkStart w:id="5040" w:name="return-values-240"/>
    <w:p>
      <w:pPr>
        <w:pStyle w:val="Heading2"/>
      </w:pPr>
      <w:r>
        <w:t xml:space="preserve">Return Values</w:t>
      </w:r>
    </w:p>
    <w:p>
      <w:pPr>
        <w:pStyle w:val="FirstParagraph"/>
      </w:pPr>
      <w:r>
        <w:t xml:space="preserve">Returns a Variant-compatible value according to operation semantics.</w:t>
      </w:r>
    </w:p>
    <w:bookmarkEnd w:id="5040"/>
    <w:bookmarkStart w:id="5041" w:name="remarks-527"/>
    <w:p>
      <w:pPr>
        <w:pStyle w:val="Heading2"/>
      </w:pPr>
      <w:r>
        <w:t xml:space="preserve">Remarks</w:t>
      </w:r>
    </w:p>
    <w:p>
      <w:pPr>
        <w:pStyle w:val="Compact"/>
        <w:numPr>
          <w:ilvl w:val="0"/>
          <w:numId w:val="2262"/>
        </w:numPr>
      </w:pPr>
      <w:r>
        <w:t xml:space="preserve">Returns URL field value by suffix index from MyInfo.xml.</w:t>
      </w:r>
    </w:p>
    <w:p>
      <w:pPr>
        <w:pStyle w:val="Compact"/>
        <w:numPr>
          <w:ilvl w:val="0"/>
          <w:numId w:val="2262"/>
        </w:numPr>
      </w:pPr>
      <w:r>
        <w:t xml:space="preserve">Use Set when assigning object return values.</w:t>
      </w:r>
    </w:p>
    <w:p>
      <w:pPr>
        <w:pStyle w:val="Compact"/>
        <w:numPr>
          <w:ilvl w:val="0"/>
          <w:numId w:val="2262"/>
        </w:numPr>
      </w:pPr>
      <w:r>
        <w:t xml:space="preserve">Member names are case-insensitive.</w:t>
      </w:r>
    </w:p>
    <w:bookmarkEnd w:id="5041"/>
    <w:bookmarkStart w:id="5042" w:name="code-example-35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"MSWC.MyInfo"</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obj.URL</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42"/>
    <w:bookmarkEnd w:id="5043"/>
    <w:bookmarkStart w:id="5050" w:name="myinfo.urlwords-method"/>
    <w:p>
      <w:pPr>
        <w:pStyle w:val="Heading1"/>
      </w:pPr>
      <w:r>
        <w:t xml:space="preserve">MyInfo.URLWords Method</w:t>
      </w:r>
    </w:p>
    <w:bookmarkStart w:id="5044" w:name="overview-596"/>
    <w:p>
      <w:pPr>
        <w:pStyle w:val="Heading2"/>
      </w:pPr>
      <w:r>
        <w:t xml:space="preserve">Overview</w:t>
      </w:r>
    </w:p>
    <w:p>
      <w:pPr>
        <w:pStyle w:val="FirstParagraph"/>
      </w:pPr>
      <w:r>
        <w:t xml:space="preserve">Calls the URLWords member on the MyInfo compatibility object.</w:t>
      </w:r>
    </w:p>
    <w:bookmarkEnd w:id="5044"/>
    <w:bookmarkStart w:id="5045" w:name="syntax-555"/>
    <w:p>
      <w:pPr>
        <w:pStyle w:val="Heading2"/>
      </w:pPr>
      <w:r>
        <w:t xml:space="preserve">Syntax</w:t>
      </w:r>
    </w:p>
    <w:p>
      <w:pPr>
        <w:pStyle w:val="SourceCode"/>
      </w:pPr>
      <w:r>
        <w:rPr>
          <w:rStyle w:val="NormalTok"/>
        </w:rPr>
        <w:t xml:space="preserve">Dim obj</w:t>
      </w:r>
      <w:r>
        <w:br/>
      </w:r>
      <w:r>
        <w:rPr>
          <w:rStyle w:val="NormalTok"/>
        </w:rPr>
        <w:t xml:space="preserve">Set obj = Server.CreateObject("MSWC.MyInfo")</w:t>
      </w:r>
      <w:r>
        <w:br/>
      </w:r>
      <w:r>
        <w:rPr>
          <w:rStyle w:val="NormalTok"/>
        </w:rPr>
        <w:t xml:space="preserve">value = obj.URLWords(index)</w:t>
      </w:r>
    </w:p>
    <w:bookmarkEnd w:id="5045"/>
    <w:bookmarkStart w:id="5046" w:name="parameters-and-arguments-184"/>
    <w:p>
      <w:pPr>
        <w:pStyle w:val="Heading2"/>
      </w:pPr>
      <w:r>
        <w:t xml:space="preserve">Parameters and Arguments</w:t>
      </w:r>
    </w:p>
    <w:p>
      <w:pPr>
        <w:pStyle w:val="Compact"/>
        <w:numPr>
          <w:ilvl w:val="0"/>
          <w:numId w:val="2263"/>
        </w:numPr>
      </w:pPr>
      <w:r>
        <w:t xml:space="preserve">Parameters are validated by runtime dispatch for MSWC.MyInfo.</w:t>
      </w:r>
    </w:p>
    <w:p>
      <w:pPr>
        <w:pStyle w:val="Compact"/>
        <w:numPr>
          <w:ilvl w:val="0"/>
          <w:numId w:val="2263"/>
        </w:numPr>
      </w:pPr>
      <w:r>
        <w:t xml:space="preserve">Invalid argument count or incompatible values can raise runtime errors.</w:t>
      </w:r>
    </w:p>
    <w:bookmarkEnd w:id="5046"/>
    <w:bookmarkStart w:id="5047" w:name="return-values-241"/>
    <w:p>
      <w:pPr>
        <w:pStyle w:val="Heading2"/>
      </w:pPr>
      <w:r>
        <w:t xml:space="preserve">Return Values</w:t>
      </w:r>
    </w:p>
    <w:p>
      <w:pPr>
        <w:pStyle w:val="FirstParagraph"/>
      </w:pPr>
      <w:r>
        <w:t xml:space="preserve">Returns a Variant-compatible value according to operation semantics.</w:t>
      </w:r>
    </w:p>
    <w:bookmarkEnd w:id="5047"/>
    <w:bookmarkStart w:id="5048" w:name="remarks-528"/>
    <w:p>
      <w:pPr>
        <w:pStyle w:val="Heading2"/>
      </w:pPr>
      <w:r>
        <w:t xml:space="preserve">Remarks</w:t>
      </w:r>
    </w:p>
    <w:p>
      <w:pPr>
        <w:pStyle w:val="Compact"/>
        <w:numPr>
          <w:ilvl w:val="0"/>
          <w:numId w:val="2264"/>
        </w:numPr>
      </w:pPr>
      <w:r>
        <w:t xml:space="preserve">Returns URLWords field value by suffix index from MyInfo.xml.</w:t>
      </w:r>
    </w:p>
    <w:p>
      <w:pPr>
        <w:pStyle w:val="Compact"/>
        <w:numPr>
          <w:ilvl w:val="0"/>
          <w:numId w:val="2264"/>
        </w:numPr>
      </w:pPr>
      <w:r>
        <w:t xml:space="preserve">Use Set when assigning object return values.</w:t>
      </w:r>
    </w:p>
    <w:p>
      <w:pPr>
        <w:pStyle w:val="Compact"/>
        <w:numPr>
          <w:ilvl w:val="0"/>
          <w:numId w:val="2264"/>
        </w:numPr>
      </w:pPr>
      <w:r>
        <w:t xml:space="preserve">Member names are case-insensitive.</w:t>
      </w:r>
    </w:p>
    <w:bookmarkEnd w:id="5048"/>
    <w:bookmarkStart w:id="5049" w:name="code-example-35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"MSWC.MyInfo"</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obj.URLWords</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49"/>
    <w:bookmarkEnd w:id="5050"/>
    <w:bookmarkStart w:id="5057" w:name="pagecounter.hits-method"/>
    <w:p>
      <w:pPr>
        <w:pStyle w:val="Heading1"/>
      </w:pPr>
      <w:r>
        <w:t xml:space="preserve">PageCounter.Hits Method</w:t>
      </w:r>
    </w:p>
    <w:bookmarkStart w:id="5051" w:name="overview-597"/>
    <w:p>
      <w:pPr>
        <w:pStyle w:val="Heading2"/>
      </w:pPr>
      <w:r>
        <w:t xml:space="preserve">Overview</w:t>
      </w:r>
    </w:p>
    <w:p>
      <w:pPr>
        <w:pStyle w:val="FirstParagraph"/>
      </w:pPr>
      <w:r>
        <w:t xml:space="preserve">Calls the Hits member on the PageCounter compatibility object.</w:t>
      </w:r>
    </w:p>
    <w:bookmarkEnd w:id="5051"/>
    <w:bookmarkStart w:id="5052" w:name="syntax-556"/>
    <w:p>
      <w:pPr>
        <w:pStyle w:val="Heading2"/>
      </w:pPr>
      <w:r>
        <w:t xml:space="preserve">Syntax</w:t>
      </w:r>
    </w:p>
    <w:p>
      <w:pPr>
        <w:pStyle w:val="SourceCode"/>
      </w:pPr>
      <w:r>
        <w:rPr>
          <w:rStyle w:val="NormalTok"/>
        </w:rPr>
        <w:t xml:space="preserve">Dim obj</w:t>
      </w:r>
      <w:r>
        <w:br/>
      </w:r>
      <w:r>
        <w:rPr>
          <w:rStyle w:val="NormalTok"/>
        </w:rPr>
        <w:t xml:space="preserve">Set obj = Server.CreateObject("MSWC.PageCounter")</w:t>
      </w:r>
      <w:r>
        <w:br/>
      </w:r>
      <w:r>
        <w:rPr>
          <w:rStyle w:val="NormalTok"/>
        </w:rPr>
        <w:t xml:space="preserve">n = obj.Hits([path])</w:t>
      </w:r>
    </w:p>
    <w:bookmarkEnd w:id="5052"/>
    <w:bookmarkStart w:id="5053" w:name="parameters-and-arguments-185"/>
    <w:p>
      <w:pPr>
        <w:pStyle w:val="Heading2"/>
      </w:pPr>
      <w:r>
        <w:t xml:space="preserve">Parameters and Arguments</w:t>
      </w:r>
    </w:p>
    <w:p>
      <w:pPr>
        <w:pStyle w:val="Compact"/>
        <w:numPr>
          <w:ilvl w:val="0"/>
          <w:numId w:val="2265"/>
        </w:numPr>
      </w:pPr>
      <w:r>
        <w:t xml:space="preserve">Parameters are validated by runtime dispatch for MSWC.PageCounter.</w:t>
      </w:r>
    </w:p>
    <w:p>
      <w:pPr>
        <w:pStyle w:val="Compact"/>
        <w:numPr>
          <w:ilvl w:val="0"/>
          <w:numId w:val="2265"/>
        </w:numPr>
      </w:pPr>
      <w:r>
        <w:t xml:space="preserve">Invalid argument count or incompatible values can raise runtime errors.</w:t>
      </w:r>
    </w:p>
    <w:bookmarkEnd w:id="5053"/>
    <w:bookmarkStart w:id="5054" w:name="return-values-242"/>
    <w:p>
      <w:pPr>
        <w:pStyle w:val="Heading2"/>
      </w:pPr>
      <w:r>
        <w:t xml:space="preserve">Return Values</w:t>
      </w:r>
    </w:p>
    <w:p>
      <w:pPr>
        <w:pStyle w:val="FirstParagraph"/>
      </w:pPr>
      <w:r>
        <w:t xml:space="preserve">Returns a Variant-compatible value according to operation semantics.</w:t>
      </w:r>
    </w:p>
    <w:bookmarkEnd w:id="5054"/>
    <w:bookmarkStart w:id="5055" w:name="remarks-529"/>
    <w:p>
      <w:pPr>
        <w:pStyle w:val="Heading2"/>
      </w:pPr>
      <w:r>
        <w:t xml:space="preserve">Remarks</w:t>
      </w:r>
    </w:p>
    <w:p>
      <w:pPr>
        <w:pStyle w:val="Compact"/>
        <w:numPr>
          <w:ilvl w:val="0"/>
          <w:numId w:val="2266"/>
        </w:numPr>
      </w:pPr>
      <w:r>
        <w:t xml:space="preserve">Reads hit count for current page or provided path.</w:t>
      </w:r>
    </w:p>
    <w:p>
      <w:pPr>
        <w:pStyle w:val="Compact"/>
        <w:numPr>
          <w:ilvl w:val="0"/>
          <w:numId w:val="2266"/>
        </w:numPr>
      </w:pPr>
      <w:r>
        <w:t xml:space="preserve">Use Set when assigning object return values.</w:t>
      </w:r>
    </w:p>
    <w:p>
      <w:pPr>
        <w:pStyle w:val="Compact"/>
        <w:numPr>
          <w:ilvl w:val="0"/>
          <w:numId w:val="2266"/>
        </w:numPr>
      </w:pPr>
      <w:r>
        <w:t xml:space="preserve">Member names are case-insensitive.</w:t>
      </w:r>
    </w:p>
    <w:bookmarkEnd w:id="5055"/>
    <w:bookmarkStart w:id="5056" w:name="code-example-35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"MSWC.PageCounter"</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obj.Hits</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56"/>
    <w:bookmarkEnd w:id="5057"/>
    <w:bookmarkStart w:id="5064" w:name="pagecounter.pagehit-method"/>
    <w:p>
      <w:pPr>
        <w:pStyle w:val="Heading1"/>
      </w:pPr>
      <w:r>
        <w:t xml:space="preserve">PageCounter.PageHit Method</w:t>
      </w:r>
    </w:p>
    <w:bookmarkStart w:id="5058" w:name="overview-598"/>
    <w:p>
      <w:pPr>
        <w:pStyle w:val="Heading2"/>
      </w:pPr>
      <w:r>
        <w:t xml:space="preserve">Overview</w:t>
      </w:r>
    </w:p>
    <w:p>
      <w:pPr>
        <w:pStyle w:val="FirstParagraph"/>
      </w:pPr>
      <w:r>
        <w:t xml:space="preserve">Calls the PageHit member on the PageCounter compatibility object.</w:t>
      </w:r>
    </w:p>
    <w:bookmarkEnd w:id="5058"/>
    <w:bookmarkStart w:id="5059" w:name="syntax-557"/>
    <w:p>
      <w:pPr>
        <w:pStyle w:val="Heading2"/>
      </w:pPr>
      <w:r>
        <w:t xml:space="preserve">Syntax</w:t>
      </w:r>
    </w:p>
    <w:p>
      <w:pPr>
        <w:pStyle w:val="SourceCode"/>
      </w:pPr>
      <w:r>
        <w:rPr>
          <w:rStyle w:val="NormalTok"/>
        </w:rPr>
        <w:t xml:space="preserve">Dim obj</w:t>
      </w:r>
      <w:r>
        <w:br/>
      </w:r>
      <w:r>
        <w:rPr>
          <w:rStyle w:val="NormalTok"/>
        </w:rPr>
        <w:t xml:space="preserve">Set obj = Server.CreateObject("MSWC.PageCounter")</w:t>
      </w:r>
      <w:r>
        <w:br/>
      </w:r>
      <w:r>
        <w:rPr>
          <w:rStyle w:val="NormalTok"/>
        </w:rPr>
        <w:t xml:space="preserve">n = obj.PageHit()</w:t>
      </w:r>
    </w:p>
    <w:bookmarkEnd w:id="5059"/>
    <w:bookmarkStart w:id="5060" w:name="parameters-and-arguments-186"/>
    <w:p>
      <w:pPr>
        <w:pStyle w:val="Heading2"/>
      </w:pPr>
      <w:r>
        <w:t xml:space="preserve">Parameters and Arguments</w:t>
      </w:r>
    </w:p>
    <w:p>
      <w:pPr>
        <w:pStyle w:val="Compact"/>
        <w:numPr>
          <w:ilvl w:val="0"/>
          <w:numId w:val="2267"/>
        </w:numPr>
      </w:pPr>
      <w:r>
        <w:t xml:space="preserve">Parameters are validated by runtime dispatch for MSWC.PageCounter.</w:t>
      </w:r>
    </w:p>
    <w:p>
      <w:pPr>
        <w:pStyle w:val="Compact"/>
        <w:numPr>
          <w:ilvl w:val="0"/>
          <w:numId w:val="2267"/>
        </w:numPr>
      </w:pPr>
      <w:r>
        <w:t xml:space="preserve">Invalid argument count or incompatible values can raise runtime errors.</w:t>
      </w:r>
    </w:p>
    <w:bookmarkEnd w:id="5060"/>
    <w:bookmarkStart w:id="5061" w:name="return-values-243"/>
    <w:p>
      <w:pPr>
        <w:pStyle w:val="Heading2"/>
      </w:pPr>
      <w:r>
        <w:t xml:space="preserve">Return Values</w:t>
      </w:r>
    </w:p>
    <w:p>
      <w:pPr>
        <w:pStyle w:val="FirstParagraph"/>
      </w:pPr>
      <w:r>
        <w:t xml:space="preserve">Returns a Variant-compatible value according to operation semantics.</w:t>
      </w:r>
    </w:p>
    <w:bookmarkEnd w:id="5061"/>
    <w:bookmarkStart w:id="5062" w:name="remarks-530"/>
    <w:p>
      <w:pPr>
        <w:pStyle w:val="Heading2"/>
      </w:pPr>
      <w:r>
        <w:t xml:space="preserve">Remarks</w:t>
      </w:r>
    </w:p>
    <w:p>
      <w:pPr>
        <w:pStyle w:val="Compact"/>
        <w:numPr>
          <w:ilvl w:val="0"/>
          <w:numId w:val="2268"/>
        </w:numPr>
      </w:pPr>
      <w:r>
        <w:t xml:space="preserve">Increments and returns current page hit count.</w:t>
      </w:r>
    </w:p>
    <w:p>
      <w:pPr>
        <w:pStyle w:val="Compact"/>
        <w:numPr>
          <w:ilvl w:val="0"/>
          <w:numId w:val="2268"/>
        </w:numPr>
      </w:pPr>
      <w:r>
        <w:t xml:space="preserve">Use Set when assigning object return values.</w:t>
      </w:r>
    </w:p>
    <w:p>
      <w:pPr>
        <w:pStyle w:val="Compact"/>
        <w:numPr>
          <w:ilvl w:val="0"/>
          <w:numId w:val="2268"/>
        </w:numPr>
      </w:pPr>
      <w:r>
        <w:t xml:space="preserve">Member names are case-insensitive.</w:t>
      </w:r>
    </w:p>
    <w:bookmarkEnd w:id="5062"/>
    <w:bookmarkStart w:id="5063" w:name="code-example-35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"MSWC.PageCounter"</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obj.PageHit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63"/>
    <w:bookmarkEnd w:id="5064"/>
    <w:bookmarkStart w:id="5071" w:name="pagecounter.reset-method"/>
    <w:p>
      <w:pPr>
        <w:pStyle w:val="Heading1"/>
      </w:pPr>
      <w:r>
        <w:t xml:space="preserve">PageCounter.Reset Method</w:t>
      </w:r>
    </w:p>
    <w:bookmarkStart w:id="5065" w:name="overview-599"/>
    <w:p>
      <w:pPr>
        <w:pStyle w:val="Heading2"/>
      </w:pPr>
      <w:r>
        <w:t xml:space="preserve">Overview</w:t>
      </w:r>
    </w:p>
    <w:p>
      <w:pPr>
        <w:pStyle w:val="FirstParagraph"/>
      </w:pPr>
      <w:r>
        <w:t xml:space="preserve">Calls the Reset member on the PageCounter compatibility object.</w:t>
      </w:r>
    </w:p>
    <w:bookmarkEnd w:id="5065"/>
    <w:bookmarkStart w:id="5066" w:name="syntax-558"/>
    <w:p>
      <w:pPr>
        <w:pStyle w:val="Heading2"/>
      </w:pPr>
      <w:r>
        <w:t xml:space="preserve">Syntax</w:t>
      </w:r>
    </w:p>
    <w:p>
      <w:pPr>
        <w:pStyle w:val="SourceCode"/>
      </w:pPr>
      <w:r>
        <w:rPr>
          <w:rStyle w:val="NormalTok"/>
        </w:rPr>
        <w:t xml:space="preserve">Dim obj</w:t>
      </w:r>
      <w:r>
        <w:br/>
      </w:r>
      <w:r>
        <w:rPr>
          <w:rStyle w:val="NormalTok"/>
        </w:rPr>
        <w:t xml:space="preserve">Set obj = Server.CreateObject("MSWC.PageCounter")</w:t>
      </w:r>
      <w:r>
        <w:br/>
      </w:r>
      <w:r>
        <w:rPr>
          <w:rStyle w:val="NormalTok"/>
        </w:rPr>
        <w:t xml:space="preserve">obj.Reset [path]</w:t>
      </w:r>
    </w:p>
    <w:bookmarkEnd w:id="5066"/>
    <w:bookmarkStart w:id="5067" w:name="parameters-and-arguments-187"/>
    <w:p>
      <w:pPr>
        <w:pStyle w:val="Heading2"/>
      </w:pPr>
      <w:r>
        <w:t xml:space="preserve">Parameters and Arguments</w:t>
      </w:r>
    </w:p>
    <w:p>
      <w:pPr>
        <w:pStyle w:val="Compact"/>
        <w:numPr>
          <w:ilvl w:val="0"/>
          <w:numId w:val="2269"/>
        </w:numPr>
      </w:pPr>
      <w:r>
        <w:t xml:space="preserve">Parameters are validated by runtime dispatch for MSWC.PageCounter.</w:t>
      </w:r>
    </w:p>
    <w:p>
      <w:pPr>
        <w:pStyle w:val="Compact"/>
        <w:numPr>
          <w:ilvl w:val="0"/>
          <w:numId w:val="2269"/>
        </w:numPr>
      </w:pPr>
      <w:r>
        <w:t xml:space="preserve">Invalid argument count or incompatible values can raise runtime errors.</w:t>
      </w:r>
    </w:p>
    <w:bookmarkEnd w:id="5067"/>
    <w:bookmarkStart w:id="5068" w:name="return-values-244"/>
    <w:p>
      <w:pPr>
        <w:pStyle w:val="Heading2"/>
      </w:pPr>
      <w:r>
        <w:t xml:space="preserve">Return Values</w:t>
      </w:r>
    </w:p>
    <w:p>
      <w:pPr>
        <w:pStyle w:val="FirstParagraph"/>
      </w:pPr>
      <w:r>
        <w:t xml:space="preserve">Returns a Variant-compatible value according to operation semantics.</w:t>
      </w:r>
    </w:p>
    <w:bookmarkEnd w:id="5068"/>
    <w:bookmarkStart w:id="5069" w:name="remarks-531"/>
    <w:p>
      <w:pPr>
        <w:pStyle w:val="Heading2"/>
      </w:pPr>
      <w:r>
        <w:t xml:space="preserve">Remarks</w:t>
      </w:r>
    </w:p>
    <w:p>
      <w:pPr>
        <w:pStyle w:val="Compact"/>
        <w:numPr>
          <w:ilvl w:val="0"/>
          <w:numId w:val="2270"/>
        </w:numPr>
      </w:pPr>
      <w:r>
        <w:t xml:space="preserve">Resets current page or provided path counter.</w:t>
      </w:r>
    </w:p>
    <w:p>
      <w:pPr>
        <w:pStyle w:val="Compact"/>
        <w:numPr>
          <w:ilvl w:val="0"/>
          <w:numId w:val="2270"/>
        </w:numPr>
      </w:pPr>
      <w:r>
        <w:t xml:space="preserve">Use Set when assigning object return values.</w:t>
      </w:r>
    </w:p>
    <w:p>
      <w:pPr>
        <w:pStyle w:val="Compact"/>
        <w:numPr>
          <w:ilvl w:val="0"/>
          <w:numId w:val="2270"/>
        </w:numPr>
      </w:pPr>
      <w:r>
        <w:t xml:space="preserve">Member names are case-insensitive.</w:t>
      </w:r>
    </w:p>
    <w:bookmarkEnd w:id="5069"/>
    <w:bookmarkStart w:id="5070" w:name="code-example-35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"MSWC.PageCounter"</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obj.Reset</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70"/>
    <w:bookmarkEnd w:id="5071"/>
    <w:bookmarkStart w:id="5079" w:name="permissionchecker.hasaccess-method"/>
    <w:p>
      <w:pPr>
        <w:pStyle w:val="Heading1"/>
      </w:pPr>
      <w:r>
        <w:t xml:space="preserve">PermissionChecker.HasAccess Method</w:t>
      </w:r>
    </w:p>
    <w:bookmarkStart w:id="5072" w:name="overview-600"/>
    <w:p>
      <w:pPr>
        <w:pStyle w:val="Heading2"/>
      </w:pPr>
      <w:r>
        <w:t xml:space="preserve">Overview</w:t>
      </w:r>
    </w:p>
    <w:p>
      <w:pPr>
        <w:pStyle w:val="FirstParagraph"/>
      </w:pPr>
      <w:r>
        <w:t xml:space="preserve">Calls the HasAccess member on the PermissionChecker compatibility object.</w:t>
      </w:r>
    </w:p>
    <w:bookmarkEnd w:id="5072"/>
    <w:bookmarkStart w:id="5073" w:name="syntax-559"/>
    <w:p>
      <w:pPr>
        <w:pStyle w:val="Heading2"/>
      </w:pPr>
      <w:r>
        <w:t xml:space="preserve">Syntax</w:t>
      </w:r>
    </w:p>
    <w:p>
      <w:pPr>
        <w:pStyle w:val="SourceCode"/>
      </w:pPr>
      <w:r>
        <w:rPr>
          <w:rStyle w:val="NormalTok"/>
        </w:rPr>
        <w:t xml:space="preserve">Dim obj</w:t>
      </w:r>
      <w:r>
        <w:br/>
      </w:r>
      <w:r>
        <w:rPr>
          <w:rStyle w:val="NormalTok"/>
        </w:rPr>
        <w:t xml:space="preserve">Set obj = Server.CreateObject("MSWC.PermissionChecker")</w:t>
      </w:r>
      <w:r>
        <w:br/>
      </w:r>
      <w:r>
        <w:rPr>
          <w:rStyle w:val="NormalTok"/>
        </w:rPr>
        <w:t xml:space="preserve">ok = obj.HasAccess(virtualPath)</w:t>
      </w:r>
    </w:p>
    <w:bookmarkEnd w:id="5073"/>
    <w:bookmarkStart w:id="5074" w:name="parameters-and-arguments-188"/>
    <w:p>
      <w:pPr>
        <w:pStyle w:val="Heading2"/>
      </w:pPr>
      <w:r>
        <w:t xml:space="preserve">Parameters and Arguments</w:t>
      </w:r>
    </w:p>
    <w:p>
      <w:pPr>
        <w:pStyle w:val="Compact"/>
        <w:numPr>
          <w:ilvl w:val="0"/>
          <w:numId w:val="2271"/>
        </w:numPr>
      </w:pPr>
      <w:r>
        <w:t xml:space="preserve">Parameters are validated by runtime dispatch for MSWC.PermissionChecker.</w:t>
      </w:r>
    </w:p>
    <w:p>
      <w:pPr>
        <w:pStyle w:val="Compact"/>
        <w:numPr>
          <w:ilvl w:val="0"/>
          <w:numId w:val="2271"/>
        </w:numPr>
      </w:pPr>
      <w:r>
        <w:t xml:space="preserve">Invalid argument count or incompatible values can raise runtime errors.</w:t>
      </w:r>
    </w:p>
    <w:bookmarkEnd w:id="5074"/>
    <w:bookmarkStart w:id="5075" w:name="return-values-245"/>
    <w:p>
      <w:pPr>
        <w:pStyle w:val="Heading2"/>
      </w:pPr>
      <w:r>
        <w:t xml:space="preserve">Return Values</w:t>
      </w:r>
    </w:p>
    <w:p>
      <w:pPr>
        <w:pStyle w:val="FirstParagraph"/>
      </w:pPr>
      <w:r>
        <w:t xml:space="preserve">Returns a Variant-compatible value according to operation semantics.</w:t>
      </w:r>
    </w:p>
    <w:bookmarkEnd w:id="5075"/>
    <w:bookmarkStart w:id="5076" w:name="remarks-532"/>
    <w:p>
      <w:pPr>
        <w:pStyle w:val="Heading2"/>
      </w:pPr>
      <w:r>
        <w:t xml:space="preserve">Remarks</w:t>
      </w:r>
    </w:p>
    <w:p>
      <w:pPr>
        <w:pStyle w:val="Compact"/>
        <w:numPr>
          <w:ilvl w:val="0"/>
          <w:numId w:val="2272"/>
        </w:numPr>
      </w:pPr>
      <w:r>
        <w:t xml:space="preserve">Returns True when process can open mapped path for reading.</w:t>
      </w:r>
    </w:p>
    <w:p>
      <w:pPr>
        <w:pStyle w:val="Compact"/>
        <w:numPr>
          <w:ilvl w:val="0"/>
          <w:numId w:val="2272"/>
        </w:numPr>
      </w:pPr>
      <w:r>
        <w:t xml:space="preserve">Use Set when assigning object return values.</w:t>
      </w:r>
    </w:p>
    <w:p>
      <w:pPr>
        <w:pStyle w:val="Compact"/>
        <w:numPr>
          <w:ilvl w:val="0"/>
          <w:numId w:val="2272"/>
        </w:numPr>
      </w:pPr>
      <w:r>
        <w:t xml:space="preserve">Member names are case-insensitive.</w:t>
      </w:r>
    </w:p>
    <w:bookmarkEnd w:id="5076"/>
    <w:bookmarkStart w:id="5078" w:name="code-example-35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rPr>
          <w:rStyle w:val="OtherTok"/>
        </w:rPr>
        <w:t xml:space="preserve">,</w:t>
      </w:r>
      <w:r>
        <w:rPr>
          <w:rStyle w:val="NormalTok"/>
        </w:rPr>
        <w:t xml:space="preserve"> result</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"MSWC.PermissionChecker"</w:t>
      </w:r>
      <w:r>
        <w:rPr>
          <w:rStyle w:val="OtherTok"/>
        </w:rPr>
        <w:t xml:space="preserve">)</w:t>
      </w:r>
      <w:r>
        <w:br/>
      </w:r>
      <w:r>
        <w:rPr>
          <w:rStyle w:val="NormalTok"/>
        </w:rPr>
        <w:t xml:space="preserve">result = Empty</w:t>
      </w:r>
      <w:r>
        <w:br/>
      </w:r>
      <w:r>
        <w:rPr>
          <w:rStyle w:val="NormalTok"/>
        </w:rPr>
        <w:t xml:space="preserve">On Error Resume </w:t>
      </w:r>
      <w:r>
        <w:rPr>
          <w:rStyle w:val="ControlFlowTok"/>
        </w:rPr>
        <w:t xml:space="preserve">Next</w:t>
      </w:r>
      <w:r>
        <w:br/>
      </w:r>
      <w:r>
        <w:rPr>
          <w:rStyle w:val="NormalTok"/>
        </w:rPr>
        <w:t xml:space="preserve">result = obj.HasAccess</w:t>
      </w:r>
      <w:r>
        <w:rPr>
          <w:rStyle w:val="OtherTok"/>
        </w:rPr>
        <w:t xml:space="preserve">()</w:t>
      </w:r>
      <w:r>
        <w:br/>
      </w:r>
      <w:r>
        <w:rPr>
          <w:rStyle w:val="NormalTok"/>
        </w:rPr>
        <w:t xml:space="preserve">On Error GoTo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result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Start w:id="5077" w:name="properties-detail-14"/>
    <w:p>
      <w:pPr>
        <w:pStyle w:val="Heading3"/>
      </w:pPr>
      <w:r>
        <w:t xml:space="preserve">Properties Detail</w:t>
      </w:r>
    </w:p>
    <w:bookmarkEnd w:id="5077"/>
    <w:bookmarkEnd w:id="5078"/>
    <w:bookmarkEnd w:id="5079"/>
    <w:bookmarkStart w:id="5086" w:name="adrotator.border-property"/>
    <w:p>
      <w:pPr>
        <w:pStyle w:val="Heading1"/>
      </w:pPr>
      <w:r>
        <w:t xml:space="preserve">AdRotator.Border Property</w:t>
      </w:r>
    </w:p>
    <w:bookmarkStart w:id="5080" w:name="overview-601"/>
    <w:p>
      <w:pPr>
        <w:pStyle w:val="Heading2"/>
      </w:pPr>
      <w:r>
        <w:t xml:space="preserve">Overview</w:t>
      </w:r>
    </w:p>
    <w:p>
      <w:pPr>
        <w:pStyle w:val="FirstParagraph"/>
      </w:pPr>
      <w:r>
        <w:t xml:space="preserve">Reads or writes the Border member on the AdRotator compatibility object.</w:t>
      </w:r>
    </w:p>
    <w:bookmarkEnd w:id="5080"/>
    <w:bookmarkStart w:id="5081" w:name="syntax-560"/>
    <w:p>
      <w:pPr>
        <w:pStyle w:val="Heading2"/>
      </w:pPr>
      <w:r>
        <w:t xml:space="preserve">Syntax</w:t>
      </w:r>
    </w:p>
    <w:p>
      <w:pPr>
        <w:pStyle w:val="SourceCode"/>
      </w:pPr>
      <w:r>
        <w:rPr>
          <w:rStyle w:val="NormalTok"/>
        </w:rPr>
        <w:t xml:space="preserve">Dim obj, value</w:t>
      </w:r>
      <w:r>
        <w:br/>
      </w:r>
      <w:r>
        <w:rPr>
          <w:rStyle w:val="NormalTok"/>
        </w:rPr>
        <w:t xml:space="preserve">Set obj = Server.CreateObject("MSWC.AdRotator")</w:t>
      </w:r>
      <w:r>
        <w:br/>
      </w:r>
      <w:r>
        <w:rPr>
          <w:rStyle w:val="NormalTok"/>
        </w:rPr>
        <w:t xml:space="preserve">value = obj.Border</w:t>
      </w:r>
    </w:p>
    <w:bookmarkEnd w:id="5081"/>
    <w:bookmarkStart w:id="5082" w:name="access"/>
    <w:p>
      <w:pPr>
        <w:pStyle w:val="Heading2"/>
      </w:pPr>
      <w:r>
        <w:t xml:space="preserve">Access</w:t>
      </w:r>
    </w:p>
    <w:p>
      <w:pPr>
        <w:pStyle w:val="FirstParagraph"/>
      </w:pPr>
      <w:r>
        <w:t xml:space="preserve">Read/Write</w:t>
      </w:r>
    </w:p>
    <w:bookmarkEnd w:id="5082"/>
    <w:bookmarkStart w:id="5083" w:name="return-values-246"/>
    <w:p>
      <w:pPr>
        <w:pStyle w:val="Heading2"/>
      </w:pPr>
      <w:r>
        <w:t xml:space="preserve">Return Values</w:t>
      </w:r>
    </w:p>
    <w:p>
      <w:pPr>
        <w:pStyle w:val="FirstParagraph"/>
      </w:pPr>
      <w:r>
        <w:t xml:space="preserve">Returns a Variant-compatible value.</w:t>
      </w:r>
    </w:p>
    <w:bookmarkEnd w:id="5083"/>
    <w:bookmarkStart w:id="5084" w:name="remarks-533"/>
    <w:p>
      <w:pPr>
        <w:pStyle w:val="Heading2"/>
      </w:pPr>
      <w:r>
        <w:t xml:space="preserve">Remarks</w:t>
      </w:r>
    </w:p>
    <w:p>
      <w:pPr>
        <w:pStyle w:val="Compact"/>
        <w:numPr>
          <w:ilvl w:val="0"/>
          <w:numId w:val="2273"/>
        </w:numPr>
      </w:pPr>
      <w:r>
        <w:t xml:space="preserve">Overrides border value used by generated IMG tag.</w:t>
      </w:r>
    </w:p>
    <w:p>
      <w:pPr>
        <w:pStyle w:val="Compact"/>
        <w:numPr>
          <w:ilvl w:val="0"/>
          <w:numId w:val="2273"/>
        </w:numPr>
      </w:pPr>
      <w:r>
        <w:t xml:space="preserve">Property names are case-insensitive.</w:t>
      </w:r>
    </w:p>
    <w:bookmarkEnd w:id="5084"/>
    <w:bookmarkStart w:id="5085" w:name="code-example-35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"MSWC.AdRotator"</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obj.Border</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85"/>
    <w:bookmarkEnd w:id="5086"/>
    <w:bookmarkStart w:id="5093" w:name="adrotator.clickable-property"/>
    <w:p>
      <w:pPr>
        <w:pStyle w:val="Heading1"/>
      </w:pPr>
      <w:r>
        <w:t xml:space="preserve">AdRotator.Clickable Property</w:t>
      </w:r>
    </w:p>
    <w:bookmarkStart w:id="5087" w:name="overview-602"/>
    <w:p>
      <w:pPr>
        <w:pStyle w:val="Heading2"/>
      </w:pPr>
      <w:r>
        <w:t xml:space="preserve">Overview</w:t>
      </w:r>
    </w:p>
    <w:p>
      <w:pPr>
        <w:pStyle w:val="FirstParagraph"/>
      </w:pPr>
      <w:r>
        <w:t xml:space="preserve">Reads or writes the Clickable member on the AdRotator compatibility object.</w:t>
      </w:r>
    </w:p>
    <w:bookmarkEnd w:id="5087"/>
    <w:bookmarkStart w:id="5088" w:name="syntax-561"/>
    <w:p>
      <w:pPr>
        <w:pStyle w:val="Heading2"/>
      </w:pPr>
      <w:r>
        <w:t xml:space="preserve">Syntax</w:t>
      </w:r>
    </w:p>
    <w:p>
      <w:pPr>
        <w:pStyle w:val="SourceCode"/>
      </w:pPr>
      <w:r>
        <w:rPr>
          <w:rStyle w:val="NormalTok"/>
        </w:rPr>
        <w:t xml:space="preserve">Dim obj, value</w:t>
      </w:r>
      <w:r>
        <w:br/>
      </w:r>
      <w:r>
        <w:rPr>
          <w:rStyle w:val="NormalTok"/>
        </w:rPr>
        <w:t xml:space="preserve">Set obj = Server.CreateObject("MSWC.AdRotator")</w:t>
      </w:r>
      <w:r>
        <w:br/>
      </w:r>
      <w:r>
        <w:rPr>
          <w:rStyle w:val="NormalTok"/>
        </w:rPr>
        <w:t xml:space="preserve">value = obj.Clickable</w:t>
      </w:r>
    </w:p>
    <w:bookmarkEnd w:id="5088"/>
    <w:bookmarkStart w:id="5089" w:name="access-1"/>
    <w:p>
      <w:pPr>
        <w:pStyle w:val="Heading2"/>
      </w:pPr>
      <w:r>
        <w:t xml:space="preserve">Access</w:t>
      </w:r>
    </w:p>
    <w:p>
      <w:pPr>
        <w:pStyle w:val="FirstParagraph"/>
      </w:pPr>
      <w:r>
        <w:t xml:space="preserve">Read/Write</w:t>
      </w:r>
    </w:p>
    <w:bookmarkEnd w:id="5089"/>
    <w:bookmarkStart w:id="5090" w:name="return-values-247"/>
    <w:p>
      <w:pPr>
        <w:pStyle w:val="Heading2"/>
      </w:pPr>
      <w:r>
        <w:t xml:space="preserve">Return Values</w:t>
      </w:r>
    </w:p>
    <w:p>
      <w:pPr>
        <w:pStyle w:val="FirstParagraph"/>
      </w:pPr>
      <w:r>
        <w:t xml:space="preserve">Returns a Variant-compatible value.</w:t>
      </w:r>
    </w:p>
    <w:bookmarkEnd w:id="5090"/>
    <w:bookmarkStart w:id="5091" w:name="remarks-534"/>
    <w:p>
      <w:pPr>
        <w:pStyle w:val="Heading2"/>
      </w:pPr>
      <w:r>
        <w:t xml:space="preserve">Remarks</w:t>
      </w:r>
    </w:p>
    <w:p>
      <w:pPr>
        <w:pStyle w:val="Compact"/>
        <w:numPr>
          <w:ilvl w:val="0"/>
          <w:numId w:val="2274"/>
        </w:numPr>
      </w:pPr>
      <w:r>
        <w:t xml:space="preserve">Controls if generated output wraps IMG in anchor tag.</w:t>
      </w:r>
    </w:p>
    <w:p>
      <w:pPr>
        <w:pStyle w:val="Compact"/>
        <w:numPr>
          <w:ilvl w:val="0"/>
          <w:numId w:val="2274"/>
        </w:numPr>
      </w:pPr>
      <w:r>
        <w:t xml:space="preserve">Property names are case-insensitive.</w:t>
      </w:r>
    </w:p>
    <w:bookmarkEnd w:id="5091"/>
    <w:bookmarkStart w:id="5092" w:name="code-example-35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"MSWC.AdRotator"</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obj.Clickable</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92"/>
    <w:bookmarkEnd w:id="5093"/>
    <w:bookmarkStart w:id="5100" w:name="adrotator.targetframe-property"/>
    <w:p>
      <w:pPr>
        <w:pStyle w:val="Heading1"/>
      </w:pPr>
      <w:r>
        <w:t xml:space="preserve">AdRotator.TargetFrame Property</w:t>
      </w:r>
    </w:p>
    <w:bookmarkStart w:id="5094" w:name="overview-603"/>
    <w:p>
      <w:pPr>
        <w:pStyle w:val="Heading2"/>
      </w:pPr>
      <w:r>
        <w:t xml:space="preserve">Overview</w:t>
      </w:r>
    </w:p>
    <w:p>
      <w:pPr>
        <w:pStyle w:val="FirstParagraph"/>
      </w:pPr>
      <w:r>
        <w:t xml:space="preserve">Reads or writes the TargetFrame member on the AdRotator compatibility object.</w:t>
      </w:r>
    </w:p>
    <w:bookmarkEnd w:id="5094"/>
    <w:bookmarkStart w:id="5095" w:name="syntax-562"/>
    <w:p>
      <w:pPr>
        <w:pStyle w:val="Heading2"/>
      </w:pPr>
      <w:r>
        <w:t xml:space="preserve">Syntax</w:t>
      </w:r>
    </w:p>
    <w:p>
      <w:pPr>
        <w:pStyle w:val="SourceCode"/>
      </w:pPr>
      <w:r>
        <w:rPr>
          <w:rStyle w:val="NormalTok"/>
        </w:rPr>
        <w:t xml:space="preserve">Dim obj, value</w:t>
      </w:r>
      <w:r>
        <w:br/>
      </w:r>
      <w:r>
        <w:rPr>
          <w:rStyle w:val="NormalTok"/>
        </w:rPr>
        <w:t xml:space="preserve">Set obj = Server.CreateObject("MSWC.AdRotator")</w:t>
      </w:r>
      <w:r>
        <w:br/>
      </w:r>
      <w:r>
        <w:rPr>
          <w:rStyle w:val="NormalTok"/>
        </w:rPr>
        <w:t xml:space="preserve">value = obj.TargetFrame</w:t>
      </w:r>
    </w:p>
    <w:bookmarkEnd w:id="5095"/>
    <w:bookmarkStart w:id="5096" w:name="access-2"/>
    <w:p>
      <w:pPr>
        <w:pStyle w:val="Heading2"/>
      </w:pPr>
      <w:r>
        <w:t xml:space="preserve">Access</w:t>
      </w:r>
    </w:p>
    <w:p>
      <w:pPr>
        <w:pStyle w:val="FirstParagraph"/>
      </w:pPr>
      <w:r>
        <w:t xml:space="preserve">Read/Write</w:t>
      </w:r>
    </w:p>
    <w:bookmarkEnd w:id="5096"/>
    <w:bookmarkStart w:id="5097" w:name="return-values-248"/>
    <w:p>
      <w:pPr>
        <w:pStyle w:val="Heading2"/>
      </w:pPr>
      <w:r>
        <w:t xml:space="preserve">Return Values</w:t>
      </w:r>
    </w:p>
    <w:p>
      <w:pPr>
        <w:pStyle w:val="FirstParagraph"/>
      </w:pPr>
      <w:r>
        <w:t xml:space="preserve">Returns a Variant-compatible value.</w:t>
      </w:r>
    </w:p>
    <w:bookmarkEnd w:id="5097"/>
    <w:bookmarkStart w:id="5098" w:name="remarks-535"/>
    <w:p>
      <w:pPr>
        <w:pStyle w:val="Heading2"/>
      </w:pPr>
      <w:r>
        <w:t xml:space="preserve">Remarks</w:t>
      </w:r>
    </w:p>
    <w:p>
      <w:pPr>
        <w:pStyle w:val="Compact"/>
        <w:numPr>
          <w:ilvl w:val="0"/>
          <w:numId w:val="2275"/>
        </w:numPr>
      </w:pPr>
      <w:r>
        <w:t xml:space="preserve">Sets optional target frame on generated anchor element.</w:t>
      </w:r>
    </w:p>
    <w:p>
      <w:pPr>
        <w:pStyle w:val="Compact"/>
        <w:numPr>
          <w:ilvl w:val="0"/>
          <w:numId w:val="2275"/>
        </w:numPr>
      </w:pPr>
      <w:r>
        <w:t xml:space="preserve">Property names are case-insensitive.</w:t>
      </w:r>
    </w:p>
    <w:bookmarkEnd w:id="5098"/>
    <w:bookmarkStart w:id="5099" w:name="code-example-36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"MSWC.AdRotator"</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obj.TargetFrame</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099"/>
    <w:bookmarkEnd w:id="5100"/>
    <w:bookmarkStart w:id="5107" w:name="browsertype.browser-property"/>
    <w:p>
      <w:pPr>
        <w:pStyle w:val="Heading1"/>
      </w:pPr>
      <w:r>
        <w:t xml:space="preserve">BrowserType.Browser Property</w:t>
      </w:r>
    </w:p>
    <w:bookmarkStart w:id="5101" w:name="overview-604"/>
    <w:p>
      <w:pPr>
        <w:pStyle w:val="Heading2"/>
      </w:pPr>
      <w:r>
        <w:t xml:space="preserve">Overview</w:t>
      </w:r>
    </w:p>
    <w:p>
      <w:pPr>
        <w:pStyle w:val="FirstParagraph"/>
      </w:pPr>
      <w:r>
        <w:t xml:space="preserve">Reads or writes the Browser member on the BrowserType compatibility object.</w:t>
      </w:r>
    </w:p>
    <w:bookmarkEnd w:id="5101"/>
    <w:bookmarkStart w:id="5102" w:name="syntax-563"/>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obj.Browser</w:t>
      </w:r>
    </w:p>
    <w:bookmarkEnd w:id="5102"/>
    <w:bookmarkStart w:id="5103" w:name="access-3"/>
    <w:p>
      <w:pPr>
        <w:pStyle w:val="Heading2"/>
      </w:pPr>
      <w:r>
        <w:t xml:space="preserve">Access</w:t>
      </w:r>
    </w:p>
    <w:p>
      <w:pPr>
        <w:pStyle w:val="FirstParagraph"/>
      </w:pPr>
      <w:r>
        <w:t xml:space="preserve">Read Only</w:t>
      </w:r>
    </w:p>
    <w:bookmarkEnd w:id="5103"/>
    <w:bookmarkStart w:id="5104" w:name="return-values-249"/>
    <w:p>
      <w:pPr>
        <w:pStyle w:val="Heading2"/>
      </w:pPr>
      <w:r>
        <w:t xml:space="preserve">Return Values</w:t>
      </w:r>
    </w:p>
    <w:p>
      <w:pPr>
        <w:pStyle w:val="FirstParagraph"/>
      </w:pPr>
      <w:r>
        <w:t xml:space="preserve">Returns a Variant-compatible value.</w:t>
      </w:r>
    </w:p>
    <w:bookmarkEnd w:id="5104"/>
    <w:bookmarkStart w:id="5105" w:name="remarks-536"/>
    <w:p>
      <w:pPr>
        <w:pStyle w:val="Heading2"/>
      </w:pPr>
      <w:r>
        <w:t xml:space="preserve">Remarks</w:t>
      </w:r>
    </w:p>
    <w:p>
      <w:pPr>
        <w:pStyle w:val="Compact"/>
        <w:numPr>
          <w:ilvl w:val="0"/>
          <w:numId w:val="2276"/>
        </w:numPr>
      </w:pPr>
      <w:r>
        <w:t xml:space="preserve">Detected browser family name.</w:t>
      </w:r>
    </w:p>
    <w:p>
      <w:pPr>
        <w:pStyle w:val="Compact"/>
        <w:numPr>
          <w:ilvl w:val="0"/>
          <w:numId w:val="2276"/>
        </w:numPr>
      </w:pPr>
      <w:r>
        <w:t xml:space="preserve">Property names are case-insensitive.</w:t>
      </w:r>
    </w:p>
    <w:bookmarkEnd w:id="5105"/>
    <w:bookmarkStart w:id="5106" w:name="code-example-36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obj.Browser</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06"/>
    <w:bookmarkEnd w:id="5107"/>
    <w:bookmarkStart w:id="5114" w:name="browsertype.version-property"/>
    <w:p>
      <w:pPr>
        <w:pStyle w:val="Heading1"/>
      </w:pPr>
      <w:r>
        <w:t xml:space="preserve">BrowserType.Version Property</w:t>
      </w:r>
    </w:p>
    <w:bookmarkStart w:id="5108" w:name="overview-605"/>
    <w:p>
      <w:pPr>
        <w:pStyle w:val="Heading2"/>
      </w:pPr>
      <w:r>
        <w:t xml:space="preserve">Overview</w:t>
      </w:r>
    </w:p>
    <w:p>
      <w:pPr>
        <w:pStyle w:val="FirstParagraph"/>
      </w:pPr>
      <w:r>
        <w:t xml:space="preserve">Reads or writes the Version member on the BrowserType compatibility object.</w:t>
      </w:r>
    </w:p>
    <w:bookmarkEnd w:id="5108"/>
    <w:bookmarkStart w:id="5109" w:name="syntax-564"/>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obj.Version</w:t>
      </w:r>
    </w:p>
    <w:bookmarkEnd w:id="5109"/>
    <w:bookmarkStart w:id="5110" w:name="access-4"/>
    <w:p>
      <w:pPr>
        <w:pStyle w:val="Heading2"/>
      </w:pPr>
      <w:r>
        <w:t xml:space="preserve">Access</w:t>
      </w:r>
    </w:p>
    <w:p>
      <w:pPr>
        <w:pStyle w:val="FirstParagraph"/>
      </w:pPr>
      <w:r>
        <w:t xml:space="preserve">Read Only</w:t>
      </w:r>
    </w:p>
    <w:bookmarkEnd w:id="5110"/>
    <w:bookmarkStart w:id="5111" w:name="return-values-250"/>
    <w:p>
      <w:pPr>
        <w:pStyle w:val="Heading2"/>
      </w:pPr>
      <w:r>
        <w:t xml:space="preserve">Return Values</w:t>
      </w:r>
    </w:p>
    <w:p>
      <w:pPr>
        <w:pStyle w:val="FirstParagraph"/>
      </w:pPr>
      <w:r>
        <w:t xml:space="preserve">Returns a Variant-compatible value.</w:t>
      </w:r>
    </w:p>
    <w:bookmarkEnd w:id="5111"/>
    <w:bookmarkStart w:id="5112" w:name="remarks-537"/>
    <w:p>
      <w:pPr>
        <w:pStyle w:val="Heading2"/>
      </w:pPr>
      <w:r>
        <w:t xml:space="preserve">Remarks</w:t>
      </w:r>
    </w:p>
    <w:p>
      <w:pPr>
        <w:pStyle w:val="Compact"/>
        <w:numPr>
          <w:ilvl w:val="0"/>
          <w:numId w:val="2277"/>
        </w:numPr>
      </w:pPr>
      <w:r>
        <w:t xml:space="preserve">Detected browser version string.</w:t>
      </w:r>
    </w:p>
    <w:p>
      <w:pPr>
        <w:pStyle w:val="Compact"/>
        <w:numPr>
          <w:ilvl w:val="0"/>
          <w:numId w:val="2277"/>
        </w:numPr>
      </w:pPr>
      <w:r>
        <w:t xml:space="preserve">Property names are case-insensitive.</w:t>
      </w:r>
    </w:p>
    <w:bookmarkEnd w:id="5112"/>
    <w:bookmarkStart w:id="5113" w:name="code-example-36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obj.Version</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13"/>
    <w:bookmarkEnd w:id="5114"/>
    <w:bookmarkStart w:id="5121" w:name="browsertype.majorver-property"/>
    <w:p>
      <w:pPr>
        <w:pStyle w:val="Heading1"/>
      </w:pPr>
      <w:r>
        <w:t xml:space="preserve">BrowserType.MajorVer Property</w:t>
      </w:r>
    </w:p>
    <w:bookmarkStart w:id="5115" w:name="overview-606"/>
    <w:p>
      <w:pPr>
        <w:pStyle w:val="Heading2"/>
      </w:pPr>
      <w:r>
        <w:t xml:space="preserve">Overview</w:t>
      </w:r>
    </w:p>
    <w:p>
      <w:pPr>
        <w:pStyle w:val="FirstParagraph"/>
      </w:pPr>
      <w:r>
        <w:t xml:space="preserve">Reads or writes the MajorVer member on the BrowserType compatibility object.</w:t>
      </w:r>
    </w:p>
    <w:bookmarkEnd w:id="5115"/>
    <w:bookmarkStart w:id="5116" w:name="syntax-565"/>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obj.MajorVer</w:t>
      </w:r>
    </w:p>
    <w:bookmarkEnd w:id="5116"/>
    <w:bookmarkStart w:id="5117" w:name="access-5"/>
    <w:p>
      <w:pPr>
        <w:pStyle w:val="Heading2"/>
      </w:pPr>
      <w:r>
        <w:t xml:space="preserve">Access</w:t>
      </w:r>
    </w:p>
    <w:p>
      <w:pPr>
        <w:pStyle w:val="FirstParagraph"/>
      </w:pPr>
      <w:r>
        <w:t xml:space="preserve">Read Only</w:t>
      </w:r>
    </w:p>
    <w:bookmarkEnd w:id="5117"/>
    <w:bookmarkStart w:id="5118" w:name="return-values-251"/>
    <w:p>
      <w:pPr>
        <w:pStyle w:val="Heading2"/>
      </w:pPr>
      <w:r>
        <w:t xml:space="preserve">Return Values</w:t>
      </w:r>
    </w:p>
    <w:p>
      <w:pPr>
        <w:pStyle w:val="FirstParagraph"/>
      </w:pPr>
      <w:r>
        <w:t xml:space="preserve">Returns a Variant-compatible value.</w:t>
      </w:r>
    </w:p>
    <w:bookmarkEnd w:id="5118"/>
    <w:bookmarkStart w:id="5119" w:name="remarks-538"/>
    <w:p>
      <w:pPr>
        <w:pStyle w:val="Heading2"/>
      </w:pPr>
      <w:r>
        <w:t xml:space="preserve">Remarks</w:t>
      </w:r>
    </w:p>
    <w:p>
      <w:pPr>
        <w:pStyle w:val="Compact"/>
        <w:numPr>
          <w:ilvl w:val="0"/>
          <w:numId w:val="2278"/>
        </w:numPr>
      </w:pPr>
      <w:r>
        <w:t xml:space="preserve">Detected major version string.</w:t>
      </w:r>
    </w:p>
    <w:p>
      <w:pPr>
        <w:pStyle w:val="Compact"/>
        <w:numPr>
          <w:ilvl w:val="0"/>
          <w:numId w:val="2278"/>
        </w:numPr>
      </w:pPr>
      <w:r>
        <w:t xml:space="preserve">Property names are case-insensitive.</w:t>
      </w:r>
    </w:p>
    <w:bookmarkEnd w:id="5119"/>
    <w:bookmarkStart w:id="5120" w:name="code-example-36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obj.MajorVer</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20"/>
    <w:bookmarkEnd w:id="5121"/>
    <w:bookmarkStart w:id="5128" w:name="browsertype.minorver-property"/>
    <w:p>
      <w:pPr>
        <w:pStyle w:val="Heading1"/>
      </w:pPr>
      <w:r>
        <w:t xml:space="preserve">BrowserType.MinorVer Property</w:t>
      </w:r>
    </w:p>
    <w:bookmarkStart w:id="5122" w:name="overview-607"/>
    <w:p>
      <w:pPr>
        <w:pStyle w:val="Heading2"/>
      </w:pPr>
      <w:r>
        <w:t xml:space="preserve">Overview</w:t>
      </w:r>
    </w:p>
    <w:p>
      <w:pPr>
        <w:pStyle w:val="FirstParagraph"/>
      </w:pPr>
      <w:r>
        <w:t xml:space="preserve">Reads or writes the MinorVer member on the BrowserType compatibility object.</w:t>
      </w:r>
    </w:p>
    <w:bookmarkEnd w:id="5122"/>
    <w:bookmarkStart w:id="5123" w:name="syntax-566"/>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obj.MinorVer</w:t>
      </w:r>
    </w:p>
    <w:bookmarkEnd w:id="5123"/>
    <w:bookmarkStart w:id="5124" w:name="access-6"/>
    <w:p>
      <w:pPr>
        <w:pStyle w:val="Heading2"/>
      </w:pPr>
      <w:r>
        <w:t xml:space="preserve">Access</w:t>
      </w:r>
    </w:p>
    <w:p>
      <w:pPr>
        <w:pStyle w:val="FirstParagraph"/>
      </w:pPr>
      <w:r>
        <w:t xml:space="preserve">Read Only</w:t>
      </w:r>
    </w:p>
    <w:bookmarkEnd w:id="5124"/>
    <w:bookmarkStart w:id="5125" w:name="return-values-252"/>
    <w:p>
      <w:pPr>
        <w:pStyle w:val="Heading2"/>
      </w:pPr>
      <w:r>
        <w:t xml:space="preserve">Return Values</w:t>
      </w:r>
    </w:p>
    <w:p>
      <w:pPr>
        <w:pStyle w:val="FirstParagraph"/>
      </w:pPr>
      <w:r>
        <w:t xml:space="preserve">Returns a Variant-compatible value.</w:t>
      </w:r>
    </w:p>
    <w:bookmarkEnd w:id="5125"/>
    <w:bookmarkStart w:id="5126" w:name="remarks-539"/>
    <w:p>
      <w:pPr>
        <w:pStyle w:val="Heading2"/>
      </w:pPr>
      <w:r>
        <w:t xml:space="preserve">Remarks</w:t>
      </w:r>
    </w:p>
    <w:p>
      <w:pPr>
        <w:pStyle w:val="Compact"/>
        <w:numPr>
          <w:ilvl w:val="0"/>
          <w:numId w:val="2279"/>
        </w:numPr>
      </w:pPr>
      <w:r>
        <w:t xml:space="preserve">Detected minor version string.</w:t>
      </w:r>
    </w:p>
    <w:p>
      <w:pPr>
        <w:pStyle w:val="Compact"/>
        <w:numPr>
          <w:ilvl w:val="0"/>
          <w:numId w:val="2279"/>
        </w:numPr>
      </w:pPr>
      <w:r>
        <w:t xml:space="preserve">Property names are case-insensitive.</w:t>
      </w:r>
    </w:p>
    <w:bookmarkEnd w:id="5126"/>
    <w:bookmarkStart w:id="5127" w:name="code-example-36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obj.MinorVer</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27"/>
    <w:bookmarkEnd w:id="5128"/>
    <w:bookmarkStart w:id="5135" w:name="browsertype.frames-property"/>
    <w:p>
      <w:pPr>
        <w:pStyle w:val="Heading1"/>
      </w:pPr>
      <w:r>
        <w:t xml:space="preserve">BrowserType.Frames Property</w:t>
      </w:r>
    </w:p>
    <w:bookmarkStart w:id="5129" w:name="overview-608"/>
    <w:p>
      <w:pPr>
        <w:pStyle w:val="Heading2"/>
      </w:pPr>
      <w:r>
        <w:t xml:space="preserve">Overview</w:t>
      </w:r>
    </w:p>
    <w:p>
      <w:pPr>
        <w:pStyle w:val="FirstParagraph"/>
      </w:pPr>
      <w:r>
        <w:t xml:space="preserve">Reads or writes the Frames member on the BrowserType compatibility object.</w:t>
      </w:r>
    </w:p>
    <w:bookmarkEnd w:id="5129"/>
    <w:bookmarkStart w:id="5130" w:name="syntax-567"/>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obj.Frames</w:t>
      </w:r>
    </w:p>
    <w:bookmarkEnd w:id="5130"/>
    <w:bookmarkStart w:id="5131" w:name="access-7"/>
    <w:p>
      <w:pPr>
        <w:pStyle w:val="Heading2"/>
      </w:pPr>
      <w:r>
        <w:t xml:space="preserve">Access</w:t>
      </w:r>
    </w:p>
    <w:p>
      <w:pPr>
        <w:pStyle w:val="FirstParagraph"/>
      </w:pPr>
      <w:r>
        <w:t xml:space="preserve">Read Only</w:t>
      </w:r>
    </w:p>
    <w:bookmarkEnd w:id="5131"/>
    <w:bookmarkStart w:id="5132" w:name="return-values-253"/>
    <w:p>
      <w:pPr>
        <w:pStyle w:val="Heading2"/>
      </w:pPr>
      <w:r>
        <w:t xml:space="preserve">Return Values</w:t>
      </w:r>
    </w:p>
    <w:p>
      <w:pPr>
        <w:pStyle w:val="FirstParagraph"/>
      </w:pPr>
      <w:r>
        <w:t xml:space="preserve">Returns a Variant-compatible value.</w:t>
      </w:r>
    </w:p>
    <w:bookmarkEnd w:id="5132"/>
    <w:bookmarkStart w:id="5133" w:name="remarks-540"/>
    <w:p>
      <w:pPr>
        <w:pStyle w:val="Heading2"/>
      </w:pPr>
      <w:r>
        <w:t xml:space="preserve">Remarks</w:t>
      </w:r>
    </w:p>
    <w:p>
      <w:pPr>
        <w:pStyle w:val="Compact"/>
        <w:numPr>
          <w:ilvl w:val="0"/>
          <w:numId w:val="2280"/>
        </w:numPr>
      </w:pPr>
      <w:r>
        <w:t xml:space="preserve">Indicates frames capability.</w:t>
      </w:r>
    </w:p>
    <w:p>
      <w:pPr>
        <w:pStyle w:val="Compact"/>
        <w:numPr>
          <w:ilvl w:val="0"/>
          <w:numId w:val="2280"/>
        </w:numPr>
      </w:pPr>
      <w:r>
        <w:t xml:space="preserve">Property names are case-insensitive.</w:t>
      </w:r>
    </w:p>
    <w:bookmarkEnd w:id="5133"/>
    <w:bookmarkStart w:id="5134" w:name="code-example-36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obj.Frames</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34"/>
    <w:bookmarkEnd w:id="5135"/>
    <w:bookmarkStart w:id="5142" w:name="browsertype.tables-property"/>
    <w:p>
      <w:pPr>
        <w:pStyle w:val="Heading1"/>
      </w:pPr>
      <w:r>
        <w:t xml:space="preserve">BrowserType.Tables Property</w:t>
      </w:r>
    </w:p>
    <w:bookmarkStart w:id="5136" w:name="overview-609"/>
    <w:p>
      <w:pPr>
        <w:pStyle w:val="Heading2"/>
      </w:pPr>
      <w:r>
        <w:t xml:space="preserve">Overview</w:t>
      </w:r>
    </w:p>
    <w:p>
      <w:pPr>
        <w:pStyle w:val="FirstParagraph"/>
      </w:pPr>
      <w:r>
        <w:t xml:space="preserve">Reads or writes the Tables member on the BrowserType compatibility object.</w:t>
      </w:r>
    </w:p>
    <w:bookmarkEnd w:id="5136"/>
    <w:bookmarkStart w:id="5137" w:name="syntax-568"/>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obj.Tables</w:t>
      </w:r>
    </w:p>
    <w:bookmarkEnd w:id="5137"/>
    <w:bookmarkStart w:id="5138" w:name="access-8"/>
    <w:p>
      <w:pPr>
        <w:pStyle w:val="Heading2"/>
      </w:pPr>
      <w:r>
        <w:t xml:space="preserve">Access</w:t>
      </w:r>
    </w:p>
    <w:p>
      <w:pPr>
        <w:pStyle w:val="FirstParagraph"/>
      </w:pPr>
      <w:r>
        <w:t xml:space="preserve">Read Only</w:t>
      </w:r>
    </w:p>
    <w:bookmarkEnd w:id="5138"/>
    <w:bookmarkStart w:id="5139" w:name="return-values-254"/>
    <w:p>
      <w:pPr>
        <w:pStyle w:val="Heading2"/>
      </w:pPr>
      <w:r>
        <w:t xml:space="preserve">Return Values</w:t>
      </w:r>
    </w:p>
    <w:p>
      <w:pPr>
        <w:pStyle w:val="FirstParagraph"/>
      </w:pPr>
      <w:r>
        <w:t xml:space="preserve">Returns a Variant-compatible value.</w:t>
      </w:r>
    </w:p>
    <w:bookmarkEnd w:id="5139"/>
    <w:bookmarkStart w:id="5140" w:name="remarks-541"/>
    <w:p>
      <w:pPr>
        <w:pStyle w:val="Heading2"/>
      </w:pPr>
      <w:r>
        <w:t xml:space="preserve">Remarks</w:t>
      </w:r>
    </w:p>
    <w:p>
      <w:pPr>
        <w:pStyle w:val="Compact"/>
        <w:numPr>
          <w:ilvl w:val="0"/>
          <w:numId w:val="2281"/>
        </w:numPr>
      </w:pPr>
      <w:r>
        <w:t xml:space="preserve">Indicates tables capability.</w:t>
      </w:r>
    </w:p>
    <w:p>
      <w:pPr>
        <w:pStyle w:val="Compact"/>
        <w:numPr>
          <w:ilvl w:val="0"/>
          <w:numId w:val="2281"/>
        </w:numPr>
      </w:pPr>
      <w:r>
        <w:t xml:space="preserve">Property names are case-insensitive.</w:t>
      </w:r>
    </w:p>
    <w:bookmarkEnd w:id="5140"/>
    <w:bookmarkStart w:id="5141" w:name="code-example-36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obj.Tables</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41"/>
    <w:bookmarkEnd w:id="5142"/>
    <w:bookmarkStart w:id="5149" w:name="browsertype.cookies-property"/>
    <w:p>
      <w:pPr>
        <w:pStyle w:val="Heading1"/>
      </w:pPr>
      <w:r>
        <w:t xml:space="preserve">BrowserType.Cookies Property</w:t>
      </w:r>
    </w:p>
    <w:bookmarkStart w:id="5143" w:name="overview-610"/>
    <w:p>
      <w:pPr>
        <w:pStyle w:val="Heading2"/>
      </w:pPr>
      <w:r>
        <w:t xml:space="preserve">Overview</w:t>
      </w:r>
    </w:p>
    <w:p>
      <w:pPr>
        <w:pStyle w:val="FirstParagraph"/>
      </w:pPr>
      <w:r>
        <w:t xml:space="preserve">Reads or writes the Cookies member on the BrowserType compatibility object.</w:t>
      </w:r>
    </w:p>
    <w:bookmarkEnd w:id="5143"/>
    <w:bookmarkStart w:id="5144" w:name="syntax-569"/>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obj.Cookies</w:t>
      </w:r>
    </w:p>
    <w:bookmarkEnd w:id="5144"/>
    <w:bookmarkStart w:id="5145" w:name="access-9"/>
    <w:p>
      <w:pPr>
        <w:pStyle w:val="Heading2"/>
      </w:pPr>
      <w:r>
        <w:t xml:space="preserve">Access</w:t>
      </w:r>
    </w:p>
    <w:p>
      <w:pPr>
        <w:pStyle w:val="FirstParagraph"/>
      </w:pPr>
      <w:r>
        <w:t xml:space="preserve">Read Only</w:t>
      </w:r>
    </w:p>
    <w:bookmarkEnd w:id="5145"/>
    <w:bookmarkStart w:id="5146" w:name="return-values-255"/>
    <w:p>
      <w:pPr>
        <w:pStyle w:val="Heading2"/>
      </w:pPr>
      <w:r>
        <w:t xml:space="preserve">Return Values</w:t>
      </w:r>
    </w:p>
    <w:p>
      <w:pPr>
        <w:pStyle w:val="FirstParagraph"/>
      </w:pPr>
      <w:r>
        <w:t xml:space="preserve">Returns a Variant-compatible value.</w:t>
      </w:r>
    </w:p>
    <w:bookmarkEnd w:id="5146"/>
    <w:bookmarkStart w:id="5147" w:name="remarks-542"/>
    <w:p>
      <w:pPr>
        <w:pStyle w:val="Heading2"/>
      </w:pPr>
      <w:r>
        <w:t xml:space="preserve">Remarks</w:t>
      </w:r>
    </w:p>
    <w:p>
      <w:pPr>
        <w:pStyle w:val="Compact"/>
        <w:numPr>
          <w:ilvl w:val="0"/>
          <w:numId w:val="2282"/>
        </w:numPr>
      </w:pPr>
      <w:r>
        <w:t xml:space="preserve">Indicates cookies capability.</w:t>
      </w:r>
    </w:p>
    <w:p>
      <w:pPr>
        <w:pStyle w:val="Compact"/>
        <w:numPr>
          <w:ilvl w:val="0"/>
          <w:numId w:val="2282"/>
        </w:numPr>
      </w:pPr>
      <w:r>
        <w:t xml:space="preserve">Property names are case-insensitive.</w:t>
      </w:r>
    </w:p>
    <w:bookmarkEnd w:id="5147"/>
    <w:bookmarkStart w:id="5148" w:name="code-example-36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w:t>
      </w:r>
      <w:r>
        <w:rPr>
          <w:rStyle w:val="FunctionTok"/>
        </w:rPr>
        <w:t xml:space="preserve">Cookies</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48"/>
    <w:bookmarkEnd w:id="5149"/>
    <w:bookmarkStart w:id="5156" w:name="browsertype.backgroundsounds-property"/>
    <w:p>
      <w:pPr>
        <w:pStyle w:val="Heading1"/>
      </w:pPr>
      <w:r>
        <w:t xml:space="preserve">BrowserType.BackgroundSounds Property</w:t>
      </w:r>
    </w:p>
    <w:bookmarkStart w:id="5150" w:name="overview-611"/>
    <w:p>
      <w:pPr>
        <w:pStyle w:val="Heading2"/>
      </w:pPr>
      <w:r>
        <w:t xml:space="preserve">Overview</w:t>
      </w:r>
    </w:p>
    <w:p>
      <w:pPr>
        <w:pStyle w:val="FirstParagraph"/>
      </w:pPr>
      <w:r>
        <w:t xml:space="preserve">Reads or writes the BackgroundSounds member on the BrowserType compatibility object.</w:t>
      </w:r>
    </w:p>
    <w:bookmarkEnd w:id="5150"/>
    <w:bookmarkStart w:id="5151" w:name="syntax-570"/>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obj.BackgroundSounds</w:t>
      </w:r>
    </w:p>
    <w:bookmarkEnd w:id="5151"/>
    <w:bookmarkStart w:id="5152" w:name="access-10"/>
    <w:p>
      <w:pPr>
        <w:pStyle w:val="Heading2"/>
      </w:pPr>
      <w:r>
        <w:t xml:space="preserve">Access</w:t>
      </w:r>
    </w:p>
    <w:p>
      <w:pPr>
        <w:pStyle w:val="FirstParagraph"/>
      </w:pPr>
      <w:r>
        <w:t xml:space="preserve">Read Only</w:t>
      </w:r>
    </w:p>
    <w:bookmarkEnd w:id="5152"/>
    <w:bookmarkStart w:id="5153" w:name="return-values-256"/>
    <w:p>
      <w:pPr>
        <w:pStyle w:val="Heading2"/>
      </w:pPr>
      <w:r>
        <w:t xml:space="preserve">Return Values</w:t>
      </w:r>
    </w:p>
    <w:p>
      <w:pPr>
        <w:pStyle w:val="FirstParagraph"/>
      </w:pPr>
      <w:r>
        <w:t xml:space="preserve">Returns a Variant-compatible value.</w:t>
      </w:r>
    </w:p>
    <w:bookmarkEnd w:id="5153"/>
    <w:bookmarkStart w:id="5154" w:name="remarks-543"/>
    <w:p>
      <w:pPr>
        <w:pStyle w:val="Heading2"/>
      </w:pPr>
      <w:r>
        <w:t xml:space="preserve">Remarks</w:t>
      </w:r>
    </w:p>
    <w:p>
      <w:pPr>
        <w:pStyle w:val="Compact"/>
        <w:numPr>
          <w:ilvl w:val="0"/>
          <w:numId w:val="2283"/>
        </w:numPr>
      </w:pPr>
      <w:r>
        <w:t xml:space="preserve">Indicates background sound capability.</w:t>
      </w:r>
    </w:p>
    <w:p>
      <w:pPr>
        <w:pStyle w:val="Compact"/>
        <w:numPr>
          <w:ilvl w:val="0"/>
          <w:numId w:val="2283"/>
        </w:numPr>
      </w:pPr>
      <w:r>
        <w:t xml:space="preserve">Property names are case-insensitive.</w:t>
      </w:r>
    </w:p>
    <w:bookmarkEnd w:id="5154"/>
    <w:bookmarkStart w:id="5155" w:name="code-example-36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obj.BackgroundSounds</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55"/>
    <w:bookmarkEnd w:id="5156"/>
    <w:bookmarkStart w:id="5163" w:name="browsertype.vbscript-property"/>
    <w:p>
      <w:pPr>
        <w:pStyle w:val="Heading1"/>
      </w:pPr>
      <w:r>
        <w:t xml:space="preserve">BrowserType.VBScript Property</w:t>
      </w:r>
    </w:p>
    <w:bookmarkStart w:id="5157" w:name="overview-612"/>
    <w:p>
      <w:pPr>
        <w:pStyle w:val="Heading2"/>
      </w:pPr>
      <w:r>
        <w:t xml:space="preserve">Overview</w:t>
      </w:r>
    </w:p>
    <w:p>
      <w:pPr>
        <w:pStyle w:val="FirstParagraph"/>
      </w:pPr>
      <w:r>
        <w:t xml:space="preserve">Reads or writes the VBScript member on the BrowserType compatibility object.</w:t>
      </w:r>
    </w:p>
    <w:bookmarkEnd w:id="5157"/>
    <w:bookmarkStart w:id="5158" w:name="syntax-571"/>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obj.VBScript</w:t>
      </w:r>
    </w:p>
    <w:bookmarkEnd w:id="5158"/>
    <w:bookmarkStart w:id="5159" w:name="access-11"/>
    <w:p>
      <w:pPr>
        <w:pStyle w:val="Heading2"/>
      </w:pPr>
      <w:r>
        <w:t xml:space="preserve">Access</w:t>
      </w:r>
    </w:p>
    <w:p>
      <w:pPr>
        <w:pStyle w:val="FirstParagraph"/>
      </w:pPr>
      <w:r>
        <w:t xml:space="preserve">Read Only</w:t>
      </w:r>
    </w:p>
    <w:bookmarkEnd w:id="5159"/>
    <w:bookmarkStart w:id="5160" w:name="return-values-257"/>
    <w:p>
      <w:pPr>
        <w:pStyle w:val="Heading2"/>
      </w:pPr>
      <w:r>
        <w:t xml:space="preserve">Return Values</w:t>
      </w:r>
    </w:p>
    <w:p>
      <w:pPr>
        <w:pStyle w:val="FirstParagraph"/>
      </w:pPr>
      <w:r>
        <w:t xml:space="preserve">Returns a Variant-compatible value.</w:t>
      </w:r>
    </w:p>
    <w:bookmarkEnd w:id="5160"/>
    <w:bookmarkStart w:id="5161" w:name="remarks-544"/>
    <w:p>
      <w:pPr>
        <w:pStyle w:val="Heading2"/>
      </w:pPr>
      <w:r>
        <w:t xml:space="preserve">Remarks</w:t>
      </w:r>
    </w:p>
    <w:p>
      <w:pPr>
        <w:pStyle w:val="Compact"/>
        <w:numPr>
          <w:ilvl w:val="0"/>
          <w:numId w:val="2284"/>
        </w:numPr>
      </w:pPr>
      <w:r>
        <w:t xml:space="preserve">Indicates VBScript support capability.</w:t>
      </w:r>
    </w:p>
    <w:p>
      <w:pPr>
        <w:pStyle w:val="Compact"/>
        <w:numPr>
          <w:ilvl w:val="0"/>
          <w:numId w:val="2284"/>
        </w:numPr>
      </w:pPr>
      <w:r>
        <w:t xml:space="preserve">Property names are case-insensitive.</w:t>
      </w:r>
    </w:p>
    <w:bookmarkEnd w:id="5161"/>
    <w:bookmarkStart w:id="5162" w:name="code-example-36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obj.VBScript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62"/>
    <w:bookmarkEnd w:id="5163"/>
    <w:bookmarkStart w:id="5170" w:name="browsertype.javascript-property"/>
    <w:p>
      <w:pPr>
        <w:pStyle w:val="Heading1"/>
      </w:pPr>
      <w:r>
        <w:t xml:space="preserve">BrowserType.JavaScript Property</w:t>
      </w:r>
    </w:p>
    <w:bookmarkStart w:id="5164" w:name="overview-613"/>
    <w:p>
      <w:pPr>
        <w:pStyle w:val="Heading2"/>
      </w:pPr>
      <w:r>
        <w:t xml:space="preserve">Overview</w:t>
      </w:r>
    </w:p>
    <w:p>
      <w:pPr>
        <w:pStyle w:val="FirstParagraph"/>
      </w:pPr>
      <w:r>
        <w:t xml:space="preserve">Reads or writes the JavaScript member on the BrowserType compatibility object.</w:t>
      </w:r>
    </w:p>
    <w:bookmarkEnd w:id="5164"/>
    <w:bookmarkStart w:id="5165" w:name="syntax-572"/>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obj.JavaScript</w:t>
      </w:r>
    </w:p>
    <w:bookmarkEnd w:id="5165"/>
    <w:bookmarkStart w:id="5166" w:name="access-12"/>
    <w:p>
      <w:pPr>
        <w:pStyle w:val="Heading2"/>
      </w:pPr>
      <w:r>
        <w:t xml:space="preserve">Access</w:t>
      </w:r>
    </w:p>
    <w:p>
      <w:pPr>
        <w:pStyle w:val="FirstParagraph"/>
      </w:pPr>
      <w:r>
        <w:t xml:space="preserve">Read Only</w:t>
      </w:r>
    </w:p>
    <w:bookmarkEnd w:id="5166"/>
    <w:bookmarkStart w:id="5167" w:name="return-values-258"/>
    <w:p>
      <w:pPr>
        <w:pStyle w:val="Heading2"/>
      </w:pPr>
      <w:r>
        <w:t xml:space="preserve">Return Values</w:t>
      </w:r>
    </w:p>
    <w:p>
      <w:pPr>
        <w:pStyle w:val="FirstParagraph"/>
      </w:pPr>
      <w:r>
        <w:t xml:space="preserve">Returns a Variant-compatible value.</w:t>
      </w:r>
    </w:p>
    <w:bookmarkEnd w:id="5167"/>
    <w:bookmarkStart w:id="5168" w:name="remarks-545"/>
    <w:p>
      <w:pPr>
        <w:pStyle w:val="Heading2"/>
      </w:pPr>
      <w:r>
        <w:t xml:space="preserve">Remarks</w:t>
      </w:r>
    </w:p>
    <w:p>
      <w:pPr>
        <w:pStyle w:val="Compact"/>
        <w:numPr>
          <w:ilvl w:val="0"/>
          <w:numId w:val="2285"/>
        </w:numPr>
      </w:pPr>
      <w:r>
        <w:t xml:space="preserve">Indicates JavaScript capability.</w:t>
      </w:r>
    </w:p>
    <w:p>
      <w:pPr>
        <w:pStyle w:val="Compact"/>
        <w:numPr>
          <w:ilvl w:val="0"/>
          <w:numId w:val="2285"/>
        </w:numPr>
      </w:pPr>
      <w:r>
        <w:t xml:space="preserve">Property names are case-insensitive.</w:t>
      </w:r>
    </w:p>
    <w:bookmarkEnd w:id="5168"/>
    <w:bookmarkStart w:id="5169" w:name="code-example-37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obj.JavaScript</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69"/>
    <w:bookmarkEnd w:id="5170"/>
    <w:bookmarkStart w:id="5177" w:name="browsertype.javaapplets-property"/>
    <w:p>
      <w:pPr>
        <w:pStyle w:val="Heading1"/>
      </w:pPr>
      <w:r>
        <w:t xml:space="preserve">BrowserType.JavaApplets Property</w:t>
      </w:r>
    </w:p>
    <w:bookmarkStart w:id="5171" w:name="overview-614"/>
    <w:p>
      <w:pPr>
        <w:pStyle w:val="Heading2"/>
      </w:pPr>
      <w:r>
        <w:t xml:space="preserve">Overview</w:t>
      </w:r>
    </w:p>
    <w:p>
      <w:pPr>
        <w:pStyle w:val="FirstParagraph"/>
      </w:pPr>
      <w:r>
        <w:t xml:space="preserve">Reads or writes the JavaApplets member on the BrowserType compatibility object.</w:t>
      </w:r>
    </w:p>
    <w:bookmarkEnd w:id="5171"/>
    <w:bookmarkStart w:id="5172" w:name="syntax-573"/>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obj.JavaApplets</w:t>
      </w:r>
    </w:p>
    <w:bookmarkEnd w:id="5172"/>
    <w:bookmarkStart w:id="5173" w:name="access-13"/>
    <w:p>
      <w:pPr>
        <w:pStyle w:val="Heading2"/>
      </w:pPr>
      <w:r>
        <w:t xml:space="preserve">Access</w:t>
      </w:r>
    </w:p>
    <w:p>
      <w:pPr>
        <w:pStyle w:val="FirstParagraph"/>
      </w:pPr>
      <w:r>
        <w:t xml:space="preserve">Read Only</w:t>
      </w:r>
    </w:p>
    <w:bookmarkEnd w:id="5173"/>
    <w:bookmarkStart w:id="5174" w:name="return-values-259"/>
    <w:p>
      <w:pPr>
        <w:pStyle w:val="Heading2"/>
      </w:pPr>
      <w:r>
        <w:t xml:space="preserve">Return Values</w:t>
      </w:r>
    </w:p>
    <w:p>
      <w:pPr>
        <w:pStyle w:val="FirstParagraph"/>
      </w:pPr>
      <w:r>
        <w:t xml:space="preserve">Returns a Variant-compatible value.</w:t>
      </w:r>
    </w:p>
    <w:bookmarkEnd w:id="5174"/>
    <w:bookmarkStart w:id="5175" w:name="remarks-546"/>
    <w:p>
      <w:pPr>
        <w:pStyle w:val="Heading2"/>
      </w:pPr>
      <w:r>
        <w:t xml:space="preserve">Remarks</w:t>
      </w:r>
    </w:p>
    <w:p>
      <w:pPr>
        <w:pStyle w:val="Compact"/>
        <w:numPr>
          <w:ilvl w:val="0"/>
          <w:numId w:val="2286"/>
        </w:numPr>
      </w:pPr>
      <w:r>
        <w:t xml:space="preserve">Indicates Java applet capability.</w:t>
      </w:r>
    </w:p>
    <w:p>
      <w:pPr>
        <w:pStyle w:val="Compact"/>
        <w:numPr>
          <w:ilvl w:val="0"/>
          <w:numId w:val="2286"/>
        </w:numPr>
      </w:pPr>
      <w:r>
        <w:t xml:space="preserve">Property names are case-insensitive.</w:t>
      </w:r>
    </w:p>
    <w:bookmarkEnd w:id="5175"/>
    <w:bookmarkStart w:id="5176" w:name="code-example-37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obj.JavaApplets</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76"/>
    <w:bookmarkEnd w:id="5177"/>
    <w:bookmarkStart w:id="5184" w:name="browsertype.activexcontrols-property"/>
    <w:p>
      <w:pPr>
        <w:pStyle w:val="Heading1"/>
      </w:pPr>
      <w:r>
        <w:t xml:space="preserve">BrowserType.ActiveXControls Property</w:t>
      </w:r>
    </w:p>
    <w:bookmarkStart w:id="5178" w:name="overview-615"/>
    <w:p>
      <w:pPr>
        <w:pStyle w:val="Heading2"/>
      </w:pPr>
      <w:r>
        <w:t xml:space="preserve">Overview</w:t>
      </w:r>
    </w:p>
    <w:p>
      <w:pPr>
        <w:pStyle w:val="FirstParagraph"/>
      </w:pPr>
      <w:r>
        <w:t xml:space="preserve">Reads or writes the ActiveXControls member on the BrowserType compatibility object.</w:t>
      </w:r>
    </w:p>
    <w:bookmarkEnd w:id="5178"/>
    <w:bookmarkStart w:id="5179" w:name="syntax-574"/>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obj.ActiveXControls</w:t>
      </w:r>
    </w:p>
    <w:bookmarkEnd w:id="5179"/>
    <w:bookmarkStart w:id="5180" w:name="access-14"/>
    <w:p>
      <w:pPr>
        <w:pStyle w:val="Heading2"/>
      </w:pPr>
      <w:r>
        <w:t xml:space="preserve">Access</w:t>
      </w:r>
    </w:p>
    <w:p>
      <w:pPr>
        <w:pStyle w:val="FirstParagraph"/>
      </w:pPr>
      <w:r>
        <w:t xml:space="preserve">Read Only</w:t>
      </w:r>
    </w:p>
    <w:bookmarkEnd w:id="5180"/>
    <w:bookmarkStart w:id="5181" w:name="return-values-260"/>
    <w:p>
      <w:pPr>
        <w:pStyle w:val="Heading2"/>
      </w:pPr>
      <w:r>
        <w:t xml:space="preserve">Return Values</w:t>
      </w:r>
    </w:p>
    <w:p>
      <w:pPr>
        <w:pStyle w:val="FirstParagraph"/>
      </w:pPr>
      <w:r>
        <w:t xml:space="preserve">Returns a Variant-compatible value.</w:t>
      </w:r>
    </w:p>
    <w:bookmarkEnd w:id="5181"/>
    <w:bookmarkStart w:id="5182" w:name="remarks-547"/>
    <w:p>
      <w:pPr>
        <w:pStyle w:val="Heading2"/>
      </w:pPr>
      <w:r>
        <w:t xml:space="preserve">Remarks</w:t>
      </w:r>
    </w:p>
    <w:p>
      <w:pPr>
        <w:pStyle w:val="Compact"/>
        <w:numPr>
          <w:ilvl w:val="0"/>
          <w:numId w:val="2287"/>
        </w:numPr>
      </w:pPr>
      <w:r>
        <w:t xml:space="preserve">Indicates ActiveX capability.</w:t>
      </w:r>
    </w:p>
    <w:p>
      <w:pPr>
        <w:pStyle w:val="Compact"/>
        <w:numPr>
          <w:ilvl w:val="0"/>
          <w:numId w:val="2287"/>
        </w:numPr>
      </w:pPr>
      <w:r>
        <w:t xml:space="preserve">Property names are case-insensitive.</w:t>
      </w:r>
    </w:p>
    <w:bookmarkEnd w:id="5182"/>
    <w:bookmarkStart w:id="5183" w:name="code-example-37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obj.ActiveXControls</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83"/>
    <w:bookmarkEnd w:id="5184"/>
    <w:bookmarkStart w:id="5191" w:name="browsertype.cdf-property"/>
    <w:p>
      <w:pPr>
        <w:pStyle w:val="Heading1"/>
      </w:pPr>
      <w:r>
        <w:t xml:space="preserve">BrowserType.CDF Property</w:t>
      </w:r>
    </w:p>
    <w:bookmarkStart w:id="5185" w:name="overview-616"/>
    <w:p>
      <w:pPr>
        <w:pStyle w:val="Heading2"/>
      </w:pPr>
      <w:r>
        <w:t xml:space="preserve">Overview</w:t>
      </w:r>
    </w:p>
    <w:p>
      <w:pPr>
        <w:pStyle w:val="FirstParagraph"/>
      </w:pPr>
      <w:r>
        <w:t xml:space="preserve">Reads or writes the CDF member on the BrowserType compatibility object.</w:t>
      </w:r>
    </w:p>
    <w:bookmarkEnd w:id="5185"/>
    <w:bookmarkStart w:id="5186" w:name="syntax-575"/>
    <w:p>
      <w:pPr>
        <w:pStyle w:val="Heading2"/>
      </w:pPr>
      <w:r>
        <w:t xml:space="preserve">Syntax</w:t>
      </w:r>
    </w:p>
    <w:p>
      <w:pPr>
        <w:pStyle w:val="SourceCode"/>
      </w:pPr>
      <w:r>
        <w:rPr>
          <w:rStyle w:val="NormalTok"/>
        </w:rPr>
        <w:t xml:space="preserve">Dim obj, value</w:t>
      </w:r>
      <w:r>
        <w:br/>
      </w:r>
      <w:r>
        <w:rPr>
          <w:rStyle w:val="NormalTok"/>
        </w:rPr>
        <w:t xml:space="preserve">Set obj = Server.CreateObject("MSWC.BrowserType")</w:t>
      </w:r>
      <w:r>
        <w:br/>
      </w:r>
      <w:r>
        <w:rPr>
          <w:rStyle w:val="NormalTok"/>
        </w:rPr>
        <w:t xml:space="preserve">value = obj.CDF</w:t>
      </w:r>
    </w:p>
    <w:bookmarkEnd w:id="5186"/>
    <w:bookmarkStart w:id="5187" w:name="access-15"/>
    <w:p>
      <w:pPr>
        <w:pStyle w:val="Heading2"/>
      </w:pPr>
      <w:r>
        <w:t xml:space="preserve">Access</w:t>
      </w:r>
    </w:p>
    <w:p>
      <w:pPr>
        <w:pStyle w:val="FirstParagraph"/>
      </w:pPr>
      <w:r>
        <w:t xml:space="preserve">Read Only</w:t>
      </w:r>
    </w:p>
    <w:bookmarkEnd w:id="5187"/>
    <w:bookmarkStart w:id="5188" w:name="return-values-261"/>
    <w:p>
      <w:pPr>
        <w:pStyle w:val="Heading2"/>
      </w:pPr>
      <w:r>
        <w:t xml:space="preserve">Return Values</w:t>
      </w:r>
    </w:p>
    <w:p>
      <w:pPr>
        <w:pStyle w:val="FirstParagraph"/>
      </w:pPr>
      <w:r>
        <w:t xml:space="preserve">Returns a Variant-compatible value.</w:t>
      </w:r>
    </w:p>
    <w:bookmarkEnd w:id="5188"/>
    <w:bookmarkStart w:id="5189" w:name="remarks-548"/>
    <w:p>
      <w:pPr>
        <w:pStyle w:val="Heading2"/>
      </w:pPr>
      <w:r>
        <w:t xml:space="preserve">Remarks</w:t>
      </w:r>
    </w:p>
    <w:p>
      <w:pPr>
        <w:pStyle w:val="Compact"/>
        <w:numPr>
          <w:ilvl w:val="0"/>
          <w:numId w:val="2288"/>
        </w:numPr>
      </w:pPr>
      <w:r>
        <w:t xml:space="preserve">Indicates CDF capability flag.</w:t>
      </w:r>
    </w:p>
    <w:p>
      <w:pPr>
        <w:pStyle w:val="Compact"/>
        <w:numPr>
          <w:ilvl w:val="0"/>
          <w:numId w:val="2288"/>
        </w:numPr>
      </w:pPr>
      <w:r>
        <w:t xml:space="preserve">Property names are case-insensitive.</w:t>
      </w:r>
    </w:p>
    <w:bookmarkEnd w:id="5189"/>
    <w:bookmarkStart w:id="5190" w:name="code-example-37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"MSWC.BrowserType"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obj.CDF</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90"/>
    <w:bookmarkEnd w:id="5191"/>
    <w:bookmarkStart w:id="5199" w:name="myinfo.anycustomproperty-property"/>
    <w:p>
      <w:pPr>
        <w:pStyle w:val="Heading1"/>
      </w:pPr>
      <w:r>
        <w:t xml:space="preserve">MyInfo.AnyCustomProperty Property</w:t>
      </w:r>
    </w:p>
    <w:bookmarkStart w:id="5192" w:name="overview-617"/>
    <w:p>
      <w:pPr>
        <w:pStyle w:val="Heading2"/>
      </w:pPr>
      <w:r>
        <w:t xml:space="preserve">Overview</w:t>
      </w:r>
    </w:p>
    <w:p>
      <w:pPr>
        <w:pStyle w:val="FirstParagraph"/>
      </w:pPr>
      <w:r>
        <w:t xml:space="preserve">Reads or writes the AnyCustomProperty member on the MyInfo compatibility object.</w:t>
      </w:r>
    </w:p>
    <w:bookmarkEnd w:id="5192"/>
    <w:bookmarkStart w:id="5193" w:name="syntax-576"/>
    <w:p>
      <w:pPr>
        <w:pStyle w:val="Heading2"/>
      </w:pPr>
      <w:r>
        <w:t xml:space="preserve">Syntax</w:t>
      </w:r>
    </w:p>
    <w:p>
      <w:pPr>
        <w:pStyle w:val="SourceCode"/>
      </w:pPr>
      <w:r>
        <w:rPr>
          <w:rStyle w:val="NormalTok"/>
        </w:rPr>
        <w:t xml:space="preserve">Dim obj, value</w:t>
      </w:r>
      <w:r>
        <w:br/>
      </w:r>
      <w:r>
        <w:rPr>
          <w:rStyle w:val="NormalTok"/>
        </w:rPr>
        <w:t xml:space="preserve">Set obj = Server.CreateObject("MSWC.MyInfo")</w:t>
      </w:r>
      <w:r>
        <w:br/>
      </w:r>
      <w:r>
        <w:rPr>
          <w:rStyle w:val="NormalTok"/>
        </w:rPr>
        <w:t xml:space="preserve">value = obj.AnyCustomProperty</w:t>
      </w:r>
    </w:p>
    <w:bookmarkEnd w:id="5193"/>
    <w:bookmarkStart w:id="5194" w:name="access-16"/>
    <w:p>
      <w:pPr>
        <w:pStyle w:val="Heading2"/>
      </w:pPr>
      <w:r>
        <w:t xml:space="preserve">Access</w:t>
      </w:r>
    </w:p>
    <w:p>
      <w:pPr>
        <w:pStyle w:val="FirstParagraph"/>
      </w:pPr>
      <w:r>
        <w:t xml:space="preserve">Read Only</w:t>
      </w:r>
    </w:p>
    <w:bookmarkEnd w:id="5194"/>
    <w:bookmarkStart w:id="5195" w:name="return-values-262"/>
    <w:p>
      <w:pPr>
        <w:pStyle w:val="Heading2"/>
      </w:pPr>
      <w:r>
        <w:t xml:space="preserve">Return Values</w:t>
      </w:r>
    </w:p>
    <w:p>
      <w:pPr>
        <w:pStyle w:val="FirstParagraph"/>
      </w:pPr>
      <w:r>
        <w:t xml:space="preserve">Returns a Variant-compatible value.</w:t>
      </w:r>
    </w:p>
    <w:bookmarkEnd w:id="5195"/>
    <w:bookmarkStart w:id="5196" w:name="remarks-549"/>
    <w:p>
      <w:pPr>
        <w:pStyle w:val="Heading2"/>
      </w:pPr>
      <w:r>
        <w:t xml:space="preserve">Remarks</w:t>
      </w:r>
    </w:p>
    <w:p>
      <w:pPr>
        <w:pStyle w:val="Compact"/>
        <w:numPr>
          <w:ilvl w:val="0"/>
          <w:numId w:val="2289"/>
        </w:numPr>
      </w:pPr>
      <w:r>
        <w:t xml:space="preserve">Dynamic properties are loaded from MyInfo.xml element names.</w:t>
      </w:r>
    </w:p>
    <w:p>
      <w:pPr>
        <w:pStyle w:val="Compact"/>
        <w:numPr>
          <w:ilvl w:val="0"/>
          <w:numId w:val="2289"/>
        </w:numPr>
      </w:pPr>
      <w:r>
        <w:t xml:space="preserve">Property names are case-insensitive.</w:t>
      </w:r>
    </w:p>
    <w:bookmarkEnd w:id="5196"/>
    <w:bookmarkStart w:id="5197" w:name="code-example-37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obj</w:t>
      </w:r>
      <w:r>
        <w:br/>
      </w:r>
      <w:r>
        <w:rPr>
          <w:rStyle w:val="KeywordTok"/>
        </w:rPr>
        <w:t xml:space="preserve">Set</w:t>
      </w:r>
      <w:r>
        <w:rPr>
          <w:rStyle w:val="NormalTok"/>
        </w:rPr>
        <w:t xml:space="preserve"> obj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"MSWC.MyInfo"</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obj.AnyCustomProperty</w:t>
      </w:r>
      <w:r>
        <w:rPr>
          <w:rStyle w:val="OtherTok"/>
        </w:rPr>
        <w:t xml:space="preserve">)</w:t>
      </w:r>
      <w:r>
        <w:br/>
      </w:r>
      <w:r>
        <w:rPr>
          <w:rStyle w:val="KeywordTok"/>
        </w:rPr>
        <w:t xml:space="preserve">Set</w:t>
      </w:r>
      <w:r>
        <w:rPr>
          <w:rStyle w:val="NormalTok"/>
        </w:rPr>
        <w:t xml:space="preserve"> obj = </w:t>
      </w:r>
      <w:r>
        <w:rPr>
          <w:rStyle w:val="KeywordTok"/>
        </w:rPr>
        <w:t xml:space="preserve">Nothing</w:t>
      </w:r>
      <w:r>
        <w:br/>
      </w:r>
      <w:r>
        <w:rPr>
          <w:rStyle w:val="DataTypeTok"/>
        </w:rPr>
        <w:t xml:space="preserve">%&gt;</w:t>
      </w:r>
    </w:p>
    <w:bookmarkEnd w:id="5197"/>
    <w:bookmarkStart w:id="5198" w:name="adodb-family"/>
    <w:p>
      <w:pPr>
        <w:pStyle w:val="Heading2"/>
      </w:pPr>
      <w:r>
        <w:t xml:space="preserve">ADODB Family</w:t>
      </w:r>
    </w:p>
    <w:bookmarkEnd w:id="5198"/>
    <w:bookmarkEnd w:id="5199"/>
    <w:bookmarkStart w:id="5205" w:name="adodb-library"/>
    <w:p>
      <w:pPr>
        <w:pStyle w:val="Heading1"/>
      </w:pPr>
      <w:r>
        <w:t xml:space="preserve">ADODB Library</w:t>
      </w:r>
    </w:p>
    <w:p>
      <w:pPr>
        <w:pStyle w:val="FirstParagraph"/>
      </w:pPr>
      <w:r>
        <w:t xml:space="preserve">The ADODB library provides database connectivity and data manipulation through Connection, Recordset, Command, and supporting objects. Use these objects to execute SQL queries, manage transactions, and perform CRUD operations on any ODBC- or OLE DB-compatible database.</w:t>
      </w:r>
    </w:p>
    <w:bookmarkStart w:id="5200" w:name="supported-objects"/>
    <w:p>
      <w:pPr>
        <w:pStyle w:val="Heading2"/>
      </w:pPr>
      <w:r>
        <w:t xml:space="preserve">Supported Objects</w:t>
      </w:r>
    </w:p>
    <w:p>
      <w:pPr>
        <w:pStyle w:val="Compact"/>
        <w:numPr>
          <w:ilvl w:val="0"/>
          <w:numId w:val="2290"/>
        </w:numPr>
      </w:pPr>
      <w:r>
        <w:rPr>
          <w:b/>
          <w:bCs/>
        </w:rPr>
        <w:t xml:space="preserve">Connection</w:t>
      </w:r>
      <w:r>
        <w:t xml:space="preserve"> </w:t>
      </w:r>
      <w:r>
        <w:t xml:space="preserve">— Manages database connections, executes SQL commands, begins transactions, and retrieves database schema information.</w:t>
      </w:r>
    </w:p>
    <w:p>
      <w:pPr>
        <w:pStyle w:val="Compact"/>
        <w:numPr>
          <w:ilvl w:val="0"/>
          <w:numId w:val="2290"/>
        </w:numPr>
      </w:pPr>
      <w:r>
        <w:rPr>
          <w:b/>
          <w:bCs/>
        </w:rPr>
        <w:t xml:space="preserve">Recordset</w:t>
      </w:r>
      <w:r>
        <w:t xml:space="preserve"> </w:t>
      </w:r>
      <w:r>
        <w:t xml:space="preserve">— Represents a result set of rows and columns, with support for navigation, editing, deletion, and persistence.</w:t>
      </w:r>
    </w:p>
    <w:p>
      <w:pPr>
        <w:pStyle w:val="Compact"/>
        <w:numPr>
          <w:ilvl w:val="0"/>
          <w:numId w:val="2290"/>
        </w:numPr>
      </w:pPr>
      <w:r>
        <w:rPr>
          <w:b/>
          <w:bCs/>
        </w:rPr>
        <w:t xml:space="preserve">Command</w:t>
      </w:r>
      <w:r>
        <w:t xml:space="preserve"> </w:t>
      </w:r>
      <w:r>
        <w:t xml:space="preserve">— Encapsulates SQL statements and stored procedure calls with parameter support.</w:t>
      </w:r>
    </w:p>
    <w:p>
      <w:pPr>
        <w:pStyle w:val="Compact"/>
        <w:numPr>
          <w:ilvl w:val="0"/>
          <w:numId w:val="2290"/>
        </w:numPr>
      </w:pPr>
      <w:r>
        <w:rPr>
          <w:b/>
          <w:bCs/>
        </w:rPr>
        <w:t xml:space="preserve">Error</w:t>
      </w:r>
      <w:r>
        <w:t xml:space="preserve"> </w:t>
      </w:r>
      <w:r>
        <w:t xml:space="preserve">— Represents a single database error within the Errors collection.</w:t>
      </w:r>
    </w:p>
    <w:p>
      <w:pPr>
        <w:pStyle w:val="Compact"/>
        <w:numPr>
          <w:ilvl w:val="0"/>
          <w:numId w:val="2290"/>
        </w:numPr>
      </w:pPr>
      <w:r>
        <w:rPr>
          <w:b/>
          <w:bCs/>
        </w:rPr>
        <w:t xml:space="preserve">Field</w:t>
      </w:r>
      <w:r>
        <w:t xml:space="preserve"> </w:t>
      </w:r>
      <w:r>
        <w:t xml:space="preserve">— Represents a single column within a Fields collection, including its metadata and value.</w:t>
      </w:r>
    </w:p>
    <w:p>
      <w:pPr>
        <w:pStyle w:val="Compact"/>
        <w:numPr>
          <w:ilvl w:val="0"/>
          <w:numId w:val="2290"/>
        </w:numPr>
      </w:pPr>
      <w:r>
        <w:rPr>
          <w:b/>
          <w:bCs/>
        </w:rPr>
        <w:t xml:space="preserve">Parameter</w:t>
      </w:r>
      <w:r>
        <w:t xml:space="preserve"> </w:t>
      </w:r>
      <w:r>
        <w:t xml:space="preserve">— Represents a single SQL parameter within the Parameters collection.</w:t>
      </w:r>
    </w:p>
    <w:bookmarkEnd w:id="5200"/>
    <w:bookmarkStart w:id="5201" w:name="supported-progids-2"/>
    <w:p>
      <w:pPr>
        <w:pStyle w:val="Heading2"/>
      </w:pPr>
      <w:r>
        <w:t xml:space="preserve">Supported ProgIDs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ProgID</w:t>
            </w:r>
          </w:p>
        </w:tc>
        <w:tc>
          <w:tcPr/>
          <w:p>
            <w:pPr>
              <w:pStyle w:val="Compact"/>
            </w:pPr>
            <w:r>
              <w:t xml:space="preserve">Object</w:t>
            </w:r>
          </w:p>
        </w:tc>
      </w:tr>
      <w:tr>
        <w:tc>
          <w:tcPr/>
          <w:p>
            <w:pPr>
              <w:pStyle w:val="Compact"/>
            </w:pPr>
            <w:r>
              <w:rPr>
                <w:rStyle w:val="VerbatimChar"/>
              </w:rPr>
              <w:t xml:space="preserve">ADODB.Connection</w:t>
            </w:r>
          </w:p>
        </w:tc>
        <w:tc>
          <w:tcPr/>
          <w:p>
            <w:pPr>
              <w:pStyle w:val="Compact"/>
            </w:pPr>
            <w:r>
              <w:t xml:space="preserve">Database connection</w:t>
            </w:r>
          </w:p>
        </w:tc>
      </w:tr>
      <w:tr>
        <w:tc>
          <w:tcPr/>
          <w:p>
            <w:pPr>
              <w:pStyle w:val="Compact"/>
            </w:pPr>
            <w:r>
              <w:rPr>
                <w:rStyle w:val="VerbatimChar"/>
              </w:rPr>
              <w:t xml:space="preserve">ADODB.Recordset</w:t>
            </w:r>
          </w:p>
        </w:tc>
        <w:tc>
          <w:tcPr/>
          <w:p>
            <w:pPr>
              <w:pStyle w:val="Compact"/>
            </w:pPr>
            <w:r>
              <w:t xml:space="preserve">Query result set</w:t>
            </w:r>
          </w:p>
        </w:tc>
      </w:tr>
      <w:tr>
        <w:tc>
          <w:tcPr/>
          <w:p>
            <w:pPr>
              <w:pStyle w:val="Compact"/>
            </w:pPr>
            <w:r>
              <w:rPr>
                <w:rStyle w:val="VerbatimChar"/>
              </w:rPr>
              <w:t xml:space="preserve">ADODB.Command</w:t>
            </w:r>
          </w:p>
        </w:tc>
        <w:tc>
          <w:tcPr/>
          <w:p>
            <w:pPr>
              <w:pStyle w:val="Compact"/>
            </w:pPr>
            <w:r>
              <w:t xml:space="preserve">SQL statement or stored procedure</w:t>
            </w:r>
          </w:p>
        </w:tc>
      </w:tr>
      <w:tr>
        <w:tc>
          <w:tcPr/>
          <w:p>
            <w:pPr>
              <w:pStyle w:val="Compact"/>
            </w:pPr>
            <w:r>
              <w:rPr>
                <w:rStyle w:val="VerbatimChar"/>
              </w:rPr>
              <w:t xml:space="preserve">ADODBOLE.Connection</w:t>
            </w:r>
          </w:p>
        </w:tc>
        <w:tc>
          <w:tcPr/>
          <w:p>
            <w:pPr>
              <w:pStyle w:val="Compact"/>
            </w:pPr>
            <w:r>
              <w:t xml:space="preserve">OLE DB connection (compatibility alias)</w:t>
            </w:r>
          </w:p>
        </w:tc>
      </w:tr>
    </w:tbl>
    <w:bookmarkEnd w:id="5201"/>
    <w:bookmarkStart w:id="5202" w:name="prerequisites-159"/>
    <w:p>
      <w:pPr>
        <w:pStyle w:val="Heading2"/>
      </w:pPr>
      <w:r>
        <w:t xml:space="preserve">Prerequisites</w:t>
      </w:r>
    </w:p>
    <w:p>
      <w:pPr>
        <w:pStyle w:val="FirstParagraph"/>
      </w:pPr>
      <w:r>
        <w:t xml:space="preserve">None. No external installation is required beyond a valid ODBC driver or provider for your target database.</w:t>
      </w:r>
    </w:p>
    <w:bookmarkEnd w:id="5202"/>
    <w:bookmarkStart w:id="5203" w:name="how-it-works-36"/>
    <w:p>
      <w:pPr>
        <w:pStyle w:val="Heading2"/>
      </w:pPr>
      <w:r>
        <w:t xml:space="preserve">How It Works</w:t>
      </w:r>
    </w:p>
    <w:p>
      <w:pPr>
        <w:pStyle w:val="FirstParagraph"/>
      </w:pPr>
      <w:r>
        <w:t xml:space="preserve">Create a Connection object, configure its ConnectionString with the provider and data source, then call Open. Use the Connection to execute queries via the Execute method or bind it to Command and Recordset objects. Navigate Recordset rows using MoveNext, MoveFirst, MoveLast, MovePrevious, or the Seek method. Modify rows with AddNew, Update, and Delete. Wrap multiple operations in explicit BeginTrans/CommitTrans blocks for transaction safety.</w:t>
      </w:r>
    </w:p>
    <w:bookmarkEnd w:id="5203"/>
    <w:bookmarkStart w:id="5204" w:name="code-example-37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w:t>
      </w:r>
      <w:r>
        <w:rPr>
          <w:rStyle w:val="OtherTok"/>
        </w:rPr>
        <w:t xml:space="preserve">)</w:t>
      </w:r>
      <w:r>
        <w:br/>
      </w:r>
      <w:r>
        <w:rPr>
          <w:rStyle w:val="ControlFlowTok"/>
        </w:rPr>
        <w:t xml:space="preserve">Do While</w:t>
      </w:r>
      <w:r>
        <w:rPr>
          <w:rStyle w:val="NormalTok"/>
        </w:rPr>
        <w:t xml:space="preserve"> </w:t>
      </w:r>
      <w:r>
        <w:rPr>
          <w:rStyle w:val="KeywordTok"/>
        </w:rPr>
        <w:t xml:space="preserve">Not</w:t>
      </w:r>
      <w:r>
        <w:rPr>
          <w:rStyle w:val="NormalTok"/>
        </w:rPr>
        <w:t xml:space="preserve"> rs.</w:t>
      </w:r>
      <w:r>
        <w:rPr>
          <w:rStyle w:val="KeywordTok"/>
        </w:rPr>
        <w:t xml:space="preserve">EOF</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w:t>
      </w:r>
      <w:r>
        <w:rPr>
          <w:rStyle w:val="KeywordTok"/>
        </w:rPr>
        <w:t xml:space="preserve">&amp;</w:t>
      </w:r>
      <w:r>
        <w:rPr>
          <w:rStyle w:val="NormalTok"/>
        </w:rPr>
        <w:t xml:space="preserve"> </w:t>
      </w:r>
      <w:r>
        <w:rPr>
          <w:rStyle w:val="StringTok"/>
        </w:rPr>
        <w:t xml:space="preserve">"&lt;br&gt;"</w:t>
      </w:r>
      <w:r>
        <w:br/>
      </w:r>
      <w:r>
        <w:rPr>
          <w:rStyle w:val="NormalTok"/>
        </w:rPr>
        <w:t xml:space="preserve">    rs.</w:t>
      </w:r>
      <w:r>
        <w:rPr>
          <w:rStyle w:val="KeywordTok"/>
        </w:rPr>
        <w:t xml:space="preserve">MoveNext</w:t>
      </w:r>
      <w:r>
        <w:br/>
      </w:r>
      <w:r>
        <w:rPr>
          <w:rStyle w:val="ControlFlowTok"/>
        </w:rPr>
        <w:t xml:space="preserve">Loop</w:t>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04"/>
    <w:bookmarkEnd w:id="5205"/>
    <w:bookmarkStart w:id="5211" w:name="adodb-methods-reference"/>
    <w:p>
      <w:pPr>
        <w:pStyle w:val="Heading1"/>
      </w:pPr>
      <w:r>
        <w:t xml:space="preserve">ADODB Methods Reference</w:t>
      </w:r>
    </w:p>
    <w:bookmarkStart w:id="5206" w:name="connection-methods"/>
    <w:p>
      <w:pPr>
        <w:pStyle w:val="Heading2"/>
      </w:pPr>
      <w:r>
        <w:t xml:space="preserve">Connection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Open</w:t>
            </w:r>
          </w:p>
        </w:tc>
        <w:tc>
          <w:tcPr/>
          <w:p>
            <w:pPr>
              <w:pStyle w:val="Compact"/>
            </w:pPr>
            <w:r>
              <w:t xml:space="preserve">Empty</w:t>
            </w:r>
          </w:p>
        </w:tc>
        <w:tc>
          <w:tcPr/>
          <w:p>
            <w:pPr>
              <w:pStyle w:val="Compact"/>
            </w:pPr>
            <w:r>
              <w:t xml:space="preserve">Establishes a connection to a database using the configured ConnectionString.</w:t>
            </w:r>
          </w:p>
        </w:tc>
      </w:tr>
      <w:tr>
        <w:tc>
          <w:tcPr/>
          <w:p>
            <w:pPr>
              <w:pStyle w:val="Compact"/>
            </w:pPr>
            <w:r>
              <w:t xml:space="preserve">Close</w:t>
            </w:r>
          </w:p>
        </w:tc>
        <w:tc>
          <w:tcPr/>
          <w:p>
            <w:pPr>
              <w:pStyle w:val="Compact"/>
            </w:pPr>
            <w:r>
              <w:t xml:space="preserve">Empty</w:t>
            </w:r>
          </w:p>
        </w:tc>
        <w:tc>
          <w:tcPr/>
          <w:p>
            <w:pPr>
              <w:pStyle w:val="Compact"/>
            </w:pPr>
            <w:r>
              <w:t xml:space="preserve">Closes the database connection.</w:t>
            </w:r>
          </w:p>
        </w:tc>
      </w:tr>
      <w:tr>
        <w:tc>
          <w:tcPr/>
          <w:p>
            <w:pPr>
              <w:pStyle w:val="Compact"/>
            </w:pPr>
            <w:r>
              <w:t xml:space="preserve">Execute</w:t>
            </w:r>
          </w:p>
        </w:tc>
        <w:tc>
          <w:tcPr/>
          <w:p>
            <w:pPr>
              <w:pStyle w:val="Compact"/>
            </w:pPr>
            <w:r>
              <w:t xml:space="preserve">Recordset, Integer, or Empty</w:t>
            </w:r>
          </w:p>
        </w:tc>
        <w:tc>
          <w:tcPr/>
          <w:p>
            <w:pPr>
              <w:pStyle w:val="Compact"/>
            </w:pPr>
            <w:r>
              <w:t xml:space="preserve">Executes a SQL statement. Returns a Recordset for queries (SELECT, SHOW, PRAGMA), an Integer row count for modifications (INSERT, UPDATE, DELETE), or Empty on failure.</w:t>
            </w:r>
          </w:p>
        </w:tc>
      </w:tr>
      <w:tr>
        <w:tc>
          <w:tcPr/>
          <w:p>
            <w:pPr>
              <w:pStyle w:val="Compact"/>
            </w:pPr>
            <w:r>
              <w:t xml:space="preserve">BeginTrans</w:t>
            </w:r>
          </w:p>
        </w:tc>
        <w:tc>
          <w:tcPr/>
          <w:p>
            <w:pPr>
              <w:pStyle w:val="Compact"/>
            </w:pPr>
            <w:r>
              <w:t xml:space="preserve">Integer</w:t>
            </w:r>
          </w:p>
        </w:tc>
        <w:tc>
          <w:tcPr/>
          <w:p>
            <w:pPr>
              <w:pStyle w:val="Compact"/>
            </w:pPr>
            <w:r>
              <w:t xml:space="preserve">Begins a transaction. Returns 1 on success, 0 on failure.</w:t>
            </w:r>
          </w:p>
        </w:tc>
      </w:tr>
      <w:tr>
        <w:tc>
          <w:tcPr/>
          <w:p>
            <w:pPr>
              <w:pStyle w:val="Compact"/>
            </w:pPr>
            <w:r>
              <w:t xml:space="preserve">CommitTrans</w:t>
            </w:r>
          </w:p>
        </w:tc>
        <w:tc>
          <w:tcPr/>
          <w:p>
            <w:pPr>
              <w:pStyle w:val="Compact"/>
            </w:pPr>
            <w:r>
              <w:t xml:space="preserve">Empty</w:t>
            </w:r>
          </w:p>
        </w:tc>
        <w:tc>
          <w:tcPr/>
          <w:p>
            <w:pPr>
              <w:pStyle w:val="Compact"/>
            </w:pPr>
            <w:r>
              <w:t xml:space="preserve">Commits the current transaction.</w:t>
            </w:r>
          </w:p>
        </w:tc>
      </w:tr>
      <w:tr>
        <w:tc>
          <w:tcPr/>
          <w:p>
            <w:pPr>
              <w:pStyle w:val="Compact"/>
            </w:pPr>
            <w:r>
              <w:t xml:space="preserve">RollbackTrans</w:t>
            </w:r>
          </w:p>
        </w:tc>
        <w:tc>
          <w:tcPr/>
          <w:p>
            <w:pPr>
              <w:pStyle w:val="Compact"/>
            </w:pPr>
            <w:r>
              <w:t xml:space="preserve">Empty</w:t>
            </w:r>
          </w:p>
        </w:tc>
        <w:tc>
          <w:tcPr/>
          <w:p>
            <w:pPr>
              <w:pStyle w:val="Compact"/>
            </w:pPr>
            <w:r>
              <w:t xml:space="preserve">Rolls back the current transaction.</w:t>
            </w:r>
          </w:p>
        </w:tc>
      </w:tr>
      <w:tr>
        <w:tc>
          <w:tcPr/>
          <w:p>
            <w:pPr>
              <w:pStyle w:val="Compact"/>
            </w:pPr>
            <w:r>
              <w:t xml:space="preserve">OpenSchema</w:t>
            </w:r>
          </w:p>
        </w:tc>
        <w:tc>
          <w:tcPr/>
          <w:p>
            <w:pPr>
              <w:pStyle w:val="Compact"/>
            </w:pPr>
            <w:r>
              <w:t xml:space="preserve">Recordset</w:t>
            </w:r>
          </w:p>
        </w:tc>
        <w:tc>
          <w:tcPr/>
          <w:p>
            <w:pPr>
              <w:pStyle w:val="Compact"/>
            </w:pPr>
            <w:r>
              <w:t xml:space="preserve">Returns a Recordset containing database schema information (tables, columns, indexes, views, procedures, or foreign keys).</w:t>
            </w:r>
          </w:p>
        </w:tc>
      </w:tr>
      <w:tr>
        <w:tc>
          <w:tcPr/>
          <w:p>
            <w:pPr>
              <w:pStyle w:val="Compact"/>
            </w:pPr>
            <w:r>
              <w:t xml:space="preserve">Cancel</w:t>
            </w:r>
          </w:p>
        </w:tc>
        <w:tc>
          <w:tcPr/>
          <w:p>
            <w:pPr>
              <w:pStyle w:val="Compact"/>
            </w:pPr>
            <w:r>
              <w:t xml:space="preserve">Empty</w:t>
            </w:r>
          </w:p>
        </w:tc>
        <w:tc>
          <w:tcPr/>
          <w:p>
            <w:pPr>
              <w:pStyle w:val="Compact"/>
            </w:pPr>
            <w:r>
              <w:t xml:space="preserve">Cancels the current operation (no-op in current runtime).</w:t>
            </w:r>
          </w:p>
        </w:tc>
      </w:tr>
    </w:tbl>
    <w:bookmarkEnd w:id="5206"/>
    <w:bookmarkStart w:id="5207" w:name="recordset-methods"/>
    <w:p>
      <w:pPr>
        <w:pStyle w:val="Heading2"/>
      </w:pPr>
      <w:r>
        <w:t xml:space="preserve">Recordset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Open</w:t>
            </w:r>
          </w:p>
        </w:tc>
        <w:tc>
          <w:tcPr/>
          <w:p>
            <w:pPr>
              <w:pStyle w:val="Compact"/>
            </w:pPr>
            <w:r>
              <w:t xml:space="preserve">Empty</w:t>
            </w:r>
          </w:p>
        </w:tc>
        <w:tc>
          <w:tcPr/>
          <w:p>
            <w:pPr>
              <w:pStyle w:val="Compact"/>
            </w:pPr>
            <w:r>
              <w:t xml:space="preserve">Opens a result set from a SQL statement or Connection. Optionally sets CursorType, LockType, and other parameters.</w:t>
            </w:r>
          </w:p>
        </w:tc>
      </w:tr>
      <w:tr>
        <w:tc>
          <w:tcPr/>
          <w:p>
            <w:pPr>
              <w:pStyle w:val="Compact"/>
            </w:pPr>
            <w:r>
              <w:t xml:space="preserve">Close</w:t>
            </w:r>
          </w:p>
        </w:tc>
        <w:tc>
          <w:tcPr/>
          <w:p>
            <w:pPr>
              <w:pStyle w:val="Compact"/>
            </w:pPr>
            <w:r>
              <w:t xml:space="preserve">Empty</w:t>
            </w:r>
          </w:p>
        </w:tc>
        <w:tc>
          <w:tcPr/>
          <w:p>
            <w:pPr>
              <w:pStyle w:val="Compact"/>
            </w:pPr>
            <w:r>
              <w:t xml:space="preserve">Closes the result set and releases database resources.</w:t>
            </w:r>
          </w:p>
        </w:tc>
      </w:tr>
      <w:tr>
        <w:tc>
          <w:tcPr/>
          <w:p>
            <w:pPr>
              <w:pStyle w:val="Compact"/>
            </w:pPr>
            <w:r>
              <w:t xml:space="preserve">MoveNext</w:t>
            </w:r>
          </w:p>
        </w:tc>
        <w:tc>
          <w:tcPr/>
          <w:p>
            <w:pPr>
              <w:pStyle w:val="Compact"/>
            </w:pPr>
            <w:r>
              <w:t xml:space="preserve">Empty</w:t>
            </w:r>
          </w:p>
        </w:tc>
        <w:tc>
          <w:tcPr/>
          <w:p>
            <w:pPr>
              <w:pStyle w:val="Compact"/>
            </w:pPr>
            <w:r>
              <w:t xml:space="preserve">Moves to the next row. EOF becomes true if no next row exists.</w:t>
            </w:r>
          </w:p>
        </w:tc>
      </w:tr>
      <w:tr>
        <w:tc>
          <w:tcPr/>
          <w:p>
            <w:pPr>
              <w:pStyle w:val="Compact"/>
            </w:pPr>
            <w:r>
              <w:t xml:space="preserve">MovePrevious</w:t>
            </w:r>
          </w:p>
        </w:tc>
        <w:tc>
          <w:tcPr/>
          <w:p>
            <w:pPr>
              <w:pStyle w:val="Compact"/>
            </w:pPr>
            <w:r>
              <w:t xml:space="preserve">Empty</w:t>
            </w:r>
          </w:p>
        </w:tc>
        <w:tc>
          <w:tcPr/>
          <w:p>
            <w:pPr>
              <w:pStyle w:val="Compact"/>
            </w:pPr>
            <w:r>
              <w:t xml:space="preserve">Moves to the previous row. BOF becomes true if no previous row exists.</w:t>
            </w:r>
          </w:p>
        </w:tc>
      </w:tr>
      <w:tr>
        <w:tc>
          <w:tcPr/>
          <w:p>
            <w:pPr>
              <w:pStyle w:val="Compact"/>
            </w:pPr>
            <w:r>
              <w:t xml:space="preserve">MoveFirst</w:t>
            </w:r>
          </w:p>
        </w:tc>
        <w:tc>
          <w:tcPr/>
          <w:p>
            <w:pPr>
              <w:pStyle w:val="Compact"/>
            </w:pPr>
            <w:r>
              <w:t xml:space="preserve">Empty</w:t>
            </w:r>
          </w:p>
        </w:tc>
        <w:tc>
          <w:tcPr/>
          <w:p>
            <w:pPr>
              <w:pStyle w:val="Compact"/>
            </w:pPr>
            <w:r>
              <w:t xml:space="preserve">Moves to the first row.</w:t>
            </w:r>
          </w:p>
        </w:tc>
      </w:tr>
      <w:tr>
        <w:tc>
          <w:tcPr/>
          <w:p>
            <w:pPr>
              <w:pStyle w:val="Compact"/>
            </w:pPr>
            <w:r>
              <w:t xml:space="preserve">MoveLast</w:t>
            </w:r>
          </w:p>
        </w:tc>
        <w:tc>
          <w:tcPr/>
          <w:p>
            <w:pPr>
              <w:pStyle w:val="Compact"/>
            </w:pPr>
            <w:r>
              <w:t xml:space="preserve">Empty</w:t>
            </w:r>
          </w:p>
        </w:tc>
        <w:tc>
          <w:tcPr/>
          <w:p>
            <w:pPr>
              <w:pStyle w:val="Compact"/>
            </w:pPr>
            <w:r>
              <w:t xml:space="preserve">Moves to the last row.</w:t>
            </w:r>
          </w:p>
        </w:tc>
      </w:tr>
      <w:tr>
        <w:tc>
          <w:tcPr/>
          <w:p>
            <w:pPr>
              <w:pStyle w:val="Compact"/>
            </w:pPr>
            <w:r>
              <w:t xml:space="preserve">Move</w:t>
            </w:r>
          </w:p>
        </w:tc>
        <w:tc>
          <w:tcPr/>
          <w:p>
            <w:pPr>
              <w:pStyle w:val="Compact"/>
            </w:pPr>
            <w:r>
              <w:t xml:space="preserve">Empty</w:t>
            </w:r>
          </w:p>
        </w:tc>
        <w:tc>
          <w:tcPr/>
          <w:p>
            <w:pPr>
              <w:pStyle w:val="Compact"/>
            </w:pPr>
            <w:r>
              <w:t xml:space="preserve">Moves forward or backward by the specified row offset.</w:t>
            </w:r>
          </w:p>
        </w:tc>
      </w:tr>
      <w:tr>
        <w:tc>
          <w:tcPr/>
          <w:p>
            <w:pPr>
              <w:pStyle w:val="Compact"/>
            </w:pPr>
            <w:r>
              <w:t xml:space="preserve">Cancel</w:t>
            </w:r>
          </w:p>
        </w:tc>
        <w:tc>
          <w:tcPr/>
          <w:p>
            <w:pPr>
              <w:pStyle w:val="Compact"/>
            </w:pPr>
            <w:r>
              <w:t xml:space="preserve">Empty</w:t>
            </w:r>
          </w:p>
        </w:tc>
        <w:tc>
          <w:tcPr/>
          <w:p>
            <w:pPr>
              <w:pStyle w:val="Compact"/>
            </w:pPr>
            <w:r>
              <w:t xml:space="preserve">Cancels the current operation (no-op in current runtime).</w:t>
            </w:r>
          </w:p>
        </w:tc>
      </w:tr>
      <w:tr>
        <w:tc>
          <w:tcPr/>
          <w:p>
            <w:pPr>
              <w:pStyle w:val="Compact"/>
            </w:pPr>
            <w:r>
              <w:t xml:space="preserve">CancelBatch</w:t>
            </w:r>
          </w:p>
        </w:tc>
        <w:tc>
          <w:tcPr/>
          <w:p>
            <w:pPr>
              <w:pStyle w:val="Compact"/>
            </w:pPr>
            <w:r>
              <w:t xml:space="preserve">Empty</w:t>
            </w:r>
          </w:p>
        </w:tc>
        <w:tc>
          <w:tcPr/>
          <w:p>
            <w:pPr>
              <w:pStyle w:val="Compact"/>
            </w:pPr>
            <w:r>
              <w:t xml:space="preserve">Cancels pending batch updates (no-op in current runtime).</w:t>
            </w:r>
          </w:p>
        </w:tc>
      </w:tr>
      <w:tr>
        <w:tc>
          <w:tcPr/>
          <w:p>
            <w:pPr>
              <w:pStyle w:val="Compact"/>
            </w:pPr>
            <w:r>
              <w:t xml:space="preserve">CancelUpdate</w:t>
            </w:r>
          </w:p>
        </w:tc>
        <w:tc>
          <w:tcPr/>
          <w:p>
            <w:pPr>
              <w:pStyle w:val="Compact"/>
            </w:pPr>
            <w:r>
              <w:t xml:space="preserve">Empty</w:t>
            </w:r>
          </w:p>
        </w:tc>
        <w:tc>
          <w:tcPr/>
          <w:p>
            <w:pPr>
              <w:pStyle w:val="Compact"/>
            </w:pPr>
            <w:r>
              <w:t xml:space="preserve">Cancels pending row updates not yet committed.</w:t>
            </w:r>
          </w:p>
        </w:tc>
      </w:tr>
      <w:tr>
        <w:tc>
          <w:tcPr/>
          <w:p>
            <w:pPr>
              <w:pStyle w:val="Compact"/>
            </w:pPr>
            <w:r>
              <w:t xml:space="preserve">Find</w:t>
            </w:r>
          </w:p>
        </w:tc>
        <w:tc>
          <w:tcPr/>
          <w:p>
            <w:pPr>
              <w:pStyle w:val="Compact"/>
            </w:pPr>
            <w:r>
              <w:t xml:space="preserve">Empty</w:t>
            </w:r>
          </w:p>
        </w:tc>
        <w:tc>
          <w:tcPr/>
          <w:p>
            <w:pPr>
              <w:pStyle w:val="Compact"/>
            </w:pPr>
            <w:r>
              <w:t xml:space="preserve">Locates and moves to the first row matching the criteria (format:</w:t>
            </w:r>
            <w:r>
              <w:t xml:space="preserve"> </w:t>
            </w:r>
            <w:r>
              <w:rPr>
                <w:rStyle w:val="VerbatimChar"/>
              </w:rPr>
              <w:t xml:space="preserve">field = value</w:t>
            </w:r>
            <w:r>
              <w:t xml:space="preserve">).</w:t>
            </w:r>
          </w:p>
        </w:tc>
      </w:tr>
      <w:tr>
        <w:tc>
          <w:tcPr/>
          <w:p>
            <w:pPr>
              <w:pStyle w:val="Compact"/>
            </w:pPr>
            <w:r>
              <w:t xml:space="preserve">NextRecordset</w:t>
            </w:r>
          </w:p>
        </w:tc>
        <w:tc>
          <w:tcPr/>
          <w:p>
            <w:pPr>
              <w:pStyle w:val="Compact"/>
            </w:pPr>
            <w:r>
              <w:t xml:space="preserve">Recordset or Nothing</w:t>
            </w:r>
          </w:p>
        </w:tc>
        <w:tc>
          <w:tcPr/>
          <w:p>
            <w:pPr>
              <w:pStyle w:val="Compact"/>
            </w:pPr>
            <w:r>
              <w:t xml:space="preserve">Returns the next result set if the command produced multiple result sets, or Nothing if no additional result set exists.</w:t>
            </w:r>
          </w:p>
        </w:tc>
      </w:tr>
      <w:tr>
        <w:tc>
          <w:tcPr/>
          <w:p>
            <w:pPr>
              <w:pStyle w:val="Compact"/>
            </w:pPr>
            <w:r>
              <w:t xml:space="preserve">Clone</w:t>
            </w:r>
          </w:p>
        </w:tc>
        <w:tc>
          <w:tcPr/>
          <w:p>
            <w:pPr>
              <w:pStyle w:val="Compact"/>
            </w:pPr>
            <w:r>
              <w:t xml:space="preserve">Recordset</w:t>
            </w:r>
          </w:p>
        </w:tc>
        <w:tc>
          <w:tcPr/>
          <w:p>
            <w:pPr>
              <w:pStyle w:val="Compact"/>
            </w:pPr>
            <w:r>
              <w:t xml:space="preserve">Creates an independent copy of the current Recordset with the same structure.</w:t>
            </w:r>
          </w:p>
        </w:tc>
      </w:tr>
      <w:tr>
        <w:tc>
          <w:tcPr/>
          <w:p>
            <w:pPr>
              <w:pStyle w:val="Compact"/>
            </w:pPr>
            <w:r>
              <w:t xml:space="preserve">CompareBookmarks</w:t>
            </w:r>
          </w:p>
        </w:tc>
        <w:tc>
          <w:tcPr/>
          <w:p>
            <w:pPr>
              <w:pStyle w:val="Compact"/>
            </w:pPr>
            <w:r>
              <w:t xml:space="preserve">Integer</w:t>
            </w:r>
          </w:p>
        </w:tc>
        <w:tc>
          <w:tcPr/>
          <w:p>
            <w:pPr>
              <w:pStyle w:val="Compact"/>
            </w:pPr>
            <w:r>
              <w:t xml:space="preserve">Compares two bookmarks. Returns -1 (first is less), 0 (equal), or 1 (first is greater).</w:t>
            </w:r>
          </w:p>
        </w:tc>
      </w:tr>
      <w:tr>
        <w:tc>
          <w:tcPr/>
          <w:p>
            <w:pPr>
              <w:pStyle w:val="Compact"/>
            </w:pPr>
            <w:r>
              <w:t xml:space="preserve">AddNew</w:t>
            </w:r>
          </w:p>
        </w:tc>
        <w:tc>
          <w:tcPr/>
          <w:p>
            <w:pPr>
              <w:pStyle w:val="Compact"/>
            </w:pPr>
            <w:r>
              <w:t xml:space="preserve">Empty</w:t>
            </w:r>
          </w:p>
        </w:tc>
        <w:tc>
          <w:tcPr/>
          <w:p>
            <w:pPr>
              <w:pStyle w:val="Compact"/>
            </w:pPr>
            <w:r>
              <w:t xml:space="preserve">Adds a new empty row to the Recordset in memory. Follow with Update to persist.</w:t>
            </w:r>
          </w:p>
        </w:tc>
      </w:tr>
      <w:tr>
        <w:tc>
          <w:tcPr/>
          <w:p>
            <w:pPr>
              <w:pStyle w:val="Compact"/>
            </w:pPr>
            <w:r>
              <w:t xml:space="preserve">Update</w:t>
            </w:r>
          </w:p>
        </w:tc>
        <w:tc>
          <w:tcPr/>
          <w:p>
            <w:pPr>
              <w:pStyle w:val="Compact"/>
            </w:pPr>
            <w:r>
              <w:t xml:space="preserve">Empty</w:t>
            </w:r>
          </w:p>
        </w:tc>
        <w:tc>
          <w:tcPr/>
          <w:p>
            <w:pPr>
              <w:pStyle w:val="Compact"/>
            </w:pPr>
            <w:r>
              <w:t xml:space="preserve">Persists the current row to the database (after AddNew or field modifications).</w:t>
            </w:r>
          </w:p>
        </w:tc>
      </w:tr>
      <w:tr>
        <w:tc>
          <w:tcPr/>
          <w:p>
            <w:pPr>
              <w:pStyle w:val="Compact"/>
            </w:pPr>
            <w:r>
              <w:t xml:space="preserve">Delete</w:t>
            </w:r>
          </w:p>
        </w:tc>
        <w:tc>
          <w:tcPr/>
          <w:p>
            <w:pPr>
              <w:pStyle w:val="Compact"/>
            </w:pPr>
            <w:r>
              <w:t xml:space="preserve">Empty</w:t>
            </w:r>
          </w:p>
        </w:tc>
        <w:tc>
          <w:tcPr/>
          <w:p>
            <w:pPr>
              <w:pStyle w:val="Compact"/>
            </w:pPr>
            <w:r>
              <w:t xml:space="preserve">Deletes the current row.</w:t>
            </w:r>
          </w:p>
        </w:tc>
      </w:tr>
      <w:tr>
        <w:tc>
          <w:tcPr/>
          <w:p>
            <w:pPr>
              <w:pStyle w:val="Compact"/>
            </w:pPr>
            <w:r>
              <w:t xml:space="preserve">GetRows</w:t>
            </w:r>
          </w:p>
        </w:tc>
        <w:tc>
          <w:tcPr/>
          <w:p>
            <w:pPr>
              <w:pStyle w:val="Compact"/>
            </w:pPr>
            <w:r>
              <w:t xml:space="preserve">Array or Empty</w:t>
            </w:r>
          </w:p>
        </w:tc>
        <w:tc>
          <w:tcPr/>
          <w:p>
            <w:pPr>
              <w:pStyle w:val="Compact"/>
            </w:pPr>
            <w:r>
              <w:t xml:space="preserve">Returns a 2D array of the entire result set (columns first, then rows). Empty if Recordset is closed or empty.</w:t>
            </w:r>
          </w:p>
        </w:tc>
      </w:tr>
      <w:tr>
        <w:tc>
          <w:tcPr/>
          <w:p>
            <w:pPr>
              <w:pStyle w:val="Compact"/>
            </w:pPr>
            <w:r>
              <w:t xml:space="preserve">GetString</w:t>
            </w:r>
          </w:p>
        </w:tc>
        <w:tc>
          <w:tcPr/>
          <w:p>
            <w:pPr>
              <w:pStyle w:val="Compact"/>
            </w:pPr>
            <w:r>
              <w:t xml:space="preserve">String</w:t>
            </w:r>
          </w:p>
        </w:tc>
        <w:tc>
          <w:tcPr/>
          <w:p>
            <w:pPr>
              <w:pStyle w:val="Compact"/>
            </w:pPr>
            <w:r>
              <w:t xml:space="preserve">Returns the entire result set as a tab-separated string with newline row delimiters.</w:t>
            </w:r>
          </w:p>
        </w:tc>
      </w:tr>
      <w:tr>
        <w:tc>
          <w:tcPr/>
          <w:p>
            <w:pPr>
              <w:pStyle w:val="Compact"/>
            </w:pPr>
            <w:r>
              <w:t xml:space="preserve">Requery</w:t>
            </w:r>
          </w:p>
        </w:tc>
        <w:tc>
          <w:tcPr/>
          <w:p>
            <w:pPr>
              <w:pStyle w:val="Compact"/>
            </w:pPr>
            <w:r>
              <w:t xml:space="preserve">Empty</w:t>
            </w:r>
          </w:p>
        </w:tc>
        <w:tc>
          <w:tcPr/>
          <w:p>
            <w:pPr>
              <w:pStyle w:val="Compact"/>
            </w:pPr>
            <w:r>
              <w:t xml:space="preserve">Re-executes the original query to refresh the Recordset.</w:t>
            </w:r>
          </w:p>
        </w:tc>
      </w:tr>
      <w:tr>
        <w:tc>
          <w:tcPr/>
          <w:p>
            <w:pPr>
              <w:pStyle w:val="Compact"/>
            </w:pPr>
            <w:r>
              <w:t xml:space="preserve">Resync</w:t>
            </w:r>
          </w:p>
        </w:tc>
        <w:tc>
          <w:tcPr/>
          <w:p>
            <w:pPr>
              <w:pStyle w:val="Compact"/>
            </w:pPr>
            <w:r>
              <w:t xml:space="preserve">Empty</w:t>
            </w:r>
          </w:p>
        </w:tc>
        <w:tc>
          <w:tcPr/>
          <w:p>
            <w:pPr>
              <w:pStyle w:val="Compact"/>
            </w:pPr>
            <w:r>
              <w:t xml:space="preserve">Refreshes the current row data from the database (no-op in current runtime).</w:t>
            </w:r>
          </w:p>
        </w:tc>
      </w:tr>
      <w:tr>
        <w:tc>
          <w:tcPr/>
          <w:p>
            <w:pPr>
              <w:pStyle w:val="Compact"/>
            </w:pPr>
            <w:r>
              <w:t xml:space="preserve">Save</w:t>
            </w:r>
          </w:p>
        </w:tc>
        <w:tc>
          <w:tcPr/>
          <w:p>
            <w:pPr>
              <w:pStyle w:val="Compact"/>
            </w:pPr>
            <w:r>
              <w:t xml:space="preserve">Empty</w:t>
            </w:r>
          </w:p>
        </w:tc>
        <w:tc>
          <w:tcPr/>
          <w:p>
            <w:pPr>
              <w:pStyle w:val="Compact"/>
            </w:pPr>
            <w:r>
              <w:t xml:space="preserve">Writes the Recordset to a file or ADODB.Stream object in XML format.</w:t>
            </w:r>
          </w:p>
        </w:tc>
      </w:tr>
      <w:tr>
        <w:tc>
          <w:tcPr/>
          <w:p>
            <w:pPr>
              <w:pStyle w:val="Compact"/>
            </w:pPr>
            <w:r>
              <w:t xml:space="preserve">Seek</w:t>
            </w:r>
          </w:p>
        </w:tc>
        <w:tc>
          <w:tcPr/>
          <w:p>
            <w:pPr>
              <w:pStyle w:val="Compact"/>
            </w:pPr>
            <w:r>
              <w:t xml:space="preserve">Empty</w:t>
            </w:r>
          </w:p>
        </w:tc>
        <w:tc>
          <w:tcPr/>
          <w:p>
            <w:pPr>
              <w:pStyle w:val="Compact"/>
            </w:pPr>
            <w:r>
              <w:t xml:space="preserve">Positions the current row by searching the index. Requires the current Recordset to have an Index property set.</w:t>
            </w:r>
          </w:p>
        </w:tc>
      </w:tr>
      <w:tr>
        <w:tc>
          <w:tcPr/>
          <w:p>
            <w:pPr>
              <w:pStyle w:val="Compact"/>
            </w:pPr>
            <w:r>
              <w:t xml:space="preserve">Supports</w:t>
            </w:r>
          </w:p>
        </w:tc>
        <w:tc>
          <w:tcPr/>
          <w:p>
            <w:pPr>
              <w:pStyle w:val="Compact"/>
            </w:pPr>
            <w:r>
              <w:t xml:space="preserve">Boolean</w:t>
            </w:r>
          </w:p>
        </w:tc>
        <w:tc>
          <w:tcPr/>
          <w:p>
            <w:pPr>
              <w:pStyle w:val="Compact"/>
            </w:pPr>
            <w:r>
              <w:t xml:space="preserve">Returns true if the Recordset supports the specified feature (e.g., bookmarks, seeking).</w:t>
            </w:r>
          </w:p>
        </w:tc>
      </w:tr>
      <w:tr>
        <w:tc>
          <w:tcPr/>
          <w:p>
            <w:pPr>
              <w:pStyle w:val="Compact"/>
            </w:pPr>
            <w:r>
              <w:t xml:space="preserve">UpdateBatch</w:t>
            </w:r>
          </w:p>
        </w:tc>
        <w:tc>
          <w:tcPr/>
          <w:p>
            <w:pPr>
              <w:pStyle w:val="Compact"/>
            </w:pPr>
            <w:r>
              <w:t xml:space="preserve">Empty</w:t>
            </w:r>
          </w:p>
        </w:tc>
        <w:tc>
          <w:tcPr/>
          <w:p>
            <w:pPr>
              <w:pStyle w:val="Compact"/>
            </w:pPr>
            <w:r>
              <w:t xml:space="preserve">Applies all pending batch updates to the database (no-op in current runtime).</w:t>
            </w:r>
          </w:p>
        </w:tc>
      </w:tr>
    </w:tbl>
    <w:bookmarkEnd w:id="5207"/>
    <w:bookmarkStart w:id="5208" w:name="command-methods"/>
    <w:p>
      <w:pPr>
        <w:pStyle w:val="Heading2"/>
      </w:pPr>
      <w:r>
        <w:t xml:space="preserve">Command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Execute</w:t>
            </w:r>
          </w:p>
        </w:tc>
        <w:tc>
          <w:tcPr/>
          <w:p>
            <w:pPr>
              <w:pStyle w:val="Compact"/>
            </w:pPr>
            <w:r>
              <w:t xml:space="preserve">Recordset, Integer, or Empty</w:t>
            </w:r>
          </w:p>
        </w:tc>
        <w:tc>
          <w:tcPr/>
          <w:p>
            <w:pPr>
              <w:pStyle w:val="Compact"/>
            </w:pPr>
            <w:r>
              <w:t xml:space="preserve">Executes the SQL statement in CommandText. Returns a Recordset for queries, an Integer row count for modifications, or Empty on failure. Use Connection.Execute for simplified direct execution.</w:t>
            </w:r>
          </w:p>
        </w:tc>
      </w:tr>
      <w:tr>
        <w:tc>
          <w:tcPr/>
          <w:p>
            <w:pPr>
              <w:pStyle w:val="Compact"/>
            </w:pPr>
            <w:r>
              <w:t xml:space="preserve">CreateParameter</w:t>
            </w:r>
          </w:p>
        </w:tc>
        <w:tc>
          <w:tcPr/>
          <w:p>
            <w:pPr>
              <w:pStyle w:val="Compact"/>
            </w:pPr>
            <w:r>
              <w:t xml:space="preserve">Parameter</w:t>
            </w:r>
          </w:p>
        </w:tc>
        <w:tc>
          <w:tcPr/>
          <w:p>
            <w:pPr>
              <w:pStyle w:val="Compact"/>
            </w:pPr>
            <w:r>
              <w:t xml:space="preserve">Creates a Parameter object with the specified data type, direction (in/out), size, and value.</w:t>
            </w:r>
          </w:p>
        </w:tc>
      </w:tr>
      <w:tr>
        <w:tc>
          <w:tcPr/>
          <w:p>
            <w:pPr>
              <w:pStyle w:val="Compact"/>
            </w:pPr>
            <w:r>
              <w:t xml:space="preserve">Cancel</w:t>
            </w:r>
          </w:p>
        </w:tc>
        <w:tc>
          <w:tcPr/>
          <w:p>
            <w:pPr>
              <w:pStyle w:val="Compact"/>
            </w:pPr>
            <w:r>
              <w:t xml:space="preserve">Empty</w:t>
            </w:r>
          </w:p>
        </w:tc>
        <w:tc>
          <w:tcPr/>
          <w:p>
            <w:pPr>
              <w:pStyle w:val="Compact"/>
            </w:pPr>
            <w:r>
              <w:t xml:space="preserve">Cancels the current operation (no-op in current runtime).</w:t>
            </w:r>
          </w:p>
        </w:tc>
      </w:tr>
    </w:tbl>
    <w:bookmarkEnd w:id="5208"/>
    <w:bookmarkStart w:id="5209" w:name="collection-methods"/>
    <w:p>
      <w:pPr>
        <w:pStyle w:val="Heading2"/>
      </w:pPr>
      <w:r>
        <w:t xml:space="preserve">Collection Methods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Object</w:t>
            </w:r>
          </w:p>
        </w:tc>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Errors</w:t>
            </w:r>
          </w:p>
        </w:tc>
        <w:tc>
          <w:tcPr/>
          <w:p>
            <w:pPr>
              <w:pStyle w:val="Compact"/>
            </w:pPr>
            <w:r>
              <w:t xml:space="preserve">Count</w:t>
            </w:r>
          </w:p>
        </w:tc>
        <w:tc>
          <w:tcPr/>
          <w:p>
            <w:pPr>
              <w:pStyle w:val="Compact"/>
            </w:pPr>
            <w:r>
              <w:t xml:space="preserve">Integer</w:t>
            </w:r>
          </w:p>
        </w:tc>
        <w:tc>
          <w:tcPr/>
          <w:p>
            <w:pPr>
              <w:pStyle w:val="Compact"/>
            </w:pPr>
            <w:r>
              <w:t xml:space="preserve">Returns the number of errors in the collection.</w:t>
            </w:r>
          </w:p>
        </w:tc>
      </w:tr>
      <w:tr>
        <w:tc>
          <w:tcPr/>
          <w:p>
            <w:pPr>
              <w:pStyle w:val="Compact"/>
            </w:pPr>
            <w:r>
              <w:t xml:space="preserve">Errors</w:t>
            </w:r>
          </w:p>
        </w:tc>
        <w:tc>
          <w:tcPr/>
          <w:p>
            <w:pPr>
              <w:pStyle w:val="Compact"/>
            </w:pPr>
            <w:r>
              <w:t xml:space="preserve">Item</w:t>
            </w:r>
          </w:p>
        </w:tc>
        <w:tc>
          <w:tcPr/>
          <w:p>
            <w:pPr>
              <w:pStyle w:val="Compact"/>
            </w:pPr>
            <w:r>
              <w:t xml:space="preserve">Error or Empty</w:t>
            </w:r>
          </w:p>
        </w:tc>
        <w:tc>
          <w:tcPr/>
          <w:p>
            <w:pPr>
              <w:pStyle w:val="Compact"/>
            </w:pPr>
            <w:r>
              <w:t xml:space="preserve">Returns the error at the specified index, or Empty if out of range.</w:t>
            </w:r>
          </w:p>
        </w:tc>
      </w:tr>
      <w:tr>
        <w:tc>
          <w:tcPr/>
          <w:p>
            <w:pPr>
              <w:pStyle w:val="Compact"/>
            </w:pPr>
            <w:r>
              <w:t xml:space="preserve">Errors</w:t>
            </w:r>
          </w:p>
        </w:tc>
        <w:tc>
          <w:tcPr/>
          <w:p>
            <w:pPr>
              <w:pStyle w:val="Compact"/>
            </w:pPr>
            <w:r>
              <w:t xml:space="preserve">Clear</w:t>
            </w:r>
          </w:p>
        </w:tc>
        <w:tc>
          <w:tcPr/>
          <w:p>
            <w:pPr>
              <w:pStyle w:val="Compact"/>
            </w:pPr>
            <w:r>
              <w:t xml:space="preserve">Empty</w:t>
            </w:r>
          </w:p>
        </w:tc>
        <w:tc>
          <w:tcPr/>
          <w:p>
            <w:pPr>
              <w:pStyle w:val="Compact"/>
            </w:pPr>
            <w:r>
              <w:t xml:space="preserve">Clears all errors from the collection.</w:t>
            </w:r>
          </w:p>
        </w:tc>
      </w:tr>
      <w:tr>
        <w:tc>
          <w:tcPr/>
          <w:p>
            <w:pPr>
              <w:pStyle w:val="Compact"/>
            </w:pPr>
            <w:r>
              <w:t xml:space="preserve">Fields</w:t>
            </w:r>
          </w:p>
        </w:tc>
        <w:tc>
          <w:tcPr/>
          <w:p>
            <w:pPr>
              <w:pStyle w:val="Compact"/>
            </w:pPr>
            <w:r>
              <w:t xml:space="preserve">Append</w:t>
            </w:r>
          </w:p>
        </w:tc>
        <w:tc>
          <w:tcPr/>
          <w:p>
            <w:pPr>
              <w:pStyle w:val="Compact"/>
            </w:pPr>
            <w:r>
              <w:t xml:space="preserve">Empty</w:t>
            </w:r>
          </w:p>
        </w:tc>
        <w:tc>
          <w:tcPr/>
          <w:p>
            <w:pPr>
              <w:pStyle w:val="Compact"/>
            </w:pPr>
            <w:r>
              <w:t xml:space="preserve">Adds a new Field definition to the collection (schema design).</w:t>
            </w:r>
          </w:p>
        </w:tc>
      </w:tr>
      <w:tr>
        <w:tc>
          <w:tcPr/>
          <w:p>
            <w:pPr>
              <w:pStyle w:val="Compact"/>
            </w:pPr>
            <w:r>
              <w:t xml:space="preserve">Fields</w:t>
            </w:r>
          </w:p>
        </w:tc>
        <w:tc>
          <w:tcPr/>
          <w:p>
            <w:pPr>
              <w:pStyle w:val="Compact"/>
            </w:pPr>
            <w:r>
              <w:t xml:space="preserve">Item</w:t>
            </w:r>
          </w:p>
        </w:tc>
        <w:tc>
          <w:tcPr/>
          <w:p>
            <w:pPr>
              <w:pStyle w:val="Compact"/>
            </w:pPr>
            <w:r>
              <w:t xml:space="preserve">Field</w:t>
            </w:r>
          </w:p>
        </w:tc>
        <w:tc>
          <w:tcPr/>
          <w:p>
            <w:pPr>
              <w:pStyle w:val="Compact"/>
            </w:pPr>
            <w:r>
              <w:t xml:space="preserve">Returns the Field at the specified index or by name.</w:t>
            </w:r>
          </w:p>
        </w:tc>
      </w:tr>
      <w:tr>
        <w:tc>
          <w:tcPr/>
          <w:p>
            <w:pPr>
              <w:pStyle w:val="Compact"/>
            </w:pPr>
            <w:r>
              <w:t xml:space="preserve">Fields</w:t>
            </w:r>
          </w:p>
        </w:tc>
        <w:tc>
          <w:tcPr/>
          <w:p>
            <w:pPr>
              <w:pStyle w:val="Compact"/>
            </w:pPr>
            <w:r>
              <w:t xml:space="preserve">Count</w:t>
            </w:r>
          </w:p>
        </w:tc>
        <w:tc>
          <w:tcPr/>
          <w:p>
            <w:pPr>
              <w:pStyle w:val="Compact"/>
            </w:pPr>
            <w:r>
              <w:t xml:space="preserve">Integer</w:t>
            </w:r>
          </w:p>
        </w:tc>
        <w:tc>
          <w:tcPr/>
          <w:p>
            <w:pPr>
              <w:pStyle w:val="Compact"/>
            </w:pPr>
            <w:r>
              <w:t xml:space="preserve">Returns the number of fields in the collection.</w:t>
            </w:r>
          </w:p>
        </w:tc>
      </w:tr>
      <w:tr>
        <w:tc>
          <w:tcPr/>
          <w:p>
            <w:pPr>
              <w:pStyle w:val="Compact"/>
            </w:pPr>
            <w:r>
              <w:t xml:space="preserve">Field</w:t>
            </w:r>
          </w:p>
        </w:tc>
        <w:tc>
          <w:tcPr/>
          <w:p>
            <w:pPr>
              <w:pStyle w:val="Compact"/>
            </w:pPr>
            <w:r>
              <w:t xml:space="preserve">AppendChunk</w:t>
            </w:r>
          </w:p>
        </w:tc>
        <w:tc>
          <w:tcPr/>
          <w:p>
            <w:pPr>
              <w:pStyle w:val="Compact"/>
            </w:pPr>
            <w:r>
              <w:t xml:space="preserve">Empty</w:t>
            </w:r>
          </w:p>
        </w:tc>
        <w:tc>
          <w:tcPr/>
          <w:p>
            <w:pPr>
              <w:pStyle w:val="Compact"/>
            </w:pPr>
            <w:r>
              <w:t xml:space="preserve">Appends binary or text data to a Blob field.</w:t>
            </w:r>
          </w:p>
        </w:tc>
      </w:tr>
      <w:tr>
        <w:tc>
          <w:tcPr/>
          <w:p>
            <w:pPr>
              <w:pStyle w:val="Compact"/>
            </w:pPr>
            <w:r>
              <w:t xml:space="preserve">Field</w:t>
            </w:r>
          </w:p>
        </w:tc>
        <w:tc>
          <w:tcPr/>
          <w:p>
            <w:pPr>
              <w:pStyle w:val="Compact"/>
            </w:pPr>
            <w:r>
              <w:t xml:space="preserve">GetChunk</w:t>
            </w:r>
          </w:p>
        </w:tc>
        <w:tc>
          <w:tcPr/>
          <w:p>
            <w:pPr>
              <w:pStyle w:val="Compact"/>
            </w:pPr>
            <w:r>
              <w:t xml:space="preserve">String</w:t>
            </w:r>
          </w:p>
        </w:tc>
        <w:tc>
          <w:tcPr/>
          <w:p>
            <w:pPr>
              <w:pStyle w:val="Compact"/>
            </w:pPr>
            <w:r>
              <w:t xml:space="preserve">Retrieves a chunk of binary or text data from a Blob field.</w:t>
            </w:r>
          </w:p>
        </w:tc>
      </w:tr>
      <w:tr>
        <w:tc>
          <w:tcPr/>
          <w:p>
            <w:pPr>
              <w:pStyle w:val="Compact"/>
            </w:pPr>
            <w:r>
              <w:t xml:space="preserve">Parameters</w:t>
            </w:r>
          </w:p>
        </w:tc>
        <w:tc>
          <w:tcPr/>
          <w:p>
            <w:pPr>
              <w:pStyle w:val="Compact"/>
            </w:pPr>
            <w:r>
              <w:t xml:space="preserve">Append</w:t>
            </w:r>
          </w:p>
        </w:tc>
        <w:tc>
          <w:tcPr/>
          <w:p>
            <w:pPr>
              <w:pStyle w:val="Compact"/>
            </w:pPr>
            <w:r>
              <w:t xml:space="preserve">Empty</w:t>
            </w:r>
          </w:p>
        </w:tc>
        <w:tc>
          <w:tcPr/>
          <w:p>
            <w:pPr>
              <w:pStyle w:val="Compact"/>
            </w:pPr>
            <w:r>
              <w:t xml:space="preserve">Adds a Parameter to the command’s parameter collection.</w:t>
            </w:r>
          </w:p>
        </w:tc>
      </w:tr>
      <w:tr>
        <w:tc>
          <w:tcPr/>
          <w:p>
            <w:pPr>
              <w:pStyle w:val="Compact"/>
            </w:pPr>
            <w:r>
              <w:t xml:space="preserve">Parameters</w:t>
            </w:r>
          </w:p>
        </w:tc>
        <w:tc>
          <w:tcPr/>
          <w:p>
            <w:pPr>
              <w:pStyle w:val="Compact"/>
            </w:pPr>
            <w:r>
              <w:t xml:space="preserve">Count</w:t>
            </w:r>
          </w:p>
        </w:tc>
        <w:tc>
          <w:tcPr/>
          <w:p>
            <w:pPr>
              <w:pStyle w:val="Compact"/>
            </w:pPr>
            <w:r>
              <w:t xml:space="preserve">Integer</w:t>
            </w:r>
          </w:p>
        </w:tc>
        <w:tc>
          <w:tcPr/>
          <w:p>
            <w:pPr>
              <w:pStyle w:val="Compact"/>
            </w:pPr>
            <w:r>
              <w:t xml:space="preserve">Returns the number of parameters in the collection.</w:t>
            </w:r>
          </w:p>
        </w:tc>
      </w:tr>
    </w:tbl>
    <w:bookmarkEnd w:id="5209"/>
    <w:bookmarkStart w:id="5210" w:name="code-example-37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parms</w:t>
      </w:r>
      <w:r>
        <w:rPr>
          <w:rStyle w:val="OtherTok"/>
        </w:rPr>
        <w:t xml:space="preserve">,</w:t>
      </w:r>
      <w:r>
        <w:rPr>
          <w:rStyle w:val="NormalTok"/>
        </w:rPr>
        <w:t xml:space="preserve"> affected</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"./data/app.db"</w:t>
      </w:r>
      <w:r>
        <w:rPr>
          <w:rStyle w:val="OtherTok"/>
        </w:rPr>
        <w:t xml:space="preserve">)</w:t>
      </w:r>
      <w:r>
        <w:br/>
      </w:r>
      <w:r>
        <w:rPr>
          <w:rStyle w:val="NormalTok"/>
        </w:rPr>
        <w:t xml:space="preserve">conn.</w:t>
      </w:r>
      <w:r>
        <w:rPr>
          <w:rStyle w:val="KeywordTok"/>
        </w:rPr>
        <w:t xml:space="preserve">Open</w:t>
      </w:r>
      <w:r>
        <w:br/>
      </w:r>
      <w:r>
        <w:br/>
      </w:r>
      <w:r>
        <w:rPr>
          <w:rStyle w:val="NormalTok"/>
        </w:rPr>
        <w:t xml:space="preserve">affected = conn.</w:t>
      </w:r>
      <w:r>
        <w:rPr>
          <w:rStyle w:val="KeywordTok"/>
        </w:rPr>
        <w:t xml:space="preserve">Execute</w:t>
      </w:r>
      <w:r>
        <w:rPr>
          <w:rStyle w:val="OtherTok"/>
        </w:rPr>
        <w:t xml:space="preserve">(</w:t>
      </w:r>
      <w:r>
        <w:rPr>
          <w:rStyle w:val="StringTok"/>
        </w:rPr>
        <w:t xml:space="preserve">"UPDATE users SET active = 1 WHERE active = 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"Rows updated: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affected</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ControlFlowTok"/>
        </w:rPr>
        <w:t xml:space="preserve">Do While</w:t>
      </w:r>
      <w:r>
        <w:rPr>
          <w:rStyle w:val="NormalTok"/>
        </w:rPr>
        <w:t xml:space="preserve"> </w:t>
      </w:r>
      <w:r>
        <w:rPr>
          <w:rStyle w:val="KeywordTok"/>
        </w:rPr>
        <w:t xml:space="preserve">Not</w:t>
      </w:r>
      <w:r>
        <w:rPr>
          <w:rStyle w:val="NormalTok"/>
        </w:rPr>
        <w:t xml:space="preserve"> rs.</w:t>
      </w:r>
      <w:r>
        <w:rPr>
          <w:rStyle w:val="KeywordTok"/>
        </w:rPr>
        <w:t xml:space="preserve">EOF</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w:t>
      </w:r>
      <w:r>
        <w:rPr>
          <w:rStyle w:val="KeywordTok"/>
        </w:rPr>
        <w:t xml:space="preserve">&amp;</w:t>
      </w:r>
      <w:r>
        <w:rPr>
          <w:rStyle w:val="NormalTok"/>
        </w:rPr>
        <w:t xml:space="preserve"> </w:t>
      </w:r>
      <w:r>
        <w:rPr>
          <w:rStyle w:val="StringTok"/>
        </w:rPr>
        <w:t xml:space="preserve">"&lt;br&gt;"</w:t>
      </w:r>
      <w:r>
        <w:br/>
      </w:r>
      <w:r>
        <w:rPr>
          <w:rStyle w:val="NormalTok"/>
        </w:rPr>
        <w:t xml:space="preserve">    rs.</w:t>
      </w:r>
      <w:r>
        <w:rPr>
          <w:rStyle w:val="KeywordTok"/>
        </w:rPr>
        <w:t xml:space="preserve">MoveNext</w:t>
      </w:r>
      <w:r>
        <w:br/>
      </w:r>
      <w:r>
        <w:rPr>
          <w:rStyle w:val="ControlFlowTok"/>
        </w:rPr>
        <w:t xml:space="preserve">Loop</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10"/>
    <w:bookmarkEnd w:id="5211"/>
    <w:bookmarkStart w:id="5222" w:name="adodb-properties-reference"/>
    <w:p>
      <w:pPr>
        <w:pStyle w:val="Heading1"/>
      </w:pPr>
      <w:r>
        <w:t xml:space="preserve">ADODB Properties Reference</w:t>
      </w:r>
    </w:p>
    <w:bookmarkStart w:id="5212" w:name="connection-properties"/>
    <w:p>
      <w:pPr>
        <w:pStyle w:val="Heading2"/>
      </w:pPr>
      <w:r>
        <w:t xml:space="preserve">Connection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ConnectionString</w:t>
            </w:r>
          </w:p>
        </w:tc>
        <w:tc>
          <w:tcPr/>
          <w:p>
            <w:pPr>
              <w:pStyle w:val="Compact"/>
            </w:pPr>
            <w:r>
              <w:t xml:space="preserve">Read/Write</w:t>
            </w:r>
          </w:p>
        </w:tc>
        <w:tc>
          <w:tcPr/>
          <w:p>
            <w:pPr>
              <w:pStyle w:val="Compact"/>
            </w:pPr>
            <w:r>
              <w:t xml:space="preserve">String</w:t>
            </w:r>
          </w:p>
        </w:tc>
        <w:tc>
          <w:tcPr/>
          <w:p>
            <w:pPr>
              <w:pStyle w:val="Compact"/>
            </w:pPr>
            <w:r>
              <w:t xml:space="preserve">Full provider connection string (e.g.,</w:t>
            </w:r>
            <w:r>
              <w:t xml:space="preserve"> </w:t>
            </w:r>
            <w:r>
              <w:rPr>
                <w:rStyle w:val="VerbatimChar"/>
              </w:rPr>
              <w:t xml:space="preserve">Driver={SQLite3};Data Source=app.db</w:t>
            </w:r>
            <w:r>
              <w:t xml:space="preserve">).</w:t>
            </w:r>
          </w:p>
        </w:tc>
      </w:tr>
      <w:tr>
        <w:tc>
          <w:tcPr/>
          <w:p>
            <w:pPr>
              <w:pStyle w:val="Compact"/>
            </w:pPr>
            <w:r>
              <w:t xml:space="preserve">State</w:t>
            </w:r>
          </w:p>
        </w:tc>
        <w:tc>
          <w:tcPr/>
          <w:p>
            <w:pPr>
              <w:pStyle w:val="Compact"/>
            </w:pPr>
            <w:r>
              <w:t xml:space="preserve">Read</w:t>
            </w:r>
          </w:p>
        </w:tc>
        <w:tc>
          <w:tcPr/>
          <w:p>
            <w:pPr>
              <w:pStyle w:val="Compact"/>
            </w:pPr>
            <w:r>
              <w:t xml:space="preserve">Integer</w:t>
            </w:r>
          </w:p>
        </w:tc>
        <w:tc>
          <w:tcPr/>
          <w:p>
            <w:pPr>
              <w:pStyle w:val="Compact"/>
            </w:pPr>
            <w:r>
              <w:t xml:space="preserve">Connection state: 0 (closed), 1 (open).</w:t>
            </w:r>
          </w:p>
        </w:tc>
      </w:tr>
      <w:tr>
        <w:tc>
          <w:tcPr/>
          <w:p>
            <w:pPr>
              <w:pStyle w:val="Compact"/>
            </w:pPr>
            <w:r>
              <w:t xml:space="preserve">Mode</w:t>
            </w:r>
          </w:p>
        </w:tc>
        <w:tc>
          <w:tcPr/>
          <w:p>
            <w:pPr>
              <w:pStyle w:val="Compact"/>
            </w:pPr>
            <w:r>
              <w:t xml:space="preserve">Read/Write</w:t>
            </w:r>
          </w:p>
        </w:tc>
        <w:tc>
          <w:tcPr/>
          <w:p>
            <w:pPr>
              <w:pStyle w:val="Compact"/>
            </w:pPr>
            <w:r>
              <w:t xml:space="preserve">Integer</w:t>
            </w:r>
          </w:p>
        </w:tc>
        <w:tc>
          <w:tcPr/>
          <w:p>
            <w:pPr>
              <w:pStyle w:val="Compact"/>
            </w:pPr>
            <w:r>
              <w:t xml:space="preserve">Access mode for the connection.</w:t>
            </w:r>
          </w:p>
        </w:tc>
      </w:tr>
      <w:tr>
        <w:tc>
          <w:tcPr/>
          <w:p>
            <w:pPr>
              <w:pStyle w:val="Compact"/>
            </w:pPr>
            <w:r>
              <w:t xml:space="preserve">Provider</w:t>
            </w:r>
          </w:p>
        </w:tc>
        <w:tc>
          <w:tcPr/>
          <w:p>
            <w:pPr>
              <w:pStyle w:val="Compact"/>
            </w:pPr>
            <w:r>
              <w:t xml:space="preserve">Read/Write</w:t>
            </w:r>
          </w:p>
        </w:tc>
        <w:tc>
          <w:tcPr/>
          <w:p>
            <w:pPr>
              <w:pStyle w:val="Compact"/>
            </w:pPr>
            <w:r>
              <w:t xml:space="preserve">String</w:t>
            </w:r>
          </w:p>
        </w:tc>
        <w:tc>
          <w:tcPr/>
          <w:p>
            <w:pPr>
              <w:pStyle w:val="Compact"/>
            </w:pPr>
            <w:r>
              <w:t xml:space="preserve">Provider name (e.g., sqloledb, msdasql).</w:t>
            </w:r>
          </w:p>
        </w:tc>
      </w:tr>
      <w:tr>
        <w:tc>
          <w:tcPr/>
          <w:p>
            <w:pPr>
              <w:pStyle w:val="Compact"/>
            </w:pPr>
            <w:r>
              <w:t xml:space="preserve">Version</w:t>
            </w:r>
          </w:p>
        </w:tc>
        <w:tc>
          <w:tcPr/>
          <w:p>
            <w:pPr>
              <w:pStyle w:val="Compact"/>
            </w:pPr>
            <w:r>
              <w:t xml:space="preserve">Read</w:t>
            </w:r>
          </w:p>
        </w:tc>
        <w:tc>
          <w:tcPr/>
          <w:p>
            <w:pPr>
              <w:pStyle w:val="Compact"/>
            </w:pPr>
            <w:r>
              <w:t xml:space="preserve">String</w:t>
            </w:r>
          </w:p>
        </w:tc>
        <w:tc>
          <w:tcPr/>
          <w:p>
            <w:pPr>
              <w:pStyle w:val="Compact"/>
            </w:pPr>
            <w:r>
              <w:t xml:space="preserve">Version string for compatibility reporting.</w:t>
            </w:r>
          </w:p>
        </w:tc>
      </w:tr>
      <w:tr>
        <w:tc>
          <w:tcPr/>
          <w:p>
            <w:pPr>
              <w:pStyle w:val="Compact"/>
            </w:pPr>
            <w:r>
              <w:t xml:space="preserve">CommandTimeout</w:t>
            </w:r>
          </w:p>
        </w:tc>
        <w:tc>
          <w:tcPr/>
          <w:p>
            <w:pPr>
              <w:pStyle w:val="Compact"/>
            </w:pPr>
            <w:r>
              <w:t xml:space="preserve">Read/Write</w:t>
            </w:r>
          </w:p>
        </w:tc>
        <w:tc>
          <w:tcPr/>
          <w:p>
            <w:pPr>
              <w:pStyle w:val="Compact"/>
            </w:pPr>
            <w:r>
              <w:t xml:space="preserve">Integer</w:t>
            </w:r>
          </w:p>
        </w:tc>
        <w:tc>
          <w:tcPr/>
          <w:p>
            <w:pPr>
              <w:pStyle w:val="Compact"/>
            </w:pPr>
            <w:r>
              <w:t xml:space="preserve">Default timeout in seconds for command execution.</w:t>
            </w:r>
          </w:p>
        </w:tc>
      </w:tr>
      <w:tr>
        <w:tc>
          <w:tcPr/>
          <w:p>
            <w:pPr>
              <w:pStyle w:val="Compact"/>
            </w:pPr>
            <w:r>
              <w:t xml:space="preserve">ConnectionTimeout</w:t>
            </w:r>
          </w:p>
        </w:tc>
        <w:tc>
          <w:tcPr/>
          <w:p>
            <w:pPr>
              <w:pStyle w:val="Compact"/>
            </w:pPr>
            <w:r>
              <w:t xml:space="preserve">Read/Write</w:t>
            </w:r>
          </w:p>
        </w:tc>
        <w:tc>
          <w:tcPr/>
          <w:p>
            <w:pPr>
              <w:pStyle w:val="Compact"/>
            </w:pPr>
            <w:r>
              <w:t xml:space="preserve">Integer</w:t>
            </w:r>
          </w:p>
        </w:tc>
        <w:tc>
          <w:tcPr/>
          <w:p>
            <w:pPr>
              <w:pStyle w:val="Compact"/>
            </w:pPr>
            <w:r>
              <w:t xml:space="preserve">Timeout in seconds for establishing the connection.</w:t>
            </w:r>
          </w:p>
        </w:tc>
      </w:tr>
      <w:tr>
        <w:tc>
          <w:tcPr/>
          <w:p>
            <w:pPr>
              <w:pStyle w:val="Compact"/>
            </w:pPr>
            <w:r>
              <w:t xml:space="preserve">CursorLocation</w:t>
            </w:r>
          </w:p>
        </w:tc>
        <w:tc>
          <w:tcPr/>
          <w:p>
            <w:pPr>
              <w:pStyle w:val="Compact"/>
            </w:pPr>
            <w:r>
              <w:t xml:space="preserve">Read/Write</w:t>
            </w:r>
          </w:p>
        </w:tc>
        <w:tc>
          <w:tcPr/>
          <w:p>
            <w:pPr>
              <w:pStyle w:val="Compact"/>
            </w:pPr>
            <w:r>
              <w:t xml:space="preserve">Integer</w:t>
            </w:r>
          </w:p>
        </w:tc>
        <w:tc>
          <w:tcPr/>
          <w:p>
            <w:pPr>
              <w:pStyle w:val="Compact"/>
            </w:pPr>
            <w:r>
              <w:t xml:space="preserve">Cursor location: 1 (server-side), 3 (client-side).</w:t>
            </w:r>
          </w:p>
        </w:tc>
      </w:tr>
      <w:tr>
        <w:tc>
          <w:tcPr/>
          <w:p>
            <w:pPr>
              <w:pStyle w:val="Compact"/>
            </w:pPr>
            <w:r>
              <w:t xml:space="preserve">DefaultDatabase</w:t>
            </w:r>
          </w:p>
        </w:tc>
        <w:tc>
          <w:tcPr/>
          <w:p>
            <w:pPr>
              <w:pStyle w:val="Compact"/>
            </w:pPr>
            <w:r>
              <w:t xml:space="preserve">Read/Write</w:t>
            </w:r>
          </w:p>
        </w:tc>
        <w:tc>
          <w:tcPr/>
          <w:p>
            <w:pPr>
              <w:pStyle w:val="Compact"/>
            </w:pPr>
            <w:r>
              <w:t xml:space="preserve">String</w:t>
            </w:r>
          </w:p>
        </w:tc>
        <w:tc>
          <w:tcPr/>
          <w:p>
            <w:pPr>
              <w:pStyle w:val="Compact"/>
            </w:pPr>
            <w:r>
              <w:t xml:space="preserve">Default database or catalog name.</w:t>
            </w:r>
          </w:p>
        </w:tc>
      </w:tr>
      <w:tr>
        <w:tc>
          <w:tcPr/>
          <w:p>
            <w:pPr>
              <w:pStyle w:val="Compact"/>
            </w:pPr>
            <w:r>
              <w:t xml:space="preserve">IsolationLevel</w:t>
            </w:r>
          </w:p>
        </w:tc>
        <w:tc>
          <w:tcPr/>
          <w:p>
            <w:pPr>
              <w:pStyle w:val="Compact"/>
            </w:pPr>
            <w:r>
              <w:t xml:space="preserve">Read/Write</w:t>
            </w:r>
          </w:p>
        </w:tc>
        <w:tc>
          <w:tcPr/>
          <w:p>
            <w:pPr>
              <w:pStyle w:val="Compact"/>
            </w:pPr>
            <w:r>
              <w:t xml:space="preserve">Integer</w:t>
            </w:r>
          </w:p>
        </w:tc>
        <w:tc>
          <w:tcPr/>
          <w:p>
            <w:pPr>
              <w:pStyle w:val="Compact"/>
            </w:pPr>
            <w:r>
              <w:t xml:space="preserve">Transaction isolation level.</w:t>
            </w:r>
          </w:p>
        </w:tc>
      </w:tr>
      <w:tr>
        <w:tc>
          <w:tcPr/>
          <w:p>
            <w:pPr>
              <w:pStyle w:val="Compact"/>
            </w:pPr>
            <w:r>
              <w:t xml:space="preserve">Errors</w:t>
            </w:r>
          </w:p>
        </w:tc>
        <w:tc>
          <w:tcPr/>
          <w:p>
            <w:pPr>
              <w:pStyle w:val="Compact"/>
            </w:pPr>
            <w:r>
              <w:t xml:space="preserve">Read</w:t>
            </w:r>
          </w:p>
        </w:tc>
        <w:tc>
          <w:tcPr/>
          <w:p>
            <w:pPr>
              <w:pStyle w:val="Compact"/>
            </w:pPr>
            <w:r>
              <w:t xml:space="preserve">Object</w:t>
            </w:r>
          </w:p>
        </w:tc>
        <w:tc>
          <w:tcPr/>
          <w:p>
            <w:pPr>
              <w:pStyle w:val="Compact"/>
            </w:pPr>
            <w:r>
              <w:t xml:space="preserve">Errors collection containing all errors from the last failed operation.</w:t>
            </w:r>
          </w:p>
        </w:tc>
      </w:tr>
    </w:tbl>
    <w:bookmarkEnd w:id="5212"/>
    <w:bookmarkStart w:id="5213" w:name="recordset-properties"/>
    <w:p>
      <w:pPr>
        <w:pStyle w:val="Heading2"/>
      </w:pPr>
      <w:r>
        <w:t xml:space="preserve">Recordset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EOF</w:t>
            </w:r>
          </w:p>
        </w:tc>
        <w:tc>
          <w:tcPr/>
          <w:p>
            <w:pPr>
              <w:pStyle w:val="Compact"/>
            </w:pPr>
            <w:r>
              <w:t xml:space="preserve">Read</w:t>
            </w:r>
          </w:p>
        </w:tc>
        <w:tc>
          <w:tcPr/>
          <w:p>
            <w:pPr>
              <w:pStyle w:val="Compact"/>
            </w:pPr>
            <w:r>
              <w:t xml:space="preserve">Boolean</w:t>
            </w:r>
          </w:p>
        </w:tc>
        <w:tc>
          <w:tcPr/>
          <w:p>
            <w:pPr>
              <w:pStyle w:val="Compact"/>
            </w:pPr>
            <w:r>
              <w:t xml:space="preserve">True when cursor is positioned after the last row.</w:t>
            </w:r>
          </w:p>
        </w:tc>
      </w:tr>
      <w:tr>
        <w:tc>
          <w:tcPr/>
          <w:p>
            <w:pPr>
              <w:pStyle w:val="Compact"/>
            </w:pPr>
            <w:r>
              <w:t xml:space="preserve">BOF</w:t>
            </w:r>
          </w:p>
        </w:tc>
        <w:tc>
          <w:tcPr/>
          <w:p>
            <w:pPr>
              <w:pStyle w:val="Compact"/>
            </w:pPr>
            <w:r>
              <w:t xml:space="preserve">Read</w:t>
            </w:r>
          </w:p>
        </w:tc>
        <w:tc>
          <w:tcPr/>
          <w:p>
            <w:pPr>
              <w:pStyle w:val="Compact"/>
            </w:pPr>
            <w:r>
              <w:t xml:space="preserve">Boolean</w:t>
            </w:r>
          </w:p>
        </w:tc>
        <w:tc>
          <w:tcPr/>
          <w:p>
            <w:pPr>
              <w:pStyle w:val="Compact"/>
            </w:pPr>
            <w:r>
              <w:t xml:space="preserve">True when cursor is positioned before the first row.</w:t>
            </w:r>
          </w:p>
        </w:tc>
      </w:tr>
      <w:tr>
        <w:tc>
          <w:tcPr/>
          <w:p>
            <w:pPr>
              <w:pStyle w:val="Compact"/>
            </w:pPr>
            <w:r>
              <w:t xml:space="preserve">State</w:t>
            </w:r>
          </w:p>
        </w:tc>
        <w:tc>
          <w:tcPr/>
          <w:p>
            <w:pPr>
              <w:pStyle w:val="Compact"/>
            </w:pPr>
            <w:r>
              <w:t xml:space="preserve">Read</w:t>
            </w:r>
          </w:p>
        </w:tc>
        <w:tc>
          <w:tcPr/>
          <w:p>
            <w:pPr>
              <w:pStyle w:val="Compact"/>
            </w:pPr>
            <w:r>
              <w:t xml:space="preserve">Integer</w:t>
            </w:r>
          </w:p>
        </w:tc>
        <w:tc>
          <w:tcPr/>
          <w:p>
            <w:pPr>
              <w:pStyle w:val="Compact"/>
            </w:pPr>
            <w:r>
              <w:t xml:space="preserve">Recordset state: 0 (closed), 1 (open).</w:t>
            </w:r>
          </w:p>
        </w:tc>
      </w:tr>
      <w:tr>
        <w:tc>
          <w:tcPr/>
          <w:p>
            <w:pPr>
              <w:pStyle w:val="Compact"/>
            </w:pPr>
            <w:r>
              <w:t xml:space="preserve">RecordCount</w:t>
            </w:r>
          </w:p>
        </w:tc>
        <w:tc>
          <w:tcPr/>
          <w:p>
            <w:pPr>
              <w:pStyle w:val="Compact"/>
            </w:pPr>
            <w:r>
              <w:t xml:space="preserve">Read</w:t>
            </w:r>
          </w:p>
        </w:tc>
        <w:tc>
          <w:tcPr/>
          <w:p>
            <w:pPr>
              <w:pStyle w:val="Compact"/>
            </w:pPr>
            <w:r>
              <w:t xml:space="preserve">Integer</w:t>
            </w:r>
          </w:p>
        </w:tc>
        <w:tc>
          <w:tcPr/>
          <w:p>
            <w:pPr>
              <w:pStyle w:val="Compact"/>
            </w:pPr>
            <w:r>
              <w:t xml:space="preserve">Number of rows currently materialized in memory.</w:t>
            </w:r>
          </w:p>
        </w:tc>
      </w:tr>
      <w:tr>
        <w:tc>
          <w:tcPr/>
          <w:p>
            <w:pPr>
              <w:pStyle w:val="Compact"/>
            </w:pPr>
            <w:r>
              <w:t xml:space="preserve">Fields</w:t>
            </w:r>
          </w:p>
        </w:tc>
        <w:tc>
          <w:tcPr/>
          <w:p>
            <w:pPr>
              <w:pStyle w:val="Compact"/>
            </w:pPr>
            <w:r>
              <w:t xml:space="preserve">Read</w:t>
            </w:r>
          </w:p>
        </w:tc>
        <w:tc>
          <w:tcPr/>
          <w:p>
            <w:pPr>
              <w:pStyle w:val="Compact"/>
            </w:pPr>
            <w:r>
              <w:t xml:space="preserve">Object</w:t>
            </w:r>
          </w:p>
        </w:tc>
        <w:tc>
          <w:tcPr/>
          <w:p>
            <w:pPr>
              <w:pStyle w:val="Compact"/>
            </w:pPr>
            <w:r>
              <w:t xml:space="preserve">Fields collection representing the current column schema.</w:t>
            </w:r>
          </w:p>
        </w:tc>
      </w:tr>
      <w:tr>
        <w:tc>
          <w:tcPr/>
          <w:p>
            <w:pPr>
              <w:pStyle w:val="Compact"/>
            </w:pPr>
            <w:r>
              <w:t xml:space="preserve">AbsolutePage</w:t>
            </w:r>
          </w:p>
        </w:tc>
        <w:tc>
          <w:tcPr/>
          <w:p>
            <w:pPr>
              <w:pStyle w:val="Compact"/>
            </w:pPr>
            <w:r>
              <w:t xml:space="preserve">Read/Write</w:t>
            </w:r>
          </w:p>
        </w:tc>
        <w:tc>
          <w:tcPr/>
          <w:p>
            <w:pPr>
              <w:pStyle w:val="Compact"/>
            </w:pPr>
            <w:r>
              <w:t xml:space="preserve">Integer</w:t>
            </w:r>
          </w:p>
        </w:tc>
        <w:tc>
          <w:tcPr/>
          <w:p>
            <w:pPr>
              <w:pStyle w:val="Compact"/>
            </w:pPr>
            <w:r>
              <w:t xml:space="preserve">Current page index (used with PageSize).</w:t>
            </w:r>
          </w:p>
        </w:tc>
      </w:tr>
      <w:tr>
        <w:tc>
          <w:tcPr/>
          <w:p>
            <w:pPr>
              <w:pStyle w:val="Compact"/>
            </w:pPr>
            <w:r>
              <w:t xml:space="preserve">PageCount</w:t>
            </w:r>
          </w:p>
        </w:tc>
        <w:tc>
          <w:tcPr/>
          <w:p>
            <w:pPr>
              <w:pStyle w:val="Compact"/>
            </w:pPr>
            <w:r>
              <w:t xml:space="preserve">Read</w:t>
            </w:r>
          </w:p>
        </w:tc>
        <w:tc>
          <w:tcPr/>
          <w:p>
            <w:pPr>
              <w:pStyle w:val="Compact"/>
            </w:pPr>
            <w:r>
              <w:t xml:space="preserve">Integer</w:t>
            </w:r>
          </w:p>
        </w:tc>
        <w:tc>
          <w:tcPr/>
          <w:p>
            <w:pPr>
              <w:pStyle w:val="Compact"/>
            </w:pPr>
            <w:r>
              <w:t xml:space="preserve">Total page count based on RecordCount and PageSize.</w:t>
            </w:r>
          </w:p>
        </w:tc>
      </w:tr>
      <w:tr>
        <w:tc>
          <w:tcPr/>
          <w:p>
            <w:pPr>
              <w:pStyle w:val="Compact"/>
            </w:pPr>
            <w:r>
              <w:t xml:space="preserve">PageSize</w:t>
            </w:r>
          </w:p>
        </w:tc>
        <w:tc>
          <w:tcPr/>
          <w:p>
            <w:pPr>
              <w:pStyle w:val="Compact"/>
            </w:pPr>
            <w:r>
              <w:t xml:space="preserve">Read/Write</w:t>
            </w:r>
          </w:p>
        </w:tc>
        <w:tc>
          <w:tcPr/>
          <w:p>
            <w:pPr>
              <w:pStyle w:val="Compact"/>
            </w:pPr>
            <w:r>
              <w:t xml:space="preserve">Integer</w:t>
            </w:r>
          </w:p>
        </w:tc>
        <w:tc>
          <w:tcPr/>
          <w:p>
            <w:pPr>
              <w:pStyle w:val="Compact"/>
            </w:pPr>
            <w:r>
              <w:t xml:space="preserve">Number of rows per page.</w:t>
            </w:r>
          </w:p>
        </w:tc>
      </w:tr>
      <w:tr>
        <w:tc>
          <w:tcPr/>
          <w:p>
            <w:pPr>
              <w:pStyle w:val="Compact"/>
            </w:pPr>
            <w:r>
              <w:t xml:space="preserve">AbsolutePosition</w:t>
            </w:r>
          </w:p>
        </w:tc>
        <w:tc>
          <w:tcPr/>
          <w:p>
            <w:pPr>
              <w:pStyle w:val="Compact"/>
            </w:pPr>
            <w:r>
              <w:t xml:space="preserve">Read/Write</w:t>
            </w:r>
          </w:p>
        </w:tc>
        <w:tc>
          <w:tcPr/>
          <w:p>
            <w:pPr>
              <w:pStyle w:val="Compact"/>
            </w:pPr>
            <w:r>
              <w:t xml:space="preserve">Integer</w:t>
            </w:r>
          </w:p>
        </w:tc>
        <w:tc>
          <w:tcPr/>
          <w:p>
            <w:pPr>
              <w:pStyle w:val="Compact"/>
            </w:pPr>
            <w:r>
              <w:t xml:space="preserve">One-based position of the current row.</w:t>
            </w:r>
          </w:p>
        </w:tc>
      </w:tr>
      <w:tr>
        <w:tc>
          <w:tcPr/>
          <w:p>
            <w:pPr>
              <w:pStyle w:val="Compact"/>
            </w:pPr>
            <w:r>
              <w:t xml:space="preserve">Bookmark</w:t>
            </w:r>
          </w:p>
        </w:tc>
        <w:tc>
          <w:tcPr/>
          <w:p>
            <w:pPr>
              <w:pStyle w:val="Compact"/>
            </w:pPr>
            <w:r>
              <w:t xml:space="preserve">Read/Write</w:t>
            </w:r>
          </w:p>
        </w:tc>
        <w:tc>
          <w:tcPr/>
          <w:p>
            <w:pPr>
              <w:pStyle w:val="Compact"/>
            </w:pPr>
            <w:r>
              <w:t xml:space="preserve">Variant</w:t>
            </w:r>
          </w:p>
        </w:tc>
        <w:tc>
          <w:tcPr/>
          <w:p>
            <w:pPr>
              <w:pStyle w:val="Compact"/>
            </w:pPr>
            <w:r>
              <w:t xml:space="preserve">Bookmark value for the current row (use with Seek).</w:t>
            </w:r>
          </w:p>
        </w:tc>
      </w:tr>
      <w:tr>
        <w:tc>
          <w:tcPr/>
          <w:p>
            <w:pPr>
              <w:pStyle w:val="Compact"/>
            </w:pPr>
            <w:r>
              <w:t xml:space="preserve">ActiveCommand</w:t>
            </w:r>
          </w:p>
        </w:tc>
        <w:tc>
          <w:tcPr/>
          <w:p>
            <w:pPr>
              <w:pStyle w:val="Compact"/>
            </w:pPr>
            <w:r>
              <w:t xml:space="preserve">Read/Write</w:t>
            </w:r>
          </w:p>
        </w:tc>
        <w:tc>
          <w:tcPr/>
          <w:p>
            <w:pPr>
              <w:pStyle w:val="Compact"/>
            </w:pPr>
            <w:r>
              <w:t xml:space="preserve">Object</w:t>
            </w:r>
          </w:p>
        </w:tc>
        <w:tc>
          <w:tcPr/>
          <w:p>
            <w:pPr>
              <w:pStyle w:val="Compact"/>
            </w:pPr>
            <w:r>
              <w:t xml:space="preserve">Associated Command object that produced this Recordset.</w:t>
            </w:r>
          </w:p>
        </w:tc>
      </w:tr>
      <w:tr>
        <w:tc>
          <w:tcPr/>
          <w:p>
            <w:pPr>
              <w:pStyle w:val="Compact"/>
            </w:pPr>
            <w:r>
              <w:t xml:space="preserve">CacheSize</w:t>
            </w:r>
          </w:p>
        </w:tc>
        <w:tc>
          <w:tcPr/>
          <w:p>
            <w:pPr>
              <w:pStyle w:val="Compact"/>
            </w:pPr>
            <w:r>
              <w:t xml:space="preserve">Read/Write</w:t>
            </w:r>
          </w:p>
        </w:tc>
        <w:tc>
          <w:tcPr/>
          <w:p>
            <w:pPr>
              <w:pStyle w:val="Compact"/>
            </w:pPr>
            <w:r>
              <w:t xml:space="preserve">Integer</w:t>
            </w:r>
          </w:p>
        </w:tc>
        <w:tc>
          <w:tcPr/>
          <w:p>
            <w:pPr>
              <w:pStyle w:val="Compact"/>
            </w:pPr>
            <w:r>
              <w:t xml:space="preserve">Number of rows to cache locally (minimum effective value is 1).</w:t>
            </w:r>
          </w:p>
        </w:tc>
      </w:tr>
      <w:tr>
        <w:tc>
          <w:tcPr/>
          <w:p>
            <w:pPr>
              <w:pStyle w:val="Compact"/>
            </w:pPr>
            <w:r>
              <w:t xml:space="preserve">DataMember</w:t>
            </w:r>
          </w:p>
        </w:tc>
        <w:tc>
          <w:tcPr/>
          <w:p>
            <w:pPr>
              <w:pStyle w:val="Compact"/>
            </w:pPr>
            <w:r>
              <w:t xml:space="preserve">Read/Write</w:t>
            </w:r>
          </w:p>
        </w:tc>
        <w:tc>
          <w:tcPr/>
          <w:p>
            <w:pPr>
              <w:pStyle w:val="Compact"/>
            </w:pPr>
            <w:r>
              <w:t xml:space="preserve">String</w:t>
            </w:r>
          </w:p>
        </w:tc>
        <w:tc>
          <w:tcPr/>
          <w:p>
            <w:pPr>
              <w:pStyle w:val="Compact"/>
            </w:pPr>
            <w:r>
              <w:t xml:space="preserve">Data member name for complex data sources.</w:t>
            </w:r>
          </w:p>
        </w:tc>
      </w:tr>
      <w:tr>
        <w:tc>
          <w:tcPr/>
          <w:p>
            <w:pPr>
              <w:pStyle w:val="Compact"/>
            </w:pPr>
            <w:r>
              <w:t xml:space="preserve">EditMode</w:t>
            </w:r>
          </w:p>
        </w:tc>
        <w:tc>
          <w:tcPr/>
          <w:p>
            <w:pPr>
              <w:pStyle w:val="Compact"/>
            </w:pPr>
            <w:r>
              <w:t xml:space="preserve">Read</w:t>
            </w:r>
          </w:p>
        </w:tc>
        <w:tc>
          <w:tcPr/>
          <w:p>
            <w:pPr>
              <w:pStyle w:val="Compact"/>
            </w:pPr>
            <w:r>
              <w:t xml:space="preserve">Integer</w:t>
            </w:r>
          </w:p>
        </w:tc>
        <w:tc>
          <w:tcPr/>
          <w:p>
            <w:pPr>
              <w:pStyle w:val="Compact"/>
            </w:pPr>
            <w:r>
              <w:t xml:space="preserve">Current edit mode: 0 (not editing), 1 (edit), 2 (add new).</w:t>
            </w:r>
          </w:p>
        </w:tc>
      </w:tr>
      <w:tr>
        <w:tc>
          <w:tcPr/>
          <w:p>
            <w:pPr>
              <w:pStyle w:val="Compact"/>
            </w:pPr>
            <w:r>
              <w:t xml:space="preserve">Filter</w:t>
            </w:r>
          </w:p>
        </w:tc>
        <w:tc>
          <w:tcPr/>
          <w:p>
            <w:pPr>
              <w:pStyle w:val="Compact"/>
            </w:pPr>
            <w:r>
              <w:t xml:space="preserve">Read/Write</w:t>
            </w:r>
          </w:p>
        </w:tc>
        <w:tc>
          <w:tcPr/>
          <w:p>
            <w:pPr>
              <w:pStyle w:val="Compact"/>
            </w:pPr>
            <w:r>
              <w:t xml:space="preserve">String</w:t>
            </w:r>
          </w:p>
        </w:tc>
        <w:tc>
          <w:tcPr/>
          <w:p>
            <w:pPr>
              <w:pStyle w:val="Compact"/>
            </w:pPr>
            <w:r>
              <w:t xml:space="preserve">Filter clause to restrict visible rows (format:</w:t>
            </w:r>
            <w:r>
              <w:t xml:space="preserve"> </w:t>
            </w:r>
            <w:r>
              <w:rPr>
                <w:rStyle w:val="VerbatimChar"/>
              </w:rPr>
              <w:t xml:space="preserve">field = value</w:t>
            </w:r>
            <w:r>
              <w:t xml:space="preserve">).</w:t>
            </w:r>
          </w:p>
        </w:tc>
      </w:tr>
      <w:tr>
        <w:tc>
          <w:tcPr/>
          <w:p>
            <w:pPr>
              <w:pStyle w:val="Compact"/>
            </w:pPr>
            <w:r>
              <w:t xml:space="preserve">Index</w:t>
            </w:r>
          </w:p>
        </w:tc>
        <w:tc>
          <w:tcPr/>
          <w:p>
            <w:pPr>
              <w:pStyle w:val="Compact"/>
            </w:pPr>
            <w:r>
              <w:t xml:space="preserve">Read/Write</w:t>
            </w:r>
          </w:p>
        </w:tc>
        <w:tc>
          <w:tcPr/>
          <w:p>
            <w:pPr>
              <w:pStyle w:val="Compact"/>
            </w:pPr>
            <w:r>
              <w:t xml:space="preserve">String</w:t>
            </w:r>
          </w:p>
        </w:tc>
        <w:tc>
          <w:tcPr/>
          <w:p>
            <w:pPr>
              <w:pStyle w:val="Compact"/>
            </w:pPr>
            <w:r>
              <w:t xml:space="preserve">Indexed field expression for Seek operations.</w:t>
            </w:r>
          </w:p>
        </w:tc>
      </w:tr>
      <w:tr>
        <w:tc>
          <w:tcPr/>
          <w:p>
            <w:pPr>
              <w:pStyle w:val="Compact"/>
            </w:pPr>
            <w:r>
              <w:t xml:space="preserve">MarshalOptions</w:t>
            </w:r>
          </w:p>
        </w:tc>
        <w:tc>
          <w:tcPr/>
          <w:p>
            <w:pPr>
              <w:pStyle w:val="Compact"/>
            </w:pPr>
            <w:r>
              <w:t xml:space="preserve">Read/Write</w:t>
            </w:r>
          </w:p>
        </w:tc>
        <w:tc>
          <w:tcPr/>
          <w:p>
            <w:pPr>
              <w:pStyle w:val="Compact"/>
            </w:pPr>
            <w:r>
              <w:t xml:space="preserve">Integer</w:t>
            </w:r>
          </w:p>
        </w:tc>
        <w:tc>
          <w:tcPr/>
          <w:p>
            <w:pPr>
              <w:pStyle w:val="Compact"/>
            </w:pPr>
            <w:r>
              <w:t xml:space="preserve">Options for marshaling data.</w:t>
            </w:r>
          </w:p>
        </w:tc>
      </w:tr>
      <w:tr>
        <w:tc>
          <w:tcPr/>
          <w:p>
            <w:pPr>
              <w:pStyle w:val="Compact"/>
            </w:pPr>
            <w:r>
              <w:t xml:space="preserve">MaxRecords</w:t>
            </w:r>
          </w:p>
        </w:tc>
        <w:tc>
          <w:tcPr/>
          <w:p>
            <w:pPr>
              <w:pStyle w:val="Compact"/>
            </w:pPr>
            <w:r>
              <w:t xml:space="preserve">Read/Write</w:t>
            </w:r>
          </w:p>
        </w:tc>
        <w:tc>
          <w:tcPr/>
          <w:p>
            <w:pPr>
              <w:pStyle w:val="Compact"/>
            </w:pPr>
            <w:r>
              <w:t xml:space="preserve">Integer</w:t>
            </w:r>
          </w:p>
        </w:tc>
        <w:tc>
          <w:tcPr/>
          <w:p>
            <w:pPr>
              <w:pStyle w:val="Compact"/>
            </w:pPr>
            <w:r>
              <w:t xml:space="preserve">Maximum number of rows to materialize from the source.</w:t>
            </w:r>
          </w:p>
        </w:tc>
      </w:tr>
      <w:tr>
        <w:tc>
          <w:tcPr/>
          <w:p>
            <w:pPr>
              <w:pStyle w:val="Compact"/>
            </w:pPr>
            <w:r>
              <w:t xml:space="preserve">Sort</w:t>
            </w:r>
          </w:p>
        </w:tc>
        <w:tc>
          <w:tcPr/>
          <w:p>
            <w:pPr>
              <w:pStyle w:val="Compact"/>
            </w:pPr>
            <w:r>
              <w:t xml:space="preserve">Read/Write</w:t>
            </w:r>
          </w:p>
        </w:tc>
        <w:tc>
          <w:tcPr/>
          <w:p>
            <w:pPr>
              <w:pStyle w:val="Compact"/>
            </w:pPr>
            <w:r>
              <w:t xml:space="preserve">String</w:t>
            </w:r>
          </w:p>
        </w:tc>
        <w:tc>
          <w:tcPr/>
          <w:p>
            <w:pPr>
              <w:pStyle w:val="Compact"/>
            </w:pPr>
            <w:r>
              <w:t xml:space="preserve">Sort order for rows (format:</w:t>
            </w:r>
            <w:r>
              <w:t xml:space="preserve"> </w:t>
            </w:r>
            <w:r>
              <w:rPr>
                <w:rStyle w:val="VerbatimChar"/>
              </w:rPr>
              <w:t xml:space="preserve">field ASC</w:t>
            </w:r>
            <w:r>
              <w:t xml:space="preserve"> </w:t>
            </w:r>
            <w:r>
              <w:t xml:space="preserve">or</w:t>
            </w:r>
            <w:r>
              <w:t xml:space="preserve"> </w:t>
            </w:r>
            <w:r>
              <w:rPr>
                <w:rStyle w:val="VerbatimChar"/>
              </w:rPr>
              <w:t xml:space="preserve">field DESC</w:t>
            </w:r>
            <w:r>
              <w:t xml:space="preserve">).</w:t>
            </w:r>
          </w:p>
        </w:tc>
      </w:tr>
      <w:tr>
        <w:tc>
          <w:tcPr/>
          <w:p>
            <w:pPr>
              <w:pStyle w:val="Compact"/>
            </w:pPr>
            <w:r>
              <w:t xml:space="preserve">Source</w:t>
            </w:r>
          </w:p>
        </w:tc>
        <w:tc>
          <w:tcPr/>
          <w:p>
            <w:pPr>
              <w:pStyle w:val="Compact"/>
            </w:pPr>
            <w:r>
              <w:t xml:space="preserve">Read/Write</w:t>
            </w:r>
          </w:p>
        </w:tc>
        <w:tc>
          <w:tcPr/>
          <w:p>
            <w:pPr>
              <w:pStyle w:val="Compact"/>
            </w:pPr>
            <w:r>
              <w:t xml:space="preserve">String or Object</w:t>
            </w:r>
          </w:p>
        </w:tc>
        <w:tc>
          <w:tcPr/>
          <w:p>
            <w:pPr>
              <w:pStyle w:val="Compact"/>
            </w:pPr>
            <w:r>
              <w:t xml:space="preserve">SQL source text or Command object to execute.</w:t>
            </w:r>
          </w:p>
        </w:tc>
      </w:tr>
      <w:tr>
        <w:tc>
          <w:tcPr/>
          <w:p>
            <w:pPr>
              <w:pStyle w:val="Compact"/>
            </w:pPr>
            <w:r>
              <w:t xml:space="preserve">Status</w:t>
            </w:r>
          </w:p>
        </w:tc>
        <w:tc>
          <w:tcPr/>
          <w:p>
            <w:pPr>
              <w:pStyle w:val="Compact"/>
            </w:pPr>
            <w:r>
              <w:t xml:space="preserve">Read/Write</w:t>
            </w:r>
          </w:p>
        </w:tc>
        <w:tc>
          <w:tcPr/>
          <w:p>
            <w:pPr>
              <w:pStyle w:val="Compact"/>
            </w:pPr>
            <w:r>
              <w:t xml:space="preserve">Integer</w:t>
            </w:r>
          </w:p>
        </w:tc>
        <w:tc>
          <w:tcPr/>
          <w:p>
            <w:pPr>
              <w:pStyle w:val="Compact"/>
            </w:pPr>
            <w:r>
              <w:t xml:space="preserve">Status of the current record.</w:t>
            </w:r>
          </w:p>
        </w:tc>
      </w:tr>
      <w:tr>
        <w:tc>
          <w:tcPr/>
          <w:p>
            <w:pPr>
              <w:pStyle w:val="Compact"/>
            </w:pPr>
            <w:r>
              <w:t xml:space="preserve">ActiveConnection</w:t>
            </w:r>
          </w:p>
        </w:tc>
        <w:tc>
          <w:tcPr/>
          <w:p>
            <w:pPr>
              <w:pStyle w:val="Compact"/>
            </w:pPr>
            <w:r>
              <w:t xml:space="preserve">Write</w:t>
            </w:r>
          </w:p>
        </w:tc>
        <w:tc>
          <w:tcPr/>
          <w:p>
            <w:pPr>
              <w:pStyle w:val="Compact"/>
            </w:pPr>
            <w:r>
              <w:t xml:space="preserve">Object</w:t>
            </w:r>
          </w:p>
        </w:tc>
        <w:tc>
          <w:tcPr/>
          <w:p>
            <w:pPr>
              <w:pStyle w:val="Compact"/>
            </w:pPr>
            <w:r>
              <w:t xml:space="preserve">Connection object used by Open and persistence methods.</w:t>
            </w:r>
          </w:p>
        </w:tc>
      </w:tr>
      <w:tr>
        <w:tc>
          <w:tcPr/>
          <w:p>
            <w:pPr>
              <w:pStyle w:val="Compact"/>
            </w:pPr>
            <w:r>
              <w:t xml:space="preserve">CursorType</w:t>
            </w:r>
          </w:p>
        </w:tc>
        <w:tc>
          <w:tcPr/>
          <w:p>
            <w:pPr>
              <w:pStyle w:val="Compact"/>
            </w:pPr>
            <w:r>
              <w:t xml:space="preserve">Write</w:t>
            </w:r>
          </w:p>
        </w:tc>
        <w:tc>
          <w:tcPr/>
          <w:p>
            <w:pPr>
              <w:pStyle w:val="Compact"/>
            </w:pPr>
            <w:r>
              <w:t xml:space="preserve">Integer</w:t>
            </w:r>
          </w:p>
        </w:tc>
        <w:tc>
          <w:tcPr/>
          <w:p>
            <w:pPr>
              <w:pStyle w:val="Compact"/>
            </w:pPr>
            <w:r>
              <w:t xml:space="preserve">Cursor type: 0 (forward), 1 (keyset), 2 (dynamic), 3 (static).</w:t>
            </w:r>
          </w:p>
        </w:tc>
      </w:tr>
      <w:tr>
        <w:tc>
          <w:tcPr/>
          <w:p>
            <w:pPr>
              <w:pStyle w:val="Compact"/>
            </w:pPr>
            <w:r>
              <w:t xml:space="preserve">LockType</w:t>
            </w:r>
          </w:p>
        </w:tc>
        <w:tc>
          <w:tcPr/>
          <w:p>
            <w:pPr>
              <w:pStyle w:val="Compact"/>
            </w:pPr>
            <w:r>
              <w:t xml:space="preserve">Write</w:t>
            </w:r>
          </w:p>
        </w:tc>
        <w:tc>
          <w:tcPr/>
          <w:p>
            <w:pPr>
              <w:pStyle w:val="Compact"/>
            </w:pPr>
            <w:r>
              <w:t xml:space="preserve">Integer</w:t>
            </w:r>
          </w:p>
        </w:tc>
        <w:tc>
          <w:tcPr/>
          <w:p>
            <w:pPr>
              <w:pStyle w:val="Compact"/>
            </w:pPr>
            <w:r>
              <w:t xml:space="preserve">Lock type: 1 (read-only), 2 (pessimistic), 3 (optimistic), 4 (batch).</w:t>
            </w:r>
          </w:p>
        </w:tc>
      </w:tr>
      <w:tr>
        <w:tc>
          <w:tcPr/>
          <w:p>
            <w:pPr>
              <w:pStyle w:val="Compact"/>
            </w:pPr>
            <w:r>
              <w:t xml:space="preserve">CursorLocation</w:t>
            </w:r>
          </w:p>
        </w:tc>
        <w:tc>
          <w:tcPr/>
          <w:p>
            <w:pPr>
              <w:pStyle w:val="Compact"/>
            </w:pPr>
            <w:r>
              <w:t xml:space="preserve">Write</w:t>
            </w:r>
          </w:p>
        </w:tc>
        <w:tc>
          <w:tcPr/>
          <w:p>
            <w:pPr>
              <w:pStyle w:val="Compact"/>
            </w:pPr>
            <w:r>
              <w:t xml:space="preserve">Integer</w:t>
            </w:r>
          </w:p>
        </w:tc>
        <w:tc>
          <w:tcPr/>
          <w:p>
            <w:pPr>
              <w:pStyle w:val="Compact"/>
            </w:pPr>
            <w:r>
              <w:t xml:space="preserve">Overrides connection cursor location for this Recordset.</w:t>
            </w:r>
          </w:p>
        </w:tc>
      </w:tr>
    </w:tbl>
    <w:bookmarkEnd w:id="5213"/>
    <w:bookmarkStart w:id="5214" w:name="command-properties"/>
    <w:p>
      <w:pPr>
        <w:pStyle w:val="Heading2"/>
      </w:pPr>
      <w:r>
        <w:t xml:space="preserve">Command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ActiveConnection</w:t>
            </w:r>
          </w:p>
        </w:tc>
        <w:tc>
          <w:tcPr/>
          <w:p>
            <w:pPr>
              <w:pStyle w:val="Compact"/>
            </w:pPr>
            <w:r>
              <w:t xml:space="preserve">Read/Write</w:t>
            </w:r>
          </w:p>
        </w:tc>
        <w:tc>
          <w:tcPr/>
          <w:p>
            <w:pPr>
              <w:pStyle w:val="Compact"/>
            </w:pPr>
            <w:r>
              <w:t xml:space="preserve">Object</w:t>
            </w:r>
          </w:p>
        </w:tc>
        <w:tc>
          <w:tcPr/>
          <w:p>
            <w:pPr>
              <w:pStyle w:val="Compact"/>
            </w:pPr>
            <w:r>
              <w:t xml:space="preserve">Connection object used for Execute.</w:t>
            </w:r>
          </w:p>
        </w:tc>
      </w:tr>
      <w:tr>
        <w:tc>
          <w:tcPr/>
          <w:p>
            <w:pPr>
              <w:pStyle w:val="Compact"/>
            </w:pPr>
            <w:r>
              <w:t xml:space="preserve">CommandText</w:t>
            </w:r>
          </w:p>
        </w:tc>
        <w:tc>
          <w:tcPr/>
          <w:p>
            <w:pPr>
              <w:pStyle w:val="Compact"/>
            </w:pPr>
            <w:r>
              <w:t xml:space="preserve">Read/Write</w:t>
            </w:r>
          </w:p>
        </w:tc>
        <w:tc>
          <w:tcPr/>
          <w:p>
            <w:pPr>
              <w:pStyle w:val="Compact"/>
            </w:pPr>
            <w:r>
              <w:t xml:space="preserve">String</w:t>
            </w:r>
          </w:p>
        </w:tc>
        <w:tc>
          <w:tcPr/>
          <w:p>
            <w:pPr>
              <w:pStyle w:val="Compact"/>
            </w:pPr>
            <w:r>
              <w:t xml:space="preserve">SQL statement or stored procedure name.</w:t>
            </w:r>
          </w:p>
        </w:tc>
      </w:tr>
      <w:tr>
        <w:tc>
          <w:tcPr/>
          <w:p>
            <w:pPr>
              <w:pStyle w:val="Compact"/>
            </w:pPr>
            <w:r>
              <w:t xml:space="preserve">CommandType</w:t>
            </w:r>
          </w:p>
        </w:tc>
        <w:tc>
          <w:tcPr/>
          <w:p>
            <w:pPr>
              <w:pStyle w:val="Compact"/>
            </w:pPr>
            <w:r>
              <w:t xml:space="preserve">Read/Write</w:t>
            </w:r>
          </w:p>
        </w:tc>
        <w:tc>
          <w:tcPr/>
          <w:p>
            <w:pPr>
              <w:pStyle w:val="Compact"/>
            </w:pPr>
            <w:r>
              <w:t xml:space="preserve">Integer</w:t>
            </w:r>
          </w:p>
        </w:tc>
        <w:tc>
          <w:tcPr/>
          <w:p>
            <w:pPr>
              <w:pStyle w:val="Compact"/>
            </w:pPr>
            <w:r>
              <w:t xml:space="preserve">Command type: 1 (text), 2 (table), 4 (stored procedure).</w:t>
            </w:r>
          </w:p>
        </w:tc>
      </w:tr>
      <w:tr>
        <w:tc>
          <w:tcPr/>
          <w:p>
            <w:pPr>
              <w:pStyle w:val="Compact"/>
            </w:pPr>
            <w:r>
              <w:t xml:space="preserve">CommandTimeout</w:t>
            </w:r>
          </w:p>
        </w:tc>
        <w:tc>
          <w:tcPr/>
          <w:p>
            <w:pPr>
              <w:pStyle w:val="Compact"/>
            </w:pPr>
            <w:r>
              <w:t xml:space="preserve">Read/Write</w:t>
            </w:r>
          </w:p>
        </w:tc>
        <w:tc>
          <w:tcPr/>
          <w:p>
            <w:pPr>
              <w:pStyle w:val="Compact"/>
            </w:pPr>
            <w:r>
              <w:t xml:space="preserve">Integer</w:t>
            </w:r>
          </w:p>
        </w:tc>
        <w:tc>
          <w:tcPr/>
          <w:p>
            <w:pPr>
              <w:pStyle w:val="Compact"/>
            </w:pPr>
            <w:r>
              <w:t xml:space="preserve">Timeout in seconds for command execution.</w:t>
            </w:r>
          </w:p>
        </w:tc>
      </w:tr>
      <w:tr>
        <w:tc>
          <w:tcPr/>
          <w:p>
            <w:pPr>
              <w:pStyle w:val="Compact"/>
            </w:pPr>
            <w:r>
              <w:t xml:space="preserve">Prepared</w:t>
            </w:r>
          </w:p>
        </w:tc>
        <w:tc>
          <w:tcPr/>
          <w:p>
            <w:pPr>
              <w:pStyle w:val="Compact"/>
            </w:pPr>
            <w:r>
              <w:t xml:space="preserve">Read/Write</w:t>
            </w:r>
          </w:p>
        </w:tc>
        <w:tc>
          <w:tcPr/>
          <w:p>
            <w:pPr>
              <w:pStyle w:val="Compact"/>
            </w:pPr>
            <w:r>
              <w:t xml:space="preserve">Boolean</w:t>
            </w:r>
          </w:p>
        </w:tc>
        <w:tc>
          <w:tcPr/>
          <w:p>
            <w:pPr>
              <w:pStyle w:val="Compact"/>
            </w:pPr>
            <w:r>
              <w:t xml:space="preserve">Whether the command should be prepared before execution.</w:t>
            </w:r>
          </w:p>
        </w:tc>
      </w:tr>
      <w:tr>
        <w:tc>
          <w:tcPr/>
          <w:p>
            <w:pPr>
              <w:pStyle w:val="Compact"/>
            </w:pPr>
            <w:r>
              <w:t xml:space="preserve">Parameters</w:t>
            </w:r>
          </w:p>
        </w:tc>
        <w:tc>
          <w:tcPr/>
          <w:p>
            <w:pPr>
              <w:pStyle w:val="Compact"/>
            </w:pPr>
            <w:r>
              <w:t xml:space="preserve">Read</w:t>
            </w:r>
          </w:p>
        </w:tc>
        <w:tc>
          <w:tcPr/>
          <w:p>
            <w:pPr>
              <w:pStyle w:val="Compact"/>
            </w:pPr>
            <w:r>
              <w:t xml:space="preserve">Object</w:t>
            </w:r>
          </w:p>
        </w:tc>
        <w:tc>
          <w:tcPr/>
          <w:p>
            <w:pPr>
              <w:pStyle w:val="Compact"/>
            </w:pPr>
            <w:r>
              <w:t xml:space="preserve">Parameters collection for the command.</w:t>
            </w:r>
          </w:p>
        </w:tc>
      </w:tr>
    </w:tbl>
    <w:bookmarkEnd w:id="5214"/>
    <w:bookmarkStart w:id="5215" w:name="error-properties"/>
    <w:p>
      <w:pPr>
        <w:pStyle w:val="Heading2"/>
      </w:pPr>
      <w:r>
        <w:t xml:space="preserve">Error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Number</w:t>
            </w:r>
          </w:p>
        </w:tc>
        <w:tc>
          <w:tcPr/>
          <w:p>
            <w:pPr>
              <w:pStyle w:val="Compact"/>
            </w:pPr>
            <w:r>
              <w:t xml:space="preserve">Read</w:t>
            </w:r>
          </w:p>
        </w:tc>
        <w:tc>
          <w:tcPr/>
          <w:p>
            <w:pPr>
              <w:pStyle w:val="Compact"/>
            </w:pPr>
            <w:r>
              <w:t xml:space="preserve">Integer</w:t>
            </w:r>
          </w:p>
        </w:tc>
        <w:tc>
          <w:tcPr/>
          <w:p>
            <w:pPr>
              <w:pStyle w:val="Compact"/>
            </w:pPr>
            <w:r>
              <w:t xml:space="preserve">HRESULT-compatible error number.</w:t>
            </w:r>
          </w:p>
        </w:tc>
      </w:tr>
      <w:tr>
        <w:tc>
          <w:tcPr/>
          <w:p>
            <w:pPr>
              <w:pStyle w:val="Compact"/>
            </w:pPr>
            <w:r>
              <w:t xml:space="preserve">Description</w:t>
            </w:r>
          </w:p>
        </w:tc>
        <w:tc>
          <w:tcPr/>
          <w:p>
            <w:pPr>
              <w:pStyle w:val="Compact"/>
            </w:pPr>
            <w:r>
              <w:t xml:space="preserve">Read</w:t>
            </w:r>
          </w:p>
        </w:tc>
        <w:tc>
          <w:tcPr/>
          <w:p>
            <w:pPr>
              <w:pStyle w:val="Compact"/>
            </w:pPr>
            <w:r>
              <w:t xml:space="preserve">String</w:t>
            </w:r>
          </w:p>
        </w:tc>
        <w:tc>
          <w:tcPr/>
          <w:p>
            <w:pPr>
              <w:pStyle w:val="Compact"/>
            </w:pPr>
            <w:r>
              <w:t xml:space="preserve">Human-readable error message.</w:t>
            </w:r>
          </w:p>
        </w:tc>
      </w:tr>
      <w:tr>
        <w:tc>
          <w:tcPr/>
          <w:p>
            <w:pPr>
              <w:pStyle w:val="Compact"/>
            </w:pPr>
            <w:r>
              <w:t xml:space="preserve">Source</w:t>
            </w:r>
          </w:p>
        </w:tc>
        <w:tc>
          <w:tcPr/>
          <w:p>
            <w:pPr>
              <w:pStyle w:val="Compact"/>
            </w:pPr>
            <w:r>
              <w:t xml:space="preserve">Read</w:t>
            </w:r>
          </w:p>
        </w:tc>
        <w:tc>
          <w:tcPr/>
          <w:p>
            <w:pPr>
              <w:pStyle w:val="Compact"/>
            </w:pPr>
            <w:r>
              <w:t xml:space="preserve">String</w:t>
            </w:r>
          </w:p>
        </w:tc>
        <w:tc>
          <w:tcPr/>
          <w:p>
            <w:pPr>
              <w:pStyle w:val="Compact"/>
            </w:pPr>
            <w:r>
              <w:t xml:space="preserve">Member name or function that raised the error.</w:t>
            </w:r>
          </w:p>
        </w:tc>
      </w:tr>
      <w:tr>
        <w:tc>
          <w:tcPr/>
          <w:p>
            <w:pPr>
              <w:pStyle w:val="Compact"/>
            </w:pPr>
            <w:r>
              <w:t xml:space="preserve">SQLState</w:t>
            </w:r>
          </w:p>
        </w:tc>
        <w:tc>
          <w:tcPr/>
          <w:p>
            <w:pPr>
              <w:pStyle w:val="Compact"/>
            </w:pPr>
            <w:r>
              <w:t xml:space="preserve">Read</w:t>
            </w:r>
          </w:p>
        </w:tc>
        <w:tc>
          <w:tcPr/>
          <w:p>
            <w:pPr>
              <w:pStyle w:val="Compact"/>
            </w:pPr>
            <w:r>
              <w:t xml:space="preserve">String</w:t>
            </w:r>
          </w:p>
        </w:tc>
        <w:tc>
          <w:tcPr/>
          <w:p>
            <w:pPr>
              <w:pStyle w:val="Compact"/>
            </w:pPr>
            <w:r>
              <w:t xml:space="preserve">SQL state code when available.</w:t>
            </w:r>
          </w:p>
        </w:tc>
      </w:tr>
    </w:tbl>
    <w:bookmarkEnd w:id="5215"/>
    <w:bookmarkStart w:id="5216" w:name="errors-collection-properties"/>
    <w:p>
      <w:pPr>
        <w:pStyle w:val="Heading2"/>
      </w:pPr>
      <w:r>
        <w:t xml:space="preserve">Errors Collection Properties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Count</w:t>
            </w:r>
          </w:p>
        </w:tc>
        <w:tc>
          <w:tcPr/>
          <w:p>
            <w:pPr>
              <w:pStyle w:val="Compact"/>
            </w:pPr>
            <w:r>
              <w:t xml:space="preserve">Read</w:t>
            </w:r>
          </w:p>
        </w:tc>
        <w:tc>
          <w:tcPr/>
          <w:p>
            <w:pPr>
              <w:pStyle w:val="Compact"/>
            </w:pPr>
            <w:r>
              <w:t xml:space="preserve">Integer</w:t>
            </w:r>
          </w:p>
        </w:tc>
        <w:tc>
          <w:tcPr/>
          <w:p>
            <w:pPr>
              <w:pStyle w:val="Compact"/>
            </w:pPr>
            <w:r>
              <w:t xml:space="preserve">Number of errors in the collection.</w:t>
            </w:r>
          </w:p>
        </w:tc>
      </w:tr>
      <w:tr>
        <w:tc>
          <w:tcPr/>
          <w:p>
            <w:pPr>
              <w:pStyle w:val="Compact"/>
            </w:pPr>
            <w:r>
              <w:t xml:space="preserve">Item</w:t>
            </w:r>
          </w:p>
        </w:tc>
        <w:tc>
          <w:tcPr/>
          <w:p>
            <w:pPr>
              <w:pStyle w:val="Compact"/>
            </w:pPr>
            <w:r>
              <w:t xml:space="preserve">Read</w:t>
            </w:r>
          </w:p>
        </w:tc>
        <w:tc>
          <w:tcPr/>
          <w:p>
            <w:pPr>
              <w:pStyle w:val="Compact"/>
            </w:pPr>
            <w:r>
              <w:t xml:space="preserve">Object</w:t>
            </w:r>
          </w:p>
        </w:tc>
        <w:tc>
          <w:tcPr/>
          <w:p>
            <w:pPr>
              <w:pStyle w:val="Compact"/>
            </w:pPr>
            <w:r>
              <w:t xml:space="preserve">Access individual Error objects by index.</w:t>
            </w:r>
          </w:p>
        </w:tc>
      </w:tr>
    </w:tbl>
    <w:bookmarkEnd w:id="5216"/>
    <w:bookmarkStart w:id="5217" w:name="field-properties"/>
    <w:p>
      <w:pPr>
        <w:pStyle w:val="Heading2"/>
      </w:pPr>
      <w:r>
        <w:t xml:space="preserve">Field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Value</w:t>
            </w:r>
          </w:p>
        </w:tc>
        <w:tc>
          <w:tcPr/>
          <w:p>
            <w:pPr>
              <w:pStyle w:val="Compact"/>
            </w:pPr>
            <w:r>
              <w:t xml:space="preserve">Read/Write</w:t>
            </w:r>
          </w:p>
        </w:tc>
        <w:tc>
          <w:tcPr/>
          <w:p>
            <w:pPr>
              <w:pStyle w:val="Compact"/>
            </w:pPr>
            <w:r>
              <w:t xml:space="preserve">Variant</w:t>
            </w:r>
          </w:p>
        </w:tc>
        <w:tc>
          <w:tcPr/>
          <w:p>
            <w:pPr>
              <w:pStyle w:val="Compact"/>
            </w:pPr>
            <w:r>
              <w:t xml:space="preserve">Current field value.</w:t>
            </w:r>
          </w:p>
        </w:tc>
      </w:tr>
      <w:tr>
        <w:tc>
          <w:tcPr/>
          <w:p>
            <w:pPr>
              <w:pStyle w:val="Compact"/>
            </w:pPr>
            <w:r>
              <w:t xml:space="preserve">Name</w:t>
            </w:r>
          </w:p>
        </w:tc>
        <w:tc>
          <w:tcPr/>
          <w:p>
            <w:pPr>
              <w:pStyle w:val="Compact"/>
            </w:pPr>
            <w:r>
              <w:t xml:space="preserve">Read</w:t>
            </w:r>
          </w:p>
        </w:tc>
        <w:tc>
          <w:tcPr/>
          <w:p>
            <w:pPr>
              <w:pStyle w:val="Compact"/>
            </w:pPr>
            <w:r>
              <w:t xml:space="preserve">String</w:t>
            </w:r>
          </w:p>
        </w:tc>
        <w:tc>
          <w:tcPr/>
          <w:p>
            <w:pPr>
              <w:pStyle w:val="Compact"/>
            </w:pPr>
            <w:r>
              <w:t xml:space="preserve">Field name from the query schema.</w:t>
            </w:r>
          </w:p>
        </w:tc>
      </w:tr>
      <w:tr>
        <w:tc>
          <w:tcPr/>
          <w:p>
            <w:pPr>
              <w:pStyle w:val="Compact"/>
            </w:pPr>
            <w:r>
              <w:t xml:space="preserve">Type</w:t>
            </w:r>
          </w:p>
        </w:tc>
        <w:tc>
          <w:tcPr/>
          <w:p>
            <w:pPr>
              <w:pStyle w:val="Compact"/>
            </w:pPr>
            <w:r>
              <w:t xml:space="preserve">Read</w:t>
            </w:r>
          </w:p>
        </w:tc>
        <w:tc>
          <w:tcPr/>
          <w:p>
            <w:pPr>
              <w:pStyle w:val="Compact"/>
            </w:pPr>
            <w:r>
              <w:t xml:space="preserve">Integer</w:t>
            </w:r>
          </w:p>
        </w:tc>
        <w:tc>
          <w:tcPr/>
          <w:p>
            <w:pPr>
              <w:pStyle w:val="Compact"/>
            </w:pPr>
            <w:r>
              <w:t xml:space="preserve">Field data type code.</w:t>
            </w:r>
          </w:p>
        </w:tc>
      </w:tr>
      <w:tr>
        <w:tc>
          <w:tcPr/>
          <w:p>
            <w:pPr>
              <w:pStyle w:val="Compact"/>
            </w:pPr>
            <w:r>
              <w:t xml:space="preserve">DefinedSize</w:t>
            </w:r>
          </w:p>
        </w:tc>
        <w:tc>
          <w:tcPr/>
          <w:p>
            <w:pPr>
              <w:pStyle w:val="Compact"/>
            </w:pPr>
            <w:r>
              <w:t xml:space="preserve">Read</w:t>
            </w:r>
          </w:p>
        </w:tc>
        <w:tc>
          <w:tcPr/>
          <w:p>
            <w:pPr>
              <w:pStyle w:val="Compact"/>
            </w:pPr>
            <w:r>
              <w:t xml:space="preserve">Integer</w:t>
            </w:r>
          </w:p>
        </w:tc>
        <w:tc>
          <w:tcPr/>
          <w:p>
            <w:pPr>
              <w:pStyle w:val="Compact"/>
            </w:pPr>
            <w:r>
              <w:t xml:space="preserve">Declared maximum size of the field.</w:t>
            </w:r>
          </w:p>
        </w:tc>
      </w:tr>
      <w:tr>
        <w:tc>
          <w:tcPr/>
          <w:p>
            <w:pPr>
              <w:pStyle w:val="Compact"/>
            </w:pPr>
            <w:r>
              <w:t xml:space="preserve">Attributes</w:t>
            </w:r>
          </w:p>
        </w:tc>
        <w:tc>
          <w:tcPr/>
          <w:p>
            <w:pPr>
              <w:pStyle w:val="Compact"/>
            </w:pPr>
            <w:r>
              <w:t xml:space="preserve">Read</w:t>
            </w:r>
          </w:p>
        </w:tc>
        <w:tc>
          <w:tcPr/>
          <w:p>
            <w:pPr>
              <w:pStyle w:val="Compact"/>
            </w:pPr>
            <w:r>
              <w:t xml:space="preserve">Integer</w:t>
            </w:r>
          </w:p>
        </w:tc>
        <w:tc>
          <w:tcPr/>
          <w:p>
            <w:pPr>
              <w:pStyle w:val="Compact"/>
            </w:pPr>
            <w:r>
              <w:t xml:space="preserve">Field attribute flags (nullable, auto-increment, etc.).</w:t>
            </w:r>
          </w:p>
        </w:tc>
      </w:tr>
      <w:tr>
        <w:tc>
          <w:tcPr/>
          <w:p>
            <w:pPr>
              <w:pStyle w:val="Compact"/>
            </w:pPr>
            <w:r>
              <w:t xml:space="preserve">NumericScale</w:t>
            </w:r>
          </w:p>
        </w:tc>
        <w:tc>
          <w:tcPr/>
          <w:p>
            <w:pPr>
              <w:pStyle w:val="Compact"/>
            </w:pPr>
            <w:r>
              <w:t xml:space="preserve">Read/Write</w:t>
            </w:r>
          </w:p>
        </w:tc>
        <w:tc>
          <w:tcPr/>
          <w:p>
            <w:pPr>
              <w:pStyle w:val="Compact"/>
            </w:pPr>
            <w:r>
              <w:t xml:space="preserve">Integer</w:t>
            </w:r>
          </w:p>
        </w:tc>
        <w:tc>
          <w:tcPr/>
          <w:p>
            <w:pPr>
              <w:pStyle w:val="Compact"/>
            </w:pPr>
            <w:r>
              <w:t xml:space="preserve">Number of decimal places for numeric fields.</w:t>
            </w:r>
          </w:p>
        </w:tc>
      </w:tr>
      <w:tr>
        <w:tc>
          <w:tcPr/>
          <w:p>
            <w:pPr>
              <w:pStyle w:val="Compact"/>
            </w:pPr>
            <w:r>
              <w:t xml:space="preserve">ActualSize</w:t>
            </w:r>
          </w:p>
        </w:tc>
        <w:tc>
          <w:tcPr/>
          <w:p>
            <w:pPr>
              <w:pStyle w:val="Compact"/>
            </w:pPr>
            <w:r>
              <w:t xml:space="preserve">Read</w:t>
            </w:r>
          </w:p>
        </w:tc>
        <w:tc>
          <w:tcPr/>
          <w:p>
            <w:pPr>
              <w:pStyle w:val="Compact"/>
            </w:pPr>
            <w:r>
              <w:t xml:space="preserve">Integer</w:t>
            </w:r>
          </w:p>
        </w:tc>
        <w:tc>
          <w:tcPr/>
          <w:p>
            <w:pPr>
              <w:pStyle w:val="Compact"/>
            </w:pPr>
            <w:r>
              <w:t xml:space="preserve">Actual length in characters of the current value.</w:t>
            </w:r>
          </w:p>
        </w:tc>
      </w:tr>
      <w:tr>
        <w:tc>
          <w:tcPr/>
          <w:p>
            <w:pPr>
              <w:pStyle w:val="Compact"/>
            </w:pPr>
            <w:r>
              <w:t xml:space="preserve">DataFormat</w:t>
            </w:r>
          </w:p>
        </w:tc>
        <w:tc>
          <w:tcPr/>
          <w:p>
            <w:pPr>
              <w:pStyle w:val="Compact"/>
            </w:pPr>
            <w:r>
              <w:t xml:space="preserve">Read</w:t>
            </w:r>
          </w:p>
        </w:tc>
        <w:tc>
          <w:tcPr/>
          <w:p>
            <w:pPr>
              <w:pStyle w:val="Compact"/>
            </w:pPr>
            <w:r>
              <w:t xml:space="preserve">Empty</w:t>
            </w:r>
          </w:p>
        </w:tc>
        <w:tc>
          <w:tcPr/>
          <w:p>
            <w:pPr>
              <w:pStyle w:val="Compact"/>
            </w:pPr>
            <w:r>
              <w:t xml:space="preserve">Returns Empty in current runtime.</w:t>
            </w:r>
          </w:p>
        </w:tc>
      </w:tr>
      <w:tr>
        <w:tc>
          <w:tcPr/>
          <w:p>
            <w:pPr>
              <w:pStyle w:val="Compact"/>
            </w:pPr>
            <w:r>
              <w:t xml:space="preserve">OriginalValue</w:t>
            </w:r>
          </w:p>
        </w:tc>
        <w:tc>
          <w:tcPr/>
          <w:p>
            <w:pPr>
              <w:pStyle w:val="Compact"/>
            </w:pPr>
            <w:r>
              <w:t xml:space="preserve">Read</w:t>
            </w:r>
          </w:p>
        </w:tc>
        <w:tc>
          <w:tcPr/>
          <w:p>
            <w:pPr>
              <w:pStyle w:val="Compact"/>
            </w:pPr>
            <w:r>
              <w:t xml:space="preserve">Variant</w:t>
            </w:r>
          </w:p>
        </w:tc>
        <w:tc>
          <w:tcPr/>
          <w:p>
            <w:pPr>
              <w:pStyle w:val="Compact"/>
            </w:pPr>
            <w:r>
              <w:t xml:space="preserve">Original value before modification (mirrors current value in current runtime).</w:t>
            </w:r>
          </w:p>
        </w:tc>
      </w:tr>
      <w:tr>
        <w:tc>
          <w:tcPr/>
          <w:p>
            <w:pPr>
              <w:pStyle w:val="Compact"/>
            </w:pPr>
            <w:r>
              <w:t xml:space="preserve">Precision</w:t>
            </w:r>
          </w:p>
        </w:tc>
        <w:tc>
          <w:tcPr/>
          <w:p>
            <w:pPr>
              <w:pStyle w:val="Compact"/>
            </w:pPr>
            <w:r>
              <w:t xml:space="preserve">Read</w:t>
            </w:r>
          </w:p>
        </w:tc>
        <w:tc>
          <w:tcPr/>
          <w:p>
            <w:pPr>
              <w:pStyle w:val="Compact"/>
            </w:pPr>
            <w:r>
              <w:t xml:space="preserve">Integer</w:t>
            </w:r>
          </w:p>
        </w:tc>
        <w:tc>
          <w:tcPr/>
          <w:p>
            <w:pPr>
              <w:pStyle w:val="Compact"/>
            </w:pPr>
            <w:r>
              <w:t xml:space="preserve">Number of significant digits for numeric fields.</w:t>
            </w:r>
          </w:p>
        </w:tc>
      </w:tr>
      <w:tr>
        <w:tc>
          <w:tcPr/>
          <w:p>
            <w:pPr>
              <w:pStyle w:val="Compact"/>
            </w:pPr>
            <w:r>
              <w:t xml:space="preserve">Status</w:t>
            </w:r>
          </w:p>
        </w:tc>
        <w:tc>
          <w:tcPr/>
          <w:p>
            <w:pPr>
              <w:pStyle w:val="Compact"/>
            </w:pPr>
            <w:r>
              <w:t xml:space="preserve">Read</w:t>
            </w:r>
          </w:p>
        </w:tc>
        <w:tc>
          <w:tcPr/>
          <w:p>
            <w:pPr>
              <w:pStyle w:val="Compact"/>
            </w:pPr>
            <w:r>
              <w:t xml:space="preserve">Integer</w:t>
            </w:r>
          </w:p>
        </w:tc>
        <w:tc>
          <w:tcPr/>
          <w:p>
            <w:pPr>
              <w:pStyle w:val="Compact"/>
            </w:pPr>
            <w:r>
              <w:t xml:space="preserve">Field status (inherited from Recordset status).</w:t>
            </w:r>
          </w:p>
        </w:tc>
      </w:tr>
      <w:tr>
        <w:tc>
          <w:tcPr/>
          <w:p>
            <w:pPr>
              <w:pStyle w:val="Compact"/>
            </w:pPr>
            <w:r>
              <w:t xml:space="preserve">UnderlyingValue</w:t>
            </w:r>
          </w:p>
        </w:tc>
        <w:tc>
          <w:tcPr/>
          <w:p>
            <w:pPr>
              <w:pStyle w:val="Compact"/>
            </w:pPr>
            <w:r>
              <w:t xml:space="preserve">Read</w:t>
            </w:r>
          </w:p>
        </w:tc>
        <w:tc>
          <w:tcPr/>
          <w:p>
            <w:pPr>
              <w:pStyle w:val="Compact"/>
            </w:pPr>
            <w:r>
              <w:t xml:space="preserve">Variant</w:t>
            </w:r>
          </w:p>
        </w:tc>
        <w:tc>
          <w:tcPr/>
          <w:p>
            <w:pPr>
              <w:pStyle w:val="Compact"/>
            </w:pPr>
            <w:r>
              <w:t xml:space="preserve">Database value before local modifications (mirrors current value in current runtime).</w:t>
            </w:r>
          </w:p>
        </w:tc>
      </w:tr>
    </w:tbl>
    <w:bookmarkEnd w:id="5217"/>
    <w:bookmarkStart w:id="5218" w:name="fields-collection-properties"/>
    <w:p>
      <w:pPr>
        <w:pStyle w:val="Heading2"/>
      </w:pPr>
      <w:r>
        <w:t xml:space="preserve">Fields Collection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Count</w:t>
            </w:r>
          </w:p>
        </w:tc>
        <w:tc>
          <w:tcPr/>
          <w:p>
            <w:pPr>
              <w:pStyle w:val="Compact"/>
            </w:pPr>
            <w:r>
              <w:t xml:space="preserve">Read</w:t>
            </w:r>
          </w:p>
        </w:tc>
        <w:tc>
          <w:tcPr/>
          <w:p>
            <w:pPr>
              <w:pStyle w:val="Compact"/>
            </w:pPr>
            <w:r>
              <w:t xml:space="preserve">Integer</w:t>
            </w:r>
          </w:p>
        </w:tc>
        <w:tc>
          <w:tcPr/>
          <w:p>
            <w:pPr>
              <w:pStyle w:val="Compact"/>
            </w:pPr>
            <w:r>
              <w:t xml:space="preserve">Number of fields in the Recordset schema.</w:t>
            </w:r>
          </w:p>
        </w:tc>
      </w:tr>
      <w:tr>
        <w:tc>
          <w:tcPr/>
          <w:p>
            <w:pPr>
              <w:pStyle w:val="Compact"/>
            </w:pPr>
            <w:r>
              <w:t xml:space="preserve">Item</w:t>
            </w:r>
          </w:p>
        </w:tc>
        <w:tc>
          <w:tcPr/>
          <w:p>
            <w:pPr>
              <w:pStyle w:val="Compact"/>
            </w:pPr>
            <w:r>
              <w:t xml:space="preserve">Read</w:t>
            </w:r>
          </w:p>
        </w:tc>
        <w:tc>
          <w:tcPr/>
          <w:p>
            <w:pPr>
              <w:pStyle w:val="Compact"/>
            </w:pPr>
            <w:r>
              <w:t xml:space="preserve">Object</w:t>
            </w:r>
          </w:p>
        </w:tc>
        <w:tc>
          <w:tcPr/>
          <w:p>
            <w:pPr>
              <w:pStyle w:val="Compact"/>
            </w:pPr>
            <w:r>
              <w:t xml:space="preserve">Access individual Field objects by index or name.</w:t>
            </w:r>
          </w:p>
        </w:tc>
      </w:tr>
    </w:tbl>
    <w:bookmarkEnd w:id="5218"/>
    <w:bookmarkStart w:id="5219" w:name="parameter-properties"/>
    <w:p>
      <w:pPr>
        <w:pStyle w:val="Heading2"/>
      </w:pPr>
      <w:r>
        <w:t xml:space="preserve">Parameter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Name</w:t>
            </w:r>
          </w:p>
        </w:tc>
        <w:tc>
          <w:tcPr/>
          <w:p>
            <w:pPr>
              <w:pStyle w:val="Compact"/>
            </w:pPr>
            <w:r>
              <w:t xml:space="preserve">Read/Write</w:t>
            </w:r>
          </w:p>
        </w:tc>
        <w:tc>
          <w:tcPr/>
          <w:p>
            <w:pPr>
              <w:pStyle w:val="Compact"/>
            </w:pPr>
            <w:r>
              <w:t xml:space="preserve">String</w:t>
            </w:r>
          </w:p>
        </w:tc>
        <w:tc>
          <w:tcPr/>
          <w:p>
            <w:pPr>
              <w:pStyle w:val="Compact"/>
            </w:pPr>
            <w:r>
              <w:t xml:space="preserve">Parameter name (used in parameterized queries).</w:t>
            </w:r>
          </w:p>
        </w:tc>
      </w:tr>
      <w:tr>
        <w:tc>
          <w:tcPr/>
          <w:p>
            <w:pPr>
              <w:pStyle w:val="Compact"/>
            </w:pPr>
            <w:r>
              <w:t xml:space="preserve">Value</w:t>
            </w:r>
          </w:p>
        </w:tc>
        <w:tc>
          <w:tcPr/>
          <w:p>
            <w:pPr>
              <w:pStyle w:val="Compact"/>
            </w:pPr>
            <w:r>
              <w:t xml:space="preserve">Read/Write</w:t>
            </w:r>
          </w:p>
        </w:tc>
        <w:tc>
          <w:tcPr/>
          <w:p>
            <w:pPr>
              <w:pStyle w:val="Compact"/>
            </w:pPr>
            <w:r>
              <w:t xml:space="preserve">Variant</w:t>
            </w:r>
          </w:p>
        </w:tc>
        <w:tc>
          <w:tcPr/>
          <w:p>
            <w:pPr>
              <w:pStyle w:val="Compact"/>
            </w:pPr>
            <w:r>
              <w:t xml:space="preserve">Parameter value to pass to the SQL command.</w:t>
            </w:r>
          </w:p>
        </w:tc>
      </w:tr>
      <w:tr>
        <w:tc>
          <w:tcPr/>
          <w:p>
            <w:pPr>
              <w:pStyle w:val="Compact"/>
            </w:pPr>
            <w:r>
              <w:t xml:space="preserve">Type</w:t>
            </w:r>
          </w:p>
        </w:tc>
        <w:tc>
          <w:tcPr/>
          <w:p>
            <w:pPr>
              <w:pStyle w:val="Compact"/>
            </w:pPr>
            <w:r>
              <w:t xml:space="preserve">Read/Write</w:t>
            </w:r>
          </w:p>
        </w:tc>
        <w:tc>
          <w:tcPr/>
          <w:p>
            <w:pPr>
              <w:pStyle w:val="Compact"/>
            </w:pPr>
            <w:r>
              <w:t xml:space="preserve">Integer</w:t>
            </w:r>
          </w:p>
        </w:tc>
        <w:tc>
          <w:tcPr/>
          <w:p>
            <w:pPr>
              <w:pStyle w:val="Compact"/>
            </w:pPr>
            <w:r>
              <w:t xml:space="preserve">Parameter data type.</w:t>
            </w:r>
          </w:p>
        </w:tc>
      </w:tr>
      <w:tr>
        <w:tc>
          <w:tcPr/>
          <w:p>
            <w:pPr>
              <w:pStyle w:val="Compact"/>
            </w:pPr>
            <w:r>
              <w:t xml:space="preserve">Direction</w:t>
            </w:r>
          </w:p>
        </w:tc>
        <w:tc>
          <w:tcPr/>
          <w:p>
            <w:pPr>
              <w:pStyle w:val="Compact"/>
            </w:pPr>
            <w:r>
              <w:t xml:space="preserve">Read/Write</w:t>
            </w:r>
          </w:p>
        </w:tc>
        <w:tc>
          <w:tcPr/>
          <w:p>
            <w:pPr>
              <w:pStyle w:val="Compact"/>
            </w:pPr>
            <w:r>
              <w:t xml:space="preserve">Integer</w:t>
            </w:r>
          </w:p>
        </w:tc>
        <w:tc>
          <w:tcPr/>
          <w:p>
            <w:pPr>
              <w:pStyle w:val="Compact"/>
            </w:pPr>
            <w:r>
              <w:t xml:space="preserve">Parameter direction: 1 (input), 2 (output), 4 (input-output).</w:t>
            </w:r>
          </w:p>
        </w:tc>
      </w:tr>
      <w:tr>
        <w:tc>
          <w:tcPr/>
          <w:p>
            <w:pPr>
              <w:pStyle w:val="Compact"/>
            </w:pPr>
            <w:r>
              <w:t xml:space="preserve">Size</w:t>
            </w:r>
          </w:p>
        </w:tc>
        <w:tc>
          <w:tcPr/>
          <w:p>
            <w:pPr>
              <w:pStyle w:val="Compact"/>
            </w:pPr>
            <w:r>
              <w:t xml:space="preserve">Read/Write</w:t>
            </w:r>
          </w:p>
        </w:tc>
        <w:tc>
          <w:tcPr/>
          <w:p>
            <w:pPr>
              <w:pStyle w:val="Compact"/>
            </w:pPr>
            <w:r>
              <w:t xml:space="preserve">Integer</w:t>
            </w:r>
          </w:p>
        </w:tc>
        <w:tc>
          <w:tcPr/>
          <w:p>
            <w:pPr>
              <w:pStyle w:val="Compact"/>
            </w:pPr>
            <w:r>
              <w:t xml:space="preserve">Maximum parameter size in bytes.</w:t>
            </w:r>
          </w:p>
        </w:tc>
      </w:tr>
    </w:tbl>
    <w:bookmarkEnd w:id="5219"/>
    <w:bookmarkStart w:id="5221" w:name="parameters-collection-properties"/>
    <w:p>
      <w:pPr>
        <w:pStyle w:val="Heading2"/>
      </w:pPr>
      <w:r>
        <w:t xml:space="preserve">Parameters Collection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Count</w:t>
            </w:r>
          </w:p>
        </w:tc>
        <w:tc>
          <w:tcPr/>
          <w:p>
            <w:pPr>
              <w:pStyle w:val="Compact"/>
            </w:pPr>
            <w:r>
              <w:t xml:space="preserve">Read</w:t>
            </w:r>
          </w:p>
        </w:tc>
        <w:tc>
          <w:tcPr/>
          <w:p>
            <w:pPr>
              <w:pStyle w:val="Compact"/>
            </w:pPr>
            <w:r>
              <w:t xml:space="preserve">Integer</w:t>
            </w:r>
          </w:p>
        </w:tc>
        <w:tc>
          <w:tcPr/>
          <w:p>
            <w:pPr>
              <w:pStyle w:val="Compact"/>
            </w:pPr>
            <w:r>
              <w:t xml:space="preserve">Number of parameters in the collection.</w:t>
            </w:r>
          </w:p>
        </w:tc>
      </w:tr>
      <w:tr>
        <w:tc>
          <w:tcPr/>
          <w:p>
            <w:pPr>
              <w:pStyle w:val="Compact"/>
            </w:pPr>
            <w:r>
              <w:t xml:space="preserve">Item</w:t>
            </w:r>
          </w:p>
        </w:tc>
        <w:tc>
          <w:tcPr/>
          <w:p>
            <w:pPr>
              <w:pStyle w:val="Compact"/>
            </w:pPr>
            <w:r>
              <w:t xml:space="preserve">Read</w:t>
            </w:r>
          </w:p>
        </w:tc>
        <w:tc>
          <w:tcPr/>
          <w:p>
            <w:pPr>
              <w:pStyle w:val="Compact"/>
            </w:pPr>
            <w:r>
              <w:t xml:space="preserve">Object</w:t>
            </w:r>
          </w:p>
        </w:tc>
        <w:tc>
          <w:tcPr/>
          <w:p>
            <w:pPr>
              <w:pStyle w:val="Compact"/>
            </w:pPr>
            <w:r>
              <w:t xml:space="preserve">Access individual Parameter objects by index or name.</w:t>
            </w:r>
          </w:p>
        </w:tc>
      </w:tr>
    </w:tbl>
    <w:bookmarkStart w:id="5220" w:name="methods-detail-23"/>
    <w:p>
      <w:pPr>
        <w:pStyle w:val="Heading3"/>
      </w:pPr>
      <w:r>
        <w:t xml:space="preserve">Methods Detail</w:t>
      </w:r>
    </w:p>
    <w:bookmarkEnd w:id="5220"/>
    <w:bookmarkEnd w:id="5221"/>
    <w:bookmarkEnd w:id="5222"/>
    <w:bookmarkStart w:id="5228" w:name="connection.open-method"/>
    <w:p>
      <w:pPr>
        <w:pStyle w:val="Heading1"/>
      </w:pPr>
      <w:r>
        <w:t xml:space="preserve">Connection.Open Method</w:t>
      </w:r>
    </w:p>
    <w:p>
      <w:pPr>
        <w:pStyle w:val="FirstParagraph"/>
      </w:pPr>
      <w:r>
        <w:t xml:space="preserve">Opens the database connection using the configured connection string.</w:t>
      </w:r>
    </w:p>
    <w:bookmarkStart w:id="5223" w:name="syntax-577"/>
    <w:p>
      <w:pPr>
        <w:pStyle w:val="Heading2"/>
      </w:pPr>
      <w:r>
        <w:t xml:space="preserve">Syntax</w:t>
      </w:r>
    </w:p>
    <w:p>
      <w:pPr>
        <w:pStyle w:val="SourceCode"/>
      </w:pPr>
      <w:r>
        <w:rPr>
          <w:rStyle w:val="NormalTok"/>
        </w:rPr>
        <w:t xml:space="preserve">conn.Open [connectionString]</w:t>
      </w:r>
    </w:p>
    <w:bookmarkEnd w:id="5223"/>
    <w:bookmarkStart w:id="5224" w:name="parameters-and-arguments-189"/>
    <w:p>
      <w:pPr>
        <w:pStyle w:val="Heading2"/>
      </w:pPr>
      <w:r>
        <w:t xml:space="preserve">Parameters and Arguments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connectionString</w:t>
            </w:r>
          </w:p>
        </w:tc>
        <w:tc>
          <w:tcPr/>
          <w:p>
            <w:pPr>
              <w:pStyle w:val="Compact"/>
            </w:pPr>
            <w:r>
              <w:t xml:space="preserve">String</w:t>
            </w:r>
          </w:p>
        </w:tc>
        <w:tc>
          <w:tcPr/>
          <w:p>
            <w:pPr>
              <w:pStyle w:val="Compact"/>
            </w:pPr>
            <w:r>
              <w:t xml:space="preserve">No</w:t>
            </w:r>
          </w:p>
        </w:tc>
        <w:tc>
          <w:tcPr/>
          <w:p>
            <w:pPr>
              <w:pStyle w:val="Compact"/>
            </w:pPr>
            <w:r>
              <w:t xml:space="preserve">Overrides</w:t>
            </w:r>
            <w:r>
              <w:t xml:space="preserve"> </w:t>
            </w:r>
            <w:r>
              <w:rPr>
                <w:rStyle w:val="VerbatimChar"/>
              </w:rPr>
              <w:t xml:space="preserve">ConnectionString</w:t>
            </w:r>
            <w:r>
              <w:t xml:space="preserve"> </w:t>
            </w:r>
            <w:r>
              <w:t xml:space="preserve">for this call.</w:t>
            </w:r>
          </w:p>
        </w:tc>
      </w:tr>
    </w:tbl>
    <w:bookmarkEnd w:id="5224"/>
    <w:bookmarkStart w:id="5225" w:name="return-value-260"/>
    <w:p>
      <w:pPr>
        <w:pStyle w:val="Heading2"/>
      </w:pPr>
      <w:r>
        <w:t xml:space="preserve">Return Value</w:t>
      </w:r>
    </w:p>
    <w:p>
      <w:pPr>
        <w:pStyle w:val="FirstParagraph"/>
      </w:pPr>
      <w:r>
        <w:t xml:space="preserve">Empty. The method does not return a value.</w:t>
      </w:r>
    </w:p>
    <w:bookmarkEnd w:id="5225"/>
    <w:bookmarkStart w:id="5226" w:name="remarks-550"/>
    <w:p>
      <w:pPr>
        <w:pStyle w:val="Heading2"/>
      </w:pPr>
      <w:r>
        <w:t xml:space="preserve">Remarks</w:t>
      </w:r>
    </w:p>
    <w:p>
      <w:pPr>
        <w:pStyle w:val="Compact"/>
        <w:numPr>
          <w:ilvl w:val="0"/>
          <w:numId w:val="2291"/>
        </w:numPr>
      </w:pPr>
      <w:r>
        <w:t xml:space="preserve">Method names are case-insensitive.</w:t>
      </w:r>
    </w:p>
    <w:p>
      <w:pPr>
        <w:pStyle w:val="Compact"/>
        <w:numPr>
          <w:ilvl w:val="0"/>
          <w:numId w:val="2291"/>
        </w:numPr>
      </w:pPr>
      <w:r>
        <w:t xml:space="preserve">If no parameter is provided,</w:t>
      </w:r>
      <w:r>
        <w:t xml:space="preserve"> </w:t>
      </w:r>
      <w:r>
        <w:rPr>
          <w:rStyle w:val="VerbatimChar"/>
        </w:rPr>
        <w:t xml:space="preserve">ConnectionString</w:t>
      </w:r>
      <w:r>
        <w:t xml:space="preserve"> </w:t>
      </w:r>
      <w:r>
        <w:t xml:space="preserve">must already be set.</w:t>
      </w:r>
    </w:p>
    <w:p>
      <w:pPr>
        <w:pStyle w:val="Compact"/>
        <w:numPr>
          <w:ilvl w:val="0"/>
          <w:numId w:val="2291"/>
        </w:numPr>
      </w:pPr>
      <w:r>
        <w:t xml:space="preserve">After a successful call,</w:t>
      </w:r>
      <w:r>
        <w:t xml:space="preserve"> </w:t>
      </w:r>
      <w:r>
        <w:rPr>
          <w:rStyle w:val="VerbatimChar"/>
        </w:rPr>
        <w:t xml:space="preserve">State</w:t>
      </w:r>
      <w:r>
        <w:t xml:space="preserve"> </w:t>
      </w:r>
      <w:r>
        <w:t xml:space="preserve">becomes</w:t>
      </w:r>
      <w:r>
        <w:t xml:space="preserve"> </w:t>
      </w:r>
      <w:r>
        <w:rPr>
          <w:rStyle w:val="VerbatimChar"/>
        </w:rPr>
        <w:t xml:space="preserve">1</w:t>
      </w:r>
      <w:r>
        <w:t xml:space="preserve">.</w:t>
      </w:r>
    </w:p>
    <w:p>
      <w:pPr>
        <w:pStyle w:val="Compact"/>
        <w:numPr>
          <w:ilvl w:val="0"/>
          <w:numId w:val="2291"/>
        </w:numPr>
      </w:pPr>
      <w:r>
        <w:t xml:space="preserve">AxonASP accepts connection strings for common database providers through its ADODB layer.</w:t>
      </w:r>
    </w:p>
    <w:p>
      <w:pPr>
        <w:pStyle w:val="Compact"/>
        <w:numPr>
          <w:ilvl w:val="0"/>
          <w:numId w:val="2291"/>
        </w:numPr>
      </w:pPr>
      <w:r>
        <w:t xml:space="preserve">Use a MySQL connection string with</w:t>
      </w:r>
      <w:r>
        <w:t xml:space="preserve"> </w:t>
      </w:r>
      <w:r>
        <w:rPr>
          <w:rStyle w:val="VerbatimChar"/>
        </w:rPr>
        <w:t xml:space="preserve">Driver=MySQL</w:t>
      </w:r>
      <w:r>
        <w:t xml:space="preserve"> </w:t>
      </w:r>
      <w:r>
        <w:t xml:space="preserve">or another value that resolves to the MySQL driver, plus</w:t>
      </w:r>
      <w:r>
        <w:t xml:space="preserve"> </w:t>
      </w:r>
      <w:r>
        <w:rPr>
          <w:rStyle w:val="VerbatimChar"/>
        </w:rPr>
        <w:t xml:space="preserve">Server</w:t>
      </w:r>
      <w:r>
        <w:t xml:space="preserve">,</w:t>
      </w:r>
      <w:r>
        <w:t xml:space="preserve"> </w:t>
      </w:r>
      <w:r>
        <w:rPr>
          <w:rStyle w:val="VerbatimChar"/>
        </w:rPr>
        <w:t xml:space="preserve">Port</w:t>
      </w:r>
      <w:r>
        <w:t xml:space="preserve">,</w:t>
      </w:r>
      <w:r>
        <w:t xml:space="preserve"> </w:t>
      </w:r>
      <w:r>
        <w:rPr>
          <w:rStyle w:val="VerbatimChar"/>
        </w:rPr>
        <w:t xml:space="preserve">Database</w:t>
      </w:r>
      <w:r>
        <w:t xml:space="preserve">,</w:t>
      </w:r>
      <w:r>
        <w:t xml:space="preserve"> </w:t>
      </w:r>
      <w:r>
        <w:rPr>
          <w:rStyle w:val="VerbatimChar"/>
        </w:rPr>
        <w:t xml:space="preserve">Uid</w:t>
      </w:r>
      <w:r>
        <w:t xml:space="preserve">, and</w:t>
      </w:r>
      <w:r>
        <w:t xml:space="preserve"> </w:t>
      </w:r>
      <w:r>
        <w:rPr>
          <w:rStyle w:val="VerbatimChar"/>
        </w:rPr>
        <w:t xml:space="preserve">Pwd</w:t>
      </w:r>
      <w:r>
        <w:t xml:space="preserve"> </w:t>
      </w:r>
      <w:r>
        <w:t xml:space="preserve">values.</w:t>
      </w:r>
    </w:p>
    <w:p>
      <w:pPr>
        <w:pStyle w:val="Compact"/>
        <w:numPr>
          <w:ilvl w:val="0"/>
          <w:numId w:val="2291"/>
        </w:numPr>
      </w:pPr>
      <w:r>
        <w:t xml:space="preserve">Use a SQL Server connection string with</w:t>
      </w:r>
      <w:r>
        <w:t xml:space="preserve"> </w:t>
      </w:r>
      <w:r>
        <w:rPr>
          <w:rStyle w:val="VerbatimChar"/>
        </w:rPr>
        <w:t xml:space="preserve">Driver=SQL Server</w:t>
      </w:r>
      <w:r>
        <w:t xml:space="preserve">,</w:t>
      </w:r>
      <w:r>
        <w:t xml:space="preserve"> </w:t>
      </w:r>
      <w:r>
        <w:rPr>
          <w:rStyle w:val="VerbatimChar"/>
        </w:rPr>
        <w:t xml:space="preserve">Driver=MSSQL</w:t>
      </w:r>
      <w:r>
        <w:t xml:space="preserve">, or</w:t>
      </w:r>
      <w:r>
        <w:t xml:space="preserve"> </w:t>
      </w:r>
      <w:r>
        <w:rPr>
          <w:rStyle w:val="VerbatimChar"/>
        </w:rPr>
        <w:t xml:space="preserve">Provider=SQLOLEDB</w:t>
      </w:r>
      <w:r>
        <w:t xml:space="preserve">, plus the server, database, user name, and password values.</w:t>
      </w:r>
    </w:p>
    <w:p>
      <w:pPr>
        <w:pStyle w:val="Compact"/>
        <w:numPr>
          <w:ilvl w:val="0"/>
          <w:numId w:val="2291"/>
        </w:numPr>
      </w:pPr>
      <w:r>
        <w:t xml:space="preserve">Use a SQLite connection string with the</w:t>
      </w:r>
      <w:r>
        <w:t xml:space="preserve"> </w:t>
      </w:r>
      <w:r>
        <w:rPr>
          <w:rStyle w:val="VerbatimChar"/>
        </w:rPr>
        <w:t xml:space="preserve">sqlite:</w:t>
      </w:r>
      <w:r>
        <w:t xml:space="preserve"> </w:t>
      </w:r>
      <w:r>
        <w:t xml:space="preserve">prefix or</w:t>
      </w:r>
      <w:r>
        <w:t xml:space="preserve"> </w:t>
      </w:r>
      <w:r>
        <w:rPr>
          <w:rStyle w:val="VerbatimChar"/>
        </w:rPr>
        <w:t xml:space="preserve">Driver=SQLite</w:t>
      </w:r>
      <w:r>
        <w:t xml:space="preserve"> </w:t>
      </w:r>
      <w:r>
        <w:t xml:space="preserve">and a file path or</w:t>
      </w:r>
      <w:r>
        <w:t xml:space="preserve"> </w:t>
      </w:r>
      <w:r>
        <w:rPr>
          <w:rStyle w:val="VerbatimChar"/>
        </w:rPr>
        <w:t xml:space="preserve">:memory:</w:t>
      </w:r>
      <w:r>
        <w:t xml:space="preserve"> </w:t>
      </w:r>
      <w:r>
        <w:t xml:space="preserve">data source.</w:t>
      </w:r>
    </w:p>
    <w:p>
      <w:pPr>
        <w:pStyle w:val="Compact"/>
        <w:numPr>
          <w:ilvl w:val="0"/>
          <w:numId w:val="2291"/>
        </w:numPr>
      </w:pPr>
      <w:r>
        <w:t xml:space="preserve">Use a PostgreSQL connection string with</w:t>
      </w:r>
      <w:r>
        <w:t xml:space="preserve"> </w:t>
      </w:r>
      <w:r>
        <w:rPr>
          <w:rStyle w:val="VerbatimChar"/>
        </w:rPr>
        <w:t xml:space="preserve">Driver=PostgreSQL</w:t>
      </w:r>
      <w:r>
        <w:t xml:space="preserve">, plus</w:t>
      </w:r>
      <w:r>
        <w:t xml:space="preserve"> </w:t>
      </w:r>
      <w:r>
        <w:rPr>
          <w:rStyle w:val="VerbatimChar"/>
        </w:rPr>
        <w:t xml:space="preserve">Host</w:t>
      </w:r>
      <w:r>
        <w:t xml:space="preserve">,</w:t>
      </w:r>
      <w:r>
        <w:t xml:space="preserve"> </w:t>
      </w:r>
      <w:r>
        <w:rPr>
          <w:rStyle w:val="VerbatimChar"/>
        </w:rPr>
        <w:t xml:space="preserve">Port</w:t>
      </w:r>
      <w:r>
        <w:t xml:space="preserve">,</w:t>
      </w:r>
      <w:r>
        <w:t xml:space="preserve"> </w:t>
      </w:r>
      <w:r>
        <w:rPr>
          <w:rStyle w:val="VerbatimChar"/>
        </w:rPr>
        <w:t xml:space="preserve">Database</w:t>
      </w:r>
      <w:r>
        <w:t xml:space="preserve">,</w:t>
      </w:r>
      <w:r>
        <w:t xml:space="preserve"> </w:t>
      </w:r>
      <w:r>
        <w:rPr>
          <w:rStyle w:val="VerbatimChar"/>
        </w:rPr>
        <w:t xml:space="preserve">Uid</w:t>
      </w:r>
      <w:r>
        <w:t xml:space="preserve">, and</w:t>
      </w:r>
      <w:r>
        <w:t xml:space="preserve"> </w:t>
      </w:r>
      <w:r>
        <w:rPr>
          <w:rStyle w:val="VerbatimChar"/>
        </w:rPr>
        <w:t xml:space="preserve">Pwd</w:t>
      </w:r>
      <w:r>
        <w:t xml:space="preserve"> </w:t>
      </w:r>
      <w:r>
        <w:t xml:space="preserve">values.</w:t>
      </w:r>
    </w:p>
    <w:p>
      <w:pPr>
        <w:pStyle w:val="Compact"/>
        <w:numPr>
          <w:ilvl w:val="0"/>
          <w:numId w:val="2291"/>
        </w:numPr>
      </w:pPr>
      <w:r>
        <w:t xml:space="preserve">Use an Access connection string with</w:t>
      </w:r>
      <w:r>
        <w:t xml:space="preserve"> </w:t>
      </w:r>
      <w:r>
        <w:rPr>
          <w:rStyle w:val="VerbatimChar"/>
        </w:rPr>
        <w:t xml:space="preserve">Provider=Microsoft.ACE.OLEDB.12.0</w:t>
      </w:r>
      <w:r>
        <w:t xml:space="preserve"> </w:t>
      </w:r>
      <w:r>
        <w:t xml:space="preserve">or</w:t>
      </w:r>
      <w:r>
        <w:t xml:space="preserve"> </w:t>
      </w:r>
      <w:r>
        <w:rPr>
          <w:rStyle w:val="VerbatimChar"/>
        </w:rPr>
        <w:t xml:space="preserve">Provider=Microsoft.Jet.OLEDB.4.0</w:t>
      </w:r>
      <w:r>
        <w:t xml:space="preserve">.</w:t>
      </w:r>
      <w:r>
        <w:t xml:space="preserve"> </w:t>
      </w:r>
      <w:r>
        <w:rPr>
          <w:b/>
          <w:bCs/>
        </w:rPr>
        <w:t xml:space="preserve">This example works only on Windows</w:t>
      </w:r>
      <w:r>
        <w:t xml:space="preserve"> </w:t>
      </w:r>
      <w:r>
        <w:t xml:space="preserve">because the ACE and Jet providers depend on Windows COM components.</w:t>
      </w:r>
    </w:p>
    <w:p>
      <w:pPr>
        <w:pStyle w:val="Compact"/>
        <w:numPr>
          <w:ilvl w:val="0"/>
          <w:numId w:val="2291"/>
        </w:numPr>
      </w:pPr>
      <w:r>
        <w:t xml:space="preserve">If the provider or driver is missing,</w:t>
      </w:r>
      <w:r>
        <w:t xml:space="preserve"> </w:t>
      </w:r>
      <w:r>
        <w:rPr>
          <w:rStyle w:val="VerbatimChar"/>
        </w:rPr>
        <w:t xml:space="preserve">Open</w:t>
      </w:r>
      <w:r>
        <w:t xml:space="preserve"> </w:t>
      </w:r>
      <w:r>
        <w:t xml:space="preserve">raises a provider error.</w:t>
      </w:r>
    </w:p>
    <w:bookmarkEnd w:id="5226"/>
    <w:bookmarkStart w:id="5227" w:name="code-example-37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CommentTok"/>
        </w:rPr>
        <w:t xml:space="preserve">' MySQL</w:t>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"Driver=MySQL;Server=127.0.0.1;Port=3306;Database=axonasp;Uid=root;Pwd=secret;"</w:t>
      </w:r>
      <w:r>
        <w:br/>
      </w:r>
      <w:r>
        <w:rPr>
          <w:rStyle w:val="NormalTok"/>
        </w:rPr>
        <w:t xml:space="preserve">conn.</w:t>
      </w:r>
      <w:r>
        <w:rPr>
          <w:rStyle w:val="KeywordTok"/>
        </w:rPr>
        <w:t xml:space="preserve">Open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"MySQL 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conn.</w:t>
      </w:r>
      <w:r>
        <w:rPr>
          <w:rStyle w:val="KeywordTok"/>
        </w:rPr>
        <w:t xml:space="preserve">Close</w:t>
      </w:r>
      <w:r>
        <w:br/>
      </w:r>
      <w:r>
        <w:br/>
      </w:r>
      <w:r>
        <w:rPr>
          <w:rStyle w:val="CommentTok"/>
        </w:rPr>
        <w:t xml:space="preserve">' MSSQL</w:t>
      </w:r>
      <w:r>
        <w:br/>
      </w:r>
      <w:r>
        <w:rPr>
          <w:rStyle w:val="NormalTok"/>
        </w:rPr>
        <w:t xml:space="preserve">conn.ConnectionString = </w:t>
      </w:r>
      <w:r>
        <w:rPr>
          <w:rStyle w:val="StringTok"/>
        </w:rPr>
        <w:t xml:space="preserve">"Driver=SQL Server;Server=127.0.0.1;Database=axonasp;Uid=sa;Pwd=secret;"</w:t>
      </w:r>
      <w:r>
        <w:br/>
      </w:r>
      <w:r>
        <w:rPr>
          <w:rStyle w:val="NormalTok"/>
        </w:rPr>
        <w:t xml:space="preserve">conn.</w:t>
      </w:r>
      <w:r>
        <w:rPr>
          <w:rStyle w:val="KeywordTok"/>
        </w:rPr>
        <w:t xml:space="preserve">Open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"MSSQL 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conn.</w:t>
      </w:r>
      <w:r>
        <w:rPr>
          <w:rStyle w:val="KeywordTok"/>
        </w:rPr>
        <w:t xml:space="preserve">Close</w:t>
      </w:r>
      <w:r>
        <w:br/>
      </w:r>
      <w:r>
        <w:br/>
      </w:r>
      <w:r>
        <w:rPr>
          <w:rStyle w:val="CommentTok"/>
        </w:rPr>
        <w:t xml:space="preserve">' SQLite</w:t>
      </w:r>
      <w:r>
        <w:br/>
      </w:r>
      <w:r>
        <w:rPr>
          <w:rStyle w:val="NormalTok"/>
        </w:rPr>
        <w:t xml:space="preserve">conn.ConnectionString = </w:t>
      </w:r>
      <w:r>
        <w:rPr>
          <w:rStyle w:val="StringTok"/>
        </w:rPr>
        <w:t xml:space="preserve">"sqlite:"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"./data/axonasp.db"</w:t>
      </w:r>
      <w:r>
        <w:rPr>
          <w:rStyle w:val="OtherTok"/>
        </w:rPr>
        <w:t xml:space="preserve">)</w:t>
      </w:r>
      <w:r>
        <w:br/>
      </w:r>
      <w:r>
        <w:rPr>
          <w:rStyle w:val="NormalTok"/>
        </w:rPr>
        <w:t xml:space="preserve">conn.</w:t>
      </w:r>
      <w:r>
        <w:rPr>
          <w:rStyle w:val="KeywordTok"/>
        </w:rPr>
        <w:t xml:space="preserve">Open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"SQLite 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conn.</w:t>
      </w:r>
      <w:r>
        <w:rPr>
          <w:rStyle w:val="KeywordTok"/>
        </w:rPr>
        <w:t xml:space="preserve">Close</w:t>
      </w:r>
      <w:r>
        <w:br/>
      </w:r>
      <w:r>
        <w:br/>
      </w:r>
      <w:r>
        <w:rPr>
          <w:rStyle w:val="CommentTok"/>
        </w:rPr>
        <w:t xml:space="preserve">' PostgreSQL</w:t>
      </w:r>
      <w:r>
        <w:br/>
      </w:r>
      <w:r>
        <w:rPr>
          <w:rStyle w:val="NormalTok"/>
        </w:rPr>
        <w:t xml:space="preserve">conn.ConnectionString = </w:t>
      </w:r>
      <w:r>
        <w:rPr>
          <w:rStyle w:val="StringTok"/>
        </w:rPr>
        <w:t xml:space="preserve">"Driver=PostgreSQL;Host=127.0.0.1;Port=5432;Database=axonasp;Uid=postgres;Pwd=secret;"</w:t>
      </w:r>
      <w:r>
        <w:br/>
      </w:r>
      <w:r>
        <w:rPr>
          <w:rStyle w:val="NormalTok"/>
        </w:rPr>
        <w:t xml:space="preserve">conn.</w:t>
      </w:r>
      <w:r>
        <w:rPr>
          <w:rStyle w:val="KeywordTok"/>
        </w:rPr>
        <w:t xml:space="preserve">Open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"PostgreSQL 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conn.</w:t>
      </w:r>
      <w:r>
        <w:rPr>
          <w:rStyle w:val="KeywordTok"/>
        </w:rPr>
        <w:t xml:space="preserve">Close</w:t>
      </w:r>
      <w:r>
        <w:br/>
      </w:r>
      <w:r>
        <w:br/>
      </w:r>
      <w:r>
        <w:rPr>
          <w:rStyle w:val="CommentTok"/>
        </w:rPr>
        <w:t xml:space="preserve">' Access</w:t>
      </w:r>
      <w:r>
        <w:br/>
      </w:r>
      <w:r>
        <w:rPr>
          <w:rStyle w:val="CommentTok"/>
        </w:rPr>
        <w:t xml:space="preserve">' Windows only: Microsoft ACE or Jet OLE DB must be installed on the host.</w:t>
      </w:r>
      <w:r>
        <w:br/>
      </w:r>
      <w:r>
        <w:rPr>
          <w:rStyle w:val="NormalTok"/>
        </w:rPr>
        <w:t xml:space="preserve">conn.ConnectionString = </w:t>
      </w:r>
      <w:r>
        <w:rPr>
          <w:rStyle w:val="StringTok"/>
        </w:rPr>
        <w:t xml:space="preserve">"Provider=Microsoft.ACE.OLEDB.12.0;Data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"./data/axonasp.accdb"</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";Persist Security Info=False;"</w:t>
      </w:r>
      <w:r>
        <w:br/>
      </w:r>
      <w:r>
        <w:rPr>
          <w:rStyle w:val="NormalTok"/>
        </w:rPr>
        <w:t xml:space="preserve">conn.</w:t>
      </w:r>
      <w:r>
        <w:rPr>
          <w:rStyle w:val="KeywordTok"/>
        </w:rPr>
        <w:t xml:space="preserve">Open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"Access 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conn.</w:t>
      </w:r>
      <w:r>
        <w:rPr>
          <w:rStyle w:val="KeywordTok"/>
        </w:rPr>
        <w:t xml:space="preserve">Close</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27"/>
    <w:bookmarkEnd w:id="5228"/>
    <w:bookmarkStart w:id="5234" w:name="connection.close-method"/>
    <w:p>
      <w:pPr>
        <w:pStyle w:val="Heading1"/>
      </w:pPr>
      <w:r>
        <w:t xml:space="preserve">Connection.Close Method</w:t>
      </w:r>
    </w:p>
    <w:p>
      <w:pPr>
        <w:pStyle w:val="FirstParagraph"/>
      </w:pPr>
      <w:r>
        <w:t xml:space="preserve">Closes an open connection and releases provider resources.</w:t>
      </w:r>
    </w:p>
    <w:bookmarkStart w:id="5229" w:name="syntax-578"/>
    <w:p>
      <w:pPr>
        <w:pStyle w:val="Heading2"/>
      </w:pPr>
      <w:r>
        <w:t xml:space="preserve">Syntax</w:t>
      </w:r>
    </w:p>
    <w:p>
      <w:pPr>
        <w:pStyle w:val="SourceCode"/>
      </w:pPr>
      <w:r>
        <w:rPr>
          <w:rStyle w:val="NormalTok"/>
        </w:rPr>
        <w:t xml:space="preserve">conn.Close</w:t>
      </w:r>
    </w:p>
    <w:bookmarkEnd w:id="5229"/>
    <w:bookmarkStart w:id="5230" w:name="parameters-260"/>
    <w:p>
      <w:pPr>
        <w:pStyle w:val="Heading2"/>
      </w:pPr>
      <w:r>
        <w:t xml:space="preserve">Parameters</w:t>
      </w:r>
    </w:p>
    <w:p>
      <w:pPr>
        <w:pStyle w:val="FirstParagraph"/>
      </w:pPr>
      <w:r>
        <w:t xml:space="preserve">No parameters.</w:t>
      </w:r>
    </w:p>
    <w:bookmarkEnd w:id="5230"/>
    <w:bookmarkStart w:id="5231" w:name="return-value-261"/>
    <w:p>
      <w:pPr>
        <w:pStyle w:val="Heading2"/>
      </w:pPr>
      <w:r>
        <w:t xml:space="preserve">Return Value</w:t>
      </w:r>
    </w:p>
    <w:p>
      <w:pPr>
        <w:pStyle w:val="FirstParagraph"/>
      </w:pPr>
      <w:r>
        <w:t xml:space="preserve">Empty. The method does not return a value.</w:t>
      </w:r>
    </w:p>
    <w:bookmarkEnd w:id="5231"/>
    <w:bookmarkStart w:id="5232" w:name="remarks-551"/>
    <w:p>
      <w:pPr>
        <w:pStyle w:val="Heading2"/>
      </w:pPr>
      <w:r>
        <w:t xml:space="preserve">Remarks</w:t>
      </w:r>
    </w:p>
    <w:p>
      <w:pPr>
        <w:pStyle w:val="Compact"/>
        <w:numPr>
          <w:ilvl w:val="0"/>
          <w:numId w:val="2292"/>
        </w:numPr>
      </w:pPr>
      <w:r>
        <w:t xml:space="preserve">Method names are case-insensitive.</w:t>
      </w:r>
    </w:p>
    <w:p>
      <w:pPr>
        <w:pStyle w:val="Compact"/>
        <w:numPr>
          <w:ilvl w:val="0"/>
          <w:numId w:val="2292"/>
        </w:numPr>
      </w:pPr>
      <w:r>
        <w:t xml:space="preserve">Call this method when all recordsets are closed.</w:t>
      </w:r>
    </w:p>
    <w:p>
      <w:pPr>
        <w:pStyle w:val="Compact"/>
        <w:numPr>
          <w:ilvl w:val="0"/>
          <w:numId w:val="2292"/>
        </w:numPr>
      </w:pPr>
      <w:r>
        <w:t xml:space="preserve">After closing,</w:t>
      </w:r>
      <w:r>
        <w:t xml:space="preserve"> </w:t>
      </w:r>
      <w:r>
        <w:rPr>
          <w:rStyle w:val="VerbatimChar"/>
        </w:rPr>
        <w:t xml:space="preserve">State</w:t>
      </w:r>
      <w:r>
        <w:t xml:space="preserve"> </w:t>
      </w:r>
      <w:r>
        <w:t xml:space="preserve">becomes</w:t>
      </w:r>
      <w:r>
        <w:t xml:space="preserve"> </w:t>
      </w:r>
      <w:r>
        <w:rPr>
          <w:rStyle w:val="VerbatimChar"/>
        </w:rPr>
        <w:t xml:space="preserve">0</w:t>
      </w:r>
      <w:r>
        <w:t xml:space="preserve">.</w:t>
      </w:r>
    </w:p>
    <w:bookmarkEnd w:id="5232"/>
    <w:bookmarkStart w:id="5233" w:name="code-example-37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"Opened&lt;br&gt;"</w:t>
      </w:r>
      <w:r>
        <w:br/>
      </w:r>
      <w:r>
        <w:rPr>
          <w:rStyle w:val="NormalTok"/>
        </w:rPr>
        <w:t xml:space="preserve">conn.</w:t>
      </w:r>
      <w:r>
        <w:rPr>
          <w:rStyle w:val="KeywordTok"/>
        </w:rPr>
        <w:t xml:space="preserve">Close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"Closed"</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33"/>
    <w:bookmarkEnd w:id="5234"/>
    <w:bookmarkStart w:id="5240" w:name="connection.execute-method"/>
    <w:p>
      <w:pPr>
        <w:pStyle w:val="Heading1"/>
      </w:pPr>
      <w:r>
        <w:t xml:space="preserve">Connection.Execute Method</w:t>
      </w:r>
    </w:p>
    <w:p>
      <w:pPr>
        <w:pStyle w:val="FirstParagraph"/>
      </w:pPr>
      <w:r>
        <w:t xml:space="preserve">Executes a SQL statement directly on the connection.</w:t>
      </w:r>
    </w:p>
    <w:bookmarkStart w:id="5235" w:name="syntax-579"/>
    <w:p>
      <w:pPr>
        <w:pStyle w:val="Heading2"/>
      </w:pPr>
      <w:r>
        <w:t xml:space="preserve">Syntax</w:t>
      </w:r>
    </w:p>
    <w:p>
      <w:pPr>
        <w:pStyle w:val="SourceCode"/>
      </w:pPr>
      <w:r>
        <w:rPr>
          <w:rStyle w:val="NormalTok"/>
        </w:rPr>
        <w:t xml:space="preserve">result = conn.Execute(commandText)</w:t>
      </w:r>
    </w:p>
    <w:bookmarkEnd w:id="5235"/>
    <w:bookmarkStart w:id="5236" w:name="parameters-261"/>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commandText</w:t>
            </w:r>
          </w:p>
        </w:tc>
        <w:tc>
          <w:tcPr/>
          <w:p>
            <w:pPr>
              <w:pStyle w:val="Compact"/>
            </w:pPr>
            <w:r>
              <w:t xml:space="preserve">String</w:t>
            </w:r>
          </w:p>
        </w:tc>
        <w:tc>
          <w:tcPr/>
          <w:p>
            <w:pPr>
              <w:pStyle w:val="Compact"/>
            </w:pPr>
            <w:r>
              <w:t xml:space="preserve">Yes</w:t>
            </w:r>
          </w:p>
        </w:tc>
        <w:tc>
          <w:tcPr/>
          <w:p>
            <w:pPr>
              <w:pStyle w:val="Compact"/>
            </w:pPr>
            <w:r>
              <w:t xml:space="preserve">SQL statement to run.</w:t>
            </w:r>
          </w:p>
        </w:tc>
      </w:tr>
    </w:tbl>
    <w:bookmarkEnd w:id="5236"/>
    <w:bookmarkStart w:id="5237" w:name="return-value-262"/>
    <w:p>
      <w:pPr>
        <w:pStyle w:val="Heading2"/>
      </w:pPr>
      <w:r>
        <w:t xml:space="preserve">Return Value</w:t>
      </w:r>
    </w:p>
    <w:p>
      <w:pPr>
        <w:pStyle w:val="FirstParagraph"/>
      </w:pPr>
      <w:r>
        <w:t xml:space="preserve">Variant. Returns an ADODB.Recordset for query statements. Returns an Integer for affected rows in action statements. Returns Empty on failure.</w:t>
      </w:r>
    </w:p>
    <w:bookmarkEnd w:id="5237"/>
    <w:bookmarkStart w:id="5238" w:name="remarks-552"/>
    <w:p>
      <w:pPr>
        <w:pStyle w:val="Heading2"/>
      </w:pPr>
      <w:r>
        <w:t xml:space="preserve">Remarks</w:t>
      </w:r>
    </w:p>
    <w:p>
      <w:pPr>
        <w:pStyle w:val="Compact"/>
        <w:numPr>
          <w:ilvl w:val="0"/>
          <w:numId w:val="2293"/>
        </w:numPr>
      </w:pPr>
      <w:r>
        <w:t xml:space="preserve">Method names are case-insensitive.</w:t>
      </w:r>
    </w:p>
    <w:p>
      <w:pPr>
        <w:pStyle w:val="Compact"/>
        <w:numPr>
          <w:ilvl w:val="0"/>
          <w:numId w:val="2293"/>
        </w:numPr>
      </w:pPr>
      <w:r>
        <w:t xml:space="preserve">Query detection is based on SQL statement type in the runtime.</w:t>
      </w:r>
    </w:p>
    <w:p>
      <w:pPr>
        <w:pStyle w:val="Compact"/>
        <w:numPr>
          <w:ilvl w:val="0"/>
          <w:numId w:val="2293"/>
        </w:numPr>
      </w:pPr>
      <w:r>
        <w:t xml:space="preserve">Use this method for quick execution when a dedicated Command object is not needed.</w:t>
      </w:r>
    </w:p>
    <w:bookmarkEnd w:id="5238"/>
    <w:bookmarkStart w:id="5239" w:name="code-example-37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result</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result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result.</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result.Fields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End If</w:t>
      </w:r>
      <w:r>
        <w:br/>
      </w:r>
      <w:r>
        <w:br/>
      </w:r>
      <w:r>
        <w:rPr>
          <w:rStyle w:val="NormalTok"/>
        </w:rPr>
        <w:t xml:space="preserve">result.</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result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39"/>
    <w:bookmarkEnd w:id="5240"/>
    <w:bookmarkStart w:id="5246" w:name="connection.begintrans-method"/>
    <w:p>
      <w:pPr>
        <w:pStyle w:val="Heading1"/>
      </w:pPr>
      <w:r>
        <w:t xml:space="preserve">Connection.BeginTrans Method</w:t>
      </w:r>
    </w:p>
    <w:p>
      <w:pPr>
        <w:pStyle w:val="FirstParagraph"/>
      </w:pPr>
      <w:r>
        <w:t xml:space="preserve">Starts a transaction on the current connection.</w:t>
      </w:r>
    </w:p>
    <w:bookmarkStart w:id="5241" w:name="syntax-580"/>
    <w:p>
      <w:pPr>
        <w:pStyle w:val="Heading2"/>
      </w:pPr>
      <w:r>
        <w:t xml:space="preserve">Syntax</w:t>
      </w:r>
    </w:p>
    <w:p>
      <w:pPr>
        <w:pStyle w:val="SourceCode"/>
      </w:pPr>
      <w:r>
        <w:rPr>
          <w:rStyle w:val="NormalTok"/>
        </w:rPr>
        <w:t xml:space="preserve">level = conn.BeginTrans</w:t>
      </w:r>
    </w:p>
    <w:bookmarkEnd w:id="5241"/>
    <w:bookmarkStart w:id="5242" w:name="parameters-262"/>
    <w:p>
      <w:pPr>
        <w:pStyle w:val="Heading2"/>
      </w:pPr>
      <w:r>
        <w:t xml:space="preserve">Parameters</w:t>
      </w:r>
    </w:p>
    <w:p>
      <w:pPr>
        <w:pStyle w:val="FirstParagraph"/>
      </w:pPr>
      <w:r>
        <w:t xml:space="preserve">No parameters.</w:t>
      </w:r>
    </w:p>
    <w:bookmarkEnd w:id="5242"/>
    <w:bookmarkStart w:id="5243" w:name="return-value-263"/>
    <w:p>
      <w:pPr>
        <w:pStyle w:val="Heading2"/>
      </w:pPr>
      <w:r>
        <w:t xml:space="preserve">Return Value</w:t>
      </w:r>
    </w:p>
    <w:p>
      <w:pPr>
        <w:pStyle w:val="FirstParagraph"/>
      </w:pPr>
      <w:r>
        <w:t xml:space="preserve">Integer. Returns</w:t>
      </w:r>
      <w:r>
        <w:t xml:space="preserve"> </w:t>
      </w:r>
      <w:r>
        <w:rPr>
          <w:rStyle w:val="VerbatimChar"/>
        </w:rPr>
        <w:t xml:space="preserve">1</w:t>
      </w:r>
      <w:r>
        <w:t xml:space="preserve"> </w:t>
      </w:r>
      <w:r>
        <w:t xml:space="preserve">when the transaction starts successfully; returns</w:t>
      </w:r>
      <w:r>
        <w:t xml:space="preserve"> </w:t>
      </w:r>
      <w:r>
        <w:rPr>
          <w:rStyle w:val="VerbatimChar"/>
        </w:rPr>
        <w:t xml:space="preserve">0</w:t>
      </w:r>
      <w:r>
        <w:t xml:space="preserve"> </w:t>
      </w:r>
      <w:r>
        <w:t xml:space="preserve">otherwise.</w:t>
      </w:r>
    </w:p>
    <w:bookmarkEnd w:id="5243"/>
    <w:bookmarkStart w:id="5244" w:name="remarks-553"/>
    <w:p>
      <w:pPr>
        <w:pStyle w:val="Heading2"/>
      </w:pPr>
      <w:r>
        <w:t xml:space="preserve">Remarks</w:t>
      </w:r>
    </w:p>
    <w:p>
      <w:pPr>
        <w:pStyle w:val="Compact"/>
        <w:numPr>
          <w:ilvl w:val="0"/>
          <w:numId w:val="2294"/>
        </w:numPr>
      </w:pPr>
      <w:r>
        <w:t xml:space="preserve">Method names are case-insensitive.</w:t>
      </w:r>
    </w:p>
    <w:p>
      <w:pPr>
        <w:pStyle w:val="Compact"/>
        <w:numPr>
          <w:ilvl w:val="0"/>
          <w:numId w:val="2294"/>
        </w:numPr>
      </w:pPr>
      <w:r>
        <w:t xml:space="preserve">Pair this method with</w:t>
      </w:r>
      <w:r>
        <w:t xml:space="preserve"> </w:t>
      </w:r>
      <w:r>
        <w:rPr>
          <w:rStyle w:val="VerbatimChar"/>
        </w:rPr>
        <w:t xml:space="preserve">CommitTrans</w:t>
      </w:r>
      <w:r>
        <w:t xml:space="preserve"> </w:t>
      </w:r>
      <w:r>
        <w:t xml:space="preserve">or</w:t>
      </w:r>
      <w:r>
        <w:t xml:space="preserve"> </w:t>
      </w:r>
      <w:r>
        <w:rPr>
          <w:rStyle w:val="VerbatimChar"/>
        </w:rPr>
        <w:t xml:space="preserve">RollbackTrans</w:t>
      </w:r>
      <w:r>
        <w:t xml:space="preserve">.</w:t>
      </w:r>
    </w:p>
    <w:p>
      <w:pPr>
        <w:pStyle w:val="Compact"/>
        <w:numPr>
          <w:ilvl w:val="0"/>
          <w:numId w:val="2294"/>
        </w:numPr>
      </w:pPr>
      <w:r>
        <w:t xml:space="preserve">Use transactions when multiple statements must succeed or fail together.</w:t>
      </w:r>
    </w:p>
    <w:bookmarkEnd w:id="5244"/>
    <w:bookmarkStart w:id="5245" w:name="code-example-38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level</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level = conn.BeginTrans</w:t>
      </w:r>
      <w:r>
        <w:br/>
      </w:r>
      <w:r>
        <w:rPr>
          <w:rStyle w:val="ControlFlowTok"/>
        </w:rPr>
        <w:t xml:space="preserve">If</w:t>
      </w:r>
      <w:r>
        <w:rPr>
          <w:rStyle w:val="NormalTok"/>
        </w:rPr>
        <w:t xml:space="preserve"> level = </w:t>
      </w:r>
      <w:r>
        <w:rPr>
          <w:rStyle w:val="DecValTok"/>
        </w:rPr>
        <w:t xml:space="preserve">1</w:t>
      </w:r>
      <w:r>
        <w:rPr>
          <w:rStyle w:val="NormalTok"/>
        </w:rPr>
        <w:t xml:space="preserve"> </w:t>
      </w:r>
      <w:r>
        <w:rPr>
          <w:rStyle w:val="ControlFlowTok"/>
        </w:rPr>
        <w:t xml:space="preserve">Then</w:t>
      </w:r>
      <w:r>
        <w:br/>
      </w:r>
      <w:r>
        <w:rPr>
          <w:rStyle w:val="NormalTok"/>
        </w:rPr>
        <w:t xml:space="preserve">    conn.</w:t>
      </w:r>
      <w:r>
        <w:rPr>
          <w:rStyle w:val="KeywordTok"/>
        </w:rPr>
        <w:t xml:space="preserve">Execute</w:t>
      </w:r>
      <w:r>
        <w:rPr>
          <w:rStyle w:val="NormalTok"/>
        </w:rPr>
        <w:t xml:space="preserve"> </w:t>
      </w:r>
      <w:r>
        <w:rPr>
          <w:rStyle w:val="StringTok"/>
        </w:rPr>
        <w:t xml:space="preserve">"UPDATE users SET active = 1 WHERE id = 1"</w:t>
      </w:r>
      <w:r>
        <w:br/>
      </w:r>
      <w:r>
        <w:rPr>
          <w:rStyle w:val="NormalTok"/>
        </w:rPr>
        <w:t xml:space="preserve">    conn.CommitTrans</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"Committed"</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"Transaction not started"</w:t>
      </w:r>
      <w:r>
        <w:br/>
      </w:r>
      <w:r>
        <w:rPr>
          <w:rStyle w:val="ControlFlowTok"/>
        </w:rPr>
        <w:t xml:space="preserve">End If</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45"/>
    <w:bookmarkEnd w:id="5246"/>
    <w:bookmarkStart w:id="5252" w:name="connection.committrans-method"/>
    <w:p>
      <w:pPr>
        <w:pStyle w:val="Heading1"/>
      </w:pPr>
      <w:r>
        <w:t xml:space="preserve">Connection.CommitTrans Method</w:t>
      </w:r>
    </w:p>
    <w:p>
      <w:pPr>
        <w:pStyle w:val="FirstParagraph"/>
      </w:pPr>
      <w:r>
        <w:t xml:space="preserve">Commits the current transaction and persists all pending changes.</w:t>
      </w:r>
    </w:p>
    <w:bookmarkStart w:id="5247" w:name="syntax-581"/>
    <w:p>
      <w:pPr>
        <w:pStyle w:val="Heading2"/>
      </w:pPr>
      <w:r>
        <w:t xml:space="preserve">Syntax</w:t>
      </w:r>
    </w:p>
    <w:p>
      <w:pPr>
        <w:pStyle w:val="SourceCode"/>
      </w:pPr>
      <w:r>
        <w:rPr>
          <w:rStyle w:val="NormalTok"/>
        </w:rPr>
        <w:t xml:space="preserve">conn.CommitTrans</w:t>
      </w:r>
    </w:p>
    <w:bookmarkEnd w:id="5247"/>
    <w:bookmarkStart w:id="5248" w:name="parameters-263"/>
    <w:p>
      <w:pPr>
        <w:pStyle w:val="Heading2"/>
      </w:pPr>
      <w:r>
        <w:t xml:space="preserve">Parameters</w:t>
      </w:r>
    </w:p>
    <w:p>
      <w:pPr>
        <w:pStyle w:val="FirstParagraph"/>
      </w:pPr>
      <w:r>
        <w:t xml:space="preserve">No parameters.</w:t>
      </w:r>
    </w:p>
    <w:bookmarkEnd w:id="5248"/>
    <w:bookmarkStart w:id="5249" w:name="return-value-264"/>
    <w:p>
      <w:pPr>
        <w:pStyle w:val="Heading2"/>
      </w:pPr>
      <w:r>
        <w:t xml:space="preserve">Return Value</w:t>
      </w:r>
    </w:p>
    <w:p>
      <w:pPr>
        <w:pStyle w:val="FirstParagraph"/>
      </w:pPr>
      <w:r>
        <w:t xml:space="preserve">Empty. The method does not return a value.</w:t>
      </w:r>
    </w:p>
    <w:bookmarkEnd w:id="5249"/>
    <w:bookmarkStart w:id="5250" w:name="remarks-554"/>
    <w:p>
      <w:pPr>
        <w:pStyle w:val="Heading2"/>
      </w:pPr>
      <w:r>
        <w:t xml:space="preserve">Remarks</w:t>
      </w:r>
    </w:p>
    <w:p>
      <w:pPr>
        <w:pStyle w:val="Compact"/>
        <w:numPr>
          <w:ilvl w:val="0"/>
          <w:numId w:val="2295"/>
        </w:numPr>
      </w:pPr>
      <w:r>
        <w:t xml:space="preserve">Method names are case-insensitive.</w:t>
      </w:r>
    </w:p>
    <w:p>
      <w:pPr>
        <w:pStyle w:val="Compact"/>
        <w:numPr>
          <w:ilvl w:val="0"/>
          <w:numId w:val="2295"/>
        </w:numPr>
      </w:pPr>
      <w:r>
        <w:t xml:space="preserve">Call this method after a successful</w:t>
      </w:r>
      <w:r>
        <w:t xml:space="preserve"> </w:t>
      </w:r>
      <w:r>
        <w:rPr>
          <w:rStyle w:val="VerbatimChar"/>
        </w:rPr>
        <w:t xml:space="preserve">BeginTrans</w:t>
      </w:r>
      <w:r>
        <w:t xml:space="preserve"> </w:t>
      </w:r>
      <w:r>
        <w:t xml:space="preserve">block.</w:t>
      </w:r>
    </w:p>
    <w:p>
      <w:pPr>
        <w:pStyle w:val="Compact"/>
        <w:numPr>
          <w:ilvl w:val="0"/>
          <w:numId w:val="2295"/>
        </w:numPr>
      </w:pPr>
      <w:r>
        <w:t xml:space="preserve">After commit, changes cannot be rolled back.</w:t>
      </w:r>
    </w:p>
    <w:bookmarkEnd w:id="5250"/>
    <w:bookmarkStart w:id="5251" w:name="code-example-38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conn.BeginTrans</w:t>
      </w:r>
      <w:r>
        <w:br/>
      </w:r>
      <w:r>
        <w:rPr>
          <w:rStyle w:val="NormalTok"/>
        </w:rPr>
        <w:t xml:space="preserve">conn.</w:t>
      </w:r>
      <w:r>
        <w:rPr>
          <w:rStyle w:val="KeywordTok"/>
        </w:rPr>
        <w:t xml:space="preserve">Execute</w:t>
      </w:r>
      <w:r>
        <w:rPr>
          <w:rStyle w:val="NormalTok"/>
        </w:rPr>
        <w:t xml:space="preserve"> </w:t>
      </w:r>
      <w:r>
        <w:rPr>
          <w:rStyle w:val="StringTok"/>
        </w:rPr>
        <w:t xml:space="preserve">"UPDATE users SET active = 1 WHERE id = 1"</w:t>
      </w:r>
      <w:r>
        <w:br/>
      </w:r>
      <w:r>
        <w:rPr>
          <w:rStyle w:val="NormalTok"/>
        </w:rPr>
        <w:t xml:space="preserve">conn.CommitTrans</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"Transaction committed"</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51"/>
    <w:bookmarkEnd w:id="5252"/>
    <w:bookmarkStart w:id="5258" w:name="connection.rollbacktrans-method"/>
    <w:p>
      <w:pPr>
        <w:pStyle w:val="Heading1"/>
      </w:pPr>
      <w:r>
        <w:t xml:space="preserve">Connection.RollbackTrans Method</w:t>
      </w:r>
    </w:p>
    <w:p>
      <w:pPr>
        <w:pStyle w:val="FirstParagraph"/>
      </w:pPr>
      <w:r>
        <w:t xml:space="preserve">Rolls back the active transaction and discards pending changes.</w:t>
      </w:r>
    </w:p>
    <w:bookmarkStart w:id="5253" w:name="syntax-582"/>
    <w:p>
      <w:pPr>
        <w:pStyle w:val="Heading2"/>
      </w:pPr>
      <w:r>
        <w:t xml:space="preserve">Syntax</w:t>
      </w:r>
    </w:p>
    <w:p>
      <w:pPr>
        <w:pStyle w:val="SourceCode"/>
      </w:pPr>
      <w:r>
        <w:rPr>
          <w:rStyle w:val="NormalTok"/>
        </w:rPr>
        <w:t xml:space="preserve">conn.RollbackTrans</w:t>
      </w:r>
    </w:p>
    <w:bookmarkEnd w:id="5253"/>
    <w:bookmarkStart w:id="5254" w:name="parameters-264"/>
    <w:p>
      <w:pPr>
        <w:pStyle w:val="Heading2"/>
      </w:pPr>
      <w:r>
        <w:t xml:space="preserve">Parameters</w:t>
      </w:r>
    </w:p>
    <w:p>
      <w:pPr>
        <w:pStyle w:val="FirstParagraph"/>
      </w:pPr>
      <w:r>
        <w:t xml:space="preserve">No parameters.</w:t>
      </w:r>
    </w:p>
    <w:bookmarkEnd w:id="5254"/>
    <w:bookmarkStart w:id="5255" w:name="return-value-265"/>
    <w:p>
      <w:pPr>
        <w:pStyle w:val="Heading2"/>
      </w:pPr>
      <w:r>
        <w:t xml:space="preserve">Return Value</w:t>
      </w:r>
    </w:p>
    <w:p>
      <w:pPr>
        <w:pStyle w:val="FirstParagraph"/>
      </w:pPr>
      <w:r>
        <w:t xml:space="preserve">Empty. The method does not return a value.</w:t>
      </w:r>
    </w:p>
    <w:bookmarkEnd w:id="5255"/>
    <w:bookmarkStart w:id="5256" w:name="remarks-555"/>
    <w:p>
      <w:pPr>
        <w:pStyle w:val="Heading2"/>
      </w:pPr>
      <w:r>
        <w:t xml:space="preserve">Remarks</w:t>
      </w:r>
    </w:p>
    <w:p>
      <w:pPr>
        <w:pStyle w:val="Compact"/>
        <w:numPr>
          <w:ilvl w:val="0"/>
          <w:numId w:val="2296"/>
        </w:numPr>
      </w:pPr>
      <w:r>
        <w:t xml:space="preserve">Method names are case-insensitive.</w:t>
      </w:r>
    </w:p>
    <w:p>
      <w:pPr>
        <w:pStyle w:val="Compact"/>
        <w:numPr>
          <w:ilvl w:val="0"/>
          <w:numId w:val="2296"/>
        </w:numPr>
      </w:pPr>
      <w:r>
        <w:t xml:space="preserve">Call this method after</w:t>
      </w:r>
      <w:r>
        <w:t xml:space="preserve"> </w:t>
      </w:r>
      <w:r>
        <w:rPr>
          <w:rStyle w:val="VerbatimChar"/>
        </w:rPr>
        <w:t xml:space="preserve">BeginTrans</w:t>
      </w:r>
      <w:r>
        <w:t xml:space="preserve"> </w:t>
      </w:r>
      <w:r>
        <w:t xml:space="preserve">when execution fails.</w:t>
      </w:r>
    </w:p>
    <w:p>
      <w:pPr>
        <w:pStyle w:val="Compact"/>
        <w:numPr>
          <w:ilvl w:val="0"/>
          <w:numId w:val="2296"/>
        </w:numPr>
      </w:pPr>
      <w:r>
        <w:t xml:space="preserve">Rollback restores the state from before transaction start.</w:t>
      </w:r>
    </w:p>
    <w:bookmarkEnd w:id="5256"/>
    <w:bookmarkStart w:id="5257" w:name="code-example-38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conn.BeginTrans</w:t>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"UPDATE users SET active = 0 WHERE id = 1"</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conn.RollbackTrans</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"Transaction rolled back"</w:t>
      </w:r>
      <w:r>
        <w:br/>
      </w:r>
      <w:r>
        <w:rPr>
          <w:rStyle w:val="ControlFlowTok"/>
        </w:rPr>
        <w:t xml:space="preserve">Else</w:t>
      </w:r>
      <w:r>
        <w:br/>
      </w:r>
      <w:r>
        <w:rPr>
          <w:rStyle w:val="NormalTok"/>
        </w:rPr>
        <w:t xml:space="preserve">    conn.CommitTrans</w:t>
      </w:r>
      <w:r>
        <w:br/>
      </w:r>
      <w:r>
        <w:rPr>
          <w:rStyle w:val="ControlFlowTok"/>
        </w:rPr>
        <w:t xml:space="preserve">End If</w:t>
      </w:r>
      <w:r>
        <w:br/>
      </w:r>
      <w:r>
        <w:rPr>
          <w:rStyle w:val="NormalTok"/>
        </w:rPr>
        <w:t xml:space="preserve">On Error GoTo </w:t>
      </w:r>
      <w:r>
        <w:rPr>
          <w:rStyle w:val="DecValTok"/>
        </w:rPr>
        <w:t xml:space="preserve">0</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57"/>
    <w:bookmarkEnd w:id="5258"/>
    <w:bookmarkStart w:id="5264" w:name="connection.openschema-method"/>
    <w:p>
      <w:pPr>
        <w:pStyle w:val="Heading1"/>
      </w:pPr>
      <w:r>
        <w:t xml:space="preserve">Connection.OpenSchema Method</w:t>
      </w:r>
    </w:p>
    <w:p>
      <w:pPr>
        <w:pStyle w:val="FirstParagraph"/>
      </w:pPr>
      <w:r>
        <w:t xml:space="preserve">Returns schema metadata as a Recordset.</w:t>
      </w:r>
    </w:p>
    <w:bookmarkStart w:id="5259" w:name="syntax-583"/>
    <w:p>
      <w:pPr>
        <w:pStyle w:val="Heading2"/>
      </w:pPr>
      <w:r>
        <w:t xml:space="preserve">Syntax</w:t>
      </w:r>
    </w:p>
    <w:p>
      <w:pPr>
        <w:pStyle w:val="SourceCode"/>
      </w:pPr>
      <w:r>
        <w:rPr>
          <w:rStyle w:val="NormalTok"/>
        </w:rPr>
        <w:t xml:space="preserve">Set rs = conn.OpenSchema(schemaId[, restrictions])</w:t>
      </w:r>
    </w:p>
    <w:bookmarkEnd w:id="5259"/>
    <w:bookmarkStart w:id="5260" w:name="parameters-26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schemaId</w:t>
            </w:r>
          </w:p>
        </w:tc>
        <w:tc>
          <w:tcPr/>
          <w:p>
            <w:pPr>
              <w:pStyle w:val="Compact"/>
            </w:pPr>
            <w:r>
              <w:t xml:space="preserve">Integer</w:t>
            </w:r>
          </w:p>
        </w:tc>
        <w:tc>
          <w:tcPr/>
          <w:p>
            <w:pPr>
              <w:pStyle w:val="Compact"/>
            </w:pPr>
            <w:r>
              <w:t xml:space="preserve">No</w:t>
            </w:r>
          </w:p>
        </w:tc>
        <w:tc>
          <w:tcPr/>
          <w:p>
            <w:pPr>
              <w:pStyle w:val="Compact"/>
            </w:pPr>
            <w:r>
              <w:t xml:space="preserve">Schema type selector.</w:t>
            </w:r>
          </w:p>
        </w:tc>
      </w:tr>
      <w:tr>
        <w:tc>
          <w:tcPr/>
          <w:p>
            <w:pPr>
              <w:pStyle w:val="Compact"/>
            </w:pPr>
            <w:r>
              <w:rPr>
                <w:rStyle w:val="VerbatimChar"/>
              </w:rPr>
              <w:t xml:space="preserve">restrictions</w:t>
            </w:r>
          </w:p>
        </w:tc>
        <w:tc>
          <w:tcPr/>
          <w:p>
            <w:pPr>
              <w:pStyle w:val="Compact"/>
            </w:pPr>
            <w:r>
              <w:t xml:space="preserve">Variant</w:t>
            </w:r>
          </w:p>
        </w:tc>
        <w:tc>
          <w:tcPr/>
          <w:p>
            <w:pPr>
              <w:pStyle w:val="Compact"/>
            </w:pPr>
            <w:r>
              <w:t xml:space="preserve">No</w:t>
            </w:r>
          </w:p>
        </w:tc>
        <w:tc>
          <w:tcPr/>
          <w:p>
            <w:pPr>
              <w:pStyle w:val="Compact"/>
            </w:pPr>
            <w:r>
              <w:t xml:space="preserve">Restriction array or provider-specific filter values.</w:t>
            </w:r>
          </w:p>
        </w:tc>
      </w:tr>
    </w:tbl>
    <w:bookmarkEnd w:id="5260"/>
    <w:bookmarkStart w:id="5261" w:name="return-value-266"/>
    <w:p>
      <w:pPr>
        <w:pStyle w:val="Heading2"/>
      </w:pPr>
      <w:r>
        <w:t xml:space="preserve">Return Value</w:t>
      </w:r>
    </w:p>
    <w:p>
      <w:pPr>
        <w:pStyle w:val="FirstParagraph"/>
      </w:pPr>
      <w:r>
        <w:t xml:space="preserve">Recordset. Returns an ADODB.Recordset containing schema rows for the requested schema type.</w:t>
      </w:r>
    </w:p>
    <w:bookmarkEnd w:id="5261"/>
    <w:bookmarkStart w:id="5262" w:name="remarks-556"/>
    <w:p>
      <w:pPr>
        <w:pStyle w:val="Heading2"/>
      </w:pPr>
      <w:r>
        <w:t xml:space="preserve">Remarks</w:t>
      </w:r>
    </w:p>
    <w:p>
      <w:pPr>
        <w:pStyle w:val="Compact"/>
        <w:numPr>
          <w:ilvl w:val="0"/>
          <w:numId w:val="2297"/>
        </w:numPr>
      </w:pPr>
      <w:r>
        <w:t xml:space="preserve">Method names are case-insensitive.</w:t>
      </w:r>
    </w:p>
    <w:p>
      <w:pPr>
        <w:pStyle w:val="Compact"/>
        <w:numPr>
          <w:ilvl w:val="0"/>
          <w:numId w:val="2297"/>
        </w:numPr>
      </w:pPr>
      <w:r>
        <w:t xml:space="preserve">Supported schema sets depend on provider capabilities.</w:t>
      </w:r>
    </w:p>
    <w:p>
      <w:pPr>
        <w:pStyle w:val="Compact"/>
        <w:numPr>
          <w:ilvl w:val="0"/>
          <w:numId w:val="2297"/>
        </w:numPr>
      </w:pPr>
      <w:r>
        <w:t xml:space="preserve">Validate field availability in returned schema recordset.</w:t>
      </w:r>
    </w:p>
    <w:bookmarkEnd w:id="5262"/>
    <w:bookmarkStart w:id="5263" w:name="code-example-38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conn.OpenSchema</w:t>
      </w:r>
      <w:r>
        <w:rPr>
          <w:rStyle w:val="OtherTok"/>
        </w:rPr>
        <w:t xml:space="preserve">(</w:t>
      </w:r>
      <w:r>
        <w:rPr>
          <w:rStyle w:val="DecValTok"/>
        </w:rPr>
        <w:t xml:space="preserve">20</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"Schema row available"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63"/>
    <w:bookmarkEnd w:id="5264"/>
    <w:bookmarkStart w:id="5270" w:name="connection.cancel-method"/>
    <w:p>
      <w:pPr>
        <w:pStyle w:val="Heading1"/>
      </w:pPr>
      <w:r>
        <w:t xml:space="preserve">Connection.Cancel Method</w:t>
      </w:r>
    </w:p>
    <w:p>
      <w:pPr>
        <w:pStyle w:val="FirstParagraph"/>
      </w:pPr>
      <w:r>
        <w:t xml:space="preserve">Cancels the current connection operation.</w:t>
      </w:r>
    </w:p>
    <w:bookmarkStart w:id="5265" w:name="syntax-584"/>
    <w:p>
      <w:pPr>
        <w:pStyle w:val="Heading2"/>
      </w:pPr>
      <w:r>
        <w:t xml:space="preserve">Syntax</w:t>
      </w:r>
    </w:p>
    <w:p>
      <w:pPr>
        <w:pStyle w:val="SourceCode"/>
      </w:pPr>
      <w:r>
        <w:rPr>
          <w:rStyle w:val="NormalTok"/>
        </w:rPr>
        <w:t xml:space="preserve">conn.Cancel</w:t>
      </w:r>
    </w:p>
    <w:bookmarkEnd w:id="5265"/>
    <w:bookmarkStart w:id="5266" w:name="parameters-266"/>
    <w:p>
      <w:pPr>
        <w:pStyle w:val="Heading2"/>
      </w:pPr>
      <w:r>
        <w:t xml:space="preserve">Parameters</w:t>
      </w:r>
    </w:p>
    <w:p>
      <w:pPr>
        <w:pStyle w:val="FirstParagraph"/>
      </w:pPr>
      <w:r>
        <w:t xml:space="preserve">No parameters.</w:t>
      </w:r>
    </w:p>
    <w:bookmarkEnd w:id="5266"/>
    <w:bookmarkStart w:id="5267" w:name="return-value-267"/>
    <w:p>
      <w:pPr>
        <w:pStyle w:val="Heading2"/>
      </w:pPr>
      <w:r>
        <w:t xml:space="preserve">Return Value</w:t>
      </w:r>
    </w:p>
    <w:p>
      <w:pPr>
        <w:pStyle w:val="FirstParagraph"/>
      </w:pPr>
      <w:r>
        <w:t xml:space="preserve">Empty. The method does not return a value.</w:t>
      </w:r>
    </w:p>
    <w:bookmarkEnd w:id="5267"/>
    <w:bookmarkStart w:id="5268" w:name="remarks-557"/>
    <w:p>
      <w:pPr>
        <w:pStyle w:val="Heading2"/>
      </w:pPr>
      <w:r>
        <w:t xml:space="preserve">Remarks</w:t>
      </w:r>
    </w:p>
    <w:p>
      <w:pPr>
        <w:pStyle w:val="Compact"/>
        <w:numPr>
          <w:ilvl w:val="0"/>
          <w:numId w:val="2298"/>
        </w:numPr>
      </w:pPr>
      <w:r>
        <w:t xml:space="preserve">Method names are case-insensitive.</w:t>
      </w:r>
    </w:p>
    <w:p>
      <w:pPr>
        <w:pStyle w:val="Compact"/>
        <w:numPr>
          <w:ilvl w:val="0"/>
          <w:numId w:val="2298"/>
        </w:numPr>
      </w:pPr>
      <w:r>
        <w:t xml:space="preserve">In the current G3Pix AxonASP ADODB implementation, this method is a compatibility no-op.</w:t>
      </w:r>
    </w:p>
    <w:p>
      <w:pPr>
        <w:pStyle w:val="Compact"/>
        <w:numPr>
          <w:ilvl w:val="0"/>
          <w:numId w:val="2298"/>
        </w:numPr>
      </w:pPr>
      <w:r>
        <w:t xml:space="preserve">Use this method only when porting legacy scripts that call Connection.Cancel.</w:t>
      </w:r>
    </w:p>
    <w:p>
      <w:pPr>
        <w:pStyle w:val="Compact"/>
        <w:numPr>
          <w:ilvl w:val="0"/>
          <w:numId w:val="2298"/>
        </w:numPr>
      </w:pPr>
      <w:r>
        <w:t xml:space="preserve">The method does not close the connection.</w:t>
      </w:r>
    </w:p>
    <w:bookmarkEnd w:id="5268"/>
    <w:bookmarkStart w:id="5269" w:name="code-example-38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CommentTok"/>
        </w:rPr>
        <w:t xml:space="preserve">' Compatibility no-op in current runtime.</w:t>
      </w:r>
      <w:r>
        <w:br/>
      </w:r>
      <w:r>
        <w:rPr>
          <w:rStyle w:val="NormalTok"/>
        </w:rPr>
        <w:t xml:space="preserve">conn.Cancel</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"Connection.Cancel executed"</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"Connection 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69"/>
    <w:bookmarkEnd w:id="5270"/>
    <w:bookmarkStart w:id="5276" w:name="recordset.open-method"/>
    <w:p>
      <w:pPr>
        <w:pStyle w:val="Heading1"/>
      </w:pPr>
      <w:r>
        <w:t xml:space="preserve">Recordset.Open Method</w:t>
      </w:r>
    </w:p>
    <w:p>
      <w:pPr>
        <w:pStyle w:val="FirstParagraph"/>
      </w:pPr>
      <w:r>
        <w:t xml:space="preserve">Opens a recordset using a source query and connection.</w:t>
      </w:r>
    </w:p>
    <w:bookmarkStart w:id="5271" w:name="syntax-585"/>
    <w:p>
      <w:pPr>
        <w:pStyle w:val="Heading2"/>
      </w:pPr>
      <w:r>
        <w:t xml:space="preserve">Syntax</w:t>
      </w:r>
    </w:p>
    <w:p>
      <w:pPr>
        <w:pStyle w:val="SourceCode"/>
      </w:pPr>
      <w:r>
        <w:rPr>
          <w:rStyle w:val="NormalTok"/>
        </w:rPr>
        <w:t xml:space="preserve">rs.Open source, activeConnection[, cursorType[, lockType[, options]]]</w:t>
      </w:r>
    </w:p>
    <w:bookmarkEnd w:id="5271"/>
    <w:bookmarkStart w:id="5272" w:name="parameters-26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source</w:t>
            </w:r>
          </w:p>
        </w:tc>
        <w:tc>
          <w:tcPr/>
          <w:p>
            <w:pPr>
              <w:pStyle w:val="Compact"/>
            </w:pPr>
            <w:r>
              <w:t xml:space="preserve">String or Command</w:t>
            </w:r>
          </w:p>
        </w:tc>
        <w:tc>
          <w:tcPr/>
          <w:p>
            <w:pPr>
              <w:pStyle w:val="Compact"/>
            </w:pPr>
            <w:r>
              <w:t xml:space="preserve">Yes</w:t>
            </w:r>
          </w:p>
        </w:tc>
        <w:tc>
          <w:tcPr/>
          <w:p>
            <w:pPr>
              <w:pStyle w:val="Compact"/>
            </w:pPr>
            <w:r>
              <w:t xml:space="preserve">SQL text, table name, or command object.</w:t>
            </w:r>
          </w:p>
        </w:tc>
      </w:tr>
      <w:tr>
        <w:tc>
          <w:tcPr/>
          <w:p>
            <w:pPr>
              <w:pStyle w:val="Compact"/>
            </w:pPr>
            <w:r>
              <w:rPr>
                <w:rStyle w:val="VerbatimChar"/>
              </w:rPr>
              <w:t xml:space="preserve">activeConnection</w:t>
            </w:r>
          </w:p>
        </w:tc>
        <w:tc>
          <w:tcPr/>
          <w:p>
            <w:pPr>
              <w:pStyle w:val="Compact"/>
            </w:pPr>
            <w:r>
              <w:t xml:space="preserve">Connection</w:t>
            </w:r>
          </w:p>
        </w:tc>
        <w:tc>
          <w:tcPr/>
          <w:p>
            <w:pPr>
              <w:pStyle w:val="Compact"/>
            </w:pPr>
            <w:r>
              <w:t xml:space="preserve">Yes</w:t>
            </w:r>
          </w:p>
        </w:tc>
        <w:tc>
          <w:tcPr/>
          <w:p>
            <w:pPr>
              <w:pStyle w:val="Compact"/>
            </w:pPr>
            <w:r>
              <w:t xml:space="preserve">Open connection used to fetch rows.</w:t>
            </w:r>
          </w:p>
        </w:tc>
      </w:tr>
      <w:tr>
        <w:tc>
          <w:tcPr/>
          <w:p>
            <w:pPr>
              <w:pStyle w:val="Compact"/>
            </w:pPr>
            <w:r>
              <w:rPr>
                <w:rStyle w:val="VerbatimChar"/>
              </w:rPr>
              <w:t xml:space="preserve">cursorType</w:t>
            </w:r>
          </w:p>
        </w:tc>
        <w:tc>
          <w:tcPr/>
          <w:p>
            <w:pPr>
              <w:pStyle w:val="Compact"/>
            </w:pPr>
            <w:r>
              <w:t xml:space="preserve">Integer</w:t>
            </w:r>
          </w:p>
        </w:tc>
        <w:tc>
          <w:tcPr/>
          <w:p>
            <w:pPr>
              <w:pStyle w:val="Compact"/>
            </w:pPr>
            <w:r>
              <w:t xml:space="preserve">No</w:t>
            </w:r>
          </w:p>
        </w:tc>
        <w:tc>
          <w:tcPr/>
          <w:p>
            <w:pPr>
              <w:pStyle w:val="Compact"/>
            </w:pPr>
            <w:r>
              <w:t xml:space="preserve">Cursor behavior flag.</w:t>
            </w:r>
          </w:p>
        </w:tc>
      </w:tr>
      <w:tr>
        <w:tc>
          <w:tcPr/>
          <w:p>
            <w:pPr>
              <w:pStyle w:val="Compact"/>
            </w:pPr>
            <w:r>
              <w:rPr>
                <w:rStyle w:val="VerbatimChar"/>
              </w:rPr>
              <w:t xml:space="preserve">lockType</w:t>
            </w:r>
          </w:p>
        </w:tc>
        <w:tc>
          <w:tcPr/>
          <w:p>
            <w:pPr>
              <w:pStyle w:val="Compact"/>
            </w:pPr>
            <w:r>
              <w:t xml:space="preserve">Integer</w:t>
            </w:r>
          </w:p>
        </w:tc>
        <w:tc>
          <w:tcPr/>
          <w:p>
            <w:pPr>
              <w:pStyle w:val="Compact"/>
            </w:pPr>
            <w:r>
              <w:t xml:space="preserve">No</w:t>
            </w:r>
          </w:p>
        </w:tc>
        <w:tc>
          <w:tcPr/>
          <w:p>
            <w:pPr>
              <w:pStyle w:val="Compact"/>
            </w:pPr>
            <w:r>
              <w:t xml:space="preserve">Lock mode flag.</w:t>
            </w:r>
          </w:p>
        </w:tc>
      </w:tr>
      <w:tr>
        <w:tc>
          <w:tcPr/>
          <w:p>
            <w:pPr>
              <w:pStyle w:val="Compact"/>
            </w:pPr>
            <w:r>
              <w:rPr>
                <w:rStyle w:val="VerbatimChar"/>
              </w:rPr>
              <w:t xml:space="preserve">options</w:t>
            </w:r>
          </w:p>
        </w:tc>
        <w:tc>
          <w:tcPr/>
          <w:p>
            <w:pPr>
              <w:pStyle w:val="Compact"/>
            </w:pPr>
            <w:r>
              <w:t xml:space="preserve">Integer</w:t>
            </w:r>
          </w:p>
        </w:tc>
        <w:tc>
          <w:tcPr/>
          <w:p>
            <w:pPr>
              <w:pStyle w:val="Compact"/>
            </w:pPr>
            <w:r>
              <w:t xml:space="preserve">No</w:t>
            </w:r>
          </w:p>
        </w:tc>
        <w:tc>
          <w:tcPr/>
          <w:p>
            <w:pPr>
              <w:pStyle w:val="Compact"/>
            </w:pPr>
            <w:r>
              <w:t xml:space="preserve">Provider options bitmask.</w:t>
            </w:r>
          </w:p>
        </w:tc>
      </w:tr>
    </w:tbl>
    <w:bookmarkEnd w:id="5272"/>
    <w:bookmarkStart w:id="5273" w:name="return-value-268"/>
    <w:p>
      <w:pPr>
        <w:pStyle w:val="Heading2"/>
      </w:pPr>
      <w:r>
        <w:t xml:space="preserve">Return Value</w:t>
      </w:r>
    </w:p>
    <w:p>
      <w:pPr>
        <w:pStyle w:val="FirstParagraph"/>
      </w:pPr>
      <w:r>
        <w:t xml:space="preserve">Empty. The method does not return a value.</w:t>
      </w:r>
    </w:p>
    <w:bookmarkEnd w:id="5273"/>
    <w:bookmarkStart w:id="5274" w:name="remarks-558"/>
    <w:p>
      <w:pPr>
        <w:pStyle w:val="Heading2"/>
      </w:pPr>
      <w:r>
        <w:t xml:space="preserve">Remarks</w:t>
      </w:r>
    </w:p>
    <w:p>
      <w:pPr>
        <w:pStyle w:val="Compact"/>
        <w:numPr>
          <w:ilvl w:val="0"/>
          <w:numId w:val="2299"/>
        </w:numPr>
      </w:pPr>
      <w:r>
        <w:t xml:space="preserve">Method names are case-insensitive.</w:t>
      </w:r>
    </w:p>
    <w:p>
      <w:pPr>
        <w:pStyle w:val="Compact"/>
        <w:numPr>
          <w:ilvl w:val="0"/>
          <w:numId w:val="2299"/>
        </w:numPr>
      </w:pPr>
      <w:r>
        <w:t xml:space="preserve">After open, use BOF/EOF and Fields for navigation and values.</w:t>
      </w:r>
    </w:p>
    <w:p>
      <w:pPr>
        <w:pStyle w:val="Compact"/>
        <w:numPr>
          <w:ilvl w:val="0"/>
          <w:numId w:val="2299"/>
        </w:numPr>
      </w:pPr>
      <w:r>
        <w:t xml:space="preserve">Always close the recordset after use.</w:t>
      </w:r>
    </w:p>
    <w:bookmarkEnd w:id="5274"/>
    <w:bookmarkStart w:id="5275" w:name="code-example-38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w:t>
      </w:r>
      <w:r>
        <w:rPr>
          <w:rStyle w:val="KeywordTok"/>
        </w:rPr>
        <w:t xml:space="preserve">Open</w:t>
      </w:r>
      <w:r>
        <w:rPr>
          <w:rStyle w:val="NormalTok"/>
        </w:rPr>
        <w:t xml:space="preserve"> </w:t>
      </w:r>
      <w:r>
        <w:rPr>
          <w:rStyle w:val="StringTok"/>
        </w:rPr>
        <w:t xml:space="preserve">"SELECT id, name FROM users"</w:t>
      </w:r>
      <w:r>
        <w:rPr>
          <w:rStyle w:val="OtherTok"/>
        </w:rPr>
        <w:t xml:space="preserve">,</w:t>
      </w:r>
      <w:r>
        <w:rPr>
          <w:rStyle w:val="NormalTok"/>
        </w:rPr>
        <w:t xml:space="preserve"> conn</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75"/>
    <w:bookmarkEnd w:id="5276"/>
    <w:bookmarkStart w:id="5282" w:name="recordset.close-method"/>
    <w:p>
      <w:pPr>
        <w:pStyle w:val="Heading1"/>
      </w:pPr>
      <w:r>
        <w:t xml:space="preserve">Recordset.Close Method</w:t>
      </w:r>
    </w:p>
    <w:p>
      <w:pPr>
        <w:pStyle w:val="FirstParagraph"/>
      </w:pPr>
      <w:r>
        <w:t xml:space="preserve">Closes the recordset and releases cursor resources.</w:t>
      </w:r>
    </w:p>
    <w:bookmarkStart w:id="5277" w:name="syntax-586"/>
    <w:p>
      <w:pPr>
        <w:pStyle w:val="Heading2"/>
      </w:pPr>
      <w:r>
        <w:t xml:space="preserve">Syntax</w:t>
      </w:r>
    </w:p>
    <w:p>
      <w:pPr>
        <w:pStyle w:val="SourceCode"/>
      </w:pPr>
      <w:r>
        <w:rPr>
          <w:rStyle w:val="NormalTok"/>
        </w:rPr>
        <w:t xml:space="preserve">rs.Close</w:t>
      </w:r>
    </w:p>
    <w:bookmarkEnd w:id="5277"/>
    <w:bookmarkStart w:id="5278" w:name="parameters-268"/>
    <w:p>
      <w:pPr>
        <w:pStyle w:val="Heading2"/>
      </w:pPr>
      <w:r>
        <w:t xml:space="preserve">Parameters</w:t>
      </w:r>
    </w:p>
    <w:p>
      <w:pPr>
        <w:pStyle w:val="FirstParagraph"/>
      </w:pPr>
      <w:r>
        <w:t xml:space="preserve">No parameters.</w:t>
      </w:r>
    </w:p>
    <w:bookmarkEnd w:id="5278"/>
    <w:bookmarkStart w:id="5279" w:name="return-value-269"/>
    <w:p>
      <w:pPr>
        <w:pStyle w:val="Heading2"/>
      </w:pPr>
      <w:r>
        <w:t xml:space="preserve">Return Value</w:t>
      </w:r>
    </w:p>
    <w:p>
      <w:pPr>
        <w:pStyle w:val="FirstParagraph"/>
      </w:pPr>
      <w:r>
        <w:t xml:space="preserve">Empty. The method does not return a value.</w:t>
      </w:r>
    </w:p>
    <w:bookmarkEnd w:id="5279"/>
    <w:bookmarkStart w:id="5280" w:name="remarks-559"/>
    <w:p>
      <w:pPr>
        <w:pStyle w:val="Heading2"/>
      </w:pPr>
      <w:r>
        <w:t xml:space="preserve">Remarks</w:t>
      </w:r>
    </w:p>
    <w:p>
      <w:pPr>
        <w:pStyle w:val="Compact"/>
        <w:numPr>
          <w:ilvl w:val="0"/>
          <w:numId w:val="2300"/>
        </w:numPr>
      </w:pPr>
      <w:r>
        <w:t xml:space="preserve">Method names are case-insensitive.</w:t>
      </w:r>
    </w:p>
    <w:p>
      <w:pPr>
        <w:pStyle w:val="Compact"/>
        <w:numPr>
          <w:ilvl w:val="0"/>
          <w:numId w:val="2300"/>
        </w:numPr>
      </w:pPr>
      <w:r>
        <w:t xml:space="preserve">Call this method before closing the parent connection.</w:t>
      </w:r>
    </w:p>
    <w:p>
      <w:pPr>
        <w:pStyle w:val="Compact"/>
        <w:numPr>
          <w:ilvl w:val="0"/>
          <w:numId w:val="2300"/>
        </w:numPr>
      </w:pPr>
      <w:r>
        <w:t xml:space="preserve">After close,</w:t>
      </w:r>
      <w:r>
        <w:t xml:space="preserve"> </w:t>
      </w:r>
      <w:r>
        <w:rPr>
          <w:rStyle w:val="VerbatimChar"/>
        </w:rPr>
        <w:t xml:space="preserve">State</w:t>
      </w:r>
      <w:r>
        <w:t xml:space="preserve"> </w:t>
      </w:r>
      <w:r>
        <w:t xml:space="preserve">becomes</w:t>
      </w:r>
      <w:r>
        <w:t xml:space="preserve"> </w:t>
      </w:r>
      <w:r>
        <w:rPr>
          <w:rStyle w:val="VerbatimChar"/>
        </w:rPr>
        <w:t xml:space="preserve">0</w:t>
      </w:r>
      <w:r>
        <w:t xml:space="preserve">.</w:t>
      </w:r>
    </w:p>
    <w:bookmarkEnd w:id="5280"/>
    <w:bookmarkStart w:id="5281" w:name="code-example-38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FROM users"</w:t>
      </w:r>
      <w:r>
        <w:rPr>
          <w:rStyle w:val="OtherTok"/>
        </w:rPr>
        <w:t xml:space="preserve">)</w:t>
      </w:r>
      <w:r>
        <w:br/>
      </w:r>
      <w:r>
        <w:rPr>
          <w:rStyle w:val="NormalTok"/>
        </w:rPr>
        <w:t xml:space="preserve">rs.</w:t>
      </w:r>
      <w:r>
        <w:rPr>
          <w:rStyle w:val="KeywordTok"/>
        </w:rPr>
        <w:t xml:space="preserve">Close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"Recordset 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rs.State</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81"/>
    <w:bookmarkEnd w:id="5282"/>
    <w:bookmarkStart w:id="5288" w:name="recordset.movenext-method"/>
    <w:p>
      <w:pPr>
        <w:pStyle w:val="Heading1"/>
      </w:pPr>
      <w:r>
        <w:t xml:space="preserve">Recordset.MoveNext Method</w:t>
      </w:r>
    </w:p>
    <w:p>
      <w:pPr>
        <w:pStyle w:val="FirstParagraph"/>
      </w:pPr>
      <w:r>
        <w:t xml:space="preserve">Moves the cursor to the next row.</w:t>
      </w:r>
    </w:p>
    <w:bookmarkStart w:id="5283" w:name="syntax-587"/>
    <w:p>
      <w:pPr>
        <w:pStyle w:val="Heading2"/>
      </w:pPr>
      <w:r>
        <w:t xml:space="preserve">Syntax</w:t>
      </w:r>
    </w:p>
    <w:p>
      <w:pPr>
        <w:pStyle w:val="SourceCode"/>
      </w:pPr>
      <w:r>
        <w:rPr>
          <w:rStyle w:val="NormalTok"/>
        </w:rPr>
        <w:t xml:space="preserve">rs.MoveNext</w:t>
      </w:r>
    </w:p>
    <w:bookmarkEnd w:id="5283"/>
    <w:bookmarkStart w:id="5284" w:name="parameters-269"/>
    <w:p>
      <w:pPr>
        <w:pStyle w:val="Heading2"/>
      </w:pPr>
      <w:r>
        <w:t xml:space="preserve">Parameters</w:t>
      </w:r>
    </w:p>
    <w:p>
      <w:pPr>
        <w:pStyle w:val="FirstParagraph"/>
      </w:pPr>
      <w:r>
        <w:t xml:space="preserve">No parameters.</w:t>
      </w:r>
    </w:p>
    <w:bookmarkEnd w:id="5284"/>
    <w:bookmarkStart w:id="5285" w:name="return-value-270"/>
    <w:p>
      <w:pPr>
        <w:pStyle w:val="Heading2"/>
      </w:pPr>
      <w:r>
        <w:t xml:space="preserve">Return Value</w:t>
      </w:r>
    </w:p>
    <w:p>
      <w:pPr>
        <w:pStyle w:val="FirstParagraph"/>
      </w:pPr>
      <w:r>
        <w:t xml:space="preserve">Empty. The method does not return a value.</w:t>
      </w:r>
    </w:p>
    <w:bookmarkEnd w:id="5285"/>
    <w:bookmarkStart w:id="5286" w:name="remarks-560"/>
    <w:p>
      <w:pPr>
        <w:pStyle w:val="Heading2"/>
      </w:pPr>
      <w:r>
        <w:t xml:space="preserve">Remarks</w:t>
      </w:r>
    </w:p>
    <w:p>
      <w:pPr>
        <w:pStyle w:val="Compact"/>
        <w:numPr>
          <w:ilvl w:val="0"/>
          <w:numId w:val="2301"/>
        </w:numPr>
      </w:pPr>
      <w:r>
        <w:t xml:space="preserve">Method names are case-insensitive.</w:t>
      </w:r>
    </w:p>
    <w:p>
      <w:pPr>
        <w:pStyle w:val="Compact"/>
        <w:numPr>
          <w:ilvl w:val="0"/>
          <w:numId w:val="2301"/>
        </w:numPr>
      </w:pPr>
      <w:r>
        <w:t xml:space="preserve">EOF becomes True when the cursor moves past the last row.</w:t>
      </w:r>
    </w:p>
    <w:p>
      <w:pPr>
        <w:pStyle w:val="Compact"/>
        <w:numPr>
          <w:ilvl w:val="0"/>
          <w:numId w:val="2301"/>
        </w:numPr>
      </w:pPr>
      <w:r>
        <w:t xml:space="preserve">Use this in forward iteration loops.</w:t>
      </w:r>
    </w:p>
    <w:bookmarkEnd w:id="5286"/>
    <w:bookmarkStart w:id="5287" w:name="code-example-38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ControlFlowTok"/>
        </w:rPr>
        <w:t xml:space="preserve">Do While</w:t>
      </w:r>
      <w:r>
        <w:rPr>
          <w:rStyle w:val="NormalTok"/>
        </w:rPr>
        <w:t xml:space="preserve"> </w:t>
      </w:r>
      <w:r>
        <w:rPr>
          <w:rStyle w:val="KeywordTok"/>
        </w:rPr>
        <w:t xml:space="preserve">Not</w:t>
      </w:r>
      <w:r>
        <w:rPr>
          <w:rStyle w:val="NormalTok"/>
        </w:rPr>
        <w:t xml:space="preserve"> rs.</w:t>
      </w:r>
      <w:r>
        <w:rPr>
          <w:rStyle w:val="KeywordTok"/>
        </w:rPr>
        <w:t xml:space="preserve">EOF</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w:t>
      </w:r>
      <w:r>
        <w:rPr>
          <w:rStyle w:val="KeywordTok"/>
        </w:rPr>
        <w:t xml:space="preserve">&amp;</w:t>
      </w:r>
      <w:r>
        <w:rPr>
          <w:rStyle w:val="NormalTok"/>
        </w:rPr>
        <w:t xml:space="preserve"> </w:t>
      </w:r>
      <w:r>
        <w:rPr>
          <w:rStyle w:val="StringTok"/>
        </w:rPr>
        <w:t xml:space="preserve">"&lt;br&gt;"</w:t>
      </w:r>
      <w:r>
        <w:br/>
      </w:r>
      <w:r>
        <w:rPr>
          <w:rStyle w:val="NormalTok"/>
        </w:rPr>
        <w:t xml:space="preserve">    rs.</w:t>
      </w:r>
      <w:r>
        <w:rPr>
          <w:rStyle w:val="KeywordTok"/>
        </w:rPr>
        <w:t xml:space="preserve">MoveNext</w:t>
      </w:r>
      <w:r>
        <w:br/>
      </w:r>
      <w:r>
        <w:rPr>
          <w:rStyle w:val="ControlFlowTok"/>
        </w:rPr>
        <w:t xml:space="preserve">Loop</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87"/>
    <w:bookmarkEnd w:id="5288"/>
    <w:bookmarkStart w:id="5294" w:name="recordset.moveprevious-method"/>
    <w:p>
      <w:pPr>
        <w:pStyle w:val="Heading1"/>
      </w:pPr>
      <w:r>
        <w:t xml:space="preserve">Recordset.MovePrevious Method</w:t>
      </w:r>
    </w:p>
    <w:p>
      <w:pPr>
        <w:pStyle w:val="FirstParagraph"/>
      </w:pPr>
      <w:r>
        <w:t xml:space="preserve">Moves the cursor to the previous row in the result set.</w:t>
      </w:r>
    </w:p>
    <w:bookmarkStart w:id="5289" w:name="syntax-588"/>
    <w:p>
      <w:pPr>
        <w:pStyle w:val="Heading2"/>
      </w:pPr>
      <w:r>
        <w:t xml:space="preserve">Syntax</w:t>
      </w:r>
    </w:p>
    <w:p>
      <w:pPr>
        <w:pStyle w:val="SourceCode"/>
      </w:pPr>
      <w:r>
        <w:rPr>
          <w:rStyle w:val="NormalTok"/>
        </w:rPr>
        <w:t xml:space="preserve">rs.MovePrevious</w:t>
      </w:r>
    </w:p>
    <w:bookmarkEnd w:id="5289"/>
    <w:bookmarkStart w:id="5290" w:name="parameters-270"/>
    <w:p>
      <w:pPr>
        <w:pStyle w:val="Heading2"/>
      </w:pPr>
      <w:r>
        <w:t xml:space="preserve">Parameters</w:t>
      </w:r>
    </w:p>
    <w:p>
      <w:pPr>
        <w:pStyle w:val="FirstParagraph"/>
      </w:pPr>
      <w:r>
        <w:t xml:space="preserve">No parameters.</w:t>
      </w:r>
    </w:p>
    <w:bookmarkEnd w:id="5290"/>
    <w:bookmarkStart w:id="5291" w:name="return-value-271"/>
    <w:p>
      <w:pPr>
        <w:pStyle w:val="Heading2"/>
      </w:pPr>
      <w:r>
        <w:t xml:space="preserve">Return Value</w:t>
      </w:r>
    </w:p>
    <w:p>
      <w:pPr>
        <w:pStyle w:val="FirstParagraph"/>
      </w:pPr>
      <w:r>
        <w:t xml:space="preserve">Empty. The method does not return a value.</w:t>
      </w:r>
    </w:p>
    <w:bookmarkEnd w:id="5291"/>
    <w:bookmarkStart w:id="5292" w:name="remarks-561"/>
    <w:p>
      <w:pPr>
        <w:pStyle w:val="Heading2"/>
      </w:pPr>
      <w:r>
        <w:t xml:space="preserve">Remarks</w:t>
      </w:r>
    </w:p>
    <w:p>
      <w:pPr>
        <w:pStyle w:val="Compact"/>
        <w:numPr>
          <w:ilvl w:val="0"/>
          <w:numId w:val="2302"/>
        </w:numPr>
      </w:pPr>
      <w:r>
        <w:t xml:space="preserve">Method names are case-insensitive.</w:t>
      </w:r>
    </w:p>
    <w:p>
      <w:pPr>
        <w:pStyle w:val="Compact"/>
        <w:numPr>
          <w:ilvl w:val="0"/>
          <w:numId w:val="2302"/>
        </w:numPr>
      </w:pPr>
      <w:r>
        <w:t xml:space="preserve">After calling MovePrevious, check BOF to verify whether the cursor moved before the first row.</w:t>
      </w:r>
    </w:p>
    <w:p>
      <w:pPr>
        <w:pStyle w:val="Compact"/>
        <w:numPr>
          <w:ilvl w:val="0"/>
          <w:numId w:val="2302"/>
        </w:numPr>
      </w:pPr>
      <w:r>
        <w:t xml:space="preserve">Calling MovePrevious on the first row sets BOF to True.</w:t>
      </w:r>
    </w:p>
    <w:p>
      <w:pPr>
        <w:pStyle w:val="Compact"/>
        <w:numPr>
          <w:ilvl w:val="0"/>
          <w:numId w:val="2302"/>
        </w:numPr>
      </w:pPr>
      <w:r>
        <w:t xml:space="preserve">Use MovePrevious only with cursor types that support backward navigation.</w:t>
      </w:r>
    </w:p>
    <w:bookmarkEnd w:id="5292"/>
    <w:bookmarkStart w:id="5293" w:name="code-example-38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NormalTok"/>
        </w:rPr>
        <w:t xml:space="preserve">rs.MoveLast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"Last row: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w:t>
      </w:r>
      <w:r>
        <w:rPr>
          <w:rStyle w:val="KeywordTok"/>
        </w:rPr>
        <w:t xml:space="preserve">&amp;</w:t>
      </w:r>
      <w:r>
        <w:rPr>
          <w:rStyle w:val="NormalTok"/>
        </w:rPr>
        <w:t xml:space="preserve"> </w:t>
      </w:r>
      <w:r>
        <w:rPr>
          <w:rStyle w:val="StringTok"/>
        </w:rPr>
        <w:t xml:space="preserve">"&lt;br&gt;"</w:t>
      </w:r>
      <w:r>
        <w:br/>
      </w:r>
      <w:r>
        <w:br/>
      </w:r>
      <w:r>
        <w:rPr>
          <w:rStyle w:val="NormalTok"/>
        </w:rPr>
        <w:t xml:space="preserve">rs.MovePrevious</w:t>
      </w:r>
      <w:r>
        <w:br/>
      </w:r>
      <w:r>
        <w:rPr>
          <w:rStyle w:val="ControlFlowTok"/>
        </w:rPr>
        <w:t xml:space="preserve">If</w:t>
      </w:r>
      <w:r>
        <w:rPr>
          <w:rStyle w:val="NormalTok"/>
        </w:rPr>
        <w:t xml:space="preserve"> </w:t>
      </w:r>
      <w:r>
        <w:rPr>
          <w:rStyle w:val="KeywordTok"/>
        </w:rPr>
        <w:t xml:space="preserve">Not</w:t>
      </w:r>
      <w:r>
        <w:rPr>
          <w:rStyle w:val="NormalTok"/>
        </w:rPr>
        <w:t xml:space="preserve"> rs.BOF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"Previous row: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93"/>
    <w:bookmarkEnd w:id="5294"/>
    <w:bookmarkStart w:id="5300" w:name="recordset.movefirst-method"/>
    <w:p>
      <w:pPr>
        <w:pStyle w:val="Heading1"/>
      </w:pPr>
      <w:r>
        <w:t xml:space="preserve">Recordset.MoveFirst Method</w:t>
      </w:r>
    </w:p>
    <w:p>
      <w:pPr>
        <w:pStyle w:val="FirstParagraph"/>
      </w:pPr>
      <w:r>
        <w:t xml:space="preserve">Moves the cursor to the first row.</w:t>
      </w:r>
    </w:p>
    <w:bookmarkStart w:id="5295" w:name="syntax-589"/>
    <w:p>
      <w:pPr>
        <w:pStyle w:val="Heading2"/>
      </w:pPr>
      <w:r>
        <w:t xml:space="preserve">Syntax</w:t>
      </w:r>
    </w:p>
    <w:p>
      <w:pPr>
        <w:pStyle w:val="SourceCode"/>
      </w:pPr>
      <w:r>
        <w:rPr>
          <w:rStyle w:val="NormalTok"/>
        </w:rPr>
        <w:t xml:space="preserve">rs.MoveFirst</w:t>
      </w:r>
    </w:p>
    <w:bookmarkEnd w:id="5295"/>
    <w:bookmarkStart w:id="5296" w:name="parameters-271"/>
    <w:p>
      <w:pPr>
        <w:pStyle w:val="Heading2"/>
      </w:pPr>
      <w:r>
        <w:t xml:space="preserve">Parameters</w:t>
      </w:r>
    </w:p>
    <w:p>
      <w:pPr>
        <w:pStyle w:val="FirstParagraph"/>
      </w:pPr>
      <w:r>
        <w:t xml:space="preserve">No parameters.</w:t>
      </w:r>
    </w:p>
    <w:bookmarkEnd w:id="5296"/>
    <w:bookmarkStart w:id="5297" w:name="return-value-272"/>
    <w:p>
      <w:pPr>
        <w:pStyle w:val="Heading2"/>
      </w:pPr>
      <w:r>
        <w:t xml:space="preserve">Return Value</w:t>
      </w:r>
    </w:p>
    <w:p>
      <w:pPr>
        <w:pStyle w:val="FirstParagraph"/>
      </w:pPr>
      <w:r>
        <w:t xml:space="preserve">Empty. The method does not return a value.</w:t>
      </w:r>
    </w:p>
    <w:bookmarkEnd w:id="5297"/>
    <w:bookmarkStart w:id="5298" w:name="remarks-562"/>
    <w:p>
      <w:pPr>
        <w:pStyle w:val="Heading2"/>
      </w:pPr>
      <w:r>
        <w:t xml:space="preserve">Remarks</w:t>
      </w:r>
    </w:p>
    <w:p>
      <w:pPr>
        <w:pStyle w:val="Compact"/>
        <w:numPr>
          <w:ilvl w:val="0"/>
          <w:numId w:val="2303"/>
        </w:numPr>
      </w:pPr>
      <w:r>
        <w:t xml:space="preserve">Method names are case-insensitive.</w:t>
      </w:r>
    </w:p>
    <w:p>
      <w:pPr>
        <w:pStyle w:val="Compact"/>
        <w:numPr>
          <w:ilvl w:val="0"/>
          <w:numId w:val="2303"/>
        </w:numPr>
      </w:pPr>
      <w:r>
        <w:t xml:space="preserve">Use this method to reset iteration to row 1.</w:t>
      </w:r>
    </w:p>
    <w:p>
      <w:pPr>
        <w:pStyle w:val="Compact"/>
        <w:numPr>
          <w:ilvl w:val="0"/>
          <w:numId w:val="2303"/>
        </w:numPr>
      </w:pPr>
      <w:r>
        <w:t xml:space="preserve">BOF becomes False when positioned on a valid first row.</w:t>
      </w:r>
    </w:p>
    <w:bookmarkEnd w:id="5298"/>
    <w:bookmarkStart w:id="5299" w:name="code-example-38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NormalTok"/>
        </w:rPr>
        <w:t xml:space="preserve">rs.MoveLast</w:t>
      </w:r>
      <w:r>
        <w:br/>
      </w:r>
      <w:r>
        <w:rPr>
          <w:rStyle w:val="NormalTok"/>
        </w:rPr>
        <w:t xml:space="preserve">rs.MoveFirst</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299"/>
    <w:bookmarkEnd w:id="5300"/>
    <w:bookmarkStart w:id="5306" w:name="recordset.movelast-method"/>
    <w:p>
      <w:pPr>
        <w:pStyle w:val="Heading1"/>
      </w:pPr>
      <w:r>
        <w:t xml:space="preserve">Recordset.MoveLast Method</w:t>
      </w:r>
    </w:p>
    <w:p>
      <w:pPr>
        <w:pStyle w:val="FirstParagraph"/>
      </w:pPr>
      <w:r>
        <w:t xml:space="preserve">Moves the cursor to the last row.</w:t>
      </w:r>
    </w:p>
    <w:bookmarkStart w:id="5301" w:name="syntax-590"/>
    <w:p>
      <w:pPr>
        <w:pStyle w:val="Heading2"/>
      </w:pPr>
      <w:r>
        <w:t xml:space="preserve">Syntax</w:t>
      </w:r>
    </w:p>
    <w:p>
      <w:pPr>
        <w:pStyle w:val="SourceCode"/>
      </w:pPr>
      <w:r>
        <w:rPr>
          <w:rStyle w:val="NormalTok"/>
        </w:rPr>
        <w:t xml:space="preserve">rs.MoveLast</w:t>
      </w:r>
    </w:p>
    <w:bookmarkEnd w:id="5301"/>
    <w:bookmarkStart w:id="5302" w:name="parameters-272"/>
    <w:p>
      <w:pPr>
        <w:pStyle w:val="Heading2"/>
      </w:pPr>
      <w:r>
        <w:t xml:space="preserve">Parameters</w:t>
      </w:r>
    </w:p>
    <w:p>
      <w:pPr>
        <w:pStyle w:val="FirstParagraph"/>
      </w:pPr>
      <w:r>
        <w:t xml:space="preserve">No parameters.</w:t>
      </w:r>
    </w:p>
    <w:bookmarkEnd w:id="5302"/>
    <w:bookmarkStart w:id="5303" w:name="return-value-273"/>
    <w:p>
      <w:pPr>
        <w:pStyle w:val="Heading2"/>
      </w:pPr>
      <w:r>
        <w:t xml:space="preserve">Return Value</w:t>
      </w:r>
    </w:p>
    <w:p>
      <w:pPr>
        <w:pStyle w:val="FirstParagraph"/>
      </w:pPr>
      <w:r>
        <w:t xml:space="preserve">Empty. The method does not return a value.</w:t>
      </w:r>
    </w:p>
    <w:bookmarkEnd w:id="5303"/>
    <w:bookmarkStart w:id="5304" w:name="remarks-563"/>
    <w:p>
      <w:pPr>
        <w:pStyle w:val="Heading2"/>
      </w:pPr>
      <w:r>
        <w:t xml:space="preserve">Remarks</w:t>
      </w:r>
    </w:p>
    <w:p>
      <w:pPr>
        <w:pStyle w:val="Compact"/>
        <w:numPr>
          <w:ilvl w:val="0"/>
          <w:numId w:val="2304"/>
        </w:numPr>
      </w:pPr>
      <w:r>
        <w:t xml:space="preserve">Method names are case-insensitive.</w:t>
      </w:r>
    </w:p>
    <w:p>
      <w:pPr>
        <w:pStyle w:val="Compact"/>
        <w:numPr>
          <w:ilvl w:val="0"/>
          <w:numId w:val="2304"/>
        </w:numPr>
      </w:pPr>
      <w:r>
        <w:t xml:space="preserve">Use this method when you need the final row or to force full row materialization.</w:t>
      </w:r>
    </w:p>
    <w:p>
      <w:pPr>
        <w:pStyle w:val="Compact"/>
        <w:numPr>
          <w:ilvl w:val="0"/>
          <w:numId w:val="2304"/>
        </w:numPr>
      </w:pPr>
      <w:r>
        <w:t xml:space="preserve">After MoveLast, EOF is False on non-empty rowsets.</w:t>
      </w:r>
    </w:p>
    <w:bookmarkEnd w:id="5304"/>
    <w:bookmarkStart w:id="5305" w:name="code-example-39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NormalTok"/>
        </w:rPr>
        <w:t xml:space="preserve">rs.MoveLast</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05"/>
    <w:bookmarkEnd w:id="5306"/>
    <w:bookmarkStart w:id="5312" w:name="recordset.move-method"/>
    <w:p>
      <w:pPr>
        <w:pStyle w:val="Heading1"/>
      </w:pPr>
      <w:r>
        <w:t xml:space="preserve">Recordset.Move Method</w:t>
      </w:r>
    </w:p>
    <w:p>
      <w:pPr>
        <w:pStyle w:val="FirstParagraph"/>
      </w:pPr>
      <w:r>
        <w:t xml:space="preserve">Moves the current cursor position by a relative row offset.</w:t>
      </w:r>
    </w:p>
    <w:bookmarkStart w:id="5307" w:name="syntax-591"/>
    <w:p>
      <w:pPr>
        <w:pStyle w:val="Heading2"/>
      </w:pPr>
      <w:r>
        <w:t xml:space="preserve">Syntax</w:t>
      </w:r>
    </w:p>
    <w:p>
      <w:pPr>
        <w:pStyle w:val="SourceCode"/>
      </w:pPr>
      <w:r>
        <w:rPr>
          <w:rStyle w:val="NormalTok"/>
        </w:rPr>
        <w:t xml:space="preserve">rs.Move offset</w:t>
      </w:r>
    </w:p>
    <w:bookmarkEnd w:id="5307"/>
    <w:bookmarkStart w:id="5308" w:name="parameters-27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offset</w:t>
            </w:r>
          </w:p>
        </w:tc>
        <w:tc>
          <w:tcPr/>
          <w:p>
            <w:pPr>
              <w:pStyle w:val="Compact"/>
            </w:pPr>
            <w:r>
              <w:t xml:space="preserve">Integer</w:t>
            </w:r>
          </w:p>
        </w:tc>
        <w:tc>
          <w:tcPr/>
          <w:p>
            <w:pPr>
              <w:pStyle w:val="Compact"/>
            </w:pPr>
            <w:r>
              <w:t xml:space="preserve">Yes</w:t>
            </w:r>
          </w:p>
        </w:tc>
        <w:tc>
          <w:tcPr/>
          <w:p>
            <w:pPr>
              <w:pStyle w:val="Compact"/>
            </w:pPr>
            <w:r>
              <w:t xml:space="preserve">Positive to move forward, negative to move backward.</w:t>
            </w:r>
          </w:p>
        </w:tc>
      </w:tr>
    </w:tbl>
    <w:bookmarkEnd w:id="5308"/>
    <w:bookmarkStart w:id="5309" w:name="return-value-274"/>
    <w:p>
      <w:pPr>
        <w:pStyle w:val="Heading2"/>
      </w:pPr>
      <w:r>
        <w:t xml:space="preserve">Return Value</w:t>
      </w:r>
    </w:p>
    <w:p>
      <w:pPr>
        <w:pStyle w:val="FirstParagraph"/>
      </w:pPr>
      <w:r>
        <w:t xml:space="preserve">Empty. The method does not return a value.</w:t>
      </w:r>
    </w:p>
    <w:bookmarkEnd w:id="5309"/>
    <w:bookmarkStart w:id="5310" w:name="remarks-564"/>
    <w:p>
      <w:pPr>
        <w:pStyle w:val="Heading2"/>
      </w:pPr>
      <w:r>
        <w:t xml:space="preserve">Remarks</w:t>
      </w:r>
    </w:p>
    <w:p>
      <w:pPr>
        <w:pStyle w:val="Compact"/>
        <w:numPr>
          <w:ilvl w:val="0"/>
          <w:numId w:val="2305"/>
        </w:numPr>
      </w:pPr>
      <w:r>
        <w:t xml:space="preserve">Method names are case-insensitive.</w:t>
      </w:r>
    </w:p>
    <w:p>
      <w:pPr>
        <w:pStyle w:val="Compact"/>
        <w:numPr>
          <w:ilvl w:val="0"/>
          <w:numId w:val="2305"/>
        </w:numPr>
      </w:pPr>
      <w:r>
        <w:t xml:space="preserve">Cursor movement beyond bounds sets BOF or EOF accordingly.</w:t>
      </w:r>
    </w:p>
    <w:p>
      <w:pPr>
        <w:pStyle w:val="Compact"/>
        <w:numPr>
          <w:ilvl w:val="0"/>
          <w:numId w:val="2305"/>
        </w:numPr>
      </w:pPr>
      <w:r>
        <w:t xml:space="preserve">Move supports flexible navigation without repeated MoveNext or MovePrevious calls.</w:t>
      </w:r>
    </w:p>
    <w:p>
      <w:pPr>
        <w:pStyle w:val="Compact"/>
        <w:numPr>
          <w:ilvl w:val="0"/>
          <w:numId w:val="2305"/>
        </w:numPr>
      </w:pPr>
      <w:r>
        <w:t xml:space="preserve">Use with cursor types that support requested direction.</w:t>
      </w:r>
    </w:p>
    <w:bookmarkEnd w:id="5310"/>
    <w:bookmarkStart w:id="5311" w:name="code-example-39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NormalTok"/>
        </w:rPr>
        <w:t xml:space="preserve">rs.MoveFirst</w:t>
      </w:r>
      <w:r>
        <w:br/>
      </w:r>
      <w:r>
        <w:rPr>
          <w:rStyle w:val="NormalTok"/>
        </w:rPr>
        <w:t xml:space="preserve">rs.</w:t>
      </w:r>
      <w:r>
        <w:rPr>
          <w:rStyle w:val="FunctionTok"/>
        </w:rPr>
        <w:t xml:space="preserve">Move</w:t>
      </w:r>
      <w:r>
        <w:rPr>
          <w:rStyle w:val="NormalTok"/>
        </w:rPr>
        <w:t xml:space="preserve"> </w:t>
      </w:r>
      <w:r>
        <w:rPr>
          <w:rStyle w:val="DecValTok"/>
        </w:rPr>
        <w:t xml:space="preserve">2</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row after Move 2: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11"/>
    <w:bookmarkEnd w:id="5312"/>
    <w:bookmarkStart w:id="5318" w:name="recordset.cancel-method"/>
    <w:p>
      <w:pPr>
        <w:pStyle w:val="Heading1"/>
      </w:pPr>
      <w:r>
        <w:t xml:space="preserve">Recordset.Cancel Method</w:t>
      </w:r>
    </w:p>
    <w:p>
      <w:pPr>
        <w:pStyle w:val="FirstParagraph"/>
      </w:pPr>
      <w:r>
        <w:t xml:space="preserve">Cancels the current recordset operation.</w:t>
      </w:r>
    </w:p>
    <w:bookmarkStart w:id="5313" w:name="syntax-592"/>
    <w:p>
      <w:pPr>
        <w:pStyle w:val="Heading2"/>
      </w:pPr>
      <w:r>
        <w:t xml:space="preserve">Syntax</w:t>
      </w:r>
    </w:p>
    <w:p>
      <w:pPr>
        <w:pStyle w:val="SourceCode"/>
      </w:pPr>
      <w:r>
        <w:rPr>
          <w:rStyle w:val="NormalTok"/>
        </w:rPr>
        <w:t xml:space="preserve">rs.Cancel</w:t>
      </w:r>
    </w:p>
    <w:bookmarkEnd w:id="5313"/>
    <w:bookmarkStart w:id="5314" w:name="parameters-274"/>
    <w:p>
      <w:pPr>
        <w:pStyle w:val="Heading2"/>
      </w:pPr>
      <w:r>
        <w:t xml:space="preserve">Parameters</w:t>
      </w:r>
    </w:p>
    <w:p>
      <w:pPr>
        <w:pStyle w:val="FirstParagraph"/>
      </w:pPr>
      <w:r>
        <w:t xml:space="preserve">No parameters.</w:t>
      </w:r>
    </w:p>
    <w:bookmarkEnd w:id="5314"/>
    <w:bookmarkStart w:id="5315" w:name="return-value-275"/>
    <w:p>
      <w:pPr>
        <w:pStyle w:val="Heading2"/>
      </w:pPr>
      <w:r>
        <w:t xml:space="preserve">Return Value</w:t>
      </w:r>
    </w:p>
    <w:p>
      <w:pPr>
        <w:pStyle w:val="FirstParagraph"/>
      </w:pPr>
      <w:r>
        <w:t xml:space="preserve">Empty. The method does not return a value.</w:t>
      </w:r>
    </w:p>
    <w:bookmarkEnd w:id="5315"/>
    <w:bookmarkStart w:id="5316" w:name="remarks-565"/>
    <w:p>
      <w:pPr>
        <w:pStyle w:val="Heading2"/>
      </w:pPr>
      <w:r>
        <w:t xml:space="preserve">Remarks</w:t>
      </w:r>
    </w:p>
    <w:p>
      <w:pPr>
        <w:pStyle w:val="Compact"/>
        <w:numPr>
          <w:ilvl w:val="0"/>
          <w:numId w:val="2306"/>
        </w:numPr>
      </w:pPr>
      <w:r>
        <w:t xml:space="preserve">Method names are case-insensitive.</w:t>
      </w:r>
    </w:p>
    <w:p>
      <w:pPr>
        <w:pStyle w:val="Compact"/>
        <w:numPr>
          <w:ilvl w:val="0"/>
          <w:numId w:val="2306"/>
        </w:numPr>
      </w:pPr>
      <w:r>
        <w:t xml:space="preserve">In the current G3Pix AxonASP ADODB implementation, this method is a compatibility no-op.</w:t>
      </w:r>
    </w:p>
    <w:p>
      <w:pPr>
        <w:pStyle w:val="Compact"/>
        <w:numPr>
          <w:ilvl w:val="0"/>
          <w:numId w:val="2306"/>
        </w:numPr>
      </w:pPr>
      <w:r>
        <w:t xml:space="preserve">Use this method only to preserve compatibility with legacy scripts.</w:t>
      </w:r>
    </w:p>
    <w:p>
      <w:pPr>
        <w:pStyle w:val="Compact"/>
        <w:numPr>
          <w:ilvl w:val="0"/>
          <w:numId w:val="2306"/>
        </w:numPr>
      </w:pPr>
      <w:r>
        <w:t xml:space="preserve">It does not close the recordset or revert changes.</w:t>
      </w:r>
    </w:p>
    <w:bookmarkEnd w:id="5316"/>
    <w:bookmarkStart w:id="5317" w:name="code-example-39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CommentTok"/>
        </w:rPr>
        <w:t xml:space="preserve">' Compatibility no-op in current runtime.</w:t>
      </w:r>
      <w:r>
        <w:br/>
      </w:r>
      <w:r>
        <w:rPr>
          <w:rStyle w:val="NormalTok"/>
        </w:rPr>
        <w:t xml:space="preserve">rs.Cancel</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"Recordset.Cancel executed"</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17"/>
    <w:bookmarkEnd w:id="5318"/>
    <w:bookmarkStart w:id="5324" w:name="recordset.cancelbatch-method"/>
    <w:p>
      <w:pPr>
        <w:pStyle w:val="Heading1"/>
      </w:pPr>
      <w:r>
        <w:t xml:space="preserve">Recordset.CancelBatch Method</w:t>
      </w:r>
    </w:p>
    <w:p>
      <w:pPr>
        <w:pStyle w:val="FirstParagraph"/>
      </w:pPr>
      <w:r>
        <w:t xml:space="preserve">Cancels pending batch updates in a batch-update workflow.</w:t>
      </w:r>
    </w:p>
    <w:bookmarkStart w:id="5319" w:name="syntax-593"/>
    <w:p>
      <w:pPr>
        <w:pStyle w:val="Heading2"/>
      </w:pPr>
      <w:r>
        <w:t xml:space="preserve">Syntax</w:t>
      </w:r>
    </w:p>
    <w:p>
      <w:pPr>
        <w:pStyle w:val="SourceCode"/>
      </w:pPr>
      <w:r>
        <w:rPr>
          <w:rStyle w:val="NormalTok"/>
        </w:rPr>
        <w:t xml:space="preserve">rs.CancelBatch</w:t>
      </w:r>
    </w:p>
    <w:bookmarkEnd w:id="5319"/>
    <w:bookmarkStart w:id="5320" w:name="parameters-275"/>
    <w:p>
      <w:pPr>
        <w:pStyle w:val="Heading2"/>
      </w:pPr>
      <w:r>
        <w:t xml:space="preserve">Parameters</w:t>
      </w:r>
    </w:p>
    <w:p>
      <w:pPr>
        <w:pStyle w:val="FirstParagraph"/>
      </w:pPr>
      <w:r>
        <w:t xml:space="preserve">No parameters.</w:t>
      </w:r>
    </w:p>
    <w:bookmarkEnd w:id="5320"/>
    <w:bookmarkStart w:id="5321" w:name="return-value-276"/>
    <w:p>
      <w:pPr>
        <w:pStyle w:val="Heading2"/>
      </w:pPr>
      <w:r>
        <w:t xml:space="preserve">Return Value</w:t>
      </w:r>
    </w:p>
    <w:p>
      <w:pPr>
        <w:pStyle w:val="FirstParagraph"/>
      </w:pPr>
      <w:r>
        <w:t xml:space="preserve">Empty. The method does not return a value.</w:t>
      </w:r>
    </w:p>
    <w:bookmarkEnd w:id="5321"/>
    <w:bookmarkStart w:id="5322" w:name="remarks-566"/>
    <w:p>
      <w:pPr>
        <w:pStyle w:val="Heading2"/>
      </w:pPr>
      <w:r>
        <w:t xml:space="preserve">Remarks</w:t>
      </w:r>
    </w:p>
    <w:p>
      <w:pPr>
        <w:pStyle w:val="Compact"/>
        <w:numPr>
          <w:ilvl w:val="0"/>
          <w:numId w:val="2307"/>
        </w:numPr>
      </w:pPr>
      <w:r>
        <w:t xml:space="preserve">Method names are case-insensitive.</w:t>
      </w:r>
    </w:p>
    <w:p>
      <w:pPr>
        <w:pStyle w:val="Compact"/>
        <w:numPr>
          <w:ilvl w:val="0"/>
          <w:numId w:val="2307"/>
        </w:numPr>
      </w:pPr>
      <w:r>
        <w:t xml:space="preserve">In the current G3Pix AxonASP ADODB implementation, this method is a compatibility no-op.</w:t>
      </w:r>
    </w:p>
    <w:p>
      <w:pPr>
        <w:pStyle w:val="Compact"/>
        <w:numPr>
          <w:ilvl w:val="0"/>
          <w:numId w:val="2307"/>
        </w:numPr>
      </w:pPr>
      <w:r>
        <w:t xml:space="preserve">Use this method for script compatibility when batch mode is not required.</w:t>
      </w:r>
    </w:p>
    <w:p>
      <w:pPr>
        <w:pStyle w:val="Compact"/>
        <w:numPr>
          <w:ilvl w:val="0"/>
          <w:numId w:val="2307"/>
        </w:numPr>
      </w:pPr>
      <w:r>
        <w:t xml:space="preserve">For current behavior, pending edits are managed with AddNew/Update/CancelUpdate.</w:t>
      </w:r>
    </w:p>
    <w:bookmarkEnd w:id="5322"/>
    <w:bookmarkStart w:id="5323" w:name="code-example-39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w:t>
      </w:r>
      <w:r>
        <w:rPr>
          <w:rStyle w:val="OtherTok"/>
        </w:rPr>
        <w:t xml:space="preserve">)</w:t>
      </w:r>
      <w:r>
        <w:br/>
      </w:r>
      <w:r>
        <w:br/>
      </w:r>
      <w:r>
        <w:rPr>
          <w:rStyle w:val="CommentTok"/>
        </w:rPr>
        <w:t xml:space="preserve">' Compatibility no-op in current runtime.</w:t>
      </w:r>
      <w:r>
        <w:br/>
      </w:r>
      <w:r>
        <w:rPr>
          <w:rStyle w:val="NormalTok"/>
        </w:rPr>
        <w:t xml:space="preserve">rs.CancelBatch</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"Recordset.CancelBatch executed"</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23"/>
    <w:bookmarkEnd w:id="5324"/>
    <w:bookmarkStart w:id="5330" w:name="recordset.cancelupdate-method"/>
    <w:p>
      <w:pPr>
        <w:pStyle w:val="Heading1"/>
      </w:pPr>
      <w:r>
        <w:t xml:space="preserve">Recordset.CancelUpdate Method</w:t>
      </w:r>
    </w:p>
    <w:p>
      <w:pPr>
        <w:pStyle w:val="FirstParagraph"/>
      </w:pPr>
      <w:r>
        <w:t xml:space="preserve">Cancels pending edits on the current row before they are persisted.</w:t>
      </w:r>
    </w:p>
    <w:bookmarkStart w:id="5325" w:name="syntax-594"/>
    <w:p>
      <w:pPr>
        <w:pStyle w:val="Heading2"/>
      </w:pPr>
      <w:r>
        <w:t xml:space="preserve">Syntax</w:t>
      </w:r>
    </w:p>
    <w:p>
      <w:pPr>
        <w:pStyle w:val="SourceCode"/>
      </w:pPr>
      <w:r>
        <w:rPr>
          <w:rStyle w:val="NormalTok"/>
        </w:rPr>
        <w:t xml:space="preserve">rs.CancelUpdate</w:t>
      </w:r>
    </w:p>
    <w:bookmarkEnd w:id="5325"/>
    <w:bookmarkStart w:id="5326" w:name="parameters-276"/>
    <w:p>
      <w:pPr>
        <w:pStyle w:val="Heading2"/>
      </w:pPr>
      <w:r>
        <w:t xml:space="preserve">Parameters</w:t>
      </w:r>
    </w:p>
    <w:p>
      <w:pPr>
        <w:pStyle w:val="FirstParagraph"/>
      </w:pPr>
      <w:r>
        <w:t xml:space="preserve">No parameters.</w:t>
      </w:r>
    </w:p>
    <w:bookmarkEnd w:id="5326"/>
    <w:bookmarkStart w:id="5327" w:name="return-value-277"/>
    <w:p>
      <w:pPr>
        <w:pStyle w:val="Heading2"/>
      </w:pPr>
      <w:r>
        <w:t xml:space="preserve">Return Value</w:t>
      </w:r>
    </w:p>
    <w:p>
      <w:pPr>
        <w:pStyle w:val="FirstParagraph"/>
      </w:pPr>
      <w:r>
        <w:t xml:space="preserve">Empty. The method does not return a value.</w:t>
      </w:r>
    </w:p>
    <w:bookmarkEnd w:id="5327"/>
    <w:bookmarkStart w:id="5328" w:name="remarks-567"/>
    <w:p>
      <w:pPr>
        <w:pStyle w:val="Heading2"/>
      </w:pPr>
      <w:r>
        <w:t xml:space="preserve">Remarks</w:t>
      </w:r>
    </w:p>
    <w:p>
      <w:pPr>
        <w:pStyle w:val="Compact"/>
        <w:numPr>
          <w:ilvl w:val="0"/>
          <w:numId w:val="2308"/>
        </w:numPr>
      </w:pPr>
      <w:r>
        <w:t xml:space="preserve">Method names are case-insensitive.</w:t>
      </w:r>
    </w:p>
    <w:p>
      <w:pPr>
        <w:pStyle w:val="Compact"/>
        <w:numPr>
          <w:ilvl w:val="0"/>
          <w:numId w:val="2308"/>
        </w:numPr>
      </w:pPr>
      <w:r>
        <w:t xml:space="preserve">Use CancelUpdate after modifying fields or calling AddNew when you want to discard changes.</w:t>
      </w:r>
    </w:p>
    <w:p>
      <w:pPr>
        <w:pStyle w:val="Compact"/>
        <w:numPr>
          <w:ilvl w:val="0"/>
          <w:numId w:val="2308"/>
        </w:numPr>
      </w:pPr>
      <w:r>
        <w:t xml:space="preserve">CancelUpdate affects only the current pending row change.</w:t>
      </w:r>
    </w:p>
    <w:p>
      <w:pPr>
        <w:pStyle w:val="Compact"/>
        <w:numPr>
          <w:ilvl w:val="0"/>
          <w:numId w:val="2308"/>
        </w:numPr>
      </w:pPr>
      <w:r>
        <w:t xml:space="preserve">After CancelUpdate, field values revert to the previously committed state.</w:t>
      </w:r>
    </w:p>
    <w:bookmarkEnd w:id="5328"/>
    <w:bookmarkStart w:id="5329" w:name="code-example-39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 WHERE id = 1"</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 </w:t>
      </w:r>
      <w:r>
        <w:rPr>
          <w:rStyle w:val="StringTok"/>
        </w:rPr>
        <w:t xml:space="preserve">"Temporary Name"</w:t>
      </w:r>
      <w:r>
        <w:br/>
      </w:r>
      <w:r>
        <w:rPr>
          <w:rStyle w:val="NormalTok"/>
        </w:rPr>
        <w:t xml:space="preserve">    rs.CancelUpdate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"Update canceled"</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29"/>
    <w:bookmarkEnd w:id="5330"/>
    <w:bookmarkStart w:id="5336" w:name="recordset.find-method"/>
    <w:p>
      <w:pPr>
        <w:pStyle w:val="Heading1"/>
      </w:pPr>
      <w:r>
        <w:t xml:space="preserve">Recordset.Find Method</w:t>
      </w:r>
    </w:p>
    <w:p>
      <w:pPr>
        <w:pStyle w:val="FirstParagraph"/>
      </w:pPr>
      <w:r>
        <w:t xml:space="preserve">Searches the recordset for the next row that matches a criteria expression.</w:t>
      </w:r>
    </w:p>
    <w:bookmarkStart w:id="5331" w:name="syntax-595"/>
    <w:p>
      <w:pPr>
        <w:pStyle w:val="Heading2"/>
      </w:pPr>
      <w:r>
        <w:t xml:space="preserve">Syntax</w:t>
      </w:r>
    </w:p>
    <w:p>
      <w:pPr>
        <w:pStyle w:val="SourceCode"/>
      </w:pPr>
      <w:r>
        <w:rPr>
          <w:rStyle w:val="NormalTok"/>
        </w:rPr>
        <w:t xml:space="preserve">rs.Find criteria</w:t>
      </w:r>
    </w:p>
    <w:bookmarkEnd w:id="5331"/>
    <w:bookmarkStart w:id="5332" w:name="parameters-27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criteria</w:t>
            </w:r>
          </w:p>
        </w:tc>
        <w:tc>
          <w:tcPr/>
          <w:p>
            <w:pPr>
              <w:pStyle w:val="Compact"/>
            </w:pPr>
            <w:r>
              <w:t xml:space="preserve">String</w:t>
            </w:r>
          </w:p>
        </w:tc>
        <w:tc>
          <w:tcPr/>
          <w:p>
            <w:pPr>
              <w:pStyle w:val="Compact"/>
            </w:pPr>
            <w:r>
              <w:t xml:space="preserve">Yes</w:t>
            </w:r>
          </w:p>
        </w:tc>
        <w:tc>
          <w:tcPr/>
          <w:p>
            <w:pPr>
              <w:pStyle w:val="Compact"/>
            </w:pPr>
            <w:r>
              <w:t xml:space="preserve">Match expression, such as</w:t>
            </w:r>
            <w:r>
              <w:t xml:space="preserve"> </w:t>
            </w:r>
            <w:r>
              <w:rPr>
                <w:rStyle w:val="VerbatimChar"/>
              </w:rPr>
              <w:t xml:space="preserve">"id = 10"</w:t>
            </w:r>
            <w:r>
              <w:t xml:space="preserve"> </w:t>
            </w:r>
            <w:r>
              <w:t xml:space="preserve">or</w:t>
            </w:r>
            <w:r>
              <w:t xml:space="preserve"> </w:t>
            </w:r>
            <w:r>
              <w:rPr>
                <w:rStyle w:val="VerbatimChar"/>
              </w:rPr>
              <w:t xml:space="preserve">"name = 'Ana'"</w:t>
            </w:r>
            <w:r>
              <w:t xml:space="preserve">.</w:t>
            </w:r>
          </w:p>
        </w:tc>
      </w:tr>
    </w:tbl>
    <w:bookmarkEnd w:id="5332"/>
    <w:bookmarkStart w:id="5333" w:name="return-value-278"/>
    <w:p>
      <w:pPr>
        <w:pStyle w:val="Heading2"/>
      </w:pPr>
      <w:r>
        <w:t xml:space="preserve">Return Value</w:t>
      </w:r>
    </w:p>
    <w:p>
      <w:pPr>
        <w:pStyle w:val="FirstParagraph"/>
      </w:pPr>
      <w:r>
        <w:t xml:space="preserve">Empty. The method does not return a value.</w:t>
      </w:r>
    </w:p>
    <w:bookmarkEnd w:id="5333"/>
    <w:bookmarkStart w:id="5334" w:name="remarks-568"/>
    <w:p>
      <w:pPr>
        <w:pStyle w:val="Heading2"/>
      </w:pPr>
      <w:r>
        <w:t xml:space="preserve">Remarks</w:t>
      </w:r>
    </w:p>
    <w:p>
      <w:pPr>
        <w:pStyle w:val="Compact"/>
        <w:numPr>
          <w:ilvl w:val="0"/>
          <w:numId w:val="2309"/>
        </w:numPr>
      </w:pPr>
      <w:r>
        <w:t xml:space="preserve">Method names are case-insensitive.</w:t>
      </w:r>
    </w:p>
    <w:p>
      <w:pPr>
        <w:pStyle w:val="Compact"/>
        <w:numPr>
          <w:ilvl w:val="0"/>
          <w:numId w:val="2309"/>
        </w:numPr>
      </w:pPr>
      <w:r>
        <w:t xml:space="preserve">Find moves the current cursor position to the first matching row at or after the current position.</w:t>
      </w:r>
    </w:p>
    <w:p>
      <w:pPr>
        <w:pStyle w:val="Compact"/>
        <w:numPr>
          <w:ilvl w:val="0"/>
          <w:numId w:val="2309"/>
        </w:numPr>
      </w:pPr>
      <w:r>
        <w:t xml:space="preserve">If no row matches, EOF becomes True.</w:t>
      </w:r>
    </w:p>
    <w:p>
      <w:pPr>
        <w:pStyle w:val="Compact"/>
        <w:numPr>
          <w:ilvl w:val="0"/>
          <w:numId w:val="2309"/>
        </w:numPr>
      </w:pPr>
      <w:r>
        <w:t xml:space="preserve">Criteria parsing supports the runtime-compatible subset used by AxonASP ADODB.</w:t>
      </w:r>
    </w:p>
    <w:bookmarkEnd w:id="5334"/>
    <w:bookmarkStart w:id="5335" w:name="code-example-39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NormalTok"/>
        </w:rPr>
        <w:t xml:space="preserve">rs.Find </w:t>
      </w:r>
      <w:r>
        <w:rPr>
          <w:rStyle w:val="StringTok"/>
        </w:rPr>
        <w:t xml:space="preserve">"id = 1"</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"Found: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 match"</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35"/>
    <w:bookmarkEnd w:id="5336"/>
    <w:bookmarkStart w:id="5342" w:name="recordset.nextrecordset-method"/>
    <w:p>
      <w:pPr>
        <w:pStyle w:val="Heading1"/>
      </w:pPr>
      <w:r>
        <w:t xml:space="preserve">Recordset.NextRecordset Method</w:t>
      </w:r>
    </w:p>
    <w:p>
      <w:pPr>
        <w:pStyle w:val="FirstParagraph"/>
      </w:pPr>
      <w:r>
        <w:t xml:space="preserve">Returns the next recordset when a command produces multiple result sets.</w:t>
      </w:r>
    </w:p>
    <w:bookmarkStart w:id="5337" w:name="syntax-596"/>
    <w:p>
      <w:pPr>
        <w:pStyle w:val="Heading2"/>
      </w:pPr>
      <w:r>
        <w:t xml:space="preserve">Syntax</w:t>
      </w:r>
    </w:p>
    <w:p>
      <w:pPr>
        <w:pStyle w:val="SourceCode"/>
      </w:pPr>
      <w:r>
        <w:rPr>
          <w:rStyle w:val="NormalTok"/>
        </w:rPr>
        <w:t xml:space="preserve">Set nextRs = rs.NextRecordset</w:t>
      </w:r>
    </w:p>
    <w:bookmarkEnd w:id="5337"/>
    <w:bookmarkStart w:id="5338" w:name="parameters-278"/>
    <w:p>
      <w:pPr>
        <w:pStyle w:val="Heading2"/>
      </w:pPr>
      <w:r>
        <w:t xml:space="preserve">Parameters</w:t>
      </w:r>
    </w:p>
    <w:p>
      <w:pPr>
        <w:pStyle w:val="FirstParagraph"/>
      </w:pPr>
      <w:r>
        <w:t xml:space="preserve">No parameters.</w:t>
      </w:r>
    </w:p>
    <w:bookmarkEnd w:id="5338"/>
    <w:bookmarkStart w:id="5339" w:name="return-value-279"/>
    <w:p>
      <w:pPr>
        <w:pStyle w:val="Heading2"/>
      </w:pPr>
      <w:r>
        <w:t xml:space="preserve">Return Value</w:t>
      </w:r>
    </w:p>
    <w:p>
      <w:pPr>
        <w:pStyle w:val="FirstParagraph"/>
      </w:pPr>
      <w:r>
        <w:t xml:space="preserve">Recordset or Nothing. Returns the next ADODB.Recordset object if available; returns Nothing when there are no additional result sets.</w:t>
      </w:r>
    </w:p>
    <w:bookmarkEnd w:id="5339"/>
    <w:bookmarkStart w:id="5340" w:name="remarks-569"/>
    <w:p>
      <w:pPr>
        <w:pStyle w:val="Heading2"/>
      </w:pPr>
      <w:r>
        <w:t xml:space="preserve">Remarks</w:t>
      </w:r>
    </w:p>
    <w:p>
      <w:pPr>
        <w:pStyle w:val="Compact"/>
        <w:numPr>
          <w:ilvl w:val="0"/>
          <w:numId w:val="2310"/>
        </w:numPr>
      </w:pPr>
      <w:r>
        <w:t xml:space="preserve">Method names are case-insensitive.</w:t>
      </w:r>
    </w:p>
    <w:p>
      <w:pPr>
        <w:pStyle w:val="Compact"/>
        <w:numPr>
          <w:ilvl w:val="0"/>
          <w:numId w:val="2310"/>
        </w:numPr>
      </w:pPr>
      <w:r>
        <w:t xml:space="preserve">Use NextRecordset only when SQL/provider can emit multiple result sets.</w:t>
      </w:r>
    </w:p>
    <w:p>
      <w:pPr>
        <w:pStyle w:val="Compact"/>
        <w:numPr>
          <w:ilvl w:val="0"/>
          <w:numId w:val="2310"/>
        </w:numPr>
      </w:pPr>
      <w:r>
        <w:t xml:space="preserve">Always check if returned object is Nothing before using it.</w:t>
      </w:r>
    </w:p>
    <w:p>
      <w:pPr>
        <w:pStyle w:val="Compact"/>
        <w:numPr>
          <w:ilvl w:val="0"/>
          <w:numId w:val="2310"/>
        </w:numPr>
      </w:pPr>
      <w:r>
        <w:t xml:space="preserve">Close each returned recordset when finished.</w:t>
      </w:r>
    </w:p>
    <w:bookmarkEnd w:id="5340"/>
    <w:bookmarkStart w:id="5341" w:name="code-example-39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nextRs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FROM users"</w:t>
      </w:r>
      <w:r>
        <w:rPr>
          <w:rStyle w:val="OtherTok"/>
        </w:rPr>
        <w:t xml:space="preserve">)</w:t>
      </w:r>
      <w:r>
        <w:br/>
      </w:r>
      <w:r>
        <w:rPr>
          <w:rStyle w:val="KeywordTok"/>
        </w:rPr>
        <w:t xml:space="preserve">Set</w:t>
      </w:r>
      <w:r>
        <w:rPr>
          <w:rStyle w:val="NormalTok"/>
        </w:rPr>
        <w:t xml:space="preserve"> nextRs = rs.NextRecordset</w:t>
      </w:r>
      <w:r>
        <w:br/>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nextRs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"Second recordset available"</w:t>
      </w:r>
      <w:r>
        <w:br/>
      </w:r>
      <w:r>
        <w:rPr>
          <w:rStyle w:val="NormalTok"/>
        </w:rPr>
        <w:t xml:space="preserve">    nextRs.</w:t>
      </w:r>
      <w:r>
        <w:rPr>
          <w:rStyle w:val="KeywordTok"/>
        </w:rPr>
        <w:t xml:space="preserve">Close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 additional recordset"</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nextRs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41"/>
    <w:bookmarkEnd w:id="5342"/>
    <w:bookmarkStart w:id="5348" w:name="recordset.clone-method"/>
    <w:p>
      <w:pPr>
        <w:pStyle w:val="Heading1"/>
      </w:pPr>
      <w:r>
        <w:t xml:space="preserve">Recordset.Clone Method</w:t>
      </w:r>
    </w:p>
    <w:p>
      <w:pPr>
        <w:pStyle w:val="FirstParagraph"/>
      </w:pPr>
      <w:r>
        <w:t xml:space="preserve">Creates a new Recordset object that references the same rowset data.</w:t>
      </w:r>
    </w:p>
    <w:bookmarkStart w:id="5343" w:name="syntax-597"/>
    <w:p>
      <w:pPr>
        <w:pStyle w:val="Heading2"/>
      </w:pPr>
      <w:r>
        <w:t xml:space="preserve">Syntax</w:t>
      </w:r>
    </w:p>
    <w:p>
      <w:pPr>
        <w:pStyle w:val="SourceCode"/>
      </w:pPr>
      <w:r>
        <w:rPr>
          <w:rStyle w:val="NormalTok"/>
        </w:rPr>
        <w:t xml:space="preserve">Set rsClone = rs.Clone</w:t>
      </w:r>
    </w:p>
    <w:bookmarkEnd w:id="5343"/>
    <w:bookmarkStart w:id="5344" w:name="parameters-279"/>
    <w:p>
      <w:pPr>
        <w:pStyle w:val="Heading2"/>
      </w:pPr>
      <w:r>
        <w:t xml:space="preserve">Parameters</w:t>
      </w:r>
    </w:p>
    <w:p>
      <w:pPr>
        <w:pStyle w:val="FirstParagraph"/>
      </w:pPr>
      <w:r>
        <w:t xml:space="preserve">No parameters.</w:t>
      </w:r>
    </w:p>
    <w:bookmarkEnd w:id="5344"/>
    <w:bookmarkStart w:id="5345" w:name="return-value-280"/>
    <w:p>
      <w:pPr>
        <w:pStyle w:val="Heading2"/>
      </w:pPr>
      <w:r>
        <w:t xml:space="preserve">Return Value</w:t>
      </w:r>
    </w:p>
    <w:p>
      <w:pPr>
        <w:pStyle w:val="FirstParagraph"/>
      </w:pPr>
      <w:r>
        <w:t xml:space="preserve">Recordset. Returns a new ADODB.Recordset object clone.</w:t>
      </w:r>
    </w:p>
    <w:bookmarkEnd w:id="5345"/>
    <w:bookmarkStart w:id="5346" w:name="remarks-570"/>
    <w:p>
      <w:pPr>
        <w:pStyle w:val="Heading2"/>
      </w:pPr>
      <w:r>
        <w:t xml:space="preserve">Remarks</w:t>
      </w:r>
    </w:p>
    <w:p>
      <w:pPr>
        <w:pStyle w:val="Compact"/>
        <w:numPr>
          <w:ilvl w:val="0"/>
          <w:numId w:val="2311"/>
        </w:numPr>
      </w:pPr>
      <w:r>
        <w:t xml:space="preserve">Method names are case-insensitive.</w:t>
      </w:r>
    </w:p>
    <w:p>
      <w:pPr>
        <w:pStyle w:val="Compact"/>
        <w:numPr>
          <w:ilvl w:val="0"/>
          <w:numId w:val="2311"/>
        </w:numPr>
      </w:pPr>
      <w:r>
        <w:t xml:space="preserve">The clone has independent cursor position.</w:t>
      </w:r>
    </w:p>
    <w:p>
      <w:pPr>
        <w:pStyle w:val="Compact"/>
        <w:numPr>
          <w:ilvl w:val="0"/>
          <w:numId w:val="2311"/>
        </w:numPr>
      </w:pPr>
      <w:r>
        <w:t xml:space="preserve">Changes to shared underlying data can be visible in both recordsets, depending on lock and cursor behavior.</w:t>
      </w:r>
    </w:p>
    <w:p>
      <w:pPr>
        <w:pStyle w:val="Compact"/>
        <w:numPr>
          <w:ilvl w:val="0"/>
          <w:numId w:val="2311"/>
        </w:numPr>
      </w:pPr>
      <w:r>
        <w:t xml:space="preserve">Close and release cloned recordsets separately.</w:t>
      </w:r>
    </w:p>
    <w:bookmarkEnd w:id="5346"/>
    <w:bookmarkStart w:id="5347" w:name="code-example-39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rsClone</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KeywordTok"/>
        </w:rPr>
        <w:t xml:space="preserve">Set</w:t>
      </w:r>
      <w:r>
        <w:rPr>
          <w:rStyle w:val="NormalTok"/>
        </w:rPr>
        <w:t xml:space="preserve"> rsClone = rs.Clone</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"Original current row: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w:t>
      </w:r>
      <w:r>
        <w:rPr>
          <w:rStyle w:val="KeywordTok"/>
        </w:rPr>
        <w:t xml:space="preserve">&amp;</w:t>
      </w:r>
      <w:r>
        <w:rPr>
          <w:rStyle w:val="NormalTok"/>
        </w:rPr>
        <w:t xml:space="preserve"> </w:t>
      </w:r>
      <w:r>
        <w:rPr>
          <w:rStyle w:val="StringTok"/>
        </w:rPr>
        <w:t xml:space="preserve">"&lt;br&gt;"</w:t>
      </w:r>
      <w:r>
        <w:br/>
      </w:r>
      <w:r>
        <w:rPr>
          <w:rStyle w:val="ControlFlowTok"/>
        </w:rPr>
        <w:t xml:space="preserve">End If</w:t>
      </w:r>
      <w:r>
        <w:br/>
      </w:r>
      <w:r>
        <w:br/>
      </w:r>
      <w:r>
        <w:rPr>
          <w:rStyle w:val="ControlFlowTok"/>
        </w:rPr>
        <w:t xml:space="preserve">If</w:t>
      </w:r>
      <w:r>
        <w:rPr>
          <w:rStyle w:val="NormalTok"/>
        </w:rPr>
        <w:t xml:space="preserve"> </w:t>
      </w:r>
      <w:r>
        <w:rPr>
          <w:rStyle w:val="KeywordTok"/>
        </w:rPr>
        <w:t xml:space="preserve">Not</w:t>
      </w:r>
      <w:r>
        <w:rPr>
          <w:rStyle w:val="NormalTok"/>
        </w:rPr>
        <w:t xml:space="preserve"> rsClone.</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"Clone current row: "</w:t>
      </w:r>
      <w:r>
        <w:rPr>
          <w:rStyle w:val="NormalTok"/>
        </w:rPr>
        <w:t xml:space="preserve"> </w:t>
      </w:r>
      <w:r>
        <w:rPr>
          <w:rStyle w:val="KeywordTok"/>
        </w:rPr>
        <w:t xml:space="preserve">&amp;</w:t>
      </w:r>
      <w:r>
        <w:rPr>
          <w:rStyle w:val="NormalTok"/>
        </w:rPr>
        <w:t xml:space="preserve"> rsClone.Fields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End If</w:t>
      </w:r>
      <w:r>
        <w:br/>
      </w:r>
      <w:r>
        <w:br/>
      </w:r>
      <w:r>
        <w:rPr>
          <w:rStyle w:val="NormalTok"/>
        </w:rPr>
        <w:t xml:space="preserve">rsClone.</w:t>
      </w:r>
      <w:r>
        <w:rPr>
          <w:rStyle w:val="KeywordTok"/>
        </w:rPr>
        <w:t xml:space="preserve">Close</w:t>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rsClone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47"/>
    <w:bookmarkEnd w:id="5348"/>
    <w:bookmarkStart w:id="5354" w:name="recordset.comparebookmarks-method"/>
    <w:p>
      <w:pPr>
        <w:pStyle w:val="Heading1"/>
      </w:pPr>
      <w:r>
        <w:t xml:space="preserve">Recordset.CompareBookmarks Method</w:t>
      </w:r>
    </w:p>
    <w:p>
      <w:pPr>
        <w:pStyle w:val="FirstParagraph"/>
      </w:pPr>
      <w:r>
        <w:t xml:space="preserve">Compares two bookmark positions from the same recordset.</w:t>
      </w:r>
    </w:p>
    <w:bookmarkStart w:id="5349" w:name="syntax-598"/>
    <w:p>
      <w:pPr>
        <w:pStyle w:val="Heading2"/>
      </w:pPr>
      <w:r>
        <w:t xml:space="preserve">Syntax</w:t>
      </w:r>
    </w:p>
    <w:p>
      <w:pPr>
        <w:pStyle w:val="SourceCode"/>
      </w:pPr>
      <w:r>
        <w:rPr>
          <w:rStyle w:val="NormalTok"/>
        </w:rPr>
        <w:t xml:space="preserve">comparison = rs.CompareBookmarks(bookmark1, bookmark2)</w:t>
      </w:r>
    </w:p>
    <w:bookmarkEnd w:id="5349"/>
    <w:bookmarkStart w:id="5350" w:name="parameters-28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bookmark1</w:t>
            </w:r>
          </w:p>
        </w:tc>
        <w:tc>
          <w:tcPr/>
          <w:p>
            <w:pPr>
              <w:pStyle w:val="Compact"/>
            </w:pPr>
            <w:r>
              <w:t xml:space="preserve">Variant</w:t>
            </w:r>
          </w:p>
        </w:tc>
        <w:tc>
          <w:tcPr/>
          <w:p>
            <w:pPr>
              <w:pStyle w:val="Compact"/>
            </w:pPr>
            <w:r>
              <w:t xml:space="preserve">Yes</w:t>
            </w:r>
          </w:p>
        </w:tc>
        <w:tc>
          <w:tcPr/>
          <w:p>
            <w:pPr>
              <w:pStyle w:val="Compact"/>
            </w:pPr>
            <w:r>
              <w:t xml:space="preserve">First bookmark value.</w:t>
            </w:r>
          </w:p>
        </w:tc>
      </w:tr>
      <w:tr>
        <w:tc>
          <w:tcPr/>
          <w:p>
            <w:pPr>
              <w:pStyle w:val="Compact"/>
            </w:pPr>
            <w:r>
              <w:rPr>
                <w:rStyle w:val="VerbatimChar"/>
              </w:rPr>
              <w:t xml:space="preserve">bookmark2</w:t>
            </w:r>
          </w:p>
        </w:tc>
        <w:tc>
          <w:tcPr/>
          <w:p>
            <w:pPr>
              <w:pStyle w:val="Compact"/>
            </w:pPr>
            <w:r>
              <w:t xml:space="preserve">Variant</w:t>
            </w:r>
          </w:p>
        </w:tc>
        <w:tc>
          <w:tcPr/>
          <w:p>
            <w:pPr>
              <w:pStyle w:val="Compact"/>
            </w:pPr>
            <w:r>
              <w:t xml:space="preserve">Yes</w:t>
            </w:r>
          </w:p>
        </w:tc>
        <w:tc>
          <w:tcPr/>
          <w:p>
            <w:pPr>
              <w:pStyle w:val="Compact"/>
            </w:pPr>
            <w:r>
              <w:t xml:space="preserve">Second bookmark value.</w:t>
            </w:r>
          </w:p>
        </w:tc>
      </w:tr>
    </w:tbl>
    <w:bookmarkEnd w:id="5350"/>
    <w:bookmarkStart w:id="5351" w:name="return-value-281"/>
    <w:p>
      <w:pPr>
        <w:pStyle w:val="Heading2"/>
      </w:pPr>
      <w:r>
        <w:t xml:space="preserve">Return Value</w:t>
      </w:r>
    </w:p>
    <w:p>
      <w:pPr>
        <w:pStyle w:val="FirstParagraph"/>
      </w:pPr>
      <w:r>
        <w:t xml:space="preserve">Integer. Returns</w:t>
      </w:r>
      <w:r>
        <w:t xml:space="preserve"> </w:t>
      </w:r>
      <w:r>
        <w:rPr>
          <w:rStyle w:val="VerbatimChar"/>
        </w:rPr>
        <w:t xml:space="preserve">-1</w:t>
      </w:r>
      <w:r>
        <w:t xml:space="preserve"> </w:t>
      </w:r>
      <w:r>
        <w:t xml:space="preserve">when</w:t>
      </w:r>
      <w:r>
        <w:t xml:space="preserve"> </w:t>
      </w:r>
      <w:r>
        <w:rPr>
          <w:rStyle w:val="VerbatimChar"/>
        </w:rPr>
        <w:t xml:space="preserve">bookmark1</w:t>
      </w:r>
      <w:r>
        <w:t xml:space="preserve"> </w:t>
      </w:r>
      <w:r>
        <w:t xml:space="preserve">is before</w:t>
      </w:r>
      <w:r>
        <w:t xml:space="preserve"> </w:t>
      </w:r>
      <w:r>
        <w:rPr>
          <w:rStyle w:val="VerbatimChar"/>
        </w:rPr>
        <w:t xml:space="preserve">bookmark2</w:t>
      </w:r>
      <w:r>
        <w:t xml:space="preserve">,</w:t>
      </w:r>
      <w:r>
        <w:t xml:space="preserve"> </w:t>
      </w:r>
      <w:r>
        <w:rPr>
          <w:rStyle w:val="VerbatimChar"/>
        </w:rPr>
        <w:t xml:space="preserve">0</w:t>
      </w:r>
      <w:r>
        <w:t xml:space="preserve"> </w:t>
      </w:r>
      <w:r>
        <w:t xml:space="preserve">when both point to the same row, and</w:t>
      </w:r>
      <w:r>
        <w:t xml:space="preserve"> </w:t>
      </w:r>
      <w:r>
        <w:rPr>
          <w:rStyle w:val="VerbatimChar"/>
        </w:rPr>
        <w:t xml:space="preserve">1</w:t>
      </w:r>
      <w:r>
        <w:t xml:space="preserve"> </w:t>
      </w:r>
      <w:r>
        <w:t xml:space="preserve">when</w:t>
      </w:r>
      <w:r>
        <w:t xml:space="preserve"> </w:t>
      </w:r>
      <w:r>
        <w:rPr>
          <w:rStyle w:val="VerbatimChar"/>
        </w:rPr>
        <w:t xml:space="preserve">bookmark1</w:t>
      </w:r>
      <w:r>
        <w:t xml:space="preserve"> </w:t>
      </w:r>
      <w:r>
        <w:t xml:space="preserve">is after</w:t>
      </w:r>
      <w:r>
        <w:t xml:space="preserve"> </w:t>
      </w:r>
      <w:r>
        <w:rPr>
          <w:rStyle w:val="VerbatimChar"/>
        </w:rPr>
        <w:t xml:space="preserve">bookmark2</w:t>
      </w:r>
      <w:r>
        <w:t xml:space="preserve">.</w:t>
      </w:r>
    </w:p>
    <w:bookmarkEnd w:id="5351"/>
    <w:bookmarkStart w:id="5352" w:name="remarks-571"/>
    <w:p>
      <w:pPr>
        <w:pStyle w:val="Heading2"/>
      </w:pPr>
      <w:r>
        <w:t xml:space="preserve">Remarks</w:t>
      </w:r>
    </w:p>
    <w:p>
      <w:pPr>
        <w:pStyle w:val="Compact"/>
        <w:numPr>
          <w:ilvl w:val="0"/>
          <w:numId w:val="2312"/>
        </w:numPr>
      </w:pPr>
      <w:r>
        <w:t xml:space="preserve">Method names are case-insensitive.</w:t>
      </w:r>
    </w:p>
    <w:p>
      <w:pPr>
        <w:pStyle w:val="Compact"/>
        <w:numPr>
          <w:ilvl w:val="0"/>
          <w:numId w:val="2312"/>
        </w:numPr>
      </w:pPr>
      <w:r>
        <w:t xml:space="preserve">Both bookmarks must come from the same recordset cursor context.</w:t>
      </w:r>
    </w:p>
    <w:p>
      <w:pPr>
        <w:pStyle w:val="Compact"/>
        <w:numPr>
          <w:ilvl w:val="0"/>
          <w:numId w:val="2312"/>
        </w:numPr>
      </w:pPr>
      <w:r>
        <w:t xml:space="preserve">Invalid bookmarks raise runtime errors.</w:t>
      </w:r>
    </w:p>
    <w:p>
      <w:pPr>
        <w:pStyle w:val="Compact"/>
        <w:numPr>
          <w:ilvl w:val="0"/>
          <w:numId w:val="2312"/>
        </w:numPr>
      </w:pPr>
      <w:r>
        <w:t xml:space="preserve">Use this method for cursor position logic without moving the active row.</w:t>
      </w:r>
    </w:p>
    <w:bookmarkEnd w:id="5352"/>
    <w:bookmarkStart w:id="5353" w:name="code-example-39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bm1</w:t>
      </w:r>
      <w:r>
        <w:rPr>
          <w:rStyle w:val="OtherTok"/>
        </w:rPr>
        <w:t xml:space="preserve">,</w:t>
      </w:r>
      <w:r>
        <w:rPr>
          <w:rStyle w:val="NormalTok"/>
        </w:rPr>
        <w:t xml:space="preserve"> bm2</w:t>
      </w:r>
      <w:r>
        <w:rPr>
          <w:rStyle w:val="OtherTok"/>
        </w:rPr>
        <w:t xml:space="preserve">,</w:t>
      </w:r>
      <w:r>
        <w:rPr>
          <w:rStyle w:val="NormalTok"/>
        </w:rPr>
        <w:t xml:space="preserve"> cmp</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bm1 = rs.Bookmark</w:t>
      </w:r>
      <w:r>
        <w:br/>
      </w:r>
      <w:r>
        <w:rPr>
          <w:rStyle w:val="NormalTok"/>
        </w:rPr>
        <w:t xml:space="preserve">    rs.</w:t>
      </w:r>
      <w:r>
        <w:rPr>
          <w:rStyle w:val="KeywordTok"/>
        </w:rPr>
        <w:t xml:space="preserve">MoveNext</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bm2 = rs.Bookmark</w:t>
      </w:r>
      <w:r>
        <w:br/>
      </w:r>
      <w:r>
        <w:rPr>
          <w:rStyle w:val="NormalTok"/>
        </w:rPr>
        <w:t xml:space="preserve">        cmp = rs.CompareBookmarks</w:t>
      </w:r>
      <w:r>
        <w:rPr>
          <w:rStyle w:val="OtherTok"/>
        </w:rPr>
        <w:t xml:space="preserve">(</w:t>
      </w:r>
      <w:r>
        <w:rPr>
          <w:rStyle w:val="NormalTok"/>
        </w:rPr>
        <w:t xml:space="preserve">bm1</w:t>
      </w:r>
      <w:r>
        <w:rPr>
          <w:rStyle w:val="OtherTok"/>
        </w:rPr>
        <w:t xml:space="preserve">,</w:t>
      </w:r>
      <w:r>
        <w:rPr>
          <w:rStyle w:val="NormalTok"/>
        </w:rPr>
        <w:t xml:space="preserve"> bm2</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"Compare result: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cmp</w:t>
      </w:r>
      <w:r>
        <w:rPr>
          <w:rStyle w:val="OtherTok"/>
        </w:rPr>
        <w:t xml:space="preserve">)</w:t>
      </w:r>
      <w:r>
        <w:br/>
      </w:r>
      <w:r>
        <w:rPr>
          <w:rStyle w:val="NormalTok"/>
        </w:rPr>
        <w:t xml:space="preserve">    </w:t>
      </w:r>
      <w:r>
        <w:rPr>
          <w:rStyle w:val="ControlFlowTok"/>
        </w:rPr>
        <w:t xml:space="preserve">End If</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53"/>
    <w:bookmarkEnd w:id="5354"/>
    <w:bookmarkStart w:id="5360" w:name="recordset.addnew-method"/>
    <w:p>
      <w:pPr>
        <w:pStyle w:val="Heading1"/>
      </w:pPr>
      <w:r>
        <w:t xml:space="preserve">Recordset.AddNew Method</w:t>
      </w:r>
    </w:p>
    <w:p>
      <w:pPr>
        <w:pStyle w:val="FirstParagraph"/>
      </w:pPr>
      <w:r>
        <w:t xml:space="preserve">Creates a new pending row in the current recordset.</w:t>
      </w:r>
    </w:p>
    <w:bookmarkStart w:id="5355" w:name="syntax-599"/>
    <w:p>
      <w:pPr>
        <w:pStyle w:val="Heading2"/>
      </w:pPr>
      <w:r>
        <w:t xml:space="preserve">Syntax</w:t>
      </w:r>
    </w:p>
    <w:p>
      <w:pPr>
        <w:pStyle w:val="SourceCode"/>
      </w:pPr>
      <w:r>
        <w:rPr>
          <w:rStyle w:val="NormalTok"/>
        </w:rPr>
        <w:t xml:space="preserve">rs.AddNew</w:t>
      </w:r>
    </w:p>
    <w:bookmarkEnd w:id="5355"/>
    <w:bookmarkStart w:id="5356" w:name="parameters-281"/>
    <w:p>
      <w:pPr>
        <w:pStyle w:val="Heading2"/>
      </w:pPr>
      <w:r>
        <w:t xml:space="preserve">Parameters</w:t>
      </w:r>
    </w:p>
    <w:p>
      <w:pPr>
        <w:pStyle w:val="FirstParagraph"/>
      </w:pPr>
      <w:r>
        <w:t xml:space="preserve">No parameters.</w:t>
      </w:r>
    </w:p>
    <w:bookmarkEnd w:id="5356"/>
    <w:bookmarkStart w:id="5357" w:name="return-value-282"/>
    <w:p>
      <w:pPr>
        <w:pStyle w:val="Heading2"/>
      </w:pPr>
      <w:r>
        <w:t xml:space="preserve">Return Value</w:t>
      </w:r>
    </w:p>
    <w:p>
      <w:pPr>
        <w:pStyle w:val="FirstParagraph"/>
      </w:pPr>
      <w:r>
        <w:t xml:space="preserve">Empty. The method does not return a value.</w:t>
      </w:r>
    </w:p>
    <w:bookmarkEnd w:id="5357"/>
    <w:bookmarkStart w:id="5358" w:name="remarks-572"/>
    <w:p>
      <w:pPr>
        <w:pStyle w:val="Heading2"/>
      </w:pPr>
      <w:r>
        <w:t xml:space="preserve">Remarks</w:t>
      </w:r>
    </w:p>
    <w:p>
      <w:pPr>
        <w:pStyle w:val="Compact"/>
        <w:numPr>
          <w:ilvl w:val="0"/>
          <w:numId w:val="2313"/>
        </w:numPr>
      </w:pPr>
      <w:r>
        <w:t xml:space="preserve">Method names are case-insensitive.</w:t>
      </w:r>
    </w:p>
    <w:p>
      <w:pPr>
        <w:pStyle w:val="Compact"/>
        <w:numPr>
          <w:ilvl w:val="0"/>
          <w:numId w:val="2313"/>
        </w:numPr>
      </w:pPr>
      <w:r>
        <w:t xml:space="preserve">Set field values after AddNew and call</w:t>
      </w:r>
      <w:r>
        <w:t xml:space="preserve"> </w:t>
      </w:r>
      <w:r>
        <w:rPr>
          <w:rStyle w:val="VerbatimChar"/>
        </w:rPr>
        <w:t xml:space="preserve">Update</w:t>
      </w:r>
      <w:r>
        <w:t xml:space="preserve"> </w:t>
      </w:r>
      <w:r>
        <w:t xml:space="preserve">to persist.</w:t>
      </w:r>
    </w:p>
    <w:p>
      <w:pPr>
        <w:pStyle w:val="Compact"/>
        <w:numPr>
          <w:ilvl w:val="0"/>
          <w:numId w:val="2313"/>
        </w:numPr>
      </w:pPr>
      <w:r>
        <w:t xml:space="preserve">Use</w:t>
      </w:r>
      <w:r>
        <w:t xml:space="preserve"> </w:t>
      </w:r>
      <w:r>
        <w:rPr>
          <w:rStyle w:val="VerbatimChar"/>
        </w:rPr>
        <w:t xml:space="preserve">CancelUpdate</w:t>
      </w:r>
      <w:r>
        <w:t xml:space="preserve"> </w:t>
      </w:r>
      <w:r>
        <w:t xml:space="preserve">to discard pending row changes.</w:t>
      </w:r>
    </w:p>
    <w:bookmarkEnd w:id="5358"/>
    <w:bookmarkStart w:id="5359" w:name="code-example-39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w:t>
      </w:r>
      <w:r>
        <w:rPr>
          <w:rStyle w:val="OtherTok"/>
        </w:rPr>
        <w:t xml:space="preserve">)</w:t>
      </w:r>
      <w:r>
        <w:br/>
      </w:r>
      <w:r>
        <w:rPr>
          <w:rStyle w:val="NormalTok"/>
        </w:rPr>
        <w:t xml:space="preserve">rs.AddNew</w:t>
      </w:r>
      <w:r>
        <w:br/>
      </w:r>
      <w:r>
        <w:rPr>
          <w:rStyle w:val="NormalTok"/>
        </w:rPr>
        <w:t xml:space="preserve">rs.Fields</w:t>
      </w:r>
      <w:r>
        <w:rPr>
          <w:rStyle w:val="OtherTok"/>
        </w:rPr>
        <w:t xml:space="preserve">(</w:t>
      </w:r>
      <w:r>
        <w:rPr>
          <w:rStyle w:val="StringTok"/>
        </w:rPr>
        <w:t xml:space="preserve">"name"</w:t>
      </w:r>
      <w:r>
        <w:rPr>
          <w:rStyle w:val="OtherTok"/>
        </w:rPr>
        <w:t xml:space="preserve">)</w:t>
      </w:r>
      <w:r>
        <w:rPr>
          <w:rStyle w:val="NormalTok"/>
        </w:rPr>
        <w:t xml:space="preserve">.Value = </w:t>
      </w:r>
      <w:r>
        <w:rPr>
          <w:rStyle w:val="StringTok"/>
        </w:rPr>
        <w:t xml:space="preserve">"New User"</w:t>
      </w:r>
      <w:r>
        <w:br/>
      </w:r>
      <w:r>
        <w:rPr>
          <w:rStyle w:val="NormalTok"/>
        </w:rPr>
        <w:t xml:space="preserve">rs.Update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"Row added"</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59"/>
    <w:bookmarkEnd w:id="5360"/>
    <w:bookmarkStart w:id="5366" w:name="recordset.update-method"/>
    <w:p>
      <w:pPr>
        <w:pStyle w:val="Heading1"/>
      </w:pPr>
      <w:r>
        <w:t xml:space="preserve">Recordset.Update Method</w:t>
      </w:r>
    </w:p>
    <w:p>
      <w:pPr>
        <w:pStyle w:val="FirstParagraph"/>
      </w:pPr>
      <w:r>
        <w:t xml:space="preserve">Persists pending edits for the current row.</w:t>
      </w:r>
    </w:p>
    <w:bookmarkStart w:id="5361" w:name="syntax-600"/>
    <w:p>
      <w:pPr>
        <w:pStyle w:val="Heading2"/>
      </w:pPr>
      <w:r>
        <w:t xml:space="preserve">Syntax</w:t>
      </w:r>
    </w:p>
    <w:p>
      <w:pPr>
        <w:pStyle w:val="SourceCode"/>
      </w:pPr>
      <w:r>
        <w:rPr>
          <w:rStyle w:val="NormalTok"/>
        </w:rPr>
        <w:t xml:space="preserve">rs.Update</w:t>
      </w:r>
    </w:p>
    <w:bookmarkEnd w:id="5361"/>
    <w:bookmarkStart w:id="5362" w:name="parameters-282"/>
    <w:p>
      <w:pPr>
        <w:pStyle w:val="Heading2"/>
      </w:pPr>
      <w:r>
        <w:t xml:space="preserve">Parameters</w:t>
      </w:r>
    </w:p>
    <w:p>
      <w:pPr>
        <w:pStyle w:val="FirstParagraph"/>
      </w:pPr>
      <w:r>
        <w:t xml:space="preserve">No parameters.</w:t>
      </w:r>
    </w:p>
    <w:bookmarkEnd w:id="5362"/>
    <w:bookmarkStart w:id="5363" w:name="return-value-283"/>
    <w:p>
      <w:pPr>
        <w:pStyle w:val="Heading2"/>
      </w:pPr>
      <w:r>
        <w:t xml:space="preserve">Return Value</w:t>
      </w:r>
    </w:p>
    <w:p>
      <w:pPr>
        <w:pStyle w:val="FirstParagraph"/>
      </w:pPr>
      <w:r>
        <w:t xml:space="preserve">Empty. The method does not return a value.</w:t>
      </w:r>
    </w:p>
    <w:bookmarkEnd w:id="5363"/>
    <w:bookmarkStart w:id="5364" w:name="remarks-573"/>
    <w:p>
      <w:pPr>
        <w:pStyle w:val="Heading2"/>
      </w:pPr>
      <w:r>
        <w:t xml:space="preserve">Remarks</w:t>
      </w:r>
    </w:p>
    <w:p>
      <w:pPr>
        <w:pStyle w:val="Compact"/>
        <w:numPr>
          <w:ilvl w:val="0"/>
          <w:numId w:val="2314"/>
        </w:numPr>
      </w:pPr>
      <w:r>
        <w:t xml:space="preserve">Method names are case-insensitive.</w:t>
      </w:r>
    </w:p>
    <w:p>
      <w:pPr>
        <w:pStyle w:val="Compact"/>
        <w:numPr>
          <w:ilvl w:val="0"/>
          <w:numId w:val="2314"/>
        </w:numPr>
      </w:pPr>
      <w:r>
        <w:t xml:space="preserve">Use after</w:t>
      </w:r>
      <w:r>
        <w:t xml:space="preserve"> </w:t>
      </w:r>
      <w:r>
        <w:rPr>
          <w:rStyle w:val="VerbatimChar"/>
        </w:rPr>
        <w:t xml:space="preserve">AddNew</w:t>
      </w:r>
      <w:r>
        <w:t xml:space="preserve"> </w:t>
      </w:r>
      <w:r>
        <w:t xml:space="preserve">or field value changes.</w:t>
      </w:r>
    </w:p>
    <w:p>
      <w:pPr>
        <w:pStyle w:val="Compact"/>
        <w:numPr>
          <w:ilvl w:val="0"/>
          <w:numId w:val="2314"/>
        </w:numPr>
      </w:pPr>
      <w:r>
        <w:t xml:space="preserve">Requires an updatable recordset and valid connection context.</w:t>
      </w:r>
    </w:p>
    <w:bookmarkEnd w:id="5364"/>
    <w:bookmarkStart w:id="5365" w:name="code-example-40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 WHERE id = 1"</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 </w:t>
      </w:r>
      <w:r>
        <w:rPr>
          <w:rStyle w:val="StringTok"/>
        </w:rPr>
        <w:t xml:space="preserve">"Updated Name"</w:t>
      </w:r>
      <w:r>
        <w:br/>
      </w:r>
      <w:r>
        <w:rPr>
          <w:rStyle w:val="NormalTok"/>
        </w:rPr>
        <w:t xml:space="preserve">    rs.Update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65"/>
    <w:bookmarkEnd w:id="5366"/>
    <w:bookmarkStart w:id="5372" w:name="recordset.delete-method"/>
    <w:p>
      <w:pPr>
        <w:pStyle w:val="Heading1"/>
      </w:pPr>
      <w:r>
        <w:t xml:space="preserve">Recordset.Delete Method</w:t>
      </w:r>
    </w:p>
    <w:p>
      <w:pPr>
        <w:pStyle w:val="FirstParagraph"/>
      </w:pPr>
      <w:r>
        <w:t xml:space="preserve">Deletes the current row from the recordset and data source.</w:t>
      </w:r>
    </w:p>
    <w:bookmarkStart w:id="5367" w:name="syntax-601"/>
    <w:p>
      <w:pPr>
        <w:pStyle w:val="Heading2"/>
      </w:pPr>
      <w:r>
        <w:t xml:space="preserve">Syntax</w:t>
      </w:r>
    </w:p>
    <w:p>
      <w:pPr>
        <w:pStyle w:val="SourceCode"/>
      </w:pPr>
      <w:r>
        <w:rPr>
          <w:rStyle w:val="NormalTok"/>
        </w:rPr>
        <w:t xml:space="preserve">rs.Delete</w:t>
      </w:r>
    </w:p>
    <w:bookmarkEnd w:id="5367"/>
    <w:bookmarkStart w:id="5368" w:name="parameters-283"/>
    <w:p>
      <w:pPr>
        <w:pStyle w:val="Heading2"/>
      </w:pPr>
      <w:r>
        <w:t xml:space="preserve">Parameters</w:t>
      </w:r>
    </w:p>
    <w:p>
      <w:pPr>
        <w:pStyle w:val="FirstParagraph"/>
      </w:pPr>
      <w:r>
        <w:t xml:space="preserve">No parameters.</w:t>
      </w:r>
    </w:p>
    <w:bookmarkEnd w:id="5368"/>
    <w:bookmarkStart w:id="5369" w:name="return-value-284"/>
    <w:p>
      <w:pPr>
        <w:pStyle w:val="Heading2"/>
      </w:pPr>
      <w:r>
        <w:t xml:space="preserve">Return Value</w:t>
      </w:r>
    </w:p>
    <w:p>
      <w:pPr>
        <w:pStyle w:val="FirstParagraph"/>
      </w:pPr>
      <w:r>
        <w:t xml:space="preserve">Empty. The method does not return a value.</w:t>
      </w:r>
    </w:p>
    <w:bookmarkEnd w:id="5369"/>
    <w:bookmarkStart w:id="5370" w:name="remarks-574"/>
    <w:p>
      <w:pPr>
        <w:pStyle w:val="Heading2"/>
      </w:pPr>
      <w:r>
        <w:t xml:space="preserve">Remarks</w:t>
      </w:r>
    </w:p>
    <w:p>
      <w:pPr>
        <w:pStyle w:val="Compact"/>
        <w:numPr>
          <w:ilvl w:val="0"/>
          <w:numId w:val="2315"/>
        </w:numPr>
      </w:pPr>
      <w:r>
        <w:t xml:space="preserve">Method names are case-insensitive.</w:t>
      </w:r>
    </w:p>
    <w:p>
      <w:pPr>
        <w:pStyle w:val="Compact"/>
        <w:numPr>
          <w:ilvl w:val="0"/>
          <w:numId w:val="2315"/>
        </w:numPr>
      </w:pPr>
      <w:r>
        <w:t xml:space="preserve">Deletion applies to the current row position.</w:t>
      </w:r>
    </w:p>
    <w:p>
      <w:pPr>
        <w:pStyle w:val="Compact"/>
        <w:numPr>
          <w:ilvl w:val="0"/>
          <w:numId w:val="2315"/>
        </w:numPr>
      </w:pPr>
      <w:r>
        <w:t xml:space="preserve">Move to the next valid row after deletion when iterating.</w:t>
      </w:r>
    </w:p>
    <w:bookmarkEnd w:id="5370"/>
    <w:bookmarkStart w:id="5371" w:name="code-example-40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 WHERE id = 1"</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rs.</w:t>
      </w:r>
      <w:r>
        <w:rPr>
          <w:rStyle w:val="FunctionTok"/>
        </w:rPr>
        <w:t xml:space="preserve">Delete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"Row deleted"</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71"/>
    <w:bookmarkEnd w:id="5372"/>
    <w:bookmarkStart w:id="5378" w:name="recordset.getrows-method"/>
    <w:p>
      <w:pPr>
        <w:pStyle w:val="Heading1"/>
      </w:pPr>
      <w:r>
        <w:t xml:space="preserve">Recordset.GetRows Method</w:t>
      </w:r>
    </w:p>
    <w:p>
      <w:pPr>
        <w:pStyle w:val="FirstParagraph"/>
      </w:pPr>
      <w:r>
        <w:t xml:space="preserve">Returns recordset rows as a two-dimensional array.</w:t>
      </w:r>
    </w:p>
    <w:bookmarkStart w:id="5373" w:name="syntax-602"/>
    <w:p>
      <w:pPr>
        <w:pStyle w:val="Heading2"/>
      </w:pPr>
      <w:r>
        <w:t xml:space="preserve">Syntax</w:t>
      </w:r>
    </w:p>
    <w:p>
      <w:pPr>
        <w:pStyle w:val="SourceCode"/>
      </w:pPr>
      <w:r>
        <w:rPr>
          <w:rStyle w:val="NormalTok"/>
        </w:rPr>
        <w:t xml:space="preserve">rows = rs.GetRows</w:t>
      </w:r>
    </w:p>
    <w:bookmarkEnd w:id="5373"/>
    <w:bookmarkStart w:id="5374" w:name="parameters-284"/>
    <w:p>
      <w:pPr>
        <w:pStyle w:val="Heading2"/>
      </w:pPr>
      <w:r>
        <w:t xml:space="preserve">Parameters</w:t>
      </w:r>
    </w:p>
    <w:p>
      <w:pPr>
        <w:pStyle w:val="FirstParagraph"/>
      </w:pPr>
      <w:r>
        <w:t xml:space="preserve">No parameters.</w:t>
      </w:r>
    </w:p>
    <w:bookmarkEnd w:id="5374"/>
    <w:bookmarkStart w:id="5375" w:name="return-value-285"/>
    <w:p>
      <w:pPr>
        <w:pStyle w:val="Heading2"/>
      </w:pPr>
      <w:r>
        <w:t xml:space="preserve">Return Value</w:t>
      </w:r>
    </w:p>
    <w:p>
      <w:pPr>
        <w:pStyle w:val="FirstParagraph"/>
      </w:pPr>
      <w:r>
        <w:t xml:space="preserve">Array or Empty. Returns a 2D array in</w:t>
      </w:r>
      <w:r>
        <w:t xml:space="preserve"> </w:t>
      </w:r>
      <w:r>
        <w:rPr>
          <w:rStyle w:val="VerbatimChar"/>
        </w:rPr>
        <w:t xml:space="preserve">[columnIndex][rowIndex]</w:t>
      </w:r>
      <w:r>
        <w:t xml:space="preserve"> </w:t>
      </w:r>
      <w:r>
        <w:t xml:space="preserve">order. Returns Empty when the recordset is closed or has no rows.</w:t>
      </w:r>
    </w:p>
    <w:bookmarkEnd w:id="5375"/>
    <w:bookmarkStart w:id="5376" w:name="remarks-575"/>
    <w:p>
      <w:pPr>
        <w:pStyle w:val="Heading2"/>
      </w:pPr>
      <w:r>
        <w:t xml:space="preserve">Remarks</w:t>
      </w:r>
    </w:p>
    <w:p>
      <w:pPr>
        <w:pStyle w:val="Compact"/>
        <w:numPr>
          <w:ilvl w:val="0"/>
          <w:numId w:val="2316"/>
        </w:numPr>
      </w:pPr>
      <w:r>
        <w:t xml:space="preserve">Method names are case-insensitive.</w:t>
      </w:r>
    </w:p>
    <w:p>
      <w:pPr>
        <w:pStyle w:val="Compact"/>
        <w:numPr>
          <w:ilvl w:val="0"/>
          <w:numId w:val="2316"/>
        </w:numPr>
      </w:pPr>
      <w:r>
        <w:t xml:space="preserve">This method reads the full remaining rowset into memory.</w:t>
      </w:r>
    </w:p>
    <w:p>
      <w:pPr>
        <w:pStyle w:val="Compact"/>
        <w:numPr>
          <w:ilvl w:val="0"/>
          <w:numId w:val="2316"/>
        </w:numPr>
      </w:pPr>
      <w:r>
        <w:t xml:space="preserve">Use for bulk processing when array access is preferred.</w:t>
      </w:r>
    </w:p>
    <w:bookmarkEnd w:id="5376"/>
    <w:bookmarkStart w:id="5377" w:name="code-example-40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rows</w:t>
      </w:r>
      <w:r>
        <w:rPr>
          <w:rStyle w:val="OtherTok"/>
        </w:rPr>
        <w:t xml:space="preserve">,</w:t>
      </w:r>
      <w:r>
        <w:rPr>
          <w:rStyle w:val="NormalTok"/>
        </w:rPr>
        <w:t xml:space="preserve"> i</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NormalTok"/>
        </w:rPr>
        <w:t xml:space="preserve">rows = rs.GetRows</w:t>
      </w:r>
      <w:r>
        <w:br/>
      </w:r>
      <w:r>
        <w:br/>
      </w:r>
      <w:r>
        <w:rPr>
          <w:rStyle w:val="ControlFlowTok"/>
        </w:rPr>
        <w:t xml:space="preserve">If</w:t>
      </w:r>
      <w:r>
        <w:rPr>
          <w:rStyle w:val="NormalTok"/>
        </w:rPr>
        <w:t xml:space="preserve"> </w:t>
      </w:r>
      <w:r>
        <w:rPr>
          <w:rStyle w:val="FunctionTok"/>
        </w:rPr>
        <w:t xml:space="preserve">IsArray</w:t>
      </w:r>
      <w:r>
        <w:rPr>
          <w:rStyle w:val="OtherTok"/>
        </w:rPr>
        <w:t xml:space="preserve">(</w:t>
      </w:r>
      <w:r>
        <w:rPr>
          <w:rStyle w:val="NormalTok"/>
        </w:rPr>
        <w:t xml:space="preserve">rows</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rows</w:t>
      </w:r>
      <w:r>
        <w:rPr>
          <w:rStyle w:val="OtherTok"/>
        </w:rPr>
        <w:t xml:space="preserve">,</w:t>
      </w:r>
      <w:r>
        <w:rPr>
          <w:rStyle w:val="NormalTok"/>
        </w:rPr>
        <w:t xml:space="preserve"> </w:t>
      </w:r>
      <w:r>
        <w:rPr>
          <w:rStyle w:val="DecValTok"/>
        </w:rPr>
        <w:t xml:space="preserve">2</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rows</w:t>
      </w:r>
      <w:r>
        <w:rPr>
          <w:rStyle w:val="OtherTok"/>
        </w:rPr>
        <w:t xml:space="preserve">(</w:t>
      </w:r>
      <w:r>
        <w:rPr>
          <w:rStyle w:val="DecValTok"/>
        </w:rPr>
        <w:t xml:space="preserve">0</w:t>
      </w:r>
      <w:r>
        <w:rPr>
          <w:rStyle w:val="OtherTok"/>
        </w:rPr>
        <w:t xml:space="preserve">,</w:t>
      </w:r>
      <w:r>
        <w:rPr>
          <w:rStyle w:val="NormalTok"/>
        </w:rPr>
        <w:t xml:space="preserve"> 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rows</w:t>
      </w:r>
      <w:r>
        <w:rPr>
          <w:rStyle w:val="OtherTok"/>
        </w:rPr>
        <w:t xml:space="preserve">(</w:t>
      </w:r>
      <w:r>
        <w:rPr>
          <w:rStyle w:val="DecValTok"/>
        </w:rPr>
        <w:t xml:space="preserve">1</w:t>
      </w:r>
      <w:r>
        <w:rPr>
          <w:rStyle w:val="OtherTok"/>
        </w:rPr>
        <w:t xml:space="preserve">,</w:t>
      </w:r>
      <w:r>
        <w:rPr>
          <w:rStyle w:val="NormalTok"/>
        </w:rPr>
        <w:t xml:space="preserve"> 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ControlFlowTok"/>
        </w:rPr>
        <w:t xml:space="preserve">Next</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77"/>
    <w:bookmarkEnd w:id="5378"/>
    <w:bookmarkStart w:id="5384" w:name="recordset.getstring-method"/>
    <w:p>
      <w:pPr>
        <w:pStyle w:val="Heading1"/>
      </w:pPr>
      <w:r>
        <w:t xml:space="preserve">Recordset.GetString Method</w:t>
      </w:r>
    </w:p>
    <w:p>
      <w:pPr>
        <w:pStyle w:val="FirstParagraph"/>
      </w:pPr>
      <w:r>
        <w:t xml:space="preserve">Returns recordset rows as a single formatted string.</w:t>
      </w:r>
    </w:p>
    <w:bookmarkStart w:id="5379" w:name="syntax-603"/>
    <w:p>
      <w:pPr>
        <w:pStyle w:val="Heading2"/>
      </w:pPr>
      <w:r>
        <w:t xml:space="preserve">Syntax</w:t>
      </w:r>
    </w:p>
    <w:p>
      <w:pPr>
        <w:pStyle w:val="SourceCode"/>
      </w:pPr>
      <w:r>
        <w:rPr>
          <w:rStyle w:val="NormalTok"/>
        </w:rPr>
        <w:t xml:space="preserve">text = rs.GetString</w:t>
      </w:r>
    </w:p>
    <w:bookmarkEnd w:id="5379"/>
    <w:bookmarkStart w:id="5380" w:name="parameters-285"/>
    <w:p>
      <w:pPr>
        <w:pStyle w:val="Heading2"/>
      </w:pPr>
      <w:r>
        <w:t xml:space="preserve">Parameters</w:t>
      </w:r>
    </w:p>
    <w:p>
      <w:pPr>
        <w:pStyle w:val="FirstParagraph"/>
      </w:pPr>
      <w:r>
        <w:t xml:space="preserve">No parameters.</w:t>
      </w:r>
    </w:p>
    <w:bookmarkEnd w:id="5380"/>
    <w:bookmarkStart w:id="5381" w:name="return-value-286"/>
    <w:p>
      <w:pPr>
        <w:pStyle w:val="Heading2"/>
      </w:pPr>
      <w:r>
        <w:t xml:space="preserve">Return Value</w:t>
      </w:r>
    </w:p>
    <w:p>
      <w:pPr>
        <w:pStyle w:val="FirstParagraph"/>
      </w:pPr>
      <w:r>
        <w:t xml:space="preserve">String. Returns row data with tab-delimited columns and newline-delimited rows. Returns an empty string when no rows are available.</w:t>
      </w:r>
    </w:p>
    <w:bookmarkEnd w:id="5381"/>
    <w:bookmarkStart w:id="5382" w:name="remarks-576"/>
    <w:p>
      <w:pPr>
        <w:pStyle w:val="Heading2"/>
      </w:pPr>
      <w:r>
        <w:t xml:space="preserve">Remarks</w:t>
      </w:r>
    </w:p>
    <w:p>
      <w:pPr>
        <w:pStyle w:val="Compact"/>
        <w:numPr>
          <w:ilvl w:val="0"/>
          <w:numId w:val="2317"/>
        </w:numPr>
      </w:pPr>
      <w:r>
        <w:t xml:space="preserve">Method names are case-insensitive.</w:t>
      </w:r>
    </w:p>
    <w:p>
      <w:pPr>
        <w:pStyle w:val="Compact"/>
        <w:numPr>
          <w:ilvl w:val="0"/>
          <w:numId w:val="2317"/>
        </w:numPr>
      </w:pPr>
      <w:r>
        <w:t xml:space="preserve">Output is useful for export, debug logs, or plain-text rendering.</w:t>
      </w:r>
    </w:p>
    <w:p>
      <w:pPr>
        <w:pStyle w:val="Compact"/>
        <w:numPr>
          <w:ilvl w:val="0"/>
          <w:numId w:val="2317"/>
        </w:numPr>
      </w:pPr>
      <w:r>
        <w:t xml:space="preserve">Large datasets may produce large memory allocations.</w:t>
      </w:r>
    </w:p>
    <w:bookmarkEnd w:id="5382"/>
    <w:bookmarkStart w:id="5383" w:name="code-example-40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text</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NormalTok"/>
        </w:rPr>
        <w:t xml:space="preserve">text = rs.GetString</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"&lt;pre&gt;"</w:t>
      </w:r>
      <w:r>
        <w:rPr>
          <w:rStyle w:val="NormalTok"/>
        </w:rPr>
        <w:t xml:space="preserve"> </w:t>
      </w:r>
      <w:r>
        <w:rPr>
          <w:rStyle w:val="KeywordTok"/>
        </w:rPr>
        <w:t xml:space="preserve">&amp;</w:t>
      </w:r>
      <w:r>
        <w:rPr>
          <w:rStyle w:val="NormalTok"/>
        </w:rPr>
        <w:t xml:space="preserve"> text </w:t>
      </w:r>
      <w:r>
        <w:rPr>
          <w:rStyle w:val="KeywordTok"/>
        </w:rPr>
        <w:t xml:space="preserve">&amp;</w:t>
      </w:r>
      <w:r>
        <w:rPr>
          <w:rStyle w:val="NormalTok"/>
        </w:rPr>
        <w:t xml:space="preserve"> </w:t>
      </w:r>
      <w:r>
        <w:rPr>
          <w:rStyle w:val="StringTok"/>
        </w:rPr>
        <w:t xml:space="preserve">"&lt;/pre&gt;"</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83"/>
    <w:bookmarkEnd w:id="5384"/>
    <w:bookmarkStart w:id="5390" w:name="recordset.requery-method"/>
    <w:p>
      <w:pPr>
        <w:pStyle w:val="Heading1"/>
      </w:pPr>
      <w:r>
        <w:t xml:space="preserve">Recordset.Requery Method</w:t>
      </w:r>
    </w:p>
    <w:p>
      <w:pPr>
        <w:pStyle w:val="FirstParagraph"/>
      </w:pPr>
      <w:r>
        <w:t xml:space="preserve">Re-executes the original query and refreshes the recordset rows.</w:t>
      </w:r>
    </w:p>
    <w:bookmarkStart w:id="5385" w:name="syntax-604"/>
    <w:p>
      <w:pPr>
        <w:pStyle w:val="Heading2"/>
      </w:pPr>
      <w:r>
        <w:t xml:space="preserve">Syntax</w:t>
      </w:r>
    </w:p>
    <w:p>
      <w:pPr>
        <w:pStyle w:val="SourceCode"/>
      </w:pPr>
      <w:r>
        <w:rPr>
          <w:rStyle w:val="NormalTok"/>
        </w:rPr>
        <w:t xml:space="preserve">rs.Requery</w:t>
      </w:r>
    </w:p>
    <w:bookmarkEnd w:id="5385"/>
    <w:bookmarkStart w:id="5386" w:name="parameters-286"/>
    <w:p>
      <w:pPr>
        <w:pStyle w:val="Heading2"/>
      </w:pPr>
      <w:r>
        <w:t xml:space="preserve">Parameters</w:t>
      </w:r>
    </w:p>
    <w:p>
      <w:pPr>
        <w:pStyle w:val="FirstParagraph"/>
      </w:pPr>
      <w:r>
        <w:t xml:space="preserve">No parameters.</w:t>
      </w:r>
    </w:p>
    <w:bookmarkEnd w:id="5386"/>
    <w:bookmarkStart w:id="5387" w:name="return-value-287"/>
    <w:p>
      <w:pPr>
        <w:pStyle w:val="Heading2"/>
      </w:pPr>
      <w:r>
        <w:t xml:space="preserve">Return Value</w:t>
      </w:r>
    </w:p>
    <w:p>
      <w:pPr>
        <w:pStyle w:val="FirstParagraph"/>
      </w:pPr>
      <w:r>
        <w:t xml:space="preserve">Empty. The method does not return a value.</w:t>
      </w:r>
    </w:p>
    <w:bookmarkEnd w:id="5387"/>
    <w:bookmarkStart w:id="5388" w:name="remarks-577"/>
    <w:p>
      <w:pPr>
        <w:pStyle w:val="Heading2"/>
      </w:pPr>
      <w:r>
        <w:t xml:space="preserve">Remarks</w:t>
      </w:r>
    </w:p>
    <w:p>
      <w:pPr>
        <w:pStyle w:val="Compact"/>
        <w:numPr>
          <w:ilvl w:val="0"/>
          <w:numId w:val="2318"/>
        </w:numPr>
      </w:pPr>
      <w:r>
        <w:t xml:space="preserve">Method names are case-insensitive.</w:t>
      </w:r>
    </w:p>
    <w:p>
      <w:pPr>
        <w:pStyle w:val="Compact"/>
        <w:numPr>
          <w:ilvl w:val="0"/>
          <w:numId w:val="2318"/>
        </w:numPr>
      </w:pPr>
      <w:r>
        <w:t xml:space="preserve">Requery uses the recordset source and active connection currently associated with the recordset.</w:t>
      </w:r>
    </w:p>
    <w:p>
      <w:pPr>
        <w:pStyle w:val="Compact"/>
        <w:numPr>
          <w:ilvl w:val="0"/>
          <w:numId w:val="2318"/>
        </w:numPr>
      </w:pPr>
      <w:r>
        <w:t xml:space="preserve">Cursor position can change after refresh.</w:t>
      </w:r>
    </w:p>
    <w:p>
      <w:pPr>
        <w:pStyle w:val="Compact"/>
        <w:numPr>
          <w:ilvl w:val="0"/>
          <w:numId w:val="2318"/>
        </w:numPr>
      </w:pPr>
      <w:r>
        <w:t xml:space="preserve">Use Requery when underlying table data may have changed.</w:t>
      </w:r>
    </w:p>
    <w:bookmarkEnd w:id="5388"/>
    <w:bookmarkStart w:id="5389" w:name="code-example-40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w:t>
      </w:r>
      <w:r>
        <w:rPr>
          <w:rStyle w:val="KeywordTok"/>
        </w:rPr>
        <w:t xml:space="preserve">Open</w:t>
      </w:r>
      <w:r>
        <w:rPr>
          <w:rStyle w:val="NormalTok"/>
        </w:rPr>
        <w:t xml:space="preserve"> </w:t>
      </w:r>
      <w:r>
        <w:rPr>
          <w:rStyle w:val="StringTok"/>
        </w:rPr>
        <w:t xml:space="preserve">"SELECT id, name FROM users"</w:t>
      </w:r>
      <w:r>
        <w:rPr>
          <w:rStyle w:val="OtherTok"/>
        </w:rPr>
        <w:t xml:space="preserve">,</w:t>
      </w:r>
      <w:r>
        <w:rPr>
          <w:rStyle w:val="NormalTok"/>
        </w:rPr>
        <w:t xml:space="preserve"> conn</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"Before requery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rs.RecordCount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rs.Requery</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requery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rs.RecordCount</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89"/>
    <w:bookmarkEnd w:id="5390"/>
    <w:bookmarkStart w:id="5396" w:name="recordset.resync-method"/>
    <w:p>
      <w:pPr>
        <w:pStyle w:val="Heading1"/>
      </w:pPr>
      <w:r>
        <w:t xml:space="preserve">Recordset.Resync Method</w:t>
      </w:r>
    </w:p>
    <w:p>
      <w:pPr>
        <w:pStyle w:val="FirstParagraph"/>
      </w:pPr>
      <w:r>
        <w:t xml:space="preserve">Refreshes the current row values from the data source.</w:t>
      </w:r>
    </w:p>
    <w:bookmarkStart w:id="5391" w:name="syntax-605"/>
    <w:p>
      <w:pPr>
        <w:pStyle w:val="Heading2"/>
      </w:pPr>
      <w:r>
        <w:t xml:space="preserve">Syntax</w:t>
      </w:r>
    </w:p>
    <w:p>
      <w:pPr>
        <w:pStyle w:val="SourceCode"/>
      </w:pPr>
      <w:r>
        <w:rPr>
          <w:rStyle w:val="NormalTok"/>
        </w:rPr>
        <w:t xml:space="preserve">rs.Resync</w:t>
      </w:r>
    </w:p>
    <w:bookmarkEnd w:id="5391"/>
    <w:bookmarkStart w:id="5392" w:name="parameters-287"/>
    <w:p>
      <w:pPr>
        <w:pStyle w:val="Heading2"/>
      </w:pPr>
      <w:r>
        <w:t xml:space="preserve">Parameters</w:t>
      </w:r>
    </w:p>
    <w:p>
      <w:pPr>
        <w:pStyle w:val="FirstParagraph"/>
      </w:pPr>
      <w:r>
        <w:t xml:space="preserve">No parameters.</w:t>
      </w:r>
    </w:p>
    <w:bookmarkEnd w:id="5392"/>
    <w:bookmarkStart w:id="5393" w:name="return-value-288"/>
    <w:p>
      <w:pPr>
        <w:pStyle w:val="Heading2"/>
      </w:pPr>
      <w:r>
        <w:t xml:space="preserve">Return Value</w:t>
      </w:r>
    </w:p>
    <w:p>
      <w:pPr>
        <w:pStyle w:val="FirstParagraph"/>
      </w:pPr>
      <w:r>
        <w:t xml:space="preserve">Empty. The method does not return a value.</w:t>
      </w:r>
    </w:p>
    <w:bookmarkEnd w:id="5393"/>
    <w:bookmarkStart w:id="5394" w:name="remarks-578"/>
    <w:p>
      <w:pPr>
        <w:pStyle w:val="Heading2"/>
      </w:pPr>
      <w:r>
        <w:t xml:space="preserve">Remarks</w:t>
      </w:r>
    </w:p>
    <w:p>
      <w:pPr>
        <w:pStyle w:val="Compact"/>
        <w:numPr>
          <w:ilvl w:val="0"/>
          <w:numId w:val="2319"/>
        </w:numPr>
      </w:pPr>
      <w:r>
        <w:t xml:space="preserve">Method names are case-insensitive.</w:t>
      </w:r>
    </w:p>
    <w:p>
      <w:pPr>
        <w:pStyle w:val="Compact"/>
        <w:numPr>
          <w:ilvl w:val="0"/>
          <w:numId w:val="2319"/>
        </w:numPr>
      </w:pPr>
      <w:r>
        <w:t xml:space="preserve">In the current G3Pix AxonASP ADODB implementation, this method is a compatibility no-op.</w:t>
      </w:r>
    </w:p>
    <w:p>
      <w:pPr>
        <w:pStyle w:val="Compact"/>
        <w:numPr>
          <w:ilvl w:val="0"/>
          <w:numId w:val="2319"/>
        </w:numPr>
      </w:pPr>
      <w:r>
        <w:t xml:space="preserve">Use it to keep compatibility with legacy scripts that call Resync.</w:t>
      </w:r>
    </w:p>
    <w:bookmarkEnd w:id="5394"/>
    <w:bookmarkStart w:id="5395" w:name="code-example-40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NormalTok"/>
        </w:rPr>
        <w:t xml:space="preserve">rs.Resync</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"Resync executed"</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395"/>
    <w:bookmarkEnd w:id="5396"/>
    <w:bookmarkStart w:id="5402" w:name="recordset.save-method"/>
    <w:p>
      <w:pPr>
        <w:pStyle w:val="Heading1"/>
      </w:pPr>
      <w:r>
        <w:t xml:space="preserve">Recordset.Save Method</w:t>
      </w:r>
    </w:p>
    <w:p>
      <w:pPr>
        <w:pStyle w:val="FirstParagraph"/>
      </w:pPr>
      <w:r>
        <w:t xml:space="preserve">Saves recordset content to a file path or stream target.</w:t>
      </w:r>
    </w:p>
    <w:bookmarkStart w:id="5397" w:name="syntax-606"/>
    <w:p>
      <w:pPr>
        <w:pStyle w:val="Heading2"/>
      </w:pPr>
      <w:r>
        <w:t xml:space="preserve">Syntax</w:t>
      </w:r>
    </w:p>
    <w:p>
      <w:pPr>
        <w:pStyle w:val="SourceCode"/>
      </w:pPr>
      <w:r>
        <w:rPr>
          <w:rStyle w:val="NormalTok"/>
        </w:rPr>
        <w:t xml:space="preserve">rs.Save destination</w:t>
      </w:r>
    </w:p>
    <w:bookmarkEnd w:id="5397"/>
    <w:bookmarkStart w:id="5398" w:name="parameters-288"/>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destination</w:t>
            </w:r>
          </w:p>
        </w:tc>
        <w:tc>
          <w:tcPr/>
          <w:p>
            <w:pPr>
              <w:pStyle w:val="Compact"/>
            </w:pPr>
            <w:r>
              <w:t xml:space="preserve">String or Object</w:t>
            </w:r>
          </w:p>
        </w:tc>
        <w:tc>
          <w:tcPr/>
          <w:p>
            <w:pPr>
              <w:pStyle w:val="Compact"/>
            </w:pPr>
            <w:r>
              <w:t xml:space="preserve">Yes</w:t>
            </w:r>
          </w:p>
        </w:tc>
        <w:tc>
          <w:tcPr/>
          <w:p>
            <w:pPr>
              <w:pStyle w:val="Compact"/>
            </w:pPr>
            <w:r>
              <w:t xml:space="preserve">Output file path or stream object target.</w:t>
            </w:r>
          </w:p>
        </w:tc>
      </w:tr>
    </w:tbl>
    <w:bookmarkEnd w:id="5398"/>
    <w:bookmarkStart w:id="5399" w:name="return-value-289"/>
    <w:p>
      <w:pPr>
        <w:pStyle w:val="Heading2"/>
      </w:pPr>
      <w:r>
        <w:t xml:space="preserve">Return Value</w:t>
      </w:r>
    </w:p>
    <w:p>
      <w:pPr>
        <w:pStyle w:val="FirstParagraph"/>
      </w:pPr>
      <w:r>
        <w:t xml:space="preserve">Empty. The method does not return a value.</w:t>
      </w:r>
    </w:p>
    <w:bookmarkEnd w:id="5399"/>
    <w:bookmarkStart w:id="5400" w:name="remarks-579"/>
    <w:p>
      <w:pPr>
        <w:pStyle w:val="Heading2"/>
      </w:pPr>
      <w:r>
        <w:t xml:space="preserve">Remarks</w:t>
      </w:r>
    </w:p>
    <w:p>
      <w:pPr>
        <w:pStyle w:val="Compact"/>
        <w:numPr>
          <w:ilvl w:val="0"/>
          <w:numId w:val="2320"/>
        </w:numPr>
      </w:pPr>
      <w:r>
        <w:t xml:space="preserve">Method names are case-insensitive.</w:t>
      </w:r>
    </w:p>
    <w:p>
      <w:pPr>
        <w:pStyle w:val="Compact"/>
        <w:numPr>
          <w:ilvl w:val="0"/>
          <w:numId w:val="2320"/>
        </w:numPr>
      </w:pPr>
      <w:r>
        <w:t xml:space="preserve">Output format depends on runtime implementation and destination handling.</w:t>
      </w:r>
    </w:p>
    <w:p>
      <w:pPr>
        <w:pStyle w:val="Compact"/>
        <w:numPr>
          <w:ilvl w:val="0"/>
          <w:numId w:val="2320"/>
        </w:numPr>
      </w:pPr>
      <w:r>
        <w:t xml:space="preserve">Ensure destination path is writable.</w:t>
      </w:r>
    </w:p>
    <w:bookmarkEnd w:id="5400"/>
    <w:bookmarkStart w:id="5401" w:name="code-example-40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path</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path = </w:t>
      </w:r>
      <w:r>
        <w:rPr>
          <w:rStyle w:val="FunctionTok"/>
        </w:rPr>
        <w:t xml:space="preserve">Server</w:t>
      </w:r>
      <w:r>
        <w:rPr>
          <w:rStyle w:val="NormalTok"/>
        </w:rPr>
        <w:t xml:space="preserve">.MapPath</w:t>
      </w:r>
      <w:r>
        <w:rPr>
          <w:rStyle w:val="OtherTok"/>
        </w:rPr>
        <w:t xml:space="preserve">(</w:t>
      </w:r>
      <w:r>
        <w:rPr>
          <w:rStyle w:val="StringTok"/>
        </w:rPr>
        <w:t xml:space="preserve">"./users.xml"</w:t>
      </w:r>
      <w:r>
        <w:rPr>
          <w:rStyle w:val="OtherTok"/>
        </w:rPr>
        <w:t xml:space="preserve">)</w:t>
      </w:r>
      <w:r>
        <w:br/>
      </w:r>
      <w:r>
        <w:rPr>
          <w:rStyle w:val="NormalTok"/>
        </w:rPr>
        <w:t xml:space="preserve">rs.Save path</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"Saved to: "</w:t>
      </w:r>
      <w:r>
        <w:rPr>
          <w:rStyle w:val="NormalTok"/>
        </w:rPr>
        <w:t xml:space="preserve"> </w:t>
      </w:r>
      <w:r>
        <w:rPr>
          <w:rStyle w:val="KeywordTok"/>
        </w:rPr>
        <w:t xml:space="preserve">&amp;</w:t>
      </w:r>
      <w:r>
        <w:rPr>
          <w:rStyle w:val="NormalTok"/>
        </w:rPr>
        <w:t xml:space="preserve"> path</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01"/>
    <w:bookmarkEnd w:id="5402"/>
    <w:bookmarkStart w:id="5408" w:name="recordset.seek-method"/>
    <w:p>
      <w:pPr>
        <w:pStyle w:val="Heading1"/>
      </w:pPr>
      <w:r>
        <w:t xml:space="preserve">Recordset.Seek Method</w:t>
      </w:r>
    </w:p>
    <w:p>
      <w:pPr>
        <w:pStyle w:val="FirstParagraph"/>
      </w:pPr>
      <w:r>
        <w:t xml:space="preserve">Repositions the cursor using an index key.</w:t>
      </w:r>
    </w:p>
    <w:bookmarkStart w:id="5403" w:name="syntax-607"/>
    <w:p>
      <w:pPr>
        <w:pStyle w:val="Heading2"/>
      </w:pPr>
      <w:r>
        <w:t xml:space="preserve">Syntax</w:t>
      </w:r>
    </w:p>
    <w:p>
      <w:pPr>
        <w:pStyle w:val="SourceCode"/>
      </w:pPr>
      <w:r>
        <w:rPr>
          <w:rStyle w:val="NormalTok"/>
        </w:rPr>
        <w:t xml:space="preserve">rs.Seek keyOrPosition</w:t>
      </w:r>
    </w:p>
    <w:bookmarkEnd w:id="5403"/>
    <w:bookmarkStart w:id="5404" w:name="parameters-28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keyOrPosition</w:t>
            </w:r>
          </w:p>
        </w:tc>
        <w:tc>
          <w:tcPr/>
          <w:p>
            <w:pPr>
              <w:pStyle w:val="Compact"/>
            </w:pPr>
            <w:r>
              <w:t xml:space="preserve">Variant</w:t>
            </w:r>
          </w:p>
        </w:tc>
        <w:tc>
          <w:tcPr/>
          <w:p>
            <w:pPr>
              <w:pStyle w:val="Compact"/>
            </w:pPr>
            <w:r>
              <w:t xml:space="preserve">Yes</w:t>
            </w:r>
          </w:p>
        </w:tc>
        <w:tc>
          <w:tcPr/>
          <w:p>
            <w:pPr>
              <w:pStyle w:val="Compact"/>
            </w:pPr>
            <w:r>
              <w:t xml:space="preserve">Key or position value used by the provider seek implementation.</w:t>
            </w:r>
          </w:p>
        </w:tc>
      </w:tr>
    </w:tbl>
    <w:bookmarkEnd w:id="5404"/>
    <w:bookmarkStart w:id="5405" w:name="return-value-290"/>
    <w:p>
      <w:pPr>
        <w:pStyle w:val="Heading2"/>
      </w:pPr>
      <w:r>
        <w:t xml:space="preserve">Return Value</w:t>
      </w:r>
    </w:p>
    <w:p>
      <w:pPr>
        <w:pStyle w:val="FirstParagraph"/>
      </w:pPr>
      <w:r>
        <w:t xml:space="preserve">Empty. The method does not return a value.</w:t>
      </w:r>
    </w:p>
    <w:bookmarkEnd w:id="5405"/>
    <w:bookmarkStart w:id="5406" w:name="remarks-580"/>
    <w:p>
      <w:pPr>
        <w:pStyle w:val="Heading2"/>
      </w:pPr>
      <w:r>
        <w:t xml:space="preserve">Remarks</w:t>
      </w:r>
    </w:p>
    <w:p>
      <w:pPr>
        <w:pStyle w:val="Compact"/>
        <w:numPr>
          <w:ilvl w:val="0"/>
          <w:numId w:val="2321"/>
        </w:numPr>
      </w:pPr>
      <w:r>
        <w:t xml:space="preserve">Method names are case-insensitive.</w:t>
      </w:r>
    </w:p>
    <w:p>
      <w:pPr>
        <w:pStyle w:val="Compact"/>
        <w:numPr>
          <w:ilvl w:val="0"/>
          <w:numId w:val="2321"/>
        </w:numPr>
      </w:pPr>
      <w:r>
        <w:t xml:space="preserve">Seek support depends on provider and recordset index configuration.</w:t>
      </w:r>
    </w:p>
    <w:p>
      <w:pPr>
        <w:pStyle w:val="Compact"/>
        <w:numPr>
          <w:ilvl w:val="0"/>
          <w:numId w:val="2321"/>
        </w:numPr>
      </w:pPr>
      <w:r>
        <w:t xml:space="preserve">Set</w:t>
      </w:r>
      <w:r>
        <w:t xml:space="preserve"> </w:t>
      </w:r>
      <w:r>
        <w:rPr>
          <w:rStyle w:val="VerbatimChar"/>
        </w:rPr>
        <w:t xml:space="preserve">Recordset.Index</w:t>
      </w:r>
      <w:r>
        <w:t xml:space="preserve"> </w:t>
      </w:r>
      <w:r>
        <w:t xml:space="preserve">before calling Seek when required.</w:t>
      </w:r>
    </w:p>
    <w:bookmarkEnd w:id="5406"/>
    <w:bookmarkStart w:id="5407" w:name="code-example-40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rs.Index = </w:t>
      </w:r>
      <w:r>
        <w:rPr>
          <w:rStyle w:val="StringTok"/>
        </w:rPr>
        <w:t xml:space="preserve">"id"</w:t>
      </w:r>
      <w:r>
        <w:br/>
      </w:r>
      <w:r>
        <w:rPr>
          <w:rStyle w:val="NormalTok"/>
        </w:rPr>
        <w:t xml:space="preserve">rs.Seek </w:t>
      </w:r>
      <w:r>
        <w:rPr>
          <w:rStyle w:val="DecValTok"/>
        </w:rPr>
        <w:t xml:space="preserve">1</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07"/>
    <w:bookmarkEnd w:id="5408"/>
    <w:bookmarkStart w:id="5414" w:name="recordset.supports-method"/>
    <w:p>
      <w:pPr>
        <w:pStyle w:val="Heading1"/>
      </w:pPr>
      <w:r>
        <w:t xml:space="preserve">Recordset.Supports Method</w:t>
      </w:r>
    </w:p>
    <w:p>
      <w:pPr>
        <w:pStyle w:val="FirstParagraph"/>
      </w:pPr>
      <w:r>
        <w:t xml:space="preserve">Checks whether a recordset feature flag is supported.</w:t>
      </w:r>
    </w:p>
    <w:bookmarkStart w:id="5409" w:name="syntax-608"/>
    <w:p>
      <w:pPr>
        <w:pStyle w:val="Heading2"/>
      </w:pPr>
      <w:r>
        <w:t xml:space="preserve">Syntax</w:t>
      </w:r>
    </w:p>
    <w:p>
      <w:pPr>
        <w:pStyle w:val="SourceCode"/>
      </w:pPr>
      <w:r>
        <w:rPr>
          <w:rStyle w:val="NormalTok"/>
        </w:rPr>
        <w:t xml:space="preserve">ok = rs.Supports(feature)</w:t>
      </w:r>
    </w:p>
    <w:bookmarkEnd w:id="5409"/>
    <w:bookmarkStart w:id="5410" w:name="parameters-29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feature</w:t>
            </w:r>
          </w:p>
        </w:tc>
        <w:tc>
          <w:tcPr/>
          <w:p>
            <w:pPr>
              <w:pStyle w:val="Compact"/>
            </w:pPr>
            <w:r>
              <w:t xml:space="preserve">Integer</w:t>
            </w:r>
          </w:p>
        </w:tc>
        <w:tc>
          <w:tcPr/>
          <w:p>
            <w:pPr>
              <w:pStyle w:val="Compact"/>
            </w:pPr>
            <w:r>
              <w:t xml:space="preserve">Yes</w:t>
            </w:r>
          </w:p>
        </w:tc>
        <w:tc>
          <w:tcPr/>
          <w:p>
            <w:pPr>
              <w:pStyle w:val="Compact"/>
            </w:pPr>
            <w:r>
              <w:t xml:space="preserve">Feature capability constant to test.</w:t>
            </w:r>
          </w:p>
        </w:tc>
      </w:tr>
    </w:tbl>
    <w:bookmarkEnd w:id="5410"/>
    <w:bookmarkStart w:id="5411" w:name="return-value-291"/>
    <w:p>
      <w:pPr>
        <w:pStyle w:val="Heading2"/>
      </w:pPr>
      <w:r>
        <w:t xml:space="preserve">Return Value</w:t>
      </w:r>
    </w:p>
    <w:p>
      <w:pPr>
        <w:pStyle w:val="FirstParagraph"/>
      </w:pPr>
      <w:r>
        <w:t xml:space="preserve">Boolean. Returns True when the feature is supported; otherwise False.</w:t>
      </w:r>
    </w:p>
    <w:bookmarkEnd w:id="5411"/>
    <w:bookmarkStart w:id="5412" w:name="remarks-581"/>
    <w:p>
      <w:pPr>
        <w:pStyle w:val="Heading2"/>
      </w:pPr>
      <w:r>
        <w:t xml:space="preserve">Remarks</w:t>
      </w:r>
    </w:p>
    <w:p>
      <w:pPr>
        <w:pStyle w:val="Compact"/>
        <w:numPr>
          <w:ilvl w:val="0"/>
          <w:numId w:val="2322"/>
        </w:numPr>
      </w:pPr>
      <w:r>
        <w:t xml:space="preserve">Method names are case-insensitive.</w:t>
      </w:r>
    </w:p>
    <w:p>
      <w:pPr>
        <w:pStyle w:val="Compact"/>
        <w:numPr>
          <w:ilvl w:val="0"/>
          <w:numId w:val="2322"/>
        </w:numPr>
      </w:pPr>
      <w:r>
        <w:t xml:space="preserve">Use this before calling optional operations like bookmarks or batch updates.</w:t>
      </w:r>
    </w:p>
    <w:p>
      <w:pPr>
        <w:pStyle w:val="Compact"/>
        <w:numPr>
          <w:ilvl w:val="0"/>
          <w:numId w:val="2322"/>
        </w:numPr>
      </w:pPr>
      <w:r>
        <w:t xml:space="preserve">Supported features vary by provider and cursor configuration.</w:t>
      </w:r>
    </w:p>
    <w:bookmarkEnd w:id="5412"/>
    <w:bookmarkStart w:id="5413" w:name="code-example-40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ok</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ok = rs.Supports</w:t>
      </w:r>
      <w:r>
        <w:rPr>
          <w:rStyle w:val="OtherTok"/>
        </w:rPr>
        <w:t xml:space="preserve">(</w:t>
      </w:r>
      <w:r>
        <w:rPr>
          <w:rStyle w:val="DecValTok"/>
        </w:rPr>
        <w:t xml:space="preserve">16</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"Supports flag 16: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ok</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13"/>
    <w:bookmarkEnd w:id="5414"/>
    <w:bookmarkStart w:id="5420" w:name="recordset.updatebatch-method"/>
    <w:p>
      <w:pPr>
        <w:pStyle w:val="Heading1"/>
      </w:pPr>
      <w:r>
        <w:t xml:space="preserve">Recordset.UpdateBatch Method</w:t>
      </w:r>
    </w:p>
    <w:p>
      <w:pPr>
        <w:pStyle w:val="FirstParagraph"/>
      </w:pPr>
      <w:r>
        <w:t xml:space="preserve">Applies pending batch updates to the data source.</w:t>
      </w:r>
    </w:p>
    <w:bookmarkStart w:id="5415" w:name="syntax-609"/>
    <w:p>
      <w:pPr>
        <w:pStyle w:val="Heading2"/>
      </w:pPr>
      <w:r>
        <w:t xml:space="preserve">Syntax</w:t>
      </w:r>
    </w:p>
    <w:p>
      <w:pPr>
        <w:pStyle w:val="SourceCode"/>
      </w:pPr>
      <w:r>
        <w:rPr>
          <w:rStyle w:val="NormalTok"/>
        </w:rPr>
        <w:t xml:space="preserve">rs.UpdateBatch</w:t>
      </w:r>
    </w:p>
    <w:bookmarkEnd w:id="5415"/>
    <w:bookmarkStart w:id="5416" w:name="parameters-291"/>
    <w:p>
      <w:pPr>
        <w:pStyle w:val="Heading2"/>
      </w:pPr>
      <w:r>
        <w:t xml:space="preserve">Parameters</w:t>
      </w:r>
    </w:p>
    <w:p>
      <w:pPr>
        <w:pStyle w:val="FirstParagraph"/>
      </w:pPr>
      <w:r>
        <w:t xml:space="preserve">No parameters.</w:t>
      </w:r>
    </w:p>
    <w:bookmarkEnd w:id="5416"/>
    <w:bookmarkStart w:id="5417" w:name="return-value-292"/>
    <w:p>
      <w:pPr>
        <w:pStyle w:val="Heading2"/>
      </w:pPr>
      <w:r>
        <w:t xml:space="preserve">Return Value</w:t>
      </w:r>
    </w:p>
    <w:p>
      <w:pPr>
        <w:pStyle w:val="FirstParagraph"/>
      </w:pPr>
      <w:r>
        <w:t xml:space="preserve">Empty. The method does not return a value.</w:t>
      </w:r>
    </w:p>
    <w:bookmarkEnd w:id="5417"/>
    <w:bookmarkStart w:id="5418" w:name="remarks-582"/>
    <w:p>
      <w:pPr>
        <w:pStyle w:val="Heading2"/>
      </w:pPr>
      <w:r>
        <w:t xml:space="preserve">Remarks</w:t>
      </w:r>
    </w:p>
    <w:p>
      <w:pPr>
        <w:pStyle w:val="Compact"/>
        <w:numPr>
          <w:ilvl w:val="0"/>
          <w:numId w:val="2323"/>
        </w:numPr>
      </w:pPr>
      <w:r>
        <w:t xml:space="preserve">Method names are case-insensitive.</w:t>
      </w:r>
    </w:p>
    <w:p>
      <w:pPr>
        <w:pStyle w:val="Compact"/>
        <w:numPr>
          <w:ilvl w:val="0"/>
          <w:numId w:val="2323"/>
        </w:numPr>
      </w:pPr>
      <w:r>
        <w:t xml:space="preserve">In the current G3Pix AxonASP ADODB implementation, this method is a compatibility no-op.</w:t>
      </w:r>
    </w:p>
    <w:p>
      <w:pPr>
        <w:pStyle w:val="Compact"/>
        <w:numPr>
          <w:ilvl w:val="0"/>
          <w:numId w:val="2323"/>
        </w:numPr>
      </w:pPr>
      <w:r>
        <w:t xml:space="preserve">Keep this call for legacy scripts that use batch update flow.</w:t>
      </w:r>
    </w:p>
    <w:bookmarkEnd w:id="5418"/>
    <w:bookmarkStart w:id="5419" w:name="code-example-40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rs.UpdateBatch</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"UpdateBatch executed"</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19"/>
    <w:bookmarkEnd w:id="5420"/>
    <w:bookmarkStart w:id="5426" w:name="recordset.fields-method"/>
    <w:p>
      <w:pPr>
        <w:pStyle w:val="Heading1"/>
      </w:pPr>
      <w:r>
        <w:t xml:space="preserve">Recordset.Fields Method</w:t>
      </w:r>
    </w:p>
    <w:p>
      <w:pPr>
        <w:pStyle w:val="FirstParagraph"/>
      </w:pPr>
      <w:r>
        <w:t xml:space="preserve">Returns the Fields collection associated with the current recordset.</w:t>
      </w:r>
    </w:p>
    <w:bookmarkStart w:id="5421" w:name="syntax-610"/>
    <w:p>
      <w:pPr>
        <w:pStyle w:val="Heading2"/>
      </w:pPr>
      <w:r>
        <w:t xml:space="preserve">Syntax</w:t>
      </w:r>
    </w:p>
    <w:p>
      <w:pPr>
        <w:pStyle w:val="SourceCode"/>
      </w:pPr>
      <w:r>
        <w:rPr>
          <w:rStyle w:val="NormalTok"/>
        </w:rPr>
        <w:t xml:space="preserve">Set fieldsCollection = rs.Fields</w:t>
      </w:r>
    </w:p>
    <w:bookmarkEnd w:id="5421"/>
    <w:bookmarkStart w:id="5422" w:name="parameters-292"/>
    <w:p>
      <w:pPr>
        <w:pStyle w:val="Heading2"/>
      </w:pPr>
      <w:r>
        <w:t xml:space="preserve">Parameters</w:t>
      </w:r>
    </w:p>
    <w:p>
      <w:pPr>
        <w:pStyle w:val="FirstParagraph"/>
      </w:pPr>
      <w:r>
        <w:t xml:space="preserve">No parameters.</w:t>
      </w:r>
    </w:p>
    <w:bookmarkEnd w:id="5422"/>
    <w:bookmarkStart w:id="5423" w:name="return-value-293"/>
    <w:p>
      <w:pPr>
        <w:pStyle w:val="Heading2"/>
      </w:pPr>
      <w:r>
        <w:t xml:space="preserve">Return Value</w:t>
      </w:r>
    </w:p>
    <w:p>
      <w:pPr>
        <w:pStyle w:val="FirstParagraph"/>
      </w:pPr>
      <w:r>
        <w:t xml:space="preserve">Object. Returns an ADODB.Fields collection object.</w:t>
      </w:r>
    </w:p>
    <w:bookmarkEnd w:id="5423"/>
    <w:bookmarkStart w:id="5424" w:name="remarks-583"/>
    <w:p>
      <w:pPr>
        <w:pStyle w:val="Heading2"/>
      </w:pPr>
      <w:r>
        <w:t xml:space="preserve">Remarks</w:t>
      </w:r>
    </w:p>
    <w:p>
      <w:pPr>
        <w:pStyle w:val="Compact"/>
        <w:numPr>
          <w:ilvl w:val="0"/>
          <w:numId w:val="2324"/>
        </w:numPr>
      </w:pPr>
      <w:r>
        <w:t xml:space="preserve">Method names are case-insensitive.</w:t>
      </w:r>
    </w:p>
    <w:p>
      <w:pPr>
        <w:pStyle w:val="Compact"/>
        <w:numPr>
          <w:ilvl w:val="0"/>
          <w:numId w:val="2324"/>
        </w:numPr>
      </w:pPr>
      <w:r>
        <w:t xml:space="preserve">Use the collection to inspect schema and read field values.</w:t>
      </w:r>
    </w:p>
    <w:p>
      <w:pPr>
        <w:pStyle w:val="Compact"/>
        <w:numPr>
          <w:ilvl w:val="0"/>
          <w:numId w:val="2324"/>
        </w:numPr>
      </w:pPr>
      <w:r>
        <w:t xml:space="preserve">Combine with</w:t>
      </w:r>
      <w:r>
        <w:t xml:space="preserve"> </w:t>
      </w:r>
      <w:r>
        <w:rPr>
          <w:rStyle w:val="VerbatimChar"/>
        </w:rPr>
        <w:t xml:space="preserve">Fields.Count</w:t>
      </w:r>
      <w:r>
        <w:t xml:space="preserve"> </w:t>
      </w:r>
      <w:r>
        <w:t xml:space="preserve">and</w:t>
      </w:r>
      <w:r>
        <w:t xml:space="preserve"> </w:t>
      </w:r>
      <w:r>
        <w:rPr>
          <w:rStyle w:val="VerbatimChar"/>
        </w:rPr>
        <w:t xml:space="preserve">Fields.Item</w:t>
      </w:r>
      <w:r>
        <w:t xml:space="preserve"> </w:t>
      </w:r>
      <w:r>
        <w:t xml:space="preserve">for dynamic processing.</w:t>
      </w:r>
    </w:p>
    <w:bookmarkEnd w:id="5424"/>
    <w:bookmarkStart w:id="5425" w:name="code-example-41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fieldsCollection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KeywordTok"/>
        </w:rPr>
        <w:t xml:space="preserve">Set</w:t>
      </w:r>
      <w:r>
        <w:rPr>
          <w:rStyle w:val="NormalTok"/>
        </w:rPr>
        <w:t xml:space="preserve"> fieldsCollection = rs.Fields</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"Fields: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fieldsCollection.Count</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fieldsCollection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25"/>
    <w:bookmarkEnd w:id="5426"/>
    <w:bookmarkStart w:id="5432" w:name="recordset.fields.append-method"/>
    <w:p>
      <w:pPr>
        <w:pStyle w:val="Heading1"/>
      </w:pPr>
      <w:r>
        <w:t xml:space="preserve">Recordset.Fields.Append Method</w:t>
      </w:r>
    </w:p>
    <w:p>
      <w:pPr>
        <w:pStyle w:val="FirstParagraph"/>
      </w:pPr>
      <w:r>
        <w:t xml:space="preserve">Appends a field definition to the current Recordset Fields collection.</w:t>
      </w:r>
    </w:p>
    <w:bookmarkStart w:id="5427" w:name="syntax-611"/>
    <w:p>
      <w:pPr>
        <w:pStyle w:val="Heading2"/>
      </w:pPr>
      <w:r>
        <w:t xml:space="preserve">Syntax</w:t>
      </w:r>
    </w:p>
    <w:p>
      <w:pPr>
        <w:pStyle w:val="SourceCode"/>
      </w:pPr>
      <w:r>
        <w:rPr>
          <w:rStyle w:val="NormalTok"/>
        </w:rPr>
        <w:t xml:space="preserve">rs.Fields.Append name[, type[, definedSize[, attributes]]]</w:t>
      </w:r>
    </w:p>
    <w:bookmarkEnd w:id="5427"/>
    <w:bookmarkStart w:id="5428" w:name="parameters-29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Yes</w:t>
            </w:r>
          </w:p>
        </w:tc>
        <w:tc>
          <w:tcPr/>
          <w:p>
            <w:pPr>
              <w:pStyle w:val="Compact"/>
            </w:pPr>
            <w:r>
              <w:t xml:space="preserve">Field name to add.</w:t>
            </w:r>
          </w:p>
        </w:tc>
      </w:tr>
      <w:tr>
        <w:tc>
          <w:tcPr/>
          <w:p>
            <w:pPr>
              <w:pStyle w:val="Compact"/>
            </w:pPr>
            <w:r>
              <w:rPr>
                <w:rStyle w:val="VerbatimChar"/>
              </w:rPr>
              <w:t xml:space="preserve">type</w:t>
            </w:r>
          </w:p>
        </w:tc>
        <w:tc>
          <w:tcPr/>
          <w:p>
            <w:pPr>
              <w:pStyle w:val="Compact"/>
            </w:pPr>
            <w:r>
              <w:t xml:space="preserve">Integer</w:t>
            </w:r>
          </w:p>
        </w:tc>
        <w:tc>
          <w:tcPr/>
          <w:p>
            <w:pPr>
              <w:pStyle w:val="Compact"/>
            </w:pPr>
            <w:r>
              <w:t xml:space="preserve">No</w:t>
            </w:r>
          </w:p>
        </w:tc>
        <w:tc>
          <w:tcPr/>
          <w:p>
            <w:pPr>
              <w:pStyle w:val="Compact"/>
            </w:pPr>
            <w:r>
              <w:t xml:space="preserve">ADODB type code for the new field.</w:t>
            </w:r>
          </w:p>
        </w:tc>
      </w:tr>
      <w:tr>
        <w:tc>
          <w:tcPr/>
          <w:p>
            <w:pPr>
              <w:pStyle w:val="Compact"/>
            </w:pPr>
            <w:r>
              <w:rPr>
                <w:rStyle w:val="VerbatimChar"/>
              </w:rPr>
              <w:t xml:space="preserve">definedSize</w:t>
            </w:r>
          </w:p>
        </w:tc>
        <w:tc>
          <w:tcPr/>
          <w:p>
            <w:pPr>
              <w:pStyle w:val="Compact"/>
            </w:pPr>
            <w:r>
              <w:t xml:space="preserve">Integer</w:t>
            </w:r>
          </w:p>
        </w:tc>
        <w:tc>
          <w:tcPr/>
          <w:p>
            <w:pPr>
              <w:pStyle w:val="Compact"/>
            </w:pPr>
            <w:r>
              <w:t xml:space="preserve">No</w:t>
            </w:r>
          </w:p>
        </w:tc>
        <w:tc>
          <w:tcPr/>
          <w:p>
            <w:pPr>
              <w:pStyle w:val="Compact"/>
            </w:pPr>
            <w:r>
              <w:t xml:space="preserve">Maximum size for variable-length field types.</w:t>
            </w:r>
          </w:p>
        </w:tc>
      </w:tr>
      <w:tr>
        <w:tc>
          <w:tcPr/>
          <w:p>
            <w:pPr>
              <w:pStyle w:val="Compact"/>
            </w:pPr>
            <w:r>
              <w:rPr>
                <w:rStyle w:val="VerbatimChar"/>
              </w:rPr>
              <w:t xml:space="preserve">attributes</w:t>
            </w:r>
          </w:p>
        </w:tc>
        <w:tc>
          <w:tcPr/>
          <w:p>
            <w:pPr>
              <w:pStyle w:val="Compact"/>
            </w:pPr>
            <w:r>
              <w:t xml:space="preserve">Integer</w:t>
            </w:r>
          </w:p>
        </w:tc>
        <w:tc>
          <w:tcPr/>
          <w:p>
            <w:pPr>
              <w:pStyle w:val="Compact"/>
            </w:pPr>
            <w:r>
              <w:t xml:space="preserve">No</w:t>
            </w:r>
          </w:p>
        </w:tc>
        <w:tc>
          <w:tcPr/>
          <w:p>
            <w:pPr>
              <w:pStyle w:val="Compact"/>
            </w:pPr>
            <w:r>
              <w:t xml:space="preserve">Field attribute flags.</w:t>
            </w:r>
          </w:p>
        </w:tc>
      </w:tr>
    </w:tbl>
    <w:bookmarkEnd w:id="5428"/>
    <w:bookmarkStart w:id="5429" w:name="return-value-294"/>
    <w:p>
      <w:pPr>
        <w:pStyle w:val="Heading2"/>
      </w:pPr>
      <w:r>
        <w:t xml:space="preserve">Return Value</w:t>
      </w:r>
    </w:p>
    <w:p>
      <w:pPr>
        <w:pStyle w:val="FirstParagraph"/>
      </w:pPr>
      <w:r>
        <w:t xml:space="preserve">Empty. The method does not return a value.</w:t>
      </w:r>
    </w:p>
    <w:bookmarkEnd w:id="5429"/>
    <w:bookmarkStart w:id="5430" w:name="remarks-584"/>
    <w:p>
      <w:pPr>
        <w:pStyle w:val="Heading2"/>
      </w:pPr>
      <w:r>
        <w:t xml:space="preserve">Remarks</w:t>
      </w:r>
    </w:p>
    <w:p>
      <w:pPr>
        <w:pStyle w:val="Compact"/>
        <w:numPr>
          <w:ilvl w:val="0"/>
          <w:numId w:val="2325"/>
        </w:numPr>
      </w:pPr>
      <w:r>
        <w:t xml:space="preserve">Method names are case-insensitive.</w:t>
      </w:r>
    </w:p>
    <w:p>
      <w:pPr>
        <w:pStyle w:val="Compact"/>
        <w:numPr>
          <w:ilvl w:val="0"/>
          <w:numId w:val="2325"/>
        </w:numPr>
      </w:pPr>
      <w:r>
        <w:t xml:space="preserve">Use before opening or materializing data when building dynamic structures.</w:t>
      </w:r>
    </w:p>
    <w:p>
      <w:pPr>
        <w:pStyle w:val="Compact"/>
        <w:numPr>
          <w:ilvl w:val="0"/>
          <w:numId w:val="2325"/>
        </w:numPr>
      </w:pPr>
      <w:r>
        <w:t xml:space="preserve">Field schema changes are provider/runtime dependent.</w:t>
      </w:r>
    </w:p>
    <w:bookmarkEnd w:id="5430"/>
    <w:bookmarkStart w:id="5431" w:name="code-example-41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rs.Fields.Append </w:t>
      </w:r>
      <w:r>
        <w:rPr>
          <w:rStyle w:val="StringTok"/>
        </w:rPr>
        <w:t xml:space="preserve">"Code"</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DecValTok"/>
        </w:rPr>
        <w:t xml:space="preserve">20</w:t>
      </w:r>
      <w:r>
        <w:br/>
      </w:r>
      <w:r>
        <w:rPr>
          <w:rStyle w:val="NormalTok"/>
        </w:rPr>
        <w:t xml:space="preserve">rs.Fields.Append </w:t>
      </w:r>
      <w:r>
        <w:rPr>
          <w:rStyle w:val="StringTok"/>
        </w:rPr>
        <w:t xml:space="preserve">"Description"</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DecValTok"/>
        </w:rPr>
        <w:t xml:space="preserve">255</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"Fields appended: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rs.Fields.Count</w:t>
      </w:r>
      <w:r>
        <w:rPr>
          <w:rStyle w:val="OtherTok"/>
        </w:rPr>
        <w:t xml:space="preserve">)</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431"/>
    <w:bookmarkEnd w:id="5432"/>
    <w:bookmarkStart w:id="5438" w:name="recordset.fields.item-method"/>
    <w:p>
      <w:pPr>
        <w:pStyle w:val="Heading1"/>
      </w:pPr>
      <w:r>
        <w:t xml:space="preserve">Recordset.Fields.Item Method</w:t>
      </w:r>
    </w:p>
    <w:p>
      <w:pPr>
        <w:pStyle w:val="FirstParagraph"/>
      </w:pPr>
      <w:r>
        <w:t xml:space="preserve">Returns a field object from the recordset Fields collection by index or name.</w:t>
      </w:r>
    </w:p>
    <w:bookmarkStart w:id="5433" w:name="syntax-612"/>
    <w:p>
      <w:pPr>
        <w:pStyle w:val="Heading2"/>
      </w:pPr>
      <w:r>
        <w:t xml:space="preserve">Syntax</w:t>
      </w:r>
    </w:p>
    <w:p>
      <w:pPr>
        <w:pStyle w:val="SourceCode"/>
      </w:pPr>
      <w:r>
        <w:rPr>
          <w:rStyle w:val="NormalTok"/>
        </w:rPr>
        <w:t xml:space="preserve">Set fld = rs.Fields.Item(indexOrName)</w:t>
      </w:r>
    </w:p>
    <w:bookmarkEnd w:id="5433"/>
    <w:bookmarkStart w:id="5434" w:name="parameters-29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indexOrName</w:t>
            </w:r>
          </w:p>
        </w:tc>
        <w:tc>
          <w:tcPr/>
          <w:p>
            <w:pPr>
              <w:pStyle w:val="Compact"/>
            </w:pPr>
            <w:r>
              <w:t xml:space="preserve">Integer or String</w:t>
            </w:r>
          </w:p>
        </w:tc>
        <w:tc>
          <w:tcPr/>
          <w:p>
            <w:pPr>
              <w:pStyle w:val="Compact"/>
            </w:pPr>
            <w:r>
              <w:t xml:space="preserve">Yes</w:t>
            </w:r>
          </w:p>
        </w:tc>
        <w:tc>
          <w:tcPr/>
          <w:p>
            <w:pPr>
              <w:pStyle w:val="Compact"/>
            </w:pPr>
            <w:r>
              <w:t xml:space="preserve">Zero-based field index or exact field name.</w:t>
            </w:r>
          </w:p>
        </w:tc>
      </w:tr>
    </w:tbl>
    <w:bookmarkEnd w:id="5434"/>
    <w:bookmarkStart w:id="5435" w:name="return-value-295"/>
    <w:p>
      <w:pPr>
        <w:pStyle w:val="Heading2"/>
      </w:pPr>
      <w:r>
        <w:t xml:space="preserve">Return Value</w:t>
      </w:r>
    </w:p>
    <w:p>
      <w:pPr>
        <w:pStyle w:val="FirstParagraph"/>
      </w:pPr>
      <w:r>
        <w:t xml:space="preserve">Field. Returns an ADODB.Field object.</w:t>
      </w:r>
    </w:p>
    <w:bookmarkEnd w:id="5435"/>
    <w:bookmarkStart w:id="5436" w:name="remarks-585"/>
    <w:p>
      <w:pPr>
        <w:pStyle w:val="Heading2"/>
      </w:pPr>
      <w:r>
        <w:t xml:space="preserve">Remarks</w:t>
      </w:r>
    </w:p>
    <w:p>
      <w:pPr>
        <w:pStyle w:val="Compact"/>
        <w:numPr>
          <w:ilvl w:val="0"/>
          <w:numId w:val="2326"/>
        </w:numPr>
      </w:pPr>
      <w:r>
        <w:t xml:space="preserve">Method names are case-insensitive.</w:t>
      </w:r>
    </w:p>
    <w:p>
      <w:pPr>
        <w:pStyle w:val="Compact"/>
        <w:numPr>
          <w:ilvl w:val="0"/>
          <w:numId w:val="2326"/>
        </w:numPr>
      </w:pPr>
      <w:r>
        <w:t xml:space="preserve">Invalid name or index raises a runtime error.</w:t>
      </w:r>
    </w:p>
    <w:p>
      <w:pPr>
        <w:pStyle w:val="Compact"/>
        <w:numPr>
          <w:ilvl w:val="0"/>
          <w:numId w:val="2326"/>
        </w:numPr>
      </w:pPr>
      <w:r>
        <w:t xml:space="preserve">Use index in loops for better performance.</w:t>
      </w:r>
    </w:p>
    <w:bookmarkEnd w:id="5436"/>
    <w:bookmarkStart w:id="5437" w:name="code-example-41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fld</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fld = rs.Fields.</w:t>
      </w:r>
      <w:r>
        <w:rPr>
          <w:rStyle w:val="FunctionTok"/>
        </w:rPr>
        <w:t xml:space="preserve">Item</w:t>
      </w:r>
      <w:r>
        <w:rPr>
          <w:rStyle w:val="OtherTok"/>
        </w:rPr>
        <w:t xml:space="preserve">(</w:t>
      </w:r>
      <w:r>
        <w:rPr>
          <w:rStyle w:val="StringTok"/>
        </w:rPr>
        <w:t xml:space="preserve">"name"</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fld.Value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fld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37"/>
    <w:bookmarkEnd w:id="5438"/>
    <w:bookmarkStart w:id="5444" w:name="command.execute-method"/>
    <w:p>
      <w:pPr>
        <w:pStyle w:val="Heading1"/>
      </w:pPr>
      <w:r>
        <w:t xml:space="preserve">Command.Execute Method</w:t>
      </w:r>
    </w:p>
    <w:p>
      <w:pPr>
        <w:pStyle w:val="FirstParagraph"/>
      </w:pPr>
      <w:r>
        <w:t xml:space="preserve">Executes the statement configured in</w:t>
      </w:r>
      <w:r>
        <w:t xml:space="preserve"> </w:t>
      </w:r>
      <w:r>
        <w:rPr>
          <w:rStyle w:val="VerbatimChar"/>
        </w:rPr>
        <w:t xml:space="preserve">CommandText</w:t>
      </w:r>
      <w:r>
        <w:t xml:space="preserve"> </w:t>
      </w:r>
      <w:r>
        <w:t xml:space="preserve">using the command connection and parameters.</w:t>
      </w:r>
    </w:p>
    <w:bookmarkStart w:id="5439" w:name="syntax-613"/>
    <w:p>
      <w:pPr>
        <w:pStyle w:val="Heading2"/>
      </w:pPr>
      <w:r>
        <w:t xml:space="preserve">Syntax</w:t>
      </w:r>
    </w:p>
    <w:p>
      <w:pPr>
        <w:pStyle w:val="SourceCode"/>
      </w:pPr>
      <w:r>
        <w:rPr>
          <w:rStyle w:val="NormalTok"/>
        </w:rPr>
        <w:t xml:space="preserve">result = cmd.Execute</w:t>
      </w:r>
    </w:p>
    <w:bookmarkEnd w:id="5439"/>
    <w:bookmarkStart w:id="5440" w:name="parameters-295"/>
    <w:p>
      <w:pPr>
        <w:pStyle w:val="Heading2"/>
      </w:pPr>
      <w:r>
        <w:t xml:space="preserve">Parameters</w:t>
      </w:r>
    </w:p>
    <w:p>
      <w:pPr>
        <w:pStyle w:val="FirstParagraph"/>
      </w:pPr>
      <w:r>
        <w:t xml:space="preserve">No parameters.</w:t>
      </w:r>
    </w:p>
    <w:bookmarkEnd w:id="5440"/>
    <w:bookmarkStart w:id="5441" w:name="return-value-296"/>
    <w:p>
      <w:pPr>
        <w:pStyle w:val="Heading2"/>
      </w:pPr>
      <w:r>
        <w:t xml:space="preserve">Return Value</w:t>
      </w:r>
    </w:p>
    <w:p>
      <w:pPr>
        <w:pStyle w:val="FirstParagraph"/>
      </w:pPr>
      <w:r>
        <w:t xml:space="preserve">Variant. Returns an ADODB.Recordset for query statements. Returns an Integer with affected rows for action statements. Returns Empty when execution fails.</w:t>
      </w:r>
    </w:p>
    <w:bookmarkEnd w:id="5441"/>
    <w:bookmarkStart w:id="5442" w:name="remarks-586"/>
    <w:p>
      <w:pPr>
        <w:pStyle w:val="Heading2"/>
      </w:pPr>
      <w:r>
        <w:t xml:space="preserve">Remarks</w:t>
      </w:r>
    </w:p>
    <w:p>
      <w:pPr>
        <w:pStyle w:val="Compact"/>
        <w:numPr>
          <w:ilvl w:val="0"/>
          <w:numId w:val="2327"/>
        </w:numPr>
      </w:pPr>
      <w:r>
        <w:t xml:space="preserve">Method names are case-insensitive.</w:t>
      </w:r>
    </w:p>
    <w:p>
      <w:pPr>
        <w:pStyle w:val="Compact"/>
        <w:numPr>
          <w:ilvl w:val="0"/>
          <w:numId w:val="2327"/>
        </w:numPr>
      </w:pPr>
      <w:r>
        <w:t xml:space="preserve">Set</w:t>
      </w:r>
      <w:r>
        <w:t xml:space="preserve"> </w:t>
      </w:r>
      <w:r>
        <w:rPr>
          <w:rStyle w:val="VerbatimChar"/>
        </w:rPr>
        <w:t xml:space="preserve">ActiveConnection</w:t>
      </w:r>
      <w:r>
        <w:t xml:space="preserve"> </w:t>
      </w:r>
      <w:r>
        <w:t xml:space="preserve">and</w:t>
      </w:r>
      <w:r>
        <w:t xml:space="preserve"> </w:t>
      </w:r>
      <w:r>
        <w:rPr>
          <w:rStyle w:val="VerbatimChar"/>
        </w:rPr>
        <w:t xml:space="preserve">CommandText</w:t>
      </w:r>
      <w:r>
        <w:t xml:space="preserve"> </w:t>
      </w:r>
      <w:r>
        <w:t xml:space="preserve">before calling this method.</w:t>
      </w:r>
    </w:p>
    <w:p>
      <w:pPr>
        <w:pStyle w:val="Compact"/>
        <w:numPr>
          <w:ilvl w:val="0"/>
          <w:numId w:val="2327"/>
        </w:numPr>
      </w:pPr>
      <w:r>
        <w:t xml:space="preserve">Use</w:t>
      </w:r>
      <w:r>
        <w:t xml:space="preserve"> </w:t>
      </w:r>
      <w:r>
        <w:rPr>
          <w:rStyle w:val="VerbatimChar"/>
        </w:rPr>
        <w:t xml:space="preserve">CreateParameter</w:t>
      </w:r>
      <w:r>
        <w:t xml:space="preserve"> </w:t>
      </w:r>
      <w:r>
        <w:t xml:space="preserve">and</w:t>
      </w:r>
      <w:r>
        <w:t xml:space="preserve"> </w:t>
      </w:r>
      <w:r>
        <w:rPr>
          <w:rStyle w:val="VerbatimChar"/>
        </w:rPr>
        <w:t xml:space="preserve">Parameters.Append</w:t>
      </w:r>
      <w:r>
        <w:t xml:space="preserve"> </w:t>
      </w:r>
      <w:r>
        <w:t xml:space="preserve">to pass values safely.</w:t>
      </w:r>
    </w:p>
    <w:bookmarkEnd w:id="5442"/>
    <w:bookmarkStart w:id="5443" w:name="code-example-41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rPr>
          <w:rStyle w:val="OtherTok"/>
        </w:rPr>
        <w:t xml:space="preserve">,</w:t>
      </w:r>
      <w:r>
        <w:rPr>
          <w:rStyle w:val="NormalTok"/>
        </w:rPr>
        <w:t xml:space="preserve"> result</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NormalTok"/>
        </w:rPr>
        <w:t xml:space="preserve">cmd.CommandText = </w:t>
      </w:r>
      <w:r>
        <w:rPr>
          <w:rStyle w:val="StringTok"/>
        </w:rPr>
        <w:t xml:space="preserve">"SELECT id, name FROM users"</w:t>
      </w:r>
      <w:r>
        <w:br/>
      </w:r>
      <w:r>
        <w:br/>
      </w:r>
      <w:r>
        <w:rPr>
          <w:rStyle w:val="KeywordTok"/>
        </w:rPr>
        <w:t xml:space="preserve">Set</w:t>
      </w:r>
      <w:r>
        <w:rPr>
          <w:rStyle w:val="NormalTok"/>
        </w:rPr>
        <w:t xml:space="preserve"> result = cmd.</w:t>
      </w:r>
      <w:r>
        <w:rPr>
          <w:rStyle w:val="KeywordTok"/>
        </w:rPr>
        <w:t xml:space="preserve">Execute</w:t>
      </w:r>
      <w:r>
        <w:br/>
      </w:r>
      <w:r>
        <w:rPr>
          <w:rStyle w:val="ControlFlowTok"/>
        </w:rPr>
        <w:t xml:space="preserve">If</w:t>
      </w:r>
      <w:r>
        <w:rPr>
          <w:rStyle w:val="NormalTok"/>
        </w:rPr>
        <w:t xml:space="preserve"> </w:t>
      </w:r>
      <w:r>
        <w:rPr>
          <w:rStyle w:val="KeywordTok"/>
        </w:rPr>
        <w:t xml:space="preserve">Not</w:t>
      </w:r>
      <w:r>
        <w:rPr>
          <w:rStyle w:val="NormalTok"/>
        </w:rPr>
        <w:t xml:space="preserve"> result.</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result.Fields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End If</w:t>
      </w:r>
      <w:r>
        <w:br/>
      </w:r>
      <w:r>
        <w:br/>
      </w:r>
      <w:r>
        <w:rPr>
          <w:rStyle w:val="NormalTok"/>
        </w:rPr>
        <w:t xml:space="preserve">result.</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result = </w:t>
      </w:r>
      <w:r>
        <w:rPr>
          <w:rStyle w:val="KeywordTok"/>
        </w:rPr>
        <w:t xml:space="preserve">Nothing</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43"/>
    <w:bookmarkEnd w:id="5444"/>
    <w:bookmarkStart w:id="5450" w:name="command.createparameter-method"/>
    <w:p>
      <w:pPr>
        <w:pStyle w:val="Heading1"/>
      </w:pPr>
      <w:r>
        <w:t xml:space="preserve">Command.CreateParameter Method</w:t>
      </w:r>
    </w:p>
    <w:p>
      <w:pPr>
        <w:pStyle w:val="FirstParagraph"/>
      </w:pPr>
      <w:r>
        <w:t xml:space="preserve">Creates a Parameter object that can be appended to the command Parameters collection.</w:t>
      </w:r>
    </w:p>
    <w:bookmarkStart w:id="5445" w:name="syntax-614"/>
    <w:p>
      <w:pPr>
        <w:pStyle w:val="Heading2"/>
      </w:pPr>
      <w:r>
        <w:t xml:space="preserve">Syntax</w:t>
      </w:r>
    </w:p>
    <w:p>
      <w:pPr>
        <w:pStyle w:val="SourceCode"/>
      </w:pPr>
      <w:r>
        <w:rPr>
          <w:rStyle w:val="NormalTok"/>
        </w:rPr>
        <w:t xml:space="preserve">Set param = cmd.CreateParameter(name, type, direction, size, value)</w:t>
      </w:r>
    </w:p>
    <w:bookmarkEnd w:id="5445"/>
    <w:bookmarkStart w:id="5446" w:name="parameters-29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No</w:t>
            </w:r>
          </w:p>
        </w:tc>
        <w:tc>
          <w:tcPr/>
          <w:p>
            <w:pPr>
              <w:pStyle w:val="Compact"/>
            </w:pPr>
            <w:r>
              <w:t xml:space="preserve">Parameter name used for readability and provider mapping.</w:t>
            </w:r>
          </w:p>
        </w:tc>
      </w:tr>
      <w:tr>
        <w:tc>
          <w:tcPr/>
          <w:p>
            <w:pPr>
              <w:pStyle w:val="Compact"/>
            </w:pPr>
            <w:r>
              <w:rPr>
                <w:rStyle w:val="VerbatimChar"/>
              </w:rPr>
              <w:t xml:space="preserve">type</w:t>
            </w:r>
          </w:p>
        </w:tc>
        <w:tc>
          <w:tcPr/>
          <w:p>
            <w:pPr>
              <w:pStyle w:val="Compact"/>
            </w:pPr>
            <w:r>
              <w:t xml:space="preserve">Integer</w:t>
            </w:r>
          </w:p>
        </w:tc>
        <w:tc>
          <w:tcPr/>
          <w:p>
            <w:pPr>
              <w:pStyle w:val="Compact"/>
            </w:pPr>
            <w:r>
              <w:t xml:space="preserve">No</w:t>
            </w:r>
          </w:p>
        </w:tc>
        <w:tc>
          <w:tcPr/>
          <w:p>
            <w:pPr>
              <w:pStyle w:val="Compact"/>
            </w:pPr>
            <w:r>
              <w:t xml:space="preserve">ADODB data type code.</w:t>
            </w:r>
          </w:p>
        </w:tc>
      </w:tr>
      <w:tr>
        <w:tc>
          <w:tcPr/>
          <w:p>
            <w:pPr>
              <w:pStyle w:val="Compact"/>
            </w:pPr>
            <w:r>
              <w:rPr>
                <w:rStyle w:val="VerbatimChar"/>
              </w:rPr>
              <w:t xml:space="preserve">direction</w:t>
            </w:r>
          </w:p>
        </w:tc>
        <w:tc>
          <w:tcPr/>
          <w:p>
            <w:pPr>
              <w:pStyle w:val="Compact"/>
            </w:pPr>
            <w:r>
              <w:t xml:space="preserve">Integer</w:t>
            </w:r>
          </w:p>
        </w:tc>
        <w:tc>
          <w:tcPr/>
          <w:p>
            <w:pPr>
              <w:pStyle w:val="Compact"/>
            </w:pPr>
            <w:r>
              <w:t xml:space="preserve">No</w:t>
            </w:r>
          </w:p>
        </w:tc>
        <w:tc>
          <w:tcPr/>
          <w:p>
            <w:pPr>
              <w:pStyle w:val="Compact"/>
            </w:pPr>
            <w:r>
              <w:t xml:space="preserve">Direction flag: input, output, or input-output.</w:t>
            </w:r>
          </w:p>
        </w:tc>
      </w:tr>
      <w:tr>
        <w:tc>
          <w:tcPr/>
          <w:p>
            <w:pPr>
              <w:pStyle w:val="Compact"/>
            </w:pPr>
            <w:r>
              <w:rPr>
                <w:rStyle w:val="VerbatimChar"/>
              </w:rPr>
              <w:t xml:space="preserve">size</w:t>
            </w:r>
          </w:p>
        </w:tc>
        <w:tc>
          <w:tcPr/>
          <w:p>
            <w:pPr>
              <w:pStyle w:val="Compact"/>
            </w:pPr>
            <w:r>
              <w:t xml:space="preserve">Integer</w:t>
            </w:r>
          </w:p>
        </w:tc>
        <w:tc>
          <w:tcPr/>
          <w:p>
            <w:pPr>
              <w:pStyle w:val="Compact"/>
            </w:pPr>
            <w:r>
              <w:t xml:space="preserve">No</w:t>
            </w:r>
          </w:p>
        </w:tc>
        <w:tc>
          <w:tcPr/>
          <w:p>
            <w:pPr>
              <w:pStyle w:val="Compact"/>
            </w:pPr>
            <w:r>
              <w:t xml:space="preserve">Maximum size in bytes or characters.</w:t>
            </w:r>
          </w:p>
        </w:tc>
      </w:tr>
      <w:tr>
        <w:tc>
          <w:tcPr/>
          <w:p>
            <w:pPr>
              <w:pStyle w:val="Compact"/>
            </w:pPr>
            <w:r>
              <w:rPr>
                <w:rStyle w:val="VerbatimChar"/>
              </w:rPr>
              <w:t xml:space="preserve">value</w:t>
            </w:r>
          </w:p>
        </w:tc>
        <w:tc>
          <w:tcPr/>
          <w:p>
            <w:pPr>
              <w:pStyle w:val="Compact"/>
            </w:pPr>
            <w:r>
              <w:t xml:space="preserve">Variant</w:t>
            </w:r>
          </w:p>
        </w:tc>
        <w:tc>
          <w:tcPr/>
          <w:p>
            <w:pPr>
              <w:pStyle w:val="Compact"/>
            </w:pPr>
            <w:r>
              <w:t xml:space="preserve">No</w:t>
            </w:r>
          </w:p>
        </w:tc>
        <w:tc>
          <w:tcPr/>
          <w:p>
            <w:pPr>
              <w:pStyle w:val="Compact"/>
            </w:pPr>
            <w:r>
              <w:t xml:space="preserve">Initial parameter value.</w:t>
            </w:r>
          </w:p>
        </w:tc>
      </w:tr>
    </w:tbl>
    <w:bookmarkEnd w:id="5446"/>
    <w:bookmarkStart w:id="5447" w:name="return-value-297"/>
    <w:p>
      <w:pPr>
        <w:pStyle w:val="Heading2"/>
      </w:pPr>
      <w:r>
        <w:t xml:space="preserve">Return Value</w:t>
      </w:r>
    </w:p>
    <w:p>
      <w:pPr>
        <w:pStyle w:val="FirstParagraph"/>
      </w:pPr>
      <w:r>
        <w:t xml:space="preserve">Parameter. Returns an ADODB.Parameter object.</w:t>
      </w:r>
    </w:p>
    <w:bookmarkEnd w:id="5447"/>
    <w:bookmarkStart w:id="5448" w:name="remarks-587"/>
    <w:p>
      <w:pPr>
        <w:pStyle w:val="Heading2"/>
      </w:pPr>
      <w:r>
        <w:t xml:space="preserve">Remarks</w:t>
      </w:r>
    </w:p>
    <w:p>
      <w:pPr>
        <w:pStyle w:val="Compact"/>
        <w:numPr>
          <w:ilvl w:val="0"/>
          <w:numId w:val="2328"/>
        </w:numPr>
      </w:pPr>
      <w:r>
        <w:t xml:space="preserve">Method names are case-insensitive.</w:t>
      </w:r>
    </w:p>
    <w:p>
      <w:pPr>
        <w:pStyle w:val="Compact"/>
        <w:numPr>
          <w:ilvl w:val="0"/>
          <w:numId w:val="2328"/>
        </w:numPr>
      </w:pPr>
      <w:r>
        <w:t xml:space="preserve">Call</w:t>
      </w:r>
      <w:r>
        <w:t xml:space="preserve"> </w:t>
      </w:r>
      <w:r>
        <w:rPr>
          <w:rStyle w:val="VerbatimChar"/>
        </w:rPr>
        <w:t xml:space="preserve">Parameters.Append</w:t>
      </w:r>
      <w:r>
        <w:t xml:space="preserve"> </w:t>
      </w:r>
      <w:r>
        <w:t xml:space="preserve">to attach the new parameter to the command.</w:t>
      </w:r>
    </w:p>
    <w:p>
      <w:pPr>
        <w:pStyle w:val="Compact"/>
        <w:numPr>
          <w:ilvl w:val="0"/>
          <w:numId w:val="2328"/>
        </w:numPr>
      </w:pPr>
      <w:r>
        <w:t xml:space="preserve">CreateParameter does not execute the command.</w:t>
      </w:r>
    </w:p>
    <w:p>
      <w:pPr>
        <w:pStyle w:val="Compact"/>
        <w:numPr>
          <w:ilvl w:val="0"/>
          <w:numId w:val="2328"/>
        </w:numPr>
      </w:pPr>
      <w:r>
        <w:t xml:space="preserve">Use this method to avoid string concatenation in SQL and improve input safety.</w:t>
      </w:r>
    </w:p>
    <w:bookmarkEnd w:id="5448"/>
    <w:bookmarkStart w:id="5449" w:name="code-example-41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rPr>
          <w:rStyle w:val="OtherTok"/>
        </w:rPr>
        <w:t xml:space="preserve">,</w:t>
      </w:r>
      <w:r>
        <w:rPr>
          <w:rStyle w:val="NormalTok"/>
        </w:rPr>
        <w:t xml:space="preserve"> p</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NormalTok"/>
        </w:rPr>
        <w:t xml:space="preserve">cmd.ActiveConnection = conn</w:t>
      </w:r>
      <w:r>
        <w:br/>
      </w:r>
      <w:r>
        <w:rPr>
          <w:rStyle w:val="NormalTok"/>
        </w:rPr>
        <w:t xml:space="preserve">cmd.CommandText = </w:t>
      </w:r>
      <w:r>
        <w:rPr>
          <w:rStyle w:val="StringTok"/>
        </w:rPr>
        <w:t xml:space="preserve">"SELECT id, name FROM users WHERE id = ?"</w:t>
      </w:r>
      <w:r>
        <w:br/>
      </w:r>
      <w:r>
        <w:br/>
      </w:r>
      <w:r>
        <w:rPr>
          <w:rStyle w:val="KeywordTok"/>
        </w:rPr>
        <w:t xml:space="preserve">Set</w:t>
      </w:r>
      <w:r>
        <w:rPr>
          <w:rStyle w:val="NormalTok"/>
        </w:rPr>
        <w:t xml:space="preserve"> p = cmd.CreateParameter</w:t>
      </w:r>
      <w:r>
        <w:rPr>
          <w:rStyle w:val="OtherTok"/>
        </w:rPr>
        <w:t xml:space="preserve">(</w:t>
      </w:r>
      <w:r>
        <w:rPr>
          <w:rStyle w:val="StringTok"/>
        </w:rPr>
        <w:t xml:space="preserve">"id"</w:t>
      </w:r>
      <w:r>
        <w:rPr>
          <w:rStyle w:val="OtherTok"/>
        </w:rPr>
        <w:t xml:space="preserve">,</w:t>
      </w:r>
      <w:r>
        <w:rPr>
          <w:rStyle w:val="NormalTok"/>
        </w:rPr>
        <w:t xml:space="preserve"> </w:t>
      </w:r>
      <w:r>
        <w:rPr>
          <w:rStyle w:val="DecValTok"/>
        </w:rPr>
        <w:t xml:space="preserve">3</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DecValTok"/>
        </w:rPr>
        <w:t xml:space="preserve">4</w:t>
      </w:r>
      <w:r>
        <w:rPr>
          <w:rStyle w:val="OtherTok"/>
        </w:rPr>
        <w:t xml:space="preserve">,</w:t>
      </w:r>
      <w:r>
        <w:rPr>
          <w:rStyle w:val="NormalTok"/>
        </w:rPr>
        <w:t xml:space="preserve"> </w:t>
      </w:r>
      <w:r>
        <w:rPr>
          <w:rStyle w:val="DecValTok"/>
        </w:rPr>
        <w:t xml:space="preserve">1</w:t>
      </w:r>
      <w:r>
        <w:rPr>
          <w:rStyle w:val="OtherTok"/>
        </w:rPr>
        <w:t xml:space="preserve">)</w:t>
      </w:r>
      <w:r>
        <w:br/>
      </w:r>
      <w:r>
        <w:rPr>
          <w:rStyle w:val="NormalTok"/>
        </w:rPr>
        <w:t xml:space="preserve">cmd.Parameters.Append p</w:t>
      </w:r>
      <w:r>
        <w:br/>
      </w:r>
      <w:r>
        <w:br/>
      </w:r>
      <w:r>
        <w:rPr>
          <w:rStyle w:val="KeywordTok"/>
        </w:rPr>
        <w:t xml:space="preserve">Set</w:t>
      </w:r>
      <w:r>
        <w:rPr>
          <w:rStyle w:val="NormalTok"/>
        </w:rPr>
        <w:t xml:space="preserve"> rs = cmd.</w:t>
      </w:r>
      <w:r>
        <w:rPr>
          <w:rStyle w:val="KeywordTok"/>
        </w:rPr>
        <w:t xml:space="preserve">Execute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p = </w:t>
      </w:r>
      <w:r>
        <w:rPr>
          <w:rStyle w:val="KeywordTok"/>
        </w:rPr>
        <w:t xml:space="preserve">Nothing</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49"/>
    <w:bookmarkEnd w:id="5450"/>
    <w:bookmarkStart w:id="5456" w:name="command.cancel-method"/>
    <w:p>
      <w:pPr>
        <w:pStyle w:val="Heading1"/>
      </w:pPr>
      <w:r>
        <w:t xml:space="preserve">Command.Cancel Method</w:t>
      </w:r>
    </w:p>
    <w:p>
      <w:pPr>
        <w:pStyle w:val="FirstParagraph"/>
      </w:pPr>
      <w:r>
        <w:t xml:space="preserve">Cancels the current command execution.</w:t>
      </w:r>
    </w:p>
    <w:bookmarkStart w:id="5451" w:name="syntax-615"/>
    <w:p>
      <w:pPr>
        <w:pStyle w:val="Heading2"/>
      </w:pPr>
      <w:r>
        <w:t xml:space="preserve">Syntax</w:t>
      </w:r>
    </w:p>
    <w:p>
      <w:pPr>
        <w:pStyle w:val="SourceCode"/>
      </w:pPr>
      <w:r>
        <w:rPr>
          <w:rStyle w:val="NormalTok"/>
        </w:rPr>
        <w:t xml:space="preserve">cmd.Cancel</w:t>
      </w:r>
    </w:p>
    <w:bookmarkEnd w:id="5451"/>
    <w:bookmarkStart w:id="5452" w:name="parameters-297"/>
    <w:p>
      <w:pPr>
        <w:pStyle w:val="Heading2"/>
      </w:pPr>
      <w:r>
        <w:t xml:space="preserve">Parameters</w:t>
      </w:r>
    </w:p>
    <w:p>
      <w:pPr>
        <w:pStyle w:val="FirstParagraph"/>
      </w:pPr>
      <w:r>
        <w:t xml:space="preserve">No parameters.</w:t>
      </w:r>
    </w:p>
    <w:bookmarkEnd w:id="5452"/>
    <w:bookmarkStart w:id="5453" w:name="return-value-298"/>
    <w:p>
      <w:pPr>
        <w:pStyle w:val="Heading2"/>
      </w:pPr>
      <w:r>
        <w:t xml:space="preserve">Return Value</w:t>
      </w:r>
    </w:p>
    <w:p>
      <w:pPr>
        <w:pStyle w:val="FirstParagraph"/>
      </w:pPr>
      <w:r>
        <w:t xml:space="preserve">Empty. The method does not return a value.</w:t>
      </w:r>
    </w:p>
    <w:bookmarkEnd w:id="5453"/>
    <w:bookmarkStart w:id="5454" w:name="remarks-588"/>
    <w:p>
      <w:pPr>
        <w:pStyle w:val="Heading2"/>
      </w:pPr>
      <w:r>
        <w:t xml:space="preserve">Remarks</w:t>
      </w:r>
    </w:p>
    <w:p>
      <w:pPr>
        <w:pStyle w:val="Compact"/>
        <w:numPr>
          <w:ilvl w:val="0"/>
          <w:numId w:val="2329"/>
        </w:numPr>
      </w:pPr>
      <w:r>
        <w:t xml:space="preserve">Method names are case-insensitive.</w:t>
      </w:r>
    </w:p>
    <w:p>
      <w:pPr>
        <w:pStyle w:val="Compact"/>
        <w:numPr>
          <w:ilvl w:val="0"/>
          <w:numId w:val="2329"/>
        </w:numPr>
      </w:pPr>
      <w:r>
        <w:t xml:space="preserve">In the current G3Pix AxonASP ADODB implementation, this method is a compatibility no-op.</w:t>
      </w:r>
    </w:p>
    <w:p>
      <w:pPr>
        <w:pStyle w:val="Compact"/>
        <w:numPr>
          <w:ilvl w:val="0"/>
          <w:numId w:val="2329"/>
        </w:numPr>
      </w:pPr>
      <w:r>
        <w:t xml:space="preserve">Calling Cancel does not interrupt already completed operations.</w:t>
      </w:r>
    </w:p>
    <w:p>
      <w:pPr>
        <w:pStyle w:val="Compact"/>
        <w:numPr>
          <w:ilvl w:val="0"/>
          <w:numId w:val="2329"/>
        </w:numPr>
      </w:pPr>
      <w:r>
        <w:t xml:space="preserve">Use this method only for compatibility with scripts that expect the ADODB command surface.</w:t>
      </w:r>
    </w:p>
    <w:bookmarkEnd w:id="5454"/>
    <w:bookmarkStart w:id="5455" w:name="code-example-41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NormalTok"/>
        </w:rPr>
        <w:t xml:space="preserve">cmd.ActiveConnection = conn</w:t>
      </w:r>
      <w:r>
        <w:br/>
      </w:r>
      <w:r>
        <w:rPr>
          <w:rStyle w:val="NormalTok"/>
        </w:rPr>
        <w:t xml:space="preserve">cmd.CommandText = </w:t>
      </w:r>
      <w:r>
        <w:rPr>
          <w:rStyle w:val="StringTok"/>
        </w:rPr>
        <w:t xml:space="preserve">"SELECT id, name FROM users"</w:t>
      </w:r>
      <w:r>
        <w:br/>
      </w:r>
      <w:r>
        <w:br/>
      </w:r>
      <w:r>
        <w:rPr>
          <w:rStyle w:val="CommentTok"/>
        </w:rPr>
        <w:t xml:space="preserve">' Compatibility no-op in current runtime.</w:t>
      </w:r>
      <w:r>
        <w:br/>
      </w:r>
      <w:r>
        <w:rPr>
          <w:rStyle w:val="NormalTok"/>
        </w:rPr>
        <w:t xml:space="preserve">cmd.Cancel</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"Command.Cancel executed"</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55"/>
    <w:bookmarkEnd w:id="5456"/>
    <w:bookmarkStart w:id="5462" w:name="command.parameters.refresh-method"/>
    <w:p>
      <w:pPr>
        <w:pStyle w:val="Heading1"/>
      </w:pPr>
      <w:r>
        <w:t xml:space="preserve">Command.Parameters.Refresh Method</w:t>
      </w:r>
    </w:p>
    <w:p>
      <w:pPr>
        <w:pStyle w:val="FirstParagraph"/>
      </w:pPr>
      <w:r>
        <w:t xml:space="preserve">Refreshes the command parameter metadata from the provider.</w:t>
      </w:r>
    </w:p>
    <w:bookmarkStart w:id="5457" w:name="syntax-616"/>
    <w:p>
      <w:pPr>
        <w:pStyle w:val="Heading2"/>
      </w:pPr>
      <w:r>
        <w:t xml:space="preserve">Syntax</w:t>
      </w:r>
    </w:p>
    <w:p>
      <w:pPr>
        <w:pStyle w:val="SourceCode"/>
      </w:pPr>
      <w:r>
        <w:rPr>
          <w:rStyle w:val="NormalTok"/>
        </w:rPr>
        <w:t xml:space="preserve">cmd.Parameters.Refresh</w:t>
      </w:r>
    </w:p>
    <w:bookmarkEnd w:id="5457"/>
    <w:bookmarkStart w:id="5458" w:name="parameters-298"/>
    <w:p>
      <w:pPr>
        <w:pStyle w:val="Heading2"/>
      </w:pPr>
      <w:r>
        <w:t xml:space="preserve">Parameters</w:t>
      </w:r>
    </w:p>
    <w:p>
      <w:pPr>
        <w:pStyle w:val="FirstParagraph"/>
      </w:pPr>
      <w:r>
        <w:t xml:space="preserve">No parameters.</w:t>
      </w:r>
    </w:p>
    <w:bookmarkEnd w:id="5458"/>
    <w:bookmarkStart w:id="5459" w:name="return-value-299"/>
    <w:p>
      <w:pPr>
        <w:pStyle w:val="Heading2"/>
      </w:pPr>
      <w:r>
        <w:t xml:space="preserve">Return Value</w:t>
      </w:r>
    </w:p>
    <w:p>
      <w:pPr>
        <w:pStyle w:val="FirstParagraph"/>
      </w:pPr>
      <w:r>
        <w:t xml:space="preserve">Empty. The method does not return a value.</w:t>
      </w:r>
    </w:p>
    <w:bookmarkEnd w:id="5459"/>
    <w:bookmarkStart w:id="5460" w:name="remarks-589"/>
    <w:p>
      <w:pPr>
        <w:pStyle w:val="Heading2"/>
      </w:pPr>
      <w:r>
        <w:t xml:space="preserve">Remarks</w:t>
      </w:r>
    </w:p>
    <w:p>
      <w:pPr>
        <w:pStyle w:val="Compact"/>
        <w:numPr>
          <w:ilvl w:val="0"/>
          <w:numId w:val="2330"/>
        </w:numPr>
      </w:pPr>
      <w:r>
        <w:t xml:space="preserve">Method names are case-insensitive.</w:t>
      </w:r>
    </w:p>
    <w:p>
      <w:pPr>
        <w:pStyle w:val="Compact"/>
        <w:numPr>
          <w:ilvl w:val="0"/>
          <w:numId w:val="2330"/>
        </w:numPr>
      </w:pPr>
      <w:r>
        <w:t xml:space="preserve">In the current G3Pix AxonASP ADODB implementation, this method is a compatibility no-op.</w:t>
      </w:r>
    </w:p>
    <w:p>
      <w:pPr>
        <w:pStyle w:val="Compact"/>
        <w:numPr>
          <w:ilvl w:val="0"/>
          <w:numId w:val="2330"/>
        </w:numPr>
      </w:pPr>
      <w:r>
        <w:t xml:space="preserve">Use explicit</w:t>
      </w:r>
      <w:r>
        <w:t xml:space="preserve"> </w:t>
      </w:r>
      <w:r>
        <w:rPr>
          <w:rStyle w:val="VerbatimChar"/>
        </w:rPr>
        <w:t xml:space="preserve">CreateParameter</w:t>
      </w:r>
      <w:r>
        <w:t xml:space="preserve"> </w:t>
      </w:r>
      <w:r>
        <w:t xml:space="preserve">and</w:t>
      </w:r>
      <w:r>
        <w:t xml:space="preserve"> </w:t>
      </w:r>
      <w:r>
        <w:rPr>
          <w:rStyle w:val="VerbatimChar"/>
        </w:rPr>
        <w:t xml:space="preserve">Parameters.Append</w:t>
      </w:r>
      <w:r>
        <w:t xml:space="preserve"> </w:t>
      </w:r>
      <w:r>
        <w:t xml:space="preserve">when defining parameters.</w:t>
      </w:r>
    </w:p>
    <w:p>
      <w:pPr>
        <w:pStyle w:val="Compact"/>
        <w:numPr>
          <w:ilvl w:val="0"/>
          <w:numId w:val="2330"/>
        </w:numPr>
      </w:pPr>
      <w:r>
        <w:t xml:space="preserve">Call this method only for compatibility with existing scripts.</w:t>
      </w:r>
    </w:p>
    <w:bookmarkEnd w:id="5460"/>
    <w:bookmarkStart w:id="5461" w:name="code-example-41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NormalTok"/>
        </w:rPr>
        <w:t xml:space="preserve">cmd.ActiveConnection = conn</w:t>
      </w:r>
      <w:r>
        <w:br/>
      </w:r>
      <w:r>
        <w:rPr>
          <w:rStyle w:val="NormalTok"/>
        </w:rPr>
        <w:t xml:space="preserve">cmd.CommandText = </w:t>
      </w:r>
      <w:r>
        <w:rPr>
          <w:rStyle w:val="StringTok"/>
        </w:rPr>
        <w:t xml:space="preserve">"SELECT id FROM users WHERE id = ?"</w:t>
      </w:r>
      <w:r>
        <w:br/>
      </w:r>
      <w:r>
        <w:br/>
      </w:r>
      <w:r>
        <w:rPr>
          <w:rStyle w:val="CommentTok"/>
        </w:rPr>
        <w:t xml:space="preserve">' Compatibility no-op in current runtime.</w:t>
      </w:r>
      <w:r>
        <w:br/>
      </w:r>
      <w:r>
        <w:rPr>
          <w:rStyle w:val="NormalTok"/>
        </w:rPr>
        <w:t xml:space="preserve">cmd.Parameters.Refresh</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"Parameters.Refresh executed"</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61"/>
    <w:bookmarkEnd w:id="5462"/>
    <w:bookmarkStart w:id="5468" w:name="errors.count-method"/>
    <w:p>
      <w:pPr>
        <w:pStyle w:val="Heading1"/>
      </w:pPr>
      <w:r>
        <w:t xml:space="preserve">Errors.Count Method</w:t>
      </w:r>
    </w:p>
    <w:p>
      <w:pPr>
        <w:pStyle w:val="FirstParagraph"/>
      </w:pPr>
      <w:r>
        <w:t xml:space="preserve">Returns the number of error objects in the Errors collection.</w:t>
      </w:r>
    </w:p>
    <w:bookmarkStart w:id="5463" w:name="syntax-617"/>
    <w:p>
      <w:pPr>
        <w:pStyle w:val="Heading2"/>
      </w:pPr>
      <w:r>
        <w:t xml:space="preserve">Syntax</w:t>
      </w:r>
    </w:p>
    <w:p>
      <w:pPr>
        <w:pStyle w:val="SourceCode"/>
      </w:pPr>
      <w:r>
        <w:rPr>
          <w:rStyle w:val="NormalTok"/>
        </w:rPr>
        <w:t xml:space="preserve">count = conn.Errors.Count</w:t>
      </w:r>
    </w:p>
    <w:bookmarkEnd w:id="5463"/>
    <w:bookmarkStart w:id="5464" w:name="parameters-299"/>
    <w:p>
      <w:pPr>
        <w:pStyle w:val="Heading2"/>
      </w:pPr>
      <w:r>
        <w:t xml:space="preserve">Parameters</w:t>
      </w:r>
    </w:p>
    <w:p>
      <w:pPr>
        <w:pStyle w:val="FirstParagraph"/>
      </w:pPr>
      <w:r>
        <w:t xml:space="preserve">No parameters.</w:t>
      </w:r>
    </w:p>
    <w:bookmarkEnd w:id="5464"/>
    <w:bookmarkStart w:id="5465" w:name="return-value-300"/>
    <w:p>
      <w:pPr>
        <w:pStyle w:val="Heading2"/>
      </w:pPr>
      <w:r>
        <w:t xml:space="preserve">Return Value</w:t>
      </w:r>
    </w:p>
    <w:p>
      <w:pPr>
        <w:pStyle w:val="FirstParagraph"/>
      </w:pPr>
      <w:r>
        <w:t xml:space="preserve">Integer. Returns the number of errors currently stored in the connection Errors collection.</w:t>
      </w:r>
    </w:p>
    <w:bookmarkEnd w:id="5465"/>
    <w:bookmarkStart w:id="5466" w:name="remarks-590"/>
    <w:p>
      <w:pPr>
        <w:pStyle w:val="Heading2"/>
      </w:pPr>
      <w:r>
        <w:t xml:space="preserve">Remarks</w:t>
      </w:r>
    </w:p>
    <w:p>
      <w:pPr>
        <w:pStyle w:val="Compact"/>
        <w:numPr>
          <w:ilvl w:val="0"/>
          <w:numId w:val="2331"/>
        </w:numPr>
      </w:pPr>
      <w:r>
        <w:t xml:space="preserve">Method names are case-insensitive.</w:t>
      </w:r>
    </w:p>
    <w:p>
      <w:pPr>
        <w:pStyle w:val="Compact"/>
        <w:numPr>
          <w:ilvl w:val="0"/>
          <w:numId w:val="2331"/>
        </w:numPr>
      </w:pPr>
      <w:r>
        <w:t xml:space="preserve">The Errors collection is associated with a Connection object.</w:t>
      </w:r>
    </w:p>
    <w:p>
      <w:pPr>
        <w:pStyle w:val="Compact"/>
        <w:numPr>
          <w:ilvl w:val="0"/>
          <w:numId w:val="2331"/>
        </w:numPr>
      </w:pPr>
      <w:r>
        <w:t xml:space="preserve">The count increases when an operation fails and adds an ADODB.Error item.</w:t>
      </w:r>
    </w:p>
    <w:p>
      <w:pPr>
        <w:pStyle w:val="Compact"/>
        <w:numPr>
          <w:ilvl w:val="0"/>
          <w:numId w:val="2331"/>
        </w:numPr>
      </w:pPr>
      <w:r>
        <w:t xml:space="preserve">Call</w:t>
      </w:r>
      <w:r>
        <w:t xml:space="preserve"> </w:t>
      </w:r>
      <w:r>
        <w:rPr>
          <w:rStyle w:val="VerbatimChar"/>
        </w:rPr>
        <w:t xml:space="preserve">Errors.Clear</w:t>
      </w:r>
      <w:r>
        <w:t xml:space="preserve"> </w:t>
      </w:r>
      <w:r>
        <w:t xml:space="preserve">to reset the collection.</w:t>
      </w:r>
    </w:p>
    <w:bookmarkEnd w:id="5466"/>
    <w:bookmarkStart w:id="5467" w:name="code-example-41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CommentTok"/>
        </w:rPr>
        <w:t xml:space="preserve">' Force an error to populate Errors collection.</w:t>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"Errors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conn.Errors.Count</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67"/>
    <w:bookmarkEnd w:id="5468"/>
    <w:bookmarkStart w:id="5474" w:name="errors.item-method"/>
    <w:p>
      <w:pPr>
        <w:pStyle w:val="Heading1"/>
      </w:pPr>
      <w:r>
        <w:t xml:space="preserve">Errors.Item Method</w:t>
      </w:r>
    </w:p>
    <w:p>
      <w:pPr>
        <w:pStyle w:val="FirstParagraph"/>
      </w:pPr>
      <w:r>
        <w:t xml:space="preserve">Returns an Error object from the Errors collection by index.</w:t>
      </w:r>
    </w:p>
    <w:bookmarkStart w:id="5469" w:name="syntax-618"/>
    <w:p>
      <w:pPr>
        <w:pStyle w:val="Heading2"/>
      </w:pPr>
      <w:r>
        <w:t xml:space="preserve">Syntax</w:t>
      </w:r>
    </w:p>
    <w:p>
      <w:pPr>
        <w:pStyle w:val="SourceCode"/>
      </w:pPr>
      <w:r>
        <w:rPr>
          <w:rStyle w:val="NormalTok"/>
        </w:rPr>
        <w:t xml:space="preserve">Set errObj = conn.Errors.Item(index)</w:t>
      </w:r>
    </w:p>
    <w:bookmarkEnd w:id="5469"/>
    <w:bookmarkStart w:id="5470" w:name="parameters-30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index</w:t>
            </w:r>
          </w:p>
        </w:tc>
        <w:tc>
          <w:tcPr/>
          <w:p>
            <w:pPr>
              <w:pStyle w:val="Compact"/>
            </w:pPr>
            <w:r>
              <w:t xml:space="preserve">Integer</w:t>
            </w:r>
          </w:p>
        </w:tc>
        <w:tc>
          <w:tcPr/>
          <w:p>
            <w:pPr>
              <w:pStyle w:val="Compact"/>
            </w:pPr>
            <w:r>
              <w:t xml:space="preserve">Yes</w:t>
            </w:r>
          </w:p>
        </w:tc>
        <w:tc>
          <w:tcPr/>
          <w:p>
            <w:pPr>
              <w:pStyle w:val="Compact"/>
            </w:pPr>
            <w:r>
              <w:t xml:space="preserve">Zero-based index of the error item in the collection.</w:t>
            </w:r>
          </w:p>
        </w:tc>
      </w:tr>
    </w:tbl>
    <w:bookmarkEnd w:id="5470"/>
    <w:bookmarkStart w:id="5471" w:name="return-value-301"/>
    <w:p>
      <w:pPr>
        <w:pStyle w:val="Heading2"/>
      </w:pPr>
      <w:r>
        <w:t xml:space="preserve">Return Value</w:t>
      </w:r>
    </w:p>
    <w:p>
      <w:pPr>
        <w:pStyle w:val="FirstParagraph"/>
      </w:pPr>
      <w:r>
        <w:t xml:space="preserve">Error or Empty. Returns an ADODB.Error object for a valid index, or Empty when the index is out of range.</w:t>
      </w:r>
    </w:p>
    <w:bookmarkEnd w:id="5471"/>
    <w:bookmarkStart w:id="5472" w:name="remarks-591"/>
    <w:p>
      <w:pPr>
        <w:pStyle w:val="Heading2"/>
      </w:pPr>
      <w:r>
        <w:t xml:space="preserve">Remarks</w:t>
      </w:r>
    </w:p>
    <w:p>
      <w:pPr>
        <w:pStyle w:val="Compact"/>
        <w:numPr>
          <w:ilvl w:val="0"/>
          <w:numId w:val="2332"/>
        </w:numPr>
      </w:pPr>
      <w:r>
        <w:t xml:space="preserve">Method names are case-insensitive.</w:t>
      </w:r>
    </w:p>
    <w:p>
      <w:pPr>
        <w:pStyle w:val="Compact"/>
        <w:numPr>
          <w:ilvl w:val="0"/>
          <w:numId w:val="2332"/>
        </w:numPr>
      </w:pPr>
      <w:r>
        <w:t xml:space="preserve">Use</w:t>
      </w:r>
      <w:r>
        <w:t xml:space="preserve"> </w:t>
      </w:r>
      <w:r>
        <w:rPr>
          <w:rStyle w:val="VerbatimChar"/>
        </w:rPr>
        <w:t xml:space="preserve">Errors.Count</w:t>
      </w:r>
      <w:r>
        <w:t xml:space="preserve"> </w:t>
      </w:r>
      <w:r>
        <w:t xml:space="preserve">to validate the index before calling Item.</w:t>
      </w:r>
    </w:p>
    <w:p>
      <w:pPr>
        <w:pStyle w:val="Compact"/>
        <w:numPr>
          <w:ilvl w:val="0"/>
          <w:numId w:val="2332"/>
        </w:numPr>
      </w:pPr>
      <w:r>
        <w:t xml:space="preserve">Error objects expose Number, Description, Source, and SQLState.</w:t>
      </w:r>
    </w:p>
    <w:p>
      <w:pPr>
        <w:pStyle w:val="Compact"/>
        <w:numPr>
          <w:ilvl w:val="0"/>
          <w:numId w:val="2332"/>
        </w:numPr>
      </w:pPr>
      <w:r>
        <w:t xml:space="preserve">The Errors collection belongs to the Connection object.</w:t>
      </w:r>
    </w:p>
    <w:bookmarkEnd w:id="5472"/>
    <w:bookmarkStart w:id="5473" w:name="code-example-41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errObj</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ControlFlowTok"/>
        </w:rPr>
        <w:t xml:space="preserve">If</w:t>
      </w:r>
      <w:r>
        <w:rPr>
          <w:rStyle w:val="NormalTok"/>
        </w:rPr>
        <w:t xml:space="preserve"> conn.Errors.Count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errObj = conn.Errors.</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errObj.Number</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errObj.Description</w:t>
      </w:r>
      <w:r>
        <w:br/>
      </w:r>
      <w:r>
        <w:rPr>
          <w:rStyle w:val="ControlFlowTok"/>
        </w:rPr>
        <w:t xml:space="preserve">End If</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errObj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73"/>
    <w:bookmarkEnd w:id="5474"/>
    <w:bookmarkStart w:id="5480" w:name="errors.clear-method"/>
    <w:p>
      <w:pPr>
        <w:pStyle w:val="Heading1"/>
      </w:pPr>
      <w:r>
        <w:t xml:space="preserve">Errors.Clear Method</w:t>
      </w:r>
    </w:p>
    <w:p>
      <w:pPr>
        <w:pStyle w:val="FirstParagraph"/>
      </w:pPr>
      <w:r>
        <w:t xml:space="preserve">Clears all error entries from the connection Errors collection.</w:t>
      </w:r>
    </w:p>
    <w:bookmarkStart w:id="5475" w:name="syntax-619"/>
    <w:p>
      <w:pPr>
        <w:pStyle w:val="Heading2"/>
      </w:pPr>
      <w:r>
        <w:t xml:space="preserve">Syntax</w:t>
      </w:r>
    </w:p>
    <w:p>
      <w:pPr>
        <w:pStyle w:val="SourceCode"/>
      </w:pPr>
      <w:r>
        <w:rPr>
          <w:rStyle w:val="NormalTok"/>
        </w:rPr>
        <w:t xml:space="preserve">conn.Errors.Clear</w:t>
      </w:r>
    </w:p>
    <w:bookmarkEnd w:id="5475"/>
    <w:bookmarkStart w:id="5476" w:name="parameters-301"/>
    <w:p>
      <w:pPr>
        <w:pStyle w:val="Heading2"/>
      </w:pPr>
      <w:r>
        <w:t xml:space="preserve">Parameters</w:t>
      </w:r>
    </w:p>
    <w:p>
      <w:pPr>
        <w:pStyle w:val="FirstParagraph"/>
      </w:pPr>
      <w:r>
        <w:t xml:space="preserve">No parameters.</w:t>
      </w:r>
    </w:p>
    <w:bookmarkEnd w:id="5476"/>
    <w:bookmarkStart w:id="5477" w:name="return-value-302"/>
    <w:p>
      <w:pPr>
        <w:pStyle w:val="Heading2"/>
      </w:pPr>
      <w:r>
        <w:t xml:space="preserve">Return Value</w:t>
      </w:r>
    </w:p>
    <w:p>
      <w:pPr>
        <w:pStyle w:val="FirstParagraph"/>
      </w:pPr>
      <w:r>
        <w:t xml:space="preserve">Empty. The method does not return a value.</w:t>
      </w:r>
    </w:p>
    <w:bookmarkEnd w:id="5477"/>
    <w:bookmarkStart w:id="5478" w:name="remarks-592"/>
    <w:p>
      <w:pPr>
        <w:pStyle w:val="Heading2"/>
      </w:pPr>
      <w:r>
        <w:t xml:space="preserve">Remarks</w:t>
      </w:r>
    </w:p>
    <w:p>
      <w:pPr>
        <w:pStyle w:val="Compact"/>
        <w:numPr>
          <w:ilvl w:val="0"/>
          <w:numId w:val="2333"/>
        </w:numPr>
      </w:pPr>
      <w:r>
        <w:t xml:space="preserve">Method names are case-insensitive.</w:t>
      </w:r>
    </w:p>
    <w:p>
      <w:pPr>
        <w:pStyle w:val="Compact"/>
        <w:numPr>
          <w:ilvl w:val="0"/>
          <w:numId w:val="2333"/>
        </w:numPr>
      </w:pPr>
      <w:r>
        <w:t xml:space="preserve">Use Clear after handling errors to reset the collection state.</w:t>
      </w:r>
    </w:p>
    <w:p>
      <w:pPr>
        <w:pStyle w:val="Compact"/>
        <w:numPr>
          <w:ilvl w:val="0"/>
          <w:numId w:val="2333"/>
        </w:numPr>
      </w:pPr>
      <w:r>
        <w:t xml:space="preserve">Clear does not fix the source problem; it only removes stored error entries.</w:t>
      </w:r>
    </w:p>
    <w:p>
      <w:pPr>
        <w:pStyle w:val="Compact"/>
        <w:numPr>
          <w:ilvl w:val="0"/>
          <w:numId w:val="2333"/>
        </w:numPr>
      </w:pPr>
      <w:r>
        <w:t xml:space="preserve">The Errors collection belongs to the current Connection object.</w:t>
      </w:r>
    </w:p>
    <w:bookmarkEnd w:id="5478"/>
    <w:bookmarkStart w:id="5479" w:name="code-example-41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"Before clear: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conn.Errors.Count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conn.Errors.</w:t>
      </w:r>
      <w:r>
        <w:rPr>
          <w:rStyle w:val="FunctionTok"/>
        </w:rPr>
        <w:t xml:space="preserve">Clear</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clear: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conn.Errors.Count</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79"/>
    <w:bookmarkEnd w:id="5480"/>
    <w:bookmarkStart w:id="5486" w:name="fields.append-method"/>
    <w:p>
      <w:pPr>
        <w:pStyle w:val="Heading1"/>
      </w:pPr>
      <w:r>
        <w:t xml:space="preserve">Fields.Append Method</w:t>
      </w:r>
    </w:p>
    <w:p>
      <w:pPr>
        <w:pStyle w:val="FirstParagraph"/>
      </w:pPr>
      <w:r>
        <w:t xml:space="preserve">Appends a new field definition to a Fields collection.</w:t>
      </w:r>
    </w:p>
    <w:bookmarkStart w:id="5481" w:name="syntax-620"/>
    <w:p>
      <w:pPr>
        <w:pStyle w:val="Heading2"/>
      </w:pPr>
      <w:r>
        <w:t xml:space="preserve">Syntax</w:t>
      </w:r>
    </w:p>
    <w:p>
      <w:pPr>
        <w:pStyle w:val="SourceCode"/>
      </w:pPr>
      <w:r>
        <w:rPr>
          <w:rStyle w:val="NormalTok"/>
        </w:rPr>
        <w:t xml:space="preserve">fields.Append name[, type[, definedSize[, attributes]]]</w:t>
      </w:r>
    </w:p>
    <w:bookmarkEnd w:id="5481"/>
    <w:bookmarkStart w:id="5482" w:name="parameters-30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Yes</w:t>
            </w:r>
          </w:p>
        </w:tc>
        <w:tc>
          <w:tcPr/>
          <w:p>
            <w:pPr>
              <w:pStyle w:val="Compact"/>
            </w:pPr>
            <w:r>
              <w:t xml:space="preserve">Field name to append.</w:t>
            </w:r>
          </w:p>
        </w:tc>
      </w:tr>
      <w:tr>
        <w:tc>
          <w:tcPr/>
          <w:p>
            <w:pPr>
              <w:pStyle w:val="Compact"/>
            </w:pPr>
            <w:r>
              <w:rPr>
                <w:rStyle w:val="VerbatimChar"/>
              </w:rPr>
              <w:t xml:space="preserve">type</w:t>
            </w:r>
          </w:p>
        </w:tc>
        <w:tc>
          <w:tcPr/>
          <w:p>
            <w:pPr>
              <w:pStyle w:val="Compact"/>
            </w:pPr>
            <w:r>
              <w:t xml:space="preserve">Integer</w:t>
            </w:r>
          </w:p>
        </w:tc>
        <w:tc>
          <w:tcPr/>
          <w:p>
            <w:pPr>
              <w:pStyle w:val="Compact"/>
            </w:pPr>
            <w:r>
              <w:t xml:space="preserve">No</w:t>
            </w:r>
          </w:p>
        </w:tc>
        <w:tc>
          <w:tcPr/>
          <w:p>
            <w:pPr>
              <w:pStyle w:val="Compact"/>
            </w:pPr>
            <w:r>
              <w:t xml:space="preserve">ADODB data type code.</w:t>
            </w:r>
          </w:p>
        </w:tc>
      </w:tr>
      <w:tr>
        <w:tc>
          <w:tcPr/>
          <w:p>
            <w:pPr>
              <w:pStyle w:val="Compact"/>
            </w:pPr>
            <w:r>
              <w:rPr>
                <w:rStyle w:val="VerbatimChar"/>
              </w:rPr>
              <w:t xml:space="preserve">definedSize</w:t>
            </w:r>
          </w:p>
        </w:tc>
        <w:tc>
          <w:tcPr/>
          <w:p>
            <w:pPr>
              <w:pStyle w:val="Compact"/>
            </w:pPr>
            <w:r>
              <w:t xml:space="preserve">Integer</w:t>
            </w:r>
          </w:p>
        </w:tc>
        <w:tc>
          <w:tcPr/>
          <w:p>
            <w:pPr>
              <w:pStyle w:val="Compact"/>
            </w:pPr>
            <w:r>
              <w:t xml:space="preserve">No</w:t>
            </w:r>
          </w:p>
        </w:tc>
        <w:tc>
          <w:tcPr/>
          <w:p>
            <w:pPr>
              <w:pStyle w:val="Compact"/>
            </w:pPr>
            <w:r>
              <w:t xml:space="preserve">Declared size for variable-length fields.</w:t>
            </w:r>
          </w:p>
        </w:tc>
      </w:tr>
      <w:tr>
        <w:tc>
          <w:tcPr/>
          <w:p>
            <w:pPr>
              <w:pStyle w:val="Compact"/>
            </w:pPr>
            <w:r>
              <w:rPr>
                <w:rStyle w:val="VerbatimChar"/>
              </w:rPr>
              <w:t xml:space="preserve">attributes</w:t>
            </w:r>
          </w:p>
        </w:tc>
        <w:tc>
          <w:tcPr/>
          <w:p>
            <w:pPr>
              <w:pStyle w:val="Compact"/>
            </w:pPr>
            <w:r>
              <w:t xml:space="preserve">Integer</w:t>
            </w:r>
          </w:p>
        </w:tc>
        <w:tc>
          <w:tcPr/>
          <w:p>
            <w:pPr>
              <w:pStyle w:val="Compact"/>
            </w:pPr>
            <w:r>
              <w:t xml:space="preserve">No</w:t>
            </w:r>
          </w:p>
        </w:tc>
        <w:tc>
          <w:tcPr/>
          <w:p>
            <w:pPr>
              <w:pStyle w:val="Compact"/>
            </w:pPr>
            <w:r>
              <w:t xml:space="preserve">Field attribute bitmask.</w:t>
            </w:r>
          </w:p>
        </w:tc>
      </w:tr>
    </w:tbl>
    <w:bookmarkEnd w:id="5482"/>
    <w:bookmarkStart w:id="5483" w:name="return-value-303"/>
    <w:p>
      <w:pPr>
        <w:pStyle w:val="Heading2"/>
      </w:pPr>
      <w:r>
        <w:t xml:space="preserve">Return Value</w:t>
      </w:r>
    </w:p>
    <w:p>
      <w:pPr>
        <w:pStyle w:val="FirstParagraph"/>
      </w:pPr>
      <w:r>
        <w:t xml:space="preserve">Empty. The method does not return a value.</w:t>
      </w:r>
    </w:p>
    <w:bookmarkEnd w:id="5483"/>
    <w:bookmarkStart w:id="5484" w:name="remarks-593"/>
    <w:p>
      <w:pPr>
        <w:pStyle w:val="Heading2"/>
      </w:pPr>
      <w:r>
        <w:t xml:space="preserve">Remarks</w:t>
      </w:r>
    </w:p>
    <w:p>
      <w:pPr>
        <w:pStyle w:val="Compact"/>
        <w:numPr>
          <w:ilvl w:val="0"/>
          <w:numId w:val="2334"/>
        </w:numPr>
      </w:pPr>
      <w:r>
        <w:t xml:space="preserve">Method names are case-insensitive.</w:t>
      </w:r>
    </w:p>
    <w:p>
      <w:pPr>
        <w:pStyle w:val="Compact"/>
        <w:numPr>
          <w:ilvl w:val="0"/>
          <w:numId w:val="2334"/>
        </w:numPr>
      </w:pPr>
      <w:r>
        <w:t xml:space="preserve">Append is used for dynamic schema creation scenarios.</w:t>
      </w:r>
    </w:p>
    <w:p>
      <w:pPr>
        <w:pStyle w:val="Compact"/>
        <w:numPr>
          <w:ilvl w:val="0"/>
          <w:numId w:val="2334"/>
        </w:numPr>
      </w:pPr>
      <w:r>
        <w:t xml:space="preserve">Provider support for runtime schema mutation can vary.</w:t>
      </w:r>
    </w:p>
    <w:bookmarkEnd w:id="5484"/>
    <w:bookmarkStart w:id="5485" w:name="code-example-42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rs.Fields.Append </w:t>
      </w:r>
      <w:r>
        <w:rPr>
          <w:rStyle w:val="StringTok"/>
        </w:rPr>
        <w:t xml:space="preserve">"TempName"</w:t>
      </w:r>
      <w:r>
        <w:rPr>
          <w:rStyle w:val="OtherTok"/>
        </w:rPr>
        <w:t xml:space="preserve">,</w:t>
      </w:r>
      <w:r>
        <w:rPr>
          <w:rStyle w:val="NormalTok"/>
        </w:rPr>
        <w:t xml:space="preserve"> </w:t>
      </w:r>
      <w:r>
        <w:rPr>
          <w:rStyle w:val="DecValTok"/>
        </w:rPr>
        <w:t xml:space="preserve">200</w:t>
      </w:r>
      <w:r>
        <w:rPr>
          <w:rStyle w:val="OtherTok"/>
        </w:rPr>
        <w:t xml:space="preserve">,</w:t>
      </w:r>
      <w:r>
        <w:rPr>
          <w:rStyle w:val="NormalTok"/>
        </w:rPr>
        <w:t xml:space="preserve"> </w:t>
      </w:r>
      <w:r>
        <w:rPr>
          <w:rStyle w:val="DecValTok"/>
        </w:rPr>
        <w:t xml:space="preserve">100</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 appended"</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485"/>
    <w:bookmarkEnd w:id="5486"/>
    <w:bookmarkStart w:id="5492" w:name="fields.item-method"/>
    <w:p>
      <w:pPr>
        <w:pStyle w:val="Heading1"/>
      </w:pPr>
      <w:r>
        <w:t xml:space="preserve">Fields.Item Method</w:t>
      </w:r>
    </w:p>
    <w:p>
      <w:pPr>
        <w:pStyle w:val="FirstParagraph"/>
      </w:pPr>
      <w:r>
        <w:t xml:space="preserve">Returns a Field object by index or column name.</w:t>
      </w:r>
    </w:p>
    <w:bookmarkStart w:id="5487" w:name="syntax-621"/>
    <w:p>
      <w:pPr>
        <w:pStyle w:val="Heading2"/>
      </w:pPr>
      <w:r>
        <w:t xml:space="preserve">Syntax</w:t>
      </w:r>
    </w:p>
    <w:p>
      <w:pPr>
        <w:pStyle w:val="SourceCode"/>
      </w:pPr>
      <w:r>
        <w:rPr>
          <w:rStyle w:val="NormalTok"/>
        </w:rPr>
        <w:t xml:space="preserve">Set fieldObj = rs.Fields.Item(indexOrName)</w:t>
      </w:r>
    </w:p>
    <w:bookmarkEnd w:id="5487"/>
    <w:bookmarkStart w:id="5488" w:name="parameters-30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indexOrName</w:t>
            </w:r>
          </w:p>
        </w:tc>
        <w:tc>
          <w:tcPr/>
          <w:p>
            <w:pPr>
              <w:pStyle w:val="Compact"/>
            </w:pPr>
            <w:r>
              <w:t xml:space="preserve">Integer or String</w:t>
            </w:r>
          </w:p>
        </w:tc>
        <w:tc>
          <w:tcPr/>
          <w:p>
            <w:pPr>
              <w:pStyle w:val="Compact"/>
            </w:pPr>
            <w:r>
              <w:t xml:space="preserve">Yes</w:t>
            </w:r>
          </w:p>
        </w:tc>
        <w:tc>
          <w:tcPr/>
          <w:p>
            <w:pPr>
              <w:pStyle w:val="Compact"/>
            </w:pPr>
            <w:r>
              <w:t xml:space="preserve">Zero-based field index or exact field name.</w:t>
            </w:r>
          </w:p>
        </w:tc>
      </w:tr>
    </w:tbl>
    <w:bookmarkEnd w:id="5488"/>
    <w:bookmarkStart w:id="5489" w:name="return-value-304"/>
    <w:p>
      <w:pPr>
        <w:pStyle w:val="Heading2"/>
      </w:pPr>
      <w:r>
        <w:t xml:space="preserve">Return Value</w:t>
      </w:r>
    </w:p>
    <w:p>
      <w:pPr>
        <w:pStyle w:val="FirstParagraph"/>
      </w:pPr>
      <w:r>
        <w:t xml:space="preserve">Field. Returns an ADODB.Field object for the requested column.</w:t>
      </w:r>
    </w:p>
    <w:bookmarkEnd w:id="5489"/>
    <w:bookmarkStart w:id="5490" w:name="remarks-594"/>
    <w:p>
      <w:pPr>
        <w:pStyle w:val="Heading2"/>
      </w:pPr>
      <w:r>
        <w:t xml:space="preserve">Remarks</w:t>
      </w:r>
    </w:p>
    <w:p>
      <w:pPr>
        <w:pStyle w:val="Compact"/>
        <w:numPr>
          <w:ilvl w:val="0"/>
          <w:numId w:val="2335"/>
        </w:numPr>
      </w:pPr>
      <w:r>
        <w:t xml:space="preserve">Method names are case-insensitive.</w:t>
      </w:r>
    </w:p>
    <w:p>
      <w:pPr>
        <w:pStyle w:val="Compact"/>
        <w:numPr>
          <w:ilvl w:val="0"/>
          <w:numId w:val="2335"/>
        </w:numPr>
      </w:pPr>
      <w:r>
        <w:t xml:space="preserve">Use index for faster access in tight loops.</w:t>
      </w:r>
    </w:p>
    <w:p>
      <w:pPr>
        <w:pStyle w:val="Compact"/>
        <w:numPr>
          <w:ilvl w:val="0"/>
          <w:numId w:val="2335"/>
        </w:numPr>
      </w:pPr>
      <w:r>
        <w:t xml:space="preserve">Use name for readable code when column order can change.</w:t>
      </w:r>
    </w:p>
    <w:p>
      <w:pPr>
        <w:pStyle w:val="Compact"/>
        <w:numPr>
          <w:ilvl w:val="0"/>
          <w:numId w:val="2335"/>
        </w:numPr>
      </w:pPr>
      <w:r>
        <w:t xml:space="preserve">Invalid index or name raises a runtime error.</w:t>
      </w:r>
    </w:p>
    <w:bookmarkEnd w:id="5490"/>
    <w:bookmarkStart w:id="5491" w:name="code-example-42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fldByIndex</w:t>
      </w:r>
      <w:r>
        <w:rPr>
          <w:rStyle w:val="OtherTok"/>
        </w:rPr>
        <w:t xml:space="preserve">,</w:t>
      </w:r>
      <w:r>
        <w:rPr>
          <w:rStyle w:val="NormalTok"/>
        </w:rPr>
        <w:t xml:space="preserve"> fldByName</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fldByIndex = rs.Fields.</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NormalTok"/>
        </w:rPr>
        <w:t xml:space="preserve">    </w:t>
      </w:r>
      <w:r>
        <w:rPr>
          <w:rStyle w:val="KeywordTok"/>
        </w:rPr>
        <w:t xml:space="preserve">Set</w:t>
      </w:r>
      <w:r>
        <w:rPr>
          <w:rStyle w:val="NormalTok"/>
        </w:rPr>
        <w:t xml:space="preserve"> fldByName = rs.Fields.</w:t>
      </w:r>
      <w:r>
        <w:rPr>
          <w:rStyle w:val="FunctionTok"/>
        </w:rPr>
        <w:t xml:space="preserve">Item</w:t>
      </w:r>
      <w:r>
        <w:rPr>
          <w:rStyle w:val="OtherTok"/>
        </w:rPr>
        <w:t xml:space="preserve">(</w:t>
      </w:r>
      <w:r>
        <w:rPr>
          <w:rStyle w:val="StringTok"/>
        </w:rPr>
        <w:t xml:space="preserve">"name"</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"Field[0]: "</w:t>
      </w:r>
      <w:r>
        <w:rPr>
          <w:rStyle w:val="NormalTok"/>
        </w:rPr>
        <w:t xml:space="preserve"> </w:t>
      </w:r>
      <w:r>
        <w:rPr>
          <w:rStyle w:val="KeywordTok"/>
        </w:rPr>
        <w:t xml:space="preserve">&amp;</w:t>
      </w:r>
      <w:r>
        <w:rPr>
          <w:rStyle w:val="NormalTok"/>
        </w:rPr>
        <w:t xml:space="preserve"> fldByIndex.Value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"Field['name']: "</w:t>
      </w:r>
      <w:r>
        <w:rPr>
          <w:rStyle w:val="NormalTok"/>
        </w:rPr>
        <w:t xml:space="preserve"> </w:t>
      </w:r>
      <w:r>
        <w:rPr>
          <w:rStyle w:val="KeywordTok"/>
        </w:rPr>
        <w:t xml:space="preserve">&amp;</w:t>
      </w:r>
      <w:r>
        <w:rPr>
          <w:rStyle w:val="NormalTok"/>
        </w:rPr>
        <w:t xml:space="preserve"> fldByName.Value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fldByName = </w:t>
      </w:r>
      <w:r>
        <w:rPr>
          <w:rStyle w:val="KeywordTok"/>
        </w:rPr>
        <w:t xml:space="preserve">Nothing</w:t>
      </w:r>
      <w:r>
        <w:br/>
      </w:r>
      <w:r>
        <w:rPr>
          <w:rStyle w:val="KeywordTok"/>
        </w:rPr>
        <w:t xml:space="preserve">Set</w:t>
      </w:r>
      <w:r>
        <w:rPr>
          <w:rStyle w:val="NormalTok"/>
        </w:rPr>
        <w:t xml:space="preserve"> fldByIndex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91"/>
    <w:bookmarkEnd w:id="5492"/>
    <w:bookmarkStart w:id="5498" w:name="fields.count-method"/>
    <w:p>
      <w:pPr>
        <w:pStyle w:val="Heading1"/>
      </w:pPr>
      <w:r>
        <w:t xml:space="preserve">Fields.Count Method</w:t>
      </w:r>
    </w:p>
    <w:p>
      <w:pPr>
        <w:pStyle w:val="FirstParagraph"/>
      </w:pPr>
      <w:r>
        <w:t xml:space="preserve">Returns the number of columns in the Fields collection.</w:t>
      </w:r>
    </w:p>
    <w:bookmarkStart w:id="5493" w:name="syntax-622"/>
    <w:p>
      <w:pPr>
        <w:pStyle w:val="Heading2"/>
      </w:pPr>
      <w:r>
        <w:t xml:space="preserve">Syntax</w:t>
      </w:r>
    </w:p>
    <w:p>
      <w:pPr>
        <w:pStyle w:val="SourceCode"/>
      </w:pPr>
      <w:r>
        <w:rPr>
          <w:rStyle w:val="NormalTok"/>
        </w:rPr>
        <w:t xml:space="preserve">count = rs.Fields.Count</w:t>
      </w:r>
    </w:p>
    <w:bookmarkEnd w:id="5493"/>
    <w:bookmarkStart w:id="5494" w:name="parameters-304"/>
    <w:p>
      <w:pPr>
        <w:pStyle w:val="Heading2"/>
      </w:pPr>
      <w:r>
        <w:t xml:space="preserve">Parameters</w:t>
      </w:r>
    </w:p>
    <w:p>
      <w:pPr>
        <w:pStyle w:val="FirstParagraph"/>
      </w:pPr>
      <w:r>
        <w:t xml:space="preserve">No parameters.</w:t>
      </w:r>
    </w:p>
    <w:bookmarkEnd w:id="5494"/>
    <w:bookmarkStart w:id="5495" w:name="return-value-305"/>
    <w:p>
      <w:pPr>
        <w:pStyle w:val="Heading2"/>
      </w:pPr>
      <w:r>
        <w:t xml:space="preserve">Return Value</w:t>
      </w:r>
    </w:p>
    <w:p>
      <w:pPr>
        <w:pStyle w:val="FirstParagraph"/>
      </w:pPr>
      <w:r>
        <w:t xml:space="preserve">Integer. Returns the number of Field objects in the current Recordset schema.</w:t>
      </w:r>
    </w:p>
    <w:bookmarkEnd w:id="5495"/>
    <w:bookmarkStart w:id="5496" w:name="remarks-595"/>
    <w:p>
      <w:pPr>
        <w:pStyle w:val="Heading2"/>
      </w:pPr>
      <w:r>
        <w:t xml:space="preserve">Remarks</w:t>
      </w:r>
    </w:p>
    <w:p>
      <w:pPr>
        <w:pStyle w:val="Compact"/>
        <w:numPr>
          <w:ilvl w:val="0"/>
          <w:numId w:val="2336"/>
        </w:numPr>
      </w:pPr>
      <w:r>
        <w:t xml:space="preserve">Method names are case-insensitive.</w:t>
      </w:r>
    </w:p>
    <w:p>
      <w:pPr>
        <w:pStyle w:val="Compact"/>
        <w:numPr>
          <w:ilvl w:val="0"/>
          <w:numId w:val="2336"/>
        </w:numPr>
      </w:pPr>
      <w:r>
        <w:t xml:space="preserve">Count reflects the selected columns in the current query.</w:t>
      </w:r>
    </w:p>
    <w:p>
      <w:pPr>
        <w:pStyle w:val="Compact"/>
        <w:numPr>
          <w:ilvl w:val="0"/>
          <w:numId w:val="2336"/>
        </w:numPr>
      </w:pPr>
      <w:r>
        <w:t xml:space="preserve">The value is available after the Recordset is opened.</w:t>
      </w:r>
    </w:p>
    <w:p>
      <w:pPr>
        <w:pStyle w:val="Compact"/>
        <w:numPr>
          <w:ilvl w:val="0"/>
          <w:numId w:val="2336"/>
        </w:numPr>
      </w:pPr>
      <w:r>
        <w:t xml:space="preserve">Use Count to iterate safely over the fields collection.</w:t>
      </w:r>
    </w:p>
    <w:bookmarkEnd w:id="5496"/>
    <w:bookmarkStart w:id="5497" w:name="code-example-42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i</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email FROM users"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rs.Fields.Count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rs.Fields.Count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"Column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rs.Fields.</w:t>
      </w:r>
      <w:r>
        <w:rPr>
          <w:rStyle w:val="FunctionTok"/>
        </w:rPr>
        <w:t xml:space="preserve">Item</w:t>
      </w:r>
      <w:r>
        <w:rPr>
          <w:rStyle w:val="OtherTok"/>
        </w:rPr>
        <w:t xml:space="preserve">(</w:t>
      </w:r>
      <w:r>
        <w:rPr>
          <w:rStyle w:val="NormalTok"/>
        </w:rPr>
        <w:t xml:space="preserve">i</w:t>
      </w:r>
      <w:r>
        <w:rPr>
          <w:rStyle w:val="OtherTok"/>
        </w:rPr>
        <w:t xml:space="preserve">)</w:t>
      </w:r>
      <w:r>
        <w:rPr>
          <w:rStyle w:val="NormalTok"/>
        </w:rPr>
        <w:t xml:space="preserve">.Name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497"/>
    <w:bookmarkEnd w:id="5498"/>
    <w:bookmarkStart w:id="5504" w:name="field.appendchunk-method"/>
    <w:p>
      <w:pPr>
        <w:pStyle w:val="Heading1"/>
      </w:pPr>
      <w:r>
        <w:t xml:space="preserve">Field.AppendChunk Method</w:t>
      </w:r>
    </w:p>
    <w:p>
      <w:pPr>
        <w:pStyle w:val="FirstParagraph"/>
      </w:pPr>
      <w:r>
        <w:t xml:space="preserve">Appends binary or text chunk data to the current field value.</w:t>
      </w:r>
    </w:p>
    <w:bookmarkStart w:id="5499" w:name="syntax-623"/>
    <w:p>
      <w:pPr>
        <w:pStyle w:val="Heading2"/>
      </w:pPr>
      <w:r>
        <w:t xml:space="preserve">Syntax</w:t>
      </w:r>
    </w:p>
    <w:p>
      <w:pPr>
        <w:pStyle w:val="SourceCode"/>
      </w:pPr>
      <w:r>
        <w:rPr>
          <w:rStyle w:val="NormalTok"/>
        </w:rPr>
        <w:t xml:space="preserve">fieldObj.AppendChunk data</w:t>
      </w:r>
    </w:p>
    <w:bookmarkEnd w:id="5499"/>
    <w:bookmarkStart w:id="5500" w:name="parameters-30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data</w:t>
            </w:r>
          </w:p>
        </w:tc>
        <w:tc>
          <w:tcPr/>
          <w:p>
            <w:pPr>
              <w:pStyle w:val="Compact"/>
            </w:pPr>
            <w:r>
              <w:t xml:space="preserve">String or Byte Array</w:t>
            </w:r>
          </w:p>
        </w:tc>
        <w:tc>
          <w:tcPr/>
          <w:p>
            <w:pPr>
              <w:pStyle w:val="Compact"/>
            </w:pPr>
            <w:r>
              <w:t xml:space="preserve">Yes</w:t>
            </w:r>
          </w:p>
        </w:tc>
        <w:tc>
          <w:tcPr/>
          <w:p>
            <w:pPr>
              <w:pStyle w:val="Compact"/>
            </w:pPr>
            <w:r>
              <w:t xml:space="preserve">Chunk data appended to the target field.</w:t>
            </w:r>
          </w:p>
        </w:tc>
      </w:tr>
    </w:tbl>
    <w:bookmarkEnd w:id="5500"/>
    <w:bookmarkStart w:id="5501" w:name="return-value-306"/>
    <w:p>
      <w:pPr>
        <w:pStyle w:val="Heading2"/>
      </w:pPr>
      <w:r>
        <w:t xml:space="preserve">Return Value</w:t>
      </w:r>
    </w:p>
    <w:p>
      <w:pPr>
        <w:pStyle w:val="FirstParagraph"/>
      </w:pPr>
      <w:r>
        <w:t xml:space="preserve">Empty. The method does not return a value.</w:t>
      </w:r>
    </w:p>
    <w:bookmarkEnd w:id="5501"/>
    <w:bookmarkStart w:id="5502" w:name="remarks-596"/>
    <w:p>
      <w:pPr>
        <w:pStyle w:val="Heading2"/>
      </w:pPr>
      <w:r>
        <w:t xml:space="preserve">Remarks</w:t>
      </w:r>
    </w:p>
    <w:p>
      <w:pPr>
        <w:pStyle w:val="Compact"/>
        <w:numPr>
          <w:ilvl w:val="0"/>
          <w:numId w:val="2337"/>
        </w:numPr>
      </w:pPr>
      <w:r>
        <w:t xml:space="preserve">Method names are case-insensitive.</w:t>
      </w:r>
    </w:p>
    <w:p>
      <w:pPr>
        <w:pStyle w:val="Compact"/>
        <w:numPr>
          <w:ilvl w:val="0"/>
          <w:numId w:val="2337"/>
        </w:numPr>
      </w:pPr>
      <w:r>
        <w:t xml:space="preserve">AppendChunk is commonly used for long text and binary fields.</w:t>
      </w:r>
    </w:p>
    <w:p>
      <w:pPr>
        <w:pStyle w:val="Compact"/>
        <w:numPr>
          <w:ilvl w:val="0"/>
          <w:numId w:val="2337"/>
        </w:numPr>
      </w:pPr>
      <w:r>
        <w:t xml:space="preserve">Multiple AppendChunk calls append data sequentially.</w:t>
      </w:r>
    </w:p>
    <w:p>
      <w:pPr>
        <w:pStyle w:val="Compact"/>
        <w:numPr>
          <w:ilvl w:val="0"/>
          <w:numId w:val="2337"/>
        </w:numPr>
      </w:pPr>
      <w:r>
        <w:t xml:space="preserve">Call</w:t>
      </w:r>
      <w:r>
        <w:t xml:space="preserve"> </w:t>
      </w:r>
      <w:r>
        <w:rPr>
          <w:rStyle w:val="VerbatimChar"/>
        </w:rPr>
        <w:t xml:space="preserve">Recordset.Update</w:t>
      </w:r>
      <w:r>
        <w:t xml:space="preserve"> </w:t>
      </w:r>
      <w:r>
        <w:t xml:space="preserve">to persist appended data.</w:t>
      </w:r>
    </w:p>
    <w:bookmarkEnd w:id="5502"/>
    <w:bookmarkStart w:id="5503" w:name="code-example-42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 WHERE id = 1"</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rs.Fields</w:t>
      </w:r>
      <w:r>
        <w:rPr>
          <w:rStyle w:val="OtherTok"/>
        </w:rPr>
        <w:t xml:space="preserve">(</w:t>
      </w:r>
      <w:r>
        <w:rPr>
          <w:rStyle w:val="StringTok"/>
        </w:rPr>
        <w:t xml:space="preserve">"notes"</w:t>
      </w:r>
      <w:r>
        <w:rPr>
          <w:rStyle w:val="OtherTok"/>
        </w:rPr>
        <w:t xml:space="preserve">)</w:t>
      </w:r>
      <w:r>
        <w:rPr>
          <w:rStyle w:val="NormalTok"/>
        </w:rPr>
        <w:t xml:space="preserve">.AppendChunk </w:t>
      </w:r>
      <w:r>
        <w:rPr>
          <w:rStyle w:val="StringTok"/>
        </w:rPr>
        <w:t xml:space="preserve">" First chunk."</w:t>
      </w:r>
      <w:r>
        <w:br/>
      </w:r>
      <w:r>
        <w:rPr>
          <w:rStyle w:val="NormalTok"/>
        </w:rPr>
        <w:t xml:space="preserve">    rs.Fields</w:t>
      </w:r>
      <w:r>
        <w:rPr>
          <w:rStyle w:val="OtherTok"/>
        </w:rPr>
        <w:t xml:space="preserve">(</w:t>
      </w:r>
      <w:r>
        <w:rPr>
          <w:rStyle w:val="StringTok"/>
        </w:rPr>
        <w:t xml:space="preserve">"notes"</w:t>
      </w:r>
      <w:r>
        <w:rPr>
          <w:rStyle w:val="OtherTok"/>
        </w:rPr>
        <w:t xml:space="preserve">)</w:t>
      </w:r>
      <w:r>
        <w:rPr>
          <w:rStyle w:val="NormalTok"/>
        </w:rPr>
        <w:t xml:space="preserve">.AppendChunk </w:t>
      </w:r>
      <w:r>
        <w:rPr>
          <w:rStyle w:val="StringTok"/>
        </w:rPr>
        <w:t xml:space="preserve">" Second chunk."</w:t>
      </w:r>
      <w:r>
        <w:br/>
      </w:r>
      <w:r>
        <w:rPr>
          <w:rStyle w:val="NormalTok"/>
        </w:rPr>
        <w:t xml:space="preserve">    rs.Update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03"/>
    <w:bookmarkEnd w:id="5504"/>
    <w:bookmarkStart w:id="5510" w:name="field.getchunk-method"/>
    <w:p>
      <w:pPr>
        <w:pStyle w:val="Heading1"/>
      </w:pPr>
      <w:r>
        <w:t xml:space="preserve">Field.GetChunk Method</w:t>
      </w:r>
    </w:p>
    <w:p>
      <w:pPr>
        <w:pStyle w:val="FirstParagraph"/>
      </w:pPr>
      <w:r>
        <w:t xml:space="preserve">Reads a chunk of data from the current field value.</w:t>
      </w:r>
    </w:p>
    <w:bookmarkStart w:id="5505" w:name="syntax-624"/>
    <w:p>
      <w:pPr>
        <w:pStyle w:val="Heading2"/>
      </w:pPr>
      <w:r>
        <w:t xml:space="preserve">Syntax</w:t>
      </w:r>
    </w:p>
    <w:p>
      <w:pPr>
        <w:pStyle w:val="SourceCode"/>
      </w:pPr>
      <w:r>
        <w:rPr>
          <w:rStyle w:val="NormalTok"/>
        </w:rPr>
        <w:t xml:space="preserve">chunk = fieldObj.GetChunk(length)</w:t>
      </w:r>
    </w:p>
    <w:bookmarkEnd w:id="5505"/>
    <w:bookmarkStart w:id="5506" w:name="parameters-30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length</w:t>
            </w:r>
          </w:p>
        </w:tc>
        <w:tc>
          <w:tcPr/>
          <w:p>
            <w:pPr>
              <w:pStyle w:val="Compact"/>
            </w:pPr>
            <w:r>
              <w:t xml:space="preserve">Integer</w:t>
            </w:r>
          </w:p>
        </w:tc>
        <w:tc>
          <w:tcPr/>
          <w:p>
            <w:pPr>
              <w:pStyle w:val="Compact"/>
            </w:pPr>
            <w:r>
              <w:t xml:space="preserve">No</w:t>
            </w:r>
          </w:p>
        </w:tc>
        <w:tc>
          <w:tcPr/>
          <w:p>
            <w:pPr>
              <w:pStyle w:val="Compact"/>
            </w:pPr>
            <w:r>
              <w:t xml:space="preserve">Number of bytes or characters to read. If omitted, reads remaining data.</w:t>
            </w:r>
          </w:p>
        </w:tc>
      </w:tr>
    </w:tbl>
    <w:bookmarkEnd w:id="5506"/>
    <w:bookmarkStart w:id="5507" w:name="return-value-307"/>
    <w:p>
      <w:pPr>
        <w:pStyle w:val="Heading2"/>
      </w:pPr>
      <w:r>
        <w:t xml:space="preserve">Return Value</w:t>
      </w:r>
    </w:p>
    <w:p>
      <w:pPr>
        <w:pStyle w:val="FirstParagraph"/>
      </w:pPr>
      <w:r>
        <w:t xml:space="preserve">String. Returns the chunk data read from the field.</w:t>
      </w:r>
    </w:p>
    <w:bookmarkEnd w:id="5507"/>
    <w:bookmarkStart w:id="5508" w:name="remarks-597"/>
    <w:p>
      <w:pPr>
        <w:pStyle w:val="Heading2"/>
      </w:pPr>
      <w:r>
        <w:t xml:space="preserve">Remarks</w:t>
      </w:r>
    </w:p>
    <w:p>
      <w:pPr>
        <w:pStyle w:val="Compact"/>
        <w:numPr>
          <w:ilvl w:val="0"/>
          <w:numId w:val="2338"/>
        </w:numPr>
      </w:pPr>
      <w:r>
        <w:t xml:space="preserve">Method names are case-insensitive.</w:t>
      </w:r>
    </w:p>
    <w:p>
      <w:pPr>
        <w:pStyle w:val="Compact"/>
        <w:numPr>
          <w:ilvl w:val="0"/>
          <w:numId w:val="2338"/>
        </w:numPr>
      </w:pPr>
      <w:r>
        <w:t xml:space="preserve">Use GetChunk to read long text or binary content in segments.</w:t>
      </w:r>
    </w:p>
    <w:p>
      <w:pPr>
        <w:pStyle w:val="Compact"/>
        <w:numPr>
          <w:ilvl w:val="0"/>
          <w:numId w:val="2338"/>
        </w:numPr>
      </w:pPr>
      <w:r>
        <w:t xml:space="preserve">Repeated calls return subsequent portions of the field data.</w:t>
      </w:r>
    </w:p>
    <w:p>
      <w:pPr>
        <w:pStyle w:val="Compact"/>
        <w:numPr>
          <w:ilvl w:val="0"/>
          <w:numId w:val="2338"/>
        </w:numPr>
      </w:pPr>
      <w:r>
        <w:t xml:space="preserve">Reset reading position by reloading the row.</w:t>
      </w:r>
    </w:p>
    <w:bookmarkEnd w:id="5508"/>
    <w:bookmarkStart w:id="5509" w:name="code-example-42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part</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notes FROM users WHERE id = 1"</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part = rs.Fields</w:t>
      </w:r>
      <w:r>
        <w:rPr>
          <w:rStyle w:val="OtherTok"/>
        </w:rPr>
        <w:t xml:space="preserve">(</w:t>
      </w:r>
      <w:r>
        <w:rPr>
          <w:rStyle w:val="StringTok"/>
        </w:rPr>
        <w:t xml:space="preserve">"notes"</w:t>
      </w:r>
      <w:r>
        <w:rPr>
          <w:rStyle w:val="OtherTok"/>
        </w:rPr>
        <w:t xml:space="preserve">)</w:t>
      </w:r>
      <w:r>
        <w:rPr>
          <w:rStyle w:val="NormalTok"/>
        </w:rPr>
        <w:t xml:space="preserve">.GetChunk</w:t>
      </w:r>
      <w:r>
        <w:rPr>
          <w:rStyle w:val="OtherTok"/>
        </w:rPr>
        <w:t xml:space="preserve">(</w:t>
      </w:r>
      <w:r>
        <w:rPr>
          <w:rStyle w:val="DecValTok"/>
        </w:rPr>
        <w:t xml:space="preserve">20</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"Chunk: "</w:t>
      </w:r>
      <w:r>
        <w:rPr>
          <w:rStyle w:val="NormalTok"/>
        </w:rPr>
        <w:t xml:space="preserve"> </w:t>
      </w:r>
      <w:r>
        <w:rPr>
          <w:rStyle w:val="KeywordTok"/>
        </w:rPr>
        <w:t xml:space="preserve">&amp;</w:t>
      </w:r>
      <w:r>
        <w:rPr>
          <w:rStyle w:val="NormalTok"/>
        </w:rPr>
        <w:t xml:space="preserve"> part</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09"/>
    <w:bookmarkEnd w:id="5510"/>
    <w:bookmarkStart w:id="5516" w:name="parameters.append-method"/>
    <w:p>
      <w:pPr>
        <w:pStyle w:val="Heading1"/>
      </w:pPr>
      <w:r>
        <w:t xml:space="preserve">Parameters.Append Method</w:t>
      </w:r>
    </w:p>
    <w:p>
      <w:pPr>
        <w:pStyle w:val="FirstParagraph"/>
      </w:pPr>
      <w:r>
        <w:t xml:space="preserve">Adds a Parameter object to the command Parameters collection.</w:t>
      </w:r>
    </w:p>
    <w:bookmarkStart w:id="5511" w:name="syntax-625"/>
    <w:p>
      <w:pPr>
        <w:pStyle w:val="Heading2"/>
      </w:pPr>
      <w:r>
        <w:t xml:space="preserve">Syntax</w:t>
      </w:r>
    </w:p>
    <w:p>
      <w:pPr>
        <w:pStyle w:val="SourceCode"/>
      </w:pPr>
      <w:r>
        <w:rPr>
          <w:rStyle w:val="NormalTok"/>
        </w:rPr>
        <w:t xml:space="preserve">cmd.Parameters.Append parameterObj</w:t>
      </w:r>
    </w:p>
    <w:bookmarkEnd w:id="5511"/>
    <w:bookmarkStart w:id="5512" w:name="parameters-30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parameterObj</w:t>
            </w:r>
          </w:p>
        </w:tc>
        <w:tc>
          <w:tcPr/>
          <w:p>
            <w:pPr>
              <w:pStyle w:val="Compact"/>
            </w:pPr>
            <w:r>
              <w:t xml:space="preserve">Parameter</w:t>
            </w:r>
          </w:p>
        </w:tc>
        <w:tc>
          <w:tcPr/>
          <w:p>
            <w:pPr>
              <w:pStyle w:val="Compact"/>
            </w:pPr>
            <w:r>
              <w:t xml:space="preserve">Yes</w:t>
            </w:r>
          </w:p>
        </w:tc>
        <w:tc>
          <w:tcPr/>
          <w:p>
            <w:pPr>
              <w:pStyle w:val="Compact"/>
            </w:pPr>
            <w:r>
              <w:t xml:space="preserve">Parameter object created by</w:t>
            </w:r>
            <w:r>
              <w:t xml:space="preserve"> </w:t>
            </w:r>
            <w:r>
              <w:rPr>
                <w:rStyle w:val="VerbatimChar"/>
              </w:rPr>
              <w:t xml:space="preserve">CreateParameter</w:t>
            </w:r>
            <w:r>
              <w:t xml:space="preserve">.</w:t>
            </w:r>
          </w:p>
        </w:tc>
      </w:tr>
    </w:tbl>
    <w:bookmarkEnd w:id="5512"/>
    <w:bookmarkStart w:id="5513" w:name="return-value-308"/>
    <w:p>
      <w:pPr>
        <w:pStyle w:val="Heading2"/>
      </w:pPr>
      <w:r>
        <w:t xml:space="preserve">Return Value</w:t>
      </w:r>
    </w:p>
    <w:p>
      <w:pPr>
        <w:pStyle w:val="FirstParagraph"/>
      </w:pPr>
      <w:r>
        <w:t xml:space="preserve">Empty. The method does not return a value.</w:t>
      </w:r>
    </w:p>
    <w:bookmarkEnd w:id="5513"/>
    <w:bookmarkStart w:id="5514" w:name="remarks-598"/>
    <w:p>
      <w:pPr>
        <w:pStyle w:val="Heading2"/>
      </w:pPr>
      <w:r>
        <w:t xml:space="preserve">Remarks</w:t>
      </w:r>
    </w:p>
    <w:p>
      <w:pPr>
        <w:pStyle w:val="Compact"/>
        <w:numPr>
          <w:ilvl w:val="0"/>
          <w:numId w:val="2339"/>
        </w:numPr>
      </w:pPr>
      <w:r>
        <w:t xml:space="preserve">Method names are case-insensitive.</w:t>
      </w:r>
    </w:p>
    <w:p>
      <w:pPr>
        <w:pStyle w:val="Compact"/>
        <w:numPr>
          <w:ilvl w:val="0"/>
          <w:numId w:val="2339"/>
        </w:numPr>
      </w:pPr>
      <w:r>
        <w:t xml:space="preserve">Append adds the parameter to the end of the collection.</w:t>
      </w:r>
    </w:p>
    <w:p>
      <w:pPr>
        <w:pStyle w:val="Compact"/>
        <w:numPr>
          <w:ilvl w:val="0"/>
          <w:numId w:val="2339"/>
        </w:numPr>
      </w:pPr>
      <w:r>
        <w:t xml:space="preserve">Parameter order must match placeholder order for positional providers.</w:t>
      </w:r>
    </w:p>
    <w:p>
      <w:pPr>
        <w:pStyle w:val="Compact"/>
        <w:numPr>
          <w:ilvl w:val="0"/>
          <w:numId w:val="2339"/>
        </w:numPr>
      </w:pPr>
      <w:r>
        <w:t xml:space="preserve">Append does not execute the command.</w:t>
      </w:r>
    </w:p>
    <w:bookmarkEnd w:id="5514"/>
    <w:bookmarkStart w:id="5515" w:name="code-example-42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rPr>
          <w:rStyle w:val="OtherTok"/>
        </w:rPr>
        <w:t xml:space="preserve">,</w:t>
      </w:r>
      <w:r>
        <w:rPr>
          <w:rStyle w:val="NormalTok"/>
        </w:rPr>
        <w:t xml:space="preserve"> p</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NormalTok"/>
        </w:rPr>
        <w:t xml:space="preserve">cmd.ActiveConnection = conn</w:t>
      </w:r>
      <w:r>
        <w:br/>
      </w:r>
      <w:r>
        <w:rPr>
          <w:rStyle w:val="NormalTok"/>
        </w:rPr>
        <w:t xml:space="preserve">cmd.CommandText = </w:t>
      </w:r>
      <w:r>
        <w:rPr>
          <w:rStyle w:val="StringTok"/>
        </w:rPr>
        <w:t xml:space="preserve">"SELECT id, name FROM users WHERE id = ?"</w:t>
      </w:r>
      <w:r>
        <w:br/>
      </w:r>
      <w:r>
        <w:br/>
      </w:r>
      <w:r>
        <w:rPr>
          <w:rStyle w:val="KeywordTok"/>
        </w:rPr>
        <w:t xml:space="preserve">Set</w:t>
      </w:r>
      <w:r>
        <w:rPr>
          <w:rStyle w:val="NormalTok"/>
        </w:rPr>
        <w:t xml:space="preserve"> p = cmd.CreateParameter</w:t>
      </w:r>
      <w:r>
        <w:rPr>
          <w:rStyle w:val="OtherTok"/>
        </w:rPr>
        <w:t xml:space="preserve">(</w:t>
      </w:r>
      <w:r>
        <w:rPr>
          <w:rStyle w:val="StringTok"/>
        </w:rPr>
        <w:t xml:space="preserve">"id"</w:t>
      </w:r>
      <w:r>
        <w:rPr>
          <w:rStyle w:val="OtherTok"/>
        </w:rPr>
        <w:t xml:space="preserve">,</w:t>
      </w:r>
      <w:r>
        <w:rPr>
          <w:rStyle w:val="NormalTok"/>
        </w:rPr>
        <w:t xml:space="preserve"> </w:t>
      </w:r>
      <w:r>
        <w:rPr>
          <w:rStyle w:val="DecValTok"/>
        </w:rPr>
        <w:t xml:space="preserve">3</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DecValTok"/>
        </w:rPr>
        <w:t xml:space="preserve">4</w:t>
      </w:r>
      <w:r>
        <w:rPr>
          <w:rStyle w:val="OtherTok"/>
        </w:rPr>
        <w:t xml:space="preserve">,</w:t>
      </w:r>
      <w:r>
        <w:rPr>
          <w:rStyle w:val="NormalTok"/>
        </w:rPr>
        <w:t xml:space="preserve"> </w:t>
      </w:r>
      <w:r>
        <w:rPr>
          <w:rStyle w:val="DecValTok"/>
        </w:rPr>
        <w:t xml:space="preserve">1</w:t>
      </w:r>
      <w:r>
        <w:rPr>
          <w:rStyle w:val="OtherTok"/>
        </w:rPr>
        <w:t xml:space="preserve">)</w:t>
      </w:r>
      <w:r>
        <w:br/>
      </w:r>
      <w:r>
        <w:rPr>
          <w:rStyle w:val="NormalTok"/>
        </w:rPr>
        <w:t xml:space="preserve">cmd.Parameters.Append p</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"Parameters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cmd.Parameters.Count</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p = </w:t>
      </w:r>
      <w:r>
        <w:rPr>
          <w:rStyle w:val="KeywordTok"/>
        </w:rPr>
        <w:t xml:space="preserve">Nothing</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15"/>
    <w:bookmarkEnd w:id="5516"/>
    <w:bookmarkStart w:id="5523" w:name="parameters.count-method"/>
    <w:p>
      <w:pPr>
        <w:pStyle w:val="Heading1"/>
      </w:pPr>
      <w:r>
        <w:t xml:space="preserve">Parameters.Count Method</w:t>
      </w:r>
    </w:p>
    <w:p>
      <w:pPr>
        <w:pStyle w:val="FirstParagraph"/>
      </w:pPr>
      <w:r>
        <w:t xml:space="preserve">Returns the number of Parameter objects in the command Parameters collection.</w:t>
      </w:r>
    </w:p>
    <w:bookmarkStart w:id="5517" w:name="syntax-626"/>
    <w:p>
      <w:pPr>
        <w:pStyle w:val="Heading2"/>
      </w:pPr>
      <w:r>
        <w:t xml:space="preserve">Syntax</w:t>
      </w:r>
    </w:p>
    <w:p>
      <w:pPr>
        <w:pStyle w:val="SourceCode"/>
      </w:pPr>
      <w:r>
        <w:rPr>
          <w:rStyle w:val="NormalTok"/>
        </w:rPr>
        <w:t xml:space="preserve">count = cmd.Parameters.Count</w:t>
      </w:r>
    </w:p>
    <w:bookmarkEnd w:id="5517"/>
    <w:bookmarkStart w:id="5518" w:name="parameters-308"/>
    <w:p>
      <w:pPr>
        <w:pStyle w:val="Heading2"/>
      </w:pPr>
      <w:r>
        <w:t xml:space="preserve">Parameters</w:t>
      </w:r>
    </w:p>
    <w:p>
      <w:pPr>
        <w:pStyle w:val="FirstParagraph"/>
      </w:pPr>
      <w:r>
        <w:t xml:space="preserve">No parameters.</w:t>
      </w:r>
    </w:p>
    <w:bookmarkEnd w:id="5518"/>
    <w:bookmarkStart w:id="5519" w:name="return-value-309"/>
    <w:p>
      <w:pPr>
        <w:pStyle w:val="Heading2"/>
      </w:pPr>
      <w:r>
        <w:t xml:space="preserve">Return Value</w:t>
      </w:r>
    </w:p>
    <w:p>
      <w:pPr>
        <w:pStyle w:val="FirstParagraph"/>
      </w:pPr>
      <w:r>
        <w:t xml:space="preserve">Integer. Returns the number of parameters currently appended to the command.</w:t>
      </w:r>
    </w:p>
    <w:bookmarkEnd w:id="5519"/>
    <w:bookmarkStart w:id="5520" w:name="remarks-599"/>
    <w:p>
      <w:pPr>
        <w:pStyle w:val="Heading2"/>
      </w:pPr>
      <w:r>
        <w:t xml:space="preserve">Remarks</w:t>
      </w:r>
    </w:p>
    <w:p>
      <w:pPr>
        <w:pStyle w:val="Compact"/>
        <w:numPr>
          <w:ilvl w:val="0"/>
          <w:numId w:val="2340"/>
        </w:numPr>
      </w:pPr>
      <w:r>
        <w:t xml:space="preserve">Method names are case-insensitive.</w:t>
      </w:r>
    </w:p>
    <w:p>
      <w:pPr>
        <w:pStyle w:val="Compact"/>
        <w:numPr>
          <w:ilvl w:val="0"/>
          <w:numId w:val="2340"/>
        </w:numPr>
      </w:pPr>
      <w:r>
        <w:t xml:space="preserve">Use Count to validate parameter setup before Execute.</w:t>
      </w:r>
    </w:p>
    <w:p>
      <w:pPr>
        <w:pStyle w:val="Compact"/>
        <w:numPr>
          <w:ilvl w:val="0"/>
          <w:numId w:val="2340"/>
        </w:numPr>
      </w:pPr>
      <w:r>
        <w:t xml:space="preserve">Count reflects only parameters explicitly appended in the current command object.</w:t>
      </w:r>
    </w:p>
    <w:p>
      <w:pPr>
        <w:pStyle w:val="Compact"/>
        <w:numPr>
          <w:ilvl w:val="0"/>
          <w:numId w:val="2340"/>
        </w:numPr>
      </w:pPr>
      <w:r>
        <w:t xml:space="preserve">Parameter order matters for positional placeholders.</w:t>
      </w:r>
    </w:p>
    <w:bookmarkEnd w:id="5520"/>
    <w:bookmarkStart w:id="5522" w:name="code-example-42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rPr>
          <w:rStyle w:val="OtherTok"/>
        </w:rPr>
        <w:t xml:space="preserve">,</w:t>
      </w:r>
      <w:r>
        <w:rPr>
          <w:rStyle w:val="NormalTok"/>
        </w:rPr>
        <w:t xml:space="preserve"> p</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NormalTok"/>
        </w:rPr>
        <w:t xml:space="preserve">cmd.CommandText = </w:t>
      </w:r>
      <w:r>
        <w:rPr>
          <w:rStyle w:val="StringTok"/>
        </w:rPr>
        <w:t xml:space="preserve">"SELECT id FROM users WHERE id = ?"</w:t>
      </w:r>
      <w:r>
        <w:br/>
      </w:r>
      <w:r>
        <w:br/>
      </w:r>
      <w:r>
        <w:rPr>
          <w:rStyle w:val="KeywordTok"/>
        </w:rPr>
        <w:t xml:space="preserve">Set</w:t>
      </w:r>
      <w:r>
        <w:rPr>
          <w:rStyle w:val="NormalTok"/>
        </w:rPr>
        <w:t xml:space="preserve"> p = cmd.CreateParameter</w:t>
      </w:r>
      <w:r>
        <w:rPr>
          <w:rStyle w:val="OtherTok"/>
        </w:rPr>
        <w:t xml:space="preserve">(</w:t>
      </w:r>
      <w:r>
        <w:rPr>
          <w:rStyle w:val="StringTok"/>
        </w:rPr>
        <w:t xml:space="preserve">"id"</w:t>
      </w:r>
      <w:r>
        <w:rPr>
          <w:rStyle w:val="OtherTok"/>
        </w:rPr>
        <w:t xml:space="preserve">,</w:t>
      </w:r>
      <w:r>
        <w:rPr>
          <w:rStyle w:val="NormalTok"/>
        </w:rPr>
        <w:t xml:space="preserve"> </w:t>
      </w:r>
      <w:r>
        <w:rPr>
          <w:rStyle w:val="DecValTok"/>
        </w:rPr>
        <w:t xml:space="preserve">3</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DecValTok"/>
        </w:rPr>
        <w:t xml:space="preserve">4</w:t>
      </w:r>
      <w:r>
        <w:rPr>
          <w:rStyle w:val="OtherTok"/>
        </w:rPr>
        <w:t xml:space="preserve">,</w:t>
      </w:r>
      <w:r>
        <w:rPr>
          <w:rStyle w:val="NormalTok"/>
        </w:rPr>
        <w:t xml:space="preserve"> </w:t>
      </w:r>
      <w:r>
        <w:rPr>
          <w:rStyle w:val="DecValTok"/>
        </w:rPr>
        <w:t xml:space="preserve">1</w:t>
      </w:r>
      <w:r>
        <w:rPr>
          <w:rStyle w:val="OtherTok"/>
        </w:rPr>
        <w:t xml:space="preserve">)</w:t>
      </w:r>
      <w:r>
        <w:br/>
      </w:r>
      <w:r>
        <w:rPr>
          <w:rStyle w:val="NormalTok"/>
        </w:rPr>
        <w:t xml:space="preserve">cmd.Parameters.Append p</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"Parameters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cmd.Parameters.Count</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p = </w:t>
      </w:r>
      <w:r>
        <w:rPr>
          <w:rStyle w:val="KeywordTok"/>
        </w:rPr>
        <w:t xml:space="preserve">Nothing</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Start w:id="5521" w:name="properties-detail-15"/>
    <w:p>
      <w:pPr>
        <w:pStyle w:val="Heading3"/>
      </w:pPr>
      <w:r>
        <w:t xml:space="preserve">Properties Detail</w:t>
      </w:r>
    </w:p>
    <w:bookmarkEnd w:id="5521"/>
    <w:bookmarkEnd w:id="5522"/>
    <w:bookmarkEnd w:id="5523"/>
    <w:bookmarkStart w:id="5528" w:name="connection.connectionstring-property"/>
    <w:p>
      <w:pPr>
        <w:pStyle w:val="Heading1"/>
      </w:pPr>
      <w:r>
        <w:t xml:space="preserve">Connection.ConnectionString Property</w:t>
      </w:r>
    </w:p>
    <w:p>
      <w:pPr>
        <w:pStyle w:val="FirstParagraph"/>
      </w:pPr>
      <w:r>
        <w:t xml:space="preserve">Gets or sets the full database connection string.</w:t>
      </w:r>
    </w:p>
    <w:bookmarkStart w:id="5524" w:name="syntax-627"/>
    <w:p>
      <w:pPr>
        <w:pStyle w:val="Heading2"/>
      </w:pPr>
      <w:r>
        <w:t xml:space="preserve">Syntax</w:t>
      </w:r>
    </w:p>
    <w:p>
      <w:pPr>
        <w:pStyle w:val="SourceCode"/>
      </w:pPr>
      <w:r>
        <w:rPr>
          <w:rStyle w:val="NormalTok"/>
        </w:rPr>
        <w:t xml:space="preserve">text = conn.ConnectionString</w:t>
      </w:r>
      <w:r>
        <w:br/>
      </w:r>
      <w:r>
        <w:rPr>
          <w:rStyle w:val="NormalTok"/>
        </w:rPr>
        <w:t xml:space="preserve">conn.ConnectionString = "Driver={SQLite3};Data Source=C:\\data\\app.db"</w:t>
      </w:r>
    </w:p>
    <w:bookmarkEnd w:id="5524"/>
    <w:bookmarkStart w:id="5525" w:name="return-value-310"/>
    <w:p>
      <w:pPr>
        <w:pStyle w:val="Heading2"/>
      </w:pPr>
      <w:r>
        <w:t xml:space="preserve">Return Value</w:t>
      </w:r>
    </w:p>
    <w:p>
      <w:pPr>
        <w:pStyle w:val="FirstParagraph"/>
      </w:pPr>
      <w:r>
        <w:t xml:space="preserve">String. Returns the current connection string text.</w:t>
      </w:r>
    </w:p>
    <w:bookmarkEnd w:id="5525"/>
    <w:bookmarkStart w:id="5526" w:name="remarks-600"/>
    <w:p>
      <w:pPr>
        <w:pStyle w:val="Heading2"/>
      </w:pPr>
      <w:r>
        <w:t xml:space="preserve">Remarks</w:t>
      </w:r>
    </w:p>
    <w:p>
      <w:pPr>
        <w:pStyle w:val="Compact"/>
        <w:numPr>
          <w:ilvl w:val="0"/>
          <w:numId w:val="2341"/>
        </w:numPr>
      </w:pPr>
      <w:r>
        <w:t xml:space="preserve">Property names are case-insensitive.</w:t>
      </w:r>
    </w:p>
    <w:p>
      <w:pPr>
        <w:pStyle w:val="Compact"/>
        <w:numPr>
          <w:ilvl w:val="0"/>
          <w:numId w:val="2341"/>
        </w:numPr>
      </w:pPr>
      <w:r>
        <w:t xml:space="preserve">Set ConnectionString before calling</w:t>
      </w:r>
      <w:r>
        <w:t xml:space="preserve"> </w:t>
      </w:r>
      <w:r>
        <w:rPr>
          <w:rStyle w:val="VerbatimChar"/>
        </w:rPr>
        <w:t xml:space="preserve">Connection.Open</w:t>
      </w:r>
      <w:r>
        <w:t xml:space="preserve">.</w:t>
      </w:r>
    </w:p>
    <w:p>
      <w:pPr>
        <w:pStyle w:val="Compact"/>
        <w:numPr>
          <w:ilvl w:val="0"/>
          <w:numId w:val="2341"/>
        </w:numPr>
      </w:pPr>
      <w:r>
        <w:t xml:space="preserve">Include provider and data source in the value.</w:t>
      </w:r>
    </w:p>
    <w:p>
      <w:pPr>
        <w:pStyle w:val="Compact"/>
        <w:numPr>
          <w:ilvl w:val="0"/>
          <w:numId w:val="2341"/>
        </w:numPr>
      </w:pPr>
      <w:r>
        <w:t xml:space="preserve">Invalid connection strings raise provider errors when opening the connection.</w:t>
      </w:r>
    </w:p>
    <w:bookmarkEnd w:id="5526"/>
    <w:bookmarkStart w:id="5527" w:name="code-example-42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"Configured: "</w:t>
      </w:r>
      <w:r>
        <w:rPr>
          <w:rStyle w:val="NormalTok"/>
        </w:rPr>
        <w:t xml:space="preserve"> </w:t>
      </w:r>
      <w:r>
        <w:rPr>
          <w:rStyle w:val="KeywordTok"/>
        </w:rPr>
        <w:t xml:space="preserve">&amp;</w:t>
      </w:r>
      <w:r>
        <w:rPr>
          <w:rStyle w:val="NormalTok"/>
        </w:rPr>
        <w:t xml:space="preserve"> conn.ConnectionString</w:t>
      </w:r>
      <w:r>
        <w:br/>
      </w:r>
      <w:r>
        <w:br/>
      </w:r>
      <w:r>
        <w:rPr>
          <w:rStyle w:val="NormalTok"/>
        </w:rPr>
        <w:t xml:space="preserve">conn.</w:t>
      </w:r>
      <w:r>
        <w:rPr>
          <w:rStyle w:val="KeywordTok"/>
        </w:rPr>
        <w:t xml:space="preserve">Open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"&lt;br&gt;State: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27"/>
    <w:bookmarkEnd w:id="5528"/>
    <w:bookmarkStart w:id="5533" w:name="connection.state-property"/>
    <w:p>
      <w:pPr>
        <w:pStyle w:val="Heading1"/>
      </w:pPr>
      <w:r>
        <w:t xml:space="preserve">Connection.State Property</w:t>
      </w:r>
    </w:p>
    <w:p>
      <w:pPr>
        <w:pStyle w:val="FirstParagraph"/>
      </w:pPr>
      <w:r>
        <w:t xml:space="preserve">Returns the current open/closed state of the connection.</w:t>
      </w:r>
    </w:p>
    <w:bookmarkStart w:id="5529" w:name="syntax-628"/>
    <w:p>
      <w:pPr>
        <w:pStyle w:val="Heading2"/>
      </w:pPr>
      <w:r>
        <w:t xml:space="preserve">Syntax</w:t>
      </w:r>
    </w:p>
    <w:p>
      <w:pPr>
        <w:pStyle w:val="SourceCode"/>
      </w:pPr>
      <w:r>
        <w:rPr>
          <w:rStyle w:val="NormalTok"/>
        </w:rPr>
        <w:t xml:space="preserve">state = conn.State</w:t>
      </w:r>
    </w:p>
    <w:bookmarkEnd w:id="5529"/>
    <w:bookmarkStart w:id="5530" w:name="return-value-311"/>
    <w:p>
      <w:pPr>
        <w:pStyle w:val="Heading2"/>
      </w:pPr>
      <w:r>
        <w:t xml:space="preserve">Return Value</w:t>
      </w:r>
    </w:p>
    <w:p>
      <w:pPr>
        <w:pStyle w:val="FirstParagraph"/>
      </w:pPr>
      <w:r>
        <w:t xml:space="preserve">Integer. Returns</w:t>
      </w:r>
      <w:r>
        <w:t xml:space="preserve"> </w:t>
      </w:r>
      <w:r>
        <w:rPr>
          <w:rStyle w:val="VerbatimChar"/>
        </w:rPr>
        <w:t xml:space="preserve">0</w:t>
      </w:r>
      <w:r>
        <w:t xml:space="preserve"> </w:t>
      </w:r>
      <w:r>
        <w:t xml:space="preserve">when closed and</w:t>
      </w:r>
      <w:r>
        <w:t xml:space="preserve"> </w:t>
      </w:r>
      <w:r>
        <w:rPr>
          <w:rStyle w:val="VerbatimChar"/>
        </w:rPr>
        <w:t xml:space="preserve">1</w:t>
      </w:r>
      <w:r>
        <w:t xml:space="preserve"> </w:t>
      </w:r>
      <w:r>
        <w:t xml:space="preserve">when open.</w:t>
      </w:r>
    </w:p>
    <w:bookmarkEnd w:id="5530"/>
    <w:bookmarkStart w:id="5531" w:name="remarks-601"/>
    <w:p>
      <w:pPr>
        <w:pStyle w:val="Heading2"/>
      </w:pPr>
      <w:r>
        <w:t xml:space="preserve">Remarks</w:t>
      </w:r>
    </w:p>
    <w:p>
      <w:pPr>
        <w:pStyle w:val="Compact"/>
        <w:numPr>
          <w:ilvl w:val="0"/>
          <w:numId w:val="2342"/>
        </w:numPr>
      </w:pPr>
      <w:r>
        <w:t xml:space="preserve">Property names are case-insensitive.</w:t>
      </w:r>
    </w:p>
    <w:p>
      <w:pPr>
        <w:pStyle w:val="Compact"/>
        <w:numPr>
          <w:ilvl w:val="0"/>
          <w:numId w:val="2342"/>
        </w:numPr>
      </w:pPr>
      <w:r>
        <w:t xml:space="preserve">This property is read-only.</w:t>
      </w:r>
    </w:p>
    <w:p>
      <w:pPr>
        <w:pStyle w:val="Compact"/>
        <w:numPr>
          <w:ilvl w:val="0"/>
          <w:numId w:val="2342"/>
        </w:numPr>
      </w:pPr>
      <w:r>
        <w:t xml:space="preserve">Check this value before operations that require an open connection.</w:t>
      </w:r>
    </w:p>
    <w:bookmarkEnd w:id="5531"/>
    <w:bookmarkStart w:id="5532" w:name="code-example-42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"Before open: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open: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NormalTok"/>
        </w:rPr>
        <w:t xml:space="preserve">conn.</w:t>
      </w:r>
      <w:r>
        <w:rPr>
          <w:rStyle w:val="KeywordTok"/>
        </w:rPr>
        <w:t xml:space="preserve">Close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close: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conn.State</w:t>
      </w:r>
      <w:r>
        <w:rPr>
          <w:rStyle w:val="OtherTok"/>
        </w:rPr>
        <w:t xml:space="preserve">)</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32"/>
    <w:bookmarkEnd w:id="5533"/>
    <w:bookmarkStart w:id="5538" w:name="connection.mode-property"/>
    <w:p>
      <w:pPr>
        <w:pStyle w:val="Heading1"/>
      </w:pPr>
      <w:r>
        <w:t xml:space="preserve">Connection.Mode Property</w:t>
      </w:r>
    </w:p>
    <w:p>
      <w:pPr>
        <w:pStyle w:val="FirstParagraph"/>
      </w:pPr>
      <w:r>
        <w:t xml:space="preserve">Gets or sets the access mode for the connection.</w:t>
      </w:r>
    </w:p>
    <w:bookmarkStart w:id="5534" w:name="syntax-629"/>
    <w:p>
      <w:pPr>
        <w:pStyle w:val="Heading2"/>
      </w:pPr>
      <w:r>
        <w:t xml:space="preserve">Syntax</w:t>
      </w:r>
    </w:p>
    <w:p>
      <w:pPr>
        <w:pStyle w:val="SourceCode"/>
      </w:pPr>
      <w:r>
        <w:rPr>
          <w:rStyle w:val="NormalTok"/>
        </w:rPr>
        <w:t xml:space="preserve">mode = conn.Mode</w:t>
      </w:r>
      <w:r>
        <w:br/>
      </w:r>
      <w:r>
        <w:rPr>
          <w:rStyle w:val="NormalTok"/>
        </w:rPr>
        <w:t xml:space="preserve">conn.Mode = 3</w:t>
      </w:r>
    </w:p>
    <w:bookmarkEnd w:id="5534"/>
    <w:bookmarkStart w:id="5535" w:name="return-value-312"/>
    <w:p>
      <w:pPr>
        <w:pStyle w:val="Heading2"/>
      </w:pPr>
      <w:r>
        <w:t xml:space="preserve">Return Value</w:t>
      </w:r>
    </w:p>
    <w:p>
      <w:pPr>
        <w:pStyle w:val="FirstParagraph"/>
      </w:pPr>
      <w:r>
        <w:t xml:space="preserve">Integer. Returns the current mode flag.</w:t>
      </w:r>
    </w:p>
    <w:bookmarkEnd w:id="5535"/>
    <w:bookmarkStart w:id="5536" w:name="remarks-602"/>
    <w:p>
      <w:pPr>
        <w:pStyle w:val="Heading2"/>
      </w:pPr>
      <w:r>
        <w:t xml:space="preserve">Remarks</w:t>
      </w:r>
    </w:p>
    <w:p>
      <w:pPr>
        <w:pStyle w:val="Compact"/>
        <w:numPr>
          <w:ilvl w:val="0"/>
          <w:numId w:val="2343"/>
        </w:numPr>
      </w:pPr>
      <w:r>
        <w:t xml:space="preserve">Property names are case-insensitive.</w:t>
      </w:r>
    </w:p>
    <w:p>
      <w:pPr>
        <w:pStyle w:val="Compact"/>
        <w:numPr>
          <w:ilvl w:val="0"/>
          <w:numId w:val="2343"/>
        </w:numPr>
      </w:pPr>
      <w:r>
        <w:t xml:space="preserve">Typical flags include read-only and read-write combinations.</w:t>
      </w:r>
    </w:p>
    <w:p>
      <w:pPr>
        <w:pStyle w:val="Compact"/>
        <w:numPr>
          <w:ilvl w:val="0"/>
          <w:numId w:val="2343"/>
        </w:numPr>
      </w:pPr>
      <w:r>
        <w:t xml:space="preserve">Set Mode before calling Open.</w:t>
      </w:r>
    </w:p>
    <w:p>
      <w:pPr>
        <w:pStyle w:val="Compact"/>
        <w:numPr>
          <w:ilvl w:val="0"/>
          <w:numId w:val="2343"/>
        </w:numPr>
      </w:pPr>
      <w:r>
        <w:t xml:space="preserve">Unsupported mode flags can be ignored or rejected by provider.</w:t>
      </w:r>
    </w:p>
    <w:bookmarkEnd w:id="5536"/>
    <w:bookmarkStart w:id="5537" w:name="code-example-42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conn.Mode = </w:t>
      </w:r>
      <w:r>
        <w:rPr>
          <w:rStyle w:val="DecValTok"/>
        </w:rPr>
        <w:t xml:space="preserve">3</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"Mode: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conn.Mode</w:t>
      </w:r>
      <w:r>
        <w:rPr>
          <w:rStyle w:val="OtherTok"/>
        </w:rPr>
        <w:t xml:space="preserve">)</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37"/>
    <w:bookmarkEnd w:id="5538"/>
    <w:bookmarkStart w:id="5543" w:name="connection.provider-property"/>
    <w:p>
      <w:pPr>
        <w:pStyle w:val="Heading1"/>
      </w:pPr>
      <w:r>
        <w:t xml:space="preserve">Connection.Provider Property</w:t>
      </w:r>
    </w:p>
    <w:p>
      <w:pPr>
        <w:pStyle w:val="FirstParagraph"/>
      </w:pPr>
      <w:r>
        <w:t xml:space="preserve">Gets or sets the provider name used by the connection.</w:t>
      </w:r>
    </w:p>
    <w:bookmarkStart w:id="5539" w:name="syntax-630"/>
    <w:p>
      <w:pPr>
        <w:pStyle w:val="Heading2"/>
      </w:pPr>
      <w:r>
        <w:t xml:space="preserve">Syntax</w:t>
      </w:r>
    </w:p>
    <w:p>
      <w:pPr>
        <w:pStyle w:val="SourceCode"/>
      </w:pPr>
      <w:r>
        <w:rPr>
          <w:rStyle w:val="NormalTok"/>
        </w:rPr>
        <w:t xml:space="preserve">name = conn.Provider</w:t>
      </w:r>
      <w:r>
        <w:br/>
      </w:r>
      <w:r>
        <w:rPr>
          <w:rStyle w:val="NormalTok"/>
        </w:rPr>
        <w:t xml:space="preserve">conn.Provider = "MSDASQL"</w:t>
      </w:r>
    </w:p>
    <w:bookmarkEnd w:id="5539"/>
    <w:bookmarkStart w:id="5540" w:name="return-value-313"/>
    <w:p>
      <w:pPr>
        <w:pStyle w:val="Heading2"/>
      </w:pPr>
      <w:r>
        <w:t xml:space="preserve">Return Value</w:t>
      </w:r>
    </w:p>
    <w:p>
      <w:pPr>
        <w:pStyle w:val="FirstParagraph"/>
      </w:pPr>
      <w:r>
        <w:t xml:space="preserve">String. Returns the provider identifier.</w:t>
      </w:r>
    </w:p>
    <w:bookmarkEnd w:id="5540"/>
    <w:bookmarkStart w:id="5541" w:name="remarks-603"/>
    <w:p>
      <w:pPr>
        <w:pStyle w:val="Heading2"/>
      </w:pPr>
      <w:r>
        <w:t xml:space="preserve">Remarks</w:t>
      </w:r>
    </w:p>
    <w:p>
      <w:pPr>
        <w:pStyle w:val="Compact"/>
        <w:numPr>
          <w:ilvl w:val="0"/>
          <w:numId w:val="2344"/>
        </w:numPr>
      </w:pPr>
      <w:r>
        <w:t xml:space="preserve">Property names are case-insensitive.</w:t>
      </w:r>
    </w:p>
    <w:p>
      <w:pPr>
        <w:pStyle w:val="Compact"/>
        <w:numPr>
          <w:ilvl w:val="0"/>
          <w:numId w:val="2344"/>
        </w:numPr>
      </w:pPr>
      <w:r>
        <w:t xml:space="preserve">Provider can be set directly or inferred from ConnectionString.</w:t>
      </w:r>
    </w:p>
    <w:p>
      <w:pPr>
        <w:pStyle w:val="Compact"/>
        <w:numPr>
          <w:ilvl w:val="0"/>
          <w:numId w:val="2344"/>
        </w:numPr>
      </w:pPr>
      <w:r>
        <w:t xml:space="preserve">When both are set, provider resolution depends on the active driver/provider rules.</w:t>
      </w:r>
    </w:p>
    <w:p>
      <w:pPr>
        <w:pStyle w:val="Compact"/>
        <w:numPr>
          <w:ilvl w:val="0"/>
          <w:numId w:val="2344"/>
        </w:numPr>
      </w:pPr>
      <w:r>
        <w:t xml:space="preserve">Use a provider supported by your host environment.</w:t>
      </w:r>
    </w:p>
    <w:bookmarkEnd w:id="5541"/>
    <w:bookmarkStart w:id="5542" w:name="code-example-43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conn.Provider = </w:t>
      </w:r>
      <w:r>
        <w:rPr>
          <w:rStyle w:val="StringTok"/>
        </w:rPr>
        <w:t xml:space="preserve">"MSDASQL"</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"Provider: "</w:t>
      </w:r>
      <w:r>
        <w:rPr>
          <w:rStyle w:val="NormalTok"/>
        </w:rPr>
        <w:t xml:space="preserve"> </w:t>
      </w:r>
      <w:r>
        <w:rPr>
          <w:rStyle w:val="KeywordTok"/>
        </w:rPr>
        <w:t xml:space="preserve">&amp;</w:t>
      </w:r>
      <w:r>
        <w:rPr>
          <w:rStyle w:val="NormalTok"/>
        </w:rPr>
        <w:t xml:space="preserve"> conn.Provider</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42"/>
    <w:bookmarkEnd w:id="5543"/>
    <w:bookmarkStart w:id="5548" w:name="connection.version-property"/>
    <w:p>
      <w:pPr>
        <w:pStyle w:val="Heading1"/>
      </w:pPr>
      <w:r>
        <w:t xml:space="preserve">Connection.Version Property</w:t>
      </w:r>
    </w:p>
    <w:p>
      <w:pPr>
        <w:pStyle w:val="FirstParagraph"/>
      </w:pPr>
      <w:r>
        <w:t xml:space="preserve">Returns the ADODB compatibility version string exposed by the runtime.</w:t>
      </w:r>
    </w:p>
    <w:bookmarkStart w:id="5544" w:name="syntax-631"/>
    <w:p>
      <w:pPr>
        <w:pStyle w:val="Heading2"/>
      </w:pPr>
      <w:r>
        <w:t xml:space="preserve">Syntax</w:t>
      </w:r>
    </w:p>
    <w:p>
      <w:pPr>
        <w:pStyle w:val="SourceCode"/>
      </w:pPr>
      <w:r>
        <w:rPr>
          <w:rStyle w:val="NormalTok"/>
        </w:rPr>
        <w:t xml:space="preserve">text = conn.Version</w:t>
      </w:r>
    </w:p>
    <w:bookmarkEnd w:id="5544"/>
    <w:bookmarkStart w:id="5545" w:name="return-value-314"/>
    <w:p>
      <w:pPr>
        <w:pStyle w:val="Heading2"/>
      </w:pPr>
      <w:r>
        <w:t xml:space="preserve">Return Value</w:t>
      </w:r>
    </w:p>
    <w:p>
      <w:pPr>
        <w:pStyle w:val="FirstParagraph"/>
      </w:pPr>
      <w:r>
        <w:t xml:space="preserve">String. Returns the version identifier for the ADODB compatibility surface.</w:t>
      </w:r>
    </w:p>
    <w:bookmarkEnd w:id="5545"/>
    <w:bookmarkStart w:id="5546" w:name="remarks-604"/>
    <w:p>
      <w:pPr>
        <w:pStyle w:val="Heading2"/>
      </w:pPr>
      <w:r>
        <w:t xml:space="preserve">Remarks</w:t>
      </w:r>
    </w:p>
    <w:p>
      <w:pPr>
        <w:pStyle w:val="Compact"/>
        <w:numPr>
          <w:ilvl w:val="0"/>
          <w:numId w:val="2345"/>
        </w:numPr>
      </w:pPr>
      <w:r>
        <w:t xml:space="preserve">Property names are case-insensitive.</w:t>
      </w:r>
    </w:p>
    <w:p>
      <w:pPr>
        <w:pStyle w:val="Compact"/>
        <w:numPr>
          <w:ilvl w:val="0"/>
          <w:numId w:val="2345"/>
        </w:numPr>
      </w:pPr>
      <w:r>
        <w:t xml:space="preserve">This property is read-only.</w:t>
      </w:r>
    </w:p>
    <w:p>
      <w:pPr>
        <w:pStyle w:val="Compact"/>
        <w:numPr>
          <w:ilvl w:val="0"/>
          <w:numId w:val="2345"/>
        </w:numPr>
      </w:pPr>
      <w:r>
        <w:t xml:space="preserve">Use this value for diagnostics and compatibility reporting.</w:t>
      </w:r>
    </w:p>
    <w:p>
      <w:pPr>
        <w:pStyle w:val="Compact"/>
        <w:numPr>
          <w:ilvl w:val="0"/>
          <w:numId w:val="2345"/>
        </w:numPr>
      </w:pPr>
      <w:r>
        <w:t xml:space="preserve">The value does not represent the underlying database engine version.</w:t>
      </w:r>
    </w:p>
    <w:bookmarkEnd w:id="5546"/>
    <w:bookmarkStart w:id="5547" w:name="code-example-43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"ADODB compatibility version: "</w:t>
      </w:r>
      <w:r>
        <w:rPr>
          <w:rStyle w:val="NormalTok"/>
        </w:rPr>
        <w:t xml:space="preserve"> </w:t>
      </w:r>
      <w:r>
        <w:rPr>
          <w:rStyle w:val="KeywordTok"/>
        </w:rPr>
        <w:t xml:space="preserve">&amp;</w:t>
      </w:r>
      <w:r>
        <w:rPr>
          <w:rStyle w:val="NormalTok"/>
        </w:rPr>
        <w:t xml:space="preserve"> conn.Version</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47"/>
    <w:bookmarkEnd w:id="5548"/>
    <w:bookmarkStart w:id="5553" w:name="connection.commandtimeout-property"/>
    <w:p>
      <w:pPr>
        <w:pStyle w:val="Heading1"/>
      </w:pPr>
      <w:r>
        <w:t xml:space="preserve">Connection.CommandTimeout Property</w:t>
      </w:r>
    </w:p>
    <w:p>
      <w:pPr>
        <w:pStyle w:val="FirstParagraph"/>
      </w:pPr>
      <w:r>
        <w:t xml:space="preserve">Gets or sets the default timeout for commands executed through the connection.</w:t>
      </w:r>
    </w:p>
    <w:bookmarkStart w:id="5549" w:name="syntax-632"/>
    <w:p>
      <w:pPr>
        <w:pStyle w:val="Heading2"/>
      </w:pPr>
      <w:r>
        <w:t xml:space="preserve">Syntax</w:t>
      </w:r>
    </w:p>
    <w:p>
      <w:pPr>
        <w:pStyle w:val="SourceCode"/>
      </w:pPr>
      <w:r>
        <w:rPr>
          <w:rStyle w:val="NormalTok"/>
        </w:rPr>
        <w:t xml:space="preserve">seconds = conn.CommandTimeout</w:t>
      </w:r>
      <w:r>
        <w:br/>
      </w:r>
      <w:r>
        <w:rPr>
          <w:rStyle w:val="NormalTok"/>
        </w:rPr>
        <w:t xml:space="preserve">conn.CommandTimeout = 30</w:t>
      </w:r>
    </w:p>
    <w:bookmarkEnd w:id="5549"/>
    <w:bookmarkStart w:id="5550" w:name="return-value-315"/>
    <w:p>
      <w:pPr>
        <w:pStyle w:val="Heading2"/>
      </w:pPr>
      <w:r>
        <w:t xml:space="preserve">Return Value</w:t>
      </w:r>
    </w:p>
    <w:p>
      <w:pPr>
        <w:pStyle w:val="FirstParagraph"/>
      </w:pPr>
      <w:r>
        <w:t xml:space="preserve">Integer. Returns the command timeout in seconds.</w:t>
      </w:r>
    </w:p>
    <w:bookmarkEnd w:id="5550"/>
    <w:bookmarkStart w:id="5551" w:name="remarks-605"/>
    <w:p>
      <w:pPr>
        <w:pStyle w:val="Heading2"/>
      </w:pPr>
      <w:r>
        <w:t xml:space="preserve">Remarks</w:t>
      </w:r>
    </w:p>
    <w:p>
      <w:pPr>
        <w:pStyle w:val="Compact"/>
        <w:numPr>
          <w:ilvl w:val="0"/>
          <w:numId w:val="2346"/>
        </w:numPr>
      </w:pPr>
      <w:r>
        <w:t xml:space="preserve">Property names are case-insensitive.</w:t>
      </w:r>
    </w:p>
    <w:p>
      <w:pPr>
        <w:pStyle w:val="Compact"/>
        <w:numPr>
          <w:ilvl w:val="0"/>
          <w:numId w:val="2346"/>
        </w:numPr>
      </w:pPr>
      <w:r>
        <w:t xml:space="preserve">Applies to commands executed via</w:t>
      </w:r>
      <w:r>
        <w:t xml:space="preserve"> </w:t>
      </w:r>
      <w:r>
        <w:rPr>
          <w:rStyle w:val="VerbatimChar"/>
        </w:rPr>
        <w:t xml:space="preserve">Connection.Execute</w:t>
      </w:r>
      <w:r>
        <w:t xml:space="preserve">.</w:t>
      </w:r>
    </w:p>
    <w:p>
      <w:pPr>
        <w:pStyle w:val="Compact"/>
        <w:numPr>
          <w:ilvl w:val="0"/>
          <w:numId w:val="2346"/>
        </w:numPr>
      </w:pPr>
      <w:r>
        <w:t xml:space="preserve">Set this property before running long or uncertain queries.</w:t>
      </w:r>
    </w:p>
    <w:p>
      <w:pPr>
        <w:pStyle w:val="Compact"/>
        <w:numPr>
          <w:ilvl w:val="0"/>
          <w:numId w:val="2346"/>
        </w:numPr>
      </w:pPr>
      <w:r>
        <w:t xml:space="preserve">Individual</w:t>
      </w:r>
      <w:r>
        <w:t xml:space="preserve"> </w:t>
      </w:r>
      <w:r>
        <w:rPr>
          <w:rStyle w:val="VerbatimChar"/>
        </w:rPr>
        <w:t xml:space="preserve">Command.CommandTimeout</w:t>
      </w:r>
      <w:r>
        <w:t xml:space="preserve"> </w:t>
      </w:r>
      <w:r>
        <w:t xml:space="preserve">values can override this default.</w:t>
      </w:r>
    </w:p>
    <w:bookmarkEnd w:id="5551"/>
    <w:bookmarkStart w:id="5552" w:name="code-example-43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NormalTok"/>
        </w:rPr>
        <w:t xml:space="preserve">conn.CommandTimeout = </w:t>
      </w:r>
      <w:r>
        <w:rPr>
          <w:rStyle w:val="DecValTok"/>
        </w:rPr>
        <w:t xml:space="preserve">20</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"Command timeout: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conn.CommandTimeout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seconds"</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52"/>
    <w:bookmarkEnd w:id="5553"/>
    <w:bookmarkStart w:id="5558" w:name="connection.connectiontimeout-property"/>
    <w:p>
      <w:pPr>
        <w:pStyle w:val="Heading1"/>
      </w:pPr>
      <w:r>
        <w:t xml:space="preserve">Connection.ConnectionTimeout Property</w:t>
      </w:r>
    </w:p>
    <w:p>
      <w:pPr>
        <w:pStyle w:val="FirstParagraph"/>
      </w:pPr>
      <w:r>
        <w:t xml:space="preserve">Gets or sets the timeout for establishing the connection, in seconds.</w:t>
      </w:r>
    </w:p>
    <w:bookmarkStart w:id="5554" w:name="syntax-633"/>
    <w:p>
      <w:pPr>
        <w:pStyle w:val="Heading2"/>
      </w:pPr>
      <w:r>
        <w:t xml:space="preserve">Syntax</w:t>
      </w:r>
    </w:p>
    <w:p>
      <w:pPr>
        <w:pStyle w:val="SourceCode"/>
      </w:pPr>
      <w:r>
        <w:rPr>
          <w:rStyle w:val="NormalTok"/>
        </w:rPr>
        <w:t xml:space="preserve">seconds = conn.ConnectionTimeout</w:t>
      </w:r>
      <w:r>
        <w:br/>
      </w:r>
      <w:r>
        <w:rPr>
          <w:rStyle w:val="NormalTok"/>
        </w:rPr>
        <w:t xml:space="preserve">conn.ConnectionTimeout = 15</w:t>
      </w:r>
    </w:p>
    <w:bookmarkEnd w:id="5554"/>
    <w:bookmarkStart w:id="5555" w:name="return-value-316"/>
    <w:p>
      <w:pPr>
        <w:pStyle w:val="Heading2"/>
      </w:pPr>
      <w:r>
        <w:t xml:space="preserve">Return Value</w:t>
      </w:r>
    </w:p>
    <w:p>
      <w:pPr>
        <w:pStyle w:val="FirstParagraph"/>
      </w:pPr>
      <w:r>
        <w:t xml:space="preserve">Integer. Returns the configured connection timeout in seconds.</w:t>
      </w:r>
    </w:p>
    <w:bookmarkEnd w:id="5555"/>
    <w:bookmarkStart w:id="5556" w:name="remarks-606"/>
    <w:p>
      <w:pPr>
        <w:pStyle w:val="Heading2"/>
      </w:pPr>
      <w:r>
        <w:t xml:space="preserve">Remarks</w:t>
      </w:r>
    </w:p>
    <w:p>
      <w:pPr>
        <w:pStyle w:val="Compact"/>
        <w:numPr>
          <w:ilvl w:val="0"/>
          <w:numId w:val="2347"/>
        </w:numPr>
      </w:pPr>
      <w:r>
        <w:t xml:space="preserve">Property names are case-insensitive.</w:t>
      </w:r>
    </w:p>
    <w:p>
      <w:pPr>
        <w:pStyle w:val="Compact"/>
        <w:numPr>
          <w:ilvl w:val="0"/>
          <w:numId w:val="2347"/>
        </w:numPr>
      </w:pPr>
      <w:r>
        <w:t xml:space="preserve">Set this property before calling</w:t>
      </w:r>
      <w:r>
        <w:t xml:space="preserve"> </w:t>
      </w:r>
      <w:r>
        <w:rPr>
          <w:rStyle w:val="VerbatimChar"/>
        </w:rPr>
        <w:t xml:space="preserve">Connection.Open</w:t>
      </w:r>
      <w:r>
        <w:t xml:space="preserve">.</w:t>
      </w:r>
    </w:p>
    <w:p>
      <w:pPr>
        <w:pStyle w:val="Compact"/>
        <w:numPr>
          <w:ilvl w:val="0"/>
          <w:numId w:val="2347"/>
        </w:numPr>
      </w:pPr>
      <w:r>
        <w:t xml:space="preserve">Lower values fail faster on unavailable endpoints.</w:t>
      </w:r>
    </w:p>
    <w:p>
      <w:pPr>
        <w:pStyle w:val="Compact"/>
        <w:numPr>
          <w:ilvl w:val="0"/>
          <w:numId w:val="2347"/>
        </w:numPr>
      </w:pPr>
      <w:r>
        <w:t xml:space="preserve">Very low values can cause failures on slow networks or startup-heavy providers.</w:t>
      </w:r>
    </w:p>
    <w:bookmarkEnd w:id="5556"/>
    <w:bookmarkStart w:id="5557" w:name="code-example-43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conn.ConnectionTimeout = </w:t>
      </w:r>
      <w:r>
        <w:rPr>
          <w:rStyle w:val="DecValTok"/>
        </w:rPr>
        <w:t xml:space="preserve">10</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"Connection timeout: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conn.ConnectionTimeout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seconds"</w:t>
      </w:r>
      <w:r>
        <w:br/>
      </w:r>
      <w:r>
        <w:br/>
      </w:r>
      <w:r>
        <w:rPr>
          <w:rStyle w:val="NormalTok"/>
        </w:rPr>
        <w:t xml:space="preserve">conn.</w:t>
      </w:r>
      <w:r>
        <w:rPr>
          <w:rStyle w:val="KeywordTok"/>
        </w:rPr>
        <w:t xml:space="preserve">Open</w:t>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57"/>
    <w:bookmarkEnd w:id="5558"/>
    <w:bookmarkStart w:id="5563" w:name="connection.cursorlocation-property"/>
    <w:p>
      <w:pPr>
        <w:pStyle w:val="Heading1"/>
      </w:pPr>
      <w:r>
        <w:t xml:space="preserve">Connection.CursorLocation Property</w:t>
      </w:r>
    </w:p>
    <w:p>
      <w:pPr>
        <w:pStyle w:val="FirstParagraph"/>
      </w:pPr>
      <w:r>
        <w:t xml:space="preserve">Gets or sets the cursor location mode used by the connection.</w:t>
      </w:r>
    </w:p>
    <w:bookmarkStart w:id="5559" w:name="syntax-634"/>
    <w:p>
      <w:pPr>
        <w:pStyle w:val="Heading2"/>
      </w:pPr>
      <w:r>
        <w:t xml:space="preserve">Syntax</w:t>
      </w:r>
    </w:p>
    <w:p>
      <w:pPr>
        <w:pStyle w:val="SourceCode"/>
      </w:pPr>
      <w:r>
        <w:rPr>
          <w:rStyle w:val="NormalTok"/>
        </w:rPr>
        <w:t xml:space="preserve">mode = conn.CursorLocation</w:t>
      </w:r>
      <w:r>
        <w:br/>
      </w:r>
      <w:r>
        <w:rPr>
          <w:rStyle w:val="NormalTok"/>
        </w:rPr>
        <w:t xml:space="preserve">conn.CursorLocation = 3</w:t>
      </w:r>
    </w:p>
    <w:bookmarkEnd w:id="5559"/>
    <w:bookmarkStart w:id="5560" w:name="return-value-317"/>
    <w:p>
      <w:pPr>
        <w:pStyle w:val="Heading2"/>
      </w:pPr>
      <w:r>
        <w:t xml:space="preserve">Return Value</w:t>
      </w:r>
    </w:p>
    <w:p>
      <w:pPr>
        <w:pStyle w:val="FirstParagraph"/>
      </w:pPr>
      <w:r>
        <w:t xml:space="preserve">Integer. Returns the configured cursor location flag.</w:t>
      </w:r>
    </w:p>
    <w:bookmarkEnd w:id="5560"/>
    <w:bookmarkStart w:id="5561" w:name="remarks-607"/>
    <w:p>
      <w:pPr>
        <w:pStyle w:val="Heading2"/>
      </w:pPr>
      <w:r>
        <w:t xml:space="preserve">Remarks</w:t>
      </w:r>
    </w:p>
    <w:p>
      <w:pPr>
        <w:pStyle w:val="Compact"/>
        <w:numPr>
          <w:ilvl w:val="0"/>
          <w:numId w:val="2348"/>
        </w:numPr>
      </w:pPr>
      <w:r>
        <w:t xml:space="preserve">Property names are case-insensitive.</w:t>
      </w:r>
    </w:p>
    <w:p>
      <w:pPr>
        <w:pStyle w:val="Compact"/>
        <w:numPr>
          <w:ilvl w:val="0"/>
          <w:numId w:val="2348"/>
        </w:numPr>
      </w:pPr>
      <w:r>
        <w:t xml:space="preserve">Common values are</w:t>
      </w:r>
      <w:r>
        <w:t xml:space="preserve"> </w:t>
      </w:r>
      <w:r>
        <w:rPr>
          <w:rStyle w:val="VerbatimChar"/>
        </w:rPr>
        <w:t xml:space="preserve">1</w:t>
      </w:r>
      <w:r>
        <w:t xml:space="preserve"> </w:t>
      </w:r>
      <w:r>
        <w:t xml:space="preserve">(server cursor) and</w:t>
      </w:r>
      <w:r>
        <w:t xml:space="preserve"> </w:t>
      </w:r>
      <w:r>
        <w:rPr>
          <w:rStyle w:val="VerbatimChar"/>
        </w:rPr>
        <w:t xml:space="preserve">3</w:t>
      </w:r>
      <w:r>
        <w:t xml:space="preserve"> </w:t>
      </w:r>
      <w:r>
        <w:t xml:space="preserve">(client cursor).</w:t>
      </w:r>
    </w:p>
    <w:p>
      <w:pPr>
        <w:pStyle w:val="Compact"/>
        <w:numPr>
          <w:ilvl w:val="0"/>
          <w:numId w:val="2348"/>
        </w:numPr>
      </w:pPr>
      <w:r>
        <w:t xml:space="preserve">Set this property before opening recordsets that inherit connection defaults.</w:t>
      </w:r>
    </w:p>
    <w:p>
      <w:pPr>
        <w:pStyle w:val="Compact"/>
        <w:numPr>
          <w:ilvl w:val="0"/>
          <w:numId w:val="2348"/>
        </w:numPr>
      </w:pPr>
      <w:r>
        <w:t xml:space="preserve">Individual recordsets can override cursor location.</w:t>
      </w:r>
    </w:p>
    <w:bookmarkEnd w:id="5561"/>
    <w:bookmarkStart w:id="5562" w:name="code-example-43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conn.CursorLocation = </w:t>
      </w:r>
      <w:r>
        <w:rPr>
          <w:rStyle w:val="DecValTok"/>
        </w:rPr>
        <w:t xml:space="preserve">3</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"CursorLocation: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conn.CursorLocation</w:t>
      </w:r>
      <w:r>
        <w:rPr>
          <w:rStyle w:val="OtherTok"/>
        </w:rPr>
        <w:t xml:space="preserve">)</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62"/>
    <w:bookmarkEnd w:id="5563"/>
    <w:bookmarkStart w:id="5568" w:name="connection.defaultdatabase-property"/>
    <w:p>
      <w:pPr>
        <w:pStyle w:val="Heading1"/>
      </w:pPr>
      <w:r>
        <w:t xml:space="preserve">Connection.DefaultDatabase Property</w:t>
      </w:r>
    </w:p>
    <w:p>
      <w:pPr>
        <w:pStyle w:val="FirstParagraph"/>
      </w:pPr>
      <w:r>
        <w:t xml:space="preserve">Gets or sets the default database or catalog used by the connection.</w:t>
      </w:r>
    </w:p>
    <w:bookmarkStart w:id="5564" w:name="syntax-635"/>
    <w:p>
      <w:pPr>
        <w:pStyle w:val="Heading2"/>
      </w:pPr>
      <w:r>
        <w:t xml:space="preserve">Syntax</w:t>
      </w:r>
    </w:p>
    <w:p>
      <w:pPr>
        <w:pStyle w:val="SourceCode"/>
      </w:pPr>
      <w:r>
        <w:rPr>
          <w:rStyle w:val="NormalTok"/>
        </w:rPr>
        <w:t xml:space="preserve">name = conn.DefaultDatabase</w:t>
      </w:r>
      <w:r>
        <w:br/>
      </w:r>
      <w:r>
        <w:rPr>
          <w:rStyle w:val="NormalTok"/>
        </w:rPr>
        <w:t xml:space="preserve">conn.DefaultDatabase = "main"</w:t>
      </w:r>
    </w:p>
    <w:bookmarkEnd w:id="5564"/>
    <w:bookmarkStart w:id="5565" w:name="return-value-318"/>
    <w:p>
      <w:pPr>
        <w:pStyle w:val="Heading2"/>
      </w:pPr>
      <w:r>
        <w:t xml:space="preserve">Return Value</w:t>
      </w:r>
    </w:p>
    <w:p>
      <w:pPr>
        <w:pStyle w:val="FirstParagraph"/>
      </w:pPr>
      <w:r>
        <w:t xml:space="preserve">String. Returns the default database name.</w:t>
      </w:r>
    </w:p>
    <w:bookmarkEnd w:id="5565"/>
    <w:bookmarkStart w:id="5566" w:name="remarks-608"/>
    <w:p>
      <w:pPr>
        <w:pStyle w:val="Heading2"/>
      </w:pPr>
      <w:r>
        <w:t xml:space="preserve">Remarks</w:t>
      </w:r>
    </w:p>
    <w:p>
      <w:pPr>
        <w:pStyle w:val="Compact"/>
        <w:numPr>
          <w:ilvl w:val="0"/>
          <w:numId w:val="2349"/>
        </w:numPr>
      </w:pPr>
      <w:r>
        <w:t xml:space="preserve">Property names are case-insensitive.</w:t>
      </w:r>
    </w:p>
    <w:p>
      <w:pPr>
        <w:pStyle w:val="Compact"/>
        <w:numPr>
          <w:ilvl w:val="0"/>
          <w:numId w:val="2349"/>
        </w:numPr>
      </w:pPr>
      <w:r>
        <w:t xml:space="preserve">Use this property to control unqualified table resolution.</w:t>
      </w:r>
    </w:p>
    <w:p>
      <w:pPr>
        <w:pStyle w:val="Compact"/>
        <w:numPr>
          <w:ilvl w:val="0"/>
          <w:numId w:val="2349"/>
        </w:numPr>
      </w:pPr>
      <w:r>
        <w:t xml:space="preserve">Effective behavior depends on the underlying provider.</w:t>
      </w:r>
    </w:p>
    <w:p>
      <w:pPr>
        <w:pStyle w:val="Compact"/>
        <w:numPr>
          <w:ilvl w:val="0"/>
          <w:numId w:val="2349"/>
        </w:numPr>
      </w:pPr>
      <w:r>
        <w:t xml:space="preserve">Set before running queries that rely on default catalog context.</w:t>
      </w:r>
    </w:p>
    <w:bookmarkEnd w:id="5566"/>
    <w:bookmarkStart w:id="5567" w:name="code-example-43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conn.DefaultDatabase = </w:t>
      </w:r>
      <w:r>
        <w:rPr>
          <w:rStyle w:val="StringTok"/>
        </w:rPr>
        <w:t xml:space="preserve">"main"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"DefaultDatabase: "</w:t>
      </w:r>
      <w:r>
        <w:rPr>
          <w:rStyle w:val="NormalTok"/>
        </w:rPr>
        <w:t xml:space="preserve"> </w:t>
      </w:r>
      <w:r>
        <w:rPr>
          <w:rStyle w:val="KeywordTok"/>
        </w:rPr>
        <w:t xml:space="preserve">&amp;</w:t>
      </w:r>
      <w:r>
        <w:rPr>
          <w:rStyle w:val="NormalTok"/>
        </w:rPr>
        <w:t xml:space="preserve"> conn.DefaultDatabase</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67"/>
    <w:bookmarkEnd w:id="5568"/>
    <w:bookmarkStart w:id="5573" w:name="connection.isolationlevel-property"/>
    <w:p>
      <w:pPr>
        <w:pStyle w:val="Heading1"/>
      </w:pPr>
      <w:r>
        <w:t xml:space="preserve">Connection.IsolationLevel Property</w:t>
      </w:r>
    </w:p>
    <w:p>
      <w:pPr>
        <w:pStyle w:val="FirstParagraph"/>
      </w:pPr>
      <w:r>
        <w:t xml:space="preserve">Gets or sets the transaction isolation level used for new transactions.</w:t>
      </w:r>
    </w:p>
    <w:bookmarkStart w:id="5569" w:name="syntax-636"/>
    <w:p>
      <w:pPr>
        <w:pStyle w:val="Heading2"/>
      </w:pPr>
      <w:r>
        <w:t xml:space="preserve">Syntax</w:t>
      </w:r>
    </w:p>
    <w:p>
      <w:pPr>
        <w:pStyle w:val="SourceCode"/>
      </w:pPr>
      <w:r>
        <w:rPr>
          <w:rStyle w:val="NormalTok"/>
        </w:rPr>
        <w:t xml:space="preserve">level = conn.IsolationLevel</w:t>
      </w:r>
      <w:r>
        <w:br/>
      </w:r>
      <w:r>
        <w:rPr>
          <w:rStyle w:val="NormalTok"/>
        </w:rPr>
        <w:t xml:space="preserve">conn.IsolationLevel = 4096</w:t>
      </w:r>
    </w:p>
    <w:bookmarkEnd w:id="5569"/>
    <w:bookmarkStart w:id="5570" w:name="return-value-319"/>
    <w:p>
      <w:pPr>
        <w:pStyle w:val="Heading2"/>
      </w:pPr>
      <w:r>
        <w:t xml:space="preserve">Return Value</w:t>
      </w:r>
    </w:p>
    <w:p>
      <w:pPr>
        <w:pStyle w:val="FirstParagraph"/>
      </w:pPr>
      <w:r>
        <w:t xml:space="preserve">Integer. Returns the configured isolation level flag.</w:t>
      </w:r>
    </w:p>
    <w:bookmarkEnd w:id="5570"/>
    <w:bookmarkStart w:id="5571" w:name="remarks-609"/>
    <w:p>
      <w:pPr>
        <w:pStyle w:val="Heading2"/>
      </w:pPr>
      <w:r>
        <w:t xml:space="preserve">Remarks</w:t>
      </w:r>
    </w:p>
    <w:p>
      <w:pPr>
        <w:pStyle w:val="Compact"/>
        <w:numPr>
          <w:ilvl w:val="0"/>
          <w:numId w:val="2350"/>
        </w:numPr>
      </w:pPr>
      <w:r>
        <w:t xml:space="preserve">Property names are case-insensitive.</w:t>
      </w:r>
    </w:p>
    <w:p>
      <w:pPr>
        <w:pStyle w:val="Compact"/>
        <w:numPr>
          <w:ilvl w:val="0"/>
          <w:numId w:val="2350"/>
        </w:numPr>
      </w:pPr>
      <w:r>
        <w:t xml:space="preserve">Isolation level affects locking and visibility rules during transactions.</w:t>
      </w:r>
    </w:p>
    <w:p>
      <w:pPr>
        <w:pStyle w:val="Compact"/>
        <w:numPr>
          <w:ilvl w:val="0"/>
          <w:numId w:val="2350"/>
        </w:numPr>
      </w:pPr>
      <w:r>
        <w:t xml:space="preserve">Set before calling BeginTrans.</w:t>
      </w:r>
    </w:p>
    <w:p>
      <w:pPr>
        <w:pStyle w:val="Compact"/>
        <w:numPr>
          <w:ilvl w:val="0"/>
          <w:numId w:val="2350"/>
        </w:numPr>
      </w:pPr>
      <w:r>
        <w:t xml:space="preserve">Provider support for specific isolation flags can vary.</w:t>
      </w:r>
    </w:p>
    <w:bookmarkEnd w:id="5571"/>
    <w:bookmarkStart w:id="5572" w:name="code-example-43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conn.IsolationLevel = </w:t>
      </w:r>
      <w:r>
        <w:rPr>
          <w:rStyle w:val="DecValTok"/>
        </w:rPr>
        <w:t xml:space="preserve">4096</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"IsolationLevel: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conn.IsolationLevel</w:t>
      </w:r>
      <w:r>
        <w:rPr>
          <w:rStyle w:val="OtherTok"/>
        </w:rPr>
        <w:t xml:space="preserve">)</w:t>
      </w:r>
      <w:r>
        <w:br/>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72"/>
    <w:bookmarkEnd w:id="5573"/>
    <w:bookmarkStart w:id="5578" w:name="connection.errors-property"/>
    <w:p>
      <w:pPr>
        <w:pStyle w:val="Heading1"/>
      </w:pPr>
      <w:r>
        <w:t xml:space="preserve">Connection.Errors Property</w:t>
      </w:r>
    </w:p>
    <w:p>
      <w:pPr>
        <w:pStyle w:val="FirstParagraph"/>
      </w:pPr>
      <w:r>
        <w:t xml:space="preserve">Returns the Errors collection associated with the connection.</w:t>
      </w:r>
    </w:p>
    <w:bookmarkStart w:id="5574" w:name="syntax-637"/>
    <w:p>
      <w:pPr>
        <w:pStyle w:val="Heading2"/>
      </w:pPr>
      <w:r>
        <w:t xml:space="preserve">Syntax</w:t>
      </w:r>
    </w:p>
    <w:p>
      <w:pPr>
        <w:pStyle w:val="SourceCode"/>
      </w:pPr>
      <w:r>
        <w:rPr>
          <w:rStyle w:val="NormalTok"/>
        </w:rPr>
        <w:t xml:space="preserve">Set errs = conn.Errors</w:t>
      </w:r>
    </w:p>
    <w:bookmarkEnd w:id="5574"/>
    <w:bookmarkStart w:id="5575" w:name="return-value-320"/>
    <w:p>
      <w:pPr>
        <w:pStyle w:val="Heading2"/>
      </w:pPr>
      <w:r>
        <w:t xml:space="preserve">Return Value</w:t>
      </w:r>
    </w:p>
    <w:p>
      <w:pPr>
        <w:pStyle w:val="FirstParagraph"/>
      </w:pPr>
      <w:r>
        <w:t xml:space="preserve">Object. Returns an ADODB.Errors collection object.</w:t>
      </w:r>
    </w:p>
    <w:bookmarkEnd w:id="5575"/>
    <w:bookmarkStart w:id="5576" w:name="remarks-610"/>
    <w:p>
      <w:pPr>
        <w:pStyle w:val="Heading2"/>
      </w:pPr>
      <w:r>
        <w:t xml:space="preserve">Remarks</w:t>
      </w:r>
    </w:p>
    <w:p>
      <w:pPr>
        <w:pStyle w:val="Compact"/>
        <w:numPr>
          <w:ilvl w:val="0"/>
          <w:numId w:val="2351"/>
        </w:numPr>
      </w:pPr>
      <w:r>
        <w:t xml:space="preserve">Property names are case-insensitive.</w:t>
      </w:r>
    </w:p>
    <w:p>
      <w:pPr>
        <w:pStyle w:val="Compact"/>
        <w:numPr>
          <w:ilvl w:val="0"/>
          <w:numId w:val="2351"/>
        </w:numPr>
      </w:pPr>
      <w:r>
        <w:t xml:space="preserve">This property is read-only.</w:t>
      </w:r>
    </w:p>
    <w:p>
      <w:pPr>
        <w:pStyle w:val="Compact"/>
        <w:numPr>
          <w:ilvl w:val="0"/>
          <w:numId w:val="2351"/>
        </w:numPr>
      </w:pPr>
      <w:r>
        <w:t xml:space="preserve">Use</w:t>
      </w:r>
      <w:r>
        <w:t xml:space="preserve"> </w:t>
      </w:r>
      <w:r>
        <w:rPr>
          <w:rStyle w:val="VerbatimChar"/>
        </w:rPr>
        <w:t xml:space="preserve">Errors.Count</w:t>
      </w:r>
      <w:r>
        <w:t xml:space="preserve">,</w:t>
      </w:r>
      <w:r>
        <w:t xml:space="preserve"> </w:t>
      </w:r>
      <w:r>
        <w:rPr>
          <w:rStyle w:val="VerbatimChar"/>
        </w:rPr>
        <w:t xml:space="preserve">Errors.Item</w:t>
      </w:r>
      <w:r>
        <w:t xml:space="preserve">, and</w:t>
      </w:r>
      <w:r>
        <w:t xml:space="preserve"> </w:t>
      </w:r>
      <w:r>
        <w:rPr>
          <w:rStyle w:val="VerbatimChar"/>
        </w:rPr>
        <w:t xml:space="preserve">Errors.Clear</w:t>
      </w:r>
      <w:r>
        <w:t xml:space="preserve"> </w:t>
      </w:r>
      <w:r>
        <w:t xml:space="preserve">to inspect and manage error entries.</w:t>
      </w:r>
    </w:p>
    <w:p>
      <w:pPr>
        <w:pStyle w:val="Compact"/>
        <w:numPr>
          <w:ilvl w:val="0"/>
          <w:numId w:val="2351"/>
        </w:numPr>
      </w:pPr>
      <w:r>
        <w:t xml:space="preserve">The collection is updated after failed connection and command operations.</w:t>
      </w:r>
    </w:p>
    <w:bookmarkEnd w:id="5576"/>
    <w:bookmarkStart w:id="5577" w:name="code-example-43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errs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KeywordTok"/>
        </w:rPr>
        <w:t xml:space="preserve">Set</w:t>
      </w:r>
      <w:r>
        <w:rPr>
          <w:rStyle w:val="NormalTok"/>
        </w:rPr>
        <w:t xml:space="preserve"> errs = conn.Errors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"Errors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errs.Count</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errs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77"/>
    <w:bookmarkEnd w:id="5578"/>
    <w:bookmarkStart w:id="5583" w:name="recordset.recordcount-property"/>
    <w:p>
      <w:pPr>
        <w:pStyle w:val="Heading1"/>
      </w:pPr>
      <w:r>
        <w:t xml:space="preserve">Recordset.RecordCount Property</w:t>
      </w:r>
    </w:p>
    <w:p>
      <w:pPr>
        <w:pStyle w:val="FirstParagraph"/>
      </w:pPr>
      <w:r>
        <w:t xml:space="preserve">Returns the number of rows currently represented by the recordset.</w:t>
      </w:r>
    </w:p>
    <w:bookmarkStart w:id="5579" w:name="syntax-638"/>
    <w:p>
      <w:pPr>
        <w:pStyle w:val="Heading2"/>
      </w:pPr>
      <w:r>
        <w:t xml:space="preserve">Syntax</w:t>
      </w:r>
    </w:p>
    <w:p>
      <w:pPr>
        <w:pStyle w:val="SourceCode"/>
      </w:pPr>
      <w:r>
        <w:rPr>
          <w:rStyle w:val="NormalTok"/>
        </w:rPr>
        <w:t xml:space="preserve">count = rs.RecordCount</w:t>
      </w:r>
    </w:p>
    <w:bookmarkEnd w:id="5579"/>
    <w:bookmarkStart w:id="5580" w:name="return-value-321"/>
    <w:p>
      <w:pPr>
        <w:pStyle w:val="Heading2"/>
      </w:pPr>
      <w:r>
        <w:t xml:space="preserve">Return Value</w:t>
      </w:r>
    </w:p>
    <w:p>
      <w:pPr>
        <w:pStyle w:val="FirstParagraph"/>
      </w:pPr>
      <w:r>
        <w:t xml:space="preserve">Integer. Returns row count, or provider-specific fallback when exact count is unavailable.</w:t>
      </w:r>
    </w:p>
    <w:bookmarkEnd w:id="5580"/>
    <w:bookmarkStart w:id="5581" w:name="remarks-611"/>
    <w:p>
      <w:pPr>
        <w:pStyle w:val="Heading2"/>
      </w:pPr>
      <w:r>
        <w:t xml:space="preserve">Remarks</w:t>
      </w:r>
    </w:p>
    <w:p>
      <w:pPr>
        <w:pStyle w:val="Compact"/>
        <w:numPr>
          <w:ilvl w:val="0"/>
          <w:numId w:val="2352"/>
        </w:numPr>
      </w:pPr>
      <w:r>
        <w:t xml:space="preserve">Property names are case-insensitive.</w:t>
      </w:r>
    </w:p>
    <w:p>
      <w:pPr>
        <w:pStyle w:val="Compact"/>
        <w:numPr>
          <w:ilvl w:val="0"/>
          <w:numId w:val="2352"/>
        </w:numPr>
      </w:pPr>
      <w:r>
        <w:t xml:space="preserve">This property is read-only.</w:t>
      </w:r>
    </w:p>
    <w:p>
      <w:pPr>
        <w:pStyle w:val="Compact"/>
        <w:numPr>
          <w:ilvl w:val="0"/>
          <w:numId w:val="2352"/>
        </w:numPr>
      </w:pPr>
      <w:r>
        <w:t xml:space="preserve">Some cursor/provider combinations may require movement to finalize count.</w:t>
      </w:r>
    </w:p>
    <w:bookmarkEnd w:id="5581"/>
    <w:bookmarkStart w:id="5582" w:name="code-example-43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rs.RecordCount</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82"/>
    <w:bookmarkEnd w:id="5583"/>
    <w:bookmarkStart w:id="5588" w:name="recordset.fields-property"/>
    <w:p>
      <w:pPr>
        <w:pStyle w:val="Heading1"/>
      </w:pPr>
      <w:r>
        <w:t xml:space="preserve">Recordset.Fields Property</w:t>
      </w:r>
    </w:p>
    <w:p>
      <w:pPr>
        <w:pStyle w:val="FirstParagraph"/>
      </w:pPr>
      <w:r>
        <w:t xml:space="preserve">Returns the Fields collection for the current recordset schema.</w:t>
      </w:r>
    </w:p>
    <w:bookmarkStart w:id="5584" w:name="syntax-639"/>
    <w:p>
      <w:pPr>
        <w:pStyle w:val="Heading2"/>
      </w:pPr>
      <w:r>
        <w:t xml:space="preserve">Syntax</w:t>
      </w:r>
    </w:p>
    <w:p>
      <w:pPr>
        <w:pStyle w:val="SourceCode"/>
      </w:pPr>
      <w:r>
        <w:rPr>
          <w:rStyle w:val="NormalTok"/>
        </w:rPr>
        <w:t xml:space="preserve">Set fieldsCollection = rs.Fields</w:t>
      </w:r>
    </w:p>
    <w:bookmarkEnd w:id="5584"/>
    <w:bookmarkStart w:id="5585" w:name="return-value-322"/>
    <w:p>
      <w:pPr>
        <w:pStyle w:val="Heading2"/>
      </w:pPr>
      <w:r>
        <w:t xml:space="preserve">Return Value</w:t>
      </w:r>
    </w:p>
    <w:p>
      <w:pPr>
        <w:pStyle w:val="FirstParagraph"/>
      </w:pPr>
      <w:r>
        <w:t xml:space="preserve">Object. Returns an ADODB.Fields collection.</w:t>
      </w:r>
    </w:p>
    <w:bookmarkEnd w:id="5585"/>
    <w:bookmarkStart w:id="5586" w:name="remarks-612"/>
    <w:p>
      <w:pPr>
        <w:pStyle w:val="Heading2"/>
      </w:pPr>
      <w:r>
        <w:t xml:space="preserve">Remarks</w:t>
      </w:r>
    </w:p>
    <w:p>
      <w:pPr>
        <w:pStyle w:val="Compact"/>
        <w:numPr>
          <w:ilvl w:val="0"/>
          <w:numId w:val="2353"/>
        </w:numPr>
      </w:pPr>
      <w:r>
        <w:t xml:space="preserve">Property names are case-insensitive.</w:t>
      </w:r>
    </w:p>
    <w:p>
      <w:pPr>
        <w:pStyle w:val="Compact"/>
        <w:numPr>
          <w:ilvl w:val="0"/>
          <w:numId w:val="2353"/>
        </w:numPr>
      </w:pPr>
      <w:r>
        <w:t xml:space="preserve">This property is read-only.</w:t>
      </w:r>
    </w:p>
    <w:p>
      <w:pPr>
        <w:pStyle w:val="Compact"/>
        <w:numPr>
          <w:ilvl w:val="0"/>
          <w:numId w:val="2353"/>
        </w:numPr>
      </w:pPr>
      <w:r>
        <w:t xml:space="preserve">Use</w:t>
      </w:r>
      <w:r>
        <w:t xml:space="preserve"> </w:t>
      </w:r>
      <w:r>
        <w:rPr>
          <w:rStyle w:val="VerbatimChar"/>
        </w:rPr>
        <w:t xml:space="preserve">Fields.Count</w:t>
      </w:r>
      <w:r>
        <w:t xml:space="preserve"> </w:t>
      </w:r>
      <w:r>
        <w:t xml:space="preserve">and</w:t>
      </w:r>
      <w:r>
        <w:t xml:space="preserve"> </w:t>
      </w:r>
      <w:r>
        <w:rPr>
          <w:rStyle w:val="VerbatimChar"/>
        </w:rPr>
        <w:t xml:space="preserve">Fields.Item</w:t>
      </w:r>
      <w:r>
        <w:t xml:space="preserve"> </w:t>
      </w:r>
      <w:r>
        <w:t xml:space="preserve">to inspect columns.</w:t>
      </w:r>
    </w:p>
    <w:bookmarkEnd w:id="5586"/>
    <w:bookmarkStart w:id="5587" w:name="code-example-43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fieldsCollection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KeywordTok"/>
        </w:rPr>
        <w:t xml:space="preserve">Set</w:t>
      </w:r>
      <w:r>
        <w:rPr>
          <w:rStyle w:val="NormalTok"/>
        </w:rPr>
        <w:t xml:space="preserve"> fieldsCollection = rs.Fields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fieldsCollection.Count</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fieldsCollection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87"/>
    <w:bookmarkEnd w:id="5588"/>
    <w:bookmarkStart w:id="5593" w:name="recordset.absolutepage-property"/>
    <w:p>
      <w:pPr>
        <w:pStyle w:val="Heading1"/>
      </w:pPr>
      <w:r>
        <w:t xml:space="preserve">Recordset.AbsolutePage Property</w:t>
      </w:r>
    </w:p>
    <w:p>
      <w:pPr>
        <w:pStyle w:val="FirstParagraph"/>
      </w:pPr>
      <w:r>
        <w:t xml:space="preserve">Gets or sets the current page number in paged recordset navigation.</w:t>
      </w:r>
    </w:p>
    <w:bookmarkStart w:id="5589" w:name="syntax-640"/>
    <w:p>
      <w:pPr>
        <w:pStyle w:val="Heading2"/>
      </w:pPr>
      <w:r>
        <w:t xml:space="preserve">Syntax</w:t>
      </w:r>
    </w:p>
    <w:p>
      <w:pPr>
        <w:pStyle w:val="SourceCode"/>
      </w:pPr>
      <w:r>
        <w:rPr>
          <w:rStyle w:val="NormalTok"/>
        </w:rPr>
        <w:t xml:space="preserve">page = rs.AbsolutePage</w:t>
      </w:r>
      <w:r>
        <w:br/>
      </w:r>
      <w:r>
        <w:rPr>
          <w:rStyle w:val="NormalTok"/>
        </w:rPr>
        <w:t xml:space="preserve">rs.AbsolutePage = newPage</w:t>
      </w:r>
    </w:p>
    <w:bookmarkEnd w:id="5589"/>
    <w:bookmarkStart w:id="5590" w:name="return-value-323"/>
    <w:p>
      <w:pPr>
        <w:pStyle w:val="Heading2"/>
      </w:pPr>
      <w:r>
        <w:t xml:space="preserve">Return Value</w:t>
      </w:r>
    </w:p>
    <w:p>
      <w:pPr>
        <w:pStyle w:val="FirstParagraph"/>
      </w:pPr>
      <w:r>
        <w:t xml:space="preserve">Integer. Returns the current page index.</w:t>
      </w:r>
    </w:p>
    <w:bookmarkEnd w:id="5590"/>
    <w:bookmarkStart w:id="5591" w:name="remarks-613"/>
    <w:p>
      <w:pPr>
        <w:pStyle w:val="Heading2"/>
      </w:pPr>
      <w:r>
        <w:t xml:space="preserve">Remarks</w:t>
      </w:r>
    </w:p>
    <w:p>
      <w:pPr>
        <w:pStyle w:val="Compact"/>
        <w:numPr>
          <w:ilvl w:val="0"/>
          <w:numId w:val="2354"/>
        </w:numPr>
      </w:pPr>
      <w:r>
        <w:t xml:space="preserve">Property names are case-insensitive.</w:t>
      </w:r>
    </w:p>
    <w:p>
      <w:pPr>
        <w:pStyle w:val="Compact"/>
        <w:numPr>
          <w:ilvl w:val="0"/>
          <w:numId w:val="2354"/>
        </w:numPr>
      </w:pPr>
      <w:r>
        <w:t xml:space="preserve">Page behavior depends on</w:t>
      </w:r>
      <w:r>
        <w:t xml:space="preserve"> </w:t>
      </w:r>
      <w:r>
        <w:rPr>
          <w:rStyle w:val="VerbatimChar"/>
        </w:rPr>
        <w:t xml:space="preserve">PageSize</w:t>
      </w:r>
      <w:r>
        <w:t xml:space="preserve"> </w:t>
      </w:r>
      <w:r>
        <w:t xml:space="preserve">and provider support.</w:t>
      </w:r>
    </w:p>
    <w:p>
      <w:pPr>
        <w:pStyle w:val="Compact"/>
        <w:numPr>
          <w:ilvl w:val="0"/>
          <w:numId w:val="2354"/>
        </w:numPr>
      </w:pPr>
      <w:r>
        <w:t xml:space="preserve">Set</w:t>
      </w:r>
      <w:r>
        <w:t xml:space="preserve"> </w:t>
      </w:r>
      <w:r>
        <w:rPr>
          <w:rStyle w:val="VerbatimChar"/>
        </w:rPr>
        <w:t xml:space="preserve">PageSize</w:t>
      </w:r>
      <w:r>
        <w:t xml:space="preserve"> </w:t>
      </w:r>
      <w:r>
        <w:t xml:space="preserve">before relying on page-based navigation.</w:t>
      </w:r>
    </w:p>
    <w:bookmarkEnd w:id="5591"/>
    <w:bookmarkStart w:id="5592" w:name="code-example-44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rs.PageSize = </w:t>
      </w:r>
      <w:r>
        <w:rPr>
          <w:rStyle w:val="DecValTok"/>
        </w:rPr>
        <w:t xml:space="preserve">10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"Page: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rs.AbsolutePage</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92"/>
    <w:bookmarkEnd w:id="5593"/>
    <w:bookmarkStart w:id="5598" w:name="recordset.pagecount-property"/>
    <w:p>
      <w:pPr>
        <w:pStyle w:val="Heading1"/>
      </w:pPr>
      <w:r>
        <w:t xml:space="preserve">Recordset.PageCount Property</w:t>
      </w:r>
    </w:p>
    <w:p>
      <w:pPr>
        <w:pStyle w:val="FirstParagraph"/>
      </w:pPr>
      <w:r>
        <w:t xml:space="preserve">Returns the total number of pages based on row count and page size.</w:t>
      </w:r>
    </w:p>
    <w:bookmarkStart w:id="5594" w:name="syntax-641"/>
    <w:p>
      <w:pPr>
        <w:pStyle w:val="Heading2"/>
      </w:pPr>
      <w:r>
        <w:t xml:space="preserve">Syntax</w:t>
      </w:r>
    </w:p>
    <w:p>
      <w:pPr>
        <w:pStyle w:val="SourceCode"/>
      </w:pPr>
      <w:r>
        <w:rPr>
          <w:rStyle w:val="NormalTok"/>
        </w:rPr>
        <w:t xml:space="preserve">value = rs.PageCount</w:t>
      </w:r>
    </w:p>
    <w:bookmarkEnd w:id="5594"/>
    <w:bookmarkStart w:id="5595" w:name="return-value-324"/>
    <w:p>
      <w:pPr>
        <w:pStyle w:val="Heading2"/>
      </w:pPr>
      <w:r>
        <w:t xml:space="preserve">Return Value</w:t>
      </w:r>
    </w:p>
    <w:p>
      <w:pPr>
        <w:pStyle w:val="FirstParagraph"/>
      </w:pPr>
      <w:r>
        <w:t xml:space="preserve">Integer. Returns computed total pages.</w:t>
      </w:r>
    </w:p>
    <w:bookmarkEnd w:id="5595"/>
    <w:bookmarkStart w:id="5596" w:name="remarks-614"/>
    <w:p>
      <w:pPr>
        <w:pStyle w:val="Heading2"/>
      </w:pPr>
      <w:r>
        <w:t xml:space="preserve">Remarks</w:t>
      </w:r>
    </w:p>
    <w:p>
      <w:pPr>
        <w:pStyle w:val="Compact"/>
        <w:numPr>
          <w:ilvl w:val="0"/>
          <w:numId w:val="2355"/>
        </w:numPr>
      </w:pPr>
      <w:r>
        <w:t xml:space="preserve">Property names are case-insensitive.</w:t>
      </w:r>
    </w:p>
    <w:p>
      <w:pPr>
        <w:pStyle w:val="Compact"/>
        <w:numPr>
          <w:ilvl w:val="0"/>
          <w:numId w:val="2355"/>
        </w:numPr>
      </w:pPr>
      <w:r>
        <w:t xml:space="preserve">This property is read-only.</w:t>
      </w:r>
    </w:p>
    <w:p>
      <w:pPr>
        <w:pStyle w:val="Compact"/>
        <w:numPr>
          <w:ilvl w:val="0"/>
          <w:numId w:val="2355"/>
        </w:numPr>
      </w:pPr>
      <w:r>
        <w:t xml:space="preserve">Depends on</w:t>
      </w:r>
      <w:r>
        <w:t xml:space="preserve"> </w:t>
      </w:r>
      <w:r>
        <w:rPr>
          <w:rStyle w:val="VerbatimChar"/>
        </w:rPr>
        <w:t xml:space="preserve">PageSize</w:t>
      </w:r>
      <w:r>
        <w:t xml:space="preserve"> </w:t>
      </w:r>
      <w:r>
        <w:t xml:space="preserve">and row materialization state.</w:t>
      </w:r>
    </w:p>
    <w:bookmarkEnd w:id="5596"/>
    <w:bookmarkStart w:id="5597" w:name="code-example-44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rs.PageSize = </w:t>
      </w:r>
      <w:r>
        <w:rPr>
          <w:rStyle w:val="DecValTok"/>
        </w:rPr>
        <w:t xml:space="preserve">10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rs.PageCount</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597"/>
    <w:bookmarkEnd w:id="5598"/>
    <w:bookmarkStart w:id="5603" w:name="recordset.pagesize-property"/>
    <w:p>
      <w:pPr>
        <w:pStyle w:val="Heading1"/>
      </w:pPr>
      <w:r>
        <w:t xml:space="preserve">Recordset.PageSize Property</w:t>
      </w:r>
    </w:p>
    <w:p>
      <w:pPr>
        <w:pStyle w:val="FirstParagraph"/>
      </w:pPr>
      <w:r>
        <w:t xml:space="preserve">Gets or sets the number of rows per logical page.</w:t>
      </w:r>
    </w:p>
    <w:bookmarkStart w:id="5599" w:name="syntax-642"/>
    <w:p>
      <w:pPr>
        <w:pStyle w:val="Heading2"/>
      </w:pPr>
      <w:r>
        <w:t xml:space="preserve">Syntax</w:t>
      </w:r>
    </w:p>
    <w:p>
      <w:pPr>
        <w:pStyle w:val="SourceCode"/>
      </w:pPr>
      <w:r>
        <w:rPr>
          <w:rStyle w:val="NormalTok"/>
        </w:rPr>
        <w:t xml:space="preserve">value = rs.PageSize</w:t>
      </w:r>
      <w:r>
        <w:br/>
      </w:r>
      <w:r>
        <w:rPr>
          <w:rStyle w:val="NormalTok"/>
        </w:rPr>
        <w:t xml:space="preserve">rs.PageSize = newValue</w:t>
      </w:r>
    </w:p>
    <w:bookmarkEnd w:id="5599"/>
    <w:bookmarkStart w:id="5600" w:name="return-value-325"/>
    <w:p>
      <w:pPr>
        <w:pStyle w:val="Heading2"/>
      </w:pPr>
      <w:r>
        <w:t xml:space="preserve">Return Value</w:t>
      </w:r>
    </w:p>
    <w:p>
      <w:pPr>
        <w:pStyle w:val="FirstParagraph"/>
      </w:pPr>
      <w:r>
        <w:t xml:space="preserve">Integer. Returns configured page size.</w:t>
      </w:r>
    </w:p>
    <w:bookmarkEnd w:id="5600"/>
    <w:bookmarkStart w:id="5601" w:name="remarks-615"/>
    <w:p>
      <w:pPr>
        <w:pStyle w:val="Heading2"/>
      </w:pPr>
      <w:r>
        <w:t xml:space="preserve">Remarks</w:t>
      </w:r>
    </w:p>
    <w:p>
      <w:pPr>
        <w:pStyle w:val="Compact"/>
        <w:numPr>
          <w:ilvl w:val="0"/>
          <w:numId w:val="2356"/>
        </w:numPr>
      </w:pPr>
      <w:r>
        <w:t xml:space="preserve">Property names are case-insensitive.</w:t>
      </w:r>
    </w:p>
    <w:p>
      <w:pPr>
        <w:pStyle w:val="Compact"/>
        <w:numPr>
          <w:ilvl w:val="0"/>
          <w:numId w:val="2356"/>
        </w:numPr>
      </w:pPr>
      <w:r>
        <w:t xml:space="preserve">Set this value before page-based navigation.</w:t>
      </w:r>
    </w:p>
    <w:p>
      <w:pPr>
        <w:pStyle w:val="Compact"/>
        <w:numPr>
          <w:ilvl w:val="0"/>
          <w:numId w:val="2356"/>
        </w:numPr>
      </w:pPr>
      <w:r>
        <w:t xml:space="preserve">A value less than 1 is invalid for page calculations.</w:t>
      </w:r>
    </w:p>
    <w:bookmarkEnd w:id="5601"/>
    <w:bookmarkStart w:id="5602" w:name="code-example-44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rs.PageSize = </w:t>
      </w:r>
      <w:r>
        <w:rPr>
          <w:rStyle w:val="DecValTok"/>
        </w:rPr>
        <w:t xml:space="preserve">25</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rs.PageSize</w:t>
      </w:r>
      <w:r>
        <w:rPr>
          <w:rStyle w:val="OtherTok"/>
        </w:rPr>
        <w:t xml:space="preserve">)</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602"/>
    <w:bookmarkEnd w:id="5603"/>
    <w:bookmarkStart w:id="5608" w:name="recordset.absoluteposition-property"/>
    <w:p>
      <w:pPr>
        <w:pStyle w:val="Heading1"/>
      </w:pPr>
      <w:r>
        <w:t xml:space="preserve">Recordset.AbsolutePosition Property</w:t>
      </w:r>
    </w:p>
    <w:p>
      <w:pPr>
        <w:pStyle w:val="FirstParagraph"/>
      </w:pPr>
      <w:r>
        <w:t xml:space="preserve">Gets or sets the current row position in the recordset.</w:t>
      </w:r>
    </w:p>
    <w:bookmarkStart w:id="5604" w:name="syntax-643"/>
    <w:p>
      <w:pPr>
        <w:pStyle w:val="Heading2"/>
      </w:pPr>
      <w:r>
        <w:t xml:space="preserve">Syntax</w:t>
      </w:r>
    </w:p>
    <w:p>
      <w:pPr>
        <w:pStyle w:val="SourceCode"/>
      </w:pPr>
      <w:r>
        <w:rPr>
          <w:rStyle w:val="NormalTok"/>
        </w:rPr>
        <w:t xml:space="preserve">pos = rs.AbsolutePosition</w:t>
      </w:r>
      <w:r>
        <w:br/>
      </w:r>
      <w:r>
        <w:rPr>
          <w:rStyle w:val="NormalTok"/>
        </w:rPr>
        <w:t xml:space="preserve">rs.AbsolutePosition = newPos</w:t>
      </w:r>
    </w:p>
    <w:bookmarkEnd w:id="5604"/>
    <w:bookmarkStart w:id="5605" w:name="return-value-326"/>
    <w:p>
      <w:pPr>
        <w:pStyle w:val="Heading2"/>
      </w:pPr>
      <w:r>
        <w:t xml:space="preserve">Return Value</w:t>
      </w:r>
    </w:p>
    <w:p>
      <w:pPr>
        <w:pStyle w:val="FirstParagraph"/>
      </w:pPr>
      <w:r>
        <w:t xml:space="preserve">Integer. Returns the current one-based row position.</w:t>
      </w:r>
    </w:p>
    <w:bookmarkEnd w:id="5605"/>
    <w:bookmarkStart w:id="5606" w:name="remarks-616"/>
    <w:p>
      <w:pPr>
        <w:pStyle w:val="Heading2"/>
      </w:pPr>
      <w:r>
        <w:t xml:space="preserve">Remarks</w:t>
      </w:r>
    </w:p>
    <w:p>
      <w:pPr>
        <w:pStyle w:val="Compact"/>
        <w:numPr>
          <w:ilvl w:val="0"/>
          <w:numId w:val="2357"/>
        </w:numPr>
      </w:pPr>
      <w:r>
        <w:t xml:space="preserve">Property names are case-insensitive.</w:t>
      </w:r>
    </w:p>
    <w:p>
      <w:pPr>
        <w:pStyle w:val="Compact"/>
        <w:numPr>
          <w:ilvl w:val="0"/>
          <w:numId w:val="2357"/>
        </w:numPr>
      </w:pPr>
      <w:r>
        <w:t xml:space="preserve">Position support depends on cursor type/provider behavior.</w:t>
      </w:r>
    </w:p>
    <w:p>
      <w:pPr>
        <w:pStyle w:val="Compact"/>
        <w:numPr>
          <w:ilvl w:val="0"/>
          <w:numId w:val="2357"/>
        </w:numPr>
      </w:pPr>
      <w:r>
        <w:t xml:space="preserve">Assigning out-of-range values can move cursor to BOF/EOF boundaries.</w:t>
      </w:r>
    </w:p>
    <w:bookmarkEnd w:id="5606"/>
    <w:bookmarkStart w:id="5607" w:name="code-example-44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rs.MoveFirst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"Position: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rs.AbsolutePosition</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07"/>
    <w:bookmarkEnd w:id="5608"/>
    <w:bookmarkStart w:id="5613" w:name="recordset.bookmark-property"/>
    <w:p>
      <w:pPr>
        <w:pStyle w:val="Heading1"/>
      </w:pPr>
      <w:r>
        <w:t xml:space="preserve">Recordset.Bookmark Property</w:t>
      </w:r>
    </w:p>
    <w:p>
      <w:pPr>
        <w:pStyle w:val="FirstParagraph"/>
      </w:pPr>
      <w:r>
        <w:t xml:space="preserve">Gets or sets a bookmark that identifies the current row position.</w:t>
      </w:r>
    </w:p>
    <w:bookmarkStart w:id="5609" w:name="syntax-644"/>
    <w:p>
      <w:pPr>
        <w:pStyle w:val="Heading2"/>
      </w:pPr>
      <w:r>
        <w:t xml:space="preserve">Syntax</w:t>
      </w:r>
    </w:p>
    <w:p>
      <w:pPr>
        <w:pStyle w:val="SourceCode"/>
      </w:pPr>
      <w:r>
        <w:rPr>
          <w:rStyle w:val="NormalTok"/>
        </w:rPr>
        <w:t xml:space="preserve">bm = rs.Bookmark</w:t>
      </w:r>
      <w:r>
        <w:br/>
      </w:r>
      <w:r>
        <w:rPr>
          <w:rStyle w:val="NormalTok"/>
        </w:rPr>
        <w:t xml:space="preserve">rs.Bookmark = bm</w:t>
      </w:r>
    </w:p>
    <w:bookmarkEnd w:id="5609"/>
    <w:bookmarkStart w:id="5610" w:name="return-value-327"/>
    <w:p>
      <w:pPr>
        <w:pStyle w:val="Heading2"/>
      </w:pPr>
      <w:r>
        <w:t xml:space="preserve">Return Value</w:t>
      </w:r>
    </w:p>
    <w:p>
      <w:pPr>
        <w:pStyle w:val="FirstParagraph"/>
      </w:pPr>
      <w:r>
        <w:t xml:space="preserve">Variant. Returns the bookmark token for the current row.</w:t>
      </w:r>
    </w:p>
    <w:bookmarkEnd w:id="5610"/>
    <w:bookmarkStart w:id="5611" w:name="remarks-617"/>
    <w:p>
      <w:pPr>
        <w:pStyle w:val="Heading2"/>
      </w:pPr>
      <w:r>
        <w:t xml:space="preserve">Remarks</w:t>
      </w:r>
    </w:p>
    <w:p>
      <w:pPr>
        <w:pStyle w:val="Compact"/>
        <w:numPr>
          <w:ilvl w:val="0"/>
          <w:numId w:val="2358"/>
        </w:numPr>
      </w:pPr>
      <w:r>
        <w:t xml:space="preserve">Property names are case-insensitive.</w:t>
      </w:r>
    </w:p>
    <w:p>
      <w:pPr>
        <w:pStyle w:val="Compact"/>
        <w:numPr>
          <w:ilvl w:val="0"/>
          <w:numId w:val="2358"/>
        </w:numPr>
      </w:pPr>
      <w:r>
        <w:t xml:space="preserve">Bookmark support depends on cursor/provider capabilities.</w:t>
      </w:r>
    </w:p>
    <w:p>
      <w:pPr>
        <w:pStyle w:val="Compact"/>
        <w:numPr>
          <w:ilvl w:val="0"/>
          <w:numId w:val="2358"/>
        </w:numPr>
      </w:pPr>
      <w:r>
        <w:t xml:space="preserve">Save bookmark values to return to a previously visited row.</w:t>
      </w:r>
    </w:p>
    <w:bookmarkEnd w:id="5611"/>
    <w:bookmarkStart w:id="5612" w:name="code-example-44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bm</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bm = rs.Bookmark</w:t>
      </w:r>
      <w:r>
        <w:br/>
      </w:r>
      <w:r>
        <w:rPr>
          <w:rStyle w:val="NormalTok"/>
        </w:rPr>
        <w:t xml:space="preserve">    rs.</w:t>
      </w:r>
      <w:r>
        <w:rPr>
          <w:rStyle w:val="KeywordTok"/>
        </w:rPr>
        <w:t xml:space="preserve">MoveNext</w:t>
      </w:r>
      <w:r>
        <w:br/>
      </w:r>
      <w:r>
        <w:rPr>
          <w:rStyle w:val="NormalTok"/>
        </w:rPr>
        <w:t xml:space="preserve">    rs.Bookmark = bm</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12"/>
    <w:bookmarkEnd w:id="5613"/>
    <w:bookmarkStart w:id="5618" w:name="recordset.activecommand-property"/>
    <w:p>
      <w:pPr>
        <w:pStyle w:val="Heading1"/>
      </w:pPr>
      <w:r>
        <w:t xml:space="preserve">Recordset.ActiveCommand Property</w:t>
      </w:r>
    </w:p>
    <w:p>
      <w:pPr>
        <w:pStyle w:val="FirstParagraph"/>
      </w:pPr>
      <w:r>
        <w:t xml:space="preserve">Returns or sets the command object associated with the recordset.</w:t>
      </w:r>
    </w:p>
    <w:bookmarkStart w:id="5614" w:name="syntax-645"/>
    <w:p>
      <w:pPr>
        <w:pStyle w:val="Heading2"/>
      </w:pPr>
      <w:r>
        <w:t xml:space="preserve">Syntax</w:t>
      </w:r>
    </w:p>
    <w:p>
      <w:pPr>
        <w:pStyle w:val="SourceCode"/>
      </w:pPr>
      <w:r>
        <w:rPr>
          <w:rStyle w:val="NormalTok"/>
        </w:rPr>
        <w:t xml:space="preserve">Set cmdRef = rs.ActiveCommand</w:t>
      </w:r>
      <w:r>
        <w:br/>
      </w:r>
      <w:r>
        <w:rPr>
          <w:rStyle w:val="NormalTok"/>
        </w:rPr>
        <w:t xml:space="preserve">Set rs.ActiveCommand = cmd</w:t>
      </w:r>
    </w:p>
    <w:bookmarkEnd w:id="5614"/>
    <w:bookmarkStart w:id="5615" w:name="return-value-328"/>
    <w:p>
      <w:pPr>
        <w:pStyle w:val="Heading2"/>
      </w:pPr>
      <w:r>
        <w:t xml:space="preserve">Return Value</w:t>
      </w:r>
    </w:p>
    <w:p>
      <w:pPr>
        <w:pStyle w:val="FirstParagraph"/>
      </w:pPr>
      <w:r>
        <w:t xml:space="preserve">Object. Returns an ADODB.Command reference when available.</w:t>
      </w:r>
    </w:p>
    <w:bookmarkEnd w:id="5615"/>
    <w:bookmarkStart w:id="5616" w:name="remarks-618"/>
    <w:p>
      <w:pPr>
        <w:pStyle w:val="Heading2"/>
      </w:pPr>
      <w:r>
        <w:t xml:space="preserve">Remarks</w:t>
      </w:r>
    </w:p>
    <w:p>
      <w:pPr>
        <w:pStyle w:val="Compact"/>
        <w:numPr>
          <w:ilvl w:val="0"/>
          <w:numId w:val="2359"/>
        </w:numPr>
      </w:pPr>
      <w:r>
        <w:t xml:space="preserve">Property names are case-insensitive.</w:t>
      </w:r>
    </w:p>
    <w:p>
      <w:pPr>
        <w:pStyle w:val="Compact"/>
        <w:numPr>
          <w:ilvl w:val="0"/>
          <w:numId w:val="2359"/>
        </w:numPr>
      </w:pPr>
      <w:r>
        <w:t xml:space="preserve">Use</w:t>
      </w:r>
      <w:r>
        <w:t xml:space="preserve"> </w:t>
      </w:r>
      <w:r>
        <w:rPr>
          <w:rStyle w:val="VerbatimChar"/>
        </w:rPr>
        <w:t xml:space="preserve">Set</w:t>
      </w:r>
      <w:r>
        <w:t xml:space="preserve"> </w:t>
      </w:r>
      <w:r>
        <w:t xml:space="preserve">for assignment and retrieval.</w:t>
      </w:r>
    </w:p>
    <w:p>
      <w:pPr>
        <w:pStyle w:val="Compact"/>
        <w:numPr>
          <w:ilvl w:val="0"/>
          <w:numId w:val="2359"/>
        </w:numPr>
      </w:pPr>
      <w:r>
        <w:t xml:space="preserve">This association is useful for introspection of command-driven recordsets.</w:t>
      </w:r>
    </w:p>
    <w:bookmarkEnd w:id="5616"/>
    <w:bookmarkStart w:id="5617" w:name="code-example-44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rPr>
          <w:rStyle w:val="OtherTok"/>
        </w:rPr>
        <w:t xml:space="preserve">,</w:t>
      </w:r>
      <w:r>
        <w:rPr>
          <w:rStyle w:val="NormalTok"/>
        </w:rPr>
        <w:t xml:space="preserve"> rs</w:t>
      </w:r>
      <w:r>
        <w:rPr>
          <w:rStyle w:val="OtherTok"/>
        </w:rPr>
        <w:t xml:space="preserve">,</w:t>
      </w:r>
      <w:r>
        <w:rPr>
          <w:rStyle w:val="NormalTok"/>
        </w:rPr>
        <w:t xml:space="preserve"> cmdRef</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NormalTok"/>
        </w:rPr>
        <w:t xml:space="preserve">cmd.CommandText = </w:t>
      </w:r>
      <w:r>
        <w:rPr>
          <w:rStyle w:val="StringTok"/>
        </w:rPr>
        <w:t xml:space="preserve">"SELECT id, name FROM users"</w:t>
      </w:r>
      <w:r>
        <w:br/>
      </w:r>
      <w:r>
        <w:rPr>
          <w:rStyle w:val="KeywordTok"/>
        </w:rPr>
        <w:t xml:space="preserve">Set</w:t>
      </w:r>
      <w:r>
        <w:rPr>
          <w:rStyle w:val="NormalTok"/>
        </w:rPr>
        <w:t xml:space="preserve"> rs = cmd.</w:t>
      </w:r>
      <w:r>
        <w:rPr>
          <w:rStyle w:val="KeywordTok"/>
        </w:rPr>
        <w:t xml:space="preserve">Execute</w:t>
      </w:r>
      <w:r>
        <w:br/>
      </w:r>
      <w:r>
        <w:rPr>
          <w:rStyle w:val="KeywordTok"/>
        </w:rPr>
        <w:t xml:space="preserve">Set</w:t>
      </w:r>
      <w:r>
        <w:rPr>
          <w:rStyle w:val="NormalTok"/>
        </w:rPr>
        <w:t xml:space="preserve"> cmdRef = rs.ActiveCommand</w:t>
      </w:r>
      <w:r>
        <w:br/>
      </w:r>
      <w:r>
        <w:br/>
      </w:r>
      <w:r>
        <w:rPr>
          <w:rStyle w:val="ControlFlowTok"/>
        </w:rPr>
        <w:t xml:space="preserve">If</w:t>
      </w:r>
      <w:r>
        <w:rPr>
          <w:rStyle w:val="NormalTok"/>
        </w:rPr>
        <w:t xml:space="preserve"> </w:t>
      </w:r>
      <w:r>
        <w:rPr>
          <w:rStyle w:val="FunctionTok"/>
        </w:rPr>
        <w:t xml:space="preserve">IsObject</w:t>
      </w:r>
      <w:r>
        <w:rPr>
          <w:rStyle w:val="OtherTok"/>
        </w:rPr>
        <w:t xml:space="preserve">(</w:t>
      </w:r>
      <w:r>
        <w:rPr>
          <w:rStyle w:val="NormalTok"/>
        </w:rPr>
        <w:t xml:space="preserve">cmdRef</w:t>
      </w:r>
      <w:r>
        <w:rPr>
          <w:rStyle w:val="OtherTok"/>
        </w:rPr>
        <w:t xml:space="preserve">)</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"ActiveCommand available"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cmdRef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17"/>
    <w:bookmarkEnd w:id="5618"/>
    <w:bookmarkStart w:id="5623" w:name="recordset.cachesize-property"/>
    <w:p>
      <w:pPr>
        <w:pStyle w:val="Heading1"/>
      </w:pPr>
      <w:r>
        <w:t xml:space="preserve">Recordset.CacheSize Property</w:t>
      </w:r>
    </w:p>
    <w:p>
      <w:pPr>
        <w:pStyle w:val="FirstParagraph"/>
      </w:pPr>
      <w:r>
        <w:t xml:space="preserve">Gets or sets the number of rows cached locally for cursor operations.</w:t>
      </w:r>
    </w:p>
    <w:bookmarkStart w:id="5619" w:name="syntax-646"/>
    <w:p>
      <w:pPr>
        <w:pStyle w:val="Heading2"/>
      </w:pPr>
      <w:r>
        <w:t xml:space="preserve">Syntax</w:t>
      </w:r>
    </w:p>
    <w:p>
      <w:pPr>
        <w:pStyle w:val="SourceCode"/>
      </w:pPr>
      <w:r>
        <w:rPr>
          <w:rStyle w:val="NormalTok"/>
        </w:rPr>
        <w:t xml:space="preserve">value = rs.CacheSize</w:t>
      </w:r>
      <w:r>
        <w:br/>
      </w:r>
      <w:r>
        <w:rPr>
          <w:rStyle w:val="NormalTok"/>
        </w:rPr>
        <w:t xml:space="preserve">rs.CacheSize = newValue</w:t>
      </w:r>
    </w:p>
    <w:bookmarkEnd w:id="5619"/>
    <w:bookmarkStart w:id="5620" w:name="return-value-329"/>
    <w:p>
      <w:pPr>
        <w:pStyle w:val="Heading2"/>
      </w:pPr>
      <w:r>
        <w:t xml:space="preserve">Return Value</w:t>
      </w:r>
    </w:p>
    <w:p>
      <w:pPr>
        <w:pStyle w:val="FirstParagraph"/>
      </w:pPr>
      <w:r>
        <w:t xml:space="preserve">Integer. Returns configured cache size.</w:t>
      </w:r>
    </w:p>
    <w:bookmarkEnd w:id="5620"/>
    <w:bookmarkStart w:id="5621" w:name="remarks-619"/>
    <w:p>
      <w:pPr>
        <w:pStyle w:val="Heading2"/>
      </w:pPr>
      <w:r>
        <w:t xml:space="preserve">Remarks</w:t>
      </w:r>
    </w:p>
    <w:p>
      <w:pPr>
        <w:pStyle w:val="Compact"/>
        <w:numPr>
          <w:ilvl w:val="0"/>
          <w:numId w:val="2360"/>
        </w:numPr>
      </w:pPr>
      <w:r>
        <w:t xml:space="preserve">Property names are case-insensitive.</w:t>
      </w:r>
    </w:p>
    <w:p>
      <w:pPr>
        <w:pStyle w:val="Compact"/>
        <w:numPr>
          <w:ilvl w:val="0"/>
          <w:numId w:val="2360"/>
        </w:numPr>
      </w:pPr>
      <w:r>
        <w:t xml:space="preserve">Set before heavy navigation workloads.</w:t>
      </w:r>
    </w:p>
    <w:p>
      <w:pPr>
        <w:pStyle w:val="Compact"/>
        <w:numPr>
          <w:ilvl w:val="0"/>
          <w:numId w:val="2360"/>
        </w:numPr>
      </w:pPr>
      <w:r>
        <w:t xml:space="preserve">Effective behavior can depend on provider cursor implementation.</w:t>
      </w:r>
    </w:p>
    <w:bookmarkEnd w:id="5621"/>
    <w:bookmarkStart w:id="5622" w:name="code-example-44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rs.CacheSize = </w:t>
      </w:r>
      <w:r>
        <w:rPr>
          <w:rStyle w:val="DecValTok"/>
        </w:rPr>
        <w:t xml:space="preserve">25</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rs.CacheSize</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22"/>
    <w:bookmarkEnd w:id="5623"/>
    <w:bookmarkStart w:id="5628" w:name="recordset.datamember-property"/>
    <w:p>
      <w:pPr>
        <w:pStyle w:val="Heading1"/>
      </w:pPr>
      <w:r>
        <w:t xml:space="preserve">Recordset.DataMember Property</w:t>
      </w:r>
    </w:p>
    <w:p>
      <w:pPr>
        <w:pStyle w:val="FirstParagraph"/>
      </w:pPr>
      <w:r>
        <w:t xml:space="preserve">Gets or sets the named data member associated with the recordset.</w:t>
      </w:r>
    </w:p>
    <w:bookmarkStart w:id="5624" w:name="syntax-647"/>
    <w:p>
      <w:pPr>
        <w:pStyle w:val="Heading2"/>
      </w:pPr>
      <w:r>
        <w:t xml:space="preserve">Syntax</w:t>
      </w:r>
    </w:p>
    <w:p>
      <w:pPr>
        <w:pStyle w:val="SourceCode"/>
      </w:pPr>
      <w:r>
        <w:rPr>
          <w:rStyle w:val="NormalTok"/>
        </w:rPr>
        <w:t xml:space="preserve">value = rs.DataMember</w:t>
      </w:r>
      <w:r>
        <w:br/>
      </w:r>
      <w:r>
        <w:rPr>
          <w:rStyle w:val="NormalTok"/>
        </w:rPr>
        <w:t xml:space="preserve">rs.DataMember = newValue</w:t>
      </w:r>
    </w:p>
    <w:bookmarkEnd w:id="5624"/>
    <w:bookmarkStart w:id="5625" w:name="return-value-330"/>
    <w:p>
      <w:pPr>
        <w:pStyle w:val="Heading2"/>
      </w:pPr>
      <w:r>
        <w:t xml:space="preserve">Return Value</w:t>
      </w:r>
    </w:p>
    <w:p>
      <w:pPr>
        <w:pStyle w:val="FirstParagraph"/>
      </w:pPr>
      <w:r>
        <w:t xml:space="preserve">String. Returns current data member name.</w:t>
      </w:r>
    </w:p>
    <w:bookmarkEnd w:id="5625"/>
    <w:bookmarkStart w:id="5626" w:name="remarks-620"/>
    <w:p>
      <w:pPr>
        <w:pStyle w:val="Heading2"/>
      </w:pPr>
      <w:r>
        <w:t xml:space="preserve">Remarks</w:t>
      </w:r>
    </w:p>
    <w:p>
      <w:pPr>
        <w:pStyle w:val="Compact"/>
        <w:numPr>
          <w:ilvl w:val="0"/>
          <w:numId w:val="2361"/>
        </w:numPr>
      </w:pPr>
      <w:r>
        <w:t xml:space="preserve">Property names are case-insensitive.</w:t>
      </w:r>
    </w:p>
    <w:p>
      <w:pPr>
        <w:pStyle w:val="Compact"/>
        <w:numPr>
          <w:ilvl w:val="0"/>
          <w:numId w:val="2361"/>
        </w:numPr>
      </w:pPr>
      <w:r>
        <w:t xml:space="preserve">Used mainly in bound-data scenarios.</w:t>
      </w:r>
    </w:p>
    <w:p>
      <w:pPr>
        <w:pStyle w:val="Compact"/>
        <w:numPr>
          <w:ilvl w:val="0"/>
          <w:numId w:val="2361"/>
        </w:numPr>
      </w:pPr>
      <w:r>
        <w:t xml:space="preserve">Often empty for direct SQL recordsets.</w:t>
      </w:r>
    </w:p>
    <w:bookmarkEnd w:id="5626"/>
    <w:bookmarkStart w:id="5627" w:name="code-example-44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rs.DataMember = </w:t>
      </w:r>
      <w:r>
        <w:rPr>
          <w:rStyle w:val="StringTok"/>
        </w:rPr>
        <w:t xml:space="preserve">"Users"</w:t>
      </w:r>
      <w:r>
        <w:br/>
      </w:r>
      <w:r>
        <w:rPr>
          <w:rStyle w:val="FunctionTok"/>
        </w:rPr>
        <w:t xml:space="preserve">Response</w:t>
      </w:r>
      <w:r>
        <w:rPr>
          <w:rStyle w:val="NormalTok"/>
        </w:rPr>
        <w:t xml:space="preserve">.</w:t>
      </w:r>
      <w:r>
        <w:rPr>
          <w:rStyle w:val="FunctionTok"/>
        </w:rPr>
        <w:t xml:space="preserve">Write</w:t>
      </w:r>
      <w:r>
        <w:rPr>
          <w:rStyle w:val="NormalTok"/>
        </w:rPr>
        <w:t xml:space="preserve"> rs.DataMember</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627"/>
    <w:bookmarkEnd w:id="5628"/>
    <w:bookmarkStart w:id="5633" w:name="recordset.editmode-property"/>
    <w:p>
      <w:pPr>
        <w:pStyle w:val="Heading1"/>
      </w:pPr>
      <w:r>
        <w:t xml:space="preserve">Recordset.EditMode Property</w:t>
      </w:r>
    </w:p>
    <w:p>
      <w:pPr>
        <w:pStyle w:val="FirstParagraph"/>
      </w:pPr>
      <w:r>
        <w:t xml:space="preserve">Returns the current edit state for the active row.</w:t>
      </w:r>
    </w:p>
    <w:bookmarkStart w:id="5629" w:name="syntax-648"/>
    <w:p>
      <w:pPr>
        <w:pStyle w:val="Heading2"/>
      </w:pPr>
      <w:r>
        <w:t xml:space="preserve">Syntax</w:t>
      </w:r>
    </w:p>
    <w:p>
      <w:pPr>
        <w:pStyle w:val="SourceCode"/>
      </w:pPr>
      <w:r>
        <w:rPr>
          <w:rStyle w:val="NormalTok"/>
        </w:rPr>
        <w:t xml:space="preserve">value = rs.EditMode</w:t>
      </w:r>
    </w:p>
    <w:bookmarkEnd w:id="5629"/>
    <w:bookmarkStart w:id="5630" w:name="return-value-331"/>
    <w:p>
      <w:pPr>
        <w:pStyle w:val="Heading2"/>
      </w:pPr>
      <w:r>
        <w:t xml:space="preserve">Return Value</w:t>
      </w:r>
    </w:p>
    <w:p>
      <w:pPr>
        <w:pStyle w:val="FirstParagraph"/>
      </w:pPr>
      <w:r>
        <w:t xml:space="preserve">Integer. Returns edit mode flag (for example, not editing, editing, or add-new state).</w:t>
      </w:r>
    </w:p>
    <w:bookmarkEnd w:id="5630"/>
    <w:bookmarkStart w:id="5631" w:name="remarks-621"/>
    <w:p>
      <w:pPr>
        <w:pStyle w:val="Heading2"/>
      </w:pPr>
      <w:r>
        <w:t xml:space="preserve">Remarks</w:t>
      </w:r>
    </w:p>
    <w:p>
      <w:pPr>
        <w:pStyle w:val="Compact"/>
        <w:numPr>
          <w:ilvl w:val="0"/>
          <w:numId w:val="2362"/>
        </w:numPr>
      </w:pPr>
      <w:r>
        <w:t xml:space="preserve">Property names are case-insensitive.</w:t>
      </w:r>
    </w:p>
    <w:p>
      <w:pPr>
        <w:pStyle w:val="Compact"/>
        <w:numPr>
          <w:ilvl w:val="0"/>
          <w:numId w:val="2362"/>
        </w:numPr>
      </w:pPr>
      <w:r>
        <w:t xml:space="preserve">This property is read-only.</w:t>
      </w:r>
    </w:p>
    <w:p>
      <w:pPr>
        <w:pStyle w:val="Compact"/>
        <w:numPr>
          <w:ilvl w:val="0"/>
          <w:numId w:val="2362"/>
        </w:numPr>
      </w:pPr>
      <w:r>
        <w:t xml:space="preserve">Use to detect pending edits before</w:t>
      </w:r>
      <w:r>
        <w:t xml:space="preserve"> </w:t>
      </w:r>
      <w:r>
        <w:rPr>
          <w:rStyle w:val="VerbatimChar"/>
        </w:rPr>
        <w:t xml:space="preserve">Update</w:t>
      </w:r>
      <w:r>
        <w:t xml:space="preserve"> </w:t>
      </w:r>
      <w:r>
        <w:t xml:space="preserve">or</w:t>
      </w:r>
      <w:r>
        <w:t xml:space="preserve"> </w:t>
      </w:r>
      <w:r>
        <w:rPr>
          <w:rStyle w:val="VerbatimChar"/>
        </w:rPr>
        <w:t xml:space="preserve">CancelUpdate</w:t>
      </w:r>
      <w:r>
        <w:t xml:space="preserve">.</w:t>
      </w:r>
    </w:p>
    <w:bookmarkEnd w:id="5631"/>
    <w:bookmarkStart w:id="5632" w:name="code-example-44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 WHERE id = 1"</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"Before: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rs.EditMode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 </w:t>
      </w:r>
      <w:r>
        <w:rPr>
          <w:rStyle w:val="StringTok"/>
        </w:rPr>
        <w:t xml:space="preserve">"Temp"</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rs.EditMode</w:t>
      </w:r>
      <w:r>
        <w:rPr>
          <w:rStyle w:val="OtherTok"/>
        </w:rPr>
        <w:t xml:space="preserv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32"/>
    <w:bookmarkEnd w:id="5633"/>
    <w:bookmarkStart w:id="5638" w:name="recordset.filter-property"/>
    <w:p>
      <w:pPr>
        <w:pStyle w:val="Heading1"/>
      </w:pPr>
      <w:r>
        <w:t xml:space="preserve">Recordset.Filter Property</w:t>
      </w:r>
    </w:p>
    <w:p>
      <w:pPr>
        <w:pStyle w:val="FirstParagraph"/>
      </w:pPr>
      <w:r>
        <w:t xml:space="preserve">Gets or sets a filter expression for visible rows in the recordset.</w:t>
      </w:r>
    </w:p>
    <w:bookmarkStart w:id="5634" w:name="syntax-649"/>
    <w:p>
      <w:pPr>
        <w:pStyle w:val="Heading2"/>
      </w:pPr>
      <w:r>
        <w:t xml:space="preserve">Syntax</w:t>
      </w:r>
    </w:p>
    <w:p>
      <w:pPr>
        <w:pStyle w:val="SourceCode"/>
      </w:pPr>
      <w:r>
        <w:rPr>
          <w:rStyle w:val="NormalTok"/>
        </w:rPr>
        <w:t xml:space="preserve">value = rs.Filter</w:t>
      </w:r>
      <w:r>
        <w:br/>
      </w:r>
      <w:r>
        <w:rPr>
          <w:rStyle w:val="NormalTok"/>
        </w:rPr>
        <w:t xml:space="preserve">rs.Filter = newFilter</w:t>
      </w:r>
    </w:p>
    <w:bookmarkEnd w:id="5634"/>
    <w:bookmarkStart w:id="5635" w:name="return-value-332"/>
    <w:p>
      <w:pPr>
        <w:pStyle w:val="Heading2"/>
      </w:pPr>
      <w:r>
        <w:t xml:space="preserve">Return Value</w:t>
      </w:r>
    </w:p>
    <w:p>
      <w:pPr>
        <w:pStyle w:val="FirstParagraph"/>
      </w:pPr>
      <w:r>
        <w:t xml:space="preserve">String or Integer. Returns the current filter setting.</w:t>
      </w:r>
    </w:p>
    <w:bookmarkEnd w:id="5635"/>
    <w:bookmarkStart w:id="5636" w:name="remarks-622"/>
    <w:p>
      <w:pPr>
        <w:pStyle w:val="Heading2"/>
      </w:pPr>
      <w:r>
        <w:t xml:space="preserve">Remarks</w:t>
      </w:r>
    </w:p>
    <w:p>
      <w:pPr>
        <w:pStyle w:val="Compact"/>
        <w:numPr>
          <w:ilvl w:val="0"/>
          <w:numId w:val="2363"/>
        </w:numPr>
      </w:pPr>
      <w:r>
        <w:t xml:space="preserve">Property names are case-insensitive.</w:t>
      </w:r>
    </w:p>
    <w:p>
      <w:pPr>
        <w:pStyle w:val="Compact"/>
        <w:numPr>
          <w:ilvl w:val="0"/>
          <w:numId w:val="2363"/>
        </w:numPr>
      </w:pPr>
      <w:r>
        <w:t xml:space="preserve">Filter syntax support depends on provider/runtime capabilities.</w:t>
      </w:r>
    </w:p>
    <w:p>
      <w:pPr>
        <w:pStyle w:val="Compact"/>
        <w:numPr>
          <w:ilvl w:val="0"/>
          <w:numId w:val="2363"/>
        </w:numPr>
      </w:pPr>
      <w:r>
        <w:t xml:space="preserve">Use simple predicates for maximum compatibility.</w:t>
      </w:r>
    </w:p>
    <w:bookmarkEnd w:id="5636"/>
    <w:bookmarkStart w:id="5637" w:name="code-example-44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w:t>
      </w:r>
      <w:r>
        <w:rPr>
          <w:rStyle w:val="FunctionTok"/>
        </w:rPr>
        <w:t xml:space="preserve">Filter</w:t>
      </w:r>
      <w:r>
        <w:rPr>
          <w:rStyle w:val="NormalTok"/>
        </w:rPr>
        <w:t xml:space="preserve"> = </w:t>
      </w:r>
      <w:r>
        <w:rPr>
          <w:rStyle w:val="StringTok"/>
        </w:rPr>
        <w:t xml:space="preserve">"id = 1"</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37"/>
    <w:bookmarkEnd w:id="5638"/>
    <w:bookmarkStart w:id="5643" w:name="recordset.index-property"/>
    <w:p>
      <w:pPr>
        <w:pStyle w:val="Heading1"/>
      </w:pPr>
      <w:r>
        <w:t xml:space="preserve">Recordset.Index Property</w:t>
      </w:r>
    </w:p>
    <w:p>
      <w:pPr>
        <w:pStyle w:val="FirstParagraph"/>
      </w:pPr>
      <w:r>
        <w:t xml:space="preserve">Gets or sets the active index name used by seek operations.</w:t>
      </w:r>
    </w:p>
    <w:bookmarkStart w:id="5639" w:name="syntax-650"/>
    <w:p>
      <w:pPr>
        <w:pStyle w:val="Heading2"/>
      </w:pPr>
      <w:r>
        <w:t xml:space="preserve">Syntax</w:t>
      </w:r>
    </w:p>
    <w:p>
      <w:pPr>
        <w:pStyle w:val="SourceCode"/>
      </w:pPr>
      <w:r>
        <w:rPr>
          <w:rStyle w:val="NormalTok"/>
        </w:rPr>
        <w:t xml:space="preserve">value = rs.Index</w:t>
      </w:r>
      <w:r>
        <w:br/>
      </w:r>
      <w:r>
        <w:rPr>
          <w:rStyle w:val="NormalTok"/>
        </w:rPr>
        <w:t xml:space="preserve">rs.Index = newIndex</w:t>
      </w:r>
    </w:p>
    <w:bookmarkEnd w:id="5639"/>
    <w:bookmarkStart w:id="5640" w:name="return-value-333"/>
    <w:p>
      <w:pPr>
        <w:pStyle w:val="Heading2"/>
      </w:pPr>
      <w:r>
        <w:t xml:space="preserve">Return Value</w:t>
      </w:r>
    </w:p>
    <w:p>
      <w:pPr>
        <w:pStyle w:val="FirstParagraph"/>
      </w:pPr>
      <w:r>
        <w:t xml:space="preserve">String. Returns the current index name.</w:t>
      </w:r>
    </w:p>
    <w:bookmarkEnd w:id="5640"/>
    <w:bookmarkStart w:id="5641" w:name="remarks-623"/>
    <w:p>
      <w:pPr>
        <w:pStyle w:val="Heading2"/>
      </w:pPr>
      <w:r>
        <w:t xml:space="preserve">Remarks</w:t>
      </w:r>
    </w:p>
    <w:p>
      <w:pPr>
        <w:pStyle w:val="Compact"/>
        <w:numPr>
          <w:ilvl w:val="0"/>
          <w:numId w:val="2364"/>
        </w:numPr>
      </w:pPr>
      <w:r>
        <w:t xml:space="preserve">Property names are case-insensitive.</w:t>
      </w:r>
    </w:p>
    <w:p>
      <w:pPr>
        <w:pStyle w:val="Compact"/>
        <w:numPr>
          <w:ilvl w:val="0"/>
          <w:numId w:val="2364"/>
        </w:numPr>
      </w:pPr>
      <w:r>
        <w:t xml:space="preserve">Set this before calling</w:t>
      </w:r>
      <w:r>
        <w:t xml:space="preserve"> </w:t>
      </w:r>
      <w:r>
        <w:rPr>
          <w:rStyle w:val="VerbatimChar"/>
        </w:rPr>
        <w:t xml:space="preserve">Recordset.Seek</w:t>
      </w:r>
      <w:r>
        <w:t xml:space="preserve"> </w:t>
      </w:r>
      <w:r>
        <w:t xml:space="preserve">when index-based navigation is needed.</w:t>
      </w:r>
    </w:p>
    <w:p>
      <w:pPr>
        <w:pStyle w:val="Compact"/>
        <w:numPr>
          <w:ilvl w:val="0"/>
          <w:numId w:val="2364"/>
        </w:numPr>
      </w:pPr>
      <w:r>
        <w:t xml:space="preserve">Provider support for named indexes can vary.</w:t>
      </w:r>
    </w:p>
    <w:bookmarkEnd w:id="5641"/>
    <w:bookmarkStart w:id="5642" w:name="code-example-45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rs.Index = </w:t>
      </w:r>
      <w:r>
        <w:rPr>
          <w:rStyle w:val="StringTok"/>
        </w:rPr>
        <w:t xml:space="preserve">"id"</w:t>
      </w:r>
      <w:r>
        <w:br/>
      </w:r>
      <w:r>
        <w:rPr>
          <w:rStyle w:val="FunctionTok"/>
        </w:rPr>
        <w:t xml:space="preserve">Response</w:t>
      </w:r>
      <w:r>
        <w:rPr>
          <w:rStyle w:val="NormalTok"/>
        </w:rPr>
        <w:t xml:space="preserve">.</w:t>
      </w:r>
      <w:r>
        <w:rPr>
          <w:rStyle w:val="FunctionTok"/>
        </w:rPr>
        <w:t xml:space="preserve">Write</w:t>
      </w:r>
      <w:r>
        <w:rPr>
          <w:rStyle w:val="NormalTok"/>
        </w:rPr>
        <w:t xml:space="preserve"> rs.Index</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42"/>
    <w:bookmarkEnd w:id="5643"/>
    <w:bookmarkStart w:id="5648" w:name="recordset.marshaloptions-property"/>
    <w:p>
      <w:pPr>
        <w:pStyle w:val="Heading1"/>
      </w:pPr>
      <w:r>
        <w:t xml:space="preserve">Recordset.MarshalOptions Property</w:t>
      </w:r>
    </w:p>
    <w:p>
      <w:pPr>
        <w:pStyle w:val="FirstParagraph"/>
      </w:pPr>
      <w:r>
        <w:t xml:space="preserve">Gets or sets marshaling behavior flags for recordset transport.</w:t>
      </w:r>
    </w:p>
    <w:bookmarkStart w:id="5644" w:name="syntax-651"/>
    <w:p>
      <w:pPr>
        <w:pStyle w:val="Heading2"/>
      </w:pPr>
      <w:r>
        <w:t xml:space="preserve">Syntax</w:t>
      </w:r>
    </w:p>
    <w:p>
      <w:pPr>
        <w:pStyle w:val="SourceCode"/>
      </w:pPr>
      <w:r>
        <w:rPr>
          <w:rStyle w:val="NormalTok"/>
        </w:rPr>
        <w:t xml:space="preserve">value = rs.MarshalOptions</w:t>
      </w:r>
      <w:r>
        <w:br/>
      </w:r>
      <w:r>
        <w:rPr>
          <w:rStyle w:val="NormalTok"/>
        </w:rPr>
        <w:t xml:space="preserve">rs.MarshalOptions = newValue</w:t>
      </w:r>
    </w:p>
    <w:bookmarkEnd w:id="5644"/>
    <w:bookmarkStart w:id="5645" w:name="return-value-334"/>
    <w:p>
      <w:pPr>
        <w:pStyle w:val="Heading2"/>
      </w:pPr>
      <w:r>
        <w:t xml:space="preserve">Return Value</w:t>
      </w:r>
    </w:p>
    <w:p>
      <w:pPr>
        <w:pStyle w:val="FirstParagraph"/>
      </w:pPr>
      <w:r>
        <w:t xml:space="preserve">Integer. Returns current marshal options flag.</w:t>
      </w:r>
    </w:p>
    <w:bookmarkEnd w:id="5645"/>
    <w:bookmarkStart w:id="5646" w:name="remarks-624"/>
    <w:p>
      <w:pPr>
        <w:pStyle w:val="Heading2"/>
      </w:pPr>
      <w:r>
        <w:t xml:space="preserve">Remarks</w:t>
      </w:r>
    </w:p>
    <w:p>
      <w:pPr>
        <w:pStyle w:val="Compact"/>
        <w:numPr>
          <w:ilvl w:val="0"/>
          <w:numId w:val="2365"/>
        </w:numPr>
      </w:pPr>
      <w:r>
        <w:t xml:space="preserve">Property names are case-insensitive.</w:t>
      </w:r>
    </w:p>
    <w:p>
      <w:pPr>
        <w:pStyle w:val="Compact"/>
        <w:numPr>
          <w:ilvl w:val="0"/>
          <w:numId w:val="2365"/>
        </w:numPr>
      </w:pPr>
      <w:r>
        <w:t xml:space="preserve">Marshaling behavior can be provider/runtime specific.</w:t>
      </w:r>
    </w:p>
    <w:p>
      <w:pPr>
        <w:pStyle w:val="Compact"/>
        <w:numPr>
          <w:ilvl w:val="0"/>
          <w:numId w:val="2365"/>
        </w:numPr>
      </w:pPr>
      <w:r>
        <w:t xml:space="preserve">Set before serialization or transport scenarios.</w:t>
      </w:r>
    </w:p>
    <w:bookmarkEnd w:id="5646"/>
    <w:bookmarkStart w:id="5647" w:name="code-example-45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rs.MarshalOptions =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rs.MarshalOptions</w:t>
      </w:r>
      <w:r>
        <w:rPr>
          <w:rStyle w:val="OtherTok"/>
        </w:rPr>
        <w:t xml:space="preserve">)</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647"/>
    <w:bookmarkEnd w:id="5648"/>
    <w:bookmarkStart w:id="5653" w:name="recordset.maxrecords-property"/>
    <w:p>
      <w:pPr>
        <w:pStyle w:val="Heading1"/>
      </w:pPr>
      <w:r>
        <w:t xml:space="preserve">Recordset.MaxRecords Property</w:t>
      </w:r>
    </w:p>
    <w:p>
      <w:pPr>
        <w:pStyle w:val="FirstParagraph"/>
      </w:pPr>
      <w:r>
        <w:t xml:space="preserve">Gets or sets the maximum number of rows the recordset should return.</w:t>
      </w:r>
    </w:p>
    <w:bookmarkStart w:id="5649" w:name="syntax-652"/>
    <w:p>
      <w:pPr>
        <w:pStyle w:val="Heading2"/>
      </w:pPr>
      <w:r>
        <w:t xml:space="preserve">Syntax</w:t>
      </w:r>
    </w:p>
    <w:p>
      <w:pPr>
        <w:pStyle w:val="SourceCode"/>
      </w:pPr>
      <w:r>
        <w:rPr>
          <w:rStyle w:val="NormalTok"/>
        </w:rPr>
        <w:t xml:space="preserve">value = rs.MaxRecords</w:t>
      </w:r>
      <w:r>
        <w:br/>
      </w:r>
      <w:r>
        <w:rPr>
          <w:rStyle w:val="NormalTok"/>
        </w:rPr>
        <w:t xml:space="preserve">rs.MaxRecords = newValue</w:t>
      </w:r>
    </w:p>
    <w:bookmarkEnd w:id="5649"/>
    <w:bookmarkStart w:id="5650" w:name="return-value-335"/>
    <w:p>
      <w:pPr>
        <w:pStyle w:val="Heading2"/>
      </w:pPr>
      <w:r>
        <w:t xml:space="preserve">Return Value</w:t>
      </w:r>
    </w:p>
    <w:p>
      <w:pPr>
        <w:pStyle w:val="FirstParagraph"/>
      </w:pPr>
      <w:r>
        <w:t xml:space="preserve">Integer. Returns maximum rows limit.</w:t>
      </w:r>
    </w:p>
    <w:bookmarkEnd w:id="5650"/>
    <w:bookmarkStart w:id="5651" w:name="remarks-625"/>
    <w:p>
      <w:pPr>
        <w:pStyle w:val="Heading2"/>
      </w:pPr>
      <w:r>
        <w:t xml:space="preserve">Remarks</w:t>
      </w:r>
    </w:p>
    <w:p>
      <w:pPr>
        <w:pStyle w:val="Compact"/>
        <w:numPr>
          <w:ilvl w:val="0"/>
          <w:numId w:val="2366"/>
        </w:numPr>
      </w:pPr>
      <w:r>
        <w:t xml:space="preserve">Property names are case-insensitive.</w:t>
      </w:r>
    </w:p>
    <w:p>
      <w:pPr>
        <w:pStyle w:val="Compact"/>
        <w:numPr>
          <w:ilvl w:val="0"/>
          <w:numId w:val="2366"/>
        </w:numPr>
      </w:pPr>
      <w:r>
        <w:t xml:space="preserve">Set this before opening the recordset.</w:t>
      </w:r>
    </w:p>
    <w:p>
      <w:pPr>
        <w:pStyle w:val="Compact"/>
        <w:numPr>
          <w:ilvl w:val="0"/>
          <w:numId w:val="2366"/>
        </w:numPr>
      </w:pPr>
      <w:r>
        <w:rPr>
          <w:rStyle w:val="VerbatimChar"/>
        </w:rPr>
        <w:t xml:space="preserve">0</w:t>
      </w:r>
      <w:r>
        <w:t xml:space="preserve"> </w:t>
      </w:r>
      <w:r>
        <w:t xml:space="preserve">usually means no explicit limit.</w:t>
      </w:r>
    </w:p>
    <w:bookmarkEnd w:id="5651"/>
    <w:bookmarkStart w:id="5652" w:name="code-example-45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rs.MaxRecords = </w:t>
      </w:r>
      <w:r>
        <w:rPr>
          <w:rStyle w:val="DecValTok"/>
        </w:rPr>
        <w:t xml:space="preserve">100</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rs.MaxRecords</w:t>
      </w:r>
      <w:r>
        <w:rPr>
          <w:rStyle w:val="OtherTok"/>
        </w:rPr>
        <w:t xml:space="preserve">)</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652"/>
    <w:bookmarkEnd w:id="5653"/>
    <w:bookmarkStart w:id="5658" w:name="recordset.sort-property"/>
    <w:p>
      <w:pPr>
        <w:pStyle w:val="Heading1"/>
      </w:pPr>
      <w:r>
        <w:t xml:space="preserve">Recordset.Sort Property</w:t>
      </w:r>
    </w:p>
    <w:p>
      <w:pPr>
        <w:pStyle w:val="FirstParagraph"/>
      </w:pPr>
      <w:r>
        <w:t xml:space="preserve">Gets or sets the sort expression applied to recordset rows.</w:t>
      </w:r>
    </w:p>
    <w:bookmarkStart w:id="5654" w:name="syntax-653"/>
    <w:p>
      <w:pPr>
        <w:pStyle w:val="Heading2"/>
      </w:pPr>
      <w:r>
        <w:t xml:space="preserve">Syntax</w:t>
      </w:r>
    </w:p>
    <w:p>
      <w:pPr>
        <w:pStyle w:val="SourceCode"/>
      </w:pPr>
      <w:r>
        <w:rPr>
          <w:rStyle w:val="NormalTok"/>
        </w:rPr>
        <w:t xml:space="preserve">value = rs.Sort</w:t>
      </w:r>
      <w:r>
        <w:br/>
      </w:r>
      <w:r>
        <w:rPr>
          <w:rStyle w:val="NormalTok"/>
        </w:rPr>
        <w:t xml:space="preserve">rs.Sort = "columnName ASC"</w:t>
      </w:r>
    </w:p>
    <w:bookmarkEnd w:id="5654"/>
    <w:bookmarkStart w:id="5655" w:name="return-value-336"/>
    <w:p>
      <w:pPr>
        <w:pStyle w:val="Heading2"/>
      </w:pPr>
      <w:r>
        <w:t xml:space="preserve">Return Value</w:t>
      </w:r>
    </w:p>
    <w:p>
      <w:pPr>
        <w:pStyle w:val="FirstParagraph"/>
      </w:pPr>
      <w:r>
        <w:t xml:space="preserve">String. Returns the current sort expression.</w:t>
      </w:r>
    </w:p>
    <w:bookmarkEnd w:id="5655"/>
    <w:bookmarkStart w:id="5656" w:name="remarks-626"/>
    <w:p>
      <w:pPr>
        <w:pStyle w:val="Heading2"/>
      </w:pPr>
      <w:r>
        <w:t xml:space="preserve">Remarks</w:t>
      </w:r>
    </w:p>
    <w:p>
      <w:pPr>
        <w:pStyle w:val="Compact"/>
        <w:numPr>
          <w:ilvl w:val="0"/>
          <w:numId w:val="2367"/>
        </w:numPr>
      </w:pPr>
      <w:r>
        <w:t xml:space="preserve">Property names are case-insensitive.</w:t>
      </w:r>
    </w:p>
    <w:p>
      <w:pPr>
        <w:pStyle w:val="Compact"/>
        <w:numPr>
          <w:ilvl w:val="0"/>
          <w:numId w:val="2367"/>
        </w:numPr>
      </w:pPr>
      <w:r>
        <w:t xml:space="preserve">Sort expression format is provider/runtime dependent.</w:t>
      </w:r>
    </w:p>
    <w:p>
      <w:pPr>
        <w:pStyle w:val="Compact"/>
        <w:numPr>
          <w:ilvl w:val="0"/>
          <w:numId w:val="2367"/>
        </w:numPr>
      </w:pPr>
      <w:r>
        <w:t xml:space="preserve">Use valid field names present in the recordset schema.</w:t>
      </w:r>
    </w:p>
    <w:bookmarkEnd w:id="5656"/>
    <w:bookmarkStart w:id="5657" w:name="code-example-45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NormalTok"/>
        </w:rPr>
        <w:t xml:space="preserve">rs.Sort = </w:t>
      </w:r>
      <w:r>
        <w:rPr>
          <w:rStyle w:val="StringTok"/>
        </w:rPr>
        <w:t xml:space="preserve">"name ASC"</w:t>
      </w:r>
      <w:r>
        <w:br/>
      </w:r>
      <w:r>
        <w:rPr>
          <w:rStyle w:val="FunctionTok"/>
        </w:rPr>
        <w:t xml:space="preserve">Response</w:t>
      </w:r>
      <w:r>
        <w:rPr>
          <w:rStyle w:val="NormalTok"/>
        </w:rPr>
        <w:t xml:space="preserve">.</w:t>
      </w:r>
      <w:r>
        <w:rPr>
          <w:rStyle w:val="FunctionTok"/>
        </w:rPr>
        <w:t xml:space="preserve">Write</w:t>
      </w:r>
      <w:r>
        <w:rPr>
          <w:rStyle w:val="NormalTok"/>
        </w:rPr>
        <w:t xml:space="preserve"> rs.Sort</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57"/>
    <w:bookmarkEnd w:id="5658"/>
    <w:bookmarkStart w:id="5663" w:name="recordset.source-property"/>
    <w:p>
      <w:pPr>
        <w:pStyle w:val="Heading1"/>
      </w:pPr>
      <w:r>
        <w:t xml:space="preserve">Recordset.Source Property</w:t>
      </w:r>
    </w:p>
    <w:p>
      <w:pPr>
        <w:pStyle w:val="FirstParagraph"/>
      </w:pPr>
      <w:r>
        <w:t xml:space="preserve">Gets or sets the source used to populate the recordset.</w:t>
      </w:r>
    </w:p>
    <w:bookmarkStart w:id="5659" w:name="syntax-654"/>
    <w:p>
      <w:pPr>
        <w:pStyle w:val="Heading2"/>
      </w:pPr>
      <w:r>
        <w:t xml:space="preserve">Syntax</w:t>
      </w:r>
    </w:p>
    <w:p>
      <w:pPr>
        <w:pStyle w:val="SourceCode"/>
      </w:pPr>
      <w:r>
        <w:rPr>
          <w:rStyle w:val="NormalTok"/>
        </w:rPr>
        <w:t xml:space="preserve">value = rs.Source</w:t>
      </w:r>
      <w:r>
        <w:br/>
      </w:r>
      <w:r>
        <w:rPr>
          <w:rStyle w:val="NormalTok"/>
        </w:rPr>
        <w:t xml:space="preserve">rs.Source = "SELECT id, name FROM users"</w:t>
      </w:r>
    </w:p>
    <w:bookmarkEnd w:id="5659"/>
    <w:bookmarkStart w:id="5660" w:name="return-value-337"/>
    <w:p>
      <w:pPr>
        <w:pStyle w:val="Heading2"/>
      </w:pPr>
      <w:r>
        <w:t xml:space="preserve">Return Value</w:t>
      </w:r>
    </w:p>
    <w:p>
      <w:pPr>
        <w:pStyle w:val="FirstParagraph"/>
      </w:pPr>
      <w:r>
        <w:t xml:space="preserve">Variant. Returns the source expression, typically SQL text or command reference.</w:t>
      </w:r>
    </w:p>
    <w:bookmarkEnd w:id="5660"/>
    <w:bookmarkStart w:id="5661" w:name="remarks-627"/>
    <w:p>
      <w:pPr>
        <w:pStyle w:val="Heading2"/>
      </w:pPr>
      <w:r>
        <w:t xml:space="preserve">Remarks</w:t>
      </w:r>
    </w:p>
    <w:p>
      <w:pPr>
        <w:pStyle w:val="Compact"/>
        <w:numPr>
          <w:ilvl w:val="0"/>
          <w:numId w:val="2368"/>
        </w:numPr>
      </w:pPr>
      <w:r>
        <w:t xml:space="preserve">Property names are case-insensitive.</w:t>
      </w:r>
    </w:p>
    <w:p>
      <w:pPr>
        <w:pStyle w:val="Compact"/>
        <w:numPr>
          <w:ilvl w:val="0"/>
          <w:numId w:val="2368"/>
        </w:numPr>
      </w:pPr>
      <w:r>
        <w:t xml:space="preserve">Set Source before opening the recordset.</w:t>
      </w:r>
    </w:p>
    <w:p>
      <w:pPr>
        <w:pStyle w:val="Compact"/>
        <w:numPr>
          <w:ilvl w:val="0"/>
          <w:numId w:val="2368"/>
        </w:numPr>
      </w:pPr>
      <w:r>
        <w:t xml:space="preserve">Source can be SQL text, table name, or a command object depending on runtime path.</w:t>
      </w:r>
    </w:p>
    <w:bookmarkEnd w:id="5661"/>
    <w:bookmarkStart w:id="5662" w:name="code-example-45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rs.Source = </w:t>
      </w:r>
      <w:r>
        <w:rPr>
          <w:rStyle w:val="StringTok"/>
        </w:rPr>
        <w:t xml:space="preserve">"SELECT id, name FROM users"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rs.Source</w:t>
      </w:r>
      <w:r>
        <w:rPr>
          <w:rStyle w:val="OtherTok"/>
        </w:rPr>
        <w:t xml:space="preserve">)</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662"/>
    <w:bookmarkEnd w:id="5663"/>
    <w:bookmarkStart w:id="5668" w:name="recordset.status-property"/>
    <w:p>
      <w:pPr>
        <w:pStyle w:val="Heading1"/>
      </w:pPr>
      <w:r>
        <w:t xml:space="preserve">Recordset.Status Property</w:t>
      </w:r>
    </w:p>
    <w:p>
      <w:pPr>
        <w:pStyle w:val="FirstParagraph"/>
      </w:pPr>
      <w:r>
        <w:t xml:space="preserve">Returns or sets record status flags for the current row context.</w:t>
      </w:r>
    </w:p>
    <w:bookmarkStart w:id="5664" w:name="syntax-655"/>
    <w:p>
      <w:pPr>
        <w:pStyle w:val="Heading2"/>
      </w:pPr>
      <w:r>
        <w:t xml:space="preserve">Syntax</w:t>
      </w:r>
    </w:p>
    <w:p>
      <w:pPr>
        <w:pStyle w:val="SourceCode"/>
      </w:pPr>
      <w:r>
        <w:rPr>
          <w:rStyle w:val="NormalTok"/>
        </w:rPr>
        <w:t xml:space="preserve">value = rs.Status</w:t>
      </w:r>
      <w:r>
        <w:br/>
      </w:r>
      <w:r>
        <w:rPr>
          <w:rStyle w:val="NormalTok"/>
        </w:rPr>
        <w:t xml:space="preserve">rs.Status = newStatus</w:t>
      </w:r>
    </w:p>
    <w:bookmarkEnd w:id="5664"/>
    <w:bookmarkStart w:id="5665" w:name="return-value-338"/>
    <w:p>
      <w:pPr>
        <w:pStyle w:val="Heading2"/>
      </w:pPr>
      <w:r>
        <w:t xml:space="preserve">Return Value</w:t>
      </w:r>
    </w:p>
    <w:p>
      <w:pPr>
        <w:pStyle w:val="FirstParagraph"/>
      </w:pPr>
      <w:r>
        <w:t xml:space="preserve">Integer. Returns record status bit flags.</w:t>
      </w:r>
    </w:p>
    <w:bookmarkEnd w:id="5665"/>
    <w:bookmarkStart w:id="5666" w:name="remarks-628"/>
    <w:p>
      <w:pPr>
        <w:pStyle w:val="Heading2"/>
      </w:pPr>
      <w:r>
        <w:t xml:space="preserve">Remarks</w:t>
      </w:r>
    </w:p>
    <w:p>
      <w:pPr>
        <w:pStyle w:val="Compact"/>
        <w:numPr>
          <w:ilvl w:val="0"/>
          <w:numId w:val="2369"/>
        </w:numPr>
      </w:pPr>
      <w:r>
        <w:t xml:space="preserve">Property names are case-insensitive.</w:t>
      </w:r>
    </w:p>
    <w:p>
      <w:pPr>
        <w:pStyle w:val="Compact"/>
        <w:numPr>
          <w:ilvl w:val="0"/>
          <w:numId w:val="2369"/>
        </w:numPr>
      </w:pPr>
      <w:r>
        <w:t xml:space="preserve">Status values are provider/runtime dependent.</w:t>
      </w:r>
    </w:p>
    <w:p>
      <w:pPr>
        <w:pStyle w:val="Compact"/>
        <w:numPr>
          <w:ilvl w:val="0"/>
          <w:numId w:val="2369"/>
        </w:numPr>
      </w:pPr>
      <w:r>
        <w:t xml:space="preserve">Use for advanced state inspection in update workflows.</w:t>
      </w:r>
    </w:p>
    <w:bookmarkEnd w:id="5666"/>
    <w:bookmarkStart w:id="5667" w:name="code-example-45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rs.Status</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67"/>
    <w:bookmarkEnd w:id="5668"/>
    <w:bookmarkStart w:id="5673" w:name="recordset.activeconnection-property"/>
    <w:p>
      <w:pPr>
        <w:pStyle w:val="Heading1"/>
      </w:pPr>
      <w:r>
        <w:t xml:space="preserve">Recordset.ActiveConnection Property</w:t>
      </w:r>
    </w:p>
    <w:p>
      <w:pPr>
        <w:pStyle w:val="FirstParagraph"/>
      </w:pPr>
      <w:r>
        <w:t xml:space="preserve">Gets or sets the connection used by the recordset.</w:t>
      </w:r>
    </w:p>
    <w:bookmarkStart w:id="5669" w:name="syntax-656"/>
    <w:p>
      <w:pPr>
        <w:pStyle w:val="Heading2"/>
      </w:pPr>
      <w:r>
        <w:t xml:space="preserve">Syntax</w:t>
      </w:r>
    </w:p>
    <w:p>
      <w:pPr>
        <w:pStyle w:val="SourceCode"/>
      </w:pPr>
      <w:r>
        <w:rPr>
          <w:rStyle w:val="NormalTok"/>
        </w:rPr>
        <w:t xml:space="preserve">Set connRef = rs.ActiveConnection</w:t>
      </w:r>
      <w:r>
        <w:br/>
      </w:r>
      <w:r>
        <w:rPr>
          <w:rStyle w:val="NormalTok"/>
        </w:rPr>
        <w:t xml:space="preserve">Set rs.ActiveConnection = conn</w:t>
      </w:r>
    </w:p>
    <w:bookmarkEnd w:id="5669"/>
    <w:bookmarkStart w:id="5670" w:name="return-value-339"/>
    <w:p>
      <w:pPr>
        <w:pStyle w:val="Heading2"/>
      </w:pPr>
      <w:r>
        <w:t xml:space="preserve">Return Value</w:t>
      </w:r>
    </w:p>
    <w:p>
      <w:pPr>
        <w:pStyle w:val="FirstParagraph"/>
      </w:pPr>
      <w:r>
        <w:t xml:space="preserve">Object. Returns an ADODB.Connection object reference.</w:t>
      </w:r>
    </w:p>
    <w:bookmarkEnd w:id="5670"/>
    <w:bookmarkStart w:id="5671" w:name="remarks-629"/>
    <w:p>
      <w:pPr>
        <w:pStyle w:val="Heading2"/>
      </w:pPr>
      <w:r>
        <w:t xml:space="preserve">Remarks</w:t>
      </w:r>
    </w:p>
    <w:p>
      <w:pPr>
        <w:pStyle w:val="Compact"/>
        <w:numPr>
          <w:ilvl w:val="0"/>
          <w:numId w:val="2370"/>
        </w:numPr>
      </w:pPr>
      <w:r>
        <w:t xml:space="preserve">Property names are case-insensitive.</w:t>
      </w:r>
    </w:p>
    <w:p>
      <w:pPr>
        <w:pStyle w:val="Compact"/>
        <w:numPr>
          <w:ilvl w:val="0"/>
          <w:numId w:val="2370"/>
        </w:numPr>
      </w:pPr>
      <w:r>
        <w:t xml:space="preserve">Use</w:t>
      </w:r>
      <w:r>
        <w:t xml:space="preserve"> </w:t>
      </w:r>
      <w:r>
        <w:rPr>
          <w:rStyle w:val="VerbatimChar"/>
        </w:rPr>
        <w:t xml:space="preserve">Set</w:t>
      </w:r>
      <w:r>
        <w:t xml:space="preserve"> </w:t>
      </w:r>
      <w:r>
        <w:t xml:space="preserve">for object assignment.</w:t>
      </w:r>
    </w:p>
    <w:p>
      <w:pPr>
        <w:pStyle w:val="Compact"/>
        <w:numPr>
          <w:ilvl w:val="0"/>
          <w:numId w:val="2370"/>
        </w:numPr>
      </w:pPr>
      <w:r>
        <w:t xml:space="preserve">Set before opening recordsets when source does not embed connection context.</w:t>
      </w:r>
    </w:p>
    <w:bookmarkEnd w:id="5671"/>
    <w:bookmarkStart w:id="5672" w:name="code-example-45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connRef</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KeywordTok"/>
        </w:rPr>
        <w:t xml:space="preserve">Set</w:t>
      </w:r>
      <w:r>
        <w:rPr>
          <w:rStyle w:val="NormalTok"/>
        </w:rPr>
        <w:t xml:space="preserve"> rs.ActiveConnection = conn</w:t>
      </w:r>
      <w:r>
        <w:br/>
      </w:r>
      <w:r>
        <w:rPr>
          <w:rStyle w:val="NormalTok"/>
        </w:rPr>
        <w:t xml:space="preserve">rs.</w:t>
      </w:r>
      <w:r>
        <w:rPr>
          <w:rStyle w:val="KeywordTok"/>
        </w:rPr>
        <w:t xml:space="preserve">Open</w:t>
      </w:r>
      <w:r>
        <w:rPr>
          <w:rStyle w:val="NormalTok"/>
        </w:rPr>
        <w:t xml:space="preserve"> </w:t>
      </w:r>
      <w:r>
        <w:rPr>
          <w:rStyle w:val="StringTok"/>
        </w:rPr>
        <w:t xml:space="preserve">"SELECT id, name FROM users"</w:t>
      </w:r>
      <w:r>
        <w:rPr>
          <w:rStyle w:val="OtherTok"/>
        </w:rPr>
        <w:t xml:space="preserve">,</w:t>
      </w:r>
      <w:r>
        <w:rPr>
          <w:rStyle w:val="NormalTok"/>
        </w:rPr>
        <w:t xml:space="preserve"> conn</w:t>
      </w:r>
      <w:r>
        <w:br/>
      </w:r>
      <w:r>
        <w:rPr>
          <w:rStyle w:val="KeywordTok"/>
        </w:rPr>
        <w:t xml:space="preserve">Set</w:t>
      </w:r>
      <w:r>
        <w:rPr>
          <w:rStyle w:val="NormalTok"/>
        </w:rPr>
        <w:t xml:space="preserve"> connRef = rs.ActiveConnection</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connRef.State</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connRef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72"/>
    <w:bookmarkEnd w:id="5673"/>
    <w:bookmarkStart w:id="5678" w:name="recordset.cursortype-property"/>
    <w:p>
      <w:pPr>
        <w:pStyle w:val="Heading1"/>
      </w:pPr>
      <w:r>
        <w:t xml:space="preserve">Recordset.CursorType Property</w:t>
      </w:r>
    </w:p>
    <w:p>
      <w:pPr>
        <w:pStyle w:val="FirstParagraph"/>
      </w:pPr>
      <w:r>
        <w:t xml:space="preserve">Gets or sets the cursor type used by the recordset.</w:t>
      </w:r>
    </w:p>
    <w:bookmarkStart w:id="5674" w:name="syntax-657"/>
    <w:p>
      <w:pPr>
        <w:pStyle w:val="Heading2"/>
      </w:pPr>
      <w:r>
        <w:t xml:space="preserve">Syntax</w:t>
      </w:r>
    </w:p>
    <w:p>
      <w:pPr>
        <w:pStyle w:val="SourceCode"/>
      </w:pPr>
      <w:r>
        <w:rPr>
          <w:rStyle w:val="NormalTok"/>
        </w:rPr>
        <w:t xml:space="preserve">value = rs.CursorType</w:t>
      </w:r>
      <w:r>
        <w:br/>
      </w:r>
      <w:r>
        <w:rPr>
          <w:rStyle w:val="NormalTok"/>
        </w:rPr>
        <w:t xml:space="preserve">rs.CursorType = newValue</w:t>
      </w:r>
    </w:p>
    <w:bookmarkEnd w:id="5674"/>
    <w:bookmarkStart w:id="5675" w:name="return-value-340"/>
    <w:p>
      <w:pPr>
        <w:pStyle w:val="Heading2"/>
      </w:pPr>
      <w:r>
        <w:t xml:space="preserve">Return Value</w:t>
      </w:r>
    </w:p>
    <w:p>
      <w:pPr>
        <w:pStyle w:val="FirstParagraph"/>
      </w:pPr>
      <w:r>
        <w:t xml:space="preserve">Integer. Returns cursor type flag.</w:t>
      </w:r>
    </w:p>
    <w:bookmarkEnd w:id="5675"/>
    <w:bookmarkStart w:id="5676" w:name="remarks-630"/>
    <w:p>
      <w:pPr>
        <w:pStyle w:val="Heading2"/>
      </w:pPr>
      <w:r>
        <w:t xml:space="preserve">Remarks</w:t>
      </w:r>
    </w:p>
    <w:p>
      <w:pPr>
        <w:pStyle w:val="Compact"/>
        <w:numPr>
          <w:ilvl w:val="0"/>
          <w:numId w:val="2371"/>
        </w:numPr>
      </w:pPr>
      <w:r>
        <w:t xml:space="preserve">Property names are case-insensitive.</w:t>
      </w:r>
    </w:p>
    <w:p>
      <w:pPr>
        <w:pStyle w:val="Compact"/>
        <w:numPr>
          <w:ilvl w:val="0"/>
          <w:numId w:val="2371"/>
        </w:numPr>
      </w:pPr>
      <w:r>
        <w:t xml:space="preserve">Set this value before opening the recordset.</w:t>
      </w:r>
    </w:p>
    <w:p>
      <w:pPr>
        <w:pStyle w:val="Compact"/>
        <w:numPr>
          <w:ilvl w:val="0"/>
          <w:numId w:val="2371"/>
        </w:numPr>
      </w:pPr>
      <w:r>
        <w:t xml:space="preserve">Cursor type affects movement and feature availability.</w:t>
      </w:r>
    </w:p>
    <w:bookmarkEnd w:id="5676"/>
    <w:bookmarkStart w:id="5677" w:name="code-example-45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rs.CursorType = </w:t>
      </w:r>
      <w:r>
        <w:rPr>
          <w:rStyle w:val="DecValTok"/>
        </w:rPr>
        <w:t xml:space="preserve">3</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rs.CursorType</w:t>
      </w:r>
      <w:r>
        <w:rPr>
          <w:rStyle w:val="OtherTok"/>
        </w:rPr>
        <w:t xml:space="preserve">)</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677"/>
    <w:bookmarkEnd w:id="5678"/>
    <w:bookmarkStart w:id="5683" w:name="recordset.locktype-property"/>
    <w:p>
      <w:pPr>
        <w:pStyle w:val="Heading1"/>
      </w:pPr>
      <w:r>
        <w:t xml:space="preserve">Recordset.LockType Property</w:t>
      </w:r>
    </w:p>
    <w:p>
      <w:pPr>
        <w:pStyle w:val="FirstParagraph"/>
      </w:pPr>
      <w:r>
        <w:t xml:space="preserve">Gets or sets the lock strategy used for record updates.</w:t>
      </w:r>
    </w:p>
    <w:bookmarkStart w:id="5679" w:name="syntax-658"/>
    <w:p>
      <w:pPr>
        <w:pStyle w:val="Heading2"/>
      </w:pPr>
      <w:r>
        <w:t xml:space="preserve">Syntax</w:t>
      </w:r>
    </w:p>
    <w:p>
      <w:pPr>
        <w:pStyle w:val="SourceCode"/>
      </w:pPr>
      <w:r>
        <w:rPr>
          <w:rStyle w:val="NormalTok"/>
        </w:rPr>
        <w:t xml:space="preserve">value = rs.LockType</w:t>
      </w:r>
      <w:r>
        <w:br/>
      </w:r>
      <w:r>
        <w:rPr>
          <w:rStyle w:val="NormalTok"/>
        </w:rPr>
        <w:t xml:space="preserve">rs.LockType = newLockType</w:t>
      </w:r>
    </w:p>
    <w:bookmarkEnd w:id="5679"/>
    <w:bookmarkStart w:id="5680" w:name="return-value-341"/>
    <w:p>
      <w:pPr>
        <w:pStyle w:val="Heading2"/>
      </w:pPr>
      <w:r>
        <w:t xml:space="preserve">Return Value</w:t>
      </w:r>
    </w:p>
    <w:p>
      <w:pPr>
        <w:pStyle w:val="FirstParagraph"/>
      </w:pPr>
      <w:r>
        <w:t xml:space="preserve">Integer. Returns lock mode flag.</w:t>
      </w:r>
    </w:p>
    <w:bookmarkEnd w:id="5680"/>
    <w:bookmarkStart w:id="5681" w:name="remarks-631"/>
    <w:p>
      <w:pPr>
        <w:pStyle w:val="Heading2"/>
      </w:pPr>
      <w:r>
        <w:t xml:space="preserve">Remarks</w:t>
      </w:r>
    </w:p>
    <w:p>
      <w:pPr>
        <w:pStyle w:val="Compact"/>
        <w:numPr>
          <w:ilvl w:val="0"/>
          <w:numId w:val="2372"/>
        </w:numPr>
      </w:pPr>
      <w:r>
        <w:t xml:space="preserve">Property names are case-insensitive.</w:t>
      </w:r>
    </w:p>
    <w:p>
      <w:pPr>
        <w:pStyle w:val="Compact"/>
        <w:numPr>
          <w:ilvl w:val="0"/>
          <w:numId w:val="2372"/>
        </w:numPr>
      </w:pPr>
      <w:r>
        <w:t xml:space="preserve">Set before opening the recordset.</w:t>
      </w:r>
    </w:p>
    <w:p>
      <w:pPr>
        <w:pStyle w:val="Compact"/>
        <w:numPr>
          <w:ilvl w:val="0"/>
          <w:numId w:val="2372"/>
        </w:numPr>
      </w:pPr>
      <w:r>
        <w:t xml:space="preserve">Lock strategy affects concurrency and update behavior.</w:t>
      </w:r>
    </w:p>
    <w:bookmarkEnd w:id="5681"/>
    <w:bookmarkStart w:id="5682" w:name="code-example-45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rs.LockType = </w:t>
      </w:r>
      <w:r>
        <w:rPr>
          <w:rStyle w:val="DecValTok"/>
        </w:rPr>
        <w:t xml:space="preserve">3</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rs.LockType</w:t>
      </w:r>
      <w:r>
        <w:rPr>
          <w:rStyle w:val="OtherTok"/>
        </w:rPr>
        <w:t xml:space="preserve">)</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682"/>
    <w:bookmarkEnd w:id="5683"/>
    <w:bookmarkStart w:id="5688" w:name="recordset.cursorlocation-property"/>
    <w:p>
      <w:pPr>
        <w:pStyle w:val="Heading1"/>
      </w:pPr>
      <w:r>
        <w:t xml:space="preserve">Recordset.CursorLocation Property</w:t>
      </w:r>
    </w:p>
    <w:p>
      <w:pPr>
        <w:pStyle w:val="FirstParagraph"/>
      </w:pPr>
      <w:r>
        <w:t xml:space="preserve">Gets or sets cursor location mode for the recordset.</w:t>
      </w:r>
    </w:p>
    <w:bookmarkStart w:id="5684" w:name="syntax-659"/>
    <w:p>
      <w:pPr>
        <w:pStyle w:val="Heading2"/>
      </w:pPr>
      <w:r>
        <w:t xml:space="preserve">Syntax</w:t>
      </w:r>
    </w:p>
    <w:p>
      <w:pPr>
        <w:pStyle w:val="SourceCode"/>
      </w:pPr>
      <w:r>
        <w:rPr>
          <w:rStyle w:val="NormalTok"/>
        </w:rPr>
        <w:t xml:space="preserve">value = rs.CursorLocation</w:t>
      </w:r>
      <w:r>
        <w:br/>
      </w:r>
      <w:r>
        <w:rPr>
          <w:rStyle w:val="NormalTok"/>
        </w:rPr>
        <w:t xml:space="preserve">rs.CursorLocation = newValue</w:t>
      </w:r>
    </w:p>
    <w:bookmarkEnd w:id="5684"/>
    <w:bookmarkStart w:id="5685" w:name="return-value-342"/>
    <w:p>
      <w:pPr>
        <w:pStyle w:val="Heading2"/>
      </w:pPr>
      <w:r>
        <w:t xml:space="preserve">Return Value</w:t>
      </w:r>
    </w:p>
    <w:p>
      <w:pPr>
        <w:pStyle w:val="FirstParagraph"/>
      </w:pPr>
      <w:r>
        <w:t xml:space="preserve">Integer. Returns cursor location flag.</w:t>
      </w:r>
    </w:p>
    <w:bookmarkEnd w:id="5685"/>
    <w:bookmarkStart w:id="5686" w:name="remarks-632"/>
    <w:p>
      <w:pPr>
        <w:pStyle w:val="Heading2"/>
      </w:pPr>
      <w:r>
        <w:t xml:space="preserve">Remarks</w:t>
      </w:r>
    </w:p>
    <w:p>
      <w:pPr>
        <w:pStyle w:val="Compact"/>
        <w:numPr>
          <w:ilvl w:val="0"/>
          <w:numId w:val="2373"/>
        </w:numPr>
      </w:pPr>
      <w:r>
        <w:t xml:space="preserve">Property names are case-insensitive.</w:t>
      </w:r>
    </w:p>
    <w:p>
      <w:pPr>
        <w:pStyle w:val="Compact"/>
        <w:numPr>
          <w:ilvl w:val="0"/>
          <w:numId w:val="2373"/>
        </w:numPr>
      </w:pPr>
      <w:r>
        <w:t xml:space="preserve">Typical values are server-side and client-side cursor constants.</w:t>
      </w:r>
    </w:p>
    <w:p>
      <w:pPr>
        <w:pStyle w:val="Compact"/>
        <w:numPr>
          <w:ilvl w:val="0"/>
          <w:numId w:val="2373"/>
        </w:numPr>
      </w:pPr>
      <w:r>
        <w:t xml:space="preserve">Set prior to opening the recordset.</w:t>
      </w:r>
    </w:p>
    <w:bookmarkEnd w:id="5686"/>
    <w:bookmarkStart w:id="5687" w:name="code-example-45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rs</w:t>
      </w:r>
      <w:r>
        <w:br/>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rs.CursorLocation = </w:t>
      </w:r>
      <w:r>
        <w:rPr>
          <w:rStyle w:val="DecValTok"/>
        </w:rPr>
        <w:t xml:space="preserve">3</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rs.CursorLocation</w:t>
      </w:r>
      <w:r>
        <w:rPr>
          <w:rStyle w:val="OtherTok"/>
        </w:rPr>
        <w:t xml:space="preserve">)</w:t>
      </w:r>
      <w:r>
        <w:br/>
      </w:r>
      <w:r>
        <w:br/>
      </w:r>
      <w:r>
        <w:rPr>
          <w:rStyle w:val="KeywordTok"/>
        </w:rPr>
        <w:t xml:space="preserve">Set</w:t>
      </w:r>
      <w:r>
        <w:rPr>
          <w:rStyle w:val="NormalTok"/>
        </w:rPr>
        <w:t xml:space="preserve"> rs = </w:t>
      </w:r>
      <w:r>
        <w:rPr>
          <w:rStyle w:val="KeywordTok"/>
        </w:rPr>
        <w:t xml:space="preserve">Nothing</w:t>
      </w:r>
      <w:r>
        <w:br/>
      </w:r>
      <w:r>
        <w:rPr>
          <w:rStyle w:val="DataTypeTok"/>
        </w:rPr>
        <w:t xml:space="preserve">%&gt;</w:t>
      </w:r>
    </w:p>
    <w:bookmarkEnd w:id="5687"/>
    <w:bookmarkEnd w:id="5688"/>
    <w:bookmarkStart w:id="5693" w:name="command.activeconnection-property"/>
    <w:p>
      <w:pPr>
        <w:pStyle w:val="Heading1"/>
      </w:pPr>
      <w:r>
        <w:t xml:space="preserve">Command.ActiveConnection Property</w:t>
      </w:r>
    </w:p>
    <w:p>
      <w:pPr>
        <w:pStyle w:val="FirstParagraph"/>
      </w:pPr>
      <w:r>
        <w:t xml:space="preserve">Gets or sets the Connection object used by the command.</w:t>
      </w:r>
    </w:p>
    <w:bookmarkStart w:id="5689" w:name="syntax-660"/>
    <w:p>
      <w:pPr>
        <w:pStyle w:val="Heading2"/>
      </w:pPr>
      <w:r>
        <w:t xml:space="preserve">Syntax</w:t>
      </w:r>
    </w:p>
    <w:p>
      <w:pPr>
        <w:pStyle w:val="SourceCode"/>
      </w:pPr>
      <w:r>
        <w:rPr>
          <w:rStyle w:val="NormalTok"/>
        </w:rPr>
        <w:t xml:space="preserve">Set connRef = cmd.ActiveConnection</w:t>
      </w:r>
      <w:r>
        <w:br/>
      </w:r>
      <w:r>
        <w:rPr>
          <w:rStyle w:val="NormalTok"/>
        </w:rPr>
        <w:t xml:space="preserve">Set cmd.ActiveConnection = conn</w:t>
      </w:r>
    </w:p>
    <w:bookmarkEnd w:id="5689"/>
    <w:bookmarkStart w:id="5690" w:name="return-value-343"/>
    <w:p>
      <w:pPr>
        <w:pStyle w:val="Heading2"/>
      </w:pPr>
      <w:r>
        <w:t xml:space="preserve">Return Value</w:t>
      </w:r>
    </w:p>
    <w:p>
      <w:pPr>
        <w:pStyle w:val="FirstParagraph"/>
      </w:pPr>
      <w:r>
        <w:t xml:space="preserve">Object. Returns an ADODB.Connection object reference.</w:t>
      </w:r>
    </w:p>
    <w:bookmarkEnd w:id="5690"/>
    <w:bookmarkStart w:id="5691" w:name="remarks-633"/>
    <w:p>
      <w:pPr>
        <w:pStyle w:val="Heading2"/>
      </w:pPr>
      <w:r>
        <w:t xml:space="preserve">Remarks</w:t>
      </w:r>
    </w:p>
    <w:p>
      <w:pPr>
        <w:pStyle w:val="Compact"/>
        <w:numPr>
          <w:ilvl w:val="0"/>
          <w:numId w:val="2374"/>
        </w:numPr>
      </w:pPr>
      <w:r>
        <w:t xml:space="preserve">Property names are case-insensitive.</w:t>
      </w:r>
    </w:p>
    <w:p>
      <w:pPr>
        <w:pStyle w:val="Compact"/>
        <w:numPr>
          <w:ilvl w:val="0"/>
          <w:numId w:val="2374"/>
        </w:numPr>
      </w:pPr>
      <w:r>
        <w:t xml:space="preserve">Use</w:t>
      </w:r>
      <w:r>
        <w:t xml:space="preserve"> </w:t>
      </w:r>
      <w:r>
        <w:rPr>
          <w:rStyle w:val="VerbatimChar"/>
        </w:rPr>
        <w:t xml:space="preserve">Set</w:t>
      </w:r>
      <w:r>
        <w:t xml:space="preserve"> </w:t>
      </w:r>
      <w:r>
        <w:t xml:space="preserve">when assigning or reading this object property.</w:t>
      </w:r>
    </w:p>
    <w:p>
      <w:pPr>
        <w:pStyle w:val="Compact"/>
        <w:numPr>
          <w:ilvl w:val="0"/>
          <w:numId w:val="2374"/>
        </w:numPr>
      </w:pPr>
      <w:r>
        <w:t xml:space="preserve">This property must be set before calling</w:t>
      </w:r>
      <w:r>
        <w:t xml:space="preserve"> </w:t>
      </w:r>
      <w:r>
        <w:rPr>
          <w:rStyle w:val="VerbatimChar"/>
        </w:rPr>
        <w:t xml:space="preserve">Command.Execute</w:t>
      </w:r>
      <w:r>
        <w:t xml:space="preserve">.</w:t>
      </w:r>
    </w:p>
    <w:p>
      <w:pPr>
        <w:pStyle w:val="Compact"/>
        <w:numPr>
          <w:ilvl w:val="0"/>
          <w:numId w:val="2374"/>
        </w:numPr>
      </w:pPr>
      <w:r>
        <w:t xml:space="preserve">Reassigning ActiveConnection changes the connection target for future executions.</w:t>
      </w:r>
    </w:p>
    <w:bookmarkEnd w:id="5691"/>
    <w:bookmarkStart w:id="5692" w:name="code-example-46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rPr>
          <w:rStyle w:val="OtherTok"/>
        </w:rPr>
        <w:t xml:space="preserve">,</w:t>
      </w:r>
      <w:r>
        <w:rPr>
          <w:rStyle w:val="NormalTok"/>
        </w:rPr>
        <w:t xml:space="preserve"> connRef</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KeywordTok"/>
        </w:rPr>
        <w:t xml:space="preserve">Set</w:t>
      </w:r>
      <w:r>
        <w:rPr>
          <w:rStyle w:val="NormalTok"/>
        </w:rPr>
        <w:t xml:space="preserve"> connRef = cmd.ActiveConnection</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"Connection 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connRef.State</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connRef = </w:t>
      </w:r>
      <w:r>
        <w:rPr>
          <w:rStyle w:val="KeywordTok"/>
        </w:rPr>
        <w:t xml:space="preserve">Nothing</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92"/>
    <w:bookmarkEnd w:id="5693"/>
    <w:bookmarkStart w:id="5698" w:name="command.commandtext-property"/>
    <w:p>
      <w:pPr>
        <w:pStyle w:val="Heading1"/>
      </w:pPr>
      <w:r>
        <w:t xml:space="preserve">Command.CommandText Property</w:t>
      </w:r>
    </w:p>
    <w:p>
      <w:pPr>
        <w:pStyle w:val="FirstParagraph"/>
      </w:pPr>
      <w:r>
        <w:t xml:space="preserve">Gets or sets the SQL statement or stored procedure name executed by the command.</w:t>
      </w:r>
    </w:p>
    <w:bookmarkStart w:id="5694" w:name="syntax-661"/>
    <w:p>
      <w:pPr>
        <w:pStyle w:val="Heading2"/>
      </w:pPr>
      <w:r>
        <w:t xml:space="preserve">Syntax</w:t>
      </w:r>
    </w:p>
    <w:p>
      <w:pPr>
        <w:pStyle w:val="SourceCode"/>
      </w:pPr>
      <w:r>
        <w:rPr>
          <w:rStyle w:val="NormalTok"/>
        </w:rPr>
        <w:t xml:space="preserve">sql = cmd.CommandText</w:t>
      </w:r>
      <w:r>
        <w:br/>
      </w:r>
      <w:r>
        <w:rPr>
          <w:rStyle w:val="NormalTok"/>
        </w:rPr>
        <w:t xml:space="preserve">cmd.CommandText = "SELECT id, name FROM users"</w:t>
      </w:r>
    </w:p>
    <w:bookmarkEnd w:id="5694"/>
    <w:bookmarkStart w:id="5695" w:name="return-value-344"/>
    <w:p>
      <w:pPr>
        <w:pStyle w:val="Heading2"/>
      </w:pPr>
      <w:r>
        <w:t xml:space="preserve">Return Value</w:t>
      </w:r>
    </w:p>
    <w:p>
      <w:pPr>
        <w:pStyle w:val="FirstParagraph"/>
      </w:pPr>
      <w:r>
        <w:t xml:space="preserve">String. Returns the current command text.</w:t>
      </w:r>
    </w:p>
    <w:bookmarkEnd w:id="5695"/>
    <w:bookmarkStart w:id="5696" w:name="remarks-634"/>
    <w:p>
      <w:pPr>
        <w:pStyle w:val="Heading2"/>
      </w:pPr>
      <w:r>
        <w:t xml:space="preserve">Remarks</w:t>
      </w:r>
    </w:p>
    <w:p>
      <w:pPr>
        <w:pStyle w:val="Compact"/>
        <w:numPr>
          <w:ilvl w:val="0"/>
          <w:numId w:val="2375"/>
        </w:numPr>
      </w:pPr>
      <w:r>
        <w:t xml:space="preserve">Property names are case-insensitive.</w:t>
      </w:r>
    </w:p>
    <w:p>
      <w:pPr>
        <w:pStyle w:val="Compact"/>
        <w:numPr>
          <w:ilvl w:val="0"/>
          <w:numId w:val="2375"/>
        </w:numPr>
      </w:pPr>
      <w:r>
        <w:t xml:space="preserve">Set CommandText before calling Execute.</w:t>
      </w:r>
    </w:p>
    <w:p>
      <w:pPr>
        <w:pStyle w:val="Compact"/>
        <w:numPr>
          <w:ilvl w:val="0"/>
          <w:numId w:val="2375"/>
        </w:numPr>
      </w:pPr>
      <w:r>
        <w:t xml:space="preserve">For parameterized statements, use placeholders and append parameters in the same order.</w:t>
      </w:r>
    </w:p>
    <w:p>
      <w:pPr>
        <w:pStyle w:val="Compact"/>
        <w:numPr>
          <w:ilvl w:val="0"/>
          <w:numId w:val="2375"/>
        </w:numPr>
      </w:pPr>
      <w:r>
        <w:t xml:space="preserve">CommandText can contain SELECT, INSERT, UPDATE, DELETE, or provider-supported statements.</w:t>
      </w:r>
    </w:p>
    <w:bookmarkEnd w:id="5696"/>
    <w:bookmarkStart w:id="5697" w:name="code-example-46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NormalTok"/>
        </w:rPr>
        <w:t xml:space="preserve">cmd.CommandText = </w:t>
      </w:r>
      <w:r>
        <w:rPr>
          <w:rStyle w:val="StringTok"/>
        </w:rPr>
        <w:t xml:space="preserve">"SELECT id, name FROM users WHERE active = 1"</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"Command text: "</w:t>
      </w:r>
      <w:r>
        <w:rPr>
          <w:rStyle w:val="NormalTok"/>
        </w:rPr>
        <w:t xml:space="preserve"> </w:t>
      </w:r>
      <w:r>
        <w:rPr>
          <w:rStyle w:val="KeywordTok"/>
        </w:rPr>
        <w:t xml:space="preserve">&amp;</w:t>
      </w:r>
      <w:r>
        <w:rPr>
          <w:rStyle w:val="NormalTok"/>
        </w:rPr>
        <w:t xml:space="preserve"> cmd.CommandText</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697"/>
    <w:bookmarkEnd w:id="5698"/>
    <w:bookmarkStart w:id="5703" w:name="command.commandtype-property"/>
    <w:p>
      <w:pPr>
        <w:pStyle w:val="Heading1"/>
      </w:pPr>
      <w:r>
        <w:t xml:space="preserve">Command.CommandType Property</w:t>
      </w:r>
    </w:p>
    <w:p>
      <w:pPr>
        <w:pStyle w:val="FirstParagraph"/>
      </w:pPr>
      <w:r>
        <w:t xml:space="preserve">Gets or sets how CommandText should be interpreted.</w:t>
      </w:r>
    </w:p>
    <w:bookmarkStart w:id="5699" w:name="syntax-662"/>
    <w:p>
      <w:pPr>
        <w:pStyle w:val="Heading2"/>
      </w:pPr>
      <w:r>
        <w:t xml:space="preserve">Syntax</w:t>
      </w:r>
    </w:p>
    <w:p>
      <w:pPr>
        <w:pStyle w:val="SourceCode"/>
      </w:pPr>
      <w:r>
        <w:rPr>
          <w:rStyle w:val="NormalTok"/>
        </w:rPr>
        <w:t xml:space="preserve">kind = cmd.CommandType</w:t>
      </w:r>
      <w:r>
        <w:br/>
      </w:r>
      <w:r>
        <w:rPr>
          <w:rStyle w:val="NormalTok"/>
        </w:rPr>
        <w:t xml:space="preserve">cmd.CommandType = 1</w:t>
      </w:r>
    </w:p>
    <w:bookmarkEnd w:id="5699"/>
    <w:bookmarkStart w:id="5700" w:name="return-value-345"/>
    <w:p>
      <w:pPr>
        <w:pStyle w:val="Heading2"/>
      </w:pPr>
      <w:r>
        <w:t xml:space="preserve">Return Value</w:t>
      </w:r>
    </w:p>
    <w:p>
      <w:pPr>
        <w:pStyle w:val="FirstParagraph"/>
      </w:pPr>
      <w:r>
        <w:t xml:space="preserve">Integer. Returns the command type flag.</w:t>
      </w:r>
    </w:p>
    <w:bookmarkEnd w:id="5700"/>
    <w:bookmarkStart w:id="5701" w:name="remarks-635"/>
    <w:p>
      <w:pPr>
        <w:pStyle w:val="Heading2"/>
      </w:pPr>
      <w:r>
        <w:t xml:space="preserve">Remarks</w:t>
      </w:r>
    </w:p>
    <w:p>
      <w:pPr>
        <w:pStyle w:val="Compact"/>
        <w:numPr>
          <w:ilvl w:val="0"/>
          <w:numId w:val="2376"/>
        </w:numPr>
      </w:pPr>
      <w:r>
        <w:t xml:space="preserve">Property names are case-insensitive.</w:t>
      </w:r>
    </w:p>
    <w:p>
      <w:pPr>
        <w:pStyle w:val="Compact"/>
        <w:numPr>
          <w:ilvl w:val="0"/>
          <w:numId w:val="2376"/>
        </w:numPr>
      </w:pPr>
      <w:r>
        <w:t xml:space="preserve">Common values are</w:t>
      </w:r>
      <w:r>
        <w:t xml:space="preserve"> </w:t>
      </w:r>
      <w:r>
        <w:rPr>
          <w:rStyle w:val="VerbatimChar"/>
        </w:rPr>
        <w:t xml:space="preserve">1</w:t>
      </w:r>
      <w:r>
        <w:t xml:space="preserve"> </w:t>
      </w:r>
      <w:r>
        <w:t xml:space="preserve">for text command and</w:t>
      </w:r>
      <w:r>
        <w:t xml:space="preserve"> </w:t>
      </w:r>
      <w:r>
        <w:rPr>
          <w:rStyle w:val="VerbatimChar"/>
        </w:rPr>
        <w:t xml:space="preserve">4</w:t>
      </w:r>
      <w:r>
        <w:t xml:space="preserve"> </w:t>
      </w:r>
      <w:r>
        <w:t xml:space="preserve">for stored procedure.</w:t>
      </w:r>
    </w:p>
    <w:p>
      <w:pPr>
        <w:pStyle w:val="Compact"/>
        <w:numPr>
          <w:ilvl w:val="0"/>
          <w:numId w:val="2376"/>
        </w:numPr>
      </w:pPr>
      <w:r>
        <w:t xml:space="preserve">Use</w:t>
      </w:r>
      <w:r>
        <w:t xml:space="preserve"> </w:t>
      </w:r>
      <w:r>
        <w:rPr>
          <w:rStyle w:val="VerbatimChar"/>
        </w:rPr>
        <w:t xml:space="preserve">1</w:t>
      </w:r>
      <w:r>
        <w:t xml:space="preserve"> </w:t>
      </w:r>
      <w:r>
        <w:t xml:space="preserve">for SQL text in most AxonASP ADODB scenarios.</w:t>
      </w:r>
    </w:p>
    <w:p>
      <w:pPr>
        <w:pStyle w:val="Compact"/>
        <w:numPr>
          <w:ilvl w:val="0"/>
          <w:numId w:val="2376"/>
        </w:numPr>
      </w:pPr>
      <w:r>
        <w:t xml:space="preserve">Set CommandType before Execute for predictable provider behavior.</w:t>
      </w:r>
    </w:p>
    <w:bookmarkEnd w:id="5701"/>
    <w:bookmarkStart w:id="5702" w:name="code-example-46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NormalTok"/>
        </w:rPr>
        <w:t xml:space="preserve">cmd.CommandType = </w:t>
      </w:r>
      <w:r>
        <w:rPr>
          <w:rStyle w:val="DecValTok"/>
        </w:rPr>
        <w:t xml:space="preserve">1</w:t>
      </w:r>
      <w:r>
        <w:br/>
      </w:r>
      <w:r>
        <w:rPr>
          <w:rStyle w:val="NormalTok"/>
        </w:rPr>
        <w:t xml:space="preserve">cmd.CommandText = </w:t>
      </w:r>
      <w:r>
        <w:rPr>
          <w:rStyle w:val="StringTok"/>
        </w:rPr>
        <w:t xml:space="preserve">"SELECT COUNT(*) AS total FROM users"</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"CommandType: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cmd.CommandType</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02"/>
    <w:bookmarkEnd w:id="5703"/>
    <w:bookmarkStart w:id="5708" w:name="command.commandtimeout-property"/>
    <w:p>
      <w:pPr>
        <w:pStyle w:val="Heading1"/>
      </w:pPr>
      <w:r>
        <w:t xml:space="preserve">Command.CommandTimeout Property</w:t>
      </w:r>
    </w:p>
    <w:p>
      <w:pPr>
        <w:pStyle w:val="FirstParagraph"/>
      </w:pPr>
      <w:r>
        <w:t xml:space="preserve">Gets or sets the maximum execution time for the command, in seconds.</w:t>
      </w:r>
    </w:p>
    <w:bookmarkStart w:id="5704" w:name="syntax-663"/>
    <w:p>
      <w:pPr>
        <w:pStyle w:val="Heading2"/>
      </w:pPr>
      <w:r>
        <w:t xml:space="preserve">Syntax</w:t>
      </w:r>
    </w:p>
    <w:p>
      <w:pPr>
        <w:pStyle w:val="SourceCode"/>
      </w:pPr>
      <w:r>
        <w:rPr>
          <w:rStyle w:val="NormalTok"/>
        </w:rPr>
        <w:t xml:space="preserve">seconds = cmd.CommandTimeout</w:t>
      </w:r>
      <w:r>
        <w:br/>
      </w:r>
      <w:r>
        <w:rPr>
          <w:rStyle w:val="NormalTok"/>
        </w:rPr>
        <w:t xml:space="preserve">cmd.CommandTimeout = 30</w:t>
      </w:r>
    </w:p>
    <w:bookmarkEnd w:id="5704"/>
    <w:bookmarkStart w:id="5705" w:name="return-value-346"/>
    <w:p>
      <w:pPr>
        <w:pStyle w:val="Heading2"/>
      </w:pPr>
      <w:r>
        <w:t xml:space="preserve">Return Value</w:t>
      </w:r>
    </w:p>
    <w:p>
      <w:pPr>
        <w:pStyle w:val="FirstParagraph"/>
      </w:pPr>
      <w:r>
        <w:t xml:space="preserve">Integer. Returns the configured timeout value in seconds.</w:t>
      </w:r>
    </w:p>
    <w:bookmarkEnd w:id="5705"/>
    <w:bookmarkStart w:id="5706" w:name="remarks-636"/>
    <w:p>
      <w:pPr>
        <w:pStyle w:val="Heading2"/>
      </w:pPr>
      <w:r>
        <w:t xml:space="preserve">Remarks</w:t>
      </w:r>
    </w:p>
    <w:p>
      <w:pPr>
        <w:pStyle w:val="Compact"/>
        <w:numPr>
          <w:ilvl w:val="0"/>
          <w:numId w:val="2377"/>
        </w:numPr>
      </w:pPr>
      <w:r>
        <w:t xml:space="preserve">Property names are case-insensitive.</w:t>
      </w:r>
    </w:p>
    <w:p>
      <w:pPr>
        <w:pStyle w:val="Compact"/>
        <w:numPr>
          <w:ilvl w:val="0"/>
          <w:numId w:val="2377"/>
        </w:numPr>
      </w:pPr>
      <w:r>
        <w:t xml:space="preserve">Use this property to prevent long-running commands from blocking request execution.</w:t>
      </w:r>
    </w:p>
    <w:p>
      <w:pPr>
        <w:pStyle w:val="Compact"/>
        <w:numPr>
          <w:ilvl w:val="0"/>
          <w:numId w:val="2377"/>
        </w:numPr>
      </w:pPr>
      <w:r>
        <w:t xml:space="preserve">Set before calling Execute.</w:t>
      </w:r>
    </w:p>
    <w:p>
      <w:pPr>
        <w:pStyle w:val="Compact"/>
        <w:numPr>
          <w:ilvl w:val="0"/>
          <w:numId w:val="2377"/>
        </w:numPr>
      </w:pPr>
      <w:r>
        <w:t xml:space="preserve">Provider behavior can vary when timeout is</w:t>
      </w:r>
      <w:r>
        <w:t xml:space="preserve"> </w:t>
      </w:r>
      <w:r>
        <w:rPr>
          <w:rStyle w:val="VerbatimChar"/>
        </w:rPr>
        <w:t xml:space="preserve">0</w:t>
      </w:r>
      <w:r>
        <w:t xml:space="preserve"> </w:t>
      </w:r>
      <w:r>
        <w:t xml:space="preserve">(infinite or provider default).</w:t>
      </w:r>
    </w:p>
    <w:bookmarkEnd w:id="5706"/>
    <w:bookmarkStart w:id="5707" w:name="code-example-46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NormalTok"/>
        </w:rPr>
        <w:t xml:space="preserve">cmd.CommandText = </w:t>
      </w:r>
      <w:r>
        <w:rPr>
          <w:rStyle w:val="StringTok"/>
        </w:rPr>
        <w:t xml:space="preserve">"SELECT id FROM users"</w:t>
      </w:r>
      <w:r>
        <w:br/>
      </w:r>
      <w:r>
        <w:rPr>
          <w:rStyle w:val="NormalTok"/>
        </w:rPr>
        <w:t xml:space="preserve">cmd.CommandTimeout = </w:t>
      </w:r>
      <w:r>
        <w:rPr>
          <w:rStyle w:val="DecValTok"/>
        </w:rPr>
        <w:t xml:space="preserve">15</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"Timeout: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cmd.CommandTimeout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seconds"</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07"/>
    <w:bookmarkEnd w:id="5708"/>
    <w:bookmarkStart w:id="5713" w:name="command.prepared-property"/>
    <w:p>
      <w:pPr>
        <w:pStyle w:val="Heading1"/>
      </w:pPr>
      <w:r>
        <w:t xml:space="preserve">Command.Prepared Property</w:t>
      </w:r>
    </w:p>
    <w:p>
      <w:pPr>
        <w:pStyle w:val="FirstParagraph"/>
      </w:pPr>
      <w:r>
        <w:t xml:space="preserve">Gets or sets whether the command should be prepared before execution.</w:t>
      </w:r>
    </w:p>
    <w:bookmarkStart w:id="5709" w:name="syntax-664"/>
    <w:p>
      <w:pPr>
        <w:pStyle w:val="Heading2"/>
      </w:pPr>
      <w:r>
        <w:t xml:space="preserve">Syntax</w:t>
      </w:r>
    </w:p>
    <w:p>
      <w:pPr>
        <w:pStyle w:val="SourceCode"/>
      </w:pPr>
      <w:r>
        <w:rPr>
          <w:rStyle w:val="NormalTok"/>
        </w:rPr>
        <w:t xml:space="preserve">isPrepared = cmd.Prepared</w:t>
      </w:r>
      <w:r>
        <w:br/>
      </w:r>
      <w:r>
        <w:rPr>
          <w:rStyle w:val="NormalTok"/>
        </w:rPr>
        <w:t xml:space="preserve">cmd.Prepared = True</w:t>
      </w:r>
    </w:p>
    <w:bookmarkEnd w:id="5709"/>
    <w:bookmarkStart w:id="5710" w:name="return-value-347"/>
    <w:p>
      <w:pPr>
        <w:pStyle w:val="Heading2"/>
      </w:pPr>
      <w:r>
        <w:t xml:space="preserve">Return Value</w:t>
      </w:r>
    </w:p>
    <w:p>
      <w:pPr>
        <w:pStyle w:val="FirstParagraph"/>
      </w:pPr>
      <w:r>
        <w:t xml:space="preserve">Boolean. Returns True when prepared mode is enabled; otherwise False.</w:t>
      </w:r>
    </w:p>
    <w:bookmarkEnd w:id="5710"/>
    <w:bookmarkStart w:id="5711" w:name="remarks-637"/>
    <w:p>
      <w:pPr>
        <w:pStyle w:val="Heading2"/>
      </w:pPr>
      <w:r>
        <w:t xml:space="preserve">Remarks</w:t>
      </w:r>
    </w:p>
    <w:p>
      <w:pPr>
        <w:pStyle w:val="Compact"/>
        <w:numPr>
          <w:ilvl w:val="0"/>
          <w:numId w:val="2378"/>
        </w:numPr>
      </w:pPr>
      <w:r>
        <w:t xml:space="preserve">Property names are case-insensitive.</w:t>
      </w:r>
    </w:p>
    <w:p>
      <w:pPr>
        <w:pStyle w:val="Compact"/>
        <w:numPr>
          <w:ilvl w:val="0"/>
          <w:numId w:val="2378"/>
        </w:numPr>
      </w:pPr>
      <w:r>
        <w:t xml:space="preserve">Prepared mode can improve performance for repeated command execution.</w:t>
      </w:r>
    </w:p>
    <w:p>
      <w:pPr>
        <w:pStyle w:val="Compact"/>
        <w:numPr>
          <w:ilvl w:val="0"/>
          <w:numId w:val="2378"/>
        </w:numPr>
      </w:pPr>
      <w:r>
        <w:t xml:space="preserve">Some providers may ignore this hint.</w:t>
      </w:r>
    </w:p>
    <w:p>
      <w:pPr>
        <w:pStyle w:val="Compact"/>
        <w:numPr>
          <w:ilvl w:val="0"/>
          <w:numId w:val="2378"/>
        </w:numPr>
      </w:pPr>
      <w:r>
        <w:t xml:space="preserve">Set this property before the first Execute call.</w:t>
      </w:r>
    </w:p>
    <w:bookmarkEnd w:id="5711"/>
    <w:bookmarkStart w:id="5712" w:name="code-example-46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NormalTok"/>
        </w:rPr>
        <w:t xml:space="preserve">cmd.CommandText = </w:t>
      </w:r>
      <w:r>
        <w:rPr>
          <w:rStyle w:val="StringTok"/>
        </w:rPr>
        <w:t xml:space="preserve">"SELECT id, name FROM users WHERE active = 1"</w:t>
      </w:r>
      <w:r>
        <w:br/>
      </w:r>
      <w:r>
        <w:rPr>
          <w:rStyle w:val="NormalTok"/>
        </w:rPr>
        <w:t xml:space="preserve">cmd.Prepared = </w:t>
      </w:r>
      <w:r>
        <w:rPr>
          <w:rStyle w:val="KeywordTok"/>
        </w:rPr>
        <w:t xml:space="preserve">True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"Prepared: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cmd.Prepared</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12"/>
    <w:bookmarkEnd w:id="5713"/>
    <w:bookmarkStart w:id="5718" w:name="command.parameters-property"/>
    <w:p>
      <w:pPr>
        <w:pStyle w:val="Heading1"/>
      </w:pPr>
      <w:r>
        <w:t xml:space="preserve">Command.Parameters Property</w:t>
      </w:r>
    </w:p>
    <w:p>
      <w:pPr>
        <w:pStyle w:val="FirstParagraph"/>
      </w:pPr>
      <w:r>
        <w:t xml:space="preserve">Returns the Parameters collection bound to the command.</w:t>
      </w:r>
    </w:p>
    <w:bookmarkStart w:id="5714" w:name="syntax-665"/>
    <w:p>
      <w:pPr>
        <w:pStyle w:val="Heading2"/>
      </w:pPr>
      <w:r>
        <w:t xml:space="preserve">Syntax</w:t>
      </w:r>
    </w:p>
    <w:p>
      <w:pPr>
        <w:pStyle w:val="SourceCode"/>
      </w:pPr>
      <w:r>
        <w:rPr>
          <w:rStyle w:val="NormalTok"/>
        </w:rPr>
        <w:t xml:space="preserve">Set params = cmd.Parameters</w:t>
      </w:r>
    </w:p>
    <w:bookmarkEnd w:id="5714"/>
    <w:bookmarkStart w:id="5715" w:name="return-value-348"/>
    <w:p>
      <w:pPr>
        <w:pStyle w:val="Heading2"/>
      </w:pPr>
      <w:r>
        <w:t xml:space="preserve">Return Value</w:t>
      </w:r>
    </w:p>
    <w:p>
      <w:pPr>
        <w:pStyle w:val="FirstParagraph"/>
      </w:pPr>
      <w:r>
        <w:t xml:space="preserve">Object. Returns an ADODB.Parameters collection object.</w:t>
      </w:r>
    </w:p>
    <w:bookmarkEnd w:id="5715"/>
    <w:bookmarkStart w:id="5716" w:name="remarks-638"/>
    <w:p>
      <w:pPr>
        <w:pStyle w:val="Heading2"/>
      </w:pPr>
      <w:r>
        <w:t xml:space="preserve">Remarks</w:t>
      </w:r>
    </w:p>
    <w:p>
      <w:pPr>
        <w:pStyle w:val="Compact"/>
        <w:numPr>
          <w:ilvl w:val="0"/>
          <w:numId w:val="2379"/>
        </w:numPr>
      </w:pPr>
      <w:r>
        <w:t xml:space="preserve">Property names are case-insensitive.</w:t>
      </w:r>
    </w:p>
    <w:p>
      <w:pPr>
        <w:pStyle w:val="Compact"/>
        <w:numPr>
          <w:ilvl w:val="0"/>
          <w:numId w:val="2379"/>
        </w:numPr>
      </w:pPr>
      <w:r>
        <w:t xml:space="preserve">This property is read-only.</w:t>
      </w:r>
    </w:p>
    <w:p>
      <w:pPr>
        <w:pStyle w:val="Compact"/>
        <w:numPr>
          <w:ilvl w:val="0"/>
          <w:numId w:val="2379"/>
        </w:numPr>
      </w:pPr>
      <w:r>
        <w:t xml:space="preserve">Use</w:t>
      </w:r>
      <w:r>
        <w:t xml:space="preserve"> </w:t>
      </w:r>
      <w:r>
        <w:rPr>
          <w:rStyle w:val="VerbatimChar"/>
        </w:rPr>
        <w:t xml:space="preserve">CreateParameter</w:t>
      </w:r>
      <w:r>
        <w:t xml:space="preserve"> </w:t>
      </w:r>
      <w:r>
        <w:t xml:space="preserve">and</w:t>
      </w:r>
      <w:r>
        <w:t xml:space="preserve"> </w:t>
      </w:r>
      <w:r>
        <w:rPr>
          <w:rStyle w:val="VerbatimChar"/>
        </w:rPr>
        <w:t xml:space="preserve">Parameters.Append</w:t>
      </w:r>
      <w:r>
        <w:t xml:space="preserve"> </w:t>
      </w:r>
      <w:r>
        <w:t xml:space="preserve">to populate the collection.</w:t>
      </w:r>
    </w:p>
    <w:bookmarkEnd w:id="5716"/>
    <w:bookmarkStart w:id="5717" w:name="code-example-46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rPr>
          <w:rStyle w:val="OtherTok"/>
        </w:rPr>
        <w:t xml:space="preserve">,</w:t>
      </w:r>
      <w:r>
        <w:rPr>
          <w:rStyle w:val="NormalTok"/>
        </w:rPr>
        <w:t xml:space="preserve"> params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KeywordTok"/>
        </w:rPr>
        <w:t xml:space="preserve">Set</w:t>
      </w:r>
      <w:r>
        <w:rPr>
          <w:rStyle w:val="NormalTok"/>
        </w:rPr>
        <w:t xml:space="preserve"> params = cmd.Parameters</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"Parameter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params.Count</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params = </w:t>
      </w:r>
      <w:r>
        <w:rPr>
          <w:rStyle w:val="KeywordTok"/>
        </w:rPr>
        <w:t xml:space="preserve">Nothing</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17"/>
    <w:bookmarkEnd w:id="5718"/>
    <w:bookmarkStart w:id="5723" w:name="error.number-property"/>
    <w:p>
      <w:pPr>
        <w:pStyle w:val="Heading1"/>
      </w:pPr>
      <w:r>
        <w:t xml:space="preserve">Error.Number Property</w:t>
      </w:r>
    </w:p>
    <w:p>
      <w:pPr>
        <w:pStyle w:val="FirstParagraph"/>
      </w:pPr>
      <w:r>
        <w:t xml:space="preserve">Returns the numeric error code for an ADODB error entry.</w:t>
      </w:r>
    </w:p>
    <w:bookmarkStart w:id="5719" w:name="syntax-666"/>
    <w:p>
      <w:pPr>
        <w:pStyle w:val="Heading2"/>
      </w:pPr>
      <w:r>
        <w:t xml:space="preserve">Syntax</w:t>
      </w:r>
    </w:p>
    <w:p>
      <w:pPr>
        <w:pStyle w:val="SourceCode"/>
      </w:pPr>
      <w:r>
        <w:rPr>
          <w:rStyle w:val="NormalTok"/>
        </w:rPr>
        <w:t xml:space="preserve">code = errObj.Number</w:t>
      </w:r>
    </w:p>
    <w:bookmarkEnd w:id="5719"/>
    <w:bookmarkStart w:id="5720" w:name="return-value-349"/>
    <w:p>
      <w:pPr>
        <w:pStyle w:val="Heading2"/>
      </w:pPr>
      <w:r>
        <w:t xml:space="preserve">Return Value</w:t>
      </w:r>
    </w:p>
    <w:p>
      <w:pPr>
        <w:pStyle w:val="FirstParagraph"/>
      </w:pPr>
      <w:r>
        <w:t xml:space="preserve">Integer. Returns the provider or runtime-specific error number.</w:t>
      </w:r>
    </w:p>
    <w:bookmarkEnd w:id="5720"/>
    <w:bookmarkStart w:id="5721" w:name="remarks-639"/>
    <w:p>
      <w:pPr>
        <w:pStyle w:val="Heading2"/>
      </w:pPr>
      <w:r>
        <w:t xml:space="preserve">Remarks</w:t>
      </w:r>
    </w:p>
    <w:p>
      <w:pPr>
        <w:pStyle w:val="Compact"/>
        <w:numPr>
          <w:ilvl w:val="0"/>
          <w:numId w:val="2380"/>
        </w:numPr>
      </w:pPr>
      <w:r>
        <w:t xml:space="preserve">Property names are case-insensitive.</w:t>
      </w:r>
    </w:p>
    <w:p>
      <w:pPr>
        <w:pStyle w:val="Compact"/>
        <w:numPr>
          <w:ilvl w:val="0"/>
          <w:numId w:val="2380"/>
        </w:numPr>
      </w:pPr>
      <w:r>
        <w:t xml:space="preserve">This property is read-only.</w:t>
      </w:r>
    </w:p>
    <w:p>
      <w:pPr>
        <w:pStyle w:val="Compact"/>
        <w:numPr>
          <w:ilvl w:val="0"/>
          <w:numId w:val="2380"/>
        </w:numPr>
      </w:pPr>
      <w:r>
        <w:t xml:space="preserve">Use Number together with Description for diagnostics.</w:t>
      </w:r>
    </w:p>
    <w:p>
      <w:pPr>
        <w:pStyle w:val="Compact"/>
        <w:numPr>
          <w:ilvl w:val="0"/>
          <w:numId w:val="2380"/>
        </w:numPr>
      </w:pPr>
      <w:r>
        <w:t xml:space="preserve">Values are typically aligned with provider HRESULT-style errors.</w:t>
      </w:r>
    </w:p>
    <w:bookmarkEnd w:id="5721"/>
    <w:bookmarkStart w:id="5722" w:name="code-example-46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errObj</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ControlFlowTok"/>
        </w:rPr>
        <w:t xml:space="preserve">If</w:t>
      </w:r>
      <w:r>
        <w:rPr>
          <w:rStyle w:val="NormalTok"/>
        </w:rPr>
        <w:t xml:space="preserve"> conn.Errors.Count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errObj = conn.Errors.</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number: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errObj.Number</w:t>
      </w:r>
      <w:r>
        <w:rPr>
          <w:rStyle w:val="OtherTok"/>
        </w:rPr>
        <w:t xml:space="preserve">)</w:t>
      </w:r>
      <w:r>
        <w:br/>
      </w:r>
      <w:r>
        <w:rPr>
          <w:rStyle w:val="ControlFlowTok"/>
        </w:rPr>
        <w:t xml:space="preserve">End If</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errObj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22"/>
    <w:bookmarkEnd w:id="5723"/>
    <w:bookmarkStart w:id="5728" w:name="error.description-property"/>
    <w:p>
      <w:pPr>
        <w:pStyle w:val="Heading1"/>
      </w:pPr>
      <w:r>
        <w:t xml:space="preserve">Error.Description Property</w:t>
      </w:r>
    </w:p>
    <w:p>
      <w:pPr>
        <w:pStyle w:val="FirstParagraph"/>
      </w:pPr>
      <w:r>
        <w:t xml:space="preserve">Returns the human-readable message text for an ADODB error entry.</w:t>
      </w:r>
    </w:p>
    <w:bookmarkStart w:id="5724" w:name="syntax-667"/>
    <w:p>
      <w:pPr>
        <w:pStyle w:val="Heading2"/>
      </w:pPr>
      <w:r>
        <w:t xml:space="preserve">Syntax</w:t>
      </w:r>
    </w:p>
    <w:p>
      <w:pPr>
        <w:pStyle w:val="SourceCode"/>
      </w:pPr>
      <w:r>
        <w:rPr>
          <w:rStyle w:val="NormalTok"/>
        </w:rPr>
        <w:t xml:space="preserve">text = errObj.Description</w:t>
      </w:r>
    </w:p>
    <w:bookmarkEnd w:id="5724"/>
    <w:bookmarkStart w:id="5725" w:name="return-value-350"/>
    <w:p>
      <w:pPr>
        <w:pStyle w:val="Heading2"/>
      </w:pPr>
      <w:r>
        <w:t xml:space="preserve">Return Value</w:t>
      </w:r>
    </w:p>
    <w:p>
      <w:pPr>
        <w:pStyle w:val="FirstParagraph"/>
      </w:pPr>
      <w:r>
        <w:t xml:space="preserve">String. Returns the error description message.</w:t>
      </w:r>
    </w:p>
    <w:bookmarkEnd w:id="5725"/>
    <w:bookmarkStart w:id="5726" w:name="remarks-640"/>
    <w:p>
      <w:pPr>
        <w:pStyle w:val="Heading2"/>
      </w:pPr>
      <w:r>
        <w:t xml:space="preserve">Remarks</w:t>
      </w:r>
    </w:p>
    <w:p>
      <w:pPr>
        <w:pStyle w:val="Compact"/>
        <w:numPr>
          <w:ilvl w:val="0"/>
          <w:numId w:val="2381"/>
        </w:numPr>
      </w:pPr>
      <w:r>
        <w:t xml:space="preserve">Property names are case-insensitive.</w:t>
      </w:r>
    </w:p>
    <w:p>
      <w:pPr>
        <w:pStyle w:val="Compact"/>
        <w:numPr>
          <w:ilvl w:val="0"/>
          <w:numId w:val="2381"/>
        </w:numPr>
      </w:pPr>
      <w:r>
        <w:t xml:space="preserve">This property is read-only.</w:t>
      </w:r>
    </w:p>
    <w:p>
      <w:pPr>
        <w:pStyle w:val="Compact"/>
        <w:numPr>
          <w:ilvl w:val="0"/>
          <w:numId w:val="2381"/>
        </w:numPr>
      </w:pPr>
      <w:r>
        <w:t xml:space="preserve">Use Description in logs or user-safe diagnostics.</w:t>
      </w:r>
    </w:p>
    <w:p>
      <w:pPr>
        <w:pStyle w:val="Compact"/>
        <w:numPr>
          <w:ilvl w:val="0"/>
          <w:numId w:val="2381"/>
        </w:numPr>
      </w:pPr>
      <w:r>
        <w:t xml:space="preserve">Pair with Number and SQLState for complete error context.</w:t>
      </w:r>
    </w:p>
    <w:bookmarkEnd w:id="5726"/>
    <w:bookmarkStart w:id="5727" w:name="code-example-46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errObj</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ControlFlowTok"/>
        </w:rPr>
        <w:t xml:space="preserve">If</w:t>
      </w:r>
      <w:r>
        <w:rPr>
          <w:rStyle w:val="NormalTok"/>
        </w:rPr>
        <w:t xml:space="preserve"> conn.Errors.Count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errObj = conn.Errors.</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description: "</w:t>
      </w:r>
      <w:r>
        <w:rPr>
          <w:rStyle w:val="NormalTok"/>
        </w:rPr>
        <w:t xml:space="preserve"> </w:t>
      </w:r>
      <w:r>
        <w:rPr>
          <w:rStyle w:val="KeywordTok"/>
        </w:rPr>
        <w:t xml:space="preserve">&amp;</w:t>
      </w:r>
      <w:r>
        <w:rPr>
          <w:rStyle w:val="NormalTok"/>
        </w:rPr>
        <w:t xml:space="preserve"> errObj.Description</w:t>
      </w:r>
      <w:r>
        <w:br/>
      </w:r>
      <w:r>
        <w:rPr>
          <w:rStyle w:val="ControlFlowTok"/>
        </w:rPr>
        <w:t xml:space="preserve">End If</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errObj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27"/>
    <w:bookmarkEnd w:id="5728"/>
    <w:bookmarkStart w:id="5733" w:name="error.source-property"/>
    <w:p>
      <w:pPr>
        <w:pStyle w:val="Heading1"/>
      </w:pPr>
      <w:r>
        <w:t xml:space="preserve">Error.Source Property</w:t>
      </w:r>
    </w:p>
    <w:p>
      <w:pPr>
        <w:pStyle w:val="FirstParagraph"/>
      </w:pPr>
      <w:r>
        <w:t xml:space="preserve">Returns the component or method name that raised the ADODB error.</w:t>
      </w:r>
    </w:p>
    <w:bookmarkStart w:id="5729" w:name="syntax-668"/>
    <w:p>
      <w:pPr>
        <w:pStyle w:val="Heading2"/>
      </w:pPr>
      <w:r>
        <w:t xml:space="preserve">Syntax</w:t>
      </w:r>
    </w:p>
    <w:p>
      <w:pPr>
        <w:pStyle w:val="SourceCode"/>
      </w:pPr>
      <w:r>
        <w:rPr>
          <w:rStyle w:val="NormalTok"/>
        </w:rPr>
        <w:t xml:space="preserve">name = errObj.Source</w:t>
      </w:r>
    </w:p>
    <w:bookmarkEnd w:id="5729"/>
    <w:bookmarkStart w:id="5730" w:name="return-value-351"/>
    <w:p>
      <w:pPr>
        <w:pStyle w:val="Heading2"/>
      </w:pPr>
      <w:r>
        <w:t xml:space="preserve">Return Value</w:t>
      </w:r>
    </w:p>
    <w:p>
      <w:pPr>
        <w:pStyle w:val="FirstParagraph"/>
      </w:pPr>
      <w:r>
        <w:t xml:space="preserve">String. Returns the error source text.</w:t>
      </w:r>
    </w:p>
    <w:bookmarkEnd w:id="5730"/>
    <w:bookmarkStart w:id="5731" w:name="remarks-641"/>
    <w:p>
      <w:pPr>
        <w:pStyle w:val="Heading2"/>
      </w:pPr>
      <w:r>
        <w:t xml:space="preserve">Remarks</w:t>
      </w:r>
    </w:p>
    <w:p>
      <w:pPr>
        <w:pStyle w:val="Compact"/>
        <w:numPr>
          <w:ilvl w:val="0"/>
          <w:numId w:val="2382"/>
        </w:numPr>
      </w:pPr>
      <w:r>
        <w:t xml:space="preserve">Property names are case-insensitive.</w:t>
      </w:r>
    </w:p>
    <w:p>
      <w:pPr>
        <w:pStyle w:val="Compact"/>
        <w:numPr>
          <w:ilvl w:val="0"/>
          <w:numId w:val="2382"/>
        </w:numPr>
      </w:pPr>
      <w:r>
        <w:t xml:space="preserve">This property is read-only.</w:t>
      </w:r>
    </w:p>
    <w:p>
      <w:pPr>
        <w:pStyle w:val="Compact"/>
        <w:numPr>
          <w:ilvl w:val="0"/>
          <w:numId w:val="2382"/>
        </w:numPr>
      </w:pPr>
      <w:r>
        <w:t xml:space="preserve">Source can help identify whether the fault came from SQL, provider, or command routing.</w:t>
      </w:r>
    </w:p>
    <w:p>
      <w:pPr>
        <w:pStyle w:val="Compact"/>
        <w:numPr>
          <w:ilvl w:val="0"/>
          <w:numId w:val="2382"/>
        </w:numPr>
      </w:pPr>
      <w:r>
        <w:t xml:space="preserve">Combine with Number and Description for full diagnostics.</w:t>
      </w:r>
    </w:p>
    <w:bookmarkEnd w:id="5731"/>
    <w:bookmarkStart w:id="5732" w:name="code-example-46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errObj</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ControlFlowTok"/>
        </w:rPr>
        <w:t xml:space="preserve">If</w:t>
      </w:r>
      <w:r>
        <w:rPr>
          <w:rStyle w:val="NormalTok"/>
        </w:rPr>
        <w:t xml:space="preserve"> conn.Errors.Count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errObj = conn.Errors.</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source: "</w:t>
      </w:r>
      <w:r>
        <w:rPr>
          <w:rStyle w:val="NormalTok"/>
        </w:rPr>
        <w:t xml:space="preserve"> </w:t>
      </w:r>
      <w:r>
        <w:rPr>
          <w:rStyle w:val="KeywordTok"/>
        </w:rPr>
        <w:t xml:space="preserve">&amp;</w:t>
      </w:r>
      <w:r>
        <w:rPr>
          <w:rStyle w:val="NormalTok"/>
        </w:rPr>
        <w:t xml:space="preserve"> errObj.Source</w:t>
      </w:r>
      <w:r>
        <w:br/>
      </w:r>
      <w:r>
        <w:rPr>
          <w:rStyle w:val="ControlFlowTok"/>
        </w:rPr>
        <w:t xml:space="preserve">End If</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errObj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32"/>
    <w:bookmarkEnd w:id="5733"/>
    <w:bookmarkStart w:id="5738" w:name="error.sqlstate-property"/>
    <w:p>
      <w:pPr>
        <w:pStyle w:val="Heading1"/>
      </w:pPr>
      <w:r>
        <w:t xml:space="preserve">Error.SQLState Property</w:t>
      </w:r>
    </w:p>
    <w:p>
      <w:pPr>
        <w:pStyle w:val="FirstParagraph"/>
      </w:pPr>
      <w:r>
        <w:t xml:space="preserve">Returns the SQLSTATE code reported by the data provider.</w:t>
      </w:r>
    </w:p>
    <w:bookmarkStart w:id="5734" w:name="syntax-669"/>
    <w:p>
      <w:pPr>
        <w:pStyle w:val="Heading2"/>
      </w:pPr>
      <w:r>
        <w:t xml:space="preserve">Syntax</w:t>
      </w:r>
    </w:p>
    <w:p>
      <w:pPr>
        <w:pStyle w:val="SourceCode"/>
      </w:pPr>
      <w:r>
        <w:rPr>
          <w:rStyle w:val="NormalTok"/>
        </w:rPr>
        <w:t xml:space="preserve">state = errObj.SQLState</w:t>
      </w:r>
    </w:p>
    <w:bookmarkEnd w:id="5734"/>
    <w:bookmarkStart w:id="5735" w:name="return-value-352"/>
    <w:p>
      <w:pPr>
        <w:pStyle w:val="Heading2"/>
      </w:pPr>
      <w:r>
        <w:t xml:space="preserve">Return Value</w:t>
      </w:r>
    </w:p>
    <w:p>
      <w:pPr>
        <w:pStyle w:val="FirstParagraph"/>
      </w:pPr>
      <w:r>
        <w:t xml:space="preserve">String. Returns the SQLSTATE code when available; can be an empty string for provider errors without SQLSTATE.</w:t>
      </w:r>
    </w:p>
    <w:bookmarkEnd w:id="5735"/>
    <w:bookmarkStart w:id="5736" w:name="remarks-642"/>
    <w:p>
      <w:pPr>
        <w:pStyle w:val="Heading2"/>
      </w:pPr>
      <w:r>
        <w:t xml:space="preserve">Remarks</w:t>
      </w:r>
    </w:p>
    <w:p>
      <w:pPr>
        <w:pStyle w:val="Compact"/>
        <w:numPr>
          <w:ilvl w:val="0"/>
          <w:numId w:val="2383"/>
        </w:numPr>
      </w:pPr>
      <w:r>
        <w:t xml:space="preserve">Property names are case-insensitive.</w:t>
      </w:r>
    </w:p>
    <w:p>
      <w:pPr>
        <w:pStyle w:val="Compact"/>
        <w:numPr>
          <w:ilvl w:val="0"/>
          <w:numId w:val="2383"/>
        </w:numPr>
      </w:pPr>
      <w:r>
        <w:t xml:space="preserve">This property is read-only.</w:t>
      </w:r>
    </w:p>
    <w:p>
      <w:pPr>
        <w:pStyle w:val="Compact"/>
        <w:numPr>
          <w:ilvl w:val="0"/>
          <w:numId w:val="2383"/>
        </w:numPr>
      </w:pPr>
      <w:r>
        <w:t xml:space="preserve">SQLState helps classify errors in a provider-neutral format.</w:t>
      </w:r>
    </w:p>
    <w:p>
      <w:pPr>
        <w:pStyle w:val="Compact"/>
        <w:numPr>
          <w:ilvl w:val="0"/>
          <w:numId w:val="2383"/>
        </w:numPr>
      </w:pPr>
      <w:r>
        <w:t xml:space="preserve">Not all providers populate SQLState for every error type.</w:t>
      </w:r>
    </w:p>
    <w:bookmarkEnd w:id="5736"/>
    <w:bookmarkStart w:id="5737" w:name="code-example-46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errObj</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ControlFlowTok"/>
        </w:rPr>
        <w:t xml:space="preserve">If</w:t>
      </w:r>
      <w:r>
        <w:rPr>
          <w:rStyle w:val="NormalTok"/>
        </w:rPr>
        <w:t xml:space="preserve"> conn.Errors.Count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errObj = conn.Errors.</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"SQLState: "</w:t>
      </w:r>
      <w:r>
        <w:rPr>
          <w:rStyle w:val="NormalTok"/>
        </w:rPr>
        <w:t xml:space="preserve"> </w:t>
      </w:r>
      <w:r>
        <w:rPr>
          <w:rStyle w:val="KeywordTok"/>
        </w:rPr>
        <w:t xml:space="preserve">&amp;</w:t>
      </w:r>
      <w:r>
        <w:rPr>
          <w:rStyle w:val="NormalTok"/>
        </w:rPr>
        <w:t xml:space="preserve"> errObj.SQLState</w:t>
      </w:r>
      <w:r>
        <w:br/>
      </w:r>
      <w:r>
        <w:rPr>
          <w:rStyle w:val="ControlFlowTok"/>
        </w:rPr>
        <w:t xml:space="preserve">End If</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errObj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37"/>
    <w:bookmarkEnd w:id="5738"/>
    <w:bookmarkStart w:id="5743" w:name="field.value-property"/>
    <w:p>
      <w:pPr>
        <w:pStyle w:val="Heading1"/>
      </w:pPr>
      <w:r>
        <w:t xml:space="preserve">Field.Value Property</w:t>
      </w:r>
    </w:p>
    <w:p>
      <w:pPr>
        <w:pStyle w:val="FirstParagraph"/>
      </w:pPr>
      <w:r>
        <w:t xml:space="preserve">Gets or sets the current value of a column in the active row.</w:t>
      </w:r>
    </w:p>
    <w:bookmarkStart w:id="5739" w:name="syntax-670"/>
    <w:p>
      <w:pPr>
        <w:pStyle w:val="Heading2"/>
      </w:pPr>
      <w:r>
        <w:t xml:space="preserve">Syntax</w:t>
      </w:r>
    </w:p>
    <w:p>
      <w:pPr>
        <w:pStyle w:val="SourceCode"/>
      </w:pPr>
      <w:r>
        <w:rPr>
          <w:rStyle w:val="NormalTok"/>
        </w:rPr>
        <w:t xml:space="preserve">value = rs.Fields("columnName").Value</w:t>
      </w:r>
      <w:r>
        <w:br/>
      </w:r>
      <w:r>
        <w:rPr>
          <w:rStyle w:val="NormalTok"/>
        </w:rPr>
        <w:t xml:space="preserve">rs.Fields("columnName").Value = newValue</w:t>
      </w:r>
    </w:p>
    <w:bookmarkEnd w:id="5739"/>
    <w:bookmarkStart w:id="5740" w:name="return-value-353"/>
    <w:p>
      <w:pPr>
        <w:pStyle w:val="Heading2"/>
      </w:pPr>
      <w:r>
        <w:t xml:space="preserve">Return Value</w:t>
      </w:r>
    </w:p>
    <w:p>
      <w:pPr>
        <w:pStyle w:val="FirstParagraph"/>
      </w:pPr>
      <w:r>
        <w:t xml:space="preserve">Variant. Returns the current field value for the active row. Returns</w:t>
      </w:r>
      <w:r>
        <w:t xml:space="preserve"> </w:t>
      </w:r>
      <w:r>
        <w:rPr>
          <w:rStyle w:val="VerbatimChar"/>
        </w:rPr>
        <w:t xml:space="preserve">Null</w:t>
      </w:r>
      <w:r>
        <w:t xml:space="preserve"> </w:t>
      </w:r>
      <w:r>
        <w:t xml:space="preserve">when the database value is null.</w:t>
      </w:r>
    </w:p>
    <w:bookmarkEnd w:id="5740"/>
    <w:bookmarkStart w:id="5741" w:name="remarks-643"/>
    <w:p>
      <w:pPr>
        <w:pStyle w:val="Heading2"/>
      </w:pPr>
      <w:r>
        <w:t xml:space="preserve">Remarks</w:t>
      </w:r>
    </w:p>
    <w:p>
      <w:pPr>
        <w:pStyle w:val="Compact"/>
        <w:numPr>
          <w:ilvl w:val="0"/>
          <w:numId w:val="2384"/>
        </w:numPr>
      </w:pPr>
      <w:r>
        <w:t xml:space="preserve">Property names are case-insensitive.</w:t>
      </w:r>
    </w:p>
    <w:p>
      <w:pPr>
        <w:pStyle w:val="Compact"/>
        <w:numPr>
          <w:ilvl w:val="0"/>
          <w:numId w:val="2384"/>
        </w:numPr>
      </w:pPr>
      <w:r>
        <w:t xml:space="preserve">Assigning to</w:t>
      </w:r>
      <w:r>
        <w:t xml:space="preserve"> </w:t>
      </w:r>
      <w:r>
        <w:rPr>
          <w:rStyle w:val="VerbatimChar"/>
        </w:rPr>
        <w:t xml:space="preserve">Field.Value</w:t>
      </w:r>
      <w:r>
        <w:t xml:space="preserve"> </w:t>
      </w:r>
      <w:r>
        <w:t xml:space="preserve">marks the current row as edited.</w:t>
      </w:r>
    </w:p>
    <w:p>
      <w:pPr>
        <w:pStyle w:val="Compact"/>
        <w:numPr>
          <w:ilvl w:val="0"/>
          <w:numId w:val="2384"/>
        </w:numPr>
      </w:pPr>
      <w:r>
        <w:t xml:space="preserve">Call</w:t>
      </w:r>
      <w:r>
        <w:t xml:space="preserve"> </w:t>
      </w:r>
      <w:r>
        <w:rPr>
          <w:rStyle w:val="VerbatimChar"/>
        </w:rPr>
        <w:t xml:space="preserve">Recordset.Update</w:t>
      </w:r>
      <w:r>
        <w:t xml:space="preserve"> </w:t>
      </w:r>
      <w:r>
        <w:t xml:space="preserve">to persist assigned values.</w:t>
      </w:r>
    </w:p>
    <w:p>
      <w:pPr>
        <w:pStyle w:val="Compact"/>
        <w:numPr>
          <w:ilvl w:val="0"/>
          <w:numId w:val="2384"/>
        </w:numPr>
      </w:pPr>
      <w:r>
        <w:t xml:space="preserve">Type conversion follows provider and ADODB coercion rules.</w:t>
      </w:r>
    </w:p>
    <w:bookmarkEnd w:id="5741"/>
    <w:bookmarkStart w:id="5742" w:name="code-example-47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 WHERE id = 1"</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name: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w:t>
      </w:r>
      <w:r>
        <w:rPr>
          <w:rStyle w:val="KeywordTok"/>
        </w:rPr>
        <w:t xml:space="preserve">&amp;</w:t>
      </w:r>
      <w:r>
        <w:rPr>
          <w:rStyle w:val="NormalTok"/>
        </w:rPr>
        <w:t xml:space="preserve"> </w:t>
      </w:r>
      <w:r>
        <w:rPr>
          <w:rStyle w:val="StringTok"/>
        </w:rPr>
        <w:t xml:space="preserve">"&lt;br&gt;"</w:t>
      </w:r>
      <w:r>
        <w:br/>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 </w:t>
      </w:r>
      <w:r>
        <w:rPr>
          <w:rStyle w:val="StringTok"/>
        </w:rPr>
        <w:t xml:space="preserve">"Updated Name"</w:t>
      </w:r>
      <w:r>
        <w:br/>
      </w:r>
      <w:r>
        <w:rPr>
          <w:rStyle w:val="NormalTok"/>
        </w:rPr>
        <w:t xml:space="preserve">    rs.Update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"Name updated"</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42"/>
    <w:bookmarkEnd w:id="5743"/>
    <w:bookmarkStart w:id="5748" w:name="field.name-property"/>
    <w:p>
      <w:pPr>
        <w:pStyle w:val="Heading1"/>
      </w:pPr>
      <w:r>
        <w:t xml:space="preserve">Field.Name Property</w:t>
      </w:r>
    </w:p>
    <w:p>
      <w:pPr>
        <w:pStyle w:val="FirstParagraph"/>
      </w:pPr>
      <w:r>
        <w:t xml:space="preserve">Returns the column name represented by the Field object.</w:t>
      </w:r>
    </w:p>
    <w:bookmarkStart w:id="5744" w:name="syntax-671"/>
    <w:p>
      <w:pPr>
        <w:pStyle w:val="Heading2"/>
      </w:pPr>
      <w:r>
        <w:t xml:space="preserve">Syntax</w:t>
      </w:r>
    </w:p>
    <w:p>
      <w:pPr>
        <w:pStyle w:val="SourceCode"/>
      </w:pPr>
      <w:r>
        <w:rPr>
          <w:rStyle w:val="NormalTok"/>
        </w:rPr>
        <w:t xml:space="preserve">name = rs.Fields(index).Name</w:t>
      </w:r>
    </w:p>
    <w:bookmarkEnd w:id="5744"/>
    <w:bookmarkStart w:id="5745" w:name="return-value-354"/>
    <w:p>
      <w:pPr>
        <w:pStyle w:val="Heading2"/>
      </w:pPr>
      <w:r>
        <w:t xml:space="preserve">Return Value</w:t>
      </w:r>
    </w:p>
    <w:p>
      <w:pPr>
        <w:pStyle w:val="FirstParagraph"/>
      </w:pPr>
      <w:r>
        <w:t xml:space="preserve">String. Returns the field name from the recordset schema.</w:t>
      </w:r>
    </w:p>
    <w:bookmarkEnd w:id="5745"/>
    <w:bookmarkStart w:id="5746" w:name="remarks-644"/>
    <w:p>
      <w:pPr>
        <w:pStyle w:val="Heading2"/>
      </w:pPr>
      <w:r>
        <w:t xml:space="preserve">Remarks</w:t>
      </w:r>
    </w:p>
    <w:p>
      <w:pPr>
        <w:pStyle w:val="Compact"/>
        <w:numPr>
          <w:ilvl w:val="0"/>
          <w:numId w:val="2385"/>
        </w:numPr>
      </w:pPr>
      <w:r>
        <w:t xml:space="preserve">Property names are case-insensitive.</w:t>
      </w:r>
    </w:p>
    <w:p>
      <w:pPr>
        <w:pStyle w:val="Compact"/>
        <w:numPr>
          <w:ilvl w:val="0"/>
          <w:numId w:val="2385"/>
        </w:numPr>
      </w:pPr>
      <w:r>
        <w:t xml:space="preserve">This property is read-only.</w:t>
      </w:r>
    </w:p>
    <w:p>
      <w:pPr>
        <w:pStyle w:val="Compact"/>
        <w:numPr>
          <w:ilvl w:val="0"/>
          <w:numId w:val="2385"/>
        </w:numPr>
      </w:pPr>
      <w:r>
        <w:t xml:space="preserve">Name reflects the alias when SQL uses</w:t>
      </w:r>
      <w:r>
        <w:t xml:space="preserve"> </w:t>
      </w:r>
      <w:r>
        <w:rPr>
          <w:rStyle w:val="VerbatimChar"/>
        </w:rPr>
        <w:t xml:space="preserve">AS</w:t>
      </w:r>
      <w:r>
        <w:t xml:space="preserve">.</w:t>
      </w:r>
    </w:p>
    <w:p>
      <w:pPr>
        <w:pStyle w:val="Compact"/>
        <w:numPr>
          <w:ilvl w:val="0"/>
          <w:numId w:val="2385"/>
        </w:numPr>
      </w:pPr>
      <w:r>
        <w:t xml:space="preserve">Use Name to build dynamic table headers and field maps.</w:t>
      </w:r>
    </w:p>
    <w:bookmarkEnd w:id="5746"/>
    <w:bookmarkStart w:id="5747" w:name="code-example-47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i</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email FROM users"</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rs.Fields.Count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NormalTok"/>
        </w:rPr>
        <w:t xml:space="preserve">i</w:t>
      </w:r>
      <w:r>
        <w:rPr>
          <w:rStyle w:val="OtherTok"/>
        </w:rPr>
        <w:t xml:space="preserve">)</w:t>
      </w:r>
      <w:r>
        <w:rPr>
          <w:rStyle w:val="NormalTok"/>
        </w:rPr>
        <w:t xml:space="preserve">.Name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47"/>
    <w:bookmarkEnd w:id="5748"/>
    <w:bookmarkStart w:id="5753" w:name="field.type-property"/>
    <w:p>
      <w:pPr>
        <w:pStyle w:val="Heading1"/>
      </w:pPr>
      <w:r>
        <w:t xml:space="preserve">Field.Type Property</w:t>
      </w:r>
    </w:p>
    <w:p>
      <w:pPr>
        <w:pStyle w:val="FirstParagraph"/>
      </w:pPr>
      <w:r>
        <w:t xml:space="preserve">Returns the ADODB data type code for the field.</w:t>
      </w:r>
    </w:p>
    <w:bookmarkStart w:id="5749" w:name="syntax-672"/>
    <w:p>
      <w:pPr>
        <w:pStyle w:val="Heading2"/>
      </w:pPr>
      <w:r>
        <w:t xml:space="preserve">Syntax</w:t>
      </w:r>
    </w:p>
    <w:p>
      <w:pPr>
        <w:pStyle w:val="SourceCode"/>
      </w:pPr>
      <w:r>
        <w:rPr>
          <w:rStyle w:val="NormalTok"/>
        </w:rPr>
        <w:t xml:space="preserve">typeCode = rs.Fields("columnName").Type</w:t>
      </w:r>
    </w:p>
    <w:bookmarkEnd w:id="5749"/>
    <w:bookmarkStart w:id="5750" w:name="return-value-355"/>
    <w:p>
      <w:pPr>
        <w:pStyle w:val="Heading2"/>
      </w:pPr>
      <w:r>
        <w:t xml:space="preserve">Return Value</w:t>
      </w:r>
    </w:p>
    <w:p>
      <w:pPr>
        <w:pStyle w:val="FirstParagraph"/>
      </w:pPr>
      <w:r>
        <w:t xml:space="preserve">Integer. Returns the ADODB type constant for the column.</w:t>
      </w:r>
    </w:p>
    <w:bookmarkEnd w:id="5750"/>
    <w:bookmarkStart w:id="5751" w:name="remarks-645"/>
    <w:p>
      <w:pPr>
        <w:pStyle w:val="Heading2"/>
      </w:pPr>
      <w:r>
        <w:t xml:space="preserve">Remarks</w:t>
      </w:r>
    </w:p>
    <w:p>
      <w:pPr>
        <w:pStyle w:val="Compact"/>
        <w:numPr>
          <w:ilvl w:val="0"/>
          <w:numId w:val="2386"/>
        </w:numPr>
      </w:pPr>
      <w:r>
        <w:t xml:space="preserve">Property names are case-insensitive.</w:t>
      </w:r>
    </w:p>
    <w:p>
      <w:pPr>
        <w:pStyle w:val="Compact"/>
        <w:numPr>
          <w:ilvl w:val="0"/>
          <w:numId w:val="2386"/>
        </w:numPr>
      </w:pPr>
      <w:r>
        <w:t xml:space="preserve">This property is read-only.</w:t>
      </w:r>
    </w:p>
    <w:p>
      <w:pPr>
        <w:pStyle w:val="Compact"/>
        <w:numPr>
          <w:ilvl w:val="0"/>
          <w:numId w:val="2386"/>
        </w:numPr>
      </w:pPr>
      <w:r>
        <w:t xml:space="preserve">Use Type to apply safe conversion logic when processing dynamic schemas.</w:t>
      </w:r>
    </w:p>
    <w:p>
      <w:pPr>
        <w:pStyle w:val="Compact"/>
        <w:numPr>
          <w:ilvl w:val="0"/>
          <w:numId w:val="2386"/>
        </w:numPr>
      </w:pPr>
      <w:r>
        <w:t xml:space="preserve">Type values depend on provider mappings.</w:t>
      </w:r>
    </w:p>
    <w:bookmarkEnd w:id="5751"/>
    <w:bookmarkStart w:id="5752" w:name="code-example-47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"id type: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w:t>
      </w:r>
      <w:r>
        <w:rPr>
          <w:rStyle w:val="OtherTok"/>
        </w:rPr>
        <w:t xml:space="preserve">(</w:t>
      </w:r>
      <w:r>
        <w:rPr>
          <w:rStyle w:val="StringTok"/>
        </w:rPr>
        <w:t xml:space="preserve">"id"</w:t>
      </w:r>
      <w:r>
        <w:rPr>
          <w:rStyle w:val="OtherTok"/>
        </w:rPr>
        <w:t xml:space="preserve">)</w:t>
      </w:r>
      <w:r>
        <w:rPr>
          <w:rStyle w:val="NormalTok"/>
        </w:rPr>
        <w:t xml:space="preserve">.Type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"name type: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w:t>
      </w:r>
      <w:r>
        <w:rPr>
          <w:rStyle w:val="OtherTok"/>
        </w:rPr>
        <w:t xml:space="preserve">(</w:t>
      </w:r>
      <w:r>
        <w:rPr>
          <w:rStyle w:val="StringTok"/>
        </w:rPr>
        <w:t xml:space="preserve">"name"</w:t>
      </w:r>
      <w:r>
        <w:rPr>
          <w:rStyle w:val="OtherTok"/>
        </w:rPr>
        <w:t xml:space="preserve">)</w:t>
      </w:r>
      <w:r>
        <w:rPr>
          <w:rStyle w:val="NormalTok"/>
        </w:rPr>
        <w:t xml:space="preserve">.Type</w:t>
      </w:r>
      <w:r>
        <w:rPr>
          <w:rStyle w:val="OtherTok"/>
        </w:rPr>
        <w:t xml:space="preserv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52"/>
    <w:bookmarkEnd w:id="5753"/>
    <w:bookmarkStart w:id="5758" w:name="field.definedsize-property"/>
    <w:p>
      <w:pPr>
        <w:pStyle w:val="Heading1"/>
      </w:pPr>
      <w:r>
        <w:t xml:space="preserve">Field.DefinedSize Property</w:t>
      </w:r>
    </w:p>
    <w:p>
      <w:pPr>
        <w:pStyle w:val="FirstParagraph"/>
      </w:pPr>
      <w:r>
        <w:t xml:space="preserve">Returns the declared maximum size for the field in the schema.</w:t>
      </w:r>
    </w:p>
    <w:bookmarkStart w:id="5754" w:name="syntax-673"/>
    <w:p>
      <w:pPr>
        <w:pStyle w:val="Heading2"/>
      </w:pPr>
      <w:r>
        <w:t xml:space="preserve">Syntax</w:t>
      </w:r>
    </w:p>
    <w:p>
      <w:pPr>
        <w:pStyle w:val="SourceCode"/>
      </w:pPr>
      <w:r>
        <w:rPr>
          <w:rStyle w:val="NormalTok"/>
        </w:rPr>
        <w:t xml:space="preserve">size = rs.Fields("columnName").DefinedSize</w:t>
      </w:r>
    </w:p>
    <w:bookmarkEnd w:id="5754"/>
    <w:bookmarkStart w:id="5755" w:name="return-value-356"/>
    <w:p>
      <w:pPr>
        <w:pStyle w:val="Heading2"/>
      </w:pPr>
      <w:r>
        <w:t xml:space="preserve">Return Value</w:t>
      </w:r>
    </w:p>
    <w:p>
      <w:pPr>
        <w:pStyle w:val="FirstParagraph"/>
      </w:pPr>
      <w:r>
        <w:t xml:space="preserve">Integer. Returns the column size declared by schema metadata.</w:t>
      </w:r>
    </w:p>
    <w:bookmarkEnd w:id="5755"/>
    <w:bookmarkStart w:id="5756" w:name="remarks-646"/>
    <w:p>
      <w:pPr>
        <w:pStyle w:val="Heading2"/>
      </w:pPr>
      <w:r>
        <w:t xml:space="preserve">Remarks</w:t>
      </w:r>
    </w:p>
    <w:p>
      <w:pPr>
        <w:pStyle w:val="Compact"/>
        <w:numPr>
          <w:ilvl w:val="0"/>
          <w:numId w:val="2387"/>
        </w:numPr>
      </w:pPr>
      <w:r>
        <w:t xml:space="preserve">Property names are case-insensitive.</w:t>
      </w:r>
    </w:p>
    <w:p>
      <w:pPr>
        <w:pStyle w:val="Compact"/>
        <w:numPr>
          <w:ilvl w:val="0"/>
          <w:numId w:val="2387"/>
        </w:numPr>
      </w:pPr>
      <w:r>
        <w:t xml:space="preserve">This property is read-only.</w:t>
      </w:r>
    </w:p>
    <w:p>
      <w:pPr>
        <w:pStyle w:val="Compact"/>
        <w:numPr>
          <w:ilvl w:val="0"/>
          <w:numId w:val="2387"/>
        </w:numPr>
      </w:pPr>
      <w:r>
        <w:t xml:space="preserve">DefinedSize is metadata; it does not depend on current row value.</w:t>
      </w:r>
    </w:p>
    <w:p>
      <w:pPr>
        <w:pStyle w:val="Compact"/>
        <w:numPr>
          <w:ilvl w:val="0"/>
          <w:numId w:val="2387"/>
        </w:numPr>
      </w:pPr>
      <w:r>
        <w:t xml:space="preserve">Compare with ActualSize to evaluate truncation risk.</w:t>
      </w:r>
    </w:p>
    <w:bookmarkEnd w:id="5756"/>
    <w:bookmarkStart w:id="5757" w:name="code-example-47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"Defined size: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w:t>
      </w:r>
      <w:r>
        <w:rPr>
          <w:rStyle w:val="OtherTok"/>
        </w:rPr>
        <w:t xml:space="preserve">(</w:t>
      </w:r>
      <w:r>
        <w:rPr>
          <w:rStyle w:val="StringTok"/>
        </w:rPr>
        <w:t xml:space="preserve">"name"</w:t>
      </w:r>
      <w:r>
        <w:rPr>
          <w:rStyle w:val="OtherTok"/>
        </w:rPr>
        <w:t xml:space="preserve">)</w:t>
      </w:r>
      <w:r>
        <w:rPr>
          <w:rStyle w:val="NormalTok"/>
        </w:rPr>
        <w:t xml:space="preserve">.DefinedSize</w:t>
      </w:r>
      <w:r>
        <w:rPr>
          <w:rStyle w:val="OtherTok"/>
        </w:rPr>
        <w:t xml:space="preserv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57"/>
    <w:bookmarkEnd w:id="5758"/>
    <w:bookmarkStart w:id="5763" w:name="field.attributes-property"/>
    <w:p>
      <w:pPr>
        <w:pStyle w:val="Heading1"/>
      </w:pPr>
      <w:r>
        <w:t xml:space="preserve">Field.Attributes Property</w:t>
      </w:r>
    </w:p>
    <w:p>
      <w:pPr>
        <w:pStyle w:val="FirstParagraph"/>
      </w:pPr>
      <w:r>
        <w:t xml:space="preserve">Returns the attribute flags for the field metadata.</w:t>
      </w:r>
    </w:p>
    <w:bookmarkStart w:id="5759" w:name="syntax-674"/>
    <w:p>
      <w:pPr>
        <w:pStyle w:val="Heading2"/>
      </w:pPr>
      <w:r>
        <w:t xml:space="preserve">Syntax</w:t>
      </w:r>
    </w:p>
    <w:p>
      <w:pPr>
        <w:pStyle w:val="SourceCode"/>
      </w:pPr>
      <w:r>
        <w:rPr>
          <w:rStyle w:val="NormalTok"/>
        </w:rPr>
        <w:t xml:space="preserve">flags = rs.Fields("columnName").Attributes</w:t>
      </w:r>
    </w:p>
    <w:bookmarkEnd w:id="5759"/>
    <w:bookmarkStart w:id="5760" w:name="return-value-357"/>
    <w:p>
      <w:pPr>
        <w:pStyle w:val="Heading2"/>
      </w:pPr>
      <w:r>
        <w:t xml:space="preserve">Return Value</w:t>
      </w:r>
    </w:p>
    <w:p>
      <w:pPr>
        <w:pStyle w:val="FirstParagraph"/>
      </w:pPr>
      <w:r>
        <w:t xml:space="preserve">Integer. Returns a bitmask describing field capabilities and metadata flags.</w:t>
      </w:r>
    </w:p>
    <w:bookmarkEnd w:id="5760"/>
    <w:bookmarkStart w:id="5761" w:name="remarks-647"/>
    <w:p>
      <w:pPr>
        <w:pStyle w:val="Heading2"/>
      </w:pPr>
      <w:r>
        <w:t xml:space="preserve">Remarks</w:t>
      </w:r>
    </w:p>
    <w:p>
      <w:pPr>
        <w:pStyle w:val="Compact"/>
        <w:numPr>
          <w:ilvl w:val="0"/>
          <w:numId w:val="2388"/>
        </w:numPr>
      </w:pPr>
      <w:r>
        <w:t xml:space="preserve">Property names are case-insensitive.</w:t>
      </w:r>
    </w:p>
    <w:p>
      <w:pPr>
        <w:pStyle w:val="Compact"/>
        <w:numPr>
          <w:ilvl w:val="0"/>
          <w:numId w:val="2388"/>
        </w:numPr>
      </w:pPr>
      <w:r>
        <w:t xml:space="preserve">This property is read-only.</w:t>
      </w:r>
    </w:p>
    <w:p>
      <w:pPr>
        <w:pStyle w:val="Compact"/>
        <w:numPr>
          <w:ilvl w:val="0"/>
          <w:numId w:val="2388"/>
        </w:numPr>
      </w:pPr>
      <w:r>
        <w:t xml:space="preserve">Flag values are provider-dependent.</w:t>
      </w:r>
    </w:p>
    <w:p>
      <w:pPr>
        <w:pStyle w:val="Compact"/>
        <w:numPr>
          <w:ilvl w:val="0"/>
          <w:numId w:val="2388"/>
        </w:numPr>
      </w:pPr>
      <w:r>
        <w:t xml:space="preserve">Common uses include checking nullable and auto-increment behavior.</w:t>
      </w:r>
    </w:p>
    <w:bookmarkEnd w:id="5761"/>
    <w:bookmarkStart w:id="5762" w:name="code-example-47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 attributes: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w:t>
      </w:r>
      <w:r>
        <w:rPr>
          <w:rStyle w:val="OtherTok"/>
        </w:rPr>
        <w:t xml:space="preserve">(</w:t>
      </w:r>
      <w:r>
        <w:rPr>
          <w:rStyle w:val="StringTok"/>
        </w:rPr>
        <w:t xml:space="preserve">"id"</w:t>
      </w:r>
      <w:r>
        <w:rPr>
          <w:rStyle w:val="OtherTok"/>
        </w:rPr>
        <w:t xml:space="preserve">)</w:t>
      </w:r>
      <w:r>
        <w:rPr>
          <w:rStyle w:val="NormalTok"/>
        </w:rPr>
        <w:t xml:space="preserve">.Attributes</w:t>
      </w:r>
      <w:r>
        <w:rPr>
          <w:rStyle w:val="OtherTok"/>
        </w:rPr>
        <w:t xml:space="preserv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62"/>
    <w:bookmarkEnd w:id="5763"/>
    <w:bookmarkStart w:id="5768" w:name="field.numericscale-property"/>
    <w:p>
      <w:pPr>
        <w:pStyle w:val="Heading1"/>
      </w:pPr>
      <w:r>
        <w:t xml:space="preserve">Field.NumericScale Property</w:t>
      </w:r>
    </w:p>
    <w:p>
      <w:pPr>
        <w:pStyle w:val="FirstParagraph"/>
      </w:pPr>
      <w:r>
        <w:t xml:space="preserve">Gets or sets the number of decimal places for numeric field values.</w:t>
      </w:r>
    </w:p>
    <w:bookmarkStart w:id="5764" w:name="syntax-675"/>
    <w:p>
      <w:pPr>
        <w:pStyle w:val="Heading2"/>
      </w:pPr>
      <w:r>
        <w:t xml:space="preserve">Syntax</w:t>
      </w:r>
    </w:p>
    <w:p>
      <w:pPr>
        <w:pStyle w:val="SourceCode"/>
      </w:pPr>
      <w:r>
        <w:rPr>
          <w:rStyle w:val="NormalTok"/>
        </w:rPr>
        <w:t xml:space="preserve">scale = rs.Fields("amount").NumericScale</w:t>
      </w:r>
      <w:r>
        <w:br/>
      </w:r>
      <w:r>
        <w:rPr>
          <w:rStyle w:val="NormalTok"/>
        </w:rPr>
        <w:t xml:space="preserve">rs.Fields("amount").NumericScale = 2</w:t>
      </w:r>
    </w:p>
    <w:bookmarkEnd w:id="5764"/>
    <w:bookmarkStart w:id="5765" w:name="return-value-358"/>
    <w:p>
      <w:pPr>
        <w:pStyle w:val="Heading2"/>
      </w:pPr>
      <w:r>
        <w:t xml:space="preserve">Return Value</w:t>
      </w:r>
    </w:p>
    <w:p>
      <w:pPr>
        <w:pStyle w:val="FirstParagraph"/>
      </w:pPr>
      <w:r>
        <w:t xml:space="preserve">Integer. Returns the numeric scale for the field.</w:t>
      </w:r>
    </w:p>
    <w:bookmarkEnd w:id="5765"/>
    <w:bookmarkStart w:id="5766" w:name="remarks-648"/>
    <w:p>
      <w:pPr>
        <w:pStyle w:val="Heading2"/>
      </w:pPr>
      <w:r>
        <w:t xml:space="preserve">Remarks</w:t>
      </w:r>
    </w:p>
    <w:p>
      <w:pPr>
        <w:pStyle w:val="Compact"/>
        <w:numPr>
          <w:ilvl w:val="0"/>
          <w:numId w:val="2389"/>
        </w:numPr>
      </w:pPr>
      <w:r>
        <w:t xml:space="preserve">Property names are case-insensitive.</w:t>
      </w:r>
    </w:p>
    <w:p>
      <w:pPr>
        <w:pStyle w:val="Compact"/>
        <w:numPr>
          <w:ilvl w:val="0"/>
          <w:numId w:val="2389"/>
        </w:numPr>
      </w:pPr>
      <w:r>
        <w:t xml:space="preserve">Some providers expose this as read-only metadata.</w:t>
      </w:r>
    </w:p>
    <w:p>
      <w:pPr>
        <w:pStyle w:val="Compact"/>
        <w:numPr>
          <w:ilvl w:val="0"/>
          <w:numId w:val="2389"/>
        </w:numPr>
      </w:pPr>
      <w:r>
        <w:t xml:space="preserve">When writable, set before persisting values that require precision control.</w:t>
      </w:r>
    </w:p>
    <w:p>
      <w:pPr>
        <w:pStyle w:val="Compact"/>
        <w:numPr>
          <w:ilvl w:val="0"/>
          <w:numId w:val="2389"/>
        </w:numPr>
      </w:pPr>
      <w:r>
        <w:t xml:space="preserve">For non-numeric fields, value can be zero or provider-specific.</w:t>
      </w:r>
    </w:p>
    <w:bookmarkEnd w:id="5766"/>
    <w:bookmarkStart w:id="5767" w:name="code-example-47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price FROM products"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"Numeric scale: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w:t>
      </w:r>
      <w:r>
        <w:rPr>
          <w:rStyle w:val="OtherTok"/>
        </w:rPr>
        <w:t xml:space="preserve">(</w:t>
      </w:r>
      <w:r>
        <w:rPr>
          <w:rStyle w:val="StringTok"/>
        </w:rPr>
        <w:t xml:space="preserve">"price"</w:t>
      </w:r>
      <w:r>
        <w:rPr>
          <w:rStyle w:val="OtherTok"/>
        </w:rPr>
        <w:t xml:space="preserve">)</w:t>
      </w:r>
      <w:r>
        <w:rPr>
          <w:rStyle w:val="NormalTok"/>
        </w:rPr>
        <w:t xml:space="preserve">.NumericScale</w:t>
      </w:r>
      <w:r>
        <w:rPr>
          <w:rStyle w:val="OtherTok"/>
        </w:rPr>
        <w:t xml:space="preserv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67"/>
    <w:bookmarkEnd w:id="5768"/>
    <w:bookmarkStart w:id="5773" w:name="field.actualsize-property"/>
    <w:p>
      <w:pPr>
        <w:pStyle w:val="Heading1"/>
      </w:pPr>
      <w:r>
        <w:t xml:space="preserve">Field.ActualSize Property</w:t>
      </w:r>
    </w:p>
    <w:p>
      <w:pPr>
        <w:pStyle w:val="FirstParagraph"/>
      </w:pPr>
      <w:r>
        <w:t xml:space="preserve">Returns the actual size of the current field value.</w:t>
      </w:r>
    </w:p>
    <w:bookmarkStart w:id="5769" w:name="syntax-676"/>
    <w:p>
      <w:pPr>
        <w:pStyle w:val="Heading2"/>
      </w:pPr>
      <w:r>
        <w:t xml:space="preserve">Syntax</w:t>
      </w:r>
    </w:p>
    <w:p>
      <w:pPr>
        <w:pStyle w:val="SourceCode"/>
      </w:pPr>
      <w:r>
        <w:rPr>
          <w:rStyle w:val="NormalTok"/>
        </w:rPr>
        <w:t xml:space="preserve">length = rs.Fields("columnName").ActualSize</w:t>
      </w:r>
    </w:p>
    <w:bookmarkEnd w:id="5769"/>
    <w:bookmarkStart w:id="5770" w:name="return-value-359"/>
    <w:p>
      <w:pPr>
        <w:pStyle w:val="Heading2"/>
      </w:pPr>
      <w:r>
        <w:t xml:space="preserve">Return Value</w:t>
      </w:r>
    </w:p>
    <w:p>
      <w:pPr>
        <w:pStyle w:val="FirstParagraph"/>
      </w:pPr>
      <w:r>
        <w:t xml:space="preserve">Integer. Returns the current value length in characters for text data, or byte-length semantics as provided by the driver for binary-like values.</w:t>
      </w:r>
    </w:p>
    <w:bookmarkEnd w:id="5770"/>
    <w:bookmarkStart w:id="5771" w:name="remarks-649"/>
    <w:p>
      <w:pPr>
        <w:pStyle w:val="Heading2"/>
      </w:pPr>
      <w:r>
        <w:t xml:space="preserve">Remarks</w:t>
      </w:r>
    </w:p>
    <w:p>
      <w:pPr>
        <w:pStyle w:val="Compact"/>
        <w:numPr>
          <w:ilvl w:val="0"/>
          <w:numId w:val="2390"/>
        </w:numPr>
      </w:pPr>
      <w:r>
        <w:t xml:space="preserve">Property names are case-insensitive.</w:t>
      </w:r>
    </w:p>
    <w:p>
      <w:pPr>
        <w:pStyle w:val="Compact"/>
        <w:numPr>
          <w:ilvl w:val="0"/>
          <w:numId w:val="2390"/>
        </w:numPr>
      </w:pPr>
      <w:r>
        <w:t xml:space="preserve">This property is read-only.</w:t>
      </w:r>
    </w:p>
    <w:p>
      <w:pPr>
        <w:pStyle w:val="Compact"/>
        <w:numPr>
          <w:ilvl w:val="0"/>
          <w:numId w:val="2390"/>
        </w:numPr>
      </w:pPr>
      <w:r>
        <w:t xml:space="preserve">ActualSize reflects the current row value, not the schema maximum.</w:t>
      </w:r>
    </w:p>
    <w:p>
      <w:pPr>
        <w:pStyle w:val="Compact"/>
        <w:numPr>
          <w:ilvl w:val="0"/>
          <w:numId w:val="2390"/>
        </w:numPr>
      </w:pPr>
      <w:r>
        <w:t xml:space="preserve">Use DefinedSize for declared column capacity.</w:t>
      </w:r>
    </w:p>
    <w:bookmarkEnd w:id="5771"/>
    <w:bookmarkStart w:id="5772" w:name="code-example-47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name FROM users WHERE id = 1"</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"Actual size: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w:t>
      </w:r>
      <w:r>
        <w:rPr>
          <w:rStyle w:val="OtherTok"/>
        </w:rPr>
        <w:t xml:space="preserve">(</w:t>
      </w:r>
      <w:r>
        <w:rPr>
          <w:rStyle w:val="StringTok"/>
        </w:rPr>
        <w:t xml:space="preserve">"name"</w:t>
      </w:r>
      <w:r>
        <w:rPr>
          <w:rStyle w:val="OtherTok"/>
        </w:rPr>
        <w:t xml:space="preserve">)</w:t>
      </w:r>
      <w:r>
        <w:rPr>
          <w:rStyle w:val="NormalTok"/>
        </w:rPr>
        <w:t xml:space="preserve">.ActualSize</w:t>
      </w:r>
      <w:r>
        <w:rPr>
          <w:rStyle w:val="OtherTok"/>
        </w:rPr>
        <w:t xml:space="preserv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72"/>
    <w:bookmarkEnd w:id="5773"/>
    <w:bookmarkStart w:id="5778" w:name="field.dataformat-property"/>
    <w:p>
      <w:pPr>
        <w:pStyle w:val="Heading1"/>
      </w:pPr>
      <w:r>
        <w:t xml:space="preserve">Field.DataFormat Property</w:t>
      </w:r>
    </w:p>
    <w:p>
      <w:pPr>
        <w:pStyle w:val="FirstParagraph"/>
      </w:pPr>
      <w:r>
        <w:t xml:space="preserve">Returns the data format object associated with the field.</w:t>
      </w:r>
    </w:p>
    <w:bookmarkStart w:id="5774" w:name="syntax-677"/>
    <w:p>
      <w:pPr>
        <w:pStyle w:val="Heading2"/>
      </w:pPr>
      <w:r>
        <w:t xml:space="preserve">Syntax</w:t>
      </w:r>
    </w:p>
    <w:p>
      <w:pPr>
        <w:pStyle w:val="SourceCode"/>
      </w:pPr>
      <w:r>
        <w:rPr>
          <w:rStyle w:val="NormalTok"/>
        </w:rPr>
        <w:t xml:space="preserve">fmt = rs.Fields("columnName").DataFormat</w:t>
      </w:r>
    </w:p>
    <w:bookmarkEnd w:id="5774"/>
    <w:bookmarkStart w:id="5775" w:name="return-value-360"/>
    <w:p>
      <w:pPr>
        <w:pStyle w:val="Heading2"/>
      </w:pPr>
      <w:r>
        <w:t xml:space="preserve">Return Value</w:t>
      </w:r>
    </w:p>
    <w:p>
      <w:pPr>
        <w:pStyle w:val="FirstParagraph"/>
      </w:pPr>
      <w:r>
        <w:t xml:space="preserve">Empty. In the current G3Pix AxonASP ADODB runtime, this property returns Empty.</w:t>
      </w:r>
    </w:p>
    <w:bookmarkEnd w:id="5775"/>
    <w:bookmarkStart w:id="5776" w:name="remarks-650"/>
    <w:p>
      <w:pPr>
        <w:pStyle w:val="Heading2"/>
      </w:pPr>
      <w:r>
        <w:t xml:space="preserve">Remarks</w:t>
      </w:r>
    </w:p>
    <w:p>
      <w:pPr>
        <w:pStyle w:val="Compact"/>
        <w:numPr>
          <w:ilvl w:val="0"/>
          <w:numId w:val="2391"/>
        </w:numPr>
      </w:pPr>
      <w:r>
        <w:t xml:space="preserve">Property names are case-insensitive.</w:t>
      </w:r>
    </w:p>
    <w:p>
      <w:pPr>
        <w:pStyle w:val="Compact"/>
        <w:numPr>
          <w:ilvl w:val="0"/>
          <w:numId w:val="2391"/>
        </w:numPr>
      </w:pPr>
      <w:r>
        <w:t xml:space="preserve">This property is exposed for compatibility.</w:t>
      </w:r>
    </w:p>
    <w:p>
      <w:pPr>
        <w:pStyle w:val="Compact"/>
        <w:numPr>
          <w:ilvl w:val="0"/>
          <w:numId w:val="2391"/>
        </w:numPr>
      </w:pPr>
      <w:r>
        <w:t xml:space="preserve">Assignments are not supported in the current implementation.</w:t>
      </w:r>
    </w:p>
    <w:bookmarkEnd w:id="5776"/>
    <w:bookmarkStart w:id="5777" w:name="code-example-47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fmt</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fmt = rs.Fields</w:t>
      </w:r>
      <w:r>
        <w:rPr>
          <w:rStyle w:val="OtherTok"/>
        </w:rPr>
        <w:t xml:space="preserve">(</w:t>
      </w:r>
      <w:r>
        <w:rPr>
          <w:rStyle w:val="StringTok"/>
        </w:rPr>
        <w:t xml:space="preserve">"name"</w:t>
      </w:r>
      <w:r>
        <w:rPr>
          <w:rStyle w:val="OtherTok"/>
        </w:rPr>
        <w:t xml:space="preserve">)</w:t>
      </w:r>
      <w:r>
        <w:rPr>
          <w:rStyle w:val="NormalTok"/>
        </w:rPr>
        <w:t xml:space="preserve">.DataFormat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"IsEmpty(DataFormat):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FunctionTok"/>
        </w:rPr>
        <w:t xml:space="preserve">IsEmpty</w:t>
      </w:r>
      <w:r>
        <w:rPr>
          <w:rStyle w:val="OtherTok"/>
        </w:rPr>
        <w:t xml:space="preserve">(</w:t>
      </w:r>
      <w:r>
        <w:rPr>
          <w:rStyle w:val="NormalTok"/>
        </w:rPr>
        <w:t xml:space="preserve">fmt</w:t>
      </w:r>
      <w:r>
        <w:rPr>
          <w:rStyle w:val="OtherTok"/>
        </w:rPr>
        <w:t xml:space="preserv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77"/>
    <w:bookmarkEnd w:id="5778"/>
    <w:bookmarkStart w:id="5783" w:name="field.originalvalue-property"/>
    <w:p>
      <w:pPr>
        <w:pStyle w:val="Heading1"/>
      </w:pPr>
      <w:r>
        <w:t xml:space="preserve">Field.OriginalValue Property</w:t>
      </w:r>
    </w:p>
    <w:p>
      <w:pPr>
        <w:pStyle w:val="FirstParagraph"/>
      </w:pPr>
      <w:r>
        <w:t xml:space="preserve">Returns the original field value before local edits on the current row.</w:t>
      </w:r>
    </w:p>
    <w:bookmarkStart w:id="5779" w:name="syntax-678"/>
    <w:p>
      <w:pPr>
        <w:pStyle w:val="Heading2"/>
      </w:pPr>
      <w:r>
        <w:t xml:space="preserve">Syntax</w:t>
      </w:r>
    </w:p>
    <w:p>
      <w:pPr>
        <w:pStyle w:val="SourceCode"/>
      </w:pPr>
      <w:r>
        <w:rPr>
          <w:rStyle w:val="NormalTok"/>
        </w:rPr>
        <w:t xml:space="preserve">value = rs.Fields("columnName").OriginalValue</w:t>
      </w:r>
    </w:p>
    <w:bookmarkEnd w:id="5779"/>
    <w:bookmarkStart w:id="5780" w:name="return-value-361"/>
    <w:p>
      <w:pPr>
        <w:pStyle w:val="Heading2"/>
      </w:pPr>
      <w:r>
        <w:t xml:space="preserve">Return Value</w:t>
      </w:r>
    </w:p>
    <w:p>
      <w:pPr>
        <w:pStyle w:val="FirstParagraph"/>
      </w:pPr>
      <w:r>
        <w:t xml:space="preserve">Variant. Returns the original value tracked by the runtime for the current row field.</w:t>
      </w:r>
    </w:p>
    <w:bookmarkEnd w:id="5780"/>
    <w:bookmarkStart w:id="5781" w:name="remarks-651"/>
    <w:p>
      <w:pPr>
        <w:pStyle w:val="Heading2"/>
      </w:pPr>
      <w:r>
        <w:t xml:space="preserve">Remarks</w:t>
      </w:r>
    </w:p>
    <w:p>
      <w:pPr>
        <w:pStyle w:val="Compact"/>
        <w:numPr>
          <w:ilvl w:val="0"/>
          <w:numId w:val="2392"/>
        </w:numPr>
      </w:pPr>
      <w:r>
        <w:t xml:space="preserve">Property names are case-insensitive.</w:t>
      </w:r>
    </w:p>
    <w:p>
      <w:pPr>
        <w:pStyle w:val="Compact"/>
        <w:numPr>
          <w:ilvl w:val="0"/>
          <w:numId w:val="2392"/>
        </w:numPr>
      </w:pPr>
      <w:r>
        <w:t xml:space="preserve">This property is read-only.</w:t>
      </w:r>
    </w:p>
    <w:p>
      <w:pPr>
        <w:pStyle w:val="Compact"/>
        <w:numPr>
          <w:ilvl w:val="0"/>
          <w:numId w:val="2392"/>
        </w:numPr>
      </w:pPr>
      <w:r>
        <w:t xml:space="preserve">In providers without full change tracking, value can match</w:t>
      </w:r>
      <w:r>
        <w:t xml:space="preserve"> </w:t>
      </w:r>
      <w:r>
        <w:rPr>
          <w:rStyle w:val="VerbatimChar"/>
        </w:rPr>
        <w:t xml:space="preserve">Field.Value</w:t>
      </w:r>
      <w:r>
        <w:t xml:space="preserve">.</w:t>
      </w:r>
    </w:p>
    <w:bookmarkEnd w:id="5781"/>
    <w:bookmarkStart w:id="5782" w:name="code-example-47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 FROM users WHERE id = 1"</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"Original: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.OriginalValue </w:t>
      </w:r>
      <w:r>
        <w:rPr>
          <w:rStyle w:val="KeywordTok"/>
        </w:rPr>
        <w:t xml:space="preserve">&amp;</w:t>
      </w:r>
      <w:r>
        <w:rPr>
          <w:rStyle w:val="NormalTok"/>
        </w:rPr>
        <w:t xml:space="preserve"> </w:t>
      </w:r>
      <w:r>
        <w:rPr>
          <w:rStyle w:val="StringTok"/>
        </w:rPr>
        <w:t xml:space="preserve">"&lt;br&gt;"</w:t>
      </w:r>
      <w:r>
        <w:br/>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 = </w:t>
      </w:r>
      <w:r>
        <w:rPr>
          <w:rStyle w:val="StringTok"/>
        </w:rPr>
        <w:t xml:space="preserve">"Temporary Change"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w:t>
      </w:r>
      <w:r>
        <w:rPr>
          <w:rStyle w:val="NormalTok"/>
        </w:rPr>
        <w:t xml:space="preserve"> </w:t>
      </w:r>
      <w:r>
        <w:rPr>
          <w:rStyle w:val="KeywordTok"/>
        </w:rPr>
        <w:t xml:space="preserve">&amp;</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.Value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82"/>
    <w:bookmarkEnd w:id="5783"/>
    <w:bookmarkStart w:id="5788" w:name="field.precision-property"/>
    <w:p>
      <w:pPr>
        <w:pStyle w:val="Heading1"/>
      </w:pPr>
      <w:r>
        <w:t xml:space="preserve">Field.Precision Property</w:t>
      </w:r>
    </w:p>
    <w:p>
      <w:pPr>
        <w:pStyle w:val="FirstParagraph"/>
      </w:pPr>
      <w:r>
        <w:t xml:space="preserve">Returns numeric precision metadata for the field.</w:t>
      </w:r>
    </w:p>
    <w:bookmarkStart w:id="5784" w:name="syntax-679"/>
    <w:p>
      <w:pPr>
        <w:pStyle w:val="Heading2"/>
      </w:pPr>
      <w:r>
        <w:t xml:space="preserve">Syntax</w:t>
      </w:r>
    </w:p>
    <w:p>
      <w:pPr>
        <w:pStyle w:val="SourceCode"/>
      </w:pPr>
      <w:r>
        <w:rPr>
          <w:rStyle w:val="NormalTok"/>
        </w:rPr>
        <w:t xml:space="preserve">value = rs.Fields("columnName").Precision</w:t>
      </w:r>
    </w:p>
    <w:bookmarkEnd w:id="5784"/>
    <w:bookmarkStart w:id="5785" w:name="return-value-362"/>
    <w:p>
      <w:pPr>
        <w:pStyle w:val="Heading2"/>
      </w:pPr>
      <w:r>
        <w:t xml:space="preserve">Return Value</w:t>
      </w:r>
    </w:p>
    <w:p>
      <w:pPr>
        <w:pStyle w:val="FirstParagraph"/>
      </w:pPr>
      <w:r>
        <w:t xml:space="preserve">Integer. Returns declared precision for numeric columns; provider-specific fallback may apply.</w:t>
      </w:r>
    </w:p>
    <w:bookmarkEnd w:id="5785"/>
    <w:bookmarkStart w:id="5786" w:name="remarks-652"/>
    <w:p>
      <w:pPr>
        <w:pStyle w:val="Heading2"/>
      </w:pPr>
      <w:r>
        <w:t xml:space="preserve">Remarks</w:t>
      </w:r>
    </w:p>
    <w:p>
      <w:pPr>
        <w:pStyle w:val="Compact"/>
        <w:numPr>
          <w:ilvl w:val="0"/>
          <w:numId w:val="2393"/>
        </w:numPr>
      </w:pPr>
      <w:r>
        <w:t xml:space="preserve">Property names are case-insensitive.</w:t>
      </w:r>
    </w:p>
    <w:p>
      <w:pPr>
        <w:pStyle w:val="Compact"/>
        <w:numPr>
          <w:ilvl w:val="0"/>
          <w:numId w:val="2393"/>
        </w:numPr>
      </w:pPr>
      <w:r>
        <w:t xml:space="preserve">This property is read-only.</w:t>
      </w:r>
    </w:p>
    <w:p>
      <w:pPr>
        <w:pStyle w:val="Compact"/>
        <w:numPr>
          <w:ilvl w:val="0"/>
          <w:numId w:val="2393"/>
        </w:numPr>
      </w:pPr>
      <w:r>
        <w:t xml:space="preserve">Use with</w:t>
      </w:r>
      <w:r>
        <w:t xml:space="preserve"> </w:t>
      </w:r>
      <w:r>
        <w:rPr>
          <w:rStyle w:val="VerbatimChar"/>
        </w:rPr>
        <w:t xml:space="preserve">NumericScale</w:t>
      </w:r>
      <w:r>
        <w:t xml:space="preserve"> </w:t>
      </w:r>
      <w:r>
        <w:t xml:space="preserve">to validate decimal handling.</w:t>
      </w:r>
    </w:p>
    <w:bookmarkEnd w:id="5786"/>
    <w:bookmarkStart w:id="5787" w:name="code-example-47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price FROM products"</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rs.Fields</w:t>
      </w:r>
      <w:r>
        <w:rPr>
          <w:rStyle w:val="OtherTok"/>
        </w:rPr>
        <w:t xml:space="preserve">(</w:t>
      </w:r>
      <w:r>
        <w:rPr>
          <w:rStyle w:val="StringTok"/>
        </w:rPr>
        <w:t xml:space="preserve">"price"</w:t>
      </w:r>
      <w:r>
        <w:rPr>
          <w:rStyle w:val="OtherTok"/>
        </w:rPr>
        <w:t xml:space="preserve">)</w:t>
      </w:r>
      <w:r>
        <w:rPr>
          <w:rStyle w:val="NormalTok"/>
        </w:rPr>
        <w:t xml:space="preserve">.Precision</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87"/>
    <w:bookmarkEnd w:id="5788"/>
    <w:bookmarkStart w:id="5793" w:name="field.status-property"/>
    <w:p>
      <w:pPr>
        <w:pStyle w:val="Heading1"/>
      </w:pPr>
      <w:r>
        <w:t xml:space="preserve">Field.Status Property</w:t>
      </w:r>
    </w:p>
    <w:p>
      <w:pPr>
        <w:pStyle w:val="FirstParagraph"/>
      </w:pPr>
      <w:r>
        <w:t xml:space="preserve">Returns status flags for the current field value.</w:t>
      </w:r>
    </w:p>
    <w:bookmarkStart w:id="5789" w:name="syntax-680"/>
    <w:p>
      <w:pPr>
        <w:pStyle w:val="Heading2"/>
      </w:pPr>
      <w:r>
        <w:t xml:space="preserve">Syntax</w:t>
      </w:r>
    </w:p>
    <w:p>
      <w:pPr>
        <w:pStyle w:val="SourceCode"/>
      </w:pPr>
      <w:r>
        <w:rPr>
          <w:rStyle w:val="NormalTok"/>
        </w:rPr>
        <w:t xml:space="preserve">value = rs.Fields("columnName").Status</w:t>
      </w:r>
    </w:p>
    <w:bookmarkEnd w:id="5789"/>
    <w:bookmarkStart w:id="5790" w:name="return-value-363"/>
    <w:p>
      <w:pPr>
        <w:pStyle w:val="Heading2"/>
      </w:pPr>
      <w:r>
        <w:t xml:space="preserve">Return Value</w:t>
      </w:r>
    </w:p>
    <w:p>
      <w:pPr>
        <w:pStyle w:val="FirstParagraph"/>
      </w:pPr>
      <w:r>
        <w:t xml:space="preserve">Integer. Returns status information for the field according to provider/runtime flags.</w:t>
      </w:r>
    </w:p>
    <w:bookmarkEnd w:id="5790"/>
    <w:bookmarkStart w:id="5791" w:name="remarks-653"/>
    <w:p>
      <w:pPr>
        <w:pStyle w:val="Heading2"/>
      </w:pPr>
      <w:r>
        <w:t xml:space="preserve">Remarks</w:t>
      </w:r>
    </w:p>
    <w:p>
      <w:pPr>
        <w:pStyle w:val="Compact"/>
        <w:numPr>
          <w:ilvl w:val="0"/>
          <w:numId w:val="2394"/>
        </w:numPr>
      </w:pPr>
      <w:r>
        <w:t xml:space="preserve">Property names are case-insensitive.</w:t>
      </w:r>
    </w:p>
    <w:p>
      <w:pPr>
        <w:pStyle w:val="Compact"/>
        <w:numPr>
          <w:ilvl w:val="0"/>
          <w:numId w:val="2394"/>
        </w:numPr>
      </w:pPr>
      <w:r>
        <w:t xml:space="preserve">This property is read-only.</w:t>
      </w:r>
    </w:p>
    <w:p>
      <w:pPr>
        <w:pStyle w:val="Compact"/>
        <w:numPr>
          <w:ilvl w:val="0"/>
          <w:numId w:val="2394"/>
        </w:numPr>
      </w:pPr>
      <w:r>
        <w:t xml:space="preserve">Field status often reflects row update and null-state metadata.</w:t>
      </w:r>
    </w:p>
    <w:bookmarkEnd w:id="5791"/>
    <w:bookmarkStart w:id="5792" w:name="code-example-48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rs.Fields</w:t>
      </w:r>
      <w:r>
        <w:rPr>
          <w:rStyle w:val="OtherTok"/>
        </w:rPr>
        <w:t xml:space="preserve">(</w:t>
      </w:r>
      <w:r>
        <w:rPr>
          <w:rStyle w:val="StringTok"/>
        </w:rPr>
        <w:t xml:space="preserve">"name"</w:t>
      </w:r>
      <w:r>
        <w:rPr>
          <w:rStyle w:val="OtherTok"/>
        </w:rPr>
        <w:t xml:space="preserve">)</w:t>
      </w:r>
      <w:r>
        <w:rPr>
          <w:rStyle w:val="NormalTok"/>
        </w:rPr>
        <w:t xml:space="preserve">.Status</w:t>
      </w:r>
      <w:r>
        <w:rPr>
          <w:rStyle w:val="OtherTok"/>
        </w:rPr>
        <w:t xml:space="preserv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92"/>
    <w:bookmarkEnd w:id="5793"/>
    <w:bookmarkStart w:id="5798" w:name="field.underlyingvalue-property"/>
    <w:p>
      <w:pPr>
        <w:pStyle w:val="Heading1"/>
      </w:pPr>
      <w:r>
        <w:t xml:space="preserve">Field.UnderlyingValue Property</w:t>
      </w:r>
    </w:p>
    <w:p>
      <w:pPr>
        <w:pStyle w:val="FirstParagraph"/>
      </w:pPr>
      <w:r>
        <w:t xml:space="preserve">Returns the underlying provider value for the current field.</w:t>
      </w:r>
    </w:p>
    <w:bookmarkStart w:id="5794" w:name="syntax-681"/>
    <w:p>
      <w:pPr>
        <w:pStyle w:val="Heading2"/>
      </w:pPr>
      <w:r>
        <w:t xml:space="preserve">Syntax</w:t>
      </w:r>
    </w:p>
    <w:p>
      <w:pPr>
        <w:pStyle w:val="SourceCode"/>
      </w:pPr>
      <w:r>
        <w:rPr>
          <w:rStyle w:val="NormalTok"/>
        </w:rPr>
        <w:t xml:space="preserve">value = rs.Fields("columnName").UnderlyingValue</w:t>
      </w:r>
    </w:p>
    <w:bookmarkEnd w:id="5794"/>
    <w:bookmarkStart w:id="5795" w:name="return-value-364"/>
    <w:p>
      <w:pPr>
        <w:pStyle w:val="Heading2"/>
      </w:pPr>
      <w:r>
        <w:t xml:space="preserve">Return Value</w:t>
      </w:r>
    </w:p>
    <w:p>
      <w:pPr>
        <w:pStyle w:val="FirstParagraph"/>
      </w:pPr>
      <w:r>
        <w:t xml:space="preserve">Variant. Returns the provider-level underlying value for the current row field.</w:t>
      </w:r>
    </w:p>
    <w:bookmarkEnd w:id="5795"/>
    <w:bookmarkStart w:id="5796" w:name="remarks-654"/>
    <w:p>
      <w:pPr>
        <w:pStyle w:val="Heading2"/>
      </w:pPr>
      <w:r>
        <w:t xml:space="preserve">Remarks</w:t>
      </w:r>
    </w:p>
    <w:p>
      <w:pPr>
        <w:pStyle w:val="Compact"/>
        <w:numPr>
          <w:ilvl w:val="0"/>
          <w:numId w:val="2395"/>
        </w:numPr>
      </w:pPr>
      <w:r>
        <w:t xml:space="preserve">Property names are case-insensitive.</w:t>
      </w:r>
    </w:p>
    <w:p>
      <w:pPr>
        <w:pStyle w:val="Compact"/>
        <w:numPr>
          <w:ilvl w:val="0"/>
          <w:numId w:val="2395"/>
        </w:numPr>
      </w:pPr>
      <w:r>
        <w:t xml:space="preserve">This property is read-only.</w:t>
      </w:r>
    </w:p>
    <w:p>
      <w:pPr>
        <w:pStyle w:val="Compact"/>
        <w:numPr>
          <w:ilvl w:val="0"/>
          <w:numId w:val="2395"/>
        </w:numPr>
      </w:pPr>
      <w:r>
        <w:t xml:space="preserve">For providers without separate change-tracking layers, value can match</w:t>
      </w:r>
      <w:r>
        <w:t xml:space="preserve"> </w:t>
      </w:r>
      <w:r>
        <w:rPr>
          <w:rStyle w:val="VerbatimChar"/>
        </w:rPr>
        <w:t xml:space="preserve">Field.Value</w:t>
      </w:r>
      <w:r>
        <w:t xml:space="preserve">.</w:t>
      </w:r>
    </w:p>
    <w:bookmarkEnd w:id="5796"/>
    <w:bookmarkStart w:id="5797" w:name="code-example-48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name FROM users WHERE id = 1"</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rs.Fields</w:t>
      </w:r>
      <w:r>
        <w:rPr>
          <w:rStyle w:val="OtherTok"/>
        </w:rPr>
        <w:t xml:space="preserve">(</w:t>
      </w:r>
      <w:r>
        <w:rPr>
          <w:rStyle w:val="StringTok"/>
        </w:rPr>
        <w:t xml:space="preserve">"name"</w:t>
      </w:r>
      <w:r>
        <w:rPr>
          <w:rStyle w:val="OtherTok"/>
        </w:rPr>
        <w:t xml:space="preserve">)</w:t>
      </w:r>
      <w:r>
        <w:rPr>
          <w:rStyle w:val="NormalTok"/>
        </w:rPr>
        <w:t xml:space="preserve">.UnderlyingValue</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797"/>
    <w:bookmarkEnd w:id="5798"/>
    <w:bookmarkStart w:id="5804" w:name="errors.count-method-1"/>
    <w:p>
      <w:pPr>
        <w:pStyle w:val="Heading1"/>
      </w:pPr>
      <w:r>
        <w:t xml:space="preserve">Errors.Count Method</w:t>
      </w:r>
    </w:p>
    <w:p>
      <w:pPr>
        <w:pStyle w:val="FirstParagraph"/>
      </w:pPr>
      <w:r>
        <w:t xml:space="preserve">Returns the number of error objects in the Errors collection.</w:t>
      </w:r>
    </w:p>
    <w:bookmarkStart w:id="5799" w:name="syntax-682"/>
    <w:p>
      <w:pPr>
        <w:pStyle w:val="Heading2"/>
      </w:pPr>
      <w:r>
        <w:t xml:space="preserve">Syntax</w:t>
      </w:r>
    </w:p>
    <w:p>
      <w:pPr>
        <w:pStyle w:val="SourceCode"/>
      </w:pPr>
      <w:r>
        <w:rPr>
          <w:rStyle w:val="NormalTok"/>
        </w:rPr>
        <w:t xml:space="preserve">count = conn.Errors.Count</w:t>
      </w:r>
    </w:p>
    <w:bookmarkEnd w:id="5799"/>
    <w:bookmarkStart w:id="5800" w:name="parameters-309"/>
    <w:p>
      <w:pPr>
        <w:pStyle w:val="Heading2"/>
      </w:pPr>
      <w:r>
        <w:t xml:space="preserve">Parameters</w:t>
      </w:r>
    </w:p>
    <w:p>
      <w:pPr>
        <w:pStyle w:val="FirstParagraph"/>
      </w:pPr>
      <w:r>
        <w:t xml:space="preserve">No parameters.</w:t>
      </w:r>
    </w:p>
    <w:bookmarkEnd w:id="5800"/>
    <w:bookmarkStart w:id="5801" w:name="return-value-365"/>
    <w:p>
      <w:pPr>
        <w:pStyle w:val="Heading2"/>
      </w:pPr>
      <w:r>
        <w:t xml:space="preserve">Return Value</w:t>
      </w:r>
    </w:p>
    <w:p>
      <w:pPr>
        <w:pStyle w:val="FirstParagraph"/>
      </w:pPr>
      <w:r>
        <w:t xml:space="preserve">Integer. Returns the number of errors currently stored in the connection Errors collection.</w:t>
      </w:r>
    </w:p>
    <w:bookmarkEnd w:id="5801"/>
    <w:bookmarkStart w:id="5802" w:name="remarks-655"/>
    <w:p>
      <w:pPr>
        <w:pStyle w:val="Heading2"/>
      </w:pPr>
      <w:r>
        <w:t xml:space="preserve">Remarks</w:t>
      </w:r>
    </w:p>
    <w:p>
      <w:pPr>
        <w:pStyle w:val="Compact"/>
        <w:numPr>
          <w:ilvl w:val="0"/>
          <w:numId w:val="2396"/>
        </w:numPr>
      </w:pPr>
      <w:r>
        <w:t xml:space="preserve">Method names are case-insensitive.</w:t>
      </w:r>
    </w:p>
    <w:p>
      <w:pPr>
        <w:pStyle w:val="Compact"/>
        <w:numPr>
          <w:ilvl w:val="0"/>
          <w:numId w:val="2396"/>
        </w:numPr>
      </w:pPr>
      <w:r>
        <w:t xml:space="preserve">The Errors collection is associated with a Connection object.</w:t>
      </w:r>
    </w:p>
    <w:p>
      <w:pPr>
        <w:pStyle w:val="Compact"/>
        <w:numPr>
          <w:ilvl w:val="0"/>
          <w:numId w:val="2396"/>
        </w:numPr>
      </w:pPr>
      <w:r>
        <w:t xml:space="preserve">The count increases when an operation fails and adds an ADODB.Error item.</w:t>
      </w:r>
    </w:p>
    <w:p>
      <w:pPr>
        <w:pStyle w:val="Compact"/>
        <w:numPr>
          <w:ilvl w:val="0"/>
          <w:numId w:val="2396"/>
        </w:numPr>
      </w:pPr>
      <w:r>
        <w:t xml:space="preserve">Call</w:t>
      </w:r>
      <w:r>
        <w:t xml:space="preserve"> </w:t>
      </w:r>
      <w:r>
        <w:rPr>
          <w:rStyle w:val="VerbatimChar"/>
        </w:rPr>
        <w:t xml:space="preserve">Errors.Clear</w:t>
      </w:r>
      <w:r>
        <w:t xml:space="preserve"> </w:t>
      </w:r>
      <w:r>
        <w:t xml:space="preserve">to reset the collection.</w:t>
      </w:r>
    </w:p>
    <w:bookmarkEnd w:id="5802"/>
    <w:bookmarkStart w:id="5803" w:name="code-example-48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CommentTok"/>
        </w:rPr>
        <w:t xml:space="preserve">' Force an error to populate Errors collection.</w:t>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"Errors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conn.Errors.Count</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803"/>
    <w:bookmarkEnd w:id="5804"/>
    <w:bookmarkStart w:id="5810" w:name="errors.item-method-1"/>
    <w:p>
      <w:pPr>
        <w:pStyle w:val="Heading1"/>
      </w:pPr>
      <w:r>
        <w:t xml:space="preserve">Errors.Item Method</w:t>
      </w:r>
    </w:p>
    <w:p>
      <w:pPr>
        <w:pStyle w:val="FirstParagraph"/>
      </w:pPr>
      <w:r>
        <w:t xml:space="preserve">Returns an Error object from the Errors collection by index.</w:t>
      </w:r>
    </w:p>
    <w:bookmarkStart w:id="5805" w:name="syntax-683"/>
    <w:p>
      <w:pPr>
        <w:pStyle w:val="Heading2"/>
      </w:pPr>
      <w:r>
        <w:t xml:space="preserve">Syntax</w:t>
      </w:r>
    </w:p>
    <w:p>
      <w:pPr>
        <w:pStyle w:val="SourceCode"/>
      </w:pPr>
      <w:r>
        <w:rPr>
          <w:rStyle w:val="NormalTok"/>
        </w:rPr>
        <w:t xml:space="preserve">Set errObj = conn.Errors.Item(index)</w:t>
      </w:r>
    </w:p>
    <w:bookmarkEnd w:id="5805"/>
    <w:bookmarkStart w:id="5806" w:name="parameters-31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index</w:t>
            </w:r>
          </w:p>
        </w:tc>
        <w:tc>
          <w:tcPr/>
          <w:p>
            <w:pPr>
              <w:pStyle w:val="Compact"/>
            </w:pPr>
            <w:r>
              <w:t xml:space="preserve">Integer</w:t>
            </w:r>
          </w:p>
        </w:tc>
        <w:tc>
          <w:tcPr/>
          <w:p>
            <w:pPr>
              <w:pStyle w:val="Compact"/>
            </w:pPr>
            <w:r>
              <w:t xml:space="preserve">Yes</w:t>
            </w:r>
          </w:p>
        </w:tc>
        <w:tc>
          <w:tcPr/>
          <w:p>
            <w:pPr>
              <w:pStyle w:val="Compact"/>
            </w:pPr>
            <w:r>
              <w:t xml:space="preserve">Zero-based index of the error item in the collection.</w:t>
            </w:r>
          </w:p>
        </w:tc>
      </w:tr>
    </w:tbl>
    <w:bookmarkEnd w:id="5806"/>
    <w:bookmarkStart w:id="5807" w:name="return-value-366"/>
    <w:p>
      <w:pPr>
        <w:pStyle w:val="Heading2"/>
      </w:pPr>
      <w:r>
        <w:t xml:space="preserve">Return Value</w:t>
      </w:r>
    </w:p>
    <w:p>
      <w:pPr>
        <w:pStyle w:val="FirstParagraph"/>
      </w:pPr>
      <w:r>
        <w:t xml:space="preserve">Error or Empty. Returns an ADODB.Error object for a valid index, or Empty when the index is out of range.</w:t>
      </w:r>
    </w:p>
    <w:bookmarkEnd w:id="5807"/>
    <w:bookmarkStart w:id="5808" w:name="remarks-656"/>
    <w:p>
      <w:pPr>
        <w:pStyle w:val="Heading2"/>
      </w:pPr>
      <w:r>
        <w:t xml:space="preserve">Remarks</w:t>
      </w:r>
    </w:p>
    <w:p>
      <w:pPr>
        <w:pStyle w:val="Compact"/>
        <w:numPr>
          <w:ilvl w:val="0"/>
          <w:numId w:val="2397"/>
        </w:numPr>
      </w:pPr>
      <w:r>
        <w:t xml:space="preserve">Method names are case-insensitive.</w:t>
      </w:r>
    </w:p>
    <w:p>
      <w:pPr>
        <w:pStyle w:val="Compact"/>
        <w:numPr>
          <w:ilvl w:val="0"/>
          <w:numId w:val="2397"/>
        </w:numPr>
      </w:pPr>
      <w:r>
        <w:t xml:space="preserve">Use</w:t>
      </w:r>
      <w:r>
        <w:t xml:space="preserve"> </w:t>
      </w:r>
      <w:r>
        <w:rPr>
          <w:rStyle w:val="VerbatimChar"/>
        </w:rPr>
        <w:t xml:space="preserve">Errors.Count</w:t>
      </w:r>
      <w:r>
        <w:t xml:space="preserve"> </w:t>
      </w:r>
      <w:r>
        <w:t xml:space="preserve">to validate the index before calling Item.</w:t>
      </w:r>
    </w:p>
    <w:p>
      <w:pPr>
        <w:pStyle w:val="Compact"/>
        <w:numPr>
          <w:ilvl w:val="0"/>
          <w:numId w:val="2397"/>
        </w:numPr>
      </w:pPr>
      <w:r>
        <w:t xml:space="preserve">Error objects expose Number, Description, Source, and SQLState.</w:t>
      </w:r>
    </w:p>
    <w:p>
      <w:pPr>
        <w:pStyle w:val="Compact"/>
        <w:numPr>
          <w:ilvl w:val="0"/>
          <w:numId w:val="2397"/>
        </w:numPr>
      </w:pPr>
      <w:r>
        <w:t xml:space="preserve">The Errors collection belongs to the Connection object.</w:t>
      </w:r>
    </w:p>
    <w:bookmarkEnd w:id="5808"/>
    <w:bookmarkStart w:id="5809" w:name="code-example-48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errObj</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NormalTok"/>
        </w:rPr>
        <w:t xml:space="preserve">On Error Resume </w:t>
      </w:r>
      <w:r>
        <w:rPr>
          <w:rStyle w:val="ControlFlowTok"/>
        </w:rPr>
        <w:t xml:space="preserve">Next</w:t>
      </w:r>
      <w:r>
        <w:br/>
      </w:r>
      <w:r>
        <w:rPr>
          <w:rStyle w:val="NormalTok"/>
        </w:rPr>
        <w:t xml:space="preserve">conn.</w:t>
      </w:r>
      <w:r>
        <w:rPr>
          <w:rStyle w:val="KeywordTok"/>
        </w:rPr>
        <w:t xml:space="preserve">Execute</w:t>
      </w:r>
      <w:r>
        <w:rPr>
          <w:rStyle w:val="NormalTok"/>
        </w:rPr>
        <w:t xml:space="preserve"> </w:t>
      </w:r>
      <w:r>
        <w:rPr>
          <w:rStyle w:val="StringTok"/>
        </w:rPr>
        <w:t xml:space="preserve">"SELECT * FROM table_that_does_not_exist"</w:t>
      </w:r>
      <w:r>
        <w:br/>
      </w:r>
      <w:r>
        <w:rPr>
          <w:rStyle w:val="NormalTok"/>
        </w:rPr>
        <w:t xml:space="preserve">On Error GoTo </w:t>
      </w:r>
      <w:r>
        <w:rPr>
          <w:rStyle w:val="DecValTok"/>
        </w:rPr>
        <w:t xml:space="preserve">0</w:t>
      </w:r>
      <w:r>
        <w:br/>
      </w:r>
      <w:r>
        <w:br/>
      </w:r>
      <w:r>
        <w:rPr>
          <w:rStyle w:val="ControlFlowTok"/>
        </w:rPr>
        <w:t xml:space="preserve">If</w:t>
      </w:r>
      <w:r>
        <w:rPr>
          <w:rStyle w:val="NormalTok"/>
        </w:rPr>
        <w:t xml:space="preserve"> conn.Errors.Count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errObj = conn.Errors.</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errObj.Number</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errObj.Description</w:t>
      </w:r>
      <w:r>
        <w:br/>
      </w:r>
      <w:r>
        <w:rPr>
          <w:rStyle w:val="ControlFlowTok"/>
        </w:rPr>
        <w:t xml:space="preserve">End If</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errObj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809"/>
    <w:bookmarkEnd w:id="5810"/>
    <w:bookmarkStart w:id="5816" w:name="fields.count-method-1"/>
    <w:p>
      <w:pPr>
        <w:pStyle w:val="Heading1"/>
      </w:pPr>
      <w:r>
        <w:t xml:space="preserve">Fields.Count Method</w:t>
      </w:r>
    </w:p>
    <w:p>
      <w:pPr>
        <w:pStyle w:val="FirstParagraph"/>
      </w:pPr>
      <w:r>
        <w:t xml:space="preserve">Returns the number of columns in the Fields collection.</w:t>
      </w:r>
    </w:p>
    <w:bookmarkStart w:id="5811" w:name="syntax-684"/>
    <w:p>
      <w:pPr>
        <w:pStyle w:val="Heading2"/>
      </w:pPr>
      <w:r>
        <w:t xml:space="preserve">Syntax</w:t>
      </w:r>
    </w:p>
    <w:p>
      <w:pPr>
        <w:pStyle w:val="SourceCode"/>
      </w:pPr>
      <w:r>
        <w:rPr>
          <w:rStyle w:val="NormalTok"/>
        </w:rPr>
        <w:t xml:space="preserve">count = rs.Fields.Count</w:t>
      </w:r>
    </w:p>
    <w:bookmarkEnd w:id="5811"/>
    <w:bookmarkStart w:id="5812" w:name="parameters-311"/>
    <w:p>
      <w:pPr>
        <w:pStyle w:val="Heading2"/>
      </w:pPr>
      <w:r>
        <w:t xml:space="preserve">Parameters</w:t>
      </w:r>
    </w:p>
    <w:p>
      <w:pPr>
        <w:pStyle w:val="FirstParagraph"/>
      </w:pPr>
      <w:r>
        <w:t xml:space="preserve">No parameters.</w:t>
      </w:r>
    </w:p>
    <w:bookmarkEnd w:id="5812"/>
    <w:bookmarkStart w:id="5813" w:name="return-value-367"/>
    <w:p>
      <w:pPr>
        <w:pStyle w:val="Heading2"/>
      </w:pPr>
      <w:r>
        <w:t xml:space="preserve">Return Value</w:t>
      </w:r>
    </w:p>
    <w:p>
      <w:pPr>
        <w:pStyle w:val="FirstParagraph"/>
      </w:pPr>
      <w:r>
        <w:t xml:space="preserve">Integer. Returns the number of Field objects in the current Recordset schema.</w:t>
      </w:r>
    </w:p>
    <w:bookmarkEnd w:id="5813"/>
    <w:bookmarkStart w:id="5814" w:name="remarks-657"/>
    <w:p>
      <w:pPr>
        <w:pStyle w:val="Heading2"/>
      </w:pPr>
      <w:r>
        <w:t xml:space="preserve">Remarks</w:t>
      </w:r>
    </w:p>
    <w:p>
      <w:pPr>
        <w:pStyle w:val="Compact"/>
        <w:numPr>
          <w:ilvl w:val="0"/>
          <w:numId w:val="2398"/>
        </w:numPr>
      </w:pPr>
      <w:r>
        <w:t xml:space="preserve">Method names are case-insensitive.</w:t>
      </w:r>
    </w:p>
    <w:p>
      <w:pPr>
        <w:pStyle w:val="Compact"/>
        <w:numPr>
          <w:ilvl w:val="0"/>
          <w:numId w:val="2398"/>
        </w:numPr>
      </w:pPr>
      <w:r>
        <w:t xml:space="preserve">Count reflects the selected columns in the current query.</w:t>
      </w:r>
    </w:p>
    <w:p>
      <w:pPr>
        <w:pStyle w:val="Compact"/>
        <w:numPr>
          <w:ilvl w:val="0"/>
          <w:numId w:val="2398"/>
        </w:numPr>
      </w:pPr>
      <w:r>
        <w:t xml:space="preserve">The value is available after the Recordset is opened.</w:t>
      </w:r>
    </w:p>
    <w:p>
      <w:pPr>
        <w:pStyle w:val="Compact"/>
        <w:numPr>
          <w:ilvl w:val="0"/>
          <w:numId w:val="2398"/>
        </w:numPr>
      </w:pPr>
      <w:r>
        <w:t xml:space="preserve">Use Count to iterate safely over the fields collection.</w:t>
      </w:r>
    </w:p>
    <w:bookmarkEnd w:id="5814"/>
    <w:bookmarkStart w:id="5815" w:name="code-example-48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i</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email FROM users"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rs.Fields.Count</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rs.Fields.Count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"Column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rs.Fields.</w:t>
      </w:r>
      <w:r>
        <w:rPr>
          <w:rStyle w:val="FunctionTok"/>
        </w:rPr>
        <w:t xml:space="preserve">Item</w:t>
      </w:r>
      <w:r>
        <w:rPr>
          <w:rStyle w:val="OtherTok"/>
        </w:rPr>
        <w:t xml:space="preserve">(</w:t>
      </w:r>
      <w:r>
        <w:rPr>
          <w:rStyle w:val="NormalTok"/>
        </w:rPr>
        <w:t xml:space="preserve">i</w:t>
      </w:r>
      <w:r>
        <w:rPr>
          <w:rStyle w:val="OtherTok"/>
        </w:rPr>
        <w:t xml:space="preserve">)</w:t>
      </w:r>
      <w:r>
        <w:rPr>
          <w:rStyle w:val="NormalTok"/>
        </w:rPr>
        <w:t xml:space="preserve">.Name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815"/>
    <w:bookmarkEnd w:id="5816"/>
    <w:bookmarkStart w:id="5822" w:name="fields.item-method-1"/>
    <w:p>
      <w:pPr>
        <w:pStyle w:val="Heading1"/>
      </w:pPr>
      <w:r>
        <w:t xml:space="preserve">Fields.Item Method</w:t>
      </w:r>
    </w:p>
    <w:p>
      <w:pPr>
        <w:pStyle w:val="FirstParagraph"/>
      </w:pPr>
      <w:r>
        <w:t xml:space="preserve">Returns a Field object by index or column name.</w:t>
      </w:r>
    </w:p>
    <w:bookmarkStart w:id="5817" w:name="syntax-685"/>
    <w:p>
      <w:pPr>
        <w:pStyle w:val="Heading2"/>
      </w:pPr>
      <w:r>
        <w:t xml:space="preserve">Syntax</w:t>
      </w:r>
    </w:p>
    <w:p>
      <w:pPr>
        <w:pStyle w:val="SourceCode"/>
      </w:pPr>
      <w:r>
        <w:rPr>
          <w:rStyle w:val="NormalTok"/>
        </w:rPr>
        <w:t xml:space="preserve">Set fieldObj = rs.Fields.Item(indexOrName)</w:t>
      </w:r>
    </w:p>
    <w:bookmarkEnd w:id="5817"/>
    <w:bookmarkStart w:id="5818" w:name="parameters-31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indexOrName</w:t>
            </w:r>
          </w:p>
        </w:tc>
        <w:tc>
          <w:tcPr/>
          <w:p>
            <w:pPr>
              <w:pStyle w:val="Compact"/>
            </w:pPr>
            <w:r>
              <w:t xml:space="preserve">Integer or String</w:t>
            </w:r>
          </w:p>
        </w:tc>
        <w:tc>
          <w:tcPr/>
          <w:p>
            <w:pPr>
              <w:pStyle w:val="Compact"/>
            </w:pPr>
            <w:r>
              <w:t xml:space="preserve">Yes</w:t>
            </w:r>
          </w:p>
        </w:tc>
        <w:tc>
          <w:tcPr/>
          <w:p>
            <w:pPr>
              <w:pStyle w:val="Compact"/>
            </w:pPr>
            <w:r>
              <w:t xml:space="preserve">Zero-based field index or exact field name.</w:t>
            </w:r>
          </w:p>
        </w:tc>
      </w:tr>
    </w:tbl>
    <w:bookmarkEnd w:id="5818"/>
    <w:bookmarkStart w:id="5819" w:name="return-value-368"/>
    <w:p>
      <w:pPr>
        <w:pStyle w:val="Heading2"/>
      </w:pPr>
      <w:r>
        <w:t xml:space="preserve">Return Value</w:t>
      </w:r>
    </w:p>
    <w:p>
      <w:pPr>
        <w:pStyle w:val="FirstParagraph"/>
      </w:pPr>
      <w:r>
        <w:t xml:space="preserve">Field. Returns an ADODB.Field object for the requested column.</w:t>
      </w:r>
    </w:p>
    <w:bookmarkEnd w:id="5819"/>
    <w:bookmarkStart w:id="5820" w:name="remarks-658"/>
    <w:p>
      <w:pPr>
        <w:pStyle w:val="Heading2"/>
      </w:pPr>
      <w:r>
        <w:t xml:space="preserve">Remarks</w:t>
      </w:r>
    </w:p>
    <w:p>
      <w:pPr>
        <w:pStyle w:val="Compact"/>
        <w:numPr>
          <w:ilvl w:val="0"/>
          <w:numId w:val="2399"/>
        </w:numPr>
      </w:pPr>
      <w:r>
        <w:t xml:space="preserve">Method names are case-insensitive.</w:t>
      </w:r>
    </w:p>
    <w:p>
      <w:pPr>
        <w:pStyle w:val="Compact"/>
        <w:numPr>
          <w:ilvl w:val="0"/>
          <w:numId w:val="2399"/>
        </w:numPr>
      </w:pPr>
      <w:r>
        <w:t xml:space="preserve">Use index for faster access in tight loops.</w:t>
      </w:r>
    </w:p>
    <w:p>
      <w:pPr>
        <w:pStyle w:val="Compact"/>
        <w:numPr>
          <w:ilvl w:val="0"/>
          <w:numId w:val="2399"/>
        </w:numPr>
      </w:pPr>
      <w:r>
        <w:t xml:space="preserve">Use name for readable code when column order can change.</w:t>
      </w:r>
    </w:p>
    <w:p>
      <w:pPr>
        <w:pStyle w:val="Compact"/>
        <w:numPr>
          <w:ilvl w:val="0"/>
          <w:numId w:val="2399"/>
        </w:numPr>
      </w:pPr>
      <w:r>
        <w:t xml:space="preserve">Invalid index or name raises a runtime error.</w:t>
      </w:r>
    </w:p>
    <w:bookmarkEnd w:id="5820"/>
    <w:bookmarkStart w:id="5821" w:name="code-example-48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rs</w:t>
      </w:r>
      <w:r>
        <w:rPr>
          <w:rStyle w:val="OtherTok"/>
        </w:rPr>
        <w:t xml:space="preserve">,</w:t>
      </w:r>
      <w:r>
        <w:rPr>
          <w:rStyle w:val="NormalTok"/>
        </w:rPr>
        <w:t xml:space="preserve"> fldByIndex</w:t>
      </w:r>
      <w:r>
        <w:rPr>
          <w:rStyle w:val="OtherTok"/>
        </w:rPr>
        <w:t xml:space="preserve">,</w:t>
      </w:r>
      <w:r>
        <w:rPr>
          <w:rStyle w:val="NormalTok"/>
        </w:rPr>
        <w:t xml:space="preserve"> fldByName</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rs = conn.</w:t>
      </w:r>
      <w:r>
        <w:rPr>
          <w:rStyle w:val="KeywordTok"/>
        </w:rPr>
        <w:t xml:space="preserve">Execute</w:t>
      </w:r>
      <w:r>
        <w:rPr>
          <w:rStyle w:val="OtherTok"/>
        </w:rPr>
        <w:t xml:space="preserve">(</w:t>
      </w:r>
      <w:r>
        <w:rPr>
          <w:rStyle w:val="StringTok"/>
        </w:rPr>
        <w:t xml:space="preserve">"SELECT id, name FROM users"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fldByIndex = rs.Fields.</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NormalTok"/>
        </w:rPr>
        <w:t xml:space="preserve">    </w:t>
      </w:r>
      <w:r>
        <w:rPr>
          <w:rStyle w:val="KeywordTok"/>
        </w:rPr>
        <w:t xml:space="preserve">Set</w:t>
      </w:r>
      <w:r>
        <w:rPr>
          <w:rStyle w:val="NormalTok"/>
        </w:rPr>
        <w:t xml:space="preserve"> fldByName = rs.Fields.</w:t>
      </w:r>
      <w:r>
        <w:rPr>
          <w:rStyle w:val="FunctionTok"/>
        </w:rPr>
        <w:t xml:space="preserve">Item</w:t>
      </w:r>
      <w:r>
        <w:rPr>
          <w:rStyle w:val="OtherTok"/>
        </w:rPr>
        <w:t xml:space="preserve">(</w:t>
      </w:r>
      <w:r>
        <w:rPr>
          <w:rStyle w:val="StringTok"/>
        </w:rPr>
        <w:t xml:space="preserve">"name"</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"Field[0]: "</w:t>
      </w:r>
      <w:r>
        <w:rPr>
          <w:rStyle w:val="NormalTok"/>
        </w:rPr>
        <w:t xml:space="preserve"> </w:t>
      </w:r>
      <w:r>
        <w:rPr>
          <w:rStyle w:val="KeywordTok"/>
        </w:rPr>
        <w:t xml:space="preserve">&amp;</w:t>
      </w:r>
      <w:r>
        <w:rPr>
          <w:rStyle w:val="NormalTok"/>
        </w:rPr>
        <w:t xml:space="preserve"> fldByIndex.Value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"Field['name']: "</w:t>
      </w:r>
      <w:r>
        <w:rPr>
          <w:rStyle w:val="NormalTok"/>
        </w:rPr>
        <w:t xml:space="preserve"> </w:t>
      </w:r>
      <w:r>
        <w:rPr>
          <w:rStyle w:val="KeywordTok"/>
        </w:rPr>
        <w:t xml:space="preserve">&amp;</w:t>
      </w:r>
      <w:r>
        <w:rPr>
          <w:rStyle w:val="NormalTok"/>
        </w:rPr>
        <w:t xml:space="preserve"> fldByName.Value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fldByName = </w:t>
      </w:r>
      <w:r>
        <w:rPr>
          <w:rStyle w:val="KeywordTok"/>
        </w:rPr>
        <w:t xml:space="preserve">Nothing</w:t>
      </w:r>
      <w:r>
        <w:br/>
      </w:r>
      <w:r>
        <w:rPr>
          <w:rStyle w:val="KeywordTok"/>
        </w:rPr>
        <w:t xml:space="preserve">Set</w:t>
      </w:r>
      <w:r>
        <w:rPr>
          <w:rStyle w:val="NormalTok"/>
        </w:rPr>
        <w:t xml:space="preserve"> fldByIndex = </w:t>
      </w:r>
      <w:r>
        <w:rPr>
          <w:rStyle w:val="KeywordTok"/>
        </w:rPr>
        <w:t xml:space="preserve">Nothing</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821"/>
    <w:bookmarkEnd w:id="5822"/>
    <w:bookmarkStart w:id="5829" w:name="parameters.count-method-1"/>
    <w:p>
      <w:pPr>
        <w:pStyle w:val="Heading1"/>
      </w:pPr>
      <w:r>
        <w:t xml:space="preserve">Parameters.Count Method</w:t>
      </w:r>
    </w:p>
    <w:p>
      <w:pPr>
        <w:pStyle w:val="FirstParagraph"/>
      </w:pPr>
      <w:r>
        <w:t xml:space="preserve">Returns the number of Parameter objects in the command Parameters collection.</w:t>
      </w:r>
    </w:p>
    <w:bookmarkStart w:id="5823" w:name="syntax-686"/>
    <w:p>
      <w:pPr>
        <w:pStyle w:val="Heading2"/>
      </w:pPr>
      <w:r>
        <w:t xml:space="preserve">Syntax</w:t>
      </w:r>
    </w:p>
    <w:p>
      <w:pPr>
        <w:pStyle w:val="SourceCode"/>
      </w:pPr>
      <w:r>
        <w:rPr>
          <w:rStyle w:val="NormalTok"/>
        </w:rPr>
        <w:t xml:space="preserve">count = cmd.Parameters.Count</w:t>
      </w:r>
    </w:p>
    <w:bookmarkEnd w:id="5823"/>
    <w:bookmarkStart w:id="5824" w:name="parameters-313"/>
    <w:p>
      <w:pPr>
        <w:pStyle w:val="Heading2"/>
      </w:pPr>
      <w:r>
        <w:t xml:space="preserve">Parameters</w:t>
      </w:r>
    </w:p>
    <w:p>
      <w:pPr>
        <w:pStyle w:val="FirstParagraph"/>
      </w:pPr>
      <w:r>
        <w:t xml:space="preserve">No parameters.</w:t>
      </w:r>
    </w:p>
    <w:bookmarkEnd w:id="5824"/>
    <w:bookmarkStart w:id="5825" w:name="return-value-369"/>
    <w:p>
      <w:pPr>
        <w:pStyle w:val="Heading2"/>
      </w:pPr>
      <w:r>
        <w:t xml:space="preserve">Return Value</w:t>
      </w:r>
    </w:p>
    <w:p>
      <w:pPr>
        <w:pStyle w:val="FirstParagraph"/>
      </w:pPr>
      <w:r>
        <w:t xml:space="preserve">Integer. Returns the number of parameters currently appended to the command.</w:t>
      </w:r>
    </w:p>
    <w:bookmarkEnd w:id="5825"/>
    <w:bookmarkStart w:id="5826" w:name="remarks-659"/>
    <w:p>
      <w:pPr>
        <w:pStyle w:val="Heading2"/>
      </w:pPr>
      <w:r>
        <w:t xml:space="preserve">Remarks</w:t>
      </w:r>
    </w:p>
    <w:p>
      <w:pPr>
        <w:pStyle w:val="Compact"/>
        <w:numPr>
          <w:ilvl w:val="0"/>
          <w:numId w:val="2400"/>
        </w:numPr>
      </w:pPr>
      <w:r>
        <w:t xml:space="preserve">Method names are case-insensitive.</w:t>
      </w:r>
    </w:p>
    <w:p>
      <w:pPr>
        <w:pStyle w:val="Compact"/>
        <w:numPr>
          <w:ilvl w:val="0"/>
          <w:numId w:val="2400"/>
        </w:numPr>
      </w:pPr>
      <w:r>
        <w:t xml:space="preserve">Use Count to validate parameter setup before Execute.</w:t>
      </w:r>
    </w:p>
    <w:p>
      <w:pPr>
        <w:pStyle w:val="Compact"/>
        <w:numPr>
          <w:ilvl w:val="0"/>
          <w:numId w:val="2400"/>
        </w:numPr>
      </w:pPr>
      <w:r>
        <w:t xml:space="preserve">Count reflects only parameters explicitly appended in the current command object.</w:t>
      </w:r>
    </w:p>
    <w:p>
      <w:pPr>
        <w:pStyle w:val="Compact"/>
        <w:numPr>
          <w:ilvl w:val="0"/>
          <w:numId w:val="2400"/>
        </w:numPr>
      </w:pPr>
      <w:r>
        <w:t xml:space="preserve">Parameter order matters for positional placeholders.</w:t>
      </w:r>
    </w:p>
    <w:bookmarkEnd w:id="5826"/>
    <w:bookmarkStart w:id="5827" w:name="code-example-48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conn</w:t>
      </w:r>
      <w:r>
        <w:rPr>
          <w:rStyle w:val="OtherTok"/>
        </w:rPr>
        <w:t xml:space="preserve">,</w:t>
      </w:r>
      <w:r>
        <w:rPr>
          <w:rStyle w:val="NormalTok"/>
        </w:rPr>
        <w:t xml:space="preserve"> cmd</w:t>
      </w:r>
      <w:r>
        <w:rPr>
          <w:rStyle w:val="OtherTok"/>
        </w:rPr>
        <w:t xml:space="preserve">,</w:t>
      </w:r>
      <w:r>
        <w:rPr>
          <w:rStyle w:val="NormalTok"/>
        </w:rPr>
        <w:t xml:space="preserve"> p</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"Driver={SQLite3};Data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"./db.sqlite"</w:t>
      </w:r>
      <w:r>
        <w:rPr>
          <w:rStyle w:val="OtherTok"/>
        </w:rPr>
        <w:t xml:space="preserve">)</w:t>
      </w:r>
      <w:r>
        <w:br/>
      </w:r>
      <w:r>
        <w:rPr>
          <w:rStyle w:val="NormalTok"/>
        </w:rPr>
        <w:t xml:space="preserve">conn.</w:t>
      </w:r>
      <w:r>
        <w:rPr>
          <w:rStyle w:val="KeywordTok"/>
        </w:rPr>
        <w:t xml:space="preserve">Open</w:t>
      </w:r>
      <w:r>
        <w:br/>
      </w:r>
      <w:r>
        <w:br/>
      </w:r>
      <w:r>
        <w:rPr>
          <w:rStyle w:val="KeywordTok"/>
        </w:rPr>
        <w:t xml:space="preserve">Set</w:t>
      </w:r>
      <w:r>
        <w:rPr>
          <w:rStyle w:val="NormalTok"/>
        </w:rPr>
        <w:t xml:space="preserve"> cmd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"ADODB.Command"</w:t>
      </w:r>
      <w:r>
        <w:rPr>
          <w:rStyle w:val="OtherTok"/>
        </w:rPr>
        <w:t xml:space="preserve">)</w:t>
      </w:r>
      <w:r>
        <w:br/>
      </w:r>
      <w:r>
        <w:rPr>
          <w:rStyle w:val="KeywordTok"/>
        </w:rPr>
        <w:t xml:space="preserve">Set</w:t>
      </w:r>
      <w:r>
        <w:rPr>
          <w:rStyle w:val="NormalTok"/>
        </w:rPr>
        <w:t xml:space="preserve"> cmd.ActiveConnection = conn</w:t>
      </w:r>
      <w:r>
        <w:br/>
      </w:r>
      <w:r>
        <w:rPr>
          <w:rStyle w:val="NormalTok"/>
        </w:rPr>
        <w:t xml:space="preserve">cmd.CommandText = </w:t>
      </w:r>
      <w:r>
        <w:rPr>
          <w:rStyle w:val="StringTok"/>
        </w:rPr>
        <w:t xml:space="preserve">"SELECT id FROM users WHERE id = ?"</w:t>
      </w:r>
      <w:r>
        <w:br/>
      </w:r>
      <w:r>
        <w:br/>
      </w:r>
      <w:r>
        <w:rPr>
          <w:rStyle w:val="KeywordTok"/>
        </w:rPr>
        <w:t xml:space="preserve">Set</w:t>
      </w:r>
      <w:r>
        <w:rPr>
          <w:rStyle w:val="NormalTok"/>
        </w:rPr>
        <w:t xml:space="preserve"> p = cmd.CreateParameter</w:t>
      </w:r>
      <w:r>
        <w:rPr>
          <w:rStyle w:val="OtherTok"/>
        </w:rPr>
        <w:t xml:space="preserve">(</w:t>
      </w:r>
      <w:r>
        <w:rPr>
          <w:rStyle w:val="StringTok"/>
        </w:rPr>
        <w:t xml:space="preserve">"id"</w:t>
      </w:r>
      <w:r>
        <w:rPr>
          <w:rStyle w:val="OtherTok"/>
        </w:rPr>
        <w:t xml:space="preserve">,</w:t>
      </w:r>
      <w:r>
        <w:rPr>
          <w:rStyle w:val="NormalTok"/>
        </w:rPr>
        <w:t xml:space="preserve"> </w:t>
      </w:r>
      <w:r>
        <w:rPr>
          <w:rStyle w:val="DecValTok"/>
        </w:rPr>
        <w:t xml:space="preserve">3</w:t>
      </w:r>
      <w:r>
        <w:rPr>
          <w:rStyle w:val="OtherTok"/>
        </w:rPr>
        <w:t xml:space="preserve">,</w:t>
      </w:r>
      <w:r>
        <w:rPr>
          <w:rStyle w:val="NormalTok"/>
        </w:rPr>
        <w:t xml:space="preserve"> </w:t>
      </w:r>
      <w:r>
        <w:rPr>
          <w:rStyle w:val="DecValTok"/>
        </w:rPr>
        <w:t xml:space="preserve">1</w:t>
      </w:r>
      <w:r>
        <w:rPr>
          <w:rStyle w:val="OtherTok"/>
        </w:rPr>
        <w:t xml:space="preserve">,</w:t>
      </w:r>
      <w:r>
        <w:rPr>
          <w:rStyle w:val="NormalTok"/>
        </w:rPr>
        <w:t xml:space="preserve"> </w:t>
      </w:r>
      <w:r>
        <w:rPr>
          <w:rStyle w:val="DecValTok"/>
        </w:rPr>
        <w:t xml:space="preserve">4</w:t>
      </w:r>
      <w:r>
        <w:rPr>
          <w:rStyle w:val="OtherTok"/>
        </w:rPr>
        <w:t xml:space="preserve">,</w:t>
      </w:r>
      <w:r>
        <w:rPr>
          <w:rStyle w:val="NormalTok"/>
        </w:rPr>
        <w:t xml:space="preserve"> </w:t>
      </w:r>
      <w:r>
        <w:rPr>
          <w:rStyle w:val="DecValTok"/>
        </w:rPr>
        <w:t xml:space="preserve">1</w:t>
      </w:r>
      <w:r>
        <w:rPr>
          <w:rStyle w:val="OtherTok"/>
        </w:rPr>
        <w:t xml:space="preserve">)</w:t>
      </w:r>
      <w:r>
        <w:br/>
      </w:r>
      <w:r>
        <w:rPr>
          <w:rStyle w:val="NormalTok"/>
        </w:rPr>
        <w:t xml:space="preserve">cmd.Parameters.Append p</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"Parameters count: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cmd.Parameters.Count</w:t>
      </w:r>
      <w:r>
        <w:rPr>
          <w:rStyle w:val="OtherTok"/>
        </w:rPr>
        <w:t xml:space="preserve">)</w:t>
      </w:r>
      <w:r>
        <w:br/>
      </w:r>
      <w:r>
        <w:br/>
      </w:r>
      <w:r>
        <w:rPr>
          <w:rStyle w:val="NormalTok"/>
        </w:rPr>
        <w:t xml:space="preserve">conn.</w:t>
      </w:r>
      <w:r>
        <w:rPr>
          <w:rStyle w:val="KeywordTok"/>
        </w:rPr>
        <w:t xml:space="preserve">Close</w:t>
      </w:r>
      <w:r>
        <w:br/>
      </w:r>
      <w:r>
        <w:rPr>
          <w:rStyle w:val="KeywordTok"/>
        </w:rPr>
        <w:t xml:space="preserve">Set</w:t>
      </w:r>
      <w:r>
        <w:rPr>
          <w:rStyle w:val="NormalTok"/>
        </w:rPr>
        <w:t xml:space="preserve"> p = </w:t>
      </w:r>
      <w:r>
        <w:rPr>
          <w:rStyle w:val="KeywordTok"/>
        </w:rPr>
        <w:t xml:space="preserve">Nothing</w:t>
      </w:r>
      <w:r>
        <w:br/>
      </w:r>
      <w:r>
        <w:rPr>
          <w:rStyle w:val="KeywordTok"/>
        </w:rPr>
        <w:t xml:space="preserve">Set</w:t>
      </w:r>
      <w:r>
        <w:rPr>
          <w:rStyle w:val="NormalTok"/>
        </w:rPr>
        <w:t xml:space="preserve"> cmd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5827"/>
    <w:bookmarkStart w:id="5828" w:name="adodb.stream"/>
    <w:p>
      <w:pPr>
        <w:pStyle w:val="Heading2"/>
      </w:pPr>
      <w:r>
        <w:t xml:space="preserve">ADODB.STREAM</w:t>
      </w:r>
    </w:p>
    <w:bookmarkEnd w:id="5828"/>
    <w:bookmarkEnd w:id="5829"/>
    <w:bookmarkStart w:id="5837" w:name="use-adodb.stream-in-g3pix-axonasp"/>
    <w:p>
      <w:pPr>
        <w:pStyle w:val="Heading1"/>
      </w:pPr>
      <w:r>
        <w:t xml:space="preserve">Use ADODB.Stream in G3Pix AxonASP</w:t>
      </w:r>
    </w:p>
    <w:bookmarkStart w:id="5830" w:name="overview-618"/>
    <w:p>
      <w:pPr>
        <w:pStyle w:val="Heading2"/>
      </w:pPr>
      <w:r>
        <w:t xml:space="preserve">Overview</w:t>
      </w:r>
    </w:p>
    <w:p>
      <w:pPr>
        <w:pStyle w:val="FirstParagraph"/>
      </w:pPr>
      <w:r>
        <w:t xml:space="preserve">Use</w:t>
      </w:r>
      <w:r>
        <w:t xml:space="preserve"> </w:t>
      </w:r>
      <w:r>
        <w:rPr>
          <w:rStyle w:val="VerbatimChar"/>
        </w:rPr>
        <w:t xml:space="preserve">ADODB.Stream</w:t>
      </w:r>
      <w:r>
        <w:t xml:space="preserve"> </w:t>
      </w:r>
      <w:r>
        <w:t xml:space="preserve">to read, write, copy, and persist binary or text buffers with a cursor-based API.</w:t>
      </w:r>
    </w:p>
    <w:bookmarkEnd w:id="5830"/>
    <w:bookmarkStart w:id="5831" w:name="prerequisites-160"/>
    <w:p>
      <w:pPr>
        <w:pStyle w:val="Heading2"/>
      </w:pPr>
      <w:r>
        <w:t xml:space="preserve">Prerequisites</w:t>
      </w:r>
    </w:p>
    <w:p>
      <w:pPr>
        <w:pStyle w:val="Compact"/>
        <w:numPr>
          <w:ilvl w:val="0"/>
          <w:numId w:val="2401"/>
        </w:numPr>
      </w:pPr>
      <w:r>
        <w:t xml:space="preserve">Create the stream with</w:t>
      </w:r>
      <w:r>
        <w:t xml:space="preserve"> </w:t>
      </w:r>
      <w:r>
        <w:rPr>
          <w:rStyle w:val="VerbatimChar"/>
        </w:rPr>
        <w:t xml:space="preserve">Server.CreateObject("ADODB.Stream")</w:t>
      </w:r>
      <w:r>
        <w:t xml:space="preserve">.</w:t>
      </w:r>
    </w:p>
    <w:p>
      <w:pPr>
        <w:pStyle w:val="Compact"/>
        <w:numPr>
          <w:ilvl w:val="0"/>
          <w:numId w:val="2401"/>
        </w:numPr>
      </w:pPr>
      <w:r>
        <w:t xml:space="preserve">Call</w:t>
      </w:r>
      <w:r>
        <w:t xml:space="preserve"> </w:t>
      </w:r>
      <w:r>
        <w:rPr>
          <w:rStyle w:val="VerbatimChar"/>
        </w:rPr>
        <w:t xml:space="preserve">Open</w:t>
      </w:r>
      <w:r>
        <w:t xml:space="preserve"> </w:t>
      </w:r>
      <w:r>
        <w:t xml:space="preserve">before using read or write operations.</w:t>
      </w:r>
    </w:p>
    <w:p>
      <w:pPr>
        <w:pStyle w:val="Compact"/>
        <w:numPr>
          <w:ilvl w:val="0"/>
          <w:numId w:val="2401"/>
        </w:numPr>
      </w:pPr>
      <w:r>
        <w:t xml:space="preserve">Set</w:t>
      </w:r>
      <w:r>
        <w:t xml:space="preserve"> </w:t>
      </w:r>
      <w:r>
        <w:rPr>
          <w:rStyle w:val="VerbatimChar"/>
        </w:rPr>
        <w:t xml:space="preserve">Type</w:t>
      </w:r>
      <w:r>
        <w:t xml:space="preserve"> </w:t>
      </w:r>
      <w:r>
        <w:t xml:space="preserve">and</w:t>
      </w:r>
      <w:r>
        <w:t xml:space="preserve"> </w:t>
      </w:r>
      <w:r>
        <w:rPr>
          <w:rStyle w:val="VerbatimChar"/>
        </w:rPr>
        <w:t xml:space="preserve">Charset</w:t>
      </w:r>
      <w:r>
        <w:t xml:space="preserve"> </w:t>
      </w:r>
      <w:r>
        <w:t xml:space="preserve">before text operations when you need explicit encoding behavior.</w:t>
      </w:r>
    </w:p>
    <w:bookmarkEnd w:id="5831"/>
    <w:bookmarkStart w:id="5832" w:name="syntax-687"/>
    <w:p>
      <w:pPr>
        <w:pStyle w:val="Heading2"/>
      </w:pPr>
      <w:r>
        <w:t xml:space="preserve">Syntax</w:t>
      </w:r>
    </w:p>
    <w:p>
      <w:pPr>
        <w:pStyle w:val="SourceCode"/>
      </w:pPr>
      <w:r>
        <w:rPr>
          <w:rStyle w:val="NormalTok"/>
        </w:rPr>
        <w:t xml:space="preserve">Set stm = Server.CreateObject("ADODB.Stream")</w:t>
      </w:r>
    </w:p>
    <w:bookmarkEnd w:id="5832"/>
    <w:bookmarkStart w:id="5833" w:name="return-value-370"/>
    <w:p>
      <w:pPr>
        <w:pStyle w:val="Heading2"/>
      </w:pPr>
      <w:r>
        <w:t xml:space="preserve">Return Value</w:t>
      </w:r>
    </w:p>
    <w:p>
      <w:pPr>
        <w:pStyle w:val="Compact"/>
        <w:numPr>
          <w:ilvl w:val="0"/>
          <w:numId w:val="2402"/>
        </w:numPr>
      </w:pPr>
      <w:r>
        <w:rPr>
          <w:b/>
          <w:bCs/>
        </w:rPr>
        <w:t xml:space="preserve">Object</w:t>
      </w:r>
      <w:r>
        <w:t xml:space="preserve">: Returns an</w:t>
      </w:r>
      <w:r>
        <w:t xml:space="preserve"> </w:t>
      </w:r>
      <w:r>
        <w:rPr>
          <w:rStyle w:val="VerbatimChar"/>
        </w:rPr>
        <w:t xml:space="preserve">ADODB.Stream</w:t>
      </w:r>
      <w:r>
        <w:t xml:space="preserve"> </w:t>
      </w:r>
      <w:r>
        <w:t xml:space="preserve">object handle.</w:t>
      </w:r>
    </w:p>
    <w:bookmarkEnd w:id="5833"/>
    <w:bookmarkStart w:id="5834" w:name="how-it-works-37"/>
    <w:p>
      <w:pPr>
        <w:pStyle w:val="Heading2"/>
      </w:pPr>
      <w:r>
        <w:t xml:space="preserve">How It Works</w:t>
      </w:r>
    </w:p>
    <w:p>
      <w:pPr>
        <w:pStyle w:val="Compact"/>
        <w:numPr>
          <w:ilvl w:val="0"/>
          <w:numId w:val="2403"/>
        </w:numPr>
      </w:pPr>
      <w:r>
        <w:t xml:space="preserve">Stream state is</w:t>
      </w:r>
      <w:r>
        <w:t xml:space="preserve"> </w:t>
      </w:r>
      <w:r>
        <w:rPr>
          <w:rStyle w:val="VerbatimChar"/>
        </w:rPr>
        <w:t xml:space="preserve">0</w:t>
      </w:r>
      <w:r>
        <w:t xml:space="preserve"> </w:t>
      </w:r>
      <w:r>
        <w:t xml:space="preserve">when closed and</w:t>
      </w:r>
      <w:r>
        <w:t xml:space="preserve"> </w:t>
      </w:r>
      <w:r>
        <w:rPr>
          <w:rStyle w:val="VerbatimChar"/>
        </w:rPr>
        <w:t xml:space="preserve">1</w:t>
      </w:r>
      <w:r>
        <w:t xml:space="preserve"> </w:t>
      </w:r>
      <w:r>
        <w:t xml:space="preserve">when open.</w:t>
      </w:r>
    </w:p>
    <w:p>
      <w:pPr>
        <w:pStyle w:val="Compact"/>
        <w:numPr>
          <w:ilvl w:val="0"/>
          <w:numId w:val="2403"/>
        </w:numPr>
      </w:pPr>
      <w:r>
        <w:rPr>
          <w:rStyle w:val="VerbatimChar"/>
        </w:rPr>
        <w:t xml:space="preserve">Read</w:t>
      </w:r>
      <w:r>
        <w:t xml:space="preserve"> </w:t>
      </w:r>
      <w:r>
        <w:t xml:space="preserve">returns byte-oriented data encoded as a VBScript-compatible byte string.</w:t>
      </w:r>
    </w:p>
    <w:p>
      <w:pPr>
        <w:pStyle w:val="Compact"/>
        <w:numPr>
          <w:ilvl w:val="0"/>
          <w:numId w:val="2403"/>
        </w:numPr>
      </w:pPr>
      <w:r>
        <w:rPr>
          <w:rStyle w:val="VerbatimChar"/>
        </w:rPr>
        <w:t xml:space="preserve">ReadText</w:t>
      </w:r>
      <w:r>
        <w:t xml:space="preserve"> </w:t>
      </w:r>
      <w:r>
        <w:t xml:space="preserve">decodes using the current</w:t>
      </w:r>
      <w:r>
        <w:t xml:space="preserve"> </w:t>
      </w:r>
      <w:r>
        <w:rPr>
          <w:rStyle w:val="VerbatimChar"/>
        </w:rPr>
        <w:t xml:space="preserve">Charset</w:t>
      </w:r>
      <w:r>
        <w:t xml:space="preserve">.</w:t>
      </w:r>
    </w:p>
    <w:p>
      <w:pPr>
        <w:pStyle w:val="Compact"/>
        <w:numPr>
          <w:ilvl w:val="0"/>
          <w:numId w:val="2403"/>
        </w:numPr>
      </w:pPr>
      <w:r>
        <w:rPr>
          <w:rStyle w:val="VerbatimChar"/>
        </w:rPr>
        <w:t xml:space="preserve">SaveToFile</w:t>
      </w:r>
      <w:r>
        <w:t xml:space="preserve"> </w:t>
      </w:r>
      <w:r>
        <w:t xml:space="preserve">and</w:t>
      </w:r>
      <w:r>
        <w:t xml:space="preserve"> </w:t>
      </w:r>
      <w:r>
        <w:rPr>
          <w:rStyle w:val="VerbatimChar"/>
        </w:rPr>
        <w:t xml:space="preserve">LoadFromFile</w:t>
      </w:r>
      <w:r>
        <w:t xml:space="preserve"> </w:t>
      </w:r>
      <w:r>
        <w:t xml:space="preserve">operate inside AxonASP path resolution rules.</w:t>
      </w:r>
    </w:p>
    <w:bookmarkEnd w:id="5834"/>
    <w:bookmarkStart w:id="5835" w:name="remarks-660"/>
    <w:p>
      <w:pPr>
        <w:pStyle w:val="Heading2"/>
      </w:pPr>
      <w:r>
        <w:t xml:space="preserve">Remarks</w:t>
      </w:r>
    </w:p>
    <w:p>
      <w:pPr>
        <w:pStyle w:val="Compact"/>
        <w:numPr>
          <w:ilvl w:val="0"/>
          <w:numId w:val="2404"/>
        </w:numPr>
      </w:pPr>
      <w:r>
        <w:t xml:space="preserve">Member names are case-insensitive.</w:t>
      </w:r>
    </w:p>
    <w:p>
      <w:pPr>
        <w:pStyle w:val="Compact"/>
        <w:numPr>
          <w:ilvl w:val="0"/>
          <w:numId w:val="2404"/>
        </w:numPr>
      </w:pPr>
      <w:r>
        <w:t xml:space="preserve">Unsupported stream members return</w:t>
      </w:r>
      <w:r>
        <w:t xml:space="preserve"> </w:t>
      </w:r>
      <w:r>
        <w:rPr>
          <w:rStyle w:val="VerbatimChar"/>
        </w:rPr>
        <w:t xml:space="preserve">Empty</w:t>
      </w:r>
      <w:r>
        <w:t xml:space="preserve">.</w:t>
      </w:r>
    </w:p>
    <w:p>
      <w:pPr>
        <w:pStyle w:val="Compact"/>
        <w:numPr>
          <w:ilvl w:val="0"/>
          <w:numId w:val="2404"/>
        </w:numPr>
      </w:pPr>
      <w:r>
        <w:rPr>
          <w:rStyle w:val="VerbatimChar"/>
        </w:rPr>
        <w:t xml:space="preserve">Flush</w:t>
      </w:r>
      <w:r>
        <w:t xml:space="preserve"> </w:t>
      </w:r>
      <w:r>
        <w:t xml:space="preserve">is implemented as a compatibility no-op.</w:t>
      </w:r>
    </w:p>
    <w:bookmarkEnd w:id="5835"/>
    <w:bookmarkStart w:id="5836" w:name="example-237"/>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rPr>
          <w:rStyle w:val="OtherTok"/>
        </w:rPr>
        <w:t xml:space="preserve">,</w:t>
      </w:r>
      <w:r>
        <w:rPr>
          <w:rStyle w:val="NormalTok"/>
        </w:rPr>
        <w:t xml:space="preserve"> textValue</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w:t>
      </w:r>
      <w:r>
        <w:rPr>
          <w:rStyle w:val="KeywordTok"/>
        </w:rPr>
        <w:t xml:space="preserve">Open</w:t>
      </w:r>
      <w:r>
        <w:br/>
      </w:r>
      <w:r>
        <w:br/>
      </w:r>
      <w:r>
        <w:rPr>
          <w:rStyle w:val="NormalTok"/>
        </w:rPr>
        <w:t xml:space="preserve">stm.WriteText </w:t>
      </w:r>
      <w:r>
        <w:rPr>
          <w:rStyle w:val="StringTok"/>
        </w:rPr>
        <w:t xml:space="preserve">"Hello from G3Pix AxonASP"</w:t>
      </w:r>
      <w:r>
        <w:br/>
      </w:r>
      <w:r>
        <w:rPr>
          <w:rStyle w:val="NormalTok"/>
        </w:rPr>
        <w:t xml:space="preserve">stm.Position = </w:t>
      </w:r>
      <w:r>
        <w:rPr>
          <w:rStyle w:val="DecValTok"/>
        </w:rPr>
        <w:t xml:space="preserve">0</w:t>
      </w:r>
      <w:r>
        <w:br/>
      </w:r>
      <w:r>
        <w:rPr>
          <w:rStyle w:val="NormalTok"/>
        </w:rPr>
        <w:t xml:space="preserve">textValue = stm.ReadText</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textValue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836"/>
    <w:bookmarkEnd w:id="5837"/>
    <w:bookmarkStart w:id="5843" w:name="adodb.stream-methods-reference"/>
    <w:p>
      <w:pPr>
        <w:pStyle w:val="Heading1"/>
      </w:pPr>
      <w:r>
        <w:t xml:space="preserve">ADODB.Stream Methods Reference</w:t>
      </w:r>
    </w:p>
    <w:bookmarkStart w:id="5838" w:name="overview-619"/>
    <w:p>
      <w:pPr>
        <w:pStyle w:val="Heading2"/>
      </w:pPr>
      <w:r>
        <w:t xml:space="preserve">Overview</w:t>
      </w:r>
    </w:p>
    <w:p>
      <w:pPr>
        <w:pStyle w:val="FirstParagraph"/>
      </w:pPr>
      <w:r>
        <w:t xml:space="preserve">Use these methods to operate on text and binary stream buffers in G3Pix AxonASP.</w:t>
      </w:r>
    </w:p>
    <w:bookmarkEnd w:id="5838"/>
    <w:bookmarkStart w:id="5839" w:name="methods-31"/>
    <w:p>
      <w:pPr>
        <w:pStyle w:val="Heading2"/>
      </w:pPr>
      <w:r>
        <w:t xml:space="preserve">Methods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Method</w:t>
            </w:r>
          </w:p>
        </w:tc>
        <w:tc>
          <w:tcPr/>
          <w:p>
            <w:pPr>
              <w:pStyle w:val="Compact"/>
            </w:pPr>
            <w:r>
              <w:t xml:space="preserve">Syntax</w:t>
            </w:r>
          </w:p>
        </w:tc>
        <w:tc>
          <w:tcPr/>
          <w:p>
            <w:pPr>
              <w:pStyle w:val="Compact"/>
            </w:pPr>
            <w:r>
              <w:t xml:space="preserve">Parameters</w:t>
            </w:r>
          </w:p>
        </w:tc>
        <w:tc>
          <w:tcPr/>
          <w:p>
            <w:pPr>
              <w:pStyle w:val="Compact"/>
            </w:pPr>
            <w:r>
              <w:t xml:space="preserve">Return Value</w:t>
            </w:r>
          </w:p>
        </w:tc>
      </w:tr>
      <w:tr>
        <w:tc>
          <w:tcPr/>
          <w:p>
            <w:pPr>
              <w:pStyle w:val="Compact"/>
            </w:pPr>
            <w:r>
              <w:rPr>
                <w:b/>
                <w:bCs/>
              </w:rPr>
              <w:t xml:space="preserve">Open</w:t>
            </w:r>
          </w:p>
        </w:tc>
        <w:tc>
          <w:tcPr/>
          <w:p>
            <w:pPr>
              <w:pStyle w:val="Compact"/>
            </w:pPr>
            <w:r>
              <w:rPr>
                <w:rStyle w:val="VerbatimChar"/>
              </w:rPr>
              <w:t xml:space="preserve">stm.Open</w:t>
            </w:r>
          </w:p>
        </w:tc>
        <w:tc>
          <w:tcPr/>
          <w:p>
            <w:pPr>
              <w:pStyle w:val="Compact"/>
            </w:pPr>
            <w:r>
              <w:t xml:space="preserve">none</w:t>
            </w:r>
          </w:p>
        </w:tc>
        <w:tc>
          <w:tcPr/>
          <w:p>
            <w:pPr>
              <w:pStyle w:val="Compact"/>
            </w:pPr>
            <w:r>
              <w:rPr>
                <w:b/>
                <w:bCs/>
              </w:rPr>
              <w:t xml:space="preserve">Empty</w:t>
            </w:r>
          </w:p>
        </w:tc>
      </w:tr>
      <w:tr>
        <w:tc>
          <w:tcPr/>
          <w:p>
            <w:pPr>
              <w:pStyle w:val="Compact"/>
            </w:pPr>
            <w:r>
              <w:rPr>
                <w:b/>
                <w:bCs/>
              </w:rPr>
              <w:t xml:space="preserve">Close</w:t>
            </w:r>
          </w:p>
        </w:tc>
        <w:tc>
          <w:tcPr/>
          <w:p>
            <w:pPr>
              <w:pStyle w:val="Compact"/>
            </w:pPr>
            <w:r>
              <w:rPr>
                <w:rStyle w:val="VerbatimChar"/>
              </w:rPr>
              <w:t xml:space="preserve">stm.Close</w:t>
            </w:r>
          </w:p>
        </w:tc>
        <w:tc>
          <w:tcPr/>
          <w:p>
            <w:pPr>
              <w:pStyle w:val="Compact"/>
            </w:pPr>
            <w:r>
              <w:t xml:space="preserve">none</w:t>
            </w:r>
          </w:p>
        </w:tc>
        <w:tc>
          <w:tcPr/>
          <w:p>
            <w:pPr>
              <w:pStyle w:val="Compact"/>
            </w:pPr>
            <w:r>
              <w:rPr>
                <w:b/>
                <w:bCs/>
              </w:rPr>
              <w:t xml:space="preserve">Empty</w:t>
            </w:r>
          </w:p>
        </w:tc>
      </w:tr>
      <w:tr>
        <w:tc>
          <w:tcPr/>
          <w:p>
            <w:pPr>
              <w:pStyle w:val="Compact"/>
            </w:pPr>
            <w:r>
              <w:rPr>
                <w:b/>
                <w:bCs/>
              </w:rPr>
              <w:t xml:space="preserve">Read</w:t>
            </w:r>
          </w:p>
        </w:tc>
        <w:tc>
          <w:tcPr/>
          <w:p>
            <w:pPr>
              <w:pStyle w:val="Compact"/>
            </w:pPr>
            <w:r>
              <w:rPr>
                <w:rStyle w:val="VerbatimChar"/>
              </w:rPr>
              <w:t xml:space="preserve">data = stm.Read([numBytes])</w:t>
            </w:r>
          </w:p>
        </w:tc>
        <w:tc>
          <w:tcPr/>
          <w:p>
            <w:pPr>
              <w:pStyle w:val="Compact"/>
            </w:pPr>
            <w:r>
              <w:rPr>
                <w:rStyle w:val="VerbatimChar"/>
              </w:rPr>
              <w:t xml:space="preserve">numBytes As Integer</w:t>
            </w:r>
            <w:r>
              <w:t xml:space="preserve"> </w:t>
            </w:r>
            <w:r>
              <w:t xml:space="preserve">(Optional)</w:t>
            </w:r>
          </w:p>
        </w:tc>
        <w:tc>
          <w:tcPr/>
          <w:p>
            <w:pPr>
              <w:pStyle w:val="Compact"/>
            </w:pPr>
            <w:r>
              <w:rPr>
                <w:b/>
                <w:bCs/>
              </w:rPr>
              <w:t xml:space="preserve">String</w:t>
            </w:r>
            <w:r>
              <w:t xml:space="preserve"> </w:t>
            </w:r>
            <w:r>
              <w:t xml:space="preserve">containing binary byte-string data</w:t>
            </w:r>
          </w:p>
        </w:tc>
      </w:tr>
      <w:tr>
        <w:tc>
          <w:tcPr/>
          <w:p>
            <w:pPr>
              <w:pStyle w:val="Compact"/>
            </w:pPr>
            <w:r>
              <w:rPr>
                <w:b/>
                <w:bCs/>
              </w:rPr>
              <w:t xml:space="preserve">ReadText</w:t>
            </w:r>
          </w:p>
        </w:tc>
        <w:tc>
          <w:tcPr/>
          <w:p>
            <w:pPr>
              <w:pStyle w:val="Compact"/>
            </w:pPr>
            <w:r>
              <w:rPr>
                <w:rStyle w:val="VerbatimChar"/>
              </w:rPr>
              <w:t xml:space="preserve">text = stm.ReadText([numChars])</w:t>
            </w:r>
          </w:p>
        </w:tc>
        <w:tc>
          <w:tcPr/>
          <w:p>
            <w:pPr>
              <w:pStyle w:val="Compact"/>
            </w:pPr>
            <w:r>
              <w:rPr>
                <w:rStyle w:val="VerbatimChar"/>
              </w:rPr>
              <w:t xml:space="preserve">numChars As Integer</w:t>
            </w:r>
            <w:r>
              <w:t xml:space="preserve"> </w:t>
            </w:r>
            <w:r>
              <w:t xml:space="preserve">(Optional)</w:t>
            </w:r>
          </w:p>
        </w:tc>
        <w:tc>
          <w:tcPr/>
          <w:p>
            <w:pPr>
              <w:pStyle w:val="Compact"/>
            </w:pPr>
            <w:r>
              <w:rPr>
                <w:b/>
                <w:bCs/>
              </w:rPr>
              <w:t xml:space="preserve">String</w:t>
            </w:r>
          </w:p>
        </w:tc>
      </w:tr>
      <w:tr>
        <w:tc>
          <w:tcPr/>
          <w:p>
            <w:pPr>
              <w:pStyle w:val="Compact"/>
            </w:pPr>
            <w:r>
              <w:rPr>
                <w:b/>
                <w:bCs/>
              </w:rPr>
              <w:t xml:space="preserve">Write</w:t>
            </w:r>
          </w:p>
        </w:tc>
        <w:tc>
          <w:tcPr/>
          <w:p>
            <w:pPr>
              <w:pStyle w:val="Compact"/>
            </w:pPr>
            <w:r>
              <w:rPr>
                <w:rStyle w:val="VerbatimChar"/>
              </w:rPr>
              <w:t xml:space="preserve">stm.Write data</w:t>
            </w:r>
          </w:p>
        </w:tc>
        <w:tc>
          <w:tcPr/>
          <w:p>
            <w:pPr>
              <w:pStyle w:val="Compact"/>
            </w:pPr>
            <w:r>
              <w:rPr>
                <w:rStyle w:val="VerbatimChar"/>
              </w:rPr>
              <w:t xml:space="preserve">data As String</w:t>
            </w:r>
            <w:r>
              <w:t xml:space="preserve"> </w:t>
            </w:r>
            <w:r>
              <w:t xml:space="preserve">(Required, treated as byte-string payload)</w:t>
            </w:r>
          </w:p>
        </w:tc>
        <w:tc>
          <w:tcPr/>
          <w:p>
            <w:pPr>
              <w:pStyle w:val="Compact"/>
            </w:pPr>
            <w:r>
              <w:rPr>
                <w:b/>
                <w:bCs/>
              </w:rPr>
              <w:t xml:space="preserve">Empty</w:t>
            </w:r>
          </w:p>
        </w:tc>
      </w:tr>
      <w:tr>
        <w:tc>
          <w:tcPr/>
          <w:p>
            <w:pPr>
              <w:pStyle w:val="Compact"/>
            </w:pPr>
            <w:r>
              <w:rPr>
                <w:b/>
                <w:bCs/>
              </w:rPr>
              <w:t xml:space="preserve">WriteText</w:t>
            </w:r>
          </w:p>
        </w:tc>
        <w:tc>
          <w:tcPr/>
          <w:p>
            <w:pPr>
              <w:pStyle w:val="Compact"/>
            </w:pPr>
            <w:r>
              <w:rPr>
                <w:rStyle w:val="VerbatimChar"/>
              </w:rPr>
              <w:t xml:space="preserve">stm.WriteText text [, writeLine]</w:t>
            </w:r>
          </w:p>
        </w:tc>
        <w:tc>
          <w:tcPr/>
          <w:p>
            <w:pPr>
              <w:pStyle w:val="Compact"/>
            </w:pPr>
            <w:r>
              <w:rPr>
                <w:rStyle w:val="VerbatimChar"/>
              </w:rPr>
              <w:t xml:space="preserve">text As String</w:t>
            </w:r>
            <w:r>
              <w:t xml:space="preserve"> </w:t>
            </w:r>
            <w:r>
              <w:t xml:space="preserve">(Required),</w:t>
            </w:r>
            <w:r>
              <w:t xml:space="preserve"> </w:t>
            </w:r>
            <w:r>
              <w:rPr>
                <w:rStyle w:val="VerbatimChar"/>
              </w:rPr>
              <w:t xml:space="preserve">writeLine As Integer</w:t>
            </w:r>
            <w:r>
              <w:t xml:space="preserve"> </w:t>
            </w:r>
            <w:r>
              <w:t xml:space="preserve">(Optional,</w:t>
            </w:r>
            <w:r>
              <w:t xml:space="preserve"> </w:t>
            </w:r>
            <w:r>
              <w:rPr>
                <w:rStyle w:val="VerbatimChar"/>
              </w:rPr>
              <w:t xml:space="preserve">1</w:t>
            </w:r>
            <w:r>
              <w:t xml:space="preserve"> </w:t>
            </w:r>
            <w:r>
              <w:t xml:space="preserve">appends line separator)</w:t>
            </w:r>
          </w:p>
        </w:tc>
        <w:tc>
          <w:tcPr/>
          <w:p>
            <w:pPr>
              <w:pStyle w:val="Compact"/>
            </w:pPr>
            <w:r>
              <w:rPr>
                <w:b/>
                <w:bCs/>
              </w:rPr>
              <w:t xml:space="preserve">Empty</w:t>
            </w:r>
          </w:p>
        </w:tc>
      </w:tr>
      <w:tr>
        <w:tc>
          <w:tcPr/>
          <w:p>
            <w:pPr>
              <w:pStyle w:val="Compact"/>
            </w:pPr>
            <w:r>
              <w:rPr>
                <w:b/>
                <w:bCs/>
              </w:rPr>
              <w:t xml:space="preserve">LoadFromFile</w:t>
            </w:r>
          </w:p>
        </w:tc>
        <w:tc>
          <w:tcPr/>
          <w:p>
            <w:pPr>
              <w:pStyle w:val="Compact"/>
            </w:pPr>
            <w:r>
              <w:rPr>
                <w:rStyle w:val="VerbatimChar"/>
              </w:rPr>
              <w:t xml:space="preserve">stm.LoadFromFile path</w:t>
            </w:r>
          </w:p>
        </w:tc>
        <w:tc>
          <w:tcPr/>
          <w:p>
            <w:pPr>
              <w:pStyle w:val="Compact"/>
            </w:pPr>
            <w:r>
              <w:rPr>
                <w:rStyle w:val="VerbatimChar"/>
              </w:rPr>
              <w:t xml:space="preserve">path As String</w:t>
            </w:r>
            <w:r>
              <w:t xml:space="preserve"> </w:t>
            </w:r>
            <w:r>
              <w:t xml:space="preserve">(Required)</w:t>
            </w:r>
          </w:p>
        </w:tc>
        <w:tc>
          <w:tcPr/>
          <w:p>
            <w:pPr>
              <w:pStyle w:val="Compact"/>
            </w:pPr>
            <w:r>
              <w:rPr>
                <w:b/>
                <w:bCs/>
              </w:rPr>
              <w:t xml:space="preserve">Empty</w:t>
            </w:r>
          </w:p>
        </w:tc>
      </w:tr>
      <w:tr>
        <w:tc>
          <w:tcPr/>
          <w:p>
            <w:pPr>
              <w:pStyle w:val="Compact"/>
            </w:pPr>
            <w:r>
              <w:rPr>
                <w:b/>
                <w:bCs/>
              </w:rPr>
              <w:t xml:space="preserve">SaveToFile</w:t>
            </w:r>
          </w:p>
        </w:tc>
        <w:tc>
          <w:tcPr/>
          <w:p>
            <w:pPr>
              <w:pStyle w:val="Compact"/>
            </w:pPr>
            <w:r>
              <w:rPr>
                <w:rStyle w:val="VerbatimChar"/>
              </w:rPr>
              <w:t xml:space="preserve">stm.SaveToFile path [, options]</w:t>
            </w:r>
          </w:p>
        </w:tc>
        <w:tc>
          <w:tcPr/>
          <w:p>
            <w:pPr>
              <w:pStyle w:val="Compact"/>
            </w:pPr>
            <w:r>
              <w:rPr>
                <w:rStyle w:val="VerbatimChar"/>
              </w:rPr>
              <w:t xml:space="preserve">path As String</w:t>
            </w:r>
            <w:r>
              <w:t xml:space="preserve"> </w:t>
            </w:r>
            <w:r>
              <w:t xml:space="preserve">(Required),</w:t>
            </w:r>
            <w:r>
              <w:t xml:space="preserve"> </w:t>
            </w:r>
            <w:r>
              <w:rPr>
                <w:rStyle w:val="VerbatimChar"/>
              </w:rPr>
              <w:t xml:space="preserve">options As Integer</w:t>
            </w:r>
            <w:r>
              <w:t xml:space="preserve"> </w:t>
            </w:r>
            <w:r>
              <w:t xml:space="preserve">(Optional;</w:t>
            </w:r>
            <w:r>
              <w:t xml:space="preserve"> </w:t>
            </w:r>
            <w:r>
              <w:rPr>
                <w:rStyle w:val="VerbatimChar"/>
              </w:rPr>
              <w:t xml:space="preserve">1</w:t>
            </w:r>
            <w:r>
              <w:t xml:space="preserve"> </w:t>
            </w:r>
            <w:r>
              <w:t xml:space="preserve">create-new,</w:t>
            </w:r>
            <w:r>
              <w:t xml:space="preserve"> </w:t>
            </w:r>
            <w:r>
              <w:rPr>
                <w:rStyle w:val="VerbatimChar"/>
              </w:rPr>
              <w:t xml:space="preserve">2</w:t>
            </w:r>
            <w:r>
              <w:t xml:space="preserve"> </w:t>
            </w:r>
            <w:r>
              <w:t xml:space="preserve">overwrite/default)</w:t>
            </w:r>
          </w:p>
        </w:tc>
        <w:tc>
          <w:tcPr/>
          <w:p>
            <w:pPr>
              <w:pStyle w:val="Compact"/>
            </w:pPr>
            <w:r>
              <w:rPr>
                <w:b/>
                <w:bCs/>
              </w:rPr>
              <w:t xml:space="preserve">Empty</w:t>
            </w:r>
          </w:p>
        </w:tc>
      </w:tr>
      <w:tr>
        <w:tc>
          <w:tcPr/>
          <w:p>
            <w:pPr>
              <w:pStyle w:val="Compact"/>
            </w:pPr>
            <w:r>
              <w:rPr>
                <w:b/>
                <w:bCs/>
              </w:rPr>
              <w:t xml:space="preserve">CopyTo</w:t>
            </w:r>
          </w:p>
        </w:tc>
        <w:tc>
          <w:tcPr/>
          <w:p>
            <w:pPr>
              <w:pStyle w:val="Compact"/>
            </w:pPr>
            <w:r>
              <w:rPr>
                <w:rStyle w:val="VerbatimChar"/>
              </w:rPr>
              <w:t xml:space="preserve">stm.CopyTo destination [, count]</w:t>
            </w:r>
          </w:p>
        </w:tc>
        <w:tc>
          <w:tcPr/>
          <w:p>
            <w:pPr>
              <w:pStyle w:val="Compact"/>
            </w:pPr>
            <w:r>
              <w:rPr>
                <w:rStyle w:val="VerbatimChar"/>
              </w:rPr>
              <w:t xml:space="preserve">destination As ADODB.Stream</w:t>
            </w:r>
            <w:r>
              <w:t xml:space="preserve"> </w:t>
            </w:r>
            <w:r>
              <w:t xml:space="preserve">(Required),</w:t>
            </w:r>
            <w:r>
              <w:t xml:space="preserve"> </w:t>
            </w:r>
            <w:r>
              <w:rPr>
                <w:rStyle w:val="VerbatimChar"/>
              </w:rPr>
              <w:t xml:space="preserve">count As Integer</w:t>
            </w:r>
            <w:r>
              <w:t xml:space="preserve"> </w:t>
            </w:r>
            <w:r>
              <w:t xml:space="preserve">(Optional)</w:t>
            </w:r>
          </w:p>
        </w:tc>
        <w:tc>
          <w:tcPr/>
          <w:p>
            <w:pPr>
              <w:pStyle w:val="Compact"/>
            </w:pPr>
            <w:r>
              <w:rPr>
                <w:b/>
                <w:bCs/>
              </w:rPr>
              <w:t xml:space="preserve">Empty</w:t>
            </w:r>
          </w:p>
        </w:tc>
      </w:tr>
      <w:tr>
        <w:tc>
          <w:tcPr/>
          <w:p>
            <w:pPr>
              <w:pStyle w:val="Compact"/>
            </w:pPr>
            <w:r>
              <w:rPr>
                <w:b/>
                <w:bCs/>
              </w:rPr>
              <w:t xml:space="preserve">Flush</w:t>
            </w:r>
          </w:p>
        </w:tc>
        <w:tc>
          <w:tcPr/>
          <w:p>
            <w:pPr>
              <w:pStyle w:val="Compact"/>
            </w:pPr>
            <w:r>
              <w:rPr>
                <w:rStyle w:val="VerbatimChar"/>
              </w:rPr>
              <w:t xml:space="preserve">stm.Flush</w:t>
            </w:r>
          </w:p>
        </w:tc>
        <w:tc>
          <w:tcPr/>
          <w:p>
            <w:pPr>
              <w:pStyle w:val="Compact"/>
            </w:pPr>
            <w:r>
              <w:t xml:space="preserve">none</w:t>
            </w:r>
          </w:p>
        </w:tc>
        <w:tc>
          <w:tcPr/>
          <w:p>
            <w:pPr>
              <w:pStyle w:val="Compact"/>
            </w:pPr>
            <w:r>
              <w:rPr>
                <w:b/>
                <w:bCs/>
              </w:rPr>
              <w:t xml:space="preserve">Empty</w:t>
            </w:r>
            <w:r>
              <w:t xml:space="preserve"> </w:t>
            </w:r>
            <w:r>
              <w:t xml:space="preserve">(compatibility no-op)</w:t>
            </w:r>
          </w:p>
        </w:tc>
      </w:tr>
      <w:tr>
        <w:tc>
          <w:tcPr/>
          <w:p>
            <w:pPr>
              <w:pStyle w:val="Compact"/>
            </w:pPr>
            <w:r>
              <w:rPr>
                <w:b/>
                <w:bCs/>
              </w:rPr>
              <w:t xml:space="preserve">SetEOS</w:t>
            </w:r>
          </w:p>
        </w:tc>
        <w:tc>
          <w:tcPr/>
          <w:p>
            <w:pPr>
              <w:pStyle w:val="Compact"/>
            </w:pPr>
            <w:r>
              <w:rPr>
                <w:rStyle w:val="VerbatimChar"/>
              </w:rPr>
              <w:t xml:space="preserve">stm.SetEOS</w:t>
            </w:r>
          </w:p>
        </w:tc>
        <w:tc>
          <w:tcPr/>
          <w:p>
            <w:pPr>
              <w:pStyle w:val="Compact"/>
            </w:pPr>
            <w:r>
              <w:t xml:space="preserve">none</w:t>
            </w:r>
          </w:p>
        </w:tc>
        <w:tc>
          <w:tcPr/>
          <w:p>
            <w:pPr>
              <w:pStyle w:val="Compact"/>
            </w:pPr>
            <w:r>
              <w:rPr>
                <w:b/>
                <w:bCs/>
              </w:rPr>
              <w:t xml:space="preserve">Empty</w:t>
            </w:r>
          </w:p>
        </w:tc>
      </w:tr>
      <w:tr>
        <w:tc>
          <w:tcPr/>
          <w:p>
            <w:pPr>
              <w:pStyle w:val="Compact"/>
            </w:pPr>
            <w:r>
              <w:rPr>
                <w:b/>
                <w:bCs/>
              </w:rPr>
              <w:t xml:space="preserve">SkipLine</w:t>
            </w:r>
          </w:p>
        </w:tc>
        <w:tc>
          <w:tcPr/>
          <w:p>
            <w:pPr>
              <w:pStyle w:val="Compact"/>
            </w:pPr>
            <w:r>
              <w:rPr>
                <w:rStyle w:val="VerbatimChar"/>
              </w:rPr>
              <w:t xml:space="preserve">stm.SkipLine</w:t>
            </w:r>
          </w:p>
        </w:tc>
        <w:tc>
          <w:tcPr/>
          <w:p>
            <w:pPr>
              <w:pStyle w:val="Compact"/>
            </w:pPr>
            <w:r>
              <w:t xml:space="preserve">none</w:t>
            </w:r>
          </w:p>
        </w:tc>
        <w:tc>
          <w:tcPr/>
          <w:p>
            <w:pPr>
              <w:pStyle w:val="Compact"/>
            </w:pPr>
            <w:r>
              <w:rPr>
                <w:b/>
                <w:bCs/>
              </w:rPr>
              <w:t xml:space="preserve">Empty</w:t>
            </w:r>
          </w:p>
        </w:tc>
      </w:tr>
    </w:tbl>
    <w:bookmarkEnd w:id="5839"/>
    <w:bookmarkStart w:id="5840" w:name="how-it-works-38"/>
    <w:p>
      <w:pPr>
        <w:pStyle w:val="Heading2"/>
      </w:pPr>
      <w:r>
        <w:t xml:space="preserve">How It Works</w:t>
      </w:r>
    </w:p>
    <w:p>
      <w:pPr>
        <w:pStyle w:val="Compact"/>
        <w:numPr>
          <w:ilvl w:val="0"/>
          <w:numId w:val="2405"/>
        </w:numPr>
      </w:pPr>
      <w:r>
        <w:rPr>
          <w:rStyle w:val="VerbatimChar"/>
        </w:rPr>
        <w:t xml:space="preserve">Read</w:t>
      </w:r>
      <w:r>
        <w:t xml:space="preserve"> </w:t>
      </w:r>
      <w:r>
        <w:t xml:space="preserve">and</w:t>
      </w:r>
      <w:r>
        <w:t xml:space="preserve"> </w:t>
      </w:r>
      <w:r>
        <w:rPr>
          <w:rStyle w:val="VerbatimChar"/>
        </w:rPr>
        <w:t xml:space="preserve">ReadText</w:t>
      </w:r>
      <w:r>
        <w:t xml:space="preserve"> </w:t>
      </w:r>
      <w:r>
        <w:t xml:space="preserve">advance</w:t>
      </w:r>
      <w:r>
        <w:t xml:space="preserve"> </w:t>
      </w:r>
      <w:r>
        <w:rPr>
          <w:rStyle w:val="VerbatimChar"/>
        </w:rPr>
        <w:t xml:space="preserve">Position</w:t>
      </w:r>
      <w:r>
        <w:t xml:space="preserve"> </w:t>
      </w:r>
      <w:r>
        <w:t xml:space="preserve">by the amount consumed.</w:t>
      </w:r>
    </w:p>
    <w:p>
      <w:pPr>
        <w:pStyle w:val="Compact"/>
        <w:numPr>
          <w:ilvl w:val="0"/>
          <w:numId w:val="2405"/>
        </w:numPr>
      </w:pPr>
      <w:r>
        <w:rPr>
          <w:rStyle w:val="VerbatimChar"/>
        </w:rPr>
        <w:t xml:space="preserve">CopyTo</w:t>
      </w:r>
      <w:r>
        <w:t xml:space="preserve"> </w:t>
      </w:r>
      <w:r>
        <w:t xml:space="preserve">copies from the current source position and advances source position.</w:t>
      </w:r>
    </w:p>
    <w:p>
      <w:pPr>
        <w:pStyle w:val="Compact"/>
        <w:numPr>
          <w:ilvl w:val="0"/>
          <w:numId w:val="2405"/>
        </w:numPr>
      </w:pPr>
      <w:r>
        <w:rPr>
          <w:rStyle w:val="VerbatimChar"/>
        </w:rPr>
        <w:t xml:space="preserve">SetEOS</w:t>
      </w:r>
      <w:r>
        <w:t xml:space="preserve"> </w:t>
      </w:r>
      <w:r>
        <w:t xml:space="preserve">truncates stream data at the current</w:t>
      </w:r>
      <w:r>
        <w:t xml:space="preserve"> </w:t>
      </w:r>
      <w:r>
        <w:rPr>
          <w:rStyle w:val="VerbatimChar"/>
        </w:rPr>
        <w:t xml:space="preserve">Position</w:t>
      </w:r>
      <w:r>
        <w:t xml:space="preserve">.</w:t>
      </w:r>
    </w:p>
    <w:bookmarkEnd w:id="5840"/>
    <w:bookmarkStart w:id="5841" w:name="remarks-661"/>
    <w:p>
      <w:pPr>
        <w:pStyle w:val="Heading2"/>
      </w:pPr>
      <w:r>
        <w:t xml:space="preserve">Remarks</w:t>
      </w:r>
    </w:p>
    <w:p>
      <w:pPr>
        <w:pStyle w:val="Compact"/>
        <w:numPr>
          <w:ilvl w:val="0"/>
          <w:numId w:val="2406"/>
        </w:numPr>
      </w:pPr>
      <w:r>
        <w:rPr>
          <w:rStyle w:val="VerbatimChar"/>
        </w:rPr>
        <w:t xml:space="preserve">ReadText</w:t>
      </w:r>
      <w:r>
        <w:t xml:space="preserve"> </w:t>
      </w:r>
      <w:r>
        <w:t xml:space="preserve">returns an empty string when the stream is closed or at end-of-stream.</w:t>
      </w:r>
    </w:p>
    <w:p>
      <w:pPr>
        <w:pStyle w:val="Compact"/>
        <w:numPr>
          <w:ilvl w:val="0"/>
          <w:numId w:val="2406"/>
        </w:numPr>
      </w:pPr>
      <w:r>
        <w:rPr>
          <w:rStyle w:val="VerbatimChar"/>
        </w:rPr>
        <w:t xml:space="preserve">Write</w:t>
      </w:r>
      <w:r>
        <w:t xml:space="preserve"> </w:t>
      </w:r>
      <w:r>
        <w:t xml:space="preserve">and</w:t>
      </w:r>
      <w:r>
        <w:t xml:space="preserve"> </w:t>
      </w:r>
      <w:r>
        <w:rPr>
          <w:rStyle w:val="VerbatimChar"/>
        </w:rPr>
        <w:t xml:space="preserve">WriteText</w:t>
      </w:r>
      <w:r>
        <w:t xml:space="preserve"> </w:t>
      </w:r>
      <w:r>
        <w:t xml:space="preserve">do nothing when the stream is closed.</w:t>
      </w:r>
    </w:p>
    <w:p>
      <w:pPr>
        <w:pStyle w:val="Compact"/>
        <w:numPr>
          <w:ilvl w:val="0"/>
          <w:numId w:val="2406"/>
        </w:numPr>
      </w:pPr>
      <w:r>
        <w:t xml:space="preserve">Charset-aware text behavior follows the current</w:t>
      </w:r>
      <w:r>
        <w:t xml:space="preserve"> </w:t>
      </w:r>
      <w:r>
        <w:rPr>
          <w:rStyle w:val="VerbatimChar"/>
        </w:rPr>
        <w:t xml:space="preserve">Charset</w:t>
      </w:r>
      <w:r>
        <w:t xml:space="preserve"> </w:t>
      </w:r>
      <w:r>
        <w:t xml:space="preserve">property.</w:t>
      </w:r>
    </w:p>
    <w:bookmarkEnd w:id="5841"/>
    <w:bookmarkStart w:id="5842" w:name="example-238"/>
    <w:p>
      <w:pPr>
        <w:pStyle w:val="Heading2"/>
      </w:pPr>
      <w:r>
        <w:t xml:space="preserve">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sourceStm</w:t>
      </w:r>
      <w:r>
        <w:rPr>
          <w:rStyle w:val="OtherTok"/>
        </w:rPr>
        <w:t xml:space="preserve">,</w:t>
      </w:r>
      <w:r>
        <w:rPr>
          <w:rStyle w:val="NormalTok"/>
        </w:rPr>
        <w:t xml:space="preserve"> targetStm</w:t>
      </w:r>
      <w:r>
        <w:br/>
      </w:r>
      <w:r>
        <w:br/>
      </w:r>
      <w:r>
        <w:rPr>
          <w:rStyle w:val="KeywordTok"/>
        </w:rPr>
        <w:t xml:space="preserve">Set</w:t>
      </w:r>
      <w:r>
        <w:rPr>
          <w:rStyle w:val="NormalTok"/>
        </w:rPr>
        <w:t xml:space="preserve"> sourceStm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KeywordTok"/>
        </w:rPr>
        <w:t xml:space="preserve">Set</w:t>
      </w:r>
      <w:r>
        <w:rPr>
          <w:rStyle w:val="NormalTok"/>
        </w:rPr>
        <w:t xml:space="preserve"> targetStm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br/>
      </w:r>
      <w:r>
        <w:rPr>
          <w:rStyle w:val="NormalTok"/>
        </w:rPr>
        <w:t xml:space="preserve">sourceStm.Type = </w:t>
      </w:r>
      <w:r>
        <w:rPr>
          <w:rStyle w:val="DecValTok"/>
        </w:rPr>
        <w:t xml:space="preserve">2</w:t>
      </w:r>
      <w:r>
        <w:br/>
      </w:r>
      <w:r>
        <w:rPr>
          <w:rStyle w:val="NormalTok"/>
        </w:rPr>
        <w:t xml:space="preserve">sourceStm.Charset = </w:t>
      </w:r>
      <w:r>
        <w:rPr>
          <w:rStyle w:val="StringTok"/>
        </w:rPr>
        <w:t xml:space="preserve">"utf-8"</w:t>
      </w:r>
      <w:r>
        <w:br/>
      </w:r>
      <w:r>
        <w:rPr>
          <w:rStyle w:val="NormalTok"/>
        </w:rPr>
        <w:t xml:space="preserve">sourceStm.</w:t>
      </w:r>
      <w:r>
        <w:rPr>
          <w:rStyle w:val="KeywordTok"/>
        </w:rPr>
        <w:t xml:space="preserve">Open</w:t>
      </w:r>
      <w:r>
        <w:br/>
      </w:r>
      <w:r>
        <w:rPr>
          <w:rStyle w:val="NormalTok"/>
        </w:rPr>
        <w:t xml:space="preserve">sourceStm.WriteText </w:t>
      </w:r>
      <w:r>
        <w:rPr>
          <w:rStyle w:val="StringTok"/>
        </w:rPr>
        <w:t xml:space="preserve">"Line 1"</w:t>
      </w:r>
      <w:r>
        <w:br/>
      </w:r>
      <w:r>
        <w:rPr>
          <w:rStyle w:val="NormalTok"/>
        </w:rPr>
        <w:t xml:space="preserve">sourceStm.WriteText </w:t>
      </w:r>
      <w:r>
        <w:rPr>
          <w:rStyle w:val="StringTok"/>
        </w:rPr>
        <w:t xml:space="preserve">"Line 2"</w:t>
      </w:r>
      <w:r>
        <w:rPr>
          <w:rStyle w:val="OtherTok"/>
        </w:rPr>
        <w:t xml:space="preserve">,</w:t>
      </w:r>
      <w:r>
        <w:rPr>
          <w:rStyle w:val="NormalTok"/>
        </w:rPr>
        <w:t xml:space="preserve"> </w:t>
      </w:r>
      <w:r>
        <w:rPr>
          <w:rStyle w:val="DecValTok"/>
        </w:rPr>
        <w:t xml:space="preserve">1</w:t>
      </w:r>
      <w:r>
        <w:br/>
      </w:r>
      <w:r>
        <w:rPr>
          <w:rStyle w:val="NormalTok"/>
        </w:rPr>
        <w:t xml:space="preserve">sourceStm.Position = </w:t>
      </w:r>
      <w:r>
        <w:rPr>
          <w:rStyle w:val="DecValTok"/>
        </w:rPr>
        <w:t xml:space="preserve">0</w:t>
      </w:r>
      <w:r>
        <w:br/>
      </w:r>
      <w:r>
        <w:br/>
      </w:r>
      <w:r>
        <w:rPr>
          <w:rStyle w:val="NormalTok"/>
        </w:rPr>
        <w:t xml:space="preserve">targetStm.Type = </w:t>
      </w:r>
      <w:r>
        <w:rPr>
          <w:rStyle w:val="DecValTok"/>
        </w:rPr>
        <w:t xml:space="preserve">2</w:t>
      </w:r>
      <w:r>
        <w:br/>
      </w:r>
      <w:r>
        <w:rPr>
          <w:rStyle w:val="NormalTok"/>
        </w:rPr>
        <w:t xml:space="preserve">targetStm.Charset = </w:t>
      </w:r>
      <w:r>
        <w:rPr>
          <w:rStyle w:val="StringTok"/>
        </w:rPr>
        <w:t xml:space="preserve">"utf-8"</w:t>
      </w:r>
      <w:r>
        <w:br/>
      </w:r>
      <w:r>
        <w:rPr>
          <w:rStyle w:val="NormalTok"/>
        </w:rPr>
        <w:t xml:space="preserve">targetStm.</w:t>
      </w:r>
      <w:r>
        <w:rPr>
          <w:rStyle w:val="KeywordTok"/>
        </w:rPr>
        <w:t xml:space="preserve">Open</w:t>
      </w:r>
      <w:r>
        <w:br/>
      </w:r>
      <w:r>
        <w:rPr>
          <w:rStyle w:val="NormalTok"/>
        </w:rPr>
        <w:t xml:space="preserve">sourceStm.CopyTo targetStm</w:t>
      </w:r>
      <w:r>
        <w:br/>
      </w:r>
      <w:r>
        <w:br/>
      </w:r>
      <w:r>
        <w:rPr>
          <w:rStyle w:val="NormalTok"/>
        </w:rPr>
        <w:t xml:space="preserve">targetStm.Position = </w:t>
      </w:r>
      <w:r>
        <w:rPr>
          <w:rStyle w:val="DecValTok"/>
        </w:rPr>
        <w:t xml:space="preserve">0</w:t>
      </w:r>
      <w:r>
        <w:br/>
      </w:r>
      <w:r>
        <w:rPr>
          <w:rStyle w:val="FunctionTok"/>
        </w:rPr>
        <w:t xml:space="preserve">Response</w:t>
      </w:r>
      <w:r>
        <w:rPr>
          <w:rStyle w:val="NormalTok"/>
        </w:rPr>
        <w:t xml:space="preserve">.</w:t>
      </w:r>
      <w:r>
        <w:rPr>
          <w:rStyle w:val="FunctionTok"/>
        </w:rPr>
        <w:t xml:space="preserve">Write</w:t>
      </w:r>
      <w:r>
        <w:rPr>
          <w:rStyle w:val="NormalTok"/>
        </w:rPr>
        <w:t xml:space="preserve"> targetStm.ReadText</w:t>
      </w:r>
      <w:r>
        <w:rPr>
          <w:rStyle w:val="OtherTok"/>
        </w:rPr>
        <w:t xml:space="preserve">()</w:t>
      </w:r>
      <w:r>
        <w:br/>
      </w:r>
      <w:r>
        <w:br/>
      </w:r>
      <w:r>
        <w:rPr>
          <w:rStyle w:val="NormalTok"/>
        </w:rPr>
        <w:t xml:space="preserve">sourceStm.</w:t>
      </w:r>
      <w:r>
        <w:rPr>
          <w:rStyle w:val="KeywordTok"/>
        </w:rPr>
        <w:t xml:space="preserve">Close</w:t>
      </w:r>
      <w:r>
        <w:br/>
      </w:r>
      <w:r>
        <w:rPr>
          <w:rStyle w:val="NormalTok"/>
        </w:rPr>
        <w:t xml:space="preserve">targetStm.</w:t>
      </w:r>
      <w:r>
        <w:rPr>
          <w:rStyle w:val="KeywordTok"/>
        </w:rPr>
        <w:t xml:space="preserve">Close</w:t>
      </w:r>
      <w:r>
        <w:br/>
      </w:r>
      <w:r>
        <w:rPr>
          <w:rStyle w:val="KeywordTok"/>
        </w:rPr>
        <w:t xml:space="preserve">Set</w:t>
      </w:r>
      <w:r>
        <w:rPr>
          <w:rStyle w:val="NormalTok"/>
        </w:rPr>
        <w:t xml:space="preserve"> sourceStm = </w:t>
      </w:r>
      <w:r>
        <w:rPr>
          <w:rStyle w:val="KeywordTok"/>
        </w:rPr>
        <w:t xml:space="preserve">Nothing</w:t>
      </w:r>
      <w:r>
        <w:br/>
      </w:r>
      <w:r>
        <w:rPr>
          <w:rStyle w:val="KeywordTok"/>
        </w:rPr>
        <w:t xml:space="preserve">Set</w:t>
      </w:r>
      <w:r>
        <w:rPr>
          <w:rStyle w:val="NormalTok"/>
        </w:rPr>
        <w:t xml:space="preserve"> targetStm = </w:t>
      </w:r>
      <w:r>
        <w:rPr>
          <w:rStyle w:val="KeywordTok"/>
        </w:rPr>
        <w:t xml:space="preserve">Nothing</w:t>
      </w:r>
      <w:r>
        <w:br/>
      </w:r>
      <w:r>
        <w:rPr>
          <w:rStyle w:val="DataTypeTok"/>
        </w:rPr>
        <w:t xml:space="preserve">%&gt;</w:t>
      </w:r>
    </w:p>
    <w:bookmarkEnd w:id="5842"/>
    <w:bookmarkEnd w:id="5843"/>
    <w:bookmarkStart w:id="5849" w:name="adodb.stream-properties-reference"/>
    <w:p>
      <w:pPr>
        <w:pStyle w:val="Heading1"/>
      </w:pPr>
      <w:r>
        <w:t xml:space="preserve">ADODB.Stream Properties Reference</w:t>
      </w:r>
    </w:p>
    <w:bookmarkStart w:id="5844" w:name="overview-620"/>
    <w:p>
      <w:pPr>
        <w:pStyle w:val="Heading2"/>
      </w:pPr>
      <w:r>
        <w:t xml:space="preserve">Overview</w:t>
      </w:r>
    </w:p>
    <w:p>
      <w:pPr>
        <w:pStyle w:val="FirstParagraph"/>
      </w:pPr>
      <w:r>
        <w:t xml:space="preserve">Use these properties to control encoding, cursor location, and stream metadata.</w:t>
      </w:r>
    </w:p>
    <w:bookmarkEnd w:id="5844"/>
    <w:bookmarkStart w:id="5845" w:name="properties-31"/>
    <w:p>
      <w:pPr>
        <w:pStyle w:val="Heading2"/>
      </w:pPr>
      <w:r>
        <w:t xml:space="preserve">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b/>
                <w:bCs/>
              </w:rPr>
              <w:t xml:space="preserve">Type</w:t>
            </w:r>
          </w:p>
        </w:tc>
        <w:tc>
          <w:tcPr/>
          <w:p>
            <w:pPr>
              <w:pStyle w:val="Compact"/>
            </w:pPr>
            <w:r>
              <w:t xml:space="preserve">Read/Write</w:t>
            </w:r>
          </w:p>
        </w:tc>
        <w:tc>
          <w:tcPr/>
          <w:p>
            <w:pPr>
              <w:pStyle w:val="Compact"/>
            </w:pPr>
            <w:r>
              <w:t xml:space="preserve">Integer</w:t>
            </w:r>
          </w:p>
        </w:tc>
        <w:tc>
          <w:tcPr/>
          <w:p>
            <w:pPr>
              <w:pStyle w:val="Compact"/>
            </w:pPr>
            <w:r>
              <w:t xml:space="preserve">Stream type (</w:t>
            </w:r>
            <w:r>
              <w:rPr>
                <w:rStyle w:val="VerbatimChar"/>
              </w:rPr>
              <w:t xml:space="preserve">1</w:t>
            </w:r>
            <w:r>
              <w:t xml:space="preserve"> </w:t>
            </w:r>
            <w:r>
              <w:t xml:space="preserve">binary,</w:t>
            </w:r>
            <w:r>
              <w:t xml:space="preserve"> </w:t>
            </w:r>
            <w:r>
              <w:rPr>
                <w:rStyle w:val="VerbatimChar"/>
              </w:rPr>
              <w:t xml:space="preserve">2</w:t>
            </w:r>
            <w:r>
              <w:t xml:space="preserve"> </w:t>
            </w:r>
            <w:r>
              <w:t xml:space="preserve">text).</w:t>
            </w:r>
          </w:p>
        </w:tc>
      </w:tr>
      <w:tr>
        <w:tc>
          <w:tcPr/>
          <w:p>
            <w:pPr>
              <w:pStyle w:val="Compact"/>
            </w:pPr>
            <w:r>
              <w:rPr>
                <w:b/>
                <w:bCs/>
              </w:rPr>
              <w:t xml:space="preserve">Mode</w:t>
            </w:r>
          </w:p>
        </w:tc>
        <w:tc>
          <w:tcPr/>
          <w:p>
            <w:pPr>
              <w:pStyle w:val="Compact"/>
            </w:pPr>
            <w:r>
              <w:t xml:space="preserve">Read/Write</w:t>
            </w:r>
          </w:p>
        </w:tc>
        <w:tc>
          <w:tcPr/>
          <w:p>
            <w:pPr>
              <w:pStyle w:val="Compact"/>
            </w:pPr>
            <w:r>
              <w:t xml:space="preserve">Integer</w:t>
            </w:r>
          </w:p>
        </w:tc>
        <w:tc>
          <w:tcPr/>
          <w:p>
            <w:pPr>
              <w:pStyle w:val="Compact"/>
            </w:pPr>
            <w:r>
              <w:t xml:space="preserve">Mode flag value.</w:t>
            </w:r>
          </w:p>
        </w:tc>
      </w:tr>
      <w:tr>
        <w:tc>
          <w:tcPr/>
          <w:p>
            <w:pPr>
              <w:pStyle w:val="Compact"/>
            </w:pPr>
            <w:r>
              <w:rPr>
                <w:b/>
                <w:bCs/>
              </w:rPr>
              <w:t xml:space="preserve">State</w:t>
            </w:r>
          </w:p>
        </w:tc>
        <w:tc>
          <w:tcPr/>
          <w:p>
            <w:pPr>
              <w:pStyle w:val="Compact"/>
            </w:pPr>
            <w:r>
              <w:t xml:space="preserve">Read</w:t>
            </w:r>
          </w:p>
        </w:tc>
        <w:tc>
          <w:tcPr/>
          <w:p>
            <w:pPr>
              <w:pStyle w:val="Compact"/>
            </w:pPr>
            <w:r>
              <w:t xml:space="preserve">Integer</w:t>
            </w:r>
          </w:p>
        </w:tc>
        <w:tc>
          <w:tcPr/>
          <w:p>
            <w:pPr>
              <w:pStyle w:val="Compact"/>
            </w:pPr>
            <w:r>
              <w:t xml:space="preserve">Stream state (</w:t>
            </w:r>
            <w:r>
              <w:rPr>
                <w:rStyle w:val="VerbatimChar"/>
              </w:rPr>
              <w:t xml:space="preserve">0</w:t>
            </w:r>
            <w:r>
              <w:t xml:space="preserve"> </w:t>
            </w:r>
            <w:r>
              <w:t xml:space="preserve">closed,</w:t>
            </w:r>
            <w:r>
              <w:t xml:space="preserve"> </w:t>
            </w:r>
            <w:r>
              <w:rPr>
                <w:rStyle w:val="VerbatimChar"/>
              </w:rPr>
              <w:t xml:space="preserve">1</w:t>
            </w:r>
            <w:r>
              <w:t xml:space="preserve"> </w:t>
            </w:r>
            <w:r>
              <w:t xml:space="preserve">open).</w:t>
            </w:r>
          </w:p>
        </w:tc>
      </w:tr>
      <w:tr>
        <w:tc>
          <w:tcPr/>
          <w:p>
            <w:pPr>
              <w:pStyle w:val="Compact"/>
            </w:pPr>
            <w:r>
              <w:rPr>
                <w:b/>
                <w:bCs/>
              </w:rPr>
              <w:t xml:space="preserve">Position</w:t>
            </w:r>
          </w:p>
        </w:tc>
        <w:tc>
          <w:tcPr/>
          <w:p>
            <w:pPr>
              <w:pStyle w:val="Compact"/>
            </w:pPr>
            <w:r>
              <w:t xml:space="preserve">Read/Write</w:t>
            </w:r>
          </w:p>
        </w:tc>
        <w:tc>
          <w:tcPr/>
          <w:p>
            <w:pPr>
              <w:pStyle w:val="Compact"/>
            </w:pPr>
            <w:r>
              <w:t xml:space="preserve">Integer</w:t>
            </w:r>
          </w:p>
        </w:tc>
        <w:tc>
          <w:tcPr/>
          <w:p>
            <w:pPr>
              <w:pStyle w:val="Compact"/>
            </w:pPr>
            <w:r>
              <w:t xml:space="preserve">Current cursor position in bytes.</w:t>
            </w:r>
          </w:p>
        </w:tc>
      </w:tr>
      <w:tr>
        <w:tc>
          <w:tcPr/>
          <w:p>
            <w:pPr>
              <w:pStyle w:val="Compact"/>
            </w:pPr>
            <w:r>
              <w:rPr>
                <w:b/>
                <w:bCs/>
              </w:rPr>
              <w:t xml:space="preserve">Size</w:t>
            </w:r>
          </w:p>
        </w:tc>
        <w:tc>
          <w:tcPr/>
          <w:p>
            <w:pPr>
              <w:pStyle w:val="Compact"/>
            </w:pPr>
            <w:r>
              <w:t xml:space="preserve">Read</w:t>
            </w:r>
          </w:p>
        </w:tc>
        <w:tc>
          <w:tcPr/>
          <w:p>
            <w:pPr>
              <w:pStyle w:val="Compact"/>
            </w:pPr>
            <w:r>
              <w:t xml:space="preserve">Integer</w:t>
            </w:r>
          </w:p>
        </w:tc>
        <w:tc>
          <w:tcPr/>
          <w:p>
            <w:pPr>
              <w:pStyle w:val="Compact"/>
            </w:pPr>
            <w:r>
              <w:t xml:space="preserve">Current stream size in bytes.</w:t>
            </w:r>
          </w:p>
        </w:tc>
      </w:tr>
      <w:tr>
        <w:tc>
          <w:tcPr/>
          <w:p>
            <w:pPr>
              <w:pStyle w:val="Compact"/>
            </w:pPr>
            <w:r>
              <w:rPr>
                <w:b/>
                <w:bCs/>
              </w:rPr>
              <w:t xml:space="preserve">Charset</w:t>
            </w:r>
          </w:p>
        </w:tc>
        <w:tc>
          <w:tcPr/>
          <w:p>
            <w:pPr>
              <w:pStyle w:val="Compact"/>
            </w:pPr>
            <w:r>
              <w:t xml:space="preserve">Read/Write</w:t>
            </w:r>
          </w:p>
        </w:tc>
        <w:tc>
          <w:tcPr/>
          <w:p>
            <w:pPr>
              <w:pStyle w:val="Compact"/>
            </w:pPr>
            <w:r>
              <w:t xml:space="preserve">String</w:t>
            </w:r>
          </w:p>
        </w:tc>
        <w:tc>
          <w:tcPr/>
          <w:p>
            <w:pPr>
              <w:pStyle w:val="Compact"/>
            </w:pPr>
            <w:r>
              <w:t xml:space="preserve">Text encoding name used by</w:t>
            </w:r>
            <w:r>
              <w:t xml:space="preserve"> </w:t>
            </w:r>
            <w:r>
              <w:rPr>
                <w:rStyle w:val="VerbatimChar"/>
              </w:rPr>
              <w:t xml:space="preserve">ReadText</w:t>
            </w:r>
            <w:r>
              <w:t xml:space="preserve"> </w:t>
            </w:r>
            <w:r>
              <w:t xml:space="preserve">and</w:t>
            </w:r>
            <w:r>
              <w:t xml:space="preserve"> </w:t>
            </w:r>
            <w:r>
              <w:rPr>
                <w:rStyle w:val="VerbatimChar"/>
              </w:rPr>
              <w:t xml:space="preserve">WriteText</w:t>
            </w:r>
            <w:r>
              <w:t xml:space="preserve">.</w:t>
            </w:r>
          </w:p>
        </w:tc>
      </w:tr>
      <w:tr>
        <w:tc>
          <w:tcPr/>
          <w:p>
            <w:pPr>
              <w:pStyle w:val="Compact"/>
            </w:pPr>
            <w:r>
              <w:rPr>
                <w:b/>
                <w:bCs/>
              </w:rPr>
              <w:t xml:space="preserve">LineSeparator</w:t>
            </w:r>
          </w:p>
        </w:tc>
        <w:tc>
          <w:tcPr/>
          <w:p>
            <w:pPr>
              <w:pStyle w:val="Compact"/>
            </w:pPr>
            <w:r>
              <w:t xml:space="preserve">Read/Write</w:t>
            </w:r>
          </w:p>
        </w:tc>
        <w:tc>
          <w:tcPr/>
          <w:p>
            <w:pPr>
              <w:pStyle w:val="Compact"/>
            </w:pPr>
            <w:r>
              <w:t xml:space="preserve">Integer</w:t>
            </w:r>
          </w:p>
        </w:tc>
        <w:tc>
          <w:tcPr/>
          <w:p>
            <w:pPr>
              <w:pStyle w:val="Compact"/>
            </w:pPr>
            <w:r>
              <w:t xml:space="preserve">Line separator flag used when</w:t>
            </w:r>
            <w:r>
              <w:t xml:space="preserve"> </w:t>
            </w:r>
            <w:r>
              <w:rPr>
                <w:rStyle w:val="VerbatimChar"/>
              </w:rPr>
              <w:t xml:space="preserve">WriteText</w:t>
            </w:r>
            <w:r>
              <w:t xml:space="preserve"> </w:t>
            </w:r>
            <w:r>
              <w:t xml:space="preserve">is called with append-line option.</w:t>
            </w:r>
          </w:p>
        </w:tc>
      </w:tr>
      <w:tr>
        <w:tc>
          <w:tcPr/>
          <w:p>
            <w:pPr>
              <w:pStyle w:val="Compact"/>
            </w:pPr>
            <w:r>
              <w:rPr>
                <w:b/>
                <w:bCs/>
              </w:rPr>
              <w:t xml:space="preserve">EOS</w:t>
            </w:r>
          </w:p>
        </w:tc>
        <w:tc>
          <w:tcPr/>
          <w:p>
            <w:pPr>
              <w:pStyle w:val="Compact"/>
            </w:pPr>
            <w:r>
              <w:t xml:space="preserve">Read</w:t>
            </w:r>
          </w:p>
        </w:tc>
        <w:tc>
          <w:tcPr/>
          <w:p>
            <w:pPr>
              <w:pStyle w:val="Compact"/>
            </w:pPr>
            <w:r>
              <w:t xml:space="preserve">Boolean</w:t>
            </w:r>
          </w:p>
        </w:tc>
        <w:tc>
          <w:tcPr/>
          <w:p>
            <w:pPr>
              <w:pStyle w:val="Compact"/>
            </w:pPr>
            <w:r>
              <w:rPr>
                <w:rStyle w:val="VerbatimChar"/>
              </w:rPr>
              <w:t xml:space="preserve">True</w:t>
            </w:r>
            <w:r>
              <w:t xml:space="preserve"> </w:t>
            </w:r>
            <w:r>
              <w:t xml:space="preserve">when</w:t>
            </w:r>
            <w:r>
              <w:t xml:space="preserve"> </w:t>
            </w:r>
            <w:r>
              <w:rPr>
                <w:rStyle w:val="VerbatimChar"/>
              </w:rPr>
              <w:t xml:space="preserve">Position &gt;= Size</w:t>
            </w:r>
            <w:r>
              <w:t xml:space="preserve">.</w:t>
            </w:r>
          </w:p>
        </w:tc>
      </w:tr>
    </w:tbl>
    <w:bookmarkEnd w:id="5845"/>
    <w:bookmarkStart w:id="5846" w:name="how-it-works-39"/>
    <w:p>
      <w:pPr>
        <w:pStyle w:val="Heading2"/>
      </w:pPr>
      <w:r>
        <w:t xml:space="preserve">How It Works</w:t>
      </w:r>
    </w:p>
    <w:p>
      <w:pPr>
        <w:pStyle w:val="Compact"/>
        <w:numPr>
          <w:ilvl w:val="0"/>
          <w:numId w:val="2407"/>
        </w:numPr>
      </w:pPr>
      <w:r>
        <w:t xml:space="preserve">Assigning</w:t>
      </w:r>
      <w:r>
        <w:t xml:space="preserve"> </w:t>
      </w:r>
      <w:r>
        <w:rPr>
          <w:rStyle w:val="VerbatimChar"/>
        </w:rPr>
        <w:t xml:space="preserve">Position</w:t>
      </w:r>
      <w:r>
        <w:t xml:space="preserve"> </w:t>
      </w:r>
      <w:r>
        <w:t xml:space="preserve">clamps values to the valid range</w:t>
      </w:r>
      <w:r>
        <w:t xml:space="preserve"> </w:t>
      </w:r>
      <w:r>
        <w:rPr>
          <w:rStyle w:val="VerbatimChar"/>
        </w:rPr>
        <w:t xml:space="preserve">0</w:t>
      </w:r>
      <w:r>
        <w:t xml:space="preserve"> </w:t>
      </w:r>
      <w:r>
        <w:t xml:space="preserve">to</w:t>
      </w:r>
      <w:r>
        <w:t xml:space="preserve"> </w:t>
      </w:r>
      <w:r>
        <w:rPr>
          <w:rStyle w:val="VerbatimChar"/>
        </w:rPr>
        <w:t xml:space="preserve">Size</w:t>
      </w:r>
      <w:r>
        <w:t xml:space="preserve">.</w:t>
      </w:r>
    </w:p>
    <w:p>
      <w:pPr>
        <w:pStyle w:val="Compact"/>
        <w:numPr>
          <w:ilvl w:val="0"/>
          <w:numId w:val="2407"/>
        </w:numPr>
      </w:pPr>
      <w:r>
        <w:rPr>
          <w:rStyle w:val="VerbatimChar"/>
        </w:rPr>
        <w:t xml:space="preserve">Charset</w:t>
      </w:r>
      <w:r>
        <w:t xml:space="preserve"> </w:t>
      </w:r>
      <w:r>
        <w:t xml:space="preserve">defaults to</w:t>
      </w:r>
      <w:r>
        <w:t xml:space="preserve"> </w:t>
      </w:r>
      <w:r>
        <w:rPr>
          <w:rStyle w:val="VerbatimChar"/>
        </w:rPr>
        <w:t xml:space="preserve">unicode</w:t>
      </w:r>
      <w:r>
        <w:t xml:space="preserve"> </w:t>
      </w:r>
      <w:r>
        <w:t xml:space="preserve">for new stream objects.</w:t>
      </w:r>
    </w:p>
    <w:p>
      <w:pPr>
        <w:pStyle w:val="Compact"/>
        <w:numPr>
          <w:ilvl w:val="0"/>
          <w:numId w:val="2407"/>
        </w:numPr>
      </w:pPr>
      <w:r>
        <w:rPr>
          <w:rStyle w:val="VerbatimChar"/>
        </w:rPr>
        <w:t xml:space="preserve">Size</w:t>
      </w:r>
      <w:r>
        <w:t xml:space="preserve"> </w:t>
      </w:r>
      <w:r>
        <w:t xml:space="preserve">changes after write, load, copy, or truncation operations.</w:t>
      </w:r>
    </w:p>
    <w:bookmarkEnd w:id="5846"/>
    <w:bookmarkStart w:id="5848" w:name="remarks-662"/>
    <w:p>
      <w:pPr>
        <w:pStyle w:val="Heading2"/>
      </w:pPr>
      <w:r>
        <w:t xml:space="preserve">Remarks</w:t>
      </w:r>
    </w:p>
    <w:p>
      <w:pPr>
        <w:pStyle w:val="Compact"/>
        <w:numPr>
          <w:ilvl w:val="0"/>
          <w:numId w:val="2408"/>
        </w:numPr>
      </w:pPr>
      <w:r>
        <w:t xml:space="preserve">Property names are case-insensitive.</w:t>
      </w:r>
    </w:p>
    <w:p>
      <w:pPr>
        <w:pStyle w:val="Compact"/>
        <w:numPr>
          <w:ilvl w:val="0"/>
          <w:numId w:val="2408"/>
        </w:numPr>
      </w:pPr>
      <w:r>
        <w:t xml:space="preserve">Assigning an empty</w:t>
      </w:r>
      <w:r>
        <w:t xml:space="preserve"> </w:t>
      </w:r>
      <w:r>
        <w:rPr>
          <w:rStyle w:val="VerbatimChar"/>
        </w:rPr>
        <w:t xml:space="preserve">Charset</w:t>
      </w:r>
      <w:r>
        <w:t xml:space="preserve"> </w:t>
      </w:r>
      <w:r>
        <w:t xml:space="preserve">resets it to</w:t>
      </w:r>
      <w:r>
        <w:t xml:space="preserve"> </w:t>
      </w:r>
      <w:r>
        <w:rPr>
          <w:rStyle w:val="VerbatimChar"/>
        </w:rPr>
        <w:t xml:space="preserve">utf-8</w:t>
      </w:r>
      <w:r>
        <w:t xml:space="preserve"> </w:t>
      </w:r>
      <w:r>
        <w:t xml:space="preserve">in the current runtime.</w:t>
      </w:r>
    </w:p>
    <w:p>
      <w:pPr>
        <w:pStyle w:val="Compact"/>
        <w:numPr>
          <w:ilvl w:val="0"/>
          <w:numId w:val="2408"/>
        </w:numPr>
      </w:pPr>
      <w:r>
        <w:rPr>
          <w:rStyle w:val="VerbatimChar"/>
        </w:rPr>
        <w:t xml:space="preserve">EOS</w:t>
      </w:r>
      <w:r>
        <w:t xml:space="preserve"> </w:t>
      </w:r>
      <w:r>
        <w:t xml:space="preserve">is computed from</w:t>
      </w:r>
      <w:r>
        <w:t xml:space="preserve"> </w:t>
      </w:r>
      <w:r>
        <w:rPr>
          <w:rStyle w:val="VerbatimChar"/>
        </w:rPr>
        <w:t xml:space="preserve">Position</w:t>
      </w:r>
      <w:r>
        <w:t xml:space="preserve"> </w:t>
      </w:r>
      <w:r>
        <w:t xml:space="preserve">and</w:t>
      </w:r>
      <w:r>
        <w:t xml:space="preserve"> </w:t>
      </w:r>
      <w:r>
        <w:rPr>
          <w:rStyle w:val="VerbatimChar"/>
        </w:rPr>
        <w:t xml:space="preserve">Size</w:t>
      </w:r>
      <w:r>
        <w:t xml:space="preserve">, and cannot be assigned directly.</w:t>
      </w:r>
    </w:p>
    <w:bookmarkStart w:id="5847" w:name="methods-detail-24"/>
    <w:p>
      <w:pPr>
        <w:pStyle w:val="Heading3"/>
      </w:pPr>
      <w:r>
        <w:t xml:space="preserve">Methods Detail</w:t>
      </w:r>
    </w:p>
    <w:bookmarkEnd w:id="5847"/>
    <w:bookmarkEnd w:id="5848"/>
    <w:bookmarkEnd w:id="5849"/>
    <w:bookmarkStart w:id="5859" w:name="open-method-3"/>
    <w:p>
      <w:pPr>
        <w:pStyle w:val="Heading1"/>
      </w:pPr>
      <w:r>
        <w:t xml:space="preserve">Open Method</w:t>
      </w:r>
    </w:p>
    <w:bookmarkStart w:id="5850" w:name="overview-621"/>
    <w:p>
      <w:pPr>
        <w:pStyle w:val="Heading2"/>
      </w:pPr>
      <w:r>
        <w:t xml:space="preserve">Overview</w:t>
      </w:r>
    </w:p>
    <w:p>
      <w:pPr>
        <w:pStyle w:val="FirstParagraph"/>
      </w:pPr>
      <w:r>
        <w:t xml:space="preserve">Opens the stream and initializes its internal cursor so read and write operations can run.</w:t>
      </w:r>
    </w:p>
    <w:bookmarkEnd w:id="5850"/>
    <w:bookmarkStart w:id="5851" w:name="prerequisites-161"/>
    <w:p>
      <w:pPr>
        <w:pStyle w:val="Heading2"/>
      </w:pPr>
      <w:r>
        <w:t xml:space="preserve">Prerequisites</w:t>
      </w:r>
    </w:p>
    <w:p>
      <w:pPr>
        <w:pStyle w:val="Compact"/>
        <w:numPr>
          <w:ilvl w:val="0"/>
          <w:numId w:val="2409"/>
        </w:numPr>
      </w:pPr>
      <w:r>
        <w:t xml:space="preserve">Create the object with</w:t>
      </w:r>
      <w:r>
        <w:t xml:space="preserve"> </w:t>
      </w:r>
      <w:r>
        <w:rPr>
          <w:rStyle w:val="VerbatimChar"/>
        </w:rPr>
        <w:t xml:space="preserve">Server.CreateObject("ADODB.Stream")</w:t>
      </w:r>
      <w:r>
        <w:t xml:space="preserve">.</w:t>
      </w:r>
    </w:p>
    <w:p>
      <w:pPr>
        <w:pStyle w:val="Compact"/>
        <w:numPr>
          <w:ilvl w:val="0"/>
          <w:numId w:val="2409"/>
        </w:numPr>
      </w:pPr>
      <w:r>
        <w:t xml:space="preserve">Set</w:t>
      </w:r>
      <w:r>
        <w:t xml:space="preserve"> </w:t>
      </w:r>
      <w:r>
        <w:rPr>
          <w:rStyle w:val="VerbatimChar"/>
        </w:rPr>
        <w:t xml:space="preserve">Type</w:t>
      </w:r>
      <w:r>
        <w:t xml:space="preserve"> </w:t>
      </w:r>
      <w:r>
        <w:t xml:space="preserve">and optional text settings such as</w:t>
      </w:r>
      <w:r>
        <w:t xml:space="preserve"> </w:t>
      </w:r>
      <w:r>
        <w:rPr>
          <w:rStyle w:val="VerbatimChar"/>
        </w:rPr>
        <w:t xml:space="preserve">Charset</w:t>
      </w:r>
      <w:r>
        <w:t xml:space="preserve"> </w:t>
      </w:r>
      <w:r>
        <w:t xml:space="preserve">before opening the stream.</w:t>
      </w:r>
    </w:p>
    <w:bookmarkEnd w:id="5851"/>
    <w:bookmarkStart w:id="5852" w:name="syntax-688"/>
    <w:p>
      <w:pPr>
        <w:pStyle w:val="Heading2"/>
      </w:pPr>
      <w:r>
        <w:t xml:space="preserve">Syntax</w:t>
      </w:r>
    </w:p>
    <w:p>
      <w:pPr>
        <w:pStyle w:val="SourceCode"/>
      </w:pPr>
      <w:r>
        <w:rPr>
          <w:rStyle w:val="NormalTok"/>
        </w:rPr>
        <w:t xml:space="preserve">stm.Open</w:t>
      </w:r>
    </w:p>
    <w:bookmarkEnd w:id="5852"/>
    <w:bookmarkStart w:id="5853" w:name="parameters-314"/>
    <w:p>
      <w:pPr>
        <w:pStyle w:val="Heading2"/>
      </w:pPr>
      <w:r>
        <w:t xml:space="preserve">Parameters</w:t>
      </w:r>
    </w:p>
    <w:p>
      <w:pPr>
        <w:pStyle w:val="FirstParagraph"/>
      </w:pPr>
      <w:r>
        <w:t xml:space="preserve">This method does not accept parameters.</w:t>
      </w:r>
    </w:p>
    <w:bookmarkEnd w:id="5853"/>
    <w:bookmarkStart w:id="5854" w:name="return-value-371"/>
    <w:p>
      <w:pPr>
        <w:pStyle w:val="Heading2"/>
      </w:pPr>
      <w:r>
        <w:t xml:space="preserve">Return Value</w:t>
      </w:r>
    </w:p>
    <w:p>
      <w:pPr>
        <w:pStyle w:val="FirstParagraph"/>
      </w:pPr>
      <w:r>
        <w:t xml:space="preserve">Empty. The method does not return a value.</w:t>
      </w:r>
    </w:p>
    <w:bookmarkEnd w:id="5854"/>
    <w:bookmarkStart w:id="5855" w:name="how-it-works-40"/>
    <w:p>
      <w:pPr>
        <w:pStyle w:val="Heading2"/>
      </w:pPr>
      <w:r>
        <w:t xml:space="preserve">How It Works</w:t>
      </w:r>
    </w:p>
    <w:p>
      <w:pPr>
        <w:pStyle w:val="Compact"/>
        <w:numPr>
          <w:ilvl w:val="0"/>
          <w:numId w:val="2410"/>
        </w:numPr>
      </w:pPr>
      <w:r>
        <w:t xml:space="preserve">Changes</w:t>
      </w:r>
      <w:r>
        <w:t xml:space="preserve"> </w:t>
      </w:r>
      <w:r>
        <w:rPr>
          <w:rStyle w:val="VerbatimChar"/>
        </w:rPr>
        <w:t xml:space="preserve">State</w:t>
      </w:r>
      <w:r>
        <w:t xml:space="preserve"> </w:t>
      </w:r>
      <w:r>
        <w:t xml:space="preserve">from</w:t>
      </w:r>
      <w:r>
        <w:t xml:space="preserve"> </w:t>
      </w:r>
      <w:r>
        <w:rPr>
          <w:rStyle w:val="VerbatimChar"/>
        </w:rPr>
        <w:t xml:space="preserve">0</w:t>
      </w:r>
      <w:r>
        <w:t xml:space="preserve"> </w:t>
      </w:r>
      <w:r>
        <w:t xml:space="preserve">(closed) to</w:t>
      </w:r>
      <w:r>
        <w:t xml:space="preserve"> </w:t>
      </w:r>
      <w:r>
        <w:rPr>
          <w:rStyle w:val="VerbatimChar"/>
        </w:rPr>
        <w:t xml:space="preserve">1</w:t>
      </w:r>
      <w:r>
        <w:t xml:space="preserve"> </w:t>
      </w:r>
      <w:r>
        <w:t xml:space="preserve">(open).</w:t>
      </w:r>
    </w:p>
    <w:p>
      <w:pPr>
        <w:pStyle w:val="Compact"/>
        <w:numPr>
          <w:ilvl w:val="0"/>
          <w:numId w:val="2410"/>
        </w:numPr>
      </w:pPr>
      <w:r>
        <w:t xml:space="preserve">Resets</w:t>
      </w:r>
      <w:r>
        <w:t xml:space="preserve"> </w:t>
      </w:r>
      <w:r>
        <w:rPr>
          <w:rStyle w:val="VerbatimChar"/>
        </w:rPr>
        <w:t xml:space="preserve">Position</w:t>
      </w:r>
      <w:r>
        <w:t xml:space="preserve"> </w:t>
      </w:r>
      <w:r>
        <w:t xml:space="preserve">to the beginning of the in-memory buffer.</w:t>
      </w:r>
    </w:p>
    <w:bookmarkEnd w:id="5855"/>
    <w:bookmarkStart w:id="5856" w:name="remarks-663"/>
    <w:p>
      <w:pPr>
        <w:pStyle w:val="Heading2"/>
      </w:pPr>
      <w:r>
        <w:t xml:space="preserve">Remarks</w:t>
      </w:r>
    </w:p>
    <w:p>
      <w:pPr>
        <w:pStyle w:val="Compact"/>
        <w:numPr>
          <w:ilvl w:val="0"/>
          <w:numId w:val="2411"/>
        </w:numPr>
      </w:pPr>
      <w:r>
        <w:t xml:space="preserve">Method names are case-insensitive in G3Pix AxonASP.</w:t>
      </w:r>
    </w:p>
    <w:p>
      <w:pPr>
        <w:pStyle w:val="Compact"/>
        <w:numPr>
          <w:ilvl w:val="0"/>
          <w:numId w:val="2411"/>
        </w:numPr>
      </w:pPr>
      <w:r>
        <w:t xml:space="preserve">Calling</w:t>
      </w:r>
      <w:r>
        <w:t xml:space="preserve"> </w:t>
      </w:r>
      <w:r>
        <w:rPr>
          <w:rStyle w:val="VerbatimChar"/>
        </w:rPr>
        <w:t xml:space="preserve">Open</w:t>
      </w:r>
      <w:r>
        <w:t xml:space="preserve"> </w:t>
      </w:r>
      <w:r>
        <w:t xml:space="preserve">on an already open stream keeps the stream available for I/O.</w:t>
      </w:r>
    </w:p>
    <w:bookmarkEnd w:id="5856"/>
    <w:bookmarkStart w:id="5857" w:name="code-example-48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w:t>
      </w:r>
      <w:r>
        <w:rPr>
          <w:rStyle w:val="KeywordTok"/>
        </w:rPr>
        <w:t xml:space="preserve">Open</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"State: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stm.State</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857"/>
    <w:bookmarkStart w:id="5858" w:name="api-reference-161"/>
    <w:p>
      <w:pPr>
        <w:pStyle w:val="Heading2"/>
      </w:pPr>
      <w:r>
        <w:t xml:space="preserve">API Reference</w:t>
      </w:r>
    </w:p>
    <w:p>
      <w:pPr>
        <w:pStyle w:val="Compact"/>
        <w:numPr>
          <w:ilvl w:val="0"/>
          <w:numId w:val="2412"/>
        </w:numPr>
      </w:pPr>
      <w:r>
        <w:t xml:space="preserve">Object: ADODB.Stream</w:t>
      </w:r>
    </w:p>
    <w:p>
      <w:pPr>
        <w:pStyle w:val="Compact"/>
        <w:numPr>
          <w:ilvl w:val="0"/>
          <w:numId w:val="2412"/>
        </w:numPr>
      </w:pPr>
      <w:r>
        <w:t xml:space="preserve">Method: Open</w:t>
      </w:r>
    </w:p>
    <w:p>
      <w:pPr>
        <w:pStyle w:val="Compact"/>
        <w:numPr>
          <w:ilvl w:val="0"/>
          <w:numId w:val="2412"/>
        </w:numPr>
      </w:pPr>
      <w:r>
        <w:t xml:space="preserve">Arguments: none</w:t>
      </w:r>
    </w:p>
    <w:p>
      <w:pPr>
        <w:pStyle w:val="Compact"/>
        <w:numPr>
          <w:ilvl w:val="0"/>
          <w:numId w:val="2412"/>
        </w:numPr>
      </w:pPr>
      <w:r>
        <w:t xml:space="preserve">Returns: Empty</w:t>
      </w:r>
    </w:p>
    <w:bookmarkEnd w:id="5858"/>
    <w:bookmarkEnd w:id="5859"/>
    <w:bookmarkStart w:id="5869" w:name="close-method-3"/>
    <w:p>
      <w:pPr>
        <w:pStyle w:val="Heading1"/>
      </w:pPr>
      <w:r>
        <w:t xml:space="preserve">Close Method</w:t>
      </w:r>
    </w:p>
    <w:bookmarkStart w:id="5860" w:name="overview-622"/>
    <w:p>
      <w:pPr>
        <w:pStyle w:val="Heading2"/>
      </w:pPr>
      <w:r>
        <w:t xml:space="preserve">Overview</w:t>
      </w:r>
    </w:p>
    <w:p>
      <w:pPr>
        <w:pStyle w:val="FirstParagraph"/>
      </w:pPr>
      <w:r>
        <w:t xml:space="preserve">Closes the stream and releases access to its current buffer.</w:t>
      </w:r>
    </w:p>
    <w:bookmarkEnd w:id="5860"/>
    <w:bookmarkStart w:id="5861" w:name="prerequisites-162"/>
    <w:p>
      <w:pPr>
        <w:pStyle w:val="Heading2"/>
      </w:pPr>
      <w:r>
        <w:t xml:space="preserve">Prerequisites</w:t>
      </w:r>
    </w:p>
    <w:p>
      <w:pPr>
        <w:pStyle w:val="Compact"/>
        <w:numPr>
          <w:ilvl w:val="0"/>
          <w:numId w:val="2413"/>
        </w:numPr>
      </w:pPr>
      <w:r>
        <w:t xml:space="preserve">Create the object with</w:t>
      </w:r>
      <w:r>
        <w:t xml:space="preserve"> </w:t>
      </w:r>
      <w:r>
        <w:rPr>
          <w:rStyle w:val="VerbatimChar"/>
        </w:rPr>
        <w:t xml:space="preserve">Server.CreateObject("ADODB.Stream")</w:t>
      </w:r>
      <w:r>
        <w:t xml:space="preserve">.</w:t>
      </w:r>
    </w:p>
    <w:p>
      <w:pPr>
        <w:pStyle w:val="Compact"/>
        <w:numPr>
          <w:ilvl w:val="0"/>
          <w:numId w:val="2413"/>
        </w:numPr>
      </w:pPr>
      <w:r>
        <w:t xml:space="preserve">Open the stream before calling</w:t>
      </w:r>
      <w:r>
        <w:t xml:space="preserve"> </w:t>
      </w:r>
      <w:r>
        <w:rPr>
          <w:rStyle w:val="VerbatimChar"/>
        </w:rPr>
        <w:t xml:space="preserve">Close</w:t>
      </w:r>
      <w:r>
        <w:t xml:space="preserve"> </w:t>
      </w:r>
      <w:r>
        <w:t xml:space="preserve">when you need deterministic cleanup.</w:t>
      </w:r>
    </w:p>
    <w:bookmarkEnd w:id="5861"/>
    <w:bookmarkStart w:id="5862" w:name="syntax-689"/>
    <w:p>
      <w:pPr>
        <w:pStyle w:val="Heading2"/>
      </w:pPr>
      <w:r>
        <w:t xml:space="preserve">Syntax</w:t>
      </w:r>
    </w:p>
    <w:p>
      <w:pPr>
        <w:pStyle w:val="SourceCode"/>
      </w:pPr>
      <w:r>
        <w:rPr>
          <w:rStyle w:val="NormalTok"/>
        </w:rPr>
        <w:t xml:space="preserve">stm.Close</w:t>
      </w:r>
    </w:p>
    <w:bookmarkEnd w:id="5862"/>
    <w:bookmarkStart w:id="5863" w:name="parameters-315"/>
    <w:p>
      <w:pPr>
        <w:pStyle w:val="Heading2"/>
      </w:pPr>
      <w:r>
        <w:t xml:space="preserve">Parameters</w:t>
      </w:r>
    </w:p>
    <w:p>
      <w:pPr>
        <w:pStyle w:val="FirstParagraph"/>
      </w:pPr>
      <w:r>
        <w:t xml:space="preserve">This method does not accept parameters.</w:t>
      </w:r>
    </w:p>
    <w:bookmarkEnd w:id="5863"/>
    <w:bookmarkStart w:id="5864" w:name="return-value-372"/>
    <w:p>
      <w:pPr>
        <w:pStyle w:val="Heading2"/>
      </w:pPr>
      <w:r>
        <w:t xml:space="preserve">Return Value</w:t>
      </w:r>
    </w:p>
    <w:p>
      <w:pPr>
        <w:pStyle w:val="FirstParagraph"/>
      </w:pPr>
      <w:r>
        <w:t xml:space="preserve">Empty. The method does not return a value.</w:t>
      </w:r>
    </w:p>
    <w:bookmarkEnd w:id="5864"/>
    <w:bookmarkStart w:id="5865" w:name="how-it-works-41"/>
    <w:p>
      <w:pPr>
        <w:pStyle w:val="Heading2"/>
      </w:pPr>
      <w:r>
        <w:t xml:space="preserve">How It Works</w:t>
      </w:r>
    </w:p>
    <w:p>
      <w:pPr>
        <w:pStyle w:val="Compact"/>
        <w:numPr>
          <w:ilvl w:val="0"/>
          <w:numId w:val="2414"/>
        </w:numPr>
      </w:pPr>
      <w:r>
        <w:t xml:space="preserve">Sets</w:t>
      </w:r>
      <w:r>
        <w:t xml:space="preserve"> </w:t>
      </w:r>
      <w:r>
        <w:rPr>
          <w:rStyle w:val="VerbatimChar"/>
        </w:rPr>
        <w:t xml:space="preserve">State</w:t>
      </w:r>
      <w:r>
        <w:t xml:space="preserve"> </w:t>
      </w:r>
      <w:r>
        <w:t xml:space="preserve">to</w:t>
      </w:r>
      <w:r>
        <w:t xml:space="preserve"> </w:t>
      </w:r>
      <w:r>
        <w:rPr>
          <w:rStyle w:val="VerbatimChar"/>
        </w:rPr>
        <w:t xml:space="preserve">0</w:t>
      </w:r>
      <w:r>
        <w:t xml:space="preserve"> </w:t>
      </w:r>
      <w:r>
        <w:t xml:space="preserve">(closed).</w:t>
      </w:r>
    </w:p>
    <w:p>
      <w:pPr>
        <w:pStyle w:val="Compact"/>
        <w:numPr>
          <w:ilvl w:val="0"/>
          <w:numId w:val="2414"/>
        </w:numPr>
      </w:pPr>
      <w:r>
        <w:t xml:space="preserve">Keeps object instance valid so you can call</w:t>
      </w:r>
      <w:r>
        <w:t xml:space="preserve"> </w:t>
      </w:r>
      <w:r>
        <w:rPr>
          <w:rStyle w:val="VerbatimChar"/>
        </w:rPr>
        <w:t xml:space="preserve">Open</w:t>
      </w:r>
      <w:r>
        <w:t xml:space="preserve"> </w:t>
      </w:r>
      <w:r>
        <w:t xml:space="preserve">again.</w:t>
      </w:r>
    </w:p>
    <w:bookmarkEnd w:id="5865"/>
    <w:bookmarkStart w:id="5866" w:name="remarks-664"/>
    <w:p>
      <w:pPr>
        <w:pStyle w:val="Heading2"/>
      </w:pPr>
      <w:r>
        <w:t xml:space="preserve">Remarks</w:t>
      </w:r>
    </w:p>
    <w:p>
      <w:pPr>
        <w:pStyle w:val="Compact"/>
        <w:numPr>
          <w:ilvl w:val="0"/>
          <w:numId w:val="2415"/>
        </w:numPr>
      </w:pPr>
      <w:r>
        <w:t xml:space="preserve">Method names are case-insensitive in G3Pix AxonASP.</w:t>
      </w:r>
    </w:p>
    <w:p>
      <w:pPr>
        <w:pStyle w:val="Compact"/>
        <w:numPr>
          <w:ilvl w:val="0"/>
          <w:numId w:val="2415"/>
        </w:numPr>
      </w:pPr>
      <w:r>
        <w:t xml:space="preserve">Calling</w:t>
      </w:r>
      <w:r>
        <w:t xml:space="preserve"> </w:t>
      </w:r>
      <w:r>
        <w:rPr>
          <w:rStyle w:val="VerbatimChar"/>
        </w:rPr>
        <w:t xml:space="preserve">Close</w:t>
      </w:r>
      <w:r>
        <w:t xml:space="preserve"> </w:t>
      </w:r>
      <w:r>
        <w:t xml:space="preserve">on an already closed stream is safe.</w:t>
      </w:r>
    </w:p>
    <w:bookmarkEnd w:id="5866"/>
    <w:bookmarkStart w:id="5867" w:name="code-example-48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"temporary"</w:t>
      </w:r>
      <w:r>
        <w:br/>
      </w:r>
      <w:r>
        <w:rPr>
          <w:rStyle w:val="NormalTok"/>
        </w:rPr>
        <w:t xml:space="preserve">stm.</w:t>
      </w:r>
      <w:r>
        <w:rPr>
          <w:rStyle w:val="KeywordTok"/>
        </w:rPr>
        <w:t xml:space="preserve">Close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"State after close: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stm.State</w:t>
      </w:r>
      <w:r>
        <w:rPr>
          <w:rStyle w:val="OtherTok"/>
        </w:rPr>
        <w:t xml:space="preserve">)</w:t>
      </w:r>
      <w:r>
        <w:br/>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867"/>
    <w:bookmarkStart w:id="5868" w:name="api-reference-162"/>
    <w:p>
      <w:pPr>
        <w:pStyle w:val="Heading2"/>
      </w:pPr>
      <w:r>
        <w:t xml:space="preserve">API Reference</w:t>
      </w:r>
    </w:p>
    <w:p>
      <w:pPr>
        <w:pStyle w:val="Compact"/>
        <w:numPr>
          <w:ilvl w:val="0"/>
          <w:numId w:val="2416"/>
        </w:numPr>
      </w:pPr>
      <w:r>
        <w:t xml:space="preserve">Object: ADODB.Stream</w:t>
      </w:r>
    </w:p>
    <w:p>
      <w:pPr>
        <w:pStyle w:val="Compact"/>
        <w:numPr>
          <w:ilvl w:val="0"/>
          <w:numId w:val="2416"/>
        </w:numPr>
      </w:pPr>
      <w:r>
        <w:t xml:space="preserve">Method: Close</w:t>
      </w:r>
    </w:p>
    <w:p>
      <w:pPr>
        <w:pStyle w:val="Compact"/>
        <w:numPr>
          <w:ilvl w:val="0"/>
          <w:numId w:val="2416"/>
        </w:numPr>
      </w:pPr>
      <w:r>
        <w:t xml:space="preserve">Arguments: none</w:t>
      </w:r>
    </w:p>
    <w:p>
      <w:pPr>
        <w:pStyle w:val="Compact"/>
        <w:numPr>
          <w:ilvl w:val="0"/>
          <w:numId w:val="2416"/>
        </w:numPr>
      </w:pPr>
      <w:r>
        <w:t xml:space="preserve">Returns: Empty</w:t>
      </w:r>
    </w:p>
    <w:bookmarkEnd w:id="5868"/>
    <w:bookmarkEnd w:id="5869"/>
    <w:bookmarkStart w:id="5879" w:name="read-method-1"/>
    <w:p>
      <w:pPr>
        <w:pStyle w:val="Heading1"/>
      </w:pPr>
      <w:r>
        <w:t xml:space="preserve">Read Method</w:t>
      </w:r>
    </w:p>
    <w:bookmarkStart w:id="5870" w:name="overview-623"/>
    <w:p>
      <w:pPr>
        <w:pStyle w:val="Heading2"/>
      </w:pPr>
      <w:r>
        <w:t xml:space="preserve">Overview</w:t>
      </w:r>
    </w:p>
    <w:p>
      <w:pPr>
        <w:pStyle w:val="FirstParagraph"/>
      </w:pPr>
      <w:r>
        <w:t xml:space="preserve">Reads binary data from the current stream position.</w:t>
      </w:r>
    </w:p>
    <w:bookmarkEnd w:id="5870"/>
    <w:bookmarkStart w:id="5871" w:name="prerequisites-163"/>
    <w:p>
      <w:pPr>
        <w:pStyle w:val="Heading2"/>
      </w:pPr>
      <w:r>
        <w:t xml:space="preserve">Prerequisites</w:t>
      </w:r>
    </w:p>
    <w:p>
      <w:pPr>
        <w:pStyle w:val="Compact"/>
        <w:numPr>
          <w:ilvl w:val="0"/>
          <w:numId w:val="2417"/>
        </w:numPr>
      </w:pPr>
      <w:r>
        <w:t xml:space="preserve">Create the object with</w:t>
      </w:r>
      <w:r>
        <w:t xml:space="preserve"> </w:t>
      </w:r>
      <w:r>
        <w:rPr>
          <w:rStyle w:val="VerbatimChar"/>
        </w:rPr>
        <w:t xml:space="preserve">Server.CreateObject("ADODB.Stream")</w:t>
      </w:r>
      <w:r>
        <w:t xml:space="preserve">.</w:t>
      </w:r>
    </w:p>
    <w:p>
      <w:pPr>
        <w:pStyle w:val="Compact"/>
        <w:numPr>
          <w:ilvl w:val="0"/>
          <w:numId w:val="2417"/>
        </w:numPr>
      </w:pPr>
      <w:r>
        <w:t xml:space="preserve">Set</w:t>
      </w:r>
      <w:r>
        <w:t xml:space="preserve"> </w:t>
      </w:r>
      <w:r>
        <w:rPr>
          <w:rStyle w:val="VerbatimChar"/>
        </w:rPr>
        <w:t xml:space="preserve">Type = 1</w:t>
      </w:r>
      <w:r>
        <w:t xml:space="preserve"> </w:t>
      </w:r>
      <w:r>
        <w:t xml:space="preserve">for binary mode.</w:t>
      </w:r>
    </w:p>
    <w:p>
      <w:pPr>
        <w:pStyle w:val="Compact"/>
        <w:numPr>
          <w:ilvl w:val="0"/>
          <w:numId w:val="2417"/>
        </w:numPr>
      </w:pPr>
      <w:r>
        <w:t xml:space="preserve">Open the stream and ensure data exists in the buffer.</w:t>
      </w:r>
    </w:p>
    <w:bookmarkEnd w:id="5871"/>
    <w:bookmarkStart w:id="5872" w:name="syntax-690"/>
    <w:p>
      <w:pPr>
        <w:pStyle w:val="Heading2"/>
      </w:pPr>
      <w:r>
        <w:t xml:space="preserve">Syntax</w:t>
      </w:r>
    </w:p>
    <w:p>
      <w:pPr>
        <w:pStyle w:val="SourceCode"/>
      </w:pPr>
      <w:r>
        <w:rPr>
          <w:rStyle w:val="NormalTok"/>
        </w:rPr>
        <w:t xml:space="preserve">data = stm.Read([numBytes])</w:t>
      </w:r>
    </w:p>
    <w:bookmarkEnd w:id="5872"/>
    <w:bookmarkStart w:id="5873" w:name="parameters-31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numBytes</w:t>
            </w:r>
          </w:p>
        </w:tc>
        <w:tc>
          <w:tcPr/>
          <w:p>
            <w:pPr>
              <w:pStyle w:val="Compact"/>
            </w:pPr>
            <w:r>
              <w:t xml:space="preserve">Integer</w:t>
            </w:r>
          </w:p>
        </w:tc>
        <w:tc>
          <w:tcPr/>
          <w:p>
            <w:pPr>
              <w:pStyle w:val="Compact"/>
            </w:pPr>
            <w:r>
              <w:t xml:space="preserve">No</w:t>
            </w:r>
          </w:p>
        </w:tc>
        <w:tc>
          <w:tcPr/>
          <w:p>
            <w:pPr>
              <w:pStyle w:val="Compact"/>
            </w:pPr>
            <w:r>
              <w:t xml:space="preserve">Number of bytes to read from the current</w:t>
            </w:r>
            <w:r>
              <w:t xml:space="preserve"> </w:t>
            </w:r>
            <w:r>
              <w:rPr>
                <w:rStyle w:val="VerbatimChar"/>
              </w:rPr>
              <w:t xml:space="preserve">Position</w:t>
            </w:r>
            <w:r>
              <w:t xml:space="preserve">. If omitted, reads all remaining bytes until end of stream.</w:t>
            </w:r>
          </w:p>
        </w:tc>
      </w:tr>
    </w:tbl>
    <w:bookmarkEnd w:id="5873"/>
    <w:bookmarkStart w:id="5874" w:name="return-value-373"/>
    <w:p>
      <w:pPr>
        <w:pStyle w:val="Heading2"/>
      </w:pPr>
      <w:r>
        <w:t xml:space="preserve">Return Value</w:t>
      </w:r>
    </w:p>
    <w:p>
      <w:pPr>
        <w:pStyle w:val="FirstParagraph"/>
      </w:pPr>
      <w:r>
        <w:t xml:space="preserve">String. Returns a byte-string payload containing the bytes read. Returns an empty string when the stream is closed, at end of stream, or no bytes are available.</w:t>
      </w:r>
    </w:p>
    <w:bookmarkEnd w:id="5874"/>
    <w:bookmarkStart w:id="5875" w:name="how-it-works-42"/>
    <w:p>
      <w:pPr>
        <w:pStyle w:val="Heading2"/>
      </w:pPr>
      <w:r>
        <w:t xml:space="preserve">How It Works</w:t>
      </w:r>
    </w:p>
    <w:p>
      <w:pPr>
        <w:pStyle w:val="Compact"/>
        <w:numPr>
          <w:ilvl w:val="0"/>
          <w:numId w:val="2418"/>
        </w:numPr>
      </w:pPr>
      <w:r>
        <w:t xml:space="preserve">Reads from current</w:t>
      </w:r>
      <w:r>
        <w:t xml:space="preserve"> </w:t>
      </w:r>
      <w:r>
        <w:rPr>
          <w:rStyle w:val="VerbatimChar"/>
        </w:rPr>
        <w:t xml:space="preserve">Position</w:t>
      </w:r>
      <w:r>
        <w:t xml:space="preserve">.</w:t>
      </w:r>
    </w:p>
    <w:p>
      <w:pPr>
        <w:pStyle w:val="Compact"/>
        <w:numPr>
          <w:ilvl w:val="0"/>
          <w:numId w:val="2418"/>
        </w:numPr>
      </w:pPr>
      <w:r>
        <w:t xml:space="preserve">Advances</w:t>
      </w:r>
      <w:r>
        <w:t xml:space="preserve"> </w:t>
      </w:r>
      <w:r>
        <w:rPr>
          <w:rStyle w:val="VerbatimChar"/>
        </w:rPr>
        <w:t xml:space="preserve">Position</w:t>
      </w:r>
      <w:r>
        <w:t xml:space="preserve"> </w:t>
      </w:r>
      <w:r>
        <w:t xml:space="preserve">by the number of bytes returned.</w:t>
      </w:r>
    </w:p>
    <w:bookmarkEnd w:id="5875"/>
    <w:bookmarkStart w:id="5876" w:name="remarks-665"/>
    <w:p>
      <w:pPr>
        <w:pStyle w:val="Heading2"/>
      </w:pPr>
      <w:r>
        <w:t xml:space="preserve">Remarks</w:t>
      </w:r>
    </w:p>
    <w:p>
      <w:pPr>
        <w:pStyle w:val="Compact"/>
        <w:numPr>
          <w:ilvl w:val="0"/>
          <w:numId w:val="2419"/>
        </w:numPr>
      </w:pPr>
      <w:r>
        <w:t xml:space="preserve">Method names are case-insensitive in G3Pix AxonASP.</w:t>
      </w:r>
    </w:p>
    <w:p>
      <w:pPr>
        <w:pStyle w:val="Compact"/>
        <w:numPr>
          <w:ilvl w:val="0"/>
          <w:numId w:val="2419"/>
        </w:numPr>
      </w:pPr>
      <w:r>
        <w:t xml:space="preserve">Use</w:t>
      </w:r>
      <w:r>
        <w:t xml:space="preserve"> </w:t>
      </w:r>
      <w:r>
        <w:rPr>
          <w:rStyle w:val="VerbatimChar"/>
        </w:rPr>
        <w:t xml:space="preserve">ReadText</w:t>
      </w:r>
      <w:r>
        <w:t xml:space="preserve"> </w:t>
      </w:r>
      <w:r>
        <w:t xml:space="preserve">instead of</w:t>
      </w:r>
      <w:r>
        <w:t xml:space="preserve"> </w:t>
      </w:r>
      <w:r>
        <w:rPr>
          <w:rStyle w:val="VerbatimChar"/>
        </w:rPr>
        <w:t xml:space="preserve">Read</w:t>
      </w:r>
      <w:r>
        <w:t xml:space="preserve"> </w:t>
      </w:r>
      <w:r>
        <w:t xml:space="preserve">when</w:t>
      </w:r>
      <w:r>
        <w:t xml:space="preserve"> </w:t>
      </w:r>
      <w:r>
        <w:rPr>
          <w:rStyle w:val="VerbatimChar"/>
        </w:rPr>
        <w:t xml:space="preserve">Type = 2</w:t>
      </w:r>
      <w:r>
        <w:t xml:space="preserve"> </w:t>
      </w:r>
      <w:r>
        <w:t xml:space="preserve">and text decoding is required.</w:t>
      </w:r>
    </w:p>
    <w:bookmarkEnd w:id="5876"/>
    <w:bookmarkStart w:id="5877" w:name="code-example-48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rPr>
          <w:rStyle w:val="OtherTok"/>
        </w:rPr>
        <w:t xml:space="preserve">,</w:t>
      </w:r>
      <w:r>
        <w:rPr>
          <w:rStyle w:val="NormalTok"/>
        </w:rPr>
        <w:t xml:space="preserve"> bytesChunk</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1</w:t>
      </w:r>
      <w:r>
        <w:br/>
      </w:r>
      <w:r>
        <w:rPr>
          <w:rStyle w:val="NormalTok"/>
        </w:rPr>
        <w:t xml:space="preserve">stm.</w:t>
      </w:r>
      <w:r>
        <w:rPr>
          <w:rStyle w:val="KeywordTok"/>
        </w:rPr>
        <w:t xml:space="preserve">Open</w:t>
      </w:r>
      <w:r>
        <w:br/>
      </w:r>
      <w:r>
        <w:rPr>
          <w:rStyle w:val="NormalTok"/>
        </w:rPr>
        <w:t xml:space="preserve">stm.</w:t>
      </w:r>
      <w:r>
        <w:rPr>
          <w:rStyle w:val="FunctionTok"/>
        </w:rPr>
        <w:t xml:space="preserve">Write</w:t>
      </w:r>
      <w:r>
        <w:rPr>
          <w:rStyle w:val="NormalTok"/>
        </w:rPr>
        <w:t xml:space="preserve"> ChrB</w:t>
      </w:r>
      <w:r>
        <w:rPr>
          <w:rStyle w:val="OtherTok"/>
        </w:rPr>
        <w:t xml:space="preserve">(</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ChrB</w:t>
      </w:r>
      <w:r>
        <w:rPr>
          <w:rStyle w:val="OtherTok"/>
        </w:rPr>
        <w:t xml:space="preserve">(</w:t>
      </w:r>
      <w:r>
        <w:rPr>
          <w:rStyle w:val="DecValTok"/>
        </w:rPr>
        <w:t xml:space="preserve">2</w:t>
      </w:r>
      <w:r>
        <w:rPr>
          <w:rStyle w:val="OtherTok"/>
        </w:rPr>
        <w:t xml:space="preserve">)</w:t>
      </w:r>
      <w:r>
        <w:rPr>
          <w:rStyle w:val="NormalTok"/>
        </w:rPr>
        <w:t xml:space="preserve"> </w:t>
      </w:r>
      <w:r>
        <w:rPr>
          <w:rStyle w:val="KeywordTok"/>
        </w:rPr>
        <w:t xml:space="preserve">&amp;</w:t>
      </w:r>
      <w:r>
        <w:rPr>
          <w:rStyle w:val="NormalTok"/>
        </w:rPr>
        <w:t xml:space="preserve"> ChrB</w:t>
      </w:r>
      <w:r>
        <w:rPr>
          <w:rStyle w:val="OtherTok"/>
        </w:rPr>
        <w:t xml:space="preserve">(</w:t>
      </w:r>
      <w:r>
        <w:rPr>
          <w:rStyle w:val="DecValTok"/>
        </w:rPr>
        <w:t xml:space="preserve">3</w:t>
      </w:r>
      <w:r>
        <w:rPr>
          <w:rStyle w:val="OtherTok"/>
        </w:rPr>
        <w:t xml:space="preserve">)</w:t>
      </w:r>
      <w:r>
        <w:rPr>
          <w:rStyle w:val="NormalTok"/>
        </w:rPr>
        <w:t xml:space="preserve"> </w:t>
      </w:r>
      <w:r>
        <w:rPr>
          <w:rStyle w:val="KeywordTok"/>
        </w:rPr>
        <w:t xml:space="preserve">&amp;</w:t>
      </w:r>
      <w:r>
        <w:rPr>
          <w:rStyle w:val="NormalTok"/>
        </w:rPr>
        <w:t xml:space="preserve"> ChrB</w:t>
      </w:r>
      <w:r>
        <w:rPr>
          <w:rStyle w:val="OtherTok"/>
        </w:rPr>
        <w:t xml:space="preserve">(</w:t>
      </w:r>
      <w:r>
        <w:rPr>
          <w:rStyle w:val="DecValTok"/>
        </w:rPr>
        <w:t xml:space="preserve">4</w:t>
      </w:r>
      <w:r>
        <w:rPr>
          <w:rStyle w:val="OtherTok"/>
        </w:rPr>
        <w:t xml:space="preserve">)</w:t>
      </w:r>
      <w:r>
        <w:br/>
      </w:r>
      <w:r>
        <w:rPr>
          <w:rStyle w:val="NormalTok"/>
        </w:rPr>
        <w:t xml:space="preserve">stm.Position = </w:t>
      </w:r>
      <w:r>
        <w:rPr>
          <w:rStyle w:val="DecValTok"/>
        </w:rPr>
        <w:t xml:space="preserve">0</w:t>
      </w:r>
      <w:r>
        <w:br/>
      </w:r>
      <w:r>
        <w:br/>
      </w:r>
      <w:r>
        <w:rPr>
          <w:rStyle w:val="NormalTok"/>
        </w:rPr>
        <w:t xml:space="preserve">bytesChunk = stm.</w:t>
      </w:r>
      <w:r>
        <w:rPr>
          <w:rStyle w:val="FunctionTok"/>
        </w:rPr>
        <w:t xml:space="preserve">Read</w:t>
      </w:r>
      <w:r>
        <w:rPr>
          <w:rStyle w:val="OtherTok"/>
        </w:rPr>
        <w:t xml:space="preserve">(</w:t>
      </w:r>
      <w:r>
        <w:rPr>
          <w:rStyle w:val="DecValTok"/>
        </w:rPr>
        <w:t xml:space="preserve">2</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"Bytes read: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LenB</w:t>
      </w:r>
      <w:r>
        <w:rPr>
          <w:rStyle w:val="OtherTok"/>
        </w:rPr>
        <w:t xml:space="preserve">(</w:t>
      </w:r>
      <w:r>
        <w:rPr>
          <w:rStyle w:val="NormalTok"/>
        </w:rPr>
        <w:t xml:space="preserve">bytesChunk</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877"/>
    <w:bookmarkStart w:id="5878" w:name="api-reference-163"/>
    <w:p>
      <w:pPr>
        <w:pStyle w:val="Heading2"/>
      </w:pPr>
      <w:r>
        <w:t xml:space="preserve">API Reference</w:t>
      </w:r>
    </w:p>
    <w:p>
      <w:pPr>
        <w:pStyle w:val="Compact"/>
        <w:numPr>
          <w:ilvl w:val="0"/>
          <w:numId w:val="2420"/>
        </w:numPr>
      </w:pPr>
      <w:r>
        <w:t xml:space="preserve">Object: ADODB.Stream</w:t>
      </w:r>
    </w:p>
    <w:p>
      <w:pPr>
        <w:pStyle w:val="Compact"/>
        <w:numPr>
          <w:ilvl w:val="0"/>
          <w:numId w:val="2420"/>
        </w:numPr>
      </w:pPr>
      <w:r>
        <w:t xml:space="preserve">Method: Read</w:t>
      </w:r>
    </w:p>
    <w:p>
      <w:pPr>
        <w:pStyle w:val="Compact"/>
        <w:numPr>
          <w:ilvl w:val="0"/>
          <w:numId w:val="2420"/>
        </w:numPr>
      </w:pPr>
      <w:r>
        <w:t xml:space="preserve">Arguments:</w:t>
      </w:r>
      <w:r>
        <w:t xml:space="preserve"> </w:t>
      </w:r>
      <w:r>
        <w:rPr>
          <w:rStyle w:val="VerbatimChar"/>
        </w:rPr>
        <w:t xml:space="preserve">numBytes As Integer</w:t>
      </w:r>
      <w:r>
        <w:t xml:space="preserve"> </w:t>
      </w:r>
      <w:r>
        <w:t xml:space="preserve">(optional)</w:t>
      </w:r>
    </w:p>
    <w:p>
      <w:pPr>
        <w:pStyle w:val="Compact"/>
        <w:numPr>
          <w:ilvl w:val="0"/>
          <w:numId w:val="2420"/>
        </w:numPr>
      </w:pPr>
      <w:r>
        <w:t xml:space="preserve">Returns: String (byte-string payload)</w:t>
      </w:r>
    </w:p>
    <w:bookmarkEnd w:id="5878"/>
    <w:bookmarkEnd w:id="5879"/>
    <w:bookmarkStart w:id="5889" w:name="readtext-method"/>
    <w:p>
      <w:pPr>
        <w:pStyle w:val="Heading1"/>
      </w:pPr>
      <w:r>
        <w:t xml:space="preserve">ReadText Method</w:t>
      </w:r>
    </w:p>
    <w:bookmarkStart w:id="5880" w:name="overview-624"/>
    <w:p>
      <w:pPr>
        <w:pStyle w:val="Heading2"/>
      </w:pPr>
      <w:r>
        <w:t xml:space="preserve">Overview</w:t>
      </w:r>
    </w:p>
    <w:p>
      <w:pPr>
        <w:pStyle w:val="FirstParagraph"/>
      </w:pPr>
      <w:r>
        <w:t xml:space="preserve">Reads text from the current stream position using the configured character encoding.</w:t>
      </w:r>
    </w:p>
    <w:bookmarkEnd w:id="5880"/>
    <w:bookmarkStart w:id="5881" w:name="prerequisites-164"/>
    <w:p>
      <w:pPr>
        <w:pStyle w:val="Heading2"/>
      </w:pPr>
      <w:r>
        <w:t xml:space="preserve">Prerequisites</w:t>
      </w:r>
    </w:p>
    <w:p>
      <w:pPr>
        <w:pStyle w:val="Compact"/>
        <w:numPr>
          <w:ilvl w:val="0"/>
          <w:numId w:val="2421"/>
        </w:numPr>
      </w:pPr>
      <w:r>
        <w:t xml:space="preserve">Create the object with</w:t>
      </w:r>
      <w:r>
        <w:t xml:space="preserve"> </w:t>
      </w:r>
      <w:r>
        <w:rPr>
          <w:rStyle w:val="VerbatimChar"/>
        </w:rPr>
        <w:t xml:space="preserve">Server.CreateObject("ADODB.Stream")</w:t>
      </w:r>
      <w:r>
        <w:t xml:space="preserve">.</w:t>
      </w:r>
    </w:p>
    <w:p>
      <w:pPr>
        <w:pStyle w:val="Compact"/>
        <w:numPr>
          <w:ilvl w:val="0"/>
          <w:numId w:val="2421"/>
        </w:numPr>
      </w:pPr>
      <w:r>
        <w:t xml:space="preserve">Set</w:t>
      </w:r>
      <w:r>
        <w:t xml:space="preserve"> </w:t>
      </w:r>
      <w:r>
        <w:rPr>
          <w:rStyle w:val="VerbatimChar"/>
        </w:rPr>
        <w:t xml:space="preserve">Type = 2</w:t>
      </w:r>
      <w:r>
        <w:t xml:space="preserve"> </w:t>
      </w:r>
      <w:r>
        <w:t xml:space="preserve">for text mode.</w:t>
      </w:r>
    </w:p>
    <w:p>
      <w:pPr>
        <w:pStyle w:val="Compact"/>
        <w:numPr>
          <w:ilvl w:val="0"/>
          <w:numId w:val="2421"/>
        </w:numPr>
      </w:pPr>
      <w:r>
        <w:t xml:space="preserve">Set</w:t>
      </w:r>
      <w:r>
        <w:t xml:space="preserve"> </w:t>
      </w:r>
      <w:r>
        <w:rPr>
          <w:rStyle w:val="VerbatimChar"/>
        </w:rPr>
        <w:t xml:space="preserve">Charset</w:t>
      </w:r>
      <w:r>
        <w:t xml:space="preserve"> </w:t>
      </w:r>
      <w:r>
        <w:t xml:space="preserve">if you need a specific encoding.</w:t>
      </w:r>
    </w:p>
    <w:p>
      <w:pPr>
        <w:pStyle w:val="Compact"/>
        <w:numPr>
          <w:ilvl w:val="0"/>
          <w:numId w:val="2421"/>
        </w:numPr>
      </w:pPr>
      <w:r>
        <w:t xml:space="preserve">Open the stream before reading.</w:t>
      </w:r>
    </w:p>
    <w:bookmarkEnd w:id="5881"/>
    <w:bookmarkStart w:id="5882" w:name="syntax-691"/>
    <w:p>
      <w:pPr>
        <w:pStyle w:val="Heading2"/>
      </w:pPr>
      <w:r>
        <w:t xml:space="preserve">Syntax</w:t>
      </w:r>
    </w:p>
    <w:p>
      <w:pPr>
        <w:pStyle w:val="SourceCode"/>
      </w:pPr>
      <w:r>
        <w:rPr>
          <w:rStyle w:val="NormalTok"/>
        </w:rPr>
        <w:t xml:space="preserve">text = stm.ReadText([numChars])</w:t>
      </w:r>
    </w:p>
    <w:bookmarkEnd w:id="5882"/>
    <w:bookmarkStart w:id="5883" w:name="parameters-31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numChars</w:t>
            </w:r>
          </w:p>
        </w:tc>
        <w:tc>
          <w:tcPr/>
          <w:p>
            <w:pPr>
              <w:pStyle w:val="Compact"/>
            </w:pPr>
            <w:r>
              <w:t xml:space="preserve">Integer</w:t>
            </w:r>
          </w:p>
        </w:tc>
        <w:tc>
          <w:tcPr/>
          <w:p>
            <w:pPr>
              <w:pStyle w:val="Compact"/>
            </w:pPr>
            <w:r>
              <w:t xml:space="preserve">No</w:t>
            </w:r>
          </w:p>
        </w:tc>
        <w:tc>
          <w:tcPr/>
          <w:p>
            <w:pPr>
              <w:pStyle w:val="Compact"/>
            </w:pPr>
            <w:r>
              <w:t xml:space="preserve">Number of characters to read. If omitted, reads all remaining text to end of stream.</w:t>
            </w:r>
          </w:p>
        </w:tc>
      </w:tr>
    </w:tbl>
    <w:bookmarkEnd w:id="5883"/>
    <w:bookmarkStart w:id="5884" w:name="return-value-374"/>
    <w:p>
      <w:pPr>
        <w:pStyle w:val="Heading2"/>
      </w:pPr>
      <w:r>
        <w:t xml:space="preserve">Return Value</w:t>
      </w:r>
    </w:p>
    <w:p>
      <w:pPr>
        <w:pStyle w:val="FirstParagraph"/>
      </w:pPr>
      <w:r>
        <w:t xml:space="preserve">String. Returns decoded text from the current position. Returns an empty string when the stream is closed, at end of stream, or no text remains.</w:t>
      </w:r>
    </w:p>
    <w:bookmarkEnd w:id="5884"/>
    <w:bookmarkStart w:id="5885" w:name="how-it-works-43"/>
    <w:p>
      <w:pPr>
        <w:pStyle w:val="Heading2"/>
      </w:pPr>
      <w:r>
        <w:t xml:space="preserve">How It Works</w:t>
      </w:r>
    </w:p>
    <w:p>
      <w:pPr>
        <w:pStyle w:val="Compact"/>
        <w:numPr>
          <w:ilvl w:val="0"/>
          <w:numId w:val="2422"/>
        </w:numPr>
      </w:pPr>
      <w:r>
        <w:t xml:space="preserve">Decodes bytes according to</w:t>
      </w:r>
      <w:r>
        <w:t xml:space="preserve"> </w:t>
      </w:r>
      <w:r>
        <w:rPr>
          <w:rStyle w:val="VerbatimChar"/>
        </w:rPr>
        <w:t xml:space="preserve">Charset</w:t>
      </w:r>
      <w:r>
        <w:t xml:space="preserve">.</w:t>
      </w:r>
    </w:p>
    <w:p>
      <w:pPr>
        <w:pStyle w:val="Compact"/>
        <w:numPr>
          <w:ilvl w:val="0"/>
          <w:numId w:val="2422"/>
        </w:numPr>
      </w:pPr>
      <w:r>
        <w:t xml:space="preserve">Moves</w:t>
      </w:r>
      <w:r>
        <w:t xml:space="preserve"> </w:t>
      </w:r>
      <w:r>
        <w:rPr>
          <w:rStyle w:val="VerbatimChar"/>
        </w:rPr>
        <w:t xml:space="preserve">Position</w:t>
      </w:r>
      <w:r>
        <w:t xml:space="preserve"> </w:t>
      </w:r>
      <w:r>
        <w:t xml:space="preserve">forward by consumed bytes.</w:t>
      </w:r>
    </w:p>
    <w:bookmarkEnd w:id="5885"/>
    <w:bookmarkStart w:id="5886" w:name="remarks-666"/>
    <w:p>
      <w:pPr>
        <w:pStyle w:val="Heading2"/>
      </w:pPr>
      <w:r>
        <w:t xml:space="preserve">Remarks</w:t>
      </w:r>
    </w:p>
    <w:p>
      <w:pPr>
        <w:pStyle w:val="Compact"/>
        <w:numPr>
          <w:ilvl w:val="0"/>
          <w:numId w:val="2423"/>
        </w:numPr>
      </w:pPr>
      <w:r>
        <w:t xml:space="preserve">Method names are case-insensitive in G3Pix AxonASP.</w:t>
      </w:r>
    </w:p>
    <w:p>
      <w:pPr>
        <w:pStyle w:val="Compact"/>
        <w:numPr>
          <w:ilvl w:val="0"/>
          <w:numId w:val="2423"/>
        </w:numPr>
      </w:pPr>
      <w:r>
        <w:t xml:space="preserve">Use</w:t>
      </w:r>
      <w:r>
        <w:t xml:space="preserve"> </w:t>
      </w:r>
      <w:r>
        <w:rPr>
          <w:rStyle w:val="VerbatimChar"/>
        </w:rPr>
        <w:t xml:space="preserve">Read</w:t>
      </w:r>
      <w:r>
        <w:t xml:space="preserve"> </w:t>
      </w:r>
      <w:r>
        <w:t xml:space="preserve">for binary payloads.</w:t>
      </w:r>
    </w:p>
    <w:bookmarkEnd w:id="5886"/>
    <w:bookmarkStart w:id="5887" w:name="code-example-49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rPr>
          <w:rStyle w:val="OtherTok"/>
        </w:rPr>
        <w:t xml:space="preserve">,</w:t>
      </w:r>
      <w:r>
        <w:rPr>
          <w:rStyle w:val="NormalTok"/>
        </w:rPr>
        <w:t xml:space="preserve"> part</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"G3Pix AxonASP Stream"</w:t>
      </w:r>
      <w:r>
        <w:br/>
      </w:r>
      <w:r>
        <w:rPr>
          <w:rStyle w:val="NormalTok"/>
        </w:rPr>
        <w:t xml:space="preserve">stm.Position = </w:t>
      </w:r>
      <w:r>
        <w:rPr>
          <w:rStyle w:val="DecValTok"/>
        </w:rPr>
        <w:t xml:space="preserve">0</w:t>
      </w:r>
      <w:r>
        <w:br/>
      </w:r>
      <w:r>
        <w:br/>
      </w:r>
      <w:r>
        <w:rPr>
          <w:rStyle w:val="NormalTok"/>
        </w:rPr>
        <w:t xml:space="preserve">part = stm.ReadText</w:t>
      </w:r>
      <w:r>
        <w:rPr>
          <w:rStyle w:val="OtherTok"/>
        </w:rPr>
        <w:t xml:space="preserve">(</w:t>
      </w:r>
      <w:r>
        <w:rPr>
          <w:rStyle w:val="DecValTok"/>
        </w:rPr>
        <w:t xml:space="preserve">5</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part</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887"/>
    <w:bookmarkStart w:id="5888" w:name="api-reference-164"/>
    <w:p>
      <w:pPr>
        <w:pStyle w:val="Heading2"/>
      </w:pPr>
      <w:r>
        <w:t xml:space="preserve">API Reference</w:t>
      </w:r>
    </w:p>
    <w:p>
      <w:pPr>
        <w:pStyle w:val="Compact"/>
        <w:numPr>
          <w:ilvl w:val="0"/>
          <w:numId w:val="2424"/>
        </w:numPr>
      </w:pPr>
      <w:r>
        <w:t xml:space="preserve">Object: ADODB.Stream</w:t>
      </w:r>
    </w:p>
    <w:p>
      <w:pPr>
        <w:pStyle w:val="Compact"/>
        <w:numPr>
          <w:ilvl w:val="0"/>
          <w:numId w:val="2424"/>
        </w:numPr>
      </w:pPr>
      <w:r>
        <w:t xml:space="preserve">Method: ReadText</w:t>
      </w:r>
    </w:p>
    <w:p>
      <w:pPr>
        <w:pStyle w:val="Compact"/>
        <w:numPr>
          <w:ilvl w:val="0"/>
          <w:numId w:val="2424"/>
        </w:numPr>
      </w:pPr>
      <w:r>
        <w:t xml:space="preserve">Arguments:</w:t>
      </w:r>
      <w:r>
        <w:t xml:space="preserve"> </w:t>
      </w:r>
      <w:r>
        <w:rPr>
          <w:rStyle w:val="VerbatimChar"/>
        </w:rPr>
        <w:t xml:space="preserve">numChars As Integer</w:t>
      </w:r>
      <w:r>
        <w:t xml:space="preserve"> </w:t>
      </w:r>
      <w:r>
        <w:t xml:space="preserve">(optional)</w:t>
      </w:r>
    </w:p>
    <w:p>
      <w:pPr>
        <w:pStyle w:val="Compact"/>
        <w:numPr>
          <w:ilvl w:val="0"/>
          <w:numId w:val="2424"/>
        </w:numPr>
      </w:pPr>
      <w:r>
        <w:t xml:space="preserve">Returns: String</w:t>
      </w:r>
    </w:p>
    <w:bookmarkEnd w:id="5888"/>
    <w:bookmarkEnd w:id="5889"/>
    <w:bookmarkStart w:id="5899" w:name="write-method-1"/>
    <w:p>
      <w:pPr>
        <w:pStyle w:val="Heading1"/>
      </w:pPr>
      <w:r>
        <w:t xml:space="preserve">Write Method</w:t>
      </w:r>
    </w:p>
    <w:bookmarkStart w:id="5890" w:name="overview-625"/>
    <w:p>
      <w:pPr>
        <w:pStyle w:val="Heading2"/>
      </w:pPr>
      <w:r>
        <w:t xml:space="preserve">Overview</w:t>
      </w:r>
    </w:p>
    <w:p>
      <w:pPr>
        <w:pStyle w:val="FirstParagraph"/>
      </w:pPr>
      <w:r>
        <w:t xml:space="preserve">Writes binary data at the current stream position.</w:t>
      </w:r>
    </w:p>
    <w:bookmarkEnd w:id="5890"/>
    <w:bookmarkStart w:id="5891" w:name="prerequisites-165"/>
    <w:p>
      <w:pPr>
        <w:pStyle w:val="Heading2"/>
      </w:pPr>
      <w:r>
        <w:t xml:space="preserve">Prerequisites</w:t>
      </w:r>
    </w:p>
    <w:p>
      <w:pPr>
        <w:pStyle w:val="Compact"/>
        <w:numPr>
          <w:ilvl w:val="0"/>
          <w:numId w:val="2425"/>
        </w:numPr>
      </w:pPr>
      <w:r>
        <w:t xml:space="preserve">Create the object with</w:t>
      </w:r>
      <w:r>
        <w:t xml:space="preserve"> </w:t>
      </w:r>
      <w:r>
        <w:rPr>
          <w:rStyle w:val="VerbatimChar"/>
        </w:rPr>
        <w:t xml:space="preserve">Server.CreateObject("ADODB.Stream")</w:t>
      </w:r>
      <w:r>
        <w:t xml:space="preserve">.</w:t>
      </w:r>
    </w:p>
    <w:p>
      <w:pPr>
        <w:pStyle w:val="Compact"/>
        <w:numPr>
          <w:ilvl w:val="0"/>
          <w:numId w:val="2425"/>
        </w:numPr>
      </w:pPr>
      <w:r>
        <w:t xml:space="preserve">Set</w:t>
      </w:r>
      <w:r>
        <w:t xml:space="preserve"> </w:t>
      </w:r>
      <w:r>
        <w:rPr>
          <w:rStyle w:val="VerbatimChar"/>
        </w:rPr>
        <w:t xml:space="preserve">Type = 1</w:t>
      </w:r>
      <w:r>
        <w:t xml:space="preserve"> </w:t>
      </w:r>
      <w:r>
        <w:t xml:space="preserve">for binary mode.</w:t>
      </w:r>
    </w:p>
    <w:p>
      <w:pPr>
        <w:pStyle w:val="Compact"/>
        <w:numPr>
          <w:ilvl w:val="0"/>
          <w:numId w:val="2425"/>
        </w:numPr>
      </w:pPr>
      <w:r>
        <w:t xml:space="preserve">Open the stream before writing.</w:t>
      </w:r>
    </w:p>
    <w:bookmarkEnd w:id="5891"/>
    <w:bookmarkStart w:id="5892" w:name="syntax-692"/>
    <w:p>
      <w:pPr>
        <w:pStyle w:val="Heading2"/>
      </w:pPr>
      <w:r>
        <w:t xml:space="preserve">Syntax</w:t>
      </w:r>
    </w:p>
    <w:p>
      <w:pPr>
        <w:pStyle w:val="SourceCode"/>
      </w:pPr>
      <w:r>
        <w:rPr>
          <w:rStyle w:val="NormalTok"/>
        </w:rPr>
        <w:t xml:space="preserve">stm.Write data</w:t>
      </w:r>
    </w:p>
    <w:bookmarkEnd w:id="5892"/>
    <w:bookmarkStart w:id="5893" w:name="parameters-318"/>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data</w:t>
            </w:r>
          </w:p>
        </w:tc>
        <w:tc>
          <w:tcPr/>
          <w:p>
            <w:pPr>
              <w:pStyle w:val="Compact"/>
            </w:pPr>
            <w:r>
              <w:t xml:space="preserve">String</w:t>
            </w:r>
          </w:p>
        </w:tc>
        <w:tc>
          <w:tcPr/>
          <w:p>
            <w:pPr>
              <w:pStyle w:val="Compact"/>
            </w:pPr>
            <w:r>
              <w:t xml:space="preserve">Yes</w:t>
            </w:r>
          </w:p>
        </w:tc>
        <w:tc>
          <w:tcPr/>
          <w:p>
            <w:pPr>
              <w:pStyle w:val="Compact"/>
            </w:pPr>
            <w:r>
              <w:t xml:space="preserve">Byte-string payload to write into the stream buffer.</w:t>
            </w:r>
          </w:p>
        </w:tc>
      </w:tr>
    </w:tbl>
    <w:bookmarkEnd w:id="5893"/>
    <w:bookmarkStart w:id="5894" w:name="return-value-375"/>
    <w:p>
      <w:pPr>
        <w:pStyle w:val="Heading2"/>
      </w:pPr>
      <w:r>
        <w:t xml:space="preserve">Return Value</w:t>
      </w:r>
    </w:p>
    <w:p>
      <w:pPr>
        <w:pStyle w:val="FirstParagraph"/>
      </w:pPr>
      <w:r>
        <w:t xml:space="preserve">Empty. The method does not return a value.</w:t>
      </w:r>
    </w:p>
    <w:bookmarkEnd w:id="5894"/>
    <w:bookmarkStart w:id="5895" w:name="how-it-works-44"/>
    <w:p>
      <w:pPr>
        <w:pStyle w:val="Heading2"/>
      </w:pPr>
      <w:r>
        <w:t xml:space="preserve">How It Works</w:t>
      </w:r>
    </w:p>
    <w:p>
      <w:pPr>
        <w:pStyle w:val="Compact"/>
        <w:numPr>
          <w:ilvl w:val="0"/>
          <w:numId w:val="2426"/>
        </w:numPr>
      </w:pPr>
      <w:r>
        <w:t xml:space="preserve">Writes bytes starting at current</w:t>
      </w:r>
      <w:r>
        <w:t xml:space="preserve"> </w:t>
      </w:r>
      <w:r>
        <w:rPr>
          <w:rStyle w:val="VerbatimChar"/>
        </w:rPr>
        <w:t xml:space="preserve">Position</w:t>
      </w:r>
      <w:r>
        <w:t xml:space="preserve">.</w:t>
      </w:r>
    </w:p>
    <w:p>
      <w:pPr>
        <w:pStyle w:val="Compact"/>
        <w:numPr>
          <w:ilvl w:val="0"/>
          <w:numId w:val="2426"/>
        </w:numPr>
      </w:pPr>
      <w:r>
        <w:t xml:space="preserve">Advances</w:t>
      </w:r>
      <w:r>
        <w:t xml:space="preserve"> </w:t>
      </w:r>
      <w:r>
        <w:rPr>
          <w:rStyle w:val="VerbatimChar"/>
        </w:rPr>
        <w:t xml:space="preserve">Position</w:t>
      </w:r>
      <w:r>
        <w:t xml:space="preserve"> </w:t>
      </w:r>
      <w:r>
        <w:t xml:space="preserve">by number of bytes written.</w:t>
      </w:r>
    </w:p>
    <w:p>
      <w:pPr>
        <w:pStyle w:val="Compact"/>
        <w:numPr>
          <w:ilvl w:val="0"/>
          <w:numId w:val="2426"/>
        </w:numPr>
      </w:pPr>
      <w:r>
        <w:t xml:space="preserve">Expands</w:t>
      </w:r>
      <w:r>
        <w:t xml:space="preserve"> </w:t>
      </w:r>
      <w:r>
        <w:rPr>
          <w:rStyle w:val="VerbatimChar"/>
        </w:rPr>
        <w:t xml:space="preserve">Size</w:t>
      </w:r>
      <w:r>
        <w:t xml:space="preserve"> </w:t>
      </w:r>
      <w:r>
        <w:t xml:space="preserve">when writing beyond current end.</w:t>
      </w:r>
    </w:p>
    <w:bookmarkEnd w:id="5895"/>
    <w:bookmarkStart w:id="5896" w:name="remarks-667"/>
    <w:p>
      <w:pPr>
        <w:pStyle w:val="Heading2"/>
      </w:pPr>
      <w:r>
        <w:t xml:space="preserve">Remarks</w:t>
      </w:r>
    </w:p>
    <w:p>
      <w:pPr>
        <w:pStyle w:val="Compact"/>
        <w:numPr>
          <w:ilvl w:val="0"/>
          <w:numId w:val="2427"/>
        </w:numPr>
      </w:pPr>
      <w:r>
        <w:t xml:space="preserve">Method names are case-insensitive in G3Pix AxonASP.</w:t>
      </w:r>
    </w:p>
    <w:p>
      <w:pPr>
        <w:pStyle w:val="Compact"/>
        <w:numPr>
          <w:ilvl w:val="0"/>
          <w:numId w:val="2427"/>
        </w:numPr>
      </w:pPr>
      <w:r>
        <w:t xml:space="preserve">Use</w:t>
      </w:r>
      <w:r>
        <w:t xml:space="preserve"> </w:t>
      </w:r>
      <w:r>
        <w:rPr>
          <w:rStyle w:val="VerbatimChar"/>
        </w:rPr>
        <w:t xml:space="preserve">WriteText</w:t>
      </w:r>
      <w:r>
        <w:t xml:space="preserve"> </w:t>
      </w:r>
      <w:r>
        <w:t xml:space="preserve">for text-mode operations.</w:t>
      </w:r>
    </w:p>
    <w:bookmarkEnd w:id="5896"/>
    <w:bookmarkStart w:id="5897" w:name="code-example-49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1</w:t>
      </w:r>
      <w:r>
        <w:br/>
      </w:r>
      <w:r>
        <w:rPr>
          <w:rStyle w:val="NormalTok"/>
        </w:rPr>
        <w:t xml:space="preserve">stm.</w:t>
      </w:r>
      <w:r>
        <w:rPr>
          <w:rStyle w:val="KeywordTok"/>
        </w:rPr>
        <w:t xml:space="preserve">Open</w:t>
      </w:r>
      <w:r>
        <w:br/>
      </w:r>
      <w:r>
        <w:rPr>
          <w:rStyle w:val="NormalTok"/>
        </w:rPr>
        <w:t xml:space="preserve">stm.</w:t>
      </w:r>
      <w:r>
        <w:rPr>
          <w:rStyle w:val="FunctionTok"/>
        </w:rPr>
        <w:t xml:space="preserve">Write</w:t>
      </w:r>
      <w:r>
        <w:rPr>
          <w:rStyle w:val="NormalTok"/>
        </w:rPr>
        <w:t xml:space="preserve"> ChrB</w:t>
      </w:r>
      <w:r>
        <w:rPr>
          <w:rStyle w:val="OtherTok"/>
        </w:rPr>
        <w:t xml:space="preserve">(</w:t>
      </w:r>
      <w:r>
        <w:rPr>
          <w:rStyle w:val="KeywordTok"/>
        </w:rPr>
        <w:t xml:space="preserve">&amp;</w:t>
      </w:r>
      <w:r>
        <w:rPr>
          <w:rStyle w:val="NormalTok"/>
        </w:rPr>
        <w:t xml:space="preserve">HDE</w:t>
      </w:r>
      <w:r>
        <w:rPr>
          <w:rStyle w:val="OtherTok"/>
        </w:rPr>
        <w:t xml:space="preserve">)</w:t>
      </w:r>
      <w:r>
        <w:rPr>
          <w:rStyle w:val="NormalTok"/>
        </w:rPr>
        <w:t xml:space="preserve"> </w:t>
      </w:r>
      <w:r>
        <w:rPr>
          <w:rStyle w:val="KeywordTok"/>
        </w:rPr>
        <w:t xml:space="preserve">&amp;</w:t>
      </w:r>
      <w:r>
        <w:rPr>
          <w:rStyle w:val="NormalTok"/>
        </w:rPr>
        <w:t xml:space="preserve"> ChrB</w:t>
      </w:r>
      <w:r>
        <w:rPr>
          <w:rStyle w:val="OtherTok"/>
        </w:rPr>
        <w:t xml:space="preserve">(</w:t>
      </w:r>
      <w:r>
        <w:rPr>
          <w:rStyle w:val="KeywordTok"/>
        </w:rPr>
        <w:t xml:space="preserve">&amp;</w:t>
      </w:r>
      <w:r>
        <w:rPr>
          <w:rStyle w:val="NormalTok"/>
        </w:rPr>
        <w:t xml:space="preserve">HAD</w:t>
      </w:r>
      <w:r>
        <w:rPr>
          <w:rStyle w:val="OtherTok"/>
        </w:rPr>
        <w:t xml:space="preserve">)</w:t>
      </w:r>
      <w:r>
        <w:rPr>
          <w:rStyle w:val="NormalTok"/>
        </w:rPr>
        <w:t xml:space="preserve"> </w:t>
      </w:r>
      <w:r>
        <w:rPr>
          <w:rStyle w:val="KeywordTok"/>
        </w:rPr>
        <w:t xml:space="preserve">&amp;</w:t>
      </w:r>
      <w:r>
        <w:rPr>
          <w:rStyle w:val="NormalTok"/>
        </w:rPr>
        <w:t xml:space="preserve"> ChrB</w:t>
      </w:r>
      <w:r>
        <w:rPr>
          <w:rStyle w:val="OtherTok"/>
        </w:rPr>
        <w:t xml:space="preserve">(</w:t>
      </w:r>
      <w:r>
        <w:rPr>
          <w:rStyle w:val="KeywordTok"/>
        </w:rPr>
        <w:t xml:space="preserve">&amp;</w:t>
      </w:r>
      <w:r>
        <w:rPr>
          <w:rStyle w:val="NormalTok"/>
        </w:rPr>
        <w:t xml:space="preserve">HBE</w:t>
      </w:r>
      <w:r>
        <w:rPr>
          <w:rStyle w:val="OtherTok"/>
        </w:rPr>
        <w:t xml:space="preserve">)</w:t>
      </w:r>
      <w:r>
        <w:rPr>
          <w:rStyle w:val="NormalTok"/>
        </w:rPr>
        <w:t xml:space="preserve"> </w:t>
      </w:r>
      <w:r>
        <w:rPr>
          <w:rStyle w:val="KeywordTok"/>
        </w:rPr>
        <w:t xml:space="preserve">&amp;</w:t>
      </w:r>
      <w:r>
        <w:rPr>
          <w:rStyle w:val="NormalTok"/>
        </w:rPr>
        <w:t xml:space="preserve"> ChrB</w:t>
      </w:r>
      <w:r>
        <w:rPr>
          <w:rStyle w:val="OtherTok"/>
        </w:rPr>
        <w:t xml:space="preserve">(</w:t>
      </w:r>
      <w:r>
        <w:rPr>
          <w:rStyle w:val="KeywordTok"/>
        </w:rPr>
        <w:t xml:space="preserve">&amp;</w:t>
      </w:r>
      <w:r>
        <w:rPr>
          <w:rStyle w:val="NormalTok"/>
        </w:rPr>
        <w:t xml:space="preserve">HEF</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"Size after write: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stm.Size</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897"/>
    <w:bookmarkStart w:id="5898" w:name="api-reference-165"/>
    <w:p>
      <w:pPr>
        <w:pStyle w:val="Heading2"/>
      </w:pPr>
      <w:r>
        <w:t xml:space="preserve">API Reference</w:t>
      </w:r>
    </w:p>
    <w:p>
      <w:pPr>
        <w:pStyle w:val="Compact"/>
        <w:numPr>
          <w:ilvl w:val="0"/>
          <w:numId w:val="2428"/>
        </w:numPr>
      </w:pPr>
      <w:r>
        <w:t xml:space="preserve">Object: ADODB.Stream</w:t>
      </w:r>
    </w:p>
    <w:p>
      <w:pPr>
        <w:pStyle w:val="Compact"/>
        <w:numPr>
          <w:ilvl w:val="0"/>
          <w:numId w:val="2428"/>
        </w:numPr>
      </w:pPr>
      <w:r>
        <w:t xml:space="preserve">Method: Write</w:t>
      </w:r>
    </w:p>
    <w:p>
      <w:pPr>
        <w:pStyle w:val="Compact"/>
        <w:numPr>
          <w:ilvl w:val="0"/>
          <w:numId w:val="2428"/>
        </w:numPr>
      </w:pPr>
      <w:r>
        <w:t xml:space="preserve">Arguments:</w:t>
      </w:r>
      <w:r>
        <w:t xml:space="preserve"> </w:t>
      </w:r>
      <w:r>
        <w:rPr>
          <w:rStyle w:val="VerbatimChar"/>
        </w:rPr>
        <w:t xml:space="preserve">data As String</w:t>
      </w:r>
    </w:p>
    <w:p>
      <w:pPr>
        <w:pStyle w:val="Compact"/>
        <w:numPr>
          <w:ilvl w:val="0"/>
          <w:numId w:val="2428"/>
        </w:numPr>
      </w:pPr>
      <w:r>
        <w:t xml:space="preserve">Returns: Empty</w:t>
      </w:r>
    </w:p>
    <w:bookmarkEnd w:id="5898"/>
    <w:bookmarkEnd w:id="5899"/>
    <w:bookmarkStart w:id="5909" w:name="writetext-method"/>
    <w:p>
      <w:pPr>
        <w:pStyle w:val="Heading1"/>
      </w:pPr>
      <w:r>
        <w:t xml:space="preserve">WriteText Method</w:t>
      </w:r>
    </w:p>
    <w:bookmarkStart w:id="5900" w:name="overview-626"/>
    <w:p>
      <w:pPr>
        <w:pStyle w:val="Heading2"/>
      </w:pPr>
      <w:r>
        <w:t xml:space="preserve">Overview</w:t>
      </w:r>
    </w:p>
    <w:p>
      <w:pPr>
        <w:pStyle w:val="FirstParagraph"/>
      </w:pPr>
      <w:r>
        <w:t xml:space="preserve">Writes text data to the stream buffer using the current</w:t>
      </w:r>
      <w:r>
        <w:t xml:space="preserve"> </w:t>
      </w:r>
      <w:r>
        <w:rPr>
          <w:rStyle w:val="VerbatimChar"/>
        </w:rPr>
        <w:t xml:space="preserve">Charset</w:t>
      </w:r>
      <w:r>
        <w:t xml:space="preserve">.</w:t>
      </w:r>
    </w:p>
    <w:bookmarkEnd w:id="5900"/>
    <w:bookmarkStart w:id="5901" w:name="prerequisites-166"/>
    <w:p>
      <w:pPr>
        <w:pStyle w:val="Heading2"/>
      </w:pPr>
      <w:r>
        <w:t xml:space="preserve">Prerequisites</w:t>
      </w:r>
    </w:p>
    <w:p>
      <w:pPr>
        <w:pStyle w:val="Compact"/>
        <w:numPr>
          <w:ilvl w:val="0"/>
          <w:numId w:val="2429"/>
        </w:numPr>
      </w:pPr>
      <w:r>
        <w:t xml:space="preserve">Create the object with</w:t>
      </w:r>
      <w:r>
        <w:t xml:space="preserve"> </w:t>
      </w:r>
      <w:r>
        <w:rPr>
          <w:rStyle w:val="VerbatimChar"/>
        </w:rPr>
        <w:t xml:space="preserve">Server.CreateObject("ADODB.Stream")</w:t>
      </w:r>
      <w:r>
        <w:t xml:space="preserve">.</w:t>
      </w:r>
    </w:p>
    <w:p>
      <w:pPr>
        <w:pStyle w:val="Compact"/>
        <w:numPr>
          <w:ilvl w:val="0"/>
          <w:numId w:val="2429"/>
        </w:numPr>
      </w:pPr>
      <w:r>
        <w:t xml:space="preserve">Set</w:t>
      </w:r>
      <w:r>
        <w:t xml:space="preserve"> </w:t>
      </w:r>
      <w:r>
        <w:rPr>
          <w:rStyle w:val="VerbatimChar"/>
        </w:rPr>
        <w:t xml:space="preserve">Type = 2</w:t>
      </w:r>
      <w:r>
        <w:t xml:space="preserve"> </w:t>
      </w:r>
      <w:r>
        <w:t xml:space="preserve">for text mode.</w:t>
      </w:r>
    </w:p>
    <w:p>
      <w:pPr>
        <w:pStyle w:val="Compact"/>
        <w:numPr>
          <w:ilvl w:val="0"/>
          <w:numId w:val="2429"/>
        </w:numPr>
      </w:pPr>
      <w:r>
        <w:t xml:space="preserve">Open the stream before writing.</w:t>
      </w:r>
    </w:p>
    <w:bookmarkEnd w:id="5901"/>
    <w:bookmarkStart w:id="5902" w:name="syntax-693"/>
    <w:p>
      <w:pPr>
        <w:pStyle w:val="Heading2"/>
      </w:pPr>
      <w:r>
        <w:t xml:space="preserve">Syntax</w:t>
      </w:r>
    </w:p>
    <w:p>
      <w:pPr>
        <w:pStyle w:val="SourceCode"/>
      </w:pPr>
      <w:r>
        <w:rPr>
          <w:rStyle w:val="NormalTok"/>
        </w:rPr>
        <w:t xml:space="preserve">stm.WriteText text [, writeLine]</w:t>
      </w:r>
    </w:p>
    <w:bookmarkEnd w:id="5902"/>
    <w:bookmarkStart w:id="5903" w:name="parameters-31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text</w:t>
            </w:r>
          </w:p>
        </w:tc>
        <w:tc>
          <w:tcPr/>
          <w:p>
            <w:pPr>
              <w:pStyle w:val="Compact"/>
            </w:pPr>
            <w:r>
              <w:t xml:space="preserve">String</w:t>
            </w:r>
          </w:p>
        </w:tc>
        <w:tc>
          <w:tcPr/>
          <w:p>
            <w:pPr>
              <w:pStyle w:val="Compact"/>
            </w:pPr>
            <w:r>
              <w:t xml:space="preserve">Yes</w:t>
            </w:r>
          </w:p>
        </w:tc>
        <w:tc>
          <w:tcPr/>
          <w:p>
            <w:pPr>
              <w:pStyle w:val="Compact"/>
            </w:pPr>
            <w:r>
              <w:t xml:space="preserve">Text to write at current stream position.</w:t>
            </w:r>
          </w:p>
        </w:tc>
      </w:tr>
      <w:tr>
        <w:tc>
          <w:tcPr/>
          <w:p>
            <w:pPr>
              <w:pStyle w:val="Compact"/>
            </w:pPr>
            <w:r>
              <w:rPr>
                <w:rStyle w:val="VerbatimChar"/>
              </w:rPr>
              <w:t xml:space="preserve">writeLine</w:t>
            </w:r>
          </w:p>
        </w:tc>
        <w:tc>
          <w:tcPr/>
          <w:p>
            <w:pPr>
              <w:pStyle w:val="Compact"/>
            </w:pPr>
            <w:r>
              <w:t xml:space="preserve">Integer</w:t>
            </w:r>
          </w:p>
        </w:tc>
        <w:tc>
          <w:tcPr/>
          <w:p>
            <w:pPr>
              <w:pStyle w:val="Compact"/>
            </w:pPr>
            <w:r>
              <w:t xml:space="preserve">No</w:t>
            </w:r>
          </w:p>
        </w:tc>
        <w:tc>
          <w:tcPr/>
          <w:p>
            <w:pPr>
              <w:pStyle w:val="Compact"/>
            </w:pPr>
            <w:r>
              <w:t xml:space="preserve">When</w:t>
            </w:r>
            <w:r>
              <w:t xml:space="preserve"> </w:t>
            </w:r>
            <w:r>
              <w:rPr>
                <w:rStyle w:val="VerbatimChar"/>
              </w:rPr>
              <w:t xml:space="preserve">1</w:t>
            </w:r>
            <w:r>
              <w:t xml:space="preserve">, appends the configured line separator after</w:t>
            </w:r>
            <w:r>
              <w:t xml:space="preserve"> </w:t>
            </w:r>
            <w:r>
              <w:rPr>
                <w:rStyle w:val="VerbatimChar"/>
              </w:rPr>
              <w:t xml:space="preserve">text</w:t>
            </w:r>
            <w:r>
              <w:t xml:space="preserve">. Any other value writes only</w:t>
            </w:r>
            <w:r>
              <w:t xml:space="preserve"> </w:t>
            </w:r>
            <w:r>
              <w:rPr>
                <w:rStyle w:val="VerbatimChar"/>
              </w:rPr>
              <w:t xml:space="preserve">text</w:t>
            </w:r>
            <w:r>
              <w:t xml:space="preserve">.</w:t>
            </w:r>
          </w:p>
        </w:tc>
      </w:tr>
    </w:tbl>
    <w:bookmarkEnd w:id="5903"/>
    <w:bookmarkStart w:id="5904" w:name="return-value-376"/>
    <w:p>
      <w:pPr>
        <w:pStyle w:val="Heading2"/>
      </w:pPr>
      <w:r>
        <w:t xml:space="preserve">Return Value</w:t>
      </w:r>
    </w:p>
    <w:p>
      <w:pPr>
        <w:pStyle w:val="FirstParagraph"/>
      </w:pPr>
      <w:r>
        <w:t xml:space="preserve">Empty. The method does not return a value.</w:t>
      </w:r>
    </w:p>
    <w:bookmarkEnd w:id="5904"/>
    <w:bookmarkStart w:id="5905" w:name="how-it-works-45"/>
    <w:p>
      <w:pPr>
        <w:pStyle w:val="Heading2"/>
      </w:pPr>
      <w:r>
        <w:t xml:space="preserve">How It Works</w:t>
      </w:r>
    </w:p>
    <w:p>
      <w:pPr>
        <w:pStyle w:val="Compact"/>
        <w:numPr>
          <w:ilvl w:val="0"/>
          <w:numId w:val="2430"/>
        </w:numPr>
      </w:pPr>
      <w:r>
        <w:t xml:space="preserve">Encodes the input with</w:t>
      </w:r>
      <w:r>
        <w:t xml:space="preserve"> </w:t>
      </w:r>
      <w:r>
        <w:rPr>
          <w:rStyle w:val="VerbatimChar"/>
        </w:rPr>
        <w:t xml:space="preserve">Charset</w:t>
      </w:r>
      <w:r>
        <w:t xml:space="preserve">.</w:t>
      </w:r>
    </w:p>
    <w:p>
      <w:pPr>
        <w:pStyle w:val="Compact"/>
        <w:numPr>
          <w:ilvl w:val="0"/>
          <w:numId w:val="2430"/>
        </w:numPr>
      </w:pPr>
      <w:r>
        <w:t xml:space="preserve">Writes bytes at current</w:t>
      </w:r>
      <w:r>
        <w:t xml:space="preserve"> </w:t>
      </w:r>
      <w:r>
        <w:rPr>
          <w:rStyle w:val="VerbatimChar"/>
        </w:rPr>
        <w:t xml:space="preserve">Position</w:t>
      </w:r>
      <w:r>
        <w:t xml:space="preserve">.</w:t>
      </w:r>
    </w:p>
    <w:p>
      <w:pPr>
        <w:pStyle w:val="Compact"/>
        <w:numPr>
          <w:ilvl w:val="0"/>
          <w:numId w:val="2430"/>
        </w:numPr>
      </w:pPr>
      <w:r>
        <w:t xml:space="preserve">Advances</w:t>
      </w:r>
      <w:r>
        <w:t xml:space="preserve"> </w:t>
      </w:r>
      <w:r>
        <w:rPr>
          <w:rStyle w:val="VerbatimChar"/>
        </w:rPr>
        <w:t xml:space="preserve">Position</w:t>
      </w:r>
      <w:r>
        <w:t xml:space="preserve"> </w:t>
      </w:r>
      <w:r>
        <w:t xml:space="preserve">by bytes written.</w:t>
      </w:r>
    </w:p>
    <w:bookmarkEnd w:id="5905"/>
    <w:bookmarkStart w:id="5906" w:name="remarks-668"/>
    <w:p>
      <w:pPr>
        <w:pStyle w:val="Heading2"/>
      </w:pPr>
      <w:r>
        <w:t xml:space="preserve">Remarks</w:t>
      </w:r>
    </w:p>
    <w:p>
      <w:pPr>
        <w:pStyle w:val="Compact"/>
        <w:numPr>
          <w:ilvl w:val="0"/>
          <w:numId w:val="2431"/>
        </w:numPr>
      </w:pPr>
      <w:r>
        <w:t xml:space="preserve">Method names are case-insensitive in G3Pix AxonASP.</w:t>
      </w:r>
    </w:p>
    <w:p>
      <w:pPr>
        <w:pStyle w:val="Compact"/>
        <w:numPr>
          <w:ilvl w:val="0"/>
          <w:numId w:val="2431"/>
        </w:numPr>
      </w:pPr>
      <w:r>
        <w:t xml:space="preserve">Use</w:t>
      </w:r>
      <w:r>
        <w:t xml:space="preserve"> </w:t>
      </w:r>
      <w:r>
        <w:rPr>
          <w:rStyle w:val="VerbatimChar"/>
        </w:rPr>
        <w:t xml:space="preserve">Write</w:t>
      </w:r>
      <w:r>
        <w:t xml:space="preserve"> </w:t>
      </w:r>
      <w:r>
        <w:t xml:space="preserve">for binary payloads.</w:t>
      </w:r>
    </w:p>
    <w:bookmarkEnd w:id="5906"/>
    <w:bookmarkStart w:id="5907" w:name="code-example-49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stm.LineSeparator = </w:t>
      </w:r>
      <w:r>
        <w:rPr>
          <w:rStyle w:val="DecValTok"/>
        </w:rPr>
        <w:t xml:space="preserve">10</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"Header"</w:t>
      </w:r>
      <w:r>
        <w:rPr>
          <w:rStyle w:val="OtherTok"/>
        </w:rPr>
        <w:t xml:space="preserve">,</w:t>
      </w:r>
      <w:r>
        <w:rPr>
          <w:rStyle w:val="NormalTok"/>
        </w:rPr>
        <w:t xml:space="preserve"> </w:t>
      </w:r>
      <w:r>
        <w:rPr>
          <w:rStyle w:val="DecValTok"/>
        </w:rPr>
        <w:t xml:space="preserve">1</w:t>
      </w:r>
      <w:r>
        <w:br/>
      </w:r>
      <w:r>
        <w:rPr>
          <w:rStyle w:val="NormalTok"/>
        </w:rPr>
        <w:t xml:space="preserve">stm.WriteText </w:t>
      </w:r>
      <w:r>
        <w:rPr>
          <w:rStyle w:val="StringTok"/>
        </w:rPr>
        <w:t xml:space="preserve">"Body"</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"Size: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stm.Size</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07"/>
    <w:bookmarkStart w:id="5908" w:name="api-reference-166"/>
    <w:p>
      <w:pPr>
        <w:pStyle w:val="Heading2"/>
      </w:pPr>
      <w:r>
        <w:t xml:space="preserve">API Reference</w:t>
      </w:r>
    </w:p>
    <w:p>
      <w:pPr>
        <w:pStyle w:val="Compact"/>
        <w:numPr>
          <w:ilvl w:val="0"/>
          <w:numId w:val="2432"/>
        </w:numPr>
      </w:pPr>
      <w:r>
        <w:t xml:space="preserve">Object: ADODB.Stream</w:t>
      </w:r>
    </w:p>
    <w:p>
      <w:pPr>
        <w:pStyle w:val="Compact"/>
        <w:numPr>
          <w:ilvl w:val="0"/>
          <w:numId w:val="2432"/>
        </w:numPr>
      </w:pPr>
      <w:r>
        <w:t xml:space="preserve">Method: WriteText</w:t>
      </w:r>
    </w:p>
    <w:p>
      <w:pPr>
        <w:pStyle w:val="Compact"/>
        <w:numPr>
          <w:ilvl w:val="0"/>
          <w:numId w:val="2432"/>
        </w:numPr>
      </w:pPr>
      <w:r>
        <w:t xml:space="preserve">Arguments:</w:t>
      </w:r>
      <w:r>
        <w:t xml:space="preserve"> </w:t>
      </w:r>
      <w:r>
        <w:rPr>
          <w:rStyle w:val="VerbatimChar"/>
        </w:rPr>
        <w:t xml:space="preserve">text As String</w:t>
      </w:r>
      <w:r>
        <w:t xml:space="preserve">,</w:t>
      </w:r>
      <w:r>
        <w:t xml:space="preserve"> </w:t>
      </w:r>
      <w:r>
        <w:rPr>
          <w:rStyle w:val="VerbatimChar"/>
        </w:rPr>
        <w:t xml:space="preserve">writeLine As Integer</w:t>
      </w:r>
      <w:r>
        <w:t xml:space="preserve"> </w:t>
      </w:r>
      <w:r>
        <w:t xml:space="preserve">(optional)</w:t>
      </w:r>
    </w:p>
    <w:p>
      <w:pPr>
        <w:pStyle w:val="Compact"/>
        <w:numPr>
          <w:ilvl w:val="0"/>
          <w:numId w:val="2432"/>
        </w:numPr>
      </w:pPr>
      <w:r>
        <w:t xml:space="preserve">Returns: Empty</w:t>
      </w:r>
    </w:p>
    <w:bookmarkEnd w:id="5908"/>
    <w:bookmarkEnd w:id="5909"/>
    <w:bookmarkStart w:id="5919" w:name="loadfromfile-method"/>
    <w:p>
      <w:pPr>
        <w:pStyle w:val="Heading1"/>
      </w:pPr>
      <w:r>
        <w:t xml:space="preserve">LoadFromFile Method</w:t>
      </w:r>
    </w:p>
    <w:bookmarkStart w:id="5910" w:name="overview-627"/>
    <w:p>
      <w:pPr>
        <w:pStyle w:val="Heading2"/>
      </w:pPr>
      <w:r>
        <w:t xml:space="preserve">Overview</w:t>
      </w:r>
    </w:p>
    <w:p>
      <w:pPr>
        <w:pStyle w:val="FirstParagraph"/>
      </w:pPr>
      <w:r>
        <w:t xml:space="preserve">Loads file content into the stream buffer.</w:t>
      </w:r>
    </w:p>
    <w:bookmarkEnd w:id="5910"/>
    <w:bookmarkStart w:id="5911" w:name="prerequisites-167"/>
    <w:p>
      <w:pPr>
        <w:pStyle w:val="Heading2"/>
      </w:pPr>
      <w:r>
        <w:t xml:space="preserve">Prerequisites</w:t>
      </w:r>
    </w:p>
    <w:p>
      <w:pPr>
        <w:pStyle w:val="Compact"/>
        <w:numPr>
          <w:ilvl w:val="0"/>
          <w:numId w:val="2433"/>
        </w:numPr>
      </w:pPr>
      <w:r>
        <w:t xml:space="preserve">Create the object with</w:t>
      </w:r>
      <w:r>
        <w:t xml:space="preserve"> </w:t>
      </w:r>
      <w:r>
        <w:rPr>
          <w:rStyle w:val="VerbatimChar"/>
        </w:rPr>
        <w:t xml:space="preserve">Server.CreateObject("ADODB.Stream")</w:t>
      </w:r>
      <w:r>
        <w:t xml:space="preserve">.</w:t>
      </w:r>
    </w:p>
    <w:p>
      <w:pPr>
        <w:pStyle w:val="Compact"/>
        <w:numPr>
          <w:ilvl w:val="0"/>
          <w:numId w:val="2433"/>
        </w:numPr>
      </w:pPr>
      <w:r>
        <w:t xml:space="preserve">Open the stream before loading.</w:t>
      </w:r>
    </w:p>
    <w:bookmarkEnd w:id="5911"/>
    <w:bookmarkStart w:id="5912" w:name="syntax-694"/>
    <w:p>
      <w:pPr>
        <w:pStyle w:val="Heading2"/>
      </w:pPr>
      <w:r>
        <w:t xml:space="preserve">Syntax</w:t>
      </w:r>
    </w:p>
    <w:p>
      <w:pPr>
        <w:pStyle w:val="SourceCode"/>
      </w:pPr>
      <w:r>
        <w:rPr>
          <w:rStyle w:val="NormalTok"/>
        </w:rPr>
        <w:t xml:space="preserve">stm.LoadFromFile path</w:t>
      </w:r>
    </w:p>
    <w:bookmarkEnd w:id="5912"/>
    <w:bookmarkStart w:id="5913" w:name="parameters-32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path</w:t>
            </w:r>
          </w:p>
        </w:tc>
        <w:tc>
          <w:tcPr/>
          <w:p>
            <w:pPr>
              <w:pStyle w:val="Compact"/>
            </w:pPr>
            <w:r>
              <w:t xml:space="preserve">String</w:t>
            </w:r>
          </w:p>
        </w:tc>
        <w:tc>
          <w:tcPr/>
          <w:p>
            <w:pPr>
              <w:pStyle w:val="Compact"/>
            </w:pPr>
            <w:r>
              <w:t xml:space="preserve">Yes</w:t>
            </w:r>
          </w:p>
        </w:tc>
        <w:tc>
          <w:tcPr/>
          <w:p>
            <w:pPr>
              <w:pStyle w:val="Compact"/>
            </w:pPr>
            <w:r>
              <w:t xml:space="preserve">Absolute or mapped file path to read.</w:t>
            </w:r>
          </w:p>
        </w:tc>
      </w:tr>
    </w:tbl>
    <w:bookmarkEnd w:id="5913"/>
    <w:bookmarkStart w:id="5914" w:name="return-value-377"/>
    <w:p>
      <w:pPr>
        <w:pStyle w:val="Heading2"/>
      </w:pPr>
      <w:r>
        <w:t xml:space="preserve">Return Value</w:t>
      </w:r>
    </w:p>
    <w:p>
      <w:pPr>
        <w:pStyle w:val="FirstParagraph"/>
      </w:pPr>
      <w:r>
        <w:t xml:space="preserve">Empty. The method does not return a value.</w:t>
      </w:r>
    </w:p>
    <w:bookmarkEnd w:id="5914"/>
    <w:bookmarkStart w:id="5915" w:name="how-it-works-46"/>
    <w:p>
      <w:pPr>
        <w:pStyle w:val="Heading2"/>
      </w:pPr>
      <w:r>
        <w:t xml:space="preserve">How It Works</w:t>
      </w:r>
    </w:p>
    <w:p>
      <w:pPr>
        <w:pStyle w:val="Compact"/>
        <w:numPr>
          <w:ilvl w:val="0"/>
          <w:numId w:val="2434"/>
        </w:numPr>
      </w:pPr>
      <w:r>
        <w:t xml:space="preserve">Replaces current in-memory stream data with file bytes.</w:t>
      </w:r>
    </w:p>
    <w:p>
      <w:pPr>
        <w:pStyle w:val="Compact"/>
        <w:numPr>
          <w:ilvl w:val="0"/>
          <w:numId w:val="2434"/>
        </w:numPr>
      </w:pPr>
      <w:r>
        <w:t xml:space="preserve">Sets</w:t>
      </w:r>
      <w:r>
        <w:t xml:space="preserve"> </w:t>
      </w:r>
      <w:r>
        <w:rPr>
          <w:rStyle w:val="VerbatimChar"/>
        </w:rPr>
        <w:t xml:space="preserve">Position</w:t>
      </w:r>
      <w:r>
        <w:t xml:space="preserve"> </w:t>
      </w:r>
      <w:r>
        <w:t xml:space="preserve">to</w:t>
      </w:r>
      <w:r>
        <w:t xml:space="preserve"> </w:t>
      </w:r>
      <w:r>
        <w:rPr>
          <w:rStyle w:val="VerbatimChar"/>
        </w:rPr>
        <w:t xml:space="preserve">0</w:t>
      </w:r>
      <w:r>
        <w:t xml:space="preserve"> </w:t>
      </w:r>
      <w:r>
        <w:t xml:space="preserve">after loading.</w:t>
      </w:r>
    </w:p>
    <w:p>
      <w:pPr>
        <w:pStyle w:val="Compact"/>
        <w:numPr>
          <w:ilvl w:val="0"/>
          <w:numId w:val="2434"/>
        </w:numPr>
      </w:pPr>
      <w:r>
        <w:t xml:space="preserve">Updates</w:t>
      </w:r>
      <w:r>
        <w:t xml:space="preserve"> </w:t>
      </w:r>
      <w:r>
        <w:rPr>
          <w:rStyle w:val="VerbatimChar"/>
        </w:rPr>
        <w:t xml:space="preserve">Size</w:t>
      </w:r>
      <w:r>
        <w:t xml:space="preserve"> </w:t>
      </w:r>
      <w:r>
        <w:t xml:space="preserve">to loaded byte length.</w:t>
      </w:r>
    </w:p>
    <w:bookmarkEnd w:id="5915"/>
    <w:bookmarkStart w:id="5916" w:name="remarks-669"/>
    <w:p>
      <w:pPr>
        <w:pStyle w:val="Heading2"/>
      </w:pPr>
      <w:r>
        <w:t xml:space="preserve">Remarks</w:t>
      </w:r>
    </w:p>
    <w:p>
      <w:pPr>
        <w:pStyle w:val="Compact"/>
        <w:numPr>
          <w:ilvl w:val="0"/>
          <w:numId w:val="2435"/>
        </w:numPr>
      </w:pPr>
      <w:r>
        <w:t xml:space="preserve">Method names are case-insensitive in G3Pix AxonASP.</w:t>
      </w:r>
    </w:p>
    <w:p>
      <w:pPr>
        <w:pStyle w:val="Compact"/>
        <w:numPr>
          <w:ilvl w:val="0"/>
          <w:numId w:val="2435"/>
        </w:numPr>
      </w:pPr>
      <w:r>
        <w:t xml:space="preserve">In text mode, later</w:t>
      </w:r>
      <w:r>
        <w:t xml:space="preserve"> </w:t>
      </w:r>
      <w:r>
        <w:rPr>
          <w:rStyle w:val="VerbatimChar"/>
        </w:rPr>
        <w:t xml:space="preserve">ReadText</w:t>
      </w:r>
      <w:r>
        <w:t xml:space="preserve"> </w:t>
      </w:r>
      <w:r>
        <w:t xml:space="preserve">operations decode bytes using current</w:t>
      </w:r>
      <w:r>
        <w:t xml:space="preserve"> </w:t>
      </w:r>
      <w:r>
        <w:rPr>
          <w:rStyle w:val="VerbatimChar"/>
        </w:rPr>
        <w:t xml:space="preserve">Charset</w:t>
      </w:r>
      <w:r>
        <w:t xml:space="preserve">.</w:t>
      </w:r>
    </w:p>
    <w:bookmarkEnd w:id="5916"/>
    <w:bookmarkStart w:id="5917" w:name="code-example-49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rPr>
          <w:rStyle w:val="OtherTok"/>
        </w:rPr>
        <w:t xml:space="preserve">,</w:t>
      </w:r>
      <w:r>
        <w:rPr>
          <w:rStyle w:val="NormalTok"/>
        </w:rPr>
        <w:t xml:space="preserve"> filePath</w:t>
      </w:r>
      <w:r>
        <w:br/>
      </w:r>
      <w:r>
        <w:br/>
      </w:r>
      <w:r>
        <w:rPr>
          <w:rStyle w:val="NormalTok"/>
        </w:rPr>
        <w:t xml:space="preserve">filePath = </w:t>
      </w:r>
      <w:r>
        <w:rPr>
          <w:rStyle w:val="FunctionTok"/>
        </w:rPr>
        <w:t xml:space="preserve">Server</w:t>
      </w:r>
      <w:r>
        <w:rPr>
          <w:rStyle w:val="NormalTok"/>
        </w:rPr>
        <w:t xml:space="preserve">.MapPath</w:t>
      </w:r>
      <w:r>
        <w:rPr>
          <w:rStyle w:val="OtherTok"/>
        </w:rPr>
        <w:t xml:space="preserve">(</w:t>
      </w:r>
      <w:r>
        <w:rPr>
          <w:rStyle w:val="StringTok"/>
        </w:rPr>
        <w:t xml:space="preserve">"./data/sample.txt"</w:t>
      </w:r>
      <w:r>
        <w:rPr>
          <w:rStyle w:val="OtherTok"/>
        </w:rPr>
        <w:t xml:space="preserve">)</w:t>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w:t>
      </w:r>
      <w:r>
        <w:rPr>
          <w:rStyle w:val="KeywordTok"/>
        </w:rPr>
        <w:t xml:space="preserve">Open</w:t>
      </w:r>
      <w:r>
        <w:br/>
      </w:r>
      <w:r>
        <w:rPr>
          <w:rStyle w:val="NormalTok"/>
        </w:rPr>
        <w:t xml:space="preserve">stm.LoadFromFile filePath</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"Loaded bytes: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stm.Size</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17"/>
    <w:bookmarkStart w:id="5918" w:name="api-reference-167"/>
    <w:p>
      <w:pPr>
        <w:pStyle w:val="Heading2"/>
      </w:pPr>
      <w:r>
        <w:t xml:space="preserve">API Reference</w:t>
      </w:r>
    </w:p>
    <w:p>
      <w:pPr>
        <w:pStyle w:val="Compact"/>
        <w:numPr>
          <w:ilvl w:val="0"/>
          <w:numId w:val="2436"/>
        </w:numPr>
      </w:pPr>
      <w:r>
        <w:t xml:space="preserve">Object: ADODB.Stream</w:t>
      </w:r>
    </w:p>
    <w:p>
      <w:pPr>
        <w:pStyle w:val="Compact"/>
        <w:numPr>
          <w:ilvl w:val="0"/>
          <w:numId w:val="2436"/>
        </w:numPr>
      </w:pPr>
      <w:r>
        <w:t xml:space="preserve">Method: LoadFromFile</w:t>
      </w:r>
    </w:p>
    <w:p>
      <w:pPr>
        <w:pStyle w:val="Compact"/>
        <w:numPr>
          <w:ilvl w:val="0"/>
          <w:numId w:val="2436"/>
        </w:numPr>
      </w:pPr>
      <w:r>
        <w:t xml:space="preserve">Arguments:</w:t>
      </w:r>
      <w:r>
        <w:t xml:space="preserve"> </w:t>
      </w:r>
      <w:r>
        <w:rPr>
          <w:rStyle w:val="VerbatimChar"/>
        </w:rPr>
        <w:t xml:space="preserve">path As String</w:t>
      </w:r>
    </w:p>
    <w:p>
      <w:pPr>
        <w:pStyle w:val="Compact"/>
        <w:numPr>
          <w:ilvl w:val="0"/>
          <w:numId w:val="2436"/>
        </w:numPr>
      </w:pPr>
      <w:r>
        <w:t xml:space="preserve">Returns: Empty</w:t>
      </w:r>
    </w:p>
    <w:bookmarkEnd w:id="5918"/>
    <w:bookmarkEnd w:id="5919"/>
    <w:bookmarkStart w:id="5929" w:name="savetofile-method"/>
    <w:p>
      <w:pPr>
        <w:pStyle w:val="Heading1"/>
      </w:pPr>
      <w:r>
        <w:t xml:space="preserve">SaveToFile Method</w:t>
      </w:r>
    </w:p>
    <w:bookmarkStart w:id="5920" w:name="overview-628"/>
    <w:p>
      <w:pPr>
        <w:pStyle w:val="Heading2"/>
      </w:pPr>
      <w:r>
        <w:t xml:space="preserve">Overview</w:t>
      </w:r>
    </w:p>
    <w:p>
      <w:pPr>
        <w:pStyle w:val="FirstParagraph"/>
      </w:pPr>
      <w:r>
        <w:t xml:space="preserve">Persists the current stream buffer to disk.</w:t>
      </w:r>
    </w:p>
    <w:bookmarkEnd w:id="5920"/>
    <w:bookmarkStart w:id="5921" w:name="prerequisites-168"/>
    <w:p>
      <w:pPr>
        <w:pStyle w:val="Heading2"/>
      </w:pPr>
      <w:r>
        <w:t xml:space="preserve">Prerequisites</w:t>
      </w:r>
    </w:p>
    <w:p>
      <w:pPr>
        <w:pStyle w:val="Compact"/>
        <w:numPr>
          <w:ilvl w:val="0"/>
          <w:numId w:val="2437"/>
        </w:numPr>
      </w:pPr>
      <w:r>
        <w:t xml:space="preserve">Create the object with</w:t>
      </w:r>
      <w:r>
        <w:t xml:space="preserve"> </w:t>
      </w:r>
      <w:r>
        <w:rPr>
          <w:rStyle w:val="VerbatimChar"/>
        </w:rPr>
        <w:t xml:space="preserve">Server.CreateObject("ADODB.Stream")</w:t>
      </w:r>
      <w:r>
        <w:t xml:space="preserve">.</w:t>
      </w:r>
    </w:p>
    <w:p>
      <w:pPr>
        <w:pStyle w:val="Compact"/>
        <w:numPr>
          <w:ilvl w:val="0"/>
          <w:numId w:val="2437"/>
        </w:numPr>
      </w:pPr>
      <w:r>
        <w:t xml:space="preserve">Open and populate the stream before saving.</w:t>
      </w:r>
    </w:p>
    <w:bookmarkEnd w:id="5921"/>
    <w:bookmarkStart w:id="5922" w:name="syntax-695"/>
    <w:p>
      <w:pPr>
        <w:pStyle w:val="Heading2"/>
      </w:pPr>
      <w:r>
        <w:t xml:space="preserve">Syntax</w:t>
      </w:r>
    </w:p>
    <w:p>
      <w:pPr>
        <w:pStyle w:val="SourceCode"/>
      </w:pPr>
      <w:r>
        <w:rPr>
          <w:rStyle w:val="NormalTok"/>
        </w:rPr>
        <w:t xml:space="preserve">stm.SaveToFile path [, options]</w:t>
      </w:r>
    </w:p>
    <w:bookmarkEnd w:id="5922"/>
    <w:bookmarkStart w:id="5923" w:name="parameters-32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path</w:t>
            </w:r>
          </w:p>
        </w:tc>
        <w:tc>
          <w:tcPr/>
          <w:p>
            <w:pPr>
              <w:pStyle w:val="Compact"/>
            </w:pPr>
            <w:r>
              <w:t xml:space="preserve">String</w:t>
            </w:r>
          </w:p>
        </w:tc>
        <w:tc>
          <w:tcPr/>
          <w:p>
            <w:pPr>
              <w:pStyle w:val="Compact"/>
            </w:pPr>
            <w:r>
              <w:t xml:space="preserve">Yes</w:t>
            </w:r>
          </w:p>
        </w:tc>
        <w:tc>
          <w:tcPr/>
          <w:p>
            <w:pPr>
              <w:pStyle w:val="Compact"/>
            </w:pPr>
            <w:r>
              <w:t xml:space="preserve">Destination file path.</w:t>
            </w:r>
          </w:p>
        </w:tc>
      </w:tr>
      <w:tr>
        <w:tc>
          <w:tcPr/>
          <w:p>
            <w:pPr>
              <w:pStyle w:val="Compact"/>
            </w:pPr>
            <w:r>
              <w:rPr>
                <w:rStyle w:val="VerbatimChar"/>
              </w:rPr>
              <w:t xml:space="preserve">options</w:t>
            </w:r>
          </w:p>
        </w:tc>
        <w:tc>
          <w:tcPr/>
          <w:p>
            <w:pPr>
              <w:pStyle w:val="Compact"/>
            </w:pPr>
            <w:r>
              <w:t xml:space="preserve">Integer</w:t>
            </w:r>
          </w:p>
        </w:tc>
        <w:tc>
          <w:tcPr/>
          <w:p>
            <w:pPr>
              <w:pStyle w:val="Compact"/>
            </w:pPr>
            <w:r>
              <w:t xml:space="preserve">No</w:t>
            </w:r>
          </w:p>
        </w:tc>
        <w:tc>
          <w:tcPr/>
          <w:p>
            <w:pPr>
              <w:pStyle w:val="Compact"/>
            </w:pPr>
            <w:r>
              <w:t xml:space="preserve">Save option flag.</w:t>
            </w:r>
            <w:r>
              <w:t xml:space="preserve"> </w:t>
            </w:r>
            <w:r>
              <w:rPr>
                <w:rStyle w:val="VerbatimChar"/>
              </w:rPr>
              <w:t xml:space="preserve">1</w:t>
            </w:r>
            <w:r>
              <w:t xml:space="preserve"> </w:t>
            </w:r>
            <w:r>
              <w:t xml:space="preserve">creates a new file and fails if it exists.</w:t>
            </w:r>
            <w:r>
              <w:t xml:space="preserve"> </w:t>
            </w:r>
            <w:r>
              <w:rPr>
                <w:rStyle w:val="VerbatimChar"/>
              </w:rPr>
              <w:t xml:space="preserve">2</w:t>
            </w:r>
            <w:r>
              <w:t xml:space="preserve"> </w:t>
            </w:r>
            <w:r>
              <w:t xml:space="preserve">overwrites existing file content. Default is</w:t>
            </w:r>
            <w:r>
              <w:t xml:space="preserve"> </w:t>
            </w:r>
            <w:r>
              <w:rPr>
                <w:rStyle w:val="VerbatimChar"/>
              </w:rPr>
              <w:t xml:space="preserve">2</w:t>
            </w:r>
            <w:r>
              <w:t xml:space="preserve">.</w:t>
            </w:r>
          </w:p>
        </w:tc>
      </w:tr>
    </w:tbl>
    <w:bookmarkEnd w:id="5923"/>
    <w:bookmarkStart w:id="5924" w:name="return-value-378"/>
    <w:p>
      <w:pPr>
        <w:pStyle w:val="Heading2"/>
      </w:pPr>
      <w:r>
        <w:t xml:space="preserve">Return Value</w:t>
      </w:r>
    </w:p>
    <w:p>
      <w:pPr>
        <w:pStyle w:val="FirstParagraph"/>
      </w:pPr>
      <w:r>
        <w:t xml:space="preserve">Empty. The method does not return a value.</w:t>
      </w:r>
    </w:p>
    <w:bookmarkEnd w:id="5924"/>
    <w:bookmarkStart w:id="5925" w:name="how-it-works-47"/>
    <w:p>
      <w:pPr>
        <w:pStyle w:val="Heading2"/>
      </w:pPr>
      <w:r>
        <w:t xml:space="preserve">How It Works</w:t>
      </w:r>
    </w:p>
    <w:p>
      <w:pPr>
        <w:pStyle w:val="Compact"/>
        <w:numPr>
          <w:ilvl w:val="0"/>
          <w:numId w:val="2438"/>
        </w:numPr>
      </w:pPr>
      <w:r>
        <w:t xml:space="preserve">Writes the entire stream buffer to the target file.</w:t>
      </w:r>
    </w:p>
    <w:p>
      <w:pPr>
        <w:pStyle w:val="Compact"/>
        <w:numPr>
          <w:ilvl w:val="0"/>
          <w:numId w:val="2438"/>
        </w:numPr>
      </w:pPr>
      <w:r>
        <w:t xml:space="preserve">Does not close the stream after saving.</w:t>
      </w:r>
    </w:p>
    <w:bookmarkEnd w:id="5925"/>
    <w:bookmarkStart w:id="5926" w:name="remarks-670"/>
    <w:p>
      <w:pPr>
        <w:pStyle w:val="Heading2"/>
      </w:pPr>
      <w:r>
        <w:t xml:space="preserve">Remarks</w:t>
      </w:r>
    </w:p>
    <w:p>
      <w:pPr>
        <w:pStyle w:val="Compact"/>
        <w:numPr>
          <w:ilvl w:val="0"/>
          <w:numId w:val="2439"/>
        </w:numPr>
      </w:pPr>
      <w:r>
        <w:t xml:space="preserve">Method names are case-insensitive in G3Pix AxonASP.</w:t>
      </w:r>
    </w:p>
    <w:p>
      <w:pPr>
        <w:pStyle w:val="Compact"/>
        <w:numPr>
          <w:ilvl w:val="0"/>
          <w:numId w:val="2439"/>
        </w:numPr>
      </w:pPr>
      <w:r>
        <w:t xml:space="preserve">Use binary mode for raw bytes and text mode for encoded text payloads.</w:t>
      </w:r>
    </w:p>
    <w:bookmarkEnd w:id="5926"/>
    <w:bookmarkStart w:id="5927" w:name="code-example-49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rPr>
          <w:rStyle w:val="OtherTok"/>
        </w:rPr>
        <w:t xml:space="preserve">,</w:t>
      </w:r>
      <w:r>
        <w:rPr>
          <w:rStyle w:val="NormalTok"/>
        </w:rPr>
        <w:t xml:space="preserve"> outPath</w:t>
      </w:r>
      <w:r>
        <w:br/>
      </w:r>
      <w:r>
        <w:br/>
      </w:r>
      <w:r>
        <w:rPr>
          <w:rStyle w:val="NormalTok"/>
        </w:rPr>
        <w:t xml:space="preserve">outPath = </w:t>
      </w:r>
      <w:r>
        <w:rPr>
          <w:rStyle w:val="FunctionTok"/>
        </w:rPr>
        <w:t xml:space="preserve">Server</w:t>
      </w:r>
      <w:r>
        <w:rPr>
          <w:rStyle w:val="NormalTok"/>
        </w:rPr>
        <w:t xml:space="preserve">.MapPath</w:t>
      </w:r>
      <w:r>
        <w:rPr>
          <w:rStyle w:val="OtherTok"/>
        </w:rPr>
        <w:t xml:space="preserve">(</w:t>
      </w:r>
      <w:r>
        <w:rPr>
          <w:rStyle w:val="StringTok"/>
        </w:rPr>
        <w:t xml:space="preserve">"./output/report.txt"</w:t>
      </w:r>
      <w:r>
        <w:rPr>
          <w:rStyle w:val="OtherTok"/>
        </w:rPr>
        <w:t xml:space="preserve">)</w:t>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"Export generated"</w:t>
      </w:r>
      <w:r>
        <w:br/>
      </w:r>
      <w:r>
        <w:rPr>
          <w:rStyle w:val="NormalTok"/>
        </w:rPr>
        <w:t xml:space="preserve">stm.SaveToFile outPath</w:t>
      </w:r>
      <w:r>
        <w:rPr>
          <w:rStyle w:val="OtherTok"/>
        </w:rPr>
        <w:t xml:space="preserve">,</w:t>
      </w:r>
      <w:r>
        <w:rPr>
          <w:rStyle w:val="NormalTok"/>
        </w:rPr>
        <w:t xml:space="preserve"> </w:t>
      </w:r>
      <w:r>
        <w:rPr>
          <w:rStyle w:val="DecValTok"/>
        </w:rPr>
        <w:t xml:space="preserve">2</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"Saved to disk"</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27"/>
    <w:bookmarkStart w:id="5928" w:name="api-reference-168"/>
    <w:p>
      <w:pPr>
        <w:pStyle w:val="Heading2"/>
      </w:pPr>
      <w:r>
        <w:t xml:space="preserve">API Reference</w:t>
      </w:r>
    </w:p>
    <w:p>
      <w:pPr>
        <w:pStyle w:val="Compact"/>
        <w:numPr>
          <w:ilvl w:val="0"/>
          <w:numId w:val="2440"/>
        </w:numPr>
      </w:pPr>
      <w:r>
        <w:t xml:space="preserve">Object: ADODB.Stream</w:t>
      </w:r>
    </w:p>
    <w:p>
      <w:pPr>
        <w:pStyle w:val="Compact"/>
        <w:numPr>
          <w:ilvl w:val="0"/>
          <w:numId w:val="2440"/>
        </w:numPr>
      </w:pPr>
      <w:r>
        <w:t xml:space="preserve">Method: SaveToFile</w:t>
      </w:r>
    </w:p>
    <w:p>
      <w:pPr>
        <w:pStyle w:val="Compact"/>
        <w:numPr>
          <w:ilvl w:val="0"/>
          <w:numId w:val="2440"/>
        </w:numPr>
      </w:pPr>
      <w:r>
        <w:t xml:space="preserve">Arguments:</w:t>
      </w:r>
      <w:r>
        <w:t xml:space="preserve"> </w:t>
      </w:r>
      <w:r>
        <w:rPr>
          <w:rStyle w:val="VerbatimChar"/>
        </w:rPr>
        <w:t xml:space="preserve">path As String</w:t>
      </w:r>
      <w:r>
        <w:t xml:space="preserve">,</w:t>
      </w:r>
      <w:r>
        <w:t xml:space="preserve"> </w:t>
      </w:r>
      <w:r>
        <w:rPr>
          <w:rStyle w:val="VerbatimChar"/>
        </w:rPr>
        <w:t xml:space="preserve">options As Integer</w:t>
      </w:r>
      <w:r>
        <w:t xml:space="preserve"> </w:t>
      </w:r>
      <w:r>
        <w:t xml:space="preserve">(optional)</w:t>
      </w:r>
    </w:p>
    <w:p>
      <w:pPr>
        <w:pStyle w:val="Compact"/>
        <w:numPr>
          <w:ilvl w:val="0"/>
          <w:numId w:val="2440"/>
        </w:numPr>
      </w:pPr>
      <w:r>
        <w:t xml:space="preserve">Returns: Empty</w:t>
      </w:r>
    </w:p>
    <w:bookmarkEnd w:id="5928"/>
    <w:bookmarkEnd w:id="5929"/>
    <w:bookmarkStart w:id="5939" w:name="copyto-method"/>
    <w:p>
      <w:pPr>
        <w:pStyle w:val="Heading1"/>
      </w:pPr>
      <w:r>
        <w:t xml:space="preserve">CopyTo Method</w:t>
      </w:r>
    </w:p>
    <w:bookmarkStart w:id="5930" w:name="overview-629"/>
    <w:p>
      <w:pPr>
        <w:pStyle w:val="Heading2"/>
      </w:pPr>
      <w:r>
        <w:t xml:space="preserve">Overview</w:t>
      </w:r>
    </w:p>
    <w:p>
      <w:pPr>
        <w:pStyle w:val="FirstParagraph"/>
      </w:pPr>
      <w:r>
        <w:t xml:space="preserve">Copies stream data from the current source position to another open ADODB.Stream object.</w:t>
      </w:r>
    </w:p>
    <w:bookmarkEnd w:id="5930"/>
    <w:bookmarkStart w:id="5931" w:name="prerequisites-169"/>
    <w:p>
      <w:pPr>
        <w:pStyle w:val="Heading2"/>
      </w:pPr>
      <w:r>
        <w:t xml:space="preserve">Prerequisites</w:t>
      </w:r>
    </w:p>
    <w:p>
      <w:pPr>
        <w:pStyle w:val="Compact"/>
        <w:numPr>
          <w:ilvl w:val="0"/>
          <w:numId w:val="2441"/>
        </w:numPr>
      </w:pPr>
      <w:r>
        <w:t xml:space="preserve">Create both objects with</w:t>
      </w:r>
      <w:r>
        <w:t xml:space="preserve"> </w:t>
      </w:r>
      <w:r>
        <w:rPr>
          <w:rStyle w:val="VerbatimChar"/>
        </w:rPr>
        <w:t xml:space="preserve">Server.CreateObject("ADODB.Stream")</w:t>
      </w:r>
      <w:r>
        <w:t xml:space="preserve">.</w:t>
      </w:r>
    </w:p>
    <w:p>
      <w:pPr>
        <w:pStyle w:val="Compact"/>
        <w:numPr>
          <w:ilvl w:val="0"/>
          <w:numId w:val="2441"/>
        </w:numPr>
      </w:pPr>
      <w:r>
        <w:t xml:space="preserve">Open source and destination streams.</w:t>
      </w:r>
    </w:p>
    <w:p>
      <w:pPr>
        <w:pStyle w:val="Compact"/>
        <w:numPr>
          <w:ilvl w:val="0"/>
          <w:numId w:val="2441"/>
        </w:numPr>
      </w:pPr>
      <w:r>
        <w:t xml:space="preserve">Ensure both streams use compatible</w:t>
      </w:r>
      <w:r>
        <w:t xml:space="preserve"> </w:t>
      </w:r>
      <w:r>
        <w:rPr>
          <w:rStyle w:val="VerbatimChar"/>
        </w:rPr>
        <w:t xml:space="preserve">Type</w:t>
      </w:r>
      <w:r>
        <w:t xml:space="preserve"> </w:t>
      </w:r>
      <w:r>
        <w:t xml:space="preserve">and encoding settings.</w:t>
      </w:r>
    </w:p>
    <w:bookmarkEnd w:id="5931"/>
    <w:bookmarkStart w:id="5932" w:name="syntax-696"/>
    <w:p>
      <w:pPr>
        <w:pStyle w:val="Heading2"/>
      </w:pPr>
      <w:r>
        <w:t xml:space="preserve">Syntax</w:t>
      </w:r>
    </w:p>
    <w:p>
      <w:pPr>
        <w:pStyle w:val="SourceCode"/>
      </w:pPr>
      <w:r>
        <w:rPr>
          <w:rStyle w:val="NormalTok"/>
        </w:rPr>
        <w:t xml:space="preserve">stm.CopyTo destination [, count]</w:t>
      </w:r>
    </w:p>
    <w:bookmarkEnd w:id="5932"/>
    <w:bookmarkStart w:id="5933" w:name="parameters-32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destination</w:t>
            </w:r>
          </w:p>
        </w:tc>
        <w:tc>
          <w:tcPr/>
          <w:p>
            <w:pPr>
              <w:pStyle w:val="Compact"/>
            </w:pPr>
            <w:r>
              <w:t xml:space="preserve">Object</w:t>
            </w:r>
          </w:p>
        </w:tc>
        <w:tc>
          <w:tcPr/>
          <w:p>
            <w:pPr>
              <w:pStyle w:val="Compact"/>
            </w:pPr>
            <w:r>
              <w:t xml:space="preserve">Yes</w:t>
            </w:r>
          </w:p>
        </w:tc>
        <w:tc>
          <w:tcPr/>
          <w:p>
            <w:pPr>
              <w:pStyle w:val="Compact"/>
            </w:pPr>
            <w:r>
              <w:t xml:space="preserve">Destination ADODB.Stream object that receives copied bytes.</w:t>
            </w:r>
          </w:p>
        </w:tc>
      </w:tr>
      <w:tr>
        <w:tc>
          <w:tcPr/>
          <w:p>
            <w:pPr>
              <w:pStyle w:val="Compact"/>
            </w:pPr>
            <w:r>
              <w:rPr>
                <w:rStyle w:val="VerbatimChar"/>
              </w:rPr>
              <w:t xml:space="preserve">count</w:t>
            </w:r>
          </w:p>
        </w:tc>
        <w:tc>
          <w:tcPr/>
          <w:p>
            <w:pPr>
              <w:pStyle w:val="Compact"/>
            </w:pPr>
            <w:r>
              <w:t xml:space="preserve">Integer</w:t>
            </w:r>
          </w:p>
        </w:tc>
        <w:tc>
          <w:tcPr/>
          <w:p>
            <w:pPr>
              <w:pStyle w:val="Compact"/>
            </w:pPr>
            <w:r>
              <w:t xml:space="preserve">No</w:t>
            </w:r>
          </w:p>
        </w:tc>
        <w:tc>
          <w:tcPr/>
          <w:p>
            <w:pPr>
              <w:pStyle w:val="Compact"/>
            </w:pPr>
            <w:r>
              <w:t xml:space="preserve">Number of bytes to copy. If omitted, copies all remaining bytes from source position.</w:t>
            </w:r>
          </w:p>
        </w:tc>
      </w:tr>
    </w:tbl>
    <w:bookmarkEnd w:id="5933"/>
    <w:bookmarkStart w:id="5934" w:name="return-value-379"/>
    <w:p>
      <w:pPr>
        <w:pStyle w:val="Heading2"/>
      </w:pPr>
      <w:r>
        <w:t xml:space="preserve">Return Value</w:t>
      </w:r>
    </w:p>
    <w:p>
      <w:pPr>
        <w:pStyle w:val="FirstParagraph"/>
      </w:pPr>
      <w:r>
        <w:t xml:space="preserve">Empty. The method does not return a value.</w:t>
      </w:r>
    </w:p>
    <w:bookmarkEnd w:id="5934"/>
    <w:bookmarkStart w:id="5935" w:name="how-it-works-48"/>
    <w:p>
      <w:pPr>
        <w:pStyle w:val="Heading2"/>
      </w:pPr>
      <w:r>
        <w:t xml:space="preserve">How It Works</w:t>
      </w:r>
    </w:p>
    <w:p>
      <w:pPr>
        <w:pStyle w:val="Compact"/>
        <w:numPr>
          <w:ilvl w:val="0"/>
          <w:numId w:val="2442"/>
        </w:numPr>
      </w:pPr>
      <w:r>
        <w:t xml:space="preserve">Reads bytes from source</w:t>
      </w:r>
      <w:r>
        <w:t xml:space="preserve"> </w:t>
      </w:r>
      <w:r>
        <w:rPr>
          <w:rStyle w:val="VerbatimChar"/>
        </w:rPr>
        <w:t xml:space="preserve">Position</w:t>
      </w:r>
      <w:r>
        <w:t xml:space="preserve">.</w:t>
      </w:r>
    </w:p>
    <w:p>
      <w:pPr>
        <w:pStyle w:val="Compact"/>
        <w:numPr>
          <w:ilvl w:val="0"/>
          <w:numId w:val="2442"/>
        </w:numPr>
      </w:pPr>
      <w:r>
        <w:t xml:space="preserve">Appends copied bytes at destination current</w:t>
      </w:r>
      <w:r>
        <w:t xml:space="preserve"> </w:t>
      </w:r>
      <w:r>
        <w:rPr>
          <w:rStyle w:val="VerbatimChar"/>
        </w:rPr>
        <w:t xml:space="preserve">Position</w:t>
      </w:r>
      <w:r>
        <w:t xml:space="preserve">.</w:t>
      </w:r>
    </w:p>
    <w:p>
      <w:pPr>
        <w:pStyle w:val="Compact"/>
        <w:numPr>
          <w:ilvl w:val="0"/>
          <w:numId w:val="2442"/>
        </w:numPr>
      </w:pPr>
      <w:r>
        <w:t xml:space="preserve">Advances source</w:t>
      </w:r>
      <w:r>
        <w:t xml:space="preserve"> </w:t>
      </w:r>
      <w:r>
        <w:rPr>
          <w:rStyle w:val="VerbatimChar"/>
        </w:rPr>
        <w:t xml:space="preserve">Position</w:t>
      </w:r>
      <w:r>
        <w:t xml:space="preserve"> </w:t>
      </w:r>
      <w:r>
        <w:t xml:space="preserve">by copied byte count.</w:t>
      </w:r>
    </w:p>
    <w:bookmarkEnd w:id="5935"/>
    <w:bookmarkStart w:id="5936" w:name="remarks-671"/>
    <w:p>
      <w:pPr>
        <w:pStyle w:val="Heading2"/>
      </w:pPr>
      <w:r>
        <w:t xml:space="preserve">Remarks</w:t>
      </w:r>
    </w:p>
    <w:p>
      <w:pPr>
        <w:pStyle w:val="Compact"/>
        <w:numPr>
          <w:ilvl w:val="0"/>
          <w:numId w:val="2443"/>
        </w:numPr>
      </w:pPr>
      <w:r>
        <w:t xml:space="preserve">Method names are case-insensitive in G3Pix AxonASP.</w:t>
      </w:r>
    </w:p>
    <w:p>
      <w:pPr>
        <w:pStyle w:val="Compact"/>
        <w:numPr>
          <w:ilvl w:val="0"/>
          <w:numId w:val="2443"/>
        </w:numPr>
      </w:pPr>
      <w:r>
        <w:t xml:space="preserve">The destination stream remains open and reusable after copy.</w:t>
      </w:r>
    </w:p>
    <w:bookmarkEnd w:id="5936"/>
    <w:bookmarkStart w:id="5937" w:name="code-example-49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sourceStm</w:t>
      </w:r>
      <w:r>
        <w:rPr>
          <w:rStyle w:val="OtherTok"/>
        </w:rPr>
        <w:t xml:space="preserve">,</w:t>
      </w:r>
      <w:r>
        <w:rPr>
          <w:rStyle w:val="NormalTok"/>
        </w:rPr>
        <w:t xml:space="preserve"> targetStm</w:t>
      </w:r>
      <w:r>
        <w:br/>
      </w:r>
      <w:r>
        <w:br/>
      </w:r>
      <w:r>
        <w:rPr>
          <w:rStyle w:val="KeywordTok"/>
        </w:rPr>
        <w:t xml:space="preserve">Set</w:t>
      </w:r>
      <w:r>
        <w:rPr>
          <w:rStyle w:val="NormalTok"/>
        </w:rPr>
        <w:t xml:space="preserve"> sourceStm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KeywordTok"/>
        </w:rPr>
        <w:t xml:space="preserve">Set</w:t>
      </w:r>
      <w:r>
        <w:rPr>
          <w:rStyle w:val="NormalTok"/>
        </w:rPr>
        <w:t xml:space="preserve"> targetStm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br/>
      </w:r>
      <w:r>
        <w:rPr>
          <w:rStyle w:val="NormalTok"/>
        </w:rPr>
        <w:t xml:space="preserve">sourceStm.Type = </w:t>
      </w:r>
      <w:r>
        <w:rPr>
          <w:rStyle w:val="DecValTok"/>
        </w:rPr>
        <w:t xml:space="preserve">2</w:t>
      </w:r>
      <w:r>
        <w:br/>
      </w:r>
      <w:r>
        <w:rPr>
          <w:rStyle w:val="NormalTok"/>
        </w:rPr>
        <w:t xml:space="preserve">sourceStm.Charset = </w:t>
      </w:r>
      <w:r>
        <w:rPr>
          <w:rStyle w:val="StringTok"/>
        </w:rPr>
        <w:t xml:space="preserve">"utf-8"</w:t>
      </w:r>
      <w:r>
        <w:br/>
      </w:r>
      <w:r>
        <w:rPr>
          <w:rStyle w:val="NormalTok"/>
        </w:rPr>
        <w:t xml:space="preserve">sourceStm.</w:t>
      </w:r>
      <w:r>
        <w:rPr>
          <w:rStyle w:val="KeywordTok"/>
        </w:rPr>
        <w:t xml:space="preserve">Open</w:t>
      </w:r>
      <w:r>
        <w:br/>
      </w:r>
      <w:r>
        <w:rPr>
          <w:rStyle w:val="NormalTok"/>
        </w:rPr>
        <w:t xml:space="preserve">sourceStm.WriteText </w:t>
      </w:r>
      <w:r>
        <w:rPr>
          <w:rStyle w:val="StringTok"/>
        </w:rPr>
        <w:t xml:space="preserve">"source payload"</w:t>
      </w:r>
      <w:r>
        <w:br/>
      </w:r>
      <w:r>
        <w:rPr>
          <w:rStyle w:val="NormalTok"/>
        </w:rPr>
        <w:t xml:space="preserve">sourceStm.Position = </w:t>
      </w:r>
      <w:r>
        <w:rPr>
          <w:rStyle w:val="DecValTok"/>
        </w:rPr>
        <w:t xml:space="preserve">0</w:t>
      </w:r>
      <w:r>
        <w:br/>
      </w:r>
      <w:r>
        <w:br/>
      </w:r>
      <w:r>
        <w:rPr>
          <w:rStyle w:val="NormalTok"/>
        </w:rPr>
        <w:t xml:space="preserve">targetStm.Type = </w:t>
      </w:r>
      <w:r>
        <w:rPr>
          <w:rStyle w:val="DecValTok"/>
        </w:rPr>
        <w:t xml:space="preserve">2</w:t>
      </w:r>
      <w:r>
        <w:br/>
      </w:r>
      <w:r>
        <w:rPr>
          <w:rStyle w:val="NormalTok"/>
        </w:rPr>
        <w:t xml:space="preserve">targetStm.Charset = </w:t>
      </w:r>
      <w:r>
        <w:rPr>
          <w:rStyle w:val="StringTok"/>
        </w:rPr>
        <w:t xml:space="preserve">"utf-8"</w:t>
      </w:r>
      <w:r>
        <w:br/>
      </w:r>
      <w:r>
        <w:rPr>
          <w:rStyle w:val="NormalTok"/>
        </w:rPr>
        <w:t xml:space="preserve">targetStm.</w:t>
      </w:r>
      <w:r>
        <w:rPr>
          <w:rStyle w:val="KeywordTok"/>
        </w:rPr>
        <w:t xml:space="preserve">Open</w:t>
      </w:r>
      <w:r>
        <w:br/>
      </w:r>
      <w:r>
        <w:rPr>
          <w:rStyle w:val="NormalTok"/>
        </w:rPr>
        <w:t xml:space="preserve">sourceStm.CopyTo targetStm</w:t>
      </w:r>
      <w:r>
        <w:br/>
      </w:r>
      <w:r>
        <w:rPr>
          <w:rStyle w:val="NormalTok"/>
        </w:rPr>
        <w:t xml:space="preserve">targetStm.Position = </w:t>
      </w:r>
      <w:r>
        <w:rPr>
          <w:rStyle w:val="DecValTok"/>
        </w:rPr>
        <w:t xml:space="preserve">0</w:t>
      </w:r>
      <w:r>
        <w:br/>
      </w:r>
      <w:r>
        <w:br/>
      </w:r>
      <w:r>
        <w:rPr>
          <w:rStyle w:val="FunctionTok"/>
        </w:rPr>
        <w:t xml:space="preserve">Response</w:t>
      </w:r>
      <w:r>
        <w:rPr>
          <w:rStyle w:val="NormalTok"/>
        </w:rPr>
        <w:t xml:space="preserve">.</w:t>
      </w:r>
      <w:r>
        <w:rPr>
          <w:rStyle w:val="FunctionTok"/>
        </w:rPr>
        <w:t xml:space="preserve">Write</w:t>
      </w:r>
      <w:r>
        <w:rPr>
          <w:rStyle w:val="NormalTok"/>
        </w:rPr>
        <w:t xml:space="preserve"> targetStm.ReadText</w:t>
      </w:r>
      <w:r>
        <w:rPr>
          <w:rStyle w:val="OtherTok"/>
        </w:rPr>
        <w:t xml:space="preserve">()</w:t>
      </w:r>
      <w:r>
        <w:br/>
      </w:r>
      <w:r>
        <w:br/>
      </w:r>
      <w:r>
        <w:rPr>
          <w:rStyle w:val="NormalTok"/>
        </w:rPr>
        <w:t xml:space="preserve">sourceStm.</w:t>
      </w:r>
      <w:r>
        <w:rPr>
          <w:rStyle w:val="KeywordTok"/>
        </w:rPr>
        <w:t xml:space="preserve">Close</w:t>
      </w:r>
      <w:r>
        <w:br/>
      </w:r>
      <w:r>
        <w:rPr>
          <w:rStyle w:val="NormalTok"/>
        </w:rPr>
        <w:t xml:space="preserve">targetStm.</w:t>
      </w:r>
      <w:r>
        <w:rPr>
          <w:rStyle w:val="KeywordTok"/>
        </w:rPr>
        <w:t xml:space="preserve">Close</w:t>
      </w:r>
      <w:r>
        <w:br/>
      </w:r>
      <w:r>
        <w:rPr>
          <w:rStyle w:val="KeywordTok"/>
        </w:rPr>
        <w:t xml:space="preserve">Set</w:t>
      </w:r>
      <w:r>
        <w:rPr>
          <w:rStyle w:val="NormalTok"/>
        </w:rPr>
        <w:t xml:space="preserve"> sourceStm = </w:t>
      </w:r>
      <w:r>
        <w:rPr>
          <w:rStyle w:val="KeywordTok"/>
        </w:rPr>
        <w:t xml:space="preserve">Nothing</w:t>
      </w:r>
      <w:r>
        <w:br/>
      </w:r>
      <w:r>
        <w:rPr>
          <w:rStyle w:val="KeywordTok"/>
        </w:rPr>
        <w:t xml:space="preserve">Set</w:t>
      </w:r>
      <w:r>
        <w:rPr>
          <w:rStyle w:val="NormalTok"/>
        </w:rPr>
        <w:t xml:space="preserve"> targetStm = </w:t>
      </w:r>
      <w:r>
        <w:rPr>
          <w:rStyle w:val="KeywordTok"/>
        </w:rPr>
        <w:t xml:space="preserve">Nothing</w:t>
      </w:r>
      <w:r>
        <w:br/>
      </w:r>
      <w:r>
        <w:rPr>
          <w:rStyle w:val="DataTypeTok"/>
        </w:rPr>
        <w:t xml:space="preserve">%&gt;</w:t>
      </w:r>
    </w:p>
    <w:bookmarkEnd w:id="5937"/>
    <w:bookmarkStart w:id="5938" w:name="api-reference-169"/>
    <w:p>
      <w:pPr>
        <w:pStyle w:val="Heading2"/>
      </w:pPr>
      <w:r>
        <w:t xml:space="preserve">API Reference</w:t>
      </w:r>
    </w:p>
    <w:p>
      <w:pPr>
        <w:pStyle w:val="Compact"/>
        <w:numPr>
          <w:ilvl w:val="0"/>
          <w:numId w:val="2444"/>
        </w:numPr>
      </w:pPr>
      <w:r>
        <w:t xml:space="preserve">Object: ADODB.Stream</w:t>
      </w:r>
    </w:p>
    <w:p>
      <w:pPr>
        <w:pStyle w:val="Compact"/>
        <w:numPr>
          <w:ilvl w:val="0"/>
          <w:numId w:val="2444"/>
        </w:numPr>
      </w:pPr>
      <w:r>
        <w:t xml:space="preserve">Method: CopyTo</w:t>
      </w:r>
    </w:p>
    <w:p>
      <w:pPr>
        <w:pStyle w:val="Compact"/>
        <w:numPr>
          <w:ilvl w:val="0"/>
          <w:numId w:val="2444"/>
        </w:numPr>
      </w:pPr>
      <w:r>
        <w:t xml:space="preserve">Arguments:</w:t>
      </w:r>
      <w:r>
        <w:t xml:space="preserve"> </w:t>
      </w:r>
      <w:r>
        <w:rPr>
          <w:rStyle w:val="VerbatimChar"/>
        </w:rPr>
        <w:t xml:space="preserve">destination As ADODB.Stream</w:t>
      </w:r>
      <w:r>
        <w:t xml:space="preserve">,</w:t>
      </w:r>
      <w:r>
        <w:t xml:space="preserve"> </w:t>
      </w:r>
      <w:r>
        <w:rPr>
          <w:rStyle w:val="VerbatimChar"/>
        </w:rPr>
        <w:t xml:space="preserve">count As Integer</w:t>
      </w:r>
      <w:r>
        <w:t xml:space="preserve"> </w:t>
      </w:r>
      <w:r>
        <w:t xml:space="preserve">(optional)</w:t>
      </w:r>
    </w:p>
    <w:p>
      <w:pPr>
        <w:pStyle w:val="Compact"/>
        <w:numPr>
          <w:ilvl w:val="0"/>
          <w:numId w:val="2444"/>
        </w:numPr>
      </w:pPr>
      <w:r>
        <w:t xml:space="preserve">Returns: Empty</w:t>
      </w:r>
    </w:p>
    <w:bookmarkEnd w:id="5938"/>
    <w:bookmarkEnd w:id="5939"/>
    <w:bookmarkStart w:id="5949" w:name="flush-method-1"/>
    <w:p>
      <w:pPr>
        <w:pStyle w:val="Heading1"/>
      </w:pPr>
      <w:r>
        <w:t xml:space="preserve">Flush Method</w:t>
      </w:r>
    </w:p>
    <w:bookmarkStart w:id="5940" w:name="overview-630"/>
    <w:p>
      <w:pPr>
        <w:pStyle w:val="Heading2"/>
      </w:pPr>
      <w:r>
        <w:t xml:space="preserve">Overview</w:t>
      </w:r>
    </w:p>
    <w:p>
      <w:pPr>
        <w:pStyle w:val="FirstParagraph"/>
      </w:pPr>
      <w:r>
        <w:t xml:space="preserve">Commits pending stream writes in runtimes that buffer I/O.</w:t>
      </w:r>
    </w:p>
    <w:bookmarkEnd w:id="5940"/>
    <w:bookmarkStart w:id="5941" w:name="prerequisites-170"/>
    <w:p>
      <w:pPr>
        <w:pStyle w:val="Heading2"/>
      </w:pPr>
      <w:r>
        <w:t xml:space="preserve">Prerequisites</w:t>
      </w:r>
    </w:p>
    <w:p>
      <w:pPr>
        <w:pStyle w:val="Compact"/>
        <w:numPr>
          <w:ilvl w:val="0"/>
          <w:numId w:val="2445"/>
        </w:numPr>
      </w:pPr>
      <w:r>
        <w:t xml:space="preserve">Create the object with</w:t>
      </w:r>
      <w:r>
        <w:t xml:space="preserve"> </w:t>
      </w:r>
      <w:r>
        <w:rPr>
          <w:rStyle w:val="VerbatimChar"/>
        </w:rPr>
        <w:t xml:space="preserve">Server.CreateObject("ADODB.Stream")</w:t>
      </w:r>
      <w:r>
        <w:t xml:space="preserve">.</w:t>
      </w:r>
    </w:p>
    <w:p>
      <w:pPr>
        <w:pStyle w:val="Compact"/>
        <w:numPr>
          <w:ilvl w:val="0"/>
          <w:numId w:val="2445"/>
        </w:numPr>
      </w:pPr>
      <w:r>
        <w:t xml:space="preserve">Open the stream before calling</w:t>
      </w:r>
      <w:r>
        <w:t xml:space="preserve"> </w:t>
      </w:r>
      <w:r>
        <w:rPr>
          <w:rStyle w:val="VerbatimChar"/>
        </w:rPr>
        <w:t xml:space="preserve">Flush</w:t>
      </w:r>
      <w:r>
        <w:t xml:space="preserve">.</w:t>
      </w:r>
    </w:p>
    <w:bookmarkEnd w:id="5941"/>
    <w:bookmarkStart w:id="5942" w:name="syntax-697"/>
    <w:p>
      <w:pPr>
        <w:pStyle w:val="Heading2"/>
      </w:pPr>
      <w:r>
        <w:t xml:space="preserve">Syntax</w:t>
      </w:r>
    </w:p>
    <w:p>
      <w:pPr>
        <w:pStyle w:val="SourceCode"/>
      </w:pPr>
      <w:r>
        <w:rPr>
          <w:rStyle w:val="NormalTok"/>
        </w:rPr>
        <w:t xml:space="preserve">stm.Flush</w:t>
      </w:r>
    </w:p>
    <w:bookmarkEnd w:id="5942"/>
    <w:bookmarkStart w:id="5943" w:name="parameters-323"/>
    <w:p>
      <w:pPr>
        <w:pStyle w:val="Heading2"/>
      </w:pPr>
      <w:r>
        <w:t xml:space="preserve">Parameters</w:t>
      </w:r>
    </w:p>
    <w:p>
      <w:pPr>
        <w:pStyle w:val="FirstParagraph"/>
      </w:pPr>
      <w:r>
        <w:t xml:space="preserve">This method does not accept parameters.</w:t>
      </w:r>
    </w:p>
    <w:bookmarkEnd w:id="5943"/>
    <w:bookmarkStart w:id="5944" w:name="return-value-380"/>
    <w:p>
      <w:pPr>
        <w:pStyle w:val="Heading2"/>
      </w:pPr>
      <w:r>
        <w:t xml:space="preserve">Return Value</w:t>
      </w:r>
    </w:p>
    <w:p>
      <w:pPr>
        <w:pStyle w:val="FirstParagraph"/>
      </w:pPr>
      <w:r>
        <w:t xml:space="preserve">Empty. The method does not return a value.</w:t>
      </w:r>
    </w:p>
    <w:bookmarkEnd w:id="5944"/>
    <w:bookmarkStart w:id="5945" w:name="how-it-works-49"/>
    <w:p>
      <w:pPr>
        <w:pStyle w:val="Heading2"/>
      </w:pPr>
      <w:r>
        <w:t xml:space="preserve">How It Works</w:t>
      </w:r>
    </w:p>
    <w:p>
      <w:pPr>
        <w:pStyle w:val="Compact"/>
        <w:numPr>
          <w:ilvl w:val="0"/>
          <w:numId w:val="2446"/>
        </w:numPr>
      </w:pPr>
      <w:r>
        <w:t xml:space="preserve">In current G3Pix AxonASP ADODB.Stream implementation,</w:t>
      </w:r>
      <w:r>
        <w:t xml:space="preserve"> </w:t>
      </w:r>
      <w:r>
        <w:rPr>
          <w:rStyle w:val="VerbatimChar"/>
        </w:rPr>
        <w:t xml:space="preserve">Flush</w:t>
      </w:r>
      <w:r>
        <w:t xml:space="preserve"> </w:t>
      </w:r>
      <w:r>
        <w:t xml:space="preserve">is a compatibility no-op.</w:t>
      </w:r>
    </w:p>
    <w:p>
      <w:pPr>
        <w:pStyle w:val="Compact"/>
        <w:numPr>
          <w:ilvl w:val="0"/>
          <w:numId w:val="2446"/>
        </w:numPr>
      </w:pPr>
      <w:r>
        <w:t xml:space="preserve">The call does not modify</w:t>
      </w:r>
      <w:r>
        <w:t xml:space="preserve"> </w:t>
      </w:r>
      <w:r>
        <w:rPr>
          <w:rStyle w:val="VerbatimChar"/>
        </w:rPr>
        <w:t xml:space="preserve">Position</w:t>
      </w:r>
      <w:r>
        <w:t xml:space="preserve">,</w:t>
      </w:r>
      <w:r>
        <w:t xml:space="preserve"> </w:t>
      </w:r>
      <w:r>
        <w:rPr>
          <w:rStyle w:val="VerbatimChar"/>
        </w:rPr>
        <w:t xml:space="preserve">Size</w:t>
      </w:r>
      <w:r>
        <w:t xml:space="preserve">, or stream content.</w:t>
      </w:r>
    </w:p>
    <w:bookmarkEnd w:id="5945"/>
    <w:bookmarkStart w:id="5946" w:name="remarks-672"/>
    <w:p>
      <w:pPr>
        <w:pStyle w:val="Heading2"/>
      </w:pPr>
      <w:r>
        <w:t xml:space="preserve">Remarks</w:t>
      </w:r>
    </w:p>
    <w:p>
      <w:pPr>
        <w:pStyle w:val="Compact"/>
        <w:numPr>
          <w:ilvl w:val="0"/>
          <w:numId w:val="2447"/>
        </w:numPr>
      </w:pPr>
      <w:r>
        <w:t xml:space="preserve">Method names are case-insensitive in G3Pix AxonASP.</w:t>
      </w:r>
    </w:p>
    <w:p>
      <w:pPr>
        <w:pStyle w:val="Compact"/>
        <w:numPr>
          <w:ilvl w:val="0"/>
          <w:numId w:val="2447"/>
        </w:numPr>
      </w:pPr>
      <w:r>
        <w:t xml:space="preserve">Keep this call in legacy code paths that expect explicit flush points.</w:t>
      </w:r>
    </w:p>
    <w:bookmarkEnd w:id="5946"/>
    <w:bookmarkStart w:id="5947" w:name="code-example-49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"buffered text"</w:t>
      </w:r>
      <w:r>
        <w:br/>
      </w:r>
      <w:r>
        <w:rPr>
          <w:rStyle w:val="NormalTok"/>
        </w:rPr>
        <w:t xml:space="preserve">stm.Flush</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"Flush executed"</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47"/>
    <w:bookmarkStart w:id="5948" w:name="api-reference-170"/>
    <w:p>
      <w:pPr>
        <w:pStyle w:val="Heading2"/>
      </w:pPr>
      <w:r>
        <w:t xml:space="preserve">API Reference</w:t>
      </w:r>
    </w:p>
    <w:p>
      <w:pPr>
        <w:pStyle w:val="Compact"/>
        <w:numPr>
          <w:ilvl w:val="0"/>
          <w:numId w:val="2448"/>
        </w:numPr>
      </w:pPr>
      <w:r>
        <w:t xml:space="preserve">Object: ADODB.Stream</w:t>
      </w:r>
    </w:p>
    <w:p>
      <w:pPr>
        <w:pStyle w:val="Compact"/>
        <w:numPr>
          <w:ilvl w:val="0"/>
          <w:numId w:val="2448"/>
        </w:numPr>
      </w:pPr>
      <w:r>
        <w:t xml:space="preserve">Method: Flush</w:t>
      </w:r>
    </w:p>
    <w:p>
      <w:pPr>
        <w:pStyle w:val="Compact"/>
        <w:numPr>
          <w:ilvl w:val="0"/>
          <w:numId w:val="2448"/>
        </w:numPr>
      </w:pPr>
      <w:r>
        <w:t xml:space="preserve">Arguments: none</w:t>
      </w:r>
    </w:p>
    <w:p>
      <w:pPr>
        <w:pStyle w:val="Compact"/>
        <w:numPr>
          <w:ilvl w:val="0"/>
          <w:numId w:val="2448"/>
        </w:numPr>
      </w:pPr>
      <w:r>
        <w:t xml:space="preserve">Returns: Empty</w:t>
      </w:r>
    </w:p>
    <w:bookmarkEnd w:id="5948"/>
    <w:bookmarkEnd w:id="5949"/>
    <w:bookmarkStart w:id="5959" w:name="seteos-method"/>
    <w:p>
      <w:pPr>
        <w:pStyle w:val="Heading1"/>
      </w:pPr>
      <w:r>
        <w:t xml:space="preserve">SetEOS Method</w:t>
      </w:r>
    </w:p>
    <w:bookmarkStart w:id="5950" w:name="overview-631"/>
    <w:p>
      <w:pPr>
        <w:pStyle w:val="Heading2"/>
      </w:pPr>
      <w:r>
        <w:t xml:space="preserve">Overview</w:t>
      </w:r>
    </w:p>
    <w:p>
      <w:pPr>
        <w:pStyle w:val="FirstParagraph"/>
      </w:pPr>
      <w:r>
        <w:t xml:space="preserve">Truncates the stream so end-of-stream matches the current cursor position.</w:t>
      </w:r>
    </w:p>
    <w:bookmarkEnd w:id="5950"/>
    <w:bookmarkStart w:id="5951" w:name="prerequisites-171"/>
    <w:p>
      <w:pPr>
        <w:pStyle w:val="Heading2"/>
      </w:pPr>
      <w:r>
        <w:t xml:space="preserve">Prerequisites</w:t>
      </w:r>
    </w:p>
    <w:p>
      <w:pPr>
        <w:pStyle w:val="Compact"/>
        <w:numPr>
          <w:ilvl w:val="0"/>
          <w:numId w:val="2449"/>
        </w:numPr>
      </w:pPr>
      <w:r>
        <w:t xml:space="preserve">Create the object with</w:t>
      </w:r>
      <w:r>
        <w:t xml:space="preserve"> </w:t>
      </w:r>
      <w:r>
        <w:rPr>
          <w:rStyle w:val="VerbatimChar"/>
        </w:rPr>
        <w:t xml:space="preserve">Server.CreateObject("ADODB.Stream")</w:t>
      </w:r>
      <w:r>
        <w:t xml:space="preserve">.</w:t>
      </w:r>
    </w:p>
    <w:p>
      <w:pPr>
        <w:pStyle w:val="Compact"/>
        <w:numPr>
          <w:ilvl w:val="0"/>
          <w:numId w:val="2449"/>
        </w:numPr>
      </w:pPr>
      <w:r>
        <w:t xml:space="preserve">Open the stream before truncation.</w:t>
      </w:r>
    </w:p>
    <w:bookmarkEnd w:id="5951"/>
    <w:bookmarkStart w:id="5952" w:name="syntax-698"/>
    <w:p>
      <w:pPr>
        <w:pStyle w:val="Heading2"/>
      </w:pPr>
      <w:r>
        <w:t xml:space="preserve">Syntax</w:t>
      </w:r>
    </w:p>
    <w:p>
      <w:pPr>
        <w:pStyle w:val="SourceCode"/>
      </w:pPr>
      <w:r>
        <w:rPr>
          <w:rStyle w:val="NormalTok"/>
        </w:rPr>
        <w:t xml:space="preserve">stm.SetEOS</w:t>
      </w:r>
    </w:p>
    <w:bookmarkEnd w:id="5952"/>
    <w:bookmarkStart w:id="5953" w:name="parameters-324"/>
    <w:p>
      <w:pPr>
        <w:pStyle w:val="Heading2"/>
      </w:pPr>
      <w:r>
        <w:t xml:space="preserve">Parameters</w:t>
      </w:r>
    </w:p>
    <w:p>
      <w:pPr>
        <w:pStyle w:val="FirstParagraph"/>
      </w:pPr>
      <w:r>
        <w:t xml:space="preserve">This method does not accept parameters.</w:t>
      </w:r>
    </w:p>
    <w:bookmarkEnd w:id="5953"/>
    <w:bookmarkStart w:id="5954" w:name="return-value-381"/>
    <w:p>
      <w:pPr>
        <w:pStyle w:val="Heading2"/>
      </w:pPr>
      <w:r>
        <w:t xml:space="preserve">Return Value</w:t>
      </w:r>
    </w:p>
    <w:p>
      <w:pPr>
        <w:pStyle w:val="FirstParagraph"/>
      </w:pPr>
      <w:r>
        <w:t xml:space="preserve">Empty. The method does not return a value.</w:t>
      </w:r>
    </w:p>
    <w:bookmarkEnd w:id="5954"/>
    <w:bookmarkStart w:id="5955" w:name="how-it-works-50"/>
    <w:p>
      <w:pPr>
        <w:pStyle w:val="Heading2"/>
      </w:pPr>
      <w:r>
        <w:t xml:space="preserve">How It Works</w:t>
      </w:r>
    </w:p>
    <w:p>
      <w:pPr>
        <w:pStyle w:val="Compact"/>
        <w:numPr>
          <w:ilvl w:val="0"/>
          <w:numId w:val="2450"/>
        </w:numPr>
      </w:pPr>
      <w:r>
        <w:t xml:space="preserve">Removes all bytes after current</w:t>
      </w:r>
      <w:r>
        <w:t xml:space="preserve"> </w:t>
      </w:r>
      <w:r>
        <w:rPr>
          <w:rStyle w:val="VerbatimChar"/>
        </w:rPr>
        <w:t xml:space="preserve">Position</w:t>
      </w:r>
      <w:r>
        <w:t xml:space="preserve">.</w:t>
      </w:r>
    </w:p>
    <w:p>
      <w:pPr>
        <w:pStyle w:val="Compact"/>
        <w:numPr>
          <w:ilvl w:val="0"/>
          <w:numId w:val="2450"/>
        </w:numPr>
      </w:pPr>
      <w:r>
        <w:t xml:space="preserve">Updates</w:t>
      </w:r>
      <w:r>
        <w:t xml:space="preserve"> </w:t>
      </w:r>
      <w:r>
        <w:rPr>
          <w:rStyle w:val="VerbatimChar"/>
        </w:rPr>
        <w:t xml:space="preserve">Size</w:t>
      </w:r>
      <w:r>
        <w:t xml:space="preserve"> </w:t>
      </w:r>
      <w:r>
        <w:t xml:space="preserve">to the new truncated length.</w:t>
      </w:r>
    </w:p>
    <w:bookmarkEnd w:id="5955"/>
    <w:bookmarkStart w:id="5956" w:name="remarks-673"/>
    <w:p>
      <w:pPr>
        <w:pStyle w:val="Heading2"/>
      </w:pPr>
      <w:r>
        <w:t xml:space="preserve">Remarks</w:t>
      </w:r>
    </w:p>
    <w:p>
      <w:pPr>
        <w:pStyle w:val="Compact"/>
        <w:numPr>
          <w:ilvl w:val="0"/>
          <w:numId w:val="2451"/>
        </w:numPr>
      </w:pPr>
      <w:r>
        <w:t xml:space="preserve">Method names are case-insensitive in G3Pix AxonASP.</w:t>
      </w:r>
    </w:p>
    <w:p>
      <w:pPr>
        <w:pStyle w:val="Compact"/>
        <w:numPr>
          <w:ilvl w:val="0"/>
          <w:numId w:val="2451"/>
        </w:numPr>
      </w:pPr>
      <w:r>
        <w:t xml:space="preserve">Use this method to discard trailing buffer content after partial edits.</w:t>
      </w:r>
    </w:p>
    <w:bookmarkEnd w:id="5956"/>
    <w:bookmarkStart w:id="5957" w:name="code-example-49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"abcdef"</w:t>
      </w:r>
      <w:r>
        <w:br/>
      </w:r>
      <w:r>
        <w:rPr>
          <w:rStyle w:val="NormalTok"/>
        </w:rPr>
        <w:t xml:space="preserve">stm.Position = </w:t>
      </w:r>
      <w:r>
        <w:rPr>
          <w:rStyle w:val="DecValTok"/>
        </w:rPr>
        <w:t xml:space="preserve">3</w:t>
      </w:r>
      <w:r>
        <w:br/>
      </w:r>
      <w:r>
        <w:rPr>
          <w:rStyle w:val="NormalTok"/>
        </w:rPr>
        <w:t xml:space="preserve">stm.SetEOS</w:t>
      </w:r>
      <w:r>
        <w:br/>
      </w:r>
      <w:r>
        <w:rPr>
          <w:rStyle w:val="NormalTok"/>
        </w:rPr>
        <w:t xml:space="preserve">stm.Position = </w:t>
      </w:r>
      <w:r>
        <w:rPr>
          <w:rStyle w:val="DecValTok"/>
        </w:rPr>
        <w:t xml:space="preserve">0</w:t>
      </w:r>
      <w:r>
        <w:br/>
      </w:r>
      <w:r>
        <w:br/>
      </w:r>
      <w:r>
        <w:rPr>
          <w:rStyle w:val="FunctionTok"/>
        </w:rPr>
        <w:t xml:space="preserve">Response</w:t>
      </w:r>
      <w:r>
        <w:rPr>
          <w:rStyle w:val="NormalTok"/>
        </w:rPr>
        <w:t xml:space="preserve">.</w:t>
      </w:r>
      <w:r>
        <w:rPr>
          <w:rStyle w:val="FunctionTok"/>
        </w:rPr>
        <w:t xml:space="preserve">Write</w:t>
      </w:r>
      <w:r>
        <w:rPr>
          <w:rStyle w:val="NormalTok"/>
        </w:rPr>
        <w:t xml:space="preserve"> stm.ReadText</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57"/>
    <w:bookmarkStart w:id="5958" w:name="api-reference-171"/>
    <w:p>
      <w:pPr>
        <w:pStyle w:val="Heading2"/>
      </w:pPr>
      <w:r>
        <w:t xml:space="preserve">API Reference</w:t>
      </w:r>
    </w:p>
    <w:p>
      <w:pPr>
        <w:pStyle w:val="Compact"/>
        <w:numPr>
          <w:ilvl w:val="0"/>
          <w:numId w:val="2452"/>
        </w:numPr>
      </w:pPr>
      <w:r>
        <w:t xml:space="preserve">Object: ADODB.Stream</w:t>
      </w:r>
    </w:p>
    <w:p>
      <w:pPr>
        <w:pStyle w:val="Compact"/>
        <w:numPr>
          <w:ilvl w:val="0"/>
          <w:numId w:val="2452"/>
        </w:numPr>
      </w:pPr>
      <w:r>
        <w:t xml:space="preserve">Method: SetEOS</w:t>
      </w:r>
    </w:p>
    <w:p>
      <w:pPr>
        <w:pStyle w:val="Compact"/>
        <w:numPr>
          <w:ilvl w:val="0"/>
          <w:numId w:val="2452"/>
        </w:numPr>
      </w:pPr>
      <w:r>
        <w:t xml:space="preserve">Arguments: none</w:t>
      </w:r>
    </w:p>
    <w:p>
      <w:pPr>
        <w:pStyle w:val="Compact"/>
        <w:numPr>
          <w:ilvl w:val="0"/>
          <w:numId w:val="2452"/>
        </w:numPr>
      </w:pPr>
      <w:r>
        <w:t xml:space="preserve">Returns: Empty</w:t>
      </w:r>
    </w:p>
    <w:bookmarkEnd w:id="5958"/>
    <w:bookmarkEnd w:id="5959"/>
    <w:bookmarkStart w:id="5970" w:name="skipline-method"/>
    <w:p>
      <w:pPr>
        <w:pStyle w:val="Heading1"/>
      </w:pPr>
      <w:r>
        <w:t xml:space="preserve">SkipLine Method</w:t>
      </w:r>
    </w:p>
    <w:bookmarkStart w:id="5960" w:name="overview-632"/>
    <w:p>
      <w:pPr>
        <w:pStyle w:val="Heading2"/>
      </w:pPr>
      <w:r>
        <w:t xml:space="preserve">Overview</w:t>
      </w:r>
    </w:p>
    <w:p>
      <w:pPr>
        <w:pStyle w:val="FirstParagraph"/>
      </w:pPr>
      <w:r>
        <w:t xml:space="preserve">Moves the stream position to the beginning of the next text line.</w:t>
      </w:r>
    </w:p>
    <w:bookmarkEnd w:id="5960"/>
    <w:bookmarkStart w:id="5961" w:name="prerequisites-172"/>
    <w:p>
      <w:pPr>
        <w:pStyle w:val="Heading2"/>
      </w:pPr>
      <w:r>
        <w:t xml:space="preserve">Prerequisites</w:t>
      </w:r>
    </w:p>
    <w:p>
      <w:pPr>
        <w:pStyle w:val="Compact"/>
        <w:numPr>
          <w:ilvl w:val="0"/>
          <w:numId w:val="2453"/>
        </w:numPr>
      </w:pPr>
      <w:r>
        <w:t xml:space="preserve">Create the object with</w:t>
      </w:r>
      <w:r>
        <w:t xml:space="preserve"> </w:t>
      </w:r>
      <w:r>
        <w:rPr>
          <w:rStyle w:val="VerbatimChar"/>
        </w:rPr>
        <w:t xml:space="preserve">Server.CreateObject("ADODB.Stream")</w:t>
      </w:r>
      <w:r>
        <w:t xml:space="preserve">.</w:t>
      </w:r>
    </w:p>
    <w:p>
      <w:pPr>
        <w:pStyle w:val="Compact"/>
        <w:numPr>
          <w:ilvl w:val="0"/>
          <w:numId w:val="2453"/>
        </w:numPr>
      </w:pPr>
      <w:r>
        <w:t xml:space="preserve">Use text mode (</w:t>
      </w:r>
      <w:r>
        <w:rPr>
          <w:rStyle w:val="VerbatimChar"/>
        </w:rPr>
        <w:t xml:space="preserve">Type = 2</w:t>
      </w:r>
      <w:r>
        <w:t xml:space="preserve">) and open the stream.</w:t>
      </w:r>
    </w:p>
    <w:bookmarkEnd w:id="5961"/>
    <w:bookmarkStart w:id="5962" w:name="syntax-699"/>
    <w:p>
      <w:pPr>
        <w:pStyle w:val="Heading2"/>
      </w:pPr>
      <w:r>
        <w:t xml:space="preserve">Syntax</w:t>
      </w:r>
    </w:p>
    <w:p>
      <w:pPr>
        <w:pStyle w:val="SourceCode"/>
      </w:pPr>
      <w:r>
        <w:rPr>
          <w:rStyle w:val="NormalTok"/>
        </w:rPr>
        <w:t xml:space="preserve">stm.SkipLine</w:t>
      </w:r>
    </w:p>
    <w:bookmarkEnd w:id="5962"/>
    <w:bookmarkStart w:id="5963" w:name="parameters-325"/>
    <w:p>
      <w:pPr>
        <w:pStyle w:val="Heading2"/>
      </w:pPr>
      <w:r>
        <w:t xml:space="preserve">Parameters</w:t>
      </w:r>
    </w:p>
    <w:p>
      <w:pPr>
        <w:pStyle w:val="FirstParagraph"/>
      </w:pPr>
      <w:r>
        <w:t xml:space="preserve">This method does not accept parameters.</w:t>
      </w:r>
    </w:p>
    <w:bookmarkEnd w:id="5963"/>
    <w:bookmarkStart w:id="5964" w:name="return-value-382"/>
    <w:p>
      <w:pPr>
        <w:pStyle w:val="Heading2"/>
      </w:pPr>
      <w:r>
        <w:t xml:space="preserve">Return Value</w:t>
      </w:r>
    </w:p>
    <w:p>
      <w:pPr>
        <w:pStyle w:val="FirstParagraph"/>
      </w:pPr>
      <w:r>
        <w:t xml:space="preserve">Empty. The method does not return a value.</w:t>
      </w:r>
    </w:p>
    <w:bookmarkEnd w:id="5964"/>
    <w:bookmarkStart w:id="5965" w:name="how-it-works-51"/>
    <w:p>
      <w:pPr>
        <w:pStyle w:val="Heading2"/>
      </w:pPr>
      <w:r>
        <w:t xml:space="preserve">How It Works</w:t>
      </w:r>
    </w:p>
    <w:p>
      <w:pPr>
        <w:pStyle w:val="Compact"/>
        <w:numPr>
          <w:ilvl w:val="0"/>
          <w:numId w:val="2454"/>
        </w:numPr>
      </w:pPr>
      <w:r>
        <w:t xml:space="preserve">Scans from current</w:t>
      </w:r>
      <w:r>
        <w:t xml:space="preserve"> </w:t>
      </w:r>
      <w:r>
        <w:rPr>
          <w:rStyle w:val="VerbatimChar"/>
        </w:rPr>
        <w:t xml:space="preserve">Position</w:t>
      </w:r>
      <w:r>
        <w:t xml:space="preserve"> </w:t>
      </w:r>
      <w:r>
        <w:t xml:space="preserve">until it finds line separator bytes.</w:t>
      </w:r>
    </w:p>
    <w:p>
      <w:pPr>
        <w:pStyle w:val="Compact"/>
        <w:numPr>
          <w:ilvl w:val="0"/>
          <w:numId w:val="2454"/>
        </w:numPr>
      </w:pPr>
      <w:r>
        <w:t xml:space="preserve">Sets</w:t>
      </w:r>
      <w:r>
        <w:t xml:space="preserve"> </w:t>
      </w:r>
      <w:r>
        <w:rPr>
          <w:rStyle w:val="VerbatimChar"/>
        </w:rPr>
        <w:t xml:space="preserve">Position</w:t>
      </w:r>
      <w:r>
        <w:t xml:space="preserve"> </w:t>
      </w:r>
      <w:r>
        <w:t xml:space="preserve">to the first character after the separator.</w:t>
      </w:r>
    </w:p>
    <w:bookmarkEnd w:id="5965"/>
    <w:bookmarkStart w:id="5966" w:name="remarks-674"/>
    <w:p>
      <w:pPr>
        <w:pStyle w:val="Heading2"/>
      </w:pPr>
      <w:r>
        <w:t xml:space="preserve">Remarks</w:t>
      </w:r>
    </w:p>
    <w:p>
      <w:pPr>
        <w:pStyle w:val="Compact"/>
        <w:numPr>
          <w:ilvl w:val="0"/>
          <w:numId w:val="2455"/>
        </w:numPr>
      </w:pPr>
      <w:r>
        <w:t xml:space="preserve">Method names are case-insensitive in G3Pix AxonASP.</w:t>
      </w:r>
    </w:p>
    <w:p>
      <w:pPr>
        <w:pStyle w:val="Compact"/>
        <w:numPr>
          <w:ilvl w:val="0"/>
          <w:numId w:val="2455"/>
        </w:numPr>
      </w:pPr>
      <w:r>
        <w:t xml:space="preserve">In binary mode, line-based navigation is not meaningful.</w:t>
      </w:r>
    </w:p>
    <w:bookmarkEnd w:id="5966"/>
    <w:bookmarkStart w:id="5967" w:name="code-example-49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stm.LineSeparator = </w:t>
      </w:r>
      <w:r>
        <w:rPr>
          <w:rStyle w:val="DecValTok"/>
        </w:rPr>
        <w:t xml:space="preserve">10</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"first"</w:t>
      </w:r>
      <w:r>
        <w:rPr>
          <w:rStyle w:val="OtherTok"/>
        </w:rPr>
        <w:t xml:space="preserve">,</w:t>
      </w:r>
      <w:r>
        <w:rPr>
          <w:rStyle w:val="NormalTok"/>
        </w:rPr>
        <w:t xml:space="preserve"> </w:t>
      </w:r>
      <w:r>
        <w:rPr>
          <w:rStyle w:val="DecValTok"/>
        </w:rPr>
        <w:t xml:space="preserve">1</w:t>
      </w:r>
      <w:r>
        <w:br/>
      </w:r>
      <w:r>
        <w:rPr>
          <w:rStyle w:val="NormalTok"/>
        </w:rPr>
        <w:t xml:space="preserve">stm.WriteText </w:t>
      </w:r>
      <w:r>
        <w:rPr>
          <w:rStyle w:val="StringTok"/>
        </w:rPr>
        <w:t xml:space="preserve">"second"</w:t>
      </w:r>
      <w:r>
        <w:rPr>
          <w:rStyle w:val="OtherTok"/>
        </w:rPr>
        <w:t xml:space="preserve">,</w:t>
      </w:r>
      <w:r>
        <w:rPr>
          <w:rStyle w:val="NormalTok"/>
        </w:rPr>
        <w:t xml:space="preserve"> </w:t>
      </w:r>
      <w:r>
        <w:rPr>
          <w:rStyle w:val="DecValTok"/>
        </w:rPr>
        <w:t xml:space="preserve">1</w:t>
      </w:r>
      <w:r>
        <w:br/>
      </w:r>
      <w:r>
        <w:rPr>
          <w:rStyle w:val="NormalTok"/>
        </w:rPr>
        <w:t xml:space="preserve">stm.Position = </w:t>
      </w:r>
      <w:r>
        <w:rPr>
          <w:rStyle w:val="DecValTok"/>
        </w:rPr>
        <w:t xml:space="preserve">0</w:t>
      </w:r>
      <w:r>
        <w:br/>
      </w:r>
      <w:r>
        <w:rPr>
          <w:rStyle w:val="NormalTok"/>
        </w:rPr>
        <w:t xml:space="preserve">stm.</w:t>
      </w:r>
      <w:r>
        <w:rPr>
          <w:rStyle w:val="FunctionTok"/>
        </w:rPr>
        <w:t xml:space="preserve">SkipLine</w:t>
      </w:r>
      <w:r>
        <w:br/>
      </w:r>
      <w:r>
        <w:br/>
      </w:r>
      <w:r>
        <w:rPr>
          <w:rStyle w:val="FunctionTok"/>
        </w:rPr>
        <w:t xml:space="preserve">Response</w:t>
      </w:r>
      <w:r>
        <w:rPr>
          <w:rStyle w:val="NormalTok"/>
        </w:rPr>
        <w:t xml:space="preserve">.</w:t>
      </w:r>
      <w:r>
        <w:rPr>
          <w:rStyle w:val="FunctionTok"/>
        </w:rPr>
        <w:t xml:space="preserve">Write</w:t>
      </w:r>
      <w:r>
        <w:rPr>
          <w:rStyle w:val="NormalTok"/>
        </w:rPr>
        <w:t xml:space="preserve"> stm.ReadText</w:t>
      </w:r>
      <w:r>
        <w:rPr>
          <w:rStyle w:val="OtherTok"/>
        </w:rPr>
        <w:t xml:space="preserve">(</w:t>
      </w:r>
      <w:r>
        <w:rPr>
          <w:rStyle w:val="DecValTok"/>
        </w:rPr>
        <w:t xml:space="preserve">6</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67"/>
    <w:bookmarkStart w:id="5969" w:name="api-reference-172"/>
    <w:p>
      <w:pPr>
        <w:pStyle w:val="Heading2"/>
      </w:pPr>
      <w:r>
        <w:t xml:space="preserve">API Reference</w:t>
      </w:r>
    </w:p>
    <w:p>
      <w:pPr>
        <w:pStyle w:val="Compact"/>
        <w:numPr>
          <w:ilvl w:val="0"/>
          <w:numId w:val="2456"/>
        </w:numPr>
      </w:pPr>
      <w:r>
        <w:t xml:space="preserve">Object: ADODB.Stream</w:t>
      </w:r>
    </w:p>
    <w:p>
      <w:pPr>
        <w:pStyle w:val="Compact"/>
        <w:numPr>
          <w:ilvl w:val="0"/>
          <w:numId w:val="2456"/>
        </w:numPr>
      </w:pPr>
      <w:r>
        <w:t xml:space="preserve">Method: SkipLine</w:t>
      </w:r>
    </w:p>
    <w:p>
      <w:pPr>
        <w:pStyle w:val="Compact"/>
        <w:numPr>
          <w:ilvl w:val="0"/>
          <w:numId w:val="2456"/>
        </w:numPr>
      </w:pPr>
      <w:r>
        <w:t xml:space="preserve">Arguments: none</w:t>
      </w:r>
    </w:p>
    <w:p>
      <w:pPr>
        <w:pStyle w:val="Compact"/>
        <w:numPr>
          <w:ilvl w:val="0"/>
          <w:numId w:val="2456"/>
        </w:numPr>
      </w:pPr>
      <w:r>
        <w:t xml:space="preserve">Returns: Empty</w:t>
      </w:r>
    </w:p>
    <w:bookmarkStart w:id="5968" w:name="properties-detail-16"/>
    <w:p>
      <w:pPr>
        <w:pStyle w:val="Heading3"/>
      </w:pPr>
      <w:r>
        <w:t xml:space="preserve">Properties Detail</w:t>
      </w:r>
    </w:p>
    <w:bookmarkEnd w:id="5968"/>
    <w:bookmarkEnd w:id="5969"/>
    <w:bookmarkEnd w:id="5970"/>
    <w:bookmarkStart w:id="5977" w:name="type-property"/>
    <w:p>
      <w:pPr>
        <w:pStyle w:val="Heading1"/>
      </w:pPr>
      <w:r>
        <w:t xml:space="preserve">Type Property</w:t>
      </w:r>
    </w:p>
    <w:bookmarkStart w:id="5971" w:name="overview-633"/>
    <w:p>
      <w:pPr>
        <w:pStyle w:val="Heading2"/>
      </w:pPr>
      <w:r>
        <w:t xml:space="preserve">Overview</w:t>
      </w:r>
    </w:p>
    <w:p>
      <w:pPr>
        <w:pStyle w:val="FirstParagraph"/>
      </w:pPr>
      <w:r>
        <w:t xml:space="preserve">Gets or sets the stream content mode.</w:t>
      </w:r>
    </w:p>
    <w:bookmarkEnd w:id="5971"/>
    <w:bookmarkStart w:id="5972" w:name="syntax-700"/>
    <w:p>
      <w:pPr>
        <w:pStyle w:val="Heading2"/>
      </w:pPr>
      <w:r>
        <w:t xml:space="preserve">Syntax</w:t>
      </w:r>
    </w:p>
    <w:p>
      <w:pPr>
        <w:pStyle w:val="SourceCode"/>
      </w:pPr>
      <w:r>
        <w:rPr>
          <w:rStyle w:val="NormalTok"/>
        </w:rPr>
        <w:t xml:space="preserve">value = stm.Type</w:t>
      </w:r>
      <w:r>
        <w:br/>
      </w:r>
      <w:r>
        <w:rPr>
          <w:rStyle w:val="NormalTok"/>
        </w:rPr>
        <w:t xml:space="preserve">stm.Type = newValue</w:t>
      </w:r>
    </w:p>
    <w:bookmarkEnd w:id="5972"/>
    <w:bookmarkStart w:id="5973" w:name="return-value-383"/>
    <w:p>
      <w:pPr>
        <w:pStyle w:val="Heading2"/>
      </w:pPr>
      <w:r>
        <w:t xml:space="preserve">Return Value</w:t>
      </w:r>
    </w:p>
    <w:p>
      <w:pPr>
        <w:pStyle w:val="FirstParagraph"/>
      </w:pPr>
      <w:r>
        <w:t xml:space="preserve">Integer. Returns</w:t>
      </w:r>
      <w:r>
        <w:t xml:space="preserve"> </w:t>
      </w:r>
      <w:r>
        <w:rPr>
          <w:rStyle w:val="VerbatimChar"/>
        </w:rPr>
        <w:t xml:space="preserve">1</w:t>
      </w:r>
      <w:r>
        <w:t xml:space="preserve"> </w:t>
      </w:r>
      <w:r>
        <w:t xml:space="preserve">for binary mode or</w:t>
      </w:r>
      <w:r>
        <w:t xml:space="preserve"> </w:t>
      </w:r>
      <w:r>
        <w:rPr>
          <w:rStyle w:val="VerbatimChar"/>
        </w:rPr>
        <w:t xml:space="preserve">2</w:t>
      </w:r>
      <w:r>
        <w:t xml:space="preserve"> </w:t>
      </w:r>
      <w:r>
        <w:t xml:space="preserve">for text mode.</w:t>
      </w:r>
    </w:p>
    <w:bookmarkEnd w:id="5973"/>
    <w:bookmarkStart w:id="5974" w:name="remarks-675"/>
    <w:p>
      <w:pPr>
        <w:pStyle w:val="Heading2"/>
      </w:pPr>
      <w:r>
        <w:t xml:space="preserve">Remarks</w:t>
      </w:r>
    </w:p>
    <w:p>
      <w:pPr>
        <w:pStyle w:val="Compact"/>
        <w:numPr>
          <w:ilvl w:val="0"/>
          <w:numId w:val="2457"/>
        </w:numPr>
      </w:pPr>
      <w:r>
        <w:t xml:space="preserve">Property names are case-insensitive in G3Pix AxonASP.</w:t>
      </w:r>
    </w:p>
    <w:p>
      <w:pPr>
        <w:pStyle w:val="Compact"/>
        <w:numPr>
          <w:ilvl w:val="0"/>
          <w:numId w:val="2457"/>
        </w:numPr>
      </w:pPr>
      <w:r>
        <w:t xml:space="preserve">Set</w:t>
      </w:r>
      <w:r>
        <w:t xml:space="preserve"> </w:t>
      </w:r>
      <w:r>
        <w:rPr>
          <w:rStyle w:val="VerbatimChar"/>
        </w:rPr>
        <w:t xml:space="preserve">Type = 1</w:t>
      </w:r>
      <w:r>
        <w:t xml:space="preserve"> </w:t>
      </w:r>
      <w:r>
        <w:t xml:space="preserve">before binary</w:t>
      </w:r>
      <w:r>
        <w:t xml:space="preserve"> </w:t>
      </w:r>
      <w:r>
        <w:rPr>
          <w:rStyle w:val="VerbatimChar"/>
        </w:rPr>
        <w:t xml:space="preserve">Read</w:t>
      </w:r>
      <w:r>
        <w:t xml:space="preserve"> </w:t>
      </w:r>
      <w:r>
        <w:t xml:space="preserve">and</w:t>
      </w:r>
      <w:r>
        <w:t xml:space="preserve"> </w:t>
      </w:r>
      <w:r>
        <w:rPr>
          <w:rStyle w:val="VerbatimChar"/>
        </w:rPr>
        <w:t xml:space="preserve">Write</w:t>
      </w:r>
      <w:r>
        <w:t xml:space="preserve"> </w:t>
      </w:r>
      <w:r>
        <w:t xml:space="preserve">operations.</w:t>
      </w:r>
    </w:p>
    <w:p>
      <w:pPr>
        <w:pStyle w:val="Compact"/>
        <w:numPr>
          <w:ilvl w:val="0"/>
          <w:numId w:val="2457"/>
        </w:numPr>
      </w:pPr>
      <w:r>
        <w:t xml:space="preserve">Set</w:t>
      </w:r>
      <w:r>
        <w:t xml:space="preserve"> </w:t>
      </w:r>
      <w:r>
        <w:rPr>
          <w:rStyle w:val="VerbatimChar"/>
        </w:rPr>
        <w:t xml:space="preserve">Type = 2</w:t>
      </w:r>
      <w:r>
        <w:t xml:space="preserve"> </w:t>
      </w:r>
      <w:r>
        <w:t xml:space="preserve">before</w:t>
      </w:r>
      <w:r>
        <w:t xml:space="preserve"> </w:t>
      </w:r>
      <w:r>
        <w:rPr>
          <w:rStyle w:val="VerbatimChar"/>
        </w:rPr>
        <w:t xml:space="preserve">ReadText</w:t>
      </w:r>
      <w:r>
        <w:t xml:space="preserve"> </w:t>
      </w:r>
      <w:r>
        <w:t xml:space="preserve">and</w:t>
      </w:r>
      <w:r>
        <w:t xml:space="preserve"> </w:t>
      </w:r>
      <w:r>
        <w:rPr>
          <w:rStyle w:val="VerbatimChar"/>
        </w:rPr>
        <w:t xml:space="preserve">WriteText</w:t>
      </w:r>
      <w:r>
        <w:t xml:space="preserve"> </w:t>
      </w:r>
      <w:r>
        <w:t xml:space="preserve">operations.</w:t>
      </w:r>
    </w:p>
    <w:bookmarkEnd w:id="5974"/>
    <w:bookmarkStart w:id="5975" w:name="code-example-49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"text payload"</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"Type: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stm.Type</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75"/>
    <w:bookmarkStart w:id="5976" w:name="api-reference-173"/>
    <w:p>
      <w:pPr>
        <w:pStyle w:val="Heading2"/>
      </w:pPr>
      <w:r>
        <w:t xml:space="preserve">API Reference</w:t>
      </w:r>
    </w:p>
    <w:p>
      <w:pPr>
        <w:pStyle w:val="Compact"/>
        <w:numPr>
          <w:ilvl w:val="0"/>
          <w:numId w:val="2458"/>
        </w:numPr>
      </w:pPr>
      <w:r>
        <w:t xml:space="preserve">Object: ADODB.Stream</w:t>
      </w:r>
    </w:p>
    <w:p>
      <w:pPr>
        <w:pStyle w:val="Compact"/>
        <w:numPr>
          <w:ilvl w:val="0"/>
          <w:numId w:val="2458"/>
        </w:numPr>
      </w:pPr>
      <w:r>
        <w:t xml:space="preserve">Property: Type</w:t>
      </w:r>
    </w:p>
    <w:p>
      <w:pPr>
        <w:pStyle w:val="Compact"/>
        <w:numPr>
          <w:ilvl w:val="0"/>
          <w:numId w:val="2458"/>
        </w:numPr>
      </w:pPr>
      <w:r>
        <w:t xml:space="preserve">Access: Read/Write</w:t>
      </w:r>
    </w:p>
    <w:p>
      <w:pPr>
        <w:pStyle w:val="Compact"/>
        <w:numPr>
          <w:ilvl w:val="0"/>
          <w:numId w:val="2458"/>
        </w:numPr>
      </w:pPr>
      <w:r>
        <w:t xml:space="preserve">Type: Integer (</w:t>
      </w:r>
      <w:r>
        <w:rPr>
          <w:rStyle w:val="VerbatimChar"/>
        </w:rPr>
        <w:t xml:space="preserve">1</w:t>
      </w:r>
      <w:r>
        <w:t xml:space="preserve"> </w:t>
      </w:r>
      <w:r>
        <w:t xml:space="preserve">binary,</w:t>
      </w:r>
      <w:r>
        <w:t xml:space="preserve"> </w:t>
      </w:r>
      <w:r>
        <w:rPr>
          <w:rStyle w:val="VerbatimChar"/>
        </w:rPr>
        <w:t xml:space="preserve">2</w:t>
      </w:r>
      <w:r>
        <w:t xml:space="preserve"> </w:t>
      </w:r>
      <w:r>
        <w:t xml:space="preserve">text)</w:t>
      </w:r>
    </w:p>
    <w:bookmarkEnd w:id="5976"/>
    <w:bookmarkEnd w:id="5977"/>
    <w:bookmarkStart w:id="5984" w:name="mode-property-2"/>
    <w:p>
      <w:pPr>
        <w:pStyle w:val="Heading1"/>
      </w:pPr>
      <w:r>
        <w:t xml:space="preserve">Mode Property</w:t>
      </w:r>
    </w:p>
    <w:bookmarkStart w:id="5978" w:name="overview-634"/>
    <w:p>
      <w:pPr>
        <w:pStyle w:val="Heading2"/>
      </w:pPr>
      <w:r>
        <w:t xml:space="preserve">Overview</w:t>
      </w:r>
    </w:p>
    <w:p>
      <w:pPr>
        <w:pStyle w:val="FirstParagraph"/>
      </w:pPr>
      <w:r>
        <w:t xml:space="preserve">Gets or sets stream access mode flags.</w:t>
      </w:r>
    </w:p>
    <w:bookmarkEnd w:id="5978"/>
    <w:bookmarkStart w:id="5979" w:name="syntax-701"/>
    <w:p>
      <w:pPr>
        <w:pStyle w:val="Heading2"/>
      </w:pPr>
      <w:r>
        <w:t xml:space="preserve">Syntax</w:t>
      </w:r>
    </w:p>
    <w:p>
      <w:pPr>
        <w:pStyle w:val="SourceCode"/>
      </w:pPr>
      <w:r>
        <w:rPr>
          <w:rStyle w:val="NormalTok"/>
        </w:rPr>
        <w:t xml:space="preserve">value = stm.Mode</w:t>
      </w:r>
      <w:r>
        <w:br/>
      </w:r>
      <w:r>
        <w:rPr>
          <w:rStyle w:val="NormalTok"/>
        </w:rPr>
        <w:t xml:space="preserve">stm.Mode = newValue</w:t>
      </w:r>
    </w:p>
    <w:bookmarkEnd w:id="5979"/>
    <w:bookmarkStart w:id="5980" w:name="return-value-384"/>
    <w:p>
      <w:pPr>
        <w:pStyle w:val="Heading2"/>
      </w:pPr>
      <w:r>
        <w:t xml:space="preserve">Return Value</w:t>
      </w:r>
    </w:p>
    <w:p>
      <w:pPr>
        <w:pStyle w:val="FirstParagraph"/>
      </w:pPr>
      <w:r>
        <w:t xml:space="preserve">Integer. Returns the current mode flag value.</w:t>
      </w:r>
    </w:p>
    <w:bookmarkEnd w:id="5980"/>
    <w:bookmarkStart w:id="5981" w:name="remarks-676"/>
    <w:p>
      <w:pPr>
        <w:pStyle w:val="Heading2"/>
      </w:pPr>
      <w:r>
        <w:t xml:space="preserve">Remarks</w:t>
      </w:r>
    </w:p>
    <w:p>
      <w:pPr>
        <w:pStyle w:val="Compact"/>
        <w:numPr>
          <w:ilvl w:val="0"/>
          <w:numId w:val="2459"/>
        </w:numPr>
      </w:pPr>
      <w:r>
        <w:t xml:space="preserve">Property names are case-insensitive in G3Pix AxonASP.</w:t>
      </w:r>
    </w:p>
    <w:p>
      <w:pPr>
        <w:pStyle w:val="Compact"/>
        <w:numPr>
          <w:ilvl w:val="0"/>
          <w:numId w:val="2459"/>
        </w:numPr>
      </w:pPr>
      <w:r>
        <w:t xml:space="preserve">This property is exposed for ADODB compatibility and can be assigned before opening the stream.</w:t>
      </w:r>
    </w:p>
    <w:p>
      <w:pPr>
        <w:pStyle w:val="Compact"/>
        <w:numPr>
          <w:ilvl w:val="0"/>
          <w:numId w:val="2459"/>
        </w:numPr>
      </w:pPr>
      <w:r>
        <w:t xml:space="preserve">Runtime enforcement of specific lock/share semantics can vary by host environment.</w:t>
      </w:r>
    </w:p>
    <w:bookmarkEnd w:id="5981"/>
    <w:bookmarkStart w:id="5982" w:name="code-example-50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stm.Mode = </w:t>
      </w:r>
      <w:r>
        <w:rPr>
          <w:rStyle w:val="DecValTok"/>
        </w:rPr>
        <w:t xml:space="preserve">3</w:t>
      </w:r>
      <w:r>
        <w:br/>
      </w:r>
      <w:r>
        <w:rPr>
          <w:rStyle w:val="NormalTok"/>
        </w:rPr>
        <w:t xml:space="preserve">stm.</w:t>
      </w:r>
      <w:r>
        <w:rPr>
          <w:rStyle w:val="KeywordTok"/>
        </w:rPr>
        <w:t xml:space="preserve">Open</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"Mode: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stm.Mode</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82"/>
    <w:bookmarkStart w:id="5983" w:name="api-reference-174"/>
    <w:p>
      <w:pPr>
        <w:pStyle w:val="Heading2"/>
      </w:pPr>
      <w:r>
        <w:t xml:space="preserve">API Reference</w:t>
      </w:r>
    </w:p>
    <w:p>
      <w:pPr>
        <w:pStyle w:val="Compact"/>
        <w:numPr>
          <w:ilvl w:val="0"/>
          <w:numId w:val="2460"/>
        </w:numPr>
      </w:pPr>
      <w:r>
        <w:t xml:space="preserve">Object: ADODB.Stream</w:t>
      </w:r>
    </w:p>
    <w:p>
      <w:pPr>
        <w:pStyle w:val="Compact"/>
        <w:numPr>
          <w:ilvl w:val="0"/>
          <w:numId w:val="2460"/>
        </w:numPr>
      </w:pPr>
      <w:r>
        <w:t xml:space="preserve">Property: Mode</w:t>
      </w:r>
    </w:p>
    <w:p>
      <w:pPr>
        <w:pStyle w:val="Compact"/>
        <w:numPr>
          <w:ilvl w:val="0"/>
          <w:numId w:val="2460"/>
        </w:numPr>
      </w:pPr>
      <w:r>
        <w:t xml:space="preserve">Access: Read/Write</w:t>
      </w:r>
    </w:p>
    <w:p>
      <w:pPr>
        <w:pStyle w:val="Compact"/>
        <w:numPr>
          <w:ilvl w:val="0"/>
          <w:numId w:val="2460"/>
        </w:numPr>
      </w:pPr>
      <w:r>
        <w:t xml:space="preserve">Type: Integer</w:t>
      </w:r>
    </w:p>
    <w:bookmarkEnd w:id="5983"/>
    <w:bookmarkEnd w:id="5984"/>
    <w:bookmarkStart w:id="5991" w:name="state-property"/>
    <w:p>
      <w:pPr>
        <w:pStyle w:val="Heading1"/>
      </w:pPr>
      <w:r>
        <w:t xml:space="preserve">State Property</w:t>
      </w:r>
    </w:p>
    <w:bookmarkStart w:id="5985" w:name="overview-635"/>
    <w:p>
      <w:pPr>
        <w:pStyle w:val="Heading2"/>
      </w:pPr>
      <w:r>
        <w:t xml:space="preserve">Overview</w:t>
      </w:r>
    </w:p>
    <w:p>
      <w:pPr>
        <w:pStyle w:val="FirstParagraph"/>
      </w:pPr>
      <w:r>
        <w:t xml:space="preserve">Returns whether the stream is open or closed.</w:t>
      </w:r>
    </w:p>
    <w:bookmarkEnd w:id="5985"/>
    <w:bookmarkStart w:id="5986" w:name="syntax-702"/>
    <w:p>
      <w:pPr>
        <w:pStyle w:val="Heading2"/>
      </w:pPr>
      <w:r>
        <w:t xml:space="preserve">Syntax</w:t>
      </w:r>
    </w:p>
    <w:p>
      <w:pPr>
        <w:pStyle w:val="SourceCode"/>
      </w:pPr>
      <w:r>
        <w:rPr>
          <w:rStyle w:val="NormalTok"/>
        </w:rPr>
        <w:t xml:space="preserve">value = stm.State</w:t>
      </w:r>
    </w:p>
    <w:bookmarkEnd w:id="5986"/>
    <w:bookmarkStart w:id="5987" w:name="return-value-385"/>
    <w:p>
      <w:pPr>
        <w:pStyle w:val="Heading2"/>
      </w:pPr>
      <w:r>
        <w:t xml:space="preserve">Return Value</w:t>
      </w:r>
    </w:p>
    <w:p>
      <w:pPr>
        <w:pStyle w:val="FirstParagraph"/>
      </w:pPr>
      <w:r>
        <w:t xml:space="preserve">Integer. Returns</w:t>
      </w:r>
      <w:r>
        <w:t xml:space="preserve"> </w:t>
      </w:r>
      <w:r>
        <w:rPr>
          <w:rStyle w:val="VerbatimChar"/>
        </w:rPr>
        <w:t xml:space="preserve">0</w:t>
      </w:r>
      <w:r>
        <w:t xml:space="preserve"> </w:t>
      </w:r>
      <w:r>
        <w:t xml:space="preserve">when the stream is closed and</w:t>
      </w:r>
      <w:r>
        <w:t xml:space="preserve"> </w:t>
      </w:r>
      <w:r>
        <w:rPr>
          <w:rStyle w:val="VerbatimChar"/>
        </w:rPr>
        <w:t xml:space="preserve">1</w:t>
      </w:r>
      <w:r>
        <w:t xml:space="preserve"> </w:t>
      </w:r>
      <w:r>
        <w:t xml:space="preserve">when the stream is open.</w:t>
      </w:r>
    </w:p>
    <w:bookmarkEnd w:id="5987"/>
    <w:bookmarkStart w:id="5988" w:name="remarks-677"/>
    <w:p>
      <w:pPr>
        <w:pStyle w:val="Heading2"/>
      </w:pPr>
      <w:r>
        <w:t xml:space="preserve">Remarks</w:t>
      </w:r>
    </w:p>
    <w:p>
      <w:pPr>
        <w:pStyle w:val="Compact"/>
        <w:numPr>
          <w:ilvl w:val="0"/>
          <w:numId w:val="2461"/>
        </w:numPr>
      </w:pPr>
      <w:r>
        <w:t xml:space="preserve">Property names are case-insensitive in G3Pix AxonASP.</w:t>
      </w:r>
    </w:p>
    <w:p>
      <w:pPr>
        <w:pStyle w:val="Compact"/>
        <w:numPr>
          <w:ilvl w:val="0"/>
          <w:numId w:val="2461"/>
        </w:numPr>
      </w:pPr>
      <w:r>
        <w:t xml:space="preserve">This property is read-only.</w:t>
      </w:r>
    </w:p>
    <w:p>
      <w:pPr>
        <w:pStyle w:val="Compact"/>
        <w:numPr>
          <w:ilvl w:val="0"/>
          <w:numId w:val="2461"/>
        </w:numPr>
      </w:pPr>
      <w:r>
        <w:t xml:space="preserve">Check</w:t>
      </w:r>
      <w:r>
        <w:t xml:space="preserve"> </w:t>
      </w:r>
      <w:r>
        <w:rPr>
          <w:rStyle w:val="VerbatimChar"/>
        </w:rPr>
        <w:t xml:space="preserve">State</w:t>
      </w:r>
      <w:r>
        <w:t xml:space="preserve"> </w:t>
      </w:r>
      <w:r>
        <w:t xml:space="preserve">before calling read and write methods.</w:t>
      </w:r>
    </w:p>
    <w:bookmarkEnd w:id="5988"/>
    <w:bookmarkStart w:id="5989" w:name="code-example-50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"Before open: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NormalTok"/>
        </w:rPr>
        <w:t xml:space="preserve">stm.</w:t>
      </w:r>
      <w:r>
        <w:rPr>
          <w:rStyle w:val="KeywordTok"/>
        </w:rPr>
        <w:t xml:space="preserve">Open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open: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stm.State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br/>
      </w:r>
      <w:r>
        <w:rPr>
          <w:rStyle w:val="NormalTok"/>
        </w:rPr>
        <w:t xml:space="preserve">stm.</w:t>
      </w:r>
      <w:r>
        <w:rPr>
          <w:rStyle w:val="KeywordTok"/>
        </w:rPr>
        <w:t xml:space="preserve">Close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close: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stm.State</w:t>
      </w:r>
      <w:r>
        <w:rPr>
          <w:rStyle w:val="OtherTok"/>
        </w:rPr>
        <w:t xml:space="preserve">)</w:t>
      </w:r>
      <w:r>
        <w:br/>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89"/>
    <w:bookmarkStart w:id="5990" w:name="api-reference-175"/>
    <w:p>
      <w:pPr>
        <w:pStyle w:val="Heading2"/>
      </w:pPr>
      <w:r>
        <w:t xml:space="preserve">API Reference</w:t>
      </w:r>
    </w:p>
    <w:p>
      <w:pPr>
        <w:pStyle w:val="Compact"/>
        <w:numPr>
          <w:ilvl w:val="0"/>
          <w:numId w:val="2462"/>
        </w:numPr>
      </w:pPr>
      <w:r>
        <w:t xml:space="preserve">Object: ADODB.Stream</w:t>
      </w:r>
    </w:p>
    <w:p>
      <w:pPr>
        <w:pStyle w:val="Compact"/>
        <w:numPr>
          <w:ilvl w:val="0"/>
          <w:numId w:val="2462"/>
        </w:numPr>
      </w:pPr>
      <w:r>
        <w:t xml:space="preserve">Property: State</w:t>
      </w:r>
    </w:p>
    <w:p>
      <w:pPr>
        <w:pStyle w:val="Compact"/>
        <w:numPr>
          <w:ilvl w:val="0"/>
          <w:numId w:val="2462"/>
        </w:numPr>
      </w:pPr>
      <w:r>
        <w:t xml:space="preserve">Access: Read-only</w:t>
      </w:r>
    </w:p>
    <w:p>
      <w:pPr>
        <w:pStyle w:val="Compact"/>
        <w:numPr>
          <w:ilvl w:val="0"/>
          <w:numId w:val="2462"/>
        </w:numPr>
      </w:pPr>
      <w:r>
        <w:t xml:space="preserve">Type: Integer (</w:t>
      </w:r>
      <w:r>
        <w:rPr>
          <w:rStyle w:val="VerbatimChar"/>
        </w:rPr>
        <w:t xml:space="preserve">0</w:t>
      </w:r>
      <w:r>
        <w:t xml:space="preserve"> </w:t>
      </w:r>
      <w:r>
        <w:t xml:space="preserve">closed,</w:t>
      </w:r>
      <w:r>
        <w:t xml:space="preserve"> </w:t>
      </w:r>
      <w:r>
        <w:rPr>
          <w:rStyle w:val="VerbatimChar"/>
        </w:rPr>
        <w:t xml:space="preserve">1</w:t>
      </w:r>
      <w:r>
        <w:t xml:space="preserve"> </w:t>
      </w:r>
      <w:r>
        <w:t xml:space="preserve">open)</w:t>
      </w:r>
    </w:p>
    <w:bookmarkEnd w:id="5990"/>
    <w:bookmarkEnd w:id="5991"/>
    <w:bookmarkStart w:id="5998" w:name="position-property"/>
    <w:p>
      <w:pPr>
        <w:pStyle w:val="Heading1"/>
      </w:pPr>
      <w:r>
        <w:t xml:space="preserve">Position Property</w:t>
      </w:r>
    </w:p>
    <w:bookmarkStart w:id="5992" w:name="overview-636"/>
    <w:p>
      <w:pPr>
        <w:pStyle w:val="Heading2"/>
      </w:pPr>
      <w:r>
        <w:t xml:space="preserve">Overview</w:t>
      </w:r>
    </w:p>
    <w:p>
      <w:pPr>
        <w:pStyle w:val="FirstParagraph"/>
      </w:pPr>
      <w:r>
        <w:t xml:space="preserve">Gets or sets the current cursor position in the stream buffer.</w:t>
      </w:r>
    </w:p>
    <w:bookmarkEnd w:id="5992"/>
    <w:bookmarkStart w:id="5993" w:name="syntax-703"/>
    <w:p>
      <w:pPr>
        <w:pStyle w:val="Heading2"/>
      </w:pPr>
      <w:r>
        <w:t xml:space="preserve">Syntax</w:t>
      </w:r>
    </w:p>
    <w:p>
      <w:pPr>
        <w:pStyle w:val="SourceCode"/>
      </w:pPr>
      <w:r>
        <w:rPr>
          <w:rStyle w:val="NormalTok"/>
        </w:rPr>
        <w:t xml:space="preserve">value = stm.Position</w:t>
      </w:r>
      <w:r>
        <w:br/>
      </w:r>
      <w:r>
        <w:rPr>
          <w:rStyle w:val="NormalTok"/>
        </w:rPr>
        <w:t xml:space="preserve">stm.Position = newValue</w:t>
      </w:r>
    </w:p>
    <w:bookmarkEnd w:id="5993"/>
    <w:bookmarkStart w:id="5994" w:name="return-value-386"/>
    <w:p>
      <w:pPr>
        <w:pStyle w:val="Heading2"/>
      </w:pPr>
      <w:r>
        <w:t xml:space="preserve">Return Value</w:t>
      </w:r>
    </w:p>
    <w:p>
      <w:pPr>
        <w:pStyle w:val="FirstParagraph"/>
      </w:pPr>
      <w:r>
        <w:t xml:space="preserve">Integer. Returns the current byte offset from the start of the stream.</w:t>
      </w:r>
    </w:p>
    <w:bookmarkEnd w:id="5994"/>
    <w:bookmarkStart w:id="5995" w:name="remarks-678"/>
    <w:p>
      <w:pPr>
        <w:pStyle w:val="Heading2"/>
      </w:pPr>
      <w:r>
        <w:t xml:space="preserve">Remarks</w:t>
      </w:r>
    </w:p>
    <w:p>
      <w:pPr>
        <w:pStyle w:val="Compact"/>
        <w:numPr>
          <w:ilvl w:val="0"/>
          <w:numId w:val="2463"/>
        </w:numPr>
      </w:pPr>
      <w:r>
        <w:t xml:space="preserve">Property names are case-insensitive in G3Pix AxonASP.</w:t>
      </w:r>
    </w:p>
    <w:p>
      <w:pPr>
        <w:pStyle w:val="Compact"/>
        <w:numPr>
          <w:ilvl w:val="0"/>
          <w:numId w:val="2463"/>
        </w:numPr>
      </w:pPr>
      <w:r>
        <w:t xml:space="preserve">Valid range is</w:t>
      </w:r>
      <w:r>
        <w:t xml:space="preserve"> </w:t>
      </w:r>
      <w:r>
        <w:rPr>
          <w:rStyle w:val="VerbatimChar"/>
        </w:rPr>
        <w:t xml:space="preserve">0</w:t>
      </w:r>
      <w:r>
        <w:t xml:space="preserve"> </w:t>
      </w:r>
      <w:r>
        <w:t xml:space="preserve">to</w:t>
      </w:r>
      <w:r>
        <w:t xml:space="preserve"> </w:t>
      </w:r>
      <w:r>
        <w:rPr>
          <w:rStyle w:val="VerbatimChar"/>
        </w:rPr>
        <w:t xml:space="preserve">Size</w:t>
      </w:r>
      <w:r>
        <w:t xml:space="preserve">.</w:t>
      </w:r>
    </w:p>
    <w:p>
      <w:pPr>
        <w:pStyle w:val="Compact"/>
        <w:numPr>
          <w:ilvl w:val="0"/>
          <w:numId w:val="2463"/>
        </w:numPr>
      </w:pPr>
      <w:r>
        <w:t xml:space="preserve">Assignments below</w:t>
      </w:r>
      <w:r>
        <w:t xml:space="preserve"> </w:t>
      </w:r>
      <w:r>
        <w:rPr>
          <w:rStyle w:val="VerbatimChar"/>
        </w:rPr>
        <w:t xml:space="preserve">0</w:t>
      </w:r>
      <w:r>
        <w:t xml:space="preserve"> </w:t>
      </w:r>
      <w:r>
        <w:t xml:space="preserve">clamp to</w:t>
      </w:r>
      <w:r>
        <w:t xml:space="preserve"> </w:t>
      </w:r>
      <w:r>
        <w:rPr>
          <w:rStyle w:val="VerbatimChar"/>
        </w:rPr>
        <w:t xml:space="preserve">0</w:t>
      </w:r>
      <w:r>
        <w:t xml:space="preserve">; assignments above</w:t>
      </w:r>
      <w:r>
        <w:t xml:space="preserve"> </w:t>
      </w:r>
      <w:r>
        <w:rPr>
          <w:rStyle w:val="VerbatimChar"/>
        </w:rPr>
        <w:t xml:space="preserve">Size</w:t>
      </w:r>
      <w:r>
        <w:t xml:space="preserve"> </w:t>
      </w:r>
      <w:r>
        <w:t xml:space="preserve">clamp to</w:t>
      </w:r>
      <w:r>
        <w:t xml:space="preserve"> </w:t>
      </w:r>
      <w:r>
        <w:rPr>
          <w:rStyle w:val="VerbatimChar"/>
        </w:rPr>
        <w:t xml:space="preserve">Size</w:t>
      </w:r>
      <w:r>
        <w:t xml:space="preserve">.</w:t>
      </w:r>
    </w:p>
    <w:bookmarkEnd w:id="5995"/>
    <w:bookmarkStart w:id="5996" w:name="code-example-50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"abcdef"</w:t>
      </w:r>
      <w:r>
        <w:br/>
      </w:r>
      <w:r>
        <w:rPr>
          <w:rStyle w:val="NormalTok"/>
        </w:rPr>
        <w:t xml:space="preserve">stm.Position = </w:t>
      </w:r>
      <w:r>
        <w:rPr>
          <w:rStyle w:val="DecValTok"/>
        </w:rPr>
        <w:t xml:space="preserve">2</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"Current position: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stm.Position</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5996"/>
    <w:bookmarkStart w:id="5997" w:name="api-reference-176"/>
    <w:p>
      <w:pPr>
        <w:pStyle w:val="Heading2"/>
      </w:pPr>
      <w:r>
        <w:t xml:space="preserve">API Reference</w:t>
      </w:r>
    </w:p>
    <w:p>
      <w:pPr>
        <w:pStyle w:val="Compact"/>
        <w:numPr>
          <w:ilvl w:val="0"/>
          <w:numId w:val="2464"/>
        </w:numPr>
      </w:pPr>
      <w:r>
        <w:t xml:space="preserve">Object: ADODB.Stream</w:t>
      </w:r>
    </w:p>
    <w:p>
      <w:pPr>
        <w:pStyle w:val="Compact"/>
        <w:numPr>
          <w:ilvl w:val="0"/>
          <w:numId w:val="2464"/>
        </w:numPr>
      </w:pPr>
      <w:r>
        <w:t xml:space="preserve">Property: Position</w:t>
      </w:r>
    </w:p>
    <w:p>
      <w:pPr>
        <w:pStyle w:val="Compact"/>
        <w:numPr>
          <w:ilvl w:val="0"/>
          <w:numId w:val="2464"/>
        </w:numPr>
      </w:pPr>
      <w:r>
        <w:t xml:space="preserve">Access: Read/Write</w:t>
      </w:r>
    </w:p>
    <w:p>
      <w:pPr>
        <w:pStyle w:val="Compact"/>
        <w:numPr>
          <w:ilvl w:val="0"/>
          <w:numId w:val="2464"/>
        </w:numPr>
      </w:pPr>
      <w:r>
        <w:t xml:space="preserve">Type: Integer</w:t>
      </w:r>
    </w:p>
    <w:bookmarkEnd w:id="5997"/>
    <w:bookmarkEnd w:id="5998"/>
    <w:bookmarkStart w:id="6005" w:name="size-property"/>
    <w:p>
      <w:pPr>
        <w:pStyle w:val="Heading1"/>
      </w:pPr>
      <w:r>
        <w:t xml:space="preserve">Size Property</w:t>
      </w:r>
    </w:p>
    <w:bookmarkStart w:id="5999" w:name="overview-637"/>
    <w:p>
      <w:pPr>
        <w:pStyle w:val="Heading2"/>
      </w:pPr>
      <w:r>
        <w:t xml:space="preserve">Overview</w:t>
      </w:r>
    </w:p>
    <w:p>
      <w:pPr>
        <w:pStyle w:val="FirstParagraph"/>
      </w:pPr>
      <w:r>
        <w:t xml:space="preserve">Returns the current stream length in bytes.</w:t>
      </w:r>
    </w:p>
    <w:bookmarkEnd w:id="5999"/>
    <w:bookmarkStart w:id="6000" w:name="syntax-704"/>
    <w:p>
      <w:pPr>
        <w:pStyle w:val="Heading2"/>
      </w:pPr>
      <w:r>
        <w:t xml:space="preserve">Syntax</w:t>
      </w:r>
    </w:p>
    <w:p>
      <w:pPr>
        <w:pStyle w:val="SourceCode"/>
      </w:pPr>
      <w:r>
        <w:rPr>
          <w:rStyle w:val="NormalTok"/>
        </w:rPr>
        <w:t xml:space="preserve">value = stm.Size</w:t>
      </w:r>
    </w:p>
    <w:bookmarkEnd w:id="6000"/>
    <w:bookmarkStart w:id="6001" w:name="return-value-387"/>
    <w:p>
      <w:pPr>
        <w:pStyle w:val="Heading2"/>
      </w:pPr>
      <w:r>
        <w:t xml:space="preserve">Return Value</w:t>
      </w:r>
    </w:p>
    <w:p>
      <w:pPr>
        <w:pStyle w:val="FirstParagraph"/>
      </w:pPr>
      <w:r>
        <w:t xml:space="preserve">Integer. Returns total byte count stored in the stream buffer.</w:t>
      </w:r>
    </w:p>
    <w:bookmarkEnd w:id="6001"/>
    <w:bookmarkStart w:id="6002" w:name="remarks-679"/>
    <w:p>
      <w:pPr>
        <w:pStyle w:val="Heading2"/>
      </w:pPr>
      <w:r>
        <w:t xml:space="preserve">Remarks</w:t>
      </w:r>
    </w:p>
    <w:p>
      <w:pPr>
        <w:pStyle w:val="Compact"/>
        <w:numPr>
          <w:ilvl w:val="0"/>
          <w:numId w:val="2465"/>
        </w:numPr>
      </w:pPr>
      <w:r>
        <w:t xml:space="preserve">Property names are case-insensitive in G3Pix AxonASP.</w:t>
      </w:r>
    </w:p>
    <w:p>
      <w:pPr>
        <w:pStyle w:val="Compact"/>
        <w:numPr>
          <w:ilvl w:val="0"/>
          <w:numId w:val="2465"/>
        </w:numPr>
      </w:pPr>
      <w:r>
        <w:t xml:space="preserve">This property is read-only.</w:t>
      </w:r>
    </w:p>
    <w:p>
      <w:pPr>
        <w:pStyle w:val="Compact"/>
        <w:numPr>
          <w:ilvl w:val="0"/>
          <w:numId w:val="2465"/>
        </w:numPr>
      </w:pPr>
      <w:r>
        <w:rPr>
          <w:rStyle w:val="VerbatimChar"/>
        </w:rPr>
        <w:t xml:space="preserve">Size</w:t>
      </w:r>
      <w:r>
        <w:t xml:space="preserve"> </w:t>
      </w:r>
      <w:r>
        <w:t xml:space="preserve">changes after</w:t>
      </w:r>
      <w:r>
        <w:t xml:space="preserve"> </w:t>
      </w:r>
      <w:r>
        <w:rPr>
          <w:rStyle w:val="VerbatimChar"/>
        </w:rPr>
        <w:t xml:space="preserve">Write</w:t>
      </w:r>
      <w:r>
        <w:t xml:space="preserve">,</w:t>
      </w:r>
      <w:r>
        <w:t xml:space="preserve"> </w:t>
      </w:r>
      <w:r>
        <w:rPr>
          <w:rStyle w:val="VerbatimChar"/>
        </w:rPr>
        <w:t xml:space="preserve">WriteText</w:t>
      </w:r>
      <w:r>
        <w:t xml:space="preserve">,</w:t>
      </w:r>
      <w:r>
        <w:t xml:space="preserve"> </w:t>
      </w:r>
      <w:r>
        <w:rPr>
          <w:rStyle w:val="VerbatimChar"/>
        </w:rPr>
        <w:t xml:space="preserve">LoadFromFile</w:t>
      </w:r>
      <w:r>
        <w:t xml:space="preserve">,</w:t>
      </w:r>
      <w:r>
        <w:t xml:space="preserve"> </w:t>
      </w:r>
      <w:r>
        <w:rPr>
          <w:rStyle w:val="VerbatimChar"/>
        </w:rPr>
        <w:t xml:space="preserve">CopyTo</w:t>
      </w:r>
      <w:r>
        <w:t xml:space="preserve">, or</w:t>
      </w:r>
      <w:r>
        <w:t xml:space="preserve"> </w:t>
      </w:r>
      <w:r>
        <w:rPr>
          <w:rStyle w:val="VerbatimChar"/>
        </w:rPr>
        <w:t xml:space="preserve">SetEOS</w:t>
      </w:r>
      <w:r>
        <w:t xml:space="preserve">.</w:t>
      </w:r>
    </w:p>
    <w:bookmarkEnd w:id="6002"/>
    <w:bookmarkStart w:id="6003" w:name="code-example-50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"hello"</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"Size in bytes: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stm.Size</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6003"/>
    <w:bookmarkStart w:id="6004" w:name="api-reference-177"/>
    <w:p>
      <w:pPr>
        <w:pStyle w:val="Heading2"/>
      </w:pPr>
      <w:r>
        <w:t xml:space="preserve">API Reference</w:t>
      </w:r>
    </w:p>
    <w:p>
      <w:pPr>
        <w:pStyle w:val="Compact"/>
        <w:numPr>
          <w:ilvl w:val="0"/>
          <w:numId w:val="2466"/>
        </w:numPr>
      </w:pPr>
      <w:r>
        <w:t xml:space="preserve">Object: ADODB.Stream</w:t>
      </w:r>
    </w:p>
    <w:p>
      <w:pPr>
        <w:pStyle w:val="Compact"/>
        <w:numPr>
          <w:ilvl w:val="0"/>
          <w:numId w:val="2466"/>
        </w:numPr>
      </w:pPr>
      <w:r>
        <w:t xml:space="preserve">Property: Size</w:t>
      </w:r>
    </w:p>
    <w:p>
      <w:pPr>
        <w:pStyle w:val="Compact"/>
        <w:numPr>
          <w:ilvl w:val="0"/>
          <w:numId w:val="2466"/>
        </w:numPr>
      </w:pPr>
      <w:r>
        <w:t xml:space="preserve">Access: Read-only</w:t>
      </w:r>
    </w:p>
    <w:p>
      <w:pPr>
        <w:pStyle w:val="Compact"/>
        <w:numPr>
          <w:ilvl w:val="0"/>
          <w:numId w:val="2466"/>
        </w:numPr>
      </w:pPr>
      <w:r>
        <w:t xml:space="preserve">Type: Integer</w:t>
      </w:r>
    </w:p>
    <w:bookmarkEnd w:id="6004"/>
    <w:bookmarkEnd w:id="6005"/>
    <w:bookmarkStart w:id="6012" w:name="charset-property-1"/>
    <w:p>
      <w:pPr>
        <w:pStyle w:val="Heading1"/>
      </w:pPr>
      <w:r>
        <w:t xml:space="preserve">Charset Property</w:t>
      </w:r>
    </w:p>
    <w:bookmarkStart w:id="6006" w:name="overview-638"/>
    <w:p>
      <w:pPr>
        <w:pStyle w:val="Heading2"/>
      </w:pPr>
      <w:r>
        <w:t xml:space="preserve">Overview</w:t>
      </w:r>
    </w:p>
    <w:p>
      <w:pPr>
        <w:pStyle w:val="FirstParagraph"/>
      </w:pPr>
      <w:r>
        <w:t xml:space="preserve">Gets or sets the text encoding used by</w:t>
      </w:r>
      <w:r>
        <w:t xml:space="preserve"> </w:t>
      </w:r>
      <w:r>
        <w:rPr>
          <w:rStyle w:val="VerbatimChar"/>
        </w:rPr>
        <w:t xml:space="preserve">ReadText</w:t>
      </w:r>
      <w:r>
        <w:t xml:space="preserve"> </w:t>
      </w:r>
      <w:r>
        <w:t xml:space="preserve">and</w:t>
      </w:r>
      <w:r>
        <w:t xml:space="preserve"> </w:t>
      </w:r>
      <w:r>
        <w:rPr>
          <w:rStyle w:val="VerbatimChar"/>
        </w:rPr>
        <w:t xml:space="preserve">WriteText</w:t>
      </w:r>
      <w:r>
        <w:t xml:space="preserve">.</w:t>
      </w:r>
    </w:p>
    <w:bookmarkEnd w:id="6006"/>
    <w:bookmarkStart w:id="6007" w:name="syntax-705"/>
    <w:p>
      <w:pPr>
        <w:pStyle w:val="Heading2"/>
      </w:pPr>
      <w:r>
        <w:t xml:space="preserve">Syntax</w:t>
      </w:r>
    </w:p>
    <w:p>
      <w:pPr>
        <w:pStyle w:val="SourceCode"/>
      </w:pPr>
      <w:r>
        <w:rPr>
          <w:rStyle w:val="NormalTok"/>
        </w:rPr>
        <w:t xml:space="preserve">value = stm.Charset</w:t>
      </w:r>
      <w:r>
        <w:br/>
      </w:r>
      <w:r>
        <w:rPr>
          <w:rStyle w:val="NormalTok"/>
        </w:rPr>
        <w:t xml:space="preserve">stm.Charset = newValue</w:t>
      </w:r>
    </w:p>
    <w:bookmarkEnd w:id="6007"/>
    <w:bookmarkStart w:id="6008" w:name="return-value-388"/>
    <w:p>
      <w:pPr>
        <w:pStyle w:val="Heading2"/>
      </w:pPr>
      <w:r>
        <w:t xml:space="preserve">Return Value</w:t>
      </w:r>
    </w:p>
    <w:p>
      <w:pPr>
        <w:pStyle w:val="FirstParagraph"/>
      </w:pPr>
      <w:r>
        <w:t xml:space="preserve">String. Returns the active charset name.</w:t>
      </w:r>
    </w:p>
    <w:bookmarkEnd w:id="6008"/>
    <w:bookmarkStart w:id="6009" w:name="remarks-680"/>
    <w:p>
      <w:pPr>
        <w:pStyle w:val="Heading2"/>
      </w:pPr>
      <w:r>
        <w:t xml:space="preserve">Remarks</w:t>
      </w:r>
    </w:p>
    <w:p>
      <w:pPr>
        <w:pStyle w:val="Compact"/>
        <w:numPr>
          <w:ilvl w:val="0"/>
          <w:numId w:val="2467"/>
        </w:numPr>
      </w:pPr>
      <w:r>
        <w:t xml:space="preserve">Property names are case-insensitive in G3Pix AxonASP.</w:t>
      </w:r>
    </w:p>
    <w:p>
      <w:pPr>
        <w:pStyle w:val="Compact"/>
        <w:numPr>
          <w:ilvl w:val="0"/>
          <w:numId w:val="2467"/>
        </w:numPr>
      </w:pPr>
      <w:r>
        <w:t xml:space="preserve">This property affects text mode (</w:t>
      </w:r>
      <w:r>
        <w:rPr>
          <w:rStyle w:val="VerbatimChar"/>
        </w:rPr>
        <w:t xml:space="preserve">Type = 2</w:t>
      </w:r>
      <w:r>
        <w:t xml:space="preserve">) operations.</w:t>
      </w:r>
    </w:p>
    <w:p>
      <w:pPr>
        <w:pStyle w:val="Compact"/>
        <w:numPr>
          <w:ilvl w:val="0"/>
          <w:numId w:val="2467"/>
        </w:numPr>
      </w:pPr>
      <w:r>
        <w:t xml:space="preserve">New stream objects default to</w:t>
      </w:r>
      <w:r>
        <w:t xml:space="preserve"> </w:t>
      </w:r>
      <w:r>
        <w:rPr>
          <w:rStyle w:val="VerbatimChar"/>
        </w:rPr>
        <w:t xml:space="preserve">unicode</w:t>
      </w:r>
      <w:r>
        <w:t xml:space="preserve">.</w:t>
      </w:r>
    </w:p>
    <w:p>
      <w:pPr>
        <w:pStyle w:val="Compact"/>
        <w:numPr>
          <w:ilvl w:val="0"/>
          <w:numId w:val="2467"/>
        </w:numPr>
      </w:pPr>
      <w:r>
        <w:t xml:space="preserve">Assigning an empty charset value resets to</w:t>
      </w:r>
      <w:r>
        <w:t xml:space="preserve"> </w:t>
      </w:r>
      <w:r>
        <w:rPr>
          <w:rStyle w:val="VerbatimChar"/>
        </w:rPr>
        <w:t xml:space="preserve">utf-8</w:t>
      </w:r>
      <w:r>
        <w:t xml:space="preserve"> </w:t>
      </w:r>
      <w:r>
        <w:t xml:space="preserve">in current runtime behavior.</w:t>
      </w:r>
    </w:p>
    <w:bookmarkEnd w:id="6009"/>
    <w:bookmarkStart w:id="6010" w:name="code-example-50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"cafe"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"Charset: "</w:t>
      </w:r>
      <w:r>
        <w:rPr>
          <w:rStyle w:val="NormalTok"/>
        </w:rPr>
        <w:t xml:space="preserve"> </w:t>
      </w:r>
      <w:r>
        <w:rPr>
          <w:rStyle w:val="KeywordTok"/>
        </w:rPr>
        <w:t xml:space="preserve">&amp;</w:t>
      </w:r>
      <w:r>
        <w:rPr>
          <w:rStyle w:val="NormalTok"/>
        </w:rPr>
        <w:t xml:space="preserve"> stm.Charset</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6010"/>
    <w:bookmarkStart w:id="6011" w:name="api-reference-178"/>
    <w:p>
      <w:pPr>
        <w:pStyle w:val="Heading2"/>
      </w:pPr>
      <w:r>
        <w:t xml:space="preserve">API Reference</w:t>
      </w:r>
    </w:p>
    <w:p>
      <w:pPr>
        <w:pStyle w:val="Compact"/>
        <w:numPr>
          <w:ilvl w:val="0"/>
          <w:numId w:val="2468"/>
        </w:numPr>
      </w:pPr>
      <w:r>
        <w:t xml:space="preserve">Object: ADODB.Stream</w:t>
      </w:r>
    </w:p>
    <w:p>
      <w:pPr>
        <w:pStyle w:val="Compact"/>
        <w:numPr>
          <w:ilvl w:val="0"/>
          <w:numId w:val="2468"/>
        </w:numPr>
      </w:pPr>
      <w:r>
        <w:t xml:space="preserve">Property: Charset</w:t>
      </w:r>
    </w:p>
    <w:p>
      <w:pPr>
        <w:pStyle w:val="Compact"/>
        <w:numPr>
          <w:ilvl w:val="0"/>
          <w:numId w:val="2468"/>
        </w:numPr>
      </w:pPr>
      <w:r>
        <w:t xml:space="preserve">Access: Read/Write</w:t>
      </w:r>
    </w:p>
    <w:p>
      <w:pPr>
        <w:pStyle w:val="Compact"/>
        <w:numPr>
          <w:ilvl w:val="0"/>
          <w:numId w:val="2468"/>
        </w:numPr>
      </w:pPr>
      <w:r>
        <w:t xml:space="preserve">Type: String</w:t>
      </w:r>
    </w:p>
    <w:bookmarkEnd w:id="6011"/>
    <w:bookmarkEnd w:id="6012"/>
    <w:bookmarkStart w:id="6019" w:name="lineseparator-property"/>
    <w:p>
      <w:pPr>
        <w:pStyle w:val="Heading1"/>
      </w:pPr>
      <w:r>
        <w:t xml:space="preserve">LineSeparator Property</w:t>
      </w:r>
    </w:p>
    <w:bookmarkStart w:id="6013" w:name="overview-639"/>
    <w:p>
      <w:pPr>
        <w:pStyle w:val="Heading2"/>
      </w:pPr>
      <w:r>
        <w:t xml:space="preserve">Overview</w:t>
      </w:r>
    </w:p>
    <w:p>
      <w:pPr>
        <w:pStyle w:val="FirstParagraph"/>
      </w:pPr>
      <w:r>
        <w:t xml:space="preserve">Gets or sets the line separator written by</w:t>
      </w:r>
      <w:r>
        <w:t xml:space="preserve"> </w:t>
      </w:r>
      <w:r>
        <w:rPr>
          <w:rStyle w:val="VerbatimChar"/>
        </w:rPr>
        <w:t xml:space="preserve">WriteText</w:t>
      </w:r>
      <w:r>
        <w:t xml:space="preserve"> </w:t>
      </w:r>
      <w:r>
        <w:t xml:space="preserve">when append-line mode is enabled.</w:t>
      </w:r>
    </w:p>
    <w:bookmarkEnd w:id="6013"/>
    <w:bookmarkStart w:id="6014" w:name="syntax-706"/>
    <w:p>
      <w:pPr>
        <w:pStyle w:val="Heading2"/>
      </w:pPr>
      <w:r>
        <w:t xml:space="preserve">Syntax</w:t>
      </w:r>
    </w:p>
    <w:p>
      <w:pPr>
        <w:pStyle w:val="SourceCode"/>
      </w:pPr>
      <w:r>
        <w:rPr>
          <w:rStyle w:val="NormalTok"/>
        </w:rPr>
        <w:t xml:space="preserve">value = stm.LineSeparator</w:t>
      </w:r>
      <w:r>
        <w:br/>
      </w:r>
      <w:r>
        <w:rPr>
          <w:rStyle w:val="NormalTok"/>
        </w:rPr>
        <w:t xml:space="preserve">stm.LineSeparator = newValue</w:t>
      </w:r>
    </w:p>
    <w:bookmarkEnd w:id="6014"/>
    <w:bookmarkStart w:id="6015" w:name="return-value-389"/>
    <w:p>
      <w:pPr>
        <w:pStyle w:val="Heading2"/>
      </w:pPr>
      <w:r>
        <w:t xml:space="preserve">Return Value</w:t>
      </w:r>
    </w:p>
    <w:p>
      <w:pPr>
        <w:pStyle w:val="FirstParagraph"/>
      </w:pPr>
      <w:r>
        <w:t xml:space="preserve">Integer. Returns the active line separator flag.</w:t>
      </w:r>
    </w:p>
    <w:bookmarkEnd w:id="6015"/>
    <w:bookmarkStart w:id="6016" w:name="remarks-681"/>
    <w:p>
      <w:pPr>
        <w:pStyle w:val="Heading2"/>
      </w:pPr>
      <w:r>
        <w:t xml:space="preserve">Remarks</w:t>
      </w:r>
    </w:p>
    <w:p>
      <w:pPr>
        <w:pStyle w:val="Compact"/>
        <w:numPr>
          <w:ilvl w:val="0"/>
          <w:numId w:val="2469"/>
        </w:numPr>
      </w:pPr>
      <w:r>
        <w:t xml:space="preserve">Property names are case-insensitive in G3Pix AxonASP.</w:t>
      </w:r>
    </w:p>
    <w:p>
      <w:pPr>
        <w:pStyle w:val="Compact"/>
        <w:numPr>
          <w:ilvl w:val="0"/>
          <w:numId w:val="2469"/>
        </w:numPr>
      </w:pPr>
      <w:r>
        <w:t xml:space="preserve">Common values are</w:t>
      </w:r>
      <w:r>
        <w:t xml:space="preserve"> </w:t>
      </w:r>
      <w:r>
        <w:rPr>
          <w:rStyle w:val="VerbatimChar"/>
        </w:rPr>
        <w:t xml:space="preserve">10</w:t>
      </w:r>
      <w:r>
        <w:t xml:space="preserve"> </w:t>
      </w:r>
      <w:r>
        <w:t xml:space="preserve">(LF) and</w:t>
      </w:r>
      <w:r>
        <w:t xml:space="preserve"> </w:t>
      </w:r>
      <w:r>
        <w:rPr>
          <w:rStyle w:val="VerbatimChar"/>
        </w:rPr>
        <w:t xml:space="preserve">13</w:t>
      </w:r>
      <w:r>
        <w:t xml:space="preserve"> </w:t>
      </w:r>
      <w:r>
        <w:t xml:space="preserve">(CR).</w:t>
      </w:r>
    </w:p>
    <w:p>
      <w:pPr>
        <w:pStyle w:val="Compact"/>
        <w:numPr>
          <w:ilvl w:val="0"/>
          <w:numId w:val="2469"/>
        </w:numPr>
      </w:pPr>
      <w:r>
        <w:t xml:space="preserve">This property is used only when</w:t>
      </w:r>
      <w:r>
        <w:t xml:space="preserve"> </w:t>
      </w:r>
      <w:r>
        <w:rPr>
          <w:rStyle w:val="VerbatimChar"/>
        </w:rPr>
        <w:t xml:space="preserve">WriteText</w:t>
      </w:r>
      <w:r>
        <w:t xml:space="preserve"> </w:t>
      </w:r>
      <w:r>
        <w:t xml:space="preserve">is called with the optional append-line flag set to</w:t>
      </w:r>
      <w:r>
        <w:t xml:space="preserve"> </w:t>
      </w:r>
      <w:r>
        <w:rPr>
          <w:rStyle w:val="VerbatimChar"/>
        </w:rPr>
        <w:t xml:space="preserve">1</w:t>
      </w:r>
      <w:r>
        <w:t xml:space="preserve">.</w:t>
      </w:r>
    </w:p>
    <w:bookmarkEnd w:id="6016"/>
    <w:bookmarkStart w:id="6017" w:name="code-example-50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stm.Charset = </w:t>
      </w:r>
      <w:r>
        <w:rPr>
          <w:rStyle w:val="StringTok"/>
        </w:rPr>
        <w:t xml:space="preserve">"utf-8"</w:t>
      </w:r>
      <w:r>
        <w:br/>
      </w:r>
      <w:r>
        <w:rPr>
          <w:rStyle w:val="NormalTok"/>
        </w:rPr>
        <w:t xml:space="preserve">stm.LineSeparator = </w:t>
      </w:r>
      <w:r>
        <w:rPr>
          <w:rStyle w:val="DecValTok"/>
        </w:rPr>
        <w:t xml:space="preserve">10</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"line1"</w:t>
      </w:r>
      <w:r>
        <w:rPr>
          <w:rStyle w:val="OtherTok"/>
        </w:rPr>
        <w:t xml:space="preserve">,</w:t>
      </w:r>
      <w:r>
        <w:rPr>
          <w:rStyle w:val="NormalTok"/>
        </w:rPr>
        <w:t xml:space="preserve"> </w:t>
      </w:r>
      <w:r>
        <w:rPr>
          <w:rStyle w:val="DecValTok"/>
        </w:rPr>
        <w:t xml:space="preserve">1</w:t>
      </w:r>
      <w:r>
        <w:br/>
      </w:r>
      <w:r>
        <w:rPr>
          <w:rStyle w:val="NormalTok"/>
        </w:rPr>
        <w:t xml:space="preserve">stm.WriteText </w:t>
      </w:r>
      <w:r>
        <w:rPr>
          <w:rStyle w:val="StringTok"/>
        </w:rPr>
        <w:t xml:space="preserve">"line2"</w:t>
      </w:r>
      <w:r>
        <w:rPr>
          <w:rStyle w:val="OtherTok"/>
        </w:rPr>
        <w:t xml:space="preserve">,</w:t>
      </w:r>
      <w:r>
        <w:rPr>
          <w:rStyle w:val="NormalTok"/>
        </w:rPr>
        <w:t xml:space="preserve"> </w:t>
      </w:r>
      <w:r>
        <w:rPr>
          <w:rStyle w:val="DecValTok"/>
        </w:rPr>
        <w:t xml:space="preserve">1</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"LineSeparator: "</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NormalTok"/>
        </w:rPr>
        <w:t xml:space="preserve">stm.LineSeparator</w:t>
      </w:r>
      <w:r>
        <w:rPr>
          <w:rStyle w:val="OtherTok"/>
        </w:rPr>
        <w:t xml:space="preserve">)</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6017"/>
    <w:bookmarkStart w:id="6018" w:name="api-reference-179"/>
    <w:p>
      <w:pPr>
        <w:pStyle w:val="Heading2"/>
      </w:pPr>
      <w:r>
        <w:t xml:space="preserve">API Reference</w:t>
      </w:r>
    </w:p>
    <w:p>
      <w:pPr>
        <w:pStyle w:val="Compact"/>
        <w:numPr>
          <w:ilvl w:val="0"/>
          <w:numId w:val="2470"/>
        </w:numPr>
      </w:pPr>
      <w:r>
        <w:t xml:space="preserve">Object: ADODB.Stream</w:t>
      </w:r>
    </w:p>
    <w:p>
      <w:pPr>
        <w:pStyle w:val="Compact"/>
        <w:numPr>
          <w:ilvl w:val="0"/>
          <w:numId w:val="2470"/>
        </w:numPr>
      </w:pPr>
      <w:r>
        <w:t xml:space="preserve">Property: LineSeparator</w:t>
      </w:r>
    </w:p>
    <w:p>
      <w:pPr>
        <w:pStyle w:val="Compact"/>
        <w:numPr>
          <w:ilvl w:val="0"/>
          <w:numId w:val="2470"/>
        </w:numPr>
      </w:pPr>
      <w:r>
        <w:t xml:space="preserve">Access: Read/Write</w:t>
      </w:r>
    </w:p>
    <w:p>
      <w:pPr>
        <w:pStyle w:val="Compact"/>
        <w:numPr>
          <w:ilvl w:val="0"/>
          <w:numId w:val="2470"/>
        </w:numPr>
      </w:pPr>
      <w:r>
        <w:t xml:space="preserve">Type: Integer</w:t>
      </w:r>
    </w:p>
    <w:bookmarkEnd w:id="6018"/>
    <w:bookmarkEnd w:id="6019"/>
    <w:bookmarkStart w:id="6027" w:name="eos-property"/>
    <w:p>
      <w:pPr>
        <w:pStyle w:val="Heading1"/>
      </w:pPr>
      <w:r>
        <w:t xml:space="preserve">EOS Property</w:t>
      </w:r>
    </w:p>
    <w:bookmarkStart w:id="6020" w:name="overview-640"/>
    <w:p>
      <w:pPr>
        <w:pStyle w:val="Heading2"/>
      </w:pPr>
      <w:r>
        <w:t xml:space="preserve">Overview</w:t>
      </w:r>
    </w:p>
    <w:p>
      <w:pPr>
        <w:pStyle w:val="FirstParagraph"/>
      </w:pPr>
      <w:r>
        <w:t xml:space="preserve">Indicates whether current stream position is at or beyond end-of-stream.</w:t>
      </w:r>
    </w:p>
    <w:bookmarkEnd w:id="6020"/>
    <w:bookmarkStart w:id="6021" w:name="syntax-707"/>
    <w:p>
      <w:pPr>
        <w:pStyle w:val="Heading2"/>
      </w:pPr>
      <w:r>
        <w:t xml:space="preserve">Syntax</w:t>
      </w:r>
    </w:p>
    <w:p>
      <w:pPr>
        <w:pStyle w:val="SourceCode"/>
      </w:pPr>
      <w:r>
        <w:rPr>
          <w:rStyle w:val="NormalTok"/>
        </w:rPr>
        <w:t xml:space="preserve">value = stm.EOS</w:t>
      </w:r>
    </w:p>
    <w:bookmarkEnd w:id="6021"/>
    <w:bookmarkStart w:id="6022" w:name="return-value-390"/>
    <w:p>
      <w:pPr>
        <w:pStyle w:val="Heading2"/>
      </w:pPr>
      <w:r>
        <w:t xml:space="preserve">Return Value</w:t>
      </w:r>
    </w:p>
    <w:p>
      <w:pPr>
        <w:pStyle w:val="FirstParagraph"/>
      </w:pPr>
      <w:r>
        <w:t xml:space="preserve">Boolean. Returns</w:t>
      </w:r>
      <w:r>
        <w:t xml:space="preserve"> </w:t>
      </w:r>
      <w:r>
        <w:rPr>
          <w:rStyle w:val="VerbatimChar"/>
        </w:rPr>
        <w:t xml:space="preserve">True</w:t>
      </w:r>
      <w:r>
        <w:t xml:space="preserve"> </w:t>
      </w:r>
      <w:r>
        <w:t xml:space="preserve">when</w:t>
      </w:r>
      <w:r>
        <w:t xml:space="preserve"> </w:t>
      </w:r>
      <w:r>
        <w:rPr>
          <w:rStyle w:val="VerbatimChar"/>
        </w:rPr>
        <w:t xml:space="preserve">Position &gt;= Size</w:t>
      </w:r>
      <w:r>
        <w:t xml:space="preserve">; otherwise returns</w:t>
      </w:r>
      <w:r>
        <w:t xml:space="preserve"> </w:t>
      </w:r>
      <w:r>
        <w:rPr>
          <w:rStyle w:val="VerbatimChar"/>
        </w:rPr>
        <w:t xml:space="preserve">False</w:t>
      </w:r>
      <w:r>
        <w:t xml:space="preserve">.</w:t>
      </w:r>
    </w:p>
    <w:bookmarkEnd w:id="6022"/>
    <w:bookmarkStart w:id="6023" w:name="remarks-682"/>
    <w:p>
      <w:pPr>
        <w:pStyle w:val="Heading2"/>
      </w:pPr>
      <w:r>
        <w:t xml:space="preserve">Remarks</w:t>
      </w:r>
    </w:p>
    <w:p>
      <w:pPr>
        <w:pStyle w:val="Compact"/>
        <w:numPr>
          <w:ilvl w:val="0"/>
          <w:numId w:val="2471"/>
        </w:numPr>
      </w:pPr>
      <w:r>
        <w:t xml:space="preserve">Property names are case-insensitive in G3Pix AxonASP.</w:t>
      </w:r>
    </w:p>
    <w:p>
      <w:pPr>
        <w:pStyle w:val="Compact"/>
        <w:numPr>
          <w:ilvl w:val="0"/>
          <w:numId w:val="2471"/>
        </w:numPr>
      </w:pPr>
      <w:r>
        <w:t xml:space="preserve">This property is read-only.</w:t>
      </w:r>
    </w:p>
    <w:p>
      <w:pPr>
        <w:pStyle w:val="Compact"/>
        <w:numPr>
          <w:ilvl w:val="0"/>
          <w:numId w:val="2471"/>
        </w:numPr>
      </w:pPr>
      <w:r>
        <w:t xml:space="preserve">Use</w:t>
      </w:r>
      <w:r>
        <w:t xml:space="preserve"> </w:t>
      </w:r>
      <w:r>
        <w:rPr>
          <w:rStyle w:val="VerbatimChar"/>
        </w:rPr>
        <w:t xml:space="preserve">EOS</w:t>
      </w:r>
      <w:r>
        <w:t xml:space="preserve"> </w:t>
      </w:r>
      <w:r>
        <w:t xml:space="preserve">in loops to stop reading safely.</w:t>
      </w:r>
    </w:p>
    <w:bookmarkEnd w:id="6023"/>
    <w:bookmarkStart w:id="6024" w:name="code-example-50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stm</w:t>
      </w:r>
      <w:r>
        <w:br/>
      </w:r>
      <w:r>
        <w:br/>
      </w:r>
      <w:r>
        <w:rPr>
          <w:rStyle w:val="KeywordTok"/>
        </w:rPr>
        <w:t xml:space="preserve">Set</w:t>
      </w:r>
      <w:r>
        <w:rPr>
          <w:rStyle w:val="NormalTok"/>
        </w:rPr>
        <w:t xml:space="preserve"> stm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"ADODB.Stream"</w:t>
      </w:r>
      <w:r>
        <w:rPr>
          <w:rStyle w:val="OtherTok"/>
        </w:rPr>
        <w:t xml:space="preserve">)</w:t>
      </w:r>
      <w:r>
        <w:br/>
      </w:r>
      <w:r>
        <w:rPr>
          <w:rStyle w:val="NormalTok"/>
        </w:rPr>
        <w:t xml:space="preserve">stm.Type = </w:t>
      </w:r>
      <w:r>
        <w:rPr>
          <w:rStyle w:val="DecValTok"/>
        </w:rPr>
        <w:t xml:space="preserve">2</w:t>
      </w:r>
      <w:r>
        <w:br/>
      </w:r>
      <w:r>
        <w:rPr>
          <w:rStyle w:val="NormalTok"/>
        </w:rPr>
        <w:t xml:space="preserve">stm.</w:t>
      </w:r>
      <w:r>
        <w:rPr>
          <w:rStyle w:val="KeywordTok"/>
        </w:rPr>
        <w:t xml:space="preserve">Open</w:t>
      </w:r>
      <w:r>
        <w:br/>
      </w:r>
      <w:r>
        <w:rPr>
          <w:rStyle w:val="NormalTok"/>
        </w:rPr>
        <w:t xml:space="preserve">stm.WriteText </w:t>
      </w:r>
      <w:r>
        <w:rPr>
          <w:rStyle w:val="StringTok"/>
        </w:rPr>
        <w:t xml:space="preserve">"abc"</w:t>
      </w:r>
      <w:r>
        <w:br/>
      </w:r>
      <w:r>
        <w:rPr>
          <w:rStyle w:val="NormalTok"/>
        </w:rPr>
        <w:t xml:space="preserve">stm.Position = </w:t>
      </w:r>
      <w:r>
        <w:rPr>
          <w:rStyle w:val="DecValTok"/>
        </w:rPr>
        <w:t xml:space="preserve">0</w:t>
      </w:r>
      <w:r>
        <w:br/>
      </w:r>
      <w:r>
        <w:br/>
      </w:r>
      <w:r>
        <w:rPr>
          <w:rStyle w:val="ControlFlowTok"/>
        </w:rPr>
        <w:t xml:space="preserve">Do While</w:t>
      </w:r>
      <w:r>
        <w:rPr>
          <w:rStyle w:val="NormalTok"/>
        </w:rPr>
        <w:t xml:space="preserve"> </w:t>
      </w:r>
      <w:r>
        <w:rPr>
          <w:rStyle w:val="KeywordTok"/>
        </w:rPr>
        <w:t xml:space="preserve">Not</w:t>
      </w:r>
      <w:r>
        <w:rPr>
          <w:rStyle w:val="NormalTok"/>
        </w:rPr>
        <w:t xml:space="preserve"> stm.EOS</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stm.ReadText</w:t>
      </w:r>
      <w:r>
        <w:rPr>
          <w:rStyle w:val="OtherTok"/>
        </w:rPr>
        <w:t xml:space="preserve">(</w:t>
      </w:r>
      <w:r>
        <w:rPr>
          <w:rStyle w:val="DecValTok"/>
        </w:rPr>
        <w:t xml:space="preserve">1</w:t>
      </w:r>
      <w:r>
        <w:rPr>
          <w:rStyle w:val="OtherTok"/>
        </w:rPr>
        <w:t xml:space="preserve">)</w:t>
      </w:r>
      <w:r>
        <w:br/>
      </w:r>
      <w:r>
        <w:rPr>
          <w:rStyle w:val="ControlFlowTok"/>
        </w:rPr>
        <w:t xml:space="preserve">Loop</w:t>
      </w:r>
      <w:r>
        <w:br/>
      </w:r>
      <w:r>
        <w:br/>
      </w:r>
      <w:r>
        <w:rPr>
          <w:rStyle w:val="NormalTok"/>
        </w:rPr>
        <w:t xml:space="preserve">stm.</w:t>
      </w:r>
      <w:r>
        <w:rPr>
          <w:rStyle w:val="KeywordTok"/>
        </w:rPr>
        <w:t xml:space="preserve">Close</w:t>
      </w:r>
      <w:r>
        <w:br/>
      </w:r>
      <w:r>
        <w:rPr>
          <w:rStyle w:val="KeywordTok"/>
        </w:rPr>
        <w:t xml:space="preserve">Set</w:t>
      </w:r>
      <w:r>
        <w:rPr>
          <w:rStyle w:val="NormalTok"/>
        </w:rPr>
        <w:t xml:space="preserve"> stm = </w:t>
      </w:r>
      <w:r>
        <w:rPr>
          <w:rStyle w:val="KeywordTok"/>
        </w:rPr>
        <w:t xml:space="preserve">Nothing</w:t>
      </w:r>
      <w:r>
        <w:br/>
      </w:r>
      <w:r>
        <w:rPr>
          <w:rStyle w:val="DataTypeTok"/>
        </w:rPr>
        <w:t xml:space="preserve">%&gt;</w:t>
      </w:r>
    </w:p>
    <w:bookmarkEnd w:id="6024"/>
    <w:bookmarkStart w:id="6025" w:name="api-reference-180"/>
    <w:p>
      <w:pPr>
        <w:pStyle w:val="Heading2"/>
      </w:pPr>
      <w:r>
        <w:t xml:space="preserve">API Reference</w:t>
      </w:r>
    </w:p>
    <w:p>
      <w:pPr>
        <w:pStyle w:val="Compact"/>
        <w:numPr>
          <w:ilvl w:val="0"/>
          <w:numId w:val="2472"/>
        </w:numPr>
      </w:pPr>
      <w:r>
        <w:t xml:space="preserve">Object: ADODB.Stream</w:t>
      </w:r>
    </w:p>
    <w:p>
      <w:pPr>
        <w:pStyle w:val="Compact"/>
        <w:numPr>
          <w:ilvl w:val="0"/>
          <w:numId w:val="2472"/>
        </w:numPr>
      </w:pPr>
      <w:r>
        <w:t xml:space="preserve">Property: EOS</w:t>
      </w:r>
    </w:p>
    <w:p>
      <w:pPr>
        <w:pStyle w:val="Compact"/>
        <w:numPr>
          <w:ilvl w:val="0"/>
          <w:numId w:val="2472"/>
        </w:numPr>
      </w:pPr>
      <w:r>
        <w:t xml:space="preserve">Access: Read-only</w:t>
      </w:r>
    </w:p>
    <w:p>
      <w:pPr>
        <w:pStyle w:val="Compact"/>
        <w:numPr>
          <w:ilvl w:val="0"/>
          <w:numId w:val="2472"/>
        </w:numPr>
      </w:pPr>
      <w:r>
        <w:t xml:space="preserve">Type: Boolean</w:t>
      </w:r>
    </w:p>
    <w:bookmarkEnd w:id="6025"/>
    <w:bookmarkStart w:id="6026" w:name="scripting.dictionary"/>
    <w:p>
      <w:pPr>
        <w:pStyle w:val="Heading2"/>
      </w:pPr>
      <w:r>
        <w:t xml:space="preserve">SCRIPTING.DICTIONARY</w:t>
      </w:r>
    </w:p>
    <w:bookmarkEnd w:id="6026"/>
    <w:bookmarkEnd w:id="6027"/>
    <w:bookmarkStart w:id="6036" w:name="X941c2d85c947633412571084dd4e7e484d60023"/>
    <w:p>
      <w:pPr>
        <w:pStyle w:val="Heading1"/>
      </w:pPr>
      <w:r>
        <w:t xml:space="preserve">Use Scripting.Dictionary in G3Pix AxonASP</w:t>
      </w:r>
    </w:p>
    <w:bookmarkStart w:id="6028" w:name="overview-641"/>
    <w:p>
      <w:pPr>
        <w:pStyle w:val="Heading2"/>
      </w:pPr>
      <w:r>
        <w:t xml:space="preserve">Overview</w:t>
      </w:r>
    </w:p>
    <w:p>
      <w:pPr>
        <w:pStyle w:val="FirstParagraph"/>
      </w:pPr>
      <w:r>
        <w:t xml:space="preserve">Use Scripting.Dictionary to store key-value pairs with ordered keys and fast key lookup.</w:t>
      </w:r>
    </w:p>
    <w:bookmarkEnd w:id="6028"/>
    <w:bookmarkStart w:id="6029" w:name="prerequisites-173"/>
    <w:p>
      <w:pPr>
        <w:pStyle w:val="Heading2"/>
      </w:pPr>
      <w:r>
        <w:t xml:space="preserve">Prerequisites</w:t>
      </w:r>
    </w:p>
    <w:p>
      <w:pPr>
        <w:pStyle w:val="Compact"/>
        <w:numPr>
          <w:ilvl w:val="0"/>
          <w:numId w:val="2473"/>
        </w:numPr>
      </w:pPr>
      <w:r>
        <w:t xml:space="preserve">Create the object with the primary ProgID Scripting.Dictionary.</w:t>
      </w:r>
    </w:p>
    <w:p>
      <w:pPr>
        <w:pStyle w:val="Compact"/>
        <w:numPr>
          <w:ilvl w:val="0"/>
          <w:numId w:val="2473"/>
        </w:numPr>
      </w:pPr>
      <w:r>
        <w:t xml:space="preserve">Use consistent key types when possible to keep lookups predictable.</w:t>
      </w:r>
    </w:p>
    <w:bookmarkEnd w:id="6029"/>
    <w:bookmarkStart w:id="6030" w:name="syntax-708"/>
    <w:p>
      <w:pPr>
        <w:pStyle w:val="Heading2"/>
      </w:pPr>
      <w:r>
        <w:t xml:space="preserve">Syntax</w:t>
      </w:r>
    </w:p>
    <w:p>
      <w:pPr>
        <w:pStyle w:val="SourceCode"/>
      </w:pPr>
      <w:r>
        <w:rPr>
          <w:rStyle w:val="NormalTok"/>
        </w:rPr>
        <w:t xml:space="preserve">Set dict = Server.CreateObject("Scripting.Dictionary")</w:t>
      </w:r>
    </w:p>
    <w:bookmarkEnd w:id="6030"/>
    <w:bookmarkStart w:id="6031" w:name="parameters-and-arguments-190"/>
    <w:p>
      <w:pPr>
        <w:pStyle w:val="Heading2"/>
      </w:pPr>
      <w:r>
        <w:t xml:space="preserve">Parameters and Arguments</w:t>
      </w:r>
    </w:p>
    <w:p>
      <w:pPr>
        <w:pStyle w:val="Compact"/>
        <w:numPr>
          <w:ilvl w:val="0"/>
          <w:numId w:val="2474"/>
        </w:numPr>
      </w:pPr>
      <w:r>
        <w:t xml:space="preserve">ProgID (String, required): Scripting.Dictionary.</w:t>
      </w:r>
    </w:p>
    <w:bookmarkEnd w:id="6031"/>
    <w:bookmarkStart w:id="6032" w:name="return-value-391"/>
    <w:p>
      <w:pPr>
        <w:pStyle w:val="Heading2"/>
      </w:pPr>
      <w:r>
        <w:t xml:space="preserve">Return Value</w:t>
      </w:r>
    </w:p>
    <w:p>
      <w:pPr>
        <w:pStyle w:val="FirstParagraph"/>
      </w:pPr>
      <w:r>
        <w:rPr>
          <w:rStyle w:val="VerbatimChar"/>
        </w:rPr>
        <w:t xml:space="preserve">Server.CreateObject("Scripting.Dictionary")</w:t>
      </w:r>
      <w:r>
        <w:t xml:space="preserve"> </w:t>
      </w:r>
      <w:r>
        <w:t xml:space="preserve">returns an object reference to a new, empty dictionary.</w:t>
      </w:r>
    </w:p>
    <w:bookmarkEnd w:id="6032"/>
    <w:bookmarkStart w:id="6033" w:name="how-it-works-52"/>
    <w:p>
      <w:pPr>
        <w:pStyle w:val="Heading2"/>
      </w:pPr>
      <w:r>
        <w:t xml:space="preserve">How It Works</w:t>
      </w:r>
    </w:p>
    <w:p>
      <w:pPr>
        <w:pStyle w:val="Compact"/>
        <w:numPr>
          <w:ilvl w:val="0"/>
          <w:numId w:val="2475"/>
        </w:numPr>
      </w:pPr>
      <w:r>
        <w:t xml:space="preserve">Keys are preserved in insertion order for Keys and Items enumeration.</w:t>
      </w:r>
    </w:p>
    <w:p>
      <w:pPr>
        <w:pStyle w:val="Compact"/>
        <w:numPr>
          <w:ilvl w:val="0"/>
          <w:numId w:val="2475"/>
        </w:numPr>
      </w:pPr>
      <w:r>
        <w:t xml:space="preserve">CompareMode controls key normalization:</w:t>
      </w:r>
    </w:p>
    <w:p>
      <w:pPr>
        <w:pStyle w:val="Compact"/>
        <w:numPr>
          <w:ilvl w:val="1"/>
          <w:numId w:val="2476"/>
        </w:numPr>
      </w:pPr>
      <w:r>
        <w:rPr>
          <w:rStyle w:val="VerbatimChar"/>
        </w:rPr>
        <w:t xml:space="preserve">0</w:t>
      </w:r>
      <w:r>
        <w:t xml:space="preserve"> </w:t>
      </w:r>
      <w:r>
        <w:t xml:space="preserve">= BinaryCompare (case-sensitive)</w:t>
      </w:r>
    </w:p>
    <w:p>
      <w:pPr>
        <w:pStyle w:val="Compact"/>
        <w:numPr>
          <w:ilvl w:val="1"/>
          <w:numId w:val="2476"/>
        </w:numPr>
      </w:pPr>
      <w:r>
        <w:rPr>
          <w:rStyle w:val="VerbatimChar"/>
        </w:rPr>
        <w:t xml:space="preserve">1</w:t>
      </w:r>
      <w:r>
        <w:t xml:space="preserve"> </w:t>
      </w:r>
      <w:r>
        <w:t xml:space="preserve">= TextCompare (case-insensitive)</w:t>
      </w:r>
    </w:p>
    <w:p>
      <w:pPr>
        <w:pStyle w:val="Compact"/>
        <w:numPr>
          <w:ilvl w:val="0"/>
          <w:numId w:val="2475"/>
        </w:numPr>
      </w:pPr>
      <w:r>
        <w:t xml:space="preserve">Reading a missing key through Item creates that key with Empty value.</w:t>
      </w:r>
    </w:p>
    <w:bookmarkEnd w:id="6033"/>
    <w:bookmarkStart w:id="6034" w:name="remarks-683"/>
    <w:p>
      <w:pPr>
        <w:pStyle w:val="Heading2"/>
      </w:pPr>
      <w:r>
        <w:t xml:space="preserve">Remarks</w:t>
      </w:r>
    </w:p>
    <w:p>
      <w:pPr>
        <w:pStyle w:val="Compact"/>
        <w:numPr>
          <w:ilvl w:val="0"/>
          <w:numId w:val="2477"/>
        </w:numPr>
      </w:pPr>
      <w:r>
        <w:t xml:space="preserve">Member names are case-insensitive.</w:t>
      </w:r>
    </w:p>
    <w:p>
      <w:pPr>
        <w:pStyle w:val="Compact"/>
        <w:numPr>
          <w:ilvl w:val="0"/>
          <w:numId w:val="2477"/>
        </w:numPr>
      </w:pPr>
      <w:r>
        <w:t xml:space="preserve">The object supports both property and method access patterns used by classic VBScript dictionary code.</w:t>
      </w:r>
    </w:p>
    <w:bookmarkEnd w:id="6034"/>
    <w:bookmarkStart w:id="6035" w:name="code-example-507"/>
    <w:p>
      <w:pPr>
        <w:pStyle w:val="Heading2"/>
      </w:pPr>
      <w:r>
        <w:t xml:space="preserve">Code 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"Name"</w:t>
      </w:r>
      <w:r>
        <w:rPr>
          <w:rStyle w:val="OtherTok"/>
        </w:rPr>
        <w:t xml:space="preserve">,</w:t>
      </w:r>
      <w:r>
        <w:rPr>
          <w:rStyle w:val="NormalTok"/>
        </w:rPr>
        <w:t xml:space="preserve"> </w:t>
      </w:r>
      <w:r>
        <w:rPr>
          <w:rStyle w:val="StringTok"/>
        </w:rPr>
        <w:t xml:space="preserve">"AxonASP"</w:t>
      </w:r>
      <w:r>
        <w:br/>
      </w:r>
      <w:r>
        <w:rPr>
          <w:rStyle w:val="NormalTok"/>
        </w:rPr>
        <w:t xml:space="preserve">dict.</w:t>
      </w:r>
      <w:r>
        <w:rPr>
          <w:rStyle w:val="FunctionTok"/>
        </w:rPr>
        <w:t xml:space="preserve">Item</w:t>
      </w:r>
      <w:r>
        <w:rPr>
          <w:rStyle w:val="OtherTok"/>
        </w:rPr>
        <w:t xml:space="preserve">(</w:t>
      </w:r>
      <w:r>
        <w:rPr>
          <w:rStyle w:val="StringTok"/>
        </w:rPr>
        <w:t xml:space="preserve">"Version"</w:t>
      </w:r>
      <w:r>
        <w:rPr>
          <w:rStyle w:val="OtherTok"/>
        </w:rPr>
        <w:t xml:space="preserve">)</w:t>
      </w:r>
      <w:r>
        <w:rPr>
          <w:rStyle w:val="NormalTok"/>
        </w:rPr>
        <w:t xml:space="preserve"> = </w:t>
      </w:r>
      <w:r>
        <w:rPr>
          <w:rStyle w:val="StringTok"/>
        </w:rPr>
        <w:t xml:space="preserve">"2"</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"Count="</w:t>
      </w:r>
      <w:r>
        <w:rPr>
          <w:rStyle w:val="NormalTok"/>
        </w:rPr>
        <w:t xml:space="preserve"> </w:t>
      </w:r>
      <w:r>
        <w:rPr>
          <w:rStyle w:val="KeywordTok"/>
        </w:rPr>
        <w:t xml:space="preserve">&amp;</w:t>
      </w:r>
      <w:r>
        <w:rPr>
          <w:rStyle w:val="NormalTok"/>
        </w:rPr>
        <w:t xml:space="preserve"> dict.Count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"Name="</w:t>
      </w:r>
      <w:r>
        <w:rPr>
          <w:rStyle w:val="NormalTok"/>
        </w:rPr>
        <w:t xml:space="preserve"> </w:t>
      </w:r>
      <w:r>
        <w:rPr>
          <w:rStyle w:val="KeywordTok"/>
        </w:rPr>
        <w:t xml:space="preserve">&amp;</w:t>
      </w:r>
      <w:r>
        <w:rPr>
          <w:rStyle w:val="NormalTok"/>
        </w:rPr>
        <w:t xml:space="preserve"> dict.</w:t>
      </w:r>
      <w:r>
        <w:rPr>
          <w:rStyle w:val="FunctionTok"/>
        </w:rPr>
        <w:t xml:space="preserve">Item</w:t>
      </w:r>
      <w:r>
        <w:rPr>
          <w:rStyle w:val="OtherTok"/>
        </w:rPr>
        <w:t xml:space="preserve">(</w:t>
      </w:r>
      <w:r>
        <w:rPr>
          <w:rStyle w:val="StringTok"/>
        </w:rPr>
        <w:t xml:space="preserve">"Name"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"Version="</w:t>
      </w:r>
      <w:r>
        <w:rPr>
          <w:rStyle w:val="NormalTok"/>
        </w:rPr>
        <w:t xml:space="preserve"> </w:t>
      </w:r>
      <w:r>
        <w:rPr>
          <w:rStyle w:val="KeywordTok"/>
        </w:rPr>
        <w:t xml:space="preserve">&amp;</w:t>
      </w:r>
      <w:r>
        <w:rPr>
          <w:rStyle w:val="NormalTok"/>
        </w:rPr>
        <w:t xml:space="preserve"> dict.</w:t>
      </w:r>
      <w:r>
        <w:rPr>
          <w:rStyle w:val="FunctionTok"/>
        </w:rPr>
        <w:t xml:space="preserve">Item</w:t>
      </w:r>
      <w:r>
        <w:rPr>
          <w:rStyle w:val="OtherTok"/>
        </w:rPr>
        <w:t xml:space="preserve">(</w:t>
      </w:r>
      <w:r>
        <w:rPr>
          <w:rStyle w:val="StringTok"/>
        </w:rPr>
        <w:t xml:space="preserve">"Version"</w:t>
      </w:r>
      <w:r>
        <w:rPr>
          <w:rStyle w:val="OtherTok"/>
        </w:rPr>
        <w:t xml:space="preserve">)</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035"/>
    <w:bookmarkEnd w:id="6036"/>
    <w:bookmarkStart w:id="6040" w:name="scripting.dictionary-methods"/>
    <w:p>
      <w:pPr>
        <w:pStyle w:val="Heading1"/>
      </w:pPr>
      <w:r>
        <w:t xml:space="preserve">Scripting.Dictionary Methods</w:t>
      </w:r>
    </w:p>
    <w:bookmarkStart w:id="6037" w:name="overview-642"/>
    <w:p>
      <w:pPr>
        <w:pStyle w:val="Heading2"/>
      </w:pPr>
      <w:r>
        <w:t xml:space="preserve">Overview</w:t>
      </w:r>
    </w:p>
    <w:p>
      <w:pPr>
        <w:pStyle w:val="FirstParagraph"/>
      </w:pPr>
      <w:r>
        <w:t xml:space="preserve">This page summarizes methods exposed by Scripting.Dictionary in G3Pix AxonASP.</w:t>
      </w:r>
    </w:p>
    <w:bookmarkEnd w:id="6037"/>
    <w:bookmarkStart w:id="6038" w:name="methods-reference-9"/>
    <w:p>
      <w:pPr>
        <w:pStyle w:val="Heading2"/>
      </w:pPr>
      <w:r>
        <w:t xml:space="preserve">Methods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Add(key, value)</w:t>
            </w:r>
          </w:p>
        </w:tc>
        <w:tc>
          <w:tcPr/>
          <w:p>
            <w:pPr>
              <w:pStyle w:val="Compact"/>
            </w:pPr>
            <w:r>
              <w:t xml:space="preserve">Empty</w:t>
            </w:r>
          </w:p>
        </w:tc>
        <w:tc>
          <w:tcPr/>
          <w:p>
            <w:pPr>
              <w:pStyle w:val="Compact"/>
            </w:pPr>
            <w:r>
              <w:t xml:space="preserve">Adds a new entry. Raises an error when the key already exists or required arguments are missing.</w:t>
            </w:r>
          </w:p>
        </w:tc>
      </w:tr>
      <w:tr>
        <w:tc>
          <w:tcPr/>
          <w:p>
            <w:pPr>
              <w:pStyle w:val="Compact"/>
            </w:pPr>
            <w:r>
              <w:t xml:space="preserve">Exists(key)</w:t>
            </w:r>
          </w:p>
        </w:tc>
        <w:tc>
          <w:tcPr/>
          <w:p>
            <w:pPr>
              <w:pStyle w:val="Compact"/>
            </w:pPr>
            <w:r>
              <w:t xml:space="preserve">Boolean or Empty</w:t>
            </w:r>
          </w:p>
        </w:tc>
        <w:tc>
          <w:tcPr/>
          <w:p>
            <w:pPr>
              <w:pStyle w:val="Compact"/>
            </w:pPr>
            <w:r>
              <w:t xml:space="preserve">Returns True when the key exists, False when it does not. Returns Empty after argument-count error handling.</w:t>
            </w:r>
          </w:p>
        </w:tc>
      </w:tr>
      <w:tr>
        <w:tc>
          <w:tcPr/>
          <w:p>
            <w:pPr>
              <w:pStyle w:val="Compact"/>
            </w:pPr>
            <w:r>
              <w:t xml:space="preserve">Remove(key)</w:t>
            </w:r>
          </w:p>
        </w:tc>
        <w:tc>
          <w:tcPr/>
          <w:p>
            <w:pPr>
              <w:pStyle w:val="Compact"/>
            </w:pPr>
            <w:r>
              <w:t xml:space="preserve">Empty</w:t>
            </w:r>
          </w:p>
        </w:tc>
        <w:tc>
          <w:tcPr/>
          <w:p>
            <w:pPr>
              <w:pStyle w:val="Compact"/>
            </w:pPr>
            <w:r>
              <w:t xml:space="preserve">Removes one key. Raises an error when the key does not exist or required arguments are missing.</w:t>
            </w:r>
          </w:p>
        </w:tc>
      </w:tr>
      <w:tr>
        <w:tc>
          <w:tcPr/>
          <w:p>
            <w:pPr>
              <w:pStyle w:val="Compact"/>
            </w:pPr>
            <w:r>
              <w:t xml:space="preserve">RemoveAll()</w:t>
            </w:r>
          </w:p>
        </w:tc>
        <w:tc>
          <w:tcPr/>
          <w:p>
            <w:pPr>
              <w:pStyle w:val="Compact"/>
            </w:pPr>
            <w:r>
              <w:t xml:space="preserve">Empty</w:t>
            </w:r>
          </w:p>
        </w:tc>
        <w:tc>
          <w:tcPr/>
          <w:p>
            <w:pPr>
              <w:pStyle w:val="Compact"/>
            </w:pPr>
            <w:r>
              <w:t xml:space="preserve">Clears all keys and values.</w:t>
            </w:r>
          </w:p>
        </w:tc>
      </w:tr>
      <w:tr>
        <w:tc>
          <w:tcPr/>
          <w:p>
            <w:pPr>
              <w:pStyle w:val="Compact"/>
            </w:pPr>
            <w:r>
              <w:t xml:space="preserve">Keys()</w:t>
            </w:r>
          </w:p>
        </w:tc>
        <w:tc>
          <w:tcPr/>
          <w:p>
            <w:pPr>
              <w:pStyle w:val="Compact"/>
            </w:pPr>
            <w:r>
              <w:t xml:space="preserve">Array</w:t>
            </w:r>
          </w:p>
        </w:tc>
        <w:tc>
          <w:tcPr/>
          <w:p>
            <w:pPr>
              <w:pStyle w:val="Compact"/>
            </w:pPr>
            <w:r>
              <w:t xml:space="preserve">Returns a zero-based Variant array containing keys in insertion order.</w:t>
            </w:r>
          </w:p>
        </w:tc>
      </w:tr>
      <w:tr>
        <w:tc>
          <w:tcPr/>
          <w:p>
            <w:pPr>
              <w:pStyle w:val="Compact"/>
            </w:pPr>
            <w:r>
              <w:t xml:space="preserve">Items()</w:t>
            </w:r>
          </w:p>
        </w:tc>
        <w:tc>
          <w:tcPr/>
          <w:p>
            <w:pPr>
              <w:pStyle w:val="Compact"/>
            </w:pPr>
            <w:r>
              <w:t xml:space="preserve">Array</w:t>
            </w:r>
          </w:p>
        </w:tc>
        <w:tc>
          <w:tcPr/>
          <w:p>
            <w:pPr>
              <w:pStyle w:val="Compact"/>
            </w:pPr>
            <w:r>
              <w:t xml:space="preserve">Returns a zero-based Variant array containing values in insertion order.</w:t>
            </w:r>
          </w:p>
        </w:tc>
      </w:tr>
      <w:tr>
        <w:tc>
          <w:tcPr/>
          <w:p>
            <w:pPr>
              <w:pStyle w:val="Compact"/>
            </w:pPr>
            <w:r>
              <w:t xml:space="preserve">Item(key [, value])</w:t>
            </w:r>
          </w:p>
        </w:tc>
        <w:tc>
          <w:tcPr/>
          <w:p>
            <w:pPr>
              <w:pStyle w:val="Compact"/>
            </w:pPr>
            <w:r>
              <w:t xml:space="preserve">Value or Empty</w:t>
            </w:r>
          </w:p>
        </w:tc>
        <w:tc>
          <w:tcPr/>
          <w:p>
            <w:pPr>
              <w:pStyle w:val="Compact"/>
            </w:pPr>
            <w:r>
              <w:t xml:space="preserve">With key only, returns the item value and auto-creates missing keys with Empty. With key and value, assigns and returns Empty.</w:t>
            </w:r>
          </w:p>
        </w:tc>
      </w:tr>
      <w:tr>
        <w:tc>
          <w:tcPr/>
          <w:p>
            <w:pPr>
              <w:pStyle w:val="Compact"/>
            </w:pPr>
            <w:r>
              <w:t xml:space="preserve">Key(oldKey, newKey)</w:t>
            </w:r>
          </w:p>
        </w:tc>
        <w:tc>
          <w:tcPr/>
          <w:p>
            <w:pPr>
              <w:pStyle w:val="Compact"/>
            </w:pPr>
            <w:r>
              <w:t xml:space="preserve">Empty</w:t>
            </w:r>
          </w:p>
        </w:tc>
        <w:tc>
          <w:tcPr/>
          <w:p>
            <w:pPr>
              <w:pStyle w:val="Compact"/>
            </w:pPr>
            <w:r>
              <w:t xml:space="preserve">Renames an existing key. Raises an error when oldKey is missing, oldKey is not found, or newKey already exists.</w:t>
            </w:r>
          </w:p>
        </w:tc>
      </w:tr>
      <w:tr>
        <w:tc>
          <w:tcPr/>
          <w:p>
            <w:pPr>
              <w:pStyle w:val="Compact"/>
            </w:pPr>
            <w:r>
              <w:t xml:space="preserve">Count()</w:t>
            </w:r>
          </w:p>
        </w:tc>
        <w:tc>
          <w:tcPr/>
          <w:p>
            <w:pPr>
              <w:pStyle w:val="Compact"/>
            </w:pPr>
            <w:r>
              <w:t xml:space="preserve">Integer</w:t>
            </w:r>
          </w:p>
        </w:tc>
        <w:tc>
          <w:tcPr/>
          <w:p>
            <w:pPr>
              <w:pStyle w:val="Compact"/>
            </w:pPr>
            <w:r>
              <w:t xml:space="preserve">Returns the number of dictionary entries.</w:t>
            </w:r>
          </w:p>
        </w:tc>
      </w:tr>
    </w:tbl>
    <w:bookmarkEnd w:id="6038"/>
    <w:bookmarkStart w:id="6039" w:name="remarks-684"/>
    <w:p>
      <w:pPr>
        <w:pStyle w:val="Heading2"/>
      </w:pPr>
      <w:r>
        <w:t xml:space="preserve">Remarks</w:t>
      </w:r>
    </w:p>
    <w:p>
      <w:pPr>
        <w:pStyle w:val="Compact"/>
        <w:numPr>
          <w:ilvl w:val="0"/>
          <w:numId w:val="2478"/>
        </w:numPr>
      </w:pPr>
      <w:r>
        <w:t xml:space="preserve">Method names are case-insensitive.</w:t>
      </w:r>
    </w:p>
    <w:p>
      <w:pPr>
        <w:pStyle w:val="Compact"/>
        <w:numPr>
          <w:ilvl w:val="0"/>
          <w:numId w:val="2478"/>
        </w:numPr>
      </w:pPr>
      <w:r>
        <w:t xml:space="preserve">Item and Key also participate in assignment syntax patterns used by VBScript code.</w:t>
      </w:r>
    </w:p>
    <w:bookmarkEnd w:id="6039"/>
    <w:bookmarkEnd w:id="6040"/>
    <w:bookmarkStart w:id="6045" w:name="scripting.dictionary-properties"/>
    <w:p>
      <w:pPr>
        <w:pStyle w:val="Heading1"/>
      </w:pPr>
      <w:r>
        <w:t xml:space="preserve">Scripting.Dictionary Properties</w:t>
      </w:r>
    </w:p>
    <w:bookmarkStart w:id="6041" w:name="overview-643"/>
    <w:p>
      <w:pPr>
        <w:pStyle w:val="Heading2"/>
      </w:pPr>
      <w:r>
        <w:t xml:space="preserve">Overview</w:t>
      </w:r>
    </w:p>
    <w:p>
      <w:pPr>
        <w:pStyle w:val="FirstParagraph"/>
      </w:pPr>
      <w:r>
        <w:t xml:space="preserve">This page summarizes properties exposed by Scripting.Dictionary in G3Pix AxonASP.</w:t>
      </w:r>
    </w:p>
    <w:bookmarkEnd w:id="6041"/>
    <w:bookmarkStart w:id="6042" w:name="properties-reference-9"/>
    <w:p>
      <w:pPr>
        <w:pStyle w:val="Heading2"/>
      </w:pPr>
      <w:r>
        <w:t xml:space="preserve">Properties Reference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Count</w:t>
            </w:r>
          </w:p>
        </w:tc>
        <w:tc>
          <w:tcPr/>
          <w:p>
            <w:pPr>
              <w:pStyle w:val="Compact"/>
            </w:pPr>
            <w:r>
              <w:t xml:space="preserve">Read-only</w:t>
            </w:r>
          </w:p>
        </w:tc>
        <w:tc>
          <w:tcPr/>
          <w:p>
            <w:pPr>
              <w:pStyle w:val="Compact"/>
            </w:pPr>
            <w:r>
              <w:t xml:space="preserve">Integer</w:t>
            </w:r>
          </w:p>
        </w:tc>
        <w:tc>
          <w:tcPr/>
          <w:p>
            <w:pPr>
              <w:pStyle w:val="Compact"/>
            </w:pPr>
            <w:r>
              <w:t xml:space="preserve">Returns the number of key-value entries currently stored.</w:t>
            </w:r>
          </w:p>
        </w:tc>
      </w:tr>
      <w:tr>
        <w:tc>
          <w:tcPr/>
          <w:p>
            <w:pPr>
              <w:pStyle w:val="Compact"/>
            </w:pPr>
            <w:r>
              <w:t xml:space="preserve">CompareMode</w:t>
            </w:r>
          </w:p>
        </w:tc>
        <w:tc>
          <w:tcPr/>
          <w:p>
            <w:pPr>
              <w:pStyle w:val="Compact"/>
            </w:pPr>
            <w:r>
              <w:t xml:space="preserve">Read/Write</w:t>
            </w:r>
          </w:p>
        </w:tc>
        <w:tc>
          <w:tcPr/>
          <w:p>
            <w:pPr>
              <w:pStyle w:val="Compact"/>
            </w:pPr>
            <w:r>
              <w:t xml:space="preserve">Integer</w:t>
            </w:r>
          </w:p>
        </w:tc>
        <w:tc>
          <w:tcPr/>
          <w:p>
            <w:pPr>
              <w:pStyle w:val="Compact"/>
            </w:pPr>
            <w:r>
              <w:t xml:space="preserve">Gets or sets key comparison mode: 0 for case-sensitive comparison, 1 for case-insensitive comparison.</w:t>
            </w:r>
          </w:p>
        </w:tc>
      </w:tr>
    </w:tbl>
    <w:bookmarkEnd w:id="6042"/>
    <w:bookmarkStart w:id="6044" w:name="remarks-685"/>
    <w:p>
      <w:pPr>
        <w:pStyle w:val="Heading2"/>
      </w:pPr>
      <w:r>
        <w:t xml:space="preserve">Remarks</w:t>
      </w:r>
    </w:p>
    <w:p>
      <w:pPr>
        <w:pStyle w:val="Compact"/>
        <w:numPr>
          <w:ilvl w:val="0"/>
          <w:numId w:val="2479"/>
        </w:numPr>
      </w:pPr>
      <w:r>
        <w:t xml:space="preserve">Property names are case-insensitive.</w:t>
      </w:r>
    </w:p>
    <w:p>
      <w:pPr>
        <w:pStyle w:val="Compact"/>
        <w:numPr>
          <w:ilvl w:val="0"/>
          <w:numId w:val="2479"/>
        </w:numPr>
      </w:pPr>
      <w:r>
        <w:t xml:space="preserve">Set CompareMode before adding entries. Changing CompareMode after the dictionary contains items raises an error.</w:t>
      </w:r>
    </w:p>
    <w:bookmarkStart w:id="6043" w:name="methods-detail-25"/>
    <w:p>
      <w:pPr>
        <w:pStyle w:val="Heading3"/>
      </w:pPr>
      <w:r>
        <w:t xml:space="preserve">Methods Detail</w:t>
      </w:r>
    </w:p>
    <w:bookmarkEnd w:id="6043"/>
    <w:bookmarkEnd w:id="6044"/>
    <w:bookmarkEnd w:id="6045"/>
    <w:bookmarkStart w:id="6053" w:name="add-a-dictionary-entry"/>
    <w:p>
      <w:pPr>
        <w:pStyle w:val="Heading1"/>
      </w:pPr>
      <w:r>
        <w:t xml:space="preserve">Add a Dictionary Entry</w:t>
      </w:r>
    </w:p>
    <w:bookmarkStart w:id="6046" w:name="overview-644"/>
    <w:p>
      <w:pPr>
        <w:pStyle w:val="Heading2"/>
      </w:pPr>
      <w:r>
        <w:t xml:space="preserve">Overview</w:t>
      </w:r>
    </w:p>
    <w:p>
      <w:pPr>
        <w:pStyle w:val="FirstParagraph"/>
      </w:pPr>
      <w:r>
        <w:t xml:space="preserve">Use Add to insert a new key-value pair into the dictionary.</w:t>
      </w:r>
    </w:p>
    <w:bookmarkEnd w:id="6046"/>
    <w:bookmarkStart w:id="6047" w:name="syntax-709"/>
    <w:p>
      <w:pPr>
        <w:pStyle w:val="Heading2"/>
      </w:pPr>
      <w:r>
        <w:t xml:space="preserve">Syntax</w:t>
      </w:r>
    </w:p>
    <w:p>
      <w:pPr>
        <w:pStyle w:val="SourceCode"/>
      </w:pPr>
      <w:r>
        <w:rPr>
          <w:rStyle w:val="NormalTok"/>
        </w:rPr>
        <w:t xml:space="preserve">dict.Add key, value</w:t>
      </w:r>
    </w:p>
    <w:bookmarkEnd w:id="6047"/>
    <w:bookmarkStart w:id="6048" w:name="parameters-326"/>
    <w:p>
      <w:pPr>
        <w:pStyle w:val="Heading2"/>
      </w:pPr>
      <w:r>
        <w:t xml:space="preserve">Parameters</w:t>
      </w:r>
    </w:p>
    <w:p>
      <w:pPr>
        <w:pStyle w:val="Compact"/>
        <w:numPr>
          <w:ilvl w:val="0"/>
          <w:numId w:val="2480"/>
        </w:numPr>
      </w:pPr>
      <w:r>
        <w:t xml:space="preserve">key (Variant, required): Entry key.</w:t>
      </w:r>
    </w:p>
    <w:p>
      <w:pPr>
        <w:pStyle w:val="Compact"/>
        <w:numPr>
          <w:ilvl w:val="0"/>
          <w:numId w:val="2480"/>
        </w:numPr>
      </w:pPr>
      <w:r>
        <w:t xml:space="preserve">value (Variant, required): Entry value.</w:t>
      </w:r>
    </w:p>
    <w:bookmarkEnd w:id="6048"/>
    <w:bookmarkStart w:id="6049" w:name="return-value-392"/>
    <w:p>
      <w:pPr>
        <w:pStyle w:val="Heading2"/>
      </w:pPr>
      <w:r>
        <w:t xml:space="preserve">Return Value</w:t>
      </w:r>
    </w:p>
    <w:p>
      <w:pPr>
        <w:pStyle w:val="FirstParagraph"/>
      </w:pPr>
      <w:r>
        <w:t xml:space="preserve">Returns Empty.</w:t>
      </w:r>
    </w:p>
    <w:bookmarkEnd w:id="6049"/>
    <w:bookmarkStart w:id="6050" w:name="how-it-works-53"/>
    <w:p>
      <w:pPr>
        <w:pStyle w:val="Heading2"/>
      </w:pPr>
      <w:r>
        <w:t xml:space="preserve">How It Works</w:t>
      </w:r>
    </w:p>
    <w:p>
      <w:pPr>
        <w:pStyle w:val="Compact"/>
        <w:numPr>
          <w:ilvl w:val="0"/>
          <w:numId w:val="2481"/>
        </w:numPr>
      </w:pPr>
      <w:r>
        <w:t xml:space="preserve">Add inserts the key and value at the end of insertion order.</w:t>
      </w:r>
    </w:p>
    <w:p>
      <w:pPr>
        <w:pStyle w:val="Compact"/>
        <w:numPr>
          <w:ilvl w:val="0"/>
          <w:numId w:val="2481"/>
        </w:numPr>
      </w:pPr>
      <w:r>
        <w:t xml:space="preserve">If the key already exists, Add raises an error and does not overwrite the value.</w:t>
      </w:r>
    </w:p>
    <w:bookmarkEnd w:id="6050"/>
    <w:bookmarkStart w:id="6051" w:name="remarks-686"/>
    <w:p>
      <w:pPr>
        <w:pStyle w:val="Heading2"/>
      </w:pPr>
      <w:r>
        <w:t xml:space="preserve">Remarks</w:t>
      </w:r>
    </w:p>
    <w:p>
      <w:pPr>
        <w:pStyle w:val="Compact"/>
        <w:numPr>
          <w:ilvl w:val="0"/>
          <w:numId w:val="2482"/>
        </w:numPr>
      </w:pPr>
      <w:r>
        <w:t xml:space="preserve">Add requires exactly two arguments.</w:t>
      </w:r>
    </w:p>
    <w:p>
      <w:pPr>
        <w:pStyle w:val="Compact"/>
        <w:numPr>
          <w:ilvl w:val="0"/>
          <w:numId w:val="2482"/>
        </w:numPr>
      </w:pPr>
      <w:r>
        <w:t xml:space="preserve">Member names are case-insensitive.</w:t>
      </w:r>
    </w:p>
    <w:bookmarkEnd w:id="6051"/>
    <w:bookmarkStart w:id="6052" w:name="example-239"/>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"Language"</w:t>
      </w:r>
      <w:r>
        <w:rPr>
          <w:rStyle w:val="OtherTok"/>
        </w:rPr>
        <w:t xml:space="preserve">,</w:t>
      </w:r>
      <w:r>
        <w:rPr>
          <w:rStyle w:val="NormalTok"/>
        </w:rPr>
        <w:t xml:space="preserve"> </w:t>
      </w:r>
      <w:r>
        <w:rPr>
          <w:rStyle w:val="StringTok"/>
        </w:rPr>
        <w:t xml:space="preserve">"VBScript"</w:t>
      </w:r>
      <w:r>
        <w:br/>
      </w:r>
      <w:r>
        <w:rPr>
          <w:rStyle w:val="FunctionTok"/>
        </w:rPr>
        <w:t xml:space="preserve">Response</w:t>
      </w:r>
      <w:r>
        <w:rPr>
          <w:rStyle w:val="NormalTok"/>
        </w:rPr>
        <w:t xml:space="preserve">.</w:t>
      </w:r>
      <w:r>
        <w:rPr>
          <w:rStyle w:val="FunctionTok"/>
        </w:rPr>
        <w:t xml:space="preserve">Write</w:t>
      </w:r>
      <w:r>
        <w:rPr>
          <w:rStyle w:val="NormalTok"/>
        </w:rPr>
        <w:t xml:space="preserve"> dict.</w:t>
      </w:r>
      <w:r>
        <w:rPr>
          <w:rStyle w:val="FunctionTok"/>
        </w:rPr>
        <w:t xml:space="preserve">Item</w:t>
      </w:r>
      <w:r>
        <w:rPr>
          <w:rStyle w:val="OtherTok"/>
        </w:rPr>
        <w:t xml:space="preserve">(</w:t>
      </w:r>
      <w:r>
        <w:rPr>
          <w:rStyle w:val="StringTok"/>
        </w:rPr>
        <w:t xml:space="preserve">"Language"</w:t>
      </w:r>
      <w:r>
        <w:rPr>
          <w:rStyle w:val="OtherTok"/>
        </w:rPr>
        <w:t xml:space="preserve">)</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052"/>
    <w:bookmarkEnd w:id="6053"/>
    <w:bookmarkStart w:id="6061" w:name="count-dictionary-entries"/>
    <w:p>
      <w:pPr>
        <w:pStyle w:val="Heading1"/>
      </w:pPr>
      <w:r>
        <w:t xml:space="preserve">Count Dictionary Entries</w:t>
      </w:r>
    </w:p>
    <w:bookmarkStart w:id="6054" w:name="overview-645"/>
    <w:p>
      <w:pPr>
        <w:pStyle w:val="Heading2"/>
      </w:pPr>
      <w:r>
        <w:t xml:space="preserve">Overview</w:t>
      </w:r>
    </w:p>
    <w:p>
      <w:pPr>
        <w:pStyle w:val="FirstParagraph"/>
      </w:pPr>
      <w:r>
        <w:t xml:space="preserve">Use Count to read how many entries are currently stored.</w:t>
      </w:r>
    </w:p>
    <w:bookmarkEnd w:id="6054"/>
    <w:bookmarkStart w:id="6055" w:name="syntax-710"/>
    <w:p>
      <w:pPr>
        <w:pStyle w:val="Heading2"/>
      </w:pPr>
      <w:r>
        <w:t xml:space="preserve">Syntax</w:t>
      </w:r>
    </w:p>
    <w:p>
      <w:pPr>
        <w:pStyle w:val="SourceCode"/>
      </w:pPr>
      <w:r>
        <w:rPr>
          <w:rStyle w:val="NormalTok"/>
        </w:rPr>
        <w:t xml:space="preserve">countValue = dict.Count()</w:t>
      </w:r>
    </w:p>
    <w:bookmarkEnd w:id="6055"/>
    <w:bookmarkStart w:id="6056" w:name="parameters-327"/>
    <w:p>
      <w:pPr>
        <w:pStyle w:val="Heading2"/>
      </w:pPr>
      <w:r>
        <w:t xml:space="preserve">Parameters</w:t>
      </w:r>
    </w:p>
    <w:p>
      <w:pPr>
        <w:pStyle w:val="Compact"/>
        <w:numPr>
          <w:ilvl w:val="0"/>
          <w:numId w:val="2483"/>
        </w:numPr>
      </w:pPr>
      <w:r>
        <w:t xml:space="preserve">No parameters.</w:t>
      </w:r>
    </w:p>
    <w:bookmarkEnd w:id="6056"/>
    <w:bookmarkStart w:id="6057" w:name="return-value-393"/>
    <w:p>
      <w:pPr>
        <w:pStyle w:val="Heading2"/>
      </w:pPr>
      <w:r>
        <w:t xml:space="preserve">Return Value</w:t>
      </w:r>
    </w:p>
    <w:p>
      <w:pPr>
        <w:pStyle w:val="FirstParagraph"/>
      </w:pPr>
      <w:r>
        <w:t xml:space="preserve">Returns an Integer containing the number of entries.</w:t>
      </w:r>
    </w:p>
    <w:bookmarkEnd w:id="6057"/>
    <w:bookmarkStart w:id="6058" w:name="how-it-works-54"/>
    <w:p>
      <w:pPr>
        <w:pStyle w:val="Heading2"/>
      </w:pPr>
      <w:r>
        <w:t xml:space="preserve">How It Works</w:t>
      </w:r>
    </w:p>
    <w:p>
      <w:pPr>
        <w:pStyle w:val="Compact"/>
        <w:numPr>
          <w:ilvl w:val="0"/>
          <w:numId w:val="2484"/>
        </w:numPr>
      </w:pPr>
      <w:r>
        <w:t xml:space="preserve">Count reads the current key slice length.</w:t>
      </w:r>
    </w:p>
    <w:p>
      <w:pPr>
        <w:pStyle w:val="Compact"/>
        <w:numPr>
          <w:ilvl w:val="0"/>
          <w:numId w:val="2484"/>
        </w:numPr>
      </w:pPr>
      <w:r>
        <w:t xml:space="preserve">Add, Remove, RemoveAll, and Item assignment can change this value.</w:t>
      </w:r>
    </w:p>
    <w:bookmarkEnd w:id="6058"/>
    <w:bookmarkStart w:id="6059" w:name="remarks-687"/>
    <w:p>
      <w:pPr>
        <w:pStyle w:val="Heading2"/>
      </w:pPr>
      <w:r>
        <w:t xml:space="preserve">Remarks</w:t>
      </w:r>
    </w:p>
    <w:p>
      <w:pPr>
        <w:pStyle w:val="Compact"/>
        <w:numPr>
          <w:ilvl w:val="0"/>
          <w:numId w:val="2485"/>
        </w:numPr>
      </w:pPr>
      <w:r>
        <w:t xml:space="preserve">Count is also available as property-style access: dict.Count.</w:t>
      </w:r>
    </w:p>
    <w:p>
      <w:pPr>
        <w:pStyle w:val="Compact"/>
        <w:numPr>
          <w:ilvl w:val="0"/>
          <w:numId w:val="2485"/>
        </w:numPr>
      </w:pPr>
      <w:r>
        <w:t xml:space="preserve">Member names are case-insensitive.</w:t>
      </w:r>
    </w:p>
    <w:bookmarkEnd w:id="6059"/>
    <w:bookmarkStart w:id="6060" w:name="example-240"/>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"A"</w:t>
      </w:r>
      <w:r>
        <w:rPr>
          <w:rStyle w:val="OtherTok"/>
        </w:rPr>
        <w:t xml:space="preserve">,</w:t>
      </w:r>
      <w:r>
        <w:rPr>
          <w:rStyle w:val="NormalTok"/>
        </w:rPr>
        <w:t xml:space="preserve"> </w:t>
      </w:r>
      <w:r>
        <w:rPr>
          <w:rStyle w:val="DecValTok"/>
        </w:rPr>
        <w:t xml:space="preserve">1</w:t>
      </w:r>
      <w:r>
        <w:br/>
      </w:r>
      <w:r>
        <w:rPr>
          <w:rStyle w:val="NormalTok"/>
        </w:rPr>
        <w:t xml:space="preserve">dict.</w:t>
      </w:r>
      <w:r>
        <w:rPr>
          <w:rStyle w:val="FunctionTok"/>
        </w:rPr>
        <w:t xml:space="preserve">Add</w:t>
      </w:r>
      <w:r>
        <w:rPr>
          <w:rStyle w:val="NormalTok"/>
        </w:rPr>
        <w:t xml:space="preserve"> </w:t>
      </w:r>
      <w:r>
        <w:rPr>
          <w:rStyle w:val="StringTok"/>
        </w:rPr>
        <w:t xml:space="preserve">"B"</w:t>
      </w:r>
      <w:r>
        <w:rPr>
          <w:rStyle w:val="OtherTok"/>
        </w:rPr>
        <w:t xml:space="preserve">,</w:t>
      </w:r>
      <w:r>
        <w:rPr>
          <w:rStyle w:val="NormalTok"/>
        </w:rPr>
        <w:t xml:space="preserve"> </w:t>
      </w:r>
      <w:r>
        <w:rPr>
          <w:rStyle w:val="DecValTok"/>
        </w:rPr>
        <w:t xml:space="preserve">2</w:t>
      </w:r>
      <w:r>
        <w:br/>
      </w:r>
      <w:r>
        <w:br/>
      </w:r>
      <w:r>
        <w:rPr>
          <w:rStyle w:val="FunctionTok"/>
        </w:rPr>
        <w:t xml:space="preserve">Response</w:t>
      </w:r>
      <w:r>
        <w:rPr>
          <w:rStyle w:val="NormalTok"/>
        </w:rPr>
        <w:t xml:space="preserve">.</w:t>
      </w:r>
      <w:r>
        <w:rPr>
          <w:rStyle w:val="FunctionTok"/>
        </w:rPr>
        <w:t xml:space="preserve">Write</w:t>
      </w:r>
      <w:r>
        <w:rPr>
          <w:rStyle w:val="NormalTok"/>
        </w:rPr>
        <w:t xml:space="preserve"> dict.Count</w:t>
      </w:r>
      <w:r>
        <w:rPr>
          <w:rStyle w:val="OtherTok"/>
        </w:rPr>
        <w:t xml:space="preserve">()</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060"/>
    <w:bookmarkEnd w:id="6061"/>
    <w:bookmarkStart w:id="6069" w:name="check-whether-a-key-exists"/>
    <w:p>
      <w:pPr>
        <w:pStyle w:val="Heading1"/>
      </w:pPr>
      <w:r>
        <w:t xml:space="preserve">Check Whether a Key Exists</w:t>
      </w:r>
    </w:p>
    <w:bookmarkStart w:id="6062" w:name="overview-646"/>
    <w:p>
      <w:pPr>
        <w:pStyle w:val="Heading2"/>
      </w:pPr>
      <w:r>
        <w:t xml:space="preserve">Overview</w:t>
      </w:r>
    </w:p>
    <w:p>
      <w:pPr>
        <w:pStyle w:val="FirstParagraph"/>
      </w:pPr>
      <w:r>
        <w:t xml:space="preserve">Use Exists to test if a dictionary key is present.</w:t>
      </w:r>
    </w:p>
    <w:bookmarkEnd w:id="6062"/>
    <w:bookmarkStart w:id="6063" w:name="syntax-711"/>
    <w:p>
      <w:pPr>
        <w:pStyle w:val="Heading2"/>
      </w:pPr>
      <w:r>
        <w:t xml:space="preserve">Syntax</w:t>
      </w:r>
    </w:p>
    <w:p>
      <w:pPr>
        <w:pStyle w:val="SourceCode"/>
      </w:pPr>
      <w:r>
        <w:rPr>
          <w:rStyle w:val="NormalTok"/>
        </w:rPr>
        <w:t xml:space="preserve">found = dict.Exists(key)</w:t>
      </w:r>
    </w:p>
    <w:bookmarkEnd w:id="6063"/>
    <w:bookmarkStart w:id="6064" w:name="parameters-328"/>
    <w:p>
      <w:pPr>
        <w:pStyle w:val="Heading2"/>
      </w:pPr>
      <w:r>
        <w:t xml:space="preserve">Parameters</w:t>
      </w:r>
    </w:p>
    <w:p>
      <w:pPr>
        <w:pStyle w:val="Compact"/>
        <w:numPr>
          <w:ilvl w:val="0"/>
          <w:numId w:val="2486"/>
        </w:numPr>
      </w:pPr>
      <w:r>
        <w:t xml:space="preserve">key (Variant, required): Key to test.</w:t>
      </w:r>
    </w:p>
    <w:bookmarkEnd w:id="6064"/>
    <w:bookmarkStart w:id="6065" w:name="return-value-394"/>
    <w:p>
      <w:pPr>
        <w:pStyle w:val="Heading2"/>
      </w:pPr>
      <w:r>
        <w:t xml:space="preserve">Return Value</w:t>
      </w:r>
    </w:p>
    <w:p>
      <w:pPr>
        <w:pStyle w:val="FirstParagraph"/>
      </w:pPr>
      <w:r>
        <w:t xml:space="preserve">Returns Boolean True when the key exists.</w:t>
      </w:r>
    </w:p>
    <w:p>
      <w:pPr>
        <w:pStyle w:val="BodyText"/>
      </w:pPr>
      <w:r>
        <w:t xml:space="preserve">Returns Boolean False when the key does not exist.</w:t>
      </w:r>
    </w:p>
    <w:bookmarkEnd w:id="6065"/>
    <w:bookmarkStart w:id="6066" w:name="how-it-works-55"/>
    <w:p>
      <w:pPr>
        <w:pStyle w:val="Heading2"/>
      </w:pPr>
      <w:r>
        <w:t xml:space="preserve">How It Works</w:t>
      </w:r>
    </w:p>
    <w:p>
      <w:pPr>
        <w:pStyle w:val="Compact"/>
        <w:numPr>
          <w:ilvl w:val="0"/>
          <w:numId w:val="2487"/>
        </w:numPr>
      </w:pPr>
      <w:r>
        <w:t xml:space="preserve">Exists uses the dictionary index map and CompareMode rules.</w:t>
      </w:r>
    </w:p>
    <w:p>
      <w:pPr>
        <w:pStyle w:val="Compact"/>
        <w:numPr>
          <w:ilvl w:val="0"/>
          <w:numId w:val="2487"/>
        </w:numPr>
      </w:pPr>
      <w:r>
        <w:t xml:space="preserve">Missing argument raises an error in runtime validation.</w:t>
      </w:r>
    </w:p>
    <w:bookmarkEnd w:id="6066"/>
    <w:bookmarkStart w:id="6067" w:name="remarks-688"/>
    <w:p>
      <w:pPr>
        <w:pStyle w:val="Heading2"/>
      </w:pPr>
      <w:r>
        <w:t xml:space="preserve">Remarks</w:t>
      </w:r>
    </w:p>
    <w:p>
      <w:pPr>
        <w:pStyle w:val="Compact"/>
        <w:numPr>
          <w:ilvl w:val="0"/>
          <w:numId w:val="2488"/>
        </w:numPr>
      </w:pPr>
      <w:r>
        <w:t xml:space="preserve">Member names are case-insensitive.</w:t>
      </w:r>
    </w:p>
    <w:bookmarkEnd w:id="6067"/>
    <w:bookmarkStart w:id="6068" w:name="example-241"/>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"Region"</w:t>
      </w:r>
      <w:r>
        <w:rPr>
          <w:rStyle w:val="OtherTok"/>
        </w:rPr>
        <w:t xml:space="preserve">,</w:t>
      </w:r>
      <w:r>
        <w:rPr>
          <w:rStyle w:val="NormalTok"/>
        </w:rPr>
        <w:t xml:space="preserve"> </w:t>
      </w:r>
      <w:r>
        <w:rPr>
          <w:rStyle w:val="StringTok"/>
        </w:rPr>
        <w:t xml:space="preserve">"US"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dict.</w:t>
      </w:r>
      <w:r>
        <w:rPr>
          <w:rStyle w:val="FunctionTok"/>
        </w:rPr>
        <w:t xml:space="preserve">Exists</w:t>
      </w:r>
      <w:r>
        <w:rPr>
          <w:rStyle w:val="OtherTok"/>
        </w:rPr>
        <w:t xml:space="preserve">(</w:t>
      </w:r>
      <w:r>
        <w:rPr>
          <w:rStyle w:val="StringTok"/>
        </w:rPr>
        <w:t xml:space="preserve">"Region"</w:t>
      </w:r>
      <w:r>
        <w:rPr>
          <w:rStyle w:val="OtherTok"/>
        </w:rPr>
        <w:t xml:space="preserve">))</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068"/>
    <w:bookmarkEnd w:id="6069"/>
    <w:bookmarkStart w:id="6077" w:name="get-or-set-a-dictionary-item"/>
    <w:p>
      <w:pPr>
        <w:pStyle w:val="Heading1"/>
      </w:pPr>
      <w:r>
        <w:t xml:space="preserve">Get or Set a Dictionary Item</w:t>
      </w:r>
    </w:p>
    <w:bookmarkStart w:id="6070" w:name="overview-647"/>
    <w:p>
      <w:pPr>
        <w:pStyle w:val="Heading2"/>
      </w:pPr>
      <w:r>
        <w:t xml:space="preserve">Overview</w:t>
      </w:r>
    </w:p>
    <w:p>
      <w:pPr>
        <w:pStyle w:val="FirstParagraph"/>
      </w:pPr>
      <w:r>
        <w:t xml:space="preserve">Use Item to read or assign a value by key.</w:t>
      </w:r>
    </w:p>
    <w:bookmarkEnd w:id="6070"/>
    <w:bookmarkStart w:id="6071" w:name="syntax-712"/>
    <w:p>
      <w:pPr>
        <w:pStyle w:val="Heading2"/>
      </w:pPr>
      <w:r>
        <w:t xml:space="preserve">Syntax</w:t>
      </w:r>
    </w:p>
    <w:p>
      <w:pPr>
        <w:pStyle w:val="SourceCode"/>
      </w:pPr>
      <w:r>
        <w:rPr>
          <w:rStyle w:val="NormalTok"/>
        </w:rPr>
        <w:t xml:space="preserve">value = dict.Item(key)</w:t>
      </w:r>
      <w:r>
        <w:br/>
      </w:r>
      <w:r>
        <w:rPr>
          <w:rStyle w:val="NormalTok"/>
        </w:rPr>
        <w:t xml:space="preserve">dict.Item(key) = value</w:t>
      </w:r>
    </w:p>
    <w:bookmarkEnd w:id="6071"/>
    <w:bookmarkStart w:id="6072" w:name="parameters-329"/>
    <w:p>
      <w:pPr>
        <w:pStyle w:val="Heading2"/>
      </w:pPr>
      <w:r>
        <w:t xml:space="preserve">Parameters</w:t>
      </w:r>
    </w:p>
    <w:p>
      <w:pPr>
        <w:pStyle w:val="Compact"/>
        <w:numPr>
          <w:ilvl w:val="0"/>
          <w:numId w:val="2489"/>
        </w:numPr>
      </w:pPr>
      <w:r>
        <w:t xml:space="preserve">key (Value, required): Entry key.</w:t>
      </w:r>
    </w:p>
    <w:p>
      <w:pPr>
        <w:pStyle w:val="Compact"/>
        <w:numPr>
          <w:ilvl w:val="0"/>
          <w:numId w:val="2489"/>
        </w:numPr>
      </w:pPr>
      <w:r>
        <w:t xml:space="preserve">value (Value, required in assignment form): Value assigned when using set form.</w:t>
      </w:r>
    </w:p>
    <w:bookmarkEnd w:id="6072"/>
    <w:bookmarkStart w:id="6073" w:name="return-value-395"/>
    <w:p>
      <w:pPr>
        <w:pStyle w:val="Heading2"/>
      </w:pPr>
      <w:r>
        <w:t xml:space="preserve">Return Value</w:t>
      </w:r>
    </w:p>
    <w:p>
      <w:pPr>
        <w:pStyle w:val="FirstParagraph"/>
      </w:pPr>
      <w:r>
        <w:t xml:space="preserve">With one argument, returns the stored value for key.</w:t>
      </w:r>
    </w:p>
    <w:p>
      <w:pPr>
        <w:pStyle w:val="BodyText"/>
      </w:pPr>
      <w:r>
        <w:t xml:space="preserve">When key does not exist in get form, Item returns Empty and creates the key with Empty value.</w:t>
      </w:r>
    </w:p>
    <w:p>
      <w:pPr>
        <w:pStyle w:val="BodyText"/>
      </w:pPr>
      <w:r>
        <w:t xml:space="preserve">With assignment form, Item returns Empty.</w:t>
      </w:r>
    </w:p>
    <w:bookmarkEnd w:id="6073"/>
    <w:bookmarkStart w:id="6074" w:name="how-it-works-56"/>
    <w:p>
      <w:pPr>
        <w:pStyle w:val="Heading2"/>
      </w:pPr>
      <w:r>
        <w:t xml:space="preserve">How It Works</w:t>
      </w:r>
    </w:p>
    <w:p>
      <w:pPr>
        <w:pStyle w:val="Compact"/>
        <w:numPr>
          <w:ilvl w:val="0"/>
          <w:numId w:val="2490"/>
        </w:numPr>
      </w:pPr>
      <w:r>
        <w:t xml:space="preserve">Lookup respects CompareMode.</w:t>
      </w:r>
    </w:p>
    <w:p>
      <w:pPr>
        <w:pStyle w:val="Compact"/>
        <w:numPr>
          <w:ilvl w:val="0"/>
          <w:numId w:val="2490"/>
        </w:numPr>
      </w:pPr>
      <w:r>
        <w:t xml:space="preserve">Assignment updates existing keys or creates new keys.</w:t>
      </w:r>
    </w:p>
    <w:bookmarkEnd w:id="6074"/>
    <w:bookmarkStart w:id="6075" w:name="remarks-689"/>
    <w:p>
      <w:pPr>
        <w:pStyle w:val="Heading2"/>
      </w:pPr>
      <w:r>
        <w:t xml:space="preserve">Remarks</w:t>
      </w:r>
    </w:p>
    <w:p>
      <w:pPr>
        <w:pStyle w:val="Compact"/>
        <w:numPr>
          <w:ilvl w:val="0"/>
          <w:numId w:val="2491"/>
        </w:numPr>
      </w:pPr>
      <w:r>
        <w:t xml:space="preserve">Member names are case-insensitive.</w:t>
      </w:r>
    </w:p>
    <w:p>
      <w:pPr>
        <w:pStyle w:val="Compact"/>
        <w:numPr>
          <w:ilvl w:val="0"/>
          <w:numId w:val="2491"/>
        </w:numPr>
      </w:pPr>
      <w:r>
        <w:t xml:space="preserve">The same behavior is available through default-index syntax:</w:t>
      </w:r>
      <w:r>
        <w:t xml:space="preserve"> </w:t>
      </w:r>
      <w:r>
        <w:rPr>
          <w:rStyle w:val="VerbatimChar"/>
        </w:rPr>
        <w:t xml:space="preserve">dict(key)</w:t>
      </w:r>
      <w:r>
        <w:t xml:space="preserve">.</w:t>
      </w:r>
    </w:p>
    <w:bookmarkEnd w:id="6075"/>
    <w:bookmarkStart w:id="6076" w:name="example-242"/>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rPr>
          <w:rStyle w:val="OtherTok"/>
        </w:rPr>
        <w:t xml:space="preserve">,</w:t>
      </w:r>
      <w:r>
        <w:rPr>
          <w:rStyle w:val="NormalTok"/>
        </w:rPr>
        <w:t xml:space="preserve"> missingValue</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Item</w:t>
      </w:r>
      <w:r>
        <w:rPr>
          <w:rStyle w:val="OtherTok"/>
        </w:rPr>
        <w:t xml:space="preserve">(</w:t>
      </w:r>
      <w:r>
        <w:rPr>
          <w:rStyle w:val="StringTok"/>
        </w:rPr>
        <w:t xml:space="preserve">"Mode"</w:t>
      </w:r>
      <w:r>
        <w:rPr>
          <w:rStyle w:val="OtherTok"/>
        </w:rPr>
        <w:t xml:space="preserve">)</w:t>
      </w:r>
      <w:r>
        <w:rPr>
          <w:rStyle w:val="NormalTok"/>
        </w:rPr>
        <w:t xml:space="preserve"> = </w:t>
      </w:r>
      <w:r>
        <w:rPr>
          <w:rStyle w:val="StringTok"/>
        </w:rPr>
        <w:t xml:space="preserve">"Production"</w:t>
      </w:r>
      <w:r>
        <w:br/>
      </w:r>
      <w:r>
        <w:rPr>
          <w:rStyle w:val="NormalTok"/>
        </w:rPr>
        <w:t xml:space="preserve">missingValue = dict.</w:t>
      </w:r>
      <w:r>
        <w:rPr>
          <w:rStyle w:val="FunctionTok"/>
        </w:rPr>
        <w:t xml:space="preserve">Item</w:t>
      </w:r>
      <w:r>
        <w:rPr>
          <w:rStyle w:val="OtherTok"/>
        </w:rPr>
        <w:t xml:space="preserve">(</w:t>
      </w:r>
      <w:r>
        <w:rPr>
          <w:rStyle w:val="StringTok"/>
        </w:rPr>
        <w:t xml:space="preserve">"UndefinedKey"</w:t>
      </w:r>
      <w:r>
        <w:rPr>
          <w:rStyle w:val="OtherTok"/>
        </w:rPr>
        <w:t xml:space="preserve">)</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"Mode="</w:t>
      </w:r>
      <w:r>
        <w:rPr>
          <w:rStyle w:val="NormalTok"/>
        </w:rPr>
        <w:t xml:space="preserve"> </w:t>
      </w:r>
      <w:r>
        <w:rPr>
          <w:rStyle w:val="KeywordTok"/>
        </w:rPr>
        <w:t xml:space="preserve">&amp;</w:t>
      </w:r>
      <w:r>
        <w:rPr>
          <w:rStyle w:val="NormalTok"/>
        </w:rPr>
        <w:t xml:space="preserve"> dict.</w:t>
      </w:r>
      <w:r>
        <w:rPr>
          <w:rStyle w:val="FunctionTok"/>
        </w:rPr>
        <w:t xml:space="preserve">Item</w:t>
      </w:r>
      <w:r>
        <w:rPr>
          <w:rStyle w:val="OtherTok"/>
        </w:rPr>
        <w:t xml:space="preserve">(</w:t>
      </w:r>
      <w:r>
        <w:rPr>
          <w:rStyle w:val="StringTok"/>
        </w:rPr>
        <w:t xml:space="preserve">"Mode"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"Missing is empty="</w:t>
      </w:r>
      <w:r>
        <w:rPr>
          <w:rStyle w:val="NormalTok"/>
        </w:rPr>
        <w:t xml:space="preserve"> </w:t>
      </w:r>
      <w:r>
        <w:rPr>
          <w:rStyle w:val="KeywordTok"/>
        </w:rPr>
        <w:t xml:space="preserve">&amp;</w:t>
      </w:r>
      <w:r>
        <w:rPr>
          <w:rStyle w:val="NormalTok"/>
        </w:rPr>
        <w:t xml:space="preserve"> </w:t>
      </w:r>
      <w:r>
        <w:rPr>
          <w:rStyle w:val="FunctionTok"/>
        </w:rPr>
        <w:t xml:space="preserve">CStr</w:t>
      </w:r>
      <w:r>
        <w:rPr>
          <w:rStyle w:val="OtherTok"/>
        </w:rPr>
        <w:t xml:space="preserve">(</w:t>
      </w:r>
      <w:r>
        <w:rPr>
          <w:rStyle w:val="FunctionTok"/>
        </w:rPr>
        <w:t xml:space="preserve">IsEmpty</w:t>
      </w:r>
      <w:r>
        <w:rPr>
          <w:rStyle w:val="OtherTok"/>
        </w:rPr>
        <w:t xml:space="preserve">(</w:t>
      </w:r>
      <w:r>
        <w:rPr>
          <w:rStyle w:val="NormalTok"/>
        </w:rPr>
        <w:t xml:space="preserve">missingValue</w:t>
      </w:r>
      <w:r>
        <w:rPr>
          <w:rStyle w:val="OtherTok"/>
        </w:rPr>
        <w:t xml:space="preserve">))</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076"/>
    <w:bookmarkEnd w:id="6077"/>
    <w:bookmarkStart w:id="6085" w:name="enumerate-dictionary-values"/>
    <w:p>
      <w:pPr>
        <w:pStyle w:val="Heading1"/>
      </w:pPr>
      <w:r>
        <w:t xml:space="preserve">Enumerate Dictionary Values</w:t>
      </w:r>
    </w:p>
    <w:bookmarkStart w:id="6078" w:name="overview-648"/>
    <w:p>
      <w:pPr>
        <w:pStyle w:val="Heading2"/>
      </w:pPr>
      <w:r>
        <w:t xml:space="preserve">Overview</w:t>
      </w:r>
    </w:p>
    <w:p>
      <w:pPr>
        <w:pStyle w:val="FirstParagraph"/>
      </w:pPr>
      <w:r>
        <w:t xml:space="preserve">Use Items to retrieve all stored values as an array.</w:t>
      </w:r>
    </w:p>
    <w:bookmarkEnd w:id="6078"/>
    <w:bookmarkStart w:id="6079" w:name="syntax-713"/>
    <w:p>
      <w:pPr>
        <w:pStyle w:val="Heading2"/>
      </w:pPr>
      <w:r>
        <w:t xml:space="preserve">Syntax</w:t>
      </w:r>
    </w:p>
    <w:p>
      <w:pPr>
        <w:pStyle w:val="SourceCode"/>
      </w:pPr>
      <w:r>
        <w:rPr>
          <w:rStyle w:val="NormalTok"/>
        </w:rPr>
        <w:t xml:space="preserve">values = dict.Items()</w:t>
      </w:r>
    </w:p>
    <w:bookmarkEnd w:id="6079"/>
    <w:bookmarkStart w:id="6080" w:name="parameters-330"/>
    <w:p>
      <w:pPr>
        <w:pStyle w:val="Heading2"/>
      </w:pPr>
      <w:r>
        <w:t xml:space="preserve">Parameters</w:t>
      </w:r>
    </w:p>
    <w:p>
      <w:pPr>
        <w:pStyle w:val="Compact"/>
        <w:numPr>
          <w:ilvl w:val="0"/>
          <w:numId w:val="2492"/>
        </w:numPr>
      </w:pPr>
      <w:r>
        <w:t xml:space="preserve">No parameters.</w:t>
      </w:r>
    </w:p>
    <w:bookmarkEnd w:id="6080"/>
    <w:bookmarkStart w:id="6081" w:name="return-value-396"/>
    <w:p>
      <w:pPr>
        <w:pStyle w:val="Heading2"/>
      </w:pPr>
      <w:r>
        <w:t xml:space="preserve">Return Value</w:t>
      </w:r>
    </w:p>
    <w:p>
      <w:pPr>
        <w:pStyle w:val="FirstParagraph"/>
      </w:pPr>
      <w:r>
        <w:t xml:space="preserve">Returns a zero-based Variant array containing dictionary values in insertion order.</w:t>
      </w:r>
    </w:p>
    <w:bookmarkEnd w:id="6081"/>
    <w:bookmarkStart w:id="6082" w:name="how-it-works-57"/>
    <w:p>
      <w:pPr>
        <w:pStyle w:val="Heading2"/>
      </w:pPr>
      <w:r>
        <w:t xml:space="preserve">How It Works</w:t>
      </w:r>
    </w:p>
    <w:p>
      <w:pPr>
        <w:pStyle w:val="Compact"/>
        <w:numPr>
          <w:ilvl w:val="0"/>
          <w:numId w:val="2493"/>
        </w:numPr>
      </w:pPr>
      <w:r>
        <w:t xml:space="preserve">The returned array length equals Count.</w:t>
      </w:r>
    </w:p>
    <w:p>
      <w:pPr>
        <w:pStyle w:val="Compact"/>
        <w:numPr>
          <w:ilvl w:val="0"/>
          <w:numId w:val="2493"/>
        </w:numPr>
      </w:pPr>
      <w:r>
        <w:t xml:space="preserve">Values are copied from the dictionary storage order.</w:t>
      </w:r>
    </w:p>
    <w:bookmarkEnd w:id="6082"/>
    <w:bookmarkStart w:id="6083" w:name="remarks-690"/>
    <w:p>
      <w:pPr>
        <w:pStyle w:val="Heading2"/>
      </w:pPr>
      <w:r>
        <w:t xml:space="preserve">Remarks</w:t>
      </w:r>
    </w:p>
    <w:p>
      <w:pPr>
        <w:pStyle w:val="Compact"/>
        <w:numPr>
          <w:ilvl w:val="0"/>
          <w:numId w:val="2494"/>
        </w:numPr>
      </w:pPr>
      <w:r>
        <w:t xml:space="preserve">Member names are case-insensitive.</w:t>
      </w:r>
    </w:p>
    <w:bookmarkEnd w:id="6083"/>
    <w:bookmarkStart w:id="6084" w:name="example-243"/>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rPr>
          <w:rStyle w:val="OtherTok"/>
        </w:rPr>
        <w:t xml:space="preserve">,</w:t>
      </w:r>
      <w:r>
        <w:rPr>
          <w:rStyle w:val="NormalTok"/>
        </w:rPr>
        <w:t xml:space="preserve"> values</w:t>
      </w:r>
      <w:r>
        <w:rPr>
          <w:rStyle w:val="OtherTok"/>
        </w:rPr>
        <w:t xml:space="preserve">,</w:t>
      </w:r>
      <w:r>
        <w:rPr>
          <w:rStyle w:val="NormalTok"/>
        </w:rPr>
        <w:t xml:space="preserve"> i</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"A"</w:t>
      </w:r>
      <w:r>
        <w:rPr>
          <w:rStyle w:val="OtherTok"/>
        </w:rPr>
        <w:t xml:space="preserve">,</w:t>
      </w:r>
      <w:r>
        <w:rPr>
          <w:rStyle w:val="NormalTok"/>
        </w:rPr>
        <w:t xml:space="preserve"> </w:t>
      </w:r>
      <w:r>
        <w:rPr>
          <w:rStyle w:val="DecValTok"/>
        </w:rPr>
        <w:t xml:space="preserve">10</w:t>
      </w:r>
      <w:r>
        <w:br/>
      </w:r>
      <w:r>
        <w:rPr>
          <w:rStyle w:val="NormalTok"/>
        </w:rPr>
        <w:t xml:space="preserve">dict.</w:t>
      </w:r>
      <w:r>
        <w:rPr>
          <w:rStyle w:val="FunctionTok"/>
        </w:rPr>
        <w:t xml:space="preserve">Add</w:t>
      </w:r>
      <w:r>
        <w:rPr>
          <w:rStyle w:val="NormalTok"/>
        </w:rPr>
        <w:t xml:space="preserve"> </w:t>
      </w:r>
      <w:r>
        <w:rPr>
          <w:rStyle w:val="StringTok"/>
        </w:rPr>
        <w:t xml:space="preserve">"B"</w:t>
      </w:r>
      <w:r>
        <w:rPr>
          <w:rStyle w:val="OtherTok"/>
        </w:rPr>
        <w:t xml:space="preserve">,</w:t>
      </w:r>
      <w:r>
        <w:rPr>
          <w:rStyle w:val="NormalTok"/>
        </w:rPr>
        <w:t xml:space="preserve"> </w:t>
      </w:r>
      <w:r>
        <w:rPr>
          <w:rStyle w:val="DecValTok"/>
        </w:rPr>
        <w:t xml:space="preserve">20</w:t>
      </w:r>
      <w:r>
        <w:br/>
      </w:r>
      <w:r>
        <w:rPr>
          <w:rStyle w:val="NormalTok"/>
        </w:rPr>
        <w:t xml:space="preserve">values = dict.</w:t>
      </w:r>
      <w:r>
        <w:rPr>
          <w:rStyle w:val="FunctionTok"/>
        </w:rPr>
        <w:t xml:space="preserve">Items</w:t>
      </w:r>
      <w:r>
        <w:rPr>
          <w:rStyle w:val="OtherTok"/>
        </w:rPr>
        <w:t xml:space="preserve">()</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NormalTok"/>
        </w:rPr>
        <w:t xml:space="preserve">values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"Value("</w:t>
      </w:r>
      <w:r>
        <w:rPr>
          <w:rStyle w:val="NormalTok"/>
        </w:rPr>
        <w:t xml:space="preserve"> </w:t>
      </w:r>
      <w:r>
        <w:rPr>
          <w:rStyle w:val="KeywordTok"/>
        </w:rPr>
        <w:t xml:space="preserve">&amp;</w:t>
      </w:r>
      <w:r>
        <w:rPr>
          <w:rStyle w:val="NormalTok"/>
        </w:rPr>
        <w:t xml:space="preserve"> i </w:t>
      </w:r>
      <w:r>
        <w:rPr>
          <w:rStyle w:val="KeywordTok"/>
        </w:rPr>
        <w:t xml:space="preserve">&amp;</w:t>
      </w:r>
      <w:r>
        <w:rPr>
          <w:rStyle w:val="NormalTok"/>
        </w:rPr>
        <w:t xml:space="preserve"> </w:t>
      </w:r>
      <w:r>
        <w:rPr>
          <w:rStyle w:val="StringTok"/>
        </w:rPr>
        <w:t xml:space="preserve">")="</w:t>
      </w:r>
      <w:r>
        <w:rPr>
          <w:rStyle w:val="NormalTok"/>
        </w:rPr>
        <w:t xml:space="preserve"> </w:t>
      </w:r>
      <w:r>
        <w:rPr>
          <w:rStyle w:val="KeywordTok"/>
        </w:rPr>
        <w:t xml:space="preserve">&amp;</w:t>
      </w:r>
      <w:r>
        <w:rPr>
          <w:rStyle w:val="NormalTok"/>
        </w:rPr>
        <w:t xml:space="preserve"> values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084"/>
    <w:bookmarkEnd w:id="6085"/>
    <w:bookmarkStart w:id="6093" w:name="rename-a-dictionary-key"/>
    <w:p>
      <w:pPr>
        <w:pStyle w:val="Heading1"/>
      </w:pPr>
      <w:r>
        <w:t xml:space="preserve">Rename a Dictionary Key</w:t>
      </w:r>
    </w:p>
    <w:bookmarkStart w:id="6086" w:name="overview-649"/>
    <w:p>
      <w:pPr>
        <w:pStyle w:val="Heading2"/>
      </w:pPr>
      <w:r>
        <w:t xml:space="preserve">Overview</w:t>
      </w:r>
    </w:p>
    <w:p>
      <w:pPr>
        <w:pStyle w:val="FirstParagraph"/>
      </w:pPr>
      <w:r>
        <w:t xml:space="preserve">Use Key to rename an existing dictionary key without changing its associated value.</w:t>
      </w:r>
    </w:p>
    <w:bookmarkEnd w:id="6086"/>
    <w:bookmarkStart w:id="6087" w:name="syntax-714"/>
    <w:p>
      <w:pPr>
        <w:pStyle w:val="Heading2"/>
      </w:pPr>
      <w:r>
        <w:t xml:space="preserve">Syntax</w:t>
      </w:r>
    </w:p>
    <w:p>
      <w:pPr>
        <w:pStyle w:val="SourceCode"/>
      </w:pPr>
      <w:r>
        <w:rPr>
          <w:rStyle w:val="NormalTok"/>
        </w:rPr>
        <w:t xml:space="preserve">dict.Key(oldKey) = newKey</w:t>
      </w:r>
    </w:p>
    <w:bookmarkEnd w:id="6087"/>
    <w:bookmarkStart w:id="6088" w:name="parameters-331"/>
    <w:p>
      <w:pPr>
        <w:pStyle w:val="Heading2"/>
      </w:pPr>
      <w:r>
        <w:t xml:space="preserve">Parameters</w:t>
      </w:r>
    </w:p>
    <w:p>
      <w:pPr>
        <w:pStyle w:val="Compact"/>
        <w:numPr>
          <w:ilvl w:val="0"/>
          <w:numId w:val="2495"/>
        </w:numPr>
      </w:pPr>
      <w:r>
        <w:t xml:space="preserve">oldKey (Variant, required): Existing key to rename.</w:t>
      </w:r>
    </w:p>
    <w:p>
      <w:pPr>
        <w:pStyle w:val="Compact"/>
        <w:numPr>
          <w:ilvl w:val="0"/>
          <w:numId w:val="2495"/>
        </w:numPr>
      </w:pPr>
      <w:r>
        <w:t xml:space="preserve">newKey (Variant, required): New key name.</w:t>
      </w:r>
    </w:p>
    <w:bookmarkEnd w:id="6088"/>
    <w:bookmarkStart w:id="6089" w:name="return-value-397"/>
    <w:p>
      <w:pPr>
        <w:pStyle w:val="Heading2"/>
      </w:pPr>
      <w:r>
        <w:t xml:space="preserve">Return Value</w:t>
      </w:r>
    </w:p>
    <w:p>
      <w:pPr>
        <w:pStyle w:val="FirstParagraph"/>
      </w:pPr>
      <w:r>
        <w:t xml:space="preserve">Returns Empty.</w:t>
      </w:r>
    </w:p>
    <w:bookmarkEnd w:id="6089"/>
    <w:bookmarkStart w:id="6090" w:name="how-it-works-58"/>
    <w:p>
      <w:pPr>
        <w:pStyle w:val="Heading2"/>
      </w:pPr>
      <w:r>
        <w:t xml:space="preserve">How It Works</w:t>
      </w:r>
    </w:p>
    <w:p>
      <w:pPr>
        <w:pStyle w:val="Compact"/>
        <w:numPr>
          <w:ilvl w:val="0"/>
          <w:numId w:val="2496"/>
        </w:numPr>
      </w:pPr>
      <w:r>
        <w:t xml:space="preserve">The key position is preserved in insertion order.</w:t>
      </w:r>
    </w:p>
    <w:p>
      <w:pPr>
        <w:pStyle w:val="Compact"/>
        <w:numPr>
          <w:ilvl w:val="0"/>
          <w:numId w:val="2496"/>
        </w:numPr>
      </w:pPr>
      <w:r>
        <w:t xml:space="preserve">Renaming fails when oldKey does not exist.</w:t>
      </w:r>
    </w:p>
    <w:p>
      <w:pPr>
        <w:pStyle w:val="Compact"/>
        <w:numPr>
          <w:ilvl w:val="0"/>
          <w:numId w:val="2496"/>
        </w:numPr>
      </w:pPr>
      <w:r>
        <w:t xml:space="preserve">Renaming fails when newKey already exists.</w:t>
      </w:r>
    </w:p>
    <w:bookmarkEnd w:id="6090"/>
    <w:bookmarkStart w:id="6091" w:name="remarks-691"/>
    <w:p>
      <w:pPr>
        <w:pStyle w:val="Heading2"/>
      </w:pPr>
      <w:r>
        <w:t xml:space="preserve">Remarks</w:t>
      </w:r>
    </w:p>
    <w:p>
      <w:pPr>
        <w:pStyle w:val="Compact"/>
        <w:numPr>
          <w:ilvl w:val="0"/>
          <w:numId w:val="2497"/>
        </w:numPr>
      </w:pPr>
      <w:r>
        <w:t xml:space="preserve">Runtime assignment syntax is the recommended form.</w:t>
      </w:r>
    </w:p>
    <w:p>
      <w:pPr>
        <w:pStyle w:val="Compact"/>
        <w:numPr>
          <w:ilvl w:val="0"/>
          <w:numId w:val="2497"/>
        </w:numPr>
      </w:pPr>
      <w:r>
        <w:t xml:space="preserve">Member names are case-insensitive.</w:t>
      </w:r>
    </w:p>
    <w:bookmarkEnd w:id="6091"/>
    <w:bookmarkStart w:id="6092" w:name="example-244"/>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"OldName"</w:t>
      </w:r>
      <w:r>
        <w:rPr>
          <w:rStyle w:val="OtherTok"/>
        </w:rPr>
        <w:t xml:space="preserve">,</w:t>
      </w:r>
      <w:r>
        <w:rPr>
          <w:rStyle w:val="NormalTok"/>
        </w:rPr>
        <w:t xml:space="preserve"> </w:t>
      </w:r>
      <w:r>
        <w:rPr>
          <w:rStyle w:val="StringTok"/>
        </w:rPr>
        <w:t xml:space="preserve">"Value"</w:t>
      </w:r>
      <w:r>
        <w:br/>
      </w:r>
      <w:r>
        <w:rPr>
          <w:rStyle w:val="NormalTok"/>
        </w:rPr>
        <w:t xml:space="preserve">dict.Key</w:t>
      </w:r>
      <w:r>
        <w:rPr>
          <w:rStyle w:val="OtherTok"/>
        </w:rPr>
        <w:t xml:space="preserve">(</w:t>
      </w:r>
      <w:r>
        <w:rPr>
          <w:rStyle w:val="StringTok"/>
        </w:rPr>
        <w:t xml:space="preserve">"OldName"</w:t>
      </w:r>
      <w:r>
        <w:rPr>
          <w:rStyle w:val="OtherTok"/>
        </w:rPr>
        <w:t xml:space="preserve">)</w:t>
      </w:r>
      <w:r>
        <w:rPr>
          <w:rStyle w:val="NormalTok"/>
        </w:rPr>
        <w:t xml:space="preserve"> = </w:t>
      </w:r>
      <w:r>
        <w:rPr>
          <w:rStyle w:val="StringTok"/>
        </w:rPr>
        <w:t xml:space="preserve">"NewName"</w:t>
      </w:r>
      <w:r>
        <w:br/>
      </w:r>
      <w:r>
        <w:br/>
      </w:r>
      <w:r>
        <w:rPr>
          <w:rStyle w:val="FunctionTok"/>
        </w:rPr>
        <w:t xml:space="preserve">Response</w:t>
      </w:r>
      <w:r>
        <w:rPr>
          <w:rStyle w:val="NormalTok"/>
        </w:rPr>
        <w:t xml:space="preserve">.</w:t>
      </w:r>
      <w:r>
        <w:rPr>
          <w:rStyle w:val="FunctionTok"/>
        </w:rPr>
        <w:t xml:space="preserve">Write</w:t>
      </w:r>
      <w:r>
        <w:rPr>
          <w:rStyle w:val="NormalTok"/>
        </w:rPr>
        <w:t xml:space="preserve"> dict.</w:t>
      </w:r>
      <w:r>
        <w:rPr>
          <w:rStyle w:val="FunctionTok"/>
        </w:rPr>
        <w:t xml:space="preserve">Item</w:t>
      </w:r>
      <w:r>
        <w:rPr>
          <w:rStyle w:val="OtherTok"/>
        </w:rPr>
        <w:t xml:space="preserve">(</w:t>
      </w:r>
      <w:r>
        <w:rPr>
          <w:rStyle w:val="StringTok"/>
        </w:rPr>
        <w:t xml:space="preserve">"NewName"</w:t>
      </w:r>
      <w:r>
        <w:rPr>
          <w:rStyle w:val="OtherTok"/>
        </w:rPr>
        <w:t xml:space="preserve">)</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092"/>
    <w:bookmarkEnd w:id="6093"/>
    <w:bookmarkStart w:id="6101" w:name="enumerate-dictionary-keys"/>
    <w:p>
      <w:pPr>
        <w:pStyle w:val="Heading1"/>
      </w:pPr>
      <w:r>
        <w:t xml:space="preserve">Enumerate Dictionary Keys</w:t>
      </w:r>
    </w:p>
    <w:bookmarkStart w:id="6094" w:name="overview-650"/>
    <w:p>
      <w:pPr>
        <w:pStyle w:val="Heading2"/>
      </w:pPr>
      <w:r>
        <w:t xml:space="preserve">Overview</w:t>
      </w:r>
    </w:p>
    <w:p>
      <w:pPr>
        <w:pStyle w:val="FirstParagraph"/>
      </w:pPr>
      <w:r>
        <w:t xml:space="preserve">Use Keys to retrieve all dictionary keys as an array.</w:t>
      </w:r>
    </w:p>
    <w:bookmarkEnd w:id="6094"/>
    <w:bookmarkStart w:id="6095" w:name="syntax-715"/>
    <w:p>
      <w:pPr>
        <w:pStyle w:val="Heading2"/>
      </w:pPr>
      <w:r>
        <w:t xml:space="preserve">Syntax</w:t>
      </w:r>
    </w:p>
    <w:p>
      <w:pPr>
        <w:pStyle w:val="SourceCode"/>
      </w:pPr>
      <w:r>
        <w:rPr>
          <w:rStyle w:val="NormalTok"/>
        </w:rPr>
        <w:t xml:space="preserve">keys = dict.Keys()</w:t>
      </w:r>
    </w:p>
    <w:bookmarkEnd w:id="6095"/>
    <w:bookmarkStart w:id="6096" w:name="parameters-332"/>
    <w:p>
      <w:pPr>
        <w:pStyle w:val="Heading2"/>
      </w:pPr>
      <w:r>
        <w:t xml:space="preserve">Parameters</w:t>
      </w:r>
    </w:p>
    <w:p>
      <w:pPr>
        <w:pStyle w:val="Compact"/>
        <w:numPr>
          <w:ilvl w:val="0"/>
          <w:numId w:val="2498"/>
        </w:numPr>
      </w:pPr>
      <w:r>
        <w:t xml:space="preserve">No parameters.</w:t>
      </w:r>
    </w:p>
    <w:bookmarkEnd w:id="6096"/>
    <w:bookmarkStart w:id="6097" w:name="return-value-398"/>
    <w:p>
      <w:pPr>
        <w:pStyle w:val="Heading2"/>
      </w:pPr>
      <w:r>
        <w:t xml:space="preserve">Return Value</w:t>
      </w:r>
    </w:p>
    <w:p>
      <w:pPr>
        <w:pStyle w:val="FirstParagraph"/>
      </w:pPr>
      <w:r>
        <w:t xml:space="preserve">Returns a zero-based Variant array containing keys in insertion order.</w:t>
      </w:r>
    </w:p>
    <w:bookmarkEnd w:id="6097"/>
    <w:bookmarkStart w:id="6098" w:name="how-it-works-59"/>
    <w:p>
      <w:pPr>
        <w:pStyle w:val="Heading2"/>
      </w:pPr>
      <w:r>
        <w:t xml:space="preserve">How It Works</w:t>
      </w:r>
    </w:p>
    <w:p>
      <w:pPr>
        <w:pStyle w:val="Compact"/>
        <w:numPr>
          <w:ilvl w:val="0"/>
          <w:numId w:val="2499"/>
        </w:numPr>
      </w:pPr>
      <w:r>
        <w:t xml:space="preserve">Keys are copied from dictionary internal key order.</w:t>
      </w:r>
    </w:p>
    <w:p>
      <w:pPr>
        <w:pStyle w:val="Compact"/>
        <w:numPr>
          <w:ilvl w:val="0"/>
          <w:numId w:val="2499"/>
        </w:numPr>
      </w:pPr>
      <w:r>
        <w:t xml:space="preserve">The returned array length equals Count.</w:t>
      </w:r>
    </w:p>
    <w:bookmarkEnd w:id="6098"/>
    <w:bookmarkStart w:id="6099" w:name="remarks-692"/>
    <w:p>
      <w:pPr>
        <w:pStyle w:val="Heading2"/>
      </w:pPr>
      <w:r>
        <w:t xml:space="preserve">Remarks</w:t>
      </w:r>
    </w:p>
    <w:p>
      <w:pPr>
        <w:pStyle w:val="Compact"/>
        <w:numPr>
          <w:ilvl w:val="0"/>
          <w:numId w:val="2500"/>
        </w:numPr>
      </w:pPr>
      <w:r>
        <w:t xml:space="preserve">Member names are case-insensitive.</w:t>
      </w:r>
    </w:p>
    <w:bookmarkEnd w:id="6099"/>
    <w:bookmarkStart w:id="6100" w:name="example-245"/>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rPr>
          <w:rStyle w:val="OtherTok"/>
        </w:rPr>
        <w:t xml:space="preserve">,</w:t>
      </w:r>
      <w:r>
        <w:rPr>
          <w:rStyle w:val="NormalTok"/>
        </w:rPr>
        <w:t xml:space="preserve"> </w:t>
      </w:r>
      <w:r>
        <w:rPr>
          <w:rStyle w:val="FunctionTok"/>
        </w:rPr>
        <w:t xml:space="preserve">keys</w:t>
      </w:r>
      <w:r>
        <w:rPr>
          <w:rStyle w:val="OtherTok"/>
        </w:rPr>
        <w:t xml:space="preserve">,</w:t>
      </w:r>
      <w:r>
        <w:rPr>
          <w:rStyle w:val="NormalTok"/>
        </w:rPr>
        <w:t xml:space="preserve"> i</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"A"</w:t>
      </w:r>
      <w:r>
        <w:rPr>
          <w:rStyle w:val="OtherTok"/>
        </w:rPr>
        <w:t xml:space="preserve">,</w:t>
      </w:r>
      <w:r>
        <w:rPr>
          <w:rStyle w:val="NormalTok"/>
        </w:rPr>
        <w:t xml:space="preserve"> </w:t>
      </w:r>
      <w:r>
        <w:rPr>
          <w:rStyle w:val="StringTok"/>
        </w:rPr>
        <w:t xml:space="preserve">"x"</w:t>
      </w:r>
      <w:r>
        <w:br/>
      </w:r>
      <w:r>
        <w:rPr>
          <w:rStyle w:val="NormalTok"/>
        </w:rPr>
        <w:t xml:space="preserve">dict.</w:t>
      </w:r>
      <w:r>
        <w:rPr>
          <w:rStyle w:val="FunctionTok"/>
        </w:rPr>
        <w:t xml:space="preserve">Add</w:t>
      </w:r>
      <w:r>
        <w:rPr>
          <w:rStyle w:val="NormalTok"/>
        </w:rPr>
        <w:t xml:space="preserve"> </w:t>
      </w:r>
      <w:r>
        <w:rPr>
          <w:rStyle w:val="StringTok"/>
        </w:rPr>
        <w:t xml:space="preserve">"B"</w:t>
      </w:r>
      <w:r>
        <w:rPr>
          <w:rStyle w:val="OtherTok"/>
        </w:rPr>
        <w:t xml:space="preserve">,</w:t>
      </w:r>
      <w:r>
        <w:rPr>
          <w:rStyle w:val="NormalTok"/>
        </w:rPr>
        <w:t xml:space="preserve"> </w:t>
      </w:r>
      <w:r>
        <w:rPr>
          <w:rStyle w:val="StringTok"/>
        </w:rPr>
        <w:t xml:space="preserve">"y"</w:t>
      </w:r>
      <w:r>
        <w:br/>
      </w:r>
      <w:r>
        <w:rPr>
          <w:rStyle w:val="FunctionTok"/>
        </w:rPr>
        <w:t xml:space="preserve">keys</w:t>
      </w:r>
      <w:r>
        <w:rPr>
          <w:rStyle w:val="NormalTok"/>
        </w:rPr>
        <w:t xml:space="preserve"> = dict.</w:t>
      </w:r>
      <w:r>
        <w:rPr>
          <w:rStyle w:val="FunctionTok"/>
        </w:rPr>
        <w:t xml:space="preserve">Keys</w:t>
      </w:r>
      <w:r>
        <w:rPr>
          <w:rStyle w:val="OtherTok"/>
        </w:rPr>
        <w:t xml:space="preserve">()</w:t>
      </w:r>
      <w:r>
        <w:br/>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w:t>
      </w:r>
      <w:r>
        <w:rPr>
          <w:rStyle w:val="FunctionTok"/>
        </w:rPr>
        <w:t xml:space="preserve">UBound</w:t>
      </w:r>
      <w:r>
        <w:rPr>
          <w:rStyle w:val="OtherTok"/>
        </w:rPr>
        <w:t xml:space="preserve">(</w:t>
      </w:r>
      <w:r>
        <w:rPr>
          <w:rStyle w:val="FunctionTok"/>
        </w:rPr>
        <w:t xml:space="preserve">keys</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"Key("</w:t>
      </w:r>
      <w:r>
        <w:rPr>
          <w:rStyle w:val="NormalTok"/>
        </w:rPr>
        <w:t xml:space="preserve"> </w:t>
      </w:r>
      <w:r>
        <w:rPr>
          <w:rStyle w:val="KeywordTok"/>
        </w:rPr>
        <w:t xml:space="preserve">&amp;</w:t>
      </w:r>
      <w:r>
        <w:rPr>
          <w:rStyle w:val="NormalTok"/>
        </w:rPr>
        <w:t xml:space="preserve"> i </w:t>
      </w:r>
      <w:r>
        <w:rPr>
          <w:rStyle w:val="KeywordTok"/>
        </w:rPr>
        <w:t xml:space="preserve">&amp;</w:t>
      </w:r>
      <w:r>
        <w:rPr>
          <w:rStyle w:val="NormalTok"/>
        </w:rPr>
        <w:t xml:space="preserve"> </w:t>
      </w:r>
      <w:r>
        <w:rPr>
          <w:rStyle w:val="StringTok"/>
        </w:rPr>
        <w:t xml:space="preserve">")="</w:t>
      </w:r>
      <w:r>
        <w:rPr>
          <w:rStyle w:val="NormalTok"/>
        </w:rPr>
        <w:t xml:space="preserve"> </w:t>
      </w:r>
      <w:r>
        <w:rPr>
          <w:rStyle w:val="KeywordTok"/>
        </w:rPr>
        <w:t xml:space="preserve">&amp;</w:t>
      </w:r>
      <w:r>
        <w:rPr>
          <w:rStyle w:val="NormalTok"/>
        </w:rPr>
        <w:t xml:space="preserve"> </w:t>
      </w:r>
      <w:r>
        <w:rPr>
          <w:rStyle w:val="FunctionTok"/>
        </w:rPr>
        <w:t xml:space="preserve">keys</w:t>
      </w:r>
      <w:r>
        <w:rPr>
          <w:rStyle w:val="OtherTok"/>
        </w:rPr>
        <w:t xml:space="preserve">(</w:t>
      </w:r>
      <w:r>
        <w:rPr>
          <w:rStyle w:val="NormalTok"/>
        </w:rPr>
        <w:t xml:space="preserve">i</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100"/>
    <w:bookmarkEnd w:id="6101"/>
    <w:bookmarkStart w:id="6109" w:name="remove-a-dictionary-entry"/>
    <w:p>
      <w:pPr>
        <w:pStyle w:val="Heading1"/>
      </w:pPr>
      <w:r>
        <w:t xml:space="preserve">Remove a Dictionary Entry</w:t>
      </w:r>
    </w:p>
    <w:bookmarkStart w:id="6102" w:name="overview-651"/>
    <w:p>
      <w:pPr>
        <w:pStyle w:val="Heading2"/>
      </w:pPr>
      <w:r>
        <w:t xml:space="preserve">Overview</w:t>
      </w:r>
    </w:p>
    <w:p>
      <w:pPr>
        <w:pStyle w:val="FirstParagraph"/>
      </w:pPr>
      <w:r>
        <w:t xml:space="preserve">Use Remove to delete one dictionary entry by key.</w:t>
      </w:r>
    </w:p>
    <w:bookmarkEnd w:id="6102"/>
    <w:bookmarkStart w:id="6103" w:name="syntax-716"/>
    <w:p>
      <w:pPr>
        <w:pStyle w:val="Heading2"/>
      </w:pPr>
      <w:r>
        <w:t xml:space="preserve">Syntax</w:t>
      </w:r>
    </w:p>
    <w:p>
      <w:pPr>
        <w:pStyle w:val="SourceCode"/>
      </w:pPr>
      <w:r>
        <w:rPr>
          <w:rStyle w:val="NormalTok"/>
        </w:rPr>
        <w:t xml:space="preserve">dict.Remove key</w:t>
      </w:r>
    </w:p>
    <w:bookmarkEnd w:id="6103"/>
    <w:bookmarkStart w:id="6104" w:name="parameters-333"/>
    <w:p>
      <w:pPr>
        <w:pStyle w:val="Heading2"/>
      </w:pPr>
      <w:r>
        <w:t xml:space="preserve">Parameters</w:t>
      </w:r>
    </w:p>
    <w:p>
      <w:pPr>
        <w:pStyle w:val="Compact"/>
        <w:numPr>
          <w:ilvl w:val="0"/>
          <w:numId w:val="2501"/>
        </w:numPr>
      </w:pPr>
      <w:r>
        <w:t xml:space="preserve">key (Variant, required): Key to remove.</w:t>
      </w:r>
    </w:p>
    <w:bookmarkEnd w:id="6104"/>
    <w:bookmarkStart w:id="6105" w:name="return-value-399"/>
    <w:p>
      <w:pPr>
        <w:pStyle w:val="Heading2"/>
      </w:pPr>
      <w:r>
        <w:t xml:space="preserve">Return Value</w:t>
      </w:r>
    </w:p>
    <w:p>
      <w:pPr>
        <w:pStyle w:val="FirstParagraph"/>
      </w:pPr>
      <w:r>
        <w:t xml:space="preserve">Returns Empty.</w:t>
      </w:r>
    </w:p>
    <w:bookmarkEnd w:id="6105"/>
    <w:bookmarkStart w:id="6106" w:name="how-it-works-60"/>
    <w:p>
      <w:pPr>
        <w:pStyle w:val="Heading2"/>
      </w:pPr>
      <w:r>
        <w:t xml:space="preserve">How It Works</w:t>
      </w:r>
    </w:p>
    <w:p>
      <w:pPr>
        <w:pStyle w:val="Compact"/>
        <w:numPr>
          <w:ilvl w:val="0"/>
          <w:numId w:val="2502"/>
        </w:numPr>
      </w:pPr>
      <w:r>
        <w:t xml:space="preserve">Remove deletes both key and value and rebuilds the internal index map.</w:t>
      </w:r>
    </w:p>
    <w:p>
      <w:pPr>
        <w:pStyle w:val="Compact"/>
        <w:numPr>
          <w:ilvl w:val="0"/>
          <w:numId w:val="2502"/>
        </w:numPr>
      </w:pPr>
      <w:r>
        <w:t xml:space="preserve">Remove raises an error when the key does not exist.</w:t>
      </w:r>
    </w:p>
    <w:bookmarkEnd w:id="6106"/>
    <w:bookmarkStart w:id="6107" w:name="remarks-693"/>
    <w:p>
      <w:pPr>
        <w:pStyle w:val="Heading2"/>
      </w:pPr>
      <w:r>
        <w:t xml:space="preserve">Remarks</w:t>
      </w:r>
    </w:p>
    <w:p>
      <w:pPr>
        <w:pStyle w:val="Compact"/>
        <w:numPr>
          <w:ilvl w:val="0"/>
          <w:numId w:val="2503"/>
        </w:numPr>
      </w:pPr>
      <w:r>
        <w:t xml:space="preserve">Remove requires one argument.</w:t>
      </w:r>
    </w:p>
    <w:p>
      <w:pPr>
        <w:pStyle w:val="Compact"/>
        <w:numPr>
          <w:ilvl w:val="0"/>
          <w:numId w:val="2503"/>
        </w:numPr>
      </w:pPr>
      <w:r>
        <w:t xml:space="preserve">Member names are case-insensitive.</w:t>
      </w:r>
    </w:p>
    <w:bookmarkEnd w:id="6107"/>
    <w:bookmarkStart w:id="6108" w:name="example-246"/>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"Token"</w:t>
      </w:r>
      <w:r>
        <w:rPr>
          <w:rStyle w:val="OtherTok"/>
        </w:rPr>
        <w:t xml:space="preserve">,</w:t>
      </w:r>
      <w:r>
        <w:rPr>
          <w:rStyle w:val="NormalTok"/>
        </w:rPr>
        <w:t xml:space="preserve"> </w:t>
      </w:r>
      <w:r>
        <w:rPr>
          <w:rStyle w:val="StringTok"/>
        </w:rPr>
        <w:t xml:space="preserve">"ABC"</w:t>
      </w:r>
      <w:r>
        <w:br/>
      </w:r>
      <w:r>
        <w:rPr>
          <w:rStyle w:val="NormalTok"/>
        </w:rPr>
        <w:t xml:space="preserve">dict.</w:t>
      </w:r>
      <w:r>
        <w:rPr>
          <w:rStyle w:val="FunctionTok"/>
        </w:rPr>
        <w:t xml:space="preserve">Remove</w:t>
      </w:r>
      <w:r>
        <w:rPr>
          <w:rStyle w:val="NormalTok"/>
        </w:rPr>
        <w:t xml:space="preserve"> </w:t>
      </w:r>
      <w:r>
        <w:rPr>
          <w:rStyle w:val="StringTok"/>
        </w:rPr>
        <w:t xml:space="preserve">"Token"</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"Count="</w:t>
      </w:r>
      <w:r>
        <w:rPr>
          <w:rStyle w:val="NormalTok"/>
        </w:rPr>
        <w:t xml:space="preserve"> </w:t>
      </w:r>
      <w:r>
        <w:rPr>
          <w:rStyle w:val="KeywordTok"/>
        </w:rPr>
        <w:t xml:space="preserve">&amp;</w:t>
      </w:r>
      <w:r>
        <w:rPr>
          <w:rStyle w:val="NormalTok"/>
        </w:rPr>
        <w:t xml:space="preserve"> dict.Count</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108"/>
    <w:bookmarkEnd w:id="6109"/>
    <w:bookmarkStart w:id="6118" w:name="clear-all-dictionary-entries"/>
    <w:p>
      <w:pPr>
        <w:pStyle w:val="Heading1"/>
      </w:pPr>
      <w:r>
        <w:t xml:space="preserve">Clear All Dictionary Entries</w:t>
      </w:r>
    </w:p>
    <w:bookmarkStart w:id="6110" w:name="overview-652"/>
    <w:p>
      <w:pPr>
        <w:pStyle w:val="Heading2"/>
      </w:pPr>
      <w:r>
        <w:t xml:space="preserve">Overview</w:t>
      </w:r>
    </w:p>
    <w:p>
      <w:pPr>
        <w:pStyle w:val="FirstParagraph"/>
      </w:pPr>
      <w:r>
        <w:t xml:space="preserve">Use RemoveAll to clear all key-value entries in the dictionary.</w:t>
      </w:r>
    </w:p>
    <w:bookmarkEnd w:id="6110"/>
    <w:bookmarkStart w:id="6111" w:name="syntax-717"/>
    <w:p>
      <w:pPr>
        <w:pStyle w:val="Heading2"/>
      </w:pPr>
      <w:r>
        <w:t xml:space="preserve">Syntax</w:t>
      </w:r>
    </w:p>
    <w:p>
      <w:pPr>
        <w:pStyle w:val="SourceCode"/>
      </w:pPr>
      <w:r>
        <w:rPr>
          <w:rStyle w:val="NormalTok"/>
        </w:rPr>
        <w:t xml:space="preserve">dict.RemoveAll</w:t>
      </w:r>
    </w:p>
    <w:bookmarkEnd w:id="6111"/>
    <w:bookmarkStart w:id="6112" w:name="parameters-334"/>
    <w:p>
      <w:pPr>
        <w:pStyle w:val="Heading2"/>
      </w:pPr>
      <w:r>
        <w:t xml:space="preserve">Parameters</w:t>
      </w:r>
    </w:p>
    <w:p>
      <w:pPr>
        <w:pStyle w:val="Compact"/>
        <w:numPr>
          <w:ilvl w:val="0"/>
          <w:numId w:val="2504"/>
        </w:numPr>
      </w:pPr>
      <w:r>
        <w:t xml:space="preserve">No parameters.</w:t>
      </w:r>
    </w:p>
    <w:bookmarkEnd w:id="6112"/>
    <w:bookmarkStart w:id="6113" w:name="return-value-400"/>
    <w:p>
      <w:pPr>
        <w:pStyle w:val="Heading2"/>
      </w:pPr>
      <w:r>
        <w:t xml:space="preserve">Return Value</w:t>
      </w:r>
    </w:p>
    <w:p>
      <w:pPr>
        <w:pStyle w:val="FirstParagraph"/>
      </w:pPr>
      <w:r>
        <w:t xml:space="preserve">Returns Empty.</w:t>
      </w:r>
    </w:p>
    <w:bookmarkEnd w:id="6113"/>
    <w:bookmarkStart w:id="6114" w:name="how-it-works-61"/>
    <w:p>
      <w:pPr>
        <w:pStyle w:val="Heading2"/>
      </w:pPr>
      <w:r>
        <w:t xml:space="preserve">How It Works</w:t>
      </w:r>
    </w:p>
    <w:p>
      <w:pPr>
        <w:pStyle w:val="Compact"/>
        <w:numPr>
          <w:ilvl w:val="0"/>
          <w:numId w:val="2505"/>
        </w:numPr>
      </w:pPr>
      <w:r>
        <w:t xml:space="preserve">RemoveAll clears key and value storage.</w:t>
      </w:r>
    </w:p>
    <w:p>
      <w:pPr>
        <w:pStyle w:val="Compact"/>
        <w:numPr>
          <w:ilvl w:val="0"/>
          <w:numId w:val="2505"/>
        </w:numPr>
      </w:pPr>
      <w:r>
        <w:t xml:space="preserve">Count becomes 0 after completion.</w:t>
      </w:r>
    </w:p>
    <w:bookmarkEnd w:id="6114"/>
    <w:bookmarkStart w:id="6115" w:name="remarks-694"/>
    <w:p>
      <w:pPr>
        <w:pStyle w:val="Heading2"/>
      </w:pPr>
      <w:r>
        <w:t xml:space="preserve">Remarks</w:t>
      </w:r>
    </w:p>
    <w:p>
      <w:pPr>
        <w:pStyle w:val="Compact"/>
        <w:numPr>
          <w:ilvl w:val="0"/>
          <w:numId w:val="2506"/>
        </w:numPr>
      </w:pPr>
      <w:r>
        <w:t xml:space="preserve">Member names are case-insensitive.</w:t>
      </w:r>
    </w:p>
    <w:bookmarkEnd w:id="6115"/>
    <w:bookmarkStart w:id="6117" w:name="example-247"/>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"A"</w:t>
      </w:r>
      <w:r>
        <w:rPr>
          <w:rStyle w:val="OtherTok"/>
        </w:rPr>
        <w:t xml:space="preserve">,</w:t>
      </w:r>
      <w:r>
        <w:rPr>
          <w:rStyle w:val="NormalTok"/>
        </w:rPr>
        <w:t xml:space="preserve"> </w:t>
      </w:r>
      <w:r>
        <w:rPr>
          <w:rStyle w:val="DecValTok"/>
        </w:rPr>
        <w:t xml:space="preserve">1</w:t>
      </w:r>
      <w:r>
        <w:br/>
      </w:r>
      <w:r>
        <w:rPr>
          <w:rStyle w:val="NormalTok"/>
        </w:rPr>
        <w:t xml:space="preserve">dict.</w:t>
      </w:r>
      <w:r>
        <w:rPr>
          <w:rStyle w:val="FunctionTok"/>
        </w:rPr>
        <w:t xml:space="preserve">Add</w:t>
      </w:r>
      <w:r>
        <w:rPr>
          <w:rStyle w:val="NormalTok"/>
        </w:rPr>
        <w:t xml:space="preserve"> </w:t>
      </w:r>
      <w:r>
        <w:rPr>
          <w:rStyle w:val="StringTok"/>
        </w:rPr>
        <w:t xml:space="preserve">"B"</w:t>
      </w:r>
      <w:r>
        <w:rPr>
          <w:rStyle w:val="OtherTok"/>
        </w:rPr>
        <w:t xml:space="preserve">,</w:t>
      </w:r>
      <w:r>
        <w:rPr>
          <w:rStyle w:val="NormalTok"/>
        </w:rPr>
        <w:t xml:space="preserve"> </w:t>
      </w:r>
      <w:r>
        <w:rPr>
          <w:rStyle w:val="DecValTok"/>
        </w:rPr>
        <w:t xml:space="preserve">2</w:t>
      </w:r>
      <w:r>
        <w:br/>
      </w:r>
      <w:r>
        <w:rPr>
          <w:rStyle w:val="NormalTok"/>
        </w:rPr>
        <w:t xml:space="preserve">dict.</w:t>
      </w:r>
      <w:r>
        <w:rPr>
          <w:rStyle w:val="FunctionTok"/>
        </w:rPr>
        <w:t xml:space="preserve">RemoveAll</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"Count="</w:t>
      </w:r>
      <w:r>
        <w:rPr>
          <w:rStyle w:val="NormalTok"/>
        </w:rPr>
        <w:t xml:space="preserve"> </w:t>
      </w:r>
      <w:r>
        <w:rPr>
          <w:rStyle w:val="KeywordTok"/>
        </w:rPr>
        <w:t xml:space="preserve">&amp;</w:t>
      </w:r>
      <w:r>
        <w:rPr>
          <w:rStyle w:val="NormalTok"/>
        </w:rPr>
        <w:t xml:space="preserve"> dict.Count</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Start w:id="6116" w:name="properties-detail-17"/>
    <w:p>
      <w:pPr>
        <w:pStyle w:val="Heading3"/>
      </w:pPr>
      <w:r>
        <w:t xml:space="preserve">Properties Detail</w:t>
      </w:r>
    </w:p>
    <w:bookmarkEnd w:id="6116"/>
    <w:bookmarkEnd w:id="6117"/>
    <w:bookmarkEnd w:id="6118"/>
    <w:bookmarkStart w:id="6126" w:name="set-dictionary-comparemode"/>
    <w:p>
      <w:pPr>
        <w:pStyle w:val="Heading1"/>
      </w:pPr>
      <w:r>
        <w:t xml:space="preserve">Set Dictionary CompareMode</w:t>
      </w:r>
    </w:p>
    <w:bookmarkStart w:id="6119" w:name="overview-653"/>
    <w:p>
      <w:pPr>
        <w:pStyle w:val="Heading2"/>
      </w:pPr>
      <w:r>
        <w:t xml:space="preserve">Overview</w:t>
      </w:r>
    </w:p>
    <w:p>
      <w:pPr>
        <w:pStyle w:val="FirstParagraph"/>
      </w:pPr>
      <w:r>
        <w:t xml:space="preserve">Use CompareMode to control how keys are compared during lookup and existence checks.</w:t>
      </w:r>
    </w:p>
    <w:bookmarkEnd w:id="6119"/>
    <w:bookmarkStart w:id="6120" w:name="syntax-718"/>
    <w:p>
      <w:pPr>
        <w:pStyle w:val="Heading2"/>
      </w:pPr>
      <w:r>
        <w:t xml:space="preserve">Syntax</w:t>
      </w:r>
    </w:p>
    <w:p>
      <w:pPr>
        <w:pStyle w:val="SourceCode"/>
      </w:pPr>
      <w:r>
        <w:rPr>
          <w:rStyle w:val="NormalTok"/>
        </w:rPr>
        <w:t xml:space="preserve">mode = dict.CompareMode</w:t>
      </w:r>
      <w:r>
        <w:br/>
      </w:r>
      <w:r>
        <w:rPr>
          <w:rStyle w:val="NormalTok"/>
        </w:rPr>
        <w:t xml:space="preserve">dict.CompareMode = modeValue</w:t>
      </w:r>
    </w:p>
    <w:bookmarkEnd w:id="6120"/>
    <w:bookmarkStart w:id="6121" w:name="parameters-335"/>
    <w:p>
      <w:pPr>
        <w:pStyle w:val="Heading2"/>
      </w:pPr>
      <w:r>
        <w:t xml:space="preserve">Parameters</w:t>
      </w:r>
    </w:p>
    <w:p>
      <w:pPr>
        <w:pStyle w:val="Compact"/>
        <w:numPr>
          <w:ilvl w:val="0"/>
          <w:numId w:val="2507"/>
        </w:numPr>
      </w:pPr>
      <w:r>
        <w:t xml:space="preserve">modeValue (Integer, required for assignment):</w:t>
      </w:r>
    </w:p>
    <w:p>
      <w:pPr>
        <w:pStyle w:val="Compact"/>
        <w:numPr>
          <w:ilvl w:val="1"/>
          <w:numId w:val="2508"/>
        </w:numPr>
      </w:pPr>
      <w:r>
        <w:rPr>
          <w:rStyle w:val="VerbatimChar"/>
        </w:rPr>
        <w:t xml:space="preserve">0</w:t>
      </w:r>
      <w:r>
        <w:t xml:space="preserve"> </w:t>
      </w:r>
      <w:r>
        <w:t xml:space="preserve">= BinaryCompare (case-sensitive)</w:t>
      </w:r>
    </w:p>
    <w:p>
      <w:pPr>
        <w:pStyle w:val="Compact"/>
        <w:numPr>
          <w:ilvl w:val="1"/>
          <w:numId w:val="2508"/>
        </w:numPr>
      </w:pPr>
      <w:r>
        <w:rPr>
          <w:rStyle w:val="VerbatimChar"/>
        </w:rPr>
        <w:t xml:space="preserve">1</w:t>
      </w:r>
      <w:r>
        <w:t xml:space="preserve"> </w:t>
      </w:r>
      <w:r>
        <w:t xml:space="preserve">= TextCompare (case-insensitive)</w:t>
      </w:r>
    </w:p>
    <w:bookmarkEnd w:id="6121"/>
    <w:bookmarkStart w:id="6122" w:name="return-value-401"/>
    <w:p>
      <w:pPr>
        <w:pStyle w:val="Heading2"/>
      </w:pPr>
      <w:r>
        <w:t xml:space="preserve">Return Value</w:t>
      </w:r>
    </w:p>
    <w:p>
      <w:pPr>
        <w:pStyle w:val="FirstParagraph"/>
      </w:pPr>
      <w:r>
        <w:t xml:space="preserve">Getter returns an Integer representing the current comparison mode.</w:t>
      </w:r>
    </w:p>
    <w:p>
      <w:pPr>
        <w:pStyle w:val="BodyText"/>
      </w:pPr>
      <w:r>
        <w:t xml:space="preserve">Setter returns no value.</w:t>
      </w:r>
    </w:p>
    <w:bookmarkEnd w:id="6122"/>
    <w:bookmarkStart w:id="6123" w:name="how-it-works-62"/>
    <w:p>
      <w:pPr>
        <w:pStyle w:val="Heading2"/>
      </w:pPr>
      <w:r>
        <w:t xml:space="preserve">How It Works</w:t>
      </w:r>
    </w:p>
    <w:p>
      <w:pPr>
        <w:pStyle w:val="Compact"/>
        <w:numPr>
          <w:ilvl w:val="0"/>
          <w:numId w:val="2509"/>
        </w:numPr>
      </w:pPr>
      <w:r>
        <w:t xml:space="preserve">CompareMode changes key normalization rules used by Exists, Item, Add, Remove, and Key.</w:t>
      </w:r>
    </w:p>
    <w:p>
      <w:pPr>
        <w:pStyle w:val="Compact"/>
        <w:numPr>
          <w:ilvl w:val="0"/>
          <w:numId w:val="2509"/>
        </w:numPr>
      </w:pPr>
      <w:r>
        <w:t xml:space="preserve">CompareMode can be changed only while the dictionary is empty.</w:t>
      </w:r>
    </w:p>
    <w:bookmarkEnd w:id="6123"/>
    <w:bookmarkStart w:id="6124" w:name="remarks-695"/>
    <w:p>
      <w:pPr>
        <w:pStyle w:val="Heading2"/>
      </w:pPr>
      <w:r>
        <w:t xml:space="preserve">Remarks</w:t>
      </w:r>
    </w:p>
    <w:p>
      <w:pPr>
        <w:pStyle w:val="Compact"/>
        <w:numPr>
          <w:ilvl w:val="0"/>
          <w:numId w:val="2510"/>
        </w:numPr>
      </w:pPr>
      <w:r>
        <w:t xml:space="preserve">Assigning CompareMode after entries already exist raises an error.</w:t>
      </w:r>
    </w:p>
    <w:p>
      <w:pPr>
        <w:pStyle w:val="Compact"/>
        <w:numPr>
          <w:ilvl w:val="0"/>
          <w:numId w:val="2510"/>
        </w:numPr>
      </w:pPr>
      <w:r>
        <w:t xml:space="preserve">Member names are case-insensitive.</w:t>
      </w:r>
    </w:p>
    <w:bookmarkEnd w:id="6124"/>
    <w:bookmarkStart w:id="6125" w:name="example-248"/>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dict.CompareMode = </w:t>
      </w:r>
      <w:r>
        <w:rPr>
          <w:rStyle w:val="DecValTok"/>
        </w:rPr>
        <w:t xml:space="preserve">1</w:t>
      </w:r>
      <w:r>
        <w:br/>
      </w:r>
      <w:r>
        <w:rPr>
          <w:rStyle w:val="NormalTok"/>
        </w:rPr>
        <w:t xml:space="preserve">dict.</w:t>
      </w:r>
      <w:r>
        <w:rPr>
          <w:rStyle w:val="FunctionTok"/>
        </w:rPr>
        <w:t xml:space="preserve">Add</w:t>
      </w:r>
      <w:r>
        <w:rPr>
          <w:rStyle w:val="NormalTok"/>
        </w:rPr>
        <w:t xml:space="preserve"> </w:t>
      </w:r>
      <w:r>
        <w:rPr>
          <w:rStyle w:val="StringTok"/>
        </w:rPr>
        <w:t xml:space="preserve">"Token"</w:t>
      </w:r>
      <w:r>
        <w:rPr>
          <w:rStyle w:val="OtherTok"/>
        </w:rPr>
        <w:t xml:space="preserve">,</w:t>
      </w:r>
      <w:r>
        <w:rPr>
          <w:rStyle w:val="NormalTok"/>
        </w:rPr>
        <w:t xml:space="preserve"> </w:t>
      </w:r>
      <w:r>
        <w:rPr>
          <w:rStyle w:val="StringTok"/>
        </w:rPr>
        <w:t xml:space="preserve">"A"</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CStr</w:t>
      </w:r>
      <w:r>
        <w:rPr>
          <w:rStyle w:val="OtherTok"/>
        </w:rPr>
        <w:t xml:space="preserve">(</w:t>
      </w:r>
      <w:r>
        <w:rPr>
          <w:rStyle w:val="NormalTok"/>
        </w:rPr>
        <w:t xml:space="preserve">dict.</w:t>
      </w:r>
      <w:r>
        <w:rPr>
          <w:rStyle w:val="FunctionTok"/>
        </w:rPr>
        <w:t xml:space="preserve">Exists</w:t>
      </w:r>
      <w:r>
        <w:rPr>
          <w:rStyle w:val="OtherTok"/>
        </w:rPr>
        <w:t xml:space="preserve">(</w:t>
      </w:r>
      <w:r>
        <w:rPr>
          <w:rStyle w:val="StringTok"/>
        </w:rPr>
        <w:t xml:space="preserve">"token"</w:t>
      </w:r>
      <w:r>
        <w:rPr>
          <w:rStyle w:val="OtherTok"/>
        </w:rPr>
        <w:t xml:space="preserve">))</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125"/>
    <w:bookmarkEnd w:id="6126"/>
    <w:bookmarkStart w:id="6135" w:name="get-dictionary-entry-count"/>
    <w:p>
      <w:pPr>
        <w:pStyle w:val="Heading1"/>
      </w:pPr>
      <w:r>
        <w:t xml:space="preserve">Get Dictionary Entry Count</w:t>
      </w:r>
    </w:p>
    <w:bookmarkStart w:id="6127" w:name="overview-654"/>
    <w:p>
      <w:pPr>
        <w:pStyle w:val="Heading2"/>
      </w:pPr>
      <w:r>
        <w:t xml:space="preserve">Overview</w:t>
      </w:r>
    </w:p>
    <w:p>
      <w:pPr>
        <w:pStyle w:val="FirstParagraph"/>
      </w:pPr>
      <w:r>
        <w:t xml:space="preserve">Use Count to retrieve the current number of entries in a Scripting.Dictionary instance.</w:t>
      </w:r>
    </w:p>
    <w:bookmarkEnd w:id="6127"/>
    <w:bookmarkStart w:id="6128" w:name="syntax-719"/>
    <w:p>
      <w:pPr>
        <w:pStyle w:val="Heading2"/>
      </w:pPr>
      <w:r>
        <w:t xml:space="preserve">Syntax</w:t>
      </w:r>
    </w:p>
    <w:p>
      <w:pPr>
        <w:pStyle w:val="SourceCode"/>
      </w:pPr>
      <w:r>
        <w:rPr>
          <w:rStyle w:val="NormalTok"/>
        </w:rPr>
        <w:t xml:space="preserve">countValue = dict.Count</w:t>
      </w:r>
      <w:r>
        <w:br/>
      </w:r>
      <w:r>
        <w:rPr>
          <w:rStyle w:val="NormalTok"/>
        </w:rPr>
        <w:t xml:space="preserve">countValue = dict.Count()</w:t>
      </w:r>
    </w:p>
    <w:bookmarkEnd w:id="6128"/>
    <w:bookmarkStart w:id="6129" w:name="parameters-336"/>
    <w:p>
      <w:pPr>
        <w:pStyle w:val="Heading2"/>
      </w:pPr>
      <w:r>
        <w:t xml:space="preserve">Parameters</w:t>
      </w:r>
    </w:p>
    <w:p>
      <w:pPr>
        <w:pStyle w:val="Compact"/>
        <w:numPr>
          <w:ilvl w:val="0"/>
          <w:numId w:val="2511"/>
        </w:numPr>
      </w:pPr>
      <w:r>
        <w:t xml:space="preserve">Getter only. This member accepts no arguments.</w:t>
      </w:r>
    </w:p>
    <w:bookmarkEnd w:id="6129"/>
    <w:bookmarkStart w:id="6130" w:name="return-value-402"/>
    <w:p>
      <w:pPr>
        <w:pStyle w:val="Heading2"/>
      </w:pPr>
      <w:r>
        <w:t xml:space="preserve">Return Value</w:t>
      </w:r>
    </w:p>
    <w:p>
      <w:pPr>
        <w:pStyle w:val="FirstParagraph"/>
      </w:pPr>
      <w:r>
        <w:t xml:space="preserve">Returns an Integer equal to the number of entries currently stored.</w:t>
      </w:r>
    </w:p>
    <w:bookmarkEnd w:id="6130"/>
    <w:bookmarkStart w:id="6131" w:name="how-it-works-63"/>
    <w:p>
      <w:pPr>
        <w:pStyle w:val="Heading2"/>
      </w:pPr>
      <w:r>
        <w:t xml:space="preserve">How It Works</w:t>
      </w:r>
    </w:p>
    <w:p>
      <w:pPr>
        <w:pStyle w:val="Compact"/>
        <w:numPr>
          <w:ilvl w:val="0"/>
          <w:numId w:val="2512"/>
        </w:numPr>
      </w:pPr>
      <w:r>
        <w:t xml:space="preserve">Count reflects the number of keys in the dictionary.</w:t>
      </w:r>
    </w:p>
    <w:p>
      <w:pPr>
        <w:pStyle w:val="Compact"/>
        <w:numPr>
          <w:ilvl w:val="0"/>
          <w:numId w:val="2512"/>
        </w:numPr>
      </w:pPr>
      <w:r>
        <w:t xml:space="preserve">The value updates immediately after Add, Remove, RemoveAll, and Item assignment that creates new keys.</w:t>
      </w:r>
    </w:p>
    <w:bookmarkEnd w:id="6131"/>
    <w:bookmarkStart w:id="6132" w:name="remarks-696"/>
    <w:p>
      <w:pPr>
        <w:pStyle w:val="Heading2"/>
      </w:pPr>
      <w:r>
        <w:t xml:space="preserve">Remarks</w:t>
      </w:r>
    </w:p>
    <w:p>
      <w:pPr>
        <w:pStyle w:val="Compact"/>
        <w:numPr>
          <w:ilvl w:val="0"/>
          <w:numId w:val="2513"/>
        </w:numPr>
      </w:pPr>
      <w:r>
        <w:t xml:space="preserve">Count is exposed both as property-style and method-style access.</w:t>
      </w:r>
    </w:p>
    <w:p>
      <w:pPr>
        <w:pStyle w:val="Compact"/>
        <w:numPr>
          <w:ilvl w:val="0"/>
          <w:numId w:val="2513"/>
        </w:numPr>
      </w:pPr>
      <w:r>
        <w:t xml:space="preserve">Member names are case-insensitive.</w:t>
      </w:r>
    </w:p>
    <w:bookmarkEnd w:id="6132"/>
    <w:bookmarkStart w:id="6133" w:name="example-249"/>
    <w:p>
      <w:pPr>
        <w:pStyle w:val="Heading2"/>
      </w:pPr>
      <w:r>
        <w:t xml:space="preserve">Example</w:t>
      </w:r>
    </w:p>
    <w:p>
      <w:pPr>
        <w:pStyle w:val="SourceCode"/>
      </w:pP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dict</w:t>
      </w:r>
      <w:r>
        <w:br/>
      </w:r>
      <w:r>
        <w:rPr>
          <w:rStyle w:val="KeywordTok"/>
        </w:rPr>
        <w:t xml:space="preserve">Set</w:t>
      </w:r>
      <w:r>
        <w:rPr>
          <w:rStyle w:val="NormalTok"/>
        </w:rPr>
        <w:t xml:space="preserve"> dict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"Scripting.Dictionary"</w:t>
      </w:r>
      <w:r>
        <w:rPr>
          <w:rStyle w:val="OtherTok"/>
        </w:rPr>
        <w:t xml:space="preserve">)</w:t>
      </w:r>
      <w:r>
        <w:br/>
      </w:r>
      <w:r>
        <w:br/>
      </w:r>
      <w:r>
        <w:rPr>
          <w:rStyle w:val="NormalTok"/>
        </w:rPr>
        <w:t xml:space="preserve">dict.</w:t>
      </w:r>
      <w:r>
        <w:rPr>
          <w:rStyle w:val="FunctionTok"/>
        </w:rPr>
        <w:t xml:space="preserve">Add</w:t>
      </w:r>
      <w:r>
        <w:rPr>
          <w:rStyle w:val="NormalTok"/>
        </w:rPr>
        <w:t xml:space="preserve"> </w:t>
      </w:r>
      <w:r>
        <w:rPr>
          <w:rStyle w:val="StringTok"/>
        </w:rPr>
        <w:t xml:space="preserve">"A"</w:t>
      </w:r>
      <w:r>
        <w:rPr>
          <w:rStyle w:val="OtherTok"/>
        </w:rPr>
        <w:t xml:space="preserve">,</w:t>
      </w:r>
      <w:r>
        <w:rPr>
          <w:rStyle w:val="NormalTok"/>
        </w:rPr>
        <w:t xml:space="preserve"> </w:t>
      </w:r>
      <w:r>
        <w:rPr>
          <w:rStyle w:val="DecValTok"/>
        </w:rPr>
        <w:t xml:space="preserve">10</w:t>
      </w:r>
      <w:r>
        <w:br/>
      </w:r>
      <w:r>
        <w:rPr>
          <w:rStyle w:val="NormalTok"/>
        </w:rPr>
        <w:t xml:space="preserve">dict.</w:t>
      </w:r>
      <w:r>
        <w:rPr>
          <w:rStyle w:val="FunctionTok"/>
        </w:rPr>
        <w:t xml:space="preserve">Add</w:t>
      </w:r>
      <w:r>
        <w:rPr>
          <w:rStyle w:val="NormalTok"/>
        </w:rPr>
        <w:t xml:space="preserve"> </w:t>
      </w:r>
      <w:r>
        <w:rPr>
          <w:rStyle w:val="StringTok"/>
        </w:rPr>
        <w:t xml:space="preserve">"B"</w:t>
      </w:r>
      <w:r>
        <w:rPr>
          <w:rStyle w:val="OtherTok"/>
        </w:rPr>
        <w:t xml:space="preserve">,</w:t>
      </w:r>
      <w:r>
        <w:rPr>
          <w:rStyle w:val="NormalTok"/>
        </w:rPr>
        <w:t xml:space="preserve"> </w:t>
      </w:r>
      <w:r>
        <w:rPr>
          <w:rStyle w:val="DecValTok"/>
        </w:rPr>
        <w:t xml:space="preserve">20</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"Count="</w:t>
      </w:r>
      <w:r>
        <w:rPr>
          <w:rStyle w:val="NormalTok"/>
        </w:rPr>
        <w:t xml:space="preserve"> </w:t>
      </w:r>
      <w:r>
        <w:rPr>
          <w:rStyle w:val="KeywordTok"/>
        </w:rPr>
        <w:t xml:space="preserve">&amp;</w:t>
      </w:r>
      <w:r>
        <w:rPr>
          <w:rStyle w:val="NormalTok"/>
        </w:rPr>
        <w:t xml:space="preserve"> dict.Count</w:t>
      </w:r>
      <w:r>
        <w:br/>
      </w:r>
      <w:r>
        <w:br/>
      </w:r>
      <w:r>
        <w:rPr>
          <w:rStyle w:val="KeywordTok"/>
        </w:rPr>
        <w:t xml:space="preserve">Set</w:t>
      </w:r>
      <w:r>
        <w:rPr>
          <w:rStyle w:val="NormalTok"/>
        </w:rPr>
        <w:t xml:space="preserve"> dict = </w:t>
      </w:r>
      <w:r>
        <w:rPr>
          <w:rStyle w:val="KeywordTok"/>
        </w:rPr>
        <w:t xml:space="preserve">Nothing</w:t>
      </w:r>
      <w:r>
        <w:br/>
      </w:r>
      <w:r>
        <w:rPr>
          <w:rStyle w:val="DataTypeTok"/>
        </w:rPr>
        <w:t xml:space="preserve">%&gt;</w:t>
      </w:r>
    </w:p>
    <w:bookmarkEnd w:id="6133"/>
    <w:bookmarkStart w:id="6134" w:name="scripting.filesystemobject"/>
    <w:p>
      <w:pPr>
        <w:pStyle w:val="Heading2"/>
      </w:pPr>
      <w:r>
        <w:t xml:space="preserve">SCRIPTING.FILESYSTEMOBJECT</w:t>
      </w:r>
    </w:p>
    <w:bookmarkEnd w:id="6134"/>
    <w:bookmarkEnd w:id="6135"/>
    <w:bookmarkStart w:id="6143" w:name="X947b713668ff113d24fd3e9076fb69181142c86"/>
    <w:p>
      <w:pPr>
        <w:pStyle w:val="Heading1"/>
      </w:pPr>
      <w:r>
        <w:t xml:space="preserve">Use Scripting.FileSystemObject in AxonASP</w:t>
      </w:r>
    </w:p>
    <w:bookmarkStart w:id="6136" w:name="overview-655"/>
    <w:p>
      <w:pPr>
        <w:pStyle w:val="Heading2"/>
      </w:pPr>
      <w:r>
        <w:t xml:space="preserve">Overview</w:t>
      </w:r>
    </w:p>
    <w:p>
      <w:pPr>
        <w:pStyle w:val="FirstParagraph"/>
      </w:pPr>
      <w:r>
        <w:t xml:space="preserve">Scripting.FileSystemObject provides access to the server file system from Classic ASP scripts. Use it to create, read, update, and delete files and folders; navigate directory hierarchies; open text streams for reading or writing; and query drive information.</w:t>
      </w:r>
    </w:p>
    <w:p>
      <w:pPr>
        <w:pStyle w:val="BodyText"/>
      </w:pPr>
      <w:r>
        <w:t xml:space="preserve">Creating the object returns a root FSO handle. From it you obtain</w:t>
      </w:r>
      <w:r>
        <w:t xml:space="preserve"> </w:t>
      </w:r>
      <w:r>
        <w:rPr>
          <w:b/>
          <w:bCs/>
        </w:rPr>
        <w:t xml:space="preserve">File</w:t>
      </w:r>
      <w:r>
        <w:t xml:space="preserve">,</w:t>
      </w:r>
      <w:r>
        <w:t xml:space="preserve"> </w:t>
      </w:r>
      <w:r>
        <w:rPr>
          <w:b/>
          <w:bCs/>
        </w:rPr>
        <w:t xml:space="preserve">Folder</w:t>
      </w:r>
      <w:r>
        <w:t xml:space="preserve">,</w:t>
      </w:r>
      <w:r>
        <w:t xml:space="preserve"> </w:t>
      </w:r>
      <w:r>
        <w:rPr>
          <w:b/>
          <w:bCs/>
        </w:rPr>
        <w:t xml:space="preserve">TextStream</w:t>
      </w:r>
      <w:r>
        <w:t xml:space="preserve">, and</w:t>
      </w:r>
      <w:r>
        <w:t xml:space="preserve"> </w:t>
      </w:r>
      <w:r>
        <w:rPr>
          <w:b/>
          <w:bCs/>
        </w:rPr>
        <w:t xml:space="preserve">Drive</w:t>
      </w:r>
      <w:r>
        <w:t xml:space="preserve"> </w:t>
      </w:r>
      <w:r>
        <w:t xml:space="preserve">sub-objects, each exposing their own methods and properties.</w:t>
      </w:r>
    </w:p>
    <w:bookmarkEnd w:id="6136"/>
    <w:bookmarkStart w:id="6137" w:name="prerequisites-174"/>
    <w:p>
      <w:pPr>
        <w:pStyle w:val="Heading2"/>
      </w:pPr>
      <w:r>
        <w:t xml:space="preserve">Prerequisites</w:t>
      </w:r>
    </w:p>
    <w:p>
      <w:pPr>
        <w:pStyle w:val="Compact"/>
        <w:numPr>
          <w:ilvl w:val="0"/>
          <w:numId w:val="2514"/>
        </w:numPr>
      </w:pPr>
      <w:r>
        <w:t xml:space="preserve">The target path must reside within the server document root or a mapped physical path.</w:t>
      </w:r>
    </w:p>
    <w:p>
      <w:pPr>
        <w:pStyle w:val="Compact"/>
        <w:numPr>
          <w:ilvl w:val="0"/>
          <w:numId w:val="2514"/>
        </w:numPr>
      </w:pPr>
      <w:r>
        <w:t xml:space="preserve">Write operations require that the server process has the necessary file system permissions on the target path.</w:t>
      </w:r>
    </w:p>
    <w:p>
      <w:pPr>
        <w:pStyle w:val="Compact"/>
        <w:numPr>
          <w:ilvl w:val="0"/>
          <w:numId w:val="2514"/>
        </w:numPr>
      </w:pPr>
      <w:r>
        <w:t xml:space="preserve">All relative paths are resolved against the document root before being forwarded to the operating system.</w:t>
      </w:r>
    </w:p>
    <w:bookmarkEnd w:id="6137"/>
    <w:bookmarkStart w:id="6138" w:name="syntax-720"/>
    <w:p>
      <w:pPr>
        <w:pStyle w:val="Heading2"/>
      </w:pPr>
      <w:r>
        <w:t xml:space="preserve">Syntax</w:t>
      </w:r>
    </w:p>
    <w:p>
      <w:pPr>
        <w:pStyle w:val="SourceCode"/>
      </w:pPr>
      <w:r>
        <w:rPr>
          <w:rStyle w:val="NormalTok"/>
        </w:rPr>
        <w:t xml:space="preserve">Set fso = Server.CreateObject("Scripting.FileSystemObject")</w:t>
      </w:r>
    </w:p>
    <w:bookmarkEnd w:id="6138"/>
    <w:bookmarkStart w:id="6139" w:name="return-value-403"/>
    <w:p>
      <w:pPr>
        <w:pStyle w:val="Heading2"/>
      </w:pPr>
      <w:r>
        <w:t xml:space="preserve">Return Value</w:t>
      </w:r>
    </w:p>
    <w:p>
      <w:pPr>
        <w:pStyle w:val="FirstParagraph"/>
      </w:pPr>
      <w:r>
        <w:t xml:space="preserve">Returns a native FSO object handle. Use</w:t>
      </w:r>
      <w:r>
        <w:t xml:space="preserve"> </w:t>
      </w:r>
      <w:r>
        <w:rPr>
          <w:rStyle w:val="VerbatimChar"/>
        </w:rPr>
        <w:t xml:space="preserve">Set</w:t>
      </w:r>
      <w:r>
        <w:t xml:space="preserve"> </w:t>
      </w:r>
      <w:r>
        <w:t xml:space="preserve">for assignment. Call</w:t>
      </w:r>
      <w:r>
        <w:t xml:space="preserve"> </w:t>
      </w:r>
      <w:r>
        <w:rPr>
          <w:rStyle w:val="VerbatimChar"/>
        </w:rPr>
        <w:t xml:space="preserve">Set fso = Nothing</w:t>
      </w:r>
      <w:r>
        <w:t xml:space="preserve"> </w:t>
      </w:r>
      <w:r>
        <w:t xml:space="preserve">when the object is no longer needed.</w:t>
      </w:r>
    </w:p>
    <w:bookmarkEnd w:id="6139"/>
    <w:bookmarkStart w:id="6140" w:name="how-it-works-64"/>
    <w:p>
      <w:pPr>
        <w:pStyle w:val="Heading2"/>
      </w:pPr>
      <w:r>
        <w:t xml:space="preserve">How It Works</w:t>
      </w:r>
    </w:p>
    <w:p>
      <w:pPr>
        <w:pStyle w:val="FirstParagraph"/>
      </w:pPr>
      <w:r>
        <w:t xml:space="preserve">The AxonASP runtime resolves all relative paths against the web document root and normalizes path separators for the host operating system before passing them to the OS file API. Closing a TextStream or assigning</w:t>
      </w:r>
      <w:r>
        <w:t xml:space="preserve"> </w:t>
      </w:r>
      <w:r>
        <w:rPr>
          <w:rStyle w:val="VerbatimChar"/>
        </w:rPr>
        <w:t xml:space="preserve">Nothing</w:t>
      </w:r>
      <w:r>
        <w:t xml:space="preserve"> </w:t>
      </w:r>
      <w:r>
        <w:t xml:space="preserve">to a File or Folder handle releases the underlying OS file handle immediately.</w:t>
      </w:r>
    </w:p>
    <w:p>
      <w:pPr>
        <w:pStyle w:val="BodyText"/>
      </w:pPr>
      <w:r>
        <w:t xml:space="preserve">The FSO object model is composed of several distinct sub-objects, each returned by methods on the root FSO:</w:t>
      </w:r>
    </w:p>
    <w:p>
      <w:pPr>
        <w:pStyle w:val="Compact"/>
        <w:numPr>
          <w:ilvl w:val="0"/>
          <w:numId w:val="2515"/>
        </w:numPr>
      </w:pPr>
      <w:r>
        <w:rPr>
          <w:b/>
          <w:bCs/>
        </w:rPr>
        <w:t xml:space="preserve">File</w:t>
      </w:r>
      <w:r>
        <w:t xml:space="preserve"> </w:t>
      </w:r>
      <w:r>
        <w:t xml:space="preserve">— Represents a single file entry with metadata properties and stream access.</w:t>
      </w:r>
    </w:p>
    <w:p>
      <w:pPr>
        <w:pStyle w:val="Compact"/>
        <w:numPr>
          <w:ilvl w:val="0"/>
          <w:numId w:val="2515"/>
        </w:numPr>
      </w:pPr>
      <w:r>
        <w:rPr>
          <w:b/>
          <w:bCs/>
        </w:rPr>
        <w:t xml:space="preserve">Folder</w:t>
      </w:r>
      <w:r>
        <w:t xml:space="preserve"> </w:t>
      </w:r>
      <w:r>
        <w:t xml:space="preserve">— Represents a directory with properties, sub-folder and file collections, and a text-file factory.</w:t>
      </w:r>
    </w:p>
    <w:p>
      <w:pPr>
        <w:pStyle w:val="Compact"/>
        <w:numPr>
          <w:ilvl w:val="0"/>
          <w:numId w:val="2515"/>
        </w:numPr>
      </w:pPr>
      <w:r>
        <w:rPr>
          <w:b/>
          <w:bCs/>
        </w:rPr>
        <w:t xml:space="preserve">TextStream</w:t>
      </w:r>
      <w:r>
        <w:t xml:space="preserve"> </w:t>
      </w:r>
      <w:r>
        <w:t xml:space="preserve">— A sequential text I/O stream for reading from or writing to a file.</w:t>
      </w:r>
    </w:p>
    <w:p>
      <w:pPr>
        <w:pStyle w:val="Compact"/>
        <w:numPr>
          <w:ilvl w:val="0"/>
          <w:numId w:val="2515"/>
        </w:numPr>
      </w:pPr>
      <w:r>
        <w:rPr>
          <w:b/>
          <w:bCs/>
        </w:rPr>
        <w:t xml:space="preserve">Drive</w:t>
      </w:r>
      <w:r>
        <w:t xml:space="preserve"> </w:t>
      </w:r>
      <w:r>
        <w:t xml:space="preserve">— Exposes capacity, type, and volume information for one drive.</w:t>
      </w:r>
    </w:p>
    <w:p>
      <w:pPr>
        <w:pStyle w:val="Compact"/>
        <w:numPr>
          <w:ilvl w:val="0"/>
          <w:numId w:val="2515"/>
        </w:numPr>
      </w:pPr>
      <w:r>
        <w:rPr>
          <w:b/>
          <w:bCs/>
        </w:rPr>
        <w:t xml:space="preserve">DrivesCollection</w:t>
      </w:r>
      <w:r>
        <w:t xml:space="preserve"> </w:t>
      </w:r>
      <w:r>
        <w:t xml:space="preserve">— Enumerates all available drives on the server.</w:t>
      </w:r>
    </w:p>
    <w:bookmarkEnd w:id="6140"/>
    <w:bookmarkStart w:id="6141" w:name="remarks-697"/>
    <w:p>
      <w:pPr>
        <w:pStyle w:val="Heading2"/>
      </w:pPr>
      <w:r>
        <w:t xml:space="preserve">Remarks</w:t>
      </w:r>
    </w:p>
    <w:p>
      <w:pPr>
        <w:pStyle w:val="Compact"/>
        <w:numPr>
          <w:ilvl w:val="0"/>
          <w:numId w:val="2516"/>
        </w:numPr>
      </w:pPr>
      <w:r>
        <w:t xml:space="preserve">All method and property names are case-insensitive.</w:t>
      </w:r>
    </w:p>
    <w:p>
      <w:pPr>
        <w:pStyle w:val="Compact"/>
        <w:numPr>
          <w:ilvl w:val="0"/>
          <w:numId w:val="2516"/>
        </w:numPr>
      </w:pPr>
      <w:r>
        <w:t xml:space="preserve">On non-Windows hosts, drive-related properties return normalized values representing the root file system.</w:t>
      </w:r>
    </w:p>
    <w:p>
      <w:pPr>
        <w:pStyle w:val="Compact"/>
        <w:numPr>
          <w:ilvl w:val="0"/>
          <w:numId w:val="2516"/>
        </w:numPr>
      </w:pPr>
      <w:r>
        <w:rPr>
          <w:rStyle w:val="VerbatimChar"/>
        </w:rPr>
        <w:t xml:space="preserve">GetTempName</w:t>
      </w:r>
      <w:r>
        <w:t xml:space="preserve"> </w:t>
      </w:r>
      <w:r>
        <w:t xml:space="preserve">generates a unique temporary file name in</w:t>
      </w:r>
      <w:r>
        <w:t xml:space="preserve"> </w:t>
      </w:r>
      <w:r>
        <w:rPr>
          <w:rStyle w:val="VerbatimChar"/>
        </w:rPr>
        <w:t xml:space="preserve">radXXXXXX.axon.tmp</w:t>
      </w:r>
      <w:r>
        <w:t xml:space="preserve"> </w:t>
      </w:r>
      <w:r>
        <w:t xml:space="preserve">format and does</w:t>
      </w:r>
      <w:r>
        <w:t xml:space="preserve"> </w:t>
      </w:r>
      <w:r>
        <w:rPr>
          <w:b/>
          <w:bCs/>
        </w:rPr>
        <w:t xml:space="preserve">not</w:t>
      </w:r>
      <w:r>
        <w:t xml:space="preserve"> </w:t>
      </w:r>
      <w:r>
        <w:t xml:space="preserve">create the file on disk.</w:t>
      </w:r>
    </w:p>
    <w:p>
      <w:pPr>
        <w:pStyle w:val="Compact"/>
        <w:numPr>
          <w:ilvl w:val="0"/>
          <w:numId w:val="2516"/>
        </w:numPr>
      </w:pPr>
      <w:r>
        <w:t xml:space="preserve">Attribute values follow classic FSO integer constants:</w:t>
      </w:r>
      <w:r>
        <w:t xml:space="preserve"> </w:t>
      </w:r>
      <w:r>
        <w:rPr>
          <w:rStyle w:val="VerbatimChar"/>
        </w:rPr>
        <w:t xml:space="preserve">1</w:t>
      </w:r>
      <w:r>
        <w:t xml:space="preserve"> </w:t>
      </w:r>
      <w:r>
        <w:t xml:space="preserve">= ReadOnly,</w:t>
      </w:r>
      <w:r>
        <w:t xml:space="preserve"> </w:t>
      </w:r>
      <w:r>
        <w:rPr>
          <w:rStyle w:val="VerbatimChar"/>
        </w:rPr>
        <w:t xml:space="preserve">2</w:t>
      </w:r>
      <w:r>
        <w:t xml:space="preserve"> </w:t>
      </w:r>
      <w:r>
        <w:t xml:space="preserve">= Hidden,</w:t>
      </w:r>
      <w:r>
        <w:t xml:space="preserve"> </w:t>
      </w:r>
      <w:r>
        <w:rPr>
          <w:rStyle w:val="VerbatimChar"/>
        </w:rPr>
        <w:t xml:space="preserve">16</w:t>
      </w:r>
      <w:r>
        <w:t xml:space="preserve"> </w:t>
      </w:r>
      <w:r>
        <w:t xml:space="preserve">= Directory,</w:t>
      </w:r>
      <w:r>
        <w:t xml:space="preserve"> </w:t>
      </w:r>
      <w:r>
        <w:rPr>
          <w:rStyle w:val="VerbatimChar"/>
        </w:rPr>
        <w:t xml:space="preserve">32</w:t>
      </w:r>
      <w:r>
        <w:t xml:space="preserve"> </w:t>
      </w:r>
      <w:r>
        <w:t xml:space="preserve">= Archive.</w:t>
      </w:r>
    </w:p>
    <w:bookmarkEnd w:id="6141"/>
    <w:bookmarkStart w:id="6142" w:name="code-example-50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ts</w:t>
      </w:r>
      <w:r>
        <w:rPr>
          <w:rStyle w:val="OtherTok"/>
        </w:rPr>
        <w:t xml:space="preserve">,</w:t>
      </w:r>
      <w:r>
        <w:rPr>
          <w:rStyle w:val="NormalTok"/>
        </w:rPr>
        <w:t xml:space="preserve"> f</w:t>
      </w:r>
      <w:r>
        <w:br/>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CommentTok"/>
        </w:rPr>
        <w:t xml:space="preserve">' Write a text file</w:t>
      </w:r>
      <w:r>
        <w:br/>
      </w:r>
      <w:r>
        <w:rPr>
          <w:rStyle w:val="KeywordTok"/>
        </w:rPr>
        <w:t xml:space="preserve">Set</w:t>
      </w:r>
      <w:r>
        <w:rPr>
          <w:rStyle w:val="NormalTok"/>
        </w:rPr>
        <w:t xml:space="preserve"> ts = fso.</w:t>
      </w:r>
      <w:r>
        <w:rPr>
          <w:rStyle w:val="FunctionTok"/>
        </w:rPr>
        <w:t xml:space="preserve">CreateTextFile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"data/hello.txt"</w:t>
      </w:r>
      <w:r>
        <w:rPr>
          <w:rStyle w:val="OtherTok"/>
        </w:rPr>
        <w:t xml:space="preserve">),</w:t>
      </w:r>
      <w:r>
        <w:rPr>
          <w:rStyle w:val="NormalTok"/>
        </w:rPr>
        <w:t xml:space="preserve"> </w:t>
      </w:r>
      <w:r>
        <w:rPr>
          <w:rStyle w:val="KeywordTok"/>
        </w:rPr>
        <w:t xml:space="preserve">True</w:t>
      </w:r>
      <w:r>
        <w:rPr>
          <w:rStyle w:val="OtherTok"/>
        </w:rPr>
        <w:t xml:space="preserve">)</w:t>
      </w:r>
      <w:r>
        <w:br/>
      </w:r>
      <w:r>
        <w:rPr>
          <w:rStyle w:val="NormalTok"/>
        </w:rPr>
        <w:t xml:space="preserve">ts.</w:t>
      </w:r>
      <w:r>
        <w:rPr>
          <w:rStyle w:val="FunctionTok"/>
        </w:rPr>
        <w:t xml:space="preserve">WriteLine</w:t>
      </w:r>
      <w:r>
        <w:rPr>
          <w:rStyle w:val="NormalTok"/>
        </w:rPr>
        <w:t xml:space="preserve"> </w:t>
      </w:r>
      <w:r>
        <w:rPr>
          <w:rStyle w:val="StringTok"/>
        </w:rPr>
        <w:t xml:space="preserve">"Hello, World!"</w:t>
      </w:r>
      <w:r>
        <w:br/>
      </w:r>
      <w:r>
        <w:rPr>
          <w:rStyle w:val="NormalTok"/>
        </w:rPr>
        <w:t xml:space="preserve">ts.</w:t>
      </w:r>
      <w:r>
        <w:rPr>
          <w:rStyle w:val="KeywordTok"/>
        </w:rPr>
        <w:t xml:space="preserve">Close</w:t>
      </w:r>
      <w:r>
        <w:br/>
      </w:r>
      <w:r>
        <w:rPr>
          <w:rStyle w:val="KeywordTok"/>
        </w:rPr>
        <w:t xml:space="preserve">Set</w:t>
      </w:r>
      <w:r>
        <w:rPr>
          <w:rStyle w:val="NormalTok"/>
        </w:rPr>
        <w:t xml:space="preserve"> ts = </w:t>
      </w:r>
      <w:r>
        <w:rPr>
          <w:rStyle w:val="KeywordTok"/>
        </w:rPr>
        <w:t xml:space="preserve">Nothing</w:t>
      </w:r>
      <w:r>
        <w:br/>
      </w:r>
      <w:r>
        <w:br/>
      </w:r>
      <w:r>
        <w:rPr>
          <w:rStyle w:val="CommentTok"/>
        </w:rPr>
        <w:t xml:space="preserve">' Read it back</w:t>
      </w:r>
      <w:r>
        <w:br/>
      </w:r>
      <w:r>
        <w:rPr>
          <w:rStyle w:val="KeywordTok"/>
        </w:rPr>
        <w:t xml:space="preserve">Set</w:t>
      </w:r>
      <w:r>
        <w:rPr>
          <w:rStyle w:val="NormalTok"/>
        </w:rPr>
        <w:t xml:space="preserve"> ts = fso.</w:t>
      </w:r>
      <w:r>
        <w:rPr>
          <w:rStyle w:val="FunctionTok"/>
        </w:rPr>
        <w:t xml:space="preserve">OpenTextFile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"data/hello.txt"</w:t>
      </w:r>
      <w:r>
        <w:rPr>
          <w:rStyle w:val="OtherTok"/>
        </w:rPr>
        <w:t xml:space="preserve">),</w:t>
      </w:r>
      <w:r>
        <w:rPr>
          <w:rStyle w:val="NormalTok"/>
        </w:rPr>
        <w:t xml:space="preserve"> </w:t>
      </w:r>
      <w:r>
        <w:rPr>
          <w:rStyle w:val="DecValTok"/>
        </w:rPr>
        <w:t xml:space="preserve">1</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ts.</w:t>
      </w:r>
      <w:r>
        <w:rPr>
          <w:rStyle w:val="FunctionTok"/>
        </w:rPr>
        <w:t xml:space="preserve">ReadAll</w:t>
      </w:r>
      <w:r>
        <w:br/>
      </w:r>
      <w:r>
        <w:rPr>
          <w:rStyle w:val="NormalTok"/>
        </w:rPr>
        <w:t xml:space="preserve">ts.</w:t>
      </w:r>
      <w:r>
        <w:rPr>
          <w:rStyle w:val="KeywordTok"/>
        </w:rPr>
        <w:t xml:space="preserve">Close</w:t>
      </w:r>
      <w:r>
        <w:br/>
      </w:r>
      <w:r>
        <w:rPr>
          <w:rStyle w:val="KeywordTok"/>
        </w:rPr>
        <w:t xml:space="preserve">Set</w:t>
      </w:r>
      <w:r>
        <w:rPr>
          <w:rStyle w:val="NormalTok"/>
        </w:rPr>
        <w:t xml:space="preserve"> ts = </w:t>
      </w:r>
      <w:r>
        <w:rPr>
          <w:rStyle w:val="KeywordTok"/>
        </w:rPr>
        <w:t xml:space="preserve">Nothing</w:t>
      </w:r>
      <w:r>
        <w:br/>
      </w:r>
      <w:r>
        <w:br/>
      </w:r>
      <w:r>
        <w:rPr>
          <w:rStyle w:val="CommentTok"/>
        </w:rPr>
        <w:t xml:space="preserve">' Inspect the file</w:t>
      </w:r>
      <w:r>
        <w:br/>
      </w:r>
      <w:r>
        <w:rPr>
          <w:rStyle w:val="KeywordTok"/>
        </w:rPr>
        <w:t xml:space="preserve">Set</w:t>
      </w:r>
      <w:r>
        <w:rPr>
          <w:rStyle w:val="NormalTok"/>
        </w:rPr>
        <w:t xml:space="preserve"> f = fso.</w:t>
      </w:r>
      <w:r>
        <w:rPr>
          <w:rStyle w:val="FunctionTok"/>
        </w:rPr>
        <w:t xml:space="preserve">GetFile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"data/hello.txt"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f.Size </w:t>
      </w:r>
      <w:r>
        <w:rPr>
          <w:rStyle w:val="KeywordTok"/>
        </w:rPr>
        <w:t xml:space="preserve">&amp;</w:t>
      </w:r>
      <w:r>
        <w:rPr>
          <w:rStyle w:val="NormalTok"/>
        </w:rPr>
        <w:t xml:space="preserve"> </w:t>
      </w:r>
      <w:r>
        <w:rPr>
          <w:rStyle w:val="StringTok"/>
        </w:rPr>
        <w:t xml:space="preserve">" bytes, modified "</w:t>
      </w:r>
      <w:r>
        <w:rPr>
          <w:rStyle w:val="NormalTok"/>
        </w:rPr>
        <w:t xml:space="preserve"> </w:t>
      </w:r>
      <w:r>
        <w:rPr>
          <w:rStyle w:val="KeywordTok"/>
        </w:rPr>
        <w:t xml:space="preserve">&amp;</w:t>
      </w:r>
      <w:r>
        <w:rPr>
          <w:rStyle w:val="NormalTok"/>
        </w:rPr>
        <w:t xml:space="preserve"> f.DateLastModified</w:t>
      </w:r>
      <w:r>
        <w:br/>
      </w:r>
      <w:r>
        <w:rPr>
          <w:rStyle w:val="KeywordTok"/>
        </w:rPr>
        <w:t xml:space="preserve">Set</w:t>
      </w:r>
      <w:r>
        <w:rPr>
          <w:rStyle w:val="NormalTok"/>
        </w:rPr>
        <w:t xml:space="preserve"> f = </w:t>
      </w:r>
      <w:r>
        <w:rPr>
          <w:rStyle w:val="KeywordTok"/>
        </w:rPr>
        <w:t xml:space="preserve">Nothing</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142"/>
    <w:bookmarkEnd w:id="6143"/>
    <w:bookmarkStart w:id="6147" w:name="methods-32"/>
    <w:p>
      <w:pPr>
        <w:pStyle w:val="Heading1"/>
      </w:pPr>
      <w:r>
        <w:t xml:space="preserve">Methods</w:t>
      </w:r>
    </w:p>
    <w:bookmarkStart w:id="6144" w:name="overview-656"/>
    <w:p>
      <w:pPr>
        <w:pStyle w:val="Heading2"/>
      </w:pPr>
      <w:r>
        <w:t xml:space="preserve">Overview</w:t>
      </w:r>
    </w:p>
    <w:p>
      <w:pPr>
        <w:pStyle w:val="FirstParagraph"/>
      </w:pPr>
      <w:r>
        <w:t xml:space="preserve">This page lists all methods exposed by the root Scripting.FileSystemObject handle. Methods that return sub-objects (File, Folder, TextStream, Drive) require</w:t>
      </w:r>
      <w:r>
        <w:t xml:space="preserve"> </w:t>
      </w:r>
      <w:r>
        <w:rPr>
          <w:rStyle w:val="VerbatimChar"/>
        </w:rPr>
        <w:t xml:space="preserve">Set</w:t>
      </w:r>
      <w:r>
        <w:t xml:space="preserve"> </w:t>
      </w:r>
      <w:r>
        <w:t xml:space="preserve">for assignment.</w:t>
      </w:r>
    </w:p>
    <w:bookmarkEnd w:id="6144"/>
    <w:bookmarkStart w:id="6145" w:name="filesystemobject-methods"/>
    <w:p>
      <w:pPr>
        <w:pStyle w:val="Heading2"/>
      </w:pPr>
      <w:r>
        <w:t xml:space="preserve">FileSystemObject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BuildPath(path, name)</w:t>
            </w:r>
          </w:p>
        </w:tc>
        <w:tc>
          <w:tcPr/>
          <w:p>
            <w:pPr>
              <w:pStyle w:val="Compact"/>
            </w:pPr>
            <w:r>
              <w:t xml:space="preserve">String</w:t>
            </w:r>
          </w:p>
        </w:tc>
        <w:tc>
          <w:tcPr/>
          <w:p>
            <w:pPr>
              <w:pStyle w:val="Compact"/>
            </w:pPr>
            <w:r>
              <w:t xml:space="preserve">Concatenates a path and a file name using the OS path separator.</w:t>
            </w:r>
          </w:p>
        </w:tc>
      </w:tr>
      <w:tr>
        <w:tc>
          <w:tcPr/>
          <w:p>
            <w:pPr>
              <w:pStyle w:val="Compact"/>
            </w:pPr>
            <w:r>
              <w:t xml:space="preserve">CopyFile(source, destination [, overwrite])</w:t>
            </w:r>
          </w:p>
        </w:tc>
        <w:tc>
          <w:tcPr/>
          <w:p>
            <w:pPr>
              <w:pStyle w:val="Compact"/>
            </w:pPr>
            <w:r>
              <w:t xml:space="preserve">Empty</w:t>
            </w:r>
          </w:p>
        </w:tc>
        <w:tc>
          <w:tcPr/>
          <w:p>
            <w:pPr>
              <w:pStyle w:val="Compact"/>
            </w:pPr>
            <w:r>
              <w:t xml:space="preserve">Copies one file to the destination path. Overwrites by default.</w:t>
            </w:r>
          </w:p>
        </w:tc>
      </w:tr>
      <w:tr>
        <w:tc>
          <w:tcPr/>
          <w:p>
            <w:pPr>
              <w:pStyle w:val="Compact"/>
            </w:pPr>
            <w:r>
              <w:t xml:space="preserve">CopyFolder(source, destination [, overwrite])</w:t>
            </w:r>
          </w:p>
        </w:tc>
        <w:tc>
          <w:tcPr/>
          <w:p>
            <w:pPr>
              <w:pStyle w:val="Compact"/>
            </w:pPr>
            <w:r>
              <w:t xml:space="preserve">Empty</w:t>
            </w:r>
          </w:p>
        </w:tc>
        <w:tc>
          <w:tcPr/>
          <w:p>
            <w:pPr>
              <w:pStyle w:val="Compact"/>
            </w:pPr>
            <w:r>
              <w:t xml:space="preserve">Recursively copies a folder tree to the destination path. Overwrites by default.</w:t>
            </w:r>
          </w:p>
        </w:tc>
      </w:tr>
      <w:tr>
        <w:tc>
          <w:tcPr/>
          <w:p>
            <w:pPr>
              <w:pStyle w:val="Compact"/>
            </w:pPr>
            <w:r>
              <w:t xml:space="preserve">CreateFolder(folderspec)</w:t>
            </w:r>
          </w:p>
        </w:tc>
        <w:tc>
          <w:tcPr/>
          <w:p>
            <w:pPr>
              <w:pStyle w:val="Compact"/>
            </w:pPr>
            <w:r>
              <w:t xml:space="preserve">Folder</w:t>
            </w:r>
          </w:p>
        </w:tc>
        <w:tc>
          <w:tcPr/>
          <w:p>
            <w:pPr>
              <w:pStyle w:val="Compact"/>
            </w:pPr>
            <w:r>
              <w:t xml:space="preserve">Creates the specified folder (and any missing parent folders) and returns a Folder object.</w:t>
            </w:r>
          </w:p>
        </w:tc>
      </w:tr>
      <w:tr>
        <w:tc>
          <w:tcPr/>
          <w:p>
            <w:pPr>
              <w:pStyle w:val="Compact"/>
            </w:pPr>
            <w:r>
              <w:t xml:space="preserve">CreateTextFile(filename [, overwrite])</w:t>
            </w:r>
          </w:p>
        </w:tc>
        <w:tc>
          <w:tcPr/>
          <w:p>
            <w:pPr>
              <w:pStyle w:val="Compact"/>
            </w:pPr>
            <w:r>
              <w:t xml:space="preserve">TextStream</w:t>
            </w:r>
          </w:p>
        </w:tc>
        <w:tc>
          <w:tcPr/>
          <w:p>
            <w:pPr>
              <w:pStyle w:val="Compact"/>
            </w:pPr>
            <w:r>
              <w:t xml:space="preserve">Creates a new file opened for writing and returns a TextStream. If overwrite is False and the file exists, returns Empty.</w:t>
            </w:r>
          </w:p>
        </w:tc>
      </w:tr>
      <w:tr>
        <w:tc>
          <w:tcPr/>
          <w:p>
            <w:pPr>
              <w:pStyle w:val="Compact"/>
            </w:pPr>
            <w:r>
              <w:t xml:space="preserve">DeleteFile(filespec)</w:t>
            </w:r>
          </w:p>
        </w:tc>
        <w:tc>
          <w:tcPr/>
          <w:p>
            <w:pPr>
              <w:pStyle w:val="Compact"/>
            </w:pPr>
            <w:r>
              <w:t xml:space="preserve">Empty</w:t>
            </w:r>
          </w:p>
        </w:tc>
        <w:tc>
          <w:tcPr/>
          <w:p>
            <w:pPr>
              <w:pStyle w:val="Compact"/>
            </w:pPr>
            <w:r>
              <w:t xml:space="preserve">Deletes the specified file. Raises error 53 (File not found) or error 70 (Permission denied) on failure.</w:t>
            </w:r>
          </w:p>
        </w:tc>
      </w:tr>
      <w:tr>
        <w:tc>
          <w:tcPr/>
          <w:p>
            <w:pPr>
              <w:pStyle w:val="Compact"/>
            </w:pPr>
            <w:r>
              <w:t xml:space="preserve">DeleteFolder(folderspec)</w:t>
            </w:r>
          </w:p>
        </w:tc>
        <w:tc>
          <w:tcPr/>
          <w:p>
            <w:pPr>
              <w:pStyle w:val="Compact"/>
            </w:pPr>
            <w:r>
              <w:t xml:space="preserve">Empty</w:t>
            </w:r>
          </w:p>
        </w:tc>
        <w:tc>
          <w:tcPr/>
          <w:p>
            <w:pPr>
              <w:pStyle w:val="Compact"/>
            </w:pPr>
            <w:r>
              <w:t xml:space="preserve">Deletes the specified folder and all its contents. Raises error 76 (Path not found) or error 70 on failure.</w:t>
            </w:r>
          </w:p>
        </w:tc>
      </w:tr>
      <w:tr>
        <w:tc>
          <w:tcPr/>
          <w:p>
            <w:pPr>
              <w:pStyle w:val="Compact"/>
            </w:pPr>
            <w:r>
              <w:t xml:space="preserve">DriveExists(drivespec)</w:t>
            </w:r>
          </w:p>
        </w:tc>
        <w:tc>
          <w:tcPr/>
          <w:p>
            <w:pPr>
              <w:pStyle w:val="Compact"/>
            </w:pPr>
            <w:r>
              <w:t xml:space="preserve">Boolean</w:t>
            </w:r>
          </w:p>
        </w:tc>
        <w:tc>
          <w:tcPr/>
          <w:p>
            <w:pPr>
              <w:pStyle w:val="Compact"/>
            </w:pPr>
            <w:r>
              <w:t xml:space="preserve">Returns True if the specified drive or drive path exists; False otherwise.</w:t>
            </w:r>
          </w:p>
        </w:tc>
      </w:tr>
      <w:tr>
        <w:tc>
          <w:tcPr/>
          <w:p>
            <w:pPr>
              <w:pStyle w:val="Compact"/>
            </w:pPr>
            <w:r>
              <w:t xml:space="preserve">FileExists(filespec)</w:t>
            </w:r>
          </w:p>
        </w:tc>
        <w:tc>
          <w:tcPr/>
          <w:p>
            <w:pPr>
              <w:pStyle w:val="Compact"/>
            </w:pPr>
            <w:r>
              <w:t xml:space="preserve">Boolean</w:t>
            </w:r>
          </w:p>
        </w:tc>
        <w:tc>
          <w:tcPr/>
          <w:p>
            <w:pPr>
              <w:pStyle w:val="Compact"/>
            </w:pPr>
            <w:r>
              <w:t xml:space="preserve">Returns True if the specified file exists; False otherwise.</w:t>
            </w:r>
          </w:p>
        </w:tc>
      </w:tr>
      <w:tr>
        <w:tc>
          <w:tcPr/>
          <w:p>
            <w:pPr>
              <w:pStyle w:val="Compact"/>
            </w:pPr>
            <w:r>
              <w:t xml:space="preserve">FolderExists(folderspec)</w:t>
            </w:r>
          </w:p>
        </w:tc>
        <w:tc>
          <w:tcPr/>
          <w:p>
            <w:pPr>
              <w:pStyle w:val="Compact"/>
            </w:pPr>
            <w:r>
              <w:t xml:space="preserve">Boolean</w:t>
            </w:r>
          </w:p>
        </w:tc>
        <w:tc>
          <w:tcPr/>
          <w:p>
            <w:pPr>
              <w:pStyle w:val="Compact"/>
            </w:pPr>
            <w:r>
              <w:t xml:space="preserve">Returns True if the specified folder exists; False otherwise.</w:t>
            </w:r>
          </w:p>
        </w:tc>
      </w:tr>
      <w:tr>
        <w:tc>
          <w:tcPr/>
          <w:p>
            <w:pPr>
              <w:pStyle w:val="Compact"/>
            </w:pPr>
            <w:r>
              <w:t xml:space="preserve">GetAbsolutePathName(pathspec)</w:t>
            </w:r>
          </w:p>
        </w:tc>
        <w:tc>
          <w:tcPr/>
          <w:p>
            <w:pPr>
              <w:pStyle w:val="Compact"/>
            </w:pPr>
            <w:r>
              <w:t xml:space="preserve">String</w:t>
            </w:r>
          </w:p>
        </w:tc>
        <w:tc>
          <w:tcPr/>
          <w:p>
            <w:pPr>
              <w:pStyle w:val="Compact"/>
            </w:pPr>
            <w:r>
              <w:t xml:space="preserve">Returns the fully resolved absolute path for the given relative or partial path. Returns an empty String if the path cannot be resolved.</w:t>
            </w:r>
          </w:p>
        </w:tc>
      </w:tr>
      <w:tr>
        <w:tc>
          <w:tcPr/>
          <w:p>
            <w:pPr>
              <w:pStyle w:val="Compact"/>
            </w:pPr>
            <w:r>
              <w:t xml:space="preserve">GetBaseName(pathspec)</w:t>
            </w:r>
          </w:p>
        </w:tc>
        <w:tc>
          <w:tcPr/>
          <w:p>
            <w:pPr>
              <w:pStyle w:val="Compact"/>
            </w:pPr>
            <w:r>
              <w:t xml:space="preserve">String</w:t>
            </w:r>
          </w:p>
        </w:tc>
        <w:tc>
          <w:tcPr/>
          <w:p>
            <w:pPr>
              <w:pStyle w:val="Compact"/>
            </w:pPr>
            <w:r>
              <w:t xml:space="preserve">Returns the base file name without its extension.</w:t>
            </w:r>
          </w:p>
        </w:tc>
      </w:tr>
      <w:tr>
        <w:tc>
          <w:tcPr/>
          <w:p>
            <w:pPr>
              <w:pStyle w:val="Compact"/>
            </w:pPr>
            <w:r>
              <w:t xml:space="preserve">GetDrive(drivespec)</w:t>
            </w:r>
          </w:p>
        </w:tc>
        <w:tc>
          <w:tcPr/>
          <w:p>
            <w:pPr>
              <w:pStyle w:val="Compact"/>
            </w:pPr>
            <w:r>
              <w:t xml:space="preserve">Drive</w:t>
            </w:r>
          </w:p>
        </w:tc>
        <w:tc>
          <w:tcPr/>
          <w:p>
            <w:pPr>
              <w:pStyle w:val="Compact"/>
            </w:pPr>
            <w:r>
              <w:t xml:space="preserve">Returns a Drive object for the specified drive letter or path. Returns Empty if the drive name cannot be determined.</w:t>
            </w:r>
          </w:p>
        </w:tc>
      </w:tr>
      <w:tr>
        <w:tc>
          <w:tcPr/>
          <w:p>
            <w:pPr>
              <w:pStyle w:val="Compact"/>
            </w:pPr>
            <w:r>
              <w:t xml:space="preserve">GetDriveName(pathspec)</w:t>
            </w:r>
          </w:p>
        </w:tc>
        <w:tc>
          <w:tcPr/>
          <w:p>
            <w:pPr>
              <w:pStyle w:val="Compact"/>
            </w:pPr>
            <w:r>
              <w:t xml:space="preserve">String</w:t>
            </w:r>
          </w:p>
        </w:tc>
        <w:tc>
          <w:tcPr/>
          <w:p>
            <w:pPr>
              <w:pStyle w:val="Compact"/>
            </w:pPr>
            <w:r>
              <w:t xml:space="preserve">Returns the drive letter or identifier extracted from a path. Returns an empty String if not applicable.</w:t>
            </w:r>
          </w:p>
        </w:tc>
      </w:tr>
      <w:tr>
        <w:tc>
          <w:tcPr/>
          <w:p>
            <w:pPr>
              <w:pStyle w:val="Compact"/>
            </w:pPr>
            <w:r>
              <w:t xml:space="preserve">GetExtensionName(pathspec)</w:t>
            </w:r>
          </w:p>
        </w:tc>
        <w:tc>
          <w:tcPr/>
          <w:p>
            <w:pPr>
              <w:pStyle w:val="Compact"/>
            </w:pPr>
            <w:r>
              <w:t xml:space="preserve">String</w:t>
            </w:r>
          </w:p>
        </w:tc>
        <w:tc>
          <w:tcPr/>
          <w:p>
            <w:pPr>
              <w:pStyle w:val="Compact"/>
            </w:pPr>
            <w:r>
              <w:t xml:space="preserve">Returns the file extension without the leading period. Returns an empty String if there is no extension.</w:t>
            </w:r>
          </w:p>
        </w:tc>
      </w:tr>
      <w:tr>
        <w:tc>
          <w:tcPr/>
          <w:p>
            <w:pPr>
              <w:pStyle w:val="Compact"/>
            </w:pPr>
            <w:r>
              <w:t xml:space="preserve">GetFile(filespec)</w:t>
            </w:r>
          </w:p>
        </w:tc>
        <w:tc>
          <w:tcPr/>
          <w:p>
            <w:pPr>
              <w:pStyle w:val="Compact"/>
            </w:pPr>
            <w:r>
              <w:t xml:space="preserve">File</w:t>
            </w:r>
          </w:p>
        </w:tc>
        <w:tc>
          <w:tcPr/>
          <w:p>
            <w:pPr>
              <w:pStyle w:val="Compact"/>
            </w:pPr>
            <w:r>
              <w:t xml:space="preserve">Returns a File object for the specified file path. Raises error 53 if the file does not exist.</w:t>
            </w:r>
          </w:p>
        </w:tc>
      </w:tr>
      <w:tr>
        <w:tc>
          <w:tcPr/>
          <w:p>
            <w:pPr>
              <w:pStyle w:val="Compact"/>
            </w:pPr>
            <w:r>
              <w:t xml:space="preserve">GetFileName(pathspec)</w:t>
            </w:r>
          </w:p>
        </w:tc>
        <w:tc>
          <w:tcPr/>
          <w:p>
            <w:pPr>
              <w:pStyle w:val="Compact"/>
            </w:pPr>
            <w:r>
              <w:t xml:space="preserve">String</w:t>
            </w:r>
          </w:p>
        </w:tc>
        <w:tc>
          <w:tcPr/>
          <w:p>
            <w:pPr>
              <w:pStyle w:val="Compact"/>
            </w:pPr>
            <w:r>
              <w:t xml:space="preserve">Returns the last path component, including the extension. Returns an empty String if the path is empty.</w:t>
            </w:r>
          </w:p>
        </w:tc>
      </w:tr>
      <w:tr>
        <w:tc>
          <w:tcPr/>
          <w:p>
            <w:pPr>
              <w:pStyle w:val="Compact"/>
            </w:pPr>
            <w:r>
              <w:t xml:space="preserve">GetFileVersion(filespec)</w:t>
            </w:r>
          </w:p>
        </w:tc>
        <w:tc>
          <w:tcPr/>
          <w:p>
            <w:pPr>
              <w:pStyle w:val="Compact"/>
            </w:pPr>
            <w:r>
              <w:t xml:space="preserve">String</w:t>
            </w:r>
          </w:p>
        </w:tc>
        <w:tc>
          <w:tcPr/>
          <w:p>
            <w:pPr>
              <w:pStyle w:val="Compact"/>
            </w:pPr>
            <w:r>
              <w:t xml:space="preserve">Returns the version resource string of the specified file. Returns</w:t>
            </w:r>
            <w:r>
              <w:t xml:space="preserve"> </w:t>
            </w:r>
            <w:r>
              <w:t xml:space="preserve">“1.0.0.0”</w:t>
            </w:r>
            <w:r>
              <w:t xml:space="preserve"> </w:t>
            </w:r>
            <w:r>
              <w:t xml:space="preserve">if no version information is available.</w:t>
            </w:r>
          </w:p>
        </w:tc>
      </w:tr>
      <w:tr>
        <w:tc>
          <w:tcPr/>
          <w:p>
            <w:pPr>
              <w:pStyle w:val="Compact"/>
            </w:pPr>
            <w:r>
              <w:t xml:space="preserve">GetFolder(folderspec)</w:t>
            </w:r>
          </w:p>
        </w:tc>
        <w:tc>
          <w:tcPr/>
          <w:p>
            <w:pPr>
              <w:pStyle w:val="Compact"/>
            </w:pPr>
            <w:r>
              <w:t xml:space="preserve">Folder</w:t>
            </w:r>
          </w:p>
        </w:tc>
        <w:tc>
          <w:tcPr/>
          <w:p>
            <w:pPr>
              <w:pStyle w:val="Compact"/>
            </w:pPr>
            <w:r>
              <w:t xml:space="preserve">Returns a Folder object for the specified folder path. Raises error 76 if the folder does not exist.</w:t>
            </w:r>
          </w:p>
        </w:tc>
      </w:tr>
      <w:tr>
        <w:tc>
          <w:tcPr/>
          <w:p>
            <w:pPr>
              <w:pStyle w:val="Compact"/>
            </w:pPr>
            <w:r>
              <w:t xml:space="preserve">GetParentFolderName(pathspec)</w:t>
            </w:r>
          </w:p>
        </w:tc>
        <w:tc>
          <w:tcPr/>
          <w:p>
            <w:pPr>
              <w:pStyle w:val="Compact"/>
            </w:pPr>
            <w:r>
              <w:t xml:space="preserve">String</w:t>
            </w:r>
          </w:p>
        </w:tc>
        <w:tc>
          <w:tcPr/>
          <w:p>
            <w:pPr>
              <w:pStyle w:val="Compact"/>
            </w:pPr>
            <w:r>
              <w:t xml:space="preserve">Returns the parent directory path of the given path. Returns an empty String if there is no parent.</w:t>
            </w:r>
          </w:p>
        </w:tc>
      </w:tr>
      <w:tr>
        <w:tc>
          <w:tcPr/>
          <w:p>
            <w:pPr>
              <w:pStyle w:val="Compact"/>
            </w:pPr>
            <w:r>
              <w:t xml:space="preserve">GetSpecialFolder(foldertype)</w:t>
            </w:r>
          </w:p>
        </w:tc>
        <w:tc>
          <w:tcPr/>
          <w:p>
            <w:pPr>
              <w:pStyle w:val="Compact"/>
            </w:pPr>
            <w:r>
              <w:t xml:space="preserve">String</w:t>
            </w:r>
          </w:p>
        </w:tc>
        <w:tc>
          <w:tcPr/>
          <w:p>
            <w:pPr>
              <w:pStyle w:val="Compact"/>
            </w:pPr>
            <w:r>
              <w:t xml:space="preserve">Returns the path of a special system folder: 0 = Windows directory, 1 = System32, 2 = Temp directory.</w:t>
            </w:r>
          </w:p>
        </w:tc>
      </w:tr>
      <w:tr>
        <w:tc>
          <w:tcPr/>
          <w:p>
            <w:pPr>
              <w:pStyle w:val="Compact"/>
            </w:pPr>
            <w:r>
              <w:t xml:space="preserve">GetStandardStream(standardStreamType)</w:t>
            </w:r>
          </w:p>
        </w:tc>
        <w:tc>
          <w:tcPr/>
          <w:p>
            <w:pPr>
              <w:pStyle w:val="Compact"/>
            </w:pPr>
            <w:r>
              <w:t xml:space="preserve">TextStream</w:t>
            </w:r>
          </w:p>
        </w:tc>
        <w:tc>
          <w:tcPr/>
          <w:p>
            <w:pPr>
              <w:pStyle w:val="Compact"/>
            </w:pPr>
            <w:r>
              <w:t xml:space="preserve">Returns a TextStream for stdin (0), stdout (1), or stderr (2). Raises error 5 for any other stream type.</w:t>
            </w:r>
          </w:p>
        </w:tc>
      </w:tr>
      <w:tr>
        <w:tc>
          <w:tcPr/>
          <w:p>
            <w:pPr>
              <w:pStyle w:val="Compact"/>
            </w:pPr>
            <w:r>
              <w:t xml:space="preserve">GetTempName()</w:t>
            </w:r>
          </w:p>
        </w:tc>
        <w:tc>
          <w:tcPr/>
          <w:p>
            <w:pPr>
              <w:pStyle w:val="Compact"/>
            </w:pPr>
            <w:r>
              <w:t xml:space="preserve">String</w:t>
            </w:r>
          </w:p>
        </w:tc>
        <w:tc>
          <w:tcPr/>
          <w:p>
            <w:pPr>
              <w:pStyle w:val="Compact"/>
            </w:pPr>
            <w:r>
              <w:t xml:space="preserve">Returns a unique temporary file name in</w:t>
            </w:r>
            <w:r>
              <w:t xml:space="preserve"> </w:t>
            </w:r>
            <w:r>
              <w:rPr>
                <w:rStyle w:val="VerbatimChar"/>
              </w:rPr>
              <w:t xml:space="preserve">radXXXXXX.axon.tmp</w:t>
            </w:r>
            <w:r>
              <w:t xml:space="preserve"> </w:t>
            </w:r>
            <w:r>
              <w:t xml:space="preserve">format. Does not create the file on disk.</w:t>
            </w:r>
          </w:p>
        </w:tc>
      </w:tr>
      <w:tr>
        <w:tc>
          <w:tcPr/>
          <w:p>
            <w:pPr>
              <w:pStyle w:val="Compact"/>
            </w:pPr>
            <w:r>
              <w:t xml:space="preserve">MoveFile(source, destination)</w:t>
            </w:r>
          </w:p>
        </w:tc>
        <w:tc>
          <w:tcPr/>
          <w:p>
            <w:pPr>
              <w:pStyle w:val="Compact"/>
            </w:pPr>
            <w:r>
              <w:t xml:space="preserve">Empty</w:t>
            </w:r>
          </w:p>
        </w:tc>
        <w:tc>
          <w:tcPr/>
          <w:p>
            <w:pPr>
              <w:pStyle w:val="Compact"/>
            </w:pPr>
            <w:r>
              <w:t xml:space="preserve">Moves a file from source to destination.</w:t>
            </w:r>
          </w:p>
        </w:tc>
      </w:tr>
      <w:tr>
        <w:tc>
          <w:tcPr/>
          <w:p>
            <w:pPr>
              <w:pStyle w:val="Compact"/>
            </w:pPr>
            <w:r>
              <w:t xml:space="preserve">MoveFolder(source, destination)</w:t>
            </w:r>
          </w:p>
        </w:tc>
        <w:tc>
          <w:tcPr/>
          <w:p>
            <w:pPr>
              <w:pStyle w:val="Compact"/>
            </w:pPr>
            <w:r>
              <w:t xml:space="preserve">Empty</w:t>
            </w:r>
          </w:p>
        </w:tc>
        <w:tc>
          <w:tcPr/>
          <w:p>
            <w:pPr>
              <w:pStyle w:val="Compact"/>
            </w:pPr>
            <w:r>
              <w:t xml:space="preserve">Moves a folder from source to destination.</w:t>
            </w:r>
          </w:p>
        </w:tc>
      </w:tr>
      <w:tr>
        <w:tc>
          <w:tcPr/>
          <w:p>
            <w:pPr>
              <w:pStyle w:val="Compact"/>
            </w:pPr>
            <w:r>
              <w:t xml:space="preserve">OpenTextFile(filename [, iomode [, create]])</w:t>
            </w:r>
          </w:p>
        </w:tc>
        <w:tc>
          <w:tcPr/>
          <w:p>
            <w:pPr>
              <w:pStyle w:val="Compact"/>
            </w:pPr>
            <w:r>
              <w:t xml:space="preserve">TextStream</w:t>
            </w:r>
          </w:p>
        </w:tc>
        <w:tc>
          <w:tcPr/>
          <w:p>
            <w:pPr>
              <w:pStyle w:val="Compact"/>
            </w:pPr>
            <w:r>
              <w:t xml:space="preserve">Opens a text file and returns a TextStream. iomode: 1 = ForReading, 2 = ForWriting, 8 = ForAppending.</w:t>
            </w:r>
          </w:p>
        </w:tc>
      </w:tr>
    </w:tbl>
    <w:bookmarkEnd w:id="6145"/>
    <w:bookmarkStart w:id="6146" w:name="remarks-698"/>
    <w:p>
      <w:pPr>
        <w:pStyle w:val="Heading2"/>
      </w:pPr>
      <w:r>
        <w:t xml:space="preserve">Remarks</w:t>
      </w:r>
    </w:p>
    <w:p>
      <w:pPr>
        <w:pStyle w:val="Compact"/>
        <w:numPr>
          <w:ilvl w:val="0"/>
          <w:numId w:val="2517"/>
        </w:numPr>
      </w:pPr>
      <w:r>
        <w:t xml:space="preserve">Use</w:t>
      </w:r>
      <w:r>
        <w:t xml:space="preserve"> </w:t>
      </w:r>
      <w:r>
        <w:rPr>
          <w:rStyle w:val="VerbatimChar"/>
        </w:rPr>
        <w:t xml:space="preserve">Set</w:t>
      </w:r>
      <w:r>
        <w:t xml:space="preserve"> </w:t>
      </w:r>
      <w:r>
        <w:t xml:space="preserve">when assigning the return value of any method that returns a File, Folder, TextStream, or Drive object.</w:t>
      </w:r>
    </w:p>
    <w:p>
      <w:pPr>
        <w:pStyle w:val="Compact"/>
        <w:numPr>
          <w:ilvl w:val="0"/>
          <w:numId w:val="2517"/>
        </w:numPr>
      </w:pPr>
      <w:r>
        <w:t xml:space="preserve">Mutating methods (Delete, Move, Copy) silently ignore operations when the source or destination path cannot be resolved, unless a VBScript error is explicitly raised by the runtime.</w:t>
      </w:r>
    </w:p>
    <w:p>
      <w:pPr>
        <w:pStyle w:val="Compact"/>
        <w:numPr>
          <w:ilvl w:val="0"/>
          <w:numId w:val="2517"/>
        </w:numPr>
      </w:pPr>
      <w:r>
        <w:rPr>
          <w:rStyle w:val="VerbatimChar"/>
        </w:rPr>
        <w:t xml:space="preserve">On Error Resume Next</w:t>
      </w:r>
      <w:r>
        <w:t xml:space="preserve"> </w:t>
      </w:r>
      <w:r>
        <w:t xml:space="preserve">is the standard guard for file operations that may fail at runtime.</w:t>
      </w:r>
    </w:p>
    <w:bookmarkEnd w:id="6146"/>
    <w:bookmarkEnd w:id="6147"/>
    <w:bookmarkStart w:id="6156" w:name="properties-32"/>
    <w:p>
      <w:pPr>
        <w:pStyle w:val="Heading1"/>
      </w:pPr>
      <w:r>
        <w:t xml:space="preserve">Properties</w:t>
      </w:r>
    </w:p>
    <w:bookmarkStart w:id="6148" w:name="overview-657"/>
    <w:p>
      <w:pPr>
        <w:pStyle w:val="Heading2"/>
      </w:pPr>
      <w:r>
        <w:t xml:space="preserve">Overview</w:t>
      </w:r>
    </w:p>
    <w:p>
      <w:pPr>
        <w:pStyle w:val="FirstParagraph"/>
      </w:pPr>
      <w:r>
        <w:t xml:space="preserve">This page lists properties exposed by the Scripting.FileSystemObject object family. Properties are organized by the sub-object that exposes them.</w:t>
      </w:r>
    </w:p>
    <w:bookmarkEnd w:id="6148"/>
    <w:bookmarkStart w:id="6149" w:name="filesystemobject-properties"/>
    <w:p>
      <w:pPr>
        <w:pStyle w:val="Heading2"/>
      </w:pPr>
      <w:r>
        <w:t xml:space="preserve">FileSystemObject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Drives</w:t>
            </w:r>
          </w:p>
        </w:tc>
        <w:tc>
          <w:tcPr/>
          <w:p>
            <w:pPr>
              <w:pStyle w:val="Compact"/>
            </w:pPr>
            <w:r>
              <w:t xml:space="preserve">Read</w:t>
            </w:r>
          </w:p>
        </w:tc>
        <w:tc>
          <w:tcPr/>
          <w:p>
            <w:pPr>
              <w:pStyle w:val="Compact"/>
            </w:pPr>
            <w:r>
              <w:t xml:space="preserve">DrivesCollection</w:t>
            </w:r>
          </w:p>
        </w:tc>
        <w:tc>
          <w:tcPr/>
          <w:p>
            <w:pPr>
              <w:pStyle w:val="Compact"/>
            </w:pPr>
            <w:r>
              <w:t xml:space="preserve">Returns a DrivesCollection object containing one Drive entry per available drive on the server.</w:t>
            </w:r>
          </w:p>
        </w:tc>
      </w:tr>
    </w:tbl>
    <w:bookmarkEnd w:id="6149"/>
    <w:bookmarkStart w:id="6150" w:name="file-properties"/>
    <w:p>
      <w:pPr>
        <w:pStyle w:val="Heading2"/>
      </w:pPr>
      <w:r>
        <w:t xml:space="preserve">File Properties</w:t>
      </w:r>
    </w:p>
    <w:p>
      <w:pPr>
        <w:pStyle w:val="FirstParagraph"/>
      </w:pPr>
      <w:r>
        <w:t xml:space="preserve">A File object is returned by</w:t>
      </w:r>
      <w:r>
        <w:t xml:space="preserve"> </w:t>
      </w:r>
      <w:r>
        <w:rPr>
          <w:rStyle w:val="VerbatimChar"/>
        </w:rPr>
        <w:t xml:space="preserve">GetFile</w:t>
      </w:r>
      <w:r>
        <w:t xml:space="preserve"> </w:t>
      </w:r>
      <w:r>
        <w:t xml:space="preserve">or from the</w:t>
      </w:r>
      <w:r>
        <w:t xml:space="preserve"> </w:t>
      </w:r>
      <w:r>
        <w:rPr>
          <w:rStyle w:val="VerbatimChar"/>
        </w:rPr>
        <w:t xml:space="preserve">Files</w:t>
      </w:r>
      <w:r>
        <w:t xml:space="preserve"> </w:t>
      </w:r>
      <w:r>
        <w:t xml:space="preserve">collection of a Folder.</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Attributes</w:t>
            </w:r>
          </w:p>
        </w:tc>
        <w:tc>
          <w:tcPr/>
          <w:p>
            <w:pPr>
              <w:pStyle w:val="Compact"/>
            </w:pPr>
            <w:r>
              <w:t xml:space="preserve">Read</w:t>
            </w:r>
          </w:p>
        </w:tc>
        <w:tc>
          <w:tcPr/>
          <w:p>
            <w:pPr>
              <w:pStyle w:val="Compact"/>
            </w:pPr>
            <w:r>
              <w:t xml:space="preserve">Integer</w:t>
            </w:r>
          </w:p>
        </w:tc>
        <w:tc>
          <w:tcPr/>
          <w:p>
            <w:pPr>
              <w:pStyle w:val="Compact"/>
            </w:pPr>
            <w:r>
              <w:t xml:space="preserve">Bitmask of file attributes: 1 = ReadOnly, 2 = Hidden, 32 = Archive.</w:t>
            </w:r>
          </w:p>
        </w:tc>
      </w:tr>
      <w:tr>
        <w:tc>
          <w:tcPr/>
          <w:p>
            <w:pPr>
              <w:pStyle w:val="Compact"/>
            </w:pPr>
            <w:r>
              <w:t xml:space="preserve">DateCreated</w:t>
            </w:r>
          </w:p>
        </w:tc>
        <w:tc>
          <w:tcPr/>
          <w:p>
            <w:pPr>
              <w:pStyle w:val="Compact"/>
            </w:pPr>
            <w:r>
              <w:t xml:space="preserve">Read</w:t>
            </w:r>
          </w:p>
        </w:tc>
        <w:tc>
          <w:tcPr/>
          <w:p>
            <w:pPr>
              <w:pStyle w:val="Compact"/>
            </w:pPr>
            <w:r>
              <w:t xml:space="preserve">Date</w:t>
            </w:r>
          </w:p>
        </w:tc>
        <w:tc>
          <w:tcPr/>
          <w:p>
            <w:pPr>
              <w:pStyle w:val="Compact"/>
            </w:pPr>
            <w:r>
              <w:t xml:space="preserve">The date and time the file was created.</w:t>
            </w:r>
          </w:p>
        </w:tc>
      </w:tr>
      <w:tr>
        <w:tc>
          <w:tcPr/>
          <w:p>
            <w:pPr>
              <w:pStyle w:val="Compact"/>
            </w:pPr>
            <w:r>
              <w:t xml:space="preserve">DateLastAccessed</w:t>
            </w:r>
          </w:p>
        </w:tc>
        <w:tc>
          <w:tcPr/>
          <w:p>
            <w:pPr>
              <w:pStyle w:val="Compact"/>
            </w:pPr>
            <w:r>
              <w:t xml:space="preserve">Read</w:t>
            </w:r>
          </w:p>
        </w:tc>
        <w:tc>
          <w:tcPr/>
          <w:p>
            <w:pPr>
              <w:pStyle w:val="Compact"/>
            </w:pPr>
            <w:r>
              <w:t xml:space="preserve">Date</w:t>
            </w:r>
          </w:p>
        </w:tc>
        <w:tc>
          <w:tcPr/>
          <w:p>
            <w:pPr>
              <w:pStyle w:val="Compact"/>
            </w:pPr>
            <w:r>
              <w:t xml:space="preserve">The date and time the file was last accessed.</w:t>
            </w:r>
          </w:p>
        </w:tc>
      </w:tr>
      <w:tr>
        <w:tc>
          <w:tcPr/>
          <w:p>
            <w:pPr>
              <w:pStyle w:val="Compact"/>
            </w:pPr>
            <w:r>
              <w:t xml:space="preserve">DateLastModified</w:t>
            </w:r>
          </w:p>
        </w:tc>
        <w:tc>
          <w:tcPr/>
          <w:p>
            <w:pPr>
              <w:pStyle w:val="Compact"/>
            </w:pPr>
            <w:r>
              <w:t xml:space="preserve">Read</w:t>
            </w:r>
          </w:p>
        </w:tc>
        <w:tc>
          <w:tcPr/>
          <w:p>
            <w:pPr>
              <w:pStyle w:val="Compact"/>
            </w:pPr>
            <w:r>
              <w:t xml:space="preserve">Date</w:t>
            </w:r>
          </w:p>
        </w:tc>
        <w:tc>
          <w:tcPr/>
          <w:p>
            <w:pPr>
              <w:pStyle w:val="Compact"/>
            </w:pPr>
            <w:r>
              <w:t xml:space="preserve">The date and time the file was last modified.</w:t>
            </w:r>
          </w:p>
        </w:tc>
      </w:tr>
      <w:tr>
        <w:tc>
          <w:tcPr/>
          <w:p>
            <w:pPr>
              <w:pStyle w:val="Compact"/>
            </w:pPr>
            <w:r>
              <w:t xml:space="preserve">Drive</w:t>
            </w:r>
          </w:p>
        </w:tc>
        <w:tc>
          <w:tcPr/>
          <w:p>
            <w:pPr>
              <w:pStyle w:val="Compact"/>
            </w:pPr>
            <w:r>
              <w:t xml:space="preserve">Read</w:t>
            </w:r>
          </w:p>
        </w:tc>
        <w:tc>
          <w:tcPr/>
          <w:p>
            <w:pPr>
              <w:pStyle w:val="Compact"/>
            </w:pPr>
            <w:r>
              <w:t xml:space="preserve">Drive</w:t>
            </w:r>
          </w:p>
        </w:tc>
        <w:tc>
          <w:tcPr/>
          <w:p>
            <w:pPr>
              <w:pStyle w:val="Compact"/>
            </w:pPr>
            <w:r>
              <w:t xml:space="preserve">The Drive object for the drive on which the file resides.</w:t>
            </w:r>
          </w:p>
        </w:tc>
      </w:tr>
      <w:tr>
        <w:tc>
          <w:tcPr/>
          <w:p>
            <w:pPr>
              <w:pStyle w:val="Compact"/>
            </w:pPr>
            <w:r>
              <w:t xml:space="preserve">Name</w:t>
            </w:r>
          </w:p>
        </w:tc>
        <w:tc>
          <w:tcPr/>
          <w:p>
            <w:pPr>
              <w:pStyle w:val="Compact"/>
            </w:pPr>
            <w:r>
              <w:t xml:space="preserve">Read/Write</w:t>
            </w:r>
          </w:p>
        </w:tc>
        <w:tc>
          <w:tcPr/>
          <w:p>
            <w:pPr>
              <w:pStyle w:val="Compact"/>
            </w:pPr>
            <w:r>
              <w:t xml:space="preserve">String</w:t>
            </w:r>
          </w:p>
        </w:tc>
        <w:tc>
          <w:tcPr/>
          <w:p>
            <w:pPr>
              <w:pStyle w:val="Compact"/>
            </w:pPr>
            <w:r>
              <w:t xml:space="preserve">The file name including its extension. Assigning a new value renames the file within its parent folder.</w:t>
            </w:r>
          </w:p>
        </w:tc>
      </w:tr>
      <w:tr>
        <w:tc>
          <w:tcPr/>
          <w:p>
            <w:pPr>
              <w:pStyle w:val="Compact"/>
            </w:pPr>
            <w:r>
              <w:t xml:space="preserve">ParentFolder</w:t>
            </w:r>
          </w:p>
        </w:tc>
        <w:tc>
          <w:tcPr/>
          <w:p>
            <w:pPr>
              <w:pStyle w:val="Compact"/>
            </w:pPr>
            <w:r>
              <w:t xml:space="preserve">Read</w:t>
            </w:r>
          </w:p>
        </w:tc>
        <w:tc>
          <w:tcPr/>
          <w:p>
            <w:pPr>
              <w:pStyle w:val="Compact"/>
            </w:pPr>
            <w:r>
              <w:t xml:space="preserve">Folder</w:t>
            </w:r>
          </w:p>
        </w:tc>
        <w:tc>
          <w:tcPr/>
          <w:p>
            <w:pPr>
              <w:pStyle w:val="Compact"/>
            </w:pPr>
            <w:r>
              <w:t xml:space="preserve">The Folder object representing the parent directory of this file.</w:t>
            </w:r>
          </w:p>
        </w:tc>
      </w:tr>
      <w:tr>
        <w:tc>
          <w:tcPr/>
          <w:p>
            <w:pPr>
              <w:pStyle w:val="Compact"/>
            </w:pPr>
            <w:r>
              <w:t xml:space="preserve">Path</w:t>
            </w:r>
          </w:p>
        </w:tc>
        <w:tc>
          <w:tcPr/>
          <w:p>
            <w:pPr>
              <w:pStyle w:val="Compact"/>
            </w:pPr>
            <w:r>
              <w:t xml:space="preserve">Read</w:t>
            </w:r>
          </w:p>
        </w:tc>
        <w:tc>
          <w:tcPr/>
          <w:p>
            <w:pPr>
              <w:pStyle w:val="Compact"/>
            </w:pPr>
            <w:r>
              <w:t xml:space="preserve">String</w:t>
            </w:r>
          </w:p>
        </w:tc>
        <w:tc>
          <w:tcPr/>
          <w:p>
            <w:pPr>
              <w:pStyle w:val="Compact"/>
            </w:pPr>
            <w:r>
              <w:t xml:space="preserve">The full absolute path to the file.</w:t>
            </w:r>
          </w:p>
        </w:tc>
      </w:tr>
      <w:tr>
        <w:tc>
          <w:tcPr/>
          <w:p>
            <w:pPr>
              <w:pStyle w:val="Compact"/>
            </w:pPr>
            <w:r>
              <w:t xml:space="preserve">ShortName</w:t>
            </w:r>
          </w:p>
        </w:tc>
        <w:tc>
          <w:tcPr/>
          <w:p>
            <w:pPr>
              <w:pStyle w:val="Compact"/>
            </w:pPr>
            <w:r>
              <w:t xml:space="preserve">Read</w:t>
            </w:r>
          </w:p>
        </w:tc>
        <w:tc>
          <w:tcPr/>
          <w:p>
            <w:pPr>
              <w:pStyle w:val="Compact"/>
            </w:pPr>
            <w:r>
              <w:t xml:space="preserve">String</w:t>
            </w:r>
          </w:p>
        </w:tc>
        <w:tc>
          <w:tcPr/>
          <w:p>
            <w:pPr>
              <w:pStyle w:val="Compact"/>
            </w:pPr>
            <w:r>
              <w:t xml:space="preserve">The short (8.3) file name. On non-Windows hosts this is the same as Name.</w:t>
            </w:r>
          </w:p>
        </w:tc>
      </w:tr>
      <w:tr>
        <w:tc>
          <w:tcPr/>
          <w:p>
            <w:pPr>
              <w:pStyle w:val="Compact"/>
            </w:pPr>
            <w:r>
              <w:t xml:space="preserve">ShortPath</w:t>
            </w:r>
          </w:p>
        </w:tc>
        <w:tc>
          <w:tcPr/>
          <w:p>
            <w:pPr>
              <w:pStyle w:val="Compact"/>
            </w:pPr>
            <w:r>
              <w:t xml:space="preserve">Read</w:t>
            </w:r>
          </w:p>
        </w:tc>
        <w:tc>
          <w:tcPr/>
          <w:p>
            <w:pPr>
              <w:pStyle w:val="Compact"/>
            </w:pPr>
            <w:r>
              <w:t xml:space="preserve">String</w:t>
            </w:r>
          </w:p>
        </w:tc>
        <w:tc>
          <w:tcPr/>
          <w:p>
            <w:pPr>
              <w:pStyle w:val="Compact"/>
            </w:pPr>
            <w:r>
              <w:t xml:space="preserve">The full short-format path. On non-Windows hosts this is the same as Path.</w:t>
            </w:r>
          </w:p>
        </w:tc>
      </w:tr>
      <w:tr>
        <w:tc>
          <w:tcPr/>
          <w:p>
            <w:pPr>
              <w:pStyle w:val="Compact"/>
            </w:pPr>
            <w:r>
              <w:t xml:space="preserve">Size</w:t>
            </w:r>
          </w:p>
        </w:tc>
        <w:tc>
          <w:tcPr/>
          <w:p>
            <w:pPr>
              <w:pStyle w:val="Compact"/>
            </w:pPr>
            <w:r>
              <w:t xml:space="preserve">Read</w:t>
            </w:r>
          </w:p>
        </w:tc>
        <w:tc>
          <w:tcPr/>
          <w:p>
            <w:pPr>
              <w:pStyle w:val="Compact"/>
            </w:pPr>
            <w:r>
              <w:t xml:space="preserve">Integer</w:t>
            </w:r>
          </w:p>
        </w:tc>
        <w:tc>
          <w:tcPr/>
          <w:p>
            <w:pPr>
              <w:pStyle w:val="Compact"/>
            </w:pPr>
            <w:r>
              <w:t xml:space="preserve">The size of the file in bytes.</w:t>
            </w:r>
          </w:p>
        </w:tc>
      </w:tr>
      <w:tr>
        <w:tc>
          <w:tcPr/>
          <w:p>
            <w:pPr>
              <w:pStyle w:val="Compact"/>
            </w:pPr>
            <w:r>
              <w:t xml:space="preserve">Type</w:t>
            </w:r>
          </w:p>
        </w:tc>
        <w:tc>
          <w:tcPr/>
          <w:p>
            <w:pPr>
              <w:pStyle w:val="Compact"/>
            </w:pPr>
            <w:r>
              <w:t xml:space="preserve">Read</w:t>
            </w:r>
          </w:p>
        </w:tc>
        <w:tc>
          <w:tcPr/>
          <w:p>
            <w:pPr>
              <w:pStyle w:val="Compact"/>
            </w:pPr>
            <w:r>
              <w:t xml:space="preserve">String</w:t>
            </w:r>
          </w:p>
        </w:tc>
        <w:tc>
          <w:tcPr/>
          <w:p>
            <w:pPr>
              <w:pStyle w:val="Compact"/>
            </w:pPr>
            <w:r>
              <w:t xml:space="preserve">A description of the file type derived from its extension (for example,</w:t>
            </w:r>
            <w:r>
              <w:t xml:space="preserve"> </w:t>
            </w:r>
            <w:r>
              <w:t xml:space="preserve">“TXT File”</w:t>
            </w:r>
            <w:r>
              <w:t xml:space="preserve">). Returns</w:t>
            </w:r>
            <w:r>
              <w:t xml:space="preserve"> </w:t>
            </w:r>
            <w:r>
              <w:t xml:space="preserve">“File”</w:t>
            </w:r>
            <w:r>
              <w:t xml:space="preserve"> </w:t>
            </w:r>
            <w:r>
              <w:t xml:space="preserve">when there is no extension.</w:t>
            </w:r>
          </w:p>
        </w:tc>
      </w:tr>
    </w:tbl>
    <w:bookmarkEnd w:id="6150"/>
    <w:bookmarkStart w:id="6151" w:name="folder-properties"/>
    <w:p>
      <w:pPr>
        <w:pStyle w:val="Heading2"/>
      </w:pPr>
      <w:r>
        <w:t xml:space="preserve">Folder Properties</w:t>
      </w:r>
    </w:p>
    <w:p>
      <w:pPr>
        <w:pStyle w:val="FirstParagraph"/>
      </w:pPr>
      <w:r>
        <w:t xml:space="preserve">A Folder object is returned by</w:t>
      </w:r>
      <w:r>
        <w:t xml:space="preserve"> </w:t>
      </w:r>
      <w:r>
        <w:rPr>
          <w:rStyle w:val="VerbatimChar"/>
        </w:rPr>
        <w:t xml:space="preserve">GetFolder</w:t>
      </w:r>
      <w:r>
        <w:t xml:space="preserve">,</w:t>
      </w:r>
      <w:r>
        <w:t xml:space="preserve"> </w:t>
      </w:r>
      <w:r>
        <w:rPr>
          <w:rStyle w:val="VerbatimChar"/>
        </w:rPr>
        <w:t xml:space="preserve">CreateFolder</w:t>
      </w:r>
      <w:r>
        <w:t xml:space="preserve">, or from the</w:t>
      </w:r>
      <w:r>
        <w:t xml:space="preserve"> </w:t>
      </w:r>
      <w:r>
        <w:rPr>
          <w:rStyle w:val="VerbatimChar"/>
        </w:rPr>
        <w:t xml:space="preserve">SubFolders</w:t>
      </w:r>
      <w:r>
        <w:t xml:space="preserve"> </w:t>
      </w:r>
      <w:r>
        <w:t xml:space="preserve">collection of another Folder.</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Attributes</w:t>
            </w:r>
          </w:p>
        </w:tc>
        <w:tc>
          <w:tcPr/>
          <w:p>
            <w:pPr>
              <w:pStyle w:val="Compact"/>
            </w:pPr>
            <w:r>
              <w:t xml:space="preserve">Read</w:t>
            </w:r>
          </w:p>
        </w:tc>
        <w:tc>
          <w:tcPr/>
          <w:p>
            <w:pPr>
              <w:pStyle w:val="Compact"/>
            </w:pPr>
            <w:r>
              <w:t xml:space="preserve">Integer</w:t>
            </w:r>
          </w:p>
        </w:tc>
        <w:tc>
          <w:tcPr/>
          <w:p>
            <w:pPr>
              <w:pStyle w:val="Compact"/>
            </w:pPr>
            <w:r>
              <w:t xml:space="preserve">Bitmask of folder attributes: 2 = Hidden, 16 = Directory.</w:t>
            </w:r>
          </w:p>
        </w:tc>
      </w:tr>
      <w:tr>
        <w:tc>
          <w:tcPr/>
          <w:p>
            <w:pPr>
              <w:pStyle w:val="Compact"/>
            </w:pPr>
            <w:r>
              <w:t xml:space="preserve">DateCreated</w:t>
            </w:r>
          </w:p>
        </w:tc>
        <w:tc>
          <w:tcPr/>
          <w:p>
            <w:pPr>
              <w:pStyle w:val="Compact"/>
            </w:pPr>
            <w:r>
              <w:t xml:space="preserve">Read</w:t>
            </w:r>
          </w:p>
        </w:tc>
        <w:tc>
          <w:tcPr/>
          <w:p>
            <w:pPr>
              <w:pStyle w:val="Compact"/>
            </w:pPr>
            <w:r>
              <w:t xml:space="preserve">Date</w:t>
            </w:r>
          </w:p>
        </w:tc>
        <w:tc>
          <w:tcPr/>
          <w:p>
            <w:pPr>
              <w:pStyle w:val="Compact"/>
            </w:pPr>
            <w:r>
              <w:t xml:space="preserve">The date and time the folder was created.</w:t>
            </w:r>
          </w:p>
        </w:tc>
      </w:tr>
      <w:tr>
        <w:tc>
          <w:tcPr/>
          <w:p>
            <w:pPr>
              <w:pStyle w:val="Compact"/>
            </w:pPr>
            <w:r>
              <w:t xml:space="preserve">DateLastAccessed</w:t>
            </w:r>
          </w:p>
        </w:tc>
        <w:tc>
          <w:tcPr/>
          <w:p>
            <w:pPr>
              <w:pStyle w:val="Compact"/>
            </w:pPr>
            <w:r>
              <w:t xml:space="preserve">Read</w:t>
            </w:r>
          </w:p>
        </w:tc>
        <w:tc>
          <w:tcPr/>
          <w:p>
            <w:pPr>
              <w:pStyle w:val="Compact"/>
            </w:pPr>
            <w:r>
              <w:t xml:space="preserve">Date</w:t>
            </w:r>
          </w:p>
        </w:tc>
        <w:tc>
          <w:tcPr/>
          <w:p>
            <w:pPr>
              <w:pStyle w:val="Compact"/>
            </w:pPr>
            <w:r>
              <w:t xml:space="preserve">The date and time the folder was last accessed.</w:t>
            </w:r>
          </w:p>
        </w:tc>
      </w:tr>
      <w:tr>
        <w:tc>
          <w:tcPr/>
          <w:p>
            <w:pPr>
              <w:pStyle w:val="Compact"/>
            </w:pPr>
            <w:r>
              <w:t xml:space="preserve">DateLastModified</w:t>
            </w:r>
          </w:p>
        </w:tc>
        <w:tc>
          <w:tcPr/>
          <w:p>
            <w:pPr>
              <w:pStyle w:val="Compact"/>
            </w:pPr>
            <w:r>
              <w:t xml:space="preserve">Read</w:t>
            </w:r>
          </w:p>
        </w:tc>
        <w:tc>
          <w:tcPr/>
          <w:p>
            <w:pPr>
              <w:pStyle w:val="Compact"/>
            </w:pPr>
            <w:r>
              <w:t xml:space="preserve">Date</w:t>
            </w:r>
          </w:p>
        </w:tc>
        <w:tc>
          <w:tcPr/>
          <w:p>
            <w:pPr>
              <w:pStyle w:val="Compact"/>
            </w:pPr>
            <w:r>
              <w:t xml:space="preserve">The date and time the folder was last modified.</w:t>
            </w:r>
          </w:p>
        </w:tc>
      </w:tr>
      <w:tr>
        <w:tc>
          <w:tcPr/>
          <w:p>
            <w:pPr>
              <w:pStyle w:val="Compact"/>
            </w:pPr>
            <w:r>
              <w:t xml:space="preserve">Drive</w:t>
            </w:r>
          </w:p>
        </w:tc>
        <w:tc>
          <w:tcPr/>
          <w:p>
            <w:pPr>
              <w:pStyle w:val="Compact"/>
            </w:pPr>
            <w:r>
              <w:t xml:space="preserve">Read</w:t>
            </w:r>
          </w:p>
        </w:tc>
        <w:tc>
          <w:tcPr/>
          <w:p>
            <w:pPr>
              <w:pStyle w:val="Compact"/>
            </w:pPr>
            <w:r>
              <w:t xml:space="preserve">Drive</w:t>
            </w:r>
          </w:p>
        </w:tc>
        <w:tc>
          <w:tcPr/>
          <w:p>
            <w:pPr>
              <w:pStyle w:val="Compact"/>
            </w:pPr>
            <w:r>
              <w:t xml:space="preserve">The Drive object for the drive on which the folder resides.</w:t>
            </w:r>
          </w:p>
        </w:tc>
      </w:tr>
      <w:tr>
        <w:tc>
          <w:tcPr/>
          <w:p>
            <w:pPr>
              <w:pStyle w:val="Compact"/>
            </w:pPr>
            <w:r>
              <w:t xml:space="preserve">Files</w:t>
            </w:r>
          </w:p>
        </w:tc>
        <w:tc>
          <w:tcPr/>
          <w:p>
            <w:pPr>
              <w:pStyle w:val="Compact"/>
            </w:pPr>
            <w:r>
              <w:t xml:space="preserve">Read</w:t>
            </w:r>
          </w:p>
        </w:tc>
        <w:tc>
          <w:tcPr/>
          <w:p>
            <w:pPr>
              <w:pStyle w:val="Compact"/>
            </w:pPr>
            <w:r>
              <w:t xml:space="preserve">FilesCollection</w:t>
            </w:r>
          </w:p>
        </w:tc>
        <w:tc>
          <w:tcPr/>
          <w:p>
            <w:pPr>
              <w:pStyle w:val="Compact"/>
            </w:pPr>
            <w:r>
              <w:t xml:space="preserve">A collection of File objects for all files directly inside this folder.</w:t>
            </w:r>
          </w:p>
        </w:tc>
      </w:tr>
      <w:tr>
        <w:tc>
          <w:tcPr/>
          <w:p>
            <w:pPr>
              <w:pStyle w:val="Compact"/>
            </w:pPr>
            <w:r>
              <w:t xml:space="preserve">IsRootFolder</w:t>
            </w:r>
          </w:p>
        </w:tc>
        <w:tc>
          <w:tcPr/>
          <w:p>
            <w:pPr>
              <w:pStyle w:val="Compact"/>
            </w:pPr>
            <w:r>
              <w:t xml:space="preserve">Read</w:t>
            </w:r>
          </w:p>
        </w:tc>
        <w:tc>
          <w:tcPr/>
          <w:p>
            <w:pPr>
              <w:pStyle w:val="Compact"/>
            </w:pPr>
            <w:r>
              <w:t xml:space="preserve">Boolean</w:t>
            </w:r>
          </w:p>
        </w:tc>
        <w:tc>
          <w:tcPr/>
          <w:p>
            <w:pPr>
              <w:pStyle w:val="Compact"/>
            </w:pPr>
            <w:r>
              <w:t xml:space="preserve">Returns True if this folder is the root of its drive; False otherwise.</w:t>
            </w:r>
          </w:p>
        </w:tc>
      </w:tr>
      <w:tr>
        <w:tc>
          <w:tcPr/>
          <w:p>
            <w:pPr>
              <w:pStyle w:val="Compact"/>
            </w:pPr>
            <w:r>
              <w:t xml:space="preserve">Name</w:t>
            </w:r>
          </w:p>
        </w:tc>
        <w:tc>
          <w:tcPr/>
          <w:p>
            <w:pPr>
              <w:pStyle w:val="Compact"/>
            </w:pPr>
            <w:r>
              <w:t xml:space="preserve">Read/Write</w:t>
            </w:r>
          </w:p>
        </w:tc>
        <w:tc>
          <w:tcPr/>
          <w:p>
            <w:pPr>
              <w:pStyle w:val="Compact"/>
            </w:pPr>
            <w:r>
              <w:t xml:space="preserve">String</w:t>
            </w:r>
          </w:p>
        </w:tc>
        <w:tc>
          <w:tcPr/>
          <w:p>
            <w:pPr>
              <w:pStyle w:val="Compact"/>
            </w:pPr>
            <w:r>
              <w:t xml:space="preserve">The folder name. Assigning a new value renames the folder within its parent directory.</w:t>
            </w:r>
          </w:p>
        </w:tc>
      </w:tr>
      <w:tr>
        <w:tc>
          <w:tcPr/>
          <w:p>
            <w:pPr>
              <w:pStyle w:val="Compact"/>
            </w:pPr>
            <w:r>
              <w:t xml:space="preserve">ParentFolder</w:t>
            </w:r>
          </w:p>
        </w:tc>
        <w:tc>
          <w:tcPr/>
          <w:p>
            <w:pPr>
              <w:pStyle w:val="Compact"/>
            </w:pPr>
            <w:r>
              <w:t xml:space="preserve">Read</w:t>
            </w:r>
          </w:p>
        </w:tc>
        <w:tc>
          <w:tcPr/>
          <w:p>
            <w:pPr>
              <w:pStyle w:val="Compact"/>
            </w:pPr>
            <w:r>
              <w:t xml:space="preserve">Folder</w:t>
            </w:r>
          </w:p>
        </w:tc>
        <w:tc>
          <w:tcPr/>
          <w:p>
            <w:pPr>
              <w:pStyle w:val="Compact"/>
            </w:pPr>
            <w:r>
              <w:t xml:space="preserve">The Folder object representing the parent directory of this folder.</w:t>
            </w:r>
          </w:p>
        </w:tc>
      </w:tr>
      <w:tr>
        <w:tc>
          <w:tcPr/>
          <w:p>
            <w:pPr>
              <w:pStyle w:val="Compact"/>
            </w:pPr>
            <w:r>
              <w:t xml:space="preserve">Path</w:t>
            </w:r>
          </w:p>
        </w:tc>
        <w:tc>
          <w:tcPr/>
          <w:p>
            <w:pPr>
              <w:pStyle w:val="Compact"/>
            </w:pPr>
            <w:r>
              <w:t xml:space="preserve">Read</w:t>
            </w:r>
          </w:p>
        </w:tc>
        <w:tc>
          <w:tcPr/>
          <w:p>
            <w:pPr>
              <w:pStyle w:val="Compact"/>
            </w:pPr>
            <w:r>
              <w:t xml:space="preserve">String</w:t>
            </w:r>
          </w:p>
        </w:tc>
        <w:tc>
          <w:tcPr/>
          <w:p>
            <w:pPr>
              <w:pStyle w:val="Compact"/>
            </w:pPr>
            <w:r>
              <w:t xml:space="preserve">The full absolute path to the folder.</w:t>
            </w:r>
          </w:p>
        </w:tc>
      </w:tr>
      <w:tr>
        <w:tc>
          <w:tcPr/>
          <w:p>
            <w:pPr>
              <w:pStyle w:val="Compact"/>
            </w:pPr>
            <w:r>
              <w:t xml:space="preserve">ShortName</w:t>
            </w:r>
          </w:p>
        </w:tc>
        <w:tc>
          <w:tcPr/>
          <w:p>
            <w:pPr>
              <w:pStyle w:val="Compact"/>
            </w:pPr>
            <w:r>
              <w:t xml:space="preserve">Read</w:t>
            </w:r>
          </w:p>
        </w:tc>
        <w:tc>
          <w:tcPr/>
          <w:p>
            <w:pPr>
              <w:pStyle w:val="Compact"/>
            </w:pPr>
            <w:r>
              <w:t xml:space="preserve">String</w:t>
            </w:r>
          </w:p>
        </w:tc>
        <w:tc>
          <w:tcPr/>
          <w:p>
            <w:pPr>
              <w:pStyle w:val="Compact"/>
            </w:pPr>
            <w:r>
              <w:t xml:space="preserve">The short (8.3) folder name. On non-Windows hosts this is the same as Name.</w:t>
            </w:r>
          </w:p>
        </w:tc>
      </w:tr>
      <w:tr>
        <w:tc>
          <w:tcPr/>
          <w:p>
            <w:pPr>
              <w:pStyle w:val="Compact"/>
            </w:pPr>
            <w:r>
              <w:t xml:space="preserve">ShortPath</w:t>
            </w:r>
          </w:p>
        </w:tc>
        <w:tc>
          <w:tcPr/>
          <w:p>
            <w:pPr>
              <w:pStyle w:val="Compact"/>
            </w:pPr>
            <w:r>
              <w:t xml:space="preserve">Read</w:t>
            </w:r>
          </w:p>
        </w:tc>
        <w:tc>
          <w:tcPr/>
          <w:p>
            <w:pPr>
              <w:pStyle w:val="Compact"/>
            </w:pPr>
            <w:r>
              <w:t xml:space="preserve">String</w:t>
            </w:r>
          </w:p>
        </w:tc>
        <w:tc>
          <w:tcPr/>
          <w:p>
            <w:pPr>
              <w:pStyle w:val="Compact"/>
            </w:pPr>
            <w:r>
              <w:t xml:space="preserve">The full short-format path. On non-Windows hosts this is the same as Path.</w:t>
            </w:r>
          </w:p>
        </w:tc>
      </w:tr>
      <w:tr>
        <w:tc>
          <w:tcPr/>
          <w:p>
            <w:pPr>
              <w:pStyle w:val="Compact"/>
            </w:pPr>
            <w:r>
              <w:t xml:space="preserve">Size</w:t>
            </w:r>
          </w:p>
        </w:tc>
        <w:tc>
          <w:tcPr/>
          <w:p>
            <w:pPr>
              <w:pStyle w:val="Compact"/>
            </w:pPr>
            <w:r>
              <w:t xml:space="preserve">Read</w:t>
            </w:r>
          </w:p>
        </w:tc>
        <w:tc>
          <w:tcPr/>
          <w:p>
            <w:pPr>
              <w:pStyle w:val="Compact"/>
            </w:pPr>
            <w:r>
              <w:t xml:space="preserve">Integer</w:t>
            </w:r>
          </w:p>
        </w:tc>
        <w:tc>
          <w:tcPr/>
          <w:p>
            <w:pPr>
              <w:pStyle w:val="Compact"/>
            </w:pPr>
            <w:r>
              <w:t xml:space="preserve">The total size of the folder in bytes, including all files and sub-folders.</w:t>
            </w:r>
          </w:p>
        </w:tc>
      </w:tr>
      <w:tr>
        <w:tc>
          <w:tcPr/>
          <w:p>
            <w:pPr>
              <w:pStyle w:val="Compact"/>
            </w:pPr>
            <w:r>
              <w:t xml:space="preserve">SubFolders</w:t>
            </w:r>
          </w:p>
        </w:tc>
        <w:tc>
          <w:tcPr/>
          <w:p>
            <w:pPr>
              <w:pStyle w:val="Compact"/>
            </w:pPr>
            <w:r>
              <w:t xml:space="preserve">Read</w:t>
            </w:r>
          </w:p>
        </w:tc>
        <w:tc>
          <w:tcPr/>
          <w:p>
            <w:pPr>
              <w:pStyle w:val="Compact"/>
            </w:pPr>
            <w:r>
              <w:t xml:space="preserve">SubFoldersCollection</w:t>
            </w:r>
          </w:p>
        </w:tc>
        <w:tc>
          <w:tcPr/>
          <w:p>
            <w:pPr>
              <w:pStyle w:val="Compact"/>
            </w:pPr>
            <w:r>
              <w:t xml:space="preserve">A collection of Folder objects for all immediate sub-folders of this folder.</w:t>
            </w:r>
          </w:p>
        </w:tc>
      </w:tr>
      <w:tr>
        <w:tc>
          <w:tcPr/>
          <w:p>
            <w:pPr>
              <w:pStyle w:val="Compact"/>
            </w:pPr>
            <w:r>
              <w:t xml:space="preserve">Type</w:t>
            </w:r>
          </w:p>
        </w:tc>
        <w:tc>
          <w:tcPr/>
          <w:p>
            <w:pPr>
              <w:pStyle w:val="Compact"/>
            </w:pPr>
            <w:r>
              <w:t xml:space="preserve">Read</w:t>
            </w:r>
          </w:p>
        </w:tc>
        <w:tc>
          <w:tcPr/>
          <w:p>
            <w:pPr>
              <w:pStyle w:val="Compact"/>
            </w:pPr>
            <w:r>
              <w:t xml:space="preserve">String</w:t>
            </w:r>
          </w:p>
        </w:tc>
        <w:tc>
          <w:tcPr/>
          <w:p>
            <w:pPr>
              <w:pStyle w:val="Compact"/>
            </w:pPr>
            <w:r>
              <w:t xml:space="preserve">Always returns</w:t>
            </w:r>
            <w:r>
              <w:t xml:space="preserve"> </w:t>
            </w:r>
            <w:r>
              <w:t xml:space="preserve">“Folder”</w:t>
            </w:r>
            <w:r>
              <w:t xml:space="preserve"> </w:t>
            </w:r>
            <w:r>
              <w:t xml:space="preserve">for Folder objects.</w:t>
            </w:r>
          </w:p>
        </w:tc>
      </w:tr>
    </w:tbl>
    <w:bookmarkEnd w:id="6151"/>
    <w:bookmarkStart w:id="6152" w:name="textstream-properties"/>
    <w:p>
      <w:pPr>
        <w:pStyle w:val="Heading2"/>
      </w:pPr>
      <w:r>
        <w:t xml:space="preserve">TextStream Properties</w:t>
      </w:r>
    </w:p>
    <w:p>
      <w:pPr>
        <w:pStyle w:val="FirstParagraph"/>
      </w:pPr>
      <w:r>
        <w:t xml:space="preserve">A TextStream object is returned by</w:t>
      </w:r>
      <w:r>
        <w:t xml:space="preserve"> </w:t>
      </w:r>
      <w:r>
        <w:rPr>
          <w:rStyle w:val="VerbatimChar"/>
        </w:rPr>
        <w:t xml:space="preserve">OpenTextFile</w:t>
      </w:r>
      <w:r>
        <w:t xml:space="preserve">,</w:t>
      </w:r>
      <w:r>
        <w:t xml:space="preserve"> </w:t>
      </w:r>
      <w:r>
        <w:rPr>
          <w:rStyle w:val="VerbatimChar"/>
        </w:rPr>
        <w:t xml:space="preserve">CreateTextFile</w:t>
      </w:r>
      <w:r>
        <w:t xml:space="preserve">, or</w:t>
      </w:r>
      <w:r>
        <w:t xml:space="preserve"> </w:t>
      </w:r>
      <w:r>
        <w:rPr>
          <w:rStyle w:val="VerbatimChar"/>
        </w:rPr>
        <w:t xml:space="preserve">File.OpenAsTextStream</w:t>
      </w:r>
      <w:r>
        <w:t xml:space="preserv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AtEndOfStream</w:t>
            </w:r>
          </w:p>
        </w:tc>
        <w:tc>
          <w:tcPr/>
          <w:p>
            <w:pPr>
              <w:pStyle w:val="Compact"/>
            </w:pPr>
            <w:r>
              <w:t xml:space="preserve">Read</w:t>
            </w:r>
          </w:p>
        </w:tc>
        <w:tc>
          <w:tcPr/>
          <w:p>
            <w:pPr>
              <w:pStyle w:val="Compact"/>
            </w:pPr>
            <w:r>
              <w:t xml:space="preserve">Boolean</w:t>
            </w:r>
          </w:p>
        </w:tc>
        <w:tc>
          <w:tcPr/>
          <w:p>
            <w:pPr>
              <w:pStyle w:val="Compact"/>
            </w:pPr>
            <w:r>
              <w:t xml:space="preserve">Returns True when the read position has reached the end of the stream; False otherwise.</w:t>
            </w:r>
          </w:p>
        </w:tc>
      </w:tr>
      <w:tr>
        <w:tc>
          <w:tcPr/>
          <w:p>
            <w:pPr>
              <w:pStyle w:val="Compact"/>
            </w:pPr>
            <w:r>
              <w:t xml:space="preserve">Column</w:t>
            </w:r>
          </w:p>
        </w:tc>
        <w:tc>
          <w:tcPr/>
          <w:p>
            <w:pPr>
              <w:pStyle w:val="Compact"/>
            </w:pPr>
            <w:r>
              <w:t xml:space="preserve">Read</w:t>
            </w:r>
          </w:p>
        </w:tc>
        <w:tc>
          <w:tcPr/>
          <w:p>
            <w:pPr>
              <w:pStyle w:val="Compact"/>
            </w:pPr>
            <w:r>
              <w:t xml:space="preserve">Integer</w:t>
            </w:r>
          </w:p>
        </w:tc>
        <w:tc>
          <w:tcPr/>
          <w:p>
            <w:pPr>
              <w:pStyle w:val="Compact"/>
            </w:pPr>
            <w:r>
              <w:t xml:space="preserve">The 1-based column position of the current read/write cursor within the current line.</w:t>
            </w:r>
          </w:p>
        </w:tc>
      </w:tr>
      <w:tr>
        <w:tc>
          <w:tcPr/>
          <w:p>
            <w:pPr>
              <w:pStyle w:val="Compact"/>
            </w:pPr>
            <w:r>
              <w:t xml:space="preserve">Line</w:t>
            </w:r>
          </w:p>
        </w:tc>
        <w:tc>
          <w:tcPr/>
          <w:p>
            <w:pPr>
              <w:pStyle w:val="Compact"/>
            </w:pPr>
            <w:r>
              <w:t xml:space="preserve">Read</w:t>
            </w:r>
          </w:p>
        </w:tc>
        <w:tc>
          <w:tcPr/>
          <w:p>
            <w:pPr>
              <w:pStyle w:val="Compact"/>
            </w:pPr>
            <w:r>
              <w:t xml:space="preserve">Integer</w:t>
            </w:r>
          </w:p>
        </w:tc>
        <w:tc>
          <w:tcPr/>
          <w:p>
            <w:pPr>
              <w:pStyle w:val="Compact"/>
            </w:pPr>
            <w:r>
              <w:t xml:space="preserve">The 1-based line number of the current read/write cursor position.</w:t>
            </w:r>
          </w:p>
        </w:tc>
      </w:tr>
    </w:tbl>
    <w:bookmarkEnd w:id="6152"/>
    <w:bookmarkStart w:id="6153" w:name="drive-properties"/>
    <w:p>
      <w:pPr>
        <w:pStyle w:val="Heading2"/>
      </w:pPr>
      <w:r>
        <w:t xml:space="preserve">Drive Properties</w:t>
      </w:r>
    </w:p>
    <w:p>
      <w:pPr>
        <w:pStyle w:val="FirstParagraph"/>
      </w:pPr>
      <w:r>
        <w:t xml:space="preserve">A Drive object is returned by</w:t>
      </w:r>
      <w:r>
        <w:t xml:space="preserve"> </w:t>
      </w:r>
      <w:r>
        <w:rPr>
          <w:rStyle w:val="VerbatimChar"/>
        </w:rPr>
        <w:t xml:space="preserve">GetDrive</w:t>
      </w:r>
      <w:r>
        <w:t xml:space="preserve"> </w:t>
      </w:r>
      <w:r>
        <w:t xml:space="preserve">or by the</w:t>
      </w:r>
      <w:r>
        <w:t xml:space="preserve"> </w:t>
      </w:r>
      <w:r>
        <w:rPr>
          <w:rStyle w:val="VerbatimChar"/>
        </w:rPr>
        <w:t xml:space="preserve">Drive</w:t>
      </w:r>
      <w:r>
        <w:t xml:space="preserve"> </w:t>
      </w:r>
      <w:r>
        <w:t xml:space="preserve">property of a File or Folder.</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AvailableSpace</w:t>
            </w:r>
          </w:p>
        </w:tc>
        <w:tc>
          <w:tcPr/>
          <w:p>
            <w:pPr>
              <w:pStyle w:val="Compact"/>
            </w:pPr>
            <w:r>
              <w:t xml:space="preserve">Read</w:t>
            </w:r>
          </w:p>
        </w:tc>
        <w:tc>
          <w:tcPr/>
          <w:p>
            <w:pPr>
              <w:pStyle w:val="Compact"/>
            </w:pPr>
            <w:r>
              <w:t xml:space="preserve">Integer</w:t>
            </w:r>
          </w:p>
        </w:tc>
        <w:tc>
          <w:tcPr/>
          <w:p>
            <w:pPr>
              <w:pStyle w:val="Compact"/>
            </w:pPr>
            <w:r>
              <w:t xml:space="preserve">Bytes available on the drive for the current user.</w:t>
            </w:r>
          </w:p>
        </w:tc>
      </w:tr>
      <w:tr>
        <w:tc>
          <w:tcPr/>
          <w:p>
            <w:pPr>
              <w:pStyle w:val="Compact"/>
            </w:pPr>
            <w:r>
              <w:t xml:space="preserve">DriveLetter</w:t>
            </w:r>
          </w:p>
        </w:tc>
        <w:tc>
          <w:tcPr/>
          <w:p>
            <w:pPr>
              <w:pStyle w:val="Compact"/>
            </w:pPr>
            <w:r>
              <w:t xml:space="preserve">Read</w:t>
            </w:r>
          </w:p>
        </w:tc>
        <w:tc>
          <w:tcPr/>
          <w:p>
            <w:pPr>
              <w:pStyle w:val="Compact"/>
            </w:pPr>
            <w:r>
              <w:t xml:space="preserve">String</w:t>
            </w:r>
          </w:p>
        </w:tc>
        <w:tc>
          <w:tcPr/>
          <w:p>
            <w:pPr>
              <w:pStyle w:val="Compact"/>
            </w:pPr>
            <w:r>
              <w:t xml:space="preserve">The single-letter drive identifier (for example,</w:t>
            </w:r>
            <w:r>
              <w:t xml:space="preserve"> </w:t>
            </w:r>
            <w:r>
              <w:t xml:space="preserve">“C”</w:t>
            </w:r>
            <w:r>
              <w:t xml:space="preserve">).</w:t>
            </w:r>
          </w:p>
        </w:tc>
      </w:tr>
      <w:tr>
        <w:tc>
          <w:tcPr/>
          <w:p>
            <w:pPr>
              <w:pStyle w:val="Compact"/>
            </w:pPr>
            <w:r>
              <w:t xml:space="preserve">DriveType</w:t>
            </w:r>
          </w:p>
        </w:tc>
        <w:tc>
          <w:tcPr/>
          <w:p>
            <w:pPr>
              <w:pStyle w:val="Compact"/>
            </w:pPr>
            <w:r>
              <w:t xml:space="preserve">Read</w:t>
            </w:r>
          </w:p>
        </w:tc>
        <w:tc>
          <w:tcPr/>
          <w:p>
            <w:pPr>
              <w:pStyle w:val="Compact"/>
            </w:pPr>
            <w:r>
              <w:t xml:space="preserve">Integer</w:t>
            </w:r>
          </w:p>
        </w:tc>
        <w:tc>
          <w:tcPr/>
          <w:p>
            <w:pPr>
              <w:pStyle w:val="Compact"/>
            </w:pPr>
            <w:r>
              <w:t xml:space="preserve">Always returns 2 (Fixed) in the current implementation.</w:t>
            </w:r>
          </w:p>
        </w:tc>
      </w:tr>
      <w:tr>
        <w:tc>
          <w:tcPr/>
          <w:p>
            <w:pPr>
              <w:pStyle w:val="Compact"/>
            </w:pPr>
            <w:r>
              <w:t xml:space="preserve">FileSystem</w:t>
            </w:r>
          </w:p>
        </w:tc>
        <w:tc>
          <w:tcPr/>
          <w:p>
            <w:pPr>
              <w:pStyle w:val="Compact"/>
            </w:pPr>
            <w:r>
              <w:t xml:space="preserve">Read</w:t>
            </w:r>
          </w:p>
        </w:tc>
        <w:tc>
          <w:tcPr/>
          <w:p>
            <w:pPr>
              <w:pStyle w:val="Compact"/>
            </w:pPr>
            <w:r>
              <w:t xml:space="preserve">String</w:t>
            </w:r>
          </w:p>
        </w:tc>
        <w:tc>
          <w:tcPr/>
          <w:p>
            <w:pPr>
              <w:pStyle w:val="Compact"/>
            </w:pPr>
            <w:r>
              <w:t xml:space="preserve">The file system type string. Returns</w:t>
            </w:r>
            <w:r>
              <w:t xml:space="preserve"> </w:t>
            </w:r>
            <w:r>
              <w:t xml:space="preserve">“NTFS”</w:t>
            </w:r>
            <w:r>
              <w:t xml:space="preserve"> </w:t>
            </w:r>
            <w:r>
              <w:t xml:space="preserve">on Windows;</w:t>
            </w:r>
            <w:r>
              <w:t xml:space="preserve"> </w:t>
            </w:r>
            <w:r>
              <w:t xml:space="preserve">“UnixFS”</w:t>
            </w:r>
            <w:r>
              <w:t xml:space="preserve"> </w:t>
            </w:r>
            <w:r>
              <w:t xml:space="preserve">on other platforms.</w:t>
            </w:r>
          </w:p>
        </w:tc>
      </w:tr>
      <w:tr>
        <w:tc>
          <w:tcPr/>
          <w:p>
            <w:pPr>
              <w:pStyle w:val="Compact"/>
            </w:pPr>
            <w:r>
              <w:t xml:space="preserve">FreeSpace</w:t>
            </w:r>
          </w:p>
        </w:tc>
        <w:tc>
          <w:tcPr/>
          <w:p>
            <w:pPr>
              <w:pStyle w:val="Compact"/>
            </w:pPr>
            <w:r>
              <w:t xml:space="preserve">Read</w:t>
            </w:r>
          </w:p>
        </w:tc>
        <w:tc>
          <w:tcPr/>
          <w:p>
            <w:pPr>
              <w:pStyle w:val="Compact"/>
            </w:pPr>
            <w:r>
              <w:t xml:space="preserve">Integer</w:t>
            </w:r>
          </w:p>
        </w:tc>
        <w:tc>
          <w:tcPr/>
          <w:p>
            <w:pPr>
              <w:pStyle w:val="Compact"/>
            </w:pPr>
            <w:r>
              <w:t xml:space="preserve">Total free bytes on the drive.</w:t>
            </w:r>
          </w:p>
        </w:tc>
      </w:tr>
      <w:tr>
        <w:tc>
          <w:tcPr/>
          <w:p>
            <w:pPr>
              <w:pStyle w:val="Compact"/>
            </w:pPr>
            <w:r>
              <w:t xml:space="preserve">IsReady</w:t>
            </w:r>
          </w:p>
        </w:tc>
        <w:tc>
          <w:tcPr/>
          <w:p>
            <w:pPr>
              <w:pStyle w:val="Compact"/>
            </w:pPr>
            <w:r>
              <w:t xml:space="preserve">Read</w:t>
            </w:r>
          </w:p>
        </w:tc>
        <w:tc>
          <w:tcPr/>
          <w:p>
            <w:pPr>
              <w:pStyle w:val="Compact"/>
            </w:pPr>
            <w:r>
              <w:t xml:space="preserve">Boolean</w:t>
            </w:r>
          </w:p>
        </w:tc>
        <w:tc>
          <w:tcPr/>
          <w:p>
            <w:pPr>
              <w:pStyle w:val="Compact"/>
            </w:pPr>
            <w:r>
              <w:t xml:space="preserve">Returns True if the drive is accessible; False otherwise.</w:t>
            </w:r>
          </w:p>
        </w:tc>
      </w:tr>
      <w:tr>
        <w:tc>
          <w:tcPr/>
          <w:p>
            <w:pPr>
              <w:pStyle w:val="Compact"/>
            </w:pPr>
            <w:r>
              <w:t xml:space="preserve">Path</w:t>
            </w:r>
          </w:p>
        </w:tc>
        <w:tc>
          <w:tcPr/>
          <w:p>
            <w:pPr>
              <w:pStyle w:val="Compact"/>
            </w:pPr>
            <w:r>
              <w:t xml:space="preserve">Read</w:t>
            </w:r>
          </w:p>
        </w:tc>
        <w:tc>
          <w:tcPr/>
          <w:p>
            <w:pPr>
              <w:pStyle w:val="Compact"/>
            </w:pPr>
            <w:r>
              <w:t xml:space="preserve">String</w:t>
            </w:r>
          </w:p>
        </w:tc>
        <w:tc>
          <w:tcPr/>
          <w:p>
            <w:pPr>
              <w:pStyle w:val="Compact"/>
            </w:pPr>
            <w:r>
              <w:t xml:space="preserve">The drive path (for example,</w:t>
            </w:r>
            <w:r>
              <w:t xml:space="preserve"> </w:t>
            </w:r>
            <w:r>
              <w:t xml:space="preserve">“C:”</w:t>
            </w:r>
            <w:r>
              <w:t xml:space="preserve"> </w:t>
            </w:r>
            <w:r>
              <w:t xml:space="preserve">on Windows or</w:t>
            </w:r>
            <w:r>
              <w:t xml:space="preserve"> </w:t>
            </w:r>
            <w:r>
              <w:t xml:space="preserve">“/”</w:t>
            </w:r>
            <w:r>
              <w:t xml:space="preserve"> </w:t>
            </w:r>
            <w:r>
              <w:t xml:space="preserve">on Unix).</w:t>
            </w:r>
          </w:p>
        </w:tc>
      </w:tr>
      <w:tr>
        <w:tc>
          <w:tcPr/>
          <w:p>
            <w:pPr>
              <w:pStyle w:val="Compact"/>
            </w:pPr>
            <w:r>
              <w:t xml:space="preserve">RootFolder</w:t>
            </w:r>
          </w:p>
        </w:tc>
        <w:tc>
          <w:tcPr/>
          <w:p>
            <w:pPr>
              <w:pStyle w:val="Compact"/>
            </w:pPr>
            <w:r>
              <w:t xml:space="preserve">Read</w:t>
            </w:r>
          </w:p>
        </w:tc>
        <w:tc>
          <w:tcPr/>
          <w:p>
            <w:pPr>
              <w:pStyle w:val="Compact"/>
            </w:pPr>
            <w:r>
              <w:t xml:space="preserve">Folder</w:t>
            </w:r>
          </w:p>
        </w:tc>
        <w:tc>
          <w:tcPr/>
          <w:p>
            <w:pPr>
              <w:pStyle w:val="Compact"/>
            </w:pPr>
            <w:r>
              <w:t xml:space="preserve">The Folder object representing the root directory of this drive.</w:t>
            </w:r>
          </w:p>
        </w:tc>
      </w:tr>
      <w:tr>
        <w:tc>
          <w:tcPr/>
          <w:p>
            <w:pPr>
              <w:pStyle w:val="Compact"/>
            </w:pPr>
            <w:r>
              <w:t xml:space="preserve">SerialNumber</w:t>
            </w:r>
          </w:p>
        </w:tc>
        <w:tc>
          <w:tcPr/>
          <w:p>
            <w:pPr>
              <w:pStyle w:val="Compact"/>
            </w:pPr>
            <w:r>
              <w:t xml:space="preserve">Read</w:t>
            </w:r>
          </w:p>
        </w:tc>
        <w:tc>
          <w:tcPr/>
          <w:p>
            <w:pPr>
              <w:pStyle w:val="Compact"/>
            </w:pPr>
            <w:r>
              <w:t xml:space="preserve">String</w:t>
            </w:r>
          </w:p>
        </w:tc>
        <w:tc>
          <w:tcPr/>
          <w:p>
            <w:pPr>
              <w:pStyle w:val="Compact"/>
            </w:pPr>
            <w:r>
              <w:t xml:space="preserve">The volume serial number string of the drive.</w:t>
            </w:r>
          </w:p>
        </w:tc>
      </w:tr>
      <w:tr>
        <w:tc>
          <w:tcPr/>
          <w:p>
            <w:pPr>
              <w:pStyle w:val="Compact"/>
            </w:pPr>
            <w:r>
              <w:t xml:space="preserve">ShareName</w:t>
            </w:r>
          </w:p>
        </w:tc>
        <w:tc>
          <w:tcPr/>
          <w:p>
            <w:pPr>
              <w:pStyle w:val="Compact"/>
            </w:pPr>
            <w:r>
              <w:t xml:space="preserve">Read</w:t>
            </w:r>
          </w:p>
        </w:tc>
        <w:tc>
          <w:tcPr/>
          <w:p>
            <w:pPr>
              <w:pStyle w:val="Compact"/>
            </w:pPr>
            <w:r>
              <w:t xml:space="preserve">String</w:t>
            </w:r>
          </w:p>
        </w:tc>
        <w:tc>
          <w:tcPr/>
          <w:p>
            <w:pPr>
              <w:pStyle w:val="Compact"/>
            </w:pPr>
            <w:r>
              <w:t xml:space="preserve">The network share name for the drive, if applicable. Returns an empty String for local drives.</w:t>
            </w:r>
          </w:p>
        </w:tc>
      </w:tr>
      <w:tr>
        <w:tc>
          <w:tcPr/>
          <w:p>
            <w:pPr>
              <w:pStyle w:val="Compact"/>
            </w:pPr>
            <w:r>
              <w:t xml:space="preserve">TotalSize</w:t>
            </w:r>
          </w:p>
        </w:tc>
        <w:tc>
          <w:tcPr/>
          <w:p>
            <w:pPr>
              <w:pStyle w:val="Compact"/>
            </w:pPr>
            <w:r>
              <w:t xml:space="preserve">Read</w:t>
            </w:r>
          </w:p>
        </w:tc>
        <w:tc>
          <w:tcPr/>
          <w:p>
            <w:pPr>
              <w:pStyle w:val="Compact"/>
            </w:pPr>
            <w:r>
              <w:t xml:space="preserve">Integer</w:t>
            </w:r>
          </w:p>
        </w:tc>
        <w:tc>
          <w:tcPr/>
          <w:p>
            <w:pPr>
              <w:pStyle w:val="Compact"/>
            </w:pPr>
            <w:r>
              <w:t xml:space="preserve">Total capacity of the drive in bytes.</w:t>
            </w:r>
          </w:p>
        </w:tc>
      </w:tr>
      <w:tr>
        <w:tc>
          <w:tcPr/>
          <w:p>
            <w:pPr>
              <w:pStyle w:val="Compact"/>
            </w:pPr>
            <w:r>
              <w:t xml:space="preserve">VolumeName</w:t>
            </w:r>
          </w:p>
        </w:tc>
        <w:tc>
          <w:tcPr/>
          <w:p>
            <w:pPr>
              <w:pStyle w:val="Compact"/>
            </w:pPr>
            <w:r>
              <w:t xml:space="preserve">Read</w:t>
            </w:r>
          </w:p>
        </w:tc>
        <w:tc>
          <w:tcPr/>
          <w:p>
            <w:pPr>
              <w:pStyle w:val="Compact"/>
            </w:pPr>
            <w:r>
              <w:t xml:space="preserve">String</w:t>
            </w:r>
          </w:p>
        </w:tc>
        <w:tc>
          <w:tcPr/>
          <w:p>
            <w:pPr>
              <w:pStyle w:val="Compact"/>
            </w:pPr>
            <w:r>
              <w:t xml:space="preserve">The volume label of the drive.</w:t>
            </w:r>
          </w:p>
        </w:tc>
      </w:tr>
    </w:tbl>
    <w:bookmarkEnd w:id="6153"/>
    <w:bookmarkStart w:id="6155" w:name="remarks-699"/>
    <w:p>
      <w:pPr>
        <w:pStyle w:val="Heading2"/>
      </w:pPr>
      <w:r>
        <w:t xml:space="preserve">Remarks</w:t>
      </w:r>
    </w:p>
    <w:p>
      <w:pPr>
        <w:pStyle w:val="Compact"/>
        <w:numPr>
          <w:ilvl w:val="0"/>
          <w:numId w:val="2518"/>
        </w:numPr>
      </w:pPr>
      <w:r>
        <w:t xml:space="preserve">Read-only properties do not accept assignment. Attempting to assign a value to a read-only property is silently ignored by the FSO runtime.</w:t>
      </w:r>
    </w:p>
    <w:p>
      <w:pPr>
        <w:pStyle w:val="Compact"/>
        <w:numPr>
          <w:ilvl w:val="0"/>
          <w:numId w:val="2518"/>
        </w:numPr>
      </w:pPr>
      <w:r>
        <w:t xml:space="preserve">The</w:t>
      </w:r>
      <w:r>
        <w:t xml:space="preserve"> </w:t>
      </w:r>
      <w:r>
        <w:rPr>
          <w:rStyle w:val="VerbatimChar"/>
        </w:rPr>
        <w:t xml:space="preserve">Name</w:t>
      </w:r>
      <w:r>
        <w:t xml:space="preserve"> </w:t>
      </w:r>
      <w:r>
        <w:t xml:space="preserve">property on File and Folder objects is writable and triggers an OS-level rename when assigned.</w:t>
      </w:r>
    </w:p>
    <w:p>
      <w:pPr>
        <w:pStyle w:val="Compact"/>
        <w:numPr>
          <w:ilvl w:val="0"/>
          <w:numId w:val="2518"/>
        </w:numPr>
      </w:pPr>
      <w:r>
        <w:t xml:space="preserve">TextStream properties (</w:t>
      </w:r>
      <w:r>
        <w:rPr>
          <w:rStyle w:val="VerbatimChar"/>
        </w:rPr>
        <w:t xml:space="preserve">AtEndOfStream</w:t>
      </w:r>
      <w:r>
        <w:t xml:space="preserve">,</w:t>
      </w:r>
      <w:r>
        <w:t xml:space="preserve"> </w:t>
      </w:r>
      <w:r>
        <w:rPr>
          <w:rStyle w:val="VerbatimChar"/>
        </w:rPr>
        <w:t xml:space="preserve">Line</w:t>
      </w:r>
      <w:r>
        <w:t xml:space="preserve">,</w:t>
      </w:r>
      <w:r>
        <w:t xml:space="preserve"> </w:t>
      </w:r>
      <w:r>
        <w:rPr>
          <w:rStyle w:val="VerbatimChar"/>
        </w:rPr>
        <w:t xml:space="preserve">Column</w:t>
      </w:r>
      <w:r>
        <w:t xml:space="preserve">) reflect the internal stream state and are updated automatically by read and write operations.</w:t>
      </w:r>
    </w:p>
    <w:bookmarkStart w:id="6154" w:name="methods-detail-26"/>
    <w:p>
      <w:pPr>
        <w:pStyle w:val="Heading3"/>
      </w:pPr>
      <w:r>
        <w:t xml:space="preserve">Methods Detail</w:t>
      </w:r>
    </w:p>
    <w:bookmarkEnd w:id="6154"/>
    <w:bookmarkEnd w:id="6155"/>
    <w:bookmarkEnd w:id="6156"/>
    <w:bookmarkStart w:id="6164" w:name="buildpath-method"/>
    <w:p>
      <w:pPr>
        <w:pStyle w:val="Heading1"/>
      </w:pPr>
      <w:r>
        <w:t xml:space="preserve">BuildPath Method</w:t>
      </w:r>
    </w:p>
    <w:bookmarkStart w:id="6157" w:name="overview-658"/>
    <w:p>
      <w:pPr>
        <w:pStyle w:val="Heading2"/>
      </w:pPr>
      <w:r>
        <w:t xml:space="preserve">Overview</w:t>
      </w:r>
    </w:p>
    <w:p>
      <w:pPr>
        <w:pStyle w:val="FirstParagraph"/>
      </w:pPr>
      <w:r>
        <w:t xml:space="preserve">Concatenates a base path and a file or folder name using the OS path separator and returns the resulting path string.</w:t>
      </w:r>
    </w:p>
    <w:bookmarkEnd w:id="6157"/>
    <w:bookmarkStart w:id="6158" w:name="syntax-721"/>
    <w:p>
      <w:pPr>
        <w:pStyle w:val="Heading2"/>
      </w:pPr>
      <w:r>
        <w:t xml:space="preserve">Syntax</w:t>
      </w:r>
    </w:p>
    <w:p>
      <w:pPr>
        <w:pStyle w:val="SourceCode"/>
      </w:pPr>
      <w:r>
        <w:rPr>
          <w:rStyle w:val="NormalTok"/>
        </w:rPr>
        <w:t xml:space="preserve">result = fso.BuildPath(path, name)</w:t>
      </w:r>
    </w:p>
    <w:bookmarkEnd w:id="6158"/>
    <w:bookmarkStart w:id="6159" w:name="parameters-33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path</w:t>
            </w:r>
          </w:p>
        </w:tc>
        <w:tc>
          <w:tcPr/>
          <w:p>
            <w:pPr>
              <w:pStyle w:val="Compact"/>
            </w:pPr>
            <w:r>
              <w:t xml:space="preserve">String</w:t>
            </w:r>
          </w:p>
        </w:tc>
        <w:tc>
          <w:tcPr/>
          <w:p>
            <w:pPr>
              <w:pStyle w:val="Compact"/>
            </w:pPr>
            <w:r>
              <w:t xml:space="preserve">Yes</w:t>
            </w:r>
          </w:p>
        </w:tc>
        <w:tc>
          <w:tcPr/>
          <w:p>
            <w:pPr>
              <w:pStyle w:val="Compact"/>
            </w:pPr>
            <w:r>
              <w:t xml:space="preserve">The base path to which name is appended.</w:t>
            </w:r>
          </w:p>
        </w:tc>
      </w:tr>
      <w:tr>
        <w:tc>
          <w:tcPr/>
          <w:p>
            <w:pPr>
              <w:pStyle w:val="Compact"/>
            </w:pPr>
            <w:r>
              <w:t xml:space="preserve">name</w:t>
            </w:r>
          </w:p>
        </w:tc>
        <w:tc>
          <w:tcPr/>
          <w:p>
            <w:pPr>
              <w:pStyle w:val="Compact"/>
            </w:pPr>
            <w:r>
              <w:t xml:space="preserve">String</w:t>
            </w:r>
          </w:p>
        </w:tc>
        <w:tc>
          <w:tcPr/>
          <w:p>
            <w:pPr>
              <w:pStyle w:val="Compact"/>
            </w:pPr>
            <w:r>
              <w:t xml:space="preserve">Yes</w:t>
            </w:r>
          </w:p>
        </w:tc>
        <w:tc>
          <w:tcPr/>
          <w:p>
            <w:pPr>
              <w:pStyle w:val="Compact"/>
            </w:pPr>
            <w:r>
              <w:t xml:space="preserve">The file or folder name to append to path.</w:t>
            </w:r>
          </w:p>
        </w:tc>
      </w:tr>
    </w:tbl>
    <w:bookmarkEnd w:id="6159"/>
    <w:bookmarkStart w:id="6160" w:name="return-value-404"/>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concatenated path. The method uses the OS path separator (</w:t>
      </w:r>
      <w:r>
        <w:rPr>
          <w:rStyle w:val="VerbatimChar"/>
        </w:rPr>
        <w:t xml:space="preserve">\</w:t>
      </w:r>
      <w:r>
        <w:t xml:space="preserve"> </w:t>
      </w:r>
      <w:r>
        <w:t xml:space="preserve">on Windows,</w:t>
      </w:r>
      <w:r>
        <w:t xml:space="preserve"> </w:t>
      </w:r>
      <w:r>
        <w:rPr>
          <w:rStyle w:val="VerbatimChar"/>
        </w:rPr>
        <w:t xml:space="preserve">/</w:t>
      </w:r>
      <w:r>
        <w:t xml:space="preserve"> </w:t>
      </w:r>
      <w:r>
        <w:t xml:space="preserve">on Unix). If fewer than two arguments are supplied, returns an empty String.</w:t>
      </w:r>
    </w:p>
    <w:bookmarkEnd w:id="6160"/>
    <w:bookmarkStart w:id="6161" w:name="how-it-works-65"/>
    <w:p>
      <w:pPr>
        <w:pStyle w:val="Heading2"/>
      </w:pPr>
      <w:r>
        <w:t xml:space="preserve">How It Works</w:t>
      </w:r>
    </w:p>
    <w:p>
      <w:pPr>
        <w:pStyle w:val="FirstParagraph"/>
      </w:pPr>
      <w:r>
        <w:t xml:space="preserve">The method calls the Go</w:t>
      </w:r>
      <w:r>
        <w:t xml:space="preserve"> </w:t>
      </w:r>
      <w:r>
        <w:rPr>
          <w:rStyle w:val="VerbatimChar"/>
        </w:rPr>
        <w:t xml:space="preserve">filepath.Join</w:t>
      </w:r>
      <w:r>
        <w:t xml:space="preserve"> </w:t>
      </w:r>
      <w:r>
        <w:t xml:space="preserve">function on the two arguments. No path validation or resolution is performed; the inputs are joined as-is. The result is not checked for existence on disk.</w:t>
      </w:r>
    </w:p>
    <w:bookmarkEnd w:id="6161"/>
    <w:bookmarkStart w:id="6162" w:name="remarks-700"/>
    <w:p>
      <w:pPr>
        <w:pStyle w:val="Heading2"/>
      </w:pPr>
      <w:r>
        <w:t xml:space="preserve">Remarks</w:t>
      </w:r>
    </w:p>
    <w:p>
      <w:pPr>
        <w:pStyle w:val="Compact"/>
        <w:numPr>
          <w:ilvl w:val="0"/>
          <w:numId w:val="2519"/>
        </w:numPr>
      </w:pPr>
      <w:r>
        <w:rPr>
          <w:rStyle w:val="VerbatimChar"/>
        </w:rPr>
        <w:t xml:space="preserve">BuildPath</w:t>
      </w:r>
      <w:r>
        <w:t xml:space="preserve"> </w:t>
      </w:r>
      <w:r>
        <w:t xml:space="preserve">does not create any directory or file on disk.</w:t>
      </w:r>
    </w:p>
    <w:p>
      <w:pPr>
        <w:pStyle w:val="Compact"/>
        <w:numPr>
          <w:ilvl w:val="0"/>
          <w:numId w:val="2519"/>
        </w:numPr>
      </w:pPr>
      <w:r>
        <w:t xml:space="preserve">The method does not resolve relative paths or validate the result against the web root.</w:t>
      </w:r>
    </w:p>
    <w:p>
      <w:pPr>
        <w:pStyle w:val="Compact"/>
        <w:numPr>
          <w:ilvl w:val="0"/>
          <w:numId w:val="2519"/>
        </w:numPr>
      </w:pPr>
      <w:r>
        <w:t xml:space="preserve">Use</w:t>
      </w:r>
      <w:r>
        <w:t xml:space="preserve"> </w:t>
      </w:r>
      <w:r>
        <w:rPr>
          <w:rStyle w:val="VerbatimChar"/>
        </w:rPr>
        <w:t xml:space="preserve">Server.MapPath</w:t>
      </w:r>
      <w:r>
        <w:t xml:space="preserve"> </w:t>
      </w:r>
      <w:r>
        <w:t xml:space="preserve">when you need an absolute server path, then pass the result to</w:t>
      </w:r>
      <w:r>
        <w:t xml:space="preserve"> </w:t>
      </w:r>
      <w:r>
        <w:rPr>
          <w:rStyle w:val="VerbatimChar"/>
        </w:rPr>
        <w:t xml:space="preserve">BuildPath</w:t>
      </w:r>
      <w:r>
        <w:t xml:space="preserve"> </w:t>
      </w:r>
      <w:r>
        <w:t xml:space="preserve">if you need to append a sub-path.</w:t>
      </w:r>
    </w:p>
    <w:bookmarkEnd w:id="6162"/>
    <w:bookmarkStart w:id="6163" w:name="code-example-50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fullPath</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fullPath = fso.</w:t>
      </w:r>
      <w:r>
        <w:rPr>
          <w:rStyle w:val="FunctionTok"/>
        </w:rPr>
        <w:t xml:space="preserve">BuildPath</w:t>
      </w:r>
      <w:r>
        <w:rPr>
          <w:rStyle w:val="OtherTok"/>
        </w:rPr>
        <w:t xml:space="preserve">(</w:t>
      </w:r>
      <w:r>
        <w:rPr>
          <w:rStyle w:val="StringTok"/>
        </w:rPr>
        <w:t xml:space="preserve">"C:\\data"</w:t>
      </w:r>
      <w:r>
        <w:rPr>
          <w:rStyle w:val="OtherTok"/>
        </w:rPr>
        <w:t xml:space="preserve">,</w:t>
      </w:r>
      <w:r>
        <w:rPr>
          <w:rStyle w:val="NormalTok"/>
        </w:rPr>
        <w:t xml:space="preserve"> </w:t>
      </w:r>
      <w:r>
        <w:rPr>
          <w:rStyle w:val="StringTok"/>
        </w:rPr>
        <w:t xml:space="preserve">"report.txt"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fullPath</w:t>
      </w:r>
      <w:r>
        <w:br/>
      </w:r>
      <w:r>
        <w:rPr>
          <w:rStyle w:val="CommentTok"/>
        </w:rPr>
        <w:t xml:space="preserve">' Output: C:\data\report.txt</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163"/>
    <w:bookmarkEnd w:id="6164"/>
    <w:bookmarkStart w:id="6172" w:name="copyfile-method"/>
    <w:p>
      <w:pPr>
        <w:pStyle w:val="Heading1"/>
      </w:pPr>
      <w:r>
        <w:t xml:space="preserve">CopyFile Method</w:t>
      </w:r>
    </w:p>
    <w:bookmarkStart w:id="6165" w:name="overview-659"/>
    <w:p>
      <w:pPr>
        <w:pStyle w:val="Heading2"/>
      </w:pPr>
      <w:r>
        <w:t xml:space="preserve">Overview</w:t>
      </w:r>
    </w:p>
    <w:p>
      <w:pPr>
        <w:pStyle w:val="FirstParagraph"/>
      </w:pPr>
      <w:r>
        <w:t xml:space="preserve">Copies one file from a source path to a destination path.</w:t>
      </w:r>
    </w:p>
    <w:bookmarkEnd w:id="6165"/>
    <w:bookmarkStart w:id="6166" w:name="syntax-722"/>
    <w:p>
      <w:pPr>
        <w:pStyle w:val="Heading2"/>
      </w:pPr>
      <w:r>
        <w:t xml:space="preserve">Syntax</w:t>
      </w:r>
    </w:p>
    <w:p>
      <w:pPr>
        <w:pStyle w:val="SourceCode"/>
      </w:pPr>
      <w:r>
        <w:rPr>
          <w:rStyle w:val="NormalTok"/>
        </w:rPr>
        <w:t xml:space="preserve">fso.CopyFile source, destination [, overwrite]</w:t>
      </w:r>
    </w:p>
    <w:bookmarkEnd w:id="6166"/>
    <w:bookmarkStart w:id="6167" w:name="parameters-338"/>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source</w:t>
            </w:r>
          </w:p>
        </w:tc>
        <w:tc>
          <w:tcPr/>
          <w:p>
            <w:pPr>
              <w:pStyle w:val="Compact"/>
            </w:pPr>
            <w:r>
              <w:t xml:space="preserve">String</w:t>
            </w:r>
          </w:p>
        </w:tc>
        <w:tc>
          <w:tcPr/>
          <w:p>
            <w:pPr>
              <w:pStyle w:val="Compact"/>
            </w:pPr>
            <w:r>
              <w:t xml:space="preserve">Yes</w:t>
            </w:r>
          </w:p>
        </w:tc>
        <w:tc>
          <w:tcPr/>
          <w:p>
            <w:pPr>
              <w:pStyle w:val="Compact"/>
            </w:pPr>
            <w:r>
              <w:t xml:space="preserve">The full path to the file to copy.</w:t>
            </w:r>
          </w:p>
        </w:tc>
      </w:tr>
      <w:tr>
        <w:tc>
          <w:tcPr/>
          <w:p>
            <w:pPr>
              <w:pStyle w:val="Compact"/>
            </w:pPr>
            <w:r>
              <w:t xml:space="preserve">destination</w:t>
            </w:r>
          </w:p>
        </w:tc>
        <w:tc>
          <w:tcPr/>
          <w:p>
            <w:pPr>
              <w:pStyle w:val="Compact"/>
            </w:pPr>
            <w:r>
              <w:t xml:space="preserve">String</w:t>
            </w:r>
          </w:p>
        </w:tc>
        <w:tc>
          <w:tcPr/>
          <w:p>
            <w:pPr>
              <w:pStyle w:val="Compact"/>
            </w:pPr>
            <w:r>
              <w:t xml:space="preserve">Yes</w:t>
            </w:r>
          </w:p>
        </w:tc>
        <w:tc>
          <w:tcPr/>
          <w:p>
            <w:pPr>
              <w:pStyle w:val="Compact"/>
            </w:pPr>
            <w:r>
              <w:t xml:space="preserve">The full path or target directory for the copied file.</w:t>
            </w:r>
          </w:p>
        </w:tc>
      </w:tr>
      <w:tr>
        <w:tc>
          <w:tcPr/>
          <w:p>
            <w:pPr>
              <w:pStyle w:val="Compact"/>
            </w:pPr>
            <w:r>
              <w:t xml:space="preserve">overwrite</w:t>
            </w:r>
          </w:p>
        </w:tc>
        <w:tc>
          <w:tcPr/>
          <w:p>
            <w:pPr>
              <w:pStyle w:val="Compact"/>
            </w:pPr>
            <w:r>
              <w:t xml:space="preserve">Boolean</w:t>
            </w:r>
          </w:p>
        </w:tc>
        <w:tc>
          <w:tcPr/>
          <w:p>
            <w:pPr>
              <w:pStyle w:val="Compact"/>
            </w:pPr>
            <w:r>
              <w:t xml:space="preserve">No</w:t>
            </w:r>
          </w:p>
        </w:tc>
        <w:tc>
          <w:tcPr/>
          <w:p>
            <w:pPr>
              <w:pStyle w:val="Compact"/>
            </w:pPr>
            <w:r>
              <w:t xml:space="preserve">Set to True (default) to overwrite an existing destination file. Set to False to skip if the destination already exists.</w:t>
            </w:r>
          </w:p>
        </w:tc>
      </w:tr>
    </w:tbl>
    <w:bookmarkEnd w:id="6167"/>
    <w:bookmarkStart w:id="6168" w:name="return-value-405"/>
    <w:p>
      <w:pPr>
        <w:pStyle w:val="Heading2"/>
      </w:pPr>
      <w:r>
        <w:t xml:space="preserve">Return Value</w:t>
      </w:r>
    </w:p>
    <w:p>
      <w:pPr>
        <w:pStyle w:val="FirstParagraph"/>
      </w:pPr>
      <w:r>
        <w:t xml:space="preserve">Returns</w:t>
      </w:r>
      <w:r>
        <w:t xml:space="preserve"> </w:t>
      </w:r>
      <w:r>
        <w:rPr>
          <w:b/>
          <w:bCs/>
        </w:rPr>
        <w:t xml:space="preserve">Empty</w:t>
      </w:r>
      <w:r>
        <w:t xml:space="preserve">. The method does not return a value.</w:t>
      </w:r>
    </w:p>
    <w:bookmarkEnd w:id="6168"/>
    <w:bookmarkStart w:id="6169" w:name="how-it-works-66"/>
    <w:p>
      <w:pPr>
        <w:pStyle w:val="Heading2"/>
      </w:pPr>
      <w:r>
        <w:t xml:space="preserve">How It Works</w:t>
      </w:r>
    </w:p>
    <w:p>
      <w:pPr>
        <w:pStyle w:val="FirstParagraph"/>
      </w:pPr>
      <w:r>
        <w:t xml:space="preserve">Both</w:t>
      </w:r>
      <w:r>
        <w:t xml:space="preserve"> </w:t>
      </w:r>
      <w:r>
        <w:rPr>
          <w:rStyle w:val="VerbatimChar"/>
        </w:rPr>
        <w:t xml:space="preserve">source</w:t>
      </w:r>
      <w:r>
        <w:t xml:space="preserve"> </w:t>
      </w:r>
      <w:r>
        <w:t xml:space="preserve">and</w:t>
      </w:r>
      <w:r>
        <w:t xml:space="preserve"> </w:t>
      </w:r>
      <w:r>
        <w:rPr>
          <w:rStyle w:val="VerbatimChar"/>
        </w:rPr>
        <w:t xml:space="preserve">destination</w:t>
      </w:r>
      <w:r>
        <w:t xml:space="preserve"> </w:t>
      </w:r>
      <w:r>
        <w:t xml:space="preserve">are resolved against the web root. If either path cannot be resolved, the copy operation is silently skipped. When</w:t>
      </w:r>
      <w:r>
        <w:t xml:space="preserve"> </w:t>
      </w:r>
      <w:r>
        <w:rPr>
          <w:rStyle w:val="VerbatimChar"/>
        </w:rPr>
        <w:t xml:space="preserve">overwrite</w:t>
      </w:r>
      <w:r>
        <w:t xml:space="preserve"> </w:t>
      </w:r>
      <w:r>
        <w:t xml:space="preserve">is True, the destination file is replaced if it already exists. Parent directories of the destination are not created automatically.</w:t>
      </w:r>
    </w:p>
    <w:bookmarkEnd w:id="6169"/>
    <w:bookmarkStart w:id="6170" w:name="remarks-701"/>
    <w:p>
      <w:pPr>
        <w:pStyle w:val="Heading2"/>
      </w:pPr>
      <w:r>
        <w:t xml:space="preserve">Remarks</w:t>
      </w:r>
    </w:p>
    <w:p>
      <w:pPr>
        <w:pStyle w:val="Compact"/>
        <w:numPr>
          <w:ilvl w:val="0"/>
          <w:numId w:val="2520"/>
        </w:numPr>
      </w:pPr>
      <w:r>
        <w:t xml:space="preserve">The</w:t>
      </w:r>
      <w:r>
        <w:t xml:space="preserve"> </w:t>
      </w:r>
      <w:r>
        <w:rPr>
          <w:rStyle w:val="VerbatimChar"/>
        </w:rPr>
        <w:t xml:space="preserve">overwrite</w:t>
      </w:r>
      <w:r>
        <w:t xml:space="preserve"> </w:t>
      </w:r>
      <w:r>
        <w:t xml:space="preserve">parameter defaults to</w:t>
      </w:r>
      <w:r>
        <w:t xml:space="preserve"> </w:t>
      </w:r>
      <w:r>
        <w:rPr>
          <w:rStyle w:val="VerbatimChar"/>
        </w:rPr>
        <w:t xml:space="preserve">True</w:t>
      </w:r>
      <w:r>
        <w:t xml:space="preserve">.</w:t>
      </w:r>
    </w:p>
    <w:p>
      <w:pPr>
        <w:pStyle w:val="Compact"/>
        <w:numPr>
          <w:ilvl w:val="0"/>
          <w:numId w:val="2520"/>
        </w:numPr>
      </w:pPr>
      <w:r>
        <w:t xml:space="preserve">Use</w:t>
      </w:r>
      <w:r>
        <w:t xml:space="preserve"> </w:t>
      </w:r>
      <w:r>
        <w:rPr>
          <w:rStyle w:val="VerbatimChar"/>
        </w:rPr>
        <w:t xml:space="preserve">On Error Resume Next</w:t>
      </w:r>
      <w:r>
        <w:t xml:space="preserve"> </w:t>
      </w:r>
      <w:r>
        <w:t xml:space="preserve">to catch permission or path errors at runtime.</w:t>
      </w:r>
    </w:p>
    <w:p>
      <w:pPr>
        <w:pStyle w:val="Compact"/>
        <w:numPr>
          <w:ilvl w:val="0"/>
          <w:numId w:val="2520"/>
        </w:numPr>
      </w:pPr>
      <w:r>
        <w:t xml:space="preserve">To copy an entire directory tree, use</w:t>
      </w:r>
      <w:r>
        <w:t xml:space="preserve"> </w:t>
      </w:r>
      <w:r>
        <w:rPr>
          <w:rStyle w:val="VerbatimChar"/>
        </w:rPr>
        <w:t xml:space="preserve">CopyFolder</w:t>
      </w:r>
      <w:r>
        <w:t xml:space="preserve"> </w:t>
      </w:r>
      <w:r>
        <w:t xml:space="preserve">instead.</w:t>
      </w:r>
    </w:p>
    <w:bookmarkEnd w:id="6170"/>
    <w:bookmarkStart w:id="6171" w:name="code-example-51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On Error Resume </w:t>
      </w:r>
      <w:r>
        <w:rPr>
          <w:rStyle w:val="ControlFlowTok"/>
        </w:rPr>
        <w:t xml:space="preserve">Next</w:t>
      </w:r>
      <w:r>
        <w:br/>
      </w:r>
      <w:r>
        <w:rPr>
          <w:rStyle w:val="NormalTok"/>
        </w:rPr>
        <w:t xml:space="preserve">fso.</w:t>
      </w:r>
      <w:r>
        <w:rPr>
          <w:rStyle w:val="FunctionTok"/>
        </w:rPr>
        <w:t xml:space="preserve">CopyFile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"source.txt"</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"backup/source.txt"</w:t>
      </w:r>
      <w:r>
        <w:rPr>
          <w:rStyle w:val="OtherTok"/>
        </w:rPr>
        <w:t xml:space="preserve">),</w:t>
      </w:r>
      <w:r>
        <w:rPr>
          <w:rStyle w:val="NormalTok"/>
        </w:rPr>
        <w:t xml:space="preserve"> </w:t>
      </w:r>
      <w:r>
        <w:rPr>
          <w:rStyle w:val="KeywordTok"/>
        </w:rPr>
        <w:t xml:space="preserve">True</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"Copy failed: "</w:t>
      </w:r>
      <w:r>
        <w:rPr>
          <w:rStyle w:val="NormalTok"/>
        </w:rPr>
        <w:t xml:space="preserve"> </w:t>
      </w:r>
      <w:r>
        <w:rPr>
          <w:rStyle w:val="KeywordTok"/>
        </w:rPr>
        <w:t xml:space="preserve">&amp;</w:t>
      </w:r>
      <w:r>
        <w:rPr>
          <w:rStyle w:val="NormalTok"/>
        </w:rPr>
        <w:t xml:space="preserve"> Err.Description</w:t>
      </w:r>
      <w:r>
        <w:br/>
      </w:r>
      <w:r>
        <w:rPr>
          <w:rStyle w:val="ControlFlowTok"/>
        </w:rPr>
        <w:t xml:space="preserve">End If</w:t>
      </w:r>
      <w:r>
        <w:br/>
      </w:r>
      <w:r>
        <w:rPr>
          <w:rStyle w:val="NormalTok"/>
        </w:rPr>
        <w:t xml:space="preserve">On Error GoTo </w:t>
      </w:r>
      <w:r>
        <w:rPr>
          <w:rStyle w:val="DecValTok"/>
        </w:rPr>
        <w:t xml:space="preserve">0</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171"/>
    <w:bookmarkEnd w:id="6172"/>
    <w:bookmarkStart w:id="6180" w:name="copyfolder-method"/>
    <w:p>
      <w:pPr>
        <w:pStyle w:val="Heading1"/>
      </w:pPr>
      <w:r>
        <w:t xml:space="preserve">CopyFolder Method</w:t>
      </w:r>
    </w:p>
    <w:bookmarkStart w:id="6173" w:name="overview-660"/>
    <w:p>
      <w:pPr>
        <w:pStyle w:val="Heading2"/>
      </w:pPr>
      <w:r>
        <w:t xml:space="preserve">Overview</w:t>
      </w:r>
    </w:p>
    <w:p>
      <w:pPr>
        <w:pStyle w:val="FirstParagraph"/>
      </w:pPr>
      <w:r>
        <w:t xml:space="preserve">Recursively copies a folder and all of its contents to a destination path.</w:t>
      </w:r>
    </w:p>
    <w:bookmarkEnd w:id="6173"/>
    <w:bookmarkStart w:id="6174" w:name="syntax-723"/>
    <w:p>
      <w:pPr>
        <w:pStyle w:val="Heading2"/>
      </w:pPr>
      <w:r>
        <w:t xml:space="preserve">Syntax</w:t>
      </w:r>
    </w:p>
    <w:p>
      <w:pPr>
        <w:pStyle w:val="SourceCode"/>
      </w:pPr>
      <w:r>
        <w:rPr>
          <w:rStyle w:val="NormalTok"/>
        </w:rPr>
        <w:t xml:space="preserve">fso.CopyFolder source, destination [, overwrite]</w:t>
      </w:r>
    </w:p>
    <w:bookmarkEnd w:id="6174"/>
    <w:bookmarkStart w:id="6175" w:name="parameters-33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source</w:t>
            </w:r>
          </w:p>
        </w:tc>
        <w:tc>
          <w:tcPr/>
          <w:p>
            <w:pPr>
              <w:pStyle w:val="Compact"/>
            </w:pPr>
            <w:r>
              <w:t xml:space="preserve">String</w:t>
            </w:r>
          </w:p>
        </w:tc>
        <w:tc>
          <w:tcPr/>
          <w:p>
            <w:pPr>
              <w:pStyle w:val="Compact"/>
            </w:pPr>
            <w:r>
              <w:t xml:space="preserve">Yes</w:t>
            </w:r>
          </w:p>
        </w:tc>
        <w:tc>
          <w:tcPr/>
          <w:p>
            <w:pPr>
              <w:pStyle w:val="Compact"/>
            </w:pPr>
            <w:r>
              <w:t xml:space="preserve">The full path to the folder to copy.</w:t>
            </w:r>
          </w:p>
        </w:tc>
      </w:tr>
      <w:tr>
        <w:tc>
          <w:tcPr/>
          <w:p>
            <w:pPr>
              <w:pStyle w:val="Compact"/>
            </w:pPr>
            <w:r>
              <w:t xml:space="preserve">destination</w:t>
            </w:r>
          </w:p>
        </w:tc>
        <w:tc>
          <w:tcPr/>
          <w:p>
            <w:pPr>
              <w:pStyle w:val="Compact"/>
            </w:pPr>
            <w:r>
              <w:t xml:space="preserve">String</w:t>
            </w:r>
          </w:p>
        </w:tc>
        <w:tc>
          <w:tcPr/>
          <w:p>
            <w:pPr>
              <w:pStyle w:val="Compact"/>
            </w:pPr>
            <w:r>
              <w:t xml:space="preserve">Yes</w:t>
            </w:r>
          </w:p>
        </w:tc>
        <w:tc>
          <w:tcPr/>
          <w:p>
            <w:pPr>
              <w:pStyle w:val="Compact"/>
            </w:pPr>
            <w:r>
              <w:t xml:space="preserve">The full destination path for the copied folder.</w:t>
            </w:r>
          </w:p>
        </w:tc>
      </w:tr>
      <w:tr>
        <w:tc>
          <w:tcPr/>
          <w:p>
            <w:pPr>
              <w:pStyle w:val="Compact"/>
            </w:pPr>
            <w:r>
              <w:t xml:space="preserve">overwrite</w:t>
            </w:r>
          </w:p>
        </w:tc>
        <w:tc>
          <w:tcPr/>
          <w:p>
            <w:pPr>
              <w:pStyle w:val="Compact"/>
            </w:pPr>
            <w:r>
              <w:t xml:space="preserve">Boolean</w:t>
            </w:r>
          </w:p>
        </w:tc>
        <w:tc>
          <w:tcPr/>
          <w:p>
            <w:pPr>
              <w:pStyle w:val="Compact"/>
            </w:pPr>
            <w:r>
              <w:t xml:space="preserve">No</w:t>
            </w:r>
          </w:p>
        </w:tc>
        <w:tc>
          <w:tcPr/>
          <w:p>
            <w:pPr>
              <w:pStyle w:val="Compact"/>
            </w:pPr>
            <w:r>
              <w:t xml:space="preserve">Set to True (default) to overwrite existing files in the destination. Set to False to skip existing files.</w:t>
            </w:r>
          </w:p>
        </w:tc>
      </w:tr>
    </w:tbl>
    <w:bookmarkEnd w:id="6175"/>
    <w:bookmarkStart w:id="6176" w:name="return-value-406"/>
    <w:p>
      <w:pPr>
        <w:pStyle w:val="Heading2"/>
      </w:pPr>
      <w:r>
        <w:t xml:space="preserve">Return Value</w:t>
      </w:r>
    </w:p>
    <w:p>
      <w:pPr>
        <w:pStyle w:val="FirstParagraph"/>
      </w:pPr>
      <w:r>
        <w:t xml:space="preserve">Returns</w:t>
      </w:r>
      <w:r>
        <w:t xml:space="preserve"> </w:t>
      </w:r>
      <w:r>
        <w:rPr>
          <w:b/>
          <w:bCs/>
        </w:rPr>
        <w:t xml:space="preserve">Empty</w:t>
      </w:r>
      <w:r>
        <w:t xml:space="preserve">. The method does not return a value.</w:t>
      </w:r>
    </w:p>
    <w:bookmarkEnd w:id="6176"/>
    <w:bookmarkStart w:id="6177" w:name="how-it-works-67"/>
    <w:p>
      <w:pPr>
        <w:pStyle w:val="Heading2"/>
      </w:pPr>
      <w:r>
        <w:t xml:space="preserve">How It Works</w:t>
      </w:r>
    </w:p>
    <w:p>
      <w:pPr>
        <w:pStyle w:val="FirstParagraph"/>
      </w:pPr>
      <w:r>
        <w:t xml:space="preserve">Both</w:t>
      </w:r>
      <w:r>
        <w:t xml:space="preserve"> </w:t>
      </w:r>
      <w:r>
        <w:rPr>
          <w:rStyle w:val="VerbatimChar"/>
        </w:rPr>
        <w:t xml:space="preserve">source</w:t>
      </w:r>
      <w:r>
        <w:t xml:space="preserve"> </w:t>
      </w:r>
      <w:r>
        <w:t xml:space="preserve">and</w:t>
      </w:r>
      <w:r>
        <w:t xml:space="preserve"> </w:t>
      </w:r>
      <w:r>
        <w:rPr>
          <w:rStyle w:val="VerbatimChar"/>
        </w:rPr>
        <w:t xml:space="preserve">destination</w:t>
      </w:r>
      <w:r>
        <w:t xml:space="preserve"> </w:t>
      </w:r>
      <w:r>
        <w:t xml:space="preserve">are resolved against the web root. The runtime creates any missing parent directories in the destination path before copying files. All files and sub-folders within</w:t>
      </w:r>
      <w:r>
        <w:t xml:space="preserve"> </w:t>
      </w:r>
      <w:r>
        <w:rPr>
          <w:rStyle w:val="VerbatimChar"/>
        </w:rPr>
        <w:t xml:space="preserve">source</w:t>
      </w:r>
      <w:r>
        <w:t xml:space="preserve"> </w:t>
      </w:r>
      <w:r>
        <w:t xml:space="preserve">are copied recursively. If</w:t>
      </w:r>
      <w:r>
        <w:t xml:space="preserve"> </w:t>
      </w:r>
      <w:r>
        <w:rPr>
          <w:rStyle w:val="VerbatimChar"/>
        </w:rPr>
        <w:t xml:space="preserve">overwrite</w:t>
      </w:r>
      <w:r>
        <w:t xml:space="preserve"> </w:t>
      </w:r>
      <w:r>
        <w:t xml:space="preserve">is False, individual files that already exist at the destination are not replaced.</w:t>
      </w:r>
    </w:p>
    <w:bookmarkEnd w:id="6177"/>
    <w:bookmarkStart w:id="6178" w:name="remarks-702"/>
    <w:p>
      <w:pPr>
        <w:pStyle w:val="Heading2"/>
      </w:pPr>
      <w:r>
        <w:t xml:space="preserve">Remarks</w:t>
      </w:r>
    </w:p>
    <w:p>
      <w:pPr>
        <w:pStyle w:val="Compact"/>
        <w:numPr>
          <w:ilvl w:val="0"/>
          <w:numId w:val="2521"/>
        </w:numPr>
      </w:pPr>
      <w:r>
        <w:t xml:space="preserve">The</w:t>
      </w:r>
      <w:r>
        <w:t xml:space="preserve"> </w:t>
      </w:r>
      <w:r>
        <w:rPr>
          <w:rStyle w:val="VerbatimChar"/>
        </w:rPr>
        <w:t xml:space="preserve">overwrite</w:t>
      </w:r>
      <w:r>
        <w:t xml:space="preserve"> </w:t>
      </w:r>
      <w:r>
        <w:t xml:space="preserve">parameter defaults to</w:t>
      </w:r>
      <w:r>
        <w:t xml:space="preserve"> </w:t>
      </w:r>
      <w:r>
        <w:rPr>
          <w:rStyle w:val="VerbatimChar"/>
        </w:rPr>
        <w:t xml:space="preserve">True</w:t>
      </w:r>
      <w:r>
        <w:t xml:space="preserve">.</w:t>
      </w:r>
    </w:p>
    <w:p>
      <w:pPr>
        <w:pStyle w:val="Compact"/>
        <w:numPr>
          <w:ilvl w:val="0"/>
          <w:numId w:val="2521"/>
        </w:numPr>
      </w:pPr>
      <w:r>
        <w:t xml:space="preserve">If either path cannot be resolved, the operation is silently skipped.</w:t>
      </w:r>
    </w:p>
    <w:p>
      <w:pPr>
        <w:pStyle w:val="Compact"/>
        <w:numPr>
          <w:ilvl w:val="0"/>
          <w:numId w:val="2521"/>
        </w:numPr>
      </w:pPr>
      <w:r>
        <w:t xml:space="preserve">Use</w:t>
      </w:r>
      <w:r>
        <w:t xml:space="preserve"> </w:t>
      </w:r>
      <w:r>
        <w:rPr>
          <w:rStyle w:val="VerbatimChar"/>
        </w:rPr>
        <w:t xml:space="preserve">On Error Resume Next</w:t>
      </w:r>
      <w:r>
        <w:t xml:space="preserve"> </w:t>
      </w:r>
      <w:r>
        <w:t xml:space="preserve">to guard against permission or path errors at runtime.</w:t>
      </w:r>
    </w:p>
    <w:bookmarkEnd w:id="6178"/>
    <w:bookmarkStart w:id="6179" w:name="code-example-51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On Error Resume </w:t>
      </w:r>
      <w:r>
        <w:rPr>
          <w:rStyle w:val="ControlFlowTok"/>
        </w:rPr>
        <w:t xml:space="preserve">Next</w:t>
      </w:r>
      <w:r>
        <w:br/>
      </w:r>
      <w:r>
        <w:rPr>
          <w:rStyle w:val="NormalTok"/>
        </w:rPr>
        <w:t xml:space="preserve">fso.</w:t>
      </w:r>
      <w:r>
        <w:rPr>
          <w:rStyle w:val="FunctionTok"/>
        </w:rPr>
        <w:t xml:space="preserve">CopyFolder</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"templates"</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"backup/templates"</w:t>
      </w:r>
      <w:r>
        <w:rPr>
          <w:rStyle w:val="OtherTok"/>
        </w:rPr>
        <w:t xml:space="preserve">),</w:t>
      </w:r>
      <w:r>
        <w:rPr>
          <w:rStyle w:val="NormalTok"/>
        </w:rPr>
        <w:t xml:space="preserve"> </w:t>
      </w:r>
      <w:r>
        <w:rPr>
          <w:rStyle w:val="KeywordTok"/>
        </w:rPr>
        <w:t xml:space="preserve">True</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"CopyFolder failed: "</w:t>
      </w:r>
      <w:r>
        <w:rPr>
          <w:rStyle w:val="NormalTok"/>
        </w:rPr>
        <w:t xml:space="preserve"> </w:t>
      </w:r>
      <w:r>
        <w:rPr>
          <w:rStyle w:val="KeywordTok"/>
        </w:rPr>
        <w:t xml:space="preserve">&amp;</w:t>
      </w:r>
      <w:r>
        <w:rPr>
          <w:rStyle w:val="NormalTok"/>
        </w:rPr>
        <w:t xml:space="preserve"> Err.Description</w:t>
      </w:r>
      <w:r>
        <w:br/>
      </w:r>
      <w:r>
        <w:rPr>
          <w:rStyle w:val="ControlFlowTok"/>
        </w:rPr>
        <w:t xml:space="preserve">End If</w:t>
      </w:r>
      <w:r>
        <w:br/>
      </w:r>
      <w:r>
        <w:rPr>
          <w:rStyle w:val="NormalTok"/>
        </w:rPr>
        <w:t xml:space="preserve">On Error GoTo </w:t>
      </w:r>
      <w:r>
        <w:rPr>
          <w:rStyle w:val="DecValTok"/>
        </w:rPr>
        <w:t xml:space="preserve">0</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179"/>
    <w:bookmarkEnd w:id="6180"/>
    <w:bookmarkStart w:id="6188" w:name="createfolder-method"/>
    <w:p>
      <w:pPr>
        <w:pStyle w:val="Heading1"/>
      </w:pPr>
      <w:r>
        <w:t xml:space="preserve">CreateFolder Method</w:t>
      </w:r>
    </w:p>
    <w:bookmarkStart w:id="6181" w:name="overview-661"/>
    <w:p>
      <w:pPr>
        <w:pStyle w:val="Heading2"/>
      </w:pPr>
      <w:r>
        <w:t xml:space="preserve">Overview</w:t>
      </w:r>
    </w:p>
    <w:p>
      <w:pPr>
        <w:pStyle w:val="FirstParagraph"/>
      </w:pPr>
      <w:r>
        <w:t xml:space="preserve">Creates the specified folder on disk and returns a Folder object for the newly created directory.</w:t>
      </w:r>
    </w:p>
    <w:bookmarkEnd w:id="6181"/>
    <w:bookmarkStart w:id="6182" w:name="syntax-724"/>
    <w:p>
      <w:pPr>
        <w:pStyle w:val="Heading2"/>
      </w:pPr>
      <w:r>
        <w:t xml:space="preserve">Syntax</w:t>
      </w:r>
    </w:p>
    <w:p>
      <w:pPr>
        <w:pStyle w:val="SourceCode"/>
      </w:pPr>
      <w:r>
        <w:rPr>
          <w:rStyle w:val="NormalTok"/>
        </w:rPr>
        <w:t xml:space="preserve">Set folder = fso.CreateFolder(folderspec)</w:t>
      </w:r>
    </w:p>
    <w:bookmarkEnd w:id="6182"/>
    <w:bookmarkStart w:id="6183" w:name="parameters-34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folderspec</w:t>
            </w:r>
          </w:p>
        </w:tc>
        <w:tc>
          <w:tcPr/>
          <w:p>
            <w:pPr>
              <w:pStyle w:val="Compact"/>
            </w:pPr>
            <w:r>
              <w:t xml:space="preserve">String</w:t>
            </w:r>
          </w:p>
        </w:tc>
        <w:tc>
          <w:tcPr/>
          <w:p>
            <w:pPr>
              <w:pStyle w:val="Compact"/>
            </w:pPr>
            <w:r>
              <w:t xml:space="preserve">Yes</w:t>
            </w:r>
          </w:p>
        </w:tc>
        <w:tc>
          <w:tcPr/>
          <w:p>
            <w:pPr>
              <w:pStyle w:val="Compact"/>
            </w:pPr>
            <w:r>
              <w:t xml:space="preserve">The path of the folder to create.</w:t>
            </w:r>
          </w:p>
        </w:tc>
      </w:tr>
    </w:tbl>
    <w:bookmarkEnd w:id="6183"/>
    <w:bookmarkStart w:id="6184" w:name="return-value-407"/>
    <w:p>
      <w:pPr>
        <w:pStyle w:val="Heading2"/>
      </w:pPr>
      <w:r>
        <w:t xml:space="preserve">Return Value</w:t>
      </w:r>
    </w:p>
    <w:p>
      <w:pPr>
        <w:pStyle w:val="FirstParagraph"/>
      </w:pPr>
      <w:r>
        <w:t xml:space="preserve">Returns a</w:t>
      </w:r>
      <w:r>
        <w:t xml:space="preserve"> </w:t>
      </w:r>
      <w:r>
        <w:rPr>
          <w:b/>
          <w:bCs/>
        </w:rPr>
        <w:t xml:space="preserve">Folder</w:t>
      </w:r>
      <w:r>
        <w:t xml:space="preserve"> </w:t>
      </w:r>
      <w:r>
        <w:t xml:space="preserve">object representing the newly created directory. Returns</w:t>
      </w:r>
      <w:r>
        <w:t xml:space="preserve"> </w:t>
      </w:r>
      <w:r>
        <w:rPr>
          <w:b/>
          <w:bCs/>
        </w:rPr>
        <w:t xml:space="preserve">Empty</w:t>
      </w:r>
      <w:r>
        <w:t xml:space="preserve"> </w:t>
      </w:r>
      <w:r>
        <w:t xml:space="preserve">if the path cannot be resolved or if</w:t>
      </w:r>
      <w:r>
        <w:t xml:space="preserve"> </w:t>
      </w:r>
      <w:r>
        <w:rPr>
          <w:rStyle w:val="VerbatimChar"/>
        </w:rPr>
        <w:t xml:space="preserve">os.MkdirAll</w:t>
      </w:r>
      <w:r>
        <w:t xml:space="preserve"> </w:t>
      </w:r>
      <w:r>
        <w:t xml:space="preserve">fails.</w:t>
      </w:r>
    </w:p>
    <w:bookmarkEnd w:id="6184"/>
    <w:bookmarkStart w:id="6185" w:name="how-it-works-68"/>
    <w:p>
      <w:pPr>
        <w:pStyle w:val="Heading2"/>
      </w:pPr>
      <w:r>
        <w:t xml:space="preserve">How It Works</w:t>
      </w:r>
    </w:p>
    <w:p>
      <w:pPr>
        <w:pStyle w:val="FirstParagraph"/>
      </w:pPr>
      <w:r>
        <w:t xml:space="preserve">The path is resolved against the web root. The runtime calls</w:t>
      </w:r>
      <w:r>
        <w:t xml:space="preserve"> </w:t>
      </w:r>
      <w:r>
        <w:rPr>
          <w:rStyle w:val="VerbatimChar"/>
        </w:rPr>
        <w:t xml:space="preserve">os.MkdirAll</w:t>
      </w:r>
      <w:r>
        <w:t xml:space="preserve">, which creates all missing intermediate directories in the hierarchy. If the folder already exists, the call succeeds and returns a Folder object for that existing directory. Use</w:t>
      </w:r>
      <w:r>
        <w:t xml:space="preserve"> </w:t>
      </w:r>
      <w:r>
        <w:rPr>
          <w:rStyle w:val="VerbatimChar"/>
        </w:rPr>
        <w:t xml:space="preserve">Set</w:t>
      </w:r>
      <w:r>
        <w:t xml:space="preserve"> </w:t>
      </w:r>
      <w:r>
        <w:t xml:space="preserve">to capture the returned Folder object.</w:t>
      </w:r>
    </w:p>
    <w:bookmarkEnd w:id="6185"/>
    <w:bookmarkStart w:id="6186" w:name="remarks-703"/>
    <w:p>
      <w:pPr>
        <w:pStyle w:val="Heading2"/>
      </w:pPr>
      <w:r>
        <w:t xml:space="preserve">Remarks</w:t>
      </w:r>
    </w:p>
    <w:p>
      <w:pPr>
        <w:pStyle w:val="Compact"/>
        <w:numPr>
          <w:ilvl w:val="0"/>
          <w:numId w:val="2522"/>
        </w:numPr>
      </w:pPr>
      <w:r>
        <w:t xml:space="preserve">All intermediate parent directories are created automatically.</w:t>
      </w:r>
    </w:p>
    <w:p>
      <w:pPr>
        <w:pStyle w:val="Compact"/>
        <w:numPr>
          <w:ilvl w:val="0"/>
          <w:numId w:val="2522"/>
        </w:numPr>
      </w:pPr>
      <w:r>
        <w:t xml:space="preserve">If the resolved path is empty or cannot be determined, the method returns Empty without raising an error.</w:t>
      </w:r>
    </w:p>
    <w:p>
      <w:pPr>
        <w:pStyle w:val="Compact"/>
        <w:numPr>
          <w:ilvl w:val="0"/>
          <w:numId w:val="2522"/>
        </w:numPr>
      </w:pPr>
      <w:r>
        <w:t xml:space="preserve">Use</w:t>
      </w:r>
      <w:r>
        <w:t xml:space="preserve"> </w:t>
      </w:r>
      <w:r>
        <w:rPr>
          <w:rStyle w:val="VerbatimChar"/>
        </w:rPr>
        <w:t xml:space="preserve">FolderExists</w:t>
      </w:r>
      <w:r>
        <w:t xml:space="preserve"> </w:t>
      </w:r>
      <w:r>
        <w:t xml:space="preserve">first if you need to distinguish between creating a new folder and receiving an existing one.</w:t>
      </w:r>
    </w:p>
    <w:bookmarkEnd w:id="6186"/>
    <w:bookmarkStart w:id="6187" w:name="code-example-51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fldr</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ControlFlowTok"/>
        </w:rPr>
        <w:t xml:space="preserve">If</w:t>
      </w:r>
      <w:r>
        <w:rPr>
          <w:rStyle w:val="NormalTok"/>
        </w:rPr>
        <w:t xml:space="preserve"> </w:t>
      </w:r>
      <w:r>
        <w:rPr>
          <w:rStyle w:val="KeywordTok"/>
        </w:rPr>
        <w:t xml:space="preserve">Not</w:t>
      </w:r>
      <w:r>
        <w:rPr>
          <w:rStyle w:val="NormalTok"/>
        </w:rPr>
        <w:t xml:space="preserve"> fso.</w:t>
      </w:r>
      <w:r>
        <w:rPr>
          <w:rStyle w:val="FunctionTok"/>
        </w:rPr>
        <w:t xml:space="preserve">FolderExists</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"uploads/2025"</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fldr = fso.</w:t>
      </w:r>
      <w:r>
        <w:rPr>
          <w:rStyle w:val="FunctionTok"/>
        </w:rPr>
        <w:t xml:space="preserve">CreateFolder</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"uploads/2025"</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"Created: "</w:t>
      </w:r>
      <w:r>
        <w:rPr>
          <w:rStyle w:val="NormalTok"/>
        </w:rPr>
        <w:t xml:space="preserve"> </w:t>
      </w:r>
      <w:r>
        <w:rPr>
          <w:rStyle w:val="KeywordTok"/>
        </w:rPr>
        <w:t xml:space="preserve">&amp;</w:t>
      </w:r>
      <w:r>
        <w:rPr>
          <w:rStyle w:val="NormalTok"/>
        </w:rPr>
        <w:t xml:space="preserve"> fldr.Path</w:t>
      </w:r>
      <w:r>
        <w:br/>
      </w:r>
      <w:r>
        <w:rPr>
          <w:rStyle w:val="NormalTok"/>
        </w:rPr>
        <w:t xml:space="preserve">    </w:t>
      </w:r>
      <w:r>
        <w:rPr>
          <w:rStyle w:val="KeywordTok"/>
        </w:rPr>
        <w:t xml:space="preserve">Set</w:t>
      </w:r>
      <w:r>
        <w:rPr>
          <w:rStyle w:val="NormalTok"/>
        </w:rPr>
        <w:t xml:space="preserve"> fldr = </w:t>
      </w:r>
      <w:r>
        <w:rPr>
          <w:rStyle w:val="KeywordTok"/>
        </w:rPr>
        <w:t xml:space="preserve">Nothing</w:t>
      </w:r>
      <w:r>
        <w:br/>
      </w:r>
      <w:r>
        <w:rPr>
          <w:rStyle w:val="ControlFlowTok"/>
        </w:rPr>
        <w:t xml:space="preserve">End If</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187"/>
    <w:bookmarkEnd w:id="6188"/>
    <w:bookmarkStart w:id="6196" w:name="createtextfile-method"/>
    <w:p>
      <w:pPr>
        <w:pStyle w:val="Heading1"/>
      </w:pPr>
      <w:r>
        <w:t xml:space="preserve">CreateTextFile Method</w:t>
      </w:r>
    </w:p>
    <w:bookmarkStart w:id="6189" w:name="overview-662"/>
    <w:p>
      <w:pPr>
        <w:pStyle w:val="Heading2"/>
      </w:pPr>
      <w:r>
        <w:t xml:space="preserve">Overview</w:t>
      </w:r>
    </w:p>
    <w:p>
      <w:pPr>
        <w:pStyle w:val="FirstParagraph"/>
      </w:pPr>
      <w:r>
        <w:t xml:space="preserve">Creates a new text file on disk and returns a TextStream object opened for writing.</w:t>
      </w:r>
    </w:p>
    <w:bookmarkEnd w:id="6189"/>
    <w:bookmarkStart w:id="6190" w:name="syntax-725"/>
    <w:p>
      <w:pPr>
        <w:pStyle w:val="Heading2"/>
      </w:pPr>
      <w:r>
        <w:t xml:space="preserve">Syntax</w:t>
      </w:r>
    </w:p>
    <w:p>
      <w:pPr>
        <w:pStyle w:val="SourceCode"/>
      </w:pPr>
      <w:r>
        <w:rPr>
          <w:rStyle w:val="NormalTok"/>
        </w:rPr>
        <w:t xml:space="preserve">Set ts = fso.CreateTextFile(filename [, overwrite])</w:t>
      </w:r>
    </w:p>
    <w:bookmarkEnd w:id="6190"/>
    <w:bookmarkStart w:id="6191" w:name="parameters-34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filename</w:t>
            </w:r>
          </w:p>
        </w:tc>
        <w:tc>
          <w:tcPr/>
          <w:p>
            <w:pPr>
              <w:pStyle w:val="Compact"/>
            </w:pPr>
            <w:r>
              <w:t xml:space="preserve">String</w:t>
            </w:r>
          </w:p>
        </w:tc>
        <w:tc>
          <w:tcPr/>
          <w:p>
            <w:pPr>
              <w:pStyle w:val="Compact"/>
            </w:pPr>
            <w:r>
              <w:t xml:space="preserve">Yes</w:t>
            </w:r>
          </w:p>
        </w:tc>
        <w:tc>
          <w:tcPr/>
          <w:p>
            <w:pPr>
              <w:pStyle w:val="Compact"/>
            </w:pPr>
            <w:r>
              <w:t xml:space="preserve">The full path of the file to create.</w:t>
            </w:r>
          </w:p>
        </w:tc>
      </w:tr>
      <w:tr>
        <w:tc>
          <w:tcPr/>
          <w:p>
            <w:pPr>
              <w:pStyle w:val="Compact"/>
            </w:pPr>
            <w:r>
              <w:t xml:space="preserve">overwrite</w:t>
            </w:r>
          </w:p>
        </w:tc>
        <w:tc>
          <w:tcPr/>
          <w:p>
            <w:pPr>
              <w:pStyle w:val="Compact"/>
            </w:pPr>
            <w:r>
              <w:t xml:space="preserve">Boolean</w:t>
            </w:r>
          </w:p>
        </w:tc>
        <w:tc>
          <w:tcPr/>
          <w:p>
            <w:pPr>
              <w:pStyle w:val="Compact"/>
            </w:pPr>
            <w:r>
              <w:t xml:space="preserve">No</w:t>
            </w:r>
          </w:p>
        </w:tc>
        <w:tc>
          <w:tcPr/>
          <w:p>
            <w:pPr>
              <w:pStyle w:val="Compact"/>
            </w:pPr>
            <w:r>
              <w:t xml:space="preserve">Set to True (default) to truncate and overwrite an existing file. Set to False to fail if the file already exists.</w:t>
            </w:r>
          </w:p>
        </w:tc>
      </w:tr>
    </w:tbl>
    <w:bookmarkEnd w:id="6191"/>
    <w:bookmarkStart w:id="6192" w:name="return-value-408"/>
    <w:p>
      <w:pPr>
        <w:pStyle w:val="Heading2"/>
      </w:pPr>
      <w:r>
        <w:t xml:space="preserve">Return Value</w:t>
      </w:r>
    </w:p>
    <w:p>
      <w:pPr>
        <w:pStyle w:val="FirstParagraph"/>
      </w:pPr>
      <w:r>
        <w:t xml:space="preserve">Returns a</w:t>
      </w:r>
      <w:r>
        <w:t xml:space="preserve"> </w:t>
      </w:r>
      <w:r>
        <w:rPr>
          <w:b/>
          <w:bCs/>
        </w:rPr>
        <w:t xml:space="preserve">TextStream</w:t>
      </w:r>
      <w:r>
        <w:t xml:space="preserve"> </w:t>
      </w:r>
      <w:r>
        <w:t xml:space="preserve">object opened for writing (mode 2). Returns</w:t>
      </w:r>
      <w:r>
        <w:t xml:space="preserve"> </w:t>
      </w:r>
      <w:r>
        <w:rPr>
          <w:b/>
          <w:bCs/>
        </w:rPr>
        <w:t xml:space="preserve">Empty</w:t>
      </w:r>
      <w:r>
        <w:t xml:space="preserve"> </w:t>
      </w:r>
      <w:r>
        <w:t xml:space="preserve">if the path cannot be resolved, if</w:t>
      </w:r>
      <w:r>
        <w:t xml:space="preserve"> </w:t>
      </w:r>
      <w:r>
        <w:rPr>
          <w:rStyle w:val="VerbatimChar"/>
        </w:rPr>
        <w:t xml:space="preserve">overwrite</w:t>
      </w:r>
      <w:r>
        <w:t xml:space="preserve"> </w:t>
      </w:r>
      <w:r>
        <w:t xml:space="preserve">is False and the file already exists, or if the OS rejects the file creation.</w:t>
      </w:r>
    </w:p>
    <w:bookmarkEnd w:id="6192"/>
    <w:bookmarkStart w:id="6193" w:name="how-it-works-69"/>
    <w:p>
      <w:pPr>
        <w:pStyle w:val="Heading2"/>
      </w:pPr>
      <w:r>
        <w:t xml:space="preserve">How It Works</w:t>
      </w:r>
    </w:p>
    <w:p>
      <w:pPr>
        <w:pStyle w:val="FirstParagraph"/>
      </w:pPr>
      <w:r>
        <w:t xml:space="preserve">The path is resolved against the web root. The runtime opens the file with</w:t>
      </w:r>
      <w:r>
        <w:t xml:space="preserve"> </w:t>
      </w:r>
      <w:r>
        <w:rPr>
          <w:rStyle w:val="VerbatimChar"/>
        </w:rPr>
        <w:t xml:space="preserve">O_CREATE | O_WRONLY</w:t>
      </w:r>
      <w:r>
        <w:t xml:space="preserve">. When</w:t>
      </w:r>
      <w:r>
        <w:t xml:space="preserve"> </w:t>
      </w:r>
      <w:r>
        <w:rPr>
          <w:rStyle w:val="VerbatimChar"/>
        </w:rPr>
        <w:t xml:space="preserve">overwrite</w:t>
      </w:r>
      <w:r>
        <w:t xml:space="preserve"> </w:t>
      </w:r>
      <w:r>
        <w:t xml:space="preserve">is True,</w:t>
      </w:r>
      <w:r>
        <w:t xml:space="preserve"> </w:t>
      </w:r>
      <w:r>
        <w:rPr>
          <w:rStyle w:val="VerbatimChar"/>
        </w:rPr>
        <w:t xml:space="preserve">O_TRUNC</w:t>
      </w:r>
      <w:r>
        <w:t xml:space="preserve"> </w:t>
      </w:r>
      <w:r>
        <w:t xml:space="preserve">is added to clear any existing content. When</w:t>
      </w:r>
      <w:r>
        <w:t xml:space="preserve"> </w:t>
      </w:r>
      <w:r>
        <w:rPr>
          <w:rStyle w:val="VerbatimChar"/>
        </w:rPr>
        <w:t xml:space="preserve">overwrite</w:t>
      </w:r>
      <w:r>
        <w:t xml:space="preserve"> </w:t>
      </w:r>
      <w:r>
        <w:t xml:space="preserve">is False,</w:t>
      </w:r>
      <w:r>
        <w:t xml:space="preserve"> </w:t>
      </w:r>
      <w:r>
        <w:rPr>
          <w:rStyle w:val="VerbatimChar"/>
        </w:rPr>
        <w:t xml:space="preserve">O_EXCL</w:t>
      </w:r>
      <w:r>
        <w:t xml:space="preserve"> </w:t>
      </w:r>
      <w:r>
        <w:t xml:space="preserve">is added so the open call fails if the file exists. The resulting TextStream starts at position line 1, column 1.</w:t>
      </w:r>
    </w:p>
    <w:bookmarkEnd w:id="6193"/>
    <w:bookmarkStart w:id="6194" w:name="remarks-704"/>
    <w:p>
      <w:pPr>
        <w:pStyle w:val="Heading2"/>
      </w:pPr>
      <w:r>
        <w:t xml:space="preserve">Remarks</w:t>
      </w:r>
    </w:p>
    <w:p>
      <w:pPr>
        <w:pStyle w:val="Compact"/>
        <w:numPr>
          <w:ilvl w:val="0"/>
          <w:numId w:val="2523"/>
        </w:numPr>
      </w:pPr>
      <w:r>
        <w:t xml:space="preserve">The returned TextStream is write-only. Calling read methods on it returns Empty or empty String.</w:t>
      </w:r>
    </w:p>
    <w:p>
      <w:pPr>
        <w:pStyle w:val="Compact"/>
        <w:numPr>
          <w:ilvl w:val="0"/>
          <w:numId w:val="2523"/>
        </w:numPr>
      </w:pPr>
      <w:r>
        <w:t xml:space="preserve">Always call</w:t>
      </w:r>
      <w:r>
        <w:t xml:space="preserve"> </w:t>
      </w:r>
      <w:r>
        <w:rPr>
          <w:rStyle w:val="VerbatimChar"/>
        </w:rPr>
        <w:t xml:space="preserve">ts.Close</w:t>
      </w:r>
      <w:r>
        <w:t xml:space="preserve"> </w:t>
      </w:r>
      <w:r>
        <w:t xml:space="preserve">and then</w:t>
      </w:r>
      <w:r>
        <w:t xml:space="preserve"> </w:t>
      </w:r>
      <w:r>
        <w:rPr>
          <w:rStyle w:val="VerbatimChar"/>
        </w:rPr>
        <w:t xml:space="preserve">Set ts = Nothing</w:t>
      </w:r>
      <w:r>
        <w:t xml:space="preserve"> </w:t>
      </w:r>
      <w:r>
        <w:t xml:space="preserve">when you are finished writing.</w:t>
      </w:r>
    </w:p>
    <w:p>
      <w:pPr>
        <w:pStyle w:val="Compact"/>
        <w:numPr>
          <w:ilvl w:val="0"/>
          <w:numId w:val="2523"/>
        </w:numPr>
      </w:pPr>
      <w:r>
        <w:t xml:space="preserve">If the parent directory does not exist, file creation fails and the method returns Empty.</w:t>
      </w:r>
    </w:p>
    <w:bookmarkEnd w:id="6194"/>
    <w:bookmarkStart w:id="6195" w:name="code-example-51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ts</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KeywordTok"/>
        </w:rPr>
        <w:t xml:space="preserve">Set</w:t>
      </w:r>
      <w:r>
        <w:rPr>
          <w:rStyle w:val="NormalTok"/>
        </w:rPr>
        <w:t xml:space="preserve"> ts = fso.</w:t>
      </w:r>
      <w:r>
        <w:rPr>
          <w:rStyle w:val="FunctionTok"/>
        </w:rPr>
        <w:t xml:space="preserve">CreateTextFile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"output/log.txt"</w:t>
      </w:r>
      <w:r>
        <w:rPr>
          <w:rStyle w:val="OtherTok"/>
        </w:rPr>
        <w:t xml:space="preserve">),</w:t>
      </w:r>
      <w:r>
        <w:rPr>
          <w:rStyle w:val="NormalTok"/>
        </w:rPr>
        <w:t xml:space="preserve"> </w:t>
      </w:r>
      <w:r>
        <w:rPr>
          <w:rStyle w:val="KeywordTok"/>
        </w:rPr>
        <w:t xml:space="preserve">True</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ts</w:t>
      </w:r>
      <w:r>
        <w:rPr>
          <w:rStyle w:val="OtherTok"/>
        </w:rPr>
        <w:t xml:space="preserve">)</w:t>
      </w:r>
      <w:r>
        <w:rPr>
          <w:rStyle w:val="NormalTok"/>
        </w:rPr>
        <w:t xml:space="preserve"> </w:t>
      </w:r>
      <w:r>
        <w:rPr>
          <w:rStyle w:val="KeywordTok"/>
        </w:rPr>
        <w:t xml:space="preserve">And</w:t>
      </w:r>
      <w:r>
        <w:rPr>
          <w:rStyle w:val="NormalTok"/>
        </w:rPr>
        <w:t xml:space="preserve"> </w:t>
      </w:r>
      <w:r>
        <w:rPr>
          <w:rStyle w:val="KeywordTok"/>
        </w:rPr>
        <w:t xml:space="preserve">Not</w:t>
      </w:r>
      <w:r>
        <w:rPr>
          <w:rStyle w:val="NormalTok"/>
        </w:rPr>
        <w:t xml:space="preserve"> </w:t>
      </w:r>
      <w:r>
        <w:rPr>
          <w:rStyle w:val="FunctionTok"/>
        </w:rPr>
        <w:t xml:space="preserve">IsEmpty</w:t>
      </w:r>
      <w:r>
        <w:rPr>
          <w:rStyle w:val="OtherTok"/>
        </w:rPr>
        <w:t xml:space="preserve">(</w:t>
      </w:r>
      <w:r>
        <w:rPr>
          <w:rStyle w:val="NormalTok"/>
        </w:rPr>
        <w:t xml:space="preserve">ts</w:t>
      </w:r>
      <w:r>
        <w:rPr>
          <w:rStyle w:val="OtherTok"/>
        </w:rPr>
        <w:t xml:space="preserve">)</w:t>
      </w:r>
      <w:r>
        <w:rPr>
          <w:rStyle w:val="NormalTok"/>
        </w:rPr>
        <w:t xml:space="preserve"> </w:t>
      </w:r>
      <w:r>
        <w:rPr>
          <w:rStyle w:val="ControlFlowTok"/>
        </w:rPr>
        <w:t xml:space="preserve">Then</w:t>
      </w:r>
      <w:r>
        <w:br/>
      </w:r>
      <w:r>
        <w:rPr>
          <w:rStyle w:val="NormalTok"/>
        </w:rPr>
        <w:t xml:space="preserve">    ts.</w:t>
      </w:r>
      <w:r>
        <w:rPr>
          <w:rStyle w:val="FunctionTok"/>
        </w:rPr>
        <w:t xml:space="preserve">WriteLine</w:t>
      </w:r>
      <w:r>
        <w:rPr>
          <w:rStyle w:val="NormalTok"/>
        </w:rPr>
        <w:t xml:space="preserve"> </w:t>
      </w:r>
      <w:r>
        <w:rPr>
          <w:rStyle w:val="StringTok"/>
        </w:rPr>
        <w:t xml:space="preserve">"Log started: "</w:t>
      </w:r>
      <w:r>
        <w:rPr>
          <w:rStyle w:val="NormalTok"/>
        </w:rPr>
        <w:t xml:space="preserve"> </w:t>
      </w:r>
      <w:r>
        <w:rPr>
          <w:rStyle w:val="KeywordTok"/>
        </w:rPr>
        <w:t xml:space="preserve">&amp;</w:t>
      </w:r>
      <w:r>
        <w:rPr>
          <w:rStyle w:val="NormalTok"/>
        </w:rPr>
        <w:t xml:space="preserve"> </w:t>
      </w:r>
      <w:r>
        <w:rPr>
          <w:rStyle w:val="FunctionTok"/>
        </w:rPr>
        <w:t xml:space="preserve">Now</w:t>
      </w:r>
      <w:r>
        <w:br/>
      </w:r>
      <w:r>
        <w:rPr>
          <w:rStyle w:val="NormalTok"/>
        </w:rPr>
        <w:t xml:space="preserve">    ts.</w:t>
      </w:r>
      <w:r>
        <w:rPr>
          <w:rStyle w:val="KeywordTok"/>
        </w:rPr>
        <w:t xml:space="preserve">Close</w:t>
      </w:r>
      <w:r>
        <w:br/>
      </w:r>
      <w:r>
        <w:rPr>
          <w:rStyle w:val="NormalTok"/>
        </w:rPr>
        <w:t xml:space="preserve">    </w:t>
      </w:r>
      <w:r>
        <w:rPr>
          <w:rStyle w:val="KeywordTok"/>
        </w:rPr>
        <w:t xml:space="preserve">Set</w:t>
      </w:r>
      <w:r>
        <w:rPr>
          <w:rStyle w:val="NormalTok"/>
        </w:rPr>
        <w:t xml:space="preserve"> ts = </w:t>
      </w:r>
      <w:r>
        <w:rPr>
          <w:rStyle w:val="KeywordTok"/>
        </w:rPr>
        <w:t xml:space="preserve">Nothing</w:t>
      </w:r>
      <w:r>
        <w:br/>
      </w:r>
      <w:r>
        <w:rPr>
          <w:rStyle w:val="ControlFlowTok"/>
        </w:rPr>
        <w:t xml:space="preserve">End If</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195"/>
    <w:bookmarkEnd w:id="6196"/>
    <w:bookmarkStart w:id="6205" w:name="deletefile-method"/>
    <w:p>
      <w:pPr>
        <w:pStyle w:val="Heading1"/>
      </w:pPr>
      <w:r>
        <w:t xml:space="preserve">DeleteFile Method</w:t>
      </w:r>
    </w:p>
    <w:bookmarkStart w:id="6197" w:name="overview-663"/>
    <w:p>
      <w:pPr>
        <w:pStyle w:val="Heading2"/>
      </w:pPr>
      <w:r>
        <w:t xml:space="preserve">Overview</w:t>
      </w:r>
    </w:p>
    <w:p>
      <w:pPr>
        <w:pStyle w:val="FirstParagraph"/>
      </w:pPr>
      <w:r>
        <w:t xml:space="preserve">Deletes the specified file from disk.</w:t>
      </w:r>
    </w:p>
    <w:bookmarkEnd w:id="6197"/>
    <w:bookmarkStart w:id="6198" w:name="syntax-726"/>
    <w:p>
      <w:pPr>
        <w:pStyle w:val="Heading2"/>
      </w:pPr>
      <w:r>
        <w:t xml:space="preserve">Syntax</w:t>
      </w:r>
    </w:p>
    <w:p>
      <w:pPr>
        <w:pStyle w:val="SourceCode"/>
      </w:pPr>
      <w:r>
        <w:rPr>
          <w:rStyle w:val="NormalTok"/>
        </w:rPr>
        <w:t xml:space="preserve">fso.DeleteFile filespec</w:t>
      </w:r>
    </w:p>
    <w:bookmarkEnd w:id="6198"/>
    <w:bookmarkStart w:id="6199" w:name="parameters-34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filespec</w:t>
            </w:r>
          </w:p>
        </w:tc>
        <w:tc>
          <w:tcPr/>
          <w:p>
            <w:pPr>
              <w:pStyle w:val="Compact"/>
            </w:pPr>
            <w:r>
              <w:t xml:space="preserve">String</w:t>
            </w:r>
          </w:p>
        </w:tc>
        <w:tc>
          <w:tcPr/>
          <w:p>
            <w:pPr>
              <w:pStyle w:val="Compact"/>
            </w:pPr>
            <w:r>
              <w:t xml:space="preserve">Yes</w:t>
            </w:r>
          </w:p>
        </w:tc>
        <w:tc>
          <w:tcPr/>
          <w:p>
            <w:pPr>
              <w:pStyle w:val="Compact"/>
            </w:pPr>
            <w:r>
              <w:t xml:space="preserve">The full path to the file to delete.</w:t>
            </w:r>
          </w:p>
        </w:tc>
      </w:tr>
    </w:tbl>
    <w:bookmarkEnd w:id="6199"/>
    <w:bookmarkStart w:id="6200" w:name="return-value-409"/>
    <w:p>
      <w:pPr>
        <w:pStyle w:val="Heading2"/>
      </w:pPr>
      <w:r>
        <w:t xml:space="preserve">Return Value</w:t>
      </w:r>
    </w:p>
    <w:p>
      <w:pPr>
        <w:pStyle w:val="FirstParagraph"/>
      </w:pPr>
      <w:r>
        <w:t xml:space="preserve">Returns</w:t>
      </w:r>
      <w:r>
        <w:t xml:space="preserve"> </w:t>
      </w:r>
      <w:r>
        <w:rPr>
          <w:b/>
          <w:bCs/>
        </w:rPr>
        <w:t xml:space="preserve">Empty</w:t>
      </w:r>
      <w:r>
        <w:t xml:space="preserve">. The method does not return a value.</w:t>
      </w:r>
    </w:p>
    <w:bookmarkEnd w:id="6200"/>
    <w:bookmarkStart w:id="6201" w:name="how-it-works-70"/>
    <w:p>
      <w:pPr>
        <w:pStyle w:val="Heading2"/>
      </w:pPr>
      <w:r>
        <w:t xml:space="preserve">How It Works</w:t>
      </w:r>
    </w:p>
    <w:p>
      <w:pPr>
        <w:pStyle w:val="FirstParagraph"/>
      </w:pPr>
      <w:r>
        <w:t xml:space="preserve">The path is resolved against the web root. If the path resolves to an existing file, the runtime removes it. If the target is a directory instead of a file, the runtime raises VBScript error 53 (File not found). Any open TextStream handles rooted at the same path are closed and released before the delete is attempted.</w:t>
      </w:r>
    </w:p>
    <w:bookmarkEnd w:id="6201"/>
    <w:bookmarkStart w:id="6202" w:name="error-conditions"/>
    <w:p>
      <w:pPr>
        <w:pStyle w:val="Heading2"/>
      </w:pPr>
      <w:r>
        <w:t xml:space="preserve">Error Conditions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Condition</w:t>
            </w:r>
          </w:p>
        </w:tc>
        <w:tc>
          <w:tcPr/>
          <w:p>
            <w:pPr>
              <w:pStyle w:val="Compact"/>
            </w:pPr>
            <w:r>
              <w:t xml:space="preserve">VBScript Error</w:t>
            </w:r>
          </w:p>
        </w:tc>
      </w:tr>
      <w:tr>
        <w:tc>
          <w:tcPr/>
          <w:p>
            <w:pPr>
              <w:pStyle w:val="Compact"/>
            </w:pPr>
            <w:r>
              <w:t xml:space="preserve">File does not exist</w:t>
            </w:r>
          </w:p>
        </w:tc>
        <w:tc>
          <w:tcPr/>
          <w:p>
            <w:pPr>
              <w:pStyle w:val="Compact"/>
            </w:pPr>
            <w:r>
              <w:t xml:space="preserve">53 — File not found</w:t>
            </w:r>
          </w:p>
        </w:tc>
      </w:tr>
      <w:tr>
        <w:tc>
          <w:tcPr/>
          <w:p>
            <w:pPr>
              <w:pStyle w:val="Compact"/>
            </w:pPr>
            <w:r>
              <w:t xml:space="preserve">Target is a directory</w:t>
            </w:r>
          </w:p>
        </w:tc>
        <w:tc>
          <w:tcPr/>
          <w:p>
            <w:pPr>
              <w:pStyle w:val="Compact"/>
            </w:pPr>
            <w:r>
              <w:t xml:space="preserve">53 — File not found</w:t>
            </w:r>
          </w:p>
        </w:tc>
      </w:tr>
      <w:tr>
        <w:tc>
          <w:tcPr/>
          <w:p>
            <w:pPr>
              <w:pStyle w:val="Compact"/>
            </w:pPr>
            <w:r>
              <w:t xml:space="preserve">Access denied by the OS</w:t>
            </w:r>
          </w:p>
        </w:tc>
        <w:tc>
          <w:tcPr/>
          <w:p>
            <w:pPr>
              <w:pStyle w:val="Compact"/>
            </w:pPr>
            <w:r>
              <w:t xml:space="preserve">70 — Permission denied</w:t>
            </w:r>
          </w:p>
        </w:tc>
      </w:tr>
    </w:tbl>
    <w:bookmarkEnd w:id="6202"/>
    <w:bookmarkStart w:id="6203" w:name="remarks-705"/>
    <w:p>
      <w:pPr>
        <w:pStyle w:val="Heading2"/>
      </w:pPr>
      <w:r>
        <w:t xml:space="preserve">Remarks</w:t>
      </w:r>
    </w:p>
    <w:p>
      <w:pPr>
        <w:pStyle w:val="Compact"/>
        <w:numPr>
          <w:ilvl w:val="0"/>
          <w:numId w:val="2524"/>
        </w:numPr>
      </w:pPr>
      <w:r>
        <w:t xml:space="preserve">Use</w:t>
      </w:r>
      <w:r>
        <w:t xml:space="preserve"> </w:t>
      </w:r>
      <w:r>
        <w:rPr>
          <w:rStyle w:val="VerbatimChar"/>
        </w:rPr>
        <w:t xml:space="preserve">FileExists</w:t>
      </w:r>
      <w:r>
        <w:t xml:space="preserve"> </w:t>
      </w:r>
      <w:r>
        <w:t xml:space="preserve">before calling</w:t>
      </w:r>
      <w:r>
        <w:t xml:space="preserve"> </w:t>
      </w:r>
      <w:r>
        <w:rPr>
          <w:rStyle w:val="VerbatimChar"/>
        </w:rPr>
        <w:t xml:space="preserve">DeleteFile</w:t>
      </w:r>
      <w:r>
        <w:t xml:space="preserve"> </w:t>
      </w:r>
      <w:r>
        <w:t xml:space="preserve">if you want to avoid raising an error when the file may not exist.</w:t>
      </w:r>
    </w:p>
    <w:p>
      <w:pPr>
        <w:pStyle w:val="Compact"/>
        <w:numPr>
          <w:ilvl w:val="0"/>
          <w:numId w:val="2524"/>
        </w:numPr>
      </w:pPr>
      <w:r>
        <w:t xml:space="preserve">Use</w:t>
      </w:r>
      <w:r>
        <w:t xml:space="preserve"> </w:t>
      </w:r>
      <w:r>
        <w:rPr>
          <w:rStyle w:val="VerbatimChar"/>
        </w:rPr>
        <w:t xml:space="preserve">On Error Resume Next</w:t>
      </w:r>
      <w:r>
        <w:t xml:space="preserve"> </w:t>
      </w:r>
      <w:r>
        <w:t xml:space="preserve">to handle deletion failures gracefully.</w:t>
      </w:r>
    </w:p>
    <w:bookmarkEnd w:id="6203"/>
    <w:bookmarkStart w:id="6204" w:name="code-example-51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filePath</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filePath = </w:t>
      </w:r>
      <w:r>
        <w:rPr>
          <w:rStyle w:val="FunctionTok"/>
        </w:rPr>
        <w:t xml:space="preserve">Server</w:t>
      </w:r>
      <w:r>
        <w:rPr>
          <w:rStyle w:val="NormalTok"/>
        </w:rPr>
        <w:t xml:space="preserve">.MapPath</w:t>
      </w:r>
      <w:r>
        <w:rPr>
          <w:rStyle w:val="OtherTok"/>
        </w:rPr>
        <w:t xml:space="preserve">(</w:t>
      </w:r>
      <w:r>
        <w:rPr>
          <w:rStyle w:val="StringTok"/>
        </w:rPr>
        <w:t xml:space="preserve">"temp/cache.tmp"</w:t>
      </w:r>
      <w:r>
        <w:rPr>
          <w:rStyle w:val="OtherTok"/>
        </w:rPr>
        <w:t xml:space="preserve">)</w:t>
      </w:r>
      <w:r>
        <w:br/>
      </w:r>
      <w:r>
        <w:rPr>
          <w:rStyle w:val="ControlFlowTok"/>
        </w:rPr>
        <w:t xml:space="preserve">If</w:t>
      </w:r>
      <w:r>
        <w:rPr>
          <w:rStyle w:val="NormalTok"/>
        </w:rPr>
        <w:t xml:space="preserve"> fso.</w:t>
      </w:r>
      <w:r>
        <w:rPr>
          <w:rStyle w:val="FunctionTok"/>
        </w:rPr>
        <w:t xml:space="preserve">FileExists</w:t>
      </w:r>
      <w:r>
        <w:rPr>
          <w:rStyle w:val="OtherTok"/>
        </w:rPr>
        <w:t xml:space="preserve">(</w:t>
      </w:r>
      <w:r>
        <w:rPr>
          <w:rStyle w:val="NormalTok"/>
        </w:rPr>
        <w:t xml:space="preserve">filePath</w:t>
      </w:r>
      <w:r>
        <w:rPr>
          <w:rStyle w:val="OtherTok"/>
        </w:rPr>
        <w:t xml:space="preserve">)</w:t>
      </w:r>
      <w:r>
        <w:rPr>
          <w:rStyle w:val="NormalTok"/>
        </w:rPr>
        <w:t xml:space="preserve"> </w:t>
      </w:r>
      <w:r>
        <w:rPr>
          <w:rStyle w:val="ControlFlowTok"/>
        </w:rPr>
        <w:t xml:space="preserve">Then</w:t>
      </w:r>
      <w:r>
        <w:br/>
      </w:r>
      <w:r>
        <w:rPr>
          <w:rStyle w:val="NormalTok"/>
        </w:rPr>
        <w:t xml:space="preserve">    On Error Resume </w:t>
      </w:r>
      <w:r>
        <w:rPr>
          <w:rStyle w:val="ControlFlowTok"/>
        </w:rPr>
        <w:t xml:space="preserve">Next</w:t>
      </w:r>
      <w:r>
        <w:br/>
      </w:r>
      <w:r>
        <w:rPr>
          <w:rStyle w:val="NormalTok"/>
        </w:rPr>
        <w:t xml:space="preserve">    fso.</w:t>
      </w:r>
      <w:r>
        <w:rPr>
          <w:rStyle w:val="FunctionTok"/>
        </w:rPr>
        <w:t xml:space="preserve">DeleteFile</w:t>
      </w:r>
      <w:r>
        <w:rPr>
          <w:rStyle w:val="NormalTok"/>
        </w:rPr>
        <w:t xml:space="preserve"> filePath</w:t>
      </w:r>
      <w:r>
        <w:br/>
      </w:r>
      <w:r>
        <w:rPr>
          <w:rStyle w:val="NormalTok"/>
        </w:rPr>
        <w:t xml:space="preserve">    </w:t>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"Delete failed: "</w:t>
      </w:r>
      <w:r>
        <w:rPr>
          <w:rStyle w:val="NormalTok"/>
        </w:rPr>
        <w:t xml:space="preserve"> </w:t>
      </w:r>
      <w:r>
        <w:rPr>
          <w:rStyle w:val="KeywordTok"/>
        </w:rPr>
        <w:t xml:space="preserve">&amp;</w:t>
      </w:r>
      <w:r>
        <w:rPr>
          <w:rStyle w:val="NormalTok"/>
        </w:rPr>
        <w:t xml:space="preserve"> Err.Description</w:t>
      </w:r>
      <w:r>
        <w:br/>
      </w:r>
      <w:r>
        <w:rPr>
          <w:rStyle w:val="NormalTok"/>
        </w:rPr>
        <w:t xml:space="preserve">    </w:t>
      </w:r>
      <w:r>
        <w:rPr>
          <w:rStyle w:val="ControlFlowTok"/>
        </w:rPr>
        <w:t xml:space="preserve">End If</w:t>
      </w:r>
      <w:r>
        <w:br/>
      </w:r>
      <w:r>
        <w:rPr>
          <w:rStyle w:val="NormalTok"/>
        </w:rPr>
        <w:t xml:space="preserve">    On Error GoTo </w:t>
      </w:r>
      <w:r>
        <w:rPr>
          <w:rStyle w:val="DecValTok"/>
        </w:rPr>
        <w:t xml:space="preserve">0</w:t>
      </w:r>
      <w:r>
        <w:br/>
      </w:r>
      <w:r>
        <w:rPr>
          <w:rStyle w:val="ControlFlowTok"/>
        </w:rPr>
        <w:t xml:space="preserve">End If</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04"/>
    <w:bookmarkEnd w:id="6205"/>
    <w:bookmarkStart w:id="6214" w:name="deletefolder-method"/>
    <w:p>
      <w:pPr>
        <w:pStyle w:val="Heading1"/>
      </w:pPr>
      <w:r>
        <w:t xml:space="preserve">DeleteFolder Method</w:t>
      </w:r>
    </w:p>
    <w:bookmarkStart w:id="6206" w:name="overview-664"/>
    <w:p>
      <w:pPr>
        <w:pStyle w:val="Heading2"/>
      </w:pPr>
      <w:r>
        <w:t xml:space="preserve">Overview</w:t>
      </w:r>
    </w:p>
    <w:p>
      <w:pPr>
        <w:pStyle w:val="FirstParagraph"/>
      </w:pPr>
      <w:r>
        <w:t xml:space="preserve">Deletes the specified folder and all of its contents from disk.</w:t>
      </w:r>
    </w:p>
    <w:bookmarkEnd w:id="6206"/>
    <w:bookmarkStart w:id="6207" w:name="syntax-727"/>
    <w:p>
      <w:pPr>
        <w:pStyle w:val="Heading2"/>
      </w:pPr>
      <w:r>
        <w:t xml:space="preserve">Syntax</w:t>
      </w:r>
    </w:p>
    <w:p>
      <w:pPr>
        <w:pStyle w:val="SourceCode"/>
      </w:pPr>
      <w:r>
        <w:rPr>
          <w:rStyle w:val="NormalTok"/>
        </w:rPr>
        <w:t xml:space="preserve">fso.DeleteFolder folderspec</w:t>
      </w:r>
    </w:p>
    <w:bookmarkEnd w:id="6207"/>
    <w:bookmarkStart w:id="6208" w:name="parameters-34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folderspec</w:t>
            </w:r>
          </w:p>
        </w:tc>
        <w:tc>
          <w:tcPr/>
          <w:p>
            <w:pPr>
              <w:pStyle w:val="Compact"/>
            </w:pPr>
            <w:r>
              <w:t xml:space="preserve">String</w:t>
            </w:r>
          </w:p>
        </w:tc>
        <w:tc>
          <w:tcPr/>
          <w:p>
            <w:pPr>
              <w:pStyle w:val="Compact"/>
            </w:pPr>
            <w:r>
              <w:t xml:space="preserve">Yes</w:t>
            </w:r>
          </w:p>
        </w:tc>
        <w:tc>
          <w:tcPr/>
          <w:p>
            <w:pPr>
              <w:pStyle w:val="Compact"/>
            </w:pPr>
            <w:r>
              <w:t xml:space="preserve">The full path to the folder to delete.</w:t>
            </w:r>
          </w:p>
        </w:tc>
      </w:tr>
    </w:tbl>
    <w:bookmarkEnd w:id="6208"/>
    <w:bookmarkStart w:id="6209" w:name="return-value-410"/>
    <w:p>
      <w:pPr>
        <w:pStyle w:val="Heading2"/>
      </w:pPr>
      <w:r>
        <w:t xml:space="preserve">Return Value</w:t>
      </w:r>
    </w:p>
    <w:p>
      <w:pPr>
        <w:pStyle w:val="FirstParagraph"/>
      </w:pPr>
      <w:r>
        <w:t xml:space="preserve">Returns</w:t>
      </w:r>
      <w:r>
        <w:t xml:space="preserve"> </w:t>
      </w:r>
      <w:r>
        <w:rPr>
          <w:b/>
          <w:bCs/>
        </w:rPr>
        <w:t xml:space="preserve">Empty</w:t>
      </w:r>
      <w:r>
        <w:t xml:space="preserve">. The method does not return a value.</w:t>
      </w:r>
    </w:p>
    <w:bookmarkEnd w:id="6209"/>
    <w:bookmarkStart w:id="6210" w:name="how-it-works-71"/>
    <w:p>
      <w:pPr>
        <w:pStyle w:val="Heading2"/>
      </w:pPr>
      <w:r>
        <w:t xml:space="preserve">How It Works</w:t>
      </w:r>
    </w:p>
    <w:p>
      <w:pPr>
        <w:pStyle w:val="FirstParagraph"/>
      </w:pPr>
      <w:r>
        <w:t xml:space="preserve">The path is resolved against the web root. The runtime first releases any open FSO handles (TextStream, File, or Folder objects) that point to paths within the target directory. It then sets file permissions to writable on all contained entries and removes the directory tree recursively. On Windows, the delete is retried up to five times with a short delay to absorb transient sharing locks.</w:t>
      </w:r>
    </w:p>
    <w:bookmarkEnd w:id="6210"/>
    <w:bookmarkStart w:id="6211" w:name="error-conditions-1"/>
    <w:p>
      <w:pPr>
        <w:pStyle w:val="Heading2"/>
      </w:pPr>
      <w:r>
        <w:t xml:space="preserve">Error Conditions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Condition</w:t>
            </w:r>
          </w:p>
        </w:tc>
        <w:tc>
          <w:tcPr/>
          <w:p>
            <w:pPr>
              <w:pStyle w:val="Compact"/>
            </w:pPr>
            <w:r>
              <w:t xml:space="preserve">VBScript Error</w:t>
            </w:r>
          </w:p>
        </w:tc>
      </w:tr>
      <w:tr>
        <w:tc>
          <w:tcPr/>
          <w:p>
            <w:pPr>
              <w:pStyle w:val="Compact"/>
            </w:pPr>
            <w:r>
              <w:t xml:space="preserve">Folder does not exist</w:t>
            </w:r>
          </w:p>
        </w:tc>
        <w:tc>
          <w:tcPr/>
          <w:p>
            <w:pPr>
              <w:pStyle w:val="Compact"/>
            </w:pPr>
            <w:r>
              <w:t xml:space="preserve">76 — Path not found</w:t>
            </w:r>
          </w:p>
        </w:tc>
      </w:tr>
      <w:tr>
        <w:tc>
          <w:tcPr/>
          <w:p>
            <w:pPr>
              <w:pStyle w:val="Compact"/>
            </w:pPr>
            <w:r>
              <w:t xml:space="preserve">Path resolves to a file</w:t>
            </w:r>
          </w:p>
        </w:tc>
        <w:tc>
          <w:tcPr/>
          <w:p>
            <w:pPr>
              <w:pStyle w:val="Compact"/>
            </w:pPr>
            <w:r>
              <w:t xml:space="preserve">76 — Path not found</w:t>
            </w:r>
          </w:p>
        </w:tc>
      </w:tr>
      <w:tr>
        <w:tc>
          <w:tcPr/>
          <w:p>
            <w:pPr>
              <w:pStyle w:val="Compact"/>
            </w:pPr>
            <w:r>
              <w:t xml:space="preserve">Access denied by the OS</w:t>
            </w:r>
          </w:p>
        </w:tc>
        <w:tc>
          <w:tcPr/>
          <w:p>
            <w:pPr>
              <w:pStyle w:val="Compact"/>
            </w:pPr>
            <w:r>
              <w:t xml:space="preserve">70 — Permission denied</w:t>
            </w:r>
          </w:p>
        </w:tc>
      </w:tr>
    </w:tbl>
    <w:bookmarkEnd w:id="6211"/>
    <w:bookmarkStart w:id="6212" w:name="remarks-706"/>
    <w:p>
      <w:pPr>
        <w:pStyle w:val="Heading2"/>
      </w:pPr>
      <w:r>
        <w:t xml:space="preserve">Remarks</w:t>
      </w:r>
    </w:p>
    <w:p>
      <w:pPr>
        <w:pStyle w:val="Compact"/>
        <w:numPr>
          <w:ilvl w:val="0"/>
          <w:numId w:val="2525"/>
        </w:numPr>
      </w:pPr>
      <w:r>
        <w:t xml:space="preserve">All files and sub-folders inside the target are deleted. This operation cannot be undone.</w:t>
      </w:r>
    </w:p>
    <w:p>
      <w:pPr>
        <w:pStyle w:val="Compact"/>
        <w:numPr>
          <w:ilvl w:val="0"/>
          <w:numId w:val="2525"/>
        </w:numPr>
      </w:pPr>
      <w:r>
        <w:t xml:space="preserve">Use</w:t>
      </w:r>
      <w:r>
        <w:t xml:space="preserve"> </w:t>
      </w:r>
      <w:r>
        <w:rPr>
          <w:rStyle w:val="VerbatimChar"/>
        </w:rPr>
        <w:t xml:space="preserve">FolderExists</w:t>
      </w:r>
      <w:r>
        <w:t xml:space="preserve"> </w:t>
      </w:r>
      <w:r>
        <w:t xml:space="preserve">before calling</w:t>
      </w:r>
      <w:r>
        <w:t xml:space="preserve"> </w:t>
      </w:r>
      <w:r>
        <w:rPr>
          <w:rStyle w:val="VerbatimChar"/>
        </w:rPr>
        <w:t xml:space="preserve">DeleteFolder</w:t>
      </w:r>
      <w:r>
        <w:t xml:space="preserve"> </w:t>
      </w:r>
      <w:r>
        <w:t xml:space="preserve">to avoid errors when the folder may not exist.</w:t>
      </w:r>
    </w:p>
    <w:p>
      <w:pPr>
        <w:pStyle w:val="Compact"/>
        <w:numPr>
          <w:ilvl w:val="0"/>
          <w:numId w:val="2525"/>
        </w:numPr>
      </w:pPr>
      <w:r>
        <w:t xml:space="preserve">Use</w:t>
      </w:r>
      <w:r>
        <w:t xml:space="preserve"> </w:t>
      </w:r>
      <w:r>
        <w:rPr>
          <w:rStyle w:val="VerbatimChar"/>
        </w:rPr>
        <w:t xml:space="preserve">On Error Resume Next</w:t>
      </w:r>
      <w:r>
        <w:t xml:space="preserve"> </w:t>
      </w:r>
      <w:r>
        <w:t xml:space="preserve">to handle deletion failures gracefully.</w:t>
      </w:r>
    </w:p>
    <w:bookmarkEnd w:id="6212"/>
    <w:bookmarkStart w:id="6213" w:name="code-example-51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folderPath</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folderPath = </w:t>
      </w:r>
      <w:r>
        <w:rPr>
          <w:rStyle w:val="FunctionTok"/>
        </w:rPr>
        <w:t xml:space="preserve">Server</w:t>
      </w:r>
      <w:r>
        <w:rPr>
          <w:rStyle w:val="NormalTok"/>
        </w:rPr>
        <w:t xml:space="preserve">.MapPath</w:t>
      </w:r>
      <w:r>
        <w:rPr>
          <w:rStyle w:val="OtherTok"/>
        </w:rPr>
        <w:t xml:space="preserve">(</w:t>
      </w:r>
      <w:r>
        <w:rPr>
          <w:rStyle w:val="StringTok"/>
        </w:rPr>
        <w:t xml:space="preserve">"temp/session_cache"</w:t>
      </w:r>
      <w:r>
        <w:rPr>
          <w:rStyle w:val="OtherTok"/>
        </w:rPr>
        <w:t xml:space="preserve">)</w:t>
      </w:r>
      <w:r>
        <w:br/>
      </w:r>
      <w:r>
        <w:rPr>
          <w:rStyle w:val="ControlFlowTok"/>
        </w:rPr>
        <w:t xml:space="preserve">If</w:t>
      </w:r>
      <w:r>
        <w:rPr>
          <w:rStyle w:val="NormalTok"/>
        </w:rPr>
        <w:t xml:space="preserve"> fso.</w:t>
      </w:r>
      <w:r>
        <w:rPr>
          <w:rStyle w:val="FunctionTok"/>
        </w:rPr>
        <w:t xml:space="preserve">FolderExists</w:t>
      </w:r>
      <w:r>
        <w:rPr>
          <w:rStyle w:val="OtherTok"/>
        </w:rPr>
        <w:t xml:space="preserve">(</w:t>
      </w:r>
      <w:r>
        <w:rPr>
          <w:rStyle w:val="NormalTok"/>
        </w:rPr>
        <w:t xml:space="preserve">folderPath</w:t>
      </w:r>
      <w:r>
        <w:rPr>
          <w:rStyle w:val="OtherTok"/>
        </w:rPr>
        <w:t xml:space="preserve">)</w:t>
      </w:r>
      <w:r>
        <w:rPr>
          <w:rStyle w:val="NormalTok"/>
        </w:rPr>
        <w:t xml:space="preserve"> </w:t>
      </w:r>
      <w:r>
        <w:rPr>
          <w:rStyle w:val="ControlFlowTok"/>
        </w:rPr>
        <w:t xml:space="preserve">Then</w:t>
      </w:r>
      <w:r>
        <w:br/>
      </w:r>
      <w:r>
        <w:rPr>
          <w:rStyle w:val="NormalTok"/>
        </w:rPr>
        <w:t xml:space="preserve">    On Error Resume </w:t>
      </w:r>
      <w:r>
        <w:rPr>
          <w:rStyle w:val="ControlFlowTok"/>
        </w:rPr>
        <w:t xml:space="preserve">Next</w:t>
      </w:r>
      <w:r>
        <w:br/>
      </w:r>
      <w:r>
        <w:rPr>
          <w:rStyle w:val="NormalTok"/>
        </w:rPr>
        <w:t xml:space="preserve">    fso.</w:t>
      </w:r>
      <w:r>
        <w:rPr>
          <w:rStyle w:val="FunctionTok"/>
        </w:rPr>
        <w:t xml:space="preserve">DeleteFolder</w:t>
      </w:r>
      <w:r>
        <w:rPr>
          <w:rStyle w:val="NormalTok"/>
        </w:rPr>
        <w:t xml:space="preserve"> folderPath</w:t>
      </w:r>
      <w:r>
        <w:br/>
      </w:r>
      <w:r>
        <w:rPr>
          <w:rStyle w:val="NormalTok"/>
        </w:rPr>
        <w:t xml:space="preserve">    </w:t>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"Delete failed: "</w:t>
      </w:r>
      <w:r>
        <w:rPr>
          <w:rStyle w:val="NormalTok"/>
        </w:rPr>
        <w:t xml:space="preserve"> </w:t>
      </w:r>
      <w:r>
        <w:rPr>
          <w:rStyle w:val="KeywordTok"/>
        </w:rPr>
        <w:t xml:space="preserve">&amp;</w:t>
      </w:r>
      <w:r>
        <w:rPr>
          <w:rStyle w:val="NormalTok"/>
        </w:rPr>
        <w:t xml:space="preserve"> Err.Description</w:t>
      </w:r>
      <w:r>
        <w:br/>
      </w:r>
      <w:r>
        <w:rPr>
          <w:rStyle w:val="NormalTok"/>
        </w:rPr>
        <w:t xml:space="preserve">    </w:t>
      </w:r>
      <w:r>
        <w:rPr>
          <w:rStyle w:val="ControlFlowTok"/>
        </w:rPr>
        <w:t xml:space="preserve">End If</w:t>
      </w:r>
      <w:r>
        <w:br/>
      </w:r>
      <w:r>
        <w:rPr>
          <w:rStyle w:val="NormalTok"/>
        </w:rPr>
        <w:t xml:space="preserve">    On Error GoTo </w:t>
      </w:r>
      <w:r>
        <w:rPr>
          <w:rStyle w:val="DecValTok"/>
        </w:rPr>
        <w:t xml:space="preserve">0</w:t>
      </w:r>
      <w:r>
        <w:br/>
      </w:r>
      <w:r>
        <w:rPr>
          <w:rStyle w:val="ControlFlowTok"/>
        </w:rPr>
        <w:t xml:space="preserve">End If</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13"/>
    <w:bookmarkEnd w:id="6214"/>
    <w:bookmarkStart w:id="6222" w:name="fileexists-method"/>
    <w:p>
      <w:pPr>
        <w:pStyle w:val="Heading1"/>
      </w:pPr>
      <w:r>
        <w:t xml:space="preserve">FileExists Method</w:t>
      </w:r>
    </w:p>
    <w:bookmarkStart w:id="6215" w:name="overview-665"/>
    <w:p>
      <w:pPr>
        <w:pStyle w:val="Heading2"/>
      </w:pPr>
      <w:r>
        <w:t xml:space="preserve">Overview</w:t>
      </w:r>
    </w:p>
    <w:p>
      <w:pPr>
        <w:pStyle w:val="FirstParagraph"/>
      </w:pPr>
      <w:r>
        <w:t xml:space="preserve">Determines whether a file exists at the specified path.</w:t>
      </w:r>
    </w:p>
    <w:bookmarkEnd w:id="6215"/>
    <w:bookmarkStart w:id="6216" w:name="syntax-728"/>
    <w:p>
      <w:pPr>
        <w:pStyle w:val="Heading2"/>
      </w:pPr>
      <w:r>
        <w:t xml:space="preserve">Syntax</w:t>
      </w:r>
    </w:p>
    <w:p>
      <w:pPr>
        <w:pStyle w:val="SourceCode"/>
      </w:pPr>
      <w:r>
        <w:rPr>
          <w:rStyle w:val="NormalTok"/>
        </w:rPr>
        <w:t xml:space="preserve">result = fso.FileExists(filespec)</w:t>
      </w:r>
    </w:p>
    <w:bookmarkEnd w:id="6216"/>
    <w:bookmarkStart w:id="6217" w:name="parameters-344"/>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filespec</w:t>
            </w:r>
          </w:p>
        </w:tc>
        <w:tc>
          <w:tcPr/>
          <w:p>
            <w:pPr>
              <w:pStyle w:val="Compact"/>
            </w:pPr>
            <w:r>
              <w:t xml:space="preserve">String</w:t>
            </w:r>
          </w:p>
        </w:tc>
        <w:tc>
          <w:tcPr/>
          <w:p>
            <w:pPr>
              <w:pStyle w:val="Compact"/>
            </w:pPr>
            <w:r>
              <w:t xml:space="preserve">Yes</w:t>
            </w:r>
          </w:p>
        </w:tc>
        <w:tc>
          <w:tcPr/>
          <w:p>
            <w:pPr>
              <w:pStyle w:val="Compact"/>
            </w:pPr>
            <w:r>
              <w:t xml:space="preserve">The path to the file to check.</w:t>
            </w:r>
          </w:p>
        </w:tc>
      </w:tr>
    </w:tbl>
    <w:bookmarkEnd w:id="6217"/>
    <w:bookmarkStart w:id="6218" w:name="return-value-411"/>
    <w:p>
      <w:pPr>
        <w:pStyle w:val="Heading2"/>
      </w:pPr>
      <w:r>
        <w:t xml:space="preserve">Return Value</w:t>
      </w:r>
    </w:p>
    <w:p>
      <w:pPr>
        <w:pStyle w:val="FirstParagraph"/>
      </w:pPr>
      <w:r>
        <w:t xml:space="preserve">Returns</w:t>
      </w:r>
      <w:r>
        <w:t xml:space="preserve"> </w:t>
      </w:r>
      <w:r>
        <w:rPr>
          <w:b/>
          <w:bCs/>
        </w:rPr>
        <w:t xml:space="preserve">True</w:t>
      </w:r>
      <w:r>
        <w:t xml:space="preserve"> </w:t>
      </w:r>
      <w:r>
        <w:t xml:space="preserve">if a file exists at the resolved path and the entry is not a directory. Returns</w:t>
      </w:r>
      <w:r>
        <w:t xml:space="preserve"> </w:t>
      </w:r>
      <w:r>
        <w:rPr>
          <w:b/>
          <w:bCs/>
        </w:rPr>
        <w:t xml:space="preserve">False</w:t>
      </w:r>
      <w:r>
        <w:t xml:space="preserve"> </w:t>
      </w:r>
      <w:r>
        <w:t xml:space="preserve">if the file does not exist, if the path resolves to a directory, if the path cannot be resolved, or if no argument is supplied.</w:t>
      </w:r>
    </w:p>
    <w:bookmarkEnd w:id="6218"/>
    <w:bookmarkStart w:id="6219" w:name="how-it-works-72"/>
    <w:p>
      <w:pPr>
        <w:pStyle w:val="Heading2"/>
      </w:pPr>
      <w:r>
        <w:t xml:space="preserve">How It Works</w:t>
      </w:r>
    </w:p>
    <w:p>
      <w:pPr>
        <w:pStyle w:val="FirstParagraph"/>
      </w:pPr>
      <w:r>
        <w:t xml:space="preserve">The path is resolved against the web root. The runtime calls</w:t>
      </w:r>
      <w:r>
        <w:t xml:space="preserve"> </w:t>
      </w:r>
      <w:r>
        <w:rPr>
          <w:rStyle w:val="VerbatimChar"/>
        </w:rPr>
        <w:t xml:space="preserve">os.Stat</w:t>
      </w:r>
      <w:r>
        <w:t xml:space="preserve"> </w:t>
      </w:r>
      <w:r>
        <w:t xml:space="preserve">on the resolved path and returns True only when the call succeeds and the result is not a directory entry. No error is raised; the method always returns a Boolean.</w:t>
      </w:r>
    </w:p>
    <w:bookmarkEnd w:id="6219"/>
    <w:bookmarkStart w:id="6220" w:name="remarks-707"/>
    <w:p>
      <w:pPr>
        <w:pStyle w:val="Heading2"/>
      </w:pPr>
      <w:r>
        <w:t xml:space="preserve">Remarks</w:t>
      </w:r>
    </w:p>
    <w:p>
      <w:pPr>
        <w:pStyle w:val="Compact"/>
        <w:numPr>
          <w:ilvl w:val="0"/>
          <w:numId w:val="2526"/>
        </w:numPr>
      </w:pPr>
      <w:r>
        <w:rPr>
          <w:rStyle w:val="VerbatimChar"/>
        </w:rPr>
        <w:t xml:space="preserve">FileExists</w:t>
      </w:r>
      <w:r>
        <w:t xml:space="preserve"> </w:t>
      </w:r>
      <w:r>
        <w:t xml:space="preserve">does not distinguish between a missing file and a permission error. Both cases return False.</w:t>
      </w:r>
    </w:p>
    <w:p>
      <w:pPr>
        <w:pStyle w:val="Compact"/>
        <w:numPr>
          <w:ilvl w:val="0"/>
          <w:numId w:val="2526"/>
        </w:numPr>
      </w:pPr>
      <w:r>
        <w:t xml:space="preserve">To check for a directory, use</w:t>
      </w:r>
      <w:r>
        <w:t xml:space="preserve"> </w:t>
      </w:r>
      <w:r>
        <w:rPr>
          <w:rStyle w:val="VerbatimChar"/>
        </w:rPr>
        <w:t xml:space="preserve">FolderExists</w:t>
      </w:r>
      <w:r>
        <w:t xml:space="preserve"> </w:t>
      </w:r>
      <w:r>
        <w:t xml:space="preserve">instead.</w:t>
      </w:r>
    </w:p>
    <w:bookmarkEnd w:id="6220"/>
    <w:bookmarkStart w:id="6221" w:name="code-example-51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configPath</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configPath = </w:t>
      </w:r>
      <w:r>
        <w:rPr>
          <w:rStyle w:val="FunctionTok"/>
        </w:rPr>
        <w:t xml:space="preserve">Server</w:t>
      </w:r>
      <w:r>
        <w:rPr>
          <w:rStyle w:val="NormalTok"/>
        </w:rPr>
        <w:t xml:space="preserve">.MapPath</w:t>
      </w:r>
      <w:r>
        <w:rPr>
          <w:rStyle w:val="OtherTok"/>
        </w:rPr>
        <w:t xml:space="preserve">(</w:t>
      </w:r>
      <w:r>
        <w:rPr>
          <w:rStyle w:val="StringTok"/>
        </w:rPr>
        <w:t xml:space="preserve">"config/settings.ini"</w:t>
      </w:r>
      <w:r>
        <w:rPr>
          <w:rStyle w:val="OtherTok"/>
        </w:rPr>
        <w:t xml:space="preserve">)</w:t>
      </w:r>
      <w:r>
        <w:br/>
      </w:r>
      <w:r>
        <w:rPr>
          <w:rStyle w:val="ControlFlowTok"/>
        </w:rPr>
        <w:t xml:space="preserve">If</w:t>
      </w:r>
      <w:r>
        <w:rPr>
          <w:rStyle w:val="NormalTok"/>
        </w:rPr>
        <w:t xml:space="preserve"> fso.</w:t>
      </w:r>
      <w:r>
        <w:rPr>
          <w:rStyle w:val="FunctionTok"/>
        </w:rPr>
        <w:t xml:space="preserve">FileExists</w:t>
      </w:r>
      <w:r>
        <w:rPr>
          <w:rStyle w:val="OtherTok"/>
        </w:rPr>
        <w:t xml:space="preserve">(</w:t>
      </w:r>
      <w:r>
        <w:rPr>
          <w:rStyle w:val="NormalTok"/>
        </w:rPr>
        <w:t xml:space="preserve">configPath</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"Config file found."</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"Config file not found."</w:t>
      </w:r>
      <w:r>
        <w:br/>
      </w:r>
      <w:r>
        <w:rPr>
          <w:rStyle w:val="ControlFlowTok"/>
        </w:rPr>
        <w:t xml:space="preserve">End If</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21"/>
    <w:bookmarkEnd w:id="6222"/>
    <w:bookmarkStart w:id="6230" w:name="folderexists-method"/>
    <w:p>
      <w:pPr>
        <w:pStyle w:val="Heading1"/>
      </w:pPr>
      <w:r>
        <w:t xml:space="preserve">FolderExists Method</w:t>
      </w:r>
    </w:p>
    <w:bookmarkStart w:id="6223" w:name="overview-666"/>
    <w:p>
      <w:pPr>
        <w:pStyle w:val="Heading2"/>
      </w:pPr>
      <w:r>
        <w:t xml:space="preserve">Overview</w:t>
      </w:r>
    </w:p>
    <w:p>
      <w:pPr>
        <w:pStyle w:val="FirstParagraph"/>
      </w:pPr>
      <w:r>
        <w:t xml:space="preserve">Determines whether a folder exists at the specified path.</w:t>
      </w:r>
    </w:p>
    <w:bookmarkEnd w:id="6223"/>
    <w:bookmarkStart w:id="6224" w:name="syntax-729"/>
    <w:p>
      <w:pPr>
        <w:pStyle w:val="Heading2"/>
      </w:pPr>
      <w:r>
        <w:t xml:space="preserve">Syntax</w:t>
      </w:r>
    </w:p>
    <w:p>
      <w:pPr>
        <w:pStyle w:val="SourceCode"/>
      </w:pPr>
      <w:r>
        <w:rPr>
          <w:rStyle w:val="NormalTok"/>
        </w:rPr>
        <w:t xml:space="preserve">result = fso.FolderExists(folderspec)</w:t>
      </w:r>
    </w:p>
    <w:bookmarkEnd w:id="6224"/>
    <w:bookmarkStart w:id="6225" w:name="parameters-345"/>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folderspec</w:t>
            </w:r>
          </w:p>
        </w:tc>
        <w:tc>
          <w:tcPr/>
          <w:p>
            <w:pPr>
              <w:pStyle w:val="Compact"/>
            </w:pPr>
            <w:r>
              <w:t xml:space="preserve">String</w:t>
            </w:r>
          </w:p>
        </w:tc>
        <w:tc>
          <w:tcPr/>
          <w:p>
            <w:pPr>
              <w:pStyle w:val="Compact"/>
            </w:pPr>
            <w:r>
              <w:t xml:space="preserve">Yes</w:t>
            </w:r>
          </w:p>
        </w:tc>
        <w:tc>
          <w:tcPr/>
          <w:p>
            <w:pPr>
              <w:pStyle w:val="Compact"/>
            </w:pPr>
            <w:r>
              <w:t xml:space="preserve">The path to the folder to check.</w:t>
            </w:r>
          </w:p>
        </w:tc>
      </w:tr>
    </w:tbl>
    <w:bookmarkEnd w:id="6225"/>
    <w:bookmarkStart w:id="6226" w:name="return-value-412"/>
    <w:p>
      <w:pPr>
        <w:pStyle w:val="Heading2"/>
      </w:pPr>
      <w:r>
        <w:t xml:space="preserve">Return Value</w:t>
      </w:r>
    </w:p>
    <w:p>
      <w:pPr>
        <w:pStyle w:val="FirstParagraph"/>
      </w:pPr>
      <w:r>
        <w:t xml:space="preserve">Returns</w:t>
      </w:r>
      <w:r>
        <w:t xml:space="preserve"> </w:t>
      </w:r>
      <w:r>
        <w:rPr>
          <w:b/>
          <w:bCs/>
        </w:rPr>
        <w:t xml:space="preserve">True</w:t>
      </w:r>
      <w:r>
        <w:t xml:space="preserve"> </w:t>
      </w:r>
      <w:r>
        <w:t xml:space="preserve">if a directory exists at the resolved path. Returns</w:t>
      </w:r>
      <w:r>
        <w:t xml:space="preserve"> </w:t>
      </w:r>
      <w:r>
        <w:rPr>
          <w:b/>
          <w:bCs/>
        </w:rPr>
        <w:t xml:space="preserve">False</w:t>
      </w:r>
      <w:r>
        <w:t xml:space="preserve"> </w:t>
      </w:r>
      <w:r>
        <w:t xml:space="preserve">if the directory does not exist, if the path resolves to a file, if the path cannot be resolved, or if no argument is supplied.</w:t>
      </w:r>
    </w:p>
    <w:bookmarkEnd w:id="6226"/>
    <w:bookmarkStart w:id="6227" w:name="how-it-works-73"/>
    <w:p>
      <w:pPr>
        <w:pStyle w:val="Heading2"/>
      </w:pPr>
      <w:r>
        <w:t xml:space="preserve">How It Works</w:t>
      </w:r>
    </w:p>
    <w:p>
      <w:pPr>
        <w:pStyle w:val="FirstParagraph"/>
      </w:pPr>
      <w:r>
        <w:t xml:space="preserve">The path is resolved against the web root. The runtime calls</w:t>
      </w:r>
      <w:r>
        <w:t xml:space="preserve"> </w:t>
      </w:r>
      <w:r>
        <w:rPr>
          <w:rStyle w:val="VerbatimChar"/>
        </w:rPr>
        <w:t xml:space="preserve">os.Stat</w:t>
      </w:r>
      <w:r>
        <w:t xml:space="preserve"> </w:t>
      </w:r>
      <w:r>
        <w:t xml:space="preserve">on the resolved path and returns True only when the call succeeds and the result is a directory entry. No error is raised; the method always returns a Boolean.</w:t>
      </w:r>
    </w:p>
    <w:bookmarkEnd w:id="6227"/>
    <w:bookmarkStart w:id="6228" w:name="remarks-708"/>
    <w:p>
      <w:pPr>
        <w:pStyle w:val="Heading2"/>
      </w:pPr>
      <w:r>
        <w:t xml:space="preserve">Remarks</w:t>
      </w:r>
    </w:p>
    <w:p>
      <w:pPr>
        <w:pStyle w:val="Compact"/>
        <w:numPr>
          <w:ilvl w:val="0"/>
          <w:numId w:val="2527"/>
        </w:numPr>
      </w:pPr>
      <w:r>
        <w:rPr>
          <w:rStyle w:val="VerbatimChar"/>
        </w:rPr>
        <w:t xml:space="preserve">FolderExists</w:t>
      </w:r>
      <w:r>
        <w:t xml:space="preserve"> </w:t>
      </w:r>
      <w:r>
        <w:t xml:space="preserve">does not distinguish between a missing folder and a permission error. Both cases return False.</w:t>
      </w:r>
    </w:p>
    <w:p>
      <w:pPr>
        <w:pStyle w:val="Compact"/>
        <w:numPr>
          <w:ilvl w:val="0"/>
          <w:numId w:val="2527"/>
        </w:numPr>
      </w:pPr>
      <w:r>
        <w:t xml:space="preserve">To check for a file, use</w:t>
      </w:r>
      <w:r>
        <w:t xml:space="preserve"> </w:t>
      </w:r>
      <w:r>
        <w:rPr>
          <w:rStyle w:val="VerbatimChar"/>
        </w:rPr>
        <w:t xml:space="preserve">FileExists</w:t>
      </w:r>
      <w:r>
        <w:t xml:space="preserve"> </w:t>
      </w:r>
      <w:r>
        <w:t xml:space="preserve">instead.</w:t>
      </w:r>
    </w:p>
    <w:bookmarkEnd w:id="6228"/>
    <w:bookmarkStart w:id="6229" w:name="code-example-51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uploadDir</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uploadDir = </w:t>
      </w:r>
      <w:r>
        <w:rPr>
          <w:rStyle w:val="FunctionTok"/>
        </w:rPr>
        <w:t xml:space="preserve">Server</w:t>
      </w:r>
      <w:r>
        <w:rPr>
          <w:rStyle w:val="NormalTok"/>
        </w:rPr>
        <w:t xml:space="preserve">.MapPath</w:t>
      </w:r>
      <w:r>
        <w:rPr>
          <w:rStyle w:val="OtherTok"/>
        </w:rPr>
        <w:t xml:space="preserve">(</w:t>
      </w:r>
      <w:r>
        <w:rPr>
          <w:rStyle w:val="StringTok"/>
        </w:rPr>
        <w:t xml:space="preserve">"uploads"</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fso.</w:t>
      </w:r>
      <w:r>
        <w:rPr>
          <w:rStyle w:val="FunctionTok"/>
        </w:rPr>
        <w:t xml:space="preserve">FolderExists</w:t>
      </w:r>
      <w:r>
        <w:rPr>
          <w:rStyle w:val="OtherTok"/>
        </w:rPr>
        <w:t xml:space="preserve">(</w:t>
      </w:r>
      <w:r>
        <w:rPr>
          <w:rStyle w:val="NormalTok"/>
        </w:rPr>
        <w:t xml:space="preserve">uploadDir</w:t>
      </w:r>
      <w:r>
        <w:rPr>
          <w:rStyle w:val="OtherTok"/>
        </w:rPr>
        <w:t xml:space="preserve">)</w:t>
      </w:r>
      <w:r>
        <w:rPr>
          <w:rStyle w:val="NormalTok"/>
        </w:rPr>
        <w:t xml:space="preserve"> </w:t>
      </w:r>
      <w:r>
        <w:rPr>
          <w:rStyle w:val="ControlFlowTok"/>
        </w:rPr>
        <w:t xml:space="preserve">Then</w:t>
      </w:r>
      <w:r>
        <w:br/>
      </w:r>
      <w:r>
        <w:rPr>
          <w:rStyle w:val="NormalTok"/>
        </w:rPr>
        <w:t xml:space="preserve">    fso.</w:t>
      </w:r>
      <w:r>
        <w:rPr>
          <w:rStyle w:val="FunctionTok"/>
        </w:rPr>
        <w:t xml:space="preserve">CreateFolder</w:t>
      </w:r>
      <w:r>
        <w:rPr>
          <w:rStyle w:val="NormalTok"/>
        </w:rPr>
        <w:t xml:space="preserve"> uploadDir</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"Upload folder created."</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"Upload folder already exists."</w:t>
      </w:r>
      <w:r>
        <w:br/>
      </w:r>
      <w:r>
        <w:rPr>
          <w:rStyle w:val="ControlFlowTok"/>
        </w:rPr>
        <w:t xml:space="preserve">End If</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29"/>
    <w:bookmarkEnd w:id="6230"/>
    <w:bookmarkStart w:id="6239" w:name="getfile-method"/>
    <w:p>
      <w:pPr>
        <w:pStyle w:val="Heading1"/>
      </w:pPr>
      <w:r>
        <w:t xml:space="preserve">GetFile Method</w:t>
      </w:r>
    </w:p>
    <w:bookmarkStart w:id="6231" w:name="overview-667"/>
    <w:p>
      <w:pPr>
        <w:pStyle w:val="Heading2"/>
      </w:pPr>
      <w:r>
        <w:t xml:space="preserve">Overview</w:t>
      </w:r>
    </w:p>
    <w:p>
      <w:pPr>
        <w:pStyle w:val="FirstParagraph"/>
      </w:pPr>
      <w:r>
        <w:t xml:space="preserve">Returns a File object for an existing file at the specified path.</w:t>
      </w:r>
    </w:p>
    <w:bookmarkEnd w:id="6231"/>
    <w:bookmarkStart w:id="6232" w:name="syntax-730"/>
    <w:p>
      <w:pPr>
        <w:pStyle w:val="Heading2"/>
      </w:pPr>
      <w:r>
        <w:t xml:space="preserve">Syntax</w:t>
      </w:r>
    </w:p>
    <w:p>
      <w:pPr>
        <w:pStyle w:val="SourceCode"/>
      </w:pPr>
      <w:r>
        <w:rPr>
          <w:rStyle w:val="NormalTok"/>
        </w:rPr>
        <w:t xml:space="preserve">Set f = fso.GetFile(filespec)</w:t>
      </w:r>
    </w:p>
    <w:bookmarkEnd w:id="6232"/>
    <w:bookmarkStart w:id="6233" w:name="parameters-346"/>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filespec</w:t>
            </w:r>
          </w:p>
        </w:tc>
        <w:tc>
          <w:tcPr/>
          <w:p>
            <w:pPr>
              <w:pStyle w:val="Compact"/>
            </w:pPr>
            <w:r>
              <w:t xml:space="preserve">String</w:t>
            </w:r>
          </w:p>
        </w:tc>
        <w:tc>
          <w:tcPr/>
          <w:p>
            <w:pPr>
              <w:pStyle w:val="Compact"/>
            </w:pPr>
            <w:r>
              <w:t xml:space="preserve">Yes</w:t>
            </w:r>
          </w:p>
        </w:tc>
        <w:tc>
          <w:tcPr/>
          <w:p>
            <w:pPr>
              <w:pStyle w:val="Compact"/>
            </w:pPr>
            <w:r>
              <w:t xml:space="preserve">The full path to the file.</w:t>
            </w:r>
          </w:p>
        </w:tc>
      </w:tr>
    </w:tbl>
    <w:bookmarkEnd w:id="6233"/>
    <w:bookmarkStart w:id="6234" w:name="return-value-413"/>
    <w:p>
      <w:pPr>
        <w:pStyle w:val="Heading2"/>
      </w:pPr>
      <w:r>
        <w:t xml:space="preserve">Return Value</w:t>
      </w:r>
    </w:p>
    <w:p>
      <w:pPr>
        <w:pStyle w:val="FirstParagraph"/>
      </w:pPr>
      <w:r>
        <w:t xml:space="preserve">Returns a</w:t>
      </w:r>
      <w:r>
        <w:t xml:space="preserve"> </w:t>
      </w:r>
      <w:r>
        <w:rPr>
          <w:b/>
          <w:bCs/>
        </w:rPr>
        <w:t xml:space="preserve">File</w:t>
      </w:r>
      <w:r>
        <w:t xml:space="preserve"> </w:t>
      </w:r>
      <w:r>
        <w:t xml:space="preserve">object representing the file at the resolved path. Use</w:t>
      </w:r>
      <w:r>
        <w:t xml:space="preserve"> </w:t>
      </w:r>
      <w:r>
        <w:rPr>
          <w:rStyle w:val="VerbatimChar"/>
        </w:rPr>
        <w:t xml:space="preserve">Set</w:t>
      </w:r>
      <w:r>
        <w:t xml:space="preserve"> </w:t>
      </w:r>
      <w:r>
        <w:t xml:space="preserve">for assignment. Raises a VBScript error if the file does not exist or cannot be accessed.</w:t>
      </w:r>
    </w:p>
    <w:bookmarkEnd w:id="6234"/>
    <w:bookmarkStart w:id="6235" w:name="error-conditions-2"/>
    <w:p>
      <w:pPr>
        <w:pStyle w:val="Heading2"/>
      </w:pPr>
      <w:r>
        <w:t xml:space="preserve">Error Conditions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Condition</w:t>
            </w:r>
          </w:p>
        </w:tc>
        <w:tc>
          <w:tcPr/>
          <w:p>
            <w:pPr>
              <w:pStyle w:val="Compact"/>
            </w:pPr>
            <w:r>
              <w:t xml:space="preserve">VBScript Error</w:t>
            </w:r>
          </w:p>
        </w:tc>
      </w:tr>
      <w:tr>
        <w:tc>
          <w:tcPr/>
          <w:p>
            <w:pPr>
              <w:pStyle w:val="Compact"/>
            </w:pPr>
            <w:r>
              <w:t xml:space="preserve">File does not exist</w:t>
            </w:r>
          </w:p>
        </w:tc>
        <w:tc>
          <w:tcPr/>
          <w:p>
            <w:pPr>
              <w:pStyle w:val="Compact"/>
            </w:pPr>
            <w:r>
              <w:t xml:space="preserve">53 — File not found</w:t>
            </w:r>
          </w:p>
        </w:tc>
      </w:tr>
      <w:tr>
        <w:tc>
          <w:tcPr/>
          <w:p>
            <w:pPr>
              <w:pStyle w:val="Compact"/>
            </w:pPr>
            <w:r>
              <w:t xml:space="preserve">Path resolves to a directory</w:t>
            </w:r>
          </w:p>
        </w:tc>
        <w:tc>
          <w:tcPr/>
          <w:p>
            <w:pPr>
              <w:pStyle w:val="Compact"/>
            </w:pPr>
            <w:r>
              <w:t xml:space="preserve">53 — File not found</w:t>
            </w:r>
          </w:p>
        </w:tc>
      </w:tr>
      <w:tr>
        <w:tc>
          <w:tcPr/>
          <w:p>
            <w:pPr>
              <w:pStyle w:val="Compact"/>
            </w:pPr>
            <w:r>
              <w:t xml:space="preserve">Access denied by the OS</w:t>
            </w:r>
          </w:p>
        </w:tc>
        <w:tc>
          <w:tcPr/>
          <w:p>
            <w:pPr>
              <w:pStyle w:val="Compact"/>
            </w:pPr>
            <w:r>
              <w:t xml:space="preserve">70 — Permission denied</w:t>
            </w:r>
          </w:p>
        </w:tc>
      </w:tr>
    </w:tbl>
    <w:bookmarkEnd w:id="6235"/>
    <w:bookmarkStart w:id="6236" w:name="how-it-works-74"/>
    <w:p>
      <w:pPr>
        <w:pStyle w:val="Heading2"/>
      </w:pPr>
      <w:r>
        <w:t xml:space="preserve">How It Works</w:t>
      </w:r>
    </w:p>
    <w:p>
      <w:pPr>
        <w:pStyle w:val="FirstParagraph"/>
      </w:pPr>
      <w:r>
        <w:t xml:space="preserve">The path is resolved against the web root. The runtime calls</w:t>
      </w:r>
      <w:r>
        <w:t xml:space="preserve"> </w:t>
      </w:r>
      <w:r>
        <w:rPr>
          <w:rStyle w:val="VerbatimChar"/>
        </w:rPr>
        <w:t xml:space="preserve">os.Stat</w:t>
      </w:r>
      <w:r>
        <w:t xml:space="preserve"> </w:t>
      </w:r>
      <w:r>
        <w:t xml:space="preserve">to confirm that the path exists and is a file. On success, it stores a native</w:t>
      </w:r>
      <w:r>
        <w:t xml:space="preserve"> </w:t>
      </w:r>
      <w:r>
        <w:rPr>
          <w:rStyle w:val="VerbatimChar"/>
        </w:rPr>
        <w:t xml:space="preserve">fsoKindFile</w:t>
      </w:r>
      <w:r>
        <w:t xml:space="preserve"> </w:t>
      </w:r>
      <w:r>
        <w:t xml:space="preserve">object internally and returns the handle. The File object exposes properties such as</w:t>
      </w:r>
      <w:r>
        <w:t xml:space="preserve"> </w:t>
      </w:r>
      <w:r>
        <w:rPr>
          <w:rStyle w:val="VerbatimChar"/>
        </w:rPr>
        <w:t xml:space="preserve">Name</w:t>
      </w:r>
      <w:r>
        <w:t xml:space="preserve">,</w:t>
      </w:r>
      <w:r>
        <w:t xml:space="preserve"> </w:t>
      </w:r>
      <w:r>
        <w:rPr>
          <w:rStyle w:val="VerbatimChar"/>
        </w:rPr>
        <w:t xml:space="preserve">Size</w:t>
      </w:r>
      <w:r>
        <w:t xml:space="preserve">,</w:t>
      </w:r>
      <w:r>
        <w:t xml:space="preserve"> </w:t>
      </w:r>
      <w:r>
        <w:rPr>
          <w:rStyle w:val="VerbatimChar"/>
        </w:rPr>
        <w:t xml:space="preserve">Path</w:t>
      </w:r>
      <w:r>
        <w:t xml:space="preserve">,</w:t>
      </w:r>
      <w:r>
        <w:t xml:space="preserve"> </w:t>
      </w:r>
      <w:r>
        <w:rPr>
          <w:rStyle w:val="VerbatimChar"/>
        </w:rPr>
        <w:t xml:space="preserve">DateLastModified</w:t>
      </w:r>
      <w:r>
        <w:t xml:space="preserve">, and methods including</w:t>
      </w:r>
      <w:r>
        <w:t xml:space="preserve"> </w:t>
      </w:r>
      <w:r>
        <w:rPr>
          <w:rStyle w:val="VerbatimChar"/>
        </w:rPr>
        <w:t xml:space="preserve">Copy</w:t>
      </w:r>
      <w:r>
        <w:t xml:space="preserve">,</w:t>
      </w:r>
      <w:r>
        <w:t xml:space="preserve"> </w:t>
      </w:r>
      <w:r>
        <w:rPr>
          <w:rStyle w:val="VerbatimChar"/>
        </w:rPr>
        <w:t xml:space="preserve">Move</w:t>
      </w:r>
      <w:r>
        <w:t xml:space="preserve">,</w:t>
      </w:r>
      <w:r>
        <w:t xml:space="preserve"> </w:t>
      </w:r>
      <w:r>
        <w:rPr>
          <w:rStyle w:val="VerbatimChar"/>
        </w:rPr>
        <w:t xml:space="preserve">Delete</w:t>
      </w:r>
      <w:r>
        <w:t xml:space="preserve">, and</w:t>
      </w:r>
      <w:r>
        <w:t xml:space="preserve"> </w:t>
      </w:r>
      <w:r>
        <w:rPr>
          <w:rStyle w:val="VerbatimChar"/>
        </w:rPr>
        <w:t xml:space="preserve">OpenAsTextStream</w:t>
      </w:r>
      <w:r>
        <w:t xml:space="preserve">.</w:t>
      </w:r>
    </w:p>
    <w:bookmarkEnd w:id="6236"/>
    <w:bookmarkStart w:id="6237" w:name="remarks-709"/>
    <w:p>
      <w:pPr>
        <w:pStyle w:val="Heading2"/>
      </w:pPr>
      <w:r>
        <w:t xml:space="preserve">Remarks</w:t>
      </w:r>
    </w:p>
    <w:p>
      <w:pPr>
        <w:pStyle w:val="Compact"/>
        <w:numPr>
          <w:ilvl w:val="0"/>
          <w:numId w:val="2528"/>
        </w:numPr>
      </w:pPr>
      <w:r>
        <w:t xml:space="preserve">Always use</w:t>
      </w:r>
      <w:r>
        <w:t xml:space="preserve"> </w:t>
      </w:r>
      <w:r>
        <w:rPr>
          <w:rStyle w:val="VerbatimChar"/>
        </w:rPr>
        <w:t xml:space="preserve">Set</w:t>
      </w:r>
      <w:r>
        <w:t xml:space="preserve"> </w:t>
      </w:r>
      <w:r>
        <w:t xml:space="preserve">to capture the returned File object.</w:t>
      </w:r>
    </w:p>
    <w:p>
      <w:pPr>
        <w:pStyle w:val="Compact"/>
        <w:numPr>
          <w:ilvl w:val="0"/>
          <w:numId w:val="2528"/>
        </w:numPr>
      </w:pPr>
      <w:r>
        <w:t xml:space="preserve">Call</w:t>
      </w:r>
      <w:r>
        <w:t xml:space="preserve"> </w:t>
      </w:r>
      <w:r>
        <w:rPr>
          <w:rStyle w:val="VerbatimChar"/>
        </w:rPr>
        <w:t xml:space="preserve">Set f = Nothing</w:t>
      </w:r>
      <w:r>
        <w:t xml:space="preserve"> </w:t>
      </w:r>
      <w:r>
        <w:t xml:space="preserve">when the File object is no longer needed.</w:t>
      </w:r>
    </w:p>
    <w:p>
      <w:pPr>
        <w:pStyle w:val="Compact"/>
        <w:numPr>
          <w:ilvl w:val="0"/>
          <w:numId w:val="2528"/>
        </w:numPr>
      </w:pPr>
      <w:r>
        <w:t xml:space="preserve">To check existence before calling</w:t>
      </w:r>
      <w:r>
        <w:t xml:space="preserve"> </w:t>
      </w:r>
      <w:r>
        <w:rPr>
          <w:rStyle w:val="VerbatimChar"/>
        </w:rPr>
        <w:t xml:space="preserve">GetFile</w:t>
      </w:r>
      <w:r>
        <w:t xml:space="preserve">, use</w:t>
      </w:r>
      <w:r>
        <w:t xml:space="preserve"> </w:t>
      </w:r>
      <w:r>
        <w:rPr>
          <w:rStyle w:val="VerbatimChar"/>
        </w:rPr>
        <w:t xml:space="preserve">FileExists</w:t>
      </w:r>
      <w:r>
        <w:t xml:space="preserve">.</w:t>
      </w:r>
    </w:p>
    <w:bookmarkEnd w:id="6237"/>
    <w:bookmarkStart w:id="6238" w:name="code-example-51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f</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KeywordTok"/>
        </w:rPr>
        <w:t xml:space="preserve">Set</w:t>
      </w:r>
      <w:r>
        <w:rPr>
          <w:rStyle w:val="NormalTok"/>
        </w:rPr>
        <w:t xml:space="preserve"> f = fso.</w:t>
      </w:r>
      <w:r>
        <w:rPr>
          <w:rStyle w:val="FunctionTok"/>
        </w:rPr>
        <w:t xml:space="preserve">GetFile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"data/report.csv"</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f.Name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f.Size </w:t>
      </w:r>
      <w:r>
        <w:rPr>
          <w:rStyle w:val="KeywordTok"/>
        </w:rPr>
        <w:t xml:space="preserve">&amp;</w:t>
      </w:r>
      <w:r>
        <w:rPr>
          <w:rStyle w:val="NormalTok"/>
        </w:rPr>
        <w:t xml:space="preserve"> </w:t>
      </w:r>
      <w:r>
        <w:rPr>
          <w:rStyle w:val="StringTok"/>
        </w:rPr>
        <w:t xml:space="preserve">" bytes"</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"Modified: "</w:t>
      </w:r>
      <w:r>
        <w:rPr>
          <w:rStyle w:val="NormalTok"/>
        </w:rPr>
        <w:t xml:space="preserve"> </w:t>
      </w:r>
      <w:r>
        <w:rPr>
          <w:rStyle w:val="KeywordTok"/>
        </w:rPr>
        <w:t xml:space="preserve">&amp;</w:t>
      </w:r>
      <w:r>
        <w:rPr>
          <w:rStyle w:val="NormalTok"/>
        </w:rPr>
        <w:t xml:space="preserve"> f.DateLastModified</w:t>
      </w:r>
      <w:r>
        <w:br/>
      </w:r>
      <w:r>
        <w:rPr>
          <w:rStyle w:val="KeywordTok"/>
        </w:rPr>
        <w:t xml:space="preserve">Set</w:t>
      </w:r>
      <w:r>
        <w:rPr>
          <w:rStyle w:val="NormalTok"/>
        </w:rPr>
        <w:t xml:space="preserve"> f = </w:t>
      </w:r>
      <w:r>
        <w:rPr>
          <w:rStyle w:val="KeywordTok"/>
        </w:rPr>
        <w:t xml:space="preserve">Nothing</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38"/>
    <w:bookmarkEnd w:id="6239"/>
    <w:bookmarkStart w:id="6248" w:name="getfolder-method"/>
    <w:p>
      <w:pPr>
        <w:pStyle w:val="Heading1"/>
      </w:pPr>
      <w:r>
        <w:t xml:space="preserve">GetFolder Method</w:t>
      </w:r>
    </w:p>
    <w:bookmarkStart w:id="6240" w:name="overview-668"/>
    <w:p>
      <w:pPr>
        <w:pStyle w:val="Heading2"/>
      </w:pPr>
      <w:r>
        <w:t xml:space="preserve">Overview</w:t>
      </w:r>
    </w:p>
    <w:p>
      <w:pPr>
        <w:pStyle w:val="FirstParagraph"/>
      </w:pPr>
      <w:r>
        <w:t xml:space="preserve">Returns a Folder object for an existing folder at the specified path.</w:t>
      </w:r>
    </w:p>
    <w:bookmarkEnd w:id="6240"/>
    <w:bookmarkStart w:id="6241" w:name="syntax-731"/>
    <w:p>
      <w:pPr>
        <w:pStyle w:val="Heading2"/>
      </w:pPr>
      <w:r>
        <w:t xml:space="preserve">Syntax</w:t>
      </w:r>
    </w:p>
    <w:p>
      <w:pPr>
        <w:pStyle w:val="SourceCode"/>
      </w:pPr>
      <w:r>
        <w:rPr>
          <w:rStyle w:val="NormalTok"/>
        </w:rPr>
        <w:t xml:space="preserve">Set fldr = fso.GetFolder(folderspec)</w:t>
      </w:r>
    </w:p>
    <w:bookmarkEnd w:id="6241"/>
    <w:bookmarkStart w:id="6242" w:name="parameters-34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folderspec</w:t>
            </w:r>
          </w:p>
        </w:tc>
        <w:tc>
          <w:tcPr/>
          <w:p>
            <w:pPr>
              <w:pStyle w:val="Compact"/>
            </w:pPr>
            <w:r>
              <w:t xml:space="preserve">String</w:t>
            </w:r>
          </w:p>
        </w:tc>
        <w:tc>
          <w:tcPr/>
          <w:p>
            <w:pPr>
              <w:pStyle w:val="Compact"/>
            </w:pPr>
            <w:r>
              <w:t xml:space="preserve">Yes</w:t>
            </w:r>
          </w:p>
        </w:tc>
        <w:tc>
          <w:tcPr/>
          <w:p>
            <w:pPr>
              <w:pStyle w:val="Compact"/>
            </w:pPr>
            <w:r>
              <w:t xml:space="preserve">The full path to the folder.</w:t>
            </w:r>
          </w:p>
        </w:tc>
      </w:tr>
    </w:tbl>
    <w:bookmarkEnd w:id="6242"/>
    <w:bookmarkStart w:id="6243" w:name="return-value-414"/>
    <w:p>
      <w:pPr>
        <w:pStyle w:val="Heading2"/>
      </w:pPr>
      <w:r>
        <w:t xml:space="preserve">Return Value</w:t>
      </w:r>
    </w:p>
    <w:p>
      <w:pPr>
        <w:pStyle w:val="FirstParagraph"/>
      </w:pPr>
      <w:r>
        <w:t xml:space="preserve">Returns a</w:t>
      </w:r>
      <w:r>
        <w:t xml:space="preserve"> </w:t>
      </w:r>
      <w:r>
        <w:rPr>
          <w:b/>
          <w:bCs/>
        </w:rPr>
        <w:t xml:space="preserve">Folder</w:t>
      </w:r>
      <w:r>
        <w:t xml:space="preserve"> </w:t>
      </w:r>
      <w:r>
        <w:t xml:space="preserve">object representing the directory at the resolved path. Use</w:t>
      </w:r>
      <w:r>
        <w:t xml:space="preserve"> </w:t>
      </w:r>
      <w:r>
        <w:rPr>
          <w:rStyle w:val="VerbatimChar"/>
        </w:rPr>
        <w:t xml:space="preserve">Set</w:t>
      </w:r>
      <w:r>
        <w:t xml:space="preserve"> </w:t>
      </w:r>
      <w:r>
        <w:t xml:space="preserve">for assignment. Raises a VBScript error if the folder does not exist or cannot be accessed.</w:t>
      </w:r>
    </w:p>
    <w:bookmarkEnd w:id="6243"/>
    <w:bookmarkStart w:id="6244" w:name="error-conditions-3"/>
    <w:p>
      <w:pPr>
        <w:pStyle w:val="Heading2"/>
      </w:pPr>
      <w:r>
        <w:t xml:space="preserve">Error Conditions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Condition</w:t>
            </w:r>
          </w:p>
        </w:tc>
        <w:tc>
          <w:tcPr/>
          <w:p>
            <w:pPr>
              <w:pStyle w:val="Compact"/>
            </w:pPr>
            <w:r>
              <w:t xml:space="preserve">VBScript Error</w:t>
            </w:r>
          </w:p>
        </w:tc>
      </w:tr>
      <w:tr>
        <w:tc>
          <w:tcPr/>
          <w:p>
            <w:pPr>
              <w:pStyle w:val="Compact"/>
            </w:pPr>
            <w:r>
              <w:t xml:space="preserve">Folder does not exist</w:t>
            </w:r>
          </w:p>
        </w:tc>
        <w:tc>
          <w:tcPr/>
          <w:p>
            <w:pPr>
              <w:pStyle w:val="Compact"/>
            </w:pPr>
            <w:r>
              <w:t xml:space="preserve">76 — Path not found</w:t>
            </w:r>
          </w:p>
        </w:tc>
      </w:tr>
      <w:tr>
        <w:tc>
          <w:tcPr/>
          <w:p>
            <w:pPr>
              <w:pStyle w:val="Compact"/>
            </w:pPr>
            <w:r>
              <w:t xml:space="preserve">Path resolves to a file</w:t>
            </w:r>
          </w:p>
        </w:tc>
        <w:tc>
          <w:tcPr/>
          <w:p>
            <w:pPr>
              <w:pStyle w:val="Compact"/>
            </w:pPr>
            <w:r>
              <w:t xml:space="preserve">76 — Path not found</w:t>
            </w:r>
          </w:p>
        </w:tc>
      </w:tr>
      <w:tr>
        <w:tc>
          <w:tcPr/>
          <w:p>
            <w:pPr>
              <w:pStyle w:val="Compact"/>
            </w:pPr>
            <w:r>
              <w:t xml:space="preserve">Access denied by the OS</w:t>
            </w:r>
          </w:p>
        </w:tc>
        <w:tc>
          <w:tcPr/>
          <w:p>
            <w:pPr>
              <w:pStyle w:val="Compact"/>
            </w:pPr>
            <w:r>
              <w:t xml:space="preserve">70 — Permission denied</w:t>
            </w:r>
          </w:p>
        </w:tc>
      </w:tr>
    </w:tbl>
    <w:bookmarkEnd w:id="6244"/>
    <w:bookmarkStart w:id="6245" w:name="how-it-works-75"/>
    <w:p>
      <w:pPr>
        <w:pStyle w:val="Heading2"/>
      </w:pPr>
      <w:r>
        <w:t xml:space="preserve">How It Works</w:t>
      </w:r>
    </w:p>
    <w:p>
      <w:pPr>
        <w:pStyle w:val="FirstParagraph"/>
      </w:pPr>
      <w:r>
        <w:t xml:space="preserve">The path is resolved against the web root. The runtime calls</w:t>
      </w:r>
      <w:r>
        <w:t xml:space="preserve"> </w:t>
      </w:r>
      <w:r>
        <w:rPr>
          <w:rStyle w:val="VerbatimChar"/>
        </w:rPr>
        <w:t xml:space="preserve">os.Stat</w:t>
      </w:r>
      <w:r>
        <w:t xml:space="preserve"> </w:t>
      </w:r>
      <w:r>
        <w:t xml:space="preserve">to confirm that the path exists and is a directory. On success, it stores a native</w:t>
      </w:r>
      <w:r>
        <w:t xml:space="preserve"> </w:t>
      </w:r>
      <w:r>
        <w:rPr>
          <w:rStyle w:val="VerbatimChar"/>
        </w:rPr>
        <w:t xml:space="preserve">fsoKindFolder</w:t>
      </w:r>
      <w:r>
        <w:t xml:space="preserve"> </w:t>
      </w:r>
      <w:r>
        <w:t xml:space="preserve">object internally and returns the handle. The Folder object exposes properties such as</w:t>
      </w:r>
      <w:r>
        <w:t xml:space="preserve"> </w:t>
      </w:r>
      <w:r>
        <w:rPr>
          <w:rStyle w:val="VerbatimChar"/>
        </w:rPr>
        <w:t xml:space="preserve">Name</w:t>
      </w:r>
      <w:r>
        <w:t xml:space="preserve">,</w:t>
      </w:r>
      <w:r>
        <w:t xml:space="preserve"> </w:t>
      </w:r>
      <w:r>
        <w:rPr>
          <w:rStyle w:val="VerbatimChar"/>
        </w:rPr>
        <w:t xml:space="preserve">Path</w:t>
      </w:r>
      <w:r>
        <w:t xml:space="preserve">,</w:t>
      </w:r>
      <w:r>
        <w:t xml:space="preserve"> </w:t>
      </w:r>
      <w:r>
        <w:rPr>
          <w:rStyle w:val="VerbatimChar"/>
        </w:rPr>
        <w:t xml:space="preserve">Files</w:t>
      </w:r>
      <w:r>
        <w:t xml:space="preserve">,</w:t>
      </w:r>
      <w:r>
        <w:t xml:space="preserve"> </w:t>
      </w:r>
      <w:r>
        <w:rPr>
          <w:rStyle w:val="VerbatimChar"/>
        </w:rPr>
        <w:t xml:space="preserve">SubFolders</w:t>
      </w:r>
      <w:r>
        <w:t xml:space="preserve">,</w:t>
      </w:r>
      <w:r>
        <w:t xml:space="preserve"> </w:t>
      </w:r>
      <w:r>
        <w:rPr>
          <w:rStyle w:val="VerbatimChar"/>
        </w:rPr>
        <w:t xml:space="preserve">Size</w:t>
      </w:r>
      <w:r>
        <w:t xml:space="preserve">,</w:t>
      </w:r>
      <w:r>
        <w:t xml:space="preserve"> </w:t>
      </w:r>
      <w:r>
        <w:rPr>
          <w:rStyle w:val="VerbatimChar"/>
        </w:rPr>
        <w:t xml:space="preserve">DateLastModified</w:t>
      </w:r>
      <w:r>
        <w:t xml:space="preserve">, and methods including</w:t>
      </w:r>
      <w:r>
        <w:t xml:space="preserve"> </w:t>
      </w:r>
      <w:r>
        <w:rPr>
          <w:rStyle w:val="VerbatimChar"/>
        </w:rPr>
        <w:t xml:space="preserve">Copy</w:t>
      </w:r>
      <w:r>
        <w:t xml:space="preserve">,</w:t>
      </w:r>
      <w:r>
        <w:t xml:space="preserve"> </w:t>
      </w:r>
      <w:r>
        <w:rPr>
          <w:rStyle w:val="VerbatimChar"/>
        </w:rPr>
        <w:t xml:space="preserve">Move</w:t>
      </w:r>
      <w:r>
        <w:t xml:space="preserve">,</w:t>
      </w:r>
      <w:r>
        <w:t xml:space="preserve"> </w:t>
      </w:r>
      <w:r>
        <w:rPr>
          <w:rStyle w:val="VerbatimChar"/>
        </w:rPr>
        <w:t xml:space="preserve">Delete</w:t>
      </w:r>
      <w:r>
        <w:t xml:space="preserve">, and</w:t>
      </w:r>
      <w:r>
        <w:t xml:space="preserve"> </w:t>
      </w:r>
      <w:r>
        <w:rPr>
          <w:rStyle w:val="VerbatimChar"/>
        </w:rPr>
        <w:t xml:space="preserve">CreateTextFile</w:t>
      </w:r>
      <w:r>
        <w:t xml:space="preserve">.</w:t>
      </w:r>
    </w:p>
    <w:bookmarkEnd w:id="6245"/>
    <w:bookmarkStart w:id="6246" w:name="remarks-710"/>
    <w:p>
      <w:pPr>
        <w:pStyle w:val="Heading2"/>
      </w:pPr>
      <w:r>
        <w:t xml:space="preserve">Remarks</w:t>
      </w:r>
    </w:p>
    <w:p>
      <w:pPr>
        <w:pStyle w:val="Compact"/>
        <w:numPr>
          <w:ilvl w:val="0"/>
          <w:numId w:val="2529"/>
        </w:numPr>
      </w:pPr>
      <w:r>
        <w:t xml:space="preserve">Always use</w:t>
      </w:r>
      <w:r>
        <w:t xml:space="preserve"> </w:t>
      </w:r>
      <w:r>
        <w:rPr>
          <w:rStyle w:val="VerbatimChar"/>
        </w:rPr>
        <w:t xml:space="preserve">Set</w:t>
      </w:r>
      <w:r>
        <w:t xml:space="preserve"> </w:t>
      </w:r>
      <w:r>
        <w:t xml:space="preserve">to capture the returned Folder object.</w:t>
      </w:r>
    </w:p>
    <w:p>
      <w:pPr>
        <w:pStyle w:val="Compact"/>
        <w:numPr>
          <w:ilvl w:val="0"/>
          <w:numId w:val="2529"/>
        </w:numPr>
      </w:pPr>
      <w:r>
        <w:t xml:space="preserve">Call</w:t>
      </w:r>
      <w:r>
        <w:t xml:space="preserve"> </w:t>
      </w:r>
      <w:r>
        <w:rPr>
          <w:rStyle w:val="VerbatimChar"/>
        </w:rPr>
        <w:t xml:space="preserve">Set fldr = Nothing</w:t>
      </w:r>
      <w:r>
        <w:t xml:space="preserve"> </w:t>
      </w:r>
      <w:r>
        <w:t xml:space="preserve">when the Folder object is no longer needed.</w:t>
      </w:r>
    </w:p>
    <w:p>
      <w:pPr>
        <w:pStyle w:val="Compact"/>
        <w:numPr>
          <w:ilvl w:val="0"/>
          <w:numId w:val="2529"/>
        </w:numPr>
      </w:pPr>
      <w:r>
        <w:t xml:space="preserve">To check existence before calling</w:t>
      </w:r>
      <w:r>
        <w:t xml:space="preserve"> </w:t>
      </w:r>
      <w:r>
        <w:rPr>
          <w:rStyle w:val="VerbatimChar"/>
        </w:rPr>
        <w:t xml:space="preserve">GetFolder</w:t>
      </w:r>
      <w:r>
        <w:t xml:space="preserve">, use</w:t>
      </w:r>
      <w:r>
        <w:t xml:space="preserve"> </w:t>
      </w:r>
      <w:r>
        <w:rPr>
          <w:rStyle w:val="VerbatimChar"/>
        </w:rPr>
        <w:t xml:space="preserve">FolderExists</w:t>
      </w:r>
      <w:r>
        <w:t xml:space="preserve">.</w:t>
      </w:r>
    </w:p>
    <w:bookmarkEnd w:id="6246"/>
    <w:bookmarkStart w:id="6247" w:name="code-example-51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fldr</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KeywordTok"/>
        </w:rPr>
        <w:t xml:space="preserve">Set</w:t>
      </w:r>
      <w:r>
        <w:rPr>
          <w:rStyle w:val="NormalTok"/>
        </w:rPr>
        <w:t xml:space="preserve"> fldr = fso.</w:t>
      </w:r>
      <w:r>
        <w:rPr>
          <w:rStyle w:val="FunctionTok"/>
        </w:rPr>
        <w:t xml:space="preserve">GetFolder</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"uploads"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fldr.Name </w:t>
      </w:r>
      <w:r>
        <w:rPr>
          <w:rStyle w:val="KeywordTok"/>
        </w:rPr>
        <w:t xml:space="preserve">&amp;</w:t>
      </w:r>
      <w:r>
        <w:rPr>
          <w:rStyle w:val="NormalTok"/>
        </w:rPr>
        <w:t xml:space="preserve"> </w:t>
      </w:r>
      <w:r>
        <w:rPr>
          <w:rStyle w:val="StringTok"/>
        </w:rPr>
        <w:t xml:space="preserve">" — "</w:t>
      </w:r>
      <w:r>
        <w:rPr>
          <w:rStyle w:val="NormalTok"/>
        </w:rPr>
        <w:t xml:space="preserve"> </w:t>
      </w:r>
      <w:r>
        <w:rPr>
          <w:rStyle w:val="KeywordTok"/>
        </w:rPr>
        <w:t xml:space="preserve">&amp;</w:t>
      </w:r>
      <w:r>
        <w:rPr>
          <w:rStyle w:val="NormalTok"/>
        </w:rPr>
        <w:t xml:space="preserve"> fldr.Size </w:t>
      </w:r>
      <w:r>
        <w:rPr>
          <w:rStyle w:val="KeywordTok"/>
        </w:rPr>
        <w:t xml:space="preserve">&amp;</w:t>
      </w:r>
      <w:r>
        <w:rPr>
          <w:rStyle w:val="NormalTok"/>
        </w:rPr>
        <w:t xml:space="preserve"> </w:t>
      </w:r>
      <w:r>
        <w:rPr>
          <w:rStyle w:val="StringTok"/>
        </w:rPr>
        <w:t xml:space="preserve">" bytes total"</w:t>
      </w:r>
      <w:r>
        <w:br/>
      </w:r>
      <w:r>
        <w:rPr>
          <w:rStyle w:val="KeywordTok"/>
        </w:rPr>
        <w:t xml:space="preserve">Set</w:t>
      </w:r>
      <w:r>
        <w:rPr>
          <w:rStyle w:val="NormalTok"/>
        </w:rPr>
        <w:t xml:space="preserve"> fldr = </w:t>
      </w:r>
      <w:r>
        <w:rPr>
          <w:rStyle w:val="KeywordTok"/>
        </w:rPr>
        <w:t xml:space="preserve">Nothing</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47"/>
    <w:bookmarkEnd w:id="6248"/>
    <w:bookmarkStart w:id="6256" w:name="gettempname-method"/>
    <w:p>
      <w:pPr>
        <w:pStyle w:val="Heading1"/>
      </w:pPr>
      <w:r>
        <w:t xml:space="preserve">GetTempName Method</w:t>
      </w:r>
    </w:p>
    <w:bookmarkStart w:id="6249" w:name="overview-669"/>
    <w:p>
      <w:pPr>
        <w:pStyle w:val="Heading2"/>
      </w:pPr>
      <w:r>
        <w:t xml:space="preserve">Overview</w:t>
      </w:r>
    </w:p>
    <w:p>
      <w:pPr>
        <w:pStyle w:val="FirstParagraph"/>
      </w:pPr>
      <w:r>
        <w:t xml:space="preserve">Generates and returns a unique temporary file name. The file is not created on disk.</w:t>
      </w:r>
    </w:p>
    <w:bookmarkEnd w:id="6249"/>
    <w:bookmarkStart w:id="6250" w:name="syntax-732"/>
    <w:p>
      <w:pPr>
        <w:pStyle w:val="Heading2"/>
      </w:pPr>
      <w:r>
        <w:t xml:space="preserve">Syntax</w:t>
      </w:r>
    </w:p>
    <w:p>
      <w:pPr>
        <w:pStyle w:val="SourceCode"/>
      </w:pPr>
      <w:r>
        <w:rPr>
          <w:rStyle w:val="NormalTok"/>
        </w:rPr>
        <w:t xml:space="preserve">result = fso.GetTempName()</w:t>
      </w:r>
    </w:p>
    <w:bookmarkEnd w:id="6250"/>
    <w:bookmarkStart w:id="6251" w:name="parameters-348"/>
    <w:p>
      <w:pPr>
        <w:pStyle w:val="Heading2"/>
      </w:pPr>
      <w:r>
        <w:t xml:space="preserve">Parameters</w:t>
      </w:r>
    </w:p>
    <w:p>
      <w:pPr>
        <w:pStyle w:val="FirstParagraph"/>
      </w:pPr>
      <w:r>
        <w:t xml:space="preserve">None.</w:t>
      </w:r>
    </w:p>
    <w:bookmarkEnd w:id="6251"/>
    <w:bookmarkStart w:id="6252" w:name="return-value-415"/>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a unique temporary file name in the format</w:t>
      </w:r>
      <w:r>
        <w:t xml:space="preserve"> </w:t>
      </w:r>
      <w:r>
        <w:rPr>
          <w:rStyle w:val="VerbatimChar"/>
        </w:rPr>
        <w:t xml:space="preserve">radXXXXXXXXXX.axon.tmp</w:t>
      </w:r>
      <w:r>
        <w:t xml:space="preserve">, where</w:t>
      </w:r>
      <w:r>
        <w:t xml:space="preserve"> </w:t>
      </w:r>
      <w:r>
        <w:rPr>
          <w:rStyle w:val="VerbatimChar"/>
        </w:rPr>
        <w:t xml:space="preserve">X</w:t>
      </w:r>
      <w:r>
        <w:t xml:space="preserve"> </w:t>
      </w:r>
      <w:r>
        <w:t xml:space="preserve">characters are hexadecimal digits derived from the current time in nanoseconds.</w:t>
      </w:r>
    </w:p>
    <w:bookmarkEnd w:id="6252"/>
    <w:bookmarkStart w:id="6253" w:name="how-it-works-76"/>
    <w:p>
      <w:pPr>
        <w:pStyle w:val="Heading2"/>
      </w:pPr>
      <w:r>
        <w:t xml:space="preserve">How It Works</w:t>
      </w:r>
    </w:p>
    <w:p>
      <w:pPr>
        <w:pStyle w:val="FirstParagraph"/>
      </w:pPr>
      <w:r>
        <w:t xml:space="preserve">The method formats the current</w:t>
      </w:r>
      <w:r>
        <w:t xml:space="preserve"> </w:t>
      </w:r>
      <w:r>
        <w:rPr>
          <w:rStyle w:val="VerbatimChar"/>
        </w:rPr>
        <w:t xml:space="preserve">time.Now().UnixNano()</w:t>
      </w:r>
      <w:r>
        <w:t xml:space="preserve"> </w:t>
      </w:r>
      <w:r>
        <w:t xml:space="preserve">value as uppercase hexadecimal and embeds it into the</w:t>
      </w:r>
      <w:r>
        <w:t xml:space="preserve"> </w:t>
      </w:r>
      <w:r>
        <w:rPr>
          <w:rStyle w:val="VerbatimChar"/>
        </w:rPr>
        <w:t xml:space="preserve">rad%X.axon.tmp</w:t>
      </w:r>
      <w:r>
        <w:t xml:space="preserve"> </w:t>
      </w:r>
      <w:r>
        <w:t xml:space="preserve">pattern. The result is a name-only string, not a full path. No file is created, and no disk access is performed.</w:t>
      </w:r>
    </w:p>
    <w:bookmarkEnd w:id="6253"/>
    <w:bookmarkStart w:id="6254" w:name="remarks-711"/>
    <w:p>
      <w:pPr>
        <w:pStyle w:val="Heading2"/>
      </w:pPr>
      <w:r>
        <w:t xml:space="preserve">Remarks</w:t>
      </w:r>
    </w:p>
    <w:p>
      <w:pPr>
        <w:pStyle w:val="Compact"/>
        <w:numPr>
          <w:ilvl w:val="0"/>
          <w:numId w:val="2530"/>
        </w:numPr>
      </w:pPr>
      <w:r>
        <w:t xml:space="preserve">The returned name is not a full path. Combine it with</w:t>
      </w:r>
      <w:r>
        <w:t xml:space="preserve"> </w:t>
      </w:r>
      <w:r>
        <w:rPr>
          <w:rStyle w:val="VerbatimChar"/>
        </w:rPr>
        <w:t xml:space="preserve">BuildPath</w:t>
      </w:r>
      <w:r>
        <w:t xml:space="preserve"> </w:t>
      </w:r>
      <w:r>
        <w:t xml:space="preserve">and a directory path (such as the system temp directory from</w:t>
      </w:r>
      <w:r>
        <w:t xml:space="preserve"> </w:t>
      </w:r>
      <w:r>
        <w:rPr>
          <w:rStyle w:val="VerbatimChar"/>
        </w:rPr>
        <w:t xml:space="preserve">GetSpecialFolder(2)</w:t>
      </w:r>
      <w:r>
        <w:t xml:space="preserve">) before creating the file.</w:t>
      </w:r>
    </w:p>
    <w:p>
      <w:pPr>
        <w:pStyle w:val="Compact"/>
        <w:numPr>
          <w:ilvl w:val="0"/>
          <w:numId w:val="2530"/>
        </w:numPr>
      </w:pPr>
      <w:r>
        <w:t xml:space="preserve">Because the name is based on the current nanosecond timestamp, normal web request sequencing makes collisions extremely unlikely, but not impossible under heavy concurrent load. Verify file non-existence with</w:t>
      </w:r>
      <w:r>
        <w:t xml:space="preserve"> </w:t>
      </w:r>
      <w:r>
        <w:rPr>
          <w:rStyle w:val="VerbatimChar"/>
        </w:rPr>
        <w:t xml:space="preserve">FileExists</w:t>
      </w:r>
      <w:r>
        <w:t xml:space="preserve"> </w:t>
      </w:r>
      <w:r>
        <w:t xml:space="preserve">before use if strict uniqueness is required.</w:t>
      </w:r>
    </w:p>
    <w:bookmarkEnd w:id="6254"/>
    <w:bookmarkStart w:id="6255" w:name="code-example-52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tempName</w:t>
      </w:r>
      <w:r>
        <w:rPr>
          <w:rStyle w:val="OtherTok"/>
        </w:rPr>
        <w:t xml:space="preserve">,</w:t>
      </w:r>
      <w:r>
        <w:rPr>
          <w:rStyle w:val="NormalTok"/>
        </w:rPr>
        <w:t xml:space="preserve"> tempPath</w:t>
      </w:r>
      <w:r>
        <w:rPr>
          <w:rStyle w:val="OtherTok"/>
        </w:rPr>
        <w:t xml:space="preserve">,</w:t>
      </w:r>
      <w:r>
        <w:rPr>
          <w:rStyle w:val="NormalTok"/>
        </w:rPr>
        <w:t xml:space="preserve"> ts</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tempName = fso.</w:t>
      </w:r>
      <w:r>
        <w:rPr>
          <w:rStyle w:val="FunctionTok"/>
        </w:rPr>
        <w:t xml:space="preserve">GetTempName</w:t>
      </w:r>
      <w:r>
        <w:rPr>
          <w:rStyle w:val="OtherTok"/>
        </w:rPr>
        <w:t xml:space="preserve">()</w:t>
      </w:r>
      <w:r>
        <w:br/>
      </w:r>
      <w:r>
        <w:rPr>
          <w:rStyle w:val="NormalTok"/>
        </w:rPr>
        <w:t xml:space="preserve">tempPath = fso.</w:t>
      </w:r>
      <w:r>
        <w:rPr>
          <w:rStyle w:val="FunctionTok"/>
        </w:rPr>
        <w:t xml:space="preserve">BuildPath</w:t>
      </w:r>
      <w:r>
        <w:rPr>
          <w:rStyle w:val="OtherTok"/>
        </w:rPr>
        <w:t xml:space="preserve">(</w:t>
      </w:r>
      <w:r>
        <w:rPr>
          <w:rStyle w:val="NormalTok"/>
        </w:rPr>
        <w:t xml:space="preserve">fso.</w:t>
      </w:r>
      <w:r>
        <w:rPr>
          <w:rStyle w:val="FunctionTok"/>
        </w:rPr>
        <w:t xml:space="preserve">GetSpecialFolder</w:t>
      </w:r>
      <w:r>
        <w:rPr>
          <w:rStyle w:val="OtherTok"/>
        </w:rPr>
        <w:t xml:space="preserve">(</w:t>
      </w:r>
      <w:r>
        <w:rPr>
          <w:rStyle w:val="DecValTok"/>
        </w:rPr>
        <w:t xml:space="preserve">2</w:t>
      </w:r>
      <w:r>
        <w:rPr>
          <w:rStyle w:val="OtherTok"/>
        </w:rPr>
        <w:t xml:space="preserve">),</w:t>
      </w:r>
      <w:r>
        <w:rPr>
          <w:rStyle w:val="NormalTok"/>
        </w:rPr>
        <w:t xml:space="preserve"> tempName</w:t>
      </w:r>
      <w:r>
        <w:rPr>
          <w:rStyle w:val="OtherTok"/>
        </w:rPr>
        <w:t xml:space="preserve">)</w:t>
      </w:r>
      <w:r>
        <w:br/>
      </w:r>
      <w:r>
        <w:br/>
      </w:r>
      <w:r>
        <w:rPr>
          <w:rStyle w:val="KeywordTok"/>
        </w:rPr>
        <w:t xml:space="preserve">Set</w:t>
      </w:r>
      <w:r>
        <w:rPr>
          <w:rStyle w:val="NormalTok"/>
        </w:rPr>
        <w:t xml:space="preserve"> ts = fso.</w:t>
      </w:r>
      <w:r>
        <w:rPr>
          <w:rStyle w:val="FunctionTok"/>
        </w:rPr>
        <w:t xml:space="preserve">CreateTextFile</w:t>
      </w:r>
      <w:r>
        <w:rPr>
          <w:rStyle w:val="OtherTok"/>
        </w:rPr>
        <w:t xml:space="preserve">(</w:t>
      </w:r>
      <w:r>
        <w:rPr>
          <w:rStyle w:val="NormalTok"/>
        </w:rPr>
        <w:t xml:space="preserve">tempPath</w:t>
      </w:r>
      <w:r>
        <w:rPr>
          <w:rStyle w:val="OtherTok"/>
        </w:rPr>
        <w:t xml:space="preserve">,</w:t>
      </w:r>
      <w:r>
        <w:rPr>
          <w:rStyle w:val="NormalTok"/>
        </w:rPr>
        <w:t xml:space="preserve"> </w:t>
      </w:r>
      <w:r>
        <w:rPr>
          <w:rStyle w:val="KeywordTok"/>
        </w:rPr>
        <w:t xml:space="preserve">False</w:t>
      </w:r>
      <w:r>
        <w:rPr>
          <w:rStyle w:val="OtherTok"/>
        </w:rPr>
        <w:t xml:space="preserve">)</w:t>
      </w:r>
      <w:r>
        <w:br/>
      </w:r>
      <w:r>
        <w:rPr>
          <w:rStyle w:val="NormalTok"/>
        </w:rPr>
        <w:t xml:space="preserve">ts.</w:t>
      </w:r>
      <w:r>
        <w:rPr>
          <w:rStyle w:val="FunctionTok"/>
        </w:rPr>
        <w:t xml:space="preserve">Write</w:t>
      </w:r>
      <w:r>
        <w:rPr>
          <w:rStyle w:val="NormalTok"/>
        </w:rPr>
        <w:t xml:space="preserve"> </w:t>
      </w:r>
      <w:r>
        <w:rPr>
          <w:rStyle w:val="StringTok"/>
        </w:rPr>
        <w:t xml:space="preserve">"temporary data"</w:t>
      </w:r>
      <w:r>
        <w:br/>
      </w:r>
      <w:r>
        <w:rPr>
          <w:rStyle w:val="NormalTok"/>
        </w:rPr>
        <w:t xml:space="preserve">ts.</w:t>
      </w:r>
      <w:r>
        <w:rPr>
          <w:rStyle w:val="KeywordTok"/>
        </w:rPr>
        <w:t xml:space="preserve">Close</w:t>
      </w:r>
      <w:r>
        <w:br/>
      </w:r>
      <w:r>
        <w:rPr>
          <w:rStyle w:val="KeywordTok"/>
        </w:rPr>
        <w:t xml:space="preserve">Set</w:t>
      </w:r>
      <w:r>
        <w:rPr>
          <w:rStyle w:val="NormalTok"/>
        </w:rPr>
        <w:t xml:space="preserve"> ts = </w:t>
      </w:r>
      <w:r>
        <w:rPr>
          <w:rStyle w:val="KeywordTok"/>
        </w:rPr>
        <w:t xml:space="preserve">Nothing</w:t>
      </w:r>
      <w:r>
        <w:br/>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"Temp file: "</w:t>
      </w:r>
      <w:r>
        <w:rPr>
          <w:rStyle w:val="NormalTok"/>
        </w:rPr>
        <w:t xml:space="preserve"> </w:t>
      </w:r>
      <w:r>
        <w:rPr>
          <w:rStyle w:val="KeywordTok"/>
        </w:rPr>
        <w:t xml:space="preserve">&amp;</w:t>
      </w:r>
      <w:r>
        <w:rPr>
          <w:rStyle w:val="NormalTok"/>
        </w:rPr>
        <w:t xml:space="preserve"> tempPath</w:t>
      </w:r>
      <w:r>
        <w:br/>
      </w:r>
      <w:r>
        <w:br/>
      </w:r>
      <w:r>
        <w:rPr>
          <w:rStyle w:val="NormalTok"/>
        </w:rPr>
        <w:t xml:space="preserve">fso.</w:t>
      </w:r>
      <w:r>
        <w:rPr>
          <w:rStyle w:val="FunctionTok"/>
        </w:rPr>
        <w:t xml:space="preserve">DeleteFile</w:t>
      </w:r>
      <w:r>
        <w:rPr>
          <w:rStyle w:val="NormalTok"/>
        </w:rPr>
        <w:t xml:space="preserve"> tempPath</w:t>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55"/>
    <w:bookmarkEnd w:id="6256"/>
    <w:bookmarkStart w:id="6264" w:name="movefile-method"/>
    <w:p>
      <w:pPr>
        <w:pStyle w:val="Heading1"/>
      </w:pPr>
      <w:r>
        <w:t xml:space="preserve">MoveFile Method</w:t>
      </w:r>
    </w:p>
    <w:bookmarkStart w:id="6257" w:name="overview-670"/>
    <w:p>
      <w:pPr>
        <w:pStyle w:val="Heading2"/>
      </w:pPr>
      <w:r>
        <w:t xml:space="preserve">Overview</w:t>
      </w:r>
    </w:p>
    <w:p>
      <w:pPr>
        <w:pStyle w:val="FirstParagraph"/>
      </w:pPr>
      <w:r>
        <w:t xml:space="preserve">Moves a file from a source path to a destination path.</w:t>
      </w:r>
    </w:p>
    <w:bookmarkEnd w:id="6257"/>
    <w:bookmarkStart w:id="6258" w:name="syntax-733"/>
    <w:p>
      <w:pPr>
        <w:pStyle w:val="Heading2"/>
      </w:pPr>
      <w:r>
        <w:t xml:space="preserve">Syntax</w:t>
      </w:r>
    </w:p>
    <w:p>
      <w:pPr>
        <w:pStyle w:val="SourceCode"/>
      </w:pPr>
      <w:r>
        <w:rPr>
          <w:rStyle w:val="NormalTok"/>
        </w:rPr>
        <w:t xml:space="preserve">fso.MoveFile source, destination</w:t>
      </w:r>
    </w:p>
    <w:bookmarkEnd w:id="6258"/>
    <w:bookmarkStart w:id="6259" w:name="parameters-34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source</w:t>
            </w:r>
          </w:p>
        </w:tc>
        <w:tc>
          <w:tcPr/>
          <w:p>
            <w:pPr>
              <w:pStyle w:val="Compact"/>
            </w:pPr>
            <w:r>
              <w:t xml:space="preserve">String</w:t>
            </w:r>
          </w:p>
        </w:tc>
        <w:tc>
          <w:tcPr/>
          <w:p>
            <w:pPr>
              <w:pStyle w:val="Compact"/>
            </w:pPr>
            <w:r>
              <w:t xml:space="preserve">Yes</w:t>
            </w:r>
          </w:p>
        </w:tc>
        <w:tc>
          <w:tcPr/>
          <w:p>
            <w:pPr>
              <w:pStyle w:val="Compact"/>
            </w:pPr>
            <w:r>
              <w:t xml:space="preserve">The full path of the file to move.</w:t>
            </w:r>
          </w:p>
        </w:tc>
      </w:tr>
      <w:tr>
        <w:tc>
          <w:tcPr/>
          <w:p>
            <w:pPr>
              <w:pStyle w:val="Compact"/>
            </w:pPr>
            <w:r>
              <w:t xml:space="preserve">destination</w:t>
            </w:r>
          </w:p>
        </w:tc>
        <w:tc>
          <w:tcPr/>
          <w:p>
            <w:pPr>
              <w:pStyle w:val="Compact"/>
            </w:pPr>
            <w:r>
              <w:t xml:space="preserve">String</w:t>
            </w:r>
          </w:p>
        </w:tc>
        <w:tc>
          <w:tcPr/>
          <w:p>
            <w:pPr>
              <w:pStyle w:val="Compact"/>
            </w:pPr>
            <w:r>
              <w:t xml:space="preserve">Yes</w:t>
            </w:r>
          </w:p>
        </w:tc>
        <w:tc>
          <w:tcPr/>
          <w:p>
            <w:pPr>
              <w:pStyle w:val="Compact"/>
            </w:pPr>
            <w:r>
              <w:t xml:space="preserve">The full destination path, including the file name.</w:t>
            </w:r>
          </w:p>
        </w:tc>
      </w:tr>
    </w:tbl>
    <w:bookmarkEnd w:id="6259"/>
    <w:bookmarkStart w:id="6260" w:name="return-value-416"/>
    <w:p>
      <w:pPr>
        <w:pStyle w:val="Heading2"/>
      </w:pPr>
      <w:r>
        <w:t xml:space="preserve">Return Value</w:t>
      </w:r>
    </w:p>
    <w:p>
      <w:pPr>
        <w:pStyle w:val="FirstParagraph"/>
      </w:pPr>
      <w:r>
        <w:t xml:space="preserve">Returns</w:t>
      </w:r>
      <w:r>
        <w:t xml:space="preserve"> </w:t>
      </w:r>
      <w:r>
        <w:rPr>
          <w:b/>
          <w:bCs/>
        </w:rPr>
        <w:t xml:space="preserve">Empty</w:t>
      </w:r>
      <w:r>
        <w:t xml:space="preserve">. The method does not return a value.</w:t>
      </w:r>
    </w:p>
    <w:bookmarkEnd w:id="6260"/>
    <w:bookmarkStart w:id="6261" w:name="how-it-works-77"/>
    <w:p>
      <w:pPr>
        <w:pStyle w:val="Heading2"/>
      </w:pPr>
      <w:r>
        <w:t xml:space="preserve">How It Works</w:t>
      </w:r>
    </w:p>
    <w:p>
      <w:pPr>
        <w:pStyle w:val="FirstParagraph"/>
      </w:pPr>
      <w:r>
        <w:t xml:space="preserve">Both paths are resolved against the web root. The runtime first attempts</w:t>
      </w:r>
      <w:r>
        <w:t xml:space="preserve"> </w:t>
      </w:r>
      <w:r>
        <w:rPr>
          <w:rStyle w:val="VerbatimChar"/>
        </w:rPr>
        <w:t xml:space="preserve">os.Rename</w:t>
      </w:r>
      <w:r>
        <w:t xml:space="preserve"> </w:t>
      </w:r>
      <w:r>
        <w:t xml:space="preserve">for an atomic move. If the rename fails (for example, across different volumes), the runtime falls back to a copy-then-delete sequence. If the destination already exists, it is replaced. Parent directories of the destination are created automatically during the fallback path.</w:t>
      </w:r>
    </w:p>
    <w:bookmarkEnd w:id="6261"/>
    <w:bookmarkStart w:id="6262" w:name="remarks-712"/>
    <w:p>
      <w:pPr>
        <w:pStyle w:val="Heading2"/>
      </w:pPr>
      <w:r>
        <w:t xml:space="preserve">Remarks</w:t>
      </w:r>
    </w:p>
    <w:p>
      <w:pPr>
        <w:pStyle w:val="Compact"/>
        <w:numPr>
          <w:ilvl w:val="0"/>
          <w:numId w:val="2531"/>
        </w:numPr>
      </w:pPr>
      <w:r>
        <w:t xml:space="preserve">If either path cannot be resolved, the operation is silently skipped.</w:t>
      </w:r>
    </w:p>
    <w:p>
      <w:pPr>
        <w:pStyle w:val="Compact"/>
        <w:numPr>
          <w:ilvl w:val="0"/>
          <w:numId w:val="2531"/>
        </w:numPr>
      </w:pPr>
      <w:r>
        <w:t xml:space="preserve">To move an entire directory, use</w:t>
      </w:r>
      <w:r>
        <w:t xml:space="preserve"> </w:t>
      </w:r>
      <w:r>
        <w:rPr>
          <w:rStyle w:val="VerbatimChar"/>
        </w:rPr>
        <w:t xml:space="preserve">MoveFolder</w:t>
      </w:r>
      <w:r>
        <w:t xml:space="preserve"> </w:t>
      </w:r>
      <w:r>
        <w:t xml:space="preserve">instead.</w:t>
      </w:r>
    </w:p>
    <w:p>
      <w:pPr>
        <w:pStyle w:val="Compact"/>
        <w:numPr>
          <w:ilvl w:val="0"/>
          <w:numId w:val="2531"/>
        </w:numPr>
      </w:pPr>
      <w:r>
        <w:t xml:space="preserve">Use</w:t>
      </w:r>
      <w:r>
        <w:t xml:space="preserve"> </w:t>
      </w:r>
      <w:r>
        <w:rPr>
          <w:rStyle w:val="VerbatimChar"/>
        </w:rPr>
        <w:t xml:space="preserve">On Error Resume Next</w:t>
      </w:r>
      <w:r>
        <w:t xml:space="preserve"> </w:t>
      </w:r>
      <w:r>
        <w:t xml:space="preserve">to handle errors gracefully at runtime.</w:t>
      </w:r>
    </w:p>
    <w:bookmarkEnd w:id="6262"/>
    <w:bookmarkStart w:id="6263" w:name="code-example-52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On Error Resume </w:t>
      </w:r>
      <w:r>
        <w:rPr>
          <w:rStyle w:val="ControlFlowTok"/>
        </w:rPr>
        <w:t xml:space="preserve">Next</w:t>
      </w:r>
      <w:r>
        <w:br/>
      </w:r>
      <w:r>
        <w:rPr>
          <w:rStyle w:val="NormalTok"/>
        </w:rPr>
        <w:t xml:space="preserve">fso.</w:t>
      </w:r>
      <w:r>
        <w:rPr>
          <w:rStyle w:val="FunctionTok"/>
        </w:rPr>
        <w:t xml:space="preserve">MoveFile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"inbox/order.xml"</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"processed/order.xml"</w:t>
      </w:r>
      <w:r>
        <w:rPr>
          <w:rStyle w:val="OtherTok"/>
        </w:rPr>
        <w:t xml:space="preserve">)</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"Move failed: "</w:t>
      </w:r>
      <w:r>
        <w:rPr>
          <w:rStyle w:val="NormalTok"/>
        </w:rPr>
        <w:t xml:space="preserve"> </w:t>
      </w:r>
      <w:r>
        <w:rPr>
          <w:rStyle w:val="KeywordTok"/>
        </w:rPr>
        <w:t xml:space="preserve">&amp;</w:t>
      </w:r>
      <w:r>
        <w:rPr>
          <w:rStyle w:val="NormalTok"/>
        </w:rPr>
        <w:t xml:space="preserve"> Err.Description</w:t>
      </w:r>
      <w:r>
        <w:br/>
      </w:r>
      <w:r>
        <w:rPr>
          <w:rStyle w:val="ControlFlowTok"/>
        </w:rPr>
        <w:t xml:space="preserve">End If</w:t>
      </w:r>
      <w:r>
        <w:br/>
      </w:r>
      <w:r>
        <w:rPr>
          <w:rStyle w:val="NormalTok"/>
        </w:rPr>
        <w:t xml:space="preserve">On Error GoTo </w:t>
      </w:r>
      <w:r>
        <w:rPr>
          <w:rStyle w:val="DecValTok"/>
        </w:rPr>
        <w:t xml:space="preserve">0</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63"/>
    <w:bookmarkEnd w:id="6264"/>
    <w:bookmarkStart w:id="6272" w:name="movefolder-method"/>
    <w:p>
      <w:pPr>
        <w:pStyle w:val="Heading1"/>
      </w:pPr>
      <w:r>
        <w:t xml:space="preserve">MoveFolder Method</w:t>
      </w:r>
    </w:p>
    <w:bookmarkStart w:id="6265" w:name="overview-671"/>
    <w:p>
      <w:pPr>
        <w:pStyle w:val="Heading2"/>
      </w:pPr>
      <w:r>
        <w:t xml:space="preserve">Overview</w:t>
      </w:r>
    </w:p>
    <w:p>
      <w:pPr>
        <w:pStyle w:val="FirstParagraph"/>
      </w:pPr>
      <w:r>
        <w:t xml:space="preserve">Moves a folder and all of its contents from a source path to a destination path.</w:t>
      </w:r>
    </w:p>
    <w:bookmarkEnd w:id="6265"/>
    <w:bookmarkStart w:id="6266" w:name="syntax-734"/>
    <w:p>
      <w:pPr>
        <w:pStyle w:val="Heading2"/>
      </w:pPr>
      <w:r>
        <w:t xml:space="preserve">Syntax</w:t>
      </w:r>
    </w:p>
    <w:p>
      <w:pPr>
        <w:pStyle w:val="SourceCode"/>
      </w:pPr>
      <w:r>
        <w:rPr>
          <w:rStyle w:val="NormalTok"/>
        </w:rPr>
        <w:t xml:space="preserve">fso.MoveFolder source, destination</w:t>
      </w:r>
    </w:p>
    <w:bookmarkEnd w:id="6266"/>
    <w:bookmarkStart w:id="6267" w:name="parameters-35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source</w:t>
            </w:r>
          </w:p>
        </w:tc>
        <w:tc>
          <w:tcPr/>
          <w:p>
            <w:pPr>
              <w:pStyle w:val="Compact"/>
            </w:pPr>
            <w:r>
              <w:t xml:space="preserve">String</w:t>
            </w:r>
          </w:p>
        </w:tc>
        <w:tc>
          <w:tcPr/>
          <w:p>
            <w:pPr>
              <w:pStyle w:val="Compact"/>
            </w:pPr>
            <w:r>
              <w:t xml:space="preserve">Yes</w:t>
            </w:r>
          </w:p>
        </w:tc>
        <w:tc>
          <w:tcPr/>
          <w:p>
            <w:pPr>
              <w:pStyle w:val="Compact"/>
            </w:pPr>
            <w:r>
              <w:t xml:space="preserve">The full path of the folder to move.</w:t>
            </w:r>
          </w:p>
        </w:tc>
      </w:tr>
      <w:tr>
        <w:tc>
          <w:tcPr/>
          <w:p>
            <w:pPr>
              <w:pStyle w:val="Compact"/>
            </w:pPr>
            <w:r>
              <w:t xml:space="preserve">destination</w:t>
            </w:r>
          </w:p>
        </w:tc>
        <w:tc>
          <w:tcPr/>
          <w:p>
            <w:pPr>
              <w:pStyle w:val="Compact"/>
            </w:pPr>
            <w:r>
              <w:t xml:space="preserve">String</w:t>
            </w:r>
          </w:p>
        </w:tc>
        <w:tc>
          <w:tcPr/>
          <w:p>
            <w:pPr>
              <w:pStyle w:val="Compact"/>
            </w:pPr>
            <w:r>
              <w:t xml:space="preserve">Yes</w:t>
            </w:r>
          </w:p>
        </w:tc>
        <w:tc>
          <w:tcPr/>
          <w:p>
            <w:pPr>
              <w:pStyle w:val="Compact"/>
            </w:pPr>
            <w:r>
              <w:t xml:space="preserve">The full destination path for the moved folder.</w:t>
            </w:r>
          </w:p>
        </w:tc>
      </w:tr>
    </w:tbl>
    <w:bookmarkEnd w:id="6267"/>
    <w:bookmarkStart w:id="6268" w:name="return-value-417"/>
    <w:p>
      <w:pPr>
        <w:pStyle w:val="Heading2"/>
      </w:pPr>
      <w:r>
        <w:t xml:space="preserve">Return Value</w:t>
      </w:r>
    </w:p>
    <w:p>
      <w:pPr>
        <w:pStyle w:val="FirstParagraph"/>
      </w:pPr>
      <w:r>
        <w:t xml:space="preserve">Returns</w:t>
      </w:r>
      <w:r>
        <w:t xml:space="preserve"> </w:t>
      </w:r>
      <w:r>
        <w:rPr>
          <w:b/>
          <w:bCs/>
        </w:rPr>
        <w:t xml:space="preserve">Empty</w:t>
      </w:r>
      <w:r>
        <w:t xml:space="preserve">. The method does not return a value.</w:t>
      </w:r>
    </w:p>
    <w:bookmarkEnd w:id="6268"/>
    <w:bookmarkStart w:id="6269" w:name="how-it-works-78"/>
    <w:p>
      <w:pPr>
        <w:pStyle w:val="Heading2"/>
      </w:pPr>
      <w:r>
        <w:t xml:space="preserve">How It Works</w:t>
      </w:r>
    </w:p>
    <w:p>
      <w:pPr>
        <w:pStyle w:val="FirstParagraph"/>
      </w:pPr>
      <w:r>
        <w:t xml:space="preserve">Both paths are resolved against the web root. The runtime first attempts</w:t>
      </w:r>
      <w:r>
        <w:t xml:space="preserve"> </w:t>
      </w:r>
      <w:r>
        <w:rPr>
          <w:rStyle w:val="VerbatimChar"/>
        </w:rPr>
        <w:t xml:space="preserve">os.Rename</w:t>
      </w:r>
      <w:r>
        <w:t xml:space="preserve"> </w:t>
      </w:r>
      <w:r>
        <w:t xml:space="preserve">for an atomic move. If the rename fails (for example, across different volumes), the runtime falls back to a recursive copy-then-delete sequence. Any existing destination at that path is replaced. Parent directories of the destination are created automatically during the fallback path.</w:t>
      </w:r>
    </w:p>
    <w:bookmarkEnd w:id="6269"/>
    <w:bookmarkStart w:id="6270" w:name="remarks-713"/>
    <w:p>
      <w:pPr>
        <w:pStyle w:val="Heading2"/>
      </w:pPr>
      <w:r>
        <w:t xml:space="preserve">Remarks</w:t>
      </w:r>
    </w:p>
    <w:p>
      <w:pPr>
        <w:pStyle w:val="Compact"/>
        <w:numPr>
          <w:ilvl w:val="0"/>
          <w:numId w:val="2532"/>
        </w:numPr>
      </w:pPr>
      <w:r>
        <w:t xml:space="preserve">If either path cannot be resolved, the operation is silently skipped.</w:t>
      </w:r>
    </w:p>
    <w:p>
      <w:pPr>
        <w:pStyle w:val="Compact"/>
        <w:numPr>
          <w:ilvl w:val="0"/>
          <w:numId w:val="2532"/>
        </w:numPr>
      </w:pPr>
      <w:r>
        <w:t xml:space="preserve">To move only a single file, use</w:t>
      </w:r>
      <w:r>
        <w:t xml:space="preserve"> </w:t>
      </w:r>
      <w:r>
        <w:rPr>
          <w:rStyle w:val="VerbatimChar"/>
        </w:rPr>
        <w:t xml:space="preserve">MoveFile</w:t>
      </w:r>
      <w:r>
        <w:t xml:space="preserve"> </w:t>
      </w:r>
      <w:r>
        <w:t xml:space="preserve">instead.</w:t>
      </w:r>
    </w:p>
    <w:p>
      <w:pPr>
        <w:pStyle w:val="Compact"/>
        <w:numPr>
          <w:ilvl w:val="0"/>
          <w:numId w:val="2532"/>
        </w:numPr>
      </w:pPr>
      <w:r>
        <w:t xml:space="preserve">Use</w:t>
      </w:r>
      <w:r>
        <w:t xml:space="preserve"> </w:t>
      </w:r>
      <w:r>
        <w:rPr>
          <w:rStyle w:val="VerbatimChar"/>
        </w:rPr>
        <w:t xml:space="preserve">On Error Resume Next</w:t>
      </w:r>
      <w:r>
        <w:t xml:space="preserve"> </w:t>
      </w:r>
      <w:r>
        <w:t xml:space="preserve">to handle errors gracefully at runtime.</w:t>
      </w:r>
    </w:p>
    <w:bookmarkEnd w:id="6270"/>
    <w:bookmarkStart w:id="6271" w:name="code-example-522"/>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NormalTok"/>
        </w:rPr>
        <w:t xml:space="preserve">On Error Resume </w:t>
      </w:r>
      <w:r>
        <w:rPr>
          <w:rStyle w:val="ControlFlowTok"/>
        </w:rPr>
        <w:t xml:space="preserve">Next</w:t>
      </w:r>
      <w:r>
        <w:br/>
      </w:r>
      <w:r>
        <w:rPr>
          <w:rStyle w:val="NormalTok"/>
        </w:rPr>
        <w:t xml:space="preserve">fso.</w:t>
      </w:r>
      <w:r>
        <w:rPr>
          <w:rStyle w:val="FunctionTok"/>
        </w:rPr>
        <w:t xml:space="preserve">MoveFolder</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"drafts/2024"</w:t>
      </w:r>
      <w:r>
        <w:rPr>
          <w:rStyle w:val="OtherTok"/>
        </w:rPr>
        <w:t xml:space="preserve">),</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"archive/2024"</w:t>
      </w:r>
      <w:r>
        <w:rPr>
          <w:rStyle w:val="OtherTok"/>
        </w:rPr>
        <w:t xml:space="preserve">)</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"MoveFolder failed: "</w:t>
      </w:r>
      <w:r>
        <w:rPr>
          <w:rStyle w:val="NormalTok"/>
        </w:rPr>
        <w:t xml:space="preserve"> </w:t>
      </w:r>
      <w:r>
        <w:rPr>
          <w:rStyle w:val="KeywordTok"/>
        </w:rPr>
        <w:t xml:space="preserve">&amp;</w:t>
      </w:r>
      <w:r>
        <w:rPr>
          <w:rStyle w:val="NormalTok"/>
        </w:rPr>
        <w:t xml:space="preserve"> Err.Description</w:t>
      </w:r>
      <w:r>
        <w:br/>
      </w:r>
      <w:r>
        <w:rPr>
          <w:rStyle w:val="ControlFlowTok"/>
        </w:rPr>
        <w:t xml:space="preserve">End If</w:t>
      </w:r>
      <w:r>
        <w:br/>
      </w:r>
      <w:r>
        <w:rPr>
          <w:rStyle w:val="NormalTok"/>
        </w:rPr>
        <w:t xml:space="preserve">On Error GoTo </w:t>
      </w:r>
      <w:r>
        <w:rPr>
          <w:rStyle w:val="DecValTok"/>
        </w:rPr>
        <w:t xml:space="preserve">0</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71"/>
    <w:bookmarkEnd w:id="6272"/>
    <w:bookmarkStart w:id="6281" w:name="opentextfile-method"/>
    <w:p>
      <w:pPr>
        <w:pStyle w:val="Heading1"/>
      </w:pPr>
      <w:r>
        <w:t xml:space="preserve">OpenTextFile Method</w:t>
      </w:r>
    </w:p>
    <w:bookmarkStart w:id="6273" w:name="overview-672"/>
    <w:p>
      <w:pPr>
        <w:pStyle w:val="Heading2"/>
      </w:pPr>
      <w:r>
        <w:t xml:space="preserve">Overview</w:t>
      </w:r>
    </w:p>
    <w:p>
      <w:pPr>
        <w:pStyle w:val="FirstParagraph"/>
      </w:pPr>
      <w:r>
        <w:t xml:space="preserve">Opens a text file for reading, writing, or appending and returns a TextStream object.</w:t>
      </w:r>
    </w:p>
    <w:bookmarkEnd w:id="6273"/>
    <w:bookmarkStart w:id="6274" w:name="syntax-735"/>
    <w:p>
      <w:pPr>
        <w:pStyle w:val="Heading2"/>
      </w:pPr>
      <w:r>
        <w:t xml:space="preserve">Syntax</w:t>
      </w:r>
    </w:p>
    <w:p>
      <w:pPr>
        <w:pStyle w:val="SourceCode"/>
      </w:pPr>
      <w:r>
        <w:rPr>
          <w:rStyle w:val="NormalTok"/>
        </w:rPr>
        <w:t xml:space="preserve">Set ts = fso.OpenTextFile(filename [, iomode [, create]])</w:t>
      </w:r>
    </w:p>
    <w:bookmarkEnd w:id="6274"/>
    <w:bookmarkStart w:id="6275" w:name="parameters-35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filename</w:t>
            </w:r>
          </w:p>
        </w:tc>
        <w:tc>
          <w:tcPr/>
          <w:p>
            <w:pPr>
              <w:pStyle w:val="Compact"/>
            </w:pPr>
            <w:r>
              <w:t xml:space="preserve">String</w:t>
            </w:r>
          </w:p>
        </w:tc>
        <w:tc>
          <w:tcPr/>
          <w:p>
            <w:pPr>
              <w:pStyle w:val="Compact"/>
            </w:pPr>
            <w:r>
              <w:t xml:space="preserve">Yes</w:t>
            </w:r>
          </w:p>
        </w:tc>
        <w:tc>
          <w:tcPr/>
          <w:p>
            <w:pPr>
              <w:pStyle w:val="Compact"/>
            </w:pPr>
            <w:r>
              <w:t xml:space="preserve">The full path to the text file to open.</w:t>
            </w:r>
          </w:p>
        </w:tc>
      </w:tr>
      <w:tr>
        <w:tc>
          <w:tcPr/>
          <w:p>
            <w:pPr>
              <w:pStyle w:val="Compact"/>
            </w:pPr>
            <w:r>
              <w:t xml:space="preserve">iomode</w:t>
            </w:r>
          </w:p>
        </w:tc>
        <w:tc>
          <w:tcPr/>
          <w:p>
            <w:pPr>
              <w:pStyle w:val="Compact"/>
            </w:pPr>
            <w:r>
              <w:t xml:space="preserve">Integer</w:t>
            </w:r>
          </w:p>
        </w:tc>
        <w:tc>
          <w:tcPr/>
          <w:p>
            <w:pPr>
              <w:pStyle w:val="Compact"/>
            </w:pPr>
            <w:r>
              <w:t xml:space="preserve">No</w:t>
            </w:r>
          </w:p>
        </w:tc>
        <w:tc>
          <w:tcPr/>
          <w:p>
            <w:pPr>
              <w:pStyle w:val="Compact"/>
            </w:pPr>
            <w:r>
              <w:t xml:space="preserve">The file access mode. 1 = ForReading (default), 2 = ForWriting, 8 = ForAppending.</w:t>
            </w:r>
          </w:p>
        </w:tc>
      </w:tr>
      <w:tr>
        <w:tc>
          <w:tcPr/>
          <w:p>
            <w:pPr>
              <w:pStyle w:val="Compact"/>
            </w:pPr>
            <w:r>
              <w:t xml:space="preserve">create</w:t>
            </w:r>
          </w:p>
        </w:tc>
        <w:tc>
          <w:tcPr/>
          <w:p>
            <w:pPr>
              <w:pStyle w:val="Compact"/>
            </w:pPr>
            <w:r>
              <w:t xml:space="preserve">Boolean</w:t>
            </w:r>
          </w:p>
        </w:tc>
        <w:tc>
          <w:tcPr/>
          <w:p>
            <w:pPr>
              <w:pStyle w:val="Compact"/>
            </w:pPr>
            <w:r>
              <w:t xml:space="preserve">No</w:t>
            </w:r>
          </w:p>
        </w:tc>
        <w:tc>
          <w:tcPr/>
          <w:p>
            <w:pPr>
              <w:pStyle w:val="Compact"/>
            </w:pPr>
            <w:r>
              <w:t xml:space="preserve">When True and iomode is 1 (ForReading), creates the file if it does not exist. Ignored for write and append modes, which always create the file. Defaults to False.</w:t>
            </w:r>
          </w:p>
        </w:tc>
      </w:tr>
    </w:tbl>
    <w:bookmarkEnd w:id="6275"/>
    <w:bookmarkStart w:id="6276" w:name="return-value-418"/>
    <w:p>
      <w:pPr>
        <w:pStyle w:val="Heading2"/>
      </w:pPr>
      <w:r>
        <w:t xml:space="preserve">Return Value</w:t>
      </w:r>
    </w:p>
    <w:p>
      <w:pPr>
        <w:pStyle w:val="FirstParagraph"/>
      </w:pPr>
      <w:r>
        <w:t xml:space="preserve">Returns a</w:t>
      </w:r>
      <w:r>
        <w:t xml:space="preserve"> </w:t>
      </w:r>
      <w:r>
        <w:rPr>
          <w:b/>
          <w:bCs/>
        </w:rPr>
        <w:t xml:space="preserve">TextStream</w:t>
      </w:r>
      <w:r>
        <w:t xml:space="preserve"> </w:t>
      </w:r>
      <w:r>
        <w:t xml:space="preserve">object for the opened file. Returns</w:t>
      </w:r>
      <w:r>
        <w:t xml:space="preserve"> </w:t>
      </w:r>
      <w:r>
        <w:rPr>
          <w:b/>
          <w:bCs/>
        </w:rPr>
        <w:t xml:space="preserve">Empty</w:t>
      </w:r>
      <w:r>
        <w:t xml:space="preserve"> </w:t>
      </w:r>
      <w:r>
        <w:t xml:space="preserve">if the path cannot be resolved or if the OS rejects the open call (for example, the file does not exist and</w:t>
      </w:r>
      <w:r>
        <w:t xml:space="preserve"> </w:t>
      </w:r>
      <w:r>
        <w:rPr>
          <w:rStyle w:val="VerbatimChar"/>
        </w:rPr>
        <w:t xml:space="preserve">create</w:t>
      </w:r>
      <w:r>
        <w:t xml:space="preserve"> </w:t>
      </w:r>
      <w:r>
        <w:t xml:space="preserve">is False for read mode).</w:t>
      </w:r>
    </w:p>
    <w:bookmarkEnd w:id="6276"/>
    <w:bookmarkStart w:id="6277" w:name="how-it-works-79"/>
    <w:p>
      <w:pPr>
        <w:pStyle w:val="Heading2"/>
      </w:pPr>
      <w:r>
        <w:t xml:space="preserve">How It Works</w:t>
      </w:r>
    </w:p>
    <w:p>
      <w:pPr>
        <w:pStyle w:val="FirstParagraph"/>
      </w:pPr>
      <w:r>
        <w:t xml:space="preserve">The path is resolved against the web root. The runtime translates</w:t>
      </w:r>
      <w:r>
        <w:t xml:space="preserve"> </w:t>
      </w:r>
      <w:r>
        <w:rPr>
          <w:rStyle w:val="VerbatimChar"/>
        </w:rPr>
        <w:t xml:space="preserve">iomode</w:t>
      </w:r>
      <w:r>
        <w:t xml:space="preserve"> </w:t>
      </w:r>
      <w:r>
        <w:t xml:space="preserve">into OS open flags:</w:t>
      </w:r>
    </w:p>
    <w:p>
      <w:pPr>
        <w:pStyle w:val="Compact"/>
        <w:numPr>
          <w:ilvl w:val="0"/>
          <w:numId w:val="2533"/>
        </w:numPr>
      </w:pPr>
      <w:r>
        <w:rPr>
          <w:b/>
          <w:bCs/>
        </w:rPr>
        <w:t xml:space="preserve">1 (ForReading):</w:t>
      </w:r>
      <w:r>
        <w:t xml:space="preserve"> </w:t>
      </w:r>
      <w:r>
        <w:t xml:space="preserve">Opens with</w:t>
      </w:r>
      <w:r>
        <w:t xml:space="preserve"> </w:t>
      </w:r>
      <w:r>
        <w:rPr>
          <w:rStyle w:val="VerbatimChar"/>
        </w:rPr>
        <w:t xml:space="preserve">O_RDONLY</w:t>
      </w:r>
      <w:r>
        <w:t xml:space="preserve">. If</w:t>
      </w:r>
      <w:r>
        <w:t xml:space="preserve"> </w:t>
      </w:r>
      <w:r>
        <w:rPr>
          <w:rStyle w:val="VerbatimChar"/>
        </w:rPr>
        <w:t xml:space="preserve">create</w:t>
      </w:r>
      <w:r>
        <w:t xml:space="preserve"> </w:t>
      </w:r>
      <w:r>
        <w:t xml:space="preserve">is True,</w:t>
      </w:r>
      <w:r>
        <w:t xml:space="preserve"> </w:t>
      </w:r>
      <w:r>
        <w:rPr>
          <w:rStyle w:val="VerbatimChar"/>
        </w:rPr>
        <w:t xml:space="preserve">O_CREATE</w:t>
      </w:r>
      <w:r>
        <w:t xml:space="preserve"> </w:t>
      </w:r>
      <w:r>
        <w:t xml:space="preserve">is also set.</w:t>
      </w:r>
    </w:p>
    <w:p>
      <w:pPr>
        <w:pStyle w:val="Compact"/>
        <w:numPr>
          <w:ilvl w:val="0"/>
          <w:numId w:val="2533"/>
        </w:numPr>
      </w:pPr>
      <w:r>
        <w:rPr>
          <w:b/>
          <w:bCs/>
        </w:rPr>
        <w:t xml:space="preserve">2 (ForWriting):</w:t>
      </w:r>
      <w:r>
        <w:t xml:space="preserve"> </w:t>
      </w:r>
      <w:r>
        <w:t xml:space="preserve">Opens with</w:t>
      </w:r>
      <w:r>
        <w:t xml:space="preserve"> </w:t>
      </w:r>
      <w:r>
        <w:rPr>
          <w:rStyle w:val="VerbatimChar"/>
        </w:rPr>
        <w:t xml:space="preserve">O_WRONLY | O_CREATE | O_TRUNC</w:t>
      </w:r>
      <w:r>
        <w:t xml:space="preserve">, replacing any existing content.</w:t>
      </w:r>
    </w:p>
    <w:p>
      <w:pPr>
        <w:pStyle w:val="Compact"/>
        <w:numPr>
          <w:ilvl w:val="0"/>
          <w:numId w:val="2533"/>
        </w:numPr>
      </w:pPr>
      <w:r>
        <w:rPr>
          <w:b/>
          <w:bCs/>
        </w:rPr>
        <w:t xml:space="preserve">8 (ForAppending):</w:t>
      </w:r>
      <w:r>
        <w:t xml:space="preserve"> </w:t>
      </w:r>
      <w:r>
        <w:t xml:space="preserve">Opens with</w:t>
      </w:r>
      <w:r>
        <w:t xml:space="preserve"> </w:t>
      </w:r>
      <w:r>
        <w:rPr>
          <w:rStyle w:val="VerbatimChar"/>
        </w:rPr>
        <w:t xml:space="preserve">O_WRONLY | O_CREATE | O_APPEND</w:t>
      </w:r>
      <w:r>
        <w:t xml:space="preserve">, adding content at the end.</w:t>
      </w:r>
    </w:p>
    <w:p>
      <w:pPr>
        <w:pStyle w:val="FirstParagraph"/>
      </w:pPr>
      <w:r>
        <w:t xml:space="preserve">For write and append modes, the runtime creates any missing parent directories automatically.</w:t>
      </w:r>
    </w:p>
    <w:bookmarkEnd w:id="6277"/>
    <w:bookmarkStart w:id="6278" w:name="remarks-714"/>
    <w:p>
      <w:pPr>
        <w:pStyle w:val="Heading2"/>
      </w:pPr>
      <w:r>
        <w:t xml:space="preserve">Remarks</w:t>
      </w:r>
    </w:p>
    <w:p>
      <w:pPr>
        <w:pStyle w:val="Compact"/>
        <w:numPr>
          <w:ilvl w:val="0"/>
          <w:numId w:val="2534"/>
        </w:numPr>
      </w:pPr>
      <w:r>
        <w:t xml:space="preserve">A TextStream opened in ForReading mode (1) rejects all write operations (</w:t>
      </w:r>
      <w:r>
        <w:rPr>
          <w:rStyle w:val="VerbatimChar"/>
        </w:rPr>
        <w:t xml:space="preserve">Write</w:t>
      </w:r>
      <w:r>
        <w:t xml:space="preserve">,</w:t>
      </w:r>
      <w:r>
        <w:t xml:space="preserve"> </w:t>
      </w:r>
      <w:r>
        <w:rPr>
          <w:rStyle w:val="VerbatimChar"/>
        </w:rPr>
        <w:t xml:space="preserve">WriteLine</w:t>
      </w:r>
      <w:r>
        <w:t xml:space="preserve">,</w:t>
      </w:r>
      <w:r>
        <w:t xml:space="preserve"> </w:t>
      </w:r>
      <w:r>
        <w:rPr>
          <w:rStyle w:val="VerbatimChar"/>
        </w:rPr>
        <w:t xml:space="preserve">WriteBlankLines</w:t>
      </w:r>
      <w:r>
        <w:t xml:space="preserve">). Those calls return Empty silently.</w:t>
      </w:r>
    </w:p>
    <w:p>
      <w:pPr>
        <w:pStyle w:val="Compact"/>
        <w:numPr>
          <w:ilvl w:val="0"/>
          <w:numId w:val="2534"/>
        </w:numPr>
      </w:pPr>
      <w:r>
        <w:t xml:space="preserve">Always call</w:t>
      </w:r>
      <w:r>
        <w:t xml:space="preserve"> </w:t>
      </w:r>
      <w:r>
        <w:rPr>
          <w:rStyle w:val="VerbatimChar"/>
        </w:rPr>
        <w:t xml:space="preserve">ts.Close</w:t>
      </w:r>
      <w:r>
        <w:t xml:space="preserve"> </w:t>
      </w:r>
      <w:r>
        <w:t xml:space="preserve">and</w:t>
      </w:r>
      <w:r>
        <w:t xml:space="preserve"> </w:t>
      </w:r>
      <w:r>
        <w:rPr>
          <w:rStyle w:val="VerbatimChar"/>
        </w:rPr>
        <w:t xml:space="preserve">Set ts = Nothing</w:t>
      </w:r>
      <w:r>
        <w:t xml:space="preserve"> </w:t>
      </w:r>
      <w:r>
        <w:t xml:space="preserve">after use to release the file handle.</w:t>
      </w:r>
    </w:p>
    <w:p>
      <w:pPr>
        <w:pStyle w:val="Compact"/>
        <w:numPr>
          <w:ilvl w:val="0"/>
          <w:numId w:val="2534"/>
        </w:numPr>
      </w:pPr>
      <w:r>
        <w:t xml:space="preserve">Use</w:t>
      </w:r>
      <w:r>
        <w:t xml:space="preserve"> </w:t>
      </w:r>
      <w:r>
        <w:rPr>
          <w:rStyle w:val="VerbatimChar"/>
        </w:rPr>
        <w:t xml:space="preserve">FileExists</w:t>
      </w:r>
      <w:r>
        <w:t xml:space="preserve"> </w:t>
      </w:r>
      <w:r>
        <w:t xml:space="preserve">before opening in read mode when you need to handle missing files without an error.</w:t>
      </w:r>
    </w:p>
    <w:bookmarkEnd w:id="6278"/>
    <w:bookmarkStart w:id="6279" w:name="code-example-523"/>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fso</w:t>
      </w:r>
      <w:r>
        <w:rPr>
          <w:rStyle w:val="OtherTok"/>
        </w:rPr>
        <w:t xml:space="preserve">,</w:t>
      </w:r>
      <w:r>
        <w:rPr>
          <w:rStyle w:val="NormalTok"/>
        </w:rPr>
        <w:t xml:space="preserve"> ts</w:t>
      </w:r>
      <w:r>
        <w:rPr>
          <w:rStyle w:val="OtherTok"/>
        </w:rPr>
        <w:t xml:space="preserve">,</w:t>
      </w:r>
      <w:r>
        <w:rPr>
          <w:rStyle w:val="NormalTok"/>
        </w:rPr>
        <w:t xml:space="preserve"> line</w:t>
      </w:r>
      <w:r>
        <w:br/>
      </w:r>
      <w:r>
        <w:rPr>
          <w:rStyle w:val="KeywordTok"/>
        </w:rPr>
        <w:t xml:space="preserve">Set</w:t>
      </w:r>
      <w:r>
        <w:rPr>
          <w:rStyle w:val="NormalTok"/>
        </w:rPr>
        <w:t xml:space="preserve"> fso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"Scripting.FileSystemObject"</w:t>
      </w:r>
      <w:r>
        <w:rPr>
          <w:rStyle w:val="OtherTok"/>
        </w:rPr>
        <w:t xml:space="preserve">)</w:t>
      </w:r>
      <w:r>
        <w:br/>
      </w:r>
      <w:r>
        <w:br/>
      </w:r>
      <w:r>
        <w:rPr>
          <w:rStyle w:val="CommentTok"/>
        </w:rPr>
        <w:t xml:space="preserve">' Append a log entry</w:t>
      </w:r>
      <w:r>
        <w:br/>
      </w:r>
      <w:r>
        <w:rPr>
          <w:rStyle w:val="KeywordTok"/>
        </w:rPr>
        <w:t xml:space="preserve">Set</w:t>
      </w:r>
      <w:r>
        <w:rPr>
          <w:rStyle w:val="NormalTok"/>
        </w:rPr>
        <w:t xml:space="preserve"> ts = fso.</w:t>
      </w:r>
      <w:r>
        <w:rPr>
          <w:rStyle w:val="FunctionTok"/>
        </w:rPr>
        <w:t xml:space="preserve">OpenTextFile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"logs/access.log"</w:t>
      </w:r>
      <w:r>
        <w:rPr>
          <w:rStyle w:val="OtherTok"/>
        </w:rPr>
        <w:t xml:space="preserve">),</w:t>
      </w:r>
      <w:r>
        <w:rPr>
          <w:rStyle w:val="NormalTok"/>
        </w:rPr>
        <w:t xml:space="preserve"> </w:t>
      </w:r>
      <w:r>
        <w:rPr>
          <w:rStyle w:val="DecValTok"/>
        </w:rPr>
        <w:t xml:space="preserve">8</w:t>
      </w:r>
      <w:r>
        <w:rPr>
          <w:rStyle w:val="OtherTok"/>
        </w:rPr>
        <w:t xml:space="preserve">,</w:t>
      </w:r>
      <w:r>
        <w:rPr>
          <w:rStyle w:val="NormalTok"/>
        </w:rPr>
        <w:t xml:space="preserve"> </w:t>
      </w:r>
      <w:r>
        <w:rPr>
          <w:rStyle w:val="KeywordTok"/>
        </w:rPr>
        <w:t xml:space="preserve">True</w:t>
      </w:r>
      <w:r>
        <w:rPr>
          <w:rStyle w:val="OtherTok"/>
        </w:rPr>
        <w:t xml:space="preserve">)</w:t>
      </w:r>
      <w:r>
        <w:br/>
      </w:r>
      <w:r>
        <w:rPr>
          <w:rStyle w:val="NormalTok"/>
        </w:rPr>
        <w:t xml:space="preserve">ts.</w:t>
      </w:r>
      <w:r>
        <w:rPr>
          <w:rStyle w:val="FunctionTok"/>
        </w:rPr>
        <w:t xml:space="preserve">WriteLine</w:t>
      </w:r>
      <w:r>
        <w:rPr>
          <w:rStyle w:val="NormalTok"/>
        </w:rPr>
        <w:t xml:space="preserve"> </w:t>
      </w:r>
      <w:r>
        <w:rPr>
          <w:rStyle w:val="FunctionTok"/>
        </w:rPr>
        <w:t xml:space="preserve">Now</w:t>
      </w:r>
      <w:r>
        <w:rPr>
          <w:rStyle w:val="NormalTok"/>
        </w:rPr>
        <w:t xml:space="preserve"> </w:t>
      </w:r>
      <w:r>
        <w:rPr>
          <w:rStyle w:val="KeywordTok"/>
        </w:rPr>
        <w:t xml:space="preserve">&amp;</w:t>
      </w:r>
      <w:r>
        <w:rPr>
          <w:rStyle w:val="NormalTok"/>
        </w:rPr>
        <w:t xml:space="preserve"> </w:t>
      </w:r>
      <w:r>
        <w:rPr>
          <w:rStyle w:val="StringTok"/>
        </w:rPr>
        <w:t xml:space="preserve">" - page loaded"</w:t>
      </w:r>
      <w:r>
        <w:br/>
      </w:r>
      <w:r>
        <w:rPr>
          <w:rStyle w:val="NormalTok"/>
        </w:rPr>
        <w:t xml:space="preserve">ts.</w:t>
      </w:r>
      <w:r>
        <w:rPr>
          <w:rStyle w:val="KeywordTok"/>
        </w:rPr>
        <w:t xml:space="preserve">Close</w:t>
      </w:r>
      <w:r>
        <w:br/>
      </w:r>
      <w:r>
        <w:rPr>
          <w:rStyle w:val="KeywordTok"/>
        </w:rPr>
        <w:t xml:space="preserve">Set</w:t>
      </w:r>
      <w:r>
        <w:rPr>
          <w:rStyle w:val="NormalTok"/>
        </w:rPr>
        <w:t xml:space="preserve"> ts = </w:t>
      </w:r>
      <w:r>
        <w:rPr>
          <w:rStyle w:val="KeywordTok"/>
        </w:rPr>
        <w:t xml:space="preserve">Nothing</w:t>
      </w:r>
      <w:r>
        <w:br/>
      </w:r>
      <w:r>
        <w:br/>
      </w:r>
      <w:r>
        <w:rPr>
          <w:rStyle w:val="CommentTok"/>
        </w:rPr>
        <w:t xml:space="preserve">' Read the entire log</w:t>
      </w:r>
      <w:r>
        <w:br/>
      </w:r>
      <w:r>
        <w:rPr>
          <w:rStyle w:val="KeywordTok"/>
        </w:rPr>
        <w:t xml:space="preserve">Set</w:t>
      </w:r>
      <w:r>
        <w:rPr>
          <w:rStyle w:val="NormalTok"/>
        </w:rPr>
        <w:t xml:space="preserve"> ts = fso.</w:t>
      </w:r>
      <w:r>
        <w:rPr>
          <w:rStyle w:val="FunctionTok"/>
        </w:rPr>
        <w:t xml:space="preserve">OpenTextFile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"logs/access.log"</w:t>
      </w:r>
      <w:r>
        <w:rPr>
          <w:rStyle w:val="OtherTok"/>
        </w:rPr>
        <w:t xml:space="preserve">),</w:t>
      </w:r>
      <w:r>
        <w:rPr>
          <w:rStyle w:val="NormalTok"/>
        </w:rPr>
        <w:t xml:space="preserve"> </w:t>
      </w:r>
      <w:r>
        <w:rPr>
          <w:rStyle w:val="DecValTok"/>
        </w:rPr>
        <w:t xml:space="preserve">1</w:t>
      </w:r>
      <w:r>
        <w:rPr>
          <w:rStyle w:val="OtherTok"/>
        </w:rPr>
        <w:t xml:space="preserve">)</w:t>
      </w:r>
      <w:r>
        <w:br/>
      </w:r>
      <w:r>
        <w:rPr>
          <w:rStyle w:val="ControlFlowTok"/>
        </w:rPr>
        <w:t xml:space="preserve">Do While</w:t>
      </w:r>
      <w:r>
        <w:rPr>
          <w:rStyle w:val="NormalTok"/>
        </w:rPr>
        <w:t xml:space="preserve"> </w:t>
      </w:r>
      <w:r>
        <w:rPr>
          <w:rStyle w:val="KeywordTok"/>
        </w:rPr>
        <w:t xml:space="preserve">Not</w:t>
      </w:r>
      <w:r>
        <w:rPr>
          <w:rStyle w:val="NormalTok"/>
        </w:rPr>
        <w:t xml:space="preserve"> ts.AtEndOfStream</w:t>
      </w:r>
      <w:r>
        <w:br/>
      </w:r>
      <w:r>
        <w:rPr>
          <w:rStyle w:val="NormalTok"/>
        </w:rPr>
        <w:t xml:space="preserve">    line = ts.</w:t>
      </w:r>
      <w:r>
        <w:rPr>
          <w:rStyle w:val="FunctionTok"/>
        </w:rPr>
        <w:t xml:space="preserve">ReadLine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line</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ControlFlowTok"/>
        </w:rPr>
        <w:t xml:space="preserve">Loop</w:t>
      </w:r>
      <w:r>
        <w:br/>
      </w:r>
      <w:r>
        <w:rPr>
          <w:rStyle w:val="NormalTok"/>
        </w:rPr>
        <w:t xml:space="preserve">ts.</w:t>
      </w:r>
      <w:r>
        <w:rPr>
          <w:rStyle w:val="KeywordTok"/>
        </w:rPr>
        <w:t xml:space="preserve">Close</w:t>
      </w:r>
      <w:r>
        <w:br/>
      </w:r>
      <w:r>
        <w:rPr>
          <w:rStyle w:val="KeywordTok"/>
        </w:rPr>
        <w:t xml:space="preserve">Set</w:t>
      </w:r>
      <w:r>
        <w:rPr>
          <w:rStyle w:val="NormalTok"/>
        </w:rPr>
        <w:t xml:space="preserve"> ts = </w:t>
      </w:r>
      <w:r>
        <w:rPr>
          <w:rStyle w:val="KeywordTok"/>
        </w:rPr>
        <w:t xml:space="preserve">Nothing</w:t>
      </w:r>
      <w:r>
        <w:br/>
      </w:r>
      <w:r>
        <w:br/>
      </w:r>
      <w:r>
        <w:rPr>
          <w:rStyle w:val="KeywordTok"/>
        </w:rPr>
        <w:t xml:space="preserve">Set</w:t>
      </w:r>
      <w:r>
        <w:rPr>
          <w:rStyle w:val="NormalTok"/>
        </w:rPr>
        <w:t xml:space="preserve"> fso = </w:t>
      </w:r>
      <w:r>
        <w:rPr>
          <w:rStyle w:val="KeywordTok"/>
        </w:rPr>
        <w:t xml:space="preserve">Nothing</w:t>
      </w:r>
      <w:r>
        <w:br/>
      </w:r>
      <w:r>
        <w:rPr>
          <w:rStyle w:val="DataTypeTok"/>
        </w:rPr>
        <w:t xml:space="preserve">%&gt;</w:t>
      </w:r>
    </w:p>
    <w:bookmarkEnd w:id="6279"/>
    <w:bookmarkStart w:id="6280" w:name="vbscript.regexp"/>
    <w:p>
      <w:pPr>
        <w:pStyle w:val="Heading2"/>
      </w:pPr>
      <w:r>
        <w:t xml:space="preserve">VBSCRIPT.REGEXP</w:t>
      </w:r>
    </w:p>
    <w:bookmarkEnd w:id="6280"/>
    <w:bookmarkEnd w:id="6281"/>
    <w:bookmarkStart w:id="6289" w:name="use-vbscript.regexp-in-axonasp"/>
    <w:p>
      <w:pPr>
        <w:pStyle w:val="Heading1"/>
      </w:pPr>
      <w:r>
        <w:t xml:space="preserve">Use VBScript.RegExp in AxonASP</w:t>
      </w:r>
    </w:p>
    <w:bookmarkStart w:id="6282" w:name="overview-673"/>
    <w:p>
      <w:pPr>
        <w:pStyle w:val="Heading2"/>
      </w:pPr>
      <w:r>
        <w:t xml:space="preserve">Overview</w:t>
      </w:r>
    </w:p>
    <w:p>
      <w:pPr>
        <w:pStyle w:val="FirstParagraph"/>
      </w:pPr>
      <w:r>
        <w:t xml:space="preserve">VBScript.RegExp provides regular expression matching, searching, and replacement for Classic ASP scripts. Use it to validate input, extract substrings, and perform pattern-based text transformations.</w:t>
      </w:r>
    </w:p>
    <w:p>
      <w:pPr>
        <w:pStyle w:val="BodyText"/>
      </w:pPr>
      <w:r>
        <w:t xml:space="preserve">The object supports the full regular expression syntax accepted by Go’s</w:t>
      </w:r>
      <w:r>
        <w:t xml:space="preserve"> </w:t>
      </w:r>
      <w:r>
        <w:rPr>
          <w:rStyle w:val="VerbatimChar"/>
        </w:rPr>
        <w:t xml:space="preserve">regexp</w:t>
      </w:r>
      <w:r>
        <w:t xml:space="preserve"> </w:t>
      </w:r>
      <w:r>
        <w:t xml:space="preserve">package, which follows RE2 semantics. This is compatible with the majority of VBScript regex patterns, with the exception of lookahead and lookbehind assertions and backreferences, which are not supported by RE2.</w:t>
      </w:r>
    </w:p>
    <w:bookmarkEnd w:id="6282"/>
    <w:bookmarkStart w:id="6283" w:name="prerequisites-175"/>
    <w:p>
      <w:pPr>
        <w:pStyle w:val="Heading2"/>
      </w:pPr>
      <w:r>
        <w:t xml:space="preserve">Prerequisites</w:t>
      </w:r>
    </w:p>
    <w:p>
      <w:pPr>
        <w:pStyle w:val="Compact"/>
        <w:numPr>
          <w:ilvl w:val="0"/>
          <w:numId w:val="2535"/>
        </w:numPr>
      </w:pPr>
      <w:r>
        <w:t xml:space="preserve">Set</w:t>
      </w:r>
      <w:r>
        <w:t xml:space="preserve"> </w:t>
      </w:r>
      <w:r>
        <w:rPr>
          <w:rStyle w:val="VerbatimChar"/>
        </w:rPr>
        <w:t xml:space="preserve">Pattern</w:t>
      </w:r>
      <w:r>
        <w:t xml:space="preserve"> </w:t>
      </w:r>
      <w:r>
        <w:t xml:space="preserve">before calling any method. Calling</w:t>
      </w:r>
      <w:r>
        <w:t xml:space="preserve"> </w:t>
      </w:r>
      <w:r>
        <w:rPr>
          <w:rStyle w:val="VerbatimChar"/>
        </w:rPr>
        <w:t xml:space="preserve">Execute</w:t>
      </w:r>
      <w:r>
        <w:t xml:space="preserve">,</w:t>
      </w:r>
      <w:r>
        <w:t xml:space="preserve"> </w:t>
      </w:r>
      <w:r>
        <w:rPr>
          <w:rStyle w:val="VerbatimChar"/>
        </w:rPr>
        <w:t xml:space="preserve">Test</w:t>
      </w:r>
      <w:r>
        <w:t xml:space="preserve">, or</w:t>
      </w:r>
      <w:r>
        <w:t xml:space="preserve"> </w:t>
      </w:r>
      <w:r>
        <w:rPr>
          <w:rStyle w:val="VerbatimChar"/>
        </w:rPr>
        <w:t xml:space="preserve">Replace</w:t>
      </w:r>
      <w:r>
        <w:t xml:space="preserve"> </w:t>
      </w:r>
      <w:r>
        <w:t xml:space="preserve">without a pattern returns an empty Matches collection,</w:t>
      </w:r>
      <w:r>
        <w:t xml:space="preserve"> </w:t>
      </w:r>
      <w:r>
        <w:rPr>
          <w:rStyle w:val="VerbatimChar"/>
        </w:rPr>
        <w:t xml:space="preserve">False</w:t>
      </w:r>
      <w:r>
        <w:t xml:space="preserve">, or the original input string respectively.</w:t>
      </w:r>
    </w:p>
    <w:p>
      <w:pPr>
        <w:pStyle w:val="Compact"/>
        <w:numPr>
          <w:ilvl w:val="0"/>
          <w:numId w:val="2535"/>
        </w:numPr>
      </w:pPr>
      <w:r>
        <w:t xml:space="preserve">Setting</w:t>
      </w:r>
      <w:r>
        <w:t xml:space="preserve"> </w:t>
      </w:r>
      <w:r>
        <w:rPr>
          <w:rStyle w:val="VerbatimChar"/>
        </w:rPr>
        <w:t xml:space="preserve">IgnoreCase</w:t>
      </w:r>
      <w:r>
        <w:t xml:space="preserve"> </w:t>
      </w:r>
      <w:r>
        <w:t xml:space="preserve">or</w:t>
      </w:r>
      <w:r>
        <w:t xml:space="preserve"> </w:t>
      </w:r>
      <w:r>
        <w:rPr>
          <w:rStyle w:val="VerbatimChar"/>
        </w:rPr>
        <w:t xml:space="preserve">MultiLine</w:t>
      </w:r>
      <w:r>
        <w:t xml:space="preserve"> </w:t>
      </w:r>
      <w:r>
        <w:t xml:space="preserve">after</w:t>
      </w:r>
      <w:r>
        <w:t xml:space="preserve"> </w:t>
      </w:r>
      <w:r>
        <w:rPr>
          <w:rStyle w:val="VerbatimChar"/>
        </w:rPr>
        <w:t xml:space="preserve">Pattern</w:t>
      </w:r>
      <w:r>
        <w:t xml:space="preserve"> </w:t>
      </w:r>
      <w:r>
        <w:t xml:space="preserve">recompiles the internal expression automatically.</w:t>
      </w:r>
    </w:p>
    <w:bookmarkEnd w:id="6283"/>
    <w:bookmarkStart w:id="6284" w:name="syntax-736"/>
    <w:p>
      <w:pPr>
        <w:pStyle w:val="Heading2"/>
      </w:pPr>
      <w:r>
        <w:t xml:space="preserve">Syntax</w:t>
      </w:r>
    </w:p>
    <w:p>
      <w:pPr>
        <w:pStyle w:val="SourceCode"/>
      </w:pPr>
      <w:r>
        <w:rPr>
          <w:rStyle w:val="NormalTok"/>
        </w:rPr>
        <w:t xml:space="preserve">Set re = Server.CreateObject("VBScript.RegExp")</w:t>
      </w:r>
    </w:p>
    <w:bookmarkEnd w:id="6284"/>
    <w:bookmarkStart w:id="6285" w:name="return-value-419"/>
    <w:p>
      <w:pPr>
        <w:pStyle w:val="Heading2"/>
      </w:pPr>
      <w:r>
        <w:t xml:space="preserve">Return Value</w:t>
      </w:r>
    </w:p>
    <w:p>
      <w:pPr>
        <w:pStyle w:val="FirstParagraph"/>
      </w:pPr>
      <w:r>
        <w:t xml:space="preserve">Returns a native RegExp object handle. Use</w:t>
      </w:r>
      <w:r>
        <w:t xml:space="preserve"> </w:t>
      </w:r>
      <w:r>
        <w:rPr>
          <w:rStyle w:val="VerbatimChar"/>
        </w:rPr>
        <w:t xml:space="preserve">Set</w:t>
      </w:r>
      <w:r>
        <w:t xml:space="preserve"> </w:t>
      </w:r>
      <w:r>
        <w:t xml:space="preserve">for assignment. Call</w:t>
      </w:r>
      <w:r>
        <w:t xml:space="preserve"> </w:t>
      </w:r>
      <w:r>
        <w:rPr>
          <w:rStyle w:val="VerbatimChar"/>
        </w:rPr>
        <w:t xml:space="preserve">Set re = Nothing</w:t>
      </w:r>
      <w:r>
        <w:t xml:space="preserve"> </w:t>
      </w:r>
      <w:r>
        <w:t xml:space="preserve">when the object is no longer needed.</w:t>
      </w:r>
    </w:p>
    <w:bookmarkEnd w:id="6285"/>
    <w:bookmarkStart w:id="6286" w:name="how-it-works-80"/>
    <w:p>
      <w:pPr>
        <w:pStyle w:val="Heading2"/>
      </w:pPr>
      <w:r>
        <w:t xml:space="preserve">How It Works</w:t>
      </w:r>
    </w:p>
    <w:p>
      <w:pPr>
        <w:pStyle w:val="FirstParagraph"/>
      </w:pPr>
      <w:r>
        <w:t xml:space="preserve">The AxonASP runtime stores each RegExp instance in an internal map keyed by a dynamic numeric ID. Setting the</w:t>
      </w:r>
      <w:r>
        <w:t xml:space="preserve"> </w:t>
      </w:r>
      <w:r>
        <w:rPr>
          <w:rStyle w:val="VerbatimChar"/>
        </w:rPr>
        <w:t xml:space="preserve">Pattern</w:t>
      </w:r>
      <w:r>
        <w:t xml:space="preserve">,</w:t>
      </w:r>
      <w:r>
        <w:t xml:space="preserve"> </w:t>
      </w:r>
      <w:r>
        <w:rPr>
          <w:rStyle w:val="VerbatimChar"/>
        </w:rPr>
        <w:t xml:space="preserve">IgnoreCase</w:t>
      </w:r>
      <w:r>
        <w:t xml:space="preserve">, or</w:t>
      </w:r>
      <w:r>
        <w:t xml:space="preserve"> </w:t>
      </w:r>
      <w:r>
        <w:rPr>
          <w:rStyle w:val="VerbatimChar"/>
        </w:rPr>
        <w:t xml:space="preserve">MultiLine</w:t>
      </w:r>
      <w:r>
        <w:t xml:space="preserve"> </w:t>
      </w:r>
      <w:r>
        <w:t xml:space="preserve">property triggers an immediate recompile of the underlying Go</w:t>
      </w:r>
      <w:r>
        <w:t xml:space="preserve"> </w:t>
      </w:r>
      <w:r>
        <w:rPr>
          <w:rStyle w:val="VerbatimChar"/>
        </w:rPr>
        <w:t xml:space="preserve">*regexp.Regexp</w:t>
      </w:r>
      <w:r>
        <w:t xml:space="preserve">. If the pattern is syntactically invalid, the runtime raises VBScript error 5017 (Regular expression syntax error) and clears the compiled expression.</w:t>
      </w:r>
    </w:p>
    <w:p>
      <w:pPr>
        <w:pStyle w:val="BodyText"/>
      </w:pPr>
      <w:r>
        <w:t xml:space="preserve">The</w:t>
      </w:r>
      <w:r>
        <w:t xml:space="preserve"> </w:t>
      </w:r>
      <w:r>
        <w:rPr>
          <w:rStyle w:val="VerbatimChar"/>
        </w:rPr>
        <w:t xml:space="preserve">Execute</w:t>
      </w:r>
      <w:r>
        <w:t xml:space="preserve"> </w:t>
      </w:r>
      <w:r>
        <w:t xml:space="preserve">method returns a</w:t>
      </w:r>
      <w:r>
        <w:t xml:space="preserve"> </w:t>
      </w:r>
      <w:r>
        <w:rPr>
          <w:b/>
          <w:bCs/>
        </w:rPr>
        <w:t xml:space="preserve">MatchesCollection</w:t>
      </w:r>
      <w:r>
        <w:t xml:space="preserve"> </w:t>
      </w:r>
      <w:r>
        <w:t xml:space="preserve">object. Iterating it yields individual</w:t>
      </w:r>
      <w:r>
        <w:t xml:space="preserve"> </w:t>
      </w:r>
      <w:r>
        <w:rPr>
          <w:b/>
          <w:bCs/>
        </w:rPr>
        <w:t xml:space="preserve">Match</w:t>
      </w:r>
      <w:r>
        <w:t xml:space="preserve"> </w:t>
      </w:r>
      <w:r>
        <w:t xml:space="preserve">objects, each exposing</w:t>
      </w:r>
      <w:r>
        <w:t xml:space="preserve"> </w:t>
      </w:r>
      <w:r>
        <w:rPr>
          <w:rStyle w:val="VerbatimChar"/>
        </w:rPr>
        <w:t xml:space="preserve">Value</w:t>
      </w:r>
      <w:r>
        <w:t xml:space="preserve">,</w:t>
      </w:r>
      <w:r>
        <w:t xml:space="preserve"> </w:t>
      </w:r>
      <w:r>
        <w:rPr>
          <w:rStyle w:val="VerbatimChar"/>
        </w:rPr>
        <w:t xml:space="preserve">FirstIndex</w:t>
      </w:r>
      <w:r>
        <w:t xml:space="preserve">,</w:t>
      </w:r>
      <w:r>
        <w:t xml:space="preserve"> </w:t>
      </w:r>
      <w:r>
        <w:rPr>
          <w:rStyle w:val="VerbatimChar"/>
        </w:rPr>
        <w:t xml:space="preserve">Length</w:t>
      </w:r>
      <w:r>
        <w:t xml:space="preserve">, and a</w:t>
      </w:r>
      <w:r>
        <w:t xml:space="preserve"> </w:t>
      </w:r>
      <w:r>
        <w:rPr>
          <w:rStyle w:val="VerbatimChar"/>
        </w:rPr>
        <w:t xml:space="preserve">SubMatches</w:t>
      </w:r>
      <w:r>
        <w:t xml:space="preserve"> </w:t>
      </w:r>
      <w:r>
        <w:t xml:space="preserve">collection.</w:t>
      </w:r>
    </w:p>
    <w:p>
      <w:pPr>
        <w:pStyle w:val="BodyText"/>
      </w:pPr>
      <w:r>
        <w:rPr>
          <w:b/>
          <w:bCs/>
        </w:rPr>
        <w:t xml:space="preserve">Replacement token syntax supported by</w:t>
      </w:r>
      <w:r>
        <w:rPr>
          <w:b/>
          <w:bCs/>
        </w:rPr>
        <w:t xml:space="preserve"> </w:t>
      </w:r>
      <w:r>
        <w:rPr>
          <w:rStyle w:val="VerbatimChar"/>
          <w:b/>
          <w:bCs/>
        </w:rPr>
        <w:t xml:space="preserve">Replace</w:t>
      </w:r>
      <w:r>
        <w:rPr>
          <w:b/>
          <w:bCs/>
        </w:rP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Token</w:t>
            </w:r>
          </w:p>
        </w:tc>
        <w:tc>
          <w:tcPr/>
          <w:p>
            <w:pPr>
              <w:pStyle w:val="Compact"/>
            </w:pPr>
            <w:r>
              <w:t xml:space="preserve">Replaced with</w:t>
            </w:r>
          </w:p>
        </w:tc>
      </w:tr>
      <w:tr>
        <w:tc>
          <w:tcPr/>
          <w:p>
            <w:pPr>
              <w:pStyle w:val="Compact"/>
            </w:pPr>
            <w:r>
              <w:rPr>
                <w:rStyle w:val="VerbatimChar"/>
              </w:rPr>
              <w:t xml:space="preserve">$&amp;</w:t>
            </w:r>
            <w:r>
              <w:t xml:space="preserve"> </w:t>
            </w:r>
            <w:r>
              <w:t xml:space="preserve">or</w:t>
            </w:r>
            <w:r>
              <w:t xml:space="preserve"> </w:t>
            </w:r>
            <w:r>
              <w:rPr>
                <w:rStyle w:val="VerbatimChar"/>
              </w:rPr>
              <w:t xml:space="preserve">$0</w:t>
            </w:r>
          </w:p>
        </w:tc>
        <w:tc>
          <w:tcPr/>
          <w:p>
            <w:pPr>
              <w:pStyle w:val="Compact"/>
            </w:pPr>
            <w:r>
              <w:t xml:space="preserve">The entire matched text</w:t>
            </w:r>
          </w:p>
        </w:tc>
      </w:tr>
      <w:tr>
        <w:tc>
          <w:tcPr/>
          <w:p>
            <w:pPr>
              <w:pStyle w:val="Compact"/>
            </w:pPr>
            <w:r>
              <w:rPr>
                <w:rStyle w:val="VerbatimChar"/>
              </w:rPr>
              <w:t xml:space="preserve">$1</w:t>
            </w:r>
            <w:r>
              <w:t xml:space="preserve">,</w:t>
            </w:r>
            <w:r>
              <w:t xml:space="preserve"> </w:t>
            </w:r>
            <w:r>
              <w:rPr>
                <w:rStyle w:val="VerbatimChar"/>
              </w:rPr>
              <w:t xml:space="preserve">$2</w:t>
            </w:r>
            <w:r>
              <w:t xml:space="preserve">, …</w:t>
            </w:r>
          </w:p>
        </w:tc>
        <w:tc>
          <w:tcPr/>
          <w:p>
            <w:pPr>
              <w:pStyle w:val="Compact"/>
            </w:pPr>
            <w:r>
              <w:t xml:space="preserve">Captured group 1, 2, …</w:t>
            </w:r>
          </w:p>
        </w:tc>
      </w:tr>
      <w:tr>
        <w:tc>
          <w:tcPr/>
          <w:p>
            <w:pPr>
              <w:pStyle w:val="Compact"/>
            </w:pPr>
            <w:r>
              <w:rPr>
                <w:rStyle w:val="VerbatimChar"/>
              </w:rPr>
              <w:t xml:space="preserve">$`</w:t>
            </w:r>
          </w:p>
        </w:tc>
        <w:tc>
          <w:tcPr/>
          <w:p>
            <w:pPr>
              <w:pStyle w:val="Compact"/>
            </w:pPr>
            <w:r>
              <w:t xml:space="preserve">Text before the match</w:t>
            </w:r>
          </w:p>
        </w:tc>
      </w:tr>
      <w:tr>
        <w:tc>
          <w:tcPr/>
          <w:p>
            <w:pPr>
              <w:pStyle w:val="Compact"/>
            </w:pPr>
            <w:r>
              <w:rPr>
                <w:rStyle w:val="VerbatimChar"/>
              </w:rPr>
              <w:t xml:space="preserve">$'</w:t>
            </w:r>
          </w:p>
        </w:tc>
        <w:tc>
          <w:tcPr/>
          <w:p>
            <w:pPr>
              <w:pStyle w:val="Compact"/>
            </w:pPr>
            <w:r>
              <w:t xml:space="preserve">Text after the match</w:t>
            </w:r>
          </w:p>
        </w:tc>
      </w:tr>
    </w:tbl>
    <w:bookmarkEnd w:id="6286"/>
    <w:bookmarkStart w:id="6287" w:name="remarks-715"/>
    <w:p>
      <w:pPr>
        <w:pStyle w:val="Heading2"/>
      </w:pPr>
      <w:r>
        <w:t xml:space="preserve">Remarks</w:t>
      </w:r>
    </w:p>
    <w:p>
      <w:pPr>
        <w:pStyle w:val="Compact"/>
        <w:numPr>
          <w:ilvl w:val="0"/>
          <w:numId w:val="2536"/>
        </w:numPr>
      </w:pPr>
      <w:r>
        <w:t xml:space="preserve">All method and property names are case-insensitive.</w:t>
      </w:r>
    </w:p>
    <w:p>
      <w:pPr>
        <w:pStyle w:val="Compact"/>
        <w:numPr>
          <w:ilvl w:val="0"/>
          <w:numId w:val="2536"/>
        </w:numPr>
      </w:pPr>
      <w:r>
        <w:t xml:space="preserve">When</w:t>
      </w:r>
      <w:r>
        <w:t xml:space="preserve"> </w:t>
      </w:r>
      <w:r>
        <w:rPr>
          <w:rStyle w:val="VerbatimChar"/>
        </w:rPr>
        <w:t xml:space="preserve">Global</w:t>
      </w:r>
      <w:r>
        <w:t xml:space="preserve"> </w:t>
      </w:r>
      <w:r>
        <w:t xml:space="preserve">is False (default),</w:t>
      </w:r>
      <w:r>
        <w:t xml:space="preserve"> </w:t>
      </w:r>
      <w:r>
        <w:rPr>
          <w:rStyle w:val="VerbatimChar"/>
        </w:rPr>
        <w:t xml:space="preserve">Execute</w:t>
      </w:r>
      <w:r>
        <w:t xml:space="preserve"> </w:t>
      </w:r>
      <w:r>
        <w:t xml:space="preserve">returns at most one match and</w:t>
      </w:r>
      <w:r>
        <w:t xml:space="preserve"> </w:t>
      </w:r>
      <w:r>
        <w:rPr>
          <w:rStyle w:val="VerbatimChar"/>
        </w:rPr>
        <w:t xml:space="preserve">Replace</w:t>
      </w:r>
      <w:r>
        <w:t xml:space="preserve"> </w:t>
      </w:r>
      <w:r>
        <w:t xml:space="preserve">replaces only the first occurrence.</w:t>
      </w:r>
    </w:p>
    <w:p>
      <w:pPr>
        <w:pStyle w:val="Compact"/>
        <w:numPr>
          <w:ilvl w:val="0"/>
          <w:numId w:val="2536"/>
        </w:numPr>
      </w:pPr>
      <w:r>
        <w:t xml:space="preserve">When</w:t>
      </w:r>
      <w:r>
        <w:t xml:space="preserve"> </w:t>
      </w:r>
      <w:r>
        <w:rPr>
          <w:rStyle w:val="VerbatimChar"/>
        </w:rPr>
        <w:t xml:space="preserve">Global</w:t>
      </w:r>
      <w:r>
        <w:t xml:space="preserve"> </w:t>
      </w:r>
      <w:r>
        <w:t xml:space="preserve">is True,</w:t>
      </w:r>
      <w:r>
        <w:t xml:space="preserve"> </w:t>
      </w:r>
      <w:r>
        <w:rPr>
          <w:rStyle w:val="VerbatimChar"/>
        </w:rPr>
        <w:t xml:space="preserve">Execute</w:t>
      </w:r>
      <w:r>
        <w:t xml:space="preserve"> </w:t>
      </w:r>
      <w:r>
        <w:t xml:space="preserve">returns all non-overlapping matches and</w:t>
      </w:r>
      <w:r>
        <w:t xml:space="preserve"> </w:t>
      </w:r>
      <w:r>
        <w:rPr>
          <w:rStyle w:val="VerbatimChar"/>
        </w:rPr>
        <w:t xml:space="preserve">Replace</w:t>
      </w:r>
      <w:r>
        <w:t xml:space="preserve"> </w:t>
      </w:r>
      <w:r>
        <w:t xml:space="preserve">replaces all occurrences.</w:t>
      </w:r>
    </w:p>
    <w:p>
      <w:pPr>
        <w:pStyle w:val="Compact"/>
        <w:numPr>
          <w:ilvl w:val="0"/>
          <w:numId w:val="2536"/>
        </w:numPr>
      </w:pPr>
      <w:r>
        <w:rPr>
          <w:rStyle w:val="VerbatimChar"/>
        </w:rPr>
        <w:t xml:space="preserve">FirstIndex</w:t>
      </w:r>
      <w:r>
        <w:t xml:space="preserve"> </w:t>
      </w:r>
      <w:r>
        <w:t xml:space="preserve">on a Match object is 0-based, consistent with classic VBScript behavior.</w:t>
      </w:r>
    </w:p>
    <w:p>
      <w:pPr>
        <w:pStyle w:val="Compact"/>
        <w:numPr>
          <w:ilvl w:val="0"/>
          <w:numId w:val="2536"/>
        </w:numPr>
      </w:pPr>
      <w:r>
        <w:t xml:space="preserve">Lookahead, lookbehind, and backreferences (</w:t>
      </w:r>
      <w:r>
        <w:rPr>
          <w:rStyle w:val="VerbatimChar"/>
        </w:rPr>
        <w:t xml:space="preserve">\1</w:t>
      </w:r>
      <w:r>
        <w:t xml:space="preserve">,</w:t>
      </w:r>
      <w:r>
        <w:t xml:space="preserve"> </w:t>
      </w:r>
      <w:r>
        <w:rPr>
          <w:rStyle w:val="VerbatimChar"/>
        </w:rPr>
        <w:t xml:space="preserve">\2</w:t>
      </w:r>
      <w:r>
        <w:t xml:space="preserve">) are not supported.</w:t>
      </w:r>
    </w:p>
    <w:bookmarkEnd w:id="6287"/>
    <w:bookmarkStart w:id="6288" w:name="code-example-524"/>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re</w:t>
      </w:r>
      <w:r>
        <w:rPr>
          <w:rStyle w:val="OtherTok"/>
        </w:rPr>
        <w:t xml:space="preserve">,</w:t>
      </w:r>
      <w:r>
        <w:rPr>
          <w:rStyle w:val="NormalTok"/>
        </w:rPr>
        <w:t xml:space="preserve"> matches</w:t>
      </w:r>
      <w:r>
        <w:rPr>
          <w:rStyle w:val="OtherTok"/>
        </w:rPr>
        <w:t xml:space="preserve">,</w:t>
      </w:r>
      <w:r>
        <w:rPr>
          <w:rStyle w:val="NormalTok"/>
        </w:rPr>
        <w:t xml:space="preserve"> m</w:t>
      </w:r>
      <w:r>
        <w:br/>
      </w:r>
      <w:r>
        <w:rPr>
          <w:rStyle w:val="KeywordTok"/>
        </w:rPr>
        <w:t xml:space="preserve">Set</w:t>
      </w:r>
      <w:r>
        <w:rPr>
          <w:rStyle w:val="NormalTok"/>
        </w:rPr>
        <w:t xml:space="preserve"> re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"VBScript.RegExp"</w:t>
      </w:r>
      <w:r>
        <w:rPr>
          <w:rStyle w:val="OtherTok"/>
        </w:rPr>
        <w:t xml:space="preserve">)</w:t>
      </w:r>
      <w:r>
        <w:br/>
      </w:r>
      <w:r>
        <w:rPr>
          <w:rStyle w:val="NormalTok"/>
        </w:rPr>
        <w:t xml:space="preserve">re.Pattern = </w:t>
      </w:r>
      <w:r>
        <w:rPr>
          <w:rStyle w:val="StringTok"/>
        </w:rPr>
        <w:t xml:space="preserve">"(\\d+)"</w:t>
      </w:r>
      <w:r>
        <w:br/>
      </w:r>
      <w:r>
        <w:rPr>
          <w:rStyle w:val="NormalTok"/>
        </w:rPr>
        <w:t xml:space="preserve">re.Global = </w:t>
      </w:r>
      <w:r>
        <w:rPr>
          <w:rStyle w:val="KeywordTok"/>
        </w:rPr>
        <w:t xml:space="preserve">True</w:t>
      </w:r>
      <w:r>
        <w:br/>
      </w:r>
      <w:r>
        <w:br/>
      </w:r>
      <w:r>
        <w:rPr>
          <w:rStyle w:val="KeywordTok"/>
        </w:rPr>
        <w:t xml:space="preserve">Set</w:t>
      </w:r>
      <w:r>
        <w:rPr>
          <w:rStyle w:val="NormalTok"/>
        </w:rPr>
        <w:t xml:space="preserve"> matches = re.</w:t>
      </w:r>
      <w:r>
        <w:rPr>
          <w:rStyle w:val="KeywordTok"/>
        </w:rPr>
        <w:t xml:space="preserve">Execute</w:t>
      </w:r>
      <w:r>
        <w:rPr>
          <w:rStyle w:val="OtherTok"/>
        </w:rPr>
        <w:t xml:space="preserve">(</w:t>
      </w:r>
      <w:r>
        <w:rPr>
          <w:rStyle w:val="StringTok"/>
        </w:rPr>
        <w:t xml:space="preserve">"Order 123 and invoice 456"</w:t>
      </w:r>
      <w:r>
        <w:rPr>
          <w:rStyle w:val="OtherTok"/>
        </w:rPr>
        <w:t xml:space="preserve">)</w:t>
      </w:r>
      <w:r>
        <w:br/>
      </w:r>
      <w:r>
        <w:rPr>
          <w:rStyle w:val="KeywordTok"/>
        </w:rPr>
        <w:t xml:space="preserve">Dim</w:t>
      </w:r>
      <w:r>
        <w:rPr>
          <w:rStyle w:val="NormalTok"/>
        </w:rPr>
        <w:t xml:space="preserve"> i</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matches.Count - </w:t>
      </w:r>
      <w:r>
        <w:rPr>
          <w:rStyle w:val="DecValTok"/>
        </w:rPr>
        <w:t xml:space="preserve">1</w:t>
      </w:r>
      <w:r>
        <w:br/>
      </w:r>
      <w:r>
        <w:rPr>
          <w:rStyle w:val="NormalTok"/>
        </w:rPr>
        <w:t xml:space="preserve">    </w:t>
      </w:r>
      <w:r>
        <w:rPr>
          <w:rStyle w:val="KeywordTok"/>
        </w:rPr>
        <w:t xml:space="preserve">Set</w:t>
      </w:r>
      <w:r>
        <w:rPr>
          <w:rStyle w:val="NormalTok"/>
        </w:rPr>
        <w:t xml:space="preserve"> m = matches.</w:t>
      </w:r>
      <w:r>
        <w:rPr>
          <w:rStyle w:val="FunctionTok"/>
        </w:rPr>
        <w:t xml:space="preserve">Item</w:t>
      </w:r>
      <w:r>
        <w:rPr>
          <w:rStyle w:val="OtherTok"/>
        </w:rPr>
        <w:t xml:space="preserve">(</w:t>
      </w:r>
      <w:r>
        <w:rPr>
          <w:rStyle w:val="NormalTok"/>
        </w:rPr>
        <w:t xml:space="preserve">i</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"Found: "</w:t>
      </w:r>
      <w:r>
        <w:rPr>
          <w:rStyle w:val="NormalTok"/>
        </w:rPr>
        <w:t xml:space="preserve"> </w:t>
      </w:r>
      <w:r>
        <w:rPr>
          <w:rStyle w:val="KeywordTok"/>
        </w:rPr>
        <w:t xml:space="preserve">&amp;</w:t>
      </w:r>
      <w:r>
        <w:rPr>
          <w:rStyle w:val="NormalTok"/>
        </w:rPr>
        <w:t xml:space="preserve"> m.Value </w:t>
      </w:r>
      <w:r>
        <w:rPr>
          <w:rStyle w:val="KeywordTok"/>
        </w:rPr>
        <w:t xml:space="preserve">&amp;</w:t>
      </w:r>
      <w:r>
        <w:rPr>
          <w:rStyle w:val="NormalTok"/>
        </w:rPr>
        <w:t xml:space="preserve"> </w:t>
      </w:r>
      <w:r>
        <w:rPr>
          <w:rStyle w:val="StringTok"/>
        </w:rPr>
        <w:t xml:space="preserve">" at index "</w:t>
      </w:r>
      <w:r>
        <w:rPr>
          <w:rStyle w:val="NormalTok"/>
        </w:rPr>
        <w:t xml:space="preserve"> </w:t>
      </w:r>
      <w:r>
        <w:rPr>
          <w:rStyle w:val="KeywordTok"/>
        </w:rPr>
        <w:t xml:space="preserve">&amp;</w:t>
      </w:r>
      <w:r>
        <w:rPr>
          <w:rStyle w:val="NormalTok"/>
        </w:rPr>
        <w:t xml:space="preserve"> m.FirstIndex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KeywordTok"/>
        </w:rPr>
        <w:t xml:space="preserve">Set</w:t>
      </w:r>
      <w:r>
        <w:rPr>
          <w:rStyle w:val="NormalTok"/>
        </w:rPr>
        <w:t xml:space="preserve"> m = </w:t>
      </w:r>
      <w:r>
        <w:rPr>
          <w:rStyle w:val="KeywordTok"/>
        </w:rPr>
        <w:t xml:space="preserve">Nothing</w:t>
      </w:r>
      <w:r>
        <w:br/>
      </w:r>
      <w:r>
        <w:rPr>
          <w:rStyle w:val="ControlFlowTok"/>
        </w:rPr>
        <w:t xml:space="preserve">Next</w:t>
      </w:r>
      <w:r>
        <w:br/>
      </w:r>
      <w:r>
        <w:rPr>
          <w:rStyle w:val="KeywordTok"/>
        </w:rPr>
        <w:t xml:space="preserve">Set</w:t>
      </w:r>
      <w:r>
        <w:rPr>
          <w:rStyle w:val="NormalTok"/>
        </w:rPr>
        <w:t xml:space="preserve"> matches = </w:t>
      </w:r>
      <w:r>
        <w:rPr>
          <w:rStyle w:val="KeywordTok"/>
        </w:rPr>
        <w:t xml:space="preserve">Nothing</w:t>
      </w:r>
      <w:r>
        <w:br/>
      </w:r>
      <w:r>
        <w:rPr>
          <w:rStyle w:val="KeywordTok"/>
        </w:rPr>
        <w:t xml:space="preserve">Set</w:t>
      </w:r>
      <w:r>
        <w:rPr>
          <w:rStyle w:val="NormalTok"/>
        </w:rPr>
        <w:t xml:space="preserve"> re = </w:t>
      </w:r>
      <w:r>
        <w:rPr>
          <w:rStyle w:val="KeywordTok"/>
        </w:rPr>
        <w:t xml:space="preserve">Nothing</w:t>
      </w:r>
      <w:r>
        <w:br/>
      </w:r>
      <w:r>
        <w:rPr>
          <w:rStyle w:val="DataTypeTok"/>
        </w:rPr>
        <w:t xml:space="preserve">%&gt;</w:t>
      </w:r>
    </w:p>
    <w:bookmarkEnd w:id="6288"/>
    <w:bookmarkEnd w:id="6289"/>
    <w:bookmarkStart w:id="6296" w:name="methods-33"/>
    <w:p>
      <w:pPr>
        <w:pStyle w:val="Heading1"/>
      </w:pPr>
      <w:r>
        <w:t xml:space="preserve">Methods</w:t>
      </w:r>
    </w:p>
    <w:bookmarkStart w:id="6290" w:name="overview-674"/>
    <w:p>
      <w:pPr>
        <w:pStyle w:val="Heading2"/>
      </w:pPr>
      <w:r>
        <w:t xml:space="preserve">Overview</w:t>
      </w:r>
    </w:p>
    <w:p>
      <w:pPr>
        <w:pStyle w:val="FirstParagraph"/>
      </w:pPr>
      <w:r>
        <w:t xml:space="preserve">This page lists all methods exposed by the VBScript.RegExp object.</w:t>
      </w:r>
    </w:p>
    <w:bookmarkEnd w:id="6290"/>
    <w:bookmarkStart w:id="6291" w:name="regexp-methods"/>
    <w:p>
      <w:pPr>
        <w:pStyle w:val="Heading2"/>
      </w:pPr>
      <w:r>
        <w:t xml:space="preserve">RegExp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Execute(string)</w:t>
            </w:r>
          </w:p>
        </w:tc>
        <w:tc>
          <w:tcPr/>
          <w:p>
            <w:pPr>
              <w:pStyle w:val="Compact"/>
            </w:pPr>
            <w:r>
              <w:t xml:space="preserve">MatchesCollection</w:t>
            </w:r>
          </w:p>
        </w:tc>
        <w:tc>
          <w:tcPr/>
          <w:p>
            <w:pPr>
              <w:pStyle w:val="Compact"/>
            </w:pPr>
            <w:r>
              <w:t xml:space="preserve">Applies the compiled pattern to the input string and returns a MatchesCollection containing all matches found. When</w:t>
            </w:r>
            <w:r>
              <w:t xml:space="preserve"> </w:t>
            </w:r>
            <w:r>
              <w:rPr>
                <w:rStyle w:val="VerbatimChar"/>
              </w:rPr>
              <w:t xml:space="preserve">Global</w:t>
            </w:r>
            <w:r>
              <w:t xml:space="preserve"> </w:t>
            </w:r>
            <w:r>
              <w:t xml:space="preserve">is False, at most one match is returned.</w:t>
            </w:r>
          </w:p>
        </w:tc>
      </w:tr>
      <w:tr>
        <w:tc>
          <w:tcPr/>
          <w:p>
            <w:pPr>
              <w:pStyle w:val="Compact"/>
            </w:pPr>
            <w:r>
              <w:t xml:space="preserve">Replace(string, replacement)</w:t>
            </w:r>
          </w:p>
        </w:tc>
        <w:tc>
          <w:tcPr/>
          <w:p>
            <w:pPr>
              <w:pStyle w:val="Compact"/>
            </w:pPr>
            <w:r>
              <w:t xml:space="preserve">String</w:t>
            </w:r>
          </w:p>
        </w:tc>
        <w:tc>
          <w:tcPr/>
          <w:p>
            <w:pPr>
              <w:pStyle w:val="Compact"/>
            </w:pPr>
            <w:r>
              <w:t xml:space="preserve">Replaces matches of the pattern within</w:t>
            </w:r>
            <w:r>
              <w:t xml:space="preserve"> </w:t>
            </w:r>
            <w:r>
              <w:rPr>
                <w:rStyle w:val="VerbatimChar"/>
              </w:rPr>
              <w:t xml:space="preserve">string</w:t>
            </w:r>
            <w:r>
              <w:t xml:space="preserve"> </w:t>
            </w:r>
            <w:r>
              <w:t xml:space="preserve">with the</w:t>
            </w:r>
            <w:r>
              <w:t xml:space="preserve"> </w:t>
            </w:r>
            <w:r>
              <w:rPr>
                <w:rStyle w:val="VerbatimChar"/>
              </w:rPr>
              <w:t xml:space="preserve">replacement</w:t>
            </w:r>
            <w:r>
              <w:t xml:space="preserve"> </w:t>
            </w:r>
            <w:r>
              <w:t xml:space="preserve">text and returns the resulting String. When</w:t>
            </w:r>
            <w:r>
              <w:t xml:space="preserve"> </w:t>
            </w:r>
            <w:r>
              <w:rPr>
                <w:rStyle w:val="VerbatimChar"/>
              </w:rPr>
              <w:t xml:space="preserve">Global</w:t>
            </w:r>
            <w:r>
              <w:t xml:space="preserve"> </w:t>
            </w:r>
            <w:r>
              <w:t xml:space="preserve">is False, only the first match is replaced.</w:t>
            </w:r>
          </w:p>
        </w:tc>
      </w:tr>
      <w:tr>
        <w:tc>
          <w:tcPr/>
          <w:p>
            <w:pPr>
              <w:pStyle w:val="Compact"/>
            </w:pPr>
            <w:r>
              <w:t xml:space="preserve">Test(string)</w:t>
            </w:r>
          </w:p>
        </w:tc>
        <w:tc>
          <w:tcPr/>
          <w:p>
            <w:pPr>
              <w:pStyle w:val="Compact"/>
            </w:pPr>
            <w:r>
              <w:t xml:space="preserve">Boolean</w:t>
            </w:r>
          </w:p>
        </w:tc>
        <w:tc>
          <w:tcPr/>
          <w:p>
            <w:pPr>
              <w:pStyle w:val="Compact"/>
            </w:pPr>
            <w:r>
              <w:t xml:space="preserve">Returns True if the pattern matches anywhere in the input string; returns False if there is no match or the pattern has not been compiled.</w:t>
            </w:r>
          </w:p>
        </w:tc>
      </w:tr>
    </w:tbl>
    <w:bookmarkEnd w:id="6291"/>
    <w:bookmarkStart w:id="6292" w:name="matchescollection-methods"/>
    <w:p>
      <w:pPr>
        <w:pStyle w:val="Heading2"/>
      </w:pPr>
      <w:r>
        <w:t xml:space="preserve">MatchesCollection Methods</w:t>
      </w:r>
    </w:p>
    <w:p>
      <w:pPr>
        <w:pStyle w:val="FirstParagraph"/>
      </w:pPr>
      <w:r>
        <w:t xml:space="preserve">A MatchesCollection object is returned by</w:t>
      </w:r>
      <w:r>
        <w:t xml:space="preserve"> </w:t>
      </w:r>
      <w:r>
        <w:rPr>
          <w:rStyle w:val="VerbatimChar"/>
        </w:rPr>
        <w:t xml:space="preserve">Execute</w:t>
      </w:r>
      <w:r>
        <w:t xml:space="preserve">. It is read-only.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Item(index)</w:t>
            </w:r>
          </w:p>
        </w:tc>
        <w:tc>
          <w:tcPr/>
          <w:p>
            <w:pPr>
              <w:pStyle w:val="Compact"/>
            </w:pPr>
            <w:r>
              <w:t xml:space="preserve">Match</w:t>
            </w:r>
          </w:p>
        </w:tc>
        <w:tc>
          <w:tcPr/>
          <w:p>
            <w:pPr>
              <w:pStyle w:val="Compact"/>
            </w:pPr>
            <w:r>
              <w:t xml:space="preserve">Returns the Match object at the specified 0-based index. Returns Empty if the index is out of range.</w:t>
            </w:r>
          </w:p>
        </w:tc>
      </w:tr>
      <w:tr>
        <w:tc>
          <w:tcPr/>
          <w:p>
            <w:pPr>
              <w:pStyle w:val="Compact"/>
            </w:pPr>
            <w:r>
              <w:t xml:space="preserve">Count()</w:t>
            </w:r>
          </w:p>
        </w:tc>
        <w:tc>
          <w:tcPr/>
          <w:p>
            <w:pPr>
              <w:pStyle w:val="Compact"/>
            </w:pPr>
            <w:r>
              <w:t xml:space="preserve">Integer</w:t>
            </w:r>
          </w:p>
        </w:tc>
        <w:tc>
          <w:tcPr/>
          <w:p>
            <w:pPr>
              <w:pStyle w:val="Compact"/>
            </w:pPr>
            <w:r>
              <w:t xml:space="preserve">Returns the total number of Match objects in the collection.</w:t>
            </w:r>
          </w:p>
        </w:tc>
      </w:tr>
    </w:tbl>
    <w:bookmarkEnd w:id="6292"/>
    <w:bookmarkStart w:id="6293" w:name="match-methods"/>
    <w:p>
      <w:pPr>
        <w:pStyle w:val="Heading2"/>
      </w:pPr>
      <w:r>
        <w:t xml:space="preserve">Match Methods</w:t>
      </w:r>
    </w:p>
    <w:p>
      <w:pPr>
        <w:pStyle w:val="FirstParagraph"/>
      </w:pPr>
      <w:r>
        <w:t xml:space="preserve">A Match object is obtained from a MatchesCollection via</w:t>
      </w:r>
      <w:r>
        <w:t xml:space="preserve"> </w:t>
      </w:r>
      <w:r>
        <w:rPr>
          <w:rStyle w:val="VerbatimChar"/>
        </w:rPr>
        <w:t xml:space="preserve">Item</w:t>
      </w:r>
      <w:r>
        <w:t xml:space="preserv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SubMatches([index])</w:t>
            </w:r>
          </w:p>
        </w:tc>
        <w:tc>
          <w:tcPr/>
          <w:p>
            <w:pPr>
              <w:pStyle w:val="Compact"/>
            </w:pPr>
            <w:r>
              <w:t xml:space="preserve">SubMatches or String</w:t>
            </w:r>
          </w:p>
        </w:tc>
        <w:tc>
          <w:tcPr/>
          <w:p>
            <w:pPr>
              <w:pStyle w:val="Compact"/>
            </w:pPr>
            <w:r>
              <w:t xml:space="preserve">With no argument, returns the SubMatches collection for this match. With an integer argument, returns the String value of the captured group at that 0-based index. Returns Empty if the index is out of range.</w:t>
            </w:r>
          </w:p>
        </w:tc>
      </w:tr>
    </w:tbl>
    <w:bookmarkEnd w:id="6293"/>
    <w:bookmarkStart w:id="6294" w:name="submatches-methods"/>
    <w:p>
      <w:pPr>
        <w:pStyle w:val="Heading2"/>
      </w:pPr>
      <w:r>
        <w:t xml:space="preserve">SubMatches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t xml:space="preserve">Item(index)</w:t>
            </w:r>
          </w:p>
        </w:tc>
        <w:tc>
          <w:tcPr/>
          <w:p>
            <w:pPr>
              <w:pStyle w:val="Compact"/>
            </w:pPr>
            <w:r>
              <w:t xml:space="preserve">SubMatchValue</w:t>
            </w:r>
          </w:p>
        </w:tc>
        <w:tc>
          <w:tcPr/>
          <w:p>
            <w:pPr>
              <w:pStyle w:val="Compact"/>
            </w:pPr>
            <w:r>
              <w:t xml:space="preserve">Returns the SubMatchValue object for the captured group at the specified 0-based index. Returns Empty if the index is out of range.</w:t>
            </w:r>
          </w:p>
        </w:tc>
      </w:tr>
      <w:tr>
        <w:tc>
          <w:tcPr/>
          <w:p>
            <w:pPr>
              <w:pStyle w:val="Compact"/>
            </w:pPr>
            <w:r>
              <w:t xml:space="preserve">Count()</w:t>
            </w:r>
          </w:p>
        </w:tc>
        <w:tc>
          <w:tcPr/>
          <w:p>
            <w:pPr>
              <w:pStyle w:val="Compact"/>
            </w:pPr>
            <w:r>
              <w:t xml:space="preserve">Integer</w:t>
            </w:r>
          </w:p>
        </w:tc>
        <w:tc>
          <w:tcPr/>
          <w:p>
            <w:pPr>
              <w:pStyle w:val="Compact"/>
            </w:pPr>
            <w:r>
              <w:t xml:space="preserve">Returns the number of captured groups in this SubMatches collection.</w:t>
            </w:r>
          </w:p>
        </w:tc>
      </w:tr>
    </w:tbl>
    <w:bookmarkEnd w:id="6294"/>
    <w:bookmarkStart w:id="6295" w:name="remarks-716"/>
    <w:p>
      <w:pPr>
        <w:pStyle w:val="Heading2"/>
      </w:pPr>
      <w:r>
        <w:t xml:space="preserve">Remarks</w:t>
      </w:r>
    </w:p>
    <w:p>
      <w:pPr>
        <w:pStyle w:val="Compact"/>
        <w:numPr>
          <w:ilvl w:val="0"/>
          <w:numId w:val="2537"/>
        </w:numPr>
      </w:pPr>
      <w:r>
        <w:t xml:space="preserve">A MatchesCollection, Match, or SubMatches object is a native handle. Use</w:t>
      </w:r>
      <w:r>
        <w:t xml:space="preserve"> </w:t>
      </w:r>
      <w:r>
        <w:rPr>
          <w:rStyle w:val="VerbatimChar"/>
        </w:rPr>
        <w:t xml:space="preserve">Set</w:t>
      </w:r>
      <w:r>
        <w:t xml:space="preserve"> </w:t>
      </w:r>
      <w:r>
        <w:t xml:space="preserve">for assignment.</w:t>
      </w:r>
    </w:p>
    <w:p>
      <w:pPr>
        <w:pStyle w:val="Compact"/>
        <w:numPr>
          <w:ilvl w:val="0"/>
          <w:numId w:val="2537"/>
        </w:numPr>
      </w:pPr>
      <w:r>
        <w:t xml:space="preserve">The</w:t>
      </w:r>
      <w:r>
        <w:t xml:space="preserve"> </w:t>
      </w:r>
      <w:r>
        <w:rPr>
          <w:rStyle w:val="VerbatimChar"/>
        </w:rPr>
        <w:t xml:space="preserve">Item</w:t>
      </w:r>
      <w:r>
        <w:t xml:space="preserve"> </w:t>
      </w:r>
      <w:r>
        <w:t xml:space="preserve">method is the default dispatch member;</w:t>
      </w:r>
      <w:r>
        <w:t xml:space="preserve"> </w:t>
      </w:r>
      <w:r>
        <w:rPr>
          <w:rStyle w:val="VerbatimChar"/>
        </w:rPr>
        <w:t xml:space="preserve">matches(0)</w:t>
      </w:r>
      <w:r>
        <w:t xml:space="preserve"> </w:t>
      </w:r>
      <w:r>
        <w:t xml:space="preserve">and</w:t>
      </w:r>
      <w:r>
        <w:t xml:space="preserve"> </w:t>
      </w:r>
      <w:r>
        <w:rPr>
          <w:rStyle w:val="VerbatimChar"/>
        </w:rPr>
        <w:t xml:space="preserve">matches.Item(0)</w:t>
      </w:r>
      <w:r>
        <w:t xml:space="preserve"> </w:t>
      </w:r>
      <w:r>
        <w:t xml:space="preserve">are equivalent.</w:t>
      </w:r>
    </w:p>
    <w:bookmarkEnd w:id="6295"/>
    <w:bookmarkEnd w:id="6296"/>
    <w:bookmarkStart w:id="6304" w:name="properties-33"/>
    <w:p>
      <w:pPr>
        <w:pStyle w:val="Heading1"/>
      </w:pPr>
      <w:r>
        <w:t xml:space="preserve">Properties</w:t>
      </w:r>
    </w:p>
    <w:bookmarkStart w:id="6297" w:name="overview-675"/>
    <w:p>
      <w:pPr>
        <w:pStyle w:val="Heading2"/>
      </w:pPr>
      <w:r>
        <w:t xml:space="preserve">Overview</w:t>
      </w:r>
    </w:p>
    <w:p>
      <w:pPr>
        <w:pStyle w:val="FirstParagraph"/>
      </w:pPr>
      <w:r>
        <w:t xml:space="preserve">This page lists all properties exposed by the VBScript.RegExp object and its sub-objects.</w:t>
      </w:r>
    </w:p>
    <w:bookmarkEnd w:id="6297"/>
    <w:bookmarkStart w:id="6298" w:name="regexp-properties"/>
    <w:p>
      <w:pPr>
        <w:pStyle w:val="Heading2"/>
      </w:pPr>
      <w:r>
        <w:t xml:space="preserve">RegExp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Global</w:t>
            </w:r>
          </w:p>
        </w:tc>
        <w:tc>
          <w:tcPr/>
          <w:p>
            <w:pPr>
              <w:pStyle w:val="Compact"/>
            </w:pPr>
            <w:r>
              <w:t xml:space="preserve">Read/Write</w:t>
            </w:r>
          </w:p>
        </w:tc>
        <w:tc>
          <w:tcPr/>
          <w:p>
            <w:pPr>
              <w:pStyle w:val="Compact"/>
            </w:pPr>
            <w:r>
              <w:t xml:space="preserve">Boolean</w:t>
            </w:r>
          </w:p>
        </w:tc>
        <w:tc>
          <w:tcPr/>
          <w:p>
            <w:pPr>
              <w:pStyle w:val="Compact"/>
            </w:pPr>
            <w:r>
              <w:t xml:space="preserve">When True,</w:t>
            </w:r>
            <w:r>
              <w:t xml:space="preserve"> </w:t>
            </w:r>
            <w:r>
              <w:rPr>
                <w:rStyle w:val="VerbatimChar"/>
              </w:rPr>
              <w:t xml:space="preserve">Execute</w:t>
            </w:r>
            <w:r>
              <w:t xml:space="preserve"> </w:t>
            </w:r>
            <w:r>
              <w:t xml:space="preserve">finds all non-overlapping matches and</w:t>
            </w:r>
            <w:r>
              <w:t xml:space="preserve"> </w:t>
            </w:r>
            <w:r>
              <w:rPr>
                <w:rStyle w:val="VerbatimChar"/>
              </w:rPr>
              <w:t xml:space="preserve">Replace</w:t>
            </w:r>
            <w:r>
              <w:t xml:space="preserve"> </w:t>
            </w:r>
            <w:r>
              <w:t xml:space="preserve">replaces all occurrences. When False (default), only the first match is processed. Changing this property does not recompile the pattern.</w:t>
            </w:r>
          </w:p>
        </w:tc>
      </w:tr>
      <w:tr>
        <w:tc>
          <w:tcPr/>
          <w:p>
            <w:pPr>
              <w:pStyle w:val="Compact"/>
            </w:pPr>
            <w:r>
              <w:t xml:space="preserve">IgnoreCase</w:t>
            </w:r>
          </w:p>
        </w:tc>
        <w:tc>
          <w:tcPr/>
          <w:p>
            <w:pPr>
              <w:pStyle w:val="Compact"/>
            </w:pPr>
            <w:r>
              <w:t xml:space="preserve">Read/Write</w:t>
            </w:r>
          </w:p>
        </w:tc>
        <w:tc>
          <w:tcPr/>
          <w:p>
            <w:pPr>
              <w:pStyle w:val="Compact"/>
            </w:pPr>
            <w:r>
              <w:t xml:space="preserve">Boolean</w:t>
            </w:r>
          </w:p>
        </w:tc>
        <w:tc>
          <w:tcPr/>
          <w:p>
            <w:pPr>
              <w:pStyle w:val="Compact"/>
            </w:pPr>
            <w:r>
              <w:t xml:space="preserve">When True, the compiled pattern ignores letter case during matching. When False (default), matching is case-sensitive. Changing this property recompiles the pattern immediately.</w:t>
            </w:r>
          </w:p>
        </w:tc>
      </w:tr>
      <w:tr>
        <w:tc>
          <w:tcPr/>
          <w:p>
            <w:pPr>
              <w:pStyle w:val="Compact"/>
            </w:pPr>
            <w:r>
              <w:t xml:space="preserve">MultiLine</w:t>
            </w:r>
          </w:p>
        </w:tc>
        <w:tc>
          <w:tcPr/>
          <w:p>
            <w:pPr>
              <w:pStyle w:val="Compact"/>
            </w:pPr>
            <w:r>
              <w:t xml:space="preserve">Read/Write</w:t>
            </w:r>
          </w:p>
        </w:tc>
        <w:tc>
          <w:tcPr/>
          <w:p>
            <w:pPr>
              <w:pStyle w:val="Compact"/>
            </w:pPr>
            <w:r>
              <w:t xml:space="preserve">Boolean</w:t>
            </w:r>
          </w:p>
        </w:tc>
        <w:tc>
          <w:tcPr/>
          <w:p>
            <w:pPr>
              <w:pStyle w:val="Compact"/>
            </w:pPr>
            <w:r>
              <w:t xml:space="preserve">When True, the</w:t>
            </w:r>
            <w:r>
              <w:t xml:space="preserve"> </w:t>
            </w:r>
            <w:r>
              <w:rPr>
                <w:rStyle w:val="VerbatimChar"/>
              </w:rPr>
              <w:t xml:space="preserve">^</w:t>
            </w:r>
            <w:r>
              <w:t xml:space="preserve"> </w:t>
            </w:r>
            <w:r>
              <w:t xml:space="preserve">and</w:t>
            </w:r>
            <w:r>
              <w:t xml:space="preserve"> </w:t>
            </w:r>
            <w:r>
              <w:rPr>
                <w:rStyle w:val="VerbatimChar"/>
              </w:rPr>
              <w:t xml:space="preserve">$</w:t>
            </w:r>
            <w:r>
              <w:t xml:space="preserve"> </w:t>
            </w:r>
            <w:r>
              <w:t xml:space="preserve">anchors match at the start and end of each line within the input string. When False (default), they match only at the start and end of the entire string. Changing this property recompiles the pattern.</w:t>
            </w:r>
          </w:p>
        </w:tc>
      </w:tr>
      <w:tr>
        <w:tc>
          <w:tcPr/>
          <w:p>
            <w:pPr>
              <w:pStyle w:val="Compact"/>
            </w:pPr>
            <w:r>
              <w:t xml:space="preserve">Pattern</w:t>
            </w:r>
          </w:p>
        </w:tc>
        <w:tc>
          <w:tcPr/>
          <w:p>
            <w:pPr>
              <w:pStyle w:val="Compact"/>
            </w:pPr>
            <w:r>
              <w:t xml:space="preserve">Read/Write</w:t>
            </w:r>
          </w:p>
        </w:tc>
        <w:tc>
          <w:tcPr/>
          <w:p>
            <w:pPr>
              <w:pStyle w:val="Compact"/>
            </w:pPr>
            <w:r>
              <w:t xml:space="preserve">String</w:t>
            </w:r>
          </w:p>
        </w:tc>
        <w:tc>
          <w:tcPr/>
          <w:p>
            <w:pPr>
              <w:pStyle w:val="Compact"/>
            </w:pPr>
            <w:r>
              <w:t xml:space="preserve">The regular expression pattern string. Setting this property compiles the expression immediately. If the pattern is syntactically invalid, VBScript error 5017 is raised and the compiled expression is cleared. Returns an empty String when no pattern has been set.</w:t>
            </w:r>
          </w:p>
        </w:tc>
      </w:tr>
    </w:tbl>
    <w:bookmarkEnd w:id="6298"/>
    <w:bookmarkStart w:id="6299" w:name="match-properties"/>
    <w:p>
      <w:pPr>
        <w:pStyle w:val="Heading2"/>
      </w:pPr>
      <w:r>
        <w:t xml:space="preserve">Match Properties</w:t>
      </w:r>
    </w:p>
    <w:p>
      <w:pPr>
        <w:pStyle w:val="FirstParagraph"/>
      </w:pPr>
      <w:r>
        <w:t xml:space="preserve">A Match object is obtained from a MatchesCollection via</w:t>
      </w:r>
      <w:r>
        <w:t xml:space="preserve"> </w:t>
      </w:r>
      <w:r>
        <w:rPr>
          <w:rStyle w:val="VerbatimChar"/>
        </w:rPr>
        <w:t xml:space="preserve">Item(index)</w:t>
      </w:r>
      <w:r>
        <w:t xml:space="preserve"> </w:t>
      </w:r>
      <w:r>
        <w:t xml:space="preserve">after calling</w:t>
      </w:r>
      <w:r>
        <w:t xml:space="preserve"> </w:t>
      </w:r>
      <w:r>
        <w:rPr>
          <w:rStyle w:val="VerbatimChar"/>
        </w:rPr>
        <w:t xml:space="preserve">Execute</w:t>
      </w:r>
      <w:r>
        <w:t xml:space="preserv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FirstIndex</w:t>
            </w:r>
          </w:p>
        </w:tc>
        <w:tc>
          <w:tcPr/>
          <w:p>
            <w:pPr>
              <w:pStyle w:val="Compact"/>
            </w:pPr>
            <w:r>
              <w:t xml:space="preserve">Read</w:t>
            </w:r>
          </w:p>
        </w:tc>
        <w:tc>
          <w:tcPr/>
          <w:p>
            <w:pPr>
              <w:pStyle w:val="Compact"/>
            </w:pPr>
            <w:r>
              <w:t xml:space="preserve">Integer</w:t>
            </w:r>
          </w:p>
        </w:tc>
        <w:tc>
          <w:tcPr/>
          <w:p>
            <w:pPr>
              <w:pStyle w:val="Compact"/>
            </w:pPr>
            <w:r>
              <w:t xml:space="preserve">The 0-based character position in the input string where the match begins.</w:t>
            </w:r>
          </w:p>
        </w:tc>
      </w:tr>
      <w:tr>
        <w:tc>
          <w:tcPr/>
          <w:p>
            <w:pPr>
              <w:pStyle w:val="Compact"/>
            </w:pPr>
            <w:r>
              <w:t xml:space="preserve">Length</w:t>
            </w:r>
          </w:p>
        </w:tc>
        <w:tc>
          <w:tcPr/>
          <w:p>
            <w:pPr>
              <w:pStyle w:val="Compact"/>
            </w:pPr>
            <w:r>
              <w:t xml:space="preserve">Read</w:t>
            </w:r>
          </w:p>
        </w:tc>
        <w:tc>
          <w:tcPr/>
          <w:p>
            <w:pPr>
              <w:pStyle w:val="Compact"/>
            </w:pPr>
            <w:r>
              <w:t xml:space="preserve">Integer</w:t>
            </w:r>
          </w:p>
        </w:tc>
        <w:tc>
          <w:tcPr/>
          <w:p>
            <w:pPr>
              <w:pStyle w:val="Compact"/>
            </w:pPr>
            <w:r>
              <w:t xml:space="preserve">The number of characters in the matched text.</w:t>
            </w:r>
          </w:p>
        </w:tc>
      </w:tr>
      <w:tr>
        <w:tc>
          <w:tcPr/>
          <w:p>
            <w:pPr>
              <w:pStyle w:val="Compact"/>
            </w:pPr>
            <w:r>
              <w:t xml:space="preserve">SubMatches</w:t>
            </w:r>
          </w:p>
        </w:tc>
        <w:tc>
          <w:tcPr/>
          <w:p>
            <w:pPr>
              <w:pStyle w:val="Compact"/>
            </w:pPr>
            <w:r>
              <w:t xml:space="preserve">Read</w:t>
            </w:r>
          </w:p>
        </w:tc>
        <w:tc>
          <w:tcPr/>
          <w:p>
            <w:pPr>
              <w:pStyle w:val="Compact"/>
            </w:pPr>
            <w:r>
              <w:t xml:space="preserve">SubMatches</w:t>
            </w:r>
          </w:p>
        </w:tc>
        <w:tc>
          <w:tcPr/>
          <w:p>
            <w:pPr>
              <w:pStyle w:val="Compact"/>
            </w:pPr>
            <w:r>
              <w:t xml:space="preserve">The SubMatches collection containing the text captured by each parenthesized group in the pattern.</w:t>
            </w:r>
          </w:p>
        </w:tc>
      </w:tr>
      <w:tr>
        <w:tc>
          <w:tcPr/>
          <w:p>
            <w:pPr>
              <w:pStyle w:val="Compact"/>
            </w:pPr>
            <w:r>
              <w:t xml:space="preserve">Value</w:t>
            </w:r>
          </w:p>
        </w:tc>
        <w:tc>
          <w:tcPr/>
          <w:p>
            <w:pPr>
              <w:pStyle w:val="Compact"/>
            </w:pPr>
            <w:r>
              <w:t xml:space="preserve">Read</w:t>
            </w:r>
          </w:p>
        </w:tc>
        <w:tc>
          <w:tcPr/>
          <w:p>
            <w:pPr>
              <w:pStyle w:val="Compact"/>
            </w:pPr>
            <w:r>
              <w:t xml:space="preserve">String</w:t>
            </w:r>
          </w:p>
        </w:tc>
        <w:tc>
          <w:tcPr/>
          <w:p>
            <w:pPr>
              <w:pStyle w:val="Compact"/>
            </w:pPr>
            <w:r>
              <w:t xml:space="preserve">The complete text of the match. This is the default property; reading a Match object directly returns this value.</w:t>
            </w:r>
          </w:p>
        </w:tc>
      </w:tr>
    </w:tbl>
    <w:bookmarkEnd w:id="6299"/>
    <w:bookmarkStart w:id="6300" w:name="matchescollection-properties"/>
    <w:p>
      <w:pPr>
        <w:pStyle w:val="Heading2"/>
      </w:pPr>
      <w:r>
        <w:t xml:space="preserve">MatchesCollection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Count</w:t>
            </w:r>
          </w:p>
        </w:tc>
        <w:tc>
          <w:tcPr/>
          <w:p>
            <w:pPr>
              <w:pStyle w:val="Compact"/>
            </w:pPr>
            <w:r>
              <w:t xml:space="preserve">Read</w:t>
            </w:r>
          </w:p>
        </w:tc>
        <w:tc>
          <w:tcPr/>
          <w:p>
            <w:pPr>
              <w:pStyle w:val="Compact"/>
            </w:pPr>
            <w:r>
              <w:t xml:space="preserve">Integer</w:t>
            </w:r>
          </w:p>
        </w:tc>
        <w:tc>
          <w:tcPr/>
          <w:p>
            <w:pPr>
              <w:pStyle w:val="Compact"/>
            </w:pPr>
            <w:r>
              <w:t xml:space="preserve">The total number of Match objects in the collection. Also accessible as</w:t>
            </w:r>
            <w:r>
              <w:t xml:space="preserve"> </w:t>
            </w:r>
            <w:r>
              <w:rPr>
                <w:rStyle w:val="VerbatimChar"/>
              </w:rPr>
              <w:t xml:space="preserve">Length</w:t>
            </w:r>
            <w:r>
              <w:t xml:space="preserve">.</w:t>
            </w:r>
          </w:p>
        </w:tc>
      </w:tr>
    </w:tbl>
    <w:bookmarkEnd w:id="6300"/>
    <w:bookmarkStart w:id="6301" w:name="submatches-properties"/>
    <w:p>
      <w:pPr>
        <w:pStyle w:val="Heading2"/>
      </w:pPr>
      <w:r>
        <w:t xml:space="preserve">SubMatches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Count</w:t>
            </w:r>
          </w:p>
        </w:tc>
        <w:tc>
          <w:tcPr/>
          <w:p>
            <w:pPr>
              <w:pStyle w:val="Compact"/>
            </w:pPr>
            <w:r>
              <w:t xml:space="preserve">Read</w:t>
            </w:r>
          </w:p>
        </w:tc>
        <w:tc>
          <w:tcPr/>
          <w:p>
            <w:pPr>
              <w:pStyle w:val="Compact"/>
            </w:pPr>
            <w:r>
              <w:t xml:space="preserve">Integer</w:t>
            </w:r>
          </w:p>
        </w:tc>
        <w:tc>
          <w:tcPr/>
          <w:p>
            <w:pPr>
              <w:pStyle w:val="Compact"/>
            </w:pPr>
            <w:r>
              <w:t xml:space="preserve">The number of captured groups in the SubMatches collection.</w:t>
            </w:r>
          </w:p>
        </w:tc>
      </w:tr>
    </w:tbl>
    <w:bookmarkEnd w:id="6301"/>
    <w:bookmarkStart w:id="6303" w:name="submatchvalue-properties"/>
    <w:p>
      <w:pPr>
        <w:pStyle w:val="Heading2"/>
      </w:pPr>
      <w:r>
        <w:t xml:space="preserve">SubMatchValue Properties</w:t>
      </w:r>
    </w:p>
    <w:p>
      <w:pPr>
        <w:pStyle w:val="FirstParagraph"/>
      </w:pPr>
      <w:r>
        <w:t xml:space="preserve">A SubMatchValue object is returned by</w:t>
      </w:r>
      <w:r>
        <w:t xml:space="preserve"> </w:t>
      </w:r>
      <w:r>
        <w:rPr>
          <w:rStyle w:val="VerbatimChar"/>
        </w:rPr>
        <w:t xml:space="preserve">SubMatches.Item(index)</w:t>
      </w:r>
      <w:r>
        <w:t xml:space="preserv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t xml:space="preserve">Length</w:t>
            </w:r>
          </w:p>
        </w:tc>
        <w:tc>
          <w:tcPr/>
          <w:p>
            <w:pPr>
              <w:pStyle w:val="Compact"/>
            </w:pPr>
            <w:r>
              <w:t xml:space="preserve">Read</w:t>
            </w:r>
          </w:p>
        </w:tc>
        <w:tc>
          <w:tcPr/>
          <w:p>
            <w:pPr>
              <w:pStyle w:val="Compact"/>
            </w:pPr>
            <w:r>
              <w:t xml:space="preserve">Integer</w:t>
            </w:r>
          </w:p>
        </w:tc>
        <w:tc>
          <w:tcPr/>
          <w:p>
            <w:pPr>
              <w:pStyle w:val="Compact"/>
            </w:pPr>
            <w:r>
              <w:t xml:space="preserve">The number of characters in the captured group text.</w:t>
            </w:r>
          </w:p>
        </w:tc>
      </w:tr>
      <w:tr>
        <w:tc>
          <w:tcPr/>
          <w:p>
            <w:pPr>
              <w:pStyle w:val="Compact"/>
            </w:pPr>
            <w:r>
              <w:t xml:space="preserve">Value</w:t>
            </w:r>
          </w:p>
        </w:tc>
        <w:tc>
          <w:tcPr/>
          <w:p>
            <w:pPr>
              <w:pStyle w:val="Compact"/>
            </w:pPr>
            <w:r>
              <w:t xml:space="preserve">Read</w:t>
            </w:r>
          </w:p>
        </w:tc>
        <w:tc>
          <w:tcPr/>
          <w:p>
            <w:pPr>
              <w:pStyle w:val="Compact"/>
            </w:pPr>
            <w:r>
              <w:t xml:space="preserve">String</w:t>
            </w:r>
          </w:p>
        </w:tc>
        <w:tc>
          <w:tcPr/>
          <w:p>
            <w:pPr>
              <w:pStyle w:val="Compact"/>
            </w:pPr>
            <w:r>
              <w:t xml:space="preserve">The text captured by the group. This is the default property.</w:t>
            </w:r>
          </w:p>
        </w:tc>
      </w:tr>
    </w:tbl>
    <w:bookmarkStart w:id="6302" w:name="methods-detail-27"/>
    <w:p>
      <w:pPr>
        <w:pStyle w:val="Heading3"/>
      </w:pPr>
      <w:r>
        <w:t xml:space="preserve">Methods Detail</w:t>
      </w:r>
    </w:p>
    <w:bookmarkEnd w:id="6302"/>
    <w:bookmarkEnd w:id="6303"/>
    <w:bookmarkEnd w:id="6304"/>
    <w:bookmarkStart w:id="6312" w:name="execute-method"/>
    <w:p>
      <w:pPr>
        <w:pStyle w:val="Heading1"/>
      </w:pPr>
      <w:r>
        <w:t xml:space="preserve">Execute Method</w:t>
      </w:r>
    </w:p>
    <w:bookmarkStart w:id="6305" w:name="overview-676"/>
    <w:p>
      <w:pPr>
        <w:pStyle w:val="Heading2"/>
      </w:pPr>
      <w:r>
        <w:t xml:space="preserve">Overview</w:t>
      </w:r>
    </w:p>
    <w:p>
      <w:pPr>
        <w:pStyle w:val="FirstParagraph"/>
      </w:pPr>
      <w:r>
        <w:t xml:space="preserve">Applies the compiled regular expression pattern to an input string and returns a MatchesCollection object containing all matches found.</w:t>
      </w:r>
    </w:p>
    <w:bookmarkEnd w:id="6305"/>
    <w:bookmarkStart w:id="6306" w:name="syntax-737"/>
    <w:p>
      <w:pPr>
        <w:pStyle w:val="Heading2"/>
      </w:pPr>
      <w:r>
        <w:t xml:space="preserve">Syntax</w:t>
      </w:r>
    </w:p>
    <w:p>
      <w:pPr>
        <w:pStyle w:val="SourceCode"/>
      </w:pPr>
      <w:r>
        <w:rPr>
          <w:rStyle w:val="NormalTok"/>
        </w:rPr>
        <w:t xml:space="preserve">Set matches = re.Execute(string)</w:t>
      </w:r>
    </w:p>
    <w:bookmarkEnd w:id="6306"/>
    <w:bookmarkStart w:id="6307" w:name="parameters-35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string</w:t>
            </w:r>
          </w:p>
        </w:tc>
        <w:tc>
          <w:tcPr/>
          <w:p>
            <w:pPr>
              <w:pStyle w:val="Compact"/>
            </w:pPr>
            <w:r>
              <w:t xml:space="preserve">String</w:t>
            </w:r>
          </w:p>
        </w:tc>
        <w:tc>
          <w:tcPr/>
          <w:p>
            <w:pPr>
              <w:pStyle w:val="Compact"/>
            </w:pPr>
            <w:r>
              <w:t xml:space="preserve">Yes</w:t>
            </w:r>
          </w:p>
        </w:tc>
        <w:tc>
          <w:tcPr/>
          <w:p>
            <w:pPr>
              <w:pStyle w:val="Compact"/>
            </w:pPr>
            <w:r>
              <w:t xml:space="preserve">The text to search for pattern matches.</w:t>
            </w:r>
          </w:p>
        </w:tc>
      </w:tr>
    </w:tbl>
    <w:bookmarkEnd w:id="6307"/>
    <w:bookmarkStart w:id="6308" w:name="return-value-420"/>
    <w:p>
      <w:pPr>
        <w:pStyle w:val="Heading2"/>
      </w:pPr>
      <w:r>
        <w:t xml:space="preserve">Return Value</w:t>
      </w:r>
    </w:p>
    <w:p>
      <w:pPr>
        <w:pStyle w:val="FirstParagraph"/>
      </w:pPr>
      <w:r>
        <w:t xml:space="preserve">Returns a</w:t>
      </w:r>
      <w:r>
        <w:t xml:space="preserve"> </w:t>
      </w:r>
      <w:r>
        <w:rPr>
          <w:b/>
          <w:bCs/>
        </w:rPr>
        <w:t xml:space="preserve">MatchesCollection</w:t>
      </w:r>
      <w:r>
        <w:t xml:space="preserve"> </w:t>
      </w:r>
      <w:r>
        <w:t xml:space="preserve">object. Use</w:t>
      </w:r>
      <w:r>
        <w:t xml:space="preserve"> </w:t>
      </w:r>
      <w:r>
        <w:rPr>
          <w:rStyle w:val="VerbatimChar"/>
        </w:rPr>
        <w:t xml:space="preserve">Set</w:t>
      </w:r>
      <w:r>
        <w:t xml:space="preserve"> </w:t>
      </w:r>
      <w:r>
        <w:t xml:space="preserve">for assignment. When no matches are found, the returned collection is empty (</w:t>
      </w:r>
      <w:r>
        <w:rPr>
          <w:rStyle w:val="VerbatimChar"/>
        </w:rPr>
        <w:t xml:space="preserve">Count</w:t>
      </w:r>
      <w:r>
        <w:t xml:space="preserve"> </w:t>
      </w:r>
      <w:r>
        <w:t xml:space="preserve">equals 0). Never returns Empty or Nothing.</w:t>
      </w:r>
    </w:p>
    <w:p>
      <w:pPr>
        <w:pStyle w:val="Compact"/>
        <w:numPr>
          <w:ilvl w:val="0"/>
          <w:numId w:val="2538"/>
        </w:numPr>
      </w:pPr>
      <w:r>
        <w:t xml:space="preserve">When</w:t>
      </w:r>
      <w:r>
        <w:t xml:space="preserve"> </w:t>
      </w:r>
      <w:r>
        <w:rPr>
          <w:rStyle w:val="VerbatimChar"/>
        </w:rPr>
        <w:t xml:space="preserve">Global</w:t>
      </w:r>
      <w:r>
        <w:t xml:space="preserve"> </w:t>
      </w:r>
      <w:r>
        <w:t xml:space="preserve">is</w:t>
      </w:r>
      <w:r>
        <w:t xml:space="preserve"> </w:t>
      </w:r>
      <w:r>
        <w:rPr>
          <w:b/>
          <w:bCs/>
        </w:rPr>
        <w:t xml:space="preserve">False</w:t>
      </w:r>
      <w:r>
        <w:t xml:space="preserve"> </w:t>
      </w:r>
      <w:r>
        <w:t xml:space="preserve">(default), the collection contains at most one Match object for the first match found.</w:t>
      </w:r>
    </w:p>
    <w:p>
      <w:pPr>
        <w:pStyle w:val="Compact"/>
        <w:numPr>
          <w:ilvl w:val="0"/>
          <w:numId w:val="2538"/>
        </w:numPr>
      </w:pPr>
      <w:r>
        <w:t xml:space="preserve">When</w:t>
      </w:r>
      <w:r>
        <w:t xml:space="preserve"> </w:t>
      </w:r>
      <w:r>
        <w:rPr>
          <w:rStyle w:val="VerbatimChar"/>
        </w:rPr>
        <w:t xml:space="preserve">Global</w:t>
      </w:r>
      <w:r>
        <w:t xml:space="preserve"> </w:t>
      </w:r>
      <w:r>
        <w:t xml:space="preserve">is</w:t>
      </w:r>
      <w:r>
        <w:t xml:space="preserve"> </w:t>
      </w:r>
      <w:r>
        <w:rPr>
          <w:b/>
          <w:bCs/>
        </w:rPr>
        <w:t xml:space="preserve">True</w:t>
      </w:r>
      <w:r>
        <w:t xml:space="preserve">, the collection contains one Match object per non-overlapping match, in order of occurrence.</w:t>
      </w:r>
    </w:p>
    <w:p>
      <w:pPr>
        <w:pStyle w:val="FirstParagraph"/>
      </w:pPr>
      <w:r>
        <w:t xml:space="preserve">Each Match object in the collection exposes:</w:t>
      </w:r>
      <w:r>
        <w:t xml:space="preserve"> </w:t>
      </w:r>
      <w:r>
        <w:t xml:space="preserve">-</w:t>
      </w:r>
      <w:r>
        <w:t xml:space="preserve"> </w:t>
      </w:r>
      <w:r>
        <w:rPr>
          <w:b/>
          <w:bCs/>
        </w:rPr>
        <w:t xml:space="preserve">Value</w:t>
      </w:r>
      <w:r>
        <w:t xml:space="preserve"> </w:t>
      </w:r>
      <w:r>
        <w:t xml:space="preserve">(String) — the matched text</w:t>
      </w:r>
      <w:r>
        <w:t xml:space="preserve"> </w:t>
      </w:r>
      <w:r>
        <w:t xml:space="preserve">-</w:t>
      </w:r>
      <w:r>
        <w:t xml:space="preserve"> </w:t>
      </w:r>
      <w:r>
        <w:rPr>
          <w:b/>
          <w:bCs/>
        </w:rPr>
        <w:t xml:space="preserve">FirstIndex</w:t>
      </w:r>
      <w:r>
        <w:t xml:space="preserve"> </w:t>
      </w:r>
      <w:r>
        <w:t xml:space="preserve">(Integer) — the 0-based start position in the input string</w:t>
      </w:r>
      <w:r>
        <w:t xml:space="preserve"> </w:t>
      </w:r>
      <w:r>
        <w:t xml:space="preserve">-</w:t>
      </w:r>
      <w:r>
        <w:t xml:space="preserve"> </w:t>
      </w:r>
      <w:r>
        <w:rPr>
          <w:b/>
          <w:bCs/>
        </w:rPr>
        <w:t xml:space="preserve">Length</w:t>
      </w:r>
      <w:r>
        <w:t xml:space="preserve"> </w:t>
      </w:r>
      <w:r>
        <w:t xml:space="preserve">(Integer) — the character count of the matched text</w:t>
      </w:r>
      <w:r>
        <w:t xml:space="preserve"> </w:t>
      </w:r>
      <w:r>
        <w:t xml:space="preserve">-</w:t>
      </w:r>
      <w:r>
        <w:t xml:space="preserve"> </w:t>
      </w:r>
      <w:r>
        <w:rPr>
          <w:b/>
          <w:bCs/>
        </w:rPr>
        <w:t xml:space="preserve">SubMatches</w:t>
      </w:r>
      <w:r>
        <w:t xml:space="preserve"> </w:t>
      </w:r>
      <w:r>
        <w:t xml:space="preserve">(SubMatches) — a collection of captured group strings</w:t>
      </w:r>
    </w:p>
    <w:bookmarkEnd w:id="6308"/>
    <w:bookmarkStart w:id="6309" w:name="how-it-works-81"/>
    <w:p>
      <w:pPr>
        <w:pStyle w:val="Heading2"/>
      </w:pPr>
      <w:r>
        <w:t xml:space="preserve">How It Works</w:t>
      </w:r>
    </w:p>
    <w:p>
      <w:pPr>
        <w:pStyle w:val="FirstParagraph"/>
      </w:pPr>
      <w:r>
        <w:t xml:space="preserve">The runtime calls</w:t>
      </w:r>
      <w:r>
        <w:t xml:space="preserve"> </w:t>
      </w:r>
      <w:r>
        <w:rPr>
          <w:rStyle w:val="VerbatimChar"/>
        </w:rPr>
        <w:t xml:space="preserve">FindStringSubmatchIndex</w:t>
      </w:r>
      <w:r>
        <w:t xml:space="preserve"> </w:t>
      </w:r>
      <w:r>
        <w:t xml:space="preserve">(first-only mode) or</w:t>
      </w:r>
      <w:r>
        <w:t xml:space="preserve"> </w:t>
      </w:r>
      <w:r>
        <w:rPr>
          <w:rStyle w:val="VerbatimChar"/>
        </w:rPr>
        <w:t xml:space="preserve">FindAllStringSubmatchIndex</w:t>
      </w:r>
      <w:r>
        <w:t xml:space="preserve"> </w:t>
      </w:r>
      <w:r>
        <w:t xml:space="preserve">(global mode) on the compiled Go</w:t>
      </w:r>
      <w:r>
        <w:t xml:space="preserve"> </w:t>
      </w:r>
      <w:r>
        <w:rPr>
          <w:rStyle w:val="VerbatimChar"/>
        </w:rPr>
        <w:t xml:space="preserve">*regexp.Regexp</w:t>
      </w:r>
      <w:r>
        <w:t xml:space="preserve">. If the pattern has not yet been compiled (because</w:t>
      </w:r>
      <w:r>
        <w:t xml:space="preserve"> </w:t>
      </w:r>
      <w:r>
        <w:rPr>
          <w:rStyle w:val="VerbatimChar"/>
        </w:rPr>
        <w:t xml:space="preserve">Pattern</w:t>
      </w:r>
      <w:r>
        <w:t xml:space="preserve"> </w:t>
      </w:r>
      <w:r>
        <w:t xml:space="preserve">was never set or was set to an empty string), the method recompiles before executing. If the pattern is still absent, an empty MatchesCollection is returned immediately.</w:t>
      </w:r>
    </w:p>
    <w:p>
      <w:pPr>
        <w:pStyle w:val="BodyText"/>
      </w:pPr>
      <w:r>
        <w:t xml:space="preserve">Submatches are extracted from the index pairs starting at position 2 in the index slice. If a capturing group did not participate in the match, its SubMatches slot contains an empty String.</w:t>
      </w:r>
    </w:p>
    <w:bookmarkEnd w:id="6309"/>
    <w:bookmarkStart w:id="6310" w:name="remarks-717"/>
    <w:p>
      <w:pPr>
        <w:pStyle w:val="Heading2"/>
      </w:pPr>
      <w:r>
        <w:t xml:space="preserve">Remarks</w:t>
      </w:r>
    </w:p>
    <w:p>
      <w:pPr>
        <w:pStyle w:val="Compact"/>
        <w:numPr>
          <w:ilvl w:val="0"/>
          <w:numId w:val="2539"/>
        </w:numPr>
      </w:pPr>
      <w:r>
        <w:t xml:space="preserve">If</w:t>
      </w:r>
      <w:r>
        <w:t xml:space="preserve"> </w:t>
      </w:r>
      <w:r>
        <w:rPr>
          <w:rStyle w:val="VerbatimChar"/>
        </w:rPr>
        <w:t xml:space="preserve">Pattern</w:t>
      </w:r>
      <w:r>
        <w:t xml:space="preserve"> </w:t>
      </w:r>
      <w:r>
        <w:t xml:space="preserve">is empty, the method returns an empty MatchesCollection without raising an error.</w:t>
      </w:r>
    </w:p>
    <w:p>
      <w:pPr>
        <w:pStyle w:val="Compact"/>
        <w:numPr>
          <w:ilvl w:val="0"/>
          <w:numId w:val="2539"/>
        </w:numPr>
      </w:pPr>
      <w:r>
        <w:t xml:space="preserve">If</w:t>
      </w:r>
      <w:r>
        <w:t xml:space="preserve"> </w:t>
      </w:r>
      <w:r>
        <w:rPr>
          <w:rStyle w:val="VerbatimChar"/>
        </w:rPr>
        <w:t xml:space="preserve">Pattern</w:t>
      </w:r>
      <w:r>
        <w:t xml:space="preserve"> </w:t>
      </w:r>
      <w:r>
        <w:t xml:space="preserve">is syntactically invalid, VBScript error 5017 is raised and an empty MatchesCollection is returned.</w:t>
      </w:r>
    </w:p>
    <w:p>
      <w:pPr>
        <w:pStyle w:val="Compact"/>
        <w:numPr>
          <w:ilvl w:val="0"/>
          <w:numId w:val="2539"/>
        </w:numPr>
      </w:pPr>
      <w:r>
        <w:t xml:space="preserve">Accessing a MatchesCollection or Match object requires</w:t>
      </w:r>
      <w:r>
        <w:t xml:space="preserve"> </w:t>
      </w:r>
      <w:r>
        <w:rPr>
          <w:rStyle w:val="VerbatimChar"/>
        </w:rPr>
        <w:t xml:space="preserve">Set</w:t>
      </w:r>
      <w:r>
        <w:t xml:space="preserve"> </w:t>
      </w:r>
      <w:r>
        <w:t xml:space="preserve">for assignment.</w:t>
      </w:r>
    </w:p>
    <w:p>
      <w:pPr>
        <w:pStyle w:val="Compact"/>
        <w:numPr>
          <w:ilvl w:val="0"/>
          <w:numId w:val="2539"/>
        </w:numPr>
      </w:pPr>
      <w:r>
        <w:rPr>
          <w:rStyle w:val="VerbatimChar"/>
        </w:rPr>
        <w:t xml:space="preserve">matches.Item(0)</w:t>
      </w:r>
      <w:r>
        <w:t xml:space="preserve"> </w:t>
      </w:r>
      <w:r>
        <w:t xml:space="preserve">and</w:t>
      </w:r>
      <w:r>
        <w:t xml:space="preserve"> </w:t>
      </w:r>
      <w:r>
        <w:rPr>
          <w:rStyle w:val="VerbatimChar"/>
        </w:rPr>
        <w:t xml:space="preserve">matches(0)</w:t>
      </w:r>
      <w:r>
        <w:t xml:space="preserve"> </w:t>
      </w:r>
      <w:r>
        <w:t xml:space="preserve">are equivalent;</w:t>
      </w:r>
      <w:r>
        <w:t xml:space="preserve"> </w:t>
      </w:r>
      <w:r>
        <w:rPr>
          <w:rStyle w:val="VerbatimChar"/>
        </w:rPr>
        <w:t xml:space="preserve">Item</w:t>
      </w:r>
      <w:r>
        <w:t xml:space="preserve"> </w:t>
      </w:r>
      <w:r>
        <w:t xml:space="preserve">is the default dispatch member.</w:t>
      </w:r>
    </w:p>
    <w:bookmarkEnd w:id="6310"/>
    <w:bookmarkStart w:id="6311" w:name="code-example-525"/>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re</w:t>
      </w:r>
      <w:r>
        <w:rPr>
          <w:rStyle w:val="OtherTok"/>
        </w:rPr>
        <w:t xml:space="preserve">,</w:t>
      </w:r>
      <w:r>
        <w:rPr>
          <w:rStyle w:val="NormalTok"/>
        </w:rPr>
        <w:t xml:space="preserve"> matches</w:t>
      </w:r>
      <w:r>
        <w:rPr>
          <w:rStyle w:val="OtherTok"/>
        </w:rPr>
        <w:t xml:space="preserve">,</w:t>
      </w:r>
      <w:r>
        <w:rPr>
          <w:rStyle w:val="NormalTok"/>
        </w:rPr>
        <w:t xml:space="preserve"> m</w:t>
      </w:r>
      <w:r>
        <w:rPr>
          <w:rStyle w:val="OtherTok"/>
        </w:rPr>
        <w:t xml:space="preserve">,</w:t>
      </w:r>
      <w:r>
        <w:rPr>
          <w:rStyle w:val="NormalTok"/>
        </w:rPr>
        <w:t xml:space="preserve"> i</w:t>
      </w:r>
      <w:r>
        <w:br/>
      </w:r>
      <w:r>
        <w:rPr>
          <w:rStyle w:val="KeywordTok"/>
        </w:rPr>
        <w:t xml:space="preserve">Set</w:t>
      </w:r>
      <w:r>
        <w:rPr>
          <w:rStyle w:val="NormalTok"/>
        </w:rPr>
        <w:t xml:space="preserve"> re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"VBScript.RegExp"</w:t>
      </w:r>
      <w:r>
        <w:rPr>
          <w:rStyle w:val="OtherTok"/>
        </w:rPr>
        <w:t xml:space="preserve">)</w:t>
      </w:r>
      <w:r>
        <w:br/>
      </w:r>
      <w:r>
        <w:rPr>
          <w:rStyle w:val="NormalTok"/>
        </w:rPr>
        <w:t xml:space="preserve">re.Pattern = </w:t>
      </w:r>
      <w:r>
        <w:rPr>
          <w:rStyle w:val="StringTok"/>
        </w:rPr>
        <w:t xml:space="preserve">"([A-Za-z]+)@([A-Za-z]+\\.com)"</w:t>
      </w:r>
      <w:r>
        <w:br/>
      </w:r>
      <w:r>
        <w:rPr>
          <w:rStyle w:val="NormalTok"/>
        </w:rPr>
        <w:t xml:space="preserve">re.Global = </w:t>
      </w:r>
      <w:r>
        <w:rPr>
          <w:rStyle w:val="KeywordTok"/>
        </w:rPr>
        <w:t xml:space="preserve">True</w:t>
      </w:r>
      <w:r>
        <w:br/>
      </w:r>
      <w:r>
        <w:rPr>
          <w:rStyle w:val="NormalTok"/>
        </w:rPr>
        <w:t xml:space="preserve">re.IgnoreCase = </w:t>
      </w:r>
      <w:r>
        <w:rPr>
          <w:rStyle w:val="KeywordTok"/>
        </w:rPr>
        <w:t xml:space="preserve">True</w:t>
      </w:r>
      <w:r>
        <w:br/>
      </w:r>
      <w:r>
        <w:br/>
      </w:r>
      <w:r>
        <w:rPr>
          <w:rStyle w:val="KeywordTok"/>
        </w:rPr>
        <w:t xml:space="preserve">Set</w:t>
      </w:r>
      <w:r>
        <w:rPr>
          <w:rStyle w:val="NormalTok"/>
        </w:rPr>
        <w:t xml:space="preserve"> matches = re.</w:t>
      </w:r>
      <w:r>
        <w:rPr>
          <w:rStyle w:val="KeywordTok"/>
        </w:rPr>
        <w:t xml:space="preserve">Execute</w:t>
      </w:r>
      <w:r>
        <w:rPr>
          <w:rStyle w:val="OtherTok"/>
        </w:rPr>
        <w:t xml:space="preserve">(</w:t>
      </w:r>
      <w:r>
        <w:rPr>
          <w:rStyle w:val="StringTok"/>
        </w:rPr>
        <w:t xml:space="preserve">"Contact us at info@example.com or sales@company.com"</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matches.Count - </w:t>
      </w:r>
      <w:r>
        <w:rPr>
          <w:rStyle w:val="DecValTok"/>
        </w:rPr>
        <w:t xml:space="preserve">1</w:t>
      </w:r>
      <w:r>
        <w:br/>
      </w:r>
      <w:r>
        <w:rPr>
          <w:rStyle w:val="NormalTok"/>
        </w:rPr>
        <w:t xml:space="preserve">    </w:t>
      </w:r>
      <w:r>
        <w:rPr>
          <w:rStyle w:val="KeywordTok"/>
        </w:rPr>
        <w:t xml:space="preserve">Set</w:t>
      </w:r>
      <w:r>
        <w:rPr>
          <w:rStyle w:val="NormalTok"/>
        </w:rPr>
        <w:t xml:space="preserve"> m = matches.</w:t>
      </w:r>
      <w:r>
        <w:rPr>
          <w:rStyle w:val="FunctionTok"/>
        </w:rPr>
        <w:t xml:space="preserve">Item</w:t>
      </w:r>
      <w:r>
        <w:rPr>
          <w:rStyle w:val="OtherTok"/>
        </w:rPr>
        <w:t xml:space="preserve">(</w:t>
      </w:r>
      <w:r>
        <w:rPr>
          <w:rStyle w:val="NormalTok"/>
        </w:rPr>
        <w:t xml:space="preserve">i</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"Email: "</w:t>
      </w:r>
      <w:r>
        <w:rPr>
          <w:rStyle w:val="NormalTok"/>
        </w:rPr>
        <w:t xml:space="preserve"> </w:t>
      </w:r>
      <w:r>
        <w:rPr>
          <w:rStyle w:val="KeywordTok"/>
        </w:rPr>
        <w:t xml:space="preserve">&amp;</w:t>
      </w:r>
      <w:r>
        <w:rPr>
          <w:rStyle w:val="NormalTok"/>
        </w:rPr>
        <w:t xml:space="preserve"> m.Value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"User: "</w:t>
      </w:r>
      <w:r>
        <w:rPr>
          <w:rStyle w:val="NormalTok"/>
        </w:rPr>
        <w:t xml:space="preserve"> </w:t>
      </w:r>
      <w:r>
        <w:rPr>
          <w:rStyle w:val="KeywordTok"/>
        </w:rPr>
        <w:t xml:space="preserve">&amp;</w:t>
      </w:r>
      <w:r>
        <w:rPr>
          <w:rStyle w:val="NormalTok"/>
        </w:rPr>
        <w:t xml:space="preserve"> m.SubMatches</w:t>
      </w:r>
      <w:r>
        <w:rPr>
          <w:rStyle w:val="OtherTok"/>
        </w:rPr>
        <w:t xml:space="preserve">(</w:t>
      </w:r>
      <w:r>
        <w:rPr>
          <w:rStyle w:val="DecValTok"/>
        </w:rPr>
        <w:t xml:space="preserve">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"Domain: "</w:t>
      </w:r>
      <w:r>
        <w:rPr>
          <w:rStyle w:val="NormalTok"/>
        </w:rPr>
        <w:t xml:space="preserve"> </w:t>
      </w:r>
      <w:r>
        <w:rPr>
          <w:rStyle w:val="KeywordTok"/>
        </w:rPr>
        <w:t xml:space="preserve">&amp;</w:t>
      </w:r>
      <w:r>
        <w:rPr>
          <w:rStyle w:val="NormalTok"/>
        </w:rPr>
        <w:t xml:space="preserve"> m.SubMatches</w:t>
      </w:r>
      <w:r>
        <w:rPr>
          <w:rStyle w:val="OtherTok"/>
        </w:rPr>
        <w:t xml:space="preserve">(</w:t>
      </w:r>
      <w:r>
        <w:rPr>
          <w:rStyle w:val="DecValTok"/>
        </w:rPr>
        <w:t xml:space="preserve">1</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KeywordTok"/>
        </w:rPr>
        <w:t xml:space="preserve">Set</w:t>
      </w:r>
      <w:r>
        <w:rPr>
          <w:rStyle w:val="NormalTok"/>
        </w:rPr>
        <w:t xml:space="preserve"> m = </w:t>
      </w:r>
      <w:r>
        <w:rPr>
          <w:rStyle w:val="KeywordTok"/>
        </w:rPr>
        <w:t xml:space="preserve">Nothing</w:t>
      </w:r>
      <w:r>
        <w:br/>
      </w:r>
      <w:r>
        <w:rPr>
          <w:rStyle w:val="ControlFlowTok"/>
        </w:rPr>
        <w:t xml:space="preserve">Next</w:t>
      </w:r>
      <w:r>
        <w:br/>
      </w:r>
      <w:r>
        <w:rPr>
          <w:rStyle w:val="KeywordTok"/>
        </w:rPr>
        <w:t xml:space="preserve">Set</w:t>
      </w:r>
      <w:r>
        <w:rPr>
          <w:rStyle w:val="NormalTok"/>
        </w:rPr>
        <w:t xml:space="preserve"> matches = </w:t>
      </w:r>
      <w:r>
        <w:rPr>
          <w:rStyle w:val="KeywordTok"/>
        </w:rPr>
        <w:t xml:space="preserve">Nothing</w:t>
      </w:r>
      <w:r>
        <w:br/>
      </w:r>
      <w:r>
        <w:rPr>
          <w:rStyle w:val="KeywordTok"/>
        </w:rPr>
        <w:t xml:space="preserve">Set</w:t>
      </w:r>
      <w:r>
        <w:rPr>
          <w:rStyle w:val="NormalTok"/>
        </w:rPr>
        <w:t xml:space="preserve"> re = </w:t>
      </w:r>
      <w:r>
        <w:rPr>
          <w:rStyle w:val="KeywordTok"/>
        </w:rPr>
        <w:t xml:space="preserve">Nothing</w:t>
      </w:r>
      <w:r>
        <w:br/>
      </w:r>
      <w:r>
        <w:rPr>
          <w:rStyle w:val="DataTypeTok"/>
        </w:rPr>
        <w:t xml:space="preserve">%&gt;</w:t>
      </w:r>
    </w:p>
    <w:bookmarkEnd w:id="6311"/>
    <w:bookmarkEnd w:id="6312"/>
    <w:bookmarkStart w:id="6320" w:name="replace-method"/>
    <w:p>
      <w:pPr>
        <w:pStyle w:val="Heading1"/>
      </w:pPr>
      <w:r>
        <w:t xml:space="preserve">Replace Method</w:t>
      </w:r>
    </w:p>
    <w:bookmarkStart w:id="6313" w:name="overview-677"/>
    <w:p>
      <w:pPr>
        <w:pStyle w:val="Heading2"/>
      </w:pPr>
      <w:r>
        <w:t xml:space="preserve">Overview</w:t>
      </w:r>
    </w:p>
    <w:p>
      <w:pPr>
        <w:pStyle w:val="FirstParagraph"/>
      </w:pPr>
      <w:r>
        <w:t xml:space="preserve">Replaces pattern matches within an input string with a replacement string and returns the resulting text.</w:t>
      </w:r>
    </w:p>
    <w:bookmarkEnd w:id="6313"/>
    <w:bookmarkStart w:id="6314" w:name="syntax-738"/>
    <w:p>
      <w:pPr>
        <w:pStyle w:val="Heading2"/>
      </w:pPr>
      <w:r>
        <w:t xml:space="preserve">Syntax</w:t>
      </w:r>
    </w:p>
    <w:p>
      <w:pPr>
        <w:pStyle w:val="SourceCode"/>
      </w:pPr>
      <w:r>
        <w:rPr>
          <w:rStyle w:val="NormalTok"/>
        </w:rPr>
        <w:t xml:space="preserve">result = re.Replace(string, replacement)</w:t>
      </w:r>
    </w:p>
    <w:bookmarkEnd w:id="6314"/>
    <w:bookmarkStart w:id="6315" w:name="parameters-35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string</w:t>
            </w:r>
          </w:p>
        </w:tc>
        <w:tc>
          <w:tcPr/>
          <w:p>
            <w:pPr>
              <w:pStyle w:val="Compact"/>
            </w:pPr>
            <w:r>
              <w:t xml:space="preserve">String</w:t>
            </w:r>
          </w:p>
        </w:tc>
        <w:tc>
          <w:tcPr/>
          <w:p>
            <w:pPr>
              <w:pStyle w:val="Compact"/>
            </w:pPr>
            <w:r>
              <w:t xml:space="preserve">Yes</w:t>
            </w:r>
          </w:p>
        </w:tc>
        <w:tc>
          <w:tcPr/>
          <w:p>
            <w:pPr>
              <w:pStyle w:val="Compact"/>
            </w:pPr>
            <w:r>
              <w:t xml:space="preserve">The source text in which to perform replacements.</w:t>
            </w:r>
          </w:p>
        </w:tc>
      </w:tr>
      <w:tr>
        <w:tc>
          <w:tcPr/>
          <w:p>
            <w:pPr>
              <w:pStyle w:val="Compact"/>
            </w:pPr>
            <w:r>
              <w:t xml:space="preserve">replacement</w:t>
            </w:r>
          </w:p>
        </w:tc>
        <w:tc>
          <w:tcPr/>
          <w:p>
            <w:pPr>
              <w:pStyle w:val="Compact"/>
            </w:pPr>
            <w:r>
              <w:t xml:space="preserve">String</w:t>
            </w:r>
          </w:p>
        </w:tc>
        <w:tc>
          <w:tcPr/>
          <w:p>
            <w:pPr>
              <w:pStyle w:val="Compact"/>
            </w:pPr>
            <w:r>
              <w:t xml:space="preserve">Yes</w:t>
            </w:r>
          </w:p>
        </w:tc>
        <w:tc>
          <w:tcPr/>
          <w:p>
            <w:pPr>
              <w:pStyle w:val="Compact"/>
            </w:pPr>
            <w:r>
              <w:t xml:space="preserve">The replacement text. Supports substitution tokens (see Remarks).</w:t>
            </w:r>
          </w:p>
        </w:tc>
      </w:tr>
    </w:tbl>
    <w:bookmarkEnd w:id="6315"/>
    <w:bookmarkStart w:id="6316" w:name="return-value-421"/>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source text after replacements have been applied.</w:t>
      </w:r>
    </w:p>
    <w:p>
      <w:pPr>
        <w:pStyle w:val="Compact"/>
        <w:numPr>
          <w:ilvl w:val="0"/>
          <w:numId w:val="2540"/>
        </w:numPr>
      </w:pPr>
      <w:r>
        <w:t xml:space="preserve">When</w:t>
      </w:r>
      <w:r>
        <w:t xml:space="preserve"> </w:t>
      </w:r>
      <w:r>
        <w:rPr>
          <w:rStyle w:val="VerbatimChar"/>
        </w:rPr>
        <w:t xml:space="preserve">Global</w:t>
      </w:r>
      <w:r>
        <w:t xml:space="preserve"> </w:t>
      </w:r>
      <w:r>
        <w:t xml:space="preserve">is</w:t>
      </w:r>
      <w:r>
        <w:t xml:space="preserve"> </w:t>
      </w:r>
      <w:r>
        <w:rPr>
          <w:b/>
          <w:bCs/>
        </w:rPr>
        <w:t xml:space="preserve">False</w:t>
      </w:r>
      <w:r>
        <w:t xml:space="preserve"> </w:t>
      </w:r>
      <w:r>
        <w:t xml:space="preserve">(default), only the first match is replaced.</w:t>
      </w:r>
    </w:p>
    <w:p>
      <w:pPr>
        <w:pStyle w:val="Compact"/>
        <w:numPr>
          <w:ilvl w:val="0"/>
          <w:numId w:val="2540"/>
        </w:numPr>
      </w:pPr>
      <w:r>
        <w:t xml:space="preserve">When</w:t>
      </w:r>
      <w:r>
        <w:t xml:space="preserve"> </w:t>
      </w:r>
      <w:r>
        <w:rPr>
          <w:rStyle w:val="VerbatimChar"/>
        </w:rPr>
        <w:t xml:space="preserve">Global</w:t>
      </w:r>
      <w:r>
        <w:t xml:space="preserve"> </w:t>
      </w:r>
      <w:r>
        <w:t xml:space="preserve">is</w:t>
      </w:r>
      <w:r>
        <w:t xml:space="preserve"> </w:t>
      </w:r>
      <w:r>
        <w:rPr>
          <w:b/>
          <w:bCs/>
        </w:rPr>
        <w:t xml:space="preserve">True</w:t>
      </w:r>
      <w:r>
        <w:t xml:space="preserve">, all non-overlapping matches are replaced.</w:t>
      </w:r>
    </w:p>
    <w:p>
      <w:pPr>
        <w:pStyle w:val="Compact"/>
        <w:numPr>
          <w:ilvl w:val="0"/>
          <w:numId w:val="2540"/>
        </w:numPr>
      </w:pPr>
      <w:r>
        <w:t xml:space="preserve">If the pattern does not match anywhere in</w:t>
      </w:r>
      <w:r>
        <w:t xml:space="preserve"> </w:t>
      </w:r>
      <w:r>
        <w:rPr>
          <w:rStyle w:val="VerbatimChar"/>
        </w:rPr>
        <w:t xml:space="preserve">string</w:t>
      </w:r>
      <w:r>
        <w:t xml:space="preserve">, the original</w:t>
      </w:r>
      <w:r>
        <w:t xml:space="preserve"> </w:t>
      </w:r>
      <w:r>
        <w:rPr>
          <w:rStyle w:val="VerbatimChar"/>
        </w:rPr>
        <w:t xml:space="preserve">string</w:t>
      </w:r>
      <w:r>
        <w:t xml:space="preserve"> </w:t>
      </w:r>
      <w:r>
        <w:t xml:space="preserve">is returned unchanged.</w:t>
      </w:r>
    </w:p>
    <w:p>
      <w:pPr>
        <w:pStyle w:val="Compact"/>
        <w:numPr>
          <w:ilvl w:val="0"/>
          <w:numId w:val="2540"/>
        </w:numPr>
      </w:pPr>
      <w:r>
        <w:t xml:space="preserve">If fewer than two arguments are supplied, the method returns the first argument as-is, or an empty String if no arguments are given.</w:t>
      </w:r>
    </w:p>
    <w:bookmarkEnd w:id="6316"/>
    <w:bookmarkStart w:id="6317" w:name="how-it-works-82"/>
    <w:p>
      <w:pPr>
        <w:pStyle w:val="Heading2"/>
      </w:pPr>
      <w:r>
        <w:t xml:space="preserve">How It Works</w:t>
      </w:r>
    </w:p>
    <w:p>
      <w:pPr>
        <w:pStyle w:val="FirstParagraph"/>
      </w:pPr>
      <w:r>
        <w:t xml:space="preserve">The runtime locates match positions using</w:t>
      </w:r>
      <w:r>
        <w:t xml:space="preserve"> </w:t>
      </w:r>
      <w:r>
        <w:rPr>
          <w:rStyle w:val="VerbatimChar"/>
        </w:rPr>
        <w:t xml:space="preserve">FindStringSubmatchIndex</w:t>
      </w:r>
      <w:r>
        <w:t xml:space="preserve"> </w:t>
      </w:r>
      <w:r>
        <w:t xml:space="preserve">or</w:t>
      </w:r>
      <w:r>
        <w:t xml:space="preserve"> </w:t>
      </w:r>
      <w:r>
        <w:rPr>
          <w:rStyle w:val="VerbatimChar"/>
        </w:rPr>
        <w:t xml:space="preserve">FindAllStringSubmatchIndex</w:t>
      </w:r>
      <w:r>
        <w:t xml:space="preserve"> </w:t>
      </w:r>
      <w:r>
        <w:t xml:space="preserve">and rebuilds the string by inserting the processed replacement between each unmatched segment. Before insertion, the replacement string is scanned for substitution tokens and each token is expanded: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Token</w:t>
            </w:r>
          </w:p>
        </w:tc>
        <w:tc>
          <w:tcPr/>
          <w:p>
            <w:pPr>
              <w:pStyle w:val="Compact"/>
            </w:pPr>
            <w:r>
              <w:t xml:space="preserve">Expanded value</w:t>
            </w:r>
          </w:p>
        </w:tc>
      </w:tr>
      <w:tr>
        <w:tc>
          <w:tcPr/>
          <w:p>
            <w:pPr>
              <w:pStyle w:val="Compact"/>
            </w:pPr>
            <w:r>
              <w:rPr>
                <w:rStyle w:val="VerbatimChar"/>
              </w:rPr>
              <w:t xml:space="preserve">$&amp;</w:t>
            </w:r>
            <w:r>
              <w:t xml:space="preserve"> </w:t>
            </w:r>
            <w:r>
              <w:t xml:space="preserve">or</w:t>
            </w:r>
            <w:r>
              <w:t xml:space="preserve"> </w:t>
            </w:r>
            <w:r>
              <w:rPr>
                <w:rStyle w:val="VerbatimChar"/>
              </w:rPr>
              <w:t xml:space="preserve">$0</w:t>
            </w:r>
          </w:p>
        </w:tc>
        <w:tc>
          <w:tcPr/>
          <w:p>
            <w:pPr>
              <w:pStyle w:val="Compact"/>
            </w:pPr>
            <w:r>
              <w:t xml:space="preserve">The entire matched text.</w:t>
            </w:r>
          </w:p>
        </w:tc>
      </w:tr>
      <w:tr>
        <w:tc>
          <w:tcPr/>
          <w:p>
            <w:pPr>
              <w:pStyle w:val="Compact"/>
            </w:pPr>
            <w:r>
              <w:rPr>
                <w:rStyle w:val="VerbatimChar"/>
              </w:rPr>
              <w:t xml:space="preserve">$1</w:t>
            </w:r>
            <w:r>
              <w:t xml:space="preserve">,</w:t>
            </w:r>
            <w:r>
              <w:t xml:space="preserve"> </w:t>
            </w:r>
            <w:r>
              <w:rPr>
                <w:rStyle w:val="VerbatimChar"/>
              </w:rPr>
              <w:t xml:space="preserve">$2</w:t>
            </w:r>
            <w:r>
              <w:t xml:space="preserve">, …</w:t>
            </w:r>
          </w:p>
        </w:tc>
        <w:tc>
          <w:tcPr/>
          <w:p>
            <w:pPr>
              <w:pStyle w:val="Compact"/>
            </w:pPr>
            <w:r>
              <w:t xml:space="preserve">The text of captured group 1, 2, … If the group did not participate in the match, an empty String is substituted.</w:t>
            </w:r>
          </w:p>
        </w:tc>
      </w:tr>
      <w:tr>
        <w:tc>
          <w:tcPr/>
          <w:p>
            <w:pPr>
              <w:pStyle w:val="Compact"/>
            </w:pPr>
            <w:r>
              <w:rPr>
                <w:rStyle w:val="VerbatimChar"/>
              </w:rPr>
              <w:t xml:space="preserve">$`</w:t>
            </w:r>
          </w:p>
        </w:tc>
        <w:tc>
          <w:tcPr/>
          <w:p>
            <w:pPr>
              <w:pStyle w:val="Compact"/>
            </w:pPr>
            <w:r>
              <w:t xml:space="preserve">The text in</w:t>
            </w:r>
            <w:r>
              <w:t xml:space="preserve"> </w:t>
            </w:r>
            <w:r>
              <w:rPr>
                <w:rStyle w:val="VerbatimChar"/>
              </w:rPr>
              <w:t xml:space="preserve">string</w:t>
            </w:r>
            <w:r>
              <w:t xml:space="preserve"> </w:t>
            </w:r>
            <w:r>
              <w:t xml:space="preserve">before the match.</w:t>
            </w:r>
          </w:p>
        </w:tc>
      </w:tr>
      <w:tr>
        <w:tc>
          <w:tcPr/>
          <w:p>
            <w:pPr>
              <w:pStyle w:val="Compact"/>
            </w:pPr>
            <w:r>
              <w:rPr>
                <w:rStyle w:val="VerbatimChar"/>
              </w:rPr>
              <w:t xml:space="preserve">$'</w:t>
            </w:r>
          </w:p>
        </w:tc>
        <w:tc>
          <w:tcPr/>
          <w:p>
            <w:pPr>
              <w:pStyle w:val="Compact"/>
            </w:pPr>
            <w:r>
              <w:t xml:space="preserve">The text in</w:t>
            </w:r>
            <w:r>
              <w:t xml:space="preserve"> </w:t>
            </w:r>
            <w:r>
              <w:rPr>
                <w:rStyle w:val="VerbatimChar"/>
              </w:rPr>
              <w:t xml:space="preserve">string</w:t>
            </w:r>
            <w:r>
              <w:t xml:space="preserve"> </w:t>
            </w:r>
            <w:r>
              <w:t xml:space="preserve">after the match.</w:t>
            </w:r>
          </w:p>
        </w:tc>
      </w:tr>
    </w:tbl>
    <w:bookmarkEnd w:id="6317"/>
    <w:bookmarkStart w:id="6318" w:name="remarks-718"/>
    <w:p>
      <w:pPr>
        <w:pStyle w:val="Heading2"/>
      </w:pPr>
      <w:r>
        <w:t xml:space="preserve">Remarks</w:t>
      </w:r>
    </w:p>
    <w:p>
      <w:pPr>
        <w:pStyle w:val="Compact"/>
        <w:numPr>
          <w:ilvl w:val="0"/>
          <w:numId w:val="2541"/>
        </w:numPr>
      </w:pPr>
      <w:r>
        <w:t xml:space="preserve">If</w:t>
      </w:r>
      <w:r>
        <w:t xml:space="preserve"> </w:t>
      </w:r>
      <w:r>
        <w:rPr>
          <w:rStyle w:val="VerbatimChar"/>
        </w:rPr>
        <w:t xml:space="preserve">Pattern</w:t>
      </w:r>
      <w:r>
        <w:t xml:space="preserve"> </w:t>
      </w:r>
      <w:r>
        <w:t xml:space="preserve">is empty, the original</w:t>
      </w:r>
      <w:r>
        <w:t xml:space="preserve"> </w:t>
      </w:r>
      <w:r>
        <w:rPr>
          <w:rStyle w:val="VerbatimChar"/>
        </w:rPr>
        <w:t xml:space="preserve">string</w:t>
      </w:r>
      <w:r>
        <w:t xml:space="preserve"> </w:t>
      </w:r>
      <w:r>
        <w:t xml:space="preserve">is returned without modification.</w:t>
      </w:r>
    </w:p>
    <w:p>
      <w:pPr>
        <w:pStyle w:val="Compact"/>
        <w:numPr>
          <w:ilvl w:val="0"/>
          <w:numId w:val="2541"/>
        </w:numPr>
      </w:pPr>
      <w:r>
        <w:t xml:space="preserve">If</w:t>
      </w:r>
      <w:r>
        <w:t xml:space="preserve"> </w:t>
      </w:r>
      <w:r>
        <w:rPr>
          <w:rStyle w:val="VerbatimChar"/>
        </w:rPr>
        <w:t xml:space="preserve">Pattern</w:t>
      </w:r>
      <w:r>
        <w:t xml:space="preserve"> </w:t>
      </w:r>
      <w:r>
        <w:t xml:space="preserve">is syntactically invalid, VBScript error 5017 is raised and the original</w:t>
      </w:r>
      <w:r>
        <w:t xml:space="preserve"> </w:t>
      </w:r>
      <w:r>
        <w:rPr>
          <w:rStyle w:val="VerbatimChar"/>
        </w:rPr>
        <w:t xml:space="preserve">string</w:t>
      </w:r>
      <w:r>
        <w:t xml:space="preserve"> </w:t>
      </w:r>
      <w:r>
        <w:t xml:space="preserve">is returned.</w:t>
      </w:r>
    </w:p>
    <w:p>
      <w:pPr>
        <w:pStyle w:val="Compact"/>
        <w:numPr>
          <w:ilvl w:val="0"/>
          <w:numId w:val="2541"/>
        </w:numPr>
      </w:pPr>
      <w:r>
        <w:t xml:space="preserve">Replacement tokens are processed case-sensitively.</w:t>
      </w:r>
      <w:r>
        <w:t xml:space="preserve"> </w:t>
      </w:r>
      <w:r>
        <w:rPr>
          <w:rStyle w:val="VerbatimChar"/>
        </w:rPr>
        <w:t xml:space="preserve">$1</w:t>
      </w:r>
      <w:r>
        <w:t xml:space="preserve"> </w:t>
      </w:r>
      <w:r>
        <w:t xml:space="preserve">is never the same as</w:t>
      </w:r>
      <w:r>
        <w:t xml:space="preserve"> </w:t>
      </w:r>
      <w:r>
        <w:rPr>
          <w:rStyle w:val="VerbatimChar"/>
        </w:rPr>
        <w:t xml:space="preserve">$01</w:t>
      </w:r>
      <w:r>
        <w:t xml:space="preserve">.</w:t>
      </w:r>
    </w:p>
    <w:p>
      <w:pPr>
        <w:pStyle w:val="Compact"/>
        <w:numPr>
          <w:ilvl w:val="0"/>
          <w:numId w:val="2541"/>
        </w:numPr>
      </w:pPr>
      <w:r>
        <w:t xml:space="preserve">To include a literal dollar sign in the output, use</w:t>
      </w:r>
      <w:r>
        <w:t xml:space="preserve"> </w:t>
      </w:r>
      <w:r>
        <w:rPr>
          <w:rStyle w:val="VerbatimChar"/>
        </w:rPr>
        <w:t xml:space="preserve">$$</w:t>
      </w:r>
      <w:r>
        <w:t xml:space="preserve"> </w:t>
      </w:r>
      <w:r>
        <w:t xml:space="preserve">is not supported; use a different delimiter or post-process the result.</w:t>
      </w:r>
    </w:p>
    <w:bookmarkEnd w:id="6318"/>
    <w:bookmarkStart w:id="6319" w:name="code-example-526"/>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re</w:t>
      </w:r>
      <w:r>
        <w:rPr>
          <w:rStyle w:val="OtherTok"/>
        </w:rPr>
        <w:t xml:space="preserve">,</w:t>
      </w:r>
      <w:r>
        <w:rPr>
          <w:rStyle w:val="NormalTok"/>
        </w:rPr>
        <w:t xml:space="preserve"> result</w:t>
      </w:r>
      <w:r>
        <w:br/>
      </w:r>
      <w:r>
        <w:rPr>
          <w:rStyle w:val="KeywordTok"/>
        </w:rPr>
        <w:t xml:space="preserve">Set</w:t>
      </w:r>
      <w:r>
        <w:rPr>
          <w:rStyle w:val="NormalTok"/>
        </w:rPr>
        <w:t xml:space="preserve"> re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"VBScript.RegExp"</w:t>
      </w:r>
      <w:r>
        <w:rPr>
          <w:rStyle w:val="OtherTok"/>
        </w:rPr>
        <w:t xml:space="preserve">)</w:t>
      </w:r>
      <w:r>
        <w:br/>
      </w:r>
      <w:r>
        <w:rPr>
          <w:rStyle w:val="NormalTok"/>
        </w:rPr>
        <w:t xml:space="preserve">re.Pattern = </w:t>
      </w:r>
      <w:r>
        <w:rPr>
          <w:rStyle w:val="StringTok"/>
        </w:rPr>
        <w:t xml:space="preserve">"(\\d{4})-(\\d{2})-(\\d{2})"</w:t>
      </w:r>
      <w:r>
        <w:br/>
      </w:r>
      <w:r>
        <w:rPr>
          <w:rStyle w:val="NormalTok"/>
        </w:rPr>
        <w:t xml:space="preserve">re.Global = </w:t>
      </w:r>
      <w:r>
        <w:rPr>
          <w:rStyle w:val="KeywordTok"/>
        </w:rPr>
        <w:t xml:space="preserve">False</w:t>
      </w:r>
      <w:r>
        <w:br/>
      </w:r>
      <w:r>
        <w:br/>
      </w:r>
      <w:r>
        <w:rPr>
          <w:rStyle w:val="CommentTok"/>
        </w:rPr>
        <w:t xml:space="preserve">' Reformat ISO date to DD/MM/YYYY</w:t>
      </w:r>
      <w:r>
        <w:br/>
      </w:r>
      <w:r>
        <w:rPr>
          <w:rStyle w:val="NormalTok"/>
        </w:rPr>
        <w:t xml:space="preserve">result = re.</w:t>
      </w:r>
      <w:r>
        <w:rPr>
          <w:rStyle w:val="FunctionTok"/>
        </w:rPr>
        <w:t xml:space="preserve">Replace</w:t>
      </w:r>
      <w:r>
        <w:rPr>
          <w:rStyle w:val="OtherTok"/>
        </w:rPr>
        <w:t xml:space="preserve">(</w:t>
      </w:r>
      <w:r>
        <w:rPr>
          <w:rStyle w:val="StringTok"/>
        </w:rPr>
        <w:t xml:space="preserve">"Event date: 2025-12-31"</w:t>
      </w:r>
      <w:r>
        <w:rPr>
          <w:rStyle w:val="OtherTok"/>
        </w:rPr>
        <w:t xml:space="preserve">,</w:t>
      </w:r>
      <w:r>
        <w:rPr>
          <w:rStyle w:val="NormalTok"/>
        </w:rPr>
        <w:t xml:space="preserve"> </w:t>
      </w:r>
      <w:r>
        <w:rPr>
          <w:rStyle w:val="StringTok"/>
        </w:rPr>
        <w:t xml:space="preserve">"$3/$2/$1"</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rPr>
          <w:rStyle w:val="CommentTok"/>
        </w:rPr>
        <w:t xml:space="preserve">' Output: Event date: 31/12/2025</w:t>
      </w:r>
      <w:r>
        <w:br/>
      </w:r>
      <w:r>
        <w:br/>
      </w:r>
      <w:r>
        <w:rPr>
          <w:rStyle w:val="KeywordTok"/>
        </w:rPr>
        <w:t xml:space="preserve">Set</w:t>
      </w:r>
      <w:r>
        <w:rPr>
          <w:rStyle w:val="NormalTok"/>
        </w:rPr>
        <w:t xml:space="preserve"> re = </w:t>
      </w:r>
      <w:r>
        <w:rPr>
          <w:rStyle w:val="KeywordTok"/>
        </w:rPr>
        <w:t xml:space="preserve">Nothing</w:t>
      </w:r>
      <w:r>
        <w:br/>
      </w:r>
      <w:r>
        <w:rPr>
          <w:rStyle w:val="DataTypeTok"/>
        </w:rPr>
        <w:t xml:space="preserve">%&gt;</w:t>
      </w:r>
    </w:p>
    <w:bookmarkEnd w:id="6319"/>
    <w:bookmarkEnd w:id="6320"/>
    <w:bookmarkStart w:id="6329" w:name="test-method"/>
    <w:p>
      <w:pPr>
        <w:pStyle w:val="Heading1"/>
      </w:pPr>
      <w:r>
        <w:t xml:space="preserve">Test Method</w:t>
      </w:r>
    </w:p>
    <w:bookmarkStart w:id="6321" w:name="overview-678"/>
    <w:p>
      <w:pPr>
        <w:pStyle w:val="Heading2"/>
      </w:pPr>
      <w:r>
        <w:t xml:space="preserve">Overview</w:t>
      </w:r>
    </w:p>
    <w:p>
      <w:pPr>
        <w:pStyle w:val="FirstParagraph"/>
      </w:pPr>
      <w:r>
        <w:t xml:space="preserve">Tests whether the compiled regular expression pattern matches anywhere within an input string.</w:t>
      </w:r>
    </w:p>
    <w:bookmarkEnd w:id="6321"/>
    <w:bookmarkStart w:id="6322" w:name="syntax-739"/>
    <w:p>
      <w:pPr>
        <w:pStyle w:val="Heading2"/>
      </w:pPr>
      <w:r>
        <w:t xml:space="preserve">Syntax</w:t>
      </w:r>
    </w:p>
    <w:p>
      <w:pPr>
        <w:pStyle w:val="SourceCode"/>
      </w:pPr>
      <w:r>
        <w:rPr>
          <w:rStyle w:val="NormalTok"/>
        </w:rPr>
        <w:t xml:space="preserve">result = re.Test(string)</w:t>
      </w:r>
    </w:p>
    <w:bookmarkEnd w:id="6322"/>
    <w:bookmarkStart w:id="6323" w:name="parameters-354"/>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t xml:space="preserve">string</w:t>
            </w:r>
          </w:p>
        </w:tc>
        <w:tc>
          <w:tcPr/>
          <w:p>
            <w:pPr>
              <w:pStyle w:val="Compact"/>
            </w:pPr>
            <w:r>
              <w:t xml:space="preserve">String</w:t>
            </w:r>
          </w:p>
        </w:tc>
        <w:tc>
          <w:tcPr/>
          <w:p>
            <w:pPr>
              <w:pStyle w:val="Compact"/>
            </w:pPr>
            <w:r>
              <w:t xml:space="preserve">Yes</w:t>
            </w:r>
          </w:p>
        </w:tc>
        <w:tc>
          <w:tcPr/>
          <w:p>
            <w:pPr>
              <w:pStyle w:val="Compact"/>
            </w:pPr>
            <w:r>
              <w:t xml:space="preserve">The text to test against the pattern.</w:t>
            </w:r>
          </w:p>
        </w:tc>
      </w:tr>
    </w:tbl>
    <w:bookmarkEnd w:id="6323"/>
    <w:bookmarkStart w:id="6324" w:name="return-value-422"/>
    <w:p>
      <w:pPr>
        <w:pStyle w:val="Heading2"/>
      </w:pPr>
      <w:r>
        <w:t xml:space="preserve">Return Value</w:t>
      </w:r>
    </w:p>
    <w:p>
      <w:pPr>
        <w:pStyle w:val="FirstParagraph"/>
      </w:pPr>
      <w:r>
        <w:t xml:space="preserve">Returns</w:t>
      </w:r>
      <w:r>
        <w:t xml:space="preserve"> </w:t>
      </w:r>
      <w:r>
        <w:rPr>
          <w:b/>
          <w:bCs/>
        </w:rPr>
        <w:t xml:space="preserve">True</w:t>
      </w:r>
      <w:r>
        <w:t xml:space="preserve"> </w:t>
      </w:r>
      <w:r>
        <w:t xml:space="preserve">if the pattern matches at least one position in the input string. Returns</w:t>
      </w:r>
      <w:r>
        <w:t xml:space="preserve"> </w:t>
      </w:r>
      <w:r>
        <w:rPr>
          <w:b/>
          <w:bCs/>
        </w:rPr>
        <w:t xml:space="preserve">False</w:t>
      </w:r>
      <w:r>
        <w:t xml:space="preserve"> </w:t>
      </w:r>
      <w:r>
        <w:t xml:space="preserve">if there is no match, if no argument is supplied, if</w:t>
      </w:r>
      <w:r>
        <w:t xml:space="preserve"> </w:t>
      </w:r>
      <w:r>
        <w:rPr>
          <w:rStyle w:val="VerbatimChar"/>
        </w:rPr>
        <w:t xml:space="preserve">Pattern</w:t>
      </w:r>
      <w:r>
        <w:t xml:space="preserve"> </w:t>
      </w:r>
      <w:r>
        <w:t xml:space="preserve">is empty, or if the pattern failed to compile.</w:t>
      </w:r>
    </w:p>
    <w:bookmarkEnd w:id="6324"/>
    <w:bookmarkStart w:id="6325" w:name="how-it-works-83"/>
    <w:p>
      <w:pPr>
        <w:pStyle w:val="Heading2"/>
      </w:pPr>
      <w:r>
        <w:t xml:space="preserve">How It Works</w:t>
      </w:r>
    </w:p>
    <w:p>
      <w:pPr>
        <w:pStyle w:val="FirstParagraph"/>
      </w:pPr>
      <w:r>
        <w:t xml:space="preserve">The runtime calls</w:t>
      </w:r>
      <w:r>
        <w:t xml:space="preserve"> </w:t>
      </w:r>
      <w:r>
        <w:rPr>
          <w:rStyle w:val="VerbatimChar"/>
        </w:rPr>
        <w:t xml:space="preserve">MatchString</w:t>
      </w:r>
      <w:r>
        <w:t xml:space="preserve"> </w:t>
      </w:r>
      <w:r>
        <w:t xml:space="preserve">on the compiled Go</w:t>
      </w:r>
      <w:r>
        <w:t xml:space="preserve"> </w:t>
      </w:r>
      <w:r>
        <w:rPr>
          <w:rStyle w:val="VerbatimChar"/>
        </w:rPr>
        <w:t xml:space="preserve">*regexp.Regexp</w:t>
      </w:r>
      <w:r>
        <w:t xml:space="preserve">. If the pattern has not yet been compiled, the runtime attempts to compile it first. If compilation fails,</w:t>
      </w:r>
      <w:r>
        <w:t xml:space="preserve"> </w:t>
      </w:r>
      <w:r>
        <w:rPr>
          <w:rStyle w:val="VerbatimChar"/>
        </w:rPr>
        <w:t xml:space="preserve">False</w:t>
      </w:r>
      <w:r>
        <w:t xml:space="preserve"> </w:t>
      </w:r>
      <w:r>
        <w:t xml:space="preserve">is returned and VBScript error 5017 is raised.</w:t>
      </w:r>
    </w:p>
    <w:p>
      <w:pPr>
        <w:pStyle w:val="BodyText"/>
      </w:pPr>
      <w:r>
        <w:t xml:space="preserve">The</w:t>
      </w:r>
      <w:r>
        <w:t xml:space="preserve"> </w:t>
      </w:r>
      <w:r>
        <w:rPr>
          <w:rStyle w:val="VerbatimChar"/>
        </w:rPr>
        <w:t xml:space="preserve">Global</w:t>
      </w:r>
      <w:r>
        <w:t xml:space="preserve"> </w:t>
      </w:r>
      <w:r>
        <w:t xml:space="preserve">property has no effect on</w:t>
      </w:r>
      <w:r>
        <w:t xml:space="preserve"> </w:t>
      </w:r>
      <w:r>
        <w:rPr>
          <w:rStyle w:val="VerbatimChar"/>
        </w:rPr>
        <w:t xml:space="preserve">Test</w:t>
      </w:r>
      <w:r>
        <w:t xml:space="preserve">. The method only determines presence of a match, not count.</w:t>
      </w:r>
    </w:p>
    <w:bookmarkEnd w:id="6325"/>
    <w:bookmarkStart w:id="6326" w:name="remarks-719"/>
    <w:p>
      <w:pPr>
        <w:pStyle w:val="Heading2"/>
      </w:pPr>
      <w:r>
        <w:t xml:space="preserve">Remarks</w:t>
      </w:r>
    </w:p>
    <w:p>
      <w:pPr>
        <w:pStyle w:val="Compact"/>
        <w:numPr>
          <w:ilvl w:val="0"/>
          <w:numId w:val="2542"/>
        </w:numPr>
      </w:pPr>
      <w:r>
        <w:rPr>
          <w:rStyle w:val="VerbatimChar"/>
        </w:rPr>
        <w:t xml:space="preserve">Test</w:t>
      </w:r>
      <w:r>
        <w:t xml:space="preserve"> </w:t>
      </w:r>
      <w:r>
        <w:t xml:space="preserve">is the fastest way to check for a match when the matched text is not needed. It performs no allocations beyond the initial compile.</w:t>
      </w:r>
    </w:p>
    <w:p>
      <w:pPr>
        <w:pStyle w:val="Compact"/>
        <w:numPr>
          <w:ilvl w:val="0"/>
          <w:numId w:val="2542"/>
        </w:numPr>
      </w:pPr>
      <w:r>
        <w:t xml:space="preserve">Unlike</w:t>
      </w:r>
      <w:r>
        <w:t xml:space="preserve"> </w:t>
      </w:r>
      <w:r>
        <w:rPr>
          <w:rStyle w:val="VerbatimChar"/>
        </w:rPr>
        <w:t xml:space="preserve">Execute</w:t>
      </w:r>
      <w:r>
        <w:t xml:space="preserve">,</w:t>
      </w:r>
      <w:r>
        <w:t xml:space="preserve"> </w:t>
      </w:r>
      <w:r>
        <w:rPr>
          <w:rStyle w:val="VerbatimChar"/>
        </w:rPr>
        <w:t xml:space="preserve">Test</w:t>
      </w:r>
      <w:r>
        <w:t xml:space="preserve"> </w:t>
      </w:r>
      <w:r>
        <w:t xml:space="preserve">never returns an object. It always returns a Boolean.</w:t>
      </w:r>
    </w:p>
    <w:p>
      <w:pPr>
        <w:pStyle w:val="Compact"/>
        <w:numPr>
          <w:ilvl w:val="0"/>
          <w:numId w:val="2542"/>
        </w:numPr>
      </w:pPr>
      <w:r>
        <w:rPr>
          <w:rStyle w:val="VerbatimChar"/>
        </w:rPr>
        <w:t xml:space="preserve">IgnoreCase</w:t>
      </w:r>
      <w:r>
        <w:t xml:space="preserve"> </w:t>
      </w:r>
      <w:r>
        <w:t xml:space="preserve">and</w:t>
      </w:r>
      <w:r>
        <w:t xml:space="preserve"> </w:t>
      </w:r>
      <w:r>
        <w:rPr>
          <w:rStyle w:val="VerbatimChar"/>
        </w:rPr>
        <w:t xml:space="preserve">MultiLine</w:t>
      </w:r>
      <w:r>
        <w:t xml:space="preserve"> </w:t>
      </w:r>
      <w:r>
        <w:t xml:space="preserve">apply to the pattern used by</w:t>
      </w:r>
      <w:r>
        <w:t xml:space="preserve"> </w:t>
      </w:r>
      <w:r>
        <w:rPr>
          <w:rStyle w:val="VerbatimChar"/>
        </w:rPr>
        <w:t xml:space="preserve">Test</w:t>
      </w:r>
      <w:r>
        <w:t xml:space="preserve"> </w:t>
      </w:r>
      <w:r>
        <w:t xml:space="preserve">exactly as they do for</w:t>
      </w:r>
      <w:r>
        <w:t xml:space="preserve"> </w:t>
      </w:r>
      <w:r>
        <w:rPr>
          <w:rStyle w:val="VerbatimChar"/>
        </w:rPr>
        <w:t xml:space="preserve">Execute</w:t>
      </w:r>
      <w:r>
        <w:t xml:space="preserve">.</w:t>
      </w:r>
    </w:p>
    <w:bookmarkEnd w:id="6326"/>
    <w:bookmarkStart w:id="6328" w:name="code-example-527"/>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re</w:t>
      </w:r>
      <w:r>
        <w:br/>
      </w:r>
      <w:r>
        <w:rPr>
          <w:rStyle w:val="KeywordTok"/>
        </w:rPr>
        <w:t xml:space="preserve">Set</w:t>
      </w:r>
      <w:r>
        <w:rPr>
          <w:rStyle w:val="NormalTok"/>
        </w:rPr>
        <w:t xml:space="preserve"> re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"VBScript.RegExp"</w:t>
      </w:r>
      <w:r>
        <w:rPr>
          <w:rStyle w:val="OtherTok"/>
        </w:rPr>
        <w:t xml:space="preserve">)</w:t>
      </w:r>
      <w:r>
        <w:br/>
      </w:r>
      <w:r>
        <w:rPr>
          <w:rStyle w:val="NormalTok"/>
        </w:rPr>
        <w:t xml:space="preserve">re.Pattern = </w:t>
      </w:r>
      <w:r>
        <w:rPr>
          <w:rStyle w:val="StringTok"/>
        </w:rPr>
        <w:t xml:space="preserve">"^[a-zA-Z0-9._%+\\-]+@[a-zA-Z0-9.\\-]+\\.[a-zA-Z]{2,}$"</w:t>
      </w:r>
      <w:r>
        <w:br/>
      </w:r>
      <w:r>
        <w:rPr>
          <w:rStyle w:val="NormalTok"/>
        </w:rPr>
        <w:t xml:space="preserve">re.IgnoreCase = </w:t>
      </w:r>
      <w:r>
        <w:rPr>
          <w:rStyle w:val="KeywordTok"/>
        </w:rPr>
        <w:t xml:space="preserve">True</w:t>
      </w:r>
      <w:r>
        <w:br/>
      </w:r>
      <w:r>
        <w:br/>
      </w:r>
      <w:r>
        <w:rPr>
          <w:rStyle w:val="KeywordTok"/>
        </w:rPr>
        <w:t xml:space="preserve">Dim</w:t>
      </w:r>
      <w:r>
        <w:rPr>
          <w:rStyle w:val="NormalTok"/>
        </w:rPr>
        <w:t xml:space="preserve"> email</w:t>
      </w:r>
      <w:r>
        <w:br/>
      </w:r>
      <w:r>
        <w:rPr>
          <w:rStyle w:val="NormalTok"/>
        </w:rPr>
        <w:t xml:space="preserve">email = </w:t>
      </w:r>
      <w:r>
        <w:rPr>
          <w:rStyle w:val="FunctionTok"/>
        </w:rPr>
        <w:t xml:space="preserve">Request</w:t>
      </w:r>
      <w:r>
        <w:rPr>
          <w:rStyle w:val="NormalTok"/>
        </w:rPr>
        <w:t xml:space="preserve">.</w:t>
      </w:r>
      <w:r>
        <w:rPr>
          <w:rStyle w:val="FunctionTok"/>
        </w:rPr>
        <w:t xml:space="preserve">Form</w:t>
      </w:r>
      <w:r>
        <w:rPr>
          <w:rStyle w:val="OtherTok"/>
        </w:rPr>
        <w:t xml:space="preserve">(</w:t>
      </w:r>
      <w:r>
        <w:rPr>
          <w:rStyle w:val="StringTok"/>
        </w:rPr>
        <w:t xml:space="preserve">"email"</w:t>
      </w:r>
      <w:r>
        <w:rPr>
          <w:rStyle w:val="OtherTok"/>
        </w:rPr>
        <w:t xml:space="preserve">)</w:t>
      </w:r>
      <w:r>
        <w:br/>
      </w:r>
      <w:r>
        <w:rPr>
          <w:rStyle w:val="ControlFlowTok"/>
        </w:rPr>
        <w:t xml:space="preserve">If</w:t>
      </w:r>
      <w:r>
        <w:rPr>
          <w:rStyle w:val="NormalTok"/>
        </w:rPr>
        <w:t xml:space="preserve"> re.Test</w:t>
      </w:r>
      <w:r>
        <w:rPr>
          <w:rStyle w:val="OtherTok"/>
        </w:rPr>
        <w:t xml:space="preserve">(</w:t>
      </w:r>
      <w:r>
        <w:rPr>
          <w:rStyle w:val="NormalTok"/>
        </w:rPr>
        <w:t xml:space="preserve">email</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"Valid email address."</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"Invalid email address."</w:t>
      </w:r>
      <w:r>
        <w:br/>
      </w:r>
      <w:r>
        <w:rPr>
          <w:rStyle w:val="ControlFlowTok"/>
        </w:rPr>
        <w:t xml:space="preserve">End If</w:t>
      </w:r>
      <w:r>
        <w:br/>
      </w:r>
      <w:r>
        <w:br/>
      </w:r>
      <w:r>
        <w:rPr>
          <w:rStyle w:val="KeywordTok"/>
        </w:rPr>
        <w:t xml:space="preserve">Set</w:t>
      </w:r>
      <w:r>
        <w:rPr>
          <w:rStyle w:val="NormalTok"/>
        </w:rPr>
        <w:t xml:space="preserve"> re = </w:t>
      </w:r>
      <w:r>
        <w:rPr>
          <w:rStyle w:val="KeywordTok"/>
        </w:rPr>
        <w:t xml:space="preserve">Nothing</w:t>
      </w:r>
      <w:r>
        <w:br/>
      </w:r>
      <w:r>
        <w:rPr>
          <w:rStyle w:val="DataTypeTok"/>
        </w:rPr>
        <w:t xml:space="preserve">%&gt;</w:t>
      </w:r>
    </w:p>
    <w:bookmarkStart w:id="6327" w:name="properties-detail-18"/>
    <w:p>
      <w:pPr>
        <w:pStyle w:val="Heading3"/>
      </w:pPr>
      <w:r>
        <w:t xml:space="preserve">Properties Detail</w:t>
      </w:r>
    </w:p>
    <w:bookmarkEnd w:id="6327"/>
    <w:bookmarkEnd w:id="6328"/>
    <w:bookmarkEnd w:id="6329"/>
    <w:bookmarkStart w:id="6336" w:name="global-property"/>
    <w:p>
      <w:pPr>
        <w:pStyle w:val="Heading1"/>
      </w:pPr>
      <w:r>
        <w:t xml:space="preserve">Global Property</w:t>
      </w:r>
    </w:p>
    <w:bookmarkStart w:id="6330" w:name="overview-679"/>
    <w:p>
      <w:pPr>
        <w:pStyle w:val="Heading2"/>
      </w:pPr>
      <w:r>
        <w:t xml:space="preserve">Overview</w:t>
      </w:r>
    </w:p>
    <w:p>
      <w:pPr>
        <w:pStyle w:val="FirstParagraph"/>
      </w:pPr>
      <w:r>
        <w:t xml:space="preserve">Gets or sets whether the regular expression operates in global mode, applying to all matches in the input string rather than only the first.</w:t>
      </w:r>
    </w:p>
    <w:bookmarkEnd w:id="6330"/>
    <w:bookmarkStart w:id="6331" w:name="syntax-740"/>
    <w:p>
      <w:pPr>
        <w:pStyle w:val="Heading2"/>
      </w:pPr>
      <w:r>
        <w:t xml:space="preserve">Syntax</w:t>
      </w:r>
    </w:p>
    <w:p>
      <w:pPr>
        <w:pStyle w:val="SourceCode"/>
      </w:pPr>
      <w:r>
        <w:rPr>
          <w:rStyle w:val="NormalTok"/>
        </w:rPr>
        <w:t xml:space="preserve">re.Global = True</w:t>
      </w:r>
      <w:r>
        <w:br/>
      </w:r>
      <w:r>
        <w:rPr>
          <w:rStyle w:val="NormalTok"/>
        </w:rPr>
        <w:t xml:space="preserve">value = re.Global</w:t>
      </w:r>
    </w:p>
    <w:bookmarkEnd w:id="6331"/>
    <w:bookmarkStart w:id="6332" w:name="return-value-423"/>
    <w:p>
      <w:pPr>
        <w:pStyle w:val="Heading2"/>
      </w:pPr>
      <w:r>
        <w:t xml:space="preserve">Return Value</w:t>
      </w:r>
    </w:p>
    <w:p>
      <w:pPr>
        <w:pStyle w:val="FirstParagraph"/>
      </w:pPr>
      <w:r>
        <w:t xml:space="preserve">Returns a</w:t>
      </w:r>
      <w:r>
        <w:t xml:space="preserve"> </w:t>
      </w:r>
      <w:r>
        <w:rPr>
          <w:b/>
          <w:bCs/>
        </w:rPr>
        <w:t xml:space="preserve">Boolean</w:t>
      </w:r>
      <w:r>
        <w:t xml:space="preserve"> </w:t>
      </w:r>
      <w:r>
        <w:t xml:space="preserve">indicating the current global mode setting. Returns</w:t>
      </w:r>
      <w:r>
        <w:t xml:space="preserve"> </w:t>
      </w:r>
      <w:r>
        <w:rPr>
          <w:b/>
          <w:bCs/>
        </w:rPr>
        <w:t xml:space="preserve">False</w:t>
      </w:r>
      <w:r>
        <w:t xml:space="preserve"> </w:t>
      </w:r>
      <w:r>
        <w:t xml:space="preserve">by default when the object is first created.</w:t>
      </w:r>
    </w:p>
    <w:bookmarkEnd w:id="6332"/>
    <w:bookmarkStart w:id="6333" w:name="how-it-works-84"/>
    <w:p>
      <w:pPr>
        <w:pStyle w:val="Heading2"/>
      </w:pPr>
      <w:r>
        <w:t xml:space="preserve">How It Works</w:t>
      </w:r>
    </w:p>
    <w:p>
      <w:pPr>
        <w:pStyle w:val="FirstParagraph"/>
      </w:pPr>
      <w:r>
        <w:t xml:space="preserve">Setting</w:t>
      </w:r>
      <w:r>
        <w:t xml:space="preserve"> </w:t>
      </w:r>
      <w:r>
        <w:rPr>
          <w:rStyle w:val="VerbatimChar"/>
        </w:rPr>
        <w:t xml:space="preserve">Global</w:t>
      </w:r>
      <w:r>
        <w:t xml:space="preserve"> </w:t>
      </w:r>
      <w:r>
        <w:t xml:space="preserve">to True or False updates the internal flag only.</w:t>
      </w:r>
      <w:r>
        <w:t xml:space="preserve"> </w:t>
      </w:r>
      <w:r>
        <w:rPr>
          <w:b/>
          <w:bCs/>
        </w:rPr>
        <w:t xml:space="preserve">The pattern is not recompiled</w:t>
      </w:r>
      <w:r>
        <w:t xml:space="preserve"> </w:t>
      </w:r>
      <w:r>
        <w:t xml:space="preserve">when</w:t>
      </w:r>
      <w:r>
        <w:t xml:space="preserve"> </w:t>
      </w:r>
      <w:r>
        <w:rPr>
          <w:rStyle w:val="VerbatimChar"/>
        </w:rPr>
        <w:t xml:space="preserve">Global</w:t>
      </w:r>
      <w:r>
        <w:t xml:space="preserve"> </w:t>
      </w:r>
      <w:r>
        <w:t xml:space="preserve">changes. The flag is read at the moment</w:t>
      </w:r>
      <w:r>
        <w:t xml:space="preserve"> </w:t>
      </w:r>
      <w:r>
        <w:rPr>
          <w:rStyle w:val="VerbatimChar"/>
        </w:rPr>
        <w:t xml:space="preserve">Execute</w:t>
      </w:r>
      <w:r>
        <w:t xml:space="preserve"> </w:t>
      </w:r>
      <w:r>
        <w:t xml:space="preserve">or</w:t>
      </w:r>
      <w:r>
        <w:t xml:space="preserve"> </w:t>
      </w:r>
      <w:r>
        <w:rPr>
          <w:rStyle w:val="VerbatimChar"/>
        </w:rPr>
        <w:t xml:space="preserve">Replace</w:t>
      </w:r>
      <w:r>
        <w:t xml:space="preserve"> </w:t>
      </w:r>
      <w:r>
        <w:t xml:space="preserve">is called:</w:t>
      </w:r>
    </w:p>
    <w:p>
      <w:pPr>
        <w:pStyle w:val="Compact"/>
        <w:numPr>
          <w:ilvl w:val="0"/>
          <w:numId w:val="2543"/>
        </w:numPr>
      </w:pPr>
      <w:r>
        <w:rPr>
          <w:rStyle w:val="VerbatimChar"/>
        </w:rPr>
        <w:t xml:space="preserve">Execute</w:t>
      </w:r>
      <w:r>
        <w:t xml:space="preserve"> </w:t>
      </w:r>
      <w:r>
        <w:t xml:space="preserve">with</w:t>
      </w:r>
      <w:r>
        <w:t xml:space="preserve"> </w:t>
      </w:r>
      <w:r>
        <w:rPr>
          <w:rStyle w:val="VerbatimChar"/>
        </w:rPr>
        <w:t xml:space="preserve">Global = True</w:t>
      </w:r>
      <w:r>
        <w:t xml:space="preserve"> </w:t>
      </w:r>
      <w:r>
        <w:t xml:space="preserve">calls</w:t>
      </w:r>
      <w:r>
        <w:t xml:space="preserve"> </w:t>
      </w:r>
      <w:r>
        <w:rPr>
          <w:rStyle w:val="VerbatimChar"/>
        </w:rPr>
        <w:t xml:space="preserve">FindAllStringSubmatchIndex</w:t>
      </w:r>
      <w:r>
        <w:t xml:space="preserve"> </w:t>
      </w:r>
      <w:r>
        <w:t xml:space="preserve">to collect all non-overlapping matches.</w:t>
      </w:r>
    </w:p>
    <w:p>
      <w:pPr>
        <w:pStyle w:val="Compact"/>
        <w:numPr>
          <w:ilvl w:val="0"/>
          <w:numId w:val="2543"/>
        </w:numPr>
      </w:pPr>
      <w:r>
        <w:rPr>
          <w:rStyle w:val="VerbatimChar"/>
        </w:rPr>
        <w:t xml:space="preserve">Execute</w:t>
      </w:r>
      <w:r>
        <w:t xml:space="preserve"> </w:t>
      </w:r>
      <w:r>
        <w:t xml:space="preserve">with</w:t>
      </w:r>
      <w:r>
        <w:t xml:space="preserve"> </w:t>
      </w:r>
      <w:r>
        <w:rPr>
          <w:rStyle w:val="VerbatimChar"/>
        </w:rPr>
        <w:t xml:space="preserve">Global = False</w:t>
      </w:r>
      <w:r>
        <w:t xml:space="preserve"> </w:t>
      </w:r>
      <w:r>
        <w:t xml:space="preserve">calls</w:t>
      </w:r>
      <w:r>
        <w:t xml:space="preserve"> </w:t>
      </w:r>
      <w:r>
        <w:rPr>
          <w:rStyle w:val="VerbatimChar"/>
        </w:rPr>
        <w:t xml:space="preserve">FindStringSubmatchIndex</w:t>
      </w:r>
      <w:r>
        <w:t xml:space="preserve"> </w:t>
      </w:r>
      <w:r>
        <w:t xml:space="preserve">and returns at most one match.</w:t>
      </w:r>
    </w:p>
    <w:p>
      <w:pPr>
        <w:pStyle w:val="Compact"/>
        <w:numPr>
          <w:ilvl w:val="0"/>
          <w:numId w:val="2543"/>
        </w:numPr>
      </w:pPr>
      <w:r>
        <w:rPr>
          <w:rStyle w:val="VerbatimChar"/>
        </w:rPr>
        <w:t xml:space="preserve">Replace</w:t>
      </w:r>
      <w:r>
        <w:t xml:space="preserve"> </w:t>
      </w:r>
      <w:r>
        <w:t xml:space="preserve">with</w:t>
      </w:r>
      <w:r>
        <w:t xml:space="preserve"> </w:t>
      </w:r>
      <w:r>
        <w:rPr>
          <w:rStyle w:val="VerbatimChar"/>
        </w:rPr>
        <w:t xml:space="preserve">Global = True</w:t>
      </w:r>
      <w:r>
        <w:t xml:space="preserve"> </w:t>
      </w:r>
      <w:r>
        <w:t xml:space="preserve">replaces all matches;</w:t>
      </w:r>
      <w:r>
        <w:t xml:space="preserve"> </w:t>
      </w:r>
      <w:r>
        <w:rPr>
          <w:rStyle w:val="VerbatimChar"/>
        </w:rPr>
        <w:t xml:space="preserve">Global = False</w:t>
      </w:r>
      <w:r>
        <w:t xml:space="preserve"> </w:t>
      </w:r>
      <w:r>
        <w:t xml:space="preserve">replaces only the first.</w:t>
      </w:r>
    </w:p>
    <w:p>
      <w:pPr>
        <w:pStyle w:val="Compact"/>
        <w:numPr>
          <w:ilvl w:val="0"/>
          <w:numId w:val="2543"/>
        </w:numPr>
      </w:pPr>
      <w:r>
        <w:rPr>
          <w:rStyle w:val="VerbatimChar"/>
        </w:rPr>
        <w:t xml:space="preserve">Test</w:t>
      </w:r>
      <w:r>
        <w:t xml:space="preserve"> </w:t>
      </w:r>
      <w:r>
        <w:t xml:space="preserve">is unaffected by</w:t>
      </w:r>
      <w:r>
        <w:t xml:space="preserve"> </w:t>
      </w:r>
      <w:r>
        <w:rPr>
          <w:rStyle w:val="VerbatimChar"/>
        </w:rPr>
        <w:t xml:space="preserve">Global</w:t>
      </w:r>
      <w:r>
        <w:t xml:space="preserve">.</w:t>
      </w:r>
    </w:p>
    <w:bookmarkEnd w:id="6333"/>
    <w:bookmarkStart w:id="6334" w:name="remarks-720"/>
    <w:p>
      <w:pPr>
        <w:pStyle w:val="Heading2"/>
      </w:pPr>
      <w:r>
        <w:t xml:space="preserve">Remarks</w:t>
      </w:r>
    </w:p>
    <w:p>
      <w:pPr>
        <w:pStyle w:val="Compact"/>
        <w:numPr>
          <w:ilvl w:val="0"/>
          <w:numId w:val="2544"/>
        </w:numPr>
      </w:pPr>
      <w:r>
        <w:t xml:space="preserve">The default value is</w:t>
      </w:r>
      <w:r>
        <w:t xml:space="preserve"> </w:t>
      </w:r>
      <w:r>
        <w:rPr>
          <w:b/>
          <w:bCs/>
        </w:rPr>
        <w:t xml:space="preserve">False</w:t>
      </w:r>
      <w:r>
        <w:t xml:space="preserve">.</w:t>
      </w:r>
    </w:p>
    <w:p>
      <w:pPr>
        <w:pStyle w:val="Compact"/>
        <w:numPr>
          <w:ilvl w:val="0"/>
          <w:numId w:val="2544"/>
        </w:numPr>
      </w:pPr>
      <w:r>
        <w:t xml:space="preserve">Changing</w:t>
      </w:r>
      <w:r>
        <w:t xml:space="preserve"> </w:t>
      </w:r>
      <w:r>
        <w:rPr>
          <w:rStyle w:val="VerbatimChar"/>
        </w:rPr>
        <w:t xml:space="preserve">Global</w:t>
      </w:r>
      <w:r>
        <w:t xml:space="preserve"> </w:t>
      </w:r>
      <w:r>
        <w:t xml:space="preserve">does not trigger pattern recompilation. Only</w:t>
      </w:r>
      <w:r>
        <w:t xml:space="preserve"> </w:t>
      </w:r>
      <w:r>
        <w:rPr>
          <w:rStyle w:val="VerbatimChar"/>
        </w:rPr>
        <w:t xml:space="preserve">Pattern</w:t>
      </w:r>
      <w:r>
        <w:t xml:space="preserve">,</w:t>
      </w:r>
      <w:r>
        <w:t xml:space="preserve"> </w:t>
      </w:r>
      <w:r>
        <w:rPr>
          <w:rStyle w:val="VerbatimChar"/>
        </w:rPr>
        <w:t xml:space="preserve">IgnoreCase</w:t>
      </w:r>
      <w:r>
        <w:t xml:space="preserve">, and</w:t>
      </w:r>
      <w:r>
        <w:t xml:space="preserve"> </w:t>
      </w:r>
      <w:r>
        <w:rPr>
          <w:rStyle w:val="VerbatimChar"/>
        </w:rPr>
        <w:t xml:space="preserve">MultiLine</w:t>
      </w:r>
      <w:r>
        <w:t xml:space="preserve"> </w:t>
      </w:r>
      <w:r>
        <w:t xml:space="preserve">trigger recompilation.</w:t>
      </w:r>
    </w:p>
    <w:bookmarkEnd w:id="6334"/>
    <w:bookmarkStart w:id="6335" w:name="code-example-528"/>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re</w:t>
      </w:r>
      <w:r>
        <w:rPr>
          <w:rStyle w:val="OtherTok"/>
        </w:rPr>
        <w:t xml:space="preserve">,</w:t>
      </w:r>
      <w:r>
        <w:rPr>
          <w:rStyle w:val="NormalTok"/>
        </w:rPr>
        <w:t xml:space="preserve"> result</w:t>
      </w:r>
      <w:r>
        <w:br/>
      </w:r>
      <w:r>
        <w:rPr>
          <w:rStyle w:val="KeywordTok"/>
        </w:rPr>
        <w:t xml:space="preserve">Set</w:t>
      </w:r>
      <w:r>
        <w:rPr>
          <w:rStyle w:val="NormalTok"/>
        </w:rPr>
        <w:t xml:space="preserve"> re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"VBScript.RegExp"</w:t>
      </w:r>
      <w:r>
        <w:rPr>
          <w:rStyle w:val="OtherTok"/>
        </w:rPr>
        <w:t xml:space="preserve">)</w:t>
      </w:r>
      <w:r>
        <w:br/>
      </w:r>
      <w:r>
        <w:rPr>
          <w:rStyle w:val="NormalTok"/>
        </w:rPr>
        <w:t xml:space="preserve">re.Pattern = </w:t>
      </w:r>
      <w:r>
        <w:rPr>
          <w:rStyle w:val="StringTok"/>
        </w:rPr>
        <w:t xml:space="preserve">"\\d+"</w:t>
      </w:r>
      <w:r>
        <w:br/>
      </w:r>
      <w:r>
        <w:rPr>
          <w:rStyle w:val="NormalTok"/>
        </w:rPr>
        <w:t xml:space="preserve">re.Global = </w:t>
      </w:r>
      <w:r>
        <w:rPr>
          <w:rStyle w:val="KeywordTok"/>
        </w:rPr>
        <w:t xml:space="preserve">True</w:t>
      </w:r>
      <w:r>
        <w:br/>
      </w:r>
      <w:r>
        <w:br/>
      </w:r>
      <w:r>
        <w:rPr>
          <w:rStyle w:val="NormalTok"/>
        </w:rPr>
        <w:t xml:space="preserve">result = re.</w:t>
      </w:r>
      <w:r>
        <w:rPr>
          <w:rStyle w:val="FunctionTok"/>
        </w:rPr>
        <w:t xml:space="preserve">Replace</w:t>
      </w:r>
      <w:r>
        <w:rPr>
          <w:rStyle w:val="OtherTok"/>
        </w:rPr>
        <w:t xml:space="preserve">(</w:t>
      </w:r>
      <w:r>
        <w:rPr>
          <w:rStyle w:val="StringTok"/>
        </w:rPr>
        <w:t xml:space="preserve">"Room 101, Floor 3, Unit 42"</w:t>
      </w:r>
      <w:r>
        <w:rPr>
          <w:rStyle w:val="OtherTok"/>
        </w:rPr>
        <w:t xml:space="preserve">,</w:t>
      </w:r>
      <w:r>
        <w:rPr>
          <w:rStyle w:val="NormalTok"/>
        </w:rPr>
        <w:t xml:space="preserve"> </w:t>
      </w:r>
      <w:r>
        <w:rPr>
          <w:rStyle w:val="StringTok"/>
        </w:rPr>
        <w:t xml:space="preserv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result</w:t>
      </w:r>
      <w:r>
        <w:br/>
      </w:r>
      <w:r>
        <w:rPr>
          <w:rStyle w:val="CommentTok"/>
        </w:rPr>
        <w:t xml:space="preserve">' Output: Room #, Floor #, Unit #</w:t>
      </w:r>
      <w:r>
        <w:br/>
      </w:r>
      <w:r>
        <w:br/>
      </w:r>
      <w:r>
        <w:rPr>
          <w:rStyle w:val="KeywordTok"/>
        </w:rPr>
        <w:t xml:space="preserve">Set</w:t>
      </w:r>
      <w:r>
        <w:rPr>
          <w:rStyle w:val="NormalTok"/>
        </w:rPr>
        <w:t xml:space="preserve"> re = </w:t>
      </w:r>
      <w:r>
        <w:rPr>
          <w:rStyle w:val="KeywordTok"/>
        </w:rPr>
        <w:t xml:space="preserve">Nothing</w:t>
      </w:r>
      <w:r>
        <w:br/>
      </w:r>
      <w:r>
        <w:rPr>
          <w:rStyle w:val="DataTypeTok"/>
        </w:rPr>
        <w:t xml:space="preserve">%&gt;</w:t>
      </w:r>
    </w:p>
    <w:bookmarkEnd w:id="6335"/>
    <w:bookmarkEnd w:id="6336"/>
    <w:bookmarkStart w:id="6343" w:name="ignorecase-property"/>
    <w:p>
      <w:pPr>
        <w:pStyle w:val="Heading1"/>
      </w:pPr>
      <w:r>
        <w:t xml:space="preserve">IgnoreCase Property</w:t>
      </w:r>
    </w:p>
    <w:bookmarkStart w:id="6337" w:name="overview-680"/>
    <w:p>
      <w:pPr>
        <w:pStyle w:val="Heading2"/>
      </w:pPr>
      <w:r>
        <w:t xml:space="preserve">Overview</w:t>
      </w:r>
    </w:p>
    <w:p>
      <w:pPr>
        <w:pStyle w:val="FirstParagraph"/>
      </w:pPr>
      <w:r>
        <w:t xml:space="preserve">Gets or sets whether the regular expression matching is case-insensitive.</w:t>
      </w:r>
    </w:p>
    <w:bookmarkEnd w:id="6337"/>
    <w:bookmarkStart w:id="6338" w:name="syntax-741"/>
    <w:p>
      <w:pPr>
        <w:pStyle w:val="Heading2"/>
      </w:pPr>
      <w:r>
        <w:t xml:space="preserve">Syntax</w:t>
      </w:r>
    </w:p>
    <w:p>
      <w:pPr>
        <w:pStyle w:val="SourceCode"/>
      </w:pPr>
      <w:r>
        <w:rPr>
          <w:rStyle w:val="NormalTok"/>
        </w:rPr>
        <w:t xml:space="preserve">re.IgnoreCase = True</w:t>
      </w:r>
      <w:r>
        <w:br/>
      </w:r>
      <w:r>
        <w:rPr>
          <w:rStyle w:val="NormalTok"/>
        </w:rPr>
        <w:t xml:space="preserve">value = re.IgnoreCase</w:t>
      </w:r>
    </w:p>
    <w:bookmarkEnd w:id="6338"/>
    <w:bookmarkStart w:id="6339" w:name="return-value-424"/>
    <w:p>
      <w:pPr>
        <w:pStyle w:val="Heading2"/>
      </w:pPr>
      <w:r>
        <w:t xml:space="preserve">Return Value</w:t>
      </w:r>
    </w:p>
    <w:p>
      <w:pPr>
        <w:pStyle w:val="FirstParagraph"/>
      </w:pPr>
      <w:r>
        <w:t xml:space="preserve">Returns a</w:t>
      </w:r>
      <w:r>
        <w:t xml:space="preserve"> </w:t>
      </w:r>
      <w:r>
        <w:rPr>
          <w:b/>
          <w:bCs/>
        </w:rPr>
        <w:t xml:space="preserve">Boolean</w:t>
      </w:r>
      <w:r>
        <w:t xml:space="preserve"> </w:t>
      </w:r>
      <w:r>
        <w:t xml:space="preserve">indicating the current case-sensitivity setting. Returns</w:t>
      </w:r>
      <w:r>
        <w:t xml:space="preserve"> </w:t>
      </w:r>
      <w:r>
        <w:rPr>
          <w:b/>
          <w:bCs/>
        </w:rPr>
        <w:t xml:space="preserve">False</w:t>
      </w:r>
      <w:r>
        <w:t xml:space="preserve"> </w:t>
      </w:r>
      <w:r>
        <w:t xml:space="preserve">by default when the object is first created.</w:t>
      </w:r>
    </w:p>
    <w:bookmarkEnd w:id="6339"/>
    <w:bookmarkStart w:id="6340" w:name="how-it-works-85"/>
    <w:p>
      <w:pPr>
        <w:pStyle w:val="Heading2"/>
      </w:pPr>
      <w:r>
        <w:t xml:space="preserve">How It Works</w:t>
      </w:r>
    </w:p>
    <w:p>
      <w:pPr>
        <w:pStyle w:val="FirstParagraph"/>
      </w:pPr>
      <w:r>
        <w:t xml:space="preserve">Setting</w:t>
      </w:r>
      <w:r>
        <w:t xml:space="preserve"> </w:t>
      </w:r>
      <w:r>
        <w:rPr>
          <w:rStyle w:val="VerbatimChar"/>
        </w:rPr>
        <w:t xml:space="preserve">IgnoreCase</w:t>
      </w:r>
      <w:r>
        <w:t xml:space="preserve"> </w:t>
      </w:r>
      <w:r>
        <w:t xml:space="preserve">to True prepends the</w:t>
      </w:r>
      <w:r>
        <w:t xml:space="preserve"> </w:t>
      </w:r>
      <w:r>
        <w:rPr>
          <w:rStyle w:val="VerbatimChar"/>
        </w:rPr>
        <w:t xml:space="preserve">(?i)</w:t>
      </w:r>
      <w:r>
        <w:t xml:space="preserve"> </w:t>
      </w:r>
      <w:r>
        <w:t xml:space="preserve">flag to the compiled pattern. Setting it to False removes that flag. After any change to this property, the pattern is recompiled immediately using the current</w:t>
      </w:r>
      <w:r>
        <w:t xml:space="preserve"> </w:t>
      </w:r>
      <w:r>
        <w:rPr>
          <w:rStyle w:val="VerbatimChar"/>
        </w:rPr>
        <w:t xml:space="preserve">Pattern</w:t>
      </w:r>
      <w:r>
        <w:t xml:space="preserve"> </w:t>
      </w:r>
      <w:r>
        <w:t xml:space="preserve">and</w:t>
      </w:r>
      <w:r>
        <w:t xml:space="preserve"> </w:t>
      </w:r>
      <w:r>
        <w:rPr>
          <w:rStyle w:val="VerbatimChar"/>
        </w:rPr>
        <w:t xml:space="preserve">MultiLine</w:t>
      </w:r>
      <w:r>
        <w:t xml:space="preserve"> </w:t>
      </w:r>
      <w:r>
        <w:t xml:space="preserve">values. If</w:t>
      </w:r>
      <w:r>
        <w:t xml:space="preserve"> </w:t>
      </w:r>
      <w:r>
        <w:rPr>
          <w:rStyle w:val="VerbatimChar"/>
        </w:rPr>
        <w:t xml:space="preserve">Pattern</w:t>
      </w:r>
      <w:r>
        <w:t xml:space="preserve"> </w:t>
      </w:r>
      <w:r>
        <w:t xml:space="preserve">is empty, no compilation is triggered.</w:t>
      </w:r>
    </w:p>
    <w:bookmarkEnd w:id="6340"/>
    <w:bookmarkStart w:id="6341" w:name="remarks-721"/>
    <w:p>
      <w:pPr>
        <w:pStyle w:val="Heading2"/>
      </w:pPr>
      <w:r>
        <w:t xml:space="preserve">Remarks</w:t>
      </w:r>
    </w:p>
    <w:p>
      <w:pPr>
        <w:pStyle w:val="Compact"/>
        <w:numPr>
          <w:ilvl w:val="0"/>
          <w:numId w:val="2545"/>
        </w:numPr>
      </w:pPr>
      <w:r>
        <w:t xml:space="preserve">The default value is</w:t>
      </w:r>
      <w:r>
        <w:t xml:space="preserve"> </w:t>
      </w:r>
      <w:r>
        <w:rPr>
          <w:b/>
          <w:bCs/>
        </w:rPr>
        <w:t xml:space="preserve">False</w:t>
      </w:r>
      <w:r>
        <w:t xml:space="preserve"> </w:t>
      </w:r>
      <w:r>
        <w:t xml:space="preserve">(case-sensitive matching).</w:t>
      </w:r>
    </w:p>
    <w:p>
      <w:pPr>
        <w:pStyle w:val="Compact"/>
        <w:numPr>
          <w:ilvl w:val="0"/>
          <w:numId w:val="2545"/>
        </w:numPr>
      </w:pPr>
      <w:r>
        <w:t xml:space="preserve">Changing</w:t>
      </w:r>
      <w:r>
        <w:t xml:space="preserve"> </w:t>
      </w:r>
      <w:r>
        <w:rPr>
          <w:rStyle w:val="VerbatimChar"/>
        </w:rPr>
        <w:t xml:space="preserve">IgnoreCase</w:t>
      </w:r>
      <w:r>
        <w:t xml:space="preserve"> </w:t>
      </w:r>
      <w:r>
        <w:t xml:space="preserve">after</w:t>
      </w:r>
      <w:r>
        <w:t xml:space="preserve"> </w:t>
      </w:r>
      <w:r>
        <w:rPr>
          <w:rStyle w:val="VerbatimChar"/>
        </w:rPr>
        <w:t xml:space="preserve">Pattern</w:t>
      </w:r>
      <w:r>
        <w:t xml:space="preserve"> </w:t>
      </w:r>
      <w:r>
        <w:t xml:space="preserve">has been set recompiles the expression in-place.</w:t>
      </w:r>
    </w:p>
    <w:p>
      <w:pPr>
        <w:pStyle w:val="Compact"/>
        <w:numPr>
          <w:ilvl w:val="0"/>
          <w:numId w:val="2545"/>
        </w:numPr>
      </w:pPr>
      <w:r>
        <w:rPr>
          <w:rStyle w:val="VerbatimChar"/>
        </w:rPr>
        <w:t xml:space="preserve">IgnoreCase</w:t>
      </w:r>
      <w:r>
        <w:t xml:space="preserve"> </w:t>
      </w:r>
      <w:r>
        <w:t xml:space="preserve">affects</w:t>
      </w:r>
      <w:r>
        <w:t xml:space="preserve"> </w:t>
      </w:r>
      <w:r>
        <w:rPr>
          <w:rStyle w:val="VerbatimChar"/>
        </w:rPr>
        <w:t xml:space="preserve">Execute</w:t>
      </w:r>
      <w:r>
        <w:t xml:space="preserve">,</w:t>
      </w:r>
      <w:r>
        <w:t xml:space="preserve"> </w:t>
      </w:r>
      <w:r>
        <w:rPr>
          <w:rStyle w:val="VerbatimChar"/>
        </w:rPr>
        <w:t xml:space="preserve">Test</w:t>
      </w:r>
      <w:r>
        <w:t xml:space="preserve">, and</w:t>
      </w:r>
      <w:r>
        <w:t xml:space="preserve"> </w:t>
      </w:r>
      <w:r>
        <w:rPr>
          <w:rStyle w:val="VerbatimChar"/>
        </w:rPr>
        <w:t xml:space="preserve">Replace</w:t>
      </w:r>
      <w:r>
        <w:t xml:space="preserve"> </w:t>
      </w:r>
      <w:r>
        <w:t xml:space="preserve">equally.</w:t>
      </w:r>
    </w:p>
    <w:bookmarkEnd w:id="6341"/>
    <w:bookmarkStart w:id="6342" w:name="code-example-529"/>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re</w:t>
      </w:r>
      <w:r>
        <w:br/>
      </w:r>
      <w:r>
        <w:rPr>
          <w:rStyle w:val="KeywordTok"/>
        </w:rPr>
        <w:t xml:space="preserve">Set</w:t>
      </w:r>
      <w:r>
        <w:rPr>
          <w:rStyle w:val="NormalTok"/>
        </w:rPr>
        <w:t xml:space="preserve"> re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"VBScript.RegExp"</w:t>
      </w:r>
      <w:r>
        <w:rPr>
          <w:rStyle w:val="OtherTok"/>
        </w:rPr>
        <w:t xml:space="preserve">)</w:t>
      </w:r>
      <w:r>
        <w:br/>
      </w:r>
      <w:r>
        <w:rPr>
          <w:rStyle w:val="NormalTok"/>
        </w:rPr>
        <w:t xml:space="preserve">re.Pattern = </w:t>
      </w:r>
      <w:r>
        <w:rPr>
          <w:rStyle w:val="StringTok"/>
        </w:rPr>
        <w:t xml:space="preserve">"hello"</w:t>
      </w:r>
      <w:r>
        <w:br/>
      </w:r>
      <w:r>
        <w:rPr>
          <w:rStyle w:val="NormalTok"/>
        </w:rPr>
        <w:t xml:space="preserve">re.IgnoreCase = </w:t>
      </w:r>
      <w:r>
        <w:rPr>
          <w:rStyle w:val="KeywordTok"/>
        </w:rPr>
        <w:t xml:space="preserve">True</w:t>
      </w:r>
      <w:r>
        <w:br/>
      </w:r>
      <w:r>
        <w:br/>
      </w:r>
      <w:r>
        <w:rPr>
          <w:rStyle w:val="ControlFlowTok"/>
        </w:rPr>
        <w:t xml:space="preserve">If</w:t>
      </w:r>
      <w:r>
        <w:rPr>
          <w:rStyle w:val="NormalTok"/>
        </w:rPr>
        <w:t xml:space="preserve"> re.Test</w:t>
      </w:r>
      <w:r>
        <w:rPr>
          <w:rStyle w:val="OtherTok"/>
        </w:rPr>
        <w:t xml:space="preserve">(</w:t>
      </w:r>
      <w:r>
        <w:rPr>
          <w:rStyle w:val="StringTok"/>
        </w:rPr>
        <w:t xml:space="preserve">"Say HELLO world"</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"Match found (case-insensitive)."</w:t>
      </w:r>
      <w:r>
        <w:br/>
      </w:r>
      <w:r>
        <w:rPr>
          <w:rStyle w:val="ControlFlowTok"/>
        </w:rPr>
        <w:t xml:space="preserve">End If</w:t>
      </w:r>
      <w:r>
        <w:br/>
      </w:r>
      <w:r>
        <w:br/>
      </w:r>
      <w:r>
        <w:rPr>
          <w:rStyle w:val="KeywordTok"/>
        </w:rPr>
        <w:t xml:space="preserve">Set</w:t>
      </w:r>
      <w:r>
        <w:rPr>
          <w:rStyle w:val="NormalTok"/>
        </w:rPr>
        <w:t xml:space="preserve"> re = </w:t>
      </w:r>
      <w:r>
        <w:rPr>
          <w:rStyle w:val="KeywordTok"/>
        </w:rPr>
        <w:t xml:space="preserve">Nothing</w:t>
      </w:r>
      <w:r>
        <w:br/>
      </w:r>
      <w:r>
        <w:rPr>
          <w:rStyle w:val="DataTypeTok"/>
        </w:rPr>
        <w:t xml:space="preserve">%&gt;</w:t>
      </w:r>
    </w:p>
    <w:bookmarkEnd w:id="6342"/>
    <w:bookmarkEnd w:id="6343"/>
    <w:bookmarkStart w:id="6350" w:name="multiline-property"/>
    <w:p>
      <w:pPr>
        <w:pStyle w:val="Heading1"/>
      </w:pPr>
      <w:r>
        <w:t xml:space="preserve">MultiLine Property</w:t>
      </w:r>
    </w:p>
    <w:bookmarkStart w:id="6344" w:name="overview-681"/>
    <w:p>
      <w:pPr>
        <w:pStyle w:val="Heading2"/>
      </w:pPr>
      <w:r>
        <w:t xml:space="preserve">Overview</w:t>
      </w:r>
    </w:p>
    <w:p>
      <w:pPr>
        <w:pStyle w:val="FirstParagraph"/>
      </w:pPr>
      <w:r>
        <w:t xml:space="preserve">Gets or sets whether the</w:t>
      </w:r>
      <w:r>
        <w:t xml:space="preserve"> </w:t>
      </w:r>
      <w:r>
        <w:rPr>
          <w:rStyle w:val="VerbatimChar"/>
        </w:rPr>
        <w:t xml:space="preserve">^</w:t>
      </w:r>
      <w:r>
        <w:t xml:space="preserve"> </w:t>
      </w:r>
      <w:r>
        <w:t xml:space="preserve">and</w:t>
      </w:r>
      <w:r>
        <w:t xml:space="preserve"> </w:t>
      </w:r>
      <w:r>
        <w:rPr>
          <w:rStyle w:val="VerbatimChar"/>
        </w:rPr>
        <w:t xml:space="preserve">$</w:t>
      </w:r>
      <w:r>
        <w:t xml:space="preserve"> </w:t>
      </w:r>
      <w:r>
        <w:t xml:space="preserve">anchors match at the start and end of each line within the input string, rather than only at the very start and end of the entire string.</w:t>
      </w:r>
    </w:p>
    <w:bookmarkEnd w:id="6344"/>
    <w:bookmarkStart w:id="6345" w:name="syntax-742"/>
    <w:p>
      <w:pPr>
        <w:pStyle w:val="Heading2"/>
      </w:pPr>
      <w:r>
        <w:t xml:space="preserve">Syntax</w:t>
      </w:r>
    </w:p>
    <w:p>
      <w:pPr>
        <w:pStyle w:val="SourceCode"/>
      </w:pPr>
      <w:r>
        <w:rPr>
          <w:rStyle w:val="NormalTok"/>
        </w:rPr>
        <w:t xml:space="preserve">re.MultiLine = True</w:t>
      </w:r>
      <w:r>
        <w:br/>
      </w:r>
      <w:r>
        <w:rPr>
          <w:rStyle w:val="NormalTok"/>
        </w:rPr>
        <w:t xml:space="preserve">value = re.MultiLine</w:t>
      </w:r>
    </w:p>
    <w:bookmarkEnd w:id="6345"/>
    <w:bookmarkStart w:id="6346" w:name="return-value-425"/>
    <w:p>
      <w:pPr>
        <w:pStyle w:val="Heading2"/>
      </w:pPr>
      <w:r>
        <w:t xml:space="preserve">Return Value</w:t>
      </w:r>
    </w:p>
    <w:p>
      <w:pPr>
        <w:pStyle w:val="FirstParagraph"/>
      </w:pPr>
      <w:r>
        <w:t xml:space="preserve">Returns a</w:t>
      </w:r>
      <w:r>
        <w:t xml:space="preserve"> </w:t>
      </w:r>
      <w:r>
        <w:rPr>
          <w:b/>
          <w:bCs/>
        </w:rPr>
        <w:t xml:space="preserve">Boolean</w:t>
      </w:r>
      <w:r>
        <w:t xml:space="preserve"> </w:t>
      </w:r>
      <w:r>
        <w:t xml:space="preserve">indicating the current multi-line mode setting. Returns</w:t>
      </w:r>
      <w:r>
        <w:t xml:space="preserve"> </w:t>
      </w:r>
      <w:r>
        <w:rPr>
          <w:b/>
          <w:bCs/>
        </w:rPr>
        <w:t xml:space="preserve">False</w:t>
      </w:r>
      <w:r>
        <w:t xml:space="preserve"> </w:t>
      </w:r>
      <w:r>
        <w:t xml:space="preserve">by default when the object is first created.</w:t>
      </w:r>
    </w:p>
    <w:bookmarkEnd w:id="6346"/>
    <w:bookmarkStart w:id="6347" w:name="how-it-works-86"/>
    <w:p>
      <w:pPr>
        <w:pStyle w:val="Heading2"/>
      </w:pPr>
      <w:r>
        <w:t xml:space="preserve">How It Works</w:t>
      </w:r>
    </w:p>
    <w:p>
      <w:pPr>
        <w:pStyle w:val="FirstParagraph"/>
      </w:pPr>
      <w:r>
        <w:t xml:space="preserve">Setting</w:t>
      </w:r>
      <w:r>
        <w:t xml:space="preserve"> </w:t>
      </w:r>
      <w:r>
        <w:rPr>
          <w:rStyle w:val="VerbatimChar"/>
        </w:rPr>
        <w:t xml:space="preserve">MultiLine</w:t>
      </w:r>
      <w:r>
        <w:t xml:space="preserve"> </w:t>
      </w:r>
      <w:r>
        <w:t xml:space="preserve">to True prepends the</w:t>
      </w:r>
      <w:r>
        <w:t xml:space="preserve"> </w:t>
      </w:r>
      <w:r>
        <w:rPr>
          <w:rStyle w:val="VerbatimChar"/>
        </w:rPr>
        <w:t xml:space="preserve">(?m)</w:t>
      </w:r>
      <w:r>
        <w:t xml:space="preserve"> </w:t>
      </w:r>
      <w:r>
        <w:t xml:space="preserve">flag to the compiled pattern. Setting it to False removes that flag. After any change to this property, the pattern is recompiled immediately using the current</w:t>
      </w:r>
      <w:r>
        <w:t xml:space="preserve"> </w:t>
      </w:r>
      <w:r>
        <w:rPr>
          <w:rStyle w:val="VerbatimChar"/>
        </w:rPr>
        <w:t xml:space="preserve">Pattern</w:t>
      </w:r>
      <w:r>
        <w:t xml:space="preserve"> </w:t>
      </w:r>
      <w:r>
        <w:t xml:space="preserve">and</w:t>
      </w:r>
      <w:r>
        <w:t xml:space="preserve"> </w:t>
      </w:r>
      <w:r>
        <w:rPr>
          <w:rStyle w:val="VerbatimChar"/>
        </w:rPr>
        <w:t xml:space="preserve">IgnoreCase</w:t>
      </w:r>
      <w:r>
        <w:t xml:space="preserve"> </w:t>
      </w:r>
      <w:r>
        <w:t xml:space="preserve">values.</w:t>
      </w:r>
    </w:p>
    <w:p>
      <w:pPr>
        <w:pStyle w:val="BodyText"/>
      </w:pPr>
      <w:r>
        <w:t xml:space="preserve">With</w:t>
      </w:r>
      <w:r>
        <w:t xml:space="preserve"> </w:t>
      </w:r>
      <w:r>
        <w:rPr>
          <w:rStyle w:val="VerbatimChar"/>
        </w:rPr>
        <w:t xml:space="preserve">MultiLine = True</w:t>
      </w:r>
      <w:r>
        <w:t xml:space="preserve">:</w:t>
      </w:r>
      <w:r>
        <w:t xml:space="preserve"> </w:t>
      </w:r>
      <w:r>
        <w:t xml:space="preserve">-</w:t>
      </w:r>
      <w:r>
        <w:t xml:space="preserve"> </w:t>
      </w:r>
      <w:r>
        <w:rPr>
          <w:rStyle w:val="VerbatimChar"/>
        </w:rPr>
        <w:t xml:space="preserve">^</w:t>
      </w:r>
      <w:r>
        <w:t xml:space="preserve"> </w:t>
      </w:r>
      <w:r>
        <w:t xml:space="preserve">matches at position 0 and immediately after any</w:t>
      </w:r>
      <w:r>
        <w:t xml:space="preserve"> </w:t>
      </w:r>
      <w:r>
        <w:rPr>
          <w:rStyle w:val="VerbatimChar"/>
        </w:rPr>
        <w:t xml:space="preserve">\n</w:t>
      </w:r>
      <w:r>
        <w:t xml:space="preserve"> </w:t>
      </w:r>
      <w:r>
        <w:t xml:space="preserve">character.</w:t>
      </w:r>
      <w:r>
        <w:t xml:space="preserve"> </w:t>
      </w:r>
      <w:r>
        <w:t xml:space="preserve">-</w:t>
      </w:r>
      <w:r>
        <w:t xml:space="preserve"> </w:t>
      </w:r>
      <w:r>
        <w:rPr>
          <w:rStyle w:val="VerbatimChar"/>
        </w:rPr>
        <w:t xml:space="preserve">$</w:t>
      </w:r>
      <w:r>
        <w:t xml:space="preserve"> </w:t>
      </w:r>
      <w:r>
        <w:t xml:space="preserve">matches immediately before any</w:t>
      </w:r>
      <w:r>
        <w:t xml:space="preserve"> </w:t>
      </w:r>
      <w:r>
        <w:rPr>
          <w:rStyle w:val="VerbatimChar"/>
        </w:rPr>
        <w:t xml:space="preserve">\n</w:t>
      </w:r>
      <w:r>
        <w:t xml:space="preserve"> </w:t>
      </w:r>
      <w:r>
        <w:t xml:space="preserve">character and at the end of the string.</w:t>
      </w:r>
    </w:p>
    <w:bookmarkEnd w:id="6347"/>
    <w:bookmarkStart w:id="6348" w:name="remarks-722"/>
    <w:p>
      <w:pPr>
        <w:pStyle w:val="Heading2"/>
      </w:pPr>
      <w:r>
        <w:t xml:space="preserve">Remarks</w:t>
      </w:r>
    </w:p>
    <w:p>
      <w:pPr>
        <w:pStyle w:val="Compact"/>
        <w:numPr>
          <w:ilvl w:val="0"/>
          <w:numId w:val="2546"/>
        </w:numPr>
      </w:pPr>
      <w:r>
        <w:t xml:space="preserve">The default value is</w:t>
      </w:r>
      <w:r>
        <w:t xml:space="preserve"> </w:t>
      </w:r>
      <w:r>
        <w:rPr>
          <w:b/>
          <w:bCs/>
        </w:rPr>
        <w:t xml:space="preserve">False</w:t>
      </w:r>
      <w:r>
        <w:t xml:space="preserve">.</w:t>
      </w:r>
    </w:p>
    <w:p>
      <w:pPr>
        <w:pStyle w:val="Compact"/>
        <w:numPr>
          <w:ilvl w:val="0"/>
          <w:numId w:val="2546"/>
        </w:numPr>
      </w:pPr>
      <w:r>
        <w:t xml:space="preserve">Changing</w:t>
      </w:r>
      <w:r>
        <w:t xml:space="preserve"> </w:t>
      </w:r>
      <w:r>
        <w:rPr>
          <w:rStyle w:val="VerbatimChar"/>
        </w:rPr>
        <w:t xml:space="preserve">MultiLine</w:t>
      </w:r>
      <w:r>
        <w:t xml:space="preserve"> </w:t>
      </w:r>
      <w:r>
        <w:t xml:space="preserve">after</w:t>
      </w:r>
      <w:r>
        <w:t xml:space="preserve"> </w:t>
      </w:r>
      <w:r>
        <w:rPr>
          <w:rStyle w:val="VerbatimChar"/>
        </w:rPr>
        <w:t xml:space="preserve">Pattern</w:t>
      </w:r>
      <w:r>
        <w:t xml:space="preserve"> </w:t>
      </w:r>
      <w:r>
        <w:t xml:space="preserve">has been set triggers immediate recompilation.</w:t>
      </w:r>
    </w:p>
    <w:p>
      <w:pPr>
        <w:pStyle w:val="Compact"/>
        <w:numPr>
          <w:ilvl w:val="0"/>
          <w:numId w:val="2546"/>
        </w:numPr>
      </w:pPr>
      <w:r>
        <w:rPr>
          <w:rStyle w:val="VerbatimChar"/>
        </w:rPr>
        <w:t xml:space="preserve">MultiLine</w:t>
      </w:r>
      <w:r>
        <w:t xml:space="preserve"> </w:t>
      </w:r>
      <w:r>
        <w:t xml:space="preserve">applies equally to</w:t>
      </w:r>
      <w:r>
        <w:t xml:space="preserve"> </w:t>
      </w:r>
      <w:r>
        <w:rPr>
          <w:rStyle w:val="VerbatimChar"/>
        </w:rPr>
        <w:t xml:space="preserve">Execute</w:t>
      </w:r>
      <w:r>
        <w:t xml:space="preserve">,</w:t>
      </w:r>
      <w:r>
        <w:t xml:space="preserve"> </w:t>
      </w:r>
      <w:r>
        <w:rPr>
          <w:rStyle w:val="VerbatimChar"/>
        </w:rPr>
        <w:t xml:space="preserve">Test</w:t>
      </w:r>
      <w:r>
        <w:t xml:space="preserve">, and</w:t>
      </w:r>
      <w:r>
        <w:t xml:space="preserve"> </w:t>
      </w:r>
      <w:r>
        <w:rPr>
          <w:rStyle w:val="VerbatimChar"/>
        </w:rPr>
        <w:t xml:space="preserve">Replace</w:t>
      </w:r>
      <w:r>
        <w:t xml:space="preserve">.</w:t>
      </w:r>
    </w:p>
    <w:p>
      <w:pPr>
        <w:pStyle w:val="Compact"/>
        <w:numPr>
          <w:ilvl w:val="0"/>
          <w:numId w:val="2546"/>
        </w:numPr>
      </w:pPr>
      <w:r>
        <w:t xml:space="preserve">Dot (</w:t>
      </w:r>
      <w:r>
        <w:rPr>
          <w:rStyle w:val="VerbatimChar"/>
        </w:rPr>
        <w:t xml:space="preserve">.</w:t>
      </w:r>
      <w:r>
        <w:t xml:space="preserve">) does</w:t>
      </w:r>
      <w:r>
        <w:t xml:space="preserve"> </w:t>
      </w:r>
      <w:r>
        <w:rPr>
          <w:b/>
          <w:bCs/>
        </w:rPr>
        <w:t xml:space="preserve">not</w:t>
      </w:r>
      <w:r>
        <w:t xml:space="preserve"> </w:t>
      </w:r>
      <w:r>
        <w:t xml:space="preserve">match newlines regardless of this setting. Use</w:t>
      </w:r>
      <w:r>
        <w:t xml:space="preserve"> </w:t>
      </w:r>
      <w:r>
        <w:rPr>
          <w:rStyle w:val="VerbatimChar"/>
        </w:rPr>
        <w:t xml:space="preserve">[\\s\\S]</w:t>
      </w:r>
      <w:r>
        <w:t xml:space="preserve"> </w:t>
      </w:r>
      <w:r>
        <w:t xml:space="preserve">to match any character including newlines.</w:t>
      </w:r>
    </w:p>
    <w:bookmarkEnd w:id="6348"/>
    <w:bookmarkStart w:id="6349" w:name="code-example-530"/>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re</w:t>
      </w:r>
      <w:r>
        <w:rPr>
          <w:rStyle w:val="OtherTok"/>
        </w:rPr>
        <w:t xml:space="preserve">,</w:t>
      </w:r>
      <w:r>
        <w:rPr>
          <w:rStyle w:val="NormalTok"/>
        </w:rPr>
        <w:t xml:space="preserve"> matches</w:t>
      </w:r>
      <w:r>
        <w:br/>
      </w:r>
      <w:r>
        <w:rPr>
          <w:rStyle w:val="KeywordTok"/>
        </w:rPr>
        <w:t xml:space="preserve">Set</w:t>
      </w:r>
      <w:r>
        <w:rPr>
          <w:rStyle w:val="NormalTok"/>
        </w:rPr>
        <w:t xml:space="preserve"> re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"VBScript.RegExp"</w:t>
      </w:r>
      <w:r>
        <w:rPr>
          <w:rStyle w:val="OtherTok"/>
        </w:rPr>
        <w:t xml:space="preserve">)</w:t>
      </w:r>
      <w:r>
        <w:br/>
      </w:r>
      <w:r>
        <w:rPr>
          <w:rStyle w:val="NormalTok"/>
        </w:rPr>
        <w:t xml:space="preserve">re.Pattern = </w:t>
      </w:r>
      <w:r>
        <w:rPr>
          <w:rStyle w:val="StringTok"/>
        </w:rPr>
        <w:t xml:space="preserve">"^Item"</w:t>
      </w:r>
      <w:r>
        <w:br/>
      </w:r>
      <w:r>
        <w:rPr>
          <w:rStyle w:val="NormalTok"/>
        </w:rPr>
        <w:t xml:space="preserve">re.Global = </w:t>
      </w:r>
      <w:r>
        <w:rPr>
          <w:rStyle w:val="KeywordTok"/>
        </w:rPr>
        <w:t xml:space="preserve">True</w:t>
      </w:r>
      <w:r>
        <w:br/>
      </w:r>
      <w:r>
        <w:rPr>
          <w:rStyle w:val="NormalTok"/>
        </w:rPr>
        <w:t xml:space="preserve">re.MultiLine = </w:t>
      </w:r>
      <w:r>
        <w:rPr>
          <w:rStyle w:val="KeywordTok"/>
        </w:rPr>
        <w:t xml:space="preserve">True</w:t>
      </w:r>
      <w:r>
        <w:br/>
      </w:r>
      <w:r>
        <w:br/>
      </w:r>
      <w:r>
        <w:rPr>
          <w:rStyle w:val="KeywordTok"/>
        </w:rPr>
        <w:t xml:space="preserve">Dim</w:t>
      </w:r>
      <w:r>
        <w:rPr>
          <w:rStyle w:val="NormalTok"/>
        </w:rPr>
        <w:t xml:space="preserve"> text</w:t>
      </w:r>
      <w:r>
        <w:br/>
      </w:r>
      <w:r>
        <w:rPr>
          <w:rStyle w:val="NormalTok"/>
        </w:rPr>
        <w:t xml:space="preserve">text = </w:t>
      </w:r>
      <w:r>
        <w:rPr>
          <w:rStyle w:val="StringTok"/>
        </w:rPr>
        <w:t xml:space="preserve">"Item A"</w:t>
      </w:r>
      <w:r>
        <w:rPr>
          <w:rStyle w:val="NormalTok"/>
        </w:rPr>
        <w:t xml:space="preserve"> </w:t>
      </w:r>
      <w:r>
        <w:rPr>
          <w:rStyle w:val="KeywordTok"/>
        </w:rPr>
        <w:t xml:space="preserve">&amp;</w:t>
      </w:r>
      <w:r>
        <w:rPr>
          <w:rStyle w:val="NormalTok"/>
        </w:rPr>
        <w:t xml:space="preserve"> </w:t>
      </w:r>
      <w:r>
        <w:rPr>
          <w:rStyle w:val="FunctionTok"/>
        </w:rPr>
        <w:t xml:space="preserve">Chr</w:t>
      </w:r>
      <w:r>
        <w:rPr>
          <w:rStyle w:val="OtherTok"/>
        </w:rPr>
        <w:t xml:space="preserve">(</w:t>
      </w:r>
      <w:r>
        <w:rPr>
          <w:rStyle w:val="DecValTok"/>
        </w:rPr>
        <w:t xml:space="preserve">10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"Item B"</w:t>
      </w:r>
      <w:r>
        <w:rPr>
          <w:rStyle w:val="NormalTok"/>
        </w:rPr>
        <w:t xml:space="preserve"> </w:t>
      </w:r>
      <w:r>
        <w:rPr>
          <w:rStyle w:val="KeywordTok"/>
        </w:rPr>
        <w:t xml:space="preserve">&amp;</w:t>
      </w:r>
      <w:r>
        <w:rPr>
          <w:rStyle w:val="NormalTok"/>
        </w:rPr>
        <w:t xml:space="preserve"> </w:t>
      </w:r>
      <w:r>
        <w:rPr>
          <w:rStyle w:val="FunctionTok"/>
        </w:rPr>
        <w:t xml:space="preserve">Chr</w:t>
      </w:r>
      <w:r>
        <w:rPr>
          <w:rStyle w:val="OtherTok"/>
        </w:rPr>
        <w:t xml:space="preserve">(</w:t>
      </w:r>
      <w:r>
        <w:rPr>
          <w:rStyle w:val="DecValTok"/>
        </w:rPr>
        <w:t xml:space="preserve">10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"Other C"</w:t>
      </w:r>
      <w:r>
        <w:br/>
      </w:r>
      <w:r>
        <w:br/>
      </w:r>
      <w:r>
        <w:rPr>
          <w:rStyle w:val="KeywordTok"/>
        </w:rPr>
        <w:t xml:space="preserve">Set</w:t>
      </w:r>
      <w:r>
        <w:rPr>
          <w:rStyle w:val="NormalTok"/>
        </w:rPr>
        <w:t xml:space="preserve"> matches = re.</w:t>
      </w:r>
      <w:r>
        <w:rPr>
          <w:rStyle w:val="KeywordTok"/>
        </w:rPr>
        <w:t xml:space="preserve">Execute</w:t>
      </w:r>
      <w:r>
        <w:rPr>
          <w:rStyle w:val="OtherTok"/>
        </w:rPr>
        <w:t xml:space="preserve">(</w:t>
      </w:r>
      <w:r>
        <w:rPr>
          <w:rStyle w:val="NormalTok"/>
        </w:rPr>
        <w:t xml:space="preserve">text</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"Lines starting with 'Item': "</w:t>
      </w:r>
      <w:r>
        <w:rPr>
          <w:rStyle w:val="NormalTok"/>
        </w:rPr>
        <w:t xml:space="preserve"> </w:t>
      </w:r>
      <w:r>
        <w:rPr>
          <w:rStyle w:val="KeywordTok"/>
        </w:rPr>
        <w:t xml:space="preserve">&amp;</w:t>
      </w:r>
      <w:r>
        <w:rPr>
          <w:rStyle w:val="NormalTok"/>
        </w:rPr>
        <w:t xml:space="preserve"> matches.Count</w:t>
      </w:r>
      <w:r>
        <w:br/>
      </w:r>
      <w:r>
        <w:rPr>
          <w:rStyle w:val="CommentTok"/>
        </w:rPr>
        <w:t xml:space="preserve">' Output: Lines starting with 'Item': 2</w:t>
      </w:r>
      <w:r>
        <w:br/>
      </w:r>
      <w:r>
        <w:br/>
      </w:r>
      <w:r>
        <w:rPr>
          <w:rStyle w:val="KeywordTok"/>
        </w:rPr>
        <w:t xml:space="preserve">Set</w:t>
      </w:r>
      <w:r>
        <w:rPr>
          <w:rStyle w:val="NormalTok"/>
        </w:rPr>
        <w:t xml:space="preserve"> matches = </w:t>
      </w:r>
      <w:r>
        <w:rPr>
          <w:rStyle w:val="KeywordTok"/>
        </w:rPr>
        <w:t xml:space="preserve">Nothing</w:t>
      </w:r>
      <w:r>
        <w:br/>
      </w:r>
      <w:r>
        <w:rPr>
          <w:rStyle w:val="KeywordTok"/>
        </w:rPr>
        <w:t xml:space="preserve">Set</w:t>
      </w:r>
      <w:r>
        <w:rPr>
          <w:rStyle w:val="NormalTok"/>
        </w:rPr>
        <w:t xml:space="preserve"> re = </w:t>
      </w:r>
      <w:r>
        <w:rPr>
          <w:rStyle w:val="KeywordTok"/>
        </w:rPr>
        <w:t xml:space="preserve">Nothing</w:t>
      </w:r>
      <w:r>
        <w:br/>
      </w:r>
      <w:r>
        <w:rPr>
          <w:rStyle w:val="DataTypeTok"/>
        </w:rPr>
        <w:t xml:space="preserve">%&gt;</w:t>
      </w:r>
    </w:p>
    <w:bookmarkEnd w:id="6349"/>
    <w:bookmarkEnd w:id="6350"/>
    <w:bookmarkStart w:id="6358" w:name="pattern-property"/>
    <w:p>
      <w:pPr>
        <w:pStyle w:val="Heading1"/>
      </w:pPr>
      <w:r>
        <w:t xml:space="preserve">Pattern Property</w:t>
      </w:r>
    </w:p>
    <w:bookmarkStart w:id="6351" w:name="overview-682"/>
    <w:p>
      <w:pPr>
        <w:pStyle w:val="Heading2"/>
      </w:pPr>
      <w:r>
        <w:t xml:space="preserve">Overview</w:t>
      </w:r>
    </w:p>
    <w:p>
      <w:pPr>
        <w:pStyle w:val="FirstParagraph"/>
      </w:pPr>
      <w:r>
        <w:t xml:space="preserve">Gets or sets the regular expression pattern string used for matching, replacement, and testing operations.</w:t>
      </w:r>
    </w:p>
    <w:bookmarkEnd w:id="6351"/>
    <w:bookmarkStart w:id="6352" w:name="syntax-743"/>
    <w:p>
      <w:pPr>
        <w:pStyle w:val="Heading2"/>
      </w:pPr>
      <w:r>
        <w:t xml:space="preserve">Syntax</w:t>
      </w:r>
    </w:p>
    <w:p>
      <w:pPr>
        <w:pStyle w:val="SourceCode"/>
      </w:pPr>
      <w:r>
        <w:rPr>
          <w:rStyle w:val="NormalTok"/>
        </w:rPr>
        <w:t xml:space="preserve">re.Pattern = "expression"</w:t>
      </w:r>
      <w:r>
        <w:br/>
      </w:r>
      <w:r>
        <w:rPr>
          <w:rStyle w:val="NormalTok"/>
        </w:rPr>
        <w:t xml:space="preserve">value = re.Pattern</w:t>
      </w:r>
    </w:p>
    <w:bookmarkEnd w:id="6352"/>
    <w:bookmarkStart w:id="6353" w:name="return-value-426"/>
    <w:p>
      <w:pPr>
        <w:pStyle w:val="Heading2"/>
      </w:pPr>
      <w:r>
        <w:t xml:space="preserve">Return Value</w:t>
      </w:r>
    </w:p>
    <w:p>
      <w:pPr>
        <w:pStyle w:val="FirstParagraph"/>
      </w:pPr>
      <w:r>
        <w:t xml:space="preserve">Returns a</w:t>
      </w:r>
      <w:r>
        <w:t xml:space="preserve"> </w:t>
      </w:r>
      <w:r>
        <w:rPr>
          <w:b/>
          <w:bCs/>
        </w:rPr>
        <w:t xml:space="preserve">String</w:t>
      </w:r>
      <w:r>
        <w:t xml:space="preserve"> </w:t>
      </w:r>
      <w:r>
        <w:t xml:space="preserve">containing the current pattern. Returns an empty String when no pattern has been assigned.</w:t>
      </w:r>
    </w:p>
    <w:bookmarkEnd w:id="6353"/>
    <w:bookmarkStart w:id="6354" w:name="how-it-works-87"/>
    <w:p>
      <w:pPr>
        <w:pStyle w:val="Heading2"/>
      </w:pPr>
      <w:r>
        <w:t xml:space="preserve">How It Works</w:t>
      </w:r>
    </w:p>
    <w:p>
      <w:pPr>
        <w:pStyle w:val="FirstParagraph"/>
      </w:pPr>
      <w:r>
        <w:t xml:space="preserve">Assigning a value to</w:t>
      </w:r>
      <w:r>
        <w:t xml:space="preserve"> </w:t>
      </w:r>
      <w:r>
        <w:rPr>
          <w:rStyle w:val="VerbatimChar"/>
        </w:rPr>
        <w:t xml:space="preserve">Pattern</w:t>
      </w:r>
      <w:r>
        <w:t xml:space="preserve"> </w:t>
      </w:r>
      <w:r>
        <w:t xml:space="preserve">immediately compiles the expression against the current</w:t>
      </w:r>
      <w:r>
        <w:t xml:space="preserve"> </w:t>
      </w:r>
      <w:r>
        <w:rPr>
          <w:rStyle w:val="VerbatimChar"/>
        </w:rPr>
        <w:t xml:space="preserve">IgnoreCase</w:t>
      </w:r>
      <w:r>
        <w:t xml:space="preserve"> </w:t>
      </w:r>
      <w:r>
        <w:t xml:space="preserve">and</w:t>
      </w:r>
      <w:r>
        <w:t xml:space="preserve"> </w:t>
      </w:r>
      <w:r>
        <w:rPr>
          <w:rStyle w:val="VerbatimChar"/>
        </w:rPr>
        <w:t xml:space="preserve">MultiLine</w:t>
      </w:r>
      <w:r>
        <w:t xml:space="preserve"> </w:t>
      </w:r>
      <w:r>
        <w:t xml:space="preserve">flags. If the pattern is syntactically invalid, VBScript error 5017 (Regular expression syntax error) is raised and the compiled expression is cleared, causing subsequent</w:t>
      </w:r>
      <w:r>
        <w:t xml:space="preserve"> </w:t>
      </w:r>
      <w:r>
        <w:rPr>
          <w:rStyle w:val="VerbatimChar"/>
        </w:rPr>
        <w:t xml:space="preserve">Execute</w:t>
      </w:r>
      <w:r>
        <w:t xml:space="preserve">,</w:t>
      </w:r>
      <w:r>
        <w:t xml:space="preserve"> </w:t>
      </w:r>
      <w:r>
        <w:rPr>
          <w:rStyle w:val="VerbatimChar"/>
        </w:rPr>
        <w:t xml:space="preserve">Test</w:t>
      </w:r>
      <w:r>
        <w:t xml:space="preserve">, and</w:t>
      </w:r>
      <w:r>
        <w:t xml:space="preserve"> </w:t>
      </w:r>
      <w:r>
        <w:rPr>
          <w:rStyle w:val="VerbatimChar"/>
        </w:rPr>
        <w:t xml:space="preserve">Replace</w:t>
      </w:r>
      <w:r>
        <w:t xml:space="preserve"> </w:t>
      </w:r>
      <w:r>
        <w:t xml:space="preserve">calls to fail gracefully rather than match unpredictably.</w:t>
      </w:r>
    </w:p>
    <w:p>
      <w:pPr>
        <w:pStyle w:val="BodyText"/>
      </w:pPr>
      <w:r>
        <w:t xml:space="preserve">Setting</w:t>
      </w:r>
      <w:r>
        <w:t xml:space="preserve"> </w:t>
      </w:r>
      <w:r>
        <w:rPr>
          <w:rStyle w:val="VerbatimChar"/>
        </w:rPr>
        <w:t xml:space="preserve">Pattern</w:t>
      </w:r>
      <w:r>
        <w:t xml:space="preserve"> </w:t>
      </w:r>
      <w:r>
        <w:t xml:space="preserve">to an empty String clears the compiled expression without raising an error.</w:t>
      </w:r>
    </w:p>
    <w:bookmarkEnd w:id="6354"/>
    <w:bookmarkStart w:id="6355" w:name="remarks-723"/>
    <w:p>
      <w:pPr>
        <w:pStyle w:val="Heading2"/>
      </w:pPr>
      <w:r>
        <w:t xml:space="preserve">Remarks</w:t>
      </w:r>
    </w:p>
    <w:p>
      <w:pPr>
        <w:pStyle w:val="Compact"/>
        <w:numPr>
          <w:ilvl w:val="0"/>
          <w:numId w:val="2547"/>
        </w:numPr>
      </w:pPr>
      <w:r>
        <w:t xml:space="preserve">The pattern uses RE2 syntax. Lookahead (</w:t>
      </w:r>
      <w:r>
        <w:rPr>
          <w:rStyle w:val="VerbatimChar"/>
        </w:rPr>
        <w:t xml:space="preserve">(?=...)</w:t>
      </w:r>
      <w:r>
        <w:t xml:space="preserve">,</w:t>
      </w:r>
      <w:r>
        <w:t xml:space="preserve"> </w:t>
      </w:r>
      <w:r>
        <w:rPr>
          <w:rStyle w:val="VerbatimChar"/>
        </w:rPr>
        <w:t xml:space="preserve">(?!...)</w:t>
      </w:r>
      <w:r>
        <w:t xml:space="preserve">), lookbehind (</w:t>
      </w:r>
      <w:r>
        <w:rPr>
          <w:rStyle w:val="VerbatimChar"/>
        </w:rPr>
        <w:t xml:space="preserve">(?&lt;=...)</w:t>
      </w:r>
      <w:r>
        <w:t xml:space="preserve">,</w:t>
      </w:r>
      <w:r>
        <w:t xml:space="preserve"> </w:t>
      </w:r>
      <w:r>
        <w:rPr>
          <w:rStyle w:val="VerbatimChar"/>
        </w:rPr>
        <w:t xml:space="preserve">(?&lt;!...)</w:t>
      </w:r>
      <w:r>
        <w:t xml:space="preserve">), and backreferences (</w:t>
      </w:r>
      <w:r>
        <w:rPr>
          <w:rStyle w:val="VerbatimChar"/>
        </w:rPr>
        <w:t xml:space="preserve">\\1</w:t>
      </w:r>
      <w:r>
        <w:t xml:space="preserve">) are</w:t>
      </w:r>
      <w:r>
        <w:t xml:space="preserve"> </w:t>
      </w:r>
      <w:r>
        <w:rPr>
          <w:b/>
          <w:bCs/>
        </w:rPr>
        <w:t xml:space="preserve">not supported</w:t>
      </w:r>
      <w:r>
        <w:t xml:space="preserve"> </w:t>
      </w:r>
      <w:r>
        <w:t xml:space="preserve">and will raise error 5017 when assigned.</w:t>
      </w:r>
    </w:p>
    <w:p>
      <w:pPr>
        <w:pStyle w:val="Compact"/>
        <w:numPr>
          <w:ilvl w:val="0"/>
          <w:numId w:val="2547"/>
        </w:numPr>
      </w:pPr>
      <w:r>
        <w:t xml:space="preserve">Character classes, quantifiers, anchors, and named groups (</w:t>
      </w:r>
      <w:r>
        <w:rPr>
          <w:rStyle w:val="VerbatimChar"/>
        </w:rPr>
        <w:t xml:space="preserve">(?P&lt;name&gt;...)</w:t>
      </w:r>
      <w:r>
        <w:t xml:space="preserve">) are fully supported.</w:t>
      </w:r>
    </w:p>
    <w:p>
      <w:pPr>
        <w:pStyle w:val="Compact"/>
        <w:numPr>
          <w:ilvl w:val="0"/>
          <w:numId w:val="2547"/>
        </w:numPr>
      </w:pPr>
      <w:r>
        <w:t xml:space="preserve">Changing</w:t>
      </w:r>
      <w:r>
        <w:t xml:space="preserve"> </w:t>
      </w:r>
      <w:r>
        <w:rPr>
          <w:rStyle w:val="VerbatimChar"/>
        </w:rPr>
        <w:t xml:space="preserve">IgnoreCase</w:t>
      </w:r>
      <w:r>
        <w:t xml:space="preserve"> </w:t>
      </w:r>
      <w:r>
        <w:t xml:space="preserve">or</w:t>
      </w:r>
      <w:r>
        <w:t xml:space="preserve"> </w:t>
      </w:r>
      <w:r>
        <w:rPr>
          <w:rStyle w:val="VerbatimChar"/>
        </w:rPr>
        <w:t xml:space="preserve">MultiLine</w:t>
      </w:r>
      <w:r>
        <w:t xml:space="preserve"> </w:t>
      </w:r>
      <w:r>
        <w:t xml:space="preserve">after setting</w:t>
      </w:r>
      <w:r>
        <w:t xml:space="preserve"> </w:t>
      </w:r>
      <w:r>
        <w:rPr>
          <w:rStyle w:val="VerbatimChar"/>
        </w:rPr>
        <w:t xml:space="preserve">Pattern</w:t>
      </w:r>
      <w:r>
        <w:t xml:space="preserve"> </w:t>
      </w:r>
      <w:r>
        <w:t xml:space="preserve">recompiles the expression automatically.</w:t>
      </w:r>
    </w:p>
    <w:bookmarkEnd w:id="6355"/>
    <w:bookmarkStart w:id="6356" w:name="code-example-531"/>
    <w:p>
      <w:pPr>
        <w:pStyle w:val="Heading2"/>
      </w:pPr>
      <w:r>
        <w:t xml:space="preserve">Code Example</w:t>
      </w:r>
    </w:p>
    <w:p>
      <w:pPr>
        <w:pStyle w:val="SourceCode"/>
      </w:pPr>
      <w:r>
        <w:rPr>
          <w:rStyle w:val="DataTypeTok"/>
        </w:rPr>
        <w:t xml:space="preserve">&lt;%</w:t>
      </w:r>
      <w:r>
        <w:br/>
      </w:r>
      <w:r>
        <w:rPr>
          <w:rStyle w:val="NormalTok"/>
        </w:rPr>
        <w:t xml:space="preserve">Option Explicit</w:t>
      </w:r>
      <w:r>
        <w:br/>
      </w:r>
      <w:r>
        <w:rPr>
          <w:rStyle w:val="KeywordTok"/>
        </w:rPr>
        <w:t xml:space="preserve">Dim</w:t>
      </w:r>
      <w:r>
        <w:rPr>
          <w:rStyle w:val="NormalTok"/>
        </w:rPr>
        <w:t xml:space="preserve"> re</w:t>
      </w:r>
      <w:r>
        <w:br/>
      </w:r>
      <w:r>
        <w:rPr>
          <w:rStyle w:val="KeywordTok"/>
        </w:rPr>
        <w:t xml:space="preserve">Set</w:t>
      </w:r>
      <w:r>
        <w:rPr>
          <w:rStyle w:val="NormalTok"/>
        </w:rPr>
        <w:t xml:space="preserve"> re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"VBScript.RegExp"</w:t>
      </w:r>
      <w:r>
        <w:rPr>
          <w:rStyle w:val="OtherTok"/>
        </w:rPr>
        <w:t xml:space="preserve">)</w:t>
      </w:r>
      <w:r>
        <w:br/>
      </w:r>
      <w:r>
        <w:rPr>
          <w:rStyle w:val="NormalTok"/>
        </w:rPr>
        <w:t xml:space="preserve">re.Pattern = </w:t>
      </w:r>
      <w:r>
        <w:rPr>
          <w:rStyle w:val="StringTok"/>
        </w:rPr>
        <w:t xml:space="preserve">"\\b[A-Z]{2,}\\b"</w:t>
      </w:r>
      <w:r>
        <w:br/>
      </w:r>
      <w:r>
        <w:rPr>
          <w:rStyle w:val="NormalTok"/>
        </w:rPr>
        <w:t xml:space="preserve">re.Global = </w:t>
      </w:r>
      <w:r>
        <w:rPr>
          <w:rStyle w:val="KeywordTok"/>
        </w:rPr>
        <w:t xml:space="preserve">True</w:t>
      </w:r>
      <w:r>
        <w:br/>
      </w:r>
      <w:r>
        <w:br/>
      </w:r>
      <w:r>
        <w:rPr>
          <w:rStyle w:val="FunctionTok"/>
        </w:rPr>
        <w:t xml:space="preserve">Response</w:t>
      </w:r>
      <w:r>
        <w:rPr>
          <w:rStyle w:val="NormalTok"/>
        </w:rPr>
        <w:t xml:space="preserve">.</w:t>
      </w:r>
      <w:r>
        <w:rPr>
          <w:rStyle w:val="FunctionTok"/>
        </w:rPr>
        <w:t xml:space="preserve">Write</w:t>
      </w:r>
      <w:r>
        <w:rPr>
          <w:rStyle w:val="NormalTok"/>
        </w:rPr>
        <w:t xml:space="preserve"> re.Pattern</w:t>
      </w:r>
      <w:r>
        <w:br/>
      </w:r>
      <w:r>
        <w:rPr>
          <w:rStyle w:val="CommentTok"/>
        </w:rPr>
        <w:t xml:space="preserve">' Output: \b[A-Z]{2,}\b</w:t>
      </w:r>
      <w:r>
        <w:br/>
      </w:r>
      <w:r>
        <w:br/>
      </w:r>
      <w:r>
        <w:rPr>
          <w:rStyle w:val="KeywordTok"/>
        </w:rPr>
        <w:t xml:space="preserve">Set</w:t>
      </w:r>
      <w:r>
        <w:rPr>
          <w:rStyle w:val="NormalTok"/>
        </w:rPr>
        <w:t xml:space="preserve"> re = </w:t>
      </w:r>
      <w:r>
        <w:rPr>
          <w:rStyle w:val="KeywordTok"/>
        </w:rPr>
        <w:t xml:space="preserve">Nothing</w:t>
      </w:r>
      <w:r>
        <w:br/>
      </w:r>
      <w:r>
        <w:rPr>
          <w:rStyle w:val="DataTypeTok"/>
        </w:rPr>
        <w:t xml:space="preserve">%&gt;</w:t>
      </w:r>
    </w:p>
    <w:bookmarkEnd w:id="6356"/>
    <w:bookmarkStart w:id="6357" w:name="msxml2-family-objects"/>
    <w:p>
      <w:pPr>
        <w:pStyle w:val="Heading2"/>
      </w:pPr>
      <w:r>
        <w:t xml:space="preserve">MSXML2 Family Objects</w:t>
      </w:r>
    </w:p>
    <w:bookmarkEnd w:id="6357"/>
    <w:bookmarkEnd w:id="6358"/>
    <w:bookmarkStart w:id="6364" w:name="msxml2-library"/>
    <w:p>
      <w:pPr>
        <w:pStyle w:val="Heading1"/>
      </w:pPr>
      <w:r>
        <w:t xml:space="preserve">MSXML2 Library</w:t>
      </w:r>
    </w:p>
    <w:p>
      <w:pPr>
        <w:pStyle w:val="FirstParagraph"/>
      </w:pPr>
      <w:r>
        <w:t xml:space="preserve">The MSXML2 library provides HTTP client and XML Document Object Model (DOM) support for Classic ASP pages. It exposes five cooperating objects â€”</w:t>
      </w:r>
      <w:r>
        <w:t xml:space="preserve"> </w:t>
      </w:r>
      <w:r>
        <w:rPr>
          <w:b/>
          <w:bCs/>
        </w:rPr>
        <w:t xml:space="preserve">ServerXMLHTTP</w:t>
      </w:r>
      <w:r>
        <w:t xml:space="preserve">,</w:t>
      </w:r>
      <w:r>
        <w:t xml:space="preserve"> </w:t>
      </w:r>
      <w:r>
        <w:rPr>
          <w:b/>
          <w:bCs/>
        </w:rPr>
        <w:t xml:space="preserve">DOMDocument</w:t>
      </w:r>
      <w:r>
        <w:t xml:space="preserve">,</w:t>
      </w:r>
      <w:r>
        <w:t xml:space="preserve"> </w:t>
      </w:r>
      <w:r>
        <w:rPr>
          <w:b/>
          <w:bCs/>
        </w:rPr>
        <w:t xml:space="preserve">XMLNodeList</w:t>
      </w:r>
      <w:r>
        <w:t xml:space="preserve">,</w:t>
      </w:r>
      <w:r>
        <w:t xml:space="preserve"> </w:t>
      </w:r>
      <w:r>
        <w:rPr>
          <w:b/>
          <w:bCs/>
        </w:rPr>
        <w:t xml:space="preserve">XMLElement</w:t>
      </w:r>
      <w:r>
        <w:t xml:space="preserve">, and</w:t>
      </w:r>
      <w:r>
        <w:t xml:space="preserve"> </w:t>
      </w:r>
      <w:r>
        <w:rPr>
          <w:b/>
          <w:bCs/>
        </w:rPr>
        <w:t xml:space="preserve">ParseError</w:t>
      </w:r>
      <w:r>
        <w:t xml:space="preserve"> </w:t>
      </w:r>
      <w:r>
        <w:t xml:space="preserve">â€” that together allow pages to issue HTTP requests, parse XML, traverse document trees, and evaluate XPath expressions.</w:t>
      </w:r>
    </w:p>
    <w:bookmarkStart w:id="6359" w:name="supported-progids-3"/>
    <w:p>
      <w:pPr>
        <w:pStyle w:val="Heading2"/>
      </w:pPr>
      <w:r>
        <w:t xml:space="preserve">Supported ProgIDs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ProgID</w:t>
            </w:r>
          </w:p>
        </w:tc>
        <w:tc>
          <w:tcPr/>
          <w:p>
            <w:pPr>
              <w:pStyle w:val="Compact"/>
            </w:pPr>
            <w:r>
              <w:t xml:space="preserve">Object</w:t>
            </w:r>
          </w:p>
        </w:tc>
      </w:tr>
      <w:tr>
        <w:tc>
          <w:tcPr/>
          <w:p>
            <w:pPr>
              <w:pStyle w:val="Compact"/>
            </w:pPr>
            <w:r>
              <w:rPr>
                <w:rStyle w:val="VerbatimChar"/>
              </w:rPr>
              <w:t xml:space="preserve">MSXML2.ServerXMLHTTP</w:t>
            </w:r>
          </w:p>
        </w:tc>
        <w:tc>
          <w:tcPr/>
          <w:p>
            <w:pPr>
              <w:pStyle w:val="Compact"/>
            </w:pPr>
            <w:r>
              <w:t xml:space="preserve">HTTP client</w:t>
            </w:r>
          </w:p>
        </w:tc>
      </w:tr>
      <w:tr>
        <w:tc>
          <w:tcPr/>
          <w:p>
            <w:pPr>
              <w:pStyle w:val="Compact"/>
            </w:pPr>
            <w:r>
              <w:rPr>
                <w:rStyle w:val="VerbatimChar"/>
              </w:rPr>
              <w:t xml:space="preserve">MSXML2.DOMDocument</w:t>
            </w:r>
          </w:p>
        </w:tc>
        <w:tc>
          <w:tcPr/>
          <w:p>
            <w:pPr>
              <w:pStyle w:val="Compact"/>
            </w:pPr>
            <w:r>
              <w:t xml:space="preserve">XML document</w:t>
            </w:r>
          </w:p>
        </w:tc>
      </w:tr>
      <w:tr>
        <w:tc>
          <w:tcPr/>
          <w:p>
            <w:pPr>
              <w:pStyle w:val="Compact"/>
            </w:pPr>
            <w:r>
              <w:rPr>
                <w:rStyle w:val="VerbatimChar"/>
              </w:rPr>
              <w:t xml:space="preserve">MSXML2.DOMDocument.3.0</w:t>
            </w:r>
          </w:p>
        </w:tc>
        <w:tc>
          <w:tcPr/>
          <w:p>
            <w:pPr>
              <w:pStyle w:val="Compact"/>
            </w:pPr>
            <w:r>
              <w:t xml:space="preserve">XML document (versioned alias)</w:t>
            </w:r>
          </w:p>
        </w:tc>
      </w:tr>
      <w:tr>
        <w:tc>
          <w:tcPr/>
          <w:p>
            <w:pPr>
              <w:pStyle w:val="Compact"/>
            </w:pPr>
            <w:r>
              <w:rPr>
                <w:rStyle w:val="VerbatimChar"/>
              </w:rPr>
              <w:t xml:space="preserve">MSXML2.DOMDocument.6.0</w:t>
            </w:r>
          </w:p>
        </w:tc>
        <w:tc>
          <w:tcPr/>
          <w:p>
            <w:pPr>
              <w:pStyle w:val="Compact"/>
            </w:pPr>
            <w:r>
              <w:t xml:space="preserve">XML document (versioned alias)</w:t>
            </w:r>
          </w:p>
        </w:tc>
      </w:tr>
      <w:tr>
        <w:tc>
          <w:tcPr/>
          <w:p>
            <w:pPr>
              <w:pStyle w:val="Compact"/>
            </w:pPr>
            <w:r>
              <w:rPr>
                <w:rStyle w:val="VerbatimChar"/>
              </w:rPr>
              <w:t xml:space="preserve">Microsoft.XMLDOM</w:t>
            </w:r>
          </w:p>
        </w:tc>
        <w:tc>
          <w:tcPr/>
          <w:p>
            <w:pPr>
              <w:pStyle w:val="Compact"/>
            </w:pPr>
            <w:r>
              <w:t xml:space="preserve">XML document (legacy alias)</w:t>
            </w:r>
          </w:p>
        </w:tc>
      </w:tr>
    </w:tbl>
    <w:bookmarkEnd w:id="6359"/>
    <w:bookmarkStart w:id="6360" w:name="prerequisites-176"/>
    <w:p>
      <w:pPr>
        <w:pStyle w:val="Heading2"/>
      </w:pPr>
      <w:r>
        <w:t xml:space="preserve">Prerequisites</w:t>
      </w:r>
    </w:p>
    <w:p>
      <w:pPr>
        <w:pStyle w:val="FirstParagraph"/>
      </w:pPr>
      <w:r>
        <w:t xml:space="preserve">No additional installation is required. The library is built into AxonASP.</w:t>
      </w:r>
    </w:p>
    <w:bookmarkEnd w:id="6360"/>
    <w:bookmarkStart w:id="6361" w:name="object-model"/>
    <w:p>
      <w:pPr>
        <w:pStyle w:val="Heading2"/>
      </w:pPr>
      <w:r>
        <w:t xml:space="preserve">Object Model</w:t>
      </w:r>
    </w:p>
    <w:p>
      <w:pPr>
        <w:pStyle w:val="FirstParagraph"/>
      </w:pPr>
      <w:r>
        <w:rPr>
          <w:b/>
          <w:bCs/>
        </w:rPr>
        <w:t xml:space="preserve">ServerXMLHTTP</w:t>
      </w:r>
      <w:r>
        <w:t xml:space="preserve"> </w:t>
      </w:r>
      <w:r>
        <w:t xml:space="preserve">â€” Sends HTTP requests and exposes the response as text, XML, or raw bytes. Create with</w:t>
      </w:r>
      <w:r>
        <w:t xml:space="preserve"> </w:t>
      </w:r>
      <w:r>
        <w:rPr>
          <w:rStyle w:val="VerbatimChar"/>
        </w:rPr>
        <w:t xml:space="preserve">Server.CreateObject("MSXML2.ServerXMLHTTP")</w:t>
      </w:r>
      <w:r>
        <w:t xml:space="preserve">.</w:t>
      </w:r>
    </w:p>
    <w:p>
      <w:pPr>
        <w:pStyle w:val="BodyText"/>
      </w:pPr>
      <w:r>
        <w:rPr>
          <w:b/>
          <w:bCs/>
        </w:rPr>
        <w:t xml:space="preserve">DOMDocument</w:t>
      </w:r>
      <w:r>
        <w:t xml:space="preserve"> </w:t>
      </w:r>
      <w:r>
        <w:t xml:space="preserve">â€” Parses an XML string or URL into a traversable document tree. Supports XPath queries via</w:t>
      </w:r>
      <w:r>
        <w:t xml:space="preserve"> </w:t>
      </w:r>
      <w:r>
        <w:rPr>
          <w:rStyle w:val="VerbatimChar"/>
        </w:rPr>
        <w:t xml:space="preserve">SelectSingleNode</w:t>
      </w:r>
      <w:r>
        <w:t xml:space="preserve"> </w:t>
      </w:r>
      <w:r>
        <w:t xml:space="preserve">and</w:t>
      </w:r>
      <w:r>
        <w:t xml:space="preserve"> </w:t>
      </w:r>
      <w:r>
        <w:rPr>
          <w:rStyle w:val="VerbatimChar"/>
        </w:rPr>
        <w:t xml:space="preserve">SelectNodes</w:t>
      </w:r>
      <w:r>
        <w:t xml:space="preserve">. Create with one of the DOMDocument ProgIDs.</w:t>
      </w:r>
    </w:p>
    <w:p>
      <w:pPr>
        <w:pStyle w:val="BodyText"/>
      </w:pPr>
      <w:r>
        <w:rPr>
          <w:b/>
          <w:bCs/>
        </w:rPr>
        <w:t xml:space="preserve">XMLNodeList</w:t>
      </w:r>
      <w:r>
        <w:t xml:space="preserve"> </w:t>
      </w:r>
      <w:r>
        <w:t xml:space="preserve">â€” An indexed, iterable list of</w:t>
      </w:r>
      <w:r>
        <w:t xml:space="preserve"> </w:t>
      </w:r>
      <w:r>
        <w:rPr>
          <w:rStyle w:val="VerbatimChar"/>
        </w:rPr>
        <w:t xml:space="preserve">XMLElement</w:t>
      </w:r>
      <w:r>
        <w:t xml:space="preserve"> </w:t>
      </w:r>
      <w:r>
        <w:t xml:space="preserve">nodes returned by</w:t>
      </w:r>
      <w:r>
        <w:t xml:space="preserve"> </w:t>
      </w:r>
      <w:r>
        <w:rPr>
          <w:rStyle w:val="VerbatimChar"/>
        </w:rPr>
        <w:t xml:space="preserve">GetElementsByTagName</w:t>
      </w:r>
      <w:r>
        <w:t xml:space="preserve">,</w:t>
      </w:r>
      <w:r>
        <w:t xml:space="preserve"> </w:t>
      </w:r>
      <w:r>
        <w:rPr>
          <w:rStyle w:val="VerbatimChar"/>
        </w:rPr>
        <w:t xml:space="preserve">SelectNodes</w:t>
      </w:r>
      <w:r>
        <w:t xml:space="preserve">,</w:t>
      </w:r>
      <w:r>
        <w:t xml:space="preserve"> </w:t>
      </w:r>
      <w:r>
        <w:rPr>
          <w:rStyle w:val="VerbatimChar"/>
        </w:rPr>
        <w:t xml:space="preserve">ChildNodes</w:t>
      </w:r>
      <w:r>
        <w:t xml:space="preserve">, or</w:t>
      </w:r>
      <w:r>
        <w:t xml:space="preserve"> </w:t>
      </w:r>
      <w:r>
        <w:rPr>
          <w:rStyle w:val="VerbatimChar"/>
        </w:rPr>
        <w:t xml:space="preserve">Children</w:t>
      </w:r>
      <w:r>
        <w:t xml:space="preserve">.</w:t>
      </w:r>
    </w:p>
    <w:p>
      <w:pPr>
        <w:pStyle w:val="BodyText"/>
      </w:pPr>
      <w:r>
        <w:rPr>
          <w:b/>
          <w:bCs/>
        </w:rPr>
        <w:t xml:space="preserve">XMLElement</w:t>
      </w:r>
      <w:r>
        <w:t xml:space="preserve"> </w:t>
      </w:r>
      <w:r>
        <w:t xml:space="preserve">â€” A single node in the document tree. Exposes the node name, value, attributes, and child collection, and supports XPath traversal.</w:t>
      </w:r>
    </w:p>
    <w:p>
      <w:pPr>
        <w:pStyle w:val="BodyText"/>
      </w:pPr>
      <w:r>
        <w:rPr>
          <w:b/>
          <w:bCs/>
        </w:rPr>
        <w:t xml:space="preserve">ParseError</w:t>
      </w:r>
      <w:r>
        <w:t xml:space="preserve"> </w:t>
      </w:r>
      <w:r>
        <w:t xml:space="preserve">â€” Returned by</w:t>
      </w:r>
      <w:r>
        <w:t xml:space="preserve"> </w:t>
      </w:r>
      <w:r>
        <w:rPr>
          <w:rStyle w:val="VerbatimChar"/>
        </w:rPr>
        <w:t xml:space="preserve">DOMDocument.ParseError</w:t>
      </w:r>
      <w:r>
        <w:t xml:space="preserve">. Always present; check</w:t>
      </w:r>
      <w:r>
        <w:t xml:space="preserve"> </w:t>
      </w:r>
      <w:r>
        <w:rPr>
          <w:rStyle w:val="VerbatimChar"/>
        </w:rPr>
        <w:t xml:space="preserve">ErrorCode = 0</w:t>
      </w:r>
      <w:r>
        <w:t xml:space="preserve"> </w:t>
      </w:r>
      <w:r>
        <w:t xml:space="preserve">to confirm successful parsing.</w:t>
      </w:r>
    </w:p>
    <w:bookmarkEnd w:id="6361"/>
    <w:bookmarkStart w:id="6362" w:name="remarks-724"/>
    <w:p>
      <w:pPr>
        <w:pStyle w:val="Heading2"/>
      </w:pPr>
      <w:r>
        <w:t xml:space="preserve">Remarks</w:t>
      </w:r>
    </w:p>
    <w:p>
      <w:pPr>
        <w:pStyle w:val="Compact"/>
        <w:numPr>
          <w:ilvl w:val="0"/>
          <w:numId w:val="2548"/>
        </w:numPr>
      </w:pPr>
      <w:r>
        <w:t xml:space="preserve">All method and property names are case-insensitive.</w:t>
      </w:r>
    </w:p>
    <w:p>
      <w:pPr>
        <w:pStyle w:val="Compact"/>
        <w:numPr>
          <w:ilvl w:val="0"/>
          <w:numId w:val="2548"/>
        </w:numPr>
      </w:pPr>
      <w:r>
        <w:rPr>
          <w:rStyle w:val="VerbatimChar"/>
        </w:rPr>
        <w:t xml:space="preserve">DOMDocument.Async</w:t>
      </w:r>
      <w:r>
        <w:t xml:space="preserve"> </w:t>
      </w:r>
      <w:r>
        <w:t xml:space="preserve">is accepted for compatibility but synchronous behaviour is always used.</w:t>
      </w:r>
    </w:p>
    <w:p>
      <w:pPr>
        <w:pStyle w:val="Compact"/>
        <w:numPr>
          <w:ilvl w:val="0"/>
          <w:numId w:val="2548"/>
        </w:numPr>
      </w:pPr>
      <w:r>
        <w:t xml:space="preserve">XPath support covers child/descendant axes, attribute predicates, position predicates,</w:t>
      </w:r>
      <w:r>
        <w:t xml:space="preserve"> </w:t>
      </w:r>
      <w:r>
        <w:rPr>
          <w:rStyle w:val="VerbatimChar"/>
        </w:rPr>
        <w:t xml:space="preserve">contains()</w:t>
      </w:r>
      <w:r>
        <w:t xml:space="preserve">,</w:t>
      </w:r>
      <w:r>
        <w:t xml:space="preserve"> </w:t>
      </w:r>
      <w:r>
        <w:rPr>
          <w:rStyle w:val="VerbatimChar"/>
        </w:rPr>
        <w:t xml:space="preserve">starts-with()</w:t>
      </w:r>
      <w:r>
        <w:t xml:space="preserve">,</w:t>
      </w:r>
      <w:r>
        <w:t xml:space="preserve"> </w:t>
      </w:r>
      <w:r>
        <w:rPr>
          <w:rStyle w:val="VerbatimChar"/>
        </w:rPr>
        <w:t xml:space="preserve">not()</w:t>
      </w:r>
      <w:r>
        <w:t xml:space="preserve">,</w:t>
      </w:r>
      <w:r>
        <w:t xml:space="preserve"> </w:t>
      </w:r>
      <w:r>
        <w:rPr>
          <w:rStyle w:val="VerbatimChar"/>
        </w:rPr>
        <w:t xml:space="preserve">and</w:t>
      </w:r>
      <w:r>
        <w:t xml:space="preserve">,</w:t>
      </w:r>
      <w:r>
        <w:t xml:space="preserve"> </w:t>
      </w:r>
      <w:r>
        <w:rPr>
          <w:rStyle w:val="VerbatimChar"/>
        </w:rPr>
        <w:t xml:space="preserve">or</w:t>
      </w:r>
      <w:r>
        <w:t xml:space="preserve">, namespace prefixes via</w:t>
      </w:r>
      <w:r>
        <w:t xml:space="preserve"> </w:t>
      </w:r>
      <w:r>
        <w:rPr>
          <w:rStyle w:val="VerbatimChar"/>
        </w:rPr>
        <w:t xml:space="preserve">SelectionNamespaces</w:t>
      </w:r>
      <w:r>
        <w:t xml:space="preserve">, and the</w:t>
      </w:r>
      <w:r>
        <w:t xml:space="preserve"> </w:t>
      </w:r>
      <w:r>
        <w:rPr>
          <w:rStyle w:val="VerbatimChar"/>
        </w:rPr>
        <w:t xml:space="preserve">//</w:t>
      </w:r>
      <w:r>
        <w:t xml:space="preserve"> </w:t>
      </w:r>
      <w:r>
        <w:t xml:space="preserve">shorthand.</w:t>
      </w:r>
    </w:p>
    <w:bookmarkEnd w:id="6362"/>
    <w:bookmarkStart w:id="6363" w:name="code-examples"/>
    <w:p>
      <w:pPr>
        <w:pStyle w:val="Heading2"/>
      </w:pPr>
      <w:r>
        <w:t xml:space="preserve">Code Examples</w:t>
      </w:r>
    </w:p>
    <w:p>
      <w:pPr>
        <w:pStyle w:val="FirstParagraph"/>
      </w:pPr>
      <w:r>
        <w:rPr>
          <w:b/>
          <w:bCs/>
        </w:rPr>
        <w:t xml:space="preserve">Send an HTTP GET request and read the response: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"https://example.com/api/data"</w:t>
      </w:r>
      <w:r>
        <w:rPr>
          <w:rStyle w:val="OtherTok"/>
        </w:rPr>
        <w:t xml:space="preserve">,</w:t>
      </w:r>
      <w:r>
        <w:rPr>
          <w:rStyle w:val="NormalTok"/>
        </w:rPr>
        <w:t xml:space="preserve"> </w:t>
      </w:r>
      <w:r>
        <w:rPr>
          <w:rStyle w:val="KeywordTok"/>
        </w:rPr>
        <w:t xml:space="preserve">False</w:t>
      </w:r>
      <w:r>
        <w:br/>
      </w:r>
      <w:r>
        <w:rPr>
          <w:rStyle w:val="NormalTok"/>
        </w:rPr>
        <w:t xml:space="preserve">oHTTP.Send</w:t>
      </w:r>
      <w:r>
        <w:br/>
      </w:r>
      <w:r>
        <w:rPr>
          <w:rStyle w:val="ControlFlowTok"/>
        </w:rPr>
        <w:t xml:space="preserve">If</w:t>
      </w:r>
      <w:r>
        <w:rPr>
          <w:rStyle w:val="NormalTok"/>
        </w:rPr>
        <w:t xml:space="preserve"> oHTTP.Status = </w:t>
      </w:r>
      <w:r>
        <w:rPr>
          <w:rStyle w:val="DecValTok"/>
        </w:rPr>
        <w:t xml:space="preserve">200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oHTTP.ResponseText</w:t>
      </w:r>
      <w:r>
        <w:br/>
      </w:r>
      <w:r>
        <w:rPr>
          <w:rStyle w:val="ControlFlowTok"/>
        </w:rPr>
        <w:t xml:space="preserve">End If</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p>
      <w:pPr>
        <w:pStyle w:val="FirstParagraph"/>
      </w:pPr>
      <w:r>
        <w:rPr>
          <w:b/>
          <w:bCs/>
        </w:rPr>
        <w:t xml:space="preserve">Load and query an XML document:</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oXML.LoadXML</w:t>
      </w:r>
      <w:r>
        <w:rPr>
          <w:rStyle w:val="OtherTok"/>
        </w:rPr>
        <w:t xml:space="preserve">(</w:t>
      </w:r>
      <w:r>
        <w:rPr>
          <w:rStyle w:val="StringTok"/>
        </w:rPr>
        <w:t xml:space="preserve">"&lt;root&gt;&lt;item id='1'&gt;Alpha&lt;/item&gt;&lt;item id='2'&gt;Beta&lt;/item&gt;&lt;/root&gt;"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oNode = oXML.SelectSingleNode</w:t>
      </w:r>
      <w:r>
        <w:rPr>
          <w:rStyle w:val="OtherTok"/>
        </w:rPr>
        <w:t xml:space="preserve">(</w:t>
      </w:r>
      <w:r>
        <w:rPr>
          <w:rStyle w:val="StringTok"/>
        </w:rPr>
        <w:t xml:space="preserve">"//item[@id='2']"</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oNode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oNode.Text</w:t>
      </w:r>
      <w:r>
        <w:br/>
      </w:r>
      <w:r>
        <w:rPr>
          <w:rStyle w:val="NormalTok"/>
        </w:rPr>
        <w:t xml:space="preserve">    </w:t>
      </w:r>
      <w:r>
        <w:rPr>
          <w:rStyle w:val="ControlFlowTok"/>
        </w:rPr>
        <w:t xml:space="preserve">End If</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363"/>
    <w:bookmarkEnd w:id="6364"/>
    <w:bookmarkStart w:id="6375" w:name="msxml2-methods"/>
    <w:p>
      <w:pPr>
        <w:pStyle w:val="Heading1"/>
      </w:pPr>
      <w:r>
        <w:t xml:space="preserve">MSXML2 Methods</w:t>
      </w:r>
    </w:p>
    <w:bookmarkStart w:id="6365" w:name="serverxmlhttp-methods"/>
    <w:p>
      <w:pPr>
        <w:pStyle w:val="Heading2"/>
      </w:pPr>
      <w:r>
        <w:t xml:space="preserve">ServerXMLHTTP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Open(method, url [,async [,user [,password]]])</w:t>
            </w:r>
          </w:p>
        </w:tc>
        <w:tc>
          <w:tcPr/>
          <w:p>
            <w:pPr>
              <w:pStyle w:val="Compact"/>
            </w:pPr>
            <w:r>
              <w:t xml:space="preserve">Empty</w:t>
            </w:r>
          </w:p>
        </w:tc>
        <w:tc>
          <w:tcPr/>
          <w:p>
            <w:pPr>
              <w:pStyle w:val="Compact"/>
            </w:pPr>
            <w:r>
              <w:t xml:space="preserve">Configures the HTTP method, URL, and optional async flag and credentials.</w:t>
            </w:r>
          </w:p>
        </w:tc>
      </w:tr>
      <w:tr>
        <w:tc>
          <w:tcPr/>
          <w:p>
            <w:pPr>
              <w:pStyle w:val="Compact"/>
            </w:pPr>
            <w:r>
              <w:rPr>
                <w:rStyle w:val="VerbatimChar"/>
              </w:rPr>
              <w:t xml:space="preserve">SetRequestHeader(header, value)</w:t>
            </w:r>
          </w:p>
        </w:tc>
        <w:tc>
          <w:tcPr/>
          <w:p>
            <w:pPr>
              <w:pStyle w:val="Compact"/>
            </w:pPr>
            <w:r>
              <w:t xml:space="preserve">Empty</w:t>
            </w:r>
          </w:p>
        </w:tc>
        <w:tc>
          <w:tcPr/>
          <w:p>
            <w:pPr>
              <w:pStyle w:val="Compact"/>
            </w:pPr>
            <w:r>
              <w:t xml:space="preserve">Adds or replaces an outgoing request header.</w:t>
            </w:r>
          </w:p>
        </w:tc>
      </w:tr>
      <w:tr>
        <w:tc>
          <w:tcPr/>
          <w:p>
            <w:pPr>
              <w:pStyle w:val="Compact"/>
            </w:pPr>
            <w:r>
              <w:rPr>
                <w:rStyle w:val="VerbatimChar"/>
              </w:rPr>
              <w:t xml:space="preserve">Send([body])</w:t>
            </w:r>
          </w:p>
        </w:tc>
        <w:tc>
          <w:tcPr/>
          <w:p>
            <w:pPr>
              <w:pStyle w:val="Compact"/>
            </w:pPr>
            <w:r>
              <w:t xml:space="preserve">Empty</w:t>
            </w:r>
          </w:p>
        </w:tc>
        <w:tc>
          <w:tcPr/>
          <w:p>
            <w:pPr>
              <w:pStyle w:val="Compact"/>
            </w:pPr>
            <w:r>
              <w:t xml:space="preserve">Executes the configured HTTP request. Accepts an optional String or byte-array body.</w:t>
            </w:r>
          </w:p>
        </w:tc>
      </w:tr>
      <w:tr>
        <w:tc>
          <w:tcPr/>
          <w:p>
            <w:pPr>
              <w:pStyle w:val="Compact"/>
            </w:pPr>
            <w:r>
              <w:rPr>
                <w:rStyle w:val="VerbatimChar"/>
              </w:rPr>
              <w:t xml:space="preserve">Abort()</w:t>
            </w:r>
          </w:p>
        </w:tc>
        <w:tc>
          <w:tcPr/>
          <w:p>
            <w:pPr>
              <w:pStyle w:val="Compact"/>
            </w:pPr>
            <w:r>
              <w:t xml:space="preserve">Empty</w:t>
            </w:r>
          </w:p>
        </w:tc>
        <w:tc>
          <w:tcPr/>
          <w:p>
            <w:pPr>
              <w:pStyle w:val="Compact"/>
            </w:pPr>
            <w:r>
              <w:t xml:space="preserve">Cancels the current request without waiting for a response.</w:t>
            </w:r>
          </w:p>
        </w:tc>
      </w:tr>
      <w:tr>
        <w:tc>
          <w:tcPr/>
          <w:p>
            <w:pPr>
              <w:pStyle w:val="Compact"/>
            </w:pPr>
            <w:r>
              <w:rPr>
                <w:rStyle w:val="VerbatimChar"/>
              </w:rPr>
              <w:t xml:space="preserve">GetResponseHeader(header)</w:t>
            </w:r>
          </w:p>
        </w:tc>
        <w:tc>
          <w:tcPr/>
          <w:p>
            <w:pPr>
              <w:pStyle w:val="Compact"/>
            </w:pPr>
            <w:r>
              <w:t xml:space="preserve">String</w:t>
            </w:r>
          </w:p>
        </w:tc>
        <w:tc>
          <w:tcPr/>
          <w:p>
            <w:pPr>
              <w:pStyle w:val="Compact"/>
            </w:pPr>
            <w:r>
              <w:t xml:space="preserve">Returns the value of a single response header (case-insensitive lookup).</w:t>
            </w:r>
          </w:p>
        </w:tc>
      </w:tr>
      <w:tr>
        <w:tc>
          <w:tcPr/>
          <w:p>
            <w:pPr>
              <w:pStyle w:val="Compact"/>
            </w:pPr>
            <w:r>
              <w:rPr>
                <w:rStyle w:val="VerbatimChar"/>
              </w:rPr>
              <w:t xml:space="preserve">GetAllResponseHeaders()</w:t>
            </w:r>
          </w:p>
        </w:tc>
        <w:tc>
          <w:tcPr/>
          <w:p>
            <w:pPr>
              <w:pStyle w:val="Compact"/>
            </w:pPr>
            <w:r>
              <w:t xml:space="preserve">String</w:t>
            </w:r>
          </w:p>
        </w:tc>
        <w:tc>
          <w:tcPr/>
          <w:p>
            <w:pPr>
              <w:pStyle w:val="Compact"/>
            </w:pPr>
            <w:r>
              <w:t xml:space="preserve">Returns all response headers as a CRLF-delimited</w:t>
            </w:r>
            <w:r>
              <w:t xml:space="preserve"> </w:t>
            </w:r>
            <w:r>
              <w:rPr>
                <w:rStyle w:val="VerbatimChar"/>
              </w:rPr>
              <w:t xml:space="preserve">Header: Value</w:t>
            </w:r>
            <w:r>
              <w:t xml:space="preserve"> </w:t>
            </w:r>
            <w:r>
              <w:t xml:space="preserve">string.</w:t>
            </w:r>
          </w:p>
        </w:tc>
      </w:tr>
    </w:tbl>
    <w:bookmarkEnd w:id="6365"/>
    <w:bookmarkStart w:id="6366" w:name="domdocument-methods"/>
    <w:p>
      <w:pPr>
        <w:pStyle w:val="Heading2"/>
      </w:pPr>
      <w:r>
        <w:t xml:space="preserve">DOMDocument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LoadXML(xmlString)</w:t>
            </w:r>
          </w:p>
        </w:tc>
        <w:tc>
          <w:tcPr/>
          <w:p>
            <w:pPr>
              <w:pStyle w:val="Compact"/>
            </w:pPr>
            <w:r>
              <w:t xml:space="preserve">Boolean</w:t>
            </w:r>
          </w:p>
        </w:tc>
        <w:tc>
          <w:tcPr/>
          <w:p>
            <w:pPr>
              <w:pStyle w:val="Compact"/>
            </w:pPr>
            <w:r>
              <w:t xml:space="preserve">Parses an XML string into the document. Returns True on success.</w:t>
            </w:r>
          </w:p>
        </w:tc>
      </w:tr>
      <w:tr>
        <w:tc>
          <w:tcPr/>
          <w:p>
            <w:pPr>
              <w:pStyle w:val="Compact"/>
            </w:pPr>
            <w:r>
              <w:rPr>
                <w:rStyle w:val="VerbatimChar"/>
              </w:rPr>
              <w:t xml:space="preserve">Load(url)</w:t>
            </w:r>
          </w:p>
        </w:tc>
        <w:tc>
          <w:tcPr/>
          <w:p>
            <w:pPr>
              <w:pStyle w:val="Compact"/>
            </w:pPr>
            <w:r>
              <w:t xml:space="preserve">Boolean</w:t>
            </w:r>
          </w:p>
        </w:tc>
        <w:tc>
          <w:tcPr/>
          <w:p>
            <w:pPr>
              <w:pStyle w:val="Compact"/>
            </w:pPr>
            <w:r>
              <w:t xml:space="preserve">Loads XML from a file path or HTTP/HTTPS URL. Returns True on success.</w:t>
            </w:r>
          </w:p>
        </w:tc>
      </w:tr>
      <w:tr>
        <w:tc>
          <w:tcPr/>
          <w:p>
            <w:pPr>
              <w:pStyle w:val="Compact"/>
            </w:pPr>
            <w:r>
              <w:rPr>
                <w:rStyle w:val="VerbatimChar"/>
              </w:rPr>
              <w:t xml:space="preserve">Save(filename)</w:t>
            </w:r>
          </w:p>
        </w:tc>
        <w:tc>
          <w:tcPr/>
          <w:p>
            <w:pPr>
              <w:pStyle w:val="Compact"/>
            </w:pPr>
            <w:r>
              <w:t xml:space="preserve">Boolean</w:t>
            </w:r>
          </w:p>
        </w:tc>
        <w:tc>
          <w:tcPr/>
          <w:p>
            <w:pPr>
              <w:pStyle w:val="Compact"/>
            </w:pPr>
            <w:r>
              <w:t xml:space="preserve">Serializes the document and writes it to a file. Returns True on success.</w:t>
            </w:r>
          </w:p>
        </w:tc>
      </w:tr>
      <w:tr>
        <w:tc>
          <w:tcPr/>
          <w:p>
            <w:pPr>
              <w:pStyle w:val="Compact"/>
            </w:pPr>
            <w:r>
              <w:rPr>
                <w:rStyle w:val="VerbatimChar"/>
              </w:rPr>
              <w:t xml:space="preserve">GetElementsByTagName(tagName)</w:t>
            </w:r>
          </w:p>
        </w:tc>
        <w:tc>
          <w:tcPr/>
          <w:p>
            <w:pPr>
              <w:pStyle w:val="Compact"/>
            </w:pPr>
            <w:r>
              <w:t xml:space="preserve">XMLNodeList</w:t>
            </w:r>
          </w:p>
        </w:tc>
        <w:tc>
          <w:tcPr/>
          <w:p>
            <w:pPr>
              <w:pStyle w:val="Compact"/>
            </w:pPr>
            <w:r>
              <w:t xml:space="preserve">Returns all descendant elements matching the tag name (case-insensitive).</w:t>
            </w:r>
          </w:p>
        </w:tc>
      </w:tr>
      <w:tr>
        <w:tc>
          <w:tcPr/>
          <w:p>
            <w:pPr>
              <w:pStyle w:val="Compact"/>
            </w:pPr>
            <w:r>
              <w:rPr>
                <w:rStyle w:val="VerbatimChar"/>
              </w:rPr>
              <w:t xml:space="preserve">CreateElement(tagName)</w:t>
            </w:r>
          </w:p>
        </w:tc>
        <w:tc>
          <w:tcPr/>
          <w:p>
            <w:pPr>
              <w:pStyle w:val="Compact"/>
            </w:pPr>
            <w:r>
              <w:t xml:space="preserve">XMLElement</w:t>
            </w:r>
          </w:p>
        </w:tc>
        <w:tc>
          <w:tcPr/>
          <w:p>
            <w:pPr>
              <w:pStyle w:val="Compact"/>
            </w:pPr>
            <w:r>
              <w:t xml:space="preserve">Creates a new, unattached element node.</w:t>
            </w:r>
          </w:p>
        </w:tc>
      </w:tr>
      <w:tr>
        <w:tc>
          <w:tcPr/>
          <w:p>
            <w:pPr>
              <w:pStyle w:val="Compact"/>
            </w:pPr>
            <w:r>
              <w:rPr>
                <w:rStyle w:val="VerbatimChar"/>
              </w:rPr>
              <w:t xml:space="preserve">CreateTextNode(text)</w:t>
            </w:r>
          </w:p>
        </w:tc>
        <w:tc>
          <w:tcPr/>
          <w:p>
            <w:pPr>
              <w:pStyle w:val="Compact"/>
            </w:pPr>
            <w:r>
              <w:t xml:space="preserve">XMLElement</w:t>
            </w:r>
          </w:p>
        </w:tc>
        <w:tc>
          <w:tcPr/>
          <w:p>
            <w:pPr>
              <w:pStyle w:val="Compact"/>
            </w:pPr>
            <w:r>
              <w:t xml:space="preserve">Creates a new text node with the supplied string value.</w:t>
            </w:r>
          </w:p>
        </w:tc>
      </w:tr>
      <w:tr>
        <w:tc>
          <w:tcPr/>
          <w:p>
            <w:pPr>
              <w:pStyle w:val="Compact"/>
            </w:pPr>
            <w:r>
              <w:rPr>
                <w:rStyle w:val="VerbatimChar"/>
              </w:rPr>
              <w:t xml:space="preserve">CreateAttribute(name)</w:t>
            </w:r>
          </w:p>
        </w:tc>
        <w:tc>
          <w:tcPr/>
          <w:p>
            <w:pPr>
              <w:pStyle w:val="Compact"/>
            </w:pPr>
            <w:r>
              <w:t xml:space="preserve">XMLElement</w:t>
            </w:r>
          </w:p>
        </w:tc>
        <w:tc>
          <w:tcPr/>
          <w:p>
            <w:pPr>
              <w:pStyle w:val="Compact"/>
            </w:pPr>
            <w:r>
              <w:t xml:space="preserve">Creates a new, unattached attribute node.</w:t>
            </w:r>
          </w:p>
        </w:tc>
      </w:tr>
      <w:tr>
        <w:tc>
          <w:tcPr/>
          <w:p>
            <w:pPr>
              <w:pStyle w:val="Compact"/>
            </w:pPr>
            <w:r>
              <w:rPr>
                <w:rStyle w:val="VerbatimChar"/>
              </w:rPr>
              <w:t xml:space="preserve">AppendChild(child)</w:t>
            </w:r>
          </w:p>
        </w:tc>
        <w:tc>
          <w:tcPr/>
          <w:p>
            <w:pPr>
              <w:pStyle w:val="Compact"/>
            </w:pPr>
            <w:r>
              <w:t xml:space="preserve">XMLElement</w:t>
            </w:r>
          </w:p>
        </w:tc>
        <w:tc>
          <w:tcPr/>
          <w:p>
            <w:pPr>
              <w:pStyle w:val="Compact"/>
            </w:pPr>
            <w:r>
              <w:t xml:space="preserve">Attaches a child element to the document root and returns it.</w:t>
            </w:r>
          </w:p>
        </w:tc>
      </w:tr>
      <w:tr>
        <w:tc>
          <w:tcPr/>
          <w:p>
            <w:pPr>
              <w:pStyle w:val="Compact"/>
            </w:pPr>
            <w:r>
              <w:rPr>
                <w:rStyle w:val="VerbatimChar"/>
              </w:rPr>
              <w:t xml:space="preserve">SelectSingleNode(xpath)</w:t>
            </w:r>
          </w:p>
        </w:tc>
        <w:tc>
          <w:tcPr/>
          <w:p>
            <w:pPr>
              <w:pStyle w:val="Compact"/>
            </w:pPr>
            <w:r>
              <w:t xml:space="preserve">XMLElement</w:t>
            </w:r>
          </w:p>
        </w:tc>
        <w:tc>
          <w:tcPr/>
          <w:p>
            <w:pPr>
              <w:pStyle w:val="Compact"/>
            </w:pPr>
            <w:r>
              <w:t xml:space="preserve">Returns the first node matching the XPath expression, or Null.</w:t>
            </w:r>
          </w:p>
        </w:tc>
      </w:tr>
      <w:tr>
        <w:tc>
          <w:tcPr/>
          <w:p>
            <w:pPr>
              <w:pStyle w:val="Compact"/>
            </w:pPr>
            <w:r>
              <w:rPr>
                <w:rStyle w:val="VerbatimChar"/>
              </w:rPr>
              <w:t xml:space="preserve">SelectNodes(xpath)</w:t>
            </w:r>
          </w:p>
        </w:tc>
        <w:tc>
          <w:tcPr/>
          <w:p>
            <w:pPr>
              <w:pStyle w:val="Compact"/>
            </w:pPr>
            <w:r>
              <w:t xml:space="preserve">XMLNodeList</w:t>
            </w:r>
          </w:p>
        </w:tc>
        <w:tc>
          <w:tcPr/>
          <w:p>
            <w:pPr>
              <w:pStyle w:val="Compact"/>
            </w:pPr>
            <w:r>
              <w:t xml:space="preserve">Returns all nodes matching the XPath expression.</w:t>
            </w:r>
          </w:p>
        </w:tc>
      </w:tr>
      <w:tr>
        <w:tc>
          <w:tcPr/>
          <w:p>
            <w:pPr>
              <w:pStyle w:val="Compact"/>
            </w:pPr>
            <w:r>
              <w:rPr>
                <w:rStyle w:val="VerbatimChar"/>
              </w:rPr>
              <w:t xml:space="preserve">GetProperty(name)</w:t>
            </w:r>
          </w:p>
        </w:tc>
        <w:tc>
          <w:tcPr/>
          <w:p>
            <w:pPr>
              <w:pStyle w:val="Compact"/>
            </w:pPr>
            <w:r>
              <w:t xml:space="preserve">Variant</w:t>
            </w:r>
          </w:p>
        </w:tc>
        <w:tc>
          <w:tcPr/>
          <w:p>
            <w:pPr>
              <w:pStyle w:val="Compact"/>
            </w:pPr>
            <w:r>
              <w:t xml:space="preserve">Returns the value of a named document property.</w:t>
            </w:r>
          </w:p>
        </w:tc>
      </w:tr>
      <w:tr>
        <w:tc>
          <w:tcPr/>
          <w:p>
            <w:pPr>
              <w:pStyle w:val="Compact"/>
            </w:pPr>
            <w:r>
              <w:rPr>
                <w:rStyle w:val="VerbatimChar"/>
              </w:rPr>
              <w:t xml:space="preserve">SetProperty(name, value)</w:t>
            </w:r>
          </w:p>
        </w:tc>
        <w:tc>
          <w:tcPr/>
          <w:p>
            <w:pPr>
              <w:pStyle w:val="Compact"/>
            </w:pPr>
            <w:r>
              <w:t xml:space="preserve">Empty</w:t>
            </w:r>
          </w:p>
        </w:tc>
        <w:tc>
          <w:tcPr/>
          <w:p>
            <w:pPr>
              <w:pStyle w:val="Compact"/>
            </w:pPr>
            <w:r>
              <w:t xml:space="preserve">Sets a named document property (e.g.,</w:t>
            </w:r>
            <w:r>
              <w:t xml:space="preserve"> </w:t>
            </w:r>
            <w:r>
              <w:rPr>
                <w:rStyle w:val="VerbatimChar"/>
              </w:rPr>
              <w:t xml:space="preserve">SelectionNamespaces</w:t>
            </w:r>
            <w:r>
              <w:t xml:space="preserve">).</w:t>
            </w:r>
          </w:p>
        </w:tc>
      </w:tr>
    </w:tbl>
    <w:bookmarkEnd w:id="6366"/>
    <w:bookmarkStart w:id="6367" w:name="xmlnodelist-methods"/>
    <w:p>
      <w:pPr>
        <w:pStyle w:val="Heading2"/>
      </w:pPr>
      <w:r>
        <w:t xml:space="preserve">XMLNodeList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Item(index)</w:t>
            </w:r>
          </w:p>
        </w:tc>
        <w:tc>
          <w:tcPr/>
          <w:p>
            <w:pPr>
              <w:pStyle w:val="Compact"/>
            </w:pPr>
            <w:r>
              <w:t xml:space="preserve">XMLElement</w:t>
            </w:r>
          </w:p>
        </w:tc>
        <w:tc>
          <w:tcPr/>
          <w:p>
            <w:pPr>
              <w:pStyle w:val="Compact"/>
            </w:pPr>
            <w:r>
              <w:t xml:space="preserve">Returns the node at the given zero-based index, or Null if out of range.</w:t>
            </w:r>
          </w:p>
        </w:tc>
      </w:tr>
      <w:tr>
        <w:tc>
          <w:tcPr/>
          <w:p>
            <w:pPr>
              <w:pStyle w:val="Compact"/>
            </w:pPr>
            <w:r>
              <w:rPr>
                <w:rStyle w:val="VerbatimChar"/>
              </w:rPr>
              <w:t xml:space="preserve">NextNode()</w:t>
            </w:r>
          </w:p>
        </w:tc>
        <w:tc>
          <w:tcPr/>
          <w:p>
            <w:pPr>
              <w:pStyle w:val="Compact"/>
            </w:pPr>
            <w:r>
              <w:t xml:space="preserve">XMLElement</w:t>
            </w:r>
          </w:p>
        </w:tc>
        <w:tc>
          <w:tcPr/>
          <w:p>
            <w:pPr>
              <w:pStyle w:val="Compact"/>
            </w:pPr>
            <w:r>
              <w:t xml:space="preserve">Returns the next node in a forward-only iteration, or Null when exhausted.</w:t>
            </w:r>
          </w:p>
        </w:tc>
      </w:tr>
    </w:tbl>
    <w:bookmarkEnd w:id="6367"/>
    <w:bookmarkStart w:id="6368" w:name="xmlelement-methods"/>
    <w:p>
      <w:pPr>
        <w:pStyle w:val="Heading2"/>
      </w:pPr>
      <w:r>
        <w:t xml:space="preserve">XMLElement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AppendChild(child)</w:t>
            </w:r>
          </w:p>
        </w:tc>
        <w:tc>
          <w:tcPr/>
          <w:p>
            <w:pPr>
              <w:pStyle w:val="Compact"/>
            </w:pPr>
            <w:r>
              <w:t xml:space="preserve">XMLElement</w:t>
            </w:r>
          </w:p>
        </w:tc>
        <w:tc>
          <w:tcPr/>
          <w:p>
            <w:pPr>
              <w:pStyle w:val="Compact"/>
            </w:pPr>
            <w:r>
              <w:t xml:space="preserve">Appends a child node to this element and returns the child.</w:t>
            </w:r>
          </w:p>
        </w:tc>
      </w:tr>
      <w:tr>
        <w:tc>
          <w:tcPr/>
          <w:p>
            <w:pPr>
              <w:pStyle w:val="Compact"/>
            </w:pPr>
            <w:r>
              <w:rPr>
                <w:rStyle w:val="VerbatimChar"/>
              </w:rPr>
              <w:t xml:space="preserve">GetElementsByTagName(tagName)</w:t>
            </w:r>
          </w:p>
        </w:tc>
        <w:tc>
          <w:tcPr/>
          <w:p>
            <w:pPr>
              <w:pStyle w:val="Compact"/>
            </w:pPr>
            <w:r>
              <w:t xml:space="preserve">XMLNodeList</w:t>
            </w:r>
          </w:p>
        </w:tc>
        <w:tc>
          <w:tcPr/>
          <w:p>
            <w:pPr>
              <w:pStyle w:val="Compact"/>
            </w:pPr>
            <w:r>
              <w:t xml:space="preserve">Returns all descendant elements matching the tag name.</w:t>
            </w:r>
          </w:p>
        </w:tc>
      </w:tr>
      <w:tr>
        <w:tc>
          <w:tcPr/>
          <w:p>
            <w:pPr>
              <w:pStyle w:val="Compact"/>
            </w:pPr>
            <w:r>
              <w:rPr>
                <w:rStyle w:val="VerbatimChar"/>
              </w:rPr>
              <w:t xml:space="preserve">Item(index)</w:t>
            </w:r>
          </w:p>
        </w:tc>
        <w:tc>
          <w:tcPr/>
          <w:p>
            <w:pPr>
              <w:pStyle w:val="Compact"/>
            </w:pPr>
            <w:r>
              <w:t xml:space="preserve">XMLElement</w:t>
            </w:r>
          </w:p>
        </w:tc>
        <w:tc>
          <w:tcPr/>
          <w:p>
            <w:pPr>
              <w:pStyle w:val="Compact"/>
            </w:pPr>
            <w:r>
              <w:t xml:space="preserve">Returns the direct child at the given zero-based index.</w:t>
            </w:r>
          </w:p>
        </w:tc>
      </w:tr>
      <w:tr>
        <w:tc>
          <w:tcPr/>
          <w:p>
            <w:pPr>
              <w:pStyle w:val="Compact"/>
            </w:pPr>
            <w:r>
              <w:rPr>
                <w:rStyle w:val="VerbatimChar"/>
              </w:rPr>
              <w:t xml:space="preserve">SetAttribute(name, value)</w:t>
            </w:r>
          </w:p>
        </w:tc>
        <w:tc>
          <w:tcPr/>
          <w:p>
            <w:pPr>
              <w:pStyle w:val="Compact"/>
            </w:pPr>
            <w:r>
              <w:t xml:space="preserve">Empty</w:t>
            </w:r>
          </w:p>
        </w:tc>
        <w:tc>
          <w:tcPr/>
          <w:p>
            <w:pPr>
              <w:pStyle w:val="Compact"/>
            </w:pPr>
            <w:r>
              <w:t xml:space="preserve">Creates or replaces an attribute on this element.</w:t>
            </w:r>
          </w:p>
        </w:tc>
      </w:tr>
      <w:tr>
        <w:tc>
          <w:tcPr/>
          <w:p>
            <w:pPr>
              <w:pStyle w:val="Compact"/>
            </w:pPr>
            <w:r>
              <w:rPr>
                <w:rStyle w:val="VerbatimChar"/>
              </w:rPr>
              <w:t xml:space="preserve">GetAttribute(name)</w:t>
            </w:r>
          </w:p>
        </w:tc>
        <w:tc>
          <w:tcPr/>
          <w:p>
            <w:pPr>
              <w:pStyle w:val="Compact"/>
            </w:pPr>
            <w:r>
              <w:t xml:space="preserve">String</w:t>
            </w:r>
          </w:p>
        </w:tc>
        <w:tc>
          <w:tcPr/>
          <w:p>
            <w:pPr>
              <w:pStyle w:val="Compact"/>
            </w:pPr>
            <w:r>
              <w:t xml:space="preserve">Returns the value of the named attribute, or an empty String if not found.</w:t>
            </w:r>
          </w:p>
        </w:tc>
      </w:tr>
      <w:tr>
        <w:tc>
          <w:tcPr/>
          <w:p>
            <w:pPr>
              <w:pStyle w:val="Compact"/>
            </w:pPr>
            <w:r>
              <w:rPr>
                <w:rStyle w:val="VerbatimChar"/>
              </w:rPr>
              <w:t xml:space="preserve">RemoveAttribute(name)</w:t>
            </w:r>
          </w:p>
        </w:tc>
        <w:tc>
          <w:tcPr/>
          <w:p>
            <w:pPr>
              <w:pStyle w:val="Compact"/>
            </w:pPr>
            <w:r>
              <w:t xml:space="preserve">Empty</w:t>
            </w:r>
          </w:p>
        </w:tc>
        <w:tc>
          <w:tcPr/>
          <w:p>
            <w:pPr>
              <w:pStyle w:val="Compact"/>
            </w:pPr>
            <w:r>
              <w:t xml:space="preserve">Removes the named attribute from this element.</w:t>
            </w:r>
          </w:p>
        </w:tc>
      </w:tr>
      <w:tr>
        <w:tc>
          <w:tcPr/>
          <w:p>
            <w:pPr>
              <w:pStyle w:val="Compact"/>
            </w:pPr>
            <w:r>
              <w:rPr>
                <w:rStyle w:val="VerbatimChar"/>
              </w:rPr>
              <w:t xml:space="preserve">SelectSingleNode(xpath)</w:t>
            </w:r>
          </w:p>
        </w:tc>
        <w:tc>
          <w:tcPr/>
          <w:p>
            <w:pPr>
              <w:pStyle w:val="Compact"/>
            </w:pPr>
            <w:r>
              <w:t xml:space="preserve">XMLElement</w:t>
            </w:r>
          </w:p>
        </w:tc>
        <w:tc>
          <w:tcPr/>
          <w:p>
            <w:pPr>
              <w:pStyle w:val="Compact"/>
            </w:pPr>
            <w:r>
              <w:t xml:space="preserve">Returns the first node matching the XPath expression relative to this element, or Null.</w:t>
            </w:r>
          </w:p>
        </w:tc>
      </w:tr>
      <w:tr>
        <w:tc>
          <w:tcPr/>
          <w:p>
            <w:pPr>
              <w:pStyle w:val="Compact"/>
            </w:pPr>
            <w:r>
              <w:rPr>
                <w:rStyle w:val="VerbatimChar"/>
              </w:rPr>
              <w:t xml:space="preserve">SelectNodes(xpath)</w:t>
            </w:r>
          </w:p>
        </w:tc>
        <w:tc>
          <w:tcPr/>
          <w:p>
            <w:pPr>
              <w:pStyle w:val="Compact"/>
            </w:pPr>
            <w:r>
              <w:t xml:space="preserve">XMLNodeList</w:t>
            </w:r>
          </w:p>
        </w:tc>
        <w:tc>
          <w:tcPr/>
          <w:p>
            <w:pPr>
              <w:pStyle w:val="Compact"/>
            </w:pPr>
            <w:r>
              <w:t xml:space="preserve">Returns all nodes matching the XPath expression relative to this element.</w:t>
            </w:r>
          </w:p>
        </w:tc>
      </w:tr>
    </w:tbl>
    <w:bookmarkEnd w:id="6368"/>
    <w:bookmarkStart w:id="6373" w:name="method-list-by-object"/>
    <w:p>
      <w:pPr>
        <w:pStyle w:val="Heading2"/>
      </w:pPr>
      <w:r>
        <w:t xml:space="preserve">Method List by Object</w:t>
      </w:r>
    </w:p>
    <w:bookmarkStart w:id="6369" w:name="serverxmlhttp"/>
    <w:p>
      <w:pPr>
        <w:pStyle w:val="Heading3"/>
      </w:pPr>
      <w:r>
        <w:t xml:space="preserve">ServerXMLHTTP</w:t>
      </w:r>
    </w:p>
    <w:p>
      <w:pPr>
        <w:pStyle w:val="Compact"/>
        <w:numPr>
          <w:ilvl w:val="0"/>
          <w:numId w:val="2549"/>
        </w:numPr>
      </w:pPr>
      <w:r>
        <w:t xml:space="preserve">Open</w:t>
      </w:r>
    </w:p>
    <w:p>
      <w:pPr>
        <w:pStyle w:val="Compact"/>
        <w:numPr>
          <w:ilvl w:val="0"/>
          <w:numId w:val="2549"/>
        </w:numPr>
      </w:pPr>
      <w:r>
        <w:t xml:space="preserve">SetRequestHeader</w:t>
      </w:r>
    </w:p>
    <w:p>
      <w:pPr>
        <w:pStyle w:val="Compact"/>
        <w:numPr>
          <w:ilvl w:val="0"/>
          <w:numId w:val="2549"/>
        </w:numPr>
      </w:pPr>
      <w:r>
        <w:t xml:space="preserve">Send</w:t>
      </w:r>
    </w:p>
    <w:p>
      <w:pPr>
        <w:pStyle w:val="Compact"/>
        <w:numPr>
          <w:ilvl w:val="0"/>
          <w:numId w:val="2549"/>
        </w:numPr>
      </w:pPr>
      <w:r>
        <w:t xml:space="preserve">Abort</w:t>
      </w:r>
    </w:p>
    <w:p>
      <w:pPr>
        <w:pStyle w:val="Compact"/>
        <w:numPr>
          <w:ilvl w:val="0"/>
          <w:numId w:val="2549"/>
        </w:numPr>
      </w:pPr>
      <w:r>
        <w:t xml:space="preserve">GetResponseHeader</w:t>
      </w:r>
    </w:p>
    <w:p>
      <w:pPr>
        <w:pStyle w:val="Compact"/>
        <w:numPr>
          <w:ilvl w:val="0"/>
          <w:numId w:val="2549"/>
        </w:numPr>
      </w:pPr>
      <w:r>
        <w:t xml:space="preserve">GetAllResponseHeaders</w:t>
      </w:r>
    </w:p>
    <w:bookmarkEnd w:id="6369"/>
    <w:bookmarkStart w:id="6370" w:name="domdocument"/>
    <w:p>
      <w:pPr>
        <w:pStyle w:val="Heading3"/>
      </w:pPr>
      <w:r>
        <w:t xml:space="preserve">DOMDocument</w:t>
      </w:r>
    </w:p>
    <w:p>
      <w:pPr>
        <w:pStyle w:val="Compact"/>
        <w:numPr>
          <w:ilvl w:val="0"/>
          <w:numId w:val="2550"/>
        </w:numPr>
      </w:pPr>
      <w:r>
        <w:t xml:space="preserve">GetProperty</w:t>
      </w:r>
    </w:p>
    <w:p>
      <w:pPr>
        <w:pStyle w:val="Compact"/>
        <w:numPr>
          <w:ilvl w:val="0"/>
          <w:numId w:val="2550"/>
        </w:numPr>
      </w:pPr>
      <w:r>
        <w:t xml:space="preserve">SetProperty</w:t>
      </w:r>
    </w:p>
    <w:p>
      <w:pPr>
        <w:pStyle w:val="Compact"/>
        <w:numPr>
          <w:ilvl w:val="0"/>
          <w:numId w:val="2550"/>
        </w:numPr>
      </w:pPr>
      <w:r>
        <w:t xml:space="preserve">LoadXML</w:t>
      </w:r>
    </w:p>
    <w:p>
      <w:pPr>
        <w:pStyle w:val="Compact"/>
        <w:numPr>
          <w:ilvl w:val="0"/>
          <w:numId w:val="2550"/>
        </w:numPr>
      </w:pPr>
      <w:r>
        <w:t xml:space="preserve">Load</w:t>
      </w:r>
    </w:p>
    <w:p>
      <w:pPr>
        <w:pStyle w:val="Compact"/>
        <w:numPr>
          <w:ilvl w:val="0"/>
          <w:numId w:val="2550"/>
        </w:numPr>
      </w:pPr>
      <w:r>
        <w:t xml:space="preserve">Save</w:t>
      </w:r>
    </w:p>
    <w:p>
      <w:pPr>
        <w:pStyle w:val="Compact"/>
        <w:numPr>
          <w:ilvl w:val="0"/>
          <w:numId w:val="2550"/>
        </w:numPr>
      </w:pPr>
      <w:r>
        <w:t xml:space="preserve">GetElementsByTagName</w:t>
      </w:r>
    </w:p>
    <w:p>
      <w:pPr>
        <w:pStyle w:val="Compact"/>
        <w:numPr>
          <w:ilvl w:val="0"/>
          <w:numId w:val="2550"/>
        </w:numPr>
      </w:pPr>
      <w:r>
        <w:t xml:space="preserve">CreateElement</w:t>
      </w:r>
    </w:p>
    <w:p>
      <w:pPr>
        <w:pStyle w:val="Compact"/>
        <w:numPr>
          <w:ilvl w:val="0"/>
          <w:numId w:val="2550"/>
        </w:numPr>
      </w:pPr>
      <w:r>
        <w:t xml:space="preserve">CreateTextNode</w:t>
      </w:r>
    </w:p>
    <w:p>
      <w:pPr>
        <w:pStyle w:val="Compact"/>
        <w:numPr>
          <w:ilvl w:val="0"/>
          <w:numId w:val="2550"/>
        </w:numPr>
      </w:pPr>
      <w:r>
        <w:t xml:space="preserve">CreateAttribute</w:t>
      </w:r>
    </w:p>
    <w:p>
      <w:pPr>
        <w:pStyle w:val="Compact"/>
        <w:numPr>
          <w:ilvl w:val="0"/>
          <w:numId w:val="2550"/>
        </w:numPr>
      </w:pPr>
      <w:r>
        <w:t xml:space="preserve">AppendChild</w:t>
      </w:r>
    </w:p>
    <w:p>
      <w:pPr>
        <w:pStyle w:val="Compact"/>
        <w:numPr>
          <w:ilvl w:val="0"/>
          <w:numId w:val="2550"/>
        </w:numPr>
      </w:pPr>
      <w:r>
        <w:t xml:space="preserve">SelectSingleNode</w:t>
      </w:r>
    </w:p>
    <w:p>
      <w:pPr>
        <w:pStyle w:val="Compact"/>
        <w:numPr>
          <w:ilvl w:val="0"/>
          <w:numId w:val="2550"/>
        </w:numPr>
      </w:pPr>
      <w:r>
        <w:t xml:space="preserve">SelectNodes</w:t>
      </w:r>
    </w:p>
    <w:bookmarkEnd w:id="6370"/>
    <w:bookmarkStart w:id="6371" w:name="xmlnodelist"/>
    <w:p>
      <w:pPr>
        <w:pStyle w:val="Heading3"/>
      </w:pPr>
      <w:r>
        <w:t xml:space="preserve">XMLNodeList</w:t>
      </w:r>
    </w:p>
    <w:p>
      <w:pPr>
        <w:pStyle w:val="Compact"/>
        <w:numPr>
          <w:ilvl w:val="0"/>
          <w:numId w:val="2551"/>
        </w:numPr>
      </w:pPr>
      <w:r>
        <w:t xml:space="preserve">Item</w:t>
      </w:r>
    </w:p>
    <w:p>
      <w:pPr>
        <w:pStyle w:val="Compact"/>
        <w:numPr>
          <w:ilvl w:val="0"/>
          <w:numId w:val="2551"/>
        </w:numPr>
      </w:pPr>
      <w:r>
        <w:t xml:space="preserve">NextNode</w:t>
      </w:r>
    </w:p>
    <w:bookmarkEnd w:id="6371"/>
    <w:bookmarkStart w:id="6372" w:name="xmlelement"/>
    <w:p>
      <w:pPr>
        <w:pStyle w:val="Heading3"/>
      </w:pPr>
      <w:r>
        <w:t xml:space="preserve">XMLElement</w:t>
      </w:r>
    </w:p>
    <w:p>
      <w:pPr>
        <w:pStyle w:val="Compact"/>
        <w:numPr>
          <w:ilvl w:val="0"/>
          <w:numId w:val="2552"/>
        </w:numPr>
      </w:pPr>
      <w:r>
        <w:t xml:space="preserve">AppendChild</w:t>
      </w:r>
    </w:p>
    <w:p>
      <w:pPr>
        <w:pStyle w:val="Compact"/>
        <w:numPr>
          <w:ilvl w:val="0"/>
          <w:numId w:val="2552"/>
        </w:numPr>
      </w:pPr>
      <w:r>
        <w:t xml:space="preserve">GetElementsByTagName</w:t>
      </w:r>
    </w:p>
    <w:p>
      <w:pPr>
        <w:pStyle w:val="Compact"/>
        <w:numPr>
          <w:ilvl w:val="0"/>
          <w:numId w:val="2552"/>
        </w:numPr>
      </w:pPr>
      <w:r>
        <w:t xml:space="preserve">Item</w:t>
      </w:r>
    </w:p>
    <w:p>
      <w:pPr>
        <w:pStyle w:val="Compact"/>
        <w:numPr>
          <w:ilvl w:val="0"/>
          <w:numId w:val="2552"/>
        </w:numPr>
      </w:pPr>
      <w:r>
        <w:t xml:space="preserve">SetAttribute</w:t>
      </w:r>
    </w:p>
    <w:p>
      <w:pPr>
        <w:pStyle w:val="Compact"/>
        <w:numPr>
          <w:ilvl w:val="0"/>
          <w:numId w:val="2552"/>
        </w:numPr>
      </w:pPr>
      <w:r>
        <w:t xml:space="preserve">GetAttribute</w:t>
      </w:r>
    </w:p>
    <w:p>
      <w:pPr>
        <w:pStyle w:val="Compact"/>
        <w:numPr>
          <w:ilvl w:val="0"/>
          <w:numId w:val="2552"/>
        </w:numPr>
      </w:pPr>
      <w:r>
        <w:t xml:space="preserve">RemoveAttribute</w:t>
      </w:r>
    </w:p>
    <w:p>
      <w:pPr>
        <w:pStyle w:val="Compact"/>
        <w:numPr>
          <w:ilvl w:val="0"/>
          <w:numId w:val="2552"/>
        </w:numPr>
      </w:pPr>
      <w:r>
        <w:t xml:space="preserve">SelectSingleNode</w:t>
      </w:r>
    </w:p>
    <w:p>
      <w:pPr>
        <w:pStyle w:val="Compact"/>
        <w:numPr>
          <w:ilvl w:val="0"/>
          <w:numId w:val="2552"/>
        </w:numPr>
      </w:pPr>
      <w:r>
        <w:t xml:space="preserve">SelectNodes</w:t>
      </w:r>
    </w:p>
    <w:bookmarkEnd w:id="6372"/>
    <w:bookmarkEnd w:id="6373"/>
    <w:bookmarkStart w:id="6374" w:name="remarks-725"/>
    <w:p>
      <w:pPr>
        <w:pStyle w:val="Heading2"/>
      </w:pPr>
      <w:r>
        <w:t xml:space="preserve">Remarks</w:t>
      </w:r>
    </w:p>
    <w:p>
      <w:pPr>
        <w:pStyle w:val="Compact"/>
        <w:numPr>
          <w:ilvl w:val="0"/>
          <w:numId w:val="2553"/>
        </w:numPr>
      </w:pPr>
      <w:r>
        <w:t xml:space="preserve">Method names are case-insensitive.</w:t>
      </w:r>
    </w:p>
    <w:p>
      <w:pPr>
        <w:pStyle w:val="Compact"/>
        <w:numPr>
          <w:ilvl w:val="0"/>
          <w:numId w:val="2553"/>
        </w:numPr>
      </w:pPr>
      <w:r>
        <w:t xml:space="preserve">Runtime behavior follows VM compatibility implementations for each object wrapper.</w:t>
      </w:r>
    </w:p>
    <w:bookmarkEnd w:id="6374"/>
    <w:bookmarkEnd w:id="6375"/>
    <w:bookmarkStart w:id="6382" w:name="msxml2-properties"/>
    <w:p>
      <w:pPr>
        <w:pStyle w:val="Heading1"/>
      </w:pPr>
      <w:r>
        <w:t xml:space="preserve">MSXML2 Properties</w:t>
      </w:r>
    </w:p>
    <w:bookmarkStart w:id="6376" w:name="serverxmlhttp-properties"/>
    <w:p>
      <w:pPr>
        <w:pStyle w:val="Heading2"/>
      </w:pPr>
      <w:r>
        <w:t xml:space="preserve">ServerXMLHTTP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ResponseText</w:t>
            </w:r>
          </w:p>
        </w:tc>
        <w:tc>
          <w:tcPr/>
          <w:p>
            <w:pPr>
              <w:pStyle w:val="Compact"/>
            </w:pPr>
            <w:r>
              <w:t xml:space="preserve">Read</w:t>
            </w:r>
          </w:p>
        </w:tc>
        <w:tc>
          <w:tcPr/>
          <w:p>
            <w:pPr>
              <w:pStyle w:val="Compact"/>
            </w:pPr>
            <w:r>
              <w:t xml:space="preserve">String</w:t>
            </w:r>
          </w:p>
        </w:tc>
        <w:tc>
          <w:tcPr/>
          <w:p>
            <w:pPr>
              <w:pStyle w:val="Compact"/>
            </w:pPr>
            <w:r>
              <w:t xml:space="preserve">The response body decoded as a text string.</w:t>
            </w:r>
          </w:p>
        </w:tc>
      </w:tr>
      <w:tr>
        <w:tc>
          <w:tcPr/>
          <w:p>
            <w:pPr>
              <w:pStyle w:val="Compact"/>
            </w:pPr>
            <w:r>
              <w:rPr>
                <w:rStyle w:val="VerbatimChar"/>
              </w:rPr>
              <w:t xml:space="preserve">ResponseXML</w:t>
            </w:r>
          </w:p>
        </w:tc>
        <w:tc>
          <w:tcPr/>
          <w:p>
            <w:pPr>
              <w:pStyle w:val="Compact"/>
            </w:pPr>
            <w:r>
              <w:t xml:space="preserve">Read</w:t>
            </w:r>
          </w:p>
        </w:tc>
        <w:tc>
          <w:tcPr/>
          <w:p>
            <w:pPr>
              <w:pStyle w:val="Compact"/>
            </w:pPr>
            <w:r>
              <w:t xml:space="preserve">DOMDocument</w:t>
            </w:r>
          </w:p>
        </w:tc>
        <w:tc>
          <w:tcPr/>
          <w:p>
            <w:pPr>
              <w:pStyle w:val="Compact"/>
            </w:pPr>
            <w:r>
              <w:t xml:space="preserve">The response body parsed as an XML document. Returns a String if the response is not valid XML.</w:t>
            </w:r>
          </w:p>
        </w:tc>
      </w:tr>
      <w:tr>
        <w:tc>
          <w:tcPr/>
          <w:p>
            <w:pPr>
              <w:pStyle w:val="Compact"/>
            </w:pPr>
            <w:r>
              <w:rPr>
                <w:rStyle w:val="VerbatimChar"/>
              </w:rPr>
              <w:t xml:space="preserve">ResponseBody</w:t>
            </w:r>
          </w:p>
        </w:tc>
        <w:tc>
          <w:tcPr/>
          <w:p>
            <w:pPr>
              <w:pStyle w:val="Compact"/>
            </w:pPr>
            <w:r>
              <w:t xml:space="preserve">Read</w:t>
            </w:r>
          </w:p>
        </w:tc>
        <w:tc>
          <w:tcPr/>
          <w:p>
            <w:pPr>
              <w:pStyle w:val="Compact"/>
            </w:pPr>
            <w:r>
              <w:t xml:space="preserve">Byte Array</w:t>
            </w:r>
          </w:p>
        </w:tc>
        <w:tc>
          <w:tcPr/>
          <w:p>
            <w:pPr>
              <w:pStyle w:val="Compact"/>
            </w:pPr>
            <w:r>
              <w:t xml:space="preserve">The raw response body as a byte array.</w:t>
            </w:r>
          </w:p>
        </w:tc>
      </w:tr>
      <w:tr>
        <w:tc>
          <w:tcPr/>
          <w:p>
            <w:pPr>
              <w:pStyle w:val="Compact"/>
            </w:pPr>
            <w:r>
              <w:rPr>
                <w:rStyle w:val="VerbatimChar"/>
              </w:rPr>
              <w:t xml:space="preserve">Status</w:t>
            </w:r>
          </w:p>
        </w:tc>
        <w:tc>
          <w:tcPr/>
          <w:p>
            <w:pPr>
              <w:pStyle w:val="Compact"/>
            </w:pPr>
            <w:r>
              <w:t xml:space="preserve">Read</w:t>
            </w:r>
          </w:p>
        </w:tc>
        <w:tc>
          <w:tcPr/>
          <w:p>
            <w:pPr>
              <w:pStyle w:val="Compact"/>
            </w:pPr>
            <w:r>
              <w:t xml:space="preserve">Integer</w:t>
            </w:r>
          </w:p>
        </w:tc>
        <w:tc>
          <w:tcPr/>
          <w:p>
            <w:pPr>
              <w:pStyle w:val="Compact"/>
            </w:pPr>
            <w:r>
              <w:t xml:space="preserve">The HTTP status code (e.g., 200, 404). Returns 0 on a connection error.</w:t>
            </w:r>
          </w:p>
        </w:tc>
      </w:tr>
      <w:tr>
        <w:tc>
          <w:tcPr/>
          <w:p>
            <w:pPr>
              <w:pStyle w:val="Compact"/>
            </w:pPr>
            <w:r>
              <w:rPr>
                <w:rStyle w:val="VerbatimChar"/>
              </w:rPr>
              <w:t xml:space="preserve">StatusText</w:t>
            </w:r>
          </w:p>
        </w:tc>
        <w:tc>
          <w:tcPr/>
          <w:p>
            <w:pPr>
              <w:pStyle w:val="Compact"/>
            </w:pPr>
            <w:r>
              <w:t xml:space="preserve">Read</w:t>
            </w:r>
          </w:p>
        </w:tc>
        <w:tc>
          <w:tcPr/>
          <w:p>
            <w:pPr>
              <w:pStyle w:val="Compact"/>
            </w:pPr>
            <w:r>
              <w:t xml:space="preserve">String</w:t>
            </w:r>
          </w:p>
        </w:tc>
        <w:tc>
          <w:tcPr/>
          <w:p>
            <w:pPr>
              <w:pStyle w:val="Compact"/>
            </w:pPr>
            <w:r>
              <w:t xml:space="preserve">The full HTTP status line (e.g.,</w:t>
            </w:r>
            <w:r>
              <w:t xml:space="preserve"> </w:t>
            </w:r>
            <w:r>
              <w:rPr>
                <w:rStyle w:val="VerbatimChar"/>
              </w:rPr>
              <w:t xml:space="preserve">200 OK</w:t>
            </w:r>
            <w:r>
              <w:t xml:space="preserve">).</w:t>
            </w:r>
          </w:p>
        </w:tc>
      </w:tr>
      <w:tr>
        <w:tc>
          <w:tcPr/>
          <w:p>
            <w:pPr>
              <w:pStyle w:val="Compact"/>
            </w:pPr>
            <w:r>
              <w:rPr>
                <w:rStyle w:val="VerbatimChar"/>
              </w:rPr>
              <w:t xml:space="preserve">ReadyState</w:t>
            </w:r>
          </w:p>
        </w:tc>
        <w:tc>
          <w:tcPr/>
          <w:p>
            <w:pPr>
              <w:pStyle w:val="Compact"/>
            </w:pPr>
            <w:r>
              <w:t xml:space="preserve">Read</w:t>
            </w:r>
          </w:p>
        </w:tc>
        <w:tc>
          <w:tcPr/>
          <w:p>
            <w:pPr>
              <w:pStyle w:val="Compact"/>
            </w:pPr>
            <w:r>
              <w:t xml:space="preserve">Integer</w:t>
            </w:r>
          </w:p>
        </w:tc>
        <w:tc>
          <w:tcPr/>
          <w:p>
            <w:pPr>
              <w:pStyle w:val="Compact"/>
            </w:pPr>
            <w:r>
              <w:t xml:space="preserve">The request lifecycle state: 0 = Uninitialized, 1 = Open, 2 = Sent, 3 = Receiving, 4 = Complete.</w:t>
            </w:r>
          </w:p>
        </w:tc>
      </w:tr>
      <w:tr>
        <w:tc>
          <w:tcPr/>
          <w:p>
            <w:pPr>
              <w:pStyle w:val="Compact"/>
            </w:pPr>
            <w:r>
              <w:rPr>
                <w:rStyle w:val="VerbatimChar"/>
              </w:rPr>
              <w:t xml:space="preserve">Timeout</w:t>
            </w:r>
          </w:p>
        </w:tc>
        <w:tc>
          <w:tcPr/>
          <w:p>
            <w:pPr>
              <w:pStyle w:val="Compact"/>
            </w:pPr>
            <w:r>
              <w:t xml:space="preserve">Read/Write</w:t>
            </w:r>
          </w:p>
        </w:tc>
        <w:tc>
          <w:tcPr/>
          <w:p>
            <w:pPr>
              <w:pStyle w:val="Compact"/>
            </w:pPr>
            <w:r>
              <w:t xml:space="preserve">Integer</w:t>
            </w:r>
          </w:p>
        </w:tc>
        <w:tc>
          <w:tcPr/>
          <w:p>
            <w:pPr>
              <w:pStyle w:val="Compact"/>
            </w:pPr>
            <w:r>
              <w:t xml:space="preserve">Request timeout in seconds. Default is 30.</w:t>
            </w:r>
          </w:p>
        </w:tc>
      </w:tr>
    </w:tbl>
    <w:bookmarkEnd w:id="6376"/>
    <w:bookmarkStart w:id="6377" w:name="domdocument-properties"/>
    <w:p>
      <w:pPr>
        <w:pStyle w:val="Heading2"/>
      </w:pPr>
      <w:r>
        <w:t xml:space="preserve">DOMDocument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DocumentElement</w:t>
            </w:r>
          </w:p>
        </w:tc>
        <w:tc>
          <w:tcPr/>
          <w:p>
            <w:pPr>
              <w:pStyle w:val="Compact"/>
            </w:pPr>
            <w:r>
              <w:t xml:space="preserve">Read</w:t>
            </w:r>
          </w:p>
        </w:tc>
        <w:tc>
          <w:tcPr/>
          <w:p>
            <w:pPr>
              <w:pStyle w:val="Compact"/>
            </w:pPr>
            <w:r>
              <w:t xml:space="preserve">XMLElement</w:t>
            </w:r>
          </w:p>
        </w:tc>
        <w:tc>
          <w:tcPr/>
          <w:p>
            <w:pPr>
              <w:pStyle w:val="Compact"/>
            </w:pPr>
            <w:r>
              <w:t xml:space="preserve">The root element of the parsed document, or Null if the document is empty.</w:t>
            </w:r>
          </w:p>
        </w:tc>
      </w:tr>
      <w:tr>
        <w:tc>
          <w:tcPr/>
          <w:p>
            <w:pPr>
              <w:pStyle w:val="Compact"/>
            </w:pPr>
            <w:r>
              <w:rPr>
                <w:rStyle w:val="VerbatimChar"/>
              </w:rPr>
              <w:t xml:space="preserve">XML</w:t>
            </w:r>
          </w:p>
        </w:tc>
        <w:tc>
          <w:tcPr/>
          <w:p>
            <w:pPr>
              <w:pStyle w:val="Compact"/>
            </w:pPr>
            <w:r>
              <w:t xml:space="preserve">Read</w:t>
            </w:r>
          </w:p>
        </w:tc>
        <w:tc>
          <w:tcPr/>
          <w:p>
            <w:pPr>
              <w:pStyle w:val="Compact"/>
            </w:pPr>
            <w:r>
              <w:t xml:space="preserve">String</w:t>
            </w:r>
          </w:p>
        </w:tc>
        <w:tc>
          <w:tcPr/>
          <w:p>
            <w:pPr>
              <w:pStyle w:val="Compact"/>
            </w:pPr>
            <w:r>
              <w:t xml:space="preserve">The stored XML source or serialized document tree.</w:t>
            </w:r>
          </w:p>
        </w:tc>
      </w:tr>
      <w:tr>
        <w:tc>
          <w:tcPr/>
          <w:p>
            <w:pPr>
              <w:pStyle w:val="Compact"/>
            </w:pPr>
            <w:r>
              <w:rPr>
                <w:rStyle w:val="VerbatimChar"/>
              </w:rPr>
              <w:t xml:space="preserve">ParseError</w:t>
            </w:r>
          </w:p>
        </w:tc>
        <w:tc>
          <w:tcPr/>
          <w:p>
            <w:pPr>
              <w:pStyle w:val="Compact"/>
            </w:pPr>
            <w:r>
              <w:t xml:space="preserve">Read</w:t>
            </w:r>
          </w:p>
        </w:tc>
        <w:tc>
          <w:tcPr/>
          <w:p>
            <w:pPr>
              <w:pStyle w:val="Compact"/>
            </w:pPr>
            <w:r>
              <w:t xml:space="preserve">ParseError</w:t>
            </w:r>
          </w:p>
        </w:tc>
        <w:tc>
          <w:tcPr/>
          <w:p>
            <w:pPr>
              <w:pStyle w:val="Compact"/>
            </w:pPr>
            <w:r>
              <w:t xml:space="preserve">The ParseError object from the last load or parse. Check</w:t>
            </w:r>
            <w:r>
              <w:t xml:space="preserve"> </w:t>
            </w:r>
            <w:r>
              <w:rPr>
                <w:rStyle w:val="VerbatimChar"/>
              </w:rPr>
              <w:t xml:space="preserve">ErrorCode = 0</w:t>
            </w:r>
            <w:r>
              <w:t xml:space="preserve"> </w:t>
            </w:r>
            <w:r>
              <w:t xml:space="preserve">for success.</w:t>
            </w:r>
          </w:p>
        </w:tc>
      </w:tr>
      <w:tr>
        <w:tc>
          <w:tcPr/>
          <w:p>
            <w:pPr>
              <w:pStyle w:val="Compact"/>
            </w:pPr>
            <w:r>
              <w:rPr>
                <w:rStyle w:val="VerbatimChar"/>
              </w:rPr>
              <w:t xml:space="preserve">Async</w:t>
            </w:r>
          </w:p>
        </w:tc>
        <w:tc>
          <w:tcPr/>
          <w:p>
            <w:pPr>
              <w:pStyle w:val="Compact"/>
            </w:pPr>
            <w:r>
              <w:t xml:space="preserve">Read/Write</w:t>
            </w:r>
          </w:p>
        </w:tc>
        <w:tc>
          <w:tcPr/>
          <w:p>
            <w:pPr>
              <w:pStyle w:val="Compact"/>
            </w:pPr>
            <w:r>
              <w:t xml:space="preserve">Boolean</w:t>
            </w:r>
          </w:p>
        </w:tc>
        <w:tc>
          <w:tcPr/>
          <w:p>
            <w:pPr>
              <w:pStyle w:val="Compact"/>
            </w:pPr>
            <w:r>
              <w:t xml:space="preserve">Accepted for compatibility; the implementation always behaves synchronously. Default is False.</w:t>
            </w:r>
          </w:p>
        </w:tc>
      </w:tr>
      <w:tr>
        <w:tc>
          <w:tcPr/>
          <w:p>
            <w:pPr>
              <w:pStyle w:val="Compact"/>
            </w:pPr>
            <w:r>
              <w:rPr>
                <w:rStyle w:val="VerbatimChar"/>
              </w:rPr>
              <w:t xml:space="preserve">ServerHTTPRequest</w:t>
            </w:r>
          </w:p>
        </w:tc>
        <w:tc>
          <w:tcPr/>
          <w:p>
            <w:pPr>
              <w:pStyle w:val="Compact"/>
            </w:pPr>
            <w:r>
              <w:t xml:space="preserve">Read/Write</w:t>
            </w:r>
          </w:p>
        </w:tc>
        <w:tc>
          <w:tcPr/>
          <w:p>
            <w:pPr>
              <w:pStyle w:val="Compact"/>
            </w:pPr>
            <w:r>
              <w:t xml:space="preserve">Boolean</w:t>
            </w:r>
          </w:p>
        </w:tc>
        <w:tc>
          <w:tcPr/>
          <w:p>
            <w:pPr>
              <w:pStyle w:val="Compact"/>
            </w:pPr>
            <w:r>
              <w:t xml:space="preserve">Controls whether HTTP requests use the server HTTP stack.</w:t>
            </w:r>
          </w:p>
        </w:tc>
      </w:tr>
      <w:tr>
        <w:tc>
          <w:tcPr/>
          <w:p>
            <w:pPr>
              <w:pStyle w:val="Compact"/>
            </w:pPr>
            <w:r>
              <w:rPr>
                <w:rStyle w:val="VerbatimChar"/>
              </w:rPr>
              <w:t xml:space="preserve">ResolveExternals</w:t>
            </w:r>
          </w:p>
        </w:tc>
        <w:tc>
          <w:tcPr/>
          <w:p>
            <w:pPr>
              <w:pStyle w:val="Compact"/>
            </w:pPr>
            <w:r>
              <w:t xml:space="preserve">Read/Write</w:t>
            </w:r>
          </w:p>
        </w:tc>
        <w:tc>
          <w:tcPr/>
          <w:p>
            <w:pPr>
              <w:pStyle w:val="Compact"/>
            </w:pPr>
            <w:r>
              <w:t xml:space="preserve">Boolean</w:t>
            </w:r>
          </w:p>
        </w:tc>
        <w:tc>
          <w:tcPr/>
          <w:p>
            <w:pPr>
              <w:pStyle w:val="Compact"/>
            </w:pPr>
            <w:r>
              <w:t xml:space="preserve">Controls resolution of external entity references.</w:t>
            </w:r>
          </w:p>
        </w:tc>
      </w:tr>
      <w:tr>
        <w:tc>
          <w:tcPr/>
          <w:p>
            <w:pPr>
              <w:pStyle w:val="Compact"/>
            </w:pPr>
            <w:r>
              <w:rPr>
                <w:rStyle w:val="VerbatimChar"/>
              </w:rPr>
              <w:t xml:space="preserve">ValidateOnParse</w:t>
            </w:r>
          </w:p>
        </w:tc>
        <w:tc>
          <w:tcPr/>
          <w:p>
            <w:pPr>
              <w:pStyle w:val="Compact"/>
            </w:pPr>
            <w:r>
              <w:t xml:space="preserve">Read/Write</w:t>
            </w:r>
          </w:p>
        </w:tc>
        <w:tc>
          <w:tcPr/>
          <w:p>
            <w:pPr>
              <w:pStyle w:val="Compact"/>
            </w:pPr>
            <w:r>
              <w:t xml:space="preserve">Boolean</w:t>
            </w:r>
          </w:p>
        </w:tc>
        <w:tc>
          <w:tcPr/>
          <w:p>
            <w:pPr>
              <w:pStyle w:val="Compact"/>
            </w:pPr>
            <w:r>
              <w:t xml:space="preserve">Controls DTD validation during parsing.</w:t>
            </w:r>
          </w:p>
        </w:tc>
      </w:tr>
      <w:tr>
        <w:tc>
          <w:tcPr/>
          <w:p>
            <w:pPr>
              <w:pStyle w:val="Compact"/>
            </w:pPr>
            <w:r>
              <w:rPr>
                <w:rStyle w:val="VerbatimChar"/>
              </w:rPr>
              <w:t xml:space="preserve">PreserveWhiteSpace</w:t>
            </w:r>
          </w:p>
        </w:tc>
        <w:tc>
          <w:tcPr/>
          <w:p>
            <w:pPr>
              <w:pStyle w:val="Compact"/>
            </w:pPr>
            <w:r>
              <w:t xml:space="preserve">Read/Write</w:t>
            </w:r>
          </w:p>
        </w:tc>
        <w:tc>
          <w:tcPr/>
          <w:p>
            <w:pPr>
              <w:pStyle w:val="Compact"/>
            </w:pPr>
            <w:r>
              <w:t xml:space="preserve">Boolean</w:t>
            </w:r>
          </w:p>
        </w:tc>
        <w:tc>
          <w:tcPr/>
          <w:p>
            <w:pPr>
              <w:pStyle w:val="Compact"/>
            </w:pPr>
            <w:r>
              <w:t xml:space="preserve">Controls whether insignificant whitespace is preserved in the DOM tree.</w:t>
            </w:r>
          </w:p>
        </w:tc>
      </w:tr>
      <w:tr>
        <w:tc>
          <w:tcPr/>
          <w:p>
            <w:pPr>
              <w:pStyle w:val="Compact"/>
            </w:pPr>
            <w:r>
              <w:rPr>
                <w:rStyle w:val="VerbatimChar"/>
              </w:rPr>
              <w:t xml:space="preserve">SelectionLanguage</w:t>
            </w:r>
          </w:p>
        </w:tc>
        <w:tc>
          <w:tcPr/>
          <w:p>
            <w:pPr>
              <w:pStyle w:val="Compact"/>
            </w:pPr>
            <w:r>
              <w:t xml:space="preserve">Read/Write</w:t>
            </w:r>
          </w:p>
        </w:tc>
        <w:tc>
          <w:tcPr/>
          <w:p>
            <w:pPr>
              <w:pStyle w:val="Compact"/>
            </w:pPr>
            <w:r>
              <w:t xml:space="preserve">String</w:t>
            </w:r>
          </w:p>
        </w:tc>
        <w:tc>
          <w:tcPr/>
          <w:p>
            <w:pPr>
              <w:pStyle w:val="Compact"/>
            </w:pPr>
            <w:r>
              <w:t xml:space="preserve">The query language used by</w:t>
            </w:r>
            <w:r>
              <w:t xml:space="preserve"> </w:t>
            </w:r>
            <w:r>
              <w:rPr>
                <w:rStyle w:val="VerbatimChar"/>
              </w:rPr>
              <w:t xml:space="preserve">SelectSingleNode</w:t>
            </w:r>
            <w:r>
              <w:t xml:space="preserve"> </w:t>
            </w:r>
            <w:r>
              <w:t xml:space="preserve">and</w:t>
            </w:r>
            <w:r>
              <w:t xml:space="preserve"> </w:t>
            </w:r>
            <w:r>
              <w:rPr>
                <w:rStyle w:val="VerbatimChar"/>
              </w:rPr>
              <w:t xml:space="preserve">SelectNodes</w:t>
            </w:r>
            <w:r>
              <w:t xml:space="preserve">. Default is</w:t>
            </w:r>
            <w:r>
              <w:t xml:space="preserve"> </w:t>
            </w:r>
            <w:r>
              <w:rPr>
                <w:rStyle w:val="VerbatimChar"/>
              </w:rPr>
              <w:t xml:space="preserve">XPath</w:t>
            </w:r>
            <w:r>
              <w:t xml:space="preserve">.</w:t>
            </w:r>
          </w:p>
        </w:tc>
      </w:tr>
      <w:tr>
        <w:tc>
          <w:tcPr/>
          <w:p>
            <w:pPr>
              <w:pStyle w:val="Compact"/>
            </w:pPr>
            <w:r>
              <w:rPr>
                <w:rStyle w:val="VerbatimChar"/>
              </w:rPr>
              <w:t xml:space="preserve">SelectionNamespaces</w:t>
            </w:r>
          </w:p>
        </w:tc>
        <w:tc>
          <w:tcPr/>
          <w:p>
            <w:pPr>
              <w:pStyle w:val="Compact"/>
            </w:pPr>
            <w:r>
              <w:t xml:space="preserve">Read/Write</w:t>
            </w:r>
          </w:p>
        </w:tc>
        <w:tc>
          <w:tcPr/>
          <w:p>
            <w:pPr>
              <w:pStyle w:val="Compact"/>
            </w:pPr>
            <w:r>
              <w:t xml:space="preserve">String</w:t>
            </w:r>
          </w:p>
        </w:tc>
        <w:tc>
          <w:tcPr/>
          <w:p>
            <w:pPr>
              <w:pStyle w:val="Compact"/>
            </w:pPr>
            <w:r>
              <w:t xml:space="preserve">Namespace prefix bindings for XPath queries. Format:</w:t>
            </w:r>
            <w:r>
              <w:t xml:space="preserve"> </w:t>
            </w:r>
            <w:r>
              <w:rPr>
                <w:rStyle w:val="VerbatimChar"/>
              </w:rPr>
              <w:t xml:space="preserve">xmlns:prefix='uri'</w:t>
            </w:r>
            <w:r>
              <w:t xml:space="preserve">.</w:t>
            </w:r>
          </w:p>
        </w:tc>
      </w:tr>
    </w:tbl>
    <w:bookmarkEnd w:id="6377"/>
    <w:bookmarkStart w:id="6378" w:name="xmlnodelist-properties"/>
    <w:p>
      <w:pPr>
        <w:pStyle w:val="Heading2"/>
      </w:pPr>
      <w:r>
        <w:t xml:space="preserve">XMLNodeList Properties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Length</w:t>
            </w:r>
          </w:p>
        </w:tc>
        <w:tc>
          <w:tcPr/>
          <w:p>
            <w:pPr>
              <w:pStyle w:val="Compact"/>
            </w:pPr>
            <w:r>
              <w:t xml:space="preserve">Read</w:t>
            </w:r>
          </w:p>
        </w:tc>
        <w:tc>
          <w:tcPr/>
          <w:p>
            <w:pPr>
              <w:pStyle w:val="Compact"/>
            </w:pPr>
            <w:r>
              <w:t xml:space="preserve">Integer</w:t>
            </w:r>
          </w:p>
        </w:tc>
        <w:tc>
          <w:tcPr/>
          <w:p>
            <w:pPr>
              <w:pStyle w:val="Compact"/>
            </w:pPr>
            <w:r>
              <w:t xml:space="preserve">The number of nodes in the list.</w:t>
            </w:r>
          </w:p>
        </w:tc>
      </w:tr>
      <w:tr>
        <w:tc>
          <w:tcPr/>
          <w:p>
            <w:pPr>
              <w:pStyle w:val="Compact"/>
            </w:pPr>
            <w:r>
              <w:rPr>
                <w:rStyle w:val="VerbatimChar"/>
              </w:rPr>
              <w:t xml:space="preserve">Count</w:t>
            </w:r>
          </w:p>
        </w:tc>
        <w:tc>
          <w:tcPr/>
          <w:p>
            <w:pPr>
              <w:pStyle w:val="Compact"/>
            </w:pPr>
            <w:r>
              <w:t xml:space="preserve">Read</w:t>
            </w:r>
          </w:p>
        </w:tc>
        <w:tc>
          <w:tcPr/>
          <w:p>
            <w:pPr>
              <w:pStyle w:val="Compact"/>
            </w:pPr>
            <w:r>
              <w:t xml:space="preserve">Integer</w:t>
            </w:r>
          </w:p>
        </w:tc>
        <w:tc>
          <w:tcPr/>
          <w:p>
            <w:pPr>
              <w:pStyle w:val="Compact"/>
            </w:pPr>
            <w:r>
              <w:t xml:space="preserve">Alias for</w:t>
            </w:r>
            <w:r>
              <w:t xml:space="preserve"> </w:t>
            </w:r>
            <w:r>
              <w:rPr>
                <w:rStyle w:val="VerbatimChar"/>
              </w:rPr>
              <w:t xml:space="preserve">Length</w:t>
            </w:r>
            <w:r>
              <w:t xml:space="preserve">.</w:t>
            </w:r>
          </w:p>
        </w:tc>
      </w:tr>
    </w:tbl>
    <w:bookmarkEnd w:id="6378"/>
    <w:bookmarkStart w:id="6379" w:name="parseerror-properties"/>
    <w:p>
      <w:pPr>
        <w:pStyle w:val="Heading2"/>
      </w:pPr>
      <w:r>
        <w:t xml:space="preserve">ParseError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ErrorCode</w:t>
            </w:r>
          </w:p>
        </w:tc>
        <w:tc>
          <w:tcPr/>
          <w:p>
            <w:pPr>
              <w:pStyle w:val="Compact"/>
            </w:pPr>
            <w:r>
              <w:t xml:space="preserve">Read</w:t>
            </w:r>
          </w:p>
        </w:tc>
        <w:tc>
          <w:tcPr/>
          <w:p>
            <w:pPr>
              <w:pStyle w:val="Compact"/>
            </w:pPr>
            <w:r>
              <w:t xml:space="preserve">Integer</w:t>
            </w:r>
          </w:p>
        </w:tc>
        <w:tc>
          <w:tcPr/>
          <w:p>
            <w:pPr>
              <w:pStyle w:val="Compact"/>
            </w:pPr>
            <w:r>
              <w:t xml:space="preserve">0 = no error. Negative values or HTTP status codes indicate parse or load failures.</w:t>
            </w:r>
          </w:p>
        </w:tc>
      </w:tr>
      <w:tr>
        <w:tc>
          <w:tcPr/>
          <w:p>
            <w:pPr>
              <w:pStyle w:val="Compact"/>
            </w:pPr>
            <w:r>
              <w:rPr>
                <w:rStyle w:val="VerbatimChar"/>
              </w:rPr>
              <w:t xml:space="preserve">Reason</w:t>
            </w:r>
          </w:p>
        </w:tc>
        <w:tc>
          <w:tcPr/>
          <w:p>
            <w:pPr>
              <w:pStyle w:val="Compact"/>
            </w:pPr>
            <w:r>
              <w:t xml:space="preserve">Read</w:t>
            </w:r>
          </w:p>
        </w:tc>
        <w:tc>
          <w:tcPr/>
          <w:p>
            <w:pPr>
              <w:pStyle w:val="Compact"/>
            </w:pPr>
            <w:r>
              <w:t xml:space="preserve">String</w:t>
            </w:r>
          </w:p>
        </w:tc>
        <w:tc>
          <w:tcPr/>
          <w:p>
            <w:pPr>
              <w:pStyle w:val="Compact"/>
            </w:pPr>
            <w:r>
              <w:t xml:space="preserve">A human-readable description of the parse error.</w:t>
            </w:r>
          </w:p>
        </w:tc>
      </w:tr>
      <w:tr>
        <w:tc>
          <w:tcPr/>
          <w:p>
            <w:pPr>
              <w:pStyle w:val="Compact"/>
            </w:pPr>
            <w:r>
              <w:rPr>
                <w:rStyle w:val="VerbatimChar"/>
              </w:rPr>
              <w:t xml:space="preserve">FilePos</w:t>
            </w:r>
          </w:p>
        </w:tc>
        <w:tc>
          <w:tcPr/>
          <w:p>
            <w:pPr>
              <w:pStyle w:val="Compact"/>
            </w:pPr>
            <w:r>
              <w:t xml:space="preserve">Read</w:t>
            </w:r>
          </w:p>
        </w:tc>
        <w:tc>
          <w:tcPr/>
          <w:p>
            <w:pPr>
              <w:pStyle w:val="Compact"/>
            </w:pPr>
            <w:r>
              <w:t xml:space="preserve">Integer</w:t>
            </w:r>
          </w:p>
        </w:tc>
        <w:tc>
          <w:tcPr/>
          <w:p>
            <w:pPr>
              <w:pStyle w:val="Compact"/>
            </w:pPr>
            <w:r>
              <w:t xml:space="preserve">The byte offset in the source where the error was detected.</w:t>
            </w:r>
          </w:p>
        </w:tc>
      </w:tr>
      <w:tr>
        <w:tc>
          <w:tcPr/>
          <w:p>
            <w:pPr>
              <w:pStyle w:val="Compact"/>
            </w:pPr>
            <w:r>
              <w:rPr>
                <w:rStyle w:val="VerbatimChar"/>
              </w:rPr>
              <w:t xml:space="preserve">Line</w:t>
            </w:r>
          </w:p>
        </w:tc>
        <w:tc>
          <w:tcPr/>
          <w:p>
            <w:pPr>
              <w:pStyle w:val="Compact"/>
            </w:pPr>
            <w:r>
              <w:t xml:space="preserve">Read</w:t>
            </w:r>
          </w:p>
        </w:tc>
        <w:tc>
          <w:tcPr/>
          <w:p>
            <w:pPr>
              <w:pStyle w:val="Compact"/>
            </w:pPr>
            <w:r>
              <w:t xml:space="preserve">Integer</w:t>
            </w:r>
          </w:p>
        </w:tc>
        <w:tc>
          <w:tcPr/>
          <w:p>
            <w:pPr>
              <w:pStyle w:val="Compact"/>
            </w:pPr>
            <w:r>
              <w:t xml:space="preserve">The 1-based line number in the source where the error was detected.</w:t>
            </w:r>
          </w:p>
        </w:tc>
      </w:tr>
      <w:tr>
        <w:tc>
          <w:tcPr/>
          <w:p>
            <w:pPr>
              <w:pStyle w:val="Compact"/>
            </w:pPr>
            <w:r>
              <w:rPr>
                <w:rStyle w:val="VerbatimChar"/>
              </w:rPr>
              <w:t xml:space="preserve">LinePos</w:t>
            </w:r>
          </w:p>
        </w:tc>
        <w:tc>
          <w:tcPr/>
          <w:p>
            <w:pPr>
              <w:pStyle w:val="Compact"/>
            </w:pPr>
            <w:r>
              <w:t xml:space="preserve">Read</w:t>
            </w:r>
          </w:p>
        </w:tc>
        <w:tc>
          <w:tcPr/>
          <w:p>
            <w:pPr>
              <w:pStyle w:val="Compact"/>
            </w:pPr>
            <w:r>
              <w:t xml:space="preserve">Integer</w:t>
            </w:r>
          </w:p>
        </w:tc>
        <w:tc>
          <w:tcPr/>
          <w:p>
            <w:pPr>
              <w:pStyle w:val="Compact"/>
            </w:pPr>
            <w:r>
              <w:t xml:space="preserve">The 1-based column position within the error line.</w:t>
            </w:r>
          </w:p>
        </w:tc>
      </w:tr>
      <w:tr>
        <w:tc>
          <w:tcPr/>
          <w:p>
            <w:pPr>
              <w:pStyle w:val="Compact"/>
            </w:pPr>
            <w:r>
              <w:rPr>
                <w:rStyle w:val="VerbatimChar"/>
              </w:rPr>
              <w:t xml:space="preserve">SrcText</w:t>
            </w:r>
          </w:p>
        </w:tc>
        <w:tc>
          <w:tcPr/>
          <w:p>
            <w:pPr>
              <w:pStyle w:val="Compact"/>
            </w:pPr>
            <w:r>
              <w:t xml:space="preserve">Read</w:t>
            </w:r>
          </w:p>
        </w:tc>
        <w:tc>
          <w:tcPr/>
          <w:p>
            <w:pPr>
              <w:pStyle w:val="Compact"/>
            </w:pPr>
            <w:r>
              <w:t xml:space="preserve">String</w:t>
            </w:r>
          </w:p>
        </w:tc>
        <w:tc>
          <w:tcPr/>
          <w:p>
            <w:pPr>
              <w:pStyle w:val="Compact"/>
            </w:pPr>
            <w:r>
              <w:t xml:space="preserve">The source text that was being parsed when the error occurred.</w:t>
            </w:r>
          </w:p>
        </w:tc>
      </w:tr>
      <w:tr>
        <w:tc>
          <w:tcPr/>
          <w:p>
            <w:pPr>
              <w:pStyle w:val="Compact"/>
            </w:pPr>
            <w:r>
              <w:rPr>
                <w:rStyle w:val="VerbatimChar"/>
              </w:rPr>
              <w:t xml:space="preserve">URL</w:t>
            </w:r>
          </w:p>
        </w:tc>
        <w:tc>
          <w:tcPr/>
          <w:p>
            <w:pPr>
              <w:pStyle w:val="Compact"/>
            </w:pPr>
            <w:r>
              <w:t xml:space="preserve">Read</w:t>
            </w:r>
          </w:p>
        </w:tc>
        <w:tc>
          <w:tcPr/>
          <w:p>
            <w:pPr>
              <w:pStyle w:val="Compact"/>
            </w:pPr>
            <w:r>
              <w:t xml:space="preserve">String</w:t>
            </w:r>
          </w:p>
        </w:tc>
        <w:tc>
          <w:tcPr/>
          <w:p>
            <w:pPr>
              <w:pStyle w:val="Compact"/>
            </w:pPr>
            <w:r>
              <w:t xml:space="preserve">The URL or file path that was being loaded when the error occurred.</w:t>
            </w:r>
          </w:p>
        </w:tc>
      </w:tr>
    </w:tbl>
    <w:bookmarkEnd w:id="6379"/>
    <w:bookmarkStart w:id="6381" w:name="xmlelement-properties"/>
    <w:p>
      <w:pPr>
        <w:pStyle w:val="Heading2"/>
      </w:pPr>
      <w:r>
        <w:t xml:space="preserve">XMLElement Properties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Property</w:t>
            </w:r>
          </w:p>
        </w:tc>
        <w:tc>
          <w:tcPr/>
          <w:p>
            <w:pPr>
              <w:pStyle w:val="Compact"/>
            </w:pPr>
            <w:r>
              <w:t xml:space="preserve">Access</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NodeName</w:t>
            </w:r>
          </w:p>
        </w:tc>
        <w:tc>
          <w:tcPr/>
          <w:p>
            <w:pPr>
              <w:pStyle w:val="Compact"/>
            </w:pPr>
            <w:r>
              <w:t xml:space="preserve">Read</w:t>
            </w:r>
          </w:p>
        </w:tc>
        <w:tc>
          <w:tcPr/>
          <w:p>
            <w:pPr>
              <w:pStyle w:val="Compact"/>
            </w:pPr>
            <w:r>
              <w:t xml:space="preserve">String</w:t>
            </w:r>
          </w:p>
        </w:tc>
        <w:tc>
          <w:tcPr/>
          <w:p>
            <w:pPr>
              <w:pStyle w:val="Compact"/>
            </w:pPr>
            <w:r>
              <w:t xml:space="preserve">The element tag name or</w:t>
            </w:r>
            <w:r>
              <w:t xml:space="preserve"> </w:t>
            </w:r>
            <w:r>
              <w:rPr>
                <w:rStyle w:val="VerbatimChar"/>
              </w:rPr>
              <w:t xml:space="preserve">#text</w:t>
            </w:r>
            <w:r>
              <w:t xml:space="preserve"> </w:t>
            </w:r>
            <w:r>
              <w:t xml:space="preserve">for text nodes.</w:t>
            </w:r>
          </w:p>
        </w:tc>
      </w:tr>
      <w:tr>
        <w:tc>
          <w:tcPr/>
          <w:p>
            <w:pPr>
              <w:pStyle w:val="Compact"/>
            </w:pPr>
            <w:r>
              <w:rPr>
                <w:rStyle w:val="VerbatimChar"/>
              </w:rPr>
              <w:t xml:space="preserve">NodeValue</w:t>
            </w:r>
          </w:p>
        </w:tc>
        <w:tc>
          <w:tcPr/>
          <w:p>
            <w:pPr>
              <w:pStyle w:val="Compact"/>
            </w:pPr>
            <w:r>
              <w:t xml:space="preserve">Read/Write</w:t>
            </w:r>
          </w:p>
        </w:tc>
        <w:tc>
          <w:tcPr/>
          <w:p>
            <w:pPr>
              <w:pStyle w:val="Compact"/>
            </w:pPr>
            <w:r>
              <w:t xml:space="preserve">String</w:t>
            </w:r>
          </w:p>
        </w:tc>
        <w:tc>
          <w:tcPr/>
          <w:p>
            <w:pPr>
              <w:pStyle w:val="Compact"/>
            </w:pPr>
            <w:r>
              <w:t xml:space="preserve">The text value of the node. Settable for text and attribute nodes.</w:t>
            </w:r>
          </w:p>
        </w:tc>
      </w:tr>
      <w:tr>
        <w:tc>
          <w:tcPr/>
          <w:p>
            <w:pPr>
              <w:pStyle w:val="Compact"/>
            </w:pPr>
            <w:r>
              <w:rPr>
                <w:rStyle w:val="VerbatimChar"/>
              </w:rPr>
              <w:t xml:space="preserve">Text</w:t>
            </w:r>
          </w:p>
        </w:tc>
        <w:tc>
          <w:tcPr/>
          <w:p>
            <w:pPr>
              <w:pStyle w:val="Compact"/>
            </w:pPr>
            <w:r>
              <w:t xml:space="preserve">Read/Write</w:t>
            </w:r>
          </w:p>
        </w:tc>
        <w:tc>
          <w:tcPr/>
          <w:p>
            <w:pPr>
              <w:pStyle w:val="Compact"/>
            </w:pPr>
            <w:r>
              <w:t xml:space="preserve">String</w:t>
            </w:r>
          </w:p>
        </w:tc>
        <w:tc>
          <w:tcPr/>
          <w:p>
            <w:pPr>
              <w:pStyle w:val="Compact"/>
            </w:pPr>
            <w:r>
              <w:t xml:space="preserve">The concatenated text content of the element and all its descendants.</w:t>
            </w:r>
          </w:p>
        </w:tc>
      </w:tr>
      <w:tr>
        <w:tc>
          <w:tcPr/>
          <w:p>
            <w:pPr>
              <w:pStyle w:val="Compact"/>
            </w:pPr>
            <w:r>
              <w:rPr>
                <w:rStyle w:val="VerbatimChar"/>
              </w:rPr>
              <w:t xml:space="preserve">XML</w:t>
            </w:r>
          </w:p>
        </w:tc>
        <w:tc>
          <w:tcPr/>
          <w:p>
            <w:pPr>
              <w:pStyle w:val="Compact"/>
            </w:pPr>
            <w:r>
              <w:t xml:space="preserve">Read</w:t>
            </w:r>
          </w:p>
        </w:tc>
        <w:tc>
          <w:tcPr/>
          <w:p>
            <w:pPr>
              <w:pStyle w:val="Compact"/>
            </w:pPr>
            <w:r>
              <w:t xml:space="preserve">String</w:t>
            </w:r>
          </w:p>
        </w:tc>
        <w:tc>
          <w:tcPr/>
          <w:p>
            <w:pPr>
              <w:pStyle w:val="Compact"/>
            </w:pPr>
            <w:r>
              <w:t xml:space="preserve">The serialized XML markup of this node and its subtree.</w:t>
            </w:r>
          </w:p>
        </w:tc>
      </w:tr>
      <w:tr>
        <w:tc>
          <w:tcPr/>
          <w:p>
            <w:pPr>
              <w:pStyle w:val="Compact"/>
            </w:pPr>
            <w:r>
              <w:rPr>
                <w:rStyle w:val="VerbatimChar"/>
              </w:rPr>
              <w:t xml:space="preserve">Attributes</w:t>
            </w:r>
          </w:p>
        </w:tc>
        <w:tc>
          <w:tcPr/>
          <w:p>
            <w:pPr>
              <w:pStyle w:val="Compact"/>
            </w:pPr>
            <w:r>
              <w:t xml:space="preserve">Read</w:t>
            </w:r>
          </w:p>
        </w:tc>
        <w:tc>
          <w:tcPr/>
          <w:p>
            <w:pPr>
              <w:pStyle w:val="Compact"/>
            </w:pPr>
            <w:r>
              <w:t xml:space="preserve">Collection</w:t>
            </w:r>
          </w:p>
        </w:tc>
        <w:tc>
          <w:tcPr/>
          <w:p>
            <w:pPr>
              <w:pStyle w:val="Compact"/>
            </w:pPr>
            <w:r>
              <w:t xml:space="preserve">A collection of attribute name/value pairs.</w:t>
            </w:r>
          </w:p>
        </w:tc>
      </w:tr>
      <w:tr>
        <w:tc>
          <w:tcPr/>
          <w:p>
            <w:pPr>
              <w:pStyle w:val="Compact"/>
            </w:pPr>
            <w:r>
              <w:rPr>
                <w:rStyle w:val="VerbatimChar"/>
              </w:rPr>
              <w:t xml:space="preserve">ChildNodes</w:t>
            </w:r>
          </w:p>
        </w:tc>
        <w:tc>
          <w:tcPr/>
          <w:p>
            <w:pPr>
              <w:pStyle w:val="Compact"/>
            </w:pPr>
            <w:r>
              <w:t xml:space="preserve">Read</w:t>
            </w:r>
          </w:p>
        </w:tc>
        <w:tc>
          <w:tcPr/>
          <w:p>
            <w:pPr>
              <w:pStyle w:val="Compact"/>
            </w:pPr>
            <w:r>
              <w:t xml:space="preserve">XMLNodeList</w:t>
            </w:r>
          </w:p>
        </w:tc>
        <w:tc>
          <w:tcPr/>
          <w:p>
            <w:pPr>
              <w:pStyle w:val="Compact"/>
            </w:pPr>
            <w:r>
              <w:t xml:space="preserve">A list of all direct child nodes.</w:t>
            </w:r>
          </w:p>
        </w:tc>
      </w:tr>
      <w:tr>
        <w:tc>
          <w:tcPr/>
          <w:p>
            <w:pPr>
              <w:pStyle w:val="Compact"/>
            </w:pPr>
            <w:r>
              <w:rPr>
                <w:rStyle w:val="VerbatimChar"/>
              </w:rPr>
              <w:t xml:space="preserve">Children</w:t>
            </w:r>
          </w:p>
        </w:tc>
        <w:tc>
          <w:tcPr/>
          <w:p>
            <w:pPr>
              <w:pStyle w:val="Compact"/>
            </w:pPr>
            <w:r>
              <w:t xml:space="preserve">Read</w:t>
            </w:r>
          </w:p>
        </w:tc>
        <w:tc>
          <w:tcPr/>
          <w:p>
            <w:pPr>
              <w:pStyle w:val="Compact"/>
            </w:pPr>
            <w:r>
              <w:t xml:space="preserve">XMLNodeList</w:t>
            </w:r>
          </w:p>
        </w:tc>
        <w:tc>
          <w:tcPr/>
          <w:p>
            <w:pPr>
              <w:pStyle w:val="Compact"/>
            </w:pPr>
            <w:r>
              <w:t xml:space="preserve">Alias for</w:t>
            </w:r>
            <w:r>
              <w:t xml:space="preserve"> </w:t>
            </w:r>
            <w:r>
              <w:rPr>
                <w:rStyle w:val="VerbatimChar"/>
              </w:rPr>
              <w:t xml:space="preserve">ChildNodes</w:t>
            </w:r>
            <w:r>
              <w:t xml:space="preserve">.</w:t>
            </w:r>
          </w:p>
        </w:tc>
      </w:tr>
      <w:tr>
        <w:tc>
          <w:tcPr/>
          <w:p>
            <w:pPr>
              <w:pStyle w:val="Compact"/>
            </w:pPr>
            <w:r>
              <w:rPr>
                <w:rStyle w:val="VerbatimChar"/>
              </w:rPr>
              <w:t xml:space="preserve">FirstChild</w:t>
            </w:r>
          </w:p>
        </w:tc>
        <w:tc>
          <w:tcPr/>
          <w:p>
            <w:pPr>
              <w:pStyle w:val="Compact"/>
            </w:pPr>
            <w:r>
              <w:t xml:space="preserve">Read</w:t>
            </w:r>
          </w:p>
        </w:tc>
        <w:tc>
          <w:tcPr/>
          <w:p>
            <w:pPr>
              <w:pStyle w:val="Compact"/>
            </w:pPr>
            <w:r>
              <w:t xml:space="preserve">XMLElement</w:t>
            </w:r>
          </w:p>
        </w:tc>
        <w:tc>
          <w:tcPr/>
          <w:p>
            <w:pPr>
              <w:pStyle w:val="Compact"/>
            </w:pPr>
            <w:r>
              <w:t xml:space="preserve">The first direct child node, or Null if there are no children.</w:t>
            </w:r>
          </w:p>
        </w:tc>
      </w:tr>
      <w:tr>
        <w:tc>
          <w:tcPr/>
          <w:p>
            <w:pPr>
              <w:pStyle w:val="Compact"/>
            </w:pPr>
            <w:r>
              <w:rPr>
                <w:rStyle w:val="VerbatimChar"/>
              </w:rPr>
              <w:t xml:space="preserve">LastChild</w:t>
            </w:r>
          </w:p>
        </w:tc>
        <w:tc>
          <w:tcPr/>
          <w:p>
            <w:pPr>
              <w:pStyle w:val="Compact"/>
            </w:pPr>
            <w:r>
              <w:t xml:space="preserve">Read</w:t>
            </w:r>
          </w:p>
        </w:tc>
        <w:tc>
          <w:tcPr/>
          <w:p>
            <w:pPr>
              <w:pStyle w:val="Compact"/>
            </w:pPr>
            <w:r>
              <w:t xml:space="preserve">XMLElement</w:t>
            </w:r>
          </w:p>
        </w:tc>
        <w:tc>
          <w:tcPr/>
          <w:p>
            <w:pPr>
              <w:pStyle w:val="Compact"/>
            </w:pPr>
            <w:r>
              <w:t xml:space="preserve">The last direct child node, or Null if there are no children.</w:t>
            </w:r>
          </w:p>
        </w:tc>
      </w:tr>
      <w:tr>
        <w:tc>
          <w:tcPr/>
          <w:p>
            <w:pPr>
              <w:pStyle w:val="Compact"/>
            </w:pPr>
            <w:r>
              <w:rPr>
                <w:rStyle w:val="VerbatimChar"/>
              </w:rPr>
              <w:t xml:space="preserve">ParentNode</w:t>
            </w:r>
          </w:p>
        </w:tc>
        <w:tc>
          <w:tcPr/>
          <w:p>
            <w:pPr>
              <w:pStyle w:val="Compact"/>
            </w:pPr>
            <w:r>
              <w:t xml:space="preserve">Read</w:t>
            </w:r>
          </w:p>
        </w:tc>
        <w:tc>
          <w:tcPr/>
          <w:p>
            <w:pPr>
              <w:pStyle w:val="Compact"/>
            </w:pPr>
            <w:r>
              <w:t xml:space="preserve">XMLElement</w:t>
            </w:r>
          </w:p>
        </w:tc>
        <w:tc>
          <w:tcPr/>
          <w:p>
            <w:pPr>
              <w:pStyle w:val="Compact"/>
            </w:pPr>
            <w:r>
              <w:t xml:space="preserve">The parent element, or Null if this is the root.</w:t>
            </w:r>
          </w:p>
        </w:tc>
      </w:tr>
      <w:tr>
        <w:tc>
          <w:tcPr/>
          <w:p>
            <w:pPr>
              <w:pStyle w:val="Compact"/>
            </w:pPr>
            <w:r>
              <w:rPr>
                <w:rStyle w:val="VerbatimChar"/>
              </w:rPr>
              <w:t xml:space="preserve">Length</w:t>
            </w:r>
          </w:p>
        </w:tc>
        <w:tc>
          <w:tcPr/>
          <w:p>
            <w:pPr>
              <w:pStyle w:val="Compact"/>
            </w:pPr>
            <w:r>
              <w:t xml:space="preserve">Read</w:t>
            </w:r>
          </w:p>
        </w:tc>
        <w:tc>
          <w:tcPr/>
          <w:p>
            <w:pPr>
              <w:pStyle w:val="Compact"/>
            </w:pPr>
            <w:r>
              <w:t xml:space="preserve">Integer</w:t>
            </w:r>
          </w:p>
        </w:tc>
        <w:tc>
          <w:tcPr/>
          <w:p>
            <w:pPr>
              <w:pStyle w:val="Compact"/>
            </w:pPr>
            <w:r>
              <w:t xml:space="preserve">The number of direct child nodes.</w:t>
            </w:r>
          </w:p>
        </w:tc>
      </w:tr>
    </w:tbl>
    <w:bookmarkStart w:id="6380" w:name="methods-detail-28"/>
    <w:p>
      <w:pPr>
        <w:pStyle w:val="Heading3"/>
      </w:pPr>
      <w:r>
        <w:t xml:space="preserve">Methods Detail</w:t>
      </w:r>
    </w:p>
    <w:bookmarkEnd w:id="6380"/>
    <w:bookmarkEnd w:id="6381"/>
    <w:bookmarkEnd w:id="6382"/>
    <w:bookmarkStart w:id="6388" w:name="serverxmlhttp.open-method"/>
    <w:p>
      <w:pPr>
        <w:pStyle w:val="Heading1"/>
      </w:pPr>
      <w:r>
        <w:t xml:space="preserve">ServerXMLHTTP.Open Method</w:t>
      </w:r>
    </w:p>
    <w:p>
      <w:pPr>
        <w:pStyle w:val="FirstParagraph"/>
      </w:pPr>
      <w:r>
        <w:t xml:space="preserve">Configures the HTTP method, URL, and optional credentials for a pending request. Must be called before</w:t>
      </w:r>
      <w:r>
        <w:t xml:space="preserve"> </w:t>
      </w:r>
      <w:r>
        <w:rPr>
          <w:rStyle w:val="VerbatimChar"/>
        </w:rPr>
        <w:t xml:space="preserve">Send</w:t>
      </w:r>
      <w:r>
        <w:t xml:space="preserve">.</w:t>
      </w:r>
    </w:p>
    <w:bookmarkStart w:id="6383" w:name="syntax-744"/>
    <w:p>
      <w:pPr>
        <w:pStyle w:val="Heading2"/>
      </w:pPr>
      <w:r>
        <w:t xml:space="preserve">Syntax</w:t>
      </w:r>
    </w:p>
    <w:p>
      <w:pPr>
        <w:pStyle w:val="SourceCode"/>
      </w:pPr>
      <w:r>
        <w:rPr>
          <w:rStyle w:val="NormalTok"/>
        </w:rPr>
        <w:t xml:space="preserve">objHTTP.Open method, url [, async [, user [, password]]]</w:t>
      </w:r>
    </w:p>
    <w:bookmarkEnd w:id="6383"/>
    <w:bookmarkStart w:id="6384" w:name="parameters-35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method</w:t>
            </w:r>
          </w:p>
        </w:tc>
        <w:tc>
          <w:tcPr/>
          <w:p>
            <w:pPr>
              <w:pStyle w:val="Compact"/>
            </w:pPr>
            <w:r>
              <w:t xml:space="preserve">String</w:t>
            </w:r>
          </w:p>
        </w:tc>
        <w:tc>
          <w:tcPr/>
          <w:p>
            <w:pPr>
              <w:pStyle w:val="Compact"/>
            </w:pPr>
            <w:r>
              <w:t xml:space="preserve">Yes</w:t>
            </w:r>
          </w:p>
        </w:tc>
        <w:tc>
          <w:tcPr/>
          <w:p>
            <w:pPr>
              <w:pStyle w:val="Compact"/>
            </w:pPr>
            <w:r>
              <w:t xml:space="preserve">The HTTP verb in uppercase (e.g.,</w:t>
            </w:r>
            <w:r>
              <w:t xml:space="preserve"> </w:t>
            </w:r>
            <w:r>
              <w:rPr>
                <w:rStyle w:val="VerbatimChar"/>
              </w:rPr>
              <w:t xml:space="preserve">"GET"</w:t>
            </w:r>
            <w:r>
              <w:t xml:space="preserve">,</w:t>
            </w:r>
            <w:r>
              <w:t xml:space="preserve"> </w:t>
            </w:r>
            <w:r>
              <w:rPr>
                <w:rStyle w:val="VerbatimChar"/>
              </w:rPr>
              <w:t xml:space="preserve">"POST"</w:t>
            </w:r>
            <w:r>
              <w:t xml:space="preserve">,</w:t>
            </w:r>
            <w:r>
              <w:t xml:space="preserve"> </w:t>
            </w:r>
            <w:r>
              <w:rPr>
                <w:rStyle w:val="VerbatimChar"/>
              </w:rPr>
              <w:t xml:space="preserve">"PUT"</w:t>
            </w:r>
            <w:r>
              <w:t xml:space="preserve">,</w:t>
            </w:r>
            <w:r>
              <w:t xml:space="preserve"> </w:t>
            </w:r>
            <w:r>
              <w:rPr>
                <w:rStyle w:val="VerbatimChar"/>
              </w:rPr>
              <w:t xml:space="preserve">"DELETE"</w:t>
            </w:r>
            <w:r>
              <w:t xml:space="preserve">). The value is automatically converted to uppercase.</w:t>
            </w:r>
          </w:p>
        </w:tc>
      </w:tr>
      <w:tr>
        <w:tc>
          <w:tcPr/>
          <w:p>
            <w:pPr>
              <w:pStyle w:val="Compact"/>
            </w:pPr>
            <w:r>
              <w:rPr>
                <w:rStyle w:val="VerbatimChar"/>
              </w:rPr>
              <w:t xml:space="preserve">url</w:t>
            </w:r>
          </w:p>
        </w:tc>
        <w:tc>
          <w:tcPr/>
          <w:p>
            <w:pPr>
              <w:pStyle w:val="Compact"/>
            </w:pPr>
            <w:r>
              <w:t xml:space="preserve">String</w:t>
            </w:r>
          </w:p>
        </w:tc>
        <w:tc>
          <w:tcPr/>
          <w:p>
            <w:pPr>
              <w:pStyle w:val="Compact"/>
            </w:pPr>
            <w:r>
              <w:t xml:space="preserve">Yes</w:t>
            </w:r>
          </w:p>
        </w:tc>
        <w:tc>
          <w:tcPr/>
          <w:p>
            <w:pPr>
              <w:pStyle w:val="Compact"/>
            </w:pPr>
            <w:r>
              <w:t xml:space="preserve">The absolute URL of the resource to request.</w:t>
            </w:r>
          </w:p>
        </w:tc>
      </w:tr>
      <w:tr>
        <w:tc>
          <w:tcPr/>
          <w:p>
            <w:pPr>
              <w:pStyle w:val="Compact"/>
            </w:pPr>
            <w:r>
              <w:rPr>
                <w:rStyle w:val="VerbatimChar"/>
              </w:rPr>
              <w:t xml:space="preserve">async</w:t>
            </w:r>
          </w:p>
        </w:tc>
        <w:tc>
          <w:tcPr/>
          <w:p>
            <w:pPr>
              <w:pStyle w:val="Compact"/>
            </w:pPr>
            <w:r>
              <w:t xml:space="preserve">Boolean</w:t>
            </w:r>
          </w:p>
        </w:tc>
        <w:tc>
          <w:tcPr/>
          <w:p>
            <w:pPr>
              <w:pStyle w:val="Compact"/>
            </w:pPr>
            <w:r>
              <w:t xml:space="preserve">No</w:t>
            </w:r>
          </w:p>
        </w:tc>
        <w:tc>
          <w:tcPr/>
          <w:p>
            <w:pPr>
              <w:pStyle w:val="Compact"/>
            </w:pPr>
            <w:r>
              <w:t xml:space="preserve">Accepted for compatibility. The implementation always behaves synchronously regardless of this value.</w:t>
            </w:r>
          </w:p>
        </w:tc>
      </w:tr>
      <w:tr>
        <w:tc>
          <w:tcPr/>
          <w:p>
            <w:pPr>
              <w:pStyle w:val="Compact"/>
            </w:pPr>
            <w:r>
              <w:rPr>
                <w:rStyle w:val="VerbatimChar"/>
              </w:rPr>
              <w:t xml:space="preserve">user</w:t>
            </w:r>
          </w:p>
        </w:tc>
        <w:tc>
          <w:tcPr/>
          <w:p>
            <w:pPr>
              <w:pStyle w:val="Compact"/>
            </w:pPr>
            <w:r>
              <w:t xml:space="preserve">String</w:t>
            </w:r>
          </w:p>
        </w:tc>
        <w:tc>
          <w:tcPr/>
          <w:p>
            <w:pPr>
              <w:pStyle w:val="Compact"/>
            </w:pPr>
            <w:r>
              <w:t xml:space="preserve">No</w:t>
            </w:r>
          </w:p>
        </w:tc>
        <w:tc>
          <w:tcPr/>
          <w:p>
            <w:pPr>
              <w:pStyle w:val="Compact"/>
            </w:pPr>
            <w:r>
              <w:t xml:space="preserve">Username for HTTP Basic authentication.</w:t>
            </w:r>
          </w:p>
        </w:tc>
      </w:tr>
      <w:tr>
        <w:tc>
          <w:tcPr/>
          <w:p>
            <w:pPr>
              <w:pStyle w:val="Compact"/>
            </w:pPr>
            <w:r>
              <w:rPr>
                <w:rStyle w:val="VerbatimChar"/>
              </w:rPr>
              <w:t xml:space="preserve">password</w:t>
            </w:r>
          </w:p>
        </w:tc>
        <w:tc>
          <w:tcPr/>
          <w:p>
            <w:pPr>
              <w:pStyle w:val="Compact"/>
            </w:pPr>
            <w:r>
              <w:t xml:space="preserve">String</w:t>
            </w:r>
          </w:p>
        </w:tc>
        <w:tc>
          <w:tcPr/>
          <w:p>
            <w:pPr>
              <w:pStyle w:val="Compact"/>
            </w:pPr>
            <w:r>
              <w:t xml:space="preserve">No</w:t>
            </w:r>
          </w:p>
        </w:tc>
        <w:tc>
          <w:tcPr/>
          <w:p>
            <w:pPr>
              <w:pStyle w:val="Compact"/>
            </w:pPr>
            <w:r>
              <w:t xml:space="preserve">Password for HTTP Basic authentication.</w:t>
            </w:r>
          </w:p>
        </w:tc>
      </w:tr>
    </w:tbl>
    <w:bookmarkEnd w:id="6384"/>
    <w:bookmarkStart w:id="6385" w:name="return-value-427"/>
    <w:p>
      <w:pPr>
        <w:pStyle w:val="Heading2"/>
      </w:pPr>
      <w:r>
        <w:t xml:space="preserve">Return Value</w:t>
      </w:r>
    </w:p>
    <w:p>
      <w:pPr>
        <w:pStyle w:val="FirstParagraph"/>
      </w:pPr>
      <w:r>
        <w:t xml:space="preserve">Empty. This method does not return a value.</w:t>
      </w:r>
    </w:p>
    <w:bookmarkEnd w:id="6385"/>
    <w:bookmarkStart w:id="6386" w:name="remarks-726"/>
    <w:p>
      <w:pPr>
        <w:pStyle w:val="Heading2"/>
      </w:pPr>
      <w:r>
        <w:t xml:space="preserve">Remarks</w:t>
      </w:r>
    </w:p>
    <w:p>
      <w:pPr>
        <w:pStyle w:val="Compact"/>
        <w:numPr>
          <w:ilvl w:val="0"/>
          <w:numId w:val="2554"/>
        </w:numPr>
      </w:pPr>
      <w:r>
        <w:t xml:space="preserve">Calling</w:t>
      </w:r>
      <w:r>
        <w:t xml:space="preserve"> </w:t>
      </w:r>
      <w:r>
        <w:rPr>
          <w:rStyle w:val="VerbatimChar"/>
        </w:rPr>
        <w:t xml:space="preserve">Open</w:t>
      </w:r>
      <w:r>
        <w:t xml:space="preserve"> </w:t>
      </w:r>
      <w:r>
        <w:t xml:space="preserve">resets the object state:</w:t>
      </w:r>
      <w:r>
        <w:t xml:space="preserve"> </w:t>
      </w:r>
      <w:r>
        <w:rPr>
          <w:rStyle w:val="VerbatimChar"/>
        </w:rPr>
        <w:t xml:space="preserve">ReadyState</w:t>
      </w:r>
      <w:r>
        <w:t xml:space="preserve"> </w:t>
      </w:r>
      <w:r>
        <w:t xml:space="preserve">is set to 1 and any previously stored response data is cleared.</w:t>
      </w:r>
    </w:p>
    <w:p>
      <w:pPr>
        <w:pStyle w:val="Compact"/>
        <w:numPr>
          <w:ilvl w:val="0"/>
          <w:numId w:val="2554"/>
        </w:numPr>
      </w:pPr>
      <w:r>
        <w:t xml:space="preserve">All previously set request headers are preserved between</w:t>
      </w:r>
      <w:r>
        <w:t xml:space="preserve"> </w:t>
      </w:r>
      <w:r>
        <w:rPr>
          <w:rStyle w:val="VerbatimChar"/>
        </w:rPr>
        <w:t xml:space="preserve">Open</w:t>
      </w:r>
      <w:r>
        <w:t xml:space="preserve"> </w:t>
      </w:r>
      <w:r>
        <w:t xml:space="preserve">calls.</w:t>
      </w:r>
    </w:p>
    <w:p>
      <w:pPr>
        <w:pStyle w:val="Compact"/>
        <w:numPr>
          <w:ilvl w:val="0"/>
          <w:numId w:val="2554"/>
        </w:numPr>
      </w:pPr>
      <w:r>
        <w:t xml:space="preserve">Method names are case-insensitive.</w:t>
      </w:r>
    </w:p>
    <w:bookmarkEnd w:id="6386"/>
    <w:bookmarkStart w:id="6387" w:name="code-example-53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"https://example.com/api/items"</w:t>
      </w:r>
      <w:r>
        <w:rPr>
          <w:rStyle w:val="OtherTok"/>
        </w:rPr>
        <w:t xml:space="preserve">,</w:t>
      </w:r>
      <w:r>
        <w:rPr>
          <w:rStyle w:val="NormalTok"/>
        </w:rPr>
        <w:t xml:space="preserve"> </w:t>
      </w:r>
      <w:r>
        <w:rPr>
          <w:rStyle w:val="KeywordTok"/>
        </w:rPr>
        <w:t xml:space="preserve">False</w:t>
      </w:r>
      <w:r>
        <w:br/>
      </w:r>
      <w:r>
        <w:rPr>
          <w:rStyle w:val="NormalTok"/>
        </w:rPr>
        <w:t xml:space="preserve">oHTTP.SetRequestHeader </w:t>
      </w:r>
      <w:r>
        <w:rPr>
          <w:rStyle w:val="StringTok"/>
        </w:rPr>
        <w:t xml:space="preserve">"Accept"</w:t>
      </w:r>
      <w:r>
        <w:rPr>
          <w:rStyle w:val="OtherTok"/>
        </w:rPr>
        <w:t xml:space="preserve">,</w:t>
      </w:r>
      <w:r>
        <w:rPr>
          <w:rStyle w:val="NormalTok"/>
        </w:rPr>
        <w:t xml:space="preserve"> </w:t>
      </w:r>
      <w:r>
        <w:rPr>
          <w:rStyle w:val="StringTok"/>
        </w:rPr>
        <w:t xml:space="preserve">"application/xml"</w:t>
      </w:r>
      <w:r>
        <w:br/>
      </w:r>
      <w:r>
        <w:rPr>
          <w:rStyle w:val="NormalTok"/>
        </w:rPr>
        <w:t xml:space="preserve">oHTTP.Send</w:t>
      </w:r>
      <w:r>
        <w:br/>
      </w:r>
      <w:r>
        <w:rPr>
          <w:rStyle w:val="ControlFlowTok"/>
        </w:rPr>
        <w:t xml:space="preserve">If</w:t>
      </w:r>
      <w:r>
        <w:rPr>
          <w:rStyle w:val="NormalTok"/>
        </w:rPr>
        <w:t xml:space="preserve"> oHTTP.Status = </w:t>
      </w:r>
      <w:r>
        <w:rPr>
          <w:rStyle w:val="DecValTok"/>
        </w:rPr>
        <w:t xml:space="preserve">200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oHTTP.ResponseText</w:t>
      </w:r>
      <w:r>
        <w:br/>
      </w:r>
      <w:r>
        <w:rPr>
          <w:rStyle w:val="ControlFlowTok"/>
        </w:rPr>
        <w:t xml:space="preserve">End If</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387"/>
    <w:bookmarkEnd w:id="6388"/>
    <w:bookmarkStart w:id="6394" w:name="serverxmlhttp.setrequestheader-method"/>
    <w:p>
      <w:pPr>
        <w:pStyle w:val="Heading1"/>
      </w:pPr>
      <w:r>
        <w:t xml:space="preserve">ServerXMLHTTP.SetRequestHeader Method</w:t>
      </w:r>
    </w:p>
    <w:p>
      <w:pPr>
        <w:pStyle w:val="FirstParagraph"/>
      </w:pPr>
      <w:r>
        <w:t xml:space="preserve">Adds or replaces a request header that will be sent with the next</w:t>
      </w:r>
      <w:r>
        <w:t xml:space="preserve"> </w:t>
      </w:r>
      <w:r>
        <w:rPr>
          <w:rStyle w:val="VerbatimChar"/>
        </w:rPr>
        <w:t xml:space="preserve">Send</w:t>
      </w:r>
      <w:r>
        <w:t xml:space="preserve"> </w:t>
      </w:r>
      <w:r>
        <w:t xml:space="preserve">call.</w:t>
      </w:r>
    </w:p>
    <w:bookmarkStart w:id="6389" w:name="syntax-745"/>
    <w:p>
      <w:pPr>
        <w:pStyle w:val="Heading2"/>
      </w:pPr>
      <w:r>
        <w:t xml:space="preserve">Syntax</w:t>
      </w:r>
    </w:p>
    <w:p>
      <w:pPr>
        <w:pStyle w:val="SourceCode"/>
      </w:pPr>
      <w:r>
        <w:rPr>
          <w:rStyle w:val="NormalTok"/>
        </w:rPr>
        <w:t xml:space="preserve">objHTTP.SetRequestHeader header, value</w:t>
      </w:r>
    </w:p>
    <w:bookmarkEnd w:id="6389"/>
    <w:bookmarkStart w:id="6390" w:name="parameters-35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header</w:t>
            </w:r>
          </w:p>
        </w:tc>
        <w:tc>
          <w:tcPr/>
          <w:p>
            <w:pPr>
              <w:pStyle w:val="Compact"/>
            </w:pPr>
            <w:r>
              <w:t xml:space="preserve">String</w:t>
            </w:r>
          </w:p>
        </w:tc>
        <w:tc>
          <w:tcPr/>
          <w:p>
            <w:pPr>
              <w:pStyle w:val="Compact"/>
            </w:pPr>
            <w:r>
              <w:t xml:space="preserve">Yes</w:t>
            </w:r>
          </w:p>
        </w:tc>
        <w:tc>
          <w:tcPr/>
          <w:p>
            <w:pPr>
              <w:pStyle w:val="Compact"/>
            </w:pPr>
            <w:r>
              <w:t xml:space="preserve">The name of the HTTP header (e.g.,</w:t>
            </w:r>
            <w:r>
              <w:t xml:space="preserve"> </w:t>
            </w:r>
            <w:r>
              <w:rPr>
                <w:rStyle w:val="VerbatimChar"/>
              </w:rPr>
              <w:t xml:space="preserve">"Content-Type"</w:t>
            </w:r>
            <w:r>
              <w:t xml:space="preserve">,</w:t>
            </w:r>
            <w:r>
              <w:t xml:space="preserve"> </w:t>
            </w:r>
            <w:r>
              <w:rPr>
                <w:rStyle w:val="VerbatimChar"/>
              </w:rPr>
              <w:t xml:space="preserve">"Accept"</w:t>
            </w:r>
            <w:r>
              <w:t xml:space="preserve">).</w:t>
            </w:r>
          </w:p>
        </w:tc>
      </w:tr>
      <w:tr>
        <w:tc>
          <w:tcPr/>
          <w:p>
            <w:pPr>
              <w:pStyle w:val="Compact"/>
            </w:pPr>
            <w:r>
              <w:rPr>
                <w:rStyle w:val="VerbatimChar"/>
              </w:rPr>
              <w:t xml:space="preserve">value</w:t>
            </w:r>
          </w:p>
        </w:tc>
        <w:tc>
          <w:tcPr/>
          <w:p>
            <w:pPr>
              <w:pStyle w:val="Compact"/>
            </w:pPr>
            <w:r>
              <w:t xml:space="preserve">String</w:t>
            </w:r>
          </w:p>
        </w:tc>
        <w:tc>
          <w:tcPr/>
          <w:p>
            <w:pPr>
              <w:pStyle w:val="Compact"/>
            </w:pPr>
            <w:r>
              <w:t xml:space="preserve">Yes</w:t>
            </w:r>
          </w:p>
        </w:tc>
        <w:tc>
          <w:tcPr/>
          <w:p>
            <w:pPr>
              <w:pStyle w:val="Compact"/>
            </w:pPr>
            <w:r>
              <w:t xml:space="preserve">The value to assign to the header.</w:t>
            </w:r>
          </w:p>
        </w:tc>
      </w:tr>
    </w:tbl>
    <w:bookmarkEnd w:id="6390"/>
    <w:bookmarkStart w:id="6391" w:name="return-value-428"/>
    <w:p>
      <w:pPr>
        <w:pStyle w:val="Heading2"/>
      </w:pPr>
      <w:r>
        <w:t xml:space="preserve">Return Value</w:t>
      </w:r>
    </w:p>
    <w:p>
      <w:pPr>
        <w:pStyle w:val="FirstParagraph"/>
      </w:pPr>
      <w:r>
        <w:t xml:space="preserve">Empty. This method does not return a value.</w:t>
      </w:r>
    </w:p>
    <w:bookmarkEnd w:id="6391"/>
    <w:bookmarkStart w:id="6392" w:name="remarks-727"/>
    <w:p>
      <w:pPr>
        <w:pStyle w:val="Heading2"/>
      </w:pPr>
      <w:r>
        <w:t xml:space="preserve">Remarks</w:t>
      </w:r>
    </w:p>
    <w:p>
      <w:pPr>
        <w:pStyle w:val="Compact"/>
        <w:numPr>
          <w:ilvl w:val="0"/>
          <w:numId w:val="2555"/>
        </w:numPr>
      </w:pPr>
      <w:r>
        <w:t xml:space="preserve">If a header with the same name is already set, its value is replaced.</w:t>
      </w:r>
    </w:p>
    <w:p>
      <w:pPr>
        <w:pStyle w:val="Compact"/>
        <w:numPr>
          <w:ilvl w:val="0"/>
          <w:numId w:val="2555"/>
        </w:numPr>
      </w:pPr>
      <w:r>
        <w:t xml:space="preserve">Headers are stored until</w:t>
      </w:r>
      <w:r>
        <w:t xml:space="preserve"> </w:t>
      </w:r>
      <w:r>
        <w:rPr>
          <w:rStyle w:val="VerbatimChar"/>
        </w:rPr>
        <w:t xml:space="preserve">Open</w:t>
      </w:r>
      <w:r>
        <w:t xml:space="preserve"> </w:t>
      </w:r>
      <w:r>
        <w:t xml:space="preserve">is called on a new request or the object is released.</w:t>
      </w:r>
    </w:p>
    <w:p>
      <w:pPr>
        <w:pStyle w:val="Compact"/>
        <w:numPr>
          <w:ilvl w:val="0"/>
          <w:numId w:val="2555"/>
        </w:numPr>
      </w:pPr>
      <w:r>
        <w:t xml:space="preserve">Method names are case-insensitive.</w:t>
      </w:r>
    </w:p>
    <w:bookmarkEnd w:id="6392"/>
    <w:bookmarkStart w:id="6393" w:name="code-example-53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"https://example.com/data.xml"</w:t>
      </w:r>
      <w:r>
        <w:rPr>
          <w:rStyle w:val="OtherTok"/>
        </w:rPr>
        <w:t xml:space="preserve">,</w:t>
      </w:r>
      <w:r>
        <w:rPr>
          <w:rStyle w:val="NormalTok"/>
        </w:rPr>
        <w:t xml:space="preserve"> </w:t>
      </w:r>
      <w:r>
        <w:rPr>
          <w:rStyle w:val="KeywordTok"/>
        </w:rPr>
        <w:t xml:space="preserve">False</w:t>
      </w:r>
      <w:r>
        <w:br/>
      </w:r>
      <w:r>
        <w:rPr>
          <w:rStyle w:val="NormalTok"/>
        </w:rPr>
        <w:t xml:space="preserve">oHTTP.SetRequestHeader </w:t>
      </w:r>
      <w:r>
        <w:rPr>
          <w:rStyle w:val="StringTok"/>
        </w:rPr>
        <w:t xml:space="preserve">"Accept"</w:t>
      </w:r>
      <w:r>
        <w:rPr>
          <w:rStyle w:val="OtherTok"/>
        </w:rPr>
        <w:t xml:space="preserve">,</w:t>
      </w:r>
      <w:r>
        <w:rPr>
          <w:rStyle w:val="NormalTok"/>
        </w:rPr>
        <w:t xml:space="preserve"> </w:t>
      </w:r>
      <w:r>
        <w:rPr>
          <w:rStyle w:val="StringTok"/>
        </w:rPr>
        <w:t xml:space="preserve">"application/xml"</w:t>
      </w:r>
      <w:r>
        <w:br/>
      </w:r>
      <w:r>
        <w:rPr>
          <w:rStyle w:val="NormalTok"/>
        </w:rPr>
        <w:t xml:space="preserve">oHTTP.SetRequestHeader </w:t>
      </w:r>
      <w:r>
        <w:rPr>
          <w:rStyle w:val="StringTok"/>
        </w:rPr>
        <w:t xml:space="preserve">"Authorization"</w:t>
      </w:r>
      <w:r>
        <w:rPr>
          <w:rStyle w:val="OtherTok"/>
        </w:rPr>
        <w:t xml:space="preserve">,</w:t>
      </w:r>
      <w:r>
        <w:rPr>
          <w:rStyle w:val="NormalTok"/>
        </w:rPr>
        <w:t xml:space="preserve"> </w:t>
      </w:r>
      <w:r>
        <w:rPr>
          <w:rStyle w:val="StringTok"/>
        </w:rPr>
        <w:t xml:space="preserve">"Bearer mytoken"</w:t>
      </w:r>
      <w:r>
        <w:br/>
      </w:r>
      <w:r>
        <w:rPr>
          <w:rStyle w:val="NormalTok"/>
        </w:rPr>
        <w:t xml:space="preserve">oHTTP.Send</w:t>
      </w:r>
      <w:r>
        <w:br/>
      </w:r>
      <w:r>
        <w:rPr>
          <w:rStyle w:val="FunctionTok"/>
        </w:rPr>
        <w:t xml:space="preserve">Response</w:t>
      </w:r>
      <w:r>
        <w:rPr>
          <w:rStyle w:val="NormalTok"/>
        </w:rPr>
        <w:t xml:space="preserve">.</w:t>
      </w:r>
      <w:r>
        <w:rPr>
          <w:rStyle w:val="FunctionTok"/>
        </w:rPr>
        <w:t xml:space="preserve">Write</w:t>
      </w:r>
      <w:r>
        <w:rPr>
          <w:rStyle w:val="NormalTok"/>
        </w:rPr>
        <w:t xml:space="preserve"> oHTTP.ResponseText</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393"/>
    <w:bookmarkEnd w:id="6394"/>
    <w:bookmarkStart w:id="6400" w:name="serverxmlhttp.send-method"/>
    <w:p>
      <w:pPr>
        <w:pStyle w:val="Heading1"/>
      </w:pPr>
      <w:r>
        <w:t xml:space="preserve">ServerXMLHTTP.Send Method</w:t>
      </w:r>
    </w:p>
    <w:p>
      <w:pPr>
        <w:pStyle w:val="FirstParagraph"/>
      </w:pPr>
      <w:r>
        <w:t xml:space="preserve">Executes the HTTP request configured by</w:t>
      </w:r>
      <w:r>
        <w:t xml:space="preserve"> </w:t>
      </w:r>
      <w:r>
        <w:rPr>
          <w:rStyle w:val="VerbatimChar"/>
        </w:rPr>
        <w:t xml:space="preserve">Open</w:t>
      </w:r>
      <w:r>
        <w:t xml:space="preserve">. Blocks until the response is received or the timeout expires.</w:t>
      </w:r>
    </w:p>
    <w:bookmarkStart w:id="6395" w:name="syntax-746"/>
    <w:p>
      <w:pPr>
        <w:pStyle w:val="Heading2"/>
      </w:pPr>
      <w:r>
        <w:t xml:space="preserve">Syntax</w:t>
      </w:r>
    </w:p>
    <w:p>
      <w:pPr>
        <w:pStyle w:val="SourceCode"/>
      </w:pPr>
      <w:r>
        <w:rPr>
          <w:rStyle w:val="NormalTok"/>
        </w:rPr>
        <w:t xml:space="preserve">objHTTP.Send [body]</w:t>
      </w:r>
    </w:p>
    <w:bookmarkEnd w:id="6395"/>
    <w:bookmarkStart w:id="6396" w:name="parameters-35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body</w:t>
            </w:r>
          </w:p>
        </w:tc>
        <w:tc>
          <w:tcPr/>
          <w:p>
            <w:pPr>
              <w:pStyle w:val="Compact"/>
            </w:pPr>
            <w:r>
              <w:t xml:space="preserve">String or Byte Array</w:t>
            </w:r>
          </w:p>
        </w:tc>
        <w:tc>
          <w:tcPr/>
          <w:p>
            <w:pPr>
              <w:pStyle w:val="Compact"/>
            </w:pPr>
            <w:r>
              <w:t xml:space="preserve">No</w:t>
            </w:r>
          </w:p>
        </w:tc>
        <w:tc>
          <w:tcPr/>
          <w:p>
            <w:pPr>
              <w:pStyle w:val="Compact"/>
            </w:pPr>
            <w:r>
              <w:t xml:space="preserve">The request body to send. For</w:t>
            </w:r>
            <w:r>
              <w:t xml:space="preserve"> </w:t>
            </w:r>
            <w:r>
              <w:rPr>
                <w:rStyle w:val="VerbatimChar"/>
              </w:rPr>
              <w:t xml:space="preserve">POST</w:t>
            </w:r>
            <w:r>
              <w:t xml:space="preserve">/</w:t>
            </w:r>
            <w:r>
              <w:rPr>
                <w:rStyle w:val="VerbatimChar"/>
              </w:rPr>
              <w:t xml:space="preserve">PUT</w:t>
            </w:r>
            <w:r>
              <w:t xml:space="preserve"> </w:t>
            </w:r>
            <w:r>
              <w:t xml:space="preserve">requests, supply the payload here. String values are encoded as UTF-8. Byte arrays are sent as-is.</w:t>
            </w:r>
          </w:p>
        </w:tc>
      </w:tr>
    </w:tbl>
    <w:bookmarkEnd w:id="6396"/>
    <w:bookmarkStart w:id="6397" w:name="return-value-429"/>
    <w:p>
      <w:pPr>
        <w:pStyle w:val="Heading2"/>
      </w:pPr>
      <w:r>
        <w:t xml:space="preserve">Return Value</w:t>
      </w:r>
    </w:p>
    <w:p>
      <w:pPr>
        <w:pStyle w:val="FirstParagraph"/>
      </w:pPr>
      <w:r>
        <w:t xml:space="preserve">Empty. This method does not return a value. Read</w:t>
      </w:r>
      <w:r>
        <w:t xml:space="preserve"> </w:t>
      </w:r>
      <w:r>
        <w:rPr>
          <w:rStyle w:val="VerbatimChar"/>
        </w:rPr>
        <w:t xml:space="preserve">ResponseText</w:t>
      </w:r>
      <w:r>
        <w:t xml:space="preserve">,</w:t>
      </w:r>
      <w:r>
        <w:t xml:space="preserve"> </w:t>
      </w:r>
      <w:r>
        <w:rPr>
          <w:rStyle w:val="VerbatimChar"/>
        </w:rPr>
        <w:t xml:space="preserve">ResponseBody</w:t>
      </w:r>
      <w:r>
        <w:t xml:space="preserve">, or</w:t>
      </w:r>
      <w:r>
        <w:t xml:space="preserve"> </w:t>
      </w:r>
      <w:r>
        <w:rPr>
          <w:rStyle w:val="VerbatimChar"/>
        </w:rPr>
        <w:t xml:space="preserve">Status</w:t>
      </w:r>
      <w:r>
        <w:t xml:space="preserve"> </w:t>
      </w:r>
      <w:r>
        <w:t xml:space="preserve">after</w:t>
      </w:r>
      <w:r>
        <w:t xml:space="preserve"> </w:t>
      </w:r>
      <w:r>
        <w:rPr>
          <w:rStyle w:val="VerbatimChar"/>
        </w:rPr>
        <w:t xml:space="preserve">Send</w:t>
      </w:r>
      <w:r>
        <w:t xml:space="preserve"> </w:t>
      </w:r>
      <w:r>
        <w:t xml:space="preserve">completes.</w:t>
      </w:r>
    </w:p>
    <w:bookmarkEnd w:id="6397"/>
    <w:bookmarkStart w:id="6398" w:name="remarks-728"/>
    <w:p>
      <w:pPr>
        <w:pStyle w:val="Heading2"/>
      </w:pPr>
      <w:r>
        <w:t xml:space="preserve">Remarks</w:t>
      </w:r>
    </w:p>
    <w:p>
      <w:pPr>
        <w:pStyle w:val="Compact"/>
        <w:numPr>
          <w:ilvl w:val="0"/>
          <w:numId w:val="2556"/>
        </w:numPr>
      </w:pPr>
      <w:r>
        <w:t xml:space="preserve">If no</w:t>
      </w:r>
      <w:r>
        <w:t xml:space="preserve"> </w:t>
      </w:r>
      <w:r>
        <w:rPr>
          <w:rStyle w:val="VerbatimChar"/>
        </w:rPr>
        <w:t xml:space="preserve">Content-Type</w:t>
      </w:r>
      <w:r>
        <w:t xml:space="preserve"> </w:t>
      </w:r>
      <w:r>
        <w:t xml:space="preserve">header is set and a String body is provided,</w:t>
      </w:r>
      <w:r>
        <w:t xml:space="preserve"> </w:t>
      </w:r>
      <w:r>
        <w:rPr>
          <w:rStyle w:val="VerbatimChar"/>
        </w:rPr>
        <w:t xml:space="preserve">application/x-www-form-urlencoded</w:t>
      </w:r>
      <w:r>
        <w:t xml:space="preserve"> </w:t>
      </w:r>
      <w:r>
        <w:t xml:space="preserve">is used automatically.</w:t>
      </w:r>
    </w:p>
    <w:p>
      <w:pPr>
        <w:pStyle w:val="Compact"/>
        <w:numPr>
          <w:ilvl w:val="0"/>
          <w:numId w:val="2556"/>
        </w:numPr>
      </w:pPr>
      <w:r>
        <w:t xml:space="preserve">If no</w:t>
      </w:r>
      <w:r>
        <w:t xml:space="preserve"> </w:t>
      </w:r>
      <w:r>
        <w:rPr>
          <w:rStyle w:val="VerbatimChar"/>
        </w:rPr>
        <w:t xml:space="preserve">Content-Type</w:t>
      </w:r>
      <w:r>
        <w:t xml:space="preserve"> </w:t>
      </w:r>
      <w:r>
        <w:t xml:space="preserve">header is set and a byte array body is provided,</w:t>
      </w:r>
      <w:r>
        <w:t xml:space="preserve"> </w:t>
      </w:r>
      <w:r>
        <w:rPr>
          <w:rStyle w:val="VerbatimChar"/>
        </w:rPr>
        <w:t xml:space="preserve">application/octet-stream</w:t>
      </w:r>
      <w:r>
        <w:t xml:space="preserve"> </w:t>
      </w:r>
      <w:r>
        <w:t xml:space="preserve">is used automatically.</w:t>
      </w:r>
    </w:p>
    <w:p>
      <w:pPr>
        <w:pStyle w:val="Compact"/>
        <w:numPr>
          <w:ilvl w:val="0"/>
          <w:numId w:val="2556"/>
        </w:numPr>
      </w:pPr>
      <w:r>
        <w:t xml:space="preserve">A default</w:t>
      </w:r>
      <w:r>
        <w:t xml:space="preserve"> </w:t>
      </w:r>
      <w:r>
        <w:rPr>
          <w:rStyle w:val="VerbatimChar"/>
        </w:rPr>
        <w:t xml:space="preserve">User-Agent</w:t>
      </w:r>
      <w:r>
        <w:t xml:space="preserve"> </w:t>
      </w:r>
      <w:r>
        <w:t xml:space="preserve">header is added automatically if none is set.</w:t>
      </w:r>
    </w:p>
    <w:p>
      <w:pPr>
        <w:pStyle w:val="Compact"/>
        <w:numPr>
          <w:ilvl w:val="0"/>
          <w:numId w:val="2556"/>
        </w:numPr>
      </w:pPr>
      <w:r>
        <w:t xml:space="preserve">The request timeout defaults to 30 seconds and can be changed via the</w:t>
      </w:r>
      <w:r>
        <w:t xml:space="preserve"> </w:t>
      </w:r>
      <w:r>
        <w:rPr>
          <w:rStyle w:val="VerbatimChar"/>
        </w:rPr>
        <w:t xml:space="preserve">Timeout</w:t>
      </w:r>
      <w:r>
        <w:t xml:space="preserve"> </w:t>
      </w:r>
      <w:r>
        <w:t xml:space="preserve">property before calling</w:t>
      </w:r>
      <w:r>
        <w:t xml:space="preserve"> </w:t>
      </w:r>
      <w:r>
        <w:rPr>
          <w:rStyle w:val="VerbatimChar"/>
        </w:rPr>
        <w:t xml:space="preserve">Send</w:t>
      </w:r>
      <w:r>
        <w:t xml:space="preserve">.</w:t>
      </w:r>
    </w:p>
    <w:p>
      <w:pPr>
        <w:pStyle w:val="Compact"/>
        <w:numPr>
          <w:ilvl w:val="0"/>
          <w:numId w:val="2556"/>
        </w:numPr>
      </w:pPr>
      <w:r>
        <w:t xml:space="preserve">On completion,</w:t>
      </w:r>
      <w:r>
        <w:t xml:space="preserve"> </w:t>
      </w:r>
      <w:r>
        <w:rPr>
          <w:rStyle w:val="VerbatimChar"/>
        </w:rPr>
        <w:t xml:space="preserve">ReadyState</w:t>
      </w:r>
      <w:r>
        <w:t xml:space="preserve"> </w:t>
      </w:r>
      <w:r>
        <w:t xml:space="preserve">is set to 4.</w:t>
      </w:r>
    </w:p>
    <w:p>
      <w:pPr>
        <w:pStyle w:val="Compact"/>
        <w:numPr>
          <w:ilvl w:val="0"/>
          <w:numId w:val="2556"/>
        </w:numPr>
      </w:pPr>
      <w:r>
        <w:t xml:space="preserve">Method names are case-insensitive.</w:t>
      </w:r>
    </w:p>
    <w:bookmarkEnd w:id="6398"/>
    <w:bookmarkStart w:id="6399" w:name="code-example-53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"POST"</w:t>
      </w:r>
      <w:r>
        <w:rPr>
          <w:rStyle w:val="OtherTok"/>
        </w:rPr>
        <w:t xml:space="preserve">,</w:t>
      </w:r>
      <w:r>
        <w:rPr>
          <w:rStyle w:val="NormalTok"/>
        </w:rPr>
        <w:t xml:space="preserve"> </w:t>
      </w:r>
      <w:r>
        <w:rPr>
          <w:rStyle w:val="StringTok"/>
        </w:rPr>
        <w:t xml:space="preserve">"https://example.com/api/submit"</w:t>
      </w:r>
      <w:r>
        <w:rPr>
          <w:rStyle w:val="OtherTok"/>
        </w:rPr>
        <w:t xml:space="preserve">,</w:t>
      </w:r>
      <w:r>
        <w:rPr>
          <w:rStyle w:val="NormalTok"/>
        </w:rPr>
        <w:t xml:space="preserve"> </w:t>
      </w:r>
      <w:r>
        <w:rPr>
          <w:rStyle w:val="KeywordTok"/>
        </w:rPr>
        <w:t xml:space="preserve">False</w:t>
      </w:r>
      <w:r>
        <w:br/>
      </w:r>
      <w:r>
        <w:rPr>
          <w:rStyle w:val="NormalTok"/>
        </w:rPr>
        <w:t xml:space="preserve">oHTTP.SetRequestHeader </w:t>
      </w:r>
      <w:r>
        <w:rPr>
          <w:rStyle w:val="StringTok"/>
        </w:rPr>
        <w:t xml:space="preserve">"Content-Type"</w:t>
      </w:r>
      <w:r>
        <w:rPr>
          <w:rStyle w:val="OtherTok"/>
        </w:rPr>
        <w:t xml:space="preserve">,</w:t>
      </w:r>
      <w:r>
        <w:rPr>
          <w:rStyle w:val="NormalTok"/>
        </w:rPr>
        <w:t xml:space="preserve"> </w:t>
      </w:r>
      <w:r>
        <w:rPr>
          <w:rStyle w:val="StringTok"/>
        </w:rPr>
        <w:t xml:space="preserve">"application/json"</w:t>
      </w:r>
      <w:r>
        <w:br/>
      </w:r>
      <w:r>
        <w:rPr>
          <w:rStyle w:val="NormalTok"/>
        </w:rPr>
        <w:t xml:space="preserve">oHTTP.Send </w:t>
      </w:r>
      <w:r>
        <w:rPr>
          <w:rStyle w:val="StringTok"/>
        </w:rPr>
        <w:t xml:space="preserve">"{\"</w:t>
      </w:r>
      <w:r>
        <w:rPr>
          <w:rStyle w:val="NormalTok"/>
        </w:rPr>
        <w:t xml:space="preserve">key\</w:t>
      </w:r>
      <w:r>
        <w:rPr>
          <w:rStyle w:val="StringTok"/>
        </w:rPr>
        <w:t xml:space="preserve">":\"</w:t>
      </w:r>
      <w:r>
        <w:rPr>
          <w:rStyle w:val="NormalTok"/>
        </w:rPr>
        <w:t xml:space="preserve">value\</w:t>
      </w:r>
      <w:r>
        <w:rPr>
          <w:rStyle w:val="StringTok"/>
        </w:rPr>
        <w:t xml:space="preserve">"}"</w:t>
      </w:r>
      <w:r>
        <w:br/>
      </w:r>
      <w:r>
        <w:rPr>
          <w:rStyle w:val="ControlFlowTok"/>
        </w:rPr>
        <w:t xml:space="preserve">If</w:t>
      </w:r>
      <w:r>
        <w:rPr>
          <w:rStyle w:val="NormalTok"/>
        </w:rPr>
        <w:t xml:space="preserve"> oHTTP.Status = </w:t>
      </w:r>
      <w:r>
        <w:rPr>
          <w:rStyle w:val="DecValTok"/>
        </w:rPr>
        <w:t xml:space="preserve">200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oHTTP.ResponseText</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oHTTP.Status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oHTTP.StatusText</w:t>
      </w:r>
      <w:r>
        <w:br/>
      </w:r>
      <w:r>
        <w:rPr>
          <w:rStyle w:val="ControlFlowTok"/>
        </w:rPr>
        <w:t xml:space="preserve">End If</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399"/>
    <w:bookmarkEnd w:id="6400"/>
    <w:bookmarkStart w:id="6406" w:name="serverxmlhttp.abort-method"/>
    <w:p>
      <w:pPr>
        <w:pStyle w:val="Heading1"/>
      </w:pPr>
      <w:r>
        <w:t xml:space="preserve">ServerXMLHTTP.Abort Method</w:t>
      </w:r>
    </w:p>
    <w:p>
      <w:pPr>
        <w:pStyle w:val="FirstParagraph"/>
      </w:pPr>
      <w:r>
        <w:t xml:space="preserve">Cancels the current HTTP request immediately without waiting for a response.</w:t>
      </w:r>
    </w:p>
    <w:bookmarkStart w:id="6401" w:name="syntax-747"/>
    <w:p>
      <w:pPr>
        <w:pStyle w:val="Heading2"/>
      </w:pPr>
      <w:r>
        <w:t xml:space="preserve">Syntax</w:t>
      </w:r>
    </w:p>
    <w:p>
      <w:pPr>
        <w:pStyle w:val="SourceCode"/>
      </w:pPr>
      <w:r>
        <w:rPr>
          <w:rStyle w:val="NormalTok"/>
        </w:rPr>
        <w:t xml:space="preserve">objHTTP.Abort</w:t>
      </w:r>
    </w:p>
    <w:bookmarkEnd w:id="6401"/>
    <w:bookmarkStart w:id="6402" w:name="parameters-358"/>
    <w:p>
      <w:pPr>
        <w:pStyle w:val="Heading2"/>
      </w:pPr>
      <w:r>
        <w:t xml:space="preserve">Parameters</w:t>
      </w:r>
    </w:p>
    <w:p>
      <w:pPr>
        <w:pStyle w:val="FirstParagraph"/>
      </w:pPr>
      <w:r>
        <w:t xml:space="preserve">None.</w:t>
      </w:r>
    </w:p>
    <w:bookmarkEnd w:id="6402"/>
    <w:bookmarkStart w:id="6403" w:name="return-value-430"/>
    <w:p>
      <w:pPr>
        <w:pStyle w:val="Heading2"/>
      </w:pPr>
      <w:r>
        <w:t xml:space="preserve">Return Value</w:t>
      </w:r>
    </w:p>
    <w:p>
      <w:pPr>
        <w:pStyle w:val="FirstParagraph"/>
      </w:pPr>
      <w:r>
        <w:t xml:space="preserve">Empty. This method does not return a value.</w:t>
      </w:r>
    </w:p>
    <w:bookmarkEnd w:id="6403"/>
    <w:bookmarkStart w:id="6404" w:name="remarks-729"/>
    <w:p>
      <w:pPr>
        <w:pStyle w:val="Heading2"/>
      </w:pPr>
      <w:r>
        <w:t xml:space="preserve">Remarks</w:t>
      </w:r>
    </w:p>
    <w:p>
      <w:pPr>
        <w:pStyle w:val="Compact"/>
        <w:numPr>
          <w:ilvl w:val="0"/>
          <w:numId w:val="2557"/>
        </w:numPr>
      </w:pPr>
      <w:r>
        <w:t xml:space="preserve">Calling</w:t>
      </w:r>
      <w:r>
        <w:t xml:space="preserve"> </w:t>
      </w:r>
      <w:r>
        <w:rPr>
          <w:rStyle w:val="VerbatimChar"/>
        </w:rPr>
        <w:t xml:space="preserve">Abort</w:t>
      </w:r>
      <w:r>
        <w:t xml:space="preserve"> </w:t>
      </w:r>
      <w:r>
        <w:t xml:space="preserve">sets</w:t>
      </w:r>
      <w:r>
        <w:t xml:space="preserve"> </w:t>
      </w:r>
      <w:r>
        <w:rPr>
          <w:rStyle w:val="VerbatimChar"/>
        </w:rPr>
        <w:t xml:space="preserve">ReadyState</w:t>
      </w:r>
      <w:r>
        <w:t xml:space="preserve"> </w:t>
      </w:r>
      <w:r>
        <w:t xml:space="preserve">to 4 without populating any response properties.</w:t>
      </w:r>
    </w:p>
    <w:p>
      <w:pPr>
        <w:pStyle w:val="Compact"/>
        <w:numPr>
          <w:ilvl w:val="0"/>
          <w:numId w:val="2557"/>
        </w:numPr>
      </w:pPr>
      <w:r>
        <w:t xml:space="preserve">Method names are case-insensitive.</w:t>
      </w:r>
    </w:p>
    <w:bookmarkEnd w:id="6404"/>
    <w:bookmarkStart w:id="6405" w:name="code-example-53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"https://example.com/large-file"</w:t>
      </w:r>
      <w:r>
        <w:rPr>
          <w:rStyle w:val="OtherTok"/>
        </w:rPr>
        <w:t xml:space="preserve">,</w:t>
      </w:r>
      <w:r>
        <w:rPr>
          <w:rStyle w:val="NormalTok"/>
        </w:rPr>
        <w:t xml:space="preserve"> </w:t>
      </w:r>
      <w:r>
        <w:rPr>
          <w:rStyle w:val="KeywordTok"/>
        </w:rPr>
        <w:t xml:space="preserve">False</w:t>
      </w:r>
      <w:r>
        <w:br/>
      </w:r>
      <w:r>
        <w:rPr>
          <w:rStyle w:val="NormalTok"/>
        </w:rPr>
        <w:t xml:space="preserve">On Error Resume </w:t>
      </w:r>
      <w:r>
        <w:rPr>
          <w:rStyle w:val="ControlFlowTok"/>
        </w:rPr>
        <w:t xml:space="preserve">Next</w:t>
      </w:r>
      <w:r>
        <w:br/>
      </w:r>
      <w:r>
        <w:rPr>
          <w:rStyle w:val="NormalTok"/>
        </w:rPr>
        <w:t xml:space="preserve">oHTTP.Abort</w:t>
      </w:r>
      <w:r>
        <w:br/>
      </w:r>
      <w:r>
        <w:rPr>
          <w:rStyle w:val="NormalTok"/>
        </w:rPr>
        <w:t xml:space="preserve">On Error GoTo </w:t>
      </w:r>
      <w:r>
        <w:rPr>
          <w:rStyle w:val="DecValTok"/>
        </w:rPr>
        <w:t xml:space="preserve">0</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405"/>
    <w:bookmarkEnd w:id="6406"/>
    <w:bookmarkStart w:id="6412" w:name="serverxmlhttp.getresponseheader-method"/>
    <w:p>
      <w:pPr>
        <w:pStyle w:val="Heading1"/>
      </w:pPr>
      <w:r>
        <w:t xml:space="preserve">ServerXMLHTTP.GetResponseHeader Method</w:t>
      </w:r>
    </w:p>
    <w:p>
      <w:pPr>
        <w:pStyle w:val="FirstParagraph"/>
      </w:pPr>
      <w:r>
        <w:t xml:space="preserve">Returns the value of a single response header by name.</w:t>
      </w:r>
    </w:p>
    <w:bookmarkStart w:id="6407" w:name="syntax-748"/>
    <w:p>
      <w:pPr>
        <w:pStyle w:val="Heading2"/>
      </w:pPr>
      <w:r>
        <w:t xml:space="preserve">Syntax</w:t>
      </w:r>
    </w:p>
    <w:p>
      <w:pPr>
        <w:pStyle w:val="SourceCode"/>
      </w:pPr>
      <w:r>
        <w:rPr>
          <w:rStyle w:val="NormalTok"/>
        </w:rPr>
        <w:t xml:space="preserve">value = objHTTP.GetResponseHeader(header)</w:t>
      </w:r>
    </w:p>
    <w:bookmarkEnd w:id="6407"/>
    <w:bookmarkStart w:id="6408" w:name="parameters-359"/>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header</w:t>
            </w:r>
          </w:p>
        </w:tc>
        <w:tc>
          <w:tcPr/>
          <w:p>
            <w:pPr>
              <w:pStyle w:val="Compact"/>
            </w:pPr>
            <w:r>
              <w:t xml:space="preserve">String</w:t>
            </w:r>
          </w:p>
        </w:tc>
        <w:tc>
          <w:tcPr/>
          <w:p>
            <w:pPr>
              <w:pStyle w:val="Compact"/>
            </w:pPr>
            <w:r>
              <w:t xml:space="preserve">Yes</w:t>
            </w:r>
          </w:p>
        </w:tc>
        <w:tc>
          <w:tcPr/>
          <w:p>
            <w:pPr>
              <w:pStyle w:val="Compact"/>
            </w:pPr>
            <w:r>
              <w:t xml:space="preserve">The name of the response header to retrieve. The lookup is case-insensitive.</w:t>
            </w:r>
          </w:p>
        </w:tc>
      </w:tr>
    </w:tbl>
    <w:bookmarkEnd w:id="6408"/>
    <w:bookmarkStart w:id="6409" w:name="return-value-431"/>
    <w:p>
      <w:pPr>
        <w:pStyle w:val="Heading2"/>
      </w:pPr>
      <w:r>
        <w:t xml:space="preserve">Return Value</w:t>
      </w:r>
    </w:p>
    <w:p>
      <w:pPr>
        <w:pStyle w:val="FirstParagraph"/>
      </w:pPr>
      <w:r>
        <w:t xml:space="preserve">String. The value of the specified header. Returns an empty String if the header is not present in the response.</w:t>
      </w:r>
    </w:p>
    <w:bookmarkEnd w:id="6409"/>
    <w:bookmarkStart w:id="6410" w:name="remarks-730"/>
    <w:p>
      <w:pPr>
        <w:pStyle w:val="Heading2"/>
      </w:pPr>
      <w:r>
        <w:t xml:space="preserve">Remarks</w:t>
      </w:r>
    </w:p>
    <w:p>
      <w:pPr>
        <w:pStyle w:val="Compact"/>
        <w:numPr>
          <w:ilvl w:val="0"/>
          <w:numId w:val="2558"/>
        </w:numPr>
      </w:pPr>
      <w:r>
        <w:t xml:space="preserve">Call this method only after</w:t>
      </w:r>
      <w:r>
        <w:t xml:space="preserve"> </w:t>
      </w:r>
      <w:r>
        <w:rPr>
          <w:rStyle w:val="VerbatimChar"/>
        </w:rPr>
        <w:t xml:space="preserve">Send</w:t>
      </w:r>
      <w:r>
        <w:t xml:space="preserve"> </w:t>
      </w:r>
      <w:r>
        <w:t xml:space="preserve">has completed (</w:t>
      </w:r>
      <w:r>
        <w:rPr>
          <w:rStyle w:val="VerbatimChar"/>
        </w:rPr>
        <w:t xml:space="preserve">ReadyState = 4</w:t>
      </w:r>
      <w:r>
        <w:t xml:space="preserve">).</w:t>
      </w:r>
    </w:p>
    <w:p>
      <w:pPr>
        <w:pStyle w:val="Compact"/>
        <w:numPr>
          <w:ilvl w:val="0"/>
          <w:numId w:val="2558"/>
        </w:numPr>
      </w:pPr>
      <w:r>
        <w:t xml:space="preserve">The header name lookup is case-insensitive.</w:t>
      </w:r>
    </w:p>
    <w:p>
      <w:pPr>
        <w:pStyle w:val="Compact"/>
        <w:numPr>
          <w:ilvl w:val="0"/>
          <w:numId w:val="2558"/>
        </w:numPr>
      </w:pPr>
      <w:r>
        <w:t xml:space="preserve">Method names are case-insensitive.</w:t>
      </w:r>
    </w:p>
    <w:bookmarkEnd w:id="6410"/>
    <w:bookmarkStart w:id="6411" w:name="code-example-53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rPr>
          <w:rStyle w:val="OtherTok"/>
        </w:rPr>
        <w:t xml:space="preserve">,</w:t>
      </w:r>
      <w:r>
        <w:rPr>
          <w:rStyle w:val="NormalTok"/>
        </w:rPr>
        <w:t xml:space="preserve"> sContentType</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"https://example.com/data"</w:t>
      </w:r>
      <w:r>
        <w:rPr>
          <w:rStyle w:val="OtherTok"/>
        </w:rPr>
        <w:t xml:space="preserve">,</w:t>
      </w:r>
      <w:r>
        <w:rPr>
          <w:rStyle w:val="NormalTok"/>
        </w:rPr>
        <w:t xml:space="preserve"> </w:t>
      </w:r>
      <w:r>
        <w:rPr>
          <w:rStyle w:val="KeywordTok"/>
        </w:rPr>
        <w:t xml:space="preserve">False</w:t>
      </w:r>
      <w:r>
        <w:br/>
      </w:r>
      <w:r>
        <w:rPr>
          <w:rStyle w:val="NormalTok"/>
        </w:rPr>
        <w:t xml:space="preserve">oHTTP.Send</w:t>
      </w:r>
      <w:r>
        <w:br/>
      </w:r>
      <w:r>
        <w:rPr>
          <w:rStyle w:val="NormalTok"/>
        </w:rPr>
        <w:t xml:space="preserve">sContentType = oHTTP.GetResponseHeader</w:t>
      </w:r>
      <w:r>
        <w:rPr>
          <w:rStyle w:val="OtherTok"/>
        </w:rPr>
        <w:t xml:space="preserve">(</w:t>
      </w:r>
      <w:r>
        <w:rPr>
          <w:rStyle w:val="StringTok"/>
        </w:rPr>
        <w:t xml:space="preserve">"Content-Type"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"Content-Type: "</w:t>
      </w:r>
      <w:r>
        <w:rPr>
          <w:rStyle w:val="NormalTok"/>
        </w:rPr>
        <w:t xml:space="preserve"> </w:t>
      </w:r>
      <w:r>
        <w:rPr>
          <w:rStyle w:val="KeywordTok"/>
        </w:rPr>
        <w:t xml:space="preserve">&amp;</w:t>
      </w:r>
      <w:r>
        <w:rPr>
          <w:rStyle w:val="NormalTok"/>
        </w:rPr>
        <w:t xml:space="preserve"> sContentType</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411"/>
    <w:bookmarkEnd w:id="6412"/>
    <w:bookmarkStart w:id="6418" w:name="Xea0921ff5844ff65a13c41b4915825b94fe9f09"/>
    <w:p>
      <w:pPr>
        <w:pStyle w:val="Heading1"/>
      </w:pPr>
      <w:r>
        <w:t xml:space="preserve">ServerXMLHTTP.GetAllResponseHeaders Method</w:t>
      </w:r>
    </w:p>
    <w:p>
      <w:pPr>
        <w:pStyle w:val="FirstParagraph"/>
      </w:pPr>
      <w:r>
        <w:t xml:space="preserve">Returns all response headers as a single CRLF-delimited string.</w:t>
      </w:r>
    </w:p>
    <w:bookmarkStart w:id="6413" w:name="syntax-749"/>
    <w:p>
      <w:pPr>
        <w:pStyle w:val="Heading2"/>
      </w:pPr>
      <w:r>
        <w:t xml:space="preserve">Syntax</w:t>
      </w:r>
    </w:p>
    <w:p>
      <w:pPr>
        <w:pStyle w:val="SourceCode"/>
      </w:pPr>
      <w:r>
        <w:rPr>
          <w:rStyle w:val="NormalTok"/>
        </w:rPr>
        <w:t xml:space="preserve">headers = objHTTP.GetAllResponseHeaders()</w:t>
      </w:r>
    </w:p>
    <w:bookmarkEnd w:id="6413"/>
    <w:bookmarkStart w:id="6414" w:name="parameters-360"/>
    <w:p>
      <w:pPr>
        <w:pStyle w:val="Heading2"/>
      </w:pPr>
      <w:r>
        <w:t xml:space="preserve">Parameters</w:t>
      </w:r>
    </w:p>
    <w:p>
      <w:pPr>
        <w:pStyle w:val="FirstParagraph"/>
      </w:pPr>
      <w:r>
        <w:t xml:space="preserve">None.</w:t>
      </w:r>
    </w:p>
    <w:bookmarkEnd w:id="6414"/>
    <w:bookmarkStart w:id="6415" w:name="return-value-432"/>
    <w:p>
      <w:pPr>
        <w:pStyle w:val="Heading2"/>
      </w:pPr>
      <w:r>
        <w:t xml:space="preserve">Return Value</w:t>
      </w:r>
    </w:p>
    <w:p>
      <w:pPr>
        <w:pStyle w:val="FirstParagraph"/>
      </w:pPr>
      <w:r>
        <w:t xml:space="preserve">String. All response headers concatenated in</w:t>
      </w:r>
      <w:r>
        <w:t xml:space="preserve"> </w:t>
      </w:r>
      <w:r>
        <w:rPr>
          <w:rStyle w:val="VerbatimChar"/>
        </w:rPr>
        <w:t xml:space="preserve">Header: Value\r\n</w:t>
      </w:r>
      <w:r>
        <w:t xml:space="preserve"> </w:t>
      </w:r>
      <w:r>
        <w:t xml:space="preserve">format. Returns an empty String if no response has been received.</w:t>
      </w:r>
    </w:p>
    <w:bookmarkEnd w:id="6415"/>
    <w:bookmarkStart w:id="6416" w:name="remarks-731"/>
    <w:p>
      <w:pPr>
        <w:pStyle w:val="Heading2"/>
      </w:pPr>
      <w:r>
        <w:t xml:space="preserve">Remarks</w:t>
      </w:r>
    </w:p>
    <w:p>
      <w:pPr>
        <w:pStyle w:val="Compact"/>
        <w:numPr>
          <w:ilvl w:val="0"/>
          <w:numId w:val="2559"/>
        </w:numPr>
      </w:pPr>
      <w:r>
        <w:t xml:space="preserve">Call this method only after</w:t>
      </w:r>
      <w:r>
        <w:t xml:space="preserve"> </w:t>
      </w:r>
      <w:r>
        <w:rPr>
          <w:rStyle w:val="VerbatimChar"/>
        </w:rPr>
        <w:t xml:space="preserve">Send</w:t>
      </w:r>
      <w:r>
        <w:t xml:space="preserve"> </w:t>
      </w:r>
      <w:r>
        <w:t xml:space="preserve">has completed (</w:t>
      </w:r>
      <w:r>
        <w:rPr>
          <w:rStyle w:val="VerbatimChar"/>
        </w:rPr>
        <w:t xml:space="preserve">ReadyState = 4</w:t>
      </w:r>
      <w:r>
        <w:t xml:space="preserve">).</w:t>
      </w:r>
    </w:p>
    <w:p>
      <w:pPr>
        <w:pStyle w:val="Compact"/>
        <w:numPr>
          <w:ilvl w:val="0"/>
          <w:numId w:val="2559"/>
        </w:numPr>
      </w:pPr>
      <w:r>
        <w:t xml:space="preserve">Each line is of the form</w:t>
      </w:r>
      <w:r>
        <w:t xml:space="preserve"> </w:t>
      </w:r>
      <w:r>
        <w:rPr>
          <w:rStyle w:val="VerbatimChar"/>
        </w:rPr>
        <w:t xml:space="preserve">Header-Name: value</w:t>
      </w:r>
      <w:r>
        <w:t xml:space="preserve"> </w:t>
      </w:r>
      <w:r>
        <w:t xml:space="preserve">followed by a carriage return and line feed (</w:t>
      </w:r>
      <w:r>
        <w:rPr>
          <w:rStyle w:val="VerbatimChar"/>
        </w:rPr>
        <w:t xml:space="preserve">\r\n</w:t>
      </w:r>
      <w:r>
        <w:t xml:space="preserve">).</w:t>
      </w:r>
    </w:p>
    <w:p>
      <w:pPr>
        <w:pStyle w:val="Compact"/>
        <w:numPr>
          <w:ilvl w:val="0"/>
          <w:numId w:val="2559"/>
        </w:numPr>
      </w:pPr>
      <w:r>
        <w:t xml:space="preserve">Method names are case-insensitive.</w:t>
      </w:r>
    </w:p>
    <w:bookmarkEnd w:id="6416"/>
    <w:bookmarkStart w:id="6417" w:name="code-example-53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rPr>
          <w:rStyle w:val="OtherTok"/>
        </w:rPr>
        <w:t xml:space="preserve">,</w:t>
      </w:r>
      <w:r>
        <w:rPr>
          <w:rStyle w:val="NormalTok"/>
        </w:rPr>
        <w:t xml:space="preserve"> sHeaders</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w:t>
      </w:r>
      <w:r>
        <w:rPr>
          <w:rStyle w:val="OtherTok"/>
        </w:rPr>
        <w:t xml:space="preserve">,</w:t>
      </w:r>
      <w:r>
        <w:rPr>
          <w:rStyle w:val="NormalTok"/>
        </w:rPr>
        <w:t xml:space="preserve"> </w:t>
      </w:r>
      <w:r>
        <w:rPr>
          <w:rStyle w:val="KeywordTok"/>
        </w:rPr>
        <w:t xml:space="preserve">False</w:t>
      </w:r>
      <w:r>
        <w:br/>
      </w:r>
      <w:r>
        <w:rPr>
          <w:rStyle w:val="NormalTok"/>
        </w:rPr>
        <w:t xml:space="preserve">oHTTP.Send</w:t>
      </w:r>
      <w:r>
        <w:br/>
      </w:r>
      <w:r>
        <w:rPr>
          <w:rStyle w:val="NormalTok"/>
        </w:rPr>
        <w:t xml:space="preserve">sHeaders = oHTTP.GetAllResponseHeaders</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"&lt;pre&gt;"</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.HTMLEncode</w:t>
      </w:r>
      <w:r>
        <w:rPr>
          <w:rStyle w:val="OtherTok"/>
        </w:rPr>
        <w:t xml:space="preserve">(</w:t>
      </w:r>
      <w:r>
        <w:rPr>
          <w:rStyle w:val="NormalTok"/>
        </w:rPr>
        <w:t xml:space="preserve">sHeaders</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"&lt;/pre&gt;"</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417"/>
    <w:bookmarkEnd w:id="6418"/>
    <w:bookmarkStart w:id="6424" w:name="domdocument.getproperty-method"/>
    <w:p>
      <w:pPr>
        <w:pStyle w:val="Heading1"/>
      </w:pPr>
      <w:r>
        <w:t xml:space="preserve">DOMDocument.GetProperty Method</w:t>
      </w:r>
    </w:p>
    <w:p>
      <w:pPr>
        <w:pStyle w:val="FirstParagraph"/>
      </w:pPr>
      <w:r>
        <w:t xml:space="preserve">Returns the current value of a named document property.</w:t>
      </w:r>
    </w:p>
    <w:bookmarkStart w:id="6419" w:name="syntax-750"/>
    <w:p>
      <w:pPr>
        <w:pStyle w:val="Heading2"/>
      </w:pPr>
      <w:r>
        <w:t xml:space="preserve">Syntax</w:t>
      </w:r>
    </w:p>
    <w:p>
      <w:pPr>
        <w:pStyle w:val="SourceCode"/>
      </w:pPr>
      <w:r>
        <w:rPr>
          <w:rStyle w:val="NormalTok"/>
        </w:rPr>
        <w:t xml:space="preserve">value = objXML.GetProperty(name)</w:t>
      </w:r>
    </w:p>
    <w:bookmarkEnd w:id="6419"/>
    <w:bookmarkStart w:id="6420" w:name="parameters-36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Yes</w:t>
            </w:r>
          </w:p>
        </w:tc>
        <w:tc>
          <w:tcPr/>
          <w:p>
            <w:pPr>
              <w:pStyle w:val="Compact"/>
            </w:pPr>
            <w:r>
              <w:t xml:space="preserve">The name of the property to retrieve (e.g.,</w:t>
            </w:r>
            <w:r>
              <w:t xml:space="preserve"> </w:t>
            </w:r>
            <w:r>
              <w:rPr>
                <w:rStyle w:val="VerbatimChar"/>
              </w:rPr>
              <w:t xml:space="preserve">"SelectionLanguage"</w:t>
            </w:r>
            <w:r>
              <w:t xml:space="preserve">,</w:t>
            </w:r>
            <w:r>
              <w:t xml:space="preserve"> </w:t>
            </w:r>
            <w:r>
              <w:rPr>
                <w:rStyle w:val="VerbatimChar"/>
              </w:rPr>
              <w:t xml:space="preserve">"SelectionNamespaces"</w:t>
            </w:r>
            <w:r>
              <w:t xml:space="preserve">).</w:t>
            </w:r>
          </w:p>
        </w:tc>
      </w:tr>
    </w:tbl>
    <w:bookmarkEnd w:id="6420"/>
    <w:bookmarkStart w:id="6421" w:name="return-value-433"/>
    <w:p>
      <w:pPr>
        <w:pStyle w:val="Heading2"/>
      </w:pPr>
      <w:r>
        <w:t xml:space="preserve">Return Value</w:t>
      </w:r>
    </w:p>
    <w:p>
      <w:pPr>
        <w:pStyle w:val="FirstParagraph"/>
      </w:pPr>
      <w:r>
        <w:t xml:space="preserve">Variant. The current value of the named property. Returns Empty if the property name is not recognized.</w:t>
      </w:r>
    </w:p>
    <w:bookmarkEnd w:id="6421"/>
    <w:bookmarkStart w:id="6422" w:name="remarks-732"/>
    <w:p>
      <w:pPr>
        <w:pStyle w:val="Heading2"/>
      </w:pPr>
      <w:r>
        <w:t xml:space="preserve">Remarks</w:t>
      </w:r>
    </w:p>
    <w:p>
      <w:pPr>
        <w:pStyle w:val="Compact"/>
        <w:numPr>
          <w:ilvl w:val="0"/>
          <w:numId w:val="2560"/>
        </w:numPr>
      </w:pPr>
      <w:r>
        <w:t xml:space="preserve">This method is equivalent to reading the corresponding named property directly (e.g.,</w:t>
      </w:r>
      <w:r>
        <w:t xml:space="preserve"> </w:t>
      </w:r>
      <w:r>
        <w:rPr>
          <w:rStyle w:val="VerbatimChar"/>
        </w:rPr>
        <w:t xml:space="preserve">objXML.SelectionNamespaces</w:t>
      </w:r>
      <w:r>
        <w:t xml:space="preserve">).</w:t>
      </w:r>
    </w:p>
    <w:p>
      <w:pPr>
        <w:pStyle w:val="Compact"/>
        <w:numPr>
          <w:ilvl w:val="0"/>
          <w:numId w:val="2560"/>
        </w:numPr>
      </w:pPr>
      <w:r>
        <w:t xml:space="preserve">Recognised property names:</w:t>
      </w:r>
      <w:r>
        <w:t xml:space="preserve"> </w:t>
      </w:r>
      <w:r>
        <w:rPr>
          <w:rStyle w:val="VerbatimChar"/>
        </w:rPr>
        <w:t xml:space="preserve">SelectionLanguage</w:t>
      </w:r>
      <w:r>
        <w:t xml:space="preserve">,</w:t>
      </w:r>
      <w:r>
        <w:t xml:space="preserve"> </w:t>
      </w:r>
      <w:r>
        <w:rPr>
          <w:rStyle w:val="VerbatimChar"/>
        </w:rPr>
        <w:t xml:space="preserve">SelectionNamespaces</w:t>
      </w:r>
      <w:r>
        <w:t xml:space="preserve">,</w:t>
      </w:r>
      <w:r>
        <w:t xml:space="preserve"> </w:t>
      </w:r>
      <w:r>
        <w:rPr>
          <w:rStyle w:val="VerbatimChar"/>
        </w:rPr>
        <w:t xml:space="preserve">ResolveExternals</w:t>
      </w:r>
      <w:r>
        <w:t xml:space="preserve">,</w:t>
      </w:r>
      <w:r>
        <w:t xml:space="preserve"> </w:t>
      </w:r>
      <w:r>
        <w:rPr>
          <w:rStyle w:val="VerbatimChar"/>
        </w:rPr>
        <w:t xml:space="preserve">ValidateOnParse</w:t>
      </w:r>
      <w:r>
        <w:t xml:space="preserve">,</w:t>
      </w:r>
      <w:r>
        <w:t xml:space="preserve"> </w:t>
      </w:r>
      <w:r>
        <w:rPr>
          <w:rStyle w:val="VerbatimChar"/>
        </w:rPr>
        <w:t xml:space="preserve">PreserveWhiteSpace</w:t>
      </w:r>
      <w:r>
        <w:t xml:space="preserve">,</w:t>
      </w:r>
      <w:r>
        <w:t xml:space="preserve"> </w:t>
      </w:r>
      <w:r>
        <w:rPr>
          <w:rStyle w:val="VerbatimChar"/>
        </w:rPr>
        <w:t xml:space="preserve">ServerHTTPRequest</w:t>
      </w:r>
      <w:r>
        <w:t xml:space="preserve">,</w:t>
      </w:r>
      <w:r>
        <w:t xml:space="preserve"> </w:t>
      </w:r>
      <w:r>
        <w:rPr>
          <w:rStyle w:val="VerbatimChar"/>
        </w:rPr>
        <w:t xml:space="preserve">Async</w:t>
      </w:r>
      <w:r>
        <w:t xml:space="preserve">.</w:t>
      </w:r>
    </w:p>
    <w:p>
      <w:pPr>
        <w:pStyle w:val="Compact"/>
        <w:numPr>
          <w:ilvl w:val="0"/>
          <w:numId w:val="2560"/>
        </w:numPr>
      </w:pPr>
      <w:r>
        <w:t xml:space="preserve">Method names are case-insensitive.</w:t>
      </w:r>
    </w:p>
    <w:bookmarkEnd w:id="6422"/>
    <w:bookmarkStart w:id="6423" w:name="code-example-53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sLang</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sLang = oXML.GetProperty</w:t>
      </w:r>
      <w:r>
        <w:rPr>
          <w:rStyle w:val="OtherTok"/>
        </w:rPr>
        <w:t xml:space="preserve">(</w:t>
      </w:r>
      <w:r>
        <w:rPr>
          <w:rStyle w:val="StringTok"/>
        </w:rPr>
        <w:t xml:space="preserve">"SelectionLanguage"</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"SelectionLanguage: "</w:t>
      </w:r>
      <w:r>
        <w:rPr>
          <w:rStyle w:val="NormalTok"/>
        </w:rPr>
        <w:t xml:space="preserve"> </w:t>
      </w:r>
      <w:r>
        <w:rPr>
          <w:rStyle w:val="KeywordTok"/>
        </w:rPr>
        <w:t xml:space="preserve">&amp;</w:t>
      </w:r>
      <w:r>
        <w:rPr>
          <w:rStyle w:val="NormalTok"/>
        </w:rPr>
        <w:t xml:space="preserve"> sLang</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23"/>
    <w:bookmarkEnd w:id="6424"/>
    <w:bookmarkStart w:id="6430" w:name="domdocument.setproperty-method"/>
    <w:p>
      <w:pPr>
        <w:pStyle w:val="Heading1"/>
      </w:pPr>
      <w:r>
        <w:t xml:space="preserve">DOMDocument.SetProperty Method</w:t>
      </w:r>
    </w:p>
    <w:p>
      <w:pPr>
        <w:pStyle w:val="FirstParagraph"/>
      </w:pPr>
      <w:r>
        <w:t xml:space="preserve">Sets a named document property that controls parsing and query behaviour.</w:t>
      </w:r>
    </w:p>
    <w:bookmarkStart w:id="6425" w:name="syntax-751"/>
    <w:p>
      <w:pPr>
        <w:pStyle w:val="Heading2"/>
      </w:pPr>
      <w:r>
        <w:t xml:space="preserve">Syntax</w:t>
      </w:r>
    </w:p>
    <w:p>
      <w:pPr>
        <w:pStyle w:val="SourceCode"/>
      </w:pPr>
      <w:r>
        <w:rPr>
          <w:rStyle w:val="NormalTok"/>
        </w:rPr>
        <w:t xml:space="preserve">objXML.SetProperty name, value</w:t>
      </w:r>
    </w:p>
    <w:bookmarkEnd w:id="6425"/>
    <w:bookmarkStart w:id="6426" w:name="parameters-362"/>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Yes</w:t>
            </w:r>
          </w:p>
        </w:tc>
        <w:tc>
          <w:tcPr/>
          <w:p>
            <w:pPr>
              <w:pStyle w:val="Compact"/>
            </w:pPr>
            <w:r>
              <w:t xml:space="preserve">The name of the property to set.</w:t>
            </w:r>
          </w:p>
        </w:tc>
      </w:tr>
      <w:tr>
        <w:tc>
          <w:tcPr/>
          <w:p>
            <w:pPr>
              <w:pStyle w:val="Compact"/>
            </w:pPr>
            <w:r>
              <w:rPr>
                <w:rStyle w:val="VerbatimChar"/>
              </w:rPr>
              <w:t xml:space="preserve">value</w:t>
            </w:r>
          </w:p>
        </w:tc>
        <w:tc>
          <w:tcPr/>
          <w:p>
            <w:pPr>
              <w:pStyle w:val="Compact"/>
            </w:pPr>
            <w:r>
              <w:t xml:space="preserve">Variant</w:t>
            </w:r>
          </w:p>
        </w:tc>
        <w:tc>
          <w:tcPr/>
          <w:p>
            <w:pPr>
              <w:pStyle w:val="Compact"/>
            </w:pPr>
            <w:r>
              <w:t xml:space="preserve">Yes</w:t>
            </w:r>
          </w:p>
        </w:tc>
        <w:tc>
          <w:tcPr/>
          <w:p>
            <w:pPr>
              <w:pStyle w:val="Compact"/>
            </w:pPr>
            <w:r>
              <w:t xml:space="preserve">The new value for the property.</w:t>
            </w:r>
          </w:p>
        </w:tc>
      </w:tr>
    </w:tbl>
    <w:bookmarkEnd w:id="6426"/>
    <w:bookmarkStart w:id="6427" w:name="return-value-434"/>
    <w:p>
      <w:pPr>
        <w:pStyle w:val="Heading2"/>
      </w:pPr>
      <w:r>
        <w:t xml:space="preserve">Return Value</w:t>
      </w:r>
    </w:p>
    <w:p>
      <w:pPr>
        <w:pStyle w:val="FirstParagraph"/>
      </w:pPr>
      <w:r>
        <w:t xml:space="preserve">Empty. This method does not return a value.</w:t>
      </w:r>
    </w:p>
    <w:bookmarkEnd w:id="6427"/>
    <w:bookmarkStart w:id="6428" w:name="remarks-733"/>
    <w:p>
      <w:pPr>
        <w:pStyle w:val="Heading2"/>
      </w:pPr>
      <w:r>
        <w:t xml:space="preserve">Remarks</w:t>
      </w:r>
    </w:p>
    <w:p>
      <w:pPr>
        <w:pStyle w:val="Compact"/>
        <w:numPr>
          <w:ilvl w:val="0"/>
          <w:numId w:val="2561"/>
        </w:numPr>
      </w:pPr>
      <w:r>
        <w:t xml:space="preserve">This method is equivalent to assigning the corresponding named property directly.</w:t>
      </w:r>
    </w:p>
    <w:p>
      <w:pPr>
        <w:pStyle w:val="Compact"/>
        <w:numPr>
          <w:ilvl w:val="0"/>
          <w:numId w:val="2561"/>
        </w:numPr>
      </w:pPr>
      <w:r>
        <w:t xml:space="preserve">The most commonly used property is</w:t>
      </w:r>
      <w:r>
        <w:t xml:space="preserve"> </w:t>
      </w:r>
      <w:r>
        <w:rPr>
          <w:rStyle w:val="VerbatimChar"/>
        </w:rPr>
        <w:t xml:space="preserve">SelectionNamespaces</w:t>
      </w:r>
      <w:r>
        <w:t xml:space="preserve">, which binds namespace prefixes for XPath queries. Format:</w:t>
      </w:r>
      <w:r>
        <w:t xml:space="preserve"> </w:t>
      </w:r>
      <w:r>
        <w:rPr>
          <w:rStyle w:val="VerbatimChar"/>
        </w:rPr>
        <w:t xml:space="preserve">xmlns:prefix='uri'</w:t>
      </w:r>
      <w:r>
        <w:t xml:space="preserve">.</w:t>
      </w:r>
    </w:p>
    <w:p>
      <w:pPr>
        <w:pStyle w:val="Compact"/>
        <w:numPr>
          <w:ilvl w:val="0"/>
          <w:numId w:val="2561"/>
        </w:numPr>
      </w:pPr>
      <w:r>
        <w:t xml:space="preserve">Setting an unknown property name is silently ignored.</w:t>
      </w:r>
    </w:p>
    <w:p>
      <w:pPr>
        <w:pStyle w:val="Compact"/>
        <w:numPr>
          <w:ilvl w:val="0"/>
          <w:numId w:val="2561"/>
        </w:numPr>
      </w:pPr>
      <w:r>
        <w:t xml:space="preserve">Method names are case-insensitive.</w:t>
      </w:r>
    </w:p>
    <w:bookmarkEnd w:id="6428"/>
    <w:bookmarkStart w:id="6429" w:name="code-example-53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"&lt;ns:root xmlns:ns='urn:test'&gt;&lt;ns:item&gt;Value&lt;/ns:item&gt;&lt;/ns:root&gt;"</w:t>
      </w:r>
      <w:r>
        <w:br/>
      </w:r>
      <w:r>
        <w:rPr>
          <w:rStyle w:val="NormalTok"/>
        </w:rPr>
        <w:t xml:space="preserve">oXML.SetProperty </w:t>
      </w:r>
      <w:r>
        <w:rPr>
          <w:rStyle w:val="StringTok"/>
        </w:rPr>
        <w:t xml:space="preserve">"SelectionNamespaces"</w:t>
      </w:r>
      <w:r>
        <w:rPr>
          <w:rStyle w:val="OtherTok"/>
        </w:rPr>
        <w:t xml:space="preserve">,</w:t>
      </w:r>
      <w:r>
        <w:rPr>
          <w:rStyle w:val="NormalTok"/>
        </w:rPr>
        <w:t xml:space="preserve"> </w:t>
      </w:r>
      <w:r>
        <w:rPr>
          <w:rStyle w:val="StringTok"/>
        </w:rPr>
        <w:t xml:space="preserve">"xmlns:ns='urn:test'"</w:t>
      </w:r>
      <w:r>
        <w:br/>
      </w:r>
      <w:r>
        <w:rPr>
          <w:rStyle w:val="KeywordTok"/>
        </w:rPr>
        <w:t xml:space="preserve">Set</w:t>
      </w:r>
      <w:r>
        <w:rPr>
          <w:rStyle w:val="NormalTok"/>
        </w:rPr>
        <w:t xml:space="preserve"> oNode = oXML.SelectSingleNode</w:t>
      </w:r>
      <w:r>
        <w:rPr>
          <w:rStyle w:val="OtherTok"/>
        </w:rPr>
        <w:t xml:space="preserve">(</w:t>
      </w:r>
      <w:r>
        <w:rPr>
          <w:rStyle w:val="StringTok"/>
        </w:rPr>
        <w:t xml:space="preserve">"//ns:item"</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oNode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oNode.Text</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29"/>
    <w:bookmarkEnd w:id="6430"/>
    <w:bookmarkStart w:id="6436" w:name="domdocument.loadxml-method"/>
    <w:p>
      <w:pPr>
        <w:pStyle w:val="Heading1"/>
      </w:pPr>
      <w:r>
        <w:t xml:space="preserve">DOMDocument.LoadXML Method</w:t>
      </w:r>
    </w:p>
    <w:p>
      <w:pPr>
        <w:pStyle w:val="FirstParagraph"/>
      </w:pPr>
      <w:r>
        <w:t xml:space="preserve">Parses an XML string and loads it into the document object.</w:t>
      </w:r>
    </w:p>
    <w:bookmarkStart w:id="6431" w:name="syntax-752"/>
    <w:p>
      <w:pPr>
        <w:pStyle w:val="Heading2"/>
      </w:pPr>
      <w:r>
        <w:t xml:space="preserve">Syntax</w:t>
      </w:r>
    </w:p>
    <w:p>
      <w:pPr>
        <w:pStyle w:val="SourceCode"/>
      </w:pPr>
      <w:r>
        <w:rPr>
          <w:rStyle w:val="NormalTok"/>
        </w:rPr>
        <w:t xml:space="preserve">bSuccess = objXML.LoadXML(xmlString)</w:t>
      </w:r>
    </w:p>
    <w:bookmarkEnd w:id="6431"/>
    <w:bookmarkStart w:id="6432" w:name="parameters-363"/>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xmlString</w:t>
            </w:r>
          </w:p>
        </w:tc>
        <w:tc>
          <w:tcPr/>
          <w:p>
            <w:pPr>
              <w:pStyle w:val="Compact"/>
            </w:pPr>
            <w:r>
              <w:t xml:space="preserve">String</w:t>
            </w:r>
          </w:p>
        </w:tc>
        <w:tc>
          <w:tcPr/>
          <w:p>
            <w:pPr>
              <w:pStyle w:val="Compact"/>
            </w:pPr>
            <w:r>
              <w:t xml:space="preserve">Yes</w:t>
            </w:r>
          </w:p>
        </w:tc>
        <w:tc>
          <w:tcPr/>
          <w:p>
            <w:pPr>
              <w:pStyle w:val="Compact"/>
            </w:pPr>
            <w:r>
              <w:t xml:space="preserve">A well-formed XML string to parse.</w:t>
            </w:r>
          </w:p>
        </w:tc>
      </w:tr>
    </w:tbl>
    <w:bookmarkEnd w:id="6432"/>
    <w:bookmarkStart w:id="6433" w:name="return-value-435"/>
    <w:p>
      <w:pPr>
        <w:pStyle w:val="Heading2"/>
      </w:pPr>
      <w:r>
        <w:t xml:space="preserve">Return Value</w:t>
      </w:r>
    </w:p>
    <w:p>
      <w:pPr>
        <w:pStyle w:val="FirstParagraph"/>
      </w:pPr>
      <w:r>
        <w:t xml:space="preserve">Boolean. Returns True if the XML was parsed successfully. Returns False if the string is empty, Null, or contains invalid XML. Check</w:t>
      </w:r>
      <w:r>
        <w:t xml:space="preserve"> </w:t>
      </w:r>
      <w:r>
        <w:rPr>
          <w:rStyle w:val="VerbatimChar"/>
        </w:rPr>
        <w:t xml:space="preserve">ParseError.ErrorCode</w:t>
      </w:r>
      <w:r>
        <w:t xml:space="preserve"> </w:t>
      </w:r>
      <w:r>
        <w:t xml:space="preserve">for details on failure.</w:t>
      </w:r>
    </w:p>
    <w:bookmarkEnd w:id="6433"/>
    <w:bookmarkStart w:id="6434" w:name="remarks-734"/>
    <w:p>
      <w:pPr>
        <w:pStyle w:val="Heading2"/>
      </w:pPr>
      <w:r>
        <w:t xml:space="preserve">Remarks</w:t>
      </w:r>
    </w:p>
    <w:p>
      <w:pPr>
        <w:pStyle w:val="Compact"/>
        <w:numPr>
          <w:ilvl w:val="0"/>
          <w:numId w:val="2562"/>
        </w:numPr>
      </w:pPr>
      <w:r>
        <w:t xml:space="preserve">On a failed parse,</w:t>
      </w:r>
      <w:r>
        <w:t xml:space="preserve"> </w:t>
      </w:r>
      <w:r>
        <w:rPr>
          <w:rStyle w:val="VerbatimChar"/>
        </w:rPr>
        <w:t xml:space="preserve">ParseError</w:t>
      </w:r>
      <w:r>
        <w:t xml:space="preserve"> </w:t>
      </w:r>
      <w:r>
        <w:t xml:space="preserve">is populated with the error code, reason, and the source position where the parse stopped.</w:t>
      </w:r>
    </w:p>
    <w:p>
      <w:pPr>
        <w:pStyle w:val="Compact"/>
        <w:numPr>
          <w:ilvl w:val="0"/>
          <w:numId w:val="2562"/>
        </w:numPr>
      </w:pPr>
      <w:r>
        <w:t xml:space="preserve">Calling</w:t>
      </w:r>
      <w:r>
        <w:t xml:space="preserve"> </w:t>
      </w:r>
      <w:r>
        <w:rPr>
          <w:rStyle w:val="VerbatimChar"/>
        </w:rPr>
        <w:t xml:space="preserve">LoadXML</w:t>
      </w:r>
      <w:r>
        <w:t xml:space="preserve"> </w:t>
      </w:r>
      <w:r>
        <w:t xml:space="preserve">replaces any previously loaded or built document.</w:t>
      </w:r>
    </w:p>
    <w:p>
      <w:pPr>
        <w:pStyle w:val="Compact"/>
        <w:numPr>
          <w:ilvl w:val="0"/>
          <w:numId w:val="2562"/>
        </w:numPr>
      </w:pPr>
      <w:r>
        <w:t xml:space="preserve">Method names are case-insensitive.</w:t>
      </w:r>
    </w:p>
    <w:bookmarkEnd w:id="6434"/>
    <w:bookmarkStart w:id="6435" w:name="code-example-54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oXML.LoadXML</w:t>
      </w:r>
      <w:r>
        <w:rPr>
          <w:rStyle w:val="OtherTok"/>
        </w:rPr>
        <w:t xml:space="preserve">(</w:t>
      </w:r>
      <w:r>
        <w:rPr>
          <w:rStyle w:val="StringTok"/>
        </w:rPr>
        <w:t xml:space="preserve">"&lt;catalog&gt;&lt;item&gt;First&lt;/item&gt;&lt;item&gt;Second&lt;/item&gt;&lt;/catalog&gt;"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Dim</w:t>
      </w:r>
      <w:r>
        <w:rPr>
          <w:rStyle w:val="NormalTok"/>
        </w:rPr>
        <w:t xml:space="preserve"> oRoot</w:t>
      </w:r>
      <w:r>
        <w:br/>
      </w:r>
      <w:r>
        <w:rPr>
          <w:rStyle w:val="NormalTok"/>
        </w:rPr>
        <w:t xml:space="preserve">    </w:t>
      </w:r>
      <w:r>
        <w:rPr>
          <w:rStyle w:val="KeywordTok"/>
        </w:rPr>
        <w:t xml:space="preserve">Set</w:t>
      </w:r>
      <w:r>
        <w:rPr>
          <w:rStyle w:val="NormalTok"/>
        </w:rPr>
        <w:t xml:space="preserve"> oRoot = oXML.DocumentElement</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"Root: "</w:t>
      </w:r>
      <w:r>
        <w:rPr>
          <w:rStyle w:val="NormalTok"/>
        </w:rPr>
        <w:t xml:space="preserve"> </w:t>
      </w:r>
      <w:r>
        <w:rPr>
          <w:rStyle w:val="KeywordTok"/>
        </w:rPr>
        <w:t xml:space="preserve">&amp;</w:t>
      </w:r>
      <w:r>
        <w:rPr>
          <w:rStyle w:val="NormalTok"/>
        </w:rPr>
        <w:t xml:space="preserve"> oRoot.NodeName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"Parse error: "</w:t>
      </w:r>
      <w:r>
        <w:rPr>
          <w:rStyle w:val="NormalTok"/>
        </w:rPr>
        <w:t xml:space="preserve"> </w:t>
      </w:r>
      <w:r>
        <w:rPr>
          <w:rStyle w:val="KeywordTok"/>
        </w:rPr>
        <w:t xml:space="preserve">&amp;</w:t>
      </w:r>
      <w:r>
        <w:rPr>
          <w:rStyle w:val="NormalTok"/>
        </w:rPr>
        <w:t xml:space="preserve"> oXML.ParseError.Reason</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35"/>
    <w:bookmarkEnd w:id="6436"/>
    <w:bookmarkStart w:id="6442" w:name="domdocument.load-method"/>
    <w:p>
      <w:pPr>
        <w:pStyle w:val="Heading1"/>
      </w:pPr>
      <w:r>
        <w:t xml:space="preserve">DOMDocument.Load Method</w:t>
      </w:r>
    </w:p>
    <w:p>
      <w:pPr>
        <w:pStyle w:val="FirstParagraph"/>
      </w:pPr>
      <w:r>
        <w:t xml:space="preserve">Loads an XML document from a file path or HTTP/HTTPS URL.</w:t>
      </w:r>
    </w:p>
    <w:bookmarkStart w:id="6437" w:name="syntax-753"/>
    <w:p>
      <w:pPr>
        <w:pStyle w:val="Heading2"/>
      </w:pPr>
      <w:r>
        <w:t xml:space="preserve">Syntax</w:t>
      </w:r>
    </w:p>
    <w:p>
      <w:pPr>
        <w:pStyle w:val="SourceCode"/>
      </w:pPr>
      <w:r>
        <w:rPr>
          <w:rStyle w:val="NormalTok"/>
        </w:rPr>
        <w:t xml:space="preserve">bSuccess = objXML.Load(url)</w:t>
      </w:r>
    </w:p>
    <w:bookmarkEnd w:id="6437"/>
    <w:bookmarkStart w:id="6438" w:name="parameters-364"/>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url</w:t>
            </w:r>
          </w:p>
        </w:tc>
        <w:tc>
          <w:tcPr/>
          <w:p>
            <w:pPr>
              <w:pStyle w:val="Compact"/>
            </w:pPr>
            <w:r>
              <w:t xml:space="preserve">String</w:t>
            </w:r>
          </w:p>
        </w:tc>
        <w:tc>
          <w:tcPr/>
          <w:p>
            <w:pPr>
              <w:pStyle w:val="Compact"/>
            </w:pPr>
            <w:r>
              <w:t xml:space="preserve">Yes</w:t>
            </w:r>
          </w:p>
        </w:tc>
        <w:tc>
          <w:tcPr/>
          <w:p>
            <w:pPr>
              <w:pStyle w:val="Compact"/>
            </w:pPr>
            <w:r>
              <w:t xml:space="preserve">An HTTP or HTTPS URL, or a relative or absolute file path resolved via</w:t>
            </w:r>
            <w:r>
              <w:t xml:space="preserve"> </w:t>
            </w:r>
            <w:r>
              <w:rPr>
                <w:rStyle w:val="VerbatimChar"/>
              </w:rPr>
              <w:t xml:space="preserve">Server.MapPath</w:t>
            </w:r>
            <w:r>
              <w:t xml:space="preserve">.</w:t>
            </w:r>
          </w:p>
        </w:tc>
      </w:tr>
    </w:tbl>
    <w:bookmarkEnd w:id="6438"/>
    <w:bookmarkStart w:id="6439" w:name="return-value-436"/>
    <w:p>
      <w:pPr>
        <w:pStyle w:val="Heading2"/>
      </w:pPr>
      <w:r>
        <w:t xml:space="preserve">Return Value</w:t>
      </w:r>
    </w:p>
    <w:p>
      <w:pPr>
        <w:pStyle w:val="FirstParagraph"/>
      </w:pPr>
      <w:r>
        <w:t xml:space="preserve">Boolean. Returns True if the document was loaded and parsed successfully. Returns False on a network failure, file-not-found error, or invalid XML.</w:t>
      </w:r>
      <w:r>
        <w:t xml:space="preserve"> </w:t>
      </w:r>
      <w:r>
        <w:rPr>
          <w:rStyle w:val="VerbatimChar"/>
        </w:rPr>
        <w:t xml:space="preserve">ParseError.ErrorCode</w:t>
      </w:r>
      <w:r>
        <w:t xml:space="preserve"> </w:t>
      </w:r>
      <w:r>
        <w:t xml:space="preserve">is set to the HTTP status code on HTTP failures, or -1 for file/parse failures.</w:t>
      </w:r>
    </w:p>
    <w:bookmarkEnd w:id="6439"/>
    <w:bookmarkStart w:id="6440" w:name="remarks-735"/>
    <w:p>
      <w:pPr>
        <w:pStyle w:val="Heading2"/>
      </w:pPr>
      <w:r>
        <w:t xml:space="preserve">Remarks</w:t>
      </w:r>
    </w:p>
    <w:p>
      <w:pPr>
        <w:pStyle w:val="Compact"/>
        <w:numPr>
          <w:ilvl w:val="0"/>
          <w:numId w:val="2563"/>
        </w:numPr>
      </w:pPr>
      <w:r>
        <w:t xml:space="preserve">HTTP and HTTPS requests use a 30-second timeout.</w:t>
      </w:r>
    </w:p>
    <w:p>
      <w:pPr>
        <w:pStyle w:val="Compact"/>
        <w:numPr>
          <w:ilvl w:val="0"/>
          <w:numId w:val="2563"/>
        </w:numPr>
      </w:pPr>
      <w:r>
        <w:t xml:space="preserve">File paths are resolved using</w:t>
      </w:r>
      <w:r>
        <w:t xml:space="preserve"> </w:t>
      </w:r>
      <w:r>
        <w:rPr>
          <w:rStyle w:val="VerbatimChar"/>
        </w:rPr>
        <w:t xml:space="preserve">Server.MapPath</w:t>
      </w:r>
      <w:r>
        <w:t xml:space="preserve"> </w:t>
      </w:r>
      <w:r>
        <w:t xml:space="preserve">from the currently executing page context.</w:t>
      </w:r>
    </w:p>
    <w:p>
      <w:pPr>
        <w:pStyle w:val="Compact"/>
        <w:numPr>
          <w:ilvl w:val="0"/>
          <w:numId w:val="2563"/>
        </w:numPr>
      </w:pPr>
      <w:r>
        <w:t xml:space="preserve">Calling</w:t>
      </w:r>
      <w:r>
        <w:t xml:space="preserve"> </w:t>
      </w:r>
      <w:r>
        <w:rPr>
          <w:rStyle w:val="VerbatimChar"/>
        </w:rPr>
        <w:t xml:space="preserve">Load</w:t>
      </w:r>
      <w:r>
        <w:t xml:space="preserve"> </w:t>
      </w:r>
      <w:r>
        <w:t xml:space="preserve">replaces any previously loaded or built document.</w:t>
      </w:r>
    </w:p>
    <w:p>
      <w:pPr>
        <w:pStyle w:val="Compact"/>
        <w:numPr>
          <w:ilvl w:val="0"/>
          <w:numId w:val="2563"/>
        </w:numPr>
      </w:pPr>
      <w:r>
        <w:t xml:space="preserve">Method names are case-insensitive.</w:t>
      </w:r>
    </w:p>
    <w:bookmarkEnd w:id="6440"/>
    <w:bookmarkStart w:id="6441" w:name="code-example-54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oXML.Load</w:t>
      </w:r>
      <w:r>
        <w:rPr>
          <w:rStyle w:val="OtherTok"/>
        </w:rPr>
        <w:t xml:space="preserve">(</w:t>
      </w:r>
      <w:r>
        <w:rPr>
          <w:rStyle w:val="StringTok"/>
        </w:rPr>
        <w:t xml:space="preserve">"https://example.com/feed.xml"</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"Loaded: "</w:t>
      </w:r>
      <w:r>
        <w:rPr>
          <w:rStyle w:val="NormalTok"/>
        </w:rPr>
        <w:t xml:space="preserve"> </w:t>
      </w:r>
      <w:r>
        <w:rPr>
          <w:rStyle w:val="KeywordTok"/>
        </w:rPr>
        <w:t xml:space="preserve">&amp;</w:t>
      </w:r>
      <w:r>
        <w:rPr>
          <w:rStyle w:val="NormalTok"/>
        </w:rPr>
        <w:t xml:space="preserve"> oXML.DocumentElement.NodeName</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w:t>
      </w:r>
      <w:r>
        <w:rPr>
          <w:rStyle w:val="NormalTok"/>
        </w:rPr>
        <w:t xml:space="preserve"> </w:t>
      </w:r>
      <w:r>
        <w:rPr>
          <w:rStyle w:val="KeywordTok"/>
        </w:rPr>
        <w:t xml:space="preserve">&amp;</w:t>
      </w:r>
      <w:r>
        <w:rPr>
          <w:rStyle w:val="NormalTok"/>
        </w:rPr>
        <w:t xml:space="preserve"> oXML.ParseError.Reason</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41"/>
    <w:bookmarkEnd w:id="6442"/>
    <w:bookmarkStart w:id="6448" w:name="domdocument.save-method"/>
    <w:p>
      <w:pPr>
        <w:pStyle w:val="Heading1"/>
      </w:pPr>
      <w:r>
        <w:t xml:space="preserve">DOMDocument.Save Method</w:t>
      </w:r>
    </w:p>
    <w:p>
      <w:pPr>
        <w:pStyle w:val="FirstParagraph"/>
      </w:pPr>
      <w:r>
        <w:t xml:space="preserve">Serializes the document and writes it to a file at the specified path.</w:t>
      </w:r>
    </w:p>
    <w:bookmarkStart w:id="6443" w:name="syntax-754"/>
    <w:p>
      <w:pPr>
        <w:pStyle w:val="Heading2"/>
      </w:pPr>
      <w:r>
        <w:t xml:space="preserve">Syntax</w:t>
      </w:r>
    </w:p>
    <w:p>
      <w:pPr>
        <w:pStyle w:val="SourceCode"/>
      </w:pPr>
      <w:r>
        <w:rPr>
          <w:rStyle w:val="NormalTok"/>
        </w:rPr>
        <w:t xml:space="preserve">bSuccess = objXML.Save(filename)</w:t>
      </w:r>
    </w:p>
    <w:bookmarkEnd w:id="6443"/>
    <w:bookmarkStart w:id="6444" w:name="parameters-36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filename</w:t>
            </w:r>
          </w:p>
        </w:tc>
        <w:tc>
          <w:tcPr/>
          <w:p>
            <w:pPr>
              <w:pStyle w:val="Compact"/>
            </w:pPr>
            <w:r>
              <w:t xml:space="preserve">String</w:t>
            </w:r>
          </w:p>
        </w:tc>
        <w:tc>
          <w:tcPr/>
          <w:p>
            <w:pPr>
              <w:pStyle w:val="Compact"/>
            </w:pPr>
            <w:r>
              <w:t xml:space="preserve">Yes</w:t>
            </w:r>
          </w:p>
        </w:tc>
        <w:tc>
          <w:tcPr/>
          <w:p>
            <w:pPr>
              <w:pStyle w:val="Compact"/>
            </w:pPr>
            <w:r>
              <w:t xml:space="preserve">An absolute or relative file path to write the XML to.</w:t>
            </w:r>
          </w:p>
        </w:tc>
      </w:tr>
    </w:tbl>
    <w:bookmarkEnd w:id="6444"/>
    <w:bookmarkStart w:id="6445" w:name="return-value-437"/>
    <w:p>
      <w:pPr>
        <w:pStyle w:val="Heading2"/>
      </w:pPr>
      <w:r>
        <w:t xml:space="preserve">Return Value</w:t>
      </w:r>
    </w:p>
    <w:p>
      <w:pPr>
        <w:pStyle w:val="FirstParagraph"/>
      </w:pPr>
      <w:r>
        <w:t xml:space="preserve">Boolean. Returns True if the file was written successfully. Returns False if the document has no content, the context is unavailable, or the file write fails.</w:t>
      </w:r>
    </w:p>
    <w:bookmarkEnd w:id="6445"/>
    <w:bookmarkStart w:id="6446" w:name="remarks-736"/>
    <w:p>
      <w:pPr>
        <w:pStyle w:val="Heading2"/>
      </w:pPr>
      <w:r>
        <w:t xml:space="preserve">Remarks</w:t>
      </w:r>
    </w:p>
    <w:p>
      <w:pPr>
        <w:pStyle w:val="Compact"/>
        <w:numPr>
          <w:ilvl w:val="0"/>
          <w:numId w:val="2564"/>
        </w:numPr>
      </w:pPr>
      <w:r>
        <w:t xml:space="preserve">The file is written with UTF-8 encoding.</w:t>
      </w:r>
    </w:p>
    <w:p>
      <w:pPr>
        <w:pStyle w:val="Compact"/>
        <w:numPr>
          <w:ilvl w:val="0"/>
          <w:numId w:val="2564"/>
        </w:numPr>
      </w:pPr>
      <w:r>
        <w:t xml:space="preserve">Method names are case-insensitive.</w:t>
      </w:r>
    </w:p>
    <w:bookmarkEnd w:id="6446"/>
    <w:bookmarkStart w:id="6447" w:name="code-example-54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"&lt;data&gt;&lt;entry&gt;Test&lt;/entry&gt;&lt;/data&gt;"</w:t>
      </w:r>
      <w:r>
        <w:br/>
      </w:r>
      <w:r>
        <w:rPr>
          <w:rStyle w:val="ControlFlowTok"/>
        </w:rPr>
        <w:t xml:space="preserve">If</w:t>
      </w:r>
      <w:r>
        <w:rPr>
          <w:rStyle w:val="NormalTok"/>
        </w:rPr>
        <w:t xml:space="preserve"> oXML.Save</w:t>
      </w:r>
      <w:r>
        <w:rPr>
          <w:rStyle w:val="OtherTok"/>
        </w:rPr>
        <w:t xml:space="preserve">(</w:t>
      </w:r>
      <w:r>
        <w:rPr>
          <w:rStyle w:val="FunctionTok"/>
        </w:rPr>
        <w:t xml:space="preserve">Server</w:t>
      </w:r>
      <w:r>
        <w:rPr>
          <w:rStyle w:val="NormalTok"/>
        </w:rPr>
        <w:t xml:space="preserve">.MapPath</w:t>
      </w:r>
      <w:r>
        <w:rPr>
          <w:rStyle w:val="OtherTok"/>
        </w:rPr>
        <w:t xml:space="preserve">(</w:t>
      </w:r>
      <w:r>
        <w:rPr>
          <w:rStyle w:val="StringTok"/>
        </w:rPr>
        <w:t xml:space="preserve">"output.xml"</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"Saved."</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"Save failed."</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47"/>
    <w:bookmarkEnd w:id="6448"/>
    <w:bookmarkStart w:id="6454" w:name="domdocument.getelementsbytagname-method"/>
    <w:p>
      <w:pPr>
        <w:pStyle w:val="Heading1"/>
      </w:pPr>
      <w:r>
        <w:t xml:space="preserve">DOMDocument.GetElementsByTagName Method</w:t>
      </w:r>
    </w:p>
    <w:p>
      <w:pPr>
        <w:pStyle w:val="FirstParagraph"/>
      </w:pPr>
      <w:r>
        <w:t xml:space="preserve">Returns all descendant elements in the document that match the given tag name.</w:t>
      </w:r>
    </w:p>
    <w:bookmarkStart w:id="6449" w:name="syntax-755"/>
    <w:p>
      <w:pPr>
        <w:pStyle w:val="Heading2"/>
      </w:pPr>
      <w:r>
        <w:t xml:space="preserve">Syntax</w:t>
      </w:r>
    </w:p>
    <w:p>
      <w:pPr>
        <w:pStyle w:val="SourceCode"/>
      </w:pPr>
      <w:r>
        <w:rPr>
          <w:rStyle w:val="NormalTok"/>
        </w:rPr>
        <w:t xml:space="preserve">Set oList = objXML.GetElementsByTagName(tagName)</w:t>
      </w:r>
    </w:p>
    <w:bookmarkEnd w:id="6449"/>
    <w:bookmarkStart w:id="6450" w:name="parameters-36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tagName</w:t>
            </w:r>
          </w:p>
        </w:tc>
        <w:tc>
          <w:tcPr/>
          <w:p>
            <w:pPr>
              <w:pStyle w:val="Compact"/>
            </w:pPr>
            <w:r>
              <w:t xml:space="preserve">String</w:t>
            </w:r>
          </w:p>
        </w:tc>
        <w:tc>
          <w:tcPr/>
          <w:p>
            <w:pPr>
              <w:pStyle w:val="Compact"/>
            </w:pPr>
            <w:r>
              <w:t xml:space="preserve">Yes</w:t>
            </w:r>
          </w:p>
        </w:tc>
        <w:tc>
          <w:tcPr/>
          <w:p>
            <w:pPr>
              <w:pStyle w:val="Compact"/>
            </w:pPr>
            <w:r>
              <w:t xml:space="preserve">The element tag name to search for. The match is case-insensitive.</w:t>
            </w:r>
          </w:p>
        </w:tc>
      </w:tr>
    </w:tbl>
    <w:bookmarkEnd w:id="6450"/>
    <w:bookmarkStart w:id="6451" w:name="return-value-438"/>
    <w:p>
      <w:pPr>
        <w:pStyle w:val="Heading2"/>
      </w:pPr>
      <w:r>
        <w:t xml:space="preserve">Return Value</w:t>
      </w:r>
    </w:p>
    <w:p>
      <w:pPr>
        <w:pStyle w:val="FirstParagraph"/>
      </w:pPr>
      <w:r>
        <w:t xml:space="preserve">XMLNodeList. A list of all matching elements, ordered by document order. An empty XMLNodeList is returned if the document has no root or no elements match.</w:t>
      </w:r>
    </w:p>
    <w:bookmarkEnd w:id="6451"/>
    <w:bookmarkStart w:id="6452" w:name="remarks-737"/>
    <w:p>
      <w:pPr>
        <w:pStyle w:val="Heading2"/>
      </w:pPr>
      <w:r>
        <w:t xml:space="preserve">Remarks</w:t>
      </w:r>
    </w:p>
    <w:p>
      <w:pPr>
        <w:pStyle w:val="Compact"/>
        <w:numPr>
          <w:ilvl w:val="0"/>
          <w:numId w:val="2565"/>
        </w:numPr>
      </w:pPr>
      <w:r>
        <w:t xml:space="preserve">The search traverses the entire document tree, not just direct children.</w:t>
      </w:r>
    </w:p>
    <w:p>
      <w:pPr>
        <w:pStyle w:val="Compact"/>
        <w:numPr>
          <w:ilvl w:val="0"/>
          <w:numId w:val="2565"/>
        </w:numPr>
      </w:pPr>
      <w:r>
        <w:t xml:space="preserve">Method names are case-insensitive.</w:t>
      </w:r>
    </w:p>
    <w:bookmarkEnd w:id="6452"/>
    <w:bookmarkStart w:id="6453" w:name="code-example-54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oList</w:t>
      </w:r>
      <w:r>
        <w:rPr>
          <w:rStyle w:val="OtherTok"/>
        </w:rPr>
        <w:t xml:space="preserve">,</w:t>
      </w:r>
      <w:r>
        <w:rPr>
          <w:rStyle w:val="NormalTok"/>
        </w:rPr>
        <w:t xml:space="preserve"> i</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"&lt;books&gt;&lt;book&gt;A&lt;/book&gt;&lt;book&gt;B&lt;/book&gt;&lt;book&gt;C&lt;/book&gt;&lt;/books&gt;"</w:t>
      </w:r>
      <w:r>
        <w:br/>
      </w:r>
      <w:r>
        <w:rPr>
          <w:rStyle w:val="KeywordTok"/>
        </w:rPr>
        <w:t xml:space="preserve">Set</w:t>
      </w:r>
      <w:r>
        <w:rPr>
          <w:rStyle w:val="NormalTok"/>
        </w:rPr>
        <w:t xml:space="preserve"> oList = oXML.GetElementsByTagName</w:t>
      </w:r>
      <w:r>
        <w:rPr>
          <w:rStyle w:val="OtherTok"/>
        </w:rPr>
        <w:t xml:space="preserve">(</w:t>
      </w:r>
      <w:r>
        <w:rPr>
          <w:rStyle w:val="StringTok"/>
        </w:rPr>
        <w:t xml:space="preserve">"book"</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oList.Length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oList.</w:t>
      </w:r>
      <w:r>
        <w:rPr>
          <w:rStyle w:val="FunctionTok"/>
        </w:rPr>
        <w:t xml:space="preserve">Item</w:t>
      </w:r>
      <w:r>
        <w:rPr>
          <w:rStyle w:val="OtherTok"/>
        </w:rPr>
        <w:t xml:space="preserve">(</w:t>
      </w:r>
      <w:r>
        <w:rPr>
          <w:rStyle w:val="NormalTok"/>
        </w:rPr>
        <w:t xml:space="preserve">i</w:t>
      </w:r>
      <w:r>
        <w:rPr>
          <w:rStyle w:val="OtherTok"/>
        </w:rPr>
        <w:t xml:space="preserve">)</w:t>
      </w:r>
      <w:r>
        <w:rPr>
          <w:rStyle w:val="NormalTok"/>
        </w:rPr>
        <w:t xml:space="preserve">.Text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53"/>
    <w:bookmarkEnd w:id="6454"/>
    <w:bookmarkStart w:id="6460" w:name="domdocument.createelement-method"/>
    <w:p>
      <w:pPr>
        <w:pStyle w:val="Heading1"/>
      </w:pPr>
      <w:r>
        <w:t xml:space="preserve">DOMDocument.CreateElement Method</w:t>
      </w:r>
    </w:p>
    <w:p>
      <w:pPr>
        <w:pStyle w:val="FirstParagraph"/>
      </w:pPr>
      <w:r>
        <w:t xml:space="preserve">Creates a new, unattached element node with the given tag name.</w:t>
      </w:r>
    </w:p>
    <w:bookmarkStart w:id="6455" w:name="syntax-756"/>
    <w:p>
      <w:pPr>
        <w:pStyle w:val="Heading2"/>
      </w:pPr>
      <w:r>
        <w:t xml:space="preserve">Syntax</w:t>
      </w:r>
    </w:p>
    <w:p>
      <w:pPr>
        <w:pStyle w:val="SourceCode"/>
      </w:pPr>
      <w:r>
        <w:rPr>
          <w:rStyle w:val="NormalTok"/>
        </w:rPr>
        <w:t xml:space="preserve">Set oElement = objXML.CreateElement(tagName)</w:t>
      </w:r>
    </w:p>
    <w:bookmarkEnd w:id="6455"/>
    <w:bookmarkStart w:id="6456" w:name="parameters-367"/>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tagName</w:t>
            </w:r>
          </w:p>
        </w:tc>
        <w:tc>
          <w:tcPr/>
          <w:p>
            <w:pPr>
              <w:pStyle w:val="Compact"/>
            </w:pPr>
            <w:r>
              <w:t xml:space="preserve">String</w:t>
            </w:r>
          </w:p>
        </w:tc>
        <w:tc>
          <w:tcPr/>
          <w:p>
            <w:pPr>
              <w:pStyle w:val="Compact"/>
            </w:pPr>
            <w:r>
              <w:t xml:space="preserve">Yes</w:t>
            </w:r>
          </w:p>
        </w:tc>
        <w:tc>
          <w:tcPr/>
          <w:p>
            <w:pPr>
              <w:pStyle w:val="Compact"/>
            </w:pPr>
            <w:r>
              <w:t xml:space="preserve">The tag name for the new element.</w:t>
            </w:r>
          </w:p>
        </w:tc>
      </w:tr>
    </w:tbl>
    <w:bookmarkEnd w:id="6456"/>
    <w:bookmarkStart w:id="6457" w:name="return-value-439"/>
    <w:p>
      <w:pPr>
        <w:pStyle w:val="Heading2"/>
      </w:pPr>
      <w:r>
        <w:t xml:space="preserve">Return Value</w:t>
      </w:r>
    </w:p>
    <w:p>
      <w:pPr>
        <w:pStyle w:val="FirstParagraph"/>
      </w:pPr>
      <w:r>
        <w:t xml:space="preserve">XMLElement. A new element node that is not yet attached to any document tree. Call</w:t>
      </w:r>
      <w:r>
        <w:t xml:space="preserve"> </w:t>
      </w:r>
      <w:r>
        <w:rPr>
          <w:rStyle w:val="VerbatimChar"/>
        </w:rPr>
        <w:t xml:space="preserve">AppendChild</w:t>
      </w:r>
      <w:r>
        <w:t xml:space="preserve"> </w:t>
      </w:r>
      <w:r>
        <w:t xml:space="preserve">to attach it.</w:t>
      </w:r>
    </w:p>
    <w:bookmarkEnd w:id="6457"/>
    <w:bookmarkStart w:id="6458" w:name="remarks-738"/>
    <w:p>
      <w:pPr>
        <w:pStyle w:val="Heading2"/>
      </w:pPr>
      <w:r>
        <w:t xml:space="preserve">Remarks</w:t>
      </w:r>
    </w:p>
    <w:p>
      <w:pPr>
        <w:pStyle w:val="Compact"/>
        <w:numPr>
          <w:ilvl w:val="0"/>
          <w:numId w:val="2566"/>
        </w:numPr>
      </w:pPr>
      <w:r>
        <w:t xml:space="preserve">Method names are case-insensitive.</w:t>
      </w:r>
    </w:p>
    <w:bookmarkEnd w:id="6458"/>
    <w:bookmarkStart w:id="6459" w:name="code-example-54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oChild</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KeywordTok"/>
        </w:rPr>
        <w:t xml:space="preserve">Set</w:t>
      </w:r>
      <w:r>
        <w:rPr>
          <w:rStyle w:val="NormalTok"/>
        </w:rPr>
        <w:t xml:space="preserve"> oRoot = oXML.CreateElement</w:t>
      </w:r>
      <w:r>
        <w:rPr>
          <w:rStyle w:val="OtherTok"/>
        </w:rPr>
        <w:t xml:space="preserve">(</w:t>
      </w:r>
      <w:r>
        <w:rPr>
          <w:rStyle w:val="StringTok"/>
        </w:rPr>
        <w:t xml:space="preserve">"root"</w:t>
      </w:r>
      <w:r>
        <w:rPr>
          <w:rStyle w:val="OtherTok"/>
        </w:rPr>
        <w:t xml:space="preserve">)</w:t>
      </w:r>
      <w:r>
        <w:br/>
      </w:r>
      <w:r>
        <w:rPr>
          <w:rStyle w:val="KeywordTok"/>
        </w:rPr>
        <w:t xml:space="preserve">Set</w:t>
      </w:r>
      <w:r>
        <w:rPr>
          <w:rStyle w:val="NormalTok"/>
        </w:rPr>
        <w:t xml:space="preserve"> oChild = oXML.CreateElement</w:t>
      </w:r>
      <w:r>
        <w:rPr>
          <w:rStyle w:val="OtherTok"/>
        </w:rPr>
        <w:t xml:space="preserve">(</w:t>
      </w:r>
      <w:r>
        <w:rPr>
          <w:rStyle w:val="StringTok"/>
        </w:rPr>
        <w:t xml:space="preserve">"item"</w:t>
      </w:r>
      <w:r>
        <w:rPr>
          <w:rStyle w:val="OtherTok"/>
        </w:rPr>
        <w:t xml:space="preserve">)</w:t>
      </w:r>
      <w:r>
        <w:br/>
      </w:r>
      <w:r>
        <w:rPr>
          <w:rStyle w:val="NormalTok"/>
        </w:rPr>
        <w:t xml:space="preserve">oChild.Text = </w:t>
      </w:r>
      <w:r>
        <w:rPr>
          <w:rStyle w:val="StringTok"/>
        </w:rPr>
        <w:t xml:space="preserve">"Hello"</w:t>
      </w:r>
      <w:r>
        <w:br/>
      </w:r>
      <w:r>
        <w:rPr>
          <w:rStyle w:val="NormalTok"/>
        </w:rPr>
        <w:t xml:space="preserve">oRoot.AppendChild oChild</w:t>
      </w:r>
      <w:r>
        <w:br/>
      </w:r>
      <w:r>
        <w:rPr>
          <w:rStyle w:val="NormalTok"/>
        </w:rPr>
        <w:t xml:space="preserve">oXML.AppendChild oRoot</w:t>
      </w:r>
      <w:r>
        <w:br/>
      </w:r>
      <w:r>
        <w:rPr>
          <w:rStyle w:val="FunctionTok"/>
        </w:rPr>
        <w:t xml:space="preserve">Response</w:t>
      </w:r>
      <w:r>
        <w:rPr>
          <w:rStyle w:val="NormalTok"/>
        </w:rPr>
        <w:t xml:space="preserve">.</w:t>
      </w:r>
      <w:r>
        <w:rPr>
          <w:rStyle w:val="FunctionTok"/>
        </w:rPr>
        <w:t xml:space="preserve">Write</w:t>
      </w:r>
      <w:r>
        <w:rPr>
          <w:rStyle w:val="NormalTok"/>
        </w:rPr>
        <w:t xml:space="preserve"> oXML.XML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59"/>
    <w:bookmarkEnd w:id="6460"/>
    <w:bookmarkStart w:id="6466" w:name="domdocument.createtextnode-method"/>
    <w:p>
      <w:pPr>
        <w:pStyle w:val="Heading1"/>
      </w:pPr>
      <w:r>
        <w:t xml:space="preserve">DOMDocument.CreateTextNode Method</w:t>
      </w:r>
    </w:p>
    <w:p>
      <w:pPr>
        <w:pStyle w:val="FirstParagraph"/>
      </w:pPr>
      <w:r>
        <w:t xml:space="preserve">Creates a new text node with the given string value.</w:t>
      </w:r>
    </w:p>
    <w:bookmarkStart w:id="6461" w:name="syntax-757"/>
    <w:p>
      <w:pPr>
        <w:pStyle w:val="Heading2"/>
      </w:pPr>
      <w:r>
        <w:t xml:space="preserve">Syntax</w:t>
      </w:r>
    </w:p>
    <w:p>
      <w:pPr>
        <w:pStyle w:val="SourceCode"/>
      </w:pPr>
      <w:r>
        <w:rPr>
          <w:rStyle w:val="NormalTok"/>
        </w:rPr>
        <w:t xml:space="preserve">Set oTextNode = objXML.CreateTextNode(text)</w:t>
      </w:r>
    </w:p>
    <w:bookmarkEnd w:id="6461"/>
    <w:bookmarkStart w:id="6462" w:name="parameters-36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text</w:t>
            </w:r>
          </w:p>
        </w:tc>
        <w:tc>
          <w:tcPr/>
          <w:p>
            <w:pPr>
              <w:pStyle w:val="Compact"/>
            </w:pPr>
            <w:r>
              <w:t xml:space="preserve">String</w:t>
            </w:r>
          </w:p>
        </w:tc>
        <w:tc>
          <w:tcPr/>
          <w:p>
            <w:pPr>
              <w:pStyle w:val="Compact"/>
            </w:pPr>
            <w:r>
              <w:t xml:space="preserve">Yes</w:t>
            </w:r>
          </w:p>
        </w:tc>
        <w:tc>
          <w:tcPr/>
          <w:p>
            <w:pPr>
              <w:pStyle w:val="Compact"/>
            </w:pPr>
            <w:r>
              <w:t xml:space="preserve">The text content of the new node.</w:t>
            </w:r>
          </w:p>
        </w:tc>
      </w:tr>
    </w:tbl>
    <w:bookmarkEnd w:id="6462"/>
    <w:bookmarkStart w:id="6463" w:name="return-value-440"/>
    <w:p>
      <w:pPr>
        <w:pStyle w:val="Heading2"/>
      </w:pPr>
      <w:r>
        <w:t xml:space="preserve">Return Value</w:t>
      </w:r>
    </w:p>
    <w:p>
      <w:pPr>
        <w:pStyle w:val="FirstParagraph"/>
      </w:pPr>
      <w:r>
        <w:t xml:space="preserve">XMLElement. A new text node (NodeName =</w:t>
      </w:r>
      <w:r>
        <w:t xml:space="preserve"> </w:t>
      </w:r>
      <w:r>
        <w:rPr>
          <w:rStyle w:val="VerbatimChar"/>
        </w:rPr>
        <w:t xml:space="preserve">#text</w:t>
      </w:r>
      <w:r>
        <w:t xml:space="preserve">) that is not yet attached to any parent. Call</w:t>
      </w:r>
      <w:r>
        <w:t xml:space="preserve"> </w:t>
      </w:r>
      <w:r>
        <w:rPr>
          <w:rStyle w:val="VerbatimChar"/>
        </w:rPr>
        <w:t xml:space="preserve">AppendChild</w:t>
      </w:r>
      <w:r>
        <w:t xml:space="preserve"> </w:t>
      </w:r>
      <w:r>
        <w:t xml:space="preserve">on the target element to attach it.</w:t>
      </w:r>
    </w:p>
    <w:bookmarkEnd w:id="6463"/>
    <w:bookmarkStart w:id="6464" w:name="remarks-739"/>
    <w:p>
      <w:pPr>
        <w:pStyle w:val="Heading2"/>
      </w:pPr>
      <w:r>
        <w:t xml:space="preserve">Remarks</w:t>
      </w:r>
    </w:p>
    <w:p>
      <w:pPr>
        <w:pStyle w:val="Compact"/>
        <w:numPr>
          <w:ilvl w:val="0"/>
          <w:numId w:val="2567"/>
        </w:numPr>
      </w:pPr>
      <w:r>
        <w:t xml:space="preserve">Method names are case-insensitive.</w:t>
      </w:r>
    </w:p>
    <w:bookmarkEnd w:id="6464"/>
    <w:bookmarkStart w:id="6465" w:name="code-example-54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oElem</w:t>
      </w:r>
      <w:r>
        <w:rPr>
          <w:rStyle w:val="OtherTok"/>
        </w:rPr>
        <w:t xml:space="preserve">,</w:t>
      </w:r>
      <w:r>
        <w:rPr>
          <w:rStyle w:val="NormalTok"/>
        </w:rPr>
        <w:t xml:space="preserve"> oText</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KeywordTok"/>
        </w:rPr>
        <w:t xml:space="preserve">Set</w:t>
      </w:r>
      <w:r>
        <w:rPr>
          <w:rStyle w:val="NormalTok"/>
        </w:rPr>
        <w:t xml:space="preserve"> oElem = oXML.CreateElement</w:t>
      </w:r>
      <w:r>
        <w:rPr>
          <w:rStyle w:val="OtherTok"/>
        </w:rPr>
        <w:t xml:space="preserve">(</w:t>
      </w:r>
      <w:r>
        <w:rPr>
          <w:rStyle w:val="StringTok"/>
        </w:rPr>
        <w:t xml:space="preserve">"title"</w:t>
      </w:r>
      <w:r>
        <w:rPr>
          <w:rStyle w:val="OtherTok"/>
        </w:rPr>
        <w:t xml:space="preserve">)</w:t>
      </w:r>
      <w:r>
        <w:br/>
      </w:r>
      <w:r>
        <w:rPr>
          <w:rStyle w:val="KeywordTok"/>
        </w:rPr>
        <w:t xml:space="preserve">Set</w:t>
      </w:r>
      <w:r>
        <w:rPr>
          <w:rStyle w:val="NormalTok"/>
        </w:rPr>
        <w:t xml:space="preserve"> oText = oXML.CreateTextNode</w:t>
      </w:r>
      <w:r>
        <w:rPr>
          <w:rStyle w:val="OtherTok"/>
        </w:rPr>
        <w:t xml:space="preserve">(</w:t>
      </w:r>
      <w:r>
        <w:rPr>
          <w:rStyle w:val="StringTok"/>
        </w:rPr>
        <w:t xml:space="preserve">"My Title"</w:t>
      </w:r>
      <w:r>
        <w:rPr>
          <w:rStyle w:val="OtherTok"/>
        </w:rPr>
        <w:t xml:space="preserve">)</w:t>
      </w:r>
      <w:r>
        <w:br/>
      </w:r>
      <w:r>
        <w:rPr>
          <w:rStyle w:val="NormalTok"/>
        </w:rPr>
        <w:t xml:space="preserve">oElem.AppendChild oText</w:t>
      </w:r>
      <w:r>
        <w:br/>
      </w:r>
      <w:r>
        <w:rPr>
          <w:rStyle w:val="NormalTok"/>
        </w:rPr>
        <w:t xml:space="preserve">oXML.AppendChild oElem</w:t>
      </w:r>
      <w:r>
        <w:br/>
      </w:r>
      <w:r>
        <w:rPr>
          <w:rStyle w:val="FunctionTok"/>
        </w:rPr>
        <w:t xml:space="preserve">Response</w:t>
      </w:r>
      <w:r>
        <w:rPr>
          <w:rStyle w:val="NormalTok"/>
        </w:rPr>
        <w:t xml:space="preserve">.</w:t>
      </w:r>
      <w:r>
        <w:rPr>
          <w:rStyle w:val="FunctionTok"/>
        </w:rPr>
        <w:t xml:space="preserve">Write</w:t>
      </w:r>
      <w:r>
        <w:rPr>
          <w:rStyle w:val="NormalTok"/>
        </w:rPr>
        <w:t xml:space="preserve"> oXML.XML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65"/>
    <w:bookmarkEnd w:id="6466"/>
    <w:bookmarkStart w:id="6472" w:name="domdocument.createattribute-method"/>
    <w:p>
      <w:pPr>
        <w:pStyle w:val="Heading1"/>
      </w:pPr>
      <w:r>
        <w:t xml:space="preserve">DOMDocument.CreateAttribute Method</w:t>
      </w:r>
    </w:p>
    <w:p>
      <w:pPr>
        <w:pStyle w:val="FirstParagraph"/>
      </w:pPr>
      <w:r>
        <w:t xml:space="preserve">Creates a new, unattached attribute node with the given name.</w:t>
      </w:r>
    </w:p>
    <w:bookmarkStart w:id="6467" w:name="syntax-758"/>
    <w:p>
      <w:pPr>
        <w:pStyle w:val="Heading2"/>
      </w:pPr>
      <w:r>
        <w:t xml:space="preserve">Syntax</w:t>
      </w:r>
    </w:p>
    <w:p>
      <w:pPr>
        <w:pStyle w:val="SourceCode"/>
      </w:pPr>
      <w:r>
        <w:rPr>
          <w:rStyle w:val="NormalTok"/>
        </w:rPr>
        <w:t xml:space="preserve">Set oAttr = objXML.CreateAttribute(name)</w:t>
      </w:r>
    </w:p>
    <w:bookmarkEnd w:id="6467"/>
    <w:bookmarkStart w:id="6468" w:name="parameters-36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Yes</w:t>
            </w:r>
          </w:p>
        </w:tc>
        <w:tc>
          <w:tcPr/>
          <w:p>
            <w:pPr>
              <w:pStyle w:val="Compact"/>
            </w:pPr>
            <w:r>
              <w:t xml:space="preserve">The name of the attribute.</w:t>
            </w:r>
          </w:p>
        </w:tc>
      </w:tr>
    </w:tbl>
    <w:bookmarkEnd w:id="6468"/>
    <w:bookmarkStart w:id="6469" w:name="return-value-441"/>
    <w:p>
      <w:pPr>
        <w:pStyle w:val="Heading2"/>
      </w:pPr>
      <w:r>
        <w:t xml:space="preserve">Return Value</w:t>
      </w:r>
    </w:p>
    <w:p>
      <w:pPr>
        <w:pStyle w:val="FirstParagraph"/>
      </w:pPr>
      <w:r>
        <w:t xml:space="preserve">XMLElement. A new attribute node not yet attached to any element. Set its</w:t>
      </w:r>
      <w:r>
        <w:t xml:space="preserve"> </w:t>
      </w:r>
      <w:r>
        <w:rPr>
          <w:rStyle w:val="VerbatimChar"/>
        </w:rPr>
        <w:t xml:space="preserve">NodeValue</w:t>
      </w:r>
      <w:r>
        <w:t xml:space="preserve"> </w:t>
      </w:r>
      <w:r>
        <w:t xml:space="preserve">property to assign the attribute value, then use</w:t>
      </w:r>
      <w:r>
        <w:t xml:space="preserve"> </w:t>
      </w:r>
      <w:r>
        <w:rPr>
          <w:rStyle w:val="VerbatimChar"/>
        </w:rPr>
        <w:t xml:space="preserve">SetAttribute</w:t>
      </w:r>
      <w:r>
        <w:t xml:space="preserve"> </w:t>
      </w:r>
      <w:r>
        <w:t xml:space="preserve">on the target element.</w:t>
      </w:r>
    </w:p>
    <w:bookmarkEnd w:id="6469"/>
    <w:bookmarkStart w:id="6470" w:name="remarks-740"/>
    <w:p>
      <w:pPr>
        <w:pStyle w:val="Heading2"/>
      </w:pPr>
      <w:r>
        <w:t xml:space="preserve">Remarks</w:t>
      </w:r>
    </w:p>
    <w:p>
      <w:pPr>
        <w:pStyle w:val="Compact"/>
        <w:numPr>
          <w:ilvl w:val="0"/>
          <w:numId w:val="2568"/>
        </w:numPr>
      </w:pPr>
      <w:r>
        <w:t xml:space="preserve">Method names are case-insensitive.</w:t>
      </w:r>
    </w:p>
    <w:bookmarkEnd w:id="6470"/>
    <w:bookmarkStart w:id="6471" w:name="code-example-54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oElem</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KeywordTok"/>
        </w:rPr>
        <w:t xml:space="preserve">Set</w:t>
      </w:r>
      <w:r>
        <w:rPr>
          <w:rStyle w:val="NormalTok"/>
        </w:rPr>
        <w:t xml:space="preserve"> oElem = oXML.CreateElement</w:t>
      </w:r>
      <w:r>
        <w:rPr>
          <w:rStyle w:val="OtherTok"/>
        </w:rPr>
        <w:t xml:space="preserve">(</w:t>
      </w:r>
      <w:r>
        <w:rPr>
          <w:rStyle w:val="StringTok"/>
        </w:rPr>
        <w:t xml:space="preserve">"item"</w:t>
      </w:r>
      <w:r>
        <w:rPr>
          <w:rStyle w:val="OtherTok"/>
        </w:rPr>
        <w:t xml:space="preserve">)</w:t>
      </w:r>
      <w:r>
        <w:br/>
      </w:r>
      <w:r>
        <w:rPr>
          <w:rStyle w:val="NormalTok"/>
        </w:rPr>
        <w:t xml:space="preserve">oElem.SetAttribute </w:t>
      </w:r>
      <w:r>
        <w:rPr>
          <w:rStyle w:val="StringTok"/>
        </w:rPr>
        <w:t xml:space="preserve">"id"</w:t>
      </w:r>
      <w:r>
        <w:rPr>
          <w:rStyle w:val="OtherTok"/>
        </w:rPr>
        <w:t xml:space="preserve">,</w:t>
      </w:r>
      <w:r>
        <w:rPr>
          <w:rStyle w:val="NormalTok"/>
        </w:rPr>
        <w:t xml:space="preserve"> </w:t>
      </w:r>
      <w:r>
        <w:rPr>
          <w:rStyle w:val="StringTok"/>
        </w:rPr>
        <w:t xml:space="preserve">"42"</w:t>
      </w:r>
      <w:r>
        <w:br/>
      </w:r>
      <w:r>
        <w:rPr>
          <w:rStyle w:val="NormalTok"/>
        </w:rPr>
        <w:t xml:space="preserve">oXML.AppendChild oElem</w:t>
      </w:r>
      <w:r>
        <w:br/>
      </w:r>
      <w:r>
        <w:rPr>
          <w:rStyle w:val="FunctionTok"/>
        </w:rPr>
        <w:t xml:space="preserve">Response</w:t>
      </w:r>
      <w:r>
        <w:rPr>
          <w:rStyle w:val="NormalTok"/>
        </w:rPr>
        <w:t xml:space="preserve">.</w:t>
      </w:r>
      <w:r>
        <w:rPr>
          <w:rStyle w:val="FunctionTok"/>
        </w:rPr>
        <w:t xml:space="preserve">Write</w:t>
      </w:r>
      <w:r>
        <w:rPr>
          <w:rStyle w:val="NormalTok"/>
        </w:rPr>
        <w:t xml:space="preserve"> oXML.XML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71"/>
    <w:bookmarkEnd w:id="6472"/>
    <w:bookmarkStart w:id="6478" w:name="domdocument.appendchild-method"/>
    <w:p>
      <w:pPr>
        <w:pStyle w:val="Heading1"/>
      </w:pPr>
      <w:r>
        <w:t xml:space="preserve">DOMDocument.AppendChild Method</w:t>
      </w:r>
    </w:p>
    <w:p>
      <w:pPr>
        <w:pStyle w:val="FirstParagraph"/>
      </w:pPr>
      <w:r>
        <w:t xml:space="preserve">Attaches a child element to the document root. If the document has no root yet, the element becomes the root; otherwise it is appended as a child of the existing root.</w:t>
      </w:r>
    </w:p>
    <w:bookmarkStart w:id="6473" w:name="syntax-759"/>
    <w:p>
      <w:pPr>
        <w:pStyle w:val="Heading2"/>
      </w:pPr>
      <w:r>
        <w:t xml:space="preserve">Syntax</w:t>
      </w:r>
    </w:p>
    <w:p>
      <w:pPr>
        <w:pStyle w:val="SourceCode"/>
      </w:pPr>
      <w:r>
        <w:rPr>
          <w:rStyle w:val="NormalTok"/>
        </w:rPr>
        <w:t xml:space="preserve">Set oResult = objXML.AppendChild(child)</w:t>
      </w:r>
    </w:p>
    <w:bookmarkEnd w:id="6473"/>
    <w:bookmarkStart w:id="6474" w:name="parameters-370"/>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child</w:t>
            </w:r>
          </w:p>
        </w:tc>
        <w:tc>
          <w:tcPr/>
          <w:p>
            <w:pPr>
              <w:pStyle w:val="Compact"/>
            </w:pPr>
            <w:r>
              <w:t xml:space="preserve">XMLElement</w:t>
            </w:r>
          </w:p>
        </w:tc>
        <w:tc>
          <w:tcPr/>
          <w:p>
            <w:pPr>
              <w:pStyle w:val="Compact"/>
            </w:pPr>
            <w:r>
              <w:t xml:space="preserve">Yes</w:t>
            </w:r>
          </w:p>
        </w:tc>
        <w:tc>
          <w:tcPr/>
          <w:p>
            <w:pPr>
              <w:pStyle w:val="Compact"/>
            </w:pPr>
            <w:r>
              <w:t xml:space="preserve">The element node to attach to the document.</w:t>
            </w:r>
          </w:p>
        </w:tc>
      </w:tr>
    </w:tbl>
    <w:bookmarkEnd w:id="6474"/>
    <w:bookmarkStart w:id="6475" w:name="return-value-442"/>
    <w:p>
      <w:pPr>
        <w:pStyle w:val="Heading2"/>
      </w:pPr>
      <w:r>
        <w:t xml:space="preserve">Return Value</w:t>
      </w:r>
    </w:p>
    <w:p>
      <w:pPr>
        <w:pStyle w:val="FirstParagraph"/>
      </w:pPr>
      <w:r>
        <w:t xml:space="preserve">XMLElement. Returns the appended</w:t>
      </w:r>
      <w:r>
        <w:t xml:space="preserve"> </w:t>
      </w:r>
      <w:r>
        <w:rPr>
          <w:rStyle w:val="VerbatimChar"/>
        </w:rPr>
        <w:t xml:space="preserve">child</w:t>
      </w:r>
      <w:r>
        <w:t xml:space="preserve"> </w:t>
      </w:r>
      <w:r>
        <w:t xml:space="preserve">node.</w:t>
      </w:r>
    </w:p>
    <w:bookmarkEnd w:id="6475"/>
    <w:bookmarkStart w:id="6476" w:name="remarks-741"/>
    <w:p>
      <w:pPr>
        <w:pStyle w:val="Heading2"/>
      </w:pPr>
      <w:r>
        <w:t xml:space="preserve">Remarks</w:t>
      </w:r>
    </w:p>
    <w:p>
      <w:pPr>
        <w:pStyle w:val="Compact"/>
        <w:numPr>
          <w:ilvl w:val="0"/>
          <w:numId w:val="2569"/>
        </w:numPr>
      </w:pPr>
      <w:r>
        <w:t xml:space="preserve">To build a complete document tree, call</w:t>
      </w:r>
      <w:r>
        <w:t xml:space="preserve"> </w:t>
      </w:r>
      <w:r>
        <w:rPr>
          <w:rStyle w:val="VerbatimChar"/>
        </w:rPr>
        <w:t xml:space="preserve">CreateElement</w:t>
      </w:r>
      <w:r>
        <w:t xml:space="preserve"> </w:t>
      </w:r>
      <w:r>
        <w:t xml:space="preserve">on each node, build the sub-tree with</w:t>
      </w:r>
      <w:r>
        <w:t xml:space="preserve"> </w:t>
      </w:r>
      <w:r>
        <w:rPr>
          <w:rStyle w:val="VerbatimChar"/>
        </w:rPr>
        <w:t xml:space="preserve">XMLElement.AppendChild</w:t>
      </w:r>
      <w:r>
        <w:t xml:space="preserve">, then call</w:t>
      </w:r>
      <w:r>
        <w:t xml:space="preserve"> </w:t>
      </w:r>
      <w:r>
        <w:rPr>
          <w:rStyle w:val="VerbatimChar"/>
        </w:rPr>
        <w:t xml:space="preserve">DOMDocument.AppendChild</w:t>
      </w:r>
      <w:r>
        <w:t xml:space="preserve"> </w:t>
      </w:r>
      <w:r>
        <w:t xml:space="preserve">with the root element.</w:t>
      </w:r>
    </w:p>
    <w:p>
      <w:pPr>
        <w:pStyle w:val="Compact"/>
        <w:numPr>
          <w:ilvl w:val="0"/>
          <w:numId w:val="2569"/>
        </w:numPr>
      </w:pPr>
      <w:r>
        <w:t xml:space="preserve">Method names are case-insensitive.</w:t>
      </w:r>
    </w:p>
    <w:bookmarkEnd w:id="6476"/>
    <w:bookmarkStart w:id="6477" w:name="code-example-54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oItem</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KeywordTok"/>
        </w:rPr>
        <w:t xml:space="preserve">Set</w:t>
      </w:r>
      <w:r>
        <w:rPr>
          <w:rStyle w:val="NormalTok"/>
        </w:rPr>
        <w:t xml:space="preserve"> oRoot = oXML.CreateElement</w:t>
      </w:r>
      <w:r>
        <w:rPr>
          <w:rStyle w:val="OtherTok"/>
        </w:rPr>
        <w:t xml:space="preserve">(</w:t>
      </w:r>
      <w:r>
        <w:rPr>
          <w:rStyle w:val="StringTok"/>
        </w:rPr>
        <w:t xml:space="preserve">"products"</w:t>
      </w:r>
      <w:r>
        <w:rPr>
          <w:rStyle w:val="OtherTok"/>
        </w:rPr>
        <w:t xml:space="preserve">)</w:t>
      </w:r>
      <w:r>
        <w:br/>
      </w:r>
      <w:r>
        <w:rPr>
          <w:rStyle w:val="KeywordTok"/>
        </w:rPr>
        <w:t xml:space="preserve">Set</w:t>
      </w:r>
      <w:r>
        <w:rPr>
          <w:rStyle w:val="NormalTok"/>
        </w:rPr>
        <w:t xml:space="preserve"> oItem = oXML.CreateElement</w:t>
      </w:r>
      <w:r>
        <w:rPr>
          <w:rStyle w:val="OtherTok"/>
        </w:rPr>
        <w:t xml:space="preserve">(</w:t>
      </w:r>
      <w:r>
        <w:rPr>
          <w:rStyle w:val="StringTok"/>
        </w:rPr>
        <w:t xml:space="preserve">"product"</w:t>
      </w:r>
      <w:r>
        <w:rPr>
          <w:rStyle w:val="OtherTok"/>
        </w:rPr>
        <w:t xml:space="preserve">)</w:t>
      </w:r>
      <w:r>
        <w:br/>
      </w:r>
      <w:r>
        <w:rPr>
          <w:rStyle w:val="NormalTok"/>
        </w:rPr>
        <w:t xml:space="preserve">oItem.Text = </w:t>
      </w:r>
      <w:r>
        <w:rPr>
          <w:rStyle w:val="StringTok"/>
        </w:rPr>
        <w:t xml:space="preserve">"Widget"</w:t>
      </w:r>
      <w:r>
        <w:br/>
      </w:r>
      <w:r>
        <w:rPr>
          <w:rStyle w:val="NormalTok"/>
        </w:rPr>
        <w:t xml:space="preserve">oRoot.AppendChild oItem</w:t>
      </w:r>
      <w:r>
        <w:br/>
      </w:r>
      <w:r>
        <w:rPr>
          <w:rStyle w:val="NormalTok"/>
        </w:rPr>
        <w:t xml:space="preserve">oXML.AppendChild oRoot</w:t>
      </w:r>
      <w:r>
        <w:br/>
      </w:r>
      <w:r>
        <w:rPr>
          <w:rStyle w:val="FunctionTok"/>
        </w:rPr>
        <w:t xml:space="preserve">Response</w:t>
      </w:r>
      <w:r>
        <w:rPr>
          <w:rStyle w:val="NormalTok"/>
        </w:rPr>
        <w:t xml:space="preserve">.</w:t>
      </w:r>
      <w:r>
        <w:rPr>
          <w:rStyle w:val="FunctionTok"/>
        </w:rPr>
        <w:t xml:space="preserve">Write</w:t>
      </w:r>
      <w:r>
        <w:rPr>
          <w:rStyle w:val="NormalTok"/>
        </w:rPr>
        <w:t xml:space="preserve"> oXML.XML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77"/>
    <w:bookmarkEnd w:id="6478"/>
    <w:bookmarkStart w:id="6484" w:name="domdocument.selectsinglenode-method"/>
    <w:p>
      <w:pPr>
        <w:pStyle w:val="Heading1"/>
      </w:pPr>
      <w:r>
        <w:t xml:space="preserve">DOMDocument.SelectSingleNode Method</w:t>
      </w:r>
    </w:p>
    <w:p>
      <w:pPr>
        <w:pStyle w:val="FirstParagraph"/>
      </w:pPr>
      <w:r>
        <w:t xml:space="preserve">Evaluates an XPath expression against the document and returns the first matching node.</w:t>
      </w:r>
    </w:p>
    <w:bookmarkStart w:id="6479" w:name="syntax-760"/>
    <w:p>
      <w:pPr>
        <w:pStyle w:val="Heading2"/>
      </w:pPr>
      <w:r>
        <w:t xml:space="preserve">Syntax</w:t>
      </w:r>
    </w:p>
    <w:p>
      <w:pPr>
        <w:pStyle w:val="SourceCode"/>
      </w:pPr>
      <w:r>
        <w:rPr>
          <w:rStyle w:val="NormalTok"/>
        </w:rPr>
        <w:t xml:space="preserve">Set oNode = objXML.SelectSingleNode(xpath)</w:t>
      </w:r>
    </w:p>
    <w:bookmarkEnd w:id="6479"/>
    <w:bookmarkStart w:id="6480" w:name="parameters-37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xpath</w:t>
            </w:r>
          </w:p>
        </w:tc>
        <w:tc>
          <w:tcPr/>
          <w:p>
            <w:pPr>
              <w:pStyle w:val="Compact"/>
            </w:pPr>
            <w:r>
              <w:t xml:space="preserve">String</w:t>
            </w:r>
          </w:p>
        </w:tc>
        <w:tc>
          <w:tcPr/>
          <w:p>
            <w:pPr>
              <w:pStyle w:val="Compact"/>
            </w:pPr>
            <w:r>
              <w:t xml:space="preserve">Yes</w:t>
            </w:r>
          </w:p>
        </w:tc>
        <w:tc>
          <w:tcPr/>
          <w:p>
            <w:pPr>
              <w:pStyle w:val="Compact"/>
            </w:pPr>
            <w:r>
              <w:t xml:space="preserve">An XPath 1.0 expression to evaluate against the document.</w:t>
            </w:r>
          </w:p>
        </w:tc>
      </w:tr>
    </w:tbl>
    <w:bookmarkEnd w:id="6480"/>
    <w:bookmarkStart w:id="6481" w:name="return-value-443"/>
    <w:p>
      <w:pPr>
        <w:pStyle w:val="Heading2"/>
      </w:pPr>
      <w:r>
        <w:t xml:space="preserve">Return Value</w:t>
      </w:r>
    </w:p>
    <w:p>
      <w:pPr>
        <w:pStyle w:val="FirstParagraph"/>
      </w:pPr>
      <w:r>
        <w:t xml:space="preserve">XMLElement. The first node that satisfies the XPath expression. Returns Null if no node matches or the expression is empty.</w:t>
      </w:r>
    </w:p>
    <w:bookmarkEnd w:id="6481"/>
    <w:bookmarkStart w:id="6482" w:name="remarks-742"/>
    <w:p>
      <w:pPr>
        <w:pStyle w:val="Heading2"/>
      </w:pPr>
      <w:r>
        <w:t xml:space="preserve">Remarks</w:t>
      </w:r>
    </w:p>
    <w:p>
      <w:pPr>
        <w:pStyle w:val="Compact"/>
        <w:numPr>
          <w:ilvl w:val="0"/>
          <w:numId w:val="2570"/>
        </w:numPr>
      </w:pPr>
      <w:r>
        <w:t xml:space="preserve">XPath is evaluated from the document root.</w:t>
      </w:r>
    </w:p>
    <w:p>
      <w:pPr>
        <w:pStyle w:val="Compact"/>
        <w:numPr>
          <w:ilvl w:val="0"/>
          <w:numId w:val="2570"/>
        </w:numPr>
      </w:pPr>
      <w:r>
        <w:t xml:space="preserve">The</w:t>
      </w:r>
      <w:r>
        <w:t xml:space="preserve"> </w:t>
      </w:r>
      <w:r>
        <w:rPr>
          <w:rStyle w:val="VerbatimChar"/>
        </w:rPr>
        <w:t xml:space="preserve">//</w:t>
      </w:r>
      <w:r>
        <w:t xml:space="preserve"> </w:t>
      </w:r>
      <w:r>
        <w:t xml:space="preserve">axis, attribute predicates (</w:t>
      </w:r>
      <w:r>
        <w:rPr>
          <w:rStyle w:val="VerbatimChar"/>
        </w:rPr>
        <w:t xml:space="preserve">@attr</w:t>
      </w:r>
      <w:r>
        <w:t xml:space="preserve">), positional predicates,</w:t>
      </w:r>
      <w:r>
        <w:t xml:space="preserve"> </w:t>
      </w:r>
      <w:r>
        <w:rPr>
          <w:rStyle w:val="VerbatimChar"/>
        </w:rPr>
        <w:t xml:space="preserve">contains()</w:t>
      </w:r>
      <w:r>
        <w:t xml:space="preserve">,</w:t>
      </w:r>
      <w:r>
        <w:t xml:space="preserve"> </w:t>
      </w:r>
      <w:r>
        <w:rPr>
          <w:rStyle w:val="VerbatimChar"/>
        </w:rPr>
        <w:t xml:space="preserve">starts-with()</w:t>
      </w:r>
      <w:r>
        <w:t xml:space="preserve">,</w:t>
      </w:r>
      <w:r>
        <w:t xml:space="preserve"> </w:t>
      </w:r>
      <w:r>
        <w:rPr>
          <w:rStyle w:val="VerbatimChar"/>
        </w:rPr>
        <w:t xml:space="preserve">not()</w:t>
      </w:r>
      <w:r>
        <w:t xml:space="preserve">, and namespace-qualified expressions (when</w:t>
      </w:r>
      <w:r>
        <w:t xml:space="preserve"> </w:t>
      </w:r>
      <w:r>
        <w:rPr>
          <w:rStyle w:val="VerbatimChar"/>
        </w:rPr>
        <w:t xml:space="preserve">SelectionNamespaces</w:t>
      </w:r>
      <w:r>
        <w:t xml:space="preserve"> </w:t>
      </w:r>
      <w:r>
        <w:t xml:space="preserve">is set) are all supported.</w:t>
      </w:r>
    </w:p>
    <w:p>
      <w:pPr>
        <w:pStyle w:val="Compact"/>
        <w:numPr>
          <w:ilvl w:val="0"/>
          <w:numId w:val="2570"/>
        </w:numPr>
      </w:pPr>
      <w:r>
        <w:t xml:space="preserve">Method names are case-insensitive.</w:t>
      </w:r>
    </w:p>
    <w:bookmarkEnd w:id="6482"/>
    <w:bookmarkStart w:id="6483" w:name="code-example-54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"&lt;users&gt;&lt;user id='1'&gt;Alice&lt;/user&gt;&lt;user id='2'&gt;Bob&lt;/user&gt;&lt;/users&gt;"</w:t>
      </w:r>
      <w:r>
        <w:br/>
      </w:r>
      <w:r>
        <w:rPr>
          <w:rStyle w:val="KeywordTok"/>
        </w:rPr>
        <w:t xml:space="preserve">Set</w:t>
      </w:r>
      <w:r>
        <w:rPr>
          <w:rStyle w:val="NormalTok"/>
        </w:rPr>
        <w:t xml:space="preserve"> oNode = oXML.SelectSingleNode</w:t>
      </w:r>
      <w:r>
        <w:rPr>
          <w:rStyle w:val="OtherTok"/>
        </w:rPr>
        <w:t xml:space="preserve">(</w:t>
      </w:r>
      <w:r>
        <w:rPr>
          <w:rStyle w:val="StringTok"/>
        </w:rPr>
        <w:t xml:space="preserve">"//user[@id='2']"</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oNode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oNode.Text</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83"/>
    <w:bookmarkEnd w:id="6484"/>
    <w:bookmarkStart w:id="6490" w:name="domdocument.selectnodes-method"/>
    <w:p>
      <w:pPr>
        <w:pStyle w:val="Heading1"/>
      </w:pPr>
      <w:r>
        <w:t xml:space="preserve">DOMDocument.SelectNodes Method</w:t>
      </w:r>
    </w:p>
    <w:p>
      <w:pPr>
        <w:pStyle w:val="FirstParagraph"/>
      </w:pPr>
      <w:r>
        <w:t xml:space="preserve">Evaluates an XPath expression against the document and returns all matching nodes.</w:t>
      </w:r>
    </w:p>
    <w:bookmarkStart w:id="6485" w:name="syntax-761"/>
    <w:p>
      <w:pPr>
        <w:pStyle w:val="Heading2"/>
      </w:pPr>
      <w:r>
        <w:t xml:space="preserve">Syntax</w:t>
      </w:r>
    </w:p>
    <w:p>
      <w:pPr>
        <w:pStyle w:val="SourceCode"/>
      </w:pPr>
      <w:r>
        <w:rPr>
          <w:rStyle w:val="NormalTok"/>
        </w:rPr>
        <w:t xml:space="preserve">Set oList = objXML.SelectNodes(xpath)</w:t>
      </w:r>
    </w:p>
    <w:bookmarkEnd w:id="6485"/>
    <w:bookmarkStart w:id="6486" w:name="parameters-37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xpath</w:t>
            </w:r>
          </w:p>
        </w:tc>
        <w:tc>
          <w:tcPr/>
          <w:p>
            <w:pPr>
              <w:pStyle w:val="Compact"/>
            </w:pPr>
            <w:r>
              <w:t xml:space="preserve">String</w:t>
            </w:r>
          </w:p>
        </w:tc>
        <w:tc>
          <w:tcPr/>
          <w:p>
            <w:pPr>
              <w:pStyle w:val="Compact"/>
            </w:pPr>
            <w:r>
              <w:t xml:space="preserve">Yes</w:t>
            </w:r>
          </w:p>
        </w:tc>
        <w:tc>
          <w:tcPr/>
          <w:p>
            <w:pPr>
              <w:pStyle w:val="Compact"/>
            </w:pPr>
            <w:r>
              <w:t xml:space="preserve">An XPath 1.0 expression to evaluate against the document.</w:t>
            </w:r>
          </w:p>
        </w:tc>
      </w:tr>
    </w:tbl>
    <w:bookmarkEnd w:id="6486"/>
    <w:bookmarkStart w:id="6487" w:name="return-value-444"/>
    <w:p>
      <w:pPr>
        <w:pStyle w:val="Heading2"/>
      </w:pPr>
      <w:r>
        <w:t xml:space="preserve">Return Value</w:t>
      </w:r>
    </w:p>
    <w:p>
      <w:pPr>
        <w:pStyle w:val="FirstParagraph"/>
      </w:pPr>
      <w:r>
        <w:t xml:space="preserve">XMLNodeList. All nodes that satisfy the XPath expression in document order. Returns an empty XMLNodeList if no nodes match or the expression is empty.</w:t>
      </w:r>
    </w:p>
    <w:bookmarkEnd w:id="6487"/>
    <w:bookmarkStart w:id="6488" w:name="remarks-743"/>
    <w:p>
      <w:pPr>
        <w:pStyle w:val="Heading2"/>
      </w:pPr>
      <w:r>
        <w:t xml:space="preserve">Remarks</w:t>
      </w:r>
    </w:p>
    <w:p>
      <w:pPr>
        <w:pStyle w:val="Compact"/>
        <w:numPr>
          <w:ilvl w:val="0"/>
          <w:numId w:val="2571"/>
        </w:numPr>
      </w:pPr>
      <w:r>
        <w:t xml:space="preserve">XPath is evaluated from the document root.</w:t>
      </w:r>
    </w:p>
    <w:p>
      <w:pPr>
        <w:pStyle w:val="Compact"/>
        <w:numPr>
          <w:ilvl w:val="0"/>
          <w:numId w:val="2571"/>
        </w:numPr>
      </w:pPr>
      <w:r>
        <w:t xml:space="preserve">The</w:t>
      </w:r>
      <w:r>
        <w:t xml:space="preserve"> </w:t>
      </w:r>
      <w:r>
        <w:rPr>
          <w:rStyle w:val="VerbatimChar"/>
        </w:rPr>
        <w:t xml:space="preserve">//</w:t>
      </w:r>
      <w:r>
        <w:t xml:space="preserve"> </w:t>
      </w:r>
      <w:r>
        <w:t xml:space="preserve">axis, attribute predicates, positional predicates,</w:t>
      </w:r>
      <w:r>
        <w:t xml:space="preserve"> </w:t>
      </w:r>
      <w:r>
        <w:rPr>
          <w:rStyle w:val="VerbatimChar"/>
        </w:rPr>
        <w:t xml:space="preserve">contains()</w:t>
      </w:r>
      <w:r>
        <w:t xml:space="preserve">,</w:t>
      </w:r>
      <w:r>
        <w:t xml:space="preserve"> </w:t>
      </w:r>
      <w:r>
        <w:rPr>
          <w:rStyle w:val="VerbatimChar"/>
        </w:rPr>
        <w:t xml:space="preserve">starts-with()</w:t>
      </w:r>
      <w:r>
        <w:t xml:space="preserve">,</w:t>
      </w:r>
      <w:r>
        <w:t xml:space="preserve"> </w:t>
      </w:r>
      <w:r>
        <w:rPr>
          <w:rStyle w:val="VerbatimChar"/>
        </w:rPr>
        <w:t xml:space="preserve">not()</w:t>
      </w:r>
      <w:r>
        <w:t xml:space="preserve">,</w:t>
      </w:r>
      <w:r>
        <w:t xml:space="preserve"> </w:t>
      </w:r>
      <w:r>
        <w:rPr>
          <w:rStyle w:val="VerbatimChar"/>
        </w:rPr>
        <w:t xml:space="preserve">and</w:t>
      </w:r>
      <w:r>
        <w:t xml:space="preserve">,</w:t>
      </w:r>
      <w:r>
        <w:t xml:space="preserve"> </w:t>
      </w:r>
      <w:r>
        <w:rPr>
          <w:rStyle w:val="VerbatimChar"/>
        </w:rPr>
        <w:t xml:space="preserve">or</w:t>
      </w:r>
      <w:r>
        <w:t xml:space="preserve">, and namespace-qualified expressions are all supported.</w:t>
      </w:r>
    </w:p>
    <w:p>
      <w:pPr>
        <w:pStyle w:val="Compact"/>
        <w:numPr>
          <w:ilvl w:val="0"/>
          <w:numId w:val="2571"/>
        </w:numPr>
      </w:pPr>
      <w:r>
        <w:t xml:space="preserve">Use</w:t>
      </w:r>
      <w:r>
        <w:t xml:space="preserve"> </w:t>
      </w:r>
      <w:r>
        <w:rPr>
          <w:rStyle w:val="VerbatimChar"/>
        </w:rPr>
        <w:t xml:space="preserve">SelectionNamespaces</w:t>
      </w:r>
      <w:r>
        <w:t xml:space="preserve"> </w:t>
      </w:r>
      <w:r>
        <w:t xml:space="preserve">on the document to bind namespace prefixes before querying.</w:t>
      </w:r>
    </w:p>
    <w:p>
      <w:pPr>
        <w:pStyle w:val="Compact"/>
        <w:numPr>
          <w:ilvl w:val="0"/>
          <w:numId w:val="2571"/>
        </w:numPr>
      </w:pPr>
      <w:r>
        <w:t xml:space="preserve">Method names are case-insensitive.</w:t>
      </w:r>
    </w:p>
    <w:bookmarkEnd w:id="6488"/>
    <w:bookmarkStart w:id="6489" w:name="code-example-54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oList</w:t>
      </w:r>
      <w:r>
        <w:rPr>
          <w:rStyle w:val="OtherTok"/>
        </w:rPr>
        <w:t xml:space="preserve">,</w:t>
      </w:r>
      <w:r>
        <w:rPr>
          <w:rStyle w:val="NormalTok"/>
        </w:rPr>
        <w:t xml:space="preserve"> i</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"&lt;items&gt;&lt;item cat='A'&gt;One&lt;/item&gt;&lt;item cat='B'&gt;Two&lt;/item&gt;&lt;item cat='A'&gt;Three&lt;/item&gt;&lt;/items&gt;"</w:t>
      </w:r>
      <w:r>
        <w:br/>
      </w:r>
      <w:r>
        <w:rPr>
          <w:rStyle w:val="KeywordTok"/>
        </w:rPr>
        <w:t xml:space="preserve">Set</w:t>
      </w:r>
      <w:r>
        <w:rPr>
          <w:rStyle w:val="NormalTok"/>
        </w:rPr>
        <w:t xml:space="preserve"> oList = oXML.SelectNodes</w:t>
      </w:r>
      <w:r>
        <w:rPr>
          <w:rStyle w:val="OtherTok"/>
        </w:rPr>
        <w:t xml:space="preserve">(</w:t>
      </w:r>
      <w:r>
        <w:rPr>
          <w:rStyle w:val="StringTok"/>
        </w:rPr>
        <w:t xml:space="preserve">"//item[@cat='A']"</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oList.Length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oList.</w:t>
      </w:r>
      <w:r>
        <w:rPr>
          <w:rStyle w:val="FunctionTok"/>
        </w:rPr>
        <w:t xml:space="preserve">Item</w:t>
      </w:r>
      <w:r>
        <w:rPr>
          <w:rStyle w:val="OtherTok"/>
        </w:rPr>
        <w:t xml:space="preserve">(</w:t>
      </w:r>
      <w:r>
        <w:rPr>
          <w:rStyle w:val="NormalTok"/>
        </w:rPr>
        <w:t xml:space="preserve">i</w:t>
      </w:r>
      <w:r>
        <w:rPr>
          <w:rStyle w:val="OtherTok"/>
        </w:rPr>
        <w:t xml:space="preserve">)</w:t>
      </w:r>
      <w:r>
        <w:rPr>
          <w:rStyle w:val="NormalTok"/>
        </w:rPr>
        <w:t xml:space="preserve">.Text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89"/>
    <w:bookmarkEnd w:id="6490"/>
    <w:bookmarkStart w:id="6496" w:name="xmlnodelist.item-method"/>
    <w:p>
      <w:pPr>
        <w:pStyle w:val="Heading1"/>
      </w:pPr>
      <w:r>
        <w:t xml:space="preserve">XMLNodeList.Item Method</w:t>
      </w:r>
    </w:p>
    <w:p>
      <w:pPr>
        <w:pStyle w:val="FirstParagraph"/>
      </w:pPr>
      <w:r>
        <w:t xml:space="preserve">Returns the node at a given zero-based index from the list.</w:t>
      </w:r>
    </w:p>
    <w:bookmarkStart w:id="6491" w:name="syntax-762"/>
    <w:p>
      <w:pPr>
        <w:pStyle w:val="Heading2"/>
      </w:pPr>
      <w:r>
        <w:t xml:space="preserve">Syntax</w:t>
      </w:r>
    </w:p>
    <w:p>
      <w:pPr>
        <w:pStyle w:val="SourceCode"/>
      </w:pPr>
      <w:r>
        <w:rPr>
          <w:rStyle w:val="NormalTok"/>
        </w:rPr>
        <w:t xml:space="preserve">Set oNode = oList.Item(index)</w:t>
      </w:r>
    </w:p>
    <w:bookmarkEnd w:id="6491"/>
    <w:bookmarkStart w:id="6492" w:name="parameters-373"/>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index</w:t>
            </w:r>
          </w:p>
        </w:tc>
        <w:tc>
          <w:tcPr/>
          <w:p>
            <w:pPr>
              <w:pStyle w:val="Compact"/>
            </w:pPr>
            <w:r>
              <w:t xml:space="preserve">Integer</w:t>
            </w:r>
          </w:p>
        </w:tc>
        <w:tc>
          <w:tcPr/>
          <w:p>
            <w:pPr>
              <w:pStyle w:val="Compact"/>
            </w:pPr>
            <w:r>
              <w:t xml:space="preserve">Yes</w:t>
            </w:r>
          </w:p>
        </w:tc>
        <w:tc>
          <w:tcPr/>
          <w:p>
            <w:pPr>
              <w:pStyle w:val="Compact"/>
            </w:pPr>
            <w:r>
              <w:t xml:space="preserve">Zero-based position of the node to retrieve.</w:t>
            </w:r>
          </w:p>
        </w:tc>
      </w:tr>
    </w:tbl>
    <w:bookmarkEnd w:id="6492"/>
    <w:bookmarkStart w:id="6493" w:name="return-value-445"/>
    <w:p>
      <w:pPr>
        <w:pStyle w:val="Heading2"/>
      </w:pPr>
      <w:r>
        <w:t xml:space="preserve">Return Value</w:t>
      </w:r>
    </w:p>
    <w:p>
      <w:pPr>
        <w:pStyle w:val="FirstParagraph"/>
      </w:pPr>
      <w:r>
        <w:t xml:space="preserve">XMLElement. The node at the specified index. Returns Null if the index is negative or greater than or equal to</w:t>
      </w:r>
      <w:r>
        <w:t xml:space="preserve"> </w:t>
      </w:r>
      <w:r>
        <w:rPr>
          <w:rStyle w:val="VerbatimChar"/>
        </w:rPr>
        <w:t xml:space="preserve">Length</w:t>
      </w:r>
      <w:r>
        <w:t xml:space="preserve">.</w:t>
      </w:r>
    </w:p>
    <w:bookmarkEnd w:id="6493"/>
    <w:bookmarkStart w:id="6494" w:name="remarks-744"/>
    <w:p>
      <w:pPr>
        <w:pStyle w:val="Heading2"/>
      </w:pPr>
      <w:r>
        <w:t xml:space="preserve">Remarks</w:t>
      </w:r>
    </w:p>
    <w:p>
      <w:pPr>
        <w:pStyle w:val="Compact"/>
        <w:numPr>
          <w:ilvl w:val="0"/>
          <w:numId w:val="2572"/>
        </w:numPr>
      </w:pPr>
      <w:r>
        <w:t xml:space="preserve">Method names are case-insensitive.</w:t>
      </w:r>
    </w:p>
    <w:bookmarkEnd w:id="6494"/>
    <w:bookmarkStart w:id="6495" w:name="code-example-55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oList</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"&lt;list&gt;&lt;a&gt;1&lt;/a&gt;&lt;b&gt;2&lt;/b&gt;&lt;c&gt;3&lt;/c&gt;&lt;/list&gt;"</w:t>
      </w:r>
      <w:r>
        <w:br/>
      </w:r>
      <w:r>
        <w:rPr>
          <w:rStyle w:val="KeywordTok"/>
        </w:rPr>
        <w:t xml:space="preserve">Set</w:t>
      </w:r>
      <w:r>
        <w:rPr>
          <w:rStyle w:val="NormalTok"/>
        </w:rPr>
        <w:t xml:space="preserve"> oList = oXML.DocumentElement.ChildNodes</w:t>
      </w:r>
      <w:r>
        <w:br/>
      </w:r>
      <w:r>
        <w:rPr>
          <w:rStyle w:val="KeywordTok"/>
        </w:rPr>
        <w:t xml:space="preserve">Set</w:t>
      </w:r>
      <w:r>
        <w:rPr>
          <w:rStyle w:val="NormalTok"/>
        </w:rPr>
        <w:t xml:space="preserve"> oNode = oList.</w:t>
      </w:r>
      <w:r>
        <w:rPr>
          <w:rStyle w:val="FunctionTok"/>
        </w:rPr>
        <w:t xml:space="preserve">Item</w:t>
      </w:r>
      <w:r>
        <w:rPr>
          <w:rStyle w:val="OtherTok"/>
        </w:rPr>
        <w:t xml:space="preserve">(</w:t>
      </w:r>
      <w:r>
        <w:rPr>
          <w:rStyle w:val="DecValTok"/>
        </w:rPr>
        <w:t xml:space="preserve">1</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oNode.NodeName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oNode.Text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495"/>
    <w:bookmarkEnd w:id="6496"/>
    <w:bookmarkStart w:id="6502" w:name="xmlnodelist.nextnode-method"/>
    <w:p>
      <w:pPr>
        <w:pStyle w:val="Heading1"/>
      </w:pPr>
      <w:r>
        <w:t xml:space="preserve">XMLNodeList.NextNode Method</w:t>
      </w:r>
    </w:p>
    <w:p>
      <w:pPr>
        <w:pStyle w:val="FirstParagraph"/>
      </w:pPr>
      <w:r>
        <w:t xml:space="preserve">Returns the next node in a forward-only iteration over the list.</w:t>
      </w:r>
    </w:p>
    <w:bookmarkStart w:id="6497" w:name="syntax-763"/>
    <w:p>
      <w:pPr>
        <w:pStyle w:val="Heading2"/>
      </w:pPr>
      <w:r>
        <w:t xml:space="preserve">Syntax</w:t>
      </w:r>
    </w:p>
    <w:p>
      <w:pPr>
        <w:pStyle w:val="SourceCode"/>
      </w:pPr>
      <w:r>
        <w:rPr>
          <w:rStyle w:val="NormalTok"/>
        </w:rPr>
        <w:t xml:space="preserve">Set oNode = oList.NextNode()</w:t>
      </w:r>
    </w:p>
    <w:bookmarkEnd w:id="6497"/>
    <w:bookmarkStart w:id="6498" w:name="parameters-374"/>
    <w:p>
      <w:pPr>
        <w:pStyle w:val="Heading2"/>
      </w:pPr>
      <w:r>
        <w:t xml:space="preserve">Parameters</w:t>
      </w:r>
    </w:p>
    <w:p>
      <w:pPr>
        <w:pStyle w:val="FirstParagraph"/>
      </w:pPr>
      <w:r>
        <w:t xml:space="preserve">None.</w:t>
      </w:r>
    </w:p>
    <w:bookmarkEnd w:id="6498"/>
    <w:bookmarkStart w:id="6499" w:name="return-value-446"/>
    <w:p>
      <w:pPr>
        <w:pStyle w:val="Heading2"/>
      </w:pPr>
      <w:r>
        <w:t xml:space="preserve">Return Value</w:t>
      </w:r>
    </w:p>
    <w:p>
      <w:pPr>
        <w:pStyle w:val="FirstParagraph"/>
      </w:pPr>
      <w:r>
        <w:t xml:space="preserve">XMLElement. The next node in iteration order. Returns Null when all nodes have been visited.</w:t>
      </w:r>
    </w:p>
    <w:bookmarkEnd w:id="6499"/>
    <w:bookmarkStart w:id="6500" w:name="remarks-745"/>
    <w:p>
      <w:pPr>
        <w:pStyle w:val="Heading2"/>
      </w:pPr>
      <w:r>
        <w:t xml:space="preserve">Remarks</w:t>
      </w:r>
    </w:p>
    <w:p>
      <w:pPr>
        <w:pStyle w:val="Compact"/>
        <w:numPr>
          <w:ilvl w:val="0"/>
          <w:numId w:val="2573"/>
        </w:numPr>
      </w:pPr>
      <w:r>
        <w:t xml:space="preserve">The iterator position is maintained internally within the XMLNodeList object.</w:t>
      </w:r>
    </w:p>
    <w:p>
      <w:pPr>
        <w:pStyle w:val="Compact"/>
        <w:numPr>
          <w:ilvl w:val="0"/>
          <w:numId w:val="2573"/>
        </w:numPr>
      </w:pPr>
      <w:r>
        <w:t xml:space="preserve">Method names are case-insensitive.</w:t>
      </w:r>
    </w:p>
    <w:bookmarkEnd w:id="6500"/>
    <w:bookmarkStart w:id="6501" w:name="code-example-55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oList</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"&lt;items&gt;&lt;item&gt;A&lt;/item&gt;&lt;item&gt;B&lt;/item&gt;&lt;item&gt;C&lt;/item&gt;&lt;/items&gt;"</w:t>
      </w:r>
      <w:r>
        <w:br/>
      </w:r>
      <w:r>
        <w:rPr>
          <w:rStyle w:val="KeywordTok"/>
        </w:rPr>
        <w:t xml:space="preserve">Set</w:t>
      </w:r>
      <w:r>
        <w:rPr>
          <w:rStyle w:val="NormalTok"/>
        </w:rPr>
        <w:t xml:space="preserve"> oList = oXML.GetElementsByTagName</w:t>
      </w:r>
      <w:r>
        <w:rPr>
          <w:rStyle w:val="OtherTok"/>
        </w:rPr>
        <w:t xml:space="preserve">(</w:t>
      </w:r>
      <w:r>
        <w:rPr>
          <w:rStyle w:val="StringTok"/>
        </w:rPr>
        <w:t xml:space="preserve">"item"</w:t>
      </w:r>
      <w:r>
        <w:rPr>
          <w:rStyle w:val="OtherTok"/>
        </w:rPr>
        <w:t xml:space="preserve">)</w:t>
      </w:r>
      <w:r>
        <w:br/>
      </w:r>
      <w:r>
        <w:rPr>
          <w:rStyle w:val="KeywordTok"/>
        </w:rPr>
        <w:t xml:space="preserve">Set</w:t>
      </w:r>
      <w:r>
        <w:rPr>
          <w:rStyle w:val="NormalTok"/>
        </w:rPr>
        <w:t xml:space="preserve"> oNode = oList.NextNode</w:t>
      </w:r>
      <w:r>
        <w:rPr>
          <w:rStyle w:val="OtherTok"/>
        </w:rPr>
        <w:t xml:space="preserve">()</w:t>
      </w:r>
      <w:r>
        <w:br/>
      </w:r>
      <w:r>
        <w:rPr>
          <w:rStyle w:val="ControlFlowTok"/>
        </w:rPr>
        <w:t xml:space="preserve">Do While</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oNode</w:t>
      </w:r>
      <w:r>
        <w:rPr>
          <w:rStyle w:val="OtherTok"/>
        </w:rPr>
        <w:t xml:space="preserv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oNode.Text </w:t>
      </w:r>
      <w:r>
        <w:rPr>
          <w:rStyle w:val="KeywordTok"/>
        </w:rPr>
        <w:t xml:space="preserve">&amp;</w:t>
      </w:r>
      <w:r>
        <w:rPr>
          <w:rStyle w:val="NormalTok"/>
        </w:rPr>
        <w:t xml:space="preserve"> </w:t>
      </w:r>
      <w:r>
        <w:rPr>
          <w:rStyle w:val="StringTok"/>
        </w:rPr>
        <w:t xml:space="preserve">"&lt;br&gt;"</w:t>
      </w:r>
      <w:r>
        <w:br/>
      </w:r>
      <w:r>
        <w:rPr>
          <w:rStyle w:val="NormalTok"/>
        </w:rPr>
        <w:t xml:space="preserve">    </w:t>
      </w:r>
      <w:r>
        <w:rPr>
          <w:rStyle w:val="KeywordTok"/>
        </w:rPr>
        <w:t xml:space="preserve">Set</w:t>
      </w:r>
      <w:r>
        <w:rPr>
          <w:rStyle w:val="NormalTok"/>
        </w:rPr>
        <w:t xml:space="preserve"> oNode = oList.NextNode</w:t>
      </w:r>
      <w:r>
        <w:rPr>
          <w:rStyle w:val="OtherTok"/>
        </w:rPr>
        <w:t xml:space="preserve">()</w:t>
      </w:r>
      <w:r>
        <w:br/>
      </w:r>
      <w:r>
        <w:rPr>
          <w:rStyle w:val="ControlFlowTok"/>
        </w:rPr>
        <w:t xml:space="preserve">Loop</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01"/>
    <w:bookmarkEnd w:id="6502"/>
    <w:bookmarkStart w:id="6508" w:name="xmlelement.appendchild-method"/>
    <w:p>
      <w:pPr>
        <w:pStyle w:val="Heading1"/>
      </w:pPr>
      <w:r>
        <w:t xml:space="preserve">XMLElement.AppendChild Method</w:t>
      </w:r>
    </w:p>
    <w:p>
      <w:pPr>
        <w:pStyle w:val="FirstParagraph"/>
      </w:pPr>
      <w:r>
        <w:t xml:space="preserve">Appends a child node to this element and returns the appended node.</w:t>
      </w:r>
    </w:p>
    <w:bookmarkStart w:id="6503" w:name="syntax-764"/>
    <w:p>
      <w:pPr>
        <w:pStyle w:val="Heading2"/>
      </w:pPr>
      <w:r>
        <w:t xml:space="preserve">Syntax</w:t>
      </w:r>
    </w:p>
    <w:p>
      <w:pPr>
        <w:pStyle w:val="SourceCode"/>
      </w:pPr>
      <w:r>
        <w:rPr>
          <w:rStyle w:val="NormalTok"/>
        </w:rPr>
        <w:t xml:space="preserve">Set oResult = oElement.AppendChild(child)</w:t>
      </w:r>
    </w:p>
    <w:bookmarkEnd w:id="6503"/>
    <w:bookmarkStart w:id="6504" w:name="parameters-375"/>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child</w:t>
            </w:r>
          </w:p>
        </w:tc>
        <w:tc>
          <w:tcPr/>
          <w:p>
            <w:pPr>
              <w:pStyle w:val="Compact"/>
            </w:pPr>
            <w:r>
              <w:t xml:space="preserve">XMLElement</w:t>
            </w:r>
          </w:p>
        </w:tc>
        <w:tc>
          <w:tcPr/>
          <w:p>
            <w:pPr>
              <w:pStyle w:val="Compact"/>
            </w:pPr>
            <w:r>
              <w:t xml:space="preserve">Yes</w:t>
            </w:r>
          </w:p>
        </w:tc>
        <w:tc>
          <w:tcPr/>
          <w:p>
            <w:pPr>
              <w:pStyle w:val="Compact"/>
            </w:pPr>
            <w:r>
              <w:t xml:space="preserve">The node to append as a direct child of this element.</w:t>
            </w:r>
          </w:p>
        </w:tc>
      </w:tr>
    </w:tbl>
    <w:bookmarkEnd w:id="6504"/>
    <w:bookmarkStart w:id="6505" w:name="return-value-447"/>
    <w:p>
      <w:pPr>
        <w:pStyle w:val="Heading2"/>
      </w:pPr>
      <w:r>
        <w:t xml:space="preserve">Return Value</w:t>
      </w:r>
    </w:p>
    <w:p>
      <w:pPr>
        <w:pStyle w:val="FirstParagraph"/>
      </w:pPr>
      <w:r>
        <w:t xml:space="preserve">XMLElement. Returns the appended</w:t>
      </w:r>
      <w:r>
        <w:t xml:space="preserve"> </w:t>
      </w:r>
      <w:r>
        <w:rPr>
          <w:rStyle w:val="VerbatimChar"/>
        </w:rPr>
        <w:t xml:space="preserve">child</w:t>
      </w:r>
      <w:r>
        <w:t xml:space="preserve"> </w:t>
      </w:r>
      <w:r>
        <w:t xml:space="preserve">node.</w:t>
      </w:r>
    </w:p>
    <w:bookmarkEnd w:id="6505"/>
    <w:bookmarkStart w:id="6506" w:name="remarks-746"/>
    <w:p>
      <w:pPr>
        <w:pStyle w:val="Heading2"/>
      </w:pPr>
      <w:r>
        <w:t xml:space="preserve">Remarks</w:t>
      </w:r>
    </w:p>
    <w:p>
      <w:pPr>
        <w:pStyle w:val="Compact"/>
        <w:numPr>
          <w:ilvl w:val="0"/>
          <w:numId w:val="2574"/>
        </w:numPr>
      </w:pPr>
      <w:r>
        <w:t xml:space="preserve">Method names are case-insensitive.</w:t>
      </w:r>
    </w:p>
    <w:bookmarkEnd w:id="6506"/>
    <w:bookmarkStart w:id="6507" w:name="code-example-55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oParent</w:t>
      </w:r>
      <w:r>
        <w:rPr>
          <w:rStyle w:val="OtherTok"/>
        </w:rPr>
        <w:t xml:space="preserve">,</w:t>
      </w:r>
      <w:r>
        <w:rPr>
          <w:rStyle w:val="NormalTok"/>
        </w:rPr>
        <w:t xml:space="preserve"> oChild</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"&lt;root&gt;&lt;/root&gt;"</w:t>
      </w:r>
      <w:r>
        <w:br/>
      </w:r>
      <w:r>
        <w:rPr>
          <w:rStyle w:val="KeywordTok"/>
        </w:rPr>
        <w:t xml:space="preserve">Set</w:t>
      </w:r>
      <w:r>
        <w:rPr>
          <w:rStyle w:val="NormalTok"/>
        </w:rPr>
        <w:t xml:space="preserve"> oParent = oXML.DocumentElement</w:t>
      </w:r>
      <w:r>
        <w:br/>
      </w:r>
      <w:r>
        <w:rPr>
          <w:rStyle w:val="KeywordTok"/>
        </w:rPr>
        <w:t xml:space="preserve">Set</w:t>
      </w:r>
      <w:r>
        <w:rPr>
          <w:rStyle w:val="NormalTok"/>
        </w:rPr>
        <w:t xml:space="preserve"> oChild = oXML.CreateElement</w:t>
      </w:r>
      <w:r>
        <w:rPr>
          <w:rStyle w:val="OtherTok"/>
        </w:rPr>
        <w:t xml:space="preserve">(</w:t>
      </w:r>
      <w:r>
        <w:rPr>
          <w:rStyle w:val="StringTok"/>
        </w:rPr>
        <w:t xml:space="preserve">"entry"</w:t>
      </w:r>
      <w:r>
        <w:rPr>
          <w:rStyle w:val="OtherTok"/>
        </w:rPr>
        <w:t xml:space="preserve">)</w:t>
      </w:r>
      <w:r>
        <w:br/>
      </w:r>
      <w:r>
        <w:rPr>
          <w:rStyle w:val="NormalTok"/>
        </w:rPr>
        <w:t xml:space="preserve">oChild.Text = </w:t>
      </w:r>
      <w:r>
        <w:rPr>
          <w:rStyle w:val="StringTok"/>
        </w:rPr>
        <w:t xml:space="preserve">"New entry"</w:t>
      </w:r>
      <w:r>
        <w:br/>
      </w:r>
      <w:r>
        <w:rPr>
          <w:rStyle w:val="NormalTok"/>
        </w:rPr>
        <w:t xml:space="preserve">oParent.AppendChild oChild</w:t>
      </w:r>
      <w:r>
        <w:br/>
      </w:r>
      <w:r>
        <w:rPr>
          <w:rStyle w:val="FunctionTok"/>
        </w:rPr>
        <w:t xml:space="preserve">Response</w:t>
      </w:r>
      <w:r>
        <w:rPr>
          <w:rStyle w:val="NormalTok"/>
        </w:rPr>
        <w:t xml:space="preserve">.</w:t>
      </w:r>
      <w:r>
        <w:rPr>
          <w:rStyle w:val="FunctionTok"/>
        </w:rPr>
        <w:t xml:space="preserve">Write</w:t>
      </w:r>
      <w:r>
        <w:rPr>
          <w:rStyle w:val="NormalTok"/>
        </w:rPr>
        <w:t xml:space="preserve"> oXML.XML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07"/>
    <w:bookmarkEnd w:id="6508"/>
    <w:bookmarkStart w:id="6514" w:name="xmlelement.getelementsbytagname-method"/>
    <w:p>
      <w:pPr>
        <w:pStyle w:val="Heading1"/>
      </w:pPr>
      <w:r>
        <w:t xml:space="preserve">XMLElement.GetElementsByTagName Method</w:t>
      </w:r>
    </w:p>
    <w:p>
      <w:pPr>
        <w:pStyle w:val="FirstParagraph"/>
      </w:pPr>
      <w:r>
        <w:t xml:space="preserve">Returns all descendant elements of this element that match the given tag name.</w:t>
      </w:r>
    </w:p>
    <w:bookmarkStart w:id="6509" w:name="syntax-765"/>
    <w:p>
      <w:pPr>
        <w:pStyle w:val="Heading2"/>
      </w:pPr>
      <w:r>
        <w:t xml:space="preserve">Syntax</w:t>
      </w:r>
    </w:p>
    <w:p>
      <w:pPr>
        <w:pStyle w:val="SourceCode"/>
      </w:pPr>
      <w:r>
        <w:rPr>
          <w:rStyle w:val="NormalTok"/>
        </w:rPr>
        <w:t xml:space="preserve">Set oList = oElement.GetElementsByTagName(tagName)</w:t>
      </w:r>
    </w:p>
    <w:bookmarkEnd w:id="6509"/>
    <w:bookmarkStart w:id="6510" w:name="parameters-376"/>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tagName</w:t>
            </w:r>
          </w:p>
        </w:tc>
        <w:tc>
          <w:tcPr/>
          <w:p>
            <w:pPr>
              <w:pStyle w:val="Compact"/>
            </w:pPr>
            <w:r>
              <w:t xml:space="preserve">String</w:t>
            </w:r>
          </w:p>
        </w:tc>
        <w:tc>
          <w:tcPr/>
          <w:p>
            <w:pPr>
              <w:pStyle w:val="Compact"/>
            </w:pPr>
            <w:r>
              <w:t xml:space="preserve">Yes</w:t>
            </w:r>
          </w:p>
        </w:tc>
        <w:tc>
          <w:tcPr/>
          <w:p>
            <w:pPr>
              <w:pStyle w:val="Compact"/>
            </w:pPr>
            <w:r>
              <w:t xml:space="preserve">The tag name to search for. The match is case-insensitive.</w:t>
            </w:r>
          </w:p>
        </w:tc>
      </w:tr>
    </w:tbl>
    <w:bookmarkEnd w:id="6510"/>
    <w:bookmarkStart w:id="6511" w:name="return-value-448"/>
    <w:p>
      <w:pPr>
        <w:pStyle w:val="Heading2"/>
      </w:pPr>
      <w:r>
        <w:t xml:space="preserve">Return Value</w:t>
      </w:r>
    </w:p>
    <w:p>
      <w:pPr>
        <w:pStyle w:val="FirstParagraph"/>
      </w:pPr>
      <w:r>
        <w:t xml:space="preserve">XMLNodeList. All matching descendant elements in document order. Returns an empty XMLNodeList if no elements match.</w:t>
      </w:r>
    </w:p>
    <w:bookmarkEnd w:id="6511"/>
    <w:bookmarkStart w:id="6512" w:name="remarks-747"/>
    <w:p>
      <w:pPr>
        <w:pStyle w:val="Heading2"/>
      </w:pPr>
      <w:r>
        <w:t xml:space="preserve">Remarks</w:t>
      </w:r>
    </w:p>
    <w:p>
      <w:pPr>
        <w:pStyle w:val="Compact"/>
        <w:numPr>
          <w:ilvl w:val="0"/>
          <w:numId w:val="2575"/>
        </w:numPr>
      </w:pPr>
      <w:r>
        <w:t xml:space="preserve">The search includes all levels of descendants, not just direct children.</w:t>
      </w:r>
    </w:p>
    <w:p>
      <w:pPr>
        <w:pStyle w:val="Compact"/>
        <w:numPr>
          <w:ilvl w:val="0"/>
          <w:numId w:val="2575"/>
        </w:numPr>
      </w:pPr>
      <w:r>
        <w:t xml:space="preserve">Method names are case-insensitive.</w:t>
      </w:r>
    </w:p>
    <w:bookmarkEnd w:id="6512"/>
    <w:bookmarkStart w:id="6513" w:name="code-example-55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oList</w:t>
      </w:r>
      <w:r>
        <w:rPr>
          <w:rStyle w:val="OtherTok"/>
        </w:rPr>
        <w:t xml:space="preserve">,</w:t>
      </w:r>
      <w:r>
        <w:rPr>
          <w:rStyle w:val="NormalTok"/>
        </w:rPr>
        <w:t xml:space="preserve"> i</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"&lt;root&gt;&lt;section&gt;&lt;item&gt;A&lt;/item&gt;&lt;/section&gt;&lt;item&gt;B&lt;/item&gt;&lt;/root&gt;"</w:t>
      </w:r>
      <w:r>
        <w:br/>
      </w:r>
      <w:r>
        <w:rPr>
          <w:rStyle w:val="KeywordTok"/>
        </w:rPr>
        <w:t xml:space="preserve">Set</w:t>
      </w:r>
      <w:r>
        <w:rPr>
          <w:rStyle w:val="NormalTok"/>
        </w:rPr>
        <w:t xml:space="preserve"> oRoot = oXML.DocumentElement</w:t>
      </w:r>
      <w:r>
        <w:br/>
      </w:r>
      <w:r>
        <w:rPr>
          <w:rStyle w:val="KeywordTok"/>
        </w:rPr>
        <w:t xml:space="preserve">Set</w:t>
      </w:r>
      <w:r>
        <w:rPr>
          <w:rStyle w:val="NormalTok"/>
        </w:rPr>
        <w:t xml:space="preserve"> oList = oRoot.GetElementsByTagName</w:t>
      </w:r>
      <w:r>
        <w:rPr>
          <w:rStyle w:val="OtherTok"/>
        </w:rPr>
        <w:t xml:space="preserve">(</w:t>
      </w:r>
      <w:r>
        <w:rPr>
          <w:rStyle w:val="StringTok"/>
        </w:rPr>
        <w:t xml:space="preserve">"item"</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oList.Length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oList.</w:t>
      </w:r>
      <w:r>
        <w:rPr>
          <w:rStyle w:val="FunctionTok"/>
        </w:rPr>
        <w:t xml:space="preserve">Item</w:t>
      </w:r>
      <w:r>
        <w:rPr>
          <w:rStyle w:val="OtherTok"/>
        </w:rPr>
        <w:t xml:space="preserve">(</w:t>
      </w:r>
      <w:r>
        <w:rPr>
          <w:rStyle w:val="NormalTok"/>
        </w:rPr>
        <w:t xml:space="preserve">i</w:t>
      </w:r>
      <w:r>
        <w:rPr>
          <w:rStyle w:val="OtherTok"/>
        </w:rPr>
        <w:t xml:space="preserve">)</w:t>
      </w:r>
      <w:r>
        <w:rPr>
          <w:rStyle w:val="NormalTok"/>
        </w:rPr>
        <w:t xml:space="preserve">.Text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13"/>
    <w:bookmarkEnd w:id="6514"/>
    <w:bookmarkStart w:id="6520" w:name="xmlelement.item-method"/>
    <w:p>
      <w:pPr>
        <w:pStyle w:val="Heading1"/>
      </w:pPr>
      <w:r>
        <w:t xml:space="preserve">XMLElement.Item Method</w:t>
      </w:r>
    </w:p>
    <w:p>
      <w:pPr>
        <w:pStyle w:val="FirstParagraph"/>
      </w:pPr>
      <w:r>
        <w:t xml:space="preserve">Returns the direct child node at a given zero-based index.</w:t>
      </w:r>
    </w:p>
    <w:bookmarkStart w:id="6515" w:name="syntax-766"/>
    <w:p>
      <w:pPr>
        <w:pStyle w:val="Heading2"/>
      </w:pPr>
      <w:r>
        <w:t xml:space="preserve">Syntax</w:t>
      </w:r>
    </w:p>
    <w:p>
      <w:pPr>
        <w:pStyle w:val="SourceCode"/>
      </w:pPr>
      <w:r>
        <w:rPr>
          <w:rStyle w:val="NormalTok"/>
        </w:rPr>
        <w:t xml:space="preserve">Set oChild = oElement.Item(index)</w:t>
      </w:r>
    </w:p>
    <w:bookmarkEnd w:id="6515"/>
    <w:bookmarkStart w:id="6516" w:name="parameters-377"/>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index</w:t>
            </w:r>
          </w:p>
        </w:tc>
        <w:tc>
          <w:tcPr/>
          <w:p>
            <w:pPr>
              <w:pStyle w:val="Compact"/>
            </w:pPr>
            <w:r>
              <w:t xml:space="preserve">Integer</w:t>
            </w:r>
          </w:p>
        </w:tc>
        <w:tc>
          <w:tcPr/>
          <w:p>
            <w:pPr>
              <w:pStyle w:val="Compact"/>
            </w:pPr>
            <w:r>
              <w:t xml:space="preserve">Yes</w:t>
            </w:r>
          </w:p>
        </w:tc>
        <w:tc>
          <w:tcPr/>
          <w:p>
            <w:pPr>
              <w:pStyle w:val="Compact"/>
            </w:pPr>
            <w:r>
              <w:t xml:space="preserve">Zero-based position among the direct children of this element.</w:t>
            </w:r>
          </w:p>
        </w:tc>
      </w:tr>
    </w:tbl>
    <w:bookmarkEnd w:id="6516"/>
    <w:bookmarkStart w:id="6517" w:name="return-value-449"/>
    <w:p>
      <w:pPr>
        <w:pStyle w:val="Heading2"/>
      </w:pPr>
      <w:r>
        <w:t xml:space="preserve">Return Value</w:t>
      </w:r>
    </w:p>
    <w:p>
      <w:pPr>
        <w:pStyle w:val="FirstParagraph"/>
      </w:pPr>
      <w:r>
        <w:t xml:space="preserve">XMLElement. The child node at the specified index. Returns Null if the index is out of range.</w:t>
      </w:r>
    </w:p>
    <w:bookmarkEnd w:id="6517"/>
    <w:bookmarkStart w:id="6518" w:name="remarks-748"/>
    <w:p>
      <w:pPr>
        <w:pStyle w:val="Heading2"/>
      </w:pPr>
      <w:r>
        <w:t xml:space="preserve">Remarks</w:t>
      </w:r>
    </w:p>
    <w:p>
      <w:pPr>
        <w:pStyle w:val="Compact"/>
        <w:numPr>
          <w:ilvl w:val="0"/>
          <w:numId w:val="2576"/>
        </w:numPr>
      </w:pPr>
      <w:r>
        <w:t xml:space="preserve">Method names are case-insensitive.</w:t>
      </w:r>
    </w:p>
    <w:bookmarkEnd w:id="6518"/>
    <w:bookmarkStart w:id="6519" w:name="code-example-55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oChild</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"&lt;root&gt;&lt;a&gt;1&lt;/a&gt;&lt;b&gt;2&lt;/b&gt;&lt;/root&gt;"</w:t>
      </w:r>
      <w:r>
        <w:br/>
      </w:r>
      <w:r>
        <w:rPr>
          <w:rStyle w:val="KeywordTok"/>
        </w:rPr>
        <w:t xml:space="preserve">Set</w:t>
      </w:r>
      <w:r>
        <w:rPr>
          <w:rStyle w:val="NormalTok"/>
        </w:rPr>
        <w:t xml:space="preserve"> oRoot = oXML.DocumentElement</w:t>
      </w:r>
      <w:r>
        <w:br/>
      </w:r>
      <w:r>
        <w:rPr>
          <w:rStyle w:val="KeywordTok"/>
        </w:rPr>
        <w:t xml:space="preserve">Set</w:t>
      </w:r>
      <w:r>
        <w:rPr>
          <w:rStyle w:val="NormalTok"/>
        </w:rPr>
        <w:t xml:space="preserve"> oChild = oRoot.</w:t>
      </w:r>
      <w:r>
        <w:rPr>
          <w:rStyle w:val="FunctionTok"/>
        </w:rPr>
        <w:t xml:space="preserve">Item</w:t>
      </w:r>
      <w:r>
        <w:rPr>
          <w:rStyle w:val="OtherTok"/>
        </w:rPr>
        <w:t xml:space="preserve">(</w:t>
      </w:r>
      <w:r>
        <w:rPr>
          <w:rStyle w:val="DecValTok"/>
        </w:rPr>
        <w:t xml:space="preserve">0</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oChild.NodeName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oChild.Text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19"/>
    <w:bookmarkEnd w:id="6520"/>
    <w:bookmarkStart w:id="6526" w:name="xmlelement.setattribute-method"/>
    <w:p>
      <w:pPr>
        <w:pStyle w:val="Heading1"/>
      </w:pPr>
      <w:r>
        <w:t xml:space="preserve">XMLElement.SetAttribute Method</w:t>
      </w:r>
    </w:p>
    <w:p>
      <w:pPr>
        <w:pStyle w:val="FirstParagraph"/>
      </w:pPr>
      <w:r>
        <w:t xml:space="preserve">Creates or replaces an attribute on this element.</w:t>
      </w:r>
    </w:p>
    <w:bookmarkStart w:id="6521" w:name="syntax-767"/>
    <w:p>
      <w:pPr>
        <w:pStyle w:val="Heading2"/>
      </w:pPr>
      <w:r>
        <w:t xml:space="preserve">Syntax</w:t>
      </w:r>
    </w:p>
    <w:p>
      <w:pPr>
        <w:pStyle w:val="SourceCode"/>
      </w:pPr>
      <w:r>
        <w:rPr>
          <w:rStyle w:val="NormalTok"/>
        </w:rPr>
        <w:t xml:space="preserve">oElement.SetAttribute name, value</w:t>
      </w:r>
    </w:p>
    <w:bookmarkEnd w:id="6521"/>
    <w:bookmarkStart w:id="6522" w:name="parameters-378"/>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Yes</w:t>
            </w:r>
          </w:p>
        </w:tc>
        <w:tc>
          <w:tcPr/>
          <w:p>
            <w:pPr>
              <w:pStyle w:val="Compact"/>
            </w:pPr>
            <w:r>
              <w:t xml:space="preserve">The attribute name.</w:t>
            </w:r>
          </w:p>
        </w:tc>
      </w:tr>
      <w:tr>
        <w:tc>
          <w:tcPr/>
          <w:p>
            <w:pPr>
              <w:pStyle w:val="Compact"/>
            </w:pPr>
            <w:r>
              <w:rPr>
                <w:rStyle w:val="VerbatimChar"/>
              </w:rPr>
              <w:t xml:space="preserve">value</w:t>
            </w:r>
          </w:p>
        </w:tc>
        <w:tc>
          <w:tcPr/>
          <w:p>
            <w:pPr>
              <w:pStyle w:val="Compact"/>
            </w:pPr>
            <w:r>
              <w:t xml:space="preserve">String</w:t>
            </w:r>
          </w:p>
        </w:tc>
        <w:tc>
          <w:tcPr/>
          <w:p>
            <w:pPr>
              <w:pStyle w:val="Compact"/>
            </w:pPr>
            <w:r>
              <w:t xml:space="preserve">Yes</w:t>
            </w:r>
          </w:p>
        </w:tc>
        <w:tc>
          <w:tcPr/>
          <w:p>
            <w:pPr>
              <w:pStyle w:val="Compact"/>
            </w:pPr>
            <w:r>
              <w:t xml:space="preserve">The value to assign to the attribute.</w:t>
            </w:r>
          </w:p>
        </w:tc>
      </w:tr>
    </w:tbl>
    <w:bookmarkEnd w:id="6522"/>
    <w:bookmarkStart w:id="6523" w:name="return-value-450"/>
    <w:p>
      <w:pPr>
        <w:pStyle w:val="Heading2"/>
      </w:pPr>
      <w:r>
        <w:t xml:space="preserve">Return Value</w:t>
      </w:r>
    </w:p>
    <w:p>
      <w:pPr>
        <w:pStyle w:val="FirstParagraph"/>
      </w:pPr>
      <w:r>
        <w:t xml:space="preserve">Empty. This method does not return a value.</w:t>
      </w:r>
    </w:p>
    <w:bookmarkEnd w:id="6523"/>
    <w:bookmarkStart w:id="6524" w:name="remarks-749"/>
    <w:p>
      <w:pPr>
        <w:pStyle w:val="Heading2"/>
      </w:pPr>
      <w:r>
        <w:t xml:space="preserve">Remarks</w:t>
      </w:r>
    </w:p>
    <w:p>
      <w:pPr>
        <w:pStyle w:val="Compact"/>
        <w:numPr>
          <w:ilvl w:val="0"/>
          <w:numId w:val="2577"/>
        </w:numPr>
      </w:pPr>
      <w:r>
        <w:t xml:space="preserve">If an attribute with the same name already exists, its value is replaced.</w:t>
      </w:r>
    </w:p>
    <w:p>
      <w:pPr>
        <w:pStyle w:val="Compact"/>
        <w:numPr>
          <w:ilvl w:val="0"/>
          <w:numId w:val="2577"/>
        </w:numPr>
      </w:pPr>
      <w:r>
        <w:t xml:space="preserve">Method names are case-insensitive.</w:t>
      </w:r>
    </w:p>
    <w:bookmarkEnd w:id="6524"/>
    <w:bookmarkStart w:id="6525" w:name="code-example-55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oElem</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KeywordTok"/>
        </w:rPr>
        <w:t xml:space="preserve">Set</w:t>
      </w:r>
      <w:r>
        <w:rPr>
          <w:rStyle w:val="NormalTok"/>
        </w:rPr>
        <w:t xml:space="preserve"> oElem = oXML.CreateElement</w:t>
      </w:r>
      <w:r>
        <w:rPr>
          <w:rStyle w:val="OtherTok"/>
        </w:rPr>
        <w:t xml:space="preserve">(</w:t>
      </w:r>
      <w:r>
        <w:rPr>
          <w:rStyle w:val="StringTok"/>
        </w:rPr>
        <w:t xml:space="preserve">"product"</w:t>
      </w:r>
      <w:r>
        <w:rPr>
          <w:rStyle w:val="OtherTok"/>
        </w:rPr>
        <w:t xml:space="preserve">)</w:t>
      </w:r>
      <w:r>
        <w:br/>
      </w:r>
      <w:r>
        <w:rPr>
          <w:rStyle w:val="NormalTok"/>
        </w:rPr>
        <w:t xml:space="preserve">oElem.SetAttribute </w:t>
      </w:r>
      <w:r>
        <w:rPr>
          <w:rStyle w:val="StringTok"/>
        </w:rPr>
        <w:t xml:space="preserve">"id"</w:t>
      </w:r>
      <w:r>
        <w:rPr>
          <w:rStyle w:val="OtherTok"/>
        </w:rPr>
        <w:t xml:space="preserve">,</w:t>
      </w:r>
      <w:r>
        <w:rPr>
          <w:rStyle w:val="NormalTok"/>
        </w:rPr>
        <w:t xml:space="preserve"> </w:t>
      </w:r>
      <w:r>
        <w:rPr>
          <w:rStyle w:val="StringTok"/>
        </w:rPr>
        <w:t xml:space="preserve">"101"</w:t>
      </w:r>
      <w:r>
        <w:br/>
      </w:r>
      <w:r>
        <w:rPr>
          <w:rStyle w:val="NormalTok"/>
        </w:rPr>
        <w:t xml:space="preserve">oElem.SetAttribute </w:t>
      </w:r>
      <w:r>
        <w:rPr>
          <w:rStyle w:val="StringTok"/>
        </w:rPr>
        <w:t xml:space="preserve">"category"</w:t>
      </w:r>
      <w:r>
        <w:rPr>
          <w:rStyle w:val="OtherTok"/>
        </w:rPr>
        <w:t xml:space="preserve">,</w:t>
      </w:r>
      <w:r>
        <w:rPr>
          <w:rStyle w:val="NormalTok"/>
        </w:rPr>
        <w:t xml:space="preserve"> </w:t>
      </w:r>
      <w:r>
        <w:rPr>
          <w:rStyle w:val="StringTok"/>
        </w:rPr>
        <w:t xml:space="preserve">"electronics"</w:t>
      </w:r>
      <w:r>
        <w:br/>
      </w:r>
      <w:r>
        <w:rPr>
          <w:rStyle w:val="NormalTok"/>
        </w:rPr>
        <w:t xml:space="preserve">oElem.Text = </w:t>
      </w:r>
      <w:r>
        <w:rPr>
          <w:rStyle w:val="StringTok"/>
        </w:rPr>
        <w:t xml:space="preserve">"Gadget"</w:t>
      </w:r>
      <w:r>
        <w:br/>
      </w:r>
      <w:r>
        <w:rPr>
          <w:rStyle w:val="NormalTok"/>
        </w:rPr>
        <w:t xml:space="preserve">oXML.AppendChild oElem</w:t>
      </w:r>
      <w:r>
        <w:br/>
      </w:r>
      <w:r>
        <w:rPr>
          <w:rStyle w:val="FunctionTok"/>
        </w:rPr>
        <w:t xml:space="preserve">Response</w:t>
      </w:r>
      <w:r>
        <w:rPr>
          <w:rStyle w:val="NormalTok"/>
        </w:rPr>
        <w:t xml:space="preserve">.</w:t>
      </w:r>
      <w:r>
        <w:rPr>
          <w:rStyle w:val="FunctionTok"/>
        </w:rPr>
        <w:t xml:space="preserve">Write</w:t>
      </w:r>
      <w:r>
        <w:rPr>
          <w:rStyle w:val="NormalTok"/>
        </w:rPr>
        <w:t xml:space="preserve"> oXML.XML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25"/>
    <w:bookmarkEnd w:id="6526"/>
    <w:bookmarkStart w:id="6532" w:name="xmlelement.getattribute-method"/>
    <w:p>
      <w:pPr>
        <w:pStyle w:val="Heading1"/>
      </w:pPr>
      <w:r>
        <w:t xml:space="preserve">XMLElement.GetAttribute Method</w:t>
      </w:r>
    </w:p>
    <w:p>
      <w:pPr>
        <w:pStyle w:val="FirstParagraph"/>
      </w:pPr>
      <w:r>
        <w:t xml:space="preserve">Returns the value of the named attribute on this element.</w:t>
      </w:r>
    </w:p>
    <w:bookmarkStart w:id="6527" w:name="syntax-768"/>
    <w:p>
      <w:pPr>
        <w:pStyle w:val="Heading2"/>
      </w:pPr>
      <w:r>
        <w:t xml:space="preserve">Syntax</w:t>
      </w:r>
    </w:p>
    <w:p>
      <w:pPr>
        <w:pStyle w:val="SourceCode"/>
      </w:pPr>
      <w:r>
        <w:rPr>
          <w:rStyle w:val="NormalTok"/>
        </w:rPr>
        <w:t xml:space="preserve">value = oElement.GetAttribute(name)</w:t>
      </w:r>
    </w:p>
    <w:bookmarkEnd w:id="6527"/>
    <w:bookmarkStart w:id="6528" w:name="parameters-379"/>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Yes</w:t>
            </w:r>
          </w:p>
        </w:tc>
        <w:tc>
          <w:tcPr/>
          <w:p>
            <w:pPr>
              <w:pStyle w:val="Compact"/>
            </w:pPr>
            <w:r>
              <w:t xml:space="preserve">The attribute name to look up.</w:t>
            </w:r>
          </w:p>
        </w:tc>
      </w:tr>
    </w:tbl>
    <w:bookmarkEnd w:id="6528"/>
    <w:bookmarkStart w:id="6529" w:name="return-value-451"/>
    <w:p>
      <w:pPr>
        <w:pStyle w:val="Heading2"/>
      </w:pPr>
      <w:r>
        <w:t xml:space="preserve">Return Value</w:t>
      </w:r>
    </w:p>
    <w:p>
      <w:pPr>
        <w:pStyle w:val="FirstParagraph"/>
      </w:pPr>
      <w:r>
        <w:t xml:space="preserve">String. The value of the named attribute. Returns an empty String if the attribute does not exist.</w:t>
      </w:r>
    </w:p>
    <w:bookmarkEnd w:id="6529"/>
    <w:bookmarkStart w:id="6530" w:name="remarks-750"/>
    <w:p>
      <w:pPr>
        <w:pStyle w:val="Heading2"/>
      </w:pPr>
      <w:r>
        <w:t xml:space="preserve">Remarks</w:t>
      </w:r>
    </w:p>
    <w:p>
      <w:pPr>
        <w:pStyle w:val="Compact"/>
        <w:numPr>
          <w:ilvl w:val="0"/>
          <w:numId w:val="2578"/>
        </w:numPr>
      </w:pPr>
      <w:r>
        <w:t xml:space="preserve">Method names are case-insensitive.</w:t>
      </w:r>
    </w:p>
    <w:bookmarkEnd w:id="6530"/>
    <w:bookmarkStart w:id="6531" w:name="code-example-55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"&lt;item id='99' name='Widget'/&gt;"</w:t>
      </w:r>
      <w:r>
        <w:br/>
      </w:r>
      <w:r>
        <w:rPr>
          <w:rStyle w:val="KeywordTok"/>
        </w:rPr>
        <w:t xml:space="preserve">Set</w:t>
      </w:r>
      <w:r>
        <w:rPr>
          <w:rStyle w:val="NormalTok"/>
        </w:rPr>
        <w:t xml:space="preserve"> oNode = oXML.DocumentElement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"id="</w:t>
      </w:r>
      <w:r>
        <w:rPr>
          <w:rStyle w:val="NormalTok"/>
        </w:rPr>
        <w:t xml:space="preserve"> </w:t>
      </w:r>
      <w:r>
        <w:rPr>
          <w:rStyle w:val="KeywordTok"/>
        </w:rPr>
        <w:t xml:space="preserve">&amp;</w:t>
      </w:r>
      <w:r>
        <w:rPr>
          <w:rStyle w:val="NormalTok"/>
        </w:rPr>
        <w:t xml:space="preserve"> oNode.GetAttribute</w:t>
      </w:r>
      <w:r>
        <w:rPr>
          <w:rStyle w:val="OtherTok"/>
        </w:rPr>
        <w:t xml:space="preserve">(</w:t>
      </w:r>
      <w:r>
        <w:rPr>
          <w:rStyle w:val="StringTok"/>
        </w:rPr>
        <w:t xml:space="preserve">"id"</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name="</w:t>
      </w:r>
      <w:r>
        <w:rPr>
          <w:rStyle w:val="NormalTok"/>
        </w:rPr>
        <w:t xml:space="preserve"> </w:t>
      </w:r>
      <w:r>
        <w:rPr>
          <w:rStyle w:val="KeywordTok"/>
        </w:rPr>
        <w:t xml:space="preserve">&amp;</w:t>
      </w:r>
      <w:r>
        <w:rPr>
          <w:rStyle w:val="NormalTok"/>
        </w:rPr>
        <w:t xml:space="preserve"> oNode.GetAttribute</w:t>
      </w:r>
      <w:r>
        <w:rPr>
          <w:rStyle w:val="OtherTok"/>
        </w:rPr>
        <w:t xml:space="preserve">(</w:t>
      </w:r>
      <w:r>
        <w:rPr>
          <w:rStyle w:val="StringTok"/>
        </w:rPr>
        <w:t xml:space="preserve">"name"</w:t>
      </w:r>
      <w:r>
        <w:rPr>
          <w:rStyle w:val="OtherTok"/>
        </w:rPr>
        <w:t xml:space="preserve">)</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31"/>
    <w:bookmarkEnd w:id="6532"/>
    <w:bookmarkStart w:id="6538" w:name="xmlelement.removeattribute-method"/>
    <w:p>
      <w:pPr>
        <w:pStyle w:val="Heading1"/>
      </w:pPr>
      <w:r>
        <w:t xml:space="preserve">XMLElement.RemoveAttribute Method</w:t>
      </w:r>
    </w:p>
    <w:p>
      <w:pPr>
        <w:pStyle w:val="FirstParagraph"/>
      </w:pPr>
      <w:r>
        <w:t xml:space="preserve">Removes the named attribute from this element.</w:t>
      </w:r>
    </w:p>
    <w:bookmarkStart w:id="6533" w:name="syntax-769"/>
    <w:p>
      <w:pPr>
        <w:pStyle w:val="Heading2"/>
      </w:pPr>
      <w:r>
        <w:t xml:space="preserve">Syntax</w:t>
      </w:r>
    </w:p>
    <w:p>
      <w:pPr>
        <w:pStyle w:val="SourceCode"/>
      </w:pPr>
      <w:r>
        <w:rPr>
          <w:rStyle w:val="NormalTok"/>
        </w:rPr>
        <w:t xml:space="preserve">oElement.RemoveAttribute name</w:t>
      </w:r>
    </w:p>
    <w:bookmarkEnd w:id="6533"/>
    <w:bookmarkStart w:id="6534" w:name="parameters-380"/>
    <w:p>
      <w:pPr>
        <w:pStyle w:val="Heading2"/>
      </w:pPr>
      <w:r>
        <w:t xml:space="preserve">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name</w:t>
            </w:r>
          </w:p>
        </w:tc>
        <w:tc>
          <w:tcPr/>
          <w:p>
            <w:pPr>
              <w:pStyle w:val="Compact"/>
            </w:pPr>
            <w:r>
              <w:t xml:space="preserve">String</w:t>
            </w:r>
          </w:p>
        </w:tc>
        <w:tc>
          <w:tcPr/>
          <w:p>
            <w:pPr>
              <w:pStyle w:val="Compact"/>
            </w:pPr>
            <w:r>
              <w:t xml:space="preserve">Yes</w:t>
            </w:r>
          </w:p>
        </w:tc>
        <w:tc>
          <w:tcPr/>
          <w:p>
            <w:pPr>
              <w:pStyle w:val="Compact"/>
            </w:pPr>
            <w:r>
              <w:t xml:space="preserve">The name of the attribute to remove.</w:t>
            </w:r>
          </w:p>
        </w:tc>
      </w:tr>
    </w:tbl>
    <w:bookmarkEnd w:id="6534"/>
    <w:bookmarkStart w:id="6535" w:name="return-value-452"/>
    <w:p>
      <w:pPr>
        <w:pStyle w:val="Heading2"/>
      </w:pPr>
      <w:r>
        <w:t xml:space="preserve">Return Value</w:t>
      </w:r>
    </w:p>
    <w:p>
      <w:pPr>
        <w:pStyle w:val="FirstParagraph"/>
      </w:pPr>
      <w:r>
        <w:t xml:space="preserve">Empty. This method does not return a value.</w:t>
      </w:r>
    </w:p>
    <w:bookmarkEnd w:id="6535"/>
    <w:bookmarkStart w:id="6536" w:name="remarks-751"/>
    <w:p>
      <w:pPr>
        <w:pStyle w:val="Heading2"/>
      </w:pPr>
      <w:r>
        <w:t xml:space="preserve">Remarks</w:t>
      </w:r>
    </w:p>
    <w:p>
      <w:pPr>
        <w:pStyle w:val="Compact"/>
        <w:numPr>
          <w:ilvl w:val="0"/>
          <w:numId w:val="2579"/>
        </w:numPr>
      </w:pPr>
      <w:r>
        <w:t xml:space="preserve">If the attribute does not exist, the call is silently ignored.</w:t>
      </w:r>
    </w:p>
    <w:p>
      <w:pPr>
        <w:pStyle w:val="Compact"/>
        <w:numPr>
          <w:ilvl w:val="0"/>
          <w:numId w:val="2579"/>
        </w:numPr>
      </w:pPr>
      <w:r>
        <w:t xml:space="preserve">Method names are case-insensitive.</w:t>
      </w:r>
    </w:p>
    <w:bookmarkEnd w:id="6536"/>
    <w:bookmarkStart w:id="6537" w:name="code-example-55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"&lt;item id='1' temp='yes'/&gt;"</w:t>
      </w:r>
      <w:r>
        <w:br/>
      </w:r>
      <w:r>
        <w:rPr>
          <w:rStyle w:val="KeywordTok"/>
        </w:rPr>
        <w:t xml:space="preserve">Set</w:t>
      </w:r>
      <w:r>
        <w:rPr>
          <w:rStyle w:val="NormalTok"/>
        </w:rPr>
        <w:t xml:space="preserve"> oNode = oXML.DocumentElement</w:t>
      </w:r>
      <w:r>
        <w:br/>
      </w:r>
      <w:r>
        <w:rPr>
          <w:rStyle w:val="NormalTok"/>
        </w:rPr>
        <w:t xml:space="preserve">oNode.RemoveAttribute </w:t>
      </w:r>
      <w:r>
        <w:rPr>
          <w:rStyle w:val="StringTok"/>
        </w:rPr>
        <w:t xml:space="preserve">"temp"</w:t>
      </w:r>
      <w:r>
        <w:br/>
      </w:r>
      <w:r>
        <w:rPr>
          <w:rStyle w:val="FunctionTok"/>
        </w:rPr>
        <w:t xml:space="preserve">Response</w:t>
      </w:r>
      <w:r>
        <w:rPr>
          <w:rStyle w:val="NormalTok"/>
        </w:rPr>
        <w:t xml:space="preserve">.</w:t>
      </w:r>
      <w:r>
        <w:rPr>
          <w:rStyle w:val="FunctionTok"/>
        </w:rPr>
        <w:t xml:space="preserve">Write</w:t>
      </w:r>
      <w:r>
        <w:rPr>
          <w:rStyle w:val="NormalTok"/>
        </w:rPr>
        <w:t xml:space="preserve"> oXML.XML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37"/>
    <w:bookmarkEnd w:id="6538"/>
    <w:bookmarkStart w:id="6544" w:name="xmlelement.selectsinglenode-method"/>
    <w:p>
      <w:pPr>
        <w:pStyle w:val="Heading1"/>
      </w:pPr>
      <w:r>
        <w:t xml:space="preserve">XMLElement.SelectSingleNode Method</w:t>
      </w:r>
    </w:p>
    <w:p>
      <w:pPr>
        <w:pStyle w:val="FirstParagraph"/>
      </w:pPr>
      <w:r>
        <w:t xml:space="preserve">Evaluates an XPath expression relative to this element and returns the first matching node.</w:t>
      </w:r>
    </w:p>
    <w:bookmarkStart w:id="6539" w:name="syntax-770"/>
    <w:p>
      <w:pPr>
        <w:pStyle w:val="Heading2"/>
      </w:pPr>
      <w:r>
        <w:t xml:space="preserve">Syntax</w:t>
      </w:r>
    </w:p>
    <w:p>
      <w:pPr>
        <w:pStyle w:val="SourceCode"/>
      </w:pPr>
      <w:r>
        <w:rPr>
          <w:rStyle w:val="NormalTok"/>
        </w:rPr>
        <w:t xml:space="preserve">Set oNode = oElement.SelectSingleNode(xpath)</w:t>
      </w:r>
    </w:p>
    <w:bookmarkEnd w:id="6539"/>
    <w:bookmarkStart w:id="6540" w:name="parameters-381"/>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xpath</w:t>
            </w:r>
          </w:p>
        </w:tc>
        <w:tc>
          <w:tcPr/>
          <w:p>
            <w:pPr>
              <w:pStyle w:val="Compact"/>
            </w:pPr>
            <w:r>
              <w:t xml:space="preserve">String</w:t>
            </w:r>
          </w:p>
        </w:tc>
        <w:tc>
          <w:tcPr/>
          <w:p>
            <w:pPr>
              <w:pStyle w:val="Compact"/>
            </w:pPr>
            <w:r>
              <w:t xml:space="preserve">Yes</w:t>
            </w:r>
          </w:p>
        </w:tc>
        <w:tc>
          <w:tcPr/>
          <w:p>
            <w:pPr>
              <w:pStyle w:val="Compact"/>
            </w:pPr>
            <w:r>
              <w:t xml:space="preserve">An XPath 1.0 expression evaluated relative to this element.</w:t>
            </w:r>
          </w:p>
        </w:tc>
      </w:tr>
    </w:tbl>
    <w:bookmarkEnd w:id="6540"/>
    <w:bookmarkStart w:id="6541" w:name="return-value-453"/>
    <w:p>
      <w:pPr>
        <w:pStyle w:val="Heading2"/>
      </w:pPr>
      <w:r>
        <w:t xml:space="preserve">Return Value</w:t>
      </w:r>
    </w:p>
    <w:p>
      <w:pPr>
        <w:pStyle w:val="FirstParagraph"/>
      </w:pPr>
      <w:r>
        <w:t xml:space="preserve">XMLElement. The first matching node. Returns Null if no node matches or the expression is empty.</w:t>
      </w:r>
    </w:p>
    <w:bookmarkEnd w:id="6541"/>
    <w:bookmarkStart w:id="6542" w:name="remarks-752"/>
    <w:p>
      <w:pPr>
        <w:pStyle w:val="Heading2"/>
      </w:pPr>
      <w:r>
        <w:t xml:space="preserve">Remarks</w:t>
      </w:r>
    </w:p>
    <w:p>
      <w:pPr>
        <w:pStyle w:val="Compact"/>
        <w:numPr>
          <w:ilvl w:val="0"/>
          <w:numId w:val="2580"/>
        </w:numPr>
      </w:pPr>
      <w:r>
        <w:t xml:space="preserve">When the XPath expression starts with</w:t>
      </w:r>
      <w:r>
        <w:t xml:space="preserve"> </w:t>
      </w:r>
      <w:r>
        <w:rPr>
          <w:rStyle w:val="VerbatimChar"/>
        </w:rPr>
        <w:t xml:space="preserve">/</w:t>
      </w:r>
      <w:r>
        <w:t xml:space="preserve">, it is evaluated from the document root rather than the current element.</w:t>
      </w:r>
    </w:p>
    <w:p>
      <w:pPr>
        <w:pStyle w:val="Compact"/>
        <w:numPr>
          <w:ilvl w:val="0"/>
          <w:numId w:val="2580"/>
        </w:numPr>
      </w:pPr>
      <w:r>
        <w:t xml:space="preserve">Method names are case-insensitive.</w:t>
      </w:r>
    </w:p>
    <w:bookmarkEnd w:id="6542"/>
    <w:bookmarkStart w:id="6543" w:name="code-example-55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oSection</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"&lt;root&gt;&lt;section&gt;&lt;item id='3'&gt;Target&lt;/item&gt;&lt;/section&gt;&lt;/root&gt;"</w:t>
      </w:r>
      <w:r>
        <w:br/>
      </w:r>
      <w:r>
        <w:rPr>
          <w:rStyle w:val="KeywordTok"/>
        </w:rPr>
        <w:t xml:space="preserve">Set</w:t>
      </w:r>
      <w:r>
        <w:rPr>
          <w:rStyle w:val="NormalTok"/>
        </w:rPr>
        <w:t xml:space="preserve"> oSection = oXML.SelectSingleNode</w:t>
      </w:r>
      <w:r>
        <w:rPr>
          <w:rStyle w:val="OtherTok"/>
        </w:rPr>
        <w:t xml:space="preserve">(</w:t>
      </w:r>
      <w:r>
        <w:rPr>
          <w:rStyle w:val="StringTok"/>
        </w:rPr>
        <w:t xml:space="preserve">"//section"</w:t>
      </w:r>
      <w:r>
        <w:rPr>
          <w:rStyle w:val="OtherTok"/>
        </w:rPr>
        <w:t xml:space="preserve">)</w:t>
      </w:r>
      <w:r>
        <w:br/>
      </w:r>
      <w:r>
        <w:rPr>
          <w:rStyle w:val="KeywordTok"/>
        </w:rPr>
        <w:t xml:space="preserve">Set</w:t>
      </w:r>
      <w:r>
        <w:rPr>
          <w:rStyle w:val="NormalTok"/>
        </w:rPr>
        <w:t xml:space="preserve"> oNode = oSection.SelectSingleNode</w:t>
      </w:r>
      <w:r>
        <w:rPr>
          <w:rStyle w:val="OtherTok"/>
        </w:rPr>
        <w:t xml:space="preserve">(</w:t>
      </w:r>
      <w:r>
        <w:rPr>
          <w:rStyle w:val="StringTok"/>
        </w:rPr>
        <w:t xml:space="preserve">"item[@id='3']"</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oNode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oNode.Text</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43"/>
    <w:bookmarkEnd w:id="6544"/>
    <w:bookmarkStart w:id="6551" w:name="xmlelement.selectnodes-method"/>
    <w:p>
      <w:pPr>
        <w:pStyle w:val="Heading1"/>
      </w:pPr>
      <w:r>
        <w:t xml:space="preserve">XMLElement.SelectNodes Method</w:t>
      </w:r>
    </w:p>
    <w:p>
      <w:pPr>
        <w:pStyle w:val="FirstParagraph"/>
      </w:pPr>
      <w:r>
        <w:t xml:space="preserve">Evaluates an XPath expression relative to this element and returns all matching nodes.</w:t>
      </w:r>
    </w:p>
    <w:bookmarkStart w:id="6545" w:name="syntax-771"/>
    <w:p>
      <w:pPr>
        <w:pStyle w:val="Heading2"/>
      </w:pPr>
      <w:r>
        <w:t xml:space="preserve">Syntax</w:t>
      </w:r>
    </w:p>
    <w:p>
      <w:pPr>
        <w:pStyle w:val="SourceCode"/>
      </w:pPr>
      <w:r>
        <w:rPr>
          <w:rStyle w:val="NormalTok"/>
        </w:rPr>
        <w:t xml:space="preserve">Set oList = oElement.SelectNodes(xpath)</w:t>
      </w:r>
    </w:p>
    <w:bookmarkEnd w:id="6545"/>
    <w:bookmarkStart w:id="6546" w:name="parameters-382"/>
    <w:p>
      <w:pPr>
        <w:pStyle w:val="Heading2"/>
      </w:pPr>
      <w:r>
        <w:t xml:space="preserve">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Type</w:t>
            </w:r>
          </w:p>
        </w:tc>
        <w:tc>
          <w:tcPr/>
          <w:p>
            <w:pPr>
              <w:pStyle w:val="Compact"/>
            </w:pPr>
            <w:r>
              <w:t xml:space="preserve">Required</w:t>
            </w:r>
          </w:p>
        </w:tc>
        <w:tc>
          <w:tcPr/>
          <w:p>
            <w:pPr>
              <w:pStyle w:val="Compact"/>
            </w:pPr>
            <w:r>
              <w:t xml:space="preserve">Description</w:t>
            </w:r>
          </w:p>
        </w:tc>
      </w:tr>
      <w:tr>
        <w:tc>
          <w:tcPr/>
          <w:p>
            <w:pPr>
              <w:pStyle w:val="Compact"/>
            </w:pPr>
            <w:r>
              <w:rPr>
                <w:rStyle w:val="VerbatimChar"/>
              </w:rPr>
              <w:t xml:space="preserve">xpath</w:t>
            </w:r>
          </w:p>
        </w:tc>
        <w:tc>
          <w:tcPr/>
          <w:p>
            <w:pPr>
              <w:pStyle w:val="Compact"/>
            </w:pPr>
            <w:r>
              <w:t xml:space="preserve">String</w:t>
            </w:r>
          </w:p>
        </w:tc>
        <w:tc>
          <w:tcPr/>
          <w:p>
            <w:pPr>
              <w:pStyle w:val="Compact"/>
            </w:pPr>
            <w:r>
              <w:t xml:space="preserve">Yes</w:t>
            </w:r>
          </w:p>
        </w:tc>
        <w:tc>
          <w:tcPr/>
          <w:p>
            <w:pPr>
              <w:pStyle w:val="Compact"/>
            </w:pPr>
            <w:r>
              <w:t xml:space="preserve">An XPath 1.0 expression evaluated relative to this element.</w:t>
            </w:r>
          </w:p>
        </w:tc>
      </w:tr>
    </w:tbl>
    <w:bookmarkEnd w:id="6546"/>
    <w:bookmarkStart w:id="6547" w:name="return-value-454"/>
    <w:p>
      <w:pPr>
        <w:pStyle w:val="Heading2"/>
      </w:pPr>
      <w:r>
        <w:t xml:space="preserve">Return Value</w:t>
      </w:r>
    </w:p>
    <w:p>
      <w:pPr>
        <w:pStyle w:val="FirstParagraph"/>
      </w:pPr>
      <w:r>
        <w:t xml:space="preserve">XMLNodeList. All matching nodes in document order. Returns an empty XMLNodeList if no nodes match or the expression is empty.</w:t>
      </w:r>
    </w:p>
    <w:bookmarkEnd w:id="6547"/>
    <w:bookmarkStart w:id="6548" w:name="remarks-753"/>
    <w:p>
      <w:pPr>
        <w:pStyle w:val="Heading2"/>
      </w:pPr>
      <w:r>
        <w:t xml:space="preserve">Remarks</w:t>
      </w:r>
    </w:p>
    <w:p>
      <w:pPr>
        <w:pStyle w:val="Compact"/>
        <w:numPr>
          <w:ilvl w:val="0"/>
          <w:numId w:val="2581"/>
        </w:numPr>
      </w:pPr>
      <w:r>
        <w:t xml:space="preserve">When the XPath expression starts with</w:t>
      </w:r>
      <w:r>
        <w:t xml:space="preserve"> </w:t>
      </w:r>
      <w:r>
        <w:rPr>
          <w:rStyle w:val="VerbatimChar"/>
        </w:rPr>
        <w:t xml:space="preserve">/</w:t>
      </w:r>
      <w:r>
        <w:t xml:space="preserve">, it is evaluated from the document root.</w:t>
      </w:r>
    </w:p>
    <w:p>
      <w:pPr>
        <w:pStyle w:val="Compact"/>
        <w:numPr>
          <w:ilvl w:val="0"/>
          <w:numId w:val="2581"/>
        </w:numPr>
      </w:pPr>
      <w:r>
        <w:t xml:space="preserve">Method names are case-insensitive.</w:t>
      </w:r>
    </w:p>
    <w:bookmarkEnd w:id="6548"/>
    <w:bookmarkStart w:id="6550" w:name="code-example-55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oSection</w:t>
      </w:r>
      <w:r>
        <w:rPr>
          <w:rStyle w:val="OtherTok"/>
        </w:rPr>
        <w:t xml:space="preserve">,</w:t>
      </w:r>
      <w:r>
        <w:rPr>
          <w:rStyle w:val="NormalTok"/>
        </w:rPr>
        <w:t xml:space="preserve"> oList</w:t>
      </w:r>
      <w:r>
        <w:rPr>
          <w:rStyle w:val="OtherTok"/>
        </w:rPr>
        <w:t xml:space="preserve">,</w:t>
      </w:r>
      <w:r>
        <w:rPr>
          <w:rStyle w:val="NormalTok"/>
        </w:rPr>
        <w:t xml:space="preserve"> i</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"&lt;root&gt;&lt;group&gt;&lt;item&gt;A&lt;/item&gt;&lt;item&gt;B&lt;/item&gt;&lt;/group&gt;&lt;/root&gt;"</w:t>
      </w:r>
      <w:r>
        <w:br/>
      </w:r>
      <w:r>
        <w:rPr>
          <w:rStyle w:val="KeywordTok"/>
        </w:rPr>
        <w:t xml:space="preserve">Set</w:t>
      </w:r>
      <w:r>
        <w:rPr>
          <w:rStyle w:val="NormalTok"/>
        </w:rPr>
        <w:t xml:space="preserve"> oSection = oXML.SelectSingleNode</w:t>
      </w:r>
      <w:r>
        <w:rPr>
          <w:rStyle w:val="OtherTok"/>
        </w:rPr>
        <w:t xml:space="preserve">(</w:t>
      </w:r>
      <w:r>
        <w:rPr>
          <w:rStyle w:val="StringTok"/>
        </w:rPr>
        <w:t xml:space="preserve">"//group"</w:t>
      </w:r>
      <w:r>
        <w:rPr>
          <w:rStyle w:val="OtherTok"/>
        </w:rPr>
        <w:t xml:space="preserve">)</w:t>
      </w:r>
      <w:r>
        <w:br/>
      </w:r>
      <w:r>
        <w:rPr>
          <w:rStyle w:val="KeywordTok"/>
        </w:rPr>
        <w:t xml:space="preserve">Set</w:t>
      </w:r>
      <w:r>
        <w:rPr>
          <w:rStyle w:val="NormalTok"/>
        </w:rPr>
        <w:t xml:space="preserve"> oList = oSection.SelectNodes</w:t>
      </w:r>
      <w:r>
        <w:rPr>
          <w:rStyle w:val="OtherTok"/>
        </w:rPr>
        <w:t xml:space="preserve">(</w:t>
      </w:r>
      <w:r>
        <w:rPr>
          <w:rStyle w:val="StringTok"/>
        </w:rPr>
        <w:t xml:space="preserve">"item"</w:t>
      </w:r>
      <w:r>
        <w:rPr>
          <w:rStyle w:val="OtherTok"/>
        </w:rPr>
        <w:t xml:space="preserve">)</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oList.Length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oList.</w:t>
      </w:r>
      <w:r>
        <w:rPr>
          <w:rStyle w:val="FunctionTok"/>
        </w:rPr>
        <w:t xml:space="preserve">Item</w:t>
      </w:r>
      <w:r>
        <w:rPr>
          <w:rStyle w:val="OtherTok"/>
        </w:rPr>
        <w:t xml:space="preserve">(</w:t>
      </w:r>
      <w:r>
        <w:rPr>
          <w:rStyle w:val="NormalTok"/>
        </w:rPr>
        <w:t xml:space="preserve">i</w:t>
      </w:r>
      <w:r>
        <w:rPr>
          <w:rStyle w:val="OtherTok"/>
        </w:rPr>
        <w:t xml:space="preserve">)</w:t>
      </w:r>
      <w:r>
        <w:rPr>
          <w:rStyle w:val="NormalTok"/>
        </w:rPr>
        <w:t xml:space="preserve">.Text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Start w:id="6549" w:name="properties-detail-19"/>
    <w:p>
      <w:pPr>
        <w:pStyle w:val="Heading3"/>
      </w:pPr>
      <w:r>
        <w:t xml:space="preserve">Properties Detail</w:t>
      </w:r>
    </w:p>
    <w:bookmarkEnd w:id="6549"/>
    <w:bookmarkEnd w:id="6550"/>
    <w:bookmarkEnd w:id="6551"/>
    <w:bookmarkStart w:id="6556" w:name="serverxmlhttp.responsetext-property"/>
    <w:p>
      <w:pPr>
        <w:pStyle w:val="Heading1"/>
      </w:pPr>
      <w:r>
        <w:t xml:space="preserve">ServerXMLHTTP.ResponseText Property</w:t>
      </w:r>
    </w:p>
    <w:p>
      <w:pPr>
        <w:pStyle w:val="FirstParagraph"/>
      </w:pPr>
      <w:r>
        <w:t xml:space="preserve">Returns the response body decoded as a text string.</w:t>
      </w:r>
    </w:p>
    <w:bookmarkStart w:id="6552" w:name="access-17"/>
    <w:p>
      <w:pPr>
        <w:pStyle w:val="Heading2"/>
      </w:pPr>
      <w:r>
        <w:t xml:space="preserve">Access</w:t>
      </w:r>
    </w:p>
    <w:p>
      <w:pPr>
        <w:pStyle w:val="FirstParagraph"/>
      </w:pPr>
      <w:r>
        <w:t xml:space="preserve">Read-only.</w:t>
      </w:r>
    </w:p>
    <w:bookmarkEnd w:id="6552"/>
    <w:bookmarkStart w:id="6553" w:name="type-5"/>
    <w:p>
      <w:pPr>
        <w:pStyle w:val="Heading2"/>
      </w:pPr>
      <w:r>
        <w:t xml:space="preserve">Type</w:t>
      </w:r>
    </w:p>
    <w:p>
      <w:pPr>
        <w:pStyle w:val="FirstParagraph"/>
      </w:pPr>
      <w:r>
        <w:t xml:space="preserve">String.</w:t>
      </w:r>
    </w:p>
    <w:bookmarkEnd w:id="6553"/>
    <w:bookmarkStart w:id="6554" w:name="remarks-754"/>
    <w:p>
      <w:pPr>
        <w:pStyle w:val="Heading2"/>
      </w:pPr>
      <w:r>
        <w:t xml:space="preserve">Remarks</w:t>
      </w:r>
    </w:p>
    <w:p>
      <w:pPr>
        <w:pStyle w:val="Compact"/>
        <w:numPr>
          <w:ilvl w:val="0"/>
          <w:numId w:val="2582"/>
        </w:numPr>
      </w:pPr>
      <w:r>
        <w:t xml:space="preserve">Available after</w:t>
      </w:r>
      <w:r>
        <w:t xml:space="preserve"> </w:t>
      </w:r>
      <w:r>
        <w:rPr>
          <w:rStyle w:val="VerbatimChar"/>
        </w:rPr>
        <w:t xml:space="preserve">Send</w:t>
      </w:r>
      <w:r>
        <w:t xml:space="preserve"> </w:t>
      </w:r>
      <w:r>
        <w:t xml:space="preserve">completes (</w:t>
      </w:r>
      <w:r>
        <w:rPr>
          <w:rStyle w:val="VerbatimChar"/>
        </w:rPr>
        <w:t xml:space="preserve">ReadyState = 4</w:t>
      </w:r>
      <w:r>
        <w:t xml:space="preserve">).</w:t>
      </w:r>
    </w:p>
    <w:p>
      <w:pPr>
        <w:pStyle w:val="Compact"/>
        <w:numPr>
          <w:ilvl w:val="0"/>
          <w:numId w:val="2582"/>
        </w:numPr>
      </w:pPr>
      <w:r>
        <w:t xml:space="preserve">The response body is decoded using the charset specified by the server’s</w:t>
      </w:r>
      <w:r>
        <w:t xml:space="preserve"> </w:t>
      </w:r>
      <w:r>
        <w:rPr>
          <w:rStyle w:val="VerbatimChar"/>
        </w:rPr>
        <w:t xml:space="preserve">Content-Type</w:t>
      </w:r>
      <w:r>
        <w:t xml:space="preserve"> </w:t>
      </w:r>
      <w:r>
        <w:t xml:space="preserve">response header. Falls back to UTF-8 if no charset is present.</w:t>
      </w:r>
    </w:p>
    <w:p>
      <w:pPr>
        <w:pStyle w:val="Compact"/>
        <w:numPr>
          <w:ilvl w:val="0"/>
          <w:numId w:val="2582"/>
        </w:numPr>
      </w:pPr>
      <w:r>
        <w:t xml:space="preserve">Returns an empty String if no request has been sent or the body is empty.</w:t>
      </w:r>
    </w:p>
    <w:bookmarkEnd w:id="6554"/>
    <w:bookmarkStart w:id="6555" w:name="code-example-56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"https://example.com/data.txt"</w:t>
      </w:r>
      <w:r>
        <w:rPr>
          <w:rStyle w:val="OtherTok"/>
        </w:rPr>
        <w:t xml:space="preserve">,</w:t>
      </w:r>
      <w:r>
        <w:rPr>
          <w:rStyle w:val="NormalTok"/>
        </w:rPr>
        <w:t xml:space="preserve"> </w:t>
      </w:r>
      <w:r>
        <w:rPr>
          <w:rStyle w:val="KeywordTok"/>
        </w:rPr>
        <w:t xml:space="preserve">False</w:t>
      </w:r>
      <w:r>
        <w:br/>
      </w:r>
      <w:r>
        <w:rPr>
          <w:rStyle w:val="NormalTok"/>
        </w:rPr>
        <w:t xml:space="preserve">oHTTP.Send</w:t>
      </w:r>
      <w:r>
        <w:br/>
      </w:r>
      <w:r>
        <w:rPr>
          <w:rStyle w:val="ControlFlowTok"/>
        </w:rPr>
        <w:t xml:space="preserve">If</w:t>
      </w:r>
      <w:r>
        <w:rPr>
          <w:rStyle w:val="NormalTok"/>
        </w:rPr>
        <w:t xml:space="preserve"> oHTTP.Status = </w:t>
      </w:r>
      <w:r>
        <w:rPr>
          <w:rStyle w:val="DecValTok"/>
        </w:rPr>
        <w:t xml:space="preserve">200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oHTTP.ResponseText</w:t>
      </w:r>
      <w:r>
        <w:br/>
      </w:r>
      <w:r>
        <w:rPr>
          <w:rStyle w:val="ControlFlowTok"/>
        </w:rPr>
        <w:t xml:space="preserve">End If</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555"/>
    <w:bookmarkEnd w:id="6556"/>
    <w:bookmarkStart w:id="6561" w:name="serverxmlhttp.responsexml-property"/>
    <w:p>
      <w:pPr>
        <w:pStyle w:val="Heading1"/>
      </w:pPr>
      <w:r>
        <w:t xml:space="preserve">ServerXMLHTTP.ResponseXML Property</w:t>
      </w:r>
    </w:p>
    <w:p>
      <w:pPr>
        <w:pStyle w:val="FirstParagraph"/>
      </w:pPr>
      <w:r>
        <w:t xml:space="preserve">Returns the response body parsed as an XML document.</w:t>
      </w:r>
    </w:p>
    <w:bookmarkStart w:id="6557" w:name="access-18"/>
    <w:p>
      <w:pPr>
        <w:pStyle w:val="Heading2"/>
      </w:pPr>
      <w:r>
        <w:t xml:space="preserve">Access</w:t>
      </w:r>
    </w:p>
    <w:p>
      <w:pPr>
        <w:pStyle w:val="FirstParagraph"/>
      </w:pPr>
      <w:r>
        <w:t xml:space="preserve">Read-only.</w:t>
      </w:r>
    </w:p>
    <w:bookmarkEnd w:id="6557"/>
    <w:bookmarkStart w:id="6558" w:name="type-6"/>
    <w:p>
      <w:pPr>
        <w:pStyle w:val="Heading2"/>
      </w:pPr>
      <w:r>
        <w:t xml:space="preserve">Type</w:t>
      </w:r>
    </w:p>
    <w:p>
      <w:pPr>
        <w:pStyle w:val="FirstParagraph"/>
      </w:pPr>
      <w:r>
        <w:t xml:space="preserve">DOMDocument (if the response is valid XML) or String (if parsing fails).</w:t>
      </w:r>
    </w:p>
    <w:bookmarkEnd w:id="6558"/>
    <w:bookmarkStart w:id="6559" w:name="remarks-755"/>
    <w:p>
      <w:pPr>
        <w:pStyle w:val="Heading2"/>
      </w:pPr>
      <w:r>
        <w:t xml:space="preserve">Remarks</w:t>
      </w:r>
    </w:p>
    <w:p>
      <w:pPr>
        <w:pStyle w:val="Compact"/>
        <w:numPr>
          <w:ilvl w:val="0"/>
          <w:numId w:val="2583"/>
        </w:numPr>
      </w:pPr>
      <w:r>
        <w:t xml:space="preserve">Available after</w:t>
      </w:r>
      <w:r>
        <w:t xml:space="preserve"> </w:t>
      </w:r>
      <w:r>
        <w:rPr>
          <w:rStyle w:val="VerbatimChar"/>
        </w:rPr>
        <w:t xml:space="preserve">Send</w:t>
      </w:r>
      <w:r>
        <w:t xml:space="preserve"> </w:t>
      </w:r>
      <w:r>
        <w:t xml:space="preserve">completes (</w:t>
      </w:r>
      <w:r>
        <w:rPr>
          <w:rStyle w:val="VerbatimChar"/>
        </w:rPr>
        <w:t xml:space="preserve">ReadyState = 4</w:t>
      </w:r>
      <w:r>
        <w:t xml:space="preserve">).</w:t>
      </w:r>
    </w:p>
    <w:p>
      <w:pPr>
        <w:pStyle w:val="Compact"/>
        <w:numPr>
          <w:ilvl w:val="0"/>
          <w:numId w:val="2583"/>
        </w:numPr>
      </w:pPr>
      <w:r>
        <w:t xml:space="preserve">If the response body is valid XML, a fully populated DOMDocument object is returned. You can call</w:t>
      </w:r>
      <w:r>
        <w:t xml:space="preserve"> </w:t>
      </w:r>
      <w:r>
        <w:rPr>
          <w:rStyle w:val="VerbatimChar"/>
        </w:rPr>
        <w:t xml:space="preserve">SelectSingleNode</w:t>
      </w:r>
      <w:r>
        <w:t xml:space="preserve">,</w:t>
      </w:r>
      <w:r>
        <w:t xml:space="preserve"> </w:t>
      </w:r>
      <w:r>
        <w:rPr>
          <w:rStyle w:val="VerbatimChar"/>
        </w:rPr>
        <w:t xml:space="preserve">GetElementsByTagName</w:t>
      </w:r>
      <w:r>
        <w:t xml:space="preserve">, and access</w:t>
      </w:r>
      <w:r>
        <w:t xml:space="preserve"> </w:t>
      </w:r>
      <w:r>
        <w:rPr>
          <w:rStyle w:val="VerbatimChar"/>
        </w:rPr>
        <w:t xml:space="preserve">DocumentElement</w:t>
      </w:r>
      <w:r>
        <w:t xml:space="preserve"> </w:t>
      </w:r>
      <w:r>
        <w:t xml:space="preserve">on it.</w:t>
      </w:r>
    </w:p>
    <w:p>
      <w:pPr>
        <w:pStyle w:val="Compact"/>
        <w:numPr>
          <w:ilvl w:val="0"/>
          <w:numId w:val="2583"/>
        </w:numPr>
      </w:pPr>
      <w:r>
        <w:t xml:space="preserve">If the response body cannot be parsed as XML, the raw response text is returned as a String.</w:t>
      </w:r>
    </w:p>
    <w:p>
      <w:pPr>
        <w:pStyle w:val="Compact"/>
        <w:numPr>
          <w:ilvl w:val="0"/>
          <w:numId w:val="2583"/>
        </w:numPr>
      </w:pPr>
      <w:r>
        <w:t xml:space="preserve">Returns an empty String if no response has been received.</w:t>
      </w:r>
    </w:p>
    <w:bookmarkEnd w:id="6559"/>
    <w:bookmarkStart w:id="6560" w:name="code-example-56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rPr>
          <w:rStyle w:val="OtherTok"/>
        </w:rPr>
        <w:t xml:space="preserve">,</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"https://example.com/feed.xml"</w:t>
      </w:r>
      <w:r>
        <w:rPr>
          <w:rStyle w:val="OtherTok"/>
        </w:rPr>
        <w:t xml:space="preserve">,</w:t>
      </w:r>
      <w:r>
        <w:rPr>
          <w:rStyle w:val="NormalTok"/>
        </w:rPr>
        <w:t xml:space="preserve"> </w:t>
      </w:r>
      <w:r>
        <w:rPr>
          <w:rStyle w:val="KeywordTok"/>
        </w:rPr>
        <w:t xml:space="preserve">False</w:t>
      </w:r>
      <w:r>
        <w:br/>
      </w:r>
      <w:r>
        <w:rPr>
          <w:rStyle w:val="NormalTok"/>
        </w:rPr>
        <w:t xml:space="preserve">oHTTP.Send</w:t>
      </w:r>
      <w:r>
        <w:br/>
      </w:r>
      <w:r>
        <w:rPr>
          <w:rStyle w:val="ControlFlowTok"/>
        </w:rPr>
        <w:t xml:space="preserve">If</w:t>
      </w:r>
      <w:r>
        <w:rPr>
          <w:rStyle w:val="NormalTok"/>
        </w:rPr>
        <w:t xml:space="preserve"> oHTTP.Status = </w:t>
      </w:r>
      <w:r>
        <w:rPr>
          <w:rStyle w:val="DecValTok"/>
        </w:rPr>
        <w:t xml:space="preserve">200</w:t>
      </w:r>
      <w:r>
        <w:rPr>
          <w:rStyle w:val="NormalTok"/>
        </w:rPr>
        <w:t xml:space="preserve"> </w:t>
      </w:r>
      <w:r>
        <w:rPr>
          <w:rStyle w:val="ControlFlowTok"/>
        </w:rPr>
        <w:t xml:space="preserve">Then</w:t>
      </w:r>
      <w:r>
        <w:br/>
      </w:r>
      <w:r>
        <w:rPr>
          <w:rStyle w:val="NormalTok"/>
        </w:rPr>
        <w:t xml:space="preserve">    </w:t>
      </w:r>
      <w:r>
        <w:rPr>
          <w:rStyle w:val="KeywordTok"/>
        </w:rPr>
        <w:t xml:space="preserve">Set</w:t>
      </w:r>
      <w:r>
        <w:rPr>
          <w:rStyle w:val="NormalTok"/>
        </w:rPr>
        <w:t xml:space="preserve"> oXML = oHTTP.ResponseXML</w:t>
      </w:r>
      <w:r>
        <w:br/>
      </w:r>
      <w:r>
        <w:rPr>
          <w:rStyle w:val="NormalTok"/>
        </w:rPr>
        <w:t xml:space="preserve">    </w:t>
      </w:r>
      <w:r>
        <w:rPr>
          <w:rStyle w:val="KeywordTok"/>
        </w:rPr>
        <w:t xml:space="preserve">Set</w:t>
      </w:r>
      <w:r>
        <w:rPr>
          <w:rStyle w:val="NormalTok"/>
        </w:rPr>
        <w:t xml:space="preserve"> oNode = oXML.SelectSingleNode</w:t>
      </w:r>
      <w:r>
        <w:rPr>
          <w:rStyle w:val="OtherTok"/>
        </w:rPr>
        <w:t xml:space="preserve">(</w:t>
      </w:r>
      <w:r>
        <w:rPr>
          <w:rStyle w:val="StringTok"/>
        </w:rPr>
        <w:t xml:space="preserve">"//title"</w:t>
      </w:r>
      <w:r>
        <w:rPr>
          <w:rStyle w:val="Othe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oNode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oNode.Text</w:t>
      </w:r>
      <w:r>
        <w:br/>
      </w:r>
      <w:r>
        <w:rPr>
          <w:rStyle w:val="NormalTok"/>
        </w:rPr>
        <w:t xml:space="preserve">    </w:t>
      </w:r>
      <w:r>
        <w:rPr>
          <w:rStyle w:val="ControlFlowTok"/>
        </w:rPr>
        <w:t xml:space="preserve">End If</w:t>
      </w:r>
      <w:r>
        <w:br/>
      </w:r>
      <w:r>
        <w:rPr>
          <w:rStyle w:val="ControlFlowTok"/>
        </w:rPr>
        <w:t xml:space="preserve">End If</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560"/>
    <w:bookmarkEnd w:id="6561"/>
    <w:bookmarkStart w:id="6566" w:name="serverxmlhttp.responsebody-property"/>
    <w:p>
      <w:pPr>
        <w:pStyle w:val="Heading1"/>
      </w:pPr>
      <w:r>
        <w:t xml:space="preserve">ServerXMLHTTP.ResponseBody Property</w:t>
      </w:r>
    </w:p>
    <w:p>
      <w:pPr>
        <w:pStyle w:val="FirstParagraph"/>
      </w:pPr>
      <w:r>
        <w:t xml:space="preserve">Returns the raw response body as a byte array.</w:t>
      </w:r>
    </w:p>
    <w:bookmarkStart w:id="6562" w:name="access-19"/>
    <w:p>
      <w:pPr>
        <w:pStyle w:val="Heading2"/>
      </w:pPr>
      <w:r>
        <w:t xml:space="preserve">Access</w:t>
      </w:r>
    </w:p>
    <w:p>
      <w:pPr>
        <w:pStyle w:val="FirstParagraph"/>
      </w:pPr>
      <w:r>
        <w:t xml:space="preserve">Read-only.</w:t>
      </w:r>
    </w:p>
    <w:bookmarkEnd w:id="6562"/>
    <w:bookmarkStart w:id="6563" w:name="type-7"/>
    <w:p>
      <w:pPr>
        <w:pStyle w:val="Heading2"/>
      </w:pPr>
      <w:r>
        <w:t xml:space="preserve">Type</w:t>
      </w:r>
    </w:p>
    <w:p>
      <w:pPr>
        <w:pStyle w:val="FirstParagraph"/>
      </w:pPr>
      <w:r>
        <w:t xml:space="preserve">Byte Array.</w:t>
      </w:r>
    </w:p>
    <w:bookmarkEnd w:id="6563"/>
    <w:bookmarkStart w:id="6564" w:name="remarks-756"/>
    <w:p>
      <w:pPr>
        <w:pStyle w:val="Heading2"/>
      </w:pPr>
      <w:r>
        <w:t xml:space="preserve">Remarks</w:t>
      </w:r>
    </w:p>
    <w:p>
      <w:pPr>
        <w:pStyle w:val="Compact"/>
        <w:numPr>
          <w:ilvl w:val="0"/>
          <w:numId w:val="2584"/>
        </w:numPr>
      </w:pPr>
      <w:r>
        <w:t xml:space="preserve">Available after</w:t>
      </w:r>
      <w:r>
        <w:t xml:space="preserve"> </w:t>
      </w:r>
      <w:r>
        <w:rPr>
          <w:rStyle w:val="VerbatimChar"/>
        </w:rPr>
        <w:t xml:space="preserve">Send</w:t>
      </w:r>
      <w:r>
        <w:t xml:space="preserve"> </w:t>
      </w:r>
      <w:r>
        <w:t xml:space="preserve">completes (</w:t>
      </w:r>
      <w:r>
        <w:rPr>
          <w:rStyle w:val="VerbatimChar"/>
        </w:rPr>
        <w:t xml:space="preserve">ReadyState = 4</w:t>
      </w:r>
      <w:r>
        <w:t xml:space="preserve">).</w:t>
      </w:r>
    </w:p>
    <w:p>
      <w:pPr>
        <w:pStyle w:val="Compact"/>
        <w:numPr>
          <w:ilvl w:val="0"/>
          <w:numId w:val="2584"/>
        </w:numPr>
      </w:pPr>
      <w:r>
        <w:t xml:space="preserve">The returned array contains the unprocessed response bytes with no character decoding applied.</w:t>
      </w:r>
    </w:p>
    <w:p>
      <w:pPr>
        <w:pStyle w:val="Compact"/>
        <w:numPr>
          <w:ilvl w:val="0"/>
          <w:numId w:val="2584"/>
        </w:numPr>
      </w:pPr>
      <w:r>
        <w:t xml:space="preserve">Useful for downloading binary content such as images, PDFs, or compressed files.</w:t>
      </w:r>
    </w:p>
    <w:p>
      <w:pPr>
        <w:pStyle w:val="Compact"/>
        <w:numPr>
          <w:ilvl w:val="0"/>
          <w:numId w:val="2584"/>
        </w:numPr>
      </w:pPr>
      <w:r>
        <w:t xml:space="preserve">Returns an empty array if no response has been received.</w:t>
      </w:r>
    </w:p>
    <w:bookmarkEnd w:id="6564"/>
    <w:bookmarkStart w:id="6565" w:name="code-example-56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"https://example.com/file.zip"</w:t>
      </w:r>
      <w:r>
        <w:rPr>
          <w:rStyle w:val="OtherTok"/>
        </w:rPr>
        <w:t xml:space="preserve">,</w:t>
      </w:r>
      <w:r>
        <w:rPr>
          <w:rStyle w:val="NormalTok"/>
        </w:rPr>
        <w:t xml:space="preserve"> </w:t>
      </w:r>
      <w:r>
        <w:rPr>
          <w:rStyle w:val="KeywordTok"/>
        </w:rPr>
        <w:t xml:space="preserve">False</w:t>
      </w:r>
      <w:r>
        <w:br/>
      </w:r>
      <w:r>
        <w:rPr>
          <w:rStyle w:val="NormalTok"/>
        </w:rPr>
        <w:t xml:space="preserve">oHTTP.Send</w:t>
      </w:r>
      <w:r>
        <w:br/>
      </w:r>
      <w:r>
        <w:rPr>
          <w:rStyle w:val="ControlFlowTok"/>
        </w:rPr>
        <w:t xml:space="preserve">If</w:t>
      </w:r>
      <w:r>
        <w:rPr>
          <w:rStyle w:val="NormalTok"/>
        </w:rPr>
        <w:t xml:space="preserve"> oHTTP.Status = </w:t>
      </w:r>
      <w:r>
        <w:rPr>
          <w:rStyle w:val="DecValTok"/>
        </w:rPr>
        <w:t xml:space="preserve">200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.BinaryWrite oHTTP.ResponseBody</w:t>
      </w:r>
      <w:r>
        <w:br/>
      </w:r>
      <w:r>
        <w:rPr>
          <w:rStyle w:val="ControlFlowTok"/>
        </w:rPr>
        <w:t xml:space="preserve">End If</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565"/>
    <w:bookmarkEnd w:id="6566"/>
    <w:bookmarkStart w:id="6571" w:name="serverxmlhttp.status-property"/>
    <w:p>
      <w:pPr>
        <w:pStyle w:val="Heading1"/>
      </w:pPr>
      <w:r>
        <w:t xml:space="preserve">ServerXMLHTTP.Status Property</w:t>
      </w:r>
    </w:p>
    <w:p>
      <w:pPr>
        <w:pStyle w:val="FirstParagraph"/>
      </w:pPr>
      <w:r>
        <w:t xml:space="preserve">Returns the HTTP status code from the response.</w:t>
      </w:r>
    </w:p>
    <w:bookmarkStart w:id="6567" w:name="access-20"/>
    <w:p>
      <w:pPr>
        <w:pStyle w:val="Heading2"/>
      </w:pPr>
      <w:r>
        <w:t xml:space="preserve">Access</w:t>
      </w:r>
    </w:p>
    <w:p>
      <w:pPr>
        <w:pStyle w:val="FirstParagraph"/>
      </w:pPr>
      <w:r>
        <w:t xml:space="preserve">Read-only.</w:t>
      </w:r>
    </w:p>
    <w:bookmarkEnd w:id="6567"/>
    <w:bookmarkStart w:id="6568" w:name="type-8"/>
    <w:p>
      <w:pPr>
        <w:pStyle w:val="Heading2"/>
      </w:pPr>
      <w:r>
        <w:t xml:space="preserve">Type</w:t>
      </w:r>
    </w:p>
    <w:p>
      <w:pPr>
        <w:pStyle w:val="FirstParagraph"/>
      </w:pPr>
      <w:r>
        <w:t xml:space="preserve">Integer.</w:t>
      </w:r>
    </w:p>
    <w:bookmarkEnd w:id="6568"/>
    <w:bookmarkStart w:id="6569" w:name="remarks-757"/>
    <w:p>
      <w:pPr>
        <w:pStyle w:val="Heading2"/>
      </w:pPr>
      <w:r>
        <w:t xml:space="preserve">Remarks</w:t>
      </w:r>
    </w:p>
    <w:p>
      <w:pPr>
        <w:pStyle w:val="Compact"/>
        <w:numPr>
          <w:ilvl w:val="0"/>
          <w:numId w:val="2585"/>
        </w:numPr>
      </w:pPr>
      <w:r>
        <w:t xml:space="preserve">Available after</w:t>
      </w:r>
      <w:r>
        <w:t xml:space="preserve"> </w:t>
      </w:r>
      <w:r>
        <w:rPr>
          <w:rStyle w:val="VerbatimChar"/>
        </w:rPr>
        <w:t xml:space="preserve">Send</w:t>
      </w:r>
      <w:r>
        <w:t xml:space="preserve"> </w:t>
      </w:r>
      <w:r>
        <w:t xml:space="preserve">completes (</w:t>
      </w:r>
      <w:r>
        <w:rPr>
          <w:rStyle w:val="VerbatimChar"/>
        </w:rPr>
        <w:t xml:space="preserve">ReadyState = 4</w:t>
      </w:r>
      <w:r>
        <w:t xml:space="preserve">).</w:t>
      </w:r>
    </w:p>
    <w:p>
      <w:pPr>
        <w:pStyle w:val="Compact"/>
        <w:numPr>
          <w:ilvl w:val="0"/>
          <w:numId w:val="2585"/>
        </w:numPr>
      </w:pPr>
      <w:r>
        <w:t xml:space="preserve">Common values: 200 (OK), 404 (Not Found), 500 (Internal Server Error).</w:t>
      </w:r>
    </w:p>
    <w:p>
      <w:pPr>
        <w:pStyle w:val="Compact"/>
        <w:numPr>
          <w:ilvl w:val="0"/>
          <w:numId w:val="2585"/>
        </w:numPr>
      </w:pPr>
      <w:r>
        <w:t xml:space="preserve">Returns 0 if no request has been sent or if the connection failed before any response was received.</w:t>
      </w:r>
    </w:p>
    <w:bookmarkEnd w:id="6569"/>
    <w:bookmarkStart w:id="6570" w:name="code-example-56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"https://example.com/page"</w:t>
      </w:r>
      <w:r>
        <w:rPr>
          <w:rStyle w:val="OtherTok"/>
        </w:rPr>
        <w:t xml:space="preserve">,</w:t>
      </w:r>
      <w:r>
        <w:rPr>
          <w:rStyle w:val="NormalTok"/>
        </w:rPr>
        <w:t xml:space="preserve"> </w:t>
      </w:r>
      <w:r>
        <w:rPr>
          <w:rStyle w:val="KeywordTok"/>
        </w:rPr>
        <w:t xml:space="preserve">False</w:t>
      </w:r>
      <w:r>
        <w:br/>
      </w:r>
      <w:r>
        <w:rPr>
          <w:rStyle w:val="NormalTok"/>
        </w:rPr>
        <w:t xml:space="preserve">oHTTP.Send</w:t>
      </w:r>
      <w:r>
        <w:br/>
      </w:r>
      <w:r>
        <w:rPr>
          <w:rStyle w:val="ControlFlowTok"/>
        </w:rPr>
        <w:t xml:space="preserve">Select Case</w:t>
      </w:r>
      <w:r>
        <w:rPr>
          <w:rStyle w:val="NormalTok"/>
        </w:rPr>
        <w:t xml:space="preserve"> oHTTP.Status</w:t>
      </w:r>
      <w:r>
        <w:br/>
      </w:r>
      <w:r>
        <w:rPr>
          <w:rStyle w:val="NormalTok"/>
        </w:rPr>
        <w:t xml:space="preserve">    </w:t>
      </w:r>
      <w:r>
        <w:rPr>
          <w:rStyle w:val="ControlFlowTok"/>
        </w:rPr>
        <w:t xml:space="preserve">Case</w:t>
      </w:r>
      <w:r>
        <w:rPr>
          <w:rStyle w:val="NormalTok"/>
        </w:rPr>
        <w:t xml:space="preserve"> </w:t>
      </w:r>
      <w:r>
        <w:rPr>
          <w:rStyle w:val="DecValTok"/>
        </w:rPr>
        <w:t xml:space="preserve">200</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"OK: "</w:t>
      </w:r>
      <w:r>
        <w:rPr>
          <w:rStyle w:val="NormalTok"/>
        </w:rPr>
        <w:t xml:space="preserve"> </w:t>
      </w:r>
      <w:r>
        <w:rPr>
          <w:rStyle w:val="KeywordTok"/>
        </w:rPr>
        <w:t xml:space="preserve">&amp;</w:t>
      </w:r>
      <w:r>
        <w:rPr>
          <w:rStyle w:val="NormalTok"/>
        </w:rPr>
        <w:t xml:space="preserve"> oHTTP.ResponseText</w:t>
      </w:r>
      <w:r>
        <w:br/>
      </w:r>
      <w:r>
        <w:rPr>
          <w:rStyle w:val="NormalTok"/>
        </w:rPr>
        <w:t xml:space="preserve">    </w:t>
      </w:r>
      <w:r>
        <w:rPr>
          <w:rStyle w:val="ControlFlowTok"/>
        </w:rPr>
        <w:t xml:space="preserve">Case</w:t>
      </w:r>
      <w:r>
        <w:rPr>
          <w:rStyle w:val="NormalTok"/>
        </w:rPr>
        <w:t xml:space="preserve"> </w:t>
      </w:r>
      <w:r>
        <w:rPr>
          <w:rStyle w:val="DecValTok"/>
        </w:rPr>
        <w:t xml:space="preserve">404</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"Not found."</w:t>
      </w:r>
      <w:r>
        <w:br/>
      </w:r>
      <w:r>
        <w:rPr>
          <w:rStyle w:val="NormalTok"/>
        </w:rPr>
        <w:t xml:space="preserve">    </w:t>
      </w:r>
      <w:r>
        <w:rPr>
          <w:rStyle w:val="ControlFlowTok"/>
        </w:rPr>
        <w:t xml:space="preserve">Case</w:t>
      </w:r>
      <w:r>
        <w:rPr>
          <w:rStyle w:val="NormalTok"/>
        </w:rPr>
        <w:t xml:space="preserve"> </w:t>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"HTTP "</w:t>
      </w:r>
      <w:r>
        <w:rPr>
          <w:rStyle w:val="NormalTok"/>
        </w:rPr>
        <w:t xml:space="preserve"> </w:t>
      </w:r>
      <w:r>
        <w:rPr>
          <w:rStyle w:val="KeywordTok"/>
        </w:rPr>
        <w:t xml:space="preserve">&amp;</w:t>
      </w:r>
      <w:r>
        <w:rPr>
          <w:rStyle w:val="NormalTok"/>
        </w:rPr>
        <w:t xml:space="preserve"> oHTTP.Status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oHTTP.StatusText</w:t>
      </w:r>
      <w:r>
        <w:br/>
      </w:r>
      <w:r>
        <w:rPr>
          <w:rStyle w:val="ControlFlowTok"/>
        </w:rPr>
        <w:t xml:space="preserve">End Select</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570"/>
    <w:bookmarkEnd w:id="6571"/>
    <w:bookmarkStart w:id="6576" w:name="serverxmlhttp.statustext-property"/>
    <w:p>
      <w:pPr>
        <w:pStyle w:val="Heading1"/>
      </w:pPr>
      <w:r>
        <w:t xml:space="preserve">ServerXMLHTTP.StatusText Property</w:t>
      </w:r>
    </w:p>
    <w:p>
      <w:pPr>
        <w:pStyle w:val="FirstParagraph"/>
      </w:pPr>
      <w:r>
        <w:t xml:space="preserve">Returns the full HTTP status line from the response.</w:t>
      </w:r>
    </w:p>
    <w:bookmarkStart w:id="6572" w:name="access-21"/>
    <w:p>
      <w:pPr>
        <w:pStyle w:val="Heading2"/>
      </w:pPr>
      <w:r>
        <w:t xml:space="preserve">Access</w:t>
      </w:r>
    </w:p>
    <w:p>
      <w:pPr>
        <w:pStyle w:val="FirstParagraph"/>
      </w:pPr>
      <w:r>
        <w:t xml:space="preserve">Read-only.</w:t>
      </w:r>
    </w:p>
    <w:bookmarkEnd w:id="6572"/>
    <w:bookmarkStart w:id="6573" w:name="type-9"/>
    <w:p>
      <w:pPr>
        <w:pStyle w:val="Heading2"/>
      </w:pPr>
      <w:r>
        <w:t xml:space="preserve">Type</w:t>
      </w:r>
    </w:p>
    <w:p>
      <w:pPr>
        <w:pStyle w:val="FirstParagraph"/>
      </w:pPr>
      <w:r>
        <w:t xml:space="preserve">String.</w:t>
      </w:r>
    </w:p>
    <w:bookmarkEnd w:id="6573"/>
    <w:bookmarkStart w:id="6574" w:name="remarks-758"/>
    <w:p>
      <w:pPr>
        <w:pStyle w:val="Heading2"/>
      </w:pPr>
      <w:r>
        <w:t xml:space="preserve">Remarks</w:t>
      </w:r>
    </w:p>
    <w:p>
      <w:pPr>
        <w:pStyle w:val="Compact"/>
        <w:numPr>
          <w:ilvl w:val="0"/>
          <w:numId w:val="2586"/>
        </w:numPr>
      </w:pPr>
      <w:r>
        <w:t xml:space="preserve">Available after</w:t>
      </w:r>
      <w:r>
        <w:t xml:space="preserve"> </w:t>
      </w:r>
      <w:r>
        <w:rPr>
          <w:rStyle w:val="VerbatimChar"/>
        </w:rPr>
        <w:t xml:space="preserve">Send</w:t>
      </w:r>
      <w:r>
        <w:t xml:space="preserve"> </w:t>
      </w:r>
      <w:r>
        <w:t xml:space="preserve">completes (</w:t>
      </w:r>
      <w:r>
        <w:rPr>
          <w:rStyle w:val="VerbatimChar"/>
        </w:rPr>
        <w:t xml:space="preserve">ReadyState = 4</w:t>
      </w:r>
      <w:r>
        <w:t xml:space="preserve">).</w:t>
      </w:r>
    </w:p>
    <w:p>
      <w:pPr>
        <w:pStyle w:val="Compact"/>
        <w:numPr>
          <w:ilvl w:val="0"/>
          <w:numId w:val="2586"/>
        </w:numPr>
      </w:pPr>
      <w:r>
        <w:t xml:space="preserve">The value includes the status code and reason phrase, for example</w:t>
      </w:r>
      <w:r>
        <w:t xml:space="preserve"> </w:t>
      </w:r>
      <w:r>
        <w:rPr>
          <w:rStyle w:val="VerbatimChar"/>
        </w:rPr>
        <w:t xml:space="preserve">200 OK</w:t>
      </w:r>
      <w:r>
        <w:t xml:space="preserve"> </w:t>
      </w:r>
      <w:r>
        <w:t xml:space="preserve">or</w:t>
      </w:r>
      <w:r>
        <w:t xml:space="preserve"> </w:t>
      </w:r>
      <w:r>
        <w:rPr>
          <w:rStyle w:val="VerbatimChar"/>
        </w:rPr>
        <w:t xml:space="preserve">404 Not Found</w:t>
      </w:r>
      <w:r>
        <w:t xml:space="preserve">.</w:t>
      </w:r>
    </w:p>
    <w:p>
      <w:pPr>
        <w:pStyle w:val="Compact"/>
        <w:numPr>
          <w:ilvl w:val="0"/>
          <w:numId w:val="2586"/>
        </w:numPr>
      </w:pPr>
      <w:r>
        <w:t xml:space="preserve">Returns an empty String if no response has been received.</w:t>
      </w:r>
    </w:p>
    <w:bookmarkEnd w:id="6574"/>
    <w:bookmarkStart w:id="6575" w:name="code-example-56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w:t>
      </w:r>
      <w:r>
        <w:rPr>
          <w:rStyle w:val="OtherTok"/>
        </w:rPr>
        <w:t xml:space="preserve">,</w:t>
      </w:r>
      <w:r>
        <w:rPr>
          <w:rStyle w:val="NormalTok"/>
        </w:rPr>
        <w:t xml:space="preserve"> </w:t>
      </w:r>
      <w:r>
        <w:rPr>
          <w:rStyle w:val="KeywordTok"/>
        </w:rPr>
        <w:t xml:space="preserve">False</w:t>
      </w:r>
      <w:r>
        <w:br/>
      </w:r>
      <w:r>
        <w:rPr>
          <w:rStyle w:val="NormalTok"/>
        </w:rPr>
        <w:t xml:space="preserve">oHTTP.Send</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"Status: "</w:t>
      </w:r>
      <w:r>
        <w:rPr>
          <w:rStyle w:val="NormalTok"/>
        </w:rPr>
        <w:t xml:space="preserve"> </w:t>
      </w:r>
      <w:r>
        <w:rPr>
          <w:rStyle w:val="KeywordTok"/>
        </w:rPr>
        <w:t xml:space="preserve">&amp;</w:t>
      </w:r>
      <w:r>
        <w:rPr>
          <w:rStyle w:val="NormalTok"/>
        </w:rPr>
        <w:t xml:space="preserve"> oHTTP.StatusText</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575"/>
    <w:bookmarkEnd w:id="6576"/>
    <w:bookmarkStart w:id="6582" w:name="serverxmlhttp.readystate-property"/>
    <w:p>
      <w:pPr>
        <w:pStyle w:val="Heading1"/>
      </w:pPr>
      <w:r>
        <w:t xml:space="preserve">ServerXMLHTTP.ReadyState Property</w:t>
      </w:r>
    </w:p>
    <w:p>
      <w:pPr>
        <w:pStyle w:val="FirstParagraph"/>
      </w:pPr>
      <w:r>
        <w:t xml:space="preserve">Returns the current lifecycle state of the HTTP request.</w:t>
      </w:r>
    </w:p>
    <w:bookmarkStart w:id="6577" w:name="access-22"/>
    <w:p>
      <w:pPr>
        <w:pStyle w:val="Heading2"/>
      </w:pPr>
      <w:r>
        <w:t xml:space="preserve">Access</w:t>
      </w:r>
    </w:p>
    <w:p>
      <w:pPr>
        <w:pStyle w:val="FirstParagraph"/>
      </w:pPr>
      <w:r>
        <w:t xml:space="preserve">Read-only.</w:t>
      </w:r>
    </w:p>
    <w:bookmarkEnd w:id="6577"/>
    <w:bookmarkStart w:id="6578" w:name="type-10"/>
    <w:p>
      <w:pPr>
        <w:pStyle w:val="Heading2"/>
      </w:pPr>
      <w:r>
        <w:t xml:space="preserve">Type</w:t>
      </w:r>
    </w:p>
    <w:p>
      <w:pPr>
        <w:pStyle w:val="FirstParagraph"/>
      </w:pPr>
      <w:r>
        <w:t xml:space="preserve">Integer.</w:t>
      </w:r>
    </w:p>
    <w:bookmarkEnd w:id="6578"/>
    <w:bookmarkStart w:id="6579" w:name="values"/>
    <w:p>
      <w:pPr>
        <w:pStyle w:val="Heading2"/>
      </w:pPr>
      <w:r>
        <w:t xml:space="preserve">Values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Value</w:t>
            </w:r>
          </w:p>
        </w:tc>
        <w:tc>
          <w:tcPr/>
          <w:p>
            <w:pPr>
              <w:pStyle w:val="Compact"/>
            </w:pPr>
            <w:r>
              <w:t xml:space="preserve">Name</w:t>
            </w:r>
          </w:p>
        </w:tc>
        <w:tc>
          <w:tcPr/>
          <w:p>
            <w:pPr>
              <w:pStyle w:val="Compact"/>
            </w:pPr>
            <w:r>
              <w:t xml:space="preserve">Description</w:t>
            </w:r>
          </w:p>
        </w:tc>
      </w:tr>
      <w:tr>
        <w:tc>
          <w:tcPr/>
          <w:p>
            <w:pPr>
              <w:pStyle w:val="Compact"/>
            </w:pPr>
            <w:r>
              <w:t xml:space="preserve">0</w:t>
            </w:r>
          </w:p>
        </w:tc>
        <w:tc>
          <w:tcPr/>
          <w:p>
            <w:pPr>
              <w:pStyle w:val="Compact"/>
            </w:pPr>
            <w:r>
              <w:t xml:space="preserve">Uninitialized</w:t>
            </w:r>
          </w:p>
        </w:tc>
        <w:tc>
          <w:tcPr/>
          <w:p>
            <w:pPr>
              <w:pStyle w:val="Compact"/>
            </w:pPr>
            <w:r>
              <w:t xml:space="preserve">The object has been created but</w:t>
            </w:r>
            <w:r>
              <w:t xml:space="preserve"> </w:t>
            </w:r>
            <w:r>
              <w:rPr>
                <w:rStyle w:val="VerbatimChar"/>
              </w:rPr>
              <w:t xml:space="preserve">Open</w:t>
            </w:r>
            <w:r>
              <w:t xml:space="preserve"> </w:t>
            </w:r>
            <w:r>
              <w:t xml:space="preserve">has not been called.</w:t>
            </w:r>
          </w:p>
        </w:tc>
      </w:tr>
      <w:tr>
        <w:tc>
          <w:tcPr/>
          <w:p>
            <w:pPr>
              <w:pStyle w:val="Compact"/>
            </w:pPr>
            <w:r>
              <w:t xml:space="preserve">1</w:t>
            </w:r>
          </w:p>
        </w:tc>
        <w:tc>
          <w:tcPr/>
          <w:p>
            <w:pPr>
              <w:pStyle w:val="Compact"/>
            </w:pPr>
            <w:r>
              <w:t xml:space="preserve">Open</w:t>
            </w:r>
          </w:p>
        </w:tc>
        <w:tc>
          <w:tcPr/>
          <w:p>
            <w:pPr>
              <w:pStyle w:val="Compact"/>
            </w:pPr>
            <w:r>
              <w:rPr>
                <w:rStyle w:val="VerbatimChar"/>
              </w:rPr>
              <w:t xml:space="preserve">Open</w:t>
            </w:r>
            <w:r>
              <w:t xml:space="preserve"> </w:t>
            </w:r>
            <w:r>
              <w:t xml:space="preserve">has been called but</w:t>
            </w:r>
            <w:r>
              <w:t xml:space="preserve"> </w:t>
            </w:r>
            <w:r>
              <w:rPr>
                <w:rStyle w:val="VerbatimChar"/>
              </w:rPr>
              <w:t xml:space="preserve">Send</w:t>
            </w:r>
            <w:r>
              <w:t xml:space="preserve"> </w:t>
            </w:r>
            <w:r>
              <w:t xml:space="preserve">has not been called.</w:t>
            </w:r>
          </w:p>
        </w:tc>
      </w:tr>
      <w:tr>
        <w:tc>
          <w:tcPr/>
          <w:p>
            <w:pPr>
              <w:pStyle w:val="Compact"/>
            </w:pPr>
            <w:r>
              <w:t xml:space="preserve">2</w:t>
            </w:r>
          </w:p>
        </w:tc>
        <w:tc>
          <w:tcPr/>
          <w:p>
            <w:pPr>
              <w:pStyle w:val="Compact"/>
            </w:pPr>
            <w:r>
              <w:t xml:space="preserve">Sent</w:t>
            </w:r>
          </w:p>
        </w:tc>
        <w:tc>
          <w:tcPr/>
          <w:p>
            <w:pPr>
              <w:pStyle w:val="Compact"/>
            </w:pPr>
            <w:r>
              <w:rPr>
                <w:rStyle w:val="VerbatimChar"/>
              </w:rPr>
              <w:t xml:space="preserve">Send</w:t>
            </w:r>
            <w:r>
              <w:t xml:space="preserve"> </w:t>
            </w:r>
            <w:r>
              <w:t xml:space="preserve">has been called but no response has been received yet.</w:t>
            </w:r>
          </w:p>
        </w:tc>
      </w:tr>
      <w:tr>
        <w:tc>
          <w:tcPr/>
          <w:p>
            <w:pPr>
              <w:pStyle w:val="Compact"/>
            </w:pPr>
            <w:r>
              <w:t xml:space="preserve">3</w:t>
            </w:r>
          </w:p>
        </w:tc>
        <w:tc>
          <w:tcPr/>
          <w:p>
            <w:pPr>
              <w:pStyle w:val="Compact"/>
            </w:pPr>
            <w:r>
              <w:t xml:space="preserve">Receiving</w:t>
            </w:r>
          </w:p>
        </w:tc>
        <w:tc>
          <w:tcPr/>
          <w:p>
            <w:pPr>
              <w:pStyle w:val="Compact"/>
            </w:pPr>
            <w:r>
              <w:t xml:space="preserve">Response headers have been received; body is being received.</w:t>
            </w:r>
          </w:p>
        </w:tc>
      </w:tr>
      <w:tr>
        <w:tc>
          <w:tcPr/>
          <w:p>
            <w:pPr>
              <w:pStyle w:val="Compact"/>
            </w:pPr>
            <w:r>
              <w:t xml:space="preserve">4</w:t>
            </w:r>
          </w:p>
        </w:tc>
        <w:tc>
          <w:tcPr/>
          <w:p>
            <w:pPr>
              <w:pStyle w:val="Compact"/>
            </w:pPr>
            <w:r>
              <w:t xml:space="preserve">Complete</w:t>
            </w:r>
          </w:p>
        </w:tc>
        <w:tc>
          <w:tcPr/>
          <w:p>
            <w:pPr>
              <w:pStyle w:val="Compact"/>
            </w:pPr>
            <w:r>
              <w:t xml:space="preserve">The response is fully received and available.</w:t>
            </w:r>
          </w:p>
        </w:tc>
      </w:tr>
    </w:tbl>
    <w:bookmarkEnd w:id="6579"/>
    <w:bookmarkStart w:id="6580" w:name="remarks-759"/>
    <w:p>
      <w:pPr>
        <w:pStyle w:val="Heading2"/>
      </w:pPr>
      <w:r>
        <w:t xml:space="preserve">Remarks</w:t>
      </w:r>
    </w:p>
    <w:p>
      <w:pPr>
        <w:pStyle w:val="Compact"/>
        <w:numPr>
          <w:ilvl w:val="0"/>
          <w:numId w:val="2587"/>
        </w:numPr>
      </w:pPr>
      <w:r>
        <w:t xml:space="preserve">Because the implementation is synchronous,</w:t>
      </w:r>
      <w:r>
        <w:t xml:space="preserve"> </w:t>
      </w:r>
      <w:r>
        <w:rPr>
          <w:rStyle w:val="VerbatimChar"/>
        </w:rPr>
        <w:t xml:space="preserve">ReadyState</w:t>
      </w:r>
      <w:r>
        <w:t xml:space="preserve"> </w:t>
      </w:r>
      <w:r>
        <w:t xml:space="preserve">transitions directly from 1 to 4 when</w:t>
      </w:r>
      <w:r>
        <w:t xml:space="preserve"> </w:t>
      </w:r>
      <w:r>
        <w:rPr>
          <w:rStyle w:val="VerbatimChar"/>
        </w:rPr>
        <w:t xml:space="preserve">Send</w:t>
      </w:r>
      <w:r>
        <w:t xml:space="preserve"> </w:t>
      </w:r>
      <w:r>
        <w:t xml:space="preserve">returns.</w:t>
      </w:r>
    </w:p>
    <w:bookmarkEnd w:id="6580"/>
    <w:bookmarkStart w:id="6581" w:name="code-example-56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"Before Open: "</w:t>
      </w:r>
      <w:r>
        <w:rPr>
          <w:rStyle w:val="NormalTok"/>
        </w:rPr>
        <w:t xml:space="preserve"> </w:t>
      </w:r>
      <w:r>
        <w:rPr>
          <w:rStyle w:val="KeywordTok"/>
        </w:rPr>
        <w:t xml:space="preserve">&amp;</w:t>
      </w:r>
      <w:r>
        <w:rPr>
          <w:rStyle w:val="NormalTok"/>
        </w:rPr>
        <w:t xml:space="preserve"> oHTTP.ReadyState </w:t>
      </w:r>
      <w:r>
        <w:rPr>
          <w:rStyle w:val="KeywordTok"/>
        </w:rPr>
        <w:t xml:space="preserve">&amp;</w:t>
      </w:r>
      <w:r>
        <w:rPr>
          <w:rStyle w:val="NormalTok"/>
        </w:rPr>
        <w:t xml:space="preserve"> </w:t>
      </w:r>
      <w:r>
        <w:rPr>
          <w:rStyle w:val="StringTok"/>
        </w:rPr>
        <w:t xml:space="preserve">"&lt;br&gt;"</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w:t>
      </w:r>
      <w:r>
        <w:rPr>
          <w:rStyle w:val="OtherTok"/>
        </w:rPr>
        <w:t xml:space="preserve">,</w:t>
      </w:r>
      <w:r>
        <w:rPr>
          <w:rStyle w:val="NormalTok"/>
        </w:rPr>
        <w:t xml:space="preserve"> </w:t>
      </w:r>
      <w:r>
        <w:rPr>
          <w:rStyle w:val="KeywordTok"/>
        </w:rPr>
        <w:t xml:space="preserve">False</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Open: "</w:t>
      </w:r>
      <w:r>
        <w:rPr>
          <w:rStyle w:val="NormalTok"/>
        </w:rPr>
        <w:t xml:space="preserve"> </w:t>
      </w:r>
      <w:r>
        <w:rPr>
          <w:rStyle w:val="KeywordTok"/>
        </w:rPr>
        <w:t xml:space="preserve">&amp;</w:t>
      </w:r>
      <w:r>
        <w:rPr>
          <w:rStyle w:val="NormalTok"/>
        </w:rPr>
        <w:t xml:space="preserve"> oHTTP.ReadyState </w:t>
      </w:r>
      <w:r>
        <w:rPr>
          <w:rStyle w:val="KeywordTok"/>
        </w:rPr>
        <w:t xml:space="preserve">&amp;</w:t>
      </w:r>
      <w:r>
        <w:rPr>
          <w:rStyle w:val="NormalTok"/>
        </w:rPr>
        <w:t xml:space="preserve"> </w:t>
      </w:r>
      <w:r>
        <w:rPr>
          <w:rStyle w:val="StringTok"/>
        </w:rPr>
        <w:t xml:space="preserve">"&lt;br&gt;"</w:t>
      </w:r>
      <w:r>
        <w:br/>
      </w:r>
      <w:r>
        <w:rPr>
          <w:rStyle w:val="NormalTok"/>
        </w:rPr>
        <w:t xml:space="preserve">oHTTP.Send</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"After Send: "</w:t>
      </w:r>
      <w:r>
        <w:rPr>
          <w:rStyle w:val="NormalTok"/>
        </w:rPr>
        <w:t xml:space="preserve"> </w:t>
      </w:r>
      <w:r>
        <w:rPr>
          <w:rStyle w:val="KeywordTok"/>
        </w:rPr>
        <w:t xml:space="preserve">&amp;</w:t>
      </w:r>
      <w:r>
        <w:rPr>
          <w:rStyle w:val="NormalTok"/>
        </w:rPr>
        <w:t xml:space="preserve"> oHTTP.ReadyState </w:t>
      </w:r>
      <w:r>
        <w:rPr>
          <w:rStyle w:val="KeywordTok"/>
        </w:rPr>
        <w:t xml:space="preserve">&amp;</w:t>
      </w:r>
      <w:r>
        <w:rPr>
          <w:rStyle w:val="NormalTok"/>
        </w:rPr>
        <w:t xml:space="preserve"> </w:t>
      </w:r>
      <w:r>
        <w:rPr>
          <w:rStyle w:val="StringTok"/>
        </w:rPr>
        <w:t xml:space="preserve">"&lt;br&gt;"</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581"/>
    <w:bookmarkEnd w:id="6582"/>
    <w:bookmarkStart w:id="6588" w:name="serverxmlhttp.timeout-property"/>
    <w:p>
      <w:pPr>
        <w:pStyle w:val="Heading1"/>
      </w:pPr>
      <w:r>
        <w:t xml:space="preserve">ServerXMLHTTP.Timeout Property</w:t>
      </w:r>
    </w:p>
    <w:p>
      <w:pPr>
        <w:pStyle w:val="FirstParagraph"/>
      </w:pPr>
      <w:r>
        <w:t xml:space="preserve">Gets or sets the maximum number of seconds to wait for a response before the request fails.</w:t>
      </w:r>
    </w:p>
    <w:bookmarkStart w:id="6583" w:name="access-23"/>
    <w:p>
      <w:pPr>
        <w:pStyle w:val="Heading2"/>
      </w:pPr>
      <w:r>
        <w:t xml:space="preserve">Access</w:t>
      </w:r>
    </w:p>
    <w:p>
      <w:pPr>
        <w:pStyle w:val="FirstParagraph"/>
      </w:pPr>
      <w:r>
        <w:t xml:space="preserve">Read/Write.</w:t>
      </w:r>
    </w:p>
    <w:bookmarkEnd w:id="6583"/>
    <w:bookmarkStart w:id="6584" w:name="type-11"/>
    <w:p>
      <w:pPr>
        <w:pStyle w:val="Heading2"/>
      </w:pPr>
      <w:r>
        <w:t xml:space="preserve">Type</w:t>
      </w:r>
    </w:p>
    <w:p>
      <w:pPr>
        <w:pStyle w:val="FirstParagraph"/>
      </w:pPr>
      <w:r>
        <w:t xml:space="preserve">Integer.</w:t>
      </w:r>
    </w:p>
    <w:bookmarkEnd w:id="6584"/>
    <w:bookmarkStart w:id="6585" w:name="default"/>
    <w:p>
      <w:pPr>
        <w:pStyle w:val="Heading2"/>
      </w:pPr>
      <w:r>
        <w:t xml:space="preserve">Default</w:t>
      </w:r>
    </w:p>
    <w:p>
      <w:pPr>
        <w:pStyle w:val="FirstParagraph"/>
      </w:pPr>
      <w:r>
        <w:t xml:space="preserve">30 seconds.</w:t>
      </w:r>
    </w:p>
    <w:bookmarkEnd w:id="6585"/>
    <w:bookmarkStart w:id="6586" w:name="remarks-760"/>
    <w:p>
      <w:pPr>
        <w:pStyle w:val="Heading2"/>
      </w:pPr>
      <w:r>
        <w:t xml:space="preserve">Remarks</w:t>
      </w:r>
    </w:p>
    <w:p>
      <w:pPr>
        <w:pStyle w:val="Compact"/>
        <w:numPr>
          <w:ilvl w:val="0"/>
          <w:numId w:val="2588"/>
        </w:numPr>
      </w:pPr>
      <w:r>
        <w:t xml:space="preserve">Set this property before calling</w:t>
      </w:r>
      <w:r>
        <w:t xml:space="preserve"> </w:t>
      </w:r>
      <w:r>
        <w:rPr>
          <w:rStyle w:val="VerbatimChar"/>
        </w:rPr>
        <w:t xml:space="preserve">Send</w:t>
      </w:r>
      <w:r>
        <w:t xml:space="preserve">.</w:t>
      </w:r>
    </w:p>
    <w:p>
      <w:pPr>
        <w:pStyle w:val="Compact"/>
        <w:numPr>
          <w:ilvl w:val="0"/>
          <w:numId w:val="2588"/>
        </w:numPr>
      </w:pPr>
      <w:r>
        <w:t xml:space="preserve">If the server does not respond within the configured time,</w:t>
      </w:r>
      <w:r>
        <w:t xml:space="preserve"> </w:t>
      </w:r>
      <w:r>
        <w:rPr>
          <w:rStyle w:val="VerbatimChar"/>
        </w:rPr>
        <w:t xml:space="preserve">Send</w:t>
      </w:r>
      <w:r>
        <w:t xml:space="preserve"> </w:t>
      </w:r>
      <w:r>
        <w:t xml:space="preserve">returns with an error condition and</w:t>
      </w:r>
      <w:r>
        <w:t xml:space="preserve"> </w:t>
      </w:r>
      <w:r>
        <w:rPr>
          <w:rStyle w:val="VerbatimChar"/>
        </w:rPr>
        <w:t xml:space="preserve">Status</w:t>
      </w:r>
      <w:r>
        <w:t xml:space="preserve"> </w:t>
      </w:r>
      <w:r>
        <w:t xml:space="preserve">is set to 0.</w:t>
      </w:r>
    </w:p>
    <w:p>
      <w:pPr>
        <w:pStyle w:val="Compact"/>
        <w:numPr>
          <w:ilvl w:val="0"/>
          <w:numId w:val="2588"/>
        </w:numPr>
      </w:pPr>
      <w:r>
        <w:t xml:space="preserve">Setting</w:t>
      </w:r>
      <w:r>
        <w:t xml:space="preserve"> </w:t>
      </w:r>
      <w:r>
        <w:rPr>
          <w:rStyle w:val="VerbatimChar"/>
        </w:rPr>
        <w:t xml:space="preserve">Timeout</w:t>
      </w:r>
      <w:r>
        <w:t xml:space="preserve"> </w:t>
      </w:r>
      <w:r>
        <w:t xml:space="preserve">to 0 is not recommended as it may cause indefinite blocking.</w:t>
      </w:r>
    </w:p>
    <w:bookmarkEnd w:id="6586"/>
    <w:bookmarkStart w:id="6587" w:name="code-example-56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oHTTP</w:t>
      </w:r>
      <w:r>
        <w:br/>
      </w:r>
      <w:r>
        <w:rPr>
          <w:rStyle w:val="KeywordTok"/>
        </w:rPr>
        <w:t xml:space="preserve">Set</w:t>
      </w:r>
      <w:r>
        <w:rPr>
          <w:rStyle w:val="NormalTok"/>
        </w:rPr>
        <w:t xml:space="preserve"> oHTTP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"MSXML2.ServerXMLHTTP"</w:t>
      </w:r>
      <w:r>
        <w:rPr>
          <w:rStyle w:val="OtherTok"/>
        </w:rPr>
        <w:t xml:space="preserve">)</w:t>
      </w:r>
      <w:r>
        <w:br/>
      </w:r>
      <w:r>
        <w:rPr>
          <w:rStyle w:val="NormalTok"/>
        </w:rPr>
        <w:t xml:space="preserve">oHTTP.Timeout = </w:t>
      </w:r>
      <w:r>
        <w:rPr>
          <w:rStyle w:val="DecValTok"/>
        </w:rPr>
        <w:t xml:space="preserve">10</w:t>
      </w:r>
      <w:r>
        <w:br/>
      </w:r>
      <w:r>
        <w:rPr>
          <w:rStyle w:val="NormalTok"/>
        </w:rPr>
        <w:t xml:space="preserve">oHTTP.</w:t>
      </w:r>
      <w:r>
        <w:rPr>
          <w:rStyle w:val="KeywordTok"/>
        </w:rPr>
        <w:t xml:space="preserve">Open</w:t>
      </w:r>
      <w:r>
        <w:rPr>
          <w:rStyle w:val="NormalTok"/>
        </w:rPr>
        <w:t xml:space="preserve"> </w:t>
      </w:r>
      <w:r>
        <w:rPr>
          <w:rStyle w:val="StringTok"/>
        </w:rPr>
        <w:t xml:space="preserve">"GET"</w:t>
      </w:r>
      <w:r>
        <w:rPr>
          <w:rStyle w:val="OtherTok"/>
        </w:rPr>
        <w:t xml:space="preserve">,</w:t>
      </w:r>
      <w:r>
        <w:rPr>
          <w:rStyle w:val="NormalTok"/>
        </w:rPr>
        <w:t xml:space="preserve"> </w:t>
      </w:r>
      <w:r>
        <w:rPr>
          <w:rStyle w:val="StringTok"/>
        </w:rPr>
        <w:t xml:space="preserve">"https://example.com/slow-endpoint"</w:t>
      </w:r>
      <w:r>
        <w:rPr>
          <w:rStyle w:val="OtherTok"/>
        </w:rPr>
        <w:t xml:space="preserve">,</w:t>
      </w:r>
      <w:r>
        <w:rPr>
          <w:rStyle w:val="NormalTok"/>
        </w:rPr>
        <w:t xml:space="preserve"> </w:t>
      </w:r>
      <w:r>
        <w:rPr>
          <w:rStyle w:val="KeywordTok"/>
        </w:rPr>
        <w:t xml:space="preserve">False</w:t>
      </w:r>
      <w:r>
        <w:br/>
      </w:r>
      <w:r>
        <w:rPr>
          <w:rStyle w:val="NormalTok"/>
        </w:rPr>
        <w:t xml:space="preserve">On Error Resume </w:t>
      </w:r>
      <w:r>
        <w:rPr>
          <w:rStyle w:val="ControlFlowTok"/>
        </w:rPr>
        <w:t xml:space="preserve">Next</w:t>
      </w:r>
      <w:r>
        <w:br/>
      </w:r>
      <w:r>
        <w:rPr>
          <w:rStyle w:val="NormalTok"/>
        </w:rPr>
        <w:t xml:space="preserve">oHTTP.Send</w:t>
      </w:r>
      <w:r>
        <w:br/>
      </w:r>
      <w:r>
        <w:rPr>
          <w:rStyle w:val="ControlFlowTok"/>
        </w:rPr>
        <w:t xml:space="preserve">If</w:t>
      </w:r>
      <w:r>
        <w:rPr>
          <w:rStyle w:val="NormalTok"/>
        </w:rPr>
        <w:t xml:space="preserve"> Err.Number &lt;&gt;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"Request timed out."</w:t>
      </w:r>
      <w:r>
        <w:br/>
      </w:r>
      <w:r>
        <w:rPr>
          <w:rStyle w:val="NormalTok"/>
        </w:rPr>
        <w:t xml:space="preserve">    Err.</w:t>
      </w:r>
      <w:r>
        <w:rPr>
          <w:rStyle w:val="FunctionTok"/>
        </w:rPr>
        <w:t xml:space="preserve">Clear</w:t>
      </w:r>
      <w:r>
        <w:br/>
      </w:r>
      <w:r>
        <w:rPr>
          <w:rStyle w:val="ControlFlowTok"/>
        </w:rPr>
        <w:t xml:space="preserve">Else</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oHTTP.ResponseText</w:t>
      </w:r>
      <w:r>
        <w:br/>
      </w:r>
      <w:r>
        <w:rPr>
          <w:rStyle w:val="ControlFlowTok"/>
        </w:rPr>
        <w:t xml:space="preserve">End If</w:t>
      </w:r>
      <w:r>
        <w:br/>
      </w:r>
      <w:r>
        <w:rPr>
          <w:rStyle w:val="KeywordTok"/>
        </w:rPr>
        <w:t xml:space="preserve">Set</w:t>
      </w:r>
      <w:r>
        <w:rPr>
          <w:rStyle w:val="NormalTok"/>
        </w:rPr>
        <w:t xml:space="preserve"> oHTTP = </w:t>
      </w:r>
      <w:r>
        <w:rPr>
          <w:rStyle w:val="KeywordTok"/>
        </w:rPr>
        <w:t xml:space="preserve">Nothing</w:t>
      </w:r>
      <w:r>
        <w:br/>
      </w:r>
      <w:r>
        <w:rPr>
          <w:rStyle w:val="DataTypeTok"/>
        </w:rPr>
        <w:t xml:space="preserve">%&gt;</w:t>
      </w:r>
    </w:p>
    <w:bookmarkEnd w:id="6587"/>
    <w:bookmarkEnd w:id="6588"/>
    <w:bookmarkStart w:id="6593" w:name="domdocument.documentelement-property"/>
    <w:p>
      <w:pPr>
        <w:pStyle w:val="Heading1"/>
      </w:pPr>
      <w:r>
        <w:t xml:space="preserve">DOMDocument.DocumentElement Property</w:t>
      </w:r>
    </w:p>
    <w:p>
      <w:pPr>
        <w:pStyle w:val="FirstParagraph"/>
      </w:pPr>
      <w:r>
        <w:t xml:space="preserve">Returns the root element of the parsed document.</w:t>
      </w:r>
    </w:p>
    <w:bookmarkStart w:id="6589" w:name="access-24"/>
    <w:p>
      <w:pPr>
        <w:pStyle w:val="Heading2"/>
      </w:pPr>
      <w:r>
        <w:t xml:space="preserve">Access</w:t>
      </w:r>
    </w:p>
    <w:p>
      <w:pPr>
        <w:pStyle w:val="FirstParagraph"/>
      </w:pPr>
      <w:r>
        <w:t xml:space="preserve">Read-only.</w:t>
      </w:r>
    </w:p>
    <w:bookmarkEnd w:id="6589"/>
    <w:bookmarkStart w:id="6590" w:name="type-12"/>
    <w:p>
      <w:pPr>
        <w:pStyle w:val="Heading2"/>
      </w:pPr>
      <w:r>
        <w:t xml:space="preserve">Type</w:t>
      </w:r>
    </w:p>
    <w:p>
      <w:pPr>
        <w:pStyle w:val="FirstParagraph"/>
      </w:pPr>
      <w:r>
        <w:t xml:space="preserve">XMLElement or Null.</w:t>
      </w:r>
    </w:p>
    <w:bookmarkEnd w:id="6590"/>
    <w:bookmarkStart w:id="6591" w:name="remarks-761"/>
    <w:p>
      <w:pPr>
        <w:pStyle w:val="Heading2"/>
      </w:pPr>
      <w:r>
        <w:t xml:space="preserve">Remarks</w:t>
      </w:r>
    </w:p>
    <w:p>
      <w:pPr>
        <w:pStyle w:val="Compact"/>
        <w:numPr>
          <w:ilvl w:val="0"/>
          <w:numId w:val="2589"/>
        </w:numPr>
      </w:pPr>
      <w:r>
        <w:t xml:space="preserve">Returns Null if the document has not been loaded, or if</w:t>
      </w:r>
      <w:r>
        <w:t xml:space="preserve"> </w:t>
      </w:r>
      <w:r>
        <w:rPr>
          <w:rStyle w:val="VerbatimChar"/>
        </w:rPr>
        <w:t xml:space="preserve">LoadXML</w:t>
      </w:r>
      <w:r>
        <w:t xml:space="preserve"> </w:t>
      </w:r>
      <w:r>
        <w:t xml:space="preserve">or</w:t>
      </w:r>
      <w:r>
        <w:t xml:space="preserve"> </w:t>
      </w:r>
      <w:r>
        <w:rPr>
          <w:rStyle w:val="VerbatimChar"/>
        </w:rPr>
        <w:t xml:space="preserve">Load</w:t>
      </w:r>
      <w:r>
        <w:t xml:space="preserve"> </w:t>
      </w:r>
      <w:r>
        <w:t xml:space="preserve">failed.</w:t>
      </w:r>
    </w:p>
    <w:p>
      <w:pPr>
        <w:pStyle w:val="Compact"/>
        <w:numPr>
          <w:ilvl w:val="0"/>
          <w:numId w:val="2589"/>
        </w:numPr>
      </w:pPr>
      <w:r>
        <w:t xml:space="preserve">The returned XMLElement is the top-level element of the document tree.</w:t>
      </w:r>
    </w:p>
    <w:bookmarkEnd w:id="6591"/>
    <w:bookmarkStart w:id="6592" w:name="code-example-56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"&lt;catalog&gt;&lt;item&gt;First&lt;/item&gt;&lt;/catalog&gt;"</w:t>
      </w:r>
      <w:r>
        <w:br/>
      </w:r>
      <w:r>
        <w:rPr>
          <w:rStyle w:val="KeywordTok"/>
        </w:rPr>
        <w:t xml:space="preserve">Set</w:t>
      </w:r>
      <w:r>
        <w:rPr>
          <w:rStyle w:val="NormalTok"/>
        </w:rPr>
        <w:t xml:space="preserve"> oRoot = oXML.DocumentElement</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oRoot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"Root element: "</w:t>
      </w:r>
      <w:r>
        <w:rPr>
          <w:rStyle w:val="NormalTok"/>
        </w:rPr>
        <w:t xml:space="preserve"> </w:t>
      </w:r>
      <w:r>
        <w:rPr>
          <w:rStyle w:val="KeywordTok"/>
        </w:rPr>
        <w:t xml:space="preserve">&amp;</w:t>
      </w:r>
      <w:r>
        <w:rPr>
          <w:rStyle w:val="NormalTok"/>
        </w:rPr>
        <w:t xml:space="preserve"> oRoot.NodeName</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92"/>
    <w:bookmarkEnd w:id="6593"/>
    <w:bookmarkStart w:id="6598" w:name="domdocument.xml-property"/>
    <w:p>
      <w:pPr>
        <w:pStyle w:val="Heading1"/>
      </w:pPr>
      <w:r>
        <w:t xml:space="preserve">DOMDocument.XML Property</w:t>
      </w:r>
    </w:p>
    <w:p>
      <w:pPr>
        <w:pStyle w:val="FirstParagraph"/>
      </w:pPr>
      <w:r>
        <w:t xml:space="preserve">Returns the XML source string or the serialized representation of the current document tree.</w:t>
      </w:r>
    </w:p>
    <w:bookmarkStart w:id="6594" w:name="access-25"/>
    <w:p>
      <w:pPr>
        <w:pStyle w:val="Heading2"/>
      </w:pPr>
      <w:r>
        <w:t xml:space="preserve">Access</w:t>
      </w:r>
    </w:p>
    <w:p>
      <w:pPr>
        <w:pStyle w:val="FirstParagraph"/>
      </w:pPr>
      <w:r>
        <w:t xml:space="preserve">Read-only.</w:t>
      </w:r>
    </w:p>
    <w:bookmarkEnd w:id="6594"/>
    <w:bookmarkStart w:id="6595" w:name="type-13"/>
    <w:p>
      <w:pPr>
        <w:pStyle w:val="Heading2"/>
      </w:pPr>
      <w:r>
        <w:t xml:space="preserve">Type</w:t>
      </w:r>
    </w:p>
    <w:p>
      <w:pPr>
        <w:pStyle w:val="FirstParagraph"/>
      </w:pPr>
      <w:r>
        <w:t xml:space="preserve">String.</w:t>
      </w:r>
    </w:p>
    <w:bookmarkEnd w:id="6595"/>
    <w:bookmarkStart w:id="6596" w:name="remarks-762"/>
    <w:p>
      <w:pPr>
        <w:pStyle w:val="Heading2"/>
      </w:pPr>
      <w:r>
        <w:t xml:space="preserve">Remarks</w:t>
      </w:r>
    </w:p>
    <w:p>
      <w:pPr>
        <w:pStyle w:val="Compact"/>
        <w:numPr>
          <w:ilvl w:val="0"/>
          <w:numId w:val="2590"/>
        </w:numPr>
      </w:pPr>
      <w:r>
        <w:t xml:space="preserve">If the document was loaded with</w:t>
      </w:r>
      <w:r>
        <w:t xml:space="preserve"> </w:t>
      </w:r>
      <w:r>
        <w:rPr>
          <w:rStyle w:val="VerbatimChar"/>
        </w:rPr>
        <w:t xml:space="preserve">LoadXML</w:t>
      </w:r>
      <w:r>
        <w:t xml:space="preserve">, the original XML string is returned.</w:t>
      </w:r>
    </w:p>
    <w:p>
      <w:pPr>
        <w:pStyle w:val="Compact"/>
        <w:numPr>
          <w:ilvl w:val="0"/>
          <w:numId w:val="2590"/>
        </w:numPr>
      </w:pPr>
      <w:r>
        <w:t xml:space="preserve">If the document was built programmatically using</w:t>
      </w:r>
      <w:r>
        <w:t xml:space="preserve"> </w:t>
      </w:r>
      <w:r>
        <w:rPr>
          <w:rStyle w:val="VerbatimChar"/>
        </w:rPr>
        <w:t xml:space="preserve">CreateElement</w:t>
      </w:r>
      <w:r>
        <w:t xml:space="preserve"> </w:t>
      </w:r>
      <w:r>
        <w:t xml:space="preserve">and</w:t>
      </w:r>
      <w:r>
        <w:t xml:space="preserve"> </w:t>
      </w:r>
      <w:r>
        <w:rPr>
          <w:rStyle w:val="VerbatimChar"/>
        </w:rPr>
        <w:t xml:space="preserve">AppendChild</w:t>
      </w:r>
      <w:r>
        <w:t xml:space="preserve">, the tree is serialized to an XML string.</w:t>
      </w:r>
    </w:p>
    <w:p>
      <w:pPr>
        <w:pStyle w:val="Compact"/>
        <w:numPr>
          <w:ilvl w:val="0"/>
          <w:numId w:val="2590"/>
        </w:numPr>
      </w:pPr>
      <w:r>
        <w:t xml:space="preserve">Returns an empty String if no document has been loaded.</w:t>
      </w:r>
    </w:p>
    <w:bookmarkEnd w:id="6596"/>
    <w:bookmarkStart w:id="6597" w:name="code-example-56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oItem</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KeywordTok"/>
        </w:rPr>
        <w:t xml:space="preserve">Set</w:t>
      </w:r>
      <w:r>
        <w:rPr>
          <w:rStyle w:val="NormalTok"/>
        </w:rPr>
        <w:t xml:space="preserve"> oRoot = oXML.CreateElement</w:t>
      </w:r>
      <w:r>
        <w:rPr>
          <w:rStyle w:val="OtherTok"/>
        </w:rPr>
        <w:t xml:space="preserve">(</w:t>
      </w:r>
      <w:r>
        <w:rPr>
          <w:rStyle w:val="StringTok"/>
        </w:rPr>
        <w:t xml:space="preserve">"list"</w:t>
      </w:r>
      <w:r>
        <w:rPr>
          <w:rStyle w:val="OtherTok"/>
        </w:rPr>
        <w:t xml:space="preserve">)</w:t>
      </w:r>
      <w:r>
        <w:br/>
      </w:r>
      <w:r>
        <w:rPr>
          <w:rStyle w:val="KeywordTok"/>
        </w:rPr>
        <w:t xml:space="preserve">Set</w:t>
      </w:r>
      <w:r>
        <w:rPr>
          <w:rStyle w:val="NormalTok"/>
        </w:rPr>
        <w:t xml:space="preserve"> oItem = oXML.CreateElement</w:t>
      </w:r>
      <w:r>
        <w:rPr>
          <w:rStyle w:val="OtherTok"/>
        </w:rPr>
        <w:t xml:space="preserve">(</w:t>
      </w:r>
      <w:r>
        <w:rPr>
          <w:rStyle w:val="StringTok"/>
        </w:rPr>
        <w:t xml:space="preserve">"entry"</w:t>
      </w:r>
      <w:r>
        <w:rPr>
          <w:rStyle w:val="OtherTok"/>
        </w:rPr>
        <w:t xml:space="preserve">)</w:t>
      </w:r>
      <w:r>
        <w:br/>
      </w:r>
      <w:r>
        <w:rPr>
          <w:rStyle w:val="NormalTok"/>
        </w:rPr>
        <w:t xml:space="preserve">oItem.Text = </w:t>
      </w:r>
      <w:r>
        <w:rPr>
          <w:rStyle w:val="StringTok"/>
        </w:rPr>
        <w:t xml:space="preserve">"Hello"</w:t>
      </w:r>
      <w:r>
        <w:br/>
      </w:r>
      <w:r>
        <w:rPr>
          <w:rStyle w:val="NormalTok"/>
        </w:rPr>
        <w:t xml:space="preserve">oRoot.AppendChild oItem</w:t>
      </w:r>
      <w:r>
        <w:br/>
      </w:r>
      <w:r>
        <w:rPr>
          <w:rStyle w:val="NormalTok"/>
        </w:rPr>
        <w:t xml:space="preserve">oXML.AppendChild oRoot</w:t>
      </w:r>
      <w:r>
        <w:br/>
      </w:r>
      <w:r>
        <w:rPr>
          <w:rStyle w:val="FunctionTok"/>
        </w:rPr>
        <w:t xml:space="preserve">Response</w:t>
      </w:r>
      <w:r>
        <w:rPr>
          <w:rStyle w:val="NormalTok"/>
        </w:rPr>
        <w:t xml:space="preserve">.</w:t>
      </w:r>
      <w:r>
        <w:rPr>
          <w:rStyle w:val="FunctionTok"/>
        </w:rPr>
        <w:t xml:space="preserve">Write</w:t>
      </w:r>
      <w:r>
        <w:rPr>
          <w:rStyle w:val="NormalTok"/>
        </w:rPr>
        <w:t xml:space="preserve"> oXML.XML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597"/>
    <w:bookmarkEnd w:id="6598"/>
    <w:bookmarkStart w:id="6603" w:name="domdocument.parseerror-property"/>
    <w:p>
      <w:pPr>
        <w:pStyle w:val="Heading1"/>
      </w:pPr>
      <w:r>
        <w:t xml:space="preserve">DOMDocument.ParseError Property</w:t>
      </w:r>
    </w:p>
    <w:p>
      <w:pPr>
        <w:pStyle w:val="FirstParagraph"/>
      </w:pPr>
      <w:r>
        <w:t xml:space="preserve">Returns the ParseError object that describes the outcome of the last</w:t>
      </w:r>
      <w:r>
        <w:t xml:space="preserve"> </w:t>
      </w:r>
      <w:r>
        <w:rPr>
          <w:rStyle w:val="VerbatimChar"/>
        </w:rPr>
        <w:t xml:space="preserve">LoadXML</w:t>
      </w:r>
      <w:r>
        <w:t xml:space="preserve"> </w:t>
      </w:r>
      <w:r>
        <w:t xml:space="preserve">or</w:t>
      </w:r>
      <w:r>
        <w:t xml:space="preserve"> </w:t>
      </w:r>
      <w:r>
        <w:rPr>
          <w:rStyle w:val="VerbatimChar"/>
        </w:rPr>
        <w:t xml:space="preserve">Load</w:t>
      </w:r>
      <w:r>
        <w:t xml:space="preserve"> </w:t>
      </w:r>
      <w:r>
        <w:t xml:space="preserve">call.</w:t>
      </w:r>
    </w:p>
    <w:bookmarkStart w:id="6599" w:name="access-26"/>
    <w:p>
      <w:pPr>
        <w:pStyle w:val="Heading2"/>
      </w:pPr>
      <w:r>
        <w:t xml:space="preserve">Access</w:t>
      </w:r>
    </w:p>
    <w:p>
      <w:pPr>
        <w:pStyle w:val="FirstParagraph"/>
      </w:pPr>
      <w:r>
        <w:t xml:space="preserve">Read-only.</w:t>
      </w:r>
    </w:p>
    <w:bookmarkEnd w:id="6599"/>
    <w:bookmarkStart w:id="6600" w:name="type-14"/>
    <w:p>
      <w:pPr>
        <w:pStyle w:val="Heading2"/>
      </w:pPr>
      <w:r>
        <w:t xml:space="preserve">Type</w:t>
      </w:r>
    </w:p>
    <w:p>
      <w:pPr>
        <w:pStyle w:val="FirstParagraph"/>
      </w:pPr>
      <w:r>
        <w:t xml:space="preserve">ParseError object.</w:t>
      </w:r>
    </w:p>
    <w:bookmarkEnd w:id="6600"/>
    <w:bookmarkStart w:id="6601" w:name="remarks-763"/>
    <w:p>
      <w:pPr>
        <w:pStyle w:val="Heading2"/>
      </w:pPr>
      <w:r>
        <w:t xml:space="preserve">Remarks</w:t>
      </w:r>
    </w:p>
    <w:p>
      <w:pPr>
        <w:pStyle w:val="Compact"/>
        <w:numPr>
          <w:ilvl w:val="0"/>
          <w:numId w:val="2591"/>
        </w:numPr>
      </w:pPr>
      <w:r>
        <w:t xml:space="preserve">This property always returns a ParseError object, even when parsing succeeded.</w:t>
      </w:r>
    </w:p>
    <w:p>
      <w:pPr>
        <w:pStyle w:val="Compact"/>
        <w:numPr>
          <w:ilvl w:val="0"/>
          <w:numId w:val="2591"/>
        </w:numPr>
      </w:pPr>
      <w:r>
        <w:t xml:space="preserve">After a successful parse,</w:t>
      </w:r>
      <w:r>
        <w:t xml:space="preserve"> </w:t>
      </w:r>
      <w:r>
        <w:rPr>
          <w:rStyle w:val="VerbatimChar"/>
        </w:rPr>
        <w:t xml:space="preserve">ParseError.ErrorCode</w:t>
      </w:r>
      <w:r>
        <w:t xml:space="preserve"> </w:t>
      </w:r>
      <w:r>
        <w:t xml:space="preserve">is 0.</w:t>
      </w:r>
    </w:p>
    <w:p>
      <w:pPr>
        <w:pStyle w:val="Compact"/>
        <w:numPr>
          <w:ilvl w:val="0"/>
          <w:numId w:val="2591"/>
        </w:numPr>
      </w:pPr>
      <w:r>
        <w:t xml:space="preserve">After a failed parse,</w:t>
      </w:r>
      <w:r>
        <w:t xml:space="preserve"> </w:t>
      </w:r>
      <w:r>
        <w:rPr>
          <w:rStyle w:val="VerbatimChar"/>
        </w:rPr>
        <w:t xml:space="preserve">ParseError</w:t>
      </w:r>
      <w:r>
        <w:t xml:space="preserve"> </w:t>
      </w:r>
      <w:r>
        <w:t xml:space="preserve">is populated with the error details, including</w:t>
      </w:r>
      <w:r>
        <w:t xml:space="preserve"> </w:t>
      </w:r>
      <w:r>
        <w:rPr>
          <w:rStyle w:val="VerbatimChar"/>
        </w:rPr>
        <w:t xml:space="preserve">Reason</w:t>
      </w:r>
      <w:r>
        <w:t xml:space="preserve">,</w:t>
      </w:r>
      <w:r>
        <w:t xml:space="preserve"> </w:t>
      </w:r>
      <w:r>
        <w:rPr>
          <w:rStyle w:val="VerbatimChar"/>
        </w:rPr>
        <w:t xml:space="preserve">Line</w:t>
      </w:r>
      <w:r>
        <w:t xml:space="preserve">,</w:t>
      </w:r>
      <w:r>
        <w:t xml:space="preserve"> </w:t>
      </w:r>
      <w:r>
        <w:rPr>
          <w:rStyle w:val="VerbatimChar"/>
        </w:rPr>
        <w:t xml:space="preserve">LinePos</w:t>
      </w:r>
      <w:r>
        <w:t xml:space="preserve">, and</w:t>
      </w:r>
      <w:r>
        <w:t xml:space="preserve"> </w:t>
      </w:r>
      <w:r>
        <w:rPr>
          <w:rStyle w:val="VerbatimChar"/>
        </w:rPr>
        <w:t xml:space="preserve">SrcText</w:t>
      </w:r>
      <w:r>
        <w:t xml:space="preserve">.</w:t>
      </w:r>
    </w:p>
    <w:bookmarkEnd w:id="6601"/>
    <w:bookmarkStart w:id="6602" w:name="code-example-56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oXML.LoadXML</w:t>
      </w:r>
      <w:r>
        <w:rPr>
          <w:rStyle w:val="OtherTok"/>
        </w:rPr>
        <w:t xml:space="preserve">(</w:t>
      </w:r>
      <w:r>
        <w:rPr>
          <w:rStyle w:val="StringTok"/>
        </w:rPr>
        <w:t xml:space="preserve">"&lt;root&gt;&lt;unclosed&gt;"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w:t>
      </w:r>
      <w:r>
        <w:rPr>
          <w:rStyle w:val="NormalTok"/>
        </w:rPr>
        <w:t xml:space="preserve"> </w:t>
      </w:r>
      <w:r>
        <w:rPr>
          <w:rStyle w:val="KeywordTok"/>
        </w:rPr>
        <w:t xml:space="preserve">&amp;</w:t>
      </w:r>
      <w:r>
        <w:rPr>
          <w:rStyle w:val="NormalTok"/>
        </w:rPr>
        <w:t xml:space="preserve"> oXML.ParseError.ErrorCode </w:t>
      </w:r>
      <w:r>
        <w:rPr>
          <w:rStyle w:val="KeywordTok"/>
        </w:rPr>
        <w:t xml:space="preserve">&amp;</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oXML.ParseError.Reason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 (Line "</w:t>
      </w:r>
      <w:r>
        <w:rPr>
          <w:rStyle w:val="NormalTok"/>
        </w:rPr>
        <w:t xml:space="preserve"> </w:t>
      </w:r>
      <w:r>
        <w:rPr>
          <w:rStyle w:val="KeywordTok"/>
        </w:rPr>
        <w:t xml:space="preserve">&amp;</w:t>
      </w:r>
      <w:r>
        <w:rPr>
          <w:rStyle w:val="NormalTok"/>
        </w:rPr>
        <w:t xml:space="preserve"> oXML.ParseError.Line </w:t>
      </w:r>
      <w:r>
        <w:rPr>
          <w:rStyle w:val="KeywordTok"/>
        </w:rPr>
        <w:t xml:space="preserve">&amp;</w:t>
      </w:r>
      <w:r>
        <w:rPr>
          <w:rStyle w:val="NormalTok"/>
        </w:rPr>
        <w:t xml:space="preserve"> </w:t>
      </w:r>
      <w:r>
        <w:rPr>
          <w:rStyle w:val="StringTok"/>
        </w:rPr>
        <w:t xml:space="preserve">", Col "</w:t>
      </w:r>
      <w:r>
        <w:rPr>
          <w:rStyle w:val="NormalTok"/>
        </w:rPr>
        <w:t xml:space="preserve"> </w:t>
      </w:r>
      <w:r>
        <w:rPr>
          <w:rStyle w:val="KeywordTok"/>
        </w:rPr>
        <w:t xml:space="preserve">&amp;</w:t>
      </w:r>
      <w:r>
        <w:rPr>
          <w:rStyle w:val="NormalTok"/>
        </w:rPr>
        <w:t xml:space="preserve"> oXML.ParseError.LinePos </w:t>
      </w:r>
      <w:r>
        <w:rPr>
          <w:rStyle w:val="KeywordTok"/>
        </w:rPr>
        <w:t xml:space="preserve">&amp;</w:t>
      </w:r>
      <w:r>
        <w:rPr>
          <w:rStyle w:val="NormalTok"/>
        </w:rPr>
        <w:t xml:space="preserve"> </w:t>
      </w:r>
      <w:r>
        <w:rPr>
          <w:rStyle w:val="StringTok"/>
        </w:rPr>
        <w:t xml:space="preserve">")"</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02"/>
    <w:bookmarkEnd w:id="6603"/>
    <w:bookmarkStart w:id="6609" w:name="domdocument.async-property"/>
    <w:p>
      <w:pPr>
        <w:pStyle w:val="Heading1"/>
      </w:pPr>
      <w:r>
        <w:t xml:space="preserve">DOMDocument.Async Property</w:t>
      </w:r>
    </w:p>
    <w:p>
      <w:pPr>
        <w:pStyle w:val="FirstParagraph"/>
      </w:pPr>
      <w:r>
        <w:t xml:space="preserve">Gets or sets whether the document loads asynchronously.</w:t>
      </w:r>
    </w:p>
    <w:bookmarkStart w:id="6604" w:name="access-27"/>
    <w:p>
      <w:pPr>
        <w:pStyle w:val="Heading2"/>
      </w:pPr>
      <w:r>
        <w:t xml:space="preserve">Access</w:t>
      </w:r>
    </w:p>
    <w:p>
      <w:pPr>
        <w:pStyle w:val="FirstParagraph"/>
      </w:pPr>
      <w:r>
        <w:t xml:space="preserve">Read/Write.</w:t>
      </w:r>
    </w:p>
    <w:bookmarkEnd w:id="6604"/>
    <w:bookmarkStart w:id="6605" w:name="type-15"/>
    <w:p>
      <w:pPr>
        <w:pStyle w:val="Heading2"/>
      </w:pPr>
      <w:r>
        <w:t xml:space="preserve">Type</w:t>
      </w:r>
    </w:p>
    <w:p>
      <w:pPr>
        <w:pStyle w:val="FirstParagraph"/>
      </w:pPr>
      <w:r>
        <w:t xml:space="preserve">Boolean.</w:t>
      </w:r>
    </w:p>
    <w:bookmarkEnd w:id="6605"/>
    <w:bookmarkStart w:id="6606" w:name="default-1"/>
    <w:p>
      <w:pPr>
        <w:pStyle w:val="Heading2"/>
      </w:pPr>
      <w:r>
        <w:t xml:space="preserve">Default</w:t>
      </w:r>
    </w:p>
    <w:p>
      <w:pPr>
        <w:pStyle w:val="FirstParagraph"/>
      </w:pPr>
      <w:r>
        <w:t xml:space="preserve">False.</w:t>
      </w:r>
    </w:p>
    <w:bookmarkEnd w:id="6606"/>
    <w:bookmarkStart w:id="6607" w:name="remarks-764"/>
    <w:p>
      <w:pPr>
        <w:pStyle w:val="Heading2"/>
      </w:pPr>
      <w:r>
        <w:t xml:space="preserve">Remarks</w:t>
      </w:r>
    </w:p>
    <w:p>
      <w:pPr>
        <w:pStyle w:val="Compact"/>
        <w:numPr>
          <w:ilvl w:val="0"/>
          <w:numId w:val="2592"/>
        </w:numPr>
      </w:pPr>
      <w:r>
        <w:t xml:space="preserve">This property is accepted for compatibility with existing code. The current AxonASP implementation always loads documents synchronously regardless of this setting.</w:t>
      </w:r>
    </w:p>
    <w:p>
      <w:pPr>
        <w:pStyle w:val="Compact"/>
        <w:numPr>
          <w:ilvl w:val="0"/>
          <w:numId w:val="2592"/>
        </w:numPr>
      </w:pPr>
      <w:r>
        <w:t xml:space="preserve">Set to False before calling</w:t>
      </w:r>
      <w:r>
        <w:t xml:space="preserve"> </w:t>
      </w:r>
      <w:r>
        <w:rPr>
          <w:rStyle w:val="VerbatimChar"/>
        </w:rPr>
        <w:t xml:space="preserve">Load</w:t>
      </w:r>
      <w:r>
        <w:t xml:space="preserve"> </w:t>
      </w:r>
      <w:r>
        <w:t xml:space="preserve">or</w:t>
      </w:r>
      <w:r>
        <w:t xml:space="preserve"> </w:t>
      </w:r>
      <w:r>
        <w:rPr>
          <w:rStyle w:val="VerbatimChar"/>
        </w:rPr>
        <w:t xml:space="preserve">LoadXML</w:t>
      </w:r>
      <w:r>
        <w:t xml:space="preserve"> </w:t>
      </w:r>
      <w:r>
        <w:t xml:space="preserve">to follow the Classic ASP convention.</w:t>
      </w:r>
    </w:p>
    <w:bookmarkEnd w:id="6607"/>
    <w:bookmarkStart w:id="6608" w:name="code-example-57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oXML.Async = </w:t>
      </w:r>
      <w:r>
        <w:rPr>
          <w:rStyle w:val="KeywordTok"/>
        </w:rPr>
        <w:t xml:space="preserve">False</w:t>
      </w:r>
      <w:r>
        <w:br/>
      </w:r>
      <w:r>
        <w:rPr>
          <w:rStyle w:val="NormalTok"/>
        </w:rPr>
        <w:t xml:space="preserve">oXML.LoadXML </w:t>
      </w:r>
      <w:r>
        <w:rPr>
          <w:rStyle w:val="StringTok"/>
        </w:rPr>
        <w:t xml:space="preserve">"&lt;data/&gt;"</w:t>
      </w:r>
      <w:r>
        <w:br/>
      </w:r>
      <w:r>
        <w:rPr>
          <w:rStyle w:val="FunctionTok"/>
        </w:rPr>
        <w:t xml:space="preserve">Response</w:t>
      </w:r>
      <w:r>
        <w:rPr>
          <w:rStyle w:val="NormalTok"/>
        </w:rPr>
        <w:t xml:space="preserve">.</w:t>
      </w:r>
      <w:r>
        <w:rPr>
          <w:rStyle w:val="FunctionTok"/>
        </w:rPr>
        <w:t xml:space="preserve">Write</w:t>
      </w:r>
      <w:r>
        <w:rPr>
          <w:rStyle w:val="NormalTok"/>
        </w:rPr>
        <w:t xml:space="preserve"> oXML.DocumentElement.NodeName</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08"/>
    <w:bookmarkEnd w:id="6609"/>
    <w:bookmarkStart w:id="6615" w:name="domdocument.serverhttprequest-property"/>
    <w:p>
      <w:pPr>
        <w:pStyle w:val="Heading1"/>
      </w:pPr>
      <w:r>
        <w:t xml:space="preserve">DOMDocument.ServerHTTPRequest Property</w:t>
      </w:r>
    </w:p>
    <w:p>
      <w:pPr>
        <w:pStyle w:val="FirstParagraph"/>
      </w:pPr>
      <w:r>
        <w:t xml:space="preserve">Gets or sets whether HTTP requests issued by the document use the server HTTP stack.</w:t>
      </w:r>
    </w:p>
    <w:bookmarkStart w:id="6610" w:name="access-28"/>
    <w:p>
      <w:pPr>
        <w:pStyle w:val="Heading2"/>
      </w:pPr>
      <w:r>
        <w:t xml:space="preserve">Access</w:t>
      </w:r>
    </w:p>
    <w:p>
      <w:pPr>
        <w:pStyle w:val="FirstParagraph"/>
      </w:pPr>
      <w:r>
        <w:t xml:space="preserve">Read/Write.</w:t>
      </w:r>
    </w:p>
    <w:bookmarkEnd w:id="6610"/>
    <w:bookmarkStart w:id="6611" w:name="type-16"/>
    <w:p>
      <w:pPr>
        <w:pStyle w:val="Heading2"/>
      </w:pPr>
      <w:r>
        <w:t xml:space="preserve">Type</w:t>
      </w:r>
    </w:p>
    <w:p>
      <w:pPr>
        <w:pStyle w:val="FirstParagraph"/>
      </w:pPr>
      <w:r>
        <w:t xml:space="preserve">Boolean.</w:t>
      </w:r>
    </w:p>
    <w:bookmarkEnd w:id="6611"/>
    <w:bookmarkStart w:id="6612" w:name="default-2"/>
    <w:p>
      <w:pPr>
        <w:pStyle w:val="Heading2"/>
      </w:pPr>
      <w:r>
        <w:t xml:space="preserve">Default</w:t>
      </w:r>
    </w:p>
    <w:p>
      <w:pPr>
        <w:pStyle w:val="FirstParagraph"/>
      </w:pPr>
      <w:r>
        <w:t xml:space="preserve">False.</w:t>
      </w:r>
    </w:p>
    <w:bookmarkEnd w:id="6612"/>
    <w:bookmarkStart w:id="6613" w:name="remarks-765"/>
    <w:p>
      <w:pPr>
        <w:pStyle w:val="Heading2"/>
      </w:pPr>
      <w:r>
        <w:t xml:space="preserve">Remarks</w:t>
      </w:r>
    </w:p>
    <w:p>
      <w:pPr>
        <w:pStyle w:val="Compact"/>
        <w:numPr>
          <w:ilvl w:val="0"/>
          <w:numId w:val="2593"/>
        </w:numPr>
      </w:pPr>
      <w:r>
        <w:t xml:space="preserve">This property controls the HTTP client stack used when</w:t>
      </w:r>
      <w:r>
        <w:t xml:space="preserve"> </w:t>
      </w:r>
      <w:r>
        <w:rPr>
          <w:rStyle w:val="VerbatimChar"/>
        </w:rPr>
        <w:t xml:space="preserve">Load</w:t>
      </w:r>
      <w:r>
        <w:t xml:space="preserve"> </w:t>
      </w:r>
      <w:r>
        <w:t xml:space="preserve">fetches content from an HTTP or HTTPS URL.</w:t>
      </w:r>
    </w:p>
    <w:p>
      <w:pPr>
        <w:pStyle w:val="Compact"/>
        <w:numPr>
          <w:ilvl w:val="0"/>
          <w:numId w:val="2593"/>
        </w:numPr>
      </w:pPr>
      <w:r>
        <w:t xml:space="preserve">Accepted for compatibility; the current implementation uses the same HTTP client regardless of this setting.</w:t>
      </w:r>
    </w:p>
    <w:bookmarkEnd w:id="6613"/>
    <w:bookmarkStart w:id="6614" w:name="code-example-57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oXML.ServerHTTPRequest = </w:t>
      </w:r>
      <w:r>
        <w:rPr>
          <w:rStyle w:val="KeywordTok"/>
        </w:rPr>
        <w:t xml:space="preserve">True</w:t>
      </w:r>
      <w:r>
        <w:br/>
      </w:r>
      <w:r>
        <w:rPr>
          <w:rStyle w:val="NormalTok"/>
        </w:rPr>
        <w:t xml:space="preserve">oXML.Load </w:t>
      </w:r>
      <w:r>
        <w:rPr>
          <w:rStyle w:val="StringTok"/>
        </w:rPr>
        <w:t xml:space="preserve">"https://example.com/data.xml"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14"/>
    <w:bookmarkEnd w:id="6615"/>
    <w:bookmarkStart w:id="6621" w:name="domdocument.resolveexternals-property"/>
    <w:p>
      <w:pPr>
        <w:pStyle w:val="Heading1"/>
      </w:pPr>
      <w:r>
        <w:t xml:space="preserve">DOMDocument.ResolveExternals Property</w:t>
      </w:r>
    </w:p>
    <w:p>
      <w:pPr>
        <w:pStyle w:val="FirstParagraph"/>
      </w:pPr>
      <w:r>
        <w:t xml:space="preserve">Gets or sets whether external entities and document type definitions are resolved during parsing.</w:t>
      </w:r>
    </w:p>
    <w:bookmarkStart w:id="6616" w:name="access-29"/>
    <w:p>
      <w:pPr>
        <w:pStyle w:val="Heading2"/>
      </w:pPr>
      <w:r>
        <w:t xml:space="preserve">Access</w:t>
      </w:r>
    </w:p>
    <w:p>
      <w:pPr>
        <w:pStyle w:val="FirstParagraph"/>
      </w:pPr>
      <w:r>
        <w:t xml:space="preserve">Read/Write.</w:t>
      </w:r>
    </w:p>
    <w:bookmarkEnd w:id="6616"/>
    <w:bookmarkStart w:id="6617" w:name="type-17"/>
    <w:p>
      <w:pPr>
        <w:pStyle w:val="Heading2"/>
      </w:pPr>
      <w:r>
        <w:t xml:space="preserve">Type</w:t>
      </w:r>
    </w:p>
    <w:p>
      <w:pPr>
        <w:pStyle w:val="FirstParagraph"/>
      </w:pPr>
      <w:r>
        <w:t xml:space="preserve">Boolean.</w:t>
      </w:r>
    </w:p>
    <w:bookmarkEnd w:id="6617"/>
    <w:bookmarkStart w:id="6618" w:name="default-3"/>
    <w:p>
      <w:pPr>
        <w:pStyle w:val="Heading2"/>
      </w:pPr>
      <w:r>
        <w:t xml:space="preserve">Default</w:t>
      </w:r>
    </w:p>
    <w:p>
      <w:pPr>
        <w:pStyle w:val="FirstParagraph"/>
      </w:pPr>
      <w:r>
        <w:t xml:space="preserve">False.</w:t>
      </w:r>
    </w:p>
    <w:bookmarkEnd w:id="6618"/>
    <w:bookmarkStart w:id="6619" w:name="remarks-766"/>
    <w:p>
      <w:pPr>
        <w:pStyle w:val="Heading2"/>
      </w:pPr>
      <w:r>
        <w:t xml:space="preserve">Remarks</w:t>
      </w:r>
    </w:p>
    <w:p>
      <w:pPr>
        <w:pStyle w:val="Compact"/>
        <w:numPr>
          <w:ilvl w:val="0"/>
          <w:numId w:val="2594"/>
        </w:numPr>
      </w:pPr>
      <w:r>
        <w:t xml:space="preserve">Accepted for compatibility with existing code. Set this property before calling</w:t>
      </w:r>
      <w:r>
        <w:t xml:space="preserve"> </w:t>
      </w:r>
      <w:r>
        <w:rPr>
          <w:rStyle w:val="VerbatimChar"/>
        </w:rPr>
        <w:t xml:space="preserve">Load</w:t>
      </w:r>
      <w:r>
        <w:t xml:space="preserve"> </w:t>
      </w:r>
      <w:r>
        <w:t xml:space="preserve">or</w:t>
      </w:r>
      <w:r>
        <w:t xml:space="preserve"> </w:t>
      </w:r>
      <w:r>
        <w:rPr>
          <w:rStyle w:val="VerbatimChar"/>
        </w:rPr>
        <w:t xml:space="preserve">LoadXML</w:t>
      </w:r>
      <w:r>
        <w:t xml:space="preserve">.</w:t>
      </w:r>
    </w:p>
    <w:bookmarkEnd w:id="6619"/>
    <w:bookmarkStart w:id="6620" w:name="code-example-57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oXML.ResolveExternals = </w:t>
      </w:r>
      <w:r>
        <w:rPr>
          <w:rStyle w:val="KeywordTok"/>
        </w:rPr>
        <w:t xml:space="preserve">False</w:t>
      </w:r>
      <w:r>
        <w:br/>
      </w:r>
      <w:r>
        <w:rPr>
          <w:rStyle w:val="NormalTok"/>
        </w:rPr>
        <w:t xml:space="preserve">oXML.LoadXML </w:t>
      </w:r>
      <w:r>
        <w:rPr>
          <w:rStyle w:val="StringTok"/>
        </w:rPr>
        <w:t xml:space="preserve">"&lt;root/&gt;"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20"/>
    <w:bookmarkEnd w:id="6621"/>
    <w:bookmarkStart w:id="6627" w:name="domdocument.validateonparse-property"/>
    <w:p>
      <w:pPr>
        <w:pStyle w:val="Heading1"/>
      </w:pPr>
      <w:r>
        <w:t xml:space="preserve">DOMDocument.ValidateOnParse Property</w:t>
      </w:r>
    </w:p>
    <w:p>
      <w:pPr>
        <w:pStyle w:val="FirstParagraph"/>
      </w:pPr>
      <w:r>
        <w:t xml:space="preserve">Gets or sets whether the document is validated against its DTD or schema during parsing.</w:t>
      </w:r>
    </w:p>
    <w:bookmarkStart w:id="6622" w:name="access-30"/>
    <w:p>
      <w:pPr>
        <w:pStyle w:val="Heading2"/>
      </w:pPr>
      <w:r>
        <w:t xml:space="preserve">Access</w:t>
      </w:r>
    </w:p>
    <w:p>
      <w:pPr>
        <w:pStyle w:val="FirstParagraph"/>
      </w:pPr>
      <w:r>
        <w:t xml:space="preserve">Read/Write.</w:t>
      </w:r>
    </w:p>
    <w:bookmarkEnd w:id="6622"/>
    <w:bookmarkStart w:id="6623" w:name="type-18"/>
    <w:p>
      <w:pPr>
        <w:pStyle w:val="Heading2"/>
      </w:pPr>
      <w:r>
        <w:t xml:space="preserve">Type</w:t>
      </w:r>
    </w:p>
    <w:p>
      <w:pPr>
        <w:pStyle w:val="FirstParagraph"/>
      </w:pPr>
      <w:r>
        <w:t xml:space="preserve">Boolean.</w:t>
      </w:r>
    </w:p>
    <w:bookmarkEnd w:id="6623"/>
    <w:bookmarkStart w:id="6624" w:name="default-4"/>
    <w:p>
      <w:pPr>
        <w:pStyle w:val="Heading2"/>
      </w:pPr>
      <w:r>
        <w:t xml:space="preserve">Default</w:t>
      </w:r>
    </w:p>
    <w:p>
      <w:pPr>
        <w:pStyle w:val="FirstParagraph"/>
      </w:pPr>
      <w:r>
        <w:t xml:space="preserve">False.</w:t>
      </w:r>
    </w:p>
    <w:bookmarkEnd w:id="6624"/>
    <w:bookmarkStart w:id="6625" w:name="remarks-767"/>
    <w:p>
      <w:pPr>
        <w:pStyle w:val="Heading2"/>
      </w:pPr>
      <w:r>
        <w:t xml:space="preserve">Remarks</w:t>
      </w:r>
    </w:p>
    <w:p>
      <w:pPr>
        <w:pStyle w:val="Compact"/>
        <w:numPr>
          <w:ilvl w:val="0"/>
          <w:numId w:val="2595"/>
        </w:numPr>
      </w:pPr>
      <w:r>
        <w:t xml:space="preserve">Accepted for compatibility with existing code. Set this property before calling</w:t>
      </w:r>
      <w:r>
        <w:t xml:space="preserve"> </w:t>
      </w:r>
      <w:r>
        <w:rPr>
          <w:rStyle w:val="VerbatimChar"/>
        </w:rPr>
        <w:t xml:space="preserve">Load</w:t>
      </w:r>
      <w:r>
        <w:t xml:space="preserve"> </w:t>
      </w:r>
      <w:r>
        <w:t xml:space="preserve">or</w:t>
      </w:r>
      <w:r>
        <w:t xml:space="preserve"> </w:t>
      </w:r>
      <w:r>
        <w:rPr>
          <w:rStyle w:val="VerbatimChar"/>
        </w:rPr>
        <w:t xml:space="preserve">LoadXML</w:t>
      </w:r>
      <w:r>
        <w:t xml:space="preserve">.</w:t>
      </w:r>
    </w:p>
    <w:bookmarkEnd w:id="6625"/>
    <w:bookmarkStart w:id="6626" w:name="code-example-57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oXML.ValidateOnParse = </w:t>
      </w:r>
      <w:r>
        <w:rPr>
          <w:rStyle w:val="KeywordTok"/>
        </w:rPr>
        <w:t xml:space="preserve">False</w:t>
      </w:r>
      <w:r>
        <w:br/>
      </w:r>
      <w:r>
        <w:rPr>
          <w:rStyle w:val="NormalTok"/>
        </w:rPr>
        <w:t xml:space="preserve">oXML.LoadXML </w:t>
      </w:r>
      <w:r>
        <w:rPr>
          <w:rStyle w:val="StringTok"/>
        </w:rPr>
        <w:t xml:space="preserve">"&lt;root/&gt;"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26"/>
    <w:bookmarkEnd w:id="6627"/>
    <w:bookmarkStart w:id="6633" w:name="domdocument.preservewhitespace-property"/>
    <w:p>
      <w:pPr>
        <w:pStyle w:val="Heading1"/>
      </w:pPr>
      <w:r>
        <w:t xml:space="preserve">DOMDocument.PreserveWhiteSpace Property</w:t>
      </w:r>
    </w:p>
    <w:p>
      <w:pPr>
        <w:pStyle w:val="FirstParagraph"/>
      </w:pPr>
      <w:r>
        <w:t xml:space="preserve">Gets or sets whether insignificant whitespace text nodes are preserved in the document tree.</w:t>
      </w:r>
    </w:p>
    <w:bookmarkStart w:id="6628" w:name="access-31"/>
    <w:p>
      <w:pPr>
        <w:pStyle w:val="Heading2"/>
      </w:pPr>
      <w:r>
        <w:t xml:space="preserve">Access</w:t>
      </w:r>
    </w:p>
    <w:p>
      <w:pPr>
        <w:pStyle w:val="FirstParagraph"/>
      </w:pPr>
      <w:r>
        <w:t xml:space="preserve">Read/Write.</w:t>
      </w:r>
    </w:p>
    <w:bookmarkEnd w:id="6628"/>
    <w:bookmarkStart w:id="6629" w:name="type-19"/>
    <w:p>
      <w:pPr>
        <w:pStyle w:val="Heading2"/>
      </w:pPr>
      <w:r>
        <w:t xml:space="preserve">Type</w:t>
      </w:r>
    </w:p>
    <w:p>
      <w:pPr>
        <w:pStyle w:val="FirstParagraph"/>
      </w:pPr>
      <w:r>
        <w:t xml:space="preserve">Boolean.</w:t>
      </w:r>
    </w:p>
    <w:bookmarkEnd w:id="6629"/>
    <w:bookmarkStart w:id="6630" w:name="default-5"/>
    <w:p>
      <w:pPr>
        <w:pStyle w:val="Heading2"/>
      </w:pPr>
      <w:r>
        <w:t xml:space="preserve">Default</w:t>
      </w:r>
    </w:p>
    <w:p>
      <w:pPr>
        <w:pStyle w:val="FirstParagraph"/>
      </w:pPr>
      <w:r>
        <w:t xml:space="preserve">False.</w:t>
      </w:r>
    </w:p>
    <w:bookmarkEnd w:id="6630"/>
    <w:bookmarkStart w:id="6631" w:name="remarks-768"/>
    <w:p>
      <w:pPr>
        <w:pStyle w:val="Heading2"/>
      </w:pPr>
      <w:r>
        <w:t xml:space="preserve">Remarks</w:t>
      </w:r>
    </w:p>
    <w:p>
      <w:pPr>
        <w:pStyle w:val="Compact"/>
        <w:numPr>
          <w:ilvl w:val="0"/>
          <w:numId w:val="2596"/>
        </w:numPr>
      </w:pPr>
      <w:r>
        <w:t xml:space="preserve">When False, whitespace-only text nodes between elements are discarded during parsing.</w:t>
      </w:r>
    </w:p>
    <w:p>
      <w:pPr>
        <w:pStyle w:val="Compact"/>
        <w:numPr>
          <w:ilvl w:val="0"/>
          <w:numId w:val="2596"/>
        </w:numPr>
      </w:pPr>
      <w:r>
        <w:t xml:space="preserve">Set this property before calling</w:t>
      </w:r>
      <w:r>
        <w:t xml:space="preserve"> </w:t>
      </w:r>
      <w:r>
        <w:rPr>
          <w:rStyle w:val="VerbatimChar"/>
        </w:rPr>
        <w:t xml:space="preserve">Load</w:t>
      </w:r>
      <w:r>
        <w:t xml:space="preserve"> </w:t>
      </w:r>
      <w:r>
        <w:t xml:space="preserve">or</w:t>
      </w:r>
      <w:r>
        <w:t xml:space="preserve"> </w:t>
      </w:r>
      <w:r>
        <w:rPr>
          <w:rStyle w:val="VerbatimChar"/>
        </w:rPr>
        <w:t xml:space="preserve">LoadXML</w:t>
      </w:r>
      <w:r>
        <w:t xml:space="preserve">.</w:t>
      </w:r>
    </w:p>
    <w:bookmarkEnd w:id="6631"/>
    <w:bookmarkStart w:id="6632" w:name="code-example-57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oXML.PreserveWhiteSpace = </w:t>
      </w:r>
      <w:r>
        <w:rPr>
          <w:rStyle w:val="KeywordTok"/>
        </w:rPr>
        <w:t xml:space="preserve">False</w:t>
      </w:r>
      <w:r>
        <w:br/>
      </w:r>
      <w:r>
        <w:rPr>
          <w:rStyle w:val="NormalTok"/>
        </w:rPr>
        <w:t xml:space="preserve">oXML.LoadXML </w:t>
      </w:r>
      <w:r>
        <w:rPr>
          <w:rStyle w:val="StringTok"/>
        </w:rPr>
        <w:t xml:space="preserve">"&lt;root&gt;  &lt;item&gt;A&lt;/item&gt;  &lt;/root&gt;"</w:t>
      </w:r>
      <w:r>
        <w:br/>
      </w:r>
      <w:r>
        <w:rPr>
          <w:rStyle w:val="FunctionTok"/>
        </w:rPr>
        <w:t xml:space="preserve">Response</w:t>
      </w:r>
      <w:r>
        <w:rPr>
          <w:rStyle w:val="NormalTok"/>
        </w:rPr>
        <w:t xml:space="preserve">.</w:t>
      </w:r>
      <w:r>
        <w:rPr>
          <w:rStyle w:val="FunctionTok"/>
        </w:rPr>
        <w:t xml:space="preserve">Write</w:t>
      </w:r>
      <w:r>
        <w:rPr>
          <w:rStyle w:val="NormalTok"/>
        </w:rPr>
        <w:t xml:space="preserve"> oXML.DocumentElement.ChildNodes.Length</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32"/>
    <w:bookmarkEnd w:id="6633"/>
    <w:bookmarkStart w:id="6639" w:name="domdocument.selectionlanguage-property"/>
    <w:p>
      <w:pPr>
        <w:pStyle w:val="Heading1"/>
      </w:pPr>
      <w:r>
        <w:t xml:space="preserve">DOMDocument.SelectionLanguage Property</w:t>
      </w:r>
    </w:p>
    <w:p>
      <w:pPr>
        <w:pStyle w:val="FirstParagraph"/>
      </w:pPr>
      <w:r>
        <w:t xml:space="preserve">Gets or sets the query language used by</w:t>
      </w:r>
      <w:r>
        <w:t xml:space="preserve"> </w:t>
      </w:r>
      <w:r>
        <w:rPr>
          <w:rStyle w:val="VerbatimChar"/>
        </w:rPr>
        <w:t xml:space="preserve">SelectSingleNode</w:t>
      </w:r>
      <w:r>
        <w:t xml:space="preserve"> </w:t>
      </w:r>
      <w:r>
        <w:t xml:space="preserve">and</w:t>
      </w:r>
      <w:r>
        <w:t xml:space="preserve"> </w:t>
      </w:r>
      <w:r>
        <w:rPr>
          <w:rStyle w:val="VerbatimChar"/>
        </w:rPr>
        <w:t xml:space="preserve">SelectNodes</w:t>
      </w:r>
      <w:r>
        <w:t xml:space="preserve">.</w:t>
      </w:r>
    </w:p>
    <w:bookmarkStart w:id="6634" w:name="access-32"/>
    <w:p>
      <w:pPr>
        <w:pStyle w:val="Heading2"/>
      </w:pPr>
      <w:r>
        <w:t xml:space="preserve">Access</w:t>
      </w:r>
    </w:p>
    <w:p>
      <w:pPr>
        <w:pStyle w:val="FirstParagraph"/>
      </w:pPr>
      <w:r>
        <w:t xml:space="preserve">Read/Write.</w:t>
      </w:r>
    </w:p>
    <w:bookmarkEnd w:id="6634"/>
    <w:bookmarkStart w:id="6635" w:name="type-20"/>
    <w:p>
      <w:pPr>
        <w:pStyle w:val="Heading2"/>
      </w:pPr>
      <w:r>
        <w:t xml:space="preserve">Type</w:t>
      </w:r>
    </w:p>
    <w:p>
      <w:pPr>
        <w:pStyle w:val="FirstParagraph"/>
      </w:pPr>
      <w:r>
        <w:t xml:space="preserve">String.</w:t>
      </w:r>
    </w:p>
    <w:bookmarkEnd w:id="6635"/>
    <w:bookmarkStart w:id="6636" w:name="default-6"/>
    <w:p>
      <w:pPr>
        <w:pStyle w:val="Heading2"/>
      </w:pPr>
      <w:r>
        <w:t xml:space="preserve">Default</w:t>
      </w:r>
    </w:p>
    <w:p>
      <w:pPr>
        <w:pStyle w:val="FirstParagraph"/>
      </w:pPr>
      <w:r>
        <w:rPr>
          <w:rStyle w:val="VerbatimChar"/>
        </w:rPr>
        <w:t xml:space="preserve">"XPath"</w:t>
      </w:r>
    </w:p>
    <w:bookmarkEnd w:id="6636"/>
    <w:bookmarkStart w:id="6637" w:name="remarks-769"/>
    <w:p>
      <w:pPr>
        <w:pStyle w:val="Heading2"/>
      </w:pPr>
      <w:r>
        <w:t xml:space="preserve">Remarks</w:t>
      </w:r>
    </w:p>
    <w:p>
      <w:pPr>
        <w:pStyle w:val="Compact"/>
        <w:numPr>
          <w:ilvl w:val="0"/>
          <w:numId w:val="2597"/>
        </w:numPr>
      </w:pPr>
      <w:r>
        <w:t xml:space="preserve">The only currently supported value is</w:t>
      </w:r>
      <w:r>
        <w:t xml:space="preserve"> </w:t>
      </w:r>
      <w:r>
        <w:rPr>
          <w:rStyle w:val="VerbatimChar"/>
        </w:rPr>
        <w:t xml:space="preserve">XPath</w:t>
      </w:r>
      <w:r>
        <w:t xml:space="preserve">.</w:t>
      </w:r>
    </w:p>
    <w:p>
      <w:pPr>
        <w:pStyle w:val="Compact"/>
        <w:numPr>
          <w:ilvl w:val="0"/>
          <w:numId w:val="2597"/>
        </w:numPr>
      </w:pPr>
      <w:r>
        <w:t xml:space="preserve">Setting this property is equivalent to calling</w:t>
      </w:r>
      <w:r>
        <w:t xml:space="preserve"> </w:t>
      </w:r>
      <w:r>
        <w:rPr>
          <w:rStyle w:val="VerbatimChar"/>
        </w:rPr>
        <w:t xml:space="preserve">SetProperty "SelectionLanguage", value</w:t>
      </w:r>
      <w:r>
        <w:t xml:space="preserve">.</w:t>
      </w:r>
    </w:p>
    <w:bookmarkEnd w:id="6637"/>
    <w:bookmarkStart w:id="6638" w:name="code-example-57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oXML.SelectionLanguage = </w:t>
      </w:r>
      <w:r>
        <w:rPr>
          <w:rStyle w:val="StringTok"/>
        </w:rPr>
        <w:t xml:space="preserve">"XPath"</w:t>
      </w:r>
      <w:r>
        <w:br/>
      </w:r>
      <w:r>
        <w:rPr>
          <w:rStyle w:val="NormalTok"/>
        </w:rPr>
        <w:t xml:space="preserve">oXML.LoadXML </w:t>
      </w:r>
      <w:r>
        <w:rPr>
          <w:rStyle w:val="StringTok"/>
        </w:rPr>
        <w:t xml:space="preserve">"&lt;root&gt;&lt;item&gt;A&lt;/item&gt;&lt;/root&gt;"</w:t>
      </w:r>
      <w:r>
        <w:br/>
      </w:r>
      <w:r>
        <w:rPr>
          <w:rStyle w:val="FunctionTok"/>
        </w:rPr>
        <w:t xml:space="preserve">Response</w:t>
      </w:r>
      <w:r>
        <w:rPr>
          <w:rStyle w:val="NormalTok"/>
        </w:rPr>
        <w:t xml:space="preserve">.</w:t>
      </w:r>
      <w:r>
        <w:rPr>
          <w:rStyle w:val="FunctionTok"/>
        </w:rPr>
        <w:t xml:space="preserve">Write</w:t>
      </w:r>
      <w:r>
        <w:rPr>
          <w:rStyle w:val="NormalTok"/>
        </w:rPr>
        <w:t xml:space="preserve"> oXML.SelectSingleNode</w:t>
      </w:r>
      <w:r>
        <w:rPr>
          <w:rStyle w:val="OtherTok"/>
        </w:rPr>
        <w:t xml:space="preserve">(</w:t>
      </w:r>
      <w:r>
        <w:rPr>
          <w:rStyle w:val="StringTok"/>
        </w:rPr>
        <w:t xml:space="preserve">"//item"</w:t>
      </w:r>
      <w:r>
        <w:rPr>
          <w:rStyle w:val="OtherTok"/>
        </w:rPr>
        <w:t xml:space="preserve">)</w:t>
      </w:r>
      <w:r>
        <w:rPr>
          <w:rStyle w:val="NormalTok"/>
        </w:rPr>
        <w:t xml:space="preserve">.Text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38"/>
    <w:bookmarkEnd w:id="6639"/>
    <w:bookmarkStart w:id="6644" w:name="domdocument.selectionnamespaces-property"/>
    <w:p>
      <w:pPr>
        <w:pStyle w:val="Heading1"/>
      </w:pPr>
      <w:r>
        <w:t xml:space="preserve">DOMDocument.SelectionNamespaces Property</w:t>
      </w:r>
    </w:p>
    <w:p>
      <w:pPr>
        <w:pStyle w:val="FirstParagraph"/>
      </w:pPr>
      <w:r>
        <w:t xml:space="preserve">Gets or sets the namespace prefix bindings used during XPath queries.</w:t>
      </w:r>
    </w:p>
    <w:bookmarkStart w:id="6640" w:name="access-33"/>
    <w:p>
      <w:pPr>
        <w:pStyle w:val="Heading2"/>
      </w:pPr>
      <w:r>
        <w:t xml:space="preserve">Access</w:t>
      </w:r>
    </w:p>
    <w:p>
      <w:pPr>
        <w:pStyle w:val="FirstParagraph"/>
      </w:pPr>
      <w:r>
        <w:t xml:space="preserve">Read/Write.</w:t>
      </w:r>
    </w:p>
    <w:bookmarkEnd w:id="6640"/>
    <w:bookmarkStart w:id="6641" w:name="type-21"/>
    <w:p>
      <w:pPr>
        <w:pStyle w:val="Heading2"/>
      </w:pPr>
      <w:r>
        <w:t xml:space="preserve">Type</w:t>
      </w:r>
    </w:p>
    <w:p>
      <w:pPr>
        <w:pStyle w:val="FirstParagraph"/>
      </w:pPr>
      <w:r>
        <w:t xml:space="preserve">String.</w:t>
      </w:r>
    </w:p>
    <w:bookmarkEnd w:id="6641"/>
    <w:bookmarkStart w:id="6642" w:name="remarks-770"/>
    <w:p>
      <w:pPr>
        <w:pStyle w:val="Heading2"/>
      </w:pPr>
      <w:r>
        <w:t xml:space="preserve">Remarks</w:t>
      </w:r>
    </w:p>
    <w:p>
      <w:pPr>
        <w:pStyle w:val="Compact"/>
        <w:numPr>
          <w:ilvl w:val="0"/>
          <w:numId w:val="2598"/>
        </w:numPr>
      </w:pPr>
      <w:r>
        <w:t xml:space="preserve">The value is a space-separated list of namespace declarations in the format</w:t>
      </w:r>
      <w:r>
        <w:t xml:space="preserve"> </w:t>
      </w:r>
      <w:r>
        <w:rPr>
          <w:rStyle w:val="VerbatimChar"/>
        </w:rPr>
        <w:t xml:space="preserve">xmlns:prefix='uri'</w:t>
      </w:r>
      <w:r>
        <w:t xml:space="preserve">.</w:t>
      </w:r>
    </w:p>
    <w:p>
      <w:pPr>
        <w:pStyle w:val="Compact"/>
        <w:numPr>
          <w:ilvl w:val="0"/>
          <w:numId w:val="2598"/>
        </w:numPr>
      </w:pPr>
      <w:r>
        <w:t xml:space="preserve">Setting this property is equivalent to calling</w:t>
      </w:r>
      <w:r>
        <w:t xml:space="preserve"> </w:t>
      </w:r>
      <w:r>
        <w:rPr>
          <w:rStyle w:val="VerbatimChar"/>
        </w:rPr>
        <w:t xml:space="preserve">SetProperty "SelectionNamespaces", value</w:t>
      </w:r>
      <w:r>
        <w:t xml:space="preserve">.</w:t>
      </w:r>
    </w:p>
    <w:p>
      <w:pPr>
        <w:pStyle w:val="Compact"/>
        <w:numPr>
          <w:ilvl w:val="0"/>
          <w:numId w:val="2598"/>
        </w:numPr>
      </w:pPr>
      <w:r>
        <w:t xml:space="preserve">Must be set before calling</w:t>
      </w:r>
      <w:r>
        <w:t xml:space="preserve"> </w:t>
      </w:r>
      <w:r>
        <w:rPr>
          <w:rStyle w:val="VerbatimChar"/>
        </w:rPr>
        <w:t xml:space="preserve">SelectSingleNode</w:t>
      </w:r>
      <w:r>
        <w:t xml:space="preserve"> </w:t>
      </w:r>
      <w:r>
        <w:t xml:space="preserve">or</w:t>
      </w:r>
      <w:r>
        <w:t xml:space="preserve"> </w:t>
      </w:r>
      <w:r>
        <w:rPr>
          <w:rStyle w:val="VerbatimChar"/>
        </w:rPr>
        <w:t xml:space="preserve">SelectNodes</w:t>
      </w:r>
      <w:r>
        <w:t xml:space="preserve"> </w:t>
      </w:r>
      <w:r>
        <w:t xml:space="preserve">on namespace-qualified documents.</w:t>
      </w:r>
    </w:p>
    <w:bookmarkEnd w:id="6642"/>
    <w:bookmarkStart w:id="6643" w:name="code-example-57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"&lt;ns:catalog xmlns:ns='urn:example'&gt;&lt;ns:item&gt;Widget&lt;/ns:item&gt;&lt;/ns:catalog&gt;"</w:t>
      </w:r>
      <w:r>
        <w:br/>
      </w:r>
      <w:r>
        <w:rPr>
          <w:rStyle w:val="NormalTok"/>
        </w:rPr>
        <w:t xml:space="preserve">oXML.SelectionNamespaces = </w:t>
      </w:r>
      <w:r>
        <w:rPr>
          <w:rStyle w:val="StringTok"/>
        </w:rPr>
        <w:t xml:space="preserve">"xmlns:ns='urn:example'"</w:t>
      </w:r>
      <w:r>
        <w:br/>
      </w:r>
      <w:r>
        <w:rPr>
          <w:rStyle w:val="KeywordTok"/>
        </w:rPr>
        <w:t xml:space="preserve">Set</w:t>
      </w:r>
      <w:r>
        <w:rPr>
          <w:rStyle w:val="NormalTok"/>
        </w:rPr>
        <w:t xml:space="preserve"> oNode = oXML.SelectSingleNode</w:t>
      </w:r>
      <w:r>
        <w:rPr>
          <w:rStyle w:val="OtherTok"/>
        </w:rPr>
        <w:t xml:space="preserve">(</w:t>
      </w:r>
      <w:r>
        <w:rPr>
          <w:rStyle w:val="StringTok"/>
        </w:rPr>
        <w:t xml:space="preserve">"//ns:item"</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oNode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oNode.Text</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43"/>
    <w:bookmarkEnd w:id="6644"/>
    <w:bookmarkStart w:id="6649" w:name="xmlnodelist.length-property"/>
    <w:p>
      <w:pPr>
        <w:pStyle w:val="Heading1"/>
      </w:pPr>
      <w:r>
        <w:t xml:space="preserve">XMLNodeList.Length Property</w:t>
      </w:r>
    </w:p>
    <w:p>
      <w:pPr>
        <w:pStyle w:val="FirstParagraph"/>
      </w:pPr>
      <w:r>
        <w:t xml:space="preserve">Returns the number of nodes in the list.</w:t>
      </w:r>
    </w:p>
    <w:bookmarkStart w:id="6645" w:name="access-34"/>
    <w:p>
      <w:pPr>
        <w:pStyle w:val="Heading2"/>
      </w:pPr>
      <w:r>
        <w:t xml:space="preserve">Access</w:t>
      </w:r>
    </w:p>
    <w:p>
      <w:pPr>
        <w:pStyle w:val="FirstParagraph"/>
      </w:pPr>
      <w:r>
        <w:t xml:space="preserve">Read-only.</w:t>
      </w:r>
    </w:p>
    <w:bookmarkEnd w:id="6645"/>
    <w:bookmarkStart w:id="6646" w:name="type-22"/>
    <w:p>
      <w:pPr>
        <w:pStyle w:val="Heading2"/>
      </w:pPr>
      <w:r>
        <w:t xml:space="preserve">Type</w:t>
      </w:r>
    </w:p>
    <w:p>
      <w:pPr>
        <w:pStyle w:val="FirstParagraph"/>
      </w:pPr>
      <w:r>
        <w:t xml:space="preserve">Integer.</w:t>
      </w:r>
    </w:p>
    <w:bookmarkEnd w:id="6646"/>
    <w:bookmarkStart w:id="6647" w:name="remarks-771"/>
    <w:p>
      <w:pPr>
        <w:pStyle w:val="Heading2"/>
      </w:pPr>
      <w:r>
        <w:t xml:space="preserve">Remarks</w:t>
      </w:r>
    </w:p>
    <w:p>
      <w:pPr>
        <w:pStyle w:val="Compact"/>
        <w:numPr>
          <w:ilvl w:val="0"/>
          <w:numId w:val="2599"/>
        </w:numPr>
      </w:pPr>
      <w:r>
        <w:t xml:space="preserve">Use this property to iterate the list with</w:t>
      </w:r>
      <w:r>
        <w:t xml:space="preserve"> </w:t>
      </w:r>
      <w:r>
        <w:rPr>
          <w:rStyle w:val="VerbatimChar"/>
        </w:rPr>
        <w:t xml:space="preserve">Item(0)</w:t>
      </w:r>
      <w:r>
        <w:t xml:space="preserve"> </w:t>
      </w:r>
      <w:r>
        <w:t xml:space="preserve">through</w:t>
      </w:r>
      <w:r>
        <w:t xml:space="preserve"> </w:t>
      </w:r>
      <w:r>
        <w:rPr>
          <w:rStyle w:val="VerbatimChar"/>
        </w:rPr>
        <w:t xml:space="preserve">Item(Length - 1)</w:t>
      </w:r>
      <w:r>
        <w:t xml:space="preserve">.</w:t>
      </w:r>
    </w:p>
    <w:p>
      <w:pPr>
        <w:pStyle w:val="Compact"/>
        <w:numPr>
          <w:ilvl w:val="0"/>
          <w:numId w:val="2599"/>
        </w:numPr>
      </w:pPr>
      <w:r>
        <w:t xml:space="preserve">Returns 0 for an empty list.</w:t>
      </w:r>
    </w:p>
    <w:bookmarkEnd w:id="6647"/>
    <w:bookmarkStart w:id="6648" w:name="code-example-57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oList</w:t>
      </w:r>
      <w:r>
        <w:rPr>
          <w:rStyle w:val="OtherTok"/>
        </w:rPr>
        <w:t xml:space="preserve">,</w:t>
      </w:r>
      <w:r>
        <w:rPr>
          <w:rStyle w:val="NormalTok"/>
        </w:rPr>
        <w:t xml:space="preserve"> i</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"&lt;r&gt;&lt;a/&gt;&lt;b/&gt;&lt;c/&gt;&lt;/r&gt;"</w:t>
      </w:r>
      <w:r>
        <w:br/>
      </w:r>
      <w:r>
        <w:rPr>
          <w:rStyle w:val="KeywordTok"/>
        </w:rPr>
        <w:t xml:space="preserve">Set</w:t>
      </w:r>
      <w:r>
        <w:rPr>
          <w:rStyle w:val="NormalTok"/>
        </w:rPr>
        <w:t xml:space="preserve"> oList = oXML.DocumentElement.ChildNodes</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oList.Length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oList.</w:t>
      </w:r>
      <w:r>
        <w:rPr>
          <w:rStyle w:val="FunctionTok"/>
        </w:rPr>
        <w:t xml:space="preserve">Item</w:t>
      </w:r>
      <w:r>
        <w:rPr>
          <w:rStyle w:val="OtherTok"/>
        </w:rPr>
        <w:t xml:space="preserve">(</w:t>
      </w:r>
      <w:r>
        <w:rPr>
          <w:rStyle w:val="NormalTok"/>
        </w:rPr>
        <w:t xml:space="preserve">i</w:t>
      </w:r>
      <w:r>
        <w:rPr>
          <w:rStyle w:val="OtherTok"/>
        </w:rPr>
        <w:t xml:space="preserve">)</w:t>
      </w:r>
      <w:r>
        <w:rPr>
          <w:rStyle w:val="NormalTok"/>
        </w:rPr>
        <w:t xml:space="preserve">.NodeName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48"/>
    <w:bookmarkEnd w:id="6649"/>
    <w:bookmarkStart w:id="6654" w:name="xmlnodelist.count-property"/>
    <w:p>
      <w:pPr>
        <w:pStyle w:val="Heading1"/>
      </w:pPr>
      <w:r>
        <w:t xml:space="preserve">XMLNodeList.Count Property</w:t>
      </w:r>
    </w:p>
    <w:p>
      <w:pPr>
        <w:pStyle w:val="FirstParagraph"/>
      </w:pPr>
      <w:r>
        <w:t xml:space="preserve">Returns the number of nodes in the list. This is an alias for</w:t>
      </w:r>
      <w:r>
        <w:t xml:space="preserve"> </w:t>
      </w:r>
      <w:r>
        <w:rPr>
          <w:rStyle w:val="VerbatimChar"/>
        </w:rPr>
        <w:t xml:space="preserve">Length</w:t>
      </w:r>
      <w:r>
        <w:t xml:space="preserve">.</w:t>
      </w:r>
    </w:p>
    <w:bookmarkStart w:id="6650" w:name="access-35"/>
    <w:p>
      <w:pPr>
        <w:pStyle w:val="Heading2"/>
      </w:pPr>
      <w:r>
        <w:t xml:space="preserve">Access</w:t>
      </w:r>
    </w:p>
    <w:p>
      <w:pPr>
        <w:pStyle w:val="FirstParagraph"/>
      </w:pPr>
      <w:r>
        <w:t xml:space="preserve">Read-only.</w:t>
      </w:r>
    </w:p>
    <w:bookmarkEnd w:id="6650"/>
    <w:bookmarkStart w:id="6651" w:name="type-23"/>
    <w:p>
      <w:pPr>
        <w:pStyle w:val="Heading2"/>
      </w:pPr>
      <w:r>
        <w:t xml:space="preserve">Type</w:t>
      </w:r>
    </w:p>
    <w:p>
      <w:pPr>
        <w:pStyle w:val="FirstParagraph"/>
      </w:pPr>
      <w:r>
        <w:t xml:space="preserve">Integer.</w:t>
      </w:r>
    </w:p>
    <w:bookmarkEnd w:id="6651"/>
    <w:bookmarkStart w:id="6652" w:name="remarks-772"/>
    <w:p>
      <w:pPr>
        <w:pStyle w:val="Heading2"/>
      </w:pPr>
      <w:r>
        <w:t xml:space="preserve">Remarks</w:t>
      </w:r>
    </w:p>
    <w:p>
      <w:pPr>
        <w:pStyle w:val="Compact"/>
        <w:numPr>
          <w:ilvl w:val="0"/>
          <w:numId w:val="2600"/>
        </w:numPr>
      </w:pPr>
      <w:r>
        <w:t xml:space="preserve">Identical in behaviour to</w:t>
      </w:r>
      <w:r>
        <w:t xml:space="preserve"> </w:t>
      </w:r>
      <w:r>
        <w:rPr>
          <w:rStyle w:val="VerbatimChar"/>
        </w:rPr>
        <w:t xml:space="preserve">Length</w:t>
      </w:r>
      <w:r>
        <w:t xml:space="preserve">. Either property can be used interchangeably.</w:t>
      </w:r>
    </w:p>
    <w:p>
      <w:pPr>
        <w:pStyle w:val="Compact"/>
        <w:numPr>
          <w:ilvl w:val="0"/>
          <w:numId w:val="2600"/>
        </w:numPr>
      </w:pPr>
      <w:r>
        <w:t xml:space="preserve">Returns 0 for an empty list.</w:t>
      </w:r>
    </w:p>
    <w:bookmarkEnd w:id="6652"/>
    <w:bookmarkStart w:id="6653" w:name="code-example-57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oList</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"&lt;r&gt;&lt;a/&gt;&lt;b/&gt;&lt;/r&gt;"</w:t>
      </w:r>
      <w:r>
        <w:br/>
      </w:r>
      <w:r>
        <w:rPr>
          <w:rStyle w:val="KeywordTok"/>
        </w:rPr>
        <w:t xml:space="preserve">Set</w:t>
      </w:r>
      <w:r>
        <w:rPr>
          <w:rStyle w:val="NormalTok"/>
        </w:rPr>
        <w:t xml:space="preserve"> oList = oXML.DocumentElement.ChildNodes</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"Count: "</w:t>
      </w:r>
      <w:r>
        <w:rPr>
          <w:rStyle w:val="NormalTok"/>
        </w:rPr>
        <w:t xml:space="preserve"> </w:t>
      </w:r>
      <w:r>
        <w:rPr>
          <w:rStyle w:val="KeywordTok"/>
        </w:rPr>
        <w:t xml:space="preserve">&amp;</w:t>
      </w:r>
      <w:r>
        <w:rPr>
          <w:rStyle w:val="NormalTok"/>
        </w:rPr>
        <w:t xml:space="preserve"> oList.Count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53"/>
    <w:bookmarkEnd w:id="6654"/>
    <w:bookmarkStart w:id="6659" w:name="parseerror.errorcode-property"/>
    <w:p>
      <w:pPr>
        <w:pStyle w:val="Heading1"/>
      </w:pPr>
      <w:r>
        <w:t xml:space="preserve">ParseError.ErrorCode Property</w:t>
      </w:r>
    </w:p>
    <w:p>
      <w:pPr>
        <w:pStyle w:val="FirstParagraph"/>
      </w:pPr>
      <w:r>
        <w:t xml:space="preserve">Returns the numeric error code from the last parse operation.</w:t>
      </w:r>
    </w:p>
    <w:bookmarkStart w:id="6655" w:name="access-36"/>
    <w:p>
      <w:pPr>
        <w:pStyle w:val="Heading2"/>
      </w:pPr>
      <w:r>
        <w:t xml:space="preserve">Access</w:t>
      </w:r>
    </w:p>
    <w:p>
      <w:pPr>
        <w:pStyle w:val="FirstParagraph"/>
      </w:pPr>
      <w:r>
        <w:t xml:space="preserve">Read-only.</w:t>
      </w:r>
    </w:p>
    <w:bookmarkEnd w:id="6655"/>
    <w:bookmarkStart w:id="6656" w:name="type-24"/>
    <w:p>
      <w:pPr>
        <w:pStyle w:val="Heading2"/>
      </w:pPr>
      <w:r>
        <w:t xml:space="preserve">Type</w:t>
      </w:r>
    </w:p>
    <w:p>
      <w:pPr>
        <w:pStyle w:val="FirstParagraph"/>
      </w:pPr>
      <w:r>
        <w:t xml:space="preserve">Integer.</w:t>
      </w:r>
    </w:p>
    <w:bookmarkEnd w:id="6656"/>
    <w:bookmarkStart w:id="6657" w:name="remarks-773"/>
    <w:p>
      <w:pPr>
        <w:pStyle w:val="Heading2"/>
      </w:pPr>
      <w:r>
        <w:t xml:space="preserve">Remarks</w:t>
      </w:r>
    </w:p>
    <w:p>
      <w:pPr>
        <w:pStyle w:val="Compact"/>
        <w:numPr>
          <w:ilvl w:val="0"/>
          <w:numId w:val="2601"/>
        </w:numPr>
      </w:pPr>
      <w:r>
        <w:t xml:space="preserve">A value of 0 indicates the document was parsed successfully.</w:t>
      </w:r>
    </w:p>
    <w:p>
      <w:pPr>
        <w:pStyle w:val="Compact"/>
        <w:numPr>
          <w:ilvl w:val="0"/>
          <w:numId w:val="2601"/>
        </w:numPr>
      </w:pPr>
      <w:r>
        <w:t xml:space="preserve">A negative value (typically -1) indicates a general parse or file-load failure.</w:t>
      </w:r>
    </w:p>
    <w:p>
      <w:pPr>
        <w:pStyle w:val="Compact"/>
        <w:numPr>
          <w:ilvl w:val="0"/>
          <w:numId w:val="2601"/>
        </w:numPr>
      </w:pPr>
      <w:r>
        <w:t xml:space="preserve">When</w:t>
      </w:r>
      <w:r>
        <w:t xml:space="preserve"> </w:t>
      </w:r>
      <w:r>
        <w:rPr>
          <w:rStyle w:val="VerbatimChar"/>
        </w:rPr>
        <w:t xml:space="preserve">DOMDocument.Load</w:t>
      </w:r>
      <w:r>
        <w:t xml:space="preserve"> </w:t>
      </w:r>
      <w:r>
        <w:t xml:space="preserve">fails due to an HTTP error, this property is set to the HTTP status code (e.g., 404, 500).</w:t>
      </w:r>
    </w:p>
    <w:p>
      <w:pPr>
        <w:pStyle w:val="Compact"/>
        <w:numPr>
          <w:ilvl w:val="0"/>
          <w:numId w:val="2601"/>
        </w:numPr>
      </w:pPr>
      <w:r>
        <w:t xml:space="preserve">Always check this property after</w:t>
      </w:r>
      <w:r>
        <w:t xml:space="preserve"> </w:t>
      </w:r>
      <w:r>
        <w:rPr>
          <w:rStyle w:val="VerbatimChar"/>
        </w:rPr>
        <w:t xml:space="preserve">LoadXML</w:t>
      </w:r>
      <w:r>
        <w:t xml:space="preserve"> </w:t>
      </w:r>
      <w:r>
        <w:t xml:space="preserve">or</w:t>
      </w:r>
      <w:r>
        <w:t xml:space="preserve"> </w:t>
      </w:r>
      <w:r>
        <w:rPr>
          <w:rStyle w:val="VerbatimChar"/>
        </w:rPr>
        <w:t xml:space="preserve">Load</w:t>
      </w:r>
      <w:r>
        <w:t xml:space="preserve"> </w:t>
      </w:r>
      <w:r>
        <w:t xml:space="preserve">returns False before accessing document content.</w:t>
      </w:r>
    </w:p>
    <w:bookmarkEnd w:id="6657"/>
    <w:bookmarkStart w:id="6658" w:name="code-example-57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oXML.LoadXML</w:t>
      </w:r>
      <w:r>
        <w:rPr>
          <w:rStyle w:val="OtherTok"/>
        </w:rPr>
        <w:t xml:space="preserve">(</w:t>
      </w:r>
      <w:r>
        <w:rPr>
          <w:rStyle w:val="StringTok"/>
        </w:rPr>
        <w:t xml:space="preserve">"&lt;bad&lt;xml"</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"Parse failed. ErrorCode: "</w:t>
      </w:r>
      <w:r>
        <w:rPr>
          <w:rStyle w:val="NormalTok"/>
        </w:rPr>
        <w:t xml:space="preserve"> </w:t>
      </w:r>
      <w:r>
        <w:rPr>
          <w:rStyle w:val="KeywordTok"/>
        </w:rPr>
        <w:t xml:space="preserve">&amp;</w:t>
      </w:r>
      <w:r>
        <w:rPr>
          <w:rStyle w:val="NormalTok"/>
        </w:rPr>
        <w:t xml:space="preserve"> oXML.ParseError.ErrorCode</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58"/>
    <w:bookmarkEnd w:id="6659"/>
    <w:bookmarkStart w:id="6664" w:name="parseerror.reason-property"/>
    <w:p>
      <w:pPr>
        <w:pStyle w:val="Heading1"/>
      </w:pPr>
      <w:r>
        <w:t xml:space="preserve">ParseError.Reason Property</w:t>
      </w:r>
    </w:p>
    <w:p>
      <w:pPr>
        <w:pStyle w:val="FirstParagraph"/>
      </w:pPr>
      <w:r>
        <w:t xml:space="preserve">Returns a human-readable description of the parse error.</w:t>
      </w:r>
    </w:p>
    <w:bookmarkStart w:id="6660" w:name="access-37"/>
    <w:p>
      <w:pPr>
        <w:pStyle w:val="Heading2"/>
      </w:pPr>
      <w:r>
        <w:t xml:space="preserve">Access</w:t>
      </w:r>
    </w:p>
    <w:p>
      <w:pPr>
        <w:pStyle w:val="FirstParagraph"/>
      </w:pPr>
      <w:r>
        <w:t xml:space="preserve">Read-only.</w:t>
      </w:r>
    </w:p>
    <w:bookmarkEnd w:id="6660"/>
    <w:bookmarkStart w:id="6661" w:name="type-25"/>
    <w:p>
      <w:pPr>
        <w:pStyle w:val="Heading2"/>
      </w:pPr>
      <w:r>
        <w:t xml:space="preserve">Type</w:t>
      </w:r>
    </w:p>
    <w:p>
      <w:pPr>
        <w:pStyle w:val="FirstParagraph"/>
      </w:pPr>
      <w:r>
        <w:t xml:space="preserve">String.</w:t>
      </w:r>
    </w:p>
    <w:bookmarkEnd w:id="6661"/>
    <w:bookmarkStart w:id="6662" w:name="remarks-774"/>
    <w:p>
      <w:pPr>
        <w:pStyle w:val="Heading2"/>
      </w:pPr>
      <w:r>
        <w:t xml:space="preserve">Remarks</w:t>
      </w:r>
    </w:p>
    <w:p>
      <w:pPr>
        <w:pStyle w:val="Compact"/>
        <w:numPr>
          <w:ilvl w:val="0"/>
          <w:numId w:val="2602"/>
        </w:numPr>
      </w:pPr>
      <w:r>
        <w:t xml:space="preserve">Returns an empty String when</w:t>
      </w:r>
      <w:r>
        <w:t xml:space="preserve"> </w:t>
      </w:r>
      <w:r>
        <w:rPr>
          <w:rStyle w:val="VerbatimChar"/>
        </w:rPr>
        <w:t xml:space="preserve">ErrorCode</w:t>
      </w:r>
      <w:r>
        <w:t xml:space="preserve"> </w:t>
      </w:r>
      <w:r>
        <w:t xml:space="preserve">is 0 (no error).</w:t>
      </w:r>
    </w:p>
    <w:p>
      <w:pPr>
        <w:pStyle w:val="Compact"/>
        <w:numPr>
          <w:ilvl w:val="0"/>
          <w:numId w:val="2602"/>
        </w:numPr>
      </w:pPr>
      <w:r>
        <w:t xml:space="preserve">For HTTP load failures, the reason string describes the network or server error.</w:t>
      </w:r>
    </w:p>
    <w:bookmarkEnd w:id="6662"/>
    <w:bookmarkStart w:id="6663" w:name="code-example-58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oXML.LoadXML</w:t>
      </w:r>
      <w:r>
        <w:rPr>
          <w:rStyle w:val="OtherTok"/>
        </w:rPr>
        <w:t xml:space="preserve">(</w:t>
      </w:r>
      <w:r>
        <w:rPr>
          <w:rStyle w:val="StringTok"/>
        </w:rPr>
        <w:t xml:space="preserve">"&lt;open"</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"Reason: "</w:t>
      </w:r>
      <w:r>
        <w:rPr>
          <w:rStyle w:val="NormalTok"/>
        </w:rPr>
        <w:t xml:space="preserve"> </w:t>
      </w:r>
      <w:r>
        <w:rPr>
          <w:rStyle w:val="KeywordTok"/>
        </w:rPr>
        <w:t xml:space="preserve">&amp;</w:t>
      </w:r>
      <w:r>
        <w:rPr>
          <w:rStyle w:val="NormalTok"/>
        </w:rPr>
        <w:t xml:space="preserve"> oXML.ParseError.Reason</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63"/>
    <w:bookmarkEnd w:id="6664"/>
    <w:bookmarkStart w:id="6669" w:name="parseerror.filepos-property"/>
    <w:p>
      <w:pPr>
        <w:pStyle w:val="Heading1"/>
      </w:pPr>
      <w:r>
        <w:t xml:space="preserve">ParseError.FilePos Property</w:t>
      </w:r>
    </w:p>
    <w:p>
      <w:pPr>
        <w:pStyle w:val="FirstParagraph"/>
      </w:pPr>
      <w:r>
        <w:t xml:space="preserve">Returns the byte offset in the source document where the parse error was detected.</w:t>
      </w:r>
    </w:p>
    <w:bookmarkStart w:id="6665" w:name="access-38"/>
    <w:p>
      <w:pPr>
        <w:pStyle w:val="Heading2"/>
      </w:pPr>
      <w:r>
        <w:t xml:space="preserve">Access</w:t>
      </w:r>
    </w:p>
    <w:p>
      <w:pPr>
        <w:pStyle w:val="FirstParagraph"/>
      </w:pPr>
      <w:r>
        <w:t xml:space="preserve">Read-only.</w:t>
      </w:r>
    </w:p>
    <w:bookmarkEnd w:id="6665"/>
    <w:bookmarkStart w:id="6666" w:name="type-26"/>
    <w:p>
      <w:pPr>
        <w:pStyle w:val="Heading2"/>
      </w:pPr>
      <w:r>
        <w:t xml:space="preserve">Type</w:t>
      </w:r>
    </w:p>
    <w:p>
      <w:pPr>
        <w:pStyle w:val="FirstParagraph"/>
      </w:pPr>
      <w:r>
        <w:t xml:space="preserve">Integer.</w:t>
      </w:r>
    </w:p>
    <w:bookmarkEnd w:id="6666"/>
    <w:bookmarkStart w:id="6667" w:name="remarks-775"/>
    <w:p>
      <w:pPr>
        <w:pStyle w:val="Heading2"/>
      </w:pPr>
      <w:r>
        <w:t xml:space="preserve">Remarks</w:t>
      </w:r>
    </w:p>
    <w:p>
      <w:pPr>
        <w:pStyle w:val="Compact"/>
        <w:numPr>
          <w:ilvl w:val="0"/>
          <w:numId w:val="2603"/>
        </w:numPr>
      </w:pPr>
      <w:r>
        <w:t xml:space="preserve">Returns 0 when there is no error or when the position cannot be determined.</w:t>
      </w:r>
    </w:p>
    <w:p>
      <w:pPr>
        <w:pStyle w:val="Compact"/>
        <w:numPr>
          <w:ilvl w:val="0"/>
          <w:numId w:val="2603"/>
        </w:numPr>
      </w:pPr>
      <w:r>
        <w:t xml:space="preserve">Use</w:t>
      </w:r>
      <w:r>
        <w:t xml:space="preserve"> </w:t>
      </w:r>
      <w:r>
        <w:rPr>
          <w:rStyle w:val="VerbatimChar"/>
        </w:rPr>
        <w:t xml:space="preserve">Line</w:t>
      </w:r>
      <w:r>
        <w:t xml:space="preserve"> </w:t>
      </w:r>
      <w:r>
        <w:t xml:space="preserve">and</w:t>
      </w:r>
      <w:r>
        <w:t xml:space="preserve"> </w:t>
      </w:r>
      <w:r>
        <w:rPr>
          <w:rStyle w:val="VerbatimChar"/>
        </w:rPr>
        <w:t xml:space="preserve">LinePos</w:t>
      </w:r>
      <w:r>
        <w:t xml:space="preserve"> </w:t>
      </w:r>
      <w:r>
        <w:t xml:space="preserve">for line-and-column positioning.</w:t>
      </w:r>
    </w:p>
    <w:bookmarkEnd w:id="6667"/>
    <w:bookmarkStart w:id="6668" w:name="code-example-58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oXML.LoadXML</w:t>
      </w:r>
      <w:r>
        <w:rPr>
          <w:rStyle w:val="OtherTok"/>
        </w:rPr>
        <w:t xml:space="preserve">(</w:t>
      </w:r>
      <w:r>
        <w:rPr>
          <w:rStyle w:val="StringTok"/>
        </w:rPr>
        <w:t xml:space="preserve">"&lt;a&gt;&lt;b&gt;&lt;/a&gt;"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at byte offset: "</w:t>
      </w:r>
      <w:r>
        <w:rPr>
          <w:rStyle w:val="NormalTok"/>
        </w:rPr>
        <w:t xml:space="preserve"> </w:t>
      </w:r>
      <w:r>
        <w:rPr>
          <w:rStyle w:val="KeywordTok"/>
        </w:rPr>
        <w:t xml:space="preserve">&amp;</w:t>
      </w:r>
      <w:r>
        <w:rPr>
          <w:rStyle w:val="NormalTok"/>
        </w:rPr>
        <w:t xml:space="preserve"> oXML.ParseError.FilePos</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68"/>
    <w:bookmarkEnd w:id="6669"/>
    <w:bookmarkStart w:id="6674" w:name="parseerror.line-property"/>
    <w:p>
      <w:pPr>
        <w:pStyle w:val="Heading1"/>
      </w:pPr>
      <w:r>
        <w:t xml:space="preserve">ParseError.Line Property</w:t>
      </w:r>
    </w:p>
    <w:p>
      <w:pPr>
        <w:pStyle w:val="FirstParagraph"/>
      </w:pPr>
      <w:r>
        <w:t xml:space="preserve">Returns the 1-based line number in the source document where the parse error was detected.</w:t>
      </w:r>
    </w:p>
    <w:bookmarkStart w:id="6670" w:name="access-39"/>
    <w:p>
      <w:pPr>
        <w:pStyle w:val="Heading2"/>
      </w:pPr>
      <w:r>
        <w:t xml:space="preserve">Access</w:t>
      </w:r>
    </w:p>
    <w:p>
      <w:pPr>
        <w:pStyle w:val="FirstParagraph"/>
      </w:pPr>
      <w:r>
        <w:t xml:space="preserve">Read-only.</w:t>
      </w:r>
    </w:p>
    <w:bookmarkEnd w:id="6670"/>
    <w:bookmarkStart w:id="6671" w:name="type-27"/>
    <w:p>
      <w:pPr>
        <w:pStyle w:val="Heading2"/>
      </w:pPr>
      <w:r>
        <w:t xml:space="preserve">Type</w:t>
      </w:r>
    </w:p>
    <w:p>
      <w:pPr>
        <w:pStyle w:val="FirstParagraph"/>
      </w:pPr>
      <w:r>
        <w:t xml:space="preserve">Integer.</w:t>
      </w:r>
    </w:p>
    <w:bookmarkEnd w:id="6671"/>
    <w:bookmarkStart w:id="6672" w:name="remarks-776"/>
    <w:p>
      <w:pPr>
        <w:pStyle w:val="Heading2"/>
      </w:pPr>
      <w:r>
        <w:t xml:space="preserve">Remarks</w:t>
      </w:r>
    </w:p>
    <w:p>
      <w:pPr>
        <w:pStyle w:val="Compact"/>
        <w:numPr>
          <w:ilvl w:val="0"/>
          <w:numId w:val="2604"/>
        </w:numPr>
      </w:pPr>
      <w:r>
        <w:t xml:space="preserve">Returns 0 when there is no error.</w:t>
      </w:r>
    </w:p>
    <w:p>
      <w:pPr>
        <w:pStyle w:val="Compact"/>
        <w:numPr>
          <w:ilvl w:val="0"/>
          <w:numId w:val="2604"/>
        </w:numPr>
      </w:pPr>
      <w:r>
        <w:t xml:space="preserve">Pair with</w:t>
      </w:r>
      <w:r>
        <w:t xml:space="preserve"> </w:t>
      </w:r>
      <w:r>
        <w:rPr>
          <w:rStyle w:val="VerbatimChar"/>
        </w:rPr>
        <w:t xml:space="preserve">LinePos</w:t>
      </w:r>
      <w:r>
        <w:t xml:space="preserve"> </w:t>
      </w:r>
      <w:r>
        <w:t xml:space="preserve">to identify the exact error location.</w:t>
      </w:r>
    </w:p>
    <w:bookmarkEnd w:id="6672"/>
    <w:bookmarkStart w:id="6673" w:name="code-example-58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oXML.LoadXML</w:t>
      </w:r>
      <w:r>
        <w:rPr>
          <w:rStyle w:val="OtherTok"/>
        </w:rPr>
        <w:t xml:space="preserve">(</w:t>
      </w:r>
      <w:r>
        <w:rPr>
          <w:rStyle w:val="StringTok"/>
        </w:rPr>
        <w:t xml:space="preserve">"&lt;root&gt;"</w:t>
      </w:r>
      <w:r>
        <w:rPr>
          <w:rStyle w:val="NormalTok"/>
        </w:rPr>
        <w:t xml:space="preserve"> </w:t>
      </w:r>
      <w:r>
        <w:rPr>
          <w:rStyle w:val="KeywordTok"/>
        </w:rPr>
        <w:t xml:space="preserve">&amp;</w:t>
      </w:r>
      <w:r>
        <w:rPr>
          <w:rStyle w:val="NormalTok"/>
        </w:rPr>
        <w:t xml:space="preserve"> </w:t>
      </w:r>
      <w:r>
        <w:rPr>
          <w:rStyle w:val="FunctionTok"/>
        </w:rPr>
        <w:t xml:space="preserve">Chr</w:t>
      </w:r>
      <w:r>
        <w:rPr>
          <w:rStyle w:val="OtherTok"/>
        </w:rPr>
        <w:t xml:space="preserve">(</w:t>
      </w:r>
      <w:r>
        <w:rPr>
          <w:rStyle w:val="DecValTok"/>
        </w:rPr>
        <w:t xml:space="preserve">10</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"&lt;bad attr"</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"Error on line: "</w:t>
      </w:r>
      <w:r>
        <w:rPr>
          <w:rStyle w:val="NormalTok"/>
        </w:rPr>
        <w:t xml:space="preserve"> </w:t>
      </w:r>
      <w:r>
        <w:rPr>
          <w:rStyle w:val="KeywordTok"/>
        </w:rPr>
        <w:t xml:space="preserve">&amp;</w:t>
      </w:r>
      <w:r>
        <w:rPr>
          <w:rStyle w:val="NormalTok"/>
        </w:rPr>
        <w:t xml:space="preserve"> oXML.ParseError.Line</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73"/>
    <w:bookmarkEnd w:id="6674"/>
    <w:bookmarkStart w:id="6679" w:name="parseerror.linepos-property"/>
    <w:p>
      <w:pPr>
        <w:pStyle w:val="Heading1"/>
      </w:pPr>
      <w:r>
        <w:t xml:space="preserve">ParseError.LinePos Property</w:t>
      </w:r>
    </w:p>
    <w:p>
      <w:pPr>
        <w:pStyle w:val="FirstParagraph"/>
      </w:pPr>
      <w:r>
        <w:t xml:space="preserve">Returns the 1-based column position within the error line where the parse error was detected.</w:t>
      </w:r>
    </w:p>
    <w:bookmarkStart w:id="6675" w:name="access-40"/>
    <w:p>
      <w:pPr>
        <w:pStyle w:val="Heading2"/>
      </w:pPr>
      <w:r>
        <w:t xml:space="preserve">Access</w:t>
      </w:r>
    </w:p>
    <w:p>
      <w:pPr>
        <w:pStyle w:val="FirstParagraph"/>
      </w:pPr>
      <w:r>
        <w:t xml:space="preserve">Read-only.</w:t>
      </w:r>
    </w:p>
    <w:bookmarkEnd w:id="6675"/>
    <w:bookmarkStart w:id="6676" w:name="type-28"/>
    <w:p>
      <w:pPr>
        <w:pStyle w:val="Heading2"/>
      </w:pPr>
      <w:r>
        <w:t xml:space="preserve">Type</w:t>
      </w:r>
    </w:p>
    <w:p>
      <w:pPr>
        <w:pStyle w:val="FirstParagraph"/>
      </w:pPr>
      <w:r>
        <w:t xml:space="preserve">Integer.</w:t>
      </w:r>
    </w:p>
    <w:bookmarkEnd w:id="6676"/>
    <w:bookmarkStart w:id="6677" w:name="remarks-777"/>
    <w:p>
      <w:pPr>
        <w:pStyle w:val="Heading2"/>
      </w:pPr>
      <w:r>
        <w:t xml:space="preserve">Remarks</w:t>
      </w:r>
    </w:p>
    <w:p>
      <w:pPr>
        <w:pStyle w:val="Compact"/>
        <w:numPr>
          <w:ilvl w:val="0"/>
          <w:numId w:val="2605"/>
        </w:numPr>
      </w:pPr>
      <w:r>
        <w:t xml:space="preserve">Returns 0 when there is no error.</w:t>
      </w:r>
    </w:p>
    <w:p>
      <w:pPr>
        <w:pStyle w:val="Compact"/>
        <w:numPr>
          <w:ilvl w:val="0"/>
          <w:numId w:val="2605"/>
        </w:numPr>
      </w:pPr>
      <w:r>
        <w:t xml:space="preserve">Pair with</w:t>
      </w:r>
      <w:r>
        <w:t xml:space="preserve"> </w:t>
      </w:r>
      <w:r>
        <w:rPr>
          <w:rStyle w:val="VerbatimChar"/>
        </w:rPr>
        <w:t xml:space="preserve">Line</w:t>
      </w:r>
      <w:r>
        <w:t xml:space="preserve"> </w:t>
      </w:r>
      <w:r>
        <w:t xml:space="preserve">for a precise error location.</w:t>
      </w:r>
    </w:p>
    <w:bookmarkEnd w:id="6677"/>
    <w:bookmarkStart w:id="6678" w:name="code-example-58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oXML.LoadXML</w:t>
      </w:r>
      <w:r>
        <w:rPr>
          <w:rStyle w:val="OtherTok"/>
        </w:rPr>
        <w:t xml:space="preserve">(</w:t>
      </w:r>
      <w:r>
        <w:rPr>
          <w:rStyle w:val="StringTok"/>
        </w:rPr>
        <w:t xml:space="preserve">"&lt;root&gt;&lt;bad"</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"Line "</w:t>
      </w:r>
      <w:r>
        <w:rPr>
          <w:rStyle w:val="NormalTok"/>
        </w:rPr>
        <w:t xml:space="preserve"> </w:t>
      </w:r>
      <w:r>
        <w:rPr>
          <w:rStyle w:val="KeywordTok"/>
        </w:rPr>
        <w:t xml:space="preserve">&amp;</w:t>
      </w:r>
      <w:r>
        <w:rPr>
          <w:rStyle w:val="NormalTok"/>
        </w:rPr>
        <w:t xml:space="preserve"> oXML.ParseError.Line </w:t>
      </w:r>
      <w:r>
        <w:rPr>
          <w:rStyle w:val="KeywordTok"/>
        </w:rPr>
        <w:t xml:space="preserve">&amp;</w:t>
      </w:r>
      <w:r>
        <w:rPr>
          <w:rStyle w:val="NormalTok"/>
        </w:rPr>
        <w:t xml:space="preserve"> </w:t>
      </w:r>
      <w:r>
        <w:rPr>
          <w:rStyle w:val="StringTok"/>
        </w:rPr>
        <w:t xml:space="preserve">", Col "</w:t>
      </w:r>
      <w:r>
        <w:rPr>
          <w:rStyle w:val="NormalTok"/>
        </w:rPr>
        <w:t xml:space="preserve"> </w:t>
      </w:r>
      <w:r>
        <w:rPr>
          <w:rStyle w:val="KeywordTok"/>
        </w:rPr>
        <w:t xml:space="preserve">&amp;</w:t>
      </w:r>
      <w:r>
        <w:rPr>
          <w:rStyle w:val="NormalTok"/>
        </w:rPr>
        <w:t xml:space="preserve"> oXML.ParseError.LinePos</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78"/>
    <w:bookmarkEnd w:id="6679"/>
    <w:bookmarkStart w:id="6684" w:name="parseerror.srctext-property"/>
    <w:p>
      <w:pPr>
        <w:pStyle w:val="Heading1"/>
      </w:pPr>
      <w:r>
        <w:t xml:space="preserve">ParseError.SrcText Property</w:t>
      </w:r>
    </w:p>
    <w:p>
      <w:pPr>
        <w:pStyle w:val="FirstParagraph"/>
      </w:pPr>
      <w:r>
        <w:t xml:space="preserve">Returns the source text that was being parsed when the error occurred.</w:t>
      </w:r>
    </w:p>
    <w:bookmarkStart w:id="6680" w:name="access-41"/>
    <w:p>
      <w:pPr>
        <w:pStyle w:val="Heading2"/>
      </w:pPr>
      <w:r>
        <w:t xml:space="preserve">Access</w:t>
      </w:r>
    </w:p>
    <w:p>
      <w:pPr>
        <w:pStyle w:val="FirstParagraph"/>
      </w:pPr>
      <w:r>
        <w:t xml:space="preserve">Read-only.</w:t>
      </w:r>
    </w:p>
    <w:bookmarkEnd w:id="6680"/>
    <w:bookmarkStart w:id="6681" w:name="type-29"/>
    <w:p>
      <w:pPr>
        <w:pStyle w:val="Heading2"/>
      </w:pPr>
      <w:r>
        <w:t xml:space="preserve">Type</w:t>
      </w:r>
    </w:p>
    <w:p>
      <w:pPr>
        <w:pStyle w:val="FirstParagraph"/>
      </w:pPr>
      <w:r>
        <w:t xml:space="preserve">String.</w:t>
      </w:r>
    </w:p>
    <w:bookmarkEnd w:id="6681"/>
    <w:bookmarkStart w:id="6682" w:name="remarks-778"/>
    <w:p>
      <w:pPr>
        <w:pStyle w:val="Heading2"/>
      </w:pPr>
      <w:r>
        <w:t xml:space="preserve">Remarks</w:t>
      </w:r>
    </w:p>
    <w:p>
      <w:pPr>
        <w:pStyle w:val="Compact"/>
        <w:numPr>
          <w:ilvl w:val="0"/>
          <w:numId w:val="2606"/>
        </w:numPr>
      </w:pPr>
      <w:r>
        <w:t xml:space="preserve">Contains the text fragment around the error position.</w:t>
      </w:r>
    </w:p>
    <w:p>
      <w:pPr>
        <w:pStyle w:val="Compact"/>
        <w:numPr>
          <w:ilvl w:val="0"/>
          <w:numId w:val="2606"/>
        </w:numPr>
      </w:pPr>
      <w:r>
        <w:t xml:space="preserve">Returns an empty String when there is no error.</w:t>
      </w:r>
    </w:p>
    <w:bookmarkEnd w:id="6682"/>
    <w:bookmarkStart w:id="6683" w:name="code-example-58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oXML.LoadXML</w:t>
      </w:r>
      <w:r>
        <w:rPr>
          <w:rStyle w:val="OtherTok"/>
        </w:rPr>
        <w:t xml:space="preserve">(</w:t>
      </w:r>
      <w:r>
        <w:rPr>
          <w:rStyle w:val="StringTok"/>
        </w:rPr>
        <w:t xml:space="preserve">"&lt;root&gt;&lt;item broken"</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"Near: "</w:t>
      </w:r>
      <w:r>
        <w:rPr>
          <w:rStyle w:val="NormalTok"/>
        </w:rPr>
        <w:t xml:space="preserve"> </w:t>
      </w:r>
      <w:r>
        <w:rPr>
          <w:rStyle w:val="KeywordTok"/>
        </w:rPr>
        <w:t xml:space="preserve">&amp;</w:t>
      </w:r>
      <w:r>
        <w:rPr>
          <w:rStyle w:val="NormalTok"/>
        </w:rPr>
        <w:t xml:space="preserve"> oXML.ParseError.SrcText</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83"/>
    <w:bookmarkEnd w:id="6684"/>
    <w:bookmarkStart w:id="6689" w:name="parseerror.url-property"/>
    <w:p>
      <w:pPr>
        <w:pStyle w:val="Heading1"/>
      </w:pPr>
      <w:r>
        <w:t xml:space="preserve">ParseError.URL Property</w:t>
      </w:r>
    </w:p>
    <w:p>
      <w:pPr>
        <w:pStyle w:val="FirstParagraph"/>
      </w:pPr>
      <w:r>
        <w:t xml:space="preserve">Returns the URL or file path that was being loaded when the error occurred.</w:t>
      </w:r>
    </w:p>
    <w:bookmarkStart w:id="6685" w:name="access-42"/>
    <w:p>
      <w:pPr>
        <w:pStyle w:val="Heading2"/>
      </w:pPr>
      <w:r>
        <w:t xml:space="preserve">Access</w:t>
      </w:r>
    </w:p>
    <w:p>
      <w:pPr>
        <w:pStyle w:val="FirstParagraph"/>
      </w:pPr>
      <w:r>
        <w:t xml:space="preserve">Read-only.</w:t>
      </w:r>
    </w:p>
    <w:bookmarkEnd w:id="6685"/>
    <w:bookmarkStart w:id="6686" w:name="type-30"/>
    <w:p>
      <w:pPr>
        <w:pStyle w:val="Heading2"/>
      </w:pPr>
      <w:r>
        <w:t xml:space="preserve">Type</w:t>
      </w:r>
    </w:p>
    <w:p>
      <w:pPr>
        <w:pStyle w:val="FirstParagraph"/>
      </w:pPr>
      <w:r>
        <w:t xml:space="preserve">String.</w:t>
      </w:r>
    </w:p>
    <w:bookmarkEnd w:id="6686"/>
    <w:bookmarkStart w:id="6687" w:name="remarks-779"/>
    <w:p>
      <w:pPr>
        <w:pStyle w:val="Heading2"/>
      </w:pPr>
      <w:r>
        <w:t xml:space="preserve">Remarks</w:t>
      </w:r>
    </w:p>
    <w:p>
      <w:pPr>
        <w:pStyle w:val="Compact"/>
        <w:numPr>
          <w:ilvl w:val="0"/>
          <w:numId w:val="2607"/>
        </w:numPr>
      </w:pPr>
      <w:r>
        <w:t xml:space="preserve">Populated when</w:t>
      </w:r>
      <w:r>
        <w:t xml:space="preserve"> </w:t>
      </w:r>
      <w:r>
        <w:rPr>
          <w:rStyle w:val="VerbatimChar"/>
        </w:rPr>
        <w:t xml:space="preserve">Load</w:t>
      </w:r>
      <w:r>
        <w:t xml:space="preserve"> </w:t>
      </w:r>
      <w:r>
        <w:t xml:space="preserve">fails, and contains the URL or resolved file path that was requested.</w:t>
      </w:r>
    </w:p>
    <w:p>
      <w:pPr>
        <w:pStyle w:val="Compact"/>
        <w:numPr>
          <w:ilvl w:val="0"/>
          <w:numId w:val="2607"/>
        </w:numPr>
      </w:pPr>
      <w:r>
        <w:t xml:space="preserve">Returns an empty String when the document was loaded via</w:t>
      </w:r>
      <w:r>
        <w:t xml:space="preserve"> </w:t>
      </w:r>
      <w:r>
        <w:rPr>
          <w:rStyle w:val="VerbatimChar"/>
        </w:rPr>
        <w:t xml:space="preserve">LoadXML</w:t>
      </w:r>
      <w:r>
        <w:t xml:space="preserve"> </w:t>
      </w:r>
      <w:r>
        <w:t xml:space="preserve">or when there is no error.</w:t>
      </w:r>
    </w:p>
    <w:bookmarkEnd w:id="6687"/>
    <w:bookmarkStart w:id="6688" w:name="code-example-58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oXML.Load</w:t>
      </w:r>
      <w:r>
        <w:rPr>
          <w:rStyle w:val="OtherTok"/>
        </w:rPr>
        <w:t xml:space="preserve">(</w:t>
      </w:r>
      <w:r>
        <w:rPr>
          <w:rStyle w:val="StringTok"/>
        </w:rPr>
        <w:t xml:space="preserve">"https://example.com/missing.xml"</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"Failed to load: "</w:t>
      </w:r>
      <w:r>
        <w:rPr>
          <w:rStyle w:val="NormalTok"/>
        </w:rPr>
        <w:t xml:space="preserve"> </w:t>
      </w:r>
      <w:r>
        <w:rPr>
          <w:rStyle w:val="KeywordTok"/>
        </w:rPr>
        <w:t xml:space="preserve">&amp;</w:t>
      </w:r>
      <w:r>
        <w:rPr>
          <w:rStyle w:val="NormalTok"/>
        </w:rPr>
        <w:t xml:space="preserve"> oXML.ParseError.URL</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 ("</w:t>
      </w:r>
      <w:r>
        <w:rPr>
          <w:rStyle w:val="NormalTok"/>
        </w:rPr>
        <w:t xml:space="preserve"> </w:t>
      </w:r>
      <w:r>
        <w:rPr>
          <w:rStyle w:val="KeywordTok"/>
        </w:rPr>
        <w:t xml:space="preserve">&amp;</w:t>
      </w:r>
      <w:r>
        <w:rPr>
          <w:rStyle w:val="NormalTok"/>
        </w:rPr>
        <w:t xml:space="preserve"> oXML.ParseError.Reason </w:t>
      </w:r>
      <w:r>
        <w:rPr>
          <w:rStyle w:val="KeywordTok"/>
        </w:rPr>
        <w:t xml:space="preserve">&amp;</w:t>
      </w:r>
      <w:r>
        <w:rPr>
          <w:rStyle w:val="NormalTok"/>
        </w:rPr>
        <w:t xml:space="preserve"> </w:t>
      </w:r>
      <w:r>
        <w:rPr>
          <w:rStyle w:val="StringTok"/>
        </w:rPr>
        <w:t xml:space="preserve">")"</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88"/>
    <w:bookmarkEnd w:id="6689"/>
    <w:bookmarkStart w:id="6694" w:name="xmlelement.nodename-property"/>
    <w:p>
      <w:pPr>
        <w:pStyle w:val="Heading1"/>
      </w:pPr>
      <w:r>
        <w:t xml:space="preserve">XMLElement.NodeName Property</w:t>
      </w:r>
    </w:p>
    <w:p>
      <w:pPr>
        <w:pStyle w:val="FirstParagraph"/>
      </w:pPr>
      <w:r>
        <w:t xml:space="preserve">Returns the tag name of the element node.</w:t>
      </w:r>
    </w:p>
    <w:bookmarkStart w:id="6690" w:name="access-43"/>
    <w:p>
      <w:pPr>
        <w:pStyle w:val="Heading2"/>
      </w:pPr>
      <w:r>
        <w:t xml:space="preserve">Access</w:t>
      </w:r>
    </w:p>
    <w:p>
      <w:pPr>
        <w:pStyle w:val="FirstParagraph"/>
      </w:pPr>
      <w:r>
        <w:t xml:space="preserve">Read-only.</w:t>
      </w:r>
    </w:p>
    <w:bookmarkEnd w:id="6690"/>
    <w:bookmarkStart w:id="6691" w:name="type-31"/>
    <w:p>
      <w:pPr>
        <w:pStyle w:val="Heading2"/>
      </w:pPr>
      <w:r>
        <w:t xml:space="preserve">Type</w:t>
      </w:r>
    </w:p>
    <w:p>
      <w:pPr>
        <w:pStyle w:val="FirstParagraph"/>
      </w:pPr>
      <w:r>
        <w:t xml:space="preserve">String.</w:t>
      </w:r>
    </w:p>
    <w:bookmarkEnd w:id="6691"/>
    <w:bookmarkStart w:id="6692" w:name="remarks-780"/>
    <w:p>
      <w:pPr>
        <w:pStyle w:val="Heading2"/>
      </w:pPr>
      <w:r>
        <w:t xml:space="preserve">Remarks</w:t>
      </w:r>
    </w:p>
    <w:p>
      <w:pPr>
        <w:pStyle w:val="Compact"/>
        <w:numPr>
          <w:ilvl w:val="0"/>
          <w:numId w:val="2608"/>
        </w:numPr>
      </w:pPr>
      <w:r>
        <w:t xml:space="preserve">For element nodes, this is the XML tag name (e.g.,</w:t>
      </w:r>
      <w:r>
        <w:t xml:space="preserve"> </w:t>
      </w:r>
      <w:r>
        <w:rPr>
          <w:rStyle w:val="VerbatimChar"/>
        </w:rPr>
        <w:t xml:space="preserve">"product"</w:t>
      </w:r>
      <w:r>
        <w:t xml:space="preserve">,</w:t>
      </w:r>
      <w:r>
        <w:t xml:space="preserve"> </w:t>
      </w:r>
      <w:r>
        <w:rPr>
          <w:rStyle w:val="VerbatimChar"/>
        </w:rPr>
        <w:t xml:space="preserve">"item"</w:t>
      </w:r>
      <w:r>
        <w:t xml:space="preserve">).</w:t>
      </w:r>
    </w:p>
    <w:p>
      <w:pPr>
        <w:pStyle w:val="Compact"/>
        <w:numPr>
          <w:ilvl w:val="0"/>
          <w:numId w:val="2608"/>
        </w:numPr>
      </w:pPr>
      <w:r>
        <w:t xml:space="preserve">For text nodes created with</w:t>
      </w:r>
      <w:r>
        <w:t xml:space="preserve"> </w:t>
      </w:r>
      <w:r>
        <w:rPr>
          <w:rStyle w:val="VerbatimChar"/>
        </w:rPr>
        <w:t xml:space="preserve">CreateTextNode</w:t>
      </w:r>
      <w:r>
        <w:t xml:space="preserve">, the value is</w:t>
      </w:r>
      <w:r>
        <w:t xml:space="preserve"> </w:t>
      </w:r>
      <w:r>
        <w:rPr>
          <w:rStyle w:val="VerbatimChar"/>
        </w:rPr>
        <w:t xml:space="preserve">"#text"</w:t>
      </w:r>
      <w:r>
        <w:t xml:space="preserve">.</w:t>
      </w:r>
    </w:p>
    <w:p>
      <w:pPr>
        <w:pStyle w:val="Compact"/>
        <w:numPr>
          <w:ilvl w:val="0"/>
          <w:numId w:val="2608"/>
        </w:numPr>
      </w:pPr>
      <w:r>
        <w:t xml:space="preserve">For attribute nodes created with</w:t>
      </w:r>
      <w:r>
        <w:t xml:space="preserve"> </w:t>
      </w:r>
      <w:r>
        <w:rPr>
          <w:rStyle w:val="VerbatimChar"/>
        </w:rPr>
        <w:t xml:space="preserve">CreateAttribute</w:t>
      </w:r>
      <w:r>
        <w:t xml:space="preserve">, the value is the attribute name.</w:t>
      </w:r>
    </w:p>
    <w:bookmarkEnd w:id="6692"/>
    <w:bookmarkStart w:id="6693" w:name="code-example-58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"&lt;catalog&gt;&lt;item&gt;Widget&lt;/item&gt;&lt;/catalog&gt;"</w:t>
      </w:r>
      <w:r>
        <w:br/>
      </w:r>
      <w:r>
        <w:rPr>
          <w:rStyle w:val="KeywordTok"/>
        </w:rPr>
        <w:t xml:space="preserve">Set</w:t>
      </w:r>
      <w:r>
        <w:rPr>
          <w:rStyle w:val="NormalTok"/>
        </w:rPr>
        <w:t xml:space="preserve"> oNode = oXML.SelectSingleNode</w:t>
      </w:r>
      <w:r>
        <w:rPr>
          <w:rStyle w:val="OtherTok"/>
        </w:rPr>
        <w:t xml:space="preserve">(</w:t>
      </w:r>
      <w:r>
        <w:rPr>
          <w:rStyle w:val="StringTok"/>
        </w:rPr>
        <w:t xml:space="preserve">"//item"</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oNode.NodeName</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93"/>
    <w:bookmarkEnd w:id="6694"/>
    <w:bookmarkStart w:id="6699" w:name="xmlelement.nodevalue-property"/>
    <w:p>
      <w:pPr>
        <w:pStyle w:val="Heading1"/>
      </w:pPr>
      <w:r>
        <w:t xml:space="preserve">XMLElement.NodeValue Property</w:t>
      </w:r>
    </w:p>
    <w:p>
      <w:pPr>
        <w:pStyle w:val="FirstParagraph"/>
      </w:pPr>
      <w:r>
        <w:t xml:space="preserve">Gets or sets the value of the node.</w:t>
      </w:r>
    </w:p>
    <w:bookmarkStart w:id="6695" w:name="access-44"/>
    <w:p>
      <w:pPr>
        <w:pStyle w:val="Heading2"/>
      </w:pPr>
      <w:r>
        <w:t xml:space="preserve">Access</w:t>
      </w:r>
    </w:p>
    <w:p>
      <w:pPr>
        <w:pStyle w:val="FirstParagraph"/>
      </w:pPr>
      <w:r>
        <w:t xml:space="preserve">Read/Write.</w:t>
      </w:r>
    </w:p>
    <w:bookmarkEnd w:id="6695"/>
    <w:bookmarkStart w:id="6696" w:name="type-32"/>
    <w:p>
      <w:pPr>
        <w:pStyle w:val="Heading2"/>
      </w:pPr>
      <w:r>
        <w:t xml:space="preserve">Type</w:t>
      </w:r>
    </w:p>
    <w:p>
      <w:pPr>
        <w:pStyle w:val="FirstParagraph"/>
      </w:pPr>
      <w:r>
        <w:t xml:space="preserve">String.</w:t>
      </w:r>
    </w:p>
    <w:bookmarkEnd w:id="6696"/>
    <w:bookmarkStart w:id="6697" w:name="remarks-781"/>
    <w:p>
      <w:pPr>
        <w:pStyle w:val="Heading2"/>
      </w:pPr>
      <w:r>
        <w:t xml:space="preserve">Remarks</w:t>
      </w:r>
    </w:p>
    <w:p>
      <w:pPr>
        <w:pStyle w:val="Compact"/>
        <w:numPr>
          <w:ilvl w:val="0"/>
          <w:numId w:val="2609"/>
        </w:numPr>
      </w:pPr>
      <w:r>
        <w:t xml:space="preserve">For text nodes (</w:t>
      </w:r>
      <w:r>
        <w:rPr>
          <w:rStyle w:val="VerbatimChar"/>
        </w:rPr>
        <w:t xml:space="preserve">NodeName = "#text"</w:t>
      </w:r>
      <w:r>
        <w:t xml:space="preserve">), this property holds the text content.</w:t>
      </w:r>
    </w:p>
    <w:p>
      <w:pPr>
        <w:pStyle w:val="Compact"/>
        <w:numPr>
          <w:ilvl w:val="0"/>
          <w:numId w:val="2609"/>
        </w:numPr>
      </w:pPr>
      <w:r>
        <w:t xml:space="preserve">For attribute nodes, this holds the attribute value.</w:t>
      </w:r>
    </w:p>
    <w:p>
      <w:pPr>
        <w:pStyle w:val="Compact"/>
        <w:numPr>
          <w:ilvl w:val="0"/>
          <w:numId w:val="2609"/>
        </w:numPr>
      </w:pPr>
      <w:r>
        <w:t xml:space="preserve">For element nodes, this property is typically empty; use the</w:t>
      </w:r>
      <w:r>
        <w:t xml:space="preserve"> </w:t>
      </w:r>
      <w:r>
        <w:rPr>
          <w:rStyle w:val="VerbatimChar"/>
        </w:rPr>
        <w:t xml:space="preserve">Text</w:t>
      </w:r>
      <w:r>
        <w:t xml:space="preserve"> </w:t>
      </w:r>
      <w:r>
        <w:t xml:space="preserve">property to get concatenated text content.</w:t>
      </w:r>
    </w:p>
    <w:p>
      <w:pPr>
        <w:pStyle w:val="Compact"/>
        <w:numPr>
          <w:ilvl w:val="0"/>
          <w:numId w:val="2609"/>
        </w:numPr>
      </w:pPr>
      <w:r>
        <w:t xml:space="preserve">Setting</w:t>
      </w:r>
      <w:r>
        <w:t xml:space="preserve"> </w:t>
      </w:r>
      <w:r>
        <w:rPr>
          <w:rStyle w:val="VerbatimChar"/>
        </w:rPr>
        <w:t xml:space="preserve">NodeValue</w:t>
      </w:r>
      <w:r>
        <w:t xml:space="preserve"> </w:t>
      </w:r>
      <w:r>
        <w:t xml:space="preserve">replaces the node’s current value.</w:t>
      </w:r>
    </w:p>
    <w:bookmarkEnd w:id="6697"/>
    <w:bookmarkStart w:id="6698" w:name="code-example-587"/>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"&lt;msg&gt;Hello&lt;/msg&gt;"</w:t>
      </w:r>
      <w:r>
        <w:br/>
      </w:r>
      <w:r>
        <w:rPr>
          <w:rStyle w:val="KeywordTok"/>
        </w:rPr>
        <w:t xml:space="preserve">Set</w:t>
      </w:r>
      <w:r>
        <w:rPr>
          <w:rStyle w:val="NormalTok"/>
        </w:rPr>
        <w:t xml:space="preserve"> oNode = oXML.DocumentElement.FirstChild</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"NodeValue: "</w:t>
      </w:r>
      <w:r>
        <w:rPr>
          <w:rStyle w:val="NormalTok"/>
        </w:rPr>
        <w:t xml:space="preserve"> </w:t>
      </w:r>
      <w:r>
        <w:rPr>
          <w:rStyle w:val="KeywordTok"/>
        </w:rPr>
        <w:t xml:space="preserve">&amp;</w:t>
      </w:r>
      <w:r>
        <w:rPr>
          <w:rStyle w:val="NormalTok"/>
        </w:rPr>
        <w:t xml:space="preserve"> oNode.NodeValue</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698"/>
    <w:bookmarkEnd w:id="6699"/>
    <w:bookmarkStart w:id="6704" w:name="xmlelement.text-property"/>
    <w:p>
      <w:pPr>
        <w:pStyle w:val="Heading1"/>
      </w:pPr>
      <w:r>
        <w:t xml:space="preserve">XMLElement.Text Property</w:t>
      </w:r>
    </w:p>
    <w:p>
      <w:pPr>
        <w:pStyle w:val="FirstParagraph"/>
      </w:pPr>
      <w:r>
        <w:t xml:space="preserve">Gets or sets the concatenated text content of the element and all its descendants.</w:t>
      </w:r>
    </w:p>
    <w:bookmarkStart w:id="6700" w:name="access-45"/>
    <w:p>
      <w:pPr>
        <w:pStyle w:val="Heading2"/>
      </w:pPr>
      <w:r>
        <w:t xml:space="preserve">Access</w:t>
      </w:r>
    </w:p>
    <w:p>
      <w:pPr>
        <w:pStyle w:val="FirstParagraph"/>
      </w:pPr>
      <w:r>
        <w:t xml:space="preserve">Read/Write.</w:t>
      </w:r>
    </w:p>
    <w:bookmarkEnd w:id="6700"/>
    <w:bookmarkStart w:id="6701" w:name="type-33"/>
    <w:p>
      <w:pPr>
        <w:pStyle w:val="Heading2"/>
      </w:pPr>
      <w:r>
        <w:t xml:space="preserve">Type</w:t>
      </w:r>
    </w:p>
    <w:p>
      <w:pPr>
        <w:pStyle w:val="FirstParagraph"/>
      </w:pPr>
      <w:r>
        <w:t xml:space="preserve">String.</w:t>
      </w:r>
    </w:p>
    <w:bookmarkEnd w:id="6701"/>
    <w:bookmarkStart w:id="6702" w:name="remarks-782"/>
    <w:p>
      <w:pPr>
        <w:pStyle w:val="Heading2"/>
      </w:pPr>
      <w:r>
        <w:t xml:space="preserve">Remarks</w:t>
      </w:r>
    </w:p>
    <w:p>
      <w:pPr>
        <w:pStyle w:val="Compact"/>
        <w:numPr>
          <w:ilvl w:val="0"/>
          <w:numId w:val="2610"/>
        </w:numPr>
      </w:pPr>
      <w:r>
        <w:t xml:space="preserve">When read, the property traverses the full subtree and concatenates all text node values.</w:t>
      </w:r>
    </w:p>
    <w:p>
      <w:pPr>
        <w:pStyle w:val="Compact"/>
        <w:numPr>
          <w:ilvl w:val="0"/>
          <w:numId w:val="2610"/>
        </w:numPr>
      </w:pPr>
      <w:r>
        <w:t xml:space="preserve">When assigned, the element’s child nodes are replaced with a single new text node containing the given string.</w:t>
      </w:r>
    </w:p>
    <w:p>
      <w:pPr>
        <w:pStyle w:val="Compact"/>
        <w:numPr>
          <w:ilvl w:val="0"/>
          <w:numId w:val="2610"/>
        </w:numPr>
      </w:pPr>
      <w:r>
        <w:t xml:space="preserve">For a node with no text content, returns an empty String.</w:t>
      </w:r>
    </w:p>
    <w:bookmarkEnd w:id="6702"/>
    <w:bookmarkStart w:id="6703" w:name="code-example-588"/>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"&lt;root&gt;&lt;a&gt;Hello &lt;/a&gt;&lt;b&gt;World&lt;/b&gt;&lt;/root&gt;"</w:t>
      </w:r>
      <w:r>
        <w:br/>
      </w:r>
      <w:r>
        <w:rPr>
          <w:rStyle w:val="KeywordTok"/>
        </w:rPr>
        <w:t xml:space="preserve">Set</w:t>
      </w:r>
      <w:r>
        <w:rPr>
          <w:rStyle w:val="NormalTok"/>
        </w:rPr>
        <w:t xml:space="preserve"> oNode = oXML.DocumentElement</w:t>
      </w:r>
      <w:r>
        <w:br/>
      </w:r>
      <w:r>
        <w:rPr>
          <w:rStyle w:val="FunctionTok"/>
        </w:rPr>
        <w:t xml:space="preserve">Response</w:t>
      </w:r>
      <w:r>
        <w:rPr>
          <w:rStyle w:val="NormalTok"/>
        </w:rPr>
        <w:t xml:space="preserve">.</w:t>
      </w:r>
      <w:r>
        <w:rPr>
          <w:rStyle w:val="FunctionTok"/>
        </w:rPr>
        <w:t xml:space="preserve">Write</w:t>
      </w:r>
      <w:r>
        <w:rPr>
          <w:rStyle w:val="NormalTok"/>
        </w:rPr>
        <w:t xml:space="preserve"> oNode.Text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03"/>
    <w:bookmarkEnd w:id="6704"/>
    <w:bookmarkStart w:id="6709" w:name="xmlelement.xml-property"/>
    <w:p>
      <w:pPr>
        <w:pStyle w:val="Heading1"/>
      </w:pPr>
      <w:r>
        <w:t xml:space="preserve">XMLElement.XML Property</w:t>
      </w:r>
    </w:p>
    <w:p>
      <w:pPr>
        <w:pStyle w:val="FirstParagraph"/>
      </w:pPr>
      <w:r>
        <w:t xml:space="preserve">Returns the serialized XML markup of this node and its entire subtree.</w:t>
      </w:r>
    </w:p>
    <w:bookmarkStart w:id="6705" w:name="access-46"/>
    <w:p>
      <w:pPr>
        <w:pStyle w:val="Heading2"/>
      </w:pPr>
      <w:r>
        <w:t xml:space="preserve">Access</w:t>
      </w:r>
    </w:p>
    <w:p>
      <w:pPr>
        <w:pStyle w:val="FirstParagraph"/>
      </w:pPr>
      <w:r>
        <w:t xml:space="preserve">Read-only.</w:t>
      </w:r>
    </w:p>
    <w:bookmarkEnd w:id="6705"/>
    <w:bookmarkStart w:id="6706" w:name="type-34"/>
    <w:p>
      <w:pPr>
        <w:pStyle w:val="Heading2"/>
      </w:pPr>
      <w:r>
        <w:t xml:space="preserve">Type</w:t>
      </w:r>
    </w:p>
    <w:p>
      <w:pPr>
        <w:pStyle w:val="FirstParagraph"/>
      </w:pPr>
      <w:r>
        <w:t xml:space="preserve">String.</w:t>
      </w:r>
    </w:p>
    <w:bookmarkEnd w:id="6706"/>
    <w:bookmarkStart w:id="6707" w:name="remarks-783"/>
    <w:p>
      <w:pPr>
        <w:pStyle w:val="Heading2"/>
      </w:pPr>
      <w:r>
        <w:t xml:space="preserve">Remarks</w:t>
      </w:r>
    </w:p>
    <w:p>
      <w:pPr>
        <w:pStyle w:val="Compact"/>
        <w:numPr>
          <w:ilvl w:val="0"/>
          <w:numId w:val="2611"/>
        </w:numPr>
      </w:pPr>
      <w:r>
        <w:t xml:space="preserve">The returned string includes the element’s opening tag, all child nodes serialized recursively, and the closing tag.</w:t>
      </w:r>
    </w:p>
    <w:p>
      <w:pPr>
        <w:pStyle w:val="Compact"/>
        <w:numPr>
          <w:ilvl w:val="0"/>
          <w:numId w:val="2611"/>
        </w:numPr>
      </w:pPr>
      <w:r>
        <w:t xml:space="preserve">Attributes on the element are included in the opening tag.</w:t>
      </w:r>
    </w:p>
    <w:p>
      <w:pPr>
        <w:pStyle w:val="Compact"/>
        <w:numPr>
          <w:ilvl w:val="0"/>
          <w:numId w:val="2611"/>
        </w:numPr>
      </w:pPr>
      <w:r>
        <w:t xml:space="preserve">Use</w:t>
      </w:r>
      <w:r>
        <w:t xml:space="preserve"> </w:t>
      </w:r>
      <w:r>
        <w:rPr>
          <w:rStyle w:val="VerbatimChar"/>
        </w:rPr>
        <w:t xml:space="preserve">DOMDocument.XML</w:t>
      </w:r>
      <w:r>
        <w:t xml:space="preserve"> </w:t>
      </w:r>
      <w:r>
        <w:t xml:space="preserve">to serialize the complete document.</w:t>
      </w:r>
    </w:p>
    <w:bookmarkEnd w:id="6707"/>
    <w:bookmarkStart w:id="6708" w:name="code-example-589"/>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"&lt;root&gt;&lt;child id='1'&gt;Content&lt;/child&gt;&lt;/root&gt;"</w:t>
      </w:r>
      <w:r>
        <w:br/>
      </w:r>
      <w:r>
        <w:rPr>
          <w:rStyle w:val="KeywordTok"/>
        </w:rPr>
        <w:t xml:space="preserve">Set</w:t>
      </w:r>
      <w:r>
        <w:rPr>
          <w:rStyle w:val="NormalTok"/>
        </w:rPr>
        <w:t xml:space="preserve"> oNode = oXML.SelectSingleNode</w:t>
      </w:r>
      <w:r>
        <w:rPr>
          <w:rStyle w:val="OtherTok"/>
        </w:rPr>
        <w:t xml:space="preserve">(</w:t>
      </w:r>
      <w:r>
        <w:rPr>
          <w:rStyle w:val="StringTok"/>
        </w:rPr>
        <w:t xml:space="preserve">"//child"</w:t>
      </w:r>
      <w:r>
        <w:rPr>
          <w:rStyle w:val="OtherTok"/>
        </w:rPr>
        <w:t xml:space="preserve">)</w:t>
      </w:r>
      <w:r>
        <w:br/>
      </w:r>
      <w:r>
        <w:rPr>
          <w:rStyle w:val="FunctionTok"/>
        </w:rPr>
        <w:t xml:space="preserve">Response</w:t>
      </w:r>
      <w:r>
        <w:rPr>
          <w:rStyle w:val="NormalTok"/>
        </w:rPr>
        <w:t xml:space="preserve">.</w:t>
      </w:r>
      <w:r>
        <w:rPr>
          <w:rStyle w:val="FunctionTok"/>
        </w:rPr>
        <w:t xml:space="preserve">Write</w:t>
      </w:r>
      <w:r>
        <w:rPr>
          <w:rStyle w:val="NormalTok"/>
        </w:rPr>
        <w:t xml:space="preserve"> oNode.XML</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08"/>
    <w:bookmarkEnd w:id="6709"/>
    <w:bookmarkStart w:id="6714" w:name="xmlelement.attributes-property"/>
    <w:p>
      <w:pPr>
        <w:pStyle w:val="Heading1"/>
      </w:pPr>
      <w:r>
        <w:t xml:space="preserve">XMLElement.Attributes Property</w:t>
      </w:r>
    </w:p>
    <w:p>
      <w:pPr>
        <w:pStyle w:val="FirstParagraph"/>
      </w:pPr>
      <w:r>
        <w:t xml:space="preserve">Returns a collection of the element’s attribute name/value pairs.</w:t>
      </w:r>
    </w:p>
    <w:bookmarkStart w:id="6710" w:name="access-47"/>
    <w:p>
      <w:pPr>
        <w:pStyle w:val="Heading2"/>
      </w:pPr>
      <w:r>
        <w:t xml:space="preserve">Access</w:t>
      </w:r>
    </w:p>
    <w:p>
      <w:pPr>
        <w:pStyle w:val="FirstParagraph"/>
      </w:pPr>
      <w:r>
        <w:t xml:space="preserve">Read-only.</w:t>
      </w:r>
    </w:p>
    <w:bookmarkEnd w:id="6710"/>
    <w:bookmarkStart w:id="6711" w:name="type-35"/>
    <w:p>
      <w:pPr>
        <w:pStyle w:val="Heading2"/>
      </w:pPr>
      <w:r>
        <w:t xml:space="preserve">Type</w:t>
      </w:r>
    </w:p>
    <w:p>
      <w:pPr>
        <w:pStyle w:val="FirstParagraph"/>
      </w:pPr>
      <w:r>
        <w:t xml:space="preserve">Collection (array of name/value maps).</w:t>
      </w:r>
    </w:p>
    <w:bookmarkEnd w:id="6711"/>
    <w:bookmarkStart w:id="6712" w:name="remarks-784"/>
    <w:p>
      <w:pPr>
        <w:pStyle w:val="Heading2"/>
      </w:pPr>
      <w:r>
        <w:t xml:space="preserve">Remarks</w:t>
      </w:r>
    </w:p>
    <w:p>
      <w:pPr>
        <w:pStyle w:val="Compact"/>
        <w:numPr>
          <w:ilvl w:val="0"/>
          <w:numId w:val="2612"/>
        </w:numPr>
      </w:pPr>
      <w:r>
        <w:t xml:space="preserve">Each entry in the collection represents one attribute.</w:t>
      </w:r>
    </w:p>
    <w:p>
      <w:pPr>
        <w:pStyle w:val="Compact"/>
        <w:numPr>
          <w:ilvl w:val="0"/>
          <w:numId w:val="2612"/>
        </w:numPr>
      </w:pPr>
      <w:r>
        <w:t xml:space="preserve">Use</w:t>
      </w:r>
      <w:r>
        <w:t xml:space="preserve"> </w:t>
      </w:r>
      <w:r>
        <w:rPr>
          <w:rStyle w:val="VerbatimChar"/>
        </w:rPr>
        <w:t xml:space="preserve">GetAttribute</w:t>
      </w:r>
      <w:r>
        <w:t xml:space="preserve"> </w:t>
      </w:r>
      <w:r>
        <w:t xml:space="preserve">and</w:t>
      </w:r>
      <w:r>
        <w:t xml:space="preserve"> </w:t>
      </w:r>
      <w:r>
        <w:rPr>
          <w:rStyle w:val="VerbatimChar"/>
        </w:rPr>
        <w:t xml:space="preserve">SetAttribute</w:t>
      </w:r>
      <w:r>
        <w:t xml:space="preserve"> </w:t>
      </w:r>
      <w:r>
        <w:t xml:space="preserve">for direct attribute read/write by name.</w:t>
      </w:r>
    </w:p>
    <w:p>
      <w:pPr>
        <w:pStyle w:val="Compact"/>
        <w:numPr>
          <w:ilvl w:val="0"/>
          <w:numId w:val="2612"/>
        </w:numPr>
      </w:pPr>
      <w:r>
        <w:t xml:space="preserve">The order of attributes in the collection is not guaranteed.</w:t>
      </w:r>
    </w:p>
    <w:bookmarkEnd w:id="6712"/>
    <w:bookmarkStart w:id="6713" w:name="code-example-590"/>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oNode</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"&lt;item id='5' name='Widget'/&gt;"</w:t>
      </w:r>
      <w:r>
        <w:br/>
      </w:r>
      <w:r>
        <w:rPr>
          <w:rStyle w:val="KeywordTok"/>
        </w:rPr>
        <w:t xml:space="preserve">Set</w:t>
      </w:r>
      <w:r>
        <w:rPr>
          <w:rStyle w:val="NormalTok"/>
        </w:rPr>
        <w:t xml:space="preserve"> oNode = oXML.DocumentElement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"id="</w:t>
      </w:r>
      <w:r>
        <w:rPr>
          <w:rStyle w:val="NormalTok"/>
        </w:rPr>
        <w:t xml:space="preserve"> </w:t>
      </w:r>
      <w:r>
        <w:rPr>
          <w:rStyle w:val="KeywordTok"/>
        </w:rPr>
        <w:t xml:space="preserve">&amp;</w:t>
      </w:r>
      <w:r>
        <w:rPr>
          <w:rStyle w:val="NormalTok"/>
        </w:rPr>
        <w:t xml:space="preserve"> oNode.GetAttribute</w:t>
      </w:r>
      <w:r>
        <w:rPr>
          <w:rStyle w:val="OtherTok"/>
        </w:rPr>
        <w:t xml:space="preserve">(</w:t>
      </w:r>
      <w:r>
        <w:rPr>
          <w:rStyle w:val="StringTok"/>
        </w:rPr>
        <w:t xml:space="preserve">"id"</w:t>
      </w:r>
      <w:r>
        <w:rPr>
          <w:rStyle w:val="OtherTok"/>
        </w:rPr>
        <w:t xml:space="preserve">)</w:t>
      </w:r>
      <w:r>
        <w:rPr>
          <w:rStyle w:val="NormalTok"/>
        </w:rPr>
        <w:t xml:space="preserve"> </w:t>
      </w:r>
      <w:r>
        <w:rPr>
          <w:rStyle w:val="KeywordTok"/>
        </w:rPr>
        <w:t xml:space="preserve">&amp;</w:t>
      </w:r>
      <w:r>
        <w:rPr>
          <w:rStyle w:val="NormalTok"/>
        </w:rPr>
        <w:t xml:space="preserve"> </w:t>
      </w:r>
      <w:r>
        <w:rPr>
          <w:rStyle w:val="StringTok"/>
        </w:rPr>
        <w:t xml:space="preserve">", name="</w:t>
      </w:r>
      <w:r>
        <w:rPr>
          <w:rStyle w:val="NormalTok"/>
        </w:rPr>
        <w:t xml:space="preserve"> </w:t>
      </w:r>
      <w:r>
        <w:rPr>
          <w:rStyle w:val="KeywordTok"/>
        </w:rPr>
        <w:t xml:space="preserve">&amp;</w:t>
      </w:r>
      <w:r>
        <w:rPr>
          <w:rStyle w:val="NormalTok"/>
        </w:rPr>
        <w:t xml:space="preserve"> oNode.GetAttribute</w:t>
      </w:r>
      <w:r>
        <w:rPr>
          <w:rStyle w:val="OtherTok"/>
        </w:rPr>
        <w:t xml:space="preserve">(</w:t>
      </w:r>
      <w:r>
        <w:rPr>
          <w:rStyle w:val="StringTok"/>
        </w:rPr>
        <w:t xml:space="preserve">"name"</w:t>
      </w:r>
      <w:r>
        <w:rPr>
          <w:rStyle w:val="OtherTok"/>
        </w:rPr>
        <w:t xml:space="preserve">)</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13"/>
    <w:bookmarkEnd w:id="6714"/>
    <w:bookmarkStart w:id="6719" w:name="xmlelement.childnodes-property"/>
    <w:p>
      <w:pPr>
        <w:pStyle w:val="Heading1"/>
      </w:pPr>
      <w:r>
        <w:t xml:space="preserve">XMLElement.ChildNodes Property</w:t>
      </w:r>
    </w:p>
    <w:p>
      <w:pPr>
        <w:pStyle w:val="FirstParagraph"/>
      </w:pPr>
      <w:r>
        <w:t xml:space="preserve">Returns a list of all direct child nodes of this element.</w:t>
      </w:r>
    </w:p>
    <w:bookmarkStart w:id="6715" w:name="access-48"/>
    <w:p>
      <w:pPr>
        <w:pStyle w:val="Heading2"/>
      </w:pPr>
      <w:r>
        <w:t xml:space="preserve">Access</w:t>
      </w:r>
    </w:p>
    <w:p>
      <w:pPr>
        <w:pStyle w:val="FirstParagraph"/>
      </w:pPr>
      <w:r>
        <w:t xml:space="preserve">Read-only.</w:t>
      </w:r>
    </w:p>
    <w:bookmarkEnd w:id="6715"/>
    <w:bookmarkStart w:id="6716" w:name="type-36"/>
    <w:p>
      <w:pPr>
        <w:pStyle w:val="Heading2"/>
      </w:pPr>
      <w:r>
        <w:t xml:space="preserve">Type</w:t>
      </w:r>
    </w:p>
    <w:p>
      <w:pPr>
        <w:pStyle w:val="FirstParagraph"/>
      </w:pPr>
      <w:r>
        <w:t xml:space="preserve">XMLNodeList.</w:t>
      </w:r>
    </w:p>
    <w:bookmarkEnd w:id="6716"/>
    <w:bookmarkStart w:id="6717" w:name="remarks-785"/>
    <w:p>
      <w:pPr>
        <w:pStyle w:val="Heading2"/>
      </w:pPr>
      <w:r>
        <w:t xml:space="preserve">Remarks</w:t>
      </w:r>
    </w:p>
    <w:p>
      <w:pPr>
        <w:pStyle w:val="Compact"/>
        <w:numPr>
          <w:ilvl w:val="0"/>
          <w:numId w:val="2613"/>
        </w:numPr>
      </w:pPr>
      <w:r>
        <w:t xml:space="preserve">The list contains only direct children, not descendants at deeper levels.</w:t>
      </w:r>
    </w:p>
    <w:p>
      <w:pPr>
        <w:pStyle w:val="Compact"/>
        <w:numPr>
          <w:ilvl w:val="0"/>
          <w:numId w:val="2613"/>
        </w:numPr>
      </w:pPr>
      <w:r>
        <w:t xml:space="preserve">Returns an empty XMLNodeList if the element has no children.</w:t>
      </w:r>
    </w:p>
    <w:p>
      <w:pPr>
        <w:pStyle w:val="Compact"/>
        <w:numPr>
          <w:ilvl w:val="0"/>
          <w:numId w:val="2613"/>
        </w:numPr>
      </w:pPr>
      <w:r>
        <w:t xml:space="preserve">Use</w:t>
      </w:r>
      <w:r>
        <w:t xml:space="preserve"> </w:t>
      </w:r>
      <w:r>
        <w:rPr>
          <w:rStyle w:val="VerbatimChar"/>
        </w:rPr>
        <w:t xml:space="preserve">Children</w:t>
      </w:r>
      <w:r>
        <w:t xml:space="preserve"> </w:t>
      </w:r>
      <w:r>
        <w:t xml:space="preserve">for an identical result.</w:t>
      </w:r>
    </w:p>
    <w:bookmarkEnd w:id="6717"/>
    <w:bookmarkStart w:id="6718" w:name="code-example-591"/>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oList</w:t>
      </w:r>
      <w:r>
        <w:rPr>
          <w:rStyle w:val="OtherTok"/>
        </w:rPr>
        <w:t xml:space="preserve">,</w:t>
      </w:r>
      <w:r>
        <w:rPr>
          <w:rStyle w:val="NormalTok"/>
        </w:rPr>
        <w:t xml:space="preserve"> i</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"&lt;root&gt;&lt;a/&gt;&lt;b/&gt;&lt;c/&gt;&lt;/root&gt;"</w:t>
      </w:r>
      <w:r>
        <w:br/>
      </w:r>
      <w:r>
        <w:rPr>
          <w:rStyle w:val="KeywordTok"/>
        </w:rPr>
        <w:t xml:space="preserve">Set</w:t>
      </w:r>
      <w:r>
        <w:rPr>
          <w:rStyle w:val="NormalTok"/>
        </w:rPr>
        <w:t xml:space="preserve"> oRoot = oXML.DocumentElement</w:t>
      </w:r>
      <w:r>
        <w:br/>
      </w:r>
      <w:r>
        <w:rPr>
          <w:rStyle w:val="KeywordTok"/>
        </w:rPr>
        <w:t xml:space="preserve">Set</w:t>
      </w:r>
      <w:r>
        <w:rPr>
          <w:rStyle w:val="NormalTok"/>
        </w:rPr>
        <w:t xml:space="preserve"> oList = oRoot.ChildNodes</w:t>
      </w:r>
      <w:r>
        <w:br/>
      </w:r>
      <w:r>
        <w:rPr>
          <w:rStyle w:val="ControlFlowTok"/>
        </w:rPr>
        <w:t xml:space="preserve">For</w:t>
      </w:r>
      <w:r>
        <w:rPr>
          <w:rStyle w:val="NormalTok"/>
        </w:rPr>
        <w:t xml:space="preserve"> i = </w:t>
      </w:r>
      <w:r>
        <w:rPr>
          <w:rStyle w:val="DecValTok"/>
        </w:rPr>
        <w:t xml:space="preserve">0</w:t>
      </w:r>
      <w:r>
        <w:rPr>
          <w:rStyle w:val="NormalTok"/>
        </w:rPr>
        <w:t xml:space="preserve"> </w:t>
      </w:r>
      <w:r>
        <w:rPr>
          <w:rStyle w:val="ControlFlowTok"/>
        </w:rPr>
        <w:t xml:space="preserve">To</w:t>
      </w:r>
      <w:r>
        <w:rPr>
          <w:rStyle w:val="NormalTok"/>
        </w:rPr>
        <w:t xml:space="preserve"> oList.Length - </w:t>
      </w:r>
      <w:r>
        <w:rPr>
          <w:rStyle w:val="DecValTok"/>
        </w:rPr>
        <w:t xml:space="preserve">1</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oList.</w:t>
      </w:r>
      <w:r>
        <w:rPr>
          <w:rStyle w:val="FunctionTok"/>
        </w:rPr>
        <w:t xml:space="preserve">Item</w:t>
      </w:r>
      <w:r>
        <w:rPr>
          <w:rStyle w:val="OtherTok"/>
        </w:rPr>
        <w:t xml:space="preserve">(</w:t>
      </w:r>
      <w:r>
        <w:rPr>
          <w:rStyle w:val="NormalTok"/>
        </w:rPr>
        <w:t xml:space="preserve">i</w:t>
      </w:r>
      <w:r>
        <w:rPr>
          <w:rStyle w:val="OtherTok"/>
        </w:rPr>
        <w:t xml:space="preserve">)</w:t>
      </w:r>
      <w:r>
        <w:rPr>
          <w:rStyle w:val="NormalTok"/>
        </w:rPr>
        <w:t xml:space="preserve">.NodeName </w:t>
      </w:r>
      <w:r>
        <w:rPr>
          <w:rStyle w:val="KeywordTok"/>
        </w:rPr>
        <w:t xml:space="preserve">&amp;</w:t>
      </w:r>
      <w:r>
        <w:rPr>
          <w:rStyle w:val="NormalTok"/>
        </w:rPr>
        <w:t xml:space="preserve"> </w:t>
      </w:r>
      <w:r>
        <w:rPr>
          <w:rStyle w:val="StringTok"/>
        </w:rPr>
        <w:t xml:space="preserve">"&lt;br&gt;"</w:t>
      </w:r>
      <w:r>
        <w:br/>
      </w:r>
      <w:r>
        <w:rPr>
          <w:rStyle w:val="ControlFlowTok"/>
        </w:rPr>
        <w:t xml:space="preserve">Next</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18"/>
    <w:bookmarkEnd w:id="6719"/>
    <w:bookmarkStart w:id="6724" w:name="xmlelement.firstchild-property"/>
    <w:p>
      <w:pPr>
        <w:pStyle w:val="Heading1"/>
      </w:pPr>
      <w:r>
        <w:t xml:space="preserve">XMLElement.FirstChild Property</w:t>
      </w:r>
    </w:p>
    <w:p>
      <w:pPr>
        <w:pStyle w:val="FirstParagraph"/>
      </w:pPr>
      <w:r>
        <w:t xml:space="preserve">Returns the first direct child node of this element.</w:t>
      </w:r>
    </w:p>
    <w:bookmarkStart w:id="6720" w:name="access-49"/>
    <w:p>
      <w:pPr>
        <w:pStyle w:val="Heading2"/>
      </w:pPr>
      <w:r>
        <w:t xml:space="preserve">Access</w:t>
      </w:r>
    </w:p>
    <w:p>
      <w:pPr>
        <w:pStyle w:val="FirstParagraph"/>
      </w:pPr>
      <w:r>
        <w:t xml:space="preserve">Read-only.</w:t>
      </w:r>
    </w:p>
    <w:bookmarkEnd w:id="6720"/>
    <w:bookmarkStart w:id="6721" w:name="type-37"/>
    <w:p>
      <w:pPr>
        <w:pStyle w:val="Heading2"/>
      </w:pPr>
      <w:r>
        <w:t xml:space="preserve">Type</w:t>
      </w:r>
    </w:p>
    <w:p>
      <w:pPr>
        <w:pStyle w:val="FirstParagraph"/>
      </w:pPr>
      <w:r>
        <w:t xml:space="preserve">XMLElement or Null.</w:t>
      </w:r>
    </w:p>
    <w:bookmarkEnd w:id="6721"/>
    <w:bookmarkStart w:id="6722" w:name="remarks-786"/>
    <w:p>
      <w:pPr>
        <w:pStyle w:val="Heading2"/>
      </w:pPr>
      <w:r>
        <w:t xml:space="preserve">Remarks</w:t>
      </w:r>
    </w:p>
    <w:p>
      <w:pPr>
        <w:pStyle w:val="Compact"/>
        <w:numPr>
          <w:ilvl w:val="0"/>
          <w:numId w:val="2614"/>
        </w:numPr>
      </w:pPr>
      <w:r>
        <w:t xml:space="preserve">Returns Null if the element has no children.</w:t>
      </w:r>
    </w:p>
    <w:bookmarkEnd w:id="6722"/>
    <w:bookmarkStart w:id="6723" w:name="code-example-592"/>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oFirst</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"&lt;root&gt;&lt;a&gt;First&lt;/a&gt;&lt;b&gt;Second&lt;/b&gt;&lt;/root&gt;"</w:t>
      </w:r>
      <w:r>
        <w:br/>
      </w:r>
      <w:r>
        <w:rPr>
          <w:rStyle w:val="KeywordTok"/>
        </w:rPr>
        <w:t xml:space="preserve">Set</w:t>
      </w:r>
      <w:r>
        <w:rPr>
          <w:rStyle w:val="NormalTok"/>
        </w:rPr>
        <w:t xml:space="preserve"> oRoot = oXML.DocumentElement</w:t>
      </w:r>
      <w:r>
        <w:br/>
      </w:r>
      <w:r>
        <w:rPr>
          <w:rStyle w:val="KeywordTok"/>
        </w:rPr>
        <w:t xml:space="preserve">Set</w:t>
      </w:r>
      <w:r>
        <w:rPr>
          <w:rStyle w:val="NormalTok"/>
        </w:rPr>
        <w:t xml:space="preserve"> oFirst = oRoot.FirstChild</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oFirst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oFirst.Text</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23"/>
    <w:bookmarkEnd w:id="6724"/>
    <w:bookmarkStart w:id="6729" w:name="xmlelement.lastchild-property"/>
    <w:p>
      <w:pPr>
        <w:pStyle w:val="Heading1"/>
      </w:pPr>
      <w:r>
        <w:t xml:space="preserve">XMLElement.LastChild Property</w:t>
      </w:r>
    </w:p>
    <w:p>
      <w:pPr>
        <w:pStyle w:val="FirstParagraph"/>
      </w:pPr>
      <w:r>
        <w:t xml:space="preserve">Returns the last direct child node of this element.</w:t>
      </w:r>
    </w:p>
    <w:bookmarkStart w:id="6725" w:name="access-50"/>
    <w:p>
      <w:pPr>
        <w:pStyle w:val="Heading2"/>
      </w:pPr>
      <w:r>
        <w:t xml:space="preserve">Access</w:t>
      </w:r>
    </w:p>
    <w:p>
      <w:pPr>
        <w:pStyle w:val="FirstParagraph"/>
      </w:pPr>
      <w:r>
        <w:t xml:space="preserve">Read-only.</w:t>
      </w:r>
    </w:p>
    <w:bookmarkEnd w:id="6725"/>
    <w:bookmarkStart w:id="6726" w:name="type-38"/>
    <w:p>
      <w:pPr>
        <w:pStyle w:val="Heading2"/>
      </w:pPr>
      <w:r>
        <w:t xml:space="preserve">Type</w:t>
      </w:r>
    </w:p>
    <w:p>
      <w:pPr>
        <w:pStyle w:val="FirstParagraph"/>
      </w:pPr>
      <w:r>
        <w:t xml:space="preserve">XMLElement or Null.</w:t>
      </w:r>
    </w:p>
    <w:bookmarkEnd w:id="6726"/>
    <w:bookmarkStart w:id="6727" w:name="remarks-787"/>
    <w:p>
      <w:pPr>
        <w:pStyle w:val="Heading2"/>
      </w:pPr>
      <w:r>
        <w:t xml:space="preserve">Remarks</w:t>
      </w:r>
    </w:p>
    <w:p>
      <w:pPr>
        <w:pStyle w:val="Compact"/>
        <w:numPr>
          <w:ilvl w:val="0"/>
          <w:numId w:val="2615"/>
        </w:numPr>
      </w:pPr>
      <w:r>
        <w:t xml:space="preserve">Returns Null if the element has no children.</w:t>
      </w:r>
    </w:p>
    <w:bookmarkEnd w:id="6727"/>
    <w:bookmarkStart w:id="6728" w:name="code-example-593"/>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oLast</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"&lt;root&gt;&lt;a&gt;First&lt;/a&gt;&lt;b&gt;Second&lt;/b&gt;&lt;/root&gt;"</w:t>
      </w:r>
      <w:r>
        <w:br/>
      </w:r>
      <w:r>
        <w:rPr>
          <w:rStyle w:val="KeywordTok"/>
        </w:rPr>
        <w:t xml:space="preserve">Set</w:t>
      </w:r>
      <w:r>
        <w:rPr>
          <w:rStyle w:val="NormalTok"/>
        </w:rPr>
        <w:t xml:space="preserve"> oRoot = oXML.DocumentElement</w:t>
      </w:r>
      <w:r>
        <w:br/>
      </w:r>
      <w:r>
        <w:rPr>
          <w:rStyle w:val="KeywordTok"/>
        </w:rPr>
        <w:t xml:space="preserve">Set</w:t>
      </w:r>
      <w:r>
        <w:rPr>
          <w:rStyle w:val="NormalTok"/>
        </w:rPr>
        <w:t xml:space="preserve"> oLast = oRoot.LastChild</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oLast</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oLast.Text</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28"/>
    <w:bookmarkEnd w:id="6729"/>
    <w:bookmarkStart w:id="6734" w:name="xmlelement.parentnode-property"/>
    <w:p>
      <w:pPr>
        <w:pStyle w:val="Heading1"/>
      </w:pPr>
      <w:r>
        <w:t xml:space="preserve">XMLElement.ParentNode Property</w:t>
      </w:r>
    </w:p>
    <w:p>
      <w:pPr>
        <w:pStyle w:val="FirstParagraph"/>
      </w:pPr>
      <w:r>
        <w:t xml:space="preserve">Returns the parent element of this node.</w:t>
      </w:r>
    </w:p>
    <w:bookmarkStart w:id="6730" w:name="access-51"/>
    <w:p>
      <w:pPr>
        <w:pStyle w:val="Heading2"/>
      </w:pPr>
      <w:r>
        <w:t xml:space="preserve">Access</w:t>
      </w:r>
    </w:p>
    <w:p>
      <w:pPr>
        <w:pStyle w:val="FirstParagraph"/>
      </w:pPr>
      <w:r>
        <w:t xml:space="preserve">Read-only.</w:t>
      </w:r>
    </w:p>
    <w:bookmarkEnd w:id="6730"/>
    <w:bookmarkStart w:id="6731" w:name="type-39"/>
    <w:p>
      <w:pPr>
        <w:pStyle w:val="Heading2"/>
      </w:pPr>
      <w:r>
        <w:t xml:space="preserve">Type</w:t>
      </w:r>
    </w:p>
    <w:p>
      <w:pPr>
        <w:pStyle w:val="FirstParagraph"/>
      </w:pPr>
      <w:r>
        <w:t xml:space="preserve">XMLElement or Null.</w:t>
      </w:r>
    </w:p>
    <w:bookmarkEnd w:id="6731"/>
    <w:bookmarkStart w:id="6732" w:name="remarks-788"/>
    <w:p>
      <w:pPr>
        <w:pStyle w:val="Heading2"/>
      </w:pPr>
      <w:r>
        <w:t xml:space="preserve">Remarks</w:t>
      </w:r>
    </w:p>
    <w:p>
      <w:pPr>
        <w:pStyle w:val="Compact"/>
        <w:numPr>
          <w:ilvl w:val="0"/>
          <w:numId w:val="2616"/>
        </w:numPr>
      </w:pPr>
      <w:r>
        <w:t xml:space="preserve">Returns Null if this node is the document root or has not been attached to a tree.</w:t>
      </w:r>
    </w:p>
    <w:bookmarkEnd w:id="6732"/>
    <w:bookmarkStart w:id="6733" w:name="code-example-594"/>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oChild</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"&lt;root&gt;&lt;section&gt;&lt;item&gt;Test&lt;/item&gt;&lt;/section&gt;&lt;/root&gt;"</w:t>
      </w:r>
      <w:r>
        <w:br/>
      </w:r>
      <w:r>
        <w:rPr>
          <w:rStyle w:val="KeywordTok"/>
        </w:rPr>
        <w:t xml:space="preserve">Set</w:t>
      </w:r>
      <w:r>
        <w:rPr>
          <w:rStyle w:val="NormalTok"/>
        </w:rPr>
        <w:t xml:space="preserve"> oChild = oXML.SelectSingleNode</w:t>
      </w:r>
      <w:r>
        <w:rPr>
          <w:rStyle w:val="OtherTok"/>
        </w:rPr>
        <w:t xml:space="preserve">(</w:t>
      </w:r>
      <w:r>
        <w:rPr>
          <w:rStyle w:val="StringTok"/>
        </w:rPr>
        <w:t xml:space="preserve">"//item"</w:t>
      </w:r>
      <w:r>
        <w:rPr>
          <w:rStyle w:val="OtherTok"/>
        </w:rPr>
        <w:t xml:space="preserve">)</w:t>
      </w:r>
      <w:r>
        <w:br/>
      </w:r>
      <w:r>
        <w:rPr>
          <w:rStyle w:val="ControlFlowTok"/>
        </w:rPr>
        <w:t xml:space="preserve">If</w:t>
      </w:r>
      <w:r>
        <w:rPr>
          <w:rStyle w:val="NormalTok"/>
        </w:rPr>
        <w:t xml:space="preserve"> </w:t>
      </w:r>
      <w:r>
        <w:rPr>
          <w:rStyle w:val="KeywordTok"/>
        </w:rPr>
        <w:t xml:space="preserve">Not</w:t>
      </w:r>
      <w:r>
        <w:rPr>
          <w:rStyle w:val="NormalTok"/>
        </w:rPr>
        <w:t xml:space="preserve"> </w:t>
      </w:r>
      <w:r>
        <w:rPr>
          <w:rStyle w:val="FunctionTok"/>
        </w:rPr>
        <w:t xml:space="preserve">IsNull</w:t>
      </w:r>
      <w:r>
        <w:rPr>
          <w:rStyle w:val="OtherTok"/>
        </w:rPr>
        <w:t xml:space="preserve">(</w:t>
      </w:r>
      <w:r>
        <w:rPr>
          <w:rStyle w:val="NormalTok"/>
        </w:rPr>
        <w:t xml:space="preserve">oChild.ParentNode</w:t>
      </w:r>
      <w:r>
        <w:rPr>
          <w:rStyle w:val="Other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"Parent: "</w:t>
      </w:r>
      <w:r>
        <w:rPr>
          <w:rStyle w:val="NormalTok"/>
        </w:rPr>
        <w:t xml:space="preserve"> </w:t>
      </w:r>
      <w:r>
        <w:rPr>
          <w:rStyle w:val="KeywordTok"/>
        </w:rPr>
        <w:t xml:space="preserve">&amp;</w:t>
      </w:r>
      <w:r>
        <w:rPr>
          <w:rStyle w:val="NormalTok"/>
        </w:rPr>
        <w:t xml:space="preserve"> oChild.ParentNode.NodeName</w:t>
      </w:r>
      <w:r>
        <w:br/>
      </w:r>
      <w:r>
        <w:rPr>
          <w:rStyle w:val="ControlFlowTok"/>
        </w:rPr>
        <w:t xml:space="preserve">End If</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33"/>
    <w:bookmarkEnd w:id="6734"/>
    <w:bookmarkStart w:id="6739" w:name="xmlelement.length-property"/>
    <w:p>
      <w:pPr>
        <w:pStyle w:val="Heading1"/>
      </w:pPr>
      <w:r>
        <w:t xml:space="preserve">XMLElement.Length Property</w:t>
      </w:r>
    </w:p>
    <w:p>
      <w:pPr>
        <w:pStyle w:val="FirstParagraph"/>
      </w:pPr>
      <w:r>
        <w:t xml:space="preserve">Returns the number of direct child nodes of this element.</w:t>
      </w:r>
    </w:p>
    <w:bookmarkStart w:id="6735" w:name="access-52"/>
    <w:p>
      <w:pPr>
        <w:pStyle w:val="Heading2"/>
      </w:pPr>
      <w:r>
        <w:t xml:space="preserve">Access</w:t>
      </w:r>
    </w:p>
    <w:p>
      <w:pPr>
        <w:pStyle w:val="FirstParagraph"/>
      </w:pPr>
      <w:r>
        <w:t xml:space="preserve">Read-only.</w:t>
      </w:r>
    </w:p>
    <w:bookmarkEnd w:id="6735"/>
    <w:bookmarkStart w:id="6736" w:name="type-40"/>
    <w:p>
      <w:pPr>
        <w:pStyle w:val="Heading2"/>
      </w:pPr>
      <w:r>
        <w:t xml:space="preserve">Type</w:t>
      </w:r>
    </w:p>
    <w:p>
      <w:pPr>
        <w:pStyle w:val="FirstParagraph"/>
      </w:pPr>
      <w:r>
        <w:t xml:space="preserve">Integer.</w:t>
      </w:r>
    </w:p>
    <w:bookmarkEnd w:id="6736"/>
    <w:bookmarkStart w:id="6737" w:name="remarks-789"/>
    <w:p>
      <w:pPr>
        <w:pStyle w:val="Heading2"/>
      </w:pPr>
      <w:r>
        <w:t xml:space="preserve">Remarks</w:t>
      </w:r>
    </w:p>
    <w:p>
      <w:pPr>
        <w:pStyle w:val="Compact"/>
        <w:numPr>
          <w:ilvl w:val="0"/>
          <w:numId w:val="2617"/>
        </w:numPr>
      </w:pPr>
      <w:r>
        <w:t xml:space="preserve">Equivalent to</w:t>
      </w:r>
      <w:r>
        <w:t xml:space="preserve"> </w:t>
      </w:r>
      <w:r>
        <w:rPr>
          <w:rStyle w:val="VerbatimChar"/>
        </w:rPr>
        <w:t xml:space="preserve">ChildNodes.Length</w:t>
      </w:r>
      <w:r>
        <w:t xml:space="preserve">.</w:t>
      </w:r>
    </w:p>
    <w:p>
      <w:pPr>
        <w:pStyle w:val="Compact"/>
        <w:numPr>
          <w:ilvl w:val="0"/>
          <w:numId w:val="2617"/>
        </w:numPr>
      </w:pPr>
      <w:r>
        <w:t xml:space="preserve">Returns 0 if the element has no children.</w:t>
      </w:r>
    </w:p>
    <w:bookmarkEnd w:id="6737"/>
    <w:bookmarkStart w:id="6738" w:name="code-example-595"/>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"&lt;root&gt;&lt;a/&gt;&lt;b/&gt;&lt;c/&gt;&lt;/root&gt;"</w:t>
      </w:r>
      <w:r>
        <w:br/>
      </w:r>
      <w:r>
        <w:rPr>
          <w:rStyle w:val="KeywordTok"/>
        </w:rPr>
        <w:t xml:space="preserve">Set</w:t>
      </w:r>
      <w:r>
        <w:rPr>
          <w:rStyle w:val="NormalTok"/>
        </w:rPr>
        <w:t xml:space="preserve"> oRoot = oXML.DocumentElement</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"Children: "</w:t>
      </w:r>
      <w:r>
        <w:rPr>
          <w:rStyle w:val="NormalTok"/>
        </w:rPr>
        <w:t xml:space="preserve"> </w:t>
      </w:r>
      <w:r>
        <w:rPr>
          <w:rStyle w:val="KeywordTok"/>
        </w:rPr>
        <w:t xml:space="preserve">&amp;</w:t>
      </w:r>
      <w:r>
        <w:rPr>
          <w:rStyle w:val="NormalTok"/>
        </w:rPr>
        <w:t xml:space="preserve"> oRoot.Length</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38"/>
    <w:bookmarkEnd w:id="6739"/>
    <w:bookmarkStart w:id="6744" w:name="xmlelement.children-property"/>
    <w:p>
      <w:pPr>
        <w:pStyle w:val="Heading1"/>
      </w:pPr>
      <w:r>
        <w:t xml:space="preserve">XMLElement.Children Property</w:t>
      </w:r>
    </w:p>
    <w:p>
      <w:pPr>
        <w:pStyle w:val="FirstParagraph"/>
      </w:pPr>
      <w:r>
        <w:t xml:space="preserve">Returns a list of all direct child nodes of this element. This is an alias for</w:t>
      </w:r>
      <w:r>
        <w:t xml:space="preserve"> </w:t>
      </w:r>
      <w:r>
        <w:rPr>
          <w:rStyle w:val="VerbatimChar"/>
        </w:rPr>
        <w:t xml:space="preserve">ChildNodes</w:t>
      </w:r>
      <w:r>
        <w:t xml:space="preserve">.</w:t>
      </w:r>
    </w:p>
    <w:bookmarkStart w:id="6740" w:name="access-53"/>
    <w:p>
      <w:pPr>
        <w:pStyle w:val="Heading2"/>
      </w:pPr>
      <w:r>
        <w:t xml:space="preserve">Access</w:t>
      </w:r>
    </w:p>
    <w:p>
      <w:pPr>
        <w:pStyle w:val="FirstParagraph"/>
      </w:pPr>
      <w:r>
        <w:t xml:space="preserve">Read-only.</w:t>
      </w:r>
    </w:p>
    <w:bookmarkEnd w:id="6740"/>
    <w:bookmarkStart w:id="6741" w:name="type-41"/>
    <w:p>
      <w:pPr>
        <w:pStyle w:val="Heading2"/>
      </w:pPr>
      <w:r>
        <w:t xml:space="preserve">Type</w:t>
      </w:r>
    </w:p>
    <w:p>
      <w:pPr>
        <w:pStyle w:val="FirstParagraph"/>
      </w:pPr>
      <w:r>
        <w:t xml:space="preserve">XMLNodeList.</w:t>
      </w:r>
    </w:p>
    <w:bookmarkEnd w:id="6741"/>
    <w:bookmarkStart w:id="6742" w:name="remarks-790"/>
    <w:p>
      <w:pPr>
        <w:pStyle w:val="Heading2"/>
      </w:pPr>
      <w:r>
        <w:t xml:space="preserve">Remarks</w:t>
      </w:r>
    </w:p>
    <w:p>
      <w:pPr>
        <w:pStyle w:val="Compact"/>
        <w:numPr>
          <w:ilvl w:val="0"/>
          <w:numId w:val="2618"/>
        </w:numPr>
      </w:pPr>
      <w:r>
        <w:t xml:space="preserve">Identical in behaviour to</w:t>
      </w:r>
      <w:r>
        <w:t xml:space="preserve"> </w:t>
      </w:r>
      <w:r>
        <w:rPr>
          <w:rStyle w:val="VerbatimChar"/>
        </w:rPr>
        <w:t xml:space="preserve">ChildNodes</w:t>
      </w:r>
      <w:r>
        <w:t xml:space="preserve">. Either property can be used interchangeably.</w:t>
      </w:r>
    </w:p>
    <w:p>
      <w:pPr>
        <w:pStyle w:val="Compact"/>
        <w:numPr>
          <w:ilvl w:val="0"/>
          <w:numId w:val="2618"/>
        </w:numPr>
      </w:pPr>
      <w:r>
        <w:t xml:space="preserve">Returns an empty XMLNodeList if the element has no children.</w:t>
      </w:r>
    </w:p>
    <w:bookmarkEnd w:id="6742"/>
    <w:bookmarkStart w:id="6743" w:name="code-example-596"/>
    <w:p>
      <w:pPr>
        <w:pStyle w:val="Heading2"/>
      </w:pPr>
      <w:r>
        <w:t xml:space="preserve">Code Example</w:t>
      </w:r>
    </w:p>
    <w:p>
      <w:pPr>
        <w:pStyle w:val="SourceCode"/>
      </w:pPr>
      <w:r>
        <w:rPr>
          <w:rStyle w:val="DataTypeTok"/>
        </w:rPr>
        <w:t xml:space="preserve">&lt;%</w:t>
      </w:r>
      <w:r>
        <w:br/>
      </w:r>
      <w:r>
        <w:rPr>
          <w:rStyle w:val="KeywordTok"/>
        </w:rPr>
        <w:t xml:space="preserve">Dim</w:t>
      </w:r>
      <w:r>
        <w:rPr>
          <w:rStyle w:val="NormalTok"/>
        </w:rPr>
        <w:t xml:space="preserve"> oXML</w:t>
      </w:r>
      <w:r>
        <w:rPr>
          <w:rStyle w:val="OtherTok"/>
        </w:rPr>
        <w:t xml:space="preserve">,</w:t>
      </w:r>
      <w:r>
        <w:rPr>
          <w:rStyle w:val="NormalTok"/>
        </w:rPr>
        <w:t xml:space="preserve"> oRoot</w:t>
      </w:r>
      <w:r>
        <w:rPr>
          <w:rStyle w:val="OtherTok"/>
        </w:rPr>
        <w:t xml:space="preserve">,</w:t>
      </w:r>
      <w:r>
        <w:rPr>
          <w:rStyle w:val="NormalTok"/>
        </w:rPr>
        <w:t xml:space="preserve"> oList</w:t>
      </w:r>
      <w:r>
        <w:br/>
      </w:r>
      <w:r>
        <w:rPr>
          <w:rStyle w:val="KeywordTok"/>
        </w:rPr>
        <w:t xml:space="preserve">Set</w:t>
      </w:r>
      <w:r>
        <w:rPr>
          <w:rStyle w:val="NormalTok"/>
        </w:rPr>
        <w:t xml:space="preserve"> oXML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"MSXML2.DOMDocument"</w:t>
      </w:r>
      <w:r>
        <w:rPr>
          <w:rStyle w:val="OtherTok"/>
        </w:rPr>
        <w:t xml:space="preserve">)</w:t>
      </w:r>
      <w:r>
        <w:br/>
      </w:r>
      <w:r>
        <w:rPr>
          <w:rStyle w:val="NormalTok"/>
        </w:rPr>
        <w:t xml:space="preserve">oXML.LoadXML </w:t>
      </w:r>
      <w:r>
        <w:rPr>
          <w:rStyle w:val="StringTok"/>
        </w:rPr>
        <w:t xml:space="preserve">"&lt;root&gt;&lt;x/&gt;&lt;y/&gt;&lt;/root&gt;"</w:t>
      </w:r>
      <w:r>
        <w:br/>
      </w:r>
      <w:r>
        <w:rPr>
          <w:rStyle w:val="KeywordTok"/>
        </w:rPr>
        <w:t xml:space="preserve">Set</w:t>
      </w:r>
      <w:r>
        <w:rPr>
          <w:rStyle w:val="NormalTok"/>
        </w:rPr>
        <w:t xml:space="preserve"> oRoot = oXML.DocumentElement</w:t>
      </w:r>
      <w:r>
        <w:br/>
      </w:r>
      <w:r>
        <w:rPr>
          <w:rStyle w:val="KeywordTok"/>
        </w:rPr>
        <w:t xml:space="preserve">Set</w:t>
      </w:r>
      <w:r>
        <w:rPr>
          <w:rStyle w:val="NormalTok"/>
        </w:rPr>
        <w:t xml:space="preserve"> oList = oRoot.Children</w:t>
      </w:r>
      <w:r>
        <w:br/>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"Child count: "</w:t>
      </w:r>
      <w:r>
        <w:rPr>
          <w:rStyle w:val="NormalTok"/>
        </w:rPr>
        <w:t xml:space="preserve"> </w:t>
      </w:r>
      <w:r>
        <w:rPr>
          <w:rStyle w:val="KeywordTok"/>
        </w:rPr>
        <w:t xml:space="preserve">&amp;</w:t>
      </w:r>
      <w:r>
        <w:rPr>
          <w:rStyle w:val="NormalTok"/>
        </w:rPr>
        <w:t xml:space="preserve"> oList.Length</w:t>
      </w:r>
      <w:r>
        <w:br/>
      </w:r>
      <w:r>
        <w:rPr>
          <w:rStyle w:val="KeywordTok"/>
        </w:rPr>
        <w:t xml:space="preserve">Set</w:t>
      </w:r>
      <w:r>
        <w:rPr>
          <w:rStyle w:val="NormalTok"/>
        </w:rPr>
        <w:t xml:space="preserve"> oXML = </w:t>
      </w:r>
      <w:r>
        <w:rPr>
          <w:rStyle w:val="KeywordTok"/>
        </w:rPr>
        <w:t xml:space="preserve">Nothing</w:t>
      </w:r>
      <w:r>
        <w:br/>
      </w:r>
      <w:r>
        <w:rPr>
          <w:rStyle w:val="DataTypeTok"/>
        </w:rPr>
        <w:t xml:space="preserve">%&gt;</w:t>
      </w:r>
    </w:p>
    <w:bookmarkEnd w:id="6743"/>
    <w:bookmarkEnd w:id="6744"/>
    <w:bookmarkStart w:id="6745" w:name="examples-1"/>
    <w:p>
      <w:pPr>
        <w:pStyle w:val="Heading1"/>
      </w:pPr>
      <w:r>
        <w:t xml:space="preserve">Examples</w:t>
      </w:r>
    </w:p>
    <w:bookmarkEnd w:id="6745"/>
    <w:bookmarkStart w:id="6755" w:name="asp-example-applications"/>
    <w:p>
      <w:pPr>
        <w:pStyle w:val="Heading1"/>
      </w:pPr>
      <w:r>
        <w:t xml:space="preserve">ASP Example Applications</w:t>
      </w:r>
    </w:p>
    <w:bookmarkStart w:id="6746" w:name="overview-683"/>
    <w:p>
      <w:pPr>
        <w:pStyle w:val="Heading2"/>
      </w:pPr>
      <w:r>
        <w:t xml:space="preserve">Overview</w:t>
      </w:r>
    </w:p>
    <w:p>
      <w:pPr>
        <w:pStyle w:val="FirstParagraph"/>
      </w:pPr>
      <w:r>
        <w:t xml:space="preserve">AxonASP ships with five example web applications and one visual builder tool located under the</w:t>
      </w:r>
      <w:r>
        <w:t xml:space="preserve"> </w:t>
      </w:r>
      <w:r>
        <w:rPr>
          <w:rStyle w:val="VerbatimChar"/>
        </w:rPr>
        <w:t xml:space="preserve">www/</w:t>
      </w:r>
      <w:r>
        <w:t xml:space="preserve"> </w:t>
      </w:r>
      <w:r>
        <w:t xml:space="preserve">directory. Each example demonstrates a common web application pattern implemented in Classic ASP using AxonASP features. The examples are intended as learning references and starting points for new projects.</w:t>
      </w:r>
    </w:p>
    <w:p>
      <w:pPr>
        <w:pStyle w:val="BodyText"/>
      </w:pPr>
      <w:r>
        <w:t xml:space="preserve">Access the examples from the web root while the HTTP server is running at</w:t>
      </w:r>
      <w:r>
        <w:t xml:space="preserve"> </w:t>
      </w:r>
      <w:r>
        <w:rPr>
          <w:rStyle w:val="VerbatimChar"/>
        </w:rPr>
        <w:t xml:space="preserve">http://localhost:8801/</w:t>
      </w:r>
      <w:r>
        <w:t xml:space="preserve">.</w:t>
      </w:r>
    </w:p>
    <w:p>
      <w:r>
        <w:pict>
          <v:rect style="width:0;height:1.5pt" o:hralign="center" o:hrstd="t" o:hr="t"/>
        </w:pict>
      </w:r>
    </w:p>
    <w:bookmarkEnd w:id="6746"/>
    <w:bookmarkStart w:id="6747" w:name="mvc-model-view-controller"/>
    <w:p>
      <w:pPr>
        <w:pStyle w:val="Heading2"/>
      </w:pPr>
      <w:r>
        <w:t xml:space="preserve">MVC — Model-View-Controller</w:t>
      </w:r>
    </w:p>
    <w:p>
      <w:pPr>
        <w:pStyle w:val="FirstParagraph"/>
      </w:pPr>
      <w:r>
        <w:rPr>
          <w:b/>
          <w:bCs/>
        </w:rPr>
        <w:t xml:space="preserve">Path:</w:t>
      </w:r>
      <w:r>
        <w:t xml:space="preserve"> </w:t>
      </w:r>
      <w:r>
        <w:rPr>
          <w:rStyle w:val="VerbatimChar"/>
        </w:rPr>
        <w:t xml:space="preserve">./www/mvc/</w:t>
      </w:r>
      <w:r>
        <w:t xml:space="preserve"> </w:t>
      </w:r>
      <w:r>
        <w:rPr>
          <w:b/>
          <w:bCs/>
        </w:rPr>
        <w:t xml:space="preserve">URL:</w:t>
      </w:r>
      <w:r>
        <w:t xml:space="preserve"> </w:t>
      </w:r>
      <w:r>
        <w:rPr>
          <w:rStyle w:val="VerbatimChar"/>
        </w:rPr>
        <w:t xml:space="preserve">http://localhost:8801/mvc/</w:t>
      </w:r>
    </w:p>
    <w:p>
      <w:pPr>
        <w:pStyle w:val="BodyText"/>
      </w:pPr>
      <w:r>
        <w:t xml:space="preserve">This example implements the Model-View-Controller pattern in Classic ASP. Responsibilities are separated into three layers:</w:t>
      </w:r>
    </w:p>
    <w:tbl>
      <w:tblPr>
        <w:tblStyle w:val="Table"/>
        <w:tblW w:type="pct" w:w="5000"/>
        <w:tblLayout w:type="fixed"/>
        <w:tblLook w:firstRow="1" w:lastRow="0" w:firstColumn="0" w:lastColumn="0" w:noHBand="0" w:noVBand="0" w:val="0020"/>
      </w:tblPr>
      <w:tblGrid>
        <w:gridCol w:w="5853"/>
        <w:gridCol w:w="2066"/>
      </w:tblGrid>
      <w:tr>
        <w:trPr>
          <w:tblHeader w:val="on"/>
        </w:trPr>
        <w:tc>
          <w:tcPr/>
          <w:p>
            <w:pPr>
              <w:pStyle w:val="Compact"/>
            </w:pPr>
            <w:r>
              <w:t xml:space="preserve">Directory / File</w:t>
            </w:r>
          </w:p>
        </w:tc>
        <w:tc>
          <w:tcPr/>
          <w:p>
            <w:pPr>
              <w:pStyle w:val="Compact"/>
            </w:pPr>
            <w:r>
              <w:t xml:space="preserve">Role</w:t>
            </w:r>
          </w:p>
        </w:tc>
      </w:tr>
      <w:tr>
        <w:tc>
          <w:tcPr/>
          <w:p>
            <w:pPr>
              <w:pStyle w:val="Compact"/>
            </w:pPr>
            <w:r>
              <w:rPr>
                <w:rStyle w:val="VerbatimChar"/>
              </w:rPr>
              <w:t xml:space="preserve">mvc/model/site_model.asp</w:t>
            </w:r>
          </w:p>
        </w:tc>
        <w:tc>
          <w:tcPr/>
          <w:p>
            <w:pPr>
              <w:pStyle w:val="Compact"/>
            </w:pPr>
            <w:r>
              <w:t xml:space="preserve">Data and business logic functions</w:t>
            </w:r>
          </w:p>
        </w:tc>
      </w:tr>
      <w:tr>
        <w:tc>
          <w:tcPr/>
          <w:p>
            <w:pPr>
              <w:pStyle w:val="Compact"/>
            </w:pPr>
            <w:r>
              <w:rPr>
                <w:rStyle w:val="VerbatimChar"/>
              </w:rPr>
              <w:t xml:space="preserve">mvc/controller/site_controller.asp</w:t>
            </w:r>
          </w:p>
        </w:tc>
        <w:tc>
          <w:tcPr/>
          <w:p>
            <w:pPr>
              <w:pStyle w:val="Compact"/>
            </w:pPr>
            <w:r>
              <w:t xml:space="preserve">Request handling, page routing, assembling data for views</w:t>
            </w:r>
          </w:p>
        </w:tc>
      </w:tr>
      <w:tr>
        <w:tc>
          <w:tcPr/>
          <w:p>
            <w:pPr>
              <w:pStyle w:val="Compact"/>
            </w:pPr>
            <w:r>
              <w:rPr>
                <w:rStyle w:val="VerbatimChar"/>
              </w:rPr>
              <w:t xml:space="preserve">mvc/view/</w:t>
            </w:r>
          </w:p>
        </w:tc>
        <w:tc>
          <w:tcPr/>
          <w:p>
            <w:pPr>
              <w:pStyle w:val="Compact"/>
            </w:pPr>
            <w:r>
              <w:t xml:space="preserve">HTML generation functions, one per template</w:t>
            </w:r>
          </w:p>
        </w:tc>
      </w:tr>
      <w:tr>
        <w:tc>
          <w:tcPr/>
          <w:p>
            <w:pPr>
              <w:pStyle w:val="Compact"/>
            </w:pPr>
            <w:r>
              <w:rPr>
                <w:rStyle w:val="VerbatimChar"/>
              </w:rPr>
              <w:t xml:space="preserve">mvc/default.asp</w:t>
            </w:r>
          </w:p>
        </w:tc>
        <w:tc>
          <w:tcPr/>
          <w:p>
            <w:pPr>
              <w:pStyle w:val="Compact"/>
            </w:pPr>
            <w:r>
              <w:t xml:space="preserve">Front controller entry point</w:t>
            </w:r>
          </w:p>
        </w:tc>
      </w:tr>
    </w:tbl>
    <w:p>
      <w:pPr>
        <w:pStyle w:val="BodyText"/>
      </w:pPr>
      <w:r>
        <w:rPr>
          <w:b/>
          <w:bCs/>
        </w:rPr>
        <w:t xml:space="preserve">How it works:</w:t>
      </w:r>
      <w:r>
        <w:t xml:space="preserve"> </w:t>
      </w:r>
      <w:r>
        <w:t xml:space="preserve">The front controller (</w:t>
      </w:r>
      <w:r>
        <w:rPr>
          <w:rStyle w:val="VerbatimChar"/>
        </w:rPr>
        <w:t xml:space="preserve">default.asp</w:t>
      </w:r>
      <w:r>
        <w:t xml:space="preserve">) reads a</w:t>
      </w:r>
      <w:r>
        <w:t xml:space="preserve"> </w:t>
      </w:r>
      <w:r>
        <w:rPr>
          <w:rStyle w:val="VerbatimChar"/>
        </w:rPr>
        <w:t xml:space="preserve">page</w:t>
      </w:r>
      <w:r>
        <w:t xml:space="preserve"> </w:t>
      </w:r>
      <w:r>
        <w:t xml:space="preserve">query string parameter, delegates to the appropriate controller function, and the controller calls the model and a view function to produce HTML output.</w:t>
      </w:r>
    </w:p>
    <w:p>
      <w:pPr>
        <w:pStyle w:val="BodyText"/>
      </w:pPr>
      <w:r>
        <w:rPr>
          <w:b/>
          <w:bCs/>
        </w:rPr>
        <w:t xml:space="preserve">Example request:</w:t>
      </w:r>
    </w:p>
    <w:p>
      <w:pPr>
        <w:pStyle w:val="SourceCode"/>
      </w:pPr>
      <w:r>
        <w:rPr>
          <w:rStyle w:val="VerbatimChar"/>
        </w:rPr>
        <w:t xml:space="preserve">http://localhost:8801/mvc/?page=home</w:t>
      </w:r>
      <w:r>
        <w:br/>
      </w:r>
      <w:r>
        <w:rPr>
          <w:rStyle w:val="VerbatimChar"/>
        </w:rPr>
        <w:t xml:space="preserve">http://localhost:8801/mvc/?page=example</w:t>
      </w:r>
    </w:p>
    <w:p>
      <w:r>
        <w:pict>
          <v:rect style="width:0;height:1.5pt" o:hralign="center" o:hrstd="t" o:hr="t"/>
        </w:pict>
      </w:r>
    </w:p>
    <w:bookmarkEnd w:id="6747"/>
    <w:bookmarkStart w:id="6748" w:name="mvvm-model-view-viewmodel"/>
    <w:p>
      <w:pPr>
        <w:pStyle w:val="Heading2"/>
      </w:pPr>
      <w:r>
        <w:t xml:space="preserve">MVVM — Model-View-ViewModel</w:t>
      </w:r>
    </w:p>
    <w:p>
      <w:pPr>
        <w:pStyle w:val="FirstParagraph"/>
      </w:pPr>
      <w:r>
        <w:rPr>
          <w:b/>
          <w:bCs/>
        </w:rPr>
        <w:t xml:space="preserve">Path:</w:t>
      </w:r>
      <w:r>
        <w:t xml:space="preserve"> </w:t>
      </w:r>
      <w:r>
        <w:rPr>
          <w:rStyle w:val="VerbatimChar"/>
        </w:rPr>
        <w:t xml:space="preserve">./www/mvvm/</w:t>
      </w:r>
      <w:r>
        <w:t xml:space="preserve"> </w:t>
      </w:r>
      <w:r>
        <w:rPr>
          <w:b/>
          <w:bCs/>
        </w:rPr>
        <w:t xml:space="preserve">URL:</w:t>
      </w:r>
      <w:r>
        <w:t xml:space="preserve"> </w:t>
      </w:r>
      <w:r>
        <w:rPr>
          <w:rStyle w:val="VerbatimChar"/>
        </w:rPr>
        <w:t xml:space="preserve">http://localhost:8801/mvvm/</w:t>
      </w:r>
    </w:p>
    <w:p>
      <w:pPr>
        <w:pStyle w:val="BodyText"/>
      </w:pPr>
      <w:r>
        <w:t xml:space="preserve">This example implements the Model-View-ViewModel pattern in Classic ASP. The ViewModel layer prepares display-ready data and exposes it to the View, decoupling rendering from business logic.</w:t>
      </w:r>
    </w:p>
    <w:tbl>
      <w:tblPr>
        <w:tblStyle w:val="Table"/>
        <w:tblW w:type="pct" w:w="5000"/>
        <w:tblLayout w:type="fixed"/>
        <w:tblLook w:firstRow="1" w:lastRow="0" w:firstColumn="0" w:lastColumn="0" w:noHBand="0" w:noVBand="0" w:val="0020"/>
      </w:tblPr>
      <w:tblGrid>
        <w:gridCol w:w="5853"/>
        <w:gridCol w:w="2066"/>
      </w:tblGrid>
      <w:tr>
        <w:trPr>
          <w:tblHeader w:val="on"/>
        </w:trPr>
        <w:tc>
          <w:tcPr/>
          <w:p>
            <w:pPr>
              <w:pStyle w:val="Compact"/>
            </w:pPr>
            <w:r>
              <w:t xml:space="preserve">Directory / File</w:t>
            </w:r>
          </w:p>
        </w:tc>
        <w:tc>
          <w:tcPr/>
          <w:p>
            <w:pPr>
              <w:pStyle w:val="Compact"/>
            </w:pPr>
            <w:r>
              <w:t xml:space="preserve">Role</w:t>
            </w:r>
          </w:p>
        </w:tc>
      </w:tr>
      <w:tr>
        <w:tc>
          <w:tcPr/>
          <w:p>
            <w:pPr>
              <w:pStyle w:val="Compact"/>
            </w:pPr>
            <w:r>
              <w:rPr>
                <w:rStyle w:val="VerbatimChar"/>
              </w:rPr>
              <w:t xml:space="preserve">mvvm/model/site_model.asp</w:t>
            </w:r>
          </w:p>
        </w:tc>
        <w:tc>
          <w:tcPr/>
          <w:p>
            <w:pPr>
              <w:pStyle w:val="Compact"/>
            </w:pPr>
            <w:r>
              <w:t xml:space="preserve">Data access and domain logic</w:t>
            </w:r>
          </w:p>
        </w:tc>
      </w:tr>
      <w:tr>
        <w:tc>
          <w:tcPr/>
          <w:p>
            <w:pPr>
              <w:pStyle w:val="Compact"/>
            </w:pPr>
            <w:r>
              <w:rPr>
                <w:rStyle w:val="VerbatimChar"/>
              </w:rPr>
              <w:t xml:space="preserve">mvvm/viewmodel/site_viewmodel.asp</w:t>
            </w:r>
          </w:p>
        </w:tc>
        <w:tc>
          <w:tcPr/>
          <w:p>
            <w:pPr>
              <w:pStyle w:val="Compact"/>
            </w:pPr>
            <w:r>
              <w:t xml:space="preserve">Data transformation and preparation for display</w:t>
            </w:r>
          </w:p>
        </w:tc>
      </w:tr>
      <w:tr>
        <w:tc>
          <w:tcPr/>
          <w:p>
            <w:pPr>
              <w:pStyle w:val="Compact"/>
            </w:pPr>
            <w:r>
              <w:rPr>
                <w:rStyle w:val="VerbatimChar"/>
              </w:rPr>
              <w:t xml:space="preserve">mvvm/view/</w:t>
            </w:r>
          </w:p>
        </w:tc>
        <w:tc>
          <w:tcPr/>
          <w:p>
            <w:pPr>
              <w:pStyle w:val="Compact"/>
            </w:pPr>
            <w:r>
              <w:t xml:space="preserve">HTML templates consuming ViewModel output</w:t>
            </w:r>
          </w:p>
        </w:tc>
      </w:tr>
      <w:tr>
        <w:tc>
          <w:tcPr/>
          <w:p>
            <w:pPr>
              <w:pStyle w:val="Compact"/>
            </w:pPr>
            <w:r>
              <w:rPr>
                <w:rStyle w:val="VerbatimChar"/>
              </w:rPr>
              <w:t xml:space="preserve">mvvm/default.asp</w:t>
            </w:r>
          </w:p>
        </w:tc>
        <w:tc>
          <w:tcPr/>
          <w:p>
            <w:pPr>
              <w:pStyle w:val="Compact"/>
            </w:pPr>
            <w:r>
              <w:t xml:space="preserve">Entry point and routing</w:t>
            </w:r>
          </w:p>
        </w:tc>
      </w:tr>
    </w:tbl>
    <w:p>
      <w:pPr>
        <w:pStyle w:val="BodyText"/>
      </w:pPr>
      <w:r>
        <w:rPr>
          <w:b/>
          <w:bCs/>
        </w:rPr>
        <w:t xml:space="preserve">How it works:</w:t>
      </w:r>
      <w:r>
        <w:t xml:space="preserve"> </w:t>
      </w:r>
      <w:r>
        <w:t xml:space="preserve">The entry point includes the model and viewmodel layers, resolves the requested route, calls the appropriate ViewModel function, and outputs the rendered HTML.</w:t>
      </w:r>
    </w:p>
    <w:p>
      <w:pPr>
        <w:pStyle w:val="BodyText"/>
      </w:pPr>
      <w:r>
        <w:rPr>
          <w:b/>
          <w:bCs/>
        </w:rPr>
        <w:t xml:space="preserve">Example request:</w:t>
      </w:r>
    </w:p>
    <w:p>
      <w:pPr>
        <w:pStyle w:val="SourceCode"/>
      </w:pPr>
      <w:r>
        <w:rPr>
          <w:rStyle w:val="VerbatimChar"/>
        </w:rPr>
        <w:t xml:space="preserve">http://localhost:8801/mvvm/?page=home</w:t>
      </w:r>
      <w:r>
        <w:br/>
      </w:r>
      <w:r>
        <w:rPr>
          <w:rStyle w:val="VerbatimChar"/>
        </w:rPr>
        <w:t xml:space="preserve">http://localhost:8801/mvvm/?page=example</w:t>
      </w:r>
    </w:p>
    <w:p>
      <w:r>
        <w:pict>
          <v:rect style="width:0;height:1.5pt" o:hralign="center" o:hrstd="t" o:hr="t"/>
        </w:pict>
      </w:r>
    </w:p>
    <w:bookmarkEnd w:id="6748"/>
    <w:bookmarkStart w:id="6749" w:name="rest-basic-rest-style-endpoints"/>
    <w:p>
      <w:pPr>
        <w:pStyle w:val="Heading2"/>
      </w:pPr>
      <w:r>
        <w:t xml:space="preserve">REST — Basic REST-Style Endpoints</w:t>
      </w:r>
    </w:p>
    <w:p>
      <w:pPr>
        <w:pStyle w:val="FirstParagraph"/>
      </w:pPr>
      <w:r>
        <w:rPr>
          <w:b/>
          <w:bCs/>
        </w:rPr>
        <w:t xml:space="preserve">Path:</w:t>
      </w:r>
      <w:r>
        <w:t xml:space="preserve"> </w:t>
      </w:r>
      <w:r>
        <w:rPr>
          <w:rStyle w:val="VerbatimChar"/>
        </w:rPr>
        <w:t xml:space="preserve">./www/rest/</w:t>
      </w:r>
      <w:r>
        <w:t xml:space="preserve"> </w:t>
      </w:r>
      <w:r>
        <w:rPr>
          <w:b/>
          <w:bCs/>
        </w:rPr>
        <w:t xml:space="preserve">URL:</w:t>
      </w:r>
      <w:r>
        <w:t xml:space="preserve"> </w:t>
      </w:r>
      <w:r>
        <w:rPr>
          <w:rStyle w:val="VerbatimChar"/>
        </w:rPr>
        <w:t xml:space="preserve">http://localhost:8801/rest/</w:t>
      </w:r>
    </w:p>
    <w:p>
      <w:pPr>
        <w:pStyle w:val="BodyText"/>
      </w:pPr>
      <w:r>
        <w:t xml:space="preserve">This example demonstrates basic REST-style HTTP endpoints using separate</w:t>
      </w:r>
      <w:r>
        <w:t xml:space="preserve"> </w:t>
      </w:r>
      <w:r>
        <w:rPr>
          <w:rStyle w:val="VerbatimChar"/>
        </w:rPr>
        <w:t xml:space="preserve">.asp</w:t>
      </w:r>
      <w:r>
        <w:t xml:space="preserve"> </w:t>
      </w:r>
      <w:r>
        <w:t xml:space="preserve">files under an</w:t>
      </w:r>
      <w:r>
        <w:t xml:space="preserve"> </w:t>
      </w:r>
      <w:r>
        <w:rPr>
          <w:rStyle w:val="VerbatimChar"/>
        </w:rPr>
        <w:t xml:space="preserve">api/</w:t>
      </w:r>
      <w:r>
        <w:t xml:space="preserve"> </w:t>
      </w:r>
      <w:r>
        <w:t xml:space="preserve">subdirectory. A browser front-end page makes JavaScript</w:t>
      </w:r>
      <w:r>
        <w:t xml:space="preserve"> </w:t>
      </w:r>
      <w:r>
        <w:rPr>
          <w:rStyle w:val="VerbatimChar"/>
        </w:rPr>
        <w:t xml:space="preserve">fetch</w:t>
      </w:r>
      <w:r>
        <w:t xml:space="preserve"> </w:t>
      </w:r>
      <w:r>
        <w:t xml:space="preserve">requests to the endpoints and displays the JSON responses.</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Path</w:t>
            </w:r>
          </w:p>
        </w:tc>
        <w:tc>
          <w:tcPr/>
          <w:p>
            <w:pPr>
              <w:pStyle w:val="Compact"/>
            </w:pPr>
            <w:r>
              <w:t xml:space="preserve">Description</w:t>
            </w:r>
          </w:p>
        </w:tc>
      </w:tr>
      <w:tr>
        <w:tc>
          <w:tcPr/>
          <w:p>
            <w:pPr>
              <w:pStyle w:val="Compact"/>
            </w:pPr>
            <w:r>
              <w:rPr>
                <w:rStyle w:val="VerbatimChar"/>
              </w:rPr>
              <w:t xml:space="preserve">rest/default.asp</w:t>
            </w:r>
          </w:p>
        </w:tc>
        <w:tc>
          <w:tcPr/>
          <w:p>
            <w:pPr>
              <w:pStyle w:val="Compact"/>
            </w:pPr>
            <w:r>
              <w:t xml:space="preserve">Demo front-end page with buttons to call the API endpoints</w:t>
            </w:r>
          </w:p>
        </w:tc>
      </w:tr>
      <w:tr>
        <w:tc>
          <w:tcPr/>
          <w:p>
            <w:pPr>
              <w:pStyle w:val="Compact"/>
            </w:pPr>
            <w:r>
              <w:rPr>
                <w:rStyle w:val="VerbatimChar"/>
              </w:rPr>
              <w:t xml:space="preserve">rest/api/status.asp</w:t>
            </w:r>
          </w:p>
        </w:tc>
        <w:tc>
          <w:tcPr/>
          <w:p>
            <w:pPr>
              <w:pStyle w:val="Compact"/>
            </w:pPr>
            <w:r>
              <w:t xml:space="preserve">Returns a JSON status response</w:t>
            </w:r>
          </w:p>
        </w:tc>
      </w:tr>
      <w:tr>
        <w:tc>
          <w:tcPr/>
          <w:p>
            <w:pPr>
              <w:pStyle w:val="Compact"/>
            </w:pPr>
            <w:r>
              <w:rPr>
                <w:rStyle w:val="VerbatimChar"/>
              </w:rPr>
              <w:t xml:space="preserve">rest/api/echo.asp</w:t>
            </w:r>
          </w:p>
        </w:tc>
        <w:tc>
          <w:tcPr/>
          <w:p>
            <w:pPr>
              <w:pStyle w:val="Compact"/>
            </w:pPr>
            <w:r>
              <w:t xml:space="preserve">Returns the</w:t>
            </w:r>
            <w:r>
              <w:t xml:space="preserve"> </w:t>
            </w:r>
            <w:r>
              <w:rPr>
                <w:rStyle w:val="VerbatimChar"/>
              </w:rPr>
              <w:t xml:space="preserve">name</w:t>
            </w:r>
            <w:r>
              <w:t xml:space="preserve"> </w:t>
            </w:r>
            <w:r>
              <w:t xml:space="preserve">query string parameter as a JSON echo response</w:t>
            </w:r>
          </w:p>
        </w:tc>
      </w:tr>
    </w:tbl>
    <w:p>
      <w:pPr>
        <w:pStyle w:val="BodyText"/>
      </w:pPr>
      <w:r>
        <w:rPr>
          <w:b/>
          <w:bCs/>
        </w:rPr>
        <w:t xml:space="preserve">How it works:</w:t>
      </w:r>
      <w:r>
        <w:t xml:space="preserve"> </w:t>
      </w:r>
      <w:r>
        <w:t xml:space="preserve">Each endpoint file in</w:t>
      </w:r>
      <w:r>
        <w:t xml:space="preserve"> </w:t>
      </w:r>
      <w:r>
        <w:rPr>
          <w:rStyle w:val="VerbatimChar"/>
        </w:rPr>
        <w:t xml:space="preserve">api/</w:t>
      </w:r>
      <w:r>
        <w:t xml:space="preserve"> </w:t>
      </w:r>
      <w:r>
        <w:t xml:space="preserve">reads the request, builds a response dictionary using</w:t>
      </w:r>
      <w:r>
        <w:t xml:space="preserve"> </w:t>
      </w:r>
      <w:r>
        <w:rPr>
          <w:rStyle w:val="VerbatimChar"/>
        </w:rPr>
        <w:t xml:space="preserve">G3JSON</w:t>
      </w:r>
      <w:r>
        <w:t xml:space="preserve">, and writes the JSON string with the correct</w:t>
      </w:r>
      <w:r>
        <w:t xml:space="preserve"> </w:t>
      </w:r>
      <w:r>
        <w:rPr>
          <w:rStyle w:val="VerbatimChar"/>
        </w:rPr>
        <w:t xml:space="preserve">Content-Type</w:t>
      </w:r>
      <w:r>
        <w:t xml:space="preserve"> </w:t>
      </w:r>
      <w:r>
        <w:t xml:space="preserve">header.</w:t>
      </w:r>
    </w:p>
    <w:p>
      <w:pPr>
        <w:pStyle w:val="BodyText"/>
      </w:pPr>
      <w:r>
        <w:rPr>
          <w:b/>
          <w:bCs/>
        </w:rPr>
        <w:t xml:space="preserve">Example requests:</w:t>
      </w:r>
    </w:p>
    <w:p>
      <w:pPr>
        <w:pStyle w:val="SourceCode"/>
      </w:pPr>
      <w:r>
        <w:rPr>
          <w:rStyle w:val="VerbatimChar"/>
        </w:rPr>
        <w:t xml:space="preserve">GET http://localhost:8801/rest/api/status.asp</w:t>
      </w:r>
      <w:r>
        <w:br/>
      </w:r>
      <w:r>
        <w:rPr>
          <w:rStyle w:val="VerbatimChar"/>
        </w:rPr>
        <w:t xml:space="preserve">GET http://localhost:8801/rest/api/echo.asp?name=AxonASP</w:t>
      </w:r>
    </w:p>
    <w:p>
      <w:r>
        <w:pict>
          <v:rect style="width:0;height:1.5pt" o:hralign="center" o:hrstd="t" o:hr="t"/>
        </w:pict>
      </w:r>
    </w:p>
    <w:bookmarkEnd w:id="6749"/>
    <w:bookmarkStart w:id="6750" w:name="restful-full-restful-api"/>
    <w:p>
      <w:pPr>
        <w:pStyle w:val="Heading2"/>
      </w:pPr>
      <w:r>
        <w:t xml:space="preserve">RESTful — Full RESTful API</w:t>
      </w:r>
    </w:p>
    <w:p>
      <w:pPr>
        <w:pStyle w:val="FirstParagraph"/>
      </w:pPr>
      <w:r>
        <w:rPr>
          <w:b/>
          <w:bCs/>
        </w:rPr>
        <w:t xml:space="preserve">Path:</w:t>
      </w:r>
      <w:r>
        <w:t xml:space="preserve"> </w:t>
      </w:r>
      <w:r>
        <w:rPr>
          <w:rStyle w:val="VerbatimChar"/>
        </w:rPr>
        <w:t xml:space="preserve">./www/restful/</w:t>
      </w:r>
      <w:r>
        <w:t xml:space="preserve"> </w:t>
      </w:r>
      <w:r>
        <w:rPr>
          <w:b/>
          <w:bCs/>
        </w:rPr>
        <w:t xml:space="preserve">URL:</w:t>
      </w:r>
      <w:r>
        <w:t xml:space="preserve"> </w:t>
      </w:r>
      <w:r>
        <w:rPr>
          <w:rStyle w:val="VerbatimChar"/>
        </w:rPr>
        <w:t xml:space="preserve">http://localhost:8801/restful/</w:t>
      </w:r>
    </w:p>
    <w:p>
      <w:pPr>
        <w:pStyle w:val="BodyText"/>
      </w:pPr>
      <w:r>
        <w:t xml:space="preserve">This example extends the REST example with a more complete RESTful design, including support for multiple HTTP verbs and resource-oriented endpoints.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Path</w:t>
            </w:r>
          </w:p>
        </w:tc>
        <w:tc>
          <w:tcPr/>
          <w:p>
            <w:pPr>
              <w:pStyle w:val="Compact"/>
            </w:pPr>
            <w:r>
              <w:t xml:space="preserve">Description</w:t>
            </w:r>
          </w:p>
        </w:tc>
      </w:tr>
      <w:tr>
        <w:tc>
          <w:tcPr/>
          <w:p>
            <w:pPr>
              <w:pStyle w:val="Compact"/>
            </w:pPr>
            <w:r>
              <w:rPr>
                <w:rStyle w:val="VerbatimChar"/>
              </w:rPr>
              <w:t xml:space="preserve">restful/default.asp</w:t>
            </w:r>
          </w:p>
        </w:tc>
        <w:tc>
          <w:tcPr/>
          <w:p>
            <w:pPr>
              <w:pStyle w:val="Compact"/>
            </w:pPr>
            <w:r>
              <w:t xml:space="preserve">Front-end page demonstrating API calls</w:t>
            </w:r>
          </w:p>
        </w:tc>
      </w:tr>
      <w:tr>
        <w:tc>
          <w:tcPr/>
          <w:p>
            <w:pPr>
              <w:pStyle w:val="Compact"/>
            </w:pPr>
            <w:r>
              <w:rPr>
                <w:rStyle w:val="VerbatimChar"/>
              </w:rPr>
              <w:t xml:space="preserve">restful/api/</w:t>
            </w:r>
          </w:p>
        </w:tc>
        <w:tc>
          <w:tcPr/>
          <w:p>
            <w:pPr>
              <w:pStyle w:val="Compact"/>
            </w:pPr>
            <w:r>
              <w:t xml:space="preserve">API endpoint files organized by resource</w:t>
            </w:r>
          </w:p>
        </w:tc>
      </w:tr>
    </w:tbl>
    <w:p>
      <w:pPr>
        <w:pStyle w:val="BodyText"/>
      </w:pPr>
      <w:r>
        <w:rPr>
          <w:b/>
          <w:bCs/>
        </w:rPr>
        <w:t xml:space="preserve">How it works:</w:t>
      </w:r>
      <w:r>
        <w:t xml:space="preserve"> </w:t>
      </w:r>
      <w:r>
        <w:t xml:space="preserve">Endpoint scripts branch on</w:t>
      </w:r>
      <w:r>
        <w:t xml:space="preserve"> </w:t>
      </w:r>
      <w:r>
        <w:rPr>
          <w:rStyle w:val="VerbatimChar"/>
        </w:rPr>
        <w:t xml:space="preserve">Request.ServerVariables("REQUEST_METHOD")</w:t>
      </w:r>
      <w:r>
        <w:t xml:space="preserve"> </w:t>
      </w:r>
      <w:r>
        <w:t xml:space="preserve">to handle</w:t>
      </w:r>
      <w:r>
        <w:t xml:space="preserve"> </w:t>
      </w:r>
      <w:r>
        <w:rPr>
          <w:rStyle w:val="VerbatimChar"/>
        </w:rPr>
        <w:t xml:space="preserve">GET</w:t>
      </w:r>
      <w:r>
        <w:t xml:space="preserve">,</w:t>
      </w:r>
      <w:r>
        <w:t xml:space="preserve"> </w:t>
      </w:r>
      <w:r>
        <w:rPr>
          <w:rStyle w:val="VerbatimChar"/>
        </w:rPr>
        <w:t xml:space="preserve">POST</w:t>
      </w:r>
      <w:r>
        <w:t xml:space="preserve">,</w:t>
      </w:r>
      <w:r>
        <w:t xml:space="preserve"> </w:t>
      </w:r>
      <w:r>
        <w:rPr>
          <w:rStyle w:val="VerbatimChar"/>
        </w:rPr>
        <w:t xml:space="preserve">PUT</w:t>
      </w:r>
      <w:r>
        <w:t xml:space="preserve">, and</w:t>
      </w:r>
      <w:r>
        <w:t xml:space="preserve"> </w:t>
      </w:r>
      <w:r>
        <w:rPr>
          <w:rStyle w:val="VerbatimChar"/>
        </w:rPr>
        <w:t xml:space="preserve">DELETE</w:t>
      </w:r>
      <w:r>
        <w:t xml:space="preserve"> </w:t>
      </w:r>
      <w:r>
        <w:t xml:space="preserve">verbs. Responses are JSON formatted using</w:t>
      </w:r>
      <w:r>
        <w:t xml:space="preserve"> </w:t>
      </w:r>
      <w:r>
        <w:rPr>
          <w:rStyle w:val="VerbatimChar"/>
        </w:rPr>
        <w:t xml:space="preserve">G3JSON</w:t>
      </w:r>
      <w:r>
        <w:t xml:space="preserve">.</w:t>
      </w:r>
    </w:p>
    <w:p>
      <w:r>
        <w:pict>
          <v:rect style="width:0;height:1.5pt" o:hralign="center" o:hrstd="t" o:hr="t"/>
        </w:pict>
      </w:r>
    </w:p>
    <w:bookmarkEnd w:id="6750"/>
    <w:bookmarkStart w:id="6751" w:name="jscript-api-jscript-powered-json-service"/>
    <w:p>
      <w:pPr>
        <w:pStyle w:val="Heading2"/>
      </w:pPr>
      <w:r>
        <w:t xml:space="preserve">JScript API — JScript Powered JSON Service</w:t>
      </w:r>
    </w:p>
    <w:p>
      <w:pPr>
        <w:pStyle w:val="FirstParagraph"/>
      </w:pPr>
      <w:r>
        <w:rPr>
          <w:b/>
          <w:bCs/>
        </w:rPr>
        <w:t xml:space="preserve">Path:</w:t>
      </w:r>
      <w:r>
        <w:t xml:space="preserve"> </w:t>
      </w:r>
      <w:r>
        <w:rPr>
          <w:rStyle w:val="VerbatimChar"/>
        </w:rPr>
        <w:t xml:space="preserve">./www/jscript-api/</w:t>
      </w:r>
      <w:r>
        <w:t xml:space="preserve"> </w:t>
      </w:r>
      <w:r>
        <w:rPr>
          <w:b/>
          <w:bCs/>
        </w:rPr>
        <w:t xml:space="preserve">URL:</w:t>
      </w:r>
      <w:r>
        <w:t xml:space="preserve"> </w:t>
      </w:r>
      <w:r>
        <w:rPr>
          <w:rStyle w:val="VerbatimChar"/>
        </w:rPr>
        <w:t xml:space="preserve">http://localhost:8801/jscript-api/</w:t>
      </w:r>
    </w:p>
    <w:p>
      <w:pPr>
        <w:pStyle w:val="BodyText"/>
      </w:pPr>
      <w:r>
        <w:t xml:space="preserve">This example demonstrates how to use</w:t>
      </w:r>
      <w:r>
        <w:t xml:space="preserve"> </w:t>
      </w:r>
      <w:r>
        <w:rPr>
          <w:b/>
          <w:bCs/>
        </w:rPr>
        <w:t xml:space="preserve">JScript (ES5)</w:t>
      </w:r>
      <w:r>
        <w:t xml:space="preserve"> </w:t>
      </w:r>
      <w:r>
        <w:t xml:space="preserve">as the server-side language in AxonASP to build a weather forecast API and a corresponding front-end explorer.</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Path</w:t>
            </w:r>
          </w:p>
        </w:tc>
        <w:tc>
          <w:tcPr/>
          <w:p>
            <w:pPr>
              <w:pStyle w:val="Compact"/>
            </w:pPr>
            <w:r>
              <w:t xml:space="preserve">Description</w:t>
            </w:r>
          </w:p>
        </w:tc>
      </w:tr>
      <w:tr>
        <w:tc>
          <w:tcPr/>
          <w:p>
            <w:pPr>
              <w:pStyle w:val="Compact"/>
            </w:pPr>
            <w:r>
              <w:rPr>
                <w:rStyle w:val="VerbatimChar"/>
              </w:rPr>
              <w:t xml:space="preserve">jscript-api/default.asp</w:t>
            </w:r>
          </w:p>
        </w:tc>
        <w:tc>
          <w:tcPr/>
          <w:p>
            <w:pPr>
              <w:pStyle w:val="Compact"/>
            </w:pPr>
            <w:r>
              <w:t xml:space="preserve">UI Explorer using server-side JScript and client-side AJAX</w:t>
            </w:r>
          </w:p>
        </w:tc>
      </w:tr>
      <w:tr>
        <w:tc>
          <w:tcPr/>
          <w:p>
            <w:pPr>
              <w:pStyle w:val="Compact"/>
            </w:pPr>
            <w:r>
              <w:rPr>
                <w:rStyle w:val="VerbatimChar"/>
              </w:rPr>
              <w:t xml:space="preserve">jscript-api/api.asp</w:t>
            </w:r>
          </w:p>
        </w:tc>
        <w:tc>
          <w:tcPr/>
          <w:p>
            <w:pPr>
              <w:pStyle w:val="Compact"/>
            </w:pPr>
            <w:r>
              <w:t xml:space="preserve">JScript API endpoint that processes JSON data</w:t>
            </w:r>
          </w:p>
        </w:tc>
      </w:tr>
      <w:tr>
        <w:tc>
          <w:tcPr/>
          <w:p>
            <w:pPr>
              <w:pStyle w:val="Compact"/>
            </w:pPr>
            <w:r>
              <w:rPr>
                <w:rStyle w:val="VerbatimChar"/>
              </w:rPr>
              <w:t xml:space="preserve">jscript-api/weather_data.json</w:t>
            </w:r>
          </w:p>
        </w:tc>
        <w:tc>
          <w:tcPr/>
          <w:p>
            <w:pPr>
              <w:pStyle w:val="Compact"/>
            </w:pPr>
            <w:r>
              <w:t xml:space="preserve">JSON data source used by the API</w:t>
            </w:r>
          </w:p>
        </w:tc>
      </w:tr>
    </w:tbl>
    <w:p>
      <w:pPr>
        <w:pStyle w:val="BodyText"/>
      </w:pPr>
      <w:r>
        <w:rPr>
          <w:b/>
          <w:bCs/>
        </w:rPr>
        <w:t xml:space="preserve">How it works:</w:t>
      </w:r>
      <w:r>
        <w:t xml:space="preserve"> </w:t>
      </w:r>
      <w:r>
        <w:t xml:space="preserve">The</w:t>
      </w:r>
      <w:r>
        <w:t xml:space="preserve"> </w:t>
      </w:r>
      <w:r>
        <w:rPr>
          <w:rStyle w:val="VerbatimChar"/>
        </w:rPr>
        <w:t xml:space="preserve">api.asp</w:t>
      </w:r>
      <w:r>
        <w:t xml:space="preserve"> </w:t>
      </w:r>
      <w:r>
        <w:t xml:space="preserve">script uses the native</w:t>
      </w:r>
      <w:r>
        <w:t xml:space="preserve"> </w:t>
      </w:r>
      <w:r>
        <w:rPr>
          <w:rStyle w:val="VerbatimChar"/>
        </w:rPr>
        <w:t xml:space="preserve">G3JSON</w:t>
      </w:r>
      <w:r>
        <w:t xml:space="preserve"> </w:t>
      </w:r>
      <w:r>
        <w:t xml:space="preserve">object to load and parse a local JSON file via</w:t>
      </w:r>
      <w:r>
        <w:t xml:space="preserve"> </w:t>
      </w:r>
      <w:r>
        <w:rPr>
          <w:rStyle w:val="VerbatimChar"/>
        </w:rPr>
        <w:t xml:space="preserve">Server.CreateObject("G3JSON")</w:t>
      </w:r>
      <w:r>
        <w:t xml:space="preserve">. It leverages JScript’s native</w:t>
      </w:r>
      <w:r>
        <w:t xml:space="preserve"> </w:t>
      </w:r>
      <w:r>
        <w:rPr>
          <w:rStyle w:val="VerbatimChar"/>
        </w:rPr>
        <w:t xml:space="preserve">JSON</w:t>
      </w:r>
      <w:r>
        <w:t xml:space="preserve"> </w:t>
      </w:r>
      <w:r>
        <w:t xml:space="preserve">object for serialization and</w:t>
      </w:r>
      <w:r>
        <w:t xml:space="preserve"> </w:t>
      </w:r>
      <w:r>
        <w:rPr>
          <w:rStyle w:val="VerbatimChar"/>
        </w:rPr>
        <w:t xml:space="preserve">try/catch</w:t>
      </w:r>
      <w:r>
        <w:t xml:space="preserve"> </w:t>
      </w:r>
      <w:r>
        <w:t xml:space="preserve">for robust error handling.</w:t>
      </w:r>
    </w:p>
    <w:p>
      <w:pPr>
        <w:pStyle w:val="BodyText"/>
      </w:pPr>
      <w:r>
        <w:rPr>
          <w:b/>
          <w:bCs/>
        </w:rPr>
        <w:t xml:space="preserve">Example requests:</w:t>
      </w:r>
    </w:p>
    <w:p>
      <w:pPr>
        <w:pStyle w:val="SourceCode"/>
      </w:pPr>
      <w:r>
        <w:rPr>
          <w:rStyle w:val="VerbatimChar"/>
        </w:rPr>
        <w:t xml:space="preserve">GET http://localhost:8801/jscript-api/api.asp?location=sao_paulo</w:t>
      </w:r>
      <w:r>
        <w:br/>
      </w:r>
      <w:r>
        <w:rPr>
          <w:rStyle w:val="VerbatimChar"/>
        </w:rPr>
        <w:t xml:space="preserve">GET http://localhost:8801/jscript-api/api.asp?location=tokyo</w:t>
      </w:r>
    </w:p>
    <w:p>
      <w:r>
        <w:pict>
          <v:rect style="width:0;height:1.5pt" o:hralign="center" o:hrstd="t" o:hr="t"/>
        </w:pict>
      </w:r>
    </w:p>
    <w:bookmarkEnd w:id="6751"/>
    <w:bookmarkStart w:id="6752" w:name="axonlive-builder-visual-asp-page-builder"/>
    <w:p>
      <w:pPr>
        <w:pStyle w:val="Heading2"/>
      </w:pPr>
      <w:r>
        <w:t xml:space="preserve">AxonLive Builder — Visual ASP Page Builder</w:t>
      </w:r>
    </w:p>
    <w:p>
      <w:pPr>
        <w:pStyle w:val="FirstParagraph"/>
      </w:pPr>
      <w:r>
        <w:rPr>
          <w:b/>
          <w:bCs/>
        </w:rPr>
        <w:t xml:space="preserve">Path:</w:t>
      </w:r>
      <w:r>
        <w:t xml:space="preserve"> </w:t>
      </w:r>
      <w:r>
        <w:rPr>
          <w:rStyle w:val="VerbatimChar"/>
        </w:rPr>
        <w:t xml:space="preserve">./www/axonlive/builder/</w:t>
      </w:r>
      <w:r>
        <w:t xml:space="preserve"> </w:t>
      </w:r>
      <w:r>
        <w:rPr>
          <w:b/>
          <w:bCs/>
        </w:rPr>
        <w:t xml:space="preserve">URL:</w:t>
      </w:r>
      <w:r>
        <w:t xml:space="preserve"> </w:t>
      </w:r>
      <w:r>
        <w:rPr>
          <w:rStyle w:val="VerbatimChar"/>
        </w:rPr>
        <w:t xml:space="preserve">http://localhost:8801/axonlive/builder/</w:t>
      </w:r>
    </w:p>
    <w:p>
      <w:pPr>
        <w:pStyle w:val="BodyText"/>
      </w:pPr>
      <w:r>
        <w:t xml:space="preserve">This tool provides a visual drag-and-drop interface for composing ASP page layouts and exporting generated</w:t>
      </w:r>
      <w:r>
        <w:t xml:space="preserve"> </w:t>
      </w:r>
      <w:r>
        <w:rPr>
          <w:rStyle w:val="VerbatimChar"/>
        </w:rPr>
        <w:t xml:space="preserve">.asp</w:t>
      </w:r>
      <w:r>
        <w:t xml:space="preserve"> </w:t>
      </w:r>
      <w:r>
        <w:t xml:space="preserve">code.</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Path</w:t>
            </w:r>
          </w:p>
        </w:tc>
        <w:tc>
          <w:tcPr/>
          <w:p>
            <w:pPr>
              <w:pStyle w:val="Compact"/>
            </w:pPr>
            <w:r>
              <w:t xml:space="preserve">Description</w:t>
            </w:r>
          </w:p>
        </w:tc>
      </w:tr>
      <w:tr>
        <w:tc>
          <w:tcPr/>
          <w:p>
            <w:pPr>
              <w:pStyle w:val="Compact"/>
            </w:pPr>
            <w:r>
              <w:rPr>
                <w:rStyle w:val="VerbatimChar"/>
              </w:rPr>
              <w:t xml:space="preserve">axonlive/builder/index.html</w:t>
            </w:r>
          </w:p>
        </w:tc>
        <w:tc>
          <w:tcPr/>
          <w:p>
            <w:pPr>
              <w:pStyle w:val="Compact"/>
            </w:pPr>
            <w:r>
              <w:t xml:space="preserve">Visual builder interface and layout canvas</w:t>
            </w:r>
          </w:p>
        </w:tc>
      </w:tr>
      <w:tr>
        <w:tc>
          <w:tcPr/>
          <w:p>
            <w:pPr>
              <w:pStyle w:val="Compact"/>
            </w:pPr>
            <w:r>
              <w:rPr>
                <w:rStyle w:val="VerbatimChar"/>
              </w:rPr>
              <w:t xml:space="preserve">axonlive/builder/app.js</w:t>
            </w:r>
          </w:p>
        </w:tc>
        <w:tc>
          <w:tcPr/>
          <w:p>
            <w:pPr>
              <w:pStyle w:val="Compact"/>
            </w:pPr>
            <w:r>
              <w:t xml:space="preserve">Builder logic, component model, and ASP code generation</w:t>
            </w:r>
          </w:p>
        </w:tc>
      </w:tr>
      <w:tr>
        <w:tc>
          <w:tcPr/>
          <w:p>
            <w:pPr>
              <w:pStyle w:val="Compact"/>
            </w:pPr>
            <w:r>
              <w:rPr>
                <w:rStyle w:val="VerbatimChar"/>
              </w:rPr>
              <w:t xml:space="preserve">axonlive/builder/builder.css</w:t>
            </w:r>
          </w:p>
        </w:tc>
        <w:tc>
          <w:tcPr/>
          <w:p>
            <w:pPr>
              <w:pStyle w:val="Compact"/>
            </w:pPr>
            <w:r>
              <w:t xml:space="preserve">Builder-specific stylesheet</w:t>
            </w:r>
          </w:p>
        </w:tc>
      </w:tr>
      <w:tr>
        <w:tc>
          <w:tcPr/>
          <w:p>
            <w:pPr>
              <w:pStyle w:val="Compact"/>
            </w:pPr>
            <w:r>
              <w:rPr>
                <w:rStyle w:val="VerbatimChar"/>
              </w:rPr>
              <w:t xml:space="preserve">axonlive/builder/g3axonlive.js</w:t>
            </w:r>
          </w:p>
        </w:tc>
        <w:tc>
          <w:tcPr/>
          <w:p>
            <w:pPr>
              <w:pStyle w:val="Compact"/>
            </w:pPr>
            <w:r>
              <w:t xml:space="preserve">AxonLive integration runtime helpers</w:t>
            </w:r>
          </w:p>
        </w:tc>
      </w:tr>
    </w:tbl>
    <w:p>
      <w:pPr>
        <w:pStyle w:val="BodyText"/>
      </w:pPr>
      <w:r>
        <w:rPr>
          <w:b/>
          <w:bCs/>
        </w:rPr>
        <w:t xml:space="preserve">How it works:</w:t>
      </w:r>
      <w:r>
        <w:t xml:space="preserve"> </w:t>
      </w:r>
      <w:r>
        <w:t xml:space="preserve">Open the builder in your browser, drag components from the toolbox to the canvas, configure properties, then copy or download the generated ASP file.</w:t>
      </w:r>
    </w:p>
    <w:p>
      <w:r>
        <w:pict>
          <v:rect style="width:0;height:1.5pt" o:hralign="center" o:hrstd="t" o:hr="t"/>
        </w:pict>
      </w:r>
    </w:p>
    <w:bookmarkEnd w:id="6752"/>
    <w:bookmarkStart w:id="6753" w:name="shared-asp-patterns"/>
    <w:p>
      <w:pPr>
        <w:pStyle w:val="Heading2"/>
      </w:pPr>
      <w:r>
        <w:t xml:space="preserve">Shared ASP Patterns</w:t>
      </w:r>
    </w:p>
    <w:p>
      <w:pPr>
        <w:pStyle w:val="FirstParagraph"/>
      </w:pPr>
      <w:r>
        <w:t xml:space="preserve">The ASP examples above follow these AxonASP Classic ASP conventions:</w:t>
      </w:r>
    </w:p>
    <w:p>
      <w:pPr>
        <w:pStyle w:val="Compact"/>
        <w:numPr>
          <w:ilvl w:val="0"/>
          <w:numId w:val="2619"/>
        </w:numPr>
      </w:pPr>
      <w:r>
        <w:rPr>
          <w:rStyle w:val="VerbatimChar"/>
        </w:rPr>
        <w:t xml:space="preserve">Option Explicit</w:t>
      </w:r>
      <w:r>
        <w:t xml:space="preserve"> </w:t>
      </w:r>
      <w:r>
        <w:t xml:space="preserve">is declared at the top of VBScript files.</w:t>
      </w:r>
    </w:p>
    <w:p>
      <w:pPr>
        <w:pStyle w:val="Compact"/>
        <w:numPr>
          <w:ilvl w:val="0"/>
          <w:numId w:val="2619"/>
        </w:numPr>
      </w:pPr>
      <w:r>
        <w:t xml:space="preserve">Objects use</w:t>
      </w:r>
      <w:r>
        <w:t xml:space="preserve"> </w:t>
      </w:r>
      <w:r>
        <w:rPr>
          <w:rStyle w:val="VerbatimChar"/>
        </w:rPr>
        <w:t xml:space="preserve">Set ... = Server.CreateObject(...)</w:t>
      </w:r>
      <w:r>
        <w:t xml:space="preserve"> </w:t>
      </w:r>
      <w:r>
        <w:t xml:space="preserve">syntax (VBScript) or</w:t>
      </w:r>
      <w:r>
        <w:t xml:space="preserve"> </w:t>
      </w:r>
      <w:r>
        <w:rPr>
          <w:rStyle w:val="VerbatimChar"/>
        </w:rPr>
        <w:t xml:space="preserve">var ... = Server.CreateObject(...)</w:t>
      </w:r>
      <w:r>
        <w:t xml:space="preserve"> </w:t>
      </w:r>
      <w:r>
        <w:t xml:space="preserve">(JScript).</w:t>
      </w:r>
    </w:p>
    <w:p>
      <w:pPr>
        <w:pStyle w:val="Compact"/>
        <w:numPr>
          <w:ilvl w:val="0"/>
          <w:numId w:val="2619"/>
        </w:numPr>
      </w:pPr>
      <w:r>
        <w:t xml:space="preserve">JSON output uses</w:t>
      </w:r>
      <w:r>
        <w:t xml:space="preserve"> </w:t>
      </w:r>
      <w:r>
        <w:rPr>
          <w:rStyle w:val="VerbatimChar"/>
        </w:rPr>
        <w:t xml:space="preserve">G3JSON</w:t>
      </w:r>
      <w:r>
        <w:t xml:space="preserve"> </w:t>
      </w:r>
      <w:r>
        <w:t xml:space="preserve">(</w:t>
      </w:r>
      <w:r>
        <w:rPr>
          <w:rStyle w:val="VerbatimChar"/>
        </w:rPr>
        <w:t xml:space="preserve">Server.CreateObject("G3JSON")</w:t>
      </w:r>
      <w:r>
        <w:t xml:space="preserve">) or native</w:t>
      </w:r>
      <w:r>
        <w:t xml:space="preserve"> </w:t>
      </w:r>
      <w:r>
        <w:rPr>
          <w:rStyle w:val="VerbatimChar"/>
        </w:rPr>
        <w:t xml:space="preserve">JSON.stringify</w:t>
      </w:r>
      <w:r>
        <w:t xml:space="preserve"> </w:t>
      </w:r>
      <w:r>
        <w:t xml:space="preserve">in JScript.</w:t>
      </w:r>
    </w:p>
    <w:p>
      <w:pPr>
        <w:pStyle w:val="Compact"/>
        <w:numPr>
          <w:ilvl w:val="0"/>
          <w:numId w:val="2619"/>
        </w:numPr>
      </w:pPr>
      <w:r>
        <w:t xml:space="preserve">CSS uses</w:t>
      </w:r>
      <w:r>
        <w:t xml:space="preserve"> </w:t>
      </w:r>
      <w:r>
        <w:rPr>
          <w:rStyle w:val="VerbatimChar"/>
        </w:rPr>
        <w:t xml:space="preserve">../css/axonasp.css</w:t>
      </w:r>
      <w:r>
        <w:t xml:space="preserve"> </w:t>
      </w:r>
      <w:r>
        <w:t xml:space="preserve">from the shared stylesheet.</w:t>
      </w:r>
    </w:p>
    <w:p>
      <w:pPr>
        <w:pStyle w:val="Compact"/>
        <w:numPr>
          <w:ilvl w:val="0"/>
          <w:numId w:val="2619"/>
        </w:numPr>
      </w:pPr>
      <w:r>
        <w:t xml:space="preserve">No framework dependencies — pure Classic ASP using VBScript or JScript.</w:t>
      </w:r>
    </w:p>
    <w:bookmarkEnd w:id="6753"/>
    <w:bookmarkStart w:id="6754" w:name="remarks-791"/>
    <w:p>
      <w:pPr>
        <w:pStyle w:val="Heading2"/>
      </w:pPr>
      <w:r>
        <w:t xml:space="preserve">Remarks</w:t>
      </w:r>
    </w:p>
    <w:p>
      <w:pPr>
        <w:pStyle w:val="Compact"/>
        <w:numPr>
          <w:ilvl w:val="0"/>
          <w:numId w:val="2620"/>
        </w:numPr>
      </w:pPr>
      <w:r>
        <w:t xml:space="preserve">The example applications are for development and educational use only. They are not hardened for production deployment.</w:t>
      </w:r>
    </w:p>
    <w:p>
      <w:pPr>
        <w:pStyle w:val="Compact"/>
        <w:numPr>
          <w:ilvl w:val="0"/>
          <w:numId w:val="2620"/>
        </w:numPr>
      </w:pPr>
      <w:r>
        <w:t xml:space="preserve">To adapt an example as a starting point for a real project, copy the directory to a new location under</w:t>
      </w:r>
      <w:r>
        <w:t xml:space="preserve"> </w:t>
      </w:r>
      <w:r>
        <w:rPr>
          <w:rStyle w:val="VerbatimChar"/>
        </w:rPr>
        <w:t xml:space="preserve">www/</w:t>
      </w:r>
      <w:r>
        <w:t xml:space="preserve"> </w:t>
      </w:r>
      <w:r>
        <w:t xml:space="preserve">and modify the files as needed.</w:t>
      </w:r>
    </w:p>
    <w:p>
      <w:pPr>
        <w:pStyle w:val="Compact"/>
        <w:numPr>
          <w:ilvl w:val="0"/>
          <w:numId w:val="2620"/>
        </w:numPr>
      </w:pPr>
      <w:r>
        <w:t xml:space="preserve">All five web application examples run without any database or external service. They can be exercised immediately after starting the AxonASP HTTP server.</w:t>
      </w:r>
    </w:p>
    <w:bookmarkEnd w:id="6754"/>
    <w:bookmarkEnd w:id="6755"/>
    <w:bookmarkStart w:id="6756" w:name="tools"/>
    <w:p>
      <w:pPr>
        <w:pStyle w:val="Heading1"/>
      </w:pPr>
      <w:r>
        <w:t xml:space="preserve">Tools</w:t>
      </w:r>
    </w:p>
    <w:bookmarkEnd w:id="6756"/>
    <w:bookmarkStart w:id="6765" w:name="database-convert-tool"/>
    <w:p>
      <w:pPr>
        <w:pStyle w:val="Heading1"/>
      </w:pPr>
      <w:r>
        <w:t xml:space="preserve">Database Convert Tool</w:t>
      </w:r>
    </w:p>
    <w:bookmarkStart w:id="6757" w:name="overview-684"/>
    <w:p>
      <w:pPr>
        <w:pStyle w:val="Heading2"/>
      </w:pPr>
      <w:r>
        <w:t xml:space="preserve">Overview</w:t>
      </w:r>
    </w:p>
    <w:p>
      <w:pPr>
        <w:pStyle w:val="FirstParagraph"/>
      </w:pPr>
      <w:r>
        <w:t xml:space="preserve">The Database Convert tool is a built-in AxonASP web application located at</w:t>
      </w:r>
      <w:r>
        <w:t xml:space="preserve"> </w:t>
      </w:r>
      <w:r>
        <w:rPr>
          <w:rStyle w:val="VerbatimChar"/>
        </w:rPr>
        <w:t xml:space="preserve">./www/database-convert/</w:t>
      </w:r>
      <w:r>
        <w:t xml:space="preserve"> </w:t>
      </w:r>
      <w:r>
        <w:t xml:space="preserve">that provides a wizard-style interface for migrating Microsoft Access databases to other database formats supported by AxonASP. The tool reads the source Access database file, inspects its schema and data using ADODB, and writes the content to the selected target.</w:t>
      </w:r>
    </w:p>
    <w:p>
      <w:pPr>
        <w:pStyle w:val="BodyText"/>
      </w:pPr>
      <w:r>
        <w:t xml:space="preserve">Access the tool at:</w:t>
      </w:r>
      <w:r>
        <w:t xml:space="preserve"> </w:t>
      </w:r>
      <w:r>
        <w:rPr>
          <w:rStyle w:val="VerbatimChar"/>
        </w:rPr>
        <w:t xml:space="preserve">http://localhost:8801/database-convert/</w:t>
      </w:r>
    </w:p>
    <w:bookmarkEnd w:id="6757"/>
    <w:bookmarkStart w:id="6758" w:name="supported-conversions"/>
    <w:p>
      <w:pPr>
        <w:pStyle w:val="Heading2"/>
      </w:pPr>
      <w:r>
        <w:t xml:space="preserve">Supported Conversions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Source</w:t>
            </w:r>
          </w:p>
        </w:tc>
        <w:tc>
          <w:tcPr/>
          <w:p>
            <w:pPr>
              <w:pStyle w:val="Compact"/>
            </w:pPr>
            <w:r>
              <w:t xml:space="preserve">Target</w:t>
            </w:r>
          </w:p>
        </w:tc>
        <w:tc>
          <w:tcPr/>
          <w:p>
            <w:pPr>
              <w:pStyle w:val="Compact"/>
            </w:pPr>
            <w:r>
              <w:t xml:space="preserve">Status</w:t>
            </w:r>
          </w:p>
        </w:tc>
      </w:tr>
      <w:tr>
        <w:tc>
          <w:tcPr/>
          <w:p>
            <w:pPr>
              <w:pStyle w:val="Compact"/>
            </w:pPr>
            <w:r>
              <w:t xml:space="preserve">Microsoft Access (.mdb / .accdb)</w:t>
            </w:r>
          </w:p>
        </w:tc>
        <w:tc>
          <w:tcPr/>
          <w:p>
            <w:pPr>
              <w:pStyle w:val="Compact"/>
            </w:pPr>
            <w:r>
              <w:t xml:space="preserve">SQLite</w:t>
            </w:r>
          </w:p>
        </w:tc>
        <w:tc>
          <w:tcPr/>
          <w:p>
            <w:pPr>
              <w:pStyle w:val="Compact"/>
            </w:pPr>
            <w:r>
              <w:t xml:space="preserve">Supported</w:t>
            </w:r>
          </w:p>
        </w:tc>
      </w:tr>
      <w:tr>
        <w:tc>
          <w:tcPr/>
          <w:p>
            <w:pPr>
              <w:pStyle w:val="Compact"/>
            </w:pPr>
            <w:r>
              <w:t xml:space="preserve">Microsoft Access (.mdb / .accdb)</w:t>
            </w:r>
          </w:p>
        </w:tc>
        <w:tc>
          <w:tcPr/>
          <w:p>
            <w:pPr>
              <w:pStyle w:val="Compact"/>
            </w:pPr>
            <w:r>
              <w:t xml:space="preserve">MySQL</w:t>
            </w:r>
          </w:p>
        </w:tc>
        <w:tc>
          <w:tcPr/>
          <w:p>
            <w:pPr>
              <w:pStyle w:val="Compact"/>
            </w:pPr>
            <w:r>
              <w:t xml:space="preserve">Supported</w:t>
            </w:r>
          </w:p>
        </w:tc>
      </w:tr>
      <w:tr>
        <w:tc>
          <w:tcPr/>
          <w:p>
            <w:pPr>
              <w:pStyle w:val="Compact"/>
            </w:pPr>
            <w:r>
              <w:t xml:space="preserve">Microsoft Access (.mdb / .accdb)</w:t>
            </w:r>
          </w:p>
        </w:tc>
        <w:tc>
          <w:tcPr/>
          <w:p>
            <w:pPr>
              <w:pStyle w:val="Compact"/>
            </w:pPr>
            <w:r>
              <w:t xml:space="preserve">PostgreSQL</w:t>
            </w:r>
          </w:p>
        </w:tc>
        <w:tc>
          <w:tcPr/>
          <w:p>
            <w:pPr>
              <w:pStyle w:val="Compact"/>
            </w:pPr>
            <w:r>
              <w:t xml:space="preserve">Supported</w:t>
            </w:r>
          </w:p>
        </w:tc>
      </w:tr>
      <w:tr>
        <w:tc>
          <w:tcPr/>
          <w:p>
            <w:pPr>
              <w:pStyle w:val="Compact"/>
            </w:pPr>
            <w:r>
              <w:t xml:space="preserve">Microsoft Access (.mdb / .accdb)</w:t>
            </w:r>
          </w:p>
        </w:tc>
        <w:tc>
          <w:tcPr/>
          <w:p>
            <w:pPr>
              <w:pStyle w:val="Compact"/>
            </w:pPr>
            <w:r>
              <w:t xml:space="preserve">Microsoft SQL Server</w:t>
            </w:r>
          </w:p>
        </w:tc>
        <w:tc>
          <w:tcPr/>
          <w:p>
            <w:pPr>
              <w:pStyle w:val="Compact"/>
            </w:pPr>
            <w:r>
              <w:t xml:space="preserve">Supported</w:t>
            </w:r>
          </w:p>
        </w:tc>
      </w:tr>
      <w:tr>
        <w:tc>
          <w:tcPr/>
          <w:p>
            <w:pPr>
              <w:pStyle w:val="Compact"/>
            </w:pPr>
            <w:r>
              <w:t xml:space="preserve">Microsoft Access (.mdb / .accdb)</w:t>
            </w:r>
          </w:p>
        </w:tc>
        <w:tc>
          <w:tcPr/>
          <w:p>
            <w:pPr>
              <w:pStyle w:val="Compact"/>
            </w:pPr>
            <w:r>
              <w:t xml:space="preserve">Oracle</w:t>
            </w:r>
          </w:p>
        </w:tc>
        <w:tc>
          <w:tcPr/>
          <w:p>
            <w:pPr>
              <w:pStyle w:val="Compact"/>
            </w:pPr>
            <w:r>
              <w:t xml:space="preserve">Not supported</w:t>
            </w:r>
          </w:p>
        </w:tc>
      </w:tr>
    </w:tbl>
    <w:p>
      <w:pPr>
        <w:pStyle w:val="BlockText"/>
      </w:pPr>
      <w:r>
        <w:rPr>
          <w:b/>
          <w:bCs/>
        </w:rPr>
        <w:t xml:space="preserve">Note:</w:t>
      </w:r>
      <w:r>
        <w:t xml:space="preserve"> </w:t>
      </w:r>
      <w:r>
        <w:t xml:space="preserve">Conversion to Oracle is not currently supported.</w:t>
      </w:r>
    </w:p>
    <w:bookmarkEnd w:id="6758"/>
    <w:bookmarkStart w:id="6759" w:name="how-it-works-88"/>
    <w:p>
      <w:pPr>
        <w:pStyle w:val="Heading2"/>
      </w:pPr>
      <w:r>
        <w:t xml:space="preserve">How It Works</w:t>
      </w:r>
    </w:p>
    <w:p>
      <w:pPr>
        <w:pStyle w:val="FirstParagraph"/>
      </w:pPr>
      <w:r>
        <w:t xml:space="preserve">The conversion runs as an ASP wizard with multiple steps:</w:t>
      </w:r>
    </w:p>
    <w:p>
      <w:pPr>
        <w:pStyle w:val="Compact"/>
        <w:numPr>
          <w:ilvl w:val="0"/>
          <w:numId w:val="2621"/>
        </w:numPr>
      </w:pPr>
      <w:r>
        <w:rPr>
          <w:b/>
          <w:bCs/>
        </w:rPr>
        <w:t xml:space="preserve">Upload step:</w:t>
      </w:r>
      <w:r>
        <w:t xml:space="preserve"> </w:t>
      </w:r>
      <w:r>
        <w:t xml:space="preserve">The user uploads a</w:t>
      </w:r>
      <w:r>
        <w:t xml:space="preserve"> </w:t>
      </w:r>
      <w:r>
        <w:rPr>
          <w:rStyle w:val="VerbatimChar"/>
        </w:rPr>
        <w:t xml:space="preserve">.mdb</w:t>
      </w:r>
      <w:r>
        <w:t xml:space="preserve"> </w:t>
      </w:r>
      <w:r>
        <w:t xml:space="preserve">or</w:t>
      </w:r>
      <w:r>
        <w:t xml:space="preserve"> </w:t>
      </w:r>
      <w:r>
        <w:rPr>
          <w:rStyle w:val="VerbatimChar"/>
        </w:rPr>
        <w:t xml:space="preserve">.accdb</w:t>
      </w:r>
      <w:r>
        <w:t xml:space="preserve"> </w:t>
      </w:r>
      <w:r>
        <w:t xml:space="preserve">Access database file.</w:t>
      </w:r>
    </w:p>
    <w:p>
      <w:pPr>
        <w:pStyle w:val="Compact"/>
        <w:numPr>
          <w:ilvl w:val="0"/>
          <w:numId w:val="2621"/>
        </w:numPr>
      </w:pPr>
      <w:r>
        <w:rPr>
          <w:b/>
          <w:bCs/>
        </w:rPr>
        <w:t xml:space="preserve">Target selection step:</w:t>
      </w:r>
      <w:r>
        <w:t xml:space="preserve"> </w:t>
      </w:r>
      <w:r>
        <w:t xml:space="preserve">The user selects the destination database type and provides connection details.</w:t>
      </w:r>
    </w:p>
    <w:p>
      <w:pPr>
        <w:pStyle w:val="Compact"/>
        <w:numPr>
          <w:ilvl w:val="0"/>
          <w:numId w:val="2621"/>
        </w:numPr>
      </w:pPr>
      <w:r>
        <w:rPr>
          <w:b/>
          <w:bCs/>
        </w:rPr>
        <w:t xml:space="preserve">Conversion step:</w:t>
      </w:r>
      <w:r>
        <w:t xml:space="preserve"> </w:t>
      </w:r>
      <w:r>
        <w:t xml:space="preserve">The worker script (</w:t>
      </w:r>
      <w:r>
        <w:rPr>
          <w:rStyle w:val="VerbatimChar"/>
        </w:rPr>
        <w:t xml:space="preserve">import_worker.asp</w:t>
      </w:r>
      <w:r>
        <w:t xml:space="preserve">) opens the source database using ADODB with the ACE OLE DB or Jet OLE DB provider, reads each table’s schema, creates equivalent tables in the target database, and inserts all rows in batches.</w:t>
      </w:r>
    </w:p>
    <w:p>
      <w:pPr>
        <w:pStyle w:val="FirstParagraph"/>
      </w:pPr>
      <w:r>
        <w:t xml:space="preserve">The tool uses:</w:t>
      </w:r>
      <w:r>
        <w:t xml:space="preserve"> </w:t>
      </w:r>
      <w:r>
        <w:t xml:space="preserve">-</w:t>
      </w:r>
      <w:r>
        <w:t xml:space="preserve"> </w:t>
      </w:r>
      <w:r>
        <w:rPr>
          <w:rStyle w:val="VerbatimChar"/>
        </w:rPr>
        <w:t xml:space="preserve">ADODB.Connection</w:t>
      </w:r>
      <w:r>
        <w:t xml:space="preserve"> </w:t>
      </w:r>
      <w:r>
        <w:t xml:space="preserve">to open both the source and the target database.</w:t>
      </w:r>
      <w:r>
        <w:t xml:space="preserve"> </w:t>
      </w:r>
      <w:r>
        <w:t xml:space="preserve">-</w:t>
      </w:r>
      <w:r>
        <w:t xml:space="preserve"> </w:t>
      </w:r>
      <w:r>
        <w:rPr>
          <w:rStyle w:val="VerbatimChar"/>
        </w:rPr>
        <w:t xml:space="preserve">G3FILES</w:t>
      </w:r>
      <w:r>
        <w:t xml:space="preserve"> </w:t>
      </w:r>
      <w:r>
        <w:t xml:space="preserve">for file handling and temporary storage of the uploaded database.</w:t>
      </w:r>
      <w:r>
        <w:t xml:space="preserve"> </w:t>
      </w:r>
      <w:r>
        <w:t xml:space="preserve">- A target-specific connection string built from the connection parameters provided by the user.</w:t>
      </w:r>
    </w:p>
    <w:bookmarkEnd w:id="6759"/>
    <w:bookmarkStart w:id="6760" w:name="prerequisites-177"/>
    <w:p>
      <w:pPr>
        <w:pStyle w:val="Heading2"/>
      </w:pPr>
      <w:r>
        <w:t xml:space="preserve">Prerequisites</w:t>
      </w:r>
    </w:p>
    <w:p>
      <w:pPr>
        <w:pStyle w:val="Compact"/>
        <w:numPr>
          <w:ilvl w:val="0"/>
          <w:numId w:val="2622"/>
        </w:numPr>
      </w:pPr>
      <w:r>
        <w:rPr>
          <w:b/>
          <w:bCs/>
        </w:rPr>
        <w:t xml:space="preserve">Windows only:</w:t>
      </w:r>
      <w:r>
        <w:t xml:space="preserve"> </w:t>
      </w:r>
      <w:r>
        <w:t xml:space="preserve">The source database connection requires the Microsoft Access Database Engine (ACE OLE DB 12.0) or the older Jet OLE DB 4.0 provider. These are Windows-only COM providers.</w:t>
      </w:r>
    </w:p>
    <w:p>
      <w:pPr>
        <w:pStyle w:val="Compact"/>
        <w:numPr>
          <w:ilvl w:val="0"/>
          <w:numId w:val="2622"/>
        </w:numPr>
      </w:pPr>
      <w:r>
        <w:t xml:space="preserve">The target database must be reachable from the machine running AxonASP.</w:t>
      </w:r>
    </w:p>
    <w:p>
      <w:pPr>
        <w:pStyle w:val="Compact"/>
        <w:numPr>
          <w:ilvl w:val="0"/>
          <w:numId w:val="2622"/>
        </w:numPr>
      </w:pPr>
      <w:r>
        <w:t xml:space="preserve">For SQLite: the</w:t>
      </w:r>
      <w:r>
        <w:t xml:space="preserve"> </w:t>
      </w:r>
      <w:r>
        <w:rPr>
          <w:rStyle w:val="VerbatimChar"/>
        </w:rPr>
        <w:t xml:space="preserve">SQLITE_PATH</w:t>
      </w:r>
      <w:r>
        <w:t xml:space="preserve"> </w:t>
      </w:r>
      <w:r>
        <w:t xml:space="preserve">environment variable must point to the destination</w:t>
      </w:r>
      <w:r>
        <w:t xml:space="preserve"> </w:t>
      </w:r>
      <w:r>
        <w:rPr>
          <w:rStyle w:val="VerbatimChar"/>
        </w:rPr>
        <w:t xml:space="preserve">.db</w:t>
      </w:r>
      <w:r>
        <w:t xml:space="preserve"> </w:t>
      </w:r>
      <w:r>
        <w:t xml:space="preserve">file.</w:t>
      </w:r>
    </w:p>
    <w:p>
      <w:pPr>
        <w:pStyle w:val="Compact"/>
        <w:numPr>
          <w:ilvl w:val="0"/>
          <w:numId w:val="2622"/>
        </w:numPr>
      </w:pPr>
      <w:r>
        <w:t xml:space="preserve">For MySQL, PostgreSQL, or SQL Server: valid host, port, database name, username, and password are required.</w:t>
      </w:r>
    </w:p>
    <w:bookmarkEnd w:id="6760"/>
    <w:bookmarkStart w:id="6761" w:name="identifier-quoting"/>
    <w:p>
      <w:pPr>
        <w:pStyle w:val="Heading2"/>
      </w:pPr>
      <w:r>
        <w:t xml:space="preserve">Identifier Quoting</w:t>
      </w:r>
    </w:p>
    <w:p>
      <w:pPr>
        <w:pStyle w:val="FirstParagraph"/>
      </w:pPr>
      <w:r>
        <w:t xml:space="preserve">The tool applies correct identifier quoting for each target dialect: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Target</w:t>
            </w:r>
          </w:p>
        </w:tc>
        <w:tc>
          <w:tcPr/>
          <w:p>
            <w:pPr>
              <w:pStyle w:val="Compact"/>
            </w:pPr>
            <w:r>
              <w:t xml:space="preserve">Quoting style</w:t>
            </w:r>
          </w:p>
        </w:tc>
      </w:tr>
      <w:tr>
        <w:tc>
          <w:tcPr/>
          <w:p>
            <w:pPr>
              <w:pStyle w:val="Compact"/>
            </w:pPr>
            <w:r>
              <w:t xml:space="preserve">SQLite</w:t>
            </w:r>
          </w:p>
        </w:tc>
        <w:tc>
          <w:tcPr/>
          <w:p>
            <w:pPr>
              <w:pStyle w:val="Compact"/>
            </w:pPr>
            <w:r>
              <w:rPr>
                <w:rStyle w:val="VerbatimChar"/>
              </w:rPr>
              <w:t xml:space="preserve">[brackets]</w:t>
            </w:r>
          </w:p>
        </w:tc>
      </w:tr>
      <w:tr>
        <w:tc>
          <w:tcPr/>
          <w:p>
            <w:pPr>
              <w:pStyle w:val="Compact"/>
            </w:pPr>
            <w:r>
              <w:t xml:space="preserve">SQL Server</w:t>
            </w:r>
          </w:p>
        </w:tc>
        <w:tc>
          <w:tcPr/>
          <w:p>
            <w:pPr>
              <w:pStyle w:val="Compact"/>
            </w:pPr>
            <w:r>
              <w:rPr>
                <w:rStyle w:val="VerbatimChar"/>
              </w:rPr>
              <w:t xml:space="preserve">[brackets]</w:t>
            </w:r>
          </w:p>
        </w:tc>
      </w:tr>
      <w:tr>
        <w:tc>
          <w:tcPr/>
          <w:p>
            <w:pPr>
              <w:pStyle w:val="Compact"/>
            </w:pPr>
            <w:r>
              <w:t xml:space="preserve">MySQL</w:t>
            </w:r>
          </w:p>
        </w:tc>
        <w:tc>
          <w:tcPr/>
          <w:p>
            <w:pPr>
              <w:pStyle w:val="Compact"/>
            </w:pPr>
            <w:r>
              <w:rPr>
                <w:rStyle w:val="VerbatimChar"/>
              </w:rPr>
              <w:t xml:space="preserve">`backticks`</w:t>
            </w:r>
          </w:p>
        </w:tc>
      </w:tr>
      <w:tr>
        <w:tc>
          <w:tcPr/>
          <w:p>
            <w:pPr>
              <w:pStyle w:val="Compact"/>
            </w:pPr>
            <w:r>
              <w:t xml:space="preserve">PostgreSQL</w:t>
            </w:r>
          </w:p>
        </w:tc>
        <w:tc>
          <w:tcPr/>
          <w:p>
            <w:pPr>
              <w:pStyle w:val="Compact"/>
            </w:pPr>
            <w:r>
              <w:rPr>
                <w:rStyle w:val="VerbatimChar"/>
              </w:rPr>
              <w:t xml:space="preserve">"double quotes"</w:t>
            </w:r>
          </w:p>
        </w:tc>
      </w:tr>
    </w:tbl>
    <w:bookmarkEnd w:id="6761"/>
    <w:bookmarkStart w:id="6762" w:name="type-mapping"/>
    <w:p>
      <w:pPr>
        <w:pStyle w:val="Heading2"/>
      </w:pPr>
      <w:r>
        <w:t xml:space="preserve">Type Mapping</w:t>
      </w:r>
    </w:p>
    <w:p>
      <w:pPr>
        <w:pStyle w:val="FirstParagraph"/>
      </w:pPr>
      <w:r>
        <w:t xml:space="preserve">ADO field types from Access are mapped to type-appropriate SQL column definitions in the target schema. Unsupported or unknown ADO types fall back to a generic text type.</w:t>
      </w:r>
    </w:p>
    <w:bookmarkEnd w:id="6762"/>
    <w:bookmarkStart w:id="6763" w:name="running-the-tool"/>
    <w:p>
      <w:pPr>
        <w:pStyle w:val="Heading2"/>
      </w:pPr>
      <w:r>
        <w:t xml:space="preserve">Running the Tool</w:t>
      </w:r>
    </w:p>
    <w:p>
      <w:pPr>
        <w:pStyle w:val="Compact"/>
        <w:numPr>
          <w:ilvl w:val="0"/>
          <w:numId w:val="2623"/>
        </w:numPr>
      </w:pPr>
      <w:r>
        <w:t xml:space="preserve">Start the AxonASP HTTP server.</w:t>
      </w:r>
    </w:p>
    <w:p>
      <w:pPr>
        <w:pStyle w:val="Compact"/>
        <w:numPr>
          <w:ilvl w:val="0"/>
          <w:numId w:val="2623"/>
        </w:numPr>
      </w:pPr>
      <w:r>
        <w:t xml:space="preserve">Open a browser and navigate to</w:t>
      </w:r>
      <w:r>
        <w:t xml:space="preserve"> </w:t>
      </w:r>
      <w:r>
        <w:rPr>
          <w:rStyle w:val="VerbatimChar"/>
        </w:rPr>
        <w:t xml:space="preserve">http://localhost:8801/database-convert/</w:t>
      </w:r>
      <w:r>
        <w:t xml:space="preserve">.</w:t>
      </w:r>
    </w:p>
    <w:p>
      <w:pPr>
        <w:pStyle w:val="Compact"/>
        <w:numPr>
          <w:ilvl w:val="0"/>
          <w:numId w:val="2623"/>
        </w:numPr>
      </w:pPr>
      <w:r>
        <w:t xml:space="preserve">Follow the wizard steps: upload the Access database, select the target, enter connection details, and start the conversion.</w:t>
      </w:r>
    </w:p>
    <w:bookmarkEnd w:id="6763"/>
    <w:bookmarkStart w:id="6764" w:name="remarks-792"/>
    <w:p>
      <w:pPr>
        <w:pStyle w:val="Heading2"/>
      </w:pPr>
      <w:r>
        <w:t xml:space="preserve">Remarks</w:t>
      </w:r>
    </w:p>
    <w:p>
      <w:pPr>
        <w:pStyle w:val="Compact"/>
        <w:numPr>
          <w:ilvl w:val="0"/>
          <w:numId w:val="2624"/>
        </w:numPr>
      </w:pPr>
      <w:r>
        <w:t xml:space="preserve">The tool is a development and administration utility. It is not intended for production-facing traffic. Restrict access to this path in production environments using web.config rewrite rules or network-level controls.</w:t>
      </w:r>
    </w:p>
    <w:p>
      <w:pPr>
        <w:pStyle w:val="Compact"/>
        <w:numPr>
          <w:ilvl w:val="0"/>
          <w:numId w:val="2624"/>
        </w:numPr>
      </w:pPr>
      <w:r>
        <w:t xml:space="preserve">Large databases with many rows may take time to convert. The conversion runs synchronously within the ASP request.</w:t>
      </w:r>
    </w:p>
    <w:p>
      <w:pPr>
        <w:pStyle w:val="Compact"/>
        <w:numPr>
          <w:ilvl w:val="0"/>
          <w:numId w:val="2624"/>
        </w:numPr>
      </w:pPr>
      <w:r>
        <w:t xml:space="preserve">The Access database file is temporarily stored on the server during conversion. It is removed after the conversion completes.</w:t>
      </w:r>
    </w:p>
    <w:p>
      <w:pPr>
        <w:pStyle w:val="Compact"/>
        <w:numPr>
          <w:ilvl w:val="0"/>
          <w:numId w:val="2624"/>
        </w:numPr>
      </w:pPr>
      <w:r>
        <w:t xml:space="preserve">Primary keys, indexes, and foreign key constraints from Access are not automatically recreated in the target schema. Only table structure and data are migrated.</w:t>
      </w:r>
    </w:p>
    <w:bookmarkEnd w:id="6764"/>
    <w:bookmarkEnd w:id="6765"/>
    <w:bookmarkStart w:id="6766" w:name="authoring"/>
    <w:p>
      <w:pPr>
        <w:pStyle w:val="Heading1"/>
      </w:pPr>
      <w:r>
        <w:t xml:space="preserve">Authoring</w:t>
      </w:r>
    </w:p>
    <w:bookmarkEnd w:id="6766"/>
    <w:bookmarkStart w:id="6773" w:name="write-new-axonasp-manual-pages"/>
    <w:p>
      <w:pPr>
        <w:pStyle w:val="Heading1"/>
      </w:pPr>
      <w:r>
        <w:t xml:space="preserve">Write New AxonASP Manual Pages</w:t>
      </w:r>
    </w:p>
    <w:bookmarkStart w:id="6767" w:name="overview-685"/>
    <w:p>
      <w:pPr>
        <w:pStyle w:val="Heading2"/>
      </w:pPr>
      <w:r>
        <w:t xml:space="preserve">Overview</w:t>
      </w:r>
    </w:p>
    <w:p>
      <w:pPr>
        <w:pStyle w:val="FirstParagraph"/>
      </w:pPr>
      <w:r>
        <w:t xml:space="preserve">This document provides the standard procedure and strict rules for creating or updating AxonASP manual pages. It is designed to be read by both human technical writers and Large Language Models (LLMs) acting as documentation generators. The goal is consistent structure, precise API coverage, strict adherence to legacy standards, and compatibility with our UI tree-view rendering.</w:t>
      </w:r>
    </w:p>
    <w:p>
      <w:pPr>
        <w:pStyle w:val="BodyText"/>
      </w:pPr>
      <w:r>
        <w:rPr>
          <w:b/>
          <w:bCs/>
        </w:rPr>
        <w:t xml:space="preserve">DO NOT write generic or assumed documentation.</w:t>
      </w:r>
      <w:r>
        <w:t xml:space="preserve"> </w:t>
      </w:r>
      <w:r>
        <w:t xml:space="preserve">Be extremely specific about AxonASP’s implementation.</w:t>
      </w:r>
    </w:p>
    <w:bookmarkEnd w:id="6767"/>
    <w:bookmarkStart w:id="6768" w:name="syntax-template"/>
    <w:p>
      <w:pPr>
        <w:pStyle w:val="Heading2"/>
      </w:pPr>
      <w:r>
        <w:t xml:space="preserve">Syntax Template</w:t>
      </w:r>
    </w:p>
    <w:p>
      <w:pPr>
        <w:pStyle w:val="FirstParagraph"/>
      </w:pPr>
      <w:r>
        <w:t xml:space="preserve">Every manual page must follow this structure when authoring content for a specific object, method, or property:</w:t>
      </w:r>
    </w:p>
    <w:p>
      <w:pPr>
        <w:pStyle w:val="SourceCode"/>
      </w:pPr>
      <w:r>
        <w:rPr>
          <w:rStyle w:val="VerbatimChar"/>
        </w:rPr>
        <w:t xml:space="preserve"># &lt;Action-Oriented Title&gt;</w:t>
      </w:r>
      <w:r>
        <w:br/>
      </w:r>
      <w:r>
        <w:br/>
      </w:r>
      <w:r>
        <w:rPr>
          <w:rStyle w:val="VerbatimChar"/>
        </w:rPr>
        <w:t xml:space="preserve">## Overview</w:t>
      </w:r>
      <w:r>
        <w:br/>
      </w:r>
      <w:r>
        <w:rPr>
          <w:rStyle w:val="VerbatimChar"/>
        </w:rPr>
        <w:t xml:space="preserve">## Syntax</w:t>
      </w:r>
      <w:r>
        <w:br/>
      </w:r>
      <w:r>
        <w:rPr>
          <w:rStyle w:val="VerbatimChar"/>
        </w:rPr>
        <w:t xml:space="preserve">## Parameters and Arguments</w:t>
      </w:r>
      <w:r>
        <w:br/>
      </w:r>
      <w:r>
        <w:rPr>
          <w:rStyle w:val="VerbatimChar"/>
        </w:rPr>
        <w:t xml:space="preserve">## Return Values</w:t>
      </w:r>
      <w:r>
        <w:br/>
      </w:r>
      <w:r>
        <w:rPr>
          <w:rStyle w:val="VerbatimChar"/>
        </w:rPr>
        <w:t xml:space="preserve">## Remarks</w:t>
      </w:r>
      <w:r>
        <w:br/>
      </w:r>
      <w:r>
        <w:rPr>
          <w:rStyle w:val="VerbatimChar"/>
        </w:rPr>
        <w:t xml:space="preserve">## Code Example</w:t>
      </w:r>
    </w:p>
    <w:bookmarkEnd w:id="6768"/>
    <w:bookmarkStart w:id="6769" w:name="section-requirements"/>
    <w:p>
      <w:pPr>
        <w:pStyle w:val="Heading2"/>
      </w:pPr>
      <w:r>
        <w:t xml:space="preserve">Section Requirements</w:t>
      </w:r>
    </w:p>
    <w:p>
      <w:pPr>
        <w:pStyle w:val="Compact"/>
        <w:numPr>
          <w:ilvl w:val="0"/>
          <w:numId w:val="2625"/>
        </w:numPr>
      </w:pPr>
      <w:r>
        <w:rPr>
          <w:b/>
          <w:bCs/>
        </w:rPr>
        <w:t xml:space="preserve">Action-Oriented Title (Required):</w:t>
      </w:r>
      <w:r>
        <w:t xml:space="preserve"> </w:t>
      </w:r>
      <w:r>
        <w:t xml:space="preserve">Include the object/member purpose directly in the title.</w:t>
      </w:r>
    </w:p>
    <w:p>
      <w:pPr>
        <w:pStyle w:val="Compact"/>
        <w:numPr>
          <w:ilvl w:val="0"/>
          <w:numId w:val="2625"/>
        </w:numPr>
      </w:pPr>
      <w:r>
        <w:rPr>
          <w:b/>
          <w:bCs/>
        </w:rPr>
        <w:t xml:space="preserve">Overview (Required):</w:t>
      </w:r>
      <w:r>
        <w:t xml:space="preserve"> </w:t>
      </w:r>
      <w:r>
        <w:t xml:space="preserve">Short, precise explanation of what the page covers.</w:t>
      </w:r>
    </w:p>
    <w:p>
      <w:pPr>
        <w:pStyle w:val="Compact"/>
        <w:numPr>
          <w:ilvl w:val="0"/>
          <w:numId w:val="2625"/>
        </w:numPr>
      </w:pPr>
      <w:r>
        <w:rPr>
          <w:b/>
          <w:bCs/>
        </w:rPr>
        <w:t xml:space="preserve">Syntax (Required):</w:t>
      </w:r>
      <w:r>
        <w:t xml:space="preserve"> </w:t>
      </w:r>
      <w:r>
        <w:t xml:space="preserve">Exact Classic ASP/VBScript syntax form.</w:t>
      </w:r>
    </w:p>
    <w:p>
      <w:pPr>
        <w:pStyle w:val="Compact"/>
        <w:numPr>
          <w:ilvl w:val="0"/>
          <w:numId w:val="2625"/>
        </w:numPr>
      </w:pPr>
      <w:r>
        <w:rPr>
          <w:b/>
          <w:bCs/>
        </w:rPr>
        <w:t xml:space="preserve">Parameters and Arguments (Required):</w:t>
      </w:r>
      <w:r>
        <w:t xml:space="preserve"> </w:t>
      </w:r>
      <w:r>
        <w:t xml:space="preserve">Include data type, required/optional state, and specific expected values. No generic descriptions.</w:t>
      </w:r>
    </w:p>
    <w:p>
      <w:pPr>
        <w:pStyle w:val="Compact"/>
        <w:numPr>
          <w:ilvl w:val="0"/>
          <w:numId w:val="2625"/>
        </w:numPr>
      </w:pPr>
      <w:r>
        <w:rPr>
          <w:b/>
          <w:bCs/>
        </w:rPr>
        <w:t xml:space="preserve">Return Values (Required):</w:t>
      </w:r>
      <w:r>
        <w:t xml:space="preserve"> </w:t>
      </w:r>
      <w:r>
        <w:t xml:space="preserve">Describe the exact expected output and failure behavior. Never use generic catch-all descriptions.</w:t>
      </w:r>
    </w:p>
    <w:p>
      <w:pPr>
        <w:pStyle w:val="Compact"/>
        <w:numPr>
          <w:ilvl w:val="0"/>
          <w:numId w:val="2625"/>
        </w:numPr>
      </w:pPr>
      <w:r>
        <w:rPr>
          <w:b/>
          <w:bCs/>
        </w:rPr>
        <w:t xml:space="preserve">Remarks (Required):</w:t>
      </w:r>
      <w:r>
        <w:t xml:space="preserve"> </w:t>
      </w:r>
      <w:r>
        <w:t xml:space="preserve">Include compatibility notes, edge cases, performance details, and AxonASP-specific behaviors.</w:t>
      </w:r>
    </w:p>
    <w:p>
      <w:pPr>
        <w:pStyle w:val="Compact"/>
        <w:numPr>
          <w:ilvl w:val="0"/>
          <w:numId w:val="2625"/>
        </w:numPr>
      </w:pPr>
      <w:r>
        <w:rPr>
          <w:b/>
          <w:bCs/>
        </w:rPr>
        <w:t xml:space="preserve">Code Example (Required):</w:t>
      </w:r>
      <w:r>
        <w:t xml:space="preserve"> </w:t>
      </w:r>
      <w:r>
        <w:t xml:space="preserve">Complete runnable Classic ASP example following the</w:t>
      </w:r>
      <w:r>
        <w:t xml:space="preserve"> </w:t>
      </w:r>
      <w:r>
        <w:rPr>
          <w:rStyle w:val="VerbatimChar"/>
        </w:rPr>
        <w:t xml:space="preserve">llm-classic-asp-coding.md</w:t>
      </w:r>
      <w:r>
        <w:t xml:space="preserve"> </w:t>
      </w:r>
      <w:r>
        <w:t xml:space="preserve">guidelines.</w:t>
      </w:r>
    </w:p>
    <w:bookmarkEnd w:id="6769"/>
    <w:bookmarkStart w:id="6770" w:name="rules-constraints"/>
    <w:p>
      <w:pPr>
        <w:pStyle w:val="Heading2"/>
      </w:pPr>
      <w:r>
        <w:t xml:space="preserve">Rules &amp; Constraints</w:t>
      </w:r>
    </w:p>
    <w:p>
      <w:pPr>
        <w:pStyle w:val="FirstParagraph"/>
      </w:pPr>
      <w:r>
        <w:t xml:space="preserve">Whether you are a human writer or an LLM, you must strictly follow these rules:</w:t>
      </w:r>
    </w:p>
    <w:p>
      <w:pPr>
        <w:pStyle w:val="Compact"/>
        <w:numPr>
          <w:ilvl w:val="0"/>
          <w:numId w:val="2626"/>
        </w:numPr>
      </w:pPr>
      <w:r>
        <w:rPr>
          <w:b/>
          <w:bCs/>
        </w:rPr>
        <w:t xml:space="preserve">Format &amp; Style:</w:t>
      </w:r>
    </w:p>
    <w:p>
      <w:pPr>
        <w:pStyle w:val="Compact"/>
        <w:numPr>
          <w:ilvl w:val="1"/>
          <w:numId w:val="2627"/>
        </w:numPr>
      </w:pPr>
      <w:r>
        <w:t xml:space="preserve">Follow the classic Microsoft Writing Style Guide (action-oriented titles, brief overviews, prerequisites, code examples, extra information on how the code works, and complete API references).</w:t>
      </w:r>
    </w:p>
    <w:p>
      <w:pPr>
        <w:pStyle w:val="Compact"/>
        <w:numPr>
          <w:ilvl w:val="1"/>
          <w:numId w:val="2627"/>
        </w:numPr>
      </w:pPr>
      <w:r>
        <w:t xml:space="preserve">Use active voice, simple language, scannable lists, and</w:t>
      </w:r>
      <w:r>
        <w:t xml:space="preserve"> </w:t>
      </w:r>
      <w:r>
        <w:rPr>
          <w:b/>
          <w:bCs/>
        </w:rPr>
        <w:t xml:space="preserve">bold text</w:t>
      </w:r>
      <w:r>
        <w:t xml:space="preserve"> </w:t>
      </w:r>
      <w:r>
        <w:t xml:space="preserve">for emphasis.</w:t>
      </w:r>
    </w:p>
    <w:p>
      <w:pPr>
        <w:pStyle w:val="Compact"/>
        <w:numPr>
          <w:ilvl w:val="1"/>
          <w:numId w:val="2627"/>
        </w:numPr>
      </w:pPr>
      <w:r>
        <w:rPr>
          <w:b/>
          <w:bCs/>
        </w:rPr>
        <w:t xml:space="preserve">ABSOLUTELY NO EMOJIS.</w:t>
      </w:r>
    </w:p>
    <w:p>
      <w:pPr>
        <w:pStyle w:val="Compact"/>
        <w:numPr>
          <w:ilvl w:val="1"/>
          <w:numId w:val="2627"/>
        </w:numPr>
      </w:pPr>
      <w:r>
        <w:rPr>
          <w:b/>
          <w:bCs/>
        </w:rPr>
        <w:t xml:space="preserve">NO MARKDOWN LINKS inside the content page.</w:t>
      </w:r>
      <w:r>
        <w:t xml:space="preserve"> </w:t>
      </w:r>
      <w:r>
        <w:t xml:space="preserve">Navigation links are strictly reserved for</w:t>
      </w:r>
      <w:r>
        <w:t xml:space="preserve"> </w:t>
      </w:r>
      <w:r>
        <w:rPr>
          <w:rStyle w:val="VerbatimChar"/>
        </w:rPr>
        <w:t xml:space="preserve">www/manual/menu.md</w:t>
      </w:r>
      <w:r>
        <w:t xml:space="preserve">.</w:t>
      </w:r>
    </w:p>
    <w:p>
      <w:pPr>
        <w:pStyle w:val="Compact"/>
        <w:numPr>
          <w:ilvl w:val="1"/>
          <w:numId w:val="2627"/>
        </w:numPr>
      </w:pPr>
      <w:r>
        <w:t xml:space="preserve">Keep all text and examples in English (US).</w:t>
      </w:r>
    </w:p>
    <w:p>
      <w:pPr>
        <w:pStyle w:val="Compact"/>
        <w:numPr>
          <w:ilvl w:val="0"/>
          <w:numId w:val="2626"/>
        </w:numPr>
      </w:pPr>
      <w:r>
        <w:rPr>
          <w:b/>
          <w:bCs/>
        </w:rPr>
        <w:t xml:space="preserve">Branding:</w:t>
      </w:r>
    </w:p>
    <w:p>
      <w:pPr>
        <w:pStyle w:val="Compact"/>
        <w:numPr>
          <w:ilvl w:val="1"/>
          <w:numId w:val="2628"/>
        </w:numPr>
      </w:pPr>
      <w:r>
        <w:t xml:space="preserve">Use the</w:t>
      </w:r>
      <w:r>
        <w:t xml:space="preserve"> </w:t>
      </w:r>
      <w:r>
        <w:t xml:space="preserve">“G3Pix AxonASP”</w:t>
      </w:r>
      <w:r>
        <w:t xml:space="preserve"> </w:t>
      </w:r>
      <w:r>
        <w:t xml:space="preserve">name and branding.</w:t>
      </w:r>
    </w:p>
    <w:p>
      <w:pPr>
        <w:pStyle w:val="Compact"/>
        <w:numPr>
          <w:ilvl w:val="1"/>
          <w:numId w:val="2628"/>
        </w:numPr>
      </w:pPr>
      <w:r>
        <w:rPr>
          <w:b/>
          <w:bCs/>
        </w:rPr>
        <w:t xml:space="preserve">DO NOT</w:t>
      </w:r>
      <w:r>
        <w:t xml:space="preserve"> </w:t>
      </w:r>
      <w:r>
        <w:t xml:space="preserve">use</w:t>
      </w:r>
      <w:r>
        <w:t xml:space="preserve"> </w:t>
      </w:r>
      <w:r>
        <w:t xml:space="preserve">“MSDN”</w:t>
      </w:r>
      <w:r>
        <w:t xml:space="preserve"> </w:t>
      </w:r>
      <w:r>
        <w:t xml:space="preserve">or</w:t>
      </w:r>
      <w:r>
        <w:t xml:space="preserve"> </w:t>
      </w:r>
      <w:r>
        <w:t xml:space="preserve">“Microsoft”</w:t>
      </w:r>
      <w:r>
        <w:t xml:space="preserve"> </w:t>
      </w:r>
      <w:r>
        <w:t xml:space="preserve">names, trademarks, or logos anywhere in the text. Replicate their classic, rigorous aesthetic and structural style only.</w:t>
      </w:r>
    </w:p>
    <w:p>
      <w:pPr>
        <w:pStyle w:val="Compact"/>
        <w:numPr>
          <w:ilvl w:val="0"/>
          <w:numId w:val="2626"/>
        </w:numPr>
      </w:pPr>
      <w:r>
        <w:rPr>
          <w:b/>
          <w:bCs/>
        </w:rPr>
        <w:t xml:space="preserve">Instantiation Precision (ProgID):</w:t>
      </w:r>
    </w:p>
    <w:p>
      <w:pPr>
        <w:pStyle w:val="Compact"/>
        <w:numPr>
          <w:ilvl w:val="1"/>
          <w:numId w:val="2629"/>
        </w:numPr>
      </w:pPr>
      <w:r>
        <w:t xml:space="preserve">Never describe an object creation using aliases in the code snippet.</w:t>
      </w:r>
    </w:p>
    <w:p>
      <w:pPr>
        <w:pStyle w:val="Compact"/>
        <w:numPr>
          <w:ilvl w:val="1"/>
          <w:numId w:val="2629"/>
        </w:numPr>
      </w:pPr>
      <w:r>
        <w:rPr>
          <w:i/>
          <w:iCs/>
        </w:rPr>
        <w:t xml:space="preserve">Incorrect:</w:t>
      </w:r>
      <w:r>
        <w:t xml:space="preserve"> </w:t>
      </w:r>
      <w:r>
        <w:rPr>
          <w:rStyle w:val="VerbatimChar"/>
        </w:rPr>
        <w:t xml:space="preserve">Set obj = Server.CreateObject("G3CRYPTO and aliases")</w:t>
      </w:r>
    </w:p>
    <w:p>
      <w:pPr>
        <w:pStyle w:val="Compact"/>
        <w:numPr>
          <w:ilvl w:val="1"/>
          <w:numId w:val="2629"/>
        </w:numPr>
      </w:pPr>
      <w:r>
        <w:rPr>
          <w:i/>
          <w:iCs/>
        </w:rPr>
        <w:t xml:space="preserve">Correct:</w:t>
      </w:r>
      <w:r>
        <w:t xml:space="preserve"> </w:t>
      </w:r>
      <w:r>
        <w:rPr>
          <w:rStyle w:val="VerbatimChar"/>
        </w:rPr>
        <w:t xml:space="preserve">Set obj = Server.CreateObject("G3CRYPTO")</w:t>
      </w:r>
      <w:r>
        <w:t xml:space="preserve"> </w:t>
      </w:r>
      <w:r>
        <w:t xml:space="preserve">(Always use the primary name only).</w:t>
      </w:r>
    </w:p>
    <w:p>
      <w:pPr>
        <w:pStyle w:val="Compact"/>
        <w:numPr>
          <w:ilvl w:val="0"/>
          <w:numId w:val="2626"/>
        </w:numPr>
      </w:pPr>
      <w:r>
        <w:rPr>
          <w:b/>
          <w:bCs/>
        </w:rPr>
        <w:t xml:space="preserve">Explicit Return Values:</w:t>
      </w:r>
    </w:p>
    <w:p>
      <w:pPr>
        <w:pStyle w:val="Compact"/>
        <w:numPr>
          <w:ilvl w:val="1"/>
          <w:numId w:val="2630"/>
        </w:numPr>
      </w:pPr>
      <w:r>
        <w:t xml:space="preserve">Do NOT use generic catch-all descriptions for return values.</w:t>
      </w:r>
    </w:p>
    <w:p>
      <w:pPr>
        <w:pStyle w:val="Compact"/>
        <w:numPr>
          <w:ilvl w:val="1"/>
          <w:numId w:val="2630"/>
        </w:numPr>
      </w:pPr>
      <w:r>
        <w:rPr>
          <w:i/>
          <w:iCs/>
        </w:rPr>
        <w:t xml:space="preserve">Incorrect:</w:t>
      </w:r>
      <w:r>
        <w:t xml:space="preserve"> </w:t>
      </w:r>
      <w:r>
        <w:t xml:space="preserve">“Returns a Variant result. Depending on the operation, this can be String, Boolean, Number, Array, Dictionary/object handle, or Empty.”</w:t>
      </w:r>
    </w:p>
    <w:p>
      <w:pPr>
        <w:pStyle w:val="Compact"/>
        <w:numPr>
          <w:ilvl w:val="1"/>
          <w:numId w:val="2630"/>
        </w:numPr>
      </w:pPr>
      <w:r>
        <w:rPr>
          <w:i/>
          <w:iCs/>
        </w:rPr>
        <w:t xml:space="preserve">Correct:</w:t>
      </w:r>
      <w:r>
        <w:t xml:space="preserve"> </w:t>
      </w:r>
      <w:r>
        <w:t xml:space="preserve">You must document exactly what</w:t>
      </w:r>
      <w:r>
        <w:t xml:space="preserve"> </w:t>
      </w:r>
      <w:r>
        <w:rPr>
          <w:i/>
          <w:iCs/>
        </w:rPr>
        <w:t xml:space="preserve">that specific function</w:t>
      </w:r>
      <w:r>
        <w:t xml:space="preserve"> </w:t>
      </w:r>
      <w:r>
        <w:t xml:space="preserve">returns (e.g.,</w:t>
      </w:r>
      <w:r>
        <w:t xml:space="preserve"> </w:t>
      </w:r>
      <w:r>
        <w:t xml:space="preserve">“Returns a String containing the SHA-256 hash of the input”</w:t>
      </w:r>
      <w:r>
        <w:t xml:space="preserve">, or</w:t>
      </w:r>
      <w:r>
        <w:t xml:space="preserve"> </w:t>
      </w:r>
      <w:r>
        <w:t xml:space="preserve">“Returns a Boolean indicating whether the decryption was successful”</w:t>
      </w:r>
      <w:r>
        <w:t xml:space="preserve">).</w:t>
      </w:r>
    </w:p>
    <w:p>
      <w:pPr>
        <w:pStyle w:val="Compact"/>
        <w:numPr>
          <w:ilvl w:val="1"/>
          <w:numId w:val="2630"/>
        </w:numPr>
      </w:pPr>
      <w:r>
        <w:rPr>
          <w:b/>
          <w:bCs/>
        </w:rPr>
        <w:t xml:space="preserve">DON’T BE GENERALIST. BE VERY SPECIFIC.</w:t>
      </w:r>
    </w:p>
    <w:p>
      <w:pPr>
        <w:pStyle w:val="Compact"/>
        <w:numPr>
          <w:ilvl w:val="0"/>
          <w:numId w:val="2626"/>
        </w:numPr>
      </w:pPr>
      <w:r>
        <w:rPr>
          <w:b/>
          <w:bCs/>
        </w:rPr>
        <w:t xml:space="preserve">Menu Navigation (</w:t>
      </w:r>
      <w:r>
        <w:rPr>
          <w:rStyle w:val="VerbatimChar"/>
          <w:b/>
          <w:bCs/>
        </w:rPr>
        <w:t xml:space="preserve">www/manual/menu.md</w:t>
      </w:r>
      <w:r>
        <w:rPr>
          <w:b/>
          <w:bCs/>
        </w:rPr>
        <w:t xml:space="preserve">):</w:t>
      </w:r>
    </w:p>
    <w:p>
      <w:pPr>
        <w:pStyle w:val="Compact"/>
        <w:numPr>
          <w:ilvl w:val="1"/>
          <w:numId w:val="2631"/>
        </w:numPr>
      </w:pPr>
      <w:r>
        <w:t xml:space="preserve">Always use markdown links for navigable entries with the exact format</w:t>
      </w:r>
      <w:r>
        <w:t xml:space="preserve"> </w:t>
      </w:r>
      <w:r>
        <w:rPr>
          <w:rStyle w:val="VerbatimChar"/>
        </w:rPr>
        <w:t xml:space="preserve">[Label](folder/document.md)</w:t>
      </w:r>
      <w:r>
        <w:t xml:space="preserve">.</w:t>
      </w:r>
    </w:p>
    <w:p>
      <w:pPr>
        <w:pStyle w:val="Compact"/>
        <w:numPr>
          <w:ilvl w:val="1"/>
          <w:numId w:val="2631"/>
        </w:numPr>
      </w:pPr>
      <w:r>
        <w:t xml:space="preserve">Keep folder/group labels in</w:t>
      </w:r>
      <w:r>
        <w:t xml:space="preserve"> </w:t>
      </w:r>
      <w:r>
        <w:rPr>
          <w:rStyle w:val="VerbatimChar"/>
        </w:rPr>
        <w:t xml:space="preserve">menu.md</w:t>
      </w:r>
      <w:r>
        <w:t xml:space="preserve"> </w:t>
      </w:r>
      <w:r>
        <w:t xml:space="preserve">as plain bullet items when they must have child items.</w:t>
      </w:r>
    </w:p>
    <w:p>
      <w:pPr>
        <w:pStyle w:val="Compact"/>
        <w:numPr>
          <w:ilvl w:val="1"/>
          <w:numId w:val="2631"/>
        </w:numPr>
      </w:pPr>
      <w:r>
        <w:t xml:space="preserve">Menu link targets must be paths relative to</w:t>
      </w:r>
      <w:r>
        <w:t xml:space="preserve"> </w:t>
      </w:r>
      <w:r>
        <w:rPr>
          <w:rStyle w:val="VerbatimChar"/>
        </w:rPr>
        <w:t xml:space="preserve">www/manual/md</w:t>
      </w:r>
      <w:r>
        <w:t xml:space="preserve">.</w:t>
      </w:r>
    </w:p>
    <w:p>
      <w:pPr>
        <w:pStyle w:val="Compact"/>
        <w:numPr>
          <w:ilvl w:val="0"/>
          <w:numId w:val="2626"/>
        </w:numPr>
      </w:pPr>
      <w:r>
        <w:rPr>
          <w:b/>
          <w:bCs/>
        </w:rPr>
        <w:t xml:space="preserve">Summary Pages (</w:t>
      </w:r>
      <w:r>
        <w:rPr>
          <w:rStyle w:val="VerbatimChar"/>
          <w:b/>
          <w:bCs/>
        </w:rPr>
        <w:t xml:space="preserve">methods.md</w:t>
      </w:r>
      <w:r>
        <w:rPr>
          <w:b/>
          <w:bCs/>
        </w:rPr>
        <w:t xml:space="preserve"> </w:t>
      </w:r>
      <w:r>
        <w:rPr>
          <w:b/>
          <w:bCs/>
        </w:rPr>
        <w:t xml:space="preserve">and</w:t>
      </w:r>
      <w:r>
        <w:rPr>
          <w:b/>
          <w:bCs/>
        </w:rPr>
        <w:t xml:space="preserve"> </w:t>
      </w:r>
      <w:r>
        <w:rPr>
          <w:rStyle w:val="VerbatimChar"/>
          <w:b/>
          <w:bCs/>
        </w:rPr>
        <w:t xml:space="preserve">properties.md</w:t>
      </w:r>
      <w:r>
        <w:rPr>
          <w:b/>
          <w:bCs/>
        </w:rPr>
        <w:t xml:space="preserve">):</w:t>
      </w:r>
    </w:p>
    <w:p>
      <w:pPr>
        <w:pStyle w:val="Compact"/>
        <w:numPr>
          <w:ilvl w:val="1"/>
          <w:numId w:val="2632"/>
        </w:numPr>
      </w:pPr>
      <w:r>
        <w:t xml:space="preserve">When creating summary or index pages for a library (e.g.,</w:t>
      </w:r>
      <w:r>
        <w:t xml:space="preserve"> </w:t>
      </w:r>
      <w:r>
        <w:rPr>
          <w:rStyle w:val="VerbatimChar"/>
        </w:rPr>
        <w:t xml:space="preserve">/&lt;library_name&gt;/methods.md</w:t>
      </w:r>
      <w:r>
        <w:t xml:space="preserve"> </w:t>
      </w:r>
      <w:r>
        <w:t xml:space="preserve">or</w:t>
      </w:r>
      <w:r>
        <w:t xml:space="preserve"> </w:t>
      </w:r>
      <w:r>
        <w:rPr>
          <w:rStyle w:val="VerbatimChar"/>
        </w:rPr>
        <w:t xml:space="preserve">/&lt;library_name&gt;/properties.md</w:t>
      </w:r>
      <w:r>
        <w:t xml:space="preserve">), you MUST use markdown tables to list the members.</w:t>
      </w:r>
    </w:p>
    <w:p>
      <w:pPr>
        <w:pStyle w:val="Compact"/>
        <w:numPr>
          <w:ilvl w:val="1"/>
          <w:numId w:val="2632"/>
        </w:numPr>
      </w:pPr>
      <w:r>
        <w:t xml:space="preserve">For</w:t>
      </w:r>
      <w:r>
        <w:t xml:space="preserve"> </w:t>
      </w:r>
      <w:r>
        <w:rPr>
          <w:rStyle w:val="VerbatimChar"/>
        </w:rPr>
        <w:t xml:space="preserve">methods.md</w:t>
      </w:r>
      <w:r>
        <w:t xml:space="preserve">, use the columns:</w:t>
      </w:r>
      <w:r>
        <w:t xml:space="preserve"> </w:t>
      </w:r>
      <w:r>
        <w:rPr>
          <w:rStyle w:val="VerbatimChar"/>
        </w:rPr>
        <w:t xml:space="preserve">Method</w:t>
      </w:r>
      <w:r>
        <w:t xml:space="preserve">,</w:t>
      </w:r>
      <w:r>
        <w:t xml:space="preserve"> </w:t>
      </w:r>
      <w:r>
        <w:rPr>
          <w:rStyle w:val="VerbatimChar"/>
        </w:rPr>
        <w:t xml:space="preserve">Returns</w:t>
      </w:r>
      <w:r>
        <w:t xml:space="preserve">,</w:t>
      </w:r>
      <w:r>
        <w:t xml:space="preserve"> </w:t>
      </w:r>
      <w:r>
        <w:rPr>
          <w:rStyle w:val="VerbatimChar"/>
        </w:rPr>
        <w:t xml:space="preserve">Description</w:t>
      </w:r>
      <w:r>
        <w:t xml:space="preserve"> </w:t>
      </w:r>
      <w:r>
        <w:t xml:space="preserve">(e.g., see</w:t>
      </w:r>
      <w:r>
        <w:t xml:space="preserve"> </w:t>
      </w:r>
      <w:r>
        <w:rPr>
          <w:rStyle w:val="VerbatimChar"/>
        </w:rPr>
        <w:t xml:space="preserve">/g3crypto/methods.md</w:t>
      </w:r>
      <w:r>
        <w:t xml:space="preserve"> </w:t>
      </w:r>
      <w:r>
        <w:t xml:space="preserve">style).</w:t>
      </w:r>
    </w:p>
    <w:p>
      <w:pPr>
        <w:pStyle w:val="Compact"/>
        <w:numPr>
          <w:ilvl w:val="1"/>
          <w:numId w:val="2632"/>
        </w:numPr>
      </w:pPr>
      <w:r>
        <w:t xml:space="preserve">For</w:t>
      </w:r>
      <w:r>
        <w:t xml:space="preserve"> </w:t>
      </w:r>
      <w:r>
        <w:rPr>
          <w:rStyle w:val="VerbatimChar"/>
        </w:rPr>
        <w:t xml:space="preserve">properties.md</w:t>
      </w:r>
      <w:r>
        <w:t xml:space="preserve">, use the columns:</w:t>
      </w:r>
      <w:r>
        <w:t xml:space="preserve"> </w:t>
      </w:r>
      <w:r>
        <w:rPr>
          <w:rStyle w:val="VerbatimChar"/>
        </w:rPr>
        <w:t xml:space="preserve">Property</w:t>
      </w:r>
      <w:r>
        <w:t xml:space="preserve">,</w:t>
      </w:r>
      <w:r>
        <w:t xml:space="preserve"> </w:t>
      </w:r>
      <w:r>
        <w:rPr>
          <w:rStyle w:val="VerbatimChar"/>
        </w:rPr>
        <w:t xml:space="preserve">Access</w:t>
      </w:r>
      <w:r>
        <w:t xml:space="preserve">,</w:t>
      </w:r>
      <w:r>
        <w:t xml:space="preserve"> </w:t>
      </w:r>
      <w:r>
        <w:rPr>
          <w:rStyle w:val="VerbatimChar"/>
        </w:rPr>
        <w:t xml:space="preserve">Type</w:t>
      </w:r>
      <w:r>
        <w:t xml:space="preserve">,</w:t>
      </w:r>
      <w:r>
        <w:t xml:space="preserve"> </w:t>
      </w:r>
      <w:r>
        <w:rPr>
          <w:rStyle w:val="VerbatimChar"/>
        </w:rPr>
        <w:t xml:space="preserve">Description</w:t>
      </w:r>
      <w:r>
        <w:t xml:space="preserve">.</w:t>
      </w:r>
    </w:p>
    <w:bookmarkEnd w:id="6770"/>
    <w:bookmarkStart w:id="6771" w:name="llm-authoring-prompt"/>
    <w:p>
      <w:pPr>
        <w:pStyle w:val="Heading2"/>
      </w:pPr>
      <w:r>
        <w:t xml:space="preserve">LLM Authoring Prompt</w:t>
      </w:r>
    </w:p>
    <w:p>
      <w:pPr>
        <w:pStyle w:val="FirstParagraph"/>
      </w:pPr>
      <w:r>
        <w:t xml:space="preserve">If you are using an LLM to generate or update documentation for AxonASP, provide the AI with the source code (e.g., the</w:t>
      </w:r>
      <w:r>
        <w:t xml:space="preserve"> </w:t>
      </w:r>
      <w:r>
        <w:rPr>
          <w:rStyle w:val="VerbatimChar"/>
        </w:rPr>
        <w:t xml:space="preserve">lib_*.go</w:t>
      </w:r>
      <w:r>
        <w:t xml:space="preserve"> </w:t>
      </w:r>
      <w:r>
        <w:t xml:space="preserve">file) and use the following prompt to ensure strict compliance:</w:t>
      </w:r>
    </w:p>
    <w:p>
      <w:pPr>
        <w:pStyle w:val="SourceCode"/>
      </w:pPr>
      <w:r>
        <w:rPr>
          <w:rStyle w:val="VerbatimChar"/>
        </w:rPr>
        <w:t xml:space="preserve">Act as an expert technical writer for the AxonASP project (developed by G3Pix). We need to write or significantly improve the documentation for the provided AxonASP library/object. Your writing is focused on ASP Classic, GoLang and VBScript.</w:t>
      </w:r>
      <w:r>
        <w:br/>
      </w:r>
      <w:r>
        <w:br/>
      </w:r>
      <w:r>
        <w:rPr>
          <w:rStyle w:val="VerbatimChar"/>
        </w:rPr>
        <w:t xml:space="preserve">Your task is to write the documentation to be precise, professional, and strictly compliant with our documentation standards.</w:t>
      </w:r>
      <w:r>
        <w:br/>
      </w:r>
      <w:r>
        <w:br/>
      </w:r>
      <w:r>
        <w:rPr>
          <w:rStyle w:val="VerbatimChar"/>
        </w:rPr>
        <w:t xml:space="preserve">**STRICT RULES &amp; CONSTRAINTS (DO NOT IGNORE):**</w:t>
      </w:r>
      <w:r>
        <w:br/>
      </w:r>
      <w:r>
        <w:br/>
      </w:r>
      <w:r>
        <w:rPr>
          <w:rStyle w:val="VerbatimChar"/>
        </w:rPr>
        <w:t xml:space="preserve">1. **Format &amp; Style:** Follow the Microsoft Writing Style Guide (action-oriented titles, brief overviews, prerequisites, code examples, extra information on how the code works, and complete API references). Use active voice, simple language, scannable lists, and bold text for emphasis. ABSOLUTELY NO EMOJIS. NO MARKDOWN LINKS inside the content page.</w:t>
      </w:r>
      <w:r>
        <w:br/>
      </w:r>
      <w:r>
        <w:rPr>
          <w:rStyle w:val="VerbatimChar"/>
        </w:rPr>
        <w:t xml:space="preserve">2. **Template:** Every manual page must follow this structure when authoring content for a specific object, method, or property - *Use exactly these headers*: `# Title`, `## Overview`, `## Syntax`, `## Parameters and Arguments`, `## Return Values`, `## Remarks`, `## Code Example`. For summary pages (`methods.md` or `properties.md`), use markdown tables. `methods.md` needs `Method | Returns | Description`. `properties.md` needs `Property | Access | Type | Description`.</w:t>
      </w:r>
      <w:r>
        <w:br/>
      </w:r>
      <w:r>
        <w:rPr>
          <w:rStyle w:val="VerbatimChar"/>
        </w:rPr>
        <w:t xml:space="preserve">3. **Branding:** Use the "G3Pix AxonASP" name. DO NOT use "MSDN" or "Microsoft" names or logos.</w:t>
      </w:r>
      <w:r>
        <w:br/>
      </w:r>
      <w:r>
        <w:rPr>
          <w:rStyle w:val="VerbatimChar"/>
        </w:rPr>
        <w:t xml:space="preserve">4. **Instantiation Precision (ProgID):** Never describe an object creation using aliases. e.g., use `Set obj = Server.CreateObject("PRIMARY_NAME_ONLY")`.</w:t>
      </w:r>
      <w:r>
        <w:br/>
      </w:r>
      <w:r>
        <w:rPr>
          <w:rStyle w:val="VerbatimChar"/>
        </w:rPr>
        <w:t xml:space="preserve">5. **Explicit Return Values:** Do NOT use generic catch-all descriptions. Document exactly what THAT SPECIFIC function returns (e.g., "Returns a String containing..."). DON'T BE GENERALIST. BE VERY SPECIFIC.</w:t>
      </w:r>
      <w:r>
        <w:br/>
      </w:r>
      <w:r>
        <w:rPr>
          <w:rStyle w:val="VerbatimChar"/>
        </w:rPr>
        <w:t xml:space="preserve">6. **Code Example:** Provide a complete, runnable Classic ASP example in English (US). Ensure the code is realistic, correct and demonstrates actual usage.</w:t>
      </w:r>
      <w:r>
        <w:br/>
      </w:r>
      <w:r>
        <w:rPr>
          <w:rStyle w:val="VerbatimChar"/>
        </w:rPr>
        <w:t xml:space="preserve">7. When creating code you can also check llm-classic-asp-coding.md in the manual, to ensure the ASP Classic code is following the guidelines.</w:t>
      </w:r>
      <w:r>
        <w:br/>
      </w:r>
      <w:r>
        <w:br/>
      </w:r>
      <w:r>
        <w:rPr>
          <w:rStyle w:val="VerbatimChar"/>
        </w:rPr>
        <w:t xml:space="preserve">Here is the source code / library details to document:</w:t>
      </w:r>
      <w:r>
        <w:br/>
      </w:r>
      <w:r>
        <w:rPr>
          <w:rStyle w:val="VerbatimChar"/>
        </w:rPr>
        <w:t xml:space="preserve">[INSERT SOURCE CODE OR DETAILS HERE]</w:t>
      </w:r>
    </w:p>
    <w:bookmarkEnd w:id="6771"/>
    <w:bookmarkStart w:id="6772" w:name="example-code-guideline"/>
    <w:p>
      <w:pPr>
        <w:pStyle w:val="Heading2"/>
      </w:pPr>
      <w:r>
        <w:t xml:space="preserve">Example Code Guideline</w:t>
      </w:r>
    </w:p>
    <w:p>
      <w:pPr>
        <w:pStyle w:val="SourceCode"/>
      </w:pPr>
      <w:r>
        <w:rPr>
          <w:rStyle w:val="DataTypeTok"/>
        </w:rPr>
        <w:t xml:space="preserve">&lt;%</w:t>
      </w:r>
      <w:r>
        <w:br/>
      </w:r>
      <w:r>
        <w:rPr>
          <w:rStyle w:val="KeywordTok"/>
        </w:rPr>
        <w:t xml:space="preserve">Dim</w:t>
      </w:r>
      <w:r>
        <w:rPr>
          <w:rStyle w:val="NormalTok"/>
        </w:rPr>
        <w:t xml:space="preserve"> crypto</w:t>
      </w:r>
      <w:r>
        <w:br/>
      </w:r>
      <w:r>
        <w:rPr>
          <w:rStyle w:val="CommentTok"/>
        </w:rPr>
        <w:t xml:space="preserve">' Correct primary instantiation</w:t>
      </w:r>
      <w:r>
        <w:br/>
      </w:r>
      <w:r>
        <w:rPr>
          <w:rStyle w:val="KeywordTok"/>
        </w:rPr>
        <w:t xml:space="preserve">Set</w:t>
      </w:r>
      <w:r>
        <w:rPr>
          <w:rStyle w:val="NormalTok"/>
        </w:rPr>
        <w:t xml:space="preserve"> crypto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"G3CRYPTO"</w:t>
      </w:r>
      <w:r>
        <w:rPr>
          <w:rStyle w:val="OtherTok"/>
        </w:rPr>
        <w:t xml:space="preserve">)</w:t>
      </w:r>
      <w:r>
        <w:br/>
      </w:r>
      <w:r>
        <w:br/>
      </w:r>
      <w:r>
        <w:rPr>
          <w:rStyle w:val="KeywordTok"/>
        </w:rPr>
        <w:t xml:space="preserve">Dim</w:t>
      </w:r>
      <w:r>
        <w:rPr>
          <w:rStyle w:val="NormalTok"/>
        </w:rPr>
        <w:t xml:space="preserve"> hashValue</w:t>
      </w:r>
      <w:r>
        <w:br/>
      </w:r>
      <w:r>
        <w:rPr>
          <w:rStyle w:val="CommentTok"/>
        </w:rPr>
        <w:t xml:space="preserve">' Precise documentation of the return value is expected in the text above this example</w:t>
      </w:r>
      <w:r>
        <w:br/>
      </w:r>
      <w:r>
        <w:rPr>
          <w:rStyle w:val="NormalTok"/>
        </w:rPr>
        <w:t xml:space="preserve">hashValue = crypto.MD5</w:t>
      </w:r>
      <w:r>
        <w:rPr>
          <w:rStyle w:val="OtherTok"/>
        </w:rPr>
        <w:t xml:space="preserve">(</w:t>
      </w:r>
      <w:r>
        <w:rPr>
          <w:rStyle w:val="StringTok"/>
        </w:rPr>
        <w:t xml:space="preserve">"my_secret_string"</w:t>
      </w:r>
      <w:r>
        <w:rPr>
          <w:rStyle w:val="OtherTok"/>
        </w:rPr>
        <w:t xml:space="preserve">)</w:t>
      </w:r>
      <w:r>
        <w:br/>
      </w:r>
      <w:r>
        <w:br/>
      </w:r>
      <w:r>
        <w:rPr>
          <w:rStyle w:val="ControlFlowTok"/>
        </w:rPr>
        <w:t xml:space="preserve">If</w:t>
      </w:r>
      <w:r>
        <w:rPr>
          <w:rStyle w:val="NormalTok"/>
        </w:rPr>
        <w:t xml:space="preserve"> </w:t>
      </w:r>
      <w:r>
        <w:rPr>
          <w:rStyle w:val="FunctionTok"/>
        </w:rPr>
        <w:t xml:space="preserve">Len</w:t>
      </w:r>
      <w:r>
        <w:rPr>
          <w:rStyle w:val="OtherTok"/>
        </w:rPr>
        <w:t xml:space="preserve">(</w:t>
      </w:r>
      <w:r>
        <w:rPr>
          <w:rStyle w:val="NormalTok"/>
        </w:rPr>
        <w:t xml:space="preserve">hashValue</w:t>
      </w:r>
      <w:r>
        <w:rPr>
          <w:rStyle w:val="OtherTok"/>
        </w:rPr>
        <w:t xml:space="preserve">)</w:t>
      </w:r>
      <w:r>
        <w:rPr>
          <w:rStyle w:val="NormalTok"/>
        </w:rPr>
        <w:t xml:space="preserve"> &gt; </w:t>
      </w:r>
      <w:r>
        <w:rPr>
          <w:rStyle w:val="DecValTok"/>
        </w:rPr>
        <w:t xml:space="preserve">0</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w:t>
      </w:r>
      <w:r>
        <w:rPr>
          <w:rStyle w:val="StringTok"/>
        </w:rPr>
        <w:t xml:space="preserve">"Hash generated successfully."</w:t>
      </w:r>
      <w:r>
        <w:br/>
      </w:r>
      <w:r>
        <w:rPr>
          <w:rStyle w:val="ControlFlowTok"/>
        </w:rPr>
        <w:t xml:space="preserve">End If</w:t>
      </w:r>
      <w:r>
        <w:br/>
      </w:r>
      <w:r>
        <w:br/>
      </w:r>
      <w:r>
        <w:rPr>
          <w:rStyle w:val="KeywordTok"/>
        </w:rPr>
        <w:t xml:space="preserve">Set</w:t>
      </w:r>
      <w:r>
        <w:rPr>
          <w:rStyle w:val="NormalTok"/>
        </w:rPr>
        <w:t xml:space="preserve"> crypto = </w:t>
      </w:r>
      <w:r>
        <w:rPr>
          <w:rStyle w:val="KeywordTok"/>
        </w:rPr>
        <w:t xml:space="preserve">Nothing</w:t>
      </w:r>
      <w:r>
        <w:br/>
      </w:r>
      <w:r>
        <w:rPr>
          <w:rStyle w:val="DataTypeTok"/>
        </w:rPr>
        <w:t xml:space="preserve">%&gt;</w:t>
      </w:r>
    </w:p>
    <w:bookmarkEnd w:id="6772"/>
    <w:bookmarkEnd w:id="6773"/>
    <w:bookmarkStart w:id="6781" w:name="Xfc7d298c956fc69ff0bbdad5181e3167599494d"/>
    <w:p>
      <w:pPr>
        <w:pStyle w:val="Heading1"/>
      </w:pPr>
      <w:r>
        <w:t xml:space="preserve">Program Classic ASP with LLM/AI agents in AxonASP</w:t>
      </w:r>
    </w:p>
    <w:bookmarkStart w:id="6774" w:name="overview-686"/>
    <w:p>
      <w:pPr>
        <w:pStyle w:val="Heading2"/>
      </w:pPr>
      <w:r>
        <w:t xml:space="preserve">Overview</w:t>
      </w:r>
    </w:p>
    <w:p>
      <w:pPr>
        <w:pStyle w:val="FirstParagraph"/>
      </w:pPr>
      <w:r>
        <w:t xml:space="preserve">Use this guide when asking LLM/AI agents to generate or refactor Classic ASP VBScript code for AxonASP. The objective is strict compatibility, predictable runtime behavior, and safe code generation aligned with project standards.</w:t>
      </w:r>
    </w:p>
    <w:bookmarkEnd w:id="6774"/>
    <w:bookmarkStart w:id="6775" w:name="syntax-772"/>
    <w:p>
      <w:pPr>
        <w:pStyle w:val="Heading2"/>
      </w:pPr>
      <w:r>
        <w:t xml:space="preserve">Syntax</w:t>
      </w:r>
    </w:p>
    <w:p>
      <w:pPr>
        <w:pStyle w:val="SourceCode"/>
      </w:pPr>
      <w:r>
        <w:rPr>
          <w:rStyle w:val="VerbatimChar"/>
        </w:rPr>
        <w:t xml:space="preserve">Task for AI agent:</w:t>
      </w:r>
      <w:r>
        <w:br/>
      </w:r>
      <w:r>
        <w:rPr>
          <w:rStyle w:val="VerbatimChar"/>
        </w:rPr>
        <w:t xml:space="preserve">- Target runtime: Classic ASP VBScript 5.8</w:t>
      </w:r>
      <w:r>
        <w:br/>
      </w:r>
      <w:r>
        <w:rPr>
          <w:rStyle w:val="VerbatimChar"/>
        </w:rPr>
        <w:t xml:space="preserve">- Enforce: block If...Then...End If only</w:t>
      </w:r>
      <w:r>
        <w:br/>
      </w:r>
      <w:r>
        <w:rPr>
          <w:rStyle w:val="VerbatimChar"/>
        </w:rPr>
        <w:t xml:space="preserve">- Enforce: Set for object assignment</w:t>
      </w:r>
      <w:r>
        <w:br/>
      </w:r>
      <w:r>
        <w:rPr>
          <w:rStyle w:val="VerbatimChar"/>
        </w:rPr>
        <w:t xml:space="preserve">- Enforce: &amp; for string concatenation</w:t>
      </w:r>
      <w:r>
        <w:br/>
      </w:r>
      <w:r>
        <w:rPr>
          <w:rStyle w:val="VerbatimChar"/>
        </w:rPr>
        <w:t xml:space="preserve">- Enforce: Option Explicit</w:t>
      </w:r>
      <w:r>
        <w:br/>
      </w:r>
      <w:r>
        <w:rPr>
          <w:rStyle w:val="VerbatimChar"/>
        </w:rPr>
        <w:t xml:space="preserve">- Enforce: no inline Dim initialization</w:t>
      </w:r>
    </w:p>
    <w:bookmarkEnd w:id="6775"/>
    <w:bookmarkStart w:id="6776" w:name="parameters-and-arguments-191"/>
    <w:p>
      <w:pPr>
        <w:pStyle w:val="Heading2"/>
      </w:pPr>
      <w:r>
        <w:t xml:space="preserve">Parameters and Arguments</w:t>
      </w:r>
    </w:p>
    <w:p>
      <w:pPr>
        <w:pStyle w:val="Compact"/>
        <w:numPr>
          <w:ilvl w:val="0"/>
          <w:numId w:val="2633"/>
        </w:numPr>
      </w:pPr>
      <w:r>
        <w:t xml:space="preserve">Runtime target (Required): Classic ASP with VBScript 5.8 semantics.</w:t>
      </w:r>
    </w:p>
    <w:p>
      <w:pPr>
        <w:pStyle w:val="Compact"/>
        <w:numPr>
          <w:ilvl w:val="0"/>
          <w:numId w:val="2633"/>
        </w:numPr>
      </w:pPr>
      <w:r>
        <w:t xml:space="preserve">Directive format (Required): Keep &lt;%@ … %&gt; on the first line, compact, and fully closed.</w:t>
      </w:r>
    </w:p>
    <w:p>
      <w:pPr>
        <w:pStyle w:val="Compact"/>
        <w:numPr>
          <w:ilvl w:val="0"/>
          <w:numId w:val="2633"/>
        </w:numPr>
      </w:pPr>
      <w:r>
        <w:t xml:space="preserve">Control flow policy (Required): Use block If…Then…End If only. Do not use single-line If statements.</w:t>
      </w:r>
    </w:p>
    <w:p>
      <w:pPr>
        <w:pStyle w:val="Compact"/>
        <w:numPr>
          <w:ilvl w:val="0"/>
          <w:numId w:val="2633"/>
        </w:numPr>
      </w:pPr>
      <w:r>
        <w:t xml:space="preserve">Variable policy (Required): Use Option Explicit and separate declaration from assignment.</w:t>
      </w:r>
    </w:p>
    <w:p>
      <w:pPr>
        <w:pStyle w:val="Compact"/>
        <w:numPr>
          <w:ilvl w:val="0"/>
          <w:numId w:val="2633"/>
        </w:numPr>
      </w:pPr>
      <w:r>
        <w:t xml:space="preserve">Object policy (Required): Use Set for object references and Set obj = Nothing for cleanup.</w:t>
      </w:r>
    </w:p>
    <w:p>
      <w:pPr>
        <w:pStyle w:val="Compact"/>
        <w:numPr>
          <w:ilvl w:val="0"/>
          <w:numId w:val="2633"/>
        </w:numPr>
      </w:pPr>
      <w:r>
        <w:t xml:space="preserve">Call syntax policy (Required): For Sub/method calls without return, use no parentheses or use Call with parentheses.</w:t>
      </w:r>
    </w:p>
    <w:p>
      <w:pPr>
        <w:pStyle w:val="Compact"/>
        <w:numPr>
          <w:ilvl w:val="0"/>
          <w:numId w:val="2633"/>
        </w:numPr>
      </w:pPr>
      <w:r>
        <w:t xml:space="preserve">Function call policy (Required): Use parentheses when assigning function return values.</w:t>
      </w:r>
    </w:p>
    <w:p>
      <w:pPr>
        <w:pStyle w:val="Compact"/>
        <w:numPr>
          <w:ilvl w:val="0"/>
          <w:numId w:val="2633"/>
        </w:numPr>
      </w:pPr>
      <w:r>
        <w:t xml:space="preserve">Error policy (Required): Use On Error Resume Next, check Err.Number, and reset with On Error GoTo 0.</w:t>
      </w:r>
    </w:p>
    <w:p>
      <w:pPr>
        <w:pStyle w:val="Compact"/>
        <w:numPr>
          <w:ilvl w:val="0"/>
          <w:numId w:val="2633"/>
        </w:numPr>
      </w:pPr>
      <w:r>
        <w:t xml:space="preserve">Boolean policy (Required): Avoid short-circuit assumptions for And and Or; nest conditions where safety is required.</w:t>
      </w:r>
    </w:p>
    <w:p>
      <w:pPr>
        <w:pStyle w:val="Compact"/>
        <w:numPr>
          <w:ilvl w:val="0"/>
          <w:numId w:val="2633"/>
        </w:numPr>
      </w:pPr>
      <w:r>
        <w:t xml:space="preserve">Concatenation policy (Required): Use &amp; for strings. Do not use + for string concatenation.</w:t>
      </w:r>
    </w:p>
    <w:p>
      <w:pPr>
        <w:pStyle w:val="Compact"/>
        <w:numPr>
          <w:ilvl w:val="0"/>
          <w:numId w:val="2633"/>
        </w:numPr>
      </w:pPr>
      <w:r>
        <w:t xml:space="preserve">Object creation policy (Required): Use exact ProgID values for Server.CreateObject.</w:t>
      </w:r>
    </w:p>
    <w:bookmarkEnd w:id="6776"/>
    <w:bookmarkStart w:id="6777" w:name="return-values-263"/>
    <w:p>
      <w:pPr>
        <w:pStyle w:val="Heading2"/>
      </w:pPr>
      <w:r>
        <w:t xml:space="preserve">Return Values</w:t>
      </w:r>
    </w:p>
    <w:p>
      <w:pPr>
        <w:pStyle w:val="FirstParagraph"/>
      </w:pPr>
      <w:r>
        <w:t xml:space="preserve">Using these constraints in prompts produces code that is more likely to execute without parser or runtime regressions in Classic ASP and AxonASP.</w:t>
      </w:r>
    </w:p>
    <w:bookmarkEnd w:id="6777"/>
    <w:bookmarkStart w:id="6778" w:name="remarks-793"/>
    <w:p>
      <w:pPr>
        <w:pStyle w:val="Heading2"/>
      </w:pPr>
      <w:r>
        <w:t xml:space="preserve">Remarks</w:t>
      </w:r>
    </w:p>
    <w:p>
      <w:pPr>
        <w:pStyle w:val="Compact"/>
        <w:numPr>
          <w:ilvl w:val="0"/>
          <w:numId w:val="2634"/>
        </w:numPr>
      </w:pPr>
      <w:r>
        <w:t xml:space="preserve">Treat every generated snippet as compatibility-sensitive code.</w:t>
      </w:r>
    </w:p>
    <w:p>
      <w:pPr>
        <w:pStyle w:val="Compact"/>
        <w:numPr>
          <w:ilvl w:val="0"/>
          <w:numId w:val="2634"/>
        </w:numPr>
      </w:pPr>
      <w:r>
        <w:t xml:space="preserve">Ask the LLM to avoid modern language patterns such as try/catch, typed declarations, or inline initialization.</w:t>
      </w:r>
    </w:p>
    <w:p>
      <w:pPr>
        <w:pStyle w:val="Compact"/>
        <w:numPr>
          <w:ilvl w:val="0"/>
          <w:numId w:val="2634"/>
        </w:numPr>
      </w:pPr>
      <w:r>
        <w:t xml:space="preserve">Require explicit object lifecycle cleanup in long-running scripts.</w:t>
      </w:r>
    </w:p>
    <w:p>
      <w:pPr>
        <w:pStyle w:val="Compact"/>
        <w:numPr>
          <w:ilvl w:val="0"/>
          <w:numId w:val="2634"/>
        </w:numPr>
      </w:pPr>
      <w:r>
        <w:t xml:space="preserve">Require defensive condition nesting for recordset and object access.</w:t>
      </w:r>
    </w:p>
    <w:p>
      <w:pPr>
        <w:pStyle w:val="Compact"/>
        <w:numPr>
          <w:ilvl w:val="0"/>
          <w:numId w:val="2634"/>
        </w:numPr>
      </w:pPr>
      <w:r>
        <w:t xml:space="preserve">Validate generated ProgIDs against the AxonASP manual before execution.</w:t>
      </w:r>
    </w:p>
    <w:bookmarkEnd w:id="6778"/>
    <w:bookmarkStart w:id="6779" w:name="agent-prompting-example"/>
    <w:p>
      <w:pPr>
        <w:pStyle w:val="Heading2"/>
      </w:pPr>
      <w:r>
        <w:t xml:space="preserve">Agent Prompting Example</w:t>
      </w:r>
    </w:p>
    <w:p>
      <w:pPr>
        <w:pStyle w:val="FirstParagraph"/>
      </w:pPr>
      <w:r>
        <w:t xml:space="preserve">When asking an AI agent to generate Classic ASP code for AxonASP, include the following checklist in your prompt to ensure compliance with the coding standards outlined above:</w:t>
      </w:r>
    </w:p>
    <w:p>
      <w:pPr>
        <w:pStyle w:val="SourceCode"/>
      </w:pPr>
      <w:r>
        <w:rPr>
          <w:rStyle w:val="VerbatimChar"/>
        </w:rPr>
        <w:t xml:space="preserve">STRICT CLASSIC ASP &amp; VBSCRIPT CODING GUIDELINES</w:t>
      </w:r>
      <w:r>
        <w:br/>
      </w:r>
      <w:r>
        <w:br/>
      </w:r>
      <w:r>
        <w:rPr>
          <w:rStyle w:val="VerbatimChar"/>
        </w:rPr>
        <w:t xml:space="preserve">Overview: Classic ASP (Active Server Pages) powered by VBScript 5.8 has a highly specific syntax that predates modern programming paradigms. To ensure maximum compatibility, performance, and stability, all ASP code must strictly adhere to the following Microsoft IIS legacy standards. </w:t>
      </w:r>
      <w:r>
        <w:br/>
      </w:r>
      <w:r>
        <w:br/>
      </w:r>
      <w:r>
        <w:rPr>
          <w:rStyle w:val="VerbatimChar"/>
        </w:rPr>
        <w:t xml:space="preserve">1. ASP Directives and Delimiters</w:t>
      </w:r>
      <w:r>
        <w:br/>
      </w:r>
      <w:r>
        <w:rPr>
          <w:rStyle w:val="VerbatimChar"/>
        </w:rPr>
        <w:t xml:space="preserve">Modern parsers might be forgiving, but strict Classic ASP requires exact formatting for page directives.</w:t>
      </w:r>
      <w:r>
        <w:br/>
      </w:r>
      <w:r>
        <w:rPr>
          <w:rStyle w:val="VerbatimChar"/>
        </w:rPr>
        <w:t xml:space="preserve">* No Line Breaks in Directives: The processing directive `&lt;%@ ... %&gt;` must exist entirely on the very first line of the file. You cannot break it across multiple lines.</w:t>
      </w:r>
      <w:r>
        <w:br/>
      </w:r>
      <w:r>
        <w:rPr>
          <w:rStyle w:val="VerbatimChar"/>
        </w:rPr>
        <w:t xml:space="preserve">* No Extra Spacing: Keep directives compact. Do not add unnecessary spaces around the equal signs.</w:t>
      </w:r>
      <w:r>
        <w:br/>
      </w:r>
      <w:r>
        <w:rPr>
          <w:rStyle w:val="VerbatimChar"/>
        </w:rPr>
        <w:t xml:space="preserve">    * Correct: `&lt;%@Language="VBSCRIPT" CodePage="65001"%&gt;`</w:t>
      </w:r>
      <w:r>
        <w:br/>
      </w:r>
      <w:r>
        <w:rPr>
          <w:rStyle w:val="VerbatimChar"/>
        </w:rPr>
        <w:t xml:space="preserve">    * Incorrect: `&lt;%@ Language = "VBSCRIPT" %&gt;`</w:t>
      </w:r>
      <w:r>
        <w:br/>
      </w:r>
      <w:r>
        <w:rPr>
          <w:rStyle w:val="VerbatimChar"/>
        </w:rPr>
        <w:t xml:space="preserve">* Tag Closure:Never leave `&lt;%` or `%&gt;` tags unclosed or mismatched.</w:t>
      </w:r>
      <w:r>
        <w:br/>
      </w:r>
      <w:r>
        <w:br/>
      </w:r>
      <w:r>
        <w:rPr>
          <w:rStyle w:val="VerbatimChar"/>
        </w:rPr>
        <w:t xml:space="preserve">2. Control Structures (The "If-Then" Rule)</w:t>
      </w:r>
      <w:r>
        <w:br/>
      </w:r>
      <w:r>
        <w:rPr>
          <w:rStyle w:val="VerbatimChar"/>
        </w:rPr>
        <w:t xml:space="preserve">VBScript control structures are rigid. Modern shortcuts do not apply.</w:t>
      </w:r>
      <w:r>
        <w:br/>
      </w:r>
      <w:r>
        <w:rPr>
          <w:rStyle w:val="VerbatimChar"/>
        </w:rPr>
        <w:t xml:space="preserve">* Mandatory Block `If...Then...End If`: You must never use single-line `If...Then` statements (e.g., `If x = 1 Then y = 2`). While legacy VBScript technically allowed this, it is notoriously prone to parsing errors and scope bleeding in complex ASP pages. You MUST always use block syntax and explicitly close the statement with `End If`.</w:t>
      </w:r>
      <w:r>
        <w:br/>
      </w:r>
      <w:r>
        <w:rPr>
          <w:rStyle w:val="VerbatimChar"/>
        </w:rPr>
        <w:t xml:space="preserve">    * Correct:</w:t>
      </w:r>
      <w:r>
        <w:br/>
      </w:r>
      <w:r>
        <w:rPr>
          <w:rStyle w:val="VerbatimChar"/>
        </w:rPr>
        <w:t xml:space="preserve">        If x = 1 Then</w:t>
      </w:r>
      <w:r>
        <w:br/>
      </w:r>
      <w:r>
        <w:rPr>
          <w:rStyle w:val="VerbatimChar"/>
        </w:rPr>
        <w:t xml:space="preserve">            y = 2</w:t>
      </w:r>
      <w:r>
        <w:br/>
      </w:r>
      <w:r>
        <w:rPr>
          <w:rStyle w:val="VerbatimChar"/>
        </w:rPr>
        <w:t xml:space="preserve">        End If </w:t>
      </w:r>
      <w:r>
        <w:br/>
      </w:r>
      <w:r>
        <w:rPr>
          <w:rStyle w:val="VerbatimChar"/>
        </w:rPr>
        <w:t xml:space="preserve">    * Incorrect: `If x = 1 Then y = 2`</w:t>
      </w:r>
      <w:r>
        <w:br/>
      </w:r>
      <w:r>
        <w:rPr>
          <w:rStyle w:val="VerbatimChar"/>
        </w:rPr>
        <w:t xml:space="preserve">* Loop Closures: `For` loops must end with `Next` (optionally `Next variableName`), `Do While` must end with `Loop`, and `While` must end with `Wend`.</w:t>
      </w:r>
      <w:r>
        <w:br/>
      </w:r>
      <w:r>
        <w:br/>
      </w:r>
      <w:r>
        <w:rPr>
          <w:rStyle w:val="VerbatimChar"/>
        </w:rPr>
        <w:t xml:space="preserve">3. Variable Declaration &amp; Initialization</w:t>
      </w:r>
      <w:r>
        <w:br/>
      </w:r>
      <w:r>
        <w:rPr>
          <w:rStyle w:val="VerbatimChar"/>
        </w:rPr>
        <w:t xml:space="preserve">VBScript lacks modern variable declaration features.</w:t>
      </w:r>
      <w:r>
        <w:br/>
      </w:r>
      <w:r>
        <w:rPr>
          <w:rStyle w:val="VerbatimChar"/>
        </w:rPr>
        <w:t xml:space="preserve">* Mandatory `Option Explicit`: Every single VBScript page or included file should ideally enforce `Option Explicit` to prevent undeclared variables.</w:t>
      </w:r>
      <w:r>
        <w:br/>
      </w:r>
      <w:r>
        <w:rPr>
          <w:rStyle w:val="VerbatimChar"/>
        </w:rPr>
        <w:t xml:space="preserve">* No Inline Initialization: You cannot declare and assign a variable on the same line.</w:t>
      </w:r>
      <w:r>
        <w:br/>
      </w:r>
      <w:r>
        <w:rPr>
          <w:rStyle w:val="VerbatimChar"/>
        </w:rPr>
        <w:t xml:space="preserve">    * Correct:</w:t>
      </w:r>
      <w:r>
        <w:br/>
      </w:r>
      <w:r>
        <w:rPr>
          <w:rStyle w:val="VerbatimChar"/>
        </w:rPr>
        <w:t xml:space="preserve">        Dim myVar</w:t>
      </w:r>
      <w:r>
        <w:br/>
      </w:r>
      <w:r>
        <w:rPr>
          <w:rStyle w:val="VerbatimChar"/>
        </w:rPr>
        <w:t xml:space="preserve">        myVar = "Hello"</w:t>
      </w:r>
      <w:r>
        <w:br/>
      </w:r>
      <w:r>
        <w:rPr>
          <w:rStyle w:val="VerbatimChar"/>
        </w:rPr>
        <w:t xml:space="preserve">    * Incorrect: `Dim myVar = "Hello"`</w:t>
      </w:r>
      <w:r>
        <w:br/>
      </w:r>
      <w:r>
        <w:rPr>
          <w:rStyle w:val="VerbatimChar"/>
        </w:rPr>
        <w:t xml:space="preserve">* Everything is a Variant: There is no strong typing in VBScript. Do not attempt to type variables (e.g., `Dim x As Integer` will throw a syntax error).</w:t>
      </w:r>
      <w:r>
        <w:br/>
      </w:r>
      <w:r>
        <w:br/>
      </w:r>
      <w:r>
        <w:rPr>
          <w:rStyle w:val="VerbatimChar"/>
        </w:rPr>
        <w:t xml:space="preserve">4. Object Assignment (`Set` vs. `Let`)</w:t>
      </w:r>
      <w:r>
        <w:br/>
      </w:r>
      <w:r>
        <w:rPr>
          <w:rStyle w:val="VerbatimChar"/>
        </w:rPr>
        <w:t xml:space="preserve">This is the most common pitfall for modern developers writing VBScript.</w:t>
      </w:r>
      <w:r>
        <w:br/>
      </w:r>
      <w:r>
        <w:rPr>
          <w:rStyle w:val="VerbatimChar"/>
        </w:rPr>
        <w:t xml:space="preserve">* The `Set` Keyword: Whenever you are assigning an Object (like a Recordset, Connection, FSO, or Dictionary) to a variable, you must use the `Set` keyword.</w:t>
      </w:r>
      <w:r>
        <w:br/>
      </w:r>
      <w:r>
        <w:rPr>
          <w:rStyle w:val="VerbatimChar"/>
        </w:rPr>
        <w:t xml:space="preserve">    * Correct: `Set rs = Server.CreateObject("ADODB.Recordset")`</w:t>
      </w:r>
      <w:r>
        <w:br/>
      </w:r>
      <w:r>
        <w:rPr>
          <w:rStyle w:val="VerbatimChar"/>
        </w:rPr>
        <w:t xml:space="preserve">    * Incorrect: `rs = Server.CreateObject("ADODB.Recordset")`</w:t>
      </w:r>
      <w:r>
        <w:br/>
      </w:r>
      <w:r>
        <w:rPr>
          <w:rStyle w:val="VerbatimChar"/>
        </w:rPr>
        <w:t xml:space="preserve">* The `Nothing` Keyword: To destroy an object and free memory, you must explicitly set it to `Nothing`.</w:t>
      </w:r>
      <w:r>
        <w:br/>
      </w:r>
      <w:r>
        <w:rPr>
          <w:rStyle w:val="VerbatimChar"/>
        </w:rPr>
        <w:t xml:space="preserve">    * Correct: `Set rs = Nothing`</w:t>
      </w:r>
      <w:r>
        <w:br/>
      </w:r>
      <w:r>
        <w:br/>
      </w:r>
      <w:r>
        <w:rPr>
          <w:rStyle w:val="VerbatimChar"/>
        </w:rPr>
        <w:t xml:space="preserve">5. Method and Function Calling (Parentheses Rules)</w:t>
      </w:r>
      <w:r>
        <w:br/>
      </w:r>
      <w:r>
        <w:rPr>
          <w:rStyle w:val="VerbatimChar"/>
        </w:rPr>
        <w:t xml:space="preserve">VBScript's rules for parentheses are highly idiosyncratic compared to modern languages.</w:t>
      </w:r>
      <w:r>
        <w:br/>
      </w:r>
      <w:r>
        <w:rPr>
          <w:rStyle w:val="VerbatimChar"/>
        </w:rPr>
        <w:t xml:space="preserve">* Calling Subs or Methods (No Return Value): If you are calling a Sub or a method without expecting a return value, do not use parentheses, OR use the `Call` keyword with parentheses.</w:t>
      </w:r>
      <w:r>
        <w:br/>
      </w:r>
      <w:r>
        <w:rPr>
          <w:rStyle w:val="VerbatimChar"/>
        </w:rPr>
        <w:t xml:space="preserve">    * Correct: `Response.Write "Hello World"`</w:t>
      </w:r>
      <w:r>
        <w:br/>
      </w:r>
      <w:r>
        <w:rPr>
          <w:rStyle w:val="VerbatimChar"/>
        </w:rPr>
        <w:t xml:space="preserve">    * Correct: `Call Response.Write("Hello World")`</w:t>
      </w:r>
      <w:r>
        <w:br/>
      </w:r>
      <w:r>
        <w:rPr>
          <w:rStyle w:val="VerbatimChar"/>
        </w:rPr>
        <w:t xml:space="preserve">    * Incorrect: `Response.Write("Hello World")` (This passes the argument ByVal and can cause syntax errors with multiple arguments).</w:t>
      </w:r>
      <w:r>
        <w:br/>
      </w:r>
      <w:r>
        <w:rPr>
          <w:rStyle w:val="VerbatimChar"/>
        </w:rPr>
        <w:t xml:space="preserve">* Calling Functions (Expecting a Return Value): If you are assigning the result to a variable, you must use parentheses.</w:t>
      </w:r>
      <w:r>
        <w:br/>
      </w:r>
      <w:r>
        <w:rPr>
          <w:rStyle w:val="VerbatimChar"/>
        </w:rPr>
        <w:t xml:space="preserve">    * Correct: `myLen = Len("Hello")`</w:t>
      </w:r>
      <w:r>
        <w:br/>
      </w:r>
      <w:r>
        <w:br/>
      </w:r>
      <w:r>
        <w:rPr>
          <w:rStyle w:val="VerbatimChar"/>
        </w:rPr>
        <w:t xml:space="preserve">6. Major Quirks vs. Modern Languages</w:t>
      </w:r>
      <w:r>
        <w:br/>
      </w:r>
      <w:r>
        <w:rPr>
          <w:rStyle w:val="VerbatimChar"/>
        </w:rPr>
        <w:t xml:space="preserve">* No Short-Circuit Logic: In an `If A And B Then` statement, VBScript evaluates both `A` and `B`, even if `A` is false. This will cause crashes if `B` relies on `A` being true (e.g., `If Not rs.EOF And rs("Name") = "John" Then` will crash if the recordset is at EOF). You must nest your `If` statements.</w:t>
      </w:r>
      <w:r>
        <w:br/>
      </w:r>
      <w:r>
        <w:rPr>
          <w:rStyle w:val="VerbatimChar"/>
        </w:rPr>
        <w:t xml:space="preserve">* Error Handling: There is no `try...catch...finally` block. You must use inline error handling.</w:t>
      </w:r>
      <w:r>
        <w:br/>
      </w:r>
      <w:r>
        <w:rPr>
          <w:rStyle w:val="VerbatimChar"/>
        </w:rPr>
        <w:t xml:space="preserve">    * Enable: `On Error Resume Next`</w:t>
      </w:r>
      <w:r>
        <w:br/>
      </w:r>
      <w:r>
        <w:rPr>
          <w:rStyle w:val="VerbatimChar"/>
        </w:rPr>
        <w:t xml:space="preserve">    * Check: `If Err.Number &lt;&gt; 0 Then ...`</w:t>
      </w:r>
      <w:r>
        <w:br/>
      </w:r>
      <w:r>
        <w:rPr>
          <w:rStyle w:val="VerbatimChar"/>
        </w:rPr>
        <w:t xml:space="preserve">    * Disable/Reset: `On Error GoTo 0`</w:t>
      </w:r>
      <w:r>
        <w:br/>
      </w:r>
      <w:r>
        <w:rPr>
          <w:rStyle w:val="VerbatimChar"/>
        </w:rPr>
        <w:t xml:space="preserve">* String Concatenation: Always use the ampersand (`&amp;`) to concatenate strings, never the plus sign (`+`), as `+` can inadvertently cause mathematical addition if both variants evaluate to numbers.</w:t>
      </w:r>
      <w:r>
        <w:br/>
      </w:r>
      <w:r>
        <w:rPr>
          <w:rStyle w:val="VerbatimChar"/>
        </w:rPr>
        <w:t xml:space="preserve">* Equality Operator: A single equals sign (`=`) acts as both the assignment operator AND the equality comparison operator. There is no `==` or `===`.</w:t>
      </w:r>
      <w:r>
        <w:br/>
      </w:r>
      <w:r>
        <w:rPr>
          <w:rStyle w:val="VerbatimChar"/>
        </w:rPr>
        <w:t xml:space="preserve">    * Assignment: `x = 5`</w:t>
      </w:r>
      <w:r>
        <w:br/>
      </w:r>
      <w:r>
        <w:rPr>
          <w:rStyle w:val="VerbatimChar"/>
        </w:rPr>
        <w:t xml:space="preserve">    * Comparison: `If x = 5 Then`</w:t>
      </w:r>
      <w:r>
        <w:br/>
      </w:r>
      <w:r>
        <w:rPr>
          <w:rStyle w:val="VerbatimChar"/>
        </w:rPr>
        <w:t xml:space="preserve">* Line Continuation: Statements cannot naturally break across lines. You must use the underscore character (`_`) preceded by a space to span a single logical line of code across multiple physical lines.</w:t>
      </w:r>
      <w:r>
        <w:br/>
      </w:r>
      <w:r>
        <w:br/>
      </w:r>
      <w:r>
        <w:rPr>
          <w:rStyle w:val="VerbatimChar"/>
        </w:rPr>
        <w:t xml:space="preserve">7. Server-Side Object Creation</w:t>
      </w:r>
      <w:r>
        <w:br/>
      </w:r>
      <w:r>
        <w:rPr>
          <w:rStyle w:val="VerbatimChar"/>
        </w:rPr>
        <w:t xml:space="preserve">When using `Server.CreateObject`, you must use the exact ProgID string as defined by the library or component. The server will return a native object handle that is compatible with VBScript's late binding. Always check the documentation for the correct ProgID and ensure that the corresponding library is properly registered on the server.</w:t>
      </w:r>
      <w:r>
        <w:br/>
      </w:r>
      <w:r>
        <w:br/>
      </w:r>
      <w:r>
        <w:rPr>
          <w:rStyle w:val="VerbatimChar"/>
        </w:rPr>
        <w:t xml:space="preserve">8. Use of the MCP Server and AxonASP Libraries</w:t>
      </w:r>
      <w:r>
        <w:br/>
      </w:r>
      <w:r>
        <w:rPr>
          <w:rStyle w:val="VerbatimChar"/>
        </w:rPr>
        <w:t xml:space="preserve">When creating objects with `Server.CreateObject`, prefer using the ProgIDs provided by the AxonASP manual for maximum compatibility and performance. These ProgIDs are designed to leverage the native implementations in AxonASP, which are optimized for the Classic ASP environment.</w:t>
      </w:r>
      <w:r>
        <w:br/>
      </w:r>
      <w:r>
        <w:rPr>
          <w:rStyle w:val="VerbatimChar"/>
        </w:rPr>
        <w:t xml:space="preserve">If you have access to the AxonASP MCP server, you should query it for information on code formatting, as well as available server functions and properties. If the MCP server is unavailable, refer to the manual located in ./www/manual/md or online at https://github.com/guimaraeslucas/axonasp/tree/main/www/manual/md/authoring/llm-classic-asp-coding.md.</w:t>
      </w:r>
      <w:r>
        <w:br/>
      </w:r>
      <w:r>
        <w:rPr>
          <w:rStyle w:val="VerbatimChar"/>
        </w:rPr>
        <w:t xml:space="preserve">The following objects are available natively. To ensure maximum performance and efficiency, always prioritize using these built-in objects over writing custom ASP scripts for the same functionality: G3MD, G3CRYPTO, G3Axon, G3JSON, G3DB, G3HTTP, G3MAIL, G3Image, G3FILES, G3Template, G3Zip, G3ZLIB, G3TAR, G3ZSTD, G3FC, WScript.Shell, ADOX.Catalog, MSWC.AdRotator, MSWC.BrowserType, MSWC.NextLink, MSWC.ContentRotator, MSWC.Counters, MSWC.PageCounter, MSWC.Tools, MSWC.MyInfo, MSWC.PermissionChecker, MSXML2.ServerXMLHTTP, MSXML2.XMLHTTP, Microsoft.XMLHTTP, MSXML2.DOMDocument, Microsoft.XMLDOM, G3PDF, G3FileUploader and upload compatibility aliases, Scripting.FileSystemObject, Scripting.Dictionary, ADODB.Stream, ADODB.Connection, ADODBOLE.Connection, ADODB.Recordset, ADODB.Command, VBScript.RegExp and RegExp.</w:t>
      </w:r>
    </w:p>
    <w:bookmarkEnd w:id="6779"/>
    <w:bookmarkStart w:id="6780" w:name="code-example-597"/>
    <w:p>
      <w:pPr>
        <w:pStyle w:val="Heading2"/>
      </w:pPr>
      <w:r>
        <w:t xml:space="preserve">Code Example</w:t>
      </w:r>
    </w:p>
    <w:p>
      <w:pPr>
        <w:pStyle w:val="SourceCode"/>
      </w:pPr>
      <w:r>
        <w:rPr>
          <w:rStyle w:val="DataTypeTok"/>
        </w:rPr>
        <w:t xml:space="preserve">&lt;%</w:t>
      </w:r>
      <w:r>
        <w:rPr>
          <w:rStyle w:val="NormalTok"/>
        </w:rPr>
        <w:t xml:space="preserve">@Language=</w:t>
      </w:r>
      <w:r>
        <w:rPr>
          <w:rStyle w:val="StringTok"/>
        </w:rPr>
        <w:t xml:space="preserve">"VBSCRIPT"</w:t>
      </w:r>
      <w:r>
        <w:rPr>
          <w:rStyle w:val="DataTypeTok"/>
        </w:rPr>
        <w:t xml:space="preserve">%&gt;</w:t>
      </w:r>
      <w:r>
        <w:br/>
      </w:r>
      <w:r>
        <w:rPr>
          <w:rStyle w:val="DataTypeTok"/>
        </w:rPr>
        <w:t xml:space="preserve">&lt;%</w:t>
      </w:r>
      <w:r>
        <w:br/>
      </w:r>
      <w:r>
        <w:rPr>
          <w:rStyle w:val="NormalTok"/>
        </w:rPr>
        <w:t xml:space="preserve">Option Explicit</w:t>
      </w:r>
      <w:r>
        <w:br/>
      </w:r>
      <w:r>
        <w:br/>
      </w:r>
      <w:r>
        <w:rPr>
          <w:rStyle w:val="KeywordTok"/>
        </w:rPr>
        <w:t xml:space="preserve">Dim</w:t>
      </w:r>
      <w:r>
        <w:rPr>
          <w:rStyle w:val="NormalTok"/>
        </w:rPr>
        <w:t xml:space="preserve"> conn</w:t>
      </w:r>
      <w:r>
        <w:br/>
      </w:r>
      <w:r>
        <w:rPr>
          <w:rStyle w:val="KeywordTok"/>
        </w:rPr>
        <w:t xml:space="preserve">Dim</w:t>
      </w:r>
      <w:r>
        <w:rPr>
          <w:rStyle w:val="NormalTok"/>
        </w:rPr>
        <w:t xml:space="preserve"> rs</w:t>
      </w:r>
      <w:r>
        <w:br/>
      </w:r>
      <w:r>
        <w:rPr>
          <w:rStyle w:val="KeywordTok"/>
        </w:rPr>
        <w:t xml:space="preserve">Dim</w:t>
      </w:r>
      <w:r>
        <w:rPr>
          <w:rStyle w:val="NormalTok"/>
        </w:rPr>
        <w:t xml:space="preserve"> sql</w:t>
      </w:r>
      <w:r>
        <w:br/>
      </w:r>
      <w:r>
        <w:br/>
      </w:r>
      <w:r>
        <w:rPr>
          <w:rStyle w:val="KeywordTok"/>
        </w:rPr>
        <w:t xml:space="preserve">Set</w:t>
      </w:r>
      <w:r>
        <w:rPr>
          <w:rStyle w:val="NormalTok"/>
        </w:rPr>
        <w:t xml:space="preserve"> conn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"ADODB.Connection"</w:t>
      </w:r>
      <w:r>
        <w:rPr>
          <w:rStyle w:val="OtherTok"/>
        </w:rPr>
        <w:t xml:space="preserve">)</w:t>
      </w:r>
      <w:r>
        <w:br/>
      </w:r>
      <w:r>
        <w:rPr>
          <w:rStyle w:val="NormalTok"/>
        </w:rPr>
        <w:t xml:space="preserve">conn.ConnectionString = </w:t>
      </w:r>
      <w:r>
        <w:rPr>
          <w:rStyle w:val="StringTok"/>
        </w:rPr>
        <w:t xml:space="preserve">"Provider=Microsoft.Jet.OLEDB.4.0;Data Source="</w:t>
      </w:r>
      <w:r>
        <w:rPr>
          <w:rStyle w:val="NormalTok"/>
        </w:rPr>
        <w:t xml:space="preserve"> </w:t>
      </w:r>
      <w:r>
        <w:rPr>
          <w:rStyle w:val="KeywordTok"/>
        </w:rPr>
        <w:t xml:space="preserve">&amp;</w:t>
      </w:r>
      <w:r>
        <w:rPr>
          <w:rStyle w:val="NormalTok"/>
        </w:rPr>
        <w:t xml:space="preserve"> </w:t>
      </w:r>
      <w:r>
        <w:rPr>
          <w:rStyle w:val="FunctionTok"/>
        </w:rPr>
        <w:t xml:space="preserve">Server</w:t>
      </w:r>
      <w:r>
        <w:rPr>
          <w:rStyle w:val="NormalTok"/>
        </w:rPr>
        <w:t xml:space="preserve">.MapPath</w:t>
      </w:r>
      <w:r>
        <w:rPr>
          <w:rStyle w:val="OtherTok"/>
        </w:rPr>
        <w:t xml:space="preserve">(</w:t>
      </w:r>
      <w:r>
        <w:rPr>
          <w:rStyle w:val="StringTok"/>
        </w:rPr>
        <w:t xml:space="preserve">"./data.mdb"</w:t>
      </w:r>
      <w:r>
        <w:rPr>
          <w:rStyle w:val="OtherTok"/>
        </w:rPr>
        <w:t xml:space="preserve">)</w:t>
      </w:r>
      <w:r>
        <w:br/>
      </w:r>
      <w:r>
        <w:rPr>
          <w:rStyle w:val="NormalTok"/>
        </w:rPr>
        <w:t xml:space="preserve">conn.</w:t>
      </w:r>
      <w:r>
        <w:rPr>
          <w:rStyle w:val="KeywordTok"/>
        </w:rPr>
        <w:t xml:space="preserve">Open</w:t>
      </w:r>
      <w:r>
        <w:br/>
      </w:r>
      <w:r>
        <w:br/>
      </w:r>
      <w:r>
        <w:rPr>
          <w:rStyle w:val="NormalTok"/>
        </w:rPr>
        <w:t xml:space="preserve">sql = </w:t>
      </w:r>
      <w:r>
        <w:rPr>
          <w:rStyle w:val="StringTok"/>
        </w:rPr>
        <w:t xml:space="preserve">"SELECT name FROM users"</w:t>
      </w:r>
      <w:r>
        <w:br/>
      </w:r>
      <w:r>
        <w:rPr>
          <w:rStyle w:val="KeywordTok"/>
        </w:rPr>
        <w:t xml:space="preserve">Set</w:t>
      </w:r>
      <w:r>
        <w:rPr>
          <w:rStyle w:val="NormalTok"/>
        </w:rPr>
        <w:t xml:space="preserve"> rs = </w:t>
      </w:r>
      <w:r>
        <w:rPr>
          <w:rStyle w:val="FunctionTok"/>
        </w:rPr>
        <w:t xml:space="preserve">Server</w:t>
      </w:r>
      <w:r>
        <w:rPr>
          <w:rStyle w:val="NormalTok"/>
        </w:rPr>
        <w:t xml:space="preserve">.</w:t>
      </w:r>
      <w:r>
        <w:rPr>
          <w:rStyle w:val="FunctionTok"/>
        </w:rPr>
        <w:t xml:space="preserve">CreateObject</w:t>
      </w:r>
      <w:r>
        <w:rPr>
          <w:rStyle w:val="OtherTok"/>
        </w:rPr>
        <w:t xml:space="preserve">(</w:t>
      </w:r>
      <w:r>
        <w:rPr>
          <w:rStyle w:val="StringTok"/>
        </w:rPr>
        <w:t xml:space="preserve">"ADODB.Recordset"</w:t>
      </w:r>
      <w:r>
        <w:rPr>
          <w:rStyle w:val="OtherTok"/>
        </w:rPr>
        <w:t xml:space="preserve">)</w:t>
      </w:r>
      <w:r>
        <w:br/>
      </w:r>
      <w:r>
        <w:rPr>
          <w:rStyle w:val="NormalTok"/>
        </w:rPr>
        <w:t xml:space="preserve">rs.</w:t>
      </w:r>
      <w:r>
        <w:rPr>
          <w:rStyle w:val="KeywordTok"/>
        </w:rPr>
        <w:t xml:space="preserve">Open</w:t>
      </w:r>
      <w:r>
        <w:rPr>
          <w:rStyle w:val="NormalTok"/>
        </w:rPr>
        <w:t xml:space="preserve"> sql</w:t>
      </w:r>
      <w:r>
        <w:rPr>
          <w:rStyle w:val="OtherTok"/>
        </w:rPr>
        <w:t xml:space="preserve">,</w:t>
      </w:r>
      <w:r>
        <w:rPr>
          <w:rStyle w:val="NormalTok"/>
        </w:rPr>
        <w:t xml:space="preserve"> conn</w:t>
      </w:r>
      <w:r>
        <w:br/>
      </w:r>
      <w:r>
        <w:br/>
      </w:r>
      <w:r>
        <w:rPr>
          <w:rStyle w:val="ControlFlowTok"/>
        </w:rPr>
        <w:t xml:space="preserve">If</w:t>
      </w:r>
      <w:r>
        <w:rPr>
          <w:rStyle w:val="NormalTok"/>
        </w:rPr>
        <w:t xml:space="preserve"> </w:t>
      </w:r>
      <w:r>
        <w:rPr>
          <w:rStyle w:val="KeywordTok"/>
        </w:rPr>
        <w:t xml:space="preserve">Not</w:t>
      </w:r>
      <w:r>
        <w:rPr>
          <w:rStyle w:val="NormalTok"/>
        </w:rPr>
        <w:t xml:space="preserve"> rs.</w:t>
      </w:r>
      <w:r>
        <w:rPr>
          <w:rStyle w:val="KeywordTok"/>
        </w:rPr>
        <w:t xml:space="preserve">EOF</w:t>
      </w:r>
      <w:r>
        <w:rPr>
          <w:rStyle w:val="NormalTok"/>
        </w:rPr>
        <w:t xml:space="preserve"> </w:t>
      </w:r>
      <w:r>
        <w:rPr>
          <w:rStyle w:val="ControlFlowTok"/>
        </w:rPr>
        <w:t xml:space="preserve">Then</w:t>
      </w:r>
      <w:r>
        <w:br/>
      </w:r>
      <w:r>
        <w:rPr>
          <w:rStyle w:val="NormalTok"/>
        </w:rPr>
        <w:t xml:space="preserve">    </w:t>
      </w:r>
      <w:r>
        <w:rPr>
          <w:rStyle w:val="FunctionTok"/>
        </w:rPr>
        <w:t xml:space="preserve">Response</w:t>
      </w:r>
      <w:r>
        <w:rPr>
          <w:rStyle w:val="NormalTok"/>
        </w:rPr>
        <w:t xml:space="preserve">.</w:t>
      </w:r>
      <w:r>
        <w:rPr>
          <w:rStyle w:val="FunctionTok"/>
        </w:rPr>
        <w:t xml:space="preserve">Write</w:t>
      </w:r>
      <w:r>
        <w:rPr>
          <w:rStyle w:val="NormalTok"/>
        </w:rPr>
        <w:t xml:space="preserve"> rs</w:t>
      </w:r>
      <w:r>
        <w:rPr>
          <w:rStyle w:val="OtherTok"/>
        </w:rPr>
        <w:t xml:space="preserve">(</w:t>
      </w:r>
      <w:r>
        <w:rPr>
          <w:rStyle w:val="StringTok"/>
        </w:rPr>
        <w:t xml:space="preserve">"name"</w:t>
      </w:r>
      <w:r>
        <w:rPr>
          <w:rStyle w:val="OtherTok"/>
        </w:rPr>
        <w:t xml:space="preserve">)</w:t>
      </w:r>
      <w:r>
        <w:br/>
      </w:r>
      <w:r>
        <w:rPr>
          <w:rStyle w:val="ControlFlowTok"/>
        </w:rPr>
        <w:t xml:space="preserve">End If</w:t>
      </w:r>
      <w:r>
        <w:br/>
      </w:r>
      <w:r>
        <w:br/>
      </w:r>
      <w:r>
        <w:rPr>
          <w:rStyle w:val="NormalTok"/>
        </w:rPr>
        <w:t xml:space="preserve">rs.</w:t>
      </w:r>
      <w:r>
        <w:rPr>
          <w:rStyle w:val="KeywordTok"/>
        </w:rPr>
        <w:t xml:space="preserve">Close</w:t>
      </w:r>
      <w:r>
        <w:br/>
      </w:r>
      <w:r>
        <w:rPr>
          <w:rStyle w:val="NormalTok"/>
        </w:rPr>
        <w:t xml:space="preserve">conn.</w:t>
      </w:r>
      <w:r>
        <w:rPr>
          <w:rStyle w:val="KeywordTok"/>
        </w:rPr>
        <w:t xml:space="preserve">Close</w:t>
      </w:r>
      <w:r>
        <w:br/>
      </w:r>
      <w:r>
        <w:rPr>
          <w:rStyle w:val="KeywordTok"/>
        </w:rPr>
        <w:t xml:space="preserve">Set</w:t>
      </w:r>
      <w:r>
        <w:rPr>
          <w:rStyle w:val="NormalTok"/>
        </w:rPr>
        <w:t xml:space="preserve"> rs = </w:t>
      </w:r>
      <w:r>
        <w:rPr>
          <w:rStyle w:val="KeywordTok"/>
        </w:rPr>
        <w:t xml:space="preserve">Nothing</w:t>
      </w:r>
      <w:r>
        <w:br/>
      </w:r>
      <w:r>
        <w:rPr>
          <w:rStyle w:val="KeywordTok"/>
        </w:rPr>
        <w:t xml:space="preserve">Set</w:t>
      </w:r>
      <w:r>
        <w:rPr>
          <w:rStyle w:val="NormalTok"/>
        </w:rPr>
        <w:t xml:space="preserve"> conn = </w:t>
      </w:r>
      <w:r>
        <w:rPr>
          <w:rStyle w:val="KeywordTok"/>
        </w:rPr>
        <w:t xml:space="preserve">Nothing</w:t>
      </w:r>
      <w:r>
        <w:br/>
      </w:r>
      <w:r>
        <w:rPr>
          <w:rStyle w:val="DataTypeTok"/>
        </w:rPr>
        <w:t xml:space="preserve">%&gt;</w:t>
      </w:r>
    </w:p>
    <w:bookmarkEnd w:id="6780"/>
    <w:bookmarkEnd w:id="6781"/>
    <w:bookmarkStart w:id="6787" w:name="mcp-server-and-vs-code-integration"/>
    <w:p>
      <w:pPr>
        <w:pStyle w:val="Heading1"/>
      </w:pPr>
      <w:r>
        <w:t xml:space="preserve">MCP Server and VS Code Integration</w:t>
      </w:r>
    </w:p>
    <w:bookmarkStart w:id="6782" w:name="overview-687"/>
    <w:p>
      <w:pPr>
        <w:pStyle w:val="Heading2"/>
      </w:pPr>
      <w:r>
        <w:t xml:space="preserve">Overview</w:t>
      </w:r>
    </w:p>
    <w:p>
      <w:pPr>
        <w:pStyle w:val="FirstParagraph"/>
      </w:pPr>
      <w:r>
        <w:t xml:space="preserve">AxonASP includes an MCP (Model Context Protocol) server (</w:t>
      </w:r>
      <w:r>
        <w:rPr>
          <w:rStyle w:val="VerbatimChar"/>
        </w:rPr>
        <w:t xml:space="preserve">axonasp-mcp.exe</w:t>
      </w:r>
      <w:r>
        <w:t xml:space="preserve">) that exposes the AxonASP documentation and tooling to AI assistants and IDEs that support MCP. The MCP server enables context-aware code generation, documentation lookup, and script analysis directly from your editor.</w:t>
      </w:r>
    </w:p>
    <w:bookmarkEnd w:id="6782"/>
    <w:bookmarkStart w:id="6783" w:name="starting-the-mcp-server"/>
    <w:p>
      <w:pPr>
        <w:pStyle w:val="Heading2"/>
      </w:pPr>
      <w:r>
        <w:t xml:space="preserve">Starting the MCP Server</w:t>
      </w:r>
    </w:p>
    <w:p>
      <w:pPr>
        <w:pStyle w:val="SourceCode"/>
      </w:pPr>
      <w:r>
        <w:rPr>
          <w:rStyle w:val="OperatorTok"/>
        </w:rPr>
        <w:t xml:space="preserve">.</w:t>
      </w:r>
      <w:r>
        <w:rPr>
          <w:rStyle w:val="NormalTok"/>
        </w:rPr>
        <w:t xml:space="preserve">\axonasp-mcp</w:t>
      </w:r>
      <w:r>
        <w:rPr>
          <w:rStyle w:val="OperatorTok"/>
        </w:rPr>
        <w:t xml:space="preserve">.</w:t>
      </w:r>
      <w:r>
        <w:rPr>
          <w:rStyle w:val="FunctionTok"/>
        </w:rPr>
        <w:t xml:space="preserve">exe</w:t>
      </w:r>
    </w:p>
    <w:p>
      <w:pPr>
        <w:pStyle w:val="FirstParagraph"/>
      </w:pPr>
      <w:r>
        <w:t xml:space="preserve">The MCP server operates in</w:t>
      </w:r>
      <w:r>
        <w:t xml:space="preserve"> </w:t>
      </w:r>
      <w:r>
        <w:rPr>
          <w:rStyle w:val="VerbatimChar"/>
        </w:rPr>
        <w:t xml:space="preserve">stdio</w:t>
      </w:r>
      <w:r>
        <w:t xml:space="preserve"> </w:t>
      </w:r>
      <w:r>
        <w:t xml:space="preserve">mode by default, reading commands from standard input and writing responses to standard output. It can also be configured to run in SSE (Server-Sent Events) mode via</w:t>
      </w:r>
      <w:r>
        <w:t xml:space="preserve"> </w:t>
      </w:r>
      <w:r>
        <w:rPr>
          <w:rStyle w:val="VerbatimChar"/>
        </w:rPr>
        <w:t xml:space="preserve">config/axonasp.toml</w:t>
      </w:r>
      <w:r>
        <w:t xml:space="preserve">.</w:t>
      </w:r>
    </w:p>
    <w:p>
      <w:pPr>
        <w:pStyle w:val="BodyText"/>
      </w:pPr>
      <w:r>
        <w:t xml:space="preserve">Configure the MCP mode in</w:t>
      </w:r>
      <w:r>
        <w:t xml:space="preserve"> </w:t>
      </w:r>
      <w:r>
        <w:rPr>
          <w:rStyle w:val="VerbatimChar"/>
        </w:rPr>
        <w:t xml:space="preserve">config/axonasp.toml</w:t>
      </w:r>
      <w:r>
        <w:t xml:space="preserve">:</w:t>
      </w:r>
    </w:p>
    <w:p>
      <w:pPr>
        <w:pStyle w:val="SourceCode"/>
      </w:pPr>
      <w:r>
        <w:rPr>
          <w:rStyle w:val="KeywordTok"/>
        </w:rPr>
        <w:t xml:space="preserve">[mcp]</w:t>
      </w:r>
      <w:r>
        <w:br/>
      </w:r>
      <w:r>
        <w:rPr>
          <w:rStyle w:val="DataTypeTok"/>
        </w:rPr>
        <w:t xml:space="preserve">mode</w:t>
      </w:r>
      <w:r>
        <w:rPr>
          <w:rStyle w:val="NormalTok"/>
        </w:rPr>
        <w:t xml:space="preserve"> </w:t>
      </w:r>
      <w:r>
        <w:rPr>
          <w:rStyle w:val="OperatorTok"/>
        </w:rPr>
        <w:t xml:space="preserve">=</w:t>
      </w:r>
      <w:r>
        <w:rPr>
          <w:rStyle w:val="NormalTok"/>
        </w:rPr>
        <w:t xml:space="preserve"> </w:t>
      </w:r>
      <w:r>
        <w:rPr>
          <w:rStyle w:val="StringTok"/>
        </w:rPr>
        <w:t xml:space="preserve">"stdio"</w:t>
      </w:r>
    </w:p>
    <w:bookmarkEnd w:id="6783"/>
    <w:bookmarkStart w:id="6784" w:name="configuring-vs-code"/>
    <w:p>
      <w:pPr>
        <w:pStyle w:val="Heading2"/>
      </w:pPr>
      <w:r>
        <w:t xml:space="preserve">Configuring VS Code</w:t>
      </w:r>
    </w:p>
    <w:p>
      <w:pPr>
        <w:pStyle w:val="FirstParagraph"/>
      </w:pPr>
      <w:r>
        <w:t xml:space="preserve">To connect VS Code to the AxonASP MCP server, create a</w:t>
      </w:r>
      <w:r>
        <w:t xml:space="preserve"> </w:t>
      </w:r>
      <w:r>
        <w:rPr>
          <w:rStyle w:val="VerbatimChar"/>
        </w:rPr>
        <w:t xml:space="preserve">.vscode</w:t>
      </w:r>
      <w:r>
        <w:t xml:space="preserve"> </w:t>
      </w:r>
      <w:r>
        <w:t xml:space="preserve">directory in the root of your project and add a</w:t>
      </w:r>
      <w:r>
        <w:t xml:space="preserve"> </w:t>
      </w:r>
      <w:r>
        <w:rPr>
          <w:rStyle w:val="VerbatimChar"/>
        </w:rPr>
        <w:t xml:space="preserve">mcp.json</w:t>
      </w:r>
      <w:r>
        <w:t xml:space="preserve"> </w:t>
      </w:r>
      <w:r>
        <w:t xml:space="preserve">file with the following content:</w:t>
      </w:r>
    </w:p>
    <w:p>
      <w:pPr>
        <w:pStyle w:val="BodyText"/>
      </w:pPr>
      <w:r>
        <w:rPr>
          <w:b/>
          <w:bCs/>
        </w:rPr>
        <w:t xml:space="preserve">File:</w:t>
      </w:r>
      <w:r>
        <w:rPr>
          <w:b/>
          <w:bCs/>
        </w:rPr>
        <w:t xml:space="preserve"> </w:t>
      </w:r>
      <w:r>
        <w:rPr>
          <w:rStyle w:val="VerbatimChar"/>
          <w:b/>
          <w:bCs/>
        </w:rPr>
        <w:t xml:space="preserve">.vscode/mcp.json</w:t>
      </w:r>
    </w:p>
    <w:p>
      <w:pPr>
        <w:pStyle w:val="SourceCode"/>
      </w:pPr>
      <w:r>
        <w:rPr>
          <w:rStyle w:val="FunctionTok"/>
        </w:rPr>
        <w:t xml:space="preserve">{</w:t>
      </w:r>
      <w:r>
        <w:br/>
      </w:r>
      <w:r>
        <w:rPr>
          <w:rStyle w:val="NormalTok"/>
        </w:rPr>
        <w:t xml:space="preserve">    </w:t>
      </w:r>
      <w:r>
        <w:rPr>
          <w:rStyle w:val="DataTypeTok"/>
        </w:rPr>
        <w:t xml:space="preserve">"servers"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"AxonASP MCP"</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"stdio"</w:t>
      </w:r>
      <w:r>
        <w:rPr>
          <w:rStyle w:val="FunctionTok"/>
        </w:rPr>
        <w:t xml:space="preserve">,</w:t>
      </w:r>
      <w:r>
        <w:br/>
      </w:r>
      <w:r>
        <w:rPr>
          <w:rStyle w:val="NormalTok"/>
        </w:rPr>
        <w:t xml:space="preserve">            </w:t>
      </w:r>
      <w:r>
        <w:rPr>
          <w:rStyle w:val="DataTypeTok"/>
        </w:rPr>
        <w:t xml:space="preserve">"command"</w:t>
      </w:r>
      <w:r>
        <w:rPr>
          <w:rStyle w:val="FunctionTok"/>
        </w:rPr>
        <w:t xml:space="preserve">:</w:t>
      </w:r>
      <w:r>
        <w:rPr>
          <w:rStyle w:val="NormalTok"/>
        </w:rPr>
        <w:t xml:space="preserve"> </w:t>
      </w:r>
      <w:r>
        <w:rPr>
          <w:rStyle w:val="StringTok"/>
        </w:rPr>
        <w:t xml:space="preserve">".</w:t>
      </w:r>
      <w:r>
        <w:rPr>
          <w:rStyle w:val="CharTok"/>
        </w:rPr>
        <w:t xml:space="preserve">\\</w:t>
      </w:r>
      <w:r>
        <w:rPr>
          <w:rStyle w:val="StringTok"/>
        </w:rPr>
        <w:t xml:space="preserve">axonasp-mcp.exe"</w:t>
      </w:r>
      <w:r>
        <w:rPr>
          <w:rStyle w:val="FunctionTok"/>
        </w:rPr>
        <w:t xml:space="preserve">,</w:t>
      </w:r>
      <w:r>
        <w:br/>
      </w:r>
      <w:r>
        <w:rPr>
          <w:rStyle w:val="NormalTok"/>
        </w:rPr>
        <w:t xml:space="preserve">            </w:t>
      </w:r>
      <w:r>
        <w:rPr>
          <w:rStyle w:val="DataTypeTok"/>
        </w:rPr>
        <w:t xml:space="preserve">"args"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"inputs"</w:t>
      </w:r>
      <w:r>
        <w:rPr>
          <w:rStyle w:val="FunctionTok"/>
        </w:rPr>
        <w:t xml:space="preserve">:</w:t>
      </w:r>
      <w:r>
        <w:rPr>
          <w:rStyle w:val="NormalTok"/>
        </w:rPr>
        <w:t xml:space="preserve"> </w:t>
      </w:r>
      <w:r>
        <w:rPr>
          <w:rStyle w:val="OtherTok"/>
        </w:rPr>
        <w:t xml:space="preserve">[]</w:t>
      </w:r>
      <w:r>
        <w:br/>
      </w:r>
      <w:r>
        <w:rPr>
          <w:rStyle w:val="FunctionTok"/>
        </w:rPr>
        <w:t xml:space="preserve">}</w:t>
      </w:r>
    </w:p>
    <w:p>
      <w:pPr>
        <w:pStyle w:val="FirstParagraph"/>
      </w:pPr>
      <w:r>
        <w:rPr>
          <w:b/>
          <w:bCs/>
        </w:rPr>
        <w:t xml:space="preserve">Steps:</w:t>
      </w:r>
    </w:p>
    <w:p>
      <w:pPr>
        <w:pStyle w:val="Compact"/>
        <w:numPr>
          <w:ilvl w:val="0"/>
          <w:numId w:val="2635"/>
        </w:numPr>
      </w:pPr>
      <w:r>
        <w:t xml:space="preserve">Open your project root in VS Code.</w:t>
      </w:r>
    </w:p>
    <w:p>
      <w:pPr>
        <w:pStyle w:val="Compact"/>
        <w:numPr>
          <w:ilvl w:val="0"/>
          <w:numId w:val="2635"/>
        </w:numPr>
      </w:pPr>
      <w:r>
        <w:t xml:space="preserve">Create a</w:t>
      </w:r>
      <w:r>
        <w:t xml:space="preserve"> </w:t>
      </w:r>
      <w:r>
        <w:rPr>
          <w:rStyle w:val="VerbatimChar"/>
        </w:rPr>
        <w:t xml:space="preserve">.vscode</w:t>
      </w:r>
      <w:r>
        <w:t xml:space="preserve"> </w:t>
      </w:r>
      <w:r>
        <w:t xml:space="preserve">folder if it does not already exist.</w:t>
      </w:r>
    </w:p>
    <w:p>
      <w:pPr>
        <w:pStyle w:val="Compact"/>
        <w:numPr>
          <w:ilvl w:val="0"/>
          <w:numId w:val="2635"/>
        </w:numPr>
      </w:pPr>
      <w:r>
        <w:t xml:space="preserve">Inside</w:t>
      </w:r>
      <w:r>
        <w:t xml:space="preserve"> </w:t>
      </w:r>
      <w:r>
        <w:rPr>
          <w:rStyle w:val="VerbatimChar"/>
        </w:rPr>
        <w:t xml:space="preserve">.vscode</w:t>
      </w:r>
      <w:r>
        <w:t xml:space="preserve">, create a file named</w:t>
      </w:r>
      <w:r>
        <w:t xml:space="preserve"> </w:t>
      </w:r>
      <w:r>
        <w:rPr>
          <w:rStyle w:val="VerbatimChar"/>
        </w:rPr>
        <w:t xml:space="preserve">mcp.json</w:t>
      </w:r>
      <w:r>
        <w:t xml:space="preserve">.</w:t>
      </w:r>
    </w:p>
    <w:p>
      <w:pPr>
        <w:pStyle w:val="Compact"/>
        <w:numPr>
          <w:ilvl w:val="0"/>
          <w:numId w:val="2635"/>
        </w:numPr>
      </w:pPr>
      <w:r>
        <w:t xml:space="preserve">Paste the JSON configuration above into the file.</w:t>
      </w:r>
    </w:p>
    <w:p>
      <w:pPr>
        <w:pStyle w:val="Compact"/>
        <w:numPr>
          <w:ilvl w:val="0"/>
          <w:numId w:val="2635"/>
        </w:numPr>
      </w:pPr>
      <w:r>
        <w:t xml:space="preserve">Ensure</w:t>
      </w:r>
      <w:r>
        <w:t xml:space="preserve"> </w:t>
      </w:r>
      <w:r>
        <w:rPr>
          <w:rStyle w:val="VerbatimChar"/>
        </w:rPr>
        <w:t xml:space="preserve">axonasp-mcp.exe</w:t>
      </w:r>
      <w:r>
        <w:t xml:space="preserve"> </w:t>
      </w:r>
      <w:r>
        <w:t xml:space="preserve">is present in the project root directory.</w:t>
      </w:r>
    </w:p>
    <w:p>
      <w:pPr>
        <w:pStyle w:val="Compact"/>
        <w:numPr>
          <w:ilvl w:val="0"/>
          <w:numId w:val="2635"/>
        </w:numPr>
      </w:pPr>
      <w:r>
        <w:t xml:space="preserve">Reload VS Code or activate the MCP extension to connect.</w:t>
      </w:r>
    </w:p>
    <w:p>
      <w:pPr>
        <w:pStyle w:val="FirstParagraph"/>
      </w:pPr>
      <w:r>
        <w:t xml:space="preserve">Once connected, AI tools in VS Code (such as GitHub Copilot) can query the AxonASP MCP server for documentation, object references, and code examples.</w:t>
      </w:r>
    </w:p>
    <w:bookmarkEnd w:id="6784"/>
    <w:bookmarkStart w:id="6785" w:name="sse-mode"/>
    <w:p>
      <w:pPr>
        <w:pStyle w:val="Heading2"/>
      </w:pPr>
      <w:r>
        <w:t xml:space="preserve">SSE Mode</w:t>
      </w:r>
    </w:p>
    <w:p>
      <w:pPr>
        <w:pStyle w:val="FirstParagraph"/>
      </w:pPr>
      <w:r>
        <w:t xml:space="preserve">The MCP server also supports SSE mode, which exposes an HTTP endpoint for browser-based or remote MCP clients.</w:t>
      </w:r>
    </w:p>
    <w:p>
      <w:pPr>
        <w:pStyle w:val="SourceCode"/>
      </w:pPr>
      <w:r>
        <w:rPr>
          <w:rStyle w:val="KeywordTok"/>
        </w:rPr>
        <w:t xml:space="preserve">[mcp]</w:t>
      </w:r>
      <w:r>
        <w:br/>
      </w:r>
      <w:r>
        <w:rPr>
          <w:rStyle w:val="DataTypeTok"/>
        </w:rPr>
        <w:t xml:space="preserve">mode</w:t>
      </w:r>
      <w:r>
        <w:rPr>
          <w:rStyle w:val="NormalTok"/>
        </w:rPr>
        <w:t xml:space="preserve"> </w:t>
      </w:r>
      <w:r>
        <w:rPr>
          <w:rStyle w:val="OperatorTok"/>
        </w:rPr>
        <w:t xml:space="preserve">=</w:t>
      </w:r>
      <w:r>
        <w:rPr>
          <w:rStyle w:val="NormalTok"/>
        </w:rPr>
        <w:t xml:space="preserve"> </w:t>
      </w:r>
      <w:r>
        <w:rPr>
          <w:rStyle w:val="StringTok"/>
        </w:rPr>
        <w:t xml:space="preserve">"sse"</w:t>
      </w:r>
      <w:r>
        <w:br/>
      </w:r>
      <w:r>
        <w:rPr>
          <w:rStyle w:val="DataTypeTok"/>
        </w:rPr>
        <w:t xml:space="preserve">sse_port</w:t>
      </w:r>
      <w:r>
        <w:rPr>
          <w:rStyle w:val="NormalTok"/>
        </w:rPr>
        <w:t xml:space="preserve"> </w:t>
      </w:r>
      <w:r>
        <w:rPr>
          <w:rStyle w:val="OperatorTok"/>
        </w:rPr>
        <w:t xml:space="preserve">=</w:t>
      </w:r>
      <w:r>
        <w:rPr>
          <w:rStyle w:val="NormalTok"/>
        </w:rPr>
        <w:t xml:space="preserve"> </w:t>
      </w:r>
      <w:r>
        <w:rPr>
          <w:rStyle w:val="DecValTok"/>
        </w:rPr>
        <w:t xml:space="preserve">8900</w:t>
      </w:r>
    </w:p>
    <w:p>
      <w:pPr>
        <w:pStyle w:val="FirstParagraph"/>
      </w:pPr>
      <w:r>
        <w:t xml:space="preserve">Start the server in SSE mode:</w:t>
      </w:r>
    </w:p>
    <w:p>
      <w:pPr>
        <w:pStyle w:val="SourceCode"/>
      </w:pPr>
      <w:r>
        <w:rPr>
          <w:rStyle w:val="OperatorTok"/>
        </w:rPr>
        <w:t xml:space="preserve">.</w:t>
      </w:r>
      <w:r>
        <w:rPr>
          <w:rStyle w:val="NormalTok"/>
        </w:rPr>
        <w:t xml:space="preserve">\axonasp-mcp</w:t>
      </w:r>
      <w:r>
        <w:rPr>
          <w:rStyle w:val="OperatorTok"/>
        </w:rPr>
        <w:t xml:space="preserve">.</w:t>
      </w:r>
      <w:r>
        <w:rPr>
          <w:rStyle w:val="FunctionTok"/>
        </w:rPr>
        <w:t xml:space="preserve">exe</w:t>
      </w:r>
    </w:p>
    <w:p>
      <w:pPr>
        <w:pStyle w:val="FirstParagraph"/>
      </w:pPr>
      <w:r>
        <w:t xml:space="preserve">Connect remote clients to</w:t>
      </w:r>
      <w:r>
        <w:t xml:space="preserve"> </w:t>
      </w:r>
      <w:r>
        <w:rPr>
          <w:rStyle w:val="VerbatimChar"/>
        </w:rPr>
        <w:t xml:space="preserve">http://localhost:8900</w:t>
      </w:r>
      <w:r>
        <w:t xml:space="preserve">.</w:t>
      </w:r>
    </w:p>
    <w:bookmarkEnd w:id="6785"/>
    <w:bookmarkStart w:id="6786" w:name="remarks-794"/>
    <w:p>
      <w:pPr>
        <w:pStyle w:val="Heading2"/>
      </w:pPr>
      <w:r>
        <w:t xml:space="preserve">Remarks</w:t>
      </w:r>
    </w:p>
    <w:p>
      <w:pPr>
        <w:pStyle w:val="Compact"/>
        <w:numPr>
          <w:ilvl w:val="0"/>
          <w:numId w:val="2636"/>
        </w:numPr>
      </w:pPr>
      <w:r>
        <w:t xml:space="preserve">In</w:t>
      </w:r>
      <w:r>
        <w:t xml:space="preserve"> </w:t>
      </w:r>
      <w:r>
        <w:rPr>
          <w:rStyle w:val="VerbatimChar"/>
        </w:rPr>
        <w:t xml:space="preserve">stdio</w:t>
      </w:r>
      <w:r>
        <w:t xml:space="preserve"> </w:t>
      </w:r>
      <w:r>
        <w:t xml:space="preserve">mode, the MCP server does not open a network port. VS Code launches the process directly and communicates through its stdin/stdout pipes.</w:t>
      </w:r>
    </w:p>
    <w:p>
      <w:pPr>
        <w:pStyle w:val="Compact"/>
        <w:numPr>
          <w:ilvl w:val="0"/>
          <w:numId w:val="2636"/>
        </w:numPr>
      </w:pPr>
      <w:r>
        <w:t xml:space="preserve">The MCP server shares the same configuration file (</w:t>
      </w:r>
      <w:r>
        <w:rPr>
          <w:rStyle w:val="VerbatimChar"/>
        </w:rPr>
        <w:t xml:space="preserve">config/axonasp.toml</w:t>
      </w:r>
      <w:r>
        <w:t xml:space="preserve">) as the HTTP and FastCGI servers.</w:t>
      </w:r>
    </w:p>
    <w:p>
      <w:pPr>
        <w:pStyle w:val="Compact"/>
        <w:numPr>
          <w:ilvl w:val="0"/>
          <w:numId w:val="2636"/>
        </w:numPr>
      </w:pPr>
      <w:r>
        <w:t xml:space="preserve">Only one MCP transport mode (</w:t>
      </w:r>
      <w:r>
        <w:rPr>
          <w:rStyle w:val="VerbatimChar"/>
        </w:rPr>
        <w:t xml:space="preserve">stdio</w:t>
      </w:r>
      <w:r>
        <w:t xml:space="preserve"> </w:t>
      </w:r>
      <w:r>
        <w:t xml:space="preserve">or</w:t>
      </w:r>
      <w:r>
        <w:t xml:space="preserve"> </w:t>
      </w:r>
      <w:r>
        <w:rPr>
          <w:rStyle w:val="VerbatimChar"/>
        </w:rPr>
        <w:t xml:space="preserve">sse</w:t>
      </w:r>
      <w:r>
        <w:t xml:space="preserve">) is active at a time.</w:t>
      </w:r>
    </w:p>
    <w:p>
      <w:pPr>
        <w:pStyle w:val="Compact"/>
        <w:numPr>
          <w:ilvl w:val="0"/>
          <w:numId w:val="2636"/>
        </w:numPr>
      </w:pPr>
      <w:r>
        <w:t xml:space="preserve">The</w:t>
      </w:r>
      <w:r>
        <w:t xml:space="preserve"> </w:t>
      </w:r>
      <w:r>
        <w:rPr>
          <w:rStyle w:val="VerbatimChar"/>
        </w:rPr>
        <w:t xml:space="preserve">.vscode/mcp.json</w:t>
      </w:r>
      <w:r>
        <w:t xml:space="preserve"> </w:t>
      </w:r>
      <w:r>
        <w:t xml:space="preserve">file is local to your workspace. Add it to</w:t>
      </w:r>
      <w:r>
        <w:t xml:space="preserve"> </w:t>
      </w:r>
      <w:r>
        <w:rPr>
          <w:rStyle w:val="VerbatimChar"/>
        </w:rPr>
        <w:t xml:space="preserve">.gitignore</w:t>
      </w:r>
      <w:r>
        <w:t xml:space="preserve"> </w:t>
      </w:r>
      <w:r>
        <w:t xml:space="preserve">if you do not want to share the MCP configuration with other repository contributors.</w:t>
      </w:r>
    </w:p>
    <w:p>
      <w:pPr>
        <w:pStyle w:val="Compact"/>
        <w:numPr>
          <w:ilvl w:val="0"/>
          <w:numId w:val="2636"/>
        </w:numPr>
      </w:pPr>
      <w:r>
        <w:t xml:space="preserve">Maintainer note: The MCP server exposes two core tools:</w:t>
      </w:r>
      <w:r>
        <w:t xml:space="preserve"> </w:t>
      </w:r>
      <w:r>
        <w:rPr>
          <w:rStyle w:val="VerbatimChar"/>
        </w:rPr>
        <w:t xml:space="preserve">search_axonasp_docs</w:t>
      </w:r>
      <w:r>
        <w:t xml:space="preserve"> </w:t>
      </w:r>
      <w:r>
        <w:t xml:space="preserve">for fuzzy documentation lookup and</w:t>
      </w:r>
      <w:r>
        <w:t xml:space="preserve"> </w:t>
      </w:r>
      <w:r>
        <w:rPr>
          <w:rStyle w:val="VerbatimChar"/>
        </w:rPr>
        <w:t xml:space="preserve">get_asp_coding_style</w:t>
      </w:r>
      <w:r>
        <w:t xml:space="preserve"> </w:t>
      </w:r>
      <w:r>
        <w:t xml:space="preserve">for returning the full Classic ASP/VBScript formatting guide from</w:t>
      </w:r>
      <w:r>
        <w:t xml:space="preserve"> </w:t>
      </w:r>
      <w:r>
        <w:rPr>
          <w:rStyle w:val="VerbatimChar"/>
        </w:rPr>
        <w:t xml:space="preserve">mcp/aspcodingstyle.md</w:t>
      </w:r>
      <w:r>
        <w:t xml:space="preserve">. AI agents should call</w:t>
      </w:r>
      <w:r>
        <w:t xml:space="preserve"> </w:t>
      </w:r>
      <w:r>
        <w:rPr>
          <w:rStyle w:val="VerbatimChar"/>
        </w:rPr>
        <w:t xml:space="preserve">get_asp_coding_style</w:t>
      </w:r>
      <w:r>
        <w:t xml:space="preserve"> </w:t>
      </w:r>
      <w:r>
        <w:t xml:space="preserve">whenever code-style or formatting rules are needed before generating or refactoring ASP code.</w:t>
      </w:r>
    </w:p>
    <w:bookmarkEnd w:id="6786"/>
    <w:bookmarkEnd w:id="6787"/>
    <w:bookmarkStart w:id="6788" w:name="license-and-legal"/>
    <w:p>
      <w:pPr>
        <w:pStyle w:val="Heading1"/>
      </w:pPr>
      <w:r>
        <w:t xml:space="preserve">License and Legal</w:t>
      </w:r>
    </w:p>
    <w:bookmarkEnd w:id="6788"/>
    <w:bookmarkStart w:id="6797" w:name="legal-disclaimer-and-license-information"/>
    <w:p>
      <w:pPr>
        <w:pStyle w:val="Heading1"/>
      </w:pPr>
      <w:r>
        <w:t xml:space="preserve">Legal Disclaimer and License Information</w:t>
      </w:r>
    </w:p>
    <w:bookmarkStart w:id="6789" w:name="product-information"/>
    <w:p>
      <w:pPr>
        <w:pStyle w:val="Heading2"/>
      </w:pPr>
      <w:r>
        <w:t xml:space="preserve">Product Information</w:t>
      </w:r>
    </w:p>
    <w:p>
      <w:pPr>
        <w:pStyle w:val="FirstParagraph"/>
      </w:pPr>
      <w:r>
        <w:rPr>
          <w:b/>
          <w:bCs/>
        </w:rPr>
        <w:t xml:space="preserve">G3pix AxonASP</w:t>
      </w:r>
      <w:r>
        <w:t xml:space="preserve"> </w:t>
      </w:r>
      <w:r>
        <w:t xml:space="preserve">Copyright (C) 2026 G3pix Ltda. All rights reserved.</w:t>
      </w:r>
    </w:p>
    <w:p>
      <w:pPr>
        <w:pStyle w:val="Compact"/>
        <w:numPr>
          <w:ilvl w:val="0"/>
          <w:numId w:val="2637"/>
        </w:numPr>
      </w:pPr>
      <w:r>
        <w:rPr>
          <w:b/>
          <w:bCs/>
        </w:rPr>
        <w:t xml:space="preserve">Developer:</w:t>
      </w:r>
      <w:r>
        <w:t xml:space="preserve"> </w:t>
      </w:r>
      <w:r>
        <w:t xml:space="preserve">Lucas Guimarães - G3pix</w:t>
      </w:r>
    </w:p>
    <w:p>
      <w:pPr>
        <w:pStyle w:val="Compact"/>
        <w:numPr>
          <w:ilvl w:val="0"/>
          <w:numId w:val="2637"/>
        </w:numPr>
      </w:pPr>
      <w:r>
        <w:rPr>
          <w:b/>
          <w:bCs/>
        </w:rPr>
        <w:t xml:space="preserve">Contact:</w:t>
      </w:r>
      <w:r>
        <w:t xml:space="preserve"> </w:t>
      </w:r>
      <w:r>
        <w:t xml:space="preserve">https://g3pix.com.br/</w:t>
      </w:r>
    </w:p>
    <w:p>
      <w:pPr>
        <w:pStyle w:val="Compact"/>
        <w:numPr>
          <w:ilvl w:val="0"/>
          <w:numId w:val="2637"/>
        </w:numPr>
      </w:pPr>
      <w:r>
        <w:rPr>
          <w:b/>
          <w:bCs/>
        </w:rPr>
        <w:t xml:space="preserve">Project URL:</w:t>
      </w:r>
      <w:r>
        <w:t xml:space="preserve"> </w:t>
      </w:r>
      <w:r>
        <w:t xml:space="preserve">https://g3pix.com.br/axonasp</w:t>
      </w:r>
    </w:p>
    <w:p>
      <w:pPr>
        <w:pStyle w:val="FirstParagraph"/>
      </w:pPr>
      <w:r>
        <w:rPr>
          <w:b/>
          <w:bCs/>
        </w:rPr>
        <w:t xml:space="preserve">Contributing to AxonASP</w:t>
      </w:r>
      <w:r>
        <w:t xml:space="preserve"> </w:t>
      </w:r>
      <w:r>
        <w:t xml:space="preserve">While not mandatory, we warmly encourage you to contribute to the AxonASP project. If you develop new components or libraries, please consider sharing your implementation with the community; your contributions help maintain, improve, and expand our ecosystem.</w:t>
      </w:r>
    </w:p>
    <w:p>
      <w:pPr>
        <w:pStyle w:val="BodyText"/>
      </w:pPr>
      <w:r>
        <w:t xml:space="preserve">As an open-source project, AxonASP relies on community support to remain active. Maintenance and infrastructure costs are currently funded personally by the lead developer. Your support—whether through code contributions, bug reports, security patches, or financial donations—is vital to our continued growth. Thank you for being part of our journey.</w:t>
      </w:r>
    </w:p>
    <w:p>
      <w:r>
        <w:pict>
          <v:rect style="width:0;height:1.5pt" o:hralign="center" o:hrstd="t" o:hr="t"/>
        </w:pict>
      </w:r>
    </w:p>
    <w:bookmarkEnd w:id="6789"/>
    <w:bookmarkStart w:id="6790" w:name="software-license"/>
    <w:p>
      <w:pPr>
        <w:pStyle w:val="Heading2"/>
      </w:pPr>
      <w:r>
        <w:t xml:space="preserve">1. Software License</w:t>
      </w:r>
    </w:p>
    <w:p>
      <w:pPr>
        <w:pStyle w:val="FirstParagraph"/>
      </w:pPr>
      <w:r>
        <w:t xml:space="preserve">This Source Code Form is subject to the terms of the</w:t>
      </w:r>
      <w:r>
        <w:t xml:space="preserve"> </w:t>
      </w:r>
      <w:r>
        <w:rPr>
          <w:b/>
          <w:bCs/>
        </w:rPr>
        <w:t xml:space="preserve">Mozilla Public License, v. 2.0</w:t>
      </w:r>
      <w:r>
        <w:t xml:space="preserve">.</w:t>
      </w:r>
    </w:p>
    <w:p>
      <w:pPr>
        <w:pStyle w:val="Compact"/>
        <w:numPr>
          <w:ilvl w:val="0"/>
          <w:numId w:val="2638"/>
        </w:numPr>
      </w:pPr>
      <w:r>
        <w:rPr>
          <w:b/>
          <w:bCs/>
        </w:rPr>
        <w:t xml:space="preserve">Attribution Notice:</w:t>
      </w:r>
      <w:r>
        <w:t xml:space="preserve"> </w:t>
      </w:r>
      <w:r>
        <w:t xml:space="preserve">If this software is used in other projects, the name</w:t>
      </w:r>
      <w:r>
        <w:t xml:space="preserve"> </w:t>
      </w:r>
      <w:r>
        <w:t xml:space="preserve">“G3pix AxonASP”</w:t>
      </w:r>
      <w:r>
        <w:t xml:space="preserve"> </w:t>
      </w:r>
      <w:r>
        <w:t xml:space="preserve">must be cited in the documentation or About section.</w:t>
      </w:r>
    </w:p>
    <w:p>
      <w:pPr>
        <w:pStyle w:val="Compact"/>
        <w:numPr>
          <w:ilvl w:val="0"/>
          <w:numId w:val="2638"/>
        </w:numPr>
      </w:pPr>
      <w:r>
        <w:rPr>
          <w:b/>
          <w:bCs/>
        </w:rPr>
        <w:t xml:space="preserve">Contribution Policy:</w:t>
      </w:r>
      <w:r>
        <w:t xml:space="preserve"> </w:t>
      </w:r>
      <w:r>
        <w:t xml:space="preserve">Modifications to the core source code of G3pix AxonASP must be made available under these same MPL 2.0 license terms.</w:t>
      </w:r>
    </w:p>
    <w:p>
      <w:pPr>
        <w:pStyle w:val="SourceCode"/>
      </w:pPr>
      <w:r>
        <w:rPr>
          <w:rStyle w:val="VerbatimChar"/>
        </w:rPr>
        <w:t xml:space="preserve">Mozilla Public License Version 2.0</w:t>
      </w:r>
      <w:r>
        <w:br/>
      </w:r>
      <w:r>
        <w:rPr>
          <w:rStyle w:val="VerbatimChar"/>
        </w:rPr>
        <w:t xml:space="preserve">==================================</w:t>
      </w:r>
      <w:r>
        <w:br/>
      </w:r>
      <w:r>
        <w:br/>
      </w:r>
      <w:r>
        <w:rPr>
          <w:rStyle w:val="VerbatimChar"/>
        </w:rPr>
        <w:t xml:space="preserve">1. Definitions</w:t>
      </w:r>
      <w:r>
        <w:br/>
      </w:r>
      <w:r>
        <w:rPr>
          <w:rStyle w:val="VerbatimChar"/>
        </w:rPr>
        <w:t xml:space="preserve">--------------</w:t>
      </w:r>
      <w:r>
        <w:br/>
      </w:r>
      <w:r>
        <w:br/>
      </w:r>
      <w:r>
        <w:rPr>
          <w:rStyle w:val="VerbatimChar"/>
        </w:rPr>
        <w:t xml:space="preserve">1.1. "Contributor"</w:t>
      </w:r>
      <w:r>
        <w:br/>
      </w:r>
      <w:r>
        <w:rPr>
          <w:rStyle w:val="VerbatimChar"/>
        </w:rPr>
        <w:t xml:space="preserve">    means each individual or legal entity that creates, contributes to</w:t>
      </w:r>
      <w:r>
        <w:br/>
      </w:r>
      <w:r>
        <w:rPr>
          <w:rStyle w:val="VerbatimChar"/>
        </w:rPr>
        <w:t xml:space="preserve">    the creation of, or owns Covered Software.</w:t>
      </w:r>
      <w:r>
        <w:br/>
      </w:r>
      <w:r>
        <w:br/>
      </w:r>
      <w:r>
        <w:rPr>
          <w:rStyle w:val="VerbatimChar"/>
        </w:rPr>
        <w:t xml:space="preserve">1.2. "Contributor Version"</w:t>
      </w:r>
      <w:r>
        <w:br/>
      </w:r>
      <w:r>
        <w:rPr>
          <w:rStyle w:val="VerbatimChar"/>
        </w:rPr>
        <w:t xml:space="preserve">    means the combination of the Contributions of others (if any) used</w:t>
      </w:r>
      <w:r>
        <w:br/>
      </w:r>
      <w:r>
        <w:rPr>
          <w:rStyle w:val="VerbatimChar"/>
        </w:rPr>
        <w:t xml:space="preserve">    by a Contributor and that particular Contributor's Contribution.</w:t>
      </w:r>
      <w:r>
        <w:br/>
      </w:r>
      <w:r>
        <w:br/>
      </w:r>
      <w:r>
        <w:rPr>
          <w:rStyle w:val="VerbatimChar"/>
        </w:rPr>
        <w:t xml:space="preserve">1.3. "Contribution"</w:t>
      </w:r>
      <w:r>
        <w:br/>
      </w:r>
      <w:r>
        <w:rPr>
          <w:rStyle w:val="VerbatimChar"/>
        </w:rPr>
        <w:t xml:space="preserve">    means Covered Software of a particular Contributor.</w:t>
      </w:r>
      <w:r>
        <w:br/>
      </w:r>
      <w:r>
        <w:br/>
      </w:r>
      <w:r>
        <w:rPr>
          <w:rStyle w:val="VerbatimChar"/>
        </w:rPr>
        <w:t xml:space="preserve">1.4. "Covered Software"</w:t>
      </w:r>
      <w:r>
        <w:br/>
      </w:r>
      <w:r>
        <w:rPr>
          <w:rStyle w:val="VerbatimChar"/>
        </w:rPr>
        <w:t xml:space="preserve">    means Source Code Form to which the initial Contributor has attached</w:t>
      </w:r>
      <w:r>
        <w:br/>
      </w:r>
      <w:r>
        <w:rPr>
          <w:rStyle w:val="VerbatimChar"/>
        </w:rPr>
        <w:t xml:space="preserve">    the notice in Exhibit A, the Executable Form of such Source Code</w:t>
      </w:r>
      <w:r>
        <w:br/>
      </w:r>
      <w:r>
        <w:rPr>
          <w:rStyle w:val="VerbatimChar"/>
        </w:rPr>
        <w:t xml:space="preserve">    Form, and Modifications of such Source Code Form, in each case</w:t>
      </w:r>
      <w:r>
        <w:br/>
      </w:r>
      <w:r>
        <w:rPr>
          <w:rStyle w:val="VerbatimChar"/>
        </w:rPr>
        <w:t xml:space="preserve">    including portions thereof.</w:t>
      </w:r>
      <w:r>
        <w:br/>
      </w:r>
      <w:r>
        <w:br/>
      </w:r>
      <w:r>
        <w:rPr>
          <w:rStyle w:val="VerbatimChar"/>
        </w:rPr>
        <w:t xml:space="preserve">1.5. "Incompatible With Secondary Licenses"</w:t>
      </w:r>
      <w:r>
        <w:br/>
      </w:r>
      <w:r>
        <w:rPr>
          <w:rStyle w:val="VerbatimChar"/>
        </w:rPr>
        <w:t xml:space="preserve">    means</w:t>
      </w:r>
      <w:r>
        <w:br/>
      </w:r>
      <w:r>
        <w:br/>
      </w:r>
      <w:r>
        <w:rPr>
          <w:rStyle w:val="VerbatimChar"/>
        </w:rPr>
        <w:t xml:space="preserve">    (a) that the initial Contributor has attached the notice described</w:t>
      </w:r>
      <w:r>
        <w:br/>
      </w:r>
      <w:r>
        <w:rPr>
          <w:rStyle w:val="VerbatimChar"/>
        </w:rPr>
        <w:t xml:space="preserve">        in Exhibit B to the Covered Software; or</w:t>
      </w:r>
      <w:r>
        <w:br/>
      </w:r>
      <w:r>
        <w:br/>
      </w:r>
      <w:r>
        <w:rPr>
          <w:rStyle w:val="VerbatimChar"/>
        </w:rPr>
        <w:t xml:space="preserve">    (b) that the Covered Software was made available under the terms of</w:t>
      </w:r>
      <w:r>
        <w:br/>
      </w:r>
      <w:r>
        <w:rPr>
          <w:rStyle w:val="VerbatimChar"/>
        </w:rPr>
        <w:t xml:space="preserve">        version 1.1 or earlier of the License, but not also under the</w:t>
      </w:r>
      <w:r>
        <w:br/>
      </w:r>
      <w:r>
        <w:rPr>
          <w:rStyle w:val="VerbatimChar"/>
        </w:rPr>
        <w:t xml:space="preserve">        terms of a Secondary License.</w:t>
      </w:r>
      <w:r>
        <w:br/>
      </w:r>
      <w:r>
        <w:br/>
      </w:r>
      <w:r>
        <w:rPr>
          <w:rStyle w:val="VerbatimChar"/>
        </w:rPr>
        <w:t xml:space="preserve">1.6. "Executable Form"</w:t>
      </w:r>
      <w:r>
        <w:br/>
      </w:r>
      <w:r>
        <w:rPr>
          <w:rStyle w:val="VerbatimChar"/>
        </w:rPr>
        <w:t xml:space="preserve">    means any form of the work other than Source Code Form.</w:t>
      </w:r>
      <w:r>
        <w:br/>
      </w:r>
      <w:r>
        <w:br/>
      </w:r>
      <w:r>
        <w:rPr>
          <w:rStyle w:val="VerbatimChar"/>
        </w:rPr>
        <w:t xml:space="preserve">1.7. "Larger Work"</w:t>
      </w:r>
      <w:r>
        <w:br/>
      </w:r>
      <w:r>
        <w:rPr>
          <w:rStyle w:val="VerbatimChar"/>
        </w:rPr>
        <w:t xml:space="preserve">    means a work that combines Covered Software with other material, in</w:t>
      </w:r>
      <w:r>
        <w:br/>
      </w:r>
      <w:r>
        <w:rPr>
          <w:rStyle w:val="VerbatimChar"/>
        </w:rPr>
        <w:t xml:space="preserve">    a separate file or files, that is not Covered Software.</w:t>
      </w:r>
      <w:r>
        <w:br/>
      </w:r>
      <w:r>
        <w:br/>
      </w:r>
      <w:r>
        <w:rPr>
          <w:rStyle w:val="VerbatimChar"/>
        </w:rPr>
        <w:t xml:space="preserve">1.8. "License"</w:t>
      </w:r>
      <w:r>
        <w:br/>
      </w:r>
      <w:r>
        <w:rPr>
          <w:rStyle w:val="VerbatimChar"/>
        </w:rPr>
        <w:t xml:space="preserve">    means this document.</w:t>
      </w:r>
      <w:r>
        <w:br/>
      </w:r>
      <w:r>
        <w:br/>
      </w:r>
      <w:r>
        <w:rPr>
          <w:rStyle w:val="VerbatimChar"/>
        </w:rPr>
        <w:t xml:space="preserve">1.9. "Licensable"</w:t>
      </w:r>
      <w:r>
        <w:br/>
      </w:r>
      <w:r>
        <w:rPr>
          <w:rStyle w:val="VerbatimChar"/>
        </w:rPr>
        <w:t xml:space="preserve">    means having the right to grant, to the maximum extent possible,</w:t>
      </w:r>
      <w:r>
        <w:br/>
      </w:r>
      <w:r>
        <w:rPr>
          <w:rStyle w:val="VerbatimChar"/>
        </w:rPr>
        <w:t xml:space="preserve">    whether at the time of the initial grant or subsequently, any and</w:t>
      </w:r>
      <w:r>
        <w:br/>
      </w:r>
      <w:r>
        <w:rPr>
          <w:rStyle w:val="VerbatimChar"/>
        </w:rPr>
        <w:t xml:space="preserve">    all of the rights conveyed by this License.</w:t>
      </w:r>
      <w:r>
        <w:br/>
      </w:r>
      <w:r>
        <w:br/>
      </w:r>
      <w:r>
        <w:rPr>
          <w:rStyle w:val="VerbatimChar"/>
        </w:rPr>
        <w:t xml:space="preserve">1.10. "Modifications"</w:t>
      </w:r>
      <w:r>
        <w:br/>
      </w:r>
      <w:r>
        <w:rPr>
          <w:rStyle w:val="VerbatimChar"/>
        </w:rPr>
        <w:t xml:space="preserve">    means any of the following:</w:t>
      </w:r>
      <w:r>
        <w:br/>
      </w:r>
      <w:r>
        <w:br/>
      </w:r>
      <w:r>
        <w:rPr>
          <w:rStyle w:val="VerbatimChar"/>
        </w:rPr>
        <w:t xml:space="preserve">    (a) any file in Source Code Form that results from an addition to,</w:t>
      </w:r>
      <w:r>
        <w:br/>
      </w:r>
      <w:r>
        <w:rPr>
          <w:rStyle w:val="VerbatimChar"/>
        </w:rPr>
        <w:t xml:space="preserve">        deletion from, or modification of the contents of Covered</w:t>
      </w:r>
      <w:r>
        <w:br/>
      </w:r>
      <w:r>
        <w:rPr>
          <w:rStyle w:val="VerbatimChar"/>
        </w:rPr>
        <w:t xml:space="preserve">        Software; or</w:t>
      </w:r>
      <w:r>
        <w:br/>
      </w:r>
      <w:r>
        <w:br/>
      </w:r>
      <w:r>
        <w:rPr>
          <w:rStyle w:val="VerbatimChar"/>
        </w:rPr>
        <w:t xml:space="preserve">    (b) any new file in Source Code Form that contains any Covered</w:t>
      </w:r>
      <w:r>
        <w:br/>
      </w:r>
      <w:r>
        <w:rPr>
          <w:rStyle w:val="VerbatimChar"/>
        </w:rPr>
        <w:t xml:space="preserve">        Software.</w:t>
      </w:r>
      <w:r>
        <w:br/>
      </w:r>
      <w:r>
        <w:br/>
      </w:r>
      <w:r>
        <w:rPr>
          <w:rStyle w:val="VerbatimChar"/>
        </w:rPr>
        <w:t xml:space="preserve">1.11. "Patent Claims" of a Contributor</w:t>
      </w:r>
      <w:r>
        <w:br/>
      </w:r>
      <w:r>
        <w:rPr>
          <w:rStyle w:val="VerbatimChar"/>
        </w:rPr>
        <w:t xml:space="preserve">    means any patent claim(s), including without limitation, method,</w:t>
      </w:r>
      <w:r>
        <w:br/>
      </w:r>
      <w:r>
        <w:rPr>
          <w:rStyle w:val="VerbatimChar"/>
        </w:rPr>
        <w:t xml:space="preserve">    process, and apparatus claims, in any patent Licensable by such</w:t>
      </w:r>
      <w:r>
        <w:br/>
      </w:r>
      <w:r>
        <w:rPr>
          <w:rStyle w:val="VerbatimChar"/>
        </w:rPr>
        <w:t xml:space="preserve">    Contributor that would be infringed, but for the grant of the</w:t>
      </w:r>
      <w:r>
        <w:br/>
      </w:r>
      <w:r>
        <w:rPr>
          <w:rStyle w:val="VerbatimChar"/>
        </w:rPr>
        <w:t xml:space="preserve">    License, by the making, using, selling, offering for sale, having</w:t>
      </w:r>
      <w:r>
        <w:br/>
      </w:r>
      <w:r>
        <w:rPr>
          <w:rStyle w:val="VerbatimChar"/>
        </w:rPr>
        <w:t xml:space="preserve">    made, import, or transfer of either its Contributions or its</w:t>
      </w:r>
      <w:r>
        <w:br/>
      </w:r>
      <w:r>
        <w:rPr>
          <w:rStyle w:val="VerbatimChar"/>
        </w:rPr>
        <w:t xml:space="preserve">    Contributor Version.</w:t>
      </w:r>
      <w:r>
        <w:br/>
      </w:r>
      <w:r>
        <w:br/>
      </w:r>
      <w:r>
        <w:rPr>
          <w:rStyle w:val="VerbatimChar"/>
        </w:rPr>
        <w:t xml:space="preserve">1.12. "Secondary License"</w:t>
      </w:r>
      <w:r>
        <w:br/>
      </w:r>
      <w:r>
        <w:rPr>
          <w:rStyle w:val="VerbatimChar"/>
        </w:rPr>
        <w:t xml:space="preserve">    means either the GNU General Public License, Version 2.0, the GNU</w:t>
      </w:r>
      <w:r>
        <w:br/>
      </w:r>
      <w:r>
        <w:rPr>
          <w:rStyle w:val="VerbatimChar"/>
        </w:rPr>
        <w:t xml:space="preserve">    Lesser General Public License, Version 2.1, the GNU Affero General</w:t>
      </w:r>
      <w:r>
        <w:br/>
      </w:r>
      <w:r>
        <w:rPr>
          <w:rStyle w:val="VerbatimChar"/>
        </w:rPr>
        <w:t xml:space="preserve">    Public License, Version 3.0, or any later versions of those</w:t>
      </w:r>
      <w:r>
        <w:br/>
      </w:r>
      <w:r>
        <w:rPr>
          <w:rStyle w:val="VerbatimChar"/>
        </w:rPr>
        <w:t xml:space="preserve">    licenses.</w:t>
      </w:r>
      <w:r>
        <w:br/>
      </w:r>
      <w:r>
        <w:br/>
      </w:r>
      <w:r>
        <w:rPr>
          <w:rStyle w:val="VerbatimChar"/>
        </w:rPr>
        <w:t xml:space="preserve">1.13. "Source Code Form"</w:t>
      </w:r>
      <w:r>
        <w:br/>
      </w:r>
      <w:r>
        <w:rPr>
          <w:rStyle w:val="VerbatimChar"/>
        </w:rPr>
        <w:t xml:space="preserve">    means the form of the work preferred for making modifications.</w:t>
      </w:r>
      <w:r>
        <w:br/>
      </w:r>
      <w:r>
        <w:br/>
      </w:r>
      <w:r>
        <w:rPr>
          <w:rStyle w:val="VerbatimChar"/>
        </w:rPr>
        <w:t xml:space="preserve">1.14. "You" (or "Your")</w:t>
      </w:r>
      <w:r>
        <w:br/>
      </w:r>
      <w:r>
        <w:rPr>
          <w:rStyle w:val="VerbatimChar"/>
        </w:rPr>
        <w:t xml:space="preserve">    means an individual or a legal entity exercising rights under this</w:t>
      </w:r>
      <w:r>
        <w:br/>
      </w:r>
      <w:r>
        <w:rPr>
          <w:rStyle w:val="VerbatimChar"/>
        </w:rPr>
        <w:t xml:space="preserve">    License. For legal entities, "You" includes any entity that</w:t>
      </w:r>
      <w:r>
        <w:br/>
      </w:r>
      <w:r>
        <w:rPr>
          <w:rStyle w:val="VerbatimChar"/>
        </w:rPr>
        <w:t xml:space="preserve">    controls, is controlled by, or is under common control with You. For</w:t>
      </w:r>
      <w:r>
        <w:br/>
      </w:r>
      <w:r>
        <w:rPr>
          <w:rStyle w:val="VerbatimChar"/>
        </w:rPr>
        <w:t xml:space="preserve">    purposes of this definition, "control" means (a) the power, direct</w:t>
      </w:r>
      <w:r>
        <w:br/>
      </w:r>
      <w:r>
        <w:rPr>
          <w:rStyle w:val="VerbatimChar"/>
        </w:rPr>
        <w:t xml:space="preserve">    or indirect, to cause the direction or management of such entity,</w:t>
      </w:r>
      <w:r>
        <w:br/>
      </w:r>
      <w:r>
        <w:rPr>
          <w:rStyle w:val="VerbatimChar"/>
        </w:rPr>
        <w:t xml:space="preserve">    whether by contract or otherwise, or (b) ownership of more than</w:t>
      </w:r>
      <w:r>
        <w:br/>
      </w:r>
      <w:r>
        <w:rPr>
          <w:rStyle w:val="VerbatimChar"/>
        </w:rPr>
        <w:t xml:space="preserve">    fifty percent (50%) of the outstanding shares or beneficial</w:t>
      </w:r>
      <w:r>
        <w:br/>
      </w:r>
      <w:r>
        <w:rPr>
          <w:rStyle w:val="VerbatimChar"/>
        </w:rPr>
        <w:t xml:space="preserve">    ownership of such entity.</w:t>
      </w:r>
      <w:r>
        <w:br/>
      </w:r>
      <w:r>
        <w:br/>
      </w:r>
      <w:r>
        <w:rPr>
          <w:rStyle w:val="VerbatimChar"/>
        </w:rPr>
        <w:t xml:space="preserve">2. License Grants and Conditions</w:t>
      </w:r>
      <w:r>
        <w:br/>
      </w:r>
      <w:r>
        <w:rPr>
          <w:rStyle w:val="VerbatimChar"/>
        </w:rPr>
        <w:t xml:space="preserve">--------------------------------</w:t>
      </w:r>
      <w:r>
        <w:br/>
      </w:r>
      <w:r>
        <w:br/>
      </w:r>
      <w:r>
        <w:rPr>
          <w:rStyle w:val="VerbatimChar"/>
        </w:rPr>
        <w:t xml:space="preserve">2.1. Grants</w:t>
      </w:r>
      <w:r>
        <w:br/>
      </w:r>
      <w:r>
        <w:br/>
      </w:r>
      <w:r>
        <w:rPr>
          <w:rStyle w:val="VerbatimChar"/>
        </w:rPr>
        <w:t xml:space="preserve">Each Contributor hereby grants You a world-wide, royalty-free,</w:t>
      </w:r>
      <w:r>
        <w:br/>
      </w:r>
      <w:r>
        <w:rPr>
          <w:rStyle w:val="VerbatimChar"/>
        </w:rPr>
        <w:t xml:space="preserve">non-exclusive license:</w:t>
      </w:r>
      <w:r>
        <w:br/>
      </w:r>
      <w:r>
        <w:br/>
      </w:r>
      <w:r>
        <w:rPr>
          <w:rStyle w:val="VerbatimChar"/>
        </w:rPr>
        <w:t xml:space="preserve">(a) under intellectual property rights (other than patent or trademark)</w:t>
      </w:r>
      <w:r>
        <w:br/>
      </w:r>
      <w:r>
        <w:rPr>
          <w:rStyle w:val="VerbatimChar"/>
        </w:rPr>
        <w:t xml:space="preserve">    Licensable by such Contributor to use, reproduce, make available,</w:t>
      </w:r>
      <w:r>
        <w:br/>
      </w:r>
      <w:r>
        <w:rPr>
          <w:rStyle w:val="VerbatimChar"/>
        </w:rPr>
        <w:t xml:space="preserve">    modify, display, perform, distribute, and otherwise exploit its</w:t>
      </w:r>
      <w:r>
        <w:br/>
      </w:r>
      <w:r>
        <w:rPr>
          <w:rStyle w:val="VerbatimChar"/>
        </w:rPr>
        <w:t xml:space="preserve">    Contributions, either on an unmodified basis, with Modifications, or</w:t>
      </w:r>
      <w:r>
        <w:br/>
      </w:r>
      <w:r>
        <w:rPr>
          <w:rStyle w:val="VerbatimChar"/>
        </w:rPr>
        <w:t xml:space="preserve">    as part of a Larger Work; and</w:t>
      </w:r>
      <w:r>
        <w:br/>
      </w:r>
      <w:r>
        <w:br/>
      </w:r>
      <w:r>
        <w:rPr>
          <w:rStyle w:val="VerbatimChar"/>
        </w:rPr>
        <w:t xml:space="preserve">(b) under Patent Claims of such Contributor to make, use, sell, offer</w:t>
      </w:r>
      <w:r>
        <w:br/>
      </w:r>
      <w:r>
        <w:rPr>
          <w:rStyle w:val="VerbatimChar"/>
        </w:rPr>
        <w:t xml:space="preserve">    for sale, have made, import, and otherwise transfer either its</w:t>
      </w:r>
      <w:r>
        <w:br/>
      </w:r>
      <w:r>
        <w:rPr>
          <w:rStyle w:val="VerbatimChar"/>
        </w:rPr>
        <w:t xml:space="preserve">    Contributions or its Contributor Version.</w:t>
      </w:r>
      <w:r>
        <w:br/>
      </w:r>
      <w:r>
        <w:br/>
      </w:r>
      <w:r>
        <w:rPr>
          <w:rStyle w:val="VerbatimChar"/>
        </w:rPr>
        <w:t xml:space="preserve">2.2. Effective Date</w:t>
      </w:r>
      <w:r>
        <w:br/>
      </w:r>
      <w:r>
        <w:br/>
      </w:r>
      <w:r>
        <w:rPr>
          <w:rStyle w:val="VerbatimChar"/>
        </w:rPr>
        <w:t xml:space="preserve">The licenses granted in Section 2.1 with respect to any Contribution</w:t>
      </w:r>
      <w:r>
        <w:br/>
      </w:r>
      <w:r>
        <w:rPr>
          <w:rStyle w:val="VerbatimChar"/>
        </w:rPr>
        <w:t xml:space="preserve">become effective for each Contribution on the date the Contributor first</w:t>
      </w:r>
      <w:r>
        <w:br/>
      </w:r>
      <w:r>
        <w:rPr>
          <w:rStyle w:val="VerbatimChar"/>
        </w:rPr>
        <w:t xml:space="preserve">distributes such Contribution.</w:t>
      </w:r>
      <w:r>
        <w:br/>
      </w:r>
      <w:r>
        <w:br/>
      </w:r>
      <w:r>
        <w:rPr>
          <w:rStyle w:val="VerbatimChar"/>
        </w:rPr>
        <w:t xml:space="preserve">2.3. Limitations on Grant Scope</w:t>
      </w:r>
      <w:r>
        <w:br/>
      </w:r>
      <w:r>
        <w:br/>
      </w:r>
      <w:r>
        <w:rPr>
          <w:rStyle w:val="VerbatimChar"/>
        </w:rPr>
        <w:t xml:space="preserve">The licenses granted in this Section 2 are the only rights granted under</w:t>
      </w:r>
      <w:r>
        <w:br/>
      </w:r>
      <w:r>
        <w:rPr>
          <w:rStyle w:val="VerbatimChar"/>
        </w:rPr>
        <w:t xml:space="preserve">this License. No additional rights or licenses will be implied from the</w:t>
      </w:r>
      <w:r>
        <w:br/>
      </w:r>
      <w:r>
        <w:rPr>
          <w:rStyle w:val="VerbatimChar"/>
        </w:rPr>
        <w:t xml:space="preserve">distribution or licensing of Covered Software under this License.</w:t>
      </w:r>
      <w:r>
        <w:br/>
      </w:r>
      <w:r>
        <w:rPr>
          <w:rStyle w:val="VerbatimChar"/>
        </w:rPr>
        <w:t xml:space="preserve">Notwithstanding Section 2.1(b) above, no patent license is granted by a</w:t>
      </w:r>
      <w:r>
        <w:br/>
      </w:r>
      <w:r>
        <w:rPr>
          <w:rStyle w:val="VerbatimChar"/>
        </w:rPr>
        <w:t xml:space="preserve">Contributor:</w:t>
      </w:r>
      <w:r>
        <w:br/>
      </w:r>
      <w:r>
        <w:br/>
      </w:r>
      <w:r>
        <w:rPr>
          <w:rStyle w:val="VerbatimChar"/>
        </w:rPr>
        <w:t xml:space="preserve">(a) for any code that a Contributor has removed from Covered Software;</w:t>
      </w:r>
      <w:r>
        <w:br/>
      </w:r>
      <w:r>
        <w:rPr>
          <w:rStyle w:val="VerbatimChar"/>
        </w:rPr>
        <w:t xml:space="preserve">    or</w:t>
      </w:r>
      <w:r>
        <w:br/>
      </w:r>
      <w:r>
        <w:br/>
      </w:r>
      <w:r>
        <w:rPr>
          <w:rStyle w:val="VerbatimChar"/>
        </w:rPr>
        <w:t xml:space="preserve">(b) for infringements caused by: (i) Your and any other third party's</w:t>
      </w:r>
      <w:r>
        <w:br/>
      </w:r>
      <w:r>
        <w:rPr>
          <w:rStyle w:val="VerbatimChar"/>
        </w:rPr>
        <w:t xml:space="preserve">    modifications of Covered Software, or (ii) the combination of its</w:t>
      </w:r>
      <w:r>
        <w:br/>
      </w:r>
      <w:r>
        <w:rPr>
          <w:rStyle w:val="VerbatimChar"/>
        </w:rPr>
        <w:t xml:space="preserve">    Contributions with other software (except as part of its Contributor</w:t>
      </w:r>
      <w:r>
        <w:br/>
      </w:r>
      <w:r>
        <w:rPr>
          <w:rStyle w:val="VerbatimChar"/>
        </w:rPr>
        <w:t xml:space="preserve">    Version); or</w:t>
      </w:r>
      <w:r>
        <w:br/>
      </w:r>
      <w:r>
        <w:br/>
      </w:r>
      <w:r>
        <w:rPr>
          <w:rStyle w:val="VerbatimChar"/>
        </w:rPr>
        <w:t xml:space="preserve">(c) under Patent Claims infringed by Covered Software in the absence of</w:t>
      </w:r>
      <w:r>
        <w:br/>
      </w:r>
      <w:r>
        <w:rPr>
          <w:rStyle w:val="VerbatimChar"/>
        </w:rPr>
        <w:t xml:space="preserve">    its Contributions.</w:t>
      </w:r>
      <w:r>
        <w:br/>
      </w:r>
      <w:r>
        <w:br/>
      </w:r>
      <w:r>
        <w:rPr>
          <w:rStyle w:val="VerbatimChar"/>
        </w:rPr>
        <w:t xml:space="preserve">This License does not grant any rights in the trademarks, service marks,</w:t>
      </w:r>
      <w:r>
        <w:br/>
      </w:r>
      <w:r>
        <w:rPr>
          <w:rStyle w:val="VerbatimChar"/>
        </w:rPr>
        <w:t xml:space="preserve">or logos of any Contributor (except as may be necessary to comply with</w:t>
      </w:r>
      <w:r>
        <w:br/>
      </w:r>
      <w:r>
        <w:rPr>
          <w:rStyle w:val="VerbatimChar"/>
        </w:rPr>
        <w:t xml:space="preserve">the notice requirements in Section 3.4).</w:t>
      </w:r>
      <w:r>
        <w:br/>
      </w:r>
      <w:r>
        <w:br/>
      </w:r>
      <w:r>
        <w:rPr>
          <w:rStyle w:val="VerbatimChar"/>
        </w:rPr>
        <w:t xml:space="preserve">2.4. Subsequent Licenses</w:t>
      </w:r>
      <w:r>
        <w:br/>
      </w:r>
      <w:r>
        <w:br/>
      </w:r>
      <w:r>
        <w:rPr>
          <w:rStyle w:val="VerbatimChar"/>
        </w:rPr>
        <w:t xml:space="preserve">No Contributor makes additional grants as a result of Your choice to</w:t>
      </w:r>
      <w:r>
        <w:br/>
      </w:r>
      <w:r>
        <w:rPr>
          <w:rStyle w:val="VerbatimChar"/>
        </w:rPr>
        <w:t xml:space="preserve">distribute the Covered Software under a subsequent version of this</w:t>
      </w:r>
      <w:r>
        <w:br/>
      </w:r>
      <w:r>
        <w:rPr>
          <w:rStyle w:val="VerbatimChar"/>
        </w:rPr>
        <w:t xml:space="preserve">License (see Section 10.2) or under the terms of a Secondary License (if</w:t>
      </w:r>
      <w:r>
        <w:br/>
      </w:r>
      <w:r>
        <w:rPr>
          <w:rStyle w:val="VerbatimChar"/>
        </w:rPr>
        <w:t xml:space="preserve">permitted under the terms of Section 3.3).</w:t>
      </w:r>
      <w:r>
        <w:br/>
      </w:r>
      <w:r>
        <w:br/>
      </w:r>
      <w:r>
        <w:rPr>
          <w:rStyle w:val="VerbatimChar"/>
        </w:rPr>
        <w:t xml:space="preserve">2.5. Representation</w:t>
      </w:r>
      <w:r>
        <w:br/>
      </w:r>
      <w:r>
        <w:br/>
      </w:r>
      <w:r>
        <w:rPr>
          <w:rStyle w:val="VerbatimChar"/>
        </w:rPr>
        <w:t xml:space="preserve">Each Contributor represents that the Contributor believes its</w:t>
      </w:r>
      <w:r>
        <w:br/>
      </w:r>
      <w:r>
        <w:rPr>
          <w:rStyle w:val="VerbatimChar"/>
        </w:rPr>
        <w:t xml:space="preserve">Contributions are its original creation(s) or it has sufficient rights</w:t>
      </w:r>
      <w:r>
        <w:br/>
      </w:r>
      <w:r>
        <w:rPr>
          <w:rStyle w:val="VerbatimChar"/>
        </w:rPr>
        <w:t xml:space="preserve">to grant the rights to its Contributions conveyed by this License.</w:t>
      </w:r>
      <w:r>
        <w:br/>
      </w:r>
      <w:r>
        <w:br/>
      </w:r>
      <w:r>
        <w:rPr>
          <w:rStyle w:val="VerbatimChar"/>
        </w:rPr>
        <w:t xml:space="preserve">2.6. Fair Use</w:t>
      </w:r>
      <w:r>
        <w:br/>
      </w:r>
      <w:r>
        <w:br/>
      </w:r>
      <w:r>
        <w:rPr>
          <w:rStyle w:val="VerbatimChar"/>
        </w:rPr>
        <w:t xml:space="preserve">This License is not intended to limit any rights You have under</w:t>
      </w:r>
      <w:r>
        <w:br/>
      </w:r>
      <w:r>
        <w:rPr>
          <w:rStyle w:val="VerbatimChar"/>
        </w:rPr>
        <w:t xml:space="preserve">applicable copyright doctrines of fair use, fair dealing, or other</w:t>
      </w:r>
      <w:r>
        <w:br/>
      </w:r>
      <w:r>
        <w:rPr>
          <w:rStyle w:val="VerbatimChar"/>
        </w:rPr>
        <w:t xml:space="preserve">equivalents.</w:t>
      </w:r>
      <w:r>
        <w:br/>
      </w:r>
      <w:r>
        <w:br/>
      </w:r>
      <w:r>
        <w:rPr>
          <w:rStyle w:val="VerbatimChar"/>
        </w:rPr>
        <w:t xml:space="preserve">2.7. Conditions</w:t>
      </w:r>
      <w:r>
        <w:br/>
      </w:r>
      <w:r>
        <w:br/>
      </w:r>
      <w:r>
        <w:rPr>
          <w:rStyle w:val="VerbatimChar"/>
        </w:rPr>
        <w:t xml:space="preserve">Sections 3.1, 3.2, 3.3, and 3.4 are conditions of the licenses granted</w:t>
      </w:r>
      <w:r>
        <w:br/>
      </w:r>
      <w:r>
        <w:rPr>
          <w:rStyle w:val="VerbatimChar"/>
        </w:rPr>
        <w:t xml:space="preserve">in Section 2.1.</w:t>
      </w:r>
      <w:r>
        <w:br/>
      </w:r>
      <w:r>
        <w:br/>
      </w:r>
      <w:r>
        <w:rPr>
          <w:rStyle w:val="VerbatimChar"/>
        </w:rPr>
        <w:t xml:space="preserve">3. Responsibilities</w:t>
      </w:r>
      <w:r>
        <w:br/>
      </w:r>
      <w:r>
        <w:rPr>
          <w:rStyle w:val="VerbatimChar"/>
        </w:rPr>
        <w:t xml:space="preserve">-------------------</w:t>
      </w:r>
      <w:r>
        <w:br/>
      </w:r>
      <w:r>
        <w:br/>
      </w:r>
      <w:r>
        <w:rPr>
          <w:rStyle w:val="VerbatimChar"/>
        </w:rPr>
        <w:t xml:space="preserve">3.1. Distribution of Source Form</w:t>
      </w:r>
      <w:r>
        <w:br/>
      </w:r>
      <w:r>
        <w:br/>
      </w:r>
      <w:r>
        <w:rPr>
          <w:rStyle w:val="VerbatimChar"/>
        </w:rPr>
        <w:t xml:space="preserve">All distribution of Covered Software in Source Code Form, including any</w:t>
      </w:r>
      <w:r>
        <w:br/>
      </w:r>
      <w:r>
        <w:rPr>
          <w:rStyle w:val="VerbatimChar"/>
        </w:rPr>
        <w:t xml:space="preserve">Modifications that You create or to which You contribute, must be under</w:t>
      </w:r>
      <w:r>
        <w:br/>
      </w:r>
      <w:r>
        <w:rPr>
          <w:rStyle w:val="VerbatimChar"/>
        </w:rPr>
        <w:t xml:space="preserve">the terms of this License. You must inform recipients that the Source</w:t>
      </w:r>
      <w:r>
        <w:br/>
      </w:r>
      <w:r>
        <w:rPr>
          <w:rStyle w:val="VerbatimChar"/>
        </w:rPr>
        <w:t xml:space="preserve">Code Form of the Covered Software is governed by the terms of this</w:t>
      </w:r>
      <w:r>
        <w:br/>
      </w:r>
      <w:r>
        <w:rPr>
          <w:rStyle w:val="VerbatimChar"/>
        </w:rPr>
        <w:t xml:space="preserve">License, and how they can obtain a copy of this License. You may not</w:t>
      </w:r>
      <w:r>
        <w:br/>
      </w:r>
      <w:r>
        <w:rPr>
          <w:rStyle w:val="VerbatimChar"/>
        </w:rPr>
        <w:t xml:space="preserve">attempt to alter or restrict the recipients' rights in the Source Code</w:t>
      </w:r>
      <w:r>
        <w:br/>
      </w:r>
      <w:r>
        <w:rPr>
          <w:rStyle w:val="VerbatimChar"/>
        </w:rPr>
        <w:t xml:space="preserve">Form.</w:t>
      </w:r>
      <w:r>
        <w:br/>
      </w:r>
      <w:r>
        <w:br/>
      </w:r>
      <w:r>
        <w:rPr>
          <w:rStyle w:val="VerbatimChar"/>
        </w:rPr>
        <w:t xml:space="preserve">3.2. Distribution of Executable Form</w:t>
      </w:r>
      <w:r>
        <w:br/>
      </w:r>
      <w:r>
        <w:br/>
      </w:r>
      <w:r>
        <w:rPr>
          <w:rStyle w:val="VerbatimChar"/>
        </w:rPr>
        <w:t xml:space="preserve">If You distribute Covered Software in Executable Form then:</w:t>
      </w:r>
      <w:r>
        <w:br/>
      </w:r>
      <w:r>
        <w:br/>
      </w:r>
      <w:r>
        <w:rPr>
          <w:rStyle w:val="VerbatimChar"/>
        </w:rPr>
        <w:t xml:space="preserve">(a) such Covered Software must also be made available in Source Code</w:t>
      </w:r>
      <w:r>
        <w:br/>
      </w:r>
      <w:r>
        <w:rPr>
          <w:rStyle w:val="VerbatimChar"/>
        </w:rPr>
        <w:t xml:space="preserve">    Form, as described in Section 3.1, and You must inform recipients of</w:t>
      </w:r>
      <w:r>
        <w:br/>
      </w:r>
      <w:r>
        <w:rPr>
          <w:rStyle w:val="VerbatimChar"/>
        </w:rPr>
        <w:t xml:space="preserve">    the Executable Form how they can obtain a copy of such Source Code</w:t>
      </w:r>
      <w:r>
        <w:br/>
      </w:r>
      <w:r>
        <w:rPr>
          <w:rStyle w:val="VerbatimChar"/>
        </w:rPr>
        <w:t xml:space="preserve">    Form by reasonable means in a timely manner, at a charge no more</w:t>
      </w:r>
      <w:r>
        <w:br/>
      </w:r>
      <w:r>
        <w:rPr>
          <w:rStyle w:val="VerbatimChar"/>
        </w:rPr>
        <w:t xml:space="preserve">    than the cost of distribution to the recipient; and</w:t>
      </w:r>
      <w:r>
        <w:br/>
      </w:r>
      <w:r>
        <w:br/>
      </w:r>
      <w:r>
        <w:rPr>
          <w:rStyle w:val="VerbatimChar"/>
        </w:rPr>
        <w:t xml:space="preserve">(b) You may distribute such Executable Form under the terms of this</w:t>
      </w:r>
      <w:r>
        <w:br/>
      </w:r>
      <w:r>
        <w:rPr>
          <w:rStyle w:val="VerbatimChar"/>
        </w:rPr>
        <w:t xml:space="preserve">    License, or sublicense it under different terms, provided that the</w:t>
      </w:r>
      <w:r>
        <w:br/>
      </w:r>
      <w:r>
        <w:rPr>
          <w:rStyle w:val="VerbatimChar"/>
        </w:rPr>
        <w:t xml:space="preserve">    license for the Executable Form does not attempt to limit or alter</w:t>
      </w:r>
      <w:r>
        <w:br/>
      </w:r>
      <w:r>
        <w:rPr>
          <w:rStyle w:val="VerbatimChar"/>
        </w:rPr>
        <w:t xml:space="preserve">    the recipients' rights in the Source Code Form under this License.</w:t>
      </w:r>
      <w:r>
        <w:br/>
      </w:r>
      <w:r>
        <w:br/>
      </w:r>
      <w:r>
        <w:rPr>
          <w:rStyle w:val="VerbatimChar"/>
        </w:rPr>
        <w:t xml:space="preserve">3.3. Distribution of a Larger Work</w:t>
      </w:r>
      <w:r>
        <w:br/>
      </w:r>
      <w:r>
        <w:br/>
      </w:r>
      <w:r>
        <w:rPr>
          <w:rStyle w:val="VerbatimChar"/>
        </w:rPr>
        <w:t xml:space="preserve">You may create and distribute a Larger Work under terms of Your choice,</w:t>
      </w:r>
      <w:r>
        <w:br/>
      </w:r>
      <w:r>
        <w:rPr>
          <w:rStyle w:val="VerbatimChar"/>
        </w:rPr>
        <w:t xml:space="preserve">provided that You also comply with the requirements of this License for</w:t>
      </w:r>
      <w:r>
        <w:br/>
      </w:r>
      <w:r>
        <w:rPr>
          <w:rStyle w:val="VerbatimChar"/>
        </w:rPr>
        <w:t xml:space="preserve">the Covered Software. If the Larger Work is a combination of Covered</w:t>
      </w:r>
      <w:r>
        <w:br/>
      </w:r>
      <w:r>
        <w:rPr>
          <w:rStyle w:val="VerbatimChar"/>
        </w:rPr>
        <w:t xml:space="preserve">Software with a work governed by one or more Secondary Licenses, and the</w:t>
      </w:r>
      <w:r>
        <w:br/>
      </w:r>
      <w:r>
        <w:rPr>
          <w:rStyle w:val="VerbatimChar"/>
        </w:rPr>
        <w:t xml:space="preserve">Covered Software is not Incompatible With Secondary Licenses, this</w:t>
      </w:r>
      <w:r>
        <w:br/>
      </w:r>
      <w:r>
        <w:rPr>
          <w:rStyle w:val="VerbatimChar"/>
        </w:rPr>
        <w:t xml:space="preserve">License permits You to additionally distribute such Covered Software</w:t>
      </w:r>
      <w:r>
        <w:br/>
      </w:r>
      <w:r>
        <w:rPr>
          <w:rStyle w:val="VerbatimChar"/>
        </w:rPr>
        <w:t xml:space="preserve">under the terms of such Secondary License(s), so that the recipient of</w:t>
      </w:r>
      <w:r>
        <w:br/>
      </w:r>
      <w:r>
        <w:rPr>
          <w:rStyle w:val="VerbatimChar"/>
        </w:rPr>
        <w:t xml:space="preserve">the Larger Work may, at their option, further distribute the Covered</w:t>
      </w:r>
      <w:r>
        <w:br/>
      </w:r>
      <w:r>
        <w:rPr>
          <w:rStyle w:val="VerbatimChar"/>
        </w:rPr>
        <w:t xml:space="preserve">Software under the terms of either this License or such Secondary</w:t>
      </w:r>
      <w:r>
        <w:br/>
      </w:r>
      <w:r>
        <w:rPr>
          <w:rStyle w:val="VerbatimChar"/>
        </w:rPr>
        <w:t xml:space="preserve">License(s).</w:t>
      </w:r>
      <w:r>
        <w:br/>
      </w:r>
      <w:r>
        <w:br/>
      </w:r>
      <w:r>
        <w:rPr>
          <w:rStyle w:val="VerbatimChar"/>
        </w:rPr>
        <w:t xml:space="preserve">3.4. Notices</w:t>
      </w:r>
      <w:r>
        <w:br/>
      </w:r>
      <w:r>
        <w:br/>
      </w:r>
      <w:r>
        <w:rPr>
          <w:rStyle w:val="VerbatimChar"/>
        </w:rPr>
        <w:t xml:space="preserve">You may not remove or alter the substance of any license notices</w:t>
      </w:r>
      <w:r>
        <w:br/>
      </w:r>
      <w:r>
        <w:rPr>
          <w:rStyle w:val="VerbatimChar"/>
        </w:rPr>
        <w:t xml:space="preserve">(including copyright notices, patent notices, disclaimers of warranty,</w:t>
      </w:r>
      <w:r>
        <w:br/>
      </w:r>
      <w:r>
        <w:rPr>
          <w:rStyle w:val="VerbatimChar"/>
        </w:rPr>
        <w:t xml:space="preserve">or limitations of liability) contained within the Source Code Form of</w:t>
      </w:r>
      <w:r>
        <w:br/>
      </w:r>
      <w:r>
        <w:rPr>
          <w:rStyle w:val="VerbatimChar"/>
        </w:rPr>
        <w:t xml:space="preserve">the Covered Software, except that You may alter any license notices to</w:t>
      </w:r>
      <w:r>
        <w:br/>
      </w:r>
      <w:r>
        <w:rPr>
          <w:rStyle w:val="VerbatimChar"/>
        </w:rPr>
        <w:t xml:space="preserve">the extent required to remedy known factual inaccuracies.</w:t>
      </w:r>
      <w:r>
        <w:br/>
      </w:r>
      <w:r>
        <w:br/>
      </w:r>
      <w:r>
        <w:rPr>
          <w:rStyle w:val="VerbatimChar"/>
        </w:rPr>
        <w:t xml:space="preserve">3.5. Application of Additional Terms</w:t>
      </w:r>
      <w:r>
        <w:br/>
      </w:r>
      <w:r>
        <w:br/>
      </w:r>
      <w:r>
        <w:rPr>
          <w:rStyle w:val="VerbatimChar"/>
        </w:rPr>
        <w:t xml:space="preserve">You may choose to offer, and to charge a fee for, warranty, support,</w:t>
      </w:r>
      <w:r>
        <w:br/>
      </w:r>
      <w:r>
        <w:rPr>
          <w:rStyle w:val="VerbatimChar"/>
        </w:rPr>
        <w:t xml:space="preserve">indemnity or liability obligations to one or more recipients of Covered</w:t>
      </w:r>
      <w:r>
        <w:br/>
      </w:r>
      <w:r>
        <w:rPr>
          <w:rStyle w:val="VerbatimChar"/>
        </w:rPr>
        <w:t xml:space="preserve">Software. However, You may do so only on Your own behalf, and not on</w:t>
      </w:r>
      <w:r>
        <w:br/>
      </w:r>
      <w:r>
        <w:rPr>
          <w:rStyle w:val="VerbatimChar"/>
        </w:rPr>
        <w:t xml:space="preserve">behalf of any Contributor. You must make it absolutely clear that any</w:t>
      </w:r>
      <w:r>
        <w:br/>
      </w:r>
      <w:r>
        <w:rPr>
          <w:rStyle w:val="VerbatimChar"/>
        </w:rPr>
        <w:t xml:space="preserve">such warranty, support, indemnity, or liability obligation is offered by</w:t>
      </w:r>
      <w:r>
        <w:br/>
      </w:r>
      <w:r>
        <w:rPr>
          <w:rStyle w:val="VerbatimChar"/>
        </w:rPr>
        <w:t xml:space="preserve">You alone, and You hereby agree to indemnify every Contributor for any</w:t>
      </w:r>
      <w:r>
        <w:br/>
      </w:r>
      <w:r>
        <w:rPr>
          <w:rStyle w:val="VerbatimChar"/>
        </w:rPr>
        <w:t xml:space="preserve">liability incurred by such Contributor as a result of warranty, support,</w:t>
      </w:r>
      <w:r>
        <w:br/>
      </w:r>
      <w:r>
        <w:rPr>
          <w:rStyle w:val="VerbatimChar"/>
        </w:rPr>
        <w:t xml:space="preserve">indemnity or liability terms You offer. You may include additional</w:t>
      </w:r>
      <w:r>
        <w:br/>
      </w:r>
      <w:r>
        <w:rPr>
          <w:rStyle w:val="VerbatimChar"/>
        </w:rPr>
        <w:t xml:space="preserve">disclaimers of warranty and limitations of liability specific to any</w:t>
      </w:r>
      <w:r>
        <w:br/>
      </w:r>
      <w:r>
        <w:rPr>
          <w:rStyle w:val="VerbatimChar"/>
        </w:rPr>
        <w:t xml:space="preserve">jurisdiction.</w:t>
      </w:r>
      <w:r>
        <w:br/>
      </w:r>
      <w:r>
        <w:br/>
      </w:r>
      <w:r>
        <w:rPr>
          <w:rStyle w:val="VerbatimChar"/>
        </w:rPr>
        <w:t xml:space="preserve">4. Inability to Comply Due to Statute or Regulation</w:t>
      </w:r>
      <w:r>
        <w:br/>
      </w:r>
      <w:r>
        <w:rPr>
          <w:rStyle w:val="VerbatimChar"/>
        </w:rPr>
        <w:t xml:space="preserve">---------------------------------------------------</w:t>
      </w:r>
      <w:r>
        <w:br/>
      </w:r>
      <w:r>
        <w:br/>
      </w:r>
      <w:r>
        <w:rPr>
          <w:rStyle w:val="VerbatimChar"/>
        </w:rPr>
        <w:t xml:space="preserve">If it is impossible for You to comply with any of the terms of this</w:t>
      </w:r>
      <w:r>
        <w:br/>
      </w:r>
      <w:r>
        <w:rPr>
          <w:rStyle w:val="VerbatimChar"/>
        </w:rPr>
        <w:t xml:space="preserve">License with respect to some or all of the Covered Software due to</w:t>
      </w:r>
      <w:r>
        <w:br/>
      </w:r>
      <w:r>
        <w:rPr>
          <w:rStyle w:val="VerbatimChar"/>
        </w:rPr>
        <w:t xml:space="preserve">statute, judicial order, or regulation then You must: (a) comply with</w:t>
      </w:r>
      <w:r>
        <w:br/>
      </w:r>
      <w:r>
        <w:rPr>
          <w:rStyle w:val="VerbatimChar"/>
        </w:rPr>
        <w:t xml:space="preserve">the terms of this License to the maximum extent possible; and (b)</w:t>
      </w:r>
      <w:r>
        <w:br/>
      </w:r>
      <w:r>
        <w:rPr>
          <w:rStyle w:val="VerbatimChar"/>
        </w:rPr>
        <w:t xml:space="preserve">describe the limitations and the code they affect. Such description must</w:t>
      </w:r>
      <w:r>
        <w:br/>
      </w:r>
      <w:r>
        <w:rPr>
          <w:rStyle w:val="VerbatimChar"/>
        </w:rPr>
        <w:t xml:space="preserve">be placed in a text file included with all distributions of the Covered</w:t>
      </w:r>
      <w:r>
        <w:br/>
      </w:r>
      <w:r>
        <w:rPr>
          <w:rStyle w:val="VerbatimChar"/>
        </w:rPr>
        <w:t xml:space="preserve">Software under this License. Except to the extent prohibited by statute</w:t>
      </w:r>
      <w:r>
        <w:br/>
      </w:r>
      <w:r>
        <w:rPr>
          <w:rStyle w:val="VerbatimChar"/>
        </w:rPr>
        <w:t xml:space="preserve">or regulation, such description must be sufficiently detailed for a</w:t>
      </w:r>
      <w:r>
        <w:br/>
      </w:r>
      <w:r>
        <w:rPr>
          <w:rStyle w:val="VerbatimChar"/>
        </w:rPr>
        <w:t xml:space="preserve">recipient of ordinary skill to be able to understand it.</w:t>
      </w:r>
      <w:r>
        <w:br/>
      </w:r>
      <w:r>
        <w:br/>
      </w:r>
      <w:r>
        <w:rPr>
          <w:rStyle w:val="VerbatimChar"/>
        </w:rPr>
        <w:t xml:space="preserve">5. Termination</w:t>
      </w:r>
      <w:r>
        <w:br/>
      </w:r>
      <w:r>
        <w:rPr>
          <w:rStyle w:val="VerbatimChar"/>
        </w:rPr>
        <w:t xml:space="preserve">--------------</w:t>
      </w:r>
      <w:r>
        <w:br/>
      </w:r>
      <w:r>
        <w:br/>
      </w:r>
      <w:r>
        <w:rPr>
          <w:rStyle w:val="VerbatimChar"/>
        </w:rPr>
        <w:t xml:space="preserve">5.1. The rights granted under this License will terminate automatically</w:t>
      </w:r>
      <w:r>
        <w:br/>
      </w:r>
      <w:r>
        <w:rPr>
          <w:rStyle w:val="VerbatimChar"/>
        </w:rPr>
        <w:t xml:space="preserve">if You fail to comply with any of its terms. However, if You become</w:t>
      </w:r>
      <w:r>
        <w:br/>
      </w:r>
      <w:r>
        <w:rPr>
          <w:rStyle w:val="VerbatimChar"/>
        </w:rPr>
        <w:t xml:space="preserve">compliant, then the rights granted under this License from a particular</w:t>
      </w:r>
      <w:r>
        <w:br/>
      </w:r>
      <w:r>
        <w:rPr>
          <w:rStyle w:val="VerbatimChar"/>
        </w:rPr>
        <w:t xml:space="preserve">Contributor are reinstated (a) provisionally, unless and until such</w:t>
      </w:r>
      <w:r>
        <w:br/>
      </w:r>
      <w:r>
        <w:rPr>
          <w:rStyle w:val="VerbatimChar"/>
        </w:rPr>
        <w:t xml:space="preserve">Contributor explicitly and finally terminates Your grants, and (b) on an</w:t>
      </w:r>
      <w:r>
        <w:br/>
      </w:r>
      <w:r>
        <w:rPr>
          <w:rStyle w:val="VerbatimChar"/>
        </w:rPr>
        <w:t xml:space="preserve">ongoing basis, if such Contributor fails to notify You of the</w:t>
      </w:r>
      <w:r>
        <w:br/>
      </w:r>
      <w:r>
        <w:rPr>
          <w:rStyle w:val="VerbatimChar"/>
        </w:rPr>
        <w:t xml:space="preserve">non-compliance by some reasonable means prior to 60 days after You have</w:t>
      </w:r>
      <w:r>
        <w:br/>
      </w:r>
      <w:r>
        <w:rPr>
          <w:rStyle w:val="VerbatimChar"/>
        </w:rPr>
        <w:t xml:space="preserve">come back into compliance. Moreover, Your grants from a particular</w:t>
      </w:r>
      <w:r>
        <w:br/>
      </w:r>
      <w:r>
        <w:rPr>
          <w:rStyle w:val="VerbatimChar"/>
        </w:rPr>
        <w:t xml:space="preserve">Contributor are reinstated on an ongoing basis if such Contributor</w:t>
      </w:r>
      <w:r>
        <w:br/>
      </w:r>
      <w:r>
        <w:rPr>
          <w:rStyle w:val="VerbatimChar"/>
        </w:rPr>
        <w:t xml:space="preserve">notifies You of the non-compliance by some reasonable means, this is the</w:t>
      </w:r>
      <w:r>
        <w:br/>
      </w:r>
      <w:r>
        <w:rPr>
          <w:rStyle w:val="VerbatimChar"/>
        </w:rPr>
        <w:t xml:space="preserve">first time You have received notice of non-compliance with this License</w:t>
      </w:r>
      <w:r>
        <w:br/>
      </w:r>
      <w:r>
        <w:rPr>
          <w:rStyle w:val="VerbatimChar"/>
        </w:rPr>
        <w:t xml:space="preserve">from such Contributor, and You become compliant prior to 30 days after</w:t>
      </w:r>
      <w:r>
        <w:br/>
      </w:r>
      <w:r>
        <w:rPr>
          <w:rStyle w:val="VerbatimChar"/>
        </w:rPr>
        <w:t xml:space="preserve">Your receipt of the notice.</w:t>
      </w:r>
      <w:r>
        <w:br/>
      </w:r>
      <w:r>
        <w:br/>
      </w:r>
      <w:r>
        <w:rPr>
          <w:rStyle w:val="VerbatimChar"/>
        </w:rPr>
        <w:t xml:space="preserve">5.2. If You initiate litigation against any entity by asserting a patent</w:t>
      </w:r>
      <w:r>
        <w:br/>
      </w:r>
      <w:r>
        <w:rPr>
          <w:rStyle w:val="VerbatimChar"/>
        </w:rPr>
        <w:t xml:space="preserve">infringement claim (excluding declaratory judgment actions,</w:t>
      </w:r>
      <w:r>
        <w:br/>
      </w:r>
      <w:r>
        <w:rPr>
          <w:rStyle w:val="VerbatimChar"/>
        </w:rPr>
        <w:t xml:space="preserve">counter-claims, and cross-claims) alleging that a Contributor Version</w:t>
      </w:r>
      <w:r>
        <w:br/>
      </w:r>
      <w:r>
        <w:rPr>
          <w:rStyle w:val="VerbatimChar"/>
        </w:rPr>
        <w:t xml:space="preserve">directly or indirectly infringes any patent, then the rights granted to</w:t>
      </w:r>
      <w:r>
        <w:br/>
      </w:r>
      <w:r>
        <w:rPr>
          <w:rStyle w:val="VerbatimChar"/>
        </w:rPr>
        <w:t xml:space="preserve">You by any and all Contributors for the Covered Software under Section</w:t>
      </w:r>
      <w:r>
        <w:br/>
      </w:r>
      <w:r>
        <w:rPr>
          <w:rStyle w:val="VerbatimChar"/>
        </w:rPr>
        <w:t xml:space="preserve">2.1 of this License shall terminate.</w:t>
      </w:r>
      <w:r>
        <w:br/>
      </w:r>
      <w:r>
        <w:br/>
      </w:r>
      <w:r>
        <w:rPr>
          <w:rStyle w:val="VerbatimChar"/>
        </w:rPr>
        <w:t xml:space="preserve">5.3. In the event of termination under Sections 5.1 or 5.2 above, all</w:t>
      </w:r>
      <w:r>
        <w:br/>
      </w:r>
      <w:r>
        <w:rPr>
          <w:rStyle w:val="VerbatimChar"/>
        </w:rPr>
        <w:t xml:space="preserve">end user license agreements (excluding distributors and resellers) which</w:t>
      </w:r>
      <w:r>
        <w:br/>
      </w:r>
      <w:r>
        <w:rPr>
          <w:rStyle w:val="VerbatimChar"/>
        </w:rPr>
        <w:t xml:space="preserve">have been validly granted by You or Your distributors under this License</w:t>
      </w:r>
      <w:r>
        <w:br/>
      </w:r>
      <w:r>
        <w:rPr>
          <w:rStyle w:val="VerbatimChar"/>
        </w:rPr>
        <w:t xml:space="preserve">prior to termination shall survive termination.</w:t>
      </w:r>
      <w:r>
        <w:br/>
      </w:r>
      <w:r>
        <w:br/>
      </w:r>
      <w:r>
        <w:rPr>
          <w:rStyle w:val="VerbatimChar"/>
        </w:rPr>
        <w:t xml:space="preserve">************************************************************************</w:t>
      </w:r>
      <w:r>
        <w:br/>
      </w:r>
      <w:r>
        <w:rPr>
          <w:rStyle w:val="VerbatimChar"/>
        </w:rPr>
        <w:t xml:space="preserve">*                                                                      *</w:t>
      </w:r>
      <w:r>
        <w:br/>
      </w:r>
      <w:r>
        <w:rPr>
          <w:rStyle w:val="VerbatimChar"/>
        </w:rPr>
        <w:t xml:space="preserve">*  6. Disclaimer of Warranty                                           *</w:t>
      </w:r>
      <w:r>
        <w:br/>
      </w:r>
      <w:r>
        <w:rPr>
          <w:rStyle w:val="VerbatimChar"/>
        </w:rPr>
        <w:t xml:space="preserve">*  -------------------------                                           *</w:t>
      </w:r>
      <w:r>
        <w:br/>
      </w:r>
      <w:r>
        <w:rPr>
          <w:rStyle w:val="VerbatimChar"/>
        </w:rPr>
        <w:t xml:space="preserve">*                                                                      *</w:t>
      </w:r>
      <w:r>
        <w:br/>
      </w:r>
      <w:r>
        <w:rPr>
          <w:rStyle w:val="VerbatimChar"/>
        </w:rPr>
        <w:t xml:space="preserve">*  Covered Software is provided under this License on an "as is"       *</w:t>
      </w:r>
      <w:r>
        <w:br/>
      </w:r>
      <w:r>
        <w:rPr>
          <w:rStyle w:val="VerbatimChar"/>
        </w:rPr>
        <w:t xml:space="preserve">*  basis, without warranty of any kind, either expressed, implied, or  *</w:t>
      </w:r>
      <w:r>
        <w:br/>
      </w:r>
      <w:r>
        <w:rPr>
          <w:rStyle w:val="VerbatimChar"/>
        </w:rPr>
        <w:t xml:space="preserve">*  statutory, including, without limitation, warranties that the       *</w:t>
      </w:r>
      <w:r>
        <w:br/>
      </w:r>
      <w:r>
        <w:rPr>
          <w:rStyle w:val="VerbatimChar"/>
        </w:rPr>
        <w:t xml:space="preserve">*  Covered Software is free of defects, merchantable, fit for a        *</w:t>
      </w:r>
      <w:r>
        <w:br/>
      </w:r>
      <w:r>
        <w:rPr>
          <w:rStyle w:val="VerbatimChar"/>
        </w:rPr>
        <w:t xml:space="preserve">*  particular purpose or non-infringing. The entire risk as to the     *</w:t>
      </w:r>
      <w:r>
        <w:br/>
      </w:r>
      <w:r>
        <w:rPr>
          <w:rStyle w:val="VerbatimChar"/>
        </w:rPr>
        <w:t xml:space="preserve">*  quality and performance of the Covered Software is with You.        *</w:t>
      </w:r>
      <w:r>
        <w:br/>
      </w:r>
      <w:r>
        <w:rPr>
          <w:rStyle w:val="VerbatimChar"/>
        </w:rPr>
        <w:t xml:space="preserve">*  Should any Covered Software prove defective in any respect, You     *</w:t>
      </w:r>
      <w:r>
        <w:br/>
      </w:r>
      <w:r>
        <w:rPr>
          <w:rStyle w:val="VerbatimChar"/>
        </w:rPr>
        <w:t xml:space="preserve">*  (not any Contributor) assume the cost of any necessary servicing,   *</w:t>
      </w:r>
      <w:r>
        <w:br/>
      </w:r>
      <w:r>
        <w:rPr>
          <w:rStyle w:val="VerbatimChar"/>
        </w:rPr>
        <w:t xml:space="preserve">*  repair, or correction. This disclaimer of warranty constitutes an   *</w:t>
      </w:r>
      <w:r>
        <w:br/>
      </w:r>
      <w:r>
        <w:rPr>
          <w:rStyle w:val="VerbatimChar"/>
        </w:rPr>
        <w:t xml:space="preserve">*  essential part of this License. No use of any Covered Software is   *</w:t>
      </w:r>
      <w:r>
        <w:br/>
      </w:r>
      <w:r>
        <w:rPr>
          <w:rStyle w:val="VerbatimChar"/>
        </w:rPr>
        <w:t xml:space="preserve">*  authorized under this License except under this disclaimer.         *</w:t>
      </w:r>
      <w:r>
        <w:br/>
      </w:r>
      <w:r>
        <w:rPr>
          <w:rStyle w:val="VerbatimChar"/>
        </w:rPr>
        <w:t xml:space="preserve">*                                                                      *</w:t>
      </w:r>
      <w:r>
        <w:br/>
      </w:r>
      <w:r>
        <w:rPr>
          <w:rStyle w:val="VerbatimChar"/>
        </w:rPr>
        <w:t xml:space="preserve">************************************************************************</w:t>
      </w:r>
      <w:r>
        <w:br/>
      </w:r>
      <w:r>
        <w:br/>
      </w:r>
      <w:r>
        <w:rPr>
          <w:rStyle w:val="VerbatimChar"/>
        </w:rPr>
        <w:t xml:space="preserve">************************************************************************</w:t>
      </w:r>
      <w:r>
        <w:br/>
      </w:r>
      <w:r>
        <w:rPr>
          <w:rStyle w:val="VerbatimChar"/>
        </w:rPr>
        <w:t xml:space="preserve">*                                                                      *</w:t>
      </w:r>
      <w:r>
        <w:br/>
      </w:r>
      <w:r>
        <w:rPr>
          <w:rStyle w:val="VerbatimChar"/>
        </w:rPr>
        <w:t xml:space="preserve">*  7. Limitation of Liability                                          *</w:t>
      </w:r>
      <w:r>
        <w:br/>
      </w:r>
      <w:r>
        <w:rPr>
          <w:rStyle w:val="VerbatimChar"/>
        </w:rPr>
        <w:t xml:space="preserve">*  --------------------------                                          *</w:t>
      </w:r>
      <w:r>
        <w:br/>
      </w:r>
      <w:r>
        <w:rPr>
          <w:rStyle w:val="VerbatimChar"/>
        </w:rPr>
        <w:t xml:space="preserve">*                                                                      *</w:t>
      </w:r>
      <w:r>
        <w:br/>
      </w:r>
      <w:r>
        <w:rPr>
          <w:rStyle w:val="VerbatimChar"/>
        </w:rPr>
        <w:t xml:space="preserve">*  Under no circumstances and under no legal theory, whether tort      *</w:t>
      </w:r>
      <w:r>
        <w:br/>
      </w:r>
      <w:r>
        <w:rPr>
          <w:rStyle w:val="VerbatimChar"/>
        </w:rPr>
        <w:t xml:space="preserve">*  (including negligence), contract, or otherwise, shall any           *</w:t>
      </w:r>
      <w:r>
        <w:br/>
      </w:r>
      <w:r>
        <w:rPr>
          <w:rStyle w:val="VerbatimChar"/>
        </w:rPr>
        <w:t xml:space="preserve">*  Contributor, or anyone who distributes Covered Software as          *</w:t>
      </w:r>
      <w:r>
        <w:br/>
      </w:r>
      <w:r>
        <w:rPr>
          <w:rStyle w:val="VerbatimChar"/>
        </w:rPr>
        <w:t xml:space="preserve">*  permitted above, be liable to You for any direct, indirect,         *</w:t>
      </w:r>
      <w:r>
        <w:br/>
      </w:r>
      <w:r>
        <w:rPr>
          <w:rStyle w:val="VerbatimChar"/>
        </w:rPr>
        <w:t xml:space="preserve">*  special, incidental, or consequential damages of any character      *</w:t>
      </w:r>
      <w:r>
        <w:br/>
      </w:r>
      <w:r>
        <w:rPr>
          <w:rStyle w:val="VerbatimChar"/>
        </w:rPr>
        <w:t xml:space="preserve">*  including, without limitation, damages for lost profits, loss of    *</w:t>
      </w:r>
      <w:r>
        <w:br/>
      </w:r>
      <w:r>
        <w:rPr>
          <w:rStyle w:val="VerbatimChar"/>
        </w:rPr>
        <w:t xml:space="preserve">*  goodwill, work stoppage, computer failure or malfunction, or any    *</w:t>
      </w:r>
      <w:r>
        <w:br/>
      </w:r>
      <w:r>
        <w:rPr>
          <w:rStyle w:val="VerbatimChar"/>
        </w:rPr>
        <w:t xml:space="preserve">*  and all other commercial damages or losses, even if such party      *</w:t>
      </w:r>
      <w:r>
        <w:br/>
      </w:r>
      <w:r>
        <w:rPr>
          <w:rStyle w:val="VerbatimChar"/>
        </w:rPr>
        <w:t xml:space="preserve">*  shall have been informed of the possibility of such damages. This   *</w:t>
      </w:r>
      <w:r>
        <w:br/>
      </w:r>
      <w:r>
        <w:rPr>
          <w:rStyle w:val="VerbatimChar"/>
        </w:rPr>
        <w:t xml:space="preserve">*  limitation of liability shall not apply to liability for death or   *</w:t>
      </w:r>
      <w:r>
        <w:br/>
      </w:r>
      <w:r>
        <w:rPr>
          <w:rStyle w:val="VerbatimChar"/>
        </w:rPr>
        <w:t xml:space="preserve">*  personal injury resulting from such party's negligence to the       *</w:t>
      </w:r>
      <w:r>
        <w:br/>
      </w:r>
      <w:r>
        <w:rPr>
          <w:rStyle w:val="VerbatimChar"/>
        </w:rPr>
        <w:t xml:space="preserve">*  extent applicable law prohibits such limitation. Some               *</w:t>
      </w:r>
      <w:r>
        <w:br/>
      </w:r>
      <w:r>
        <w:rPr>
          <w:rStyle w:val="VerbatimChar"/>
        </w:rPr>
        <w:t xml:space="preserve">*  jurisdictions do not allow the exclusion or limitation of           *</w:t>
      </w:r>
      <w:r>
        <w:br/>
      </w:r>
      <w:r>
        <w:rPr>
          <w:rStyle w:val="VerbatimChar"/>
        </w:rPr>
        <w:t xml:space="preserve">*  incidental or consequential damages, so this exclusion and          *</w:t>
      </w:r>
      <w:r>
        <w:br/>
      </w:r>
      <w:r>
        <w:rPr>
          <w:rStyle w:val="VerbatimChar"/>
        </w:rPr>
        <w:t xml:space="preserve">*  limitation may not apply to You.                                    *</w:t>
      </w:r>
      <w:r>
        <w:br/>
      </w:r>
      <w:r>
        <w:rPr>
          <w:rStyle w:val="VerbatimChar"/>
        </w:rPr>
        <w:t xml:space="preserve">*                                                                      *</w:t>
      </w:r>
      <w:r>
        <w:br/>
      </w:r>
      <w:r>
        <w:rPr>
          <w:rStyle w:val="VerbatimChar"/>
        </w:rPr>
        <w:t xml:space="preserve">************************************************************************</w:t>
      </w:r>
      <w:r>
        <w:br/>
      </w:r>
      <w:r>
        <w:br/>
      </w:r>
      <w:r>
        <w:rPr>
          <w:rStyle w:val="VerbatimChar"/>
        </w:rPr>
        <w:t xml:space="preserve">8. Litigation</w:t>
      </w:r>
      <w:r>
        <w:br/>
      </w:r>
      <w:r>
        <w:rPr>
          <w:rStyle w:val="VerbatimChar"/>
        </w:rPr>
        <w:t xml:space="preserve">-------------</w:t>
      </w:r>
      <w:r>
        <w:br/>
      </w:r>
      <w:r>
        <w:br/>
      </w:r>
      <w:r>
        <w:rPr>
          <w:rStyle w:val="VerbatimChar"/>
        </w:rPr>
        <w:t xml:space="preserve">Any litigation relating to this License may be brought only in the</w:t>
      </w:r>
      <w:r>
        <w:br/>
      </w:r>
      <w:r>
        <w:rPr>
          <w:rStyle w:val="VerbatimChar"/>
        </w:rPr>
        <w:t xml:space="preserve">courts of a jurisdiction where the defendant maintains its principal</w:t>
      </w:r>
      <w:r>
        <w:br/>
      </w:r>
      <w:r>
        <w:rPr>
          <w:rStyle w:val="VerbatimChar"/>
        </w:rPr>
        <w:t xml:space="preserve">place of business and such litigation shall be governed by laws of that</w:t>
      </w:r>
      <w:r>
        <w:br/>
      </w:r>
      <w:r>
        <w:rPr>
          <w:rStyle w:val="VerbatimChar"/>
        </w:rPr>
        <w:t xml:space="preserve">jurisdiction, without reference to its conflict-of-law provisions.</w:t>
      </w:r>
      <w:r>
        <w:br/>
      </w:r>
      <w:r>
        <w:rPr>
          <w:rStyle w:val="VerbatimChar"/>
        </w:rPr>
        <w:t xml:space="preserve">Nothing in this Section shall prevent a party's ability to bring</w:t>
      </w:r>
      <w:r>
        <w:br/>
      </w:r>
      <w:r>
        <w:rPr>
          <w:rStyle w:val="VerbatimChar"/>
        </w:rPr>
        <w:t xml:space="preserve">cross-claims or counter-claims.</w:t>
      </w:r>
      <w:r>
        <w:br/>
      </w:r>
      <w:r>
        <w:br/>
      </w:r>
      <w:r>
        <w:rPr>
          <w:rStyle w:val="VerbatimChar"/>
        </w:rPr>
        <w:t xml:space="preserve">9. Miscellaneous</w:t>
      </w:r>
      <w:r>
        <w:br/>
      </w:r>
      <w:r>
        <w:rPr>
          <w:rStyle w:val="VerbatimChar"/>
        </w:rPr>
        <w:t xml:space="preserve">----------------</w:t>
      </w:r>
      <w:r>
        <w:br/>
      </w:r>
      <w:r>
        <w:br/>
      </w:r>
      <w:r>
        <w:rPr>
          <w:rStyle w:val="VerbatimChar"/>
        </w:rPr>
        <w:t xml:space="preserve">This License represents the complete agreement concerning the subject</w:t>
      </w:r>
      <w:r>
        <w:br/>
      </w:r>
      <w:r>
        <w:rPr>
          <w:rStyle w:val="VerbatimChar"/>
        </w:rPr>
        <w:t xml:space="preserve">matter hereof. If any provision of this License is held to be</w:t>
      </w:r>
      <w:r>
        <w:br/>
      </w:r>
      <w:r>
        <w:rPr>
          <w:rStyle w:val="VerbatimChar"/>
        </w:rPr>
        <w:t xml:space="preserve">unenforceable, such provision shall be reformed only to the extent</w:t>
      </w:r>
      <w:r>
        <w:br/>
      </w:r>
      <w:r>
        <w:rPr>
          <w:rStyle w:val="VerbatimChar"/>
        </w:rPr>
        <w:t xml:space="preserve">necessary to make it enforceable. Any law or regulation which provides</w:t>
      </w:r>
      <w:r>
        <w:br/>
      </w:r>
      <w:r>
        <w:rPr>
          <w:rStyle w:val="VerbatimChar"/>
        </w:rPr>
        <w:t xml:space="preserve">that the language of a contract shall be construed against the drafter</w:t>
      </w:r>
      <w:r>
        <w:br/>
      </w:r>
      <w:r>
        <w:rPr>
          <w:rStyle w:val="VerbatimChar"/>
        </w:rPr>
        <w:t xml:space="preserve">shall not be used to construe this License against a Contributor.</w:t>
      </w:r>
      <w:r>
        <w:br/>
      </w:r>
      <w:r>
        <w:br/>
      </w:r>
      <w:r>
        <w:rPr>
          <w:rStyle w:val="VerbatimChar"/>
        </w:rPr>
        <w:t xml:space="preserve">10. Versions of the License</w:t>
      </w:r>
      <w:r>
        <w:br/>
      </w:r>
      <w:r>
        <w:rPr>
          <w:rStyle w:val="VerbatimChar"/>
        </w:rPr>
        <w:t xml:space="preserve">---------------------------</w:t>
      </w:r>
      <w:r>
        <w:br/>
      </w:r>
      <w:r>
        <w:br/>
      </w:r>
      <w:r>
        <w:rPr>
          <w:rStyle w:val="VerbatimChar"/>
        </w:rPr>
        <w:t xml:space="preserve">10.1. New Versions</w:t>
      </w:r>
      <w:r>
        <w:br/>
      </w:r>
      <w:r>
        <w:br/>
      </w:r>
      <w:r>
        <w:rPr>
          <w:rStyle w:val="VerbatimChar"/>
        </w:rPr>
        <w:t xml:space="preserve">Mozilla Foundation is the license steward. Except as provided in Section</w:t>
      </w:r>
      <w:r>
        <w:br/>
      </w:r>
      <w:r>
        <w:rPr>
          <w:rStyle w:val="VerbatimChar"/>
        </w:rPr>
        <w:t xml:space="preserve">10.3, no one other than the license steward has the right to modify or</w:t>
      </w:r>
      <w:r>
        <w:br/>
      </w:r>
      <w:r>
        <w:rPr>
          <w:rStyle w:val="VerbatimChar"/>
        </w:rPr>
        <w:t xml:space="preserve">publish new versions of this License. Each version will be given a</w:t>
      </w:r>
      <w:r>
        <w:br/>
      </w:r>
      <w:r>
        <w:rPr>
          <w:rStyle w:val="VerbatimChar"/>
        </w:rPr>
        <w:t xml:space="preserve">distinguishing version number.</w:t>
      </w:r>
      <w:r>
        <w:br/>
      </w:r>
      <w:r>
        <w:br/>
      </w:r>
      <w:r>
        <w:rPr>
          <w:rStyle w:val="VerbatimChar"/>
        </w:rPr>
        <w:t xml:space="preserve">10.2. Effect of New Versions</w:t>
      </w:r>
      <w:r>
        <w:br/>
      </w:r>
      <w:r>
        <w:br/>
      </w:r>
      <w:r>
        <w:rPr>
          <w:rStyle w:val="VerbatimChar"/>
        </w:rPr>
        <w:t xml:space="preserve">You may distribute the Covered Software under the terms of the version</w:t>
      </w:r>
      <w:r>
        <w:br/>
      </w:r>
      <w:r>
        <w:rPr>
          <w:rStyle w:val="VerbatimChar"/>
        </w:rPr>
        <w:t xml:space="preserve">of the License under which You originally received the Covered Software,</w:t>
      </w:r>
      <w:r>
        <w:br/>
      </w:r>
      <w:r>
        <w:rPr>
          <w:rStyle w:val="VerbatimChar"/>
        </w:rPr>
        <w:t xml:space="preserve">or under the terms of any subsequent version published by the license</w:t>
      </w:r>
      <w:r>
        <w:br/>
      </w:r>
      <w:r>
        <w:rPr>
          <w:rStyle w:val="VerbatimChar"/>
        </w:rPr>
        <w:t xml:space="preserve">steward.</w:t>
      </w:r>
      <w:r>
        <w:br/>
      </w:r>
      <w:r>
        <w:br/>
      </w:r>
      <w:r>
        <w:rPr>
          <w:rStyle w:val="VerbatimChar"/>
        </w:rPr>
        <w:t xml:space="preserve">10.3. Modified Versions</w:t>
      </w:r>
      <w:r>
        <w:br/>
      </w:r>
      <w:r>
        <w:br/>
      </w:r>
      <w:r>
        <w:rPr>
          <w:rStyle w:val="VerbatimChar"/>
        </w:rPr>
        <w:t xml:space="preserve">If you create software not governed by this License, and you want to</w:t>
      </w:r>
      <w:r>
        <w:br/>
      </w:r>
      <w:r>
        <w:rPr>
          <w:rStyle w:val="VerbatimChar"/>
        </w:rPr>
        <w:t xml:space="preserve">create a new license for such software, you may create and use a</w:t>
      </w:r>
      <w:r>
        <w:br/>
      </w:r>
      <w:r>
        <w:rPr>
          <w:rStyle w:val="VerbatimChar"/>
        </w:rPr>
        <w:t xml:space="preserve">modified version of this License if you rename the license and remove</w:t>
      </w:r>
      <w:r>
        <w:br/>
      </w:r>
      <w:r>
        <w:rPr>
          <w:rStyle w:val="VerbatimChar"/>
        </w:rPr>
        <w:t xml:space="preserve">any references to the name of the license steward (except to note that</w:t>
      </w:r>
      <w:r>
        <w:br/>
      </w:r>
      <w:r>
        <w:rPr>
          <w:rStyle w:val="VerbatimChar"/>
        </w:rPr>
        <w:t xml:space="preserve">such modified license differs from this License).</w:t>
      </w:r>
      <w:r>
        <w:br/>
      </w:r>
      <w:r>
        <w:br/>
      </w:r>
      <w:r>
        <w:rPr>
          <w:rStyle w:val="VerbatimChar"/>
        </w:rPr>
        <w:t xml:space="preserve">10.4. Distributing Source Code Form that is Incompatible With Secondary</w:t>
      </w:r>
      <w:r>
        <w:br/>
      </w:r>
      <w:r>
        <w:rPr>
          <w:rStyle w:val="VerbatimChar"/>
        </w:rPr>
        <w:t xml:space="preserve">Licenses</w:t>
      </w:r>
      <w:r>
        <w:br/>
      </w:r>
      <w:r>
        <w:br/>
      </w:r>
      <w:r>
        <w:rPr>
          <w:rStyle w:val="VerbatimChar"/>
        </w:rPr>
        <w:t xml:space="preserve">If You choose to distribute Source Code Form that is Incompatible With</w:t>
      </w:r>
      <w:r>
        <w:br/>
      </w:r>
      <w:r>
        <w:rPr>
          <w:rStyle w:val="VerbatimChar"/>
        </w:rPr>
        <w:t xml:space="preserve">Secondary Licenses under the terms of this version of the License, the</w:t>
      </w:r>
      <w:r>
        <w:br/>
      </w:r>
      <w:r>
        <w:rPr>
          <w:rStyle w:val="VerbatimChar"/>
        </w:rPr>
        <w:t xml:space="preserve">notice described in Exhibit B of this License must be attached.</w:t>
      </w:r>
      <w:r>
        <w:br/>
      </w:r>
      <w:r>
        <w:br/>
      </w:r>
      <w:r>
        <w:rPr>
          <w:rStyle w:val="VerbatimChar"/>
        </w:rPr>
        <w:t xml:space="preserve">Exhibit A - Source Code Form License Notice</w:t>
      </w:r>
      <w:r>
        <w:br/>
      </w:r>
      <w:r>
        <w:rPr>
          <w:rStyle w:val="VerbatimChar"/>
        </w:rPr>
        <w:t xml:space="preserve">-------------------------------------------</w:t>
      </w:r>
      <w:r>
        <w:br/>
      </w:r>
      <w:r>
        <w:br/>
      </w:r>
      <w:r>
        <w:rPr>
          <w:rStyle w:val="VerbatimChar"/>
        </w:rPr>
        <w:t xml:space="preserve">  This Source Code Form is subject to the terms of the Mozilla Public</w:t>
      </w:r>
      <w:r>
        <w:br/>
      </w:r>
      <w:r>
        <w:rPr>
          <w:rStyle w:val="VerbatimChar"/>
        </w:rPr>
        <w:t xml:space="preserve">  License, v. 2.0. If a copy of the MPL was not distributed with this</w:t>
      </w:r>
      <w:r>
        <w:br/>
      </w:r>
      <w:r>
        <w:rPr>
          <w:rStyle w:val="VerbatimChar"/>
        </w:rPr>
        <w:t xml:space="preserve">  file, You can obtain one at http://mozilla.org/MPL/2.0/.</w:t>
      </w:r>
      <w:r>
        <w:br/>
      </w:r>
      <w:r>
        <w:br/>
      </w:r>
      <w:r>
        <w:rPr>
          <w:rStyle w:val="VerbatimChar"/>
        </w:rPr>
        <w:t xml:space="preserve">If it is not possible or desirable to put the notice in a particular</w:t>
      </w:r>
      <w:r>
        <w:br/>
      </w:r>
      <w:r>
        <w:rPr>
          <w:rStyle w:val="VerbatimChar"/>
        </w:rPr>
        <w:t xml:space="preserve">file, then You may include the notice in a location (such as a LICENSE</w:t>
      </w:r>
      <w:r>
        <w:br/>
      </w:r>
      <w:r>
        <w:rPr>
          <w:rStyle w:val="VerbatimChar"/>
        </w:rPr>
        <w:t xml:space="preserve">file in a relevant directory) where a recipient would be likely to look</w:t>
      </w:r>
      <w:r>
        <w:br/>
      </w:r>
      <w:r>
        <w:rPr>
          <w:rStyle w:val="VerbatimChar"/>
        </w:rPr>
        <w:t xml:space="preserve">for such a notice.</w:t>
      </w:r>
      <w:r>
        <w:br/>
      </w:r>
      <w:r>
        <w:br/>
      </w:r>
      <w:r>
        <w:rPr>
          <w:rStyle w:val="VerbatimChar"/>
        </w:rPr>
        <w:t xml:space="preserve">You may add additional accurate notices of copyright ownership.</w:t>
      </w:r>
      <w:r>
        <w:br/>
      </w:r>
      <w:r>
        <w:br/>
      </w:r>
      <w:r>
        <w:rPr>
          <w:rStyle w:val="VerbatimChar"/>
        </w:rPr>
        <w:t xml:space="preserve">Exhibit B - "Incompatible With Secondary Licenses" Notice</w:t>
      </w:r>
      <w:r>
        <w:br/>
      </w:r>
      <w:r>
        <w:rPr>
          <w:rStyle w:val="VerbatimChar"/>
        </w:rPr>
        <w:t xml:space="preserve">---------------------------------------------------------</w:t>
      </w:r>
      <w:r>
        <w:br/>
      </w:r>
      <w:r>
        <w:br/>
      </w:r>
      <w:r>
        <w:rPr>
          <w:rStyle w:val="VerbatimChar"/>
        </w:rPr>
        <w:t xml:space="preserve">  This Source Code Form is "Incompatible With Secondary Licenses", as</w:t>
      </w:r>
      <w:r>
        <w:br/>
      </w:r>
      <w:r>
        <w:rPr>
          <w:rStyle w:val="VerbatimChar"/>
        </w:rPr>
        <w:t xml:space="preserve">  defined by the Mozilla Public License, v. 2.0.</w:t>
      </w:r>
    </w:p>
    <w:bookmarkEnd w:id="6790"/>
    <w:bookmarkStart w:id="6791" w:name="g3pix-trademarks-and-logo-usage"/>
    <w:p>
      <w:pPr>
        <w:pStyle w:val="Heading2"/>
      </w:pPr>
      <w:r>
        <w:t xml:space="preserve">2. G3pix Trademarks and Logo Usage</w:t>
      </w:r>
    </w:p>
    <w:p>
      <w:pPr>
        <w:pStyle w:val="FirstParagraph"/>
      </w:pPr>
      <w:r>
        <w:rPr>
          <w:b/>
          <w:bCs/>
        </w:rPr>
        <w:t xml:space="preserve">G3pix</w:t>
      </w:r>
      <w:r>
        <w:t xml:space="preserve"> </w:t>
      </w:r>
      <w:r>
        <w:t xml:space="preserve">is a registered trademark of G3pix Ltda (2026). All rights are reserved. The unauthorized use of the trademark alone is strictly prohibited and requires previous authorization.</w:t>
      </w:r>
    </w:p>
    <w:p>
      <w:pPr>
        <w:pStyle w:val="BodyText"/>
      </w:pPr>
      <w:r>
        <w:rPr>
          <w:b/>
          <w:bCs/>
        </w:rPr>
        <w:t xml:space="preserve">Logo Permitted Use:</w:t>
      </w:r>
      <w:r>
        <w:t xml:space="preserve"> </w:t>
      </w:r>
      <w:r>
        <w:t xml:space="preserve">The use of the complete AxonASP logo featuring the G3pix inscription is permitted for advertising, educational, and general informational materials. This permission is granted provided that the materials do not contain illegal or fraudulent content, and are not used for purposes foreign to the intended functionality and nature of the software.</w:t>
      </w:r>
    </w:p>
    <w:bookmarkEnd w:id="6791"/>
    <w:bookmarkStart w:id="6792" w:name="third-party-trademarks-and-affiliations"/>
    <w:p>
      <w:pPr>
        <w:pStyle w:val="Heading2"/>
      </w:pPr>
      <w:r>
        <w:t xml:space="preserve">3. Third-Party Trademarks and Affiliations</w:t>
      </w:r>
    </w:p>
    <w:p>
      <w:pPr>
        <w:pStyle w:val="FirstParagraph"/>
      </w:pPr>
      <w:r>
        <w:t xml:space="preserve">AxonASP is an independent software project developed by G3pix Ltda and is</w:t>
      </w:r>
      <w:r>
        <w:t xml:space="preserve"> </w:t>
      </w:r>
      <w:r>
        <w:rPr>
          <w:b/>
          <w:bCs/>
        </w:rPr>
        <w:t xml:space="preserve">not affiliated with, endorsed by, or sponsored by Microsoft Corporation</w:t>
      </w:r>
      <w:r>
        <w:t xml:space="preserve"> </w:t>
      </w:r>
      <w:r>
        <w:t xml:space="preserve">in any way.</w:t>
      </w:r>
    </w:p>
    <w:p>
      <w:pPr>
        <w:pStyle w:val="BodyText"/>
      </w:pPr>
      <w:r>
        <w:t xml:space="preserve">The names</w:t>
      </w:r>
      <w:r>
        <w:t xml:space="preserve"> </w:t>
      </w:r>
      <w:r>
        <w:t xml:space="preserve">“Microsoft,”</w:t>
      </w:r>
      <w:r>
        <w:t xml:space="preserve"> </w:t>
      </w:r>
      <w:r>
        <w:t xml:space="preserve">“Active Server Pages,”</w:t>
      </w:r>
      <w:r>
        <w:t xml:space="preserve"> </w:t>
      </w:r>
      <w:r>
        <w:t xml:space="preserve">“ASP,”</w:t>
      </w:r>
      <w:r>
        <w:t xml:space="preserve"> </w:t>
      </w:r>
      <w:r>
        <w:t xml:space="preserve">“VBScript,”</w:t>
      </w:r>
      <w:r>
        <w:t xml:space="preserve"> </w:t>
      </w:r>
      <w:r>
        <w:t xml:space="preserve">“Windows,”</w:t>
      </w:r>
      <w:r>
        <w:t xml:space="preserve"> </w:t>
      </w:r>
      <w:r>
        <w:t xml:space="preserve">“Office,”</w:t>
      </w:r>
      <w:r>
        <w:t xml:space="preserve"> </w:t>
      </w:r>
      <w:r>
        <w:t xml:space="preserve">“Access,”</w:t>
      </w:r>
      <w:r>
        <w:t xml:space="preserve"> </w:t>
      </w:r>
      <w:r>
        <w:t xml:space="preserve">“ActiveX,”</w:t>
      </w:r>
      <w:r>
        <w:t xml:space="preserve"> </w:t>
      </w:r>
      <w:r>
        <w:t xml:space="preserve">“JScript,”</w:t>
      </w:r>
      <w:r>
        <w:t xml:space="preserve"> </w:t>
      </w:r>
      <w:r>
        <w:t xml:space="preserve">as well as any related names, marks, emblems, and images relative to ASP, are registered trademarks of Microsoft Corporation. The use of these trademarks within this project is purely for descriptive, identification, and reference purposes to indicate technical compatibility, and does not imply any association with the trademark holder.</w:t>
      </w:r>
    </w:p>
    <w:p>
      <w:pPr>
        <w:pStyle w:val="BodyText"/>
      </w:pPr>
      <w:r>
        <w:t xml:space="preserve">The names and aliases of other third-party libraries, software, products, and services mentioned in this project are the property of their respective owners. The use of these names is solely for descriptive purposes/compatibility and does not imply any endorsement or affiliation with the trademark holders or use of their original source code.</w:t>
      </w:r>
    </w:p>
    <w:bookmarkEnd w:id="6792"/>
    <w:bookmarkStart w:id="6793" w:name="disclaimer-of-warranty"/>
    <w:p>
      <w:pPr>
        <w:pStyle w:val="Heading2"/>
      </w:pPr>
      <w:r>
        <w:t xml:space="preserve">4. Disclaimer of Warranty</w:t>
      </w:r>
    </w:p>
    <w:p>
      <w:pPr>
        <w:pStyle w:val="FirstParagraph"/>
      </w:pPr>
      <w:r>
        <w:t xml:space="preserve">Covered Software is provided under this License on an</w:t>
      </w:r>
      <w:r>
        <w:t xml:space="preserve"> </w:t>
      </w:r>
      <w:r>
        <w:t xml:space="preserve">“as is”</w:t>
      </w:r>
      <w:r>
        <w:t xml:space="preserve"> </w:t>
      </w:r>
      <w:r>
        <w:t xml:space="preserve">basis, without warranty of any kind, either expressed, implied, or statutory, including, without limitation, warranties that the Covered Software is free of defects, merchantable, fit for a particular purpose or non-infringing. The entire risk as to the quality and performance of the Covered Software is with You. Should any Covered Software prove defective in any respect, You (not any Contributor) assume the cost of any necessary servicing, repair, or correction. This disclaimer of warranty constitutes an essential part of this License. No use of any Covered Software is authorized under this License except under this disclaimer.</w:t>
      </w:r>
    </w:p>
    <w:bookmarkEnd w:id="6793"/>
    <w:bookmarkStart w:id="6794" w:name="vbscript-package-license"/>
    <w:p>
      <w:pPr>
        <w:pStyle w:val="Heading2"/>
      </w:pPr>
      <w:r>
        <w:t xml:space="preserve">5. VBScript Package License</w:t>
      </w:r>
    </w:p>
    <w:p>
      <w:pPr>
        <w:pStyle w:val="FirstParagraph"/>
      </w:pPr>
      <w:r>
        <w:t xml:space="preserve">The following license applies to the vbscript package:</w:t>
      </w:r>
    </w:p>
    <w:p>
      <w:pPr>
        <w:pStyle w:val="SourceCode"/>
      </w:pPr>
      <w:r>
        <w:rPr>
          <w:rStyle w:val="VerbatimChar"/>
        </w:rPr>
        <w:t xml:space="preserve">THIRD PARTY ATTRIBUTION / ORIGINAL SOURCE</w:t>
      </w:r>
      <w:r>
        <w:br/>
      </w:r>
      <w:r>
        <w:br/>
      </w:r>
      <w:r>
        <w:rPr>
          <w:rStyle w:val="VerbatimChar"/>
        </w:rPr>
        <w:t xml:space="preserve"> This code was adapted from https://github.com/kmvi/vbscript-parser/</w:t>
      </w:r>
      <w:r>
        <w:br/>
      </w:r>
      <w:r>
        <w:rPr>
          <w:rStyle w:val="VerbatimChar"/>
        </w:rPr>
        <w:t xml:space="preserve"> ensuring compatibility with VBScript language specifications.</w:t>
      </w:r>
      <w:r>
        <w:br/>
      </w:r>
      <w:r>
        <w:br/>
      </w:r>
      <w:r>
        <w:rPr>
          <w:rStyle w:val="VerbatimChar"/>
        </w:rPr>
        <w:t xml:space="preserve"> Original Copyright (c) kmvi (and/or original authors).</w:t>
      </w:r>
      <w:r>
        <w:br/>
      </w:r>
      <w:r>
        <w:rPr>
          <w:rStyle w:val="VerbatimChar"/>
        </w:rPr>
        <w:t xml:space="preserve"> Licensed under the BSD 3-Clause License.</w:t>
      </w:r>
      <w:r>
        <w:br/>
      </w:r>
      <w:r>
        <w:br/>
      </w:r>
      <w:r>
        <w:rPr>
          <w:rStyle w:val="VerbatimChar"/>
        </w:rPr>
        <w:t xml:space="preserve"> Redistribution and use in source and binary forms, with or without</w:t>
      </w:r>
      <w:r>
        <w:br/>
      </w:r>
      <w:r>
        <w:rPr>
          <w:rStyle w:val="VerbatimChar"/>
        </w:rPr>
        <w:t xml:space="preserve"> modification, are permitted provided that the following conditions are met:</w:t>
      </w:r>
      <w:r>
        <w:br/>
      </w:r>
      <w:r>
        <w:br/>
      </w:r>
      <w:r>
        <w:rPr>
          <w:rStyle w:val="VerbatimChar"/>
        </w:rPr>
        <w:t xml:space="preserve"> 1. Redistributions of source code must retain the above copyright notice,</w:t>
      </w:r>
      <w:r>
        <w:br/>
      </w:r>
      <w:r>
        <w:rPr>
          <w:rStyle w:val="VerbatimChar"/>
        </w:rPr>
        <w:t xml:space="preserve"> this list of conditions and the following disclaimer.</w:t>
      </w:r>
      <w:r>
        <w:br/>
      </w:r>
      <w:r>
        <w:br/>
      </w:r>
      <w:r>
        <w:rPr>
          <w:rStyle w:val="VerbatimChar"/>
        </w:rPr>
        <w:t xml:space="preserve"> 2. Redistributions in binary form must reproduce the above copyright notice,</w:t>
      </w:r>
      <w:r>
        <w:br/>
      </w:r>
      <w:r>
        <w:rPr>
          <w:rStyle w:val="VerbatimChar"/>
        </w:rPr>
        <w:t xml:space="preserve"> this list of conditions and the following disclaimer in the documentation</w:t>
      </w:r>
      <w:r>
        <w:br/>
      </w:r>
      <w:r>
        <w:rPr>
          <w:rStyle w:val="VerbatimChar"/>
        </w:rPr>
        <w:t xml:space="preserve"> and/or other materials provided with the distribution.</w:t>
      </w:r>
      <w:r>
        <w:br/>
      </w:r>
      <w:r>
        <w:br/>
      </w:r>
      <w:r>
        <w:rPr>
          <w:rStyle w:val="VerbatimChar"/>
        </w:rPr>
        <w:t xml:space="preserve"> 3. Neither the name of the copyright holder nor the names of its</w:t>
      </w:r>
      <w:r>
        <w:br/>
      </w:r>
      <w:r>
        <w:rPr>
          <w:rStyle w:val="VerbatimChar"/>
        </w:rPr>
        <w:t xml:space="preserve"> contributors may be used to endorse or promote products derived from</w:t>
      </w:r>
      <w:r>
        <w:br/>
      </w:r>
      <w:r>
        <w:rPr>
          <w:rStyle w:val="VerbatimChar"/>
        </w:rPr>
        <w:t xml:space="preserve"> this software without specific prior written permission.</w:t>
      </w:r>
      <w:r>
        <w:br/>
      </w:r>
      <w:r>
        <w:br/>
      </w:r>
      <w:r>
        <w:rPr>
          <w:rStyle w:val="VerbatimChar"/>
        </w:rPr>
        <w:t xml:space="preserve"> THIS SOFTWARE IS PROVIDED BY THE COPYRIGHT HOLDERS AND CONTRIBUTORS "AS IS"</w:t>
      </w:r>
      <w:r>
        <w:br/>
      </w:r>
      <w:r>
        <w:rPr>
          <w:rStyle w:val="VerbatimChar"/>
        </w:rPr>
        <w:t xml:space="preserve"> AND ANY EXPRESS OR IMPLIED WARRANTIES, INCLUDING, BUT NOT LIMITED TO, THE</w:t>
      </w:r>
      <w:r>
        <w:br/>
      </w:r>
      <w:r>
        <w:rPr>
          <w:rStyle w:val="VerbatimChar"/>
        </w:rPr>
        <w:t xml:space="preserve"> IMPLIED WARRANTIES OF MERCHANTABILITY AND FITNESS FOR A PARTICULAR PURPOSE</w:t>
      </w:r>
      <w:r>
        <w:br/>
      </w:r>
      <w:r>
        <w:rPr>
          <w:rStyle w:val="VerbatimChar"/>
        </w:rPr>
        <w:t xml:space="preserve"> ARE DISCLAIMED. IN NO EVENT SHALL THE COPYRIGHT HOLDER OR CONTRIBUTORS BE</w:t>
      </w:r>
      <w:r>
        <w:br/>
      </w:r>
      <w:r>
        <w:rPr>
          <w:rStyle w:val="VerbatimChar"/>
        </w:rPr>
        <w:t xml:space="preserve"> LIABLE FOR ANY DIRECT, INDIRECT, INCIDENTAL, SPECIAL, EXEMPLARY, OR</w:t>
      </w:r>
      <w:r>
        <w:br/>
      </w:r>
      <w:r>
        <w:rPr>
          <w:rStyle w:val="VerbatimChar"/>
        </w:rPr>
        <w:t xml:space="preserve"> CONSEQUENTIAL DAMAGES (INCLUDING, BUT NOT LIMITED TO, PROCUREMENT OF</w:t>
      </w:r>
      <w:r>
        <w:br/>
      </w:r>
      <w:r>
        <w:rPr>
          <w:rStyle w:val="VerbatimChar"/>
        </w:rPr>
        <w:t xml:space="preserve"> SUBSTITUTE GOODS OR SERVICES; LOSS OF USE, DATA, OR PROFITS; OR BUSINESS</w:t>
      </w:r>
      <w:r>
        <w:br/>
      </w:r>
      <w:r>
        <w:rPr>
          <w:rStyle w:val="VerbatimChar"/>
        </w:rPr>
        <w:t xml:space="preserve"> INTERRUPTION) HOWEVER CAUSED AND ON ANY THEORY OF LIABILITY, WHETHER IN</w:t>
      </w:r>
      <w:r>
        <w:br/>
      </w:r>
      <w:r>
        <w:rPr>
          <w:rStyle w:val="VerbatimChar"/>
        </w:rPr>
        <w:t xml:space="preserve"> CONTRACT, STRICT LIABILITY, OR TORT (INCLUDING NEGLIGENCE OR OTHERWISE)</w:t>
      </w:r>
      <w:r>
        <w:br/>
      </w:r>
      <w:r>
        <w:rPr>
          <w:rStyle w:val="VerbatimChar"/>
        </w:rPr>
        <w:t xml:space="preserve"> ARISING IN ANY WAY OUT OF THE USE OF THIS SOFTWARE, EVEN IF ADVISED OF THE</w:t>
      </w:r>
      <w:r>
        <w:br/>
      </w:r>
      <w:r>
        <w:rPr>
          <w:rStyle w:val="VerbatimChar"/>
        </w:rPr>
        <w:t xml:space="preserve"> POSSIBILITY OF SUCH DAMAGE.</w:t>
      </w:r>
    </w:p>
    <w:bookmarkEnd w:id="6794"/>
    <w:bookmarkStart w:id="6795" w:name="jscript-package-license"/>
    <w:p>
      <w:pPr>
        <w:pStyle w:val="Heading2"/>
      </w:pPr>
      <w:r>
        <w:t xml:space="preserve">6. JScript Package License</w:t>
      </w:r>
    </w:p>
    <w:p>
      <w:pPr>
        <w:pStyle w:val="FirstParagraph"/>
      </w:pPr>
      <w:r>
        <w:t xml:space="preserve">The following license applies to the jscript package:</w:t>
      </w:r>
    </w:p>
    <w:p>
      <w:pPr>
        <w:pStyle w:val="SourceCode"/>
      </w:pPr>
      <w:r>
        <w:rPr>
          <w:rStyle w:val="VerbatimChar"/>
        </w:rPr>
        <w:t xml:space="preserve">goja</w:t>
      </w:r>
      <w:r>
        <w:br/>
      </w:r>
      <w:r>
        <w:rPr>
          <w:rStyle w:val="VerbatimChar"/>
        </w:rPr>
        <w:t xml:space="preserve">ECMAScript 5.1(+) implementation in Go.</w:t>
      </w:r>
      <w:r>
        <w:br/>
      </w:r>
      <w:r>
        <w:rPr>
          <w:rStyle w:val="VerbatimChar"/>
        </w:rPr>
        <w:t xml:space="preserve">Goja is an implementation of ECMAScript 5.1 in pure Go with emphasis on standard compliance and performance.</w:t>
      </w:r>
      <w:r>
        <w:br/>
      </w:r>
      <w:r>
        <w:br/>
      </w:r>
      <w:r>
        <w:rPr>
          <w:rStyle w:val="VerbatimChar"/>
        </w:rPr>
        <w:t xml:space="preserve">dop251/goja is licensed under the</w:t>
      </w:r>
      <w:r>
        <w:br/>
      </w:r>
      <w:r>
        <w:rPr>
          <w:rStyle w:val="VerbatimChar"/>
        </w:rPr>
        <w:t xml:space="preserve">MIT License</w:t>
      </w:r>
      <w:r>
        <w:br/>
      </w:r>
      <w:r>
        <w:br/>
      </w:r>
      <w:r>
        <w:rPr>
          <w:rStyle w:val="VerbatimChar"/>
        </w:rPr>
        <w:t xml:space="preserve">Copyright (c) 2016 Dmitry Panov</w:t>
      </w:r>
      <w:r>
        <w:br/>
      </w:r>
      <w:r>
        <w:rPr>
          <w:rStyle w:val="VerbatimChar"/>
        </w:rPr>
        <w:t xml:space="preserve">Copyright (c) 2012 Robert Krimen</w:t>
      </w:r>
      <w:r>
        <w:br/>
      </w:r>
      <w:r>
        <w:br/>
      </w:r>
      <w:r>
        <w:rPr>
          <w:rStyle w:val="VerbatimChar"/>
        </w:rPr>
        <w:t xml:space="preserve">Permission is hereby granted, free of charge, to any person obtaining a copy of this software and associated</w:t>
      </w:r>
      <w:r>
        <w:br/>
      </w:r>
      <w:r>
        <w:rPr>
          <w:rStyle w:val="VerbatimChar"/>
        </w:rPr>
        <w:t xml:space="preserve">documentation files (the "Software"), to deal in the Software without restriction, including without limitation</w:t>
      </w:r>
      <w:r>
        <w:br/>
      </w:r>
      <w:r>
        <w:rPr>
          <w:rStyle w:val="VerbatimChar"/>
        </w:rPr>
        <w:t xml:space="preserve">the rights to use, copy, modify, merge, publish, distribute, sublicense, and/or sell copies of the Software, and to</w:t>
      </w:r>
      <w:r>
        <w:br/>
      </w:r>
      <w:r>
        <w:rPr>
          <w:rStyle w:val="VerbatimChar"/>
        </w:rPr>
        <w:t xml:space="preserve">permit persons to whom the Software is furnished to do so, subject to the following conditions:</w:t>
      </w:r>
      <w:r>
        <w:br/>
      </w:r>
      <w:r>
        <w:br/>
      </w:r>
      <w:r>
        <w:rPr>
          <w:rStyle w:val="VerbatimChar"/>
        </w:rPr>
        <w:t xml:space="preserve">The above copyright notice and this permission notice shall be included in all copies or substantial portions of the Software.</w:t>
      </w:r>
      <w:r>
        <w:br/>
      </w:r>
      <w:r>
        <w:br/>
      </w:r>
      <w:r>
        <w:rPr>
          <w:rStyle w:val="VerbatimChar"/>
        </w:rPr>
        <w:t xml:space="preserve">THE SOFTWARE IS PROVIDED "AS IS", WITHOUT WARRANTY OF ANY KIND, EXPRESS OR IMPLIED, INCLUDING BUT NOT LIMITED TO THE</w:t>
      </w:r>
      <w:r>
        <w:br/>
      </w:r>
      <w:r>
        <w:rPr>
          <w:rStyle w:val="VerbatimChar"/>
        </w:rPr>
        <w:t xml:space="preserve">WARRANTIES OF MERCHANTABILITY, FITNESS FOR A PARTICULAR PURPOSE AND NONINFRINGEMENT. IN NO EVENT SHALL THE AUTHORS OR</w:t>
      </w:r>
      <w:r>
        <w:br/>
      </w:r>
      <w:r>
        <w:rPr>
          <w:rStyle w:val="VerbatimChar"/>
        </w:rPr>
        <w:t xml:space="preserve">COPYRIGHT HOLDERS BE LIABLE FOR ANY CLAIM, DAMAGES OR OTHER LIABILITY, WHETHER IN AN ACTION OF CONTRACT, TORT OR</w:t>
      </w:r>
      <w:r>
        <w:br/>
      </w:r>
      <w:r>
        <w:rPr>
          <w:rStyle w:val="VerbatimChar"/>
        </w:rPr>
        <w:t xml:space="preserve">OTHERWISE, ARISING FROM, OUT OF OR IN CONNECTION WITH THE SOFTWARE OR THE USE OR OTHER DEALINGS IN THE SOFTWARE.</w:t>
      </w:r>
    </w:p>
    <w:bookmarkEnd w:id="6795"/>
    <w:bookmarkStart w:id="6796" w:name="axonasp-dependencies-and-licenses"/>
    <w:p>
      <w:pPr>
        <w:pStyle w:val="Heading2"/>
      </w:pPr>
      <w:r>
        <w:t xml:space="preserve">7. AxonASP Dependencies and Licenses</w:t>
      </w:r>
    </w:p>
    <w:p>
      <w:pPr>
        <w:pStyle w:val="FirstParagraph"/>
      </w:pPr>
      <w:r>
        <w:t xml:space="preserve">These third-party libraries are used in the AxonASP project, along with their detected licenses:</w:t>
      </w:r>
    </w:p>
    <w:p>
      <w:pPr>
        <w:pStyle w:val="SourceCode"/>
      </w:pPr>
      <w:r>
        <w:rPr>
          <w:rStyle w:val="VerbatimChar"/>
        </w:rPr>
        <w:t xml:space="preserve">codeberg.org/go-pdf/fpdf (v0.11.1) - MIT</w:t>
      </w:r>
      <w:r>
        <w:br/>
      </w:r>
      <w:r>
        <w:rPr>
          <w:rStyle w:val="VerbatimChar"/>
        </w:rPr>
        <w:t xml:space="preserve">filippo.io/edwards25519 (v1.2.0) - BSD-3-Clause</w:t>
      </w:r>
      <w:r>
        <w:br/>
      </w:r>
      <w:r>
        <w:rPr>
          <w:rStyle w:val="VerbatimChar"/>
        </w:rPr>
        <w:t xml:space="preserve">github.com/bahlo/generic-list-go (v0.2.0) - BSD-3-Clause</w:t>
      </w:r>
      <w:r>
        <w:br/>
      </w:r>
      <w:r>
        <w:rPr>
          <w:rStyle w:val="VerbatimChar"/>
        </w:rPr>
        <w:t xml:space="preserve">github.com/buger/jsonparser (v1.1.2) - MIT</w:t>
      </w:r>
      <w:r>
        <w:br/>
      </w:r>
      <w:r>
        <w:rPr>
          <w:rStyle w:val="VerbatimChar"/>
        </w:rPr>
        <w:t xml:space="preserve">github.com/cespare/xxhash/v2 (v2.3.0) - MIT</w:t>
      </w:r>
      <w:r>
        <w:br/>
      </w:r>
      <w:r>
        <w:rPr>
          <w:rStyle w:val="VerbatimChar"/>
        </w:rPr>
        <w:t xml:space="preserve">github.com/denisenkom/go-mssqldb (v0.12.3) - BSD-3-Clause</w:t>
      </w:r>
      <w:r>
        <w:br/>
      </w:r>
      <w:r>
        <w:rPr>
          <w:rStyle w:val="VerbatimChar"/>
        </w:rPr>
        <w:t xml:space="preserve">github.com/dustin/go-humanize (v1.0.1) - MIT</w:t>
      </w:r>
      <w:r>
        <w:br/>
      </w:r>
      <w:r>
        <w:rPr>
          <w:rStyle w:val="VerbatimChar"/>
        </w:rPr>
        <w:t xml:space="preserve">github.com/fogleman/gg (v1.3.0) - MIT</w:t>
      </w:r>
      <w:r>
        <w:br/>
      </w:r>
      <w:r>
        <w:rPr>
          <w:rStyle w:val="VerbatimChar"/>
        </w:rPr>
        <w:t xml:space="preserve">github.com/fsnotify/fsnotify (v1.9.0) - BSD-3-Clause</w:t>
      </w:r>
      <w:r>
        <w:br/>
      </w:r>
      <w:r>
        <w:rPr>
          <w:rStyle w:val="VerbatimChar"/>
        </w:rPr>
        <w:t xml:space="preserve">github.com/fxamacker/cbor/v2 (v2.9.1) - MIT</w:t>
      </w:r>
      <w:r>
        <w:br/>
      </w:r>
      <w:r>
        <w:rPr>
          <w:rStyle w:val="VerbatimChar"/>
        </w:rPr>
        <w:t xml:space="preserve">github.com/gdamore/encoding (v1.0.1) - Apache-2.0</w:t>
      </w:r>
      <w:r>
        <w:br/>
      </w:r>
      <w:r>
        <w:rPr>
          <w:rStyle w:val="VerbatimChar"/>
        </w:rPr>
        <w:t xml:space="preserve">github.com/gdamore/tcell/v2 (v2.13.8) - Apache-2.0</w:t>
      </w:r>
      <w:r>
        <w:br/>
      </w:r>
      <w:r>
        <w:rPr>
          <w:rStyle w:val="VerbatimChar"/>
        </w:rPr>
        <w:t xml:space="preserve">github.com/go-ole/go-ole (v1.3.0) - MIT</w:t>
      </w:r>
      <w:r>
        <w:br/>
      </w:r>
      <w:r>
        <w:rPr>
          <w:rStyle w:val="VerbatimChar"/>
        </w:rPr>
        <w:t xml:space="preserve">github.com/go-sql-driver/mysql (v1.9.3) - MPL-2.0</w:t>
      </w:r>
      <w:r>
        <w:br/>
      </w:r>
      <w:r>
        <w:rPr>
          <w:rStyle w:val="VerbatimChar"/>
        </w:rPr>
        <w:t xml:space="preserve">github.com/go-viper/mapstructure/v2 (v2.5.0) - MIT</w:t>
      </w:r>
      <w:r>
        <w:br/>
      </w:r>
      <w:r>
        <w:rPr>
          <w:rStyle w:val="VerbatimChar"/>
        </w:rPr>
        <w:t xml:space="preserve">github.com/golang-sql/civil (v0.0.0-20220223132316-b832511892a9) - Apache-2.0</w:t>
      </w:r>
      <w:r>
        <w:br/>
      </w:r>
      <w:r>
        <w:rPr>
          <w:rStyle w:val="VerbatimChar"/>
        </w:rPr>
        <w:t xml:space="preserve">github.com/golang-sql/sqlexp (v0.1.0) - BSD-3-Clause AND LicenseRef-scancode-google-patent-license-golang</w:t>
      </w:r>
      <w:r>
        <w:br/>
      </w:r>
      <w:r>
        <w:rPr>
          <w:rStyle w:val="VerbatimChar"/>
        </w:rPr>
        <w:t xml:space="preserve">github.com/golang/freetype (v0.0.0-20170609003504-e2365dfdc4a0) - FTL OR GPL-2.0-or-later</w:t>
      </w:r>
      <w:r>
        <w:br/>
      </w:r>
      <w:r>
        <w:rPr>
          <w:rStyle w:val="VerbatimChar"/>
        </w:rPr>
        <w:t xml:space="preserve">github.com/goodsign/monday (v1.0.2) - BSD-2-Clause</w:t>
      </w:r>
      <w:r>
        <w:br/>
      </w:r>
      <w:r>
        <w:rPr>
          <w:rStyle w:val="VerbatimChar"/>
        </w:rPr>
        <w:t xml:space="preserve">github.com/google/jsonschema-go (v0.4.2) - MIT</w:t>
      </w:r>
      <w:r>
        <w:br/>
      </w:r>
      <w:r>
        <w:rPr>
          <w:rStyle w:val="VerbatimChar"/>
        </w:rPr>
        <w:t xml:space="preserve">github.com/google/uuid (v1.6.0) - BSD-3-Clause</w:t>
      </w:r>
      <w:r>
        <w:br/>
      </w:r>
      <w:r>
        <w:rPr>
          <w:rStyle w:val="VerbatimChar"/>
        </w:rPr>
        <w:t xml:space="preserve">github.com/hashicorp/golang-lru/v2 (v2.0.7) - MPL-2.0</w:t>
      </w:r>
      <w:r>
        <w:br/>
      </w:r>
      <w:r>
        <w:rPr>
          <w:rStyle w:val="VerbatimChar"/>
        </w:rPr>
        <w:t xml:space="preserve">github.com/invopop/jsonschema (v0.13.0) - MIT</w:t>
      </w:r>
      <w:r>
        <w:br/>
      </w:r>
      <w:r>
        <w:rPr>
          <w:rStyle w:val="VerbatimChar"/>
        </w:rPr>
        <w:t xml:space="preserve">github.com/joho/godotenv (v1.5.1) - MIT</w:t>
      </w:r>
      <w:r>
        <w:br/>
      </w:r>
      <w:r>
        <w:rPr>
          <w:rStyle w:val="VerbatimChar"/>
        </w:rPr>
        <w:t xml:space="preserve">github.com/kardianos/service (v1.2.4) - Zlib</w:t>
      </w:r>
      <w:r>
        <w:br/>
      </w:r>
      <w:r>
        <w:rPr>
          <w:rStyle w:val="VerbatimChar"/>
        </w:rPr>
        <w:t xml:space="preserve">github.com/klauspost/compress (v1.18.5) - Apache-2.0 AND BSD-3-Clause AND MIT</w:t>
      </w:r>
      <w:r>
        <w:br/>
      </w:r>
      <w:r>
        <w:rPr>
          <w:rStyle w:val="VerbatimChar"/>
        </w:rPr>
        <w:t xml:space="preserve">github.com/klauspost/cpuid/v2 (v2.3.0) - MIT</w:t>
      </w:r>
      <w:r>
        <w:br/>
      </w:r>
      <w:r>
        <w:rPr>
          <w:rStyle w:val="VerbatimChar"/>
        </w:rPr>
        <w:t xml:space="preserve">github.com/klauspost/reedsolomon (v1.13.3) - MIT</w:t>
      </w:r>
      <w:r>
        <w:br/>
      </w:r>
      <w:r>
        <w:rPr>
          <w:rStyle w:val="VerbatimChar"/>
        </w:rPr>
        <w:t xml:space="preserve">github.com/kylelemons/godebug (v1.1.0) - Apache-2.0</w:t>
      </w:r>
      <w:r>
        <w:br/>
      </w:r>
      <w:r>
        <w:rPr>
          <w:rStyle w:val="VerbatimChar"/>
        </w:rPr>
        <w:t xml:space="preserve">github.com/lib/pq (v1.12.3) - MIT</w:t>
      </w:r>
      <w:r>
        <w:br/>
      </w:r>
      <w:r>
        <w:rPr>
          <w:rStyle w:val="VerbatimChar"/>
        </w:rPr>
        <w:t xml:space="preserve">github.com/lucasb-eyer/go-colorful (v1.4.0) - MIT</w:t>
      </w:r>
      <w:r>
        <w:br/>
      </w:r>
      <w:r>
        <w:rPr>
          <w:rStyle w:val="VerbatimChar"/>
        </w:rPr>
        <w:t xml:space="preserve">github.com/mailru/easyjson (v0.9.2) - MIT</w:t>
      </w:r>
      <w:r>
        <w:br/>
      </w:r>
      <w:r>
        <w:rPr>
          <w:rStyle w:val="VerbatimChar"/>
        </w:rPr>
        <w:t xml:space="preserve">github.com/mark3labs/mcp-go (v0.47.1) - MIT</w:t>
      </w:r>
      <w:r>
        <w:br/>
      </w:r>
      <w:r>
        <w:rPr>
          <w:rStyle w:val="VerbatimChar"/>
        </w:rPr>
        <w:t xml:space="preserve">github.com/ncruces/go-strftime (v1.0.0) - MIT</w:t>
      </w:r>
      <w:r>
        <w:br/>
      </w:r>
      <w:r>
        <w:rPr>
          <w:rStyle w:val="VerbatimChar"/>
        </w:rPr>
        <w:t xml:space="preserve">github.com/pelletier/go-toml/ (v2.3.0) - MIT</w:t>
      </w:r>
      <w:r>
        <w:br/>
      </w:r>
      <w:r>
        <w:rPr>
          <w:rStyle w:val="VerbatimChar"/>
        </w:rPr>
        <w:t xml:space="preserve">github.com/remyoudompheng/bigfft (v0.0.0-20230129092748-24d4a6f8daec) - BSD-3-Clause</w:t>
      </w:r>
      <w:r>
        <w:br/>
      </w:r>
      <w:r>
        <w:rPr>
          <w:rStyle w:val="VerbatimChar"/>
        </w:rPr>
        <w:t xml:space="preserve">github.com/ricochet2200/go-disk-usage/du (v0.0.0-20210707232629-ac9918953285) - The Unlicense</w:t>
      </w:r>
      <w:r>
        <w:br/>
      </w:r>
      <w:r>
        <w:rPr>
          <w:rStyle w:val="VerbatimChar"/>
        </w:rPr>
        <w:t xml:space="preserve">github.com/rivo/tview (v0.42.0) - MIT</w:t>
      </w:r>
      <w:r>
        <w:br/>
      </w:r>
      <w:r>
        <w:rPr>
          <w:rStyle w:val="VerbatimChar"/>
        </w:rPr>
        <w:t xml:space="preserve">github.com/rivo/uniseg (v0.4.7) - MIT</w:t>
      </w:r>
      <w:r>
        <w:br/>
      </w:r>
      <w:r>
        <w:rPr>
          <w:rStyle w:val="VerbatimChar"/>
        </w:rPr>
        <w:t xml:space="preserve">github.com/sagikazarmark/locafero (v0.12.0) - MIT</w:t>
      </w:r>
      <w:r>
        <w:br/>
      </w:r>
      <w:r>
        <w:rPr>
          <w:rStyle w:val="VerbatimChar"/>
        </w:rPr>
        <w:t xml:space="preserve">github.com/sahilm/fuzzy (v0.1.1) - MIT</w:t>
      </w:r>
      <w:r>
        <w:br/>
      </w:r>
      <w:r>
        <w:rPr>
          <w:rStyle w:val="VerbatimChar"/>
        </w:rPr>
        <w:t xml:space="preserve">github.com/sijms/go-ora/v2 (v2.9.0) - MIT</w:t>
      </w:r>
      <w:r>
        <w:br/>
      </w:r>
      <w:r>
        <w:rPr>
          <w:rStyle w:val="VerbatimChar"/>
        </w:rPr>
        <w:t xml:space="preserve">github.com/spf13/afero (v1.15.0) - Apache-2.0</w:t>
      </w:r>
      <w:r>
        <w:br/>
      </w:r>
      <w:r>
        <w:rPr>
          <w:rStyle w:val="VerbatimChar"/>
        </w:rPr>
        <w:t xml:space="preserve">github.com/spf13/cast (v1.10.0) - MIT</w:t>
      </w:r>
      <w:r>
        <w:br/>
      </w:r>
      <w:r>
        <w:rPr>
          <w:rStyle w:val="VerbatimChar"/>
        </w:rPr>
        <w:t xml:space="preserve">github.com/spf13/pflag (v1.0.10) - BSD-3-Clause</w:t>
      </w:r>
      <w:r>
        <w:br/>
      </w:r>
      <w:r>
        <w:rPr>
          <w:rStyle w:val="VerbatimChar"/>
        </w:rPr>
        <w:t xml:space="preserve">github.com/spf13/viper (v1.21.0) - MIT</w:t>
      </w:r>
      <w:r>
        <w:br/>
      </w:r>
      <w:r>
        <w:rPr>
          <w:rStyle w:val="VerbatimChar"/>
        </w:rPr>
        <w:t xml:space="preserve">github.com/subosito/gotenv (v1.6.0) - MIT</w:t>
      </w:r>
      <w:r>
        <w:br/>
      </w:r>
      <w:r>
        <w:rPr>
          <w:rStyle w:val="VerbatimChar"/>
        </w:rPr>
        <w:t xml:space="preserve">github.com/wk8/go-ordered-map/v2 (v2.1.8) - Apache-2.0</w:t>
      </w:r>
      <w:r>
        <w:br/>
      </w:r>
      <w:r>
        <w:rPr>
          <w:rStyle w:val="VerbatimChar"/>
        </w:rPr>
        <w:t xml:space="preserve">github.com/x448/float16 (v0.8.4) - MIT</w:t>
      </w:r>
      <w:r>
        <w:br/>
      </w:r>
      <w:r>
        <w:rPr>
          <w:rStyle w:val="VerbatimChar"/>
        </w:rPr>
        <w:t xml:space="preserve">github.com/yosida95/uritemplate/v3 (v3.0.2) - BSD-3-Clause</w:t>
      </w:r>
      <w:r>
        <w:br/>
      </w:r>
      <w:r>
        <w:rPr>
          <w:rStyle w:val="VerbatimChar"/>
        </w:rPr>
        <w:t xml:space="preserve">github.com/yuin/goldmark (v1.8.2) - MIT</w:t>
      </w:r>
      <w:r>
        <w:br/>
      </w:r>
      <w:r>
        <w:rPr>
          <w:rStyle w:val="VerbatimChar"/>
        </w:rPr>
        <w:t xml:space="preserve">go.yaml.in/yaml/v3 (v3.0.4) - Apache-2.0 AND MIT</w:t>
      </w:r>
      <w:r>
        <w:br/>
      </w:r>
      <w:r>
        <w:rPr>
          <w:rStyle w:val="VerbatimChar"/>
        </w:rPr>
        <w:t xml:space="preserve">gopkg.in/alexcesaro/quotedprintable.v3 (v3.0.0-20150716171945-2caba252f4dc) - MIT</w:t>
      </w:r>
      <w:r>
        <w:br/>
      </w:r>
      <w:r>
        <w:rPr>
          <w:rStyle w:val="VerbatimChar"/>
        </w:rPr>
        <w:t xml:space="preserve">gopkg.in/check.v1 (v1.0.0-20201130134442-10cb98267c6c) - BSD-2-Clause</w:t>
      </w:r>
      <w:r>
        <w:br/>
      </w:r>
      <w:r>
        <w:rPr>
          <w:rStyle w:val="VerbatimChar"/>
        </w:rPr>
        <w:t xml:space="preserve">gopkg.in/gomail.v2 (v2.0.0-20160411212932-81ebce5c23df) - MIT</w:t>
      </w:r>
      <w:r>
        <w:br/>
      </w:r>
      <w:r>
        <w:rPr>
          <w:rStyle w:val="VerbatimChar"/>
        </w:rPr>
        <w:t xml:space="preserve">gopkg.in/yaml.v3 (v3.0.1) - Apache-2.0</w:t>
      </w:r>
      <w:r>
        <w:br/>
      </w:r>
      <w:r>
        <w:rPr>
          <w:rStyle w:val="VerbatimChar"/>
        </w:rPr>
        <w:t xml:space="preserve">modernc.org/libc (v1.72.0) - BSD-3-Clause</w:t>
      </w:r>
      <w:r>
        <w:br/>
      </w:r>
      <w:r>
        <w:rPr>
          <w:rStyle w:val="VerbatimChar"/>
        </w:rPr>
        <w:t xml:space="preserve">modernc.org/mathutil (v1.7.1) - BSD-3-Clause</w:t>
      </w:r>
      <w:r>
        <w:br/>
      </w:r>
      <w:r>
        <w:rPr>
          <w:rStyle w:val="VerbatimChar"/>
        </w:rPr>
        <w:t xml:space="preserve">modernc.org/memory (v1.11.0) - BSD-3-Clause</w:t>
      </w:r>
      <w:r>
        <w:br/>
      </w:r>
      <w:r>
        <w:rPr>
          <w:rStyle w:val="VerbatimChar"/>
        </w:rPr>
        <w:t xml:space="preserve">modernc.org/sqlite (v1.48.2) - BSD-3-Clause</w:t>
      </w:r>
      <w:r>
        <w:br/>
      </w:r>
      <w:r>
        <w:rPr>
          <w:rStyle w:val="VerbatimChar"/>
        </w:rPr>
        <w:t xml:space="preserve">github.com/dop251/goja - MIT</w:t>
      </w:r>
    </w:p>
    <w:bookmarkEnd w:id="6796"/>
    <w:bookmarkEnd w:id="679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11">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1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11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114">
    <w:abstractNumId w:val="991"/>
  </w:num>
  <w:num w:numId="1115">
    <w:abstractNumId w:val="991"/>
  </w:num>
  <w:num w:numId="1116">
    <w:abstractNumId w:val="991"/>
  </w:num>
  <w:num w:numId="11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3">
    <w:abstractNumId w:val="991"/>
  </w:num>
  <w:num w:numId="1144">
    <w:abstractNumId w:val="991"/>
  </w:num>
  <w:num w:numId="1145">
    <w:abstractNumId w:val="991"/>
  </w:num>
  <w:num w:numId="1146">
    <w:abstractNumId w:val="991"/>
  </w:num>
  <w:num w:numId="11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8">
    <w:abstractNumId w:val="991"/>
  </w:num>
  <w:num w:numId="11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3">
    <w:abstractNumId w:val="991"/>
  </w:num>
  <w:num w:numId="1174">
    <w:abstractNumId w:val="991"/>
  </w:num>
  <w:num w:numId="1175">
    <w:abstractNumId w:val="991"/>
  </w:num>
  <w:num w:numId="1176">
    <w:abstractNumId w:val="991"/>
  </w:num>
  <w:num w:numId="1177">
    <w:abstractNumId w:val="991"/>
  </w:num>
  <w:num w:numId="1178">
    <w:abstractNumId w:val="991"/>
  </w:num>
  <w:num w:numId="1179">
    <w:abstractNumId w:val="991"/>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 w:numId="12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0">
    <w:abstractNumId w:val="991"/>
  </w:num>
  <w:num w:numId="1231">
    <w:abstractNumId w:val="991"/>
  </w:num>
  <w:num w:numId="1232">
    <w:abstractNumId w:val="991"/>
  </w:num>
  <w:num w:numId="1233">
    <w:abstractNumId w:val="991"/>
  </w:num>
  <w:num w:numId="12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991"/>
  </w:num>
  <w:num w:numId="12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7">
    <w:abstractNumId w:val="991"/>
  </w:num>
  <w:num w:numId="1238">
    <w:abstractNumId w:val="991"/>
  </w:num>
  <w:num w:numId="1239">
    <w:abstractNumId w:val="991"/>
  </w:num>
  <w:num w:numId="1240">
    <w:abstractNumId w:val="991"/>
  </w:num>
  <w:num w:numId="1241">
    <w:abstractNumId w:val="991"/>
  </w:num>
  <w:num w:numId="1242">
    <w:abstractNumId w:val="991"/>
  </w:num>
  <w:num w:numId="1243">
    <w:abstractNumId w:val="991"/>
  </w:num>
  <w:num w:numId="1244">
    <w:abstractNumId w:val="991"/>
  </w:num>
  <w:num w:numId="1245">
    <w:abstractNumId w:val="991"/>
  </w:num>
  <w:num w:numId="1246">
    <w:abstractNumId w:val="991"/>
  </w:num>
  <w:num w:numId="1247">
    <w:abstractNumId w:val="991"/>
  </w:num>
  <w:num w:numId="1248">
    <w:abstractNumId w:val="991"/>
  </w:num>
  <w:num w:numId="1249">
    <w:abstractNumId w:val="991"/>
  </w:num>
  <w:num w:numId="1250">
    <w:abstractNumId w:val="991"/>
  </w:num>
  <w:num w:numId="1251">
    <w:abstractNumId w:val="991"/>
  </w:num>
  <w:num w:numId="1252">
    <w:abstractNumId w:val="991"/>
  </w:num>
  <w:num w:numId="1253">
    <w:abstractNumId w:val="991"/>
  </w:num>
  <w:num w:numId="1254">
    <w:abstractNumId w:val="991"/>
  </w:num>
  <w:num w:numId="1255">
    <w:abstractNumId w:val="991"/>
  </w:num>
  <w:num w:numId="1256">
    <w:abstractNumId w:val="991"/>
  </w:num>
  <w:num w:numId="1257">
    <w:abstractNumId w:val="991"/>
  </w:num>
  <w:num w:numId="1258">
    <w:abstractNumId w:val="991"/>
  </w:num>
  <w:num w:numId="1259">
    <w:abstractNumId w:val="991"/>
  </w:num>
  <w:num w:numId="1260">
    <w:abstractNumId w:val="991"/>
  </w:num>
  <w:num w:numId="1261">
    <w:abstractNumId w:val="991"/>
  </w:num>
  <w:num w:numId="1262">
    <w:abstractNumId w:val="991"/>
  </w:num>
  <w:num w:numId="1263">
    <w:abstractNumId w:val="991"/>
  </w:num>
  <w:num w:numId="1264">
    <w:abstractNumId w:val="991"/>
  </w:num>
  <w:num w:numId="1265">
    <w:abstractNumId w:val="991"/>
  </w:num>
  <w:num w:numId="1266">
    <w:abstractNumId w:val="991"/>
  </w:num>
  <w:num w:numId="1267">
    <w:abstractNumId w:val="991"/>
  </w:num>
  <w:num w:numId="1268">
    <w:abstractNumId w:val="991"/>
  </w:num>
  <w:num w:numId="1269">
    <w:abstractNumId w:val="991"/>
  </w:num>
  <w:num w:numId="1270">
    <w:abstractNumId w:val="991"/>
  </w:num>
  <w:num w:numId="1271">
    <w:abstractNumId w:val="991"/>
  </w:num>
  <w:num w:numId="1272">
    <w:abstractNumId w:val="991"/>
  </w:num>
  <w:num w:numId="1273">
    <w:abstractNumId w:val="991"/>
  </w:num>
  <w:num w:numId="1274">
    <w:abstractNumId w:val="991"/>
  </w:num>
  <w:num w:numId="1275">
    <w:abstractNumId w:val="991"/>
  </w:num>
  <w:num w:numId="1276">
    <w:abstractNumId w:val="991"/>
  </w:num>
  <w:num w:numId="1277">
    <w:abstractNumId w:val="991"/>
  </w:num>
  <w:num w:numId="1278">
    <w:abstractNumId w:val="991"/>
  </w:num>
  <w:num w:numId="1279">
    <w:abstractNumId w:val="991"/>
  </w:num>
  <w:num w:numId="1280">
    <w:abstractNumId w:val="991"/>
  </w:num>
  <w:num w:numId="1281">
    <w:abstractNumId w:val="991"/>
  </w:num>
  <w:num w:numId="1282">
    <w:abstractNumId w:val="991"/>
  </w:num>
  <w:num w:numId="1283">
    <w:abstractNumId w:val="991"/>
  </w:num>
  <w:num w:numId="1284">
    <w:abstractNumId w:val="991"/>
  </w:num>
  <w:num w:numId="1285">
    <w:abstractNumId w:val="991"/>
  </w:num>
  <w:num w:numId="1286">
    <w:abstractNumId w:val="991"/>
  </w:num>
  <w:num w:numId="1287">
    <w:abstractNumId w:val="991"/>
  </w:num>
  <w:num w:numId="1288">
    <w:abstractNumId w:val="991"/>
  </w:num>
  <w:num w:numId="1289">
    <w:abstractNumId w:val="991"/>
  </w:num>
  <w:num w:numId="1290">
    <w:abstractNumId w:val="991"/>
  </w:num>
  <w:num w:numId="1291">
    <w:abstractNumId w:val="991"/>
  </w:num>
  <w:num w:numId="1292">
    <w:abstractNumId w:val="991"/>
  </w:num>
  <w:num w:numId="1293">
    <w:abstractNumId w:val="991"/>
  </w:num>
  <w:num w:numId="1294">
    <w:abstractNumId w:val="991"/>
  </w:num>
  <w:num w:numId="1295">
    <w:abstractNumId w:val="991"/>
  </w:num>
  <w:num w:numId="1296">
    <w:abstractNumId w:val="991"/>
  </w:num>
  <w:num w:numId="1297">
    <w:abstractNumId w:val="991"/>
  </w:num>
  <w:num w:numId="1298">
    <w:abstractNumId w:val="991"/>
  </w:num>
  <w:num w:numId="1299">
    <w:abstractNumId w:val="991"/>
  </w:num>
  <w:num w:numId="1300">
    <w:abstractNumId w:val="991"/>
  </w:num>
  <w:num w:numId="1301">
    <w:abstractNumId w:val="991"/>
  </w:num>
  <w:num w:numId="1302">
    <w:abstractNumId w:val="991"/>
  </w:num>
  <w:num w:numId="1303">
    <w:abstractNumId w:val="991"/>
  </w:num>
  <w:num w:numId="1304">
    <w:abstractNumId w:val="991"/>
  </w:num>
  <w:num w:numId="1305">
    <w:abstractNumId w:val="991"/>
  </w:num>
  <w:num w:numId="1306">
    <w:abstractNumId w:val="991"/>
  </w:num>
  <w:num w:numId="1307">
    <w:abstractNumId w:val="991"/>
  </w:num>
  <w:num w:numId="1308">
    <w:abstractNumId w:val="991"/>
  </w:num>
  <w:num w:numId="1309">
    <w:abstractNumId w:val="991"/>
  </w:num>
  <w:num w:numId="1310">
    <w:abstractNumId w:val="991"/>
  </w:num>
  <w:num w:numId="1311">
    <w:abstractNumId w:val="991"/>
  </w:num>
  <w:num w:numId="1312">
    <w:abstractNumId w:val="991"/>
  </w:num>
  <w:num w:numId="1313">
    <w:abstractNumId w:val="991"/>
  </w:num>
  <w:num w:numId="1314">
    <w:abstractNumId w:val="991"/>
  </w:num>
  <w:num w:numId="1315">
    <w:abstractNumId w:val="991"/>
  </w:num>
  <w:num w:numId="1316">
    <w:abstractNumId w:val="991"/>
  </w:num>
  <w:num w:numId="1317">
    <w:abstractNumId w:val="991"/>
  </w:num>
  <w:num w:numId="1318">
    <w:abstractNumId w:val="991"/>
  </w:num>
  <w:num w:numId="1319">
    <w:abstractNumId w:val="991"/>
  </w:num>
  <w:num w:numId="1320">
    <w:abstractNumId w:val="991"/>
  </w:num>
  <w:num w:numId="1321">
    <w:abstractNumId w:val="991"/>
  </w:num>
  <w:num w:numId="1322">
    <w:abstractNumId w:val="991"/>
  </w:num>
  <w:num w:numId="1323">
    <w:abstractNumId w:val="991"/>
  </w:num>
  <w:num w:numId="1324">
    <w:abstractNumId w:val="991"/>
  </w:num>
  <w:num w:numId="1325">
    <w:abstractNumId w:val="991"/>
  </w:num>
  <w:num w:numId="1326">
    <w:abstractNumId w:val="991"/>
  </w:num>
  <w:num w:numId="1327">
    <w:abstractNumId w:val="991"/>
  </w:num>
  <w:num w:numId="1328">
    <w:abstractNumId w:val="991"/>
  </w:num>
  <w:num w:numId="1329">
    <w:abstractNumId w:val="991"/>
  </w:num>
  <w:num w:numId="1330">
    <w:abstractNumId w:val="991"/>
  </w:num>
  <w:num w:numId="1331">
    <w:abstractNumId w:val="991"/>
  </w:num>
  <w:num w:numId="1332">
    <w:abstractNumId w:val="991"/>
  </w:num>
  <w:num w:numId="1333">
    <w:abstractNumId w:val="991"/>
  </w:num>
  <w:num w:numId="1334">
    <w:abstractNumId w:val="991"/>
  </w:num>
  <w:num w:numId="1335">
    <w:abstractNumId w:val="991"/>
  </w:num>
  <w:num w:numId="1336">
    <w:abstractNumId w:val="991"/>
  </w:num>
  <w:num w:numId="1337">
    <w:abstractNumId w:val="991"/>
  </w:num>
  <w:num w:numId="1338">
    <w:abstractNumId w:val="991"/>
  </w:num>
  <w:num w:numId="1339">
    <w:abstractNumId w:val="991"/>
  </w:num>
  <w:num w:numId="1340">
    <w:abstractNumId w:val="991"/>
  </w:num>
  <w:num w:numId="1341">
    <w:abstractNumId w:val="991"/>
  </w:num>
  <w:num w:numId="1342">
    <w:abstractNumId w:val="991"/>
  </w:num>
  <w:num w:numId="1343">
    <w:abstractNumId w:val="991"/>
  </w:num>
  <w:num w:numId="1344">
    <w:abstractNumId w:val="991"/>
  </w:num>
  <w:num w:numId="1345">
    <w:abstractNumId w:val="991"/>
  </w:num>
  <w:num w:numId="1346">
    <w:abstractNumId w:val="991"/>
  </w:num>
  <w:num w:numId="1347">
    <w:abstractNumId w:val="991"/>
  </w:num>
  <w:num w:numId="1348">
    <w:abstractNumId w:val="991"/>
  </w:num>
  <w:num w:numId="1349">
    <w:abstractNumId w:val="991"/>
  </w:num>
  <w:num w:numId="1350">
    <w:abstractNumId w:val="991"/>
  </w:num>
  <w:num w:numId="1351">
    <w:abstractNumId w:val="991"/>
  </w:num>
  <w:num w:numId="1352">
    <w:abstractNumId w:val="991"/>
  </w:num>
  <w:num w:numId="1353">
    <w:abstractNumId w:val="991"/>
  </w:num>
  <w:num w:numId="1354">
    <w:abstractNumId w:val="991"/>
  </w:num>
  <w:num w:numId="1355">
    <w:abstractNumId w:val="991"/>
  </w:num>
  <w:num w:numId="1356">
    <w:abstractNumId w:val="991"/>
  </w:num>
  <w:num w:numId="1357">
    <w:abstractNumId w:val="991"/>
  </w:num>
  <w:num w:numId="1358">
    <w:abstractNumId w:val="991"/>
  </w:num>
  <w:num w:numId="1359">
    <w:abstractNumId w:val="991"/>
  </w:num>
  <w:num w:numId="1360">
    <w:abstractNumId w:val="991"/>
  </w:num>
  <w:num w:numId="1361">
    <w:abstractNumId w:val="991"/>
  </w:num>
  <w:num w:numId="1362">
    <w:abstractNumId w:val="991"/>
  </w:num>
  <w:num w:numId="1363">
    <w:abstractNumId w:val="991"/>
  </w:num>
  <w:num w:numId="1364">
    <w:abstractNumId w:val="991"/>
  </w:num>
  <w:num w:numId="1365">
    <w:abstractNumId w:val="991"/>
  </w:num>
  <w:num w:numId="1366">
    <w:abstractNumId w:val="991"/>
  </w:num>
  <w:num w:numId="1367">
    <w:abstractNumId w:val="991"/>
  </w:num>
  <w:num w:numId="1368">
    <w:abstractNumId w:val="991"/>
  </w:num>
  <w:num w:numId="1369">
    <w:abstractNumId w:val="991"/>
  </w:num>
  <w:num w:numId="1370">
    <w:abstractNumId w:val="991"/>
  </w:num>
  <w:num w:numId="1371">
    <w:abstractNumId w:val="991"/>
  </w:num>
  <w:num w:numId="1372">
    <w:abstractNumId w:val="991"/>
  </w:num>
  <w:num w:numId="1373">
    <w:abstractNumId w:val="991"/>
  </w:num>
  <w:num w:numId="1374">
    <w:abstractNumId w:val="991"/>
  </w:num>
  <w:num w:numId="1375">
    <w:abstractNumId w:val="991"/>
  </w:num>
  <w:num w:numId="1376">
    <w:abstractNumId w:val="991"/>
  </w:num>
  <w:num w:numId="1377">
    <w:abstractNumId w:val="991"/>
  </w:num>
  <w:num w:numId="1378">
    <w:abstractNumId w:val="991"/>
  </w:num>
  <w:num w:numId="1379">
    <w:abstractNumId w:val="991"/>
  </w:num>
  <w:num w:numId="1380">
    <w:abstractNumId w:val="991"/>
  </w:num>
  <w:num w:numId="1381">
    <w:abstractNumId w:val="991"/>
  </w:num>
  <w:num w:numId="1382">
    <w:abstractNumId w:val="991"/>
  </w:num>
  <w:num w:numId="1383">
    <w:abstractNumId w:val="991"/>
  </w:num>
  <w:num w:numId="1384">
    <w:abstractNumId w:val="991"/>
  </w:num>
  <w:num w:numId="1385">
    <w:abstractNumId w:val="991"/>
  </w:num>
  <w:num w:numId="1386">
    <w:abstractNumId w:val="991"/>
  </w:num>
  <w:num w:numId="1387">
    <w:abstractNumId w:val="991"/>
  </w:num>
  <w:num w:numId="1388">
    <w:abstractNumId w:val="991"/>
  </w:num>
  <w:num w:numId="1389">
    <w:abstractNumId w:val="991"/>
  </w:num>
  <w:num w:numId="1390">
    <w:abstractNumId w:val="991"/>
  </w:num>
  <w:num w:numId="1391">
    <w:abstractNumId w:val="991"/>
  </w:num>
  <w:num w:numId="1392">
    <w:abstractNumId w:val="991"/>
  </w:num>
  <w:num w:numId="1393">
    <w:abstractNumId w:val="991"/>
  </w:num>
  <w:num w:numId="1394">
    <w:abstractNumId w:val="991"/>
  </w:num>
  <w:num w:numId="1395">
    <w:abstractNumId w:val="991"/>
  </w:num>
  <w:num w:numId="1396">
    <w:abstractNumId w:val="991"/>
  </w:num>
  <w:num w:numId="1397">
    <w:abstractNumId w:val="991"/>
  </w:num>
  <w:num w:numId="1398">
    <w:abstractNumId w:val="991"/>
  </w:num>
  <w:num w:numId="1399">
    <w:abstractNumId w:val="991"/>
  </w:num>
  <w:num w:numId="1400">
    <w:abstractNumId w:val="991"/>
  </w:num>
  <w:num w:numId="1401">
    <w:abstractNumId w:val="991"/>
  </w:num>
  <w:num w:numId="1402">
    <w:abstractNumId w:val="991"/>
  </w:num>
  <w:num w:numId="1403">
    <w:abstractNumId w:val="991"/>
  </w:num>
  <w:num w:numId="1404">
    <w:abstractNumId w:val="991"/>
  </w:num>
  <w:num w:numId="1405">
    <w:abstractNumId w:val="991"/>
  </w:num>
  <w:num w:numId="1406">
    <w:abstractNumId w:val="991"/>
  </w:num>
  <w:num w:numId="1407">
    <w:abstractNumId w:val="991"/>
  </w:num>
  <w:num w:numId="1408">
    <w:abstractNumId w:val="991"/>
  </w:num>
  <w:num w:numId="1409">
    <w:abstractNumId w:val="991"/>
  </w:num>
  <w:num w:numId="1410">
    <w:abstractNumId w:val="991"/>
  </w:num>
  <w:num w:numId="1411">
    <w:abstractNumId w:val="991"/>
  </w:num>
  <w:num w:numId="1412">
    <w:abstractNumId w:val="991"/>
  </w:num>
  <w:num w:numId="1413">
    <w:abstractNumId w:val="991"/>
  </w:num>
  <w:num w:numId="1414">
    <w:abstractNumId w:val="991"/>
  </w:num>
  <w:num w:numId="1415">
    <w:abstractNumId w:val="991"/>
  </w:num>
  <w:num w:numId="1416">
    <w:abstractNumId w:val="991"/>
  </w:num>
  <w:num w:numId="1417">
    <w:abstractNumId w:val="991"/>
  </w:num>
  <w:num w:numId="1418">
    <w:abstractNumId w:val="991"/>
  </w:num>
  <w:num w:numId="1419">
    <w:abstractNumId w:val="991"/>
  </w:num>
  <w:num w:numId="1420">
    <w:abstractNumId w:val="991"/>
  </w:num>
  <w:num w:numId="1421">
    <w:abstractNumId w:val="991"/>
  </w:num>
  <w:num w:numId="1422">
    <w:abstractNumId w:val="991"/>
  </w:num>
  <w:num w:numId="1423">
    <w:abstractNumId w:val="991"/>
  </w:num>
  <w:num w:numId="1424">
    <w:abstractNumId w:val="991"/>
  </w:num>
  <w:num w:numId="1425">
    <w:abstractNumId w:val="991"/>
  </w:num>
  <w:num w:numId="1426">
    <w:abstractNumId w:val="991"/>
  </w:num>
  <w:num w:numId="1427">
    <w:abstractNumId w:val="991"/>
  </w:num>
  <w:num w:numId="1428">
    <w:abstractNumId w:val="991"/>
  </w:num>
  <w:num w:numId="1429">
    <w:abstractNumId w:val="991"/>
  </w:num>
  <w:num w:numId="1430">
    <w:abstractNumId w:val="991"/>
  </w:num>
  <w:num w:numId="1431">
    <w:abstractNumId w:val="991"/>
  </w:num>
  <w:num w:numId="1432">
    <w:abstractNumId w:val="991"/>
  </w:num>
  <w:num w:numId="1433">
    <w:abstractNumId w:val="991"/>
  </w:num>
  <w:num w:numId="1434">
    <w:abstractNumId w:val="991"/>
  </w:num>
  <w:num w:numId="1435">
    <w:abstractNumId w:val="991"/>
  </w:num>
  <w:num w:numId="1436">
    <w:abstractNumId w:val="991"/>
  </w:num>
  <w:num w:numId="1437">
    <w:abstractNumId w:val="991"/>
  </w:num>
  <w:num w:numId="1438">
    <w:abstractNumId w:val="991"/>
  </w:num>
  <w:num w:numId="1439">
    <w:abstractNumId w:val="991"/>
  </w:num>
  <w:num w:numId="1440">
    <w:abstractNumId w:val="991"/>
  </w:num>
  <w:num w:numId="1441">
    <w:abstractNumId w:val="991"/>
  </w:num>
  <w:num w:numId="1442">
    <w:abstractNumId w:val="991"/>
  </w:num>
  <w:num w:numId="1443">
    <w:abstractNumId w:val="991"/>
  </w:num>
  <w:num w:numId="1444">
    <w:abstractNumId w:val="991"/>
  </w:num>
  <w:num w:numId="1445">
    <w:abstractNumId w:val="991"/>
  </w:num>
  <w:num w:numId="1446">
    <w:abstractNumId w:val="991"/>
  </w:num>
  <w:num w:numId="1447">
    <w:abstractNumId w:val="991"/>
  </w:num>
  <w:num w:numId="1448">
    <w:abstractNumId w:val="991"/>
  </w:num>
  <w:num w:numId="1449">
    <w:abstractNumId w:val="991"/>
  </w:num>
  <w:num w:numId="1450">
    <w:abstractNumId w:val="991"/>
  </w:num>
  <w:num w:numId="1451">
    <w:abstractNumId w:val="991"/>
  </w:num>
  <w:num w:numId="1452">
    <w:abstractNumId w:val="991"/>
  </w:num>
  <w:num w:numId="1453">
    <w:abstractNumId w:val="991"/>
  </w:num>
  <w:num w:numId="1454">
    <w:abstractNumId w:val="991"/>
  </w:num>
  <w:num w:numId="1455">
    <w:abstractNumId w:val="991"/>
  </w:num>
  <w:num w:numId="1456">
    <w:abstractNumId w:val="991"/>
  </w:num>
  <w:num w:numId="1457">
    <w:abstractNumId w:val="991"/>
  </w:num>
  <w:num w:numId="1458">
    <w:abstractNumId w:val="991"/>
  </w:num>
  <w:num w:numId="1459">
    <w:abstractNumId w:val="991"/>
  </w:num>
  <w:num w:numId="1460">
    <w:abstractNumId w:val="991"/>
  </w:num>
  <w:num w:numId="1461">
    <w:abstractNumId w:val="991"/>
  </w:num>
  <w:num w:numId="1462">
    <w:abstractNumId w:val="991"/>
  </w:num>
  <w:num w:numId="1463">
    <w:abstractNumId w:val="991"/>
  </w:num>
  <w:num w:numId="1464">
    <w:abstractNumId w:val="991"/>
  </w:num>
  <w:num w:numId="1465">
    <w:abstractNumId w:val="991"/>
  </w:num>
  <w:num w:numId="1466">
    <w:abstractNumId w:val="991"/>
  </w:num>
  <w:num w:numId="1467">
    <w:abstractNumId w:val="991"/>
  </w:num>
  <w:num w:numId="1468">
    <w:abstractNumId w:val="991"/>
  </w:num>
  <w:num w:numId="1469">
    <w:abstractNumId w:val="991"/>
  </w:num>
  <w:num w:numId="1470">
    <w:abstractNumId w:val="991"/>
  </w:num>
  <w:num w:numId="1471">
    <w:abstractNumId w:val="991"/>
  </w:num>
  <w:num w:numId="1472">
    <w:abstractNumId w:val="991"/>
  </w:num>
  <w:num w:numId="1473">
    <w:abstractNumId w:val="991"/>
  </w:num>
  <w:num w:numId="1474">
    <w:abstractNumId w:val="991"/>
  </w:num>
  <w:num w:numId="1475">
    <w:abstractNumId w:val="991"/>
  </w:num>
  <w:num w:numId="1476">
    <w:abstractNumId w:val="991"/>
  </w:num>
  <w:num w:numId="1477">
    <w:abstractNumId w:val="991"/>
  </w:num>
  <w:num w:numId="1478">
    <w:abstractNumId w:val="991"/>
  </w:num>
  <w:num w:numId="1479">
    <w:abstractNumId w:val="991"/>
  </w:num>
  <w:num w:numId="1480">
    <w:abstractNumId w:val="991"/>
  </w:num>
  <w:num w:numId="1481">
    <w:abstractNumId w:val="991"/>
  </w:num>
  <w:num w:numId="1482">
    <w:abstractNumId w:val="991"/>
  </w:num>
  <w:num w:numId="1483">
    <w:abstractNumId w:val="991"/>
  </w:num>
  <w:num w:numId="1484">
    <w:abstractNumId w:val="991"/>
  </w:num>
  <w:num w:numId="1485">
    <w:abstractNumId w:val="991"/>
  </w:num>
  <w:num w:numId="1486">
    <w:abstractNumId w:val="991"/>
  </w:num>
  <w:num w:numId="1487">
    <w:abstractNumId w:val="991"/>
  </w:num>
  <w:num w:numId="1488">
    <w:abstractNumId w:val="991"/>
  </w:num>
  <w:num w:numId="1489">
    <w:abstractNumId w:val="991"/>
  </w:num>
  <w:num w:numId="1490">
    <w:abstractNumId w:val="991"/>
  </w:num>
  <w:num w:numId="1491">
    <w:abstractNumId w:val="991"/>
  </w:num>
  <w:num w:numId="1492">
    <w:abstractNumId w:val="991"/>
  </w:num>
  <w:num w:numId="1493">
    <w:abstractNumId w:val="991"/>
  </w:num>
  <w:num w:numId="1494">
    <w:abstractNumId w:val="991"/>
  </w:num>
  <w:num w:numId="1495">
    <w:abstractNumId w:val="991"/>
  </w:num>
  <w:num w:numId="1496">
    <w:abstractNumId w:val="991"/>
  </w:num>
  <w:num w:numId="1497">
    <w:abstractNumId w:val="991"/>
  </w:num>
  <w:num w:numId="1498">
    <w:abstractNumId w:val="991"/>
  </w:num>
  <w:num w:numId="1499">
    <w:abstractNumId w:val="991"/>
  </w:num>
  <w:num w:numId="1500">
    <w:abstractNumId w:val="991"/>
  </w:num>
  <w:num w:numId="1501">
    <w:abstractNumId w:val="991"/>
  </w:num>
  <w:num w:numId="1502">
    <w:abstractNumId w:val="991"/>
  </w:num>
  <w:num w:numId="1503">
    <w:abstractNumId w:val="991"/>
  </w:num>
  <w:num w:numId="1504">
    <w:abstractNumId w:val="991"/>
  </w:num>
  <w:num w:numId="1505">
    <w:abstractNumId w:val="991"/>
  </w:num>
  <w:num w:numId="1506">
    <w:abstractNumId w:val="991"/>
  </w:num>
  <w:num w:numId="1507">
    <w:abstractNumId w:val="991"/>
  </w:num>
  <w:num w:numId="1508">
    <w:abstractNumId w:val="991"/>
  </w:num>
  <w:num w:numId="1509">
    <w:abstractNumId w:val="991"/>
  </w:num>
  <w:num w:numId="1510">
    <w:abstractNumId w:val="991"/>
  </w:num>
  <w:num w:numId="1511">
    <w:abstractNumId w:val="991"/>
  </w:num>
  <w:num w:numId="1512">
    <w:abstractNumId w:val="991"/>
  </w:num>
  <w:num w:numId="1513">
    <w:abstractNumId w:val="991"/>
  </w:num>
  <w:num w:numId="1514">
    <w:abstractNumId w:val="991"/>
  </w:num>
  <w:num w:numId="1515">
    <w:abstractNumId w:val="991"/>
  </w:num>
  <w:num w:numId="1516">
    <w:abstractNumId w:val="991"/>
  </w:num>
  <w:num w:numId="1517">
    <w:abstractNumId w:val="991"/>
  </w:num>
  <w:num w:numId="1518">
    <w:abstractNumId w:val="991"/>
  </w:num>
  <w:num w:numId="1519">
    <w:abstractNumId w:val="991"/>
  </w:num>
  <w:num w:numId="1520">
    <w:abstractNumId w:val="991"/>
  </w:num>
  <w:num w:numId="1521">
    <w:abstractNumId w:val="991"/>
  </w:num>
  <w:num w:numId="1522">
    <w:abstractNumId w:val="991"/>
  </w:num>
  <w:num w:numId="1523">
    <w:abstractNumId w:val="991"/>
  </w:num>
  <w:num w:numId="1524">
    <w:abstractNumId w:val="991"/>
  </w:num>
  <w:num w:numId="1525">
    <w:abstractNumId w:val="991"/>
  </w:num>
  <w:num w:numId="1526">
    <w:abstractNumId w:val="991"/>
  </w:num>
  <w:num w:numId="1527">
    <w:abstractNumId w:val="991"/>
  </w:num>
  <w:num w:numId="1528">
    <w:abstractNumId w:val="991"/>
  </w:num>
  <w:num w:numId="1529">
    <w:abstractNumId w:val="991"/>
  </w:num>
  <w:num w:numId="1530">
    <w:abstractNumId w:val="991"/>
  </w:num>
  <w:num w:numId="1531">
    <w:abstractNumId w:val="991"/>
  </w:num>
  <w:num w:numId="1532">
    <w:abstractNumId w:val="991"/>
  </w:num>
  <w:num w:numId="1533">
    <w:abstractNumId w:val="991"/>
  </w:num>
  <w:num w:numId="1534">
    <w:abstractNumId w:val="991"/>
  </w:num>
  <w:num w:numId="1535">
    <w:abstractNumId w:val="991"/>
  </w:num>
  <w:num w:numId="1536">
    <w:abstractNumId w:val="991"/>
  </w:num>
  <w:num w:numId="1537">
    <w:abstractNumId w:val="991"/>
  </w:num>
  <w:num w:numId="1538">
    <w:abstractNumId w:val="991"/>
  </w:num>
  <w:num w:numId="1539">
    <w:abstractNumId w:val="991"/>
  </w:num>
  <w:num w:numId="1540">
    <w:abstractNumId w:val="991"/>
  </w:num>
  <w:num w:numId="1541">
    <w:abstractNumId w:val="991"/>
  </w:num>
  <w:num w:numId="1542">
    <w:abstractNumId w:val="991"/>
  </w:num>
  <w:num w:numId="1543">
    <w:abstractNumId w:val="991"/>
  </w:num>
  <w:num w:numId="1544">
    <w:abstractNumId w:val="991"/>
  </w:num>
  <w:num w:numId="1545">
    <w:abstractNumId w:val="991"/>
  </w:num>
  <w:num w:numId="1546">
    <w:abstractNumId w:val="991"/>
  </w:num>
  <w:num w:numId="1547">
    <w:abstractNumId w:val="991"/>
  </w:num>
  <w:num w:numId="1548">
    <w:abstractNumId w:val="991"/>
  </w:num>
  <w:num w:numId="1549">
    <w:abstractNumId w:val="991"/>
  </w:num>
  <w:num w:numId="1550">
    <w:abstractNumId w:val="991"/>
  </w:num>
  <w:num w:numId="1551">
    <w:abstractNumId w:val="991"/>
  </w:num>
  <w:num w:numId="1552">
    <w:abstractNumId w:val="991"/>
  </w:num>
  <w:num w:numId="1553">
    <w:abstractNumId w:val="991"/>
  </w:num>
  <w:num w:numId="1554">
    <w:abstractNumId w:val="991"/>
  </w:num>
  <w:num w:numId="1555">
    <w:abstractNumId w:val="991"/>
  </w:num>
  <w:num w:numId="1556">
    <w:abstractNumId w:val="991"/>
  </w:num>
  <w:num w:numId="1557">
    <w:abstractNumId w:val="991"/>
  </w:num>
  <w:num w:numId="1558">
    <w:abstractNumId w:val="991"/>
  </w:num>
  <w:num w:numId="1559">
    <w:abstractNumId w:val="991"/>
  </w:num>
  <w:num w:numId="1560">
    <w:abstractNumId w:val="991"/>
  </w:num>
  <w:num w:numId="1561">
    <w:abstractNumId w:val="991"/>
  </w:num>
  <w:num w:numId="1562">
    <w:abstractNumId w:val="991"/>
  </w:num>
  <w:num w:numId="1563">
    <w:abstractNumId w:val="991"/>
  </w:num>
  <w:num w:numId="1564">
    <w:abstractNumId w:val="991"/>
  </w:num>
  <w:num w:numId="1565">
    <w:abstractNumId w:val="991"/>
  </w:num>
  <w:num w:numId="1566">
    <w:abstractNumId w:val="991"/>
  </w:num>
  <w:num w:numId="1567">
    <w:abstractNumId w:val="991"/>
  </w:num>
  <w:num w:numId="1568">
    <w:abstractNumId w:val="991"/>
  </w:num>
  <w:num w:numId="1569">
    <w:abstractNumId w:val="991"/>
  </w:num>
  <w:num w:numId="1570">
    <w:abstractNumId w:val="991"/>
  </w:num>
  <w:num w:numId="1571">
    <w:abstractNumId w:val="991"/>
  </w:num>
  <w:num w:numId="1572">
    <w:abstractNumId w:val="991"/>
  </w:num>
  <w:num w:numId="1573">
    <w:abstractNumId w:val="991"/>
  </w:num>
  <w:num w:numId="1574">
    <w:abstractNumId w:val="991"/>
  </w:num>
  <w:num w:numId="1575">
    <w:abstractNumId w:val="991"/>
  </w:num>
  <w:num w:numId="1576">
    <w:abstractNumId w:val="991"/>
  </w:num>
  <w:num w:numId="1577">
    <w:abstractNumId w:val="991"/>
  </w:num>
  <w:num w:numId="1578">
    <w:abstractNumId w:val="991"/>
  </w:num>
  <w:num w:numId="1579">
    <w:abstractNumId w:val="991"/>
  </w:num>
  <w:num w:numId="1580">
    <w:abstractNumId w:val="991"/>
  </w:num>
  <w:num w:numId="1581">
    <w:abstractNumId w:val="991"/>
  </w:num>
  <w:num w:numId="1582">
    <w:abstractNumId w:val="991"/>
  </w:num>
  <w:num w:numId="1583">
    <w:abstractNumId w:val="991"/>
  </w:num>
  <w:num w:numId="1584">
    <w:abstractNumId w:val="991"/>
  </w:num>
  <w:num w:numId="1585">
    <w:abstractNumId w:val="991"/>
  </w:num>
  <w:num w:numId="1586">
    <w:abstractNumId w:val="991"/>
  </w:num>
  <w:num w:numId="1587">
    <w:abstractNumId w:val="991"/>
  </w:num>
  <w:num w:numId="1588">
    <w:abstractNumId w:val="991"/>
  </w:num>
  <w:num w:numId="1589">
    <w:abstractNumId w:val="991"/>
  </w:num>
  <w:num w:numId="1590">
    <w:abstractNumId w:val="991"/>
  </w:num>
  <w:num w:numId="1591">
    <w:abstractNumId w:val="991"/>
  </w:num>
  <w:num w:numId="1592">
    <w:abstractNumId w:val="991"/>
  </w:num>
  <w:num w:numId="1593">
    <w:abstractNumId w:val="991"/>
  </w:num>
  <w:num w:numId="1594">
    <w:abstractNumId w:val="991"/>
  </w:num>
  <w:num w:numId="1595">
    <w:abstractNumId w:val="991"/>
  </w:num>
  <w:num w:numId="1596">
    <w:abstractNumId w:val="991"/>
  </w:num>
  <w:num w:numId="1597">
    <w:abstractNumId w:val="991"/>
  </w:num>
  <w:num w:numId="1598">
    <w:abstractNumId w:val="991"/>
  </w:num>
  <w:num w:numId="1599">
    <w:abstractNumId w:val="991"/>
  </w:num>
  <w:num w:numId="1600">
    <w:abstractNumId w:val="991"/>
  </w:num>
  <w:num w:numId="1601">
    <w:abstractNumId w:val="991"/>
  </w:num>
  <w:num w:numId="1602">
    <w:abstractNumId w:val="991"/>
  </w:num>
  <w:num w:numId="1603">
    <w:abstractNumId w:val="991"/>
  </w:num>
  <w:num w:numId="1604">
    <w:abstractNumId w:val="991"/>
  </w:num>
  <w:num w:numId="1605">
    <w:abstractNumId w:val="991"/>
  </w:num>
  <w:num w:numId="1606">
    <w:abstractNumId w:val="991"/>
  </w:num>
  <w:num w:numId="1607">
    <w:abstractNumId w:val="991"/>
  </w:num>
  <w:num w:numId="1608">
    <w:abstractNumId w:val="991"/>
  </w:num>
  <w:num w:numId="1609">
    <w:abstractNumId w:val="991"/>
  </w:num>
  <w:num w:numId="1610">
    <w:abstractNumId w:val="991"/>
  </w:num>
  <w:num w:numId="1611">
    <w:abstractNumId w:val="991"/>
  </w:num>
  <w:num w:numId="1612">
    <w:abstractNumId w:val="991"/>
  </w:num>
  <w:num w:numId="1613">
    <w:abstractNumId w:val="991"/>
  </w:num>
  <w:num w:numId="1614">
    <w:abstractNumId w:val="991"/>
  </w:num>
  <w:num w:numId="1615">
    <w:abstractNumId w:val="991"/>
  </w:num>
  <w:num w:numId="1616">
    <w:abstractNumId w:val="991"/>
  </w:num>
  <w:num w:numId="1617">
    <w:abstractNumId w:val="991"/>
  </w:num>
  <w:num w:numId="1618">
    <w:abstractNumId w:val="991"/>
  </w:num>
  <w:num w:numId="1619">
    <w:abstractNumId w:val="991"/>
  </w:num>
  <w:num w:numId="1620">
    <w:abstractNumId w:val="991"/>
  </w:num>
  <w:num w:numId="1621">
    <w:abstractNumId w:val="991"/>
  </w:num>
  <w:num w:numId="1622">
    <w:abstractNumId w:val="991"/>
  </w:num>
  <w:num w:numId="1623">
    <w:abstractNumId w:val="991"/>
  </w:num>
  <w:num w:numId="1624">
    <w:abstractNumId w:val="991"/>
  </w:num>
  <w:num w:numId="1625">
    <w:abstractNumId w:val="991"/>
  </w:num>
  <w:num w:numId="1626">
    <w:abstractNumId w:val="991"/>
  </w:num>
  <w:num w:numId="1627">
    <w:abstractNumId w:val="991"/>
  </w:num>
  <w:num w:numId="1628">
    <w:abstractNumId w:val="991"/>
  </w:num>
  <w:num w:numId="1629">
    <w:abstractNumId w:val="991"/>
  </w:num>
  <w:num w:numId="1630">
    <w:abstractNumId w:val="991"/>
  </w:num>
  <w:num w:numId="1631">
    <w:abstractNumId w:val="991"/>
  </w:num>
  <w:num w:numId="1632">
    <w:abstractNumId w:val="991"/>
  </w:num>
  <w:num w:numId="1633">
    <w:abstractNumId w:val="991"/>
  </w:num>
  <w:num w:numId="1634">
    <w:abstractNumId w:val="991"/>
  </w:num>
  <w:num w:numId="1635">
    <w:abstractNumId w:val="991"/>
  </w:num>
  <w:num w:numId="1636">
    <w:abstractNumId w:val="991"/>
  </w:num>
  <w:num w:numId="1637">
    <w:abstractNumId w:val="991"/>
  </w:num>
  <w:num w:numId="1638">
    <w:abstractNumId w:val="991"/>
  </w:num>
  <w:num w:numId="1639">
    <w:abstractNumId w:val="991"/>
  </w:num>
  <w:num w:numId="1640">
    <w:abstractNumId w:val="991"/>
  </w:num>
  <w:num w:numId="1641">
    <w:abstractNumId w:val="991"/>
  </w:num>
  <w:num w:numId="1642">
    <w:abstractNumId w:val="991"/>
  </w:num>
  <w:num w:numId="1643">
    <w:abstractNumId w:val="991"/>
  </w:num>
  <w:num w:numId="1644">
    <w:abstractNumId w:val="991"/>
  </w:num>
  <w:num w:numId="1645">
    <w:abstractNumId w:val="991"/>
  </w:num>
  <w:num w:numId="1646">
    <w:abstractNumId w:val="991"/>
  </w:num>
  <w:num w:numId="1647">
    <w:abstractNumId w:val="991"/>
  </w:num>
  <w:num w:numId="1648">
    <w:abstractNumId w:val="991"/>
  </w:num>
  <w:num w:numId="1649">
    <w:abstractNumId w:val="991"/>
  </w:num>
  <w:num w:numId="1650">
    <w:abstractNumId w:val="991"/>
  </w:num>
  <w:num w:numId="1651">
    <w:abstractNumId w:val="991"/>
  </w:num>
  <w:num w:numId="1652">
    <w:abstractNumId w:val="991"/>
  </w:num>
  <w:num w:numId="1653">
    <w:abstractNumId w:val="991"/>
  </w:num>
  <w:num w:numId="1654">
    <w:abstractNumId w:val="991"/>
  </w:num>
  <w:num w:numId="1655">
    <w:abstractNumId w:val="991"/>
  </w:num>
  <w:num w:numId="1656">
    <w:abstractNumId w:val="991"/>
  </w:num>
  <w:num w:numId="1657">
    <w:abstractNumId w:val="991"/>
  </w:num>
  <w:num w:numId="1658">
    <w:abstractNumId w:val="991"/>
  </w:num>
  <w:num w:numId="1659">
    <w:abstractNumId w:val="991"/>
  </w:num>
  <w:num w:numId="1660">
    <w:abstractNumId w:val="991"/>
  </w:num>
  <w:num w:numId="1661">
    <w:abstractNumId w:val="991"/>
  </w:num>
  <w:num w:numId="1662">
    <w:abstractNumId w:val="991"/>
  </w:num>
  <w:num w:numId="1663">
    <w:abstractNumId w:val="991"/>
  </w:num>
  <w:num w:numId="1664">
    <w:abstractNumId w:val="991"/>
  </w:num>
  <w:num w:numId="1665">
    <w:abstractNumId w:val="991"/>
  </w:num>
  <w:num w:numId="1666">
    <w:abstractNumId w:val="991"/>
  </w:num>
  <w:num w:numId="1667">
    <w:abstractNumId w:val="991"/>
  </w:num>
  <w:num w:numId="1668">
    <w:abstractNumId w:val="991"/>
  </w:num>
  <w:num w:numId="1669">
    <w:abstractNumId w:val="991"/>
  </w:num>
  <w:num w:numId="1670">
    <w:abstractNumId w:val="991"/>
  </w:num>
  <w:num w:numId="1671">
    <w:abstractNumId w:val="991"/>
  </w:num>
  <w:num w:numId="1672">
    <w:abstractNumId w:val="991"/>
  </w:num>
  <w:num w:numId="1673">
    <w:abstractNumId w:val="991"/>
  </w:num>
  <w:num w:numId="1674">
    <w:abstractNumId w:val="991"/>
  </w:num>
  <w:num w:numId="1675">
    <w:abstractNumId w:val="991"/>
  </w:num>
  <w:num w:numId="1676">
    <w:abstractNumId w:val="991"/>
  </w:num>
  <w:num w:numId="1677">
    <w:abstractNumId w:val="991"/>
  </w:num>
  <w:num w:numId="1678">
    <w:abstractNumId w:val="991"/>
  </w:num>
  <w:num w:numId="1679">
    <w:abstractNumId w:val="991"/>
  </w:num>
  <w:num w:numId="1680">
    <w:abstractNumId w:val="991"/>
  </w:num>
  <w:num w:numId="1681">
    <w:abstractNumId w:val="991"/>
  </w:num>
  <w:num w:numId="1682">
    <w:abstractNumId w:val="991"/>
  </w:num>
  <w:num w:numId="1683">
    <w:abstractNumId w:val="991"/>
  </w:num>
  <w:num w:numId="1684">
    <w:abstractNumId w:val="991"/>
  </w:num>
  <w:num w:numId="1685">
    <w:abstractNumId w:val="991"/>
  </w:num>
  <w:num w:numId="1686">
    <w:abstractNumId w:val="991"/>
  </w:num>
  <w:num w:numId="1687">
    <w:abstractNumId w:val="991"/>
  </w:num>
  <w:num w:numId="1688">
    <w:abstractNumId w:val="991"/>
  </w:num>
  <w:num w:numId="1689">
    <w:abstractNumId w:val="991"/>
  </w:num>
  <w:num w:numId="1690">
    <w:abstractNumId w:val="991"/>
  </w:num>
  <w:num w:numId="1691">
    <w:abstractNumId w:val="991"/>
  </w:num>
  <w:num w:numId="1692">
    <w:abstractNumId w:val="991"/>
  </w:num>
  <w:num w:numId="1693">
    <w:abstractNumId w:val="991"/>
  </w:num>
  <w:num w:numId="1694">
    <w:abstractNumId w:val="991"/>
  </w:num>
  <w:num w:numId="1695">
    <w:abstractNumId w:val="991"/>
  </w:num>
  <w:num w:numId="1696">
    <w:abstractNumId w:val="991"/>
  </w:num>
  <w:num w:numId="1697">
    <w:abstractNumId w:val="991"/>
  </w:num>
  <w:num w:numId="1698">
    <w:abstractNumId w:val="991"/>
  </w:num>
  <w:num w:numId="1699">
    <w:abstractNumId w:val="991"/>
  </w:num>
  <w:num w:numId="1700">
    <w:abstractNumId w:val="991"/>
  </w:num>
  <w:num w:numId="1701">
    <w:abstractNumId w:val="991"/>
  </w:num>
  <w:num w:numId="1702">
    <w:abstractNumId w:val="991"/>
  </w:num>
  <w:num w:numId="1703">
    <w:abstractNumId w:val="991"/>
  </w:num>
  <w:num w:numId="1704">
    <w:abstractNumId w:val="991"/>
  </w:num>
  <w:num w:numId="1705">
    <w:abstractNumId w:val="991"/>
  </w:num>
  <w:num w:numId="1706">
    <w:abstractNumId w:val="991"/>
  </w:num>
  <w:num w:numId="1707">
    <w:abstractNumId w:val="991"/>
  </w:num>
  <w:num w:numId="1708">
    <w:abstractNumId w:val="991"/>
  </w:num>
  <w:num w:numId="1709">
    <w:abstractNumId w:val="991"/>
  </w:num>
  <w:num w:numId="1710">
    <w:abstractNumId w:val="991"/>
  </w:num>
  <w:num w:numId="1711">
    <w:abstractNumId w:val="991"/>
  </w:num>
  <w:num w:numId="1712">
    <w:abstractNumId w:val="991"/>
  </w:num>
  <w:num w:numId="1713">
    <w:abstractNumId w:val="991"/>
  </w:num>
  <w:num w:numId="1714">
    <w:abstractNumId w:val="991"/>
  </w:num>
  <w:num w:numId="1715">
    <w:abstractNumId w:val="991"/>
  </w:num>
  <w:num w:numId="1716">
    <w:abstractNumId w:val="991"/>
  </w:num>
  <w:num w:numId="1717">
    <w:abstractNumId w:val="991"/>
  </w:num>
  <w:num w:numId="1718">
    <w:abstractNumId w:val="991"/>
  </w:num>
  <w:num w:numId="1719">
    <w:abstractNumId w:val="991"/>
  </w:num>
  <w:num w:numId="1720">
    <w:abstractNumId w:val="991"/>
  </w:num>
  <w:num w:numId="1721">
    <w:abstractNumId w:val="991"/>
  </w:num>
  <w:num w:numId="1722">
    <w:abstractNumId w:val="991"/>
  </w:num>
  <w:num w:numId="1723">
    <w:abstractNumId w:val="991"/>
  </w:num>
  <w:num w:numId="1724">
    <w:abstractNumId w:val="991"/>
  </w:num>
  <w:num w:numId="1725">
    <w:abstractNumId w:val="991"/>
  </w:num>
  <w:num w:numId="1726">
    <w:abstractNumId w:val="991"/>
  </w:num>
  <w:num w:numId="1727">
    <w:abstractNumId w:val="991"/>
  </w:num>
  <w:num w:numId="1728">
    <w:abstractNumId w:val="991"/>
  </w:num>
  <w:num w:numId="1729">
    <w:abstractNumId w:val="991"/>
  </w:num>
  <w:num w:numId="1730">
    <w:abstractNumId w:val="991"/>
  </w:num>
  <w:num w:numId="1731">
    <w:abstractNumId w:val="991"/>
  </w:num>
  <w:num w:numId="1732">
    <w:abstractNumId w:val="991"/>
  </w:num>
  <w:num w:numId="1733">
    <w:abstractNumId w:val="991"/>
  </w:num>
  <w:num w:numId="1734">
    <w:abstractNumId w:val="991"/>
  </w:num>
  <w:num w:numId="1735">
    <w:abstractNumId w:val="991"/>
  </w:num>
  <w:num w:numId="1736">
    <w:abstractNumId w:val="991"/>
  </w:num>
  <w:num w:numId="1737">
    <w:abstractNumId w:val="991"/>
  </w:num>
  <w:num w:numId="1738">
    <w:abstractNumId w:val="991"/>
  </w:num>
  <w:num w:numId="1739">
    <w:abstractNumId w:val="991"/>
  </w:num>
  <w:num w:numId="1740">
    <w:abstractNumId w:val="991"/>
  </w:num>
  <w:num w:numId="1741">
    <w:abstractNumId w:val="991"/>
  </w:num>
  <w:num w:numId="1742">
    <w:abstractNumId w:val="991"/>
  </w:num>
  <w:num w:numId="1743">
    <w:abstractNumId w:val="991"/>
  </w:num>
  <w:num w:numId="1744">
    <w:abstractNumId w:val="991"/>
  </w:num>
  <w:num w:numId="1745">
    <w:abstractNumId w:val="991"/>
  </w:num>
  <w:num w:numId="1746">
    <w:abstractNumId w:val="991"/>
  </w:num>
  <w:num w:numId="1747">
    <w:abstractNumId w:val="991"/>
  </w:num>
  <w:num w:numId="1748">
    <w:abstractNumId w:val="991"/>
  </w:num>
  <w:num w:numId="1749">
    <w:abstractNumId w:val="991"/>
  </w:num>
  <w:num w:numId="1750">
    <w:abstractNumId w:val="991"/>
  </w:num>
  <w:num w:numId="1751">
    <w:abstractNumId w:val="991"/>
  </w:num>
  <w:num w:numId="1752">
    <w:abstractNumId w:val="991"/>
  </w:num>
  <w:num w:numId="1753">
    <w:abstractNumId w:val="991"/>
  </w:num>
  <w:num w:numId="1754">
    <w:abstractNumId w:val="991"/>
  </w:num>
  <w:num w:numId="1755">
    <w:abstractNumId w:val="991"/>
  </w:num>
  <w:num w:numId="1756">
    <w:abstractNumId w:val="991"/>
  </w:num>
  <w:num w:numId="1757">
    <w:abstractNumId w:val="991"/>
  </w:num>
  <w:num w:numId="1758">
    <w:abstractNumId w:val="991"/>
  </w:num>
  <w:num w:numId="1759">
    <w:abstractNumId w:val="991"/>
  </w:num>
  <w:num w:numId="1760">
    <w:abstractNumId w:val="991"/>
  </w:num>
  <w:num w:numId="1761">
    <w:abstractNumId w:val="991"/>
  </w:num>
  <w:num w:numId="1762">
    <w:abstractNumId w:val="991"/>
  </w:num>
  <w:num w:numId="1763">
    <w:abstractNumId w:val="991"/>
  </w:num>
  <w:num w:numId="1764">
    <w:abstractNumId w:val="991"/>
  </w:num>
  <w:num w:numId="1765">
    <w:abstractNumId w:val="991"/>
  </w:num>
  <w:num w:numId="1766">
    <w:abstractNumId w:val="991"/>
  </w:num>
  <w:num w:numId="1767">
    <w:abstractNumId w:val="991"/>
  </w:num>
  <w:num w:numId="1768">
    <w:abstractNumId w:val="991"/>
  </w:num>
  <w:num w:numId="1769">
    <w:abstractNumId w:val="991"/>
  </w:num>
  <w:num w:numId="1770">
    <w:abstractNumId w:val="991"/>
  </w:num>
  <w:num w:numId="1771">
    <w:abstractNumId w:val="991"/>
  </w:num>
  <w:num w:numId="1772">
    <w:abstractNumId w:val="991"/>
  </w:num>
  <w:num w:numId="1773">
    <w:abstractNumId w:val="991"/>
  </w:num>
  <w:num w:numId="1774">
    <w:abstractNumId w:val="991"/>
  </w:num>
  <w:num w:numId="1775">
    <w:abstractNumId w:val="991"/>
  </w:num>
  <w:num w:numId="1776">
    <w:abstractNumId w:val="991"/>
  </w:num>
  <w:num w:numId="1777">
    <w:abstractNumId w:val="991"/>
  </w:num>
  <w:num w:numId="1778">
    <w:abstractNumId w:val="991"/>
  </w:num>
  <w:num w:numId="1779">
    <w:abstractNumId w:val="991"/>
  </w:num>
  <w:num w:numId="1780">
    <w:abstractNumId w:val="991"/>
  </w:num>
  <w:num w:numId="1781">
    <w:abstractNumId w:val="991"/>
  </w:num>
  <w:num w:numId="1782">
    <w:abstractNumId w:val="991"/>
  </w:num>
  <w:num w:numId="1783">
    <w:abstractNumId w:val="991"/>
  </w:num>
  <w:num w:numId="1784">
    <w:abstractNumId w:val="991"/>
  </w:num>
  <w:num w:numId="1785">
    <w:abstractNumId w:val="991"/>
  </w:num>
  <w:num w:numId="1786">
    <w:abstractNumId w:val="991"/>
  </w:num>
  <w:num w:numId="1787">
    <w:abstractNumId w:val="991"/>
  </w:num>
  <w:num w:numId="1788">
    <w:abstractNumId w:val="991"/>
  </w:num>
  <w:num w:numId="1789">
    <w:abstractNumId w:val="991"/>
  </w:num>
  <w:num w:numId="1790">
    <w:abstractNumId w:val="991"/>
  </w:num>
  <w:num w:numId="1791">
    <w:abstractNumId w:val="991"/>
  </w:num>
  <w:num w:numId="1792">
    <w:abstractNumId w:val="991"/>
  </w:num>
  <w:num w:numId="1793">
    <w:abstractNumId w:val="991"/>
  </w:num>
  <w:num w:numId="1794">
    <w:abstractNumId w:val="991"/>
  </w:num>
  <w:num w:numId="1795">
    <w:abstractNumId w:val="991"/>
  </w:num>
  <w:num w:numId="1796">
    <w:abstractNumId w:val="991"/>
  </w:num>
  <w:num w:numId="1797">
    <w:abstractNumId w:val="991"/>
  </w:num>
  <w:num w:numId="1798">
    <w:abstractNumId w:val="991"/>
  </w:num>
  <w:num w:numId="1799">
    <w:abstractNumId w:val="991"/>
  </w:num>
  <w:num w:numId="1800">
    <w:abstractNumId w:val="991"/>
  </w:num>
  <w:num w:numId="1801">
    <w:abstractNumId w:val="991"/>
  </w:num>
  <w:num w:numId="1802">
    <w:abstractNumId w:val="991"/>
  </w:num>
  <w:num w:numId="1803">
    <w:abstractNumId w:val="991"/>
  </w:num>
  <w:num w:numId="1804">
    <w:abstractNumId w:val="991"/>
  </w:num>
  <w:num w:numId="1805">
    <w:abstractNumId w:val="991"/>
  </w:num>
  <w:num w:numId="1806">
    <w:abstractNumId w:val="991"/>
  </w:num>
  <w:num w:numId="1807">
    <w:abstractNumId w:val="991"/>
  </w:num>
  <w:num w:numId="1808">
    <w:abstractNumId w:val="991"/>
  </w:num>
  <w:num w:numId="1809">
    <w:abstractNumId w:val="991"/>
  </w:num>
  <w:num w:numId="1810">
    <w:abstractNumId w:val="991"/>
  </w:num>
  <w:num w:numId="1811">
    <w:abstractNumId w:val="991"/>
  </w:num>
  <w:num w:numId="1812">
    <w:abstractNumId w:val="991"/>
  </w:num>
  <w:num w:numId="1813">
    <w:abstractNumId w:val="991"/>
  </w:num>
  <w:num w:numId="1814">
    <w:abstractNumId w:val="991"/>
  </w:num>
  <w:num w:numId="1815">
    <w:abstractNumId w:val="991"/>
  </w:num>
  <w:num w:numId="1816">
    <w:abstractNumId w:val="991"/>
  </w:num>
  <w:num w:numId="1817">
    <w:abstractNumId w:val="991"/>
  </w:num>
  <w:num w:numId="1818">
    <w:abstractNumId w:val="991"/>
  </w:num>
  <w:num w:numId="1819">
    <w:abstractNumId w:val="991"/>
  </w:num>
  <w:num w:numId="1820">
    <w:abstractNumId w:val="991"/>
  </w:num>
  <w:num w:numId="1821">
    <w:abstractNumId w:val="991"/>
  </w:num>
  <w:num w:numId="1822">
    <w:abstractNumId w:val="991"/>
  </w:num>
  <w:num w:numId="1823">
    <w:abstractNumId w:val="991"/>
  </w:num>
  <w:num w:numId="1824">
    <w:abstractNumId w:val="991"/>
  </w:num>
  <w:num w:numId="1825">
    <w:abstractNumId w:val="991"/>
  </w:num>
  <w:num w:numId="1826">
    <w:abstractNumId w:val="991"/>
  </w:num>
  <w:num w:numId="1827">
    <w:abstractNumId w:val="991"/>
  </w:num>
  <w:num w:numId="1828">
    <w:abstractNumId w:val="991"/>
  </w:num>
  <w:num w:numId="1829">
    <w:abstractNumId w:val="991"/>
  </w:num>
  <w:num w:numId="1830">
    <w:abstractNumId w:val="991"/>
  </w:num>
  <w:num w:numId="1831">
    <w:abstractNumId w:val="991"/>
  </w:num>
  <w:num w:numId="1832">
    <w:abstractNumId w:val="991"/>
  </w:num>
  <w:num w:numId="1833">
    <w:abstractNumId w:val="991"/>
  </w:num>
  <w:num w:numId="1834">
    <w:abstractNumId w:val="991"/>
  </w:num>
  <w:num w:numId="1835">
    <w:abstractNumId w:val="991"/>
  </w:num>
  <w:num w:numId="1836">
    <w:abstractNumId w:val="991"/>
  </w:num>
  <w:num w:numId="1837">
    <w:abstractNumId w:val="991"/>
  </w:num>
  <w:num w:numId="1838">
    <w:abstractNumId w:val="991"/>
  </w:num>
  <w:num w:numId="1839">
    <w:abstractNumId w:val="991"/>
  </w:num>
  <w:num w:numId="1840">
    <w:abstractNumId w:val="991"/>
  </w:num>
  <w:num w:numId="1841">
    <w:abstractNumId w:val="991"/>
  </w:num>
  <w:num w:numId="1842">
    <w:abstractNumId w:val="991"/>
  </w:num>
  <w:num w:numId="1843">
    <w:abstractNumId w:val="991"/>
  </w:num>
  <w:num w:numId="1844">
    <w:abstractNumId w:val="991"/>
  </w:num>
  <w:num w:numId="1845">
    <w:abstractNumId w:val="991"/>
  </w:num>
  <w:num w:numId="1846">
    <w:abstractNumId w:val="991"/>
  </w:num>
  <w:num w:numId="1847">
    <w:abstractNumId w:val="991"/>
  </w:num>
  <w:num w:numId="1848">
    <w:abstractNumId w:val="991"/>
  </w:num>
  <w:num w:numId="1849">
    <w:abstractNumId w:val="991"/>
  </w:num>
  <w:num w:numId="1850">
    <w:abstractNumId w:val="991"/>
  </w:num>
  <w:num w:numId="1851">
    <w:abstractNumId w:val="991"/>
  </w:num>
  <w:num w:numId="1852">
    <w:abstractNumId w:val="991"/>
  </w:num>
  <w:num w:numId="1853">
    <w:abstractNumId w:val="991"/>
  </w:num>
  <w:num w:numId="1854">
    <w:abstractNumId w:val="991"/>
  </w:num>
  <w:num w:numId="1855">
    <w:abstractNumId w:val="991"/>
  </w:num>
  <w:num w:numId="1856">
    <w:abstractNumId w:val="991"/>
  </w:num>
  <w:num w:numId="1857">
    <w:abstractNumId w:val="991"/>
  </w:num>
  <w:num w:numId="1858">
    <w:abstractNumId w:val="991"/>
  </w:num>
  <w:num w:numId="1859">
    <w:abstractNumId w:val="991"/>
  </w:num>
  <w:num w:numId="1860">
    <w:abstractNumId w:val="991"/>
  </w:num>
  <w:num w:numId="1861">
    <w:abstractNumId w:val="991"/>
  </w:num>
  <w:num w:numId="1862">
    <w:abstractNumId w:val="991"/>
  </w:num>
  <w:num w:numId="1863">
    <w:abstractNumId w:val="991"/>
  </w:num>
  <w:num w:numId="1864">
    <w:abstractNumId w:val="991"/>
  </w:num>
  <w:num w:numId="1865">
    <w:abstractNumId w:val="991"/>
  </w:num>
  <w:num w:numId="1866">
    <w:abstractNumId w:val="991"/>
  </w:num>
  <w:num w:numId="1867">
    <w:abstractNumId w:val="991"/>
  </w:num>
  <w:num w:numId="1868">
    <w:abstractNumId w:val="991"/>
  </w:num>
  <w:num w:numId="1869">
    <w:abstractNumId w:val="991"/>
  </w:num>
  <w:num w:numId="1870">
    <w:abstractNumId w:val="991"/>
  </w:num>
  <w:num w:numId="1871">
    <w:abstractNumId w:val="991"/>
  </w:num>
  <w:num w:numId="1872">
    <w:abstractNumId w:val="991"/>
  </w:num>
  <w:num w:numId="1873">
    <w:abstractNumId w:val="991"/>
  </w:num>
  <w:num w:numId="1874">
    <w:abstractNumId w:val="991"/>
  </w:num>
  <w:num w:numId="1875">
    <w:abstractNumId w:val="991"/>
  </w:num>
  <w:num w:numId="1876">
    <w:abstractNumId w:val="991"/>
  </w:num>
  <w:num w:numId="1877">
    <w:abstractNumId w:val="991"/>
  </w:num>
  <w:num w:numId="1878">
    <w:abstractNumId w:val="991"/>
  </w:num>
  <w:num w:numId="1879">
    <w:abstractNumId w:val="991"/>
  </w:num>
  <w:num w:numId="1880">
    <w:abstractNumId w:val="991"/>
  </w:num>
  <w:num w:numId="1881">
    <w:abstractNumId w:val="991"/>
  </w:num>
  <w:num w:numId="1882">
    <w:abstractNumId w:val="991"/>
  </w:num>
  <w:num w:numId="1883">
    <w:abstractNumId w:val="991"/>
  </w:num>
  <w:num w:numId="1884">
    <w:abstractNumId w:val="991"/>
  </w:num>
  <w:num w:numId="1885">
    <w:abstractNumId w:val="991"/>
  </w:num>
  <w:num w:numId="1886">
    <w:abstractNumId w:val="991"/>
  </w:num>
  <w:num w:numId="1887">
    <w:abstractNumId w:val="991"/>
  </w:num>
  <w:num w:numId="1888">
    <w:abstractNumId w:val="991"/>
  </w:num>
  <w:num w:numId="1889">
    <w:abstractNumId w:val="991"/>
  </w:num>
  <w:num w:numId="1890">
    <w:abstractNumId w:val="991"/>
  </w:num>
  <w:num w:numId="1891">
    <w:abstractNumId w:val="991"/>
  </w:num>
  <w:num w:numId="1892">
    <w:abstractNumId w:val="991"/>
  </w:num>
  <w:num w:numId="1893">
    <w:abstractNumId w:val="991"/>
  </w:num>
  <w:num w:numId="1894">
    <w:abstractNumId w:val="991"/>
  </w:num>
  <w:num w:numId="1895">
    <w:abstractNumId w:val="991"/>
  </w:num>
  <w:num w:numId="1896">
    <w:abstractNumId w:val="991"/>
  </w:num>
  <w:num w:numId="1897">
    <w:abstractNumId w:val="991"/>
  </w:num>
  <w:num w:numId="1898">
    <w:abstractNumId w:val="991"/>
  </w:num>
  <w:num w:numId="1899">
    <w:abstractNumId w:val="991"/>
  </w:num>
  <w:num w:numId="1900">
    <w:abstractNumId w:val="991"/>
  </w:num>
  <w:num w:numId="1901">
    <w:abstractNumId w:val="991"/>
  </w:num>
  <w:num w:numId="1902">
    <w:abstractNumId w:val="991"/>
  </w:num>
  <w:num w:numId="1903">
    <w:abstractNumId w:val="991"/>
  </w:num>
  <w:num w:numId="1904">
    <w:abstractNumId w:val="991"/>
  </w:num>
  <w:num w:numId="1905">
    <w:abstractNumId w:val="991"/>
  </w:num>
  <w:num w:numId="1906">
    <w:abstractNumId w:val="991"/>
  </w:num>
  <w:num w:numId="1907">
    <w:abstractNumId w:val="991"/>
  </w:num>
  <w:num w:numId="1908">
    <w:abstractNumId w:val="991"/>
  </w:num>
  <w:num w:numId="1909">
    <w:abstractNumId w:val="991"/>
  </w:num>
  <w:num w:numId="1910">
    <w:abstractNumId w:val="991"/>
  </w:num>
  <w:num w:numId="1911">
    <w:abstractNumId w:val="991"/>
  </w:num>
  <w:num w:numId="1912">
    <w:abstractNumId w:val="991"/>
  </w:num>
  <w:num w:numId="1913">
    <w:abstractNumId w:val="991"/>
  </w:num>
  <w:num w:numId="1914">
    <w:abstractNumId w:val="991"/>
  </w:num>
  <w:num w:numId="1915">
    <w:abstractNumId w:val="991"/>
  </w:num>
  <w:num w:numId="1916">
    <w:abstractNumId w:val="991"/>
  </w:num>
  <w:num w:numId="1917">
    <w:abstractNumId w:val="991"/>
  </w:num>
  <w:num w:numId="1918">
    <w:abstractNumId w:val="991"/>
  </w:num>
  <w:num w:numId="1919">
    <w:abstractNumId w:val="991"/>
  </w:num>
  <w:num w:numId="1920">
    <w:abstractNumId w:val="991"/>
  </w:num>
  <w:num w:numId="1921">
    <w:abstractNumId w:val="991"/>
  </w:num>
  <w:num w:numId="1922">
    <w:abstractNumId w:val="991"/>
  </w:num>
  <w:num w:numId="1923">
    <w:abstractNumId w:val="991"/>
  </w:num>
  <w:num w:numId="1924">
    <w:abstractNumId w:val="991"/>
  </w:num>
  <w:num w:numId="1925">
    <w:abstractNumId w:val="991"/>
  </w:num>
  <w:num w:numId="1926">
    <w:abstractNumId w:val="991"/>
  </w:num>
  <w:num w:numId="1927">
    <w:abstractNumId w:val="991"/>
  </w:num>
  <w:num w:numId="1928">
    <w:abstractNumId w:val="991"/>
  </w:num>
  <w:num w:numId="1929">
    <w:abstractNumId w:val="991"/>
  </w:num>
  <w:num w:numId="1930">
    <w:abstractNumId w:val="991"/>
  </w:num>
  <w:num w:numId="1931">
    <w:abstractNumId w:val="991"/>
  </w:num>
  <w:num w:numId="1932">
    <w:abstractNumId w:val="991"/>
  </w:num>
  <w:num w:numId="1933">
    <w:abstractNumId w:val="991"/>
  </w:num>
  <w:num w:numId="1934">
    <w:abstractNumId w:val="991"/>
  </w:num>
  <w:num w:numId="1935">
    <w:abstractNumId w:val="991"/>
  </w:num>
  <w:num w:numId="1936">
    <w:abstractNumId w:val="991"/>
  </w:num>
  <w:num w:numId="1937">
    <w:abstractNumId w:val="991"/>
  </w:num>
  <w:num w:numId="1938">
    <w:abstractNumId w:val="991"/>
  </w:num>
  <w:num w:numId="1939">
    <w:abstractNumId w:val="991"/>
  </w:num>
  <w:num w:numId="1940">
    <w:abstractNumId w:val="991"/>
  </w:num>
  <w:num w:numId="1941">
    <w:abstractNumId w:val="991"/>
  </w:num>
  <w:num w:numId="1942">
    <w:abstractNumId w:val="991"/>
  </w:num>
  <w:num w:numId="1943">
    <w:abstractNumId w:val="991"/>
  </w:num>
  <w:num w:numId="1944">
    <w:abstractNumId w:val="991"/>
  </w:num>
  <w:num w:numId="1945">
    <w:abstractNumId w:val="991"/>
  </w:num>
  <w:num w:numId="1946">
    <w:abstractNumId w:val="991"/>
  </w:num>
  <w:num w:numId="1947">
    <w:abstractNumId w:val="991"/>
  </w:num>
  <w:num w:numId="1948">
    <w:abstractNumId w:val="991"/>
  </w:num>
  <w:num w:numId="1949">
    <w:abstractNumId w:val="991"/>
  </w:num>
  <w:num w:numId="1950">
    <w:abstractNumId w:val="991"/>
  </w:num>
  <w:num w:numId="1951">
    <w:abstractNumId w:val="991"/>
  </w:num>
  <w:num w:numId="1952">
    <w:abstractNumId w:val="991"/>
  </w:num>
  <w:num w:numId="1953">
    <w:abstractNumId w:val="991"/>
  </w:num>
  <w:num w:numId="1954">
    <w:abstractNumId w:val="991"/>
  </w:num>
  <w:num w:numId="1955">
    <w:abstractNumId w:val="991"/>
  </w:num>
  <w:num w:numId="1956">
    <w:abstractNumId w:val="991"/>
  </w:num>
  <w:num w:numId="1957">
    <w:abstractNumId w:val="991"/>
  </w:num>
  <w:num w:numId="1958">
    <w:abstractNumId w:val="991"/>
  </w:num>
  <w:num w:numId="1959">
    <w:abstractNumId w:val="991"/>
  </w:num>
  <w:num w:numId="1960">
    <w:abstractNumId w:val="991"/>
  </w:num>
  <w:num w:numId="1961">
    <w:abstractNumId w:val="991"/>
  </w:num>
  <w:num w:numId="1962">
    <w:abstractNumId w:val="991"/>
  </w:num>
  <w:num w:numId="1963">
    <w:abstractNumId w:val="991"/>
  </w:num>
  <w:num w:numId="1964">
    <w:abstractNumId w:val="991"/>
  </w:num>
  <w:num w:numId="1965">
    <w:abstractNumId w:val="991"/>
  </w:num>
  <w:num w:numId="1966">
    <w:abstractNumId w:val="991"/>
  </w:num>
  <w:num w:numId="1967">
    <w:abstractNumId w:val="991"/>
  </w:num>
  <w:num w:numId="1968">
    <w:abstractNumId w:val="991"/>
  </w:num>
  <w:num w:numId="1969">
    <w:abstractNumId w:val="991"/>
  </w:num>
  <w:num w:numId="1970">
    <w:abstractNumId w:val="991"/>
  </w:num>
  <w:num w:numId="1971">
    <w:abstractNumId w:val="991"/>
  </w:num>
  <w:num w:numId="1972">
    <w:abstractNumId w:val="991"/>
  </w:num>
  <w:num w:numId="1973">
    <w:abstractNumId w:val="991"/>
  </w:num>
  <w:num w:numId="1974">
    <w:abstractNumId w:val="991"/>
  </w:num>
  <w:num w:numId="1975">
    <w:abstractNumId w:val="991"/>
  </w:num>
  <w:num w:numId="1976">
    <w:abstractNumId w:val="991"/>
  </w:num>
  <w:num w:numId="1977">
    <w:abstractNumId w:val="991"/>
  </w:num>
  <w:num w:numId="1978">
    <w:abstractNumId w:val="991"/>
  </w:num>
  <w:num w:numId="1979">
    <w:abstractNumId w:val="991"/>
  </w:num>
  <w:num w:numId="1980">
    <w:abstractNumId w:val="991"/>
  </w:num>
  <w:num w:numId="1981">
    <w:abstractNumId w:val="991"/>
  </w:num>
  <w:num w:numId="1982">
    <w:abstractNumId w:val="991"/>
  </w:num>
  <w:num w:numId="1983">
    <w:abstractNumId w:val="991"/>
  </w:num>
  <w:num w:numId="1984">
    <w:abstractNumId w:val="991"/>
  </w:num>
  <w:num w:numId="1985">
    <w:abstractNumId w:val="991"/>
  </w:num>
  <w:num w:numId="1986">
    <w:abstractNumId w:val="991"/>
  </w:num>
  <w:num w:numId="1987">
    <w:abstractNumId w:val="991"/>
  </w:num>
  <w:num w:numId="1988">
    <w:abstractNumId w:val="991"/>
  </w:num>
  <w:num w:numId="1989">
    <w:abstractNumId w:val="991"/>
  </w:num>
  <w:num w:numId="1990">
    <w:abstractNumId w:val="991"/>
  </w:num>
  <w:num w:numId="1991">
    <w:abstractNumId w:val="991"/>
  </w:num>
  <w:num w:numId="1992">
    <w:abstractNumId w:val="991"/>
  </w:num>
  <w:num w:numId="1993">
    <w:abstractNumId w:val="991"/>
  </w:num>
  <w:num w:numId="1994">
    <w:abstractNumId w:val="991"/>
  </w:num>
  <w:num w:numId="1995">
    <w:abstractNumId w:val="991"/>
  </w:num>
  <w:num w:numId="1996">
    <w:abstractNumId w:val="991"/>
  </w:num>
  <w:num w:numId="1997">
    <w:abstractNumId w:val="991"/>
  </w:num>
  <w:num w:numId="1998">
    <w:abstractNumId w:val="991"/>
  </w:num>
  <w:num w:numId="1999">
    <w:abstractNumId w:val="991"/>
  </w:num>
  <w:num w:numId="2000">
    <w:abstractNumId w:val="991"/>
  </w:num>
  <w:num w:numId="2001">
    <w:abstractNumId w:val="991"/>
  </w:num>
  <w:num w:numId="2002">
    <w:abstractNumId w:val="991"/>
  </w:num>
  <w:num w:numId="2003">
    <w:abstractNumId w:val="991"/>
  </w:num>
  <w:num w:numId="2004">
    <w:abstractNumId w:val="991"/>
  </w:num>
  <w:num w:numId="2005">
    <w:abstractNumId w:val="991"/>
  </w:num>
  <w:num w:numId="2006">
    <w:abstractNumId w:val="991"/>
  </w:num>
  <w:num w:numId="2007">
    <w:abstractNumId w:val="991"/>
  </w:num>
  <w:num w:numId="2008">
    <w:abstractNumId w:val="991"/>
  </w:num>
  <w:num w:numId="2009">
    <w:abstractNumId w:val="991"/>
  </w:num>
  <w:num w:numId="2010">
    <w:abstractNumId w:val="991"/>
  </w:num>
  <w:num w:numId="2011">
    <w:abstractNumId w:val="991"/>
  </w:num>
  <w:num w:numId="2012">
    <w:abstractNumId w:val="991"/>
  </w:num>
  <w:num w:numId="2013">
    <w:abstractNumId w:val="991"/>
  </w:num>
  <w:num w:numId="2014">
    <w:abstractNumId w:val="991"/>
  </w:num>
  <w:num w:numId="2015">
    <w:abstractNumId w:val="991"/>
  </w:num>
  <w:num w:numId="2016">
    <w:abstractNumId w:val="991"/>
  </w:num>
  <w:num w:numId="2017">
    <w:abstractNumId w:val="991"/>
  </w:num>
  <w:num w:numId="2018">
    <w:abstractNumId w:val="991"/>
  </w:num>
  <w:num w:numId="2019">
    <w:abstractNumId w:val="991"/>
  </w:num>
  <w:num w:numId="2020">
    <w:abstractNumId w:val="991"/>
  </w:num>
  <w:num w:numId="2021">
    <w:abstractNumId w:val="991"/>
  </w:num>
  <w:num w:numId="2022">
    <w:abstractNumId w:val="991"/>
  </w:num>
  <w:num w:numId="2023">
    <w:abstractNumId w:val="991"/>
  </w:num>
  <w:num w:numId="2024">
    <w:abstractNumId w:val="991"/>
  </w:num>
  <w:num w:numId="2025">
    <w:abstractNumId w:val="991"/>
  </w:num>
  <w:num w:numId="2026">
    <w:abstractNumId w:val="991"/>
  </w:num>
  <w:num w:numId="2027">
    <w:abstractNumId w:val="991"/>
  </w:num>
  <w:num w:numId="2028">
    <w:abstractNumId w:val="991"/>
  </w:num>
  <w:num w:numId="2029">
    <w:abstractNumId w:val="991"/>
  </w:num>
  <w:num w:numId="2030">
    <w:abstractNumId w:val="991"/>
  </w:num>
  <w:num w:numId="2031">
    <w:abstractNumId w:val="991"/>
  </w:num>
  <w:num w:numId="2032">
    <w:abstractNumId w:val="991"/>
  </w:num>
  <w:num w:numId="2033">
    <w:abstractNumId w:val="991"/>
  </w:num>
  <w:num w:numId="2034">
    <w:abstractNumId w:val="991"/>
  </w:num>
  <w:num w:numId="2035">
    <w:abstractNumId w:val="991"/>
  </w:num>
  <w:num w:numId="2036">
    <w:abstractNumId w:val="991"/>
  </w:num>
  <w:num w:numId="2037">
    <w:abstractNumId w:val="991"/>
  </w:num>
  <w:num w:numId="2038">
    <w:abstractNumId w:val="991"/>
  </w:num>
  <w:num w:numId="2039">
    <w:abstractNumId w:val="991"/>
  </w:num>
  <w:num w:numId="2040">
    <w:abstractNumId w:val="991"/>
  </w:num>
  <w:num w:numId="2041">
    <w:abstractNumId w:val="991"/>
  </w:num>
  <w:num w:numId="2042">
    <w:abstractNumId w:val="991"/>
  </w:num>
  <w:num w:numId="2043">
    <w:abstractNumId w:val="991"/>
  </w:num>
  <w:num w:numId="2044">
    <w:abstractNumId w:val="991"/>
  </w:num>
  <w:num w:numId="2045">
    <w:abstractNumId w:val="991"/>
  </w:num>
  <w:num w:numId="2046">
    <w:abstractNumId w:val="991"/>
  </w:num>
  <w:num w:numId="2047">
    <w:abstractNumId w:val="991"/>
  </w:num>
  <w:num w:numId="2048">
    <w:abstractNumId w:val="991"/>
  </w:num>
  <w:num w:numId="2049">
    <w:abstractNumId w:val="991"/>
  </w:num>
  <w:num w:numId="2050">
    <w:abstractNumId w:val="991"/>
  </w:num>
  <w:num w:numId="2051">
    <w:abstractNumId w:val="991"/>
  </w:num>
  <w:num w:numId="2052">
    <w:abstractNumId w:val="991"/>
  </w:num>
  <w:num w:numId="2053">
    <w:abstractNumId w:val="991"/>
  </w:num>
  <w:num w:numId="2054">
    <w:abstractNumId w:val="991"/>
  </w:num>
  <w:num w:numId="2055">
    <w:abstractNumId w:val="991"/>
  </w:num>
  <w:num w:numId="2056">
    <w:abstractNumId w:val="991"/>
  </w:num>
  <w:num w:numId="2057">
    <w:abstractNumId w:val="991"/>
  </w:num>
  <w:num w:numId="2058">
    <w:abstractNumId w:val="991"/>
  </w:num>
  <w:num w:numId="2059">
    <w:abstractNumId w:val="991"/>
  </w:num>
  <w:num w:numId="2060">
    <w:abstractNumId w:val="991"/>
  </w:num>
  <w:num w:numId="2061">
    <w:abstractNumId w:val="991"/>
  </w:num>
  <w:num w:numId="2062">
    <w:abstractNumId w:val="991"/>
  </w:num>
  <w:num w:numId="2063">
    <w:abstractNumId w:val="991"/>
  </w:num>
  <w:num w:numId="2064">
    <w:abstractNumId w:val="991"/>
  </w:num>
  <w:num w:numId="2065">
    <w:abstractNumId w:val="991"/>
  </w:num>
  <w:num w:numId="2066">
    <w:abstractNumId w:val="991"/>
  </w:num>
  <w:num w:numId="2067">
    <w:abstractNumId w:val="991"/>
  </w:num>
  <w:num w:numId="2068">
    <w:abstractNumId w:val="991"/>
  </w:num>
  <w:num w:numId="2069">
    <w:abstractNumId w:val="991"/>
  </w:num>
  <w:num w:numId="2070">
    <w:abstractNumId w:val="991"/>
  </w:num>
  <w:num w:numId="2071">
    <w:abstractNumId w:val="991"/>
  </w:num>
  <w:num w:numId="2072">
    <w:abstractNumId w:val="991"/>
  </w:num>
  <w:num w:numId="2073">
    <w:abstractNumId w:val="991"/>
  </w:num>
  <w:num w:numId="2074">
    <w:abstractNumId w:val="991"/>
  </w:num>
  <w:num w:numId="2075">
    <w:abstractNumId w:val="991"/>
  </w:num>
  <w:num w:numId="2076">
    <w:abstractNumId w:val="991"/>
  </w:num>
  <w:num w:numId="2077">
    <w:abstractNumId w:val="991"/>
  </w:num>
  <w:num w:numId="2078">
    <w:abstractNumId w:val="991"/>
  </w:num>
  <w:num w:numId="2079">
    <w:abstractNumId w:val="991"/>
  </w:num>
  <w:num w:numId="2080">
    <w:abstractNumId w:val="991"/>
  </w:num>
  <w:num w:numId="2081">
    <w:abstractNumId w:val="991"/>
  </w:num>
  <w:num w:numId="2082">
    <w:abstractNumId w:val="991"/>
  </w:num>
  <w:num w:numId="2083">
    <w:abstractNumId w:val="991"/>
  </w:num>
  <w:num w:numId="2084">
    <w:abstractNumId w:val="991"/>
  </w:num>
  <w:num w:numId="2085">
    <w:abstractNumId w:val="991"/>
  </w:num>
  <w:num w:numId="2086">
    <w:abstractNumId w:val="991"/>
  </w:num>
  <w:num w:numId="2087">
    <w:abstractNumId w:val="991"/>
  </w:num>
  <w:num w:numId="2088">
    <w:abstractNumId w:val="991"/>
  </w:num>
  <w:num w:numId="2089">
    <w:abstractNumId w:val="991"/>
  </w:num>
  <w:num w:numId="2090">
    <w:abstractNumId w:val="991"/>
  </w:num>
  <w:num w:numId="2091">
    <w:abstractNumId w:val="991"/>
  </w:num>
  <w:num w:numId="2092">
    <w:abstractNumId w:val="991"/>
  </w:num>
  <w:num w:numId="2093">
    <w:abstractNumId w:val="991"/>
  </w:num>
  <w:num w:numId="2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5">
    <w:abstractNumId w:val="991"/>
  </w:num>
  <w:num w:numId="2096">
    <w:abstractNumId w:val="991"/>
  </w:num>
  <w:num w:numId="2097">
    <w:abstractNumId w:val="991"/>
  </w:num>
  <w:num w:numId="2098">
    <w:abstractNumId w:val="991"/>
  </w:num>
  <w:num w:numId="2099">
    <w:abstractNumId w:val="991"/>
  </w:num>
  <w:num w:numId="2100">
    <w:abstractNumId w:val="991"/>
  </w:num>
  <w:num w:numId="2101">
    <w:abstractNumId w:val="991"/>
  </w:num>
  <w:num w:numId="2102">
    <w:abstractNumId w:val="991"/>
  </w:num>
  <w:num w:numId="2103">
    <w:abstractNumId w:val="991"/>
  </w:num>
  <w:num w:numId="2104">
    <w:abstractNumId w:val="991"/>
  </w:num>
  <w:num w:numId="2105">
    <w:abstractNumId w:val="991"/>
  </w:num>
  <w:num w:numId="2106">
    <w:abstractNumId w:val="991"/>
  </w:num>
  <w:num w:numId="2107">
    <w:abstractNumId w:val="991"/>
  </w:num>
  <w:num w:numId="2108">
    <w:abstractNumId w:val="991"/>
  </w:num>
  <w:num w:numId="2109">
    <w:abstractNumId w:val="991"/>
  </w:num>
  <w:num w:numId="2110">
    <w:abstractNumId w:val="991"/>
  </w:num>
  <w:num w:numId="2111">
    <w:abstractNumId w:val="991"/>
  </w:num>
  <w:num w:numId="2112">
    <w:abstractNumId w:val="991"/>
  </w:num>
  <w:num w:numId="2113">
    <w:abstractNumId w:val="991"/>
  </w:num>
  <w:num w:numId="2114">
    <w:abstractNumId w:val="991"/>
  </w:num>
  <w:num w:numId="2115">
    <w:abstractNumId w:val="991"/>
  </w:num>
  <w:num w:numId="2116">
    <w:abstractNumId w:val="991"/>
  </w:num>
  <w:num w:numId="2117">
    <w:abstractNumId w:val="991"/>
  </w:num>
  <w:num w:numId="2118">
    <w:abstractNumId w:val="991"/>
  </w:num>
  <w:num w:numId="2119">
    <w:abstractNumId w:val="991"/>
  </w:num>
  <w:num w:numId="2120">
    <w:abstractNumId w:val="991"/>
  </w:num>
  <w:num w:numId="2121">
    <w:abstractNumId w:val="991"/>
  </w:num>
  <w:num w:numId="2122">
    <w:abstractNumId w:val="991"/>
  </w:num>
  <w:num w:numId="2123">
    <w:abstractNumId w:val="991"/>
  </w:num>
  <w:num w:numId="2124">
    <w:abstractNumId w:val="991"/>
  </w:num>
  <w:num w:numId="2125">
    <w:abstractNumId w:val="991"/>
  </w:num>
  <w:num w:numId="2126">
    <w:abstractNumId w:val="991"/>
  </w:num>
  <w:num w:numId="2127">
    <w:abstractNumId w:val="991"/>
  </w:num>
  <w:num w:numId="2128">
    <w:abstractNumId w:val="991"/>
  </w:num>
  <w:num w:numId="2129">
    <w:abstractNumId w:val="991"/>
  </w:num>
  <w:num w:numId="2130">
    <w:abstractNumId w:val="991"/>
  </w:num>
  <w:num w:numId="2131">
    <w:abstractNumId w:val="991"/>
  </w:num>
  <w:num w:numId="2132">
    <w:abstractNumId w:val="991"/>
  </w:num>
  <w:num w:numId="2133">
    <w:abstractNumId w:val="991"/>
  </w:num>
  <w:num w:numId="2134">
    <w:abstractNumId w:val="991"/>
  </w:num>
  <w:num w:numId="2135">
    <w:abstractNumId w:val="991"/>
  </w:num>
  <w:num w:numId="2136">
    <w:abstractNumId w:val="991"/>
  </w:num>
  <w:num w:numId="2137">
    <w:abstractNumId w:val="991"/>
  </w:num>
  <w:num w:numId="2138">
    <w:abstractNumId w:val="991"/>
  </w:num>
  <w:num w:numId="2139">
    <w:abstractNumId w:val="991"/>
  </w:num>
  <w:num w:numId="2140">
    <w:abstractNumId w:val="991"/>
  </w:num>
  <w:num w:numId="2141">
    <w:abstractNumId w:val="991"/>
  </w:num>
  <w:num w:numId="2142">
    <w:abstractNumId w:val="991"/>
  </w:num>
  <w:num w:numId="2143">
    <w:abstractNumId w:val="991"/>
  </w:num>
  <w:num w:numId="2144">
    <w:abstractNumId w:val="991"/>
  </w:num>
  <w:num w:numId="2145">
    <w:abstractNumId w:val="991"/>
  </w:num>
  <w:num w:numId="2146">
    <w:abstractNumId w:val="991"/>
  </w:num>
  <w:num w:numId="2147">
    <w:abstractNumId w:val="991"/>
  </w:num>
  <w:num w:numId="2148">
    <w:abstractNumId w:val="991"/>
  </w:num>
  <w:num w:numId="2149">
    <w:abstractNumId w:val="991"/>
  </w:num>
  <w:num w:numId="2150">
    <w:abstractNumId w:val="991"/>
  </w:num>
  <w:num w:numId="2151">
    <w:abstractNumId w:val="991"/>
  </w:num>
  <w:num w:numId="2152">
    <w:abstractNumId w:val="991"/>
  </w:num>
  <w:num w:numId="2153">
    <w:abstractNumId w:val="991"/>
  </w:num>
  <w:num w:numId="2154">
    <w:abstractNumId w:val="991"/>
  </w:num>
  <w:num w:numId="2155">
    <w:abstractNumId w:val="991"/>
  </w:num>
  <w:num w:numId="2156">
    <w:abstractNumId w:val="991"/>
  </w:num>
  <w:num w:numId="2157">
    <w:abstractNumId w:val="991"/>
  </w:num>
  <w:num w:numId="2158">
    <w:abstractNumId w:val="991"/>
  </w:num>
  <w:num w:numId="2159">
    <w:abstractNumId w:val="991"/>
  </w:num>
  <w:num w:numId="2160">
    <w:abstractNumId w:val="991"/>
  </w:num>
  <w:num w:numId="2161">
    <w:abstractNumId w:val="991"/>
  </w:num>
  <w:num w:numId="2162">
    <w:abstractNumId w:val="991"/>
  </w:num>
  <w:num w:numId="2163">
    <w:abstractNumId w:val="991"/>
  </w:num>
  <w:num w:numId="2164">
    <w:abstractNumId w:val="991"/>
  </w:num>
  <w:num w:numId="2165">
    <w:abstractNumId w:val="991"/>
  </w:num>
  <w:num w:numId="2166">
    <w:abstractNumId w:val="991"/>
  </w:num>
  <w:num w:numId="2167">
    <w:abstractNumId w:val="991"/>
  </w:num>
  <w:num w:numId="2168">
    <w:abstractNumId w:val="991"/>
  </w:num>
  <w:num w:numId="2169">
    <w:abstractNumId w:val="991"/>
  </w:num>
  <w:num w:numId="2170">
    <w:abstractNumId w:val="991"/>
  </w:num>
  <w:num w:numId="2171">
    <w:abstractNumId w:val="991"/>
  </w:num>
  <w:num w:numId="2172">
    <w:abstractNumId w:val="991"/>
  </w:num>
  <w:num w:numId="2173">
    <w:abstractNumId w:val="991"/>
  </w:num>
  <w:num w:numId="2174">
    <w:abstractNumId w:val="991"/>
  </w:num>
  <w:num w:numId="2175">
    <w:abstractNumId w:val="991"/>
  </w:num>
  <w:num w:numId="2176">
    <w:abstractNumId w:val="991"/>
  </w:num>
  <w:num w:numId="2177">
    <w:abstractNumId w:val="991"/>
  </w:num>
  <w:num w:numId="2178">
    <w:abstractNumId w:val="991"/>
  </w:num>
  <w:num w:numId="2179">
    <w:abstractNumId w:val="991"/>
  </w:num>
  <w:num w:numId="2180">
    <w:abstractNumId w:val="991"/>
  </w:num>
  <w:num w:numId="2181">
    <w:abstractNumId w:val="991"/>
  </w:num>
  <w:num w:numId="2182">
    <w:abstractNumId w:val="991"/>
  </w:num>
  <w:num w:numId="2183">
    <w:abstractNumId w:val="991"/>
  </w:num>
  <w:num w:numId="2184">
    <w:abstractNumId w:val="991"/>
  </w:num>
  <w:num w:numId="2185">
    <w:abstractNumId w:val="991"/>
  </w:num>
  <w:num w:numId="2186">
    <w:abstractNumId w:val="991"/>
  </w:num>
  <w:num w:numId="2187">
    <w:abstractNumId w:val="991"/>
  </w:num>
  <w:num w:numId="2188">
    <w:abstractNumId w:val="991"/>
  </w:num>
  <w:num w:numId="2189">
    <w:abstractNumId w:val="991"/>
  </w:num>
  <w:num w:numId="2190">
    <w:abstractNumId w:val="991"/>
  </w:num>
  <w:num w:numId="2191">
    <w:abstractNumId w:val="991"/>
  </w:num>
  <w:num w:numId="2192">
    <w:abstractNumId w:val="991"/>
  </w:num>
  <w:num w:numId="2193">
    <w:abstractNumId w:val="991"/>
  </w:num>
  <w:num w:numId="2194">
    <w:abstractNumId w:val="991"/>
  </w:num>
  <w:num w:numId="2195">
    <w:abstractNumId w:val="991"/>
  </w:num>
  <w:num w:numId="2196">
    <w:abstractNumId w:val="991"/>
  </w:num>
  <w:num w:numId="2197">
    <w:abstractNumId w:val="991"/>
  </w:num>
  <w:num w:numId="2198">
    <w:abstractNumId w:val="991"/>
  </w:num>
  <w:num w:numId="2199">
    <w:abstractNumId w:val="991"/>
  </w:num>
  <w:num w:numId="2200">
    <w:abstractNumId w:val="991"/>
  </w:num>
  <w:num w:numId="2201">
    <w:abstractNumId w:val="991"/>
  </w:num>
  <w:num w:numId="2202">
    <w:abstractNumId w:val="991"/>
  </w:num>
  <w:num w:numId="2203">
    <w:abstractNumId w:val="991"/>
  </w:num>
  <w:num w:numId="2204">
    <w:abstractNumId w:val="991"/>
  </w:num>
  <w:num w:numId="2205">
    <w:abstractNumId w:val="991"/>
  </w:num>
  <w:num w:numId="2206">
    <w:abstractNumId w:val="991"/>
  </w:num>
  <w:num w:numId="2207">
    <w:abstractNumId w:val="991"/>
  </w:num>
  <w:num w:numId="2208">
    <w:abstractNumId w:val="991"/>
  </w:num>
  <w:num w:numId="2209">
    <w:abstractNumId w:val="991"/>
  </w:num>
  <w:num w:numId="2210">
    <w:abstractNumId w:val="991"/>
  </w:num>
  <w:num w:numId="2211">
    <w:abstractNumId w:val="991"/>
  </w:num>
  <w:num w:numId="2212">
    <w:abstractNumId w:val="991"/>
  </w:num>
  <w:num w:numId="2213">
    <w:abstractNumId w:val="991"/>
  </w:num>
  <w:num w:numId="2214">
    <w:abstractNumId w:val="991"/>
  </w:num>
  <w:num w:numId="2215">
    <w:abstractNumId w:val="991"/>
  </w:num>
  <w:num w:numId="2216">
    <w:abstractNumId w:val="991"/>
  </w:num>
  <w:num w:numId="2217">
    <w:abstractNumId w:val="991"/>
  </w:num>
  <w:num w:numId="2218">
    <w:abstractNumId w:val="991"/>
  </w:num>
  <w:num w:numId="2219">
    <w:abstractNumId w:val="991"/>
  </w:num>
  <w:num w:numId="2220">
    <w:abstractNumId w:val="991"/>
  </w:num>
  <w:num w:numId="2221">
    <w:abstractNumId w:val="991"/>
  </w:num>
  <w:num w:numId="2222">
    <w:abstractNumId w:val="991"/>
  </w:num>
  <w:num w:numId="2223">
    <w:abstractNumId w:val="991"/>
  </w:num>
  <w:num w:numId="2224">
    <w:abstractNumId w:val="991"/>
  </w:num>
  <w:num w:numId="2225">
    <w:abstractNumId w:val="991"/>
  </w:num>
  <w:num w:numId="2226">
    <w:abstractNumId w:val="991"/>
  </w:num>
  <w:num w:numId="2227">
    <w:abstractNumId w:val="991"/>
  </w:num>
  <w:num w:numId="2228">
    <w:abstractNumId w:val="991"/>
  </w:num>
  <w:num w:numId="2229">
    <w:abstractNumId w:val="991"/>
  </w:num>
  <w:num w:numId="2230">
    <w:abstractNumId w:val="991"/>
  </w:num>
  <w:num w:numId="2231">
    <w:abstractNumId w:val="991"/>
  </w:num>
  <w:num w:numId="2232">
    <w:abstractNumId w:val="991"/>
  </w:num>
  <w:num w:numId="2233">
    <w:abstractNumId w:val="991"/>
  </w:num>
  <w:num w:numId="2234">
    <w:abstractNumId w:val="991"/>
  </w:num>
  <w:num w:numId="2235">
    <w:abstractNumId w:val="991"/>
  </w:num>
  <w:num w:numId="2236">
    <w:abstractNumId w:val="991"/>
  </w:num>
  <w:num w:numId="2237">
    <w:abstractNumId w:val="991"/>
  </w:num>
  <w:num w:numId="2238">
    <w:abstractNumId w:val="991"/>
  </w:num>
  <w:num w:numId="2239">
    <w:abstractNumId w:val="991"/>
  </w:num>
  <w:num w:numId="2240">
    <w:abstractNumId w:val="991"/>
  </w:num>
  <w:num w:numId="2241">
    <w:abstractNumId w:val="991"/>
  </w:num>
  <w:num w:numId="2242">
    <w:abstractNumId w:val="991"/>
  </w:num>
  <w:num w:numId="2243">
    <w:abstractNumId w:val="991"/>
  </w:num>
  <w:num w:numId="2244">
    <w:abstractNumId w:val="991"/>
  </w:num>
  <w:num w:numId="2245">
    <w:abstractNumId w:val="991"/>
  </w:num>
  <w:num w:numId="2246">
    <w:abstractNumId w:val="991"/>
  </w:num>
  <w:num w:numId="2247">
    <w:abstractNumId w:val="991"/>
  </w:num>
  <w:num w:numId="2248">
    <w:abstractNumId w:val="991"/>
  </w:num>
  <w:num w:numId="2249">
    <w:abstractNumId w:val="991"/>
  </w:num>
  <w:num w:numId="2250">
    <w:abstractNumId w:val="991"/>
  </w:num>
  <w:num w:numId="2251">
    <w:abstractNumId w:val="991"/>
  </w:num>
  <w:num w:numId="2252">
    <w:abstractNumId w:val="991"/>
  </w:num>
  <w:num w:numId="2253">
    <w:abstractNumId w:val="991"/>
  </w:num>
  <w:num w:numId="2254">
    <w:abstractNumId w:val="991"/>
  </w:num>
  <w:num w:numId="2255">
    <w:abstractNumId w:val="991"/>
  </w:num>
  <w:num w:numId="2256">
    <w:abstractNumId w:val="991"/>
  </w:num>
  <w:num w:numId="2257">
    <w:abstractNumId w:val="991"/>
  </w:num>
  <w:num w:numId="2258">
    <w:abstractNumId w:val="991"/>
  </w:num>
  <w:num w:numId="2259">
    <w:abstractNumId w:val="991"/>
  </w:num>
  <w:num w:numId="2260">
    <w:abstractNumId w:val="991"/>
  </w:num>
  <w:num w:numId="2261">
    <w:abstractNumId w:val="991"/>
  </w:num>
  <w:num w:numId="2262">
    <w:abstractNumId w:val="991"/>
  </w:num>
  <w:num w:numId="2263">
    <w:abstractNumId w:val="991"/>
  </w:num>
  <w:num w:numId="2264">
    <w:abstractNumId w:val="991"/>
  </w:num>
  <w:num w:numId="2265">
    <w:abstractNumId w:val="991"/>
  </w:num>
  <w:num w:numId="2266">
    <w:abstractNumId w:val="991"/>
  </w:num>
  <w:num w:numId="2267">
    <w:abstractNumId w:val="991"/>
  </w:num>
  <w:num w:numId="2268">
    <w:abstractNumId w:val="991"/>
  </w:num>
  <w:num w:numId="2269">
    <w:abstractNumId w:val="991"/>
  </w:num>
  <w:num w:numId="2270">
    <w:abstractNumId w:val="991"/>
  </w:num>
  <w:num w:numId="2271">
    <w:abstractNumId w:val="991"/>
  </w:num>
  <w:num w:numId="2272">
    <w:abstractNumId w:val="991"/>
  </w:num>
  <w:num w:numId="2273">
    <w:abstractNumId w:val="991"/>
  </w:num>
  <w:num w:numId="2274">
    <w:abstractNumId w:val="991"/>
  </w:num>
  <w:num w:numId="2275">
    <w:abstractNumId w:val="991"/>
  </w:num>
  <w:num w:numId="2276">
    <w:abstractNumId w:val="991"/>
  </w:num>
  <w:num w:numId="2277">
    <w:abstractNumId w:val="991"/>
  </w:num>
  <w:num w:numId="2278">
    <w:abstractNumId w:val="991"/>
  </w:num>
  <w:num w:numId="2279">
    <w:abstractNumId w:val="991"/>
  </w:num>
  <w:num w:numId="2280">
    <w:abstractNumId w:val="991"/>
  </w:num>
  <w:num w:numId="2281">
    <w:abstractNumId w:val="991"/>
  </w:num>
  <w:num w:numId="2282">
    <w:abstractNumId w:val="991"/>
  </w:num>
  <w:num w:numId="2283">
    <w:abstractNumId w:val="991"/>
  </w:num>
  <w:num w:numId="2284">
    <w:abstractNumId w:val="991"/>
  </w:num>
  <w:num w:numId="2285">
    <w:abstractNumId w:val="991"/>
  </w:num>
  <w:num w:numId="2286">
    <w:abstractNumId w:val="991"/>
  </w:num>
  <w:num w:numId="2287">
    <w:abstractNumId w:val="991"/>
  </w:num>
  <w:num w:numId="2288">
    <w:abstractNumId w:val="991"/>
  </w:num>
  <w:num w:numId="2289">
    <w:abstractNumId w:val="991"/>
  </w:num>
  <w:num w:numId="2290">
    <w:abstractNumId w:val="991"/>
  </w:num>
  <w:num w:numId="2291">
    <w:abstractNumId w:val="991"/>
  </w:num>
  <w:num w:numId="2292">
    <w:abstractNumId w:val="991"/>
  </w:num>
  <w:num w:numId="2293">
    <w:abstractNumId w:val="991"/>
  </w:num>
  <w:num w:numId="2294">
    <w:abstractNumId w:val="991"/>
  </w:num>
  <w:num w:numId="2295">
    <w:abstractNumId w:val="991"/>
  </w:num>
  <w:num w:numId="2296">
    <w:abstractNumId w:val="991"/>
  </w:num>
  <w:num w:numId="2297">
    <w:abstractNumId w:val="991"/>
  </w:num>
  <w:num w:numId="2298">
    <w:abstractNumId w:val="991"/>
  </w:num>
  <w:num w:numId="2299">
    <w:abstractNumId w:val="991"/>
  </w:num>
  <w:num w:numId="2300">
    <w:abstractNumId w:val="991"/>
  </w:num>
  <w:num w:numId="2301">
    <w:abstractNumId w:val="991"/>
  </w:num>
  <w:num w:numId="2302">
    <w:abstractNumId w:val="991"/>
  </w:num>
  <w:num w:numId="2303">
    <w:abstractNumId w:val="991"/>
  </w:num>
  <w:num w:numId="2304">
    <w:abstractNumId w:val="991"/>
  </w:num>
  <w:num w:numId="2305">
    <w:abstractNumId w:val="991"/>
  </w:num>
  <w:num w:numId="2306">
    <w:abstractNumId w:val="991"/>
  </w:num>
  <w:num w:numId="2307">
    <w:abstractNumId w:val="991"/>
  </w:num>
  <w:num w:numId="2308">
    <w:abstractNumId w:val="991"/>
  </w:num>
  <w:num w:numId="2309">
    <w:abstractNumId w:val="991"/>
  </w:num>
  <w:num w:numId="2310">
    <w:abstractNumId w:val="991"/>
  </w:num>
  <w:num w:numId="2311">
    <w:abstractNumId w:val="991"/>
  </w:num>
  <w:num w:numId="2312">
    <w:abstractNumId w:val="991"/>
  </w:num>
  <w:num w:numId="2313">
    <w:abstractNumId w:val="991"/>
  </w:num>
  <w:num w:numId="2314">
    <w:abstractNumId w:val="991"/>
  </w:num>
  <w:num w:numId="2315">
    <w:abstractNumId w:val="991"/>
  </w:num>
  <w:num w:numId="2316">
    <w:abstractNumId w:val="991"/>
  </w:num>
  <w:num w:numId="2317">
    <w:abstractNumId w:val="991"/>
  </w:num>
  <w:num w:numId="2318">
    <w:abstractNumId w:val="991"/>
  </w:num>
  <w:num w:numId="2319">
    <w:abstractNumId w:val="991"/>
  </w:num>
  <w:num w:numId="2320">
    <w:abstractNumId w:val="991"/>
  </w:num>
  <w:num w:numId="2321">
    <w:abstractNumId w:val="991"/>
  </w:num>
  <w:num w:numId="2322">
    <w:abstractNumId w:val="991"/>
  </w:num>
  <w:num w:numId="2323">
    <w:abstractNumId w:val="991"/>
  </w:num>
  <w:num w:numId="2324">
    <w:abstractNumId w:val="991"/>
  </w:num>
  <w:num w:numId="2325">
    <w:abstractNumId w:val="991"/>
  </w:num>
  <w:num w:numId="2326">
    <w:abstractNumId w:val="991"/>
  </w:num>
  <w:num w:numId="2327">
    <w:abstractNumId w:val="991"/>
  </w:num>
  <w:num w:numId="2328">
    <w:abstractNumId w:val="991"/>
  </w:num>
  <w:num w:numId="2329">
    <w:abstractNumId w:val="991"/>
  </w:num>
  <w:num w:numId="2330">
    <w:abstractNumId w:val="991"/>
  </w:num>
  <w:num w:numId="2331">
    <w:abstractNumId w:val="991"/>
  </w:num>
  <w:num w:numId="2332">
    <w:abstractNumId w:val="991"/>
  </w:num>
  <w:num w:numId="2333">
    <w:abstractNumId w:val="991"/>
  </w:num>
  <w:num w:numId="2334">
    <w:abstractNumId w:val="991"/>
  </w:num>
  <w:num w:numId="2335">
    <w:abstractNumId w:val="991"/>
  </w:num>
  <w:num w:numId="2336">
    <w:abstractNumId w:val="991"/>
  </w:num>
  <w:num w:numId="2337">
    <w:abstractNumId w:val="991"/>
  </w:num>
  <w:num w:numId="2338">
    <w:abstractNumId w:val="991"/>
  </w:num>
  <w:num w:numId="2339">
    <w:abstractNumId w:val="991"/>
  </w:num>
  <w:num w:numId="2340">
    <w:abstractNumId w:val="991"/>
  </w:num>
  <w:num w:numId="2341">
    <w:abstractNumId w:val="991"/>
  </w:num>
  <w:num w:numId="2342">
    <w:abstractNumId w:val="991"/>
  </w:num>
  <w:num w:numId="2343">
    <w:abstractNumId w:val="991"/>
  </w:num>
  <w:num w:numId="2344">
    <w:abstractNumId w:val="991"/>
  </w:num>
  <w:num w:numId="2345">
    <w:abstractNumId w:val="991"/>
  </w:num>
  <w:num w:numId="2346">
    <w:abstractNumId w:val="991"/>
  </w:num>
  <w:num w:numId="2347">
    <w:abstractNumId w:val="991"/>
  </w:num>
  <w:num w:numId="2348">
    <w:abstractNumId w:val="991"/>
  </w:num>
  <w:num w:numId="2349">
    <w:abstractNumId w:val="991"/>
  </w:num>
  <w:num w:numId="2350">
    <w:abstractNumId w:val="991"/>
  </w:num>
  <w:num w:numId="2351">
    <w:abstractNumId w:val="991"/>
  </w:num>
  <w:num w:numId="2352">
    <w:abstractNumId w:val="991"/>
  </w:num>
  <w:num w:numId="2353">
    <w:abstractNumId w:val="991"/>
  </w:num>
  <w:num w:numId="2354">
    <w:abstractNumId w:val="991"/>
  </w:num>
  <w:num w:numId="2355">
    <w:abstractNumId w:val="991"/>
  </w:num>
  <w:num w:numId="2356">
    <w:abstractNumId w:val="991"/>
  </w:num>
  <w:num w:numId="2357">
    <w:abstractNumId w:val="991"/>
  </w:num>
  <w:num w:numId="2358">
    <w:abstractNumId w:val="991"/>
  </w:num>
  <w:num w:numId="2359">
    <w:abstractNumId w:val="991"/>
  </w:num>
  <w:num w:numId="2360">
    <w:abstractNumId w:val="991"/>
  </w:num>
  <w:num w:numId="2361">
    <w:abstractNumId w:val="991"/>
  </w:num>
  <w:num w:numId="2362">
    <w:abstractNumId w:val="991"/>
  </w:num>
  <w:num w:numId="2363">
    <w:abstractNumId w:val="991"/>
  </w:num>
  <w:num w:numId="2364">
    <w:abstractNumId w:val="991"/>
  </w:num>
  <w:num w:numId="2365">
    <w:abstractNumId w:val="991"/>
  </w:num>
  <w:num w:numId="2366">
    <w:abstractNumId w:val="991"/>
  </w:num>
  <w:num w:numId="2367">
    <w:abstractNumId w:val="991"/>
  </w:num>
  <w:num w:numId="2368">
    <w:abstractNumId w:val="991"/>
  </w:num>
  <w:num w:numId="2369">
    <w:abstractNumId w:val="991"/>
  </w:num>
  <w:num w:numId="2370">
    <w:abstractNumId w:val="991"/>
  </w:num>
  <w:num w:numId="2371">
    <w:abstractNumId w:val="991"/>
  </w:num>
  <w:num w:numId="2372">
    <w:abstractNumId w:val="991"/>
  </w:num>
  <w:num w:numId="2373">
    <w:abstractNumId w:val="991"/>
  </w:num>
  <w:num w:numId="2374">
    <w:abstractNumId w:val="991"/>
  </w:num>
  <w:num w:numId="2375">
    <w:abstractNumId w:val="991"/>
  </w:num>
  <w:num w:numId="2376">
    <w:abstractNumId w:val="991"/>
  </w:num>
  <w:num w:numId="2377">
    <w:abstractNumId w:val="991"/>
  </w:num>
  <w:num w:numId="2378">
    <w:abstractNumId w:val="991"/>
  </w:num>
  <w:num w:numId="2379">
    <w:abstractNumId w:val="991"/>
  </w:num>
  <w:num w:numId="2380">
    <w:abstractNumId w:val="991"/>
  </w:num>
  <w:num w:numId="2381">
    <w:abstractNumId w:val="991"/>
  </w:num>
  <w:num w:numId="2382">
    <w:abstractNumId w:val="991"/>
  </w:num>
  <w:num w:numId="2383">
    <w:abstractNumId w:val="991"/>
  </w:num>
  <w:num w:numId="2384">
    <w:abstractNumId w:val="991"/>
  </w:num>
  <w:num w:numId="2385">
    <w:abstractNumId w:val="991"/>
  </w:num>
  <w:num w:numId="2386">
    <w:abstractNumId w:val="991"/>
  </w:num>
  <w:num w:numId="2387">
    <w:abstractNumId w:val="991"/>
  </w:num>
  <w:num w:numId="2388">
    <w:abstractNumId w:val="991"/>
  </w:num>
  <w:num w:numId="2389">
    <w:abstractNumId w:val="991"/>
  </w:num>
  <w:num w:numId="2390">
    <w:abstractNumId w:val="991"/>
  </w:num>
  <w:num w:numId="2391">
    <w:abstractNumId w:val="991"/>
  </w:num>
  <w:num w:numId="2392">
    <w:abstractNumId w:val="991"/>
  </w:num>
  <w:num w:numId="2393">
    <w:abstractNumId w:val="991"/>
  </w:num>
  <w:num w:numId="2394">
    <w:abstractNumId w:val="991"/>
  </w:num>
  <w:num w:numId="2395">
    <w:abstractNumId w:val="991"/>
  </w:num>
  <w:num w:numId="2396">
    <w:abstractNumId w:val="991"/>
  </w:num>
  <w:num w:numId="2397">
    <w:abstractNumId w:val="991"/>
  </w:num>
  <w:num w:numId="2398">
    <w:abstractNumId w:val="991"/>
  </w:num>
  <w:num w:numId="2399">
    <w:abstractNumId w:val="991"/>
  </w:num>
  <w:num w:numId="2400">
    <w:abstractNumId w:val="991"/>
  </w:num>
  <w:num w:numId="2401">
    <w:abstractNumId w:val="991"/>
  </w:num>
  <w:num w:numId="2402">
    <w:abstractNumId w:val="991"/>
  </w:num>
  <w:num w:numId="2403">
    <w:abstractNumId w:val="991"/>
  </w:num>
  <w:num w:numId="2404">
    <w:abstractNumId w:val="991"/>
  </w:num>
  <w:num w:numId="2405">
    <w:abstractNumId w:val="991"/>
  </w:num>
  <w:num w:numId="2406">
    <w:abstractNumId w:val="991"/>
  </w:num>
  <w:num w:numId="2407">
    <w:abstractNumId w:val="991"/>
  </w:num>
  <w:num w:numId="2408">
    <w:abstractNumId w:val="991"/>
  </w:num>
  <w:num w:numId="2409">
    <w:abstractNumId w:val="991"/>
  </w:num>
  <w:num w:numId="2410">
    <w:abstractNumId w:val="991"/>
  </w:num>
  <w:num w:numId="2411">
    <w:abstractNumId w:val="991"/>
  </w:num>
  <w:num w:numId="2412">
    <w:abstractNumId w:val="991"/>
  </w:num>
  <w:num w:numId="2413">
    <w:abstractNumId w:val="991"/>
  </w:num>
  <w:num w:numId="2414">
    <w:abstractNumId w:val="991"/>
  </w:num>
  <w:num w:numId="2415">
    <w:abstractNumId w:val="991"/>
  </w:num>
  <w:num w:numId="2416">
    <w:abstractNumId w:val="991"/>
  </w:num>
  <w:num w:numId="2417">
    <w:abstractNumId w:val="991"/>
  </w:num>
  <w:num w:numId="2418">
    <w:abstractNumId w:val="991"/>
  </w:num>
  <w:num w:numId="2419">
    <w:abstractNumId w:val="991"/>
  </w:num>
  <w:num w:numId="2420">
    <w:abstractNumId w:val="991"/>
  </w:num>
  <w:num w:numId="2421">
    <w:abstractNumId w:val="991"/>
  </w:num>
  <w:num w:numId="2422">
    <w:abstractNumId w:val="991"/>
  </w:num>
  <w:num w:numId="2423">
    <w:abstractNumId w:val="991"/>
  </w:num>
  <w:num w:numId="2424">
    <w:abstractNumId w:val="991"/>
  </w:num>
  <w:num w:numId="2425">
    <w:abstractNumId w:val="991"/>
  </w:num>
  <w:num w:numId="2426">
    <w:abstractNumId w:val="991"/>
  </w:num>
  <w:num w:numId="2427">
    <w:abstractNumId w:val="991"/>
  </w:num>
  <w:num w:numId="2428">
    <w:abstractNumId w:val="991"/>
  </w:num>
  <w:num w:numId="2429">
    <w:abstractNumId w:val="991"/>
  </w:num>
  <w:num w:numId="2430">
    <w:abstractNumId w:val="991"/>
  </w:num>
  <w:num w:numId="2431">
    <w:abstractNumId w:val="991"/>
  </w:num>
  <w:num w:numId="2432">
    <w:abstractNumId w:val="991"/>
  </w:num>
  <w:num w:numId="2433">
    <w:abstractNumId w:val="991"/>
  </w:num>
  <w:num w:numId="2434">
    <w:abstractNumId w:val="991"/>
  </w:num>
  <w:num w:numId="2435">
    <w:abstractNumId w:val="991"/>
  </w:num>
  <w:num w:numId="2436">
    <w:abstractNumId w:val="991"/>
  </w:num>
  <w:num w:numId="2437">
    <w:abstractNumId w:val="991"/>
  </w:num>
  <w:num w:numId="2438">
    <w:abstractNumId w:val="991"/>
  </w:num>
  <w:num w:numId="2439">
    <w:abstractNumId w:val="991"/>
  </w:num>
  <w:num w:numId="2440">
    <w:abstractNumId w:val="991"/>
  </w:num>
  <w:num w:numId="2441">
    <w:abstractNumId w:val="991"/>
  </w:num>
  <w:num w:numId="2442">
    <w:abstractNumId w:val="991"/>
  </w:num>
  <w:num w:numId="2443">
    <w:abstractNumId w:val="991"/>
  </w:num>
  <w:num w:numId="2444">
    <w:abstractNumId w:val="991"/>
  </w:num>
  <w:num w:numId="2445">
    <w:abstractNumId w:val="991"/>
  </w:num>
  <w:num w:numId="2446">
    <w:abstractNumId w:val="991"/>
  </w:num>
  <w:num w:numId="2447">
    <w:abstractNumId w:val="991"/>
  </w:num>
  <w:num w:numId="2448">
    <w:abstractNumId w:val="991"/>
  </w:num>
  <w:num w:numId="2449">
    <w:abstractNumId w:val="991"/>
  </w:num>
  <w:num w:numId="2450">
    <w:abstractNumId w:val="991"/>
  </w:num>
  <w:num w:numId="2451">
    <w:abstractNumId w:val="991"/>
  </w:num>
  <w:num w:numId="2452">
    <w:abstractNumId w:val="991"/>
  </w:num>
  <w:num w:numId="2453">
    <w:abstractNumId w:val="991"/>
  </w:num>
  <w:num w:numId="2454">
    <w:abstractNumId w:val="991"/>
  </w:num>
  <w:num w:numId="2455">
    <w:abstractNumId w:val="991"/>
  </w:num>
  <w:num w:numId="2456">
    <w:abstractNumId w:val="991"/>
  </w:num>
  <w:num w:numId="2457">
    <w:abstractNumId w:val="991"/>
  </w:num>
  <w:num w:numId="2458">
    <w:abstractNumId w:val="991"/>
  </w:num>
  <w:num w:numId="2459">
    <w:abstractNumId w:val="991"/>
  </w:num>
  <w:num w:numId="2460">
    <w:abstractNumId w:val="991"/>
  </w:num>
  <w:num w:numId="2461">
    <w:abstractNumId w:val="991"/>
  </w:num>
  <w:num w:numId="2462">
    <w:abstractNumId w:val="991"/>
  </w:num>
  <w:num w:numId="2463">
    <w:abstractNumId w:val="991"/>
  </w:num>
  <w:num w:numId="2464">
    <w:abstractNumId w:val="991"/>
  </w:num>
  <w:num w:numId="2465">
    <w:abstractNumId w:val="991"/>
  </w:num>
  <w:num w:numId="2466">
    <w:abstractNumId w:val="991"/>
  </w:num>
  <w:num w:numId="2467">
    <w:abstractNumId w:val="991"/>
  </w:num>
  <w:num w:numId="2468">
    <w:abstractNumId w:val="991"/>
  </w:num>
  <w:num w:numId="2469">
    <w:abstractNumId w:val="991"/>
  </w:num>
  <w:num w:numId="2470">
    <w:abstractNumId w:val="991"/>
  </w:num>
  <w:num w:numId="2471">
    <w:abstractNumId w:val="991"/>
  </w:num>
  <w:num w:numId="2472">
    <w:abstractNumId w:val="991"/>
  </w:num>
  <w:num w:numId="2473">
    <w:abstractNumId w:val="991"/>
  </w:num>
  <w:num w:numId="2474">
    <w:abstractNumId w:val="991"/>
  </w:num>
  <w:num w:numId="2475">
    <w:abstractNumId w:val="991"/>
  </w:num>
  <w:num w:numId="2476">
    <w:abstractNumId w:val="991"/>
  </w:num>
  <w:num w:numId="2477">
    <w:abstractNumId w:val="991"/>
  </w:num>
  <w:num w:numId="2478">
    <w:abstractNumId w:val="991"/>
  </w:num>
  <w:num w:numId="2479">
    <w:abstractNumId w:val="991"/>
  </w:num>
  <w:num w:numId="2480">
    <w:abstractNumId w:val="991"/>
  </w:num>
  <w:num w:numId="2481">
    <w:abstractNumId w:val="991"/>
  </w:num>
  <w:num w:numId="2482">
    <w:abstractNumId w:val="991"/>
  </w:num>
  <w:num w:numId="2483">
    <w:abstractNumId w:val="991"/>
  </w:num>
  <w:num w:numId="2484">
    <w:abstractNumId w:val="991"/>
  </w:num>
  <w:num w:numId="2485">
    <w:abstractNumId w:val="991"/>
  </w:num>
  <w:num w:numId="2486">
    <w:abstractNumId w:val="991"/>
  </w:num>
  <w:num w:numId="2487">
    <w:abstractNumId w:val="991"/>
  </w:num>
  <w:num w:numId="2488">
    <w:abstractNumId w:val="991"/>
  </w:num>
  <w:num w:numId="2489">
    <w:abstractNumId w:val="991"/>
  </w:num>
  <w:num w:numId="2490">
    <w:abstractNumId w:val="991"/>
  </w:num>
  <w:num w:numId="2491">
    <w:abstractNumId w:val="991"/>
  </w:num>
  <w:num w:numId="2492">
    <w:abstractNumId w:val="991"/>
  </w:num>
  <w:num w:numId="2493">
    <w:abstractNumId w:val="991"/>
  </w:num>
  <w:num w:numId="2494">
    <w:abstractNumId w:val="991"/>
  </w:num>
  <w:num w:numId="2495">
    <w:abstractNumId w:val="991"/>
  </w:num>
  <w:num w:numId="2496">
    <w:abstractNumId w:val="991"/>
  </w:num>
  <w:num w:numId="2497">
    <w:abstractNumId w:val="991"/>
  </w:num>
  <w:num w:numId="2498">
    <w:abstractNumId w:val="991"/>
  </w:num>
  <w:num w:numId="2499">
    <w:abstractNumId w:val="991"/>
  </w:num>
  <w:num w:numId="2500">
    <w:abstractNumId w:val="991"/>
  </w:num>
  <w:num w:numId="2501">
    <w:abstractNumId w:val="991"/>
  </w:num>
  <w:num w:numId="2502">
    <w:abstractNumId w:val="991"/>
  </w:num>
  <w:num w:numId="2503">
    <w:abstractNumId w:val="991"/>
  </w:num>
  <w:num w:numId="2504">
    <w:abstractNumId w:val="991"/>
  </w:num>
  <w:num w:numId="2505">
    <w:abstractNumId w:val="991"/>
  </w:num>
  <w:num w:numId="2506">
    <w:abstractNumId w:val="991"/>
  </w:num>
  <w:num w:numId="2507">
    <w:abstractNumId w:val="991"/>
  </w:num>
  <w:num w:numId="2508">
    <w:abstractNumId w:val="991"/>
  </w:num>
  <w:num w:numId="2509">
    <w:abstractNumId w:val="991"/>
  </w:num>
  <w:num w:numId="2510">
    <w:abstractNumId w:val="991"/>
  </w:num>
  <w:num w:numId="2511">
    <w:abstractNumId w:val="991"/>
  </w:num>
  <w:num w:numId="2512">
    <w:abstractNumId w:val="991"/>
  </w:num>
  <w:num w:numId="2513">
    <w:abstractNumId w:val="991"/>
  </w:num>
  <w:num w:numId="2514">
    <w:abstractNumId w:val="991"/>
  </w:num>
  <w:num w:numId="2515">
    <w:abstractNumId w:val="991"/>
  </w:num>
  <w:num w:numId="2516">
    <w:abstractNumId w:val="991"/>
  </w:num>
  <w:num w:numId="2517">
    <w:abstractNumId w:val="991"/>
  </w:num>
  <w:num w:numId="2518">
    <w:abstractNumId w:val="991"/>
  </w:num>
  <w:num w:numId="2519">
    <w:abstractNumId w:val="991"/>
  </w:num>
  <w:num w:numId="2520">
    <w:abstractNumId w:val="991"/>
  </w:num>
  <w:num w:numId="2521">
    <w:abstractNumId w:val="991"/>
  </w:num>
  <w:num w:numId="2522">
    <w:abstractNumId w:val="991"/>
  </w:num>
  <w:num w:numId="2523">
    <w:abstractNumId w:val="991"/>
  </w:num>
  <w:num w:numId="2524">
    <w:abstractNumId w:val="991"/>
  </w:num>
  <w:num w:numId="2525">
    <w:abstractNumId w:val="991"/>
  </w:num>
  <w:num w:numId="2526">
    <w:abstractNumId w:val="991"/>
  </w:num>
  <w:num w:numId="2527">
    <w:abstractNumId w:val="991"/>
  </w:num>
  <w:num w:numId="2528">
    <w:abstractNumId w:val="991"/>
  </w:num>
  <w:num w:numId="2529">
    <w:abstractNumId w:val="991"/>
  </w:num>
  <w:num w:numId="2530">
    <w:abstractNumId w:val="991"/>
  </w:num>
  <w:num w:numId="2531">
    <w:abstractNumId w:val="991"/>
  </w:num>
  <w:num w:numId="2532">
    <w:abstractNumId w:val="991"/>
  </w:num>
  <w:num w:numId="2533">
    <w:abstractNumId w:val="991"/>
  </w:num>
  <w:num w:numId="2534">
    <w:abstractNumId w:val="991"/>
  </w:num>
  <w:num w:numId="2535">
    <w:abstractNumId w:val="991"/>
  </w:num>
  <w:num w:numId="2536">
    <w:abstractNumId w:val="991"/>
  </w:num>
  <w:num w:numId="2537">
    <w:abstractNumId w:val="991"/>
  </w:num>
  <w:num w:numId="2538">
    <w:abstractNumId w:val="991"/>
  </w:num>
  <w:num w:numId="2539">
    <w:abstractNumId w:val="991"/>
  </w:num>
  <w:num w:numId="2540">
    <w:abstractNumId w:val="991"/>
  </w:num>
  <w:num w:numId="2541">
    <w:abstractNumId w:val="991"/>
  </w:num>
  <w:num w:numId="2542">
    <w:abstractNumId w:val="991"/>
  </w:num>
  <w:num w:numId="2543">
    <w:abstractNumId w:val="991"/>
  </w:num>
  <w:num w:numId="2544">
    <w:abstractNumId w:val="991"/>
  </w:num>
  <w:num w:numId="2545">
    <w:abstractNumId w:val="991"/>
  </w:num>
  <w:num w:numId="2546">
    <w:abstractNumId w:val="991"/>
  </w:num>
  <w:num w:numId="2547">
    <w:abstractNumId w:val="991"/>
  </w:num>
  <w:num w:numId="2548">
    <w:abstractNumId w:val="991"/>
  </w:num>
  <w:num w:numId="2549">
    <w:abstractNumId w:val="991"/>
  </w:num>
  <w:num w:numId="2550">
    <w:abstractNumId w:val="991"/>
  </w:num>
  <w:num w:numId="2551">
    <w:abstractNumId w:val="991"/>
  </w:num>
  <w:num w:numId="2552">
    <w:abstractNumId w:val="991"/>
  </w:num>
  <w:num w:numId="2553">
    <w:abstractNumId w:val="991"/>
  </w:num>
  <w:num w:numId="2554">
    <w:abstractNumId w:val="991"/>
  </w:num>
  <w:num w:numId="2555">
    <w:abstractNumId w:val="991"/>
  </w:num>
  <w:num w:numId="2556">
    <w:abstractNumId w:val="991"/>
  </w:num>
  <w:num w:numId="2557">
    <w:abstractNumId w:val="991"/>
  </w:num>
  <w:num w:numId="2558">
    <w:abstractNumId w:val="991"/>
  </w:num>
  <w:num w:numId="2559">
    <w:abstractNumId w:val="991"/>
  </w:num>
  <w:num w:numId="2560">
    <w:abstractNumId w:val="991"/>
  </w:num>
  <w:num w:numId="2561">
    <w:abstractNumId w:val="991"/>
  </w:num>
  <w:num w:numId="2562">
    <w:abstractNumId w:val="991"/>
  </w:num>
  <w:num w:numId="2563">
    <w:abstractNumId w:val="991"/>
  </w:num>
  <w:num w:numId="2564">
    <w:abstractNumId w:val="991"/>
  </w:num>
  <w:num w:numId="2565">
    <w:abstractNumId w:val="991"/>
  </w:num>
  <w:num w:numId="2566">
    <w:abstractNumId w:val="991"/>
  </w:num>
  <w:num w:numId="2567">
    <w:abstractNumId w:val="991"/>
  </w:num>
  <w:num w:numId="2568">
    <w:abstractNumId w:val="991"/>
  </w:num>
  <w:num w:numId="2569">
    <w:abstractNumId w:val="991"/>
  </w:num>
  <w:num w:numId="2570">
    <w:abstractNumId w:val="991"/>
  </w:num>
  <w:num w:numId="2571">
    <w:abstractNumId w:val="991"/>
  </w:num>
  <w:num w:numId="2572">
    <w:abstractNumId w:val="991"/>
  </w:num>
  <w:num w:numId="2573">
    <w:abstractNumId w:val="991"/>
  </w:num>
  <w:num w:numId="2574">
    <w:abstractNumId w:val="991"/>
  </w:num>
  <w:num w:numId="2575">
    <w:abstractNumId w:val="991"/>
  </w:num>
  <w:num w:numId="2576">
    <w:abstractNumId w:val="991"/>
  </w:num>
  <w:num w:numId="2577">
    <w:abstractNumId w:val="991"/>
  </w:num>
  <w:num w:numId="2578">
    <w:abstractNumId w:val="991"/>
  </w:num>
  <w:num w:numId="2579">
    <w:abstractNumId w:val="991"/>
  </w:num>
  <w:num w:numId="2580">
    <w:abstractNumId w:val="991"/>
  </w:num>
  <w:num w:numId="2581">
    <w:abstractNumId w:val="991"/>
  </w:num>
  <w:num w:numId="2582">
    <w:abstractNumId w:val="991"/>
  </w:num>
  <w:num w:numId="2583">
    <w:abstractNumId w:val="991"/>
  </w:num>
  <w:num w:numId="2584">
    <w:abstractNumId w:val="991"/>
  </w:num>
  <w:num w:numId="2585">
    <w:abstractNumId w:val="991"/>
  </w:num>
  <w:num w:numId="2586">
    <w:abstractNumId w:val="991"/>
  </w:num>
  <w:num w:numId="2587">
    <w:abstractNumId w:val="991"/>
  </w:num>
  <w:num w:numId="2588">
    <w:abstractNumId w:val="991"/>
  </w:num>
  <w:num w:numId="2589">
    <w:abstractNumId w:val="991"/>
  </w:num>
  <w:num w:numId="2590">
    <w:abstractNumId w:val="991"/>
  </w:num>
  <w:num w:numId="2591">
    <w:abstractNumId w:val="991"/>
  </w:num>
  <w:num w:numId="2592">
    <w:abstractNumId w:val="991"/>
  </w:num>
  <w:num w:numId="2593">
    <w:abstractNumId w:val="991"/>
  </w:num>
  <w:num w:numId="2594">
    <w:abstractNumId w:val="991"/>
  </w:num>
  <w:num w:numId="2595">
    <w:abstractNumId w:val="991"/>
  </w:num>
  <w:num w:numId="2596">
    <w:abstractNumId w:val="991"/>
  </w:num>
  <w:num w:numId="2597">
    <w:abstractNumId w:val="991"/>
  </w:num>
  <w:num w:numId="2598">
    <w:abstractNumId w:val="991"/>
  </w:num>
  <w:num w:numId="2599">
    <w:abstractNumId w:val="991"/>
  </w:num>
  <w:num w:numId="2600">
    <w:abstractNumId w:val="991"/>
  </w:num>
  <w:num w:numId="2601">
    <w:abstractNumId w:val="991"/>
  </w:num>
  <w:num w:numId="2602">
    <w:abstractNumId w:val="991"/>
  </w:num>
  <w:num w:numId="2603">
    <w:abstractNumId w:val="991"/>
  </w:num>
  <w:num w:numId="2604">
    <w:abstractNumId w:val="991"/>
  </w:num>
  <w:num w:numId="2605">
    <w:abstractNumId w:val="991"/>
  </w:num>
  <w:num w:numId="2606">
    <w:abstractNumId w:val="991"/>
  </w:num>
  <w:num w:numId="2607">
    <w:abstractNumId w:val="991"/>
  </w:num>
  <w:num w:numId="2608">
    <w:abstractNumId w:val="991"/>
  </w:num>
  <w:num w:numId="2609">
    <w:abstractNumId w:val="991"/>
  </w:num>
  <w:num w:numId="2610">
    <w:abstractNumId w:val="991"/>
  </w:num>
  <w:num w:numId="2611">
    <w:abstractNumId w:val="991"/>
  </w:num>
  <w:num w:numId="2612">
    <w:abstractNumId w:val="991"/>
  </w:num>
  <w:num w:numId="2613">
    <w:abstractNumId w:val="991"/>
  </w:num>
  <w:num w:numId="2614">
    <w:abstractNumId w:val="991"/>
  </w:num>
  <w:num w:numId="2615">
    <w:abstractNumId w:val="991"/>
  </w:num>
  <w:num w:numId="2616">
    <w:abstractNumId w:val="991"/>
  </w:num>
  <w:num w:numId="2617">
    <w:abstractNumId w:val="991"/>
  </w:num>
  <w:num w:numId="2618">
    <w:abstractNumId w:val="991"/>
  </w:num>
  <w:num w:numId="2619">
    <w:abstractNumId w:val="991"/>
  </w:num>
  <w:num w:numId="2620">
    <w:abstractNumId w:val="991"/>
  </w:num>
  <w:num w:numId="26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2">
    <w:abstractNumId w:val="991"/>
  </w:num>
  <w:num w:numId="26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4">
    <w:abstractNumId w:val="991"/>
  </w:num>
  <w:num w:numId="2625">
    <w:abstractNumId w:val="991"/>
  </w:num>
  <w:num w:numId="26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7">
    <w:abstractNumId w:val="991"/>
  </w:num>
  <w:num w:numId="2628">
    <w:abstractNumId w:val="991"/>
  </w:num>
  <w:num w:numId="2629">
    <w:abstractNumId w:val="991"/>
  </w:num>
  <w:num w:numId="2630">
    <w:abstractNumId w:val="991"/>
  </w:num>
  <w:num w:numId="2631">
    <w:abstractNumId w:val="991"/>
  </w:num>
  <w:num w:numId="2632">
    <w:abstractNumId w:val="991"/>
  </w:num>
  <w:num w:numId="2633">
    <w:abstractNumId w:val="991"/>
  </w:num>
  <w:num w:numId="2634">
    <w:abstractNumId w:val="991"/>
  </w:num>
  <w:num w:numId="26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6">
    <w:abstractNumId w:val="991"/>
  </w:num>
  <w:num w:numId="2637">
    <w:abstractNumId w:val="991"/>
  </w:num>
  <w:num w:numId="263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274" Target="mailto:sender@example.com" TargetMode="External" /></Relationships>
</file>

<file path=word/_rels/footnotes.xml.rels><?xml version="1.0" encoding="UTF-8"?><Relationships xmlns="http://schemas.openxmlformats.org/package/2006/relationships"><Relationship Type="http://schemas.openxmlformats.org/officeDocument/2006/relationships/hyperlink" Id="rId3274" Target="mailto:sender@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2026-07-12T02:09:28Z</dcterms:created>
  <dcterms:modified xsi:type="dcterms:W3CDTF">2026-07-12T02:09:28Z</dcterms:modified>
</cp:coreProperties>
</file>

<file path=docProps/custom.xml><?xml version="1.0" encoding="utf-8"?>
<Properties xmlns="http://schemas.openxmlformats.org/officeDocument/2006/custom-properties" xmlns:vt="http://schemas.openxmlformats.org/officeDocument/2006/docPropsVTypes"/>
</file>